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2F557" w14:textId="77777777" w:rsidR="00462F78" w:rsidRPr="00D15A6D" w:rsidRDefault="00462F78" w:rsidP="00462F78">
      <w:pPr>
        <w:jc w:val="center"/>
        <w:rPr>
          <w:rFonts w:ascii="Calibri" w:hAnsi="Calibri" w:cs="Calibri"/>
        </w:rPr>
      </w:pPr>
      <w:r w:rsidRPr="00A315CB">
        <w:rPr>
          <w:noProof/>
        </w:rPr>
        <w:drawing>
          <wp:anchor distT="0" distB="0" distL="114300" distR="114300" simplePos="0" relativeHeight="251656192" behindDoc="0" locked="0" layoutInCell="1" allowOverlap="1" wp14:anchorId="3386884A" wp14:editId="4B275473">
            <wp:simplePos x="0" y="0"/>
            <wp:positionH relativeFrom="column">
              <wp:posOffset>2487461</wp:posOffset>
            </wp:positionH>
            <wp:positionV relativeFrom="paragraph">
              <wp:posOffset>-1298</wp:posOffset>
            </wp:positionV>
            <wp:extent cx="780415" cy="560705"/>
            <wp:effectExtent l="0" t="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3914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ADFBA" w14:textId="77777777" w:rsidR="00462F78" w:rsidRPr="00D15A6D" w:rsidRDefault="00462F78" w:rsidP="00462F78">
      <w:pPr>
        <w:pStyle w:val="Nadpis9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14:paraId="1015A33D" w14:textId="77777777" w:rsidR="00462F78" w:rsidRPr="00D15A6D" w:rsidRDefault="00462F78" w:rsidP="00462F78">
      <w:pPr>
        <w:pStyle w:val="Nadpis9"/>
        <w:spacing w:before="0" w:after="0"/>
        <w:jc w:val="center"/>
        <w:rPr>
          <w:rFonts w:ascii="Calibri" w:hAnsi="Calibri" w:cs="Calibri"/>
          <w:b/>
          <w:sz w:val="28"/>
          <w:szCs w:val="24"/>
        </w:rPr>
      </w:pPr>
      <w:bookmarkStart w:id="0" w:name="_GoBack"/>
      <w:r w:rsidRPr="00D15A6D">
        <w:rPr>
          <w:rFonts w:ascii="Calibri" w:hAnsi="Calibri" w:cs="Calibri"/>
          <w:b/>
          <w:sz w:val="28"/>
          <w:szCs w:val="24"/>
        </w:rPr>
        <w:t>Kontrolní závěr z kontrolní akce</w:t>
      </w:r>
    </w:p>
    <w:p w14:paraId="29240546" w14:textId="77777777" w:rsidR="00462F78" w:rsidRPr="00D15A6D" w:rsidRDefault="00462F78" w:rsidP="00462F78">
      <w:pPr>
        <w:jc w:val="center"/>
        <w:rPr>
          <w:rFonts w:ascii="Calibri" w:hAnsi="Calibri" w:cs="Calibri"/>
        </w:rPr>
      </w:pPr>
    </w:p>
    <w:p w14:paraId="65EB050D" w14:textId="77777777" w:rsidR="00462F78" w:rsidRPr="004C031F" w:rsidRDefault="00462F78" w:rsidP="00462F78">
      <w:pPr>
        <w:ind w:right="68"/>
        <w:jc w:val="center"/>
        <w:rPr>
          <w:rFonts w:ascii="Calibri" w:hAnsi="Calibri" w:cs="Calibri"/>
          <w:b/>
          <w:bCs/>
          <w:sz w:val="28"/>
        </w:rPr>
      </w:pPr>
      <w:r w:rsidRPr="004C031F">
        <w:rPr>
          <w:rFonts w:ascii="Calibri" w:hAnsi="Calibri" w:cs="Calibri"/>
          <w:b/>
          <w:bCs/>
          <w:sz w:val="28"/>
        </w:rPr>
        <w:t>1</w:t>
      </w:r>
      <w:r>
        <w:rPr>
          <w:rFonts w:ascii="Calibri" w:hAnsi="Calibri" w:cs="Calibri"/>
          <w:b/>
          <w:bCs/>
          <w:sz w:val="28"/>
        </w:rPr>
        <w:t>7</w:t>
      </w:r>
      <w:r w:rsidRPr="004C031F">
        <w:rPr>
          <w:rFonts w:ascii="Calibri" w:hAnsi="Calibri" w:cs="Calibri"/>
          <w:b/>
          <w:bCs/>
          <w:sz w:val="28"/>
        </w:rPr>
        <w:t>/</w:t>
      </w:r>
      <w:r>
        <w:rPr>
          <w:rFonts w:ascii="Calibri" w:hAnsi="Calibri" w:cs="Calibri"/>
          <w:b/>
          <w:bCs/>
          <w:sz w:val="28"/>
        </w:rPr>
        <w:t>0</w:t>
      </w:r>
      <w:r w:rsidR="007347A4">
        <w:rPr>
          <w:rFonts w:ascii="Calibri" w:hAnsi="Calibri" w:cs="Calibri"/>
          <w:b/>
          <w:bCs/>
          <w:sz w:val="28"/>
        </w:rPr>
        <w:t>7</w:t>
      </w:r>
    </w:p>
    <w:p w14:paraId="042DAD86" w14:textId="77777777" w:rsidR="00462F78" w:rsidRPr="00D15A6D" w:rsidRDefault="00462F78" w:rsidP="00462F78">
      <w:pPr>
        <w:ind w:right="68"/>
        <w:jc w:val="center"/>
        <w:rPr>
          <w:rFonts w:ascii="Calibri" w:hAnsi="Calibri" w:cs="Calibri"/>
          <w:bCs/>
        </w:rPr>
      </w:pPr>
    </w:p>
    <w:p w14:paraId="6766B370" w14:textId="77777777" w:rsidR="007347A4" w:rsidRPr="007347A4" w:rsidRDefault="007347A4" w:rsidP="007347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47A4">
        <w:rPr>
          <w:rFonts w:asciiTheme="minorHAnsi" w:hAnsiTheme="minorHAnsi" w:cstheme="minorHAnsi"/>
          <w:b/>
          <w:sz w:val="28"/>
          <w:szCs w:val="28"/>
        </w:rPr>
        <w:t>Rozvoj a obnova materiálně technické základny Policie České republiky</w:t>
      </w:r>
    </w:p>
    <w:bookmarkEnd w:id="0"/>
    <w:p w14:paraId="69FEADA5" w14:textId="77777777" w:rsidR="00462F78" w:rsidRDefault="00462F78" w:rsidP="00462F78">
      <w:pPr>
        <w:spacing w:line="264" w:lineRule="auto"/>
        <w:jc w:val="center"/>
        <w:rPr>
          <w:rFonts w:ascii="Calibri" w:hAnsi="Calibri" w:cs="Calibri"/>
        </w:rPr>
      </w:pPr>
    </w:p>
    <w:p w14:paraId="6A588A9A" w14:textId="77777777" w:rsidR="00462F78" w:rsidRPr="004C031F" w:rsidRDefault="00462F78" w:rsidP="00462F78">
      <w:pPr>
        <w:spacing w:line="264" w:lineRule="auto"/>
        <w:jc w:val="center"/>
        <w:rPr>
          <w:rFonts w:ascii="Calibri" w:hAnsi="Calibri" w:cs="Calibri"/>
        </w:rPr>
      </w:pPr>
    </w:p>
    <w:p w14:paraId="61CA12DB" w14:textId="77777777" w:rsidR="00462F78" w:rsidRPr="004C031F" w:rsidRDefault="00462F78" w:rsidP="00462F78">
      <w:pPr>
        <w:pStyle w:val="Zkladn"/>
        <w:spacing w:before="0"/>
        <w:rPr>
          <w:rFonts w:ascii="Calibri" w:hAnsi="Calibri" w:cs="Calibri"/>
        </w:rPr>
      </w:pPr>
      <w:r w:rsidRPr="004C031F">
        <w:rPr>
          <w:rFonts w:ascii="Calibri" w:hAnsi="Calibri" w:cs="Calibri"/>
        </w:rPr>
        <w:t>Kontrolní akce byla zařazena do plánu kontrolní činnosti Nejvyššího kontrolního úřadu (dále</w:t>
      </w:r>
      <w:r>
        <w:rPr>
          <w:rFonts w:ascii="Calibri" w:hAnsi="Calibri" w:cs="Calibri"/>
        </w:rPr>
        <w:t> </w:t>
      </w:r>
      <w:r w:rsidRPr="004C031F">
        <w:rPr>
          <w:rFonts w:ascii="Calibri" w:hAnsi="Calibri" w:cs="Calibri"/>
        </w:rPr>
        <w:t>jen „NKÚ“) na rok 201</w:t>
      </w:r>
      <w:r>
        <w:rPr>
          <w:rFonts w:ascii="Calibri" w:hAnsi="Calibri" w:cs="Calibri"/>
        </w:rPr>
        <w:t>7</w:t>
      </w:r>
      <w:r w:rsidRPr="004C031F">
        <w:rPr>
          <w:rFonts w:ascii="Calibri" w:hAnsi="Calibri" w:cs="Calibri"/>
        </w:rPr>
        <w:t xml:space="preserve"> pod číslem 1</w:t>
      </w:r>
      <w:r>
        <w:rPr>
          <w:rFonts w:ascii="Calibri" w:hAnsi="Calibri" w:cs="Calibri"/>
        </w:rPr>
        <w:t>7</w:t>
      </w:r>
      <w:r w:rsidRPr="004C031F">
        <w:rPr>
          <w:rFonts w:ascii="Calibri" w:hAnsi="Calibri" w:cs="Calibri"/>
        </w:rPr>
        <w:t>/</w:t>
      </w:r>
      <w:r>
        <w:rPr>
          <w:rFonts w:ascii="Calibri" w:hAnsi="Calibri" w:cs="Calibri"/>
        </w:rPr>
        <w:t>0</w:t>
      </w:r>
      <w:r w:rsidR="007347A4">
        <w:rPr>
          <w:rFonts w:ascii="Calibri" w:hAnsi="Calibri" w:cs="Calibri"/>
        </w:rPr>
        <w:t>7</w:t>
      </w:r>
      <w:r w:rsidRPr="004C031F">
        <w:rPr>
          <w:rFonts w:ascii="Calibri" w:hAnsi="Calibri" w:cs="Calibri"/>
        </w:rPr>
        <w:t>. Kontrolní akci řídil a</w:t>
      </w:r>
      <w:r>
        <w:rPr>
          <w:rFonts w:ascii="Calibri" w:hAnsi="Calibri" w:cs="Calibri"/>
        </w:rPr>
        <w:t xml:space="preserve"> </w:t>
      </w:r>
      <w:r w:rsidRPr="004C031F">
        <w:rPr>
          <w:rFonts w:ascii="Calibri" w:hAnsi="Calibri" w:cs="Calibri"/>
        </w:rPr>
        <w:t xml:space="preserve">kontrolní závěr vypracoval člen NKÚ RNDr. Petr </w:t>
      </w:r>
      <w:proofErr w:type="spellStart"/>
      <w:r w:rsidRPr="004C031F">
        <w:rPr>
          <w:rFonts w:ascii="Calibri" w:hAnsi="Calibri" w:cs="Calibri"/>
        </w:rPr>
        <w:t>Neuvirt</w:t>
      </w:r>
      <w:proofErr w:type="spellEnd"/>
      <w:r w:rsidRPr="004C031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20423E64" w14:textId="77777777" w:rsidR="00462F78" w:rsidRPr="004C031F" w:rsidRDefault="00462F78" w:rsidP="00462F78">
      <w:pPr>
        <w:pStyle w:val="Zkladntextodsazen"/>
        <w:spacing w:after="0"/>
        <w:ind w:left="0"/>
        <w:jc w:val="both"/>
        <w:rPr>
          <w:rFonts w:ascii="Calibri" w:hAnsi="Calibri" w:cs="Calibri"/>
        </w:rPr>
      </w:pPr>
    </w:p>
    <w:p w14:paraId="28604C36" w14:textId="77777777" w:rsidR="007347A4" w:rsidRPr="0050417A" w:rsidRDefault="00462F78" w:rsidP="007347A4">
      <w:pPr>
        <w:jc w:val="both"/>
        <w:rPr>
          <w:rFonts w:asciiTheme="minorHAnsi" w:hAnsiTheme="minorHAnsi" w:cstheme="minorHAnsi"/>
        </w:rPr>
      </w:pPr>
      <w:r w:rsidRPr="002F4931">
        <w:rPr>
          <w:rFonts w:asciiTheme="minorHAnsi" w:hAnsiTheme="minorHAnsi" w:cstheme="minorHAnsi"/>
          <w:lang w:eastAsia="en-US"/>
        </w:rPr>
        <w:t xml:space="preserve">Cílem kontroly bylo </w:t>
      </w:r>
      <w:r w:rsidR="007347A4">
        <w:rPr>
          <w:rFonts w:asciiTheme="minorHAnsi" w:hAnsiTheme="minorHAnsi" w:cstheme="minorHAnsi"/>
        </w:rPr>
        <w:t>z</w:t>
      </w:r>
      <w:r w:rsidR="007347A4" w:rsidRPr="0050417A">
        <w:rPr>
          <w:rFonts w:asciiTheme="minorHAnsi" w:hAnsiTheme="minorHAnsi" w:cstheme="minorHAnsi"/>
        </w:rPr>
        <w:t xml:space="preserve">jistit, zda programy zaměřené na rozvoj a obnovu materiálně technické základny Policie České republiky </w:t>
      </w:r>
      <w:r w:rsidR="007347A4" w:rsidRPr="00DC6325">
        <w:rPr>
          <w:rFonts w:ascii="Calibri" w:hAnsi="Calibri" w:cs="Calibri"/>
        </w:rPr>
        <w:t>(dále také „</w:t>
      </w:r>
      <w:r w:rsidR="00517AF2">
        <w:rPr>
          <w:rFonts w:ascii="Calibri" w:hAnsi="Calibri" w:cs="Calibri"/>
        </w:rPr>
        <w:t>Policie</w:t>
      </w:r>
      <w:r w:rsidR="007347A4" w:rsidRPr="00DC6325">
        <w:rPr>
          <w:rFonts w:ascii="Calibri" w:hAnsi="Calibri" w:cs="Calibri"/>
        </w:rPr>
        <w:t>“)</w:t>
      </w:r>
      <w:r w:rsidR="007347A4">
        <w:rPr>
          <w:rFonts w:ascii="Calibri" w:hAnsi="Calibri" w:cs="Calibri"/>
        </w:rPr>
        <w:t xml:space="preserve"> </w:t>
      </w:r>
      <w:r w:rsidR="007347A4" w:rsidRPr="0050417A">
        <w:rPr>
          <w:rFonts w:asciiTheme="minorHAnsi" w:hAnsiTheme="minorHAnsi" w:cstheme="minorHAnsi"/>
        </w:rPr>
        <w:t>vycházejí z jasně definovaných potřeb a</w:t>
      </w:r>
      <w:r w:rsidR="00A30D5B">
        <w:rPr>
          <w:rFonts w:asciiTheme="minorHAnsi" w:hAnsiTheme="minorHAnsi" w:cstheme="minorHAnsi"/>
        </w:rPr>
        <w:t> </w:t>
      </w:r>
      <w:r w:rsidR="007347A4" w:rsidRPr="0050417A">
        <w:rPr>
          <w:rFonts w:asciiTheme="minorHAnsi" w:hAnsiTheme="minorHAnsi" w:cstheme="minorHAnsi"/>
        </w:rPr>
        <w:t>zda jsou realizovány podle stanovených předpokladů účelně a hospodárně</w:t>
      </w:r>
      <w:r w:rsidR="007347A4">
        <w:rPr>
          <w:rFonts w:asciiTheme="minorHAnsi" w:hAnsiTheme="minorHAnsi" w:cstheme="minorHAnsi"/>
        </w:rPr>
        <w:t>.</w:t>
      </w:r>
    </w:p>
    <w:p w14:paraId="11586AD8" w14:textId="77777777" w:rsidR="00462F78" w:rsidRPr="002F4931" w:rsidRDefault="00462F78" w:rsidP="00462F78">
      <w:pPr>
        <w:jc w:val="both"/>
        <w:rPr>
          <w:rFonts w:asciiTheme="minorHAnsi" w:hAnsiTheme="minorHAnsi" w:cstheme="minorHAnsi"/>
          <w:noProof/>
          <w:color w:val="000000"/>
        </w:rPr>
      </w:pPr>
    </w:p>
    <w:p w14:paraId="08078EEE" w14:textId="77777777" w:rsidR="00462F78" w:rsidRPr="004C031F" w:rsidRDefault="00462F78" w:rsidP="00462F78">
      <w:pPr>
        <w:pStyle w:val="Zkladntextodsazen"/>
        <w:spacing w:after="0"/>
        <w:ind w:left="0"/>
        <w:jc w:val="both"/>
        <w:rPr>
          <w:rFonts w:ascii="Calibri" w:hAnsi="Calibri" w:cs="Calibri"/>
        </w:rPr>
      </w:pPr>
      <w:r w:rsidRPr="004C031F">
        <w:rPr>
          <w:rFonts w:ascii="Calibri" w:hAnsi="Calibri" w:cs="Calibri"/>
        </w:rPr>
        <w:t>Kontrolováno bylo období od roku 20</w:t>
      </w:r>
      <w:r>
        <w:rPr>
          <w:rFonts w:ascii="Calibri" w:hAnsi="Calibri" w:cs="Calibri"/>
        </w:rPr>
        <w:t>1</w:t>
      </w:r>
      <w:r w:rsidR="007347A4">
        <w:rPr>
          <w:rFonts w:ascii="Calibri" w:hAnsi="Calibri" w:cs="Calibri"/>
        </w:rPr>
        <w:t>2</w:t>
      </w:r>
      <w:r w:rsidRPr="004C031F">
        <w:rPr>
          <w:rFonts w:ascii="Calibri" w:hAnsi="Calibri" w:cs="Calibri"/>
        </w:rPr>
        <w:t xml:space="preserve"> do roku 201</w:t>
      </w:r>
      <w:r>
        <w:rPr>
          <w:rFonts w:ascii="Calibri" w:hAnsi="Calibri" w:cs="Calibri"/>
        </w:rPr>
        <w:t>6</w:t>
      </w:r>
      <w:r w:rsidRPr="004C031F">
        <w:rPr>
          <w:rFonts w:ascii="Calibri" w:hAnsi="Calibri" w:cs="Calibri"/>
        </w:rPr>
        <w:t xml:space="preserve">, v případě věcných souvislostí i období </w:t>
      </w:r>
      <w:r w:rsidRPr="00D95701">
        <w:rPr>
          <w:rFonts w:ascii="Calibri" w:hAnsi="Calibri" w:cs="Calibri"/>
        </w:rPr>
        <w:t>předcházející a následující</w:t>
      </w:r>
      <w:r w:rsidRPr="004C031F">
        <w:rPr>
          <w:rFonts w:ascii="Calibri" w:hAnsi="Calibri" w:cs="Calibri"/>
        </w:rPr>
        <w:t xml:space="preserve">. Kontrola byla u kontrolovaných osob </w:t>
      </w:r>
      <w:r w:rsidR="00057447" w:rsidRPr="004C031F">
        <w:rPr>
          <w:rFonts w:ascii="Calibri" w:hAnsi="Calibri" w:cs="Calibri"/>
        </w:rPr>
        <w:t xml:space="preserve">prováděna </w:t>
      </w:r>
      <w:r w:rsidRPr="004C031F">
        <w:rPr>
          <w:rFonts w:ascii="Calibri" w:hAnsi="Calibri" w:cs="Calibri"/>
        </w:rPr>
        <w:t xml:space="preserve">od </w:t>
      </w:r>
      <w:r w:rsidR="00057447">
        <w:rPr>
          <w:rFonts w:ascii="Calibri" w:hAnsi="Calibri" w:cs="Calibri"/>
        </w:rPr>
        <w:t>února</w:t>
      </w:r>
      <w:r>
        <w:rPr>
          <w:rFonts w:ascii="Calibri" w:hAnsi="Calibri" w:cs="Calibri"/>
        </w:rPr>
        <w:t xml:space="preserve"> </w:t>
      </w:r>
      <w:r w:rsidRPr="004C031F">
        <w:rPr>
          <w:rFonts w:ascii="Calibri" w:hAnsi="Calibri" w:cs="Calibri"/>
        </w:rPr>
        <w:t xml:space="preserve">do </w:t>
      </w:r>
      <w:r w:rsidR="007347A4">
        <w:rPr>
          <w:rFonts w:ascii="Calibri" w:hAnsi="Calibri" w:cs="Calibri"/>
        </w:rPr>
        <w:t>srpna</w:t>
      </w:r>
      <w:r>
        <w:rPr>
          <w:rFonts w:ascii="Calibri" w:hAnsi="Calibri" w:cs="Calibri"/>
        </w:rPr>
        <w:t xml:space="preserve"> 2017</w:t>
      </w:r>
      <w:r w:rsidRPr="004C031F">
        <w:rPr>
          <w:rFonts w:ascii="Calibri" w:hAnsi="Calibri" w:cs="Calibri"/>
        </w:rPr>
        <w:t>.</w:t>
      </w:r>
    </w:p>
    <w:p w14:paraId="2502E541" w14:textId="77777777" w:rsidR="00462F78" w:rsidRPr="004C031F" w:rsidRDefault="00462F78" w:rsidP="00462F78">
      <w:pPr>
        <w:pStyle w:val="Zkladn"/>
        <w:spacing w:before="0"/>
        <w:rPr>
          <w:rFonts w:ascii="Calibri" w:hAnsi="Calibri" w:cs="Calibri"/>
        </w:rPr>
      </w:pPr>
    </w:p>
    <w:p w14:paraId="7B21A934" w14:textId="77777777" w:rsidR="00462F78" w:rsidRPr="005D70FF" w:rsidRDefault="00462F78" w:rsidP="00462F78">
      <w:pPr>
        <w:pStyle w:val="Zkladn"/>
        <w:spacing w:before="0"/>
        <w:rPr>
          <w:rFonts w:ascii="Calibri" w:hAnsi="Calibri" w:cs="Calibri"/>
          <w:b/>
        </w:rPr>
      </w:pPr>
      <w:r w:rsidRPr="005D70FF">
        <w:rPr>
          <w:rFonts w:ascii="Calibri" w:hAnsi="Calibri" w:cs="Calibri"/>
          <w:b/>
        </w:rPr>
        <w:t>Kontrolované osoby:</w:t>
      </w:r>
    </w:p>
    <w:p w14:paraId="556531BE" w14:textId="0561F2A2" w:rsidR="007347A4" w:rsidRDefault="00462F78" w:rsidP="00462F78">
      <w:pPr>
        <w:pStyle w:val="Zkladn"/>
        <w:spacing w:before="0"/>
        <w:rPr>
          <w:rFonts w:ascii="Calibri" w:hAnsi="Calibri" w:cs="Calibri"/>
        </w:rPr>
      </w:pPr>
      <w:r w:rsidRPr="00DC6325">
        <w:rPr>
          <w:rFonts w:ascii="Calibri" w:hAnsi="Calibri" w:cs="Calibri"/>
        </w:rPr>
        <w:t xml:space="preserve">Ministerstvo </w:t>
      </w:r>
      <w:r w:rsidR="00C82DF3">
        <w:rPr>
          <w:rFonts w:ascii="Calibri" w:hAnsi="Calibri" w:cs="Calibri"/>
        </w:rPr>
        <w:t>vnitra</w:t>
      </w:r>
      <w:r w:rsidRPr="00DC6325">
        <w:rPr>
          <w:rFonts w:ascii="Calibri" w:hAnsi="Calibri" w:cs="Calibri"/>
        </w:rPr>
        <w:t xml:space="preserve"> (dále také „</w:t>
      </w:r>
      <w:r w:rsidR="007347A4">
        <w:rPr>
          <w:rFonts w:ascii="Calibri" w:hAnsi="Calibri" w:cs="Calibri"/>
        </w:rPr>
        <w:t>MV</w:t>
      </w:r>
      <w:r w:rsidRPr="00DC6325">
        <w:rPr>
          <w:rFonts w:ascii="Calibri" w:hAnsi="Calibri" w:cs="Calibri"/>
        </w:rPr>
        <w:t>“)</w:t>
      </w:r>
      <w:r w:rsidR="0075373E">
        <w:rPr>
          <w:rFonts w:ascii="Calibri" w:hAnsi="Calibri" w:cs="Calibri"/>
        </w:rPr>
        <w:t>;</w:t>
      </w:r>
      <w:r w:rsidR="007347A4">
        <w:rPr>
          <w:rFonts w:ascii="Calibri" w:hAnsi="Calibri" w:cs="Calibri"/>
        </w:rPr>
        <w:t xml:space="preserve"> </w:t>
      </w:r>
      <w:r w:rsidR="007347A4" w:rsidRPr="007347A4">
        <w:rPr>
          <w:rFonts w:ascii="Calibri" w:hAnsi="Calibri" w:cs="Calibri"/>
        </w:rPr>
        <w:t>Krajské ředitelství policie Středočeského kraje</w:t>
      </w:r>
      <w:r w:rsidR="00364B62">
        <w:rPr>
          <w:rFonts w:ascii="Calibri" w:hAnsi="Calibri" w:cs="Calibri"/>
        </w:rPr>
        <w:t>, Praha</w:t>
      </w:r>
      <w:r w:rsidR="0075373E">
        <w:rPr>
          <w:rFonts w:ascii="Calibri" w:hAnsi="Calibri" w:cs="Calibri"/>
        </w:rPr>
        <w:t>;</w:t>
      </w:r>
      <w:r w:rsidR="00364B62">
        <w:rPr>
          <w:rFonts w:ascii="Calibri" w:hAnsi="Calibri" w:cs="Calibri"/>
        </w:rPr>
        <w:t xml:space="preserve"> </w:t>
      </w:r>
      <w:r w:rsidR="007347A4">
        <w:rPr>
          <w:rFonts w:asciiTheme="minorHAnsi" w:hAnsiTheme="minorHAnsi" w:cstheme="minorHAnsi"/>
        </w:rPr>
        <w:t>Krajské ředitelství policie Jihočeského kraje</w:t>
      </w:r>
      <w:r w:rsidR="00364B62">
        <w:rPr>
          <w:rFonts w:asciiTheme="minorHAnsi" w:hAnsiTheme="minorHAnsi" w:cstheme="minorHAnsi"/>
        </w:rPr>
        <w:t>, České Budějovice</w:t>
      </w:r>
      <w:r w:rsidR="007347A4">
        <w:rPr>
          <w:rFonts w:asciiTheme="minorHAnsi" w:hAnsiTheme="minorHAnsi" w:cstheme="minorHAnsi"/>
        </w:rPr>
        <w:t>.</w:t>
      </w:r>
    </w:p>
    <w:p w14:paraId="2632179F" w14:textId="77777777" w:rsidR="007347A4" w:rsidRDefault="007347A4" w:rsidP="00462F78">
      <w:pPr>
        <w:pStyle w:val="Zkladn"/>
        <w:spacing w:before="0"/>
        <w:rPr>
          <w:rFonts w:ascii="Calibri" w:hAnsi="Calibri" w:cs="Calibri"/>
        </w:rPr>
      </w:pPr>
    </w:p>
    <w:p w14:paraId="6AC1012E" w14:textId="77777777" w:rsidR="00462F78" w:rsidRPr="00FF31C7" w:rsidRDefault="00462F78" w:rsidP="00462F78">
      <w:pPr>
        <w:pStyle w:val="Zkladn"/>
        <w:spacing w:before="0"/>
        <w:rPr>
          <w:rFonts w:asciiTheme="minorHAnsi" w:hAnsiTheme="minorHAnsi" w:cs="Calibri"/>
        </w:rPr>
      </w:pPr>
      <w:r w:rsidRPr="00C82DF3">
        <w:rPr>
          <w:rFonts w:asciiTheme="minorHAnsi" w:hAnsiTheme="minorHAnsi" w:cs="Calibri"/>
        </w:rPr>
        <w:t>Námitky proti kontrolním protokolům nebyly podány.</w:t>
      </w:r>
      <w:r w:rsidRPr="00FF165C">
        <w:rPr>
          <w:rFonts w:asciiTheme="minorHAnsi" w:hAnsiTheme="minorHAnsi" w:cs="Calibri"/>
        </w:rPr>
        <w:t xml:space="preserve"> </w:t>
      </w:r>
    </w:p>
    <w:p w14:paraId="09573A6D" w14:textId="77777777" w:rsidR="00462F78" w:rsidRDefault="00462F78" w:rsidP="00462F78">
      <w:pPr>
        <w:ind w:right="70"/>
        <w:jc w:val="both"/>
        <w:rPr>
          <w:rFonts w:ascii="Calibri" w:hAnsi="Calibri" w:cs="Calibri"/>
        </w:rPr>
      </w:pPr>
    </w:p>
    <w:p w14:paraId="72690C9C" w14:textId="77777777" w:rsidR="00462F78" w:rsidRPr="004C031F" w:rsidRDefault="00462F78" w:rsidP="00462F78">
      <w:pPr>
        <w:ind w:right="70"/>
        <w:jc w:val="both"/>
        <w:rPr>
          <w:rFonts w:ascii="Calibri" w:hAnsi="Calibri" w:cs="Calibri"/>
        </w:rPr>
      </w:pPr>
    </w:p>
    <w:p w14:paraId="4315B289" w14:textId="28003F6A" w:rsidR="00462F78" w:rsidRPr="00CE38CD" w:rsidRDefault="00462F78" w:rsidP="00462F78">
      <w:pPr>
        <w:ind w:right="70"/>
        <w:jc w:val="both"/>
        <w:rPr>
          <w:rFonts w:ascii="Calibri" w:hAnsi="Calibri" w:cs="Calibri"/>
        </w:rPr>
      </w:pPr>
      <w:r w:rsidRPr="007F11AF">
        <w:rPr>
          <w:rFonts w:ascii="Calibri" w:hAnsi="Calibri" w:cs="Calibri"/>
          <w:b/>
          <w:bCs/>
          <w:i/>
          <w:iCs/>
        </w:rPr>
        <w:t>K o l e g i u m</w:t>
      </w:r>
      <w:r w:rsidRPr="007F11AF">
        <w:rPr>
          <w:rFonts w:ascii="Calibri" w:hAnsi="Calibri" w:cs="Calibri"/>
        </w:rPr>
        <w:t xml:space="preserve">   </w:t>
      </w:r>
      <w:r w:rsidRPr="007F11AF">
        <w:rPr>
          <w:rFonts w:ascii="Calibri" w:hAnsi="Calibri" w:cs="Calibri"/>
          <w:b/>
          <w:bCs/>
          <w:i/>
          <w:iCs/>
        </w:rPr>
        <w:t xml:space="preserve">N K Ú  </w:t>
      </w:r>
      <w:r w:rsidRPr="007F11AF">
        <w:rPr>
          <w:rFonts w:ascii="Calibri" w:hAnsi="Calibri" w:cs="Calibri"/>
          <w:b/>
          <w:bCs/>
          <w:iCs/>
        </w:rPr>
        <w:t xml:space="preserve"> </w:t>
      </w:r>
      <w:r w:rsidRPr="007F11AF">
        <w:rPr>
          <w:rFonts w:ascii="Calibri" w:hAnsi="Calibri" w:cs="Calibri"/>
        </w:rPr>
        <w:t xml:space="preserve">na svém </w:t>
      </w:r>
      <w:r w:rsidR="0014296D">
        <w:rPr>
          <w:rFonts w:ascii="Calibri" w:hAnsi="Calibri" w:cs="Calibri"/>
        </w:rPr>
        <w:t>XVI.</w:t>
      </w:r>
      <w:r>
        <w:rPr>
          <w:rFonts w:ascii="Calibri" w:hAnsi="Calibri" w:cs="Calibri"/>
        </w:rPr>
        <w:t xml:space="preserve"> </w:t>
      </w:r>
      <w:r w:rsidRPr="007F11AF">
        <w:rPr>
          <w:rFonts w:ascii="Calibri" w:hAnsi="Calibri" w:cs="Calibri"/>
        </w:rPr>
        <w:t xml:space="preserve">jednání, které se konalo </w:t>
      </w:r>
      <w:r w:rsidRPr="00CE38CD">
        <w:rPr>
          <w:rFonts w:ascii="Calibri" w:hAnsi="Calibri" w:cs="Calibri"/>
        </w:rPr>
        <w:t xml:space="preserve">dne </w:t>
      </w:r>
      <w:r w:rsidR="0014296D">
        <w:rPr>
          <w:rFonts w:ascii="Calibri" w:hAnsi="Calibri" w:cs="Calibri"/>
        </w:rPr>
        <w:t>13. listopadu</w:t>
      </w:r>
      <w:r w:rsidRPr="00CE38CD">
        <w:rPr>
          <w:rFonts w:ascii="Calibri" w:hAnsi="Calibri" w:cs="Calibri"/>
        </w:rPr>
        <w:t xml:space="preserve"> 2017, </w:t>
      </w:r>
    </w:p>
    <w:p w14:paraId="326F00F8" w14:textId="080678C1" w:rsidR="00462F78" w:rsidRPr="007F11AF" w:rsidRDefault="00462F78" w:rsidP="00462F78">
      <w:pPr>
        <w:ind w:right="68"/>
        <w:jc w:val="both"/>
        <w:rPr>
          <w:rFonts w:ascii="Calibri" w:hAnsi="Calibri" w:cs="Calibri"/>
        </w:rPr>
      </w:pPr>
      <w:proofErr w:type="gramStart"/>
      <w:r w:rsidRPr="00CE38CD">
        <w:rPr>
          <w:rFonts w:ascii="Calibri" w:hAnsi="Calibri" w:cs="Calibri"/>
          <w:b/>
          <w:bCs/>
          <w:i/>
          <w:iCs/>
        </w:rPr>
        <w:t>s c h v á l i l o</w:t>
      </w:r>
      <w:r w:rsidRPr="00CE38CD">
        <w:rPr>
          <w:rFonts w:ascii="Calibri" w:hAnsi="Calibri" w:cs="Calibri"/>
        </w:rPr>
        <w:t xml:space="preserve">   usnesením č.</w:t>
      </w:r>
      <w:proofErr w:type="gramEnd"/>
      <w:r w:rsidRPr="00CE38CD">
        <w:rPr>
          <w:rFonts w:ascii="Calibri" w:hAnsi="Calibri" w:cs="Calibri"/>
        </w:rPr>
        <w:t xml:space="preserve"> </w:t>
      </w:r>
      <w:r w:rsidR="002C0C75">
        <w:rPr>
          <w:rFonts w:ascii="Calibri" w:hAnsi="Calibri" w:cs="Calibri"/>
        </w:rPr>
        <w:t>7</w:t>
      </w:r>
      <w:r>
        <w:rPr>
          <w:rFonts w:ascii="Calibri" w:hAnsi="Calibri" w:cs="Calibri"/>
        </w:rPr>
        <w:t>/</w:t>
      </w:r>
      <w:r w:rsidR="0014296D">
        <w:rPr>
          <w:rFonts w:ascii="Calibri" w:hAnsi="Calibri" w:cs="Calibri"/>
        </w:rPr>
        <w:t>XVI</w:t>
      </w:r>
      <w:r>
        <w:rPr>
          <w:rFonts w:ascii="Calibri" w:hAnsi="Calibri" w:cs="Calibri"/>
        </w:rPr>
        <w:t>/2017</w:t>
      </w:r>
      <w:r w:rsidRPr="007F11AF">
        <w:rPr>
          <w:rFonts w:ascii="Calibri" w:hAnsi="Calibri" w:cs="Calibri"/>
        </w:rPr>
        <w:t xml:space="preserve"> </w:t>
      </w:r>
    </w:p>
    <w:p w14:paraId="678503B5" w14:textId="77777777" w:rsidR="00462F78" w:rsidRDefault="00462F78" w:rsidP="00462F78">
      <w:pPr>
        <w:ind w:right="70"/>
        <w:jc w:val="both"/>
        <w:rPr>
          <w:rFonts w:ascii="Calibri" w:hAnsi="Calibri" w:cs="Calibri"/>
        </w:rPr>
      </w:pPr>
      <w:r w:rsidRPr="004C031F">
        <w:rPr>
          <w:rFonts w:ascii="Calibri" w:hAnsi="Calibri" w:cs="Calibri"/>
          <w:b/>
          <w:bCs/>
          <w:i/>
          <w:iCs/>
        </w:rPr>
        <w:t>k o n t r o l n í   z á v ě r</w:t>
      </w:r>
      <w:r w:rsidRPr="004C031F">
        <w:rPr>
          <w:rFonts w:ascii="Calibri" w:hAnsi="Calibri" w:cs="Calibri"/>
        </w:rPr>
        <w:t xml:space="preserve">   v tomto znění:</w:t>
      </w:r>
    </w:p>
    <w:p w14:paraId="74EC19E2" w14:textId="77777777" w:rsidR="00462F78" w:rsidRDefault="00462F78" w:rsidP="00462F78">
      <w:pPr>
        <w:ind w:right="70"/>
        <w:jc w:val="both"/>
        <w:rPr>
          <w:rFonts w:ascii="Calibri" w:hAnsi="Calibri" w:cs="Calibri"/>
        </w:rPr>
      </w:pPr>
    </w:p>
    <w:p w14:paraId="20A9D8DB" w14:textId="77777777" w:rsidR="00462F78" w:rsidRPr="004C031F" w:rsidRDefault="00462F78" w:rsidP="00462F78">
      <w:pPr>
        <w:ind w:right="70"/>
        <w:jc w:val="both"/>
        <w:rPr>
          <w:rFonts w:ascii="Calibri" w:hAnsi="Calibri" w:cs="Calibri"/>
        </w:rPr>
      </w:pPr>
    </w:p>
    <w:p w14:paraId="2EF116D0" w14:textId="3311880E" w:rsidR="00AD72F1" w:rsidRDefault="00462F78" w:rsidP="005740C8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  <w:r w:rsidR="00AD72F1" w:rsidRPr="00AD72F1">
        <w:rPr>
          <w:rFonts w:ascii="Calibri" w:hAnsi="Calibri" w:cs="Calibri"/>
          <w:b/>
          <w:sz w:val="28"/>
          <w:szCs w:val="28"/>
        </w:rPr>
        <w:lastRenderedPageBreak/>
        <w:t>Klíčová fakta</w:t>
      </w:r>
    </w:p>
    <w:p w14:paraId="542BA963" w14:textId="18C9FE75" w:rsidR="00BC753A" w:rsidRDefault="00BC753A" w:rsidP="001554E2">
      <w:pPr>
        <w:spacing w:after="120"/>
        <w:rPr>
          <w:rFonts w:ascii="Calibri" w:hAnsi="Calibri" w:cs="Calibri"/>
          <w:b/>
          <w:sz w:val="28"/>
          <w:szCs w:val="28"/>
        </w:rPr>
      </w:pPr>
    </w:p>
    <w:p w14:paraId="1833932E" w14:textId="77777777" w:rsidR="00906E8A" w:rsidRPr="00AD72F1" w:rsidRDefault="00906E8A" w:rsidP="001554E2">
      <w:pPr>
        <w:spacing w:after="120"/>
        <w:rPr>
          <w:rFonts w:ascii="Calibri" w:hAnsi="Calibri" w:cs="Calibri"/>
          <w:b/>
          <w:sz w:val="28"/>
          <w:szCs w:val="28"/>
        </w:rPr>
      </w:pPr>
    </w:p>
    <w:tbl>
      <w:tblPr>
        <w:tblW w:w="10919" w:type="dxa"/>
        <w:jc w:val="center"/>
        <w:tblLayout w:type="fixed"/>
        <w:tblLook w:val="0000" w:firstRow="0" w:lastRow="0" w:firstColumn="0" w:lastColumn="0" w:noHBand="0" w:noVBand="0"/>
      </w:tblPr>
      <w:tblGrid>
        <w:gridCol w:w="5245"/>
        <w:gridCol w:w="5674"/>
      </w:tblGrid>
      <w:tr w:rsidR="00AD72F1" w:rsidRPr="00AD72F1" w14:paraId="6F87FA9A" w14:textId="77777777" w:rsidTr="00BC753A">
        <w:trPr>
          <w:trHeight w:val="263"/>
          <w:jc w:val="center"/>
        </w:trPr>
        <w:tc>
          <w:tcPr>
            <w:tcW w:w="5245" w:type="dxa"/>
            <w:vAlign w:val="center"/>
          </w:tcPr>
          <w:p w14:paraId="1A06764C" w14:textId="77777777" w:rsidR="00AD72F1" w:rsidRDefault="00AD72F1" w:rsidP="00BC753A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AD72F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5,8 mld. Kč</w:t>
            </w:r>
          </w:p>
          <w:p w14:paraId="7204E773" w14:textId="48EF290B" w:rsidR="00906E8A" w:rsidRPr="00AD72F1" w:rsidRDefault="00906E8A" w:rsidP="00BC753A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Calibri" w:hAnsi="Calibri" w:cs="Calibri"/>
                <w:color w:val="000000"/>
                <w:sz w:val="34"/>
                <w:szCs w:val="34"/>
              </w:rPr>
            </w:pPr>
          </w:p>
        </w:tc>
        <w:tc>
          <w:tcPr>
            <w:tcW w:w="5674" w:type="dxa"/>
            <w:vAlign w:val="center"/>
          </w:tcPr>
          <w:p w14:paraId="122D5138" w14:textId="654A70F9" w:rsidR="00AD72F1" w:rsidRDefault="00BA2F24" w:rsidP="002C0C7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Výše</w:t>
            </w:r>
            <w:r w:rsidR="00AD72F1"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 prostřed</w:t>
            </w:r>
            <w:r w:rsidR="003E2E16"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ků poskytnutých na </w:t>
            </w:r>
            <w:r w:rsidR="00AD72F1"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kontrolované programy </w:t>
            </w:r>
            <w:r w:rsidR="00517AF2" w:rsidRPr="00BA2F24">
              <w:rPr>
                <w:rFonts w:ascii="Calibri" w:hAnsi="Calibri" w:cs="Calibri"/>
                <w:b/>
                <w:sz w:val="21"/>
                <w:szCs w:val="21"/>
              </w:rPr>
              <w:t>Policie</w:t>
            </w:r>
            <w:r w:rsidR="00AD72F1"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 v období </w:t>
            </w:r>
            <w:r w:rsidR="00923C3B"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let </w:t>
            </w:r>
            <w:r w:rsidR="00AD72F1" w:rsidRPr="00BA2F24">
              <w:rPr>
                <w:rFonts w:ascii="Calibri" w:hAnsi="Calibri" w:cs="Calibri"/>
                <w:b/>
                <w:sz w:val="21"/>
                <w:szCs w:val="21"/>
              </w:rPr>
              <w:t>2012 až 2016</w:t>
            </w:r>
            <w:r w:rsidR="007D2D6E" w:rsidRPr="00F50A0D">
              <w:rPr>
                <w:rFonts w:ascii="Calibri" w:hAnsi="Calibri" w:cs="Calibri"/>
                <w:b/>
                <w:sz w:val="21"/>
                <w:szCs w:val="21"/>
              </w:rPr>
              <w:t>.</w:t>
            </w:r>
            <w:r w:rsidR="00550FC6">
              <w:rPr>
                <w:rFonts w:ascii="Calibri" w:hAnsi="Calibri" w:cs="Calibri"/>
                <w:sz w:val="21"/>
                <w:szCs w:val="21"/>
              </w:rPr>
              <w:t xml:space="preserve"> D</w:t>
            </w:r>
            <w:r w:rsidR="00625C93">
              <w:rPr>
                <w:rFonts w:ascii="Calibri" w:hAnsi="Calibri" w:cs="Calibri"/>
                <w:sz w:val="21"/>
                <w:szCs w:val="21"/>
              </w:rPr>
              <w:t>o</w:t>
            </w:r>
            <w:r w:rsidR="00923C3B">
              <w:rPr>
                <w:rFonts w:ascii="Calibri" w:hAnsi="Calibri" w:cs="Calibri"/>
                <w:sz w:val="21"/>
                <w:szCs w:val="21"/>
              </w:rPr>
              <w:t xml:space="preserve"> června roku 2017 </w:t>
            </w:r>
            <w:r w:rsidR="002C0C75">
              <w:rPr>
                <w:rFonts w:ascii="Calibri" w:hAnsi="Calibri" w:cs="Calibri"/>
                <w:sz w:val="21"/>
                <w:szCs w:val="21"/>
              </w:rPr>
              <w:t xml:space="preserve">neexistovaly </w:t>
            </w:r>
            <w:r w:rsidR="00A857A6" w:rsidRPr="00C34B10">
              <w:rPr>
                <w:rFonts w:ascii="Calibri" w:hAnsi="Calibri" w:cs="Calibri"/>
                <w:sz w:val="21"/>
                <w:szCs w:val="21"/>
              </w:rPr>
              <w:t>koncepční dokumenty</w:t>
            </w:r>
            <w:r w:rsidR="000A0884">
              <w:rPr>
                <w:rFonts w:ascii="Calibri" w:hAnsi="Calibri" w:cs="Calibri"/>
                <w:sz w:val="21"/>
                <w:szCs w:val="21"/>
              </w:rPr>
              <w:t xml:space="preserve"> stanovující</w:t>
            </w:r>
            <w:r w:rsidR="00A857A6" w:rsidRPr="00C34B10">
              <w:rPr>
                <w:rFonts w:ascii="Calibri" w:hAnsi="Calibri" w:cs="Calibri"/>
                <w:sz w:val="21"/>
                <w:szCs w:val="21"/>
              </w:rPr>
              <w:t xml:space="preserve"> potřeby</w:t>
            </w:r>
            <w:r w:rsidR="002C0C75">
              <w:rPr>
                <w:rFonts w:ascii="Calibri" w:hAnsi="Calibri" w:cs="Calibri"/>
                <w:sz w:val="21"/>
                <w:szCs w:val="21"/>
              </w:rPr>
              <w:t xml:space="preserve"> Policie</w:t>
            </w:r>
            <w:r w:rsidR="00A857A6" w:rsidRPr="00C34B10">
              <w:rPr>
                <w:rFonts w:ascii="Calibri" w:hAnsi="Calibri" w:cs="Calibri"/>
                <w:sz w:val="21"/>
                <w:szCs w:val="21"/>
              </w:rPr>
              <w:t>.</w:t>
            </w:r>
            <w:r w:rsidR="00C34B1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550FC6">
              <w:rPr>
                <w:rFonts w:ascii="Calibri" w:hAnsi="Calibri" w:cs="Calibri"/>
                <w:sz w:val="21"/>
                <w:szCs w:val="21"/>
              </w:rPr>
              <w:t>V</w:t>
            </w:r>
            <w:r w:rsidR="002C0C75">
              <w:rPr>
                <w:rFonts w:ascii="Calibri" w:hAnsi="Calibri" w:cs="Calibri"/>
                <w:sz w:val="21"/>
                <w:szCs w:val="21"/>
              </w:rPr>
              <w:t> </w:t>
            </w:r>
            <w:r w:rsidR="00F5766E">
              <w:rPr>
                <w:rFonts w:ascii="Calibri" w:hAnsi="Calibri" w:cs="Calibri"/>
                <w:sz w:val="21"/>
                <w:szCs w:val="21"/>
              </w:rPr>
              <w:t xml:space="preserve">současné době </w:t>
            </w:r>
            <w:r w:rsidR="00F5766E" w:rsidRPr="00C34B10">
              <w:rPr>
                <w:rFonts w:ascii="Calibri" w:hAnsi="Calibri" w:cs="Calibri"/>
                <w:sz w:val="21"/>
                <w:szCs w:val="21"/>
              </w:rPr>
              <w:t>znesnadňuje naplňování cílů programů</w:t>
            </w:r>
            <w:r w:rsidR="00F5766E">
              <w:rPr>
                <w:rFonts w:ascii="Calibri" w:hAnsi="Calibri" w:cs="Calibri"/>
                <w:sz w:val="21"/>
                <w:szCs w:val="21"/>
              </w:rPr>
              <w:t xml:space="preserve"> především n</w:t>
            </w:r>
            <w:r w:rsidR="00C34B10" w:rsidRPr="00C34B10">
              <w:rPr>
                <w:rFonts w:ascii="Calibri" w:hAnsi="Calibri" w:cs="Calibri"/>
                <w:sz w:val="21"/>
                <w:szCs w:val="21"/>
              </w:rPr>
              <w:t>eexistence jednotné systemizace a standardizace majetku.</w:t>
            </w:r>
          </w:p>
          <w:p w14:paraId="0482DF14" w14:textId="77777777" w:rsidR="00906E8A" w:rsidRDefault="00906E8A" w:rsidP="002C0C7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1302854" w14:textId="422E47BC" w:rsidR="00906E8A" w:rsidRPr="00F5766E" w:rsidRDefault="00906E8A" w:rsidP="002C0C7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D72F1" w:rsidRPr="00AD72F1" w14:paraId="5D758C71" w14:textId="77777777" w:rsidTr="00FC196E">
        <w:trPr>
          <w:trHeight w:val="263"/>
          <w:jc w:val="center"/>
        </w:trPr>
        <w:tc>
          <w:tcPr>
            <w:tcW w:w="5245" w:type="dxa"/>
            <w:vAlign w:val="center"/>
          </w:tcPr>
          <w:p w14:paraId="4EA5C8DA" w14:textId="77777777" w:rsidR="00AD72F1" w:rsidRPr="00D96D76" w:rsidRDefault="00AD72F1" w:rsidP="00D96D76">
            <w:pPr>
              <w:autoSpaceDE w:val="0"/>
              <w:autoSpaceDN w:val="0"/>
              <w:adjustRightInd w:val="0"/>
              <w:spacing w:line="211" w:lineRule="atLeast"/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 w:rsidRPr="00AD72F1">
              <w:rPr>
                <w:rFonts w:ascii="Calibri" w:hAnsi="Calibri" w:cs="Calibri"/>
                <w:b/>
                <w:bCs/>
                <w:noProof/>
                <w:color w:val="000000"/>
                <w:sz w:val="34"/>
                <w:szCs w:val="34"/>
              </w:rPr>
              <w:drawing>
                <wp:inline distT="0" distB="0" distL="0" distR="0" wp14:anchorId="3EDFAA40" wp14:editId="473230AC">
                  <wp:extent cx="2992582" cy="1668173"/>
                  <wp:effectExtent l="0" t="0" r="0" b="8255"/>
                  <wp:docPr id="5" name="Obrázek 5" descr="H:\MINISTERSTVO VNITRA\Kontrola_17_07\ZÁVĚR\Graf_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MINISTERSTVO VNITRA\Kontrola_17_07\ZÁVĚR\Graf_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727" cy="167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vAlign w:val="center"/>
          </w:tcPr>
          <w:p w14:paraId="4917240B" w14:textId="77777777" w:rsidR="00DD68EF" w:rsidRDefault="00593172" w:rsidP="002F7495">
            <w:pPr>
              <w:autoSpaceDE w:val="0"/>
              <w:autoSpaceDN w:val="0"/>
              <w:adjustRightInd w:val="0"/>
              <w:spacing w:after="120" w:line="211" w:lineRule="atLeast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Překryv </w:t>
            </w:r>
            <w:r w:rsidR="00AB40C3"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kontrolovaných </w:t>
            </w:r>
            <w:r w:rsidRPr="00BA2F24">
              <w:rPr>
                <w:rFonts w:ascii="Calibri" w:hAnsi="Calibri" w:cs="Calibri"/>
                <w:b/>
                <w:sz w:val="21"/>
                <w:szCs w:val="21"/>
              </w:rPr>
              <w:t>p</w:t>
            </w:r>
            <w:r w:rsidR="00AD72F1" w:rsidRPr="00BA2F24">
              <w:rPr>
                <w:rFonts w:ascii="Calibri" w:hAnsi="Calibri" w:cs="Calibri"/>
                <w:b/>
                <w:sz w:val="21"/>
                <w:szCs w:val="21"/>
              </w:rPr>
              <w:t>rogram</w:t>
            </w:r>
            <w:r w:rsidRPr="00BA2F24">
              <w:rPr>
                <w:rFonts w:ascii="Calibri" w:hAnsi="Calibri" w:cs="Calibri"/>
                <w:b/>
                <w:sz w:val="21"/>
                <w:szCs w:val="21"/>
              </w:rPr>
              <w:t>ů</w:t>
            </w:r>
            <w:r w:rsidR="00BC7DA1"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 Policie</w:t>
            </w:r>
            <w:r w:rsidR="00AD72F1"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 a jejich prodlužování</w:t>
            </w:r>
            <w:r w:rsidR="002F7495" w:rsidRPr="00BA2F24">
              <w:rPr>
                <w:rFonts w:ascii="Calibri" w:hAnsi="Calibri" w:cs="Calibri"/>
                <w:b/>
                <w:sz w:val="21"/>
                <w:szCs w:val="21"/>
              </w:rPr>
              <w:t>.</w:t>
            </w:r>
            <w:r w:rsidR="002F7495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DD68EF">
              <w:rPr>
                <w:rFonts w:ascii="Calibri" w:hAnsi="Calibri" w:cs="Calibri"/>
                <w:sz w:val="21"/>
                <w:szCs w:val="21"/>
              </w:rPr>
              <w:t xml:space="preserve">MV </w:t>
            </w:r>
            <w:r w:rsidR="00625C93">
              <w:rPr>
                <w:rFonts w:ascii="Calibri" w:hAnsi="Calibri" w:cs="Calibri"/>
                <w:sz w:val="21"/>
                <w:szCs w:val="21"/>
              </w:rPr>
              <w:t>financovalo rozvoj a obnovu majetku Policie</w:t>
            </w:r>
            <w:r w:rsidR="00DD68EF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DD68EF" w:rsidRPr="002F7495">
              <w:rPr>
                <w:rFonts w:ascii="Calibri" w:hAnsi="Calibri" w:cs="Calibri"/>
                <w:sz w:val="21"/>
                <w:szCs w:val="21"/>
              </w:rPr>
              <w:t>v rámci sedmi programů s</w:t>
            </w:r>
            <w:r w:rsidR="00A30D5B">
              <w:rPr>
                <w:rFonts w:ascii="Calibri" w:hAnsi="Calibri" w:cs="Calibri"/>
                <w:sz w:val="21"/>
                <w:szCs w:val="21"/>
              </w:rPr>
              <w:t> </w:t>
            </w:r>
            <w:r w:rsidR="00DD68EF" w:rsidRPr="002F7495">
              <w:rPr>
                <w:rFonts w:ascii="Calibri" w:hAnsi="Calibri" w:cs="Calibri"/>
                <w:sz w:val="21"/>
                <w:szCs w:val="21"/>
              </w:rPr>
              <w:t>obdobným věcným zaměřením</w:t>
            </w:r>
            <w:r w:rsidR="00DD68EF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17CE9377" w14:textId="77777777" w:rsidR="00AD72F1" w:rsidRPr="00AD72F1" w:rsidRDefault="00AD72F1" w:rsidP="00394AA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D72F1">
              <w:rPr>
                <w:rFonts w:cs="Calibri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BFA3A9" wp14:editId="21F638B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22225</wp:posOffset>
                      </wp:positionV>
                      <wp:extent cx="255270" cy="117475"/>
                      <wp:effectExtent l="0" t="0" r="11430" b="15875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11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B70B5D" id="Obdélník 6" o:spid="_x0000_s1026" style="position:absolute;margin-left:1.25pt;margin-top:1.75pt;width:20.1pt;height: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" fillcolor="#9dc3e6" strokecolor="window" strokeweight="1pt"/>
                  </w:pict>
                </mc:Fallback>
              </mc:AlternateContent>
            </w:r>
            <w:r w:rsidRPr="00AD72F1">
              <w:t xml:space="preserve">       </w:t>
            </w:r>
            <w:r w:rsidRPr="00AD72F1">
              <w:rPr>
                <w:rFonts w:ascii="Calibri" w:hAnsi="Calibri" w:cs="Calibri"/>
                <w:sz w:val="20"/>
                <w:szCs w:val="20"/>
              </w:rPr>
              <w:t>Aktualizace programu (prodloužení)</w:t>
            </w:r>
          </w:p>
          <w:p w14:paraId="6AFBEB0F" w14:textId="77777777" w:rsidR="00AD72F1" w:rsidRPr="00AD72F1" w:rsidRDefault="00AD72F1" w:rsidP="00394AA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D72F1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EA0E9B" wp14:editId="173F398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22860</wp:posOffset>
                      </wp:positionV>
                      <wp:extent cx="250825" cy="114300"/>
                      <wp:effectExtent l="0" t="0" r="15875" b="1905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6A3BD7" id="Obdélník 7" o:spid="_x0000_s1026" style="position:absolute;margin-left:1.7pt;margin-top:1.8pt;width:19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" fillcolor="#2f5597" strokecolor="window" strokeweight="1pt"/>
                  </w:pict>
                </mc:Fallback>
              </mc:AlternateContent>
            </w:r>
            <w:r w:rsidRPr="00AD72F1">
              <w:rPr>
                <w:rFonts w:ascii="Calibri" w:hAnsi="Calibri" w:cs="Calibri"/>
                <w:sz w:val="20"/>
                <w:szCs w:val="20"/>
              </w:rPr>
              <w:t xml:space="preserve">          Realizace dle </w:t>
            </w:r>
            <w:r w:rsidR="00F22C31">
              <w:rPr>
                <w:rFonts w:ascii="Calibri" w:hAnsi="Calibri" w:cs="Calibri"/>
                <w:sz w:val="20"/>
                <w:szCs w:val="20"/>
              </w:rPr>
              <w:t xml:space="preserve">dokumentace </w:t>
            </w:r>
            <w:r w:rsidR="00394AAC">
              <w:rPr>
                <w:rFonts w:ascii="Calibri" w:hAnsi="Calibri" w:cs="Calibri"/>
                <w:sz w:val="20"/>
                <w:szCs w:val="20"/>
              </w:rPr>
              <w:t>p</w:t>
            </w:r>
            <w:r w:rsidR="00F22C31">
              <w:rPr>
                <w:rFonts w:ascii="Calibri" w:hAnsi="Calibri" w:cs="Calibri"/>
                <w:sz w:val="20"/>
                <w:szCs w:val="20"/>
              </w:rPr>
              <w:t>rogramu</w:t>
            </w:r>
            <w:r w:rsidRPr="00AD72F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AD72F1" w:rsidRPr="00AD72F1" w14:paraId="03A0AB98" w14:textId="77777777" w:rsidTr="00FC196E">
        <w:tblPrEx>
          <w:tblCellMar>
            <w:left w:w="70" w:type="dxa"/>
            <w:right w:w="70" w:type="dxa"/>
          </w:tblCellMar>
        </w:tblPrEx>
        <w:trPr>
          <w:trHeight w:val="263"/>
          <w:jc w:val="center"/>
        </w:trPr>
        <w:tc>
          <w:tcPr>
            <w:tcW w:w="5245" w:type="dxa"/>
            <w:vAlign w:val="center"/>
          </w:tcPr>
          <w:p w14:paraId="0B6F54BF" w14:textId="5AA4B5FF" w:rsidR="00906E8A" w:rsidRDefault="00906E8A" w:rsidP="00D96D76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  <w:p w14:paraId="7BE6EA33" w14:textId="2E7B6F78" w:rsidR="00906E8A" w:rsidRDefault="00906E8A" w:rsidP="00D96D76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  <w:p w14:paraId="5070109B" w14:textId="77777777" w:rsidR="00906E8A" w:rsidRDefault="00906E8A" w:rsidP="00D96D76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  <w:p w14:paraId="0199BDC5" w14:textId="08814C1A" w:rsidR="00ED0125" w:rsidRPr="00D96D76" w:rsidRDefault="00A30D5B" w:rsidP="00D96D76">
            <w:pPr>
              <w:autoSpaceDE w:val="0"/>
              <w:autoSpaceDN w:val="0"/>
              <w:adjustRightInd w:val="0"/>
              <w:spacing w:line="0" w:lineRule="atLeast"/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  <w:sz w:val="34"/>
                <w:szCs w:val="34"/>
              </w:rPr>
              <w:drawing>
                <wp:inline distT="0" distB="0" distL="0" distR="0" wp14:anchorId="6F8E0AF6" wp14:editId="5C232F03">
                  <wp:extent cx="2982666" cy="1634290"/>
                  <wp:effectExtent l="0" t="0" r="8255" b="444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666" cy="1634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vAlign w:val="center"/>
          </w:tcPr>
          <w:p w14:paraId="0211E591" w14:textId="0BED5F6D" w:rsidR="00AD72F1" w:rsidRPr="00DD68EF" w:rsidRDefault="00DD68EF" w:rsidP="0075373E">
            <w:pPr>
              <w:autoSpaceDE w:val="0"/>
              <w:autoSpaceDN w:val="0"/>
              <w:adjustRightInd w:val="0"/>
              <w:spacing w:line="211" w:lineRule="atLeast"/>
              <w:ind w:left="77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A2F24">
              <w:rPr>
                <w:rFonts w:ascii="Calibri" w:hAnsi="Calibri" w:cs="Calibri"/>
                <w:b/>
                <w:sz w:val="21"/>
                <w:szCs w:val="21"/>
              </w:rPr>
              <w:t>Podíl</w:t>
            </w:r>
            <w:r w:rsidR="0075373E">
              <w:rPr>
                <w:rFonts w:ascii="Calibri" w:hAnsi="Calibri" w:cs="Calibri"/>
                <w:b/>
                <w:sz w:val="21"/>
                <w:szCs w:val="21"/>
              </w:rPr>
              <w:t>y</w:t>
            </w:r>
            <w:r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625C93" w:rsidRPr="00BA2F24">
              <w:rPr>
                <w:rFonts w:ascii="Calibri" w:hAnsi="Calibri" w:cs="Calibri"/>
                <w:b/>
                <w:sz w:val="21"/>
                <w:szCs w:val="21"/>
              </w:rPr>
              <w:t>jednotlivých</w:t>
            </w:r>
            <w:r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BC7DA1"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druhů majetku </w:t>
            </w:r>
            <w:r w:rsidRPr="00BA2F24">
              <w:rPr>
                <w:rFonts w:ascii="Calibri" w:hAnsi="Calibri" w:cs="Calibri"/>
                <w:b/>
                <w:sz w:val="21"/>
                <w:szCs w:val="21"/>
              </w:rPr>
              <w:t>financovan</w:t>
            </w:r>
            <w:r w:rsidR="0075373E">
              <w:rPr>
                <w:rFonts w:ascii="Calibri" w:hAnsi="Calibri" w:cs="Calibri"/>
                <w:b/>
                <w:sz w:val="21"/>
                <w:szCs w:val="21"/>
              </w:rPr>
              <w:t>ého</w:t>
            </w:r>
            <w:r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AB40C3"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z kontrolovaných </w:t>
            </w:r>
            <w:r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programů </w:t>
            </w:r>
            <w:r w:rsidR="00BC7DA1"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Policie </w:t>
            </w:r>
            <w:r w:rsidRPr="00BA2F24">
              <w:rPr>
                <w:rFonts w:ascii="Calibri" w:hAnsi="Calibri" w:cs="Calibri"/>
                <w:b/>
                <w:sz w:val="21"/>
                <w:szCs w:val="21"/>
              </w:rPr>
              <w:t>v letech 2012 až 2016</w:t>
            </w:r>
            <w:r w:rsidR="00A724E1">
              <w:rPr>
                <w:rFonts w:ascii="Calibri" w:hAnsi="Calibri" w:cs="Calibri"/>
                <w:sz w:val="21"/>
                <w:szCs w:val="21"/>
              </w:rPr>
              <w:t xml:space="preserve"> byl</w:t>
            </w:r>
            <w:r w:rsidR="0075373E">
              <w:rPr>
                <w:rFonts w:ascii="Calibri" w:hAnsi="Calibri" w:cs="Calibri"/>
                <w:sz w:val="21"/>
                <w:szCs w:val="21"/>
              </w:rPr>
              <w:t>y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srovnateln</w:t>
            </w:r>
            <w:r w:rsidR="0075373E">
              <w:rPr>
                <w:rFonts w:ascii="Calibri" w:hAnsi="Calibri" w:cs="Calibri"/>
                <w:sz w:val="21"/>
                <w:szCs w:val="21"/>
              </w:rPr>
              <w:t>é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. </w:t>
            </w:r>
            <w:r w:rsidR="00F86E3B">
              <w:rPr>
                <w:rFonts w:ascii="Calibri" w:hAnsi="Calibri" w:cs="Calibri"/>
                <w:sz w:val="21"/>
                <w:szCs w:val="21"/>
              </w:rPr>
              <w:t>Některé programy</w:t>
            </w:r>
            <w:r w:rsidR="002F7495" w:rsidRPr="002F7495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přesto </w:t>
            </w:r>
            <w:r w:rsidR="002F7495" w:rsidRPr="002F7495">
              <w:rPr>
                <w:rFonts w:ascii="Calibri" w:hAnsi="Calibri" w:cs="Calibri"/>
                <w:sz w:val="21"/>
                <w:szCs w:val="21"/>
              </w:rPr>
              <w:t>nevytvářely pevný rámec pro realizaci potřeb Policie</w:t>
            </w:r>
            <w:r>
              <w:rPr>
                <w:rFonts w:ascii="Calibri" w:hAnsi="Calibri" w:cs="Calibri"/>
                <w:sz w:val="21"/>
                <w:szCs w:val="21"/>
              </w:rPr>
              <w:t>, neboť M</w:t>
            </w:r>
            <w:r w:rsidR="002F7495" w:rsidRPr="002F7495">
              <w:rPr>
                <w:rFonts w:ascii="Calibri" w:hAnsi="Calibri" w:cs="Calibri"/>
                <w:sz w:val="21"/>
                <w:szCs w:val="21"/>
              </w:rPr>
              <w:t xml:space="preserve">V </w:t>
            </w:r>
            <w:r w:rsidR="00E36417">
              <w:rPr>
                <w:rFonts w:ascii="Calibri" w:hAnsi="Calibri" w:cs="Calibri"/>
                <w:sz w:val="21"/>
                <w:szCs w:val="21"/>
              </w:rPr>
              <w:t>mimo jiné</w:t>
            </w:r>
            <w:r w:rsidR="00AB40C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2F7495" w:rsidRPr="002F7495">
              <w:rPr>
                <w:rFonts w:ascii="Calibri" w:hAnsi="Calibri" w:cs="Calibri"/>
                <w:sz w:val="21"/>
                <w:szCs w:val="21"/>
              </w:rPr>
              <w:t>měnilo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výrazně jejich </w:t>
            </w:r>
            <w:r w:rsidR="002F7495" w:rsidRPr="002F7495">
              <w:rPr>
                <w:rFonts w:ascii="Calibri" w:hAnsi="Calibri" w:cs="Calibri"/>
                <w:sz w:val="21"/>
                <w:szCs w:val="21"/>
              </w:rPr>
              <w:t xml:space="preserve">věcné, časové </w:t>
            </w:r>
            <w:r>
              <w:rPr>
                <w:rFonts w:ascii="Calibri" w:hAnsi="Calibri" w:cs="Calibri"/>
                <w:sz w:val="21"/>
                <w:szCs w:val="21"/>
              </w:rPr>
              <w:t>a</w:t>
            </w:r>
            <w:r w:rsidR="002F7495" w:rsidRPr="002F7495">
              <w:rPr>
                <w:rFonts w:ascii="Calibri" w:hAnsi="Calibri" w:cs="Calibri"/>
                <w:sz w:val="21"/>
                <w:szCs w:val="21"/>
              </w:rPr>
              <w:t xml:space="preserve"> finanční parametry. </w:t>
            </w:r>
          </w:p>
        </w:tc>
      </w:tr>
      <w:tr w:rsidR="003E2E16" w:rsidRPr="00AD72F1" w14:paraId="250E32EB" w14:textId="77777777" w:rsidTr="00FC196E">
        <w:trPr>
          <w:trHeight w:val="263"/>
          <w:jc w:val="center"/>
        </w:trPr>
        <w:tc>
          <w:tcPr>
            <w:tcW w:w="5245" w:type="dxa"/>
            <w:vAlign w:val="center"/>
          </w:tcPr>
          <w:p w14:paraId="2E23343D" w14:textId="6CADCCBE" w:rsidR="00FC196E" w:rsidRDefault="00FC196E" w:rsidP="00EF4A55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  <w:p w14:paraId="629477B4" w14:textId="6827444D" w:rsidR="00906E8A" w:rsidRDefault="00906E8A" w:rsidP="00EF4A55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  <w:p w14:paraId="457429A5" w14:textId="77777777" w:rsidR="00906E8A" w:rsidRDefault="00906E8A" w:rsidP="00EF4A55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</w:pPr>
          </w:p>
          <w:p w14:paraId="45E3A2DF" w14:textId="4F41D2EC" w:rsidR="003E2E16" w:rsidRPr="00AD72F1" w:rsidRDefault="00620451" w:rsidP="001038D3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Calibri" w:hAnsi="Calibri" w:cs="Calibri"/>
                <w:sz w:val="34"/>
                <w:szCs w:val="3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29</w:t>
            </w:r>
            <w:r w:rsidR="003E2E16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="00EF4A55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6</w:t>
            </w:r>
            <w:r w:rsidR="001038D3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>50</w:t>
            </w:r>
            <w:r w:rsidR="003E2E16" w:rsidRPr="00AD72F1">
              <w:rPr>
                <w:rFonts w:ascii="Calibri" w:hAnsi="Calibri" w:cs="Calibri"/>
                <w:b/>
                <w:bCs/>
                <w:color w:val="000000"/>
                <w:sz w:val="34"/>
                <w:szCs w:val="34"/>
              </w:rPr>
              <w:t xml:space="preserve"> Kč</w:t>
            </w:r>
          </w:p>
        </w:tc>
        <w:tc>
          <w:tcPr>
            <w:tcW w:w="5674" w:type="dxa"/>
            <w:vAlign w:val="center"/>
          </w:tcPr>
          <w:p w14:paraId="2AA0FCE2" w14:textId="63F7ACC0" w:rsidR="00FC196E" w:rsidRDefault="00FC196E" w:rsidP="00EF4A55">
            <w:pPr>
              <w:autoSpaceDE w:val="0"/>
              <w:autoSpaceDN w:val="0"/>
              <w:adjustRightInd w:val="0"/>
              <w:spacing w:after="120" w:line="211" w:lineRule="atLeast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2FAB269B" w14:textId="708DA77B" w:rsidR="00906E8A" w:rsidRDefault="00906E8A" w:rsidP="00EF4A55">
            <w:pPr>
              <w:autoSpaceDE w:val="0"/>
              <w:autoSpaceDN w:val="0"/>
              <w:adjustRightInd w:val="0"/>
              <w:spacing w:after="120" w:line="211" w:lineRule="atLeast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055F1E3C" w14:textId="53E81BB1" w:rsidR="00906E8A" w:rsidRDefault="00906E8A" w:rsidP="00EF4A55">
            <w:pPr>
              <w:autoSpaceDE w:val="0"/>
              <w:autoSpaceDN w:val="0"/>
              <w:adjustRightInd w:val="0"/>
              <w:spacing w:after="120" w:line="211" w:lineRule="atLeast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48EC1C80" w14:textId="705FEA00" w:rsidR="003E2E16" w:rsidRPr="00AD72F1" w:rsidRDefault="003E2E16" w:rsidP="0075373E">
            <w:pPr>
              <w:autoSpaceDE w:val="0"/>
              <w:autoSpaceDN w:val="0"/>
              <w:adjustRightInd w:val="0"/>
              <w:spacing w:after="120" w:line="211" w:lineRule="atLeast"/>
              <w:ind w:left="32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A2F24">
              <w:rPr>
                <w:rFonts w:ascii="Calibri" w:hAnsi="Calibri" w:cs="Calibri"/>
                <w:b/>
                <w:sz w:val="21"/>
                <w:szCs w:val="21"/>
              </w:rPr>
              <w:t>P</w:t>
            </w:r>
            <w:r w:rsidR="00EF4A55">
              <w:rPr>
                <w:rFonts w:ascii="Calibri" w:hAnsi="Calibri" w:cs="Calibri"/>
                <w:b/>
                <w:sz w:val="21"/>
                <w:szCs w:val="21"/>
              </w:rPr>
              <w:t>růměrný</w:t>
            </w:r>
            <w:r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E36417">
              <w:rPr>
                <w:rFonts w:ascii="Calibri" w:hAnsi="Calibri" w:cs="Calibri"/>
                <w:b/>
                <w:sz w:val="21"/>
                <w:szCs w:val="21"/>
              </w:rPr>
              <w:t xml:space="preserve">roční </w:t>
            </w:r>
            <w:r w:rsidRPr="00BA2F24">
              <w:rPr>
                <w:rFonts w:ascii="Calibri" w:hAnsi="Calibri" w:cs="Calibri"/>
                <w:b/>
                <w:sz w:val="21"/>
                <w:szCs w:val="21"/>
              </w:rPr>
              <w:t>výdaj poskytnut</w:t>
            </w:r>
            <w:r w:rsidR="00EF4A55">
              <w:rPr>
                <w:rFonts w:ascii="Calibri" w:hAnsi="Calibri" w:cs="Calibri"/>
                <w:b/>
                <w:sz w:val="21"/>
                <w:szCs w:val="21"/>
              </w:rPr>
              <w:t>ý</w:t>
            </w:r>
            <w:r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E36417">
              <w:rPr>
                <w:rFonts w:ascii="Calibri" w:hAnsi="Calibri" w:cs="Calibri"/>
                <w:b/>
                <w:sz w:val="21"/>
                <w:szCs w:val="21"/>
              </w:rPr>
              <w:t>z</w:t>
            </w:r>
            <w:r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 kontrolovan</w:t>
            </w:r>
            <w:r w:rsidR="00E36417">
              <w:rPr>
                <w:rFonts w:ascii="Calibri" w:hAnsi="Calibri" w:cs="Calibri"/>
                <w:b/>
                <w:sz w:val="21"/>
                <w:szCs w:val="21"/>
              </w:rPr>
              <w:t>ých</w:t>
            </w:r>
            <w:r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 program</w:t>
            </w:r>
            <w:r w:rsidR="00E36417">
              <w:rPr>
                <w:rFonts w:ascii="Calibri" w:hAnsi="Calibri" w:cs="Calibri"/>
                <w:b/>
                <w:sz w:val="21"/>
                <w:szCs w:val="21"/>
              </w:rPr>
              <w:t>ů</w:t>
            </w:r>
            <w:r w:rsidR="00E36417"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 Policie</w:t>
            </w:r>
            <w:r w:rsidRPr="00BA2F24">
              <w:rPr>
                <w:rFonts w:ascii="Calibri" w:hAnsi="Calibri" w:cs="Calibri"/>
                <w:b/>
                <w:sz w:val="21"/>
                <w:szCs w:val="21"/>
              </w:rPr>
              <w:t xml:space="preserve"> v letech 2012 až 2016 v přepočtu na jednoho policistu.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</w:tbl>
    <w:p w14:paraId="45B84137" w14:textId="77777777" w:rsidR="00906E8A" w:rsidRDefault="00906E8A">
      <w:r>
        <w:br w:type="page"/>
      </w:r>
    </w:p>
    <w:tbl>
      <w:tblPr>
        <w:tblW w:w="10919" w:type="dxa"/>
        <w:jc w:val="center"/>
        <w:tblLayout w:type="fixed"/>
        <w:tblLook w:val="0000" w:firstRow="0" w:lastRow="0" w:firstColumn="0" w:lastColumn="0" w:noHBand="0" w:noVBand="0"/>
      </w:tblPr>
      <w:tblGrid>
        <w:gridCol w:w="5245"/>
        <w:gridCol w:w="5674"/>
      </w:tblGrid>
      <w:tr w:rsidR="003E2E16" w:rsidRPr="00AD72F1" w14:paraId="21634573" w14:textId="77777777" w:rsidTr="00FC196E">
        <w:trPr>
          <w:trHeight w:val="393"/>
          <w:jc w:val="center"/>
        </w:trPr>
        <w:tc>
          <w:tcPr>
            <w:tcW w:w="5245" w:type="dxa"/>
            <w:vAlign w:val="center"/>
          </w:tcPr>
          <w:p w14:paraId="2CC421BC" w14:textId="6FB67520" w:rsidR="003E2E16" w:rsidRPr="00F50A0D" w:rsidRDefault="003E2E16" w:rsidP="003E2E16">
            <w:pPr>
              <w:autoSpaceDE w:val="0"/>
              <w:autoSpaceDN w:val="0"/>
              <w:adjustRightInd w:val="0"/>
              <w:spacing w:line="211" w:lineRule="atLeast"/>
              <w:jc w:val="center"/>
              <w:rPr>
                <w:rFonts w:ascii="Calibri" w:hAnsi="Calibri" w:cs="Calibri"/>
                <w:b/>
                <w:bCs/>
                <w:sz w:val="34"/>
                <w:szCs w:val="34"/>
              </w:rPr>
            </w:pPr>
            <w:r w:rsidRPr="00F50A0D">
              <w:rPr>
                <w:rFonts w:ascii="Calibri" w:hAnsi="Calibri" w:cs="Calibri"/>
                <w:b/>
                <w:bCs/>
                <w:sz w:val="34"/>
                <w:szCs w:val="34"/>
              </w:rPr>
              <w:lastRenderedPageBreak/>
              <w:t>264</w:t>
            </w:r>
          </w:p>
        </w:tc>
        <w:tc>
          <w:tcPr>
            <w:tcW w:w="5674" w:type="dxa"/>
            <w:vAlign w:val="center"/>
          </w:tcPr>
          <w:p w14:paraId="24D829F8" w14:textId="77777777" w:rsidR="00FC196E" w:rsidRDefault="00FC196E" w:rsidP="00C8376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</w:p>
          <w:p w14:paraId="7B4F0442" w14:textId="2A00A56F" w:rsidR="003E2E16" w:rsidRPr="00AD72F1" w:rsidRDefault="000B3F77" w:rsidP="0075373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B3F77">
              <w:rPr>
                <w:rFonts w:ascii="Calibri" w:hAnsi="Calibri" w:cs="Calibri"/>
                <w:b/>
                <w:sz w:val="21"/>
                <w:szCs w:val="21"/>
              </w:rPr>
              <w:t>P</w:t>
            </w:r>
            <w:r w:rsidR="003E2E16" w:rsidRPr="000B3F77">
              <w:rPr>
                <w:rFonts w:ascii="Calibri" w:hAnsi="Calibri" w:cs="Calibri"/>
                <w:b/>
                <w:sz w:val="21"/>
                <w:szCs w:val="21"/>
              </w:rPr>
              <w:t>očet obyvatel na jednoho policistu</w:t>
            </w:r>
            <w:r w:rsidR="003E2E16" w:rsidRPr="000B3F77">
              <w:rPr>
                <w:rStyle w:val="Znakapoznpodarou"/>
                <w:rFonts w:ascii="Calibri" w:hAnsi="Calibri" w:cs="Calibri"/>
                <w:b/>
                <w:sz w:val="21"/>
                <w:szCs w:val="21"/>
              </w:rPr>
              <w:footnoteReference w:id="2"/>
            </w:r>
            <w:r w:rsidR="003E2E16" w:rsidRPr="000B3F77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Pr="000B3F77">
              <w:rPr>
                <w:rFonts w:ascii="Calibri" w:hAnsi="Calibri" w:cs="Calibri"/>
                <w:b/>
                <w:sz w:val="21"/>
                <w:szCs w:val="21"/>
              </w:rPr>
              <w:t xml:space="preserve">v ČR </w:t>
            </w:r>
            <w:r w:rsidR="003E2E16" w:rsidRPr="000B3F77">
              <w:rPr>
                <w:rFonts w:ascii="Calibri" w:hAnsi="Calibri" w:cs="Calibri"/>
                <w:b/>
                <w:sz w:val="21"/>
                <w:szCs w:val="21"/>
              </w:rPr>
              <w:t>v roce 2015.</w:t>
            </w:r>
            <w:r w:rsidR="003E2E16">
              <w:rPr>
                <w:rFonts w:ascii="Calibri" w:hAnsi="Calibri" w:cs="Calibri"/>
                <w:sz w:val="21"/>
                <w:szCs w:val="21"/>
              </w:rPr>
              <w:t xml:space="preserve"> S</w:t>
            </w:r>
            <w:r w:rsidR="00C83763">
              <w:rPr>
                <w:rFonts w:ascii="Calibri" w:hAnsi="Calibri" w:cs="Calibri"/>
                <w:sz w:val="21"/>
                <w:szCs w:val="21"/>
              </w:rPr>
              <w:t xml:space="preserve">rovnávací studii </w:t>
            </w:r>
            <w:r w:rsidR="003E2E16" w:rsidRPr="00AA3F3F">
              <w:rPr>
                <w:rFonts w:ascii="Calibri" w:hAnsi="Calibri" w:cs="Calibri"/>
                <w:sz w:val="21"/>
                <w:szCs w:val="21"/>
              </w:rPr>
              <w:t>o</w:t>
            </w:r>
            <w:r w:rsidR="00C8376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3E2E16" w:rsidRPr="00AA3F3F">
              <w:rPr>
                <w:rFonts w:ascii="Calibri" w:hAnsi="Calibri" w:cs="Calibri"/>
                <w:sz w:val="21"/>
                <w:szCs w:val="21"/>
              </w:rPr>
              <w:t>policejních sborech</w:t>
            </w:r>
            <w:r w:rsidR="003E2E16">
              <w:rPr>
                <w:rFonts w:ascii="Calibri" w:hAnsi="Calibri" w:cs="Calibri"/>
                <w:sz w:val="21"/>
                <w:szCs w:val="21"/>
              </w:rPr>
              <w:t xml:space="preserve"> středoevropských států včetně porovnání </w:t>
            </w:r>
            <w:r w:rsidR="0075373E">
              <w:rPr>
                <w:rFonts w:ascii="Calibri" w:hAnsi="Calibri" w:cs="Calibri"/>
                <w:sz w:val="21"/>
                <w:szCs w:val="21"/>
              </w:rPr>
              <w:t xml:space="preserve">počtu </w:t>
            </w:r>
            <w:r w:rsidR="003E2E16">
              <w:rPr>
                <w:rFonts w:ascii="Calibri" w:hAnsi="Calibri" w:cs="Calibri"/>
                <w:sz w:val="21"/>
                <w:szCs w:val="21"/>
              </w:rPr>
              <w:t xml:space="preserve">jejich </w:t>
            </w:r>
            <w:r w:rsidR="0075373E">
              <w:rPr>
                <w:rFonts w:ascii="Calibri" w:hAnsi="Calibri" w:cs="Calibri"/>
                <w:sz w:val="21"/>
                <w:szCs w:val="21"/>
              </w:rPr>
              <w:t xml:space="preserve">příslušníků </w:t>
            </w:r>
            <w:r w:rsidR="003E2E16" w:rsidRPr="00AA3F3F">
              <w:rPr>
                <w:rFonts w:ascii="Calibri" w:hAnsi="Calibri" w:cs="Calibri"/>
                <w:sz w:val="21"/>
                <w:szCs w:val="21"/>
              </w:rPr>
              <w:t xml:space="preserve">má MV předložit </w:t>
            </w:r>
            <w:r w:rsidR="003E2E16">
              <w:rPr>
                <w:rFonts w:ascii="Calibri" w:hAnsi="Calibri" w:cs="Calibri"/>
                <w:sz w:val="21"/>
                <w:szCs w:val="21"/>
              </w:rPr>
              <w:t xml:space="preserve">vládě </w:t>
            </w:r>
            <w:r w:rsidR="003E2E16" w:rsidRPr="00AA3F3F">
              <w:rPr>
                <w:rFonts w:ascii="Calibri" w:hAnsi="Calibri" w:cs="Calibri"/>
                <w:sz w:val="21"/>
                <w:szCs w:val="21"/>
              </w:rPr>
              <w:t>v prvním čtvrtletí roku 2018.</w:t>
            </w:r>
            <w:r w:rsidR="003E2E16">
              <w:rPr>
                <w:rFonts w:ascii="Calibri" w:hAnsi="Calibri" w:cs="Calibri"/>
                <w:sz w:val="21"/>
                <w:szCs w:val="21"/>
              </w:rPr>
              <w:t xml:space="preserve"> A</w:t>
            </w:r>
            <w:r w:rsidR="003E2E16" w:rsidRPr="00EE046C">
              <w:rPr>
                <w:rFonts w:ascii="Calibri" w:hAnsi="Calibri" w:cs="Calibri"/>
                <w:sz w:val="21"/>
                <w:szCs w:val="21"/>
              </w:rPr>
              <w:t xml:space="preserve">ž </w:t>
            </w:r>
            <w:r w:rsidR="003E2E16">
              <w:rPr>
                <w:rFonts w:ascii="Calibri" w:hAnsi="Calibri" w:cs="Calibri"/>
                <w:sz w:val="21"/>
                <w:szCs w:val="21"/>
              </w:rPr>
              <w:t xml:space="preserve">tato studie ověří, </w:t>
            </w:r>
            <w:r w:rsidR="003E2E16" w:rsidRPr="00EE046C">
              <w:rPr>
                <w:rFonts w:ascii="Calibri" w:hAnsi="Calibri" w:cs="Calibri"/>
                <w:sz w:val="21"/>
                <w:szCs w:val="21"/>
              </w:rPr>
              <w:t xml:space="preserve">zda </w:t>
            </w:r>
            <w:r w:rsidR="003E2E16">
              <w:rPr>
                <w:rFonts w:ascii="Calibri" w:hAnsi="Calibri" w:cs="Calibri"/>
                <w:sz w:val="21"/>
                <w:szCs w:val="21"/>
              </w:rPr>
              <w:t>schválené</w:t>
            </w:r>
            <w:r w:rsidR="003E2E16" w:rsidRPr="00EE046C">
              <w:rPr>
                <w:rFonts w:ascii="Calibri" w:hAnsi="Calibri" w:cs="Calibri"/>
                <w:sz w:val="21"/>
                <w:szCs w:val="21"/>
              </w:rPr>
              <w:t xml:space="preserve"> navýšení počtu policistů o 4 000 </w:t>
            </w:r>
            <w:r w:rsidR="003E2E16">
              <w:rPr>
                <w:rFonts w:ascii="Calibri" w:hAnsi="Calibri" w:cs="Calibri"/>
                <w:sz w:val="21"/>
                <w:szCs w:val="21"/>
              </w:rPr>
              <w:t xml:space="preserve">do roku 2022 </w:t>
            </w:r>
            <w:r w:rsidR="003E2E16" w:rsidRPr="00EE046C">
              <w:rPr>
                <w:rFonts w:ascii="Calibri" w:hAnsi="Calibri" w:cs="Calibri"/>
                <w:sz w:val="21"/>
                <w:szCs w:val="21"/>
              </w:rPr>
              <w:t>odpovídá trendům ve srovnatelných zemích.</w:t>
            </w:r>
          </w:p>
        </w:tc>
      </w:tr>
    </w:tbl>
    <w:p w14:paraId="25ABFBB3" w14:textId="77777777" w:rsidR="008730AE" w:rsidRDefault="008730AE" w:rsidP="004114D8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B1DE05A" w14:textId="77777777" w:rsidR="00B37CFC" w:rsidRDefault="00B37CFC" w:rsidP="004114D8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D0E0EA" w14:textId="107E6F33" w:rsidR="001554E2" w:rsidRDefault="00DE18E1" w:rsidP="00FC196E">
      <w:pPr>
        <w:spacing w:after="12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CC4F80F" wp14:editId="7707605A">
            <wp:simplePos x="0" y="0"/>
            <wp:positionH relativeFrom="margin">
              <wp:posOffset>52705</wp:posOffset>
            </wp:positionH>
            <wp:positionV relativeFrom="paragraph">
              <wp:posOffset>281940</wp:posOffset>
            </wp:positionV>
            <wp:extent cx="5730875" cy="5388610"/>
            <wp:effectExtent l="0" t="0" r="3175" b="25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_hustota_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3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FFC50" w14:textId="18E47C3A" w:rsidR="00C06DC4" w:rsidRDefault="00C06DC4" w:rsidP="001554E2">
      <w:pPr>
        <w:ind w:left="3545"/>
        <w:rPr>
          <w:rFonts w:asciiTheme="minorHAnsi" w:hAnsiTheme="minorHAnsi" w:cstheme="minorHAnsi"/>
          <w:b/>
          <w:sz w:val="18"/>
          <w:szCs w:val="18"/>
        </w:rPr>
      </w:pPr>
    </w:p>
    <w:p w14:paraId="00515FFB" w14:textId="2126D0C5" w:rsidR="00394AAC" w:rsidRDefault="00875C75" w:rsidP="001554E2">
      <w:pPr>
        <w:ind w:left="3545"/>
        <w:rPr>
          <w:rFonts w:asciiTheme="minorHAnsi" w:hAnsiTheme="minorHAnsi" w:cstheme="minorHAnsi"/>
          <w:sz w:val="18"/>
          <w:szCs w:val="18"/>
        </w:rPr>
      </w:pPr>
      <w:r w:rsidRPr="00EB3C22">
        <w:rPr>
          <w:rFonts w:asciiTheme="minorHAnsi" w:hAnsiTheme="minorHAnsi" w:cstheme="minorHAnsi"/>
          <w:b/>
          <w:sz w:val="18"/>
          <w:szCs w:val="18"/>
        </w:rPr>
        <w:t>Zdroj: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theme="minorHAnsi"/>
          <w:sz w:val="18"/>
          <w:szCs w:val="18"/>
        </w:rPr>
        <w:t>Eurostat</w:t>
      </w:r>
      <w:proofErr w:type="spellEnd"/>
      <w:r>
        <w:rPr>
          <w:rFonts w:asciiTheme="minorHAnsi" w:hAnsiTheme="minorHAnsi" w:cstheme="minorHAnsi"/>
          <w:sz w:val="18"/>
          <w:szCs w:val="18"/>
        </w:rPr>
        <w:t>, výpočet NKÚ</w:t>
      </w:r>
      <w:r w:rsidR="00EB3C22">
        <w:rPr>
          <w:rFonts w:asciiTheme="minorHAnsi" w:hAnsiTheme="minorHAnsi" w:cstheme="minorHAnsi"/>
          <w:sz w:val="18"/>
          <w:szCs w:val="18"/>
        </w:rPr>
        <w:t>.</w:t>
      </w:r>
    </w:p>
    <w:p w14:paraId="30C22793" w14:textId="5D8D8CD4" w:rsidR="00FC196E" w:rsidRDefault="00F416A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4CDBD41C" w14:textId="33ED159A" w:rsidR="00462F78" w:rsidRPr="001C3ECD" w:rsidRDefault="00462F78" w:rsidP="009704D9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I. Shrnutí a vyhodnocení</w:t>
      </w:r>
    </w:p>
    <w:p w14:paraId="28650B4B" w14:textId="6433398D" w:rsidR="003A2709" w:rsidRDefault="003A2709" w:rsidP="003A2709">
      <w:pPr>
        <w:spacing w:after="120"/>
        <w:jc w:val="both"/>
        <w:rPr>
          <w:rFonts w:asciiTheme="minorHAnsi" w:hAnsiTheme="minorHAnsi" w:cstheme="minorHAnsi"/>
        </w:rPr>
      </w:pPr>
      <w:r w:rsidRPr="00057447">
        <w:rPr>
          <w:rFonts w:asciiTheme="minorHAnsi" w:hAnsiTheme="minorHAnsi" w:cstheme="minorHAnsi"/>
        </w:rPr>
        <w:t xml:space="preserve">NKÚ provedl kontrolu poskytování a použití peněžních prostředků </w:t>
      </w:r>
      <w:r w:rsidRPr="0050417A">
        <w:rPr>
          <w:rFonts w:asciiTheme="minorHAnsi" w:hAnsiTheme="minorHAnsi" w:cstheme="minorHAnsi"/>
        </w:rPr>
        <w:t>program</w:t>
      </w:r>
      <w:r>
        <w:rPr>
          <w:rFonts w:asciiTheme="minorHAnsi" w:hAnsiTheme="minorHAnsi" w:cstheme="minorHAnsi"/>
        </w:rPr>
        <w:t>ů</w:t>
      </w:r>
      <w:r w:rsidRPr="0050417A">
        <w:rPr>
          <w:rFonts w:asciiTheme="minorHAnsi" w:hAnsiTheme="minorHAnsi" w:cstheme="minorHAnsi"/>
        </w:rPr>
        <w:t xml:space="preserve"> zaměřen</w:t>
      </w:r>
      <w:r>
        <w:rPr>
          <w:rFonts w:asciiTheme="minorHAnsi" w:hAnsiTheme="minorHAnsi" w:cstheme="minorHAnsi"/>
        </w:rPr>
        <w:t>ých</w:t>
      </w:r>
      <w:r w:rsidRPr="0050417A">
        <w:rPr>
          <w:rFonts w:asciiTheme="minorHAnsi" w:hAnsiTheme="minorHAnsi" w:cstheme="minorHAnsi"/>
        </w:rPr>
        <w:t xml:space="preserve"> na rozvoj a obnovu materiálně technické základny </w:t>
      </w:r>
      <w:r>
        <w:rPr>
          <w:rFonts w:asciiTheme="minorHAnsi" w:hAnsiTheme="minorHAnsi" w:cstheme="minorHAnsi"/>
        </w:rPr>
        <w:t>Policie. Prověřoval</w:t>
      </w:r>
      <w:r w:rsidRPr="002B7A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především, zda </w:t>
      </w:r>
      <w:r w:rsidR="002A6714">
        <w:rPr>
          <w:rFonts w:asciiTheme="minorHAnsi" w:hAnsiTheme="minorHAnsi" w:cstheme="minorHAnsi"/>
        </w:rPr>
        <w:t xml:space="preserve">nutnost </w:t>
      </w:r>
      <w:r w:rsidR="00201BEB">
        <w:rPr>
          <w:rFonts w:asciiTheme="minorHAnsi" w:hAnsiTheme="minorHAnsi" w:cstheme="minorHAnsi"/>
        </w:rPr>
        <w:t xml:space="preserve">realizace </w:t>
      </w:r>
      <w:r w:rsidR="002C0C75">
        <w:rPr>
          <w:rFonts w:asciiTheme="minorHAnsi" w:hAnsiTheme="minorHAnsi" w:cstheme="minorHAnsi"/>
        </w:rPr>
        <w:t xml:space="preserve">těchto programů </w:t>
      </w:r>
      <w:r>
        <w:rPr>
          <w:rFonts w:asciiTheme="minorHAnsi" w:hAnsiTheme="minorHAnsi" w:cstheme="minorHAnsi"/>
        </w:rPr>
        <w:t xml:space="preserve">vychází </w:t>
      </w:r>
      <w:r w:rsidRPr="0050417A">
        <w:rPr>
          <w:rFonts w:asciiTheme="minorHAnsi" w:hAnsiTheme="minorHAnsi" w:cstheme="minorHAnsi"/>
        </w:rPr>
        <w:t>z jasně definovaných potřeb</w:t>
      </w:r>
      <w:r>
        <w:rPr>
          <w:rFonts w:asciiTheme="minorHAnsi" w:hAnsiTheme="minorHAnsi" w:cstheme="minorHAnsi"/>
        </w:rPr>
        <w:t xml:space="preserve"> a zda poskytnuté prostředky byly vynaloženy účelně a hospodárně.</w:t>
      </w:r>
    </w:p>
    <w:p w14:paraId="476F0B4C" w14:textId="1C33B010" w:rsidR="003A2709" w:rsidRDefault="00923C3B" w:rsidP="003A2709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Tyto programy jsou zaměřeny</w:t>
      </w:r>
      <w:r w:rsidR="003A2709">
        <w:rPr>
          <w:rFonts w:asciiTheme="minorHAnsi" w:hAnsiTheme="minorHAnsi" w:cstheme="minorHAnsi"/>
        </w:rPr>
        <w:t xml:space="preserve"> na </w:t>
      </w:r>
      <w:r w:rsidR="003A2709" w:rsidRPr="00057447">
        <w:rPr>
          <w:rFonts w:asciiTheme="minorHAnsi" w:hAnsiTheme="minorHAnsi" w:cstheme="minorHAnsi"/>
        </w:rPr>
        <w:t xml:space="preserve">zabezpečení </w:t>
      </w:r>
      <w:r w:rsidR="003A2709">
        <w:rPr>
          <w:rFonts w:asciiTheme="minorHAnsi" w:hAnsiTheme="minorHAnsi" w:cstheme="minorHAnsi"/>
        </w:rPr>
        <w:t>Policie</w:t>
      </w:r>
      <w:r w:rsidR="003A2709" w:rsidRPr="00057447">
        <w:rPr>
          <w:rFonts w:asciiTheme="minorHAnsi" w:hAnsiTheme="minorHAnsi" w:cstheme="minorHAnsi"/>
        </w:rPr>
        <w:t xml:space="preserve"> movitým a nemovitým majetkem</w:t>
      </w:r>
      <w:r w:rsidR="00201BEB">
        <w:rPr>
          <w:rFonts w:asciiTheme="minorHAnsi" w:hAnsiTheme="minorHAnsi" w:cstheme="minorHAnsi"/>
        </w:rPr>
        <w:t>,</w:t>
      </w:r>
      <w:r w:rsidR="00706247">
        <w:rPr>
          <w:rFonts w:asciiTheme="minorHAnsi" w:hAnsiTheme="minorHAnsi" w:cstheme="minorHAnsi"/>
        </w:rPr>
        <w:t xml:space="preserve"> a </w:t>
      </w:r>
      <w:r w:rsidR="003A2709">
        <w:rPr>
          <w:rFonts w:asciiTheme="minorHAnsi" w:hAnsiTheme="minorHAnsi" w:cstheme="minorHAnsi"/>
        </w:rPr>
        <w:t>to</w:t>
      </w:r>
      <w:r w:rsidR="003A2709" w:rsidRPr="00057447">
        <w:rPr>
          <w:rFonts w:asciiTheme="minorHAnsi" w:hAnsiTheme="minorHAnsi" w:cstheme="minorHAnsi"/>
        </w:rPr>
        <w:t xml:space="preserve"> s ohledem na</w:t>
      </w:r>
      <w:r w:rsidR="00201BEB">
        <w:rPr>
          <w:rFonts w:asciiTheme="minorHAnsi" w:hAnsiTheme="minorHAnsi" w:cstheme="minorHAnsi"/>
        </w:rPr>
        <w:t xml:space="preserve"> </w:t>
      </w:r>
      <w:r w:rsidR="003A2709">
        <w:rPr>
          <w:rFonts w:asciiTheme="minorHAnsi" w:hAnsiTheme="minorHAnsi" w:cstheme="minorHAnsi"/>
        </w:rPr>
        <w:t xml:space="preserve">úkoly, které má Policie plnit dle </w:t>
      </w:r>
      <w:r w:rsidR="003A2709" w:rsidRPr="00057447">
        <w:rPr>
          <w:rFonts w:asciiTheme="minorHAnsi" w:hAnsiTheme="minorHAnsi" w:cstheme="minorHAnsi"/>
        </w:rPr>
        <w:t>zákona č. 273/2008 Sb.</w:t>
      </w:r>
      <w:r w:rsidR="003A2709" w:rsidRPr="00E51469">
        <w:rPr>
          <w:rFonts w:asciiTheme="minorHAnsi" w:hAnsiTheme="minorHAnsi" w:cs="Calibri"/>
          <w:vertAlign w:val="superscript"/>
        </w:rPr>
        <w:footnoteReference w:id="3"/>
      </w:r>
      <w:r w:rsidR="003A2709">
        <w:rPr>
          <w:rFonts w:asciiTheme="minorHAnsi" w:hAnsiTheme="minorHAnsi" w:cstheme="minorHAnsi"/>
        </w:rPr>
        <w:t xml:space="preserve"> V kontrolovaném období </w:t>
      </w:r>
      <w:r w:rsidR="004236D4">
        <w:rPr>
          <w:rFonts w:asciiTheme="minorHAnsi" w:hAnsiTheme="minorHAnsi" w:cstheme="minorHAnsi"/>
        </w:rPr>
        <w:t xml:space="preserve">MV </w:t>
      </w:r>
      <w:r w:rsidR="003A2709">
        <w:rPr>
          <w:rFonts w:asciiTheme="minorHAnsi" w:hAnsiTheme="minorHAnsi" w:cstheme="minorHAnsi"/>
        </w:rPr>
        <w:t>poskytlo v rámci sedmi programů prostředky státního rozpočtu v celkové výši 5 791,2 mil. Kč, a to:</w:t>
      </w:r>
    </w:p>
    <w:p w14:paraId="0A112E4A" w14:textId="2961B3D2" w:rsidR="003A2709" w:rsidRPr="00B05FD9" w:rsidRDefault="003A2709" w:rsidP="003D136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 xml:space="preserve">v období </w:t>
      </w:r>
      <w:r w:rsidR="00923C3B">
        <w:rPr>
          <w:rFonts w:asciiTheme="minorHAnsi" w:hAnsiTheme="minorHAnsi" w:cs="Arial"/>
        </w:rPr>
        <w:t xml:space="preserve">let </w:t>
      </w:r>
      <w:r>
        <w:rPr>
          <w:rFonts w:asciiTheme="minorHAnsi" w:hAnsiTheme="minorHAnsi" w:cs="Arial"/>
        </w:rPr>
        <w:t>2012 až</w:t>
      </w:r>
      <w:r w:rsidRPr="00B05FD9">
        <w:rPr>
          <w:rFonts w:asciiTheme="minorHAnsi" w:hAnsiTheme="minorHAnsi" w:cs="Arial"/>
        </w:rPr>
        <w:t xml:space="preserve"> 2016 na program ev. č. 214 110 </w:t>
      </w:r>
      <w:r w:rsidR="00201BEB">
        <w:rPr>
          <w:rFonts w:asciiTheme="minorHAnsi" w:hAnsiTheme="minorHAnsi" w:cs="Arial"/>
        </w:rPr>
        <w:t xml:space="preserve">– </w:t>
      </w:r>
      <w:r w:rsidRPr="00B05FD9">
        <w:rPr>
          <w:rFonts w:asciiTheme="minorHAnsi" w:hAnsiTheme="minorHAnsi" w:cs="Arial"/>
          <w:i/>
        </w:rPr>
        <w:t>Rozvoj a obnova materiálně technické základny Policie ČR</w:t>
      </w:r>
      <w:r w:rsidRPr="00B05FD9">
        <w:rPr>
          <w:rFonts w:asciiTheme="minorHAnsi" w:hAnsiTheme="minorHAnsi" w:cs="Arial"/>
        </w:rPr>
        <w:t xml:space="preserve"> (dále také „program 214 110”) a ev. č. 114</w:t>
      </w:r>
      <w:r w:rsidR="00201BEB">
        <w:rPr>
          <w:rFonts w:asciiTheme="minorHAnsi" w:hAnsiTheme="minorHAnsi" w:cs="Arial"/>
        </w:rPr>
        <w:t> </w:t>
      </w:r>
      <w:r w:rsidRPr="00B05FD9">
        <w:rPr>
          <w:rFonts w:asciiTheme="minorHAnsi" w:hAnsiTheme="minorHAnsi" w:cs="Arial"/>
        </w:rPr>
        <w:t>110</w:t>
      </w:r>
      <w:r w:rsidR="00201BEB">
        <w:rPr>
          <w:rFonts w:asciiTheme="minorHAnsi" w:hAnsiTheme="minorHAnsi" w:cs="Arial"/>
        </w:rPr>
        <w:t xml:space="preserve"> –</w:t>
      </w:r>
      <w:r w:rsidRPr="00B05FD9">
        <w:rPr>
          <w:rFonts w:asciiTheme="minorHAnsi" w:hAnsiTheme="minorHAnsi" w:cs="Arial"/>
        </w:rPr>
        <w:t xml:space="preserve"> </w:t>
      </w:r>
      <w:r w:rsidRPr="00B05FD9">
        <w:rPr>
          <w:rFonts w:asciiTheme="minorHAnsi" w:hAnsiTheme="minorHAnsi" w:cs="Arial"/>
          <w:i/>
        </w:rPr>
        <w:t>Rozvoj a obnova materiálně technické základny Policie ČR</w:t>
      </w:r>
      <w:r>
        <w:rPr>
          <w:rFonts w:asciiTheme="minorHAnsi" w:hAnsiTheme="minorHAnsi" w:cs="Arial"/>
        </w:rPr>
        <w:t xml:space="preserve"> (dále také „program 114 110“);</w:t>
      </w:r>
    </w:p>
    <w:p w14:paraId="502991E4" w14:textId="35884E76" w:rsidR="003A2709" w:rsidRPr="00B05FD9" w:rsidRDefault="003A2709" w:rsidP="003D136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 xml:space="preserve">v období </w:t>
      </w:r>
      <w:r w:rsidR="00923C3B">
        <w:rPr>
          <w:rFonts w:asciiTheme="minorHAnsi" w:hAnsiTheme="minorHAnsi" w:cs="Arial"/>
        </w:rPr>
        <w:t xml:space="preserve">let </w:t>
      </w:r>
      <w:r>
        <w:rPr>
          <w:rFonts w:asciiTheme="minorHAnsi" w:hAnsiTheme="minorHAnsi" w:cs="Arial"/>
        </w:rPr>
        <w:t>2013 až</w:t>
      </w:r>
      <w:r w:rsidRPr="00B05FD9">
        <w:rPr>
          <w:rFonts w:asciiTheme="minorHAnsi" w:hAnsiTheme="minorHAnsi" w:cs="Arial"/>
        </w:rPr>
        <w:t xml:space="preserve"> 2016 na program ev. č. 114 120 </w:t>
      </w:r>
      <w:r w:rsidR="00201BEB">
        <w:rPr>
          <w:rFonts w:asciiTheme="minorHAnsi" w:hAnsiTheme="minorHAnsi" w:cs="Arial"/>
        </w:rPr>
        <w:t xml:space="preserve">– </w:t>
      </w:r>
      <w:r w:rsidRPr="00B05FD9">
        <w:rPr>
          <w:rFonts w:asciiTheme="minorHAnsi" w:hAnsiTheme="minorHAnsi" w:cs="Arial"/>
          <w:i/>
        </w:rPr>
        <w:t>Pořízení a obnova majetkové základny Policie ČR</w:t>
      </w:r>
      <w:r w:rsidR="00363ECA">
        <w:rPr>
          <w:rFonts w:asciiTheme="minorHAnsi" w:hAnsiTheme="minorHAnsi" w:cs="Arial"/>
        </w:rPr>
        <w:t xml:space="preserve"> (dále také „program 114 120“);</w:t>
      </w:r>
    </w:p>
    <w:p w14:paraId="65CEBCD4" w14:textId="512589D1" w:rsidR="003A2709" w:rsidRPr="00B05FD9" w:rsidRDefault="003A2709" w:rsidP="003A2709">
      <w:pPr>
        <w:pStyle w:val="Odstavecseseznamem"/>
        <w:numPr>
          <w:ilvl w:val="0"/>
          <w:numId w:val="16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 xml:space="preserve">v roce 2016 na program ev. č. </w:t>
      </w:r>
      <w:r w:rsidRPr="004516EC">
        <w:rPr>
          <w:rFonts w:asciiTheme="minorHAnsi" w:hAnsiTheme="minorHAnsi" w:cs="Arial"/>
        </w:rPr>
        <w:t>014</w:t>
      </w:r>
      <w:r w:rsidR="00201BEB">
        <w:rPr>
          <w:rFonts w:asciiTheme="minorHAnsi" w:hAnsiTheme="minorHAnsi" w:cs="Arial"/>
        </w:rPr>
        <w:t> </w:t>
      </w:r>
      <w:r w:rsidRPr="004516EC">
        <w:rPr>
          <w:rFonts w:asciiTheme="minorHAnsi" w:hAnsiTheme="minorHAnsi" w:cs="Arial"/>
        </w:rPr>
        <w:t>110</w:t>
      </w:r>
      <w:r w:rsidR="00201BEB">
        <w:rPr>
          <w:rFonts w:asciiTheme="minorHAnsi" w:hAnsiTheme="minorHAnsi" w:cs="Arial"/>
        </w:rPr>
        <w:t xml:space="preserve"> –</w:t>
      </w:r>
      <w:r w:rsidRPr="004516EC">
        <w:rPr>
          <w:rFonts w:asciiTheme="minorHAnsi" w:hAnsiTheme="minorHAnsi" w:cs="Arial"/>
        </w:rPr>
        <w:t xml:space="preserve"> </w:t>
      </w:r>
      <w:r w:rsidRPr="00B05FD9">
        <w:rPr>
          <w:rFonts w:asciiTheme="minorHAnsi" w:hAnsiTheme="minorHAnsi"/>
          <w:i/>
        </w:rPr>
        <w:t>Rozvoj a obnova funkcionalit ICT Policie ČR</w:t>
      </w:r>
      <w:r w:rsidRPr="004516EC">
        <w:rPr>
          <w:rFonts w:asciiTheme="minorHAnsi" w:hAnsiTheme="minorHAnsi"/>
        </w:rPr>
        <w:t xml:space="preserve"> (dále také „program 014 110“),</w:t>
      </w:r>
      <w:r w:rsidRPr="004516E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ev. č. </w:t>
      </w:r>
      <w:r w:rsidRPr="00C069BF">
        <w:rPr>
          <w:rFonts w:asciiTheme="minorHAnsi" w:hAnsiTheme="minorHAnsi" w:cs="Arial"/>
        </w:rPr>
        <w:t xml:space="preserve">014 120 </w:t>
      </w:r>
      <w:r w:rsidR="00201BEB">
        <w:rPr>
          <w:rFonts w:asciiTheme="minorHAnsi" w:hAnsiTheme="minorHAnsi" w:cs="Arial"/>
        </w:rPr>
        <w:t xml:space="preserve">– </w:t>
      </w:r>
      <w:r w:rsidRPr="00B05FD9">
        <w:rPr>
          <w:rFonts w:asciiTheme="minorHAnsi" w:hAnsiTheme="minorHAnsi" w:cs="Arial"/>
          <w:i/>
        </w:rPr>
        <w:t>Rozvoj a obnova nemovitého majetku Policie ČR</w:t>
      </w:r>
      <w:r w:rsidRPr="00C069BF">
        <w:rPr>
          <w:rFonts w:asciiTheme="minorHAnsi" w:hAnsiTheme="minorHAnsi" w:cs="Arial"/>
        </w:rPr>
        <w:t xml:space="preserve"> (dále také „program 014 120“), </w:t>
      </w:r>
      <w:r>
        <w:rPr>
          <w:rFonts w:asciiTheme="minorHAnsi" w:hAnsiTheme="minorHAnsi" w:cs="Arial"/>
        </w:rPr>
        <w:t xml:space="preserve">ev. č. </w:t>
      </w:r>
      <w:r w:rsidRPr="00C069BF">
        <w:rPr>
          <w:rFonts w:asciiTheme="minorHAnsi" w:hAnsiTheme="minorHAnsi" w:cs="Arial"/>
        </w:rPr>
        <w:t xml:space="preserve">014 130 </w:t>
      </w:r>
      <w:r w:rsidR="00201BEB">
        <w:rPr>
          <w:rFonts w:asciiTheme="minorHAnsi" w:hAnsiTheme="minorHAnsi" w:cs="Arial"/>
        </w:rPr>
        <w:t xml:space="preserve">– </w:t>
      </w:r>
      <w:r w:rsidRPr="00B05FD9">
        <w:rPr>
          <w:rFonts w:asciiTheme="minorHAnsi" w:hAnsiTheme="minorHAnsi" w:cs="Arial"/>
          <w:i/>
        </w:rPr>
        <w:t>Rozvoj a obnova movitého majetku Policie ČR</w:t>
      </w:r>
      <w:r w:rsidRPr="00C069BF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(dále také „program 014 130“) a ev. č. </w:t>
      </w:r>
      <w:r w:rsidRPr="00C069BF">
        <w:rPr>
          <w:rFonts w:asciiTheme="minorHAnsi" w:hAnsiTheme="minorHAnsi" w:cs="Arial"/>
        </w:rPr>
        <w:t xml:space="preserve">014 140 </w:t>
      </w:r>
      <w:r w:rsidR="00201BEB">
        <w:rPr>
          <w:rFonts w:asciiTheme="minorHAnsi" w:hAnsiTheme="minorHAnsi" w:cs="Arial"/>
        </w:rPr>
        <w:t xml:space="preserve">– </w:t>
      </w:r>
      <w:r w:rsidRPr="00B05FD9">
        <w:rPr>
          <w:rFonts w:asciiTheme="minorHAnsi" w:hAnsiTheme="minorHAnsi" w:cs="Arial"/>
          <w:i/>
        </w:rPr>
        <w:t>Rozvoj a obnova dopravních prostředků Policie ČR</w:t>
      </w:r>
      <w:r>
        <w:rPr>
          <w:rFonts w:asciiTheme="minorHAnsi" w:hAnsiTheme="minorHAnsi" w:cs="Arial"/>
        </w:rPr>
        <w:t xml:space="preserve"> (dále také „program 014 140“).</w:t>
      </w:r>
    </w:p>
    <w:p w14:paraId="472F0B86" w14:textId="018C3B34" w:rsidR="003A2709" w:rsidRDefault="003A2709" w:rsidP="003A2709">
      <w:pPr>
        <w:spacing w:after="120"/>
        <w:jc w:val="both"/>
        <w:rPr>
          <w:rFonts w:asciiTheme="minorHAnsi" w:hAnsiTheme="minorHAnsi" w:cstheme="minorHAnsi"/>
        </w:rPr>
      </w:pPr>
      <w:r w:rsidRPr="009B700A">
        <w:rPr>
          <w:rFonts w:asciiTheme="minorHAnsi" w:hAnsiTheme="minorHAnsi" w:cstheme="minorHAnsi"/>
        </w:rPr>
        <w:t>Kontrol</w:t>
      </w:r>
      <w:r>
        <w:rPr>
          <w:rFonts w:asciiTheme="minorHAnsi" w:hAnsiTheme="minorHAnsi" w:cstheme="minorHAnsi"/>
        </w:rPr>
        <w:t>ní zjištění vycházejí z </w:t>
      </w:r>
      <w:r w:rsidR="00706247">
        <w:rPr>
          <w:rFonts w:asciiTheme="minorHAnsi" w:hAnsiTheme="minorHAnsi" w:cstheme="minorHAnsi"/>
        </w:rPr>
        <w:t>kontroly</w:t>
      </w:r>
      <w:r>
        <w:rPr>
          <w:rFonts w:asciiTheme="minorHAnsi" w:hAnsiTheme="minorHAnsi" w:cstheme="minorHAnsi"/>
        </w:rPr>
        <w:t xml:space="preserve"> </w:t>
      </w:r>
      <w:r w:rsidRPr="00EE4DC3">
        <w:rPr>
          <w:rFonts w:asciiTheme="minorHAnsi" w:hAnsiTheme="minorHAnsi" w:cstheme="minorHAnsi"/>
        </w:rPr>
        <w:t>3</w:t>
      </w:r>
      <w:r w:rsidR="00873A5D">
        <w:rPr>
          <w:rFonts w:asciiTheme="minorHAnsi" w:hAnsiTheme="minorHAnsi" w:cstheme="minorHAnsi"/>
        </w:rPr>
        <w:t>1</w:t>
      </w:r>
      <w:r w:rsidRPr="00EE4DC3">
        <w:rPr>
          <w:rFonts w:asciiTheme="minorHAnsi" w:hAnsiTheme="minorHAnsi" w:cstheme="minorHAnsi"/>
        </w:rPr>
        <w:t xml:space="preserve"> investičních akcí uvedených programů </w:t>
      </w:r>
      <w:r>
        <w:rPr>
          <w:rFonts w:asciiTheme="minorHAnsi" w:hAnsiTheme="minorHAnsi" w:cstheme="minorHAnsi"/>
        </w:rPr>
        <w:t>s celkovými výdaji 864</w:t>
      </w:r>
      <w:r w:rsidRPr="00EE4DC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286</w:t>
      </w:r>
      <w:r w:rsidR="00EE046C">
        <w:rPr>
          <w:rFonts w:asciiTheme="minorHAnsi" w:hAnsiTheme="minorHAnsi" w:cstheme="minorHAnsi"/>
        </w:rPr>
        <w:t xml:space="preserve"> mil. Kč (příloha č. 1). </w:t>
      </w:r>
    </w:p>
    <w:p w14:paraId="7BC7ED96" w14:textId="77777777" w:rsidR="00006515" w:rsidRPr="00EE4DC3" w:rsidRDefault="00006515" w:rsidP="00006515">
      <w:pPr>
        <w:jc w:val="both"/>
        <w:rPr>
          <w:rFonts w:asciiTheme="minorHAnsi" w:hAnsiTheme="minorHAnsi" w:cstheme="minorHAnsi"/>
        </w:rPr>
      </w:pPr>
    </w:p>
    <w:p w14:paraId="72D9ECD7" w14:textId="755572C7" w:rsidR="003A2709" w:rsidRDefault="003A2709" w:rsidP="003A2709">
      <w:pPr>
        <w:pStyle w:val="Odstavecseseznamem"/>
        <w:spacing w:after="120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Pr="00571462">
        <w:rPr>
          <w:rFonts w:ascii="Calibri" w:hAnsi="Calibri" w:cs="Calibri"/>
          <w:b/>
        </w:rPr>
        <w:t>KÚ při kontrole zjistil</w:t>
      </w:r>
      <w:r w:rsidR="004C5F90">
        <w:rPr>
          <w:rFonts w:ascii="Calibri" w:hAnsi="Calibri" w:cs="Calibri"/>
          <w:b/>
        </w:rPr>
        <w:t xml:space="preserve"> tyto skutečnosti</w:t>
      </w:r>
      <w:r w:rsidRPr="00571462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</w:p>
    <w:p w14:paraId="3D35F722" w14:textId="7E9C527D" w:rsidR="00E0357F" w:rsidRDefault="003A2709" w:rsidP="003A2709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</w:rPr>
        <w:t xml:space="preserve">Úkolem MV je zajistit </w:t>
      </w:r>
      <w:r w:rsidR="008136EB">
        <w:rPr>
          <w:rFonts w:ascii="Calibri" w:hAnsi="Calibri" w:cs="Calibri"/>
          <w:b/>
        </w:rPr>
        <w:t xml:space="preserve">mimo jiné </w:t>
      </w:r>
      <w:r>
        <w:rPr>
          <w:rFonts w:ascii="Calibri" w:hAnsi="Calibri" w:cs="Calibri"/>
          <w:b/>
        </w:rPr>
        <w:t xml:space="preserve">nutné personální, materiální a technické </w:t>
      </w:r>
      <w:r w:rsidRPr="008B0ADD">
        <w:rPr>
          <w:rFonts w:ascii="Calibri" w:hAnsi="Calibri" w:cs="Calibri"/>
          <w:b/>
        </w:rPr>
        <w:t>podmín</w:t>
      </w:r>
      <w:r>
        <w:rPr>
          <w:rFonts w:ascii="Calibri" w:hAnsi="Calibri" w:cs="Calibri"/>
          <w:b/>
        </w:rPr>
        <w:t>ky</w:t>
      </w:r>
      <w:r w:rsidRPr="008B0ADD">
        <w:rPr>
          <w:rFonts w:ascii="Calibri" w:hAnsi="Calibri" w:cs="Calibri"/>
          <w:b/>
        </w:rPr>
        <w:t xml:space="preserve"> pro </w:t>
      </w:r>
      <w:r w:rsidRPr="00517AF2">
        <w:rPr>
          <w:rFonts w:ascii="Calibri" w:hAnsi="Calibri" w:cs="Calibri"/>
          <w:b/>
        </w:rPr>
        <w:t xml:space="preserve">činnost a trvalou akceschopnost </w:t>
      </w:r>
      <w:r w:rsidRPr="00517AF2">
        <w:rPr>
          <w:rFonts w:asciiTheme="minorHAnsi" w:hAnsiTheme="minorHAnsi" w:cstheme="minorHAnsi"/>
          <w:b/>
        </w:rPr>
        <w:t>Policie</w:t>
      </w:r>
      <w:r w:rsidRPr="00517AF2">
        <w:rPr>
          <w:rFonts w:ascii="Calibri" w:hAnsi="Calibri" w:cs="Calibri"/>
          <w:b/>
        </w:rPr>
        <w:t xml:space="preserve">. </w:t>
      </w:r>
      <w:r w:rsidRPr="008B0ADD">
        <w:rPr>
          <w:rFonts w:ascii="Calibri" w:hAnsi="Calibri" w:cs="Calibri"/>
          <w:b/>
        </w:rPr>
        <w:t xml:space="preserve">Programy rozvoje a obnovy materiálně technické základny </w:t>
      </w:r>
      <w:r w:rsidRPr="00517AF2">
        <w:rPr>
          <w:rFonts w:asciiTheme="minorHAnsi" w:hAnsiTheme="minorHAnsi" w:cstheme="minorHAnsi"/>
          <w:b/>
        </w:rPr>
        <w:t>Policie</w:t>
      </w:r>
      <w:r w:rsidR="00ED6D68">
        <w:rPr>
          <w:rFonts w:ascii="Calibri" w:hAnsi="Calibri" w:cs="Calibri"/>
          <w:b/>
        </w:rPr>
        <w:t xml:space="preserve"> </w:t>
      </w:r>
      <w:r w:rsidRPr="008B0ADD">
        <w:rPr>
          <w:rFonts w:asciiTheme="minorHAnsi" w:hAnsiTheme="minorHAnsi" w:cstheme="minorHAnsi"/>
          <w:b/>
        </w:rPr>
        <w:t xml:space="preserve">zabezpečovaly </w:t>
      </w:r>
      <w:r w:rsidR="00ED6D68">
        <w:rPr>
          <w:rFonts w:asciiTheme="minorHAnsi" w:hAnsiTheme="minorHAnsi" w:cstheme="minorHAnsi"/>
          <w:b/>
        </w:rPr>
        <w:t xml:space="preserve">její </w:t>
      </w:r>
      <w:r>
        <w:rPr>
          <w:rFonts w:asciiTheme="minorHAnsi" w:hAnsiTheme="minorHAnsi" w:cstheme="minorHAnsi"/>
          <w:b/>
        </w:rPr>
        <w:t xml:space="preserve">potřeby nedostatečně. </w:t>
      </w:r>
      <w:r w:rsidRPr="008B0ADD">
        <w:rPr>
          <w:rFonts w:asciiTheme="minorHAnsi" w:hAnsiTheme="minorHAnsi" w:cstheme="minorHAnsi"/>
          <w:b/>
        </w:rPr>
        <w:t xml:space="preserve">Důvodem byl </w:t>
      </w:r>
      <w:r>
        <w:rPr>
          <w:rFonts w:asciiTheme="minorHAnsi" w:hAnsiTheme="minorHAnsi" w:cstheme="minorHAnsi"/>
          <w:b/>
        </w:rPr>
        <w:t xml:space="preserve">nejen </w:t>
      </w:r>
      <w:r w:rsidRPr="008B0ADD">
        <w:rPr>
          <w:rFonts w:asciiTheme="minorHAnsi" w:hAnsiTheme="minorHAnsi" w:cstheme="minorHAnsi"/>
          <w:b/>
        </w:rPr>
        <w:t xml:space="preserve">nedostatek </w:t>
      </w:r>
      <w:r>
        <w:rPr>
          <w:rFonts w:asciiTheme="minorHAnsi" w:hAnsiTheme="minorHAnsi" w:cstheme="minorHAnsi"/>
          <w:b/>
        </w:rPr>
        <w:t>prostředků</w:t>
      </w:r>
      <w:r w:rsidRPr="008B0ADD">
        <w:rPr>
          <w:rFonts w:asciiTheme="minorHAnsi" w:hAnsiTheme="minorHAnsi" w:cstheme="minorHAnsi"/>
          <w:b/>
        </w:rPr>
        <w:t xml:space="preserve"> vyčleňovaných na tuto oblast z rozpočtu MV, ale</w:t>
      </w:r>
      <w:r w:rsidR="0064321D">
        <w:rPr>
          <w:rFonts w:asciiTheme="minorHAnsi" w:hAnsiTheme="minorHAnsi" w:cstheme="minorHAnsi"/>
          <w:b/>
        </w:rPr>
        <w:t> </w:t>
      </w:r>
      <w:r w:rsidRPr="008B0ADD">
        <w:rPr>
          <w:rFonts w:asciiTheme="minorHAnsi" w:hAnsiTheme="minorHAnsi" w:cstheme="minorHAnsi"/>
          <w:b/>
        </w:rPr>
        <w:t>také formální přístup MV</w:t>
      </w:r>
      <w:r>
        <w:rPr>
          <w:rFonts w:asciiTheme="minorHAnsi" w:hAnsiTheme="minorHAnsi" w:cs="Calibri"/>
        </w:rPr>
        <w:t xml:space="preserve"> </w:t>
      </w:r>
      <w:r w:rsidR="00046EFE">
        <w:rPr>
          <w:rFonts w:asciiTheme="minorHAnsi" w:hAnsiTheme="minorHAnsi" w:cstheme="minorHAnsi"/>
          <w:b/>
        </w:rPr>
        <w:t xml:space="preserve">(např. při zpracování dokumentací programů) </w:t>
      </w:r>
      <w:r w:rsidRPr="008B0ADD">
        <w:rPr>
          <w:rFonts w:asciiTheme="minorHAnsi" w:hAnsiTheme="minorHAnsi" w:cstheme="minorHAnsi"/>
          <w:b/>
        </w:rPr>
        <w:t>k</w:t>
      </w:r>
      <w:r>
        <w:rPr>
          <w:rFonts w:asciiTheme="minorHAnsi" w:hAnsiTheme="minorHAnsi" w:cstheme="minorHAnsi"/>
          <w:b/>
        </w:rPr>
        <w:t xml:space="preserve"> </w:t>
      </w:r>
      <w:r w:rsidRPr="008B0ADD">
        <w:rPr>
          <w:rFonts w:asciiTheme="minorHAnsi" w:hAnsiTheme="minorHAnsi" w:cstheme="minorHAnsi"/>
          <w:b/>
        </w:rPr>
        <w:t>systému financování programů</w:t>
      </w:r>
      <w:r>
        <w:rPr>
          <w:rFonts w:asciiTheme="minorHAnsi" w:hAnsiTheme="minorHAnsi" w:cstheme="minorHAnsi"/>
          <w:b/>
        </w:rPr>
        <w:t>. Ten</w:t>
      </w:r>
      <w:r w:rsidR="002616C5">
        <w:rPr>
          <w:rFonts w:asciiTheme="minorHAnsi" w:hAnsiTheme="minorHAnsi" w:cstheme="minorHAnsi"/>
          <w:b/>
        </w:rPr>
        <w:t>to systém</w:t>
      </w:r>
      <w:r w:rsidRPr="008B0ADD">
        <w:rPr>
          <w:rFonts w:asciiTheme="minorHAnsi" w:hAnsiTheme="minorHAnsi" w:cstheme="minorHAnsi"/>
          <w:b/>
        </w:rPr>
        <w:t xml:space="preserve"> </w:t>
      </w:r>
      <w:r w:rsidR="00823A97">
        <w:rPr>
          <w:rFonts w:asciiTheme="minorHAnsi" w:hAnsiTheme="minorHAnsi" w:cstheme="minorHAnsi"/>
          <w:b/>
        </w:rPr>
        <w:t>by měl</w:t>
      </w:r>
      <w:r w:rsidR="00823A97" w:rsidRPr="008B0AD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sloužit k hospodárnému, efektivnímu a účelnému </w:t>
      </w:r>
      <w:r w:rsidRPr="008B0ADD">
        <w:rPr>
          <w:rFonts w:asciiTheme="minorHAnsi" w:hAnsiTheme="minorHAnsi" w:cstheme="minorHAnsi"/>
          <w:b/>
        </w:rPr>
        <w:t>řízení veřejných zdrojů</w:t>
      </w:r>
      <w:r>
        <w:rPr>
          <w:rFonts w:asciiTheme="minorHAnsi" w:hAnsiTheme="minorHAnsi" w:cstheme="minorHAnsi"/>
          <w:b/>
        </w:rPr>
        <w:t>.</w:t>
      </w:r>
      <w:r w:rsidR="00655F63">
        <w:rPr>
          <w:rFonts w:asciiTheme="minorHAnsi" w:hAnsiTheme="minorHAnsi" w:cstheme="minorHAnsi"/>
          <w:b/>
        </w:rPr>
        <w:t xml:space="preserve"> </w:t>
      </w:r>
      <w:r w:rsidR="00655F63" w:rsidRPr="00655F63">
        <w:rPr>
          <w:rFonts w:asciiTheme="minorHAnsi" w:hAnsiTheme="minorHAnsi" w:cstheme="minorHAnsi"/>
          <w:b/>
        </w:rPr>
        <w:t xml:space="preserve">V kontrolovaném období </w:t>
      </w:r>
      <w:r w:rsidR="004236D4">
        <w:rPr>
          <w:rFonts w:asciiTheme="minorHAnsi" w:hAnsiTheme="minorHAnsi" w:cstheme="minorHAnsi"/>
          <w:b/>
        </w:rPr>
        <w:t xml:space="preserve">MV </w:t>
      </w:r>
      <w:r w:rsidR="00655F63" w:rsidRPr="00655F63">
        <w:rPr>
          <w:rFonts w:asciiTheme="minorHAnsi" w:hAnsiTheme="minorHAnsi" w:cstheme="minorHAnsi"/>
          <w:b/>
        </w:rPr>
        <w:t>financovalo rozvoj a obnovu majetku Policie v rámci sedmi programů</w:t>
      </w:r>
      <w:r w:rsidR="00676C2B">
        <w:rPr>
          <w:rFonts w:asciiTheme="minorHAnsi" w:hAnsiTheme="minorHAnsi" w:cstheme="minorHAnsi"/>
          <w:b/>
        </w:rPr>
        <w:t xml:space="preserve">, které měly </w:t>
      </w:r>
      <w:r w:rsidR="00655F63" w:rsidRPr="00655F63">
        <w:rPr>
          <w:rFonts w:asciiTheme="minorHAnsi" w:hAnsiTheme="minorHAnsi" w:cstheme="minorHAnsi"/>
          <w:b/>
        </w:rPr>
        <w:t>obdobn</w:t>
      </w:r>
      <w:r w:rsidR="00676C2B">
        <w:rPr>
          <w:rFonts w:asciiTheme="minorHAnsi" w:hAnsiTheme="minorHAnsi" w:cstheme="minorHAnsi"/>
          <w:b/>
        </w:rPr>
        <w:t>é</w:t>
      </w:r>
      <w:r w:rsidR="00655F63" w:rsidRPr="00655F63">
        <w:rPr>
          <w:rFonts w:asciiTheme="minorHAnsi" w:hAnsiTheme="minorHAnsi" w:cstheme="minorHAnsi"/>
          <w:b/>
        </w:rPr>
        <w:t xml:space="preserve"> věcn</w:t>
      </w:r>
      <w:r w:rsidR="00676C2B">
        <w:rPr>
          <w:rFonts w:asciiTheme="minorHAnsi" w:hAnsiTheme="minorHAnsi" w:cstheme="minorHAnsi"/>
          <w:b/>
        </w:rPr>
        <w:t>é</w:t>
      </w:r>
      <w:r w:rsidR="00655F63" w:rsidRPr="00655F63">
        <w:rPr>
          <w:rFonts w:asciiTheme="minorHAnsi" w:hAnsiTheme="minorHAnsi" w:cstheme="minorHAnsi"/>
          <w:b/>
        </w:rPr>
        <w:t xml:space="preserve"> zaměření</w:t>
      </w:r>
      <w:r w:rsidR="00823A97">
        <w:rPr>
          <w:rFonts w:asciiTheme="minorHAnsi" w:hAnsiTheme="minorHAnsi" w:cstheme="minorHAnsi"/>
          <w:b/>
        </w:rPr>
        <w:t xml:space="preserve"> </w:t>
      </w:r>
      <w:r w:rsidR="00676C2B">
        <w:rPr>
          <w:rFonts w:asciiTheme="minorHAnsi" w:hAnsiTheme="minorHAnsi" w:cstheme="minorHAnsi"/>
          <w:b/>
        </w:rPr>
        <w:t>a</w:t>
      </w:r>
      <w:r w:rsidR="00823A97">
        <w:rPr>
          <w:rFonts w:asciiTheme="minorHAnsi" w:hAnsiTheme="minorHAnsi" w:cstheme="minorHAnsi"/>
          <w:b/>
        </w:rPr>
        <w:t xml:space="preserve"> vzájemně </w:t>
      </w:r>
      <w:r w:rsidR="00676C2B">
        <w:rPr>
          <w:rFonts w:asciiTheme="minorHAnsi" w:hAnsiTheme="minorHAnsi" w:cstheme="minorHAnsi"/>
          <w:b/>
        </w:rPr>
        <w:t xml:space="preserve">se </w:t>
      </w:r>
      <w:r w:rsidR="00823A97">
        <w:rPr>
          <w:rFonts w:asciiTheme="minorHAnsi" w:hAnsiTheme="minorHAnsi" w:cstheme="minorHAnsi"/>
          <w:b/>
        </w:rPr>
        <w:t>překrývaly</w:t>
      </w:r>
      <w:r w:rsidR="005673C1">
        <w:rPr>
          <w:rFonts w:asciiTheme="minorHAnsi" w:hAnsiTheme="minorHAnsi" w:cstheme="minorHAnsi"/>
          <w:b/>
        </w:rPr>
        <w:t>.</w:t>
      </w:r>
    </w:p>
    <w:p w14:paraId="5061B9E7" w14:textId="4E157BF2" w:rsidR="00E0357F" w:rsidRDefault="00E0357F" w:rsidP="00E0357F">
      <w:pPr>
        <w:spacing w:after="120"/>
        <w:jc w:val="both"/>
        <w:rPr>
          <w:rFonts w:ascii="Calibri" w:hAnsi="Calibri" w:cs="Calibri"/>
          <w:b/>
        </w:rPr>
      </w:pPr>
      <w:r w:rsidRPr="00C93AC2">
        <w:rPr>
          <w:rFonts w:asciiTheme="minorHAnsi" w:hAnsiTheme="minorHAnsi" w:cstheme="minorHAnsi"/>
          <w:b/>
        </w:rPr>
        <w:t>Rozdíl mezi zajištěnými a nezajištěnými zdroji státního rozpočtu v</w:t>
      </w:r>
      <w:r>
        <w:rPr>
          <w:rFonts w:asciiTheme="minorHAnsi" w:hAnsiTheme="minorHAnsi" w:cstheme="minorHAnsi"/>
          <w:b/>
        </w:rPr>
        <w:t xml:space="preserve"> dokumentacích </w:t>
      </w:r>
      <w:r w:rsidRPr="00C93AC2">
        <w:rPr>
          <w:rFonts w:asciiTheme="minorHAnsi" w:hAnsiTheme="minorHAnsi" w:cstheme="minorHAnsi"/>
          <w:b/>
        </w:rPr>
        <w:t>program</w:t>
      </w:r>
      <w:r>
        <w:rPr>
          <w:rFonts w:asciiTheme="minorHAnsi" w:hAnsiTheme="minorHAnsi" w:cstheme="minorHAnsi"/>
          <w:b/>
        </w:rPr>
        <w:t>ů 014 110, 014 120, 014 130 a 014 140</w:t>
      </w:r>
      <w:r w:rsidRPr="00C93AC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na</w:t>
      </w:r>
      <w:r w:rsidRPr="00C93AC2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>roky</w:t>
      </w:r>
      <w:r w:rsidRPr="00C93AC2">
        <w:rPr>
          <w:rFonts w:asciiTheme="minorHAnsi" w:hAnsiTheme="minorHAnsi" w:cstheme="minorHAnsi"/>
          <w:b/>
        </w:rPr>
        <w:t xml:space="preserve"> 2016 až 2020 </w:t>
      </w:r>
      <w:r>
        <w:rPr>
          <w:rFonts w:asciiTheme="minorHAnsi" w:hAnsiTheme="minorHAnsi" w:cstheme="minorHAnsi"/>
          <w:b/>
        </w:rPr>
        <w:t>činí</w:t>
      </w:r>
      <w:r w:rsidRPr="00C93AC2">
        <w:rPr>
          <w:rFonts w:asciiTheme="minorHAnsi" w:hAnsiTheme="minorHAnsi" w:cstheme="minorHAnsi"/>
          <w:b/>
        </w:rPr>
        <w:t xml:space="preserve"> přibli</w:t>
      </w:r>
      <w:r w:rsidRPr="00F01C62">
        <w:rPr>
          <w:rFonts w:ascii="Calibri" w:hAnsi="Calibri" w:cs="Calibri"/>
          <w:b/>
        </w:rPr>
        <w:t>žně 11,4 miliardy korun</w:t>
      </w:r>
      <w:r w:rsidR="002616C5">
        <w:rPr>
          <w:rFonts w:ascii="Calibri" w:hAnsi="Calibri" w:cs="Calibri"/>
          <w:b/>
        </w:rPr>
        <w:t xml:space="preserve"> a</w:t>
      </w:r>
      <w:r>
        <w:rPr>
          <w:rFonts w:ascii="Calibri" w:hAnsi="Calibri" w:cs="Calibri"/>
          <w:b/>
        </w:rPr>
        <w:t xml:space="preserve"> </w:t>
      </w:r>
      <w:r w:rsidRPr="00F76DAA">
        <w:rPr>
          <w:rFonts w:ascii="Calibri" w:hAnsi="Calibri" w:cs="Calibri"/>
          <w:b/>
        </w:rPr>
        <w:t>výrazně oslabuje plnění cílů</w:t>
      </w:r>
      <w:r>
        <w:rPr>
          <w:rFonts w:ascii="Calibri" w:hAnsi="Calibri" w:cs="Calibri"/>
          <w:b/>
        </w:rPr>
        <w:t xml:space="preserve"> uvedených v nedávno schválených koncepčních dokumentech a také cílů </w:t>
      </w:r>
      <w:r w:rsidRPr="00C63F30">
        <w:rPr>
          <w:rFonts w:ascii="Calibri" w:hAnsi="Calibri" w:cs="Calibri"/>
          <w:b/>
        </w:rPr>
        <w:t>programů</w:t>
      </w:r>
      <w:r>
        <w:rPr>
          <w:rFonts w:ascii="Calibri" w:hAnsi="Calibri" w:cs="Calibri"/>
          <w:b/>
        </w:rPr>
        <w:t xml:space="preserve">, které </w:t>
      </w:r>
      <w:r>
        <w:rPr>
          <w:rFonts w:asciiTheme="minorHAnsi" w:hAnsiTheme="minorHAnsi" w:cstheme="minorHAnsi"/>
          <w:b/>
        </w:rPr>
        <w:t xml:space="preserve">se </w:t>
      </w:r>
      <w:r>
        <w:rPr>
          <w:rFonts w:asciiTheme="minorHAnsi" w:hAnsiTheme="minorHAnsi" w:cs="Arial"/>
          <w:b/>
        </w:rPr>
        <w:t>nedaří plnit</w:t>
      </w:r>
      <w:r>
        <w:rPr>
          <w:rFonts w:asciiTheme="minorHAnsi" w:hAnsiTheme="minorHAnsi" w:cstheme="minorHAnsi"/>
          <w:b/>
        </w:rPr>
        <w:t xml:space="preserve"> v potřebném rozsahu a času</w:t>
      </w:r>
      <w:r w:rsidRPr="00F76DAA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3931F2">
        <w:rPr>
          <w:rFonts w:ascii="Calibri" w:hAnsi="Calibri" w:cs="Calibri"/>
          <w:b/>
        </w:rPr>
        <w:t>Obměna a pořízení potřebného majetku</w:t>
      </w:r>
      <w:r>
        <w:rPr>
          <w:rFonts w:asciiTheme="minorHAnsi" w:hAnsiTheme="minorHAnsi" w:cstheme="minorHAnsi"/>
          <w:b/>
        </w:rPr>
        <w:t>,</w:t>
      </w:r>
      <w:r w:rsidRPr="003931F2">
        <w:rPr>
          <w:rFonts w:ascii="Calibri" w:hAnsi="Calibri" w:cs="Calibri"/>
          <w:b/>
        </w:rPr>
        <w:t xml:space="preserve"> včetně realizace významných investičních akcí</w:t>
      </w:r>
      <w:r w:rsidR="00676C2B">
        <w:rPr>
          <w:rFonts w:ascii="Calibri" w:hAnsi="Calibri" w:cs="Calibri"/>
          <w:b/>
        </w:rPr>
        <w:t>,</w:t>
      </w:r>
      <w:r w:rsidRPr="003931F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se proto odsouv</w:t>
      </w:r>
      <w:r w:rsidR="00676C2B">
        <w:rPr>
          <w:rFonts w:ascii="Calibri" w:hAnsi="Calibri" w:cs="Calibri"/>
          <w:b/>
        </w:rPr>
        <w:t>ají</w:t>
      </w:r>
      <w:r>
        <w:rPr>
          <w:rFonts w:ascii="Calibri" w:hAnsi="Calibri" w:cs="Calibri"/>
          <w:b/>
        </w:rPr>
        <w:t xml:space="preserve"> </w:t>
      </w:r>
      <w:proofErr w:type="gramStart"/>
      <w:r>
        <w:rPr>
          <w:rFonts w:ascii="Calibri" w:hAnsi="Calibri" w:cs="Calibri"/>
          <w:b/>
        </w:rPr>
        <w:t>do</w:t>
      </w:r>
      <w:proofErr w:type="gramEnd"/>
      <w:r>
        <w:rPr>
          <w:rFonts w:ascii="Calibri" w:hAnsi="Calibri" w:cs="Calibri"/>
          <w:b/>
        </w:rPr>
        <w:t xml:space="preserve"> dalších let (např. nákup velkokapacitních vrtulníků).</w:t>
      </w:r>
    </w:p>
    <w:p w14:paraId="1E94E340" w14:textId="31E6B1A4" w:rsidR="00823A97" w:rsidRDefault="003A2709" w:rsidP="003A2709">
      <w:pPr>
        <w:spacing w:after="120"/>
        <w:jc w:val="both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>R</w:t>
      </w:r>
      <w:r w:rsidRPr="00F76DAA">
        <w:rPr>
          <w:rFonts w:asciiTheme="minorHAnsi" w:hAnsiTheme="minorHAnsi" w:cstheme="minorHAnsi"/>
          <w:b/>
        </w:rPr>
        <w:t xml:space="preserve">ealizace programů </w:t>
      </w:r>
      <w:r w:rsidRPr="00F76DAA">
        <w:rPr>
          <w:rFonts w:asciiTheme="minorHAnsi" w:hAnsiTheme="minorHAnsi" w:cs="Arial"/>
          <w:b/>
        </w:rPr>
        <w:t>214 110, 114 110 a 114</w:t>
      </w:r>
      <w:r>
        <w:rPr>
          <w:rFonts w:asciiTheme="minorHAnsi" w:hAnsiTheme="minorHAnsi" w:cs="Arial"/>
          <w:b/>
        </w:rPr>
        <w:t xml:space="preserve"> 120 </w:t>
      </w:r>
      <w:r w:rsidRPr="00F76DAA">
        <w:rPr>
          <w:rFonts w:asciiTheme="minorHAnsi" w:hAnsiTheme="minorHAnsi" w:cs="Arial"/>
          <w:b/>
        </w:rPr>
        <w:t xml:space="preserve">nevycházela </w:t>
      </w:r>
      <w:r w:rsidRPr="00F76DAA">
        <w:rPr>
          <w:rFonts w:asciiTheme="minorHAnsi" w:hAnsiTheme="minorHAnsi" w:cstheme="minorHAnsi"/>
          <w:b/>
        </w:rPr>
        <w:t>z jasně definovaných potřeb</w:t>
      </w:r>
      <w:r>
        <w:rPr>
          <w:rFonts w:asciiTheme="minorHAnsi" w:hAnsiTheme="minorHAnsi" w:cstheme="minorHAnsi"/>
          <w:b/>
        </w:rPr>
        <w:t xml:space="preserve">. Koncepční dokumenty </w:t>
      </w:r>
      <w:r w:rsidRPr="00F76DAA">
        <w:rPr>
          <w:rFonts w:asciiTheme="minorHAnsi" w:hAnsiTheme="minorHAnsi" w:cstheme="minorHAnsi"/>
          <w:b/>
        </w:rPr>
        <w:t>MV, které by obsahovaly hodnocení stavu a</w:t>
      </w:r>
      <w:r>
        <w:rPr>
          <w:rFonts w:asciiTheme="minorHAnsi" w:hAnsiTheme="minorHAnsi" w:cstheme="minorHAnsi"/>
          <w:b/>
        </w:rPr>
        <w:t xml:space="preserve"> </w:t>
      </w:r>
      <w:r w:rsidR="00676C2B">
        <w:rPr>
          <w:rFonts w:asciiTheme="minorHAnsi" w:hAnsiTheme="minorHAnsi" w:cstheme="minorHAnsi"/>
          <w:b/>
        </w:rPr>
        <w:t xml:space="preserve">predikci </w:t>
      </w:r>
      <w:r>
        <w:rPr>
          <w:rFonts w:asciiTheme="minorHAnsi" w:hAnsiTheme="minorHAnsi" w:cstheme="minorHAnsi"/>
          <w:b/>
        </w:rPr>
        <w:t>vývoj</w:t>
      </w:r>
      <w:r w:rsidR="00676C2B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 potřeb Policie</w:t>
      </w:r>
      <w:r w:rsidR="0087573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v</w:t>
      </w:r>
      <w:r w:rsidR="00875733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>oblasti materiálních zdrojů, vznikly až v roce 2015, resp. 2017. Z</w:t>
      </w:r>
      <w:r w:rsidR="0064321D">
        <w:rPr>
          <w:rFonts w:asciiTheme="minorHAnsi" w:hAnsiTheme="minorHAnsi" w:cstheme="minorHAnsi"/>
          <w:b/>
        </w:rPr>
        <w:t> </w:t>
      </w:r>
      <w:r w:rsidRPr="00F76DAA">
        <w:rPr>
          <w:rFonts w:asciiTheme="minorHAnsi" w:hAnsiTheme="minorHAnsi" w:cstheme="minorHAnsi"/>
          <w:b/>
        </w:rPr>
        <w:t xml:space="preserve">dokumentací programů </w:t>
      </w:r>
      <w:r>
        <w:rPr>
          <w:rFonts w:asciiTheme="minorHAnsi" w:hAnsiTheme="minorHAnsi" w:cstheme="minorHAnsi"/>
          <w:b/>
        </w:rPr>
        <w:t xml:space="preserve">tak nelze např. </w:t>
      </w:r>
      <w:r w:rsidRPr="00F76DAA">
        <w:rPr>
          <w:rFonts w:asciiTheme="minorHAnsi" w:hAnsiTheme="minorHAnsi" w:cstheme="minorHAnsi"/>
          <w:b/>
        </w:rPr>
        <w:t>vyčíst</w:t>
      </w:r>
      <w:r>
        <w:rPr>
          <w:rFonts w:asciiTheme="minorHAnsi" w:hAnsiTheme="minorHAnsi" w:cstheme="minorHAnsi"/>
          <w:b/>
        </w:rPr>
        <w:t>, do jaké míry měly</w:t>
      </w:r>
      <w:r w:rsidRPr="00F76DA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programy </w:t>
      </w:r>
      <w:r w:rsidRPr="00F76DAA">
        <w:rPr>
          <w:rFonts w:asciiTheme="minorHAnsi" w:hAnsiTheme="minorHAnsi" w:cstheme="minorHAnsi"/>
          <w:b/>
        </w:rPr>
        <w:t xml:space="preserve">přispět k uspokojení potřeb </w:t>
      </w:r>
      <w:r w:rsidR="00426A01">
        <w:rPr>
          <w:rFonts w:asciiTheme="minorHAnsi" w:hAnsiTheme="minorHAnsi" w:cstheme="minorHAnsi"/>
          <w:b/>
        </w:rPr>
        <w:t>Policie</w:t>
      </w:r>
      <w:r w:rsidRPr="00F76DAA">
        <w:rPr>
          <w:rFonts w:asciiTheme="minorHAnsi" w:hAnsiTheme="minorHAnsi" w:cstheme="minorHAnsi"/>
          <w:b/>
        </w:rPr>
        <w:t xml:space="preserve"> v oblasti její materiálně technické základny</w:t>
      </w:r>
      <w:r w:rsidRPr="00664BD9">
        <w:rPr>
          <w:rFonts w:asciiTheme="minorHAnsi" w:hAnsiTheme="minorHAnsi" w:cstheme="minorHAnsi"/>
          <w:b/>
        </w:rPr>
        <w:t xml:space="preserve">. </w:t>
      </w:r>
      <w:r w:rsidR="00792E4A" w:rsidRPr="00664BD9">
        <w:rPr>
          <w:rFonts w:ascii="Calibri" w:hAnsi="Calibri" w:cs="Calibri"/>
          <w:b/>
        </w:rPr>
        <w:t xml:space="preserve">Programy </w:t>
      </w:r>
      <w:r w:rsidR="00792E4A" w:rsidRPr="00664BD9">
        <w:rPr>
          <w:rFonts w:asciiTheme="minorHAnsi" w:hAnsiTheme="minorHAnsi" w:cs="Arial"/>
          <w:b/>
        </w:rPr>
        <w:t xml:space="preserve">114 110 a 114 120 </w:t>
      </w:r>
      <w:r w:rsidR="00792E4A" w:rsidRPr="00664BD9">
        <w:rPr>
          <w:rFonts w:ascii="Calibri" w:hAnsi="Calibri" w:cs="Calibri"/>
          <w:b/>
        </w:rPr>
        <w:t xml:space="preserve">MV </w:t>
      </w:r>
      <w:r w:rsidR="003378D0">
        <w:rPr>
          <w:rFonts w:ascii="Calibri" w:hAnsi="Calibri" w:cs="Calibri"/>
          <w:b/>
        </w:rPr>
        <w:t xml:space="preserve">zároveň </w:t>
      </w:r>
      <w:r w:rsidR="00792E4A" w:rsidRPr="00664BD9">
        <w:rPr>
          <w:rFonts w:ascii="Calibri" w:hAnsi="Calibri" w:cs="Calibri"/>
          <w:b/>
        </w:rPr>
        <w:lastRenderedPageBreak/>
        <w:t>nepřipravilo tak, aby pomohly k plnění předpokládaných cílů a zabezpečily co nejvyšší efektivnost vynakládaných prostředků</w:t>
      </w:r>
      <w:r w:rsidR="00A8068D" w:rsidRPr="00664BD9">
        <w:rPr>
          <w:rFonts w:ascii="Calibri" w:hAnsi="Calibri" w:cs="Calibri"/>
          <w:b/>
        </w:rPr>
        <w:t>.</w:t>
      </w:r>
      <w:r w:rsidR="00373766">
        <w:rPr>
          <w:rFonts w:ascii="Calibri" w:hAnsi="Calibri" w:cs="Calibri"/>
          <w:b/>
        </w:rPr>
        <w:t xml:space="preserve"> </w:t>
      </w:r>
    </w:p>
    <w:p w14:paraId="13998FC6" w14:textId="380CC1FD" w:rsidR="00823A97" w:rsidRDefault="00823A97" w:rsidP="003A2709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Plánování a plnění cílů programů komplikovalo i to, že s</w:t>
      </w:r>
      <w:r w:rsidR="00373766">
        <w:rPr>
          <w:rFonts w:ascii="Calibri" w:hAnsi="Calibri" w:cs="Calibri"/>
          <w:b/>
        </w:rPr>
        <w:t>ystemizace a sta</w:t>
      </w:r>
      <w:r w:rsidR="003378D0">
        <w:rPr>
          <w:rFonts w:ascii="Calibri" w:hAnsi="Calibri" w:cs="Calibri"/>
          <w:b/>
        </w:rPr>
        <w:t>ndardizace majetku Policie neexistoval</w:t>
      </w:r>
      <w:r w:rsidR="00676C2B">
        <w:rPr>
          <w:rFonts w:ascii="Calibri" w:hAnsi="Calibri" w:cs="Calibri"/>
          <w:b/>
        </w:rPr>
        <w:t>y</w:t>
      </w:r>
      <w:r w:rsidR="003378D0">
        <w:rPr>
          <w:rFonts w:ascii="Calibri" w:hAnsi="Calibri" w:cs="Calibri"/>
          <w:b/>
        </w:rPr>
        <w:t xml:space="preserve"> nebo nebyl</w:t>
      </w:r>
      <w:r w:rsidR="00676C2B">
        <w:rPr>
          <w:rFonts w:ascii="Calibri" w:hAnsi="Calibri" w:cs="Calibri"/>
          <w:b/>
        </w:rPr>
        <w:t>y</w:t>
      </w:r>
      <w:r w:rsidR="003378D0">
        <w:rPr>
          <w:rFonts w:ascii="Calibri" w:hAnsi="Calibri" w:cs="Calibri"/>
          <w:b/>
        </w:rPr>
        <w:t xml:space="preserve"> aktuální</w:t>
      </w:r>
      <w:r>
        <w:rPr>
          <w:rFonts w:ascii="Calibri" w:hAnsi="Calibri" w:cs="Calibri"/>
          <w:b/>
        </w:rPr>
        <w:t xml:space="preserve">. Například </w:t>
      </w:r>
      <w:r w:rsidR="00413353" w:rsidRPr="00664BD9">
        <w:rPr>
          <w:rFonts w:ascii="Calibri" w:hAnsi="Calibri" w:cs="Calibri"/>
          <w:b/>
        </w:rPr>
        <w:t xml:space="preserve">systemizace služebních dopravních </w:t>
      </w:r>
      <w:r>
        <w:rPr>
          <w:rFonts w:ascii="Calibri" w:hAnsi="Calibri" w:cs="Calibri"/>
          <w:b/>
        </w:rPr>
        <w:t xml:space="preserve">prostředků z roku </w:t>
      </w:r>
      <w:r w:rsidR="00413353" w:rsidRPr="00664BD9">
        <w:rPr>
          <w:rFonts w:ascii="Calibri" w:hAnsi="Calibri" w:cs="Calibri"/>
          <w:b/>
        </w:rPr>
        <w:t>2008</w:t>
      </w:r>
      <w:r w:rsidR="005D314D" w:rsidRPr="00664BD9">
        <w:rPr>
          <w:rFonts w:ascii="Calibri" w:hAnsi="Calibri" w:cs="Calibri"/>
          <w:b/>
        </w:rPr>
        <w:t xml:space="preserve"> </w:t>
      </w:r>
      <w:r w:rsidR="00302120">
        <w:rPr>
          <w:rFonts w:ascii="Calibri" w:hAnsi="Calibri" w:cs="Calibri"/>
          <w:b/>
        </w:rPr>
        <w:t>již</w:t>
      </w:r>
      <w:r>
        <w:rPr>
          <w:rFonts w:ascii="Calibri" w:hAnsi="Calibri" w:cs="Calibri"/>
          <w:b/>
        </w:rPr>
        <w:t xml:space="preserve"> neodpovídala aktuálním potřebám Policie. </w:t>
      </w:r>
      <w:r w:rsidR="005D314D" w:rsidRPr="00664BD9">
        <w:rPr>
          <w:rFonts w:ascii="Calibri" w:hAnsi="Calibri" w:cs="Calibri"/>
          <w:b/>
        </w:rPr>
        <w:t xml:space="preserve">NKÚ </w:t>
      </w:r>
      <w:r>
        <w:rPr>
          <w:rFonts w:ascii="Calibri" w:hAnsi="Calibri" w:cs="Calibri"/>
          <w:b/>
        </w:rPr>
        <w:t>na tento nedostatek upozornil i</w:t>
      </w:r>
      <w:r w:rsidR="000752E1" w:rsidRPr="00664BD9">
        <w:rPr>
          <w:rFonts w:ascii="Calibri" w:hAnsi="Calibri" w:cs="Calibri"/>
          <w:b/>
        </w:rPr>
        <w:t xml:space="preserve"> </w:t>
      </w:r>
      <w:r w:rsidR="005D314D" w:rsidRPr="00664BD9">
        <w:rPr>
          <w:rFonts w:ascii="Calibri" w:hAnsi="Calibri" w:cs="Calibri"/>
          <w:b/>
        </w:rPr>
        <w:t>v roce 2012</w:t>
      </w:r>
      <w:r w:rsidR="005C2AD4">
        <w:rPr>
          <w:rFonts w:ascii="Calibri" w:hAnsi="Calibri" w:cs="Calibri"/>
          <w:b/>
        </w:rPr>
        <w:t>.</w:t>
      </w:r>
      <w:r w:rsidR="00B96739">
        <w:rPr>
          <w:rFonts w:ascii="Calibri" w:hAnsi="Calibri" w:cs="Calibri"/>
          <w:b/>
        </w:rPr>
        <w:t xml:space="preserve"> </w:t>
      </w:r>
    </w:p>
    <w:p w14:paraId="308E92DA" w14:textId="7254A8AD" w:rsidR="00413353" w:rsidRDefault="003A2709" w:rsidP="003A2709">
      <w:pPr>
        <w:spacing w:after="120"/>
        <w:jc w:val="both"/>
        <w:rPr>
          <w:rFonts w:asciiTheme="minorHAnsi" w:hAnsiTheme="minorHAnsi" w:cstheme="minorHAnsi"/>
          <w:b/>
        </w:rPr>
      </w:pPr>
      <w:r w:rsidRPr="00F76DAA">
        <w:rPr>
          <w:rFonts w:asciiTheme="minorHAnsi" w:hAnsiTheme="minorHAnsi" w:cstheme="minorHAnsi"/>
          <w:b/>
        </w:rPr>
        <w:t xml:space="preserve">Prostředky </w:t>
      </w:r>
      <w:r w:rsidR="00C27A29">
        <w:rPr>
          <w:rFonts w:asciiTheme="minorHAnsi" w:hAnsiTheme="minorHAnsi" w:cstheme="minorHAnsi"/>
          <w:b/>
        </w:rPr>
        <w:t xml:space="preserve">poskytnuté z programů </w:t>
      </w:r>
      <w:r w:rsidRPr="00F76DAA">
        <w:rPr>
          <w:rFonts w:asciiTheme="minorHAnsi" w:hAnsiTheme="minorHAnsi" w:cstheme="minorHAnsi"/>
          <w:b/>
        </w:rPr>
        <w:t xml:space="preserve">byly vynaloženy </w:t>
      </w:r>
      <w:r w:rsidR="001C4F93">
        <w:rPr>
          <w:rFonts w:asciiTheme="minorHAnsi" w:hAnsiTheme="minorHAnsi" w:cstheme="minorHAnsi"/>
          <w:b/>
        </w:rPr>
        <w:t>na stanoven</w:t>
      </w:r>
      <w:r w:rsidR="00676C2B">
        <w:rPr>
          <w:rFonts w:asciiTheme="minorHAnsi" w:hAnsiTheme="minorHAnsi" w:cstheme="minorHAnsi"/>
          <w:b/>
        </w:rPr>
        <w:t>é</w:t>
      </w:r>
      <w:r w:rsidR="001C4F93">
        <w:rPr>
          <w:rFonts w:asciiTheme="minorHAnsi" w:hAnsiTheme="minorHAnsi" w:cstheme="minorHAnsi"/>
          <w:b/>
        </w:rPr>
        <w:t xml:space="preserve"> účel</w:t>
      </w:r>
      <w:r w:rsidR="00676C2B">
        <w:rPr>
          <w:rFonts w:asciiTheme="minorHAnsi" w:hAnsiTheme="minorHAnsi" w:cstheme="minorHAnsi"/>
          <w:b/>
        </w:rPr>
        <w:t>y</w:t>
      </w:r>
      <w:r w:rsidR="002C0D33">
        <w:rPr>
          <w:rFonts w:asciiTheme="minorHAnsi" w:hAnsiTheme="minorHAnsi" w:cstheme="minorHAnsi"/>
          <w:b/>
        </w:rPr>
        <w:t>.</w:t>
      </w:r>
      <w:r w:rsidR="00BE4A04">
        <w:rPr>
          <w:rFonts w:asciiTheme="minorHAnsi" w:hAnsiTheme="minorHAnsi" w:cstheme="minorHAnsi"/>
          <w:b/>
        </w:rPr>
        <w:t xml:space="preserve"> </w:t>
      </w:r>
      <w:r w:rsidR="002C0D33">
        <w:rPr>
          <w:rFonts w:asciiTheme="minorHAnsi" w:hAnsiTheme="minorHAnsi" w:cstheme="minorHAnsi"/>
          <w:b/>
        </w:rPr>
        <w:t>U</w:t>
      </w:r>
      <w:r w:rsidR="002C0D33" w:rsidRPr="00F76DAA">
        <w:rPr>
          <w:rFonts w:asciiTheme="minorHAnsi" w:hAnsiTheme="minorHAnsi" w:cstheme="minorHAnsi"/>
          <w:b/>
        </w:rPr>
        <w:t> </w:t>
      </w:r>
      <w:r w:rsidR="00BE4A04" w:rsidRPr="00F76DAA">
        <w:rPr>
          <w:rFonts w:asciiTheme="minorHAnsi" w:hAnsiTheme="minorHAnsi" w:cstheme="minorHAnsi"/>
          <w:b/>
        </w:rPr>
        <w:t xml:space="preserve">většiny kontrolovaných </w:t>
      </w:r>
      <w:r w:rsidR="00BE4A04">
        <w:rPr>
          <w:rFonts w:asciiTheme="minorHAnsi" w:hAnsiTheme="minorHAnsi" w:cstheme="minorHAnsi"/>
          <w:b/>
        </w:rPr>
        <w:t xml:space="preserve">investičních </w:t>
      </w:r>
      <w:r w:rsidR="00BE4A04" w:rsidRPr="00F76DAA">
        <w:rPr>
          <w:rFonts w:asciiTheme="minorHAnsi" w:hAnsiTheme="minorHAnsi" w:cstheme="minorHAnsi"/>
          <w:b/>
        </w:rPr>
        <w:t xml:space="preserve">akcí </w:t>
      </w:r>
      <w:r w:rsidR="00CC1A00">
        <w:rPr>
          <w:rFonts w:asciiTheme="minorHAnsi" w:hAnsiTheme="minorHAnsi" w:cstheme="minorHAnsi"/>
          <w:b/>
        </w:rPr>
        <w:t>NKÚ ne</w:t>
      </w:r>
      <w:r w:rsidR="00BE4A04" w:rsidRPr="00F76DAA">
        <w:rPr>
          <w:rFonts w:asciiTheme="minorHAnsi" w:hAnsiTheme="minorHAnsi" w:cstheme="minorHAnsi"/>
          <w:b/>
        </w:rPr>
        <w:t>zji</w:t>
      </w:r>
      <w:r w:rsidR="00CC1A00">
        <w:rPr>
          <w:rFonts w:asciiTheme="minorHAnsi" w:hAnsiTheme="minorHAnsi" w:cstheme="minorHAnsi"/>
          <w:b/>
        </w:rPr>
        <w:t>stil</w:t>
      </w:r>
      <w:r w:rsidR="00BE4A04" w:rsidRPr="00F76DAA">
        <w:rPr>
          <w:rFonts w:asciiTheme="minorHAnsi" w:hAnsiTheme="minorHAnsi" w:cstheme="minorHAnsi"/>
          <w:b/>
        </w:rPr>
        <w:t xml:space="preserve"> </w:t>
      </w:r>
      <w:r w:rsidR="00BE4A04">
        <w:rPr>
          <w:rFonts w:asciiTheme="minorHAnsi" w:hAnsiTheme="minorHAnsi" w:cstheme="minorHAnsi"/>
          <w:b/>
        </w:rPr>
        <w:t>závažná porušení právních předpisů</w:t>
      </w:r>
      <w:r w:rsidR="00BE4A04" w:rsidRPr="00F76DAA">
        <w:rPr>
          <w:rFonts w:asciiTheme="minorHAnsi" w:hAnsiTheme="minorHAnsi" w:cstheme="minorHAnsi"/>
          <w:b/>
        </w:rPr>
        <w:t>.</w:t>
      </w:r>
      <w:r w:rsidR="00BE4A04">
        <w:rPr>
          <w:rFonts w:asciiTheme="minorHAnsi" w:hAnsiTheme="minorHAnsi" w:cstheme="minorHAnsi"/>
          <w:b/>
        </w:rPr>
        <w:t xml:space="preserve"> </w:t>
      </w:r>
      <w:r w:rsidR="00C93AC2" w:rsidRPr="00F76DAA">
        <w:rPr>
          <w:rFonts w:asciiTheme="minorHAnsi" w:hAnsiTheme="minorHAnsi" w:cstheme="minorHAnsi"/>
          <w:b/>
        </w:rPr>
        <w:t>V průběhu realizace program</w:t>
      </w:r>
      <w:r w:rsidR="00C93AC2">
        <w:rPr>
          <w:rFonts w:asciiTheme="minorHAnsi" w:hAnsiTheme="minorHAnsi" w:cstheme="minorHAnsi"/>
          <w:b/>
        </w:rPr>
        <w:t>ů</w:t>
      </w:r>
      <w:r w:rsidR="00C93AC2" w:rsidRPr="00F76DAA">
        <w:rPr>
          <w:rFonts w:asciiTheme="minorHAnsi" w:hAnsiTheme="minorHAnsi" w:cstheme="minorHAnsi"/>
          <w:b/>
        </w:rPr>
        <w:t xml:space="preserve"> </w:t>
      </w:r>
      <w:r w:rsidR="00C93AC2" w:rsidRPr="00F76DAA">
        <w:rPr>
          <w:rFonts w:asciiTheme="minorHAnsi" w:hAnsiTheme="minorHAnsi" w:cs="Arial"/>
          <w:b/>
        </w:rPr>
        <w:t>214</w:t>
      </w:r>
      <w:r w:rsidR="00C93AC2">
        <w:rPr>
          <w:rFonts w:asciiTheme="minorHAnsi" w:hAnsiTheme="minorHAnsi" w:cs="Arial"/>
          <w:b/>
        </w:rPr>
        <w:t> </w:t>
      </w:r>
      <w:r w:rsidR="00C93AC2" w:rsidRPr="00F76DAA">
        <w:rPr>
          <w:rFonts w:asciiTheme="minorHAnsi" w:hAnsiTheme="minorHAnsi" w:cs="Arial"/>
          <w:b/>
        </w:rPr>
        <w:t>110</w:t>
      </w:r>
      <w:r w:rsidR="00C93AC2">
        <w:rPr>
          <w:rFonts w:asciiTheme="minorHAnsi" w:hAnsiTheme="minorHAnsi" w:cs="Arial"/>
          <w:b/>
        </w:rPr>
        <w:t xml:space="preserve"> a </w:t>
      </w:r>
      <w:r w:rsidR="00C93AC2" w:rsidRPr="00F76DAA">
        <w:rPr>
          <w:rFonts w:asciiTheme="minorHAnsi" w:hAnsiTheme="minorHAnsi" w:cstheme="minorHAnsi"/>
          <w:b/>
        </w:rPr>
        <w:t xml:space="preserve">114 110 </w:t>
      </w:r>
      <w:r w:rsidR="00CC1A00">
        <w:rPr>
          <w:rFonts w:asciiTheme="minorHAnsi" w:hAnsiTheme="minorHAnsi" w:cstheme="minorHAnsi"/>
          <w:b/>
        </w:rPr>
        <w:t xml:space="preserve">však MV </w:t>
      </w:r>
      <w:r w:rsidR="0052675E" w:rsidRPr="00F76DAA">
        <w:rPr>
          <w:rFonts w:asciiTheme="minorHAnsi" w:hAnsiTheme="minorHAnsi" w:cstheme="minorHAnsi"/>
          <w:b/>
        </w:rPr>
        <w:t xml:space="preserve">významně </w:t>
      </w:r>
      <w:r w:rsidR="00C93AC2" w:rsidRPr="00F76DAA">
        <w:rPr>
          <w:rFonts w:asciiTheme="minorHAnsi" w:hAnsiTheme="minorHAnsi" w:cstheme="minorHAnsi"/>
          <w:b/>
        </w:rPr>
        <w:t xml:space="preserve">upravovalo </w:t>
      </w:r>
      <w:r w:rsidR="00C93AC2">
        <w:rPr>
          <w:rFonts w:asciiTheme="minorHAnsi" w:hAnsiTheme="minorHAnsi" w:cstheme="minorHAnsi"/>
          <w:b/>
        </w:rPr>
        <w:t xml:space="preserve">jejich </w:t>
      </w:r>
      <w:r w:rsidR="00C93AC2" w:rsidRPr="00F76DAA">
        <w:rPr>
          <w:rFonts w:asciiTheme="minorHAnsi" w:hAnsiTheme="minorHAnsi" w:cstheme="minorHAnsi"/>
          <w:b/>
        </w:rPr>
        <w:t>věcné, ča</w:t>
      </w:r>
      <w:r w:rsidR="00C93AC2">
        <w:rPr>
          <w:rFonts w:asciiTheme="minorHAnsi" w:hAnsiTheme="minorHAnsi" w:cstheme="minorHAnsi"/>
          <w:b/>
        </w:rPr>
        <w:t xml:space="preserve">sové a finanční podmínky. </w:t>
      </w:r>
      <w:r w:rsidR="00C93AC2" w:rsidRPr="00F050ED">
        <w:rPr>
          <w:rFonts w:asciiTheme="minorHAnsi" w:hAnsiTheme="minorHAnsi" w:cstheme="minorHAnsi"/>
          <w:b/>
        </w:rPr>
        <w:t>Důvodem změn bylo zejména přehodnocování úkolů a</w:t>
      </w:r>
      <w:r w:rsidR="00875733">
        <w:rPr>
          <w:rFonts w:asciiTheme="minorHAnsi" w:hAnsiTheme="minorHAnsi" w:cstheme="minorHAnsi"/>
          <w:b/>
        </w:rPr>
        <w:t> </w:t>
      </w:r>
      <w:r w:rsidR="00C93AC2" w:rsidRPr="00F050ED">
        <w:rPr>
          <w:rFonts w:asciiTheme="minorHAnsi" w:hAnsiTheme="minorHAnsi" w:cstheme="minorHAnsi"/>
          <w:b/>
        </w:rPr>
        <w:t xml:space="preserve">priorit </w:t>
      </w:r>
      <w:r w:rsidR="00C93AC2">
        <w:rPr>
          <w:rFonts w:asciiTheme="minorHAnsi" w:hAnsiTheme="minorHAnsi" w:cstheme="minorHAnsi"/>
          <w:b/>
        </w:rPr>
        <w:t>Policie</w:t>
      </w:r>
      <w:r w:rsidR="00C93AC2" w:rsidRPr="00F050ED">
        <w:rPr>
          <w:rFonts w:asciiTheme="minorHAnsi" w:hAnsiTheme="minorHAnsi" w:cstheme="minorHAnsi"/>
          <w:b/>
        </w:rPr>
        <w:t>.</w:t>
      </w:r>
      <w:r w:rsidR="00C93AC2">
        <w:rPr>
          <w:rFonts w:asciiTheme="minorHAnsi" w:hAnsiTheme="minorHAnsi" w:cstheme="minorHAnsi"/>
          <w:b/>
        </w:rPr>
        <w:t xml:space="preserve"> </w:t>
      </w:r>
      <w:r w:rsidR="00413353" w:rsidRPr="003931F2">
        <w:rPr>
          <w:rFonts w:ascii="Calibri" w:hAnsi="Calibri" w:cs="Calibri"/>
          <w:b/>
        </w:rPr>
        <w:t>Přík</w:t>
      </w:r>
      <w:r w:rsidR="00413353">
        <w:rPr>
          <w:rFonts w:ascii="Calibri" w:hAnsi="Calibri" w:cs="Calibri"/>
          <w:b/>
        </w:rPr>
        <w:t>ladem je nevyhovující stav hangáru </w:t>
      </w:r>
      <w:r w:rsidR="00413353" w:rsidRPr="003931F2">
        <w:rPr>
          <w:rFonts w:ascii="Calibri" w:hAnsi="Calibri" w:cs="Calibri"/>
          <w:b/>
        </w:rPr>
        <w:t>D v Praze-Ruzyni</w:t>
      </w:r>
      <w:r w:rsidR="00413353">
        <w:rPr>
          <w:rStyle w:val="Znakapoznpodarou"/>
          <w:rFonts w:ascii="Calibri" w:hAnsi="Calibri" w:cs="Calibri"/>
          <w:b/>
        </w:rPr>
        <w:footnoteReference w:id="4"/>
      </w:r>
      <w:r w:rsidR="00413353" w:rsidRPr="003931F2">
        <w:rPr>
          <w:rFonts w:ascii="Calibri" w:hAnsi="Calibri" w:cs="Calibri"/>
          <w:b/>
        </w:rPr>
        <w:t>, který NKÚ zjistil již v roc</w:t>
      </w:r>
      <w:r w:rsidR="00413353">
        <w:rPr>
          <w:rFonts w:ascii="Calibri" w:hAnsi="Calibri" w:cs="Calibri"/>
          <w:b/>
        </w:rPr>
        <w:t xml:space="preserve">e 2005 a opětovně i v roce 2012. </w:t>
      </w:r>
      <w:r w:rsidR="00823A97">
        <w:rPr>
          <w:rFonts w:ascii="Calibri" w:hAnsi="Calibri" w:cs="Calibri"/>
          <w:b/>
        </w:rPr>
        <w:t xml:space="preserve">Do doby ukončení kontroly se tento stav nezměnil. </w:t>
      </w:r>
      <w:r w:rsidR="00C93AC2">
        <w:rPr>
          <w:rFonts w:asciiTheme="minorHAnsi" w:hAnsiTheme="minorHAnsi" w:cstheme="minorHAnsi"/>
          <w:b/>
        </w:rPr>
        <w:t>U</w:t>
      </w:r>
      <w:r w:rsidR="00C93AC2" w:rsidRPr="00F76DAA">
        <w:rPr>
          <w:rFonts w:asciiTheme="minorHAnsi" w:hAnsiTheme="minorHAnsi" w:cstheme="minorHAnsi"/>
          <w:b/>
        </w:rPr>
        <w:t xml:space="preserve"> programu 114</w:t>
      </w:r>
      <w:r w:rsidR="00CC1A00">
        <w:rPr>
          <w:rFonts w:asciiTheme="minorHAnsi" w:hAnsiTheme="minorHAnsi" w:cstheme="minorHAnsi"/>
          <w:b/>
        </w:rPr>
        <w:t> </w:t>
      </w:r>
      <w:r w:rsidR="00C93AC2" w:rsidRPr="00F76DAA">
        <w:rPr>
          <w:rFonts w:asciiTheme="minorHAnsi" w:hAnsiTheme="minorHAnsi" w:cstheme="minorHAnsi"/>
          <w:b/>
        </w:rPr>
        <w:t xml:space="preserve">120 </w:t>
      </w:r>
      <w:r w:rsidR="00CC1A00">
        <w:rPr>
          <w:rFonts w:asciiTheme="minorHAnsi" w:hAnsiTheme="minorHAnsi" w:cstheme="minorHAnsi"/>
          <w:b/>
        </w:rPr>
        <w:t xml:space="preserve">MV </w:t>
      </w:r>
      <w:r w:rsidR="00C93AC2" w:rsidRPr="00F76DAA">
        <w:rPr>
          <w:rFonts w:asciiTheme="minorHAnsi" w:hAnsiTheme="minorHAnsi" w:cstheme="minorHAnsi"/>
          <w:b/>
        </w:rPr>
        <w:t>neprovedl</w:t>
      </w:r>
      <w:r w:rsidR="00C93AC2">
        <w:rPr>
          <w:rFonts w:asciiTheme="minorHAnsi" w:hAnsiTheme="minorHAnsi" w:cstheme="minorHAnsi"/>
          <w:b/>
        </w:rPr>
        <w:t>o</w:t>
      </w:r>
      <w:r w:rsidR="00C93AC2" w:rsidRPr="00F76DAA">
        <w:rPr>
          <w:rFonts w:asciiTheme="minorHAnsi" w:hAnsiTheme="minorHAnsi" w:cstheme="minorHAnsi"/>
          <w:b/>
        </w:rPr>
        <w:t xml:space="preserve"> adekvátní změnu dokumentace, aby odpovídala platným právním předpisům.</w:t>
      </w:r>
      <w:r w:rsidR="00C93AC2">
        <w:rPr>
          <w:rFonts w:asciiTheme="minorHAnsi" w:hAnsiTheme="minorHAnsi" w:cstheme="minorHAnsi"/>
          <w:b/>
        </w:rPr>
        <w:t xml:space="preserve"> </w:t>
      </w:r>
    </w:p>
    <w:p w14:paraId="600C3587" w14:textId="5A65568A" w:rsidR="00823A97" w:rsidRDefault="003A2709" w:rsidP="007046D5">
      <w:pPr>
        <w:spacing w:after="120"/>
        <w:jc w:val="both"/>
        <w:rPr>
          <w:rFonts w:ascii="Calibri" w:hAnsi="Calibri" w:cs="Calibri"/>
          <w:b/>
        </w:rPr>
      </w:pPr>
      <w:r w:rsidRPr="00F76DAA">
        <w:rPr>
          <w:rFonts w:ascii="Calibri" w:hAnsi="Calibri"/>
          <w:b/>
        </w:rPr>
        <w:t xml:space="preserve">Jednotkové ceny </w:t>
      </w:r>
      <w:r>
        <w:rPr>
          <w:rFonts w:ascii="Calibri" w:hAnsi="Calibri" w:cstheme="minorHAnsi"/>
          <w:b/>
        </w:rPr>
        <w:t>cílů</w:t>
      </w:r>
      <w:r w:rsidR="002E046A">
        <w:rPr>
          <w:rFonts w:ascii="Calibri" w:hAnsi="Calibri" w:cstheme="minorHAnsi"/>
          <w:b/>
        </w:rPr>
        <w:t xml:space="preserve"> (parametrů)</w:t>
      </w:r>
      <w:r>
        <w:rPr>
          <w:rFonts w:ascii="Calibri" w:hAnsi="Calibri" w:cstheme="minorHAnsi"/>
          <w:b/>
        </w:rPr>
        <w:t xml:space="preserve"> </w:t>
      </w:r>
      <w:r w:rsidR="00676C2B">
        <w:rPr>
          <w:rFonts w:ascii="Calibri" w:hAnsi="Calibri" w:cstheme="minorHAnsi"/>
          <w:b/>
        </w:rPr>
        <w:t xml:space="preserve">u </w:t>
      </w:r>
      <w:r w:rsidRPr="00F76DAA">
        <w:rPr>
          <w:rFonts w:ascii="Calibri" w:hAnsi="Calibri" w:cstheme="minorHAnsi"/>
          <w:b/>
        </w:rPr>
        <w:t>programů 114 110 a 114</w:t>
      </w:r>
      <w:r w:rsidR="00CC1A00">
        <w:rPr>
          <w:rFonts w:ascii="Calibri" w:hAnsi="Calibri" w:cstheme="minorHAnsi"/>
          <w:b/>
        </w:rPr>
        <w:t> </w:t>
      </w:r>
      <w:r w:rsidRPr="00F76DAA">
        <w:rPr>
          <w:rFonts w:ascii="Calibri" w:hAnsi="Calibri" w:cstheme="minorHAnsi"/>
          <w:b/>
        </w:rPr>
        <w:t xml:space="preserve">120 </w:t>
      </w:r>
      <w:r>
        <w:rPr>
          <w:rFonts w:ascii="Calibri" w:hAnsi="Calibri" w:cstheme="minorHAnsi"/>
          <w:b/>
        </w:rPr>
        <w:t>nestanovil</w:t>
      </w:r>
      <w:r w:rsidR="00306D30">
        <w:rPr>
          <w:rFonts w:ascii="Calibri" w:hAnsi="Calibri" w:cstheme="minorHAnsi"/>
          <w:b/>
        </w:rPr>
        <w:t>o</w:t>
      </w:r>
      <w:r>
        <w:rPr>
          <w:rFonts w:ascii="Calibri" w:hAnsi="Calibri" w:cstheme="minorHAnsi"/>
          <w:b/>
        </w:rPr>
        <w:t xml:space="preserve"> </w:t>
      </w:r>
      <w:r w:rsidR="00676C2B">
        <w:rPr>
          <w:rFonts w:ascii="Calibri" w:hAnsi="Calibri" w:cstheme="minorHAnsi"/>
          <w:b/>
        </w:rPr>
        <w:t xml:space="preserve">MV </w:t>
      </w:r>
      <w:r>
        <w:rPr>
          <w:rFonts w:ascii="Calibri" w:hAnsi="Calibri" w:cstheme="minorHAnsi"/>
          <w:b/>
        </w:rPr>
        <w:t>tak, aby</w:t>
      </w:r>
      <w:r w:rsidR="006A3393">
        <w:rPr>
          <w:rFonts w:ascii="Calibri" w:hAnsi="Calibri" w:cstheme="minorHAnsi"/>
          <w:b/>
        </w:rPr>
        <w:t xml:space="preserve"> podle nich bylo možné</w:t>
      </w:r>
      <w:r>
        <w:rPr>
          <w:rFonts w:ascii="Calibri" w:hAnsi="Calibri" w:cstheme="minorHAnsi"/>
          <w:b/>
        </w:rPr>
        <w:t xml:space="preserve"> </w:t>
      </w:r>
      <w:r w:rsidR="002C0D33" w:rsidRPr="00F76DAA">
        <w:rPr>
          <w:rFonts w:ascii="Calibri" w:hAnsi="Calibri" w:cstheme="minorHAnsi"/>
          <w:b/>
        </w:rPr>
        <w:t>posou</w:t>
      </w:r>
      <w:r w:rsidR="002C0D33">
        <w:rPr>
          <w:rFonts w:ascii="Calibri" w:hAnsi="Calibri" w:cstheme="minorHAnsi"/>
          <w:b/>
        </w:rPr>
        <w:t xml:space="preserve">dit </w:t>
      </w:r>
      <w:r>
        <w:rPr>
          <w:rFonts w:ascii="Calibri" w:hAnsi="Calibri" w:cstheme="minorHAnsi"/>
          <w:b/>
        </w:rPr>
        <w:t xml:space="preserve">hospodárnost </w:t>
      </w:r>
      <w:r w:rsidR="00D3691A">
        <w:rPr>
          <w:rFonts w:ascii="Calibri" w:hAnsi="Calibri" w:cstheme="minorHAnsi"/>
          <w:b/>
        </w:rPr>
        <w:t xml:space="preserve">a efektivnost </w:t>
      </w:r>
      <w:r>
        <w:rPr>
          <w:rFonts w:ascii="Calibri" w:hAnsi="Calibri" w:cstheme="minorHAnsi"/>
          <w:b/>
        </w:rPr>
        <w:t xml:space="preserve">poskytovaných prostředků. </w:t>
      </w:r>
      <w:r w:rsidR="002F3C93">
        <w:rPr>
          <w:rFonts w:ascii="Calibri" w:hAnsi="Calibri" w:cstheme="minorHAnsi"/>
          <w:b/>
        </w:rPr>
        <w:t xml:space="preserve">MV zároveň jednotkové ceny </w:t>
      </w:r>
      <w:r w:rsidR="002F3C93" w:rsidRPr="00A46326">
        <w:rPr>
          <w:rFonts w:ascii="Calibri" w:hAnsi="Calibri" w:cstheme="minorHAnsi"/>
          <w:b/>
        </w:rPr>
        <w:t xml:space="preserve">při </w:t>
      </w:r>
      <w:r w:rsidR="002F3C93">
        <w:rPr>
          <w:rFonts w:ascii="Calibri" w:hAnsi="Calibri" w:cstheme="minorHAnsi"/>
          <w:b/>
        </w:rPr>
        <w:t>realizaci akcí nesledovalo a</w:t>
      </w:r>
      <w:r w:rsidR="005673C1">
        <w:rPr>
          <w:rFonts w:ascii="Calibri" w:hAnsi="Calibri" w:cstheme="minorHAnsi"/>
          <w:b/>
        </w:rPr>
        <w:t>ni</w:t>
      </w:r>
      <w:r w:rsidR="002F3C93">
        <w:rPr>
          <w:rFonts w:ascii="Calibri" w:hAnsi="Calibri" w:cstheme="minorHAnsi"/>
          <w:b/>
        </w:rPr>
        <w:t xml:space="preserve"> nevyhodnocovalo. </w:t>
      </w:r>
      <w:r w:rsidR="008D1CC9">
        <w:rPr>
          <w:rFonts w:ascii="Calibri" w:hAnsi="Calibri" w:cstheme="minorHAnsi"/>
          <w:b/>
        </w:rPr>
        <w:t>U</w:t>
      </w:r>
      <w:r w:rsidR="007B4548">
        <w:rPr>
          <w:rFonts w:ascii="Calibri" w:hAnsi="Calibri" w:cstheme="minorHAnsi"/>
          <w:b/>
        </w:rPr>
        <w:t> </w:t>
      </w:r>
      <w:r w:rsidR="008D1CC9">
        <w:rPr>
          <w:rFonts w:ascii="Calibri" w:hAnsi="Calibri" w:cstheme="minorHAnsi"/>
          <w:b/>
        </w:rPr>
        <w:t>některých investičních akcí přitom došlo k</w:t>
      </w:r>
      <w:r w:rsidR="00152F09">
        <w:rPr>
          <w:rFonts w:ascii="Calibri" w:hAnsi="Calibri" w:cstheme="minorHAnsi"/>
          <w:b/>
        </w:rPr>
        <w:t xml:space="preserve"> jejich </w:t>
      </w:r>
      <w:r w:rsidR="008D1CC9">
        <w:rPr>
          <w:rFonts w:ascii="Calibri" w:hAnsi="Calibri" w:cstheme="minorHAnsi"/>
          <w:b/>
        </w:rPr>
        <w:t xml:space="preserve">výraznému překročení. </w:t>
      </w:r>
      <w:r w:rsidR="00413353" w:rsidRPr="00A46326">
        <w:rPr>
          <w:rFonts w:ascii="Calibri" w:hAnsi="Calibri" w:cstheme="minorHAnsi"/>
          <w:b/>
        </w:rPr>
        <w:t xml:space="preserve">V případě centrálně pořizovaného majetku </w:t>
      </w:r>
      <w:r w:rsidR="00B20900">
        <w:rPr>
          <w:rFonts w:ascii="Calibri" w:hAnsi="Calibri" w:cstheme="minorHAnsi"/>
          <w:b/>
        </w:rPr>
        <w:t>bylo</w:t>
      </w:r>
      <w:r w:rsidR="00413353" w:rsidRPr="00A46326">
        <w:rPr>
          <w:rFonts w:ascii="Calibri" w:hAnsi="Calibri" w:cstheme="minorHAnsi"/>
          <w:b/>
        </w:rPr>
        <w:t xml:space="preserve"> předkládání a</w:t>
      </w:r>
      <w:r w:rsidR="00413353">
        <w:rPr>
          <w:rFonts w:ascii="Calibri" w:hAnsi="Calibri" w:cstheme="minorHAnsi"/>
          <w:b/>
        </w:rPr>
        <w:t> </w:t>
      </w:r>
      <w:r w:rsidR="00413353" w:rsidRPr="00A46326">
        <w:rPr>
          <w:rFonts w:ascii="Calibri" w:hAnsi="Calibri" w:cstheme="minorHAnsi"/>
          <w:b/>
        </w:rPr>
        <w:t xml:space="preserve">posuzování </w:t>
      </w:r>
      <w:r w:rsidR="00413353">
        <w:rPr>
          <w:rFonts w:ascii="Calibri" w:hAnsi="Calibri" w:cstheme="minorHAnsi"/>
          <w:b/>
        </w:rPr>
        <w:t>investičních záměrů</w:t>
      </w:r>
      <w:r w:rsidR="00413353" w:rsidRPr="00A46326">
        <w:rPr>
          <w:rFonts w:ascii="Calibri" w:hAnsi="Calibri" w:cstheme="minorHAnsi"/>
          <w:b/>
        </w:rPr>
        <w:t xml:space="preserve"> </w:t>
      </w:r>
      <w:r w:rsidR="00302120">
        <w:rPr>
          <w:rFonts w:ascii="Calibri" w:hAnsi="Calibri" w:cstheme="minorHAnsi"/>
          <w:b/>
        </w:rPr>
        <w:t xml:space="preserve">pouze </w:t>
      </w:r>
      <w:r w:rsidR="00413353" w:rsidRPr="00A46326">
        <w:rPr>
          <w:rFonts w:ascii="Calibri" w:hAnsi="Calibri" w:cstheme="minorHAnsi"/>
          <w:b/>
        </w:rPr>
        <w:t>formální</w:t>
      </w:r>
      <w:r w:rsidR="00413353">
        <w:rPr>
          <w:rFonts w:ascii="Calibri" w:hAnsi="Calibri" w:cstheme="minorHAnsi"/>
          <w:b/>
        </w:rPr>
        <w:t>.</w:t>
      </w:r>
      <w:r w:rsidR="00BE4A04">
        <w:rPr>
          <w:rFonts w:ascii="Calibri" w:hAnsi="Calibri" w:cs="Calibri"/>
          <w:b/>
        </w:rPr>
        <w:t xml:space="preserve"> </w:t>
      </w:r>
    </w:p>
    <w:p w14:paraId="68A47B2D" w14:textId="66F0C073" w:rsidR="007046D5" w:rsidRPr="002E046A" w:rsidRDefault="00BE4A04" w:rsidP="007046D5">
      <w:pPr>
        <w:spacing w:after="120"/>
        <w:jc w:val="both"/>
        <w:rPr>
          <w:rFonts w:ascii="Calibri" w:hAnsi="Calibr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3A2709" w:rsidRPr="000255C9">
        <w:rPr>
          <w:rFonts w:asciiTheme="minorHAnsi" w:hAnsiTheme="minorHAnsi" w:cstheme="minorHAnsi"/>
          <w:b/>
        </w:rPr>
        <w:t xml:space="preserve">ěkteré </w:t>
      </w:r>
      <w:r w:rsidR="00413353">
        <w:rPr>
          <w:rFonts w:asciiTheme="minorHAnsi" w:hAnsiTheme="minorHAnsi" w:cstheme="minorHAnsi"/>
          <w:b/>
        </w:rPr>
        <w:t xml:space="preserve">další </w:t>
      </w:r>
      <w:r w:rsidR="003A2709" w:rsidRPr="000255C9">
        <w:rPr>
          <w:rFonts w:asciiTheme="minorHAnsi" w:hAnsiTheme="minorHAnsi" w:cstheme="minorHAnsi"/>
          <w:b/>
        </w:rPr>
        <w:t>nedostatky, které NKÚ konstatoval již v předchozích kontrolních akcích</w:t>
      </w:r>
      <w:r w:rsidR="008D1C73">
        <w:rPr>
          <w:rFonts w:asciiTheme="minorHAnsi" w:hAnsiTheme="minorHAnsi" w:cstheme="minorHAnsi"/>
          <w:b/>
        </w:rPr>
        <w:t>,</w:t>
      </w:r>
      <w:r w:rsidR="003A2709" w:rsidRPr="000255C9">
        <w:rPr>
          <w:rFonts w:asciiTheme="minorHAnsi" w:hAnsiTheme="minorHAnsi" w:cstheme="minorHAnsi"/>
          <w:b/>
        </w:rPr>
        <w:t xml:space="preserve"> </w:t>
      </w:r>
      <w:r w:rsidR="002C0D33">
        <w:rPr>
          <w:rFonts w:asciiTheme="minorHAnsi" w:hAnsiTheme="minorHAnsi" w:cstheme="minorHAnsi"/>
          <w:b/>
        </w:rPr>
        <w:t xml:space="preserve">jako </w:t>
      </w:r>
      <w:r w:rsidR="003A2709">
        <w:rPr>
          <w:rFonts w:asciiTheme="minorHAnsi" w:hAnsiTheme="minorHAnsi" w:cstheme="minorHAnsi"/>
          <w:b/>
        </w:rPr>
        <w:t>prodlu</w:t>
      </w:r>
      <w:r w:rsidR="008D1C73">
        <w:rPr>
          <w:rFonts w:asciiTheme="minorHAnsi" w:hAnsiTheme="minorHAnsi" w:cstheme="minorHAnsi"/>
          <w:b/>
        </w:rPr>
        <w:t xml:space="preserve">žování doby realizace programů nebo </w:t>
      </w:r>
      <w:r w:rsidR="003A2709">
        <w:rPr>
          <w:rFonts w:asciiTheme="minorHAnsi" w:hAnsiTheme="minorHAnsi" w:cstheme="minorHAnsi"/>
          <w:b/>
        </w:rPr>
        <w:t>nedostatečná příprava stavebních akcí</w:t>
      </w:r>
      <w:r w:rsidR="008D1C73">
        <w:rPr>
          <w:rFonts w:asciiTheme="minorHAnsi" w:hAnsiTheme="minorHAnsi" w:cstheme="minorHAnsi"/>
          <w:b/>
        </w:rPr>
        <w:t>,</w:t>
      </w:r>
      <w:r w:rsidR="003A2709">
        <w:rPr>
          <w:rFonts w:asciiTheme="minorHAnsi" w:hAnsiTheme="minorHAnsi" w:cstheme="minorHAnsi"/>
          <w:b/>
        </w:rPr>
        <w:t xml:space="preserve"> </w:t>
      </w:r>
      <w:r w:rsidR="003A2709" w:rsidRPr="000255C9">
        <w:rPr>
          <w:rFonts w:asciiTheme="minorHAnsi" w:hAnsiTheme="minorHAnsi" w:cstheme="minorHAnsi"/>
          <w:b/>
        </w:rPr>
        <w:t xml:space="preserve">nebyly </w:t>
      </w:r>
      <w:r w:rsidR="003A2709">
        <w:rPr>
          <w:rFonts w:asciiTheme="minorHAnsi" w:hAnsiTheme="minorHAnsi" w:cstheme="minorHAnsi"/>
          <w:b/>
        </w:rPr>
        <w:t>do dob</w:t>
      </w:r>
      <w:r w:rsidR="005D314D">
        <w:rPr>
          <w:rFonts w:asciiTheme="minorHAnsi" w:hAnsiTheme="minorHAnsi" w:cstheme="minorHAnsi"/>
          <w:b/>
        </w:rPr>
        <w:t>y ukončení kontroly odstraněny.</w:t>
      </w:r>
      <w:r w:rsidR="006A3393">
        <w:rPr>
          <w:rFonts w:asciiTheme="minorHAnsi" w:hAnsiTheme="minorHAnsi" w:cstheme="minorHAnsi"/>
          <w:b/>
        </w:rPr>
        <w:t xml:space="preserve"> </w:t>
      </w:r>
      <w:r w:rsidR="005D314D" w:rsidRPr="005D314D">
        <w:rPr>
          <w:rFonts w:asciiTheme="minorHAnsi" w:hAnsiTheme="minorHAnsi" w:cstheme="minorHAnsi"/>
          <w:b/>
        </w:rPr>
        <w:t xml:space="preserve">Prodlužování programů snižuje možnost </w:t>
      </w:r>
      <w:r w:rsidR="006A3393">
        <w:rPr>
          <w:rFonts w:asciiTheme="minorHAnsi" w:hAnsiTheme="minorHAnsi" w:cstheme="minorHAnsi"/>
          <w:b/>
        </w:rPr>
        <w:t>spolehliv</w:t>
      </w:r>
      <w:r w:rsidR="00F92D14">
        <w:rPr>
          <w:rFonts w:asciiTheme="minorHAnsi" w:hAnsiTheme="minorHAnsi" w:cstheme="minorHAnsi"/>
          <w:b/>
        </w:rPr>
        <w:t>ě</w:t>
      </w:r>
      <w:r w:rsidR="006A3393" w:rsidRPr="005D314D">
        <w:rPr>
          <w:rFonts w:asciiTheme="minorHAnsi" w:hAnsiTheme="minorHAnsi" w:cstheme="minorHAnsi"/>
          <w:b/>
        </w:rPr>
        <w:t xml:space="preserve"> </w:t>
      </w:r>
      <w:r w:rsidR="005D314D" w:rsidRPr="005D314D">
        <w:rPr>
          <w:rFonts w:asciiTheme="minorHAnsi" w:hAnsiTheme="minorHAnsi" w:cstheme="minorHAnsi"/>
          <w:b/>
        </w:rPr>
        <w:t>vyhodno</w:t>
      </w:r>
      <w:r w:rsidR="00F92D14">
        <w:rPr>
          <w:rFonts w:asciiTheme="minorHAnsi" w:hAnsiTheme="minorHAnsi" w:cstheme="minorHAnsi"/>
          <w:b/>
        </w:rPr>
        <w:t>tit</w:t>
      </w:r>
      <w:r w:rsidR="005D314D" w:rsidRPr="005D314D">
        <w:rPr>
          <w:rFonts w:asciiTheme="minorHAnsi" w:hAnsiTheme="minorHAnsi" w:cstheme="minorHAnsi"/>
          <w:b/>
        </w:rPr>
        <w:t xml:space="preserve"> </w:t>
      </w:r>
      <w:r w:rsidR="00F92D14">
        <w:rPr>
          <w:rFonts w:asciiTheme="minorHAnsi" w:hAnsiTheme="minorHAnsi" w:cstheme="minorHAnsi"/>
          <w:b/>
        </w:rPr>
        <w:t xml:space="preserve">plnění </w:t>
      </w:r>
      <w:r w:rsidR="005D314D" w:rsidRPr="005D314D">
        <w:rPr>
          <w:rFonts w:asciiTheme="minorHAnsi" w:hAnsiTheme="minorHAnsi" w:cstheme="minorHAnsi"/>
          <w:b/>
        </w:rPr>
        <w:t>stanoven</w:t>
      </w:r>
      <w:r w:rsidR="005D314D">
        <w:rPr>
          <w:rFonts w:asciiTheme="minorHAnsi" w:hAnsiTheme="minorHAnsi" w:cstheme="minorHAnsi"/>
          <w:b/>
        </w:rPr>
        <w:t xml:space="preserve">ých </w:t>
      </w:r>
      <w:r w:rsidR="005D314D" w:rsidRPr="005D314D">
        <w:rPr>
          <w:rFonts w:asciiTheme="minorHAnsi" w:hAnsiTheme="minorHAnsi" w:cstheme="minorHAnsi"/>
          <w:b/>
        </w:rPr>
        <w:t>cíl</w:t>
      </w:r>
      <w:r w:rsidR="005D314D">
        <w:rPr>
          <w:rFonts w:asciiTheme="minorHAnsi" w:hAnsiTheme="minorHAnsi" w:cstheme="minorHAnsi"/>
          <w:b/>
        </w:rPr>
        <w:t>ů</w:t>
      </w:r>
      <w:r w:rsidR="006A3393">
        <w:rPr>
          <w:rFonts w:asciiTheme="minorHAnsi" w:hAnsiTheme="minorHAnsi" w:cstheme="minorHAnsi"/>
          <w:b/>
        </w:rPr>
        <w:t>.</w:t>
      </w:r>
      <w:r w:rsidR="005D314D">
        <w:rPr>
          <w:rFonts w:asciiTheme="minorHAnsi" w:hAnsiTheme="minorHAnsi" w:cstheme="minorHAnsi"/>
          <w:b/>
        </w:rPr>
        <w:t xml:space="preserve"> </w:t>
      </w:r>
      <w:r w:rsidR="006A3393">
        <w:rPr>
          <w:rFonts w:asciiTheme="minorHAnsi" w:hAnsiTheme="minorHAnsi" w:cstheme="minorHAnsi"/>
          <w:b/>
        </w:rPr>
        <w:t>N</w:t>
      </w:r>
      <w:r w:rsidR="003A2709" w:rsidRPr="00A46326">
        <w:rPr>
          <w:rFonts w:asciiTheme="minorHAnsi" w:hAnsiTheme="minorHAnsi" w:cstheme="minorHAnsi"/>
          <w:b/>
        </w:rPr>
        <w:t xml:space="preserve">edostatečná příprava stavebních akcí vede </w:t>
      </w:r>
      <w:r w:rsidR="005D314D">
        <w:rPr>
          <w:rFonts w:asciiTheme="minorHAnsi" w:hAnsiTheme="minorHAnsi" w:cstheme="minorHAnsi"/>
          <w:b/>
        </w:rPr>
        <w:t>např.</w:t>
      </w:r>
      <w:r w:rsidR="00F92D14">
        <w:rPr>
          <w:rFonts w:asciiTheme="minorHAnsi" w:hAnsiTheme="minorHAnsi" w:cstheme="minorHAnsi"/>
          <w:b/>
        </w:rPr>
        <w:t> </w:t>
      </w:r>
      <w:r w:rsidR="003A2709" w:rsidRPr="00A46326">
        <w:rPr>
          <w:rFonts w:asciiTheme="minorHAnsi" w:hAnsiTheme="minorHAnsi" w:cstheme="minorHAnsi"/>
          <w:b/>
        </w:rPr>
        <w:t>k</w:t>
      </w:r>
      <w:r w:rsidR="00F92D14">
        <w:rPr>
          <w:rFonts w:asciiTheme="minorHAnsi" w:hAnsiTheme="minorHAnsi" w:cstheme="minorHAnsi"/>
          <w:b/>
        </w:rPr>
        <w:t> </w:t>
      </w:r>
      <w:r w:rsidR="003A2709" w:rsidRPr="00A46326">
        <w:rPr>
          <w:rFonts w:asciiTheme="minorHAnsi" w:hAnsiTheme="minorHAnsi" w:cstheme="minorHAnsi"/>
          <w:b/>
        </w:rPr>
        <w:t>růstu předpokládaných nákladů</w:t>
      </w:r>
      <w:r w:rsidR="00F92D14">
        <w:rPr>
          <w:rFonts w:asciiTheme="minorHAnsi" w:hAnsiTheme="minorHAnsi" w:cstheme="minorHAnsi"/>
          <w:b/>
        </w:rPr>
        <w:t>,</w:t>
      </w:r>
      <w:r w:rsidR="003A2709" w:rsidRPr="00A46326">
        <w:rPr>
          <w:rFonts w:asciiTheme="minorHAnsi" w:hAnsiTheme="minorHAnsi" w:cstheme="minorHAnsi"/>
          <w:b/>
        </w:rPr>
        <w:t xml:space="preserve"> </w:t>
      </w:r>
      <w:r w:rsidR="00F92D14">
        <w:rPr>
          <w:rFonts w:asciiTheme="minorHAnsi" w:hAnsiTheme="minorHAnsi" w:cstheme="minorHAnsi"/>
          <w:b/>
        </w:rPr>
        <w:t>k</w:t>
      </w:r>
      <w:r w:rsidR="00F92D14" w:rsidRPr="00A46326">
        <w:rPr>
          <w:rFonts w:asciiTheme="minorHAnsi" w:hAnsiTheme="minorHAnsi" w:cstheme="minorHAnsi"/>
          <w:b/>
        </w:rPr>
        <w:t xml:space="preserve"> </w:t>
      </w:r>
      <w:r w:rsidR="003A2709" w:rsidRPr="00A46326">
        <w:rPr>
          <w:rFonts w:asciiTheme="minorHAnsi" w:hAnsiTheme="minorHAnsi" w:cstheme="minorHAnsi"/>
          <w:b/>
        </w:rPr>
        <w:t xml:space="preserve">nutnosti </w:t>
      </w:r>
      <w:r w:rsidR="006A3393">
        <w:rPr>
          <w:rFonts w:asciiTheme="minorHAnsi" w:hAnsiTheme="minorHAnsi" w:cstheme="minorHAnsi"/>
          <w:b/>
        </w:rPr>
        <w:t>provádět vícepráce</w:t>
      </w:r>
      <w:r w:rsidR="003A2709" w:rsidRPr="00A46326">
        <w:rPr>
          <w:rFonts w:asciiTheme="minorHAnsi" w:hAnsiTheme="minorHAnsi" w:cstheme="minorHAnsi"/>
          <w:b/>
        </w:rPr>
        <w:t xml:space="preserve"> a </w:t>
      </w:r>
      <w:r w:rsidR="006A3393">
        <w:rPr>
          <w:rFonts w:asciiTheme="minorHAnsi" w:hAnsiTheme="minorHAnsi" w:cstheme="minorHAnsi"/>
          <w:b/>
        </w:rPr>
        <w:t xml:space="preserve">také </w:t>
      </w:r>
      <w:r w:rsidR="003A2709" w:rsidRPr="00A46326">
        <w:rPr>
          <w:rFonts w:asciiTheme="minorHAnsi" w:hAnsiTheme="minorHAnsi" w:cstheme="minorHAnsi"/>
          <w:b/>
        </w:rPr>
        <w:t xml:space="preserve">k </w:t>
      </w:r>
      <w:r w:rsidR="00F92D14">
        <w:rPr>
          <w:rFonts w:asciiTheme="minorHAnsi" w:hAnsiTheme="minorHAnsi" w:cstheme="minorHAnsi"/>
          <w:b/>
        </w:rPr>
        <w:t xml:space="preserve">prodlužování </w:t>
      </w:r>
      <w:r w:rsidR="003A2709" w:rsidRPr="00A46326">
        <w:rPr>
          <w:rFonts w:asciiTheme="minorHAnsi" w:hAnsiTheme="minorHAnsi" w:cstheme="minorHAnsi"/>
          <w:b/>
        </w:rPr>
        <w:t xml:space="preserve">doby realizace. </w:t>
      </w:r>
    </w:p>
    <w:p w14:paraId="09166037" w14:textId="77777777" w:rsidR="004114D8" w:rsidRDefault="004114D8" w:rsidP="00716404">
      <w:pPr>
        <w:pStyle w:val="Odstavecseseznamem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NKÚ doporučuje, aby MV:</w:t>
      </w:r>
    </w:p>
    <w:p w14:paraId="3A75E2EA" w14:textId="77777777" w:rsidR="004114D8" w:rsidRDefault="004114D8" w:rsidP="004114D8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b/>
        </w:rPr>
      </w:pPr>
      <w:r w:rsidRPr="004114D8">
        <w:rPr>
          <w:rFonts w:asciiTheme="minorHAnsi" w:hAnsiTheme="minorHAnsi" w:cstheme="minorHAnsi"/>
          <w:b/>
        </w:rPr>
        <w:t xml:space="preserve">provedlo aktualizaci </w:t>
      </w:r>
      <w:r w:rsidR="00E2444F">
        <w:rPr>
          <w:rFonts w:asciiTheme="minorHAnsi" w:hAnsiTheme="minorHAnsi" w:cstheme="minorHAnsi"/>
          <w:b/>
        </w:rPr>
        <w:t>dokumentace programu</w:t>
      </w:r>
      <w:r w:rsidRPr="004114D8">
        <w:rPr>
          <w:rFonts w:asciiTheme="minorHAnsi" w:hAnsiTheme="minorHAnsi" w:cstheme="minorHAnsi"/>
          <w:b/>
        </w:rPr>
        <w:t xml:space="preserve"> 114</w:t>
      </w:r>
      <w:r>
        <w:rPr>
          <w:rFonts w:asciiTheme="minorHAnsi" w:hAnsiTheme="minorHAnsi" w:cstheme="minorHAnsi"/>
          <w:b/>
        </w:rPr>
        <w:t> </w:t>
      </w:r>
      <w:r w:rsidRPr="004114D8">
        <w:rPr>
          <w:rFonts w:asciiTheme="minorHAnsi" w:hAnsiTheme="minorHAnsi" w:cstheme="minorHAnsi"/>
          <w:b/>
        </w:rPr>
        <w:t>120;</w:t>
      </w:r>
    </w:p>
    <w:p w14:paraId="578F090B" w14:textId="77777777" w:rsidR="004114D8" w:rsidRDefault="004114D8" w:rsidP="004114D8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schválilo </w:t>
      </w:r>
      <w:r w:rsidR="00F86E3B" w:rsidRPr="000255C9">
        <w:rPr>
          <w:rFonts w:asciiTheme="minorHAnsi" w:hAnsiTheme="minorHAnsi" w:cstheme="minorHAnsi"/>
          <w:b/>
        </w:rPr>
        <w:t>system</w:t>
      </w:r>
      <w:r w:rsidR="00F86E3B">
        <w:rPr>
          <w:rFonts w:asciiTheme="minorHAnsi" w:hAnsiTheme="minorHAnsi" w:cstheme="minorHAnsi"/>
          <w:b/>
        </w:rPr>
        <w:t>izace</w:t>
      </w:r>
      <w:r w:rsidR="0018148A">
        <w:rPr>
          <w:rFonts w:asciiTheme="minorHAnsi" w:hAnsiTheme="minorHAnsi" w:cstheme="minorHAnsi"/>
          <w:b/>
        </w:rPr>
        <w:t xml:space="preserve"> a standardizace </w:t>
      </w:r>
      <w:r w:rsidR="00A528F5">
        <w:rPr>
          <w:rFonts w:asciiTheme="minorHAnsi" w:hAnsiTheme="minorHAnsi" w:cstheme="minorHAnsi"/>
          <w:b/>
        </w:rPr>
        <w:t xml:space="preserve">majetku, zejména </w:t>
      </w:r>
      <w:r w:rsidR="00B87CAF" w:rsidRPr="00B87CAF">
        <w:rPr>
          <w:rFonts w:ascii="Calibri" w:hAnsi="Calibri" w:cs="Calibri"/>
          <w:b/>
        </w:rPr>
        <w:t>služebních dopravních prostředků</w:t>
      </w:r>
      <w:r w:rsidR="00EB3F58">
        <w:rPr>
          <w:rFonts w:ascii="Calibri" w:hAnsi="Calibri" w:cs="Calibri"/>
          <w:b/>
        </w:rPr>
        <w:t xml:space="preserve"> Policie</w:t>
      </w:r>
      <w:r w:rsidRPr="00B87CAF">
        <w:rPr>
          <w:rFonts w:asciiTheme="minorHAnsi" w:hAnsiTheme="minorHAnsi" w:cstheme="minorHAnsi"/>
          <w:b/>
        </w:rPr>
        <w:t>;</w:t>
      </w:r>
    </w:p>
    <w:p w14:paraId="255AC343" w14:textId="77777777" w:rsidR="00B1572B" w:rsidRDefault="005D19AC" w:rsidP="004114D8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stanovilo</w:t>
      </w:r>
      <w:r w:rsidR="00E2444F">
        <w:rPr>
          <w:rFonts w:asciiTheme="minorHAnsi" w:hAnsiTheme="minorHAnsi" w:cstheme="minorHAnsi"/>
          <w:b/>
        </w:rPr>
        <w:t xml:space="preserve"> v dokumentac</w:t>
      </w:r>
      <w:r w:rsidR="001A6FD8">
        <w:rPr>
          <w:rFonts w:asciiTheme="minorHAnsi" w:hAnsiTheme="minorHAnsi" w:cstheme="minorHAnsi"/>
          <w:b/>
        </w:rPr>
        <w:t>ích</w:t>
      </w:r>
      <w:r w:rsidR="00E2444F">
        <w:rPr>
          <w:rFonts w:asciiTheme="minorHAnsi" w:hAnsiTheme="minorHAnsi" w:cstheme="minorHAnsi"/>
          <w:b/>
        </w:rPr>
        <w:t xml:space="preserve"> program</w:t>
      </w:r>
      <w:r w:rsidR="001A6FD8">
        <w:rPr>
          <w:rFonts w:asciiTheme="minorHAnsi" w:hAnsiTheme="minorHAnsi" w:cstheme="minorHAnsi"/>
          <w:b/>
        </w:rPr>
        <w:t>ů</w:t>
      </w:r>
      <w:r w:rsidR="004114D8" w:rsidRPr="004114D8">
        <w:rPr>
          <w:rFonts w:asciiTheme="minorHAnsi" w:hAnsiTheme="minorHAnsi" w:cstheme="minorHAnsi"/>
          <w:b/>
        </w:rPr>
        <w:t xml:space="preserve"> </w:t>
      </w:r>
      <w:r w:rsidR="00B1572B" w:rsidRPr="004114D8">
        <w:rPr>
          <w:rFonts w:asciiTheme="minorHAnsi" w:hAnsiTheme="minorHAnsi" w:cstheme="minorHAnsi"/>
          <w:b/>
        </w:rPr>
        <w:t>p</w:t>
      </w:r>
      <w:r w:rsidR="006D609C">
        <w:rPr>
          <w:rFonts w:asciiTheme="minorHAnsi" w:hAnsiTheme="minorHAnsi" w:cstheme="minorHAnsi"/>
          <w:b/>
        </w:rPr>
        <w:t xml:space="preserve">očáteční </w:t>
      </w:r>
      <w:r w:rsidR="004114D8" w:rsidRPr="004114D8">
        <w:rPr>
          <w:rFonts w:asciiTheme="minorHAnsi" w:hAnsiTheme="minorHAnsi" w:cstheme="minorHAnsi"/>
          <w:b/>
        </w:rPr>
        <w:t xml:space="preserve">a </w:t>
      </w:r>
      <w:r>
        <w:rPr>
          <w:rFonts w:asciiTheme="minorHAnsi" w:hAnsiTheme="minorHAnsi" w:cstheme="minorHAnsi"/>
          <w:b/>
        </w:rPr>
        <w:t>cílové</w:t>
      </w:r>
      <w:r w:rsidR="004114D8" w:rsidRPr="004114D8">
        <w:rPr>
          <w:rFonts w:asciiTheme="minorHAnsi" w:hAnsiTheme="minorHAnsi" w:cstheme="minorHAnsi"/>
          <w:b/>
        </w:rPr>
        <w:t xml:space="preserve"> </w:t>
      </w:r>
      <w:r w:rsidR="00B1572B" w:rsidRPr="004114D8">
        <w:rPr>
          <w:rFonts w:asciiTheme="minorHAnsi" w:hAnsiTheme="minorHAnsi" w:cstheme="minorHAnsi"/>
          <w:b/>
        </w:rPr>
        <w:t>hodnoty</w:t>
      </w:r>
      <w:r w:rsidR="004114D8" w:rsidRPr="004114D8">
        <w:rPr>
          <w:rFonts w:asciiTheme="minorHAnsi" w:hAnsiTheme="minorHAnsi" w:cstheme="minorHAnsi"/>
          <w:b/>
        </w:rPr>
        <w:t xml:space="preserve"> </w:t>
      </w:r>
      <w:r w:rsidR="001A6FD8">
        <w:rPr>
          <w:rFonts w:asciiTheme="minorHAnsi" w:hAnsiTheme="minorHAnsi" w:cstheme="minorHAnsi"/>
          <w:b/>
        </w:rPr>
        <w:t xml:space="preserve">jednotlivých </w:t>
      </w:r>
      <w:r w:rsidR="004114D8" w:rsidRPr="004114D8">
        <w:rPr>
          <w:rFonts w:asciiTheme="minorHAnsi" w:hAnsiTheme="minorHAnsi" w:cstheme="minorHAnsi"/>
          <w:b/>
        </w:rPr>
        <w:t>cílů (parametrů) program</w:t>
      </w:r>
      <w:r w:rsidR="006D609C">
        <w:rPr>
          <w:rFonts w:asciiTheme="minorHAnsi" w:hAnsiTheme="minorHAnsi" w:cstheme="minorHAnsi"/>
          <w:b/>
        </w:rPr>
        <w:t>ů</w:t>
      </w:r>
      <w:r w:rsidR="00B1572B" w:rsidRPr="004114D8">
        <w:rPr>
          <w:rFonts w:asciiTheme="minorHAnsi" w:hAnsiTheme="minorHAnsi" w:cstheme="minorHAnsi"/>
          <w:b/>
        </w:rPr>
        <w:t>, což umožní vyčíslit dosažený přínos a</w:t>
      </w:r>
      <w:r w:rsidR="002003AA">
        <w:rPr>
          <w:rFonts w:asciiTheme="minorHAnsi" w:hAnsiTheme="minorHAnsi" w:cstheme="minorHAnsi"/>
          <w:b/>
        </w:rPr>
        <w:t> </w:t>
      </w:r>
      <w:r w:rsidR="00B1572B" w:rsidRPr="004114D8">
        <w:rPr>
          <w:rFonts w:asciiTheme="minorHAnsi" w:hAnsiTheme="minorHAnsi" w:cstheme="minorHAnsi"/>
          <w:b/>
        </w:rPr>
        <w:t xml:space="preserve">dopad </w:t>
      </w:r>
      <w:r w:rsidR="004114D8" w:rsidRPr="004114D8">
        <w:rPr>
          <w:rFonts w:asciiTheme="minorHAnsi" w:hAnsiTheme="minorHAnsi" w:cstheme="minorHAnsi"/>
          <w:b/>
        </w:rPr>
        <w:t>poskytnutých prostředků;</w:t>
      </w:r>
    </w:p>
    <w:p w14:paraId="2601BA22" w14:textId="77777777" w:rsidR="00B1572B" w:rsidRDefault="00704FD5" w:rsidP="004114D8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určilo</w:t>
      </w:r>
      <w:r w:rsidR="001A6FD8">
        <w:rPr>
          <w:rFonts w:asciiTheme="minorHAnsi" w:hAnsiTheme="minorHAnsi" w:cstheme="minorHAnsi"/>
          <w:b/>
        </w:rPr>
        <w:t xml:space="preserve"> priority cílů (parametrů) programů a </w:t>
      </w:r>
      <w:r w:rsidR="004114D8" w:rsidRPr="004114D8">
        <w:rPr>
          <w:rFonts w:asciiTheme="minorHAnsi" w:hAnsiTheme="minorHAnsi" w:cstheme="minorHAnsi"/>
          <w:b/>
        </w:rPr>
        <w:t xml:space="preserve">průběžně </w:t>
      </w:r>
      <w:r w:rsidR="00B1572B" w:rsidRPr="004114D8">
        <w:rPr>
          <w:rFonts w:asciiTheme="minorHAnsi" w:hAnsiTheme="minorHAnsi" w:cstheme="minorHAnsi"/>
          <w:b/>
        </w:rPr>
        <w:t xml:space="preserve">vyhodnocovalo </w:t>
      </w:r>
      <w:r w:rsidR="003C2281">
        <w:rPr>
          <w:rFonts w:asciiTheme="minorHAnsi" w:hAnsiTheme="minorHAnsi" w:cstheme="minorHAnsi"/>
          <w:b/>
        </w:rPr>
        <w:t>plnění</w:t>
      </w:r>
      <w:r w:rsidR="006D609C">
        <w:rPr>
          <w:rFonts w:asciiTheme="minorHAnsi" w:hAnsiTheme="minorHAnsi" w:cstheme="minorHAnsi"/>
          <w:b/>
        </w:rPr>
        <w:t xml:space="preserve"> cílů</w:t>
      </w:r>
      <w:r w:rsidR="003C2281">
        <w:rPr>
          <w:rFonts w:asciiTheme="minorHAnsi" w:hAnsiTheme="minorHAnsi" w:cstheme="minorHAnsi"/>
          <w:b/>
        </w:rPr>
        <w:t>;</w:t>
      </w:r>
    </w:p>
    <w:p w14:paraId="2B4E6732" w14:textId="365EFC36" w:rsidR="003C2281" w:rsidRDefault="003C2281" w:rsidP="00426A01">
      <w:pPr>
        <w:pStyle w:val="Odstavecseseznamem"/>
        <w:numPr>
          <w:ilvl w:val="0"/>
          <w:numId w:val="21"/>
        </w:numPr>
        <w:spacing w:after="120"/>
        <w:ind w:left="714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vyřešilo </w:t>
      </w:r>
      <w:r w:rsidR="00823A23">
        <w:rPr>
          <w:rFonts w:ascii="Calibri" w:hAnsi="Calibri" w:cs="Calibri"/>
          <w:b/>
        </w:rPr>
        <w:t>nevyhovující</w:t>
      </w:r>
      <w:r>
        <w:rPr>
          <w:rFonts w:asciiTheme="minorHAnsi" w:hAnsiTheme="minorHAnsi" w:cstheme="minorHAnsi"/>
          <w:b/>
        </w:rPr>
        <w:t xml:space="preserve"> stav </w:t>
      </w:r>
      <w:r w:rsidRPr="000255C9">
        <w:rPr>
          <w:rFonts w:asciiTheme="minorHAnsi" w:hAnsiTheme="minorHAnsi" w:cstheme="minorHAnsi"/>
          <w:b/>
        </w:rPr>
        <w:t>hangár</w:t>
      </w:r>
      <w:r>
        <w:rPr>
          <w:rFonts w:asciiTheme="minorHAnsi" w:hAnsiTheme="minorHAnsi" w:cstheme="minorHAnsi"/>
          <w:b/>
        </w:rPr>
        <w:t>u</w:t>
      </w:r>
      <w:r w:rsidRPr="000255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D na letišti </w:t>
      </w:r>
      <w:r w:rsidR="00AF1256">
        <w:rPr>
          <w:rFonts w:asciiTheme="minorHAnsi" w:hAnsiTheme="minorHAnsi" w:cstheme="minorHAnsi"/>
          <w:b/>
        </w:rPr>
        <w:t>v Praze</w:t>
      </w:r>
      <w:r w:rsidR="00002A51">
        <w:rPr>
          <w:rFonts w:asciiTheme="minorHAnsi" w:hAnsiTheme="minorHAnsi" w:cstheme="minorHAnsi"/>
          <w:b/>
        </w:rPr>
        <w:t>-</w:t>
      </w:r>
      <w:r w:rsidR="00AF1256">
        <w:rPr>
          <w:rFonts w:asciiTheme="minorHAnsi" w:hAnsiTheme="minorHAnsi" w:cstheme="minorHAnsi"/>
          <w:b/>
        </w:rPr>
        <w:t>R</w:t>
      </w:r>
      <w:r w:rsidRPr="000255C9">
        <w:rPr>
          <w:rFonts w:asciiTheme="minorHAnsi" w:hAnsiTheme="minorHAnsi" w:cstheme="minorHAnsi"/>
          <w:b/>
        </w:rPr>
        <w:t>uzyni</w:t>
      </w:r>
      <w:r>
        <w:rPr>
          <w:rFonts w:asciiTheme="minorHAnsi" w:hAnsiTheme="minorHAnsi" w:cstheme="minorHAnsi"/>
          <w:b/>
        </w:rPr>
        <w:t>.</w:t>
      </w:r>
    </w:p>
    <w:p w14:paraId="74FE8219" w14:textId="77777777" w:rsidR="00006515" w:rsidRPr="00006515" w:rsidRDefault="00006515" w:rsidP="00006515">
      <w:pPr>
        <w:spacing w:after="120"/>
        <w:jc w:val="both"/>
        <w:rPr>
          <w:rFonts w:asciiTheme="minorHAnsi" w:hAnsiTheme="minorHAnsi" w:cstheme="minorHAnsi"/>
          <w:b/>
        </w:rPr>
      </w:pPr>
    </w:p>
    <w:p w14:paraId="79D9AF85" w14:textId="77777777" w:rsidR="00462F78" w:rsidRDefault="00D02C8F" w:rsidP="00462F78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</w:t>
      </w:r>
      <w:r w:rsidR="00462F78" w:rsidRPr="002E505E">
        <w:rPr>
          <w:rFonts w:asciiTheme="minorHAnsi" w:hAnsiTheme="minorHAnsi" w:cstheme="minorHAnsi"/>
          <w:b/>
          <w:sz w:val="20"/>
          <w:szCs w:val="20"/>
        </w:rPr>
        <w:t>zn.:</w:t>
      </w:r>
      <w:r w:rsidR="00462F78" w:rsidRPr="002E505E">
        <w:rPr>
          <w:rFonts w:asciiTheme="minorHAnsi" w:hAnsiTheme="minorHAnsi" w:cstheme="minorHAnsi"/>
          <w:sz w:val="20"/>
          <w:szCs w:val="20"/>
        </w:rPr>
        <w:tab/>
        <w:t>Právní předpisy uvedené v</w:t>
      </w:r>
      <w:r w:rsidR="00462F78">
        <w:rPr>
          <w:rFonts w:asciiTheme="minorHAnsi" w:hAnsiTheme="minorHAnsi" w:cstheme="minorHAnsi"/>
          <w:sz w:val="20"/>
          <w:szCs w:val="20"/>
        </w:rPr>
        <w:t xml:space="preserve"> </w:t>
      </w:r>
      <w:r w:rsidR="00462F78" w:rsidRPr="002E505E">
        <w:rPr>
          <w:rFonts w:asciiTheme="minorHAnsi" w:hAnsiTheme="minorHAnsi" w:cstheme="minorHAnsi"/>
          <w:sz w:val="20"/>
          <w:szCs w:val="20"/>
        </w:rPr>
        <w:t>tomto kontrolním závěru jsou aplikovány ve znění účinném pro kontrolované období.</w:t>
      </w:r>
    </w:p>
    <w:p w14:paraId="2F2F70A9" w14:textId="70FDCA72" w:rsidR="00676C7A" w:rsidRDefault="00676C7A" w:rsidP="00462F78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</w:p>
    <w:p w14:paraId="534C6063" w14:textId="6E7D7500" w:rsidR="00006515" w:rsidRDefault="00006515" w:rsidP="00462F78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</w:p>
    <w:p w14:paraId="5DFE6241" w14:textId="020A87D0" w:rsidR="00006515" w:rsidRDefault="00006515" w:rsidP="00462F78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</w:p>
    <w:p w14:paraId="6908F4D3" w14:textId="01C3D1CB" w:rsidR="00006515" w:rsidRDefault="00006515" w:rsidP="00462F78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</w:p>
    <w:p w14:paraId="505415D0" w14:textId="77777777" w:rsidR="00006515" w:rsidRDefault="00006515" w:rsidP="00462F78">
      <w:pPr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</w:p>
    <w:p w14:paraId="4A01DA3C" w14:textId="77777777" w:rsidR="00462F78" w:rsidRDefault="00462F78" w:rsidP="003D1368">
      <w:pPr>
        <w:keepNext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II</w:t>
      </w:r>
      <w:r w:rsidRPr="00A315CB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932E3">
        <w:rPr>
          <w:rFonts w:asciiTheme="minorHAnsi" w:hAnsiTheme="minorHAnsi" w:cstheme="minorHAnsi"/>
          <w:b/>
          <w:sz w:val="28"/>
          <w:szCs w:val="28"/>
        </w:rPr>
        <w:t>Informace o kontrolované oblasti</w:t>
      </w:r>
    </w:p>
    <w:p w14:paraId="441E1DA4" w14:textId="1954A89F" w:rsidR="00BC44EA" w:rsidRPr="00C30C09" w:rsidRDefault="00B20900" w:rsidP="00FC094F">
      <w:pPr>
        <w:shd w:val="clear" w:color="auto" w:fill="FFFFFF"/>
        <w:spacing w:after="120"/>
        <w:ind w:right="6"/>
        <w:jc w:val="both"/>
        <w:rPr>
          <w:rFonts w:asciiTheme="minorHAnsi" w:hAnsiTheme="minorHAnsi" w:cs="Calibri"/>
        </w:rPr>
      </w:pPr>
      <w:r>
        <w:rPr>
          <w:rFonts w:asciiTheme="minorHAnsi" w:hAnsiTheme="minorHAnsi" w:cstheme="minorHAnsi"/>
        </w:rPr>
        <w:t>M</w:t>
      </w:r>
      <w:r w:rsidRPr="00542313">
        <w:rPr>
          <w:rFonts w:asciiTheme="minorHAnsi" w:hAnsiTheme="minorHAnsi" w:cstheme="minorHAnsi"/>
        </w:rPr>
        <w:t xml:space="preserve">V je ústředním orgánem </w:t>
      </w:r>
      <w:r>
        <w:rPr>
          <w:rFonts w:asciiTheme="minorHAnsi" w:hAnsiTheme="minorHAnsi" w:cstheme="minorHAnsi"/>
        </w:rPr>
        <w:t xml:space="preserve">státní správy pro vnitřní věci, zejména </w:t>
      </w:r>
      <w:r w:rsidRPr="00CA0101">
        <w:rPr>
          <w:rFonts w:asciiTheme="minorHAnsi" w:hAnsiTheme="minorHAnsi" w:cstheme="minorHAnsi"/>
        </w:rPr>
        <w:t>pro veřejný pořádek a další věci vnitřního pořádku a bezpečnosti ve vymezeném rozsahu, včetně dohledu na bezpečnost a plynulost silničního provozu</w:t>
      </w:r>
      <w:r>
        <w:rPr>
          <w:rFonts w:asciiTheme="minorHAnsi" w:hAnsiTheme="minorHAnsi" w:cstheme="minorHAnsi"/>
        </w:rPr>
        <w:t xml:space="preserve">. </w:t>
      </w:r>
      <w:r w:rsidR="00BC44EA" w:rsidRPr="00E51469">
        <w:rPr>
          <w:rFonts w:asciiTheme="minorHAnsi" w:hAnsiTheme="minorHAnsi" w:cs="Calibri"/>
        </w:rPr>
        <w:t xml:space="preserve">Postavení a činnost </w:t>
      </w:r>
      <w:r w:rsidR="00800351" w:rsidRPr="00517AF2">
        <w:rPr>
          <w:rFonts w:asciiTheme="minorHAnsi" w:hAnsiTheme="minorHAnsi" w:cstheme="minorHAnsi"/>
        </w:rPr>
        <w:t>Policie</w:t>
      </w:r>
      <w:r w:rsidR="00BC44EA" w:rsidRPr="00E51469">
        <w:rPr>
          <w:rFonts w:asciiTheme="minorHAnsi" w:hAnsiTheme="minorHAnsi" w:cs="Calibri"/>
          <w:b/>
        </w:rPr>
        <w:t xml:space="preserve"> </w:t>
      </w:r>
      <w:r w:rsidR="00BC44EA" w:rsidRPr="00E51469">
        <w:rPr>
          <w:rFonts w:asciiTheme="minorHAnsi" w:hAnsiTheme="minorHAnsi" w:cs="Calibri"/>
        </w:rPr>
        <w:t>u</w:t>
      </w:r>
      <w:r w:rsidR="00676C7A">
        <w:rPr>
          <w:rFonts w:asciiTheme="minorHAnsi" w:hAnsiTheme="minorHAnsi" w:cs="Calibri"/>
        </w:rPr>
        <w:t>prav</w:t>
      </w:r>
      <w:r w:rsidR="00F92D14">
        <w:rPr>
          <w:rFonts w:asciiTheme="minorHAnsi" w:hAnsiTheme="minorHAnsi" w:cs="Calibri"/>
        </w:rPr>
        <w:t>uje</w:t>
      </w:r>
      <w:r w:rsidR="00676C7A">
        <w:rPr>
          <w:rFonts w:asciiTheme="minorHAnsi" w:hAnsiTheme="minorHAnsi" w:cs="Calibri"/>
        </w:rPr>
        <w:t xml:space="preserve"> zákon č.</w:t>
      </w:r>
      <w:r w:rsidR="00006515">
        <w:rPr>
          <w:rFonts w:asciiTheme="minorHAnsi" w:hAnsiTheme="minorHAnsi" w:cs="Calibri"/>
        </w:rPr>
        <w:t> </w:t>
      </w:r>
      <w:r w:rsidR="00676C7A">
        <w:rPr>
          <w:rFonts w:asciiTheme="minorHAnsi" w:hAnsiTheme="minorHAnsi" w:cs="Calibri"/>
        </w:rPr>
        <w:t>273/2008</w:t>
      </w:r>
      <w:r w:rsidR="00006515">
        <w:rPr>
          <w:rFonts w:asciiTheme="minorHAnsi" w:hAnsiTheme="minorHAnsi" w:cs="Calibri"/>
        </w:rPr>
        <w:t> </w:t>
      </w:r>
      <w:r w:rsidR="00676C7A">
        <w:rPr>
          <w:rFonts w:asciiTheme="minorHAnsi" w:hAnsiTheme="minorHAnsi" w:cs="Calibri"/>
        </w:rPr>
        <w:t>Sb.</w:t>
      </w:r>
      <w:r w:rsidR="00F92D14">
        <w:rPr>
          <w:rFonts w:asciiTheme="minorHAnsi" w:hAnsiTheme="minorHAnsi" w:cs="Calibri"/>
        </w:rPr>
        <w:t>,</w:t>
      </w:r>
      <w:r w:rsidR="00BC44EA" w:rsidRPr="00E51469">
        <w:rPr>
          <w:rFonts w:asciiTheme="minorHAnsi" w:hAnsiTheme="minorHAnsi" w:cs="Calibri"/>
        </w:rPr>
        <w:t xml:space="preserve"> z něhož vyplývá, že</w:t>
      </w:r>
      <w:r w:rsidR="007F77A0">
        <w:rPr>
          <w:rFonts w:asciiTheme="minorHAnsi" w:hAnsiTheme="minorHAnsi" w:cs="Calibri"/>
        </w:rPr>
        <w:t xml:space="preserve"> </w:t>
      </w:r>
      <w:r w:rsidR="00800351" w:rsidRPr="00517AF2">
        <w:rPr>
          <w:rFonts w:asciiTheme="minorHAnsi" w:hAnsiTheme="minorHAnsi" w:cstheme="minorHAnsi"/>
        </w:rPr>
        <w:t>Policie</w:t>
      </w:r>
      <w:r w:rsidR="00BC44EA" w:rsidRPr="00E51469">
        <w:rPr>
          <w:rFonts w:asciiTheme="minorHAnsi" w:hAnsiTheme="minorHAnsi" w:cs="Calibri"/>
        </w:rPr>
        <w:t xml:space="preserve"> je jednotným ozbrojeným bezpečnostním sborem, který slouží veřejnosti. Jejím úkolem je </w:t>
      </w:r>
      <w:r w:rsidR="004114D8">
        <w:rPr>
          <w:rFonts w:asciiTheme="minorHAnsi" w:hAnsiTheme="minorHAnsi" w:cs="Calibri"/>
        </w:rPr>
        <w:t>mj.</w:t>
      </w:r>
      <w:r w:rsidR="007F77A0">
        <w:rPr>
          <w:rFonts w:asciiTheme="minorHAnsi" w:hAnsiTheme="minorHAnsi" w:cs="Calibri"/>
        </w:rPr>
        <w:t xml:space="preserve"> </w:t>
      </w:r>
      <w:r w:rsidR="00BC44EA" w:rsidRPr="00E51469">
        <w:rPr>
          <w:rFonts w:asciiTheme="minorHAnsi" w:hAnsiTheme="minorHAnsi" w:cs="Calibri"/>
        </w:rPr>
        <w:t xml:space="preserve">chránit bezpečnost osob a majetku a veřejný pořádek, předcházet trestné činnosti a </w:t>
      </w:r>
      <w:r w:rsidR="004114D8">
        <w:rPr>
          <w:rFonts w:asciiTheme="minorHAnsi" w:hAnsiTheme="minorHAnsi" w:cs="Calibri"/>
        </w:rPr>
        <w:t xml:space="preserve">plnit </w:t>
      </w:r>
      <w:r w:rsidR="00BC44EA" w:rsidRPr="00E51469">
        <w:rPr>
          <w:rFonts w:asciiTheme="minorHAnsi" w:hAnsiTheme="minorHAnsi" w:cs="Calibri"/>
        </w:rPr>
        <w:t xml:space="preserve">další úkoly </w:t>
      </w:r>
      <w:r w:rsidR="005D541D">
        <w:rPr>
          <w:rFonts w:asciiTheme="minorHAnsi" w:hAnsiTheme="minorHAnsi" w:cs="Calibri"/>
        </w:rPr>
        <w:t xml:space="preserve">v oblasti </w:t>
      </w:r>
      <w:r w:rsidR="00BC44EA" w:rsidRPr="00E51469">
        <w:rPr>
          <w:rFonts w:asciiTheme="minorHAnsi" w:hAnsiTheme="minorHAnsi" w:cs="Calibri"/>
        </w:rPr>
        <w:t>vnitřního pořádku a</w:t>
      </w:r>
      <w:r w:rsidR="007F77A0">
        <w:rPr>
          <w:rFonts w:asciiTheme="minorHAnsi" w:hAnsiTheme="minorHAnsi" w:cs="Calibri"/>
        </w:rPr>
        <w:t xml:space="preserve"> </w:t>
      </w:r>
      <w:r w:rsidR="00BC44EA" w:rsidRPr="00E51469">
        <w:rPr>
          <w:rFonts w:asciiTheme="minorHAnsi" w:hAnsiTheme="minorHAnsi" w:cs="Calibri"/>
        </w:rPr>
        <w:t xml:space="preserve">bezpečnosti. </w:t>
      </w:r>
      <w:r w:rsidR="00800351" w:rsidRPr="00517AF2">
        <w:rPr>
          <w:rFonts w:asciiTheme="minorHAnsi" w:hAnsiTheme="minorHAnsi" w:cstheme="minorHAnsi"/>
        </w:rPr>
        <w:t>Policie</w:t>
      </w:r>
      <w:r w:rsidR="00BC44EA" w:rsidRPr="00E51469">
        <w:rPr>
          <w:rFonts w:asciiTheme="minorHAnsi" w:hAnsiTheme="minorHAnsi" w:cs="Calibri"/>
        </w:rPr>
        <w:t xml:space="preserve"> je podřízena </w:t>
      </w:r>
      <w:r w:rsidR="00BC44EA">
        <w:rPr>
          <w:rFonts w:asciiTheme="minorHAnsi" w:hAnsiTheme="minorHAnsi" w:cs="Calibri"/>
        </w:rPr>
        <w:t>MV</w:t>
      </w:r>
      <w:r w:rsidR="00354107">
        <w:rPr>
          <w:rFonts w:asciiTheme="minorHAnsi" w:hAnsiTheme="minorHAnsi" w:cs="Calibri"/>
        </w:rPr>
        <w:t xml:space="preserve">. </w:t>
      </w:r>
      <w:r w:rsidR="00BC44EA" w:rsidRPr="00E51469">
        <w:rPr>
          <w:rFonts w:asciiTheme="minorHAnsi" w:hAnsiTheme="minorHAnsi" w:cs="Calibri"/>
        </w:rPr>
        <w:t xml:space="preserve">Tvoří ji </w:t>
      </w:r>
      <w:r w:rsidR="00F92D14">
        <w:rPr>
          <w:rFonts w:asciiTheme="minorHAnsi" w:hAnsiTheme="minorHAnsi" w:cs="Calibri"/>
        </w:rPr>
        <w:t xml:space="preserve">následující </w:t>
      </w:r>
      <w:r w:rsidR="00BC44EA" w:rsidRPr="00E51469">
        <w:rPr>
          <w:rFonts w:asciiTheme="minorHAnsi" w:hAnsiTheme="minorHAnsi" w:cs="Calibri"/>
        </w:rPr>
        <w:t>útvary</w:t>
      </w:r>
      <w:r w:rsidR="00F92D14">
        <w:rPr>
          <w:rFonts w:asciiTheme="minorHAnsi" w:hAnsiTheme="minorHAnsi" w:cs="Calibri"/>
        </w:rPr>
        <w:t>:</w:t>
      </w:r>
      <w:r w:rsidR="00BC44EA" w:rsidRPr="00E51469">
        <w:rPr>
          <w:rFonts w:asciiTheme="minorHAnsi" w:hAnsiTheme="minorHAnsi" w:cs="Calibri"/>
        </w:rPr>
        <w:t xml:space="preserve"> </w:t>
      </w:r>
      <w:r w:rsidR="00493109">
        <w:rPr>
          <w:rFonts w:asciiTheme="minorHAnsi" w:hAnsiTheme="minorHAnsi" w:cstheme="minorHAnsi"/>
        </w:rPr>
        <w:t>Policejní prezidium České republiky (dále jen „Prezidium“)</w:t>
      </w:r>
      <w:r w:rsidR="00BC44EA" w:rsidRPr="00E51469">
        <w:rPr>
          <w:rFonts w:asciiTheme="minorHAnsi" w:hAnsiTheme="minorHAnsi" w:cs="Calibri"/>
        </w:rPr>
        <w:t>, útvary s celostátní působností, krajská ředitelství policie (dále také „KŘP“) a</w:t>
      </w:r>
      <w:r w:rsidR="006D131A">
        <w:rPr>
          <w:rFonts w:asciiTheme="minorHAnsi" w:hAnsiTheme="minorHAnsi" w:cs="Calibri"/>
        </w:rPr>
        <w:t> </w:t>
      </w:r>
      <w:r w:rsidR="00BC44EA" w:rsidRPr="00E51469">
        <w:rPr>
          <w:rFonts w:asciiTheme="minorHAnsi" w:hAnsiTheme="minorHAnsi" w:cs="Calibri"/>
        </w:rPr>
        <w:t>útvary zřízené v </w:t>
      </w:r>
      <w:r w:rsidR="00354107">
        <w:rPr>
          <w:rFonts w:asciiTheme="minorHAnsi" w:hAnsiTheme="minorHAnsi" w:cs="Calibri"/>
        </w:rPr>
        <w:t>jejich</w:t>
      </w:r>
      <w:r w:rsidR="00BC44EA" w:rsidRPr="00E51469">
        <w:rPr>
          <w:rFonts w:asciiTheme="minorHAnsi" w:hAnsiTheme="minorHAnsi" w:cs="Calibri"/>
        </w:rPr>
        <w:t xml:space="preserve"> rámci. </w:t>
      </w:r>
      <w:r w:rsidR="00BB7853" w:rsidRPr="00BB7853">
        <w:rPr>
          <w:rFonts w:asciiTheme="minorHAnsi" w:hAnsiTheme="minorHAnsi"/>
        </w:rPr>
        <w:t>Prezidium</w:t>
      </w:r>
      <w:r w:rsidR="00BB7853" w:rsidRPr="00E51469">
        <w:rPr>
          <w:rFonts w:asciiTheme="minorHAnsi" w:hAnsiTheme="minorHAnsi" w:cs="Calibri"/>
        </w:rPr>
        <w:t xml:space="preserve"> </w:t>
      </w:r>
      <w:r w:rsidR="00BC44EA" w:rsidRPr="00E51469">
        <w:rPr>
          <w:rFonts w:asciiTheme="minorHAnsi" w:hAnsiTheme="minorHAnsi" w:cs="Calibri"/>
        </w:rPr>
        <w:t xml:space="preserve">řídí činnost </w:t>
      </w:r>
      <w:r w:rsidR="00F92D14">
        <w:rPr>
          <w:rFonts w:asciiTheme="minorHAnsi" w:hAnsiTheme="minorHAnsi" w:cs="Calibri"/>
        </w:rPr>
        <w:t>P</w:t>
      </w:r>
      <w:r w:rsidR="00BC44EA" w:rsidRPr="00E51469">
        <w:rPr>
          <w:rFonts w:asciiTheme="minorHAnsi" w:hAnsiTheme="minorHAnsi" w:cs="Calibri"/>
        </w:rPr>
        <w:t xml:space="preserve">olicie. </w:t>
      </w:r>
      <w:r w:rsidR="00BB7853" w:rsidRPr="00BB7853">
        <w:rPr>
          <w:rFonts w:asciiTheme="minorHAnsi" w:hAnsiTheme="minorHAnsi"/>
        </w:rPr>
        <w:t>Prezidium</w:t>
      </w:r>
      <w:r w:rsidR="00BB7853" w:rsidRPr="00E51469">
        <w:rPr>
          <w:rFonts w:asciiTheme="minorHAnsi" w:hAnsiTheme="minorHAnsi" w:cs="Calibri"/>
        </w:rPr>
        <w:t xml:space="preserve"> </w:t>
      </w:r>
      <w:r w:rsidR="00BC44EA" w:rsidRPr="00E51469">
        <w:rPr>
          <w:rFonts w:asciiTheme="minorHAnsi" w:hAnsiTheme="minorHAnsi" w:cs="Calibri"/>
        </w:rPr>
        <w:t>a útvary s celostátní působností se při nakládání s majetkem ČR a v právních vztazích považují za</w:t>
      </w:r>
      <w:r w:rsidR="00F92D14">
        <w:rPr>
          <w:rFonts w:asciiTheme="minorHAnsi" w:hAnsiTheme="minorHAnsi" w:cs="Calibri"/>
        </w:rPr>
        <w:t xml:space="preserve"> </w:t>
      </w:r>
      <w:r w:rsidR="00BC44EA" w:rsidRPr="00E51469">
        <w:rPr>
          <w:rFonts w:asciiTheme="minorHAnsi" w:hAnsiTheme="minorHAnsi" w:cs="Calibri"/>
        </w:rPr>
        <w:t>součást organizační složky státu a</w:t>
      </w:r>
      <w:r w:rsidR="007F77A0">
        <w:rPr>
          <w:rFonts w:asciiTheme="minorHAnsi" w:hAnsiTheme="minorHAnsi" w:cs="Calibri"/>
        </w:rPr>
        <w:t xml:space="preserve"> </w:t>
      </w:r>
      <w:r w:rsidR="00BC44EA" w:rsidRPr="00E51469">
        <w:rPr>
          <w:rFonts w:asciiTheme="minorHAnsi" w:hAnsiTheme="minorHAnsi" w:cs="Calibri"/>
        </w:rPr>
        <w:t xml:space="preserve">účetní jednotky </w:t>
      </w:r>
      <w:r w:rsidR="00BC44EA">
        <w:rPr>
          <w:rFonts w:asciiTheme="minorHAnsi" w:hAnsiTheme="minorHAnsi" w:cs="Calibri"/>
        </w:rPr>
        <w:t>MV</w:t>
      </w:r>
      <w:r w:rsidR="00FC094F">
        <w:rPr>
          <w:rFonts w:asciiTheme="minorHAnsi" w:hAnsiTheme="minorHAnsi" w:cs="Calibri"/>
        </w:rPr>
        <w:t xml:space="preserve">. </w:t>
      </w:r>
      <w:r w:rsidR="00BC44EA" w:rsidRPr="00E51469">
        <w:rPr>
          <w:rFonts w:asciiTheme="minorHAnsi" w:hAnsiTheme="minorHAnsi" w:cs="Calibri"/>
        </w:rPr>
        <w:t>KŘP j</w:t>
      </w:r>
      <w:r w:rsidR="00F92D14">
        <w:rPr>
          <w:rFonts w:asciiTheme="minorHAnsi" w:hAnsiTheme="minorHAnsi" w:cs="Calibri"/>
        </w:rPr>
        <w:t>sou</w:t>
      </w:r>
      <w:r w:rsidR="00BC44EA" w:rsidRPr="00E51469">
        <w:rPr>
          <w:rFonts w:asciiTheme="minorHAnsi" w:hAnsiTheme="minorHAnsi" w:cs="Calibri"/>
        </w:rPr>
        <w:t xml:space="preserve"> organizační složk</w:t>
      </w:r>
      <w:r w:rsidR="00F92D14">
        <w:rPr>
          <w:rFonts w:asciiTheme="minorHAnsi" w:hAnsiTheme="minorHAnsi" w:cs="Calibri"/>
        </w:rPr>
        <w:t>y</w:t>
      </w:r>
      <w:r w:rsidR="00BC44EA" w:rsidRPr="00E51469">
        <w:rPr>
          <w:rFonts w:asciiTheme="minorHAnsi" w:hAnsiTheme="minorHAnsi" w:cs="Calibri"/>
        </w:rPr>
        <w:t xml:space="preserve"> státu a</w:t>
      </w:r>
      <w:r w:rsidR="00F92D14">
        <w:rPr>
          <w:rFonts w:asciiTheme="minorHAnsi" w:hAnsiTheme="minorHAnsi" w:cs="Calibri"/>
        </w:rPr>
        <w:t xml:space="preserve"> </w:t>
      </w:r>
      <w:r w:rsidR="00BC44EA" w:rsidRPr="00E51469">
        <w:rPr>
          <w:rFonts w:asciiTheme="minorHAnsi" w:hAnsiTheme="minorHAnsi" w:cs="Calibri"/>
        </w:rPr>
        <w:t>účetní jednotk</w:t>
      </w:r>
      <w:r w:rsidR="00F92D14">
        <w:rPr>
          <w:rFonts w:asciiTheme="minorHAnsi" w:hAnsiTheme="minorHAnsi" w:cs="Calibri"/>
        </w:rPr>
        <w:t>y</w:t>
      </w:r>
      <w:r w:rsidR="00BC44EA" w:rsidRPr="00E51469">
        <w:rPr>
          <w:rFonts w:asciiTheme="minorHAnsi" w:hAnsiTheme="minorHAnsi" w:cs="Calibri"/>
        </w:rPr>
        <w:t xml:space="preserve">, </w:t>
      </w:r>
      <w:r w:rsidR="00280592">
        <w:rPr>
          <w:rFonts w:asciiTheme="minorHAnsi" w:hAnsiTheme="minorHAnsi" w:cs="Calibri"/>
        </w:rPr>
        <w:t>jej</w:t>
      </w:r>
      <w:r w:rsidR="00F92D14">
        <w:rPr>
          <w:rFonts w:asciiTheme="minorHAnsi" w:hAnsiTheme="minorHAnsi" w:cs="Calibri"/>
        </w:rPr>
        <w:t>ichž</w:t>
      </w:r>
      <w:r w:rsidR="00BC44EA" w:rsidRPr="00E51469">
        <w:rPr>
          <w:rFonts w:asciiTheme="minorHAnsi" w:hAnsiTheme="minorHAnsi" w:cs="Calibri"/>
        </w:rPr>
        <w:t xml:space="preserve"> příjmy a výdaje jsou součástí rozpočtové kapitoly MV</w:t>
      </w:r>
      <w:r w:rsidR="00FF53C3">
        <w:rPr>
          <w:rFonts w:asciiTheme="minorHAnsi" w:hAnsiTheme="minorHAnsi" w:cs="Calibri"/>
        </w:rPr>
        <w:t>.</w:t>
      </w:r>
      <w:r w:rsidR="00BC44EA" w:rsidRPr="00E51469">
        <w:rPr>
          <w:rFonts w:asciiTheme="minorHAnsi" w:hAnsiTheme="minorHAnsi" w:cs="Calibri"/>
        </w:rPr>
        <w:t xml:space="preserve"> </w:t>
      </w:r>
      <w:r w:rsidR="00354107">
        <w:rPr>
          <w:rFonts w:asciiTheme="minorHAnsi" w:hAnsiTheme="minorHAnsi" w:cs="Calibri"/>
        </w:rPr>
        <w:t>V</w:t>
      </w:r>
      <w:r w:rsidR="00006515">
        <w:rPr>
          <w:rFonts w:asciiTheme="minorHAnsi" w:hAnsiTheme="minorHAnsi" w:cs="Calibri"/>
        </w:rPr>
        <w:t> </w:t>
      </w:r>
      <w:r w:rsidR="00800351">
        <w:rPr>
          <w:rFonts w:asciiTheme="minorHAnsi" w:hAnsiTheme="minorHAnsi" w:cstheme="minorHAnsi"/>
        </w:rPr>
        <w:t>Policii</w:t>
      </w:r>
      <w:r w:rsidR="00BC44EA" w:rsidRPr="00C30C09">
        <w:rPr>
          <w:rFonts w:asciiTheme="minorHAnsi" w:hAnsiTheme="minorHAnsi" w:cs="Calibri"/>
        </w:rPr>
        <w:t xml:space="preserve"> existuje 14</w:t>
      </w:r>
      <w:r w:rsidR="006D131A">
        <w:rPr>
          <w:rFonts w:asciiTheme="minorHAnsi" w:hAnsiTheme="minorHAnsi" w:cs="Calibri"/>
        </w:rPr>
        <w:t> </w:t>
      </w:r>
      <w:r w:rsidR="00BC44EA" w:rsidRPr="00C30C09">
        <w:rPr>
          <w:rFonts w:asciiTheme="minorHAnsi" w:hAnsiTheme="minorHAnsi" w:cs="Calibri"/>
        </w:rPr>
        <w:t>krajských ředitelství</w:t>
      </w:r>
      <w:r w:rsidR="00FF53C3">
        <w:rPr>
          <w:rFonts w:asciiTheme="minorHAnsi" w:hAnsiTheme="minorHAnsi" w:cs="Calibri"/>
        </w:rPr>
        <w:t xml:space="preserve">. </w:t>
      </w:r>
      <w:r w:rsidR="00493109">
        <w:rPr>
          <w:rFonts w:asciiTheme="minorHAnsi" w:hAnsiTheme="minorHAnsi" w:cs="Calibri"/>
        </w:rPr>
        <w:t xml:space="preserve">MV a </w:t>
      </w:r>
      <w:r w:rsidR="00BB7853" w:rsidRPr="00BB7853">
        <w:rPr>
          <w:rFonts w:asciiTheme="minorHAnsi" w:hAnsiTheme="minorHAnsi"/>
        </w:rPr>
        <w:t>Prezidium</w:t>
      </w:r>
      <w:r w:rsidR="00493109">
        <w:rPr>
          <w:rFonts w:asciiTheme="minorHAnsi" w:hAnsiTheme="minorHAnsi"/>
        </w:rPr>
        <w:t xml:space="preserve"> </w:t>
      </w:r>
      <w:r w:rsidR="00BC44EA" w:rsidRPr="00C30C09">
        <w:rPr>
          <w:rFonts w:asciiTheme="minorHAnsi" w:hAnsiTheme="minorHAnsi"/>
        </w:rPr>
        <w:t xml:space="preserve">určují a pořizují pro všechna KŘP tzv. </w:t>
      </w:r>
      <w:r w:rsidR="003C2281">
        <w:rPr>
          <w:rFonts w:asciiTheme="minorHAnsi" w:hAnsiTheme="minorHAnsi"/>
        </w:rPr>
        <w:t>centrálně</w:t>
      </w:r>
      <w:r w:rsidR="00F2612A">
        <w:rPr>
          <w:rFonts w:asciiTheme="minorHAnsi" w:hAnsiTheme="minorHAnsi"/>
        </w:rPr>
        <w:t xml:space="preserve"> pořizovaný majetek</w:t>
      </w:r>
      <w:r w:rsidR="00D0420A">
        <w:rPr>
          <w:rFonts w:asciiTheme="minorHAnsi" w:hAnsiTheme="minorHAnsi"/>
        </w:rPr>
        <w:t xml:space="preserve">, který </w:t>
      </w:r>
      <w:r w:rsidR="00F2612A">
        <w:rPr>
          <w:rFonts w:asciiTheme="minorHAnsi" w:hAnsiTheme="minorHAnsi"/>
        </w:rPr>
        <w:t xml:space="preserve">je vymezen ve vnitřním předpisu </w:t>
      </w:r>
      <w:r w:rsidR="00BB7853">
        <w:rPr>
          <w:rFonts w:asciiTheme="minorHAnsi" w:hAnsiTheme="minorHAnsi"/>
        </w:rPr>
        <w:t>Prezidia</w:t>
      </w:r>
      <w:r w:rsidR="00F2612A">
        <w:rPr>
          <w:rFonts w:asciiTheme="minorHAnsi" w:hAnsiTheme="minorHAnsi"/>
        </w:rPr>
        <w:t xml:space="preserve">. </w:t>
      </w:r>
    </w:p>
    <w:p w14:paraId="5264015B" w14:textId="5FD58951" w:rsidR="00C30C09" w:rsidRDefault="00C30C09" w:rsidP="00FE2D8B">
      <w:pPr>
        <w:pStyle w:val="Zkladntext"/>
        <w:spacing w:after="120"/>
        <w:rPr>
          <w:rFonts w:asciiTheme="minorHAnsi" w:hAnsiTheme="minorHAnsi"/>
          <w:i w:val="0"/>
          <w:snapToGrid w:val="0"/>
          <w:sz w:val="24"/>
        </w:rPr>
      </w:pPr>
      <w:r w:rsidRPr="00C30C09">
        <w:rPr>
          <w:rFonts w:asciiTheme="minorHAnsi" w:hAnsiTheme="minorHAnsi"/>
          <w:i w:val="0"/>
          <w:snapToGrid w:val="0"/>
          <w:sz w:val="24"/>
        </w:rPr>
        <w:t xml:space="preserve">Programy rozvoje a obnovy materiálně technické </w:t>
      </w:r>
      <w:r w:rsidRPr="00800351">
        <w:rPr>
          <w:rFonts w:asciiTheme="minorHAnsi" w:hAnsiTheme="minorHAnsi"/>
          <w:i w:val="0"/>
          <w:snapToGrid w:val="0"/>
          <w:sz w:val="24"/>
        </w:rPr>
        <w:t xml:space="preserve">základny </w:t>
      </w:r>
      <w:r w:rsidR="00800351" w:rsidRPr="00800351">
        <w:rPr>
          <w:rFonts w:asciiTheme="minorHAnsi" w:hAnsiTheme="minorHAnsi" w:cstheme="minorHAnsi"/>
          <w:i w:val="0"/>
          <w:sz w:val="24"/>
        </w:rPr>
        <w:t>Policie</w:t>
      </w:r>
      <w:r w:rsidR="0024600F" w:rsidRPr="00800351">
        <w:rPr>
          <w:rFonts w:asciiTheme="minorHAnsi" w:hAnsiTheme="minorHAnsi"/>
          <w:i w:val="0"/>
          <w:snapToGrid w:val="0"/>
          <w:sz w:val="24"/>
        </w:rPr>
        <w:t xml:space="preserve"> </w:t>
      </w:r>
      <w:r w:rsidRPr="00800351">
        <w:rPr>
          <w:rFonts w:asciiTheme="minorHAnsi" w:hAnsiTheme="minorHAnsi"/>
          <w:i w:val="0"/>
          <w:snapToGrid w:val="0"/>
          <w:sz w:val="24"/>
        </w:rPr>
        <w:t>řeší</w:t>
      </w:r>
      <w:r w:rsidRPr="00C30C09">
        <w:rPr>
          <w:rFonts w:asciiTheme="minorHAnsi" w:hAnsiTheme="minorHAnsi"/>
          <w:i w:val="0"/>
          <w:snapToGrid w:val="0"/>
          <w:sz w:val="24"/>
        </w:rPr>
        <w:t xml:space="preserve"> materiáln</w:t>
      </w:r>
      <w:r w:rsidR="00F92D14">
        <w:rPr>
          <w:rFonts w:asciiTheme="minorHAnsi" w:hAnsiTheme="minorHAnsi"/>
          <w:i w:val="0"/>
          <w:snapToGrid w:val="0"/>
          <w:sz w:val="24"/>
        </w:rPr>
        <w:t>í</w:t>
      </w:r>
      <w:r w:rsidRPr="00C30C09">
        <w:rPr>
          <w:rFonts w:asciiTheme="minorHAnsi" w:hAnsiTheme="minorHAnsi"/>
          <w:i w:val="0"/>
          <w:snapToGrid w:val="0"/>
          <w:sz w:val="24"/>
        </w:rPr>
        <w:t xml:space="preserve"> </w:t>
      </w:r>
      <w:r w:rsidR="00F92D14">
        <w:rPr>
          <w:rFonts w:asciiTheme="minorHAnsi" w:hAnsiTheme="minorHAnsi"/>
          <w:i w:val="0"/>
          <w:snapToGrid w:val="0"/>
          <w:sz w:val="24"/>
        </w:rPr>
        <w:t xml:space="preserve">a </w:t>
      </w:r>
      <w:r w:rsidRPr="00C30C09">
        <w:rPr>
          <w:rFonts w:asciiTheme="minorHAnsi" w:hAnsiTheme="minorHAnsi"/>
          <w:i w:val="0"/>
          <w:snapToGrid w:val="0"/>
          <w:sz w:val="24"/>
        </w:rPr>
        <w:t xml:space="preserve">technické zabezpečení </w:t>
      </w:r>
      <w:r w:rsidR="00800351" w:rsidRPr="00800351">
        <w:rPr>
          <w:rFonts w:asciiTheme="minorHAnsi" w:hAnsiTheme="minorHAnsi" w:cstheme="minorHAnsi"/>
          <w:i w:val="0"/>
          <w:sz w:val="24"/>
        </w:rPr>
        <w:t>Policie</w:t>
      </w:r>
      <w:r w:rsidRPr="00C30C09">
        <w:rPr>
          <w:rFonts w:asciiTheme="minorHAnsi" w:hAnsiTheme="minorHAnsi"/>
          <w:i w:val="0"/>
          <w:snapToGrid w:val="0"/>
          <w:sz w:val="24"/>
        </w:rPr>
        <w:t xml:space="preserve"> v oblastech movitého a nemovitého majetku, jeho pořízení nebo technické zhodnocení s ohledem na plnění úkolů vyplývajících ze zákona č. 273/2008 Sb.</w:t>
      </w:r>
      <w:r w:rsidR="00826EBD" w:rsidRPr="00C30C09">
        <w:rPr>
          <w:rFonts w:asciiTheme="minorHAnsi" w:hAnsiTheme="minorHAnsi"/>
          <w:i w:val="0"/>
          <w:snapToGrid w:val="0"/>
          <w:sz w:val="24"/>
        </w:rPr>
        <w:t xml:space="preserve"> </w:t>
      </w:r>
      <w:r w:rsidRPr="00C30C09">
        <w:rPr>
          <w:rFonts w:asciiTheme="minorHAnsi" w:hAnsiTheme="minorHAnsi"/>
          <w:i w:val="0"/>
          <w:snapToGrid w:val="0"/>
          <w:sz w:val="24"/>
        </w:rPr>
        <w:t xml:space="preserve">V oblasti nemovitého majetku je cílem zabezpečení obnovy stávajících objektů všech útvarů </w:t>
      </w:r>
      <w:r w:rsidR="00D0420A">
        <w:rPr>
          <w:rFonts w:asciiTheme="minorHAnsi" w:hAnsiTheme="minorHAnsi"/>
          <w:i w:val="0"/>
          <w:snapToGrid w:val="0"/>
          <w:sz w:val="24"/>
        </w:rPr>
        <w:t>P</w:t>
      </w:r>
      <w:r w:rsidRPr="00C30C09">
        <w:rPr>
          <w:rFonts w:asciiTheme="minorHAnsi" w:hAnsiTheme="minorHAnsi"/>
          <w:i w:val="0"/>
          <w:snapToGrid w:val="0"/>
          <w:sz w:val="24"/>
        </w:rPr>
        <w:t xml:space="preserve">olicie. Požadavky na účast </w:t>
      </w:r>
      <w:r w:rsidR="00453729">
        <w:rPr>
          <w:rFonts w:asciiTheme="minorHAnsi" w:hAnsiTheme="minorHAnsi"/>
          <w:i w:val="0"/>
          <w:snapToGrid w:val="0"/>
          <w:sz w:val="24"/>
        </w:rPr>
        <w:t>státního rozpočtu</w:t>
      </w:r>
      <w:r w:rsidRPr="00C30C09">
        <w:rPr>
          <w:rFonts w:asciiTheme="minorHAnsi" w:hAnsiTheme="minorHAnsi"/>
          <w:i w:val="0"/>
          <w:snapToGrid w:val="0"/>
          <w:sz w:val="24"/>
        </w:rPr>
        <w:t xml:space="preserve"> vycház</w:t>
      </w:r>
      <w:r w:rsidR="00F92D14">
        <w:rPr>
          <w:rFonts w:asciiTheme="minorHAnsi" w:hAnsiTheme="minorHAnsi"/>
          <w:i w:val="0"/>
          <w:snapToGrid w:val="0"/>
          <w:sz w:val="24"/>
        </w:rPr>
        <w:t>ej</w:t>
      </w:r>
      <w:r w:rsidRPr="00C30C09">
        <w:rPr>
          <w:rFonts w:asciiTheme="minorHAnsi" w:hAnsiTheme="minorHAnsi"/>
          <w:i w:val="0"/>
          <w:snapToGrid w:val="0"/>
          <w:sz w:val="24"/>
        </w:rPr>
        <w:t>í v řadě případů z</w:t>
      </w:r>
      <w:r w:rsidR="00A93F94">
        <w:rPr>
          <w:rFonts w:asciiTheme="minorHAnsi" w:hAnsiTheme="minorHAnsi"/>
          <w:i w:val="0"/>
          <w:snapToGrid w:val="0"/>
          <w:sz w:val="24"/>
        </w:rPr>
        <w:t> </w:t>
      </w:r>
      <w:r w:rsidRPr="00C30C09">
        <w:rPr>
          <w:rFonts w:asciiTheme="minorHAnsi" w:hAnsiTheme="minorHAnsi"/>
          <w:i w:val="0"/>
          <w:snapToGrid w:val="0"/>
          <w:sz w:val="24"/>
        </w:rPr>
        <w:t>neuspokojiv</w:t>
      </w:r>
      <w:r w:rsidR="00A93F94">
        <w:rPr>
          <w:rFonts w:asciiTheme="minorHAnsi" w:hAnsiTheme="minorHAnsi"/>
          <w:i w:val="0"/>
          <w:snapToGrid w:val="0"/>
          <w:sz w:val="24"/>
        </w:rPr>
        <w:t>ého stav</w:t>
      </w:r>
      <w:r w:rsidR="00FC094F">
        <w:rPr>
          <w:rFonts w:asciiTheme="minorHAnsi" w:hAnsiTheme="minorHAnsi"/>
          <w:i w:val="0"/>
          <w:snapToGrid w:val="0"/>
          <w:sz w:val="24"/>
        </w:rPr>
        <w:t xml:space="preserve">u nemovitostí. </w:t>
      </w:r>
      <w:r w:rsidRPr="00C30C09">
        <w:rPr>
          <w:rFonts w:asciiTheme="minorHAnsi" w:hAnsiTheme="minorHAnsi"/>
          <w:i w:val="0"/>
          <w:snapToGrid w:val="0"/>
          <w:sz w:val="24"/>
        </w:rPr>
        <w:t xml:space="preserve">V oblasti zabezpečení movitým majetkem se jedná zejména o reprodukci a obnovu výpočetní a komunikační techniky, </w:t>
      </w:r>
      <w:r w:rsidR="00B87CAF" w:rsidRPr="00B87CAF">
        <w:rPr>
          <w:rFonts w:asciiTheme="minorHAnsi" w:hAnsiTheme="minorHAnsi"/>
          <w:i w:val="0"/>
          <w:snapToGrid w:val="0"/>
          <w:sz w:val="24"/>
        </w:rPr>
        <w:t>služební</w:t>
      </w:r>
      <w:r w:rsidR="00D0420A">
        <w:rPr>
          <w:rFonts w:asciiTheme="minorHAnsi" w:hAnsiTheme="minorHAnsi"/>
          <w:i w:val="0"/>
          <w:snapToGrid w:val="0"/>
          <w:sz w:val="24"/>
        </w:rPr>
        <w:t>ch</w:t>
      </w:r>
      <w:r w:rsidR="00B87CAF" w:rsidRPr="00B87CAF">
        <w:rPr>
          <w:rFonts w:asciiTheme="minorHAnsi" w:hAnsiTheme="minorHAnsi"/>
          <w:i w:val="0"/>
          <w:snapToGrid w:val="0"/>
          <w:sz w:val="24"/>
        </w:rPr>
        <w:t xml:space="preserve"> dopravní</w:t>
      </w:r>
      <w:r w:rsidR="00D0420A">
        <w:rPr>
          <w:rFonts w:asciiTheme="minorHAnsi" w:hAnsiTheme="minorHAnsi"/>
          <w:i w:val="0"/>
          <w:snapToGrid w:val="0"/>
          <w:sz w:val="24"/>
        </w:rPr>
        <w:t>ch</w:t>
      </w:r>
      <w:r w:rsidR="00B87CAF" w:rsidRPr="00B87CAF">
        <w:rPr>
          <w:rFonts w:asciiTheme="minorHAnsi" w:hAnsiTheme="minorHAnsi"/>
          <w:i w:val="0"/>
          <w:snapToGrid w:val="0"/>
          <w:sz w:val="24"/>
        </w:rPr>
        <w:t xml:space="preserve"> prostředk</w:t>
      </w:r>
      <w:r w:rsidR="00D0420A">
        <w:rPr>
          <w:rFonts w:asciiTheme="minorHAnsi" w:hAnsiTheme="minorHAnsi"/>
          <w:i w:val="0"/>
          <w:snapToGrid w:val="0"/>
          <w:sz w:val="24"/>
        </w:rPr>
        <w:t>ů</w:t>
      </w:r>
      <w:r w:rsidRPr="00C30C09">
        <w:rPr>
          <w:rFonts w:asciiTheme="minorHAnsi" w:hAnsiTheme="minorHAnsi"/>
          <w:i w:val="0"/>
          <w:snapToGrid w:val="0"/>
          <w:sz w:val="24"/>
        </w:rPr>
        <w:t>, majetku pro kriminalisticko-technické expertizy, nástrahovou a zabezpečovací techniku, majetku pro specializované útvary a činnosti policie (</w:t>
      </w:r>
      <w:r w:rsidR="00826EBD">
        <w:rPr>
          <w:rFonts w:asciiTheme="minorHAnsi" w:hAnsiTheme="minorHAnsi"/>
          <w:i w:val="0"/>
          <w:snapToGrid w:val="0"/>
          <w:sz w:val="24"/>
        </w:rPr>
        <w:t xml:space="preserve">např. </w:t>
      </w:r>
      <w:r w:rsidRPr="00C30C09">
        <w:rPr>
          <w:rFonts w:asciiTheme="minorHAnsi" w:hAnsiTheme="minorHAnsi"/>
          <w:i w:val="0"/>
          <w:snapToGrid w:val="0"/>
          <w:sz w:val="24"/>
        </w:rPr>
        <w:t>službu kriminální policie a vyšetřování, službu cizinecké a pohranič</w:t>
      </w:r>
      <w:r w:rsidR="00826EBD">
        <w:rPr>
          <w:rFonts w:asciiTheme="minorHAnsi" w:hAnsiTheme="minorHAnsi"/>
          <w:i w:val="0"/>
          <w:snapToGrid w:val="0"/>
          <w:sz w:val="24"/>
        </w:rPr>
        <w:t xml:space="preserve">ní policie, </w:t>
      </w:r>
      <w:r w:rsidRPr="00C30C09">
        <w:rPr>
          <w:rFonts w:asciiTheme="minorHAnsi" w:hAnsiTheme="minorHAnsi"/>
          <w:i w:val="0"/>
          <w:snapToGrid w:val="0"/>
          <w:sz w:val="24"/>
        </w:rPr>
        <w:t>pyrot</w:t>
      </w:r>
      <w:r w:rsidR="00D0420A">
        <w:rPr>
          <w:rFonts w:asciiTheme="minorHAnsi" w:hAnsiTheme="minorHAnsi"/>
          <w:i w:val="0"/>
          <w:snapToGrid w:val="0"/>
          <w:sz w:val="24"/>
        </w:rPr>
        <w:t xml:space="preserve">echnickou, leteckou, výstrojní a </w:t>
      </w:r>
      <w:r w:rsidRPr="00C30C09">
        <w:rPr>
          <w:rFonts w:asciiTheme="minorHAnsi" w:hAnsiTheme="minorHAnsi"/>
          <w:i w:val="0"/>
          <w:snapToGrid w:val="0"/>
          <w:sz w:val="24"/>
        </w:rPr>
        <w:t xml:space="preserve">veterinární činnost). </w:t>
      </w:r>
    </w:p>
    <w:p w14:paraId="6194E5A9" w14:textId="1E01D30D" w:rsidR="00097F4E" w:rsidRDefault="00B849B2" w:rsidP="003A7B37">
      <w:pPr>
        <w:spacing w:after="120"/>
        <w:jc w:val="both"/>
        <w:rPr>
          <w:rFonts w:asciiTheme="minorHAnsi" w:hAnsiTheme="minorHAnsi" w:cstheme="minorHAnsi"/>
          <w:lang w:eastAsia="en-US"/>
        </w:rPr>
      </w:pPr>
      <w:r w:rsidRPr="00097F4E">
        <w:rPr>
          <w:rFonts w:asciiTheme="minorHAnsi" w:hAnsiTheme="minorHAnsi" w:cstheme="minorHAnsi"/>
          <w:lang w:eastAsia="en-US"/>
        </w:rPr>
        <w:t>Program 214 110 měl být financován v letech 2003 až 2007 s celkovými výdaji 11 476,3 mil.</w:t>
      </w:r>
      <w:r w:rsidR="00C61E09">
        <w:rPr>
          <w:rFonts w:asciiTheme="minorHAnsi" w:hAnsiTheme="minorHAnsi" w:cstheme="minorHAnsi"/>
          <w:lang w:eastAsia="en-US"/>
        </w:rPr>
        <w:t> </w:t>
      </w:r>
      <w:r w:rsidRPr="00097F4E">
        <w:rPr>
          <w:rFonts w:asciiTheme="minorHAnsi" w:hAnsiTheme="minorHAnsi" w:cstheme="minorHAnsi"/>
          <w:lang w:eastAsia="en-US"/>
        </w:rPr>
        <w:t xml:space="preserve">Kč. V průběhu jeho realizace došlo postupně k šesti změnám a program byl prodloužen </w:t>
      </w:r>
      <w:r w:rsidR="00453729">
        <w:rPr>
          <w:rFonts w:asciiTheme="minorHAnsi" w:hAnsiTheme="minorHAnsi" w:cstheme="minorHAnsi"/>
          <w:lang w:eastAsia="en-US"/>
        </w:rPr>
        <w:t xml:space="preserve">až do poloviny roku 2016. Účast </w:t>
      </w:r>
      <w:r w:rsidR="00453729" w:rsidRPr="00453729">
        <w:rPr>
          <w:rFonts w:asciiTheme="minorHAnsi" w:hAnsiTheme="minorHAnsi" w:cstheme="minorHAnsi"/>
          <w:lang w:eastAsia="en-US"/>
        </w:rPr>
        <w:t>státního rozpočtu</w:t>
      </w:r>
      <w:r w:rsidRPr="00097F4E">
        <w:rPr>
          <w:rFonts w:asciiTheme="minorHAnsi" w:hAnsiTheme="minorHAnsi" w:cstheme="minorHAnsi"/>
          <w:lang w:eastAsia="en-US"/>
        </w:rPr>
        <w:t xml:space="preserve"> se zvýšila na 18 898,4 mil. Kč.</w:t>
      </w:r>
      <w:r w:rsidRPr="00097F4E">
        <w:rPr>
          <w:rFonts w:asciiTheme="minorHAnsi" w:eastAsia="Calibri" w:hAnsiTheme="minorHAnsi"/>
        </w:rPr>
        <w:t xml:space="preserve"> Závěrečné vyhodnocení programu schválila vláda v květnu roku 2017 usnesením č. 420/2017</w:t>
      </w:r>
      <w:r w:rsidRPr="00097F4E">
        <w:rPr>
          <w:rStyle w:val="Znakapoznpodarou"/>
          <w:rFonts w:asciiTheme="minorHAnsi" w:hAnsiTheme="minorHAnsi"/>
        </w:rPr>
        <w:footnoteReference w:id="5"/>
      </w:r>
      <w:r w:rsidR="00DB1749">
        <w:rPr>
          <w:rFonts w:asciiTheme="minorHAnsi" w:eastAsia="Calibri" w:hAnsiTheme="minorHAnsi"/>
        </w:rPr>
        <w:t xml:space="preserve">. </w:t>
      </w:r>
      <w:r w:rsidR="00097F4E" w:rsidRPr="00097F4E">
        <w:rPr>
          <w:rFonts w:asciiTheme="minorHAnsi" w:hAnsiTheme="minorHAnsi"/>
        </w:rPr>
        <w:t>Skutečné čerpání činilo 18 556,6 mil. Kč.</w:t>
      </w:r>
      <w:r w:rsidR="00097F4E">
        <w:rPr>
          <w:rFonts w:asciiTheme="minorHAnsi" w:eastAsia="Calibri" w:hAnsiTheme="minorHAnsi"/>
        </w:rPr>
        <w:t xml:space="preserve"> </w:t>
      </w:r>
      <w:r w:rsidR="00097F4E">
        <w:rPr>
          <w:rFonts w:asciiTheme="minorHAnsi" w:hAnsiTheme="minorHAnsi"/>
          <w:iCs/>
        </w:rPr>
        <w:t xml:space="preserve">Program 114 110 </w:t>
      </w:r>
      <w:r w:rsidR="00097F4E" w:rsidRPr="00097F4E">
        <w:rPr>
          <w:rFonts w:asciiTheme="minorHAnsi" w:hAnsiTheme="minorHAnsi" w:cstheme="minorHAnsi"/>
          <w:lang w:eastAsia="en-US"/>
        </w:rPr>
        <w:t>měl být financován v letech 20</w:t>
      </w:r>
      <w:r w:rsidR="00097F4E">
        <w:rPr>
          <w:rFonts w:asciiTheme="minorHAnsi" w:hAnsiTheme="minorHAnsi" w:cstheme="minorHAnsi"/>
          <w:lang w:eastAsia="en-US"/>
        </w:rPr>
        <w:t>09</w:t>
      </w:r>
      <w:r w:rsidR="00097F4E" w:rsidRPr="00097F4E">
        <w:rPr>
          <w:rFonts w:asciiTheme="minorHAnsi" w:hAnsiTheme="minorHAnsi" w:cstheme="minorHAnsi"/>
          <w:lang w:eastAsia="en-US"/>
        </w:rPr>
        <w:t xml:space="preserve"> až 20</w:t>
      </w:r>
      <w:r w:rsidR="00097F4E">
        <w:rPr>
          <w:rFonts w:asciiTheme="minorHAnsi" w:hAnsiTheme="minorHAnsi" w:cstheme="minorHAnsi"/>
          <w:lang w:eastAsia="en-US"/>
        </w:rPr>
        <w:t>13</w:t>
      </w:r>
      <w:r w:rsidR="00097F4E" w:rsidRPr="00097F4E">
        <w:rPr>
          <w:rFonts w:asciiTheme="minorHAnsi" w:hAnsiTheme="minorHAnsi" w:cstheme="minorHAnsi"/>
          <w:lang w:eastAsia="en-US"/>
        </w:rPr>
        <w:t xml:space="preserve"> s</w:t>
      </w:r>
      <w:r w:rsidR="00FD542C">
        <w:rPr>
          <w:rFonts w:asciiTheme="minorHAnsi" w:hAnsiTheme="minorHAnsi" w:cstheme="minorHAnsi"/>
          <w:lang w:eastAsia="en-US"/>
        </w:rPr>
        <w:t> </w:t>
      </w:r>
      <w:r w:rsidR="00097F4E" w:rsidRPr="00097F4E">
        <w:rPr>
          <w:rFonts w:asciiTheme="minorHAnsi" w:hAnsiTheme="minorHAnsi" w:cstheme="minorHAnsi"/>
          <w:lang w:eastAsia="en-US"/>
        </w:rPr>
        <w:t xml:space="preserve">celkovými výdaji </w:t>
      </w:r>
      <w:r w:rsidR="00097F4E">
        <w:rPr>
          <w:rFonts w:asciiTheme="minorHAnsi" w:hAnsiTheme="minorHAnsi" w:cstheme="minorHAnsi"/>
          <w:lang w:eastAsia="en-US"/>
        </w:rPr>
        <w:t>3 260,0</w:t>
      </w:r>
      <w:r w:rsidR="00097F4E" w:rsidRPr="00097F4E">
        <w:rPr>
          <w:rFonts w:asciiTheme="minorHAnsi" w:hAnsiTheme="minorHAnsi" w:cstheme="minorHAnsi"/>
          <w:lang w:eastAsia="en-US"/>
        </w:rPr>
        <w:t xml:space="preserve"> mil. Kč. V průběhu jeho realizace došlo postupně </w:t>
      </w:r>
      <w:r w:rsidR="00097F4E">
        <w:rPr>
          <w:rFonts w:asciiTheme="minorHAnsi" w:hAnsiTheme="minorHAnsi" w:cstheme="minorHAnsi"/>
          <w:lang w:eastAsia="en-US"/>
        </w:rPr>
        <w:t xml:space="preserve">k dvěma změnám </w:t>
      </w:r>
      <w:r w:rsidR="00097F4E" w:rsidRPr="00097F4E">
        <w:rPr>
          <w:rFonts w:asciiTheme="minorHAnsi" w:hAnsiTheme="minorHAnsi" w:cstheme="minorHAnsi"/>
          <w:lang w:eastAsia="en-US"/>
        </w:rPr>
        <w:t xml:space="preserve">a program byl prodloužen </w:t>
      </w:r>
      <w:r w:rsidR="00097F4E">
        <w:rPr>
          <w:rFonts w:asciiTheme="minorHAnsi" w:hAnsiTheme="minorHAnsi" w:cstheme="minorHAnsi"/>
          <w:lang w:eastAsia="en-US"/>
        </w:rPr>
        <w:t xml:space="preserve">do konce roku 2017. Účast </w:t>
      </w:r>
      <w:r w:rsidR="00453729" w:rsidRPr="00453729">
        <w:rPr>
          <w:rFonts w:asciiTheme="minorHAnsi" w:hAnsiTheme="minorHAnsi" w:cstheme="minorHAnsi"/>
          <w:lang w:eastAsia="en-US"/>
        </w:rPr>
        <w:t>státního rozpočtu</w:t>
      </w:r>
      <w:r w:rsidR="00097F4E">
        <w:rPr>
          <w:rFonts w:asciiTheme="minorHAnsi" w:hAnsiTheme="minorHAnsi" w:cstheme="minorHAnsi"/>
          <w:lang w:eastAsia="en-US"/>
        </w:rPr>
        <w:t xml:space="preserve"> se snížila na 2 981,8</w:t>
      </w:r>
      <w:r w:rsidR="00C61E09">
        <w:rPr>
          <w:rFonts w:asciiTheme="minorHAnsi" w:hAnsiTheme="minorHAnsi" w:cstheme="minorHAnsi"/>
          <w:lang w:eastAsia="en-US"/>
        </w:rPr>
        <w:t> </w:t>
      </w:r>
      <w:r w:rsidR="00097F4E">
        <w:rPr>
          <w:rFonts w:asciiTheme="minorHAnsi" w:hAnsiTheme="minorHAnsi" w:cstheme="minorHAnsi"/>
          <w:lang w:eastAsia="en-US"/>
        </w:rPr>
        <w:t>mil. Kč.</w:t>
      </w:r>
      <w:r w:rsidR="00097F4E">
        <w:rPr>
          <w:rFonts w:asciiTheme="minorHAnsi" w:eastAsia="Calibri" w:hAnsiTheme="minorHAnsi"/>
        </w:rPr>
        <w:t xml:space="preserve"> </w:t>
      </w:r>
      <w:r w:rsidR="00097F4E">
        <w:rPr>
          <w:rFonts w:asciiTheme="minorHAnsi" w:hAnsiTheme="minorHAnsi"/>
          <w:iCs/>
        </w:rPr>
        <w:t xml:space="preserve">Program 114 120 </w:t>
      </w:r>
      <w:r w:rsidR="00097F4E">
        <w:rPr>
          <w:rFonts w:asciiTheme="minorHAnsi" w:hAnsiTheme="minorHAnsi" w:cstheme="minorHAnsi"/>
          <w:lang w:eastAsia="en-US"/>
        </w:rPr>
        <w:t>má</w:t>
      </w:r>
      <w:r w:rsidR="00097F4E" w:rsidRPr="00097F4E">
        <w:rPr>
          <w:rFonts w:asciiTheme="minorHAnsi" w:hAnsiTheme="minorHAnsi" w:cstheme="minorHAnsi"/>
          <w:lang w:eastAsia="en-US"/>
        </w:rPr>
        <w:t xml:space="preserve"> být financován v letech 20</w:t>
      </w:r>
      <w:r w:rsidR="00097F4E">
        <w:rPr>
          <w:rFonts w:asciiTheme="minorHAnsi" w:hAnsiTheme="minorHAnsi" w:cstheme="minorHAnsi"/>
          <w:lang w:eastAsia="en-US"/>
        </w:rPr>
        <w:t>13</w:t>
      </w:r>
      <w:r w:rsidR="00097F4E" w:rsidRPr="00097F4E">
        <w:rPr>
          <w:rFonts w:asciiTheme="minorHAnsi" w:hAnsiTheme="minorHAnsi" w:cstheme="minorHAnsi"/>
          <w:lang w:eastAsia="en-US"/>
        </w:rPr>
        <w:t xml:space="preserve"> až 20</w:t>
      </w:r>
      <w:r w:rsidR="00097F4E">
        <w:rPr>
          <w:rFonts w:asciiTheme="minorHAnsi" w:hAnsiTheme="minorHAnsi" w:cstheme="minorHAnsi"/>
          <w:lang w:eastAsia="en-US"/>
        </w:rPr>
        <w:t xml:space="preserve">17 </w:t>
      </w:r>
      <w:r w:rsidR="00097F4E" w:rsidRPr="00097F4E">
        <w:rPr>
          <w:rFonts w:asciiTheme="minorHAnsi" w:hAnsiTheme="minorHAnsi" w:cstheme="minorHAnsi"/>
          <w:lang w:eastAsia="en-US"/>
        </w:rPr>
        <w:t>s</w:t>
      </w:r>
      <w:r w:rsidR="002003AA">
        <w:rPr>
          <w:rFonts w:asciiTheme="minorHAnsi" w:hAnsiTheme="minorHAnsi" w:cstheme="minorHAnsi"/>
          <w:lang w:eastAsia="en-US"/>
        </w:rPr>
        <w:t> </w:t>
      </w:r>
      <w:r w:rsidR="00097F4E" w:rsidRPr="00097F4E">
        <w:rPr>
          <w:rFonts w:asciiTheme="minorHAnsi" w:hAnsiTheme="minorHAnsi" w:cstheme="minorHAnsi"/>
          <w:lang w:eastAsia="en-US"/>
        </w:rPr>
        <w:t xml:space="preserve">celkovými výdaji </w:t>
      </w:r>
      <w:r w:rsidR="00097F4E">
        <w:rPr>
          <w:rFonts w:asciiTheme="minorHAnsi" w:hAnsiTheme="minorHAnsi" w:cstheme="minorHAnsi"/>
          <w:lang w:eastAsia="en-US"/>
        </w:rPr>
        <w:t>3 716,0</w:t>
      </w:r>
      <w:r w:rsidR="00097F4E" w:rsidRPr="00097F4E">
        <w:rPr>
          <w:rFonts w:asciiTheme="minorHAnsi" w:hAnsiTheme="minorHAnsi" w:cstheme="minorHAnsi"/>
          <w:lang w:eastAsia="en-US"/>
        </w:rPr>
        <w:t xml:space="preserve"> mil. Kč.</w:t>
      </w:r>
      <w:r w:rsidR="003A7B37">
        <w:rPr>
          <w:rFonts w:asciiTheme="minorHAnsi" w:eastAsia="Calibri" w:hAnsiTheme="minorHAnsi"/>
        </w:rPr>
        <w:t xml:space="preserve"> </w:t>
      </w:r>
      <w:r w:rsidR="00097F4E">
        <w:rPr>
          <w:rFonts w:asciiTheme="minorHAnsi" w:hAnsiTheme="minorHAnsi"/>
          <w:iCs/>
        </w:rPr>
        <w:t>V roce 2015 byl</w:t>
      </w:r>
      <w:r w:rsidR="00354107">
        <w:rPr>
          <w:rFonts w:asciiTheme="minorHAnsi" w:hAnsiTheme="minorHAnsi"/>
          <w:iCs/>
        </w:rPr>
        <w:t>y</w:t>
      </w:r>
      <w:r w:rsidR="00097F4E">
        <w:rPr>
          <w:rFonts w:asciiTheme="minorHAnsi" w:hAnsiTheme="minorHAnsi"/>
          <w:iCs/>
        </w:rPr>
        <w:t xml:space="preserve"> </w:t>
      </w:r>
      <w:r w:rsidR="003A7B37">
        <w:rPr>
          <w:rFonts w:asciiTheme="minorHAnsi" w:hAnsiTheme="minorHAnsi"/>
          <w:iCs/>
        </w:rPr>
        <w:t xml:space="preserve">na období </w:t>
      </w:r>
      <w:r w:rsidR="00B36392">
        <w:rPr>
          <w:rFonts w:asciiTheme="minorHAnsi" w:hAnsiTheme="minorHAnsi"/>
          <w:iCs/>
        </w:rPr>
        <w:t xml:space="preserve">let </w:t>
      </w:r>
      <w:r w:rsidR="003A7B37">
        <w:rPr>
          <w:rFonts w:asciiTheme="minorHAnsi" w:hAnsiTheme="minorHAnsi"/>
          <w:iCs/>
        </w:rPr>
        <w:t xml:space="preserve">2016 až 2020 </w:t>
      </w:r>
      <w:r w:rsidR="00097F4E">
        <w:rPr>
          <w:rFonts w:asciiTheme="minorHAnsi" w:hAnsiTheme="minorHAnsi"/>
          <w:iCs/>
        </w:rPr>
        <w:t>schválen</w:t>
      </w:r>
      <w:r w:rsidR="00354107">
        <w:rPr>
          <w:rFonts w:asciiTheme="minorHAnsi" w:hAnsiTheme="minorHAnsi"/>
          <w:iCs/>
        </w:rPr>
        <w:t>y</w:t>
      </w:r>
      <w:r w:rsidR="00097F4E">
        <w:rPr>
          <w:rFonts w:asciiTheme="minorHAnsi" w:hAnsiTheme="minorHAnsi"/>
          <w:iCs/>
        </w:rPr>
        <w:t xml:space="preserve"> program</w:t>
      </w:r>
      <w:r w:rsidR="00354107">
        <w:rPr>
          <w:rFonts w:asciiTheme="minorHAnsi" w:hAnsiTheme="minorHAnsi"/>
          <w:iCs/>
        </w:rPr>
        <w:t>y</w:t>
      </w:r>
      <w:r w:rsidR="00097F4E">
        <w:rPr>
          <w:rFonts w:asciiTheme="minorHAnsi" w:hAnsiTheme="minorHAnsi"/>
          <w:iCs/>
        </w:rPr>
        <w:t xml:space="preserve"> 014 110 </w:t>
      </w:r>
      <w:r w:rsidR="00097F4E" w:rsidRPr="00097F4E">
        <w:rPr>
          <w:rFonts w:asciiTheme="minorHAnsi" w:hAnsiTheme="minorHAnsi" w:cstheme="minorHAnsi"/>
          <w:lang w:eastAsia="en-US"/>
        </w:rPr>
        <w:t>s</w:t>
      </w:r>
      <w:r w:rsidR="00C61E09">
        <w:rPr>
          <w:rFonts w:asciiTheme="minorHAnsi" w:hAnsiTheme="minorHAnsi" w:cstheme="minorHAnsi"/>
          <w:lang w:eastAsia="en-US"/>
        </w:rPr>
        <w:t> </w:t>
      </w:r>
      <w:r w:rsidR="00097F4E" w:rsidRPr="00097F4E">
        <w:rPr>
          <w:rFonts w:asciiTheme="minorHAnsi" w:hAnsiTheme="minorHAnsi" w:cstheme="minorHAnsi"/>
          <w:lang w:eastAsia="en-US"/>
        </w:rPr>
        <w:t>celkovými výdaji</w:t>
      </w:r>
      <w:r w:rsidR="00097F4E">
        <w:rPr>
          <w:rFonts w:asciiTheme="minorHAnsi" w:hAnsiTheme="minorHAnsi" w:cstheme="minorHAnsi"/>
          <w:lang w:eastAsia="en-US"/>
        </w:rPr>
        <w:t xml:space="preserve"> 3 381,4</w:t>
      </w:r>
      <w:r w:rsidR="00097F4E" w:rsidRPr="00097F4E">
        <w:rPr>
          <w:rFonts w:asciiTheme="minorHAnsi" w:hAnsiTheme="minorHAnsi" w:cstheme="minorHAnsi"/>
          <w:lang w:eastAsia="en-US"/>
        </w:rPr>
        <w:t xml:space="preserve"> mil. Kč</w:t>
      </w:r>
      <w:r w:rsidR="003A7B37">
        <w:rPr>
          <w:rFonts w:asciiTheme="minorHAnsi" w:hAnsiTheme="minorHAnsi" w:cstheme="minorHAnsi"/>
          <w:lang w:eastAsia="en-US"/>
        </w:rPr>
        <w:t xml:space="preserve">, </w:t>
      </w:r>
      <w:r w:rsidR="003A7B37">
        <w:rPr>
          <w:rFonts w:asciiTheme="minorHAnsi" w:hAnsiTheme="minorHAnsi"/>
          <w:iCs/>
        </w:rPr>
        <w:t>014 120</w:t>
      </w:r>
      <w:r w:rsidR="003A7B37" w:rsidRPr="003A7B37">
        <w:rPr>
          <w:rFonts w:asciiTheme="minorHAnsi" w:hAnsiTheme="minorHAnsi" w:cstheme="minorHAnsi"/>
          <w:lang w:eastAsia="en-US"/>
        </w:rPr>
        <w:t xml:space="preserve"> </w:t>
      </w:r>
      <w:r w:rsidR="003A7B37" w:rsidRPr="00097F4E">
        <w:rPr>
          <w:rFonts w:asciiTheme="minorHAnsi" w:hAnsiTheme="minorHAnsi" w:cstheme="minorHAnsi"/>
          <w:lang w:eastAsia="en-US"/>
        </w:rPr>
        <w:t>s celkovými výdaji</w:t>
      </w:r>
      <w:r w:rsidR="003A7B37">
        <w:rPr>
          <w:rFonts w:asciiTheme="minorHAnsi" w:hAnsiTheme="minorHAnsi" w:cstheme="minorHAnsi"/>
          <w:lang w:eastAsia="en-US"/>
        </w:rPr>
        <w:t xml:space="preserve"> 4 760,2</w:t>
      </w:r>
      <w:r w:rsidR="003A7B37" w:rsidRPr="003A7B37">
        <w:rPr>
          <w:rFonts w:asciiTheme="minorHAnsi" w:hAnsiTheme="minorHAnsi" w:cstheme="minorHAnsi"/>
          <w:lang w:eastAsia="en-US"/>
        </w:rPr>
        <w:t xml:space="preserve"> </w:t>
      </w:r>
      <w:r w:rsidR="003A7B37" w:rsidRPr="00097F4E">
        <w:rPr>
          <w:rFonts w:asciiTheme="minorHAnsi" w:hAnsiTheme="minorHAnsi" w:cstheme="minorHAnsi"/>
          <w:lang w:eastAsia="en-US"/>
        </w:rPr>
        <w:t>mil. Kč</w:t>
      </w:r>
      <w:r w:rsidR="003A7B37">
        <w:rPr>
          <w:rFonts w:asciiTheme="minorHAnsi" w:hAnsiTheme="minorHAnsi" w:cstheme="minorHAnsi"/>
          <w:lang w:eastAsia="en-US"/>
        </w:rPr>
        <w:t xml:space="preserve">, </w:t>
      </w:r>
      <w:r w:rsidR="003A7B37">
        <w:rPr>
          <w:rFonts w:asciiTheme="minorHAnsi" w:hAnsiTheme="minorHAnsi"/>
          <w:iCs/>
        </w:rPr>
        <w:t>014 130</w:t>
      </w:r>
      <w:r w:rsidR="003A7B37" w:rsidRPr="003A7B37">
        <w:rPr>
          <w:rFonts w:asciiTheme="minorHAnsi" w:hAnsiTheme="minorHAnsi" w:cstheme="minorHAnsi"/>
          <w:lang w:eastAsia="en-US"/>
        </w:rPr>
        <w:t xml:space="preserve"> </w:t>
      </w:r>
      <w:r w:rsidR="003A7B37" w:rsidRPr="00097F4E">
        <w:rPr>
          <w:rFonts w:asciiTheme="minorHAnsi" w:hAnsiTheme="minorHAnsi" w:cstheme="minorHAnsi"/>
          <w:lang w:eastAsia="en-US"/>
        </w:rPr>
        <w:t>s</w:t>
      </w:r>
      <w:r w:rsidR="00C61E09">
        <w:rPr>
          <w:rFonts w:asciiTheme="minorHAnsi" w:hAnsiTheme="minorHAnsi" w:cstheme="minorHAnsi"/>
          <w:lang w:eastAsia="en-US"/>
        </w:rPr>
        <w:t> </w:t>
      </w:r>
      <w:r w:rsidR="003A7B37" w:rsidRPr="00097F4E">
        <w:rPr>
          <w:rFonts w:asciiTheme="minorHAnsi" w:hAnsiTheme="minorHAnsi" w:cstheme="minorHAnsi"/>
          <w:lang w:eastAsia="en-US"/>
        </w:rPr>
        <w:t>celkovými výdaji</w:t>
      </w:r>
      <w:r w:rsidR="003A7B37">
        <w:rPr>
          <w:rFonts w:asciiTheme="minorHAnsi" w:hAnsiTheme="minorHAnsi" w:cstheme="minorHAnsi"/>
          <w:lang w:eastAsia="en-US"/>
        </w:rPr>
        <w:t xml:space="preserve"> 3 293,3 mil. Kč a </w:t>
      </w:r>
      <w:r w:rsidR="003A7B37">
        <w:rPr>
          <w:rFonts w:asciiTheme="minorHAnsi" w:hAnsiTheme="minorHAnsi"/>
          <w:iCs/>
        </w:rPr>
        <w:t>014 140</w:t>
      </w:r>
      <w:r w:rsidR="003A7B37" w:rsidRPr="003A7B37">
        <w:rPr>
          <w:rFonts w:asciiTheme="minorHAnsi" w:hAnsiTheme="minorHAnsi" w:cstheme="minorHAnsi"/>
          <w:lang w:eastAsia="en-US"/>
        </w:rPr>
        <w:t xml:space="preserve"> </w:t>
      </w:r>
      <w:r w:rsidR="003A7B37" w:rsidRPr="00097F4E">
        <w:rPr>
          <w:rFonts w:asciiTheme="minorHAnsi" w:hAnsiTheme="minorHAnsi" w:cstheme="minorHAnsi"/>
          <w:lang w:eastAsia="en-US"/>
        </w:rPr>
        <w:t>s</w:t>
      </w:r>
      <w:r w:rsidR="0064321D">
        <w:rPr>
          <w:rFonts w:asciiTheme="minorHAnsi" w:hAnsiTheme="minorHAnsi" w:cstheme="minorHAnsi"/>
          <w:lang w:eastAsia="en-US"/>
        </w:rPr>
        <w:t> </w:t>
      </w:r>
      <w:r w:rsidR="003A7B37" w:rsidRPr="00097F4E">
        <w:rPr>
          <w:rFonts w:asciiTheme="minorHAnsi" w:hAnsiTheme="minorHAnsi" w:cstheme="minorHAnsi"/>
          <w:lang w:eastAsia="en-US"/>
        </w:rPr>
        <w:t>celkovými výdaji</w:t>
      </w:r>
      <w:r w:rsidR="003A7B37">
        <w:rPr>
          <w:rFonts w:asciiTheme="minorHAnsi" w:hAnsiTheme="minorHAnsi" w:cstheme="minorHAnsi"/>
          <w:lang w:eastAsia="en-US"/>
        </w:rPr>
        <w:t xml:space="preserve"> 4</w:t>
      </w:r>
      <w:r w:rsidR="001C4520">
        <w:rPr>
          <w:rFonts w:asciiTheme="minorHAnsi" w:hAnsiTheme="minorHAnsi" w:cstheme="minorHAnsi"/>
          <w:lang w:eastAsia="en-US"/>
        </w:rPr>
        <w:t> </w:t>
      </w:r>
      <w:r w:rsidR="003A7B37">
        <w:rPr>
          <w:rFonts w:asciiTheme="minorHAnsi" w:hAnsiTheme="minorHAnsi" w:cstheme="minorHAnsi"/>
          <w:lang w:eastAsia="en-US"/>
        </w:rPr>
        <w:t>932,9</w:t>
      </w:r>
      <w:r w:rsidR="003A7B37" w:rsidRPr="003A7B37">
        <w:rPr>
          <w:rFonts w:asciiTheme="minorHAnsi" w:hAnsiTheme="minorHAnsi" w:cstheme="minorHAnsi"/>
          <w:lang w:eastAsia="en-US"/>
        </w:rPr>
        <w:t xml:space="preserve"> </w:t>
      </w:r>
      <w:r w:rsidR="003A7B37" w:rsidRPr="00097F4E">
        <w:rPr>
          <w:rFonts w:asciiTheme="minorHAnsi" w:hAnsiTheme="minorHAnsi" w:cstheme="minorHAnsi"/>
          <w:lang w:eastAsia="en-US"/>
        </w:rPr>
        <w:t>mil. Kč</w:t>
      </w:r>
      <w:r w:rsidR="003A7B37">
        <w:rPr>
          <w:rFonts w:asciiTheme="minorHAnsi" w:hAnsiTheme="minorHAnsi" w:cstheme="minorHAnsi"/>
          <w:lang w:eastAsia="en-US"/>
        </w:rPr>
        <w:t>.</w:t>
      </w:r>
      <w:r w:rsidR="0038275B">
        <w:rPr>
          <w:rFonts w:asciiTheme="minorHAnsi" w:hAnsiTheme="minorHAnsi" w:cstheme="minorHAnsi"/>
          <w:lang w:eastAsia="en-US"/>
        </w:rPr>
        <w:t xml:space="preserve"> V</w:t>
      </w:r>
      <w:r w:rsidR="00B36392">
        <w:rPr>
          <w:rFonts w:asciiTheme="minorHAnsi" w:hAnsiTheme="minorHAnsi" w:cstheme="minorHAnsi"/>
          <w:lang w:eastAsia="en-US"/>
        </w:rPr>
        <w:t> </w:t>
      </w:r>
      <w:r w:rsidR="0038275B">
        <w:rPr>
          <w:rFonts w:asciiTheme="minorHAnsi" w:hAnsiTheme="minorHAnsi" w:cstheme="minorHAnsi"/>
          <w:lang w:eastAsia="en-US"/>
        </w:rPr>
        <w:t>období</w:t>
      </w:r>
      <w:r w:rsidR="00B36392">
        <w:rPr>
          <w:rFonts w:asciiTheme="minorHAnsi" w:hAnsiTheme="minorHAnsi" w:cstheme="minorHAnsi"/>
          <w:lang w:eastAsia="en-US"/>
        </w:rPr>
        <w:t xml:space="preserve"> let</w:t>
      </w:r>
      <w:r w:rsidR="0038275B">
        <w:rPr>
          <w:rFonts w:asciiTheme="minorHAnsi" w:hAnsiTheme="minorHAnsi" w:cstheme="minorHAnsi"/>
          <w:lang w:eastAsia="en-US"/>
        </w:rPr>
        <w:t xml:space="preserve"> 2012 až 2016 bylo z výše uvedených programů čerpáno celkem </w:t>
      </w:r>
      <w:r w:rsidR="0038275B" w:rsidRPr="0038275B">
        <w:rPr>
          <w:rFonts w:asciiTheme="minorHAnsi" w:hAnsiTheme="minorHAnsi" w:cstheme="minorHAnsi"/>
          <w:lang w:eastAsia="en-US"/>
        </w:rPr>
        <w:t>5 791,2</w:t>
      </w:r>
      <w:r w:rsidR="0038275B">
        <w:rPr>
          <w:rFonts w:asciiTheme="minorHAnsi" w:hAnsiTheme="minorHAnsi" w:cstheme="minorHAnsi"/>
          <w:lang w:eastAsia="en-US"/>
        </w:rPr>
        <w:t xml:space="preserve"> mil. Kč (tabulka č. 1).</w:t>
      </w:r>
    </w:p>
    <w:p w14:paraId="44DD0F8E" w14:textId="77777777" w:rsidR="00006515" w:rsidRDefault="00006515" w:rsidP="00467AAF">
      <w:pPr>
        <w:pStyle w:val="Nzev"/>
        <w:jc w:val="both"/>
        <w:rPr>
          <w:rFonts w:ascii="Calibri" w:hAnsi="Calibri"/>
          <w:b/>
          <w:bCs/>
          <w:sz w:val="24"/>
          <w:szCs w:val="24"/>
        </w:rPr>
      </w:pPr>
    </w:p>
    <w:p w14:paraId="2A2B96C4" w14:textId="77777777" w:rsidR="00006515" w:rsidRDefault="00006515" w:rsidP="00467AAF">
      <w:pPr>
        <w:pStyle w:val="Nzev"/>
        <w:jc w:val="both"/>
        <w:rPr>
          <w:rFonts w:ascii="Calibri" w:hAnsi="Calibri"/>
          <w:b/>
          <w:bCs/>
          <w:sz w:val="24"/>
          <w:szCs w:val="24"/>
        </w:rPr>
      </w:pPr>
    </w:p>
    <w:p w14:paraId="47E450B8" w14:textId="77777777" w:rsidR="00006515" w:rsidRDefault="00006515" w:rsidP="00467AAF">
      <w:pPr>
        <w:pStyle w:val="Nzev"/>
        <w:jc w:val="both"/>
        <w:rPr>
          <w:rFonts w:ascii="Calibri" w:hAnsi="Calibri"/>
          <w:b/>
          <w:bCs/>
          <w:sz w:val="24"/>
          <w:szCs w:val="24"/>
        </w:rPr>
      </w:pPr>
    </w:p>
    <w:p w14:paraId="663B51C1" w14:textId="77777777" w:rsidR="00006515" w:rsidRDefault="00006515" w:rsidP="00467AAF">
      <w:pPr>
        <w:pStyle w:val="Nzev"/>
        <w:jc w:val="both"/>
        <w:rPr>
          <w:rFonts w:ascii="Calibri" w:hAnsi="Calibri"/>
          <w:b/>
          <w:bCs/>
          <w:sz w:val="24"/>
          <w:szCs w:val="24"/>
        </w:rPr>
      </w:pPr>
    </w:p>
    <w:p w14:paraId="4B286BFA" w14:textId="77777777" w:rsidR="00006515" w:rsidRDefault="00006515" w:rsidP="00467AAF">
      <w:pPr>
        <w:pStyle w:val="Nzev"/>
        <w:jc w:val="both"/>
        <w:rPr>
          <w:rFonts w:ascii="Calibri" w:hAnsi="Calibri"/>
          <w:b/>
          <w:bCs/>
          <w:sz w:val="24"/>
          <w:szCs w:val="24"/>
        </w:rPr>
      </w:pPr>
    </w:p>
    <w:p w14:paraId="2DB1B49C" w14:textId="77777777" w:rsidR="00006515" w:rsidRDefault="00006515" w:rsidP="00467AAF">
      <w:pPr>
        <w:pStyle w:val="Nzev"/>
        <w:jc w:val="both"/>
        <w:rPr>
          <w:rFonts w:ascii="Calibri" w:hAnsi="Calibri"/>
          <w:b/>
          <w:bCs/>
          <w:sz w:val="24"/>
          <w:szCs w:val="24"/>
        </w:rPr>
      </w:pPr>
    </w:p>
    <w:p w14:paraId="283B69ED" w14:textId="465E60BB" w:rsidR="0038275B" w:rsidRDefault="0038275B" w:rsidP="00467AAF">
      <w:pPr>
        <w:pStyle w:val="Nzev"/>
        <w:jc w:val="both"/>
        <w:rPr>
          <w:rFonts w:ascii="Calibri" w:hAnsi="Calibri"/>
          <w:b/>
          <w:bCs/>
          <w:sz w:val="24"/>
          <w:szCs w:val="24"/>
        </w:rPr>
      </w:pPr>
      <w:r w:rsidRPr="00C069BF">
        <w:rPr>
          <w:rFonts w:ascii="Calibri" w:hAnsi="Calibri"/>
          <w:b/>
          <w:bCs/>
          <w:sz w:val="24"/>
          <w:szCs w:val="24"/>
        </w:rPr>
        <w:lastRenderedPageBreak/>
        <w:t xml:space="preserve">Tabulka č. </w:t>
      </w:r>
      <w:r>
        <w:rPr>
          <w:rFonts w:ascii="Calibri" w:hAnsi="Calibri"/>
          <w:b/>
          <w:bCs/>
          <w:sz w:val="24"/>
          <w:szCs w:val="24"/>
        </w:rPr>
        <w:t>1:</w:t>
      </w:r>
      <w:r w:rsidRPr="00C069BF">
        <w:rPr>
          <w:rFonts w:ascii="Calibri" w:hAnsi="Calibri"/>
          <w:b/>
          <w:bCs/>
          <w:sz w:val="24"/>
          <w:szCs w:val="24"/>
        </w:rPr>
        <w:t xml:space="preserve"> Objem prostředků </w:t>
      </w:r>
      <w:r w:rsidRPr="00800351">
        <w:rPr>
          <w:rFonts w:ascii="Calibri" w:hAnsi="Calibri"/>
          <w:b/>
          <w:bCs/>
          <w:sz w:val="24"/>
          <w:szCs w:val="24"/>
        </w:rPr>
        <w:t xml:space="preserve">poskytnutých </w:t>
      </w:r>
      <w:r w:rsidR="00800351" w:rsidRPr="00800351">
        <w:rPr>
          <w:rFonts w:asciiTheme="minorHAnsi" w:hAnsiTheme="minorHAnsi" w:cstheme="minorHAnsi"/>
          <w:b/>
          <w:sz w:val="24"/>
          <w:szCs w:val="24"/>
        </w:rPr>
        <w:t>Policii</w:t>
      </w:r>
      <w:r w:rsidRPr="00800351">
        <w:rPr>
          <w:rFonts w:ascii="Calibri" w:hAnsi="Calibri"/>
          <w:b/>
          <w:bCs/>
          <w:sz w:val="24"/>
          <w:szCs w:val="24"/>
        </w:rPr>
        <w:t xml:space="preserve"> v rámci programů</w:t>
      </w:r>
      <w:r w:rsidRPr="00C069BF">
        <w:rPr>
          <w:rFonts w:ascii="Calibri" w:hAnsi="Calibri"/>
          <w:b/>
          <w:bCs/>
          <w:sz w:val="24"/>
          <w:szCs w:val="24"/>
        </w:rPr>
        <w:t xml:space="preserve"> v letech </w:t>
      </w:r>
      <w:r w:rsidR="00FC094F" w:rsidRPr="00C069BF">
        <w:rPr>
          <w:rFonts w:ascii="Calibri" w:hAnsi="Calibri"/>
          <w:b/>
          <w:bCs/>
          <w:sz w:val="24"/>
          <w:szCs w:val="24"/>
        </w:rPr>
        <w:t>2012–2016</w:t>
      </w:r>
    </w:p>
    <w:p w14:paraId="0A5B614C" w14:textId="3A041A89" w:rsidR="00467AAF" w:rsidRPr="003D1368" w:rsidRDefault="00B70859" w:rsidP="00B70859">
      <w:pPr>
        <w:pStyle w:val="Nzev"/>
        <w:tabs>
          <w:tab w:val="right" w:pos="9072"/>
        </w:tabs>
        <w:jc w:val="left"/>
        <w:rPr>
          <w:rFonts w:ascii="Calibri" w:hAnsi="Calibri" w:cs="Courier New"/>
          <w:b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ab/>
      </w:r>
      <w:r w:rsidR="00A16D15" w:rsidRPr="003D1368">
        <w:rPr>
          <w:rFonts w:ascii="Calibri" w:hAnsi="Calibri" w:cs="Courier New"/>
          <w:b/>
          <w:sz w:val="24"/>
          <w:szCs w:val="24"/>
        </w:rPr>
        <w:t>(</w:t>
      </w:r>
      <w:r w:rsidR="00467AAF" w:rsidRPr="003D1368">
        <w:rPr>
          <w:rFonts w:ascii="Calibri" w:hAnsi="Calibri" w:cs="Courier New"/>
          <w:b/>
          <w:sz w:val="24"/>
          <w:szCs w:val="24"/>
        </w:rPr>
        <w:t>v mil. Kč</w:t>
      </w:r>
      <w:r w:rsidR="00A16D15" w:rsidRPr="003D1368">
        <w:rPr>
          <w:rFonts w:ascii="Calibri" w:hAnsi="Calibri" w:cs="Courier New"/>
          <w:b/>
          <w:sz w:val="24"/>
          <w:szCs w:val="24"/>
        </w:rPr>
        <w:t>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1052"/>
        <w:gridCol w:w="1228"/>
        <w:gridCol w:w="1228"/>
        <w:gridCol w:w="1228"/>
        <w:gridCol w:w="1228"/>
        <w:gridCol w:w="1408"/>
      </w:tblGrid>
      <w:tr w:rsidR="0038275B" w:rsidRPr="008813DC" w14:paraId="0C80B9B6" w14:textId="77777777" w:rsidTr="00A30D5B">
        <w:trPr>
          <w:trHeight w:val="315"/>
          <w:jc w:val="center"/>
        </w:trPr>
        <w:tc>
          <w:tcPr>
            <w:tcW w:w="1695" w:type="dxa"/>
            <w:shd w:val="clear" w:color="auto" w:fill="DAEEF3" w:themeFill="accent5" w:themeFillTint="33"/>
            <w:noWrap/>
            <w:vAlign w:val="center"/>
            <w:hideMark/>
          </w:tcPr>
          <w:p w14:paraId="6EB05CED" w14:textId="470A5F68" w:rsidR="0038275B" w:rsidRPr="008813DC" w:rsidRDefault="0038275B" w:rsidP="007F77A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052" w:type="dxa"/>
            <w:shd w:val="clear" w:color="auto" w:fill="DAEEF3" w:themeFill="accent5" w:themeFillTint="33"/>
            <w:noWrap/>
            <w:vAlign w:val="center"/>
            <w:hideMark/>
          </w:tcPr>
          <w:p w14:paraId="7EE9D266" w14:textId="77777777" w:rsidR="0038275B" w:rsidRPr="008813DC" w:rsidRDefault="0038275B" w:rsidP="00CF60B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28" w:type="dxa"/>
            <w:shd w:val="clear" w:color="auto" w:fill="DAEEF3" w:themeFill="accent5" w:themeFillTint="33"/>
            <w:noWrap/>
            <w:vAlign w:val="center"/>
            <w:hideMark/>
          </w:tcPr>
          <w:p w14:paraId="6B399F3E" w14:textId="77777777" w:rsidR="0038275B" w:rsidRPr="008813DC" w:rsidRDefault="0038275B" w:rsidP="00CF60B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28" w:type="dxa"/>
            <w:shd w:val="clear" w:color="auto" w:fill="DAEEF3" w:themeFill="accent5" w:themeFillTint="33"/>
            <w:noWrap/>
            <w:vAlign w:val="center"/>
            <w:hideMark/>
          </w:tcPr>
          <w:p w14:paraId="1C9F0809" w14:textId="77777777" w:rsidR="0038275B" w:rsidRPr="008813DC" w:rsidRDefault="0038275B" w:rsidP="00634CA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28" w:type="dxa"/>
            <w:shd w:val="clear" w:color="auto" w:fill="DAEEF3" w:themeFill="accent5" w:themeFillTint="33"/>
            <w:noWrap/>
            <w:vAlign w:val="center"/>
            <w:hideMark/>
          </w:tcPr>
          <w:p w14:paraId="1C03F426" w14:textId="77777777" w:rsidR="0038275B" w:rsidRPr="008813DC" w:rsidRDefault="0038275B" w:rsidP="00CF60B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28" w:type="dxa"/>
            <w:shd w:val="clear" w:color="auto" w:fill="DAEEF3" w:themeFill="accent5" w:themeFillTint="33"/>
            <w:noWrap/>
            <w:vAlign w:val="center"/>
            <w:hideMark/>
          </w:tcPr>
          <w:p w14:paraId="5EBA1617" w14:textId="77777777" w:rsidR="0038275B" w:rsidRPr="008813DC" w:rsidRDefault="0038275B" w:rsidP="00CF60B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08" w:type="dxa"/>
            <w:shd w:val="clear" w:color="auto" w:fill="DAEEF3" w:themeFill="accent5" w:themeFillTint="33"/>
            <w:noWrap/>
            <w:vAlign w:val="center"/>
            <w:hideMark/>
          </w:tcPr>
          <w:p w14:paraId="23EE6AB7" w14:textId="77777777" w:rsidR="0038275B" w:rsidRPr="008813DC" w:rsidRDefault="0038275B" w:rsidP="00CF60B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38275B" w:rsidRPr="008813DC" w14:paraId="66134F4F" w14:textId="77777777" w:rsidTr="00A30D5B">
        <w:trPr>
          <w:trHeight w:val="217"/>
          <w:jc w:val="center"/>
        </w:trPr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1613CAE" w14:textId="77777777" w:rsidR="0038275B" w:rsidRPr="008813DC" w:rsidRDefault="0038275B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214 110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A61B694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296,669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1A61DAA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247,284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7CCCCAB0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10,325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788AA29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197,199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0F4DA36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2,392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C641200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753,869</w:t>
            </w:r>
          </w:p>
        </w:tc>
      </w:tr>
      <w:tr w:rsidR="0038275B" w:rsidRPr="008813DC" w14:paraId="350CB0C6" w14:textId="77777777" w:rsidTr="00A30D5B">
        <w:trPr>
          <w:trHeight w:val="235"/>
          <w:jc w:val="center"/>
        </w:trPr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DD66437" w14:textId="77777777" w:rsidR="0038275B" w:rsidRPr="008813DC" w:rsidRDefault="0038275B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114 110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4CF55A3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531,099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1154F3E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765,664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98DCF45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717,480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0556A6D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213,478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7E0A1B4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138,625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FA84285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2 366,346</w:t>
            </w:r>
          </w:p>
        </w:tc>
      </w:tr>
      <w:tr w:rsidR="0038275B" w:rsidRPr="008813DC" w14:paraId="529A5E7C" w14:textId="77777777" w:rsidTr="00A30D5B">
        <w:trPr>
          <w:trHeight w:val="110"/>
          <w:jc w:val="center"/>
        </w:trPr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42E66835" w14:textId="77777777" w:rsidR="0038275B" w:rsidRPr="008813DC" w:rsidRDefault="0038275B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114 120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C388FA6" w14:textId="73FAEFC5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0EB9757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0,239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919BBC0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284,927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B4471BE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1 265,104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BCC5A51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474,846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9B1BC88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2 025,116</w:t>
            </w:r>
          </w:p>
        </w:tc>
      </w:tr>
      <w:tr w:rsidR="0038275B" w:rsidRPr="008813DC" w14:paraId="23D5A907" w14:textId="77777777" w:rsidTr="00A30D5B">
        <w:trPr>
          <w:trHeight w:val="128"/>
          <w:jc w:val="center"/>
        </w:trPr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72793EA" w14:textId="77777777" w:rsidR="0038275B" w:rsidRPr="008813DC" w:rsidRDefault="0038275B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014 110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14623BD2" w14:textId="7CCD5458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79DA987" w14:textId="6C29B6DE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67D6967" w14:textId="17594914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4414139" w14:textId="5755436E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6701960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229,276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58A4069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229,276</w:t>
            </w:r>
          </w:p>
        </w:tc>
      </w:tr>
      <w:tr w:rsidR="0038275B" w:rsidRPr="008813DC" w14:paraId="32F46136" w14:textId="77777777" w:rsidTr="00A30D5B">
        <w:trPr>
          <w:trHeight w:val="147"/>
          <w:jc w:val="center"/>
        </w:trPr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56C243D0" w14:textId="77777777" w:rsidR="0038275B" w:rsidRPr="008813DC" w:rsidRDefault="0038275B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014 120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5B06D55" w14:textId="7D08B184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C5F4FDE" w14:textId="518F1DFF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F87A009" w14:textId="7A7EA204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1134F70" w14:textId="671A603F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CDB512E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86,870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4C63537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86,870</w:t>
            </w:r>
          </w:p>
        </w:tc>
      </w:tr>
      <w:tr w:rsidR="0038275B" w:rsidRPr="008813DC" w14:paraId="1C4E59DB" w14:textId="77777777" w:rsidTr="00A30D5B">
        <w:trPr>
          <w:trHeight w:val="164"/>
          <w:jc w:val="center"/>
        </w:trPr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4423379" w14:textId="77777777" w:rsidR="0038275B" w:rsidRPr="008813DC" w:rsidRDefault="0038275B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014 130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5ABDA782" w14:textId="79EB4732" w:rsidR="0038275B" w:rsidRPr="008813DC" w:rsidRDefault="007F77A0" w:rsidP="007F77A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8D01E6A" w14:textId="52174219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232B8979" w14:textId="614F9983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845ACF0" w14:textId="45C12E07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0408660E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182,763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13FEC05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182,763</w:t>
            </w:r>
          </w:p>
        </w:tc>
      </w:tr>
      <w:tr w:rsidR="0038275B" w:rsidRPr="008813DC" w14:paraId="23DB7B8B" w14:textId="77777777" w:rsidTr="00A30D5B">
        <w:trPr>
          <w:trHeight w:val="197"/>
          <w:jc w:val="center"/>
        </w:trPr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04D9D877" w14:textId="77777777" w:rsidR="0038275B" w:rsidRPr="008813DC" w:rsidRDefault="0038275B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014 140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451FFA9" w14:textId="1F0F8A8D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8C9B33C" w14:textId="32430C0E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7CEDF184" w14:textId="51323DD7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4F57444C" w14:textId="0F7B4942" w:rsidR="0038275B" w:rsidRPr="008813DC" w:rsidRDefault="007F77A0" w:rsidP="00CF60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1E3EE73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146,968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03F9FA0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color w:val="000000"/>
                <w:sz w:val="20"/>
                <w:szCs w:val="20"/>
              </w:rPr>
              <w:t>146,968</w:t>
            </w:r>
          </w:p>
        </w:tc>
      </w:tr>
      <w:tr w:rsidR="0038275B" w:rsidRPr="008813DC" w14:paraId="2223B16B" w14:textId="77777777" w:rsidTr="00A30D5B">
        <w:trPr>
          <w:trHeight w:val="214"/>
          <w:jc w:val="center"/>
        </w:trPr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61F42BD" w14:textId="77777777" w:rsidR="0038275B" w:rsidRPr="008813DC" w:rsidRDefault="0038275B" w:rsidP="00CF60B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8501A35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827,768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40A6361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1 013,187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7D93714D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1 012,732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1C6E9AD9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1 675,781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5A3744AE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1 261,740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552BCDA" w14:textId="77777777" w:rsidR="0038275B" w:rsidRPr="008813DC" w:rsidRDefault="0038275B" w:rsidP="00CF60B7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813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5 791,208</w:t>
            </w:r>
          </w:p>
        </w:tc>
      </w:tr>
    </w:tbl>
    <w:p w14:paraId="4E5A0E84" w14:textId="4D08490E" w:rsidR="00A528F5" w:rsidRDefault="0038275B" w:rsidP="00A528F5">
      <w:pPr>
        <w:spacing w:after="120"/>
        <w:jc w:val="both"/>
        <w:rPr>
          <w:rFonts w:ascii="Calibri" w:hAnsi="Calibri" w:cs="Courier New"/>
          <w:sz w:val="20"/>
          <w:szCs w:val="20"/>
        </w:rPr>
      </w:pPr>
      <w:r w:rsidRPr="00676C7A">
        <w:rPr>
          <w:rFonts w:ascii="Calibri" w:hAnsi="Calibri" w:cs="Courier New"/>
          <w:b/>
          <w:sz w:val="20"/>
          <w:szCs w:val="20"/>
        </w:rPr>
        <w:t>Zdroj:</w:t>
      </w:r>
      <w:r w:rsidRPr="00627960">
        <w:rPr>
          <w:rFonts w:ascii="Calibri" w:hAnsi="Calibri" w:cs="Courier New"/>
          <w:sz w:val="20"/>
          <w:szCs w:val="20"/>
        </w:rPr>
        <w:t xml:space="preserve"> </w:t>
      </w:r>
      <w:r w:rsidR="007F77A0">
        <w:rPr>
          <w:rFonts w:ascii="Calibri" w:hAnsi="Calibri" w:cs="Courier New"/>
          <w:sz w:val="20"/>
          <w:szCs w:val="20"/>
        </w:rPr>
        <w:t>s</w:t>
      </w:r>
      <w:r w:rsidRPr="00627960">
        <w:rPr>
          <w:rFonts w:ascii="Calibri" w:hAnsi="Calibri" w:cs="Courier New"/>
          <w:sz w:val="20"/>
          <w:szCs w:val="20"/>
        </w:rPr>
        <w:t>tátní závěrečn</w:t>
      </w:r>
      <w:r w:rsidR="007F77A0">
        <w:rPr>
          <w:rFonts w:ascii="Calibri" w:hAnsi="Calibri" w:cs="Courier New"/>
          <w:sz w:val="20"/>
          <w:szCs w:val="20"/>
        </w:rPr>
        <w:t>é</w:t>
      </w:r>
      <w:r w:rsidRPr="00627960">
        <w:rPr>
          <w:rFonts w:ascii="Calibri" w:hAnsi="Calibri" w:cs="Courier New"/>
          <w:sz w:val="20"/>
          <w:szCs w:val="20"/>
        </w:rPr>
        <w:t xml:space="preserve"> úč</w:t>
      </w:r>
      <w:r w:rsidR="007F77A0">
        <w:rPr>
          <w:rFonts w:ascii="Calibri" w:hAnsi="Calibri" w:cs="Courier New"/>
          <w:sz w:val="20"/>
          <w:szCs w:val="20"/>
        </w:rPr>
        <w:t>ty</w:t>
      </w:r>
      <w:r w:rsidRPr="00627960">
        <w:rPr>
          <w:rFonts w:ascii="Calibri" w:hAnsi="Calibri" w:cs="Courier New"/>
          <w:sz w:val="20"/>
          <w:szCs w:val="20"/>
        </w:rPr>
        <w:t xml:space="preserve"> za roky 2012, 2013, 2014, 2015 a 2016.</w:t>
      </w:r>
    </w:p>
    <w:p w14:paraId="6FEBC414" w14:textId="77777777" w:rsidR="00097F4E" w:rsidRDefault="00097F4E" w:rsidP="003D1368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</w:rPr>
        <w:t xml:space="preserve">Správcem kontrolovaných programů je </w:t>
      </w:r>
      <w:r>
        <w:rPr>
          <w:rFonts w:asciiTheme="minorHAnsi" w:hAnsiTheme="minorHAnsi"/>
        </w:rPr>
        <w:t xml:space="preserve">MV, které </w:t>
      </w:r>
      <w:r w:rsidRPr="000B3D93">
        <w:rPr>
          <w:rFonts w:asciiTheme="minorHAnsi" w:hAnsiTheme="minorHAnsi"/>
        </w:rPr>
        <w:t xml:space="preserve">dle </w:t>
      </w:r>
      <w:r>
        <w:rPr>
          <w:rFonts w:asciiTheme="minorHAnsi" w:hAnsiTheme="minorHAnsi"/>
        </w:rPr>
        <w:t>zákona č. 218/2000 Sb.</w:t>
      </w:r>
      <w:r>
        <w:rPr>
          <w:rStyle w:val="Znakapoznpodarou"/>
          <w:rFonts w:asciiTheme="minorHAnsi" w:hAnsiTheme="minorHAnsi"/>
        </w:rPr>
        <w:footnoteReference w:id="6"/>
      </w:r>
      <w:r>
        <w:rPr>
          <w:rFonts w:asciiTheme="minorHAnsi" w:hAnsiTheme="minorHAnsi"/>
        </w:rPr>
        <w:t xml:space="preserve"> </w:t>
      </w:r>
      <w:r w:rsidRPr="000B3D93">
        <w:rPr>
          <w:rFonts w:asciiTheme="minorHAnsi" w:hAnsiTheme="minorHAnsi"/>
        </w:rPr>
        <w:t xml:space="preserve">odpovídá za hospodaření s prostředky </w:t>
      </w:r>
      <w:r w:rsidR="00453729" w:rsidRPr="00453729">
        <w:rPr>
          <w:rFonts w:asciiTheme="minorHAnsi" w:hAnsiTheme="minorHAnsi"/>
        </w:rPr>
        <w:t>státního rozpočtu</w:t>
      </w:r>
      <w:r w:rsidRPr="000B3D93">
        <w:rPr>
          <w:rFonts w:asciiTheme="minorHAnsi" w:hAnsiTheme="minorHAnsi"/>
        </w:rPr>
        <w:t xml:space="preserve"> na financování programů</w:t>
      </w:r>
      <w:r>
        <w:rPr>
          <w:rFonts w:asciiTheme="minorHAnsi" w:hAnsiTheme="minorHAnsi"/>
        </w:rPr>
        <w:t xml:space="preserve">. </w:t>
      </w:r>
      <w:r w:rsidRPr="00310EED">
        <w:rPr>
          <w:rFonts w:asciiTheme="minorHAnsi" w:hAnsiTheme="minorHAnsi"/>
        </w:rPr>
        <w:t>Účastníkem programu</w:t>
      </w:r>
      <w:r>
        <w:rPr>
          <w:rFonts w:asciiTheme="minorHAnsi" w:hAnsiTheme="minorHAnsi"/>
        </w:rPr>
        <w:t xml:space="preserve">, který </w:t>
      </w:r>
      <w:r w:rsidRPr="000B3D93">
        <w:rPr>
          <w:rFonts w:asciiTheme="minorHAnsi" w:hAnsiTheme="minorHAnsi"/>
        </w:rPr>
        <w:t>financ</w:t>
      </w:r>
      <w:r>
        <w:rPr>
          <w:rFonts w:asciiTheme="minorHAnsi" w:hAnsiTheme="minorHAnsi"/>
        </w:rPr>
        <w:t>uje</w:t>
      </w:r>
      <w:r w:rsidRPr="000B3D93">
        <w:rPr>
          <w:rFonts w:asciiTheme="minorHAnsi" w:hAnsiTheme="minorHAnsi"/>
        </w:rPr>
        <w:t xml:space="preserve"> přípravu a realizaci akc</w:t>
      </w:r>
      <w:r>
        <w:rPr>
          <w:rFonts w:asciiTheme="minorHAnsi" w:hAnsiTheme="minorHAnsi"/>
        </w:rPr>
        <w:t>í</w:t>
      </w:r>
      <w:r w:rsidRPr="000B3D93">
        <w:rPr>
          <w:rFonts w:asciiTheme="minorHAnsi" w:hAnsiTheme="minorHAnsi"/>
        </w:rPr>
        <w:t xml:space="preserve"> z prostředků </w:t>
      </w:r>
      <w:r w:rsidR="00453729" w:rsidRPr="00453729">
        <w:rPr>
          <w:rFonts w:asciiTheme="minorHAnsi" w:hAnsiTheme="minorHAnsi"/>
        </w:rPr>
        <w:t>státního rozpočtu</w:t>
      </w:r>
      <w:r>
        <w:rPr>
          <w:rFonts w:asciiTheme="minorHAnsi" w:hAnsiTheme="minorHAnsi"/>
        </w:rPr>
        <w:t xml:space="preserve">, je </w:t>
      </w:r>
      <w:r w:rsidR="003C0503">
        <w:rPr>
          <w:rFonts w:asciiTheme="minorHAnsi" w:hAnsiTheme="minorHAnsi"/>
        </w:rPr>
        <w:t>MV</w:t>
      </w:r>
      <w:r w:rsidR="00BB785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nebo KŘP. </w:t>
      </w:r>
    </w:p>
    <w:p w14:paraId="42CE2335" w14:textId="38860A0C" w:rsidR="006F5CD2" w:rsidRDefault="00354107" w:rsidP="00343563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Kont</w:t>
      </w:r>
      <w:r w:rsidR="0037641D">
        <w:rPr>
          <w:rFonts w:asciiTheme="minorHAnsi" w:hAnsiTheme="minorHAnsi"/>
        </w:rPr>
        <w:t>rolní akce</w:t>
      </w:r>
      <w:r w:rsidR="006F5CD2" w:rsidRPr="006F5CD2">
        <w:rPr>
          <w:rFonts w:asciiTheme="minorHAnsi" w:hAnsiTheme="minorHAnsi"/>
        </w:rPr>
        <w:t xml:space="preserve"> č. 17/07 </w:t>
      </w:r>
      <w:r w:rsidR="007F77A0">
        <w:rPr>
          <w:rFonts w:asciiTheme="minorHAnsi" w:hAnsiTheme="minorHAnsi"/>
        </w:rPr>
        <w:t>prověřila</w:t>
      </w:r>
      <w:r w:rsidR="006F5CD2" w:rsidRPr="006F5CD2">
        <w:rPr>
          <w:rFonts w:asciiTheme="minorHAnsi" w:hAnsiTheme="minorHAnsi"/>
        </w:rPr>
        <w:t xml:space="preserve"> </w:t>
      </w:r>
      <w:r w:rsidR="007F77A0">
        <w:rPr>
          <w:rFonts w:asciiTheme="minorHAnsi" w:hAnsiTheme="minorHAnsi"/>
        </w:rPr>
        <w:t xml:space="preserve">i </w:t>
      </w:r>
      <w:r w:rsidR="006F5CD2" w:rsidRPr="006F5CD2">
        <w:rPr>
          <w:rFonts w:asciiTheme="minorHAnsi" w:hAnsiTheme="minorHAnsi"/>
        </w:rPr>
        <w:t xml:space="preserve">plnění opatření k odstranění nedostatků zjištěných předchozími </w:t>
      </w:r>
      <w:r w:rsidR="0037641D">
        <w:rPr>
          <w:rFonts w:asciiTheme="minorHAnsi" w:hAnsiTheme="minorHAnsi"/>
        </w:rPr>
        <w:t>kontrolními akcemi</w:t>
      </w:r>
      <w:r w:rsidR="006F5CD2" w:rsidRPr="006F5CD2">
        <w:rPr>
          <w:rFonts w:asciiTheme="minorHAnsi" w:hAnsiTheme="minorHAnsi"/>
        </w:rPr>
        <w:t xml:space="preserve"> č. 11/12</w:t>
      </w:r>
      <w:r w:rsidR="0037641D" w:rsidRPr="006655A8">
        <w:rPr>
          <w:rStyle w:val="Znakapoznpodarou"/>
          <w:rFonts w:ascii="Calibri" w:hAnsi="Calibri"/>
        </w:rPr>
        <w:footnoteReference w:id="7"/>
      </w:r>
      <w:r w:rsidR="006F5CD2" w:rsidRPr="006F5CD2">
        <w:rPr>
          <w:rFonts w:asciiTheme="minorHAnsi" w:hAnsiTheme="minorHAnsi"/>
        </w:rPr>
        <w:t xml:space="preserve"> a </w:t>
      </w:r>
      <w:r w:rsidR="00FE2D8B">
        <w:rPr>
          <w:rFonts w:asciiTheme="minorHAnsi" w:hAnsiTheme="minorHAnsi"/>
        </w:rPr>
        <w:t xml:space="preserve">č. </w:t>
      </w:r>
      <w:r w:rsidR="006F5CD2" w:rsidRPr="006F5CD2">
        <w:rPr>
          <w:rFonts w:asciiTheme="minorHAnsi" w:hAnsiTheme="minorHAnsi"/>
        </w:rPr>
        <w:t>05/21</w:t>
      </w:r>
      <w:r w:rsidR="0037641D" w:rsidRPr="006655A8">
        <w:rPr>
          <w:rStyle w:val="Znakapoznpodarou"/>
          <w:rFonts w:ascii="Calibri" w:hAnsi="Calibri"/>
        </w:rPr>
        <w:footnoteReference w:id="8"/>
      </w:r>
      <w:r w:rsidR="006F5CD2" w:rsidRPr="006F5CD2">
        <w:rPr>
          <w:rFonts w:asciiTheme="minorHAnsi" w:hAnsiTheme="minorHAnsi"/>
        </w:rPr>
        <w:t xml:space="preserve">. V rámci nich bylo </w:t>
      </w:r>
      <w:r w:rsidR="00A50D14">
        <w:rPr>
          <w:rFonts w:asciiTheme="minorHAnsi" w:hAnsiTheme="minorHAnsi"/>
        </w:rPr>
        <w:t xml:space="preserve">mj. </w:t>
      </w:r>
      <w:r w:rsidR="006F5CD2" w:rsidRPr="006F5CD2">
        <w:rPr>
          <w:rFonts w:asciiTheme="minorHAnsi" w:hAnsiTheme="minorHAnsi"/>
        </w:rPr>
        <w:t>zjištěno:</w:t>
      </w:r>
    </w:p>
    <w:p w14:paraId="7929907A" w14:textId="77777777" w:rsidR="00343563" w:rsidRPr="003E2AFA" w:rsidRDefault="00343563" w:rsidP="00343563">
      <w:pPr>
        <w:pStyle w:val="Odstavecseseznamem"/>
        <w:numPr>
          <w:ilvl w:val="0"/>
          <w:numId w:val="22"/>
        </w:numPr>
        <w:spacing w:after="160"/>
        <w:contextualSpacing/>
        <w:jc w:val="both"/>
        <w:rPr>
          <w:rFonts w:ascii="Calibri" w:eastAsiaTheme="minorHAnsi" w:hAnsi="Calibri" w:cstheme="minorBidi"/>
        </w:rPr>
      </w:pPr>
      <w:r w:rsidRPr="00A0668A">
        <w:rPr>
          <w:rFonts w:ascii="Calibri" w:hAnsi="Calibri" w:cs="Arial"/>
        </w:rPr>
        <w:t xml:space="preserve">MV ani </w:t>
      </w:r>
      <w:r w:rsidR="00800351" w:rsidRPr="00800351">
        <w:rPr>
          <w:rFonts w:asciiTheme="minorHAnsi" w:hAnsiTheme="minorHAnsi" w:cstheme="minorHAnsi"/>
        </w:rPr>
        <w:t>Policie</w:t>
      </w:r>
      <w:r w:rsidR="00800351">
        <w:rPr>
          <w:rFonts w:asciiTheme="minorHAnsi" w:hAnsiTheme="minorHAnsi" w:cstheme="minorHAnsi"/>
          <w:i/>
        </w:rPr>
        <w:t xml:space="preserve"> </w:t>
      </w:r>
      <w:r w:rsidRPr="00A0668A">
        <w:rPr>
          <w:rFonts w:ascii="Calibri" w:hAnsi="Calibri" w:cs="Arial"/>
        </w:rPr>
        <w:t>nemají ucelené dlouhodobé koncepce, ve kterých by byly závazně stanoveny priority pro zajišťování materiálních potřeb včetně finančního a časového rámce jejich pořízení</w:t>
      </w:r>
      <w:r>
        <w:rPr>
          <w:rFonts w:ascii="Calibri" w:hAnsi="Calibri" w:cs="Arial"/>
        </w:rPr>
        <w:t>;</w:t>
      </w:r>
    </w:p>
    <w:p w14:paraId="4A988B8F" w14:textId="77777777" w:rsidR="00343563" w:rsidRPr="006655A8" w:rsidRDefault="00343563" w:rsidP="00343563">
      <w:pPr>
        <w:pStyle w:val="Odstavecseseznamem"/>
        <w:numPr>
          <w:ilvl w:val="0"/>
          <w:numId w:val="22"/>
        </w:numPr>
        <w:spacing w:after="160"/>
        <w:contextualSpacing/>
        <w:jc w:val="both"/>
        <w:rPr>
          <w:rFonts w:ascii="Calibri" w:hAnsi="Calibri" w:cs="Arial"/>
        </w:rPr>
      </w:pPr>
      <w:r w:rsidRPr="006655A8">
        <w:rPr>
          <w:rFonts w:ascii="Calibri" w:hAnsi="Calibri" w:cs="Arial"/>
        </w:rPr>
        <w:t>MV v programu 214 110 nevytvořilo</w:t>
      </w:r>
      <w:r w:rsidR="00B87CAF">
        <w:rPr>
          <w:rFonts w:ascii="Calibri" w:hAnsi="Calibri" w:cs="Arial"/>
        </w:rPr>
        <w:t xml:space="preserve"> </w:t>
      </w:r>
      <w:r w:rsidRPr="006655A8">
        <w:rPr>
          <w:rFonts w:ascii="Calibri" w:hAnsi="Calibri" w:cs="Arial"/>
        </w:rPr>
        <w:t xml:space="preserve">pevný věcný, časový a finanční rámec pro realizaci materiálních </w:t>
      </w:r>
      <w:r w:rsidRPr="00800351">
        <w:rPr>
          <w:rFonts w:ascii="Calibri" w:hAnsi="Calibri" w:cs="Arial"/>
        </w:rPr>
        <w:t xml:space="preserve">potřeb </w:t>
      </w:r>
      <w:r w:rsidR="00800351" w:rsidRPr="00800351">
        <w:rPr>
          <w:rFonts w:asciiTheme="minorHAnsi" w:hAnsiTheme="minorHAnsi" w:cstheme="minorHAnsi"/>
        </w:rPr>
        <w:t>Policie</w:t>
      </w:r>
      <w:r w:rsidRPr="00800351">
        <w:rPr>
          <w:rFonts w:ascii="Calibri" w:hAnsi="Calibri" w:cs="Arial"/>
        </w:rPr>
        <w:t>;</w:t>
      </w:r>
      <w:r w:rsidRPr="006655A8">
        <w:rPr>
          <w:rFonts w:ascii="Calibri" w:hAnsi="Calibri" w:cs="Arial"/>
        </w:rPr>
        <w:t xml:space="preserve"> </w:t>
      </w:r>
    </w:p>
    <w:p w14:paraId="592ED4E0" w14:textId="77777777" w:rsidR="00343563" w:rsidRPr="006655A8" w:rsidRDefault="00800351" w:rsidP="00343563">
      <w:pPr>
        <w:pStyle w:val="Odstavecseseznamem"/>
        <w:numPr>
          <w:ilvl w:val="0"/>
          <w:numId w:val="22"/>
        </w:numPr>
        <w:spacing w:after="160"/>
        <w:contextualSpacing/>
        <w:jc w:val="both"/>
        <w:rPr>
          <w:rFonts w:ascii="Calibri" w:hAnsi="Calibri" w:cs="Arial"/>
        </w:rPr>
      </w:pPr>
      <w:r w:rsidRPr="00800351">
        <w:rPr>
          <w:rFonts w:asciiTheme="minorHAnsi" w:hAnsiTheme="minorHAnsi" w:cstheme="minorHAnsi"/>
        </w:rPr>
        <w:t>Policie</w:t>
      </w:r>
      <w:r w:rsidR="00343563" w:rsidRPr="006655A8">
        <w:rPr>
          <w:rFonts w:ascii="Calibri" w:hAnsi="Calibri" w:cs="Arial"/>
        </w:rPr>
        <w:t xml:space="preserve"> </w:t>
      </w:r>
      <w:r w:rsidR="0011658E">
        <w:rPr>
          <w:rFonts w:ascii="Calibri" w:hAnsi="Calibri" w:cs="Arial"/>
        </w:rPr>
        <w:t>neprovedla aktualizaci</w:t>
      </w:r>
      <w:r w:rsidR="00343563" w:rsidRPr="006655A8">
        <w:rPr>
          <w:rFonts w:ascii="Calibri" w:hAnsi="Calibri" w:cs="Arial"/>
        </w:rPr>
        <w:t xml:space="preserve"> systemizac</w:t>
      </w:r>
      <w:r w:rsidR="0011658E">
        <w:rPr>
          <w:rFonts w:ascii="Calibri" w:hAnsi="Calibri" w:cs="Arial"/>
        </w:rPr>
        <w:t>e</w:t>
      </w:r>
      <w:r w:rsidR="00343563" w:rsidRPr="006655A8">
        <w:rPr>
          <w:rFonts w:ascii="Calibri" w:hAnsi="Calibri" w:cs="Arial"/>
        </w:rPr>
        <w:t xml:space="preserve"> </w:t>
      </w:r>
      <w:r w:rsidR="00B87CAF">
        <w:rPr>
          <w:rFonts w:ascii="Calibri" w:hAnsi="Calibri" w:cs="Calibri"/>
        </w:rPr>
        <w:t>služebních dopravních prostředků</w:t>
      </w:r>
      <w:r w:rsidR="00343563" w:rsidRPr="006655A8">
        <w:rPr>
          <w:rFonts w:ascii="Calibri" w:hAnsi="Calibri" w:cs="Arial"/>
        </w:rPr>
        <w:t>;</w:t>
      </w:r>
    </w:p>
    <w:p w14:paraId="74A96CBD" w14:textId="653B05C5" w:rsidR="00343563" w:rsidRPr="006655A8" w:rsidRDefault="00343563" w:rsidP="00343563">
      <w:pPr>
        <w:pStyle w:val="Odstavecseseznamem"/>
        <w:numPr>
          <w:ilvl w:val="0"/>
          <w:numId w:val="22"/>
        </w:numPr>
        <w:spacing w:after="160"/>
        <w:contextualSpacing/>
        <w:jc w:val="both"/>
        <w:rPr>
          <w:rFonts w:ascii="Calibri" w:hAnsi="Calibri" w:cs="Arial"/>
        </w:rPr>
      </w:pPr>
      <w:r w:rsidRPr="006655A8">
        <w:rPr>
          <w:rFonts w:ascii="Calibri" w:hAnsi="Calibri" w:cs="Arial"/>
        </w:rPr>
        <w:t xml:space="preserve">MV nevěnovalo náležitou pozornost přípravě některých </w:t>
      </w:r>
      <w:r w:rsidR="00276D65" w:rsidRPr="006655A8">
        <w:rPr>
          <w:rFonts w:ascii="Calibri" w:hAnsi="Calibri" w:cs="Arial"/>
        </w:rPr>
        <w:t xml:space="preserve">stavebních </w:t>
      </w:r>
      <w:r w:rsidRPr="006655A8">
        <w:rPr>
          <w:rFonts w:ascii="Calibri" w:hAnsi="Calibri" w:cs="Arial"/>
        </w:rPr>
        <w:t xml:space="preserve">akcí, nedostatečná příprava měla za následek </w:t>
      </w:r>
      <w:r w:rsidR="00276D65" w:rsidRPr="006655A8">
        <w:rPr>
          <w:rFonts w:ascii="Calibri" w:hAnsi="Calibri" w:cs="Arial"/>
        </w:rPr>
        <w:t xml:space="preserve">vznik </w:t>
      </w:r>
      <w:r w:rsidR="00FA190B" w:rsidRPr="006655A8">
        <w:rPr>
          <w:rFonts w:ascii="Calibri" w:hAnsi="Calibri" w:cs="Arial"/>
        </w:rPr>
        <w:t>víceprací</w:t>
      </w:r>
      <w:r w:rsidR="00276D65" w:rsidRPr="006655A8">
        <w:rPr>
          <w:rFonts w:ascii="Calibri" w:hAnsi="Calibri" w:cs="Arial"/>
        </w:rPr>
        <w:t xml:space="preserve"> a </w:t>
      </w:r>
      <w:r w:rsidR="007F77A0">
        <w:rPr>
          <w:rFonts w:ascii="Calibri" w:hAnsi="Calibri" w:cs="Arial"/>
        </w:rPr>
        <w:t>v důsledku toho i z</w:t>
      </w:r>
      <w:r w:rsidRPr="006655A8">
        <w:rPr>
          <w:rFonts w:ascii="Calibri" w:hAnsi="Calibri" w:cs="Arial"/>
        </w:rPr>
        <w:t>výšení celkových výdajů;</w:t>
      </w:r>
    </w:p>
    <w:p w14:paraId="22BD86EC" w14:textId="77777777" w:rsidR="008345AB" w:rsidRDefault="00343563" w:rsidP="00842B83">
      <w:pPr>
        <w:pStyle w:val="Odstavecseseznamem"/>
        <w:numPr>
          <w:ilvl w:val="0"/>
          <w:numId w:val="22"/>
        </w:numPr>
        <w:contextualSpacing/>
        <w:jc w:val="both"/>
        <w:rPr>
          <w:rFonts w:ascii="Calibri" w:hAnsi="Calibri"/>
        </w:rPr>
      </w:pPr>
      <w:r w:rsidRPr="006655A8">
        <w:rPr>
          <w:rFonts w:ascii="Calibri" w:hAnsi="Calibri" w:cs="Arial"/>
        </w:rPr>
        <w:t xml:space="preserve">rekonstrukce hangáru D </w:t>
      </w:r>
      <w:r w:rsidRPr="006655A8">
        <w:rPr>
          <w:rFonts w:ascii="Calibri" w:hAnsi="Calibri"/>
        </w:rPr>
        <w:t>v Praze-Ruzyni nebyla zahájena.</w:t>
      </w:r>
    </w:p>
    <w:p w14:paraId="5BEDD3BD" w14:textId="2D573AC9" w:rsidR="00676C7A" w:rsidRDefault="00676C7A" w:rsidP="00676C7A">
      <w:pPr>
        <w:spacing w:after="160"/>
        <w:contextualSpacing/>
        <w:jc w:val="both"/>
        <w:rPr>
          <w:rFonts w:ascii="Calibri" w:hAnsi="Calibri"/>
        </w:rPr>
      </w:pPr>
    </w:p>
    <w:p w14:paraId="0676FB81" w14:textId="77777777" w:rsidR="004E31D6" w:rsidRDefault="004E31D6" w:rsidP="00676C7A">
      <w:pPr>
        <w:spacing w:after="160"/>
        <w:contextualSpacing/>
        <w:jc w:val="both"/>
        <w:rPr>
          <w:rFonts w:ascii="Calibri" w:hAnsi="Calibri"/>
        </w:rPr>
      </w:pPr>
    </w:p>
    <w:p w14:paraId="4DE0E8DA" w14:textId="77777777" w:rsidR="00462F78" w:rsidRPr="006655A8" w:rsidRDefault="00462F78" w:rsidP="008170F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55A8">
        <w:rPr>
          <w:rFonts w:asciiTheme="minorHAnsi" w:hAnsiTheme="minorHAnsi" w:cstheme="minorHAnsi"/>
          <w:b/>
          <w:sz w:val="28"/>
          <w:szCs w:val="28"/>
        </w:rPr>
        <w:t xml:space="preserve">III. Rozsah kontroly </w:t>
      </w:r>
    </w:p>
    <w:p w14:paraId="4851E250" w14:textId="77777777" w:rsidR="008170F3" w:rsidRPr="006655A8" w:rsidRDefault="008170F3" w:rsidP="008170F3">
      <w:pPr>
        <w:spacing w:after="120"/>
        <w:jc w:val="both"/>
        <w:rPr>
          <w:rFonts w:asciiTheme="minorHAnsi" w:hAnsiTheme="minorHAnsi" w:cstheme="minorHAnsi"/>
        </w:rPr>
      </w:pPr>
      <w:r w:rsidRPr="006655A8">
        <w:rPr>
          <w:rFonts w:ascii="Calibri" w:hAnsi="Calibri" w:cs="Calibri"/>
        </w:rPr>
        <w:t xml:space="preserve">Kontrolní akcí č. 17/07 bylo prověřeno, </w:t>
      </w:r>
      <w:r w:rsidRPr="006655A8">
        <w:rPr>
          <w:rFonts w:asciiTheme="minorHAnsi" w:hAnsiTheme="minorHAnsi" w:cstheme="minorHAnsi"/>
        </w:rPr>
        <w:t xml:space="preserve">zda programy zaměřené na rozvoj a obnovu materiálně technické základny </w:t>
      </w:r>
      <w:r w:rsidR="00800351" w:rsidRPr="00800351">
        <w:rPr>
          <w:rFonts w:asciiTheme="minorHAnsi" w:hAnsiTheme="minorHAnsi" w:cstheme="minorHAnsi"/>
        </w:rPr>
        <w:t>Policie</w:t>
      </w:r>
      <w:r w:rsidR="00800351" w:rsidRPr="006655A8">
        <w:rPr>
          <w:rFonts w:asciiTheme="minorHAnsi" w:hAnsiTheme="minorHAnsi" w:cstheme="minorHAnsi"/>
        </w:rPr>
        <w:t xml:space="preserve"> </w:t>
      </w:r>
      <w:r w:rsidRPr="006655A8">
        <w:rPr>
          <w:rFonts w:asciiTheme="minorHAnsi" w:hAnsiTheme="minorHAnsi" w:cstheme="minorHAnsi"/>
        </w:rPr>
        <w:t xml:space="preserve">vycházejí z jasně definovaných potřeb a zda jsou realizovány podle stanovených předpokladů účelně a hospodárně. </w:t>
      </w:r>
      <w:r w:rsidR="00FA190B" w:rsidRPr="006655A8">
        <w:rPr>
          <w:rFonts w:asciiTheme="minorHAnsi" w:hAnsiTheme="minorHAnsi" w:cstheme="minorHAnsi"/>
        </w:rPr>
        <w:t xml:space="preserve">NKÚ stanovil </w:t>
      </w:r>
      <w:r w:rsidRPr="006655A8">
        <w:rPr>
          <w:rFonts w:asciiTheme="minorHAnsi" w:hAnsiTheme="minorHAnsi" w:cstheme="minorHAnsi"/>
        </w:rPr>
        <w:t xml:space="preserve">mj. tyto </w:t>
      </w:r>
      <w:r w:rsidR="007102FC" w:rsidRPr="006655A8">
        <w:rPr>
          <w:rFonts w:asciiTheme="minorHAnsi" w:hAnsiTheme="minorHAnsi" w:cstheme="minorHAnsi"/>
        </w:rPr>
        <w:t xml:space="preserve">dílčí </w:t>
      </w:r>
      <w:r w:rsidRPr="006655A8">
        <w:rPr>
          <w:rFonts w:asciiTheme="minorHAnsi" w:hAnsiTheme="minorHAnsi" w:cstheme="minorHAnsi"/>
        </w:rPr>
        <w:t>cíle kontroly:</w:t>
      </w:r>
    </w:p>
    <w:p w14:paraId="0863FF37" w14:textId="77777777" w:rsidR="002B2C66" w:rsidRDefault="008170F3" w:rsidP="0041100F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655A8">
        <w:rPr>
          <w:rFonts w:asciiTheme="minorHAnsi" w:hAnsiTheme="minorHAnsi" w:cstheme="minorHAnsi"/>
        </w:rPr>
        <w:t>zjistit, zda MV</w:t>
      </w:r>
      <w:r w:rsidR="003C0503">
        <w:rPr>
          <w:rFonts w:asciiTheme="minorHAnsi" w:hAnsiTheme="minorHAnsi" w:cstheme="minorHAnsi"/>
        </w:rPr>
        <w:t xml:space="preserve"> </w:t>
      </w:r>
      <w:r w:rsidR="002B2C66">
        <w:rPr>
          <w:rFonts w:asciiTheme="minorHAnsi" w:hAnsiTheme="minorHAnsi" w:cstheme="minorHAnsi"/>
        </w:rPr>
        <w:t xml:space="preserve">zpracovalo analýzu potřeb </w:t>
      </w:r>
      <w:r w:rsidR="002B2C66" w:rsidRPr="00800351">
        <w:rPr>
          <w:rFonts w:asciiTheme="minorHAnsi" w:hAnsiTheme="minorHAnsi" w:cstheme="minorHAnsi"/>
        </w:rPr>
        <w:t>Policie</w:t>
      </w:r>
      <w:r w:rsidR="002B2C66">
        <w:rPr>
          <w:rFonts w:asciiTheme="minorHAnsi" w:hAnsiTheme="minorHAnsi" w:cstheme="minorHAnsi"/>
        </w:rPr>
        <w:t xml:space="preserve"> a její výsledky zahrnulo do koncepčních dokumentů resortu včetně zajištění </w:t>
      </w:r>
      <w:r w:rsidR="000739AF">
        <w:rPr>
          <w:rFonts w:asciiTheme="minorHAnsi" w:hAnsiTheme="minorHAnsi" w:cstheme="minorHAnsi"/>
        </w:rPr>
        <w:t xml:space="preserve">stanovených </w:t>
      </w:r>
      <w:r w:rsidR="002B2C66">
        <w:rPr>
          <w:rFonts w:asciiTheme="minorHAnsi" w:hAnsiTheme="minorHAnsi" w:cstheme="minorHAnsi"/>
        </w:rPr>
        <w:t xml:space="preserve">cílů odpovídajícími zdroji; </w:t>
      </w:r>
    </w:p>
    <w:p w14:paraId="7F42A6E3" w14:textId="24595160" w:rsidR="002B2C66" w:rsidRDefault="00E96531" w:rsidP="00E96531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zjistit</w:t>
      </w:r>
      <w:r w:rsidR="0066242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zda </w:t>
      </w:r>
      <w:r w:rsidR="00302601">
        <w:rPr>
          <w:rFonts w:asciiTheme="minorHAnsi" w:hAnsiTheme="minorHAnsi" w:cstheme="minorHAnsi"/>
        </w:rPr>
        <w:t xml:space="preserve">má </w:t>
      </w:r>
      <w:r w:rsidR="00737B50">
        <w:rPr>
          <w:rFonts w:asciiTheme="minorHAnsi" w:hAnsiTheme="minorHAnsi" w:cstheme="minorHAnsi"/>
        </w:rPr>
        <w:t xml:space="preserve">Policie </w:t>
      </w:r>
      <w:r>
        <w:rPr>
          <w:rFonts w:asciiTheme="minorHAnsi" w:hAnsiTheme="minorHAnsi" w:cstheme="minorHAnsi"/>
        </w:rPr>
        <w:t xml:space="preserve">zajištěny předpoklady a podmínky pro tvorbu a naplňování cílů programů </w:t>
      </w:r>
      <w:r w:rsidRPr="00E96531">
        <w:rPr>
          <w:rFonts w:asciiTheme="minorHAnsi" w:hAnsiTheme="minorHAnsi" w:cstheme="minorHAnsi"/>
        </w:rPr>
        <w:t>rozvoje a obnovy</w:t>
      </w:r>
      <w:r w:rsidR="00D3691A">
        <w:rPr>
          <w:rFonts w:asciiTheme="minorHAnsi" w:hAnsiTheme="minorHAnsi" w:cstheme="minorHAnsi"/>
        </w:rPr>
        <w:t xml:space="preserve"> </w:t>
      </w:r>
      <w:r w:rsidRPr="00E96531">
        <w:rPr>
          <w:rFonts w:asciiTheme="minorHAnsi" w:hAnsiTheme="minorHAnsi" w:cstheme="minorHAnsi"/>
        </w:rPr>
        <w:t>materiálně technické základny</w:t>
      </w:r>
      <w:r>
        <w:rPr>
          <w:rFonts w:asciiTheme="minorHAnsi" w:hAnsiTheme="minorHAnsi" w:cstheme="minorHAnsi"/>
        </w:rPr>
        <w:t>;</w:t>
      </w:r>
      <w:r w:rsidR="00737B50">
        <w:rPr>
          <w:rFonts w:asciiTheme="minorHAnsi" w:hAnsiTheme="minorHAnsi" w:cstheme="minorHAnsi"/>
        </w:rPr>
        <w:t xml:space="preserve"> </w:t>
      </w:r>
    </w:p>
    <w:p w14:paraId="3B093E5D" w14:textId="6736566B" w:rsidR="002B2C66" w:rsidRPr="00E96531" w:rsidRDefault="00E96531" w:rsidP="003E5EB2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E96531">
        <w:rPr>
          <w:rFonts w:asciiTheme="minorHAnsi" w:hAnsiTheme="minorHAnsi" w:cstheme="minorHAnsi"/>
        </w:rPr>
        <w:t>ověřit, zda programy rozvoje a obnovy materiálně technické základny vytvář</w:t>
      </w:r>
      <w:r>
        <w:rPr>
          <w:rFonts w:asciiTheme="minorHAnsi" w:hAnsiTheme="minorHAnsi" w:cstheme="minorHAnsi"/>
        </w:rPr>
        <w:t>ely</w:t>
      </w:r>
      <w:r w:rsidRPr="00E96531">
        <w:rPr>
          <w:rFonts w:asciiTheme="minorHAnsi" w:hAnsiTheme="minorHAnsi" w:cstheme="minorHAnsi"/>
        </w:rPr>
        <w:t xml:space="preserve"> </w:t>
      </w:r>
      <w:r w:rsidRPr="00E96531">
        <w:rPr>
          <w:rFonts w:asciiTheme="minorHAnsi" w:hAnsiTheme="minorHAnsi"/>
        </w:rPr>
        <w:t xml:space="preserve">pevný věcný, časový a finanční rámec pro </w:t>
      </w:r>
      <w:r w:rsidR="00302601">
        <w:rPr>
          <w:rFonts w:asciiTheme="minorHAnsi" w:hAnsiTheme="minorHAnsi"/>
        </w:rPr>
        <w:t>uspokojování</w:t>
      </w:r>
      <w:r w:rsidR="00302601" w:rsidRPr="00E96531">
        <w:rPr>
          <w:rFonts w:asciiTheme="minorHAnsi" w:hAnsiTheme="minorHAnsi"/>
        </w:rPr>
        <w:t xml:space="preserve"> </w:t>
      </w:r>
      <w:r w:rsidRPr="00E96531">
        <w:rPr>
          <w:rFonts w:asciiTheme="minorHAnsi" w:hAnsiTheme="minorHAnsi"/>
        </w:rPr>
        <w:t>potřeb</w:t>
      </w:r>
      <w:r w:rsidR="00D3691A" w:rsidRPr="00D3691A">
        <w:rPr>
          <w:rFonts w:asciiTheme="minorHAnsi" w:hAnsiTheme="minorHAnsi" w:cstheme="minorHAnsi"/>
        </w:rPr>
        <w:t xml:space="preserve"> </w:t>
      </w:r>
      <w:r w:rsidR="00D3691A" w:rsidRPr="00E96531">
        <w:rPr>
          <w:rFonts w:asciiTheme="minorHAnsi" w:hAnsiTheme="minorHAnsi" w:cstheme="minorHAnsi"/>
        </w:rPr>
        <w:t>Policie</w:t>
      </w:r>
      <w:r>
        <w:rPr>
          <w:rFonts w:asciiTheme="minorHAnsi" w:hAnsiTheme="minorHAnsi"/>
        </w:rPr>
        <w:t>;</w:t>
      </w:r>
    </w:p>
    <w:p w14:paraId="6CAA3ED6" w14:textId="77777777" w:rsidR="00662429" w:rsidRDefault="007102FC" w:rsidP="00662429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655A8">
        <w:rPr>
          <w:rFonts w:asciiTheme="minorHAnsi" w:hAnsiTheme="minorHAnsi" w:cstheme="minorHAnsi"/>
        </w:rPr>
        <w:lastRenderedPageBreak/>
        <w:t xml:space="preserve">zjistit, </w:t>
      </w:r>
      <w:r w:rsidR="000739AF" w:rsidRPr="00662429">
        <w:rPr>
          <w:rFonts w:asciiTheme="minorHAnsi" w:hAnsiTheme="minorHAnsi" w:cstheme="minorHAnsi"/>
        </w:rPr>
        <w:t xml:space="preserve">zda programy </w:t>
      </w:r>
      <w:r w:rsidR="008D1C73" w:rsidRPr="00E96531">
        <w:rPr>
          <w:rFonts w:asciiTheme="minorHAnsi" w:hAnsiTheme="minorHAnsi" w:cstheme="minorHAnsi"/>
        </w:rPr>
        <w:t xml:space="preserve">rozvoje a obnovy materiálně technické základny </w:t>
      </w:r>
      <w:r w:rsidR="00D3691A">
        <w:rPr>
          <w:rFonts w:asciiTheme="minorHAnsi" w:hAnsiTheme="minorHAnsi" w:cstheme="minorHAnsi"/>
        </w:rPr>
        <w:t>byly</w:t>
      </w:r>
      <w:r w:rsidR="00D3691A" w:rsidRPr="00662429">
        <w:rPr>
          <w:rFonts w:asciiTheme="minorHAnsi" w:hAnsiTheme="minorHAnsi" w:cstheme="minorHAnsi"/>
        </w:rPr>
        <w:t xml:space="preserve"> </w:t>
      </w:r>
      <w:r w:rsidR="000739AF" w:rsidRPr="00662429">
        <w:rPr>
          <w:rFonts w:asciiTheme="minorHAnsi" w:hAnsiTheme="minorHAnsi" w:cstheme="minorHAnsi"/>
        </w:rPr>
        <w:t>realizovány podle stanovených předpokladů účelně a hospodárně</w:t>
      </w:r>
      <w:r w:rsidR="00B975F5">
        <w:rPr>
          <w:rFonts w:asciiTheme="minorHAnsi" w:hAnsiTheme="minorHAnsi" w:cstheme="minorHAnsi"/>
        </w:rPr>
        <w:t>;</w:t>
      </w:r>
    </w:p>
    <w:p w14:paraId="5A399BC4" w14:textId="77777777" w:rsidR="00E96531" w:rsidRPr="008D1C73" w:rsidRDefault="00B975F5" w:rsidP="008D1C73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D1C73">
        <w:rPr>
          <w:rFonts w:asciiTheme="minorHAnsi" w:hAnsiTheme="minorHAnsi" w:cstheme="minorHAnsi"/>
        </w:rPr>
        <w:t xml:space="preserve">posoudit, zda </w:t>
      </w:r>
      <w:r w:rsidR="008D1C73">
        <w:rPr>
          <w:rFonts w:asciiTheme="minorHAnsi" w:hAnsiTheme="minorHAnsi" w:cstheme="minorHAnsi"/>
        </w:rPr>
        <w:t xml:space="preserve">při realizaci investičních akcí </w:t>
      </w:r>
      <w:r w:rsidR="00D3691A" w:rsidRPr="008D1C73">
        <w:rPr>
          <w:rFonts w:asciiTheme="minorHAnsi" w:hAnsiTheme="minorHAnsi" w:cstheme="minorHAnsi"/>
        </w:rPr>
        <w:t xml:space="preserve">byly </w:t>
      </w:r>
      <w:r w:rsidR="00662429" w:rsidRPr="008D1C73">
        <w:rPr>
          <w:rFonts w:asciiTheme="minorHAnsi" w:hAnsiTheme="minorHAnsi" w:cstheme="minorHAnsi"/>
        </w:rPr>
        <w:t>dodržovány obecně závazné právní předpisy;</w:t>
      </w:r>
    </w:p>
    <w:p w14:paraId="6F198A23" w14:textId="3A22741A" w:rsidR="007102FC" w:rsidRPr="006655A8" w:rsidRDefault="003D79EB" w:rsidP="00662429">
      <w:pPr>
        <w:pStyle w:val="Odstavecseseznamem"/>
        <w:numPr>
          <w:ilvl w:val="0"/>
          <w:numId w:val="17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ověřit</w:t>
      </w:r>
      <w:r w:rsidR="007102FC" w:rsidRPr="006655A8">
        <w:rPr>
          <w:rFonts w:asciiTheme="minorHAnsi" w:hAnsiTheme="minorHAnsi" w:cstheme="minorHAnsi"/>
        </w:rPr>
        <w:t xml:space="preserve">, že MV </w:t>
      </w:r>
      <w:r w:rsidR="00D0420A">
        <w:rPr>
          <w:rFonts w:asciiTheme="minorHAnsi" w:hAnsiTheme="minorHAnsi" w:cstheme="minorHAnsi"/>
        </w:rPr>
        <w:t>provedlo</w:t>
      </w:r>
      <w:r w:rsidR="007102FC" w:rsidRPr="006655A8">
        <w:rPr>
          <w:rFonts w:asciiTheme="minorHAnsi" w:hAnsiTheme="minorHAnsi" w:cstheme="minorHAnsi"/>
        </w:rPr>
        <w:t xml:space="preserve"> opatření k nápravě </w:t>
      </w:r>
      <w:r w:rsidR="00FE2D8B" w:rsidRPr="006655A8">
        <w:rPr>
          <w:rFonts w:asciiTheme="minorHAnsi" w:hAnsiTheme="minorHAnsi" w:cstheme="minorHAnsi"/>
        </w:rPr>
        <w:t xml:space="preserve">nedostatků </w:t>
      </w:r>
      <w:r w:rsidR="00302601" w:rsidRPr="006655A8">
        <w:rPr>
          <w:rFonts w:asciiTheme="minorHAnsi" w:hAnsiTheme="minorHAnsi" w:cstheme="minorHAnsi"/>
        </w:rPr>
        <w:t xml:space="preserve">zjištěných </w:t>
      </w:r>
      <w:r w:rsidR="007102FC" w:rsidRPr="006655A8">
        <w:rPr>
          <w:rFonts w:asciiTheme="minorHAnsi" w:hAnsiTheme="minorHAnsi" w:cstheme="minorHAnsi"/>
        </w:rPr>
        <w:t>kontrolním</w:t>
      </w:r>
      <w:r w:rsidR="00302601">
        <w:rPr>
          <w:rFonts w:asciiTheme="minorHAnsi" w:hAnsiTheme="minorHAnsi" w:cstheme="minorHAnsi"/>
        </w:rPr>
        <w:t>i</w:t>
      </w:r>
      <w:r w:rsidR="007102FC" w:rsidRPr="006655A8">
        <w:rPr>
          <w:rFonts w:asciiTheme="minorHAnsi" w:hAnsiTheme="minorHAnsi" w:cstheme="minorHAnsi"/>
        </w:rPr>
        <w:t xml:space="preserve"> akc</w:t>
      </w:r>
      <w:r w:rsidR="00302601">
        <w:rPr>
          <w:rFonts w:asciiTheme="minorHAnsi" w:hAnsiTheme="minorHAnsi" w:cstheme="minorHAnsi"/>
        </w:rPr>
        <w:t>emi</w:t>
      </w:r>
      <w:r w:rsidR="007102FC" w:rsidRPr="006655A8">
        <w:rPr>
          <w:rFonts w:asciiTheme="minorHAnsi" w:hAnsiTheme="minorHAnsi" w:cstheme="minorHAnsi"/>
        </w:rPr>
        <w:t xml:space="preserve"> NKÚ</w:t>
      </w:r>
      <w:r w:rsidR="00FE2D8B" w:rsidRPr="006655A8">
        <w:rPr>
          <w:rFonts w:asciiTheme="minorHAnsi" w:hAnsiTheme="minorHAnsi"/>
        </w:rPr>
        <w:t xml:space="preserve"> č. 11/12 a č. 05/21</w:t>
      </w:r>
      <w:r w:rsidR="00D3691A">
        <w:rPr>
          <w:rFonts w:asciiTheme="minorHAnsi" w:hAnsiTheme="minorHAnsi" w:cstheme="minorHAnsi"/>
        </w:rPr>
        <w:t>.</w:t>
      </w:r>
    </w:p>
    <w:p w14:paraId="3628BC7D" w14:textId="0EA828A4" w:rsidR="00824B59" w:rsidRDefault="00B508AB" w:rsidP="005740C8">
      <w:pPr>
        <w:jc w:val="both"/>
        <w:rPr>
          <w:rFonts w:asciiTheme="minorHAnsi" w:hAnsiTheme="minorHAnsi" w:cstheme="minorHAnsi"/>
        </w:rPr>
      </w:pPr>
      <w:r w:rsidRPr="006655A8">
        <w:rPr>
          <w:rFonts w:asciiTheme="minorHAnsi" w:hAnsiTheme="minorHAnsi" w:cstheme="minorHAnsi"/>
        </w:rPr>
        <w:t xml:space="preserve">V rámci kontrolní akce </w:t>
      </w:r>
      <w:r w:rsidR="0037641D">
        <w:rPr>
          <w:rFonts w:asciiTheme="minorHAnsi" w:hAnsiTheme="minorHAnsi" w:cstheme="minorHAnsi"/>
        </w:rPr>
        <w:t xml:space="preserve">č. 17/07 </w:t>
      </w:r>
      <w:r w:rsidRPr="006655A8">
        <w:rPr>
          <w:rFonts w:asciiTheme="minorHAnsi" w:hAnsiTheme="minorHAnsi" w:cstheme="minorHAnsi"/>
        </w:rPr>
        <w:t xml:space="preserve">byla provedena kontrola u tří účastníků programů, kterými byly </w:t>
      </w:r>
      <w:r w:rsidR="00B36392">
        <w:rPr>
          <w:rFonts w:asciiTheme="minorHAnsi" w:hAnsiTheme="minorHAnsi" w:cstheme="minorHAnsi"/>
        </w:rPr>
        <w:t>MV</w:t>
      </w:r>
      <w:r w:rsidR="003C0503">
        <w:rPr>
          <w:rFonts w:asciiTheme="minorHAnsi" w:hAnsiTheme="minorHAnsi" w:cstheme="minorHAnsi"/>
        </w:rPr>
        <w:t xml:space="preserve">, </w:t>
      </w:r>
      <w:r w:rsidRPr="006655A8">
        <w:rPr>
          <w:rFonts w:ascii="Calibri" w:hAnsi="Calibri" w:cs="Calibri"/>
        </w:rPr>
        <w:t xml:space="preserve">Krajské ředitelství policie Středočeského kraje a </w:t>
      </w:r>
      <w:r w:rsidRPr="006655A8">
        <w:rPr>
          <w:rFonts w:asciiTheme="minorHAnsi" w:hAnsiTheme="minorHAnsi" w:cstheme="minorHAnsi"/>
        </w:rPr>
        <w:t xml:space="preserve">Krajské ředitelství policie Jihočeského kraje. Poskytnuté prostředky </w:t>
      </w:r>
      <w:r w:rsidR="00B20900">
        <w:rPr>
          <w:rFonts w:asciiTheme="minorHAnsi" w:hAnsiTheme="minorHAnsi" w:cstheme="minorHAnsi"/>
        </w:rPr>
        <w:t xml:space="preserve">na </w:t>
      </w:r>
      <w:r w:rsidR="00092CE3">
        <w:rPr>
          <w:rFonts w:asciiTheme="minorHAnsi" w:hAnsiTheme="minorHAnsi" w:cstheme="minorHAnsi"/>
        </w:rPr>
        <w:t>3</w:t>
      </w:r>
      <w:r w:rsidR="00873A5D">
        <w:rPr>
          <w:rFonts w:asciiTheme="minorHAnsi" w:hAnsiTheme="minorHAnsi" w:cstheme="minorHAnsi"/>
        </w:rPr>
        <w:t>1</w:t>
      </w:r>
      <w:r w:rsidR="00FA190B" w:rsidRPr="006655A8">
        <w:rPr>
          <w:rFonts w:asciiTheme="minorHAnsi" w:hAnsiTheme="minorHAnsi" w:cstheme="minorHAnsi"/>
        </w:rPr>
        <w:t xml:space="preserve"> </w:t>
      </w:r>
      <w:r w:rsidR="0037641D">
        <w:rPr>
          <w:rFonts w:asciiTheme="minorHAnsi" w:hAnsiTheme="minorHAnsi" w:cstheme="minorHAnsi"/>
        </w:rPr>
        <w:t>kontrolovaných</w:t>
      </w:r>
      <w:r w:rsidRPr="006655A8">
        <w:rPr>
          <w:rFonts w:asciiTheme="minorHAnsi" w:hAnsiTheme="minorHAnsi" w:cstheme="minorHAnsi"/>
        </w:rPr>
        <w:t xml:space="preserve"> akcí činily </w:t>
      </w:r>
      <w:r w:rsidR="0037641D">
        <w:rPr>
          <w:rFonts w:asciiTheme="minorHAnsi" w:hAnsiTheme="minorHAnsi" w:cstheme="minorHAnsi"/>
        </w:rPr>
        <w:t xml:space="preserve">celkem </w:t>
      </w:r>
      <w:r w:rsidR="009E6EB0">
        <w:rPr>
          <w:rFonts w:asciiTheme="minorHAnsi" w:hAnsiTheme="minorHAnsi" w:cstheme="minorHAnsi"/>
        </w:rPr>
        <w:t>864</w:t>
      </w:r>
      <w:r w:rsidR="00FA190B" w:rsidRPr="006655A8">
        <w:rPr>
          <w:rFonts w:asciiTheme="minorHAnsi" w:hAnsiTheme="minorHAnsi" w:cstheme="minorHAnsi"/>
        </w:rPr>
        <w:t>,</w:t>
      </w:r>
      <w:r w:rsidR="009E6EB0">
        <w:rPr>
          <w:rFonts w:asciiTheme="minorHAnsi" w:hAnsiTheme="minorHAnsi" w:cstheme="minorHAnsi"/>
        </w:rPr>
        <w:t>286</w:t>
      </w:r>
      <w:r w:rsidR="00613C61">
        <w:rPr>
          <w:rFonts w:asciiTheme="minorHAnsi" w:hAnsiTheme="minorHAnsi" w:cstheme="minorHAnsi"/>
        </w:rPr>
        <w:t> </w:t>
      </w:r>
      <w:r w:rsidR="003D41C0" w:rsidRPr="006655A8">
        <w:rPr>
          <w:rFonts w:asciiTheme="minorHAnsi" w:hAnsiTheme="minorHAnsi" w:cstheme="minorHAnsi"/>
        </w:rPr>
        <w:t>mil.</w:t>
      </w:r>
      <w:r w:rsidR="00613C61">
        <w:rPr>
          <w:rFonts w:asciiTheme="minorHAnsi" w:hAnsiTheme="minorHAnsi" w:cstheme="minorHAnsi"/>
        </w:rPr>
        <w:t> </w:t>
      </w:r>
      <w:r w:rsidR="003D41C0" w:rsidRPr="006655A8">
        <w:rPr>
          <w:rFonts w:asciiTheme="minorHAnsi" w:hAnsiTheme="minorHAnsi" w:cstheme="minorHAnsi"/>
        </w:rPr>
        <w:t>Kč</w:t>
      </w:r>
      <w:r w:rsidRPr="006655A8">
        <w:rPr>
          <w:rFonts w:asciiTheme="minorHAnsi" w:hAnsiTheme="minorHAnsi" w:cstheme="minorHAnsi"/>
        </w:rPr>
        <w:t xml:space="preserve">. </w:t>
      </w:r>
      <w:r w:rsidR="00462F78" w:rsidRPr="006655A8">
        <w:rPr>
          <w:rFonts w:asciiTheme="minorHAnsi" w:hAnsiTheme="minorHAnsi" w:cstheme="minorHAnsi"/>
        </w:rPr>
        <w:t>Vzorek akcí byl vybrán na základě krité</w:t>
      </w:r>
      <w:r w:rsidRPr="006655A8">
        <w:rPr>
          <w:rFonts w:asciiTheme="minorHAnsi" w:hAnsiTheme="minorHAnsi" w:cstheme="minorHAnsi"/>
        </w:rPr>
        <w:t>ria výše pos</w:t>
      </w:r>
      <w:r w:rsidR="003D41C0" w:rsidRPr="006655A8">
        <w:rPr>
          <w:rFonts w:asciiTheme="minorHAnsi" w:hAnsiTheme="minorHAnsi" w:cstheme="minorHAnsi"/>
        </w:rPr>
        <w:t xml:space="preserve">kytnutých prostředků, kritéria cíle </w:t>
      </w:r>
      <w:r w:rsidR="0037641D">
        <w:rPr>
          <w:rFonts w:asciiTheme="minorHAnsi" w:hAnsiTheme="minorHAnsi" w:cstheme="minorHAnsi"/>
        </w:rPr>
        <w:t>akce</w:t>
      </w:r>
      <w:r w:rsidR="003D41C0" w:rsidRPr="006655A8">
        <w:rPr>
          <w:rFonts w:asciiTheme="minorHAnsi" w:hAnsiTheme="minorHAnsi" w:cstheme="minorHAnsi"/>
        </w:rPr>
        <w:t xml:space="preserve"> (</w:t>
      </w:r>
      <w:r w:rsidR="006270D5" w:rsidRPr="006655A8">
        <w:rPr>
          <w:rFonts w:asciiTheme="minorHAnsi" w:hAnsiTheme="minorHAnsi" w:cstheme="minorHAnsi"/>
        </w:rPr>
        <w:t xml:space="preserve">movitý a </w:t>
      </w:r>
      <w:r w:rsidR="003D41C0" w:rsidRPr="006655A8">
        <w:rPr>
          <w:rFonts w:asciiTheme="minorHAnsi" w:hAnsiTheme="minorHAnsi" w:cstheme="minorHAnsi"/>
        </w:rPr>
        <w:t xml:space="preserve">nemovitý majetek, </w:t>
      </w:r>
      <w:r w:rsidR="00B87CAF">
        <w:rPr>
          <w:rFonts w:ascii="Calibri" w:hAnsi="Calibri" w:cs="Calibri"/>
        </w:rPr>
        <w:t>služební dopravní prostředky</w:t>
      </w:r>
      <w:r w:rsidR="003D41C0" w:rsidRPr="006655A8">
        <w:rPr>
          <w:rFonts w:asciiTheme="minorHAnsi" w:hAnsiTheme="minorHAnsi" w:cstheme="minorHAnsi"/>
        </w:rPr>
        <w:t xml:space="preserve">) a kritéria doby ukončení </w:t>
      </w:r>
      <w:r w:rsidR="0037641D">
        <w:rPr>
          <w:rFonts w:asciiTheme="minorHAnsi" w:hAnsiTheme="minorHAnsi" w:cstheme="minorHAnsi"/>
        </w:rPr>
        <w:t>akce</w:t>
      </w:r>
      <w:r w:rsidR="003D41C0" w:rsidRPr="006655A8">
        <w:rPr>
          <w:rFonts w:asciiTheme="minorHAnsi" w:hAnsiTheme="minorHAnsi" w:cstheme="minorHAnsi"/>
        </w:rPr>
        <w:t>.</w:t>
      </w:r>
    </w:p>
    <w:p w14:paraId="50A76774" w14:textId="69715B9C" w:rsidR="005740C8" w:rsidRDefault="005740C8" w:rsidP="005740C8">
      <w:pPr>
        <w:jc w:val="both"/>
        <w:rPr>
          <w:rFonts w:asciiTheme="minorHAnsi" w:hAnsiTheme="minorHAnsi" w:cstheme="minorHAnsi"/>
        </w:rPr>
      </w:pPr>
    </w:p>
    <w:p w14:paraId="3CD45FEA" w14:textId="77777777" w:rsidR="004E31D6" w:rsidRDefault="004E31D6" w:rsidP="005740C8">
      <w:pPr>
        <w:jc w:val="both"/>
        <w:rPr>
          <w:rFonts w:asciiTheme="minorHAnsi" w:hAnsiTheme="minorHAnsi" w:cstheme="minorHAnsi"/>
        </w:rPr>
      </w:pPr>
    </w:p>
    <w:p w14:paraId="7565013B" w14:textId="0111CDFC" w:rsidR="00264646" w:rsidRDefault="00264646" w:rsidP="003D13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55A8">
        <w:rPr>
          <w:rFonts w:asciiTheme="minorHAnsi" w:hAnsiTheme="minorHAnsi" w:cstheme="minorHAnsi"/>
          <w:b/>
          <w:sz w:val="28"/>
          <w:szCs w:val="28"/>
        </w:rPr>
        <w:t>IV. Podrobn</w:t>
      </w:r>
      <w:r w:rsidR="00F82FB5">
        <w:rPr>
          <w:rFonts w:asciiTheme="minorHAnsi" w:hAnsiTheme="minorHAnsi" w:cstheme="minorHAnsi"/>
          <w:b/>
          <w:sz w:val="28"/>
          <w:szCs w:val="28"/>
        </w:rPr>
        <w:t>osti</w:t>
      </w:r>
      <w:r w:rsidRPr="006655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82FB5">
        <w:rPr>
          <w:rFonts w:asciiTheme="minorHAnsi" w:hAnsiTheme="minorHAnsi" w:cstheme="minorHAnsi"/>
          <w:b/>
          <w:sz w:val="28"/>
          <w:szCs w:val="28"/>
        </w:rPr>
        <w:t xml:space="preserve">ke </w:t>
      </w:r>
      <w:r w:rsidR="00F82FB5" w:rsidRPr="006655A8">
        <w:rPr>
          <w:rFonts w:asciiTheme="minorHAnsi" w:hAnsiTheme="minorHAnsi" w:cstheme="minorHAnsi"/>
          <w:b/>
          <w:sz w:val="28"/>
          <w:szCs w:val="28"/>
        </w:rPr>
        <w:t>zjištěn</w:t>
      </w:r>
      <w:r w:rsidR="00F82FB5">
        <w:rPr>
          <w:rFonts w:asciiTheme="minorHAnsi" w:hAnsiTheme="minorHAnsi" w:cstheme="minorHAnsi"/>
          <w:b/>
          <w:sz w:val="28"/>
          <w:szCs w:val="28"/>
        </w:rPr>
        <w:t>ým</w:t>
      </w:r>
      <w:r w:rsidR="00F82FB5" w:rsidRPr="006655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655A8">
        <w:rPr>
          <w:rFonts w:asciiTheme="minorHAnsi" w:hAnsiTheme="minorHAnsi" w:cstheme="minorHAnsi"/>
          <w:b/>
          <w:sz w:val="28"/>
          <w:szCs w:val="28"/>
        </w:rPr>
        <w:t>skutečnost</w:t>
      </w:r>
      <w:r w:rsidR="00F82FB5">
        <w:rPr>
          <w:rFonts w:asciiTheme="minorHAnsi" w:hAnsiTheme="minorHAnsi" w:cstheme="minorHAnsi"/>
          <w:b/>
          <w:sz w:val="28"/>
          <w:szCs w:val="28"/>
        </w:rPr>
        <w:t>em</w:t>
      </w:r>
    </w:p>
    <w:p w14:paraId="33C3C10B" w14:textId="77777777" w:rsidR="00B265F1" w:rsidRDefault="00B265F1" w:rsidP="003D136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EED2ECB" w14:textId="11F20BBE" w:rsidR="00A8068D" w:rsidRPr="00A8068D" w:rsidRDefault="00264646" w:rsidP="003E5EB2">
      <w:pPr>
        <w:pStyle w:val="Nadpis1"/>
        <w:keepNext w:val="0"/>
        <w:keepLines w:val="0"/>
        <w:numPr>
          <w:ilvl w:val="0"/>
          <w:numId w:val="26"/>
        </w:numPr>
        <w:overflowPunct/>
        <w:autoSpaceDE/>
        <w:autoSpaceDN/>
        <w:adjustRightInd/>
        <w:spacing w:before="0" w:after="120"/>
        <w:jc w:val="both"/>
        <w:textAlignment w:val="auto"/>
        <w:rPr>
          <w:rFonts w:asciiTheme="minorHAnsi" w:hAnsiTheme="minorHAnsi"/>
          <w:sz w:val="24"/>
          <w:szCs w:val="24"/>
        </w:rPr>
      </w:pPr>
      <w:r w:rsidRPr="00A8068D">
        <w:rPr>
          <w:rFonts w:asciiTheme="minorHAnsi" w:hAnsiTheme="minorHAnsi"/>
          <w:sz w:val="24"/>
          <w:szCs w:val="24"/>
        </w:rPr>
        <w:t>Střednědobé koncepční materiály Policie byly v období 2</w:t>
      </w:r>
      <w:r w:rsidR="003C0503" w:rsidRPr="00A8068D">
        <w:rPr>
          <w:rFonts w:asciiTheme="minorHAnsi" w:hAnsiTheme="minorHAnsi"/>
          <w:sz w:val="24"/>
          <w:szCs w:val="24"/>
        </w:rPr>
        <w:t xml:space="preserve">015 až 2017 zpracovány, ale MV </w:t>
      </w:r>
      <w:r w:rsidR="00A50D14">
        <w:rPr>
          <w:rFonts w:asciiTheme="minorHAnsi" w:hAnsiTheme="minorHAnsi"/>
          <w:sz w:val="24"/>
          <w:szCs w:val="24"/>
        </w:rPr>
        <w:t xml:space="preserve">nezajistilo </w:t>
      </w:r>
      <w:r w:rsidRPr="00A8068D">
        <w:rPr>
          <w:rFonts w:asciiTheme="minorHAnsi" w:hAnsiTheme="minorHAnsi"/>
          <w:sz w:val="24"/>
          <w:szCs w:val="24"/>
        </w:rPr>
        <w:t>na realizaci stanovených zá</w:t>
      </w:r>
      <w:r w:rsidR="00A50D14">
        <w:rPr>
          <w:rFonts w:asciiTheme="minorHAnsi" w:hAnsiTheme="minorHAnsi"/>
          <w:sz w:val="24"/>
          <w:szCs w:val="24"/>
        </w:rPr>
        <w:t xml:space="preserve">měrů </w:t>
      </w:r>
      <w:r w:rsidRPr="00A8068D">
        <w:rPr>
          <w:rFonts w:asciiTheme="minorHAnsi" w:hAnsiTheme="minorHAnsi"/>
          <w:sz w:val="24"/>
          <w:szCs w:val="24"/>
        </w:rPr>
        <w:t>dostatek prostředků. Současná výše prostředků poskytovaných do oblasti reprodukce majetku tak omezuje rozvoj Policie</w:t>
      </w:r>
      <w:r w:rsidR="00BC753A">
        <w:rPr>
          <w:rFonts w:asciiTheme="minorHAnsi" w:hAnsiTheme="minorHAnsi"/>
          <w:sz w:val="24"/>
          <w:szCs w:val="24"/>
        </w:rPr>
        <w:t xml:space="preserve"> </w:t>
      </w:r>
      <w:r w:rsidRPr="00A8068D">
        <w:rPr>
          <w:rFonts w:asciiTheme="minorHAnsi" w:hAnsiTheme="minorHAnsi"/>
          <w:sz w:val="24"/>
          <w:szCs w:val="24"/>
        </w:rPr>
        <w:t>a</w:t>
      </w:r>
      <w:r w:rsidR="00BC753A">
        <w:rPr>
          <w:rFonts w:asciiTheme="minorHAnsi" w:hAnsiTheme="minorHAnsi"/>
          <w:sz w:val="24"/>
          <w:szCs w:val="24"/>
        </w:rPr>
        <w:t> </w:t>
      </w:r>
      <w:r w:rsidRPr="00A8068D">
        <w:rPr>
          <w:rFonts w:asciiTheme="minorHAnsi" w:hAnsiTheme="minorHAnsi"/>
          <w:sz w:val="24"/>
          <w:szCs w:val="24"/>
        </w:rPr>
        <w:t>znemožňuje rychl</w:t>
      </w:r>
      <w:r w:rsidR="00302601">
        <w:rPr>
          <w:rFonts w:asciiTheme="minorHAnsi" w:hAnsiTheme="minorHAnsi"/>
          <w:sz w:val="24"/>
          <w:szCs w:val="24"/>
        </w:rPr>
        <w:t>é</w:t>
      </w:r>
      <w:r w:rsidRPr="00A8068D">
        <w:rPr>
          <w:rFonts w:asciiTheme="minorHAnsi" w:hAnsiTheme="minorHAnsi"/>
          <w:sz w:val="24"/>
          <w:szCs w:val="24"/>
        </w:rPr>
        <w:t xml:space="preserve"> </w:t>
      </w:r>
      <w:r w:rsidR="00302601">
        <w:rPr>
          <w:rFonts w:asciiTheme="minorHAnsi" w:hAnsiTheme="minorHAnsi"/>
          <w:sz w:val="24"/>
          <w:szCs w:val="24"/>
        </w:rPr>
        <w:t>naplnění</w:t>
      </w:r>
      <w:r w:rsidRPr="00A8068D">
        <w:rPr>
          <w:rFonts w:asciiTheme="minorHAnsi" w:hAnsiTheme="minorHAnsi"/>
          <w:sz w:val="24"/>
          <w:szCs w:val="24"/>
        </w:rPr>
        <w:t xml:space="preserve"> </w:t>
      </w:r>
      <w:r w:rsidR="002616C5">
        <w:rPr>
          <w:rFonts w:asciiTheme="minorHAnsi" w:hAnsiTheme="minorHAnsi"/>
          <w:sz w:val="24"/>
          <w:szCs w:val="24"/>
        </w:rPr>
        <w:t xml:space="preserve">neuspokojených potřeb </w:t>
      </w:r>
      <w:r w:rsidRPr="00A8068D">
        <w:rPr>
          <w:rFonts w:asciiTheme="minorHAnsi" w:hAnsiTheme="minorHAnsi"/>
          <w:sz w:val="24"/>
          <w:szCs w:val="24"/>
        </w:rPr>
        <w:t>Policie</w:t>
      </w:r>
      <w:r w:rsidR="002616C5">
        <w:rPr>
          <w:rFonts w:asciiTheme="minorHAnsi" w:hAnsiTheme="minorHAnsi"/>
          <w:sz w:val="24"/>
          <w:szCs w:val="24"/>
        </w:rPr>
        <w:t xml:space="preserve"> z</w:t>
      </w:r>
      <w:r w:rsidRPr="00A8068D">
        <w:rPr>
          <w:rFonts w:asciiTheme="minorHAnsi" w:hAnsiTheme="minorHAnsi"/>
          <w:sz w:val="24"/>
          <w:szCs w:val="24"/>
        </w:rPr>
        <w:t> minulosti. Obměna a</w:t>
      </w:r>
      <w:r w:rsidR="002616C5">
        <w:rPr>
          <w:rFonts w:asciiTheme="minorHAnsi" w:hAnsiTheme="minorHAnsi"/>
          <w:sz w:val="24"/>
          <w:szCs w:val="24"/>
        </w:rPr>
        <w:t> </w:t>
      </w:r>
      <w:r w:rsidRPr="00A8068D">
        <w:rPr>
          <w:rFonts w:asciiTheme="minorHAnsi" w:hAnsiTheme="minorHAnsi"/>
          <w:sz w:val="24"/>
          <w:szCs w:val="24"/>
        </w:rPr>
        <w:t>pořízení potřebného majetku pro Policii včetně realizace významných investičních ak</w:t>
      </w:r>
      <w:bookmarkStart w:id="1" w:name="_Toc256000005"/>
      <w:bookmarkStart w:id="2" w:name="_Toc486581316"/>
      <w:bookmarkStart w:id="3" w:name="_Toc490575606"/>
      <w:bookmarkStart w:id="4" w:name="_Toc490674304"/>
      <w:r w:rsidR="005274EB">
        <w:rPr>
          <w:rFonts w:asciiTheme="minorHAnsi" w:hAnsiTheme="minorHAnsi"/>
          <w:sz w:val="24"/>
          <w:szCs w:val="24"/>
        </w:rPr>
        <w:t>cí j</w:t>
      </w:r>
      <w:r w:rsidR="00164EA0">
        <w:rPr>
          <w:rFonts w:asciiTheme="minorHAnsi" w:hAnsiTheme="minorHAnsi"/>
          <w:sz w:val="24"/>
          <w:szCs w:val="24"/>
        </w:rPr>
        <w:t>sou</w:t>
      </w:r>
      <w:r w:rsidR="005274EB">
        <w:rPr>
          <w:rFonts w:asciiTheme="minorHAnsi" w:hAnsiTheme="minorHAnsi"/>
          <w:sz w:val="24"/>
          <w:szCs w:val="24"/>
        </w:rPr>
        <w:t xml:space="preserve"> odkládán</w:t>
      </w:r>
      <w:r w:rsidR="00164EA0">
        <w:rPr>
          <w:rFonts w:asciiTheme="minorHAnsi" w:hAnsiTheme="minorHAnsi"/>
          <w:sz w:val="24"/>
          <w:szCs w:val="24"/>
        </w:rPr>
        <w:t>y</w:t>
      </w:r>
      <w:r w:rsidR="005274EB">
        <w:rPr>
          <w:rFonts w:asciiTheme="minorHAnsi" w:hAnsiTheme="minorHAnsi"/>
          <w:sz w:val="24"/>
          <w:szCs w:val="24"/>
        </w:rPr>
        <w:t xml:space="preserve"> do dalších let </w:t>
      </w:r>
      <w:r w:rsidR="005274EB" w:rsidRPr="005274EB">
        <w:rPr>
          <w:rFonts w:asciiTheme="minorHAnsi" w:hAnsiTheme="minorHAnsi"/>
          <w:sz w:val="24"/>
          <w:szCs w:val="24"/>
        </w:rPr>
        <w:t xml:space="preserve">(např. </w:t>
      </w:r>
      <w:r w:rsidR="00B27900">
        <w:rPr>
          <w:rFonts w:asciiTheme="minorHAnsi" w:hAnsiTheme="minorHAnsi"/>
          <w:sz w:val="24"/>
          <w:szCs w:val="24"/>
        </w:rPr>
        <w:t>nákup</w:t>
      </w:r>
      <w:r w:rsidR="005274EB" w:rsidRPr="005274EB">
        <w:rPr>
          <w:rFonts w:asciiTheme="minorHAnsi" w:hAnsiTheme="minorHAnsi"/>
          <w:sz w:val="24"/>
          <w:szCs w:val="24"/>
        </w:rPr>
        <w:t xml:space="preserve"> velkokapacitních vrtulníků)</w:t>
      </w:r>
      <w:r w:rsidR="005274EB">
        <w:rPr>
          <w:rFonts w:asciiTheme="minorHAnsi" w:hAnsiTheme="minorHAnsi"/>
          <w:sz w:val="24"/>
          <w:szCs w:val="24"/>
        </w:rPr>
        <w:t>.</w:t>
      </w:r>
    </w:p>
    <w:p w14:paraId="2C28ED0D" w14:textId="0E089297" w:rsidR="0037641D" w:rsidRPr="00FF30D1" w:rsidRDefault="0018148A" w:rsidP="0037641D">
      <w:pPr>
        <w:pStyle w:val="l3"/>
        <w:spacing w:before="0" w:beforeAutospacing="0" w:after="120" w:afterAutospacing="0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MV má</w:t>
      </w:r>
      <w:r w:rsidR="00CC4E25" w:rsidRPr="006655A8">
        <w:rPr>
          <w:rFonts w:asciiTheme="minorHAnsi" w:hAnsiTheme="minorHAnsi" w:cstheme="minorHAnsi"/>
        </w:rPr>
        <w:t xml:space="preserve"> zpracovávat koncepce rozvoje svěřených odvětví a řešení stěžejních otázek</w:t>
      </w:r>
      <w:r w:rsidR="00164EA0">
        <w:rPr>
          <w:rFonts w:asciiTheme="minorHAnsi" w:hAnsiTheme="minorHAnsi" w:cstheme="minorHAnsi"/>
        </w:rPr>
        <w:t>.</w:t>
      </w:r>
      <w:r w:rsidR="00E43543">
        <w:rPr>
          <w:rStyle w:val="Znakapoznpodarou"/>
          <w:rFonts w:asciiTheme="minorHAnsi" w:hAnsiTheme="minorHAnsi" w:cstheme="minorHAnsi"/>
        </w:rPr>
        <w:footnoteReference w:id="9"/>
      </w:r>
      <w:r w:rsidR="00CC4E25" w:rsidRPr="006655A8">
        <w:rPr>
          <w:rFonts w:asciiTheme="minorHAnsi" w:hAnsiTheme="minorHAnsi" w:cstheme="minorHAnsi"/>
        </w:rPr>
        <w:t xml:space="preserve"> </w:t>
      </w:r>
      <w:r w:rsidR="00800351" w:rsidRPr="00800351">
        <w:rPr>
          <w:rFonts w:asciiTheme="minorHAnsi" w:hAnsiTheme="minorHAnsi" w:cstheme="minorHAnsi"/>
        </w:rPr>
        <w:t>Policie</w:t>
      </w:r>
      <w:r w:rsidR="00CC4E25" w:rsidRPr="006655A8">
        <w:rPr>
          <w:rFonts w:asciiTheme="minorHAnsi" w:hAnsiTheme="minorHAnsi" w:cstheme="minorHAnsi"/>
        </w:rPr>
        <w:t xml:space="preserve"> je podřízena MV, které m</w:t>
      </w:r>
      <w:r w:rsidR="006655A8" w:rsidRPr="006655A8">
        <w:rPr>
          <w:rFonts w:asciiTheme="minorHAnsi" w:hAnsiTheme="minorHAnsi" w:cstheme="minorHAnsi"/>
        </w:rPr>
        <w:t>á</w:t>
      </w:r>
      <w:r w:rsidR="00CC4E25" w:rsidRPr="006655A8">
        <w:rPr>
          <w:rFonts w:asciiTheme="minorHAnsi" w:hAnsiTheme="minorHAnsi" w:cstheme="minorHAnsi"/>
        </w:rPr>
        <w:t xml:space="preserve"> vytvářet podmínky pro plnění jej</w:t>
      </w:r>
      <w:r w:rsidR="00164EA0">
        <w:rPr>
          <w:rFonts w:asciiTheme="minorHAnsi" w:hAnsiTheme="minorHAnsi" w:cstheme="minorHAnsi"/>
        </w:rPr>
        <w:t>í</w:t>
      </w:r>
      <w:r w:rsidR="00CC4E25" w:rsidRPr="006655A8">
        <w:rPr>
          <w:rFonts w:asciiTheme="minorHAnsi" w:hAnsiTheme="minorHAnsi" w:cstheme="minorHAnsi"/>
        </w:rPr>
        <w:t xml:space="preserve">ch </w:t>
      </w:r>
      <w:proofErr w:type="gramStart"/>
      <w:r w:rsidR="00CC4E25" w:rsidRPr="006655A8">
        <w:rPr>
          <w:rFonts w:asciiTheme="minorHAnsi" w:hAnsiTheme="minorHAnsi" w:cstheme="minorHAnsi"/>
        </w:rPr>
        <w:t>úkolů</w:t>
      </w:r>
      <w:r w:rsidR="00164EA0">
        <w:rPr>
          <w:rFonts w:asciiTheme="minorHAnsi" w:hAnsiTheme="minorHAnsi" w:cstheme="minorHAnsi"/>
        </w:rPr>
        <w:t>.</w:t>
      </w:r>
      <w:r w:rsidR="00D0420A">
        <w:rPr>
          <w:rFonts w:asciiTheme="minorHAnsi" w:hAnsiTheme="minorHAnsi" w:cstheme="minorHAnsi"/>
          <w:vertAlign w:val="superscript"/>
        </w:rPr>
        <w:t>2</w:t>
      </w:r>
      <w:r w:rsidR="00CC4E25" w:rsidRPr="006655A8">
        <w:rPr>
          <w:rFonts w:asciiTheme="minorHAnsi" w:hAnsiTheme="minorHAnsi" w:cstheme="minorHAnsi"/>
        </w:rPr>
        <w:t xml:space="preserve"> </w:t>
      </w:r>
      <w:r w:rsidR="0037641D">
        <w:rPr>
          <w:rFonts w:asciiTheme="minorHAnsi" w:hAnsiTheme="minorHAnsi" w:cstheme="minorHAnsi"/>
        </w:rPr>
        <w:t>NKÚ</w:t>
      </w:r>
      <w:proofErr w:type="gramEnd"/>
      <w:r w:rsidR="0037641D">
        <w:rPr>
          <w:rFonts w:asciiTheme="minorHAnsi" w:hAnsiTheme="minorHAnsi" w:cstheme="minorHAnsi"/>
        </w:rPr>
        <w:t xml:space="preserve"> v</w:t>
      </w:r>
      <w:r w:rsidR="0037641D">
        <w:rPr>
          <w:rFonts w:asciiTheme="minorHAnsi" w:hAnsiTheme="minorHAnsi"/>
        </w:rPr>
        <w:t> rámci kontrolní akce</w:t>
      </w:r>
      <w:r w:rsidR="003B40E2" w:rsidRPr="006655A8">
        <w:rPr>
          <w:rFonts w:asciiTheme="minorHAnsi" w:hAnsiTheme="minorHAnsi"/>
        </w:rPr>
        <w:t xml:space="preserve"> č. 11/12 mj. </w:t>
      </w:r>
      <w:r w:rsidR="0037641D">
        <w:rPr>
          <w:rFonts w:asciiTheme="minorHAnsi" w:hAnsiTheme="minorHAnsi"/>
        </w:rPr>
        <w:t>zjistil,</w:t>
      </w:r>
      <w:r w:rsidR="003B40E2" w:rsidRPr="003B40E2">
        <w:rPr>
          <w:rFonts w:asciiTheme="minorHAnsi" w:hAnsiTheme="minorHAnsi"/>
        </w:rPr>
        <w:t xml:space="preserve"> že MV nemá dlouhodobé koncepce, kterými by byly stanoveny materiální potřeby </w:t>
      </w:r>
      <w:r w:rsidR="00800351" w:rsidRPr="00800351">
        <w:rPr>
          <w:rFonts w:asciiTheme="minorHAnsi" w:hAnsiTheme="minorHAnsi" w:cstheme="minorHAnsi"/>
        </w:rPr>
        <w:t>Policie</w:t>
      </w:r>
      <w:r w:rsidR="003B40E2" w:rsidRPr="003B40E2">
        <w:rPr>
          <w:rFonts w:asciiTheme="minorHAnsi" w:hAnsiTheme="minorHAnsi"/>
        </w:rPr>
        <w:t>.</w:t>
      </w:r>
      <w:bookmarkEnd w:id="1"/>
      <w:bookmarkEnd w:id="2"/>
      <w:bookmarkEnd w:id="3"/>
      <w:bookmarkEnd w:id="4"/>
      <w:r w:rsidR="003B40E2">
        <w:rPr>
          <w:rFonts w:asciiTheme="minorHAnsi" w:hAnsiTheme="minorHAnsi"/>
        </w:rPr>
        <w:t xml:space="preserve"> </w:t>
      </w:r>
      <w:r w:rsidR="0037641D">
        <w:rPr>
          <w:rFonts w:asciiTheme="minorHAnsi" w:hAnsiTheme="minorHAnsi"/>
        </w:rPr>
        <w:t xml:space="preserve">Data a informace v koncepčních dokumentech </w:t>
      </w:r>
      <w:r w:rsidR="00DB1749">
        <w:rPr>
          <w:rFonts w:asciiTheme="minorHAnsi" w:hAnsiTheme="minorHAnsi"/>
        </w:rPr>
        <w:t xml:space="preserve">jsou </w:t>
      </w:r>
      <w:r w:rsidR="00823A23">
        <w:rPr>
          <w:rFonts w:asciiTheme="minorHAnsi" w:hAnsiTheme="minorHAnsi"/>
        </w:rPr>
        <w:t>přitom</w:t>
      </w:r>
      <w:r>
        <w:rPr>
          <w:rFonts w:asciiTheme="minorHAnsi" w:hAnsiTheme="minorHAnsi"/>
        </w:rPr>
        <w:t xml:space="preserve"> </w:t>
      </w:r>
      <w:r w:rsidR="00DB1749">
        <w:rPr>
          <w:rFonts w:asciiTheme="minorHAnsi" w:hAnsiTheme="minorHAnsi"/>
        </w:rPr>
        <w:t>předpokladem</w:t>
      </w:r>
      <w:r w:rsidR="0037641D" w:rsidRPr="00A76BB1">
        <w:rPr>
          <w:rFonts w:asciiTheme="minorHAnsi" w:hAnsiTheme="minorHAnsi"/>
        </w:rPr>
        <w:t xml:space="preserve"> </w:t>
      </w:r>
      <w:r w:rsidR="0037641D">
        <w:rPr>
          <w:rFonts w:asciiTheme="minorHAnsi" w:hAnsiTheme="minorHAnsi"/>
        </w:rPr>
        <w:t xml:space="preserve">pro zpracování </w:t>
      </w:r>
      <w:r w:rsidR="00E2444F">
        <w:rPr>
          <w:rFonts w:asciiTheme="minorHAnsi" w:hAnsiTheme="minorHAnsi"/>
        </w:rPr>
        <w:t>dokumentací programů</w:t>
      </w:r>
      <w:r w:rsidR="0037641D">
        <w:rPr>
          <w:rFonts w:asciiTheme="minorHAnsi" w:hAnsiTheme="minorHAnsi"/>
        </w:rPr>
        <w:t xml:space="preserve"> </w:t>
      </w:r>
      <w:r w:rsidR="0037641D" w:rsidRPr="00FF30D1">
        <w:rPr>
          <w:rFonts w:asciiTheme="minorHAnsi" w:hAnsiTheme="minorHAnsi"/>
        </w:rPr>
        <w:t>rozvoje a obnov</w:t>
      </w:r>
      <w:r w:rsidR="0037641D">
        <w:rPr>
          <w:rFonts w:asciiTheme="minorHAnsi" w:hAnsiTheme="minorHAnsi"/>
        </w:rPr>
        <w:t>y</w:t>
      </w:r>
      <w:r w:rsidR="0037641D" w:rsidRPr="00FF30D1">
        <w:rPr>
          <w:rFonts w:asciiTheme="minorHAnsi" w:hAnsiTheme="minorHAnsi"/>
        </w:rPr>
        <w:t xml:space="preserve"> materiálně technické základny </w:t>
      </w:r>
      <w:r w:rsidR="00800351" w:rsidRPr="00800351">
        <w:rPr>
          <w:rFonts w:asciiTheme="minorHAnsi" w:hAnsiTheme="minorHAnsi" w:cstheme="minorHAnsi"/>
        </w:rPr>
        <w:t>Policie</w:t>
      </w:r>
      <w:r w:rsidR="0037641D">
        <w:rPr>
          <w:rFonts w:asciiTheme="minorHAnsi" w:hAnsiTheme="minorHAnsi"/>
        </w:rPr>
        <w:t>.</w:t>
      </w:r>
    </w:p>
    <w:p w14:paraId="391AD441" w14:textId="5009F8CE" w:rsidR="00E34EC0" w:rsidRDefault="00A15B43" w:rsidP="002D3136">
      <w:pPr>
        <w:pStyle w:val="l3"/>
        <w:spacing w:before="0" w:beforeAutospacing="0" w:after="120" w:afterAutospacing="0"/>
        <w:jc w:val="both"/>
        <w:rPr>
          <w:rFonts w:asciiTheme="minorHAnsi" w:hAnsiTheme="minorHAnsi"/>
        </w:rPr>
      </w:pPr>
      <w:r w:rsidRPr="003B40E2">
        <w:rPr>
          <w:rFonts w:asciiTheme="minorHAnsi" w:hAnsiTheme="minorHAnsi"/>
        </w:rPr>
        <w:t>MV</w:t>
      </w:r>
      <w:r w:rsidR="003C0503">
        <w:rPr>
          <w:rFonts w:asciiTheme="minorHAnsi" w:hAnsiTheme="minorHAnsi"/>
        </w:rPr>
        <w:t xml:space="preserve"> </w:t>
      </w:r>
      <w:r w:rsidRPr="003B40E2">
        <w:rPr>
          <w:rFonts w:asciiTheme="minorHAnsi" w:hAnsiTheme="minorHAnsi"/>
        </w:rPr>
        <w:t xml:space="preserve">zpracovalo v roce 2015 materiál </w:t>
      </w:r>
      <w:r w:rsidRPr="00CC4E25">
        <w:rPr>
          <w:rFonts w:asciiTheme="minorHAnsi" w:hAnsiTheme="minorHAnsi"/>
          <w:i/>
        </w:rPr>
        <w:t xml:space="preserve">Analýza stavu movitého </w:t>
      </w:r>
      <w:r w:rsidR="003B40E2" w:rsidRPr="00CC4E25">
        <w:rPr>
          <w:rFonts w:asciiTheme="minorHAnsi" w:hAnsiTheme="minorHAnsi"/>
          <w:i/>
        </w:rPr>
        <w:t>a nemovitého majetku Policie ČR</w:t>
      </w:r>
      <w:r w:rsidR="00CC4E25">
        <w:rPr>
          <w:rFonts w:asciiTheme="minorHAnsi" w:hAnsiTheme="minorHAnsi"/>
          <w:i/>
        </w:rPr>
        <w:t xml:space="preserve"> </w:t>
      </w:r>
      <w:r w:rsidR="00CC4E25" w:rsidRPr="00A15B43">
        <w:rPr>
          <w:rFonts w:asciiTheme="minorHAnsi" w:hAnsiTheme="minorHAnsi"/>
        </w:rPr>
        <w:t xml:space="preserve">(dále </w:t>
      </w:r>
      <w:r w:rsidR="00B36392">
        <w:rPr>
          <w:rFonts w:asciiTheme="minorHAnsi" w:hAnsiTheme="minorHAnsi"/>
        </w:rPr>
        <w:t>jen</w:t>
      </w:r>
      <w:r w:rsidR="00CC4E25" w:rsidRPr="00A15B43">
        <w:rPr>
          <w:rFonts w:asciiTheme="minorHAnsi" w:hAnsiTheme="minorHAnsi"/>
        </w:rPr>
        <w:t xml:space="preserve"> „Analýza“)</w:t>
      </w:r>
      <w:r w:rsidR="00D0420A">
        <w:rPr>
          <w:rFonts w:asciiTheme="minorHAnsi" w:hAnsiTheme="minorHAnsi"/>
        </w:rPr>
        <w:t>. V</w:t>
      </w:r>
      <w:r w:rsidR="005025BA">
        <w:rPr>
          <w:rFonts w:asciiTheme="minorHAnsi" w:hAnsiTheme="minorHAnsi"/>
        </w:rPr>
        <w:t> červnu roku</w:t>
      </w:r>
      <w:r w:rsidRPr="003B40E2">
        <w:rPr>
          <w:rFonts w:asciiTheme="minorHAnsi" w:hAnsiTheme="minorHAnsi"/>
        </w:rPr>
        <w:t xml:space="preserve"> 2017 byla vládou ČR schválena </w:t>
      </w:r>
      <w:r w:rsidRPr="00CC4E25">
        <w:rPr>
          <w:rFonts w:asciiTheme="minorHAnsi" w:hAnsiTheme="minorHAnsi"/>
          <w:i/>
        </w:rPr>
        <w:t>Koncepce rozvoje Policie ČR do roku 2020</w:t>
      </w:r>
      <w:r w:rsidR="00CC4E25">
        <w:rPr>
          <w:rFonts w:asciiTheme="minorHAnsi" w:hAnsiTheme="minorHAnsi"/>
          <w:i/>
        </w:rPr>
        <w:t xml:space="preserve"> </w:t>
      </w:r>
      <w:r w:rsidR="00CC4E25" w:rsidRPr="00A15B43">
        <w:rPr>
          <w:rFonts w:asciiTheme="minorHAnsi" w:hAnsiTheme="minorHAnsi"/>
        </w:rPr>
        <w:t>(dále jen „Koncepce“)</w:t>
      </w:r>
      <w:r w:rsidRPr="003B40E2">
        <w:rPr>
          <w:rFonts w:asciiTheme="minorHAnsi" w:hAnsiTheme="minorHAnsi"/>
        </w:rPr>
        <w:t>.</w:t>
      </w:r>
      <w:r w:rsidR="00E43543">
        <w:rPr>
          <w:rFonts w:asciiTheme="minorHAnsi" w:hAnsiTheme="minorHAnsi"/>
        </w:rPr>
        <w:t xml:space="preserve"> </w:t>
      </w:r>
      <w:r w:rsidR="00CC4E25" w:rsidRPr="006655A8">
        <w:rPr>
          <w:rFonts w:asciiTheme="minorHAnsi" w:hAnsiTheme="minorHAnsi"/>
        </w:rPr>
        <w:t>Analýza</w:t>
      </w:r>
      <w:r w:rsidRPr="006655A8">
        <w:rPr>
          <w:rFonts w:asciiTheme="minorHAnsi" w:hAnsiTheme="minorHAnsi"/>
          <w:i/>
        </w:rPr>
        <w:t xml:space="preserve"> </w:t>
      </w:r>
      <w:r w:rsidRPr="006655A8">
        <w:rPr>
          <w:rFonts w:asciiTheme="minorHAnsi" w:hAnsiTheme="minorHAnsi"/>
        </w:rPr>
        <w:t>je prvním dokumentem svého druhu, který byl v </w:t>
      </w:r>
      <w:r w:rsidR="00800351">
        <w:rPr>
          <w:rFonts w:asciiTheme="minorHAnsi" w:hAnsiTheme="minorHAnsi" w:cstheme="minorHAnsi"/>
        </w:rPr>
        <w:t>Policii</w:t>
      </w:r>
      <w:r w:rsidRPr="006655A8">
        <w:rPr>
          <w:rFonts w:asciiTheme="minorHAnsi" w:hAnsiTheme="minorHAnsi"/>
        </w:rPr>
        <w:t xml:space="preserve"> zpracován. </w:t>
      </w:r>
      <w:r w:rsidR="0016112D">
        <w:rPr>
          <w:rFonts w:asciiTheme="minorHAnsi" w:hAnsiTheme="minorHAnsi"/>
        </w:rPr>
        <w:t>V roce 2015 Policie odhadovala, že k dosažení</w:t>
      </w:r>
      <w:r w:rsidRPr="006655A8">
        <w:rPr>
          <w:rFonts w:asciiTheme="minorHAnsi" w:hAnsiTheme="minorHAnsi"/>
        </w:rPr>
        <w:t xml:space="preserve"> optimálního stavu vybavení </w:t>
      </w:r>
      <w:r w:rsidR="003B40E2" w:rsidRPr="006655A8">
        <w:rPr>
          <w:rFonts w:asciiTheme="minorHAnsi" w:hAnsiTheme="minorHAnsi"/>
        </w:rPr>
        <w:t>musí</w:t>
      </w:r>
      <w:r w:rsidRPr="006655A8">
        <w:rPr>
          <w:rFonts w:asciiTheme="minorHAnsi" w:hAnsiTheme="minorHAnsi"/>
        </w:rPr>
        <w:t xml:space="preserve"> </w:t>
      </w:r>
      <w:r w:rsidR="0016112D">
        <w:rPr>
          <w:rFonts w:asciiTheme="minorHAnsi" w:hAnsiTheme="minorHAnsi"/>
        </w:rPr>
        <w:t>na léta</w:t>
      </w:r>
      <w:r w:rsidR="00B36392">
        <w:rPr>
          <w:rFonts w:asciiTheme="minorHAnsi" w:hAnsiTheme="minorHAnsi"/>
        </w:rPr>
        <w:t xml:space="preserve"> </w:t>
      </w:r>
      <w:r w:rsidRPr="006655A8">
        <w:rPr>
          <w:rFonts w:asciiTheme="minorHAnsi" w:hAnsiTheme="minorHAnsi"/>
        </w:rPr>
        <w:t xml:space="preserve">2016 až 2020 </w:t>
      </w:r>
      <w:r w:rsidR="005532C1">
        <w:rPr>
          <w:rFonts w:asciiTheme="minorHAnsi" w:hAnsiTheme="minorHAnsi"/>
        </w:rPr>
        <w:t>požadovat</w:t>
      </w:r>
      <w:r w:rsidR="003B40E2" w:rsidRPr="006655A8">
        <w:rPr>
          <w:rFonts w:asciiTheme="minorHAnsi" w:hAnsiTheme="minorHAnsi"/>
        </w:rPr>
        <w:t xml:space="preserve"> </w:t>
      </w:r>
      <w:r w:rsidR="005532C1">
        <w:rPr>
          <w:rFonts w:asciiTheme="minorHAnsi" w:hAnsiTheme="minorHAnsi"/>
        </w:rPr>
        <w:t xml:space="preserve">ze státního rozpočtu </w:t>
      </w:r>
      <w:r w:rsidR="0016112D">
        <w:rPr>
          <w:rFonts w:asciiTheme="minorHAnsi" w:hAnsiTheme="minorHAnsi"/>
        </w:rPr>
        <w:t xml:space="preserve">prostředky </w:t>
      </w:r>
      <w:r w:rsidR="00A76BB1" w:rsidRPr="006655A8">
        <w:rPr>
          <w:rFonts w:asciiTheme="minorHAnsi" w:hAnsiTheme="minorHAnsi"/>
        </w:rPr>
        <w:t>v</w:t>
      </w:r>
      <w:r w:rsidR="002003AA">
        <w:rPr>
          <w:rFonts w:asciiTheme="minorHAnsi" w:hAnsiTheme="minorHAnsi"/>
        </w:rPr>
        <w:t> </w:t>
      </w:r>
      <w:r w:rsidR="003B40E2" w:rsidRPr="006655A8">
        <w:rPr>
          <w:rFonts w:asciiTheme="minorHAnsi" w:hAnsiTheme="minorHAnsi"/>
        </w:rPr>
        <w:t>celkové výši 20,</w:t>
      </w:r>
      <w:r w:rsidRPr="006655A8">
        <w:rPr>
          <w:rFonts w:asciiTheme="minorHAnsi" w:hAnsiTheme="minorHAnsi"/>
        </w:rPr>
        <w:t>6</w:t>
      </w:r>
      <w:r w:rsidR="00FD705A">
        <w:rPr>
          <w:rFonts w:asciiTheme="minorHAnsi" w:hAnsiTheme="minorHAnsi"/>
        </w:rPr>
        <w:t> </w:t>
      </w:r>
      <w:r w:rsidRPr="006655A8">
        <w:rPr>
          <w:rFonts w:asciiTheme="minorHAnsi" w:hAnsiTheme="minorHAnsi"/>
        </w:rPr>
        <w:t>mld.</w:t>
      </w:r>
      <w:r w:rsidR="00FD705A">
        <w:rPr>
          <w:rFonts w:asciiTheme="minorHAnsi" w:hAnsiTheme="minorHAnsi"/>
        </w:rPr>
        <w:t> </w:t>
      </w:r>
      <w:r w:rsidRPr="006655A8">
        <w:rPr>
          <w:rFonts w:asciiTheme="minorHAnsi" w:hAnsiTheme="minorHAnsi"/>
        </w:rPr>
        <w:t>Kč</w:t>
      </w:r>
      <w:r w:rsidR="00E34EC0" w:rsidRPr="006655A8">
        <w:rPr>
          <w:rFonts w:asciiTheme="minorHAnsi" w:hAnsiTheme="minorHAnsi"/>
        </w:rPr>
        <w:t xml:space="preserve"> (z toho </w:t>
      </w:r>
      <w:r w:rsidR="00066240" w:rsidRPr="006655A8">
        <w:rPr>
          <w:rFonts w:asciiTheme="minorHAnsi" w:hAnsiTheme="minorHAnsi"/>
        </w:rPr>
        <w:t xml:space="preserve">investiční </w:t>
      </w:r>
      <w:r w:rsidR="00E34EC0" w:rsidRPr="006655A8">
        <w:rPr>
          <w:rFonts w:asciiTheme="minorHAnsi" w:hAnsiTheme="minorHAnsi"/>
        </w:rPr>
        <w:t xml:space="preserve">výdaje </w:t>
      </w:r>
      <w:r w:rsidR="00164EA0">
        <w:rPr>
          <w:rFonts w:asciiTheme="minorHAnsi" w:hAnsiTheme="minorHAnsi"/>
        </w:rPr>
        <w:t>by měly činit</w:t>
      </w:r>
      <w:r w:rsidR="00E34EC0" w:rsidRPr="006655A8">
        <w:rPr>
          <w:rFonts w:asciiTheme="minorHAnsi" w:hAnsiTheme="minorHAnsi"/>
        </w:rPr>
        <w:t xml:space="preserve"> 16,4 mld. Kč)</w:t>
      </w:r>
      <w:r w:rsidRPr="006655A8">
        <w:rPr>
          <w:rFonts w:asciiTheme="minorHAnsi" w:hAnsiTheme="minorHAnsi"/>
        </w:rPr>
        <w:t xml:space="preserve">. Suma zahrnuje jak kumulovaný vnitřní dluh, který byl způsoben restrikcí rozpočtu </w:t>
      </w:r>
      <w:r w:rsidR="00800351" w:rsidRPr="00800351">
        <w:rPr>
          <w:rFonts w:asciiTheme="minorHAnsi" w:hAnsiTheme="minorHAnsi" w:cstheme="minorHAnsi"/>
        </w:rPr>
        <w:t>Policie</w:t>
      </w:r>
      <w:r w:rsidRPr="006655A8">
        <w:rPr>
          <w:rFonts w:asciiTheme="minorHAnsi" w:hAnsiTheme="minorHAnsi"/>
        </w:rPr>
        <w:t xml:space="preserve"> v </w:t>
      </w:r>
      <w:r w:rsidR="003B40E2" w:rsidRPr="006655A8">
        <w:rPr>
          <w:rFonts w:asciiTheme="minorHAnsi" w:hAnsiTheme="minorHAnsi"/>
        </w:rPr>
        <w:t>minulých</w:t>
      </w:r>
      <w:r w:rsidRPr="006655A8">
        <w:rPr>
          <w:rFonts w:asciiTheme="minorHAnsi" w:hAnsiTheme="minorHAnsi"/>
        </w:rPr>
        <w:t xml:space="preserve"> letech, tak objem prostředků potřebných na obměnu, údržbu a pořízení majetku. </w:t>
      </w:r>
      <w:r w:rsidR="00E34EC0" w:rsidRPr="006655A8">
        <w:rPr>
          <w:rFonts w:asciiTheme="minorHAnsi" w:hAnsiTheme="minorHAnsi"/>
        </w:rPr>
        <w:t xml:space="preserve">V návaznosti na výsledky Analýzy </w:t>
      </w:r>
      <w:r w:rsidR="008171B5" w:rsidRPr="006655A8">
        <w:rPr>
          <w:rFonts w:asciiTheme="minorHAnsi" w:hAnsiTheme="minorHAnsi"/>
        </w:rPr>
        <w:t>z</w:t>
      </w:r>
      <w:r w:rsidR="006276D8" w:rsidRPr="006655A8">
        <w:rPr>
          <w:rFonts w:asciiTheme="minorHAnsi" w:hAnsiTheme="minorHAnsi"/>
        </w:rPr>
        <w:t>pracovalo</w:t>
      </w:r>
      <w:r w:rsidR="00E34EC0" w:rsidRPr="006655A8">
        <w:rPr>
          <w:rFonts w:asciiTheme="minorHAnsi" w:hAnsiTheme="minorHAnsi"/>
        </w:rPr>
        <w:t xml:space="preserve"> MV</w:t>
      </w:r>
      <w:r w:rsidR="00BB7853" w:rsidRPr="006655A8">
        <w:rPr>
          <w:rFonts w:asciiTheme="minorHAnsi" w:hAnsiTheme="minorHAnsi"/>
        </w:rPr>
        <w:t xml:space="preserve"> </w:t>
      </w:r>
      <w:r w:rsidR="00E34EC0" w:rsidRPr="006655A8">
        <w:rPr>
          <w:rFonts w:asciiTheme="minorHAnsi" w:hAnsiTheme="minorHAnsi"/>
        </w:rPr>
        <w:t>v roce 2015 dle jednotlivých druhů majetku</w:t>
      </w:r>
      <w:r w:rsidR="00A76BB1" w:rsidRPr="006655A8">
        <w:rPr>
          <w:rFonts w:asciiTheme="minorHAnsi" w:hAnsiTheme="minorHAnsi"/>
        </w:rPr>
        <w:t xml:space="preserve"> </w:t>
      </w:r>
      <w:r w:rsidR="00E34EC0" w:rsidRPr="006655A8">
        <w:rPr>
          <w:rFonts w:asciiTheme="minorHAnsi" w:hAnsiTheme="minorHAnsi"/>
        </w:rPr>
        <w:t xml:space="preserve">(ICT, </w:t>
      </w:r>
      <w:r w:rsidR="00A76BB1" w:rsidRPr="006655A8">
        <w:rPr>
          <w:rFonts w:asciiTheme="minorHAnsi" w:hAnsiTheme="minorHAnsi"/>
        </w:rPr>
        <w:t xml:space="preserve">nemovitý </w:t>
      </w:r>
      <w:r w:rsidR="00E34EC0" w:rsidRPr="006655A8">
        <w:rPr>
          <w:rFonts w:asciiTheme="minorHAnsi" w:hAnsiTheme="minorHAnsi"/>
        </w:rPr>
        <w:t>a</w:t>
      </w:r>
      <w:r w:rsidR="00FD705A">
        <w:rPr>
          <w:rFonts w:asciiTheme="minorHAnsi" w:hAnsiTheme="minorHAnsi"/>
        </w:rPr>
        <w:t> </w:t>
      </w:r>
      <w:r w:rsidR="00A76BB1" w:rsidRPr="006655A8">
        <w:rPr>
          <w:rFonts w:asciiTheme="minorHAnsi" w:hAnsiTheme="minorHAnsi"/>
        </w:rPr>
        <w:t xml:space="preserve">movitý majetek </w:t>
      </w:r>
      <w:r w:rsidR="00E34EC0" w:rsidRPr="006655A8">
        <w:rPr>
          <w:rFonts w:asciiTheme="minorHAnsi" w:hAnsiTheme="minorHAnsi"/>
        </w:rPr>
        <w:t>a</w:t>
      </w:r>
      <w:r w:rsidR="00D264F4">
        <w:rPr>
          <w:rFonts w:asciiTheme="minorHAnsi" w:hAnsiTheme="minorHAnsi"/>
        </w:rPr>
        <w:t> </w:t>
      </w:r>
      <w:r w:rsidR="00B87CAF">
        <w:rPr>
          <w:rFonts w:ascii="Calibri" w:hAnsi="Calibri" w:cs="Calibri"/>
        </w:rPr>
        <w:t>služební dopravní prostředky</w:t>
      </w:r>
      <w:r w:rsidR="00E34EC0" w:rsidRPr="006655A8">
        <w:rPr>
          <w:rFonts w:asciiTheme="minorHAnsi" w:hAnsiTheme="minorHAnsi"/>
        </w:rPr>
        <w:t xml:space="preserve">) čtyři </w:t>
      </w:r>
      <w:r w:rsidR="00E2444F">
        <w:rPr>
          <w:rFonts w:asciiTheme="minorHAnsi" w:hAnsiTheme="minorHAnsi"/>
        </w:rPr>
        <w:t xml:space="preserve">dokumentace </w:t>
      </w:r>
      <w:r w:rsidR="00164EA0">
        <w:rPr>
          <w:rFonts w:asciiTheme="minorHAnsi" w:hAnsiTheme="minorHAnsi"/>
        </w:rPr>
        <w:t xml:space="preserve">k </w:t>
      </w:r>
      <w:r w:rsidR="00E2444F">
        <w:rPr>
          <w:rFonts w:asciiTheme="minorHAnsi" w:hAnsiTheme="minorHAnsi"/>
        </w:rPr>
        <w:t>program</w:t>
      </w:r>
      <w:r w:rsidR="00164EA0">
        <w:rPr>
          <w:rFonts w:asciiTheme="minorHAnsi" w:hAnsiTheme="minorHAnsi"/>
        </w:rPr>
        <w:t>ům</w:t>
      </w:r>
      <w:r w:rsidR="008171B5" w:rsidRPr="006655A8">
        <w:rPr>
          <w:rFonts w:asciiTheme="minorHAnsi" w:hAnsiTheme="minorHAnsi"/>
        </w:rPr>
        <w:t xml:space="preserve"> </w:t>
      </w:r>
      <w:r w:rsidR="00066240" w:rsidRPr="006655A8">
        <w:rPr>
          <w:rFonts w:asciiTheme="minorHAnsi" w:hAnsiTheme="minorHAnsi"/>
        </w:rPr>
        <w:t>014 110, 014 120, 014 130 a</w:t>
      </w:r>
      <w:r w:rsidR="002003AA">
        <w:rPr>
          <w:rFonts w:asciiTheme="minorHAnsi" w:hAnsiTheme="minorHAnsi"/>
        </w:rPr>
        <w:t> </w:t>
      </w:r>
      <w:r w:rsidR="00066240" w:rsidRPr="006655A8">
        <w:rPr>
          <w:rFonts w:asciiTheme="minorHAnsi" w:hAnsiTheme="minorHAnsi"/>
        </w:rPr>
        <w:t>014 140</w:t>
      </w:r>
      <w:r w:rsidR="00E34EC0" w:rsidRPr="006655A8">
        <w:rPr>
          <w:rFonts w:asciiTheme="minorHAnsi" w:hAnsiTheme="minorHAnsi"/>
        </w:rPr>
        <w:t xml:space="preserve">, které mají v období </w:t>
      </w:r>
      <w:r w:rsidR="00B36392">
        <w:rPr>
          <w:rFonts w:asciiTheme="minorHAnsi" w:hAnsiTheme="minorHAnsi"/>
        </w:rPr>
        <w:t xml:space="preserve">let </w:t>
      </w:r>
      <w:r w:rsidR="00E34EC0" w:rsidRPr="006655A8">
        <w:rPr>
          <w:rFonts w:asciiTheme="minorHAnsi" w:hAnsiTheme="minorHAnsi"/>
        </w:rPr>
        <w:t>2016 až 2020 zajistit rozvoj a</w:t>
      </w:r>
      <w:r w:rsidR="00164EA0">
        <w:rPr>
          <w:rFonts w:asciiTheme="minorHAnsi" w:hAnsiTheme="minorHAnsi"/>
        </w:rPr>
        <w:t xml:space="preserve"> </w:t>
      </w:r>
      <w:r w:rsidR="00E34EC0" w:rsidRPr="006655A8">
        <w:rPr>
          <w:rFonts w:asciiTheme="minorHAnsi" w:hAnsiTheme="minorHAnsi"/>
        </w:rPr>
        <w:t>obnovu</w:t>
      </w:r>
      <w:r w:rsidR="001F7210" w:rsidRPr="006655A8">
        <w:rPr>
          <w:rFonts w:asciiTheme="minorHAnsi" w:hAnsiTheme="minorHAnsi"/>
        </w:rPr>
        <w:t xml:space="preserve"> </w:t>
      </w:r>
      <w:r w:rsidR="00164EA0">
        <w:rPr>
          <w:rFonts w:asciiTheme="minorHAnsi" w:hAnsiTheme="minorHAnsi"/>
        </w:rPr>
        <w:t>majetku</w:t>
      </w:r>
      <w:r w:rsidR="001F7210" w:rsidRPr="006655A8">
        <w:rPr>
          <w:rFonts w:asciiTheme="minorHAnsi" w:hAnsiTheme="minorHAnsi"/>
        </w:rPr>
        <w:t xml:space="preserve"> </w:t>
      </w:r>
      <w:r w:rsidR="00800351">
        <w:rPr>
          <w:rFonts w:asciiTheme="minorHAnsi" w:hAnsiTheme="minorHAnsi" w:cstheme="minorHAnsi"/>
        </w:rPr>
        <w:t>Polici</w:t>
      </w:r>
      <w:r w:rsidR="00164EA0">
        <w:rPr>
          <w:rFonts w:asciiTheme="minorHAnsi" w:hAnsiTheme="minorHAnsi" w:cstheme="minorHAnsi"/>
        </w:rPr>
        <w:t>e</w:t>
      </w:r>
      <w:r w:rsidR="00A76BB1" w:rsidRPr="006655A8">
        <w:rPr>
          <w:rFonts w:asciiTheme="minorHAnsi" w:hAnsiTheme="minorHAnsi"/>
        </w:rPr>
        <w:t>.</w:t>
      </w:r>
      <w:r w:rsidR="00E34EC0" w:rsidRPr="006655A8">
        <w:rPr>
          <w:rFonts w:asciiTheme="minorHAnsi" w:hAnsiTheme="minorHAnsi"/>
        </w:rPr>
        <w:t xml:space="preserve"> </w:t>
      </w:r>
      <w:r w:rsidR="00C5331A" w:rsidRPr="006655A8">
        <w:rPr>
          <w:rFonts w:asciiTheme="minorHAnsi" w:hAnsiTheme="minorHAnsi"/>
        </w:rPr>
        <w:t xml:space="preserve">Nezbytnost pořízení majetku </w:t>
      </w:r>
      <w:r w:rsidR="00E43543">
        <w:rPr>
          <w:rFonts w:asciiTheme="minorHAnsi" w:hAnsiTheme="minorHAnsi"/>
        </w:rPr>
        <w:t>zdůvodňuje</w:t>
      </w:r>
      <w:r w:rsidR="00C5331A" w:rsidRPr="006655A8">
        <w:rPr>
          <w:rFonts w:asciiTheme="minorHAnsi" w:hAnsiTheme="minorHAnsi"/>
        </w:rPr>
        <w:t xml:space="preserve"> MV</w:t>
      </w:r>
      <w:r w:rsidR="00BB7853">
        <w:rPr>
          <w:rFonts w:asciiTheme="minorHAnsi" w:hAnsiTheme="minorHAnsi"/>
        </w:rPr>
        <w:t xml:space="preserve"> </w:t>
      </w:r>
      <w:r w:rsidR="00E43543">
        <w:rPr>
          <w:rFonts w:asciiTheme="minorHAnsi" w:hAnsiTheme="minorHAnsi"/>
        </w:rPr>
        <w:t>mj.</w:t>
      </w:r>
      <w:r w:rsidR="0064321D">
        <w:rPr>
          <w:rFonts w:asciiTheme="minorHAnsi" w:hAnsiTheme="minorHAnsi"/>
        </w:rPr>
        <w:t> </w:t>
      </w:r>
      <w:r w:rsidR="00C5331A" w:rsidRPr="006655A8">
        <w:rPr>
          <w:rFonts w:asciiTheme="minorHAnsi" w:hAnsiTheme="minorHAnsi"/>
        </w:rPr>
        <w:t xml:space="preserve">průměrným procentem </w:t>
      </w:r>
      <w:r w:rsidR="009A2986">
        <w:rPr>
          <w:rFonts w:asciiTheme="minorHAnsi" w:hAnsiTheme="minorHAnsi"/>
        </w:rPr>
        <w:t xml:space="preserve">objemu </w:t>
      </w:r>
      <w:r w:rsidR="00C5331A" w:rsidRPr="006655A8">
        <w:rPr>
          <w:rFonts w:asciiTheme="minorHAnsi" w:hAnsiTheme="minorHAnsi"/>
        </w:rPr>
        <w:t xml:space="preserve">majetku po </w:t>
      </w:r>
      <w:r w:rsidR="00E7090C">
        <w:rPr>
          <w:rFonts w:asciiTheme="minorHAnsi" w:hAnsiTheme="minorHAnsi"/>
        </w:rPr>
        <w:t xml:space="preserve">uplynutí </w:t>
      </w:r>
      <w:r w:rsidR="00164EA0">
        <w:rPr>
          <w:rFonts w:asciiTheme="minorHAnsi" w:hAnsiTheme="minorHAnsi"/>
        </w:rPr>
        <w:t>doby</w:t>
      </w:r>
      <w:r w:rsidR="00164EA0" w:rsidRPr="006655A8">
        <w:rPr>
          <w:rFonts w:asciiTheme="minorHAnsi" w:hAnsiTheme="minorHAnsi"/>
        </w:rPr>
        <w:t xml:space="preserve"> </w:t>
      </w:r>
      <w:r w:rsidR="00C5331A" w:rsidRPr="006655A8">
        <w:rPr>
          <w:rFonts w:asciiTheme="minorHAnsi" w:hAnsiTheme="minorHAnsi"/>
        </w:rPr>
        <w:t xml:space="preserve">životnosti, </w:t>
      </w:r>
      <w:r w:rsidR="00164EA0">
        <w:rPr>
          <w:rFonts w:asciiTheme="minorHAnsi" w:hAnsiTheme="minorHAnsi"/>
        </w:rPr>
        <w:t>toto procento</w:t>
      </w:r>
      <w:r w:rsidR="00164EA0" w:rsidRPr="006655A8">
        <w:rPr>
          <w:rFonts w:asciiTheme="minorHAnsi" w:hAnsiTheme="minorHAnsi"/>
        </w:rPr>
        <w:t xml:space="preserve"> </w:t>
      </w:r>
      <w:r w:rsidR="00C5331A" w:rsidRPr="006655A8">
        <w:rPr>
          <w:rFonts w:asciiTheme="minorHAnsi" w:hAnsiTheme="minorHAnsi"/>
        </w:rPr>
        <w:t>činí např</w:t>
      </w:r>
      <w:r w:rsidR="001F7210" w:rsidRPr="006655A8">
        <w:rPr>
          <w:rFonts w:asciiTheme="minorHAnsi" w:hAnsiTheme="minorHAnsi"/>
        </w:rPr>
        <w:t>íklad</w:t>
      </w:r>
      <w:r w:rsidR="00C5331A" w:rsidRPr="006655A8">
        <w:rPr>
          <w:rFonts w:asciiTheme="minorHAnsi" w:hAnsiTheme="minorHAnsi"/>
        </w:rPr>
        <w:t xml:space="preserve"> u</w:t>
      </w:r>
      <w:r w:rsidR="00FD705A">
        <w:rPr>
          <w:rFonts w:asciiTheme="minorHAnsi" w:hAnsiTheme="minorHAnsi"/>
        </w:rPr>
        <w:t xml:space="preserve"> </w:t>
      </w:r>
      <w:r w:rsidR="00264646">
        <w:rPr>
          <w:rFonts w:asciiTheme="minorHAnsi" w:hAnsiTheme="minorHAnsi"/>
        </w:rPr>
        <w:t>výzbrojního majetku 46 </w:t>
      </w:r>
      <w:r w:rsidR="00C5331A" w:rsidRPr="006655A8">
        <w:rPr>
          <w:rFonts w:asciiTheme="minorHAnsi" w:hAnsiTheme="minorHAnsi"/>
        </w:rPr>
        <w:t>%</w:t>
      </w:r>
      <w:r w:rsidR="00E43543">
        <w:rPr>
          <w:rFonts w:asciiTheme="minorHAnsi" w:hAnsiTheme="minorHAnsi"/>
        </w:rPr>
        <w:t xml:space="preserve"> nebo </w:t>
      </w:r>
      <w:r w:rsidR="00B20900">
        <w:rPr>
          <w:rFonts w:asciiTheme="minorHAnsi" w:hAnsiTheme="minorHAnsi"/>
        </w:rPr>
        <w:t>u</w:t>
      </w:r>
      <w:r w:rsidR="00FD705A">
        <w:rPr>
          <w:rFonts w:asciiTheme="minorHAnsi" w:hAnsiTheme="minorHAnsi"/>
        </w:rPr>
        <w:t> </w:t>
      </w:r>
      <w:r w:rsidR="00C5331A" w:rsidRPr="006655A8">
        <w:rPr>
          <w:rFonts w:asciiTheme="minorHAnsi" w:hAnsiTheme="minorHAnsi"/>
        </w:rPr>
        <w:t>majetku foto-kino a</w:t>
      </w:r>
      <w:r w:rsidR="00FD705A">
        <w:rPr>
          <w:rFonts w:asciiTheme="minorHAnsi" w:hAnsiTheme="minorHAnsi"/>
        </w:rPr>
        <w:t xml:space="preserve"> </w:t>
      </w:r>
      <w:r w:rsidR="00C5331A" w:rsidRPr="006655A8">
        <w:rPr>
          <w:rFonts w:asciiTheme="minorHAnsi" w:hAnsiTheme="minorHAnsi"/>
        </w:rPr>
        <w:t>kriminalistické tech</w:t>
      </w:r>
      <w:r w:rsidR="00264646">
        <w:rPr>
          <w:rFonts w:asciiTheme="minorHAnsi" w:hAnsiTheme="minorHAnsi"/>
        </w:rPr>
        <w:t>niky 39 </w:t>
      </w:r>
      <w:r w:rsidR="00E43543">
        <w:rPr>
          <w:rFonts w:asciiTheme="minorHAnsi" w:hAnsiTheme="minorHAnsi"/>
        </w:rPr>
        <w:t xml:space="preserve">%. V uvedeném období </w:t>
      </w:r>
      <w:r w:rsidR="00C5331A" w:rsidRPr="006655A8">
        <w:rPr>
          <w:rFonts w:asciiTheme="minorHAnsi" w:hAnsiTheme="minorHAnsi"/>
        </w:rPr>
        <w:t xml:space="preserve">předpokládá </w:t>
      </w:r>
      <w:r w:rsidR="00C3430B">
        <w:rPr>
          <w:rFonts w:asciiTheme="minorHAnsi" w:hAnsiTheme="minorHAnsi"/>
        </w:rPr>
        <w:t xml:space="preserve">MV </w:t>
      </w:r>
      <w:r w:rsidR="00C5331A" w:rsidRPr="006655A8">
        <w:rPr>
          <w:rFonts w:asciiTheme="minorHAnsi" w:hAnsiTheme="minorHAnsi"/>
        </w:rPr>
        <w:t xml:space="preserve">také </w:t>
      </w:r>
      <w:r w:rsidR="00B91811">
        <w:rPr>
          <w:rFonts w:asciiTheme="minorHAnsi" w:hAnsiTheme="minorHAnsi"/>
        </w:rPr>
        <w:t xml:space="preserve">např. </w:t>
      </w:r>
      <w:r w:rsidR="00C5331A" w:rsidRPr="006655A8">
        <w:rPr>
          <w:rFonts w:asciiTheme="minorHAnsi" w:hAnsiTheme="minorHAnsi"/>
        </w:rPr>
        <w:t>pořízení 7</w:t>
      </w:r>
      <w:r w:rsidR="00C939EC" w:rsidRPr="006655A8">
        <w:rPr>
          <w:rFonts w:asciiTheme="minorHAnsi" w:hAnsiTheme="minorHAnsi"/>
        </w:rPr>
        <w:t> </w:t>
      </w:r>
      <w:r w:rsidR="00C5331A" w:rsidRPr="006655A8">
        <w:rPr>
          <w:rFonts w:asciiTheme="minorHAnsi" w:hAnsiTheme="minorHAnsi"/>
        </w:rPr>
        <w:t xml:space="preserve">642 </w:t>
      </w:r>
      <w:r w:rsidR="00453729">
        <w:rPr>
          <w:rFonts w:ascii="Calibri" w:hAnsi="Calibri" w:cs="Calibri"/>
        </w:rPr>
        <w:t>služebních dopravních prostředků</w:t>
      </w:r>
      <w:r w:rsidR="00C5331A" w:rsidRPr="006655A8">
        <w:rPr>
          <w:rFonts w:asciiTheme="minorHAnsi" w:hAnsiTheme="minorHAnsi"/>
        </w:rPr>
        <w:t xml:space="preserve">. </w:t>
      </w:r>
      <w:r w:rsidR="00737B50">
        <w:rPr>
          <w:rFonts w:asciiTheme="minorHAnsi" w:hAnsiTheme="minorHAnsi"/>
        </w:rPr>
        <w:t xml:space="preserve">Z dokumentací </w:t>
      </w:r>
      <w:r w:rsidR="00737B50">
        <w:rPr>
          <w:rFonts w:asciiTheme="minorHAnsi" w:hAnsiTheme="minorHAnsi"/>
        </w:rPr>
        <w:lastRenderedPageBreak/>
        <w:t xml:space="preserve">programů </w:t>
      </w:r>
      <w:r w:rsidR="00B20900">
        <w:rPr>
          <w:rFonts w:asciiTheme="minorHAnsi" w:hAnsiTheme="minorHAnsi"/>
        </w:rPr>
        <w:t>vyplývá</w:t>
      </w:r>
      <w:r w:rsidR="00E34EC0" w:rsidRPr="006655A8">
        <w:rPr>
          <w:rFonts w:asciiTheme="minorHAnsi" w:hAnsiTheme="minorHAnsi"/>
        </w:rPr>
        <w:t xml:space="preserve">, že </w:t>
      </w:r>
      <w:r w:rsidR="001C4520" w:rsidRPr="006655A8">
        <w:rPr>
          <w:rFonts w:asciiTheme="minorHAnsi" w:hAnsiTheme="minorHAnsi"/>
        </w:rPr>
        <w:t xml:space="preserve">pokrytí </w:t>
      </w:r>
      <w:r w:rsidR="00E34EC0" w:rsidRPr="006655A8">
        <w:rPr>
          <w:rFonts w:asciiTheme="minorHAnsi" w:hAnsiTheme="minorHAnsi"/>
        </w:rPr>
        <w:t xml:space="preserve">potřeb </w:t>
      </w:r>
      <w:r w:rsidR="00E11DB8" w:rsidRPr="006655A8">
        <w:rPr>
          <w:rFonts w:asciiTheme="minorHAnsi" w:hAnsiTheme="minorHAnsi"/>
        </w:rPr>
        <w:t xml:space="preserve">výše uvedených programů </w:t>
      </w:r>
      <w:r w:rsidR="00E34EC0" w:rsidRPr="006655A8">
        <w:rPr>
          <w:rFonts w:asciiTheme="minorHAnsi" w:hAnsiTheme="minorHAnsi"/>
        </w:rPr>
        <w:t>j</w:t>
      </w:r>
      <w:r w:rsidR="001C4520" w:rsidRPr="006655A8">
        <w:rPr>
          <w:rFonts w:asciiTheme="minorHAnsi" w:hAnsiTheme="minorHAnsi"/>
        </w:rPr>
        <w:t>e zajištěno</w:t>
      </w:r>
      <w:r w:rsidR="00E34EC0" w:rsidRPr="006655A8">
        <w:rPr>
          <w:rFonts w:asciiTheme="minorHAnsi" w:hAnsiTheme="minorHAnsi"/>
        </w:rPr>
        <w:t xml:space="preserve"> zdroji </w:t>
      </w:r>
      <w:r w:rsidR="00453729" w:rsidRPr="00453729">
        <w:rPr>
          <w:rFonts w:asciiTheme="minorHAnsi" w:hAnsiTheme="minorHAnsi"/>
        </w:rPr>
        <w:t>státního rozpočtu</w:t>
      </w:r>
      <w:r w:rsidR="00E34EC0" w:rsidRPr="006655A8">
        <w:rPr>
          <w:rFonts w:asciiTheme="minorHAnsi" w:hAnsiTheme="minorHAnsi"/>
        </w:rPr>
        <w:t xml:space="preserve"> pouze z</w:t>
      </w:r>
      <w:r w:rsidR="00737B50">
        <w:rPr>
          <w:rFonts w:asciiTheme="minorHAnsi" w:hAnsiTheme="minorHAnsi"/>
        </w:rPr>
        <w:t> </w:t>
      </w:r>
      <w:r w:rsidR="00E34EC0" w:rsidRPr="006655A8">
        <w:rPr>
          <w:rFonts w:asciiTheme="minorHAnsi" w:hAnsiTheme="minorHAnsi"/>
        </w:rPr>
        <w:t>31</w:t>
      </w:r>
      <w:r w:rsidR="00737B50">
        <w:rPr>
          <w:rFonts w:asciiTheme="minorHAnsi" w:hAnsiTheme="minorHAnsi"/>
        </w:rPr>
        <w:t> </w:t>
      </w:r>
      <w:r w:rsidR="00E34EC0" w:rsidRPr="006655A8">
        <w:rPr>
          <w:rFonts w:asciiTheme="minorHAnsi" w:hAnsiTheme="minorHAnsi"/>
        </w:rPr>
        <w:t>%</w:t>
      </w:r>
      <w:r w:rsidR="007659C9" w:rsidRPr="006655A8">
        <w:rPr>
          <w:rFonts w:asciiTheme="minorHAnsi" w:hAnsiTheme="minorHAnsi"/>
        </w:rPr>
        <w:t>, chybí přibližně 11,</w:t>
      </w:r>
      <w:r w:rsidR="00EC341D">
        <w:rPr>
          <w:rFonts w:asciiTheme="minorHAnsi" w:hAnsiTheme="minorHAnsi"/>
        </w:rPr>
        <w:t>4</w:t>
      </w:r>
      <w:r w:rsidR="007659C9" w:rsidRPr="006655A8">
        <w:rPr>
          <w:rFonts w:asciiTheme="minorHAnsi" w:hAnsiTheme="minorHAnsi"/>
        </w:rPr>
        <w:t xml:space="preserve"> mld. Kč (tabulka č</w:t>
      </w:r>
      <w:r w:rsidR="00E43543">
        <w:rPr>
          <w:rFonts w:asciiTheme="minorHAnsi" w:hAnsiTheme="minorHAnsi"/>
        </w:rPr>
        <w:t>. 2</w:t>
      </w:r>
      <w:r w:rsidR="007659C9" w:rsidRPr="006655A8">
        <w:rPr>
          <w:rFonts w:asciiTheme="minorHAnsi" w:hAnsiTheme="minorHAnsi"/>
        </w:rPr>
        <w:t>).</w:t>
      </w:r>
    </w:p>
    <w:p w14:paraId="1C548E32" w14:textId="24D34FF5" w:rsidR="00CF60B7" w:rsidRPr="00D626B0" w:rsidRDefault="007659C9" w:rsidP="00106F23">
      <w:pPr>
        <w:tabs>
          <w:tab w:val="left" w:pos="7938"/>
        </w:tabs>
        <w:ind w:left="1304" w:hanging="1304"/>
        <w:jc w:val="both"/>
        <w:rPr>
          <w:rFonts w:asciiTheme="minorHAnsi" w:hAnsiTheme="minorHAnsi"/>
          <w:b/>
          <w:kern w:val="36"/>
        </w:rPr>
      </w:pPr>
      <w:r w:rsidRPr="007659C9">
        <w:rPr>
          <w:rFonts w:asciiTheme="minorHAnsi" w:hAnsiTheme="minorHAnsi"/>
          <w:b/>
          <w:kern w:val="36"/>
        </w:rPr>
        <w:t>Tabulka č</w:t>
      </w:r>
      <w:r w:rsidR="00E43543">
        <w:rPr>
          <w:rFonts w:asciiTheme="minorHAnsi" w:hAnsiTheme="minorHAnsi"/>
          <w:b/>
          <w:kern w:val="36"/>
        </w:rPr>
        <w:t>. 2</w:t>
      </w:r>
      <w:r w:rsidRPr="007659C9">
        <w:rPr>
          <w:rFonts w:asciiTheme="minorHAnsi" w:hAnsiTheme="minorHAnsi"/>
          <w:b/>
          <w:kern w:val="36"/>
        </w:rPr>
        <w:t xml:space="preserve">: </w:t>
      </w:r>
      <w:r w:rsidR="00B70859">
        <w:rPr>
          <w:rFonts w:asciiTheme="minorHAnsi" w:hAnsiTheme="minorHAnsi"/>
          <w:b/>
          <w:kern w:val="36"/>
        </w:rPr>
        <w:tab/>
      </w:r>
      <w:r w:rsidRPr="007659C9">
        <w:rPr>
          <w:rFonts w:asciiTheme="minorHAnsi" w:hAnsiTheme="minorHAnsi"/>
          <w:b/>
          <w:kern w:val="36"/>
        </w:rPr>
        <w:t xml:space="preserve">Pokrytí potřeb </w:t>
      </w:r>
      <w:r w:rsidRPr="00800351">
        <w:rPr>
          <w:rFonts w:asciiTheme="minorHAnsi" w:hAnsiTheme="minorHAnsi"/>
          <w:b/>
          <w:kern w:val="36"/>
        </w:rPr>
        <w:t xml:space="preserve">programů </w:t>
      </w:r>
      <w:r w:rsidR="00800351" w:rsidRPr="00800351">
        <w:rPr>
          <w:rFonts w:asciiTheme="minorHAnsi" w:hAnsiTheme="minorHAnsi" w:cstheme="minorHAnsi"/>
          <w:b/>
        </w:rPr>
        <w:t>Policie</w:t>
      </w:r>
      <w:r w:rsidRPr="00800351">
        <w:rPr>
          <w:rFonts w:asciiTheme="minorHAnsi" w:hAnsiTheme="minorHAnsi"/>
          <w:b/>
          <w:kern w:val="36"/>
        </w:rPr>
        <w:t xml:space="preserve"> realizovaných</w:t>
      </w:r>
      <w:r>
        <w:rPr>
          <w:rFonts w:asciiTheme="minorHAnsi" w:hAnsiTheme="minorHAnsi"/>
          <w:b/>
          <w:kern w:val="36"/>
        </w:rPr>
        <w:t xml:space="preserve"> v období 2016 až 2020 </w:t>
      </w:r>
      <w:r w:rsidRPr="007659C9">
        <w:rPr>
          <w:rFonts w:asciiTheme="minorHAnsi" w:hAnsiTheme="minorHAnsi"/>
          <w:b/>
          <w:kern w:val="36"/>
        </w:rPr>
        <w:t>zdroji</w:t>
      </w:r>
      <w:r>
        <w:rPr>
          <w:rFonts w:asciiTheme="minorHAnsi" w:hAnsiTheme="minorHAnsi"/>
          <w:b/>
          <w:kern w:val="36"/>
        </w:rPr>
        <w:t xml:space="preserve"> </w:t>
      </w:r>
      <w:r w:rsidR="00453729">
        <w:rPr>
          <w:rFonts w:asciiTheme="minorHAnsi" w:hAnsiTheme="minorHAnsi"/>
          <w:b/>
          <w:kern w:val="36"/>
        </w:rPr>
        <w:t>státního rozpočtu</w:t>
      </w:r>
      <w:r w:rsidR="00D626B0">
        <w:rPr>
          <w:rFonts w:asciiTheme="minorHAnsi" w:hAnsiTheme="minorHAnsi"/>
          <w:b/>
          <w:kern w:val="36"/>
        </w:rPr>
        <w:tab/>
      </w:r>
      <w:r w:rsidR="00CF60B7" w:rsidRPr="00D626B0">
        <w:rPr>
          <w:rFonts w:asciiTheme="minorHAnsi" w:hAnsiTheme="minorHAnsi"/>
          <w:b/>
          <w:kern w:val="36"/>
        </w:rPr>
        <w:t>(v mil. Kč)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134"/>
        <w:gridCol w:w="1417"/>
        <w:gridCol w:w="1554"/>
      </w:tblGrid>
      <w:tr w:rsidR="00877D90" w:rsidRPr="00E34EC0" w14:paraId="72D768FB" w14:textId="77777777" w:rsidTr="00B70859">
        <w:trPr>
          <w:trHeight w:val="16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2DFD892" w14:textId="77777777" w:rsidR="00877D90" w:rsidRPr="006738AD" w:rsidRDefault="00877D90" w:rsidP="00D8682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738A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0845307" w14:textId="77777777" w:rsidR="00877D90" w:rsidRPr="006738AD" w:rsidRDefault="00877D90" w:rsidP="00D8682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738A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Potřeby celkem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F71DBEE" w14:textId="77777777" w:rsidR="00877D90" w:rsidRPr="006738AD" w:rsidRDefault="00877D90" w:rsidP="0045372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738A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Zajištěné zdroje </w:t>
            </w:r>
            <w:r w:rsidR="0045372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státního rozpočtu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E0F0FA2" w14:textId="77777777" w:rsidR="00877D90" w:rsidRPr="006738AD" w:rsidRDefault="00877D90" w:rsidP="00D8682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738AD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Podíl zajištěných zdrojů </w:t>
            </w:r>
          </w:p>
        </w:tc>
      </w:tr>
      <w:tr w:rsidR="00877D90" w:rsidRPr="00E34EC0" w14:paraId="1F02B333" w14:textId="77777777" w:rsidTr="00B70859">
        <w:trPr>
          <w:trHeight w:val="98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48B0" w14:textId="31B53077" w:rsidR="00877D90" w:rsidRPr="00E34EC0" w:rsidRDefault="00877D90" w:rsidP="00D868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4EC0">
              <w:rPr>
                <w:rFonts w:asciiTheme="minorHAnsi" w:eastAsia="Calibri" w:hAnsiTheme="minorHAnsi"/>
                <w:color w:val="000000"/>
                <w:spacing w:val="-2"/>
                <w:sz w:val="20"/>
                <w:szCs w:val="20"/>
              </w:rPr>
              <w:t>014</w:t>
            </w:r>
            <w:r w:rsidR="00277615">
              <w:rPr>
                <w:rFonts w:asciiTheme="minorHAnsi" w:eastAsia="Calibri" w:hAnsiTheme="minorHAnsi"/>
                <w:color w:val="000000"/>
                <w:spacing w:val="-2"/>
                <w:sz w:val="20"/>
                <w:szCs w:val="20"/>
              </w:rPr>
              <w:t> </w:t>
            </w:r>
            <w:r w:rsidRPr="00E34EC0">
              <w:rPr>
                <w:rFonts w:asciiTheme="minorHAnsi" w:eastAsia="Calibri" w:hAnsiTheme="minorHAnsi"/>
                <w:color w:val="000000"/>
                <w:spacing w:val="-2"/>
                <w:sz w:val="20"/>
                <w:szCs w:val="20"/>
              </w:rPr>
              <w:t>110</w:t>
            </w:r>
            <w:r w:rsidR="00277615">
              <w:rPr>
                <w:rFonts w:asciiTheme="minorHAnsi" w:eastAsia="Calibri" w:hAnsi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="00FD705A">
              <w:rPr>
                <w:rFonts w:asciiTheme="minorHAnsi" w:eastAsia="Calibri" w:hAnsiTheme="minorHAnsi"/>
                <w:color w:val="000000"/>
                <w:spacing w:val="-2"/>
                <w:sz w:val="20"/>
                <w:szCs w:val="20"/>
              </w:rPr>
              <w:t xml:space="preserve">– </w:t>
            </w:r>
            <w:r w:rsidR="00277615" w:rsidRPr="00277615">
              <w:rPr>
                <w:rFonts w:asciiTheme="minorHAnsi" w:eastAsia="Calibri" w:hAnsiTheme="minorHAnsi"/>
                <w:color w:val="000000"/>
                <w:spacing w:val="-2"/>
                <w:sz w:val="20"/>
                <w:szCs w:val="20"/>
              </w:rPr>
              <w:t xml:space="preserve">Rozvoj a obnova funkcionalit ICT </w:t>
            </w:r>
            <w:r w:rsidR="00B3541E" w:rsidRPr="00B3541E">
              <w:rPr>
                <w:rFonts w:asciiTheme="minorHAnsi" w:eastAsia="Calibri" w:hAnsiTheme="minorHAnsi"/>
                <w:color w:val="000000"/>
                <w:spacing w:val="-2"/>
                <w:sz w:val="20"/>
                <w:szCs w:val="20"/>
              </w:rPr>
              <w:t>Policie ČR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A2B" w14:textId="77777777" w:rsidR="00877D90" w:rsidRPr="00E34EC0" w:rsidRDefault="00877D90" w:rsidP="00D8682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4EC0">
              <w:rPr>
                <w:rFonts w:asciiTheme="minorHAnsi" w:eastAsia="Calibri" w:hAnsiTheme="minorHAnsi"/>
                <w:color w:val="000000"/>
                <w:spacing w:val="-2"/>
                <w:sz w:val="20"/>
                <w:szCs w:val="20"/>
              </w:rPr>
              <w:t>3 381,4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D27B" w14:textId="77777777" w:rsidR="00877D90" w:rsidRPr="00E34EC0" w:rsidRDefault="00877D90" w:rsidP="00D8682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4EC0">
              <w:rPr>
                <w:rFonts w:asciiTheme="minorHAnsi" w:hAnsiTheme="minorHAnsi"/>
                <w:color w:val="000000"/>
                <w:sz w:val="20"/>
                <w:szCs w:val="20"/>
              </w:rPr>
              <w:t>1 952,4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90E0" w14:textId="77777777" w:rsidR="00877D90" w:rsidRPr="00E34EC0" w:rsidRDefault="00877D90" w:rsidP="00D8682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4EC0">
              <w:rPr>
                <w:rFonts w:asciiTheme="minorHAnsi" w:hAnsiTheme="minorHAnsi"/>
                <w:color w:val="000000"/>
                <w:sz w:val="20"/>
                <w:szCs w:val="20"/>
              </w:rPr>
              <w:t>58</w:t>
            </w:r>
            <w:r w:rsidR="0027761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E34EC0">
              <w:rPr>
                <w:rFonts w:asciiTheme="minorHAnsi" w:hAnsiTheme="minorHAnsi"/>
                <w:color w:val="000000"/>
                <w:sz w:val="20"/>
                <w:szCs w:val="20"/>
              </w:rPr>
              <w:t>%</w:t>
            </w:r>
          </w:p>
        </w:tc>
      </w:tr>
      <w:tr w:rsidR="00877D90" w:rsidRPr="00E34EC0" w14:paraId="0803B3F0" w14:textId="77777777" w:rsidTr="00B70859">
        <w:trPr>
          <w:trHeight w:val="13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C7D" w14:textId="3491CFA2" w:rsidR="00877D90" w:rsidRPr="00E34EC0" w:rsidRDefault="00877D90" w:rsidP="00D86824">
            <w:pPr>
              <w:pStyle w:val="Nadpis2"/>
              <w:keepNext w:val="0"/>
              <w:numPr>
                <w:ilvl w:val="1"/>
                <w:numId w:val="0"/>
              </w:numPr>
              <w:spacing w:before="0" w:after="0"/>
              <w:ind w:left="576" w:hanging="576"/>
              <w:contextualSpacing/>
              <w:jc w:val="both"/>
              <w:rPr>
                <w:rFonts w:asciiTheme="minorHAnsi" w:eastAsia="Calibri" w:hAnsiTheme="minorHAnsi"/>
                <w:b w:val="0"/>
                <w:bCs w:val="0"/>
                <w:i w:val="0"/>
                <w:iCs w:val="0"/>
                <w:color w:val="000000"/>
                <w:spacing w:val="-2"/>
                <w:sz w:val="20"/>
                <w:szCs w:val="20"/>
              </w:rPr>
            </w:pPr>
            <w:r w:rsidRPr="00E34EC0">
              <w:rPr>
                <w:rFonts w:asciiTheme="minorHAnsi" w:eastAsia="Calibri" w:hAnsiTheme="minorHAnsi"/>
                <w:b w:val="0"/>
                <w:bCs w:val="0"/>
                <w:i w:val="0"/>
                <w:iCs w:val="0"/>
                <w:color w:val="000000"/>
                <w:spacing w:val="-2"/>
                <w:sz w:val="20"/>
                <w:szCs w:val="20"/>
              </w:rPr>
              <w:t>014</w:t>
            </w:r>
            <w:r w:rsidR="00B3541E" w:rsidRPr="00B3541E">
              <w:rPr>
                <w:rFonts w:asciiTheme="minorHAnsi" w:eastAsia="Calibri" w:hAnsiTheme="minorHAnsi"/>
                <w:b w:val="0"/>
                <w:bCs w:val="0"/>
                <w:i w:val="0"/>
                <w:iCs w:val="0"/>
                <w:color w:val="000000"/>
                <w:spacing w:val="-2"/>
                <w:sz w:val="20"/>
                <w:szCs w:val="20"/>
              </w:rPr>
              <w:t> </w:t>
            </w:r>
            <w:r w:rsidRPr="00E34EC0">
              <w:rPr>
                <w:rFonts w:asciiTheme="minorHAnsi" w:eastAsia="Calibri" w:hAnsiTheme="minorHAnsi"/>
                <w:b w:val="0"/>
                <w:bCs w:val="0"/>
                <w:i w:val="0"/>
                <w:iCs w:val="0"/>
                <w:color w:val="000000"/>
                <w:spacing w:val="-2"/>
                <w:sz w:val="20"/>
                <w:szCs w:val="20"/>
              </w:rPr>
              <w:t>120</w:t>
            </w:r>
            <w:r w:rsidR="00B3541E" w:rsidRPr="00B3541E">
              <w:rPr>
                <w:rFonts w:asciiTheme="minorHAnsi" w:eastAsia="Calibri" w:hAnsiTheme="minorHAnsi"/>
                <w:b w:val="0"/>
                <w:bCs w:val="0"/>
                <w:i w:val="0"/>
                <w:iCs w:val="0"/>
                <w:color w:val="000000"/>
                <w:spacing w:val="-2"/>
                <w:sz w:val="20"/>
                <w:szCs w:val="20"/>
              </w:rPr>
              <w:t xml:space="preserve"> </w:t>
            </w:r>
            <w:bookmarkStart w:id="5" w:name="_Toc256000026"/>
            <w:bookmarkStart w:id="6" w:name="_Toc490575626"/>
            <w:bookmarkStart w:id="7" w:name="_Toc490674324"/>
            <w:r w:rsidR="00FD705A">
              <w:rPr>
                <w:rFonts w:asciiTheme="minorHAnsi" w:eastAsia="Calibri" w:hAnsiTheme="minorHAnsi"/>
                <w:b w:val="0"/>
                <w:bCs w:val="0"/>
                <w:i w:val="0"/>
                <w:iCs w:val="0"/>
                <w:color w:val="000000"/>
                <w:spacing w:val="-2"/>
                <w:sz w:val="20"/>
                <w:szCs w:val="20"/>
              </w:rPr>
              <w:t xml:space="preserve">– </w:t>
            </w:r>
            <w:r w:rsidR="00B3541E" w:rsidRPr="00B3541E">
              <w:rPr>
                <w:rFonts w:asciiTheme="minorHAnsi" w:eastAsia="Calibri" w:hAnsiTheme="minorHAnsi"/>
                <w:b w:val="0"/>
                <w:bCs w:val="0"/>
                <w:i w:val="0"/>
                <w:iCs w:val="0"/>
                <w:color w:val="000000"/>
                <w:spacing w:val="-2"/>
                <w:sz w:val="20"/>
                <w:szCs w:val="20"/>
              </w:rPr>
              <w:t xml:space="preserve">Rozvoj a obnova nemovitého majetku </w:t>
            </w:r>
            <w:bookmarkEnd w:id="5"/>
            <w:bookmarkEnd w:id="6"/>
            <w:bookmarkEnd w:id="7"/>
            <w:r w:rsidR="00B3541E" w:rsidRPr="00B3541E">
              <w:rPr>
                <w:rFonts w:asciiTheme="minorHAnsi" w:eastAsia="Calibri" w:hAnsiTheme="minorHAnsi"/>
                <w:b w:val="0"/>
                <w:i w:val="0"/>
                <w:color w:val="000000"/>
                <w:spacing w:val="-2"/>
                <w:sz w:val="20"/>
                <w:szCs w:val="20"/>
              </w:rPr>
              <w:t>Policie ČR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3C1" w14:textId="77777777" w:rsidR="00877D90" w:rsidRPr="00E34EC0" w:rsidRDefault="00877D90" w:rsidP="00D8682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4EC0">
              <w:rPr>
                <w:rFonts w:asciiTheme="minorHAnsi" w:eastAsia="Calibri" w:hAnsiTheme="minorHAnsi"/>
                <w:color w:val="000000"/>
                <w:spacing w:val="-2"/>
                <w:sz w:val="20"/>
                <w:szCs w:val="20"/>
              </w:rPr>
              <w:t>4 760,2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5FB" w14:textId="77777777" w:rsidR="00877D90" w:rsidRPr="00E34EC0" w:rsidRDefault="00877D90" w:rsidP="00D8682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4EC0">
              <w:rPr>
                <w:rFonts w:asciiTheme="minorHAnsi" w:hAnsiTheme="minorHAnsi"/>
                <w:color w:val="000000"/>
                <w:sz w:val="20"/>
                <w:szCs w:val="20"/>
              </w:rPr>
              <w:t>2 304,8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31D" w14:textId="77777777" w:rsidR="00877D90" w:rsidRPr="00E34EC0" w:rsidRDefault="00877D90" w:rsidP="00D8682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4EC0">
              <w:rPr>
                <w:rFonts w:asciiTheme="minorHAnsi" w:hAnsiTheme="minorHAnsi"/>
                <w:color w:val="000000"/>
                <w:sz w:val="20"/>
                <w:szCs w:val="20"/>
              </w:rPr>
              <w:t>48</w:t>
            </w:r>
            <w:r w:rsidR="0027761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E34EC0">
              <w:rPr>
                <w:rFonts w:asciiTheme="minorHAnsi" w:hAnsiTheme="minorHAnsi"/>
                <w:color w:val="000000"/>
                <w:sz w:val="20"/>
                <w:szCs w:val="20"/>
              </w:rPr>
              <w:t>%</w:t>
            </w:r>
          </w:p>
        </w:tc>
      </w:tr>
      <w:tr w:rsidR="00877D90" w:rsidRPr="00E34EC0" w14:paraId="4A49ED1B" w14:textId="77777777" w:rsidTr="00B70859">
        <w:trPr>
          <w:trHeight w:val="162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B02B" w14:textId="39257093" w:rsidR="00877D90" w:rsidRPr="00E34EC0" w:rsidRDefault="00877D90" w:rsidP="00D8682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4EC0">
              <w:rPr>
                <w:rFonts w:asciiTheme="minorHAnsi" w:hAnsiTheme="minorHAnsi"/>
                <w:color w:val="000000"/>
                <w:sz w:val="20"/>
                <w:szCs w:val="20"/>
              </w:rPr>
              <w:t>014</w:t>
            </w:r>
            <w:r w:rsidR="00FD705A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E34EC0">
              <w:rPr>
                <w:rFonts w:asciiTheme="minorHAnsi" w:hAnsiTheme="minorHAnsi"/>
                <w:color w:val="000000"/>
                <w:sz w:val="20"/>
                <w:szCs w:val="20"/>
              </w:rPr>
              <w:t>130</w:t>
            </w:r>
            <w:r w:rsidR="00FD705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</w:t>
            </w:r>
            <w:r w:rsidR="00B3541E" w:rsidRPr="003D1368">
              <w:rPr>
                <w:rFonts w:asciiTheme="minorHAnsi" w:eastAsia="Calibri" w:hAnsiTheme="minorHAnsi"/>
                <w:bCs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="00B3541E" w:rsidRPr="00B3541E">
              <w:rPr>
                <w:rFonts w:asciiTheme="minorHAnsi" w:eastAsia="Calibri" w:hAnsiTheme="minorHAnsi"/>
                <w:color w:val="000000"/>
                <w:spacing w:val="-2"/>
                <w:sz w:val="20"/>
                <w:szCs w:val="20"/>
              </w:rPr>
              <w:t>Rozvoj a obnova movitého majetku Policie ČR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1B04" w14:textId="77777777" w:rsidR="00877D90" w:rsidRPr="00E34EC0" w:rsidRDefault="00877D90" w:rsidP="00D8682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4EC0">
              <w:rPr>
                <w:rFonts w:asciiTheme="minorHAnsi" w:eastAsia="Calibri" w:hAnsiTheme="minorHAnsi"/>
                <w:color w:val="000000"/>
                <w:spacing w:val="-2"/>
                <w:sz w:val="20"/>
                <w:szCs w:val="20"/>
              </w:rPr>
              <w:t>3 293,3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478A" w14:textId="77777777" w:rsidR="00877D90" w:rsidRPr="00E34EC0" w:rsidRDefault="00877D90" w:rsidP="00D8682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4EC0">
              <w:rPr>
                <w:rFonts w:asciiTheme="minorHAnsi" w:hAnsiTheme="minorHAnsi"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FDE" w14:textId="77777777" w:rsidR="00877D90" w:rsidRPr="00E34EC0" w:rsidRDefault="00877D90" w:rsidP="00D8682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4EC0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27761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E34EC0">
              <w:rPr>
                <w:rFonts w:asciiTheme="minorHAnsi" w:hAnsiTheme="minorHAnsi"/>
                <w:color w:val="000000"/>
                <w:sz w:val="20"/>
                <w:szCs w:val="20"/>
              </w:rPr>
              <w:t>%</w:t>
            </w:r>
          </w:p>
        </w:tc>
      </w:tr>
      <w:tr w:rsidR="00877D90" w:rsidRPr="00E34EC0" w14:paraId="50460B2D" w14:textId="77777777" w:rsidTr="00B70859">
        <w:trPr>
          <w:trHeight w:val="181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D43" w14:textId="56E6F5FD" w:rsidR="00877D90" w:rsidRPr="00E34EC0" w:rsidRDefault="00877D90" w:rsidP="00D86824">
            <w:pPr>
              <w:pStyle w:val="Nadpis2"/>
              <w:keepNext w:val="0"/>
              <w:numPr>
                <w:ilvl w:val="1"/>
                <w:numId w:val="0"/>
              </w:numPr>
              <w:spacing w:before="0" w:after="0"/>
              <w:ind w:left="576" w:hanging="576"/>
              <w:contextualSpacing/>
              <w:jc w:val="both"/>
              <w:rPr>
                <w:rFonts w:asciiTheme="minorHAnsi" w:eastAsia="Calibri" w:hAnsiTheme="minorHAnsi"/>
                <w:b w:val="0"/>
                <w:bCs w:val="0"/>
                <w:i w:val="0"/>
                <w:iCs w:val="0"/>
                <w:color w:val="000000"/>
                <w:spacing w:val="-2"/>
                <w:sz w:val="20"/>
                <w:szCs w:val="20"/>
              </w:rPr>
            </w:pPr>
            <w:r w:rsidRPr="00E34EC0">
              <w:rPr>
                <w:rFonts w:asciiTheme="minorHAnsi" w:hAnsiTheme="minorHAnsi"/>
                <w:b w:val="0"/>
                <w:i w:val="0"/>
                <w:color w:val="000000"/>
                <w:sz w:val="20"/>
                <w:szCs w:val="20"/>
              </w:rPr>
              <w:t>014 140</w:t>
            </w:r>
            <w:r w:rsidR="00B3541E" w:rsidRPr="00B3541E">
              <w:rPr>
                <w:rFonts w:asciiTheme="minorHAnsi" w:eastAsia="Calibri" w:hAnsiTheme="minorHAnsi"/>
                <w:b w:val="0"/>
                <w:bCs w:val="0"/>
                <w:i w:val="0"/>
                <w:iCs w:val="0"/>
                <w:color w:val="000000"/>
                <w:spacing w:val="-2"/>
                <w:sz w:val="20"/>
                <w:szCs w:val="20"/>
              </w:rPr>
              <w:t xml:space="preserve"> </w:t>
            </w:r>
            <w:r w:rsidR="00FD705A">
              <w:rPr>
                <w:rFonts w:asciiTheme="minorHAnsi" w:eastAsia="Calibri" w:hAnsiTheme="minorHAnsi"/>
                <w:b w:val="0"/>
                <w:bCs w:val="0"/>
                <w:i w:val="0"/>
                <w:iCs w:val="0"/>
                <w:color w:val="000000"/>
                <w:spacing w:val="-2"/>
                <w:sz w:val="20"/>
                <w:szCs w:val="20"/>
              </w:rPr>
              <w:t xml:space="preserve">– </w:t>
            </w:r>
            <w:r w:rsidR="00B3541E" w:rsidRPr="00B3541E">
              <w:rPr>
                <w:rFonts w:asciiTheme="minorHAnsi" w:eastAsia="Calibri" w:hAnsiTheme="minorHAnsi"/>
                <w:b w:val="0"/>
                <w:bCs w:val="0"/>
                <w:i w:val="0"/>
                <w:iCs w:val="0"/>
                <w:color w:val="000000"/>
                <w:spacing w:val="-2"/>
                <w:sz w:val="20"/>
                <w:szCs w:val="20"/>
              </w:rPr>
              <w:t>Rozvoj a obnova dopravních prostředků Policie ČR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7EC2" w14:textId="77777777" w:rsidR="00877D90" w:rsidRPr="00E34EC0" w:rsidRDefault="00877D90" w:rsidP="00D8682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4EC0">
              <w:rPr>
                <w:rFonts w:asciiTheme="minorHAnsi" w:eastAsia="Calibri" w:hAnsiTheme="minorHAnsi"/>
                <w:color w:val="000000"/>
                <w:spacing w:val="-2"/>
                <w:sz w:val="20"/>
                <w:szCs w:val="20"/>
              </w:rPr>
              <w:t>4 932,9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B3E4" w14:textId="77777777" w:rsidR="00877D90" w:rsidRPr="00E34EC0" w:rsidRDefault="00877D90" w:rsidP="00D8682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4EC0">
              <w:rPr>
                <w:rFonts w:asciiTheme="minorHAnsi" w:hAnsiTheme="minorHAnsi"/>
                <w:color w:val="000000"/>
                <w:sz w:val="20"/>
                <w:szCs w:val="20"/>
              </w:rPr>
              <w:t>556,2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FC62" w14:textId="77777777" w:rsidR="00877D90" w:rsidRPr="00E34EC0" w:rsidRDefault="00877D90" w:rsidP="00D8682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34EC0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  <w:r w:rsidR="0027761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E34EC0">
              <w:rPr>
                <w:rFonts w:asciiTheme="minorHAnsi" w:hAnsiTheme="minorHAnsi"/>
                <w:color w:val="000000"/>
                <w:sz w:val="20"/>
                <w:szCs w:val="20"/>
              </w:rPr>
              <w:t>%</w:t>
            </w:r>
          </w:p>
        </w:tc>
      </w:tr>
      <w:tr w:rsidR="00877D90" w:rsidRPr="00E34EC0" w14:paraId="2B10FC70" w14:textId="77777777" w:rsidTr="00B70859">
        <w:trPr>
          <w:trHeight w:val="7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371" w14:textId="15C2CF64" w:rsidR="00877D90" w:rsidRPr="00E34EC0" w:rsidRDefault="00B70859" w:rsidP="00D86824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</w:t>
            </w:r>
            <w:r w:rsidR="00877D90" w:rsidRPr="00E34EC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2493" w14:textId="26105BDF" w:rsidR="00877D90" w:rsidRPr="00E34EC0" w:rsidRDefault="00877D90" w:rsidP="00D626B0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34EC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16 367,</w:t>
            </w:r>
            <w:r w:rsidR="00D626B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0307" w14:textId="77777777" w:rsidR="00877D90" w:rsidRPr="00E34EC0" w:rsidRDefault="00877D90" w:rsidP="00D86824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34EC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4 996,9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0566" w14:textId="77777777" w:rsidR="00877D90" w:rsidRPr="00E34EC0" w:rsidRDefault="00877D90" w:rsidP="00D86824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34EC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31</w:t>
            </w:r>
            <w:r w:rsidR="0027761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E34EC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14:paraId="45B11B1F" w14:textId="6D9AEAF8" w:rsidR="00CC4E25" w:rsidRPr="00683897" w:rsidRDefault="00CC4E25" w:rsidP="00D86824">
      <w:pPr>
        <w:pStyle w:val="Default"/>
        <w:spacing w:after="120"/>
        <w:jc w:val="both"/>
        <w:rPr>
          <w:sz w:val="20"/>
          <w:szCs w:val="20"/>
        </w:rPr>
      </w:pPr>
      <w:r w:rsidRPr="007E49F9">
        <w:rPr>
          <w:b/>
          <w:sz w:val="20"/>
          <w:szCs w:val="20"/>
        </w:rPr>
        <w:t>Zdroj:</w:t>
      </w:r>
      <w:r w:rsidRPr="00683897">
        <w:rPr>
          <w:sz w:val="20"/>
          <w:szCs w:val="20"/>
        </w:rPr>
        <w:t xml:space="preserve"> </w:t>
      </w:r>
      <w:r w:rsidR="00FD705A">
        <w:rPr>
          <w:sz w:val="20"/>
          <w:szCs w:val="20"/>
        </w:rPr>
        <w:t>d</w:t>
      </w:r>
      <w:r w:rsidRPr="00683897">
        <w:rPr>
          <w:sz w:val="20"/>
          <w:szCs w:val="20"/>
        </w:rPr>
        <w:t xml:space="preserve">okumentace programů </w:t>
      </w:r>
      <w:r w:rsidR="00800351" w:rsidRPr="00800351">
        <w:rPr>
          <w:sz w:val="20"/>
          <w:szCs w:val="20"/>
        </w:rPr>
        <w:t>Policie</w:t>
      </w:r>
      <w:r w:rsidR="007E49F9">
        <w:rPr>
          <w:sz w:val="20"/>
          <w:szCs w:val="20"/>
        </w:rPr>
        <w:t>.</w:t>
      </w:r>
    </w:p>
    <w:p w14:paraId="366A4436" w14:textId="04653A94" w:rsidR="006D103F" w:rsidRDefault="0016112D" w:rsidP="006D103F">
      <w:pPr>
        <w:pStyle w:val="Default"/>
        <w:spacing w:before="120" w:after="120"/>
        <w:jc w:val="both"/>
        <w:rPr>
          <w:rFonts w:asciiTheme="minorHAnsi" w:hAnsiTheme="minorHAnsi"/>
          <w:color w:val="auto"/>
        </w:rPr>
      </w:pPr>
      <w:r w:rsidRPr="006655A8">
        <w:rPr>
          <w:rFonts w:asciiTheme="minorHAnsi" w:hAnsiTheme="minorHAnsi"/>
          <w:color w:val="auto"/>
        </w:rPr>
        <w:t>Koncepc</w:t>
      </w:r>
      <w:r>
        <w:rPr>
          <w:rFonts w:asciiTheme="minorHAnsi" w:hAnsiTheme="minorHAnsi"/>
          <w:color w:val="auto"/>
        </w:rPr>
        <w:t>i</w:t>
      </w:r>
      <w:r w:rsidRPr="006655A8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MV zpracovalo</w:t>
      </w:r>
      <w:r w:rsidR="00A15B43" w:rsidRPr="006655A8">
        <w:rPr>
          <w:rFonts w:asciiTheme="minorHAnsi" w:hAnsiTheme="minorHAnsi"/>
          <w:color w:val="auto"/>
        </w:rPr>
        <w:t xml:space="preserve"> v červnu roku 2016. Jedná se o první dokument </w:t>
      </w:r>
      <w:r w:rsidR="00FD705A">
        <w:rPr>
          <w:rFonts w:asciiTheme="minorHAnsi" w:hAnsiTheme="minorHAnsi"/>
          <w:color w:val="auto"/>
        </w:rPr>
        <w:t xml:space="preserve">rozvoje </w:t>
      </w:r>
      <w:r w:rsidR="00800351" w:rsidRPr="00800351">
        <w:rPr>
          <w:rFonts w:asciiTheme="minorHAnsi" w:hAnsiTheme="minorHAnsi" w:cstheme="minorHAnsi"/>
        </w:rPr>
        <w:t>Policie</w:t>
      </w:r>
      <w:r w:rsidR="00A15B43" w:rsidRPr="006655A8">
        <w:rPr>
          <w:rFonts w:asciiTheme="minorHAnsi" w:hAnsiTheme="minorHAnsi"/>
          <w:color w:val="auto"/>
        </w:rPr>
        <w:t xml:space="preserve"> střednědobého </w:t>
      </w:r>
      <w:r w:rsidR="00E43543">
        <w:rPr>
          <w:rFonts w:asciiTheme="minorHAnsi" w:hAnsiTheme="minorHAnsi"/>
          <w:color w:val="auto"/>
        </w:rPr>
        <w:t>charakteru</w:t>
      </w:r>
      <w:r w:rsidR="00A15B43" w:rsidRPr="006655A8">
        <w:rPr>
          <w:rFonts w:asciiTheme="minorHAnsi" w:hAnsiTheme="minorHAnsi"/>
          <w:color w:val="auto"/>
        </w:rPr>
        <w:t xml:space="preserve">. V rámci Koncepce provedlo </w:t>
      </w:r>
      <w:r w:rsidR="00C3430B">
        <w:rPr>
          <w:rFonts w:asciiTheme="minorHAnsi" w:hAnsiTheme="minorHAnsi" w:cs="Times New Roman"/>
        </w:rPr>
        <w:t>MV</w:t>
      </w:r>
      <w:r w:rsidR="00BB7853" w:rsidRPr="006655A8">
        <w:rPr>
          <w:rFonts w:asciiTheme="minorHAnsi" w:hAnsiTheme="minorHAnsi"/>
          <w:color w:val="auto"/>
        </w:rPr>
        <w:t xml:space="preserve"> </w:t>
      </w:r>
      <w:r w:rsidR="00A15B43" w:rsidRPr="006655A8">
        <w:rPr>
          <w:rFonts w:asciiTheme="minorHAnsi" w:hAnsiTheme="minorHAnsi"/>
          <w:color w:val="auto"/>
        </w:rPr>
        <w:t>vyhodnocení současné situace, stanovilo cíle a</w:t>
      </w:r>
      <w:r w:rsidR="00FD705A">
        <w:rPr>
          <w:rFonts w:asciiTheme="minorHAnsi" w:hAnsiTheme="minorHAnsi"/>
          <w:color w:val="auto"/>
        </w:rPr>
        <w:t xml:space="preserve"> </w:t>
      </w:r>
      <w:r w:rsidR="00A15B43" w:rsidRPr="006655A8">
        <w:rPr>
          <w:rFonts w:asciiTheme="minorHAnsi" w:hAnsiTheme="minorHAnsi"/>
          <w:color w:val="auto"/>
        </w:rPr>
        <w:t xml:space="preserve">definovalo systémová opatření a </w:t>
      </w:r>
      <w:r w:rsidR="00197BBE" w:rsidRPr="006655A8">
        <w:rPr>
          <w:rFonts w:asciiTheme="minorHAnsi" w:hAnsiTheme="minorHAnsi"/>
          <w:color w:val="auto"/>
        </w:rPr>
        <w:t>postupy</w:t>
      </w:r>
      <w:r w:rsidR="00A15B43" w:rsidRPr="006655A8">
        <w:rPr>
          <w:rFonts w:asciiTheme="minorHAnsi" w:hAnsiTheme="minorHAnsi"/>
          <w:color w:val="auto"/>
        </w:rPr>
        <w:t xml:space="preserve">, </w:t>
      </w:r>
      <w:r w:rsidR="00FD705A">
        <w:rPr>
          <w:rFonts w:asciiTheme="minorHAnsi" w:hAnsiTheme="minorHAnsi"/>
          <w:color w:val="auto"/>
        </w:rPr>
        <w:t>jež</w:t>
      </w:r>
      <w:r w:rsidR="00FD705A" w:rsidRPr="006655A8">
        <w:rPr>
          <w:rFonts w:asciiTheme="minorHAnsi" w:hAnsiTheme="minorHAnsi"/>
          <w:color w:val="auto"/>
        </w:rPr>
        <w:t xml:space="preserve"> </w:t>
      </w:r>
      <w:r w:rsidR="00A15B43" w:rsidRPr="006655A8">
        <w:rPr>
          <w:rFonts w:asciiTheme="minorHAnsi" w:hAnsiTheme="minorHAnsi"/>
          <w:color w:val="auto"/>
        </w:rPr>
        <w:t xml:space="preserve">mají zajistit dosažení cílů. </w:t>
      </w:r>
      <w:r w:rsidR="00E43543">
        <w:rPr>
          <w:rFonts w:asciiTheme="minorHAnsi" w:hAnsiTheme="minorHAnsi"/>
          <w:iCs/>
          <w:color w:val="auto"/>
        </w:rPr>
        <w:t>Mezi</w:t>
      </w:r>
      <w:r w:rsidR="00A15B43" w:rsidRPr="006655A8">
        <w:rPr>
          <w:rFonts w:asciiTheme="minorHAnsi" w:hAnsiTheme="minorHAnsi"/>
          <w:iCs/>
          <w:color w:val="auto"/>
        </w:rPr>
        <w:t xml:space="preserve"> slabé stránky </w:t>
      </w:r>
      <w:r w:rsidR="00800351" w:rsidRPr="00800351">
        <w:rPr>
          <w:rFonts w:asciiTheme="minorHAnsi" w:hAnsiTheme="minorHAnsi" w:cstheme="minorHAnsi"/>
        </w:rPr>
        <w:t>Policie</w:t>
      </w:r>
      <w:r w:rsidR="00A15B43" w:rsidRPr="006655A8">
        <w:rPr>
          <w:rFonts w:asciiTheme="minorHAnsi" w:hAnsiTheme="minorHAnsi"/>
          <w:iCs/>
          <w:color w:val="auto"/>
        </w:rPr>
        <w:t xml:space="preserve"> </w:t>
      </w:r>
      <w:r w:rsidR="00E43543">
        <w:rPr>
          <w:rFonts w:asciiTheme="minorHAnsi" w:hAnsiTheme="minorHAnsi"/>
          <w:iCs/>
          <w:color w:val="auto"/>
        </w:rPr>
        <w:t>patří</w:t>
      </w:r>
      <w:r w:rsidR="00A15B43" w:rsidRPr="006655A8">
        <w:rPr>
          <w:rFonts w:asciiTheme="minorHAnsi" w:hAnsiTheme="minorHAnsi"/>
          <w:iCs/>
          <w:color w:val="auto"/>
        </w:rPr>
        <w:t xml:space="preserve"> mj.</w:t>
      </w:r>
      <w:r w:rsidR="00A15B43" w:rsidRPr="006655A8">
        <w:rPr>
          <w:rFonts w:asciiTheme="minorHAnsi" w:hAnsiTheme="minorHAnsi"/>
          <w:color w:val="auto"/>
        </w:rPr>
        <w:t xml:space="preserve"> omezování </w:t>
      </w:r>
      <w:r w:rsidR="00E43543">
        <w:rPr>
          <w:rFonts w:asciiTheme="minorHAnsi" w:hAnsiTheme="minorHAnsi"/>
          <w:color w:val="auto"/>
        </w:rPr>
        <w:t xml:space="preserve">jejích </w:t>
      </w:r>
      <w:r w:rsidR="00A15B43" w:rsidRPr="006655A8">
        <w:rPr>
          <w:rFonts w:asciiTheme="minorHAnsi" w:hAnsiTheme="minorHAnsi"/>
          <w:color w:val="auto"/>
        </w:rPr>
        <w:t>schopností v</w:t>
      </w:r>
      <w:r w:rsidR="004A3F76" w:rsidRPr="006655A8">
        <w:rPr>
          <w:rFonts w:asciiTheme="minorHAnsi" w:hAnsiTheme="minorHAnsi"/>
          <w:color w:val="auto"/>
        </w:rPr>
        <w:t> </w:t>
      </w:r>
      <w:r w:rsidR="00A15B43" w:rsidRPr="006655A8">
        <w:rPr>
          <w:rFonts w:asciiTheme="minorHAnsi" w:hAnsiTheme="minorHAnsi"/>
          <w:color w:val="auto"/>
        </w:rPr>
        <w:t>důsledku zastarávání či nedostatečné vybavenosti</w:t>
      </w:r>
      <w:r w:rsidR="004A3F76" w:rsidRPr="006655A8">
        <w:rPr>
          <w:rFonts w:asciiTheme="minorHAnsi" w:hAnsiTheme="minorHAnsi"/>
          <w:color w:val="auto"/>
        </w:rPr>
        <w:t xml:space="preserve"> majetkem</w:t>
      </w:r>
      <w:r w:rsidR="00A15B43" w:rsidRPr="006655A8">
        <w:rPr>
          <w:rFonts w:asciiTheme="minorHAnsi" w:hAnsiTheme="minorHAnsi"/>
          <w:color w:val="auto"/>
        </w:rPr>
        <w:t>, absence systémových informací k</w:t>
      </w:r>
      <w:r w:rsidR="004A3F76" w:rsidRPr="006655A8">
        <w:rPr>
          <w:rFonts w:asciiTheme="minorHAnsi" w:hAnsiTheme="minorHAnsi"/>
          <w:color w:val="auto"/>
        </w:rPr>
        <w:t> </w:t>
      </w:r>
      <w:r w:rsidR="00A15B43" w:rsidRPr="006655A8">
        <w:rPr>
          <w:rFonts w:asciiTheme="minorHAnsi" w:hAnsiTheme="minorHAnsi"/>
          <w:color w:val="auto"/>
        </w:rPr>
        <w:t>plánování obměn a</w:t>
      </w:r>
      <w:r w:rsidR="001549EA">
        <w:rPr>
          <w:rFonts w:asciiTheme="minorHAnsi" w:hAnsiTheme="minorHAnsi"/>
          <w:color w:val="auto"/>
        </w:rPr>
        <w:t> </w:t>
      </w:r>
      <w:r w:rsidR="00A15B43" w:rsidRPr="006655A8">
        <w:rPr>
          <w:rFonts w:asciiTheme="minorHAnsi" w:hAnsiTheme="minorHAnsi"/>
          <w:color w:val="auto"/>
        </w:rPr>
        <w:t>nákup</w:t>
      </w:r>
      <w:r w:rsidR="00FD705A">
        <w:rPr>
          <w:rFonts w:asciiTheme="minorHAnsi" w:hAnsiTheme="minorHAnsi"/>
          <w:color w:val="auto"/>
        </w:rPr>
        <w:t>ů</w:t>
      </w:r>
      <w:r w:rsidR="00A15B43" w:rsidRPr="006655A8">
        <w:rPr>
          <w:rFonts w:asciiTheme="minorHAnsi" w:hAnsiTheme="minorHAnsi"/>
          <w:color w:val="auto"/>
        </w:rPr>
        <w:t xml:space="preserve"> majetku nebo </w:t>
      </w:r>
      <w:r w:rsidR="00983862" w:rsidRPr="006655A8">
        <w:rPr>
          <w:rFonts w:asciiTheme="minorHAnsi" w:hAnsiTheme="minorHAnsi"/>
          <w:color w:val="auto"/>
        </w:rPr>
        <w:t xml:space="preserve">dlouhodobý nedostatek prostředků na </w:t>
      </w:r>
      <w:r w:rsidR="004A3F76" w:rsidRPr="006655A8">
        <w:rPr>
          <w:rFonts w:asciiTheme="minorHAnsi" w:hAnsiTheme="minorHAnsi"/>
          <w:color w:val="auto"/>
        </w:rPr>
        <w:t xml:space="preserve">jeho </w:t>
      </w:r>
      <w:r w:rsidR="00983862" w:rsidRPr="006655A8">
        <w:rPr>
          <w:rFonts w:asciiTheme="minorHAnsi" w:hAnsiTheme="minorHAnsi"/>
          <w:color w:val="auto"/>
        </w:rPr>
        <w:t>obnovu</w:t>
      </w:r>
      <w:r w:rsidR="00280592">
        <w:rPr>
          <w:rFonts w:asciiTheme="minorHAnsi" w:hAnsiTheme="minorHAnsi"/>
          <w:color w:val="auto"/>
        </w:rPr>
        <w:t xml:space="preserve"> a pořízení</w:t>
      </w:r>
      <w:r w:rsidR="00983862" w:rsidRPr="006655A8">
        <w:rPr>
          <w:rFonts w:asciiTheme="minorHAnsi" w:hAnsiTheme="minorHAnsi"/>
          <w:color w:val="auto"/>
        </w:rPr>
        <w:t>.</w:t>
      </w:r>
      <w:r w:rsidR="00E70508" w:rsidRPr="006655A8">
        <w:rPr>
          <w:rFonts w:asciiTheme="minorHAnsi" w:hAnsiTheme="minorHAnsi"/>
          <w:color w:val="auto"/>
        </w:rPr>
        <w:t xml:space="preserve"> Na realizaci cílů Koncepce nemá </w:t>
      </w:r>
      <w:r w:rsidR="006276D8" w:rsidRPr="006655A8">
        <w:rPr>
          <w:rFonts w:asciiTheme="minorHAnsi" w:hAnsiTheme="minorHAnsi"/>
          <w:color w:val="auto"/>
        </w:rPr>
        <w:t>MV</w:t>
      </w:r>
      <w:r w:rsidR="00BB7853" w:rsidRPr="006655A8">
        <w:rPr>
          <w:rFonts w:asciiTheme="minorHAnsi" w:hAnsiTheme="minorHAnsi"/>
          <w:color w:val="auto"/>
        </w:rPr>
        <w:t xml:space="preserve"> </w:t>
      </w:r>
      <w:r w:rsidR="006276D8" w:rsidRPr="006655A8">
        <w:rPr>
          <w:rFonts w:asciiTheme="minorHAnsi" w:hAnsiTheme="minorHAnsi"/>
          <w:color w:val="auto"/>
        </w:rPr>
        <w:t>zajištěn</w:t>
      </w:r>
      <w:r w:rsidR="00306D30">
        <w:rPr>
          <w:rFonts w:asciiTheme="minorHAnsi" w:hAnsiTheme="minorHAnsi"/>
          <w:color w:val="auto"/>
        </w:rPr>
        <w:t>y</w:t>
      </w:r>
      <w:r w:rsidR="006276D8" w:rsidRPr="006655A8">
        <w:rPr>
          <w:rFonts w:asciiTheme="minorHAnsi" w:hAnsiTheme="minorHAnsi"/>
          <w:color w:val="auto"/>
        </w:rPr>
        <w:t xml:space="preserve"> prostředky</w:t>
      </w:r>
      <w:r>
        <w:rPr>
          <w:rFonts w:asciiTheme="minorHAnsi" w:hAnsiTheme="minorHAnsi"/>
          <w:color w:val="auto"/>
        </w:rPr>
        <w:t>.</w:t>
      </w:r>
      <w:r w:rsidR="006D103F" w:rsidRPr="006D103F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V</w:t>
      </w:r>
      <w:r w:rsidR="006D103F" w:rsidRPr="006D103F">
        <w:rPr>
          <w:rFonts w:asciiTheme="minorHAnsi" w:hAnsiTheme="minorHAnsi"/>
          <w:color w:val="auto"/>
        </w:rPr>
        <w:t xml:space="preserve">eškeré požadavky na lidské a finanční zdroje mají být dle předkládací zprávy ke Koncepci řešeny až v </w:t>
      </w:r>
      <w:r w:rsidR="00682F4C">
        <w:rPr>
          <w:rFonts w:asciiTheme="minorHAnsi" w:hAnsiTheme="minorHAnsi"/>
          <w:color w:val="auto"/>
        </w:rPr>
        <w:t>rámci</w:t>
      </w:r>
      <w:r w:rsidR="00682F4C" w:rsidRPr="006D103F">
        <w:rPr>
          <w:rFonts w:asciiTheme="minorHAnsi" w:hAnsiTheme="minorHAnsi"/>
          <w:color w:val="auto"/>
        </w:rPr>
        <w:t xml:space="preserve"> </w:t>
      </w:r>
      <w:r w:rsidR="006D103F" w:rsidRPr="006D103F">
        <w:rPr>
          <w:rFonts w:asciiTheme="minorHAnsi" w:hAnsiTheme="minorHAnsi"/>
          <w:color w:val="auto"/>
        </w:rPr>
        <w:t>přípravy návrhu státního rozpočtu na příslušný rozpočtový rok.</w:t>
      </w:r>
      <w:r w:rsidR="006D103F">
        <w:rPr>
          <w:rFonts w:asciiTheme="minorHAnsi" w:hAnsiTheme="minorHAnsi"/>
          <w:color w:val="auto"/>
        </w:rPr>
        <w:t xml:space="preserve"> </w:t>
      </w:r>
      <w:r w:rsidR="00983862" w:rsidRPr="006655A8">
        <w:rPr>
          <w:rFonts w:asciiTheme="minorHAnsi" w:hAnsiTheme="minorHAnsi"/>
          <w:color w:val="auto"/>
        </w:rPr>
        <w:t xml:space="preserve">Počátkem roku </w:t>
      </w:r>
      <w:r w:rsidR="00A15B43" w:rsidRPr="006655A8">
        <w:rPr>
          <w:rFonts w:asciiTheme="minorHAnsi" w:hAnsiTheme="minorHAnsi"/>
          <w:color w:val="auto"/>
        </w:rPr>
        <w:t xml:space="preserve">2017 byla v souvislosti s vývojem bezpečnostní situace </w:t>
      </w:r>
      <w:r w:rsidR="00983862" w:rsidRPr="006655A8">
        <w:rPr>
          <w:rFonts w:asciiTheme="minorHAnsi" w:hAnsiTheme="minorHAnsi"/>
          <w:color w:val="auto"/>
        </w:rPr>
        <w:t xml:space="preserve">provedena </w:t>
      </w:r>
      <w:r w:rsidR="009A2986">
        <w:rPr>
          <w:rFonts w:asciiTheme="minorHAnsi" w:hAnsiTheme="minorHAnsi"/>
          <w:color w:val="auto"/>
        </w:rPr>
        <w:t xml:space="preserve">její </w:t>
      </w:r>
      <w:r w:rsidR="00983862" w:rsidRPr="006655A8">
        <w:rPr>
          <w:rFonts w:asciiTheme="minorHAnsi" w:hAnsiTheme="minorHAnsi"/>
          <w:color w:val="auto"/>
        </w:rPr>
        <w:t>aktualizace</w:t>
      </w:r>
      <w:r w:rsidR="00E70508" w:rsidRPr="006655A8">
        <w:rPr>
          <w:rFonts w:asciiTheme="minorHAnsi" w:hAnsiTheme="minorHAnsi"/>
          <w:color w:val="auto"/>
        </w:rPr>
        <w:t>.</w:t>
      </w:r>
      <w:r w:rsidR="00983862" w:rsidRPr="006655A8">
        <w:rPr>
          <w:rFonts w:asciiTheme="minorHAnsi" w:hAnsiTheme="minorHAnsi"/>
          <w:color w:val="auto"/>
        </w:rPr>
        <w:t xml:space="preserve"> </w:t>
      </w:r>
      <w:r w:rsidR="00FF30D1" w:rsidRPr="006655A8">
        <w:rPr>
          <w:rFonts w:asciiTheme="minorHAnsi" w:hAnsiTheme="minorHAnsi"/>
          <w:color w:val="auto"/>
        </w:rPr>
        <w:t>MV</w:t>
      </w:r>
      <w:r w:rsidR="00BB7853" w:rsidRPr="006655A8">
        <w:rPr>
          <w:rFonts w:asciiTheme="minorHAnsi" w:hAnsiTheme="minorHAnsi"/>
          <w:color w:val="auto"/>
        </w:rPr>
        <w:t xml:space="preserve"> </w:t>
      </w:r>
      <w:r w:rsidR="00983862" w:rsidRPr="006655A8">
        <w:rPr>
          <w:rFonts w:asciiTheme="minorHAnsi" w:hAnsiTheme="minorHAnsi"/>
          <w:color w:val="auto"/>
        </w:rPr>
        <w:t>v</w:t>
      </w:r>
      <w:r w:rsidR="00A15B43" w:rsidRPr="006655A8">
        <w:rPr>
          <w:rFonts w:asciiTheme="minorHAnsi" w:hAnsiTheme="minorHAnsi"/>
          <w:color w:val="auto"/>
        </w:rPr>
        <w:t> souvislosti s</w:t>
      </w:r>
      <w:r w:rsidR="0064321D">
        <w:rPr>
          <w:rFonts w:asciiTheme="minorHAnsi" w:hAnsiTheme="minorHAnsi"/>
          <w:color w:val="auto"/>
        </w:rPr>
        <w:t> </w:t>
      </w:r>
      <w:r w:rsidR="00A15B43" w:rsidRPr="006655A8">
        <w:rPr>
          <w:rFonts w:asciiTheme="minorHAnsi" w:hAnsiTheme="minorHAnsi"/>
          <w:iCs/>
          <w:color w:val="auto"/>
        </w:rPr>
        <w:t>limity trhu práce</w:t>
      </w:r>
      <w:r w:rsidR="00A15B43" w:rsidRPr="006655A8">
        <w:rPr>
          <w:rStyle w:val="Znakapoznpodarou"/>
          <w:rFonts w:asciiTheme="minorHAnsi" w:hAnsiTheme="minorHAnsi"/>
          <w:iCs/>
          <w:color w:val="auto"/>
        </w:rPr>
        <w:footnoteReference w:id="10"/>
      </w:r>
      <w:r w:rsidR="00A15B43" w:rsidRPr="006655A8">
        <w:rPr>
          <w:rFonts w:asciiTheme="minorHAnsi" w:hAnsiTheme="minorHAnsi"/>
          <w:color w:val="auto"/>
        </w:rPr>
        <w:t xml:space="preserve"> navrhl</w:t>
      </w:r>
      <w:r w:rsidR="00306D30">
        <w:rPr>
          <w:rFonts w:asciiTheme="minorHAnsi" w:hAnsiTheme="minorHAnsi"/>
          <w:color w:val="auto"/>
        </w:rPr>
        <w:t>o</w:t>
      </w:r>
      <w:r w:rsidR="00A15B43" w:rsidRPr="006655A8">
        <w:rPr>
          <w:rFonts w:asciiTheme="minorHAnsi" w:hAnsiTheme="minorHAnsi"/>
          <w:color w:val="auto"/>
        </w:rPr>
        <w:t xml:space="preserve"> prodloužení </w:t>
      </w:r>
      <w:r w:rsidR="00FF30D1" w:rsidRPr="006655A8">
        <w:rPr>
          <w:rFonts w:asciiTheme="minorHAnsi" w:hAnsiTheme="minorHAnsi"/>
          <w:color w:val="auto"/>
        </w:rPr>
        <w:t>realizace</w:t>
      </w:r>
      <w:r w:rsidR="00A15B43" w:rsidRPr="006655A8">
        <w:rPr>
          <w:rFonts w:asciiTheme="minorHAnsi" w:hAnsiTheme="minorHAnsi"/>
          <w:color w:val="auto"/>
        </w:rPr>
        <w:t xml:space="preserve"> </w:t>
      </w:r>
      <w:r w:rsidR="009A2986">
        <w:rPr>
          <w:rFonts w:asciiTheme="minorHAnsi" w:hAnsiTheme="minorHAnsi"/>
          <w:color w:val="auto"/>
        </w:rPr>
        <w:t xml:space="preserve">Koncepce </w:t>
      </w:r>
      <w:r w:rsidR="00A15B43" w:rsidRPr="00A15B43">
        <w:rPr>
          <w:rFonts w:asciiTheme="minorHAnsi" w:hAnsiTheme="minorHAnsi"/>
        </w:rPr>
        <w:t xml:space="preserve">až do roku 2022. </w:t>
      </w:r>
      <w:r w:rsidR="009A2986">
        <w:rPr>
          <w:rFonts w:asciiTheme="minorHAnsi" w:hAnsiTheme="minorHAnsi"/>
        </w:rPr>
        <w:t>V aktualizované podobě</w:t>
      </w:r>
      <w:r w:rsidR="00A15B43" w:rsidRPr="00A15B43">
        <w:rPr>
          <w:rFonts w:asciiTheme="minorHAnsi" w:hAnsiTheme="minorHAnsi"/>
        </w:rPr>
        <w:t xml:space="preserve"> byla schválena usnesením </w:t>
      </w:r>
      <w:r w:rsidR="00FD705A" w:rsidRPr="00A15B43">
        <w:rPr>
          <w:rFonts w:asciiTheme="minorHAnsi" w:hAnsiTheme="minorHAnsi"/>
        </w:rPr>
        <w:t>vlád</w:t>
      </w:r>
      <w:r w:rsidR="00FD705A">
        <w:rPr>
          <w:rFonts w:asciiTheme="minorHAnsi" w:hAnsiTheme="minorHAnsi"/>
        </w:rPr>
        <w:t>y</w:t>
      </w:r>
      <w:r w:rsidR="00FD705A" w:rsidRPr="00A15B43">
        <w:rPr>
          <w:rFonts w:asciiTheme="minorHAnsi" w:hAnsiTheme="minorHAnsi"/>
        </w:rPr>
        <w:t xml:space="preserve"> </w:t>
      </w:r>
      <w:r w:rsidR="00A15B43" w:rsidRPr="00A15B43">
        <w:rPr>
          <w:rFonts w:asciiTheme="minorHAnsi" w:hAnsiTheme="minorHAnsi"/>
        </w:rPr>
        <w:t>č.</w:t>
      </w:r>
      <w:r w:rsidR="00E70508">
        <w:rPr>
          <w:rFonts w:asciiTheme="minorHAnsi" w:hAnsiTheme="minorHAnsi"/>
        </w:rPr>
        <w:t> </w:t>
      </w:r>
      <w:r w:rsidR="00A15B43" w:rsidRPr="00A15B43">
        <w:rPr>
          <w:rFonts w:asciiTheme="minorHAnsi" w:hAnsiTheme="minorHAnsi"/>
        </w:rPr>
        <w:t>428/2017</w:t>
      </w:r>
      <w:r w:rsidR="00A15B43" w:rsidRPr="00A15B43">
        <w:rPr>
          <w:rStyle w:val="Znakapoznpodarou"/>
          <w:rFonts w:asciiTheme="minorHAnsi" w:hAnsiTheme="minorHAnsi"/>
        </w:rPr>
        <w:footnoteReference w:id="11"/>
      </w:r>
      <w:r w:rsidR="00A15B43" w:rsidRPr="00A15B43">
        <w:rPr>
          <w:rFonts w:asciiTheme="minorHAnsi" w:hAnsiTheme="minorHAnsi"/>
        </w:rPr>
        <w:t xml:space="preserve">. </w:t>
      </w:r>
    </w:p>
    <w:p w14:paraId="25C79E31" w14:textId="3A84FA6F" w:rsidR="00036E98" w:rsidRPr="006655A8" w:rsidRDefault="00A15B43" w:rsidP="006D103F">
      <w:pPr>
        <w:pStyle w:val="Default"/>
        <w:spacing w:before="120" w:after="120"/>
        <w:jc w:val="both"/>
        <w:rPr>
          <w:rFonts w:asciiTheme="minorHAnsi" w:hAnsiTheme="minorHAnsi"/>
          <w:color w:val="auto"/>
        </w:rPr>
      </w:pPr>
      <w:r w:rsidRPr="006655A8">
        <w:rPr>
          <w:rFonts w:asciiTheme="minorHAnsi" w:hAnsiTheme="minorHAnsi"/>
          <w:color w:val="auto"/>
        </w:rPr>
        <w:t xml:space="preserve">Koncepce obsahuje </w:t>
      </w:r>
      <w:r w:rsidR="00066240" w:rsidRPr="006655A8">
        <w:rPr>
          <w:rFonts w:asciiTheme="minorHAnsi" w:hAnsiTheme="minorHAnsi"/>
          <w:color w:val="auto"/>
        </w:rPr>
        <w:t xml:space="preserve">také </w:t>
      </w:r>
      <w:r w:rsidRPr="006655A8">
        <w:rPr>
          <w:rFonts w:asciiTheme="minorHAnsi" w:hAnsiTheme="minorHAnsi"/>
          <w:color w:val="auto"/>
        </w:rPr>
        <w:t xml:space="preserve">vyčíslení výdajů spojených s přijetím 4 000 policistů v období </w:t>
      </w:r>
      <w:r w:rsidR="00E70508" w:rsidRPr="006655A8">
        <w:rPr>
          <w:rFonts w:asciiTheme="minorHAnsi" w:hAnsiTheme="minorHAnsi"/>
          <w:color w:val="auto"/>
        </w:rPr>
        <w:t xml:space="preserve">let </w:t>
      </w:r>
      <w:r w:rsidRPr="006655A8">
        <w:rPr>
          <w:rFonts w:asciiTheme="minorHAnsi" w:hAnsiTheme="minorHAnsi"/>
          <w:color w:val="auto"/>
        </w:rPr>
        <w:t xml:space="preserve">2016 </w:t>
      </w:r>
      <w:r w:rsidR="002D1B32">
        <w:rPr>
          <w:rFonts w:asciiTheme="minorHAnsi" w:hAnsiTheme="minorHAnsi"/>
          <w:color w:val="auto"/>
        </w:rPr>
        <w:t>až</w:t>
      </w:r>
      <w:r w:rsidRPr="006655A8">
        <w:rPr>
          <w:rFonts w:asciiTheme="minorHAnsi" w:hAnsiTheme="minorHAnsi"/>
          <w:color w:val="auto"/>
        </w:rPr>
        <w:t xml:space="preserve"> 2020, </w:t>
      </w:r>
      <w:r w:rsidR="00E43543">
        <w:rPr>
          <w:rFonts w:asciiTheme="minorHAnsi" w:hAnsiTheme="minorHAnsi"/>
          <w:color w:val="auto"/>
        </w:rPr>
        <w:t>což</w:t>
      </w:r>
      <w:r w:rsidRPr="006655A8">
        <w:rPr>
          <w:rFonts w:asciiTheme="minorHAnsi" w:hAnsiTheme="minorHAnsi"/>
          <w:color w:val="auto"/>
        </w:rPr>
        <w:t xml:space="preserve"> pře</w:t>
      </w:r>
      <w:r w:rsidR="00B36392">
        <w:rPr>
          <w:rFonts w:asciiTheme="minorHAnsi" w:hAnsiTheme="minorHAnsi"/>
          <w:color w:val="auto"/>
        </w:rPr>
        <w:t>d</w:t>
      </w:r>
      <w:r w:rsidRPr="006655A8">
        <w:rPr>
          <w:rFonts w:asciiTheme="minorHAnsi" w:hAnsiTheme="minorHAnsi"/>
          <w:color w:val="auto"/>
        </w:rPr>
        <w:t xml:space="preserve">stavuje částku 8,3 mld. Kč, z toho investiční výdaje 2,7 mld. Kč. </w:t>
      </w:r>
      <w:r w:rsidR="00066240" w:rsidRPr="006655A8">
        <w:rPr>
          <w:rFonts w:asciiTheme="minorHAnsi" w:hAnsiTheme="minorHAnsi"/>
          <w:color w:val="auto"/>
        </w:rPr>
        <w:t xml:space="preserve">Personální </w:t>
      </w:r>
      <w:r w:rsidR="00036E98" w:rsidRPr="006655A8">
        <w:rPr>
          <w:rFonts w:asciiTheme="minorHAnsi" w:hAnsiTheme="minorHAnsi"/>
          <w:color w:val="auto"/>
        </w:rPr>
        <w:t>posilování</w:t>
      </w:r>
      <w:r w:rsidR="00066240" w:rsidRPr="006655A8">
        <w:rPr>
          <w:rFonts w:asciiTheme="minorHAnsi" w:hAnsiTheme="minorHAnsi"/>
          <w:color w:val="auto"/>
        </w:rPr>
        <w:t xml:space="preserve"> </w:t>
      </w:r>
      <w:r w:rsidR="00800351" w:rsidRPr="00800351">
        <w:rPr>
          <w:rFonts w:asciiTheme="minorHAnsi" w:hAnsiTheme="minorHAnsi" w:cstheme="minorHAnsi"/>
        </w:rPr>
        <w:t>Policie</w:t>
      </w:r>
      <w:r w:rsidR="00036E98" w:rsidRPr="006655A8">
        <w:rPr>
          <w:rFonts w:asciiTheme="minorHAnsi" w:hAnsiTheme="minorHAnsi"/>
          <w:color w:val="auto"/>
        </w:rPr>
        <w:t xml:space="preserve"> probíhající od roku 2016 </w:t>
      </w:r>
      <w:r w:rsidR="00066240" w:rsidRPr="006655A8">
        <w:rPr>
          <w:rFonts w:asciiTheme="minorHAnsi" w:hAnsiTheme="minorHAnsi"/>
          <w:color w:val="auto"/>
        </w:rPr>
        <w:t xml:space="preserve">má mj. zajistit zkrácení dojezdových časů prvosledových hlídek nebo </w:t>
      </w:r>
      <w:r w:rsidR="00112DA8" w:rsidRPr="006655A8">
        <w:rPr>
          <w:rFonts w:asciiTheme="minorHAnsi" w:hAnsiTheme="minorHAnsi"/>
          <w:color w:val="auto"/>
        </w:rPr>
        <w:t>schopnost plnit úkoly vyplývající z mezinárodních závazků ČR</w:t>
      </w:r>
      <w:r w:rsidR="00066240" w:rsidRPr="006655A8">
        <w:rPr>
          <w:rFonts w:asciiTheme="minorHAnsi" w:hAnsiTheme="minorHAnsi"/>
          <w:color w:val="auto"/>
        </w:rPr>
        <w:t xml:space="preserve">. </w:t>
      </w:r>
      <w:r w:rsidR="009E252E" w:rsidRPr="006655A8">
        <w:rPr>
          <w:rFonts w:asciiTheme="minorHAnsi" w:hAnsiTheme="minorHAnsi"/>
          <w:color w:val="auto"/>
        </w:rPr>
        <w:t>N</w:t>
      </w:r>
      <w:r w:rsidR="00036E98" w:rsidRPr="006655A8">
        <w:rPr>
          <w:rFonts w:asciiTheme="minorHAnsi" w:hAnsiTheme="minorHAnsi"/>
          <w:color w:val="auto"/>
        </w:rPr>
        <w:t>avýšení počtu policistů zdůvodnila</w:t>
      </w:r>
      <w:r w:rsidR="00036E98" w:rsidRPr="006655A8">
        <w:rPr>
          <w:rStyle w:val="Znakapoznpodarou"/>
          <w:rFonts w:asciiTheme="minorHAnsi" w:hAnsiTheme="minorHAnsi"/>
          <w:color w:val="auto"/>
        </w:rPr>
        <w:footnoteReference w:id="12"/>
      </w:r>
      <w:r w:rsidR="00036E98" w:rsidRPr="006655A8">
        <w:rPr>
          <w:rFonts w:asciiTheme="minorHAnsi" w:hAnsiTheme="minorHAnsi"/>
          <w:color w:val="auto"/>
        </w:rPr>
        <w:t xml:space="preserve"> </w:t>
      </w:r>
      <w:r w:rsidR="00800351" w:rsidRPr="00800351">
        <w:rPr>
          <w:rFonts w:asciiTheme="minorHAnsi" w:hAnsiTheme="minorHAnsi" w:cstheme="minorHAnsi"/>
        </w:rPr>
        <w:t>Policie</w:t>
      </w:r>
      <w:r w:rsidR="00E43543" w:rsidRPr="006655A8">
        <w:rPr>
          <w:rFonts w:asciiTheme="minorHAnsi" w:hAnsiTheme="minorHAnsi"/>
          <w:color w:val="auto"/>
        </w:rPr>
        <w:t xml:space="preserve"> </w:t>
      </w:r>
      <w:r w:rsidR="00036E98" w:rsidRPr="006655A8">
        <w:rPr>
          <w:rFonts w:asciiTheme="minorHAnsi" w:hAnsiTheme="minorHAnsi"/>
          <w:color w:val="auto"/>
        </w:rPr>
        <w:t>mj. tím</w:t>
      </w:r>
      <w:r w:rsidR="00066240" w:rsidRPr="006655A8">
        <w:rPr>
          <w:rFonts w:asciiTheme="minorHAnsi" w:hAnsiTheme="minorHAnsi"/>
          <w:color w:val="auto"/>
        </w:rPr>
        <w:t>, že byla nucena některé činnosti v</w:t>
      </w:r>
      <w:r w:rsidR="0064321D">
        <w:rPr>
          <w:rFonts w:asciiTheme="minorHAnsi" w:hAnsiTheme="minorHAnsi"/>
          <w:color w:val="auto"/>
        </w:rPr>
        <w:t> </w:t>
      </w:r>
      <w:r w:rsidR="00066240" w:rsidRPr="006655A8">
        <w:rPr>
          <w:rFonts w:asciiTheme="minorHAnsi" w:hAnsiTheme="minorHAnsi"/>
          <w:color w:val="auto"/>
        </w:rPr>
        <w:t>minulých letech omezit</w:t>
      </w:r>
      <w:r w:rsidR="00B36392">
        <w:rPr>
          <w:rFonts w:asciiTheme="minorHAnsi" w:hAnsiTheme="minorHAnsi"/>
          <w:color w:val="auto"/>
        </w:rPr>
        <w:t>,</w:t>
      </w:r>
      <w:r w:rsidR="00066240" w:rsidRPr="006655A8">
        <w:rPr>
          <w:rFonts w:asciiTheme="minorHAnsi" w:hAnsiTheme="minorHAnsi"/>
          <w:color w:val="auto"/>
        </w:rPr>
        <w:t xml:space="preserve"> či dokonce neefektivně propojit s jinými a </w:t>
      </w:r>
      <w:r w:rsidR="00682F4C">
        <w:rPr>
          <w:rFonts w:asciiTheme="minorHAnsi" w:hAnsiTheme="minorHAnsi"/>
          <w:color w:val="auto"/>
        </w:rPr>
        <w:t xml:space="preserve">zároveň </w:t>
      </w:r>
      <w:r w:rsidR="00066240" w:rsidRPr="006655A8">
        <w:rPr>
          <w:rFonts w:asciiTheme="minorHAnsi" w:hAnsiTheme="minorHAnsi"/>
          <w:color w:val="auto"/>
        </w:rPr>
        <w:t xml:space="preserve">kvůli omezování rozpočtových prostředků </w:t>
      </w:r>
      <w:r w:rsidR="00682F4C">
        <w:rPr>
          <w:rFonts w:asciiTheme="minorHAnsi" w:hAnsiTheme="minorHAnsi"/>
          <w:color w:val="auto"/>
        </w:rPr>
        <w:t>v minulých letech</w:t>
      </w:r>
      <w:r w:rsidR="00066240" w:rsidRPr="006655A8">
        <w:rPr>
          <w:rFonts w:asciiTheme="minorHAnsi" w:hAnsiTheme="minorHAnsi"/>
          <w:color w:val="auto"/>
        </w:rPr>
        <w:t xml:space="preserve"> není schopna </w:t>
      </w:r>
      <w:r w:rsidR="00682F4C" w:rsidRPr="006655A8">
        <w:rPr>
          <w:rFonts w:asciiTheme="minorHAnsi" w:hAnsiTheme="minorHAnsi"/>
          <w:color w:val="auto"/>
        </w:rPr>
        <w:t xml:space="preserve">dostatečně </w:t>
      </w:r>
      <w:r w:rsidR="00066240" w:rsidRPr="006655A8">
        <w:rPr>
          <w:rFonts w:asciiTheme="minorHAnsi" w:hAnsiTheme="minorHAnsi"/>
          <w:color w:val="auto"/>
        </w:rPr>
        <w:t>čelit novým výzvám a</w:t>
      </w:r>
      <w:r w:rsidR="0064321D">
        <w:rPr>
          <w:rFonts w:asciiTheme="minorHAnsi" w:hAnsiTheme="minorHAnsi"/>
          <w:color w:val="auto"/>
        </w:rPr>
        <w:t> </w:t>
      </w:r>
      <w:r w:rsidR="00066240" w:rsidRPr="006655A8">
        <w:rPr>
          <w:rFonts w:asciiTheme="minorHAnsi" w:hAnsiTheme="minorHAnsi"/>
          <w:color w:val="auto"/>
        </w:rPr>
        <w:t>rizikům.</w:t>
      </w:r>
      <w:r w:rsidR="00036E98" w:rsidRPr="006655A8">
        <w:rPr>
          <w:rFonts w:asciiTheme="minorHAnsi" w:eastAsia="Calibri" w:hAnsiTheme="minorHAnsi"/>
          <w:color w:val="auto"/>
        </w:rPr>
        <w:t xml:space="preserve"> </w:t>
      </w:r>
      <w:r w:rsidR="00036E98" w:rsidRPr="006655A8">
        <w:rPr>
          <w:rFonts w:asciiTheme="minorHAnsi" w:hAnsiTheme="minorHAnsi"/>
          <w:color w:val="auto"/>
        </w:rPr>
        <w:t xml:space="preserve">NKÚ </w:t>
      </w:r>
      <w:r w:rsidR="00542313" w:rsidRPr="006655A8">
        <w:rPr>
          <w:rFonts w:asciiTheme="minorHAnsi" w:hAnsiTheme="minorHAnsi"/>
          <w:color w:val="auto"/>
        </w:rPr>
        <w:t xml:space="preserve">zjistil, že v období </w:t>
      </w:r>
      <w:r w:rsidR="009E252E" w:rsidRPr="006655A8">
        <w:rPr>
          <w:rFonts w:asciiTheme="minorHAnsi" w:hAnsiTheme="minorHAnsi"/>
          <w:color w:val="auto"/>
        </w:rPr>
        <w:t xml:space="preserve">let </w:t>
      </w:r>
      <w:r w:rsidR="00542313" w:rsidRPr="006655A8">
        <w:rPr>
          <w:rFonts w:asciiTheme="minorHAnsi" w:hAnsiTheme="minorHAnsi"/>
          <w:color w:val="auto"/>
        </w:rPr>
        <w:t xml:space="preserve">2016 a 2017 nedošlo </w:t>
      </w:r>
      <w:r w:rsidR="009E252E" w:rsidRPr="006655A8">
        <w:rPr>
          <w:rFonts w:asciiTheme="minorHAnsi" w:hAnsiTheme="minorHAnsi"/>
          <w:color w:val="auto"/>
        </w:rPr>
        <w:t xml:space="preserve">k </w:t>
      </w:r>
      <w:r w:rsidR="00542313" w:rsidRPr="006655A8">
        <w:rPr>
          <w:rFonts w:asciiTheme="minorHAnsi" w:hAnsiTheme="minorHAnsi"/>
          <w:color w:val="auto"/>
        </w:rPr>
        <w:t>posílení investičních výdajů</w:t>
      </w:r>
      <w:r w:rsidR="008019EC">
        <w:rPr>
          <w:rFonts w:asciiTheme="minorHAnsi" w:hAnsiTheme="minorHAnsi"/>
          <w:color w:val="auto"/>
        </w:rPr>
        <w:t>. N</w:t>
      </w:r>
      <w:r w:rsidR="00542313" w:rsidRPr="006655A8">
        <w:rPr>
          <w:rFonts w:asciiTheme="minorHAnsi" w:hAnsiTheme="minorHAnsi"/>
          <w:color w:val="auto"/>
        </w:rPr>
        <w:t>ení tedy např</w:t>
      </w:r>
      <w:r w:rsidR="009E252E" w:rsidRPr="006655A8">
        <w:rPr>
          <w:rFonts w:asciiTheme="minorHAnsi" w:hAnsiTheme="minorHAnsi"/>
          <w:color w:val="auto"/>
        </w:rPr>
        <w:t>íklad</w:t>
      </w:r>
      <w:r w:rsidR="00542313" w:rsidRPr="006655A8">
        <w:rPr>
          <w:rFonts w:asciiTheme="minorHAnsi" w:hAnsiTheme="minorHAnsi"/>
          <w:color w:val="auto"/>
        </w:rPr>
        <w:t xml:space="preserve"> zřejmé, zda </w:t>
      </w:r>
      <w:r w:rsidR="00682F4C">
        <w:rPr>
          <w:rFonts w:asciiTheme="minorHAnsi" w:hAnsiTheme="minorHAnsi"/>
          <w:color w:val="auto"/>
        </w:rPr>
        <w:t xml:space="preserve">bude mít </w:t>
      </w:r>
      <w:r w:rsidR="00D01F75">
        <w:rPr>
          <w:rFonts w:asciiTheme="minorHAnsi" w:hAnsiTheme="minorHAnsi"/>
          <w:color w:val="auto"/>
        </w:rPr>
        <w:t xml:space="preserve">792 </w:t>
      </w:r>
      <w:r w:rsidR="00682F4C" w:rsidRPr="006655A8">
        <w:rPr>
          <w:rFonts w:asciiTheme="minorHAnsi" w:hAnsiTheme="minorHAnsi"/>
          <w:color w:val="auto"/>
        </w:rPr>
        <w:t>policist</w:t>
      </w:r>
      <w:r w:rsidR="00682F4C">
        <w:rPr>
          <w:rFonts w:asciiTheme="minorHAnsi" w:hAnsiTheme="minorHAnsi"/>
          <w:color w:val="auto"/>
        </w:rPr>
        <w:t xml:space="preserve">ů </w:t>
      </w:r>
      <w:r w:rsidR="00682F4C" w:rsidRPr="006655A8">
        <w:rPr>
          <w:rFonts w:asciiTheme="minorHAnsi" w:hAnsiTheme="minorHAnsi"/>
          <w:color w:val="auto"/>
        </w:rPr>
        <w:t>nově přijat</w:t>
      </w:r>
      <w:r w:rsidR="00682F4C">
        <w:rPr>
          <w:rFonts w:asciiTheme="minorHAnsi" w:hAnsiTheme="minorHAnsi"/>
          <w:color w:val="auto"/>
        </w:rPr>
        <w:t>ých</w:t>
      </w:r>
      <w:r w:rsidR="00682F4C" w:rsidRPr="006655A8">
        <w:rPr>
          <w:rFonts w:asciiTheme="minorHAnsi" w:hAnsiTheme="minorHAnsi"/>
          <w:color w:val="auto"/>
        </w:rPr>
        <w:t xml:space="preserve"> </w:t>
      </w:r>
      <w:r w:rsidR="000075DC">
        <w:rPr>
          <w:rFonts w:asciiTheme="minorHAnsi" w:hAnsiTheme="minorHAnsi"/>
          <w:color w:val="auto"/>
        </w:rPr>
        <w:t>v roce 2016</w:t>
      </w:r>
      <w:r w:rsidR="00542313" w:rsidRPr="006655A8">
        <w:rPr>
          <w:rFonts w:asciiTheme="minorHAnsi" w:hAnsiTheme="minorHAnsi"/>
          <w:color w:val="auto"/>
        </w:rPr>
        <w:t xml:space="preserve"> odpovídající </w:t>
      </w:r>
      <w:r w:rsidR="00A84FE8" w:rsidRPr="006655A8">
        <w:rPr>
          <w:rFonts w:asciiTheme="minorHAnsi" w:hAnsiTheme="minorHAnsi"/>
          <w:color w:val="auto"/>
        </w:rPr>
        <w:t xml:space="preserve">materiální </w:t>
      </w:r>
      <w:r w:rsidR="00542313" w:rsidRPr="006655A8">
        <w:rPr>
          <w:rFonts w:asciiTheme="minorHAnsi" w:hAnsiTheme="minorHAnsi"/>
          <w:color w:val="auto"/>
        </w:rPr>
        <w:t xml:space="preserve">podmínky pro </w:t>
      </w:r>
      <w:r w:rsidR="00682F4C">
        <w:rPr>
          <w:rFonts w:asciiTheme="minorHAnsi" w:hAnsiTheme="minorHAnsi"/>
          <w:color w:val="auto"/>
        </w:rPr>
        <w:t>svou</w:t>
      </w:r>
      <w:r w:rsidR="00682F4C" w:rsidRPr="006655A8">
        <w:rPr>
          <w:rFonts w:asciiTheme="minorHAnsi" w:hAnsiTheme="minorHAnsi"/>
          <w:color w:val="auto"/>
        </w:rPr>
        <w:t xml:space="preserve"> </w:t>
      </w:r>
      <w:r w:rsidR="00542313" w:rsidRPr="006655A8">
        <w:rPr>
          <w:rFonts w:asciiTheme="minorHAnsi" w:hAnsiTheme="minorHAnsi"/>
          <w:color w:val="auto"/>
        </w:rPr>
        <w:t xml:space="preserve">činnost. </w:t>
      </w:r>
      <w:r w:rsidR="00036E98" w:rsidRPr="006655A8">
        <w:rPr>
          <w:rFonts w:asciiTheme="minorHAnsi" w:hAnsiTheme="minorHAnsi"/>
          <w:color w:val="auto"/>
        </w:rPr>
        <w:t xml:space="preserve">V roce 2017 </w:t>
      </w:r>
      <w:r w:rsidR="00682F4C">
        <w:rPr>
          <w:rFonts w:asciiTheme="minorHAnsi" w:hAnsiTheme="minorHAnsi"/>
          <w:color w:val="auto"/>
        </w:rPr>
        <w:t>nedojde k plánovanému</w:t>
      </w:r>
      <w:r w:rsidR="00036E98" w:rsidRPr="006655A8">
        <w:rPr>
          <w:rFonts w:asciiTheme="minorHAnsi" w:hAnsiTheme="minorHAnsi"/>
          <w:color w:val="auto"/>
        </w:rPr>
        <w:t xml:space="preserve"> nákup</w:t>
      </w:r>
      <w:r w:rsidR="00682F4C">
        <w:rPr>
          <w:rFonts w:asciiTheme="minorHAnsi" w:hAnsiTheme="minorHAnsi"/>
          <w:color w:val="auto"/>
        </w:rPr>
        <w:t>u</w:t>
      </w:r>
      <w:r w:rsidR="00036E98" w:rsidRPr="006655A8">
        <w:rPr>
          <w:rFonts w:asciiTheme="minorHAnsi" w:hAnsiTheme="minorHAnsi"/>
          <w:color w:val="auto"/>
        </w:rPr>
        <w:t xml:space="preserve"> dvou velkokapacitních vrtulníků</w:t>
      </w:r>
      <w:r w:rsidR="00565674">
        <w:rPr>
          <w:rFonts w:asciiTheme="minorHAnsi" w:hAnsiTheme="minorHAnsi"/>
          <w:color w:val="auto"/>
        </w:rPr>
        <w:t>,</w:t>
      </w:r>
      <w:r w:rsidR="00036E98" w:rsidRPr="006655A8">
        <w:rPr>
          <w:rFonts w:asciiTheme="minorHAnsi" w:hAnsiTheme="minorHAnsi"/>
          <w:color w:val="auto"/>
        </w:rPr>
        <w:t xml:space="preserve"> </w:t>
      </w:r>
      <w:r w:rsidR="00682F4C">
        <w:rPr>
          <w:rFonts w:asciiTheme="minorHAnsi" w:hAnsiTheme="minorHAnsi"/>
          <w:color w:val="auto"/>
        </w:rPr>
        <w:t>také byl zastaven</w:t>
      </w:r>
      <w:r w:rsidR="00036E98" w:rsidRPr="006655A8">
        <w:rPr>
          <w:rFonts w:asciiTheme="minorHAnsi" w:hAnsiTheme="minorHAnsi"/>
          <w:color w:val="auto"/>
        </w:rPr>
        <w:t xml:space="preserve"> </w:t>
      </w:r>
      <w:r w:rsidR="009E252E" w:rsidRPr="006655A8">
        <w:rPr>
          <w:rFonts w:asciiTheme="minorHAnsi" w:hAnsiTheme="minorHAnsi"/>
          <w:color w:val="auto"/>
        </w:rPr>
        <w:t xml:space="preserve">další </w:t>
      </w:r>
      <w:r w:rsidR="00036E98" w:rsidRPr="006655A8">
        <w:rPr>
          <w:rFonts w:asciiTheme="minorHAnsi" w:hAnsiTheme="minorHAnsi"/>
          <w:color w:val="auto"/>
        </w:rPr>
        <w:t xml:space="preserve">nábor </w:t>
      </w:r>
      <w:r w:rsidR="00EC4AA0" w:rsidRPr="006655A8">
        <w:rPr>
          <w:rFonts w:asciiTheme="minorHAnsi" w:hAnsiTheme="minorHAnsi"/>
          <w:color w:val="auto"/>
        </w:rPr>
        <w:t xml:space="preserve">nových </w:t>
      </w:r>
      <w:r w:rsidR="00036E98" w:rsidRPr="006655A8">
        <w:rPr>
          <w:rFonts w:asciiTheme="minorHAnsi" w:hAnsiTheme="minorHAnsi"/>
          <w:color w:val="auto"/>
        </w:rPr>
        <w:t>policistů</w:t>
      </w:r>
      <w:r w:rsidR="00036E98" w:rsidRPr="006655A8">
        <w:rPr>
          <w:rStyle w:val="Znakapoznpodarou"/>
          <w:rFonts w:asciiTheme="minorHAnsi" w:hAnsiTheme="minorHAnsi"/>
          <w:color w:val="auto"/>
        </w:rPr>
        <w:footnoteReference w:id="13"/>
      </w:r>
      <w:r w:rsidR="00036E98" w:rsidRPr="006655A8">
        <w:rPr>
          <w:rFonts w:asciiTheme="minorHAnsi" w:hAnsiTheme="minorHAnsi"/>
          <w:color w:val="auto"/>
        </w:rPr>
        <w:t>.</w:t>
      </w:r>
    </w:p>
    <w:p w14:paraId="760C77B8" w14:textId="4F0F8600" w:rsidR="00697B1C" w:rsidRDefault="00A51930" w:rsidP="003D1368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6655A8">
        <w:rPr>
          <w:rFonts w:asciiTheme="minorHAnsi" w:hAnsiTheme="minorHAnsi" w:cs="Calibri"/>
        </w:rPr>
        <w:t>Stanovení celkového počtu po</w:t>
      </w:r>
      <w:r w:rsidR="00E10189" w:rsidRPr="006655A8">
        <w:rPr>
          <w:rFonts w:asciiTheme="minorHAnsi" w:hAnsiTheme="minorHAnsi" w:cs="Calibri"/>
        </w:rPr>
        <w:t xml:space="preserve">licistů k určitému </w:t>
      </w:r>
      <w:r w:rsidR="00565674">
        <w:rPr>
          <w:rFonts w:asciiTheme="minorHAnsi" w:hAnsiTheme="minorHAnsi" w:cs="Calibri"/>
        </w:rPr>
        <w:t>datu</w:t>
      </w:r>
      <w:r w:rsidR="00E10189" w:rsidRPr="006655A8">
        <w:rPr>
          <w:rFonts w:asciiTheme="minorHAnsi" w:hAnsiTheme="minorHAnsi" w:cs="Calibri"/>
        </w:rPr>
        <w:t xml:space="preserve"> je nutnou podmínkou a základní proměn</w:t>
      </w:r>
      <w:r w:rsidR="00032A2F" w:rsidRPr="006655A8">
        <w:rPr>
          <w:rFonts w:asciiTheme="minorHAnsi" w:hAnsiTheme="minorHAnsi" w:cs="Calibri"/>
        </w:rPr>
        <w:t>n</w:t>
      </w:r>
      <w:r w:rsidR="00E10189" w:rsidRPr="006655A8">
        <w:rPr>
          <w:rFonts w:asciiTheme="minorHAnsi" w:hAnsiTheme="minorHAnsi" w:cs="Calibri"/>
        </w:rPr>
        <w:t xml:space="preserve">ou pro zpracování </w:t>
      </w:r>
      <w:r w:rsidR="00E2444F">
        <w:rPr>
          <w:rFonts w:asciiTheme="minorHAnsi" w:hAnsiTheme="minorHAnsi"/>
        </w:rPr>
        <w:t>dokumentac</w:t>
      </w:r>
      <w:r w:rsidR="00E81294">
        <w:rPr>
          <w:rFonts w:asciiTheme="minorHAnsi" w:hAnsiTheme="minorHAnsi"/>
        </w:rPr>
        <w:t>í</w:t>
      </w:r>
      <w:r w:rsidR="00E2444F">
        <w:rPr>
          <w:rFonts w:asciiTheme="minorHAnsi" w:hAnsiTheme="minorHAnsi"/>
        </w:rPr>
        <w:t xml:space="preserve"> program</w:t>
      </w:r>
      <w:r w:rsidR="00B91811">
        <w:rPr>
          <w:rFonts w:asciiTheme="minorHAnsi" w:hAnsiTheme="minorHAnsi"/>
        </w:rPr>
        <w:t>ů</w:t>
      </w:r>
      <w:r w:rsidR="00032A2F" w:rsidRPr="006655A8">
        <w:rPr>
          <w:rFonts w:asciiTheme="minorHAnsi" w:hAnsiTheme="minorHAnsi" w:cs="Calibri"/>
        </w:rPr>
        <w:t>. T</w:t>
      </w:r>
      <w:r w:rsidR="00E10189" w:rsidRPr="006655A8">
        <w:rPr>
          <w:rFonts w:asciiTheme="minorHAnsi" w:hAnsiTheme="minorHAnsi" w:cs="Calibri"/>
        </w:rPr>
        <w:t xml:space="preserve">ento údaj </w:t>
      </w:r>
      <w:r w:rsidR="00565674">
        <w:rPr>
          <w:rFonts w:asciiTheme="minorHAnsi" w:hAnsiTheme="minorHAnsi" w:cs="Calibri"/>
        </w:rPr>
        <w:t xml:space="preserve">by měla </w:t>
      </w:r>
      <w:r w:rsidR="00800351" w:rsidRPr="00800351">
        <w:rPr>
          <w:rFonts w:asciiTheme="minorHAnsi" w:hAnsiTheme="minorHAnsi" w:cstheme="minorHAnsi"/>
        </w:rPr>
        <w:t>Policie</w:t>
      </w:r>
      <w:r w:rsidR="00565674">
        <w:rPr>
          <w:rFonts w:asciiTheme="minorHAnsi" w:hAnsiTheme="minorHAnsi" w:cs="Calibri"/>
        </w:rPr>
        <w:t xml:space="preserve"> </w:t>
      </w:r>
      <w:r w:rsidR="009A2986">
        <w:rPr>
          <w:rFonts w:asciiTheme="minorHAnsi" w:hAnsiTheme="minorHAnsi" w:cs="Calibri"/>
        </w:rPr>
        <w:t>využít</w:t>
      </w:r>
      <w:r w:rsidR="00E10189" w:rsidRPr="006655A8">
        <w:rPr>
          <w:rFonts w:asciiTheme="minorHAnsi" w:hAnsiTheme="minorHAnsi" w:cs="Calibri"/>
        </w:rPr>
        <w:t xml:space="preserve"> pro </w:t>
      </w:r>
      <w:r w:rsidR="00E10189" w:rsidRPr="006655A8">
        <w:rPr>
          <w:rFonts w:asciiTheme="minorHAnsi" w:hAnsiTheme="minorHAnsi" w:cs="Calibri"/>
        </w:rPr>
        <w:lastRenderedPageBreak/>
        <w:t>plánování pořízení</w:t>
      </w:r>
      <w:r w:rsidR="00032A2F" w:rsidRPr="006655A8">
        <w:rPr>
          <w:rFonts w:asciiTheme="minorHAnsi" w:hAnsiTheme="minorHAnsi" w:cs="Calibri"/>
        </w:rPr>
        <w:t xml:space="preserve"> </w:t>
      </w:r>
      <w:r w:rsidR="00565674">
        <w:rPr>
          <w:rFonts w:asciiTheme="minorHAnsi" w:hAnsiTheme="minorHAnsi" w:cs="Calibri"/>
        </w:rPr>
        <w:t xml:space="preserve">či </w:t>
      </w:r>
      <w:r w:rsidR="00032A2F" w:rsidRPr="006655A8">
        <w:rPr>
          <w:rFonts w:asciiTheme="minorHAnsi" w:hAnsiTheme="minorHAnsi" w:cs="Calibri"/>
        </w:rPr>
        <w:t>obnov</w:t>
      </w:r>
      <w:r w:rsidR="008069A4">
        <w:rPr>
          <w:rFonts w:asciiTheme="minorHAnsi" w:hAnsiTheme="minorHAnsi" w:cs="Calibri"/>
        </w:rPr>
        <w:t xml:space="preserve">y </w:t>
      </w:r>
      <w:r w:rsidR="00565674">
        <w:rPr>
          <w:rFonts w:asciiTheme="minorHAnsi" w:hAnsiTheme="minorHAnsi" w:cs="Calibri"/>
        </w:rPr>
        <w:t>majetku</w:t>
      </w:r>
      <w:r w:rsidR="00E10189" w:rsidRPr="006655A8">
        <w:rPr>
          <w:rFonts w:asciiTheme="minorHAnsi" w:hAnsiTheme="minorHAnsi" w:cs="Calibri"/>
        </w:rPr>
        <w:t xml:space="preserve">. </w:t>
      </w:r>
      <w:r w:rsidR="00D21D93" w:rsidRPr="006655A8">
        <w:rPr>
          <w:rFonts w:asciiTheme="minorHAnsi" w:hAnsiTheme="minorHAnsi" w:cstheme="minorHAnsi"/>
        </w:rPr>
        <w:t>Vymezení</w:t>
      </w:r>
      <w:r w:rsidR="00A84FE8" w:rsidRPr="006655A8">
        <w:rPr>
          <w:rFonts w:asciiTheme="minorHAnsi" w:hAnsiTheme="minorHAnsi" w:cstheme="minorHAnsi"/>
        </w:rPr>
        <w:t xml:space="preserve"> „optimálního“ počtu policistů </w:t>
      </w:r>
      <w:r w:rsidR="00F92FB1" w:rsidRPr="006655A8">
        <w:rPr>
          <w:rFonts w:asciiTheme="minorHAnsi" w:hAnsiTheme="minorHAnsi" w:cstheme="minorHAnsi"/>
        </w:rPr>
        <w:t>je problematické, neboť závisí mj. na přístupu k vnitřní bezpečnosti státu</w:t>
      </w:r>
      <w:r w:rsidR="00565674">
        <w:rPr>
          <w:rFonts w:asciiTheme="minorHAnsi" w:hAnsiTheme="minorHAnsi" w:cstheme="minorHAnsi"/>
        </w:rPr>
        <w:t xml:space="preserve">, </w:t>
      </w:r>
      <w:r w:rsidR="0089347E">
        <w:rPr>
          <w:rFonts w:asciiTheme="minorHAnsi" w:hAnsiTheme="minorHAnsi" w:cstheme="minorHAnsi"/>
        </w:rPr>
        <w:t>společenských</w:t>
      </w:r>
      <w:r w:rsidR="00565674">
        <w:rPr>
          <w:rFonts w:asciiTheme="minorHAnsi" w:hAnsiTheme="minorHAnsi" w:cstheme="minorHAnsi"/>
        </w:rPr>
        <w:t xml:space="preserve"> aspektech </w:t>
      </w:r>
      <w:r w:rsidR="00F92FB1" w:rsidRPr="006655A8">
        <w:rPr>
          <w:rFonts w:asciiTheme="minorHAnsi" w:hAnsiTheme="minorHAnsi" w:cstheme="minorHAnsi"/>
        </w:rPr>
        <w:t>nebo na struktuře bezpečnostního sboru</w:t>
      </w:r>
      <w:r w:rsidR="00D21D93" w:rsidRPr="006655A8">
        <w:rPr>
          <w:rStyle w:val="Znakapoznpodarou"/>
          <w:rFonts w:asciiTheme="minorHAnsi" w:hAnsiTheme="minorHAnsi" w:cstheme="minorHAnsi"/>
        </w:rPr>
        <w:footnoteReference w:id="14"/>
      </w:r>
      <w:r w:rsidR="00E10189" w:rsidRPr="006655A8">
        <w:rPr>
          <w:rFonts w:asciiTheme="minorHAnsi" w:hAnsiTheme="minorHAnsi" w:cstheme="minorHAnsi"/>
        </w:rPr>
        <w:t>.</w:t>
      </w:r>
      <w:r w:rsidR="00D21D93" w:rsidRPr="006655A8">
        <w:rPr>
          <w:rFonts w:asciiTheme="minorHAnsi" w:hAnsiTheme="minorHAnsi" w:cs="Calibri"/>
        </w:rPr>
        <w:t xml:space="preserve"> </w:t>
      </w:r>
      <w:r w:rsidR="00AD3E2B">
        <w:rPr>
          <w:rFonts w:asciiTheme="minorHAnsi" w:hAnsiTheme="minorHAnsi" w:cs="Calibri"/>
        </w:rPr>
        <w:t xml:space="preserve">Porovnání </w:t>
      </w:r>
      <w:r w:rsidR="00F92FB1" w:rsidRPr="006655A8">
        <w:rPr>
          <w:rFonts w:asciiTheme="minorHAnsi" w:hAnsiTheme="minorHAnsi" w:cstheme="minorHAnsi"/>
        </w:rPr>
        <w:t>policejní hustoty (počet obyvatel na jednoho policistu) proto nemůže být sam</w:t>
      </w:r>
      <w:r w:rsidR="00B91811">
        <w:rPr>
          <w:rFonts w:asciiTheme="minorHAnsi" w:hAnsiTheme="minorHAnsi" w:cstheme="minorHAnsi"/>
        </w:rPr>
        <w:t>o</w:t>
      </w:r>
      <w:r w:rsidR="00F92FB1" w:rsidRPr="006655A8">
        <w:rPr>
          <w:rFonts w:asciiTheme="minorHAnsi" w:hAnsiTheme="minorHAnsi" w:cstheme="minorHAnsi"/>
        </w:rPr>
        <w:t xml:space="preserve"> o sobě jednoznačným a jediným vodítkem pro rozhodování o </w:t>
      </w:r>
      <w:r w:rsidR="00D21D93" w:rsidRPr="006655A8">
        <w:rPr>
          <w:rFonts w:asciiTheme="minorHAnsi" w:hAnsiTheme="minorHAnsi" w:cstheme="minorHAnsi"/>
        </w:rPr>
        <w:t xml:space="preserve">počtu policistů v daném státě. </w:t>
      </w:r>
      <w:r w:rsidR="00F92FB1" w:rsidRPr="006655A8">
        <w:rPr>
          <w:rFonts w:asciiTheme="minorHAnsi" w:hAnsiTheme="minorHAnsi" w:cstheme="minorHAnsi"/>
        </w:rPr>
        <w:t xml:space="preserve">NKÚ </w:t>
      </w:r>
      <w:r w:rsidR="009602BA" w:rsidRPr="006655A8">
        <w:rPr>
          <w:rFonts w:asciiTheme="minorHAnsi" w:hAnsiTheme="minorHAnsi" w:cstheme="minorHAnsi"/>
        </w:rPr>
        <w:t>z</w:t>
      </w:r>
      <w:r w:rsidR="00B8385C">
        <w:rPr>
          <w:rFonts w:asciiTheme="minorHAnsi" w:hAnsiTheme="minorHAnsi" w:cstheme="minorHAnsi"/>
        </w:rPr>
        <w:t> </w:t>
      </w:r>
      <w:r w:rsidR="009602BA" w:rsidRPr="006655A8">
        <w:rPr>
          <w:rFonts w:asciiTheme="minorHAnsi" w:hAnsiTheme="minorHAnsi" w:cstheme="minorHAnsi"/>
        </w:rPr>
        <w:t>dat</w:t>
      </w:r>
      <w:r w:rsidR="00B8385C">
        <w:rPr>
          <w:rFonts w:asciiTheme="minorHAnsi" w:hAnsiTheme="minorHAnsi" w:cstheme="minorHAnsi"/>
        </w:rPr>
        <w:t xml:space="preserve"> za rok 2015</w:t>
      </w:r>
      <w:r w:rsidR="00B91811">
        <w:rPr>
          <w:rFonts w:asciiTheme="minorHAnsi" w:hAnsiTheme="minorHAnsi" w:cstheme="minorHAnsi"/>
        </w:rPr>
        <w:t>, kter</w:t>
      </w:r>
      <w:r w:rsidR="0089347E">
        <w:rPr>
          <w:rFonts w:asciiTheme="minorHAnsi" w:hAnsiTheme="minorHAnsi" w:cstheme="minorHAnsi"/>
        </w:rPr>
        <w:t>á</w:t>
      </w:r>
      <w:r w:rsidR="00B91811">
        <w:rPr>
          <w:rFonts w:asciiTheme="minorHAnsi" w:hAnsiTheme="minorHAnsi" w:cstheme="minorHAnsi"/>
        </w:rPr>
        <w:t xml:space="preserve"> publikoval</w:t>
      </w:r>
      <w:r w:rsidR="009602BA" w:rsidRPr="006655A8">
        <w:rPr>
          <w:rFonts w:asciiTheme="minorHAnsi" w:hAnsiTheme="minorHAnsi" w:cstheme="minorHAnsi"/>
        </w:rPr>
        <w:t xml:space="preserve"> </w:t>
      </w:r>
      <w:proofErr w:type="spellStart"/>
      <w:r w:rsidR="009602BA" w:rsidRPr="006655A8">
        <w:rPr>
          <w:rFonts w:asciiTheme="minorHAnsi" w:hAnsiTheme="minorHAnsi" w:cstheme="minorHAnsi"/>
        </w:rPr>
        <w:t>Eurostat</w:t>
      </w:r>
      <w:proofErr w:type="spellEnd"/>
      <w:r w:rsidR="00B8385C">
        <w:rPr>
          <w:rStyle w:val="Znakapoznpodarou"/>
          <w:rFonts w:asciiTheme="minorHAnsi" w:hAnsiTheme="minorHAnsi" w:cstheme="minorHAnsi"/>
        </w:rPr>
        <w:footnoteReference w:id="15"/>
      </w:r>
      <w:r w:rsidR="009602BA" w:rsidRPr="006655A8">
        <w:rPr>
          <w:rFonts w:asciiTheme="minorHAnsi" w:hAnsiTheme="minorHAnsi" w:cstheme="minorHAnsi"/>
        </w:rPr>
        <w:t xml:space="preserve">, </w:t>
      </w:r>
      <w:r w:rsidR="00B8385C">
        <w:rPr>
          <w:rFonts w:asciiTheme="minorHAnsi" w:hAnsiTheme="minorHAnsi" w:cstheme="minorHAnsi"/>
        </w:rPr>
        <w:t>vypočetl policejní hustotu v ČR ve výši 264</w:t>
      </w:r>
      <w:r w:rsidR="00B8385C" w:rsidRPr="00B8385C">
        <w:rPr>
          <w:rFonts w:asciiTheme="minorHAnsi" w:hAnsiTheme="minorHAnsi" w:cstheme="minorHAnsi"/>
        </w:rPr>
        <w:t xml:space="preserve"> </w:t>
      </w:r>
      <w:r w:rsidR="00B8385C" w:rsidRPr="006655A8">
        <w:rPr>
          <w:rFonts w:asciiTheme="minorHAnsi" w:hAnsiTheme="minorHAnsi" w:cstheme="minorHAnsi"/>
        </w:rPr>
        <w:t>obyvatel na jednoho policistu</w:t>
      </w:r>
      <w:r w:rsidR="00382352">
        <w:rPr>
          <w:rFonts w:asciiTheme="minorHAnsi" w:hAnsiTheme="minorHAnsi" w:cstheme="minorHAnsi"/>
        </w:rPr>
        <w:t xml:space="preserve">, což </w:t>
      </w:r>
      <w:r w:rsidR="00B8385C">
        <w:rPr>
          <w:rFonts w:asciiTheme="minorHAnsi" w:hAnsiTheme="minorHAnsi" w:cstheme="minorHAnsi"/>
        </w:rPr>
        <w:t xml:space="preserve">je hodnota srovnatelná se sousedními státy </w:t>
      </w:r>
      <w:r w:rsidR="009602BA" w:rsidRPr="00AD72F1">
        <w:rPr>
          <w:rFonts w:asciiTheme="minorHAnsi" w:hAnsiTheme="minorHAnsi" w:cstheme="minorHAnsi"/>
        </w:rPr>
        <w:t>(</w:t>
      </w:r>
      <w:r w:rsidR="0089347E">
        <w:rPr>
          <w:rFonts w:asciiTheme="minorHAnsi" w:hAnsiTheme="minorHAnsi" w:cstheme="minorHAnsi"/>
        </w:rPr>
        <w:t>viz mapa</w:t>
      </w:r>
      <w:r w:rsidR="009602BA" w:rsidRPr="00AD72F1">
        <w:rPr>
          <w:rFonts w:asciiTheme="minorHAnsi" w:hAnsiTheme="minorHAnsi" w:cstheme="minorHAnsi"/>
        </w:rPr>
        <w:t xml:space="preserve"> na str</w:t>
      </w:r>
      <w:r w:rsidR="004E31D6">
        <w:rPr>
          <w:rFonts w:asciiTheme="minorHAnsi" w:hAnsiTheme="minorHAnsi" w:cstheme="minorHAnsi"/>
        </w:rPr>
        <w:t>aně</w:t>
      </w:r>
      <w:r w:rsidR="009602BA" w:rsidRPr="00AD72F1">
        <w:rPr>
          <w:rFonts w:asciiTheme="minorHAnsi" w:hAnsiTheme="minorHAnsi" w:cstheme="minorHAnsi"/>
        </w:rPr>
        <w:t xml:space="preserve"> </w:t>
      </w:r>
      <w:r w:rsidR="0089347E">
        <w:rPr>
          <w:rFonts w:asciiTheme="minorHAnsi" w:hAnsiTheme="minorHAnsi" w:cstheme="minorHAnsi"/>
        </w:rPr>
        <w:t>3</w:t>
      </w:r>
      <w:r w:rsidR="009602BA" w:rsidRPr="00AD72F1">
        <w:rPr>
          <w:rFonts w:asciiTheme="minorHAnsi" w:hAnsiTheme="minorHAnsi" w:cstheme="minorHAnsi"/>
        </w:rPr>
        <w:t>)</w:t>
      </w:r>
      <w:r w:rsidR="00D21D93" w:rsidRPr="00AD72F1">
        <w:rPr>
          <w:rFonts w:asciiTheme="minorHAnsi" w:hAnsiTheme="minorHAnsi" w:cstheme="minorHAnsi"/>
        </w:rPr>
        <w:t>.</w:t>
      </w:r>
      <w:r w:rsidR="00D21D93" w:rsidRPr="006655A8">
        <w:rPr>
          <w:rFonts w:asciiTheme="minorHAnsi" w:hAnsiTheme="minorHAnsi" w:cstheme="minorHAnsi"/>
        </w:rPr>
        <w:t xml:space="preserve"> </w:t>
      </w:r>
      <w:r w:rsidR="00B8385C">
        <w:rPr>
          <w:rFonts w:asciiTheme="minorHAnsi" w:hAnsiTheme="minorHAnsi" w:cstheme="minorHAnsi"/>
        </w:rPr>
        <w:t>Z</w:t>
      </w:r>
      <w:r w:rsidR="00D21D93" w:rsidRPr="006655A8">
        <w:rPr>
          <w:rFonts w:asciiTheme="minorHAnsi" w:hAnsiTheme="minorHAnsi" w:cstheme="minorHAnsi"/>
        </w:rPr>
        <w:t>evrubnější srovnávací studii o policejních sborech s důrazem na komparaci zejména „středoevropských“ států (V4</w:t>
      </w:r>
      <w:r w:rsidR="0089347E">
        <w:rPr>
          <w:rFonts w:asciiTheme="minorHAnsi" w:hAnsiTheme="minorHAnsi" w:cstheme="minorHAnsi"/>
        </w:rPr>
        <w:t xml:space="preserve">, </w:t>
      </w:r>
      <w:r w:rsidR="00D21D93" w:rsidRPr="006655A8">
        <w:rPr>
          <w:rFonts w:asciiTheme="minorHAnsi" w:hAnsiTheme="minorHAnsi" w:cstheme="minorHAnsi"/>
        </w:rPr>
        <w:t>Rakousko, Německo)</w:t>
      </w:r>
      <w:r w:rsidR="00B8385C" w:rsidRPr="006655A8">
        <w:rPr>
          <w:rFonts w:asciiTheme="minorHAnsi" w:hAnsiTheme="minorHAnsi" w:cstheme="minorHAnsi"/>
        </w:rPr>
        <w:t xml:space="preserve"> má MV předložit </w:t>
      </w:r>
      <w:r w:rsidR="00D21D93" w:rsidRPr="006655A8">
        <w:rPr>
          <w:rFonts w:asciiTheme="minorHAnsi" w:hAnsiTheme="minorHAnsi" w:cstheme="minorHAnsi"/>
        </w:rPr>
        <w:t>v prvním čtvrtletí roku 2018</w:t>
      </w:r>
      <w:r w:rsidR="000B4E5B" w:rsidRPr="006655A8">
        <w:rPr>
          <w:rFonts w:asciiTheme="minorHAnsi" w:hAnsiTheme="minorHAnsi" w:cstheme="minorHAnsi"/>
        </w:rPr>
        <w:t>.</w:t>
      </w:r>
      <w:r w:rsidR="00B8385C">
        <w:rPr>
          <w:rFonts w:asciiTheme="minorHAnsi" w:hAnsiTheme="minorHAnsi" w:cstheme="minorHAnsi"/>
        </w:rPr>
        <w:t xml:space="preserve"> </w:t>
      </w:r>
      <w:r w:rsidR="00C5331A" w:rsidRPr="00967C46">
        <w:rPr>
          <w:rFonts w:asciiTheme="minorHAnsi" w:hAnsiTheme="minorHAnsi"/>
        </w:rPr>
        <w:t>Teprve tato studie,</w:t>
      </w:r>
      <w:r w:rsidR="00B8385C" w:rsidRPr="00967C46">
        <w:rPr>
          <w:rFonts w:asciiTheme="minorHAnsi" w:hAnsiTheme="minorHAnsi"/>
        </w:rPr>
        <w:t xml:space="preserve"> </w:t>
      </w:r>
      <w:r w:rsidR="00B8385C" w:rsidRPr="00B8385C">
        <w:rPr>
          <w:rFonts w:asciiTheme="minorHAnsi" w:hAnsiTheme="minorHAnsi" w:cstheme="minorHAnsi"/>
        </w:rPr>
        <w:t>jejíž</w:t>
      </w:r>
      <w:r w:rsidR="00B8385C" w:rsidRPr="00967C46">
        <w:rPr>
          <w:rFonts w:asciiTheme="minorHAnsi" w:hAnsiTheme="minorHAnsi"/>
        </w:rPr>
        <w:t xml:space="preserve"> zpracování </w:t>
      </w:r>
      <w:r w:rsidR="00682F4C">
        <w:rPr>
          <w:rFonts w:asciiTheme="minorHAnsi" w:hAnsiTheme="minorHAnsi" w:cstheme="minorHAnsi"/>
        </w:rPr>
        <w:t>zmiňuje</w:t>
      </w:r>
      <w:r w:rsidR="00B8385C" w:rsidRPr="00967C46">
        <w:rPr>
          <w:rFonts w:asciiTheme="minorHAnsi" w:hAnsiTheme="minorHAnsi"/>
        </w:rPr>
        <w:t xml:space="preserve"> </w:t>
      </w:r>
      <w:r w:rsidR="00682F4C">
        <w:rPr>
          <w:rFonts w:asciiTheme="minorHAnsi" w:hAnsiTheme="minorHAnsi"/>
        </w:rPr>
        <w:t>už</w:t>
      </w:r>
      <w:r w:rsidR="00682F4C" w:rsidRPr="00B8385C">
        <w:rPr>
          <w:rFonts w:asciiTheme="minorHAnsi" w:hAnsiTheme="minorHAnsi" w:cstheme="minorHAnsi"/>
        </w:rPr>
        <w:t xml:space="preserve"> </w:t>
      </w:r>
      <w:r w:rsidR="00B8385C" w:rsidRPr="00B8385C">
        <w:rPr>
          <w:rFonts w:asciiTheme="minorHAnsi" w:hAnsiTheme="minorHAnsi" w:cstheme="minorHAnsi"/>
        </w:rPr>
        <w:t xml:space="preserve">materiál </w:t>
      </w:r>
      <w:r w:rsidR="00682F4C" w:rsidRPr="00B8385C">
        <w:rPr>
          <w:rFonts w:asciiTheme="minorHAnsi" w:hAnsiTheme="minorHAnsi" w:cstheme="minorHAnsi"/>
        </w:rPr>
        <w:t>schválen</w:t>
      </w:r>
      <w:r w:rsidR="00682F4C">
        <w:rPr>
          <w:rFonts w:asciiTheme="minorHAnsi" w:hAnsiTheme="minorHAnsi" w:cstheme="minorHAnsi"/>
        </w:rPr>
        <w:t xml:space="preserve">ý </w:t>
      </w:r>
      <w:r w:rsidR="00B8385C" w:rsidRPr="00B8385C">
        <w:rPr>
          <w:rFonts w:asciiTheme="minorHAnsi" w:hAnsiTheme="minorHAnsi" w:cstheme="minorHAnsi"/>
        </w:rPr>
        <w:t>usnesením vlády č. 96/</w:t>
      </w:r>
      <w:r w:rsidR="00B8385C" w:rsidRPr="00967C46">
        <w:rPr>
          <w:rFonts w:asciiTheme="minorHAnsi" w:hAnsiTheme="minorHAnsi"/>
        </w:rPr>
        <w:t>2014</w:t>
      </w:r>
      <w:r w:rsidR="00B8385C" w:rsidRPr="00967C46">
        <w:rPr>
          <w:rStyle w:val="Znakapoznpodarou"/>
          <w:rFonts w:asciiTheme="minorHAnsi" w:hAnsiTheme="minorHAnsi"/>
        </w:rPr>
        <w:footnoteReference w:id="16"/>
      </w:r>
      <w:r w:rsidR="0089347E">
        <w:rPr>
          <w:rFonts w:asciiTheme="minorHAnsi" w:hAnsiTheme="minorHAnsi"/>
        </w:rPr>
        <w:t>,</w:t>
      </w:r>
      <w:r w:rsidR="00E640AE">
        <w:rPr>
          <w:rFonts w:asciiTheme="minorHAnsi" w:hAnsiTheme="minorHAnsi" w:cstheme="minorHAnsi"/>
        </w:rPr>
        <w:t xml:space="preserve"> </w:t>
      </w:r>
      <w:r w:rsidR="00C5331A" w:rsidRPr="00B8385C">
        <w:rPr>
          <w:rFonts w:asciiTheme="minorHAnsi" w:hAnsiTheme="minorHAnsi" w:cstheme="minorHAnsi"/>
        </w:rPr>
        <w:t xml:space="preserve">ověří, </w:t>
      </w:r>
      <w:r w:rsidR="00F92FB1" w:rsidRPr="00B8385C">
        <w:rPr>
          <w:rFonts w:asciiTheme="minorHAnsi" w:hAnsiTheme="minorHAnsi" w:cs="Calibri"/>
        </w:rPr>
        <w:t>zda plánované navýšení počtu policistů o</w:t>
      </w:r>
      <w:r w:rsidR="00AD3E2B">
        <w:rPr>
          <w:rFonts w:asciiTheme="minorHAnsi" w:hAnsiTheme="minorHAnsi" w:cs="Calibri"/>
        </w:rPr>
        <w:t> </w:t>
      </w:r>
      <w:r w:rsidR="00F92FB1" w:rsidRPr="00B8385C">
        <w:rPr>
          <w:rFonts w:asciiTheme="minorHAnsi" w:hAnsiTheme="minorHAnsi" w:cs="Calibri"/>
        </w:rPr>
        <w:t>4</w:t>
      </w:r>
      <w:r w:rsidR="00AD3E2B">
        <w:rPr>
          <w:rFonts w:asciiTheme="minorHAnsi" w:hAnsiTheme="minorHAnsi" w:cs="Calibri"/>
        </w:rPr>
        <w:t> </w:t>
      </w:r>
      <w:r w:rsidR="00F92FB1" w:rsidRPr="00B8385C">
        <w:rPr>
          <w:rFonts w:asciiTheme="minorHAnsi" w:hAnsiTheme="minorHAnsi" w:cs="Calibri"/>
        </w:rPr>
        <w:t xml:space="preserve">000 odpovídá trendům </w:t>
      </w:r>
      <w:r w:rsidR="00AD3E2B">
        <w:rPr>
          <w:rFonts w:asciiTheme="minorHAnsi" w:hAnsiTheme="minorHAnsi" w:cs="Calibri"/>
        </w:rPr>
        <w:t xml:space="preserve">ve </w:t>
      </w:r>
      <w:r w:rsidR="00F92FB1" w:rsidRPr="00B8385C">
        <w:rPr>
          <w:rFonts w:asciiTheme="minorHAnsi" w:hAnsiTheme="minorHAnsi" w:cs="Calibri"/>
        </w:rPr>
        <w:t>srovnatelných zemí</w:t>
      </w:r>
      <w:r w:rsidR="00AD3E2B">
        <w:rPr>
          <w:rFonts w:asciiTheme="minorHAnsi" w:hAnsiTheme="minorHAnsi" w:cs="Calibri"/>
        </w:rPr>
        <w:t>ch</w:t>
      </w:r>
      <w:r w:rsidR="00F92FB1" w:rsidRPr="00B8385C">
        <w:rPr>
          <w:rFonts w:asciiTheme="minorHAnsi" w:hAnsiTheme="minorHAnsi" w:cs="Calibri"/>
        </w:rPr>
        <w:t>.</w:t>
      </w:r>
    </w:p>
    <w:p w14:paraId="2BEA531C" w14:textId="77777777" w:rsidR="00B265F1" w:rsidRDefault="00B265F1" w:rsidP="003D1368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</w:p>
    <w:p w14:paraId="2A12DB6D" w14:textId="21948B37" w:rsidR="0097753F" w:rsidRPr="0097753F" w:rsidRDefault="0097753F" w:rsidP="0097753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Plánování, </w:t>
      </w:r>
      <w:r w:rsidRPr="009704D9">
        <w:rPr>
          <w:rFonts w:ascii="Calibri" w:hAnsi="Calibri" w:cs="Calibri"/>
          <w:b/>
        </w:rPr>
        <w:t>resp. tv</w:t>
      </w:r>
      <w:r>
        <w:rPr>
          <w:rFonts w:ascii="Calibri" w:hAnsi="Calibri" w:cs="Calibri"/>
          <w:b/>
        </w:rPr>
        <w:t>orbu a naplňování cílů programů znesnadňuje n</w:t>
      </w:r>
      <w:r w:rsidRPr="009704D9">
        <w:rPr>
          <w:rFonts w:ascii="Calibri" w:hAnsi="Calibri" w:cs="Calibri"/>
          <w:b/>
        </w:rPr>
        <w:t xml:space="preserve">eexistence </w:t>
      </w:r>
      <w:r>
        <w:rPr>
          <w:rFonts w:ascii="Calibri" w:hAnsi="Calibri" w:cs="Calibri"/>
          <w:b/>
        </w:rPr>
        <w:t xml:space="preserve">nebo neaktuálnost </w:t>
      </w:r>
      <w:r w:rsidRPr="009704D9">
        <w:rPr>
          <w:rFonts w:ascii="Calibri" w:hAnsi="Calibri" w:cs="Calibri"/>
          <w:b/>
        </w:rPr>
        <w:t>systemizace a standardizace majetku</w:t>
      </w:r>
      <w:r>
        <w:rPr>
          <w:rFonts w:ascii="Calibri" w:hAnsi="Calibri" w:cs="Calibri"/>
          <w:b/>
        </w:rPr>
        <w:t xml:space="preserve"> Policie. </w:t>
      </w:r>
      <w:r w:rsidRPr="0097753F">
        <w:rPr>
          <w:rFonts w:ascii="Calibri" w:hAnsi="Calibri" w:cs="Calibri"/>
          <w:b/>
        </w:rPr>
        <w:t>Např. s</w:t>
      </w:r>
      <w:r w:rsidR="00D21D93" w:rsidRPr="0097753F">
        <w:rPr>
          <w:rFonts w:ascii="Calibri" w:hAnsi="Calibri" w:cs="Calibri"/>
          <w:b/>
        </w:rPr>
        <w:t>ystemizac</w:t>
      </w:r>
      <w:r w:rsidR="00CA4F81" w:rsidRPr="0097753F">
        <w:rPr>
          <w:rFonts w:ascii="Calibri" w:hAnsi="Calibri" w:cs="Calibri"/>
          <w:b/>
        </w:rPr>
        <w:t>e</w:t>
      </w:r>
      <w:r w:rsidR="00D21D93" w:rsidRPr="0097753F">
        <w:rPr>
          <w:rFonts w:ascii="Calibri" w:hAnsi="Calibri" w:cs="Calibri"/>
          <w:b/>
        </w:rPr>
        <w:t xml:space="preserve"> </w:t>
      </w:r>
      <w:r w:rsidR="00453729" w:rsidRPr="0097753F">
        <w:rPr>
          <w:rFonts w:ascii="Calibri" w:hAnsi="Calibri" w:cs="Calibri"/>
          <w:b/>
        </w:rPr>
        <w:t>služebních dopravních prostředků</w:t>
      </w:r>
      <w:r w:rsidR="00D21D93" w:rsidRPr="0097753F">
        <w:rPr>
          <w:rFonts w:ascii="Calibri" w:hAnsi="Calibri" w:cs="Calibri"/>
          <w:b/>
        </w:rPr>
        <w:t xml:space="preserve"> z roku 2008 neodpovídá aktuální struktuře a</w:t>
      </w:r>
      <w:r w:rsidR="0089347E">
        <w:rPr>
          <w:rFonts w:ascii="Calibri" w:hAnsi="Calibri" w:cs="Calibri"/>
          <w:b/>
        </w:rPr>
        <w:t>ni</w:t>
      </w:r>
      <w:r w:rsidR="00D21D93" w:rsidRPr="0097753F">
        <w:rPr>
          <w:rFonts w:ascii="Calibri" w:hAnsi="Calibri" w:cs="Calibri"/>
          <w:b/>
        </w:rPr>
        <w:t xml:space="preserve"> požadavkům </w:t>
      </w:r>
      <w:r w:rsidR="00800351" w:rsidRPr="0097753F">
        <w:rPr>
          <w:rFonts w:asciiTheme="minorHAnsi" w:hAnsiTheme="minorHAnsi" w:cstheme="minorHAnsi"/>
          <w:b/>
        </w:rPr>
        <w:t>Policie</w:t>
      </w:r>
      <w:r w:rsidR="00CA4F81" w:rsidRPr="0097753F">
        <w:rPr>
          <w:rFonts w:ascii="Calibri" w:hAnsi="Calibri" w:cs="Calibri"/>
          <w:b/>
        </w:rPr>
        <w:t xml:space="preserve">. Tento nedostatek konstatoval NKÚ již </w:t>
      </w:r>
      <w:r w:rsidR="002E1D2E" w:rsidRPr="0097753F">
        <w:rPr>
          <w:rFonts w:ascii="Calibri" w:hAnsi="Calibri" w:cs="Calibri"/>
          <w:b/>
        </w:rPr>
        <w:t>v roce 2012</w:t>
      </w:r>
      <w:r w:rsidR="00CA4F81" w:rsidRPr="0097753F">
        <w:rPr>
          <w:rFonts w:ascii="Calibri" w:hAnsi="Calibri" w:cs="Calibri"/>
          <w:b/>
        </w:rPr>
        <w:t xml:space="preserve">. </w:t>
      </w:r>
      <w:r>
        <w:rPr>
          <w:rFonts w:asciiTheme="minorHAnsi" w:hAnsiTheme="minorHAnsi" w:cs="Calibri"/>
          <w:b/>
        </w:rPr>
        <w:t>P</w:t>
      </w:r>
      <w:r w:rsidRPr="0097753F">
        <w:rPr>
          <w:rFonts w:asciiTheme="minorHAnsi" w:hAnsiTheme="minorHAnsi" w:cs="Calibri"/>
          <w:b/>
        </w:rPr>
        <w:t xml:space="preserve">oskytování a čerpání prostředků </w:t>
      </w:r>
      <w:r w:rsidR="00A068F4">
        <w:rPr>
          <w:rFonts w:asciiTheme="minorHAnsi" w:hAnsiTheme="minorHAnsi" w:cs="Calibri"/>
          <w:b/>
        </w:rPr>
        <w:t xml:space="preserve">z </w:t>
      </w:r>
      <w:r>
        <w:rPr>
          <w:rFonts w:asciiTheme="minorHAnsi" w:hAnsiTheme="minorHAnsi" w:cs="Calibri"/>
          <w:b/>
        </w:rPr>
        <w:t xml:space="preserve">programů </w:t>
      </w:r>
      <w:r w:rsidR="00586DA1">
        <w:rPr>
          <w:rFonts w:asciiTheme="minorHAnsi" w:hAnsiTheme="minorHAnsi" w:cs="Calibri"/>
          <w:b/>
        </w:rPr>
        <w:t xml:space="preserve">není </w:t>
      </w:r>
      <w:r w:rsidR="00E90FC9">
        <w:rPr>
          <w:rFonts w:asciiTheme="minorHAnsi" w:hAnsiTheme="minorHAnsi" w:cs="Calibri"/>
          <w:b/>
        </w:rPr>
        <w:t>stabilní</w:t>
      </w:r>
      <w:r w:rsidRPr="0097753F">
        <w:rPr>
          <w:rFonts w:asciiTheme="minorHAnsi" w:hAnsiTheme="minorHAnsi" w:cs="Calibri"/>
          <w:b/>
        </w:rPr>
        <w:t xml:space="preserve"> v jednotlivých letech, </w:t>
      </w:r>
      <w:r w:rsidR="00737B50">
        <w:rPr>
          <w:rFonts w:asciiTheme="minorHAnsi" w:hAnsiTheme="minorHAnsi" w:cs="Calibri"/>
          <w:b/>
        </w:rPr>
        <w:t>ale ani</w:t>
      </w:r>
      <w:r w:rsidRPr="0097753F">
        <w:rPr>
          <w:rFonts w:asciiTheme="minorHAnsi" w:hAnsiTheme="minorHAnsi" w:cs="Calibri"/>
          <w:b/>
        </w:rPr>
        <w:t xml:space="preserve"> </w:t>
      </w:r>
      <w:r w:rsidR="00E90FC9">
        <w:rPr>
          <w:rFonts w:asciiTheme="minorHAnsi" w:hAnsiTheme="minorHAnsi" w:cs="Calibri"/>
          <w:b/>
        </w:rPr>
        <w:t xml:space="preserve">plynulé </w:t>
      </w:r>
      <w:r w:rsidRPr="0097753F">
        <w:rPr>
          <w:rFonts w:asciiTheme="minorHAnsi" w:hAnsiTheme="minorHAnsi" w:cs="Calibri"/>
          <w:b/>
        </w:rPr>
        <w:t>v </w:t>
      </w:r>
      <w:r w:rsidR="00737B50">
        <w:rPr>
          <w:rFonts w:asciiTheme="minorHAnsi" w:hAnsiTheme="minorHAnsi" w:cs="Calibri"/>
          <w:b/>
        </w:rPr>
        <w:t>průběhu</w:t>
      </w:r>
      <w:r w:rsidRPr="0097753F">
        <w:rPr>
          <w:rFonts w:asciiTheme="minorHAnsi" w:hAnsiTheme="minorHAnsi" w:cs="Calibri"/>
          <w:b/>
        </w:rPr>
        <w:t xml:space="preserve"> rozpočtového roku. </w:t>
      </w:r>
    </w:p>
    <w:p w14:paraId="3078B466" w14:textId="26D2F3ED" w:rsidR="00E7090C" w:rsidRPr="00E7090C" w:rsidRDefault="003F3299" w:rsidP="002E1D2E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</w:rPr>
      </w:pPr>
      <w:r w:rsidRPr="006655A8">
        <w:rPr>
          <w:rFonts w:asciiTheme="minorHAnsi" w:hAnsiTheme="minorHAnsi"/>
        </w:rPr>
        <w:t xml:space="preserve">Programy by měly sloužit k alokování </w:t>
      </w:r>
      <w:r w:rsidR="00E640AE">
        <w:rPr>
          <w:rFonts w:asciiTheme="minorHAnsi" w:hAnsiTheme="minorHAnsi"/>
        </w:rPr>
        <w:t>prostředků</w:t>
      </w:r>
      <w:r w:rsidRPr="006655A8">
        <w:rPr>
          <w:rFonts w:asciiTheme="minorHAnsi" w:hAnsiTheme="minorHAnsi"/>
        </w:rPr>
        <w:t xml:space="preserve"> na cíle, které si</w:t>
      </w:r>
      <w:r w:rsidR="00135676" w:rsidRPr="006655A8">
        <w:rPr>
          <w:rFonts w:asciiTheme="minorHAnsi" w:hAnsiTheme="minorHAnsi"/>
        </w:rPr>
        <w:t xml:space="preserve"> MV</w:t>
      </w:r>
      <w:r w:rsidR="00BB7853" w:rsidRPr="006655A8">
        <w:rPr>
          <w:rFonts w:asciiTheme="minorHAnsi" w:hAnsiTheme="minorHAnsi"/>
        </w:rPr>
        <w:t xml:space="preserve"> </w:t>
      </w:r>
      <w:r w:rsidR="00135676" w:rsidRPr="006655A8">
        <w:rPr>
          <w:rFonts w:asciiTheme="minorHAnsi" w:hAnsiTheme="minorHAnsi"/>
        </w:rPr>
        <w:t xml:space="preserve">stanovilo </w:t>
      </w:r>
      <w:r w:rsidRPr="006655A8">
        <w:rPr>
          <w:rFonts w:asciiTheme="minorHAnsi" w:hAnsiTheme="minorHAnsi"/>
        </w:rPr>
        <w:t xml:space="preserve">podle </w:t>
      </w:r>
      <w:r w:rsidR="00022AB8" w:rsidRPr="006655A8">
        <w:rPr>
          <w:rFonts w:asciiTheme="minorHAnsi" w:hAnsiTheme="minorHAnsi"/>
        </w:rPr>
        <w:t>svých</w:t>
      </w:r>
      <w:r w:rsidRPr="006655A8">
        <w:rPr>
          <w:rFonts w:asciiTheme="minorHAnsi" w:hAnsiTheme="minorHAnsi"/>
        </w:rPr>
        <w:t xml:space="preserve"> priorit. Rozpočtování orientované na cíle ukazuje, čeho chce </w:t>
      </w:r>
      <w:r w:rsidR="00135676" w:rsidRPr="006655A8">
        <w:rPr>
          <w:rFonts w:asciiTheme="minorHAnsi" w:hAnsiTheme="minorHAnsi"/>
        </w:rPr>
        <w:t>resort</w:t>
      </w:r>
      <w:r w:rsidRPr="006655A8">
        <w:rPr>
          <w:rFonts w:asciiTheme="minorHAnsi" w:hAnsiTheme="minorHAnsi"/>
        </w:rPr>
        <w:t xml:space="preserve"> v dané oblasti dosáhnout, jakým způsobem toho chce dosáhnout a kolik to bude stát. Aby byly výdaje účelné a efektivní v krátkodobém </w:t>
      </w:r>
      <w:r w:rsidR="00B36392">
        <w:rPr>
          <w:rFonts w:asciiTheme="minorHAnsi" w:hAnsiTheme="minorHAnsi"/>
        </w:rPr>
        <w:t>i</w:t>
      </w:r>
      <w:r w:rsidR="001C6636">
        <w:rPr>
          <w:rFonts w:asciiTheme="minorHAnsi" w:hAnsiTheme="minorHAnsi"/>
        </w:rPr>
        <w:t xml:space="preserve"> střednědobém horizontu</w:t>
      </w:r>
      <w:r w:rsidR="0089347E">
        <w:rPr>
          <w:rFonts w:asciiTheme="minorHAnsi" w:hAnsiTheme="minorHAnsi"/>
        </w:rPr>
        <w:t>,</w:t>
      </w:r>
      <w:r w:rsidRPr="006655A8">
        <w:rPr>
          <w:rFonts w:asciiTheme="minorHAnsi" w:hAnsiTheme="minorHAnsi"/>
        </w:rPr>
        <w:t xml:space="preserve"> je nezbytné zpracov</w:t>
      </w:r>
      <w:r w:rsidR="0089347E">
        <w:rPr>
          <w:rFonts w:asciiTheme="minorHAnsi" w:hAnsiTheme="minorHAnsi"/>
        </w:rPr>
        <w:t>at</w:t>
      </w:r>
      <w:r w:rsidRPr="006655A8">
        <w:rPr>
          <w:rFonts w:asciiTheme="minorHAnsi" w:hAnsiTheme="minorHAnsi"/>
        </w:rPr>
        <w:t xml:space="preserve"> d</w:t>
      </w:r>
      <w:r w:rsidR="00DE2070" w:rsidRPr="006655A8">
        <w:rPr>
          <w:rFonts w:asciiTheme="minorHAnsi" w:hAnsiTheme="minorHAnsi"/>
        </w:rPr>
        <w:t>okument</w:t>
      </w:r>
      <w:r w:rsidR="0089347E">
        <w:rPr>
          <w:rFonts w:asciiTheme="minorHAnsi" w:hAnsiTheme="minorHAnsi"/>
        </w:rPr>
        <w:t>y</w:t>
      </w:r>
      <w:r w:rsidR="00DE2070" w:rsidRPr="006655A8">
        <w:rPr>
          <w:rFonts w:asciiTheme="minorHAnsi" w:hAnsiTheme="minorHAnsi"/>
        </w:rPr>
        <w:t xml:space="preserve">, které stanoví potřeby </w:t>
      </w:r>
      <w:r w:rsidR="00800351" w:rsidRPr="00800351">
        <w:rPr>
          <w:rFonts w:asciiTheme="minorHAnsi" w:hAnsiTheme="minorHAnsi" w:cstheme="minorHAnsi"/>
        </w:rPr>
        <w:t>Policie</w:t>
      </w:r>
      <w:r w:rsidR="00E640AE">
        <w:rPr>
          <w:rFonts w:asciiTheme="minorHAnsi" w:hAnsiTheme="minorHAnsi"/>
        </w:rPr>
        <w:t xml:space="preserve"> detailně</w:t>
      </w:r>
      <w:r w:rsidR="00DE2070" w:rsidRPr="006655A8">
        <w:rPr>
          <w:rFonts w:asciiTheme="minorHAnsi" w:hAnsiTheme="minorHAnsi"/>
        </w:rPr>
        <w:t xml:space="preserve">. </w:t>
      </w:r>
      <w:r w:rsidR="00022AB8" w:rsidRPr="006655A8">
        <w:rPr>
          <w:rFonts w:ascii="Calibri" w:hAnsi="Calibri" w:cs="Calibri"/>
        </w:rPr>
        <w:t>Jednotn</w:t>
      </w:r>
      <w:r w:rsidR="00E7090C">
        <w:rPr>
          <w:rFonts w:ascii="Calibri" w:hAnsi="Calibri" w:cs="Calibri"/>
        </w:rPr>
        <w:t>á</w:t>
      </w:r>
      <w:r w:rsidR="00022AB8" w:rsidRPr="006655A8">
        <w:rPr>
          <w:rFonts w:ascii="Calibri" w:hAnsi="Calibri" w:cs="Calibri"/>
        </w:rPr>
        <w:t xml:space="preserve"> systemizac</w:t>
      </w:r>
      <w:r w:rsidR="00E7090C">
        <w:rPr>
          <w:rFonts w:ascii="Calibri" w:hAnsi="Calibri" w:cs="Calibri"/>
        </w:rPr>
        <w:t>e a</w:t>
      </w:r>
      <w:r w:rsidR="0089347E">
        <w:rPr>
          <w:rFonts w:ascii="Calibri" w:hAnsi="Calibri" w:cs="Calibri"/>
        </w:rPr>
        <w:t xml:space="preserve"> </w:t>
      </w:r>
      <w:r w:rsidR="00E7090C">
        <w:rPr>
          <w:rFonts w:ascii="Calibri" w:hAnsi="Calibri" w:cs="Calibri"/>
        </w:rPr>
        <w:t>standardizace musí existovat a</w:t>
      </w:r>
      <w:r w:rsidR="0064321D">
        <w:rPr>
          <w:rFonts w:ascii="Calibri" w:hAnsi="Calibri" w:cs="Calibri"/>
        </w:rPr>
        <w:t> </w:t>
      </w:r>
      <w:r w:rsidR="00E10F2D">
        <w:rPr>
          <w:rFonts w:ascii="Calibri" w:hAnsi="Calibri" w:cs="Calibri"/>
        </w:rPr>
        <w:t>měla by</w:t>
      </w:r>
      <w:r w:rsidR="00E7090C">
        <w:rPr>
          <w:rFonts w:ascii="Calibri" w:hAnsi="Calibri" w:cs="Calibri"/>
        </w:rPr>
        <w:t xml:space="preserve"> být aktualizována dle potřeb pro všechny druhy majetku, který Polici</w:t>
      </w:r>
      <w:r w:rsidR="005A1904">
        <w:rPr>
          <w:rFonts w:ascii="Calibri" w:hAnsi="Calibri" w:cs="Calibri"/>
        </w:rPr>
        <w:t>e</w:t>
      </w:r>
      <w:r w:rsidR="00E7090C">
        <w:rPr>
          <w:rFonts w:ascii="Calibri" w:hAnsi="Calibri" w:cs="Calibri"/>
        </w:rPr>
        <w:t xml:space="preserve"> </w:t>
      </w:r>
      <w:r w:rsidR="005A1904">
        <w:rPr>
          <w:rFonts w:ascii="Calibri" w:hAnsi="Calibri" w:cs="Calibri"/>
        </w:rPr>
        <w:t>pořizuje</w:t>
      </w:r>
      <w:r w:rsidR="00E7090C">
        <w:rPr>
          <w:rFonts w:ascii="Calibri" w:hAnsi="Calibri" w:cs="Calibri"/>
        </w:rPr>
        <w:t>.</w:t>
      </w:r>
    </w:p>
    <w:p w14:paraId="21AD71B1" w14:textId="5C2EBC4C" w:rsidR="00A33AC1" w:rsidRPr="001D5841" w:rsidRDefault="00DA50A3" w:rsidP="008B55B1">
      <w:pPr>
        <w:spacing w:after="120"/>
        <w:jc w:val="both"/>
        <w:rPr>
          <w:rFonts w:ascii="Calibri" w:hAnsi="Calibri"/>
        </w:rPr>
      </w:pPr>
      <w:r w:rsidRPr="006655A8">
        <w:rPr>
          <w:rFonts w:ascii="Calibri" w:eastAsia="Calibri" w:hAnsi="Calibri"/>
        </w:rPr>
        <w:t xml:space="preserve">Systemizace </w:t>
      </w:r>
      <w:r w:rsidR="00453729">
        <w:rPr>
          <w:rFonts w:ascii="Calibri" w:hAnsi="Calibri" w:cs="Calibri"/>
        </w:rPr>
        <w:t>služebních dopravních prostředků</w:t>
      </w:r>
      <w:r w:rsidRPr="006655A8">
        <w:rPr>
          <w:rFonts w:ascii="Calibri" w:eastAsia="Calibri" w:hAnsi="Calibri"/>
        </w:rPr>
        <w:t xml:space="preserve"> spočívá ve stanovení jejich potřebného množství dle standardizovaných parametrů nezbytných k zabezpečení výkonu </w:t>
      </w:r>
      <w:r w:rsidR="00800351" w:rsidRPr="00800351">
        <w:rPr>
          <w:rFonts w:asciiTheme="minorHAnsi" w:hAnsiTheme="minorHAnsi" w:cstheme="minorHAnsi"/>
        </w:rPr>
        <w:t>Policie</w:t>
      </w:r>
      <w:r w:rsidRPr="006655A8">
        <w:rPr>
          <w:rFonts w:ascii="Calibri" w:eastAsia="Calibri" w:hAnsi="Calibri"/>
        </w:rPr>
        <w:t>.</w:t>
      </w:r>
      <w:r w:rsidRPr="006655A8">
        <w:rPr>
          <w:rFonts w:ascii="Calibri" w:hAnsi="Calibri" w:cstheme="minorHAnsi"/>
        </w:rPr>
        <w:t xml:space="preserve"> </w:t>
      </w:r>
      <w:r w:rsidR="00CA4F81" w:rsidRPr="006655A8">
        <w:rPr>
          <w:rFonts w:ascii="Calibri" w:hAnsi="Calibri" w:cstheme="minorHAnsi"/>
        </w:rPr>
        <w:t>P</w:t>
      </w:r>
      <w:r w:rsidRPr="006655A8">
        <w:rPr>
          <w:rFonts w:ascii="Calibri" w:hAnsi="Calibri" w:cstheme="minorHAnsi"/>
        </w:rPr>
        <w:t xml:space="preserve">latnou systemizaci </w:t>
      </w:r>
      <w:r w:rsidR="00453729">
        <w:rPr>
          <w:rFonts w:ascii="Calibri" w:hAnsi="Calibri" w:cs="Calibri"/>
        </w:rPr>
        <w:t>služebních dopravních prostředků</w:t>
      </w:r>
      <w:r w:rsidRPr="006655A8">
        <w:rPr>
          <w:rFonts w:ascii="Calibri" w:eastAsia="Calibri" w:hAnsi="Calibri"/>
        </w:rPr>
        <w:t xml:space="preserve"> schválil ministr vnitra </w:t>
      </w:r>
      <w:r w:rsidR="00CA4F81" w:rsidRPr="006655A8">
        <w:rPr>
          <w:rFonts w:ascii="Calibri" w:eastAsia="Calibri" w:hAnsi="Calibri"/>
        </w:rPr>
        <w:t xml:space="preserve">již </w:t>
      </w:r>
      <w:r w:rsidRPr="006655A8">
        <w:rPr>
          <w:rFonts w:ascii="Calibri" w:eastAsia="Calibri" w:hAnsi="Calibri"/>
        </w:rPr>
        <w:t>v </w:t>
      </w:r>
      <w:r w:rsidR="001C6636">
        <w:rPr>
          <w:rFonts w:ascii="Calibri" w:eastAsia="Calibri" w:hAnsi="Calibri"/>
        </w:rPr>
        <w:t>září roku </w:t>
      </w:r>
      <w:r w:rsidRPr="006655A8">
        <w:rPr>
          <w:rFonts w:ascii="Calibri" w:eastAsia="Calibri" w:hAnsi="Calibri"/>
        </w:rPr>
        <w:t>2008.</w:t>
      </w:r>
      <w:r w:rsidRPr="006655A8">
        <w:rPr>
          <w:rFonts w:ascii="Calibri" w:hAnsi="Calibri" w:cstheme="minorHAnsi"/>
        </w:rPr>
        <w:t xml:space="preserve"> </w:t>
      </w:r>
      <w:r w:rsidRPr="006655A8">
        <w:rPr>
          <w:rFonts w:ascii="Calibri" w:eastAsia="Calibri" w:hAnsi="Calibri"/>
        </w:rPr>
        <w:t xml:space="preserve">Ačkoliv od té doby došlo </w:t>
      </w:r>
      <w:r w:rsidR="00AB2770" w:rsidRPr="006655A8">
        <w:rPr>
          <w:rFonts w:ascii="Calibri" w:eastAsia="Calibri" w:hAnsi="Calibri"/>
        </w:rPr>
        <w:t xml:space="preserve">mj. </w:t>
      </w:r>
      <w:r w:rsidRPr="006655A8">
        <w:rPr>
          <w:rFonts w:ascii="Calibri" w:eastAsia="Calibri" w:hAnsi="Calibri"/>
        </w:rPr>
        <w:t xml:space="preserve">k restrukturalizaci </w:t>
      </w:r>
      <w:r w:rsidR="00800351" w:rsidRPr="00800351">
        <w:rPr>
          <w:rFonts w:asciiTheme="minorHAnsi" w:hAnsiTheme="minorHAnsi" w:cstheme="minorHAnsi"/>
        </w:rPr>
        <w:t>Policie</w:t>
      </w:r>
      <w:r w:rsidR="00AB2770" w:rsidRPr="006655A8">
        <w:rPr>
          <w:rFonts w:ascii="Calibri" w:eastAsia="Calibri" w:hAnsi="Calibri"/>
        </w:rPr>
        <w:t xml:space="preserve"> </w:t>
      </w:r>
      <w:r w:rsidRPr="006655A8">
        <w:rPr>
          <w:rFonts w:ascii="Calibri" w:eastAsia="Calibri" w:hAnsi="Calibri"/>
        </w:rPr>
        <w:t>a vzniku nových samostatných KŘP</w:t>
      </w:r>
      <w:r w:rsidRPr="006655A8">
        <w:rPr>
          <w:rStyle w:val="Znakapoznpodarou"/>
          <w:rFonts w:ascii="Calibri" w:eastAsia="Calibri" w:hAnsi="Calibri"/>
        </w:rPr>
        <w:footnoteReference w:id="17"/>
      </w:r>
      <w:r w:rsidR="00AB2770" w:rsidRPr="006655A8">
        <w:rPr>
          <w:rFonts w:ascii="Calibri" w:eastAsia="Calibri" w:hAnsi="Calibri"/>
        </w:rPr>
        <w:t xml:space="preserve">, </w:t>
      </w:r>
      <w:r w:rsidR="00F86E3B" w:rsidRPr="00F86E3B">
        <w:rPr>
          <w:rFonts w:ascii="Calibri" w:eastAsia="Calibri" w:hAnsi="Calibri"/>
        </w:rPr>
        <w:t>systemizace</w:t>
      </w:r>
      <w:r w:rsidR="002B2EE7">
        <w:rPr>
          <w:rFonts w:ascii="Calibri" w:eastAsia="Calibri" w:hAnsi="Calibri"/>
        </w:rPr>
        <w:t xml:space="preserve"> </w:t>
      </w:r>
      <w:r w:rsidR="00A33AC1" w:rsidRPr="006655A8">
        <w:rPr>
          <w:rFonts w:ascii="Calibri" w:eastAsia="Calibri" w:hAnsi="Calibri"/>
        </w:rPr>
        <w:t>nebyl</w:t>
      </w:r>
      <w:r w:rsidR="002B2EE7">
        <w:rPr>
          <w:rFonts w:ascii="Calibri" w:eastAsia="Calibri" w:hAnsi="Calibri"/>
        </w:rPr>
        <w:t>a</w:t>
      </w:r>
      <w:r w:rsidR="00A33AC1" w:rsidRPr="006655A8">
        <w:rPr>
          <w:rFonts w:ascii="Calibri" w:eastAsia="Calibri" w:hAnsi="Calibri"/>
        </w:rPr>
        <w:t xml:space="preserve"> aktualizován</w:t>
      </w:r>
      <w:r w:rsidR="002B2EE7">
        <w:rPr>
          <w:rFonts w:ascii="Calibri" w:eastAsia="Calibri" w:hAnsi="Calibri"/>
        </w:rPr>
        <w:t>a</w:t>
      </w:r>
      <w:r w:rsidRPr="006655A8">
        <w:rPr>
          <w:rFonts w:ascii="Calibri" w:eastAsia="Calibri" w:hAnsi="Calibri"/>
        </w:rPr>
        <w:t>.</w:t>
      </w:r>
      <w:r w:rsidR="00AB2770" w:rsidRPr="006655A8">
        <w:rPr>
          <w:rFonts w:ascii="Calibri" w:hAnsi="Calibri"/>
        </w:rPr>
        <w:t xml:space="preserve"> Tento nedostatek zjistil NKÚ již v </w:t>
      </w:r>
      <w:r w:rsidR="00AA4E07">
        <w:rPr>
          <w:rFonts w:ascii="Calibri" w:hAnsi="Calibri"/>
        </w:rPr>
        <w:t>kontrolní akci</w:t>
      </w:r>
      <w:r w:rsidR="00AB2770" w:rsidRPr="006655A8">
        <w:rPr>
          <w:rFonts w:ascii="Calibri" w:hAnsi="Calibri"/>
        </w:rPr>
        <w:t xml:space="preserve"> č.</w:t>
      </w:r>
      <w:r w:rsidR="0064321D">
        <w:rPr>
          <w:rFonts w:ascii="Calibri" w:hAnsi="Calibri"/>
        </w:rPr>
        <w:t> </w:t>
      </w:r>
      <w:r w:rsidR="00AB2770" w:rsidRPr="006655A8">
        <w:rPr>
          <w:rFonts w:ascii="Calibri" w:hAnsi="Calibri"/>
        </w:rPr>
        <w:t xml:space="preserve">11/12. </w:t>
      </w:r>
      <w:r w:rsidR="002B2EE7" w:rsidRPr="006655A8">
        <w:rPr>
          <w:rFonts w:ascii="Calibri" w:hAnsi="Calibri" w:cstheme="minorHAnsi"/>
        </w:rPr>
        <w:t>MV se v rámci návrhu opatření k odstranění nedostatků</w:t>
      </w:r>
      <w:r w:rsidR="002B2EE7" w:rsidRPr="006655A8">
        <w:rPr>
          <w:rStyle w:val="Znakapoznpodarou"/>
          <w:rFonts w:ascii="Calibri" w:hAnsi="Calibri" w:cstheme="minorHAnsi"/>
        </w:rPr>
        <w:footnoteReference w:id="18"/>
      </w:r>
      <w:r w:rsidR="002B2EE7">
        <w:rPr>
          <w:rFonts w:ascii="Calibri" w:hAnsi="Calibri" w:cstheme="minorHAnsi"/>
        </w:rPr>
        <w:t xml:space="preserve"> </w:t>
      </w:r>
      <w:r w:rsidR="002B2EE7" w:rsidRPr="006655A8">
        <w:rPr>
          <w:rFonts w:ascii="Calibri" w:hAnsi="Calibri" w:cstheme="minorHAnsi"/>
        </w:rPr>
        <w:t xml:space="preserve">zjištěných </w:t>
      </w:r>
      <w:r w:rsidR="00962443">
        <w:rPr>
          <w:rFonts w:ascii="Calibri" w:hAnsi="Calibri" w:cstheme="minorHAnsi"/>
        </w:rPr>
        <w:t xml:space="preserve">kontrolou </w:t>
      </w:r>
      <w:r w:rsidR="002B2EE7" w:rsidRPr="006655A8">
        <w:rPr>
          <w:rFonts w:ascii="Calibri" w:hAnsi="Calibri" w:cstheme="minorHAnsi"/>
        </w:rPr>
        <w:t>NKÚ</w:t>
      </w:r>
      <w:r w:rsidR="002B2EE7">
        <w:rPr>
          <w:rFonts w:ascii="Calibri" w:hAnsi="Calibri" w:cstheme="minorHAnsi"/>
        </w:rPr>
        <w:t xml:space="preserve"> zavázalo </w:t>
      </w:r>
      <w:r w:rsidR="001D5841">
        <w:rPr>
          <w:rFonts w:ascii="Calibri" w:hAnsi="Calibri" w:cstheme="minorHAnsi"/>
        </w:rPr>
        <w:t xml:space="preserve">ke zpracování </w:t>
      </w:r>
      <w:r w:rsidR="001D5841" w:rsidRPr="006655A8">
        <w:rPr>
          <w:rFonts w:ascii="Calibri" w:hAnsi="Calibri"/>
        </w:rPr>
        <w:t xml:space="preserve">nového návrhu systemizace </w:t>
      </w:r>
      <w:r w:rsidR="00AB2770" w:rsidRPr="006655A8">
        <w:rPr>
          <w:rFonts w:ascii="Calibri" w:hAnsi="Calibri"/>
        </w:rPr>
        <w:t>s platností od 1.</w:t>
      </w:r>
      <w:r w:rsidR="008B55B1" w:rsidRPr="006655A8">
        <w:rPr>
          <w:rFonts w:ascii="Calibri" w:hAnsi="Calibri"/>
        </w:rPr>
        <w:t> </w:t>
      </w:r>
      <w:r w:rsidR="00AB2770" w:rsidRPr="006655A8">
        <w:rPr>
          <w:rFonts w:ascii="Calibri" w:hAnsi="Calibri"/>
        </w:rPr>
        <w:t>ledna</w:t>
      </w:r>
      <w:r w:rsidR="005D5060">
        <w:rPr>
          <w:rFonts w:ascii="Calibri" w:hAnsi="Calibri"/>
        </w:rPr>
        <w:t> </w:t>
      </w:r>
      <w:r w:rsidR="00AB2770" w:rsidRPr="006655A8">
        <w:rPr>
          <w:rFonts w:ascii="Calibri" w:hAnsi="Calibri"/>
        </w:rPr>
        <w:t xml:space="preserve">2013. K tomu ale nedošlo. </w:t>
      </w:r>
      <w:r w:rsidRPr="006655A8">
        <w:rPr>
          <w:rFonts w:ascii="Calibri" w:hAnsi="Calibri" w:cstheme="minorHAnsi"/>
        </w:rPr>
        <w:t>K</w:t>
      </w:r>
      <w:r w:rsidR="008B55B1" w:rsidRPr="006655A8">
        <w:rPr>
          <w:rFonts w:ascii="Calibri" w:hAnsi="Calibri" w:cstheme="minorHAnsi"/>
        </w:rPr>
        <w:t>e dni</w:t>
      </w:r>
      <w:r w:rsidR="0089347E">
        <w:rPr>
          <w:rFonts w:ascii="Calibri" w:hAnsi="Calibri" w:cstheme="minorHAnsi"/>
        </w:rPr>
        <w:t xml:space="preserve"> </w:t>
      </w:r>
      <w:r w:rsidRPr="006655A8">
        <w:rPr>
          <w:rFonts w:ascii="Calibri" w:hAnsi="Calibri" w:cstheme="minorHAnsi"/>
        </w:rPr>
        <w:t xml:space="preserve">1. 1. 2017 měla </w:t>
      </w:r>
      <w:r w:rsidR="00800351" w:rsidRPr="00800351">
        <w:rPr>
          <w:rFonts w:asciiTheme="minorHAnsi" w:hAnsiTheme="minorHAnsi" w:cstheme="minorHAnsi"/>
        </w:rPr>
        <w:t>Policie</w:t>
      </w:r>
      <w:r w:rsidRPr="006655A8">
        <w:rPr>
          <w:rFonts w:ascii="Calibri" w:hAnsi="Calibri" w:cstheme="minorHAnsi"/>
        </w:rPr>
        <w:t xml:space="preserve"> oproti system</w:t>
      </w:r>
      <w:r w:rsidR="0089347E">
        <w:rPr>
          <w:rFonts w:ascii="Calibri" w:hAnsi="Calibri" w:cstheme="minorHAnsi"/>
        </w:rPr>
        <w:t>izaci</w:t>
      </w:r>
      <w:r w:rsidRPr="006655A8">
        <w:rPr>
          <w:rFonts w:ascii="Calibri" w:hAnsi="Calibri" w:cstheme="minorHAnsi"/>
        </w:rPr>
        <w:t xml:space="preserve"> </w:t>
      </w:r>
      <w:r w:rsidR="001C6636">
        <w:rPr>
          <w:rFonts w:ascii="Calibri" w:hAnsi="Calibri" w:cstheme="minorHAnsi"/>
        </w:rPr>
        <w:t>z roku </w:t>
      </w:r>
      <w:r w:rsidR="001D5841">
        <w:rPr>
          <w:rFonts w:ascii="Calibri" w:hAnsi="Calibri" w:cstheme="minorHAnsi"/>
        </w:rPr>
        <w:t xml:space="preserve">2008 </w:t>
      </w:r>
      <w:r w:rsidRPr="006655A8">
        <w:rPr>
          <w:rFonts w:ascii="Calibri" w:hAnsi="Calibri" w:cstheme="minorHAnsi"/>
        </w:rPr>
        <w:t>např</w:t>
      </w:r>
      <w:r w:rsidR="008B55B1" w:rsidRPr="006655A8">
        <w:rPr>
          <w:rFonts w:ascii="Calibri" w:hAnsi="Calibri" w:cstheme="minorHAnsi"/>
        </w:rPr>
        <w:t xml:space="preserve">íklad </w:t>
      </w:r>
      <w:r w:rsidR="001D5841" w:rsidRPr="006655A8">
        <w:rPr>
          <w:rFonts w:ascii="Calibri" w:hAnsi="Calibri" w:cstheme="minorHAnsi"/>
        </w:rPr>
        <w:t xml:space="preserve">méně </w:t>
      </w:r>
      <w:r w:rsidRPr="006655A8">
        <w:rPr>
          <w:rFonts w:ascii="Calibri" w:hAnsi="Calibri" w:cstheme="minorHAnsi"/>
        </w:rPr>
        <w:t xml:space="preserve">o 39 autobusů </w:t>
      </w:r>
      <w:r w:rsidR="0089347E">
        <w:rPr>
          <w:rFonts w:ascii="Calibri" w:hAnsi="Calibri" w:cstheme="minorHAnsi"/>
        </w:rPr>
        <w:t xml:space="preserve">s kapacitou </w:t>
      </w:r>
      <w:r w:rsidRPr="006655A8">
        <w:rPr>
          <w:rFonts w:ascii="Calibri" w:hAnsi="Calibri" w:cstheme="minorHAnsi"/>
        </w:rPr>
        <w:t xml:space="preserve">do 30 osob (41 %) nebo o 100 </w:t>
      </w:r>
      <w:r w:rsidRPr="006655A8">
        <w:rPr>
          <w:rFonts w:ascii="Calibri" w:hAnsi="Calibri"/>
        </w:rPr>
        <w:t xml:space="preserve">automobilů nákladních skříňových do 3,5 t </w:t>
      </w:r>
      <w:r w:rsidRPr="006655A8">
        <w:rPr>
          <w:rFonts w:ascii="Calibri" w:hAnsi="Calibri" w:cstheme="minorHAnsi"/>
        </w:rPr>
        <w:t>(23 %)</w:t>
      </w:r>
      <w:r w:rsidR="008B55B1" w:rsidRPr="006655A8">
        <w:rPr>
          <w:rFonts w:ascii="Calibri" w:hAnsi="Calibri" w:cstheme="minorHAnsi"/>
        </w:rPr>
        <w:t xml:space="preserve"> </w:t>
      </w:r>
      <w:r w:rsidR="008B55B1" w:rsidRPr="006655A8">
        <w:rPr>
          <w:rFonts w:ascii="Calibri" w:hAnsi="Calibri"/>
        </w:rPr>
        <w:t>a</w:t>
      </w:r>
      <w:r w:rsidR="0064321D">
        <w:rPr>
          <w:rFonts w:ascii="Calibri" w:hAnsi="Calibri"/>
        </w:rPr>
        <w:t> </w:t>
      </w:r>
      <w:r w:rsidRPr="006655A8">
        <w:rPr>
          <w:rFonts w:ascii="Calibri" w:hAnsi="Calibri"/>
        </w:rPr>
        <w:t xml:space="preserve">naopak </w:t>
      </w:r>
      <w:r w:rsidR="0089347E">
        <w:rPr>
          <w:rFonts w:ascii="Calibri" w:hAnsi="Calibri"/>
        </w:rPr>
        <w:t xml:space="preserve">měla více </w:t>
      </w:r>
      <w:r w:rsidRPr="006655A8">
        <w:rPr>
          <w:rFonts w:ascii="Calibri" w:hAnsi="Calibri"/>
        </w:rPr>
        <w:t>o 211 mikrobusů silničních komerčních (77 %) nebo o 561 osobních automobilů silničních v policejním provedení (24 %)</w:t>
      </w:r>
      <w:r w:rsidR="008B55B1" w:rsidRPr="006655A8">
        <w:rPr>
          <w:rFonts w:ascii="Calibri" w:hAnsi="Calibri"/>
        </w:rPr>
        <w:t>.</w:t>
      </w:r>
    </w:p>
    <w:p w14:paraId="15EF5577" w14:textId="55A1BA22" w:rsidR="00A33AC1" w:rsidRDefault="0089347E" w:rsidP="00A33AC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>S</w:t>
      </w:r>
      <w:r w:rsidR="00A33AC1" w:rsidRPr="006655A8">
        <w:rPr>
          <w:rFonts w:ascii="Calibri" w:hAnsi="Calibri" w:cs="Calibri"/>
          <w:iCs/>
        </w:rPr>
        <w:t xml:space="preserve">ystémová opatření </w:t>
      </w:r>
      <w:r>
        <w:rPr>
          <w:rFonts w:ascii="Calibri" w:hAnsi="Calibri" w:cs="Calibri"/>
          <w:iCs/>
        </w:rPr>
        <w:t>n</w:t>
      </w:r>
      <w:r w:rsidRPr="006655A8">
        <w:rPr>
          <w:rFonts w:ascii="Calibri" w:hAnsi="Calibri" w:cs="Calibri"/>
          <w:iCs/>
        </w:rPr>
        <w:t xml:space="preserve">avržená </w:t>
      </w:r>
      <w:r>
        <w:rPr>
          <w:rFonts w:ascii="Calibri" w:hAnsi="Calibri" w:cs="Calibri"/>
          <w:iCs/>
        </w:rPr>
        <w:t xml:space="preserve">v </w:t>
      </w:r>
      <w:r w:rsidR="00A33AC1" w:rsidRPr="006655A8">
        <w:rPr>
          <w:rFonts w:ascii="Calibri" w:hAnsi="Calibri" w:cs="Calibri"/>
          <w:iCs/>
        </w:rPr>
        <w:t>Koncepc</w:t>
      </w:r>
      <w:r>
        <w:rPr>
          <w:rFonts w:ascii="Calibri" w:hAnsi="Calibri" w:cs="Calibri"/>
          <w:iCs/>
        </w:rPr>
        <w:t>i</w:t>
      </w:r>
      <w:r w:rsidR="00A33AC1" w:rsidRPr="006655A8">
        <w:rPr>
          <w:rFonts w:ascii="Calibri" w:hAnsi="Calibri" w:cs="Calibri"/>
          <w:iCs/>
        </w:rPr>
        <w:t xml:space="preserve"> směřují </w:t>
      </w:r>
      <w:r w:rsidR="008171B5" w:rsidRPr="006655A8">
        <w:rPr>
          <w:rFonts w:ascii="Calibri" w:hAnsi="Calibri" w:cs="Calibri"/>
          <w:iCs/>
        </w:rPr>
        <w:t>také</w:t>
      </w:r>
      <w:r w:rsidR="00A33AC1" w:rsidRPr="006655A8">
        <w:rPr>
          <w:rFonts w:ascii="Calibri" w:hAnsi="Calibri" w:cs="Calibri"/>
          <w:iCs/>
        </w:rPr>
        <w:t xml:space="preserve"> do této oblasti. </w:t>
      </w:r>
      <w:r w:rsidR="005E3AB9" w:rsidRPr="006655A8">
        <w:rPr>
          <w:rFonts w:ascii="Calibri" w:hAnsi="Calibri"/>
        </w:rPr>
        <w:t xml:space="preserve">Od poloviny roku 2016 realizuje </w:t>
      </w:r>
      <w:r w:rsidR="00B91811" w:rsidRPr="00800351">
        <w:rPr>
          <w:rFonts w:asciiTheme="minorHAnsi" w:hAnsiTheme="minorHAnsi" w:cstheme="minorHAnsi"/>
        </w:rPr>
        <w:t>Policie</w:t>
      </w:r>
      <w:r w:rsidR="00B91811" w:rsidRPr="006655A8">
        <w:rPr>
          <w:rFonts w:ascii="Calibri" w:hAnsi="Calibri"/>
        </w:rPr>
        <w:t xml:space="preserve"> </w:t>
      </w:r>
      <w:r w:rsidR="005E3AB9" w:rsidRPr="006655A8">
        <w:rPr>
          <w:rFonts w:ascii="Calibri" w:hAnsi="Calibri"/>
        </w:rPr>
        <w:t>p</w:t>
      </w:r>
      <w:r w:rsidR="00EA4AB6" w:rsidRPr="006655A8">
        <w:rPr>
          <w:rFonts w:ascii="Calibri" w:hAnsi="Calibri"/>
        </w:rPr>
        <w:t xml:space="preserve">rojekt </w:t>
      </w:r>
      <w:r w:rsidR="00EA4AB6" w:rsidRPr="00C70AB6">
        <w:rPr>
          <w:rFonts w:ascii="Calibri" w:hAnsi="Calibri"/>
          <w:i/>
        </w:rPr>
        <w:t>S</w:t>
      </w:r>
      <w:r w:rsidR="00A33AC1" w:rsidRPr="00C70AB6">
        <w:rPr>
          <w:rFonts w:ascii="Calibri" w:hAnsi="Calibri"/>
          <w:i/>
        </w:rPr>
        <w:t>ystemizace a standardizace</w:t>
      </w:r>
      <w:r w:rsidR="00EA4AB6" w:rsidRPr="00C70AB6">
        <w:rPr>
          <w:rFonts w:ascii="Calibri" w:hAnsi="Calibri"/>
          <w:i/>
        </w:rPr>
        <w:t xml:space="preserve"> nezbytného majetku pro výkon služby</w:t>
      </w:r>
      <w:r w:rsidR="005A1904">
        <w:rPr>
          <w:rFonts w:ascii="Calibri" w:hAnsi="Calibri"/>
        </w:rPr>
        <w:t>.</w:t>
      </w:r>
      <w:r w:rsidR="00A33AC1" w:rsidRPr="006655A8">
        <w:rPr>
          <w:rFonts w:ascii="Calibri" w:hAnsi="Calibri"/>
        </w:rPr>
        <w:t xml:space="preserve"> </w:t>
      </w:r>
      <w:r w:rsidR="005A1904">
        <w:rPr>
          <w:rFonts w:ascii="Calibri" w:hAnsi="Calibri"/>
        </w:rPr>
        <w:t>Tento projekt</w:t>
      </w:r>
      <w:r w:rsidR="005A1904" w:rsidRPr="006655A8">
        <w:rPr>
          <w:rFonts w:ascii="Calibri" w:hAnsi="Calibri"/>
        </w:rPr>
        <w:t xml:space="preserve"> </w:t>
      </w:r>
      <w:r w:rsidR="00A33AC1" w:rsidRPr="006655A8">
        <w:rPr>
          <w:rFonts w:ascii="Calibri" w:hAnsi="Calibri"/>
        </w:rPr>
        <w:t xml:space="preserve">řeší </w:t>
      </w:r>
      <w:r w:rsidR="00EA4AB6" w:rsidRPr="006655A8">
        <w:rPr>
          <w:rFonts w:ascii="Calibri" w:hAnsi="Calibri"/>
        </w:rPr>
        <w:t xml:space="preserve">jak </w:t>
      </w:r>
      <w:r w:rsidR="00B22C92" w:rsidRPr="006655A8">
        <w:rPr>
          <w:rFonts w:ascii="Calibri" w:hAnsi="Calibri"/>
        </w:rPr>
        <w:t xml:space="preserve">problematiku </w:t>
      </w:r>
      <w:r w:rsidR="00A33AC1" w:rsidRPr="006655A8">
        <w:rPr>
          <w:rFonts w:ascii="Calibri" w:hAnsi="Calibri"/>
        </w:rPr>
        <w:t xml:space="preserve">jednotného vybavení policistů podle </w:t>
      </w:r>
      <w:r w:rsidR="00EA4AB6" w:rsidRPr="006655A8">
        <w:rPr>
          <w:rFonts w:ascii="Calibri" w:hAnsi="Calibri"/>
        </w:rPr>
        <w:t xml:space="preserve">jejich </w:t>
      </w:r>
      <w:r w:rsidR="00A33AC1" w:rsidRPr="006655A8">
        <w:rPr>
          <w:rFonts w:ascii="Calibri" w:hAnsi="Calibri"/>
        </w:rPr>
        <w:t xml:space="preserve">služebního </w:t>
      </w:r>
      <w:r w:rsidR="00A33AC1" w:rsidRPr="006655A8">
        <w:rPr>
          <w:rFonts w:ascii="Calibri" w:hAnsi="Calibri"/>
        </w:rPr>
        <w:lastRenderedPageBreak/>
        <w:t xml:space="preserve">zařazení, </w:t>
      </w:r>
      <w:r w:rsidR="005E3AB9" w:rsidRPr="006655A8">
        <w:rPr>
          <w:rFonts w:ascii="Calibri" w:hAnsi="Calibri"/>
        </w:rPr>
        <w:t>tak</w:t>
      </w:r>
      <w:r w:rsidR="005D5060">
        <w:rPr>
          <w:rFonts w:ascii="Calibri" w:hAnsi="Calibri"/>
        </w:rPr>
        <w:t> </w:t>
      </w:r>
      <w:r w:rsidR="005E3AB9" w:rsidRPr="006655A8">
        <w:rPr>
          <w:rFonts w:ascii="Calibri" w:hAnsi="Calibri"/>
        </w:rPr>
        <w:t xml:space="preserve">i </w:t>
      </w:r>
      <w:r w:rsidR="00A33AC1" w:rsidRPr="006655A8">
        <w:rPr>
          <w:rFonts w:ascii="Calibri" w:hAnsi="Calibri"/>
        </w:rPr>
        <w:t>otázky spojené s</w:t>
      </w:r>
      <w:r w:rsidR="00B22C92" w:rsidRPr="006655A8">
        <w:rPr>
          <w:rFonts w:ascii="Calibri" w:hAnsi="Calibri"/>
        </w:rPr>
        <w:t> </w:t>
      </w:r>
      <w:r w:rsidR="00A33AC1" w:rsidRPr="006655A8">
        <w:rPr>
          <w:rFonts w:ascii="Calibri" w:hAnsi="Calibri"/>
        </w:rPr>
        <w:t xml:space="preserve">plánováním </w:t>
      </w:r>
      <w:r w:rsidR="005E3AB9" w:rsidRPr="006655A8">
        <w:rPr>
          <w:rFonts w:ascii="Calibri" w:hAnsi="Calibri"/>
        </w:rPr>
        <w:t xml:space="preserve">výdajů </w:t>
      </w:r>
      <w:r w:rsidR="00EA4AB6" w:rsidRPr="006655A8">
        <w:rPr>
          <w:rFonts w:ascii="Calibri" w:hAnsi="Calibri"/>
        </w:rPr>
        <w:t xml:space="preserve">na prostou obnovu </w:t>
      </w:r>
      <w:r w:rsidR="000658D1" w:rsidRPr="006655A8">
        <w:rPr>
          <w:rFonts w:ascii="Calibri" w:hAnsi="Calibri"/>
        </w:rPr>
        <w:t xml:space="preserve">nezbytného majetku </w:t>
      </w:r>
      <w:r w:rsidR="00EA4AB6" w:rsidRPr="006655A8">
        <w:rPr>
          <w:rFonts w:ascii="Calibri" w:hAnsi="Calibri"/>
        </w:rPr>
        <w:t>útvarů a</w:t>
      </w:r>
      <w:r w:rsidR="005D5060">
        <w:rPr>
          <w:rFonts w:ascii="Calibri" w:hAnsi="Calibri"/>
        </w:rPr>
        <w:t> </w:t>
      </w:r>
      <w:r w:rsidR="00EA4AB6" w:rsidRPr="006655A8">
        <w:rPr>
          <w:rFonts w:ascii="Calibri" w:hAnsi="Calibri"/>
        </w:rPr>
        <w:t xml:space="preserve">organizačních článků </w:t>
      </w:r>
      <w:r w:rsidR="00800351" w:rsidRPr="00800351">
        <w:rPr>
          <w:rFonts w:asciiTheme="minorHAnsi" w:hAnsiTheme="minorHAnsi" w:cstheme="minorHAnsi"/>
        </w:rPr>
        <w:t>Policie</w:t>
      </w:r>
      <w:r w:rsidR="00EA4AB6" w:rsidRPr="006655A8">
        <w:rPr>
          <w:rFonts w:ascii="Calibri" w:hAnsi="Calibri"/>
        </w:rPr>
        <w:t xml:space="preserve">. </w:t>
      </w:r>
      <w:r w:rsidR="00A33AC1" w:rsidRPr="006655A8">
        <w:rPr>
          <w:rFonts w:ascii="Calibri" w:hAnsi="Calibri" w:cs="Calibri"/>
        </w:rPr>
        <w:t>Do doby ukonče</w:t>
      </w:r>
      <w:r w:rsidR="001D5841">
        <w:rPr>
          <w:rFonts w:ascii="Calibri" w:hAnsi="Calibri" w:cs="Calibri"/>
        </w:rPr>
        <w:t xml:space="preserve">ní kontrolní akce č. 17/07 </w:t>
      </w:r>
      <w:r w:rsidR="000658D1" w:rsidRPr="006655A8">
        <w:rPr>
          <w:rFonts w:ascii="Calibri" w:hAnsi="Calibri" w:cs="Calibri"/>
        </w:rPr>
        <w:t xml:space="preserve">byly schváleny nové </w:t>
      </w:r>
      <w:r w:rsidR="006655A8" w:rsidRPr="006655A8">
        <w:rPr>
          <w:rFonts w:ascii="Calibri" w:hAnsi="Calibri" w:cs="Calibri"/>
        </w:rPr>
        <w:t>s</w:t>
      </w:r>
      <w:r w:rsidR="000658D1" w:rsidRPr="006655A8">
        <w:rPr>
          <w:rFonts w:ascii="Calibri" w:hAnsi="Calibri" w:cs="Calibri"/>
        </w:rPr>
        <w:t xml:space="preserve">ystemizace </w:t>
      </w:r>
      <w:r w:rsidR="006655A8" w:rsidRPr="006655A8">
        <w:rPr>
          <w:rFonts w:ascii="Calibri" w:hAnsi="Calibri" w:cs="Calibri"/>
        </w:rPr>
        <w:t>zbraní a munice</w:t>
      </w:r>
      <w:r w:rsidR="000658D1" w:rsidRPr="006655A8">
        <w:rPr>
          <w:rFonts w:ascii="Calibri" w:hAnsi="Calibri" w:cs="Calibri"/>
        </w:rPr>
        <w:t xml:space="preserve"> a </w:t>
      </w:r>
      <w:r w:rsidR="006655A8" w:rsidRPr="006655A8">
        <w:rPr>
          <w:rFonts w:ascii="Calibri" w:hAnsi="Calibri" w:cs="Calibri"/>
        </w:rPr>
        <w:t>s</w:t>
      </w:r>
      <w:r w:rsidR="00A33AC1" w:rsidRPr="006655A8">
        <w:rPr>
          <w:rFonts w:ascii="Calibri" w:hAnsi="Calibri" w:cs="Calibri"/>
        </w:rPr>
        <w:t>ystemizace balistických a ochranných prostředků</w:t>
      </w:r>
      <w:r w:rsidR="00A33AC1" w:rsidRPr="00A15B43">
        <w:rPr>
          <w:rFonts w:ascii="Calibri" w:hAnsi="Calibri" w:cs="Calibri"/>
        </w:rPr>
        <w:t xml:space="preserve"> (původní dokument</w:t>
      </w:r>
      <w:r w:rsidR="008171B5">
        <w:rPr>
          <w:rFonts w:ascii="Calibri" w:hAnsi="Calibri" w:cs="Calibri"/>
        </w:rPr>
        <w:t>y pocházely z roku 2001, resp.</w:t>
      </w:r>
      <w:r w:rsidR="00A33AC1" w:rsidRPr="00A15B43">
        <w:rPr>
          <w:rFonts w:ascii="Calibri" w:hAnsi="Calibri" w:cs="Calibri"/>
        </w:rPr>
        <w:t xml:space="preserve"> 2003).</w:t>
      </w:r>
    </w:p>
    <w:p w14:paraId="19AE789F" w14:textId="1AC72917" w:rsidR="0097753F" w:rsidRDefault="0097753F" w:rsidP="0097753F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Předpokladem</w:t>
      </w:r>
      <w:r w:rsidRPr="006655A8">
        <w:rPr>
          <w:rFonts w:ascii="Calibri" w:hAnsi="Calibri"/>
        </w:rPr>
        <w:t xml:space="preserve"> pro efektivní a účelné plánování </w:t>
      </w:r>
      <w:r w:rsidRPr="006655A8">
        <w:rPr>
          <w:rFonts w:asciiTheme="minorHAnsi" w:hAnsiTheme="minorHAnsi" w:cs="Calibri"/>
        </w:rPr>
        <w:t xml:space="preserve">rozvoje a obnovy materiálně technické základny </w:t>
      </w:r>
      <w:r w:rsidRPr="00800351">
        <w:rPr>
          <w:rFonts w:asciiTheme="minorHAnsi" w:hAnsiTheme="minorHAnsi" w:cstheme="minorHAnsi"/>
        </w:rPr>
        <w:t>Policie</w:t>
      </w:r>
      <w:r w:rsidRPr="006655A8">
        <w:rPr>
          <w:rFonts w:asciiTheme="minorHAnsi" w:hAnsiTheme="minorHAnsi" w:cs="Calibri"/>
        </w:rPr>
        <w:t xml:space="preserve"> je znalost </w:t>
      </w:r>
      <w:r w:rsidR="00A068F4">
        <w:rPr>
          <w:rFonts w:asciiTheme="minorHAnsi" w:hAnsiTheme="minorHAnsi" w:cs="Calibri"/>
        </w:rPr>
        <w:t xml:space="preserve">potřeb a </w:t>
      </w:r>
      <w:r w:rsidRPr="006655A8">
        <w:rPr>
          <w:rFonts w:asciiTheme="minorHAnsi" w:hAnsiTheme="minorHAnsi" w:cs="Calibri"/>
        </w:rPr>
        <w:t>výše rozpočtu v dostatečném časovém předstihu</w:t>
      </w:r>
      <w:r w:rsidR="005A1904">
        <w:rPr>
          <w:rFonts w:asciiTheme="minorHAnsi" w:hAnsiTheme="minorHAnsi" w:cs="Calibri"/>
        </w:rPr>
        <w:t>.</w:t>
      </w:r>
      <w:r w:rsidRPr="006655A8">
        <w:rPr>
          <w:rFonts w:asciiTheme="minorHAnsi" w:hAnsiTheme="minorHAnsi" w:cs="Calibri"/>
        </w:rPr>
        <w:t xml:space="preserve"> </w:t>
      </w:r>
      <w:r w:rsidR="005A1904">
        <w:rPr>
          <w:rFonts w:asciiTheme="minorHAnsi" w:hAnsiTheme="minorHAnsi" w:cs="Calibri"/>
        </w:rPr>
        <w:t>Díky tomu může být</w:t>
      </w:r>
      <w:r w:rsidRPr="006655A8">
        <w:rPr>
          <w:rFonts w:asciiTheme="minorHAnsi" w:hAnsiTheme="minorHAnsi" w:cs="Calibri"/>
        </w:rPr>
        <w:t xml:space="preserve"> plánování plynulé</w:t>
      </w:r>
      <w:r w:rsidR="005A1904">
        <w:rPr>
          <w:rFonts w:asciiTheme="minorHAnsi" w:hAnsiTheme="minorHAnsi" w:cs="Calibri"/>
        </w:rPr>
        <w:t>, pořizovaný majetek</w:t>
      </w:r>
      <w:r w:rsidRPr="006655A8">
        <w:rPr>
          <w:rFonts w:asciiTheme="minorHAnsi" w:hAnsiTheme="minorHAnsi" w:cs="Calibri"/>
        </w:rPr>
        <w:t xml:space="preserve"> </w:t>
      </w:r>
      <w:r w:rsidR="005A1904">
        <w:rPr>
          <w:rFonts w:asciiTheme="minorHAnsi" w:hAnsiTheme="minorHAnsi" w:cs="Calibri"/>
        </w:rPr>
        <w:t>bude nahrazovat</w:t>
      </w:r>
      <w:r w:rsidR="005A1904" w:rsidRPr="006655A8">
        <w:rPr>
          <w:rFonts w:asciiTheme="minorHAnsi" w:hAnsiTheme="minorHAnsi" w:cs="Calibri"/>
        </w:rPr>
        <w:t xml:space="preserve"> </w:t>
      </w:r>
      <w:r w:rsidRPr="006655A8">
        <w:rPr>
          <w:rFonts w:asciiTheme="minorHAnsi" w:hAnsiTheme="minorHAnsi" w:cs="Calibri"/>
        </w:rPr>
        <w:t xml:space="preserve">majetek vyřazovaný a zároveň </w:t>
      </w:r>
      <w:r w:rsidR="005A1904" w:rsidRPr="006655A8">
        <w:rPr>
          <w:rFonts w:asciiTheme="minorHAnsi" w:hAnsiTheme="minorHAnsi" w:cs="Calibri"/>
        </w:rPr>
        <w:t>pokrýva</w:t>
      </w:r>
      <w:r w:rsidR="005A1904">
        <w:rPr>
          <w:rFonts w:asciiTheme="minorHAnsi" w:hAnsiTheme="minorHAnsi" w:cs="Calibri"/>
        </w:rPr>
        <w:t>t</w:t>
      </w:r>
      <w:r w:rsidR="005A1904" w:rsidRPr="006655A8">
        <w:rPr>
          <w:rFonts w:asciiTheme="minorHAnsi" w:hAnsiTheme="minorHAnsi" w:cs="Calibri"/>
        </w:rPr>
        <w:t xml:space="preserve"> </w:t>
      </w:r>
      <w:r w:rsidRPr="006655A8">
        <w:rPr>
          <w:rFonts w:asciiTheme="minorHAnsi" w:hAnsiTheme="minorHAnsi" w:cs="Calibri"/>
        </w:rPr>
        <w:t xml:space="preserve">nové potřeby </w:t>
      </w:r>
      <w:r w:rsidRPr="00800351">
        <w:rPr>
          <w:rFonts w:asciiTheme="minorHAnsi" w:hAnsiTheme="minorHAnsi" w:cstheme="minorHAnsi"/>
        </w:rPr>
        <w:t>Policie</w:t>
      </w:r>
      <w:r w:rsidRPr="006655A8">
        <w:rPr>
          <w:rFonts w:asciiTheme="minorHAnsi" w:hAnsiTheme="minorHAnsi" w:cs="Calibri"/>
        </w:rPr>
        <w:t>.</w:t>
      </w:r>
      <w:r w:rsidR="005C2AD4">
        <w:rPr>
          <w:rFonts w:asciiTheme="minorHAnsi" w:hAnsiTheme="minorHAnsi" w:cs="Calibri"/>
        </w:rPr>
        <w:t xml:space="preserve"> </w:t>
      </w:r>
      <w:r w:rsidR="008E241B">
        <w:rPr>
          <w:rFonts w:asciiTheme="minorHAnsi" w:hAnsiTheme="minorHAnsi" w:cs="Calibri"/>
        </w:rPr>
        <w:t xml:space="preserve">Předpoklady </w:t>
      </w:r>
      <w:r w:rsidR="005C2AD4">
        <w:rPr>
          <w:rFonts w:asciiTheme="minorHAnsi" w:hAnsiTheme="minorHAnsi" w:cs="Calibri"/>
        </w:rPr>
        <w:t xml:space="preserve">v kontrolovaném období </w:t>
      </w:r>
      <w:r w:rsidR="009A5690">
        <w:rPr>
          <w:rFonts w:asciiTheme="minorHAnsi" w:hAnsiTheme="minorHAnsi" w:cs="Calibri"/>
        </w:rPr>
        <w:t>splněn</w:t>
      </w:r>
      <w:r w:rsidR="008E241B">
        <w:rPr>
          <w:rFonts w:asciiTheme="minorHAnsi" w:hAnsiTheme="minorHAnsi" w:cs="Calibri"/>
        </w:rPr>
        <w:t>y</w:t>
      </w:r>
      <w:r w:rsidR="009A5690">
        <w:rPr>
          <w:rFonts w:asciiTheme="minorHAnsi" w:hAnsiTheme="minorHAnsi" w:cs="Calibri"/>
        </w:rPr>
        <w:t xml:space="preserve"> nebyl</w:t>
      </w:r>
      <w:r w:rsidR="008E241B">
        <w:rPr>
          <w:rFonts w:asciiTheme="minorHAnsi" w:hAnsiTheme="minorHAnsi" w:cs="Calibri"/>
        </w:rPr>
        <w:t>y</w:t>
      </w:r>
      <w:r w:rsidR="005C2AD4">
        <w:rPr>
          <w:rFonts w:asciiTheme="minorHAnsi" w:hAnsiTheme="minorHAnsi" w:cs="Calibri"/>
        </w:rPr>
        <w:t>, n</w:t>
      </w:r>
      <w:r w:rsidRPr="006F5CD2">
        <w:rPr>
          <w:rFonts w:asciiTheme="minorHAnsi" w:hAnsiTheme="minorHAnsi"/>
        </w:rPr>
        <w:t>árazovité</w:t>
      </w:r>
      <w:r w:rsidRPr="00766A08">
        <w:rPr>
          <w:rFonts w:asciiTheme="minorHAnsi" w:hAnsiTheme="minorHAnsi"/>
        </w:rPr>
        <w:t xml:space="preserve"> pořizování majetku </w:t>
      </w:r>
      <w:r w:rsidRPr="006F5CD2">
        <w:rPr>
          <w:rFonts w:asciiTheme="minorHAnsi" w:hAnsiTheme="minorHAnsi"/>
        </w:rPr>
        <w:t>dobře ilustruje příklad</w:t>
      </w:r>
      <w:r w:rsidRPr="00766A08">
        <w:rPr>
          <w:rFonts w:asciiTheme="minorHAnsi" w:hAnsiTheme="minorHAnsi"/>
        </w:rPr>
        <w:t xml:space="preserve"> </w:t>
      </w:r>
      <w:r w:rsidRPr="00766A08">
        <w:rPr>
          <w:rFonts w:ascii="Calibri" w:hAnsi="Calibri"/>
        </w:rPr>
        <w:t xml:space="preserve">osobních silničních automobilů v policejním provedení </w:t>
      </w:r>
      <w:r>
        <w:rPr>
          <w:rFonts w:ascii="Calibri" w:hAnsi="Calibri"/>
        </w:rPr>
        <w:t xml:space="preserve">(v roce 2012 jich bylo pořízeno 11, naproti tomu </w:t>
      </w:r>
      <w:r w:rsidRPr="00766A08">
        <w:rPr>
          <w:rFonts w:ascii="Calibri" w:hAnsi="Calibri"/>
        </w:rPr>
        <w:t>v roce 2015</w:t>
      </w:r>
      <w:r>
        <w:rPr>
          <w:rFonts w:ascii="Calibri" w:hAnsi="Calibri"/>
        </w:rPr>
        <w:t xml:space="preserve"> celkem 555). </w:t>
      </w:r>
      <w:r w:rsidRPr="00593172">
        <w:rPr>
          <w:rFonts w:ascii="Calibri" w:hAnsi="Calibri"/>
        </w:rPr>
        <w:t>Z tabulky č. 3</w:t>
      </w:r>
      <w:r>
        <w:rPr>
          <w:rFonts w:ascii="Calibri" w:hAnsi="Calibri"/>
        </w:rPr>
        <w:t>, resp.</w:t>
      </w:r>
      <w:r w:rsidR="00737B50">
        <w:rPr>
          <w:rFonts w:ascii="Calibri" w:hAnsi="Calibri"/>
        </w:rPr>
        <w:t xml:space="preserve"> z</w:t>
      </w:r>
      <w:r>
        <w:rPr>
          <w:rFonts w:ascii="Calibri" w:hAnsi="Calibri"/>
        </w:rPr>
        <w:t xml:space="preserve"> rozdílu mezi počtem vyřazovaných a pořizovaných automobilů</w:t>
      </w:r>
      <w:r w:rsidR="00A23AE7">
        <w:rPr>
          <w:rFonts w:ascii="Calibri" w:hAnsi="Calibri"/>
        </w:rPr>
        <w:t>,</w:t>
      </w:r>
      <w:r w:rsidRPr="00593172">
        <w:rPr>
          <w:rFonts w:ascii="Calibri" w:hAnsi="Calibri"/>
        </w:rPr>
        <w:t xml:space="preserve"> je zároveň zřejmé, že počet </w:t>
      </w:r>
      <w:r>
        <w:rPr>
          <w:rFonts w:ascii="Calibri" w:hAnsi="Calibri"/>
        </w:rPr>
        <w:t>nakupovaných</w:t>
      </w:r>
      <w:r w:rsidRPr="00593172">
        <w:rPr>
          <w:rFonts w:ascii="Calibri" w:hAnsi="Calibri"/>
        </w:rPr>
        <w:t xml:space="preserve"> automobilů neodpovídal </w:t>
      </w:r>
      <w:r>
        <w:rPr>
          <w:rFonts w:ascii="Calibri" w:hAnsi="Calibri"/>
        </w:rPr>
        <w:t>v letech 2012 až 2014 ani prosté reprodukci majetku</w:t>
      </w:r>
      <w:r w:rsidRPr="00593172">
        <w:rPr>
          <w:rFonts w:ascii="Calibri" w:hAnsi="Calibri"/>
        </w:rPr>
        <w:t>.</w:t>
      </w:r>
    </w:p>
    <w:p w14:paraId="45AC0C7C" w14:textId="386E9726" w:rsidR="0097753F" w:rsidRPr="00D264F4" w:rsidRDefault="0097753F" w:rsidP="003D1368">
      <w:pPr>
        <w:tabs>
          <w:tab w:val="right" w:pos="9072"/>
        </w:tabs>
        <w:ind w:left="1304" w:hanging="1304"/>
        <w:rPr>
          <w:rFonts w:ascii="Calibri" w:hAnsi="Calibri"/>
        </w:rPr>
      </w:pPr>
      <w:r w:rsidRPr="00420A2A">
        <w:rPr>
          <w:rFonts w:ascii="Calibri" w:hAnsi="Calibri"/>
          <w:b/>
        </w:rPr>
        <w:t>Tabulka č</w:t>
      </w:r>
      <w:r>
        <w:rPr>
          <w:rFonts w:ascii="Calibri" w:hAnsi="Calibri"/>
          <w:b/>
        </w:rPr>
        <w:t xml:space="preserve">. 3: </w:t>
      </w:r>
      <w:r w:rsidR="00B70859">
        <w:rPr>
          <w:rFonts w:ascii="Calibri" w:hAnsi="Calibri"/>
          <w:b/>
        </w:rPr>
        <w:tab/>
      </w:r>
      <w:r w:rsidR="00A23AE7">
        <w:rPr>
          <w:rFonts w:ascii="Calibri" w:hAnsi="Calibri"/>
          <w:b/>
        </w:rPr>
        <w:t>Přehled nákupů a vyřazování</w:t>
      </w:r>
      <w:r>
        <w:rPr>
          <w:rFonts w:ascii="Calibri" w:hAnsi="Calibri"/>
          <w:b/>
        </w:rPr>
        <w:t xml:space="preserve"> osobních silničních automobilů v policejním provedení v letech 2012 až 2016</w:t>
      </w:r>
      <w:r w:rsidR="00B5251D">
        <w:rPr>
          <w:rFonts w:ascii="Calibri" w:hAnsi="Calibri"/>
          <w:b/>
        </w:rPr>
        <w:tab/>
      </w:r>
      <w:r w:rsidRPr="003D1368">
        <w:rPr>
          <w:rFonts w:ascii="Calibri" w:hAnsi="Calibri"/>
          <w:b/>
        </w:rPr>
        <w:t>(v ks)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1052"/>
        <w:gridCol w:w="1228"/>
        <w:gridCol w:w="1228"/>
        <w:gridCol w:w="1228"/>
        <w:gridCol w:w="1228"/>
      </w:tblGrid>
      <w:tr w:rsidR="0097753F" w:rsidRPr="008813DC" w14:paraId="19895C8A" w14:textId="77777777" w:rsidTr="00B70859">
        <w:trPr>
          <w:trHeight w:val="315"/>
          <w:jc w:val="center"/>
        </w:trPr>
        <w:tc>
          <w:tcPr>
            <w:tcW w:w="3129" w:type="dxa"/>
            <w:shd w:val="clear" w:color="auto" w:fill="DAEEF3" w:themeFill="accent5" w:themeFillTint="33"/>
            <w:noWrap/>
            <w:vAlign w:val="center"/>
            <w:hideMark/>
          </w:tcPr>
          <w:p w14:paraId="7467D8E5" w14:textId="77777777" w:rsidR="0097753F" w:rsidRPr="00DA622F" w:rsidRDefault="0097753F" w:rsidP="003E5EB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A62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052" w:type="dxa"/>
            <w:shd w:val="clear" w:color="auto" w:fill="DAEEF3" w:themeFill="accent5" w:themeFillTint="33"/>
            <w:noWrap/>
            <w:vAlign w:val="center"/>
            <w:hideMark/>
          </w:tcPr>
          <w:p w14:paraId="4EF8BFF4" w14:textId="77777777" w:rsidR="0097753F" w:rsidRPr="00DA622F" w:rsidRDefault="0097753F" w:rsidP="003E5EB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A62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28" w:type="dxa"/>
            <w:shd w:val="clear" w:color="auto" w:fill="DAEEF3" w:themeFill="accent5" w:themeFillTint="33"/>
            <w:noWrap/>
            <w:vAlign w:val="center"/>
            <w:hideMark/>
          </w:tcPr>
          <w:p w14:paraId="37E8C9BC" w14:textId="77777777" w:rsidR="0097753F" w:rsidRPr="00DA622F" w:rsidRDefault="0097753F" w:rsidP="003E5EB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A62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28" w:type="dxa"/>
            <w:shd w:val="clear" w:color="auto" w:fill="DAEEF3" w:themeFill="accent5" w:themeFillTint="33"/>
            <w:noWrap/>
            <w:vAlign w:val="center"/>
            <w:hideMark/>
          </w:tcPr>
          <w:p w14:paraId="788FFFD2" w14:textId="77777777" w:rsidR="0097753F" w:rsidRPr="00DA622F" w:rsidRDefault="0097753F" w:rsidP="003E5EB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A62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28" w:type="dxa"/>
            <w:shd w:val="clear" w:color="auto" w:fill="DAEEF3" w:themeFill="accent5" w:themeFillTint="33"/>
            <w:noWrap/>
            <w:vAlign w:val="center"/>
            <w:hideMark/>
          </w:tcPr>
          <w:p w14:paraId="475602EA" w14:textId="77777777" w:rsidR="0097753F" w:rsidRPr="00DA622F" w:rsidRDefault="0097753F" w:rsidP="003E5EB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A62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28" w:type="dxa"/>
            <w:shd w:val="clear" w:color="auto" w:fill="DAEEF3" w:themeFill="accent5" w:themeFillTint="33"/>
            <w:noWrap/>
            <w:vAlign w:val="center"/>
            <w:hideMark/>
          </w:tcPr>
          <w:p w14:paraId="49BAACF0" w14:textId="77777777" w:rsidR="0097753F" w:rsidRPr="00DA622F" w:rsidRDefault="0097753F" w:rsidP="003E5EB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DA622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97753F" w:rsidRPr="008813DC" w14:paraId="25257B11" w14:textId="77777777" w:rsidTr="00B70859">
        <w:trPr>
          <w:trHeight w:val="217"/>
          <w:jc w:val="center"/>
        </w:trPr>
        <w:tc>
          <w:tcPr>
            <w:tcW w:w="3129" w:type="dxa"/>
            <w:shd w:val="clear" w:color="auto" w:fill="auto"/>
            <w:noWrap/>
            <w:vAlign w:val="center"/>
          </w:tcPr>
          <w:p w14:paraId="45AFDC72" w14:textId="77777777" w:rsidR="0097753F" w:rsidRPr="008813DC" w:rsidRDefault="0097753F" w:rsidP="003E5EB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Počet pořízených automobilů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6A8D1BE" w14:textId="77777777" w:rsidR="0097753F" w:rsidRPr="008813DC" w:rsidRDefault="0097753F" w:rsidP="003E5EB2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15830EB6" w14:textId="77777777" w:rsidR="0097753F" w:rsidRPr="008813DC" w:rsidRDefault="0097753F" w:rsidP="003E5EB2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5FD827CB" w14:textId="77777777" w:rsidR="0097753F" w:rsidRPr="008813DC" w:rsidRDefault="0097753F" w:rsidP="003E5EB2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027B821F" w14:textId="77777777" w:rsidR="0097753F" w:rsidRPr="008813DC" w:rsidRDefault="0097753F" w:rsidP="003E5EB2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573B9DE7" w14:textId="77777777" w:rsidR="0097753F" w:rsidRPr="008813DC" w:rsidRDefault="0097753F" w:rsidP="003E5EB2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125</w:t>
            </w:r>
          </w:p>
        </w:tc>
      </w:tr>
      <w:tr w:rsidR="0097753F" w:rsidRPr="008813DC" w14:paraId="3CFAB495" w14:textId="77777777" w:rsidTr="00B70859">
        <w:trPr>
          <w:trHeight w:val="235"/>
          <w:jc w:val="center"/>
        </w:trPr>
        <w:tc>
          <w:tcPr>
            <w:tcW w:w="3129" w:type="dxa"/>
            <w:shd w:val="clear" w:color="auto" w:fill="auto"/>
            <w:noWrap/>
            <w:vAlign w:val="center"/>
          </w:tcPr>
          <w:p w14:paraId="29EF04FB" w14:textId="77777777" w:rsidR="0097753F" w:rsidRPr="008813DC" w:rsidRDefault="0097753F" w:rsidP="003E5EB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Počet vyřazených automobilů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19EE7CD" w14:textId="77777777" w:rsidR="0097753F" w:rsidRPr="008813DC" w:rsidRDefault="0097753F" w:rsidP="003E5EB2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582F7C69" w14:textId="77777777" w:rsidR="0097753F" w:rsidRPr="008813DC" w:rsidRDefault="0097753F" w:rsidP="003E5EB2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30C4B94A" w14:textId="77777777" w:rsidR="0097753F" w:rsidRPr="008813DC" w:rsidRDefault="0097753F" w:rsidP="003E5EB2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06050A01" w14:textId="77777777" w:rsidR="0097753F" w:rsidRPr="008813DC" w:rsidRDefault="0097753F" w:rsidP="003E5EB2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0A5D6BBC" w14:textId="77777777" w:rsidR="0097753F" w:rsidRPr="008813DC" w:rsidRDefault="0097753F" w:rsidP="003E5EB2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111</w:t>
            </w:r>
          </w:p>
        </w:tc>
      </w:tr>
      <w:tr w:rsidR="0097753F" w:rsidRPr="008813DC" w14:paraId="7DFA37AD" w14:textId="77777777" w:rsidTr="00B70859">
        <w:trPr>
          <w:trHeight w:val="110"/>
          <w:jc w:val="center"/>
        </w:trPr>
        <w:tc>
          <w:tcPr>
            <w:tcW w:w="3129" w:type="dxa"/>
            <w:shd w:val="clear" w:color="auto" w:fill="auto"/>
            <w:noWrap/>
            <w:vAlign w:val="center"/>
          </w:tcPr>
          <w:p w14:paraId="78EE9530" w14:textId="77777777" w:rsidR="0097753F" w:rsidRPr="008813DC" w:rsidRDefault="0097753F" w:rsidP="003E5EB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Rozdíl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3DE4334" w14:textId="05A95CC2" w:rsidR="0097753F" w:rsidRPr="008813DC" w:rsidRDefault="00A23AE7" w:rsidP="00A23AE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97753F">
              <w:rPr>
                <w:rFonts w:asciiTheme="minorHAnsi" w:hAnsi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30C509F8" w14:textId="4D582AAF" w:rsidR="0097753F" w:rsidRPr="008813DC" w:rsidRDefault="00A23AE7" w:rsidP="00383ED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97753F"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121C2E1D" w14:textId="4A6A5BDB" w:rsidR="0097753F" w:rsidRPr="008813DC" w:rsidRDefault="00A23AE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97753F">
              <w:rPr>
                <w:rFonts w:asciiTheme="minorHAnsi" w:hAnsi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5E21B8CB" w14:textId="6D52CA0E" w:rsidR="0097753F" w:rsidRPr="008813DC" w:rsidRDefault="0097753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+506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14:paraId="4EBB2EAB" w14:textId="1C1E71B3" w:rsidR="0097753F" w:rsidRPr="008813DC" w:rsidRDefault="0097753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+14</w:t>
            </w:r>
          </w:p>
        </w:tc>
      </w:tr>
    </w:tbl>
    <w:p w14:paraId="0336D4B9" w14:textId="56FCA82F" w:rsidR="0097753F" w:rsidRPr="00800351" w:rsidRDefault="0097753F" w:rsidP="0097753F">
      <w:pPr>
        <w:spacing w:after="120"/>
        <w:jc w:val="both"/>
        <w:rPr>
          <w:rFonts w:ascii="Calibri" w:hAnsi="Calibri"/>
          <w:sz w:val="18"/>
          <w:szCs w:val="18"/>
        </w:rPr>
      </w:pPr>
      <w:r w:rsidRPr="00F51539">
        <w:rPr>
          <w:rFonts w:ascii="Calibri" w:hAnsi="Calibri"/>
          <w:b/>
          <w:sz w:val="18"/>
          <w:szCs w:val="18"/>
        </w:rPr>
        <w:t>Zdroj:</w:t>
      </w:r>
      <w:r w:rsidRPr="00800351">
        <w:rPr>
          <w:rFonts w:ascii="Calibri" w:hAnsi="Calibri"/>
          <w:sz w:val="18"/>
          <w:szCs w:val="18"/>
        </w:rPr>
        <w:t xml:space="preserve"> </w:t>
      </w:r>
      <w:r w:rsidRPr="00800351">
        <w:rPr>
          <w:rFonts w:asciiTheme="minorHAnsi" w:hAnsiTheme="minorHAnsi" w:cstheme="minorHAnsi"/>
          <w:sz w:val="18"/>
          <w:szCs w:val="18"/>
        </w:rPr>
        <w:t>Policie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98B6DD5" w14:textId="716B2D36" w:rsidR="008513ED" w:rsidRPr="00703FD9" w:rsidRDefault="0097753F" w:rsidP="008513ED">
      <w:pPr>
        <w:spacing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</w:t>
      </w:r>
      <w:r w:rsidRPr="006655A8">
        <w:rPr>
          <w:rFonts w:asciiTheme="minorHAnsi" w:hAnsiTheme="minorHAnsi" w:cs="Calibri"/>
        </w:rPr>
        <w:t xml:space="preserve">roměnlivost roční výše prostředků poskytnutých na rozvoj a obnovu materiálně technické základny </w:t>
      </w:r>
      <w:r w:rsidRPr="00800351">
        <w:rPr>
          <w:rFonts w:asciiTheme="minorHAnsi" w:hAnsiTheme="minorHAnsi" w:cstheme="minorHAnsi"/>
        </w:rPr>
        <w:t>Policie</w:t>
      </w:r>
      <w:r>
        <w:rPr>
          <w:rFonts w:asciiTheme="minorHAnsi" w:hAnsiTheme="minorHAnsi" w:cs="Calibri"/>
        </w:rPr>
        <w:t xml:space="preserve"> byla zjištěna </w:t>
      </w:r>
      <w:r w:rsidRPr="006655A8">
        <w:rPr>
          <w:rFonts w:asciiTheme="minorHAnsi" w:hAnsiTheme="minorHAnsi" w:cs="Calibri"/>
        </w:rPr>
        <w:t xml:space="preserve">u kontrolovaných </w:t>
      </w:r>
      <w:r>
        <w:rPr>
          <w:rFonts w:asciiTheme="minorHAnsi" w:hAnsiTheme="minorHAnsi" w:cs="Calibri"/>
        </w:rPr>
        <w:t>KŘP. Přestože</w:t>
      </w:r>
      <w:r w:rsidRPr="0056265E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např. </w:t>
      </w:r>
      <w:r w:rsidRPr="0056265E">
        <w:rPr>
          <w:rFonts w:asciiTheme="minorHAnsi" w:hAnsiTheme="minorHAnsi" w:cs="Calibri"/>
        </w:rPr>
        <w:t xml:space="preserve">skutečné čerpání </w:t>
      </w:r>
      <w:r>
        <w:rPr>
          <w:rFonts w:asciiTheme="minorHAnsi" w:hAnsiTheme="minorHAnsi" w:cs="Calibri"/>
        </w:rPr>
        <w:t xml:space="preserve">celkového </w:t>
      </w:r>
      <w:r w:rsidRPr="0056265E">
        <w:rPr>
          <w:rFonts w:asciiTheme="minorHAnsi" w:hAnsiTheme="minorHAnsi" w:cs="Calibri"/>
        </w:rPr>
        <w:t>rozpočtu KŘP Středočeského kraje v období let 2012 až 2016 nepřetržitě rostlo, čerpání investičních prostředků v jednotlivých letech kontrolovaného období kolísalo v</w:t>
      </w:r>
      <w:r>
        <w:rPr>
          <w:rFonts w:asciiTheme="minorHAnsi" w:hAnsiTheme="minorHAnsi" w:cs="Calibri"/>
        </w:rPr>
        <w:t> </w:t>
      </w:r>
      <w:r w:rsidRPr="0056265E">
        <w:rPr>
          <w:rFonts w:asciiTheme="minorHAnsi" w:hAnsiTheme="minorHAnsi" w:cs="Calibri"/>
        </w:rPr>
        <w:t>rozmezí o</w:t>
      </w:r>
      <w:r>
        <w:rPr>
          <w:rFonts w:asciiTheme="minorHAnsi" w:hAnsiTheme="minorHAnsi" w:cs="Calibri"/>
        </w:rPr>
        <w:t>d 19,8 mil. K</w:t>
      </w:r>
      <w:r w:rsidR="008513ED">
        <w:rPr>
          <w:rFonts w:asciiTheme="minorHAnsi" w:hAnsiTheme="minorHAnsi" w:cs="Calibri"/>
        </w:rPr>
        <w:t xml:space="preserve">č do 106,9 mil. Kč (graf č. 1). Z důvodu </w:t>
      </w:r>
      <w:r w:rsidR="00C61E09">
        <w:rPr>
          <w:rFonts w:asciiTheme="minorHAnsi" w:hAnsiTheme="minorHAnsi" w:cs="Calibri"/>
        </w:rPr>
        <w:t xml:space="preserve">proměnlivé </w:t>
      </w:r>
      <w:r w:rsidR="008513ED">
        <w:rPr>
          <w:rFonts w:asciiTheme="minorHAnsi" w:hAnsiTheme="minorHAnsi" w:cs="Calibri"/>
        </w:rPr>
        <w:t>výše prostředků a</w:t>
      </w:r>
      <w:r w:rsidR="00B5251D">
        <w:rPr>
          <w:rFonts w:asciiTheme="minorHAnsi" w:hAnsiTheme="minorHAnsi" w:cs="Calibri"/>
        </w:rPr>
        <w:t> </w:t>
      </w:r>
      <w:r w:rsidR="008513ED">
        <w:rPr>
          <w:rFonts w:asciiTheme="minorHAnsi" w:hAnsiTheme="minorHAnsi" w:cs="Calibri"/>
        </w:rPr>
        <w:t xml:space="preserve">neexistence dlouhodobého plánu investic s vymezením priorit se zejména KŘP </w:t>
      </w:r>
      <w:r w:rsidR="008513ED" w:rsidRPr="00EF16E4">
        <w:rPr>
          <w:rFonts w:asciiTheme="minorHAnsi" w:hAnsiTheme="minorHAnsi" w:cs="Calibri"/>
        </w:rPr>
        <w:t>dostáva</w:t>
      </w:r>
      <w:r w:rsidR="004B4FC0">
        <w:rPr>
          <w:rFonts w:asciiTheme="minorHAnsi" w:hAnsiTheme="minorHAnsi" w:cs="Calibri"/>
        </w:rPr>
        <w:t>la</w:t>
      </w:r>
      <w:r w:rsidR="008513ED" w:rsidRPr="00EF16E4">
        <w:rPr>
          <w:rFonts w:asciiTheme="minorHAnsi" w:hAnsiTheme="minorHAnsi" w:cs="Calibri"/>
        </w:rPr>
        <w:t xml:space="preserve"> do situace, kdy moh</w:t>
      </w:r>
      <w:r w:rsidR="004B4FC0">
        <w:rPr>
          <w:rFonts w:asciiTheme="minorHAnsi" w:hAnsiTheme="minorHAnsi" w:cs="Calibri"/>
        </w:rPr>
        <w:t>la</w:t>
      </w:r>
      <w:r w:rsidR="008513ED" w:rsidRPr="00EF16E4">
        <w:rPr>
          <w:rFonts w:asciiTheme="minorHAnsi" w:hAnsiTheme="minorHAnsi" w:cs="Calibri"/>
        </w:rPr>
        <w:t xml:space="preserve"> </w:t>
      </w:r>
      <w:r w:rsidR="008513ED">
        <w:rPr>
          <w:rFonts w:asciiTheme="minorHAnsi" w:hAnsiTheme="minorHAnsi" w:cs="Calibri"/>
        </w:rPr>
        <w:t>ř</w:t>
      </w:r>
      <w:r w:rsidR="008513ED" w:rsidRPr="00EF16E4">
        <w:rPr>
          <w:rFonts w:asciiTheme="minorHAnsi" w:hAnsiTheme="minorHAnsi" w:cs="Calibri"/>
        </w:rPr>
        <w:t>ešit pouze havarijní či</w:t>
      </w:r>
      <w:r w:rsidR="008513ED">
        <w:rPr>
          <w:rFonts w:asciiTheme="minorHAnsi" w:hAnsiTheme="minorHAnsi" w:cs="Calibri"/>
        </w:rPr>
        <w:t> </w:t>
      </w:r>
      <w:r w:rsidR="008513ED" w:rsidRPr="00EF16E4">
        <w:rPr>
          <w:rFonts w:asciiTheme="minorHAnsi" w:hAnsiTheme="minorHAnsi" w:cs="Calibri"/>
        </w:rPr>
        <w:t>zcela nevyhovující stavy nemovitostí.</w:t>
      </w:r>
      <w:r w:rsidR="008513ED">
        <w:rPr>
          <w:rFonts w:asciiTheme="minorHAnsi" w:hAnsiTheme="minorHAnsi" w:cs="Calibri"/>
        </w:rPr>
        <w:t xml:space="preserve"> Např. </w:t>
      </w:r>
      <w:r w:rsidR="008513ED">
        <w:rPr>
          <w:rFonts w:asciiTheme="minorHAnsi" w:hAnsiTheme="minorHAnsi" w:cs="Calibri"/>
          <w:color w:val="000000"/>
        </w:rPr>
        <w:t>KŘP Středočeského kraje</w:t>
      </w:r>
      <w:r w:rsidR="008513ED">
        <w:rPr>
          <w:rFonts w:asciiTheme="minorHAnsi" w:hAnsiTheme="minorHAnsi" w:cs="Calibri"/>
        </w:rPr>
        <w:t xml:space="preserve"> </w:t>
      </w:r>
      <w:r w:rsidR="006A5383">
        <w:rPr>
          <w:rFonts w:asciiTheme="minorHAnsi" w:hAnsiTheme="minorHAnsi" w:cs="Calibri"/>
          <w:color w:val="000000"/>
        </w:rPr>
        <w:t>navrhlo</w:t>
      </w:r>
      <w:r w:rsidR="008513ED">
        <w:rPr>
          <w:rFonts w:asciiTheme="minorHAnsi" w:hAnsiTheme="minorHAnsi"/>
        </w:rPr>
        <w:t xml:space="preserve"> rozšíření</w:t>
      </w:r>
      <w:r w:rsidR="008513ED" w:rsidRPr="00E51469">
        <w:rPr>
          <w:rFonts w:asciiTheme="minorHAnsi" w:hAnsiTheme="minorHAnsi"/>
        </w:rPr>
        <w:t xml:space="preserve"> </w:t>
      </w:r>
      <w:r w:rsidR="008513ED">
        <w:rPr>
          <w:rFonts w:asciiTheme="minorHAnsi" w:hAnsiTheme="minorHAnsi"/>
        </w:rPr>
        <w:t>hygienických zařízení (</w:t>
      </w:r>
      <w:r w:rsidR="006A5383">
        <w:rPr>
          <w:rFonts w:asciiTheme="minorHAnsi" w:hAnsiTheme="minorHAnsi"/>
        </w:rPr>
        <w:t xml:space="preserve">akce </w:t>
      </w:r>
      <w:r w:rsidR="008513ED" w:rsidRPr="00E51469">
        <w:rPr>
          <w:rFonts w:asciiTheme="minorHAnsi" w:hAnsiTheme="minorHAnsi"/>
        </w:rPr>
        <w:t>č.</w:t>
      </w:r>
      <w:r w:rsidR="008513ED">
        <w:rPr>
          <w:rFonts w:asciiTheme="minorHAnsi" w:hAnsiTheme="minorHAnsi"/>
        </w:rPr>
        <w:t> </w:t>
      </w:r>
      <w:r w:rsidR="008513ED" w:rsidRPr="00E51469">
        <w:rPr>
          <w:rFonts w:asciiTheme="minorHAnsi" w:hAnsiTheme="minorHAnsi"/>
        </w:rPr>
        <w:t>114V122005030</w:t>
      </w:r>
      <w:r w:rsidR="008513ED">
        <w:rPr>
          <w:rFonts w:asciiTheme="minorHAnsi" w:hAnsiTheme="minorHAnsi"/>
        </w:rPr>
        <w:t>)</w:t>
      </w:r>
      <w:r w:rsidR="008513ED" w:rsidRPr="00E51469">
        <w:rPr>
          <w:rFonts w:asciiTheme="minorHAnsi" w:hAnsiTheme="minorHAnsi"/>
        </w:rPr>
        <w:t xml:space="preserve"> až </w:t>
      </w:r>
      <w:r w:rsidR="008513ED">
        <w:rPr>
          <w:rFonts w:asciiTheme="minorHAnsi" w:hAnsiTheme="minorHAnsi"/>
        </w:rPr>
        <w:t>na základě kontroly res</w:t>
      </w:r>
      <w:r w:rsidR="008513ED" w:rsidRPr="00E51469">
        <w:rPr>
          <w:rFonts w:asciiTheme="minorHAnsi" w:hAnsiTheme="minorHAnsi"/>
        </w:rPr>
        <w:t xml:space="preserve">ortní </w:t>
      </w:r>
      <w:r w:rsidR="008513ED">
        <w:rPr>
          <w:rFonts w:asciiTheme="minorHAnsi" w:hAnsiTheme="minorHAnsi"/>
        </w:rPr>
        <w:t>hygienickou</w:t>
      </w:r>
      <w:r w:rsidR="008513ED" w:rsidRPr="00E51469">
        <w:rPr>
          <w:rFonts w:asciiTheme="minorHAnsi" w:hAnsiTheme="minorHAnsi"/>
        </w:rPr>
        <w:t xml:space="preserve"> </w:t>
      </w:r>
      <w:r w:rsidR="008513ED">
        <w:rPr>
          <w:rFonts w:asciiTheme="minorHAnsi" w:hAnsiTheme="minorHAnsi"/>
        </w:rPr>
        <w:t>službou</w:t>
      </w:r>
      <w:r w:rsidR="006A5383">
        <w:rPr>
          <w:rFonts w:asciiTheme="minorHAnsi" w:hAnsiTheme="minorHAnsi"/>
        </w:rPr>
        <w:t>.</w:t>
      </w:r>
      <w:r w:rsidR="008513ED" w:rsidRPr="00E51469">
        <w:rPr>
          <w:rFonts w:asciiTheme="minorHAnsi" w:hAnsiTheme="minorHAnsi"/>
        </w:rPr>
        <w:t xml:space="preserve"> </w:t>
      </w:r>
      <w:r w:rsidR="006A5383">
        <w:rPr>
          <w:rFonts w:asciiTheme="minorHAnsi" w:hAnsiTheme="minorHAnsi"/>
        </w:rPr>
        <w:t>Ta</w:t>
      </w:r>
      <w:r w:rsidR="006A5383" w:rsidRPr="00E51469">
        <w:rPr>
          <w:rFonts w:asciiTheme="minorHAnsi" w:hAnsiTheme="minorHAnsi"/>
        </w:rPr>
        <w:t xml:space="preserve"> </w:t>
      </w:r>
      <w:r w:rsidR="008513ED" w:rsidRPr="00E51469">
        <w:rPr>
          <w:rFonts w:asciiTheme="minorHAnsi" w:hAnsiTheme="minorHAnsi"/>
        </w:rPr>
        <w:t xml:space="preserve">zjistila nedostatečný počet sanitárních </w:t>
      </w:r>
      <w:r w:rsidR="008513ED" w:rsidRPr="0056265E">
        <w:rPr>
          <w:rFonts w:asciiTheme="minorHAnsi" w:hAnsiTheme="minorHAnsi"/>
        </w:rPr>
        <w:t xml:space="preserve">zařízení, </w:t>
      </w:r>
      <w:r w:rsidR="006A5383">
        <w:rPr>
          <w:rFonts w:asciiTheme="minorHAnsi" w:hAnsiTheme="minorHAnsi"/>
        </w:rPr>
        <w:t>což porušovalo</w:t>
      </w:r>
      <w:r w:rsidR="008513ED" w:rsidRPr="0056265E">
        <w:rPr>
          <w:rFonts w:asciiTheme="minorHAnsi" w:hAnsiTheme="minorHAnsi"/>
        </w:rPr>
        <w:t xml:space="preserve"> nařízení vlády č. 361/2007 Sb.</w:t>
      </w:r>
      <w:r w:rsidR="008513ED" w:rsidRPr="0056265E">
        <w:rPr>
          <w:rStyle w:val="Znakapoznpodarou"/>
          <w:rFonts w:asciiTheme="minorHAnsi" w:hAnsiTheme="minorHAnsi"/>
        </w:rPr>
        <w:footnoteReference w:id="19"/>
      </w:r>
    </w:p>
    <w:p w14:paraId="2501802A" w14:textId="77777777" w:rsidR="0097753F" w:rsidRPr="002B44FE" w:rsidRDefault="0097753F" w:rsidP="00510194">
      <w:pPr>
        <w:keepNext/>
        <w:spacing w:after="120"/>
        <w:jc w:val="both"/>
        <w:rPr>
          <w:rFonts w:asciiTheme="minorHAnsi" w:hAnsiTheme="minorHAnsi" w:cs="Calibri"/>
          <w:b/>
        </w:rPr>
      </w:pPr>
      <w:r w:rsidRPr="002B44FE">
        <w:rPr>
          <w:rFonts w:asciiTheme="minorHAnsi" w:hAnsiTheme="minorHAnsi" w:cs="Calibri"/>
          <w:b/>
        </w:rPr>
        <w:lastRenderedPageBreak/>
        <w:t>Graf</w:t>
      </w:r>
      <w:r>
        <w:rPr>
          <w:rFonts w:asciiTheme="minorHAnsi" w:hAnsiTheme="minorHAnsi" w:cs="Calibri"/>
          <w:b/>
        </w:rPr>
        <w:t xml:space="preserve"> </w:t>
      </w:r>
      <w:r w:rsidRPr="002B44FE">
        <w:rPr>
          <w:rFonts w:asciiTheme="minorHAnsi" w:hAnsiTheme="minorHAnsi" w:cs="Calibri"/>
          <w:b/>
        </w:rPr>
        <w:t>č. 1: Čerpání investičních prostředků KŘP Středočeského kraje v období let 2012 až 2016</w:t>
      </w:r>
    </w:p>
    <w:p w14:paraId="459E986F" w14:textId="77777777" w:rsidR="0097753F" w:rsidRDefault="0097753F" w:rsidP="00510194">
      <w:pPr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  <w:noProof/>
        </w:rPr>
        <w:drawing>
          <wp:inline distT="0" distB="0" distL="0" distR="0" wp14:anchorId="3B6D381B" wp14:editId="01B366BC">
            <wp:extent cx="4572000" cy="276120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6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AB79B" w14:textId="142FFE0D" w:rsidR="0097753F" w:rsidRPr="002B44FE" w:rsidRDefault="0097753F" w:rsidP="0097753F">
      <w:pPr>
        <w:spacing w:after="120"/>
        <w:jc w:val="both"/>
        <w:rPr>
          <w:rFonts w:ascii="Calibri" w:hAnsi="Calibri"/>
          <w:sz w:val="18"/>
          <w:szCs w:val="18"/>
        </w:rPr>
      </w:pPr>
      <w:r w:rsidRPr="00983BC4">
        <w:rPr>
          <w:rFonts w:ascii="Calibri" w:hAnsi="Calibri"/>
          <w:b/>
          <w:sz w:val="18"/>
          <w:szCs w:val="18"/>
        </w:rPr>
        <w:t>Zdroj:</w:t>
      </w:r>
      <w:r w:rsidRPr="00800351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Policie.</w:t>
      </w:r>
    </w:p>
    <w:p w14:paraId="7D72BAFA" w14:textId="31E9D3DC" w:rsidR="00C77309" w:rsidRDefault="00C77309" w:rsidP="003D1368">
      <w:pPr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 xml:space="preserve">Čerpání peněžních prostředků </w:t>
      </w:r>
      <w:r w:rsidR="006A5383">
        <w:rPr>
          <w:rFonts w:asciiTheme="minorHAnsi" w:hAnsiTheme="minorHAnsi" w:cs="Calibri"/>
        </w:rPr>
        <w:t xml:space="preserve">v rámci </w:t>
      </w:r>
      <w:r>
        <w:rPr>
          <w:rFonts w:asciiTheme="minorHAnsi" w:hAnsiTheme="minorHAnsi" w:cs="Calibri"/>
        </w:rPr>
        <w:t xml:space="preserve">programů je nejvyšší v poslední čtvrtině roku. </w:t>
      </w:r>
      <w:r w:rsidR="00E54288">
        <w:rPr>
          <w:rFonts w:asciiTheme="minorHAnsi" w:hAnsiTheme="minorHAnsi" w:cs="Calibri"/>
        </w:rPr>
        <w:t>Snahou Policie bylo minimalizovat převod nevyčerpaných prostředků do nárok</w:t>
      </w:r>
      <w:r w:rsidR="00383ED6">
        <w:rPr>
          <w:rFonts w:asciiTheme="minorHAnsi" w:hAnsiTheme="minorHAnsi" w:cs="Calibri"/>
        </w:rPr>
        <w:t>ů</w:t>
      </w:r>
      <w:r w:rsidR="00E54288">
        <w:rPr>
          <w:rFonts w:asciiTheme="minorHAnsi" w:hAnsiTheme="minorHAnsi" w:cs="Calibri"/>
        </w:rPr>
        <w:t xml:space="preserve"> z nespotřebovaných výdajů. </w:t>
      </w:r>
      <w:r w:rsidR="00AA3AC7">
        <w:rPr>
          <w:rFonts w:asciiTheme="minorHAnsi" w:hAnsiTheme="minorHAnsi" w:cs="Calibri"/>
        </w:rPr>
        <w:t>N</w:t>
      </w:r>
      <w:r w:rsidR="00E54288">
        <w:rPr>
          <w:rFonts w:asciiTheme="minorHAnsi" w:hAnsiTheme="minorHAnsi" w:cs="Calibri"/>
        </w:rPr>
        <w:t>apříklad</w:t>
      </w:r>
      <w:r w:rsidR="0097753F" w:rsidRPr="000A35D1">
        <w:rPr>
          <w:rFonts w:asciiTheme="minorHAnsi" w:hAnsiTheme="minorHAnsi"/>
        </w:rPr>
        <w:t xml:space="preserve"> u </w:t>
      </w:r>
      <w:r w:rsidR="0097753F">
        <w:rPr>
          <w:rFonts w:asciiTheme="minorHAnsi" w:hAnsiTheme="minorHAnsi"/>
        </w:rPr>
        <w:t>nákupu nákladních automobilů do 3,5 tuny (</w:t>
      </w:r>
      <w:r w:rsidR="0097753F">
        <w:rPr>
          <w:rFonts w:asciiTheme="minorHAnsi" w:hAnsiTheme="minorHAnsi" w:cs="Calibri"/>
        </w:rPr>
        <w:t>akce</w:t>
      </w:r>
      <w:r w:rsidR="0097753F" w:rsidRPr="000A35D1">
        <w:rPr>
          <w:rFonts w:asciiTheme="minorHAnsi" w:hAnsiTheme="minorHAnsi"/>
        </w:rPr>
        <w:t xml:space="preserve"> č. 114V113003084</w:t>
      </w:r>
      <w:r w:rsidR="0097753F">
        <w:rPr>
          <w:rFonts w:asciiTheme="minorHAnsi" w:hAnsiTheme="minorHAnsi"/>
        </w:rPr>
        <w:t>)</w:t>
      </w:r>
      <w:r w:rsidR="008E241B">
        <w:rPr>
          <w:rFonts w:asciiTheme="minorHAnsi" w:hAnsiTheme="minorHAnsi"/>
        </w:rPr>
        <w:t xml:space="preserve"> </w:t>
      </w:r>
      <w:r w:rsidR="00E54288">
        <w:rPr>
          <w:rFonts w:asciiTheme="minorHAnsi" w:hAnsiTheme="minorHAnsi"/>
        </w:rPr>
        <w:t>byla nucena</w:t>
      </w:r>
      <w:r w:rsidR="00E54288" w:rsidRPr="00EF14A2">
        <w:rPr>
          <w:rFonts w:asciiTheme="minorHAnsi" w:hAnsiTheme="minorHAnsi"/>
        </w:rPr>
        <w:t xml:space="preserve"> přehodnotit</w:t>
      </w:r>
      <w:r w:rsidR="00E54288">
        <w:rPr>
          <w:rFonts w:asciiTheme="minorHAnsi" w:hAnsiTheme="minorHAnsi"/>
        </w:rPr>
        <w:t xml:space="preserve"> původně </w:t>
      </w:r>
      <w:r w:rsidR="00E54288" w:rsidRPr="00EF14A2">
        <w:rPr>
          <w:rFonts w:asciiTheme="minorHAnsi" w:hAnsiTheme="minorHAnsi"/>
        </w:rPr>
        <w:t xml:space="preserve">požadované zadávací parametry </w:t>
      </w:r>
      <w:r w:rsidR="0097753F" w:rsidRPr="00EF14A2">
        <w:rPr>
          <w:rFonts w:asciiTheme="minorHAnsi" w:hAnsiTheme="minorHAnsi"/>
        </w:rPr>
        <w:t>s</w:t>
      </w:r>
      <w:r w:rsidR="0097753F">
        <w:rPr>
          <w:rFonts w:asciiTheme="minorHAnsi" w:hAnsiTheme="minorHAnsi"/>
        </w:rPr>
        <w:t> </w:t>
      </w:r>
      <w:r w:rsidR="0097753F" w:rsidRPr="00EF14A2">
        <w:rPr>
          <w:rFonts w:asciiTheme="minorHAnsi" w:hAnsiTheme="minorHAnsi"/>
        </w:rPr>
        <w:t xml:space="preserve">ohledem na termíny </w:t>
      </w:r>
      <w:r w:rsidR="0097753F">
        <w:rPr>
          <w:rFonts w:asciiTheme="minorHAnsi" w:hAnsiTheme="minorHAnsi"/>
        </w:rPr>
        <w:t>dodání</w:t>
      </w:r>
      <w:r w:rsidR="0097753F" w:rsidRPr="00EF14A2">
        <w:rPr>
          <w:rFonts w:asciiTheme="minorHAnsi" w:hAnsiTheme="minorHAnsi"/>
        </w:rPr>
        <w:t>.</w:t>
      </w:r>
      <w:r w:rsidR="0097753F">
        <w:rPr>
          <w:rFonts w:asciiTheme="minorHAnsi" w:hAnsiTheme="minorHAnsi" w:cs="Calibri"/>
        </w:rPr>
        <w:t xml:space="preserve"> </w:t>
      </w:r>
      <w:r w:rsidR="0097753F" w:rsidRPr="005C7CF2">
        <w:rPr>
          <w:rFonts w:asciiTheme="minorHAnsi" w:hAnsiTheme="minorHAnsi" w:cs="Calibri"/>
        </w:rPr>
        <w:t>N</w:t>
      </w:r>
      <w:r w:rsidR="0097753F" w:rsidRPr="005C7CF2">
        <w:rPr>
          <w:rFonts w:asciiTheme="minorHAnsi" w:hAnsiTheme="minorHAnsi"/>
        </w:rPr>
        <w:t xml:space="preserve">ákladní automobily </w:t>
      </w:r>
      <w:r w:rsidR="00E54288">
        <w:rPr>
          <w:rFonts w:asciiTheme="minorHAnsi" w:hAnsiTheme="minorHAnsi"/>
        </w:rPr>
        <w:t>nak</w:t>
      </w:r>
      <w:r w:rsidR="008E241B">
        <w:rPr>
          <w:rFonts w:asciiTheme="minorHAnsi" w:hAnsiTheme="minorHAnsi"/>
        </w:rPr>
        <w:t>o</w:t>
      </w:r>
      <w:r w:rsidR="00E54288">
        <w:rPr>
          <w:rFonts w:asciiTheme="minorHAnsi" w:hAnsiTheme="minorHAnsi"/>
        </w:rPr>
        <w:t>upila Policie</w:t>
      </w:r>
      <w:r w:rsidR="0097753F">
        <w:rPr>
          <w:rFonts w:asciiTheme="minorHAnsi" w:hAnsiTheme="minorHAnsi"/>
        </w:rPr>
        <w:t xml:space="preserve"> </w:t>
      </w:r>
      <w:r w:rsidR="0097753F" w:rsidRPr="005C7CF2">
        <w:rPr>
          <w:rFonts w:asciiTheme="minorHAnsi" w:hAnsiTheme="minorHAnsi"/>
        </w:rPr>
        <w:t xml:space="preserve">s nižšími </w:t>
      </w:r>
      <w:r w:rsidR="0097753F">
        <w:rPr>
          <w:rFonts w:asciiTheme="minorHAnsi" w:hAnsiTheme="minorHAnsi"/>
        </w:rPr>
        <w:t xml:space="preserve">hodnotami </w:t>
      </w:r>
      <w:r w:rsidR="0097753F" w:rsidRPr="005C7CF2">
        <w:rPr>
          <w:rFonts w:asciiTheme="minorHAnsi" w:hAnsiTheme="minorHAnsi"/>
        </w:rPr>
        <w:t>technický</w:t>
      </w:r>
      <w:r w:rsidR="0097753F">
        <w:rPr>
          <w:rFonts w:asciiTheme="minorHAnsi" w:hAnsiTheme="minorHAnsi"/>
        </w:rPr>
        <w:t>ch</w:t>
      </w:r>
      <w:r w:rsidR="0097753F" w:rsidRPr="005C7CF2">
        <w:rPr>
          <w:rFonts w:asciiTheme="minorHAnsi" w:hAnsiTheme="minorHAnsi"/>
        </w:rPr>
        <w:t xml:space="preserve"> parametr</w:t>
      </w:r>
      <w:r w:rsidR="0097753F">
        <w:rPr>
          <w:rFonts w:asciiTheme="minorHAnsi" w:hAnsiTheme="minorHAnsi"/>
        </w:rPr>
        <w:t>ů</w:t>
      </w:r>
      <w:r w:rsidR="0097753F" w:rsidRPr="005C7CF2">
        <w:rPr>
          <w:rFonts w:asciiTheme="minorHAnsi" w:hAnsiTheme="minorHAnsi"/>
        </w:rPr>
        <w:t xml:space="preserve"> a </w:t>
      </w:r>
      <w:r w:rsidR="0097753F">
        <w:rPr>
          <w:rFonts w:asciiTheme="minorHAnsi" w:hAnsiTheme="minorHAnsi"/>
        </w:rPr>
        <w:t xml:space="preserve">v nižší cenové kategorii </w:t>
      </w:r>
      <w:r w:rsidR="0097753F" w:rsidRPr="005C7CF2">
        <w:rPr>
          <w:rFonts w:asciiTheme="minorHAnsi" w:hAnsiTheme="minorHAnsi"/>
        </w:rPr>
        <w:t>z důvodu jejich reálného dodání do konce roku.</w:t>
      </w:r>
      <w:r w:rsidR="0097753F">
        <w:rPr>
          <w:rFonts w:asciiTheme="minorHAnsi" w:hAnsiTheme="minorHAnsi"/>
        </w:rPr>
        <w:t xml:space="preserve"> MV také využilo v některých případech ustanovení kupní smlouvy </w:t>
      </w:r>
      <w:r w:rsidR="00383ED6">
        <w:rPr>
          <w:rFonts w:asciiTheme="minorHAnsi" w:hAnsiTheme="minorHAnsi"/>
        </w:rPr>
        <w:t xml:space="preserve">a </w:t>
      </w:r>
      <w:r w:rsidR="0097753F">
        <w:rPr>
          <w:rFonts w:asciiTheme="minorHAnsi" w:hAnsiTheme="minorHAnsi"/>
        </w:rPr>
        <w:t xml:space="preserve">pořídilo za nevyčerpané investiční </w:t>
      </w:r>
      <w:r w:rsidR="0097753F" w:rsidRPr="00FE3EC4">
        <w:rPr>
          <w:rFonts w:asciiTheme="minorHAnsi" w:hAnsiTheme="minorHAnsi"/>
        </w:rPr>
        <w:t xml:space="preserve">prostředky majetek, který </w:t>
      </w:r>
      <w:r w:rsidR="0097753F">
        <w:rPr>
          <w:rFonts w:asciiTheme="minorHAnsi" w:hAnsiTheme="minorHAnsi"/>
        </w:rPr>
        <w:t>plánovalo</w:t>
      </w:r>
      <w:r w:rsidR="0097753F" w:rsidRPr="00FE3EC4">
        <w:rPr>
          <w:rFonts w:asciiTheme="minorHAnsi" w:hAnsiTheme="minorHAnsi"/>
        </w:rPr>
        <w:t xml:space="preserve"> nakoupit v dalším </w:t>
      </w:r>
      <w:r w:rsidR="0097753F">
        <w:rPr>
          <w:rFonts w:asciiTheme="minorHAnsi" w:hAnsiTheme="minorHAnsi"/>
        </w:rPr>
        <w:t>roce</w:t>
      </w:r>
      <w:r w:rsidR="00383ED6">
        <w:rPr>
          <w:rFonts w:asciiTheme="minorHAnsi" w:hAnsiTheme="minorHAnsi"/>
        </w:rPr>
        <w:t>;</w:t>
      </w:r>
      <w:r w:rsidR="0097753F">
        <w:rPr>
          <w:rFonts w:asciiTheme="minorHAnsi" w:hAnsiTheme="minorHAnsi"/>
        </w:rPr>
        <w:t xml:space="preserve"> </w:t>
      </w:r>
      <w:r w:rsidR="00383ED6">
        <w:rPr>
          <w:rFonts w:asciiTheme="minorHAnsi" w:hAnsiTheme="minorHAnsi"/>
        </w:rPr>
        <w:t xml:space="preserve">stalo se tak </w:t>
      </w:r>
      <w:r w:rsidR="0097753F" w:rsidRPr="00FE3EC4">
        <w:rPr>
          <w:rFonts w:asciiTheme="minorHAnsi" w:hAnsiTheme="minorHAnsi"/>
        </w:rPr>
        <w:t>např.</w:t>
      </w:r>
      <w:r w:rsidR="00383ED6">
        <w:rPr>
          <w:rFonts w:asciiTheme="minorHAnsi" w:hAnsiTheme="minorHAnsi"/>
        </w:rPr>
        <w:t xml:space="preserve"> </w:t>
      </w:r>
      <w:r w:rsidR="0097753F">
        <w:rPr>
          <w:rFonts w:asciiTheme="minorHAnsi" w:hAnsiTheme="minorHAnsi"/>
        </w:rPr>
        <w:t>u pořízení služebních dopravních prostředků</w:t>
      </w:r>
      <w:r w:rsidR="001D65E2">
        <w:rPr>
          <w:rFonts w:asciiTheme="minorHAnsi" w:hAnsiTheme="minorHAnsi"/>
        </w:rPr>
        <w:t xml:space="preserve"> </w:t>
      </w:r>
      <w:r w:rsidR="0097753F">
        <w:rPr>
          <w:rFonts w:asciiTheme="minorHAnsi" w:hAnsiTheme="minorHAnsi"/>
        </w:rPr>
        <w:t>(</w:t>
      </w:r>
      <w:r w:rsidR="0097753F" w:rsidRPr="00FE3EC4">
        <w:rPr>
          <w:rFonts w:asciiTheme="minorHAnsi" w:hAnsiTheme="minorHAnsi"/>
        </w:rPr>
        <w:t>akce č. 114V123005077)</w:t>
      </w:r>
      <w:r w:rsidR="0097753F">
        <w:rPr>
          <w:rFonts w:asciiTheme="minorHAnsi" w:hAnsiTheme="minorHAnsi"/>
        </w:rPr>
        <w:t xml:space="preserve">. </w:t>
      </w:r>
    </w:p>
    <w:p w14:paraId="7118AAC4" w14:textId="77777777" w:rsidR="00B265F1" w:rsidRDefault="00B265F1" w:rsidP="003D1368">
      <w:pPr>
        <w:jc w:val="both"/>
        <w:rPr>
          <w:rFonts w:asciiTheme="minorHAnsi" w:hAnsiTheme="minorHAnsi"/>
        </w:rPr>
      </w:pPr>
    </w:p>
    <w:p w14:paraId="357C0AD2" w14:textId="77777777" w:rsidR="00F95592" w:rsidRPr="009704D9" w:rsidRDefault="00F95592" w:rsidP="00F95592">
      <w:pPr>
        <w:pStyle w:val="Nadpis1"/>
        <w:keepNext w:val="0"/>
        <w:keepLines w:val="0"/>
        <w:numPr>
          <w:ilvl w:val="0"/>
          <w:numId w:val="26"/>
        </w:numPr>
        <w:overflowPunct/>
        <w:autoSpaceDE/>
        <w:autoSpaceDN/>
        <w:adjustRightInd/>
        <w:spacing w:before="0" w:after="120"/>
        <w:jc w:val="both"/>
        <w:textAlignment w:val="auto"/>
        <w:rPr>
          <w:rFonts w:asciiTheme="minorHAnsi" w:hAnsiTheme="minorHAnsi"/>
          <w:sz w:val="24"/>
          <w:szCs w:val="24"/>
        </w:rPr>
      </w:pPr>
      <w:r w:rsidRPr="00F95592">
        <w:rPr>
          <w:rFonts w:asciiTheme="minorHAnsi" w:hAnsiTheme="minorHAnsi"/>
          <w:sz w:val="24"/>
          <w:szCs w:val="24"/>
        </w:rPr>
        <w:t xml:space="preserve">Programy 214 110, 114 110 a 114 120 nevytvářely pevný věcný, časový a finanční rámec pro realizaci potřeb Policie. MV měnilo věcné, časové i finanční parametry některých programů. Důvodem změn bylo zejména přehodnocování úkolů a priorit Policie. </w:t>
      </w:r>
      <w:r w:rsidRPr="009704D9">
        <w:rPr>
          <w:rFonts w:asciiTheme="minorHAnsi" w:hAnsiTheme="minorHAnsi"/>
          <w:sz w:val="24"/>
          <w:szCs w:val="24"/>
        </w:rPr>
        <w:t xml:space="preserve">Příkladem je </w:t>
      </w:r>
      <w:r w:rsidRPr="00823A23">
        <w:rPr>
          <w:rFonts w:asciiTheme="minorHAnsi" w:hAnsiTheme="minorHAnsi"/>
          <w:sz w:val="24"/>
          <w:szCs w:val="24"/>
        </w:rPr>
        <w:t>nevyhovující</w:t>
      </w:r>
      <w:r w:rsidRPr="009704D9">
        <w:rPr>
          <w:rFonts w:asciiTheme="minorHAnsi" w:hAnsiTheme="minorHAnsi"/>
          <w:sz w:val="24"/>
          <w:szCs w:val="24"/>
        </w:rPr>
        <w:t xml:space="preserve"> stav hangáru D v Praze-Ruzyni, který NKÚ zjistil již v roce 2005 a opětovně i v roce 2012. </w:t>
      </w:r>
      <w:r>
        <w:rPr>
          <w:rFonts w:asciiTheme="minorHAnsi" w:hAnsiTheme="minorHAnsi"/>
          <w:sz w:val="24"/>
          <w:szCs w:val="24"/>
        </w:rPr>
        <w:t>Ani d</w:t>
      </w:r>
      <w:r w:rsidRPr="009704D9">
        <w:rPr>
          <w:rFonts w:asciiTheme="minorHAnsi" w:hAnsiTheme="minorHAnsi"/>
          <w:sz w:val="24"/>
          <w:szCs w:val="24"/>
        </w:rPr>
        <w:t xml:space="preserve">o doby ukončení </w:t>
      </w:r>
      <w:r>
        <w:rPr>
          <w:rFonts w:asciiTheme="minorHAnsi" w:hAnsiTheme="minorHAnsi"/>
          <w:sz w:val="24"/>
          <w:szCs w:val="24"/>
        </w:rPr>
        <w:t xml:space="preserve">této </w:t>
      </w:r>
      <w:r w:rsidRPr="009704D9">
        <w:rPr>
          <w:rFonts w:asciiTheme="minorHAnsi" w:hAnsiTheme="minorHAnsi"/>
          <w:sz w:val="24"/>
          <w:szCs w:val="24"/>
        </w:rPr>
        <w:t>kontroly nebyl dlouhodobě značně nevyhovující stavebně</w:t>
      </w:r>
      <w:r w:rsidR="004B4FC0">
        <w:rPr>
          <w:rFonts w:asciiTheme="minorHAnsi" w:hAnsiTheme="minorHAnsi"/>
          <w:sz w:val="24"/>
          <w:szCs w:val="24"/>
        </w:rPr>
        <w:t xml:space="preserve"> </w:t>
      </w:r>
      <w:r w:rsidRPr="009704D9">
        <w:rPr>
          <w:rFonts w:asciiTheme="minorHAnsi" w:hAnsiTheme="minorHAnsi"/>
          <w:sz w:val="24"/>
          <w:szCs w:val="24"/>
        </w:rPr>
        <w:t>technický stav tohoto objektu vyřešen.</w:t>
      </w:r>
    </w:p>
    <w:p w14:paraId="72B7F9D2" w14:textId="02BA6A7A" w:rsidR="00F95592" w:rsidRPr="00822BC5" w:rsidRDefault="00F95592" w:rsidP="00F95592">
      <w:pPr>
        <w:tabs>
          <w:tab w:val="left" w:pos="2835"/>
        </w:tabs>
        <w:spacing w:after="120"/>
        <w:jc w:val="both"/>
        <w:rPr>
          <w:rFonts w:asciiTheme="minorHAnsi" w:hAnsiTheme="minorHAnsi"/>
        </w:rPr>
      </w:pPr>
      <w:r w:rsidRPr="00C40E00">
        <w:rPr>
          <w:rFonts w:asciiTheme="minorHAnsi" w:hAnsiTheme="minorHAnsi"/>
        </w:rPr>
        <w:t>Programem se rozumí soubor věcných, časových a finančních podmínek konkrétních akcí na pořízení nebo technické zhodnocení hmotného a nehmotného dlouhodobého majetku, s</w:t>
      </w:r>
      <w:r>
        <w:rPr>
          <w:rFonts w:asciiTheme="minorHAnsi" w:hAnsiTheme="minorHAnsi"/>
        </w:rPr>
        <w:t> </w:t>
      </w:r>
      <w:r w:rsidRPr="00C40E00">
        <w:rPr>
          <w:rFonts w:asciiTheme="minorHAnsi" w:hAnsiTheme="minorHAnsi"/>
        </w:rPr>
        <w:t xml:space="preserve">výjimkou drobného hmotného a nehmotného dlouhodobého </w:t>
      </w:r>
      <w:proofErr w:type="gramStart"/>
      <w:r w:rsidRPr="00C40E00">
        <w:rPr>
          <w:rFonts w:asciiTheme="minorHAnsi" w:hAnsiTheme="minorHAnsi"/>
        </w:rPr>
        <w:t>majetku</w:t>
      </w:r>
      <w:r w:rsidR="001D65E2">
        <w:rPr>
          <w:rFonts w:asciiTheme="minorHAnsi" w:hAnsiTheme="minorHAnsi"/>
        </w:rPr>
        <w:t>.</w:t>
      </w:r>
      <w:r>
        <w:rPr>
          <w:rFonts w:asciiTheme="minorHAnsi" w:hAnsiTheme="minorHAnsi"/>
          <w:vertAlign w:val="superscript"/>
        </w:rPr>
        <w:t>5</w:t>
      </w:r>
      <w:r w:rsidRPr="008671B5">
        <w:rPr>
          <w:rFonts w:asciiTheme="minorHAnsi" w:hAnsiTheme="minorHAnsi"/>
        </w:rPr>
        <w:t xml:space="preserve"> </w:t>
      </w:r>
      <w:r w:rsidRPr="00D958CC">
        <w:rPr>
          <w:rFonts w:asciiTheme="minorHAnsi" w:hAnsiTheme="minorHAnsi"/>
        </w:rPr>
        <w:t>Programy</w:t>
      </w:r>
      <w:proofErr w:type="gramEnd"/>
      <w:r w:rsidRPr="00D958CC">
        <w:rPr>
          <w:rFonts w:asciiTheme="minorHAnsi" w:hAnsiTheme="minorHAnsi"/>
        </w:rPr>
        <w:t xml:space="preserve"> se dále člení na podprogramy, které se skládají z jednotlivých </w:t>
      </w:r>
      <w:r>
        <w:rPr>
          <w:rFonts w:asciiTheme="minorHAnsi" w:hAnsiTheme="minorHAnsi"/>
        </w:rPr>
        <w:t xml:space="preserve">investičních </w:t>
      </w:r>
      <w:r w:rsidRPr="00D958CC">
        <w:rPr>
          <w:rFonts w:asciiTheme="minorHAnsi" w:hAnsiTheme="minorHAnsi"/>
        </w:rPr>
        <w:t>akcí.</w:t>
      </w:r>
      <w:r>
        <w:rPr>
          <w:rFonts w:asciiTheme="minorHAnsi" w:hAnsiTheme="minorHAnsi"/>
        </w:rPr>
        <w:t xml:space="preserve"> Dokumentace programů</w:t>
      </w:r>
      <w:r w:rsidRPr="003F3299">
        <w:rPr>
          <w:rFonts w:asciiTheme="minorHAnsi" w:hAnsiTheme="minorHAnsi"/>
        </w:rPr>
        <w:t xml:space="preserve"> 114 110 </w:t>
      </w:r>
      <w:r>
        <w:rPr>
          <w:rFonts w:asciiTheme="minorHAnsi" w:hAnsiTheme="minorHAnsi"/>
        </w:rPr>
        <w:t xml:space="preserve">a </w:t>
      </w:r>
      <w:r w:rsidRPr="003F3299">
        <w:rPr>
          <w:rFonts w:asciiTheme="minorHAnsi" w:hAnsiTheme="minorHAnsi"/>
        </w:rPr>
        <w:t>114 120 neobsahuj</w:t>
      </w:r>
      <w:r>
        <w:rPr>
          <w:rFonts w:asciiTheme="minorHAnsi" w:hAnsiTheme="minorHAnsi"/>
        </w:rPr>
        <w:t>í</w:t>
      </w:r>
      <w:r w:rsidRPr="003F3299">
        <w:rPr>
          <w:rFonts w:asciiTheme="minorHAnsi" w:hAnsiTheme="minorHAnsi"/>
        </w:rPr>
        <w:t xml:space="preserve"> konkrétní akce pro naplňování </w:t>
      </w:r>
      <w:r w:rsidRPr="00822BC5">
        <w:rPr>
          <w:rFonts w:asciiTheme="minorHAnsi" w:hAnsiTheme="minorHAnsi"/>
        </w:rPr>
        <w:t>cílů</w:t>
      </w:r>
      <w:r w:rsidRPr="00822BC5">
        <w:rPr>
          <w:rFonts w:asciiTheme="minorHAnsi" w:hAnsiTheme="minorHAnsi"/>
          <w:bCs/>
          <w:iCs/>
        </w:rPr>
        <w:t xml:space="preserve"> (parametrů)</w:t>
      </w:r>
      <w:r>
        <w:rPr>
          <w:rFonts w:asciiTheme="minorHAnsi" w:hAnsiTheme="minorHAnsi"/>
          <w:bCs/>
          <w:iCs/>
        </w:rPr>
        <w:t xml:space="preserve"> programů. Z</w:t>
      </w:r>
      <w:r w:rsidRPr="003F3299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dokumentací programů </w:t>
      </w:r>
      <w:r w:rsidRPr="003F3299">
        <w:rPr>
          <w:rFonts w:asciiTheme="minorHAnsi" w:hAnsiTheme="minorHAnsi"/>
        </w:rPr>
        <w:t>není rovněž zřejmé, jakou měrou přispěje realizace program</w:t>
      </w:r>
      <w:r w:rsidRPr="00822BC5">
        <w:rPr>
          <w:rFonts w:asciiTheme="minorHAnsi" w:hAnsiTheme="minorHAnsi"/>
          <w:bCs/>
          <w:iCs/>
        </w:rPr>
        <w:t>ů</w:t>
      </w:r>
      <w:r w:rsidRPr="003F3299">
        <w:rPr>
          <w:rFonts w:asciiTheme="minorHAnsi" w:hAnsiTheme="minorHAnsi"/>
        </w:rPr>
        <w:t xml:space="preserve"> k sanaci </w:t>
      </w:r>
      <w:r>
        <w:rPr>
          <w:rFonts w:asciiTheme="minorHAnsi" w:hAnsiTheme="minorHAnsi"/>
        </w:rPr>
        <w:t>určené</w:t>
      </w:r>
      <w:r w:rsidRPr="003F3299">
        <w:rPr>
          <w:rFonts w:asciiTheme="minorHAnsi" w:hAnsiTheme="minorHAnsi"/>
        </w:rPr>
        <w:t xml:space="preserve"> oblasti. MV priority program</w:t>
      </w:r>
      <w:r>
        <w:rPr>
          <w:rFonts w:asciiTheme="minorHAnsi" w:hAnsiTheme="minorHAnsi"/>
        </w:rPr>
        <w:t>ů</w:t>
      </w:r>
      <w:r w:rsidRPr="00822BC5">
        <w:rPr>
          <w:rFonts w:asciiTheme="minorHAnsi" w:hAnsiTheme="minorHAnsi"/>
          <w:b/>
          <w:bCs/>
          <w:i/>
          <w:iCs/>
        </w:rPr>
        <w:t xml:space="preserve"> </w:t>
      </w:r>
      <w:r w:rsidRPr="003F3299">
        <w:rPr>
          <w:rFonts w:asciiTheme="minorHAnsi" w:hAnsiTheme="minorHAnsi"/>
        </w:rPr>
        <w:t>nestanovilo.</w:t>
      </w:r>
      <w:r>
        <w:rPr>
          <w:rFonts w:asciiTheme="minorHAnsi" w:hAnsiTheme="minorHAnsi"/>
        </w:rPr>
        <w:t xml:space="preserve"> </w:t>
      </w:r>
    </w:p>
    <w:p w14:paraId="16F7DDD6" w14:textId="6690E6C5" w:rsidR="00F95592" w:rsidRPr="00D95FB4" w:rsidRDefault="00F95592" w:rsidP="00F95592">
      <w:pPr>
        <w:spacing w:after="120"/>
        <w:jc w:val="both"/>
        <w:rPr>
          <w:rFonts w:asciiTheme="minorHAnsi" w:eastAsia="Calibri" w:hAnsiTheme="minorHAnsi"/>
        </w:rPr>
      </w:pPr>
      <w:r w:rsidRPr="00D95FB4">
        <w:rPr>
          <w:rFonts w:asciiTheme="minorHAnsi" w:hAnsiTheme="minorHAnsi" w:cstheme="minorHAnsi"/>
        </w:rPr>
        <w:t xml:space="preserve">Program 214 110, jehož realizace byla původně schválena </w:t>
      </w:r>
      <w:r w:rsidR="001D65E2">
        <w:rPr>
          <w:rFonts w:asciiTheme="minorHAnsi" w:hAnsiTheme="minorHAnsi" w:cstheme="minorHAnsi"/>
        </w:rPr>
        <w:t>na roky</w:t>
      </w:r>
      <w:r w:rsidRPr="00D95FB4">
        <w:rPr>
          <w:rFonts w:asciiTheme="minorHAnsi" w:hAnsiTheme="minorHAnsi" w:cstheme="minorHAnsi"/>
        </w:rPr>
        <w:t xml:space="preserve"> 2003 </w:t>
      </w:r>
      <w:r w:rsidR="001D65E2">
        <w:rPr>
          <w:rFonts w:asciiTheme="minorHAnsi" w:hAnsiTheme="minorHAnsi" w:cstheme="minorHAnsi"/>
        </w:rPr>
        <w:t>až</w:t>
      </w:r>
      <w:r w:rsidRPr="00D95FB4">
        <w:rPr>
          <w:rFonts w:asciiTheme="minorHAnsi" w:hAnsiTheme="minorHAnsi" w:cstheme="minorHAnsi"/>
        </w:rPr>
        <w:t xml:space="preserve"> 2007, </w:t>
      </w:r>
      <w:r w:rsidR="00BD5E8F">
        <w:rPr>
          <w:rFonts w:asciiTheme="minorHAnsi" w:hAnsiTheme="minorHAnsi" w:cstheme="minorHAnsi"/>
        </w:rPr>
        <w:t>prověřil NKÚ již</w:t>
      </w:r>
      <w:r w:rsidRPr="00D95F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kontrolní akcí</w:t>
      </w:r>
      <w:r w:rsidRPr="00D95FB4">
        <w:rPr>
          <w:rFonts w:asciiTheme="minorHAnsi" w:hAnsiTheme="minorHAnsi" w:cstheme="minorHAnsi"/>
        </w:rPr>
        <w:t xml:space="preserve"> č. 11/12. Z</w:t>
      </w:r>
      <w:r w:rsidRPr="00D95FB4">
        <w:rPr>
          <w:rFonts w:asciiTheme="minorHAnsi" w:hAnsiTheme="minorHAnsi"/>
        </w:rPr>
        <w:t xml:space="preserve">měna </w:t>
      </w:r>
      <w:r>
        <w:rPr>
          <w:rFonts w:asciiTheme="minorHAnsi" w:hAnsiTheme="minorHAnsi"/>
        </w:rPr>
        <w:t>dokumentace programu</w:t>
      </w:r>
      <w:r w:rsidRPr="00D95FB4">
        <w:rPr>
          <w:rFonts w:asciiTheme="minorHAnsi" w:hAnsiTheme="minorHAnsi"/>
        </w:rPr>
        <w:t xml:space="preserve"> prodlužující </w:t>
      </w:r>
      <w:r w:rsidR="00BD5E8F">
        <w:rPr>
          <w:rFonts w:asciiTheme="minorHAnsi" w:hAnsiTheme="minorHAnsi"/>
        </w:rPr>
        <w:t xml:space="preserve">jeho </w:t>
      </w:r>
      <w:r w:rsidRPr="00D95FB4">
        <w:rPr>
          <w:rFonts w:asciiTheme="minorHAnsi" w:hAnsiTheme="minorHAnsi"/>
        </w:rPr>
        <w:t>trvání do konce roku 2013 byla schválena v červenci roku 2011.</w:t>
      </w:r>
      <w:r w:rsidRPr="00D95FB4">
        <w:rPr>
          <w:rFonts w:asciiTheme="minorHAnsi" w:hAnsiTheme="minorHAnsi" w:cstheme="minorHAnsi"/>
        </w:rPr>
        <w:t xml:space="preserve"> </w:t>
      </w:r>
      <w:r w:rsidRPr="00D95FB4">
        <w:rPr>
          <w:rFonts w:asciiTheme="minorHAnsi" w:eastAsia="Calibri" w:hAnsiTheme="minorHAnsi"/>
        </w:rPr>
        <w:t xml:space="preserve">V té době již probíhal stejně věcně zaměřený program 114 110, </w:t>
      </w:r>
      <w:r w:rsidR="00BD5E8F">
        <w:rPr>
          <w:rFonts w:asciiTheme="minorHAnsi" w:eastAsia="Calibri" w:hAnsiTheme="minorHAnsi"/>
        </w:rPr>
        <w:t>který</w:t>
      </w:r>
      <w:r w:rsidRPr="00D95FB4">
        <w:rPr>
          <w:rFonts w:asciiTheme="minorHAnsi" w:eastAsia="Calibri" w:hAnsiTheme="minorHAnsi"/>
        </w:rPr>
        <w:t xml:space="preserve"> </w:t>
      </w:r>
      <w:r w:rsidR="00BD5E8F">
        <w:rPr>
          <w:rFonts w:asciiTheme="minorHAnsi" w:eastAsia="Calibri" w:hAnsiTheme="minorHAnsi"/>
        </w:rPr>
        <w:t>začal</w:t>
      </w:r>
      <w:r w:rsidRPr="00D95FB4">
        <w:rPr>
          <w:rFonts w:asciiTheme="minorHAnsi" w:eastAsia="Calibri" w:hAnsiTheme="minorHAnsi"/>
        </w:rPr>
        <w:t xml:space="preserve"> roku 2009. </w:t>
      </w:r>
      <w:r w:rsidR="00BE39F0">
        <w:rPr>
          <w:rFonts w:asciiTheme="minorHAnsi" w:eastAsia="Calibri" w:hAnsiTheme="minorHAnsi"/>
        </w:rPr>
        <w:t>O</w:t>
      </w:r>
      <w:r w:rsidRPr="00D95FB4">
        <w:rPr>
          <w:rFonts w:asciiTheme="minorHAnsi" w:eastAsia="Calibri" w:hAnsiTheme="minorHAnsi"/>
        </w:rPr>
        <w:t xml:space="preserve">d roku 2013 </w:t>
      </w:r>
      <w:proofErr w:type="gramStart"/>
      <w:r w:rsidRPr="00D95FB4">
        <w:rPr>
          <w:rFonts w:asciiTheme="minorHAnsi" w:eastAsia="Calibri" w:hAnsiTheme="minorHAnsi"/>
        </w:rPr>
        <w:t>byla</w:t>
      </w:r>
      <w:proofErr w:type="gramEnd"/>
      <w:r w:rsidRPr="00D95FB4">
        <w:rPr>
          <w:rFonts w:asciiTheme="minorHAnsi" w:eastAsia="Calibri" w:hAnsiTheme="minorHAnsi"/>
        </w:rPr>
        <w:t xml:space="preserve"> schválena realizace dalšího stejně věcně zaměřeného programu 114</w:t>
      </w:r>
      <w:r w:rsidR="00BE39F0">
        <w:rPr>
          <w:rFonts w:asciiTheme="minorHAnsi" w:eastAsia="Calibri" w:hAnsiTheme="minorHAnsi"/>
        </w:rPr>
        <w:t> </w:t>
      </w:r>
      <w:r w:rsidRPr="00D95FB4">
        <w:rPr>
          <w:rFonts w:asciiTheme="minorHAnsi" w:eastAsia="Calibri" w:hAnsiTheme="minorHAnsi"/>
        </w:rPr>
        <w:t>120</w:t>
      </w:r>
      <w:r w:rsidR="00BE39F0">
        <w:rPr>
          <w:rFonts w:asciiTheme="minorHAnsi" w:eastAsia="Calibri" w:hAnsiTheme="minorHAnsi"/>
        </w:rPr>
        <w:t>.</w:t>
      </w:r>
      <w:r w:rsidRPr="00D95FB4">
        <w:rPr>
          <w:rFonts w:asciiTheme="minorHAnsi" w:eastAsia="Calibri" w:hAnsiTheme="minorHAnsi"/>
        </w:rPr>
        <w:t xml:space="preserve"> MV</w:t>
      </w:r>
      <w:r>
        <w:rPr>
          <w:rFonts w:asciiTheme="minorHAnsi" w:eastAsia="Calibri" w:hAnsiTheme="minorHAnsi"/>
        </w:rPr>
        <w:t xml:space="preserve"> </w:t>
      </w:r>
      <w:r w:rsidR="00BE39F0">
        <w:rPr>
          <w:rFonts w:asciiTheme="minorHAnsi" w:eastAsia="Calibri" w:hAnsiTheme="minorHAnsi"/>
        </w:rPr>
        <w:t xml:space="preserve">přesto </w:t>
      </w:r>
      <w:r w:rsidRPr="00D95FB4">
        <w:rPr>
          <w:rFonts w:asciiTheme="minorHAnsi" w:eastAsia="Calibri" w:hAnsiTheme="minorHAnsi"/>
        </w:rPr>
        <w:t xml:space="preserve">dobu </w:t>
      </w:r>
      <w:r w:rsidR="00BD5E8F">
        <w:rPr>
          <w:rFonts w:asciiTheme="minorHAnsi" w:eastAsia="Calibri" w:hAnsiTheme="minorHAnsi"/>
        </w:rPr>
        <w:t>trvání</w:t>
      </w:r>
      <w:r w:rsidR="00BD5E8F" w:rsidRPr="00D95FB4">
        <w:rPr>
          <w:rFonts w:asciiTheme="minorHAnsi" w:eastAsia="Calibri" w:hAnsiTheme="minorHAnsi"/>
        </w:rPr>
        <w:t xml:space="preserve"> </w:t>
      </w:r>
      <w:r w:rsidRPr="00D95FB4">
        <w:rPr>
          <w:rFonts w:asciiTheme="minorHAnsi" w:eastAsia="Calibri" w:hAnsiTheme="minorHAnsi"/>
        </w:rPr>
        <w:t xml:space="preserve">programu 214 110 postupně </w:t>
      </w:r>
      <w:proofErr w:type="gramStart"/>
      <w:r w:rsidRPr="00D95FB4">
        <w:rPr>
          <w:rFonts w:asciiTheme="minorHAnsi" w:eastAsia="Calibri" w:hAnsiTheme="minorHAnsi"/>
        </w:rPr>
        <w:t>prodlužovalo</w:t>
      </w:r>
      <w:proofErr w:type="gramEnd"/>
      <w:r w:rsidRPr="00D95FB4">
        <w:rPr>
          <w:rFonts w:asciiTheme="minorHAnsi" w:eastAsia="Calibri" w:hAnsiTheme="minorHAnsi"/>
        </w:rPr>
        <w:t xml:space="preserve"> až do poloviny roku 2016. </w:t>
      </w:r>
      <w:r w:rsidRPr="00D95FB4">
        <w:rPr>
          <w:rFonts w:asciiTheme="minorHAnsi" w:hAnsiTheme="minorHAnsi" w:cs="Arial"/>
        </w:rPr>
        <w:t xml:space="preserve">Program </w:t>
      </w:r>
      <w:r w:rsidR="00BD5E8F">
        <w:rPr>
          <w:rFonts w:asciiTheme="minorHAnsi" w:hAnsiTheme="minorHAnsi" w:cs="Arial"/>
        </w:rPr>
        <w:t xml:space="preserve">se </w:t>
      </w:r>
      <w:r w:rsidRPr="00D95FB4">
        <w:rPr>
          <w:rFonts w:asciiTheme="minorHAnsi" w:hAnsiTheme="minorHAnsi" w:cs="Arial"/>
        </w:rPr>
        <w:t xml:space="preserve">neměl </w:t>
      </w:r>
      <w:r>
        <w:rPr>
          <w:rFonts w:asciiTheme="minorHAnsi" w:hAnsiTheme="minorHAnsi" w:cs="Arial"/>
        </w:rPr>
        <w:t xml:space="preserve">dle MV </w:t>
      </w:r>
      <w:r w:rsidRPr="00D95FB4">
        <w:rPr>
          <w:rFonts w:asciiTheme="minorHAnsi" w:hAnsiTheme="minorHAnsi" w:cs="Arial"/>
        </w:rPr>
        <w:t xml:space="preserve">od roku 2010 </w:t>
      </w:r>
      <w:r w:rsidR="00AA3AC7" w:rsidRPr="00D95FB4">
        <w:rPr>
          <w:rFonts w:asciiTheme="minorHAnsi" w:eastAsia="Calibri" w:hAnsiTheme="minorHAnsi" w:cs="Arial"/>
        </w:rPr>
        <w:t>dále rozvíje</w:t>
      </w:r>
      <w:r w:rsidR="00AA3AC7">
        <w:rPr>
          <w:rFonts w:asciiTheme="minorHAnsi" w:eastAsia="Calibri" w:hAnsiTheme="minorHAnsi" w:cs="Arial"/>
        </w:rPr>
        <w:t>t,</w:t>
      </w:r>
      <w:r w:rsidR="00AA3AC7" w:rsidRPr="00D95FB4">
        <w:rPr>
          <w:rFonts w:asciiTheme="minorHAnsi" w:hAnsiTheme="minorHAnsi" w:cs="Arial"/>
        </w:rPr>
        <w:t xml:space="preserve"> </w:t>
      </w:r>
      <w:r w:rsidRPr="00D95FB4">
        <w:rPr>
          <w:rFonts w:asciiTheme="minorHAnsi" w:hAnsiTheme="minorHAnsi" w:cs="Arial"/>
        </w:rPr>
        <w:lastRenderedPageBreak/>
        <w:t xml:space="preserve">mj. z důvodu postupně schvalovaných programů </w:t>
      </w:r>
      <w:r w:rsidR="00BD5E8F">
        <w:rPr>
          <w:rFonts w:asciiTheme="minorHAnsi" w:hAnsiTheme="minorHAnsi" w:cs="Arial"/>
        </w:rPr>
        <w:t>se stejným věcným zaměřením</w:t>
      </w:r>
      <w:r w:rsidR="00BD5E8F">
        <w:rPr>
          <w:rFonts w:asciiTheme="minorHAnsi" w:eastAsia="Calibri" w:hAnsiTheme="minorHAnsi" w:cs="Arial"/>
        </w:rPr>
        <w:t>.</w:t>
      </w:r>
      <w:r w:rsidR="00BD5E8F" w:rsidRPr="00D95FB4">
        <w:rPr>
          <w:rFonts w:asciiTheme="minorHAnsi" w:eastAsia="Calibri" w:hAnsiTheme="minorHAnsi" w:cs="Arial"/>
        </w:rPr>
        <w:t xml:space="preserve"> </w:t>
      </w:r>
      <w:r w:rsidR="005C2AD4" w:rsidRPr="004236D4">
        <w:rPr>
          <w:rFonts w:asciiTheme="minorHAnsi" w:eastAsia="Calibri" w:hAnsiTheme="minorHAnsi"/>
        </w:rPr>
        <w:t>V jeho rámci mělo být financováno dokončení již probíhajících akcí</w:t>
      </w:r>
      <w:r w:rsidR="004236D4">
        <w:rPr>
          <w:rFonts w:asciiTheme="minorHAnsi" w:eastAsia="Calibri" w:hAnsiTheme="minorHAnsi"/>
        </w:rPr>
        <w:t>.</w:t>
      </w:r>
      <w:r w:rsidRPr="00D95FB4">
        <w:rPr>
          <w:rFonts w:asciiTheme="minorHAnsi" w:eastAsia="Calibri" w:hAnsiTheme="minorHAnsi" w:cs="Arial"/>
        </w:rPr>
        <w:t xml:space="preserve"> Realita byla ale odlišná, neboť dle zjištění NKÚ poskytlo MV na jeho realizaci od roku 2011 cca 1,3 mld. Kč.</w:t>
      </w:r>
      <w:r w:rsidRPr="00D95FB4">
        <w:rPr>
          <w:rFonts w:asciiTheme="minorHAnsi" w:hAnsiTheme="minorHAnsi" w:cs="Arial"/>
        </w:rPr>
        <w:t xml:space="preserve"> </w:t>
      </w:r>
      <w:r w:rsidRPr="00D95FB4">
        <w:rPr>
          <w:rFonts w:asciiTheme="minorHAnsi" w:eastAsia="Calibri" w:hAnsiTheme="minorHAnsi"/>
        </w:rPr>
        <w:t xml:space="preserve">Stovky milionů korun směřovaly na rozmanité akce do oblasti ICT, nemovitého i movitého majetku. Doba realizace programu 214 110 se celkově prodloužila o osm a půl roku, účast </w:t>
      </w:r>
      <w:r>
        <w:rPr>
          <w:rFonts w:asciiTheme="minorHAnsi" w:eastAsia="Calibri" w:hAnsiTheme="minorHAnsi"/>
        </w:rPr>
        <w:t>státního rozpočtu</w:t>
      </w:r>
      <w:r w:rsidRPr="00D95FB4">
        <w:rPr>
          <w:rFonts w:asciiTheme="minorHAnsi" w:eastAsia="Calibri" w:hAnsiTheme="minorHAnsi"/>
        </w:rPr>
        <w:t xml:space="preserve"> se zvýšila o 62 %.</w:t>
      </w:r>
      <w:r w:rsidRPr="00D95FB4">
        <w:rPr>
          <w:rFonts w:asciiTheme="minorHAnsi" w:eastAsia="Calibri" w:hAnsiTheme="minorHAnsi" w:cs="Arial"/>
        </w:rPr>
        <w:t xml:space="preserve"> </w:t>
      </w:r>
      <w:r w:rsidRPr="00D95FB4">
        <w:rPr>
          <w:rFonts w:asciiTheme="minorHAnsi" w:eastAsia="Calibri" w:hAnsiTheme="minorHAnsi"/>
        </w:rPr>
        <w:t xml:space="preserve">Dle MV byly důvodem prodlužování mj. změny v organizační struktuře, početních stavech a plnění prioritních úkolů </w:t>
      </w:r>
      <w:r w:rsidRPr="00800351">
        <w:rPr>
          <w:rFonts w:asciiTheme="minorHAnsi" w:hAnsiTheme="minorHAnsi" w:cstheme="minorHAnsi"/>
        </w:rPr>
        <w:t>Policie</w:t>
      </w:r>
      <w:r w:rsidRPr="00D95FB4">
        <w:rPr>
          <w:rFonts w:asciiTheme="minorHAnsi" w:eastAsia="Calibri" w:hAnsiTheme="minorHAnsi"/>
        </w:rPr>
        <w:t xml:space="preserve">. </w:t>
      </w:r>
    </w:p>
    <w:p w14:paraId="3E0607A0" w14:textId="43ECE5F8" w:rsidR="00F95592" w:rsidRPr="004236D4" w:rsidRDefault="00F95592" w:rsidP="00F95592">
      <w:pPr>
        <w:spacing w:after="120"/>
        <w:jc w:val="both"/>
        <w:rPr>
          <w:rFonts w:asciiTheme="minorHAnsi" w:hAnsiTheme="minorHAnsi"/>
          <w:spacing w:val="-3"/>
        </w:rPr>
      </w:pPr>
      <w:r w:rsidRPr="00D95FB4">
        <w:rPr>
          <w:rFonts w:asciiTheme="minorHAnsi" w:eastAsia="Calibri" w:hAnsiTheme="minorHAnsi"/>
        </w:rPr>
        <w:t xml:space="preserve">Program 114 110 stejného věcného zaměření jako program 214 110 navrhlo MV na období let 2009 až 2013. </w:t>
      </w:r>
      <w:r>
        <w:rPr>
          <w:rFonts w:asciiTheme="minorHAnsi" w:eastAsia="Calibri" w:hAnsiTheme="minorHAnsi"/>
        </w:rPr>
        <w:t>Jeho p</w:t>
      </w:r>
      <w:r w:rsidRPr="00D95FB4">
        <w:rPr>
          <w:rFonts w:asciiTheme="minorHAnsi" w:eastAsia="Calibri" w:hAnsiTheme="minorHAnsi"/>
        </w:rPr>
        <w:t xml:space="preserve">odprogram zaměřený na </w:t>
      </w:r>
      <w:r w:rsidRPr="00D95FB4">
        <w:rPr>
          <w:rFonts w:asciiTheme="minorHAnsi" w:hAnsiTheme="minorHAnsi"/>
          <w:spacing w:val="-3"/>
        </w:rPr>
        <w:t xml:space="preserve">movitý majetek měl být financován až v období let 2011 až 2013. Do té doby </w:t>
      </w:r>
      <w:r w:rsidR="00BE39F0">
        <w:rPr>
          <w:rFonts w:asciiTheme="minorHAnsi" w:hAnsiTheme="minorHAnsi"/>
          <w:spacing w:val="-3"/>
        </w:rPr>
        <w:t xml:space="preserve">se </w:t>
      </w:r>
      <w:r w:rsidRPr="00D95FB4">
        <w:rPr>
          <w:rFonts w:asciiTheme="minorHAnsi" w:hAnsiTheme="minorHAnsi"/>
          <w:spacing w:val="-3"/>
        </w:rPr>
        <w:t xml:space="preserve">tento druh majetku </w:t>
      </w:r>
      <w:r w:rsidR="00BE39F0">
        <w:rPr>
          <w:rFonts w:asciiTheme="minorHAnsi" w:hAnsiTheme="minorHAnsi"/>
          <w:spacing w:val="-3"/>
        </w:rPr>
        <w:t>řešil v rámci</w:t>
      </w:r>
      <w:r w:rsidR="00FD542C">
        <w:rPr>
          <w:rFonts w:asciiTheme="minorHAnsi" w:hAnsiTheme="minorHAnsi"/>
          <w:spacing w:val="-3"/>
        </w:rPr>
        <w:t xml:space="preserve"> </w:t>
      </w:r>
      <w:r w:rsidRPr="00D95FB4">
        <w:rPr>
          <w:rFonts w:asciiTheme="minorHAnsi" w:hAnsiTheme="minorHAnsi"/>
          <w:spacing w:val="-3"/>
        </w:rPr>
        <w:t xml:space="preserve">programu 214 110. V období let 2011 až 2013 docházelo k prolínání </w:t>
      </w:r>
      <w:r>
        <w:rPr>
          <w:rFonts w:asciiTheme="minorHAnsi" w:hAnsiTheme="minorHAnsi"/>
        </w:rPr>
        <w:t>dokumentací programů,</w:t>
      </w:r>
      <w:r w:rsidRPr="00D95FB4">
        <w:rPr>
          <w:rFonts w:asciiTheme="minorHAnsi" w:hAnsiTheme="minorHAnsi"/>
          <w:spacing w:val="-3"/>
        </w:rPr>
        <w:t xml:space="preserve"> kdy </w:t>
      </w:r>
      <w:r>
        <w:rPr>
          <w:rFonts w:asciiTheme="minorHAnsi" w:hAnsiTheme="minorHAnsi"/>
          <w:spacing w:val="-3"/>
        </w:rPr>
        <w:t>ICT</w:t>
      </w:r>
      <w:r w:rsidRPr="00D95FB4"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  <w:spacing w:val="-3"/>
        </w:rPr>
        <w:t>nebo</w:t>
      </w:r>
      <w:r w:rsidRPr="00D95FB4">
        <w:rPr>
          <w:rFonts w:asciiTheme="minorHAnsi" w:hAnsiTheme="minorHAnsi"/>
          <w:spacing w:val="-3"/>
        </w:rPr>
        <w:t xml:space="preserve"> nemovitý majetek</w:t>
      </w:r>
      <w:r w:rsidRPr="00D95FB4">
        <w:rPr>
          <w:rStyle w:val="Znakapoznpodarou"/>
          <w:rFonts w:asciiTheme="minorHAnsi" w:hAnsiTheme="minorHAnsi"/>
          <w:spacing w:val="-3"/>
        </w:rPr>
        <w:footnoteReference w:id="20"/>
      </w:r>
      <w:r w:rsidRPr="00D95FB4">
        <w:rPr>
          <w:rFonts w:asciiTheme="minorHAnsi" w:hAnsiTheme="minorHAnsi"/>
          <w:spacing w:val="-3"/>
        </w:rPr>
        <w:t xml:space="preserve"> bylo možn</w:t>
      </w:r>
      <w:r w:rsidR="0047789B">
        <w:rPr>
          <w:rFonts w:asciiTheme="minorHAnsi" w:hAnsiTheme="minorHAnsi"/>
          <w:spacing w:val="-3"/>
        </w:rPr>
        <w:t>é</w:t>
      </w:r>
      <w:r w:rsidRPr="00D95FB4">
        <w:rPr>
          <w:rFonts w:asciiTheme="minorHAnsi" w:hAnsiTheme="minorHAnsi"/>
          <w:spacing w:val="-3"/>
        </w:rPr>
        <w:t xml:space="preserve"> pořídit jak z programu 214 110, tak z programu 114 110. </w:t>
      </w:r>
      <w:r>
        <w:rPr>
          <w:rFonts w:asciiTheme="minorHAnsi" w:hAnsiTheme="minorHAnsi"/>
          <w:spacing w:val="-3"/>
        </w:rPr>
        <w:t xml:space="preserve">V prosinci roku 2012 </w:t>
      </w:r>
      <w:proofErr w:type="gramStart"/>
      <w:r>
        <w:rPr>
          <w:rFonts w:asciiTheme="minorHAnsi" w:hAnsiTheme="minorHAnsi"/>
          <w:spacing w:val="-3"/>
        </w:rPr>
        <w:t>schválilo</w:t>
      </w:r>
      <w:proofErr w:type="gramEnd"/>
      <w:r>
        <w:rPr>
          <w:rFonts w:asciiTheme="minorHAnsi" w:hAnsiTheme="minorHAnsi"/>
          <w:spacing w:val="-3"/>
        </w:rPr>
        <w:t xml:space="preserve"> Ministerstvo financí </w:t>
      </w:r>
      <w:r w:rsidRPr="00D870FA">
        <w:rPr>
          <w:rFonts w:asciiTheme="minorHAnsi" w:hAnsiTheme="minorHAnsi"/>
          <w:spacing w:val="-2"/>
        </w:rPr>
        <w:t>aktualizac</w:t>
      </w:r>
      <w:r>
        <w:rPr>
          <w:rFonts w:asciiTheme="minorHAnsi" w:hAnsiTheme="minorHAnsi"/>
          <w:spacing w:val="-2"/>
        </w:rPr>
        <w:t>i</w:t>
      </w:r>
      <w:r w:rsidRPr="00D870FA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dokumentace programu</w:t>
      </w:r>
      <w:r w:rsidRPr="00D870FA">
        <w:rPr>
          <w:rFonts w:asciiTheme="minorHAnsi" w:hAnsiTheme="minorHAnsi"/>
          <w:spacing w:val="-2"/>
        </w:rPr>
        <w:t xml:space="preserve"> 114</w:t>
      </w:r>
      <w:r w:rsidR="00BE39F0">
        <w:rPr>
          <w:rFonts w:asciiTheme="minorHAnsi" w:hAnsiTheme="minorHAnsi"/>
          <w:spacing w:val="-2"/>
        </w:rPr>
        <w:t> </w:t>
      </w:r>
      <w:r w:rsidRPr="00D870FA">
        <w:rPr>
          <w:rFonts w:asciiTheme="minorHAnsi" w:hAnsiTheme="minorHAnsi"/>
          <w:spacing w:val="-2"/>
        </w:rPr>
        <w:t>110</w:t>
      </w:r>
      <w:r w:rsidR="00BE39F0">
        <w:rPr>
          <w:rFonts w:asciiTheme="minorHAnsi" w:hAnsiTheme="minorHAnsi"/>
          <w:spacing w:val="-2"/>
        </w:rPr>
        <w:t>.</w:t>
      </w:r>
      <w:r>
        <w:rPr>
          <w:rFonts w:asciiTheme="minorHAnsi" w:hAnsiTheme="minorHAnsi"/>
          <w:spacing w:val="-2"/>
        </w:rPr>
        <w:t xml:space="preserve"> MV</w:t>
      </w:r>
      <w:r w:rsidRPr="00D870FA">
        <w:rPr>
          <w:rFonts w:asciiTheme="minorHAnsi" w:hAnsiTheme="minorHAnsi"/>
          <w:spacing w:val="-2"/>
        </w:rPr>
        <w:t xml:space="preserve"> </w:t>
      </w:r>
      <w:proofErr w:type="gramStart"/>
      <w:r w:rsidRPr="00D870FA">
        <w:rPr>
          <w:rFonts w:asciiTheme="minorHAnsi" w:hAnsiTheme="minorHAnsi"/>
          <w:spacing w:val="-2"/>
        </w:rPr>
        <w:t>snížilo</w:t>
      </w:r>
      <w:proofErr w:type="gramEnd"/>
      <w:r w:rsidRPr="00D870FA">
        <w:rPr>
          <w:rFonts w:asciiTheme="minorHAnsi" w:hAnsiTheme="minorHAnsi"/>
          <w:spacing w:val="-2"/>
        </w:rPr>
        <w:t xml:space="preserve"> </w:t>
      </w:r>
      <w:r w:rsidRPr="00D870FA">
        <w:rPr>
          <w:rFonts w:asciiTheme="minorHAnsi" w:hAnsiTheme="minorHAnsi"/>
          <w:spacing w:val="-1"/>
        </w:rPr>
        <w:t xml:space="preserve">účast </w:t>
      </w:r>
      <w:r>
        <w:rPr>
          <w:rFonts w:asciiTheme="minorHAnsi" w:hAnsiTheme="minorHAnsi"/>
          <w:spacing w:val="-1"/>
        </w:rPr>
        <w:t xml:space="preserve">státního rozpočtu o </w:t>
      </w:r>
      <w:r w:rsidRPr="00D870FA">
        <w:rPr>
          <w:rFonts w:asciiTheme="minorHAnsi" w:hAnsiTheme="minorHAnsi"/>
          <w:spacing w:val="-1"/>
        </w:rPr>
        <w:t>53 %</w:t>
      </w:r>
      <w:r>
        <w:rPr>
          <w:rFonts w:asciiTheme="minorHAnsi" w:hAnsiTheme="minorHAnsi"/>
          <w:spacing w:val="-1"/>
        </w:rPr>
        <w:t xml:space="preserve"> a prodloužilo realizaci o dva roky.</w:t>
      </w:r>
      <w:r>
        <w:rPr>
          <w:rFonts w:asciiTheme="minorHAnsi" w:hAnsiTheme="minorHAnsi"/>
          <w:spacing w:val="-3"/>
        </w:rPr>
        <w:t xml:space="preserve"> Změna byla dle MV </w:t>
      </w:r>
      <w:r w:rsidRPr="005B0813">
        <w:rPr>
          <w:rFonts w:asciiTheme="minorHAnsi" w:hAnsiTheme="minorHAnsi"/>
          <w:spacing w:val="-1"/>
        </w:rPr>
        <w:t xml:space="preserve">způsobena </w:t>
      </w:r>
      <w:r>
        <w:rPr>
          <w:rFonts w:asciiTheme="minorHAnsi" w:hAnsiTheme="minorHAnsi"/>
          <w:spacing w:val="-1"/>
        </w:rPr>
        <w:t>přehodnocením</w:t>
      </w:r>
      <w:r w:rsidRPr="005B0813">
        <w:rPr>
          <w:rFonts w:asciiTheme="minorHAnsi" w:hAnsiTheme="minorHAnsi"/>
          <w:spacing w:val="-1"/>
        </w:rPr>
        <w:t xml:space="preserve"> priorit </w:t>
      </w:r>
      <w:r w:rsidRPr="00800351">
        <w:rPr>
          <w:rFonts w:asciiTheme="minorHAnsi" w:hAnsiTheme="minorHAnsi" w:cstheme="minorHAnsi"/>
        </w:rPr>
        <w:t>Policie</w:t>
      </w:r>
      <w:r w:rsidRPr="005B0813">
        <w:rPr>
          <w:rFonts w:asciiTheme="minorHAnsi" w:hAnsiTheme="minorHAnsi"/>
          <w:spacing w:val="-1"/>
        </w:rPr>
        <w:t xml:space="preserve"> s tím, že z důvodu zahájení realizace </w:t>
      </w:r>
      <w:r>
        <w:rPr>
          <w:rFonts w:asciiTheme="minorHAnsi" w:hAnsiTheme="minorHAnsi"/>
          <w:spacing w:val="-1"/>
        </w:rPr>
        <w:t>programu 114 120</w:t>
      </w:r>
      <w:r w:rsidRPr="005B0813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  <w:spacing w:val="-1"/>
        </w:rPr>
        <w:t>mělo dojít</w:t>
      </w:r>
      <w:r w:rsidRPr="005B0813">
        <w:rPr>
          <w:rFonts w:asciiTheme="minorHAnsi" w:hAnsiTheme="minorHAnsi"/>
          <w:spacing w:val="-1"/>
        </w:rPr>
        <w:t xml:space="preserve"> v letech 2013 až 2015 k</w:t>
      </w:r>
      <w:r>
        <w:rPr>
          <w:rFonts w:asciiTheme="minorHAnsi" w:hAnsiTheme="minorHAnsi"/>
          <w:spacing w:val="-1"/>
        </w:rPr>
        <w:t> </w:t>
      </w:r>
      <w:r w:rsidRPr="005B0813">
        <w:rPr>
          <w:rFonts w:asciiTheme="minorHAnsi" w:hAnsiTheme="minorHAnsi"/>
          <w:spacing w:val="-1"/>
        </w:rPr>
        <w:t>postupnému útlumu výdajů.</w:t>
      </w:r>
      <w:r>
        <w:rPr>
          <w:rFonts w:asciiTheme="minorHAnsi" w:hAnsiTheme="minorHAnsi"/>
          <w:spacing w:val="-3"/>
        </w:rPr>
        <w:t xml:space="preserve"> Navzdory tomu došlo v uvedených letech k razantnímu navýšení účasti státního rozpočtu</w:t>
      </w:r>
      <w:r w:rsidR="0047789B">
        <w:rPr>
          <w:rFonts w:asciiTheme="minorHAnsi" w:hAnsiTheme="minorHAnsi"/>
          <w:spacing w:val="-3"/>
        </w:rPr>
        <w:t>,</w:t>
      </w:r>
      <w:r>
        <w:rPr>
          <w:rFonts w:asciiTheme="minorHAnsi" w:hAnsiTheme="minorHAnsi"/>
          <w:spacing w:val="-3"/>
        </w:rPr>
        <w:t xml:space="preserve"> v porovnání s rokem 2012 o 95 %.</w:t>
      </w:r>
      <w:r>
        <w:rPr>
          <w:rFonts w:asciiTheme="minorHAnsi" w:eastAsia="Calibri" w:hAnsiTheme="minorHAnsi"/>
        </w:rPr>
        <w:t xml:space="preserve"> </w:t>
      </w:r>
      <w:r>
        <w:rPr>
          <w:rFonts w:asciiTheme="minorHAnsi" w:hAnsiTheme="minorHAnsi"/>
          <w:spacing w:val="-3"/>
        </w:rPr>
        <w:t>Ministerstvo financí schválilo změnu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/>
        </w:rPr>
        <w:t>dokumentace programu</w:t>
      </w:r>
      <w:r>
        <w:rPr>
          <w:rFonts w:asciiTheme="minorHAnsi" w:hAnsiTheme="minorHAnsi" w:cstheme="minorHAnsi"/>
        </w:rPr>
        <w:t xml:space="preserve"> v prosinci roku 2015, tj. v posledním měsíci realizace programu dle aktualizace z roku 2012.</w:t>
      </w:r>
      <w:r>
        <w:rPr>
          <w:rFonts w:asciiTheme="minorHAnsi" w:hAnsiTheme="minorHAnsi"/>
          <w:spacing w:val="-3"/>
        </w:rPr>
        <w:t xml:space="preserve"> Přestože v roce 2015 byly schváleny další věcně stejné </w:t>
      </w:r>
      <w:r w:rsidRPr="00095ECB">
        <w:rPr>
          <w:rFonts w:asciiTheme="minorHAnsi" w:hAnsiTheme="minorHAnsi"/>
          <w:spacing w:val="-3"/>
        </w:rPr>
        <w:t>program</w:t>
      </w:r>
      <w:r>
        <w:rPr>
          <w:rFonts w:asciiTheme="minorHAnsi" w:hAnsiTheme="minorHAnsi"/>
          <w:spacing w:val="-3"/>
        </w:rPr>
        <w:t>y</w:t>
      </w:r>
      <w:r w:rsidRPr="00095ECB">
        <w:rPr>
          <w:rFonts w:asciiTheme="minorHAnsi" w:hAnsiTheme="minorHAnsi"/>
          <w:spacing w:val="-3"/>
        </w:rPr>
        <w:t xml:space="preserve"> </w:t>
      </w:r>
      <w:r w:rsidRPr="00800351">
        <w:rPr>
          <w:rFonts w:asciiTheme="minorHAnsi" w:hAnsiTheme="minorHAnsi" w:cstheme="minorHAnsi"/>
        </w:rPr>
        <w:t>Policie</w:t>
      </w:r>
      <w:r>
        <w:rPr>
          <w:rFonts w:asciiTheme="minorHAnsi" w:hAnsiTheme="minorHAnsi"/>
          <w:spacing w:val="-3"/>
        </w:rPr>
        <w:t xml:space="preserve"> </w:t>
      </w:r>
      <w:r w:rsidRPr="00095ECB">
        <w:rPr>
          <w:rFonts w:asciiTheme="minorHAnsi" w:hAnsiTheme="minorHAnsi"/>
          <w:spacing w:val="-3"/>
        </w:rPr>
        <w:t>na období let 2016 až 2020</w:t>
      </w:r>
      <w:r>
        <w:rPr>
          <w:rFonts w:asciiTheme="minorHAnsi" w:hAnsiTheme="minorHAnsi"/>
          <w:spacing w:val="-3"/>
        </w:rPr>
        <w:t xml:space="preserve">, byla doba realizace </w:t>
      </w:r>
      <w:r w:rsidRPr="00D95FB4">
        <w:rPr>
          <w:rFonts w:asciiTheme="minorHAnsi" w:hAnsiTheme="minorHAnsi"/>
          <w:spacing w:val="-3"/>
        </w:rPr>
        <w:t xml:space="preserve">programu 114 110 </w:t>
      </w:r>
      <w:r>
        <w:rPr>
          <w:rFonts w:asciiTheme="minorHAnsi" w:hAnsiTheme="minorHAnsi"/>
          <w:spacing w:val="-3"/>
        </w:rPr>
        <w:t xml:space="preserve">prodloužena o další dva roky. </w:t>
      </w:r>
      <w:r>
        <w:rPr>
          <w:rFonts w:asciiTheme="minorHAnsi" w:hAnsiTheme="minorHAnsi" w:cstheme="minorHAnsi"/>
        </w:rPr>
        <w:t xml:space="preserve">Změnu zdůvodňuje MV zpožděním realizace projektů spolufinancovaných z fondů Evropské unie. </w:t>
      </w:r>
      <w:r w:rsidRPr="005C7CF2">
        <w:rPr>
          <w:rFonts w:asciiTheme="minorHAnsi" w:hAnsiTheme="minorHAnsi" w:cstheme="minorHAnsi"/>
        </w:rPr>
        <w:t xml:space="preserve">Zpoždění bylo dle NKÚ způsobeno tím, že </w:t>
      </w:r>
      <w:r>
        <w:rPr>
          <w:rFonts w:asciiTheme="minorHAnsi" w:hAnsiTheme="minorHAnsi"/>
          <w:spacing w:val="-3"/>
        </w:rPr>
        <w:t>zásadní růst</w:t>
      </w:r>
      <w:r w:rsidRPr="005C7CF2"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  <w:spacing w:val="-3"/>
        </w:rPr>
        <w:t xml:space="preserve">počtu </w:t>
      </w:r>
      <w:r w:rsidRPr="005C7CF2">
        <w:rPr>
          <w:rFonts w:asciiTheme="minorHAnsi" w:hAnsiTheme="minorHAnsi"/>
          <w:spacing w:val="-3"/>
        </w:rPr>
        <w:t>projektů</w:t>
      </w:r>
      <w:r w:rsidR="0047789B">
        <w:rPr>
          <w:rFonts w:asciiTheme="minorHAnsi" w:hAnsiTheme="minorHAnsi"/>
          <w:spacing w:val="-3"/>
        </w:rPr>
        <w:t xml:space="preserve"> financovaných z prostředků </w:t>
      </w:r>
      <w:r w:rsidRPr="005C7CF2">
        <w:rPr>
          <w:rFonts w:asciiTheme="minorHAnsi" w:hAnsiTheme="minorHAnsi"/>
        </w:rPr>
        <w:t xml:space="preserve">programového období </w:t>
      </w:r>
      <w:r>
        <w:rPr>
          <w:rFonts w:asciiTheme="minorHAnsi" w:hAnsiTheme="minorHAnsi"/>
        </w:rPr>
        <w:t xml:space="preserve">let </w:t>
      </w:r>
      <w:r w:rsidRPr="005C7CF2">
        <w:rPr>
          <w:rFonts w:asciiTheme="minorHAnsi" w:hAnsiTheme="minorHAnsi"/>
        </w:rPr>
        <w:t>2007</w:t>
      </w:r>
      <w:r>
        <w:rPr>
          <w:rFonts w:asciiTheme="minorHAnsi" w:hAnsiTheme="minorHAnsi"/>
        </w:rPr>
        <w:t xml:space="preserve"> až </w:t>
      </w:r>
      <w:r w:rsidRPr="005C7CF2">
        <w:rPr>
          <w:rFonts w:asciiTheme="minorHAnsi" w:hAnsiTheme="minorHAnsi"/>
        </w:rPr>
        <w:t>2013 nastal</w:t>
      </w:r>
      <w:r w:rsidR="00FD542C">
        <w:rPr>
          <w:rFonts w:asciiTheme="minorHAnsi" w:hAnsiTheme="minorHAnsi"/>
        </w:rPr>
        <w:t xml:space="preserve"> </w:t>
      </w:r>
      <w:r w:rsidRPr="005C7CF2">
        <w:rPr>
          <w:rFonts w:asciiTheme="minorHAnsi" w:hAnsiTheme="minorHAnsi"/>
        </w:rPr>
        <w:t xml:space="preserve">u </w:t>
      </w:r>
      <w:r w:rsidRPr="00800351">
        <w:rPr>
          <w:rFonts w:asciiTheme="minorHAnsi" w:hAnsiTheme="minorHAnsi" w:cstheme="minorHAnsi"/>
        </w:rPr>
        <w:t>Policie</w:t>
      </w:r>
      <w:r w:rsidRPr="005C7CF2">
        <w:rPr>
          <w:rFonts w:asciiTheme="minorHAnsi" w:hAnsiTheme="minorHAnsi"/>
        </w:rPr>
        <w:t xml:space="preserve"> až v roce 2012.</w:t>
      </w:r>
      <w:r>
        <w:rPr>
          <w:rFonts w:asciiTheme="minorHAnsi" w:hAnsiTheme="minorHAnsi" w:cstheme="minorHAnsi"/>
        </w:rPr>
        <w:t xml:space="preserve"> </w:t>
      </w:r>
    </w:p>
    <w:p w14:paraId="085F5766" w14:textId="29F1663D" w:rsidR="00F95592" w:rsidRDefault="00F95592" w:rsidP="00F95592">
      <w:pPr>
        <w:shd w:val="clear" w:color="auto" w:fill="FFFFFF"/>
        <w:spacing w:after="120"/>
        <w:jc w:val="both"/>
        <w:rPr>
          <w:rFonts w:asciiTheme="minorHAnsi" w:hAnsiTheme="minorHAnsi"/>
        </w:rPr>
      </w:pPr>
      <w:r w:rsidRPr="00571766">
        <w:rPr>
          <w:rFonts w:asciiTheme="minorHAnsi" w:eastAsia="Calibri" w:hAnsiTheme="minorHAnsi"/>
        </w:rPr>
        <w:t>Program 114</w:t>
      </w:r>
      <w:r w:rsidR="00DD730B">
        <w:rPr>
          <w:rFonts w:asciiTheme="minorHAnsi" w:eastAsia="Calibri" w:hAnsiTheme="minorHAnsi"/>
        </w:rPr>
        <w:t> </w:t>
      </w:r>
      <w:r w:rsidRPr="00571766">
        <w:rPr>
          <w:rFonts w:asciiTheme="minorHAnsi" w:eastAsia="Calibri" w:hAnsiTheme="minorHAnsi"/>
        </w:rPr>
        <w:t>1</w:t>
      </w:r>
      <w:r>
        <w:rPr>
          <w:rFonts w:asciiTheme="minorHAnsi" w:eastAsia="Calibri" w:hAnsiTheme="minorHAnsi"/>
        </w:rPr>
        <w:t>2</w:t>
      </w:r>
      <w:r w:rsidRPr="00571766">
        <w:rPr>
          <w:rFonts w:asciiTheme="minorHAnsi" w:eastAsia="Calibri" w:hAnsiTheme="minorHAnsi"/>
        </w:rPr>
        <w:t>0</w:t>
      </w:r>
      <w:r w:rsidR="00DD730B">
        <w:rPr>
          <w:rFonts w:asciiTheme="minorHAnsi" w:eastAsia="Calibri" w:hAnsiTheme="minorHAnsi"/>
        </w:rPr>
        <w:t>, který měl</w:t>
      </w:r>
      <w:r>
        <w:rPr>
          <w:rFonts w:asciiTheme="minorHAnsi" w:eastAsia="Calibri" w:hAnsiTheme="minorHAnsi"/>
        </w:rPr>
        <w:t xml:space="preserve"> stejné věcné zaměření jako program</w:t>
      </w:r>
      <w:r w:rsidR="00DD730B">
        <w:rPr>
          <w:rFonts w:asciiTheme="minorHAnsi" w:eastAsia="Calibri" w:hAnsiTheme="minorHAnsi"/>
        </w:rPr>
        <w:t>y</w:t>
      </w:r>
      <w:r>
        <w:rPr>
          <w:rFonts w:asciiTheme="minorHAnsi" w:eastAsia="Calibri" w:hAnsiTheme="minorHAnsi"/>
        </w:rPr>
        <w:t xml:space="preserve"> 214 110 </w:t>
      </w:r>
      <w:r w:rsidR="00DD730B">
        <w:rPr>
          <w:rFonts w:asciiTheme="minorHAnsi" w:eastAsia="Calibri" w:hAnsiTheme="minorHAnsi"/>
        </w:rPr>
        <w:t>a</w:t>
      </w:r>
      <w:r>
        <w:rPr>
          <w:rFonts w:asciiTheme="minorHAnsi" w:eastAsia="Calibri" w:hAnsiTheme="minorHAnsi"/>
        </w:rPr>
        <w:t xml:space="preserve"> 114 110, navrhlo MV na roky 2013 až 2017.</w:t>
      </w:r>
      <w:r>
        <w:rPr>
          <w:rFonts w:asciiTheme="minorHAnsi" w:hAnsiTheme="minorHAnsi"/>
          <w:spacing w:val="-2"/>
        </w:rPr>
        <w:t xml:space="preserve"> Z programu se nerealizoval jeden </w:t>
      </w:r>
      <w:r w:rsidRPr="00C25065">
        <w:rPr>
          <w:rFonts w:asciiTheme="minorHAnsi" w:hAnsiTheme="minorHAnsi"/>
          <w:spacing w:val="-2"/>
        </w:rPr>
        <w:t xml:space="preserve">podprogram </w:t>
      </w:r>
      <w:r>
        <w:rPr>
          <w:rFonts w:asciiTheme="minorHAnsi" w:hAnsiTheme="minorHAnsi"/>
          <w:spacing w:val="-2"/>
        </w:rPr>
        <w:t>a </w:t>
      </w:r>
      <w:r w:rsidRPr="00C25065">
        <w:rPr>
          <w:rFonts w:asciiTheme="minorHAnsi" w:hAnsiTheme="minorHAnsi"/>
          <w:spacing w:val="-2"/>
        </w:rPr>
        <w:t xml:space="preserve">jeden </w:t>
      </w:r>
      <w:r>
        <w:rPr>
          <w:rFonts w:asciiTheme="minorHAnsi" w:hAnsiTheme="minorHAnsi"/>
          <w:spacing w:val="-2"/>
        </w:rPr>
        <w:t>z c</w:t>
      </w:r>
      <w:r w:rsidRPr="00C25065">
        <w:rPr>
          <w:rFonts w:asciiTheme="minorHAnsi" w:hAnsiTheme="minorHAnsi"/>
          <w:spacing w:val="-2"/>
        </w:rPr>
        <w:t>íl</w:t>
      </w:r>
      <w:r>
        <w:rPr>
          <w:rFonts w:asciiTheme="minorHAnsi" w:hAnsiTheme="minorHAnsi"/>
          <w:spacing w:val="-2"/>
        </w:rPr>
        <w:t>ů</w:t>
      </w:r>
      <w:r w:rsidRPr="00C25065">
        <w:rPr>
          <w:rFonts w:asciiTheme="minorHAnsi" w:hAnsiTheme="minorHAnsi"/>
          <w:spacing w:val="-2"/>
        </w:rPr>
        <w:t xml:space="preserve"> dalšího podprogramu</w:t>
      </w:r>
      <w:r w:rsidR="00DD730B">
        <w:rPr>
          <w:rFonts w:asciiTheme="minorHAnsi" w:hAnsiTheme="minorHAnsi"/>
          <w:spacing w:val="-2"/>
        </w:rPr>
        <w:t>.</w:t>
      </w:r>
      <w:r>
        <w:rPr>
          <w:rStyle w:val="Znakapoznpodarou"/>
          <w:rFonts w:asciiTheme="minorHAnsi" w:hAnsiTheme="minorHAnsi"/>
          <w:spacing w:val="-2"/>
        </w:rPr>
        <w:footnoteReference w:id="21"/>
      </w:r>
      <w:r>
        <w:rPr>
          <w:rFonts w:asciiTheme="minorHAnsi" w:hAnsiTheme="minorHAnsi"/>
          <w:spacing w:val="-2"/>
        </w:rPr>
        <w:t xml:space="preserve"> Důvodem byla dle MV novela </w:t>
      </w:r>
      <w:r w:rsidRPr="008456C2">
        <w:rPr>
          <w:rFonts w:asciiTheme="minorHAnsi" w:hAnsiTheme="minorHAnsi"/>
          <w:spacing w:val="-2"/>
        </w:rPr>
        <w:t>zákona č.</w:t>
      </w:r>
      <w:r>
        <w:rPr>
          <w:rFonts w:asciiTheme="minorHAnsi" w:hAnsiTheme="minorHAnsi"/>
          <w:spacing w:val="-2"/>
        </w:rPr>
        <w:t> 218/2000</w:t>
      </w:r>
      <w:r w:rsidRPr="008456C2">
        <w:rPr>
          <w:rFonts w:asciiTheme="minorHAnsi" w:hAnsiTheme="minorHAnsi"/>
          <w:spacing w:val="-2"/>
        </w:rPr>
        <w:t xml:space="preserve"> Sb</w:t>
      </w:r>
      <w:r>
        <w:rPr>
          <w:rFonts w:asciiTheme="minorHAnsi" w:hAnsiTheme="minorHAnsi"/>
          <w:spacing w:val="-2"/>
        </w:rPr>
        <w:t>.</w:t>
      </w:r>
      <w:r>
        <w:rPr>
          <w:rStyle w:val="Znakapoznpodarou"/>
          <w:rFonts w:asciiTheme="minorHAnsi" w:hAnsiTheme="minorHAnsi"/>
          <w:spacing w:val="-2"/>
        </w:rPr>
        <w:footnoteReference w:id="22"/>
      </w:r>
      <w:r>
        <w:rPr>
          <w:rFonts w:asciiTheme="minorHAnsi" w:hAnsiTheme="minorHAnsi"/>
          <w:spacing w:val="-2"/>
        </w:rPr>
        <w:t xml:space="preserve">, která nabyla účinnosti dne 1. ledna 2013. Nesladění přípravy </w:t>
      </w:r>
      <w:r>
        <w:rPr>
          <w:rFonts w:asciiTheme="minorHAnsi" w:hAnsiTheme="minorHAnsi"/>
        </w:rPr>
        <w:t>dokumentace programu</w:t>
      </w:r>
      <w:r>
        <w:rPr>
          <w:rFonts w:asciiTheme="minorHAnsi" w:hAnsiTheme="minorHAnsi"/>
          <w:spacing w:val="-2"/>
        </w:rPr>
        <w:t xml:space="preserve"> 114 120 a navrhované změny právní úpravy vedlo k tomu, že </w:t>
      </w:r>
      <w:r w:rsidRPr="00D870FA">
        <w:rPr>
          <w:rFonts w:asciiTheme="minorHAnsi" w:hAnsiTheme="minorHAnsi" w:cs="Arial"/>
        </w:rPr>
        <w:t>na počátku realizace</w:t>
      </w:r>
      <w:r>
        <w:rPr>
          <w:rFonts w:asciiTheme="minorHAnsi" w:hAnsiTheme="minorHAnsi" w:cs="Arial"/>
        </w:rPr>
        <w:t xml:space="preserve"> programu</w:t>
      </w:r>
      <w:r w:rsidRPr="00D870F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neodpovídala jeho dokumentace platným právním předpisům a zároveň nebylo </w:t>
      </w:r>
      <w:r w:rsidRPr="00D870FA">
        <w:rPr>
          <w:rFonts w:asciiTheme="minorHAnsi" w:hAnsiTheme="minorHAnsi"/>
          <w:spacing w:val="-2"/>
        </w:rPr>
        <w:t>možno využít více než polovinu (51</w:t>
      </w:r>
      <w:r>
        <w:rPr>
          <w:rFonts w:asciiTheme="minorHAnsi" w:hAnsiTheme="minorHAnsi"/>
          <w:spacing w:val="-2"/>
        </w:rPr>
        <w:t xml:space="preserve"> </w:t>
      </w:r>
      <w:r w:rsidRPr="00D870FA">
        <w:rPr>
          <w:rFonts w:asciiTheme="minorHAnsi" w:hAnsiTheme="minorHAnsi"/>
          <w:spacing w:val="-2"/>
        </w:rPr>
        <w:t>%) alokovaných prostředků</w:t>
      </w:r>
      <w:r>
        <w:rPr>
          <w:rFonts w:asciiTheme="minorHAnsi" w:hAnsiTheme="minorHAnsi"/>
          <w:spacing w:val="-2"/>
        </w:rPr>
        <w:t xml:space="preserve">. </w:t>
      </w:r>
      <w:r>
        <w:rPr>
          <w:rFonts w:asciiTheme="minorHAnsi" w:hAnsiTheme="minorHAnsi"/>
        </w:rPr>
        <w:t xml:space="preserve">MV zahrnulo v průběhu realizace do programu navíc </w:t>
      </w:r>
      <w:r w:rsidRPr="00670891">
        <w:rPr>
          <w:rFonts w:asciiTheme="minorHAnsi" w:hAnsiTheme="minorHAnsi"/>
        </w:rPr>
        <w:t xml:space="preserve">další výdaje týkající se </w:t>
      </w:r>
      <w:r>
        <w:rPr>
          <w:rFonts w:asciiTheme="minorHAnsi" w:hAnsiTheme="minorHAnsi"/>
        </w:rPr>
        <w:t>akcí</w:t>
      </w:r>
      <w:r w:rsidRPr="00670891">
        <w:rPr>
          <w:rFonts w:asciiTheme="minorHAnsi" w:hAnsiTheme="minorHAnsi"/>
        </w:rPr>
        <w:t xml:space="preserve"> spolufinancov</w:t>
      </w:r>
      <w:r>
        <w:rPr>
          <w:rFonts w:asciiTheme="minorHAnsi" w:hAnsiTheme="minorHAnsi"/>
        </w:rPr>
        <w:t>aných z fondů Evropské unie</w:t>
      </w:r>
      <w:r w:rsidRPr="0067089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změnu</w:t>
      </w:r>
      <w:r w:rsidRPr="006708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dokumentace programu 114 120</w:t>
      </w:r>
      <w:r w:rsidRPr="00670891">
        <w:rPr>
          <w:rFonts w:asciiTheme="minorHAnsi" w:hAnsiTheme="minorHAnsi"/>
        </w:rPr>
        <w:t xml:space="preserve"> však do doby ukončení</w:t>
      </w:r>
      <w:r>
        <w:rPr>
          <w:rFonts w:asciiTheme="minorHAnsi" w:hAnsiTheme="minorHAnsi"/>
        </w:rPr>
        <w:t xml:space="preserve"> kontrolní akce</w:t>
      </w:r>
      <w:r w:rsidRPr="00670891">
        <w:rPr>
          <w:rFonts w:asciiTheme="minorHAnsi" w:hAnsiTheme="minorHAnsi"/>
        </w:rPr>
        <w:t xml:space="preserve"> neprovedlo.</w:t>
      </w:r>
    </w:p>
    <w:p w14:paraId="4CA8A877" w14:textId="2D26C1E4" w:rsidR="00A8068D" w:rsidRDefault="00A8068D" w:rsidP="003D1368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F95592">
        <w:rPr>
          <w:rFonts w:ascii="Calibri" w:hAnsi="Calibri" w:cstheme="minorHAnsi"/>
          <w:bCs/>
        </w:rPr>
        <w:t xml:space="preserve">NKÚ již v roce 2005 v rámci kontrolní akce </w:t>
      </w:r>
      <w:r w:rsidRPr="00F95592">
        <w:rPr>
          <w:rFonts w:ascii="Calibri" w:hAnsi="Calibri"/>
        </w:rPr>
        <w:t xml:space="preserve">č. 05/21 zjistil, že </w:t>
      </w:r>
      <w:r w:rsidRPr="00F95592">
        <w:rPr>
          <w:rFonts w:ascii="Calibri" w:hAnsi="Calibri" w:cstheme="minorHAnsi"/>
        </w:rPr>
        <w:t xml:space="preserve">technický stav hangáru D </w:t>
      </w:r>
      <w:r w:rsidR="00F162B2">
        <w:rPr>
          <w:rFonts w:ascii="Calibri" w:hAnsi="Calibri" w:cstheme="minorHAnsi"/>
        </w:rPr>
        <w:br/>
      </w:r>
      <w:r w:rsidRPr="00F95592">
        <w:rPr>
          <w:rFonts w:ascii="Calibri" w:hAnsi="Calibri" w:cstheme="minorHAnsi"/>
        </w:rPr>
        <w:t>v Praze-Ruzyni nesplňuje podmínky pro bezpečnou práci na letecké technice</w:t>
      </w:r>
      <w:r w:rsidR="001A1844">
        <w:rPr>
          <w:rFonts w:ascii="Calibri" w:hAnsi="Calibri" w:cstheme="minorHAnsi"/>
        </w:rPr>
        <w:t>.</w:t>
      </w:r>
      <w:r w:rsidRPr="00F95592">
        <w:rPr>
          <w:rFonts w:ascii="Calibri" w:hAnsi="Calibri" w:cstheme="minorHAnsi"/>
        </w:rPr>
        <w:t xml:space="preserve"> </w:t>
      </w:r>
      <w:r w:rsidR="001A1844">
        <w:rPr>
          <w:rFonts w:ascii="Calibri" w:hAnsi="Calibri" w:cstheme="minorHAnsi"/>
        </w:rPr>
        <w:t>Zároveň NKÚ konstatoval, že tento stav představuje</w:t>
      </w:r>
      <w:r w:rsidR="001A1844" w:rsidRPr="001A1844">
        <w:rPr>
          <w:rFonts w:ascii="Calibri" w:hAnsi="Calibri" w:cstheme="minorHAnsi"/>
        </w:rPr>
        <w:t xml:space="preserve"> </w:t>
      </w:r>
      <w:r w:rsidR="001A1844" w:rsidRPr="00F95592">
        <w:rPr>
          <w:rFonts w:ascii="Calibri" w:hAnsi="Calibri" w:cstheme="minorHAnsi"/>
        </w:rPr>
        <w:t>riziko vzniku škody značného rozsahu</w:t>
      </w:r>
      <w:r w:rsidRPr="00F95592">
        <w:rPr>
          <w:rFonts w:ascii="Calibri" w:hAnsi="Calibri" w:cstheme="minorHAnsi"/>
        </w:rPr>
        <w:t xml:space="preserve">, </w:t>
      </w:r>
      <w:r w:rsidR="001A1844">
        <w:rPr>
          <w:rFonts w:ascii="Calibri" w:hAnsi="Calibri" w:cstheme="minorHAnsi"/>
        </w:rPr>
        <w:t>kvůli</w:t>
      </w:r>
      <w:r w:rsidRPr="00F95592">
        <w:rPr>
          <w:rFonts w:ascii="Calibri" w:hAnsi="Calibri" w:cstheme="minorHAnsi"/>
        </w:rPr>
        <w:t xml:space="preserve"> </w:t>
      </w:r>
      <w:r w:rsidR="001A1844">
        <w:rPr>
          <w:rFonts w:ascii="Calibri" w:hAnsi="Calibri" w:cstheme="minorHAnsi"/>
        </w:rPr>
        <w:t>skladování</w:t>
      </w:r>
      <w:r w:rsidR="001A1844" w:rsidRPr="00F95592">
        <w:rPr>
          <w:rFonts w:ascii="Calibri" w:hAnsi="Calibri" w:cstheme="minorHAnsi"/>
        </w:rPr>
        <w:t xml:space="preserve"> </w:t>
      </w:r>
      <w:r w:rsidRPr="00F95592">
        <w:rPr>
          <w:rFonts w:ascii="Calibri" w:hAnsi="Calibri" w:cstheme="minorHAnsi"/>
        </w:rPr>
        <w:t xml:space="preserve">majetku několikamiliardové hodnoty, </w:t>
      </w:r>
      <w:r w:rsidR="001A1844">
        <w:rPr>
          <w:rFonts w:ascii="Calibri" w:hAnsi="Calibri" w:cstheme="minorHAnsi"/>
        </w:rPr>
        <w:t>a také riziko</w:t>
      </w:r>
      <w:r w:rsidR="00FD542C">
        <w:rPr>
          <w:rFonts w:ascii="Calibri" w:hAnsi="Calibri" w:cstheme="minorHAnsi"/>
        </w:rPr>
        <w:t xml:space="preserve"> </w:t>
      </w:r>
      <w:r w:rsidRPr="00F95592">
        <w:rPr>
          <w:rFonts w:ascii="Calibri" w:hAnsi="Calibri" w:cstheme="minorHAnsi"/>
        </w:rPr>
        <w:t>přímého ohrožení života a zdraví osob. N</w:t>
      </w:r>
      <w:r w:rsidRPr="00F95592">
        <w:rPr>
          <w:rFonts w:ascii="Calibri" w:hAnsi="Calibri" w:cstheme="minorHAnsi"/>
          <w:bCs/>
        </w:rPr>
        <w:t xml:space="preserve">evyhovující stav hangáru D </w:t>
      </w:r>
      <w:r w:rsidR="00EA6D77">
        <w:rPr>
          <w:rFonts w:ascii="Calibri" w:hAnsi="Calibri" w:cstheme="minorHAnsi"/>
          <w:bCs/>
        </w:rPr>
        <w:t>se</w:t>
      </w:r>
      <w:r w:rsidR="00EA6D77" w:rsidRPr="00F95592">
        <w:rPr>
          <w:rFonts w:ascii="Calibri" w:hAnsi="Calibri" w:cstheme="minorHAnsi"/>
          <w:bCs/>
        </w:rPr>
        <w:t xml:space="preserve"> </w:t>
      </w:r>
      <w:r w:rsidRPr="00F95592">
        <w:rPr>
          <w:rFonts w:ascii="Calibri" w:hAnsi="Calibri" w:cstheme="minorHAnsi"/>
          <w:bCs/>
        </w:rPr>
        <w:t>totiž od roku 2000 řeš</w:t>
      </w:r>
      <w:r w:rsidR="00EA6D77">
        <w:rPr>
          <w:rFonts w:ascii="Calibri" w:hAnsi="Calibri" w:cstheme="minorHAnsi"/>
          <w:bCs/>
        </w:rPr>
        <w:t>il</w:t>
      </w:r>
      <w:r w:rsidRPr="00F95592">
        <w:rPr>
          <w:rFonts w:ascii="Calibri" w:hAnsi="Calibri" w:cstheme="minorHAnsi"/>
          <w:bCs/>
        </w:rPr>
        <w:t xml:space="preserve"> pouze operativním odstraňováním </w:t>
      </w:r>
      <w:r w:rsidRPr="00F95592">
        <w:rPr>
          <w:rFonts w:ascii="Calibri" w:hAnsi="Calibri" w:cstheme="minorHAnsi"/>
          <w:bCs/>
        </w:rPr>
        <w:lastRenderedPageBreak/>
        <w:t xml:space="preserve">akutních závad. </w:t>
      </w:r>
      <w:r w:rsidRPr="00F95592">
        <w:rPr>
          <w:rFonts w:ascii="Calibri" w:hAnsi="Calibri" w:cstheme="minorHAnsi"/>
        </w:rPr>
        <w:t>MV se v rámci návrhu opatření k odstranění nedostatků</w:t>
      </w:r>
      <w:r w:rsidRPr="006655A8">
        <w:rPr>
          <w:rStyle w:val="Znakapoznpodarou"/>
          <w:rFonts w:asciiTheme="minorHAnsi" w:hAnsiTheme="minorHAnsi" w:cstheme="minorHAnsi"/>
        </w:rPr>
        <w:footnoteReference w:id="23"/>
      </w:r>
      <w:r w:rsidRPr="00F95592">
        <w:rPr>
          <w:rFonts w:ascii="Calibri" w:hAnsi="Calibri" w:cstheme="minorHAnsi"/>
        </w:rPr>
        <w:t xml:space="preserve"> zjištěných kontrolou NKÚ zavázalo nalézt </w:t>
      </w:r>
      <w:r w:rsidRPr="00F95592">
        <w:rPr>
          <w:rFonts w:ascii="Calibri" w:hAnsi="Calibri" w:cstheme="minorHAnsi"/>
          <w:bCs/>
        </w:rPr>
        <w:t xml:space="preserve">v letech 2007 až 2010 </w:t>
      </w:r>
      <w:r w:rsidRPr="00F95592">
        <w:rPr>
          <w:rFonts w:ascii="Calibri" w:hAnsi="Calibri" w:cstheme="minorHAnsi"/>
        </w:rPr>
        <w:t xml:space="preserve">prostředky </w:t>
      </w:r>
      <w:r w:rsidR="00936EA4">
        <w:rPr>
          <w:rFonts w:ascii="Calibri" w:hAnsi="Calibri" w:cstheme="minorHAnsi"/>
        </w:rPr>
        <w:t>na</w:t>
      </w:r>
      <w:r w:rsidR="00936EA4" w:rsidRPr="00F95592">
        <w:rPr>
          <w:rFonts w:ascii="Calibri" w:hAnsi="Calibri" w:cstheme="minorHAnsi"/>
        </w:rPr>
        <w:t xml:space="preserve"> </w:t>
      </w:r>
      <w:r w:rsidRPr="00F95592">
        <w:rPr>
          <w:rFonts w:ascii="Calibri" w:hAnsi="Calibri" w:cstheme="minorHAnsi"/>
        </w:rPr>
        <w:t xml:space="preserve">postupnou opravu a dostavbu hangáru D. Akce byla zařazena do programu 214 110, </w:t>
      </w:r>
      <w:r w:rsidR="001A1844">
        <w:rPr>
          <w:rFonts w:ascii="Calibri" w:hAnsi="Calibri" w:cstheme="minorHAnsi"/>
        </w:rPr>
        <w:t>k jejímu provedení</w:t>
      </w:r>
      <w:r w:rsidR="001A1844" w:rsidRPr="00F95592">
        <w:rPr>
          <w:rFonts w:ascii="Calibri" w:hAnsi="Calibri" w:cstheme="minorHAnsi"/>
        </w:rPr>
        <w:t xml:space="preserve"> </w:t>
      </w:r>
      <w:r w:rsidRPr="00F95592">
        <w:rPr>
          <w:rFonts w:ascii="Calibri" w:hAnsi="Calibri" w:cstheme="minorHAnsi"/>
        </w:rPr>
        <w:t xml:space="preserve">však </w:t>
      </w:r>
      <w:r w:rsidR="001A1844" w:rsidRPr="00F95592">
        <w:rPr>
          <w:rFonts w:ascii="Calibri" w:hAnsi="Calibri" w:cstheme="minorHAnsi"/>
        </w:rPr>
        <w:t>ne</w:t>
      </w:r>
      <w:r w:rsidR="001A1844">
        <w:rPr>
          <w:rFonts w:ascii="Calibri" w:hAnsi="Calibri" w:cstheme="minorHAnsi"/>
        </w:rPr>
        <w:t>došlo</w:t>
      </w:r>
      <w:r w:rsidRPr="00F95592">
        <w:rPr>
          <w:rFonts w:ascii="Calibri" w:hAnsi="Calibri" w:cstheme="minorHAnsi"/>
        </w:rPr>
        <w:t xml:space="preserve">. NKÚ v rámci kontrolní akce </w:t>
      </w:r>
      <w:r w:rsidRPr="00F95592">
        <w:rPr>
          <w:rFonts w:ascii="Calibri" w:hAnsi="Calibri"/>
        </w:rPr>
        <w:t xml:space="preserve">č. 11/12 konstatoval, že akce zahájena nebyla a neuspokojivý stav trvá. MV </w:t>
      </w:r>
      <w:r w:rsidRPr="00F95592">
        <w:rPr>
          <w:rFonts w:ascii="Calibri" w:hAnsi="Calibri" w:cstheme="minorHAnsi"/>
        </w:rPr>
        <w:t>se opět v rámci návrhu opatření k odstranění nedostatků</w:t>
      </w:r>
      <w:r w:rsidRPr="006655A8">
        <w:rPr>
          <w:rStyle w:val="Znakapoznpodarou"/>
          <w:rFonts w:asciiTheme="minorHAnsi" w:hAnsiTheme="minorHAnsi" w:cstheme="minorHAnsi"/>
        </w:rPr>
        <w:footnoteReference w:id="24"/>
      </w:r>
      <w:r w:rsidRPr="00F95592">
        <w:rPr>
          <w:rFonts w:ascii="Calibri" w:hAnsi="Calibri" w:cstheme="minorHAnsi"/>
        </w:rPr>
        <w:t xml:space="preserve"> zjištěných kontrolou NKÚ zavázalo</w:t>
      </w:r>
      <w:r w:rsidRPr="00F95592">
        <w:rPr>
          <w:rFonts w:asciiTheme="minorHAnsi" w:eastAsiaTheme="minorHAnsi" w:hAnsiTheme="minorHAnsi" w:cs="Arial"/>
        </w:rPr>
        <w:t xml:space="preserve"> vyčlenit prostředky </w:t>
      </w:r>
      <w:r w:rsidR="00936EA4">
        <w:rPr>
          <w:rFonts w:asciiTheme="minorHAnsi" w:eastAsiaTheme="minorHAnsi" w:hAnsiTheme="minorHAnsi" w:cs="Arial"/>
        </w:rPr>
        <w:t>na</w:t>
      </w:r>
      <w:r w:rsidR="00936EA4" w:rsidRPr="00F95592">
        <w:rPr>
          <w:rFonts w:asciiTheme="minorHAnsi" w:eastAsiaTheme="minorHAnsi" w:hAnsiTheme="minorHAnsi" w:cs="Arial"/>
        </w:rPr>
        <w:t xml:space="preserve"> </w:t>
      </w:r>
      <w:r w:rsidRPr="00F95592">
        <w:rPr>
          <w:rFonts w:asciiTheme="minorHAnsi" w:eastAsiaTheme="minorHAnsi" w:hAnsiTheme="minorHAnsi" w:cs="Arial"/>
        </w:rPr>
        <w:t xml:space="preserve">zahájení </w:t>
      </w:r>
      <w:r w:rsidR="003507D2">
        <w:rPr>
          <w:rFonts w:asciiTheme="minorHAnsi" w:eastAsiaTheme="minorHAnsi" w:hAnsiTheme="minorHAnsi" w:cs="Arial"/>
        </w:rPr>
        <w:t>stavby</w:t>
      </w:r>
      <w:r w:rsidRPr="00F95592">
        <w:rPr>
          <w:rFonts w:asciiTheme="minorHAnsi" w:eastAsiaTheme="minorHAnsi" w:hAnsiTheme="minorHAnsi" w:cs="Arial"/>
        </w:rPr>
        <w:t xml:space="preserve"> v roce 2013. Akce </w:t>
      </w:r>
      <w:r w:rsidR="00936EA4">
        <w:rPr>
          <w:rFonts w:asciiTheme="minorHAnsi" w:eastAsiaTheme="minorHAnsi" w:hAnsiTheme="minorHAnsi" w:cs="Arial"/>
        </w:rPr>
        <w:t>an</w:t>
      </w:r>
      <w:r w:rsidRPr="00F95592">
        <w:rPr>
          <w:rFonts w:asciiTheme="minorHAnsi" w:eastAsiaTheme="minorHAnsi" w:hAnsiTheme="minorHAnsi" w:cs="Arial"/>
        </w:rPr>
        <w:t>i přes znovu deklarovanou prioritu zahájena nebyla</w:t>
      </w:r>
      <w:r w:rsidR="001A1844">
        <w:rPr>
          <w:rFonts w:asciiTheme="minorHAnsi" w:eastAsiaTheme="minorHAnsi" w:hAnsiTheme="minorHAnsi" w:cs="Arial"/>
        </w:rPr>
        <w:t>.</w:t>
      </w:r>
      <w:r w:rsidR="004B4FC0">
        <w:rPr>
          <w:rFonts w:asciiTheme="minorHAnsi" w:eastAsiaTheme="minorHAnsi" w:hAnsiTheme="minorHAnsi" w:cs="Arial"/>
        </w:rPr>
        <w:t xml:space="preserve"> </w:t>
      </w:r>
      <w:r w:rsidR="001A1844">
        <w:rPr>
          <w:rFonts w:asciiTheme="minorHAnsi" w:eastAsiaTheme="minorHAnsi" w:hAnsiTheme="minorHAnsi" w:cs="Arial"/>
        </w:rPr>
        <w:t>V</w:t>
      </w:r>
      <w:r w:rsidR="001A1844" w:rsidRPr="00F95592">
        <w:rPr>
          <w:rFonts w:asciiTheme="minorHAnsi" w:eastAsiaTheme="minorHAnsi" w:hAnsiTheme="minorHAnsi" w:cs="Arial"/>
        </w:rPr>
        <w:t> </w:t>
      </w:r>
      <w:r w:rsidRPr="00F95592">
        <w:rPr>
          <w:rFonts w:asciiTheme="minorHAnsi" w:eastAsiaTheme="minorHAnsi" w:hAnsiTheme="minorHAnsi" w:cs="Arial"/>
        </w:rPr>
        <w:t xml:space="preserve">roce 2015 </w:t>
      </w:r>
      <w:r w:rsidR="004B4FC0">
        <w:rPr>
          <w:rFonts w:asciiTheme="minorHAnsi" w:eastAsiaTheme="minorHAnsi" w:hAnsiTheme="minorHAnsi" w:cs="Arial"/>
        </w:rPr>
        <w:t>ji</w:t>
      </w:r>
      <w:r w:rsidRPr="00F95592">
        <w:rPr>
          <w:rFonts w:asciiTheme="minorHAnsi" w:eastAsiaTheme="minorHAnsi" w:hAnsiTheme="minorHAnsi" w:cs="Arial"/>
        </w:rPr>
        <w:t xml:space="preserve"> MV urč</w:t>
      </w:r>
      <w:r w:rsidR="004B4FC0">
        <w:rPr>
          <w:rFonts w:asciiTheme="minorHAnsi" w:eastAsiaTheme="minorHAnsi" w:hAnsiTheme="minorHAnsi" w:cs="Arial"/>
        </w:rPr>
        <w:t>ilo</w:t>
      </w:r>
      <w:r w:rsidRPr="00F95592">
        <w:rPr>
          <w:rFonts w:asciiTheme="minorHAnsi" w:eastAsiaTheme="minorHAnsi" w:hAnsiTheme="minorHAnsi" w:cs="Arial"/>
        </w:rPr>
        <w:t xml:space="preserve"> jako jeden z cílů programu 014 120. </w:t>
      </w:r>
      <w:r w:rsidRPr="00F95592">
        <w:rPr>
          <w:rFonts w:ascii="Calibri" w:hAnsi="Calibri" w:cstheme="minorHAnsi"/>
          <w:bCs/>
        </w:rPr>
        <w:t xml:space="preserve">V době ukončení kontrolní akce č. 17/07 </w:t>
      </w:r>
      <w:r w:rsidRPr="00F95592">
        <w:rPr>
          <w:rFonts w:ascii="Calibri" w:hAnsi="Calibri"/>
        </w:rPr>
        <w:t xml:space="preserve">se </w:t>
      </w:r>
      <w:r w:rsidR="00C77309">
        <w:rPr>
          <w:rFonts w:ascii="Calibri" w:hAnsi="Calibri"/>
        </w:rPr>
        <w:t>MV</w:t>
      </w:r>
      <w:r w:rsidRPr="00F95592">
        <w:rPr>
          <w:rFonts w:ascii="Calibri" w:hAnsi="Calibri"/>
        </w:rPr>
        <w:t xml:space="preserve"> rozhodoval</w:t>
      </w:r>
      <w:r w:rsidR="00C77309">
        <w:rPr>
          <w:rFonts w:ascii="Calibri" w:hAnsi="Calibri"/>
        </w:rPr>
        <w:t>o</w:t>
      </w:r>
      <w:r w:rsidRPr="00F95592">
        <w:rPr>
          <w:rFonts w:ascii="Calibri" w:hAnsi="Calibri"/>
        </w:rPr>
        <w:t xml:space="preserve"> mezi variantou směny hangáru za nový hangár vystavěný </w:t>
      </w:r>
      <w:r w:rsidRPr="00F95592">
        <w:rPr>
          <w:rStyle w:val="Siln"/>
          <w:rFonts w:ascii="Calibri" w:hAnsi="Calibri"/>
          <w:b w:val="0"/>
        </w:rPr>
        <w:t>externím subjektem a variantou směny hangáru</w:t>
      </w:r>
      <w:r w:rsidRPr="00F95592">
        <w:rPr>
          <w:rStyle w:val="Siln"/>
          <w:rFonts w:ascii="Calibri" w:hAnsi="Calibri"/>
        </w:rPr>
        <w:t xml:space="preserve"> </w:t>
      </w:r>
      <w:r w:rsidRPr="00F95592">
        <w:rPr>
          <w:rFonts w:ascii="Calibri" w:hAnsi="Calibri"/>
        </w:rPr>
        <w:t>za zastavitelný pozemek</w:t>
      </w:r>
      <w:r w:rsidR="00936EA4">
        <w:rPr>
          <w:rFonts w:ascii="Calibri" w:hAnsi="Calibri"/>
        </w:rPr>
        <w:t>, na němž by hangár postavilo samo</w:t>
      </w:r>
      <w:r w:rsidRPr="00F95592">
        <w:rPr>
          <w:rFonts w:ascii="Calibri" w:hAnsi="Calibri"/>
        </w:rPr>
        <w:t xml:space="preserve">. Neuspokojivá situace týkající se výstavby nového hangáru stále trvá. </w:t>
      </w:r>
      <w:r w:rsidRPr="00F95592">
        <w:rPr>
          <w:rFonts w:asciiTheme="minorHAnsi" w:hAnsiTheme="minorHAnsi" w:cstheme="minorHAnsi"/>
        </w:rPr>
        <w:t>Policie</w:t>
      </w:r>
      <w:r w:rsidRPr="00F95592">
        <w:rPr>
          <w:rFonts w:ascii="Calibri" w:hAnsi="Calibri"/>
        </w:rPr>
        <w:t xml:space="preserve"> nemá prostor, který by odpovídal požadovaným technickým a provozním</w:t>
      </w:r>
      <w:r w:rsidR="000D20AF">
        <w:rPr>
          <w:rFonts w:ascii="Calibri" w:hAnsi="Calibri"/>
        </w:rPr>
        <w:t xml:space="preserve"> podmínkám a zároveň splňoval </w:t>
      </w:r>
      <w:r w:rsidRPr="00F95592">
        <w:rPr>
          <w:rFonts w:ascii="Calibri" w:hAnsi="Calibri"/>
        </w:rPr>
        <w:t>vysoké nároky na pracovní prostředí leteckého provozovatele.</w:t>
      </w:r>
    </w:p>
    <w:p w14:paraId="38F27858" w14:textId="77777777" w:rsidR="00B265F1" w:rsidRPr="00F95592" w:rsidRDefault="00B265F1" w:rsidP="003D136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D53B0D9" w14:textId="0395B280" w:rsidR="00BE7995" w:rsidRPr="006F1820" w:rsidRDefault="003723DB" w:rsidP="003D1368">
      <w:pPr>
        <w:pStyle w:val="Odstavecseseznamem"/>
        <w:numPr>
          <w:ilvl w:val="0"/>
          <w:numId w:val="26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Bilance potřeb a zdrojů </w:t>
      </w:r>
      <w:r w:rsidRPr="00BE7995">
        <w:rPr>
          <w:rFonts w:asciiTheme="minorHAnsi" w:hAnsiTheme="minorHAnsi"/>
          <w:b/>
        </w:rPr>
        <w:t>programů 114 110 a 114</w:t>
      </w:r>
      <w:r w:rsidR="004B4FC0">
        <w:rPr>
          <w:rFonts w:asciiTheme="minorHAnsi" w:hAnsiTheme="minorHAnsi"/>
          <w:b/>
        </w:rPr>
        <w:t> </w:t>
      </w:r>
      <w:r w:rsidRPr="00BE7995">
        <w:rPr>
          <w:rFonts w:asciiTheme="minorHAnsi" w:hAnsiTheme="minorHAnsi"/>
          <w:b/>
        </w:rPr>
        <w:t>120</w:t>
      </w:r>
      <w:r>
        <w:rPr>
          <w:rFonts w:asciiTheme="minorHAnsi" w:hAnsiTheme="minorHAnsi"/>
          <w:b/>
        </w:rPr>
        <w:t xml:space="preserve"> </w:t>
      </w:r>
      <w:r w:rsidR="004B4FC0">
        <w:rPr>
          <w:rFonts w:asciiTheme="minorHAnsi" w:hAnsiTheme="minorHAnsi"/>
          <w:b/>
        </w:rPr>
        <w:t xml:space="preserve">MV </w:t>
      </w:r>
      <w:r w:rsidR="00101E07">
        <w:rPr>
          <w:rFonts w:asciiTheme="minorHAnsi" w:hAnsiTheme="minorHAnsi"/>
          <w:b/>
        </w:rPr>
        <w:t>ne</w:t>
      </w:r>
      <w:r>
        <w:rPr>
          <w:rFonts w:asciiTheme="minorHAnsi" w:hAnsiTheme="minorHAnsi"/>
          <w:b/>
        </w:rPr>
        <w:t xml:space="preserve">sestavilo </w:t>
      </w:r>
      <w:r w:rsidR="00101E07">
        <w:rPr>
          <w:rFonts w:asciiTheme="minorHAnsi" w:hAnsiTheme="minorHAnsi"/>
          <w:b/>
        </w:rPr>
        <w:t xml:space="preserve">dle </w:t>
      </w:r>
      <w:r w:rsidR="00101E07" w:rsidRPr="00D60F7F">
        <w:rPr>
          <w:rFonts w:asciiTheme="minorHAnsi" w:hAnsiTheme="minorHAnsi"/>
          <w:b/>
        </w:rPr>
        <w:t xml:space="preserve">skutečných potřeb </w:t>
      </w:r>
      <w:r w:rsidR="00101E07" w:rsidRPr="00D60F7F">
        <w:rPr>
          <w:rFonts w:asciiTheme="minorHAnsi" w:hAnsiTheme="minorHAnsi" w:cstheme="minorHAnsi"/>
          <w:b/>
        </w:rPr>
        <w:t>Policie</w:t>
      </w:r>
      <w:r w:rsidR="00F162B2">
        <w:rPr>
          <w:rFonts w:asciiTheme="minorHAnsi" w:hAnsiTheme="minorHAnsi" w:cstheme="minorHAnsi"/>
          <w:b/>
        </w:rPr>
        <w:t>,</w:t>
      </w:r>
      <w:r w:rsidR="003D79EB">
        <w:rPr>
          <w:rFonts w:asciiTheme="minorHAnsi" w:hAnsiTheme="minorHAnsi" w:cstheme="minorHAnsi"/>
          <w:b/>
        </w:rPr>
        <w:t xml:space="preserve"> popř. dle </w:t>
      </w:r>
      <w:r w:rsidR="00DE4A10">
        <w:rPr>
          <w:rFonts w:asciiTheme="minorHAnsi" w:hAnsiTheme="minorHAnsi" w:cstheme="minorHAnsi"/>
          <w:b/>
        </w:rPr>
        <w:t>střednědobých výhledů</w:t>
      </w:r>
      <w:r w:rsidR="00F162B2">
        <w:rPr>
          <w:rFonts w:asciiTheme="minorHAnsi" w:hAnsiTheme="minorHAnsi" w:cstheme="minorHAnsi"/>
          <w:b/>
        </w:rPr>
        <w:t>,</w:t>
      </w:r>
      <w:r w:rsidR="00DE4A10">
        <w:rPr>
          <w:rFonts w:asciiTheme="minorHAnsi" w:hAnsiTheme="minorHAnsi" w:cstheme="minorHAnsi"/>
          <w:b/>
        </w:rPr>
        <w:t xml:space="preserve"> a </w:t>
      </w:r>
      <w:r w:rsidR="003D79EB">
        <w:rPr>
          <w:rFonts w:asciiTheme="minorHAnsi" w:hAnsiTheme="minorHAnsi" w:cstheme="minorHAnsi"/>
          <w:b/>
        </w:rPr>
        <w:t xml:space="preserve">následně dle </w:t>
      </w:r>
      <w:r w:rsidR="00101E07" w:rsidRPr="00BE7995">
        <w:rPr>
          <w:rFonts w:asciiTheme="minorHAnsi" w:hAnsiTheme="minorHAnsi"/>
          <w:b/>
        </w:rPr>
        <w:t>reálných finančních možností resortu</w:t>
      </w:r>
      <w:r w:rsidR="00101E07">
        <w:rPr>
          <w:rFonts w:asciiTheme="minorHAnsi" w:hAnsiTheme="minorHAnsi"/>
          <w:b/>
        </w:rPr>
        <w:t xml:space="preserve">. </w:t>
      </w:r>
      <w:r w:rsidR="00BE7995" w:rsidRPr="00101E07">
        <w:rPr>
          <w:rFonts w:asciiTheme="minorHAnsi" w:hAnsiTheme="minorHAnsi"/>
          <w:b/>
        </w:rPr>
        <w:t xml:space="preserve">Následně prováděné aktualizace </w:t>
      </w:r>
      <w:r w:rsidR="00101E07" w:rsidRPr="00101E07">
        <w:rPr>
          <w:rFonts w:asciiTheme="minorHAnsi" w:hAnsiTheme="minorHAnsi"/>
          <w:b/>
        </w:rPr>
        <w:t>tak</w:t>
      </w:r>
      <w:r w:rsidR="00BE7995" w:rsidRPr="00101E07">
        <w:rPr>
          <w:rFonts w:asciiTheme="minorHAnsi" w:hAnsiTheme="minorHAnsi"/>
          <w:b/>
        </w:rPr>
        <w:t xml:space="preserve"> </w:t>
      </w:r>
      <w:r w:rsidR="00720B2F" w:rsidRPr="00101E07">
        <w:rPr>
          <w:rFonts w:asciiTheme="minorHAnsi" w:hAnsiTheme="minorHAnsi"/>
          <w:b/>
        </w:rPr>
        <w:t>měnily</w:t>
      </w:r>
      <w:r w:rsidR="00BE7995" w:rsidRPr="00101E07">
        <w:rPr>
          <w:rFonts w:asciiTheme="minorHAnsi" w:hAnsiTheme="minorHAnsi"/>
          <w:b/>
        </w:rPr>
        <w:t xml:space="preserve"> cíle program</w:t>
      </w:r>
      <w:r w:rsidR="00306D30" w:rsidRPr="00101E07">
        <w:rPr>
          <w:rFonts w:asciiTheme="minorHAnsi" w:hAnsiTheme="minorHAnsi"/>
          <w:b/>
        </w:rPr>
        <w:t>ů</w:t>
      </w:r>
      <w:r w:rsidR="007B4548">
        <w:rPr>
          <w:rFonts w:asciiTheme="minorHAnsi" w:hAnsiTheme="minorHAnsi"/>
          <w:b/>
        </w:rPr>
        <w:t xml:space="preserve"> v </w:t>
      </w:r>
      <w:r w:rsidR="00720B2F" w:rsidRPr="00101E07">
        <w:rPr>
          <w:rFonts w:asciiTheme="minorHAnsi" w:hAnsiTheme="minorHAnsi"/>
          <w:b/>
        </w:rPr>
        <w:t>návaznosti</w:t>
      </w:r>
      <w:r w:rsidR="00BE7995" w:rsidRPr="00101E07">
        <w:rPr>
          <w:rFonts w:asciiTheme="minorHAnsi" w:hAnsiTheme="minorHAnsi"/>
          <w:b/>
        </w:rPr>
        <w:t xml:space="preserve"> </w:t>
      </w:r>
      <w:r w:rsidR="00720B2F" w:rsidRPr="00101E07">
        <w:rPr>
          <w:rFonts w:asciiTheme="minorHAnsi" w:hAnsiTheme="minorHAnsi"/>
          <w:b/>
        </w:rPr>
        <w:t>na realizované akce</w:t>
      </w:r>
      <w:r w:rsidR="00BE7995" w:rsidRPr="00101E07">
        <w:rPr>
          <w:rFonts w:asciiTheme="minorHAnsi" w:hAnsiTheme="minorHAnsi"/>
          <w:b/>
        </w:rPr>
        <w:t xml:space="preserve"> a výši skutečného čerpání uplynulých let. Cíle (parametry) programů vymezilo </w:t>
      </w:r>
      <w:r w:rsidR="00C3430B" w:rsidRPr="00101E07">
        <w:rPr>
          <w:rFonts w:asciiTheme="minorHAnsi" w:hAnsiTheme="minorHAnsi"/>
          <w:b/>
        </w:rPr>
        <w:t xml:space="preserve">MV </w:t>
      </w:r>
      <w:r w:rsidR="00BE7995" w:rsidRPr="00101E07">
        <w:rPr>
          <w:rFonts w:asciiTheme="minorHAnsi" w:hAnsiTheme="minorHAnsi"/>
          <w:b/>
        </w:rPr>
        <w:t>měřitelně. J</w:t>
      </w:r>
      <w:r w:rsidR="00BE7995" w:rsidRPr="00101E07">
        <w:rPr>
          <w:rFonts w:ascii="Calibri" w:hAnsi="Calibri"/>
          <w:b/>
        </w:rPr>
        <w:t xml:space="preserve">ednotkové ceny </w:t>
      </w:r>
      <w:r w:rsidR="00BE7995" w:rsidRPr="00101E07">
        <w:rPr>
          <w:rFonts w:ascii="Calibri" w:hAnsi="Calibri" w:cstheme="minorHAnsi"/>
          <w:b/>
        </w:rPr>
        <w:t>ale nebyly kritérie</w:t>
      </w:r>
      <w:r w:rsidR="00D3691A">
        <w:rPr>
          <w:rFonts w:ascii="Calibri" w:hAnsi="Calibri" w:cstheme="minorHAnsi"/>
          <w:b/>
        </w:rPr>
        <w:t>m pro posouzení hospodárnosti</w:t>
      </w:r>
      <w:r w:rsidR="005740C8">
        <w:rPr>
          <w:rFonts w:ascii="Calibri" w:hAnsi="Calibri" w:cstheme="minorHAnsi"/>
          <w:b/>
        </w:rPr>
        <w:t xml:space="preserve"> a </w:t>
      </w:r>
      <w:r w:rsidR="00D3691A">
        <w:rPr>
          <w:rFonts w:ascii="Calibri" w:hAnsi="Calibri" w:cstheme="minorHAnsi"/>
          <w:b/>
        </w:rPr>
        <w:t xml:space="preserve">efektivnosti </w:t>
      </w:r>
      <w:r w:rsidR="00BE7995" w:rsidRPr="00101E07">
        <w:rPr>
          <w:rFonts w:ascii="Calibri" w:hAnsi="Calibri" w:cstheme="minorHAnsi"/>
          <w:b/>
        </w:rPr>
        <w:t xml:space="preserve">vynakládání prostředků programů, neboť se </w:t>
      </w:r>
      <w:r w:rsidR="000739AF">
        <w:rPr>
          <w:rFonts w:ascii="Calibri" w:hAnsi="Calibri" w:cstheme="minorHAnsi"/>
          <w:b/>
        </w:rPr>
        <w:t xml:space="preserve">mimo jiné </w:t>
      </w:r>
      <w:r w:rsidR="00BE7995" w:rsidRPr="00101E07">
        <w:rPr>
          <w:rFonts w:ascii="Calibri" w:hAnsi="Calibri" w:cstheme="minorHAnsi"/>
          <w:b/>
        </w:rPr>
        <w:t>jednalo</w:t>
      </w:r>
      <w:r w:rsidR="005740C8">
        <w:rPr>
          <w:rFonts w:ascii="Calibri" w:hAnsi="Calibri"/>
          <w:b/>
        </w:rPr>
        <w:t xml:space="preserve"> o </w:t>
      </w:r>
      <w:r w:rsidR="00BE7995" w:rsidRPr="00101E07">
        <w:rPr>
          <w:rFonts w:ascii="Calibri" w:hAnsi="Calibri"/>
          <w:b/>
        </w:rPr>
        <w:t xml:space="preserve">průměrnou cenu všech druhů majetku, které byly v daném parametru zahrnuty. </w:t>
      </w:r>
      <w:r w:rsidR="00FB2EF5">
        <w:rPr>
          <w:rFonts w:ascii="Calibri" w:hAnsi="Calibri" w:cstheme="minorHAnsi"/>
          <w:b/>
        </w:rPr>
        <w:t xml:space="preserve">MV zároveň jednotkové ceny </w:t>
      </w:r>
      <w:r w:rsidR="00FB2EF5" w:rsidRPr="00A46326">
        <w:rPr>
          <w:rFonts w:ascii="Calibri" w:hAnsi="Calibri" w:cstheme="minorHAnsi"/>
          <w:b/>
        </w:rPr>
        <w:t xml:space="preserve">při </w:t>
      </w:r>
      <w:r w:rsidR="007B4548">
        <w:rPr>
          <w:rFonts w:ascii="Calibri" w:hAnsi="Calibri" w:cstheme="minorHAnsi"/>
          <w:b/>
        </w:rPr>
        <w:t>realizaci akcí nesledovalo a </w:t>
      </w:r>
      <w:r w:rsidR="00FB2EF5">
        <w:rPr>
          <w:rFonts w:ascii="Calibri" w:hAnsi="Calibri" w:cstheme="minorHAnsi"/>
          <w:b/>
        </w:rPr>
        <w:t>nevyhodnocovalo.</w:t>
      </w:r>
    </w:p>
    <w:p w14:paraId="62410E83" w14:textId="77777777" w:rsidR="006F1820" w:rsidRPr="006F1820" w:rsidRDefault="006F1820" w:rsidP="006F1820">
      <w:pPr>
        <w:jc w:val="both"/>
        <w:rPr>
          <w:rFonts w:asciiTheme="minorHAnsi" w:hAnsiTheme="minorHAnsi"/>
          <w:b/>
        </w:rPr>
      </w:pPr>
    </w:p>
    <w:p w14:paraId="0EB469F3" w14:textId="42E911B5" w:rsidR="00310EED" w:rsidRDefault="00EB694F" w:rsidP="007659C9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Dokumentace programu</w:t>
      </w:r>
      <w:r w:rsidR="008171B5">
        <w:rPr>
          <w:rFonts w:asciiTheme="minorHAnsi" w:hAnsiTheme="minorHAnsi"/>
        </w:rPr>
        <w:t xml:space="preserve"> </w:t>
      </w:r>
      <w:r w:rsidR="007659C9">
        <w:rPr>
          <w:rFonts w:asciiTheme="minorHAnsi" w:hAnsiTheme="minorHAnsi"/>
        </w:rPr>
        <w:t>má</w:t>
      </w:r>
      <w:r w:rsidR="00CC4E25">
        <w:rPr>
          <w:rFonts w:asciiTheme="minorHAnsi" w:hAnsiTheme="minorHAnsi"/>
        </w:rPr>
        <w:t xml:space="preserve"> obsahovat </w:t>
      </w:r>
      <w:r w:rsidR="008171B5" w:rsidRPr="000B3D93">
        <w:rPr>
          <w:rFonts w:asciiTheme="minorHAnsi" w:hAnsiTheme="minorHAnsi"/>
        </w:rPr>
        <w:t>identifikační údaje</w:t>
      </w:r>
      <w:r w:rsidR="00A81A5F">
        <w:rPr>
          <w:rFonts w:asciiTheme="minorHAnsi" w:hAnsiTheme="minorHAnsi"/>
        </w:rPr>
        <w:t xml:space="preserve">, </w:t>
      </w:r>
      <w:r w:rsidR="008171B5" w:rsidRPr="000B3D93">
        <w:rPr>
          <w:rFonts w:asciiTheme="minorHAnsi" w:hAnsiTheme="minorHAnsi"/>
        </w:rPr>
        <w:t>případné členění na podprogramy a harmono</w:t>
      </w:r>
      <w:r w:rsidR="008171B5">
        <w:rPr>
          <w:rFonts w:asciiTheme="minorHAnsi" w:hAnsiTheme="minorHAnsi"/>
        </w:rPr>
        <w:t xml:space="preserve">gram přípravy a realizace, </w:t>
      </w:r>
      <w:r w:rsidR="008171B5" w:rsidRPr="000B3D93">
        <w:rPr>
          <w:rFonts w:asciiTheme="minorHAnsi" w:hAnsiTheme="minorHAnsi"/>
        </w:rPr>
        <w:t>bilanci potřeb a zdrojů financování a</w:t>
      </w:r>
      <w:r w:rsidR="008171B5">
        <w:rPr>
          <w:rFonts w:asciiTheme="minorHAnsi" w:hAnsiTheme="minorHAnsi"/>
        </w:rPr>
        <w:t xml:space="preserve"> </w:t>
      </w:r>
      <w:r w:rsidR="008171B5" w:rsidRPr="000B3D93">
        <w:rPr>
          <w:rFonts w:asciiTheme="minorHAnsi" w:hAnsiTheme="minorHAnsi"/>
        </w:rPr>
        <w:t xml:space="preserve">specifikaci cílů spolu s jejich </w:t>
      </w:r>
      <w:r w:rsidR="00FB5DF0" w:rsidRPr="000B3D93">
        <w:rPr>
          <w:rFonts w:asciiTheme="minorHAnsi" w:hAnsiTheme="minorHAnsi"/>
        </w:rPr>
        <w:t>technicko</w:t>
      </w:r>
      <w:r w:rsidR="00FB5DF0">
        <w:rPr>
          <w:rFonts w:asciiTheme="minorHAnsi" w:hAnsiTheme="minorHAnsi"/>
        </w:rPr>
        <w:t>e</w:t>
      </w:r>
      <w:r w:rsidR="00FB5DF0" w:rsidRPr="000B3D93">
        <w:rPr>
          <w:rFonts w:asciiTheme="minorHAnsi" w:hAnsiTheme="minorHAnsi"/>
        </w:rPr>
        <w:t>konomickým</w:t>
      </w:r>
      <w:r w:rsidR="008171B5" w:rsidRPr="000B3D93">
        <w:rPr>
          <w:rFonts w:asciiTheme="minorHAnsi" w:hAnsiTheme="minorHAnsi"/>
        </w:rPr>
        <w:t xml:space="preserve"> zdůvodněním a vyhodnocením efektivnosti vynaložených finančních </w:t>
      </w:r>
      <w:proofErr w:type="gramStart"/>
      <w:r w:rsidR="008171B5" w:rsidRPr="000B3D93">
        <w:rPr>
          <w:rFonts w:asciiTheme="minorHAnsi" w:hAnsiTheme="minorHAnsi"/>
        </w:rPr>
        <w:t>prostředků</w:t>
      </w:r>
      <w:r w:rsidR="00F162B2">
        <w:rPr>
          <w:rFonts w:asciiTheme="minorHAnsi" w:hAnsiTheme="minorHAnsi"/>
        </w:rPr>
        <w:t>.</w:t>
      </w:r>
      <w:r w:rsidR="00BE3246">
        <w:rPr>
          <w:rFonts w:asciiTheme="minorHAnsi" w:hAnsiTheme="minorHAnsi"/>
          <w:vertAlign w:val="superscript"/>
        </w:rPr>
        <w:t>5</w:t>
      </w:r>
      <w:r w:rsidR="00925A4B">
        <w:rPr>
          <w:rFonts w:asciiTheme="minorHAnsi" w:hAnsiTheme="minorHAnsi"/>
        </w:rPr>
        <w:t xml:space="preserve"> </w:t>
      </w:r>
      <w:r w:rsidR="007659C9">
        <w:rPr>
          <w:rFonts w:asciiTheme="minorHAnsi" w:hAnsiTheme="minorHAnsi"/>
          <w:iCs/>
        </w:rPr>
        <w:t>Parametr</w:t>
      </w:r>
      <w:proofErr w:type="gramEnd"/>
      <w:r w:rsidR="007659C9">
        <w:rPr>
          <w:rFonts w:asciiTheme="minorHAnsi" w:hAnsiTheme="minorHAnsi"/>
          <w:iCs/>
        </w:rPr>
        <w:t xml:space="preserve"> je </w:t>
      </w:r>
      <w:r w:rsidR="007659C9">
        <w:rPr>
          <w:rFonts w:asciiTheme="minorHAnsi" w:hAnsiTheme="minorHAnsi"/>
        </w:rPr>
        <w:t xml:space="preserve">kvalitativní ukazatel, který specifikuje </w:t>
      </w:r>
      <w:r w:rsidR="007659C9" w:rsidRPr="000B3D93">
        <w:rPr>
          <w:rFonts w:asciiTheme="minorHAnsi" w:hAnsiTheme="minorHAnsi"/>
        </w:rPr>
        <w:t>konkrétní cíl nebo efektivnost</w:t>
      </w:r>
      <w:r w:rsidR="007659C9">
        <w:rPr>
          <w:rFonts w:asciiTheme="minorHAnsi" w:hAnsiTheme="minorHAnsi"/>
        </w:rPr>
        <w:t>.</w:t>
      </w:r>
      <w:r w:rsidR="007659C9">
        <w:rPr>
          <w:rFonts w:asciiTheme="minorHAnsi" w:hAnsiTheme="minorHAnsi" w:cstheme="minorHAnsi"/>
        </w:rPr>
        <w:t xml:space="preserve"> </w:t>
      </w:r>
    </w:p>
    <w:p w14:paraId="3A513F28" w14:textId="4C7AC0C1" w:rsidR="006346FD" w:rsidRPr="002C25D9" w:rsidRDefault="00A81A5F" w:rsidP="00A81A5F">
      <w:pPr>
        <w:shd w:val="clear" w:color="auto" w:fill="FFFFFF"/>
        <w:spacing w:after="120"/>
        <w:jc w:val="both"/>
        <w:rPr>
          <w:rFonts w:asciiTheme="minorHAnsi" w:hAnsiTheme="minorHAnsi"/>
        </w:rPr>
      </w:pPr>
      <w:r w:rsidRPr="002C25D9">
        <w:rPr>
          <w:rFonts w:asciiTheme="minorHAnsi" w:hAnsiTheme="minorHAnsi" w:cs="Arial"/>
        </w:rPr>
        <w:t>Bilanc</w:t>
      </w:r>
      <w:r w:rsidR="002A29F6" w:rsidRPr="002C25D9">
        <w:rPr>
          <w:rFonts w:asciiTheme="minorHAnsi" w:hAnsiTheme="minorHAnsi" w:cs="Arial"/>
        </w:rPr>
        <w:t>i</w:t>
      </w:r>
      <w:r w:rsidRPr="00AC7865">
        <w:rPr>
          <w:rFonts w:asciiTheme="minorHAnsi" w:hAnsiTheme="minorHAnsi"/>
        </w:rPr>
        <w:t xml:space="preserve"> potřeb a zdrojů programu 114 120 (obdobně platí i pro program 114 110) </w:t>
      </w:r>
      <w:r w:rsidR="002A29F6" w:rsidRPr="00AC7865">
        <w:rPr>
          <w:rFonts w:asciiTheme="minorHAnsi" w:hAnsiTheme="minorHAnsi" w:cs="Arial"/>
        </w:rPr>
        <w:t>MV</w:t>
      </w:r>
      <w:r w:rsidR="00E45CCE" w:rsidRPr="002C25D9">
        <w:rPr>
          <w:rFonts w:asciiTheme="minorHAnsi" w:hAnsiTheme="minorHAnsi" w:cs="Arial"/>
        </w:rPr>
        <w:t xml:space="preserve"> sestavilo</w:t>
      </w:r>
      <w:r w:rsidR="002A29F6" w:rsidRPr="002C25D9">
        <w:rPr>
          <w:rFonts w:asciiTheme="minorHAnsi" w:hAnsiTheme="minorHAnsi" w:cs="Arial"/>
        </w:rPr>
        <w:t xml:space="preserve"> </w:t>
      </w:r>
      <w:r w:rsidRPr="002C25D9">
        <w:rPr>
          <w:rFonts w:asciiTheme="minorHAnsi" w:hAnsiTheme="minorHAnsi"/>
        </w:rPr>
        <w:t xml:space="preserve">na </w:t>
      </w:r>
      <w:r w:rsidRPr="002C25D9">
        <w:rPr>
          <w:rFonts w:asciiTheme="minorHAnsi" w:hAnsiTheme="minorHAnsi" w:cs="Arial"/>
        </w:rPr>
        <w:t>roky</w:t>
      </w:r>
      <w:r w:rsidRPr="002C25D9">
        <w:rPr>
          <w:rFonts w:asciiTheme="minorHAnsi" w:hAnsiTheme="minorHAnsi"/>
        </w:rPr>
        <w:t xml:space="preserve"> 2013</w:t>
      </w:r>
      <w:r w:rsidR="005C7CF2" w:rsidRPr="002C25D9">
        <w:rPr>
          <w:rFonts w:asciiTheme="minorHAnsi" w:hAnsiTheme="minorHAnsi"/>
        </w:rPr>
        <w:t xml:space="preserve"> </w:t>
      </w:r>
      <w:r w:rsidR="002D1B32" w:rsidRPr="002C25D9">
        <w:rPr>
          <w:rFonts w:asciiTheme="minorHAnsi" w:hAnsiTheme="minorHAnsi" w:cs="Arial"/>
        </w:rPr>
        <w:t>až</w:t>
      </w:r>
      <w:r w:rsidR="005C7CF2" w:rsidRPr="002C25D9">
        <w:rPr>
          <w:rFonts w:asciiTheme="minorHAnsi" w:hAnsiTheme="minorHAnsi" w:cs="Arial"/>
        </w:rPr>
        <w:t xml:space="preserve"> </w:t>
      </w:r>
      <w:r w:rsidRPr="002C25D9">
        <w:rPr>
          <w:rFonts w:asciiTheme="minorHAnsi" w:hAnsiTheme="minorHAnsi"/>
        </w:rPr>
        <w:t>2015 dle střednědobého výhledu</w:t>
      </w:r>
      <w:r w:rsidR="008C73F2" w:rsidRPr="002C25D9">
        <w:rPr>
          <w:rFonts w:asciiTheme="minorHAnsi" w:hAnsiTheme="minorHAnsi"/>
        </w:rPr>
        <w:t xml:space="preserve">. </w:t>
      </w:r>
      <w:r w:rsidR="003723DB" w:rsidRPr="002C25D9">
        <w:rPr>
          <w:rFonts w:asciiTheme="minorHAnsi" w:hAnsiTheme="minorHAnsi"/>
        </w:rPr>
        <w:t>Bilance</w:t>
      </w:r>
      <w:r w:rsidR="003723DB" w:rsidRPr="002C25D9">
        <w:rPr>
          <w:rFonts w:asciiTheme="minorHAnsi" w:hAnsiTheme="minorHAnsi" w:cs="Arial"/>
        </w:rPr>
        <w:t xml:space="preserve"> </w:t>
      </w:r>
      <w:r w:rsidR="003723DB" w:rsidRPr="002C25D9">
        <w:rPr>
          <w:rFonts w:asciiTheme="minorHAnsi" w:hAnsiTheme="minorHAnsi"/>
        </w:rPr>
        <w:t xml:space="preserve">na </w:t>
      </w:r>
      <w:r w:rsidR="003723DB" w:rsidRPr="002C25D9">
        <w:rPr>
          <w:rFonts w:asciiTheme="minorHAnsi" w:hAnsiTheme="minorHAnsi" w:cs="Arial"/>
        </w:rPr>
        <w:t>roky</w:t>
      </w:r>
      <w:r w:rsidR="003723DB" w:rsidRPr="002C25D9">
        <w:rPr>
          <w:rFonts w:asciiTheme="minorHAnsi" w:hAnsiTheme="minorHAnsi"/>
        </w:rPr>
        <w:t xml:space="preserve"> 2016 </w:t>
      </w:r>
      <w:r w:rsidR="003723DB" w:rsidRPr="002C25D9">
        <w:rPr>
          <w:rFonts w:asciiTheme="minorHAnsi" w:hAnsiTheme="minorHAnsi" w:cs="Arial"/>
        </w:rPr>
        <w:t xml:space="preserve">až </w:t>
      </w:r>
      <w:r w:rsidR="003723DB" w:rsidRPr="002C25D9">
        <w:rPr>
          <w:rFonts w:asciiTheme="minorHAnsi" w:hAnsiTheme="minorHAnsi"/>
        </w:rPr>
        <w:t>2017</w:t>
      </w:r>
      <w:r w:rsidR="003723DB" w:rsidRPr="003D1368">
        <w:rPr>
          <w:rFonts w:asciiTheme="minorHAnsi" w:hAnsiTheme="minorHAnsi"/>
        </w:rPr>
        <w:t xml:space="preserve"> vyjadřovala v porovnání s prostředky poskytnutými v minulých letech nereálné požadavky.</w:t>
      </w:r>
      <w:r w:rsidR="003723DB" w:rsidRPr="002C25D9">
        <w:rPr>
          <w:rFonts w:asciiTheme="minorHAnsi" w:hAnsiTheme="minorHAnsi"/>
        </w:rPr>
        <w:t xml:space="preserve"> </w:t>
      </w:r>
      <w:r w:rsidRPr="003D1368">
        <w:rPr>
          <w:rFonts w:asciiTheme="minorHAnsi" w:hAnsiTheme="minorHAnsi"/>
        </w:rPr>
        <w:t xml:space="preserve">Skutečně schválený rozpočet se </w:t>
      </w:r>
      <w:r w:rsidR="003723DB" w:rsidRPr="003D1368">
        <w:rPr>
          <w:rFonts w:asciiTheme="minorHAnsi" w:hAnsiTheme="minorHAnsi"/>
        </w:rPr>
        <w:t xml:space="preserve">tak </w:t>
      </w:r>
      <w:r w:rsidRPr="003D1368">
        <w:rPr>
          <w:rFonts w:asciiTheme="minorHAnsi" w:hAnsiTheme="minorHAnsi"/>
        </w:rPr>
        <w:t>od plánu uvedeného v </w:t>
      </w:r>
      <w:r w:rsidR="00EB694F" w:rsidRPr="002C25D9">
        <w:rPr>
          <w:rFonts w:asciiTheme="minorHAnsi" w:hAnsiTheme="minorHAnsi"/>
        </w:rPr>
        <w:t>dokumentaci programu</w:t>
      </w:r>
      <w:r w:rsidR="003723DB" w:rsidRPr="003D1368">
        <w:rPr>
          <w:rFonts w:asciiTheme="minorHAnsi" w:hAnsiTheme="minorHAnsi"/>
        </w:rPr>
        <w:t xml:space="preserve"> 114 120 výrazně liší (tabulka č. 4).</w:t>
      </w:r>
    </w:p>
    <w:p w14:paraId="59F0BDFE" w14:textId="4E1B4C50" w:rsidR="00925A4B" w:rsidRDefault="00925A4B" w:rsidP="003D1368">
      <w:pPr>
        <w:pStyle w:val="Titulek"/>
        <w:keepNext/>
        <w:spacing w:after="0"/>
        <w:ind w:left="1304" w:hanging="1304"/>
        <w:rPr>
          <w:rFonts w:asciiTheme="minorHAnsi" w:hAnsiTheme="minorHAnsi" w:cs="Arial"/>
          <w:b/>
          <w:i w:val="0"/>
          <w:iCs w:val="0"/>
          <w:color w:val="auto"/>
          <w:sz w:val="24"/>
          <w:szCs w:val="24"/>
          <w:lang w:eastAsia="cs-CZ"/>
        </w:rPr>
      </w:pPr>
      <w:r w:rsidRPr="00EA5155">
        <w:rPr>
          <w:rFonts w:asciiTheme="minorHAnsi" w:hAnsiTheme="minorHAnsi" w:cs="Arial"/>
          <w:b/>
          <w:i w:val="0"/>
          <w:iCs w:val="0"/>
          <w:color w:val="auto"/>
          <w:sz w:val="24"/>
          <w:szCs w:val="24"/>
          <w:lang w:eastAsia="cs-CZ"/>
        </w:rPr>
        <w:t>Tabulka č</w:t>
      </w:r>
      <w:r>
        <w:rPr>
          <w:rFonts w:asciiTheme="minorHAnsi" w:hAnsiTheme="minorHAnsi" w:cs="Arial"/>
          <w:b/>
          <w:i w:val="0"/>
          <w:iCs w:val="0"/>
          <w:color w:val="auto"/>
          <w:sz w:val="24"/>
          <w:szCs w:val="24"/>
          <w:lang w:eastAsia="cs-CZ"/>
        </w:rPr>
        <w:t>. 4:</w:t>
      </w:r>
      <w:r w:rsidRPr="00EA5155">
        <w:rPr>
          <w:rFonts w:asciiTheme="minorHAnsi" w:hAnsiTheme="minorHAnsi" w:cs="Arial"/>
          <w:b/>
          <w:i w:val="0"/>
          <w:iCs w:val="0"/>
          <w:color w:val="auto"/>
          <w:sz w:val="24"/>
          <w:szCs w:val="24"/>
          <w:lang w:eastAsia="cs-CZ"/>
        </w:rPr>
        <w:t xml:space="preserve"> </w:t>
      </w:r>
      <w:r w:rsidR="006A374F">
        <w:rPr>
          <w:rFonts w:asciiTheme="minorHAnsi" w:hAnsiTheme="minorHAnsi" w:cs="Arial"/>
          <w:b/>
          <w:i w:val="0"/>
          <w:iCs w:val="0"/>
          <w:color w:val="auto"/>
          <w:sz w:val="24"/>
          <w:szCs w:val="24"/>
          <w:lang w:eastAsia="cs-CZ"/>
        </w:rPr>
        <w:tab/>
      </w:r>
      <w:r w:rsidRPr="00EA5155">
        <w:rPr>
          <w:rFonts w:asciiTheme="minorHAnsi" w:hAnsiTheme="minorHAnsi" w:cs="Arial"/>
          <w:b/>
          <w:i w:val="0"/>
          <w:iCs w:val="0"/>
          <w:color w:val="auto"/>
          <w:sz w:val="24"/>
          <w:szCs w:val="24"/>
          <w:lang w:eastAsia="cs-CZ"/>
        </w:rPr>
        <w:t xml:space="preserve">Porovnání </w:t>
      </w:r>
      <w:r w:rsidR="00F162B2" w:rsidRPr="00EA5155">
        <w:rPr>
          <w:rFonts w:asciiTheme="minorHAnsi" w:hAnsiTheme="minorHAnsi" w:cs="Arial"/>
          <w:b/>
          <w:i w:val="0"/>
          <w:iCs w:val="0"/>
          <w:color w:val="auto"/>
          <w:sz w:val="24"/>
          <w:szCs w:val="24"/>
          <w:lang w:eastAsia="cs-CZ"/>
        </w:rPr>
        <w:t>schváleného rozpočtu programu 114</w:t>
      </w:r>
      <w:r w:rsidR="00F162B2">
        <w:rPr>
          <w:rFonts w:asciiTheme="minorHAnsi" w:hAnsiTheme="minorHAnsi" w:cs="Arial"/>
          <w:b/>
          <w:i w:val="0"/>
          <w:iCs w:val="0"/>
          <w:color w:val="auto"/>
          <w:sz w:val="24"/>
          <w:szCs w:val="24"/>
          <w:lang w:eastAsia="cs-CZ"/>
        </w:rPr>
        <w:t> </w:t>
      </w:r>
      <w:r w:rsidR="00F162B2" w:rsidRPr="00EA5155">
        <w:rPr>
          <w:rFonts w:asciiTheme="minorHAnsi" w:hAnsiTheme="minorHAnsi" w:cs="Arial"/>
          <w:b/>
          <w:i w:val="0"/>
          <w:iCs w:val="0"/>
          <w:color w:val="auto"/>
          <w:sz w:val="24"/>
          <w:szCs w:val="24"/>
          <w:lang w:eastAsia="cs-CZ"/>
        </w:rPr>
        <w:t>120</w:t>
      </w:r>
      <w:r w:rsidR="00F162B2">
        <w:rPr>
          <w:rFonts w:asciiTheme="minorHAnsi" w:hAnsiTheme="minorHAnsi" w:cs="Arial"/>
          <w:b/>
          <w:i w:val="0"/>
          <w:iCs w:val="0"/>
          <w:color w:val="auto"/>
          <w:sz w:val="24"/>
          <w:szCs w:val="24"/>
          <w:lang w:eastAsia="cs-CZ"/>
        </w:rPr>
        <w:t xml:space="preserve"> a </w:t>
      </w:r>
      <w:r w:rsidR="00F162B2" w:rsidRPr="00EA5155">
        <w:rPr>
          <w:rFonts w:asciiTheme="minorHAnsi" w:hAnsiTheme="minorHAnsi" w:cs="Arial"/>
          <w:b/>
          <w:i w:val="0"/>
          <w:iCs w:val="0"/>
          <w:color w:val="auto"/>
          <w:sz w:val="24"/>
          <w:szCs w:val="24"/>
          <w:lang w:eastAsia="cs-CZ"/>
        </w:rPr>
        <w:t xml:space="preserve">rozpočtu </w:t>
      </w:r>
      <w:r w:rsidRPr="00EA5155">
        <w:rPr>
          <w:rFonts w:asciiTheme="minorHAnsi" w:hAnsiTheme="minorHAnsi" w:cs="Arial"/>
          <w:b/>
          <w:i w:val="0"/>
          <w:iCs w:val="0"/>
          <w:color w:val="auto"/>
          <w:sz w:val="24"/>
          <w:szCs w:val="24"/>
          <w:lang w:eastAsia="cs-CZ"/>
        </w:rPr>
        <w:t xml:space="preserve">dle </w:t>
      </w:r>
      <w:r w:rsidR="00EB694F" w:rsidRPr="00EB694F">
        <w:rPr>
          <w:rFonts w:asciiTheme="minorHAnsi" w:hAnsiTheme="minorHAnsi" w:cs="Arial"/>
          <w:b/>
          <w:i w:val="0"/>
          <w:iCs w:val="0"/>
          <w:color w:val="auto"/>
          <w:sz w:val="24"/>
          <w:szCs w:val="24"/>
          <w:lang w:eastAsia="cs-CZ"/>
        </w:rPr>
        <w:t>dokumentace programu</w:t>
      </w:r>
    </w:p>
    <w:tbl>
      <w:tblPr>
        <w:tblStyle w:val="Mkatabulky"/>
        <w:tblW w:w="9189" w:type="dxa"/>
        <w:jc w:val="center"/>
        <w:tblLook w:val="04A0" w:firstRow="1" w:lastRow="0" w:firstColumn="1" w:lastColumn="0" w:noHBand="0" w:noVBand="1"/>
      </w:tblPr>
      <w:tblGrid>
        <w:gridCol w:w="3964"/>
        <w:gridCol w:w="964"/>
        <w:gridCol w:w="958"/>
        <w:gridCol w:w="1101"/>
        <w:gridCol w:w="1101"/>
        <w:gridCol w:w="1101"/>
      </w:tblGrid>
      <w:tr w:rsidR="006A374F" w:rsidRPr="00E11DB8" w14:paraId="2FDE4DB9" w14:textId="77777777" w:rsidTr="006A374F">
        <w:trPr>
          <w:jc w:val="center"/>
        </w:trPr>
        <w:tc>
          <w:tcPr>
            <w:tcW w:w="3964" w:type="dxa"/>
            <w:shd w:val="clear" w:color="auto" w:fill="DAEEF3" w:themeFill="accent5" w:themeFillTint="33"/>
          </w:tcPr>
          <w:p w14:paraId="03B598A9" w14:textId="77777777" w:rsidR="00925A4B" w:rsidRPr="00E11DB8" w:rsidRDefault="00925A4B" w:rsidP="00C423CF">
            <w:pPr>
              <w:jc w:val="center"/>
              <w:rPr>
                <w:rFonts w:asciiTheme="minorHAnsi" w:hAnsi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AEEF3" w:themeFill="accent5" w:themeFillTint="33"/>
          </w:tcPr>
          <w:p w14:paraId="68AE47A2" w14:textId="77777777" w:rsidR="00925A4B" w:rsidRPr="00E11DB8" w:rsidRDefault="00925A4B" w:rsidP="00C423CF">
            <w:pPr>
              <w:jc w:val="center"/>
              <w:rPr>
                <w:rFonts w:asciiTheme="minorHAnsi" w:hAnsiTheme="minorHAnsi"/>
                <w:b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2013</w:t>
            </w:r>
          </w:p>
        </w:tc>
        <w:tc>
          <w:tcPr>
            <w:tcW w:w="958" w:type="dxa"/>
            <w:shd w:val="clear" w:color="auto" w:fill="DAEEF3" w:themeFill="accent5" w:themeFillTint="33"/>
          </w:tcPr>
          <w:p w14:paraId="00FF138E" w14:textId="77777777" w:rsidR="00925A4B" w:rsidRPr="00E11DB8" w:rsidRDefault="00925A4B" w:rsidP="00C423CF">
            <w:pPr>
              <w:jc w:val="center"/>
              <w:rPr>
                <w:rFonts w:asciiTheme="minorHAnsi" w:hAnsiTheme="minorHAnsi"/>
                <w:b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2014</w:t>
            </w:r>
          </w:p>
        </w:tc>
        <w:tc>
          <w:tcPr>
            <w:tcW w:w="1101" w:type="dxa"/>
            <w:shd w:val="clear" w:color="auto" w:fill="DAEEF3" w:themeFill="accent5" w:themeFillTint="33"/>
          </w:tcPr>
          <w:p w14:paraId="549DF22C" w14:textId="77777777" w:rsidR="00925A4B" w:rsidRPr="00E11DB8" w:rsidRDefault="00925A4B" w:rsidP="00C423CF">
            <w:pPr>
              <w:jc w:val="center"/>
              <w:rPr>
                <w:rFonts w:asciiTheme="minorHAnsi" w:hAnsiTheme="minorHAnsi"/>
                <w:b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2015</w:t>
            </w:r>
          </w:p>
        </w:tc>
        <w:tc>
          <w:tcPr>
            <w:tcW w:w="1101" w:type="dxa"/>
            <w:shd w:val="clear" w:color="auto" w:fill="DAEEF3" w:themeFill="accent5" w:themeFillTint="33"/>
          </w:tcPr>
          <w:p w14:paraId="4A6055AE" w14:textId="77777777" w:rsidR="00925A4B" w:rsidRPr="00E11DB8" w:rsidRDefault="00925A4B" w:rsidP="00C423CF">
            <w:pPr>
              <w:jc w:val="center"/>
              <w:rPr>
                <w:rFonts w:asciiTheme="minorHAnsi" w:hAnsiTheme="minorHAnsi"/>
                <w:b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01" w:type="dxa"/>
            <w:shd w:val="clear" w:color="auto" w:fill="DAEEF3" w:themeFill="accent5" w:themeFillTint="33"/>
          </w:tcPr>
          <w:p w14:paraId="6CC3D564" w14:textId="77777777" w:rsidR="00925A4B" w:rsidRPr="00E11DB8" w:rsidRDefault="00925A4B" w:rsidP="00C423CF">
            <w:pPr>
              <w:jc w:val="center"/>
              <w:rPr>
                <w:rFonts w:asciiTheme="minorHAnsi" w:hAnsiTheme="minorHAnsi"/>
                <w:b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2017</w:t>
            </w:r>
          </w:p>
        </w:tc>
      </w:tr>
      <w:tr w:rsidR="006A374F" w:rsidRPr="00E11DB8" w14:paraId="2163D966" w14:textId="77777777" w:rsidTr="006A374F">
        <w:trPr>
          <w:jc w:val="center"/>
        </w:trPr>
        <w:tc>
          <w:tcPr>
            <w:tcW w:w="3964" w:type="dxa"/>
          </w:tcPr>
          <w:p w14:paraId="7E58775D" w14:textId="6C32CC9B" w:rsidR="00925A4B" w:rsidRPr="00E11DB8" w:rsidRDefault="00925A4B" w:rsidP="006A374F">
            <w:pPr>
              <w:ind w:right="-114"/>
              <w:jc w:val="both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Rozpočet dle </w:t>
            </w:r>
            <w:r w:rsidR="00EB694F" w:rsidRPr="00EB694F">
              <w:rPr>
                <w:rFonts w:asciiTheme="minorHAnsi" w:hAnsiTheme="minorHAnsi"/>
                <w:spacing w:val="-2"/>
                <w:sz w:val="20"/>
                <w:szCs w:val="20"/>
              </w:rPr>
              <w:t>dokumentace programu</w:t>
            </w: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="006A374F">
              <w:rPr>
                <w:rFonts w:asciiTheme="minorHAnsi" w:hAnsiTheme="minorHAnsi"/>
                <w:spacing w:val="-2"/>
                <w:sz w:val="20"/>
                <w:szCs w:val="20"/>
              </w:rPr>
              <w:t>(</w:t>
            </w: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>v mil. Kč</w:t>
            </w:r>
            <w:r w:rsidR="006A374F">
              <w:rPr>
                <w:rFonts w:asciiTheme="minorHAnsi" w:hAnsi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964" w:type="dxa"/>
          </w:tcPr>
          <w:p w14:paraId="22E81DBA" w14:textId="77777777" w:rsidR="00925A4B" w:rsidRPr="00E11DB8" w:rsidRDefault="00925A4B" w:rsidP="00C423CF">
            <w:pPr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>615,014</w:t>
            </w:r>
          </w:p>
        </w:tc>
        <w:tc>
          <w:tcPr>
            <w:tcW w:w="958" w:type="dxa"/>
          </w:tcPr>
          <w:p w14:paraId="3DC9349F" w14:textId="77777777" w:rsidR="00925A4B" w:rsidRPr="00E11DB8" w:rsidRDefault="00925A4B" w:rsidP="00C423CF">
            <w:pPr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>174,733</w:t>
            </w:r>
          </w:p>
        </w:tc>
        <w:tc>
          <w:tcPr>
            <w:tcW w:w="1101" w:type="dxa"/>
          </w:tcPr>
          <w:p w14:paraId="6AF49F9C" w14:textId="77777777" w:rsidR="00925A4B" w:rsidRPr="00E11DB8" w:rsidRDefault="00925A4B" w:rsidP="00C423CF">
            <w:pPr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>56,298</w:t>
            </w:r>
          </w:p>
        </w:tc>
        <w:tc>
          <w:tcPr>
            <w:tcW w:w="1101" w:type="dxa"/>
          </w:tcPr>
          <w:p w14:paraId="459C1A6F" w14:textId="77777777" w:rsidR="00925A4B" w:rsidRPr="00E11DB8" w:rsidRDefault="00925A4B" w:rsidP="00C423CF">
            <w:pPr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>1 415,000</w:t>
            </w:r>
          </w:p>
        </w:tc>
        <w:tc>
          <w:tcPr>
            <w:tcW w:w="1101" w:type="dxa"/>
          </w:tcPr>
          <w:p w14:paraId="10AEEA6C" w14:textId="77777777" w:rsidR="00925A4B" w:rsidRPr="00E11DB8" w:rsidRDefault="00925A4B" w:rsidP="00C423CF">
            <w:pPr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>1 455,000</w:t>
            </w:r>
          </w:p>
        </w:tc>
      </w:tr>
      <w:tr w:rsidR="006A374F" w:rsidRPr="00E11DB8" w14:paraId="28C36B27" w14:textId="77777777" w:rsidTr="006A374F">
        <w:trPr>
          <w:jc w:val="center"/>
        </w:trPr>
        <w:tc>
          <w:tcPr>
            <w:tcW w:w="3964" w:type="dxa"/>
          </w:tcPr>
          <w:p w14:paraId="0E97DF52" w14:textId="7A79E16B" w:rsidR="00925A4B" w:rsidRPr="00E11DB8" w:rsidRDefault="00925A4B" w:rsidP="00C423CF">
            <w:pPr>
              <w:jc w:val="both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Schválený rozpočet </w:t>
            </w:r>
            <w:r w:rsidR="006A374F">
              <w:rPr>
                <w:rFonts w:asciiTheme="minorHAnsi" w:hAnsiTheme="minorHAnsi"/>
                <w:spacing w:val="-2"/>
                <w:sz w:val="20"/>
                <w:szCs w:val="20"/>
              </w:rPr>
              <w:t>(</w:t>
            </w: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>v mil. Kč</w:t>
            </w:r>
            <w:r w:rsidR="006A374F">
              <w:rPr>
                <w:rFonts w:asciiTheme="minorHAnsi" w:hAnsi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964" w:type="dxa"/>
          </w:tcPr>
          <w:p w14:paraId="735F0848" w14:textId="77777777" w:rsidR="00925A4B" w:rsidRPr="00E11DB8" w:rsidRDefault="00925A4B" w:rsidP="00C423CF">
            <w:pPr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>615,014</w:t>
            </w:r>
          </w:p>
        </w:tc>
        <w:tc>
          <w:tcPr>
            <w:tcW w:w="958" w:type="dxa"/>
          </w:tcPr>
          <w:p w14:paraId="1FCD948A" w14:textId="77777777" w:rsidR="00925A4B" w:rsidRPr="00E11DB8" w:rsidRDefault="00925A4B" w:rsidP="00C423CF">
            <w:pPr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>296,357</w:t>
            </w:r>
          </w:p>
        </w:tc>
        <w:tc>
          <w:tcPr>
            <w:tcW w:w="1101" w:type="dxa"/>
          </w:tcPr>
          <w:p w14:paraId="2CC838A4" w14:textId="77777777" w:rsidR="00925A4B" w:rsidRPr="00E11DB8" w:rsidRDefault="00925A4B" w:rsidP="00C423CF">
            <w:pPr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>1 075,132</w:t>
            </w:r>
          </w:p>
        </w:tc>
        <w:tc>
          <w:tcPr>
            <w:tcW w:w="1101" w:type="dxa"/>
          </w:tcPr>
          <w:p w14:paraId="1831C27F" w14:textId="77777777" w:rsidR="00925A4B" w:rsidRPr="00E11DB8" w:rsidRDefault="00925A4B" w:rsidP="00C423CF">
            <w:pPr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>116,350</w:t>
            </w:r>
          </w:p>
        </w:tc>
        <w:tc>
          <w:tcPr>
            <w:tcW w:w="1101" w:type="dxa"/>
          </w:tcPr>
          <w:p w14:paraId="47FF5096" w14:textId="77777777" w:rsidR="00925A4B" w:rsidRPr="00E11DB8" w:rsidRDefault="00925A4B" w:rsidP="00C423CF">
            <w:pPr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>99,737</w:t>
            </w:r>
          </w:p>
        </w:tc>
      </w:tr>
      <w:tr w:rsidR="006A374F" w:rsidRPr="00E11DB8" w14:paraId="74001B61" w14:textId="77777777" w:rsidTr="006A374F">
        <w:trPr>
          <w:jc w:val="center"/>
        </w:trPr>
        <w:tc>
          <w:tcPr>
            <w:tcW w:w="3964" w:type="dxa"/>
          </w:tcPr>
          <w:p w14:paraId="6BF276C8" w14:textId="74BD0F85" w:rsidR="00925A4B" w:rsidRPr="00E11DB8" w:rsidRDefault="00925A4B" w:rsidP="00C423CF">
            <w:pPr>
              <w:jc w:val="both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Změna </w:t>
            </w:r>
            <w:r w:rsidR="006A374F">
              <w:rPr>
                <w:rFonts w:asciiTheme="minorHAnsi" w:hAnsiTheme="minorHAnsi"/>
                <w:spacing w:val="-2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pacing w:val="-2"/>
                <w:sz w:val="20"/>
                <w:szCs w:val="20"/>
              </w:rPr>
              <w:t>v %</w:t>
            </w:r>
            <w:r w:rsidR="006A374F">
              <w:rPr>
                <w:rFonts w:asciiTheme="minorHAnsi" w:hAnsi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964" w:type="dxa"/>
          </w:tcPr>
          <w:p w14:paraId="4FC3B8A9" w14:textId="6835AC32" w:rsidR="00925A4B" w:rsidRPr="00E11DB8" w:rsidRDefault="006A374F" w:rsidP="003D1368">
            <w:pPr>
              <w:pStyle w:val="Odstavecseseznamem"/>
              <w:ind w:left="174" w:right="177"/>
              <w:contextualSpacing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–</w:t>
            </w:r>
          </w:p>
        </w:tc>
        <w:tc>
          <w:tcPr>
            <w:tcW w:w="958" w:type="dxa"/>
          </w:tcPr>
          <w:p w14:paraId="22901BB7" w14:textId="084B6831" w:rsidR="00925A4B" w:rsidRPr="00E11DB8" w:rsidRDefault="00925A4B" w:rsidP="006A374F">
            <w:pPr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>+70 %</w:t>
            </w:r>
          </w:p>
        </w:tc>
        <w:tc>
          <w:tcPr>
            <w:tcW w:w="1101" w:type="dxa"/>
          </w:tcPr>
          <w:p w14:paraId="0D83F9AD" w14:textId="4FE8D78C" w:rsidR="00925A4B" w:rsidRPr="00E11DB8" w:rsidRDefault="00925A4B" w:rsidP="006A374F">
            <w:pPr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E11DB8">
              <w:rPr>
                <w:rFonts w:asciiTheme="minorHAnsi" w:hAnsiTheme="minorHAnsi"/>
                <w:spacing w:val="-2"/>
                <w:sz w:val="20"/>
                <w:szCs w:val="20"/>
              </w:rPr>
              <w:t>+1 810 %</w:t>
            </w:r>
          </w:p>
        </w:tc>
        <w:tc>
          <w:tcPr>
            <w:tcW w:w="1101" w:type="dxa"/>
          </w:tcPr>
          <w:p w14:paraId="1B0E0C2F" w14:textId="32A1F518" w:rsidR="00925A4B" w:rsidRPr="00E11DB8" w:rsidRDefault="006A374F" w:rsidP="006A374F">
            <w:pPr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925A4B" w:rsidRPr="00E11DB8">
              <w:rPr>
                <w:rFonts w:asciiTheme="minorHAnsi" w:hAnsiTheme="minorHAnsi"/>
                <w:spacing w:val="-2"/>
                <w:sz w:val="20"/>
                <w:szCs w:val="20"/>
              </w:rPr>
              <w:t>92 %</w:t>
            </w:r>
          </w:p>
        </w:tc>
        <w:tc>
          <w:tcPr>
            <w:tcW w:w="1101" w:type="dxa"/>
          </w:tcPr>
          <w:p w14:paraId="04F6329B" w14:textId="0A446E64" w:rsidR="00925A4B" w:rsidRPr="00E11DB8" w:rsidRDefault="006A374F" w:rsidP="006A374F">
            <w:pPr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925A4B" w:rsidRPr="00E11DB8">
              <w:rPr>
                <w:rFonts w:asciiTheme="minorHAnsi" w:hAnsiTheme="minorHAnsi"/>
                <w:spacing w:val="-2"/>
                <w:sz w:val="20"/>
                <w:szCs w:val="20"/>
              </w:rPr>
              <w:t>93 %</w:t>
            </w:r>
          </w:p>
        </w:tc>
      </w:tr>
    </w:tbl>
    <w:p w14:paraId="4327457C" w14:textId="13169768" w:rsidR="00925A4B" w:rsidRPr="00D17BC0" w:rsidRDefault="00925A4B" w:rsidP="00925A4B">
      <w:pPr>
        <w:spacing w:after="120"/>
        <w:jc w:val="both"/>
        <w:rPr>
          <w:rFonts w:ascii="Calibri" w:hAnsi="Calibri"/>
          <w:spacing w:val="-2"/>
          <w:sz w:val="20"/>
          <w:szCs w:val="20"/>
        </w:rPr>
      </w:pPr>
      <w:r w:rsidRPr="00DA7058">
        <w:rPr>
          <w:rFonts w:ascii="Calibri" w:hAnsi="Calibri"/>
          <w:b/>
          <w:spacing w:val="-2"/>
          <w:sz w:val="20"/>
          <w:szCs w:val="20"/>
        </w:rPr>
        <w:t>Zdroj:</w:t>
      </w:r>
      <w:r w:rsidRPr="00D17BC0">
        <w:rPr>
          <w:rFonts w:ascii="Calibri" w:hAnsi="Calibri"/>
          <w:spacing w:val="-2"/>
          <w:sz w:val="20"/>
          <w:szCs w:val="20"/>
        </w:rPr>
        <w:t xml:space="preserve"> </w:t>
      </w:r>
      <w:r w:rsidR="006A374F">
        <w:rPr>
          <w:rFonts w:ascii="Calibri" w:hAnsi="Calibri"/>
          <w:spacing w:val="-2"/>
          <w:sz w:val="20"/>
          <w:szCs w:val="20"/>
        </w:rPr>
        <w:t>d</w:t>
      </w:r>
      <w:r w:rsidR="00EB694F" w:rsidRPr="00EB694F">
        <w:rPr>
          <w:rFonts w:ascii="Calibri" w:hAnsi="Calibri"/>
          <w:spacing w:val="-2"/>
          <w:sz w:val="20"/>
          <w:szCs w:val="20"/>
        </w:rPr>
        <w:t>okumentace programu</w:t>
      </w:r>
      <w:r w:rsidRPr="00EB694F">
        <w:rPr>
          <w:rFonts w:ascii="Calibri" w:hAnsi="Calibri"/>
          <w:spacing w:val="-2"/>
          <w:sz w:val="20"/>
          <w:szCs w:val="20"/>
        </w:rPr>
        <w:t xml:space="preserve"> </w:t>
      </w:r>
      <w:r w:rsidRPr="00D17BC0">
        <w:rPr>
          <w:rFonts w:ascii="Calibri" w:hAnsi="Calibri"/>
          <w:spacing w:val="-2"/>
          <w:sz w:val="20"/>
          <w:szCs w:val="20"/>
        </w:rPr>
        <w:t>114 120, závěrečn</w:t>
      </w:r>
      <w:r w:rsidR="006A374F">
        <w:rPr>
          <w:rFonts w:ascii="Calibri" w:hAnsi="Calibri"/>
          <w:spacing w:val="-2"/>
          <w:sz w:val="20"/>
          <w:szCs w:val="20"/>
        </w:rPr>
        <w:t>é</w:t>
      </w:r>
      <w:r w:rsidRPr="00D17BC0">
        <w:rPr>
          <w:rFonts w:ascii="Calibri" w:hAnsi="Calibri"/>
          <w:spacing w:val="-2"/>
          <w:sz w:val="20"/>
          <w:szCs w:val="20"/>
        </w:rPr>
        <w:t xml:space="preserve"> úč</w:t>
      </w:r>
      <w:r w:rsidR="006A374F">
        <w:rPr>
          <w:rFonts w:ascii="Calibri" w:hAnsi="Calibri"/>
          <w:spacing w:val="-2"/>
          <w:sz w:val="20"/>
          <w:szCs w:val="20"/>
        </w:rPr>
        <w:t>ty</w:t>
      </w:r>
      <w:r w:rsidRPr="00D17BC0">
        <w:rPr>
          <w:rFonts w:ascii="Calibri" w:hAnsi="Calibri"/>
          <w:spacing w:val="-2"/>
          <w:sz w:val="20"/>
          <w:szCs w:val="20"/>
        </w:rPr>
        <w:t xml:space="preserve"> kapitoly MV za uvedené roky.</w:t>
      </w:r>
    </w:p>
    <w:p w14:paraId="54A17997" w14:textId="22CA1BA4" w:rsidR="002C1DB8" w:rsidRDefault="002C1DB8" w:rsidP="001F4A2E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MV</w:t>
      </w:r>
      <w:r w:rsidR="00BB7853">
        <w:rPr>
          <w:rFonts w:asciiTheme="minorHAnsi" w:hAnsiTheme="minorHAnsi"/>
        </w:rPr>
        <w:t xml:space="preserve"> </w:t>
      </w:r>
      <w:r w:rsidR="00DE07E8">
        <w:rPr>
          <w:rFonts w:asciiTheme="minorHAnsi" w:hAnsiTheme="minorHAnsi"/>
        </w:rPr>
        <w:t xml:space="preserve">významně </w:t>
      </w:r>
      <w:r>
        <w:rPr>
          <w:rFonts w:asciiTheme="minorHAnsi" w:hAnsiTheme="minorHAnsi"/>
        </w:rPr>
        <w:t xml:space="preserve">měnilo v průběhu realizace programu 114 110 nastavené cíle </w:t>
      </w:r>
      <w:r w:rsidR="001F4A2E">
        <w:rPr>
          <w:rFonts w:asciiTheme="minorHAnsi" w:hAnsiTheme="minorHAnsi"/>
        </w:rPr>
        <w:t>(</w:t>
      </w:r>
      <w:r>
        <w:rPr>
          <w:rFonts w:asciiTheme="minorHAnsi" w:hAnsiTheme="minorHAnsi"/>
        </w:rPr>
        <w:t>parametry</w:t>
      </w:r>
      <w:r w:rsidR="001F4A2E">
        <w:rPr>
          <w:rFonts w:asciiTheme="minorHAnsi" w:hAnsiTheme="minorHAnsi"/>
        </w:rPr>
        <w:t>)</w:t>
      </w:r>
      <w:r>
        <w:rPr>
          <w:rFonts w:asciiTheme="minorHAnsi" w:hAnsiTheme="minorHAnsi"/>
        </w:rPr>
        <w:t>, přičemž jejich úpravy neměly vazbu na změn</w:t>
      </w:r>
      <w:r w:rsidR="001F4A2E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bilance potřeb a zdrojů. </w:t>
      </w:r>
      <w:r w:rsidR="000A5351">
        <w:rPr>
          <w:rFonts w:asciiTheme="minorHAnsi" w:hAnsiTheme="minorHAnsi"/>
        </w:rPr>
        <w:t>I když</w:t>
      </w:r>
      <w:r w:rsidR="009B12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 případě aktualizace </w:t>
      </w:r>
      <w:r w:rsidR="00EB694F">
        <w:rPr>
          <w:rFonts w:asciiTheme="minorHAnsi" w:hAnsiTheme="minorHAnsi"/>
        </w:rPr>
        <w:t>dokumentace programu</w:t>
      </w:r>
      <w:r>
        <w:rPr>
          <w:rFonts w:asciiTheme="minorHAnsi" w:hAnsiTheme="minorHAnsi"/>
        </w:rPr>
        <w:t xml:space="preserve"> </w:t>
      </w:r>
      <w:r w:rsidR="001F4A2E">
        <w:rPr>
          <w:rFonts w:asciiTheme="minorHAnsi" w:hAnsiTheme="minorHAnsi"/>
        </w:rPr>
        <w:t xml:space="preserve">z roku 2012 </w:t>
      </w:r>
      <w:r>
        <w:rPr>
          <w:rFonts w:asciiTheme="minorHAnsi" w:hAnsiTheme="minorHAnsi"/>
        </w:rPr>
        <w:t xml:space="preserve">byla celková účast </w:t>
      </w:r>
      <w:r w:rsidR="00453729">
        <w:rPr>
          <w:rFonts w:asciiTheme="minorHAnsi" w:hAnsiTheme="minorHAnsi"/>
        </w:rPr>
        <w:t>státního rozpočtu</w:t>
      </w:r>
      <w:r>
        <w:rPr>
          <w:rFonts w:asciiTheme="minorHAnsi" w:hAnsiTheme="minorHAnsi"/>
        </w:rPr>
        <w:t xml:space="preserve"> výrazně snížena, došlo </w:t>
      </w:r>
      <w:r w:rsidR="00306D30">
        <w:rPr>
          <w:rFonts w:asciiTheme="minorHAnsi" w:hAnsiTheme="minorHAnsi"/>
        </w:rPr>
        <w:t xml:space="preserve">např. </w:t>
      </w:r>
      <w:r>
        <w:rPr>
          <w:rFonts w:asciiTheme="minorHAnsi" w:hAnsiTheme="minorHAnsi"/>
        </w:rPr>
        <w:t>k navýšení alokace na podprogram</w:t>
      </w:r>
      <w:r w:rsidR="00616CC9">
        <w:rPr>
          <w:rFonts w:asciiTheme="minorHAnsi" w:hAnsiTheme="minorHAnsi"/>
        </w:rPr>
        <w:t xml:space="preserve"> v</w:t>
      </w:r>
      <w:r>
        <w:rPr>
          <w:rFonts w:asciiTheme="minorHAnsi" w:hAnsiTheme="minorHAnsi"/>
        </w:rPr>
        <w:t xml:space="preserve"> oblasti </w:t>
      </w:r>
      <w:r w:rsidR="002A68FA">
        <w:rPr>
          <w:rFonts w:asciiTheme="minorHAnsi" w:hAnsiTheme="minorHAnsi"/>
          <w:spacing w:val="-3"/>
        </w:rPr>
        <w:t>ICT</w:t>
      </w:r>
      <w:r>
        <w:rPr>
          <w:rFonts w:asciiTheme="minorHAnsi" w:hAnsiTheme="minorHAnsi"/>
        </w:rPr>
        <w:t xml:space="preserve"> o 67 % a zařazení nových cílů (parametrů)</w:t>
      </w:r>
      <w:r w:rsidR="00925A4B">
        <w:rPr>
          <w:rFonts w:asciiTheme="minorHAnsi" w:hAnsiTheme="minorHAnsi"/>
        </w:rPr>
        <w:t xml:space="preserve"> tohoto podprogramu</w:t>
      </w:r>
      <w:r>
        <w:rPr>
          <w:rFonts w:asciiTheme="minorHAnsi" w:hAnsiTheme="minorHAnsi"/>
        </w:rPr>
        <w:t>. MV</w:t>
      </w:r>
      <w:r w:rsidR="00BB7853" w:rsidRPr="0040733B">
        <w:rPr>
          <w:rFonts w:asciiTheme="minorHAnsi" w:hAnsiTheme="minorHAnsi"/>
        </w:rPr>
        <w:t xml:space="preserve"> </w:t>
      </w:r>
      <w:r w:rsidRPr="0040733B">
        <w:rPr>
          <w:rFonts w:asciiTheme="minorHAnsi" w:hAnsiTheme="minorHAnsi"/>
        </w:rPr>
        <w:t>k tomu mj. uvedlo, že původ</w:t>
      </w:r>
      <w:r w:rsidR="000A5351">
        <w:rPr>
          <w:rFonts w:asciiTheme="minorHAnsi" w:hAnsiTheme="minorHAnsi"/>
        </w:rPr>
        <w:t>ní potřeby mohly být realizovány</w:t>
      </w:r>
      <w:r w:rsidRPr="0040733B">
        <w:rPr>
          <w:rFonts w:asciiTheme="minorHAnsi" w:hAnsiTheme="minorHAnsi"/>
        </w:rPr>
        <w:t xml:space="preserve"> také v jiných </w:t>
      </w:r>
      <w:r w:rsidR="00616CC9">
        <w:rPr>
          <w:rFonts w:asciiTheme="minorHAnsi" w:hAnsiTheme="minorHAnsi"/>
        </w:rPr>
        <w:t xml:space="preserve">letech a </w:t>
      </w:r>
      <w:r w:rsidRPr="0040733B">
        <w:rPr>
          <w:rFonts w:asciiTheme="minorHAnsi" w:hAnsiTheme="minorHAnsi"/>
        </w:rPr>
        <w:t>programech</w:t>
      </w:r>
      <w:r w:rsidR="00616CC9">
        <w:rPr>
          <w:rFonts w:asciiTheme="minorHAnsi" w:hAnsiTheme="minorHAnsi"/>
        </w:rPr>
        <w:t>.</w:t>
      </w:r>
    </w:p>
    <w:p w14:paraId="51C28400" w14:textId="77777777" w:rsidR="00B03D9B" w:rsidRPr="00B03D9B" w:rsidRDefault="00243FE4" w:rsidP="00B03D9B">
      <w:pPr>
        <w:tabs>
          <w:tab w:val="left" w:pos="2835"/>
        </w:tabs>
        <w:spacing w:after="120"/>
        <w:jc w:val="both"/>
        <w:rPr>
          <w:rFonts w:asciiTheme="minorHAnsi" w:hAnsiTheme="minorHAnsi" w:cstheme="minorHAnsi"/>
          <w:bCs/>
        </w:rPr>
      </w:pPr>
      <w:r w:rsidRPr="009F1164">
        <w:rPr>
          <w:rFonts w:asciiTheme="minorHAnsi" w:hAnsiTheme="minorHAnsi" w:cstheme="minorHAnsi"/>
        </w:rPr>
        <w:t>V rámci závěrečného vyhodnocení programu se podle vyhlášky č. 560/2006 Sb</w:t>
      </w:r>
      <w:r w:rsidR="00925A4B" w:rsidRPr="009F1164">
        <w:rPr>
          <w:rFonts w:asciiTheme="minorHAnsi" w:hAnsiTheme="minorHAnsi" w:cstheme="minorHAnsi"/>
        </w:rPr>
        <w:t>.</w:t>
      </w:r>
      <w:r w:rsidR="00925A4B" w:rsidRPr="009F1164">
        <w:rPr>
          <w:rStyle w:val="Znakapoznpodarou"/>
          <w:rFonts w:asciiTheme="minorHAnsi" w:hAnsiTheme="minorHAnsi" w:cstheme="minorHAnsi"/>
        </w:rPr>
        <w:footnoteReference w:id="25"/>
      </w:r>
      <w:r w:rsidR="00925A4B" w:rsidRPr="009F1164">
        <w:rPr>
          <w:rFonts w:asciiTheme="minorHAnsi" w:hAnsiTheme="minorHAnsi" w:cstheme="minorHAnsi"/>
        </w:rPr>
        <w:t xml:space="preserve"> </w:t>
      </w:r>
      <w:r w:rsidRPr="009F1164">
        <w:rPr>
          <w:rFonts w:asciiTheme="minorHAnsi" w:hAnsiTheme="minorHAnsi" w:cstheme="minorHAnsi"/>
        </w:rPr>
        <w:t>hodnotí mj. plnění cílů a dosažené hodnoty parametrů.</w:t>
      </w:r>
      <w:r w:rsidR="0005371B" w:rsidRPr="009F1164">
        <w:rPr>
          <w:rFonts w:asciiTheme="minorHAnsi" w:hAnsiTheme="minorHAnsi" w:cstheme="minorHAnsi"/>
        </w:rPr>
        <w:t xml:space="preserve"> </w:t>
      </w:r>
      <w:r w:rsidR="007126C6" w:rsidRPr="009F1164">
        <w:rPr>
          <w:rFonts w:asciiTheme="minorHAnsi" w:hAnsiTheme="minorHAnsi" w:cstheme="minorHAnsi"/>
        </w:rPr>
        <w:t xml:space="preserve">Pro </w:t>
      </w:r>
      <w:r w:rsidR="00616CC9">
        <w:rPr>
          <w:rFonts w:asciiTheme="minorHAnsi" w:hAnsiTheme="minorHAnsi" w:cstheme="minorHAnsi"/>
        </w:rPr>
        <w:t>odpovědné</w:t>
      </w:r>
      <w:r w:rsidR="0005371B" w:rsidRPr="009F1164">
        <w:rPr>
          <w:rFonts w:asciiTheme="minorHAnsi" w:hAnsiTheme="minorHAnsi" w:cstheme="minorHAnsi"/>
        </w:rPr>
        <w:t xml:space="preserve"> řízení programu je nezbytné, aby dosa</w:t>
      </w:r>
      <w:r w:rsidR="002A68FA" w:rsidRPr="00EC341D">
        <w:rPr>
          <w:rFonts w:asciiTheme="minorHAnsi" w:hAnsiTheme="minorHAnsi" w:cstheme="minorHAnsi"/>
        </w:rPr>
        <w:t>hované</w:t>
      </w:r>
      <w:r w:rsidR="0005371B" w:rsidRPr="00EC341D">
        <w:rPr>
          <w:rFonts w:asciiTheme="minorHAnsi" w:hAnsiTheme="minorHAnsi" w:cstheme="minorHAnsi"/>
        </w:rPr>
        <w:t xml:space="preserve"> </w:t>
      </w:r>
      <w:r w:rsidR="002A68FA" w:rsidRPr="00EC341D">
        <w:rPr>
          <w:rFonts w:asciiTheme="minorHAnsi" w:hAnsiTheme="minorHAnsi" w:cstheme="minorHAnsi"/>
        </w:rPr>
        <w:t>cíle</w:t>
      </w:r>
      <w:r w:rsidR="0005371B" w:rsidRPr="00C70AB6">
        <w:rPr>
          <w:rFonts w:asciiTheme="minorHAnsi" w:hAnsiTheme="minorHAnsi" w:cstheme="minorHAnsi"/>
        </w:rPr>
        <w:t xml:space="preserve"> byly pravidelně sledovány a vyhodnocovány ve vztahu k</w:t>
      </w:r>
      <w:r w:rsidR="00925A4B" w:rsidRPr="00C70AB6">
        <w:rPr>
          <w:rFonts w:asciiTheme="minorHAnsi" w:hAnsiTheme="minorHAnsi" w:cstheme="minorHAnsi"/>
        </w:rPr>
        <w:t>e stanoveným</w:t>
      </w:r>
      <w:r w:rsidR="0005371B" w:rsidRPr="00C70AB6">
        <w:rPr>
          <w:rFonts w:asciiTheme="minorHAnsi" w:hAnsiTheme="minorHAnsi" w:cstheme="minorHAnsi"/>
        </w:rPr>
        <w:t xml:space="preserve"> parametrům. </w:t>
      </w:r>
      <w:r w:rsidR="00BF1A98" w:rsidRPr="009F1164">
        <w:rPr>
          <w:rFonts w:asciiTheme="minorHAnsi" w:hAnsiTheme="minorHAnsi"/>
        </w:rPr>
        <w:t xml:space="preserve">MV </w:t>
      </w:r>
      <w:r w:rsidR="0005371B" w:rsidRPr="009F1164">
        <w:rPr>
          <w:rFonts w:asciiTheme="minorHAnsi" w:hAnsiTheme="minorHAnsi"/>
        </w:rPr>
        <w:t xml:space="preserve">cíle </w:t>
      </w:r>
      <w:r w:rsidR="00716011">
        <w:rPr>
          <w:rFonts w:asciiTheme="minorHAnsi" w:hAnsiTheme="minorHAnsi"/>
        </w:rPr>
        <w:t xml:space="preserve">programů </w:t>
      </w:r>
      <w:r w:rsidR="0005371B" w:rsidRPr="009F1164">
        <w:rPr>
          <w:rFonts w:asciiTheme="minorHAnsi" w:hAnsiTheme="minorHAnsi"/>
        </w:rPr>
        <w:t>průběžně nemonitoruje</w:t>
      </w:r>
      <w:r w:rsidR="00914957">
        <w:rPr>
          <w:rFonts w:asciiTheme="minorHAnsi" w:hAnsiTheme="minorHAnsi"/>
        </w:rPr>
        <w:t xml:space="preserve">, pouze </w:t>
      </w:r>
      <w:r w:rsidR="0005371B" w:rsidRPr="009F1164">
        <w:rPr>
          <w:rFonts w:asciiTheme="minorHAnsi" w:hAnsiTheme="minorHAnsi"/>
        </w:rPr>
        <w:t xml:space="preserve">uvedlo, </w:t>
      </w:r>
      <w:r w:rsidR="00BF1A98" w:rsidRPr="009F1164">
        <w:rPr>
          <w:rFonts w:asciiTheme="minorHAnsi" w:hAnsiTheme="minorHAnsi"/>
        </w:rPr>
        <w:t>že jsou součástí řídících dokume</w:t>
      </w:r>
      <w:r w:rsidR="002A68FA" w:rsidRPr="009F1164">
        <w:rPr>
          <w:rFonts w:asciiTheme="minorHAnsi" w:hAnsiTheme="minorHAnsi"/>
        </w:rPr>
        <w:t xml:space="preserve">ntů </w:t>
      </w:r>
      <w:r w:rsidR="00BF1A98" w:rsidRPr="009F1164">
        <w:rPr>
          <w:rFonts w:asciiTheme="minorHAnsi" w:hAnsiTheme="minorHAnsi"/>
        </w:rPr>
        <w:t>a jejich vyhodnocení bude součástí závěrečného vyhodnocení programu.</w:t>
      </w:r>
      <w:r w:rsidR="00B03D9B" w:rsidRPr="009F1164">
        <w:rPr>
          <w:rFonts w:asciiTheme="minorHAnsi" w:hAnsiTheme="minorHAnsi"/>
        </w:rPr>
        <w:t xml:space="preserve"> </w:t>
      </w:r>
    </w:p>
    <w:p w14:paraId="2E4ECE4A" w14:textId="6B96E6CD" w:rsidR="000A56F7" w:rsidRPr="00C25065" w:rsidRDefault="002A68FA" w:rsidP="000A56F7">
      <w:pPr>
        <w:spacing w:after="120"/>
        <w:jc w:val="both"/>
        <w:rPr>
          <w:rFonts w:ascii="Calibri" w:hAnsi="Calibri" w:cstheme="minorHAnsi"/>
        </w:rPr>
      </w:pPr>
      <w:r w:rsidRPr="002A68FA">
        <w:rPr>
          <w:rFonts w:ascii="Calibri" w:hAnsi="Calibri" w:cstheme="minorHAnsi"/>
        </w:rPr>
        <w:t>Kritériem pro posouzení hospodárnosti a efektivnosti</w:t>
      </w:r>
      <w:r>
        <w:rPr>
          <w:rFonts w:ascii="Calibri" w:hAnsi="Calibri" w:cstheme="minorHAnsi"/>
        </w:rPr>
        <w:t xml:space="preserve"> při poskytování prostředků jsou jednotkové ceny</w:t>
      </w:r>
      <w:r w:rsidR="00F922BA">
        <w:rPr>
          <w:rFonts w:ascii="Calibri" w:hAnsi="Calibri" w:cstheme="minorHAnsi"/>
        </w:rPr>
        <w:t xml:space="preserve"> nakupovaného majetku</w:t>
      </w:r>
      <w:r>
        <w:rPr>
          <w:rFonts w:ascii="Calibri" w:hAnsi="Calibri" w:cstheme="minorHAnsi"/>
        </w:rPr>
        <w:t xml:space="preserve">. </w:t>
      </w:r>
      <w:r w:rsidR="00925A4B" w:rsidRPr="00C25065">
        <w:rPr>
          <w:rFonts w:asciiTheme="minorHAnsi" w:hAnsiTheme="minorHAnsi"/>
          <w:spacing w:val="-1"/>
        </w:rPr>
        <w:t xml:space="preserve">NKÚ zjistil, že jednotkové ceny </w:t>
      </w:r>
      <w:r w:rsidR="00925A4B">
        <w:rPr>
          <w:rFonts w:asciiTheme="minorHAnsi" w:hAnsiTheme="minorHAnsi"/>
          <w:spacing w:val="-1"/>
        </w:rPr>
        <w:t xml:space="preserve">vyplývající </w:t>
      </w:r>
      <w:r w:rsidR="00FC094F">
        <w:rPr>
          <w:rFonts w:asciiTheme="minorHAnsi" w:hAnsiTheme="minorHAnsi"/>
          <w:spacing w:val="-1"/>
        </w:rPr>
        <w:t>z</w:t>
      </w:r>
      <w:r w:rsidR="00F922BA">
        <w:rPr>
          <w:rFonts w:asciiTheme="minorHAnsi" w:hAnsiTheme="minorHAnsi"/>
          <w:spacing w:val="-1"/>
        </w:rPr>
        <w:t> </w:t>
      </w:r>
      <w:r w:rsidR="00FC094F">
        <w:rPr>
          <w:rFonts w:asciiTheme="minorHAnsi" w:hAnsiTheme="minorHAnsi"/>
          <w:spacing w:val="-1"/>
        </w:rPr>
        <w:t>dokumentací</w:t>
      </w:r>
      <w:r w:rsidR="00EB694F">
        <w:rPr>
          <w:rFonts w:asciiTheme="minorHAnsi" w:hAnsiTheme="minorHAnsi"/>
        </w:rPr>
        <w:t xml:space="preserve"> programů</w:t>
      </w:r>
      <w:r w:rsidR="00925A4B">
        <w:rPr>
          <w:rFonts w:asciiTheme="minorHAnsi" w:hAnsiTheme="minorHAnsi"/>
          <w:spacing w:val="-1"/>
        </w:rPr>
        <w:t xml:space="preserve"> 114 110 a 114 120 </w:t>
      </w:r>
      <w:r w:rsidR="000A56F7">
        <w:rPr>
          <w:rFonts w:asciiTheme="minorHAnsi" w:hAnsiTheme="minorHAnsi"/>
          <w:spacing w:val="-1"/>
        </w:rPr>
        <w:t>nebyly</w:t>
      </w:r>
      <w:r w:rsidR="00C172B7">
        <w:rPr>
          <w:rFonts w:asciiTheme="minorHAnsi" w:hAnsiTheme="minorHAnsi"/>
          <w:spacing w:val="-1"/>
        </w:rPr>
        <w:t xml:space="preserve"> použitelným</w:t>
      </w:r>
      <w:r w:rsidR="00925A4B" w:rsidRPr="00C25065">
        <w:rPr>
          <w:rFonts w:asciiTheme="minorHAnsi" w:hAnsiTheme="minorHAnsi"/>
          <w:spacing w:val="-1"/>
        </w:rPr>
        <w:t xml:space="preserve"> </w:t>
      </w:r>
      <w:r w:rsidR="00925A4B" w:rsidRPr="00C25065">
        <w:rPr>
          <w:rFonts w:ascii="Calibri" w:hAnsi="Calibri" w:cstheme="minorHAnsi"/>
        </w:rPr>
        <w:t>kritériem pro posouzení hospodárnosti a</w:t>
      </w:r>
      <w:r w:rsidR="00F922BA">
        <w:rPr>
          <w:rFonts w:ascii="Calibri" w:hAnsi="Calibri" w:cstheme="minorHAnsi"/>
        </w:rPr>
        <w:t xml:space="preserve"> </w:t>
      </w:r>
      <w:r w:rsidR="00925A4B" w:rsidRPr="00C25065">
        <w:rPr>
          <w:rFonts w:ascii="Calibri" w:hAnsi="Calibri" w:cstheme="minorHAnsi"/>
        </w:rPr>
        <w:t>efektivnosti vynakládání prostře</w:t>
      </w:r>
      <w:r w:rsidR="000A56F7">
        <w:rPr>
          <w:rFonts w:ascii="Calibri" w:hAnsi="Calibri" w:cstheme="minorHAnsi"/>
        </w:rPr>
        <w:t xml:space="preserve">dků. </w:t>
      </w:r>
      <w:r w:rsidR="00306D30">
        <w:rPr>
          <w:rFonts w:asciiTheme="minorHAnsi" w:hAnsiTheme="minorHAnsi" w:cs="Arial"/>
        </w:rPr>
        <w:t>V</w:t>
      </w:r>
      <w:r w:rsidR="000A56F7" w:rsidRPr="00616CC9">
        <w:rPr>
          <w:rFonts w:asciiTheme="minorHAnsi" w:hAnsiTheme="minorHAnsi"/>
        </w:rPr>
        <w:t xml:space="preserve"> aktualizaci </w:t>
      </w:r>
      <w:r w:rsidR="00EB694F">
        <w:rPr>
          <w:rFonts w:asciiTheme="minorHAnsi" w:hAnsiTheme="minorHAnsi"/>
        </w:rPr>
        <w:t>dokumentace programu</w:t>
      </w:r>
      <w:r w:rsidR="000A56F7" w:rsidRPr="00616CC9">
        <w:rPr>
          <w:rFonts w:asciiTheme="minorHAnsi" w:hAnsiTheme="minorHAnsi"/>
        </w:rPr>
        <w:t xml:space="preserve"> 114 110 z roku 2012 MV</w:t>
      </w:r>
      <w:r w:rsidR="00BB7853" w:rsidRPr="00292EFB">
        <w:rPr>
          <w:rFonts w:asciiTheme="minorHAnsi" w:hAnsiTheme="minorHAnsi"/>
        </w:rPr>
        <w:t xml:space="preserve"> </w:t>
      </w:r>
      <w:r w:rsidR="009F1164" w:rsidRPr="00292EFB">
        <w:rPr>
          <w:rFonts w:asciiTheme="minorHAnsi" w:hAnsiTheme="minorHAnsi"/>
        </w:rPr>
        <w:t>stanovilo</w:t>
      </w:r>
      <w:r w:rsidR="009F1164" w:rsidRPr="009F1164">
        <w:rPr>
          <w:rFonts w:asciiTheme="minorHAnsi" w:hAnsiTheme="minorHAnsi"/>
        </w:rPr>
        <w:t xml:space="preserve"> </w:t>
      </w:r>
      <w:r w:rsidR="000A56F7" w:rsidRPr="00616CC9">
        <w:rPr>
          <w:rFonts w:asciiTheme="minorHAnsi" w:hAnsiTheme="minorHAnsi"/>
        </w:rPr>
        <w:t xml:space="preserve">pro cíl (parametr) </w:t>
      </w:r>
      <w:r w:rsidR="00F922BA">
        <w:rPr>
          <w:rFonts w:asciiTheme="minorHAnsi" w:hAnsiTheme="minorHAnsi"/>
        </w:rPr>
        <w:t>„</w:t>
      </w:r>
      <w:r w:rsidR="00F922BA">
        <w:rPr>
          <w:rFonts w:asciiTheme="minorHAnsi" w:hAnsiTheme="minorHAnsi"/>
          <w:i/>
        </w:rPr>
        <w:t>s</w:t>
      </w:r>
      <w:r w:rsidR="000A56F7" w:rsidRPr="00616CC9">
        <w:rPr>
          <w:rFonts w:asciiTheme="minorHAnsi" w:hAnsiTheme="minorHAnsi"/>
          <w:i/>
        </w:rPr>
        <w:t>lužební dopravní prostředky osobní</w:t>
      </w:r>
      <w:r w:rsidR="00F922BA">
        <w:rPr>
          <w:rFonts w:asciiTheme="minorHAnsi" w:hAnsiTheme="minorHAnsi"/>
        </w:rPr>
        <w:t>“</w:t>
      </w:r>
      <w:r w:rsidR="000A56F7" w:rsidRPr="00616CC9">
        <w:rPr>
          <w:rFonts w:asciiTheme="minorHAnsi" w:hAnsiTheme="minorHAnsi"/>
        </w:rPr>
        <w:t xml:space="preserve"> jednotkovou cenu ve výši 352</w:t>
      </w:r>
      <w:r w:rsidR="00E45CCE">
        <w:rPr>
          <w:rFonts w:asciiTheme="minorHAnsi" w:hAnsiTheme="minorHAnsi"/>
        </w:rPr>
        <w:t> </w:t>
      </w:r>
      <w:r w:rsidR="000A56F7" w:rsidRPr="00616CC9">
        <w:rPr>
          <w:rFonts w:asciiTheme="minorHAnsi" w:hAnsiTheme="minorHAnsi"/>
        </w:rPr>
        <w:t xml:space="preserve">tis. Kč, naproti tomu v </w:t>
      </w:r>
      <w:r w:rsidR="00EB694F">
        <w:rPr>
          <w:rFonts w:asciiTheme="minorHAnsi" w:hAnsiTheme="minorHAnsi"/>
        </w:rPr>
        <w:t>dokumentaci programu</w:t>
      </w:r>
      <w:r w:rsidR="000A56F7" w:rsidRPr="00616CC9">
        <w:rPr>
          <w:rFonts w:asciiTheme="minorHAnsi" w:hAnsiTheme="minorHAnsi"/>
        </w:rPr>
        <w:t xml:space="preserve"> 114 120 z téhož roku pro věcně stejný cíl (parametr) </w:t>
      </w:r>
      <w:r w:rsidR="00F922BA">
        <w:rPr>
          <w:rFonts w:asciiTheme="minorHAnsi" w:hAnsiTheme="minorHAnsi"/>
        </w:rPr>
        <w:t>„</w:t>
      </w:r>
      <w:r w:rsidR="00F922BA">
        <w:rPr>
          <w:rFonts w:asciiTheme="minorHAnsi" w:hAnsiTheme="minorHAnsi"/>
          <w:i/>
        </w:rPr>
        <w:t>a</w:t>
      </w:r>
      <w:r w:rsidR="000A56F7" w:rsidRPr="00616CC9">
        <w:rPr>
          <w:rFonts w:asciiTheme="minorHAnsi" w:hAnsiTheme="minorHAnsi"/>
          <w:i/>
        </w:rPr>
        <w:t>utomobily osobní</w:t>
      </w:r>
      <w:r w:rsidR="00F922BA" w:rsidRPr="003D1368">
        <w:rPr>
          <w:rFonts w:asciiTheme="minorHAnsi" w:hAnsiTheme="minorHAnsi"/>
        </w:rPr>
        <w:t>“</w:t>
      </w:r>
      <w:r w:rsidR="000A56F7" w:rsidRPr="00616CC9">
        <w:rPr>
          <w:rFonts w:asciiTheme="minorHAnsi" w:hAnsiTheme="minorHAnsi"/>
          <w:i/>
        </w:rPr>
        <w:t xml:space="preserve"> </w:t>
      </w:r>
      <w:r w:rsidR="000A56F7" w:rsidRPr="000A56F7">
        <w:rPr>
          <w:rFonts w:asciiTheme="minorHAnsi" w:hAnsiTheme="minorHAnsi" w:cs="Arial"/>
        </w:rPr>
        <w:t>jednotkovou cenu ve výši 555 tis.</w:t>
      </w:r>
      <w:r w:rsidR="00F922BA">
        <w:rPr>
          <w:rFonts w:asciiTheme="minorHAnsi" w:hAnsiTheme="minorHAnsi" w:cs="Arial"/>
        </w:rPr>
        <w:t> </w:t>
      </w:r>
      <w:r w:rsidR="000A56F7" w:rsidRPr="000A56F7">
        <w:rPr>
          <w:rFonts w:asciiTheme="minorHAnsi" w:hAnsiTheme="minorHAnsi" w:cs="Arial"/>
        </w:rPr>
        <w:t>Kč.</w:t>
      </w:r>
      <w:r w:rsidR="00716011">
        <w:rPr>
          <w:rFonts w:asciiTheme="minorHAnsi" w:hAnsiTheme="minorHAnsi" w:cs="Arial"/>
        </w:rPr>
        <w:t xml:space="preserve"> </w:t>
      </w:r>
      <w:r w:rsidR="002A07D6">
        <w:rPr>
          <w:rFonts w:ascii="Calibri" w:hAnsi="Calibri" w:cstheme="minorHAnsi"/>
        </w:rPr>
        <w:t xml:space="preserve">MV </w:t>
      </w:r>
      <w:r w:rsidR="00914957">
        <w:rPr>
          <w:rFonts w:ascii="Calibri" w:hAnsi="Calibri" w:cstheme="minorHAnsi"/>
        </w:rPr>
        <w:t xml:space="preserve">pořizovalo v rámci investičních akcí </w:t>
      </w:r>
      <w:r w:rsidR="00914957" w:rsidRPr="00C25065">
        <w:rPr>
          <w:rFonts w:asciiTheme="minorHAnsi" w:hAnsiTheme="minorHAnsi"/>
          <w:spacing w:val="-1"/>
        </w:rPr>
        <w:t>od jednoho výrobce</w:t>
      </w:r>
      <w:r w:rsidR="00914957">
        <w:rPr>
          <w:rFonts w:asciiTheme="minorHAnsi" w:hAnsiTheme="minorHAnsi"/>
          <w:spacing w:val="-1"/>
        </w:rPr>
        <w:t xml:space="preserve"> různé</w:t>
      </w:r>
      <w:r w:rsidR="00914957" w:rsidRPr="00C25065">
        <w:rPr>
          <w:rFonts w:asciiTheme="minorHAnsi" w:hAnsiTheme="minorHAnsi"/>
          <w:spacing w:val="-1"/>
        </w:rPr>
        <w:t xml:space="preserve"> druh</w:t>
      </w:r>
      <w:r w:rsidR="00914957">
        <w:rPr>
          <w:rFonts w:asciiTheme="minorHAnsi" w:hAnsiTheme="minorHAnsi"/>
          <w:spacing w:val="-1"/>
        </w:rPr>
        <w:t xml:space="preserve">y automobilů, </w:t>
      </w:r>
      <w:r w:rsidR="003D79EB">
        <w:rPr>
          <w:rFonts w:asciiTheme="minorHAnsi" w:hAnsiTheme="minorHAnsi"/>
          <w:spacing w:val="-1"/>
        </w:rPr>
        <w:t xml:space="preserve">pořizovací </w:t>
      </w:r>
      <w:r w:rsidR="00914957">
        <w:rPr>
          <w:rFonts w:asciiTheme="minorHAnsi" w:hAnsiTheme="minorHAnsi"/>
          <w:spacing w:val="-1"/>
        </w:rPr>
        <w:t xml:space="preserve">cena se odvíjela od </w:t>
      </w:r>
      <w:r w:rsidR="00914957" w:rsidRPr="00C25065">
        <w:rPr>
          <w:rFonts w:asciiTheme="minorHAnsi" w:hAnsiTheme="minorHAnsi"/>
          <w:spacing w:val="-1"/>
        </w:rPr>
        <w:t xml:space="preserve">počtu </w:t>
      </w:r>
      <w:r w:rsidR="00914957">
        <w:rPr>
          <w:rFonts w:asciiTheme="minorHAnsi" w:hAnsiTheme="minorHAnsi"/>
          <w:spacing w:val="-1"/>
        </w:rPr>
        <w:t>automobilů</w:t>
      </w:r>
      <w:r w:rsidR="00914957" w:rsidRPr="00C25065">
        <w:rPr>
          <w:rFonts w:asciiTheme="minorHAnsi" w:hAnsiTheme="minorHAnsi"/>
          <w:spacing w:val="-1"/>
        </w:rPr>
        <w:t xml:space="preserve"> </w:t>
      </w:r>
      <w:r w:rsidR="00914957">
        <w:rPr>
          <w:rFonts w:asciiTheme="minorHAnsi" w:hAnsiTheme="minorHAnsi"/>
          <w:spacing w:val="-1"/>
        </w:rPr>
        <w:t>dané třídy, kategori</w:t>
      </w:r>
      <w:r w:rsidR="00F922BA">
        <w:rPr>
          <w:rFonts w:asciiTheme="minorHAnsi" w:hAnsiTheme="minorHAnsi"/>
          <w:spacing w:val="-1"/>
        </w:rPr>
        <w:t>e</w:t>
      </w:r>
      <w:r w:rsidR="00914957">
        <w:rPr>
          <w:rFonts w:asciiTheme="minorHAnsi" w:hAnsiTheme="minorHAnsi"/>
          <w:spacing w:val="-1"/>
        </w:rPr>
        <w:t>, typu a vy</w:t>
      </w:r>
      <w:r w:rsidR="00914957" w:rsidRPr="00C25065">
        <w:rPr>
          <w:rFonts w:asciiTheme="minorHAnsi" w:hAnsiTheme="minorHAnsi"/>
          <w:spacing w:val="-1"/>
        </w:rPr>
        <w:t>bav</w:t>
      </w:r>
      <w:r w:rsidR="00914957">
        <w:rPr>
          <w:rFonts w:asciiTheme="minorHAnsi" w:hAnsiTheme="minorHAnsi"/>
          <w:spacing w:val="-1"/>
        </w:rPr>
        <w:t xml:space="preserve">ení. Pokud se jednalo </w:t>
      </w:r>
      <w:r w:rsidR="000A56F7" w:rsidRPr="00C25065">
        <w:rPr>
          <w:rFonts w:asciiTheme="minorHAnsi" w:hAnsiTheme="minorHAnsi"/>
          <w:spacing w:val="-1"/>
        </w:rPr>
        <w:t xml:space="preserve">o speciální </w:t>
      </w:r>
      <w:r w:rsidR="009F1164">
        <w:rPr>
          <w:rFonts w:asciiTheme="minorHAnsi" w:hAnsiTheme="minorHAnsi"/>
          <w:spacing w:val="-1"/>
        </w:rPr>
        <w:t xml:space="preserve">automobily </w:t>
      </w:r>
      <w:r w:rsidR="000A56F7" w:rsidRPr="00C25065">
        <w:rPr>
          <w:rFonts w:asciiTheme="minorHAnsi" w:hAnsiTheme="minorHAnsi"/>
          <w:spacing w:val="-1"/>
        </w:rPr>
        <w:t>osobní</w:t>
      </w:r>
      <w:r w:rsidR="009F1164">
        <w:rPr>
          <w:rFonts w:asciiTheme="minorHAnsi" w:hAnsiTheme="minorHAnsi"/>
          <w:spacing w:val="-1"/>
        </w:rPr>
        <w:t xml:space="preserve"> v policejním provedení</w:t>
      </w:r>
      <w:r w:rsidR="000A56F7" w:rsidRPr="00C25065">
        <w:rPr>
          <w:rFonts w:asciiTheme="minorHAnsi" w:hAnsiTheme="minorHAnsi"/>
          <w:spacing w:val="-1"/>
        </w:rPr>
        <w:t xml:space="preserve"> </w:t>
      </w:r>
      <w:r w:rsidR="00F922BA">
        <w:rPr>
          <w:rFonts w:asciiTheme="minorHAnsi" w:hAnsiTheme="minorHAnsi"/>
          <w:spacing w:val="-1"/>
        </w:rPr>
        <w:t xml:space="preserve">určené </w:t>
      </w:r>
      <w:r w:rsidR="000A56F7" w:rsidRPr="00C25065">
        <w:rPr>
          <w:rFonts w:asciiTheme="minorHAnsi" w:hAnsiTheme="minorHAnsi"/>
          <w:spacing w:val="-1"/>
        </w:rPr>
        <w:t xml:space="preserve">pro dálniční oddělení </w:t>
      </w:r>
      <w:r w:rsidR="00DE07E8">
        <w:rPr>
          <w:rFonts w:asciiTheme="minorHAnsi" w:hAnsiTheme="minorHAnsi"/>
          <w:spacing w:val="-1"/>
        </w:rPr>
        <w:t>k</w:t>
      </w:r>
      <w:r w:rsidR="00F922BA">
        <w:rPr>
          <w:rFonts w:asciiTheme="minorHAnsi" w:hAnsiTheme="minorHAnsi"/>
          <w:spacing w:val="-1"/>
        </w:rPr>
        <w:t> </w:t>
      </w:r>
      <w:r w:rsidR="000A56F7" w:rsidRPr="00C25065">
        <w:rPr>
          <w:rFonts w:asciiTheme="minorHAnsi" w:hAnsiTheme="minorHAnsi"/>
          <w:spacing w:val="-1"/>
        </w:rPr>
        <w:t>dohled</w:t>
      </w:r>
      <w:r w:rsidR="00DE07E8">
        <w:rPr>
          <w:rFonts w:asciiTheme="minorHAnsi" w:hAnsiTheme="minorHAnsi"/>
          <w:spacing w:val="-1"/>
        </w:rPr>
        <w:t>u</w:t>
      </w:r>
      <w:r w:rsidR="000A56F7" w:rsidRPr="00C25065">
        <w:rPr>
          <w:rFonts w:asciiTheme="minorHAnsi" w:hAnsiTheme="minorHAnsi"/>
          <w:spacing w:val="-1"/>
        </w:rPr>
        <w:t xml:space="preserve"> na rychlostních komunikacích, </w:t>
      </w:r>
      <w:r w:rsidR="00914957">
        <w:rPr>
          <w:rFonts w:asciiTheme="minorHAnsi" w:hAnsiTheme="minorHAnsi"/>
          <w:spacing w:val="-1"/>
        </w:rPr>
        <w:t>byla</w:t>
      </w:r>
      <w:r w:rsidR="000A56F7" w:rsidRPr="00C25065">
        <w:rPr>
          <w:rFonts w:asciiTheme="minorHAnsi" w:hAnsiTheme="minorHAnsi"/>
          <w:spacing w:val="-1"/>
        </w:rPr>
        <w:t xml:space="preserve"> </w:t>
      </w:r>
      <w:r w:rsidR="003D79EB">
        <w:rPr>
          <w:rFonts w:asciiTheme="minorHAnsi" w:hAnsiTheme="minorHAnsi"/>
          <w:spacing w:val="-1"/>
        </w:rPr>
        <w:t xml:space="preserve">pořizovací </w:t>
      </w:r>
      <w:r w:rsidR="000A56F7" w:rsidRPr="00C25065">
        <w:rPr>
          <w:rFonts w:asciiTheme="minorHAnsi" w:hAnsiTheme="minorHAnsi"/>
          <w:spacing w:val="-1"/>
        </w:rPr>
        <w:t>cena opět jiná</w:t>
      </w:r>
      <w:r w:rsidR="00F922BA">
        <w:rPr>
          <w:rFonts w:asciiTheme="minorHAnsi" w:hAnsiTheme="minorHAnsi"/>
          <w:spacing w:val="-1"/>
        </w:rPr>
        <w:t>, a to</w:t>
      </w:r>
      <w:r w:rsidR="000A56F7" w:rsidRPr="00C25065">
        <w:rPr>
          <w:rFonts w:asciiTheme="minorHAnsi" w:hAnsiTheme="minorHAnsi"/>
          <w:spacing w:val="-1"/>
        </w:rPr>
        <w:t xml:space="preserve"> vzhledem k jejich vybavení měřicí technikou (např.</w:t>
      </w:r>
      <w:r w:rsidR="0013353D">
        <w:rPr>
          <w:rFonts w:asciiTheme="minorHAnsi" w:hAnsiTheme="minorHAnsi"/>
          <w:spacing w:val="-1"/>
        </w:rPr>
        <w:t xml:space="preserve"> </w:t>
      </w:r>
      <w:r w:rsidR="00F922BA">
        <w:rPr>
          <w:rFonts w:asciiTheme="minorHAnsi" w:hAnsiTheme="minorHAnsi"/>
          <w:spacing w:val="-1"/>
        </w:rPr>
        <w:t xml:space="preserve">v rámci </w:t>
      </w:r>
      <w:r w:rsidR="000A56F7" w:rsidRPr="00C25065">
        <w:rPr>
          <w:rFonts w:asciiTheme="minorHAnsi" w:hAnsiTheme="minorHAnsi"/>
          <w:spacing w:val="-1"/>
        </w:rPr>
        <w:t>akce</w:t>
      </w:r>
      <w:r w:rsidR="005740C8">
        <w:rPr>
          <w:rFonts w:asciiTheme="minorHAnsi" w:hAnsiTheme="minorHAnsi"/>
          <w:spacing w:val="-1"/>
        </w:rPr>
        <w:t xml:space="preserve"> </w:t>
      </w:r>
      <w:r w:rsidR="005740C8">
        <w:rPr>
          <w:rFonts w:ascii="Calibri" w:hAnsi="Calibri"/>
        </w:rPr>
        <w:t>č. </w:t>
      </w:r>
      <w:r w:rsidR="000A56F7" w:rsidRPr="00C25065">
        <w:rPr>
          <w:rFonts w:ascii="Calibri" w:hAnsi="Calibri"/>
        </w:rPr>
        <w:t xml:space="preserve">114V113003191 </w:t>
      </w:r>
      <w:r w:rsidR="00F922BA">
        <w:rPr>
          <w:rFonts w:ascii="Calibri" w:hAnsi="Calibri"/>
        </w:rPr>
        <w:t>byla jednotková cena stanovena ve výši</w:t>
      </w:r>
      <w:r w:rsidR="000A56F7" w:rsidRPr="00C25065">
        <w:rPr>
          <w:rFonts w:ascii="Calibri" w:hAnsi="Calibri"/>
        </w:rPr>
        <w:t xml:space="preserve"> 880,5 tis. Kč</w:t>
      </w:r>
      <w:r w:rsidR="000A56F7" w:rsidRPr="00C25065">
        <w:rPr>
          <w:rStyle w:val="Znakapoznpodarou"/>
          <w:rFonts w:ascii="Calibri" w:hAnsi="Calibri"/>
        </w:rPr>
        <w:footnoteReference w:id="26"/>
      </w:r>
      <w:r w:rsidR="000A56F7" w:rsidRPr="00C25065">
        <w:rPr>
          <w:rFonts w:ascii="Calibri" w:hAnsi="Calibri"/>
        </w:rPr>
        <w:t>).</w:t>
      </w:r>
      <w:r w:rsidR="000A56F7" w:rsidRPr="00C25065">
        <w:rPr>
          <w:rFonts w:asciiTheme="minorHAnsi" w:hAnsiTheme="minorHAnsi"/>
          <w:spacing w:val="-1"/>
        </w:rPr>
        <w:t xml:space="preserve"> </w:t>
      </w:r>
      <w:r w:rsidR="000A56F7" w:rsidRPr="00C25065">
        <w:rPr>
          <w:rFonts w:ascii="Calibri" w:hAnsi="Calibri"/>
        </w:rPr>
        <w:t xml:space="preserve">V případě investičních akcí, kde byly současně pořizovány kvalitativně odlišné typy </w:t>
      </w:r>
      <w:r w:rsidR="00453729">
        <w:rPr>
          <w:rFonts w:ascii="Calibri" w:hAnsi="Calibri" w:cs="Calibri"/>
        </w:rPr>
        <w:t>služebních dopravních prostředků</w:t>
      </w:r>
      <w:r w:rsidR="000A56F7" w:rsidRPr="00C25065">
        <w:rPr>
          <w:rFonts w:ascii="Calibri" w:hAnsi="Calibri"/>
        </w:rPr>
        <w:t>, se</w:t>
      </w:r>
      <w:r w:rsidR="006A7F10">
        <w:rPr>
          <w:rFonts w:ascii="Calibri" w:hAnsi="Calibri"/>
        </w:rPr>
        <w:t xml:space="preserve"> </w:t>
      </w:r>
      <w:r w:rsidR="003D79EB">
        <w:rPr>
          <w:rFonts w:ascii="Calibri" w:hAnsi="Calibri"/>
        </w:rPr>
        <w:t xml:space="preserve">pořizovací </w:t>
      </w:r>
      <w:r w:rsidR="000A56F7" w:rsidRPr="00C25065">
        <w:rPr>
          <w:rFonts w:ascii="Calibri" w:hAnsi="Calibri"/>
        </w:rPr>
        <w:t>cena aut</w:t>
      </w:r>
      <w:r w:rsidR="00821F8F">
        <w:rPr>
          <w:rFonts w:ascii="Calibri" w:hAnsi="Calibri"/>
        </w:rPr>
        <w:t>omobilů</w:t>
      </w:r>
      <w:r w:rsidR="000A56F7" w:rsidRPr="00C25065">
        <w:rPr>
          <w:rFonts w:ascii="Calibri" w:hAnsi="Calibri"/>
        </w:rPr>
        <w:t xml:space="preserve"> pohybovala v</w:t>
      </w:r>
      <w:r w:rsidR="0064321D">
        <w:rPr>
          <w:rFonts w:ascii="Calibri" w:hAnsi="Calibri"/>
        </w:rPr>
        <w:t> </w:t>
      </w:r>
      <w:r w:rsidR="000A56F7" w:rsidRPr="00C25065">
        <w:rPr>
          <w:rFonts w:ascii="Calibri" w:hAnsi="Calibri"/>
        </w:rPr>
        <w:t>rozmezí od 245,3 tis. Kč do 1 096 tis. Kč (</w:t>
      </w:r>
      <w:r w:rsidR="000A56F7">
        <w:rPr>
          <w:rFonts w:ascii="Calibri" w:hAnsi="Calibri"/>
        </w:rPr>
        <w:t xml:space="preserve">např. </w:t>
      </w:r>
      <w:r w:rsidR="000A56F7" w:rsidRPr="00C25065">
        <w:rPr>
          <w:rFonts w:ascii="Calibri" w:hAnsi="Calibri"/>
        </w:rPr>
        <w:t>akce č. 114V123005070)</w:t>
      </w:r>
      <w:r w:rsidR="000A56F7" w:rsidRPr="003D1368">
        <w:rPr>
          <w:rFonts w:ascii="Calibri" w:hAnsi="Calibri"/>
        </w:rPr>
        <w:t>.</w:t>
      </w:r>
    </w:p>
    <w:p w14:paraId="204CC201" w14:textId="6F4E52DF" w:rsidR="008F567E" w:rsidRDefault="000A56F7" w:rsidP="001F4A2E">
      <w:pPr>
        <w:spacing w:after="120"/>
        <w:jc w:val="both"/>
        <w:rPr>
          <w:rFonts w:asciiTheme="minorHAnsi" w:hAnsiTheme="minorHAnsi"/>
          <w:spacing w:val="-2"/>
        </w:rPr>
      </w:pPr>
      <w:r>
        <w:rPr>
          <w:rFonts w:ascii="Calibri" w:hAnsi="Calibri"/>
        </w:rPr>
        <w:t>N</w:t>
      </w:r>
      <w:r w:rsidR="002A68FA">
        <w:rPr>
          <w:rFonts w:ascii="Calibri" w:hAnsi="Calibri"/>
        </w:rPr>
        <w:t xml:space="preserve">KÚ </w:t>
      </w:r>
      <w:r>
        <w:rPr>
          <w:rFonts w:ascii="Calibri" w:hAnsi="Calibri"/>
        </w:rPr>
        <w:t xml:space="preserve">dále </w:t>
      </w:r>
      <w:r w:rsidR="002A68FA">
        <w:rPr>
          <w:rFonts w:ascii="Calibri" w:hAnsi="Calibri"/>
        </w:rPr>
        <w:t>porovnal</w:t>
      </w:r>
      <w:r w:rsidR="00F43955">
        <w:rPr>
          <w:rFonts w:ascii="Calibri" w:hAnsi="Calibri"/>
        </w:rPr>
        <w:t xml:space="preserve"> mj. </w:t>
      </w:r>
      <w:r w:rsidR="00F92FB1" w:rsidRPr="00F57D08">
        <w:rPr>
          <w:rFonts w:ascii="Calibri" w:hAnsi="Calibri"/>
          <w:spacing w:val="-1"/>
        </w:rPr>
        <w:t xml:space="preserve">jednotkové </w:t>
      </w:r>
      <w:r w:rsidR="00F92FB1" w:rsidRPr="00F57D08">
        <w:rPr>
          <w:rFonts w:ascii="Calibri" w:hAnsi="Calibri"/>
        </w:rPr>
        <w:t>ceny cílů (parametrů) programu</w:t>
      </w:r>
      <w:r w:rsidR="00F92FB1" w:rsidRPr="00F57D08">
        <w:rPr>
          <w:rFonts w:ascii="Calibri" w:hAnsi="Calibri"/>
          <w:spacing w:val="-2"/>
        </w:rPr>
        <w:t xml:space="preserve"> 114 110 dle </w:t>
      </w:r>
      <w:r w:rsidR="00714340">
        <w:rPr>
          <w:rFonts w:ascii="Calibri" w:hAnsi="Calibri"/>
          <w:spacing w:val="-2"/>
        </w:rPr>
        <w:t xml:space="preserve">dokumentací </w:t>
      </w:r>
      <w:r w:rsidR="0035485C">
        <w:rPr>
          <w:rFonts w:ascii="Calibri" w:hAnsi="Calibri"/>
          <w:spacing w:val="-2"/>
        </w:rPr>
        <w:t xml:space="preserve">z let </w:t>
      </w:r>
      <w:r w:rsidR="00F92FB1" w:rsidRPr="00F57D08">
        <w:rPr>
          <w:rFonts w:ascii="Calibri" w:hAnsi="Calibri"/>
          <w:spacing w:val="-2"/>
        </w:rPr>
        <w:t xml:space="preserve">2012 a 2015 a zjistil, že se </w:t>
      </w:r>
      <w:r w:rsidR="001F4A2E">
        <w:rPr>
          <w:rFonts w:ascii="Calibri" w:hAnsi="Calibri"/>
          <w:spacing w:val="-2"/>
        </w:rPr>
        <w:t xml:space="preserve">v některých případech </w:t>
      </w:r>
      <w:r w:rsidR="007E7AAC">
        <w:rPr>
          <w:rFonts w:ascii="Calibri" w:hAnsi="Calibri"/>
          <w:spacing w:val="-2"/>
        </w:rPr>
        <w:t>lišily</w:t>
      </w:r>
      <w:r w:rsidR="00F92FB1" w:rsidRPr="00F57D08">
        <w:rPr>
          <w:rFonts w:ascii="Calibri" w:hAnsi="Calibri"/>
          <w:spacing w:val="-2"/>
        </w:rPr>
        <w:t xml:space="preserve"> o desítky </w:t>
      </w:r>
      <w:r w:rsidR="007C19AA">
        <w:rPr>
          <w:rFonts w:ascii="Calibri" w:hAnsi="Calibri"/>
          <w:spacing w:val="-2"/>
        </w:rPr>
        <w:t>až stovky procent</w:t>
      </w:r>
      <w:r w:rsidR="00714340">
        <w:rPr>
          <w:rFonts w:ascii="Calibri" w:hAnsi="Calibri"/>
          <w:spacing w:val="-2"/>
        </w:rPr>
        <w:t xml:space="preserve"> (tabulka č. 5)</w:t>
      </w:r>
      <w:r w:rsidR="00F92FB1" w:rsidRPr="00F57D08">
        <w:rPr>
          <w:rFonts w:ascii="Calibri" w:hAnsi="Calibri"/>
          <w:spacing w:val="-2"/>
        </w:rPr>
        <w:t>.</w:t>
      </w:r>
      <w:r w:rsidR="001F4A2E" w:rsidRPr="001F4A2E">
        <w:rPr>
          <w:rFonts w:asciiTheme="minorHAnsi" w:hAnsiTheme="minorHAnsi"/>
          <w:spacing w:val="-2"/>
        </w:rPr>
        <w:t xml:space="preserve"> </w:t>
      </w:r>
      <w:r w:rsidR="002A68FA">
        <w:rPr>
          <w:rFonts w:asciiTheme="minorHAnsi" w:hAnsiTheme="minorHAnsi"/>
          <w:spacing w:val="-2"/>
        </w:rPr>
        <w:t>K</w:t>
      </w:r>
      <w:r w:rsidR="00714340">
        <w:rPr>
          <w:rFonts w:asciiTheme="minorHAnsi" w:hAnsiTheme="minorHAnsi"/>
          <w:spacing w:val="-2"/>
        </w:rPr>
        <w:t xml:space="preserve"> tomuto</w:t>
      </w:r>
      <w:r w:rsidR="002A68FA">
        <w:rPr>
          <w:rFonts w:asciiTheme="minorHAnsi" w:hAnsiTheme="minorHAnsi"/>
          <w:spacing w:val="-2"/>
        </w:rPr>
        <w:t xml:space="preserve"> zjištění </w:t>
      </w:r>
      <w:r w:rsidR="00E45CCE">
        <w:rPr>
          <w:rFonts w:asciiTheme="minorHAnsi" w:hAnsiTheme="minorHAnsi"/>
          <w:spacing w:val="-2"/>
        </w:rPr>
        <w:t xml:space="preserve">MV </w:t>
      </w:r>
      <w:r w:rsidR="001F4A2E">
        <w:rPr>
          <w:rFonts w:asciiTheme="minorHAnsi" w:hAnsiTheme="minorHAnsi"/>
          <w:spacing w:val="-2"/>
        </w:rPr>
        <w:t>argument</w:t>
      </w:r>
      <w:r w:rsidR="00E45CCE">
        <w:rPr>
          <w:rFonts w:asciiTheme="minorHAnsi" w:hAnsiTheme="minorHAnsi"/>
          <w:spacing w:val="-2"/>
        </w:rPr>
        <w:t>ovalo</w:t>
      </w:r>
      <w:r w:rsidR="001F4A2E">
        <w:rPr>
          <w:rFonts w:asciiTheme="minorHAnsi" w:hAnsiTheme="minorHAnsi"/>
          <w:spacing w:val="-2"/>
        </w:rPr>
        <w:t xml:space="preserve"> vývoje</w:t>
      </w:r>
      <w:r w:rsidR="00F909FA">
        <w:rPr>
          <w:rFonts w:asciiTheme="minorHAnsi" w:hAnsiTheme="minorHAnsi"/>
          <w:spacing w:val="-2"/>
        </w:rPr>
        <w:t>m</w:t>
      </w:r>
      <w:r w:rsidR="001F4A2E">
        <w:rPr>
          <w:rFonts w:asciiTheme="minorHAnsi" w:hAnsiTheme="minorHAnsi"/>
          <w:spacing w:val="-2"/>
        </w:rPr>
        <w:t xml:space="preserve"> cen komodit v čase, změnou poža</w:t>
      </w:r>
      <w:r w:rsidR="00E45CCE">
        <w:rPr>
          <w:rFonts w:asciiTheme="minorHAnsi" w:hAnsiTheme="minorHAnsi"/>
          <w:spacing w:val="-2"/>
        </w:rPr>
        <w:t>davků výkonu služby nebo způsobem</w:t>
      </w:r>
      <w:r w:rsidR="001F4A2E">
        <w:rPr>
          <w:rFonts w:asciiTheme="minorHAnsi" w:hAnsiTheme="minorHAnsi"/>
          <w:spacing w:val="-2"/>
        </w:rPr>
        <w:t xml:space="preserve"> </w:t>
      </w:r>
      <w:r w:rsidR="001F4A2E" w:rsidRPr="00CC4E25">
        <w:rPr>
          <w:rFonts w:asciiTheme="minorHAnsi" w:hAnsiTheme="minorHAnsi"/>
          <w:spacing w:val="-2"/>
        </w:rPr>
        <w:t>sestavení</w:t>
      </w:r>
      <w:r w:rsidR="001F4A2E">
        <w:rPr>
          <w:rFonts w:asciiTheme="minorHAnsi" w:hAnsiTheme="minorHAnsi"/>
          <w:spacing w:val="-2"/>
        </w:rPr>
        <w:t xml:space="preserve"> </w:t>
      </w:r>
      <w:r w:rsidR="00EB694F">
        <w:rPr>
          <w:rFonts w:asciiTheme="minorHAnsi" w:hAnsiTheme="minorHAnsi"/>
        </w:rPr>
        <w:t>dokumentace programu</w:t>
      </w:r>
      <w:r w:rsidR="001F4A2E" w:rsidRPr="00CC4E25">
        <w:rPr>
          <w:rFonts w:asciiTheme="minorHAnsi" w:hAnsiTheme="minorHAnsi"/>
          <w:spacing w:val="-2"/>
        </w:rPr>
        <w:t>.</w:t>
      </w:r>
      <w:r w:rsidR="001F4A2E">
        <w:rPr>
          <w:rFonts w:asciiTheme="minorHAnsi" w:hAnsiTheme="minorHAnsi"/>
          <w:spacing w:val="-2"/>
        </w:rPr>
        <w:t xml:space="preserve"> </w:t>
      </w:r>
      <w:r w:rsidR="00815B41">
        <w:rPr>
          <w:rFonts w:asciiTheme="minorHAnsi" w:hAnsiTheme="minorHAnsi"/>
          <w:spacing w:val="-2"/>
        </w:rPr>
        <w:t xml:space="preserve">Uvedené obecné důvody ale změny jednotkových cen </w:t>
      </w:r>
      <w:r w:rsidR="00E45CCE">
        <w:rPr>
          <w:rFonts w:asciiTheme="minorHAnsi" w:hAnsiTheme="minorHAnsi"/>
          <w:spacing w:val="-2"/>
        </w:rPr>
        <w:t xml:space="preserve">vysvětlují </w:t>
      </w:r>
      <w:r w:rsidR="00815B41">
        <w:rPr>
          <w:rFonts w:asciiTheme="minorHAnsi" w:hAnsiTheme="minorHAnsi"/>
          <w:spacing w:val="-2"/>
        </w:rPr>
        <w:t>pouze část</w:t>
      </w:r>
      <w:r w:rsidR="00E45CCE">
        <w:rPr>
          <w:rFonts w:asciiTheme="minorHAnsi" w:hAnsiTheme="minorHAnsi"/>
          <w:spacing w:val="-2"/>
        </w:rPr>
        <w:t>ečně</w:t>
      </w:r>
      <w:r w:rsidR="00815B41">
        <w:rPr>
          <w:rFonts w:asciiTheme="minorHAnsi" w:hAnsiTheme="minorHAnsi"/>
          <w:spacing w:val="-2"/>
        </w:rPr>
        <w:t>.</w:t>
      </w:r>
    </w:p>
    <w:p w14:paraId="3BBB6107" w14:textId="0A6134BD" w:rsidR="00F92FB1" w:rsidRDefault="0005371B" w:rsidP="003D1368">
      <w:pPr>
        <w:pStyle w:val="Titulek"/>
        <w:keepNext/>
        <w:spacing w:after="0"/>
        <w:ind w:left="1304" w:hanging="1304"/>
        <w:jc w:val="both"/>
        <w:rPr>
          <w:rFonts w:ascii="Calibri" w:hAnsi="Calibri"/>
          <w:b/>
          <w:i w:val="0"/>
          <w:color w:val="auto"/>
          <w:sz w:val="24"/>
          <w:szCs w:val="24"/>
        </w:rPr>
      </w:pPr>
      <w:r>
        <w:rPr>
          <w:rFonts w:ascii="Calibri" w:hAnsi="Calibri"/>
          <w:b/>
          <w:i w:val="0"/>
          <w:color w:val="auto"/>
          <w:sz w:val="24"/>
          <w:szCs w:val="24"/>
        </w:rPr>
        <w:lastRenderedPageBreak/>
        <w:t>Tabulka č</w:t>
      </w:r>
      <w:r w:rsidR="00925A4B">
        <w:rPr>
          <w:rFonts w:ascii="Calibri" w:hAnsi="Calibri"/>
          <w:b/>
          <w:i w:val="0"/>
          <w:color w:val="auto"/>
          <w:sz w:val="24"/>
          <w:szCs w:val="24"/>
        </w:rPr>
        <w:t>. 5:</w:t>
      </w:r>
      <w:r>
        <w:rPr>
          <w:rFonts w:ascii="Calibri" w:hAnsi="Calibri"/>
          <w:b/>
          <w:i w:val="0"/>
          <w:color w:val="auto"/>
          <w:sz w:val="24"/>
          <w:szCs w:val="24"/>
        </w:rPr>
        <w:t xml:space="preserve"> </w:t>
      </w:r>
      <w:r w:rsidR="00B265F1">
        <w:rPr>
          <w:rFonts w:ascii="Calibri" w:hAnsi="Calibri"/>
          <w:b/>
          <w:i w:val="0"/>
          <w:color w:val="auto"/>
          <w:sz w:val="24"/>
          <w:szCs w:val="24"/>
        </w:rPr>
        <w:tab/>
      </w:r>
      <w:r w:rsidR="00F92FB1" w:rsidRPr="00F57D08">
        <w:rPr>
          <w:rFonts w:ascii="Calibri" w:hAnsi="Calibri"/>
          <w:b/>
          <w:i w:val="0"/>
          <w:color w:val="auto"/>
          <w:sz w:val="24"/>
          <w:szCs w:val="24"/>
        </w:rPr>
        <w:t xml:space="preserve">Srovnání vybraných jednotkových cen cílů (parametrů) programu 114 110 dle </w:t>
      </w:r>
      <w:r w:rsidR="00EB694F" w:rsidRPr="00EB694F">
        <w:rPr>
          <w:rFonts w:ascii="Calibri" w:hAnsi="Calibri"/>
          <w:b/>
          <w:i w:val="0"/>
          <w:color w:val="auto"/>
          <w:sz w:val="24"/>
          <w:szCs w:val="24"/>
        </w:rPr>
        <w:t>dokumentac</w:t>
      </w:r>
      <w:r w:rsidR="0035485C">
        <w:rPr>
          <w:rFonts w:ascii="Calibri" w:hAnsi="Calibri"/>
          <w:b/>
          <w:i w:val="0"/>
          <w:color w:val="auto"/>
          <w:sz w:val="24"/>
          <w:szCs w:val="24"/>
        </w:rPr>
        <w:t>í</w:t>
      </w:r>
      <w:r w:rsidR="00EB694F" w:rsidRPr="00EB694F">
        <w:rPr>
          <w:rFonts w:ascii="Calibri" w:hAnsi="Calibri"/>
          <w:b/>
          <w:i w:val="0"/>
          <w:color w:val="auto"/>
          <w:sz w:val="24"/>
          <w:szCs w:val="24"/>
        </w:rPr>
        <w:t xml:space="preserve"> </w:t>
      </w:r>
      <w:r w:rsidR="0035485C">
        <w:rPr>
          <w:rFonts w:ascii="Calibri" w:hAnsi="Calibri"/>
          <w:b/>
          <w:i w:val="0"/>
          <w:color w:val="auto"/>
          <w:sz w:val="24"/>
          <w:szCs w:val="24"/>
        </w:rPr>
        <w:t>z let</w:t>
      </w:r>
      <w:r w:rsidR="00F92FB1" w:rsidRPr="00F57D08">
        <w:rPr>
          <w:rFonts w:ascii="Calibri" w:hAnsi="Calibri"/>
          <w:b/>
          <w:i w:val="0"/>
          <w:color w:val="auto"/>
          <w:sz w:val="24"/>
          <w:szCs w:val="24"/>
        </w:rPr>
        <w:t xml:space="preserve"> 2012 </w:t>
      </w:r>
      <w:r w:rsidR="0035485C">
        <w:rPr>
          <w:rFonts w:ascii="Calibri" w:hAnsi="Calibri"/>
          <w:b/>
          <w:i w:val="0"/>
          <w:color w:val="auto"/>
          <w:sz w:val="24"/>
          <w:szCs w:val="24"/>
        </w:rPr>
        <w:t xml:space="preserve">a </w:t>
      </w:r>
      <w:r w:rsidR="00F92FB1" w:rsidRPr="00F57D08">
        <w:rPr>
          <w:rFonts w:ascii="Calibri" w:hAnsi="Calibri"/>
          <w:b/>
          <w:i w:val="0"/>
          <w:color w:val="auto"/>
          <w:sz w:val="24"/>
          <w:szCs w:val="24"/>
        </w:rPr>
        <w:t>2015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6"/>
        <w:gridCol w:w="993"/>
        <w:gridCol w:w="1559"/>
        <w:gridCol w:w="1559"/>
        <w:gridCol w:w="1416"/>
      </w:tblGrid>
      <w:tr w:rsidR="00EF477E" w14:paraId="04744983" w14:textId="77777777" w:rsidTr="001F27F0">
        <w:trPr>
          <w:trHeight w:val="400"/>
          <w:jc w:val="center"/>
        </w:trPr>
        <w:tc>
          <w:tcPr>
            <w:tcW w:w="1951" w:type="pct"/>
            <w:vMerge w:val="restart"/>
            <w:shd w:val="clear" w:color="auto" w:fill="DAEEF3" w:themeFill="accent5" w:themeFillTint="33"/>
            <w:vAlign w:val="center"/>
            <w:hideMark/>
          </w:tcPr>
          <w:p w14:paraId="19A0E871" w14:textId="4E30DA40" w:rsidR="00EF477E" w:rsidRPr="00D870FA" w:rsidRDefault="00EF477E" w:rsidP="003D1368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870FA">
              <w:rPr>
                <w:rFonts w:asciiTheme="minorHAnsi" w:hAnsiTheme="minorHAnsi"/>
                <w:b/>
                <w:bCs/>
                <w:sz w:val="20"/>
                <w:szCs w:val="20"/>
              </w:rPr>
              <w:t>Cíl (parametr)</w:t>
            </w:r>
          </w:p>
        </w:tc>
        <w:tc>
          <w:tcPr>
            <w:tcW w:w="548" w:type="pct"/>
            <w:vMerge w:val="restart"/>
            <w:shd w:val="clear" w:color="auto" w:fill="DAEEF3" w:themeFill="accent5" w:themeFillTint="33"/>
            <w:vAlign w:val="center"/>
            <w:hideMark/>
          </w:tcPr>
          <w:p w14:paraId="4D01FA7C" w14:textId="77777777" w:rsidR="00EF477E" w:rsidRPr="00D870FA" w:rsidRDefault="00EF477E" w:rsidP="003D1368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870FA">
              <w:rPr>
                <w:rFonts w:asciiTheme="minorHAnsi" w:hAnsiTheme="minorHAnsi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860" w:type="pct"/>
            <w:shd w:val="clear" w:color="auto" w:fill="DAEEF3" w:themeFill="accent5" w:themeFillTint="33"/>
            <w:vAlign w:val="center"/>
            <w:hideMark/>
          </w:tcPr>
          <w:p w14:paraId="5FF3532B" w14:textId="77777777" w:rsidR="00EF477E" w:rsidRPr="00D870FA" w:rsidRDefault="00EF477E" w:rsidP="003D1368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870FA">
              <w:rPr>
                <w:rFonts w:asciiTheme="minorHAnsi" w:hAnsiTheme="minorHAnsi"/>
                <w:b/>
                <w:bCs/>
                <w:sz w:val="20"/>
                <w:szCs w:val="20"/>
              </w:rPr>
              <w:t>Jednotková cena v tis. Kč</w:t>
            </w:r>
          </w:p>
        </w:tc>
        <w:tc>
          <w:tcPr>
            <w:tcW w:w="860" w:type="pct"/>
            <w:shd w:val="clear" w:color="auto" w:fill="DAEEF3" w:themeFill="accent5" w:themeFillTint="33"/>
            <w:vAlign w:val="center"/>
            <w:hideMark/>
          </w:tcPr>
          <w:p w14:paraId="14CA7696" w14:textId="77777777" w:rsidR="00EF477E" w:rsidRPr="00D870FA" w:rsidRDefault="00EF477E" w:rsidP="003D1368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870FA">
              <w:rPr>
                <w:rFonts w:asciiTheme="minorHAnsi" w:hAnsiTheme="minorHAnsi"/>
                <w:b/>
                <w:bCs/>
                <w:sz w:val="20"/>
                <w:szCs w:val="20"/>
              </w:rPr>
              <w:t>Jednotková cena v tis. Kč</w:t>
            </w:r>
          </w:p>
        </w:tc>
        <w:tc>
          <w:tcPr>
            <w:tcW w:w="781" w:type="pct"/>
            <w:vMerge w:val="restart"/>
            <w:shd w:val="clear" w:color="auto" w:fill="DAEEF3" w:themeFill="accent5" w:themeFillTint="33"/>
            <w:vAlign w:val="center"/>
            <w:hideMark/>
          </w:tcPr>
          <w:p w14:paraId="3634036D" w14:textId="77777777" w:rsidR="00EF477E" w:rsidRPr="00D870FA" w:rsidRDefault="00EF477E" w:rsidP="003D1368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870FA">
              <w:rPr>
                <w:rFonts w:asciiTheme="minorHAnsi" w:hAnsiTheme="minorHAnsi"/>
                <w:b/>
                <w:bCs/>
                <w:sz w:val="20"/>
                <w:szCs w:val="20"/>
              </w:rPr>
              <w:t>Změny jednotkových cen 2015/2012</w:t>
            </w:r>
          </w:p>
        </w:tc>
      </w:tr>
      <w:tr w:rsidR="00EF477E" w14:paraId="29844FEC" w14:textId="77777777" w:rsidTr="00A30D5B">
        <w:trPr>
          <w:trHeight w:val="255"/>
          <w:jc w:val="center"/>
        </w:trPr>
        <w:tc>
          <w:tcPr>
            <w:tcW w:w="1951" w:type="pct"/>
            <w:vMerge/>
            <w:shd w:val="clear" w:color="auto" w:fill="E5F1FF"/>
            <w:vAlign w:val="center"/>
            <w:hideMark/>
          </w:tcPr>
          <w:p w14:paraId="7C34E30E" w14:textId="77777777" w:rsidR="00EF477E" w:rsidRPr="00D870FA" w:rsidRDefault="00EF477E" w:rsidP="003D1368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  <w:shd w:val="clear" w:color="auto" w:fill="E5F1FF"/>
            <w:vAlign w:val="center"/>
            <w:hideMark/>
          </w:tcPr>
          <w:p w14:paraId="13F78055" w14:textId="77777777" w:rsidR="00EF477E" w:rsidRPr="00D870FA" w:rsidRDefault="00EF477E" w:rsidP="003D1368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DAEEF3" w:themeFill="accent5" w:themeFillTint="33"/>
            <w:vAlign w:val="center"/>
          </w:tcPr>
          <w:p w14:paraId="1902F441" w14:textId="77777777" w:rsidR="00EF477E" w:rsidRPr="00D870FA" w:rsidRDefault="00EF477E" w:rsidP="003D1368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870FA">
              <w:rPr>
                <w:rFonts w:asciiTheme="minorHAnsi" w:hAnsiTheme="minorHAnsi"/>
                <w:b/>
                <w:bCs/>
                <w:sz w:val="20"/>
                <w:szCs w:val="20"/>
              </w:rPr>
              <w:t>aktualizace 2012</w:t>
            </w:r>
          </w:p>
        </w:tc>
        <w:tc>
          <w:tcPr>
            <w:tcW w:w="860" w:type="pct"/>
            <w:shd w:val="clear" w:color="auto" w:fill="DAEEF3" w:themeFill="accent5" w:themeFillTint="33"/>
            <w:vAlign w:val="center"/>
          </w:tcPr>
          <w:p w14:paraId="21611E02" w14:textId="77777777" w:rsidR="00EF477E" w:rsidRPr="00D870FA" w:rsidRDefault="00EF477E" w:rsidP="003D1368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870FA">
              <w:rPr>
                <w:rFonts w:asciiTheme="minorHAnsi" w:hAnsiTheme="minorHAnsi"/>
                <w:b/>
                <w:bCs/>
                <w:sz w:val="20"/>
                <w:szCs w:val="20"/>
              </w:rPr>
              <w:t>aktualizace 2015</w:t>
            </w:r>
          </w:p>
        </w:tc>
        <w:tc>
          <w:tcPr>
            <w:tcW w:w="781" w:type="pct"/>
            <w:vMerge/>
            <w:shd w:val="clear" w:color="auto" w:fill="E5F1FF"/>
            <w:noWrap/>
            <w:vAlign w:val="center"/>
            <w:hideMark/>
          </w:tcPr>
          <w:p w14:paraId="25C8F5A4" w14:textId="77777777" w:rsidR="00EF477E" w:rsidRPr="00D870FA" w:rsidRDefault="00EF477E" w:rsidP="003D1368">
            <w:pPr>
              <w:keepNext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2FB1" w14:paraId="471241D5" w14:textId="77777777" w:rsidTr="00A30D5B">
        <w:trPr>
          <w:trHeight w:val="255"/>
          <w:jc w:val="center"/>
        </w:trPr>
        <w:tc>
          <w:tcPr>
            <w:tcW w:w="1951" w:type="pct"/>
            <w:shd w:val="clear" w:color="auto" w:fill="auto"/>
            <w:vAlign w:val="center"/>
            <w:hideMark/>
          </w:tcPr>
          <w:p w14:paraId="53FAE52D" w14:textId="77777777" w:rsidR="00F92FB1" w:rsidRPr="00D870FA" w:rsidRDefault="00F92FB1" w:rsidP="003D1368">
            <w:pPr>
              <w:keepNext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Informační systémy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5B36E462" w14:textId="77777777" w:rsidR="00F92FB1" w:rsidRPr="00D870FA" w:rsidRDefault="00F92FB1" w:rsidP="003D1368">
            <w:pPr>
              <w:keepNext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komplet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63E4792A" w14:textId="77777777" w:rsidR="00F92FB1" w:rsidRPr="00D870FA" w:rsidRDefault="00F92FB1" w:rsidP="003D1368">
            <w:pPr>
              <w:keepNext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10 300,875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4F0919DF" w14:textId="77777777" w:rsidR="00F92FB1" w:rsidRPr="00D870FA" w:rsidRDefault="00F92FB1" w:rsidP="003D1368">
            <w:pPr>
              <w:keepNext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4 098,684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2B326325" w14:textId="63E58888" w:rsidR="00F92FB1" w:rsidRPr="00D870FA" w:rsidRDefault="0035485C" w:rsidP="003D1368">
            <w:pPr>
              <w:keepNext/>
              <w:ind w:right="35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60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F92FB1" w14:paraId="2169547F" w14:textId="77777777" w:rsidTr="00A30D5B">
        <w:trPr>
          <w:trHeight w:val="255"/>
          <w:jc w:val="center"/>
        </w:trPr>
        <w:tc>
          <w:tcPr>
            <w:tcW w:w="1951" w:type="pct"/>
            <w:shd w:val="clear" w:color="auto" w:fill="auto"/>
            <w:vAlign w:val="center"/>
            <w:hideMark/>
          </w:tcPr>
          <w:p w14:paraId="2274557B" w14:textId="77777777" w:rsidR="00F92FB1" w:rsidRPr="00D870FA" w:rsidRDefault="00F92FB1" w:rsidP="003D1368">
            <w:pPr>
              <w:keepNext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 xml:space="preserve">Aktivní síťové prvky 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64002600" w14:textId="77777777" w:rsidR="00F92FB1" w:rsidRPr="00D870FA" w:rsidRDefault="00F92FB1" w:rsidP="003D1368">
            <w:pPr>
              <w:keepNext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74BEB16D" w14:textId="77777777" w:rsidR="00F92FB1" w:rsidRPr="00D870FA" w:rsidRDefault="00F92FB1" w:rsidP="003D1368">
            <w:pPr>
              <w:keepNext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186,857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52A9A439" w14:textId="77777777" w:rsidR="00F92FB1" w:rsidRPr="00D870FA" w:rsidRDefault="00F92FB1" w:rsidP="003D1368">
            <w:pPr>
              <w:keepNext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344,514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510E01D6" w14:textId="77B3BB4B" w:rsidR="00F92FB1" w:rsidRPr="00D870FA" w:rsidRDefault="00F92FB1" w:rsidP="003D1368">
            <w:pPr>
              <w:keepNext/>
              <w:ind w:right="35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+84</w:t>
            </w:r>
            <w:r w:rsidR="0035485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870FA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F92FB1" w14:paraId="5D60875B" w14:textId="77777777" w:rsidTr="00A30D5B">
        <w:trPr>
          <w:trHeight w:val="255"/>
          <w:jc w:val="center"/>
        </w:trPr>
        <w:tc>
          <w:tcPr>
            <w:tcW w:w="1951" w:type="pct"/>
            <w:shd w:val="clear" w:color="auto" w:fill="auto"/>
            <w:vAlign w:val="center"/>
            <w:hideMark/>
          </w:tcPr>
          <w:p w14:paraId="60DB593C" w14:textId="77777777" w:rsidR="00F92FB1" w:rsidRPr="00D870FA" w:rsidRDefault="00F92FB1" w:rsidP="003D1368">
            <w:pPr>
              <w:keepNext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Telefonní ústředny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59FB4F7A" w14:textId="77777777" w:rsidR="00F92FB1" w:rsidRPr="00D870FA" w:rsidRDefault="00F92FB1" w:rsidP="003D1368">
            <w:pPr>
              <w:keepNext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komplet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1924DEC1" w14:textId="77777777" w:rsidR="00F92FB1" w:rsidRPr="00D870FA" w:rsidRDefault="00F92FB1" w:rsidP="003D1368">
            <w:pPr>
              <w:keepNext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9 902,750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36824703" w14:textId="77777777" w:rsidR="00F92FB1" w:rsidRPr="00D870FA" w:rsidRDefault="00F92FB1" w:rsidP="003D1368">
            <w:pPr>
              <w:keepNext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3 627,700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3EEB2112" w14:textId="3EB10351" w:rsidR="00F92FB1" w:rsidRPr="00D870FA" w:rsidRDefault="0035485C" w:rsidP="003D1368">
            <w:pPr>
              <w:keepNext/>
              <w:ind w:right="35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63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F92FB1" w14:paraId="6A14158C" w14:textId="77777777" w:rsidTr="00A30D5B">
        <w:trPr>
          <w:trHeight w:val="319"/>
          <w:jc w:val="center"/>
        </w:trPr>
        <w:tc>
          <w:tcPr>
            <w:tcW w:w="1951" w:type="pct"/>
            <w:shd w:val="clear" w:color="auto" w:fill="auto"/>
            <w:vAlign w:val="center"/>
            <w:hideMark/>
          </w:tcPr>
          <w:p w14:paraId="5B358367" w14:textId="27D914CB" w:rsidR="00F92FB1" w:rsidRPr="00D870FA" w:rsidRDefault="00F92FB1" w:rsidP="003D1368">
            <w:pPr>
              <w:keepNext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 xml:space="preserve">HW </w:t>
            </w:r>
            <w:r w:rsidR="0035485C">
              <w:rPr>
                <w:rFonts w:asciiTheme="minorHAnsi" w:hAnsiTheme="minorHAnsi"/>
                <w:sz w:val="20"/>
                <w:szCs w:val="20"/>
              </w:rPr>
              <w:t>–</w:t>
            </w:r>
            <w:r w:rsidRPr="00D870FA">
              <w:rPr>
                <w:rFonts w:asciiTheme="minorHAnsi" w:hAnsiTheme="minorHAnsi"/>
                <w:sz w:val="20"/>
                <w:szCs w:val="20"/>
              </w:rPr>
              <w:t xml:space="preserve"> výpočetní technika 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2EFEDBFD" w14:textId="77777777" w:rsidR="00F92FB1" w:rsidRPr="00D870FA" w:rsidRDefault="00F92FB1" w:rsidP="003D1368">
            <w:pPr>
              <w:keepNext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024A3D06" w14:textId="77777777" w:rsidR="00F92FB1" w:rsidRPr="00D870FA" w:rsidRDefault="00F92FB1" w:rsidP="003D1368">
            <w:pPr>
              <w:keepNext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1 169,467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7513C6EC" w14:textId="77777777" w:rsidR="00F92FB1" w:rsidRPr="00D870FA" w:rsidRDefault="00F92FB1" w:rsidP="003D1368">
            <w:pPr>
              <w:keepNext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305,273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12C35156" w14:textId="59E48F7F" w:rsidR="00F92FB1" w:rsidRPr="00D870FA" w:rsidRDefault="0035485C" w:rsidP="003D1368">
            <w:pPr>
              <w:keepNext/>
              <w:ind w:right="35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74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F92FB1" w14:paraId="46AF89FA" w14:textId="77777777" w:rsidTr="00A30D5B">
        <w:trPr>
          <w:trHeight w:val="300"/>
          <w:jc w:val="center"/>
        </w:trPr>
        <w:tc>
          <w:tcPr>
            <w:tcW w:w="1951" w:type="pct"/>
            <w:shd w:val="clear" w:color="auto" w:fill="auto"/>
            <w:vAlign w:val="center"/>
            <w:hideMark/>
          </w:tcPr>
          <w:p w14:paraId="1F8B9CBD" w14:textId="77777777" w:rsidR="00F92FB1" w:rsidRPr="00D870FA" w:rsidRDefault="00816779" w:rsidP="003D1368">
            <w:pPr>
              <w:keepNext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Výstavba, 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rekonstrukce a mod</w:t>
            </w:r>
            <w:r w:rsidR="007C0F54">
              <w:rPr>
                <w:rFonts w:asciiTheme="minorHAnsi" w:hAnsiTheme="minorHAnsi"/>
                <w:sz w:val="20"/>
                <w:szCs w:val="20"/>
              </w:rPr>
              <w:t>ernizace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 xml:space="preserve"> objektů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A08C252" w14:textId="77777777" w:rsidR="00F92FB1" w:rsidRPr="00D870FA" w:rsidRDefault="00F92FB1" w:rsidP="003D1368">
            <w:pPr>
              <w:keepNext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m</w:t>
            </w:r>
            <w:r w:rsidRPr="00D870F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4D139E74" w14:textId="77777777" w:rsidR="00F92FB1" w:rsidRPr="00D870FA" w:rsidRDefault="00F92FB1" w:rsidP="003D1368">
            <w:pPr>
              <w:keepNext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1,143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04B299BE" w14:textId="77777777" w:rsidR="00F92FB1" w:rsidRPr="00D870FA" w:rsidRDefault="00F92FB1" w:rsidP="003D1368">
            <w:pPr>
              <w:keepNext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4,318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52C0BA15" w14:textId="3061F259" w:rsidR="00F92FB1" w:rsidRPr="00D870FA" w:rsidRDefault="00F92FB1" w:rsidP="003D1368">
            <w:pPr>
              <w:keepNext/>
              <w:ind w:right="35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+278</w:t>
            </w:r>
            <w:r w:rsidR="0035485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870FA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F92FB1" w14:paraId="5866AD84" w14:textId="77777777" w:rsidTr="00A30D5B">
        <w:trPr>
          <w:trHeight w:val="255"/>
          <w:jc w:val="center"/>
        </w:trPr>
        <w:tc>
          <w:tcPr>
            <w:tcW w:w="1951" w:type="pct"/>
            <w:shd w:val="clear" w:color="auto" w:fill="auto"/>
            <w:vAlign w:val="center"/>
            <w:hideMark/>
          </w:tcPr>
          <w:p w14:paraId="574D0732" w14:textId="77777777" w:rsidR="00F92FB1" w:rsidRPr="00D870FA" w:rsidRDefault="00F92FB1" w:rsidP="0057146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Automobily osobní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119FF07" w14:textId="77777777" w:rsidR="00F92FB1" w:rsidRPr="00D870FA" w:rsidRDefault="00F92FB1" w:rsidP="005714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1D597EAB" w14:textId="77777777" w:rsidR="00F92FB1" w:rsidRPr="00D870FA" w:rsidRDefault="00F92FB1" w:rsidP="005714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351,532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0D5D38C5" w14:textId="77777777" w:rsidR="00F92FB1" w:rsidRPr="00D870FA" w:rsidRDefault="00F92FB1" w:rsidP="005714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533,260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4C579E74" w14:textId="389B19CC" w:rsidR="00F92FB1" w:rsidRPr="00D870FA" w:rsidRDefault="00F92FB1" w:rsidP="003D1368">
            <w:pPr>
              <w:ind w:right="35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+52</w:t>
            </w:r>
            <w:r w:rsidR="0035485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870FA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F92FB1" w14:paraId="6AA3BD35" w14:textId="77777777" w:rsidTr="00A30D5B">
        <w:trPr>
          <w:trHeight w:val="255"/>
          <w:jc w:val="center"/>
        </w:trPr>
        <w:tc>
          <w:tcPr>
            <w:tcW w:w="1951" w:type="pct"/>
            <w:shd w:val="clear" w:color="auto" w:fill="auto"/>
            <w:vAlign w:val="center"/>
            <w:hideMark/>
          </w:tcPr>
          <w:p w14:paraId="761B97F0" w14:textId="77777777" w:rsidR="00F92FB1" w:rsidRPr="00D870FA" w:rsidRDefault="00F92FB1" w:rsidP="0057146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Mikrobusy a autobusy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1BA0BD1D" w14:textId="77777777" w:rsidR="00F92FB1" w:rsidRPr="00D870FA" w:rsidRDefault="00F92FB1" w:rsidP="005714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0083BCCF" w14:textId="77777777" w:rsidR="00F92FB1" w:rsidRPr="00D870FA" w:rsidRDefault="00F92FB1" w:rsidP="005714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848,454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58EEF850" w14:textId="77777777" w:rsidR="00F92FB1" w:rsidRPr="00D870FA" w:rsidRDefault="00F92FB1" w:rsidP="005714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973,200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62B8E7DC" w14:textId="31397C4E" w:rsidR="00F92FB1" w:rsidRPr="00D870FA" w:rsidRDefault="00F92FB1" w:rsidP="003D1368">
            <w:pPr>
              <w:ind w:right="35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+15</w:t>
            </w:r>
            <w:r w:rsidR="0035485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870FA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F92FB1" w14:paraId="76FA6836" w14:textId="77777777" w:rsidTr="00A30D5B">
        <w:trPr>
          <w:trHeight w:val="255"/>
          <w:jc w:val="center"/>
        </w:trPr>
        <w:tc>
          <w:tcPr>
            <w:tcW w:w="1951" w:type="pct"/>
            <w:shd w:val="clear" w:color="auto" w:fill="auto"/>
            <w:vAlign w:val="center"/>
            <w:hideMark/>
          </w:tcPr>
          <w:p w14:paraId="269E95BD" w14:textId="77777777" w:rsidR="00F92FB1" w:rsidRPr="00D870FA" w:rsidRDefault="00F92FB1" w:rsidP="0057146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Automobily nákladní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2CE33453" w14:textId="77777777" w:rsidR="00F92FB1" w:rsidRPr="00D870FA" w:rsidRDefault="00F92FB1" w:rsidP="005714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235B24A1" w14:textId="77777777" w:rsidR="00F92FB1" w:rsidRPr="00D870FA" w:rsidRDefault="00F92FB1" w:rsidP="005714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830,400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7A98EB1C" w14:textId="77777777" w:rsidR="00F92FB1" w:rsidRPr="00D870FA" w:rsidRDefault="00F92FB1" w:rsidP="005714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620,585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57807AF8" w14:textId="2F6D8D72" w:rsidR="00F92FB1" w:rsidRPr="00D870FA" w:rsidRDefault="0035485C" w:rsidP="003D1368">
            <w:pPr>
              <w:ind w:right="35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25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F92FB1" w14:paraId="17DE2B1B" w14:textId="77777777" w:rsidTr="00A30D5B">
        <w:trPr>
          <w:trHeight w:val="255"/>
          <w:jc w:val="center"/>
        </w:trPr>
        <w:tc>
          <w:tcPr>
            <w:tcW w:w="1951" w:type="pct"/>
            <w:shd w:val="clear" w:color="auto" w:fill="auto"/>
            <w:vAlign w:val="center"/>
            <w:hideMark/>
          </w:tcPr>
          <w:p w14:paraId="7F7CE3F0" w14:textId="77777777" w:rsidR="00F92FB1" w:rsidRPr="00D870FA" w:rsidRDefault="00F92FB1" w:rsidP="0057146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Automobily speciální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754165FF" w14:textId="77777777" w:rsidR="00F92FB1" w:rsidRPr="00D870FA" w:rsidRDefault="00F92FB1" w:rsidP="005714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68F2D28F" w14:textId="77777777" w:rsidR="00F92FB1" w:rsidRPr="00D870FA" w:rsidRDefault="00F92FB1" w:rsidP="005714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3 408,643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46849995" w14:textId="77777777" w:rsidR="00F92FB1" w:rsidRPr="00D870FA" w:rsidRDefault="00F92FB1" w:rsidP="005714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907,778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6804B69A" w14:textId="38143135" w:rsidR="00F92FB1" w:rsidRPr="00D870FA" w:rsidRDefault="0035485C" w:rsidP="003D1368">
            <w:pPr>
              <w:ind w:right="35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73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F92FB1" w14:paraId="2D643F70" w14:textId="77777777" w:rsidTr="00A30D5B">
        <w:trPr>
          <w:trHeight w:val="255"/>
          <w:jc w:val="center"/>
        </w:trPr>
        <w:tc>
          <w:tcPr>
            <w:tcW w:w="1951" w:type="pct"/>
            <w:shd w:val="clear" w:color="auto" w:fill="auto"/>
            <w:vAlign w:val="center"/>
            <w:hideMark/>
          </w:tcPr>
          <w:p w14:paraId="412879A2" w14:textId="77777777" w:rsidR="00F92FB1" w:rsidRPr="00D870FA" w:rsidRDefault="00F92FB1" w:rsidP="0057146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Reprografická technika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8CF18FD" w14:textId="77777777" w:rsidR="00F92FB1" w:rsidRPr="00D870FA" w:rsidRDefault="00F92FB1" w:rsidP="005714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4BFE7348" w14:textId="77777777" w:rsidR="00F92FB1" w:rsidRPr="00D870FA" w:rsidRDefault="00F92FB1" w:rsidP="005714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324,000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7B997508" w14:textId="77777777" w:rsidR="00F92FB1" w:rsidRPr="00D870FA" w:rsidRDefault="00F92FB1" w:rsidP="005714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46,854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492BB8FB" w14:textId="066E8667" w:rsidR="00F92FB1" w:rsidRPr="00D870FA" w:rsidRDefault="0035485C" w:rsidP="003D1368">
            <w:pPr>
              <w:ind w:right="35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86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F92FB1" w14:paraId="76D44833" w14:textId="77777777" w:rsidTr="00A30D5B">
        <w:trPr>
          <w:trHeight w:val="255"/>
          <w:jc w:val="center"/>
        </w:trPr>
        <w:tc>
          <w:tcPr>
            <w:tcW w:w="1951" w:type="pct"/>
            <w:shd w:val="clear" w:color="auto" w:fill="auto"/>
            <w:vAlign w:val="center"/>
            <w:hideMark/>
          </w:tcPr>
          <w:p w14:paraId="79E285C0" w14:textId="77777777" w:rsidR="00F92FB1" w:rsidRPr="00D870FA" w:rsidRDefault="00F92FB1" w:rsidP="0057146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Foto a krimi technika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0231FD55" w14:textId="77777777" w:rsidR="00F92FB1" w:rsidRPr="00D870FA" w:rsidRDefault="00F92FB1" w:rsidP="0057146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kus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52D04C9E" w14:textId="77777777" w:rsidR="00F92FB1" w:rsidRPr="00D870FA" w:rsidRDefault="00F92FB1" w:rsidP="005714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2 147,625</w:t>
            </w:r>
          </w:p>
        </w:tc>
        <w:tc>
          <w:tcPr>
            <w:tcW w:w="860" w:type="pct"/>
            <w:shd w:val="clear" w:color="auto" w:fill="auto"/>
            <w:noWrap/>
            <w:vAlign w:val="center"/>
            <w:hideMark/>
          </w:tcPr>
          <w:p w14:paraId="1C181FB8" w14:textId="77777777" w:rsidR="00F92FB1" w:rsidRPr="00D870FA" w:rsidRDefault="00F92FB1" w:rsidP="0057146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70FA">
              <w:rPr>
                <w:rFonts w:asciiTheme="minorHAnsi" w:hAnsiTheme="minorHAnsi"/>
                <w:sz w:val="20"/>
                <w:szCs w:val="20"/>
              </w:rPr>
              <w:t>1 660,154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14:paraId="6485A9E9" w14:textId="43001DA7" w:rsidR="00F92FB1" w:rsidRPr="00D870FA" w:rsidRDefault="0035485C" w:rsidP="003D1368">
            <w:pPr>
              <w:ind w:right="35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97737">
              <w:rPr>
                <w:rFonts w:ascii="Calibri" w:hAnsi="Calibri" w:cs="Calibri"/>
                <w:sz w:val="20"/>
                <w:szCs w:val="20"/>
              </w:rPr>
              <w:t>−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23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2FB1" w:rsidRPr="00D870FA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</w:tbl>
    <w:p w14:paraId="48E2D6B2" w14:textId="767E77BE" w:rsidR="00F92FB1" w:rsidRPr="00320EE0" w:rsidRDefault="00F92FB1" w:rsidP="00F92FB1">
      <w:pPr>
        <w:spacing w:after="120"/>
        <w:jc w:val="both"/>
        <w:rPr>
          <w:rFonts w:asciiTheme="minorHAnsi" w:hAnsiTheme="minorHAnsi"/>
          <w:spacing w:val="-2"/>
          <w:sz w:val="20"/>
          <w:szCs w:val="18"/>
        </w:rPr>
      </w:pPr>
      <w:r w:rsidRPr="00DA7058">
        <w:rPr>
          <w:rFonts w:asciiTheme="minorHAnsi" w:hAnsiTheme="minorHAnsi"/>
          <w:b/>
          <w:spacing w:val="-2"/>
          <w:sz w:val="20"/>
          <w:szCs w:val="18"/>
        </w:rPr>
        <w:t>Zdroj:</w:t>
      </w:r>
      <w:r w:rsidRPr="00320EE0">
        <w:rPr>
          <w:rFonts w:asciiTheme="minorHAnsi" w:hAnsiTheme="minorHAnsi"/>
          <w:spacing w:val="-2"/>
          <w:sz w:val="20"/>
          <w:szCs w:val="18"/>
        </w:rPr>
        <w:t xml:space="preserve"> </w:t>
      </w:r>
      <w:r w:rsidR="0035485C">
        <w:rPr>
          <w:rFonts w:asciiTheme="minorHAnsi" w:hAnsiTheme="minorHAnsi"/>
          <w:spacing w:val="-2"/>
          <w:sz w:val="20"/>
          <w:szCs w:val="18"/>
        </w:rPr>
        <w:t>d</w:t>
      </w:r>
      <w:r w:rsidR="00EB694F" w:rsidRPr="00320EE0">
        <w:rPr>
          <w:rFonts w:asciiTheme="minorHAnsi" w:hAnsiTheme="minorHAnsi"/>
          <w:spacing w:val="-2"/>
          <w:sz w:val="20"/>
          <w:szCs w:val="18"/>
        </w:rPr>
        <w:t>okumentace programu</w:t>
      </w:r>
      <w:r w:rsidRPr="00320EE0">
        <w:rPr>
          <w:rFonts w:asciiTheme="minorHAnsi" w:hAnsiTheme="minorHAnsi"/>
          <w:spacing w:val="-2"/>
          <w:sz w:val="20"/>
          <w:szCs w:val="18"/>
        </w:rPr>
        <w:t xml:space="preserve"> 114 110 z roku 2012 a z roku 2015</w:t>
      </w:r>
      <w:r w:rsidR="00DA7058">
        <w:rPr>
          <w:rFonts w:asciiTheme="minorHAnsi" w:hAnsiTheme="minorHAnsi"/>
          <w:spacing w:val="-2"/>
          <w:sz w:val="20"/>
          <w:szCs w:val="18"/>
        </w:rPr>
        <w:t>.</w:t>
      </w:r>
    </w:p>
    <w:p w14:paraId="41534268" w14:textId="3921E37E" w:rsidR="002A07D6" w:rsidRDefault="00EB694F" w:rsidP="003D136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Dokumentace programu</w:t>
      </w:r>
      <w:r w:rsidRPr="006655A8">
        <w:rPr>
          <w:rFonts w:asciiTheme="minorHAnsi" w:hAnsiTheme="minorHAnsi"/>
        </w:rPr>
        <w:t xml:space="preserve"> </w:t>
      </w:r>
      <w:r w:rsidR="006964DF" w:rsidRPr="006964DF">
        <w:rPr>
          <w:rFonts w:asciiTheme="minorHAnsi" w:hAnsiTheme="minorHAnsi"/>
        </w:rPr>
        <w:t xml:space="preserve">114 110 </w:t>
      </w:r>
      <w:r w:rsidR="000A56F7">
        <w:rPr>
          <w:rFonts w:asciiTheme="minorHAnsi" w:hAnsiTheme="minorHAnsi"/>
        </w:rPr>
        <w:t xml:space="preserve">např. </w:t>
      </w:r>
      <w:r w:rsidR="006964DF" w:rsidRPr="006964DF">
        <w:rPr>
          <w:rFonts w:asciiTheme="minorHAnsi" w:hAnsiTheme="minorHAnsi"/>
        </w:rPr>
        <w:t xml:space="preserve">stanovila pro cíl </w:t>
      </w:r>
      <w:r w:rsidR="0035485C">
        <w:rPr>
          <w:rFonts w:asciiTheme="minorHAnsi" w:hAnsiTheme="minorHAnsi"/>
        </w:rPr>
        <w:t>„</w:t>
      </w:r>
      <w:r w:rsidR="006964DF" w:rsidRPr="003D1368">
        <w:rPr>
          <w:rFonts w:asciiTheme="minorHAnsi" w:hAnsiTheme="minorHAnsi"/>
          <w:i/>
        </w:rPr>
        <w:t>výstavb</w:t>
      </w:r>
      <w:r w:rsidR="0035485C" w:rsidRPr="003D1368">
        <w:rPr>
          <w:rFonts w:asciiTheme="minorHAnsi" w:hAnsiTheme="minorHAnsi"/>
          <w:i/>
        </w:rPr>
        <w:t>a</w:t>
      </w:r>
      <w:r w:rsidR="006964DF" w:rsidRPr="003D1368">
        <w:rPr>
          <w:rFonts w:asciiTheme="minorHAnsi" w:hAnsiTheme="minorHAnsi"/>
          <w:i/>
        </w:rPr>
        <w:t>, rekonstrukc</w:t>
      </w:r>
      <w:r w:rsidR="0035485C" w:rsidRPr="003D1368">
        <w:rPr>
          <w:rFonts w:asciiTheme="minorHAnsi" w:hAnsiTheme="minorHAnsi"/>
          <w:i/>
        </w:rPr>
        <w:t>e</w:t>
      </w:r>
      <w:r w:rsidR="006964DF" w:rsidRPr="003D1368">
        <w:rPr>
          <w:rFonts w:asciiTheme="minorHAnsi" w:hAnsiTheme="minorHAnsi"/>
          <w:i/>
        </w:rPr>
        <w:t xml:space="preserve"> a</w:t>
      </w:r>
      <w:r w:rsidR="0035485C">
        <w:rPr>
          <w:rFonts w:asciiTheme="minorHAnsi" w:hAnsiTheme="minorHAnsi"/>
          <w:i/>
        </w:rPr>
        <w:t> </w:t>
      </w:r>
      <w:r w:rsidR="006964DF" w:rsidRPr="003D1368">
        <w:rPr>
          <w:rFonts w:asciiTheme="minorHAnsi" w:hAnsiTheme="minorHAnsi"/>
          <w:i/>
        </w:rPr>
        <w:t>modernizac</w:t>
      </w:r>
      <w:r w:rsidR="0035485C" w:rsidRPr="003D1368">
        <w:rPr>
          <w:rFonts w:asciiTheme="minorHAnsi" w:hAnsiTheme="minorHAnsi"/>
          <w:i/>
        </w:rPr>
        <w:t>e</w:t>
      </w:r>
      <w:r w:rsidR="006964DF" w:rsidRPr="003D1368">
        <w:rPr>
          <w:rFonts w:asciiTheme="minorHAnsi" w:hAnsiTheme="minorHAnsi"/>
          <w:i/>
        </w:rPr>
        <w:t xml:space="preserve"> objektů</w:t>
      </w:r>
      <w:r w:rsidR="0035485C">
        <w:rPr>
          <w:rFonts w:asciiTheme="minorHAnsi" w:hAnsiTheme="minorHAnsi"/>
        </w:rPr>
        <w:t>“</w:t>
      </w:r>
      <w:r w:rsidR="006964DF">
        <w:rPr>
          <w:rFonts w:asciiTheme="minorHAnsi" w:hAnsiTheme="minorHAnsi"/>
        </w:rPr>
        <w:t xml:space="preserve"> jednotkovou cenu ve výši </w:t>
      </w:r>
      <w:r w:rsidR="006964DF" w:rsidRPr="0066452A">
        <w:rPr>
          <w:rFonts w:asciiTheme="minorHAnsi" w:hAnsiTheme="minorHAnsi"/>
        </w:rPr>
        <w:t>4 403 Kč/m³.</w:t>
      </w:r>
      <w:r w:rsidR="006964DF">
        <w:rPr>
          <w:rFonts w:asciiTheme="minorHAnsi" w:hAnsiTheme="minorHAnsi"/>
        </w:rPr>
        <w:t xml:space="preserve"> NKÚ </w:t>
      </w:r>
      <w:r w:rsidR="004C1394">
        <w:rPr>
          <w:rFonts w:asciiTheme="minorHAnsi" w:hAnsiTheme="minorHAnsi"/>
        </w:rPr>
        <w:t>zjistil</w:t>
      </w:r>
      <w:r w:rsidR="00720B2F">
        <w:rPr>
          <w:rFonts w:asciiTheme="minorHAnsi" w:hAnsiTheme="minorHAnsi"/>
        </w:rPr>
        <w:t>, že</w:t>
      </w:r>
      <w:r w:rsidR="006964DF">
        <w:rPr>
          <w:rFonts w:asciiTheme="minorHAnsi" w:hAnsiTheme="minorHAnsi"/>
        </w:rPr>
        <w:t xml:space="preserve"> </w:t>
      </w:r>
      <w:r w:rsidR="00720B2F">
        <w:rPr>
          <w:rFonts w:asciiTheme="minorHAnsi" w:hAnsiTheme="minorHAnsi"/>
        </w:rPr>
        <w:t xml:space="preserve">u stavebních úprav v rámci redislokace v Praze 7 (akce </w:t>
      </w:r>
      <w:r w:rsidR="006964DF" w:rsidRPr="006964DF">
        <w:rPr>
          <w:rFonts w:asciiTheme="minorHAnsi" w:hAnsiTheme="minorHAnsi"/>
        </w:rPr>
        <w:t>č. 114V112003056</w:t>
      </w:r>
      <w:r w:rsidR="00720B2F">
        <w:rPr>
          <w:rFonts w:asciiTheme="minorHAnsi" w:hAnsiTheme="minorHAnsi"/>
        </w:rPr>
        <w:t xml:space="preserve">) byla </w:t>
      </w:r>
      <w:r w:rsidR="005A1D42">
        <w:rPr>
          <w:rFonts w:asciiTheme="minorHAnsi" w:hAnsiTheme="minorHAnsi"/>
        </w:rPr>
        <w:t xml:space="preserve">skutečná </w:t>
      </w:r>
      <w:r w:rsidR="00720B2F">
        <w:rPr>
          <w:rFonts w:asciiTheme="minorHAnsi" w:hAnsiTheme="minorHAnsi"/>
        </w:rPr>
        <w:t>cena</w:t>
      </w:r>
      <w:r w:rsidR="006964DF" w:rsidRPr="006964DF">
        <w:rPr>
          <w:rFonts w:asciiTheme="minorHAnsi" w:hAnsiTheme="minorHAnsi"/>
        </w:rPr>
        <w:t xml:space="preserve"> </w:t>
      </w:r>
      <w:r w:rsidR="006964DF" w:rsidRPr="00365168">
        <w:rPr>
          <w:rFonts w:asciiTheme="minorHAnsi" w:hAnsiTheme="minorHAnsi"/>
        </w:rPr>
        <w:t>15 207 Kč/m³</w:t>
      </w:r>
      <w:r w:rsidR="006964DF">
        <w:rPr>
          <w:rFonts w:asciiTheme="minorHAnsi" w:hAnsiTheme="minorHAnsi"/>
        </w:rPr>
        <w:t xml:space="preserve">, což je </w:t>
      </w:r>
      <w:r w:rsidR="00A0736D">
        <w:rPr>
          <w:rFonts w:asciiTheme="minorHAnsi" w:hAnsiTheme="minorHAnsi"/>
        </w:rPr>
        <w:t xml:space="preserve">téměř </w:t>
      </w:r>
      <w:r w:rsidR="00F97B44">
        <w:rPr>
          <w:rFonts w:asciiTheme="minorHAnsi" w:hAnsiTheme="minorHAnsi"/>
        </w:rPr>
        <w:t>3,5násobek</w:t>
      </w:r>
      <w:r w:rsidR="006964DF">
        <w:rPr>
          <w:rFonts w:asciiTheme="minorHAnsi" w:hAnsiTheme="minorHAnsi"/>
        </w:rPr>
        <w:t>.</w:t>
      </w:r>
      <w:r w:rsidR="006964DF" w:rsidRPr="006964DF">
        <w:rPr>
          <w:rFonts w:asciiTheme="minorHAnsi" w:hAnsiTheme="minorHAnsi"/>
        </w:rPr>
        <w:t xml:space="preserve"> </w:t>
      </w:r>
      <w:r w:rsidR="0035485C">
        <w:rPr>
          <w:rFonts w:asciiTheme="minorHAnsi" w:hAnsiTheme="minorHAnsi"/>
        </w:rPr>
        <w:t>N</w:t>
      </w:r>
      <w:r w:rsidR="002A07D6">
        <w:rPr>
          <w:rFonts w:asciiTheme="minorHAnsi" w:hAnsiTheme="minorHAnsi"/>
        </w:rPr>
        <w:t xml:space="preserve">avýšením ceny </w:t>
      </w:r>
      <w:r w:rsidR="0035485C">
        <w:rPr>
          <w:rFonts w:asciiTheme="minorHAnsi" w:hAnsiTheme="minorHAnsi"/>
        </w:rPr>
        <w:t xml:space="preserve">se </w:t>
      </w:r>
      <w:r w:rsidR="0035485C" w:rsidRPr="006964DF">
        <w:rPr>
          <w:rFonts w:asciiTheme="minorHAnsi" w:hAnsiTheme="minorHAnsi"/>
        </w:rPr>
        <w:t xml:space="preserve">MV </w:t>
      </w:r>
      <w:r w:rsidR="002A07D6">
        <w:rPr>
          <w:rFonts w:asciiTheme="minorHAnsi" w:hAnsiTheme="minorHAnsi"/>
        </w:rPr>
        <w:t>ve vyhodnocení akce nezabývalo.</w:t>
      </w:r>
    </w:p>
    <w:p w14:paraId="6B5B3300" w14:textId="77777777" w:rsidR="006F1820" w:rsidRDefault="006F1820" w:rsidP="003D1368">
      <w:pPr>
        <w:jc w:val="both"/>
        <w:rPr>
          <w:rFonts w:asciiTheme="minorHAnsi" w:hAnsiTheme="minorHAnsi"/>
        </w:rPr>
      </w:pPr>
    </w:p>
    <w:p w14:paraId="32275E28" w14:textId="4CC98BA2" w:rsidR="00586DA1" w:rsidRPr="001A44AD" w:rsidRDefault="0087316C" w:rsidP="00586DA1">
      <w:pPr>
        <w:pStyle w:val="Odstavecseseznamem"/>
        <w:numPr>
          <w:ilvl w:val="0"/>
          <w:numId w:val="26"/>
        </w:numPr>
        <w:spacing w:after="120"/>
        <w:ind w:left="357" w:hanging="357"/>
        <w:jc w:val="both"/>
        <w:rPr>
          <w:rFonts w:asciiTheme="minorHAnsi" w:hAnsiTheme="minorHAnsi" w:cs="Calibri"/>
          <w:b/>
          <w:color w:val="000000"/>
        </w:rPr>
      </w:pPr>
      <w:r w:rsidRPr="00586DA1">
        <w:rPr>
          <w:rFonts w:asciiTheme="minorHAnsi" w:hAnsiTheme="minorHAnsi" w:cs="Calibri"/>
          <w:b/>
          <w:color w:val="000000"/>
        </w:rPr>
        <w:t xml:space="preserve">V případě </w:t>
      </w:r>
      <w:r w:rsidR="00CA47EA" w:rsidRPr="00586DA1">
        <w:rPr>
          <w:rFonts w:asciiTheme="minorHAnsi" w:hAnsiTheme="minorHAnsi" w:cs="Calibri"/>
          <w:b/>
          <w:color w:val="000000"/>
        </w:rPr>
        <w:t>centrálně pořizovaného majetku</w:t>
      </w:r>
      <w:r w:rsidRPr="00586DA1">
        <w:rPr>
          <w:rFonts w:asciiTheme="minorHAnsi" w:hAnsiTheme="minorHAnsi" w:cs="Calibri"/>
          <w:b/>
          <w:color w:val="000000"/>
        </w:rPr>
        <w:t xml:space="preserve"> je proces předkládání a posuzování </w:t>
      </w:r>
      <w:r w:rsidR="00D466E0" w:rsidRPr="00586DA1">
        <w:rPr>
          <w:rFonts w:asciiTheme="minorHAnsi" w:hAnsiTheme="minorHAnsi" w:cs="Calibri"/>
          <w:b/>
          <w:color w:val="000000"/>
        </w:rPr>
        <w:t>investičních záměrů</w:t>
      </w:r>
      <w:r w:rsidRPr="00586DA1">
        <w:rPr>
          <w:rFonts w:asciiTheme="minorHAnsi" w:hAnsiTheme="minorHAnsi" w:cs="Calibri"/>
          <w:b/>
          <w:color w:val="000000"/>
        </w:rPr>
        <w:t xml:space="preserve"> </w:t>
      </w:r>
      <w:r w:rsidRPr="00586DA1">
        <w:rPr>
          <w:rFonts w:asciiTheme="minorHAnsi" w:hAnsiTheme="minorHAnsi" w:cs="Calibri"/>
          <w:b/>
        </w:rPr>
        <w:t>formální</w:t>
      </w:r>
      <w:bookmarkStart w:id="8" w:name="_Toc487446125"/>
      <w:r w:rsidR="00586DA1" w:rsidRPr="00586DA1">
        <w:rPr>
          <w:rFonts w:asciiTheme="minorHAnsi" w:hAnsiTheme="minorHAnsi" w:cs="Calibri"/>
          <w:b/>
        </w:rPr>
        <w:t xml:space="preserve">. </w:t>
      </w:r>
      <w:r w:rsidR="00586DA1" w:rsidRPr="001A44AD">
        <w:rPr>
          <w:rFonts w:asciiTheme="minorHAnsi" w:hAnsiTheme="minorHAnsi" w:cs="Calibri"/>
          <w:b/>
          <w:color w:val="000000"/>
        </w:rPr>
        <w:t xml:space="preserve">Nedostatečná příprava stavebních akcí </w:t>
      </w:r>
      <w:r w:rsidR="00586DA1">
        <w:rPr>
          <w:rFonts w:asciiTheme="minorHAnsi" w:hAnsiTheme="minorHAnsi" w:cs="Calibri"/>
          <w:b/>
          <w:color w:val="000000"/>
        </w:rPr>
        <w:t>ze strany MV i</w:t>
      </w:r>
      <w:r w:rsidR="007E7AAC">
        <w:rPr>
          <w:rFonts w:asciiTheme="minorHAnsi" w:hAnsiTheme="minorHAnsi" w:cs="Calibri"/>
          <w:b/>
          <w:color w:val="000000"/>
        </w:rPr>
        <w:t> </w:t>
      </w:r>
      <w:r w:rsidR="00586DA1">
        <w:rPr>
          <w:rFonts w:asciiTheme="minorHAnsi" w:hAnsiTheme="minorHAnsi" w:cs="Calibri"/>
          <w:b/>
          <w:color w:val="000000"/>
        </w:rPr>
        <w:t xml:space="preserve">krajských ředitelství policie </w:t>
      </w:r>
      <w:r w:rsidR="00586DA1" w:rsidRPr="001A44AD">
        <w:rPr>
          <w:rFonts w:asciiTheme="minorHAnsi" w:hAnsiTheme="minorHAnsi" w:cs="Calibri"/>
          <w:b/>
          <w:color w:val="000000"/>
        </w:rPr>
        <w:t>vede k růstu předpokládaných nákladů</w:t>
      </w:r>
      <w:r w:rsidR="0035485C">
        <w:rPr>
          <w:rFonts w:asciiTheme="minorHAnsi" w:hAnsiTheme="minorHAnsi" w:cs="Calibri"/>
          <w:b/>
          <w:color w:val="000000"/>
        </w:rPr>
        <w:t>,</w:t>
      </w:r>
      <w:r w:rsidR="00586DA1" w:rsidRPr="001A44AD">
        <w:rPr>
          <w:rFonts w:asciiTheme="minorHAnsi" w:hAnsiTheme="minorHAnsi" w:cs="Calibri"/>
          <w:b/>
          <w:color w:val="000000"/>
        </w:rPr>
        <w:t xml:space="preserve"> </w:t>
      </w:r>
      <w:r w:rsidR="0035485C">
        <w:rPr>
          <w:rFonts w:asciiTheme="minorHAnsi" w:hAnsiTheme="minorHAnsi" w:cs="Calibri"/>
          <w:b/>
          <w:color w:val="000000"/>
        </w:rPr>
        <w:t>k</w:t>
      </w:r>
      <w:r w:rsidR="00586DA1" w:rsidRPr="001A44AD">
        <w:rPr>
          <w:rFonts w:asciiTheme="minorHAnsi" w:hAnsiTheme="minorHAnsi" w:cs="Calibri"/>
          <w:b/>
          <w:color w:val="000000"/>
        </w:rPr>
        <w:t xml:space="preserve"> nutnosti realizace víceprací a k </w:t>
      </w:r>
      <w:r w:rsidR="0035485C">
        <w:rPr>
          <w:rFonts w:asciiTheme="minorHAnsi" w:hAnsiTheme="minorHAnsi" w:cs="Calibri"/>
          <w:b/>
          <w:color w:val="000000"/>
        </w:rPr>
        <w:t>prodlužování</w:t>
      </w:r>
      <w:r w:rsidR="00586DA1" w:rsidRPr="001A44AD">
        <w:rPr>
          <w:rFonts w:asciiTheme="minorHAnsi" w:hAnsiTheme="minorHAnsi" w:cs="Calibri"/>
          <w:b/>
          <w:color w:val="000000"/>
        </w:rPr>
        <w:t xml:space="preserve"> doby realizace. </w:t>
      </w:r>
    </w:p>
    <w:p w14:paraId="2B53FE39" w14:textId="3AE5CEFC" w:rsidR="00040808" w:rsidRPr="00586DA1" w:rsidRDefault="00CA47EA" w:rsidP="00586DA1">
      <w:pPr>
        <w:spacing w:after="120"/>
        <w:jc w:val="both"/>
        <w:rPr>
          <w:rFonts w:asciiTheme="minorHAnsi" w:hAnsiTheme="minorHAnsi"/>
        </w:rPr>
      </w:pPr>
      <w:r w:rsidRPr="00586DA1">
        <w:rPr>
          <w:rFonts w:asciiTheme="minorHAnsi" w:hAnsiTheme="minorHAnsi"/>
        </w:rPr>
        <w:t>R</w:t>
      </w:r>
      <w:bookmarkEnd w:id="8"/>
      <w:r w:rsidR="00E51469" w:rsidRPr="00586DA1">
        <w:rPr>
          <w:rFonts w:asciiTheme="minorHAnsi" w:hAnsiTheme="minorHAnsi"/>
        </w:rPr>
        <w:t xml:space="preserve">egistraci akce v informačním systému provádí MV na základě </w:t>
      </w:r>
      <w:r w:rsidR="00D466E0" w:rsidRPr="00586DA1">
        <w:rPr>
          <w:rFonts w:asciiTheme="minorHAnsi" w:hAnsiTheme="minorHAnsi"/>
        </w:rPr>
        <w:t>investičního záměru</w:t>
      </w:r>
      <w:r w:rsidR="005B3DFE" w:rsidRPr="00586DA1">
        <w:rPr>
          <w:rFonts w:asciiTheme="minorHAnsi" w:hAnsiTheme="minorHAnsi"/>
        </w:rPr>
        <w:t xml:space="preserve"> </w:t>
      </w:r>
      <w:r w:rsidR="00E51469" w:rsidRPr="00586DA1">
        <w:rPr>
          <w:rFonts w:asciiTheme="minorHAnsi" w:hAnsiTheme="minorHAnsi"/>
        </w:rPr>
        <w:t xml:space="preserve">obsahujícího věcné, časové a finanční určení akce, její </w:t>
      </w:r>
      <w:r w:rsidR="00FB5DF0" w:rsidRPr="00586DA1">
        <w:rPr>
          <w:rFonts w:asciiTheme="minorHAnsi" w:hAnsiTheme="minorHAnsi"/>
        </w:rPr>
        <w:t>technickoekonomické</w:t>
      </w:r>
      <w:r w:rsidR="00E51469" w:rsidRPr="00586DA1">
        <w:rPr>
          <w:rFonts w:asciiTheme="minorHAnsi" w:hAnsiTheme="minorHAnsi"/>
        </w:rPr>
        <w:t xml:space="preserve"> zdůvodnění a</w:t>
      </w:r>
      <w:r w:rsidR="0064321D" w:rsidRPr="00586DA1">
        <w:rPr>
          <w:rFonts w:asciiTheme="minorHAnsi" w:hAnsiTheme="minorHAnsi"/>
        </w:rPr>
        <w:t> </w:t>
      </w:r>
      <w:r w:rsidR="00E51469" w:rsidRPr="00586DA1">
        <w:rPr>
          <w:rFonts w:asciiTheme="minorHAnsi" w:hAnsiTheme="minorHAnsi"/>
        </w:rPr>
        <w:t xml:space="preserve">vyjádření efektivnosti vložených prostředků spolu se specifikací požadavků na zabezpečení provozu budované nebo obnovované </w:t>
      </w:r>
      <w:proofErr w:type="gramStart"/>
      <w:r w:rsidR="00E51469" w:rsidRPr="00586DA1">
        <w:rPr>
          <w:rFonts w:asciiTheme="minorHAnsi" w:hAnsiTheme="minorHAnsi"/>
        </w:rPr>
        <w:t>kapacity</w:t>
      </w:r>
      <w:r w:rsidR="0034379D">
        <w:rPr>
          <w:rFonts w:asciiTheme="minorHAnsi" w:hAnsiTheme="minorHAnsi"/>
        </w:rPr>
        <w:t>.</w:t>
      </w:r>
      <w:r w:rsidR="00BE3246" w:rsidRPr="00586DA1">
        <w:rPr>
          <w:rFonts w:asciiTheme="minorHAnsi" w:hAnsiTheme="minorHAnsi"/>
          <w:vertAlign w:val="superscript"/>
        </w:rPr>
        <w:t>5</w:t>
      </w:r>
      <w:bookmarkStart w:id="9" w:name="_Toc487446130"/>
      <w:proofErr w:type="gramEnd"/>
      <w:r w:rsidR="00E51469" w:rsidRPr="00586DA1">
        <w:rPr>
          <w:rFonts w:asciiTheme="minorHAnsi" w:hAnsiTheme="minorHAnsi"/>
        </w:rPr>
        <w:t xml:space="preserve"> </w:t>
      </w:r>
    </w:p>
    <w:p w14:paraId="504C9471" w14:textId="696CA1DB" w:rsidR="005920F2" w:rsidRPr="005920F2" w:rsidRDefault="00E51469" w:rsidP="005920F2">
      <w:pPr>
        <w:spacing w:after="120"/>
        <w:jc w:val="both"/>
        <w:rPr>
          <w:rFonts w:asciiTheme="minorHAnsi" w:hAnsiTheme="minorHAnsi"/>
        </w:rPr>
      </w:pPr>
      <w:r w:rsidRPr="00E51469">
        <w:rPr>
          <w:rFonts w:asciiTheme="minorHAnsi" w:hAnsiTheme="minorHAnsi"/>
        </w:rPr>
        <w:t xml:space="preserve">V případě </w:t>
      </w:r>
      <w:r w:rsidR="00CA47EA" w:rsidRPr="00CA47EA">
        <w:rPr>
          <w:rFonts w:asciiTheme="minorHAnsi" w:hAnsiTheme="minorHAnsi" w:cs="Calibri"/>
          <w:color w:val="000000"/>
        </w:rPr>
        <w:t>centrálně pořizovaného majetku</w:t>
      </w:r>
      <w:r w:rsidR="0070495B">
        <w:rPr>
          <w:rFonts w:asciiTheme="minorHAnsi" w:hAnsiTheme="minorHAnsi"/>
        </w:rPr>
        <w:t xml:space="preserve"> </w:t>
      </w:r>
      <w:r w:rsidR="00846248">
        <w:rPr>
          <w:rFonts w:asciiTheme="minorHAnsi" w:hAnsiTheme="minorHAnsi"/>
        </w:rPr>
        <w:t>v podobě</w:t>
      </w:r>
      <w:r w:rsidRPr="00E51469">
        <w:rPr>
          <w:rFonts w:asciiTheme="minorHAnsi" w:hAnsiTheme="minorHAnsi"/>
        </w:rPr>
        <w:t xml:space="preserve"> </w:t>
      </w:r>
      <w:r w:rsidR="00453729">
        <w:rPr>
          <w:rFonts w:ascii="Calibri" w:hAnsi="Calibri" w:cs="Calibri"/>
        </w:rPr>
        <w:t>služebních dopravních prostředků</w:t>
      </w:r>
      <w:r w:rsidRPr="00E51469">
        <w:rPr>
          <w:rStyle w:val="Znakapoznpodarou"/>
          <w:rFonts w:asciiTheme="minorHAnsi" w:hAnsiTheme="minorHAnsi"/>
        </w:rPr>
        <w:footnoteReference w:id="27"/>
      </w:r>
      <w:r w:rsidR="00A974A3">
        <w:rPr>
          <w:rFonts w:asciiTheme="minorHAnsi" w:hAnsiTheme="minorHAnsi"/>
        </w:rPr>
        <w:t xml:space="preserve"> </w:t>
      </w:r>
      <w:r w:rsidRPr="00E51469">
        <w:rPr>
          <w:rFonts w:asciiTheme="minorHAnsi" w:hAnsiTheme="minorHAnsi"/>
        </w:rPr>
        <w:t>rozhod</w:t>
      </w:r>
      <w:r w:rsidR="0087316C">
        <w:rPr>
          <w:rFonts w:asciiTheme="minorHAnsi" w:hAnsiTheme="minorHAnsi"/>
        </w:rPr>
        <w:t xml:space="preserve">lo o nákupu </w:t>
      </w:r>
      <w:r w:rsidR="006F3B5E">
        <w:rPr>
          <w:rFonts w:asciiTheme="minorHAnsi" w:hAnsiTheme="minorHAnsi"/>
        </w:rPr>
        <w:t>MV</w:t>
      </w:r>
      <w:r w:rsidR="00C3430B">
        <w:rPr>
          <w:rFonts w:asciiTheme="minorHAnsi" w:hAnsiTheme="minorHAnsi"/>
        </w:rPr>
        <w:t xml:space="preserve">, </w:t>
      </w:r>
      <w:r w:rsidR="0087316C">
        <w:rPr>
          <w:rFonts w:asciiTheme="minorHAnsi" w:hAnsiTheme="minorHAnsi"/>
        </w:rPr>
        <w:t>které stano</w:t>
      </w:r>
      <w:r w:rsidRPr="00E51469">
        <w:rPr>
          <w:rFonts w:asciiTheme="minorHAnsi" w:hAnsiTheme="minorHAnsi"/>
        </w:rPr>
        <w:t>v</w:t>
      </w:r>
      <w:r w:rsidR="0087316C">
        <w:rPr>
          <w:rFonts w:asciiTheme="minorHAnsi" w:hAnsiTheme="minorHAnsi"/>
        </w:rPr>
        <w:t>ilo</w:t>
      </w:r>
      <w:r w:rsidRPr="00E51469">
        <w:rPr>
          <w:rFonts w:asciiTheme="minorHAnsi" w:hAnsiTheme="minorHAnsi"/>
        </w:rPr>
        <w:t xml:space="preserve"> i věcné a finanční parametry </w:t>
      </w:r>
      <w:r w:rsidR="0087316C">
        <w:rPr>
          <w:rFonts w:asciiTheme="minorHAnsi" w:hAnsiTheme="minorHAnsi"/>
        </w:rPr>
        <w:t>akce</w:t>
      </w:r>
      <w:r w:rsidR="005453FA">
        <w:rPr>
          <w:rFonts w:asciiTheme="minorHAnsi" w:hAnsiTheme="minorHAnsi"/>
        </w:rPr>
        <w:t>. Dále rozhodlo</w:t>
      </w:r>
      <w:r w:rsidR="007C0F54">
        <w:rPr>
          <w:rFonts w:asciiTheme="minorHAnsi" w:hAnsiTheme="minorHAnsi"/>
        </w:rPr>
        <w:t xml:space="preserve"> </w:t>
      </w:r>
      <w:r w:rsidR="005453FA">
        <w:rPr>
          <w:rFonts w:asciiTheme="minorHAnsi" w:hAnsiTheme="minorHAnsi"/>
        </w:rPr>
        <w:t>o</w:t>
      </w:r>
      <w:r w:rsidR="002970D3">
        <w:rPr>
          <w:rFonts w:asciiTheme="minorHAnsi" w:hAnsiTheme="minorHAnsi"/>
        </w:rPr>
        <w:t> </w:t>
      </w:r>
      <w:r w:rsidR="007C0F54">
        <w:rPr>
          <w:rFonts w:asciiTheme="minorHAnsi" w:hAnsiTheme="minorHAnsi"/>
        </w:rPr>
        <w:t>rozdělení automobilů na příslušná</w:t>
      </w:r>
      <w:r w:rsidR="006F3B5E">
        <w:rPr>
          <w:rFonts w:asciiTheme="minorHAnsi" w:hAnsiTheme="minorHAnsi"/>
        </w:rPr>
        <w:t xml:space="preserve"> KŘP a ve většině případů podepsalo i příslušné smlouvy. </w:t>
      </w:r>
      <w:r w:rsidR="00871E2D">
        <w:rPr>
          <w:rFonts w:asciiTheme="minorHAnsi" w:hAnsiTheme="minorHAnsi"/>
        </w:rPr>
        <w:t>Až následně</w:t>
      </w:r>
      <w:r w:rsidR="007C0F54">
        <w:rPr>
          <w:rFonts w:asciiTheme="minorHAnsi" w:hAnsiTheme="minorHAnsi"/>
        </w:rPr>
        <w:t xml:space="preserve"> </w:t>
      </w:r>
      <w:r w:rsidR="00F97B44" w:rsidRPr="00E51469">
        <w:rPr>
          <w:rFonts w:asciiTheme="minorHAnsi" w:hAnsiTheme="minorHAnsi"/>
        </w:rPr>
        <w:t>byl</w:t>
      </w:r>
      <w:r w:rsidR="00F97B44">
        <w:rPr>
          <w:rFonts w:asciiTheme="minorHAnsi" w:hAnsiTheme="minorHAnsi"/>
        </w:rPr>
        <w:t>a</w:t>
      </w:r>
      <w:r w:rsidR="00F97B44" w:rsidRPr="00E51469">
        <w:rPr>
          <w:rFonts w:asciiTheme="minorHAnsi" w:hAnsiTheme="minorHAnsi"/>
        </w:rPr>
        <w:t xml:space="preserve"> KŘP</w:t>
      </w:r>
      <w:r w:rsidRPr="00E51469">
        <w:rPr>
          <w:rFonts w:asciiTheme="minorHAnsi" w:hAnsiTheme="minorHAnsi"/>
        </w:rPr>
        <w:t xml:space="preserve"> vyzván</w:t>
      </w:r>
      <w:r w:rsidR="00871E2D">
        <w:rPr>
          <w:rFonts w:asciiTheme="minorHAnsi" w:hAnsiTheme="minorHAnsi"/>
        </w:rPr>
        <w:t>a</w:t>
      </w:r>
      <w:r w:rsidRPr="00E51469">
        <w:rPr>
          <w:rFonts w:asciiTheme="minorHAnsi" w:hAnsiTheme="minorHAnsi"/>
        </w:rPr>
        <w:t xml:space="preserve"> k předložení </w:t>
      </w:r>
      <w:r w:rsidR="00D466E0">
        <w:rPr>
          <w:rFonts w:asciiTheme="minorHAnsi" w:hAnsiTheme="minorHAnsi"/>
        </w:rPr>
        <w:t>investičního záměru</w:t>
      </w:r>
      <w:r w:rsidR="00871E2D">
        <w:rPr>
          <w:rFonts w:asciiTheme="minorHAnsi" w:hAnsiTheme="minorHAnsi"/>
        </w:rPr>
        <w:t xml:space="preserve"> a </w:t>
      </w:r>
      <w:r w:rsidR="00871E2D" w:rsidRPr="0062657F">
        <w:rPr>
          <w:rFonts w:asciiTheme="minorHAnsi" w:hAnsiTheme="minorHAnsi"/>
        </w:rPr>
        <w:t xml:space="preserve">zároveň jim </w:t>
      </w:r>
      <w:r w:rsidRPr="0062657F">
        <w:rPr>
          <w:rFonts w:asciiTheme="minorHAnsi" w:hAnsiTheme="minorHAnsi"/>
        </w:rPr>
        <w:t>bylo přiděleno číslo akce</w:t>
      </w:r>
      <w:r w:rsidR="0062657F" w:rsidRPr="0062657F">
        <w:rPr>
          <w:rFonts w:asciiTheme="minorHAnsi" w:hAnsiTheme="minorHAnsi"/>
        </w:rPr>
        <w:t>.</w:t>
      </w:r>
      <w:r w:rsidRPr="0062657F">
        <w:rPr>
          <w:rFonts w:asciiTheme="minorHAnsi" w:hAnsiTheme="minorHAnsi"/>
        </w:rPr>
        <w:t xml:space="preserve"> </w:t>
      </w:r>
      <w:r w:rsidR="00A974A3">
        <w:rPr>
          <w:rFonts w:asciiTheme="minorHAnsi" w:hAnsiTheme="minorHAnsi"/>
        </w:rPr>
        <w:t>Např</w:t>
      </w:r>
      <w:r w:rsidR="00846248">
        <w:rPr>
          <w:rFonts w:asciiTheme="minorHAnsi" w:hAnsiTheme="minorHAnsi"/>
        </w:rPr>
        <w:t>íklad</w:t>
      </w:r>
      <w:r w:rsidR="00A974A3">
        <w:rPr>
          <w:rFonts w:asciiTheme="minorHAnsi" w:hAnsiTheme="minorHAnsi"/>
        </w:rPr>
        <w:t xml:space="preserve"> </w:t>
      </w:r>
      <w:r w:rsidR="00846248">
        <w:rPr>
          <w:rFonts w:asciiTheme="minorHAnsi" w:hAnsiTheme="minorHAnsi"/>
        </w:rPr>
        <w:t xml:space="preserve">akce na </w:t>
      </w:r>
      <w:r w:rsidR="00720B2F">
        <w:rPr>
          <w:rFonts w:asciiTheme="minorHAnsi" w:hAnsiTheme="minorHAnsi"/>
        </w:rPr>
        <w:t>pořízení silničních osobních automobilů (</w:t>
      </w:r>
      <w:r w:rsidR="00643176">
        <w:rPr>
          <w:rFonts w:asciiTheme="minorHAnsi" w:hAnsiTheme="minorHAnsi"/>
        </w:rPr>
        <w:t xml:space="preserve">akce </w:t>
      </w:r>
      <w:r w:rsidR="00A974A3">
        <w:rPr>
          <w:rFonts w:asciiTheme="minorHAnsi" w:hAnsiTheme="minorHAnsi"/>
        </w:rPr>
        <w:t>č.</w:t>
      </w:r>
      <w:r w:rsidR="007E7AAC">
        <w:rPr>
          <w:rFonts w:asciiTheme="minorHAnsi" w:hAnsiTheme="minorHAnsi"/>
        </w:rPr>
        <w:t> </w:t>
      </w:r>
      <w:r w:rsidR="00A974A3">
        <w:rPr>
          <w:rFonts w:asciiTheme="minorHAnsi" w:hAnsiTheme="minorHAnsi"/>
        </w:rPr>
        <w:t>114V123005103 a</w:t>
      </w:r>
      <w:r w:rsidR="0064321D">
        <w:rPr>
          <w:rFonts w:asciiTheme="minorHAnsi" w:hAnsiTheme="minorHAnsi"/>
        </w:rPr>
        <w:t> </w:t>
      </w:r>
      <w:r w:rsidR="00A974A3">
        <w:rPr>
          <w:rFonts w:asciiTheme="minorHAnsi" w:hAnsiTheme="minorHAnsi"/>
        </w:rPr>
        <w:t>114V12300</w:t>
      </w:r>
      <w:r w:rsidRPr="00E51469">
        <w:rPr>
          <w:rFonts w:asciiTheme="minorHAnsi" w:hAnsiTheme="minorHAnsi"/>
        </w:rPr>
        <w:t>5104</w:t>
      </w:r>
      <w:r w:rsidR="00720B2F">
        <w:rPr>
          <w:rFonts w:asciiTheme="minorHAnsi" w:hAnsiTheme="minorHAnsi"/>
        </w:rPr>
        <w:t>)</w:t>
      </w:r>
      <w:r w:rsidRPr="00E51469">
        <w:rPr>
          <w:rFonts w:asciiTheme="minorHAnsi" w:hAnsiTheme="minorHAnsi"/>
        </w:rPr>
        <w:t xml:space="preserve"> byly zaregistrovány </w:t>
      </w:r>
      <w:r w:rsidR="00871E2D">
        <w:rPr>
          <w:rFonts w:asciiTheme="minorHAnsi" w:hAnsiTheme="minorHAnsi"/>
        </w:rPr>
        <w:t xml:space="preserve">až </w:t>
      </w:r>
      <w:r w:rsidRPr="00E51469">
        <w:rPr>
          <w:rFonts w:asciiTheme="minorHAnsi" w:hAnsiTheme="minorHAnsi"/>
        </w:rPr>
        <w:t>16 měsíců</w:t>
      </w:r>
      <w:r w:rsidRPr="00E51469">
        <w:rPr>
          <w:rFonts w:asciiTheme="minorHAnsi" w:hAnsiTheme="minorHAnsi" w:cs="Calibri"/>
        </w:rPr>
        <w:t xml:space="preserve"> po podepsání rámcové smlouvy </w:t>
      </w:r>
      <w:r w:rsidR="00846248">
        <w:rPr>
          <w:rFonts w:asciiTheme="minorHAnsi" w:hAnsiTheme="minorHAnsi" w:cs="Calibri"/>
        </w:rPr>
        <w:t>o</w:t>
      </w:r>
      <w:r w:rsidRPr="00E51469">
        <w:rPr>
          <w:rFonts w:asciiTheme="minorHAnsi" w:hAnsiTheme="minorHAnsi" w:cs="Calibri"/>
        </w:rPr>
        <w:t xml:space="preserve"> nákup</w:t>
      </w:r>
      <w:r w:rsidR="00846248">
        <w:rPr>
          <w:rFonts w:asciiTheme="minorHAnsi" w:hAnsiTheme="minorHAnsi" w:cs="Calibri"/>
        </w:rPr>
        <w:t>u</w:t>
      </w:r>
      <w:r w:rsidRPr="00E51469">
        <w:rPr>
          <w:rFonts w:asciiTheme="minorHAnsi" w:hAnsiTheme="minorHAnsi" w:cs="Calibri"/>
        </w:rPr>
        <w:t xml:space="preserve"> </w:t>
      </w:r>
      <w:r w:rsidR="00962443">
        <w:rPr>
          <w:rFonts w:asciiTheme="minorHAnsi" w:hAnsiTheme="minorHAnsi" w:cs="Calibri"/>
        </w:rPr>
        <w:t>aut</w:t>
      </w:r>
      <w:r w:rsidR="00871E2D">
        <w:rPr>
          <w:rFonts w:asciiTheme="minorHAnsi" w:hAnsiTheme="minorHAnsi" w:cs="Calibri"/>
        </w:rPr>
        <w:t>omobilů</w:t>
      </w:r>
      <w:r w:rsidR="00CA47EA">
        <w:rPr>
          <w:rFonts w:asciiTheme="minorHAnsi" w:hAnsiTheme="minorHAnsi" w:cs="Calibri"/>
        </w:rPr>
        <w:t xml:space="preserve">. </w:t>
      </w:r>
      <w:r w:rsidR="00CA47EA">
        <w:rPr>
          <w:rFonts w:asciiTheme="minorHAnsi" w:hAnsiTheme="minorHAnsi"/>
        </w:rPr>
        <w:t>Následná změna časových a</w:t>
      </w:r>
      <w:r w:rsidR="00846248">
        <w:rPr>
          <w:rFonts w:asciiTheme="minorHAnsi" w:hAnsiTheme="minorHAnsi"/>
        </w:rPr>
        <w:t xml:space="preserve"> </w:t>
      </w:r>
      <w:r w:rsidR="00CA47EA">
        <w:rPr>
          <w:rFonts w:asciiTheme="minorHAnsi" w:hAnsiTheme="minorHAnsi"/>
        </w:rPr>
        <w:t>finančních parametrů akc</w:t>
      </w:r>
      <w:r w:rsidR="00631197">
        <w:rPr>
          <w:rFonts w:asciiTheme="minorHAnsi" w:hAnsiTheme="minorHAnsi"/>
        </w:rPr>
        <w:t>e</w:t>
      </w:r>
      <w:r w:rsidR="00CA47EA">
        <w:rPr>
          <w:rFonts w:asciiTheme="minorHAnsi" w:hAnsiTheme="minorHAnsi"/>
        </w:rPr>
        <w:t xml:space="preserve"> </w:t>
      </w:r>
      <w:r w:rsidR="008F567E">
        <w:rPr>
          <w:rFonts w:asciiTheme="minorHAnsi" w:hAnsiTheme="minorHAnsi"/>
        </w:rPr>
        <w:t>znamen</w:t>
      </w:r>
      <w:r w:rsidR="00631197">
        <w:rPr>
          <w:rFonts w:asciiTheme="minorHAnsi" w:hAnsiTheme="minorHAnsi"/>
        </w:rPr>
        <w:t>ala</w:t>
      </w:r>
      <w:r w:rsidR="00CA47EA">
        <w:rPr>
          <w:rFonts w:asciiTheme="minorHAnsi" w:hAnsiTheme="minorHAnsi"/>
        </w:rPr>
        <w:t xml:space="preserve"> nutnost </w:t>
      </w:r>
      <w:r w:rsidR="00C22F3C">
        <w:rPr>
          <w:rFonts w:asciiTheme="minorHAnsi" w:hAnsiTheme="minorHAnsi"/>
        </w:rPr>
        <w:t xml:space="preserve">provést </w:t>
      </w:r>
      <w:r w:rsidR="00CA47EA">
        <w:rPr>
          <w:rFonts w:asciiTheme="minorHAnsi" w:hAnsiTheme="minorHAnsi"/>
        </w:rPr>
        <w:t xml:space="preserve">s tím související administrativní </w:t>
      </w:r>
      <w:r w:rsidR="00C22F3C">
        <w:rPr>
          <w:rFonts w:asciiTheme="minorHAnsi" w:hAnsiTheme="minorHAnsi"/>
        </w:rPr>
        <w:t xml:space="preserve">úkony </w:t>
      </w:r>
      <w:r w:rsidR="00CA47EA">
        <w:rPr>
          <w:rFonts w:asciiTheme="minorHAnsi" w:hAnsiTheme="minorHAnsi"/>
        </w:rPr>
        <w:t xml:space="preserve">u </w:t>
      </w:r>
      <w:r w:rsidR="00CA47EA" w:rsidRPr="005541D6">
        <w:rPr>
          <w:rFonts w:asciiTheme="minorHAnsi" w:hAnsiTheme="minorHAnsi"/>
        </w:rPr>
        <w:t>jednotlivých KŘP</w:t>
      </w:r>
      <w:r w:rsidR="00C22F3C">
        <w:rPr>
          <w:rFonts w:asciiTheme="minorHAnsi" w:hAnsiTheme="minorHAnsi"/>
        </w:rPr>
        <w:t>.</w:t>
      </w:r>
      <w:r w:rsidR="00CA47EA">
        <w:rPr>
          <w:rFonts w:asciiTheme="minorHAnsi" w:hAnsiTheme="minorHAnsi"/>
        </w:rPr>
        <w:t xml:space="preserve"> </w:t>
      </w:r>
      <w:r w:rsidR="00C22F3C">
        <w:rPr>
          <w:rFonts w:asciiTheme="minorHAnsi" w:hAnsiTheme="minorHAnsi"/>
        </w:rPr>
        <w:t>R</w:t>
      </w:r>
      <w:r w:rsidR="00CA47EA">
        <w:rPr>
          <w:rFonts w:asciiTheme="minorHAnsi" w:hAnsiTheme="minorHAnsi"/>
        </w:rPr>
        <w:t>ealizac</w:t>
      </w:r>
      <w:r w:rsidR="000B7723">
        <w:rPr>
          <w:rFonts w:asciiTheme="minorHAnsi" w:hAnsiTheme="minorHAnsi"/>
        </w:rPr>
        <w:t>e</w:t>
      </w:r>
      <w:r w:rsidR="00CA47EA">
        <w:rPr>
          <w:rFonts w:asciiTheme="minorHAnsi" w:hAnsiTheme="minorHAnsi"/>
        </w:rPr>
        <w:t xml:space="preserve"> akc</w:t>
      </w:r>
      <w:r w:rsidR="00631197">
        <w:rPr>
          <w:rFonts w:asciiTheme="minorHAnsi" w:hAnsiTheme="minorHAnsi"/>
        </w:rPr>
        <w:t>e</w:t>
      </w:r>
      <w:r w:rsidR="00C22F3C">
        <w:rPr>
          <w:rFonts w:asciiTheme="minorHAnsi" w:hAnsiTheme="minorHAnsi"/>
        </w:rPr>
        <w:t xml:space="preserve"> se tím prodloužila</w:t>
      </w:r>
      <w:r w:rsidR="00631197">
        <w:rPr>
          <w:rFonts w:asciiTheme="minorHAnsi" w:hAnsiTheme="minorHAnsi"/>
        </w:rPr>
        <w:t>, konkrétně</w:t>
      </w:r>
      <w:r w:rsidR="00CA47EA">
        <w:rPr>
          <w:rFonts w:asciiTheme="minorHAnsi" w:hAnsiTheme="minorHAnsi"/>
        </w:rPr>
        <w:t xml:space="preserve"> např. </w:t>
      </w:r>
      <w:r w:rsidR="00376A1A">
        <w:rPr>
          <w:rFonts w:asciiTheme="minorHAnsi" w:hAnsiTheme="minorHAnsi"/>
        </w:rPr>
        <w:t xml:space="preserve">u pořízení autobusu </w:t>
      </w:r>
      <w:r w:rsidR="00846248">
        <w:rPr>
          <w:rFonts w:asciiTheme="minorHAnsi" w:hAnsiTheme="minorHAnsi"/>
        </w:rPr>
        <w:t xml:space="preserve">s kapacitou </w:t>
      </w:r>
      <w:r w:rsidR="00376A1A">
        <w:rPr>
          <w:rFonts w:asciiTheme="minorHAnsi" w:hAnsiTheme="minorHAnsi"/>
        </w:rPr>
        <w:t xml:space="preserve">do 30 osob </w:t>
      </w:r>
      <w:r w:rsidR="005A1D42">
        <w:rPr>
          <w:rFonts w:asciiTheme="minorHAnsi" w:hAnsiTheme="minorHAnsi"/>
        </w:rPr>
        <w:t>(</w:t>
      </w:r>
      <w:r w:rsidR="00CA47EA">
        <w:rPr>
          <w:rFonts w:asciiTheme="minorHAnsi" w:hAnsiTheme="minorHAnsi"/>
        </w:rPr>
        <w:t>akce č.</w:t>
      </w:r>
      <w:r w:rsidR="00846248">
        <w:rPr>
          <w:rFonts w:asciiTheme="minorHAnsi" w:hAnsiTheme="minorHAnsi"/>
        </w:rPr>
        <w:t> </w:t>
      </w:r>
      <w:r w:rsidR="00CA47EA" w:rsidRPr="005541D6">
        <w:rPr>
          <w:rFonts w:asciiTheme="minorHAnsi" w:hAnsiTheme="minorHAnsi"/>
        </w:rPr>
        <w:t>114V113003090</w:t>
      </w:r>
      <w:r w:rsidR="00CA47EA">
        <w:rPr>
          <w:rFonts w:asciiTheme="minorHAnsi" w:hAnsiTheme="minorHAnsi"/>
        </w:rPr>
        <w:t>).</w:t>
      </w:r>
      <w:r w:rsidR="00BE3246">
        <w:rPr>
          <w:rFonts w:asciiTheme="minorHAnsi" w:hAnsiTheme="minorHAnsi" w:cs="Calibri"/>
        </w:rPr>
        <w:t xml:space="preserve"> </w:t>
      </w:r>
      <w:r w:rsidR="009E2E5C" w:rsidRPr="006964DF">
        <w:rPr>
          <w:rFonts w:asciiTheme="minorHAnsi" w:hAnsiTheme="minorHAnsi"/>
        </w:rPr>
        <w:t xml:space="preserve">NKÚ </w:t>
      </w:r>
      <w:r w:rsidR="00A974A3">
        <w:rPr>
          <w:rFonts w:asciiTheme="minorHAnsi" w:hAnsiTheme="minorHAnsi"/>
        </w:rPr>
        <w:t>dále</w:t>
      </w:r>
      <w:r w:rsidR="006964DF" w:rsidRPr="006964DF">
        <w:rPr>
          <w:rFonts w:asciiTheme="minorHAnsi" w:hAnsiTheme="minorHAnsi"/>
        </w:rPr>
        <w:t xml:space="preserve"> </w:t>
      </w:r>
      <w:r w:rsidR="009E2E5C" w:rsidRPr="006964DF">
        <w:rPr>
          <w:rFonts w:asciiTheme="minorHAnsi" w:hAnsiTheme="minorHAnsi"/>
        </w:rPr>
        <w:t xml:space="preserve">upozornil na </w:t>
      </w:r>
      <w:r w:rsidR="00846248">
        <w:rPr>
          <w:rFonts w:asciiTheme="minorHAnsi" w:hAnsiTheme="minorHAnsi"/>
        </w:rPr>
        <w:t>to</w:t>
      </w:r>
      <w:r w:rsidR="009E2E5C" w:rsidRPr="006964DF">
        <w:rPr>
          <w:rFonts w:asciiTheme="minorHAnsi" w:hAnsiTheme="minorHAnsi"/>
        </w:rPr>
        <w:t xml:space="preserve">, že </w:t>
      </w:r>
      <w:r w:rsidR="00CA47EA">
        <w:rPr>
          <w:rFonts w:asciiTheme="minorHAnsi" w:hAnsiTheme="minorHAnsi"/>
        </w:rPr>
        <w:t>MV</w:t>
      </w:r>
      <w:r w:rsidR="00BB7853" w:rsidRPr="006964DF">
        <w:rPr>
          <w:rFonts w:asciiTheme="minorHAnsi" w:hAnsiTheme="minorHAnsi"/>
        </w:rPr>
        <w:t xml:space="preserve"> </w:t>
      </w:r>
      <w:r w:rsidR="009E2E5C" w:rsidRPr="006964DF">
        <w:rPr>
          <w:rFonts w:asciiTheme="minorHAnsi" w:hAnsiTheme="minorHAnsi"/>
        </w:rPr>
        <w:t>by měl</w:t>
      </w:r>
      <w:r w:rsidR="00CA47EA">
        <w:rPr>
          <w:rFonts w:asciiTheme="minorHAnsi" w:hAnsiTheme="minorHAnsi"/>
        </w:rPr>
        <w:t>o</w:t>
      </w:r>
      <w:r w:rsidR="009E2E5C" w:rsidRPr="006964DF">
        <w:rPr>
          <w:rFonts w:asciiTheme="minorHAnsi" w:hAnsiTheme="minorHAnsi"/>
        </w:rPr>
        <w:t xml:space="preserve"> být </w:t>
      </w:r>
      <w:r w:rsidR="0005054A">
        <w:rPr>
          <w:rFonts w:asciiTheme="minorHAnsi" w:hAnsiTheme="minorHAnsi"/>
        </w:rPr>
        <w:t xml:space="preserve">v průběhu realizace akce </w:t>
      </w:r>
      <w:r w:rsidR="009E2E5C" w:rsidRPr="006964DF">
        <w:rPr>
          <w:rFonts w:asciiTheme="minorHAnsi" w:hAnsiTheme="minorHAnsi"/>
        </w:rPr>
        <w:t>informován</w:t>
      </w:r>
      <w:r w:rsidR="00CA47EA">
        <w:rPr>
          <w:rFonts w:asciiTheme="minorHAnsi" w:hAnsiTheme="minorHAnsi"/>
        </w:rPr>
        <w:t>o</w:t>
      </w:r>
      <w:r w:rsidR="009E2E5C" w:rsidRPr="006964DF">
        <w:rPr>
          <w:rFonts w:asciiTheme="minorHAnsi" w:hAnsiTheme="minorHAnsi"/>
        </w:rPr>
        <w:t xml:space="preserve"> o</w:t>
      </w:r>
      <w:r w:rsidR="006F761B">
        <w:rPr>
          <w:rFonts w:asciiTheme="minorHAnsi" w:hAnsiTheme="minorHAnsi"/>
        </w:rPr>
        <w:t xml:space="preserve"> </w:t>
      </w:r>
      <w:r w:rsidR="009E2E5C" w:rsidRPr="006964DF">
        <w:rPr>
          <w:rFonts w:asciiTheme="minorHAnsi" w:hAnsiTheme="minorHAnsi"/>
        </w:rPr>
        <w:t>dodatečných úpravách požadovaných konečnými uživateli z</w:t>
      </w:r>
      <w:r w:rsidR="00846248">
        <w:rPr>
          <w:rFonts w:asciiTheme="minorHAnsi" w:hAnsiTheme="minorHAnsi"/>
        </w:rPr>
        <w:t> </w:t>
      </w:r>
      <w:r w:rsidR="009E2E5C" w:rsidRPr="006964DF">
        <w:rPr>
          <w:rFonts w:asciiTheme="minorHAnsi" w:hAnsiTheme="minorHAnsi"/>
        </w:rPr>
        <w:t>příslušných KŘP. Dodatečnými úpravami nesmí dojít ke změně rozsahu předmětu kupní smlouvy či</w:t>
      </w:r>
      <w:r w:rsidR="006F761B">
        <w:rPr>
          <w:rFonts w:asciiTheme="minorHAnsi" w:hAnsiTheme="minorHAnsi"/>
        </w:rPr>
        <w:t xml:space="preserve"> </w:t>
      </w:r>
      <w:r w:rsidR="009E2E5C" w:rsidRPr="006964DF">
        <w:rPr>
          <w:rFonts w:asciiTheme="minorHAnsi" w:hAnsiTheme="minorHAnsi"/>
        </w:rPr>
        <w:t>technické specifikace, která byla požadována při posuzování nabídek.</w:t>
      </w:r>
      <w:r w:rsidR="005920F2">
        <w:rPr>
          <w:rFonts w:asciiTheme="minorHAnsi" w:hAnsiTheme="minorHAnsi"/>
        </w:rPr>
        <w:t xml:space="preserve"> </w:t>
      </w:r>
      <w:r w:rsidR="006F761B">
        <w:rPr>
          <w:rFonts w:asciiTheme="minorHAnsi" w:hAnsiTheme="minorHAnsi"/>
        </w:rPr>
        <w:t xml:space="preserve">Ministerstvo vnitra však není o dodatečných požadavcích konečných uživatelů detailně informováno. </w:t>
      </w:r>
      <w:r w:rsidR="005920F2">
        <w:rPr>
          <w:rFonts w:asciiTheme="minorHAnsi" w:hAnsiTheme="minorHAnsi" w:cstheme="minorHAnsi"/>
        </w:rPr>
        <w:t>Tento</w:t>
      </w:r>
      <w:r w:rsidR="00762242">
        <w:rPr>
          <w:rFonts w:asciiTheme="minorHAnsi" w:hAnsiTheme="minorHAnsi" w:cstheme="minorHAnsi"/>
        </w:rPr>
        <w:t xml:space="preserve"> stav je způsoben mimo jiné </w:t>
      </w:r>
      <w:r w:rsidR="00762242" w:rsidRPr="00CA0101">
        <w:rPr>
          <w:rFonts w:asciiTheme="minorHAnsi" w:hAnsiTheme="minorHAnsi" w:cstheme="minorHAnsi"/>
        </w:rPr>
        <w:t>strukturou Policie</w:t>
      </w:r>
      <w:r w:rsidR="00762242">
        <w:rPr>
          <w:rFonts w:asciiTheme="minorHAnsi" w:hAnsiTheme="minorHAnsi" w:cstheme="minorHAnsi"/>
        </w:rPr>
        <w:t xml:space="preserve">, kdy </w:t>
      </w:r>
      <w:r w:rsidR="00762242" w:rsidRPr="00CA0101">
        <w:rPr>
          <w:rFonts w:asciiTheme="minorHAnsi" w:hAnsiTheme="minorHAnsi" w:cstheme="minorHAnsi"/>
        </w:rPr>
        <w:t xml:space="preserve">Prezidium </w:t>
      </w:r>
      <w:r w:rsidR="00762242">
        <w:rPr>
          <w:rFonts w:asciiTheme="minorHAnsi" w:hAnsiTheme="minorHAnsi" w:cstheme="minorHAnsi"/>
        </w:rPr>
        <w:t xml:space="preserve">je </w:t>
      </w:r>
      <w:r w:rsidR="00762242" w:rsidRPr="00CA0101">
        <w:rPr>
          <w:rFonts w:asciiTheme="minorHAnsi" w:hAnsiTheme="minorHAnsi" w:cstheme="minorHAnsi"/>
        </w:rPr>
        <w:t>součástí MV</w:t>
      </w:r>
      <w:r w:rsidR="00846248">
        <w:rPr>
          <w:rFonts w:asciiTheme="minorHAnsi" w:hAnsiTheme="minorHAnsi" w:cstheme="minorHAnsi"/>
        </w:rPr>
        <w:t>,</w:t>
      </w:r>
      <w:r w:rsidR="00762242">
        <w:rPr>
          <w:rFonts w:asciiTheme="minorHAnsi" w:hAnsiTheme="minorHAnsi" w:cstheme="minorHAnsi"/>
        </w:rPr>
        <w:t xml:space="preserve"> </w:t>
      </w:r>
      <w:r w:rsidR="00846248">
        <w:rPr>
          <w:rFonts w:asciiTheme="minorHAnsi" w:hAnsiTheme="minorHAnsi" w:cstheme="minorHAnsi"/>
        </w:rPr>
        <w:t>zatímco</w:t>
      </w:r>
      <w:r w:rsidR="00762242">
        <w:rPr>
          <w:rFonts w:asciiTheme="minorHAnsi" w:hAnsiTheme="minorHAnsi" w:cstheme="minorHAnsi"/>
        </w:rPr>
        <w:t xml:space="preserve"> </w:t>
      </w:r>
      <w:r w:rsidR="00762242" w:rsidRPr="00CA0101">
        <w:rPr>
          <w:rFonts w:asciiTheme="minorHAnsi" w:hAnsiTheme="minorHAnsi" w:cstheme="minorHAnsi"/>
        </w:rPr>
        <w:t>KŘP</w:t>
      </w:r>
      <w:r w:rsidR="00762242">
        <w:rPr>
          <w:rFonts w:asciiTheme="minorHAnsi" w:hAnsiTheme="minorHAnsi" w:cstheme="minorHAnsi"/>
        </w:rPr>
        <w:t xml:space="preserve"> jsou </w:t>
      </w:r>
      <w:r w:rsidR="00762242">
        <w:rPr>
          <w:rFonts w:asciiTheme="minorHAnsi" w:hAnsiTheme="minorHAnsi" w:cstheme="minorHAnsi"/>
        </w:rPr>
        <w:lastRenderedPageBreak/>
        <w:t>organizačními složkami státu.</w:t>
      </w:r>
      <w:r w:rsidR="005920F2">
        <w:rPr>
          <w:rFonts w:asciiTheme="minorHAnsi" w:hAnsiTheme="minorHAnsi" w:cstheme="minorHAnsi"/>
        </w:rPr>
        <w:t xml:space="preserve"> </w:t>
      </w:r>
      <w:r w:rsidR="005920F2">
        <w:rPr>
          <w:rFonts w:asciiTheme="minorHAnsi" w:hAnsiTheme="minorHAnsi"/>
        </w:rPr>
        <w:t>Nejen</w:t>
      </w:r>
      <w:r w:rsidR="005740C8">
        <w:rPr>
          <w:rFonts w:asciiTheme="minorHAnsi" w:hAnsiTheme="minorHAnsi"/>
        </w:rPr>
        <w:t xml:space="preserve"> v </w:t>
      </w:r>
      <w:r w:rsidR="005920F2">
        <w:rPr>
          <w:rFonts w:asciiTheme="minorHAnsi" w:hAnsiTheme="minorHAnsi"/>
        </w:rPr>
        <w:t>souvislosti s centráln</w:t>
      </w:r>
      <w:r w:rsidR="00846248">
        <w:rPr>
          <w:rFonts w:asciiTheme="minorHAnsi" w:hAnsiTheme="minorHAnsi"/>
        </w:rPr>
        <w:t>ím</w:t>
      </w:r>
      <w:r w:rsidR="005920F2">
        <w:rPr>
          <w:rFonts w:asciiTheme="minorHAnsi" w:hAnsiTheme="minorHAnsi"/>
        </w:rPr>
        <w:t xml:space="preserve"> pořizov</w:t>
      </w:r>
      <w:r w:rsidR="00846248">
        <w:rPr>
          <w:rFonts w:asciiTheme="minorHAnsi" w:hAnsiTheme="minorHAnsi"/>
        </w:rPr>
        <w:t>áním</w:t>
      </w:r>
      <w:r w:rsidR="005920F2">
        <w:rPr>
          <w:rFonts w:asciiTheme="minorHAnsi" w:hAnsiTheme="minorHAnsi"/>
        </w:rPr>
        <w:t xml:space="preserve"> majetk</w:t>
      </w:r>
      <w:r w:rsidR="00846248">
        <w:rPr>
          <w:rFonts w:asciiTheme="minorHAnsi" w:hAnsiTheme="minorHAnsi"/>
        </w:rPr>
        <w:t>u</w:t>
      </w:r>
      <w:r w:rsidR="005920F2">
        <w:rPr>
          <w:rFonts w:asciiTheme="minorHAnsi" w:hAnsiTheme="minorHAnsi"/>
        </w:rPr>
        <w:t xml:space="preserve"> se v kontrolovaném období</w:t>
      </w:r>
      <w:r w:rsidR="006F761B">
        <w:rPr>
          <w:rFonts w:asciiTheme="minorHAnsi" w:hAnsiTheme="minorHAnsi"/>
        </w:rPr>
        <w:t xml:space="preserve"> –</w:t>
      </w:r>
      <w:r w:rsidR="005920F2">
        <w:rPr>
          <w:rFonts w:asciiTheme="minorHAnsi" w:hAnsiTheme="minorHAnsi"/>
        </w:rPr>
        <w:t xml:space="preserve"> např. v usnesení vlády č. 96/2014</w:t>
      </w:r>
      <w:r w:rsidR="005920F2">
        <w:rPr>
          <w:rFonts w:asciiTheme="minorHAnsi" w:hAnsiTheme="minorHAnsi"/>
          <w:vertAlign w:val="superscript"/>
        </w:rPr>
        <w:t>1</w:t>
      </w:r>
      <w:r w:rsidR="001A6F98">
        <w:rPr>
          <w:rFonts w:asciiTheme="minorHAnsi" w:hAnsiTheme="minorHAnsi"/>
          <w:vertAlign w:val="superscript"/>
        </w:rPr>
        <w:t>5</w:t>
      </w:r>
      <w:r w:rsidR="005920F2">
        <w:rPr>
          <w:rFonts w:asciiTheme="minorHAnsi" w:hAnsiTheme="minorHAnsi"/>
        </w:rPr>
        <w:t xml:space="preserve"> nebo </w:t>
      </w:r>
      <w:r w:rsidR="00846248">
        <w:rPr>
          <w:rFonts w:asciiTheme="minorHAnsi" w:hAnsiTheme="minorHAnsi"/>
        </w:rPr>
        <w:t xml:space="preserve">v </w:t>
      </w:r>
      <w:r w:rsidR="005920F2">
        <w:rPr>
          <w:rFonts w:asciiTheme="minorHAnsi" w:hAnsiTheme="minorHAnsi"/>
        </w:rPr>
        <w:t>Koncepci</w:t>
      </w:r>
      <w:r w:rsidR="005920F2">
        <w:rPr>
          <w:rStyle w:val="Znakapoznpodarou"/>
          <w:rFonts w:asciiTheme="minorHAnsi" w:hAnsiTheme="minorHAnsi"/>
        </w:rPr>
        <w:footnoteReference w:id="28"/>
      </w:r>
      <w:r w:rsidR="005920F2">
        <w:rPr>
          <w:rFonts w:asciiTheme="minorHAnsi" w:hAnsiTheme="minorHAnsi"/>
        </w:rPr>
        <w:t xml:space="preserve"> </w:t>
      </w:r>
      <w:r w:rsidR="006F761B">
        <w:rPr>
          <w:rFonts w:asciiTheme="minorHAnsi" w:hAnsiTheme="minorHAnsi"/>
        </w:rPr>
        <w:t xml:space="preserve">– </w:t>
      </w:r>
      <w:r w:rsidR="005920F2">
        <w:rPr>
          <w:rFonts w:asciiTheme="minorHAnsi" w:hAnsiTheme="minorHAnsi"/>
        </w:rPr>
        <w:t xml:space="preserve">objevily úvahy o změně struktury </w:t>
      </w:r>
      <w:r w:rsidR="005920F2" w:rsidRPr="00800351">
        <w:rPr>
          <w:rFonts w:asciiTheme="minorHAnsi" w:hAnsiTheme="minorHAnsi" w:cstheme="minorHAnsi"/>
        </w:rPr>
        <w:t>Policie</w:t>
      </w:r>
      <w:r w:rsidR="005920F2">
        <w:rPr>
          <w:rFonts w:asciiTheme="minorHAnsi" w:hAnsiTheme="minorHAnsi"/>
        </w:rPr>
        <w:t xml:space="preserve"> na jednu organizační složku státu. </w:t>
      </w:r>
    </w:p>
    <w:bookmarkEnd w:id="9"/>
    <w:p w14:paraId="24E794AF" w14:textId="7165A6EE" w:rsidR="00E55FBC" w:rsidRPr="0085780B" w:rsidRDefault="00E51469" w:rsidP="00E55FBC">
      <w:pPr>
        <w:spacing w:after="120"/>
        <w:jc w:val="both"/>
        <w:rPr>
          <w:rFonts w:asciiTheme="minorHAnsi" w:hAnsiTheme="minorHAnsi"/>
          <w:color w:val="000000"/>
        </w:rPr>
      </w:pPr>
      <w:r w:rsidRPr="009E2E5C">
        <w:rPr>
          <w:rFonts w:asciiTheme="minorHAnsi" w:eastAsia="Calibri" w:hAnsiTheme="minorHAnsi"/>
        </w:rPr>
        <w:t xml:space="preserve">Z důvodu nedostatečné přípravy stavebních akcí, kdy </w:t>
      </w:r>
      <w:r w:rsidR="00603F0B" w:rsidRPr="009E2E5C">
        <w:rPr>
          <w:rFonts w:asciiTheme="minorHAnsi" w:eastAsia="Calibri" w:hAnsiTheme="minorHAnsi"/>
        </w:rPr>
        <w:t xml:space="preserve">nebyla </w:t>
      </w:r>
      <w:r w:rsidRPr="009E2E5C">
        <w:rPr>
          <w:rFonts w:asciiTheme="minorHAnsi" w:eastAsia="Calibri" w:hAnsiTheme="minorHAnsi"/>
        </w:rPr>
        <w:t>zajištěna součinnost uživatele stavby, objednatele</w:t>
      </w:r>
      <w:r w:rsidR="00951017">
        <w:rPr>
          <w:rFonts w:asciiTheme="minorHAnsi" w:eastAsia="Calibri" w:hAnsiTheme="minorHAnsi"/>
        </w:rPr>
        <w:t xml:space="preserve"> (MV a KŘP)</w:t>
      </w:r>
      <w:r w:rsidRPr="009E2E5C">
        <w:rPr>
          <w:rFonts w:asciiTheme="minorHAnsi" w:eastAsia="Calibri" w:hAnsiTheme="minorHAnsi"/>
        </w:rPr>
        <w:t xml:space="preserve"> a projektanta tak, aby veškeré nutné a předpokládané práce byly zahrnuty </w:t>
      </w:r>
      <w:r w:rsidR="006F761B" w:rsidRPr="009E2E5C">
        <w:rPr>
          <w:rFonts w:asciiTheme="minorHAnsi" w:eastAsia="Calibri" w:hAnsiTheme="minorHAnsi"/>
        </w:rPr>
        <w:t xml:space="preserve">již </w:t>
      </w:r>
      <w:r w:rsidRPr="009E2E5C">
        <w:rPr>
          <w:rFonts w:asciiTheme="minorHAnsi" w:eastAsia="Calibri" w:hAnsiTheme="minorHAnsi"/>
        </w:rPr>
        <w:t>v projektové dokumentaci</w:t>
      </w:r>
      <w:r w:rsidR="008C73F2">
        <w:rPr>
          <w:rFonts w:asciiTheme="minorHAnsi" w:eastAsia="Calibri" w:hAnsiTheme="minorHAnsi"/>
        </w:rPr>
        <w:t>,</w:t>
      </w:r>
      <w:r w:rsidRPr="009E2E5C">
        <w:rPr>
          <w:rFonts w:asciiTheme="minorHAnsi" w:eastAsia="Calibri" w:hAnsiTheme="minorHAnsi"/>
        </w:rPr>
        <w:t xml:space="preserve"> resp.</w:t>
      </w:r>
      <w:r w:rsidR="00C62D66">
        <w:rPr>
          <w:rFonts w:asciiTheme="minorHAnsi" w:eastAsia="Calibri" w:hAnsiTheme="minorHAnsi"/>
        </w:rPr>
        <w:t xml:space="preserve"> </w:t>
      </w:r>
      <w:r w:rsidR="00643176">
        <w:rPr>
          <w:rFonts w:asciiTheme="minorHAnsi" w:eastAsia="Calibri" w:hAnsiTheme="minorHAnsi"/>
        </w:rPr>
        <w:t xml:space="preserve">v </w:t>
      </w:r>
      <w:r w:rsidRPr="009E2E5C">
        <w:rPr>
          <w:rFonts w:asciiTheme="minorHAnsi" w:eastAsia="Calibri" w:hAnsiTheme="minorHAnsi"/>
        </w:rPr>
        <w:t>zadávací dokumentaci pro výběr zhotovitele, docházelo ke zpožďování dok</w:t>
      </w:r>
      <w:r w:rsidR="00E55FBC">
        <w:rPr>
          <w:rFonts w:asciiTheme="minorHAnsi" w:eastAsia="Calibri" w:hAnsiTheme="minorHAnsi"/>
        </w:rPr>
        <w:t>ončení akcí a vzniku víceprací</w:t>
      </w:r>
      <w:r w:rsidR="006F761B">
        <w:rPr>
          <w:rFonts w:asciiTheme="minorHAnsi" w:eastAsia="Calibri" w:hAnsiTheme="minorHAnsi"/>
        </w:rPr>
        <w:t>,</w:t>
      </w:r>
      <w:r w:rsidR="00E55FBC">
        <w:rPr>
          <w:rFonts w:asciiTheme="minorHAnsi" w:eastAsia="Calibri" w:hAnsiTheme="minorHAnsi"/>
        </w:rPr>
        <w:t xml:space="preserve"> např. </w:t>
      </w:r>
      <w:r w:rsidR="004E134C">
        <w:rPr>
          <w:rFonts w:asciiTheme="minorHAnsi" w:eastAsia="Calibri" w:hAnsiTheme="minorHAnsi"/>
        </w:rPr>
        <w:t xml:space="preserve">u rekonstrukce budovy ubytovny </w:t>
      </w:r>
      <w:r w:rsidR="00990C86">
        <w:rPr>
          <w:rFonts w:asciiTheme="minorHAnsi" w:eastAsia="Calibri" w:hAnsiTheme="minorHAnsi"/>
        </w:rPr>
        <w:t>(</w:t>
      </w:r>
      <w:r w:rsidR="004E134C">
        <w:rPr>
          <w:rFonts w:asciiTheme="minorHAnsi" w:eastAsia="Calibri" w:hAnsiTheme="minorHAnsi"/>
        </w:rPr>
        <w:t>akce</w:t>
      </w:r>
      <w:r w:rsidR="00E55FBC" w:rsidRPr="00E55FBC">
        <w:rPr>
          <w:rFonts w:asciiTheme="minorHAnsi" w:eastAsia="Calibri" w:hAnsiTheme="minorHAnsi"/>
        </w:rPr>
        <w:t xml:space="preserve"> č. 114V112002038</w:t>
      </w:r>
      <w:r w:rsidR="00990C86">
        <w:rPr>
          <w:rFonts w:asciiTheme="minorHAnsi" w:eastAsia="Calibri" w:hAnsiTheme="minorHAnsi"/>
        </w:rPr>
        <w:t>)</w:t>
      </w:r>
      <w:r w:rsidR="00E55FBC" w:rsidRPr="00E55FBC">
        <w:rPr>
          <w:rFonts w:asciiTheme="minorHAnsi" w:eastAsia="Calibri" w:hAnsiTheme="minorHAnsi"/>
        </w:rPr>
        <w:t>,</w:t>
      </w:r>
      <w:r w:rsidR="004E134C">
        <w:rPr>
          <w:rFonts w:asciiTheme="minorHAnsi" w:eastAsia="Calibri" w:hAnsiTheme="minorHAnsi"/>
        </w:rPr>
        <w:t xml:space="preserve"> budování prostor pro redislokaci </w:t>
      </w:r>
      <w:r w:rsidR="00990C86">
        <w:rPr>
          <w:rFonts w:asciiTheme="minorHAnsi" w:eastAsia="Calibri" w:hAnsiTheme="minorHAnsi"/>
        </w:rPr>
        <w:t>(akce</w:t>
      </w:r>
      <w:r w:rsidR="004E134C">
        <w:rPr>
          <w:rFonts w:asciiTheme="minorHAnsi" w:eastAsia="Calibri" w:hAnsiTheme="minorHAnsi"/>
        </w:rPr>
        <w:t xml:space="preserve"> č.</w:t>
      </w:r>
      <w:r w:rsidR="00990C86">
        <w:rPr>
          <w:rFonts w:asciiTheme="minorHAnsi" w:eastAsia="Calibri" w:hAnsiTheme="minorHAnsi"/>
        </w:rPr>
        <w:t> </w:t>
      </w:r>
      <w:r w:rsidR="00E55FBC" w:rsidRPr="00E55FBC">
        <w:rPr>
          <w:rFonts w:asciiTheme="minorHAnsi" w:eastAsia="Calibri" w:hAnsiTheme="minorHAnsi"/>
        </w:rPr>
        <w:t>114V112002073</w:t>
      </w:r>
      <w:r w:rsidR="00990C86">
        <w:rPr>
          <w:rFonts w:asciiTheme="minorHAnsi" w:eastAsia="Calibri" w:hAnsiTheme="minorHAnsi"/>
        </w:rPr>
        <w:t>)</w:t>
      </w:r>
      <w:r w:rsidR="00E55FBC" w:rsidRPr="00E55FBC">
        <w:rPr>
          <w:rFonts w:asciiTheme="minorHAnsi" w:eastAsia="Calibri" w:hAnsiTheme="minorHAnsi"/>
        </w:rPr>
        <w:t xml:space="preserve"> a </w:t>
      </w:r>
      <w:r w:rsidR="004E134C">
        <w:rPr>
          <w:rFonts w:asciiTheme="minorHAnsi" w:eastAsia="Calibri" w:hAnsiTheme="minorHAnsi"/>
        </w:rPr>
        <w:t xml:space="preserve">novostavby služebny </w:t>
      </w:r>
      <w:r w:rsidR="00990C86">
        <w:rPr>
          <w:rFonts w:asciiTheme="minorHAnsi" w:eastAsia="Calibri" w:hAnsiTheme="minorHAnsi"/>
        </w:rPr>
        <w:t xml:space="preserve">(akce </w:t>
      </w:r>
      <w:r w:rsidR="004E134C">
        <w:rPr>
          <w:rFonts w:asciiTheme="minorHAnsi" w:eastAsia="Calibri" w:hAnsiTheme="minorHAnsi"/>
        </w:rPr>
        <w:t xml:space="preserve">č. </w:t>
      </w:r>
      <w:r w:rsidR="00E55FBC" w:rsidRPr="00E55FBC">
        <w:rPr>
          <w:rFonts w:asciiTheme="minorHAnsi" w:eastAsia="Calibri" w:hAnsiTheme="minorHAnsi"/>
        </w:rPr>
        <w:t>114V122005001</w:t>
      </w:r>
      <w:r w:rsidR="00E55FBC">
        <w:rPr>
          <w:rFonts w:asciiTheme="minorHAnsi" w:eastAsia="Calibri" w:hAnsiTheme="minorHAnsi"/>
        </w:rPr>
        <w:t xml:space="preserve">). </w:t>
      </w:r>
      <w:r w:rsidR="008C73F2">
        <w:rPr>
          <w:rFonts w:asciiTheme="minorHAnsi" w:hAnsiTheme="minorHAnsi" w:cs="Calibri"/>
          <w:color w:val="000000"/>
        </w:rPr>
        <w:t>Detailnější</w:t>
      </w:r>
      <w:r w:rsidR="002E1D2E" w:rsidRPr="00E55FBC">
        <w:rPr>
          <w:rFonts w:asciiTheme="minorHAnsi" w:hAnsiTheme="minorHAnsi" w:cs="Calibri"/>
          <w:color w:val="000000"/>
        </w:rPr>
        <w:t xml:space="preserve"> plánování by mohlo zabránit situací</w:t>
      </w:r>
      <w:r w:rsidR="0052675E">
        <w:rPr>
          <w:rFonts w:asciiTheme="minorHAnsi" w:hAnsiTheme="minorHAnsi" w:cs="Calibri"/>
          <w:color w:val="000000"/>
        </w:rPr>
        <w:t xml:space="preserve">m, které vznikly </w:t>
      </w:r>
      <w:r w:rsidR="006F761B">
        <w:rPr>
          <w:rFonts w:asciiTheme="minorHAnsi" w:hAnsiTheme="minorHAnsi"/>
        </w:rPr>
        <w:t>při</w:t>
      </w:r>
      <w:r w:rsidR="002E1D2E" w:rsidRPr="00E55FBC">
        <w:rPr>
          <w:rFonts w:asciiTheme="minorHAnsi" w:hAnsiTheme="minorHAnsi"/>
        </w:rPr>
        <w:t xml:space="preserve"> </w:t>
      </w:r>
      <w:r w:rsidR="00C22F3C">
        <w:rPr>
          <w:rFonts w:asciiTheme="minorHAnsi" w:hAnsiTheme="minorHAnsi"/>
        </w:rPr>
        <w:t>rekonstrukc</w:t>
      </w:r>
      <w:r w:rsidR="006F761B">
        <w:rPr>
          <w:rFonts w:asciiTheme="minorHAnsi" w:hAnsiTheme="minorHAnsi"/>
        </w:rPr>
        <w:t>i</w:t>
      </w:r>
      <w:r w:rsidR="00C22F3C">
        <w:rPr>
          <w:rFonts w:asciiTheme="minorHAnsi" w:hAnsiTheme="minorHAnsi"/>
        </w:rPr>
        <w:t xml:space="preserve"> elektroinstalace v Kladně (</w:t>
      </w:r>
      <w:r w:rsidR="005740C8">
        <w:rPr>
          <w:rFonts w:asciiTheme="minorHAnsi" w:hAnsiTheme="minorHAnsi"/>
        </w:rPr>
        <w:t>akce č. </w:t>
      </w:r>
      <w:r w:rsidR="002E1D2E" w:rsidRPr="00433FD7">
        <w:rPr>
          <w:rFonts w:asciiTheme="minorHAnsi" w:hAnsiTheme="minorHAnsi"/>
        </w:rPr>
        <w:t>114V112001041</w:t>
      </w:r>
      <w:r w:rsidR="00C22F3C">
        <w:rPr>
          <w:rFonts w:asciiTheme="minorHAnsi" w:hAnsiTheme="minorHAnsi"/>
        </w:rPr>
        <w:t>)</w:t>
      </w:r>
      <w:r w:rsidR="000B7723">
        <w:rPr>
          <w:rFonts w:asciiTheme="minorHAnsi" w:hAnsiTheme="minorHAnsi"/>
        </w:rPr>
        <w:t xml:space="preserve"> </w:t>
      </w:r>
      <w:r w:rsidR="00C22F3C">
        <w:rPr>
          <w:rFonts w:asciiTheme="minorHAnsi" w:hAnsiTheme="minorHAnsi"/>
        </w:rPr>
        <w:t xml:space="preserve">nebo </w:t>
      </w:r>
      <w:r w:rsidR="006F761B">
        <w:rPr>
          <w:rFonts w:asciiTheme="minorHAnsi" w:hAnsiTheme="minorHAnsi"/>
        </w:rPr>
        <w:t xml:space="preserve">při </w:t>
      </w:r>
      <w:r w:rsidR="00C22F3C">
        <w:rPr>
          <w:rFonts w:asciiTheme="minorHAnsi" w:hAnsiTheme="minorHAnsi"/>
        </w:rPr>
        <w:t>úprav</w:t>
      </w:r>
      <w:r w:rsidR="006F761B">
        <w:rPr>
          <w:rFonts w:asciiTheme="minorHAnsi" w:hAnsiTheme="minorHAnsi"/>
        </w:rPr>
        <w:t>ách</w:t>
      </w:r>
      <w:r w:rsidR="00C22F3C">
        <w:rPr>
          <w:rFonts w:asciiTheme="minorHAnsi" w:hAnsiTheme="minorHAnsi"/>
        </w:rPr>
        <w:t xml:space="preserve"> místnosti a konferenčního sálu v Praze 7</w:t>
      </w:r>
      <w:r w:rsidR="00643176">
        <w:rPr>
          <w:rFonts w:asciiTheme="minorHAnsi" w:hAnsiTheme="minorHAnsi"/>
        </w:rPr>
        <w:t xml:space="preserve"> </w:t>
      </w:r>
      <w:r w:rsidR="00C22F3C">
        <w:rPr>
          <w:rFonts w:asciiTheme="minorHAnsi" w:hAnsiTheme="minorHAnsi"/>
        </w:rPr>
        <w:t xml:space="preserve">(akce </w:t>
      </w:r>
      <w:r w:rsidR="005740C8">
        <w:rPr>
          <w:rFonts w:asciiTheme="minorHAnsi" w:hAnsiTheme="minorHAnsi"/>
        </w:rPr>
        <w:t>č. </w:t>
      </w:r>
      <w:r w:rsidR="002E1D2E" w:rsidRPr="00E55FBC">
        <w:rPr>
          <w:rFonts w:asciiTheme="minorHAnsi" w:hAnsiTheme="minorHAnsi" w:cstheme="minorHAnsi"/>
        </w:rPr>
        <w:t>114V122004030</w:t>
      </w:r>
      <w:r w:rsidR="00C22F3C">
        <w:rPr>
          <w:rFonts w:asciiTheme="minorHAnsi" w:hAnsiTheme="minorHAnsi" w:cstheme="minorHAnsi"/>
        </w:rPr>
        <w:t>)</w:t>
      </w:r>
      <w:r w:rsidR="0052675E">
        <w:rPr>
          <w:rFonts w:asciiTheme="minorHAnsi" w:hAnsiTheme="minorHAnsi" w:cstheme="minorHAnsi"/>
        </w:rPr>
        <w:t xml:space="preserve">. U </w:t>
      </w:r>
      <w:r w:rsidR="002A318B">
        <w:rPr>
          <w:rFonts w:asciiTheme="minorHAnsi" w:hAnsiTheme="minorHAnsi" w:cstheme="minorHAnsi"/>
        </w:rPr>
        <w:t>akce realizované</w:t>
      </w:r>
      <w:r w:rsidR="0052675E">
        <w:rPr>
          <w:rFonts w:asciiTheme="minorHAnsi" w:hAnsiTheme="minorHAnsi" w:cstheme="minorHAnsi"/>
        </w:rPr>
        <w:t xml:space="preserve"> v Kladně</w:t>
      </w:r>
      <w:r w:rsidR="002E1D2E" w:rsidRPr="00E55FBC">
        <w:rPr>
          <w:rFonts w:asciiTheme="minorHAnsi" w:hAnsiTheme="minorHAnsi" w:cstheme="minorHAnsi"/>
        </w:rPr>
        <w:t xml:space="preserve"> byly schváleny finanční </w:t>
      </w:r>
      <w:r w:rsidR="0052675E">
        <w:rPr>
          <w:rFonts w:asciiTheme="minorHAnsi" w:hAnsiTheme="minorHAnsi" w:cstheme="minorHAnsi"/>
        </w:rPr>
        <w:t xml:space="preserve">náklady </w:t>
      </w:r>
      <w:r w:rsidR="002E1D2E" w:rsidRPr="00E55FBC">
        <w:rPr>
          <w:rFonts w:asciiTheme="minorHAnsi" w:hAnsiTheme="minorHAnsi" w:cstheme="minorHAnsi"/>
        </w:rPr>
        <w:t xml:space="preserve">ve výši </w:t>
      </w:r>
      <w:r w:rsidR="002E1D2E" w:rsidRPr="00433FD7">
        <w:rPr>
          <w:rFonts w:asciiTheme="minorHAnsi" w:hAnsiTheme="minorHAnsi"/>
        </w:rPr>
        <w:t>1,2</w:t>
      </w:r>
      <w:r w:rsidR="00C62D66">
        <w:rPr>
          <w:rFonts w:asciiTheme="minorHAnsi" w:hAnsiTheme="minorHAnsi"/>
        </w:rPr>
        <w:t> </w:t>
      </w:r>
      <w:r w:rsidR="0005054A" w:rsidRPr="00433FD7">
        <w:rPr>
          <w:rFonts w:asciiTheme="minorHAnsi" w:hAnsiTheme="minorHAnsi"/>
        </w:rPr>
        <w:t>mil. Kč</w:t>
      </w:r>
      <w:r w:rsidR="0052675E">
        <w:rPr>
          <w:rFonts w:asciiTheme="minorHAnsi" w:hAnsiTheme="minorHAnsi"/>
        </w:rPr>
        <w:t>, ale</w:t>
      </w:r>
      <w:r w:rsidR="0052675E" w:rsidRPr="0052675E">
        <w:rPr>
          <w:rFonts w:asciiTheme="minorHAnsi" w:hAnsiTheme="minorHAnsi" w:cstheme="minorHAnsi"/>
        </w:rPr>
        <w:t xml:space="preserve"> </w:t>
      </w:r>
      <w:r w:rsidR="0052675E" w:rsidRPr="00E55FBC">
        <w:rPr>
          <w:rFonts w:asciiTheme="minorHAnsi" w:hAnsiTheme="minorHAnsi" w:cstheme="minorHAnsi"/>
        </w:rPr>
        <w:t xml:space="preserve">ve skutečnosti dosáhly </w:t>
      </w:r>
      <w:r w:rsidR="0052675E" w:rsidRPr="00433FD7">
        <w:rPr>
          <w:rFonts w:asciiTheme="minorHAnsi" w:hAnsiTheme="minorHAnsi"/>
        </w:rPr>
        <w:t>3,</w:t>
      </w:r>
      <w:r w:rsidR="0052675E">
        <w:rPr>
          <w:rFonts w:asciiTheme="minorHAnsi" w:hAnsiTheme="minorHAnsi"/>
        </w:rPr>
        <w:t>8</w:t>
      </w:r>
      <w:r w:rsidR="0052675E" w:rsidRPr="00433FD7">
        <w:rPr>
          <w:rFonts w:asciiTheme="minorHAnsi" w:hAnsiTheme="minorHAnsi"/>
        </w:rPr>
        <w:t xml:space="preserve"> mil. Kč</w:t>
      </w:r>
      <w:r w:rsidR="0052675E">
        <w:rPr>
          <w:rFonts w:asciiTheme="minorHAnsi" w:hAnsiTheme="minorHAnsi" w:cstheme="minorHAnsi"/>
        </w:rPr>
        <w:t xml:space="preserve">. U druhé akce </w:t>
      </w:r>
      <w:r w:rsidR="00EA6D77">
        <w:rPr>
          <w:rFonts w:asciiTheme="minorHAnsi" w:hAnsiTheme="minorHAnsi" w:cstheme="minorHAnsi"/>
        </w:rPr>
        <w:t>činily</w:t>
      </w:r>
      <w:r w:rsidR="0052675E">
        <w:rPr>
          <w:rFonts w:asciiTheme="minorHAnsi" w:hAnsiTheme="minorHAnsi" w:cstheme="minorHAnsi"/>
        </w:rPr>
        <w:t xml:space="preserve"> schválené náklady</w:t>
      </w:r>
      <w:r w:rsidR="0005054A" w:rsidRPr="00E55FBC">
        <w:rPr>
          <w:rFonts w:asciiTheme="minorHAnsi" w:hAnsiTheme="minorHAnsi" w:cstheme="minorHAnsi"/>
        </w:rPr>
        <w:t xml:space="preserve"> </w:t>
      </w:r>
      <w:r w:rsidR="002E1D2E" w:rsidRPr="00E55FBC">
        <w:rPr>
          <w:rFonts w:asciiTheme="minorHAnsi" w:hAnsiTheme="minorHAnsi" w:cstheme="minorHAnsi"/>
        </w:rPr>
        <w:t>4</w:t>
      </w:r>
      <w:r w:rsidR="00C62D66">
        <w:rPr>
          <w:rFonts w:asciiTheme="minorHAnsi" w:hAnsiTheme="minorHAnsi" w:cstheme="minorHAnsi"/>
        </w:rPr>
        <w:t> </w:t>
      </w:r>
      <w:r w:rsidR="002E1D2E" w:rsidRPr="00E55FBC">
        <w:rPr>
          <w:rFonts w:asciiTheme="minorHAnsi" w:hAnsiTheme="minorHAnsi" w:cstheme="minorHAnsi"/>
        </w:rPr>
        <w:t>mil.</w:t>
      </w:r>
      <w:r w:rsidR="00C62D66">
        <w:rPr>
          <w:rFonts w:asciiTheme="minorHAnsi" w:hAnsiTheme="minorHAnsi" w:cstheme="minorHAnsi"/>
        </w:rPr>
        <w:t> </w:t>
      </w:r>
      <w:r w:rsidR="002E1D2E" w:rsidRPr="00E55FBC">
        <w:rPr>
          <w:rFonts w:asciiTheme="minorHAnsi" w:hAnsiTheme="minorHAnsi" w:cstheme="minorHAnsi"/>
        </w:rPr>
        <w:t>Kč</w:t>
      </w:r>
      <w:r w:rsidR="006F761B">
        <w:rPr>
          <w:rFonts w:asciiTheme="minorHAnsi" w:hAnsiTheme="minorHAnsi" w:cstheme="minorHAnsi"/>
        </w:rPr>
        <w:t>,</w:t>
      </w:r>
      <w:r w:rsidR="002E1D2E" w:rsidRPr="00E55FBC">
        <w:rPr>
          <w:rFonts w:asciiTheme="minorHAnsi" w:hAnsiTheme="minorHAnsi" w:cstheme="minorHAnsi"/>
        </w:rPr>
        <w:t xml:space="preserve"> </w:t>
      </w:r>
      <w:r w:rsidR="0052675E">
        <w:rPr>
          <w:rFonts w:asciiTheme="minorHAnsi" w:hAnsiTheme="minorHAnsi"/>
        </w:rPr>
        <w:t>a</w:t>
      </w:r>
      <w:r w:rsidR="006F761B">
        <w:rPr>
          <w:rFonts w:asciiTheme="minorHAnsi" w:hAnsiTheme="minorHAnsi"/>
        </w:rPr>
        <w:t>však</w:t>
      </w:r>
      <w:r w:rsidR="0052675E">
        <w:rPr>
          <w:rFonts w:asciiTheme="minorHAnsi" w:hAnsiTheme="minorHAnsi"/>
        </w:rPr>
        <w:t xml:space="preserve"> ve skutečnosti </w:t>
      </w:r>
      <w:r w:rsidR="00EA6D77">
        <w:rPr>
          <w:rFonts w:asciiTheme="minorHAnsi" w:hAnsiTheme="minorHAnsi"/>
        </w:rPr>
        <w:t>dosáhly</w:t>
      </w:r>
      <w:r w:rsidR="002E1D2E" w:rsidRPr="00E55FBC">
        <w:rPr>
          <w:rFonts w:asciiTheme="minorHAnsi" w:hAnsiTheme="minorHAnsi"/>
        </w:rPr>
        <w:t xml:space="preserve"> 6,2 mil. Kč.</w:t>
      </w:r>
      <w:r w:rsidR="002E1D2E">
        <w:rPr>
          <w:rFonts w:asciiTheme="minorHAnsi" w:hAnsiTheme="minorHAnsi"/>
        </w:rPr>
        <w:t xml:space="preserve"> </w:t>
      </w:r>
      <w:r w:rsidR="002E1D2E" w:rsidRPr="001E0975">
        <w:rPr>
          <w:rFonts w:asciiTheme="minorHAnsi" w:hAnsiTheme="minorHAnsi"/>
        </w:rPr>
        <w:t xml:space="preserve">U </w:t>
      </w:r>
      <w:r w:rsidR="00BA60CF">
        <w:rPr>
          <w:rFonts w:asciiTheme="minorHAnsi" w:hAnsiTheme="minorHAnsi"/>
        </w:rPr>
        <w:t>akce</w:t>
      </w:r>
      <w:r w:rsidR="002E1D2E" w:rsidRPr="001E0975">
        <w:rPr>
          <w:rFonts w:asciiTheme="minorHAnsi" w:hAnsiTheme="minorHAnsi"/>
        </w:rPr>
        <w:t xml:space="preserve"> rekonstrukce infrastruktury areálu Zbraslav, původně za 20,7 mil. Kč</w:t>
      </w:r>
      <w:r w:rsidR="006F761B">
        <w:rPr>
          <w:rFonts w:asciiTheme="minorHAnsi" w:hAnsiTheme="minorHAnsi"/>
        </w:rPr>
        <w:t>,</w:t>
      </w:r>
      <w:r w:rsidR="002E1D2E" w:rsidRPr="001E0975">
        <w:rPr>
          <w:rFonts w:asciiTheme="minorHAnsi" w:hAnsiTheme="minorHAnsi"/>
        </w:rPr>
        <w:t xml:space="preserve"> se po zpracování projektové dokumentace ukázalo, že zamýšlená rekonstrukce bude vyžadovat investici </w:t>
      </w:r>
      <w:r w:rsidR="0005054A">
        <w:rPr>
          <w:rFonts w:asciiTheme="minorHAnsi" w:hAnsiTheme="minorHAnsi"/>
        </w:rPr>
        <w:t>mnohonásobně vyšší</w:t>
      </w:r>
      <w:r w:rsidR="002E1D2E" w:rsidRPr="001E0975">
        <w:rPr>
          <w:rFonts w:asciiTheme="minorHAnsi" w:hAnsiTheme="minorHAnsi"/>
        </w:rPr>
        <w:t xml:space="preserve"> </w:t>
      </w:r>
      <w:r w:rsidR="0085780B">
        <w:rPr>
          <w:rFonts w:asciiTheme="minorHAnsi" w:hAnsiTheme="minorHAnsi"/>
        </w:rPr>
        <w:t>(</w:t>
      </w:r>
      <w:r w:rsidR="002E1D2E" w:rsidRPr="001E0975">
        <w:rPr>
          <w:rFonts w:asciiTheme="minorHAnsi" w:hAnsiTheme="minorHAnsi"/>
        </w:rPr>
        <w:t>143,</w:t>
      </w:r>
      <w:r w:rsidR="002D1457">
        <w:rPr>
          <w:rFonts w:asciiTheme="minorHAnsi" w:hAnsiTheme="minorHAnsi"/>
        </w:rPr>
        <w:t>9</w:t>
      </w:r>
      <w:r w:rsidR="002E1D2E" w:rsidRPr="001E0975">
        <w:rPr>
          <w:rFonts w:asciiTheme="minorHAnsi" w:hAnsiTheme="minorHAnsi"/>
        </w:rPr>
        <w:t xml:space="preserve"> mil. Kč</w:t>
      </w:r>
      <w:r w:rsidR="0085780B">
        <w:rPr>
          <w:rFonts w:asciiTheme="minorHAnsi" w:hAnsiTheme="minorHAnsi"/>
        </w:rPr>
        <w:t>)</w:t>
      </w:r>
      <w:r w:rsidR="002E1D2E" w:rsidRPr="001E0975">
        <w:rPr>
          <w:rFonts w:asciiTheme="minorHAnsi" w:hAnsiTheme="minorHAnsi"/>
        </w:rPr>
        <w:t>.</w:t>
      </w:r>
      <w:r w:rsidR="002E1D2E" w:rsidRPr="001E0975">
        <w:rPr>
          <w:rFonts w:asciiTheme="minorHAnsi" w:hAnsiTheme="minorHAnsi" w:cs="Calibri"/>
          <w:color w:val="000000"/>
        </w:rPr>
        <w:t xml:space="preserve"> </w:t>
      </w:r>
      <w:r w:rsidR="006F3B5E">
        <w:rPr>
          <w:rFonts w:asciiTheme="minorHAnsi" w:hAnsiTheme="minorHAnsi" w:cs="Calibri"/>
          <w:color w:val="000000"/>
        </w:rPr>
        <w:t>Vzhledem k nedostatku finančních prostředků nebyla akce jako celek realizována.</w:t>
      </w:r>
      <w:r w:rsidR="00E55FBC">
        <w:rPr>
          <w:rFonts w:asciiTheme="minorHAnsi" w:hAnsiTheme="minorHAnsi" w:cs="Calibri"/>
          <w:color w:val="000000"/>
        </w:rPr>
        <w:t xml:space="preserve"> </w:t>
      </w:r>
      <w:r w:rsidR="00E55FBC" w:rsidRPr="00E51469">
        <w:rPr>
          <w:rFonts w:asciiTheme="minorHAnsi" w:hAnsiTheme="minorHAnsi"/>
        </w:rPr>
        <w:t xml:space="preserve">NKÚ </w:t>
      </w:r>
      <w:r w:rsidR="00E55FBC">
        <w:rPr>
          <w:rFonts w:asciiTheme="minorHAnsi" w:hAnsiTheme="minorHAnsi"/>
        </w:rPr>
        <w:t xml:space="preserve">dále </w:t>
      </w:r>
      <w:r w:rsidR="00E55FBC" w:rsidRPr="00E51469">
        <w:rPr>
          <w:rFonts w:asciiTheme="minorHAnsi" w:hAnsiTheme="minorHAnsi"/>
        </w:rPr>
        <w:t>u</w:t>
      </w:r>
      <w:r w:rsidR="00C62D66">
        <w:rPr>
          <w:rFonts w:asciiTheme="minorHAnsi" w:hAnsiTheme="minorHAnsi"/>
        </w:rPr>
        <w:t> </w:t>
      </w:r>
      <w:r w:rsidR="00E55FBC" w:rsidRPr="00E51469">
        <w:rPr>
          <w:rFonts w:asciiTheme="minorHAnsi" w:hAnsiTheme="minorHAnsi" w:cs="Calibri"/>
        </w:rPr>
        <w:t xml:space="preserve">KŘP </w:t>
      </w:r>
      <w:r w:rsidR="00E55FBC">
        <w:rPr>
          <w:rFonts w:asciiTheme="minorHAnsi" w:hAnsiTheme="minorHAnsi" w:cs="Calibri"/>
        </w:rPr>
        <w:t>Středočeského kraje</w:t>
      </w:r>
      <w:r w:rsidR="00E55FBC" w:rsidRPr="00E51469">
        <w:rPr>
          <w:rFonts w:asciiTheme="minorHAnsi" w:hAnsiTheme="minorHAnsi" w:cs="Calibri"/>
        </w:rPr>
        <w:t xml:space="preserve"> zjistil, že</w:t>
      </w:r>
      <w:r w:rsidR="00E55FBC" w:rsidRPr="00E51469">
        <w:rPr>
          <w:rFonts w:asciiTheme="minorHAnsi" w:hAnsiTheme="minorHAnsi" w:cs="Calibri"/>
          <w:b/>
        </w:rPr>
        <w:t xml:space="preserve"> </w:t>
      </w:r>
      <w:r w:rsidR="00E55FBC" w:rsidRPr="00E51469">
        <w:rPr>
          <w:rFonts w:asciiTheme="minorHAnsi" w:hAnsiTheme="minorHAnsi" w:cs="Calibri"/>
          <w:color w:val="000000"/>
        </w:rPr>
        <w:t xml:space="preserve">u třetiny kontrolovaných stavebních akcí </w:t>
      </w:r>
      <w:r w:rsidR="002A318B">
        <w:rPr>
          <w:rFonts w:asciiTheme="minorHAnsi" w:hAnsiTheme="minorHAnsi" w:cs="Calibri"/>
          <w:color w:val="000000"/>
        </w:rPr>
        <w:t>požadoval</w:t>
      </w:r>
      <w:r w:rsidR="00C62D66">
        <w:rPr>
          <w:rFonts w:asciiTheme="minorHAnsi" w:hAnsiTheme="minorHAnsi" w:cs="Calibri"/>
          <w:color w:val="000000"/>
        </w:rPr>
        <w:t>i</w:t>
      </w:r>
      <w:r w:rsidR="002A318B">
        <w:rPr>
          <w:rFonts w:asciiTheme="minorHAnsi" w:hAnsiTheme="minorHAnsi" w:cs="Calibri"/>
          <w:color w:val="000000"/>
        </w:rPr>
        <w:t xml:space="preserve"> </w:t>
      </w:r>
      <w:r w:rsidR="00E55FBC">
        <w:rPr>
          <w:rFonts w:asciiTheme="minorHAnsi" w:hAnsiTheme="minorHAnsi" w:cs="Calibri"/>
          <w:color w:val="000000"/>
        </w:rPr>
        <w:t>uživatel</w:t>
      </w:r>
      <w:r w:rsidR="00C62D66">
        <w:rPr>
          <w:rFonts w:asciiTheme="minorHAnsi" w:hAnsiTheme="minorHAnsi" w:cs="Calibri"/>
          <w:color w:val="000000"/>
        </w:rPr>
        <w:t>é</w:t>
      </w:r>
      <w:r w:rsidR="00E55FBC">
        <w:rPr>
          <w:rFonts w:asciiTheme="minorHAnsi" w:hAnsiTheme="minorHAnsi" w:cs="Calibri"/>
          <w:color w:val="000000"/>
        </w:rPr>
        <w:t xml:space="preserve"> </w:t>
      </w:r>
      <w:r w:rsidR="00E55FBC" w:rsidRPr="00E51469">
        <w:rPr>
          <w:rFonts w:asciiTheme="minorHAnsi" w:hAnsiTheme="minorHAnsi" w:cs="Calibri"/>
          <w:color w:val="000000"/>
        </w:rPr>
        <w:t xml:space="preserve">dodatečné </w:t>
      </w:r>
      <w:r w:rsidR="004C1394">
        <w:rPr>
          <w:rFonts w:asciiTheme="minorHAnsi" w:hAnsiTheme="minorHAnsi" w:cs="Calibri"/>
          <w:color w:val="000000"/>
        </w:rPr>
        <w:t>úpravy</w:t>
      </w:r>
      <w:r w:rsidR="00E55FBC" w:rsidRPr="00E51469">
        <w:rPr>
          <w:rFonts w:asciiTheme="minorHAnsi" w:hAnsiTheme="minorHAnsi" w:cs="Calibri"/>
          <w:color w:val="000000"/>
        </w:rPr>
        <w:t xml:space="preserve">, což </w:t>
      </w:r>
      <w:r w:rsidR="004C1394">
        <w:rPr>
          <w:rFonts w:asciiTheme="minorHAnsi" w:hAnsiTheme="minorHAnsi" w:cs="Calibri"/>
          <w:color w:val="000000"/>
        </w:rPr>
        <w:t>způsobilo</w:t>
      </w:r>
      <w:r w:rsidR="00E55FBC" w:rsidRPr="00E51469">
        <w:rPr>
          <w:rFonts w:asciiTheme="minorHAnsi" w:hAnsiTheme="minorHAnsi" w:cs="Calibri"/>
          <w:color w:val="000000"/>
        </w:rPr>
        <w:t xml:space="preserve"> změn</w:t>
      </w:r>
      <w:r w:rsidR="002A318B">
        <w:rPr>
          <w:rFonts w:asciiTheme="minorHAnsi" w:hAnsiTheme="minorHAnsi" w:cs="Calibri"/>
          <w:color w:val="000000"/>
        </w:rPr>
        <w:t>y</w:t>
      </w:r>
      <w:r w:rsidR="00E55FBC" w:rsidRPr="00E51469">
        <w:rPr>
          <w:rFonts w:asciiTheme="minorHAnsi" w:hAnsiTheme="minorHAnsi" w:cs="Calibri"/>
          <w:color w:val="000000"/>
        </w:rPr>
        <w:t xml:space="preserve"> projektov</w:t>
      </w:r>
      <w:r w:rsidR="002A318B">
        <w:rPr>
          <w:rFonts w:asciiTheme="minorHAnsi" w:hAnsiTheme="minorHAnsi" w:cs="Calibri"/>
          <w:color w:val="000000"/>
        </w:rPr>
        <w:t>ých</w:t>
      </w:r>
      <w:r w:rsidR="00E55FBC" w:rsidRPr="00E51469">
        <w:rPr>
          <w:rFonts w:asciiTheme="minorHAnsi" w:hAnsiTheme="minorHAnsi" w:cs="Calibri"/>
          <w:color w:val="000000"/>
        </w:rPr>
        <w:t xml:space="preserve"> dokumentac</w:t>
      </w:r>
      <w:r w:rsidR="002A318B">
        <w:rPr>
          <w:rFonts w:asciiTheme="minorHAnsi" w:hAnsiTheme="minorHAnsi" w:cs="Calibri"/>
          <w:color w:val="000000"/>
        </w:rPr>
        <w:t>í</w:t>
      </w:r>
      <w:r w:rsidR="00E55FBC" w:rsidRPr="00E51469">
        <w:rPr>
          <w:rFonts w:asciiTheme="minorHAnsi" w:hAnsiTheme="minorHAnsi" w:cs="Calibri"/>
          <w:color w:val="000000"/>
        </w:rPr>
        <w:t>, prov</w:t>
      </w:r>
      <w:r w:rsidR="002A318B">
        <w:rPr>
          <w:rFonts w:asciiTheme="minorHAnsi" w:hAnsiTheme="minorHAnsi" w:cs="Calibri"/>
          <w:color w:val="000000"/>
        </w:rPr>
        <w:t>ádění</w:t>
      </w:r>
      <w:r w:rsidR="00E55FBC" w:rsidRPr="00E51469">
        <w:rPr>
          <w:rFonts w:asciiTheme="minorHAnsi" w:hAnsiTheme="minorHAnsi" w:cs="Calibri"/>
          <w:color w:val="000000"/>
        </w:rPr>
        <w:t xml:space="preserve"> víceprací a</w:t>
      </w:r>
      <w:r w:rsidR="00C62D66">
        <w:rPr>
          <w:rFonts w:asciiTheme="minorHAnsi" w:hAnsiTheme="minorHAnsi" w:cs="Calibri"/>
          <w:color w:val="000000"/>
        </w:rPr>
        <w:t xml:space="preserve"> </w:t>
      </w:r>
      <w:r w:rsidR="00E55FBC" w:rsidRPr="00E51469">
        <w:rPr>
          <w:rFonts w:asciiTheme="minorHAnsi" w:hAnsiTheme="minorHAnsi" w:cs="Calibri"/>
          <w:color w:val="000000"/>
        </w:rPr>
        <w:t>uzavírání dodatků ke smlouvám.</w:t>
      </w:r>
      <w:r w:rsidR="00E55FBC" w:rsidRPr="00E51469">
        <w:rPr>
          <w:rFonts w:asciiTheme="minorHAnsi" w:hAnsiTheme="minorHAnsi"/>
        </w:rPr>
        <w:t xml:space="preserve"> </w:t>
      </w:r>
    </w:p>
    <w:p w14:paraId="633FCB0C" w14:textId="1F4E72E5" w:rsidR="00F37C4A" w:rsidRDefault="00F37C4A" w:rsidP="00F37C4A">
      <w:pPr>
        <w:spacing w:after="120"/>
        <w:jc w:val="both"/>
        <w:rPr>
          <w:rFonts w:asciiTheme="minorHAnsi" w:eastAsia="Calibri" w:hAnsiTheme="minorHAnsi"/>
        </w:rPr>
      </w:pPr>
      <w:r w:rsidRPr="00832AA7">
        <w:rPr>
          <w:rFonts w:asciiTheme="minorHAnsi" w:eastAsia="Calibri" w:hAnsiTheme="minorHAnsi"/>
        </w:rPr>
        <w:t xml:space="preserve">Podkladem pro rozhodnutí o realizaci </w:t>
      </w:r>
      <w:r>
        <w:rPr>
          <w:rFonts w:asciiTheme="minorHAnsi" w:eastAsia="Calibri" w:hAnsiTheme="minorHAnsi"/>
        </w:rPr>
        <w:t xml:space="preserve">výstavby </w:t>
      </w:r>
      <w:r w:rsidRPr="00832AA7">
        <w:rPr>
          <w:rFonts w:asciiTheme="minorHAnsi" w:eastAsia="Calibri" w:hAnsiTheme="minorHAnsi"/>
        </w:rPr>
        <w:t>nového integrovaného operačního střediska (akce č. 114V112003056)</w:t>
      </w:r>
      <w:r>
        <w:rPr>
          <w:rFonts w:asciiTheme="minorHAnsi" w:eastAsia="Calibri" w:hAnsiTheme="minorHAnsi"/>
        </w:rPr>
        <w:t xml:space="preserve"> </w:t>
      </w:r>
      <w:r w:rsidRPr="00832AA7">
        <w:rPr>
          <w:rFonts w:asciiTheme="minorHAnsi" w:eastAsia="Calibri" w:hAnsiTheme="minorHAnsi"/>
        </w:rPr>
        <w:t xml:space="preserve">byla pouze objemová studie, dle které náklady </w:t>
      </w:r>
      <w:r w:rsidR="0052675E">
        <w:rPr>
          <w:rFonts w:asciiTheme="minorHAnsi" w:eastAsia="Calibri" w:hAnsiTheme="minorHAnsi"/>
        </w:rPr>
        <w:t xml:space="preserve">na akci </w:t>
      </w:r>
      <w:r w:rsidRPr="00832AA7">
        <w:rPr>
          <w:rFonts w:asciiTheme="minorHAnsi" w:eastAsia="Calibri" w:hAnsiTheme="minorHAnsi"/>
        </w:rPr>
        <w:t>činily 28,2</w:t>
      </w:r>
      <w:r w:rsidR="006F1820">
        <w:rPr>
          <w:rFonts w:asciiTheme="minorHAnsi" w:eastAsia="Calibri" w:hAnsiTheme="minorHAnsi"/>
        </w:rPr>
        <w:t> </w:t>
      </w:r>
      <w:r w:rsidRPr="00832AA7">
        <w:rPr>
          <w:rFonts w:asciiTheme="minorHAnsi" w:eastAsia="Calibri" w:hAnsiTheme="minorHAnsi"/>
        </w:rPr>
        <w:t>mil.</w:t>
      </w:r>
      <w:r w:rsidR="006F1820">
        <w:rPr>
          <w:rFonts w:asciiTheme="minorHAnsi" w:eastAsia="Calibri" w:hAnsiTheme="minorHAnsi"/>
        </w:rPr>
        <w:t> </w:t>
      </w:r>
      <w:r w:rsidRPr="00832AA7">
        <w:rPr>
          <w:rFonts w:asciiTheme="minorHAnsi" w:eastAsia="Calibri" w:hAnsiTheme="minorHAnsi"/>
        </w:rPr>
        <w:t xml:space="preserve">Kč. Částka byla převzata do </w:t>
      </w:r>
      <w:r w:rsidR="00D466E0">
        <w:rPr>
          <w:rFonts w:asciiTheme="minorHAnsi" w:eastAsia="Calibri" w:hAnsiTheme="minorHAnsi"/>
        </w:rPr>
        <w:t>investičního záměru</w:t>
      </w:r>
      <w:r w:rsidRPr="00832AA7">
        <w:rPr>
          <w:rFonts w:asciiTheme="minorHAnsi" w:eastAsia="Calibri" w:hAnsiTheme="minorHAnsi"/>
        </w:rPr>
        <w:t xml:space="preserve">, na </w:t>
      </w:r>
      <w:r w:rsidR="00614B68">
        <w:rPr>
          <w:rFonts w:asciiTheme="minorHAnsi" w:eastAsia="Calibri" w:hAnsiTheme="minorHAnsi"/>
        </w:rPr>
        <w:t xml:space="preserve">základě </w:t>
      </w:r>
      <w:r w:rsidRPr="00832AA7">
        <w:rPr>
          <w:rFonts w:asciiTheme="minorHAnsi" w:eastAsia="Calibri" w:hAnsiTheme="minorHAnsi"/>
        </w:rPr>
        <w:t xml:space="preserve">kterého byla akce zaregistrována. Při </w:t>
      </w:r>
      <w:r w:rsidR="00C62D66">
        <w:rPr>
          <w:rFonts w:asciiTheme="minorHAnsi" w:eastAsia="Calibri" w:hAnsiTheme="minorHAnsi"/>
        </w:rPr>
        <w:t>tvorbě</w:t>
      </w:r>
      <w:r w:rsidRPr="00832AA7">
        <w:rPr>
          <w:rFonts w:asciiTheme="minorHAnsi" w:eastAsia="Calibri" w:hAnsiTheme="minorHAnsi"/>
        </w:rPr>
        <w:t xml:space="preserve"> projektové dokumentace vyšlo najevo, že akci </w:t>
      </w:r>
      <w:r w:rsidR="0052675E" w:rsidRPr="00832AA7">
        <w:rPr>
          <w:rFonts w:asciiTheme="minorHAnsi" w:eastAsia="Calibri" w:hAnsiTheme="minorHAnsi"/>
        </w:rPr>
        <w:t>nelze realizovat</w:t>
      </w:r>
      <w:r w:rsidR="0052675E">
        <w:rPr>
          <w:rFonts w:asciiTheme="minorHAnsi" w:eastAsia="Calibri" w:hAnsiTheme="minorHAnsi"/>
        </w:rPr>
        <w:t xml:space="preserve"> </w:t>
      </w:r>
      <w:r>
        <w:rPr>
          <w:rFonts w:asciiTheme="minorHAnsi" w:eastAsia="Calibri" w:hAnsiTheme="minorHAnsi"/>
        </w:rPr>
        <w:t>v</w:t>
      </w:r>
      <w:r w:rsidR="0052675E">
        <w:rPr>
          <w:rFonts w:asciiTheme="minorHAnsi" w:eastAsia="Calibri" w:hAnsiTheme="minorHAnsi"/>
        </w:rPr>
        <w:t> </w:t>
      </w:r>
      <w:r>
        <w:rPr>
          <w:rFonts w:asciiTheme="minorHAnsi" w:eastAsia="Calibri" w:hAnsiTheme="minorHAnsi"/>
        </w:rPr>
        <w:t>rozsahu</w:t>
      </w:r>
      <w:r w:rsidR="0052675E">
        <w:rPr>
          <w:rFonts w:asciiTheme="minorHAnsi" w:eastAsia="Calibri" w:hAnsiTheme="minorHAnsi"/>
        </w:rPr>
        <w:t xml:space="preserve">, který uvádí </w:t>
      </w:r>
      <w:r w:rsidR="0052675E" w:rsidRPr="00832AA7">
        <w:rPr>
          <w:rFonts w:asciiTheme="minorHAnsi" w:eastAsia="Calibri" w:hAnsiTheme="minorHAnsi"/>
        </w:rPr>
        <w:t>objemov</w:t>
      </w:r>
      <w:r w:rsidR="0052675E">
        <w:rPr>
          <w:rFonts w:asciiTheme="minorHAnsi" w:eastAsia="Calibri" w:hAnsiTheme="minorHAnsi"/>
        </w:rPr>
        <w:t>á</w:t>
      </w:r>
      <w:r w:rsidR="0052675E" w:rsidRPr="00832AA7">
        <w:rPr>
          <w:rFonts w:asciiTheme="minorHAnsi" w:eastAsia="Calibri" w:hAnsiTheme="minorHAnsi"/>
        </w:rPr>
        <w:t xml:space="preserve"> </w:t>
      </w:r>
      <w:r w:rsidRPr="00832AA7">
        <w:rPr>
          <w:rFonts w:asciiTheme="minorHAnsi" w:eastAsia="Calibri" w:hAnsiTheme="minorHAnsi"/>
        </w:rPr>
        <w:t>studie</w:t>
      </w:r>
      <w:r w:rsidR="0052675E">
        <w:rPr>
          <w:rFonts w:asciiTheme="minorHAnsi" w:eastAsia="Calibri" w:hAnsiTheme="minorHAnsi"/>
        </w:rPr>
        <w:t>,</w:t>
      </w:r>
      <w:r w:rsidRPr="00832AA7">
        <w:rPr>
          <w:rFonts w:asciiTheme="minorHAnsi" w:eastAsia="Calibri" w:hAnsiTheme="minorHAnsi"/>
        </w:rPr>
        <w:t xml:space="preserve"> a celé řešení </w:t>
      </w:r>
      <w:r w:rsidR="0005054A">
        <w:rPr>
          <w:rFonts w:asciiTheme="minorHAnsi" w:eastAsia="Calibri" w:hAnsiTheme="minorHAnsi"/>
        </w:rPr>
        <w:t>muselo být</w:t>
      </w:r>
      <w:r w:rsidRPr="00832AA7">
        <w:rPr>
          <w:rFonts w:asciiTheme="minorHAnsi" w:eastAsia="Calibri" w:hAnsiTheme="minorHAnsi"/>
        </w:rPr>
        <w:t xml:space="preserve"> přepracováno. </w:t>
      </w:r>
      <w:r>
        <w:rPr>
          <w:rFonts w:asciiTheme="minorHAnsi" w:eastAsia="Calibri" w:hAnsiTheme="minorHAnsi"/>
        </w:rPr>
        <w:t>N</w:t>
      </w:r>
      <w:r w:rsidRPr="00832AA7">
        <w:rPr>
          <w:rFonts w:asciiTheme="minorHAnsi" w:eastAsia="Calibri" w:hAnsiTheme="minorHAnsi"/>
        </w:rPr>
        <w:t xml:space="preserve">áklady </w:t>
      </w:r>
      <w:r>
        <w:rPr>
          <w:rFonts w:asciiTheme="minorHAnsi" w:eastAsia="Calibri" w:hAnsiTheme="minorHAnsi"/>
        </w:rPr>
        <w:t>vzrostly o</w:t>
      </w:r>
      <w:r w:rsidR="005D5060">
        <w:rPr>
          <w:rFonts w:asciiTheme="minorHAnsi" w:eastAsia="Calibri" w:hAnsiTheme="minorHAnsi"/>
        </w:rPr>
        <w:t> </w:t>
      </w:r>
      <w:r>
        <w:rPr>
          <w:rFonts w:asciiTheme="minorHAnsi" w:eastAsia="Calibri" w:hAnsiTheme="minorHAnsi"/>
        </w:rPr>
        <w:t>16</w:t>
      </w:r>
      <w:r w:rsidR="005D5060">
        <w:rPr>
          <w:rFonts w:asciiTheme="minorHAnsi" w:eastAsia="Calibri" w:hAnsiTheme="minorHAnsi"/>
        </w:rPr>
        <w:t> </w:t>
      </w:r>
      <w:r>
        <w:rPr>
          <w:rFonts w:asciiTheme="minorHAnsi" w:eastAsia="Calibri" w:hAnsiTheme="minorHAnsi"/>
        </w:rPr>
        <w:t xml:space="preserve">mil. Kč (57 %). Další navýšení ceny způsobily vícepráce a dodatečné práce dle požadavků </w:t>
      </w:r>
      <w:r w:rsidR="004A5C5A">
        <w:rPr>
          <w:rFonts w:asciiTheme="minorHAnsi" w:eastAsia="Calibri" w:hAnsiTheme="minorHAnsi"/>
        </w:rPr>
        <w:t>MV</w:t>
      </w:r>
      <w:r w:rsidR="0052675E">
        <w:rPr>
          <w:rFonts w:asciiTheme="minorHAnsi" w:eastAsia="Calibri" w:hAnsiTheme="minorHAnsi"/>
        </w:rPr>
        <w:t>.</w:t>
      </w:r>
      <w:r>
        <w:rPr>
          <w:rFonts w:asciiTheme="minorHAnsi" w:eastAsia="Calibri" w:hAnsiTheme="minorHAnsi"/>
        </w:rPr>
        <w:t xml:space="preserve"> Celkem bylo uhrazeno 46,8 mil. Kč. I</w:t>
      </w:r>
      <w:r w:rsidRPr="00C53B22">
        <w:rPr>
          <w:rFonts w:asciiTheme="minorHAnsi" w:eastAsia="Calibri" w:hAnsiTheme="minorHAnsi"/>
        </w:rPr>
        <w:t xml:space="preserve">nvestici, u které byl vydán kolaudační souhlas </w:t>
      </w:r>
      <w:r w:rsidR="0005054A">
        <w:rPr>
          <w:rFonts w:asciiTheme="minorHAnsi" w:eastAsia="Calibri" w:hAnsiTheme="minorHAnsi"/>
        </w:rPr>
        <w:t xml:space="preserve">již </w:t>
      </w:r>
      <w:r>
        <w:rPr>
          <w:rFonts w:asciiTheme="minorHAnsi" w:eastAsia="Calibri" w:hAnsiTheme="minorHAnsi"/>
        </w:rPr>
        <w:t>v lednu roku</w:t>
      </w:r>
      <w:r w:rsidRPr="00C53B22">
        <w:rPr>
          <w:rFonts w:asciiTheme="minorHAnsi" w:eastAsia="Calibri" w:hAnsiTheme="minorHAnsi"/>
        </w:rPr>
        <w:t xml:space="preserve"> 2015, zařadilo </w:t>
      </w:r>
      <w:r w:rsidR="004A5C5A">
        <w:rPr>
          <w:rFonts w:asciiTheme="minorHAnsi" w:eastAsia="Calibri" w:hAnsiTheme="minorHAnsi"/>
        </w:rPr>
        <w:t>MV</w:t>
      </w:r>
      <w:r w:rsidR="006C0633" w:rsidRPr="00C53B22">
        <w:rPr>
          <w:rFonts w:asciiTheme="minorHAnsi" w:eastAsia="Calibri" w:hAnsiTheme="minorHAnsi"/>
        </w:rPr>
        <w:t xml:space="preserve"> </w:t>
      </w:r>
      <w:r w:rsidRPr="00C53B22">
        <w:rPr>
          <w:rFonts w:asciiTheme="minorHAnsi" w:eastAsia="Calibri" w:hAnsiTheme="minorHAnsi"/>
        </w:rPr>
        <w:t xml:space="preserve">do užívání až </w:t>
      </w:r>
      <w:r>
        <w:rPr>
          <w:rFonts w:asciiTheme="minorHAnsi" w:eastAsia="Calibri" w:hAnsiTheme="minorHAnsi"/>
        </w:rPr>
        <w:t>v červnu roku</w:t>
      </w:r>
      <w:r w:rsidRPr="00C53B22">
        <w:rPr>
          <w:rFonts w:asciiTheme="minorHAnsi" w:eastAsia="Calibri" w:hAnsiTheme="minorHAnsi"/>
        </w:rPr>
        <w:t xml:space="preserve"> 2017</w:t>
      </w:r>
      <w:r w:rsidR="00493109">
        <w:rPr>
          <w:rFonts w:asciiTheme="minorHAnsi" w:eastAsia="Calibri" w:hAnsiTheme="minorHAnsi"/>
        </w:rPr>
        <w:t>.</w:t>
      </w:r>
    </w:p>
    <w:p w14:paraId="09F41D5A" w14:textId="4E9B1914" w:rsidR="00875733" w:rsidRDefault="00875733">
      <w:pPr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br w:type="page"/>
      </w:r>
    </w:p>
    <w:p w14:paraId="215D8485" w14:textId="77777777" w:rsidR="002E1D2E" w:rsidRDefault="005920F2" w:rsidP="0050016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</w:t>
      </w:r>
      <w:r w:rsidR="00462F78" w:rsidRPr="005738F8">
        <w:rPr>
          <w:rFonts w:asciiTheme="minorHAnsi" w:hAnsiTheme="minorHAnsi" w:cstheme="minorHAnsi"/>
          <w:b/>
        </w:rPr>
        <w:t xml:space="preserve">eznam </w:t>
      </w:r>
      <w:r w:rsidR="00462F78">
        <w:rPr>
          <w:rFonts w:asciiTheme="minorHAnsi" w:hAnsiTheme="minorHAnsi" w:cstheme="minorHAnsi"/>
          <w:b/>
        </w:rPr>
        <w:t xml:space="preserve">použitých </w:t>
      </w:r>
      <w:r w:rsidR="00462F78" w:rsidRPr="005738F8">
        <w:rPr>
          <w:rFonts w:asciiTheme="minorHAnsi" w:hAnsiTheme="minorHAnsi" w:cstheme="minorHAnsi"/>
          <w:b/>
        </w:rPr>
        <w:t>zkratek</w:t>
      </w:r>
    </w:p>
    <w:p w14:paraId="1BB1B125" w14:textId="77777777" w:rsidR="0021516C" w:rsidRDefault="0021516C" w:rsidP="00500162">
      <w:pPr>
        <w:jc w:val="both"/>
        <w:rPr>
          <w:rFonts w:asciiTheme="minorHAnsi" w:hAnsiTheme="minorHAnsi" w:cstheme="minorHAnsi"/>
          <w:b/>
        </w:rPr>
      </w:pPr>
    </w:p>
    <w:p w14:paraId="0AE58F38" w14:textId="04F2EC82" w:rsidR="002E1D2E" w:rsidRDefault="002E1D2E" w:rsidP="003D1368">
      <w:pPr>
        <w:spacing w:after="80"/>
        <w:ind w:left="1985" w:hanging="1985"/>
        <w:jc w:val="both"/>
        <w:rPr>
          <w:rFonts w:asciiTheme="minorHAnsi" w:hAnsiTheme="minorHAnsi" w:cstheme="minorHAnsi"/>
        </w:rPr>
      </w:pPr>
      <w:r w:rsidRPr="002E1D2E">
        <w:rPr>
          <w:rFonts w:asciiTheme="minorHAnsi" w:hAnsiTheme="minorHAnsi" w:cstheme="minorHAnsi"/>
        </w:rPr>
        <w:t>Analýza</w:t>
      </w:r>
      <w:r w:rsidR="007E7AAC">
        <w:rPr>
          <w:rFonts w:asciiTheme="minorHAnsi" w:hAnsiTheme="minorHAnsi" w:cstheme="minorHAnsi"/>
        </w:rPr>
        <w:tab/>
      </w:r>
      <w:proofErr w:type="spellStart"/>
      <w:r w:rsidR="005B3DFE" w:rsidRPr="003D1368">
        <w:rPr>
          <w:rFonts w:asciiTheme="minorHAnsi" w:hAnsiTheme="minorHAnsi"/>
          <w:i/>
        </w:rPr>
        <w:t>Analýza</w:t>
      </w:r>
      <w:proofErr w:type="spellEnd"/>
      <w:r w:rsidR="005B3DFE" w:rsidRPr="003D1368">
        <w:rPr>
          <w:rFonts w:asciiTheme="minorHAnsi" w:hAnsiTheme="minorHAnsi"/>
          <w:i/>
        </w:rPr>
        <w:t xml:space="preserve"> stavu movitého a nemovitého majetku Policie </w:t>
      </w:r>
      <w:r w:rsidR="004705E5" w:rsidRPr="003D1368">
        <w:rPr>
          <w:rFonts w:asciiTheme="minorHAnsi" w:hAnsiTheme="minorHAnsi" w:cs="Calibri"/>
          <w:i/>
        </w:rPr>
        <w:t>České republiky</w:t>
      </w:r>
    </w:p>
    <w:p w14:paraId="23B4025B" w14:textId="3960F83D" w:rsidR="005B3DFE" w:rsidRDefault="007E7AAC" w:rsidP="003D1368">
      <w:pPr>
        <w:spacing w:after="80"/>
        <w:ind w:left="1985" w:hanging="19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ČR</w:t>
      </w:r>
      <w:r>
        <w:rPr>
          <w:rFonts w:asciiTheme="minorHAnsi" w:hAnsiTheme="minorHAnsi" w:cstheme="minorHAnsi"/>
        </w:rPr>
        <w:tab/>
      </w:r>
      <w:r w:rsidR="005B3DFE">
        <w:rPr>
          <w:rFonts w:asciiTheme="minorHAnsi" w:hAnsiTheme="minorHAnsi" w:cstheme="minorHAnsi"/>
        </w:rPr>
        <w:t>Česká republika</w:t>
      </w:r>
    </w:p>
    <w:p w14:paraId="251ED18C" w14:textId="47AB89EF" w:rsidR="00676C2B" w:rsidRPr="002E1D2E" w:rsidRDefault="00676C2B" w:rsidP="003D1368">
      <w:pPr>
        <w:spacing w:after="80"/>
        <w:ind w:left="1985" w:hanging="19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HW</w:t>
      </w:r>
      <w:r>
        <w:rPr>
          <w:rFonts w:asciiTheme="minorHAnsi" w:hAnsiTheme="minorHAnsi" w:cstheme="minorHAnsi"/>
        </w:rPr>
        <w:tab/>
        <w:t>hardware</w:t>
      </w:r>
    </w:p>
    <w:p w14:paraId="4BCB1A93" w14:textId="5F0A916D" w:rsidR="002E1D2E" w:rsidRDefault="002E1D2E" w:rsidP="003D1368">
      <w:pPr>
        <w:spacing w:after="80"/>
        <w:ind w:left="1985" w:hanging="1985"/>
        <w:jc w:val="both"/>
        <w:rPr>
          <w:rFonts w:asciiTheme="minorHAnsi" w:hAnsiTheme="minorHAnsi"/>
        </w:rPr>
      </w:pPr>
      <w:r w:rsidRPr="002E1D2E">
        <w:rPr>
          <w:rFonts w:asciiTheme="minorHAnsi" w:hAnsiTheme="minorHAnsi" w:cstheme="minorHAnsi"/>
        </w:rPr>
        <w:t>Koncepce</w:t>
      </w:r>
      <w:r w:rsidR="0098756F" w:rsidRPr="002E1D2E">
        <w:rPr>
          <w:rFonts w:asciiTheme="minorHAnsi" w:hAnsiTheme="minorHAnsi" w:cstheme="minorHAnsi"/>
          <w:b/>
        </w:rPr>
        <w:t xml:space="preserve"> </w:t>
      </w:r>
      <w:r w:rsidR="007E7AAC">
        <w:rPr>
          <w:rFonts w:asciiTheme="minorHAnsi" w:hAnsiTheme="minorHAnsi" w:cstheme="minorHAnsi"/>
          <w:b/>
        </w:rPr>
        <w:tab/>
      </w:r>
      <w:proofErr w:type="spellStart"/>
      <w:r w:rsidR="005B3DFE" w:rsidRPr="003D1368">
        <w:rPr>
          <w:rFonts w:asciiTheme="minorHAnsi" w:hAnsiTheme="minorHAnsi"/>
          <w:i/>
        </w:rPr>
        <w:t>Koncepce</w:t>
      </w:r>
      <w:proofErr w:type="spellEnd"/>
      <w:r w:rsidR="005B3DFE" w:rsidRPr="003D1368">
        <w:rPr>
          <w:rFonts w:asciiTheme="minorHAnsi" w:hAnsiTheme="minorHAnsi"/>
          <w:i/>
        </w:rPr>
        <w:t xml:space="preserve"> rozvoje Policie </w:t>
      </w:r>
      <w:r w:rsidR="004705E5" w:rsidRPr="003D1368">
        <w:rPr>
          <w:rFonts w:asciiTheme="minorHAnsi" w:hAnsiTheme="minorHAnsi" w:cs="Calibri"/>
          <w:i/>
        </w:rPr>
        <w:t>České republiky</w:t>
      </w:r>
      <w:r w:rsidR="005B3DFE" w:rsidRPr="003D1368">
        <w:rPr>
          <w:rFonts w:asciiTheme="minorHAnsi" w:hAnsiTheme="minorHAnsi"/>
          <w:i/>
        </w:rPr>
        <w:t xml:space="preserve"> do roku 2020</w:t>
      </w:r>
    </w:p>
    <w:p w14:paraId="49C7581D" w14:textId="7964B163" w:rsidR="00663AFE" w:rsidRDefault="007E7AAC" w:rsidP="003D1368">
      <w:pPr>
        <w:spacing w:after="80"/>
        <w:ind w:left="1985" w:hanging="198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>ICT</w:t>
      </w:r>
      <w:r>
        <w:rPr>
          <w:rFonts w:asciiTheme="minorHAnsi" w:hAnsiTheme="minorHAnsi"/>
        </w:rPr>
        <w:tab/>
      </w:r>
      <w:r w:rsidR="00663AFE">
        <w:rPr>
          <w:rFonts w:asciiTheme="minorHAnsi" w:hAnsiTheme="minorHAnsi"/>
        </w:rPr>
        <w:t>informační a komunikační technologie</w:t>
      </w:r>
    </w:p>
    <w:p w14:paraId="7F8C1AC9" w14:textId="74638E58" w:rsidR="004423DA" w:rsidRPr="005B3DFE" w:rsidRDefault="007E7AAC" w:rsidP="003D1368">
      <w:pPr>
        <w:spacing w:after="80"/>
        <w:ind w:left="1985" w:hanging="19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KŘP</w:t>
      </w:r>
      <w:r>
        <w:rPr>
          <w:rFonts w:asciiTheme="minorHAnsi" w:hAnsiTheme="minorHAnsi" w:cstheme="minorHAnsi"/>
        </w:rPr>
        <w:tab/>
      </w:r>
      <w:r w:rsidR="004423DA" w:rsidRPr="00E51469">
        <w:rPr>
          <w:rFonts w:asciiTheme="minorHAnsi" w:hAnsiTheme="minorHAnsi" w:cs="Calibri"/>
        </w:rPr>
        <w:t>krajsk</w:t>
      </w:r>
      <w:r w:rsidR="004423DA">
        <w:rPr>
          <w:rFonts w:asciiTheme="minorHAnsi" w:hAnsiTheme="minorHAnsi" w:cs="Calibri"/>
        </w:rPr>
        <w:t>é</w:t>
      </w:r>
      <w:r w:rsidR="004423DA" w:rsidRPr="00E51469">
        <w:rPr>
          <w:rFonts w:asciiTheme="minorHAnsi" w:hAnsiTheme="minorHAnsi" w:cs="Calibri"/>
        </w:rPr>
        <w:t xml:space="preserve"> ředitelství </w:t>
      </w:r>
      <w:r w:rsidR="004423DA">
        <w:rPr>
          <w:rFonts w:asciiTheme="minorHAnsi" w:hAnsiTheme="minorHAnsi" w:cs="Calibri"/>
        </w:rPr>
        <w:t>policie</w:t>
      </w:r>
    </w:p>
    <w:p w14:paraId="3CEC9172" w14:textId="15F8497A" w:rsidR="002E1D2E" w:rsidRPr="002E1D2E" w:rsidRDefault="002E1D2E" w:rsidP="003D1368">
      <w:pPr>
        <w:spacing w:after="80"/>
        <w:ind w:left="1985" w:hanging="1985"/>
        <w:jc w:val="both"/>
        <w:rPr>
          <w:rFonts w:asciiTheme="minorHAnsi" w:hAnsiTheme="minorHAnsi" w:cstheme="minorHAnsi"/>
        </w:rPr>
      </w:pPr>
      <w:r w:rsidRPr="002E1D2E">
        <w:rPr>
          <w:rFonts w:asciiTheme="minorHAnsi" w:hAnsiTheme="minorHAnsi" w:cstheme="minorHAnsi"/>
        </w:rPr>
        <w:t>MV</w:t>
      </w:r>
      <w:r w:rsidR="007E7AAC">
        <w:rPr>
          <w:rFonts w:asciiTheme="minorHAnsi" w:hAnsiTheme="minorHAnsi" w:cstheme="minorHAnsi"/>
        </w:rPr>
        <w:tab/>
      </w:r>
      <w:r w:rsidR="001F27F0">
        <w:rPr>
          <w:rFonts w:asciiTheme="minorHAnsi" w:hAnsiTheme="minorHAnsi" w:cstheme="minorHAnsi"/>
        </w:rPr>
        <w:t>M</w:t>
      </w:r>
      <w:r w:rsidR="005B3DFE">
        <w:rPr>
          <w:rFonts w:asciiTheme="minorHAnsi" w:hAnsiTheme="minorHAnsi" w:cstheme="minorHAnsi"/>
        </w:rPr>
        <w:t>inisterstvo vnitra</w:t>
      </w:r>
    </w:p>
    <w:p w14:paraId="5A94A924" w14:textId="4C7DE4F4" w:rsidR="002E1D2E" w:rsidRDefault="002E1D2E" w:rsidP="003D1368">
      <w:pPr>
        <w:spacing w:after="80"/>
        <w:ind w:left="1985" w:hanging="1985"/>
        <w:jc w:val="both"/>
        <w:rPr>
          <w:rFonts w:asciiTheme="minorHAnsi" w:hAnsiTheme="minorHAnsi" w:cstheme="minorHAnsi"/>
        </w:rPr>
      </w:pPr>
      <w:r w:rsidRPr="002E1D2E">
        <w:rPr>
          <w:rFonts w:asciiTheme="minorHAnsi" w:hAnsiTheme="minorHAnsi" w:cstheme="minorHAnsi"/>
        </w:rPr>
        <w:t>NKÚ</w:t>
      </w:r>
      <w:r w:rsidR="007E7AAC">
        <w:rPr>
          <w:rFonts w:asciiTheme="minorHAnsi" w:hAnsiTheme="minorHAnsi" w:cstheme="minorHAnsi"/>
        </w:rPr>
        <w:tab/>
      </w:r>
      <w:r w:rsidR="005B3DFE">
        <w:rPr>
          <w:rFonts w:asciiTheme="minorHAnsi" w:hAnsiTheme="minorHAnsi" w:cstheme="minorHAnsi"/>
        </w:rPr>
        <w:t>Nejvyšší kontrolní úřad</w:t>
      </w:r>
    </w:p>
    <w:p w14:paraId="1429A50B" w14:textId="65BB58F0" w:rsidR="00500162" w:rsidRDefault="007E7AAC" w:rsidP="003D1368">
      <w:pPr>
        <w:spacing w:after="80"/>
        <w:ind w:left="1985" w:hanging="19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Policie</w:t>
      </w:r>
      <w:r>
        <w:rPr>
          <w:rFonts w:asciiTheme="minorHAnsi" w:hAnsiTheme="minorHAnsi" w:cstheme="minorHAnsi"/>
        </w:rPr>
        <w:tab/>
      </w:r>
      <w:proofErr w:type="spellStart"/>
      <w:r w:rsidR="004C1394">
        <w:rPr>
          <w:rFonts w:asciiTheme="minorHAnsi" w:hAnsiTheme="minorHAnsi" w:cstheme="minorHAnsi"/>
        </w:rPr>
        <w:t>Policie</w:t>
      </w:r>
      <w:proofErr w:type="spellEnd"/>
      <w:r w:rsidR="004C1394">
        <w:rPr>
          <w:rFonts w:asciiTheme="minorHAnsi" w:hAnsiTheme="minorHAnsi" w:cstheme="minorHAnsi"/>
        </w:rPr>
        <w:t xml:space="preserve"> České republiky</w:t>
      </w:r>
    </w:p>
    <w:p w14:paraId="1CAD5E1B" w14:textId="1774AE74" w:rsidR="003153EB" w:rsidRDefault="007E7AAC" w:rsidP="003D1368">
      <w:pPr>
        <w:spacing w:after="80"/>
        <w:ind w:left="1985" w:hanging="19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Prezidium</w:t>
      </w:r>
      <w:r>
        <w:rPr>
          <w:rFonts w:asciiTheme="minorHAnsi" w:hAnsiTheme="minorHAnsi" w:cstheme="minorHAnsi"/>
        </w:rPr>
        <w:tab/>
      </w:r>
      <w:r w:rsidR="004C1394">
        <w:rPr>
          <w:rFonts w:asciiTheme="minorHAnsi" w:hAnsiTheme="minorHAnsi" w:cstheme="minorHAnsi"/>
        </w:rPr>
        <w:t>Policejní prezidium České republiky</w:t>
      </w:r>
    </w:p>
    <w:p w14:paraId="44CC85A3" w14:textId="6C313A83" w:rsidR="005C48F9" w:rsidRPr="005C48F9" w:rsidRDefault="005C48F9" w:rsidP="003D1368">
      <w:pPr>
        <w:spacing w:after="80"/>
        <w:ind w:left="1985" w:hanging="1985"/>
        <w:jc w:val="both"/>
        <w:rPr>
          <w:rFonts w:asciiTheme="minorHAnsi" w:hAnsiTheme="minorHAnsi" w:cstheme="minorHAnsi"/>
        </w:rPr>
      </w:pPr>
      <w:r w:rsidRPr="005C48F9">
        <w:rPr>
          <w:rFonts w:asciiTheme="minorHAnsi" w:hAnsiTheme="minorHAnsi" w:cstheme="minorHAnsi"/>
        </w:rPr>
        <w:t>program 214</w:t>
      </w:r>
      <w:r>
        <w:rPr>
          <w:rFonts w:asciiTheme="minorHAnsi" w:hAnsiTheme="minorHAnsi" w:cstheme="minorHAnsi"/>
        </w:rPr>
        <w:t> </w:t>
      </w:r>
      <w:r w:rsidRPr="005C48F9">
        <w:rPr>
          <w:rFonts w:asciiTheme="minorHAnsi" w:hAnsiTheme="minorHAnsi" w:cstheme="minorHAnsi"/>
        </w:rPr>
        <w:t xml:space="preserve">110 </w:t>
      </w:r>
      <w:r>
        <w:rPr>
          <w:rFonts w:asciiTheme="minorHAnsi" w:hAnsiTheme="minorHAnsi" w:cstheme="minorHAnsi"/>
        </w:rPr>
        <w:tab/>
      </w:r>
      <w:r w:rsidRPr="005C48F9">
        <w:rPr>
          <w:rFonts w:asciiTheme="minorHAnsi" w:hAnsiTheme="minorHAnsi" w:cstheme="minorHAnsi"/>
        </w:rPr>
        <w:t xml:space="preserve">program ev. č. 214 110 – </w:t>
      </w:r>
      <w:r w:rsidRPr="005C48F9">
        <w:rPr>
          <w:rFonts w:asciiTheme="minorHAnsi" w:hAnsiTheme="minorHAnsi" w:cstheme="minorHAnsi"/>
          <w:i/>
        </w:rPr>
        <w:t>Rozvoj a obnova materiálně technické základny Policie ČR</w:t>
      </w:r>
      <w:r w:rsidRPr="005C48F9">
        <w:rPr>
          <w:rFonts w:asciiTheme="minorHAnsi" w:hAnsiTheme="minorHAnsi" w:cstheme="minorHAnsi"/>
        </w:rPr>
        <w:t xml:space="preserve"> </w:t>
      </w:r>
    </w:p>
    <w:p w14:paraId="752F8731" w14:textId="14AACDD2" w:rsidR="005C48F9" w:rsidRPr="005C48F9" w:rsidRDefault="005C48F9" w:rsidP="003D1368">
      <w:pPr>
        <w:spacing w:after="80"/>
        <w:ind w:left="1985" w:hanging="1985"/>
        <w:jc w:val="both"/>
        <w:rPr>
          <w:rFonts w:asciiTheme="minorHAnsi" w:hAnsiTheme="minorHAnsi" w:cstheme="minorHAnsi"/>
        </w:rPr>
      </w:pPr>
      <w:r w:rsidRPr="005C48F9">
        <w:rPr>
          <w:rFonts w:asciiTheme="minorHAnsi" w:hAnsiTheme="minorHAnsi" w:cstheme="minorHAnsi"/>
        </w:rPr>
        <w:t>program 114</w:t>
      </w:r>
      <w:r w:rsidRPr="003D1368">
        <w:rPr>
          <w:rFonts w:asciiTheme="minorHAnsi" w:hAnsiTheme="minorHAnsi" w:cstheme="minorHAnsi"/>
        </w:rPr>
        <w:t> </w:t>
      </w:r>
      <w:r w:rsidRPr="005C48F9">
        <w:rPr>
          <w:rFonts w:asciiTheme="minorHAnsi" w:hAnsiTheme="minorHAnsi" w:cstheme="minorHAnsi"/>
        </w:rPr>
        <w:t xml:space="preserve">110 </w:t>
      </w:r>
      <w:r w:rsidRPr="003D1368">
        <w:rPr>
          <w:rFonts w:asciiTheme="minorHAnsi" w:hAnsiTheme="minorHAnsi" w:cstheme="minorHAnsi"/>
        </w:rPr>
        <w:tab/>
      </w:r>
      <w:r w:rsidRPr="005C48F9">
        <w:rPr>
          <w:rFonts w:asciiTheme="minorHAnsi" w:hAnsiTheme="minorHAnsi" w:cstheme="minorHAnsi"/>
        </w:rPr>
        <w:t xml:space="preserve">program ev. č. 114 110 – </w:t>
      </w:r>
      <w:r w:rsidRPr="005C48F9">
        <w:rPr>
          <w:rFonts w:asciiTheme="minorHAnsi" w:hAnsiTheme="minorHAnsi" w:cstheme="minorHAnsi"/>
          <w:i/>
        </w:rPr>
        <w:t>Rozvoj a obnova materiálně technické základny Policie ČR</w:t>
      </w:r>
    </w:p>
    <w:p w14:paraId="3B625FDB" w14:textId="21336875" w:rsidR="005C48F9" w:rsidRPr="005C48F9" w:rsidRDefault="005C48F9" w:rsidP="003D1368">
      <w:pPr>
        <w:spacing w:after="80"/>
        <w:ind w:left="1985" w:hanging="1985"/>
        <w:jc w:val="both"/>
        <w:rPr>
          <w:rFonts w:asciiTheme="minorHAnsi" w:hAnsiTheme="minorHAnsi" w:cstheme="minorHAnsi"/>
        </w:rPr>
      </w:pPr>
      <w:r w:rsidRPr="005C48F9">
        <w:rPr>
          <w:rFonts w:asciiTheme="minorHAnsi" w:hAnsiTheme="minorHAnsi" w:cstheme="minorHAnsi"/>
        </w:rPr>
        <w:t xml:space="preserve">program </w:t>
      </w:r>
      <w:r w:rsidRPr="003D1368">
        <w:rPr>
          <w:rFonts w:asciiTheme="minorHAnsi" w:hAnsiTheme="minorHAnsi" w:cstheme="minorHAnsi"/>
        </w:rPr>
        <w:t>1</w:t>
      </w:r>
      <w:r w:rsidRPr="005C48F9">
        <w:rPr>
          <w:rFonts w:asciiTheme="minorHAnsi" w:hAnsiTheme="minorHAnsi" w:cstheme="minorHAnsi"/>
        </w:rPr>
        <w:t>14</w:t>
      </w:r>
      <w:r w:rsidRPr="003D1368">
        <w:rPr>
          <w:rFonts w:asciiTheme="minorHAnsi" w:hAnsiTheme="minorHAnsi" w:cstheme="minorHAnsi"/>
        </w:rPr>
        <w:t> </w:t>
      </w:r>
      <w:r w:rsidRPr="005C48F9">
        <w:rPr>
          <w:rFonts w:asciiTheme="minorHAnsi" w:hAnsiTheme="minorHAnsi" w:cstheme="minorHAnsi"/>
        </w:rPr>
        <w:t>1</w:t>
      </w:r>
      <w:r w:rsidRPr="003D1368">
        <w:rPr>
          <w:rFonts w:asciiTheme="minorHAnsi" w:hAnsiTheme="minorHAnsi" w:cstheme="minorHAnsi"/>
        </w:rPr>
        <w:t>2</w:t>
      </w:r>
      <w:r w:rsidRPr="005C48F9">
        <w:rPr>
          <w:rFonts w:asciiTheme="minorHAnsi" w:hAnsiTheme="minorHAnsi" w:cstheme="minorHAnsi"/>
        </w:rPr>
        <w:t xml:space="preserve">0 </w:t>
      </w:r>
      <w:r w:rsidRPr="003D1368">
        <w:rPr>
          <w:rFonts w:asciiTheme="minorHAnsi" w:hAnsiTheme="minorHAnsi" w:cstheme="minorHAnsi"/>
        </w:rPr>
        <w:tab/>
      </w:r>
      <w:r w:rsidRPr="005C48F9">
        <w:rPr>
          <w:rFonts w:asciiTheme="minorHAnsi" w:hAnsiTheme="minorHAnsi" w:cstheme="minorHAnsi"/>
        </w:rPr>
        <w:t xml:space="preserve">program ev. č. 114 120 – </w:t>
      </w:r>
      <w:r w:rsidRPr="005C48F9">
        <w:rPr>
          <w:rFonts w:asciiTheme="minorHAnsi" w:hAnsiTheme="minorHAnsi" w:cstheme="minorHAnsi"/>
          <w:i/>
        </w:rPr>
        <w:t>Pořízení a obnova majetkové základny Policie ČR</w:t>
      </w:r>
    </w:p>
    <w:p w14:paraId="4804348B" w14:textId="06620CA9" w:rsidR="005C48F9" w:rsidRPr="003D1368" w:rsidRDefault="005C48F9" w:rsidP="003D1368">
      <w:pPr>
        <w:spacing w:after="80"/>
        <w:ind w:left="1985" w:hanging="1985"/>
        <w:jc w:val="both"/>
        <w:rPr>
          <w:rFonts w:asciiTheme="minorHAnsi" w:hAnsiTheme="minorHAnsi" w:cstheme="minorHAnsi"/>
        </w:rPr>
      </w:pPr>
      <w:r w:rsidRPr="005C48F9">
        <w:rPr>
          <w:rFonts w:asciiTheme="minorHAnsi" w:hAnsiTheme="minorHAnsi" w:cstheme="minorHAnsi"/>
        </w:rPr>
        <w:t xml:space="preserve">program </w:t>
      </w:r>
      <w:r w:rsidRPr="003D1368">
        <w:rPr>
          <w:rFonts w:asciiTheme="minorHAnsi" w:hAnsiTheme="minorHAnsi" w:cstheme="minorHAnsi"/>
        </w:rPr>
        <w:t>0</w:t>
      </w:r>
      <w:r w:rsidRPr="005C48F9">
        <w:rPr>
          <w:rFonts w:asciiTheme="minorHAnsi" w:hAnsiTheme="minorHAnsi" w:cstheme="minorHAnsi"/>
        </w:rPr>
        <w:t>14</w:t>
      </w:r>
      <w:r w:rsidRPr="003D1368">
        <w:rPr>
          <w:rFonts w:asciiTheme="minorHAnsi" w:hAnsiTheme="minorHAnsi" w:cstheme="minorHAnsi"/>
        </w:rPr>
        <w:t> </w:t>
      </w:r>
      <w:r w:rsidRPr="005C48F9">
        <w:rPr>
          <w:rFonts w:asciiTheme="minorHAnsi" w:hAnsiTheme="minorHAnsi" w:cstheme="minorHAnsi"/>
        </w:rPr>
        <w:t xml:space="preserve">110 </w:t>
      </w:r>
      <w:r w:rsidRPr="003D1368">
        <w:rPr>
          <w:rFonts w:asciiTheme="minorHAnsi" w:hAnsiTheme="minorHAnsi" w:cstheme="minorHAnsi"/>
        </w:rPr>
        <w:tab/>
      </w:r>
      <w:r w:rsidRPr="005C48F9">
        <w:rPr>
          <w:rFonts w:asciiTheme="minorHAnsi" w:hAnsiTheme="minorHAnsi" w:cstheme="minorHAnsi"/>
        </w:rPr>
        <w:t xml:space="preserve">program ev. č. 014 110 – </w:t>
      </w:r>
      <w:r w:rsidRPr="005C48F9">
        <w:rPr>
          <w:rFonts w:asciiTheme="minorHAnsi" w:hAnsiTheme="minorHAnsi" w:cstheme="minorHAnsi"/>
          <w:i/>
        </w:rPr>
        <w:t>Rozvoj a obnova funkcionalit ICT Policie ČR</w:t>
      </w:r>
      <w:r w:rsidRPr="005C48F9">
        <w:rPr>
          <w:rFonts w:asciiTheme="minorHAnsi" w:hAnsiTheme="minorHAnsi" w:cstheme="minorHAnsi"/>
        </w:rPr>
        <w:t xml:space="preserve"> </w:t>
      </w:r>
    </w:p>
    <w:p w14:paraId="6460861F" w14:textId="0B8934B8" w:rsidR="005C48F9" w:rsidRPr="003D1368" w:rsidRDefault="005C48F9" w:rsidP="003D1368">
      <w:pPr>
        <w:spacing w:after="80"/>
        <w:ind w:left="1985" w:hanging="1985"/>
        <w:jc w:val="both"/>
        <w:rPr>
          <w:rFonts w:asciiTheme="minorHAnsi" w:hAnsiTheme="minorHAnsi" w:cstheme="minorHAnsi"/>
        </w:rPr>
      </w:pPr>
      <w:r w:rsidRPr="005C48F9">
        <w:rPr>
          <w:rFonts w:asciiTheme="minorHAnsi" w:hAnsiTheme="minorHAnsi" w:cstheme="minorHAnsi"/>
        </w:rPr>
        <w:t xml:space="preserve">program </w:t>
      </w:r>
      <w:r w:rsidRPr="003D1368">
        <w:rPr>
          <w:rFonts w:asciiTheme="minorHAnsi" w:hAnsiTheme="minorHAnsi" w:cstheme="minorHAnsi"/>
        </w:rPr>
        <w:t>0</w:t>
      </w:r>
      <w:r w:rsidRPr="005C48F9">
        <w:rPr>
          <w:rFonts w:asciiTheme="minorHAnsi" w:hAnsiTheme="minorHAnsi" w:cstheme="minorHAnsi"/>
        </w:rPr>
        <w:t>14</w:t>
      </w:r>
      <w:r w:rsidRPr="003D1368">
        <w:rPr>
          <w:rFonts w:asciiTheme="minorHAnsi" w:hAnsiTheme="minorHAnsi" w:cstheme="minorHAnsi"/>
        </w:rPr>
        <w:t> </w:t>
      </w:r>
      <w:r w:rsidRPr="005C48F9">
        <w:rPr>
          <w:rFonts w:asciiTheme="minorHAnsi" w:hAnsiTheme="minorHAnsi" w:cstheme="minorHAnsi"/>
        </w:rPr>
        <w:t>1</w:t>
      </w:r>
      <w:r w:rsidRPr="003D1368">
        <w:rPr>
          <w:rFonts w:asciiTheme="minorHAnsi" w:hAnsiTheme="minorHAnsi" w:cstheme="minorHAnsi"/>
        </w:rPr>
        <w:t>2</w:t>
      </w:r>
      <w:r w:rsidRPr="005C48F9">
        <w:rPr>
          <w:rFonts w:asciiTheme="minorHAnsi" w:hAnsiTheme="minorHAnsi" w:cstheme="minorHAnsi"/>
        </w:rPr>
        <w:t xml:space="preserve">0 </w:t>
      </w:r>
      <w:r w:rsidRPr="003D1368">
        <w:rPr>
          <w:rFonts w:asciiTheme="minorHAnsi" w:hAnsiTheme="minorHAnsi" w:cstheme="minorHAnsi"/>
        </w:rPr>
        <w:tab/>
        <w:t xml:space="preserve">program </w:t>
      </w:r>
      <w:r w:rsidRPr="005C48F9">
        <w:rPr>
          <w:rFonts w:asciiTheme="minorHAnsi" w:hAnsiTheme="minorHAnsi" w:cstheme="minorHAnsi"/>
        </w:rPr>
        <w:t xml:space="preserve">ev. č. 014 120 – </w:t>
      </w:r>
      <w:r w:rsidRPr="005C48F9">
        <w:rPr>
          <w:rFonts w:asciiTheme="minorHAnsi" w:hAnsiTheme="minorHAnsi" w:cstheme="minorHAnsi"/>
          <w:i/>
        </w:rPr>
        <w:t>Rozvoj a obnova nemovitého majetku Policie ČR</w:t>
      </w:r>
      <w:r w:rsidRPr="005C48F9">
        <w:rPr>
          <w:rFonts w:asciiTheme="minorHAnsi" w:hAnsiTheme="minorHAnsi" w:cstheme="minorHAnsi"/>
        </w:rPr>
        <w:t xml:space="preserve"> </w:t>
      </w:r>
    </w:p>
    <w:p w14:paraId="660633FE" w14:textId="08567A09" w:rsidR="005C48F9" w:rsidRPr="003D1368" w:rsidRDefault="005C48F9" w:rsidP="003D1368">
      <w:pPr>
        <w:spacing w:after="80"/>
        <w:ind w:left="1985" w:hanging="1985"/>
        <w:jc w:val="both"/>
        <w:rPr>
          <w:rFonts w:asciiTheme="minorHAnsi" w:hAnsiTheme="minorHAnsi" w:cstheme="minorHAnsi"/>
          <w:i/>
        </w:rPr>
      </w:pPr>
      <w:r w:rsidRPr="005C48F9">
        <w:rPr>
          <w:rFonts w:asciiTheme="minorHAnsi" w:hAnsiTheme="minorHAnsi" w:cstheme="minorHAnsi"/>
        </w:rPr>
        <w:t xml:space="preserve">program </w:t>
      </w:r>
      <w:r w:rsidRPr="003D1368">
        <w:rPr>
          <w:rFonts w:asciiTheme="minorHAnsi" w:hAnsiTheme="minorHAnsi" w:cstheme="minorHAnsi"/>
        </w:rPr>
        <w:t>0</w:t>
      </w:r>
      <w:r w:rsidRPr="005C48F9">
        <w:rPr>
          <w:rFonts w:asciiTheme="minorHAnsi" w:hAnsiTheme="minorHAnsi" w:cstheme="minorHAnsi"/>
        </w:rPr>
        <w:t>14</w:t>
      </w:r>
      <w:r w:rsidRPr="003D1368">
        <w:rPr>
          <w:rFonts w:asciiTheme="minorHAnsi" w:hAnsiTheme="minorHAnsi" w:cstheme="minorHAnsi"/>
        </w:rPr>
        <w:t> </w:t>
      </w:r>
      <w:r w:rsidRPr="005C48F9">
        <w:rPr>
          <w:rFonts w:asciiTheme="minorHAnsi" w:hAnsiTheme="minorHAnsi" w:cstheme="minorHAnsi"/>
        </w:rPr>
        <w:t>1</w:t>
      </w:r>
      <w:r w:rsidRPr="003D1368">
        <w:rPr>
          <w:rFonts w:asciiTheme="minorHAnsi" w:hAnsiTheme="minorHAnsi" w:cstheme="minorHAnsi"/>
        </w:rPr>
        <w:t>3</w:t>
      </w:r>
      <w:r w:rsidRPr="005C48F9">
        <w:rPr>
          <w:rFonts w:asciiTheme="minorHAnsi" w:hAnsiTheme="minorHAnsi" w:cstheme="minorHAnsi"/>
        </w:rPr>
        <w:t xml:space="preserve">0 </w:t>
      </w:r>
      <w:r w:rsidRPr="003D1368">
        <w:rPr>
          <w:rFonts w:asciiTheme="minorHAnsi" w:hAnsiTheme="minorHAnsi" w:cstheme="minorHAnsi"/>
        </w:rPr>
        <w:tab/>
        <w:t xml:space="preserve">program </w:t>
      </w:r>
      <w:r w:rsidRPr="005C48F9">
        <w:rPr>
          <w:rFonts w:asciiTheme="minorHAnsi" w:hAnsiTheme="minorHAnsi" w:cstheme="minorHAnsi"/>
        </w:rPr>
        <w:t xml:space="preserve">ev. č. 014 130 – </w:t>
      </w:r>
      <w:r w:rsidRPr="005C48F9">
        <w:rPr>
          <w:rFonts w:asciiTheme="minorHAnsi" w:hAnsiTheme="minorHAnsi" w:cstheme="minorHAnsi"/>
          <w:i/>
        </w:rPr>
        <w:t>Rozvoj a obnova movitého majetku Policie ČR</w:t>
      </w:r>
    </w:p>
    <w:p w14:paraId="17058439" w14:textId="1EED491B" w:rsidR="005C48F9" w:rsidRPr="005C48F9" w:rsidRDefault="005C48F9" w:rsidP="003D1368">
      <w:pPr>
        <w:spacing w:after="80"/>
        <w:ind w:left="1985" w:right="-141" w:hanging="1985"/>
        <w:jc w:val="both"/>
        <w:rPr>
          <w:rFonts w:asciiTheme="minorHAnsi" w:hAnsiTheme="minorHAnsi" w:cstheme="minorHAnsi"/>
        </w:rPr>
      </w:pPr>
      <w:r w:rsidRPr="005C48F9">
        <w:rPr>
          <w:rFonts w:asciiTheme="minorHAnsi" w:hAnsiTheme="minorHAnsi" w:cstheme="minorHAnsi"/>
        </w:rPr>
        <w:t xml:space="preserve">program </w:t>
      </w:r>
      <w:r w:rsidRPr="003D1368">
        <w:rPr>
          <w:rFonts w:asciiTheme="minorHAnsi" w:hAnsiTheme="minorHAnsi" w:cstheme="minorHAnsi"/>
        </w:rPr>
        <w:t>0</w:t>
      </w:r>
      <w:r w:rsidRPr="005C48F9">
        <w:rPr>
          <w:rFonts w:asciiTheme="minorHAnsi" w:hAnsiTheme="minorHAnsi" w:cstheme="minorHAnsi"/>
        </w:rPr>
        <w:t>14</w:t>
      </w:r>
      <w:r w:rsidRPr="003D1368">
        <w:rPr>
          <w:rFonts w:asciiTheme="minorHAnsi" w:hAnsiTheme="minorHAnsi" w:cstheme="minorHAnsi"/>
        </w:rPr>
        <w:t> </w:t>
      </w:r>
      <w:r w:rsidRPr="005C48F9">
        <w:rPr>
          <w:rFonts w:asciiTheme="minorHAnsi" w:hAnsiTheme="minorHAnsi" w:cstheme="minorHAnsi"/>
        </w:rPr>
        <w:t>1</w:t>
      </w:r>
      <w:r w:rsidRPr="003D1368">
        <w:rPr>
          <w:rFonts w:asciiTheme="minorHAnsi" w:hAnsiTheme="minorHAnsi" w:cstheme="minorHAnsi"/>
        </w:rPr>
        <w:t>4</w:t>
      </w:r>
      <w:r w:rsidRPr="005C48F9">
        <w:rPr>
          <w:rFonts w:asciiTheme="minorHAnsi" w:hAnsiTheme="minorHAnsi" w:cstheme="minorHAnsi"/>
        </w:rPr>
        <w:t xml:space="preserve">0 </w:t>
      </w:r>
      <w:r w:rsidRPr="003D1368">
        <w:rPr>
          <w:rFonts w:asciiTheme="minorHAnsi" w:hAnsiTheme="minorHAnsi" w:cstheme="minorHAnsi"/>
        </w:rPr>
        <w:tab/>
        <w:t>program</w:t>
      </w:r>
      <w:r w:rsidRPr="005C48F9">
        <w:rPr>
          <w:rFonts w:asciiTheme="minorHAnsi" w:hAnsiTheme="minorHAnsi" w:cstheme="minorHAnsi"/>
        </w:rPr>
        <w:t xml:space="preserve"> ev. č. 014 140 – </w:t>
      </w:r>
      <w:r w:rsidRPr="005C48F9">
        <w:rPr>
          <w:rFonts w:asciiTheme="minorHAnsi" w:hAnsiTheme="minorHAnsi" w:cstheme="minorHAnsi"/>
          <w:i/>
        </w:rPr>
        <w:t>Rozvoj a obnova dopravních prostředků Policie ČR</w:t>
      </w:r>
    </w:p>
    <w:p w14:paraId="70DE276F" w14:textId="4BA1EB08" w:rsidR="005C48F9" w:rsidRDefault="00676C2B" w:rsidP="003D1368">
      <w:pPr>
        <w:spacing w:after="80"/>
        <w:ind w:left="1985" w:hanging="19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V4</w:t>
      </w:r>
      <w:r>
        <w:rPr>
          <w:rFonts w:asciiTheme="minorHAnsi" w:hAnsiTheme="minorHAnsi" w:cstheme="minorHAnsi"/>
        </w:rPr>
        <w:tab/>
        <w:t>Visegrádská čtyřka (Česká republika, Slovensko, Polsko, Maďarsko)</w:t>
      </w:r>
    </w:p>
    <w:p w14:paraId="16A42B29" w14:textId="2AF19FF3" w:rsidR="00676C2B" w:rsidRDefault="00676C2B" w:rsidP="00676C2B">
      <w:pPr>
        <w:spacing w:after="60"/>
        <w:ind w:left="1985" w:hanging="1985"/>
        <w:jc w:val="both"/>
        <w:rPr>
          <w:rFonts w:asciiTheme="minorHAnsi" w:hAnsiTheme="minorHAnsi" w:cstheme="minorHAnsi"/>
        </w:rPr>
      </w:pPr>
    </w:p>
    <w:p w14:paraId="129205B2" w14:textId="77777777" w:rsidR="00676C2B" w:rsidRDefault="00676C2B" w:rsidP="00676C2B">
      <w:pPr>
        <w:spacing w:after="60"/>
        <w:ind w:left="1985" w:hanging="1985"/>
        <w:jc w:val="both"/>
        <w:rPr>
          <w:rFonts w:asciiTheme="minorHAnsi" w:hAnsiTheme="minorHAnsi" w:cstheme="minorHAnsi"/>
        </w:rPr>
      </w:pPr>
    </w:p>
    <w:p w14:paraId="41FFF3BF" w14:textId="5930A6AB" w:rsidR="00875733" w:rsidRDefault="00875733">
      <w:pPr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br w:type="page"/>
      </w:r>
    </w:p>
    <w:p w14:paraId="1336BA3C" w14:textId="77777777" w:rsidR="002978CB" w:rsidRPr="002978CB" w:rsidRDefault="005B1A88" w:rsidP="00393D50">
      <w:pPr>
        <w:autoSpaceDE w:val="0"/>
        <w:autoSpaceDN w:val="0"/>
        <w:adjustRightInd w:val="0"/>
        <w:spacing w:after="120"/>
        <w:jc w:val="both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lastRenderedPageBreak/>
        <w:t>Příloha č.</w:t>
      </w:r>
      <w:r w:rsidR="00393D50">
        <w:rPr>
          <w:rFonts w:ascii="Calibri" w:hAnsi="Calibri"/>
          <w:b/>
          <w:lang w:eastAsia="en-US"/>
        </w:rPr>
        <w:t xml:space="preserve"> </w:t>
      </w:r>
      <w:r>
        <w:rPr>
          <w:rFonts w:ascii="Calibri" w:hAnsi="Calibri"/>
          <w:b/>
          <w:lang w:eastAsia="en-US"/>
        </w:rPr>
        <w:t>1: Přehled kontrolovaných akcí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5915"/>
        <w:gridCol w:w="1545"/>
      </w:tblGrid>
      <w:tr w:rsidR="00393D50" w:rsidRPr="009704D9" w14:paraId="595B4687" w14:textId="77777777" w:rsidTr="00A30D5B">
        <w:trPr>
          <w:trHeight w:val="780"/>
        </w:trPr>
        <w:tc>
          <w:tcPr>
            <w:tcW w:w="884" w:type="pct"/>
            <w:shd w:val="clear" w:color="auto" w:fill="DAEEF3" w:themeFill="accent5" w:themeFillTint="33"/>
            <w:noWrap/>
            <w:vAlign w:val="center"/>
            <w:hideMark/>
          </w:tcPr>
          <w:p w14:paraId="35934D17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Číslo akce</w:t>
            </w:r>
          </w:p>
        </w:tc>
        <w:tc>
          <w:tcPr>
            <w:tcW w:w="3263" w:type="pct"/>
            <w:shd w:val="clear" w:color="auto" w:fill="DAEEF3" w:themeFill="accent5" w:themeFillTint="33"/>
            <w:vAlign w:val="center"/>
            <w:hideMark/>
          </w:tcPr>
          <w:p w14:paraId="6F013528" w14:textId="77777777" w:rsidR="00393D50" w:rsidRPr="009704D9" w:rsidRDefault="00393D50" w:rsidP="00393D50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Název akce, popř. zadávacího řízení</w:t>
            </w:r>
          </w:p>
        </w:tc>
        <w:tc>
          <w:tcPr>
            <w:tcW w:w="852" w:type="pct"/>
            <w:shd w:val="clear" w:color="auto" w:fill="DAEEF3" w:themeFill="accent5" w:themeFillTint="33"/>
            <w:vAlign w:val="center"/>
            <w:hideMark/>
          </w:tcPr>
          <w:p w14:paraId="1C613C84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Objem kontrolovaných prostředků v Kč</w:t>
            </w:r>
          </w:p>
        </w:tc>
      </w:tr>
      <w:tr w:rsidR="00393D50" w:rsidRPr="009704D9" w14:paraId="72CCC912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1DAD9A30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114V111003096 114V111003097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2800E18E" w14:textId="725551C2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Materiální vybavení specializovaných pracovišť SKPV KŘP </w:t>
            </w:r>
            <w:proofErr w:type="spellStart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Jčk</w:t>
            </w:r>
            <w:proofErr w:type="spellEnd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KŘP </w:t>
            </w:r>
            <w:proofErr w:type="spellStart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Stčk</w:t>
            </w:r>
            <w:proofErr w:type="spellEnd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veřejná zakázka DNS ICT 09/2014 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44D9CE51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7 577 349,32</w:t>
            </w:r>
          </w:p>
        </w:tc>
      </w:tr>
      <w:tr w:rsidR="00393D50" w:rsidRPr="009704D9" w14:paraId="04278ED1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354ABAF7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114V112001041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0EF3604A" w14:textId="4E2E7377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Kladno, Havířská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rekonstrukce elektroinstalace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29C1A018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3 754 824,20</w:t>
            </w:r>
          </w:p>
        </w:tc>
      </w:tr>
      <w:tr w:rsidR="00393D50" w:rsidRPr="009704D9" w14:paraId="26934DDE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7C9E9015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114V112002038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6A0A839E" w14:textId="7E96D64F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KŘP </w:t>
            </w:r>
            <w:proofErr w:type="spellStart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Jčk</w:t>
            </w:r>
            <w:proofErr w:type="spellEnd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Č. Budějovice, Pražská 1256/21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rekonstrukce budovy ubytovny na administrativní prostory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30682655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13 509 698,00</w:t>
            </w:r>
          </w:p>
        </w:tc>
      </w:tr>
      <w:tr w:rsidR="00393D50" w:rsidRPr="009704D9" w14:paraId="398EF960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7C1EFFF5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114V112002073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4C4E50B1" w14:textId="0E006CAF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KŘP </w:t>
            </w:r>
            <w:proofErr w:type="spellStart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Jčk</w:t>
            </w:r>
            <w:proofErr w:type="spellEnd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Č. Budějovice, Plavská 2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vybudování prostor pro redislokaci útvarů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737A6559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7 432 045,00</w:t>
            </w:r>
          </w:p>
        </w:tc>
      </w:tr>
      <w:tr w:rsidR="00393D50" w:rsidRPr="009704D9" w14:paraId="599B3436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3D019D09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114V112003053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01F22EDA" w14:textId="41563749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OOP Kostelec nad Černými lesy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stavební úpravy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42FC06BC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13 129 992,49</w:t>
            </w:r>
          </w:p>
        </w:tc>
      </w:tr>
      <w:tr w:rsidR="00393D50" w:rsidRPr="009704D9" w14:paraId="1308F9E5" w14:textId="77777777" w:rsidTr="002B44FE">
        <w:trPr>
          <w:trHeight w:val="315"/>
        </w:trPr>
        <w:tc>
          <w:tcPr>
            <w:tcW w:w="884" w:type="pct"/>
            <w:shd w:val="clear" w:color="000000" w:fill="FFFFFF"/>
            <w:vAlign w:val="center"/>
            <w:hideMark/>
          </w:tcPr>
          <w:p w14:paraId="322EEB43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114V112003056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4D04358B" w14:textId="78BEF84E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Praha 7, Strojnická 937/27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redislokace IOS PP ČR</w:t>
            </w:r>
            <w:r w:rsidR="00FD54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stavební úpravy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3586E4EC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46 762 939,91</w:t>
            </w:r>
          </w:p>
        </w:tc>
      </w:tr>
      <w:tr w:rsidR="00393D50" w:rsidRPr="009704D9" w14:paraId="35F85BA1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5A677698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114V112003067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4E3D8C18" w14:textId="5148B761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ÚO PČR Tábor, Soběslavská </w:t>
            </w:r>
            <w:proofErr w:type="gramStart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č.p.</w:t>
            </w:r>
            <w:proofErr w:type="gramEnd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2763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snížení energetické náročnosti budovy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2A345D9F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32 265 746,00</w:t>
            </w:r>
          </w:p>
        </w:tc>
      </w:tr>
      <w:tr w:rsidR="00393D50" w:rsidRPr="009704D9" w14:paraId="65F63B95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13DFF22D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114V112003131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115A7527" w14:textId="744C0BCA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KŘP </w:t>
            </w:r>
            <w:proofErr w:type="spellStart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Jčk</w:t>
            </w:r>
            <w:proofErr w:type="spellEnd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České Budějovice, Lannova 26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rekonstrukce objektu a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technologického zařízení mycí linky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564D139C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1 907 653,00</w:t>
            </w:r>
          </w:p>
        </w:tc>
      </w:tr>
      <w:tr w:rsidR="00393D50" w:rsidRPr="009704D9" w14:paraId="2246240F" w14:textId="77777777" w:rsidTr="002B44FE">
        <w:trPr>
          <w:trHeight w:val="315"/>
        </w:trPr>
        <w:tc>
          <w:tcPr>
            <w:tcW w:w="884" w:type="pct"/>
            <w:shd w:val="clear" w:color="000000" w:fill="FFFFFF"/>
            <w:vAlign w:val="center"/>
            <w:hideMark/>
          </w:tcPr>
          <w:p w14:paraId="3258C342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114V113003070 114V113003072 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124785AF" w14:textId="77777777" w:rsidR="00393D50" w:rsidRPr="009704D9" w:rsidRDefault="00393D50" w:rsidP="00393D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Mikrobus speciální DN/KS 4x2 a 4x4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5CE041B8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53 824 448,00</w:t>
            </w:r>
          </w:p>
        </w:tc>
      </w:tr>
      <w:tr w:rsidR="00393D50" w:rsidRPr="009704D9" w14:paraId="5BF2A153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77E222B8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114V113003084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395AF3CA" w14:textId="77777777" w:rsidR="00393D50" w:rsidRPr="009704D9" w:rsidRDefault="00393D50" w:rsidP="00393D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Automobily nákladní skříňové do 3,5 t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71476B77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1 208 460,00</w:t>
            </w:r>
          </w:p>
        </w:tc>
      </w:tr>
      <w:tr w:rsidR="00393D50" w:rsidRPr="009704D9" w14:paraId="6B3BBF39" w14:textId="77777777" w:rsidTr="002B44FE">
        <w:trPr>
          <w:trHeight w:val="315"/>
        </w:trPr>
        <w:tc>
          <w:tcPr>
            <w:tcW w:w="884" w:type="pct"/>
            <w:shd w:val="clear" w:color="000000" w:fill="FFFFFF"/>
            <w:vAlign w:val="center"/>
            <w:hideMark/>
          </w:tcPr>
          <w:p w14:paraId="0623D8FA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114V113003090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2847B0E9" w14:textId="77777777" w:rsidR="00393D50" w:rsidRPr="009704D9" w:rsidRDefault="00393D50" w:rsidP="00393D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Autobus do 30 osob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615A9610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72 629 915,00</w:t>
            </w:r>
          </w:p>
        </w:tc>
      </w:tr>
      <w:tr w:rsidR="00393D50" w:rsidRPr="009704D9" w14:paraId="5F43499F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6E23DE9F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114V113003191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71206FC5" w14:textId="77777777" w:rsidR="00393D50" w:rsidRPr="009704D9" w:rsidRDefault="00393D50" w:rsidP="00393D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Automobily osobní policejní speciální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046CDC12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6 202 114,28</w:t>
            </w:r>
          </w:p>
        </w:tc>
      </w:tr>
      <w:tr w:rsidR="00393D50" w:rsidRPr="009704D9" w14:paraId="386BA6A3" w14:textId="77777777" w:rsidTr="002B44FE">
        <w:trPr>
          <w:trHeight w:val="525"/>
        </w:trPr>
        <w:tc>
          <w:tcPr>
            <w:tcW w:w="884" w:type="pct"/>
            <w:shd w:val="clear" w:color="auto" w:fill="auto"/>
            <w:vAlign w:val="center"/>
            <w:hideMark/>
          </w:tcPr>
          <w:p w14:paraId="336C439C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114V122004007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5B6A9242" w14:textId="0F239DDC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Areál Zbraslav </w:t>
            </w:r>
            <w:proofErr w:type="gramStart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objekt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A,B,C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rekonstrukce</w:t>
            </w:r>
            <w:proofErr w:type="gramEnd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vnitřní infrastruktury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projektová příprava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2279DEF8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1 170 312,00</w:t>
            </w:r>
          </w:p>
        </w:tc>
      </w:tr>
      <w:tr w:rsidR="00393D50" w:rsidRPr="009704D9" w14:paraId="7B542F94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14E48D30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114V122004008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1F093957" w14:textId="646BC04F" w:rsidR="00393D50" w:rsidRPr="009704D9" w:rsidRDefault="00393D50" w:rsidP="00EE5B9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Areál Zbraslav, objekt B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rekonstrukce </w:t>
            </w:r>
            <w:proofErr w:type="spellStart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osobonákladních</w:t>
            </w:r>
            <w:proofErr w:type="spellEnd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výtahů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3FE97C59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1 486 900,00</w:t>
            </w:r>
          </w:p>
        </w:tc>
      </w:tr>
      <w:tr w:rsidR="00393D50" w:rsidRPr="009704D9" w14:paraId="72CEA068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67B24B62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114V122004030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3E02C9F1" w14:textId="466A4393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Praha 7, Strojnická 935/27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úprava místnosti pro briefingy a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konferenčního sálu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0C09E624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6 227 456,73</w:t>
            </w:r>
          </w:p>
        </w:tc>
      </w:tr>
      <w:tr w:rsidR="00393D50" w:rsidRPr="009704D9" w14:paraId="494B4E3E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7BECB1DC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114V122005001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42703D55" w14:textId="75AF41D4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OOP Jesenice u Prahy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novostavba služebny III. typu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66EDBBD2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14 400 000,00</w:t>
            </w:r>
          </w:p>
        </w:tc>
      </w:tr>
      <w:tr w:rsidR="00393D50" w:rsidRPr="009704D9" w14:paraId="128BFB37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69056A07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114V122005030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0FC16FA7" w14:textId="5F7D63A4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ÚO PČR Kladno, Havířská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rozšíření hygienického zařízení 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0AE51CBB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2 083 669,13</w:t>
            </w:r>
          </w:p>
        </w:tc>
      </w:tr>
      <w:tr w:rsidR="00393D50" w:rsidRPr="009704D9" w14:paraId="504CA8CC" w14:textId="77777777" w:rsidTr="002B44FE">
        <w:trPr>
          <w:trHeight w:val="315"/>
        </w:trPr>
        <w:tc>
          <w:tcPr>
            <w:tcW w:w="884" w:type="pct"/>
            <w:shd w:val="clear" w:color="000000" w:fill="FFFFFF"/>
            <w:vAlign w:val="center"/>
            <w:hideMark/>
          </w:tcPr>
          <w:p w14:paraId="1F31392F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114V123004042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3E6B8F80" w14:textId="77777777" w:rsidR="00393D50" w:rsidRPr="009704D9" w:rsidRDefault="00393D50" w:rsidP="00393D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Automobily nákladní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3F6CE9A8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34 599 950,00</w:t>
            </w:r>
          </w:p>
        </w:tc>
      </w:tr>
      <w:tr w:rsidR="00393D50" w:rsidRPr="009704D9" w14:paraId="4BB0DAA1" w14:textId="77777777" w:rsidTr="002B44FE">
        <w:trPr>
          <w:trHeight w:val="315"/>
        </w:trPr>
        <w:tc>
          <w:tcPr>
            <w:tcW w:w="884" w:type="pct"/>
            <w:shd w:val="clear" w:color="000000" w:fill="FFFFFF"/>
            <w:vAlign w:val="center"/>
            <w:hideMark/>
          </w:tcPr>
          <w:p w14:paraId="27F480FD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114V123004044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6A052C72" w14:textId="77777777" w:rsidR="00393D50" w:rsidRPr="009704D9" w:rsidRDefault="00393D50" w:rsidP="00393D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Mikrobusy komerční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6386F6A4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45 265 272,00</w:t>
            </w:r>
          </w:p>
        </w:tc>
      </w:tr>
      <w:tr w:rsidR="00393D50" w:rsidRPr="009704D9" w14:paraId="79ED35F5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5AC01F4A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114V123004062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177D3AB1" w14:textId="77777777" w:rsidR="00393D50" w:rsidRPr="009704D9" w:rsidRDefault="00393D50" w:rsidP="00393D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Automobily osobní silniční policejní speciální pro dohled na rychlostních komunikacích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3A4165DA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6 389 285,28</w:t>
            </w:r>
          </w:p>
        </w:tc>
      </w:tr>
      <w:tr w:rsidR="00393D50" w:rsidRPr="009704D9" w14:paraId="2FA9A4B6" w14:textId="77777777" w:rsidTr="002B44FE">
        <w:trPr>
          <w:trHeight w:val="315"/>
        </w:trPr>
        <w:tc>
          <w:tcPr>
            <w:tcW w:w="884" w:type="pct"/>
            <w:shd w:val="clear" w:color="000000" w:fill="FFFFFF"/>
            <w:vAlign w:val="center"/>
            <w:hideMark/>
          </w:tcPr>
          <w:p w14:paraId="1C3BE913" w14:textId="77777777" w:rsidR="00393D50" w:rsidRPr="009704D9" w:rsidRDefault="00393D50" w:rsidP="00393D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114V123005070 114V123005071</w:t>
            </w:r>
          </w:p>
          <w:p w14:paraId="41693520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114V123005077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7C27E171" w14:textId="6FD19E81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Služební dopravní prostředky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PP ČR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SLZ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21009D92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244 303 084,95</w:t>
            </w:r>
          </w:p>
        </w:tc>
      </w:tr>
      <w:tr w:rsidR="00393D50" w:rsidRPr="009704D9" w14:paraId="16FEC6E4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1A209636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114V123005085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6F2F6304" w14:textId="77777777" w:rsidR="00393D50" w:rsidRPr="009704D9" w:rsidRDefault="00393D50" w:rsidP="00393D5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Automobil nákladní speciální vyprošťovací odtahový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07F682A6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2 279 999,00</w:t>
            </w:r>
          </w:p>
        </w:tc>
      </w:tr>
      <w:tr w:rsidR="00393D50" w:rsidRPr="009704D9" w14:paraId="66586108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4720CF3A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114V123005103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50BAB8F7" w14:textId="2FBEA2E9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KŘP </w:t>
            </w:r>
            <w:proofErr w:type="spellStart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Stčk</w:t>
            </w:r>
            <w:proofErr w:type="spellEnd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utomobily osobní silniční na CNG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2656ADDB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5 055 349,00</w:t>
            </w:r>
          </w:p>
        </w:tc>
      </w:tr>
      <w:tr w:rsidR="00393D50" w:rsidRPr="009704D9" w14:paraId="631059CE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  <w:hideMark/>
          </w:tcPr>
          <w:p w14:paraId="678F4BC4" w14:textId="77777777" w:rsidR="00393D50" w:rsidRPr="009704D9" w:rsidRDefault="00393D50" w:rsidP="00393D5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114V123005104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14:paraId="7F5A9290" w14:textId="2794525B" w:rsidR="00393D50" w:rsidRPr="009704D9" w:rsidRDefault="00393D50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KŘP </w:t>
            </w:r>
            <w:proofErr w:type="spellStart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Jčk</w:t>
            </w:r>
            <w:proofErr w:type="spellEnd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utomobily osobní silniční na CNG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50B5A1E3" w14:textId="77777777" w:rsidR="00393D50" w:rsidRPr="009704D9" w:rsidRDefault="00393D50" w:rsidP="00393D5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2 722 111,00</w:t>
            </w:r>
          </w:p>
        </w:tc>
      </w:tr>
      <w:tr w:rsidR="00873A5D" w:rsidRPr="009704D9" w14:paraId="719A67FF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</w:tcPr>
          <w:p w14:paraId="05521399" w14:textId="77777777" w:rsidR="00873A5D" w:rsidRPr="009704D9" w:rsidRDefault="00873A5D" w:rsidP="00873A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014V121007001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38C68D4E" w14:textId="1FE20905" w:rsidR="00873A5D" w:rsidRPr="009704D9" w:rsidRDefault="00873A5D" w:rsidP="0043439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SLZ PP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Praha 6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Ruzyně výstavba hangáru D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3427B012" w14:textId="77777777" w:rsidR="00873A5D" w:rsidRPr="009704D9" w:rsidRDefault="00873A5D" w:rsidP="00873A5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</w:tr>
      <w:tr w:rsidR="00873A5D" w:rsidRPr="009704D9" w14:paraId="2DC6E04E" w14:textId="77777777" w:rsidTr="002B44FE">
        <w:trPr>
          <w:trHeight w:val="315"/>
        </w:trPr>
        <w:tc>
          <w:tcPr>
            <w:tcW w:w="884" w:type="pct"/>
            <w:shd w:val="clear" w:color="auto" w:fill="auto"/>
            <w:vAlign w:val="center"/>
          </w:tcPr>
          <w:p w14:paraId="4B948A16" w14:textId="77777777" w:rsidR="00873A5D" w:rsidRPr="009704D9" w:rsidRDefault="00873A5D" w:rsidP="00873A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014V122006079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1C824FED" w14:textId="1027BE6B" w:rsidR="00873A5D" w:rsidRPr="009704D9" w:rsidRDefault="00873A5D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KŘP </w:t>
            </w:r>
            <w:proofErr w:type="spellStart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Jčk</w:t>
            </w:r>
            <w:proofErr w:type="spellEnd"/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OOP České Budějovice, 28. října 1594/1 </w:t>
            </w:r>
            <w:r w:rsidR="00EE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rekonstrukce výměníkové stanice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4E40FA15" w14:textId="77777777" w:rsidR="00873A5D" w:rsidRPr="009704D9" w:rsidRDefault="00873A5D" w:rsidP="00873A5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1 247 528,00</w:t>
            </w:r>
          </w:p>
        </w:tc>
      </w:tr>
      <w:tr w:rsidR="0043439D" w:rsidRPr="009704D9" w14:paraId="49532CE1" w14:textId="77777777" w:rsidTr="0043439D">
        <w:trPr>
          <w:trHeight w:val="315"/>
        </w:trPr>
        <w:tc>
          <w:tcPr>
            <w:tcW w:w="4148" w:type="pct"/>
            <w:gridSpan w:val="2"/>
            <w:shd w:val="clear" w:color="auto" w:fill="auto"/>
            <w:vAlign w:val="center"/>
            <w:hideMark/>
          </w:tcPr>
          <w:p w14:paraId="7A928271" w14:textId="000F4BF7" w:rsidR="0043439D" w:rsidRPr="009704D9" w:rsidRDefault="0043439D" w:rsidP="00EE5B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Rámcová smlouva na dodávky osobních vozidel kategorie M1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mikrobusy pro období let 2016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2018 </w:t>
            </w:r>
          </w:p>
        </w:tc>
        <w:tc>
          <w:tcPr>
            <w:tcW w:w="852" w:type="pct"/>
            <w:shd w:val="clear" w:color="auto" w:fill="auto"/>
            <w:vAlign w:val="center"/>
            <w:hideMark/>
          </w:tcPr>
          <w:p w14:paraId="61A31B17" w14:textId="77777777" w:rsidR="0043439D" w:rsidRPr="009704D9" w:rsidRDefault="0043439D" w:rsidP="00873A5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236 850 000,00</w:t>
            </w:r>
          </w:p>
        </w:tc>
      </w:tr>
      <w:tr w:rsidR="00873A5D" w:rsidRPr="009704D9" w14:paraId="7E9BC36D" w14:textId="77777777" w:rsidTr="002B44FE">
        <w:trPr>
          <w:trHeight w:val="300"/>
        </w:trPr>
        <w:tc>
          <w:tcPr>
            <w:tcW w:w="4148" w:type="pct"/>
            <w:gridSpan w:val="2"/>
            <w:shd w:val="clear" w:color="auto" w:fill="auto"/>
            <w:noWrap/>
            <w:vAlign w:val="bottom"/>
            <w:hideMark/>
          </w:tcPr>
          <w:p w14:paraId="16ED8051" w14:textId="77777777" w:rsidR="00873A5D" w:rsidRPr="009704D9" w:rsidRDefault="00873A5D" w:rsidP="00873A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b/>
                <w:sz w:val="22"/>
                <w:szCs w:val="22"/>
              </w:rPr>
              <w:t>Celkem</w:t>
            </w:r>
          </w:p>
        </w:tc>
        <w:tc>
          <w:tcPr>
            <w:tcW w:w="852" w:type="pct"/>
            <w:shd w:val="clear" w:color="auto" w:fill="auto"/>
            <w:noWrap/>
            <w:vAlign w:val="bottom"/>
            <w:hideMark/>
          </w:tcPr>
          <w:p w14:paraId="30606F54" w14:textId="77777777" w:rsidR="00873A5D" w:rsidRPr="009704D9" w:rsidRDefault="00873A5D" w:rsidP="00873A5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04D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864 286 102,29</w:t>
            </w:r>
          </w:p>
        </w:tc>
      </w:tr>
    </w:tbl>
    <w:p w14:paraId="38A52B9A" w14:textId="77777777" w:rsidR="00896302" w:rsidRPr="00D60F7F" w:rsidRDefault="008C73F2" w:rsidP="00A41D86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  <w:r w:rsidRPr="00F2784F">
        <w:rPr>
          <w:rFonts w:ascii="Calibri" w:hAnsi="Calibri"/>
          <w:b/>
          <w:sz w:val="20"/>
          <w:szCs w:val="20"/>
        </w:rPr>
        <w:t>Zdroj:</w:t>
      </w:r>
      <w:r w:rsidRPr="00D60F7F">
        <w:rPr>
          <w:rFonts w:ascii="Calibri" w:hAnsi="Calibri"/>
          <w:sz w:val="20"/>
          <w:szCs w:val="20"/>
        </w:rPr>
        <w:t xml:space="preserve"> </w:t>
      </w:r>
      <w:r w:rsidR="00D60F7F" w:rsidRPr="00D60F7F">
        <w:rPr>
          <w:rFonts w:asciiTheme="minorHAnsi" w:hAnsiTheme="minorHAnsi" w:cstheme="minorHAnsi"/>
          <w:sz w:val="20"/>
          <w:szCs w:val="20"/>
        </w:rPr>
        <w:t>Policie</w:t>
      </w:r>
      <w:r w:rsidR="00F2784F">
        <w:rPr>
          <w:rFonts w:asciiTheme="minorHAnsi" w:hAnsiTheme="minorHAnsi" w:cstheme="minorHAnsi"/>
          <w:sz w:val="20"/>
          <w:szCs w:val="20"/>
        </w:rPr>
        <w:t>.</w:t>
      </w:r>
    </w:p>
    <w:sectPr w:rsidR="00896302" w:rsidRPr="00D60F7F" w:rsidSect="00462F78">
      <w:footerReference w:type="default" r:id="rId17"/>
      <w:pgSz w:w="11907" w:h="16839" w:code="9"/>
      <w:pgMar w:top="1417" w:right="1417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4A3D0" w14:textId="77777777" w:rsidR="00D626B0" w:rsidRDefault="00D626B0">
      <w:r>
        <w:separator/>
      </w:r>
    </w:p>
  </w:endnote>
  <w:endnote w:type="continuationSeparator" w:id="0">
    <w:p w14:paraId="24C67E4C" w14:textId="77777777" w:rsidR="00D626B0" w:rsidRDefault="00D626B0">
      <w:r>
        <w:continuationSeparator/>
      </w:r>
    </w:p>
  </w:endnote>
  <w:endnote w:type="continuationNotice" w:id="1">
    <w:p w14:paraId="75276EFF" w14:textId="77777777" w:rsidR="00D626B0" w:rsidRDefault="00D62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F215" w14:textId="1C75A364" w:rsidR="00D626B0" w:rsidRPr="00C2708B" w:rsidRDefault="00D626B0" w:rsidP="00462F78">
    <w:pPr>
      <w:pStyle w:val="Zpat"/>
      <w:jc w:val="center"/>
      <w:rPr>
        <w:rFonts w:asciiTheme="minorHAnsi" w:hAnsiTheme="minorHAnsi" w:cstheme="minorHAnsi"/>
      </w:rPr>
    </w:pPr>
    <w:r w:rsidRPr="00C2708B">
      <w:rPr>
        <w:rFonts w:asciiTheme="minorHAnsi" w:hAnsiTheme="minorHAnsi" w:cstheme="minorHAnsi"/>
      </w:rPr>
      <w:fldChar w:fldCharType="begin"/>
    </w:r>
    <w:r w:rsidRPr="00C2708B">
      <w:rPr>
        <w:rFonts w:asciiTheme="minorHAnsi" w:hAnsiTheme="minorHAnsi" w:cstheme="minorHAnsi"/>
      </w:rPr>
      <w:instrText xml:space="preserve"> PAGE   \* MERGEFORMAT </w:instrText>
    </w:r>
    <w:r w:rsidRPr="00C2708B">
      <w:rPr>
        <w:rFonts w:asciiTheme="minorHAnsi" w:hAnsiTheme="minorHAnsi" w:cstheme="minorHAnsi"/>
      </w:rPr>
      <w:fldChar w:fldCharType="separate"/>
    </w:r>
    <w:r w:rsidR="005370F4">
      <w:rPr>
        <w:rFonts w:asciiTheme="minorHAnsi" w:hAnsiTheme="minorHAnsi" w:cstheme="minorHAnsi"/>
        <w:noProof/>
      </w:rPr>
      <w:t>19</w:t>
    </w:r>
    <w:r w:rsidRPr="00C2708B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B4688" w14:textId="77777777" w:rsidR="00D626B0" w:rsidRDefault="00D626B0">
      <w:r>
        <w:separator/>
      </w:r>
    </w:p>
  </w:footnote>
  <w:footnote w:type="continuationSeparator" w:id="0">
    <w:p w14:paraId="310CE391" w14:textId="77777777" w:rsidR="00D626B0" w:rsidRDefault="00D626B0">
      <w:r>
        <w:continuationSeparator/>
      </w:r>
    </w:p>
  </w:footnote>
  <w:footnote w:type="continuationNotice" w:id="1">
    <w:p w14:paraId="7B6663BE" w14:textId="77777777" w:rsidR="00D626B0" w:rsidRDefault="00D626B0"/>
  </w:footnote>
  <w:footnote w:id="2">
    <w:p w14:paraId="354A033B" w14:textId="313F42DF" w:rsidR="00D626B0" w:rsidRPr="00BB6E22" w:rsidRDefault="00D626B0" w:rsidP="00C61E09">
      <w:pPr>
        <w:pStyle w:val="Textpoznpodarou"/>
        <w:ind w:left="284" w:hanging="284"/>
        <w:rPr>
          <w:rFonts w:asciiTheme="minorHAnsi" w:hAnsiTheme="minorHAnsi" w:cstheme="minorHAnsi"/>
        </w:rPr>
      </w:pPr>
      <w:r w:rsidRPr="00BB6E22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BB6E22">
        <w:rPr>
          <w:rFonts w:asciiTheme="minorHAnsi" w:hAnsiTheme="minorHAnsi" w:cstheme="minorHAnsi"/>
        </w:rPr>
        <w:t xml:space="preserve">Bez </w:t>
      </w:r>
      <w:r>
        <w:rPr>
          <w:rFonts w:asciiTheme="minorHAnsi" w:hAnsiTheme="minorHAnsi" w:cstheme="minorHAnsi"/>
        </w:rPr>
        <w:t>občanských</w:t>
      </w:r>
      <w:r w:rsidRPr="00BB6E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zaměstnanců</w:t>
      </w:r>
      <w:r w:rsidRPr="00BB6E22">
        <w:rPr>
          <w:rFonts w:asciiTheme="minorHAnsi" w:hAnsiTheme="minorHAnsi" w:cstheme="minorHAnsi"/>
        </w:rPr>
        <w:t>.</w:t>
      </w:r>
    </w:p>
  </w:footnote>
  <w:footnote w:id="3">
    <w:p w14:paraId="736AD190" w14:textId="0DD485D3" w:rsidR="00D626B0" w:rsidRPr="00B4266C" w:rsidRDefault="00D626B0" w:rsidP="00C61E09">
      <w:pPr>
        <w:pStyle w:val="Textpoznpodarou"/>
        <w:ind w:left="284" w:hanging="284"/>
        <w:rPr>
          <w:rFonts w:ascii="Calibri" w:hAnsi="Calibri"/>
        </w:rPr>
      </w:pPr>
      <w:r w:rsidRPr="00B4266C">
        <w:rPr>
          <w:rStyle w:val="Znakapoznpodarou"/>
          <w:rFonts w:ascii="Calibri" w:hAnsi="Calibri" w:cs="Calibri"/>
        </w:rPr>
        <w:footnoteRef/>
      </w:r>
      <w:r w:rsidRPr="00B4266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B4266C">
        <w:rPr>
          <w:rFonts w:ascii="Calibri" w:hAnsi="Calibri" w:cs="Calibri"/>
        </w:rPr>
        <w:t>Zákon č. 273/2008 Sb., o Policii České republiky.</w:t>
      </w:r>
    </w:p>
  </w:footnote>
  <w:footnote w:id="4">
    <w:p w14:paraId="63F66710" w14:textId="3264E4C4" w:rsidR="00D626B0" w:rsidRPr="003D1368" w:rsidRDefault="00D626B0" w:rsidP="00C61E09">
      <w:pPr>
        <w:pStyle w:val="Textpoznpodarou"/>
        <w:ind w:left="284" w:hanging="284"/>
        <w:rPr>
          <w:rFonts w:asciiTheme="minorHAnsi" w:hAnsiTheme="minorHAnsi" w:cstheme="minorHAnsi"/>
        </w:rPr>
      </w:pPr>
      <w:r w:rsidRPr="003D1368">
        <w:rPr>
          <w:rStyle w:val="Znakapoznpodarou"/>
          <w:rFonts w:asciiTheme="minorHAnsi" w:hAnsiTheme="minorHAnsi" w:cstheme="minorHAnsi"/>
        </w:rPr>
        <w:footnoteRef/>
      </w:r>
      <w:r w:rsidRPr="003D1368">
        <w:rPr>
          <w:rFonts w:asciiTheme="minorHAnsi" w:hAnsiTheme="minorHAnsi" w:cstheme="minorHAnsi"/>
        </w:rPr>
        <w:t xml:space="preserve"> </w:t>
      </w:r>
      <w:r w:rsidRPr="003D1368">
        <w:rPr>
          <w:rFonts w:asciiTheme="minorHAnsi" w:hAnsiTheme="minorHAnsi" w:cstheme="minorHAnsi"/>
        </w:rPr>
        <w:tab/>
        <w:t>Jedná se o hlavní základnu Letecké služby Policie.</w:t>
      </w:r>
    </w:p>
  </w:footnote>
  <w:footnote w:id="5">
    <w:p w14:paraId="7EDCC46C" w14:textId="0FA6EDD0" w:rsidR="00D626B0" w:rsidRPr="00EC341D" w:rsidRDefault="00D626B0" w:rsidP="00C61E09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EC341D">
        <w:rPr>
          <w:rStyle w:val="Znakapoznpodarou"/>
          <w:rFonts w:asciiTheme="minorHAnsi" w:hAnsiTheme="minorHAnsi"/>
        </w:rPr>
        <w:footnoteRef/>
      </w:r>
      <w:r w:rsidRPr="00EC34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EC341D">
        <w:rPr>
          <w:rFonts w:asciiTheme="minorHAnsi" w:hAnsiTheme="minorHAnsi"/>
        </w:rPr>
        <w:t>Usnesení vlády České republiky ze dne 31. května 2017 č. 420</w:t>
      </w:r>
      <w:r>
        <w:rPr>
          <w:rFonts w:asciiTheme="minorHAnsi" w:hAnsiTheme="minorHAnsi"/>
        </w:rPr>
        <w:t>,</w:t>
      </w:r>
      <w:r w:rsidRPr="00EC341D">
        <w:rPr>
          <w:rFonts w:asciiTheme="minorHAnsi" w:hAnsiTheme="minorHAnsi"/>
        </w:rPr>
        <w:t xml:space="preserve"> </w:t>
      </w:r>
      <w:r w:rsidRPr="003D1368">
        <w:rPr>
          <w:rFonts w:asciiTheme="minorHAnsi" w:hAnsiTheme="minorHAnsi"/>
          <w:i/>
        </w:rPr>
        <w:t>k závěrečnému vyhodnocení programu 214 110 Rozvoj a obnova materiálně technické základny Policie České republiky</w:t>
      </w:r>
      <w:r w:rsidRPr="00EC341D">
        <w:rPr>
          <w:rFonts w:asciiTheme="minorHAnsi" w:hAnsiTheme="minorHAnsi"/>
        </w:rPr>
        <w:t>.</w:t>
      </w:r>
    </w:p>
  </w:footnote>
  <w:footnote w:id="6">
    <w:p w14:paraId="76686DD9" w14:textId="51FBC0B6" w:rsidR="00D626B0" w:rsidRPr="002D5DA9" w:rsidRDefault="00D626B0" w:rsidP="00D264F4">
      <w:pPr>
        <w:pStyle w:val="l1"/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0"/>
        </w:rPr>
      </w:pPr>
      <w:r w:rsidRPr="002D5DA9">
        <w:rPr>
          <w:rStyle w:val="Znakapoznpodarou"/>
          <w:rFonts w:asciiTheme="minorHAnsi" w:hAnsiTheme="minorHAnsi"/>
          <w:sz w:val="20"/>
        </w:rPr>
        <w:footnoteRef/>
      </w:r>
      <w:r w:rsidRPr="002D5DA9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r w:rsidRPr="002D5DA9">
        <w:rPr>
          <w:rFonts w:asciiTheme="minorHAnsi" w:hAnsiTheme="minorHAnsi"/>
          <w:sz w:val="20"/>
        </w:rPr>
        <w:t>Zákon č. 218/2000 Sb., o rozpočtových pravidlech a o změně některých souvisejících zákonů (rozpočtová pravidla).</w:t>
      </w:r>
    </w:p>
  </w:footnote>
  <w:footnote w:id="7">
    <w:p w14:paraId="1F4B1F89" w14:textId="65E2002B" w:rsidR="00D626B0" w:rsidRPr="00B4266C" w:rsidRDefault="00D626B0" w:rsidP="00D264F4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B4266C">
        <w:rPr>
          <w:rStyle w:val="Znakapoznpodarou"/>
          <w:rFonts w:asciiTheme="minorHAnsi" w:hAnsiTheme="minorHAnsi"/>
        </w:rPr>
        <w:footnoteRef/>
      </w:r>
      <w:r w:rsidRPr="00B4266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B4266C">
        <w:rPr>
          <w:rFonts w:asciiTheme="minorHAnsi" w:hAnsiTheme="minorHAnsi" w:cs="Arial"/>
        </w:rPr>
        <w:t xml:space="preserve">Kontrolní závěr z kontrolní akce </w:t>
      </w:r>
      <w:r w:rsidRPr="00B4266C">
        <w:rPr>
          <w:rFonts w:asciiTheme="minorHAnsi" w:hAnsiTheme="minorHAnsi" w:cstheme="minorHAnsi"/>
        </w:rPr>
        <w:t>č. 11/12</w:t>
      </w:r>
      <w:r>
        <w:rPr>
          <w:rFonts w:asciiTheme="minorHAnsi" w:hAnsiTheme="minorHAnsi" w:cstheme="minorHAnsi"/>
        </w:rPr>
        <w:t xml:space="preserve"> –</w:t>
      </w:r>
      <w:r w:rsidRPr="00B4266C">
        <w:rPr>
          <w:rFonts w:asciiTheme="minorHAnsi" w:hAnsiTheme="minorHAnsi" w:cstheme="minorHAnsi"/>
        </w:rPr>
        <w:t xml:space="preserve"> </w:t>
      </w:r>
      <w:r w:rsidRPr="00B4266C">
        <w:rPr>
          <w:rFonts w:asciiTheme="minorHAnsi" w:hAnsiTheme="minorHAnsi" w:cstheme="minorHAnsi"/>
          <w:i/>
        </w:rPr>
        <w:t>Peněžní prostředky určené na rozvoj a obnovu materiálně technické základny Policie České republiky</w:t>
      </w:r>
      <w:r w:rsidRPr="00B4266C">
        <w:rPr>
          <w:rFonts w:asciiTheme="minorHAnsi" w:hAnsiTheme="minorHAnsi" w:cs="Arial"/>
        </w:rPr>
        <w:t xml:space="preserve"> byl zveřejněn v částce 2/20</w:t>
      </w:r>
      <w:r>
        <w:rPr>
          <w:rFonts w:asciiTheme="minorHAnsi" w:hAnsiTheme="minorHAnsi" w:cs="Arial"/>
        </w:rPr>
        <w:t>12</w:t>
      </w:r>
      <w:r w:rsidRPr="00B4266C">
        <w:rPr>
          <w:rFonts w:asciiTheme="minorHAnsi" w:hAnsiTheme="minorHAnsi" w:cs="Arial"/>
        </w:rPr>
        <w:t xml:space="preserve"> </w:t>
      </w:r>
      <w:r w:rsidRPr="00B4266C">
        <w:rPr>
          <w:rFonts w:asciiTheme="minorHAnsi" w:hAnsiTheme="minorHAnsi" w:cs="Arial"/>
          <w:i/>
        </w:rPr>
        <w:t>Věstníku NKÚ.</w:t>
      </w:r>
    </w:p>
  </w:footnote>
  <w:footnote w:id="8">
    <w:p w14:paraId="20058E6F" w14:textId="2A2D6FBA" w:rsidR="00D626B0" w:rsidRPr="00D958CC" w:rsidRDefault="00D626B0" w:rsidP="00D264F4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B4266C">
        <w:rPr>
          <w:rStyle w:val="Znakapoznpodarou"/>
          <w:rFonts w:asciiTheme="minorHAnsi" w:hAnsiTheme="minorHAnsi"/>
        </w:rPr>
        <w:footnoteRef/>
      </w:r>
      <w:r w:rsidRPr="00B4266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B4266C">
        <w:rPr>
          <w:rFonts w:asciiTheme="minorHAnsi" w:hAnsiTheme="minorHAnsi" w:cs="Arial"/>
        </w:rPr>
        <w:t>Kontrolní zá</w:t>
      </w:r>
      <w:r>
        <w:rPr>
          <w:rFonts w:asciiTheme="minorHAnsi" w:hAnsiTheme="minorHAnsi" w:cs="Arial"/>
        </w:rPr>
        <w:t xml:space="preserve">věr z kontrolní akce č. 05/21 – </w:t>
      </w:r>
      <w:r w:rsidRPr="00B4266C">
        <w:rPr>
          <w:rFonts w:asciiTheme="minorHAnsi" w:hAnsiTheme="minorHAnsi" w:cs="Arial"/>
          <w:i/>
        </w:rPr>
        <w:t>Hospodaření s majetkem státu a finančními prostředky určenými na leteckou techniku Policie České republiky</w:t>
      </w:r>
      <w:r w:rsidRPr="00B4266C">
        <w:rPr>
          <w:rFonts w:asciiTheme="minorHAnsi" w:hAnsiTheme="minorHAnsi" w:cs="Arial"/>
        </w:rPr>
        <w:t xml:space="preserve"> byl zveřejněn v částce 2/2006 </w:t>
      </w:r>
      <w:r w:rsidRPr="00B4266C">
        <w:rPr>
          <w:rFonts w:asciiTheme="minorHAnsi" w:hAnsiTheme="minorHAnsi" w:cs="Arial"/>
          <w:i/>
        </w:rPr>
        <w:t>Věstníku NKÚ.</w:t>
      </w:r>
    </w:p>
  </w:footnote>
  <w:footnote w:id="9">
    <w:p w14:paraId="1035ECA1" w14:textId="3F202DEB" w:rsidR="00D626B0" w:rsidRPr="00B4266C" w:rsidRDefault="00D626B0" w:rsidP="00D264F4">
      <w:pPr>
        <w:pStyle w:val="l3"/>
        <w:spacing w:before="0" w:beforeAutospacing="0" w:after="120" w:afterAutospacing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4266C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B4266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B4266C">
        <w:rPr>
          <w:rFonts w:asciiTheme="minorHAnsi" w:hAnsiTheme="minorHAnsi" w:cstheme="minorHAnsi"/>
          <w:sz w:val="20"/>
          <w:szCs w:val="20"/>
        </w:rPr>
        <w:t xml:space="preserve">Zákon </w:t>
      </w:r>
      <w:r>
        <w:rPr>
          <w:rFonts w:asciiTheme="minorHAnsi" w:hAnsiTheme="minorHAnsi" w:cstheme="minorHAnsi"/>
          <w:sz w:val="20"/>
          <w:szCs w:val="20"/>
        </w:rPr>
        <w:t xml:space="preserve">České národní rady </w:t>
      </w:r>
      <w:r w:rsidRPr="00B4266C">
        <w:rPr>
          <w:rFonts w:asciiTheme="minorHAnsi" w:hAnsiTheme="minorHAnsi" w:cstheme="minorHAnsi"/>
          <w:sz w:val="20"/>
          <w:szCs w:val="20"/>
        </w:rPr>
        <w:t>č. 2/1969</w:t>
      </w:r>
      <w:r>
        <w:rPr>
          <w:rFonts w:asciiTheme="minorHAnsi" w:hAnsiTheme="minorHAnsi" w:cstheme="minorHAnsi"/>
          <w:sz w:val="20"/>
          <w:szCs w:val="20"/>
        </w:rPr>
        <w:t xml:space="preserve"> Sb.</w:t>
      </w:r>
      <w:r w:rsidRPr="00B4266C">
        <w:rPr>
          <w:rFonts w:asciiTheme="minorHAnsi" w:hAnsiTheme="minorHAnsi" w:cstheme="minorHAnsi"/>
          <w:sz w:val="20"/>
          <w:szCs w:val="20"/>
        </w:rPr>
        <w:t>, o zřízení ministerstev a jiných ústředních orgánů státní správy České republiky.</w:t>
      </w:r>
    </w:p>
  </w:footnote>
  <w:footnote w:id="10">
    <w:p w14:paraId="7FC387B8" w14:textId="689CCF24" w:rsidR="00D626B0" w:rsidRPr="0074013A" w:rsidRDefault="00D626B0" w:rsidP="00D264F4">
      <w:pPr>
        <w:ind w:left="284" w:hanging="284"/>
        <w:jc w:val="both"/>
        <w:rPr>
          <w:rFonts w:asciiTheme="minorHAnsi" w:hAnsiTheme="minorHAnsi"/>
          <w:sz w:val="20"/>
        </w:rPr>
      </w:pPr>
      <w:r w:rsidRPr="0074013A">
        <w:rPr>
          <w:rStyle w:val="Znakapoznpodarou"/>
          <w:rFonts w:asciiTheme="minorHAnsi" w:hAnsiTheme="minorHAnsi"/>
          <w:sz w:val="20"/>
        </w:rPr>
        <w:footnoteRef/>
      </w:r>
      <w:r w:rsidRPr="0074013A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r w:rsidRPr="0074013A">
        <w:rPr>
          <w:rFonts w:asciiTheme="minorHAnsi" w:hAnsiTheme="minorHAnsi"/>
          <w:sz w:val="20"/>
        </w:rPr>
        <w:t>Nábor nových příslušníků Policie se nedaří a výsledkem zvýšení</w:t>
      </w:r>
      <w:r>
        <w:rPr>
          <w:rFonts w:asciiTheme="minorHAnsi" w:hAnsiTheme="minorHAnsi"/>
          <w:sz w:val="20"/>
        </w:rPr>
        <w:t xml:space="preserve"> počtu</w:t>
      </w:r>
      <w:r w:rsidRPr="0074013A">
        <w:rPr>
          <w:rFonts w:asciiTheme="minorHAnsi" w:hAnsiTheme="minorHAnsi"/>
          <w:sz w:val="20"/>
        </w:rPr>
        <w:t xml:space="preserve"> tabulkových míst je především nárůst počtu neobsazených služebních míst. Např. u KŘP Středočeského kraje činil k 31. 12. 2016 rozdíl plánu systemizovaných míst a evidenční</w:t>
      </w:r>
      <w:r>
        <w:rPr>
          <w:rFonts w:asciiTheme="minorHAnsi" w:hAnsiTheme="minorHAnsi"/>
          <w:sz w:val="20"/>
        </w:rPr>
        <w:t>ho</w:t>
      </w:r>
      <w:r w:rsidRPr="0074013A">
        <w:rPr>
          <w:rFonts w:asciiTheme="minorHAnsi" w:hAnsiTheme="minorHAnsi"/>
          <w:sz w:val="20"/>
        </w:rPr>
        <w:t xml:space="preserve"> počt</w:t>
      </w:r>
      <w:r>
        <w:rPr>
          <w:rFonts w:asciiTheme="minorHAnsi" w:hAnsiTheme="minorHAnsi"/>
          <w:sz w:val="20"/>
        </w:rPr>
        <w:t>u</w:t>
      </w:r>
      <w:r w:rsidRPr="0074013A">
        <w:rPr>
          <w:rFonts w:asciiTheme="minorHAnsi" w:hAnsiTheme="minorHAnsi"/>
          <w:sz w:val="20"/>
        </w:rPr>
        <w:t xml:space="preserve"> v případě policistů 198 </w:t>
      </w:r>
      <w:r>
        <w:rPr>
          <w:rFonts w:asciiTheme="minorHAnsi" w:hAnsiTheme="minorHAnsi"/>
          <w:sz w:val="20"/>
        </w:rPr>
        <w:t xml:space="preserve">a </w:t>
      </w:r>
      <w:r w:rsidRPr="0074013A">
        <w:rPr>
          <w:rFonts w:asciiTheme="minorHAnsi" w:hAnsiTheme="minorHAnsi"/>
          <w:sz w:val="20"/>
        </w:rPr>
        <w:t>v případě občanských zaměstnanců 27</w:t>
      </w:r>
      <w:r>
        <w:rPr>
          <w:rFonts w:asciiTheme="minorHAnsi" w:hAnsiTheme="minorHAnsi"/>
          <w:sz w:val="20"/>
        </w:rPr>
        <w:t> míst</w:t>
      </w:r>
      <w:r w:rsidRPr="0074013A">
        <w:rPr>
          <w:rFonts w:asciiTheme="minorHAnsi" w:hAnsiTheme="minorHAnsi"/>
          <w:sz w:val="20"/>
        </w:rPr>
        <w:t>.</w:t>
      </w:r>
    </w:p>
  </w:footnote>
  <w:footnote w:id="11">
    <w:p w14:paraId="0B3A96A2" w14:textId="0BD07283" w:rsidR="00D626B0" w:rsidRPr="0074013A" w:rsidRDefault="00D626B0" w:rsidP="00D264F4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74013A">
        <w:rPr>
          <w:rStyle w:val="Znakapoznpodarou"/>
          <w:rFonts w:asciiTheme="minorHAnsi" w:hAnsiTheme="minorHAnsi"/>
        </w:rPr>
        <w:footnoteRef/>
      </w:r>
      <w:r w:rsidRPr="0074013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74013A">
        <w:rPr>
          <w:rFonts w:asciiTheme="minorHAnsi" w:hAnsiTheme="minorHAnsi"/>
        </w:rPr>
        <w:t>Usnesení vlády České republiky ze dne 5. června 2017 č. 428</w:t>
      </w:r>
      <w:r>
        <w:rPr>
          <w:rFonts w:asciiTheme="minorHAnsi" w:hAnsiTheme="minorHAnsi"/>
        </w:rPr>
        <w:t>,</w:t>
      </w:r>
      <w:r w:rsidRPr="003D1368">
        <w:rPr>
          <w:rFonts w:asciiTheme="minorHAnsi" w:hAnsiTheme="minorHAnsi"/>
          <w:i/>
        </w:rPr>
        <w:t xml:space="preserve"> o Koncepci rozvoje Policie České republiky do roku 2020</w:t>
      </w:r>
      <w:r w:rsidRPr="0074013A">
        <w:rPr>
          <w:rFonts w:asciiTheme="minorHAnsi" w:hAnsiTheme="minorHAnsi"/>
        </w:rPr>
        <w:t>.</w:t>
      </w:r>
    </w:p>
  </w:footnote>
  <w:footnote w:id="12">
    <w:p w14:paraId="61B170D5" w14:textId="3AA60F48" w:rsidR="00D626B0" w:rsidRPr="0074013A" w:rsidRDefault="00D626B0" w:rsidP="00D264F4">
      <w:pPr>
        <w:pStyle w:val="Default"/>
        <w:ind w:left="284" w:hanging="284"/>
        <w:jc w:val="both"/>
        <w:rPr>
          <w:rFonts w:asciiTheme="minorHAnsi" w:hAnsiTheme="minorHAnsi"/>
          <w:color w:val="auto"/>
          <w:sz w:val="20"/>
        </w:rPr>
      </w:pPr>
      <w:r w:rsidRPr="0074013A">
        <w:rPr>
          <w:rStyle w:val="Znakapoznpodarou"/>
          <w:rFonts w:asciiTheme="minorHAnsi" w:hAnsiTheme="minorHAnsi"/>
          <w:sz w:val="20"/>
        </w:rPr>
        <w:footnoteRef/>
      </w:r>
      <w:r w:rsidRPr="0074013A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r w:rsidRPr="0074013A">
        <w:rPr>
          <w:rFonts w:asciiTheme="minorHAnsi" w:hAnsiTheme="minorHAnsi"/>
          <w:color w:val="auto"/>
          <w:sz w:val="20"/>
        </w:rPr>
        <w:t xml:space="preserve">Materiál </w:t>
      </w:r>
      <w:r w:rsidRPr="0074013A">
        <w:rPr>
          <w:rFonts w:asciiTheme="minorHAnsi" w:hAnsiTheme="minorHAnsi"/>
          <w:i/>
          <w:color w:val="auto"/>
          <w:sz w:val="20"/>
        </w:rPr>
        <w:t>Rozvoj Policie České republiky v letech 2016–2020</w:t>
      </w:r>
      <w:r w:rsidRPr="0074013A">
        <w:rPr>
          <w:rFonts w:asciiTheme="minorHAnsi" w:hAnsiTheme="minorHAnsi"/>
          <w:color w:val="auto"/>
          <w:sz w:val="20"/>
        </w:rPr>
        <w:t>.</w:t>
      </w:r>
    </w:p>
  </w:footnote>
  <w:footnote w:id="13">
    <w:p w14:paraId="6F428D1E" w14:textId="0870ADDE" w:rsidR="00D626B0" w:rsidRPr="0074013A" w:rsidRDefault="00D626B0" w:rsidP="00D264F4">
      <w:pPr>
        <w:pStyle w:val="Default"/>
        <w:ind w:left="284" w:hanging="284"/>
        <w:jc w:val="both"/>
        <w:rPr>
          <w:rFonts w:asciiTheme="minorHAnsi" w:eastAsia="Calibri" w:hAnsiTheme="minorHAnsi"/>
          <w:color w:val="auto"/>
          <w:sz w:val="20"/>
        </w:rPr>
      </w:pPr>
      <w:r w:rsidRPr="0074013A">
        <w:rPr>
          <w:rStyle w:val="Znakapoznpodarou"/>
          <w:rFonts w:asciiTheme="minorHAnsi" w:hAnsiTheme="minorHAnsi"/>
          <w:sz w:val="20"/>
        </w:rPr>
        <w:footnoteRef/>
      </w:r>
      <w:r w:rsidRPr="0074013A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r w:rsidRPr="0074013A">
        <w:rPr>
          <w:rFonts w:asciiTheme="minorHAnsi" w:hAnsiTheme="minorHAnsi"/>
          <w:sz w:val="20"/>
        </w:rPr>
        <w:t>Do doby ukončení kontroly NKÚ nedošlo k plánovanému navýšení o 1 000 systemizovaných služebních míst.</w:t>
      </w:r>
    </w:p>
  </w:footnote>
  <w:footnote w:id="14">
    <w:p w14:paraId="672CADC2" w14:textId="5BECF362" w:rsidR="00D626B0" w:rsidRPr="00061C4B" w:rsidRDefault="00D626B0" w:rsidP="00D264F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</w:rPr>
      </w:pPr>
      <w:r w:rsidRPr="00B70859">
        <w:rPr>
          <w:rStyle w:val="Znakapoznpodarou"/>
          <w:rFonts w:asciiTheme="minorHAnsi" w:hAnsiTheme="minorHAnsi" w:cstheme="minorHAnsi"/>
          <w:sz w:val="20"/>
        </w:rPr>
        <w:footnoteRef/>
      </w:r>
      <w:r w:rsidRPr="00B70859">
        <w:rPr>
          <w:rFonts w:asciiTheme="minorHAnsi" w:hAnsiTheme="minorHAnsi" w:cstheme="minorHAnsi"/>
          <w:sz w:val="20"/>
        </w:rPr>
        <w:t xml:space="preserve"> </w:t>
      </w:r>
      <w:r w:rsidRPr="00061C4B">
        <w:rPr>
          <w:rFonts w:asciiTheme="minorHAnsi" w:hAnsiTheme="minorHAnsi" w:cstheme="minorHAnsi"/>
          <w:sz w:val="20"/>
        </w:rPr>
        <w:tab/>
        <w:t xml:space="preserve">Např. některé „policejní“ činnosti jsou v </w:t>
      </w:r>
      <w:r>
        <w:rPr>
          <w:rFonts w:asciiTheme="minorHAnsi" w:hAnsiTheme="minorHAnsi" w:cstheme="minorHAnsi"/>
          <w:sz w:val="20"/>
        </w:rPr>
        <w:t>zahraničí</w:t>
      </w:r>
      <w:r w:rsidRPr="00061C4B">
        <w:rPr>
          <w:rFonts w:asciiTheme="minorHAnsi" w:hAnsiTheme="minorHAnsi" w:cstheme="minorHAnsi"/>
          <w:sz w:val="20"/>
        </w:rPr>
        <w:t xml:space="preserve"> vykonávány subjekty pod jinými ministerstvy, z policejních sil mohou být některé složky vyčleněny a </w:t>
      </w:r>
      <w:r>
        <w:rPr>
          <w:rFonts w:asciiTheme="minorHAnsi" w:hAnsiTheme="minorHAnsi" w:cstheme="minorHAnsi"/>
          <w:sz w:val="20"/>
        </w:rPr>
        <w:t>fungovat jako</w:t>
      </w:r>
      <w:r w:rsidRPr="00061C4B">
        <w:rPr>
          <w:rFonts w:asciiTheme="minorHAnsi" w:hAnsiTheme="minorHAnsi" w:cstheme="minorHAnsi"/>
          <w:sz w:val="20"/>
        </w:rPr>
        <w:t xml:space="preserve"> samostatn</w:t>
      </w:r>
      <w:r>
        <w:rPr>
          <w:rFonts w:asciiTheme="minorHAnsi" w:hAnsiTheme="minorHAnsi" w:cstheme="minorHAnsi"/>
          <w:sz w:val="20"/>
        </w:rPr>
        <w:t>é</w:t>
      </w:r>
      <w:r w:rsidRPr="00061C4B">
        <w:rPr>
          <w:rFonts w:asciiTheme="minorHAnsi" w:hAnsiTheme="minorHAnsi" w:cstheme="minorHAnsi"/>
          <w:sz w:val="20"/>
        </w:rPr>
        <w:t xml:space="preserve"> sbory apod.</w:t>
      </w:r>
    </w:p>
  </w:footnote>
  <w:footnote w:id="15">
    <w:p w14:paraId="3812E10A" w14:textId="25C51A73" w:rsidR="00D626B0" w:rsidRPr="00B70859" w:rsidRDefault="00D626B0" w:rsidP="00D264F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70859">
        <w:rPr>
          <w:rStyle w:val="Znakapoznpodarou"/>
          <w:rFonts w:asciiTheme="minorHAnsi" w:hAnsiTheme="minorHAnsi" w:cstheme="minorHAnsi"/>
        </w:rPr>
        <w:footnoteRef/>
      </w:r>
      <w:r w:rsidRPr="00B70859">
        <w:rPr>
          <w:rFonts w:asciiTheme="minorHAnsi" w:hAnsiTheme="minorHAnsi" w:cstheme="minorHAnsi"/>
        </w:rPr>
        <w:t xml:space="preserve"> </w:t>
      </w:r>
      <w:r w:rsidRPr="00B7085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Viz: </w:t>
      </w:r>
      <w:hyperlink r:id="rId1" w:history="1">
        <w:r w:rsidRPr="00B70859">
          <w:rPr>
            <w:rStyle w:val="Hypertextovodkaz"/>
            <w:rFonts w:asciiTheme="minorHAnsi" w:hAnsiTheme="minorHAnsi" w:cstheme="minorHAnsi"/>
            <w:color w:val="auto"/>
            <w:u w:val="none"/>
          </w:rPr>
          <w:t>http://ec.europa.eu/eurostat/statistics-explained/index.php/Crime_and_criminal_justice_statistics</w:t>
        </w:r>
      </w:hyperlink>
      <w:r w:rsidRPr="00B70859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</w:p>
  </w:footnote>
  <w:footnote w:id="16">
    <w:p w14:paraId="4750163F" w14:textId="200D93FE" w:rsidR="00D626B0" w:rsidRPr="00061C4B" w:rsidRDefault="00D626B0" w:rsidP="00D264F4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0859">
        <w:rPr>
          <w:rStyle w:val="Znakapoznpodarou"/>
          <w:rFonts w:asciiTheme="minorHAnsi" w:hAnsiTheme="minorHAnsi" w:cstheme="minorHAnsi"/>
          <w:sz w:val="20"/>
        </w:rPr>
        <w:footnoteRef/>
      </w:r>
      <w:r w:rsidRPr="00B70859">
        <w:rPr>
          <w:rFonts w:asciiTheme="minorHAnsi" w:hAnsiTheme="minorHAnsi" w:cstheme="minorHAnsi"/>
          <w:sz w:val="20"/>
        </w:rPr>
        <w:t xml:space="preserve"> </w:t>
      </w:r>
      <w:r w:rsidRPr="00061C4B">
        <w:rPr>
          <w:rFonts w:asciiTheme="minorHAnsi" w:hAnsiTheme="minorHAnsi" w:cstheme="minorHAnsi"/>
          <w:sz w:val="20"/>
        </w:rPr>
        <w:tab/>
        <w:t>Usnesení vlády České republiky ze dne 12. února 2014 č. 96</w:t>
      </w:r>
      <w:r>
        <w:rPr>
          <w:rFonts w:asciiTheme="minorHAnsi" w:hAnsiTheme="minorHAnsi" w:cstheme="minorHAnsi"/>
          <w:sz w:val="20"/>
        </w:rPr>
        <w:t>,</w:t>
      </w:r>
      <w:r w:rsidRPr="00061C4B">
        <w:rPr>
          <w:rFonts w:asciiTheme="minorHAnsi" w:hAnsiTheme="minorHAnsi" w:cstheme="minorHAnsi"/>
          <w:sz w:val="20"/>
        </w:rPr>
        <w:t xml:space="preserve"> </w:t>
      </w:r>
      <w:r w:rsidRPr="003D1368">
        <w:rPr>
          <w:rFonts w:asciiTheme="minorHAnsi" w:hAnsiTheme="minorHAnsi" w:cstheme="minorHAnsi"/>
          <w:i/>
          <w:sz w:val="20"/>
        </w:rPr>
        <w:t>o Programovém prohlášení vlády České republiky</w:t>
      </w:r>
      <w:r w:rsidRPr="00061C4B">
        <w:rPr>
          <w:rFonts w:asciiTheme="minorHAnsi" w:hAnsiTheme="minorHAnsi" w:cstheme="minorHAnsi"/>
          <w:sz w:val="20"/>
        </w:rPr>
        <w:t>.</w:t>
      </w:r>
    </w:p>
  </w:footnote>
  <w:footnote w:id="17">
    <w:p w14:paraId="66725204" w14:textId="7602B868" w:rsidR="00D626B0" w:rsidRPr="00B70859" w:rsidRDefault="00D626B0" w:rsidP="00D264F4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7085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B70859">
        <w:rPr>
          <w:rFonts w:asciiTheme="minorHAnsi" w:hAnsiTheme="minorHAnsi" w:cstheme="minorHAnsi"/>
          <w:sz w:val="20"/>
          <w:szCs w:val="20"/>
        </w:rPr>
        <w:t xml:space="preserve"> </w:t>
      </w:r>
      <w:r w:rsidRPr="00846248">
        <w:rPr>
          <w:rFonts w:asciiTheme="minorHAnsi" w:hAnsiTheme="minorHAnsi" w:cstheme="minorHAnsi"/>
          <w:sz w:val="20"/>
          <w:szCs w:val="20"/>
        </w:rPr>
        <w:tab/>
      </w:r>
      <w:r w:rsidRPr="00B70859">
        <w:rPr>
          <w:rFonts w:asciiTheme="minorHAnsi" w:hAnsiTheme="minorHAnsi" w:cstheme="minorHAnsi"/>
          <w:sz w:val="20"/>
          <w:szCs w:val="20"/>
        </w:rPr>
        <w:t xml:space="preserve">Vzniklo 14 KŘP a Správa logistického zabezpečení Prezidia namísto </w:t>
      </w:r>
      <w:r>
        <w:rPr>
          <w:rFonts w:asciiTheme="minorHAnsi" w:hAnsiTheme="minorHAnsi" w:cstheme="minorHAnsi"/>
          <w:sz w:val="20"/>
          <w:szCs w:val="20"/>
        </w:rPr>
        <w:t>osmi</w:t>
      </w:r>
      <w:r w:rsidRPr="00B70859">
        <w:rPr>
          <w:rFonts w:asciiTheme="minorHAnsi" w:hAnsiTheme="minorHAnsi" w:cstheme="minorHAnsi"/>
          <w:sz w:val="20"/>
          <w:szCs w:val="20"/>
        </w:rPr>
        <w:t xml:space="preserve"> správ policie a </w:t>
      </w:r>
      <w:r w:rsidRPr="00B70859">
        <w:rPr>
          <w:rFonts w:asciiTheme="minorHAnsi" w:hAnsiTheme="minorHAnsi" w:cstheme="minorHAnsi"/>
          <w:bCs/>
          <w:sz w:val="20"/>
          <w:szCs w:val="20"/>
        </w:rPr>
        <w:t>Hospodářské správy</w:t>
      </w:r>
      <w:r w:rsidRPr="00B70859">
        <w:rPr>
          <w:rFonts w:asciiTheme="minorHAnsi" w:hAnsiTheme="minorHAnsi" w:cstheme="minorHAnsi"/>
          <w:sz w:val="20"/>
          <w:szCs w:val="20"/>
        </w:rPr>
        <w:t xml:space="preserve"> Prezidia.</w:t>
      </w:r>
    </w:p>
  </w:footnote>
  <w:footnote w:id="18">
    <w:p w14:paraId="4AC14935" w14:textId="6169660A" w:rsidR="00D626B0" w:rsidRPr="00B70859" w:rsidRDefault="00D626B0" w:rsidP="00D264F4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70859">
        <w:rPr>
          <w:rStyle w:val="Znakapoznpodarou"/>
          <w:rFonts w:asciiTheme="minorHAnsi" w:hAnsiTheme="minorHAnsi" w:cstheme="minorHAnsi"/>
          <w:color w:val="000000" w:themeColor="text1"/>
          <w:sz w:val="20"/>
          <w:szCs w:val="20"/>
        </w:rPr>
        <w:footnoteRef/>
      </w:r>
      <w:r w:rsidRPr="00B708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70859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Opatření byla schválena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B70859">
        <w:rPr>
          <w:rFonts w:asciiTheme="minorHAnsi" w:hAnsiTheme="minorHAnsi" w:cstheme="minorHAnsi"/>
          <w:sz w:val="20"/>
          <w:szCs w:val="20"/>
        </w:rPr>
        <w:t>snesení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B70859">
        <w:rPr>
          <w:rFonts w:asciiTheme="minorHAnsi" w:hAnsiTheme="minorHAnsi" w:cstheme="minorHAnsi"/>
          <w:sz w:val="20"/>
          <w:szCs w:val="20"/>
        </w:rPr>
        <w:t xml:space="preserve"> vlády České republiky ze dne 4. července 2012 č. 490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3D1368">
        <w:rPr>
          <w:rFonts w:asciiTheme="minorHAnsi" w:hAnsiTheme="minorHAnsi" w:cstheme="minorHAnsi"/>
          <w:i/>
          <w:sz w:val="20"/>
          <w:szCs w:val="20"/>
        </w:rPr>
        <w:t xml:space="preserve"> ke Kontrolnímu závěru Nejvyššího kontrolního úřadu z kontrolní akce č. 11/12 Peněžní prostředky určené na rozvoj a obnovu materiálně technické základny Policie České republiky</w:t>
      </w:r>
      <w:r w:rsidRPr="00B70859">
        <w:rPr>
          <w:rFonts w:asciiTheme="minorHAnsi" w:hAnsiTheme="minorHAnsi" w:cstheme="minorHAnsi"/>
          <w:sz w:val="20"/>
          <w:szCs w:val="20"/>
        </w:rPr>
        <w:t>.</w:t>
      </w:r>
    </w:p>
  </w:footnote>
  <w:footnote w:id="19">
    <w:p w14:paraId="7422435A" w14:textId="6EF49AD6" w:rsidR="00D626B0" w:rsidRPr="00B4266C" w:rsidRDefault="00D626B0" w:rsidP="00D264F4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B4266C">
        <w:rPr>
          <w:rStyle w:val="Znakapoznpodarou"/>
          <w:rFonts w:asciiTheme="minorHAnsi" w:hAnsiTheme="minorHAnsi"/>
        </w:rPr>
        <w:footnoteRef/>
      </w:r>
      <w:r>
        <w:rPr>
          <w:rFonts w:asciiTheme="minorHAnsi" w:hAnsiTheme="minorHAnsi"/>
        </w:rPr>
        <w:tab/>
      </w:r>
      <w:r w:rsidRPr="00B4266C">
        <w:rPr>
          <w:rFonts w:asciiTheme="minorHAnsi" w:hAnsiTheme="minorHAnsi"/>
        </w:rPr>
        <w:t>Nařízení vlády č. 361/2007 Sb., kterým se stanoví podmínky ochrany zdraví při práci.</w:t>
      </w:r>
    </w:p>
  </w:footnote>
  <w:footnote w:id="20">
    <w:p w14:paraId="617ED060" w14:textId="79ADFB31" w:rsidR="00D626B0" w:rsidRPr="004C0454" w:rsidRDefault="00D626B0" w:rsidP="00D264F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kern w:val="36"/>
          <w:sz w:val="18"/>
          <w:szCs w:val="18"/>
        </w:rPr>
      </w:pPr>
      <w:r w:rsidRPr="002E6A06">
        <w:rPr>
          <w:rStyle w:val="Znakapoznpodarou"/>
          <w:rFonts w:asciiTheme="minorHAnsi" w:hAnsiTheme="minorHAnsi"/>
          <w:sz w:val="20"/>
        </w:rPr>
        <w:footnoteRef/>
      </w:r>
      <w:r>
        <w:rPr>
          <w:rFonts w:asciiTheme="minorHAnsi" w:hAnsiTheme="minorHAnsi"/>
          <w:sz w:val="20"/>
        </w:rPr>
        <w:t> </w:t>
      </w:r>
      <w:r>
        <w:rPr>
          <w:rFonts w:asciiTheme="minorHAnsi" w:hAnsiTheme="minorHAnsi"/>
          <w:sz w:val="20"/>
        </w:rPr>
        <w:tab/>
      </w:r>
      <w:r w:rsidRPr="002E6A06">
        <w:rPr>
          <w:rFonts w:asciiTheme="minorHAnsi" w:hAnsiTheme="minorHAnsi"/>
          <w:kern w:val="36"/>
          <w:sz w:val="20"/>
        </w:rPr>
        <w:t xml:space="preserve">Např. akce č. 214V112007137 </w:t>
      </w:r>
      <w:r>
        <w:rPr>
          <w:rFonts w:asciiTheme="minorHAnsi" w:hAnsiTheme="minorHAnsi"/>
          <w:kern w:val="36"/>
          <w:sz w:val="20"/>
        </w:rPr>
        <w:t>(</w:t>
      </w:r>
      <w:r w:rsidRPr="002E6A06">
        <w:rPr>
          <w:rFonts w:asciiTheme="minorHAnsi" w:hAnsiTheme="minorHAnsi"/>
          <w:i/>
          <w:kern w:val="36"/>
          <w:sz w:val="20"/>
        </w:rPr>
        <w:t>OOP Kostelec nad Černými lesy</w:t>
      </w:r>
      <w:r>
        <w:rPr>
          <w:rFonts w:asciiTheme="minorHAnsi" w:hAnsiTheme="minorHAnsi" w:cstheme="minorHAnsi"/>
          <w:i/>
          <w:kern w:val="36"/>
          <w:sz w:val="20"/>
          <w:szCs w:val="20"/>
        </w:rPr>
        <w:t xml:space="preserve"> – </w:t>
      </w:r>
      <w:r w:rsidRPr="002E6A06">
        <w:rPr>
          <w:rFonts w:asciiTheme="minorHAnsi" w:hAnsiTheme="minorHAnsi"/>
          <w:i/>
          <w:kern w:val="36"/>
          <w:sz w:val="20"/>
        </w:rPr>
        <w:t>rekonstrukce</w:t>
      </w:r>
      <w:r>
        <w:rPr>
          <w:rFonts w:asciiTheme="minorHAnsi" w:hAnsiTheme="minorHAnsi"/>
          <w:kern w:val="36"/>
          <w:sz w:val="20"/>
        </w:rPr>
        <w:t>)</w:t>
      </w:r>
      <w:r w:rsidRPr="002E6A06">
        <w:rPr>
          <w:rFonts w:asciiTheme="minorHAnsi" w:hAnsiTheme="minorHAnsi"/>
          <w:kern w:val="36"/>
          <w:sz w:val="20"/>
        </w:rPr>
        <w:t xml:space="preserve"> byla realizována z programu 214 110, navazující akce č. 114V112003053 </w:t>
      </w:r>
      <w:r>
        <w:rPr>
          <w:rFonts w:asciiTheme="minorHAnsi" w:hAnsiTheme="minorHAnsi"/>
          <w:kern w:val="36"/>
          <w:sz w:val="20"/>
        </w:rPr>
        <w:t>(</w:t>
      </w:r>
      <w:r w:rsidRPr="002E6A06">
        <w:rPr>
          <w:rFonts w:asciiTheme="minorHAnsi" w:hAnsiTheme="minorHAnsi"/>
          <w:i/>
          <w:kern w:val="36"/>
          <w:sz w:val="20"/>
        </w:rPr>
        <w:t>OOP Kostelec nad Černými lesy</w:t>
      </w:r>
      <w:r>
        <w:rPr>
          <w:rFonts w:asciiTheme="minorHAnsi" w:hAnsiTheme="minorHAnsi" w:cstheme="minorHAnsi"/>
          <w:i/>
          <w:kern w:val="36"/>
          <w:sz w:val="20"/>
          <w:szCs w:val="20"/>
        </w:rPr>
        <w:t xml:space="preserve"> – </w:t>
      </w:r>
      <w:r w:rsidRPr="002E6A06">
        <w:rPr>
          <w:rFonts w:asciiTheme="minorHAnsi" w:hAnsiTheme="minorHAnsi"/>
          <w:i/>
          <w:kern w:val="36"/>
          <w:sz w:val="20"/>
        </w:rPr>
        <w:t>stavební úpravy</w:t>
      </w:r>
      <w:r>
        <w:rPr>
          <w:rFonts w:asciiTheme="minorHAnsi" w:hAnsiTheme="minorHAnsi"/>
          <w:kern w:val="36"/>
          <w:sz w:val="20"/>
        </w:rPr>
        <w:t>)</w:t>
      </w:r>
      <w:r w:rsidRPr="002E6A06">
        <w:rPr>
          <w:rFonts w:asciiTheme="minorHAnsi" w:hAnsiTheme="minorHAnsi"/>
          <w:kern w:val="36"/>
          <w:sz w:val="20"/>
        </w:rPr>
        <w:t xml:space="preserve"> z programu 114 110.</w:t>
      </w:r>
    </w:p>
  </w:footnote>
  <w:footnote w:id="21">
    <w:p w14:paraId="590CD64E" w14:textId="228A75EC" w:rsidR="00D626B0" w:rsidRPr="00502A41" w:rsidRDefault="00D626B0" w:rsidP="00E63D35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502A41">
        <w:rPr>
          <w:rStyle w:val="Znakapoznpodarou"/>
          <w:rFonts w:asciiTheme="minorHAnsi" w:hAnsiTheme="minorHAnsi"/>
        </w:rPr>
        <w:footnoteRef/>
      </w:r>
      <w:r w:rsidRPr="00502A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 xml:space="preserve">Podprogram </w:t>
      </w:r>
      <w:r w:rsidRPr="00502A41">
        <w:rPr>
          <w:rFonts w:asciiTheme="minorHAnsi" w:hAnsiTheme="minorHAnsi"/>
        </w:rPr>
        <w:t xml:space="preserve">114V124 </w:t>
      </w:r>
      <w:r>
        <w:rPr>
          <w:rFonts w:asciiTheme="minorHAnsi" w:hAnsiTheme="minorHAnsi"/>
        </w:rPr>
        <w:t xml:space="preserve">– </w:t>
      </w:r>
      <w:r w:rsidRPr="003D1368">
        <w:rPr>
          <w:rFonts w:asciiTheme="minorHAnsi" w:hAnsiTheme="minorHAnsi"/>
          <w:i/>
        </w:rPr>
        <w:t>Výdaje na udržování a opravy majetku Policie ČR</w:t>
      </w:r>
      <w:r>
        <w:rPr>
          <w:rFonts w:asciiTheme="minorHAnsi" w:hAnsiTheme="minorHAnsi"/>
        </w:rPr>
        <w:t xml:space="preserve"> a cíl „</w:t>
      </w:r>
      <w:r w:rsidRPr="003D1368">
        <w:rPr>
          <w:rFonts w:asciiTheme="minorHAnsi" w:hAnsiTheme="minorHAnsi"/>
          <w:i/>
        </w:rPr>
        <w:t>drobný dlouhodobý majetek</w:t>
      </w:r>
      <w:r w:rsidRPr="003D1368">
        <w:rPr>
          <w:rFonts w:asciiTheme="minorHAnsi" w:hAnsiTheme="minorHAnsi"/>
        </w:rPr>
        <w:t>“</w:t>
      </w:r>
      <w:r>
        <w:rPr>
          <w:rFonts w:asciiTheme="minorHAnsi" w:hAnsiTheme="minorHAnsi"/>
        </w:rPr>
        <w:t xml:space="preserve">. </w:t>
      </w:r>
    </w:p>
  </w:footnote>
  <w:footnote w:id="22">
    <w:p w14:paraId="5C864999" w14:textId="7E37A605" w:rsidR="00D626B0" w:rsidRPr="00B4266C" w:rsidRDefault="00D626B0" w:rsidP="00E63D35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E6A06">
        <w:rPr>
          <w:rStyle w:val="Znakapoznpodarou"/>
          <w:rFonts w:asciiTheme="minorHAnsi" w:hAnsiTheme="minorHAnsi"/>
          <w:sz w:val="20"/>
        </w:rPr>
        <w:footnoteRef/>
      </w:r>
      <w:r w:rsidRPr="002E6A0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r w:rsidRPr="002E6A06">
        <w:rPr>
          <w:rFonts w:asciiTheme="minorHAnsi" w:hAnsiTheme="minorHAnsi"/>
          <w:sz w:val="20"/>
        </w:rPr>
        <w:t>Zákon č. 501/2012 Sb., kterým se mění zákon č. 218/2000 Sb., o rozpočtových pravidlech a o změně některých souvisejících zákonů (rozpočtová pravidla), ve znění pozdějších předpisů, a některé další zákony.</w:t>
      </w:r>
    </w:p>
  </w:footnote>
  <w:footnote w:id="23">
    <w:p w14:paraId="26C25590" w14:textId="34DAA099" w:rsidR="00D626B0" w:rsidRPr="00D958CC" w:rsidRDefault="00D626B0" w:rsidP="00E63D35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958CC">
        <w:rPr>
          <w:rStyle w:val="Znakapoznpodarou"/>
          <w:rFonts w:asciiTheme="minorHAnsi" w:hAnsiTheme="minorHAnsi" w:cstheme="minorHAnsi"/>
          <w:color w:val="000000" w:themeColor="text1"/>
          <w:sz w:val="20"/>
          <w:szCs w:val="20"/>
        </w:rPr>
        <w:footnoteRef/>
      </w:r>
      <w:r w:rsidRPr="00D958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Opatření byla schválena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958CC">
        <w:rPr>
          <w:rFonts w:asciiTheme="minorHAnsi" w:hAnsiTheme="minorHAnsi" w:cstheme="minorHAnsi"/>
          <w:sz w:val="20"/>
          <w:szCs w:val="20"/>
        </w:rPr>
        <w:t>snesení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D958CC">
        <w:rPr>
          <w:rFonts w:asciiTheme="minorHAnsi" w:hAnsiTheme="minorHAnsi" w:cstheme="minorHAnsi"/>
          <w:sz w:val="20"/>
          <w:szCs w:val="20"/>
        </w:rPr>
        <w:t xml:space="preserve"> vlády České republiky ze dne 3. července 2006 č. 830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958CC">
        <w:rPr>
          <w:rFonts w:asciiTheme="minorHAnsi" w:hAnsiTheme="minorHAnsi" w:cstheme="minorHAnsi"/>
          <w:sz w:val="20"/>
          <w:szCs w:val="20"/>
        </w:rPr>
        <w:t xml:space="preserve"> </w:t>
      </w:r>
      <w:r w:rsidRPr="003D1368">
        <w:rPr>
          <w:rFonts w:asciiTheme="minorHAnsi" w:hAnsiTheme="minorHAnsi" w:cstheme="minorHAnsi"/>
          <w:i/>
          <w:sz w:val="20"/>
          <w:szCs w:val="20"/>
        </w:rPr>
        <w:t xml:space="preserve">ke Kontrolnímu závěru Nejvyššího kontrolního úřadu z kontrolní akce č. 05/21 </w:t>
      </w:r>
      <w:r w:rsidRPr="00F162B2">
        <w:rPr>
          <w:rFonts w:asciiTheme="minorHAnsi" w:hAnsiTheme="minorHAnsi" w:cstheme="minorHAnsi"/>
          <w:i/>
          <w:sz w:val="20"/>
          <w:szCs w:val="20"/>
        </w:rPr>
        <w:t>Hospodaření s majetkem státu a finančními prostředky určenými na leteckou techniku Policie České republiky</w:t>
      </w:r>
      <w:r w:rsidRPr="00D958CC">
        <w:rPr>
          <w:rFonts w:asciiTheme="minorHAnsi" w:hAnsiTheme="minorHAnsi" w:cstheme="minorHAnsi"/>
          <w:sz w:val="20"/>
          <w:szCs w:val="20"/>
        </w:rPr>
        <w:t>.</w:t>
      </w:r>
    </w:p>
  </w:footnote>
  <w:footnote w:id="24">
    <w:p w14:paraId="08594D22" w14:textId="424FDA75" w:rsidR="00D626B0" w:rsidRPr="00D958CC" w:rsidRDefault="00D626B0" w:rsidP="00E63D35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958CC">
        <w:rPr>
          <w:rStyle w:val="Znakapoznpodarou"/>
          <w:rFonts w:asciiTheme="minorHAnsi" w:hAnsiTheme="minorHAnsi" w:cstheme="minorHAnsi"/>
          <w:color w:val="000000" w:themeColor="text1"/>
          <w:sz w:val="20"/>
          <w:szCs w:val="20"/>
        </w:rPr>
        <w:footnoteRef/>
      </w:r>
      <w:r w:rsidRPr="00D958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Opatření byla schválena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958CC">
        <w:rPr>
          <w:rFonts w:asciiTheme="minorHAnsi" w:hAnsiTheme="minorHAnsi" w:cstheme="minorHAnsi"/>
          <w:sz w:val="20"/>
          <w:szCs w:val="20"/>
        </w:rPr>
        <w:t>snesení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D958CC">
        <w:rPr>
          <w:rFonts w:asciiTheme="minorHAnsi" w:hAnsiTheme="minorHAnsi" w:cstheme="minorHAnsi"/>
          <w:sz w:val="20"/>
          <w:szCs w:val="20"/>
        </w:rPr>
        <w:t xml:space="preserve"> vlády České republiky ze dne 4. července 2012 č. 490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958CC">
        <w:rPr>
          <w:rFonts w:asciiTheme="minorHAnsi" w:hAnsiTheme="minorHAnsi" w:cstheme="minorHAnsi"/>
          <w:sz w:val="20"/>
          <w:szCs w:val="20"/>
        </w:rPr>
        <w:t xml:space="preserve"> </w:t>
      </w:r>
      <w:r w:rsidRPr="003D1368">
        <w:rPr>
          <w:rFonts w:asciiTheme="minorHAnsi" w:hAnsiTheme="minorHAnsi" w:cstheme="minorHAnsi"/>
          <w:i/>
          <w:sz w:val="20"/>
          <w:szCs w:val="20"/>
        </w:rPr>
        <w:t xml:space="preserve">ke Kontrolnímu závěru Nejvyššího kontrolního úřadu z kontrolní akce č. 11/12 </w:t>
      </w:r>
      <w:r w:rsidRPr="00F162B2">
        <w:rPr>
          <w:rFonts w:asciiTheme="minorHAnsi" w:hAnsiTheme="minorHAnsi" w:cstheme="minorHAnsi"/>
          <w:i/>
          <w:sz w:val="20"/>
          <w:szCs w:val="20"/>
        </w:rPr>
        <w:t>Peněžní prostředky určené na rozvoj a obnovu materiálně technické základny Policie České republiky</w:t>
      </w:r>
      <w:r w:rsidRPr="00D958CC">
        <w:rPr>
          <w:rFonts w:asciiTheme="minorHAnsi" w:hAnsiTheme="minorHAnsi" w:cstheme="minorHAnsi"/>
          <w:i/>
          <w:sz w:val="20"/>
          <w:szCs w:val="20"/>
        </w:rPr>
        <w:t>.</w:t>
      </w:r>
    </w:p>
  </w:footnote>
  <w:footnote w:id="25">
    <w:p w14:paraId="64F0C054" w14:textId="3ADBECEA" w:rsidR="00D626B0" w:rsidRPr="00B4266C" w:rsidRDefault="00D626B0" w:rsidP="00E63D35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4266C">
        <w:rPr>
          <w:rStyle w:val="Znakapoznpodarou"/>
          <w:rFonts w:asciiTheme="minorHAnsi" w:hAnsiTheme="minorHAnsi" w:cstheme="minorHAnsi"/>
        </w:rPr>
        <w:footnoteRef/>
      </w:r>
      <w:r w:rsidRPr="00B426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B4266C">
        <w:rPr>
          <w:rFonts w:asciiTheme="minorHAnsi" w:hAnsiTheme="minorHAnsi" w:cstheme="minorHAnsi"/>
        </w:rPr>
        <w:t xml:space="preserve">Vyhláška č. 560/2006 Sb., o účasti státního rozpočtu na financování programů reprodukce majetku. </w:t>
      </w:r>
      <w:r w:rsidRPr="00B4266C">
        <w:rPr>
          <w:rFonts w:asciiTheme="minorHAnsi" w:hAnsiTheme="minorHAnsi" w:cstheme="minorHAnsi"/>
          <w:i/>
        </w:rPr>
        <w:t xml:space="preserve"> </w:t>
      </w:r>
    </w:p>
  </w:footnote>
  <w:footnote w:id="26">
    <w:p w14:paraId="030F5273" w14:textId="0C7CA248" w:rsidR="00D626B0" w:rsidRPr="00A515ED" w:rsidRDefault="00D626B0" w:rsidP="00E63D35">
      <w:pPr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714340">
        <w:rPr>
          <w:rStyle w:val="Znakapoznpodarou"/>
          <w:rFonts w:asciiTheme="minorHAnsi" w:hAnsiTheme="minorHAnsi"/>
          <w:sz w:val="20"/>
        </w:rPr>
        <w:footnoteRef/>
      </w:r>
      <w:r w:rsidRPr="00714340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r w:rsidRPr="00714340">
        <w:rPr>
          <w:rFonts w:asciiTheme="minorHAnsi" w:hAnsiTheme="minorHAnsi"/>
          <w:sz w:val="20"/>
        </w:rPr>
        <w:t xml:space="preserve">Obdobně u akce č. 114V123004062 byla kontrolou NKÚ zjištěna jednotková cena osobních automobilů pro dohled na rychlostních komunikacích ve výši 912,8 </w:t>
      </w:r>
      <w:r>
        <w:rPr>
          <w:rFonts w:asciiTheme="minorHAnsi" w:hAnsiTheme="minorHAnsi"/>
          <w:sz w:val="20"/>
        </w:rPr>
        <w:t>tis.</w:t>
      </w:r>
      <w:r w:rsidRPr="00714340">
        <w:rPr>
          <w:rFonts w:asciiTheme="minorHAnsi" w:hAnsiTheme="minorHAnsi"/>
          <w:sz w:val="20"/>
        </w:rPr>
        <w:t xml:space="preserve"> Kč, ačkoliv pro </w:t>
      </w:r>
      <w:r w:rsidRPr="00453729">
        <w:rPr>
          <w:rFonts w:asciiTheme="minorHAnsi" w:hAnsiTheme="minorHAnsi"/>
          <w:sz w:val="20"/>
        </w:rPr>
        <w:t>služební dopravní prostředky</w:t>
      </w:r>
      <w:r w:rsidRPr="00714340">
        <w:rPr>
          <w:rFonts w:asciiTheme="minorHAnsi" w:hAnsiTheme="minorHAnsi"/>
          <w:sz w:val="20"/>
        </w:rPr>
        <w:t xml:space="preserve"> osobní </w:t>
      </w:r>
      <w:r>
        <w:rPr>
          <w:rFonts w:asciiTheme="minorHAnsi" w:hAnsiTheme="minorHAnsi"/>
          <w:sz w:val="20"/>
        </w:rPr>
        <w:t>činí</w:t>
      </w:r>
      <w:r w:rsidRPr="00714340">
        <w:rPr>
          <w:rFonts w:asciiTheme="minorHAnsi" w:hAnsiTheme="minorHAnsi"/>
          <w:sz w:val="20"/>
        </w:rPr>
        <w:t xml:space="preserve"> dle </w:t>
      </w:r>
      <w:r w:rsidRPr="00EB694F">
        <w:rPr>
          <w:rFonts w:asciiTheme="minorHAnsi" w:hAnsiTheme="minorHAnsi"/>
          <w:sz w:val="20"/>
        </w:rPr>
        <w:t xml:space="preserve">dokumentace programu </w:t>
      </w:r>
      <w:r w:rsidRPr="00714340">
        <w:rPr>
          <w:rFonts w:asciiTheme="minorHAnsi" w:hAnsiTheme="minorHAnsi"/>
          <w:sz w:val="20"/>
        </w:rPr>
        <w:t xml:space="preserve">114 120 jednotková cena 556,0 </w:t>
      </w:r>
      <w:r>
        <w:rPr>
          <w:rFonts w:asciiTheme="minorHAnsi" w:hAnsiTheme="minorHAnsi"/>
          <w:sz w:val="20"/>
        </w:rPr>
        <w:t xml:space="preserve">tis. </w:t>
      </w:r>
      <w:r w:rsidRPr="00714340">
        <w:rPr>
          <w:rFonts w:asciiTheme="minorHAnsi" w:hAnsiTheme="minorHAnsi"/>
          <w:sz w:val="20"/>
        </w:rPr>
        <w:t>Kč.</w:t>
      </w:r>
      <w:r w:rsidRPr="00A515ED">
        <w:rPr>
          <w:rFonts w:asciiTheme="minorHAnsi" w:hAnsiTheme="minorHAnsi"/>
          <w:sz w:val="18"/>
          <w:szCs w:val="18"/>
        </w:rPr>
        <w:t xml:space="preserve"> </w:t>
      </w:r>
    </w:p>
  </w:footnote>
  <w:footnote w:id="27">
    <w:p w14:paraId="7DDAC9E2" w14:textId="311A8DC3" w:rsidR="00D626B0" w:rsidRPr="0062657F" w:rsidRDefault="00D626B0" w:rsidP="00E63D35">
      <w:pPr>
        <w:ind w:left="284" w:hanging="284"/>
        <w:jc w:val="both"/>
        <w:rPr>
          <w:rFonts w:asciiTheme="minorHAnsi" w:hAnsiTheme="minorHAnsi"/>
          <w:sz w:val="20"/>
        </w:rPr>
      </w:pPr>
      <w:r w:rsidRPr="0062657F">
        <w:rPr>
          <w:rStyle w:val="Znakapoznpodarou"/>
          <w:rFonts w:asciiTheme="minorHAnsi" w:hAnsiTheme="minorHAnsi"/>
          <w:sz w:val="20"/>
        </w:rPr>
        <w:footnoteRef/>
      </w:r>
      <w:r w:rsidRPr="0062657F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r w:rsidRPr="0062657F">
        <w:rPr>
          <w:rFonts w:asciiTheme="minorHAnsi" w:hAnsiTheme="minorHAnsi"/>
          <w:sz w:val="20"/>
        </w:rPr>
        <w:t>Např. akce č. 114V123005070, 114V123005071</w:t>
      </w:r>
      <w:r w:rsidRPr="0062657F">
        <w:rPr>
          <w:rFonts w:asciiTheme="minorHAnsi" w:hAnsiTheme="minorHAnsi"/>
          <w:i/>
          <w:sz w:val="20"/>
        </w:rPr>
        <w:t>,</w:t>
      </w:r>
      <w:r w:rsidRPr="0062657F">
        <w:rPr>
          <w:rFonts w:asciiTheme="minorHAnsi" w:hAnsiTheme="minorHAnsi"/>
          <w:sz w:val="20"/>
        </w:rPr>
        <w:t xml:space="preserve"> 114V123005103 a 114V123005104. </w:t>
      </w:r>
    </w:p>
  </w:footnote>
  <w:footnote w:id="28">
    <w:p w14:paraId="4D7FE794" w14:textId="2ADA1E33" w:rsidR="00D626B0" w:rsidRPr="00F37C4A" w:rsidRDefault="00D626B0" w:rsidP="00E63D35">
      <w:pPr>
        <w:ind w:left="284" w:hanging="284"/>
        <w:jc w:val="both"/>
        <w:rPr>
          <w:sz w:val="18"/>
          <w:szCs w:val="18"/>
        </w:rPr>
      </w:pPr>
      <w:r w:rsidRPr="00E2444F">
        <w:rPr>
          <w:rStyle w:val="Znakapoznpodarou"/>
          <w:rFonts w:asciiTheme="minorHAnsi" w:hAnsiTheme="minorHAnsi"/>
          <w:sz w:val="20"/>
        </w:rPr>
        <w:footnoteRef/>
      </w:r>
      <w:r w:rsidRPr="00E2444F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r w:rsidRPr="00E2444F">
        <w:rPr>
          <w:rFonts w:asciiTheme="minorHAnsi" w:hAnsiTheme="minorHAnsi"/>
          <w:sz w:val="20"/>
        </w:rPr>
        <w:t>V Koncepci je k tomu mj. uvedeno: „</w:t>
      </w:r>
      <w:r w:rsidRPr="00E2444F">
        <w:rPr>
          <w:rFonts w:asciiTheme="minorHAnsi" w:hAnsiTheme="minorHAnsi"/>
          <w:i/>
          <w:sz w:val="20"/>
        </w:rPr>
        <w:t>Změna struktury ekonomického zajištění policie na jednu organizační složku státu je předmětem analýzy a jednání jak v rámci policie, tak v rámci MV. Změna by měla pozitivní dopad na řídící a ekonomické procesy, ale není zřejmé, zda by vedla k okamžité úspoře rozpočtových prostředků.</w:t>
      </w:r>
      <w:r w:rsidRPr="00E2444F">
        <w:rPr>
          <w:rFonts w:asciiTheme="minorHAnsi" w:hAnsiTheme="minorHAnsi"/>
          <w:sz w:val="20"/>
        </w:rP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63D"/>
    <w:multiLevelType w:val="hybridMultilevel"/>
    <w:tmpl w:val="E1646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468B"/>
    <w:multiLevelType w:val="hybridMultilevel"/>
    <w:tmpl w:val="4F2EE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29CA"/>
    <w:multiLevelType w:val="hybridMultilevel"/>
    <w:tmpl w:val="AD94A1D4"/>
    <w:lvl w:ilvl="0" w:tplc="60DEB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0E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CF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0C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89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60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2E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42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629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3D48"/>
    <w:multiLevelType w:val="hybridMultilevel"/>
    <w:tmpl w:val="8B6E6EB2"/>
    <w:lvl w:ilvl="0" w:tplc="FB64C8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5AC1B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76CA75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998062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830D15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BA4AB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D266F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3FC930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A50C38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CB09B1"/>
    <w:multiLevelType w:val="hybridMultilevel"/>
    <w:tmpl w:val="144E5BFA"/>
    <w:lvl w:ilvl="0" w:tplc="F1F04D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B6F80"/>
    <w:multiLevelType w:val="hybridMultilevel"/>
    <w:tmpl w:val="8E6AF3F2"/>
    <w:lvl w:ilvl="0" w:tplc="5172F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4C1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CED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EB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AC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6E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C8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1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2C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61B64"/>
    <w:multiLevelType w:val="hybridMultilevel"/>
    <w:tmpl w:val="1C4AC11C"/>
    <w:lvl w:ilvl="0" w:tplc="6504B1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AA6B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A8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E1C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C2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A9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44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25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DE0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24895"/>
    <w:multiLevelType w:val="hybridMultilevel"/>
    <w:tmpl w:val="F4B20A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2234A"/>
    <w:multiLevelType w:val="hybridMultilevel"/>
    <w:tmpl w:val="10783578"/>
    <w:lvl w:ilvl="0" w:tplc="F9C4703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2747A"/>
    <w:multiLevelType w:val="hybridMultilevel"/>
    <w:tmpl w:val="DFB6DEB4"/>
    <w:lvl w:ilvl="0" w:tplc="E1704B0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80F26"/>
    <w:multiLevelType w:val="hybridMultilevel"/>
    <w:tmpl w:val="A17816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C1CE0"/>
    <w:multiLevelType w:val="hybridMultilevel"/>
    <w:tmpl w:val="D752F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62391"/>
    <w:multiLevelType w:val="hybridMultilevel"/>
    <w:tmpl w:val="B6CC2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C128C"/>
    <w:multiLevelType w:val="hybridMultilevel"/>
    <w:tmpl w:val="746A9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02ADB"/>
    <w:multiLevelType w:val="hybridMultilevel"/>
    <w:tmpl w:val="6F847D48"/>
    <w:lvl w:ilvl="0" w:tplc="D5DE592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E21A9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27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E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20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34F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C7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42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A3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DA1"/>
    <w:multiLevelType w:val="hybridMultilevel"/>
    <w:tmpl w:val="730062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405ABF"/>
    <w:multiLevelType w:val="hybridMultilevel"/>
    <w:tmpl w:val="567A1E6E"/>
    <w:lvl w:ilvl="0" w:tplc="5066F0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8EE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0E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E6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09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34C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A7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1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4C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A5150"/>
    <w:multiLevelType w:val="hybridMultilevel"/>
    <w:tmpl w:val="406AAAF6"/>
    <w:lvl w:ilvl="0" w:tplc="EF22A1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4CC63F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46ABA3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E164D2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4F4D32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A52300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F4E13A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E3E0D5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5CC30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0F4665"/>
    <w:multiLevelType w:val="hybridMultilevel"/>
    <w:tmpl w:val="EAA67446"/>
    <w:lvl w:ilvl="0" w:tplc="42B20A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6A6089"/>
    <w:multiLevelType w:val="hybridMultilevel"/>
    <w:tmpl w:val="4BA68256"/>
    <w:lvl w:ilvl="0" w:tplc="372033B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3F54F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60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0B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EF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81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43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82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724DC"/>
    <w:multiLevelType w:val="hybridMultilevel"/>
    <w:tmpl w:val="A252D4E6"/>
    <w:lvl w:ilvl="0" w:tplc="386C0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46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C0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23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88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2D6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84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F4B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92967"/>
    <w:multiLevelType w:val="hybridMultilevel"/>
    <w:tmpl w:val="341EDF54"/>
    <w:lvl w:ilvl="0" w:tplc="6E369D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EA6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AF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65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E9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DE05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C0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03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4D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D3CD1"/>
    <w:multiLevelType w:val="hybridMultilevel"/>
    <w:tmpl w:val="BCA6BA32"/>
    <w:lvl w:ilvl="0" w:tplc="D3501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4C0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67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23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8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F6E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01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AA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6EC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92AC7"/>
    <w:multiLevelType w:val="hybridMultilevel"/>
    <w:tmpl w:val="907E9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C5ECB"/>
    <w:multiLevelType w:val="hybridMultilevel"/>
    <w:tmpl w:val="C2667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87DE4"/>
    <w:multiLevelType w:val="hybridMultilevel"/>
    <w:tmpl w:val="E0F0F4E6"/>
    <w:lvl w:ilvl="0" w:tplc="3EE091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DD8D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E6F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AF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A3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B03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08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05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43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E2D4E"/>
    <w:multiLevelType w:val="hybridMultilevel"/>
    <w:tmpl w:val="9ACE4D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7"/>
  </w:num>
  <w:num w:numId="5">
    <w:abstractNumId w:val="22"/>
  </w:num>
  <w:num w:numId="6">
    <w:abstractNumId w:val="6"/>
  </w:num>
  <w:num w:numId="7">
    <w:abstractNumId w:val="21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25"/>
  </w:num>
  <w:num w:numId="13">
    <w:abstractNumId w:val="16"/>
  </w:num>
  <w:num w:numId="14">
    <w:abstractNumId w:val="14"/>
  </w:num>
  <w:num w:numId="15">
    <w:abstractNumId w:val="19"/>
  </w:num>
  <w:num w:numId="16">
    <w:abstractNumId w:val="0"/>
  </w:num>
  <w:num w:numId="17">
    <w:abstractNumId w:val="23"/>
  </w:num>
  <w:num w:numId="18">
    <w:abstractNumId w:val="18"/>
  </w:num>
  <w:num w:numId="19">
    <w:abstractNumId w:val="11"/>
  </w:num>
  <w:num w:numId="20">
    <w:abstractNumId w:val="15"/>
  </w:num>
  <w:num w:numId="21">
    <w:abstractNumId w:val="24"/>
  </w:num>
  <w:num w:numId="22">
    <w:abstractNumId w:val="10"/>
  </w:num>
  <w:num w:numId="23">
    <w:abstractNumId w:val="13"/>
  </w:num>
  <w:num w:numId="24">
    <w:abstractNumId w:val="26"/>
  </w:num>
  <w:num w:numId="25">
    <w:abstractNumId w:val="12"/>
  </w:num>
  <w:num w:numId="26">
    <w:abstractNumId w:val="7"/>
  </w:num>
  <w:num w:numId="2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63"/>
    <w:rsid w:val="00000192"/>
    <w:rsid w:val="00000932"/>
    <w:rsid w:val="00002A51"/>
    <w:rsid w:val="00004A85"/>
    <w:rsid w:val="00006515"/>
    <w:rsid w:val="000075DC"/>
    <w:rsid w:val="00010B18"/>
    <w:rsid w:val="00010C87"/>
    <w:rsid w:val="0001660A"/>
    <w:rsid w:val="00016AA8"/>
    <w:rsid w:val="00020301"/>
    <w:rsid w:val="00021601"/>
    <w:rsid w:val="00021B61"/>
    <w:rsid w:val="00022AB8"/>
    <w:rsid w:val="000255C9"/>
    <w:rsid w:val="00032A2F"/>
    <w:rsid w:val="0003342C"/>
    <w:rsid w:val="00036E98"/>
    <w:rsid w:val="00037A77"/>
    <w:rsid w:val="0004078C"/>
    <w:rsid w:val="00040808"/>
    <w:rsid w:val="00042E50"/>
    <w:rsid w:val="00044858"/>
    <w:rsid w:val="00046EFE"/>
    <w:rsid w:val="0005054A"/>
    <w:rsid w:val="00050723"/>
    <w:rsid w:val="0005371B"/>
    <w:rsid w:val="000540FC"/>
    <w:rsid w:val="00057447"/>
    <w:rsid w:val="00061C4B"/>
    <w:rsid w:val="0006438D"/>
    <w:rsid w:val="00064945"/>
    <w:rsid w:val="000658D1"/>
    <w:rsid w:val="00066240"/>
    <w:rsid w:val="00067DDE"/>
    <w:rsid w:val="00070A17"/>
    <w:rsid w:val="0007227E"/>
    <w:rsid w:val="00072511"/>
    <w:rsid w:val="000739AF"/>
    <w:rsid w:val="00073DB3"/>
    <w:rsid w:val="000752E1"/>
    <w:rsid w:val="000802AE"/>
    <w:rsid w:val="00083DBA"/>
    <w:rsid w:val="00092CE3"/>
    <w:rsid w:val="00095594"/>
    <w:rsid w:val="00097F4E"/>
    <w:rsid w:val="000A0884"/>
    <w:rsid w:val="000A35D1"/>
    <w:rsid w:val="000A5351"/>
    <w:rsid w:val="000A56F7"/>
    <w:rsid w:val="000B3F77"/>
    <w:rsid w:val="000B4E5B"/>
    <w:rsid w:val="000B4F18"/>
    <w:rsid w:val="000B7723"/>
    <w:rsid w:val="000D20AF"/>
    <w:rsid w:val="000E2A5C"/>
    <w:rsid w:val="000E3A95"/>
    <w:rsid w:val="000F0799"/>
    <w:rsid w:val="000F0D5B"/>
    <w:rsid w:val="000F1E6C"/>
    <w:rsid w:val="000F329C"/>
    <w:rsid w:val="000F54EC"/>
    <w:rsid w:val="000F6789"/>
    <w:rsid w:val="00101E07"/>
    <w:rsid w:val="001038D3"/>
    <w:rsid w:val="0010397D"/>
    <w:rsid w:val="001043C9"/>
    <w:rsid w:val="001067DC"/>
    <w:rsid w:val="00106F23"/>
    <w:rsid w:val="00110C30"/>
    <w:rsid w:val="00111226"/>
    <w:rsid w:val="00112DA8"/>
    <w:rsid w:val="00113D9D"/>
    <w:rsid w:val="0011658E"/>
    <w:rsid w:val="00125D95"/>
    <w:rsid w:val="001325A2"/>
    <w:rsid w:val="00132D38"/>
    <w:rsid w:val="0013353D"/>
    <w:rsid w:val="00135676"/>
    <w:rsid w:val="0013651C"/>
    <w:rsid w:val="00137947"/>
    <w:rsid w:val="00141293"/>
    <w:rsid w:val="00141496"/>
    <w:rsid w:val="001425FD"/>
    <w:rsid w:val="0014296D"/>
    <w:rsid w:val="00143408"/>
    <w:rsid w:val="00143C0C"/>
    <w:rsid w:val="00144E33"/>
    <w:rsid w:val="00150034"/>
    <w:rsid w:val="00152F09"/>
    <w:rsid w:val="0015305D"/>
    <w:rsid w:val="00153F11"/>
    <w:rsid w:val="001549EA"/>
    <w:rsid w:val="00154BD0"/>
    <w:rsid w:val="001554E2"/>
    <w:rsid w:val="00156C53"/>
    <w:rsid w:val="00157D5D"/>
    <w:rsid w:val="00160CDC"/>
    <w:rsid w:val="0016112D"/>
    <w:rsid w:val="001638D7"/>
    <w:rsid w:val="001645FE"/>
    <w:rsid w:val="00164EA0"/>
    <w:rsid w:val="00171F47"/>
    <w:rsid w:val="001813D2"/>
    <w:rsid w:val="0018148A"/>
    <w:rsid w:val="00182270"/>
    <w:rsid w:val="00185D85"/>
    <w:rsid w:val="0018649B"/>
    <w:rsid w:val="00195563"/>
    <w:rsid w:val="00196CB7"/>
    <w:rsid w:val="00197BBE"/>
    <w:rsid w:val="001A1844"/>
    <w:rsid w:val="001A44AD"/>
    <w:rsid w:val="001A470F"/>
    <w:rsid w:val="001A6F98"/>
    <w:rsid w:val="001A6FD8"/>
    <w:rsid w:val="001B0011"/>
    <w:rsid w:val="001B1184"/>
    <w:rsid w:val="001B1CCF"/>
    <w:rsid w:val="001B66D7"/>
    <w:rsid w:val="001C4520"/>
    <w:rsid w:val="001C4F93"/>
    <w:rsid w:val="001C6019"/>
    <w:rsid w:val="001C6636"/>
    <w:rsid w:val="001C7CFA"/>
    <w:rsid w:val="001D5841"/>
    <w:rsid w:val="001D65E2"/>
    <w:rsid w:val="001E0975"/>
    <w:rsid w:val="001E09C2"/>
    <w:rsid w:val="001E0FB2"/>
    <w:rsid w:val="001E1AC2"/>
    <w:rsid w:val="001E1F9A"/>
    <w:rsid w:val="001E1FC5"/>
    <w:rsid w:val="001E28B7"/>
    <w:rsid w:val="001E4D47"/>
    <w:rsid w:val="001E5C1D"/>
    <w:rsid w:val="001E7763"/>
    <w:rsid w:val="001F27F0"/>
    <w:rsid w:val="001F46DC"/>
    <w:rsid w:val="001F48ED"/>
    <w:rsid w:val="001F4A2E"/>
    <w:rsid w:val="001F4DE1"/>
    <w:rsid w:val="001F7210"/>
    <w:rsid w:val="002003AA"/>
    <w:rsid w:val="0020068C"/>
    <w:rsid w:val="00201BEB"/>
    <w:rsid w:val="0020490C"/>
    <w:rsid w:val="00206AAE"/>
    <w:rsid w:val="0021516C"/>
    <w:rsid w:val="002250BB"/>
    <w:rsid w:val="00243C07"/>
    <w:rsid w:val="00243FE4"/>
    <w:rsid w:val="00245856"/>
    <w:rsid w:val="0024600F"/>
    <w:rsid w:val="00252CA2"/>
    <w:rsid w:val="002533F8"/>
    <w:rsid w:val="00260FE7"/>
    <w:rsid w:val="002616C5"/>
    <w:rsid w:val="00264646"/>
    <w:rsid w:val="00266941"/>
    <w:rsid w:val="00275E07"/>
    <w:rsid w:val="00276D65"/>
    <w:rsid w:val="00277615"/>
    <w:rsid w:val="00277FA4"/>
    <w:rsid w:val="00280592"/>
    <w:rsid w:val="00280863"/>
    <w:rsid w:val="00283146"/>
    <w:rsid w:val="00284FEC"/>
    <w:rsid w:val="00292C76"/>
    <w:rsid w:val="002970D3"/>
    <w:rsid w:val="002978CB"/>
    <w:rsid w:val="002A07D6"/>
    <w:rsid w:val="002A1785"/>
    <w:rsid w:val="002A233C"/>
    <w:rsid w:val="002A29F6"/>
    <w:rsid w:val="002A318B"/>
    <w:rsid w:val="002A37B6"/>
    <w:rsid w:val="002A6714"/>
    <w:rsid w:val="002A68FA"/>
    <w:rsid w:val="002A7AA5"/>
    <w:rsid w:val="002B2C66"/>
    <w:rsid w:val="002B2EE7"/>
    <w:rsid w:val="002B44FE"/>
    <w:rsid w:val="002B5BB7"/>
    <w:rsid w:val="002B7A89"/>
    <w:rsid w:val="002C0C75"/>
    <w:rsid w:val="002C0D33"/>
    <w:rsid w:val="002C1D07"/>
    <w:rsid w:val="002C1DB8"/>
    <w:rsid w:val="002C25D9"/>
    <w:rsid w:val="002C345C"/>
    <w:rsid w:val="002C4DDA"/>
    <w:rsid w:val="002C6FC2"/>
    <w:rsid w:val="002D1457"/>
    <w:rsid w:val="002D1B32"/>
    <w:rsid w:val="002D3136"/>
    <w:rsid w:val="002D40AC"/>
    <w:rsid w:val="002D41E9"/>
    <w:rsid w:val="002D578C"/>
    <w:rsid w:val="002D5DA9"/>
    <w:rsid w:val="002E046A"/>
    <w:rsid w:val="002E1D2E"/>
    <w:rsid w:val="002E6450"/>
    <w:rsid w:val="002E691C"/>
    <w:rsid w:val="002E6A06"/>
    <w:rsid w:val="002F3C93"/>
    <w:rsid w:val="002F47B8"/>
    <w:rsid w:val="002F573B"/>
    <w:rsid w:val="002F7495"/>
    <w:rsid w:val="00302120"/>
    <w:rsid w:val="00302601"/>
    <w:rsid w:val="00306D30"/>
    <w:rsid w:val="00310EED"/>
    <w:rsid w:val="00311705"/>
    <w:rsid w:val="00312836"/>
    <w:rsid w:val="00313199"/>
    <w:rsid w:val="00314B4A"/>
    <w:rsid w:val="003153EB"/>
    <w:rsid w:val="00316C7A"/>
    <w:rsid w:val="003202FF"/>
    <w:rsid w:val="00320EE0"/>
    <w:rsid w:val="00323B15"/>
    <w:rsid w:val="003265B0"/>
    <w:rsid w:val="00331690"/>
    <w:rsid w:val="00333E99"/>
    <w:rsid w:val="0033626F"/>
    <w:rsid w:val="003378D0"/>
    <w:rsid w:val="003400FC"/>
    <w:rsid w:val="00340EBC"/>
    <w:rsid w:val="00341096"/>
    <w:rsid w:val="003417B6"/>
    <w:rsid w:val="00343320"/>
    <w:rsid w:val="00343563"/>
    <w:rsid w:val="0034379D"/>
    <w:rsid w:val="003507D2"/>
    <w:rsid w:val="00352836"/>
    <w:rsid w:val="00353783"/>
    <w:rsid w:val="00354107"/>
    <w:rsid w:val="0035485C"/>
    <w:rsid w:val="00354DC9"/>
    <w:rsid w:val="00355767"/>
    <w:rsid w:val="00363ECA"/>
    <w:rsid w:val="00364B62"/>
    <w:rsid w:val="00365168"/>
    <w:rsid w:val="003723DB"/>
    <w:rsid w:val="0037342C"/>
    <w:rsid w:val="00373766"/>
    <w:rsid w:val="0037641D"/>
    <w:rsid w:val="0037666A"/>
    <w:rsid w:val="00376A1A"/>
    <w:rsid w:val="00376A68"/>
    <w:rsid w:val="00376C33"/>
    <w:rsid w:val="00382352"/>
    <w:rsid w:val="0038275B"/>
    <w:rsid w:val="00383329"/>
    <w:rsid w:val="00383ED6"/>
    <w:rsid w:val="00387471"/>
    <w:rsid w:val="003874F0"/>
    <w:rsid w:val="00391B51"/>
    <w:rsid w:val="00393D50"/>
    <w:rsid w:val="00394AAC"/>
    <w:rsid w:val="003978AF"/>
    <w:rsid w:val="003A2709"/>
    <w:rsid w:val="003A3CBD"/>
    <w:rsid w:val="003A5076"/>
    <w:rsid w:val="003A7B37"/>
    <w:rsid w:val="003B2435"/>
    <w:rsid w:val="003B40E2"/>
    <w:rsid w:val="003B62C4"/>
    <w:rsid w:val="003C0503"/>
    <w:rsid w:val="003C2281"/>
    <w:rsid w:val="003C3B31"/>
    <w:rsid w:val="003C49FA"/>
    <w:rsid w:val="003D1368"/>
    <w:rsid w:val="003D41C0"/>
    <w:rsid w:val="003D79EB"/>
    <w:rsid w:val="003E2E16"/>
    <w:rsid w:val="003E310B"/>
    <w:rsid w:val="003E5EB2"/>
    <w:rsid w:val="003F3299"/>
    <w:rsid w:val="003F3908"/>
    <w:rsid w:val="003F4704"/>
    <w:rsid w:val="003F5C5C"/>
    <w:rsid w:val="003F5E0A"/>
    <w:rsid w:val="003F758F"/>
    <w:rsid w:val="003F7ED4"/>
    <w:rsid w:val="00400024"/>
    <w:rsid w:val="004024CF"/>
    <w:rsid w:val="00402B02"/>
    <w:rsid w:val="00403916"/>
    <w:rsid w:val="00404A8A"/>
    <w:rsid w:val="0040546F"/>
    <w:rsid w:val="00405755"/>
    <w:rsid w:val="00410046"/>
    <w:rsid w:val="0041100F"/>
    <w:rsid w:val="004114D8"/>
    <w:rsid w:val="00413353"/>
    <w:rsid w:val="00416C50"/>
    <w:rsid w:val="004177C0"/>
    <w:rsid w:val="00417BC8"/>
    <w:rsid w:val="00420A2A"/>
    <w:rsid w:val="004236D4"/>
    <w:rsid w:val="00425712"/>
    <w:rsid w:val="00426A01"/>
    <w:rsid w:val="00433FD7"/>
    <w:rsid w:val="0043439D"/>
    <w:rsid w:val="00434C3E"/>
    <w:rsid w:val="00440DCE"/>
    <w:rsid w:val="004423DA"/>
    <w:rsid w:val="00442772"/>
    <w:rsid w:val="00442A6D"/>
    <w:rsid w:val="00442C09"/>
    <w:rsid w:val="00444793"/>
    <w:rsid w:val="00446E19"/>
    <w:rsid w:val="00450483"/>
    <w:rsid w:val="004516EC"/>
    <w:rsid w:val="00453729"/>
    <w:rsid w:val="004548DC"/>
    <w:rsid w:val="00457E96"/>
    <w:rsid w:val="00462F78"/>
    <w:rsid w:val="00464892"/>
    <w:rsid w:val="00467AAF"/>
    <w:rsid w:val="004705E5"/>
    <w:rsid w:val="004727DB"/>
    <w:rsid w:val="00474851"/>
    <w:rsid w:val="0047496C"/>
    <w:rsid w:val="0047789B"/>
    <w:rsid w:val="0048548F"/>
    <w:rsid w:val="00492BE3"/>
    <w:rsid w:val="00493109"/>
    <w:rsid w:val="004A05A2"/>
    <w:rsid w:val="004A16AE"/>
    <w:rsid w:val="004A3F76"/>
    <w:rsid w:val="004A5C5A"/>
    <w:rsid w:val="004A6D4E"/>
    <w:rsid w:val="004B1773"/>
    <w:rsid w:val="004B4FC0"/>
    <w:rsid w:val="004B5E7F"/>
    <w:rsid w:val="004C0454"/>
    <w:rsid w:val="004C1394"/>
    <w:rsid w:val="004C1AD1"/>
    <w:rsid w:val="004C5F90"/>
    <w:rsid w:val="004C78E7"/>
    <w:rsid w:val="004C7DAE"/>
    <w:rsid w:val="004D40CF"/>
    <w:rsid w:val="004E134C"/>
    <w:rsid w:val="004E31D6"/>
    <w:rsid w:val="004E415C"/>
    <w:rsid w:val="004E790E"/>
    <w:rsid w:val="004F0757"/>
    <w:rsid w:val="004F42D1"/>
    <w:rsid w:val="004F5A4E"/>
    <w:rsid w:val="004F6312"/>
    <w:rsid w:val="004F631B"/>
    <w:rsid w:val="00500162"/>
    <w:rsid w:val="005025BA"/>
    <w:rsid w:val="00502A41"/>
    <w:rsid w:val="00510194"/>
    <w:rsid w:val="00512467"/>
    <w:rsid w:val="0051606F"/>
    <w:rsid w:val="00517AF2"/>
    <w:rsid w:val="0052675E"/>
    <w:rsid w:val="005274EB"/>
    <w:rsid w:val="005370F4"/>
    <w:rsid w:val="00542313"/>
    <w:rsid w:val="00543057"/>
    <w:rsid w:val="005453FA"/>
    <w:rsid w:val="00546D79"/>
    <w:rsid w:val="00550FC6"/>
    <w:rsid w:val="0055243C"/>
    <w:rsid w:val="005532C1"/>
    <w:rsid w:val="005541D6"/>
    <w:rsid w:val="00562545"/>
    <w:rsid w:val="0056265E"/>
    <w:rsid w:val="00564A2C"/>
    <w:rsid w:val="00565674"/>
    <w:rsid w:val="005673C1"/>
    <w:rsid w:val="0057129E"/>
    <w:rsid w:val="00571462"/>
    <w:rsid w:val="00571766"/>
    <w:rsid w:val="005740C8"/>
    <w:rsid w:val="005811CB"/>
    <w:rsid w:val="00582504"/>
    <w:rsid w:val="0058478B"/>
    <w:rsid w:val="00585270"/>
    <w:rsid w:val="00586DA1"/>
    <w:rsid w:val="00591C87"/>
    <w:rsid w:val="005920F2"/>
    <w:rsid w:val="00593172"/>
    <w:rsid w:val="005A1904"/>
    <w:rsid w:val="005A1D42"/>
    <w:rsid w:val="005A1EFC"/>
    <w:rsid w:val="005A4171"/>
    <w:rsid w:val="005B1A88"/>
    <w:rsid w:val="005B3C75"/>
    <w:rsid w:val="005B3DFE"/>
    <w:rsid w:val="005C207E"/>
    <w:rsid w:val="005C2AD4"/>
    <w:rsid w:val="005C4598"/>
    <w:rsid w:val="005C48F9"/>
    <w:rsid w:val="005C4DD4"/>
    <w:rsid w:val="005C791F"/>
    <w:rsid w:val="005C7CF2"/>
    <w:rsid w:val="005D11D4"/>
    <w:rsid w:val="005D19AC"/>
    <w:rsid w:val="005D314D"/>
    <w:rsid w:val="005D5060"/>
    <w:rsid w:val="005D541D"/>
    <w:rsid w:val="005E3AB9"/>
    <w:rsid w:val="005E63E6"/>
    <w:rsid w:val="005F46B4"/>
    <w:rsid w:val="005F4D1B"/>
    <w:rsid w:val="005F5932"/>
    <w:rsid w:val="005F7C8B"/>
    <w:rsid w:val="00601D85"/>
    <w:rsid w:val="00603F0B"/>
    <w:rsid w:val="00605290"/>
    <w:rsid w:val="006117BB"/>
    <w:rsid w:val="00613335"/>
    <w:rsid w:val="00613C61"/>
    <w:rsid w:val="00614B68"/>
    <w:rsid w:val="0061653C"/>
    <w:rsid w:val="00616CC9"/>
    <w:rsid w:val="00617A30"/>
    <w:rsid w:val="0062006C"/>
    <w:rsid w:val="00620451"/>
    <w:rsid w:val="006206C4"/>
    <w:rsid w:val="00623020"/>
    <w:rsid w:val="006236F3"/>
    <w:rsid w:val="00624D5A"/>
    <w:rsid w:val="00625C93"/>
    <w:rsid w:val="0062657F"/>
    <w:rsid w:val="006270D5"/>
    <w:rsid w:val="006276D8"/>
    <w:rsid w:val="006278D2"/>
    <w:rsid w:val="00627960"/>
    <w:rsid w:val="00631197"/>
    <w:rsid w:val="00631ABE"/>
    <w:rsid w:val="006346FD"/>
    <w:rsid w:val="00634CA6"/>
    <w:rsid w:val="00642B5A"/>
    <w:rsid w:val="00643176"/>
    <w:rsid w:val="0064321D"/>
    <w:rsid w:val="006439DB"/>
    <w:rsid w:val="006474F4"/>
    <w:rsid w:val="00651A28"/>
    <w:rsid w:val="00654A64"/>
    <w:rsid w:val="00655F63"/>
    <w:rsid w:val="00660AAB"/>
    <w:rsid w:val="00662429"/>
    <w:rsid w:val="00663AFE"/>
    <w:rsid w:val="0066452A"/>
    <w:rsid w:val="00664BD9"/>
    <w:rsid w:val="006655A8"/>
    <w:rsid w:val="006661A4"/>
    <w:rsid w:val="00670891"/>
    <w:rsid w:val="00671D4B"/>
    <w:rsid w:val="006733FD"/>
    <w:rsid w:val="006738AD"/>
    <w:rsid w:val="00674B74"/>
    <w:rsid w:val="00676C2B"/>
    <w:rsid w:val="00676C7A"/>
    <w:rsid w:val="00680EEF"/>
    <w:rsid w:val="00682759"/>
    <w:rsid w:val="00682F4C"/>
    <w:rsid w:val="00683897"/>
    <w:rsid w:val="0068392E"/>
    <w:rsid w:val="006964DF"/>
    <w:rsid w:val="0069666C"/>
    <w:rsid w:val="00696739"/>
    <w:rsid w:val="00697B1C"/>
    <w:rsid w:val="006A20C3"/>
    <w:rsid w:val="006A3393"/>
    <w:rsid w:val="006A374F"/>
    <w:rsid w:val="006A5383"/>
    <w:rsid w:val="006A7F10"/>
    <w:rsid w:val="006B08A0"/>
    <w:rsid w:val="006B5E3B"/>
    <w:rsid w:val="006B7215"/>
    <w:rsid w:val="006B7E66"/>
    <w:rsid w:val="006C0633"/>
    <w:rsid w:val="006C159A"/>
    <w:rsid w:val="006C27C6"/>
    <w:rsid w:val="006D103F"/>
    <w:rsid w:val="006D131A"/>
    <w:rsid w:val="006D306A"/>
    <w:rsid w:val="006D403E"/>
    <w:rsid w:val="006D4EAD"/>
    <w:rsid w:val="006D609C"/>
    <w:rsid w:val="006D7D02"/>
    <w:rsid w:val="006E5316"/>
    <w:rsid w:val="006E6893"/>
    <w:rsid w:val="006F1820"/>
    <w:rsid w:val="006F187F"/>
    <w:rsid w:val="006F3B5E"/>
    <w:rsid w:val="006F5CD2"/>
    <w:rsid w:val="006F7302"/>
    <w:rsid w:val="006F761B"/>
    <w:rsid w:val="0070206F"/>
    <w:rsid w:val="00703FD9"/>
    <w:rsid w:val="007046D5"/>
    <w:rsid w:val="0070495B"/>
    <w:rsid w:val="00704FD5"/>
    <w:rsid w:val="007055CD"/>
    <w:rsid w:val="00706247"/>
    <w:rsid w:val="007102FC"/>
    <w:rsid w:val="00710AC4"/>
    <w:rsid w:val="007126C6"/>
    <w:rsid w:val="007128AD"/>
    <w:rsid w:val="0071331E"/>
    <w:rsid w:val="00714340"/>
    <w:rsid w:val="00714DC6"/>
    <w:rsid w:val="007158C4"/>
    <w:rsid w:val="00716011"/>
    <w:rsid w:val="00716404"/>
    <w:rsid w:val="007177D5"/>
    <w:rsid w:val="00717DA2"/>
    <w:rsid w:val="00720246"/>
    <w:rsid w:val="00720B2F"/>
    <w:rsid w:val="00724260"/>
    <w:rsid w:val="007319AD"/>
    <w:rsid w:val="007339A2"/>
    <w:rsid w:val="007347A4"/>
    <w:rsid w:val="00737B50"/>
    <w:rsid w:val="0074013A"/>
    <w:rsid w:val="0074194E"/>
    <w:rsid w:val="00745A4B"/>
    <w:rsid w:val="00745CEC"/>
    <w:rsid w:val="0075217D"/>
    <w:rsid w:val="00752208"/>
    <w:rsid w:val="0075373E"/>
    <w:rsid w:val="007570DF"/>
    <w:rsid w:val="00762242"/>
    <w:rsid w:val="00764B1C"/>
    <w:rsid w:val="007659C9"/>
    <w:rsid w:val="00766A08"/>
    <w:rsid w:val="00766C72"/>
    <w:rsid w:val="00770C87"/>
    <w:rsid w:val="00771079"/>
    <w:rsid w:val="007745CC"/>
    <w:rsid w:val="007816CB"/>
    <w:rsid w:val="00782B5D"/>
    <w:rsid w:val="00785491"/>
    <w:rsid w:val="0078595E"/>
    <w:rsid w:val="007860CE"/>
    <w:rsid w:val="00790F2A"/>
    <w:rsid w:val="00791EBF"/>
    <w:rsid w:val="00792BCD"/>
    <w:rsid w:val="00792E4A"/>
    <w:rsid w:val="007933A1"/>
    <w:rsid w:val="007A2BE0"/>
    <w:rsid w:val="007A62BE"/>
    <w:rsid w:val="007B00D5"/>
    <w:rsid w:val="007B4548"/>
    <w:rsid w:val="007B7C96"/>
    <w:rsid w:val="007C0F54"/>
    <w:rsid w:val="007C19AA"/>
    <w:rsid w:val="007C2EA8"/>
    <w:rsid w:val="007C4643"/>
    <w:rsid w:val="007C7CB9"/>
    <w:rsid w:val="007D2D6E"/>
    <w:rsid w:val="007D65AD"/>
    <w:rsid w:val="007D792B"/>
    <w:rsid w:val="007D7DE6"/>
    <w:rsid w:val="007E1531"/>
    <w:rsid w:val="007E49F9"/>
    <w:rsid w:val="007E4DC6"/>
    <w:rsid w:val="007E6F17"/>
    <w:rsid w:val="007E7AAC"/>
    <w:rsid w:val="007E7BA6"/>
    <w:rsid w:val="007F1C23"/>
    <w:rsid w:val="007F77A0"/>
    <w:rsid w:val="00800351"/>
    <w:rsid w:val="008019EC"/>
    <w:rsid w:val="008069A4"/>
    <w:rsid w:val="008136EB"/>
    <w:rsid w:val="00813E53"/>
    <w:rsid w:val="00815B41"/>
    <w:rsid w:val="00816779"/>
    <w:rsid w:val="00816C7C"/>
    <w:rsid w:val="008170F3"/>
    <w:rsid w:val="008171B5"/>
    <w:rsid w:val="00821F0E"/>
    <w:rsid w:val="00821F8F"/>
    <w:rsid w:val="00822BC5"/>
    <w:rsid w:val="00823A23"/>
    <w:rsid w:val="00823A97"/>
    <w:rsid w:val="00824B59"/>
    <w:rsid w:val="00826EBD"/>
    <w:rsid w:val="00832AA7"/>
    <w:rsid w:val="00833854"/>
    <w:rsid w:val="008345AB"/>
    <w:rsid w:val="0084141C"/>
    <w:rsid w:val="00841D0E"/>
    <w:rsid w:val="00842B83"/>
    <w:rsid w:val="00843425"/>
    <w:rsid w:val="00843E1C"/>
    <w:rsid w:val="008456C2"/>
    <w:rsid w:val="00846248"/>
    <w:rsid w:val="0084638D"/>
    <w:rsid w:val="0085057E"/>
    <w:rsid w:val="008513ED"/>
    <w:rsid w:val="00854541"/>
    <w:rsid w:val="008561C3"/>
    <w:rsid w:val="0085780B"/>
    <w:rsid w:val="00861FA4"/>
    <w:rsid w:val="008671B5"/>
    <w:rsid w:val="00867848"/>
    <w:rsid w:val="008710E9"/>
    <w:rsid w:val="00871E2D"/>
    <w:rsid w:val="008730AE"/>
    <w:rsid w:val="0087316C"/>
    <w:rsid w:val="00873A5D"/>
    <w:rsid w:val="00875733"/>
    <w:rsid w:val="00875C75"/>
    <w:rsid w:val="00877D90"/>
    <w:rsid w:val="008813DC"/>
    <w:rsid w:val="008818D2"/>
    <w:rsid w:val="00884271"/>
    <w:rsid w:val="00884FE5"/>
    <w:rsid w:val="0089183F"/>
    <w:rsid w:val="0089347E"/>
    <w:rsid w:val="008935E5"/>
    <w:rsid w:val="00893C46"/>
    <w:rsid w:val="00896302"/>
    <w:rsid w:val="00896380"/>
    <w:rsid w:val="00897B7F"/>
    <w:rsid w:val="008A0335"/>
    <w:rsid w:val="008A152B"/>
    <w:rsid w:val="008A3A38"/>
    <w:rsid w:val="008A4D5B"/>
    <w:rsid w:val="008A5449"/>
    <w:rsid w:val="008A78C6"/>
    <w:rsid w:val="008B0ADD"/>
    <w:rsid w:val="008B42C9"/>
    <w:rsid w:val="008B47F9"/>
    <w:rsid w:val="008B55B1"/>
    <w:rsid w:val="008C2861"/>
    <w:rsid w:val="008C73F2"/>
    <w:rsid w:val="008D1C73"/>
    <w:rsid w:val="008D1CC9"/>
    <w:rsid w:val="008D3ADF"/>
    <w:rsid w:val="008D542E"/>
    <w:rsid w:val="008D60F1"/>
    <w:rsid w:val="008E241B"/>
    <w:rsid w:val="008E533A"/>
    <w:rsid w:val="008E625D"/>
    <w:rsid w:val="008F04AE"/>
    <w:rsid w:val="008F1F5C"/>
    <w:rsid w:val="008F44BF"/>
    <w:rsid w:val="008F567E"/>
    <w:rsid w:val="00906E8A"/>
    <w:rsid w:val="00913744"/>
    <w:rsid w:val="00914957"/>
    <w:rsid w:val="00917408"/>
    <w:rsid w:val="0092249A"/>
    <w:rsid w:val="00923C3B"/>
    <w:rsid w:val="00925A4B"/>
    <w:rsid w:val="00926D06"/>
    <w:rsid w:val="00931CB6"/>
    <w:rsid w:val="00936EA4"/>
    <w:rsid w:val="009415E4"/>
    <w:rsid w:val="00941DCC"/>
    <w:rsid w:val="0094254D"/>
    <w:rsid w:val="00950A00"/>
    <w:rsid w:val="00951017"/>
    <w:rsid w:val="00951236"/>
    <w:rsid w:val="00951E37"/>
    <w:rsid w:val="009602BA"/>
    <w:rsid w:val="00962443"/>
    <w:rsid w:val="009628AF"/>
    <w:rsid w:val="00963D59"/>
    <w:rsid w:val="009641D0"/>
    <w:rsid w:val="00965AF5"/>
    <w:rsid w:val="00967C46"/>
    <w:rsid w:val="009704D9"/>
    <w:rsid w:val="00971B97"/>
    <w:rsid w:val="00972A72"/>
    <w:rsid w:val="00976507"/>
    <w:rsid w:val="0097753F"/>
    <w:rsid w:val="00982018"/>
    <w:rsid w:val="009833A5"/>
    <w:rsid w:val="00983862"/>
    <w:rsid w:val="00983BC4"/>
    <w:rsid w:val="00986408"/>
    <w:rsid w:val="0098756F"/>
    <w:rsid w:val="00990C86"/>
    <w:rsid w:val="00994BE6"/>
    <w:rsid w:val="0099529B"/>
    <w:rsid w:val="00996DC5"/>
    <w:rsid w:val="009A0A87"/>
    <w:rsid w:val="009A13A2"/>
    <w:rsid w:val="009A2986"/>
    <w:rsid w:val="009A5690"/>
    <w:rsid w:val="009A65EB"/>
    <w:rsid w:val="009B1266"/>
    <w:rsid w:val="009B1C0B"/>
    <w:rsid w:val="009B4A8A"/>
    <w:rsid w:val="009B6FD1"/>
    <w:rsid w:val="009B700A"/>
    <w:rsid w:val="009B7409"/>
    <w:rsid w:val="009B79C5"/>
    <w:rsid w:val="009C2CC3"/>
    <w:rsid w:val="009E252E"/>
    <w:rsid w:val="009E2E5C"/>
    <w:rsid w:val="009E4198"/>
    <w:rsid w:val="009E6EB0"/>
    <w:rsid w:val="009E7F1D"/>
    <w:rsid w:val="009F1164"/>
    <w:rsid w:val="009F2A37"/>
    <w:rsid w:val="009F4C4D"/>
    <w:rsid w:val="00A036EF"/>
    <w:rsid w:val="00A068F4"/>
    <w:rsid w:val="00A0736D"/>
    <w:rsid w:val="00A119FF"/>
    <w:rsid w:val="00A149FD"/>
    <w:rsid w:val="00A15B43"/>
    <w:rsid w:val="00A16D15"/>
    <w:rsid w:val="00A17247"/>
    <w:rsid w:val="00A17ACA"/>
    <w:rsid w:val="00A22C04"/>
    <w:rsid w:val="00A2355A"/>
    <w:rsid w:val="00A23AE7"/>
    <w:rsid w:val="00A25293"/>
    <w:rsid w:val="00A274BB"/>
    <w:rsid w:val="00A30D5B"/>
    <w:rsid w:val="00A31F41"/>
    <w:rsid w:val="00A332BA"/>
    <w:rsid w:val="00A33AC1"/>
    <w:rsid w:val="00A3582C"/>
    <w:rsid w:val="00A41582"/>
    <w:rsid w:val="00A41D86"/>
    <w:rsid w:val="00A42007"/>
    <w:rsid w:val="00A422A3"/>
    <w:rsid w:val="00A43E3F"/>
    <w:rsid w:val="00A50008"/>
    <w:rsid w:val="00A5087D"/>
    <w:rsid w:val="00A50D14"/>
    <w:rsid w:val="00A515ED"/>
    <w:rsid w:val="00A51930"/>
    <w:rsid w:val="00A528F5"/>
    <w:rsid w:val="00A5398E"/>
    <w:rsid w:val="00A575EB"/>
    <w:rsid w:val="00A6098A"/>
    <w:rsid w:val="00A61F4C"/>
    <w:rsid w:val="00A635F1"/>
    <w:rsid w:val="00A711C7"/>
    <w:rsid w:val="00A724E1"/>
    <w:rsid w:val="00A766EA"/>
    <w:rsid w:val="00A76BB1"/>
    <w:rsid w:val="00A77894"/>
    <w:rsid w:val="00A8068D"/>
    <w:rsid w:val="00A81A5F"/>
    <w:rsid w:val="00A81EF3"/>
    <w:rsid w:val="00A84FE8"/>
    <w:rsid w:val="00A85021"/>
    <w:rsid w:val="00A857A6"/>
    <w:rsid w:val="00A86521"/>
    <w:rsid w:val="00A87589"/>
    <w:rsid w:val="00A904F3"/>
    <w:rsid w:val="00A93AE1"/>
    <w:rsid w:val="00A93F94"/>
    <w:rsid w:val="00A95D15"/>
    <w:rsid w:val="00A9692C"/>
    <w:rsid w:val="00A974A3"/>
    <w:rsid w:val="00A97D53"/>
    <w:rsid w:val="00AA3AC7"/>
    <w:rsid w:val="00AA3F3F"/>
    <w:rsid w:val="00AA4165"/>
    <w:rsid w:val="00AA4753"/>
    <w:rsid w:val="00AA4E07"/>
    <w:rsid w:val="00AA4F76"/>
    <w:rsid w:val="00AB2770"/>
    <w:rsid w:val="00AB2BC0"/>
    <w:rsid w:val="00AB40C3"/>
    <w:rsid w:val="00AB4D12"/>
    <w:rsid w:val="00AC0657"/>
    <w:rsid w:val="00AC2EDA"/>
    <w:rsid w:val="00AC7865"/>
    <w:rsid w:val="00AD3E2B"/>
    <w:rsid w:val="00AD68DD"/>
    <w:rsid w:val="00AD72F1"/>
    <w:rsid w:val="00AE1A76"/>
    <w:rsid w:val="00AE25E5"/>
    <w:rsid w:val="00AE51C4"/>
    <w:rsid w:val="00AE7AD4"/>
    <w:rsid w:val="00AF1256"/>
    <w:rsid w:val="00AF4059"/>
    <w:rsid w:val="00AF61EE"/>
    <w:rsid w:val="00AF671A"/>
    <w:rsid w:val="00B00CBE"/>
    <w:rsid w:val="00B02581"/>
    <w:rsid w:val="00B03D9B"/>
    <w:rsid w:val="00B051ED"/>
    <w:rsid w:val="00B05FD9"/>
    <w:rsid w:val="00B06444"/>
    <w:rsid w:val="00B1113B"/>
    <w:rsid w:val="00B114B3"/>
    <w:rsid w:val="00B1572B"/>
    <w:rsid w:val="00B171D3"/>
    <w:rsid w:val="00B20900"/>
    <w:rsid w:val="00B21D75"/>
    <w:rsid w:val="00B22450"/>
    <w:rsid w:val="00B22915"/>
    <w:rsid w:val="00B22C92"/>
    <w:rsid w:val="00B265F1"/>
    <w:rsid w:val="00B26C47"/>
    <w:rsid w:val="00B27900"/>
    <w:rsid w:val="00B3541E"/>
    <w:rsid w:val="00B36392"/>
    <w:rsid w:val="00B37CFC"/>
    <w:rsid w:val="00B4266C"/>
    <w:rsid w:val="00B42C0C"/>
    <w:rsid w:val="00B43DBE"/>
    <w:rsid w:val="00B45390"/>
    <w:rsid w:val="00B46385"/>
    <w:rsid w:val="00B46570"/>
    <w:rsid w:val="00B46D8C"/>
    <w:rsid w:val="00B508AB"/>
    <w:rsid w:val="00B50CFF"/>
    <w:rsid w:val="00B5251D"/>
    <w:rsid w:val="00B53F28"/>
    <w:rsid w:val="00B54B49"/>
    <w:rsid w:val="00B57ECF"/>
    <w:rsid w:val="00B664A6"/>
    <w:rsid w:val="00B70859"/>
    <w:rsid w:val="00B7172C"/>
    <w:rsid w:val="00B72263"/>
    <w:rsid w:val="00B8385C"/>
    <w:rsid w:val="00B849B2"/>
    <w:rsid w:val="00B850A8"/>
    <w:rsid w:val="00B87CAF"/>
    <w:rsid w:val="00B91637"/>
    <w:rsid w:val="00B91811"/>
    <w:rsid w:val="00B9254B"/>
    <w:rsid w:val="00B9348A"/>
    <w:rsid w:val="00B966CE"/>
    <w:rsid w:val="00B96739"/>
    <w:rsid w:val="00B975F5"/>
    <w:rsid w:val="00BA2F24"/>
    <w:rsid w:val="00BA323B"/>
    <w:rsid w:val="00BA36B7"/>
    <w:rsid w:val="00BA60CF"/>
    <w:rsid w:val="00BB2F18"/>
    <w:rsid w:val="00BB6E22"/>
    <w:rsid w:val="00BB7853"/>
    <w:rsid w:val="00BC360C"/>
    <w:rsid w:val="00BC3984"/>
    <w:rsid w:val="00BC44EA"/>
    <w:rsid w:val="00BC67B3"/>
    <w:rsid w:val="00BC753A"/>
    <w:rsid w:val="00BC7DA1"/>
    <w:rsid w:val="00BD31E8"/>
    <w:rsid w:val="00BD5E8F"/>
    <w:rsid w:val="00BE3246"/>
    <w:rsid w:val="00BE39F0"/>
    <w:rsid w:val="00BE4A04"/>
    <w:rsid w:val="00BE7995"/>
    <w:rsid w:val="00BF1834"/>
    <w:rsid w:val="00BF1A98"/>
    <w:rsid w:val="00BF339B"/>
    <w:rsid w:val="00BF3DCE"/>
    <w:rsid w:val="00BF77AA"/>
    <w:rsid w:val="00BF7969"/>
    <w:rsid w:val="00C00FE3"/>
    <w:rsid w:val="00C069BF"/>
    <w:rsid w:val="00C06DC4"/>
    <w:rsid w:val="00C0784F"/>
    <w:rsid w:val="00C07942"/>
    <w:rsid w:val="00C172B7"/>
    <w:rsid w:val="00C22F3C"/>
    <w:rsid w:val="00C2441F"/>
    <w:rsid w:val="00C25065"/>
    <w:rsid w:val="00C27A29"/>
    <w:rsid w:val="00C27F7D"/>
    <w:rsid w:val="00C30C09"/>
    <w:rsid w:val="00C3430B"/>
    <w:rsid w:val="00C34B10"/>
    <w:rsid w:val="00C36116"/>
    <w:rsid w:val="00C402C8"/>
    <w:rsid w:val="00C40E00"/>
    <w:rsid w:val="00C423CF"/>
    <w:rsid w:val="00C5331A"/>
    <w:rsid w:val="00C53B22"/>
    <w:rsid w:val="00C54C4A"/>
    <w:rsid w:val="00C550B2"/>
    <w:rsid w:val="00C61E09"/>
    <w:rsid w:val="00C62D66"/>
    <w:rsid w:val="00C63F30"/>
    <w:rsid w:val="00C64988"/>
    <w:rsid w:val="00C70AB6"/>
    <w:rsid w:val="00C77309"/>
    <w:rsid w:val="00C81F42"/>
    <w:rsid w:val="00C82DF3"/>
    <w:rsid w:val="00C83763"/>
    <w:rsid w:val="00C86FE3"/>
    <w:rsid w:val="00C87F38"/>
    <w:rsid w:val="00C93787"/>
    <w:rsid w:val="00C939EC"/>
    <w:rsid w:val="00C93AC2"/>
    <w:rsid w:val="00C948DD"/>
    <w:rsid w:val="00C954AD"/>
    <w:rsid w:val="00CA47EA"/>
    <w:rsid w:val="00CA4A6E"/>
    <w:rsid w:val="00CA4F81"/>
    <w:rsid w:val="00CB29BF"/>
    <w:rsid w:val="00CB49FF"/>
    <w:rsid w:val="00CB666B"/>
    <w:rsid w:val="00CB7C0D"/>
    <w:rsid w:val="00CC0724"/>
    <w:rsid w:val="00CC1A00"/>
    <w:rsid w:val="00CC264F"/>
    <w:rsid w:val="00CC2A70"/>
    <w:rsid w:val="00CC4E25"/>
    <w:rsid w:val="00CD267F"/>
    <w:rsid w:val="00CD77A3"/>
    <w:rsid w:val="00CE0347"/>
    <w:rsid w:val="00CE3FCE"/>
    <w:rsid w:val="00CE4F10"/>
    <w:rsid w:val="00CE542D"/>
    <w:rsid w:val="00CF289D"/>
    <w:rsid w:val="00CF4D48"/>
    <w:rsid w:val="00CF60B7"/>
    <w:rsid w:val="00D01C4A"/>
    <w:rsid w:val="00D01F75"/>
    <w:rsid w:val="00D02C8F"/>
    <w:rsid w:val="00D0420A"/>
    <w:rsid w:val="00D13BF9"/>
    <w:rsid w:val="00D15E9C"/>
    <w:rsid w:val="00D16541"/>
    <w:rsid w:val="00D17BC0"/>
    <w:rsid w:val="00D20D2C"/>
    <w:rsid w:val="00D21D93"/>
    <w:rsid w:val="00D22700"/>
    <w:rsid w:val="00D264F4"/>
    <w:rsid w:val="00D267F4"/>
    <w:rsid w:val="00D312EC"/>
    <w:rsid w:val="00D3691A"/>
    <w:rsid w:val="00D415BC"/>
    <w:rsid w:val="00D466E0"/>
    <w:rsid w:val="00D46FA6"/>
    <w:rsid w:val="00D5752B"/>
    <w:rsid w:val="00D60F7F"/>
    <w:rsid w:val="00D626B0"/>
    <w:rsid w:val="00D64C89"/>
    <w:rsid w:val="00D77028"/>
    <w:rsid w:val="00D8126C"/>
    <w:rsid w:val="00D82D91"/>
    <w:rsid w:val="00D836E5"/>
    <w:rsid w:val="00D861F0"/>
    <w:rsid w:val="00D86824"/>
    <w:rsid w:val="00D92574"/>
    <w:rsid w:val="00D932E3"/>
    <w:rsid w:val="00D958CC"/>
    <w:rsid w:val="00D95FB4"/>
    <w:rsid w:val="00D96D76"/>
    <w:rsid w:val="00DA3D61"/>
    <w:rsid w:val="00DA50A3"/>
    <w:rsid w:val="00DA622F"/>
    <w:rsid w:val="00DA7058"/>
    <w:rsid w:val="00DB1749"/>
    <w:rsid w:val="00DB2023"/>
    <w:rsid w:val="00DB2944"/>
    <w:rsid w:val="00DC030A"/>
    <w:rsid w:val="00DC17D3"/>
    <w:rsid w:val="00DC5315"/>
    <w:rsid w:val="00DC6863"/>
    <w:rsid w:val="00DD05B0"/>
    <w:rsid w:val="00DD1056"/>
    <w:rsid w:val="00DD5424"/>
    <w:rsid w:val="00DD5777"/>
    <w:rsid w:val="00DD68EF"/>
    <w:rsid w:val="00DD730B"/>
    <w:rsid w:val="00DE07E8"/>
    <w:rsid w:val="00DE18E1"/>
    <w:rsid w:val="00DE2070"/>
    <w:rsid w:val="00DE46A4"/>
    <w:rsid w:val="00DE4A10"/>
    <w:rsid w:val="00DE6088"/>
    <w:rsid w:val="00DF4DB0"/>
    <w:rsid w:val="00E0357F"/>
    <w:rsid w:val="00E10189"/>
    <w:rsid w:val="00E10F2D"/>
    <w:rsid w:val="00E11DB8"/>
    <w:rsid w:val="00E161FF"/>
    <w:rsid w:val="00E1634C"/>
    <w:rsid w:val="00E20E84"/>
    <w:rsid w:val="00E2444F"/>
    <w:rsid w:val="00E26692"/>
    <w:rsid w:val="00E26C09"/>
    <w:rsid w:val="00E32031"/>
    <w:rsid w:val="00E34EC0"/>
    <w:rsid w:val="00E35FEB"/>
    <w:rsid w:val="00E36417"/>
    <w:rsid w:val="00E36D52"/>
    <w:rsid w:val="00E3717A"/>
    <w:rsid w:val="00E40F35"/>
    <w:rsid w:val="00E41032"/>
    <w:rsid w:val="00E42E9C"/>
    <w:rsid w:val="00E43543"/>
    <w:rsid w:val="00E45CCE"/>
    <w:rsid w:val="00E50ADB"/>
    <w:rsid w:val="00E51469"/>
    <w:rsid w:val="00E528DE"/>
    <w:rsid w:val="00E532DB"/>
    <w:rsid w:val="00E54288"/>
    <w:rsid w:val="00E55FBC"/>
    <w:rsid w:val="00E57BBF"/>
    <w:rsid w:val="00E6323C"/>
    <w:rsid w:val="00E634B0"/>
    <w:rsid w:val="00E63D35"/>
    <w:rsid w:val="00E640AE"/>
    <w:rsid w:val="00E65C74"/>
    <w:rsid w:val="00E70508"/>
    <w:rsid w:val="00E7090C"/>
    <w:rsid w:val="00E81294"/>
    <w:rsid w:val="00E81AE4"/>
    <w:rsid w:val="00E90FC9"/>
    <w:rsid w:val="00E9148D"/>
    <w:rsid w:val="00E948C4"/>
    <w:rsid w:val="00E96531"/>
    <w:rsid w:val="00EA30F8"/>
    <w:rsid w:val="00EA4A37"/>
    <w:rsid w:val="00EA4AB6"/>
    <w:rsid w:val="00EA5155"/>
    <w:rsid w:val="00EA6D77"/>
    <w:rsid w:val="00EB3C22"/>
    <w:rsid w:val="00EB3F58"/>
    <w:rsid w:val="00EB694F"/>
    <w:rsid w:val="00EC2DC6"/>
    <w:rsid w:val="00EC3093"/>
    <w:rsid w:val="00EC341D"/>
    <w:rsid w:val="00EC4AA0"/>
    <w:rsid w:val="00EC7DFE"/>
    <w:rsid w:val="00ED0125"/>
    <w:rsid w:val="00ED5F5F"/>
    <w:rsid w:val="00ED6369"/>
    <w:rsid w:val="00ED6D68"/>
    <w:rsid w:val="00ED6DBA"/>
    <w:rsid w:val="00EE00EE"/>
    <w:rsid w:val="00EE046C"/>
    <w:rsid w:val="00EE4DC3"/>
    <w:rsid w:val="00EE5B98"/>
    <w:rsid w:val="00EF14A2"/>
    <w:rsid w:val="00EF16E4"/>
    <w:rsid w:val="00EF24C1"/>
    <w:rsid w:val="00EF28B7"/>
    <w:rsid w:val="00EF477E"/>
    <w:rsid w:val="00EF4A55"/>
    <w:rsid w:val="00EF5AC4"/>
    <w:rsid w:val="00EF782F"/>
    <w:rsid w:val="00F01C62"/>
    <w:rsid w:val="00F05BA5"/>
    <w:rsid w:val="00F05E9C"/>
    <w:rsid w:val="00F12155"/>
    <w:rsid w:val="00F15E7C"/>
    <w:rsid w:val="00F160E6"/>
    <w:rsid w:val="00F162B2"/>
    <w:rsid w:val="00F204DC"/>
    <w:rsid w:val="00F214DF"/>
    <w:rsid w:val="00F22C31"/>
    <w:rsid w:val="00F23384"/>
    <w:rsid w:val="00F245C4"/>
    <w:rsid w:val="00F2612A"/>
    <w:rsid w:val="00F2784F"/>
    <w:rsid w:val="00F27C52"/>
    <w:rsid w:val="00F37C4A"/>
    <w:rsid w:val="00F37EBC"/>
    <w:rsid w:val="00F40788"/>
    <w:rsid w:val="00F41264"/>
    <w:rsid w:val="00F416AB"/>
    <w:rsid w:val="00F43955"/>
    <w:rsid w:val="00F4471D"/>
    <w:rsid w:val="00F50A0D"/>
    <w:rsid w:val="00F50DCA"/>
    <w:rsid w:val="00F51539"/>
    <w:rsid w:val="00F52965"/>
    <w:rsid w:val="00F541C3"/>
    <w:rsid w:val="00F5497E"/>
    <w:rsid w:val="00F5766E"/>
    <w:rsid w:val="00F57CEF"/>
    <w:rsid w:val="00F611AD"/>
    <w:rsid w:val="00F72740"/>
    <w:rsid w:val="00F73E22"/>
    <w:rsid w:val="00F7456A"/>
    <w:rsid w:val="00F76DAA"/>
    <w:rsid w:val="00F821B8"/>
    <w:rsid w:val="00F82FB5"/>
    <w:rsid w:val="00F83664"/>
    <w:rsid w:val="00F86E3B"/>
    <w:rsid w:val="00F9055E"/>
    <w:rsid w:val="00F909FA"/>
    <w:rsid w:val="00F922BA"/>
    <w:rsid w:val="00F9236F"/>
    <w:rsid w:val="00F92D14"/>
    <w:rsid w:val="00F92FB1"/>
    <w:rsid w:val="00F95592"/>
    <w:rsid w:val="00F96FB3"/>
    <w:rsid w:val="00F97B44"/>
    <w:rsid w:val="00F97BE1"/>
    <w:rsid w:val="00FA0913"/>
    <w:rsid w:val="00FA161F"/>
    <w:rsid w:val="00FA190B"/>
    <w:rsid w:val="00FA1D9A"/>
    <w:rsid w:val="00FA74D9"/>
    <w:rsid w:val="00FB198E"/>
    <w:rsid w:val="00FB1A92"/>
    <w:rsid w:val="00FB2EF5"/>
    <w:rsid w:val="00FB5DF0"/>
    <w:rsid w:val="00FB7E70"/>
    <w:rsid w:val="00FC094F"/>
    <w:rsid w:val="00FC0FA1"/>
    <w:rsid w:val="00FC196E"/>
    <w:rsid w:val="00FC2A92"/>
    <w:rsid w:val="00FC329E"/>
    <w:rsid w:val="00FD40EC"/>
    <w:rsid w:val="00FD43E8"/>
    <w:rsid w:val="00FD542C"/>
    <w:rsid w:val="00FD705A"/>
    <w:rsid w:val="00FE2323"/>
    <w:rsid w:val="00FE2D8B"/>
    <w:rsid w:val="00FE3C9B"/>
    <w:rsid w:val="00FE3EC4"/>
    <w:rsid w:val="00FE5AEA"/>
    <w:rsid w:val="00FF2ECA"/>
    <w:rsid w:val="00FF30D1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DE02"/>
  <w15:docId w15:val="{E79B39C5-6420-497C-AA12-7EBA8C95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302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iPriority w:val="99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uiPriority w:val="99"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fn,pozn. pod čarou,Schriftart: 9 pt,Schriftart: 10 pt,Schriftart: 8 pt,Podrozdział,Podrozdzia3"/>
    <w:basedOn w:val="Normln"/>
    <w:uiPriority w:val="99"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aliases w:val="fn Char1,pozn. pod čarou Char,Schriftart: 9 pt Char,Schriftart: 10 pt Char,Schriftart: 8 pt Char,Podrozdział Char,Podrozdzia3 Char"/>
    <w:basedOn w:val="Standardnpsmoodstavce"/>
    <w:uiPriority w:val="99"/>
    <w:rsid w:val="00074A01"/>
  </w:style>
  <w:style w:type="character" w:styleId="Znakapoznpodarou">
    <w:name w:val="footnote reference"/>
    <w:aliases w:val="Footnote,Footnote call,PGI Fußnote Ziffer + Times New Roman,12 b.,Zúžené o ...,PGI Fußnote Ziffer"/>
    <w:basedOn w:val="Standardnpsmoodstavce"/>
    <w:uiPriority w:val="99"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aliases w:val="odrážky,List Paragraph_0,List Paragraph_0_0,Nadpis pro KZ,Odstavec se seznamem1,Odstavec se seznamem2,List Paragraph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03A70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E67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3163D4"/>
  </w:style>
  <w:style w:type="paragraph" w:styleId="Normlnweb">
    <w:name w:val="Normal (Web)"/>
    <w:basedOn w:val="Normln"/>
    <w:uiPriority w:val="99"/>
    <w:semiHidden/>
    <w:unhideWhenUsed/>
    <w:rsid w:val="003163D4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3163D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67B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67B99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667B99"/>
    <w:rPr>
      <w:vertAlign w:val="superscript"/>
    </w:rPr>
  </w:style>
  <w:style w:type="character" w:customStyle="1" w:styleId="A0">
    <w:name w:val="A0"/>
    <w:uiPriority w:val="99"/>
    <w:rsid w:val="00AD28AE"/>
    <w:rPr>
      <w:rFonts w:cs="Myriad Pro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AD28AE"/>
    <w:rPr>
      <w:rFonts w:cs="Myriad Pro"/>
      <w:b/>
      <w:bCs/>
      <w:color w:val="000000"/>
      <w:sz w:val="44"/>
      <w:szCs w:val="44"/>
    </w:rPr>
  </w:style>
  <w:style w:type="character" w:customStyle="1" w:styleId="st1">
    <w:name w:val="st1"/>
    <w:basedOn w:val="Standardnpsmoodstavce"/>
    <w:rsid w:val="009858DF"/>
  </w:style>
  <w:style w:type="character" w:customStyle="1" w:styleId="tgc">
    <w:name w:val="_tgc"/>
    <w:basedOn w:val="Standardnpsmoodstavce"/>
    <w:rsid w:val="00FC2078"/>
  </w:style>
  <w:style w:type="paragraph" w:styleId="Nzev">
    <w:name w:val="Title"/>
    <w:basedOn w:val="Normln"/>
    <w:link w:val="NzevChar"/>
    <w:qFormat/>
    <w:rsid w:val="008D4B89"/>
    <w:pPr>
      <w:jc w:val="center"/>
    </w:pPr>
    <w:rPr>
      <w:rFonts w:ascii="Times New Roman" w:hAnsi="Times New Roman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8D4B89"/>
    <w:rPr>
      <w:sz w:val="28"/>
      <w:szCs w:val="28"/>
    </w:rPr>
  </w:style>
  <w:style w:type="paragraph" w:customStyle="1" w:styleId="Pa18">
    <w:name w:val="Pa18"/>
    <w:basedOn w:val="Default"/>
    <w:next w:val="Default"/>
    <w:uiPriority w:val="99"/>
    <w:rsid w:val="009E75B5"/>
    <w:pPr>
      <w:spacing w:line="21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9E75B5"/>
    <w:rPr>
      <w:rFonts w:cs="Calibri"/>
      <w:b/>
      <w:bCs/>
      <w:color w:val="000000"/>
      <w:sz w:val="54"/>
      <w:szCs w:val="54"/>
    </w:rPr>
  </w:style>
  <w:style w:type="character" w:customStyle="1" w:styleId="A15">
    <w:name w:val="A15"/>
    <w:uiPriority w:val="99"/>
    <w:rsid w:val="009E75B5"/>
    <w:rPr>
      <w:rFonts w:cs="Calibri"/>
      <w:color w:val="000000"/>
      <w:sz w:val="36"/>
      <w:szCs w:val="36"/>
    </w:rPr>
  </w:style>
  <w:style w:type="paragraph" w:customStyle="1" w:styleId="Pa19">
    <w:name w:val="Pa19"/>
    <w:basedOn w:val="Default"/>
    <w:next w:val="Default"/>
    <w:uiPriority w:val="99"/>
    <w:rsid w:val="009E75B5"/>
    <w:pPr>
      <w:spacing w:line="21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7D792B"/>
    <w:pPr>
      <w:spacing w:line="21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7D792B"/>
    <w:rPr>
      <w:rFonts w:cs="Calibri"/>
      <w:b/>
      <w:bCs/>
      <w:color w:val="000000"/>
      <w:sz w:val="34"/>
      <w:szCs w:val="34"/>
    </w:rPr>
  </w:style>
  <w:style w:type="paragraph" w:customStyle="1" w:styleId="Pa16">
    <w:name w:val="Pa16"/>
    <w:basedOn w:val="Default"/>
    <w:next w:val="Default"/>
    <w:uiPriority w:val="99"/>
    <w:rsid w:val="007D792B"/>
    <w:pPr>
      <w:spacing w:line="211" w:lineRule="atLeast"/>
    </w:pPr>
    <w:rPr>
      <w:rFonts w:cs="Times New Roman"/>
      <w:color w:val="auto"/>
    </w:rPr>
  </w:style>
  <w:style w:type="character" w:customStyle="1" w:styleId="A13">
    <w:name w:val="A13"/>
    <w:uiPriority w:val="99"/>
    <w:rsid w:val="007D792B"/>
    <w:rPr>
      <w:rFonts w:ascii="Arial" w:hAnsi="Arial" w:cs="Arial"/>
      <w:b/>
      <w:bCs/>
      <w:color w:val="000000"/>
      <w:sz w:val="19"/>
      <w:szCs w:val="19"/>
    </w:rPr>
  </w:style>
  <w:style w:type="character" w:customStyle="1" w:styleId="OdstavecseseznamemChar">
    <w:name w:val="Odstavec se seznamem Char"/>
    <w:aliases w:val="odrážky Char,List Paragraph_0 Char,List Paragraph_0_0 Char,Nadpis pro KZ Char,Odstavec se seznamem1 Char,Odstavec se seznamem2 Char,List Paragraph Char"/>
    <w:link w:val="Odstavecseseznamem"/>
    <w:uiPriority w:val="34"/>
    <w:rsid w:val="00F92FB1"/>
    <w:rPr>
      <w:rFonts w:ascii="Arial" w:hAnsi="Arial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92FB1"/>
    <w:pPr>
      <w:spacing w:after="200"/>
    </w:pPr>
    <w:rPr>
      <w:rFonts w:ascii="Times New Roman" w:hAnsi="Times New Roman"/>
      <w:i/>
      <w:iCs/>
      <w:color w:val="1F497D" w:themeColor="text2"/>
      <w:sz w:val="18"/>
      <w:szCs w:val="18"/>
      <w:lang w:eastAsia="en-US"/>
    </w:rPr>
  </w:style>
  <w:style w:type="paragraph" w:customStyle="1" w:styleId="Odstavec">
    <w:name w:val="Odstavec"/>
    <w:basedOn w:val="Normln"/>
    <w:rsid w:val="0033626F"/>
    <w:pPr>
      <w:spacing w:before="120"/>
      <w:ind w:firstLine="709"/>
      <w:jc w:val="both"/>
    </w:pPr>
    <w:rPr>
      <w:rFonts w:ascii="Times New Roman" w:hAnsi="Times New Roman"/>
      <w:szCs w:val="20"/>
    </w:rPr>
  </w:style>
  <w:style w:type="paragraph" w:customStyle="1" w:styleId="l3">
    <w:name w:val="l3"/>
    <w:basedOn w:val="Normln"/>
    <w:rsid w:val="005423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2">
    <w:name w:val="l2"/>
    <w:basedOn w:val="Normln"/>
    <w:rsid w:val="0054231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4">
    <w:name w:val="l4"/>
    <w:basedOn w:val="Normln"/>
    <w:rsid w:val="00542313"/>
    <w:pPr>
      <w:spacing w:before="100" w:beforeAutospacing="1" w:after="100" w:afterAutospacing="1"/>
    </w:pPr>
    <w:rPr>
      <w:rFonts w:ascii="Times New Roman" w:hAnsi="Times New Roman"/>
    </w:rPr>
  </w:style>
  <w:style w:type="character" w:styleId="PromnnHTML">
    <w:name w:val="HTML Variable"/>
    <w:basedOn w:val="Standardnpsmoodstavce"/>
    <w:uiPriority w:val="99"/>
    <w:semiHidden/>
    <w:unhideWhenUsed/>
    <w:rsid w:val="00542313"/>
    <w:rPr>
      <w:i/>
      <w:iCs/>
    </w:rPr>
  </w:style>
  <w:style w:type="character" w:styleId="Zdraznn">
    <w:name w:val="Emphasis"/>
    <w:basedOn w:val="Standardnpsmoodstavce"/>
    <w:uiPriority w:val="20"/>
    <w:qFormat/>
    <w:rsid w:val="00512467"/>
    <w:rPr>
      <w:b/>
      <w:bCs/>
      <w:i w:val="0"/>
      <w:iCs w:val="0"/>
    </w:rPr>
  </w:style>
  <w:style w:type="paragraph" w:customStyle="1" w:styleId="l1">
    <w:name w:val="l1"/>
    <w:basedOn w:val="Normln"/>
    <w:rsid w:val="003D41C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ural">
    <w:name w:val="aural"/>
    <w:basedOn w:val="Standardnpsmoodstavce"/>
    <w:rsid w:val="00E4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statistics-explained/index.php/Crime_and_criminal_justice_statistic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F9C3-D13A-47EF-BA63-F61B707A4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228B4-BA39-49C6-B50E-51DA7CF18AF6}">
  <ds:schemaRefs>
    <ds:schemaRef ds:uri="http://purl.org/dc/elements/1.1/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71347A-F5E8-4EAA-9ACC-BF9749B23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3B1E8-A128-4519-BD54-094FC34DD3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2D4E6C-E677-4108-BEED-ADA6F2D1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5531E8BF.dotm</Template>
  <TotalTime>1</TotalTime>
  <Pages>19</Pages>
  <Words>6636</Words>
  <Characters>39156</Characters>
  <Application>Microsoft Office Word</Application>
  <DocSecurity>4</DocSecurity>
  <Lines>326</Lines>
  <Paragraphs>91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Kontrolní závěr z kontrolní akce NKÚ č. 16/10 - Peněžní prostředky poskytované na zlepšování stavu přírody a krajiny</vt:lpstr>
      <vt:lpstr/>
    </vt:vector>
  </TitlesOfParts>
  <Company>Nejvyšší kontrolní úřad</Company>
  <LinksUpToDate>false</LinksUpToDate>
  <CharactersWithSpaces>45701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17/07 - Rozvoj a obnova materiálně technické základny Policie České republiky</dc:title>
  <dc:creator>Nejvyšší kontrolní úřad</dc:creator>
  <cp:keywords>kontrolní závěr;policie</cp:keywords>
  <cp:lastModifiedBy>KOKRDA Daniel</cp:lastModifiedBy>
  <cp:revision>2</cp:revision>
  <cp:lastPrinted>2017-10-30T08:44:00Z</cp:lastPrinted>
  <dcterms:created xsi:type="dcterms:W3CDTF">2017-12-07T09:04:00Z</dcterms:created>
  <dcterms:modified xsi:type="dcterms:W3CDTF">2017-12-07T09:04:00Z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111/17-NKU200/511/17</vt:lpwstr>
  </property>
  <property fmtid="{D5CDD505-2E9C-101B-9397-08002B2CF9AE}" pid="4" name="CJ_Spis_Pisemnost">
    <vt:lpwstr>CJ/SPIS/ROK</vt:lpwstr>
  </property>
  <property fmtid="{D5CDD505-2E9C-101B-9397-08002B2CF9AE}" pid="5" name="Contact_PostaOdes_All">
    <vt:lpwstr>ROZDĚLOVNÍK...</vt:lpwstr>
  </property>
  <property fmtid="{D5CDD505-2E9C-101B-9397-08002B2CF9AE}" pid="6" name="ContentTypeId">
    <vt:lpwstr>0x0101002F7A625AE9F5AB4A939F92BCAA7FEC02</vt:lpwstr>
  </property>
  <property fmtid="{D5CDD505-2E9C-101B-9397-08002B2CF9AE}" pid="7" name="DatumPlatnosti_PisemnostTypZpristupneniInformaciZOSZ_Pisemnost">
    <vt:lpwstr>ZOSZ_DatumPlatnosti</vt:lpwstr>
  </property>
  <property fmtid="{D5CDD505-2E9C-101B-9397-08002B2CF9AE}" pid="8" name="DatumPoriz_Pisemnost">
    <vt:lpwstr>22.8.2017</vt:lpwstr>
  </property>
  <property fmtid="{D5CDD505-2E9C-101B-9397-08002B2CF9AE}" pid="9" name="DisplayName_CisloObalky_PostaOdes">
    <vt:lpwstr>{DisplayName_CisloObalky_PostaOdes}</vt:lpwstr>
  </property>
  <property fmtid="{D5CDD505-2E9C-101B-9397-08002B2CF9AE}" pid="10" name="DisplayName_SpisovyUzel_PoziceZodpo_Pisemnost">
    <vt:lpwstr>Sekce kontrolní</vt:lpwstr>
  </property>
  <property fmtid="{D5CDD505-2E9C-101B-9397-08002B2CF9AE}" pid="11" name="DisplayName_UserPoriz_Pisemnost">
    <vt:lpwstr>Jana Másílková</vt:lpwstr>
  </property>
  <property fmtid="{D5CDD505-2E9C-101B-9397-08002B2CF9AE}" pid="12" name="EC_Pisemnost">
    <vt:lpwstr>17-11137/NKU</vt:lpwstr>
  </property>
  <property fmtid="{D5CDD505-2E9C-101B-9397-08002B2CF9AE}" pid="13" name="Key_BarCode_Pisemnost">
    <vt:lpwstr>*B000296365*</vt:lpwstr>
  </property>
  <property fmtid="{D5CDD505-2E9C-101B-9397-08002B2CF9AE}" pid="14" name="KRukam">
    <vt:lpwstr>{KRukam}</vt:lpwstr>
  </property>
  <property fmtid="{D5CDD505-2E9C-101B-9397-08002B2CF9AE}" pid="15" name="Odkaz">
    <vt:lpwstr>ODKAZ</vt:lpwstr>
  </property>
  <property fmtid="{D5CDD505-2E9C-101B-9397-08002B2CF9AE}" pid="16" name="Password_PisemnostTypZpristupneniInformaciZOSZ_Pisemnost">
    <vt:lpwstr>ZOSZ_Password</vt:lpwstr>
  </property>
  <property fmtid="{D5CDD505-2E9C-101B-9397-08002B2CF9AE}" pid="17" name="PocetListuDokumentu_Pisemnost">
    <vt:lpwstr>1</vt:lpwstr>
  </property>
  <property fmtid="{D5CDD505-2E9C-101B-9397-08002B2CF9AE}" pid="18" name="PocetListu_Pisemnost">
    <vt:lpwstr>1</vt:lpwstr>
  </property>
  <property fmtid="{D5CDD505-2E9C-101B-9397-08002B2CF9AE}" pid="19" name="PocetPriloh_Pisemnost">
    <vt:lpwstr>0</vt:lpwstr>
  </property>
  <property fmtid="{D5CDD505-2E9C-101B-9397-08002B2CF9AE}" pid="20" name="Podpis">
    <vt:lpwstr/>
  </property>
  <property fmtid="{D5CDD505-2E9C-101B-9397-08002B2CF9AE}" pid="21" name="SkartacniZnakLhuta_PisemnostZnak">
    <vt:lpwstr>?/?</vt:lpwstr>
  </property>
  <property fmtid="{D5CDD505-2E9C-101B-9397-08002B2CF9AE}" pid="22" name="SmlouvaCislo">
    <vt:lpwstr>ČÍSLO SMLOUVY</vt:lpwstr>
  </property>
  <property fmtid="{D5CDD505-2E9C-101B-9397-08002B2CF9AE}" pid="23" name="SZ_Spis_Pisemnost">
    <vt:lpwstr>111/17</vt:lpwstr>
  </property>
  <property fmtid="{D5CDD505-2E9C-101B-9397-08002B2CF9AE}" pid="24" name="TEST">
    <vt:lpwstr>testovací pole</vt:lpwstr>
  </property>
  <property fmtid="{D5CDD505-2E9C-101B-9397-08002B2CF9AE}" pid="25" name="TypPrilohy_Pisemnost">
    <vt:lpwstr>1</vt:lpwstr>
  </property>
  <property fmtid="{D5CDD505-2E9C-101B-9397-08002B2CF9AE}" pid="26" name="UserName_PisemnostTypZpristupneniInformaciZOSZ_Pisemnost">
    <vt:lpwstr>ZOSZ_UserName</vt:lpwstr>
  </property>
  <property fmtid="{D5CDD505-2E9C-101B-9397-08002B2CF9AE}" pid="27" name="Vec_Pisemnost">
    <vt:lpwstr>Program KA 17/01 - připomínkové řízení </vt:lpwstr>
  </property>
  <property fmtid="{D5CDD505-2E9C-101B-9397-08002B2CF9AE}" pid="28" name="Zkratka_SpisovyUzel_PoziceZodpo_Pisemnost">
    <vt:lpwstr>200</vt:lpwstr>
  </property>
</Properties>
</file>