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D968" w14:textId="77777777" w:rsidR="00E05B24" w:rsidRPr="00D15A6D" w:rsidRDefault="00DB2620" w:rsidP="00D15A6D">
      <w:pPr>
        <w:jc w:val="center"/>
        <w:rPr>
          <w:rFonts w:ascii="Calibri" w:hAnsi="Calibri" w:cs="Calibri"/>
        </w:rPr>
      </w:pPr>
      <w:bookmarkStart w:id="0" w:name="_GoBack"/>
      <w:bookmarkEnd w:id="0"/>
      <w:r w:rsidRPr="00A315CB">
        <w:rPr>
          <w:noProof/>
        </w:rPr>
        <w:drawing>
          <wp:anchor distT="0" distB="0" distL="114300" distR="114300" simplePos="0" relativeHeight="251659776" behindDoc="0" locked="0" layoutInCell="1" allowOverlap="1" wp14:anchorId="7FE3897F" wp14:editId="3B545B2F">
            <wp:simplePos x="0" y="0"/>
            <wp:positionH relativeFrom="column">
              <wp:posOffset>2487461</wp:posOffset>
            </wp:positionH>
            <wp:positionV relativeFrom="paragraph">
              <wp:posOffset>-1298</wp:posOffset>
            </wp:positionV>
            <wp:extent cx="780415" cy="560705"/>
            <wp:effectExtent l="0" t="0" r="635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533D6" w14:textId="77777777" w:rsidR="008A11A2" w:rsidRPr="00D15A6D" w:rsidRDefault="008A11A2" w:rsidP="00D15A6D">
      <w:pPr>
        <w:jc w:val="center"/>
        <w:rPr>
          <w:rFonts w:ascii="Calibri" w:hAnsi="Calibri" w:cs="Calibri"/>
        </w:rPr>
      </w:pPr>
    </w:p>
    <w:p w14:paraId="2F527667" w14:textId="77777777" w:rsidR="00DB2620" w:rsidRPr="00D15A6D" w:rsidRDefault="00DB2620" w:rsidP="00D15A6D">
      <w:pPr>
        <w:pStyle w:val="Nadpis9"/>
        <w:spacing w:before="0" w:after="0"/>
        <w:jc w:val="center"/>
        <w:rPr>
          <w:rFonts w:ascii="Calibri" w:hAnsi="Calibri" w:cs="Calibri"/>
          <w:sz w:val="24"/>
          <w:szCs w:val="24"/>
        </w:rPr>
      </w:pPr>
    </w:p>
    <w:p w14:paraId="09952935" w14:textId="77777777" w:rsidR="00E47DAC" w:rsidRPr="00D15A6D" w:rsidRDefault="00E47DAC" w:rsidP="00D15A6D">
      <w:pPr>
        <w:pStyle w:val="Nadpis9"/>
        <w:spacing w:before="0" w:after="0"/>
        <w:jc w:val="center"/>
        <w:rPr>
          <w:rFonts w:ascii="Calibri" w:hAnsi="Calibri" w:cs="Calibri"/>
          <w:b/>
          <w:sz w:val="28"/>
          <w:szCs w:val="24"/>
        </w:rPr>
      </w:pPr>
      <w:r w:rsidRPr="00D15A6D">
        <w:rPr>
          <w:rFonts w:ascii="Calibri" w:hAnsi="Calibri" w:cs="Calibri"/>
          <w:b/>
          <w:sz w:val="28"/>
          <w:szCs w:val="24"/>
        </w:rPr>
        <w:t>Kontrolní závěr z kontrolní akce</w:t>
      </w:r>
    </w:p>
    <w:p w14:paraId="3A5A9D49" w14:textId="77777777" w:rsidR="00DA0304" w:rsidRPr="00D15A6D" w:rsidRDefault="00DA0304" w:rsidP="00D15A6D">
      <w:pPr>
        <w:jc w:val="center"/>
        <w:rPr>
          <w:rFonts w:ascii="Calibri" w:hAnsi="Calibri" w:cs="Calibri"/>
        </w:rPr>
      </w:pPr>
    </w:p>
    <w:p w14:paraId="4150DADA" w14:textId="1E15E80D" w:rsidR="00E47DAC" w:rsidRPr="004C031F" w:rsidRDefault="00836B07" w:rsidP="00D15A6D">
      <w:pPr>
        <w:ind w:right="68"/>
        <w:jc w:val="center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  <w:sz w:val="28"/>
        </w:rPr>
        <w:t>16</w:t>
      </w:r>
      <w:r w:rsidR="00553974" w:rsidRPr="004C031F">
        <w:rPr>
          <w:rFonts w:ascii="Calibri" w:hAnsi="Calibri" w:cs="Calibri"/>
          <w:b/>
          <w:bCs/>
          <w:sz w:val="28"/>
        </w:rPr>
        <w:t>/</w:t>
      </w:r>
      <w:r w:rsidR="001C3B0C">
        <w:rPr>
          <w:rFonts w:ascii="Calibri" w:hAnsi="Calibri" w:cs="Calibri"/>
          <w:b/>
          <w:bCs/>
          <w:sz w:val="28"/>
        </w:rPr>
        <w:t>31</w:t>
      </w:r>
    </w:p>
    <w:p w14:paraId="55E8B529" w14:textId="77777777" w:rsidR="00DA0304" w:rsidRPr="00D15A6D" w:rsidRDefault="00DA0304" w:rsidP="00D15A6D">
      <w:pPr>
        <w:ind w:right="68"/>
        <w:jc w:val="center"/>
        <w:rPr>
          <w:rFonts w:ascii="Calibri" w:hAnsi="Calibri" w:cs="Calibri"/>
          <w:bCs/>
        </w:rPr>
      </w:pPr>
    </w:p>
    <w:p w14:paraId="4B57F3E3" w14:textId="36F5289C" w:rsidR="00836B07" w:rsidRPr="00836B07" w:rsidRDefault="001C3B0C" w:rsidP="00836B07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Rozvoj a obnova materiálně technické základny veřejných vysokých škol</w:t>
      </w:r>
    </w:p>
    <w:p w14:paraId="43FF2AAA" w14:textId="505810EB" w:rsidR="00836B07" w:rsidRDefault="00836B07" w:rsidP="005D70FF">
      <w:pPr>
        <w:pStyle w:val="Zkladn"/>
        <w:spacing w:before="0"/>
        <w:rPr>
          <w:rFonts w:ascii="Calibri" w:hAnsi="Calibri" w:cs="Calibri"/>
        </w:rPr>
      </w:pPr>
    </w:p>
    <w:p w14:paraId="5D8DDDD6" w14:textId="77777777" w:rsidR="008F4358" w:rsidRDefault="008F4358" w:rsidP="005D70FF">
      <w:pPr>
        <w:pStyle w:val="Zkladn"/>
        <w:spacing w:before="0"/>
        <w:rPr>
          <w:rFonts w:ascii="Calibri" w:hAnsi="Calibri" w:cs="Calibri"/>
        </w:rPr>
      </w:pPr>
    </w:p>
    <w:p w14:paraId="48AF01B5" w14:textId="25BE7129" w:rsidR="00E47DAC" w:rsidRPr="004C031F" w:rsidRDefault="00E47DAC" w:rsidP="005D70FF">
      <w:pPr>
        <w:pStyle w:val="Zkladn"/>
        <w:spacing w:before="0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Kontrolní akce byla zařazena do plánu kontrolní činnosti Nejvyššího kontrolního úřadu (dále jen „NKÚ“) na rok 20</w:t>
      </w:r>
      <w:r w:rsidR="004379AD" w:rsidRPr="004C031F">
        <w:rPr>
          <w:rFonts w:ascii="Calibri" w:hAnsi="Calibri" w:cs="Calibri"/>
        </w:rPr>
        <w:t>1</w:t>
      </w:r>
      <w:r w:rsidR="00836B07">
        <w:rPr>
          <w:rFonts w:ascii="Calibri" w:hAnsi="Calibri" w:cs="Calibri"/>
        </w:rPr>
        <w:t>6</w:t>
      </w:r>
      <w:r w:rsidRPr="004C031F">
        <w:rPr>
          <w:rFonts w:ascii="Calibri" w:hAnsi="Calibri" w:cs="Calibri"/>
        </w:rPr>
        <w:t xml:space="preserve"> pod číslem </w:t>
      </w:r>
      <w:r w:rsidR="00836B07">
        <w:rPr>
          <w:rFonts w:ascii="Calibri" w:hAnsi="Calibri" w:cs="Calibri"/>
        </w:rPr>
        <w:t>16</w:t>
      </w:r>
      <w:r w:rsidRPr="004C031F">
        <w:rPr>
          <w:rFonts w:ascii="Calibri" w:hAnsi="Calibri" w:cs="Calibri"/>
        </w:rPr>
        <w:t>/</w:t>
      </w:r>
      <w:r w:rsidR="001C3B0C">
        <w:rPr>
          <w:rFonts w:ascii="Calibri" w:hAnsi="Calibri" w:cs="Calibri"/>
        </w:rPr>
        <w:t>31</w:t>
      </w:r>
      <w:r w:rsidRPr="004C031F">
        <w:rPr>
          <w:rFonts w:ascii="Calibri" w:hAnsi="Calibri" w:cs="Calibri"/>
        </w:rPr>
        <w:t>. Kontrolní akci řídil a</w:t>
      </w:r>
      <w:r w:rsidR="00C61ED8">
        <w:rPr>
          <w:rFonts w:ascii="Calibri" w:hAnsi="Calibri" w:cs="Calibri"/>
        </w:rPr>
        <w:t> </w:t>
      </w:r>
      <w:r w:rsidRPr="004C031F">
        <w:rPr>
          <w:rFonts w:ascii="Calibri" w:hAnsi="Calibri" w:cs="Calibri"/>
        </w:rPr>
        <w:t>kontrolní záv</w:t>
      </w:r>
      <w:r w:rsidR="001E1D26" w:rsidRPr="004C031F">
        <w:rPr>
          <w:rFonts w:ascii="Calibri" w:hAnsi="Calibri" w:cs="Calibri"/>
        </w:rPr>
        <w:t xml:space="preserve">ěr vypracoval člen NKÚ </w:t>
      </w:r>
      <w:r w:rsidR="001C3B0C">
        <w:rPr>
          <w:rFonts w:ascii="Calibri" w:hAnsi="Calibri" w:cs="Calibri"/>
        </w:rPr>
        <w:t>Ing. Jan Málek</w:t>
      </w:r>
      <w:r w:rsidR="001E1D26" w:rsidRPr="004C031F">
        <w:rPr>
          <w:rFonts w:ascii="Calibri" w:hAnsi="Calibri" w:cs="Calibri"/>
        </w:rPr>
        <w:t>.</w:t>
      </w:r>
      <w:r w:rsidR="00CC4668">
        <w:rPr>
          <w:rFonts w:ascii="Calibri" w:hAnsi="Calibri" w:cs="Calibri"/>
        </w:rPr>
        <w:t xml:space="preserve"> </w:t>
      </w:r>
    </w:p>
    <w:p w14:paraId="7CE153D1" w14:textId="77777777" w:rsidR="00D86778" w:rsidRPr="004C031F" w:rsidRDefault="00D86778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3824BDCE" w14:textId="6BB65DF0" w:rsidR="00836B07" w:rsidRPr="00836B07" w:rsidRDefault="005B57A3" w:rsidP="00836B07">
      <w:pPr>
        <w:jc w:val="both"/>
        <w:rPr>
          <w:rFonts w:ascii="Calibri" w:hAnsi="Calibri" w:cs="Calibri"/>
          <w:lang w:eastAsia="en-US"/>
        </w:rPr>
      </w:pPr>
      <w:r w:rsidRPr="003A4059">
        <w:rPr>
          <w:rFonts w:ascii="Calibri" w:hAnsi="Calibri" w:cs="Calibri"/>
          <w:lang w:eastAsia="en-US"/>
        </w:rPr>
        <w:t xml:space="preserve">Cílem kontroly bylo </w:t>
      </w:r>
      <w:r w:rsidR="00871FA1">
        <w:rPr>
          <w:rFonts w:ascii="Calibri" w:hAnsi="Calibri" w:cs="Calibri"/>
          <w:lang w:eastAsia="en-US"/>
        </w:rPr>
        <w:t>prověřit</w:t>
      </w:r>
      <w:r w:rsidR="001C3B0C">
        <w:rPr>
          <w:rFonts w:ascii="Calibri" w:hAnsi="Calibri" w:cs="Calibri"/>
          <w:lang w:eastAsia="en-US"/>
        </w:rPr>
        <w:t>, zda program zaměřený na rozvoj a obnovu materiálně technické základny veřejných vysokých škol vychází z jasně definovaných potřeb a je realizován podle stanovených předpokladů, efektivně, účelně a hospodárně.</w:t>
      </w:r>
    </w:p>
    <w:p w14:paraId="23F63A3B" w14:textId="77777777" w:rsidR="00836B07" w:rsidRDefault="00836B07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1E9EF5DD" w14:textId="667CE094" w:rsidR="007E79AC" w:rsidRDefault="008409FA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  <w:r w:rsidRPr="004C031F">
        <w:rPr>
          <w:rFonts w:ascii="Calibri" w:hAnsi="Calibri" w:cs="Calibri"/>
        </w:rPr>
        <w:t>Kontrolováno bylo</w:t>
      </w:r>
      <w:r w:rsidR="00637B66" w:rsidRPr="004C031F">
        <w:rPr>
          <w:rFonts w:ascii="Calibri" w:hAnsi="Calibri" w:cs="Calibri"/>
        </w:rPr>
        <w:t xml:space="preserve"> </w:t>
      </w:r>
      <w:r w:rsidR="00E47DAC" w:rsidRPr="004C031F">
        <w:rPr>
          <w:rFonts w:ascii="Calibri" w:hAnsi="Calibri" w:cs="Calibri"/>
        </w:rPr>
        <w:t>období</w:t>
      </w:r>
      <w:r w:rsidRPr="004C031F">
        <w:rPr>
          <w:rFonts w:ascii="Calibri" w:hAnsi="Calibri" w:cs="Calibri"/>
        </w:rPr>
        <w:t xml:space="preserve"> od roku 20</w:t>
      </w:r>
      <w:r w:rsidR="006A105E">
        <w:rPr>
          <w:rFonts w:ascii="Calibri" w:hAnsi="Calibri" w:cs="Calibri"/>
        </w:rPr>
        <w:t>11</w:t>
      </w:r>
      <w:r w:rsidR="001E1D26" w:rsidRPr="004C031F">
        <w:rPr>
          <w:rFonts w:ascii="Calibri" w:hAnsi="Calibri" w:cs="Calibri"/>
        </w:rPr>
        <w:t xml:space="preserve"> do roku</w:t>
      </w:r>
      <w:r w:rsidRPr="004C031F">
        <w:rPr>
          <w:rFonts w:ascii="Calibri" w:hAnsi="Calibri" w:cs="Calibri"/>
        </w:rPr>
        <w:t xml:space="preserve"> 201</w:t>
      </w:r>
      <w:r w:rsidR="001C3B0C">
        <w:rPr>
          <w:rFonts w:ascii="Calibri" w:hAnsi="Calibri" w:cs="Calibri"/>
        </w:rPr>
        <w:t>6</w:t>
      </w:r>
      <w:r w:rsidR="00491C48" w:rsidRPr="004C031F">
        <w:rPr>
          <w:rFonts w:ascii="Calibri" w:hAnsi="Calibri" w:cs="Calibri"/>
        </w:rPr>
        <w:t>,</w:t>
      </w:r>
      <w:r w:rsidR="00E47DAC" w:rsidRPr="004C031F">
        <w:rPr>
          <w:rFonts w:ascii="Calibri" w:hAnsi="Calibri" w:cs="Calibri"/>
        </w:rPr>
        <w:t xml:space="preserve"> </w:t>
      </w:r>
      <w:r w:rsidR="00150511" w:rsidRPr="004C031F">
        <w:rPr>
          <w:rFonts w:ascii="Calibri" w:hAnsi="Calibri" w:cs="Calibri"/>
        </w:rPr>
        <w:t>v</w:t>
      </w:r>
      <w:r w:rsidR="00DB2620" w:rsidRPr="004C031F">
        <w:rPr>
          <w:rFonts w:ascii="Calibri" w:hAnsi="Calibri" w:cs="Calibri"/>
        </w:rPr>
        <w:t xml:space="preserve"> </w:t>
      </w:r>
      <w:r w:rsidR="00DD1F0E" w:rsidRPr="004C031F">
        <w:rPr>
          <w:rFonts w:ascii="Calibri" w:hAnsi="Calibri" w:cs="Calibri"/>
        </w:rPr>
        <w:t>případě věcných souvislostí i</w:t>
      </w:r>
      <w:r w:rsidR="00DB2620" w:rsidRPr="004C031F">
        <w:rPr>
          <w:rFonts w:ascii="Calibri" w:hAnsi="Calibri" w:cs="Calibri"/>
        </w:rPr>
        <w:t xml:space="preserve"> </w:t>
      </w:r>
      <w:r w:rsidR="00DD1F0E" w:rsidRPr="004C031F">
        <w:rPr>
          <w:rFonts w:ascii="Calibri" w:hAnsi="Calibri" w:cs="Calibri"/>
        </w:rPr>
        <w:t>období</w:t>
      </w:r>
      <w:r w:rsidR="00CD1855" w:rsidRPr="004C031F">
        <w:rPr>
          <w:rFonts w:ascii="Calibri" w:hAnsi="Calibri" w:cs="Calibri"/>
        </w:rPr>
        <w:t xml:space="preserve"> </w:t>
      </w:r>
      <w:r w:rsidR="00CD1855" w:rsidRPr="00D95701">
        <w:rPr>
          <w:rFonts w:ascii="Calibri" w:hAnsi="Calibri" w:cs="Calibri"/>
        </w:rPr>
        <w:t>předcházející</w:t>
      </w:r>
      <w:r w:rsidR="003163D4" w:rsidRPr="00D95701">
        <w:rPr>
          <w:rFonts w:ascii="Calibri" w:hAnsi="Calibri" w:cs="Calibri"/>
        </w:rPr>
        <w:t xml:space="preserve"> a následující</w:t>
      </w:r>
      <w:r w:rsidR="00DD1F0E" w:rsidRPr="004C031F">
        <w:rPr>
          <w:rFonts w:ascii="Calibri" w:hAnsi="Calibri" w:cs="Calibri"/>
        </w:rPr>
        <w:t xml:space="preserve">. </w:t>
      </w:r>
      <w:r w:rsidR="00E47DAC" w:rsidRPr="004C031F">
        <w:rPr>
          <w:rFonts w:ascii="Calibri" w:hAnsi="Calibri" w:cs="Calibri"/>
        </w:rPr>
        <w:t>Kontrola byla prov</w:t>
      </w:r>
      <w:r w:rsidR="005C2A50" w:rsidRPr="004C031F">
        <w:rPr>
          <w:rFonts w:ascii="Calibri" w:hAnsi="Calibri" w:cs="Calibri"/>
        </w:rPr>
        <w:t>á</w:t>
      </w:r>
      <w:r w:rsidR="00E47DAC" w:rsidRPr="004C031F">
        <w:rPr>
          <w:rFonts w:ascii="Calibri" w:hAnsi="Calibri" w:cs="Calibri"/>
        </w:rPr>
        <w:t>d</w:t>
      </w:r>
      <w:r w:rsidR="005C2A50" w:rsidRPr="004C031F">
        <w:rPr>
          <w:rFonts w:ascii="Calibri" w:hAnsi="Calibri" w:cs="Calibri"/>
        </w:rPr>
        <w:t>ě</w:t>
      </w:r>
      <w:r w:rsidR="00E47DAC" w:rsidRPr="004C031F">
        <w:rPr>
          <w:rFonts w:ascii="Calibri" w:hAnsi="Calibri" w:cs="Calibri"/>
        </w:rPr>
        <w:t xml:space="preserve">na </w:t>
      </w:r>
      <w:r w:rsidR="004C1208">
        <w:rPr>
          <w:rFonts w:ascii="Calibri" w:hAnsi="Calibri" w:cs="Calibri"/>
        </w:rPr>
        <w:t xml:space="preserve">u kontrolovaných osob </w:t>
      </w:r>
      <w:r w:rsidR="00E47DAC" w:rsidRPr="004C031F">
        <w:rPr>
          <w:rFonts w:ascii="Calibri" w:hAnsi="Calibri" w:cs="Calibri"/>
        </w:rPr>
        <w:t xml:space="preserve">od </w:t>
      </w:r>
      <w:r w:rsidR="001C3B0C">
        <w:rPr>
          <w:rFonts w:ascii="Calibri" w:hAnsi="Calibri" w:cs="Calibri"/>
        </w:rPr>
        <w:t>září</w:t>
      </w:r>
      <w:r w:rsidR="006A105E">
        <w:rPr>
          <w:rFonts w:ascii="Calibri" w:hAnsi="Calibri" w:cs="Calibri"/>
        </w:rPr>
        <w:t xml:space="preserve"> </w:t>
      </w:r>
      <w:r w:rsidR="001C3B0C">
        <w:rPr>
          <w:rFonts w:ascii="Calibri" w:hAnsi="Calibri" w:cs="Calibri"/>
        </w:rPr>
        <w:t xml:space="preserve">2016 </w:t>
      </w:r>
      <w:r w:rsidR="000E67B9" w:rsidRPr="004C031F">
        <w:rPr>
          <w:rFonts w:ascii="Calibri" w:hAnsi="Calibri" w:cs="Calibri"/>
        </w:rPr>
        <w:t xml:space="preserve">do </w:t>
      </w:r>
      <w:r w:rsidR="001C3B0C">
        <w:rPr>
          <w:rFonts w:ascii="Calibri" w:hAnsi="Calibri" w:cs="Calibri"/>
        </w:rPr>
        <w:t>dubna</w:t>
      </w:r>
      <w:r w:rsidR="00836B07">
        <w:rPr>
          <w:rFonts w:ascii="Calibri" w:hAnsi="Calibri" w:cs="Calibri"/>
        </w:rPr>
        <w:t xml:space="preserve"> </w:t>
      </w:r>
      <w:r w:rsidR="006A105E">
        <w:rPr>
          <w:rFonts w:ascii="Calibri" w:hAnsi="Calibri" w:cs="Calibri"/>
        </w:rPr>
        <w:t>201</w:t>
      </w:r>
      <w:r w:rsidR="001C3B0C">
        <w:rPr>
          <w:rFonts w:ascii="Calibri" w:hAnsi="Calibri" w:cs="Calibri"/>
        </w:rPr>
        <w:t>7</w:t>
      </w:r>
      <w:r w:rsidR="00DE137C" w:rsidRPr="004C031F">
        <w:rPr>
          <w:rFonts w:ascii="Calibri" w:hAnsi="Calibri" w:cs="Calibri"/>
        </w:rPr>
        <w:t>.</w:t>
      </w:r>
    </w:p>
    <w:p w14:paraId="12B366E1" w14:textId="77777777" w:rsidR="007E79AC" w:rsidRDefault="007E79AC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</w:p>
    <w:p w14:paraId="1912D2DF" w14:textId="77777777" w:rsidR="007E79AC" w:rsidRDefault="00310230" w:rsidP="005D70FF">
      <w:pPr>
        <w:pStyle w:val="Zkladntextodsazen"/>
        <w:spacing w:after="0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836B07">
        <w:rPr>
          <w:rFonts w:ascii="Calibri" w:hAnsi="Calibri" w:cs="Calibri"/>
        </w:rPr>
        <w:t>ontrolovan</w:t>
      </w:r>
      <w:r w:rsidR="007E79AC">
        <w:rPr>
          <w:rFonts w:ascii="Calibri" w:hAnsi="Calibri" w:cs="Calibri"/>
        </w:rPr>
        <w:t>é osoby:</w:t>
      </w:r>
    </w:p>
    <w:p w14:paraId="65F02B7E" w14:textId="73D60F0D" w:rsidR="0003416D" w:rsidRDefault="00836B07" w:rsidP="001F55FB">
      <w:pPr>
        <w:pStyle w:val="Zkladntextodsazen"/>
        <w:numPr>
          <w:ilvl w:val="0"/>
          <w:numId w:val="25"/>
        </w:numPr>
        <w:spacing w:after="0"/>
        <w:ind w:left="284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Ministerstvo </w:t>
      </w:r>
      <w:r w:rsidR="001C3B0C">
        <w:rPr>
          <w:rFonts w:ascii="Calibri" w:hAnsi="Calibri" w:cs="Calibri"/>
        </w:rPr>
        <w:t>školství, mládeže a tělovýchovy</w:t>
      </w:r>
      <w:r w:rsidR="00504910">
        <w:rPr>
          <w:rFonts w:ascii="Calibri" w:hAnsi="Calibri" w:cs="Calibri"/>
        </w:rPr>
        <w:t xml:space="preserve"> (dále též „MŠMT“)</w:t>
      </w:r>
      <w:r w:rsidR="004F6355">
        <w:rPr>
          <w:rFonts w:ascii="Calibri" w:hAnsi="Calibri" w:cs="Calibri"/>
        </w:rPr>
        <w:t>,</w:t>
      </w:r>
    </w:p>
    <w:p w14:paraId="47604C63" w14:textId="0F65D9F7" w:rsidR="0003416D" w:rsidRDefault="007E79AC" w:rsidP="001F55FB">
      <w:pPr>
        <w:pStyle w:val="Zkladntextodsazen"/>
        <w:numPr>
          <w:ilvl w:val="0"/>
          <w:numId w:val="25"/>
        </w:numPr>
        <w:spacing w:after="0"/>
        <w:ind w:left="284" w:hanging="284"/>
        <w:jc w:val="both"/>
        <w:rPr>
          <w:rFonts w:ascii="Calibri" w:hAnsi="Calibri" w:cs="Calibri"/>
        </w:rPr>
      </w:pPr>
      <w:r w:rsidRPr="0003416D">
        <w:rPr>
          <w:rFonts w:ascii="Calibri" w:hAnsi="Calibri" w:cs="Calibri"/>
        </w:rPr>
        <w:t>České vysoké učení technické v</w:t>
      </w:r>
      <w:r w:rsidR="004F6355">
        <w:rPr>
          <w:rFonts w:ascii="Calibri" w:hAnsi="Calibri" w:cs="Calibri"/>
        </w:rPr>
        <w:t> </w:t>
      </w:r>
      <w:r w:rsidRPr="0003416D">
        <w:rPr>
          <w:rFonts w:ascii="Calibri" w:hAnsi="Calibri" w:cs="Calibri"/>
        </w:rPr>
        <w:t>Praze</w:t>
      </w:r>
      <w:r w:rsidR="004F6355">
        <w:rPr>
          <w:rFonts w:ascii="Calibri" w:hAnsi="Calibri" w:cs="Calibri"/>
        </w:rPr>
        <w:t xml:space="preserve"> (dále též „ČVUT“),</w:t>
      </w:r>
    </w:p>
    <w:p w14:paraId="5E38BEA5" w14:textId="11E163D9" w:rsidR="0003416D" w:rsidRDefault="007E79AC" w:rsidP="001F55FB">
      <w:pPr>
        <w:pStyle w:val="Zkladntextodsazen"/>
        <w:numPr>
          <w:ilvl w:val="0"/>
          <w:numId w:val="25"/>
        </w:numPr>
        <w:spacing w:after="0"/>
        <w:ind w:left="284" w:hanging="284"/>
        <w:jc w:val="both"/>
        <w:rPr>
          <w:rFonts w:ascii="Calibri" w:hAnsi="Calibri" w:cs="Calibri"/>
        </w:rPr>
      </w:pPr>
      <w:r w:rsidRPr="0003416D">
        <w:rPr>
          <w:rFonts w:ascii="Calibri" w:hAnsi="Calibri" w:cs="Calibri"/>
        </w:rPr>
        <w:t>Univerzita Hradec Králové</w:t>
      </w:r>
      <w:r w:rsidR="004F6355">
        <w:rPr>
          <w:rFonts w:ascii="Calibri" w:hAnsi="Calibri" w:cs="Calibri"/>
        </w:rPr>
        <w:t xml:space="preserve"> (dále též „UHK“),</w:t>
      </w:r>
    </w:p>
    <w:p w14:paraId="03F38123" w14:textId="3245A1BD" w:rsidR="0003416D" w:rsidRDefault="007E79AC" w:rsidP="001F55FB">
      <w:pPr>
        <w:pStyle w:val="Zkladntextodsazen"/>
        <w:numPr>
          <w:ilvl w:val="0"/>
          <w:numId w:val="25"/>
        </w:numPr>
        <w:spacing w:after="0"/>
        <w:ind w:left="284" w:hanging="284"/>
        <w:jc w:val="both"/>
        <w:rPr>
          <w:rFonts w:ascii="Calibri" w:hAnsi="Calibri" w:cs="Calibri"/>
        </w:rPr>
      </w:pPr>
      <w:r w:rsidRPr="0003416D">
        <w:rPr>
          <w:rFonts w:ascii="Calibri" w:hAnsi="Calibri" w:cs="Calibri"/>
        </w:rPr>
        <w:t>Vysoké učení technické v</w:t>
      </w:r>
      <w:r w:rsidR="004F6355">
        <w:rPr>
          <w:rFonts w:ascii="Calibri" w:hAnsi="Calibri" w:cs="Calibri"/>
        </w:rPr>
        <w:t> </w:t>
      </w:r>
      <w:r w:rsidRPr="0003416D">
        <w:rPr>
          <w:rFonts w:ascii="Calibri" w:hAnsi="Calibri" w:cs="Calibri"/>
        </w:rPr>
        <w:t>Brně</w:t>
      </w:r>
      <w:r w:rsidR="004F6355">
        <w:rPr>
          <w:rFonts w:ascii="Calibri" w:hAnsi="Calibri" w:cs="Calibri"/>
        </w:rPr>
        <w:t xml:space="preserve"> (dále též „VUT“),</w:t>
      </w:r>
    </w:p>
    <w:p w14:paraId="02A0EB46" w14:textId="68632DF0" w:rsidR="007E79AC" w:rsidRPr="0003416D" w:rsidRDefault="007E79AC" w:rsidP="001F55FB">
      <w:pPr>
        <w:pStyle w:val="Zkladntextodsazen"/>
        <w:numPr>
          <w:ilvl w:val="0"/>
          <w:numId w:val="25"/>
        </w:numPr>
        <w:spacing w:after="0"/>
        <w:ind w:left="284" w:hanging="284"/>
        <w:jc w:val="both"/>
        <w:rPr>
          <w:rFonts w:ascii="Calibri" w:hAnsi="Calibri" w:cs="Calibri"/>
        </w:rPr>
      </w:pPr>
      <w:r w:rsidRPr="0003416D">
        <w:rPr>
          <w:rFonts w:ascii="Calibri" w:hAnsi="Calibri" w:cs="Calibri"/>
        </w:rPr>
        <w:t>Univerzita Palackého v</w:t>
      </w:r>
      <w:r w:rsidR="004F6355">
        <w:rPr>
          <w:rFonts w:ascii="Calibri" w:hAnsi="Calibri" w:cs="Calibri"/>
        </w:rPr>
        <w:t> </w:t>
      </w:r>
      <w:r w:rsidRPr="0003416D">
        <w:rPr>
          <w:rFonts w:ascii="Calibri" w:hAnsi="Calibri" w:cs="Calibri"/>
        </w:rPr>
        <w:t>Olomouci</w:t>
      </w:r>
      <w:r w:rsidR="004F6355">
        <w:rPr>
          <w:rFonts w:ascii="Calibri" w:hAnsi="Calibri" w:cs="Calibri"/>
        </w:rPr>
        <w:t xml:space="preserve"> (dále též „UPOL“).</w:t>
      </w:r>
    </w:p>
    <w:p w14:paraId="71DD4CE5" w14:textId="77777777" w:rsidR="00836B07" w:rsidRDefault="00836B07" w:rsidP="00836B07">
      <w:pPr>
        <w:pStyle w:val="Zkladn"/>
        <w:spacing w:before="0"/>
        <w:rPr>
          <w:rFonts w:asciiTheme="minorHAnsi" w:hAnsiTheme="minorHAnsi" w:cstheme="minorHAnsi"/>
        </w:rPr>
      </w:pPr>
    </w:p>
    <w:p w14:paraId="1CF988B5" w14:textId="27435F43" w:rsidR="00836B07" w:rsidRDefault="00836B07" w:rsidP="00836B07">
      <w:pPr>
        <w:pStyle w:val="Zkladn"/>
        <w:spacing w:before="0"/>
        <w:rPr>
          <w:rFonts w:asciiTheme="minorHAnsi" w:hAnsiTheme="minorHAnsi" w:cstheme="minorHAnsi"/>
        </w:rPr>
      </w:pPr>
      <w:r w:rsidRPr="00504910">
        <w:rPr>
          <w:rFonts w:asciiTheme="minorHAnsi" w:hAnsiTheme="minorHAnsi" w:cstheme="minorHAnsi"/>
        </w:rPr>
        <w:t>Námitky proti kon</w:t>
      </w:r>
      <w:r w:rsidR="00504910" w:rsidRPr="00504910">
        <w:rPr>
          <w:rFonts w:asciiTheme="minorHAnsi" w:hAnsiTheme="minorHAnsi" w:cstheme="minorHAnsi"/>
        </w:rPr>
        <w:t>trolnímu protokolu, které podal</w:t>
      </w:r>
      <w:r w:rsidR="001F55FB">
        <w:rPr>
          <w:rFonts w:asciiTheme="minorHAnsi" w:hAnsiTheme="minorHAnsi" w:cstheme="minorHAnsi"/>
        </w:rPr>
        <w:t>y</w:t>
      </w:r>
      <w:r w:rsidRPr="00504910">
        <w:rPr>
          <w:rFonts w:asciiTheme="minorHAnsi" w:hAnsiTheme="minorHAnsi" w:cstheme="minorHAnsi"/>
        </w:rPr>
        <w:t xml:space="preserve"> Ministerstvo </w:t>
      </w:r>
      <w:r w:rsidR="000E05D8" w:rsidRPr="00504910">
        <w:rPr>
          <w:rFonts w:ascii="Calibri" w:hAnsi="Calibri" w:cs="Calibri"/>
        </w:rPr>
        <w:t>školství, mládeže a tělovýchovy</w:t>
      </w:r>
      <w:r w:rsidR="00504910" w:rsidRPr="00504910">
        <w:rPr>
          <w:rFonts w:ascii="Calibri" w:hAnsi="Calibri" w:cs="Calibri"/>
        </w:rPr>
        <w:t xml:space="preserve"> a České vysoké učení technické v Praze</w:t>
      </w:r>
      <w:r w:rsidRPr="00504910">
        <w:rPr>
          <w:rFonts w:asciiTheme="minorHAnsi" w:hAnsiTheme="minorHAnsi" w:cstheme="minorHAnsi"/>
        </w:rPr>
        <w:t>, byl</w:t>
      </w:r>
      <w:r w:rsidR="000E05D8" w:rsidRPr="00504910">
        <w:rPr>
          <w:rFonts w:asciiTheme="minorHAnsi" w:hAnsiTheme="minorHAnsi" w:cstheme="minorHAnsi"/>
        </w:rPr>
        <w:t>y</w:t>
      </w:r>
      <w:r w:rsidRPr="00504910">
        <w:rPr>
          <w:rFonts w:asciiTheme="minorHAnsi" w:hAnsiTheme="minorHAnsi" w:cstheme="minorHAnsi"/>
        </w:rPr>
        <w:t xml:space="preserve"> vypořádán</w:t>
      </w:r>
      <w:r w:rsidR="000E05D8" w:rsidRPr="00504910">
        <w:rPr>
          <w:rFonts w:asciiTheme="minorHAnsi" w:hAnsiTheme="minorHAnsi" w:cstheme="minorHAnsi"/>
        </w:rPr>
        <w:t>y vedoucí</w:t>
      </w:r>
      <w:r w:rsidR="00504910" w:rsidRPr="00504910">
        <w:rPr>
          <w:rFonts w:asciiTheme="minorHAnsi" w:hAnsiTheme="minorHAnsi" w:cstheme="minorHAnsi"/>
        </w:rPr>
        <w:t>mi</w:t>
      </w:r>
      <w:r w:rsidRPr="00504910">
        <w:rPr>
          <w:rFonts w:asciiTheme="minorHAnsi" w:hAnsiTheme="minorHAnsi" w:cstheme="minorHAnsi"/>
        </w:rPr>
        <w:t xml:space="preserve"> skupin kontrolujících rozhodnutím</w:t>
      </w:r>
      <w:r w:rsidR="00504910" w:rsidRPr="00504910">
        <w:rPr>
          <w:rFonts w:asciiTheme="minorHAnsi" w:hAnsiTheme="minorHAnsi" w:cstheme="minorHAnsi"/>
        </w:rPr>
        <w:t>i</w:t>
      </w:r>
      <w:r w:rsidRPr="00504910">
        <w:rPr>
          <w:rFonts w:asciiTheme="minorHAnsi" w:hAnsiTheme="minorHAnsi" w:cstheme="minorHAnsi"/>
        </w:rPr>
        <w:t xml:space="preserve"> o námitkách.</w:t>
      </w:r>
    </w:p>
    <w:p w14:paraId="545E0AA8" w14:textId="42BBA9F6" w:rsidR="00836B07" w:rsidRDefault="00836B07" w:rsidP="00836B07">
      <w:pPr>
        <w:ind w:right="70"/>
        <w:jc w:val="both"/>
        <w:rPr>
          <w:rFonts w:asciiTheme="minorHAnsi" w:hAnsiTheme="minorHAnsi" w:cstheme="minorHAnsi"/>
        </w:rPr>
      </w:pPr>
    </w:p>
    <w:p w14:paraId="3474129E" w14:textId="77777777" w:rsidR="008F4358" w:rsidRDefault="008F4358" w:rsidP="00836B07">
      <w:pPr>
        <w:ind w:right="70"/>
        <w:jc w:val="both"/>
        <w:rPr>
          <w:rFonts w:asciiTheme="minorHAnsi" w:hAnsiTheme="minorHAnsi" w:cstheme="minorHAnsi"/>
        </w:rPr>
      </w:pPr>
    </w:p>
    <w:p w14:paraId="36CBA1D4" w14:textId="6D744157" w:rsidR="00836B07" w:rsidRPr="002E505E" w:rsidRDefault="00836B07" w:rsidP="00836B07">
      <w:pPr>
        <w:ind w:right="7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 o l e g i u m</w:t>
      </w:r>
      <w:r w:rsidRPr="002E505E">
        <w:rPr>
          <w:rFonts w:asciiTheme="minorHAnsi" w:hAnsiTheme="minorHAnsi" w:cstheme="minorHAnsi"/>
        </w:rPr>
        <w:t xml:space="preserve">   </w:t>
      </w:r>
      <w:r w:rsidRPr="002E505E">
        <w:rPr>
          <w:rFonts w:asciiTheme="minorHAnsi" w:hAnsiTheme="minorHAnsi" w:cstheme="minorHAnsi"/>
          <w:b/>
          <w:bCs/>
          <w:i/>
          <w:iCs/>
        </w:rPr>
        <w:t xml:space="preserve">N K Ú  </w:t>
      </w:r>
      <w:r w:rsidRPr="002E505E">
        <w:rPr>
          <w:rFonts w:asciiTheme="minorHAnsi" w:hAnsiTheme="minorHAnsi" w:cstheme="minorHAnsi"/>
          <w:b/>
          <w:bCs/>
          <w:iCs/>
        </w:rPr>
        <w:t xml:space="preserve"> </w:t>
      </w:r>
      <w:r w:rsidRPr="002E505E">
        <w:rPr>
          <w:rFonts w:asciiTheme="minorHAnsi" w:hAnsiTheme="minorHAnsi" w:cstheme="minorHAnsi"/>
        </w:rPr>
        <w:t xml:space="preserve">na svém </w:t>
      </w:r>
      <w:r w:rsidR="00CE028F">
        <w:rPr>
          <w:rFonts w:asciiTheme="minorHAnsi" w:hAnsiTheme="minorHAnsi" w:cstheme="minorHAnsi"/>
        </w:rPr>
        <w:t>XI</w:t>
      </w:r>
      <w:r>
        <w:rPr>
          <w:rFonts w:asciiTheme="minorHAnsi" w:hAnsiTheme="minorHAnsi" w:cstheme="minorHAnsi"/>
        </w:rPr>
        <w:t>.</w:t>
      </w:r>
      <w:r w:rsidRPr="002E50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jedn</w:t>
      </w:r>
      <w:r w:rsidRPr="002E505E">
        <w:rPr>
          <w:rFonts w:asciiTheme="minorHAnsi" w:hAnsiTheme="minorHAnsi" w:cstheme="minorHAnsi"/>
        </w:rPr>
        <w:t xml:space="preserve">ání, </w:t>
      </w:r>
      <w:r>
        <w:rPr>
          <w:rFonts w:asciiTheme="minorHAnsi" w:hAnsiTheme="minorHAnsi" w:cstheme="minorHAnsi"/>
        </w:rPr>
        <w:t xml:space="preserve">které se </w:t>
      </w:r>
      <w:r w:rsidRPr="002E505E">
        <w:rPr>
          <w:rFonts w:asciiTheme="minorHAnsi" w:hAnsiTheme="minorHAnsi" w:cstheme="minorHAnsi"/>
        </w:rPr>
        <w:t>kona</w:t>
      </w:r>
      <w:r>
        <w:rPr>
          <w:rFonts w:asciiTheme="minorHAnsi" w:hAnsiTheme="minorHAnsi" w:cstheme="minorHAnsi"/>
        </w:rPr>
        <w:t>lo</w:t>
      </w:r>
      <w:r w:rsidRPr="002E505E">
        <w:rPr>
          <w:rFonts w:asciiTheme="minorHAnsi" w:hAnsiTheme="minorHAnsi" w:cstheme="minorHAnsi"/>
        </w:rPr>
        <w:t xml:space="preserve"> dne</w:t>
      </w:r>
      <w:r w:rsidR="00CE028F">
        <w:rPr>
          <w:rFonts w:asciiTheme="minorHAnsi" w:hAnsiTheme="minorHAnsi" w:cstheme="minorHAnsi"/>
        </w:rPr>
        <w:t xml:space="preserve"> 24. července</w:t>
      </w:r>
      <w:r>
        <w:rPr>
          <w:rFonts w:asciiTheme="minorHAnsi" w:hAnsiTheme="minorHAnsi" w:cstheme="minorHAnsi"/>
        </w:rPr>
        <w:t xml:space="preserve"> 201</w:t>
      </w:r>
      <w:r w:rsidR="001C3B0C">
        <w:rPr>
          <w:rFonts w:asciiTheme="minorHAnsi" w:hAnsiTheme="minorHAnsi" w:cstheme="minorHAnsi"/>
        </w:rPr>
        <w:t>7</w:t>
      </w:r>
      <w:r w:rsidRPr="002E505E">
        <w:rPr>
          <w:rFonts w:asciiTheme="minorHAnsi" w:hAnsiTheme="minorHAnsi" w:cstheme="minorHAnsi"/>
        </w:rPr>
        <w:t xml:space="preserve">, </w:t>
      </w:r>
    </w:p>
    <w:p w14:paraId="3D0C10D7" w14:textId="52DBCB10" w:rsidR="00836B07" w:rsidRPr="002E505E" w:rsidRDefault="00836B07" w:rsidP="00836B07">
      <w:pPr>
        <w:ind w:right="68"/>
        <w:jc w:val="both"/>
        <w:rPr>
          <w:rFonts w:asciiTheme="minorHAnsi" w:hAnsiTheme="minorHAnsi" w:cstheme="minorHAnsi"/>
        </w:rPr>
      </w:pPr>
      <w:proofErr w:type="gramStart"/>
      <w:r w:rsidRPr="002E505E">
        <w:rPr>
          <w:rFonts w:asciiTheme="minorHAnsi" w:hAnsiTheme="minorHAnsi" w:cstheme="minorHAnsi"/>
          <w:b/>
          <w:bCs/>
          <w:i/>
          <w:iCs/>
        </w:rPr>
        <w:t>s c h v á l i l o</w:t>
      </w:r>
      <w:r w:rsidRPr="002E505E">
        <w:rPr>
          <w:rFonts w:asciiTheme="minorHAnsi" w:hAnsiTheme="minorHAnsi" w:cstheme="minorHAnsi"/>
        </w:rPr>
        <w:t xml:space="preserve">   usnesením č.</w:t>
      </w:r>
      <w:proofErr w:type="gramEnd"/>
      <w:r w:rsidRPr="002E505E">
        <w:rPr>
          <w:rFonts w:asciiTheme="minorHAnsi" w:hAnsiTheme="minorHAnsi" w:cstheme="minorHAnsi"/>
        </w:rPr>
        <w:t xml:space="preserve"> </w:t>
      </w:r>
      <w:r w:rsidR="003E12BA">
        <w:rPr>
          <w:rFonts w:asciiTheme="minorHAnsi" w:hAnsiTheme="minorHAnsi" w:cstheme="minorHAnsi"/>
        </w:rPr>
        <w:t>8</w:t>
      </w:r>
      <w:r w:rsidR="001C3B0C">
        <w:rPr>
          <w:rFonts w:asciiTheme="minorHAnsi" w:hAnsiTheme="minorHAnsi" w:cstheme="minorHAnsi"/>
        </w:rPr>
        <w:t>/</w:t>
      </w:r>
      <w:r w:rsidR="00CE028F">
        <w:rPr>
          <w:rFonts w:asciiTheme="minorHAnsi" w:hAnsiTheme="minorHAnsi" w:cstheme="minorHAnsi"/>
        </w:rPr>
        <w:t>XI</w:t>
      </w:r>
      <w:r w:rsidR="001C3B0C">
        <w:rPr>
          <w:rFonts w:asciiTheme="minorHAnsi" w:hAnsiTheme="minorHAnsi" w:cstheme="minorHAnsi"/>
        </w:rPr>
        <w:t>/2017</w:t>
      </w:r>
    </w:p>
    <w:p w14:paraId="12EEE53F" w14:textId="77777777" w:rsidR="00836B07" w:rsidRDefault="00836B07" w:rsidP="00836B07">
      <w:pPr>
        <w:ind w:right="70"/>
        <w:jc w:val="both"/>
        <w:rPr>
          <w:rFonts w:asciiTheme="minorHAnsi" w:hAnsiTheme="minorHAnsi" w:cstheme="minorHAnsi"/>
        </w:rPr>
      </w:pPr>
      <w:r w:rsidRPr="002E505E">
        <w:rPr>
          <w:rFonts w:asciiTheme="minorHAnsi" w:hAnsiTheme="minorHAnsi" w:cstheme="minorHAnsi"/>
          <w:b/>
          <w:bCs/>
          <w:i/>
          <w:iCs/>
        </w:rPr>
        <w:t>k o n t r o l n í   z á v ě r</w:t>
      </w:r>
      <w:r w:rsidRPr="002E505E">
        <w:rPr>
          <w:rFonts w:asciiTheme="minorHAnsi" w:hAnsiTheme="minorHAnsi" w:cstheme="minorHAnsi"/>
        </w:rPr>
        <w:t xml:space="preserve">   v</w:t>
      </w:r>
      <w:r>
        <w:rPr>
          <w:rFonts w:asciiTheme="minorHAnsi" w:hAnsiTheme="minorHAnsi" w:cstheme="minorHAnsi"/>
        </w:rPr>
        <w:t xml:space="preserve"> </w:t>
      </w:r>
      <w:r w:rsidRPr="002E505E">
        <w:rPr>
          <w:rFonts w:asciiTheme="minorHAnsi" w:hAnsiTheme="minorHAnsi" w:cstheme="minorHAnsi"/>
        </w:rPr>
        <w:t>tomto znění:</w:t>
      </w:r>
    </w:p>
    <w:p w14:paraId="48C3A734" w14:textId="3125F70A" w:rsidR="008A6BEC" w:rsidRDefault="008A6BEC" w:rsidP="008F4358">
      <w:pPr>
        <w:rPr>
          <w:rFonts w:ascii="Calibri" w:hAnsi="Calibri" w:cs="Calibri"/>
        </w:rPr>
      </w:pPr>
    </w:p>
    <w:p w14:paraId="18830677" w14:textId="77777777" w:rsidR="008F4358" w:rsidRPr="008F4358" w:rsidRDefault="008F4358" w:rsidP="008F4358">
      <w:pPr>
        <w:rPr>
          <w:rFonts w:ascii="Calibri" w:hAnsi="Calibri" w:cs="Calibri"/>
        </w:rPr>
      </w:pPr>
    </w:p>
    <w:p w14:paraId="2B286AE9" w14:textId="77777777" w:rsidR="008F4358" w:rsidRDefault="008F4358">
      <w:pPr>
        <w:rPr>
          <w:rFonts w:ascii="Calibri" w:hAnsi="Calibri" w:cstheme="minorHAnsi"/>
          <w:b/>
        </w:rPr>
      </w:pPr>
      <w:r>
        <w:rPr>
          <w:rFonts w:ascii="Calibri" w:hAnsi="Calibri" w:cstheme="minorHAnsi"/>
          <w:b/>
        </w:rPr>
        <w:br w:type="page"/>
      </w:r>
    </w:p>
    <w:p w14:paraId="723EDE48" w14:textId="0930AB4D" w:rsidR="000928BB" w:rsidRPr="006D024F" w:rsidRDefault="00321BF4" w:rsidP="001C3B0C">
      <w:pPr>
        <w:spacing w:after="120"/>
        <w:jc w:val="center"/>
        <w:rPr>
          <w:rFonts w:ascii="Calibri" w:hAnsi="Calibri" w:cstheme="minorHAnsi"/>
          <w:b/>
          <w:sz w:val="28"/>
        </w:rPr>
      </w:pPr>
      <w:r w:rsidRPr="006D024F">
        <w:rPr>
          <w:rFonts w:ascii="Calibri" w:hAnsi="Calibri" w:cstheme="minorHAnsi"/>
          <w:b/>
          <w:sz w:val="28"/>
        </w:rPr>
        <w:lastRenderedPageBreak/>
        <w:t xml:space="preserve">I. </w:t>
      </w:r>
      <w:r w:rsidR="001F4965" w:rsidRPr="006D024F">
        <w:rPr>
          <w:rFonts w:ascii="Calibri" w:hAnsi="Calibri" w:cstheme="minorHAnsi"/>
          <w:b/>
          <w:sz w:val="28"/>
        </w:rPr>
        <w:t>Informace k předmětu kontroly</w:t>
      </w:r>
    </w:p>
    <w:p w14:paraId="134AED3D" w14:textId="47A1A80E" w:rsidR="00321BF4" w:rsidRDefault="007E79AC" w:rsidP="00B145B0">
      <w:pPr>
        <w:spacing w:after="120"/>
        <w:ind w:right="6"/>
        <w:jc w:val="both"/>
        <w:rPr>
          <w:rFonts w:ascii="Calibri" w:hAnsi="Calibri" w:cstheme="minorHAnsi"/>
          <w:bCs/>
          <w:shd w:val="clear" w:color="auto" w:fill="FFFFFF"/>
        </w:rPr>
      </w:pPr>
      <w:r w:rsidRPr="007E79AC">
        <w:rPr>
          <w:rFonts w:ascii="Calibri" w:hAnsi="Calibri" w:cstheme="minorHAnsi"/>
        </w:rPr>
        <w:t>Ministerstvo školství, mládeže a tělovýchovy</w:t>
      </w:r>
      <w:r>
        <w:rPr>
          <w:rFonts w:ascii="Calibri" w:hAnsi="Calibri" w:cstheme="minorHAnsi"/>
        </w:rPr>
        <w:t xml:space="preserve"> je ústředním orgánem státní správy mimo jiné pro oblast vysokého</w:t>
      </w:r>
      <w:r w:rsidR="00DB71DB">
        <w:rPr>
          <w:rFonts w:ascii="Calibri" w:hAnsi="Calibri" w:cstheme="minorHAnsi"/>
        </w:rPr>
        <w:t xml:space="preserve"> školství, vědu, výzkum a vývoj.</w:t>
      </w:r>
      <w:r w:rsidR="0003416D">
        <w:rPr>
          <w:rFonts w:ascii="Calibri" w:hAnsi="Calibri" w:cstheme="minorHAnsi"/>
        </w:rPr>
        <w:t xml:space="preserve"> </w:t>
      </w:r>
      <w:r w:rsidR="001F4965" w:rsidRPr="001F4965">
        <w:rPr>
          <w:rFonts w:ascii="Calibri" w:hAnsi="Calibri" w:cstheme="minorHAnsi"/>
        </w:rPr>
        <w:t xml:space="preserve">MŠMT </w:t>
      </w:r>
      <w:r w:rsidR="00DB71DB">
        <w:rPr>
          <w:rFonts w:ascii="Calibri" w:hAnsi="Calibri" w:cstheme="minorHAnsi"/>
        </w:rPr>
        <w:t xml:space="preserve">je poskytovatelem peněžních prostředků státního rozpočtu (dále též „SR“) a </w:t>
      </w:r>
      <w:r w:rsidR="001F4965" w:rsidRPr="001F4965">
        <w:rPr>
          <w:rFonts w:ascii="Calibri" w:hAnsi="Calibri" w:cstheme="minorHAnsi"/>
        </w:rPr>
        <w:t>zpracovává koncepce rozvoje svěřených o</w:t>
      </w:r>
      <w:r w:rsidR="005D5749">
        <w:rPr>
          <w:rFonts w:ascii="Calibri" w:hAnsi="Calibri" w:cstheme="minorHAnsi"/>
        </w:rPr>
        <w:t>blastí</w:t>
      </w:r>
      <w:r w:rsidR="0095034F">
        <w:rPr>
          <w:rFonts w:ascii="Calibri" w:hAnsi="Calibri" w:cstheme="minorHAnsi"/>
        </w:rPr>
        <w:t xml:space="preserve">. MŠMT je </w:t>
      </w:r>
      <w:r w:rsidR="004F6355" w:rsidRPr="004F6355">
        <w:rPr>
          <w:rFonts w:ascii="Calibri" w:hAnsi="Calibri" w:cstheme="minorHAnsi"/>
        </w:rPr>
        <w:t>správcem program</w:t>
      </w:r>
      <w:r w:rsidR="004F6355">
        <w:rPr>
          <w:rFonts w:ascii="Calibri" w:hAnsi="Calibri" w:cstheme="minorHAnsi"/>
        </w:rPr>
        <w:t xml:space="preserve">u 133 210 </w:t>
      </w:r>
      <w:r w:rsidR="004F6355" w:rsidRPr="004F6355">
        <w:rPr>
          <w:rFonts w:ascii="Calibri" w:hAnsi="Calibri" w:cstheme="minorHAnsi"/>
        </w:rPr>
        <w:t xml:space="preserve">– </w:t>
      </w:r>
      <w:r w:rsidR="003B26BD">
        <w:rPr>
          <w:rFonts w:ascii="Calibri" w:hAnsi="Calibri" w:cstheme="minorHAnsi"/>
          <w:i/>
        </w:rPr>
        <w:t>Rozvoj a </w:t>
      </w:r>
      <w:r w:rsidR="004F6355" w:rsidRPr="004F6355">
        <w:rPr>
          <w:rFonts w:ascii="Calibri" w:hAnsi="Calibri" w:cstheme="minorHAnsi"/>
          <w:i/>
        </w:rPr>
        <w:t>obnova materiálně technické základny veřejných vysokých škol</w:t>
      </w:r>
      <w:r w:rsidR="004F6355" w:rsidRPr="004F6355">
        <w:rPr>
          <w:rFonts w:ascii="Calibri" w:hAnsi="Calibri" w:cstheme="minorHAnsi"/>
        </w:rPr>
        <w:t xml:space="preserve"> (dále jen „program</w:t>
      </w:r>
      <w:r w:rsidR="004F6355">
        <w:rPr>
          <w:rFonts w:ascii="Calibri" w:hAnsi="Calibri" w:cstheme="minorHAnsi"/>
        </w:rPr>
        <w:t xml:space="preserve">“), v jehož rámci jsou realizovány zejména </w:t>
      </w:r>
      <w:r w:rsidR="00D853A8">
        <w:rPr>
          <w:rFonts w:ascii="Calibri" w:hAnsi="Calibri" w:cstheme="minorHAnsi"/>
        </w:rPr>
        <w:t xml:space="preserve">akce </w:t>
      </w:r>
      <w:r w:rsidR="0095034F">
        <w:rPr>
          <w:rFonts w:ascii="Calibri" w:hAnsi="Calibri" w:cstheme="minorHAnsi"/>
        </w:rPr>
        <w:t xml:space="preserve">stavebního charakteru zaměřené </w:t>
      </w:r>
      <w:r w:rsidR="00111AFD">
        <w:rPr>
          <w:rFonts w:ascii="Calibri" w:hAnsi="Calibri" w:cstheme="minorHAnsi"/>
        </w:rPr>
        <w:t xml:space="preserve">na obnovu </w:t>
      </w:r>
      <w:r w:rsidR="004F6355">
        <w:rPr>
          <w:rFonts w:ascii="Calibri" w:hAnsi="Calibri" w:cstheme="minorHAnsi"/>
        </w:rPr>
        <w:t>objektů</w:t>
      </w:r>
      <w:r w:rsidR="00FD3A80">
        <w:rPr>
          <w:rFonts w:ascii="Calibri" w:hAnsi="Calibri" w:cstheme="minorHAnsi"/>
        </w:rPr>
        <w:t xml:space="preserve"> ve</w:t>
      </w:r>
      <w:r w:rsidR="00846B3B">
        <w:rPr>
          <w:rFonts w:ascii="Calibri" w:hAnsi="Calibri" w:cstheme="minorHAnsi"/>
        </w:rPr>
        <w:t>řejn</w:t>
      </w:r>
      <w:r w:rsidR="00FD3A80">
        <w:rPr>
          <w:rFonts w:ascii="Calibri" w:hAnsi="Calibri" w:cstheme="minorHAnsi"/>
        </w:rPr>
        <w:t>ých</w:t>
      </w:r>
      <w:r w:rsidR="00846B3B">
        <w:rPr>
          <w:rFonts w:ascii="Calibri" w:hAnsi="Calibri" w:cstheme="minorHAnsi"/>
        </w:rPr>
        <w:t xml:space="preserve"> vysok</w:t>
      </w:r>
      <w:r w:rsidR="00FD3A80">
        <w:rPr>
          <w:rFonts w:ascii="Calibri" w:hAnsi="Calibri" w:cstheme="minorHAnsi"/>
        </w:rPr>
        <w:t xml:space="preserve">ých </w:t>
      </w:r>
      <w:r w:rsidR="004F6355">
        <w:rPr>
          <w:rFonts w:ascii="Calibri" w:hAnsi="Calibri" w:cstheme="minorHAnsi"/>
        </w:rPr>
        <w:t>škol</w:t>
      </w:r>
      <w:r w:rsidR="0012540E">
        <w:rPr>
          <w:rFonts w:ascii="Calibri" w:hAnsi="Calibri" w:cstheme="minorHAnsi"/>
        </w:rPr>
        <w:t xml:space="preserve"> (dále též</w:t>
      </w:r>
      <w:r w:rsidR="00C025D8">
        <w:rPr>
          <w:rFonts w:ascii="Calibri" w:hAnsi="Calibri" w:cstheme="minorHAnsi"/>
        </w:rPr>
        <w:t xml:space="preserve"> </w:t>
      </w:r>
      <w:r w:rsidR="00846B3B">
        <w:rPr>
          <w:rFonts w:ascii="Calibri" w:hAnsi="Calibri" w:cstheme="minorHAnsi"/>
        </w:rPr>
        <w:t>„VVŠ“).</w:t>
      </w:r>
      <w:r w:rsidR="00427396">
        <w:rPr>
          <w:rFonts w:ascii="Calibri" w:hAnsi="Calibri" w:cstheme="minorHAnsi"/>
        </w:rPr>
        <w:t xml:space="preserve"> </w:t>
      </w:r>
      <w:r w:rsidR="003B26BD">
        <w:rPr>
          <w:rFonts w:ascii="Calibri" w:hAnsi="Calibri" w:cstheme="minorHAnsi"/>
          <w:bCs/>
          <w:shd w:val="clear" w:color="auto" w:fill="FFFFFF"/>
        </w:rPr>
        <w:t xml:space="preserve">VVŠ jsou </w:t>
      </w:r>
      <w:r w:rsidR="00846B3B" w:rsidRPr="00846B3B">
        <w:rPr>
          <w:rFonts w:ascii="Calibri" w:hAnsi="Calibri" w:cstheme="minorHAnsi"/>
          <w:bCs/>
          <w:shd w:val="clear" w:color="auto" w:fill="FFFFFF"/>
        </w:rPr>
        <w:t>právnickými osobami, sam</w:t>
      </w:r>
      <w:r w:rsidR="00FD3A80">
        <w:rPr>
          <w:rFonts w:ascii="Calibri" w:hAnsi="Calibri" w:cstheme="minorHAnsi"/>
          <w:bCs/>
          <w:shd w:val="clear" w:color="auto" w:fill="FFFFFF"/>
        </w:rPr>
        <w:t>ostatnými účetními jednotkami</w:t>
      </w:r>
      <w:r w:rsidR="00111AFD">
        <w:rPr>
          <w:rFonts w:ascii="Calibri" w:hAnsi="Calibri" w:cstheme="minorHAnsi"/>
          <w:bCs/>
          <w:shd w:val="clear" w:color="auto" w:fill="FFFFFF"/>
        </w:rPr>
        <w:t xml:space="preserve"> </w:t>
      </w:r>
      <w:r w:rsidR="00FD3A80">
        <w:rPr>
          <w:rFonts w:ascii="Calibri" w:hAnsi="Calibri" w:cstheme="minorHAnsi"/>
          <w:bCs/>
          <w:shd w:val="clear" w:color="auto" w:fill="FFFFFF"/>
        </w:rPr>
        <w:t>a </w:t>
      </w:r>
      <w:r w:rsidR="00846B3B" w:rsidRPr="00846B3B">
        <w:rPr>
          <w:rFonts w:ascii="Calibri" w:hAnsi="Calibri" w:cstheme="minorHAnsi"/>
          <w:bCs/>
          <w:shd w:val="clear" w:color="auto" w:fill="FFFFFF"/>
        </w:rPr>
        <w:t>veřejnými zadavateli.</w:t>
      </w:r>
      <w:r w:rsidR="003B26BD">
        <w:rPr>
          <w:rFonts w:ascii="Calibri" w:hAnsi="Calibri" w:cstheme="minorHAnsi"/>
          <w:bCs/>
          <w:shd w:val="clear" w:color="auto" w:fill="FFFFFF"/>
        </w:rPr>
        <w:t xml:space="preserve"> Jejich postavení upravuje zákon</w:t>
      </w:r>
      <w:r w:rsidR="00592D78">
        <w:rPr>
          <w:rFonts w:ascii="Calibri" w:hAnsi="Calibri" w:cstheme="minorHAnsi"/>
          <w:bCs/>
          <w:shd w:val="clear" w:color="auto" w:fill="FFFFFF"/>
        </w:rPr>
        <w:t xml:space="preserve"> </w:t>
      </w:r>
      <w:r w:rsidR="00E85762">
        <w:rPr>
          <w:rFonts w:ascii="Calibri" w:hAnsi="Calibri" w:cstheme="minorHAnsi"/>
          <w:bCs/>
          <w:shd w:val="clear" w:color="auto" w:fill="FFFFFF"/>
        </w:rPr>
        <w:t>o vysokých školách</w:t>
      </w:r>
      <w:r w:rsidR="00B145B0">
        <w:rPr>
          <w:rStyle w:val="Znakapoznpodarou"/>
          <w:rFonts w:ascii="Calibri" w:hAnsi="Calibri" w:cstheme="minorHAnsi"/>
        </w:rPr>
        <w:footnoteReference w:id="1"/>
      </w:r>
      <w:r w:rsidR="00393643">
        <w:rPr>
          <w:rFonts w:ascii="Calibri" w:hAnsi="Calibri" w:cstheme="minorHAnsi"/>
          <w:bCs/>
          <w:shd w:val="clear" w:color="auto" w:fill="FFFFFF"/>
        </w:rPr>
        <w:t>.</w:t>
      </w:r>
      <w:r w:rsidR="00111AFD">
        <w:rPr>
          <w:rFonts w:ascii="Calibri" w:hAnsi="Calibri" w:cstheme="minorHAnsi"/>
          <w:bCs/>
          <w:shd w:val="clear" w:color="auto" w:fill="FFFFFF"/>
        </w:rPr>
        <w:t xml:space="preserve"> </w:t>
      </w:r>
      <w:r w:rsidR="00B145B0">
        <w:rPr>
          <w:rFonts w:ascii="Calibri" w:hAnsi="Calibri" w:cstheme="minorHAnsi"/>
        </w:rPr>
        <w:t>Kompetence</w:t>
      </w:r>
      <w:r w:rsidR="00427396">
        <w:rPr>
          <w:rStyle w:val="Znakapoznpodarou"/>
          <w:rFonts w:ascii="Calibri" w:hAnsi="Calibri" w:cstheme="minorHAnsi"/>
        </w:rPr>
        <w:footnoteReference w:id="2"/>
      </w:r>
      <w:r w:rsidR="00B145B0" w:rsidRPr="00846B3B">
        <w:rPr>
          <w:rFonts w:ascii="Calibri" w:hAnsi="Calibri" w:cstheme="minorHAnsi"/>
        </w:rPr>
        <w:t xml:space="preserve"> </w:t>
      </w:r>
      <w:r w:rsidR="00B145B0">
        <w:rPr>
          <w:rFonts w:ascii="Calibri" w:hAnsi="Calibri" w:cstheme="minorHAnsi"/>
        </w:rPr>
        <w:t>vůči VVŠ podle</w:t>
      </w:r>
      <w:r w:rsidR="00C025D8">
        <w:rPr>
          <w:rFonts w:ascii="Calibri" w:hAnsi="Calibri" w:cstheme="minorHAnsi"/>
        </w:rPr>
        <w:t xml:space="preserve"> </w:t>
      </w:r>
      <w:r w:rsidR="00B145B0">
        <w:rPr>
          <w:rFonts w:ascii="Calibri" w:hAnsi="Calibri" w:cstheme="minorHAnsi"/>
        </w:rPr>
        <w:t>tohoto zákona vykonává MŠMT.</w:t>
      </w:r>
      <w:r w:rsidR="00B145B0" w:rsidRPr="00B145B0">
        <w:rPr>
          <w:rFonts w:ascii="Calibri" w:hAnsi="Calibri" w:cstheme="minorHAnsi"/>
          <w:bCs/>
          <w:shd w:val="clear" w:color="auto" w:fill="FFFFFF"/>
        </w:rPr>
        <w:t xml:space="preserve"> </w:t>
      </w:r>
      <w:r w:rsidR="00B145B0">
        <w:rPr>
          <w:rFonts w:ascii="Calibri" w:hAnsi="Calibri" w:cstheme="minorHAnsi"/>
          <w:bCs/>
          <w:shd w:val="clear" w:color="auto" w:fill="FFFFFF"/>
        </w:rPr>
        <w:t xml:space="preserve">V České republice </w:t>
      </w:r>
      <w:r w:rsidR="00281FAB">
        <w:rPr>
          <w:rFonts w:ascii="Calibri" w:hAnsi="Calibri" w:cstheme="minorHAnsi"/>
          <w:bCs/>
          <w:shd w:val="clear" w:color="auto" w:fill="FFFFFF"/>
        </w:rPr>
        <w:t xml:space="preserve">(dále též „ČR“) </w:t>
      </w:r>
      <w:r w:rsidR="00B145B0">
        <w:rPr>
          <w:rFonts w:ascii="Calibri" w:hAnsi="Calibri" w:cstheme="minorHAnsi"/>
          <w:bCs/>
          <w:shd w:val="clear" w:color="auto" w:fill="FFFFFF"/>
        </w:rPr>
        <w:t>působilo ke konci roku 2016 celkem 26 VVŠ.</w:t>
      </w:r>
    </w:p>
    <w:p w14:paraId="3B3FD467" w14:textId="5937D9B4" w:rsidR="007F7856" w:rsidRPr="008A7C7B" w:rsidRDefault="00A2799C" w:rsidP="009E142E">
      <w:pPr>
        <w:jc w:val="both"/>
        <w:rPr>
          <w:rFonts w:ascii="Calibri" w:hAnsi="Calibri" w:cs="Calibri"/>
        </w:rPr>
      </w:pPr>
      <w:r>
        <w:rPr>
          <w:rFonts w:ascii="Calibri" w:hAnsi="Calibri" w:cstheme="minorHAnsi"/>
          <w:bCs/>
          <w:shd w:val="clear" w:color="auto" w:fill="FFFFFF"/>
        </w:rPr>
        <w:t xml:space="preserve">Vývoj v oblasti vysokého školství </w:t>
      </w:r>
      <w:r w:rsidR="0083292B">
        <w:rPr>
          <w:rFonts w:ascii="Calibri" w:hAnsi="Calibri" w:cstheme="minorHAnsi"/>
          <w:bCs/>
          <w:shd w:val="clear" w:color="auto" w:fill="FFFFFF"/>
        </w:rPr>
        <w:t xml:space="preserve">byl </w:t>
      </w:r>
      <w:r>
        <w:rPr>
          <w:rFonts w:ascii="Calibri" w:hAnsi="Calibri" w:cstheme="minorHAnsi"/>
          <w:bCs/>
          <w:shd w:val="clear" w:color="auto" w:fill="FFFFFF"/>
        </w:rPr>
        <w:t xml:space="preserve">v kontrolovaném období ovlivněn demografickým zlomem, kdy </w:t>
      </w:r>
      <w:r w:rsidR="0083292B">
        <w:rPr>
          <w:rFonts w:ascii="Calibri" w:hAnsi="Calibri" w:cstheme="minorHAnsi"/>
          <w:bCs/>
          <w:shd w:val="clear" w:color="auto" w:fill="FFFFFF"/>
        </w:rPr>
        <w:t xml:space="preserve">skončil </w:t>
      </w:r>
      <w:r>
        <w:rPr>
          <w:rFonts w:ascii="Calibri" w:hAnsi="Calibri" w:cstheme="minorHAnsi"/>
          <w:bCs/>
          <w:shd w:val="clear" w:color="auto" w:fill="FFFFFF"/>
        </w:rPr>
        <w:t xml:space="preserve">rychlý nárůst počtu studentů patrný v předchozích letech a zejména </w:t>
      </w:r>
      <w:r w:rsidR="0060250E">
        <w:rPr>
          <w:rFonts w:ascii="Calibri" w:hAnsi="Calibri" w:cstheme="minorHAnsi"/>
          <w:bCs/>
          <w:shd w:val="clear" w:color="auto" w:fill="FFFFFF"/>
        </w:rPr>
        <w:t xml:space="preserve">od </w:t>
      </w:r>
      <w:r>
        <w:rPr>
          <w:rFonts w:ascii="Calibri" w:hAnsi="Calibri" w:cstheme="minorHAnsi"/>
          <w:bCs/>
          <w:shd w:val="clear" w:color="auto" w:fill="FFFFFF"/>
        </w:rPr>
        <w:t>ro</w:t>
      </w:r>
      <w:r w:rsidR="0060250E">
        <w:rPr>
          <w:rFonts w:ascii="Calibri" w:hAnsi="Calibri" w:cstheme="minorHAnsi"/>
          <w:bCs/>
          <w:shd w:val="clear" w:color="auto" w:fill="FFFFFF"/>
        </w:rPr>
        <w:t>ku</w:t>
      </w:r>
      <w:r>
        <w:rPr>
          <w:rFonts w:ascii="Calibri" w:hAnsi="Calibri" w:cstheme="minorHAnsi"/>
          <w:bCs/>
          <w:shd w:val="clear" w:color="auto" w:fill="FFFFFF"/>
        </w:rPr>
        <w:t xml:space="preserve"> 2013 začalo docházet k jeho stagnaci. </w:t>
      </w:r>
      <w:r w:rsidR="007F7856" w:rsidRPr="004E147C">
        <w:rPr>
          <w:rFonts w:ascii="Calibri" w:hAnsi="Calibri" w:cs="Calibri"/>
        </w:rPr>
        <w:t xml:space="preserve">Základním koncepčním dokumentem rozvoje </w:t>
      </w:r>
      <w:r w:rsidR="009E142E">
        <w:rPr>
          <w:rFonts w:ascii="Calibri" w:hAnsi="Calibri" w:cs="Calibri"/>
        </w:rPr>
        <w:t>vysokého školství</w:t>
      </w:r>
      <w:r w:rsidR="007F7856" w:rsidRPr="004E147C">
        <w:rPr>
          <w:rFonts w:ascii="Calibri" w:hAnsi="Calibri" w:cs="Calibri"/>
        </w:rPr>
        <w:t xml:space="preserve"> </w:t>
      </w:r>
      <w:r w:rsidR="00A423C4" w:rsidRPr="004E147C">
        <w:rPr>
          <w:rFonts w:ascii="Calibri" w:hAnsi="Calibri" w:cs="Calibri"/>
        </w:rPr>
        <w:t>byl</w:t>
      </w:r>
      <w:r w:rsidR="00333063" w:rsidRPr="004E147C">
        <w:rPr>
          <w:rFonts w:ascii="Calibri" w:hAnsi="Calibri" w:cs="Calibri"/>
        </w:rPr>
        <w:t xml:space="preserve"> </w:t>
      </w:r>
      <w:r w:rsidR="004D16B4">
        <w:rPr>
          <w:rFonts w:ascii="Calibri" w:hAnsi="Calibri" w:cs="Calibri"/>
        </w:rPr>
        <w:t>každoročně aktualizovaný</w:t>
      </w:r>
      <w:r w:rsidR="007F7856" w:rsidRPr="004E147C">
        <w:rPr>
          <w:rFonts w:ascii="Calibri" w:hAnsi="Calibri" w:cs="Calibri"/>
        </w:rPr>
        <w:t xml:space="preserve"> </w:t>
      </w:r>
      <w:r w:rsidR="008A7C7B" w:rsidRPr="008A7C7B">
        <w:rPr>
          <w:rFonts w:ascii="Calibri" w:hAnsi="Calibri" w:cs="Calibri"/>
        </w:rPr>
        <w:t>d</w:t>
      </w:r>
      <w:r w:rsidR="007F7856" w:rsidRPr="008A7C7B">
        <w:rPr>
          <w:rFonts w:ascii="Calibri" w:hAnsi="Calibri" w:cs="Calibri"/>
        </w:rPr>
        <w:t xml:space="preserve">louhodobý záměr vzdělávací a vědecké, výzkumné, vývojové, umělecké a další tvůrčí činnosti pro oblast vysokých škol </w:t>
      </w:r>
      <w:r w:rsidR="007F7856" w:rsidRPr="004E147C">
        <w:rPr>
          <w:rFonts w:ascii="Calibri" w:hAnsi="Calibri" w:cs="Calibri"/>
        </w:rPr>
        <w:t>(dále jen „</w:t>
      </w:r>
      <w:r w:rsidR="00B6491B">
        <w:rPr>
          <w:rFonts w:ascii="Calibri" w:hAnsi="Calibri" w:cs="Calibri"/>
        </w:rPr>
        <w:t>koncepční</w:t>
      </w:r>
      <w:r w:rsidR="004E147C">
        <w:rPr>
          <w:rFonts w:ascii="Calibri" w:hAnsi="Calibri" w:cs="Calibri"/>
        </w:rPr>
        <w:t xml:space="preserve"> </w:t>
      </w:r>
      <w:r w:rsidR="007F7856" w:rsidRPr="004E147C">
        <w:rPr>
          <w:rFonts w:ascii="Calibri" w:hAnsi="Calibri" w:cs="Calibri"/>
        </w:rPr>
        <w:t>záměr MŠMT“)</w:t>
      </w:r>
      <w:r w:rsidR="00592D78">
        <w:rPr>
          <w:rFonts w:ascii="Calibri" w:hAnsi="Calibri" w:cs="Calibri"/>
        </w:rPr>
        <w:t xml:space="preserve"> zpracovávaný podle zákona</w:t>
      </w:r>
      <w:r w:rsidR="00C607D4">
        <w:rPr>
          <w:rFonts w:ascii="Calibri" w:hAnsi="Calibri" w:cs="Calibri"/>
        </w:rPr>
        <w:t xml:space="preserve"> </w:t>
      </w:r>
      <w:r w:rsidR="00E85762">
        <w:rPr>
          <w:rFonts w:ascii="Calibri" w:hAnsi="Calibri" w:cs="Calibri"/>
        </w:rPr>
        <w:t>o vysokých školách</w:t>
      </w:r>
      <w:r w:rsidR="00C607D4">
        <w:rPr>
          <w:rFonts w:ascii="Calibri" w:hAnsi="Calibri" w:cs="Calibri"/>
        </w:rPr>
        <w:t>.</w:t>
      </w:r>
      <w:r w:rsidR="00592D78">
        <w:rPr>
          <w:rFonts w:ascii="Calibri" w:hAnsi="Calibri" w:cs="Calibri"/>
        </w:rPr>
        <w:t xml:space="preserve"> </w:t>
      </w:r>
      <w:r w:rsidR="004D16B4">
        <w:rPr>
          <w:rFonts w:ascii="Calibri" w:hAnsi="Calibri" w:cs="Calibri"/>
        </w:rPr>
        <w:t xml:space="preserve">Sloužil mj. </w:t>
      </w:r>
      <w:r w:rsidR="007F7856" w:rsidRPr="004E147C">
        <w:rPr>
          <w:rFonts w:ascii="Calibri" w:hAnsi="Calibri" w:cs="Calibri"/>
        </w:rPr>
        <w:t xml:space="preserve">pro </w:t>
      </w:r>
      <w:r w:rsidR="004D16B4">
        <w:rPr>
          <w:rFonts w:ascii="Calibri" w:hAnsi="Calibri" w:cs="Calibri"/>
        </w:rPr>
        <w:t xml:space="preserve">každoroční </w:t>
      </w:r>
      <w:r w:rsidR="007F7856" w:rsidRPr="004E147C">
        <w:rPr>
          <w:rFonts w:ascii="Calibri" w:hAnsi="Calibri" w:cs="Calibri"/>
        </w:rPr>
        <w:t xml:space="preserve">zpracování </w:t>
      </w:r>
      <w:r w:rsidR="008A7C7B" w:rsidRPr="008A7C7B">
        <w:rPr>
          <w:rFonts w:ascii="Calibri" w:hAnsi="Calibri" w:cs="Calibri"/>
        </w:rPr>
        <w:t>d</w:t>
      </w:r>
      <w:r w:rsidR="00B6491B" w:rsidRPr="008A7C7B">
        <w:rPr>
          <w:rFonts w:ascii="Calibri" w:hAnsi="Calibri" w:cs="Calibri"/>
        </w:rPr>
        <w:t>louhodobých záměrů vzdělávací a vědecké,</w:t>
      </w:r>
      <w:r w:rsidR="00592D78">
        <w:rPr>
          <w:rFonts w:ascii="Calibri" w:hAnsi="Calibri" w:cs="Calibri"/>
        </w:rPr>
        <w:t xml:space="preserve"> výzkumné, vývojové, umělecké a </w:t>
      </w:r>
      <w:r w:rsidR="00B6491B" w:rsidRPr="008A7C7B">
        <w:rPr>
          <w:rFonts w:ascii="Calibri" w:hAnsi="Calibri" w:cs="Calibri"/>
        </w:rPr>
        <w:t xml:space="preserve">další tvůrčí činnosti </w:t>
      </w:r>
      <w:r w:rsidR="000A37BB" w:rsidRPr="008A7C7B">
        <w:rPr>
          <w:rFonts w:ascii="Calibri" w:hAnsi="Calibri" w:cs="Calibri"/>
        </w:rPr>
        <w:t>(dále jen</w:t>
      </w:r>
      <w:r w:rsidR="000A37BB">
        <w:rPr>
          <w:rFonts w:ascii="Calibri" w:hAnsi="Calibri" w:cs="Calibri"/>
        </w:rPr>
        <w:t xml:space="preserve"> „koncepční záměry“) </w:t>
      </w:r>
      <w:r w:rsidR="007F7856" w:rsidRPr="004E147C">
        <w:rPr>
          <w:rFonts w:ascii="Calibri" w:hAnsi="Calibri" w:cs="Calibri"/>
        </w:rPr>
        <w:t>jednotl</w:t>
      </w:r>
      <w:r w:rsidR="00333063" w:rsidRPr="004E147C">
        <w:rPr>
          <w:rFonts w:ascii="Calibri" w:hAnsi="Calibri" w:cs="Calibri"/>
        </w:rPr>
        <w:t xml:space="preserve">ivých </w:t>
      </w:r>
      <w:r w:rsidR="004D16B4">
        <w:rPr>
          <w:rFonts w:ascii="Calibri" w:hAnsi="Calibri" w:cs="Calibri"/>
        </w:rPr>
        <w:t>VVŠ</w:t>
      </w:r>
      <w:r w:rsidR="007F7856" w:rsidRPr="004E147C">
        <w:rPr>
          <w:rFonts w:ascii="Calibri" w:hAnsi="Calibri" w:cs="Calibri"/>
        </w:rPr>
        <w:t xml:space="preserve">. </w:t>
      </w:r>
      <w:r w:rsidR="00B120BC" w:rsidRPr="00592D78">
        <w:rPr>
          <w:rFonts w:ascii="Calibri" w:hAnsi="Calibri" w:cs="Calibri"/>
        </w:rPr>
        <w:t xml:space="preserve">Od </w:t>
      </w:r>
      <w:r w:rsidR="00696CB7" w:rsidRPr="00592D78">
        <w:rPr>
          <w:rFonts w:ascii="Calibri" w:hAnsi="Calibri" w:cs="Calibri"/>
        </w:rPr>
        <w:t>roku</w:t>
      </w:r>
      <w:r w:rsidR="004E147C" w:rsidRPr="00592D78">
        <w:rPr>
          <w:rFonts w:ascii="Calibri" w:hAnsi="Calibri" w:cs="Calibri"/>
        </w:rPr>
        <w:t xml:space="preserve"> 201</w:t>
      </w:r>
      <w:r w:rsidR="00B120BC" w:rsidRPr="00592D78">
        <w:rPr>
          <w:rFonts w:ascii="Calibri" w:hAnsi="Calibri" w:cs="Calibri"/>
        </w:rPr>
        <w:t>7</w:t>
      </w:r>
      <w:r w:rsidR="00767768" w:rsidRPr="008A7C7B">
        <w:rPr>
          <w:rFonts w:ascii="Calibri" w:hAnsi="Calibri" w:cs="Calibri"/>
        </w:rPr>
        <w:t xml:space="preserve"> </w:t>
      </w:r>
      <w:r w:rsidR="004D16B4" w:rsidRPr="008A7C7B">
        <w:rPr>
          <w:rFonts w:ascii="Calibri" w:hAnsi="Calibri" w:cs="Calibri"/>
        </w:rPr>
        <w:t xml:space="preserve">byl nahrazen </w:t>
      </w:r>
      <w:r w:rsidR="004E147C" w:rsidRPr="008A7C7B">
        <w:rPr>
          <w:rFonts w:ascii="Calibri" w:hAnsi="Calibri" w:cs="Calibri"/>
        </w:rPr>
        <w:t>strategický</w:t>
      </w:r>
      <w:r w:rsidR="004D16B4" w:rsidRPr="008A7C7B">
        <w:rPr>
          <w:rFonts w:ascii="Calibri" w:hAnsi="Calibri" w:cs="Calibri"/>
        </w:rPr>
        <w:t>m</w:t>
      </w:r>
      <w:r w:rsidR="004E147C" w:rsidRPr="008A7C7B">
        <w:rPr>
          <w:rFonts w:ascii="Calibri" w:hAnsi="Calibri" w:cs="Calibri"/>
        </w:rPr>
        <w:t xml:space="preserve"> záměr</w:t>
      </w:r>
      <w:r w:rsidR="004D16B4" w:rsidRPr="008A7C7B">
        <w:rPr>
          <w:rFonts w:ascii="Calibri" w:hAnsi="Calibri" w:cs="Calibri"/>
        </w:rPr>
        <w:t>em</w:t>
      </w:r>
      <w:r w:rsidR="004E147C" w:rsidRPr="008A7C7B">
        <w:rPr>
          <w:rFonts w:ascii="Calibri" w:hAnsi="Calibri" w:cs="Calibri"/>
        </w:rPr>
        <w:t xml:space="preserve"> vzdělávací a tvůrčí činnosti pro oblast vysokých škol</w:t>
      </w:r>
      <w:r w:rsidR="004D16B4" w:rsidRPr="008A7C7B">
        <w:rPr>
          <w:rFonts w:ascii="Calibri" w:hAnsi="Calibri" w:cs="Calibri"/>
        </w:rPr>
        <w:t xml:space="preserve"> </w:t>
      </w:r>
      <w:r w:rsidR="00592D78">
        <w:rPr>
          <w:rFonts w:ascii="Calibri" w:hAnsi="Calibri" w:cs="Calibri"/>
        </w:rPr>
        <w:t>a </w:t>
      </w:r>
      <w:r w:rsidR="00B6491B" w:rsidRPr="008A7C7B">
        <w:rPr>
          <w:rFonts w:ascii="Calibri" w:hAnsi="Calibri" w:cs="Calibri"/>
        </w:rPr>
        <w:t>každoroční</w:t>
      </w:r>
      <w:r w:rsidR="008A7C7B" w:rsidRPr="008A7C7B">
        <w:rPr>
          <w:rFonts w:ascii="Calibri" w:hAnsi="Calibri" w:cs="Calibri"/>
        </w:rPr>
        <w:t>mi</w:t>
      </w:r>
      <w:r w:rsidR="00B6491B" w:rsidRPr="008A7C7B">
        <w:rPr>
          <w:rFonts w:ascii="Calibri" w:hAnsi="Calibri" w:cs="Calibri"/>
        </w:rPr>
        <w:t xml:space="preserve"> plán</w:t>
      </w:r>
      <w:r w:rsidR="008A7C7B" w:rsidRPr="008A7C7B">
        <w:rPr>
          <w:rFonts w:ascii="Calibri" w:hAnsi="Calibri" w:cs="Calibri"/>
        </w:rPr>
        <w:t>y</w:t>
      </w:r>
      <w:r w:rsidR="00B6491B" w:rsidRPr="008A7C7B">
        <w:rPr>
          <w:rFonts w:ascii="Calibri" w:hAnsi="Calibri" w:cs="Calibri"/>
        </w:rPr>
        <w:t xml:space="preserve"> jeho realizace (resp. strategickým záměrem</w:t>
      </w:r>
      <w:r w:rsidR="00D1064F" w:rsidRPr="008A7C7B">
        <w:rPr>
          <w:rFonts w:ascii="Calibri" w:hAnsi="Calibri" w:cs="Calibri"/>
        </w:rPr>
        <w:t xml:space="preserve"> vzdělávací a </w:t>
      </w:r>
      <w:r w:rsidR="00B6491B" w:rsidRPr="008A7C7B">
        <w:rPr>
          <w:rFonts w:ascii="Calibri" w:hAnsi="Calibri" w:cs="Calibri"/>
        </w:rPr>
        <w:t xml:space="preserve">tvůrčí činnosti </w:t>
      </w:r>
      <w:r w:rsidR="004E147C" w:rsidRPr="008A7C7B">
        <w:rPr>
          <w:rFonts w:ascii="Calibri" w:hAnsi="Calibri" w:cs="Calibri"/>
        </w:rPr>
        <w:t>VVŠ</w:t>
      </w:r>
      <w:r w:rsidR="00B120BC" w:rsidRPr="008A7C7B">
        <w:rPr>
          <w:rFonts w:ascii="Calibri" w:hAnsi="Calibri" w:cs="Calibri"/>
        </w:rPr>
        <w:t xml:space="preserve"> </w:t>
      </w:r>
      <w:r w:rsidR="008A7C7B" w:rsidRPr="008A7C7B">
        <w:rPr>
          <w:rFonts w:ascii="Calibri" w:hAnsi="Calibri" w:cs="Calibri"/>
        </w:rPr>
        <w:t>a </w:t>
      </w:r>
      <w:r w:rsidR="00B120BC" w:rsidRPr="008A7C7B">
        <w:rPr>
          <w:rFonts w:ascii="Calibri" w:hAnsi="Calibri" w:cs="Calibri"/>
        </w:rPr>
        <w:t>každoroční</w:t>
      </w:r>
      <w:r w:rsidR="00B6491B" w:rsidRPr="008A7C7B">
        <w:rPr>
          <w:rFonts w:ascii="Calibri" w:hAnsi="Calibri" w:cs="Calibri"/>
        </w:rPr>
        <w:t xml:space="preserve">mi </w:t>
      </w:r>
      <w:r w:rsidR="004E147C" w:rsidRPr="008A7C7B">
        <w:rPr>
          <w:rFonts w:ascii="Calibri" w:hAnsi="Calibri" w:cs="Calibri"/>
        </w:rPr>
        <w:t>plán</w:t>
      </w:r>
      <w:r w:rsidR="00B6491B" w:rsidRPr="008A7C7B">
        <w:rPr>
          <w:rFonts w:ascii="Calibri" w:hAnsi="Calibri" w:cs="Calibri"/>
        </w:rPr>
        <w:t>y</w:t>
      </w:r>
      <w:r w:rsidR="004E147C" w:rsidRPr="008A7C7B">
        <w:rPr>
          <w:rFonts w:ascii="Calibri" w:hAnsi="Calibri" w:cs="Calibri"/>
        </w:rPr>
        <w:t xml:space="preserve"> </w:t>
      </w:r>
      <w:r w:rsidR="00B6491B" w:rsidRPr="008A7C7B">
        <w:rPr>
          <w:rFonts w:ascii="Calibri" w:hAnsi="Calibri" w:cs="Calibri"/>
        </w:rPr>
        <w:t xml:space="preserve">jeho </w:t>
      </w:r>
      <w:r w:rsidR="004E147C" w:rsidRPr="008A7C7B">
        <w:rPr>
          <w:rFonts w:ascii="Calibri" w:hAnsi="Calibri" w:cs="Calibri"/>
        </w:rPr>
        <w:t>realizace</w:t>
      </w:r>
      <w:r w:rsidR="00B6491B" w:rsidRPr="008A7C7B">
        <w:rPr>
          <w:rFonts w:ascii="Calibri" w:hAnsi="Calibri" w:cs="Calibri"/>
        </w:rPr>
        <w:t>)</w:t>
      </w:r>
      <w:r w:rsidR="004E147C" w:rsidRPr="008A7C7B">
        <w:rPr>
          <w:rFonts w:ascii="Calibri" w:hAnsi="Calibri" w:cs="Calibri"/>
        </w:rPr>
        <w:t>.</w:t>
      </w:r>
    </w:p>
    <w:p w14:paraId="0742F6D0" w14:textId="69F45164" w:rsidR="004A6260" w:rsidRDefault="00D1195B" w:rsidP="0008360F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9A5499">
        <w:rPr>
          <w:rFonts w:ascii="Calibri" w:hAnsi="Calibri" w:cs="Calibri"/>
        </w:rPr>
        <w:t>riorit</w:t>
      </w:r>
      <w:r w:rsidR="00007EC9">
        <w:rPr>
          <w:rFonts w:ascii="Calibri" w:hAnsi="Calibri" w:cs="Calibri"/>
        </w:rPr>
        <w:t>ou</w:t>
      </w:r>
      <w:r w:rsidR="009A5499">
        <w:rPr>
          <w:rFonts w:ascii="Calibri" w:hAnsi="Calibri" w:cs="Calibri"/>
        </w:rPr>
        <w:t xml:space="preserve"> koncepčního záměru MŠMT </w:t>
      </w:r>
      <w:r w:rsidR="002929C2">
        <w:rPr>
          <w:rFonts w:ascii="Calibri" w:hAnsi="Calibri" w:cs="Calibri"/>
        </w:rPr>
        <w:t>na</w:t>
      </w:r>
      <w:r w:rsidR="00B6491B">
        <w:rPr>
          <w:rFonts w:ascii="Calibri" w:hAnsi="Calibri" w:cs="Calibri"/>
        </w:rPr>
        <w:t xml:space="preserve"> období 2011</w:t>
      </w:r>
      <w:r w:rsidR="005D30A0">
        <w:rPr>
          <w:rFonts w:ascii="Calibri" w:hAnsi="Calibri" w:cs="Calibri"/>
        </w:rPr>
        <w:t>–</w:t>
      </w:r>
      <w:r w:rsidR="00B6491B">
        <w:rPr>
          <w:rFonts w:ascii="Calibri" w:hAnsi="Calibri" w:cs="Calibri"/>
        </w:rPr>
        <w:t>201</w:t>
      </w:r>
      <w:r w:rsidR="002929C2">
        <w:rPr>
          <w:rFonts w:ascii="Calibri" w:hAnsi="Calibri" w:cs="Calibri"/>
        </w:rPr>
        <w:t>5</w:t>
      </w:r>
      <w:r w:rsidR="00DF714F">
        <w:rPr>
          <w:rFonts w:ascii="Calibri" w:hAnsi="Calibri" w:cs="Calibri"/>
        </w:rPr>
        <w:t xml:space="preserve"> </w:t>
      </w:r>
      <w:r w:rsidR="00D87BB7">
        <w:rPr>
          <w:rFonts w:ascii="Calibri" w:hAnsi="Calibri" w:cs="Calibri"/>
        </w:rPr>
        <w:t>v</w:t>
      </w:r>
      <w:r w:rsidR="00A2799C" w:rsidRPr="00007EC9">
        <w:rPr>
          <w:rFonts w:ascii="Calibri" w:hAnsi="Calibri" w:cs="Calibri"/>
        </w:rPr>
        <w:t xml:space="preserve"> oblasti </w:t>
      </w:r>
      <w:r w:rsidR="001F58BA">
        <w:rPr>
          <w:rFonts w:ascii="Calibri" w:hAnsi="Calibri" w:cs="Calibri"/>
        </w:rPr>
        <w:t xml:space="preserve">financování </w:t>
      </w:r>
      <w:r w:rsidR="00007EC9" w:rsidRPr="00007EC9">
        <w:rPr>
          <w:rFonts w:ascii="Calibri" w:hAnsi="Calibri" w:cs="Calibri"/>
        </w:rPr>
        <w:t>investiční</w:t>
      </w:r>
      <w:r w:rsidR="001F58BA">
        <w:rPr>
          <w:rFonts w:ascii="Calibri" w:hAnsi="Calibri" w:cs="Calibri"/>
        </w:rPr>
        <w:t>c</w:t>
      </w:r>
      <w:r w:rsidR="00007EC9">
        <w:rPr>
          <w:rFonts w:ascii="Calibri" w:hAnsi="Calibri" w:cs="Calibri"/>
        </w:rPr>
        <w:t xml:space="preserve">h </w:t>
      </w:r>
      <w:r w:rsidR="001F58BA">
        <w:rPr>
          <w:rFonts w:ascii="Calibri" w:hAnsi="Calibri" w:cs="Calibri"/>
        </w:rPr>
        <w:t>potřeb</w:t>
      </w:r>
      <w:r w:rsidR="00007EC9" w:rsidRPr="00007EC9">
        <w:rPr>
          <w:rFonts w:ascii="Calibri" w:hAnsi="Calibri" w:cs="Calibri"/>
        </w:rPr>
        <w:t xml:space="preserve"> </w:t>
      </w:r>
      <w:r w:rsidR="00D1064F">
        <w:rPr>
          <w:rFonts w:ascii="Calibri" w:hAnsi="Calibri" w:cs="Calibri"/>
        </w:rPr>
        <w:t>b</w:t>
      </w:r>
      <w:r w:rsidR="004C1208">
        <w:rPr>
          <w:rFonts w:ascii="Calibri" w:hAnsi="Calibri" w:cs="Calibri"/>
        </w:rPr>
        <w:t>ylo</w:t>
      </w:r>
      <w:r w:rsidR="000E65E4">
        <w:rPr>
          <w:rFonts w:ascii="Calibri" w:hAnsi="Calibri" w:cs="Calibri"/>
        </w:rPr>
        <w:t xml:space="preserve"> </w:t>
      </w:r>
      <w:r w:rsidR="00165830">
        <w:rPr>
          <w:rFonts w:ascii="Calibri" w:hAnsi="Calibri" w:cs="Calibri"/>
        </w:rPr>
        <w:t>směrování</w:t>
      </w:r>
      <w:r w:rsidR="001E557D">
        <w:rPr>
          <w:rFonts w:ascii="Calibri" w:hAnsi="Calibri" w:cs="Calibri"/>
        </w:rPr>
        <w:t xml:space="preserve"> </w:t>
      </w:r>
      <w:r w:rsidR="003A37C5">
        <w:rPr>
          <w:rFonts w:ascii="Calibri" w:hAnsi="Calibri" w:cs="Calibri"/>
        </w:rPr>
        <w:t>v</w:t>
      </w:r>
      <w:r w:rsidR="00767768">
        <w:rPr>
          <w:rFonts w:ascii="Calibri" w:hAnsi="Calibri" w:cs="Calibri"/>
        </w:rPr>
        <w:t>ětšiny</w:t>
      </w:r>
      <w:r w:rsidR="001E557D">
        <w:rPr>
          <w:rFonts w:ascii="Calibri" w:hAnsi="Calibri" w:cs="Calibri"/>
        </w:rPr>
        <w:t xml:space="preserve"> </w:t>
      </w:r>
      <w:r w:rsidR="00007EC9">
        <w:rPr>
          <w:rFonts w:ascii="Calibri" w:hAnsi="Calibri" w:cs="Calibri"/>
        </w:rPr>
        <w:t>finančních zdrojů do rekonstrukcí a</w:t>
      </w:r>
      <w:r w:rsidR="00276628">
        <w:rPr>
          <w:rFonts w:ascii="Calibri" w:hAnsi="Calibri" w:cs="Calibri"/>
        </w:rPr>
        <w:t> </w:t>
      </w:r>
      <w:r w:rsidR="001E557D">
        <w:rPr>
          <w:rFonts w:ascii="Calibri" w:hAnsi="Calibri" w:cs="Calibri"/>
        </w:rPr>
        <w:t>modernizací stávající</w:t>
      </w:r>
      <w:r>
        <w:rPr>
          <w:rFonts w:ascii="Calibri" w:hAnsi="Calibri" w:cs="Calibri"/>
        </w:rPr>
        <w:t xml:space="preserve"> infrastruktury</w:t>
      </w:r>
      <w:r>
        <w:rPr>
          <w:rStyle w:val="Znakapoznpodarou"/>
          <w:rFonts w:ascii="Calibri" w:hAnsi="Calibri" w:cs="Calibri"/>
        </w:rPr>
        <w:footnoteReference w:id="3"/>
      </w:r>
      <w:r w:rsidR="00BF1A0D">
        <w:rPr>
          <w:rFonts w:ascii="Calibri" w:hAnsi="Calibri" w:cs="Calibri"/>
        </w:rPr>
        <w:t>.</w:t>
      </w:r>
      <w:r w:rsidR="00CA3155">
        <w:rPr>
          <w:rFonts w:ascii="Calibri" w:hAnsi="Calibri" w:cs="Calibri"/>
        </w:rPr>
        <w:t xml:space="preserve"> </w:t>
      </w:r>
      <w:r w:rsidR="001865E7">
        <w:rPr>
          <w:rFonts w:ascii="Calibri" w:hAnsi="Calibri" w:cs="Calibri"/>
        </w:rPr>
        <w:t xml:space="preserve">Další prioritou </w:t>
      </w:r>
      <w:r w:rsidR="004C1208">
        <w:rPr>
          <w:rFonts w:ascii="Calibri" w:hAnsi="Calibri" w:cs="Calibri"/>
        </w:rPr>
        <w:t>bylo</w:t>
      </w:r>
      <w:r w:rsidR="001865E7">
        <w:rPr>
          <w:rFonts w:ascii="Calibri" w:hAnsi="Calibri" w:cs="Calibri"/>
        </w:rPr>
        <w:t xml:space="preserve"> </w:t>
      </w:r>
      <w:r w:rsidR="00767768">
        <w:rPr>
          <w:rFonts w:ascii="Calibri" w:hAnsi="Calibri" w:cs="Calibri"/>
        </w:rPr>
        <w:t>vytváření</w:t>
      </w:r>
      <w:r w:rsidR="001E557D">
        <w:rPr>
          <w:rFonts w:ascii="Calibri" w:hAnsi="Calibri" w:cs="Calibri"/>
        </w:rPr>
        <w:t xml:space="preserve"> podmín</w:t>
      </w:r>
      <w:r w:rsidR="00767768">
        <w:rPr>
          <w:rFonts w:ascii="Calibri" w:hAnsi="Calibri" w:cs="Calibri"/>
        </w:rPr>
        <w:t>e</w:t>
      </w:r>
      <w:r w:rsidR="001E557D">
        <w:rPr>
          <w:rFonts w:ascii="Calibri" w:hAnsi="Calibri" w:cs="Calibri"/>
        </w:rPr>
        <w:t xml:space="preserve">k pro efektivní využití </w:t>
      </w:r>
      <w:r w:rsidR="00CA3155">
        <w:rPr>
          <w:rFonts w:ascii="Calibri" w:hAnsi="Calibri" w:cs="Calibri"/>
        </w:rPr>
        <w:t>prostředků</w:t>
      </w:r>
      <w:r w:rsidR="001E557D">
        <w:rPr>
          <w:rFonts w:ascii="Calibri" w:hAnsi="Calibri" w:cs="Calibri"/>
        </w:rPr>
        <w:t xml:space="preserve"> op</w:t>
      </w:r>
      <w:r w:rsidR="000E65E4">
        <w:rPr>
          <w:rFonts w:ascii="Calibri" w:hAnsi="Calibri" w:cs="Calibri"/>
        </w:rPr>
        <w:t>eračních programů Evropské unie</w:t>
      </w:r>
      <w:r w:rsidR="009B5948">
        <w:rPr>
          <w:rFonts w:ascii="Calibri" w:hAnsi="Calibri" w:cs="Calibri"/>
        </w:rPr>
        <w:t xml:space="preserve"> (dále jen „EU“)</w:t>
      </w:r>
      <w:r w:rsidR="000E65E4">
        <w:rPr>
          <w:rFonts w:ascii="Calibri" w:hAnsi="Calibri" w:cs="Calibri"/>
        </w:rPr>
        <w:t xml:space="preserve"> </w:t>
      </w:r>
      <w:r w:rsidR="002A273C">
        <w:rPr>
          <w:rFonts w:ascii="Calibri" w:hAnsi="Calibri" w:cs="Calibri"/>
        </w:rPr>
        <w:t xml:space="preserve">a </w:t>
      </w:r>
      <w:r w:rsidR="001865E7">
        <w:rPr>
          <w:rFonts w:ascii="Calibri" w:hAnsi="Calibri" w:cs="Calibri"/>
        </w:rPr>
        <w:t xml:space="preserve">rovněž </w:t>
      </w:r>
      <w:r w:rsidR="002A273C">
        <w:rPr>
          <w:rFonts w:ascii="Calibri" w:hAnsi="Calibri" w:cs="Calibri"/>
        </w:rPr>
        <w:t>snaha</w:t>
      </w:r>
      <w:r w:rsidR="00767768">
        <w:rPr>
          <w:rFonts w:ascii="Calibri" w:hAnsi="Calibri" w:cs="Calibri"/>
        </w:rPr>
        <w:t xml:space="preserve"> zmírn</w:t>
      </w:r>
      <w:r w:rsidR="002A273C">
        <w:rPr>
          <w:rFonts w:ascii="Calibri" w:hAnsi="Calibri" w:cs="Calibri"/>
        </w:rPr>
        <w:t xml:space="preserve">it </w:t>
      </w:r>
      <w:r w:rsidR="00767768">
        <w:rPr>
          <w:rFonts w:ascii="Calibri" w:hAnsi="Calibri" w:cs="Calibri"/>
        </w:rPr>
        <w:t>negativní</w:t>
      </w:r>
      <w:r w:rsidR="002A273C">
        <w:rPr>
          <w:rFonts w:ascii="Calibri" w:hAnsi="Calibri" w:cs="Calibri"/>
        </w:rPr>
        <w:t xml:space="preserve"> dopady</w:t>
      </w:r>
      <w:r w:rsidR="00767768">
        <w:rPr>
          <w:rFonts w:ascii="Calibri" w:hAnsi="Calibri" w:cs="Calibri"/>
        </w:rPr>
        <w:t xml:space="preserve"> nerovností způsobených nastavenými podmínkami p</w:t>
      </w:r>
      <w:r w:rsidR="008F60B1">
        <w:rPr>
          <w:rFonts w:ascii="Calibri" w:hAnsi="Calibri" w:cs="Calibri"/>
        </w:rPr>
        <w:t xml:space="preserve">ro </w:t>
      </w:r>
      <w:r w:rsidR="009B5948">
        <w:rPr>
          <w:rFonts w:ascii="Calibri" w:hAnsi="Calibri" w:cs="Calibri"/>
        </w:rPr>
        <w:t xml:space="preserve">jejich </w:t>
      </w:r>
      <w:r w:rsidR="008F60B1">
        <w:rPr>
          <w:rFonts w:ascii="Calibri" w:hAnsi="Calibri" w:cs="Calibri"/>
        </w:rPr>
        <w:t>využití</w:t>
      </w:r>
      <w:r w:rsidR="00CA3155">
        <w:rPr>
          <w:rStyle w:val="Znakapoznpodarou"/>
          <w:rFonts w:ascii="Calibri" w:hAnsi="Calibri" w:cs="Calibri"/>
        </w:rPr>
        <w:footnoteReference w:id="4"/>
      </w:r>
      <w:r>
        <w:rPr>
          <w:rFonts w:ascii="Calibri" w:hAnsi="Calibri" w:cs="Calibri"/>
        </w:rPr>
        <w:t>.</w:t>
      </w:r>
    </w:p>
    <w:p w14:paraId="4AE6D9EC" w14:textId="077B5512" w:rsidR="006B162C" w:rsidRPr="00E54913" w:rsidRDefault="00737B1C" w:rsidP="006B162C">
      <w:pPr>
        <w:spacing w:before="120"/>
        <w:jc w:val="both"/>
        <w:rPr>
          <w:rFonts w:ascii="Calibri" w:eastAsia="Arial Unicode MS" w:hAnsi="Calibri" w:cs="Calibri"/>
        </w:rPr>
      </w:pPr>
      <w:r>
        <w:rPr>
          <w:rFonts w:ascii="Calibri" w:hAnsi="Calibri" w:cs="Calibri"/>
        </w:rPr>
        <w:t>Z</w:t>
      </w:r>
      <w:r w:rsidR="00CC1011">
        <w:rPr>
          <w:rFonts w:ascii="Calibri" w:hAnsi="Calibri" w:cs="Calibri"/>
        </w:rPr>
        <w:t xml:space="preserve">pracování dokumentace programu </w:t>
      </w:r>
      <w:r w:rsidR="002929C2">
        <w:rPr>
          <w:rFonts w:ascii="Calibri" w:hAnsi="Calibri" w:cs="Calibri"/>
        </w:rPr>
        <w:t>(dále též „DP“)</w:t>
      </w:r>
      <w:r w:rsidRPr="00737B1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vycházelo především z koncepčního záměru MŠMT na období 2011</w:t>
      </w:r>
      <w:r w:rsidR="00086CAF">
        <w:rPr>
          <w:rFonts w:ascii="Calibri" w:hAnsi="Calibri" w:cs="Calibri"/>
        </w:rPr>
        <w:t>–</w:t>
      </w:r>
      <w:r>
        <w:rPr>
          <w:rFonts w:ascii="Calibri" w:hAnsi="Calibri" w:cs="Calibri"/>
        </w:rPr>
        <w:t>2015</w:t>
      </w:r>
      <w:r w:rsidR="00D87BB7">
        <w:rPr>
          <w:rFonts w:ascii="Calibri" w:hAnsi="Calibri" w:cs="Calibri"/>
        </w:rPr>
        <w:t>.</w:t>
      </w:r>
      <w:r w:rsidR="00DF714F">
        <w:rPr>
          <w:rFonts w:ascii="Calibri" w:hAnsi="Calibri" w:cs="Calibri"/>
        </w:rPr>
        <w:t xml:space="preserve"> </w:t>
      </w:r>
      <w:r w:rsidR="002929C2">
        <w:rPr>
          <w:rFonts w:ascii="Calibri" w:hAnsi="Calibri" w:cs="Calibri"/>
        </w:rPr>
        <w:t>D</w:t>
      </w:r>
      <w:r w:rsidR="006B162C" w:rsidRPr="00AE7DB8">
        <w:rPr>
          <w:rFonts w:ascii="Calibri" w:eastAsia="Arial Unicode MS" w:hAnsi="Calibri" w:cs="Calibri"/>
        </w:rPr>
        <w:t xml:space="preserve">okumentaci </w:t>
      </w:r>
      <w:r w:rsidR="00CC1011">
        <w:rPr>
          <w:rFonts w:ascii="Calibri" w:eastAsia="Arial Unicode MS" w:hAnsi="Calibri" w:cs="Calibri"/>
        </w:rPr>
        <w:t>v</w:t>
      </w:r>
      <w:r w:rsidR="006B162C" w:rsidRPr="00AE7DB8">
        <w:rPr>
          <w:rFonts w:ascii="Calibri" w:eastAsia="Arial Unicode MS" w:hAnsi="Calibri" w:cs="Calibri"/>
        </w:rPr>
        <w:t>zala vláda na vědomí svým usnesením</w:t>
      </w:r>
      <w:r w:rsidR="006B162C" w:rsidRPr="00AE7DB8">
        <w:rPr>
          <w:rFonts w:ascii="Calibri" w:eastAsia="Arial Unicode MS" w:hAnsi="Calibri" w:cs="Calibri"/>
          <w:vertAlign w:val="superscript"/>
        </w:rPr>
        <w:footnoteReference w:id="5"/>
      </w:r>
      <w:r w:rsidR="002929C2">
        <w:rPr>
          <w:rFonts w:ascii="Calibri" w:eastAsia="Arial Unicode MS" w:hAnsi="Calibri" w:cs="Calibri"/>
        </w:rPr>
        <w:t>.</w:t>
      </w:r>
      <w:r w:rsidR="006B162C">
        <w:rPr>
          <w:rFonts w:ascii="Calibri" w:eastAsia="Arial Unicode MS" w:hAnsi="Calibri" w:cs="Calibri"/>
        </w:rPr>
        <w:t xml:space="preserve"> </w:t>
      </w:r>
      <w:r w:rsidR="006B162C" w:rsidRPr="00AE7DB8">
        <w:rPr>
          <w:rFonts w:asciiTheme="minorHAnsi" w:hAnsiTheme="minorHAnsi" w:cstheme="minorHAnsi"/>
        </w:rPr>
        <w:t>V období 2014</w:t>
      </w:r>
      <w:r w:rsidR="00086CAF">
        <w:rPr>
          <w:rFonts w:asciiTheme="minorHAnsi" w:hAnsiTheme="minorHAnsi" w:cstheme="minorHAnsi"/>
        </w:rPr>
        <w:t>–</w:t>
      </w:r>
      <w:r w:rsidR="006B162C" w:rsidRPr="00AE7DB8">
        <w:rPr>
          <w:rFonts w:asciiTheme="minorHAnsi" w:hAnsiTheme="minorHAnsi" w:cstheme="minorHAnsi"/>
        </w:rPr>
        <w:t>2015</w:t>
      </w:r>
      <w:r w:rsidR="00DF714F">
        <w:rPr>
          <w:rFonts w:asciiTheme="minorHAnsi" w:hAnsiTheme="minorHAnsi" w:cstheme="minorHAnsi"/>
        </w:rPr>
        <w:t xml:space="preserve"> </w:t>
      </w:r>
      <w:r w:rsidR="006B162C" w:rsidRPr="00AE7DB8">
        <w:rPr>
          <w:rFonts w:asciiTheme="minorHAnsi" w:hAnsiTheme="minorHAnsi" w:cstheme="minorHAnsi"/>
        </w:rPr>
        <w:t xml:space="preserve">vypracovalo MŠMT aktualizaci </w:t>
      </w:r>
      <w:r w:rsidR="006B162C">
        <w:rPr>
          <w:rFonts w:asciiTheme="minorHAnsi" w:hAnsiTheme="minorHAnsi" w:cstheme="minorHAnsi"/>
        </w:rPr>
        <w:t>dokumentace</w:t>
      </w:r>
      <w:r w:rsidR="006B162C" w:rsidRPr="00AE7DB8">
        <w:rPr>
          <w:rFonts w:asciiTheme="minorHAnsi" w:hAnsiTheme="minorHAnsi" w:cstheme="minorHAnsi"/>
        </w:rPr>
        <w:t xml:space="preserve">, kterou vláda vzala </w:t>
      </w:r>
      <w:r w:rsidR="002929C2">
        <w:rPr>
          <w:rFonts w:asciiTheme="minorHAnsi" w:hAnsiTheme="minorHAnsi" w:cstheme="minorHAnsi"/>
        </w:rPr>
        <w:t xml:space="preserve">v roce 2015 </w:t>
      </w:r>
      <w:r w:rsidR="006B162C">
        <w:rPr>
          <w:rFonts w:asciiTheme="minorHAnsi" w:hAnsiTheme="minorHAnsi" w:cstheme="minorHAnsi"/>
        </w:rPr>
        <w:t xml:space="preserve">rovněž </w:t>
      </w:r>
      <w:r w:rsidR="006B162C" w:rsidRPr="00AE7DB8">
        <w:rPr>
          <w:rFonts w:asciiTheme="minorHAnsi" w:hAnsiTheme="minorHAnsi" w:cstheme="minorHAnsi"/>
        </w:rPr>
        <w:t>na vědomí svým u</w:t>
      </w:r>
      <w:r w:rsidR="006B162C" w:rsidRPr="00AE7DB8">
        <w:rPr>
          <w:rFonts w:ascii="Calibri" w:eastAsia="Arial Unicode MS" w:hAnsi="Calibri" w:cs="Calibri"/>
        </w:rPr>
        <w:t>snesením</w:t>
      </w:r>
      <w:r w:rsidR="006B162C" w:rsidRPr="00AE7DB8">
        <w:rPr>
          <w:rFonts w:ascii="Calibri" w:eastAsia="Arial Unicode MS" w:hAnsi="Calibri" w:cs="Calibri"/>
          <w:vertAlign w:val="superscript"/>
        </w:rPr>
        <w:footnoteReference w:id="6"/>
      </w:r>
      <w:r w:rsidR="006B162C" w:rsidRPr="00AE7DB8">
        <w:rPr>
          <w:rFonts w:ascii="Calibri" w:eastAsia="Arial Unicode MS" w:hAnsi="Calibri" w:cs="Calibri"/>
        </w:rPr>
        <w:t xml:space="preserve">. </w:t>
      </w:r>
      <w:r w:rsidR="002929C2">
        <w:rPr>
          <w:rFonts w:ascii="Calibri" w:eastAsia="Arial Unicode MS" w:hAnsi="Calibri" w:cs="Calibri"/>
        </w:rPr>
        <w:t xml:space="preserve">Vláda touto změnou schválila </w:t>
      </w:r>
      <w:r w:rsidR="006B162C" w:rsidRPr="00AE7DB8">
        <w:rPr>
          <w:rFonts w:ascii="Calibri" w:eastAsia="Arial Unicode MS" w:hAnsi="Calibri" w:cs="Calibri"/>
        </w:rPr>
        <w:t>zejména prodlouže</w:t>
      </w:r>
      <w:r w:rsidR="006B162C">
        <w:rPr>
          <w:rFonts w:ascii="Calibri" w:eastAsia="Arial Unicode MS" w:hAnsi="Calibri" w:cs="Calibri"/>
        </w:rPr>
        <w:t xml:space="preserve">ní realizace </w:t>
      </w:r>
      <w:r w:rsidR="009B5948">
        <w:rPr>
          <w:rFonts w:ascii="Calibri" w:eastAsia="Arial Unicode MS" w:hAnsi="Calibri" w:cs="Calibri"/>
        </w:rPr>
        <w:t xml:space="preserve">programu </w:t>
      </w:r>
      <w:r w:rsidR="006B162C">
        <w:rPr>
          <w:rFonts w:ascii="Calibri" w:eastAsia="Arial Unicode MS" w:hAnsi="Calibri" w:cs="Calibri"/>
        </w:rPr>
        <w:t xml:space="preserve">o tři roky </w:t>
      </w:r>
      <w:r w:rsidR="006B162C">
        <w:rPr>
          <w:rFonts w:ascii="Calibri" w:hAnsi="Calibri"/>
        </w:rPr>
        <w:t>(tabulka č. 1)</w:t>
      </w:r>
      <w:r w:rsidR="00811B54">
        <w:rPr>
          <w:rFonts w:ascii="Calibri" w:eastAsia="Arial Unicode MS" w:hAnsi="Calibri" w:cs="Calibri"/>
        </w:rPr>
        <w:t>.</w:t>
      </w:r>
    </w:p>
    <w:p w14:paraId="0FB5127F" w14:textId="77777777" w:rsidR="00BA614B" w:rsidRDefault="00BA614B">
      <w:pPr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br w:type="page"/>
      </w:r>
    </w:p>
    <w:p w14:paraId="15431AF6" w14:textId="5FEFDB18" w:rsidR="006B162C" w:rsidRPr="006329C3" w:rsidRDefault="006B162C" w:rsidP="00BA614B">
      <w:pPr>
        <w:tabs>
          <w:tab w:val="right" w:pos="9071"/>
        </w:tabs>
        <w:autoSpaceDE w:val="0"/>
        <w:autoSpaceDN w:val="0"/>
        <w:adjustRightInd w:val="0"/>
        <w:spacing w:before="120"/>
        <w:ind w:left="1418" w:hanging="1418"/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6D024F">
        <w:rPr>
          <w:rFonts w:ascii="Calibri" w:eastAsia="Arial Unicode MS" w:hAnsi="Calibri" w:cs="Calibri"/>
          <w:b/>
        </w:rPr>
        <w:t>Tabulka č. 1 – Časové a fin</w:t>
      </w:r>
      <w:r w:rsidR="005464CD" w:rsidRPr="006D024F">
        <w:rPr>
          <w:rFonts w:ascii="Calibri" w:eastAsia="Arial Unicode MS" w:hAnsi="Calibri" w:cs="Calibri"/>
          <w:b/>
        </w:rPr>
        <w:t>anční parametry programu</w:t>
      </w:r>
      <w:r w:rsidRPr="00BA614B">
        <w:rPr>
          <w:rFonts w:ascii="Calibri" w:eastAsia="Arial Unicode MS" w:hAnsi="Calibri" w:cs="Calibri"/>
          <w:b/>
          <w:sz w:val="22"/>
          <w:szCs w:val="22"/>
        </w:rPr>
        <w:tab/>
      </w:r>
      <w:r w:rsidRPr="006329C3">
        <w:rPr>
          <w:rFonts w:ascii="Calibri" w:eastAsia="Arial Unicode MS" w:hAnsi="Calibri" w:cs="Calibri"/>
          <w:b/>
        </w:rPr>
        <w:t>(v mil. Kč)</w:t>
      </w:r>
    </w:p>
    <w:tbl>
      <w:tblPr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84"/>
        <w:gridCol w:w="1304"/>
        <w:gridCol w:w="1701"/>
        <w:gridCol w:w="1276"/>
        <w:gridCol w:w="1276"/>
        <w:gridCol w:w="1524"/>
      </w:tblGrid>
      <w:tr w:rsidR="006B162C" w:rsidRPr="00AE7DB8" w14:paraId="699343C6" w14:textId="77777777" w:rsidTr="00C025D8">
        <w:trPr>
          <w:jc w:val="center"/>
        </w:trPr>
        <w:tc>
          <w:tcPr>
            <w:tcW w:w="1984" w:type="dxa"/>
            <w:shd w:val="clear" w:color="auto" w:fill="DBE5F1" w:themeFill="accent1" w:themeFillTint="33"/>
          </w:tcPr>
          <w:p w14:paraId="4A6E1C3E" w14:textId="77777777" w:rsidR="006B162C" w:rsidRPr="00AE7DB8" w:rsidRDefault="006B162C" w:rsidP="005D2138">
            <w:pPr>
              <w:autoSpaceDE w:val="0"/>
              <w:autoSpaceDN w:val="0"/>
              <w:adjustRightInd w:val="0"/>
              <w:jc w:val="both"/>
              <w:rPr>
                <w:rFonts w:ascii="Calibri" w:eastAsia="Arial Unicode MS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14:paraId="7D3E5E4C" w14:textId="77777777" w:rsidR="006B162C" w:rsidRPr="006329C3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329C3">
              <w:rPr>
                <w:rFonts w:ascii="Calibri" w:eastAsia="Arial Unicode MS" w:hAnsi="Calibri" w:cs="Calibri"/>
                <w:b/>
                <w:sz w:val="20"/>
                <w:szCs w:val="20"/>
              </w:rPr>
              <w:t>Souhlas vlády ČR dne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CB47967" w14:textId="532BF5BE" w:rsidR="006B162C" w:rsidRPr="006329C3" w:rsidRDefault="006B162C" w:rsidP="00C025D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329C3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Realizace programu </w:t>
            </w:r>
            <w:proofErr w:type="gramStart"/>
            <w:r w:rsidRPr="006329C3">
              <w:rPr>
                <w:rFonts w:ascii="Calibri" w:eastAsia="Arial Unicode MS" w:hAnsi="Calibri" w:cs="Calibri"/>
                <w:b/>
                <w:sz w:val="20"/>
                <w:szCs w:val="20"/>
              </w:rPr>
              <w:t>od</w:t>
            </w:r>
            <w:proofErr w:type="gramEnd"/>
            <w:r w:rsidR="00C025D8">
              <w:rPr>
                <w:rFonts w:ascii="Calibri" w:eastAsia="Arial Unicode MS" w:hAnsi="Calibri" w:cs="Calibri"/>
                <w:b/>
                <w:sz w:val="20"/>
                <w:szCs w:val="20"/>
              </w:rPr>
              <w:t>–</w:t>
            </w:r>
            <w:proofErr w:type="gramStart"/>
            <w:r w:rsidRPr="006329C3">
              <w:rPr>
                <w:rFonts w:ascii="Calibri" w:eastAsia="Arial Unicode MS" w:hAnsi="Calibri" w:cs="Calibri"/>
                <w:b/>
                <w:sz w:val="20"/>
                <w:szCs w:val="20"/>
              </w:rPr>
              <w:t>do</w:t>
            </w:r>
            <w:proofErr w:type="gramEnd"/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12A23E8F" w14:textId="587F5E6D" w:rsidR="006B162C" w:rsidRPr="006329C3" w:rsidRDefault="006B162C" w:rsidP="00C025D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329C3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Dotace </w:t>
            </w:r>
            <w:r w:rsidR="00C025D8">
              <w:rPr>
                <w:rFonts w:ascii="Calibri" w:eastAsia="Arial Unicode MS" w:hAnsi="Calibri" w:cs="Calibri"/>
                <w:b/>
                <w:sz w:val="20"/>
                <w:szCs w:val="20"/>
              </w:rPr>
              <w:t>–</w:t>
            </w:r>
            <w:r w:rsidRPr="006329C3">
              <w:rPr>
                <w:rFonts w:ascii="Calibri" w:eastAsia="Arial Unicode MS" w:hAnsi="Calibri" w:cs="Calibri"/>
                <w:b/>
                <w:sz w:val="20"/>
                <w:szCs w:val="20"/>
              </w:rPr>
              <w:t xml:space="preserve"> účast SR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546BB21" w14:textId="77777777" w:rsidR="006B162C" w:rsidRPr="006329C3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329C3">
              <w:rPr>
                <w:rFonts w:ascii="Calibri" w:eastAsia="Arial Unicode MS" w:hAnsi="Calibri" w:cs="Calibri"/>
                <w:b/>
                <w:sz w:val="20"/>
                <w:szCs w:val="20"/>
              </w:rPr>
              <w:t>Vlastní zdroje VVŠ</w:t>
            </w:r>
          </w:p>
        </w:tc>
        <w:tc>
          <w:tcPr>
            <w:tcW w:w="1524" w:type="dxa"/>
            <w:shd w:val="clear" w:color="auto" w:fill="DBE5F1" w:themeFill="accent1" w:themeFillTint="33"/>
            <w:vAlign w:val="center"/>
          </w:tcPr>
          <w:p w14:paraId="3585D042" w14:textId="77777777" w:rsidR="006B162C" w:rsidRPr="006329C3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sz w:val="20"/>
                <w:szCs w:val="20"/>
              </w:rPr>
            </w:pPr>
            <w:r w:rsidRPr="006329C3">
              <w:rPr>
                <w:rFonts w:ascii="Calibri" w:eastAsia="Arial Unicode MS" w:hAnsi="Calibri" w:cs="Calibri"/>
                <w:b/>
                <w:sz w:val="20"/>
                <w:szCs w:val="20"/>
              </w:rPr>
              <w:t>Celkové výdaje na program</w:t>
            </w:r>
          </w:p>
        </w:tc>
      </w:tr>
      <w:tr w:rsidR="00CC1011" w:rsidRPr="00AE7DB8" w14:paraId="0F548ADC" w14:textId="77777777" w:rsidTr="006329C3">
        <w:trPr>
          <w:trHeight w:val="283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519BEDED" w14:textId="02AD6EFF" w:rsidR="006B162C" w:rsidRPr="006B162C" w:rsidRDefault="006B162C" w:rsidP="006329C3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B162C">
              <w:rPr>
                <w:rFonts w:ascii="Calibri" w:eastAsia="Arial Unicode MS" w:hAnsi="Calibri" w:cs="Calibri"/>
                <w:sz w:val="20"/>
                <w:szCs w:val="20"/>
              </w:rPr>
              <w:t xml:space="preserve">Původní 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dokumentace</w:t>
            </w:r>
          </w:p>
        </w:tc>
        <w:tc>
          <w:tcPr>
            <w:tcW w:w="1304" w:type="dxa"/>
            <w:vAlign w:val="center"/>
          </w:tcPr>
          <w:p w14:paraId="6603859F" w14:textId="77777777" w:rsidR="006B162C" w:rsidRPr="00AE7DB8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31. 8. 2011</w:t>
            </w:r>
          </w:p>
        </w:tc>
        <w:tc>
          <w:tcPr>
            <w:tcW w:w="1701" w:type="dxa"/>
            <w:vAlign w:val="center"/>
          </w:tcPr>
          <w:p w14:paraId="302A0D83" w14:textId="295664B9" w:rsidR="006B162C" w:rsidRPr="00AE7DB8" w:rsidRDefault="006B162C" w:rsidP="00165830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2011</w:t>
            </w:r>
            <w:r w:rsidR="00165830">
              <w:rPr>
                <w:rFonts w:ascii="Calibri" w:eastAsia="Arial Unicode MS" w:hAnsi="Calibri" w:cs="Calibri"/>
                <w:sz w:val="20"/>
                <w:szCs w:val="20"/>
              </w:rPr>
              <w:t>–</w:t>
            </w: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2016</w:t>
            </w:r>
          </w:p>
        </w:tc>
        <w:tc>
          <w:tcPr>
            <w:tcW w:w="1276" w:type="dxa"/>
            <w:vAlign w:val="center"/>
          </w:tcPr>
          <w:p w14:paraId="585531E1" w14:textId="77777777" w:rsidR="006B162C" w:rsidRPr="00AE7DB8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13 869,7</w:t>
            </w:r>
          </w:p>
        </w:tc>
        <w:tc>
          <w:tcPr>
            <w:tcW w:w="1276" w:type="dxa"/>
            <w:vAlign w:val="center"/>
          </w:tcPr>
          <w:p w14:paraId="57677607" w14:textId="77777777" w:rsidR="006B162C" w:rsidRPr="00AE7DB8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1 041,8</w:t>
            </w:r>
          </w:p>
        </w:tc>
        <w:tc>
          <w:tcPr>
            <w:tcW w:w="1524" w:type="dxa"/>
            <w:vAlign w:val="center"/>
          </w:tcPr>
          <w:p w14:paraId="3727DCF6" w14:textId="77777777" w:rsidR="006B162C" w:rsidRPr="00AE7DB8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14 911,5</w:t>
            </w:r>
          </w:p>
        </w:tc>
      </w:tr>
      <w:tr w:rsidR="00CC1011" w:rsidRPr="00AE7DB8" w14:paraId="06D863C0" w14:textId="77777777" w:rsidTr="006329C3">
        <w:trPr>
          <w:trHeight w:val="283"/>
          <w:jc w:val="center"/>
        </w:trPr>
        <w:tc>
          <w:tcPr>
            <w:tcW w:w="1984" w:type="dxa"/>
            <w:shd w:val="clear" w:color="auto" w:fill="auto"/>
            <w:vAlign w:val="center"/>
          </w:tcPr>
          <w:p w14:paraId="395FC3F5" w14:textId="20BBC4E1" w:rsidR="006B162C" w:rsidRPr="006B162C" w:rsidRDefault="006B162C" w:rsidP="006329C3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6B162C">
              <w:rPr>
                <w:rFonts w:ascii="Calibri" w:eastAsia="Arial Unicode MS" w:hAnsi="Calibri" w:cs="Calibri"/>
                <w:sz w:val="20"/>
                <w:szCs w:val="20"/>
              </w:rPr>
              <w:t>Aktualizace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 xml:space="preserve"> dokumentace</w:t>
            </w:r>
          </w:p>
        </w:tc>
        <w:tc>
          <w:tcPr>
            <w:tcW w:w="1304" w:type="dxa"/>
            <w:vAlign w:val="center"/>
          </w:tcPr>
          <w:p w14:paraId="29ED6406" w14:textId="77777777" w:rsidR="006B162C" w:rsidRPr="00AE7DB8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24. 6. 2015</w:t>
            </w:r>
          </w:p>
        </w:tc>
        <w:tc>
          <w:tcPr>
            <w:tcW w:w="1701" w:type="dxa"/>
            <w:vAlign w:val="center"/>
          </w:tcPr>
          <w:p w14:paraId="132301BD" w14:textId="7262E0F9" w:rsidR="006B162C" w:rsidRPr="00AE7DB8" w:rsidRDefault="006B162C" w:rsidP="00165830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2011</w:t>
            </w:r>
            <w:r w:rsidR="00165830">
              <w:rPr>
                <w:rFonts w:ascii="Calibri" w:eastAsia="Arial Unicode MS" w:hAnsi="Calibri" w:cs="Calibri"/>
                <w:sz w:val="20"/>
                <w:szCs w:val="20"/>
              </w:rPr>
              <w:t>–</w:t>
            </w: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2019</w:t>
            </w:r>
          </w:p>
        </w:tc>
        <w:tc>
          <w:tcPr>
            <w:tcW w:w="1276" w:type="dxa"/>
            <w:vAlign w:val="center"/>
          </w:tcPr>
          <w:p w14:paraId="4106750B" w14:textId="77777777" w:rsidR="006B162C" w:rsidRPr="00AE7DB8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13 834,7</w:t>
            </w:r>
          </w:p>
        </w:tc>
        <w:tc>
          <w:tcPr>
            <w:tcW w:w="1276" w:type="dxa"/>
            <w:vAlign w:val="center"/>
          </w:tcPr>
          <w:p w14:paraId="2FC5087B" w14:textId="77777777" w:rsidR="006B162C" w:rsidRPr="00AE7DB8" w:rsidRDefault="006B162C" w:rsidP="005D2138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515868">
              <w:rPr>
                <w:rFonts w:ascii="Calibri" w:eastAsia="Arial Unicode MS" w:hAnsi="Calibri" w:cs="Calibri"/>
                <w:sz w:val="20"/>
                <w:szCs w:val="20"/>
              </w:rPr>
              <w:t>1 6</w:t>
            </w:r>
            <w:r>
              <w:rPr>
                <w:rFonts w:ascii="Calibri" w:eastAsia="Arial Unicode MS" w:hAnsi="Calibri" w:cs="Calibri"/>
                <w:sz w:val="20"/>
                <w:szCs w:val="20"/>
              </w:rPr>
              <w:t>5</w:t>
            </w:r>
            <w:r w:rsidRPr="00515868">
              <w:rPr>
                <w:rFonts w:ascii="Calibri" w:eastAsia="Arial Unicode MS" w:hAnsi="Calibri" w:cs="Calibri"/>
                <w:sz w:val="20"/>
                <w:szCs w:val="20"/>
              </w:rPr>
              <w:t>8,1</w:t>
            </w:r>
          </w:p>
        </w:tc>
        <w:tc>
          <w:tcPr>
            <w:tcW w:w="1524" w:type="dxa"/>
            <w:vAlign w:val="center"/>
          </w:tcPr>
          <w:p w14:paraId="34E31639" w14:textId="77777777" w:rsidR="006B162C" w:rsidRPr="00AE7DB8" w:rsidRDefault="006B162C" w:rsidP="005D2138">
            <w:pPr>
              <w:jc w:val="center"/>
              <w:rPr>
                <w:rFonts w:ascii="Calibri" w:eastAsia="Arial Unicode MS" w:hAnsi="Calibri" w:cs="Calibri"/>
                <w:sz w:val="20"/>
                <w:szCs w:val="20"/>
              </w:rPr>
            </w:pPr>
            <w:r w:rsidRPr="00AE7DB8">
              <w:rPr>
                <w:rFonts w:ascii="Calibri" w:eastAsia="Arial Unicode MS" w:hAnsi="Calibri" w:cs="Calibri"/>
                <w:sz w:val="20"/>
                <w:szCs w:val="20"/>
              </w:rPr>
              <w:t>15 492,8</w:t>
            </w:r>
          </w:p>
        </w:tc>
      </w:tr>
    </w:tbl>
    <w:p w14:paraId="36776477" w14:textId="565DB381" w:rsidR="006B162C" w:rsidRPr="00BA614B" w:rsidRDefault="006B162C" w:rsidP="00BA614B">
      <w:pPr>
        <w:spacing w:before="40" w:after="120"/>
        <w:jc w:val="both"/>
        <w:rPr>
          <w:rFonts w:asciiTheme="minorHAnsi" w:hAnsiTheme="minorHAnsi" w:cstheme="minorHAnsi"/>
          <w:sz w:val="20"/>
          <w:szCs w:val="18"/>
        </w:rPr>
      </w:pPr>
      <w:r w:rsidRPr="00BA614B">
        <w:rPr>
          <w:rFonts w:asciiTheme="minorHAnsi" w:hAnsiTheme="minorHAnsi" w:cstheme="minorHAnsi"/>
          <w:b/>
          <w:sz w:val="20"/>
          <w:szCs w:val="18"/>
        </w:rPr>
        <w:t>Zdroj:</w:t>
      </w:r>
      <w:r w:rsidRPr="00BA614B">
        <w:rPr>
          <w:rFonts w:asciiTheme="minorHAnsi" w:hAnsiTheme="minorHAnsi" w:cstheme="minorHAnsi"/>
          <w:sz w:val="20"/>
          <w:szCs w:val="18"/>
        </w:rPr>
        <w:t xml:space="preserve"> </w:t>
      </w:r>
      <w:r w:rsidR="00C025D8">
        <w:rPr>
          <w:rFonts w:asciiTheme="minorHAnsi" w:hAnsiTheme="minorHAnsi" w:cstheme="minorHAnsi"/>
          <w:sz w:val="20"/>
          <w:szCs w:val="18"/>
        </w:rPr>
        <w:t>d</w:t>
      </w:r>
      <w:r w:rsidRPr="00BA614B">
        <w:rPr>
          <w:rFonts w:asciiTheme="minorHAnsi" w:hAnsiTheme="minorHAnsi" w:cstheme="minorHAnsi"/>
          <w:sz w:val="20"/>
          <w:szCs w:val="18"/>
        </w:rPr>
        <w:t>okumentace programu a její aktualizace</w:t>
      </w:r>
      <w:r w:rsidR="00BA70A6" w:rsidRPr="00BA614B">
        <w:rPr>
          <w:rFonts w:asciiTheme="minorHAnsi" w:hAnsiTheme="minorHAnsi" w:cstheme="minorHAnsi"/>
          <w:sz w:val="20"/>
          <w:szCs w:val="18"/>
        </w:rPr>
        <w:t>.</w:t>
      </w:r>
    </w:p>
    <w:p w14:paraId="6791CB3F" w14:textId="6D353809" w:rsidR="006B162C" w:rsidRPr="001F1EE8" w:rsidRDefault="002A273C" w:rsidP="006B162C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Technické </w:t>
      </w:r>
      <w:r w:rsidRPr="0011149F">
        <w:rPr>
          <w:rFonts w:ascii="Calibri" w:hAnsi="Calibri" w:cs="Calibri"/>
        </w:rPr>
        <w:t xml:space="preserve">parametry </w:t>
      </w:r>
      <w:r w:rsidR="006B162C">
        <w:rPr>
          <w:rFonts w:ascii="Calibri" w:hAnsi="Calibri" w:cs="Calibri"/>
        </w:rPr>
        <w:t xml:space="preserve">stanovilo </w:t>
      </w:r>
      <w:r>
        <w:rPr>
          <w:rFonts w:ascii="Calibri" w:hAnsi="Calibri" w:cs="Calibri"/>
        </w:rPr>
        <w:t xml:space="preserve">MŠMT </w:t>
      </w:r>
      <w:r w:rsidR="006B162C" w:rsidRPr="0011149F">
        <w:rPr>
          <w:rFonts w:ascii="Calibri" w:hAnsi="Calibri" w:cs="Calibri"/>
        </w:rPr>
        <w:t xml:space="preserve">v dokumentaci programu na základě podkladů </w:t>
      </w:r>
      <w:r w:rsidR="009B5948">
        <w:rPr>
          <w:rFonts w:ascii="Calibri" w:hAnsi="Calibri" w:cs="Calibri"/>
        </w:rPr>
        <w:t>vypracovaných</w:t>
      </w:r>
      <w:r w:rsidR="006B162C" w:rsidRPr="0011149F">
        <w:rPr>
          <w:rFonts w:ascii="Calibri" w:hAnsi="Calibri" w:cs="Calibri"/>
        </w:rPr>
        <w:t xml:space="preserve"> jednotlivými VVŠ</w:t>
      </w:r>
      <w:r w:rsidR="00811B54">
        <w:rPr>
          <w:rFonts w:ascii="Calibri" w:hAnsi="Calibri" w:cs="Calibri"/>
        </w:rPr>
        <w:t>.</w:t>
      </w:r>
      <w:r w:rsidR="006B162C" w:rsidRPr="0011149F">
        <w:rPr>
          <w:rFonts w:ascii="Calibri" w:hAnsi="Calibri" w:cs="Calibri"/>
        </w:rPr>
        <w:t xml:space="preserve"> </w:t>
      </w:r>
      <w:r w:rsidR="003A491A">
        <w:rPr>
          <w:rFonts w:ascii="Calibri" w:hAnsi="Calibri" w:cs="Calibri"/>
        </w:rPr>
        <w:t>Každý z 26 podprogramů</w:t>
      </w:r>
      <w:r w:rsidR="00393643">
        <w:rPr>
          <w:rStyle w:val="Znakapoznpodarou"/>
          <w:rFonts w:ascii="Calibri" w:hAnsi="Calibri" w:cs="Calibri"/>
        </w:rPr>
        <w:footnoteReference w:id="7"/>
      </w:r>
      <w:r w:rsidR="003A491A">
        <w:rPr>
          <w:rFonts w:ascii="Calibri" w:hAnsi="Calibri" w:cs="Calibri"/>
        </w:rPr>
        <w:t xml:space="preserve"> </w:t>
      </w:r>
      <w:r w:rsidR="00026751">
        <w:rPr>
          <w:rFonts w:ascii="Calibri" w:hAnsi="Calibri" w:cs="Calibri"/>
        </w:rPr>
        <w:t xml:space="preserve">byl </w:t>
      </w:r>
      <w:r w:rsidR="003A491A">
        <w:rPr>
          <w:rFonts w:ascii="Calibri" w:hAnsi="Calibri" w:cs="Calibri"/>
        </w:rPr>
        <w:t xml:space="preserve">vymezen </w:t>
      </w:r>
      <w:r w:rsidR="00811B54">
        <w:rPr>
          <w:rFonts w:ascii="Calibri" w:hAnsi="Calibri" w:cs="Calibri"/>
        </w:rPr>
        <w:t xml:space="preserve">konkrétními </w:t>
      </w:r>
      <w:r w:rsidR="003A491A">
        <w:rPr>
          <w:rFonts w:ascii="Calibri" w:hAnsi="Calibri" w:cs="Calibri"/>
        </w:rPr>
        <w:t>akcemi jedné VVŠ</w:t>
      </w:r>
      <w:r w:rsidR="000023E2">
        <w:rPr>
          <w:rFonts w:ascii="Calibri" w:hAnsi="Calibri" w:cs="Calibri"/>
        </w:rPr>
        <w:t xml:space="preserve"> (dále též „</w:t>
      </w:r>
      <w:r w:rsidR="00BF6FA7">
        <w:rPr>
          <w:rFonts w:ascii="Calibri" w:hAnsi="Calibri" w:cs="Calibri"/>
        </w:rPr>
        <w:t>plánované</w:t>
      </w:r>
      <w:r w:rsidR="000023E2">
        <w:rPr>
          <w:rFonts w:ascii="Calibri" w:hAnsi="Calibri" w:cs="Calibri"/>
        </w:rPr>
        <w:t xml:space="preserve"> akce“)</w:t>
      </w:r>
      <w:r w:rsidR="009B5948">
        <w:rPr>
          <w:rFonts w:ascii="Calibri" w:hAnsi="Calibri" w:cs="Calibri"/>
        </w:rPr>
        <w:t>,</w:t>
      </w:r>
      <w:r w:rsidR="00811B54">
        <w:rPr>
          <w:rFonts w:ascii="Calibri" w:hAnsi="Calibri" w:cs="Calibri"/>
        </w:rPr>
        <w:t xml:space="preserve"> včetně parametrů</w:t>
      </w:r>
      <w:r w:rsidR="003A491A">
        <w:rPr>
          <w:rFonts w:ascii="Calibri" w:hAnsi="Calibri" w:cs="Calibri"/>
        </w:rPr>
        <w:t xml:space="preserve">. </w:t>
      </w:r>
      <w:r w:rsidR="00382B58">
        <w:rPr>
          <w:rFonts w:ascii="Calibri" w:hAnsi="Calibri" w:cs="Calibri"/>
        </w:rPr>
        <w:t>P</w:t>
      </w:r>
      <w:r w:rsidR="006B162C" w:rsidRPr="001F1EE8">
        <w:rPr>
          <w:rFonts w:ascii="Calibri" w:hAnsi="Calibri" w:cs="Calibri"/>
        </w:rPr>
        <w:t xml:space="preserve">ro stanovení </w:t>
      </w:r>
      <w:r w:rsidR="00CC1011">
        <w:rPr>
          <w:rFonts w:ascii="Calibri" w:hAnsi="Calibri" w:cs="Calibri"/>
        </w:rPr>
        <w:t xml:space="preserve">účasti SR na financování </w:t>
      </w:r>
      <w:r w:rsidR="006B162C" w:rsidRPr="001F1EE8">
        <w:rPr>
          <w:rFonts w:ascii="Calibri" w:hAnsi="Calibri" w:cs="Calibri"/>
        </w:rPr>
        <w:t>jednotliv</w:t>
      </w:r>
      <w:r w:rsidR="00CC1011">
        <w:rPr>
          <w:rFonts w:ascii="Calibri" w:hAnsi="Calibri" w:cs="Calibri"/>
        </w:rPr>
        <w:t>ých</w:t>
      </w:r>
      <w:r w:rsidR="006B162C" w:rsidRPr="001F1EE8">
        <w:rPr>
          <w:rFonts w:ascii="Calibri" w:hAnsi="Calibri" w:cs="Calibri"/>
        </w:rPr>
        <w:t xml:space="preserve"> podprogram</w:t>
      </w:r>
      <w:r w:rsidR="00CC1011">
        <w:rPr>
          <w:rFonts w:ascii="Calibri" w:hAnsi="Calibri" w:cs="Calibri"/>
        </w:rPr>
        <w:t>ů</w:t>
      </w:r>
      <w:r w:rsidR="006B162C" w:rsidRPr="001F1EE8">
        <w:rPr>
          <w:rFonts w:ascii="Calibri" w:hAnsi="Calibri" w:cs="Calibri"/>
        </w:rPr>
        <w:t xml:space="preserve"> byl </w:t>
      </w:r>
      <w:r w:rsidR="00811B54">
        <w:rPr>
          <w:rFonts w:ascii="Calibri" w:hAnsi="Calibri" w:cs="Calibri"/>
        </w:rPr>
        <w:t xml:space="preserve">pro MŠMT </w:t>
      </w:r>
      <w:r w:rsidR="00382B58" w:rsidRPr="009B5948">
        <w:rPr>
          <w:rFonts w:ascii="Calibri" w:hAnsi="Calibri" w:cs="Calibri"/>
        </w:rPr>
        <w:t xml:space="preserve">kritériem </w:t>
      </w:r>
      <w:r w:rsidR="00500488">
        <w:rPr>
          <w:rFonts w:ascii="Calibri" w:hAnsi="Calibri" w:cs="Calibri"/>
        </w:rPr>
        <w:t xml:space="preserve">zejména </w:t>
      </w:r>
      <w:r w:rsidR="006B162C" w:rsidRPr="009B5948">
        <w:rPr>
          <w:rFonts w:ascii="Calibri" w:hAnsi="Calibri" w:cs="Calibri"/>
        </w:rPr>
        <w:t>stav materiálně technické základny VVŠ</w:t>
      </w:r>
      <w:r w:rsidR="003325CE">
        <w:rPr>
          <w:rFonts w:ascii="Calibri" w:hAnsi="Calibri" w:cs="Calibri"/>
        </w:rPr>
        <w:t xml:space="preserve"> </w:t>
      </w:r>
      <w:r w:rsidR="006B162C" w:rsidRPr="009B5948">
        <w:rPr>
          <w:rFonts w:ascii="Calibri" w:hAnsi="Calibri" w:cs="Calibri"/>
        </w:rPr>
        <w:t>a rovněž možnosti p</w:t>
      </w:r>
      <w:r w:rsidR="006B162C">
        <w:rPr>
          <w:rFonts w:ascii="Calibri" w:hAnsi="Calibri" w:cs="Calibri"/>
        </w:rPr>
        <w:t>řístupu jednotlivých VVŠ k prostředkům E</w:t>
      </w:r>
      <w:r w:rsidR="009B5948">
        <w:rPr>
          <w:rFonts w:ascii="Calibri" w:hAnsi="Calibri" w:cs="Calibri"/>
        </w:rPr>
        <w:t>U</w:t>
      </w:r>
      <w:r w:rsidR="006B162C">
        <w:rPr>
          <w:rFonts w:ascii="Calibri" w:hAnsi="Calibri" w:cs="Calibri"/>
        </w:rPr>
        <w:t xml:space="preserve">, </w:t>
      </w:r>
      <w:r w:rsidR="002E086C">
        <w:rPr>
          <w:rFonts w:ascii="Calibri" w:hAnsi="Calibri" w:cs="Calibri"/>
        </w:rPr>
        <w:t>především z</w:t>
      </w:r>
      <w:r w:rsidR="006B162C">
        <w:rPr>
          <w:rFonts w:ascii="Calibri" w:hAnsi="Calibri" w:cs="Calibri"/>
        </w:rPr>
        <w:t xml:space="preserve"> operačního programu </w:t>
      </w:r>
      <w:r w:rsidR="002E086C">
        <w:rPr>
          <w:rFonts w:ascii="Calibri" w:hAnsi="Calibri" w:cs="Calibri"/>
          <w:i/>
        </w:rPr>
        <w:t>Výzkum a </w:t>
      </w:r>
      <w:r w:rsidR="006B162C">
        <w:rPr>
          <w:rFonts w:ascii="Calibri" w:hAnsi="Calibri" w:cs="Calibri"/>
          <w:i/>
        </w:rPr>
        <w:t>vývoj pro inovace</w:t>
      </w:r>
      <w:r w:rsidR="00424EE5">
        <w:rPr>
          <w:rFonts w:ascii="Calibri" w:hAnsi="Calibri" w:cs="Calibri"/>
        </w:rPr>
        <w:t xml:space="preserve"> (dále jen „OP </w:t>
      </w:r>
      <w:proofErr w:type="spellStart"/>
      <w:r w:rsidR="00424EE5">
        <w:rPr>
          <w:rFonts w:ascii="Calibri" w:hAnsi="Calibri" w:cs="Calibri"/>
        </w:rPr>
        <w:t>VaVpI</w:t>
      </w:r>
      <w:proofErr w:type="spellEnd"/>
      <w:r w:rsidR="00424EE5">
        <w:rPr>
          <w:rFonts w:ascii="Calibri" w:hAnsi="Calibri" w:cs="Calibri"/>
        </w:rPr>
        <w:t>“).</w:t>
      </w:r>
    </w:p>
    <w:p w14:paraId="428A6B22" w14:textId="1A6E788B" w:rsidR="00AB6307" w:rsidRPr="00C547ED" w:rsidRDefault="00A63199" w:rsidP="007F7856">
      <w:pPr>
        <w:spacing w:before="120" w:after="120"/>
        <w:jc w:val="both"/>
        <w:rPr>
          <w:rFonts w:ascii="Calibri" w:hAnsi="Calibri"/>
        </w:rPr>
      </w:pPr>
      <w:r w:rsidRPr="00111AFD">
        <w:rPr>
          <w:rFonts w:ascii="Calibri" w:hAnsi="Calibri" w:cstheme="minorHAnsi"/>
          <w:bCs/>
          <w:shd w:val="clear" w:color="auto" w:fill="FFFFFF"/>
        </w:rPr>
        <w:t>Z</w:t>
      </w:r>
      <w:r w:rsidR="00257241" w:rsidRPr="00111AFD">
        <w:rPr>
          <w:rFonts w:ascii="Calibri" w:hAnsi="Calibri" w:cstheme="minorHAnsi"/>
          <w:bCs/>
          <w:shd w:val="clear" w:color="auto" w:fill="FFFFFF"/>
        </w:rPr>
        <w:t xml:space="preserve"> program</w:t>
      </w:r>
      <w:r w:rsidR="003B26BD" w:rsidRPr="00111AFD">
        <w:rPr>
          <w:rFonts w:ascii="Calibri" w:hAnsi="Calibri" w:cstheme="minorHAnsi"/>
          <w:bCs/>
          <w:shd w:val="clear" w:color="auto" w:fill="FFFFFF"/>
        </w:rPr>
        <w:t>u</w:t>
      </w:r>
      <w:r w:rsidR="00257241" w:rsidRPr="00111AFD">
        <w:rPr>
          <w:rFonts w:ascii="Calibri" w:hAnsi="Calibri" w:cstheme="minorHAnsi"/>
          <w:bCs/>
          <w:shd w:val="clear" w:color="auto" w:fill="FFFFFF"/>
        </w:rPr>
        <w:t xml:space="preserve"> bylo </w:t>
      </w:r>
      <w:r w:rsidR="00E929BC" w:rsidRPr="00111AFD">
        <w:rPr>
          <w:rFonts w:ascii="Calibri" w:hAnsi="Calibri" w:cstheme="minorHAnsi"/>
          <w:bCs/>
          <w:shd w:val="clear" w:color="auto" w:fill="FFFFFF"/>
        </w:rPr>
        <w:t>v kontrolovaném období</w:t>
      </w:r>
      <w:r w:rsidR="00257241" w:rsidRPr="00111AFD">
        <w:rPr>
          <w:rFonts w:ascii="Calibri" w:hAnsi="Calibri" w:cstheme="minorHAnsi"/>
          <w:bCs/>
          <w:shd w:val="clear" w:color="auto" w:fill="FFFFFF"/>
        </w:rPr>
        <w:t xml:space="preserve"> </w:t>
      </w:r>
      <w:r w:rsidRPr="00111AFD">
        <w:rPr>
          <w:rFonts w:ascii="Calibri" w:hAnsi="Calibri" w:cstheme="minorHAnsi"/>
          <w:bCs/>
          <w:shd w:val="clear" w:color="auto" w:fill="FFFFFF"/>
        </w:rPr>
        <w:t xml:space="preserve">vyčerpáno </w:t>
      </w:r>
      <w:r w:rsidR="00FE08FD" w:rsidRPr="00111AFD">
        <w:rPr>
          <w:rFonts w:ascii="Calibri" w:hAnsi="Calibri" w:cstheme="minorHAnsi"/>
          <w:bCs/>
          <w:shd w:val="clear" w:color="auto" w:fill="FFFFFF"/>
        </w:rPr>
        <w:t xml:space="preserve">celkem </w:t>
      </w:r>
      <w:r w:rsidRPr="00111AFD">
        <w:rPr>
          <w:rFonts w:ascii="Calibri" w:hAnsi="Calibri" w:cstheme="minorHAnsi"/>
          <w:bCs/>
          <w:shd w:val="clear" w:color="auto" w:fill="FFFFFF"/>
        </w:rPr>
        <w:t>5</w:t>
      </w:r>
      <w:r w:rsidR="00111AFD">
        <w:rPr>
          <w:rFonts w:ascii="Calibri" w:hAnsi="Calibri" w:cstheme="minorHAnsi"/>
          <w:bCs/>
          <w:shd w:val="clear" w:color="auto" w:fill="FFFFFF"/>
        </w:rPr>
        <w:t> 737,7</w:t>
      </w:r>
      <w:r w:rsidRPr="00111AFD">
        <w:rPr>
          <w:rFonts w:ascii="Calibri" w:hAnsi="Calibri" w:cstheme="minorHAnsi"/>
          <w:bCs/>
          <w:shd w:val="clear" w:color="auto" w:fill="FFFFFF"/>
        </w:rPr>
        <w:t xml:space="preserve"> </w:t>
      </w:r>
      <w:r w:rsidR="00257241" w:rsidRPr="00111AFD">
        <w:rPr>
          <w:rFonts w:ascii="Calibri" w:hAnsi="Calibri" w:cstheme="minorHAnsi"/>
          <w:bCs/>
          <w:shd w:val="clear" w:color="auto" w:fill="FFFFFF"/>
        </w:rPr>
        <w:t>m</w:t>
      </w:r>
      <w:r w:rsidRPr="00111AFD">
        <w:rPr>
          <w:rFonts w:ascii="Calibri" w:hAnsi="Calibri" w:cstheme="minorHAnsi"/>
          <w:bCs/>
          <w:shd w:val="clear" w:color="auto" w:fill="FFFFFF"/>
        </w:rPr>
        <w:t>il</w:t>
      </w:r>
      <w:r w:rsidR="00257241" w:rsidRPr="00111AFD">
        <w:rPr>
          <w:rFonts w:ascii="Calibri" w:hAnsi="Calibri" w:cstheme="minorHAnsi"/>
          <w:bCs/>
          <w:shd w:val="clear" w:color="auto" w:fill="FFFFFF"/>
        </w:rPr>
        <w:t>. Kč</w:t>
      </w:r>
      <w:r w:rsidR="00111AFD">
        <w:rPr>
          <w:rFonts w:ascii="Calibri" w:hAnsi="Calibri"/>
        </w:rPr>
        <w:t xml:space="preserve"> (</w:t>
      </w:r>
      <w:r w:rsidR="00C025D8">
        <w:rPr>
          <w:rFonts w:ascii="Calibri" w:hAnsi="Calibri"/>
        </w:rPr>
        <w:t xml:space="preserve">viz </w:t>
      </w:r>
      <w:r w:rsidR="006911A3">
        <w:rPr>
          <w:rFonts w:ascii="Calibri" w:hAnsi="Calibri"/>
        </w:rPr>
        <w:t xml:space="preserve">tabulka č. </w:t>
      </w:r>
      <w:r w:rsidR="006B162C">
        <w:rPr>
          <w:rFonts w:ascii="Calibri" w:hAnsi="Calibri"/>
        </w:rPr>
        <w:t>2</w:t>
      </w:r>
      <w:r w:rsidR="00111AFD">
        <w:rPr>
          <w:rFonts w:ascii="Calibri" w:hAnsi="Calibri"/>
        </w:rPr>
        <w:t>).</w:t>
      </w:r>
      <w:r w:rsidR="00AB6307" w:rsidRPr="00111AFD">
        <w:rPr>
          <w:rFonts w:ascii="Calibri" w:hAnsi="Calibri"/>
        </w:rPr>
        <w:t xml:space="preserve"> </w:t>
      </w:r>
      <w:r w:rsidR="00FE08FD" w:rsidRPr="00C547ED">
        <w:rPr>
          <w:rFonts w:ascii="Calibri" w:hAnsi="Calibri"/>
        </w:rPr>
        <w:t>NKÚ vybral</w:t>
      </w:r>
      <w:r w:rsidR="00AB6307" w:rsidRPr="00C547ED">
        <w:rPr>
          <w:rFonts w:ascii="Calibri" w:hAnsi="Calibri" w:cstheme="minorHAnsi"/>
        </w:rPr>
        <w:t xml:space="preserve"> </w:t>
      </w:r>
      <w:r w:rsidR="0024127B" w:rsidRPr="00C547ED">
        <w:rPr>
          <w:rFonts w:ascii="Calibri" w:hAnsi="Calibri"/>
        </w:rPr>
        <w:t xml:space="preserve">ke kontrole </w:t>
      </w:r>
      <w:r w:rsidR="003B26BD" w:rsidRPr="00C547ED">
        <w:rPr>
          <w:rFonts w:ascii="Calibri" w:hAnsi="Calibri"/>
        </w:rPr>
        <w:t>šest</w:t>
      </w:r>
      <w:r w:rsidR="00AB6307" w:rsidRPr="00C547ED">
        <w:rPr>
          <w:rFonts w:ascii="Calibri" w:hAnsi="Calibri" w:cstheme="minorHAnsi"/>
        </w:rPr>
        <w:t xml:space="preserve"> investičních akcí</w:t>
      </w:r>
      <w:r w:rsidR="00333063">
        <w:rPr>
          <w:rFonts w:ascii="Calibri" w:hAnsi="Calibri" w:cstheme="minorHAnsi"/>
        </w:rPr>
        <w:t xml:space="preserve"> u čtyř veřejných vysokých škol</w:t>
      </w:r>
      <w:r w:rsidR="00AB6307" w:rsidRPr="00C547ED">
        <w:rPr>
          <w:rFonts w:ascii="Calibri" w:hAnsi="Calibri" w:cstheme="minorHAnsi"/>
        </w:rPr>
        <w:t xml:space="preserve">, na jejichž realizaci bylo ze SR poskytnuto </w:t>
      </w:r>
      <w:r w:rsidR="00333063">
        <w:rPr>
          <w:rFonts w:ascii="Calibri" w:hAnsi="Calibri" w:cstheme="minorHAnsi"/>
        </w:rPr>
        <w:t>v souhrnu</w:t>
      </w:r>
      <w:r w:rsidR="00AB6307" w:rsidRPr="00C547ED">
        <w:rPr>
          <w:rFonts w:ascii="Calibri" w:hAnsi="Calibri" w:cstheme="minorHAnsi"/>
        </w:rPr>
        <w:t xml:space="preserve"> </w:t>
      </w:r>
      <w:r w:rsidR="00C547ED">
        <w:rPr>
          <w:rFonts w:ascii="Calibri" w:hAnsi="Calibri" w:cstheme="minorHAnsi"/>
        </w:rPr>
        <w:t>1 851,</w:t>
      </w:r>
      <w:r w:rsidR="00C547ED" w:rsidRPr="00C547ED">
        <w:rPr>
          <w:rFonts w:ascii="Calibri" w:hAnsi="Calibri" w:cstheme="minorHAnsi"/>
        </w:rPr>
        <w:t>3</w:t>
      </w:r>
      <w:r w:rsidR="00AB6307" w:rsidRPr="00C547ED">
        <w:rPr>
          <w:rFonts w:ascii="Calibri" w:hAnsi="Calibri" w:cstheme="minorHAnsi"/>
        </w:rPr>
        <w:t xml:space="preserve"> mil. Kč </w:t>
      </w:r>
      <w:r w:rsidR="00AB6307" w:rsidRPr="00EB5E97">
        <w:rPr>
          <w:rFonts w:ascii="Calibri" w:hAnsi="Calibri" w:cstheme="minorHAnsi"/>
        </w:rPr>
        <w:t>(</w:t>
      </w:r>
      <w:r w:rsidR="00C025D8">
        <w:rPr>
          <w:rFonts w:ascii="Calibri" w:hAnsi="Calibri" w:cstheme="minorHAnsi"/>
        </w:rPr>
        <w:t xml:space="preserve">viz </w:t>
      </w:r>
      <w:r w:rsidR="00AB6307" w:rsidRPr="00EB5E97">
        <w:rPr>
          <w:rFonts w:ascii="Calibri" w:hAnsi="Calibri" w:cstheme="minorHAnsi"/>
        </w:rPr>
        <w:t xml:space="preserve">příloha č. </w:t>
      </w:r>
      <w:r w:rsidR="006911A3" w:rsidRPr="00EB5E97">
        <w:rPr>
          <w:rFonts w:ascii="Calibri" w:hAnsi="Calibri" w:cstheme="minorHAnsi"/>
        </w:rPr>
        <w:t>1</w:t>
      </w:r>
      <w:r w:rsidR="00AB6307" w:rsidRPr="00EB5E97">
        <w:rPr>
          <w:rFonts w:ascii="Calibri" w:hAnsi="Calibri" w:cstheme="minorHAnsi"/>
        </w:rPr>
        <w:t>).</w:t>
      </w:r>
    </w:p>
    <w:p w14:paraId="6FC06D51" w14:textId="1397D087" w:rsidR="008A10EF" w:rsidRPr="006329C3" w:rsidRDefault="008A10EF" w:rsidP="00BA614B">
      <w:pPr>
        <w:tabs>
          <w:tab w:val="right" w:pos="9071"/>
        </w:tabs>
        <w:jc w:val="both"/>
        <w:rPr>
          <w:rFonts w:ascii="Calibri" w:hAnsi="Calibri" w:cstheme="minorHAnsi"/>
          <w:b/>
          <w:color w:val="000000"/>
          <w:sz w:val="18"/>
          <w:szCs w:val="18"/>
        </w:rPr>
      </w:pPr>
      <w:r w:rsidRPr="006329C3">
        <w:rPr>
          <w:rFonts w:ascii="Calibri" w:hAnsi="Calibri" w:cstheme="minorHAnsi"/>
          <w:b/>
          <w:color w:val="000000"/>
        </w:rPr>
        <w:t xml:space="preserve">Tabulka č. </w:t>
      </w:r>
      <w:r w:rsidR="006B162C" w:rsidRPr="006329C3">
        <w:rPr>
          <w:rFonts w:ascii="Calibri" w:hAnsi="Calibri" w:cstheme="minorHAnsi"/>
          <w:b/>
          <w:color w:val="000000"/>
        </w:rPr>
        <w:t>2</w:t>
      </w:r>
      <w:r w:rsidRPr="006329C3">
        <w:rPr>
          <w:rFonts w:ascii="Calibri" w:hAnsi="Calibri" w:cstheme="minorHAnsi"/>
          <w:b/>
          <w:color w:val="000000"/>
        </w:rPr>
        <w:t xml:space="preserve"> </w:t>
      </w:r>
      <w:r w:rsidR="007B41A0" w:rsidRPr="006329C3">
        <w:rPr>
          <w:rFonts w:ascii="Calibri" w:hAnsi="Calibri" w:cstheme="minorHAnsi"/>
          <w:b/>
          <w:color w:val="000000"/>
        </w:rPr>
        <w:t>–</w:t>
      </w:r>
      <w:r w:rsidRPr="006329C3">
        <w:rPr>
          <w:rFonts w:ascii="Calibri" w:hAnsi="Calibri" w:cstheme="minorHAnsi"/>
          <w:b/>
          <w:color w:val="000000"/>
        </w:rPr>
        <w:t xml:space="preserve"> </w:t>
      </w:r>
      <w:r w:rsidR="007B41A0" w:rsidRPr="006329C3">
        <w:rPr>
          <w:rFonts w:ascii="Calibri" w:hAnsi="Calibri" w:cstheme="minorHAnsi"/>
          <w:b/>
          <w:color w:val="000000"/>
        </w:rPr>
        <w:t>Prostředky</w:t>
      </w:r>
      <w:r w:rsidR="00205237" w:rsidRPr="006329C3">
        <w:rPr>
          <w:rFonts w:ascii="Calibri" w:hAnsi="Calibri" w:cstheme="minorHAnsi"/>
          <w:b/>
          <w:color w:val="000000"/>
        </w:rPr>
        <w:t xml:space="preserve"> M</w:t>
      </w:r>
      <w:r w:rsidR="00111AFD" w:rsidRPr="006329C3">
        <w:rPr>
          <w:rFonts w:ascii="Calibri" w:hAnsi="Calibri" w:cstheme="minorHAnsi"/>
          <w:b/>
          <w:color w:val="000000"/>
        </w:rPr>
        <w:t xml:space="preserve">ŠMT </w:t>
      </w:r>
      <w:r w:rsidR="004C1208" w:rsidRPr="006329C3">
        <w:rPr>
          <w:rFonts w:ascii="Calibri" w:hAnsi="Calibri" w:cstheme="minorHAnsi"/>
          <w:b/>
          <w:color w:val="000000"/>
        </w:rPr>
        <w:t>č</w:t>
      </w:r>
      <w:r w:rsidRPr="006329C3">
        <w:rPr>
          <w:rFonts w:ascii="Calibri" w:hAnsi="Calibri" w:cstheme="minorHAnsi"/>
          <w:b/>
          <w:color w:val="000000"/>
        </w:rPr>
        <w:t>e</w:t>
      </w:r>
      <w:r w:rsidR="004C1208" w:rsidRPr="006329C3">
        <w:rPr>
          <w:rFonts w:ascii="Calibri" w:hAnsi="Calibri" w:cstheme="minorHAnsi"/>
          <w:b/>
          <w:color w:val="000000"/>
        </w:rPr>
        <w:t>rpa</w:t>
      </w:r>
      <w:r w:rsidRPr="006329C3">
        <w:rPr>
          <w:rFonts w:ascii="Calibri" w:hAnsi="Calibri" w:cstheme="minorHAnsi"/>
          <w:b/>
          <w:color w:val="000000"/>
        </w:rPr>
        <w:t xml:space="preserve">né na </w:t>
      </w:r>
      <w:r w:rsidR="005464CD" w:rsidRPr="006329C3">
        <w:rPr>
          <w:rFonts w:ascii="Calibri" w:hAnsi="Calibri" w:cstheme="minorHAnsi"/>
          <w:b/>
          <w:color w:val="000000"/>
        </w:rPr>
        <w:t>program</w:t>
      </w:r>
      <w:r w:rsidR="004C1208" w:rsidRPr="006329C3">
        <w:rPr>
          <w:rFonts w:ascii="Calibri" w:hAnsi="Calibri" w:cstheme="minorHAnsi"/>
          <w:b/>
          <w:color w:val="000000"/>
        </w:rPr>
        <w:t xml:space="preserve"> v jednotlivých letech</w:t>
      </w:r>
      <w:r w:rsidR="00D72205" w:rsidRPr="006329C3">
        <w:rPr>
          <w:rFonts w:ascii="Calibri" w:hAnsi="Calibri" w:cstheme="minorHAnsi"/>
          <w:b/>
          <w:color w:val="000000"/>
        </w:rPr>
        <w:tab/>
      </w:r>
      <w:r w:rsidRPr="006329C3">
        <w:rPr>
          <w:rFonts w:ascii="Calibri" w:hAnsi="Calibri" w:cstheme="minorHAnsi"/>
          <w:b/>
          <w:color w:val="000000"/>
        </w:rPr>
        <w:t>(v mil. Kč)</w:t>
      </w:r>
    </w:p>
    <w:tbl>
      <w:tblPr>
        <w:tblW w:w="489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964"/>
        <w:gridCol w:w="965"/>
        <w:gridCol w:w="965"/>
        <w:gridCol w:w="965"/>
        <w:gridCol w:w="965"/>
        <w:gridCol w:w="965"/>
        <w:gridCol w:w="1131"/>
      </w:tblGrid>
      <w:tr w:rsidR="00297970" w:rsidRPr="00C547ED" w14:paraId="6B3C7F27" w14:textId="77777777" w:rsidTr="00297970">
        <w:trPr>
          <w:trHeight w:val="283"/>
          <w:jc w:val="center"/>
        </w:trPr>
        <w:tc>
          <w:tcPr>
            <w:tcW w:w="1163" w:type="pct"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42EC23F" w14:textId="78A76682" w:rsidR="00C547ED" w:rsidRPr="006B162C" w:rsidRDefault="006911A3" w:rsidP="006911A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B162C">
              <w:rPr>
                <w:rFonts w:ascii="Calibri" w:hAnsi="Calibri"/>
                <w:sz w:val="20"/>
                <w:szCs w:val="20"/>
              </w:rPr>
              <w:t>Rok</w:t>
            </w:r>
            <w:r w:rsidR="00C547ED" w:rsidRPr="006B162C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0DED49C" w14:textId="77777777" w:rsidR="00C547ED" w:rsidRPr="006B162C" w:rsidRDefault="00C547ED" w:rsidP="002663D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162C">
              <w:rPr>
                <w:rFonts w:ascii="Calibri" w:hAnsi="Calibri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F8F49D4" w14:textId="77777777" w:rsidR="00C547ED" w:rsidRPr="006B162C" w:rsidRDefault="00C547ED" w:rsidP="002663D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162C">
              <w:rPr>
                <w:rFonts w:ascii="Calibri" w:hAnsi="Calibri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71005BD" w14:textId="77777777" w:rsidR="00C547ED" w:rsidRPr="006B162C" w:rsidRDefault="00C547ED" w:rsidP="002663D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162C">
              <w:rPr>
                <w:rFonts w:ascii="Calibri" w:hAnsi="Calibri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0CB8CE39" w14:textId="77777777" w:rsidR="00C547ED" w:rsidRPr="006B162C" w:rsidRDefault="00C547ED" w:rsidP="002663D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162C">
              <w:rPr>
                <w:rFonts w:ascii="Calibri" w:hAnsi="Calibri"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8CC1AC7" w14:textId="77777777" w:rsidR="00C547ED" w:rsidRPr="006B162C" w:rsidRDefault="00C547ED" w:rsidP="002663D7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162C">
              <w:rPr>
                <w:rFonts w:ascii="Calibri" w:hAnsi="Calibri"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AF85E43" w14:textId="3CF82969" w:rsidR="00C547ED" w:rsidRPr="006B162C" w:rsidRDefault="00C547ED" w:rsidP="00C547ED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162C">
              <w:rPr>
                <w:rFonts w:ascii="Calibri" w:hAnsi="Calibri"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629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92C155E" w14:textId="244CB273" w:rsidR="00C547ED" w:rsidRPr="006B162C" w:rsidRDefault="00C547ED" w:rsidP="00297970">
            <w:pPr>
              <w:jc w:val="center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B162C">
              <w:rPr>
                <w:rFonts w:ascii="Calibri" w:hAnsi="Calibri"/>
                <w:bCs/>
                <w:color w:val="000000"/>
                <w:sz w:val="20"/>
                <w:szCs w:val="20"/>
              </w:rPr>
              <w:t>2011</w:t>
            </w:r>
            <w:r w:rsidR="00297970">
              <w:rPr>
                <w:rFonts w:ascii="Calibri" w:hAnsi="Calibri"/>
                <w:bCs/>
                <w:color w:val="000000"/>
                <w:sz w:val="20"/>
                <w:szCs w:val="20"/>
              </w:rPr>
              <w:t>–</w:t>
            </w:r>
            <w:r w:rsidRPr="006B162C">
              <w:rPr>
                <w:rFonts w:ascii="Calibri" w:hAnsi="Calibri"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297970" w:rsidRPr="00C547ED" w14:paraId="3315CE33" w14:textId="77777777" w:rsidTr="006329C3">
        <w:trPr>
          <w:trHeight w:val="283"/>
          <w:jc w:val="center"/>
        </w:trPr>
        <w:tc>
          <w:tcPr>
            <w:tcW w:w="116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A93C1" w14:textId="7FAEF571" w:rsidR="004630E5" w:rsidRPr="004A6260" w:rsidRDefault="008F60B1" w:rsidP="006329C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Č</w:t>
            </w:r>
            <w:r w:rsidR="006911A3" w:rsidRPr="004A6260">
              <w:rPr>
                <w:rFonts w:ascii="Calibri" w:hAnsi="Calibri"/>
                <w:color w:val="000000"/>
                <w:sz w:val="20"/>
                <w:szCs w:val="20"/>
              </w:rPr>
              <w:t xml:space="preserve">erpané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prostředky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D330D69" w14:textId="7BA548FC" w:rsidR="004630E5" w:rsidRPr="006911A3" w:rsidRDefault="006911A3" w:rsidP="00DF71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A964BC1" w14:textId="72848718" w:rsidR="004630E5" w:rsidRPr="006911A3" w:rsidRDefault="006911A3" w:rsidP="00DF71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314,4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2E4F4C5" w14:textId="13A350A3" w:rsidR="004630E5" w:rsidRPr="006911A3" w:rsidRDefault="006911A3" w:rsidP="00DF71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583,9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48EF240" w14:textId="29834C41" w:rsidR="004630E5" w:rsidRPr="006911A3" w:rsidRDefault="006911A3" w:rsidP="00DF71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996,9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AF03C12" w14:textId="2575586F" w:rsidR="004630E5" w:rsidRPr="006911A3" w:rsidRDefault="006911A3" w:rsidP="00DF71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1 833,2</w:t>
            </w:r>
          </w:p>
        </w:tc>
        <w:tc>
          <w:tcPr>
            <w:tcW w:w="535" w:type="pct"/>
            <w:tcBorders>
              <w:bottom w:val="single" w:sz="8" w:space="0" w:color="auto"/>
            </w:tcBorders>
            <w:vAlign w:val="center"/>
          </w:tcPr>
          <w:p w14:paraId="77C8D464" w14:textId="00F8DCE9" w:rsidR="004630E5" w:rsidRPr="006911A3" w:rsidRDefault="006911A3" w:rsidP="00DF71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1 981,5</w:t>
            </w:r>
          </w:p>
        </w:tc>
        <w:tc>
          <w:tcPr>
            <w:tcW w:w="629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D3D4891" w14:textId="706E60C9" w:rsidR="004630E5" w:rsidRPr="00546ABA" w:rsidRDefault="006911A3" w:rsidP="00DF71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546ABA">
              <w:rPr>
                <w:rFonts w:ascii="Calibri" w:hAnsi="Calibri"/>
                <w:color w:val="000000"/>
                <w:sz w:val="20"/>
                <w:szCs w:val="20"/>
              </w:rPr>
              <w:t>5 737,7</w:t>
            </w:r>
          </w:p>
        </w:tc>
      </w:tr>
    </w:tbl>
    <w:p w14:paraId="6694472D" w14:textId="000F9937" w:rsidR="008A10EF" w:rsidRPr="00BA614B" w:rsidRDefault="008A10EF" w:rsidP="00BA614B">
      <w:pPr>
        <w:spacing w:before="40"/>
        <w:jc w:val="both"/>
        <w:rPr>
          <w:rFonts w:ascii="Calibri" w:hAnsi="Calibri"/>
          <w:sz w:val="20"/>
          <w:szCs w:val="18"/>
        </w:rPr>
      </w:pPr>
      <w:r w:rsidRPr="00BA614B">
        <w:rPr>
          <w:rFonts w:ascii="Calibri" w:hAnsi="Calibri"/>
          <w:b/>
          <w:sz w:val="20"/>
          <w:szCs w:val="18"/>
        </w:rPr>
        <w:t>Zdroj:</w:t>
      </w:r>
      <w:r w:rsidRPr="00BA614B">
        <w:rPr>
          <w:rFonts w:ascii="Calibri" w:hAnsi="Calibri"/>
          <w:sz w:val="20"/>
          <w:szCs w:val="18"/>
        </w:rPr>
        <w:t xml:space="preserve"> </w:t>
      </w:r>
      <w:r w:rsidR="00297970">
        <w:rPr>
          <w:rFonts w:ascii="Calibri" w:hAnsi="Calibri"/>
          <w:sz w:val="20"/>
          <w:szCs w:val="18"/>
        </w:rPr>
        <w:t>s</w:t>
      </w:r>
      <w:r w:rsidR="002C4EB2" w:rsidRPr="00BA614B">
        <w:rPr>
          <w:rFonts w:ascii="Calibri" w:hAnsi="Calibri"/>
          <w:sz w:val="20"/>
          <w:szCs w:val="18"/>
        </w:rPr>
        <w:t>tátní závěrečn</w:t>
      </w:r>
      <w:r w:rsidR="00297970">
        <w:rPr>
          <w:rFonts w:ascii="Calibri" w:hAnsi="Calibri"/>
          <w:sz w:val="20"/>
          <w:szCs w:val="18"/>
        </w:rPr>
        <w:t>é</w:t>
      </w:r>
      <w:r w:rsidR="002C4EB2" w:rsidRPr="00BA614B">
        <w:rPr>
          <w:rFonts w:ascii="Calibri" w:hAnsi="Calibri"/>
          <w:sz w:val="20"/>
          <w:szCs w:val="18"/>
        </w:rPr>
        <w:t xml:space="preserve"> úč</w:t>
      </w:r>
      <w:r w:rsidR="00297970">
        <w:rPr>
          <w:rFonts w:ascii="Calibri" w:hAnsi="Calibri"/>
          <w:sz w:val="20"/>
          <w:szCs w:val="18"/>
        </w:rPr>
        <w:t>ty</w:t>
      </w:r>
      <w:r w:rsidRPr="00BA614B">
        <w:rPr>
          <w:rFonts w:ascii="Calibri" w:hAnsi="Calibri"/>
          <w:sz w:val="20"/>
          <w:szCs w:val="18"/>
        </w:rPr>
        <w:t xml:space="preserve"> za roky 2011, 2012, 2013, 2014</w:t>
      </w:r>
      <w:r w:rsidR="00C547ED" w:rsidRPr="00BA614B">
        <w:rPr>
          <w:rFonts w:ascii="Calibri" w:hAnsi="Calibri"/>
          <w:sz w:val="20"/>
          <w:szCs w:val="18"/>
        </w:rPr>
        <w:t xml:space="preserve">, </w:t>
      </w:r>
      <w:r w:rsidRPr="00BA614B">
        <w:rPr>
          <w:rFonts w:ascii="Calibri" w:hAnsi="Calibri"/>
          <w:sz w:val="20"/>
          <w:szCs w:val="18"/>
        </w:rPr>
        <w:t>2015</w:t>
      </w:r>
      <w:r w:rsidR="00C547ED" w:rsidRPr="00BA614B">
        <w:rPr>
          <w:rFonts w:ascii="Calibri" w:hAnsi="Calibri"/>
          <w:sz w:val="20"/>
          <w:szCs w:val="18"/>
        </w:rPr>
        <w:t xml:space="preserve"> a 2016</w:t>
      </w:r>
      <w:r w:rsidR="00BA70A6" w:rsidRPr="00BA614B">
        <w:rPr>
          <w:rFonts w:ascii="Calibri" w:hAnsi="Calibri"/>
          <w:sz w:val="20"/>
          <w:szCs w:val="18"/>
        </w:rPr>
        <w:t>.</w:t>
      </w:r>
    </w:p>
    <w:p w14:paraId="4B93FDDD" w14:textId="693D8D15" w:rsidR="004C1208" w:rsidRPr="004C1208" w:rsidRDefault="004C1208" w:rsidP="002663D7">
      <w:pPr>
        <w:jc w:val="both"/>
        <w:rPr>
          <w:rFonts w:ascii="Calibri" w:hAnsi="Calibri"/>
        </w:rPr>
      </w:pPr>
    </w:p>
    <w:p w14:paraId="795A56A9" w14:textId="5CC19D3A" w:rsidR="004C1208" w:rsidRPr="006329C3" w:rsidRDefault="004C1208" w:rsidP="008F4358">
      <w:pPr>
        <w:ind w:left="567" w:hanging="567"/>
        <w:jc w:val="both"/>
        <w:rPr>
          <w:rFonts w:ascii="Calibri" w:hAnsi="Calibri"/>
          <w:sz w:val="20"/>
        </w:rPr>
      </w:pPr>
      <w:r w:rsidRPr="006329C3">
        <w:rPr>
          <w:rFonts w:ascii="Calibri" w:hAnsi="Calibri"/>
          <w:b/>
          <w:sz w:val="20"/>
        </w:rPr>
        <w:t>Pozn.:</w:t>
      </w:r>
      <w:r w:rsidRPr="006329C3">
        <w:rPr>
          <w:rFonts w:ascii="Calibri" w:hAnsi="Calibri"/>
          <w:sz w:val="20"/>
        </w:rPr>
        <w:t xml:space="preserve"> Všechny právní předpisy uvedené v tomto kontrolním závěru jsou aplikovány ve znění účinném pro kontrolované období.</w:t>
      </w:r>
    </w:p>
    <w:p w14:paraId="1D87E547" w14:textId="1C282BDE" w:rsidR="0083292B" w:rsidRDefault="0083292B">
      <w:pPr>
        <w:rPr>
          <w:rFonts w:ascii="Calibri" w:hAnsi="Calibri" w:cstheme="minorHAnsi"/>
        </w:rPr>
      </w:pPr>
    </w:p>
    <w:p w14:paraId="4C27B5EB" w14:textId="77777777" w:rsidR="008F4358" w:rsidRPr="008F4358" w:rsidRDefault="008F4358">
      <w:pPr>
        <w:rPr>
          <w:rFonts w:ascii="Calibri" w:hAnsi="Calibri" w:cstheme="minorHAnsi"/>
        </w:rPr>
      </w:pPr>
    </w:p>
    <w:p w14:paraId="5C1B429E" w14:textId="4102A52F" w:rsidR="00A63199" w:rsidRPr="006329C3" w:rsidRDefault="00A63199" w:rsidP="00BC1715">
      <w:pPr>
        <w:jc w:val="center"/>
        <w:rPr>
          <w:rFonts w:ascii="Calibri" w:hAnsi="Calibri" w:cstheme="minorHAnsi"/>
          <w:b/>
          <w:sz w:val="28"/>
        </w:rPr>
      </w:pPr>
      <w:r w:rsidRPr="006329C3">
        <w:rPr>
          <w:rFonts w:ascii="Calibri" w:hAnsi="Calibri" w:cstheme="minorHAnsi"/>
          <w:b/>
          <w:sz w:val="28"/>
        </w:rPr>
        <w:t>II. Shrnutí a vyhodnocení skutečností zjištěných při kontrole</w:t>
      </w:r>
    </w:p>
    <w:p w14:paraId="2DF2C399" w14:textId="69684B83" w:rsidR="00334304" w:rsidRDefault="00334304" w:rsidP="00334304">
      <w:pPr>
        <w:rPr>
          <w:rFonts w:ascii="Calibri" w:hAnsi="Calibri" w:cstheme="minorHAnsi"/>
          <w:b/>
        </w:rPr>
      </w:pPr>
    </w:p>
    <w:p w14:paraId="321513EF" w14:textId="59F668B3" w:rsidR="00427396" w:rsidRDefault="00427396" w:rsidP="0042739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NKÚ u </w:t>
      </w:r>
      <w:r w:rsidR="00273AA9">
        <w:rPr>
          <w:rFonts w:asciiTheme="minorHAnsi" w:hAnsiTheme="minorHAnsi" w:cstheme="minorHAnsi"/>
        </w:rPr>
        <w:t xml:space="preserve">MŠMT </w:t>
      </w:r>
      <w:r w:rsidR="003D146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rověřil </w:t>
      </w:r>
      <w:r w:rsidR="00273AA9">
        <w:rPr>
          <w:rFonts w:asciiTheme="minorHAnsi" w:hAnsiTheme="minorHAnsi" w:cstheme="minorHAnsi"/>
        </w:rPr>
        <w:t xml:space="preserve">zejména </w:t>
      </w:r>
      <w:r>
        <w:rPr>
          <w:rFonts w:asciiTheme="minorHAnsi" w:hAnsiTheme="minorHAnsi" w:cstheme="minorHAnsi"/>
        </w:rPr>
        <w:t xml:space="preserve">soulad </w:t>
      </w:r>
      <w:r w:rsidRPr="00836022">
        <w:rPr>
          <w:rFonts w:asciiTheme="minorHAnsi" w:hAnsiTheme="minorHAnsi" w:cstheme="minorHAnsi"/>
        </w:rPr>
        <w:t>investi</w:t>
      </w:r>
      <w:r>
        <w:rPr>
          <w:rFonts w:asciiTheme="minorHAnsi" w:hAnsiTheme="minorHAnsi" w:cstheme="minorHAnsi"/>
        </w:rPr>
        <w:t>čních potřeb</w:t>
      </w:r>
      <w:r w:rsidRPr="00836022">
        <w:rPr>
          <w:rFonts w:asciiTheme="minorHAnsi" w:hAnsiTheme="minorHAnsi" w:cstheme="minorHAnsi"/>
        </w:rPr>
        <w:t xml:space="preserve"> VVŠ</w:t>
      </w:r>
      <w:r>
        <w:rPr>
          <w:rFonts w:asciiTheme="minorHAnsi" w:hAnsiTheme="minorHAnsi" w:cstheme="minorHAnsi"/>
        </w:rPr>
        <w:t xml:space="preserve">, uvedených v koncepčních </w:t>
      </w:r>
      <w:r w:rsidR="009E3852">
        <w:rPr>
          <w:rFonts w:asciiTheme="minorHAnsi" w:hAnsiTheme="minorHAnsi" w:cstheme="minorHAnsi"/>
        </w:rPr>
        <w:t xml:space="preserve">záměrech </w:t>
      </w:r>
      <w:r>
        <w:rPr>
          <w:rFonts w:asciiTheme="minorHAnsi" w:hAnsiTheme="minorHAnsi" w:cstheme="minorHAnsi"/>
        </w:rPr>
        <w:t>a </w:t>
      </w:r>
      <w:r w:rsidR="009E3852">
        <w:rPr>
          <w:rFonts w:asciiTheme="minorHAnsi" w:hAnsiTheme="minorHAnsi" w:cstheme="minorHAnsi"/>
        </w:rPr>
        <w:t>dalších</w:t>
      </w:r>
      <w:r>
        <w:rPr>
          <w:rFonts w:asciiTheme="minorHAnsi" w:hAnsiTheme="minorHAnsi" w:cstheme="minorHAnsi"/>
        </w:rPr>
        <w:t xml:space="preserve"> </w:t>
      </w:r>
      <w:r w:rsidRPr="00836022">
        <w:rPr>
          <w:rFonts w:asciiTheme="minorHAnsi" w:hAnsiTheme="minorHAnsi" w:cstheme="minorHAnsi"/>
        </w:rPr>
        <w:t>dokument</w:t>
      </w:r>
      <w:r>
        <w:rPr>
          <w:rFonts w:asciiTheme="minorHAnsi" w:hAnsiTheme="minorHAnsi" w:cstheme="minorHAnsi"/>
        </w:rPr>
        <w:t>ech</w:t>
      </w:r>
      <w:r w:rsidR="009E3852">
        <w:rPr>
          <w:rFonts w:asciiTheme="minorHAnsi" w:hAnsiTheme="minorHAnsi" w:cstheme="minorHAnsi"/>
        </w:rPr>
        <w:t xml:space="preserve"> (investiční programy či plány)</w:t>
      </w:r>
      <w:r>
        <w:rPr>
          <w:rFonts w:asciiTheme="minorHAnsi" w:hAnsiTheme="minorHAnsi" w:cstheme="minorHAnsi"/>
        </w:rPr>
        <w:t>, s dokumentací programu</w:t>
      </w:r>
      <w:r w:rsidR="00273AA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dále obsah dokumentace programu</w:t>
      </w:r>
      <w:r w:rsidR="002E086C">
        <w:rPr>
          <w:rFonts w:asciiTheme="minorHAnsi" w:hAnsiTheme="minorHAnsi" w:cstheme="minorHAnsi"/>
        </w:rPr>
        <w:t xml:space="preserve"> a</w:t>
      </w:r>
      <w:r w:rsidR="003D1460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nastavení jeho cílů a parametrů, administraci programu a také řízení a monitorování realizace</w:t>
      </w:r>
      <w:r w:rsidR="00555FCD">
        <w:rPr>
          <w:rFonts w:asciiTheme="minorHAnsi" w:hAnsiTheme="minorHAnsi" w:cstheme="minorHAnsi"/>
        </w:rPr>
        <w:t xml:space="preserve"> programu</w:t>
      </w:r>
      <w:r w:rsidR="007C32BB">
        <w:rPr>
          <w:rFonts w:asciiTheme="minorHAnsi" w:hAnsiTheme="minorHAnsi" w:cstheme="minorHAnsi"/>
        </w:rPr>
        <w:t>,</w:t>
      </w:r>
      <w:r w:rsidR="00555FCD">
        <w:rPr>
          <w:rFonts w:asciiTheme="minorHAnsi" w:hAnsiTheme="minorHAnsi" w:cstheme="minorHAnsi"/>
        </w:rPr>
        <w:t xml:space="preserve"> resp.</w:t>
      </w:r>
      <w:r>
        <w:rPr>
          <w:rFonts w:asciiTheme="minorHAnsi" w:hAnsiTheme="minorHAnsi" w:cstheme="minorHAnsi"/>
        </w:rPr>
        <w:t xml:space="preserve"> jednotlivých podprogramů.</w:t>
      </w:r>
      <w:r w:rsidR="00273AA9">
        <w:rPr>
          <w:rFonts w:asciiTheme="minorHAnsi" w:hAnsiTheme="minorHAnsi" w:cstheme="minorHAnsi"/>
        </w:rPr>
        <w:t xml:space="preserve"> U </w:t>
      </w:r>
      <w:r>
        <w:rPr>
          <w:rFonts w:asciiTheme="minorHAnsi" w:hAnsiTheme="minorHAnsi" w:cstheme="minorHAnsi"/>
        </w:rPr>
        <w:t>čtyř účastníků programu pak NKÚ prověřil přípravu a realizaci vybraných akcí se zaměřením na účelné, hospodár</w:t>
      </w:r>
      <w:r w:rsidR="00273AA9">
        <w:rPr>
          <w:rFonts w:asciiTheme="minorHAnsi" w:hAnsiTheme="minorHAnsi" w:cstheme="minorHAnsi"/>
        </w:rPr>
        <w:t>né a </w:t>
      </w:r>
      <w:r>
        <w:rPr>
          <w:rFonts w:asciiTheme="minorHAnsi" w:hAnsiTheme="minorHAnsi" w:cstheme="minorHAnsi"/>
        </w:rPr>
        <w:t>efektivní využití poskytnutých dotačních prostředků</w:t>
      </w:r>
      <w:r w:rsidR="00273AA9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NKÚ při kontrole zjistil:</w:t>
      </w:r>
    </w:p>
    <w:p w14:paraId="73171AE6" w14:textId="73DE5300" w:rsidR="00CF080E" w:rsidRDefault="00CF080E" w:rsidP="00427396">
      <w:pPr>
        <w:jc w:val="both"/>
        <w:rPr>
          <w:rFonts w:asciiTheme="minorHAnsi" w:hAnsiTheme="minorHAnsi" w:cstheme="minorHAnsi"/>
        </w:rPr>
      </w:pPr>
    </w:p>
    <w:p w14:paraId="33232D0C" w14:textId="109262DD" w:rsidR="00CF080E" w:rsidRPr="006329C3" w:rsidRDefault="00CF080E" w:rsidP="00427396">
      <w:pPr>
        <w:jc w:val="both"/>
        <w:rPr>
          <w:rFonts w:asciiTheme="minorHAnsi" w:hAnsiTheme="minorHAnsi" w:cstheme="minorHAnsi"/>
          <w:b/>
        </w:rPr>
      </w:pPr>
      <w:r w:rsidRPr="006329C3">
        <w:rPr>
          <w:rFonts w:asciiTheme="minorHAnsi" w:hAnsiTheme="minorHAnsi" w:cstheme="minorHAnsi"/>
          <w:b/>
        </w:rPr>
        <w:t>Program zaměřený na obnovu MTZ VVŠ nevycházel z jasně definovaných technických parametrů a není realizován podle původně stanovených předpokladů.</w:t>
      </w:r>
    </w:p>
    <w:p w14:paraId="32B045BC" w14:textId="77777777" w:rsidR="00334304" w:rsidRPr="002663D7" w:rsidRDefault="00334304" w:rsidP="00334304">
      <w:pPr>
        <w:rPr>
          <w:rFonts w:ascii="Calibri" w:hAnsi="Calibri" w:cstheme="minorHAnsi"/>
          <w:b/>
        </w:rPr>
      </w:pPr>
    </w:p>
    <w:p w14:paraId="23B8D2A4" w14:textId="08FD93AF" w:rsidR="00BC1715" w:rsidRPr="00BB2FE6" w:rsidRDefault="00BB2FE6" w:rsidP="00BB2FE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A. </w:t>
      </w:r>
      <w:r w:rsidR="00BC1715" w:rsidRPr="00BB2FE6">
        <w:rPr>
          <w:rFonts w:ascii="Calibri" w:hAnsi="Calibri" w:cs="Calibri"/>
          <w:b/>
        </w:rPr>
        <w:t>Ministerstvo školství, mládeže a tělovýchovy</w:t>
      </w:r>
    </w:p>
    <w:p w14:paraId="1894E453" w14:textId="160BB51C" w:rsidR="00334304" w:rsidRDefault="00334304" w:rsidP="00B123E4">
      <w:pPr>
        <w:jc w:val="both"/>
        <w:rPr>
          <w:rFonts w:ascii="Calibri" w:hAnsi="Calibri" w:cs="Calibri"/>
        </w:rPr>
      </w:pPr>
    </w:p>
    <w:p w14:paraId="28BB0C8C" w14:textId="3A49E31C" w:rsidR="00A2609D" w:rsidRPr="00B123E4" w:rsidRDefault="007C32BB" w:rsidP="00BA614B">
      <w:pPr>
        <w:pStyle w:val="Odstavecseseznamem"/>
        <w:numPr>
          <w:ilvl w:val="0"/>
          <w:numId w:val="48"/>
        </w:num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MŠMT </w:t>
      </w:r>
      <w:r w:rsidR="00026751" w:rsidRPr="00B123E4">
        <w:rPr>
          <w:rFonts w:ascii="Calibri" w:hAnsi="Calibri" w:cs="Calibri"/>
          <w:b/>
        </w:rPr>
        <w:t xml:space="preserve">mělo </w:t>
      </w:r>
      <w:r w:rsidR="00DC0415" w:rsidRPr="00B123E4">
        <w:rPr>
          <w:rFonts w:ascii="Calibri" w:hAnsi="Calibri" w:cs="Calibri"/>
          <w:b/>
        </w:rPr>
        <w:t xml:space="preserve">na program </w:t>
      </w:r>
      <w:r w:rsidR="00CF3F84">
        <w:rPr>
          <w:rFonts w:ascii="Calibri" w:hAnsi="Calibri" w:cs="Calibri"/>
          <w:b/>
        </w:rPr>
        <w:t>schválen</w:t>
      </w:r>
      <w:r w:rsidR="00026751" w:rsidRPr="00B123E4">
        <w:rPr>
          <w:rFonts w:ascii="Calibri" w:hAnsi="Calibri" w:cs="Calibri"/>
          <w:b/>
        </w:rPr>
        <w:t>y pr</w:t>
      </w:r>
      <w:r w:rsidR="00DC0415" w:rsidRPr="00B123E4">
        <w:rPr>
          <w:rFonts w:ascii="Calibri" w:hAnsi="Calibri" w:cs="Calibri"/>
          <w:b/>
        </w:rPr>
        <w:t>ostředky SR ve výši 13,8</w:t>
      </w:r>
      <w:r w:rsidR="004C1208" w:rsidRPr="00B123E4">
        <w:rPr>
          <w:rFonts w:ascii="Calibri" w:hAnsi="Calibri" w:cs="Calibri"/>
          <w:b/>
        </w:rPr>
        <w:t>35</w:t>
      </w:r>
      <w:r w:rsidR="00DC0415" w:rsidRPr="00B123E4">
        <w:rPr>
          <w:rFonts w:ascii="Calibri" w:hAnsi="Calibri" w:cs="Calibri"/>
          <w:b/>
        </w:rPr>
        <w:t xml:space="preserve"> mld. </w:t>
      </w:r>
      <w:r w:rsidR="00026751" w:rsidRPr="00B123E4">
        <w:rPr>
          <w:rFonts w:ascii="Calibri" w:hAnsi="Calibri" w:cs="Calibri"/>
          <w:b/>
        </w:rPr>
        <w:t>Kč</w:t>
      </w:r>
      <w:r w:rsidR="00DC0415" w:rsidRPr="00B123E4">
        <w:rPr>
          <w:rFonts w:ascii="Calibri" w:hAnsi="Calibri" w:cs="Calibri"/>
          <w:b/>
        </w:rPr>
        <w:t xml:space="preserve">. </w:t>
      </w:r>
      <w:r w:rsidR="00026751" w:rsidRPr="00B123E4">
        <w:rPr>
          <w:rFonts w:ascii="Calibri" w:hAnsi="Calibri" w:cs="Calibri"/>
          <w:b/>
        </w:rPr>
        <w:t>VVŠ vyčerpa</w:t>
      </w:r>
      <w:r w:rsidR="00DC0415" w:rsidRPr="00B123E4">
        <w:rPr>
          <w:rFonts w:ascii="Calibri" w:hAnsi="Calibri" w:cs="Calibri"/>
          <w:b/>
        </w:rPr>
        <w:t>ly</w:t>
      </w:r>
      <w:r w:rsidR="00026751" w:rsidRPr="00B123E4">
        <w:rPr>
          <w:rFonts w:ascii="Calibri" w:hAnsi="Calibri" w:cs="Calibri"/>
          <w:b/>
        </w:rPr>
        <w:t xml:space="preserve"> </w:t>
      </w:r>
      <w:r w:rsidR="00DC0415" w:rsidRPr="00B123E4">
        <w:rPr>
          <w:rFonts w:ascii="Calibri" w:hAnsi="Calibri" w:cs="Calibri"/>
        </w:rPr>
        <w:t xml:space="preserve">ke </w:t>
      </w:r>
      <w:r w:rsidR="00500488" w:rsidRPr="00B123E4">
        <w:rPr>
          <w:rFonts w:ascii="Calibri" w:hAnsi="Calibri" w:cs="Calibri"/>
        </w:rPr>
        <w:t>konci původně schváleného období 2011</w:t>
      </w:r>
      <w:r w:rsidR="00BA70A6">
        <w:rPr>
          <w:rFonts w:ascii="Calibri" w:hAnsi="Calibri" w:cs="Calibri"/>
        </w:rPr>
        <w:t>–</w:t>
      </w:r>
      <w:r w:rsidR="00DC0415" w:rsidRPr="00B123E4">
        <w:rPr>
          <w:rFonts w:ascii="Calibri" w:hAnsi="Calibri" w:cs="Calibri"/>
        </w:rPr>
        <w:t>2016</w:t>
      </w:r>
      <w:r w:rsidR="00032B6F">
        <w:rPr>
          <w:rFonts w:ascii="Calibri" w:hAnsi="Calibri" w:cs="Calibri"/>
        </w:rPr>
        <w:t xml:space="preserve"> </w:t>
      </w:r>
      <w:r w:rsidR="00026751" w:rsidRPr="00B123E4">
        <w:rPr>
          <w:rFonts w:ascii="Calibri" w:hAnsi="Calibri" w:cs="Calibri"/>
          <w:b/>
        </w:rPr>
        <w:t>pouze 5,738 mld. Kč</w:t>
      </w:r>
      <w:r w:rsidR="00DC0415" w:rsidRPr="00B123E4">
        <w:rPr>
          <w:rFonts w:ascii="Calibri" w:hAnsi="Calibri" w:cs="Calibri"/>
          <w:b/>
        </w:rPr>
        <w:t xml:space="preserve">, což je </w:t>
      </w:r>
      <w:r w:rsidR="00026751" w:rsidRPr="00B123E4">
        <w:rPr>
          <w:rFonts w:ascii="Calibri" w:hAnsi="Calibri" w:cs="Calibri"/>
          <w:b/>
        </w:rPr>
        <w:t xml:space="preserve">41,5 %. </w:t>
      </w:r>
      <w:r w:rsidR="00AA4DA8" w:rsidRPr="00B123E4">
        <w:rPr>
          <w:rFonts w:ascii="Calibri" w:hAnsi="Calibri" w:cs="Calibri"/>
          <w:b/>
        </w:rPr>
        <w:t>J</w:t>
      </w:r>
      <w:r w:rsidR="00026751" w:rsidRPr="00B123E4">
        <w:rPr>
          <w:rFonts w:ascii="Calibri" w:hAnsi="Calibri" w:cs="Calibri"/>
          <w:b/>
        </w:rPr>
        <w:t>ednotliv</w:t>
      </w:r>
      <w:r w:rsidR="00AA4DA8" w:rsidRPr="00B123E4">
        <w:rPr>
          <w:rFonts w:ascii="Calibri" w:hAnsi="Calibri" w:cs="Calibri"/>
          <w:b/>
        </w:rPr>
        <w:t>é</w:t>
      </w:r>
      <w:r w:rsidR="00026751" w:rsidRPr="00B123E4">
        <w:rPr>
          <w:rFonts w:ascii="Calibri" w:hAnsi="Calibri" w:cs="Calibri"/>
          <w:b/>
        </w:rPr>
        <w:t xml:space="preserve"> </w:t>
      </w:r>
      <w:r w:rsidR="00F65895" w:rsidRPr="00B123E4">
        <w:rPr>
          <w:rFonts w:ascii="Calibri" w:hAnsi="Calibri" w:cs="Calibri"/>
          <w:b/>
        </w:rPr>
        <w:t>podprogramy</w:t>
      </w:r>
      <w:r w:rsidR="00026751" w:rsidRPr="00B123E4">
        <w:rPr>
          <w:rFonts w:ascii="Calibri" w:hAnsi="Calibri" w:cs="Calibri"/>
          <w:b/>
        </w:rPr>
        <w:t xml:space="preserve"> </w:t>
      </w:r>
      <w:r w:rsidR="00AA4DA8" w:rsidRPr="00B123E4">
        <w:rPr>
          <w:rFonts w:ascii="Calibri" w:hAnsi="Calibri" w:cs="Calibri"/>
          <w:b/>
        </w:rPr>
        <w:t>se nepodařilo VVŠ včas připravit a realizovat</w:t>
      </w:r>
      <w:r w:rsidR="00026751" w:rsidRPr="006329C3">
        <w:rPr>
          <w:rFonts w:ascii="Calibri" w:hAnsi="Calibri" w:cs="Calibri"/>
          <w:b/>
        </w:rPr>
        <w:t>.</w:t>
      </w:r>
      <w:r w:rsidR="00026751" w:rsidRPr="00B123E4">
        <w:rPr>
          <w:rFonts w:ascii="Calibri" w:hAnsi="Calibri" w:cs="Calibri"/>
          <w:b/>
        </w:rPr>
        <w:t xml:space="preserve"> </w:t>
      </w:r>
      <w:r w:rsidR="00026751" w:rsidRPr="00B123E4">
        <w:rPr>
          <w:rFonts w:ascii="Calibri" w:hAnsi="Calibri" w:cs="Calibri"/>
        </w:rPr>
        <w:t>Na pomalé čerpání reagovalo MŠMT</w:t>
      </w:r>
      <w:r w:rsidR="00500488" w:rsidRPr="00B123E4">
        <w:rPr>
          <w:rFonts w:ascii="Calibri" w:hAnsi="Calibri" w:cs="Calibri"/>
        </w:rPr>
        <w:t xml:space="preserve"> v roce 2015</w:t>
      </w:r>
      <w:r w:rsidR="00026751" w:rsidRPr="00B123E4">
        <w:rPr>
          <w:rFonts w:ascii="Calibri" w:hAnsi="Calibri" w:cs="Calibri"/>
          <w:b/>
        </w:rPr>
        <w:t xml:space="preserve"> aktualizací DP</w:t>
      </w:r>
      <w:r w:rsidR="00DC0415" w:rsidRPr="00B123E4">
        <w:rPr>
          <w:rFonts w:ascii="Calibri" w:hAnsi="Calibri" w:cs="Calibri"/>
          <w:b/>
        </w:rPr>
        <w:t xml:space="preserve"> a posunutím </w:t>
      </w:r>
      <w:r w:rsidR="00026751" w:rsidRPr="00B123E4">
        <w:rPr>
          <w:rFonts w:ascii="Calibri" w:hAnsi="Calibri" w:cs="Calibri"/>
          <w:b/>
        </w:rPr>
        <w:t>termín</w:t>
      </w:r>
      <w:r w:rsidR="00DC0415" w:rsidRPr="00B123E4">
        <w:rPr>
          <w:rFonts w:ascii="Calibri" w:hAnsi="Calibri" w:cs="Calibri"/>
          <w:b/>
        </w:rPr>
        <w:t>u</w:t>
      </w:r>
      <w:r w:rsidR="00026751" w:rsidRPr="00B123E4">
        <w:rPr>
          <w:rFonts w:ascii="Calibri" w:hAnsi="Calibri" w:cs="Calibri"/>
          <w:b/>
        </w:rPr>
        <w:t xml:space="preserve"> ukončen</w:t>
      </w:r>
      <w:r w:rsidR="00500488" w:rsidRPr="00B123E4">
        <w:rPr>
          <w:rFonts w:ascii="Calibri" w:hAnsi="Calibri" w:cs="Calibri"/>
          <w:b/>
        </w:rPr>
        <w:t>í programu o </w:t>
      </w:r>
      <w:r w:rsidR="00026751" w:rsidRPr="00B123E4">
        <w:rPr>
          <w:rFonts w:ascii="Calibri" w:hAnsi="Calibri" w:cs="Calibri"/>
          <w:b/>
        </w:rPr>
        <w:t>tři roky</w:t>
      </w:r>
      <w:r w:rsidR="00DC0415" w:rsidRPr="00B123E4">
        <w:rPr>
          <w:rFonts w:ascii="Calibri" w:hAnsi="Calibri" w:cs="Calibri"/>
          <w:b/>
        </w:rPr>
        <w:t>,</w:t>
      </w:r>
      <w:r w:rsidR="00DC0415" w:rsidRPr="007C32BB">
        <w:rPr>
          <w:rFonts w:ascii="Calibri" w:hAnsi="Calibri" w:cs="Calibri"/>
        </w:rPr>
        <w:t xml:space="preserve"> t</w:t>
      </w:r>
      <w:r w:rsidR="00DC0415" w:rsidRPr="00032B6F">
        <w:rPr>
          <w:rFonts w:ascii="Calibri" w:hAnsi="Calibri" w:cs="Calibri"/>
        </w:rPr>
        <w:t>j. </w:t>
      </w:r>
      <w:r w:rsidR="00026751" w:rsidRPr="00032B6F">
        <w:rPr>
          <w:rFonts w:ascii="Calibri" w:hAnsi="Calibri" w:cs="Calibri"/>
        </w:rPr>
        <w:t>do konce roku 2019</w:t>
      </w:r>
      <w:r w:rsidR="00026751" w:rsidRPr="003D3945">
        <w:rPr>
          <w:rFonts w:ascii="Calibri" w:hAnsi="Calibri" w:cs="Calibri"/>
        </w:rPr>
        <w:t>.</w:t>
      </w:r>
      <w:r w:rsidR="00A2609D" w:rsidRPr="003D3945">
        <w:rPr>
          <w:rFonts w:ascii="Calibri" w:hAnsi="Calibri" w:cs="Calibri"/>
        </w:rPr>
        <w:t xml:space="preserve"> </w:t>
      </w:r>
    </w:p>
    <w:p w14:paraId="4DFC59E1" w14:textId="2C040E22" w:rsidR="00A2609D" w:rsidRPr="00B123E4" w:rsidRDefault="007C32BB" w:rsidP="00BA614B">
      <w:pPr>
        <w:pStyle w:val="Odstavecseseznamem"/>
        <w:numPr>
          <w:ilvl w:val="0"/>
          <w:numId w:val="48"/>
        </w:num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MŠMT </w:t>
      </w:r>
      <w:r w:rsidR="0034194D" w:rsidRPr="00B123E4">
        <w:rPr>
          <w:rFonts w:ascii="Calibri" w:hAnsi="Calibri" w:cs="Calibri"/>
          <w:b/>
        </w:rPr>
        <w:t xml:space="preserve">nestanovilo v programu žádné kvalitativní </w:t>
      </w:r>
      <w:r w:rsidR="00D007D8" w:rsidRPr="00B123E4">
        <w:rPr>
          <w:rFonts w:ascii="Calibri" w:hAnsi="Calibri" w:cs="Calibri"/>
          <w:b/>
        </w:rPr>
        <w:t>parametry</w:t>
      </w:r>
      <w:r w:rsidR="00FC3C00" w:rsidRPr="00B123E4">
        <w:rPr>
          <w:rFonts w:ascii="Calibri" w:hAnsi="Calibri" w:cs="Calibri"/>
          <w:b/>
        </w:rPr>
        <w:t xml:space="preserve"> definované v</w:t>
      </w:r>
      <w:r w:rsidR="00F45483">
        <w:rPr>
          <w:rFonts w:ascii="Calibri" w:hAnsi="Calibri" w:cs="Calibri"/>
          <w:b/>
        </w:rPr>
        <w:t xml:space="preserve"> ustanovení </w:t>
      </w:r>
      <w:r w:rsidR="00FC3C00" w:rsidRPr="00B123E4">
        <w:rPr>
          <w:rFonts w:ascii="Calibri" w:hAnsi="Calibri" w:cs="Calibri"/>
          <w:b/>
        </w:rPr>
        <w:t>§</w:t>
      </w:r>
      <w:r>
        <w:rPr>
          <w:rFonts w:ascii="Calibri" w:hAnsi="Calibri" w:cs="Calibri"/>
          <w:b/>
        </w:rPr>
        <w:t> </w:t>
      </w:r>
      <w:r w:rsidR="00FC3C00" w:rsidRPr="00B123E4">
        <w:rPr>
          <w:rFonts w:ascii="Calibri" w:hAnsi="Calibri" w:cs="Calibri"/>
          <w:b/>
        </w:rPr>
        <w:t>2 písm. c) vyhlášky č. 560/2006 Sb.</w:t>
      </w:r>
      <w:r w:rsidR="00FC3C00">
        <w:rPr>
          <w:rStyle w:val="Znakapoznpodarou"/>
          <w:rFonts w:ascii="Calibri" w:hAnsi="Calibri" w:cs="Calibri"/>
          <w:b/>
        </w:rPr>
        <w:footnoteReference w:id="8"/>
      </w:r>
      <w:r w:rsidR="0034194D" w:rsidRPr="00B123E4">
        <w:rPr>
          <w:rFonts w:ascii="Calibri" w:hAnsi="Calibri" w:cs="Calibri"/>
          <w:b/>
        </w:rPr>
        <w:t xml:space="preserve"> </w:t>
      </w:r>
      <w:r w:rsidR="003E6123" w:rsidRPr="00B123E4">
        <w:rPr>
          <w:rFonts w:ascii="Calibri" w:hAnsi="Calibri" w:cs="Calibri"/>
          <w:b/>
        </w:rPr>
        <w:t>Stanovené jednotkové ceny technických parametrů nemají d</w:t>
      </w:r>
      <w:r w:rsidR="00FC3C00" w:rsidRPr="00B123E4">
        <w:rPr>
          <w:rFonts w:ascii="Calibri" w:hAnsi="Calibri" w:cs="Calibri"/>
          <w:b/>
        </w:rPr>
        <w:t>ostatečnou vypovídací schopnost,</w:t>
      </w:r>
      <w:r w:rsidR="003E6123" w:rsidRPr="00B123E4">
        <w:rPr>
          <w:rFonts w:ascii="Calibri" w:hAnsi="Calibri" w:cs="Calibri"/>
          <w:b/>
        </w:rPr>
        <w:t xml:space="preserve"> </w:t>
      </w:r>
      <w:r w:rsidR="00FC3C00" w:rsidRPr="00B123E4">
        <w:rPr>
          <w:rFonts w:ascii="Calibri" w:hAnsi="Calibri" w:cs="Calibri"/>
          <w:b/>
        </w:rPr>
        <w:t>j</w:t>
      </w:r>
      <w:r w:rsidR="003E6123" w:rsidRPr="00B123E4">
        <w:rPr>
          <w:rFonts w:ascii="Calibri" w:hAnsi="Calibri" w:cs="Calibri"/>
          <w:b/>
        </w:rPr>
        <w:t>sou zkresleny jak cenou přístrojů a zařízení připočtenou k ceně stavebních prací, tak i svým konstantním charakterem</w:t>
      </w:r>
      <w:r w:rsidR="00192A40" w:rsidRPr="00B123E4">
        <w:rPr>
          <w:rFonts w:ascii="Calibri" w:hAnsi="Calibri" w:cs="Calibri"/>
          <w:b/>
        </w:rPr>
        <w:t xml:space="preserve">, bez provedení </w:t>
      </w:r>
      <w:r w:rsidR="00924910" w:rsidRPr="00B123E4">
        <w:rPr>
          <w:rFonts w:ascii="Calibri" w:hAnsi="Calibri" w:cs="Calibri"/>
          <w:b/>
        </w:rPr>
        <w:t xml:space="preserve">jejich </w:t>
      </w:r>
      <w:r w:rsidR="00192A40" w:rsidRPr="00B123E4">
        <w:rPr>
          <w:rFonts w:ascii="Calibri" w:hAnsi="Calibri" w:cs="Calibri"/>
          <w:b/>
        </w:rPr>
        <w:t>aktualizace</w:t>
      </w:r>
      <w:r w:rsidR="00DC0415" w:rsidRPr="00B123E4">
        <w:rPr>
          <w:rFonts w:ascii="Calibri" w:hAnsi="Calibri" w:cs="Calibri"/>
          <w:b/>
        </w:rPr>
        <w:t>.</w:t>
      </w:r>
      <w:r w:rsidR="00247C1A" w:rsidRPr="00B123E4">
        <w:rPr>
          <w:rFonts w:ascii="Calibri" w:hAnsi="Calibri" w:cs="Calibri"/>
          <w:b/>
        </w:rPr>
        <w:t xml:space="preserve"> </w:t>
      </w:r>
      <w:r w:rsidR="005848B5" w:rsidRPr="00B123E4">
        <w:rPr>
          <w:rFonts w:ascii="Calibri" w:hAnsi="Calibri" w:cs="Calibri"/>
          <w:b/>
        </w:rPr>
        <w:t xml:space="preserve">Systém </w:t>
      </w:r>
      <w:r w:rsidR="000E0655" w:rsidRPr="00B123E4">
        <w:rPr>
          <w:rFonts w:ascii="Calibri" w:hAnsi="Calibri" w:cs="Calibri"/>
          <w:b/>
        </w:rPr>
        <w:t xml:space="preserve">nastavených </w:t>
      </w:r>
      <w:r w:rsidR="00FF6EB6" w:rsidRPr="00B123E4">
        <w:rPr>
          <w:rFonts w:ascii="Calibri" w:hAnsi="Calibri" w:cs="Calibri"/>
          <w:b/>
        </w:rPr>
        <w:t>cílů a </w:t>
      </w:r>
      <w:r w:rsidR="005848B5" w:rsidRPr="00B123E4">
        <w:rPr>
          <w:rFonts w:ascii="Calibri" w:hAnsi="Calibri" w:cs="Calibri"/>
          <w:b/>
        </w:rPr>
        <w:t xml:space="preserve">parametrů </w:t>
      </w:r>
      <w:r w:rsidR="00050F23" w:rsidRPr="00B123E4">
        <w:rPr>
          <w:rFonts w:ascii="Calibri" w:hAnsi="Calibri" w:cs="Calibri"/>
          <w:b/>
        </w:rPr>
        <w:t xml:space="preserve">tak </w:t>
      </w:r>
      <w:r w:rsidR="0067721A" w:rsidRPr="00B123E4">
        <w:rPr>
          <w:rFonts w:ascii="Calibri" w:hAnsi="Calibri" w:cs="Calibri"/>
          <w:b/>
        </w:rPr>
        <w:t>n</w:t>
      </w:r>
      <w:r w:rsidR="00061520" w:rsidRPr="00B123E4">
        <w:rPr>
          <w:rFonts w:ascii="Calibri" w:hAnsi="Calibri" w:cs="Calibri"/>
          <w:b/>
        </w:rPr>
        <w:t xml:space="preserve">ení podporou pro </w:t>
      </w:r>
      <w:r w:rsidR="0034194D" w:rsidRPr="00B123E4">
        <w:rPr>
          <w:rFonts w:ascii="Calibri" w:hAnsi="Calibri" w:cs="Calibri"/>
          <w:b/>
        </w:rPr>
        <w:t>sledov</w:t>
      </w:r>
      <w:r w:rsidR="00FF6EB6" w:rsidRPr="00B123E4">
        <w:rPr>
          <w:rFonts w:ascii="Calibri" w:hAnsi="Calibri" w:cs="Calibri"/>
          <w:b/>
        </w:rPr>
        <w:t>ání</w:t>
      </w:r>
      <w:r w:rsidR="0034194D" w:rsidRPr="00B123E4">
        <w:rPr>
          <w:rFonts w:ascii="Calibri" w:hAnsi="Calibri" w:cs="Calibri"/>
          <w:b/>
        </w:rPr>
        <w:t xml:space="preserve"> a </w:t>
      </w:r>
      <w:r w:rsidR="00FF6EB6" w:rsidRPr="00B123E4">
        <w:rPr>
          <w:rFonts w:ascii="Calibri" w:hAnsi="Calibri" w:cs="Calibri"/>
          <w:b/>
        </w:rPr>
        <w:t xml:space="preserve">vyhodnocování </w:t>
      </w:r>
      <w:r w:rsidR="005848B5" w:rsidRPr="00B123E4">
        <w:rPr>
          <w:rFonts w:ascii="Calibri" w:hAnsi="Calibri" w:cs="Calibri"/>
          <w:b/>
        </w:rPr>
        <w:t>efektivnost</w:t>
      </w:r>
      <w:r w:rsidR="00FF6EB6" w:rsidRPr="00B123E4">
        <w:rPr>
          <w:rFonts w:ascii="Calibri" w:hAnsi="Calibri" w:cs="Calibri"/>
          <w:b/>
        </w:rPr>
        <w:t>i</w:t>
      </w:r>
      <w:r w:rsidR="000E0655" w:rsidRPr="00B123E4">
        <w:rPr>
          <w:rFonts w:ascii="Calibri" w:hAnsi="Calibri" w:cs="Calibri"/>
          <w:b/>
        </w:rPr>
        <w:t xml:space="preserve"> </w:t>
      </w:r>
      <w:r w:rsidR="0067721A" w:rsidRPr="00B123E4">
        <w:rPr>
          <w:rFonts w:ascii="Calibri" w:hAnsi="Calibri" w:cs="Calibri"/>
          <w:b/>
        </w:rPr>
        <w:t xml:space="preserve">prostředků </w:t>
      </w:r>
      <w:r w:rsidR="00BF1A0D" w:rsidRPr="00B123E4">
        <w:rPr>
          <w:rFonts w:ascii="Calibri" w:hAnsi="Calibri" w:cs="Calibri"/>
          <w:b/>
        </w:rPr>
        <w:t xml:space="preserve">vynaložených </w:t>
      </w:r>
      <w:r w:rsidR="0067721A" w:rsidRPr="00B123E4">
        <w:rPr>
          <w:rFonts w:ascii="Calibri" w:hAnsi="Calibri" w:cs="Calibri"/>
          <w:b/>
        </w:rPr>
        <w:t>na program</w:t>
      </w:r>
      <w:r w:rsidR="005848B5" w:rsidRPr="00B123E4">
        <w:rPr>
          <w:rFonts w:ascii="Calibri" w:hAnsi="Calibri" w:cs="Calibri"/>
          <w:b/>
        </w:rPr>
        <w:t>.</w:t>
      </w:r>
    </w:p>
    <w:p w14:paraId="346172F2" w14:textId="188602EF" w:rsidR="00A2609D" w:rsidRPr="00B123E4" w:rsidRDefault="007C32BB" w:rsidP="00BA614B">
      <w:pPr>
        <w:pStyle w:val="Odstavecseseznamem"/>
        <w:numPr>
          <w:ilvl w:val="0"/>
          <w:numId w:val="48"/>
        </w:numPr>
        <w:spacing w:after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MŠMT </w:t>
      </w:r>
      <w:r w:rsidR="00E702A5" w:rsidRPr="00B123E4">
        <w:rPr>
          <w:rFonts w:ascii="Calibri" w:hAnsi="Calibri" w:cs="Calibri"/>
          <w:b/>
        </w:rPr>
        <w:t>n</w:t>
      </w:r>
      <w:r w:rsidR="00061520" w:rsidRPr="00B123E4">
        <w:rPr>
          <w:rFonts w:ascii="Calibri" w:hAnsi="Calibri" w:cs="Calibri"/>
          <w:b/>
        </w:rPr>
        <w:t xml:space="preserve">estanovilo </w:t>
      </w:r>
      <w:r w:rsidR="00061520" w:rsidRPr="00B123E4">
        <w:rPr>
          <w:rFonts w:ascii="Calibri" w:hAnsi="Calibri" w:cs="Calibri"/>
        </w:rPr>
        <w:t>v</w:t>
      </w:r>
      <w:r w:rsidR="00896FE1" w:rsidRPr="00B123E4">
        <w:rPr>
          <w:rFonts w:ascii="Calibri" w:hAnsi="Calibri" w:cs="Calibri"/>
        </w:rPr>
        <w:t xml:space="preserve"> devět let trvajícím </w:t>
      </w:r>
      <w:proofErr w:type="gramStart"/>
      <w:r w:rsidR="00061520" w:rsidRPr="00B123E4">
        <w:rPr>
          <w:rFonts w:ascii="Calibri" w:hAnsi="Calibri" w:cs="Calibri"/>
        </w:rPr>
        <w:t>programu</w:t>
      </w:r>
      <w:proofErr w:type="gramEnd"/>
      <w:r w:rsidR="00061520" w:rsidRPr="00B123E4">
        <w:rPr>
          <w:rFonts w:ascii="Calibri" w:hAnsi="Calibri" w:cs="Calibri"/>
          <w:b/>
        </w:rPr>
        <w:t xml:space="preserve"> </w:t>
      </w:r>
      <w:r w:rsidR="00192A40" w:rsidRPr="00B123E4">
        <w:rPr>
          <w:rFonts w:ascii="Calibri" w:hAnsi="Calibri" w:cs="Calibri"/>
          <w:b/>
        </w:rPr>
        <w:t xml:space="preserve">milníky </w:t>
      </w:r>
      <w:r w:rsidR="00441227" w:rsidRPr="00B123E4">
        <w:rPr>
          <w:rFonts w:ascii="Calibri" w:hAnsi="Calibri" w:cs="Calibri"/>
          <w:b/>
        </w:rPr>
        <w:t xml:space="preserve">pro jeho hodnocení </w:t>
      </w:r>
      <w:r w:rsidR="00192A40" w:rsidRPr="00B123E4">
        <w:rPr>
          <w:rFonts w:ascii="Calibri" w:hAnsi="Calibri" w:cs="Calibri"/>
          <w:b/>
        </w:rPr>
        <w:t>a </w:t>
      </w:r>
      <w:r w:rsidR="005848B5" w:rsidRPr="00B123E4">
        <w:rPr>
          <w:rFonts w:ascii="Calibri" w:hAnsi="Calibri" w:cs="Calibri"/>
          <w:b/>
        </w:rPr>
        <w:t>předpokládá vyhodno</w:t>
      </w:r>
      <w:r w:rsidR="00050F23" w:rsidRPr="00B123E4">
        <w:rPr>
          <w:rFonts w:ascii="Calibri" w:hAnsi="Calibri" w:cs="Calibri"/>
          <w:b/>
        </w:rPr>
        <w:t>tit</w:t>
      </w:r>
      <w:r w:rsidR="005848B5" w:rsidRPr="00B123E4">
        <w:rPr>
          <w:rFonts w:ascii="Calibri" w:hAnsi="Calibri" w:cs="Calibri"/>
          <w:b/>
        </w:rPr>
        <w:t xml:space="preserve"> </w:t>
      </w:r>
      <w:r w:rsidR="00050F23" w:rsidRPr="00B123E4">
        <w:rPr>
          <w:rFonts w:ascii="Calibri" w:hAnsi="Calibri" w:cs="Calibri"/>
          <w:b/>
        </w:rPr>
        <w:t xml:space="preserve">plnění </w:t>
      </w:r>
      <w:r w:rsidR="00896FE1" w:rsidRPr="00B123E4">
        <w:rPr>
          <w:rFonts w:ascii="Calibri" w:hAnsi="Calibri" w:cs="Calibri"/>
          <w:b/>
        </w:rPr>
        <w:t xml:space="preserve">stanovených </w:t>
      </w:r>
      <w:r w:rsidR="00434380" w:rsidRPr="00B123E4">
        <w:rPr>
          <w:rFonts w:ascii="Calibri" w:hAnsi="Calibri" w:cs="Calibri"/>
          <w:b/>
        </w:rPr>
        <w:t xml:space="preserve">cílů </w:t>
      </w:r>
      <w:r w:rsidR="005848B5" w:rsidRPr="00B123E4">
        <w:rPr>
          <w:rFonts w:ascii="Calibri" w:hAnsi="Calibri" w:cs="Calibri"/>
          <w:b/>
        </w:rPr>
        <w:t xml:space="preserve">až </w:t>
      </w:r>
      <w:r w:rsidR="00050F23" w:rsidRPr="00B123E4">
        <w:rPr>
          <w:rFonts w:ascii="Calibri" w:hAnsi="Calibri" w:cs="Calibri"/>
          <w:b/>
        </w:rPr>
        <w:t>v rámci závěrečného vyhodnocení programu</w:t>
      </w:r>
      <w:r w:rsidR="00896FE1" w:rsidRPr="00B123E4">
        <w:rPr>
          <w:rFonts w:ascii="Calibri" w:hAnsi="Calibri" w:cs="Calibri"/>
          <w:b/>
        </w:rPr>
        <w:t xml:space="preserve"> </w:t>
      </w:r>
      <w:r w:rsidR="00896FE1" w:rsidRPr="00B123E4">
        <w:rPr>
          <w:rFonts w:ascii="Calibri" w:hAnsi="Calibri" w:cs="Calibri"/>
        </w:rPr>
        <w:t>(po</w:t>
      </w:r>
      <w:r w:rsidR="00F65895" w:rsidRPr="00B123E4">
        <w:rPr>
          <w:rFonts w:ascii="Calibri" w:hAnsi="Calibri" w:cs="Calibri"/>
        </w:rPr>
        <w:t xml:space="preserve"> </w:t>
      </w:r>
      <w:r w:rsidR="00896FE1" w:rsidRPr="00B123E4">
        <w:rPr>
          <w:rFonts w:ascii="Calibri" w:hAnsi="Calibri" w:cs="Calibri"/>
        </w:rPr>
        <w:t>jeho ukončení</w:t>
      </w:r>
      <w:r w:rsidR="00FF311A" w:rsidRPr="00B123E4">
        <w:rPr>
          <w:rFonts w:ascii="Calibri" w:hAnsi="Calibri" w:cs="Calibri"/>
        </w:rPr>
        <w:t>, tj.</w:t>
      </w:r>
      <w:r w:rsidR="008B7E24" w:rsidRPr="00B123E4">
        <w:rPr>
          <w:rFonts w:ascii="Calibri" w:hAnsi="Calibri" w:cs="Calibri"/>
        </w:rPr>
        <w:t xml:space="preserve"> </w:t>
      </w:r>
      <w:r w:rsidR="005848B5" w:rsidRPr="00B123E4">
        <w:rPr>
          <w:rFonts w:ascii="Calibri" w:hAnsi="Calibri" w:cs="Calibri"/>
        </w:rPr>
        <w:t>po roce 2019</w:t>
      </w:r>
      <w:r w:rsidR="00896FE1" w:rsidRPr="00B123E4">
        <w:rPr>
          <w:rFonts w:ascii="Calibri" w:hAnsi="Calibri" w:cs="Calibri"/>
        </w:rPr>
        <w:t>)</w:t>
      </w:r>
      <w:r w:rsidR="00A2609D" w:rsidRPr="00B123E4">
        <w:rPr>
          <w:rFonts w:ascii="Calibri" w:hAnsi="Calibri" w:cs="Calibri"/>
        </w:rPr>
        <w:t xml:space="preserve">. </w:t>
      </w:r>
    </w:p>
    <w:p w14:paraId="75688670" w14:textId="3F9A27D4" w:rsidR="00B123E4" w:rsidRPr="00B123E4" w:rsidRDefault="007C32BB" w:rsidP="00BA614B">
      <w:pPr>
        <w:pStyle w:val="Odstavecseseznamem"/>
        <w:numPr>
          <w:ilvl w:val="0"/>
          <w:numId w:val="48"/>
        </w:numPr>
        <w:spacing w:after="120"/>
        <w:jc w:val="both"/>
        <w:rPr>
          <w:rFonts w:asciiTheme="minorHAnsi" w:hAnsiTheme="minorHAnsi"/>
          <w:i/>
        </w:rPr>
      </w:pPr>
      <w:r>
        <w:rPr>
          <w:rFonts w:ascii="Calibri" w:hAnsi="Calibri" w:cs="Calibri"/>
          <w:b/>
        </w:rPr>
        <w:t xml:space="preserve">MŠMT </w:t>
      </w:r>
      <w:r w:rsidR="00B123E4">
        <w:rPr>
          <w:rFonts w:ascii="Calibri" w:hAnsi="Calibri" w:cs="Calibri"/>
          <w:b/>
        </w:rPr>
        <w:t xml:space="preserve">nemá </w:t>
      </w:r>
      <w:r w:rsidR="00421507" w:rsidRPr="00B123E4">
        <w:rPr>
          <w:rFonts w:ascii="Calibri" w:hAnsi="Calibri" w:cs="Calibri"/>
          <w:b/>
        </w:rPr>
        <w:t>po dobu re</w:t>
      </w:r>
      <w:r w:rsidR="008B7E24" w:rsidRPr="00B123E4">
        <w:rPr>
          <w:rFonts w:ascii="Calibri" w:hAnsi="Calibri" w:cs="Calibri"/>
          <w:b/>
        </w:rPr>
        <w:t>alizace programu přehled o </w:t>
      </w:r>
      <w:r w:rsidR="00421507" w:rsidRPr="00B123E4">
        <w:rPr>
          <w:rFonts w:ascii="Calibri" w:hAnsi="Calibri" w:cs="Calibri"/>
          <w:b/>
        </w:rPr>
        <w:t xml:space="preserve">naplňování </w:t>
      </w:r>
      <w:r w:rsidR="00F65895" w:rsidRPr="00B123E4">
        <w:rPr>
          <w:rFonts w:ascii="Calibri" w:hAnsi="Calibri" w:cs="Calibri"/>
          <w:b/>
        </w:rPr>
        <w:t>stanovených cílů</w:t>
      </w:r>
      <w:r w:rsidR="00A2609D" w:rsidRPr="00B123E4">
        <w:rPr>
          <w:rFonts w:ascii="Calibri" w:hAnsi="Calibri" w:cs="Calibri"/>
          <w:b/>
        </w:rPr>
        <w:t xml:space="preserve"> programu</w:t>
      </w:r>
      <w:r w:rsidR="006400BA" w:rsidRPr="006400BA">
        <w:rPr>
          <w:rFonts w:asciiTheme="minorHAnsi" w:hAnsiTheme="minorHAnsi" w:cstheme="minorHAnsi"/>
        </w:rPr>
        <w:t xml:space="preserve"> </w:t>
      </w:r>
      <w:r w:rsidR="006400BA">
        <w:rPr>
          <w:rFonts w:asciiTheme="minorHAnsi" w:hAnsiTheme="minorHAnsi" w:cstheme="minorHAnsi"/>
        </w:rPr>
        <w:t xml:space="preserve">ani o tom, </w:t>
      </w:r>
      <w:r w:rsidR="006400BA" w:rsidRPr="006400BA">
        <w:rPr>
          <w:rFonts w:asciiTheme="minorHAnsi" w:hAnsiTheme="minorHAnsi" w:cstheme="minorHAnsi"/>
          <w:b/>
        </w:rPr>
        <w:t>jak realizace programu přispívá ke zlepšení celkového stavu materiálně technické základny jednotlivých VVŠ</w:t>
      </w:r>
      <w:r w:rsidR="00F65895" w:rsidRPr="00B123E4">
        <w:rPr>
          <w:rFonts w:ascii="Calibri" w:hAnsi="Calibri" w:cs="Calibri"/>
          <w:b/>
        </w:rPr>
        <w:t>.</w:t>
      </w:r>
      <w:r w:rsidR="00A2609D" w:rsidRPr="00B123E4">
        <w:rPr>
          <w:rFonts w:ascii="Calibri" w:hAnsi="Calibri" w:cs="Calibri"/>
          <w:b/>
        </w:rPr>
        <w:t xml:space="preserve"> </w:t>
      </w:r>
    </w:p>
    <w:p w14:paraId="7721D6F3" w14:textId="60D3612F" w:rsidR="00DC0415" w:rsidRPr="00B123E4" w:rsidRDefault="007C32BB" w:rsidP="00BA614B">
      <w:pPr>
        <w:pStyle w:val="Odstavecseseznamem"/>
        <w:numPr>
          <w:ilvl w:val="0"/>
          <w:numId w:val="48"/>
        </w:numPr>
        <w:spacing w:after="12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 xml:space="preserve">MŠMT </w:t>
      </w:r>
      <w:r w:rsidR="003C5514" w:rsidRPr="00B123E4">
        <w:rPr>
          <w:rFonts w:asciiTheme="minorHAnsi" w:hAnsiTheme="minorHAnsi"/>
          <w:b/>
        </w:rPr>
        <w:t xml:space="preserve">nepřesně </w:t>
      </w:r>
      <w:r w:rsidR="00DC0415" w:rsidRPr="00B123E4">
        <w:rPr>
          <w:rFonts w:asciiTheme="minorHAnsi" w:hAnsiTheme="minorHAnsi"/>
          <w:b/>
        </w:rPr>
        <w:t xml:space="preserve">stanovilo v DP </w:t>
      </w:r>
      <w:r w:rsidR="008648DA" w:rsidRPr="00B123E4">
        <w:rPr>
          <w:rFonts w:asciiTheme="minorHAnsi" w:hAnsiTheme="minorHAnsi"/>
          <w:b/>
        </w:rPr>
        <w:t>obsah i</w:t>
      </w:r>
      <w:r w:rsidR="00DC0415" w:rsidRPr="00B123E4">
        <w:rPr>
          <w:rFonts w:asciiTheme="minorHAnsi" w:hAnsiTheme="minorHAnsi"/>
          <w:b/>
        </w:rPr>
        <w:t xml:space="preserve">nvestičního záměru </w:t>
      </w:r>
      <w:r w:rsidR="00DC0415" w:rsidRPr="00B123E4">
        <w:rPr>
          <w:rFonts w:asciiTheme="minorHAnsi" w:hAnsiTheme="minorHAnsi"/>
        </w:rPr>
        <w:t>(dále též „IZ“)</w:t>
      </w:r>
      <w:r>
        <w:rPr>
          <w:rFonts w:asciiTheme="minorHAnsi" w:hAnsiTheme="minorHAnsi"/>
        </w:rPr>
        <w:t>,</w:t>
      </w:r>
      <w:r w:rsidR="00745C60" w:rsidRPr="00B123E4">
        <w:rPr>
          <w:rFonts w:asciiTheme="minorHAnsi" w:hAnsiTheme="minorHAnsi"/>
        </w:rPr>
        <w:t xml:space="preserve"> </w:t>
      </w:r>
      <w:r w:rsidR="00745C60" w:rsidRPr="00B123E4">
        <w:rPr>
          <w:rFonts w:asciiTheme="minorHAnsi" w:hAnsiTheme="minorHAnsi"/>
          <w:b/>
        </w:rPr>
        <w:t>tak</w:t>
      </w:r>
      <w:r w:rsidR="00165830">
        <w:rPr>
          <w:rFonts w:asciiTheme="minorHAnsi" w:hAnsiTheme="minorHAnsi"/>
          <w:b/>
        </w:rPr>
        <w:t>že</w:t>
      </w:r>
      <w:r w:rsidR="00DC0415" w:rsidRPr="00B123E4">
        <w:rPr>
          <w:rFonts w:asciiTheme="minorHAnsi" w:hAnsiTheme="minorHAnsi"/>
          <w:b/>
        </w:rPr>
        <w:t xml:space="preserve"> </w:t>
      </w:r>
      <w:r w:rsidR="003C5514" w:rsidRPr="00B123E4">
        <w:rPr>
          <w:rFonts w:asciiTheme="minorHAnsi" w:hAnsiTheme="minorHAnsi"/>
          <w:b/>
        </w:rPr>
        <w:t>IZ ne</w:t>
      </w:r>
      <w:r w:rsidR="008648DA" w:rsidRPr="00B123E4">
        <w:rPr>
          <w:rFonts w:asciiTheme="minorHAnsi" w:hAnsiTheme="minorHAnsi"/>
          <w:b/>
        </w:rPr>
        <w:t>splňoval</w:t>
      </w:r>
      <w:r w:rsidR="00A2609D" w:rsidRPr="00B123E4">
        <w:rPr>
          <w:rFonts w:asciiTheme="minorHAnsi" w:hAnsiTheme="minorHAnsi"/>
          <w:b/>
        </w:rPr>
        <w:t>y</w:t>
      </w:r>
      <w:r w:rsidR="008648DA" w:rsidRPr="00B123E4">
        <w:rPr>
          <w:rFonts w:asciiTheme="minorHAnsi" w:hAnsiTheme="minorHAnsi"/>
          <w:b/>
        </w:rPr>
        <w:t xml:space="preserve"> základní </w:t>
      </w:r>
      <w:r w:rsidR="00DC0415" w:rsidRPr="00B123E4">
        <w:rPr>
          <w:rFonts w:asciiTheme="minorHAnsi" w:hAnsiTheme="minorHAnsi"/>
          <w:b/>
        </w:rPr>
        <w:t>náležitosti vymezen</w:t>
      </w:r>
      <w:r w:rsidR="008648DA" w:rsidRPr="00B123E4">
        <w:rPr>
          <w:rFonts w:asciiTheme="minorHAnsi" w:hAnsiTheme="minorHAnsi"/>
          <w:b/>
        </w:rPr>
        <w:t>é</w:t>
      </w:r>
      <w:r w:rsidR="00DC0415" w:rsidRPr="00B123E4">
        <w:rPr>
          <w:rFonts w:asciiTheme="minorHAnsi" w:hAnsiTheme="minorHAnsi"/>
          <w:b/>
        </w:rPr>
        <w:t xml:space="preserve"> </w:t>
      </w:r>
      <w:r w:rsidR="00F45483">
        <w:rPr>
          <w:rFonts w:asciiTheme="minorHAnsi" w:hAnsiTheme="minorHAnsi"/>
          <w:b/>
        </w:rPr>
        <w:t xml:space="preserve">ustanovením </w:t>
      </w:r>
      <w:r w:rsidR="003C5514" w:rsidRPr="00B123E4">
        <w:rPr>
          <w:rFonts w:asciiTheme="minorHAnsi" w:hAnsiTheme="minorHAnsi"/>
          <w:b/>
        </w:rPr>
        <w:t xml:space="preserve">§ 12 odst. 6 </w:t>
      </w:r>
      <w:r w:rsidR="00DC0415" w:rsidRPr="00B123E4">
        <w:rPr>
          <w:rFonts w:asciiTheme="minorHAnsi" w:hAnsiTheme="minorHAnsi"/>
          <w:b/>
        </w:rPr>
        <w:t>zákon</w:t>
      </w:r>
      <w:r w:rsidR="003C5514" w:rsidRPr="00B123E4">
        <w:rPr>
          <w:rFonts w:asciiTheme="minorHAnsi" w:hAnsiTheme="minorHAnsi"/>
          <w:b/>
        </w:rPr>
        <w:t>a</w:t>
      </w:r>
      <w:r>
        <w:rPr>
          <w:rFonts w:asciiTheme="minorHAnsi" w:hAnsiTheme="minorHAnsi"/>
          <w:b/>
        </w:rPr>
        <w:t xml:space="preserve"> č. </w:t>
      </w:r>
      <w:r w:rsidR="00DC0415" w:rsidRPr="00B123E4">
        <w:rPr>
          <w:rFonts w:asciiTheme="minorHAnsi" w:hAnsiTheme="minorHAnsi"/>
          <w:b/>
        </w:rPr>
        <w:t>218/2000 Sb.</w:t>
      </w:r>
      <w:r w:rsidR="00DC0415" w:rsidRPr="003C5514">
        <w:rPr>
          <w:rStyle w:val="Znakapoznpodarou"/>
          <w:rFonts w:asciiTheme="minorHAnsi" w:hAnsiTheme="minorHAnsi"/>
          <w:b/>
        </w:rPr>
        <w:footnoteReference w:id="9"/>
      </w:r>
      <w:r w:rsidR="00DC0415" w:rsidRPr="00B123E4">
        <w:rPr>
          <w:rFonts w:asciiTheme="minorHAnsi" w:hAnsiTheme="minorHAnsi"/>
          <w:b/>
        </w:rPr>
        <w:t xml:space="preserve"> </w:t>
      </w:r>
    </w:p>
    <w:p w14:paraId="1CA8EE83" w14:textId="72153E30" w:rsidR="00DC0415" w:rsidRPr="00B123E4" w:rsidRDefault="007C32BB" w:rsidP="00BA614B">
      <w:pPr>
        <w:pStyle w:val="Odstavecseseznamem"/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MŠMT </w:t>
      </w:r>
      <w:r w:rsidR="00B123E4" w:rsidRPr="00B123E4">
        <w:rPr>
          <w:rFonts w:ascii="Calibri" w:hAnsi="Calibri" w:cs="Calibri"/>
          <w:b/>
        </w:rPr>
        <w:t>schvalovalo</w:t>
      </w:r>
      <w:r w:rsidR="00DC0415" w:rsidRPr="00B123E4">
        <w:rPr>
          <w:rFonts w:ascii="Calibri" w:hAnsi="Calibri" w:cs="Calibri"/>
          <w:b/>
        </w:rPr>
        <w:t xml:space="preserve"> </w:t>
      </w:r>
      <w:r w:rsidR="008B7E24" w:rsidRPr="00B123E4">
        <w:rPr>
          <w:rFonts w:ascii="Calibri" w:hAnsi="Calibri" w:cs="Calibri"/>
          <w:b/>
        </w:rPr>
        <w:t>koncepční</w:t>
      </w:r>
      <w:r w:rsidR="00DC0415" w:rsidRPr="00B123E4">
        <w:rPr>
          <w:rFonts w:ascii="Calibri" w:hAnsi="Calibri" w:cs="Calibri"/>
          <w:b/>
        </w:rPr>
        <w:t xml:space="preserve"> záměry</w:t>
      </w:r>
      <w:r w:rsidR="00B123E4" w:rsidRPr="00B123E4">
        <w:rPr>
          <w:rFonts w:ascii="Calibri" w:hAnsi="Calibri" w:cs="Calibri"/>
          <w:b/>
        </w:rPr>
        <w:t>, které</w:t>
      </w:r>
      <w:r w:rsidR="00DC0415" w:rsidRPr="00B123E4">
        <w:rPr>
          <w:rFonts w:ascii="Calibri" w:hAnsi="Calibri" w:cs="Calibri"/>
          <w:b/>
        </w:rPr>
        <w:t xml:space="preserve"> </w:t>
      </w:r>
      <w:r w:rsidR="00B123E4" w:rsidRPr="00B123E4">
        <w:rPr>
          <w:rFonts w:ascii="Calibri" w:hAnsi="Calibri" w:cs="Calibri"/>
          <w:b/>
        </w:rPr>
        <w:t>ne</w:t>
      </w:r>
      <w:r w:rsidR="00DC0415" w:rsidRPr="00B123E4">
        <w:rPr>
          <w:rFonts w:ascii="Calibri" w:hAnsi="Calibri" w:cs="Calibri"/>
          <w:b/>
        </w:rPr>
        <w:t xml:space="preserve">obsahovaly </w:t>
      </w:r>
      <w:r w:rsidR="00B123E4" w:rsidRPr="00B123E4">
        <w:rPr>
          <w:rFonts w:ascii="Calibri" w:hAnsi="Calibri" w:cs="Calibri"/>
          <w:b/>
        </w:rPr>
        <w:t xml:space="preserve">kompletní </w:t>
      </w:r>
      <w:r w:rsidR="00DC0415" w:rsidRPr="00B123E4">
        <w:rPr>
          <w:rFonts w:ascii="Calibri" w:hAnsi="Calibri" w:cs="Calibri"/>
          <w:b/>
        </w:rPr>
        <w:t xml:space="preserve">informace z oblasti </w:t>
      </w:r>
      <w:r w:rsidR="008648DA" w:rsidRPr="00B123E4">
        <w:rPr>
          <w:rFonts w:ascii="Calibri" w:hAnsi="Calibri" w:cs="Calibri"/>
          <w:b/>
        </w:rPr>
        <w:t xml:space="preserve">financování rozvoje </w:t>
      </w:r>
      <w:r w:rsidR="00B123E4" w:rsidRPr="00B123E4">
        <w:rPr>
          <w:rFonts w:ascii="Calibri" w:hAnsi="Calibri" w:cs="Calibri"/>
          <w:b/>
        </w:rPr>
        <w:t>i</w:t>
      </w:r>
      <w:r w:rsidR="00DC0415" w:rsidRPr="00B123E4">
        <w:rPr>
          <w:rFonts w:ascii="Calibri" w:hAnsi="Calibri" w:cs="Calibri"/>
          <w:b/>
        </w:rPr>
        <w:t>nvestiční</w:t>
      </w:r>
      <w:r w:rsidR="008648DA" w:rsidRPr="00B123E4">
        <w:rPr>
          <w:rFonts w:ascii="Calibri" w:hAnsi="Calibri" w:cs="Calibri"/>
          <w:b/>
        </w:rPr>
        <w:t>c</w:t>
      </w:r>
      <w:r w:rsidR="00DC0415" w:rsidRPr="00B123E4">
        <w:rPr>
          <w:rFonts w:ascii="Calibri" w:hAnsi="Calibri" w:cs="Calibri"/>
          <w:b/>
        </w:rPr>
        <w:t xml:space="preserve">h </w:t>
      </w:r>
      <w:r w:rsidR="008648DA" w:rsidRPr="00B123E4">
        <w:rPr>
          <w:rFonts w:ascii="Calibri" w:hAnsi="Calibri" w:cs="Calibri"/>
          <w:b/>
        </w:rPr>
        <w:t>potřeb</w:t>
      </w:r>
      <w:r w:rsidR="00B123E4" w:rsidRPr="00B123E4">
        <w:rPr>
          <w:rFonts w:ascii="Calibri" w:hAnsi="Calibri" w:cs="Calibri"/>
          <w:b/>
        </w:rPr>
        <w:t xml:space="preserve"> VVŠ</w:t>
      </w:r>
      <w:r w:rsidR="00DC0415" w:rsidRPr="00B123E4">
        <w:rPr>
          <w:rFonts w:ascii="Calibri" w:hAnsi="Calibri" w:cs="Calibri"/>
          <w:b/>
        </w:rPr>
        <w:t xml:space="preserve">. </w:t>
      </w:r>
    </w:p>
    <w:p w14:paraId="215A9BAB" w14:textId="11259B08" w:rsidR="007F3228" w:rsidRPr="00B123E4" w:rsidRDefault="007C32BB" w:rsidP="00BA614B">
      <w:pPr>
        <w:pStyle w:val="Odstavecseseznamem"/>
        <w:numPr>
          <w:ilvl w:val="0"/>
          <w:numId w:val="48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MŠMT </w:t>
      </w:r>
      <w:r w:rsidR="00247C1A" w:rsidRPr="00B123E4">
        <w:rPr>
          <w:rFonts w:ascii="Calibri" w:hAnsi="Calibri" w:cs="Calibri"/>
          <w:b/>
        </w:rPr>
        <w:t>zařadilo n</w:t>
      </w:r>
      <w:r w:rsidR="002A7EDD" w:rsidRPr="00B123E4">
        <w:rPr>
          <w:rFonts w:ascii="Calibri" w:hAnsi="Calibri" w:cs="Calibri"/>
          <w:b/>
        </w:rPr>
        <w:t>ěkter</w:t>
      </w:r>
      <w:r w:rsidR="00BE0DFE" w:rsidRPr="00B123E4">
        <w:rPr>
          <w:rFonts w:ascii="Calibri" w:hAnsi="Calibri" w:cs="Calibri"/>
          <w:b/>
        </w:rPr>
        <w:t xml:space="preserve">é </w:t>
      </w:r>
      <w:r w:rsidR="00F83035" w:rsidRPr="00B123E4">
        <w:rPr>
          <w:rFonts w:ascii="Calibri" w:hAnsi="Calibri" w:cs="Calibri"/>
          <w:b/>
        </w:rPr>
        <w:t>plánované</w:t>
      </w:r>
      <w:r w:rsidR="00BE0DFE" w:rsidRPr="00B123E4">
        <w:rPr>
          <w:rFonts w:ascii="Calibri" w:hAnsi="Calibri" w:cs="Calibri"/>
          <w:b/>
        </w:rPr>
        <w:t xml:space="preserve"> akce do programu na jeh</w:t>
      </w:r>
      <w:r w:rsidR="00AE2FC5" w:rsidRPr="00B123E4">
        <w:rPr>
          <w:rFonts w:ascii="Calibri" w:hAnsi="Calibri" w:cs="Calibri"/>
          <w:b/>
        </w:rPr>
        <w:t>o počátku</w:t>
      </w:r>
      <w:r w:rsidR="00AE3E2E" w:rsidRPr="00B123E4">
        <w:rPr>
          <w:rFonts w:ascii="Calibri" w:hAnsi="Calibri" w:cs="Calibri"/>
          <w:b/>
        </w:rPr>
        <w:t xml:space="preserve"> </w:t>
      </w:r>
      <w:r w:rsidR="00FF311A" w:rsidRPr="00B123E4">
        <w:rPr>
          <w:rFonts w:ascii="Calibri" w:hAnsi="Calibri" w:cs="Calibri"/>
        </w:rPr>
        <w:t>(</w:t>
      </w:r>
      <w:r w:rsidR="00AE3E2E" w:rsidRPr="00B123E4">
        <w:rPr>
          <w:rFonts w:ascii="Calibri" w:hAnsi="Calibri" w:cs="Calibri"/>
        </w:rPr>
        <w:t>v roce 2011</w:t>
      </w:r>
      <w:r w:rsidR="00FF311A" w:rsidRPr="00B123E4">
        <w:rPr>
          <w:rFonts w:ascii="Calibri" w:hAnsi="Calibri" w:cs="Calibri"/>
        </w:rPr>
        <w:t>)</w:t>
      </w:r>
      <w:r w:rsidR="00AE2FC5" w:rsidRPr="00B123E4">
        <w:rPr>
          <w:rFonts w:ascii="Calibri" w:hAnsi="Calibri" w:cs="Calibri"/>
          <w:b/>
        </w:rPr>
        <w:t xml:space="preserve"> nepřipravené</w:t>
      </w:r>
      <w:r w:rsidR="00F83035">
        <w:rPr>
          <w:rStyle w:val="Znakapoznpodarou"/>
          <w:rFonts w:ascii="Calibri" w:hAnsi="Calibri" w:cs="Calibri"/>
          <w:b/>
        </w:rPr>
        <w:footnoteReference w:id="10"/>
      </w:r>
      <w:r w:rsidR="003D1460" w:rsidRPr="00B123E4">
        <w:rPr>
          <w:rFonts w:ascii="Calibri" w:hAnsi="Calibri" w:cs="Calibri"/>
          <w:b/>
        </w:rPr>
        <w:t>.</w:t>
      </w:r>
      <w:r w:rsidR="00247C1A" w:rsidRPr="00B123E4">
        <w:rPr>
          <w:rFonts w:ascii="Calibri" w:hAnsi="Calibri" w:cs="Calibri"/>
          <w:b/>
        </w:rPr>
        <w:t xml:space="preserve"> </w:t>
      </w:r>
      <w:r w:rsidR="003D1460" w:rsidRPr="00B123E4">
        <w:rPr>
          <w:rFonts w:ascii="Calibri" w:hAnsi="Calibri" w:cs="Calibri"/>
          <w:b/>
        </w:rPr>
        <w:t>T</w:t>
      </w:r>
      <w:r w:rsidR="00BE0DFE" w:rsidRPr="00B123E4">
        <w:rPr>
          <w:rFonts w:ascii="Calibri" w:hAnsi="Calibri" w:cs="Calibri"/>
          <w:b/>
        </w:rPr>
        <w:t>echnické parametry</w:t>
      </w:r>
      <w:r w:rsidR="003D1460" w:rsidRPr="00B123E4">
        <w:rPr>
          <w:rFonts w:ascii="Calibri" w:hAnsi="Calibri" w:cs="Calibri"/>
          <w:b/>
        </w:rPr>
        <w:t xml:space="preserve"> těchto akcí MŠMT</w:t>
      </w:r>
      <w:r w:rsidR="00BE0DFE" w:rsidRPr="00B123E4">
        <w:rPr>
          <w:rFonts w:ascii="Calibri" w:hAnsi="Calibri" w:cs="Calibri"/>
          <w:b/>
        </w:rPr>
        <w:t xml:space="preserve"> započetlo do </w:t>
      </w:r>
      <w:r w:rsidR="00112CD0" w:rsidRPr="00B123E4">
        <w:rPr>
          <w:rFonts w:ascii="Calibri" w:hAnsi="Calibri" w:cs="Calibri"/>
          <w:b/>
        </w:rPr>
        <w:t>hodnot</w:t>
      </w:r>
      <w:r w:rsidR="009E7632" w:rsidRPr="00B123E4">
        <w:rPr>
          <w:rFonts w:ascii="Calibri" w:hAnsi="Calibri" w:cs="Calibri"/>
          <w:b/>
        </w:rPr>
        <w:t>y závazných</w:t>
      </w:r>
      <w:r w:rsidR="00BE0DFE" w:rsidRPr="00B123E4">
        <w:rPr>
          <w:rFonts w:ascii="Calibri" w:hAnsi="Calibri" w:cs="Calibri"/>
          <w:b/>
        </w:rPr>
        <w:t xml:space="preserve"> parametrů </w:t>
      </w:r>
      <w:r w:rsidR="00BF6FA7" w:rsidRPr="00B123E4">
        <w:rPr>
          <w:rFonts w:ascii="Calibri" w:hAnsi="Calibri" w:cs="Calibri"/>
          <w:b/>
        </w:rPr>
        <w:t xml:space="preserve">programu </w:t>
      </w:r>
      <w:r w:rsidR="00BE0DFE" w:rsidRPr="00B123E4">
        <w:rPr>
          <w:rFonts w:ascii="Calibri" w:hAnsi="Calibri" w:cs="Calibri"/>
          <w:b/>
        </w:rPr>
        <w:t>v</w:t>
      </w:r>
      <w:r w:rsidR="003E2110" w:rsidRPr="00B123E4">
        <w:rPr>
          <w:rFonts w:ascii="Calibri" w:hAnsi="Calibri" w:cs="Calibri"/>
          <w:b/>
        </w:rPr>
        <w:t xml:space="preserve"> nulové či </w:t>
      </w:r>
      <w:r w:rsidR="00BE0DFE" w:rsidRPr="00B123E4">
        <w:rPr>
          <w:rFonts w:ascii="Calibri" w:hAnsi="Calibri" w:cs="Calibri"/>
          <w:b/>
        </w:rPr>
        <w:t xml:space="preserve">nereálné </w:t>
      </w:r>
      <w:r w:rsidR="00BE0DFE" w:rsidRPr="00B123E4">
        <w:rPr>
          <w:rFonts w:ascii="Calibri" w:hAnsi="Calibri" w:cs="Calibri"/>
        </w:rPr>
        <w:t>(několikanásobně nižší)</w:t>
      </w:r>
      <w:r w:rsidR="00BE0DFE" w:rsidRPr="00B123E4">
        <w:rPr>
          <w:rFonts w:ascii="Calibri" w:hAnsi="Calibri" w:cs="Calibri"/>
          <w:b/>
        </w:rPr>
        <w:t xml:space="preserve"> </w:t>
      </w:r>
      <w:r w:rsidR="003E2110" w:rsidRPr="00B123E4">
        <w:rPr>
          <w:rFonts w:ascii="Calibri" w:hAnsi="Calibri" w:cs="Calibri"/>
          <w:b/>
        </w:rPr>
        <w:t>h</w:t>
      </w:r>
      <w:r w:rsidR="00BE0DFE" w:rsidRPr="00B123E4">
        <w:rPr>
          <w:rFonts w:ascii="Calibri" w:hAnsi="Calibri" w:cs="Calibri"/>
          <w:b/>
        </w:rPr>
        <w:t xml:space="preserve">odnotě. </w:t>
      </w:r>
      <w:r w:rsidR="00143D03" w:rsidRPr="00B123E4">
        <w:rPr>
          <w:rFonts w:ascii="Calibri" w:hAnsi="Calibri" w:cs="Calibri"/>
          <w:b/>
        </w:rPr>
        <w:t>V</w:t>
      </w:r>
      <w:r w:rsidR="00AE2FC5" w:rsidRPr="00B123E4">
        <w:rPr>
          <w:rFonts w:ascii="Calibri" w:hAnsi="Calibri" w:cs="Calibri"/>
          <w:b/>
        </w:rPr>
        <w:t xml:space="preserve"> rámci aktualizace DP </w:t>
      </w:r>
      <w:r w:rsidR="00FF311A" w:rsidRPr="00B123E4">
        <w:rPr>
          <w:rFonts w:ascii="Calibri" w:hAnsi="Calibri" w:cs="Calibri"/>
        </w:rPr>
        <w:t>(</w:t>
      </w:r>
      <w:r w:rsidR="003D1460" w:rsidRPr="00B123E4">
        <w:rPr>
          <w:rFonts w:ascii="Calibri" w:hAnsi="Calibri" w:cs="Calibri"/>
        </w:rPr>
        <w:t>v roce 2015</w:t>
      </w:r>
      <w:r w:rsidR="00FF311A" w:rsidRPr="00B123E4">
        <w:rPr>
          <w:rFonts w:ascii="Calibri" w:hAnsi="Calibri" w:cs="Calibri"/>
        </w:rPr>
        <w:t>)</w:t>
      </w:r>
      <w:r w:rsidR="003D1460" w:rsidRPr="00B123E4">
        <w:rPr>
          <w:rFonts w:ascii="Calibri" w:hAnsi="Calibri" w:cs="Calibri"/>
          <w:b/>
        </w:rPr>
        <w:t xml:space="preserve"> </w:t>
      </w:r>
      <w:r w:rsidR="00AE2FC5" w:rsidRPr="00B123E4">
        <w:rPr>
          <w:rFonts w:ascii="Calibri" w:hAnsi="Calibri" w:cs="Calibri"/>
          <w:b/>
        </w:rPr>
        <w:t xml:space="preserve">byly většinou hodnoty parametrů </w:t>
      </w:r>
      <w:r w:rsidR="003E2110" w:rsidRPr="00B123E4">
        <w:rPr>
          <w:rFonts w:ascii="Calibri" w:hAnsi="Calibri" w:cs="Calibri"/>
          <w:b/>
        </w:rPr>
        <w:t xml:space="preserve">doplněny </w:t>
      </w:r>
      <w:r w:rsidR="00247C1A" w:rsidRPr="00B123E4">
        <w:rPr>
          <w:rFonts w:ascii="Calibri" w:hAnsi="Calibri" w:cs="Calibri"/>
          <w:b/>
        </w:rPr>
        <w:t>a</w:t>
      </w:r>
      <w:r w:rsidR="003D1460" w:rsidRPr="00B123E4">
        <w:rPr>
          <w:rFonts w:ascii="Calibri" w:hAnsi="Calibri" w:cs="Calibri"/>
          <w:b/>
        </w:rPr>
        <w:t> </w:t>
      </w:r>
      <w:r w:rsidR="00F9163A" w:rsidRPr="00B123E4">
        <w:rPr>
          <w:rFonts w:ascii="Calibri" w:hAnsi="Calibri" w:cs="Calibri"/>
          <w:b/>
        </w:rPr>
        <w:t>upřesněny</w:t>
      </w:r>
      <w:r w:rsidR="00AE2FC5" w:rsidRPr="00B123E4">
        <w:rPr>
          <w:rFonts w:ascii="Calibri" w:hAnsi="Calibri" w:cs="Calibri"/>
          <w:b/>
        </w:rPr>
        <w:t>.</w:t>
      </w:r>
      <w:r w:rsidR="00683292" w:rsidRPr="00B123E4">
        <w:rPr>
          <w:rFonts w:ascii="Calibri" w:hAnsi="Calibri" w:cs="Calibri"/>
          <w:b/>
        </w:rPr>
        <w:t xml:space="preserve"> V původní DP však </w:t>
      </w:r>
      <w:r w:rsidR="00DF2D2E" w:rsidRPr="00B123E4">
        <w:rPr>
          <w:rFonts w:ascii="Calibri" w:hAnsi="Calibri" w:cs="Calibri"/>
          <w:b/>
        </w:rPr>
        <w:t>hodnoty parametrů chyběly v celkovém součtu</w:t>
      </w:r>
      <w:r>
        <w:rPr>
          <w:rFonts w:ascii="Calibri" w:hAnsi="Calibri" w:cs="Calibri"/>
          <w:b/>
        </w:rPr>
        <w:t>,</w:t>
      </w:r>
      <w:r w:rsidR="005464CD" w:rsidRPr="00B123E4">
        <w:rPr>
          <w:rFonts w:ascii="Calibri" w:hAnsi="Calibri" w:cs="Calibri"/>
          <w:b/>
        </w:rPr>
        <w:t xml:space="preserve"> </w:t>
      </w:r>
      <w:r w:rsidR="003D1460" w:rsidRPr="00B123E4">
        <w:rPr>
          <w:rFonts w:ascii="Calibri" w:hAnsi="Calibri" w:cs="Calibri"/>
          <w:b/>
        </w:rPr>
        <w:t>a </w:t>
      </w:r>
      <w:r w:rsidR="00165830">
        <w:rPr>
          <w:rFonts w:ascii="Calibri" w:hAnsi="Calibri" w:cs="Calibri"/>
          <w:b/>
        </w:rPr>
        <w:t xml:space="preserve">tedy </w:t>
      </w:r>
      <w:r w:rsidR="005464CD" w:rsidRPr="00B123E4">
        <w:rPr>
          <w:rFonts w:ascii="Calibri" w:hAnsi="Calibri" w:cs="Calibri"/>
          <w:b/>
        </w:rPr>
        <w:t>neodpovídal</w:t>
      </w:r>
      <w:r w:rsidR="00247C1A" w:rsidRPr="00B123E4">
        <w:rPr>
          <w:rFonts w:ascii="Calibri" w:hAnsi="Calibri" w:cs="Calibri"/>
          <w:b/>
        </w:rPr>
        <w:t xml:space="preserve">y </w:t>
      </w:r>
      <w:r w:rsidR="00DF2D2E" w:rsidRPr="00B123E4">
        <w:rPr>
          <w:rFonts w:ascii="Calibri" w:hAnsi="Calibri" w:cs="Calibri"/>
          <w:b/>
        </w:rPr>
        <w:t>plánovaným prostředkům.</w:t>
      </w:r>
    </w:p>
    <w:p w14:paraId="1B9C9D5E" w14:textId="3857F662" w:rsidR="001D7B89" w:rsidRPr="00B123E4" w:rsidRDefault="007C32BB" w:rsidP="00BA614B">
      <w:pPr>
        <w:pStyle w:val="Odstavecseseznamem"/>
        <w:numPr>
          <w:ilvl w:val="0"/>
          <w:numId w:val="48"/>
        </w:numPr>
        <w:spacing w:after="120"/>
        <w:jc w:val="both"/>
        <w:rPr>
          <w:rFonts w:ascii="Calibri" w:hAnsi="Calibri" w:cs="Calibri"/>
          <w:b/>
        </w:rPr>
      </w:pPr>
      <w:r>
        <w:rPr>
          <w:rFonts w:asciiTheme="minorHAnsi" w:hAnsiTheme="minorHAnsi"/>
          <w:b/>
        </w:rPr>
        <w:t xml:space="preserve">MŠMT </w:t>
      </w:r>
      <w:r w:rsidR="00815F1D" w:rsidRPr="00B123E4">
        <w:rPr>
          <w:rFonts w:asciiTheme="minorHAnsi" w:eastAsiaTheme="minorHAnsi" w:hAnsiTheme="minorHAnsi" w:cstheme="minorHAnsi"/>
          <w:b/>
          <w:bCs/>
        </w:rPr>
        <w:t xml:space="preserve">registrovalo </w:t>
      </w:r>
      <w:r w:rsidR="001D7B89" w:rsidRPr="00B123E4">
        <w:rPr>
          <w:rFonts w:asciiTheme="minorHAnsi" w:eastAsiaTheme="minorHAnsi" w:hAnsiTheme="minorHAnsi" w:cstheme="minorHAnsi"/>
          <w:b/>
          <w:bCs/>
        </w:rPr>
        <w:t>v</w:t>
      </w:r>
      <w:r w:rsidR="00247C1A" w:rsidRPr="00B123E4">
        <w:rPr>
          <w:rFonts w:asciiTheme="minorHAnsi" w:eastAsiaTheme="minorHAnsi" w:hAnsiTheme="minorHAnsi" w:cstheme="minorHAnsi"/>
          <w:b/>
          <w:bCs/>
        </w:rPr>
        <w:t xml:space="preserve"> březnu 2015 v </w:t>
      </w:r>
      <w:r w:rsidR="001D7B89" w:rsidRPr="00B123E4">
        <w:rPr>
          <w:rFonts w:asciiTheme="minorHAnsi" w:eastAsiaTheme="minorHAnsi" w:hAnsiTheme="minorHAnsi" w:cstheme="minorHAnsi"/>
          <w:b/>
          <w:bCs/>
        </w:rPr>
        <w:t xml:space="preserve">programu </w:t>
      </w:r>
      <w:r w:rsidR="0091045F" w:rsidRPr="00B123E4">
        <w:rPr>
          <w:rFonts w:asciiTheme="minorHAnsi" w:eastAsiaTheme="minorHAnsi" w:hAnsiTheme="minorHAnsi" w:cstheme="minorHAnsi"/>
          <w:b/>
          <w:bCs/>
        </w:rPr>
        <w:t>o</w:t>
      </w:r>
      <w:r w:rsidR="006368C0" w:rsidRPr="00B123E4">
        <w:rPr>
          <w:rFonts w:asciiTheme="minorHAnsi" w:eastAsiaTheme="minorHAnsi" w:hAnsiTheme="minorHAnsi" w:cstheme="minorHAnsi"/>
          <w:b/>
          <w:bCs/>
        </w:rPr>
        <w:t xml:space="preserve">bjemově největší </w:t>
      </w:r>
      <w:r w:rsidR="00D26D5B" w:rsidRPr="00B123E4">
        <w:rPr>
          <w:rFonts w:asciiTheme="minorHAnsi" w:eastAsiaTheme="minorHAnsi" w:hAnsiTheme="minorHAnsi" w:cstheme="minorHAnsi"/>
          <w:b/>
          <w:bCs/>
        </w:rPr>
        <w:t xml:space="preserve">akci </w:t>
      </w:r>
      <w:r w:rsidR="00D26D5B" w:rsidRPr="00B123E4">
        <w:rPr>
          <w:rFonts w:asciiTheme="minorHAnsi" w:eastAsiaTheme="minorHAnsi" w:hAnsiTheme="minorHAnsi" w:cstheme="minorHAnsi"/>
          <w:b/>
          <w:bCs/>
          <w:i/>
        </w:rPr>
        <w:t>ČVUT-CIIRC</w:t>
      </w:r>
      <w:r w:rsidR="00815F1D" w:rsidRPr="00B123E4">
        <w:rPr>
          <w:rFonts w:asciiTheme="minorHAnsi" w:eastAsiaTheme="minorHAnsi" w:hAnsiTheme="minorHAnsi" w:cstheme="minorHAnsi"/>
          <w:b/>
          <w:bCs/>
        </w:rPr>
        <w:t xml:space="preserve"> </w:t>
      </w:r>
      <w:r w:rsidR="004609ED" w:rsidRPr="00B123E4">
        <w:rPr>
          <w:rFonts w:asciiTheme="minorHAnsi" w:eastAsiaTheme="minorHAnsi" w:hAnsiTheme="minorHAnsi" w:cstheme="minorHAnsi"/>
          <w:bCs/>
        </w:rPr>
        <w:t>(</w:t>
      </w:r>
      <w:r w:rsidR="0091045F" w:rsidRPr="00B123E4">
        <w:rPr>
          <w:rFonts w:asciiTheme="minorHAnsi" w:eastAsiaTheme="minorHAnsi" w:hAnsiTheme="minorHAnsi" w:cstheme="minorHAnsi"/>
          <w:bCs/>
        </w:rPr>
        <w:t>1 </w:t>
      </w:r>
      <w:r w:rsidR="00815F1D" w:rsidRPr="00B123E4">
        <w:rPr>
          <w:rFonts w:asciiTheme="minorHAnsi" w:eastAsiaTheme="minorHAnsi" w:hAnsiTheme="minorHAnsi" w:cstheme="minorHAnsi"/>
          <w:bCs/>
        </w:rPr>
        <w:t>mld. Kč</w:t>
      </w:r>
      <w:r w:rsidR="0091045F" w:rsidRPr="00B123E4">
        <w:rPr>
          <w:rFonts w:asciiTheme="minorHAnsi" w:eastAsiaTheme="minorHAnsi" w:hAnsiTheme="minorHAnsi" w:cstheme="minorHAnsi"/>
          <w:bCs/>
        </w:rPr>
        <w:t xml:space="preserve"> ze SR</w:t>
      </w:r>
      <w:r w:rsidR="004609ED" w:rsidRPr="00B123E4">
        <w:rPr>
          <w:rFonts w:asciiTheme="minorHAnsi" w:eastAsiaTheme="minorHAnsi" w:hAnsiTheme="minorHAnsi" w:cstheme="minorHAnsi"/>
          <w:bCs/>
        </w:rPr>
        <w:t>)</w:t>
      </w:r>
      <w:r w:rsidR="000C1474" w:rsidRPr="00B123E4">
        <w:rPr>
          <w:rFonts w:asciiTheme="minorHAnsi" w:eastAsiaTheme="minorHAnsi" w:hAnsiTheme="minorHAnsi" w:cstheme="minorHAnsi"/>
          <w:bCs/>
        </w:rPr>
        <w:t xml:space="preserve"> </w:t>
      </w:r>
      <w:r w:rsidR="008D12D9" w:rsidRPr="00B123E4">
        <w:rPr>
          <w:rFonts w:asciiTheme="minorHAnsi" w:eastAsiaTheme="minorHAnsi" w:hAnsiTheme="minorHAnsi" w:cstheme="minorHAnsi"/>
          <w:b/>
          <w:bCs/>
        </w:rPr>
        <w:t>v návaznosti na usnesení</w:t>
      </w:r>
      <w:r w:rsidR="000C1474" w:rsidRPr="00B123E4">
        <w:rPr>
          <w:rFonts w:asciiTheme="minorHAnsi" w:eastAsiaTheme="minorHAnsi" w:hAnsiTheme="minorHAnsi" w:cstheme="minorHAnsi"/>
          <w:b/>
          <w:bCs/>
        </w:rPr>
        <w:t xml:space="preserve"> vlády</w:t>
      </w:r>
      <w:r w:rsidR="000C1474" w:rsidRPr="00813026">
        <w:rPr>
          <w:rStyle w:val="Znakapoznpodarou"/>
          <w:rFonts w:asciiTheme="minorHAnsi" w:hAnsiTheme="minorHAnsi" w:cstheme="minorHAnsi"/>
        </w:rPr>
        <w:footnoteReference w:id="11"/>
      </w:r>
      <w:r w:rsidR="000C1474" w:rsidRPr="00B123E4">
        <w:rPr>
          <w:rFonts w:asciiTheme="minorHAnsi" w:eastAsiaTheme="minorHAnsi" w:hAnsiTheme="minorHAnsi" w:cstheme="minorHAnsi"/>
          <w:b/>
          <w:bCs/>
        </w:rPr>
        <w:t>,</w:t>
      </w:r>
      <w:r w:rsidR="00D77727" w:rsidRPr="00B123E4">
        <w:rPr>
          <w:rFonts w:asciiTheme="minorHAnsi" w:eastAsiaTheme="minorHAnsi" w:hAnsiTheme="minorHAnsi" w:cstheme="minorHAnsi"/>
          <w:b/>
          <w:bCs/>
        </w:rPr>
        <w:t xml:space="preserve"> </w:t>
      </w:r>
      <w:r w:rsidR="003D1460" w:rsidRPr="00B123E4">
        <w:rPr>
          <w:rFonts w:asciiTheme="minorHAnsi" w:eastAsiaTheme="minorHAnsi" w:hAnsiTheme="minorHAnsi" w:cstheme="minorHAnsi"/>
          <w:b/>
          <w:bCs/>
        </w:rPr>
        <w:t>přestože</w:t>
      </w:r>
      <w:r w:rsidR="001C2F8F" w:rsidRPr="00B123E4">
        <w:rPr>
          <w:rFonts w:asciiTheme="minorHAnsi" w:eastAsiaTheme="minorHAnsi" w:hAnsiTheme="minorHAnsi" w:cstheme="minorHAnsi"/>
          <w:b/>
          <w:bCs/>
        </w:rPr>
        <w:t xml:space="preserve"> </w:t>
      </w:r>
      <w:r w:rsidR="001D7B89" w:rsidRPr="00B123E4">
        <w:rPr>
          <w:rFonts w:asciiTheme="minorHAnsi" w:eastAsiaTheme="minorHAnsi" w:hAnsiTheme="minorHAnsi" w:cstheme="minorHAnsi"/>
          <w:b/>
          <w:bCs/>
        </w:rPr>
        <w:t xml:space="preserve">akce nebyla </w:t>
      </w:r>
      <w:r w:rsidR="00D77727" w:rsidRPr="00B123E4">
        <w:rPr>
          <w:rFonts w:asciiTheme="minorHAnsi" w:eastAsiaTheme="minorHAnsi" w:hAnsiTheme="minorHAnsi" w:cstheme="minorHAnsi"/>
          <w:b/>
          <w:bCs/>
        </w:rPr>
        <w:t xml:space="preserve">v té době </w:t>
      </w:r>
      <w:r w:rsidR="001D7B89" w:rsidRPr="00B123E4">
        <w:rPr>
          <w:rFonts w:asciiTheme="minorHAnsi" w:eastAsiaTheme="minorHAnsi" w:hAnsiTheme="minorHAnsi" w:cstheme="minorHAnsi"/>
          <w:b/>
          <w:bCs/>
        </w:rPr>
        <w:t xml:space="preserve">uvedena mezi </w:t>
      </w:r>
      <w:r w:rsidR="00557014" w:rsidRPr="00B123E4">
        <w:rPr>
          <w:rFonts w:asciiTheme="minorHAnsi" w:eastAsiaTheme="minorHAnsi" w:hAnsiTheme="minorHAnsi" w:cstheme="minorHAnsi"/>
          <w:b/>
          <w:bCs/>
        </w:rPr>
        <w:t xml:space="preserve">konkrétními </w:t>
      </w:r>
      <w:r w:rsidR="00EF1D6C" w:rsidRPr="00B123E4">
        <w:rPr>
          <w:rFonts w:asciiTheme="minorHAnsi" w:eastAsiaTheme="minorHAnsi" w:hAnsiTheme="minorHAnsi" w:cstheme="minorHAnsi"/>
          <w:b/>
          <w:bCs/>
        </w:rPr>
        <w:t xml:space="preserve">cíli </w:t>
      </w:r>
      <w:r w:rsidR="00EF1D6C" w:rsidRPr="00B123E4">
        <w:rPr>
          <w:rFonts w:asciiTheme="minorHAnsi" w:eastAsiaTheme="minorHAnsi" w:hAnsiTheme="minorHAnsi" w:cstheme="minorHAnsi"/>
          <w:bCs/>
        </w:rPr>
        <w:t>(</w:t>
      </w:r>
      <w:r w:rsidR="002E086C" w:rsidRPr="00B123E4">
        <w:rPr>
          <w:rFonts w:asciiTheme="minorHAnsi" w:eastAsiaTheme="minorHAnsi" w:hAnsiTheme="minorHAnsi" w:cstheme="minorHAnsi"/>
          <w:bCs/>
        </w:rPr>
        <w:t>plánovanými</w:t>
      </w:r>
      <w:r w:rsidR="00EF1D6C" w:rsidRPr="00B123E4">
        <w:rPr>
          <w:rFonts w:asciiTheme="minorHAnsi" w:eastAsiaTheme="minorHAnsi" w:hAnsiTheme="minorHAnsi" w:cstheme="minorHAnsi"/>
          <w:bCs/>
        </w:rPr>
        <w:t xml:space="preserve"> </w:t>
      </w:r>
      <w:r w:rsidR="001D7B89" w:rsidRPr="00B123E4">
        <w:rPr>
          <w:rFonts w:asciiTheme="minorHAnsi" w:eastAsiaTheme="minorHAnsi" w:hAnsiTheme="minorHAnsi" w:cstheme="minorHAnsi"/>
          <w:bCs/>
        </w:rPr>
        <w:t>akcemi</w:t>
      </w:r>
      <w:r w:rsidR="00EF1D6C" w:rsidRPr="00B123E4">
        <w:rPr>
          <w:rFonts w:asciiTheme="minorHAnsi" w:eastAsiaTheme="minorHAnsi" w:hAnsiTheme="minorHAnsi" w:cstheme="minorHAnsi"/>
          <w:bCs/>
        </w:rPr>
        <w:t>)</w:t>
      </w:r>
      <w:r w:rsidR="001D7B89" w:rsidRPr="00B123E4">
        <w:rPr>
          <w:rFonts w:asciiTheme="minorHAnsi" w:eastAsiaTheme="minorHAnsi" w:hAnsiTheme="minorHAnsi" w:cstheme="minorHAnsi"/>
          <w:b/>
          <w:bCs/>
        </w:rPr>
        <w:t xml:space="preserve"> programu</w:t>
      </w:r>
      <w:r w:rsidR="00247C1A" w:rsidRPr="00B123E4">
        <w:rPr>
          <w:rFonts w:asciiTheme="minorHAnsi" w:eastAsiaTheme="minorHAnsi" w:hAnsiTheme="minorHAnsi" w:cstheme="minorHAnsi"/>
          <w:b/>
          <w:bCs/>
        </w:rPr>
        <w:t xml:space="preserve"> </w:t>
      </w:r>
      <w:r w:rsidR="00247C1A" w:rsidRPr="00B123E4">
        <w:rPr>
          <w:rFonts w:asciiTheme="minorHAnsi" w:eastAsiaTheme="minorHAnsi" w:hAnsiTheme="minorHAnsi" w:cstheme="minorHAnsi"/>
          <w:bCs/>
        </w:rPr>
        <w:t>a</w:t>
      </w:r>
      <w:r>
        <w:rPr>
          <w:rFonts w:asciiTheme="minorHAnsi" w:eastAsiaTheme="minorHAnsi" w:hAnsiTheme="minorHAnsi" w:cstheme="minorHAnsi"/>
          <w:bCs/>
        </w:rPr>
        <w:t> přestože</w:t>
      </w:r>
      <w:r w:rsidR="00247C1A" w:rsidRPr="00B123E4">
        <w:rPr>
          <w:rFonts w:asciiTheme="minorHAnsi" w:eastAsiaTheme="minorHAnsi" w:hAnsiTheme="minorHAnsi" w:cstheme="minorHAnsi"/>
          <w:bCs/>
        </w:rPr>
        <w:t xml:space="preserve"> vybudování sídla </w:t>
      </w:r>
      <w:r w:rsidR="001318D6" w:rsidRPr="00B123E4">
        <w:rPr>
          <w:rFonts w:asciiTheme="minorHAnsi" w:eastAsiaTheme="minorHAnsi" w:hAnsiTheme="minorHAnsi" w:cstheme="minorHAnsi"/>
          <w:bCs/>
        </w:rPr>
        <w:t xml:space="preserve">Českého institutu informatiky, robotiky a kybernetiky (dále též „CIIRC“) </w:t>
      </w:r>
      <w:r w:rsidR="00247C1A" w:rsidRPr="00B123E4">
        <w:rPr>
          <w:rFonts w:asciiTheme="minorHAnsi" w:eastAsiaTheme="minorHAnsi" w:hAnsiTheme="minorHAnsi" w:cstheme="minorHAnsi"/>
          <w:bCs/>
        </w:rPr>
        <w:t>nebylo uvedeno mezi obecnými cíli podprogramu ČVUT</w:t>
      </w:r>
      <w:r w:rsidR="001318D6" w:rsidRPr="00B123E4">
        <w:rPr>
          <w:rFonts w:asciiTheme="minorHAnsi" w:eastAsiaTheme="minorHAnsi" w:hAnsiTheme="minorHAnsi" w:cstheme="minorHAnsi"/>
          <w:bCs/>
        </w:rPr>
        <w:t>.</w:t>
      </w:r>
      <w:r w:rsidR="001C2F8F" w:rsidRPr="00B123E4">
        <w:rPr>
          <w:rFonts w:asciiTheme="minorHAnsi" w:eastAsiaTheme="minorHAnsi" w:hAnsiTheme="minorHAnsi" w:cstheme="minorHAnsi"/>
          <w:bCs/>
        </w:rPr>
        <w:t xml:space="preserve"> </w:t>
      </w:r>
      <w:r w:rsidR="00D77727" w:rsidRPr="00B123E4">
        <w:rPr>
          <w:rFonts w:asciiTheme="minorHAnsi" w:eastAsiaTheme="minorHAnsi" w:hAnsiTheme="minorHAnsi" w:cstheme="minorHAnsi"/>
          <w:bCs/>
        </w:rPr>
        <w:t>A</w:t>
      </w:r>
      <w:r w:rsidR="001C2F8F" w:rsidRPr="00B123E4">
        <w:rPr>
          <w:rFonts w:asciiTheme="minorHAnsi" w:eastAsiaTheme="minorHAnsi" w:hAnsiTheme="minorHAnsi" w:cstheme="minorHAnsi"/>
          <w:bCs/>
        </w:rPr>
        <w:t>kce byla v</w:t>
      </w:r>
      <w:r w:rsidR="00592D78" w:rsidRPr="00B123E4">
        <w:rPr>
          <w:rFonts w:asciiTheme="minorHAnsi" w:eastAsiaTheme="minorHAnsi" w:hAnsiTheme="minorHAnsi" w:cstheme="minorHAnsi"/>
          <w:bCs/>
        </w:rPr>
        <w:t> </w:t>
      </w:r>
      <w:r w:rsidR="001C2F8F" w:rsidRPr="00B123E4">
        <w:rPr>
          <w:rFonts w:asciiTheme="minorHAnsi" w:eastAsiaTheme="minorHAnsi" w:hAnsiTheme="minorHAnsi" w:cstheme="minorHAnsi"/>
          <w:bCs/>
        </w:rPr>
        <w:t>roce</w:t>
      </w:r>
      <w:r w:rsidR="00EB715B" w:rsidRPr="00B123E4">
        <w:rPr>
          <w:rFonts w:asciiTheme="minorHAnsi" w:eastAsiaTheme="minorHAnsi" w:hAnsiTheme="minorHAnsi" w:cstheme="minorHAnsi"/>
          <w:bCs/>
        </w:rPr>
        <w:t xml:space="preserve"> 2014 určena k financování z </w:t>
      </w:r>
      <w:proofErr w:type="gramStart"/>
      <w:r w:rsidR="00EB715B" w:rsidRPr="00B123E4">
        <w:rPr>
          <w:rFonts w:asciiTheme="minorHAnsi" w:eastAsiaTheme="minorHAnsi" w:hAnsiTheme="minorHAnsi" w:cstheme="minorHAnsi"/>
          <w:bCs/>
        </w:rPr>
        <w:t>OP</w:t>
      </w:r>
      <w:proofErr w:type="gramEnd"/>
      <w:r w:rsidR="00EB715B" w:rsidRPr="00B123E4">
        <w:rPr>
          <w:rFonts w:asciiTheme="minorHAnsi" w:eastAsiaTheme="minorHAnsi" w:hAnsiTheme="minorHAnsi" w:cstheme="minorHAnsi"/>
          <w:bCs/>
        </w:rPr>
        <w:t> </w:t>
      </w:r>
      <w:proofErr w:type="spellStart"/>
      <w:r w:rsidR="001C2F8F" w:rsidRPr="00B123E4">
        <w:rPr>
          <w:rFonts w:asciiTheme="minorHAnsi" w:eastAsiaTheme="minorHAnsi" w:hAnsiTheme="minorHAnsi" w:cstheme="minorHAnsi"/>
          <w:bCs/>
        </w:rPr>
        <w:t>VaVpI</w:t>
      </w:r>
      <w:proofErr w:type="spellEnd"/>
      <w:r w:rsidR="001C2F8F" w:rsidRPr="00B123E4">
        <w:rPr>
          <w:rFonts w:asciiTheme="minorHAnsi" w:eastAsiaTheme="minorHAnsi" w:hAnsiTheme="minorHAnsi" w:cstheme="minorHAnsi"/>
          <w:bCs/>
        </w:rPr>
        <w:t xml:space="preserve">, avšak přesáhla </w:t>
      </w:r>
      <w:r w:rsidR="00EB715B" w:rsidRPr="00B123E4">
        <w:rPr>
          <w:rFonts w:asciiTheme="minorHAnsi" w:eastAsiaTheme="minorHAnsi" w:hAnsiTheme="minorHAnsi" w:cstheme="minorHAnsi"/>
          <w:bCs/>
        </w:rPr>
        <w:t xml:space="preserve">maximální </w:t>
      </w:r>
      <w:r w:rsidR="008D12D9" w:rsidRPr="00B123E4">
        <w:rPr>
          <w:rFonts w:asciiTheme="minorHAnsi" w:eastAsiaTheme="minorHAnsi" w:hAnsiTheme="minorHAnsi" w:cstheme="minorHAnsi"/>
          <w:bCs/>
        </w:rPr>
        <w:t xml:space="preserve">určený </w:t>
      </w:r>
      <w:r w:rsidR="001C2F8F" w:rsidRPr="00B123E4">
        <w:rPr>
          <w:rFonts w:asciiTheme="minorHAnsi" w:eastAsiaTheme="minorHAnsi" w:hAnsiTheme="minorHAnsi" w:cstheme="minorHAnsi"/>
          <w:bCs/>
        </w:rPr>
        <w:t xml:space="preserve">limit výdajů. </w:t>
      </w:r>
      <w:r w:rsidR="004609ED" w:rsidRPr="00B123E4">
        <w:rPr>
          <w:rFonts w:asciiTheme="minorHAnsi" w:eastAsiaTheme="minorHAnsi" w:hAnsiTheme="minorHAnsi" w:cstheme="minorHAnsi"/>
          <w:bCs/>
        </w:rPr>
        <w:t xml:space="preserve">MŠMT </w:t>
      </w:r>
      <w:r w:rsidR="00827899" w:rsidRPr="00B123E4">
        <w:rPr>
          <w:rFonts w:asciiTheme="minorHAnsi" w:eastAsiaTheme="minorHAnsi" w:hAnsiTheme="minorHAnsi" w:cstheme="minorHAnsi"/>
          <w:bCs/>
        </w:rPr>
        <w:t xml:space="preserve">tak </w:t>
      </w:r>
      <w:r w:rsidR="008C30EE" w:rsidRPr="00B123E4">
        <w:rPr>
          <w:rFonts w:asciiTheme="minorHAnsi" w:eastAsiaTheme="minorHAnsi" w:hAnsiTheme="minorHAnsi" w:cstheme="minorHAnsi"/>
          <w:bCs/>
        </w:rPr>
        <w:t>vydávalo říd</w:t>
      </w:r>
      <w:r>
        <w:rPr>
          <w:rFonts w:asciiTheme="minorHAnsi" w:eastAsiaTheme="minorHAnsi" w:hAnsiTheme="minorHAnsi" w:cstheme="minorHAnsi"/>
          <w:bCs/>
        </w:rPr>
        <w:t>i</w:t>
      </w:r>
      <w:r w:rsidR="008C30EE" w:rsidRPr="00B123E4">
        <w:rPr>
          <w:rFonts w:asciiTheme="minorHAnsi" w:eastAsiaTheme="minorHAnsi" w:hAnsiTheme="minorHAnsi" w:cstheme="minorHAnsi"/>
          <w:bCs/>
        </w:rPr>
        <w:t xml:space="preserve">cí dokumenty </w:t>
      </w:r>
      <w:r w:rsidR="002B2F9C" w:rsidRPr="00B123E4">
        <w:rPr>
          <w:rFonts w:asciiTheme="minorHAnsi" w:eastAsiaTheme="minorHAnsi" w:hAnsiTheme="minorHAnsi" w:cstheme="minorHAnsi"/>
          <w:bCs/>
        </w:rPr>
        <w:t>akce</w:t>
      </w:r>
      <w:r w:rsidR="008D12D9" w:rsidRPr="00B123E4">
        <w:rPr>
          <w:rFonts w:asciiTheme="minorHAnsi" w:eastAsiaTheme="minorHAnsi" w:hAnsiTheme="minorHAnsi" w:cstheme="minorHAnsi"/>
          <w:bCs/>
        </w:rPr>
        <w:t xml:space="preserve"> zařazené do programu</w:t>
      </w:r>
      <w:r w:rsidR="002B2F9C" w:rsidRPr="00B123E4">
        <w:rPr>
          <w:rFonts w:asciiTheme="minorHAnsi" w:eastAsiaTheme="minorHAnsi" w:hAnsiTheme="minorHAnsi" w:cstheme="minorHAnsi"/>
          <w:bCs/>
        </w:rPr>
        <w:t xml:space="preserve"> </w:t>
      </w:r>
      <w:r w:rsidR="008C30EE" w:rsidRPr="00B123E4">
        <w:rPr>
          <w:rFonts w:asciiTheme="minorHAnsi" w:eastAsiaTheme="minorHAnsi" w:hAnsiTheme="minorHAnsi" w:cstheme="minorHAnsi"/>
          <w:bCs/>
        </w:rPr>
        <w:t xml:space="preserve">v době, kdy již byl vybrán </w:t>
      </w:r>
      <w:r w:rsidR="002B2F9C" w:rsidRPr="00B123E4">
        <w:rPr>
          <w:rFonts w:asciiTheme="minorHAnsi" w:eastAsiaTheme="minorHAnsi" w:hAnsiTheme="minorHAnsi" w:cstheme="minorHAnsi"/>
          <w:bCs/>
        </w:rPr>
        <w:t xml:space="preserve">zhotovitel </w:t>
      </w:r>
      <w:r w:rsidR="005528A7" w:rsidRPr="00B123E4">
        <w:rPr>
          <w:rFonts w:asciiTheme="minorHAnsi" w:eastAsiaTheme="minorHAnsi" w:hAnsiTheme="minorHAnsi" w:cstheme="minorHAnsi"/>
          <w:bCs/>
        </w:rPr>
        <w:t>stavby a </w:t>
      </w:r>
      <w:r w:rsidR="008C30EE" w:rsidRPr="00B123E4">
        <w:rPr>
          <w:rFonts w:asciiTheme="minorHAnsi" w:eastAsiaTheme="minorHAnsi" w:hAnsiTheme="minorHAnsi" w:cstheme="minorHAnsi"/>
          <w:bCs/>
        </w:rPr>
        <w:t xml:space="preserve">byla s ním uzavřena smlouva. </w:t>
      </w:r>
      <w:r w:rsidR="004609ED" w:rsidRPr="00B123E4">
        <w:rPr>
          <w:rFonts w:asciiTheme="minorHAnsi" w:eastAsiaTheme="minorHAnsi" w:hAnsiTheme="minorHAnsi" w:cstheme="minorHAnsi"/>
          <w:bCs/>
        </w:rPr>
        <w:t>V</w:t>
      </w:r>
      <w:r w:rsidR="002B2F9C" w:rsidRPr="00B123E4">
        <w:rPr>
          <w:rFonts w:asciiTheme="minorHAnsi" w:eastAsiaTheme="minorHAnsi" w:hAnsiTheme="minorHAnsi" w:cstheme="minorHAnsi"/>
          <w:bCs/>
        </w:rPr>
        <w:t xml:space="preserve"> době </w:t>
      </w:r>
      <w:r w:rsidR="00827899" w:rsidRPr="00B123E4">
        <w:rPr>
          <w:rFonts w:asciiTheme="minorHAnsi" w:eastAsiaTheme="minorHAnsi" w:hAnsiTheme="minorHAnsi" w:cstheme="minorHAnsi"/>
          <w:bCs/>
        </w:rPr>
        <w:t>vyhlášení</w:t>
      </w:r>
      <w:r w:rsidR="002B2F9C" w:rsidRPr="00B123E4">
        <w:rPr>
          <w:rFonts w:asciiTheme="minorHAnsi" w:eastAsiaTheme="minorHAnsi" w:hAnsiTheme="minorHAnsi" w:cstheme="minorHAnsi"/>
          <w:bCs/>
        </w:rPr>
        <w:t xml:space="preserve"> veřejné zakázky </w:t>
      </w:r>
      <w:r w:rsidR="003D1460" w:rsidRPr="00B123E4">
        <w:rPr>
          <w:rFonts w:asciiTheme="minorHAnsi" w:eastAsiaTheme="minorHAnsi" w:hAnsiTheme="minorHAnsi" w:cstheme="minorHAnsi"/>
          <w:bCs/>
        </w:rPr>
        <w:t xml:space="preserve">na zhotovitele </w:t>
      </w:r>
      <w:r w:rsidR="004609ED" w:rsidRPr="00B123E4">
        <w:rPr>
          <w:rFonts w:asciiTheme="minorHAnsi" w:eastAsiaTheme="minorHAnsi" w:hAnsiTheme="minorHAnsi" w:cstheme="minorHAnsi"/>
          <w:bCs/>
        </w:rPr>
        <w:t xml:space="preserve">navíc </w:t>
      </w:r>
      <w:r w:rsidR="002B2F9C" w:rsidRPr="00B123E4">
        <w:rPr>
          <w:rFonts w:asciiTheme="minorHAnsi" w:eastAsiaTheme="minorHAnsi" w:hAnsiTheme="minorHAnsi" w:cstheme="minorHAnsi"/>
          <w:bCs/>
        </w:rPr>
        <w:t>nebylo ukončeno tři roky trvající územní řízení</w:t>
      </w:r>
      <w:r w:rsidR="004609ED" w:rsidRPr="00B123E4">
        <w:rPr>
          <w:rFonts w:asciiTheme="minorHAnsi" w:eastAsiaTheme="minorHAnsi" w:hAnsiTheme="minorHAnsi" w:cstheme="minorHAnsi"/>
          <w:bCs/>
        </w:rPr>
        <w:t xml:space="preserve">, </w:t>
      </w:r>
      <w:r w:rsidR="005528A7" w:rsidRPr="00B123E4">
        <w:rPr>
          <w:rFonts w:asciiTheme="minorHAnsi" w:eastAsiaTheme="minorHAnsi" w:hAnsiTheme="minorHAnsi" w:cstheme="minorHAnsi"/>
          <w:bCs/>
        </w:rPr>
        <w:t xml:space="preserve">ČVUT nemělo </w:t>
      </w:r>
      <w:r w:rsidR="00433167" w:rsidRPr="00B123E4">
        <w:rPr>
          <w:rFonts w:asciiTheme="minorHAnsi" w:eastAsiaTheme="minorHAnsi" w:hAnsiTheme="minorHAnsi" w:cstheme="minorHAnsi"/>
          <w:bCs/>
        </w:rPr>
        <w:t xml:space="preserve">konečnou podobu projektové dokumentace pro provedení stavby </w:t>
      </w:r>
      <w:r w:rsidR="004609ED" w:rsidRPr="00B123E4">
        <w:rPr>
          <w:rFonts w:asciiTheme="minorHAnsi" w:eastAsiaTheme="minorHAnsi" w:hAnsiTheme="minorHAnsi" w:cstheme="minorHAnsi"/>
          <w:bCs/>
        </w:rPr>
        <w:t xml:space="preserve">a nemělo </w:t>
      </w:r>
      <w:r w:rsidR="00433167" w:rsidRPr="00B123E4">
        <w:rPr>
          <w:rFonts w:asciiTheme="minorHAnsi" w:eastAsiaTheme="minorHAnsi" w:hAnsiTheme="minorHAnsi" w:cstheme="minorHAnsi"/>
          <w:bCs/>
        </w:rPr>
        <w:t xml:space="preserve">ani </w:t>
      </w:r>
      <w:r w:rsidR="002B2F9C" w:rsidRPr="00B123E4">
        <w:rPr>
          <w:rFonts w:asciiTheme="minorHAnsi" w:eastAsiaTheme="minorHAnsi" w:hAnsiTheme="minorHAnsi" w:cstheme="minorHAnsi"/>
          <w:bCs/>
        </w:rPr>
        <w:t>dostatek podkladů pro kvalif</w:t>
      </w:r>
      <w:r w:rsidR="005528A7" w:rsidRPr="00B123E4">
        <w:rPr>
          <w:rFonts w:asciiTheme="minorHAnsi" w:eastAsiaTheme="minorHAnsi" w:hAnsiTheme="minorHAnsi" w:cstheme="minorHAnsi"/>
          <w:bCs/>
        </w:rPr>
        <w:t>ikovaný výpočet nákladů stavby.</w:t>
      </w:r>
      <w:r w:rsidR="00441227" w:rsidRPr="00B123E4">
        <w:rPr>
          <w:rFonts w:asciiTheme="minorHAnsi" w:eastAsiaTheme="minorHAnsi" w:hAnsiTheme="minorHAnsi" w:cstheme="minorHAnsi"/>
          <w:bCs/>
        </w:rPr>
        <w:t xml:space="preserve"> </w:t>
      </w:r>
      <w:r w:rsidR="00827899" w:rsidRPr="00B123E4">
        <w:rPr>
          <w:rFonts w:asciiTheme="minorHAnsi" w:eastAsiaTheme="minorHAnsi" w:hAnsiTheme="minorHAnsi" w:cstheme="minorHAnsi"/>
          <w:b/>
          <w:bCs/>
        </w:rPr>
        <w:t xml:space="preserve">V důsledku takového postupu </w:t>
      </w:r>
      <w:r w:rsidR="00FF311A" w:rsidRPr="00B123E4">
        <w:rPr>
          <w:rFonts w:asciiTheme="minorHAnsi" w:eastAsiaTheme="minorHAnsi" w:hAnsiTheme="minorHAnsi" w:cstheme="minorHAnsi"/>
          <w:b/>
          <w:bCs/>
        </w:rPr>
        <w:t xml:space="preserve">u akce </w:t>
      </w:r>
      <w:r w:rsidR="00827899" w:rsidRPr="00B123E4">
        <w:rPr>
          <w:rFonts w:asciiTheme="minorHAnsi" w:eastAsiaTheme="minorHAnsi" w:hAnsiTheme="minorHAnsi" w:cstheme="minorHAnsi"/>
          <w:b/>
          <w:bCs/>
        </w:rPr>
        <w:t>nebyly naplněny základní principy programového financování.</w:t>
      </w:r>
    </w:p>
    <w:p w14:paraId="439B8A38" w14:textId="27B5B3AE" w:rsidR="007B41A0" w:rsidRDefault="007B41A0" w:rsidP="00B123E4">
      <w:pPr>
        <w:jc w:val="both"/>
        <w:rPr>
          <w:rFonts w:ascii="Calibri" w:hAnsi="Calibri" w:cs="Calibri"/>
          <w:b/>
        </w:rPr>
      </w:pPr>
    </w:p>
    <w:p w14:paraId="140A903F" w14:textId="73AF3AAA" w:rsidR="007B41A0" w:rsidRDefault="007B41A0" w:rsidP="007B41A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B. </w:t>
      </w:r>
      <w:r w:rsidRPr="00334304">
        <w:rPr>
          <w:rFonts w:ascii="Calibri" w:hAnsi="Calibri" w:cs="Calibri"/>
          <w:b/>
        </w:rPr>
        <w:t>Příjemci dotace</w:t>
      </w:r>
    </w:p>
    <w:p w14:paraId="6FD86082" w14:textId="69FF799C" w:rsidR="007B41A0" w:rsidRDefault="007B41A0" w:rsidP="007B41A0">
      <w:pPr>
        <w:rPr>
          <w:rFonts w:ascii="Calibri" w:hAnsi="Calibri" w:cs="Calibri"/>
          <w:b/>
        </w:rPr>
      </w:pPr>
    </w:p>
    <w:p w14:paraId="59291D08" w14:textId="0772C19F" w:rsidR="003672DE" w:rsidRPr="007109D7" w:rsidRDefault="00E21AD5" w:rsidP="007109D7">
      <w:pPr>
        <w:jc w:val="both"/>
        <w:rPr>
          <w:rFonts w:ascii="Calibri" w:hAnsi="Calibri" w:cs="Calibri"/>
        </w:rPr>
      </w:pPr>
      <w:r w:rsidRPr="007109D7">
        <w:rPr>
          <w:rFonts w:ascii="Calibri" w:hAnsi="Calibri" w:cs="Calibri"/>
          <w:b/>
        </w:rPr>
        <w:t>VUT porušilo podmínku</w:t>
      </w:r>
      <w:r w:rsidR="00926883" w:rsidRPr="007109D7">
        <w:rPr>
          <w:rFonts w:ascii="Calibri" w:hAnsi="Calibri" w:cs="Calibri"/>
          <w:b/>
        </w:rPr>
        <w:t xml:space="preserve"> MŠMT stanoven</w:t>
      </w:r>
      <w:r w:rsidRPr="007109D7">
        <w:rPr>
          <w:rFonts w:ascii="Calibri" w:hAnsi="Calibri" w:cs="Calibri"/>
          <w:b/>
        </w:rPr>
        <w:t>ou</w:t>
      </w:r>
      <w:r w:rsidR="00926883" w:rsidRPr="007109D7">
        <w:rPr>
          <w:rFonts w:ascii="Calibri" w:hAnsi="Calibri" w:cs="Calibri"/>
          <w:b/>
        </w:rPr>
        <w:t xml:space="preserve"> v </w:t>
      </w:r>
      <w:r w:rsidR="00B61426">
        <w:rPr>
          <w:rFonts w:ascii="Calibri" w:hAnsi="Calibri" w:cs="Calibri"/>
          <w:b/>
        </w:rPr>
        <w:t>r</w:t>
      </w:r>
      <w:r w:rsidR="00926883" w:rsidRPr="007109D7">
        <w:rPr>
          <w:rFonts w:ascii="Calibri" w:hAnsi="Calibri" w:cs="Calibri"/>
          <w:b/>
        </w:rPr>
        <w:t xml:space="preserve">ozhodnutí o poskytnutí dotace tím, že uhradilo zhotoviteli </w:t>
      </w:r>
      <w:r w:rsidR="009012A2" w:rsidRPr="007109D7">
        <w:rPr>
          <w:rFonts w:ascii="Calibri" w:hAnsi="Calibri" w:cs="Calibri"/>
          <w:b/>
        </w:rPr>
        <w:t xml:space="preserve">fakturovanou částku </w:t>
      </w:r>
      <w:r w:rsidR="009956C7" w:rsidRPr="007109D7">
        <w:rPr>
          <w:rFonts w:ascii="Calibri" w:hAnsi="Calibri" w:cs="Calibri"/>
          <w:b/>
        </w:rPr>
        <w:t>ve výši 25 445 870 Kč</w:t>
      </w:r>
      <w:r w:rsidRPr="007109D7">
        <w:rPr>
          <w:rFonts w:ascii="Calibri" w:hAnsi="Calibri" w:cs="Calibri"/>
          <w:b/>
        </w:rPr>
        <w:t xml:space="preserve">, přestože </w:t>
      </w:r>
      <w:r w:rsidR="009012A2" w:rsidRPr="007109D7">
        <w:rPr>
          <w:rFonts w:ascii="Calibri" w:hAnsi="Calibri" w:cs="Calibri"/>
          <w:b/>
        </w:rPr>
        <w:t>věcn</w:t>
      </w:r>
      <w:r w:rsidRPr="007109D7">
        <w:rPr>
          <w:rFonts w:ascii="Calibri" w:hAnsi="Calibri" w:cs="Calibri"/>
          <w:b/>
        </w:rPr>
        <w:t>é plnění nebylo realizováno v rozsahu deklarovaném fakturou</w:t>
      </w:r>
      <w:r w:rsidR="009956C7" w:rsidRPr="007109D7">
        <w:rPr>
          <w:rFonts w:ascii="Calibri" w:hAnsi="Calibri" w:cs="Calibri"/>
          <w:b/>
        </w:rPr>
        <w:t>. Tímto postupem VUT porušilo rozpočtovou kázeň</w:t>
      </w:r>
      <w:r w:rsidRPr="007109D7">
        <w:rPr>
          <w:rFonts w:ascii="Calibri" w:hAnsi="Calibri" w:cs="Calibri"/>
          <w:b/>
        </w:rPr>
        <w:t>.</w:t>
      </w:r>
    </w:p>
    <w:p w14:paraId="7D0E3265" w14:textId="2DE7AF58" w:rsidR="00EB5E97" w:rsidRDefault="00EB5E97" w:rsidP="002663D7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168D9CF1" w14:textId="2E32924E" w:rsidR="00BC1715" w:rsidRPr="00441227" w:rsidRDefault="00BF1A0D" w:rsidP="002F5677">
      <w:pPr>
        <w:pStyle w:val="Odstavecseseznamem"/>
        <w:spacing w:after="120"/>
        <w:ind w:left="0"/>
        <w:jc w:val="both"/>
        <w:rPr>
          <w:rFonts w:ascii="Calibri" w:hAnsi="Calibri" w:cs="Calibri"/>
          <w:b/>
        </w:rPr>
      </w:pPr>
      <w:r w:rsidRPr="00441227">
        <w:rPr>
          <w:rFonts w:ascii="Calibri" w:hAnsi="Calibri" w:cs="Calibri"/>
          <w:b/>
        </w:rPr>
        <w:t>NKÚ v souvislosti s provedenou kontrolou upozorňuje na následující rizika:</w:t>
      </w:r>
    </w:p>
    <w:p w14:paraId="650900E1" w14:textId="7C85F550" w:rsidR="00CC0C1A" w:rsidRDefault="005C5529" w:rsidP="00BA614B">
      <w:pPr>
        <w:pStyle w:val="Odstavecseseznamem"/>
        <w:numPr>
          <w:ilvl w:val="0"/>
          <w:numId w:val="42"/>
        </w:numPr>
        <w:spacing w:after="120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</w:t>
      </w:r>
      <w:r w:rsidR="00CC0C1A">
        <w:rPr>
          <w:rFonts w:ascii="Calibri" w:hAnsi="Calibri" w:cs="Calibri"/>
          <w:b/>
        </w:rPr>
        <w:t xml:space="preserve"> důsledku poměrně nízkého čerpání finančních prostředků určených na financování programu hrozí riziko výběru a realizace </w:t>
      </w:r>
      <w:r w:rsidR="00CF3F84">
        <w:rPr>
          <w:rFonts w:ascii="Calibri" w:hAnsi="Calibri" w:cs="Calibri"/>
          <w:b/>
        </w:rPr>
        <w:t>akcí</w:t>
      </w:r>
      <w:r w:rsidR="00CC0C1A">
        <w:rPr>
          <w:rFonts w:ascii="Calibri" w:hAnsi="Calibri" w:cs="Calibri"/>
          <w:b/>
        </w:rPr>
        <w:t>, které ne</w:t>
      </w:r>
      <w:r>
        <w:rPr>
          <w:rFonts w:ascii="Calibri" w:hAnsi="Calibri" w:cs="Calibri"/>
          <w:b/>
        </w:rPr>
        <w:t>budou na</w:t>
      </w:r>
      <w:r w:rsidR="00CC0C1A">
        <w:rPr>
          <w:rFonts w:ascii="Calibri" w:hAnsi="Calibri" w:cs="Calibri"/>
          <w:b/>
        </w:rPr>
        <w:t>plň</w:t>
      </w:r>
      <w:r>
        <w:rPr>
          <w:rFonts w:ascii="Calibri" w:hAnsi="Calibri" w:cs="Calibri"/>
          <w:b/>
        </w:rPr>
        <w:t>ovat</w:t>
      </w:r>
      <w:r w:rsidR="00CC0C1A">
        <w:rPr>
          <w:rFonts w:ascii="Calibri" w:hAnsi="Calibri" w:cs="Calibri"/>
          <w:b/>
        </w:rPr>
        <w:t xml:space="preserve"> požadavky na </w:t>
      </w:r>
      <w:r w:rsidR="00CF3F84">
        <w:rPr>
          <w:rFonts w:ascii="Calibri" w:hAnsi="Calibri" w:cs="Calibri"/>
          <w:b/>
        </w:rPr>
        <w:t xml:space="preserve">účelnost, hospodárnost </w:t>
      </w:r>
      <w:r w:rsidR="00CC0C1A">
        <w:rPr>
          <w:rFonts w:ascii="Calibri" w:hAnsi="Calibri" w:cs="Calibri"/>
          <w:b/>
        </w:rPr>
        <w:t>a efektivnost</w:t>
      </w:r>
      <w:r w:rsidR="00B61426">
        <w:rPr>
          <w:rFonts w:ascii="Calibri" w:hAnsi="Calibri" w:cs="Calibri"/>
          <w:b/>
        </w:rPr>
        <w:t>.</w:t>
      </w:r>
    </w:p>
    <w:p w14:paraId="687BFD25" w14:textId="508861CE" w:rsidR="001318D6" w:rsidRPr="00441227" w:rsidRDefault="0008513A" w:rsidP="00BA614B">
      <w:pPr>
        <w:pStyle w:val="Odstavecseseznamem"/>
        <w:numPr>
          <w:ilvl w:val="0"/>
          <w:numId w:val="42"/>
        </w:numPr>
        <w:spacing w:after="120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Správce p</w:t>
      </w:r>
      <w:r w:rsidR="001318D6" w:rsidRPr="00441227">
        <w:rPr>
          <w:rFonts w:ascii="Calibri" w:hAnsi="Calibri" w:cs="Calibri"/>
          <w:b/>
        </w:rPr>
        <w:t>rogram</w:t>
      </w:r>
      <w:r>
        <w:rPr>
          <w:rFonts w:ascii="Calibri" w:hAnsi="Calibri" w:cs="Calibri"/>
          <w:b/>
        </w:rPr>
        <w:t>u</w:t>
      </w:r>
      <w:r w:rsidR="001318D6" w:rsidRPr="00441227">
        <w:rPr>
          <w:rFonts w:ascii="Calibri" w:hAnsi="Calibri" w:cs="Calibri"/>
          <w:b/>
        </w:rPr>
        <w:t xml:space="preserve"> nebude </w:t>
      </w:r>
      <w:r>
        <w:rPr>
          <w:rFonts w:ascii="Calibri" w:hAnsi="Calibri" w:cs="Calibri"/>
          <w:b/>
        </w:rPr>
        <w:t>schopen program po jeho ukončení vy</w:t>
      </w:r>
      <w:r w:rsidR="001318D6" w:rsidRPr="00441227">
        <w:rPr>
          <w:rFonts w:ascii="Calibri" w:hAnsi="Calibri" w:cs="Calibri"/>
          <w:b/>
        </w:rPr>
        <w:t>ho</w:t>
      </w:r>
      <w:r w:rsidR="004609ED" w:rsidRPr="00441227">
        <w:rPr>
          <w:rFonts w:ascii="Calibri" w:hAnsi="Calibri" w:cs="Calibri"/>
          <w:b/>
        </w:rPr>
        <w:t>dnotit z hlediska efektivnosti</w:t>
      </w:r>
      <w:r w:rsidR="001318D6" w:rsidRPr="00441227">
        <w:rPr>
          <w:rFonts w:ascii="Calibri" w:hAnsi="Calibri" w:cs="Calibri"/>
          <w:b/>
        </w:rPr>
        <w:t xml:space="preserve"> vyn</w:t>
      </w:r>
      <w:r w:rsidR="004609ED" w:rsidRPr="00441227">
        <w:rPr>
          <w:rFonts w:ascii="Calibri" w:hAnsi="Calibri" w:cs="Calibri"/>
          <w:b/>
        </w:rPr>
        <w:t>aložených finančních prostředků</w:t>
      </w:r>
      <w:r w:rsidR="00B61426">
        <w:rPr>
          <w:rFonts w:ascii="Calibri" w:hAnsi="Calibri" w:cs="Calibri"/>
          <w:b/>
        </w:rPr>
        <w:t>.</w:t>
      </w:r>
    </w:p>
    <w:p w14:paraId="2BE41929" w14:textId="21DAD239" w:rsidR="005A72C0" w:rsidRPr="005C5529" w:rsidRDefault="00651236" w:rsidP="00BA614B">
      <w:pPr>
        <w:pStyle w:val="Odstavecseseznamem"/>
        <w:numPr>
          <w:ilvl w:val="0"/>
          <w:numId w:val="42"/>
        </w:numPr>
        <w:spacing w:after="120"/>
        <w:ind w:left="284" w:hanging="284"/>
        <w:jc w:val="both"/>
        <w:rPr>
          <w:rFonts w:ascii="Calibri" w:hAnsi="Calibri" w:cs="Calibri"/>
          <w:b/>
        </w:rPr>
      </w:pPr>
      <w:r w:rsidRPr="005C5529">
        <w:rPr>
          <w:rFonts w:ascii="Calibri" w:hAnsi="Calibri" w:cs="Calibri"/>
          <w:b/>
        </w:rPr>
        <w:t>N</w:t>
      </w:r>
      <w:r w:rsidR="00441227" w:rsidRPr="005C5529">
        <w:rPr>
          <w:rFonts w:ascii="Calibri" w:hAnsi="Calibri" w:cs="Calibri"/>
          <w:b/>
        </w:rPr>
        <w:t>edostatečná připravenost</w:t>
      </w:r>
      <w:r w:rsidRPr="005C5529">
        <w:rPr>
          <w:rFonts w:ascii="Calibri" w:hAnsi="Calibri" w:cs="Calibri"/>
          <w:b/>
        </w:rPr>
        <w:t xml:space="preserve"> jednotlivých</w:t>
      </w:r>
      <w:r w:rsidR="00441227" w:rsidRPr="005C5529">
        <w:rPr>
          <w:rFonts w:ascii="Calibri" w:hAnsi="Calibri" w:cs="Calibri"/>
          <w:b/>
        </w:rPr>
        <w:t xml:space="preserve"> akcí</w:t>
      </w:r>
      <w:r w:rsidRPr="005C5529">
        <w:rPr>
          <w:rFonts w:ascii="Calibri" w:hAnsi="Calibri" w:cs="Calibri"/>
          <w:b/>
        </w:rPr>
        <w:t xml:space="preserve"> </w:t>
      </w:r>
      <w:r w:rsidR="005C5529" w:rsidRPr="005C5529">
        <w:rPr>
          <w:rFonts w:ascii="Calibri" w:hAnsi="Calibri" w:cs="Calibri"/>
          <w:b/>
        </w:rPr>
        <w:t>povede</w:t>
      </w:r>
      <w:r w:rsidRPr="005C5529">
        <w:rPr>
          <w:rFonts w:ascii="Calibri" w:hAnsi="Calibri" w:cs="Calibri"/>
          <w:b/>
        </w:rPr>
        <w:t xml:space="preserve"> </w:t>
      </w:r>
      <w:r w:rsidR="00441227" w:rsidRPr="005C5529">
        <w:rPr>
          <w:rFonts w:ascii="Calibri" w:hAnsi="Calibri" w:cs="Calibri"/>
          <w:b/>
        </w:rPr>
        <w:t>k další</w:t>
      </w:r>
      <w:r w:rsidR="00EB5E97" w:rsidRPr="005C5529">
        <w:rPr>
          <w:rFonts w:ascii="Calibri" w:hAnsi="Calibri" w:cs="Calibri"/>
          <w:b/>
        </w:rPr>
        <w:t>mu</w:t>
      </w:r>
      <w:r w:rsidR="00441227" w:rsidRPr="005C5529">
        <w:rPr>
          <w:rFonts w:ascii="Calibri" w:hAnsi="Calibri" w:cs="Calibri"/>
          <w:b/>
        </w:rPr>
        <w:t xml:space="preserve"> prodlužování programu</w:t>
      </w:r>
      <w:r w:rsidR="00B61426">
        <w:rPr>
          <w:rFonts w:ascii="Calibri" w:hAnsi="Calibri" w:cs="Calibri"/>
          <w:b/>
        </w:rPr>
        <w:t>.</w:t>
      </w:r>
    </w:p>
    <w:p w14:paraId="087EB68A" w14:textId="13846EF0" w:rsidR="00EB5E97" w:rsidRPr="005C5529" w:rsidRDefault="00EB5E97" w:rsidP="00BA614B">
      <w:pPr>
        <w:pStyle w:val="Odstavecseseznamem"/>
        <w:numPr>
          <w:ilvl w:val="0"/>
          <w:numId w:val="42"/>
        </w:numPr>
        <w:spacing w:after="120"/>
        <w:ind w:left="284" w:hanging="284"/>
        <w:jc w:val="both"/>
        <w:rPr>
          <w:rFonts w:ascii="Calibri" w:hAnsi="Calibri" w:cs="Calibri"/>
          <w:b/>
        </w:rPr>
      </w:pPr>
      <w:r w:rsidRPr="005C5529">
        <w:rPr>
          <w:rFonts w:ascii="Calibri" w:hAnsi="Calibri" w:cs="Calibri"/>
          <w:b/>
        </w:rPr>
        <w:t xml:space="preserve">Hrozí </w:t>
      </w:r>
      <w:r w:rsidR="00F4733E" w:rsidRPr="005C5529">
        <w:rPr>
          <w:rFonts w:ascii="Calibri" w:hAnsi="Calibri" w:cs="Calibri"/>
          <w:b/>
        </w:rPr>
        <w:t xml:space="preserve">postupná </w:t>
      </w:r>
      <w:r w:rsidRPr="005C5529">
        <w:rPr>
          <w:rFonts w:ascii="Calibri" w:hAnsi="Calibri" w:cs="Calibri"/>
          <w:b/>
        </w:rPr>
        <w:t>ztráta integrity programu v</w:t>
      </w:r>
      <w:r w:rsidR="00F4733E" w:rsidRPr="005C5529">
        <w:rPr>
          <w:rFonts w:ascii="Calibri" w:hAnsi="Calibri" w:cs="Calibri"/>
          <w:b/>
        </w:rPr>
        <w:t> </w:t>
      </w:r>
      <w:r w:rsidRPr="005C5529">
        <w:rPr>
          <w:rFonts w:ascii="Calibri" w:hAnsi="Calibri" w:cs="Calibri"/>
          <w:b/>
        </w:rPr>
        <w:t>důsledku</w:t>
      </w:r>
      <w:r w:rsidR="00F4733E" w:rsidRPr="005C5529">
        <w:rPr>
          <w:rFonts w:ascii="Calibri" w:hAnsi="Calibri" w:cs="Calibri"/>
          <w:b/>
        </w:rPr>
        <w:t xml:space="preserve"> časového</w:t>
      </w:r>
      <w:r w:rsidRPr="005C5529">
        <w:rPr>
          <w:rFonts w:ascii="Calibri" w:hAnsi="Calibri" w:cs="Calibri"/>
          <w:b/>
        </w:rPr>
        <w:t xml:space="preserve"> </w:t>
      </w:r>
      <w:r w:rsidR="00F4733E" w:rsidRPr="005C5529">
        <w:rPr>
          <w:rFonts w:ascii="Calibri" w:hAnsi="Calibri" w:cs="Calibri"/>
          <w:b/>
        </w:rPr>
        <w:t xml:space="preserve">prodlužování programu. S tím </w:t>
      </w:r>
      <w:r w:rsidR="00C44967">
        <w:rPr>
          <w:rFonts w:ascii="Calibri" w:hAnsi="Calibri" w:cs="Calibri"/>
          <w:b/>
        </w:rPr>
        <w:t>souvisí</w:t>
      </w:r>
      <w:r w:rsidR="00F4733E" w:rsidRPr="005C5529">
        <w:rPr>
          <w:rFonts w:ascii="Calibri" w:hAnsi="Calibri" w:cs="Calibri"/>
          <w:b/>
        </w:rPr>
        <w:t xml:space="preserve"> přepracovávání DP,</w:t>
      </w:r>
      <w:r w:rsidRPr="005C5529">
        <w:rPr>
          <w:rFonts w:ascii="Calibri" w:hAnsi="Calibri" w:cs="Calibri"/>
          <w:b/>
        </w:rPr>
        <w:t xml:space="preserve"> </w:t>
      </w:r>
      <w:r w:rsidR="00F4733E" w:rsidRPr="005C5529">
        <w:rPr>
          <w:rFonts w:ascii="Calibri" w:hAnsi="Calibri" w:cs="Calibri"/>
          <w:b/>
        </w:rPr>
        <w:t xml:space="preserve">přesouvání akcí v rámci programu </w:t>
      </w:r>
      <w:r w:rsidR="00F4733E" w:rsidRPr="005C5529">
        <w:rPr>
          <w:rFonts w:ascii="Calibri" w:hAnsi="Calibri" w:cs="Calibri"/>
        </w:rPr>
        <w:t>často spojen</w:t>
      </w:r>
      <w:r w:rsidR="00A850FE">
        <w:rPr>
          <w:rFonts w:ascii="Calibri" w:hAnsi="Calibri" w:cs="Calibri"/>
        </w:rPr>
        <w:t>é</w:t>
      </w:r>
      <w:r w:rsidR="00F4733E" w:rsidRPr="005C5529">
        <w:rPr>
          <w:rFonts w:ascii="Calibri" w:hAnsi="Calibri" w:cs="Calibri"/>
        </w:rPr>
        <w:t xml:space="preserve"> se změnou vedení školy </w:t>
      </w:r>
      <w:r w:rsidR="005C5529" w:rsidRPr="005C5529">
        <w:rPr>
          <w:rFonts w:ascii="Calibri" w:hAnsi="Calibri" w:cs="Calibri"/>
        </w:rPr>
        <w:t>i</w:t>
      </w:r>
      <w:r w:rsidR="00F4733E" w:rsidRPr="005C5529">
        <w:rPr>
          <w:rFonts w:ascii="Calibri" w:hAnsi="Calibri" w:cs="Calibri"/>
        </w:rPr>
        <w:t xml:space="preserve"> </w:t>
      </w:r>
      <w:r w:rsidR="00F4733E" w:rsidRPr="005C5529">
        <w:rPr>
          <w:rFonts w:ascii="Calibri" w:hAnsi="Calibri" w:cs="Calibri"/>
          <w:b/>
        </w:rPr>
        <w:t>přesouvání</w:t>
      </w:r>
      <w:r w:rsidR="005C5529" w:rsidRPr="005C5529">
        <w:rPr>
          <w:rFonts w:ascii="Calibri" w:hAnsi="Calibri" w:cs="Calibri"/>
          <w:b/>
        </w:rPr>
        <w:t xml:space="preserve"> akcí mezi programem a operačními programy</w:t>
      </w:r>
      <w:r w:rsidRPr="005C5529">
        <w:rPr>
          <w:rFonts w:ascii="Calibri" w:hAnsi="Calibri" w:cs="Calibri"/>
          <w:b/>
        </w:rPr>
        <w:t>.</w:t>
      </w:r>
    </w:p>
    <w:p w14:paraId="35F2F84F" w14:textId="71CB15C5" w:rsidR="00DD6136" w:rsidRDefault="00DD6136" w:rsidP="008F4358">
      <w:pPr>
        <w:rPr>
          <w:rFonts w:ascii="Calibri" w:hAnsi="Calibri" w:cs="Calibri"/>
        </w:rPr>
      </w:pPr>
    </w:p>
    <w:p w14:paraId="170F250A" w14:textId="77777777" w:rsidR="008F4358" w:rsidRPr="008F4358" w:rsidRDefault="008F4358" w:rsidP="008F4358">
      <w:pPr>
        <w:rPr>
          <w:rFonts w:ascii="Calibri" w:hAnsi="Calibri" w:cs="Calibri"/>
        </w:rPr>
      </w:pPr>
    </w:p>
    <w:p w14:paraId="16CAF59A" w14:textId="2B109363" w:rsidR="00BC1715" w:rsidRPr="002C1215" w:rsidRDefault="00BC1715" w:rsidP="00BA614B">
      <w:pPr>
        <w:jc w:val="center"/>
        <w:rPr>
          <w:rFonts w:ascii="Calibri" w:hAnsi="Calibri" w:cstheme="minorHAnsi"/>
          <w:b/>
          <w:sz w:val="28"/>
        </w:rPr>
      </w:pPr>
      <w:r w:rsidRPr="002C1215">
        <w:rPr>
          <w:rFonts w:ascii="Calibri" w:hAnsi="Calibri" w:cstheme="minorHAnsi"/>
          <w:b/>
          <w:sz w:val="28"/>
        </w:rPr>
        <w:t>III. Podrobnosti ke zjištěným skutečnostem</w:t>
      </w:r>
    </w:p>
    <w:p w14:paraId="432DCA2F" w14:textId="752E87D4" w:rsidR="00334304" w:rsidRPr="008F4358" w:rsidRDefault="00334304" w:rsidP="002663D7">
      <w:pPr>
        <w:pStyle w:val="Odstavecseseznamem"/>
        <w:ind w:left="0"/>
        <w:jc w:val="both"/>
        <w:rPr>
          <w:rFonts w:ascii="Calibri" w:hAnsi="Calibri" w:cs="Calibri"/>
          <w:color w:val="000000" w:themeColor="text1"/>
        </w:rPr>
      </w:pPr>
    </w:p>
    <w:p w14:paraId="4DD12D33" w14:textId="2243F501" w:rsidR="00BC1715" w:rsidRDefault="00334304" w:rsidP="002663D7">
      <w:pPr>
        <w:pStyle w:val="Odstavecseseznamem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A. </w:t>
      </w:r>
      <w:r w:rsidRPr="00334304">
        <w:rPr>
          <w:rFonts w:ascii="Calibri" w:hAnsi="Calibri" w:cs="Calibri"/>
          <w:b/>
        </w:rPr>
        <w:t>Ministerstvo školství, mládeže a tělovýchovy</w:t>
      </w:r>
    </w:p>
    <w:p w14:paraId="241ADAEA" w14:textId="25A7935F" w:rsidR="00E724E0" w:rsidRDefault="00E724E0" w:rsidP="002663D7">
      <w:pPr>
        <w:pStyle w:val="Odstavecseseznamem"/>
        <w:ind w:left="0"/>
        <w:jc w:val="both"/>
        <w:rPr>
          <w:rFonts w:ascii="Calibri" w:hAnsi="Calibri" w:cs="Calibri"/>
        </w:rPr>
      </w:pPr>
    </w:p>
    <w:p w14:paraId="5631BE43" w14:textId="7C78B2DB" w:rsidR="00026751" w:rsidRPr="006C21AD" w:rsidRDefault="006C21AD" w:rsidP="006C21A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1. </w:t>
      </w:r>
      <w:r w:rsidR="00026751" w:rsidRPr="006C21AD">
        <w:rPr>
          <w:rFonts w:ascii="Calibri" w:hAnsi="Calibri" w:cs="Calibri"/>
          <w:b/>
        </w:rPr>
        <w:t>Nízké čerpání prostředků programu oproti plánu</w:t>
      </w:r>
    </w:p>
    <w:p w14:paraId="4D5D06CD" w14:textId="50367758" w:rsidR="00026751" w:rsidRDefault="00026751" w:rsidP="00026751">
      <w:pPr>
        <w:spacing w:before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VVŠ předložily MŠMT při tvorbě dokumentace programu požadavky, které převyšovaly disponibilní objem prostředků na program. Po dohodě s MŠMT stanovily VVŠ </w:t>
      </w:r>
      <w:r w:rsidR="002E086C">
        <w:rPr>
          <w:rFonts w:ascii="Calibri" w:hAnsi="Calibri" w:cs="Calibri"/>
        </w:rPr>
        <w:t>plánované</w:t>
      </w:r>
      <w:r>
        <w:rPr>
          <w:rFonts w:ascii="Calibri" w:hAnsi="Calibri" w:cs="Calibri"/>
        </w:rPr>
        <w:t xml:space="preserve"> akce k realizaci. </w:t>
      </w:r>
      <w:r w:rsidR="00027D1F">
        <w:rPr>
          <w:rFonts w:ascii="Calibri" w:hAnsi="Calibri" w:cs="Calibri"/>
        </w:rPr>
        <w:t>Realizovat akce a čerpat prostředky začaly V</w:t>
      </w:r>
      <w:r>
        <w:rPr>
          <w:rFonts w:ascii="Calibri" w:hAnsi="Calibri" w:cs="Calibri"/>
        </w:rPr>
        <w:t>VŠ později</w:t>
      </w:r>
      <w:r w:rsidR="00DB3032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85163C">
        <w:rPr>
          <w:rFonts w:ascii="Calibri" w:hAnsi="Calibri" w:cs="Calibri"/>
        </w:rPr>
        <w:t xml:space="preserve">než plánovaly </w:t>
      </w:r>
      <w:r w:rsidRPr="00EB5E97">
        <w:rPr>
          <w:rFonts w:ascii="Calibri" w:hAnsi="Calibri" w:cs="Calibri"/>
        </w:rPr>
        <w:t>(</w:t>
      </w:r>
      <w:r w:rsidR="00DB3032">
        <w:rPr>
          <w:rFonts w:ascii="Calibri" w:hAnsi="Calibri" w:cs="Calibri"/>
        </w:rPr>
        <w:t xml:space="preserve">viz </w:t>
      </w:r>
      <w:r w:rsidRPr="00EB5E97">
        <w:rPr>
          <w:rFonts w:ascii="Calibri" w:hAnsi="Calibri" w:cs="Calibri"/>
        </w:rPr>
        <w:t>příloha č.</w:t>
      </w:r>
      <w:r w:rsidR="00C44967">
        <w:rPr>
          <w:rFonts w:ascii="Calibri" w:hAnsi="Calibri" w:cs="Calibri"/>
        </w:rPr>
        <w:t> </w:t>
      </w:r>
      <w:r w:rsidRPr="00EB5E97">
        <w:rPr>
          <w:rFonts w:ascii="Calibri" w:hAnsi="Calibri" w:cs="Calibri"/>
        </w:rPr>
        <w:t xml:space="preserve">2), </w:t>
      </w:r>
      <w:r w:rsidR="00027D1F">
        <w:rPr>
          <w:rFonts w:ascii="Calibri" w:hAnsi="Calibri" w:cs="Calibri"/>
        </w:rPr>
        <w:t xml:space="preserve">dokonce </w:t>
      </w:r>
      <w:r w:rsidRPr="00EB5E97">
        <w:rPr>
          <w:rFonts w:ascii="Calibri" w:hAnsi="Calibri" w:cs="Calibri"/>
        </w:rPr>
        <w:t>šest</w:t>
      </w:r>
      <w:r>
        <w:rPr>
          <w:rFonts w:ascii="Calibri" w:hAnsi="Calibri" w:cs="Calibri"/>
        </w:rPr>
        <w:t xml:space="preserve"> VVŠ až od roku 2014. V období 2011</w:t>
      </w:r>
      <w:r w:rsidR="00F37E9C">
        <w:rPr>
          <w:rFonts w:ascii="Calibri" w:hAnsi="Calibri" w:cs="Calibri"/>
        </w:rPr>
        <w:t>–</w:t>
      </w:r>
      <w:r>
        <w:rPr>
          <w:rFonts w:ascii="Calibri" w:hAnsi="Calibri" w:cs="Calibri"/>
        </w:rPr>
        <w:t>2013</w:t>
      </w:r>
      <w:r w:rsidR="00027D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bylo celkové financování programu velmi nízké. Postupně se dařilo </w:t>
      </w:r>
      <w:r w:rsidRPr="006A0D73">
        <w:rPr>
          <w:rFonts w:ascii="Calibri" w:hAnsi="Calibri" w:cs="Calibri"/>
        </w:rPr>
        <w:t>zvyšovat procento čerpání sc</w:t>
      </w:r>
      <w:r>
        <w:rPr>
          <w:rFonts w:ascii="Calibri" w:hAnsi="Calibri" w:cs="Calibri"/>
        </w:rPr>
        <w:t>hváleného rozpočtu programu z 13 </w:t>
      </w:r>
      <w:r w:rsidRPr="006A0D73">
        <w:rPr>
          <w:rFonts w:ascii="Calibri" w:hAnsi="Calibri" w:cs="Calibri"/>
        </w:rPr>
        <w:t xml:space="preserve">% v roce 2011 až na 126 % v roce </w:t>
      </w:r>
      <w:r w:rsidRPr="00EB5E97">
        <w:rPr>
          <w:rFonts w:ascii="Calibri" w:hAnsi="Calibri" w:cs="Calibri"/>
        </w:rPr>
        <w:t>2016 (</w:t>
      </w:r>
      <w:r w:rsidR="00C44967">
        <w:rPr>
          <w:rFonts w:ascii="Calibri" w:hAnsi="Calibri" w:cs="Calibri"/>
        </w:rPr>
        <w:t xml:space="preserve">viz </w:t>
      </w:r>
      <w:r w:rsidRPr="00EB5E97">
        <w:rPr>
          <w:rFonts w:ascii="Calibri" w:hAnsi="Calibri" w:cs="Calibri"/>
        </w:rPr>
        <w:t xml:space="preserve">tabulka č. </w:t>
      </w:r>
      <w:r w:rsidR="00193391" w:rsidRPr="00EB5E97">
        <w:rPr>
          <w:rFonts w:ascii="Calibri" w:hAnsi="Calibri" w:cs="Calibri"/>
        </w:rPr>
        <w:t>3</w:t>
      </w:r>
      <w:r w:rsidRPr="00EB5E97">
        <w:rPr>
          <w:rFonts w:ascii="Calibri" w:hAnsi="Calibri" w:cs="Calibri"/>
        </w:rPr>
        <w:t>).</w:t>
      </w:r>
      <w:r w:rsidRPr="006A0D73">
        <w:rPr>
          <w:rFonts w:ascii="Calibri" w:hAnsi="Calibri" w:cs="Calibri"/>
        </w:rPr>
        <w:t xml:space="preserve"> </w:t>
      </w:r>
    </w:p>
    <w:p w14:paraId="04DAC6FC" w14:textId="269FC115" w:rsidR="00026751" w:rsidRPr="00C37C6A" w:rsidRDefault="00026751" w:rsidP="00C37C6A">
      <w:pPr>
        <w:tabs>
          <w:tab w:val="right" w:pos="9071"/>
        </w:tabs>
        <w:spacing w:before="120"/>
        <w:jc w:val="both"/>
        <w:rPr>
          <w:rFonts w:asciiTheme="minorHAnsi" w:hAnsiTheme="minorHAnsi" w:cstheme="minorHAnsi"/>
          <w:b/>
          <w:bCs/>
        </w:rPr>
      </w:pPr>
      <w:r w:rsidRPr="002C1215">
        <w:rPr>
          <w:rFonts w:asciiTheme="minorHAnsi" w:hAnsiTheme="minorHAnsi" w:cstheme="minorHAnsi"/>
          <w:b/>
          <w:bCs/>
        </w:rPr>
        <w:t xml:space="preserve">Tabulka č. </w:t>
      </w:r>
      <w:r w:rsidR="00193391" w:rsidRPr="002C1215">
        <w:rPr>
          <w:rFonts w:asciiTheme="minorHAnsi" w:hAnsiTheme="minorHAnsi" w:cstheme="minorHAnsi"/>
          <w:b/>
          <w:bCs/>
        </w:rPr>
        <w:t>3</w:t>
      </w:r>
      <w:r w:rsidR="00F37E9C" w:rsidRPr="002C1215">
        <w:rPr>
          <w:rFonts w:asciiTheme="minorHAnsi" w:hAnsiTheme="minorHAnsi" w:cstheme="minorHAnsi"/>
          <w:b/>
          <w:bCs/>
        </w:rPr>
        <w:t xml:space="preserve"> –</w:t>
      </w:r>
      <w:r w:rsidRPr="002C1215">
        <w:rPr>
          <w:rFonts w:asciiTheme="minorHAnsi" w:hAnsiTheme="minorHAnsi" w:cstheme="minorHAnsi"/>
          <w:b/>
          <w:bCs/>
        </w:rPr>
        <w:t xml:space="preserve"> Plánované a čerpané výdaje SR na program</w:t>
      </w:r>
      <w:r w:rsidR="00C37C6A">
        <w:rPr>
          <w:rFonts w:asciiTheme="minorHAnsi" w:hAnsiTheme="minorHAnsi" w:cstheme="minorHAnsi"/>
          <w:b/>
          <w:bCs/>
        </w:rPr>
        <w:t xml:space="preserve"> </w:t>
      </w:r>
      <w:r w:rsidR="00F37E9C" w:rsidRPr="002C1215">
        <w:rPr>
          <w:rFonts w:asciiTheme="minorHAnsi" w:hAnsiTheme="minorHAnsi" w:cstheme="minorHAnsi"/>
          <w:b/>
          <w:bCs/>
        </w:rPr>
        <w:t>v období 2011–</w:t>
      </w:r>
      <w:r w:rsidR="002E086C" w:rsidRPr="002C1215">
        <w:rPr>
          <w:rFonts w:asciiTheme="minorHAnsi" w:hAnsiTheme="minorHAnsi" w:cstheme="minorHAnsi"/>
          <w:b/>
          <w:bCs/>
        </w:rPr>
        <w:t>2016</w:t>
      </w:r>
      <w:r w:rsidRPr="00C37C6A">
        <w:rPr>
          <w:rFonts w:asciiTheme="minorHAnsi" w:hAnsiTheme="minorHAnsi" w:cstheme="minorHAnsi"/>
          <w:b/>
          <w:bCs/>
        </w:rPr>
        <w:tab/>
      </w:r>
      <w:r w:rsidRPr="002C1215">
        <w:rPr>
          <w:rFonts w:asciiTheme="minorHAnsi" w:hAnsiTheme="minorHAnsi" w:cstheme="minorHAnsi"/>
          <w:b/>
          <w:bCs/>
          <w:color w:val="000000" w:themeColor="text1"/>
        </w:rPr>
        <w:t>(v mil. Kč)</w:t>
      </w:r>
    </w:p>
    <w:tbl>
      <w:tblPr>
        <w:tblW w:w="9072" w:type="dxa"/>
        <w:tblInd w:w="7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897"/>
        <w:gridCol w:w="898"/>
        <w:gridCol w:w="898"/>
        <w:gridCol w:w="897"/>
        <w:gridCol w:w="898"/>
        <w:gridCol w:w="898"/>
        <w:gridCol w:w="992"/>
      </w:tblGrid>
      <w:tr w:rsidR="00026751" w14:paraId="35F7D20D" w14:textId="77777777" w:rsidTr="002F5677">
        <w:trPr>
          <w:trHeight w:val="283"/>
        </w:trPr>
        <w:tc>
          <w:tcPr>
            <w:tcW w:w="2694" w:type="dxa"/>
            <w:shd w:val="clear" w:color="auto" w:fill="DBE5F1" w:themeFill="accent1" w:themeFillTint="33"/>
            <w:noWrap/>
            <w:vAlign w:val="center"/>
            <w:hideMark/>
          </w:tcPr>
          <w:p w14:paraId="58106339" w14:textId="77777777" w:rsidR="00026751" w:rsidRPr="00A9204F" w:rsidRDefault="00026751" w:rsidP="005528A7">
            <w:pPr>
              <w:rPr>
                <w:rFonts w:asciiTheme="minorHAnsi" w:hAnsiTheme="minorHAnsi" w:cstheme="minorHAnsi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DBE5F1" w:themeFill="accent1" w:themeFillTint="33"/>
            <w:noWrap/>
            <w:vAlign w:val="center"/>
          </w:tcPr>
          <w:p w14:paraId="07BB6BF6" w14:textId="77777777" w:rsidR="00026751" w:rsidRPr="00A9204F" w:rsidRDefault="00026751" w:rsidP="005528A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3C295F36" w14:textId="77777777" w:rsidR="00026751" w:rsidRPr="00A9204F" w:rsidRDefault="00026751" w:rsidP="005528A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1A365FDB" w14:textId="77777777" w:rsidR="00026751" w:rsidRPr="00A9204F" w:rsidRDefault="00026751" w:rsidP="005528A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97" w:type="dxa"/>
            <w:shd w:val="clear" w:color="auto" w:fill="DBE5F1" w:themeFill="accent1" w:themeFillTint="33"/>
            <w:vAlign w:val="center"/>
          </w:tcPr>
          <w:p w14:paraId="330801BE" w14:textId="77777777" w:rsidR="00026751" w:rsidRPr="00A9204F" w:rsidRDefault="00026751" w:rsidP="005528A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98" w:type="dxa"/>
            <w:shd w:val="clear" w:color="auto" w:fill="DBE5F1" w:themeFill="accent1" w:themeFillTint="33"/>
            <w:vAlign w:val="center"/>
          </w:tcPr>
          <w:p w14:paraId="55379DCE" w14:textId="77777777" w:rsidR="00026751" w:rsidRPr="00A9204F" w:rsidRDefault="00026751" w:rsidP="005528A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98" w:type="dxa"/>
            <w:shd w:val="clear" w:color="auto" w:fill="DBE5F1" w:themeFill="accent1" w:themeFillTint="33"/>
            <w:vAlign w:val="center"/>
          </w:tcPr>
          <w:p w14:paraId="51ADC220" w14:textId="77777777" w:rsidR="00026751" w:rsidRPr="00A9204F" w:rsidRDefault="00026751" w:rsidP="005528A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11FD1ABF" w14:textId="77777777" w:rsidR="00026751" w:rsidRPr="00A9204F" w:rsidRDefault="00026751" w:rsidP="005528A7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2011-2016</w:t>
            </w:r>
          </w:p>
        </w:tc>
      </w:tr>
      <w:tr w:rsidR="00026751" w14:paraId="176D006A" w14:textId="77777777" w:rsidTr="002F5677">
        <w:trPr>
          <w:trHeight w:val="22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F420D31" w14:textId="1A088A6F" w:rsidR="00026751" w:rsidRPr="00A9204F" w:rsidRDefault="00026751" w:rsidP="00C0427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Plánovaný rozpočet </w:t>
            </w:r>
            <w:r w:rsidR="00C042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DP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08/2011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24011427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211,3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586EDFAD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1 764,4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3087E2F0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2 882,0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6819EB06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3 004,0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455A3D37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3 004,0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31EB405F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3 004,0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9114ABD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13 869,7</w:t>
            </w:r>
          </w:p>
        </w:tc>
      </w:tr>
      <w:tr w:rsidR="00026751" w14:paraId="09103FCD" w14:textId="77777777" w:rsidTr="002F5677">
        <w:trPr>
          <w:trHeight w:val="227"/>
        </w:trPr>
        <w:tc>
          <w:tcPr>
            <w:tcW w:w="2694" w:type="dxa"/>
            <w:shd w:val="clear" w:color="auto" w:fill="auto"/>
            <w:noWrap/>
            <w:vAlign w:val="center"/>
          </w:tcPr>
          <w:p w14:paraId="4BB5AE7C" w14:textId="081D6DDA" w:rsidR="00026751" w:rsidRPr="00A9204F" w:rsidRDefault="00026751" w:rsidP="00C0427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Plánovaný rozpočet </w:t>
            </w:r>
            <w:r w:rsidR="00C0427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DP 06/2015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13F3ABEF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06179DFC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53147BD3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583,9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53DF3F18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996,9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368455B5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4 095,7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0DD8E05E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2 263,5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2420EE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</w:t>
            </w: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282</w:t>
            </w: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</w:tr>
      <w:tr w:rsidR="00026751" w14:paraId="0A0338F5" w14:textId="77777777" w:rsidTr="002F5677">
        <w:trPr>
          <w:trHeight w:val="22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F6C602E" w14:textId="77777777" w:rsidR="00026751" w:rsidRPr="00A9204F" w:rsidRDefault="00026751" w:rsidP="005528A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Schválený rozpočet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0BB2B435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211,3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61B81385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1 282,0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6DD1ACFB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1 975,0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1FE606F5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1 863,5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56A59C86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2 263,5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2A72B160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1 576,0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0D0B6A8C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9 171,3</w:t>
            </w:r>
          </w:p>
        </w:tc>
      </w:tr>
      <w:tr w:rsidR="00026751" w14:paraId="0C4ED958" w14:textId="77777777" w:rsidTr="002F5677">
        <w:trPr>
          <w:trHeight w:val="22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8ACB60B" w14:textId="77777777" w:rsidR="00026751" w:rsidRPr="00A9204F" w:rsidRDefault="00026751" w:rsidP="005528A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Upravený rozpočet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54D08FD3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602A6499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994,9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55621E58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1 793,1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3032EADD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1 311,1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2C68F268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2 168,3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51285C9E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1 866,0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1475F543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8 215,7</w:t>
            </w:r>
          </w:p>
        </w:tc>
      </w:tr>
      <w:tr w:rsidR="00026751" w14:paraId="4ECFC2E9" w14:textId="77777777" w:rsidTr="002F5677">
        <w:trPr>
          <w:trHeight w:val="227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47F4BBD1" w14:textId="77777777" w:rsidR="00026751" w:rsidRPr="00A9204F" w:rsidRDefault="00026751" w:rsidP="005528A7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Skutečně čerpané prostředky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12D61945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3A942576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314,4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606DFEF3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583,9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76DA9D5F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996,9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3BD43156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1 833,2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56757267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1 981,5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72B2C22A" w14:textId="77777777" w:rsidR="00026751" w:rsidRPr="00A9204F" w:rsidRDefault="00026751" w:rsidP="005528A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5 737,7</w:t>
            </w:r>
          </w:p>
        </w:tc>
      </w:tr>
      <w:tr w:rsidR="00026751" w14:paraId="205C0F99" w14:textId="77777777" w:rsidTr="00C04275">
        <w:trPr>
          <w:trHeight w:val="190"/>
        </w:trPr>
        <w:tc>
          <w:tcPr>
            <w:tcW w:w="2694" w:type="dxa"/>
            <w:shd w:val="clear" w:color="auto" w:fill="auto"/>
            <w:noWrap/>
            <w:vAlign w:val="bottom"/>
          </w:tcPr>
          <w:p w14:paraId="13755604" w14:textId="5772EAB0" w:rsidR="00026751" w:rsidRPr="00A9204F" w:rsidRDefault="00026751" w:rsidP="00C0427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Skutečně čerpané prostředky/ </w:t>
            </w:r>
            <w:r w:rsidR="00C04275">
              <w:rPr>
                <w:rFonts w:asciiTheme="minorHAnsi" w:hAnsiTheme="minorHAnsi" w:cs="Calibri"/>
                <w:color w:val="000000"/>
                <w:sz w:val="18"/>
                <w:szCs w:val="18"/>
              </w:rPr>
              <w:t>s</w:t>
            </w:r>
            <w:r w:rsidRPr="00A9204F">
              <w:rPr>
                <w:rFonts w:asciiTheme="minorHAnsi" w:hAnsiTheme="minorHAnsi" w:cs="Calibri"/>
                <w:color w:val="000000"/>
                <w:sz w:val="18"/>
                <w:szCs w:val="18"/>
              </w:rPr>
              <w:t>chválený rozpočet</w:t>
            </w:r>
            <w:r w:rsidR="00C0427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(v %)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1771841D" w14:textId="77777777" w:rsidR="00026751" w:rsidRPr="00A9204F" w:rsidRDefault="00026751" w:rsidP="00C042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13 %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78E609E6" w14:textId="77777777" w:rsidR="00026751" w:rsidRPr="00A9204F" w:rsidRDefault="00026751" w:rsidP="00C042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25 %</w:t>
            </w:r>
          </w:p>
        </w:tc>
        <w:tc>
          <w:tcPr>
            <w:tcW w:w="898" w:type="dxa"/>
            <w:shd w:val="clear" w:color="000000" w:fill="FFFFFF"/>
            <w:noWrap/>
            <w:vAlign w:val="center"/>
          </w:tcPr>
          <w:p w14:paraId="2C16B3B1" w14:textId="77777777" w:rsidR="00026751" w:rsidRPr="00A9204F" w:rsidRDefault="00026751" w:rsidP="00C042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30 %</w:t>
            </w:r>
          </w:p>
        </w:tc>
        <w:tc>
          <w:tcPr>
            <w:tcW w:w="897" w:type="dxa"/>
            <w:shd w:val="clear" w:color="000000" w:fill="FFFFFF"/>
            <w:noWrap/>
            <w:vAlign w:val="center"/>
          </w:tcPr>
          <w:p w14:paraId="7DF85FF1" w14:textId="77777777" w:rsidR="00026751" w:rsidRPr="00A9204F" w:rsidRDefault="00026751" w:rsidP="00C042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53 %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3C85AE2A" w14:textId="77777777" w:rsidR="00026751" w:rsidRPr="00A9204F" w:rsidRDefault="00026751" w:rsidP="00C042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81 %</w:t>
            </w:r>
          </w:p>
        </w:tc>
        <w:tc>
          <w:tcPr>
            <w:tcW w:w="898" w:type="dxa"/>
            <w:shd w:val="clear" w:color="000000" w:fill="FFFFFF"/>
            <w:vAlign w:val="center"/>
          </w:tcPr>
          <w:p w14:paraId="6F7766C8" w14:textId="77777777" w:rsidR="00026751" w:rsidRPr="00A9204F" w:rsidRDefault="00026751" w:rsidP="00C042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126 %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2AF0B94" w14:textId="77777777" w:rsidR="00026751" w:rsidRPr="00A9204F" w:rsidRDefault="00026751" w:rsidP="00C0427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63 %</w:t>
            </w:r>
          </w:p>
        </w:tc>
      </w:tr>
      <w:tr w:rsidR="00026751" w14:paraId="1EA90CF6" w14:textId="77777777" w:rsidTr="00A850FE">
        <w:trPr>
          <w:trHeight w:val="190"/>
        </w:trPr>
        <w:tc>
          <w:tcPr>
            <w:tcW w:w="8080" w:type="dxa"/>
            <w:gridSpan w:val="7"/>
            <w:shd w:val="clear" w:color="auto" w:fill="auto"/>
            <w:noWrap/>
            <w:vAlign w:val="center"/>
          </w:tcPr>
          <w:p w14:paraId="06CF2A77" w14:textId="02058AE0" w:rsidR="00026751" w:rsidRPr="00A9204F" w:rsidRDefault="00026751" w:rsidP="00C0427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="Calibri"/>
                <w:color w:val="000000"/>
                <w:sz w:val="18"/>
                <w:szCs w:val="18"/>
              </w:rPr>
              <w:t>Skutečně čerpané prostředky/</w:t>
            </w:r>
            <w:r w:rsidR="00C04275">
              <w:rPr>
                <w:rFonts w:asciiTheme="minorHAnsi" w:hAnsiTheme="minorHAnsi" w:cs="Calibri"/>
                <w:color w:val="000000"/>
                <w:sz w:val="18"/>
                <w:szCs w:val="18"/>
              </w:rPr>
              <w:t>p</w:t>
            </w:r>
            <w:r w:rsidRPr="00A9204F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lánovaný rozpočet dle původní 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>DP 08/2011</w:t>
            </w:r>
            <w:r w:rsidR="00C0427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(v  %)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549CCE74" w14:textId="77777777" w:rsidR="00026751" w:rsidRPr="00A9204F" w:rsidRDefault="00026751" w:rsidP="00A850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41 %</w:t>
            </w:r>
          </w:p>
        </w:tc>
      </w:tr>
      <w:tr w:rsidR="00026751" w14:paraId="3E6EAFEB" w14:textId="77777777" w:rsidTr="00A850FE">
        <w:trPr>
          <w:trHeight w:val="190"/>
        </w:trPr>
        <w:tc>
          <w:tcPr>
            <w:tcW w:w="8080" w:type="dxa"/>
            <w:gridSpan w:val="7"/>
            <w:shd w:val="clear" w:color="auto" w:fill="auto"/>
            <w:noWrap/>
            <w:vAlign w:val="center"/>
          </w:tcPr>
          <w:p w14:paraId="56630485" w14:textId="2A7D4A78" w:rsidR="00026751" w:rsidRPr="00A9204F" w:rsidRDefault="00026751" w:rsidP="00C04275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="Calibri"/>
                <w:color w:val="000000"/>
                <w:sz w:val="18"/>
                <w:szCs w:val="18"/>
              </w:rPr>
              <w:t>Skutečně čerpané prostředky/</w:t>
            </w:r>
            <w:r w:rsidR="00C04275">
              <w:rPr>
                <w:rFonts w:asciiTheme="minorHAnsi" w:hAnsiTheme="minorHAnsi" w:cs="Calibri"/>
                <w:color w:val="000000"/>
                <w:sz w:val="18"/>
                <w:szCs w:val="18"/>
              </w:rPr>
              <w:t>p</w:t>
            </w:r>
            <w:r w:rsidRPr="00A9204F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lánovaný rozpočet dle aktualizované </w:t>
            </w:r>
            <w:r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DP 06/2015 </w:t>
            </w:r>
            <w:r w:rsidR="0061580A">
              <w:rPr>
                <w:rFonts w:asciiTheme="minorHAnsi" w:hAnsiTheme="minorHAnsi" w:cs="Calibri"/>
                <w:color w:val="000000"/>
                <w:sz w:val="18"/>
                <w:szCs w:val="18"/>
              </w:rPr>
              <w:t>za období 2011</w:t>
            </w:r>
            <w:r w:rsidR="00C04275">
              <w:rPr>
                <w:rFonts w:asciiTheme="minorHAnsi" w:hAnsiTheme="minorHAnsi" w:cs="Calibri"/>
                <w:color w:val="000000"/>
                <w:sz w:val="18"/>
                <w:szCs w:val="18"/>
              </w:rPr>
              <w:t>–</w:t>
            </w:r>
            <w:r w:rsidR="0061580A">
              <w:rPr>
                <w:rFonts w:asciiTheme="minorHAnsi" w:hAnsiTheme="minorHAnsi" w:cs="Calibri"/>
                <w:color w:val="000000"/>
                <w:sz w:val="18"/>
                <w:szCs w:val="18"/>
              </w:rPr>
              <w:t>2016</w:t>
            </w:r>
            <w:r w:rsidR="00C0427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(v %)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14:paraId="2FB14346" w14:textId="77777777" w:rsidR="00026751" w:rsidRPr="00A9204F" w:rsidRDefault="00026751" w:rsidP="00A850FE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9204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69 %</w:t>
            </w:r>
          </w:p>
        </w:tc>
      </w:tr>
    </w:tbl>
    <w:p w14:paraId="375F9BE5" w14:textId="731D084A" w:rsidR="00026751" w:rsidRPr="00C37C6A" w:rsidRDefault="00026751" w:rsidP="00C37C6A">
      <w:pPr>
        <w:spacing w:before="40"/>
        <w:jc w:val="both"/>
        <w:rPr>
          <w:rFonts w:asciiTheme="minorHAnsi" w:hAnsiTheme="minorHAnsi" w:cstheme="minorHAnsi"/>
          <w:sz w:val="20"/>
          <w:szCs w:val="18"/>
        </w:rPr>
      </w:pPr>
      <w:r w:rsidRPr="00C37C6A">
        <w:rPr>
          <w:rFonts w:asciiTheme="minorHAnsi" w:hAnsiTheme="minorHAnsi" w:cstheme="minorHAnsi"/>
          <w:b/>
          <w:sz w:val="20"/>
          <w:szCs w:val="18"/>
        </w:rPr>
        <w:t>Zdroj:</w:t>
      </w:r>
      <w:r w:rsidRPr="00C37C6A">
        <w:rPr>
          <w:rFonts w:asciiTheme="minorHAnsi" w:hAnsiTheme="minorHAnsi" w:cstheme="minorHAnsi"/>
          <w:sz w:val="20"/>
          <w:szCs w:val="18"/>
        </w:rPr>
        <w:t xml:space="preserve"> </w:t>
      </w:r>
      <w:r w:rsidR="00C04275">
        <w:rPr>
          <w:rFonts w:asciiTheme="minorHAnsi" w:hAnsiTheme="minorHAnsi" w:cstheme="minorHAnsi"/>
          <w:sz w:val="20"/>
          <w:szCs w:val="18"/>
        </w:rPr>
        <w:t>d</w:t>
      </w:r>
      <w:r w:rsidRPr="00C37C6A">
        <w:rPr>
          <w:rFonts w:asciiTheme="minorHAnsi" w:hAnsiTheme="minorHAnsi" w:cstheme="minorHAnsi"/>
          <w:sz w:val="20"/>
          <w:szCs w:val="18"/>
        </w:rPr>
        <w:t>okumentace programu a její aktualizace, státní závěrečn</w:t>
      </w:r>
      <w:r w:rsidR="00C44967">
        <w:rPr>
          <w:rFonts w:asciiTheme="minorHAnsi" w:hAnsiTheme="minorHAnsi" w:cstheme="minorHAnsi"/>
          <w:sz w:val="20"/>
          <w:szCs w:val="18"/>
        </w:rPr>
        <w:t>é</w:t>
      </w:r>
      <w:r w:rsidRPr="00C37C6A">
        <w:rPr>
          <w:rFonts w:asciiTheme="minorHAnsi" w:hAnsiTheme="minorHAnsi" w:cstheme="minorHAnsi"/>
          <w:sz w:val="20"/>
          <w:szCs w:val="18"/>
        </w:rPr>
        <w:t xml:space="preserve"> účt</w:t>
      </w:r>
      <w:r w:rsidR="00C44967">
        <w:rPr>
          <w:rFonts w:asciiTheme="minorHAnsi" w:hAnsiTheme="minorHAnsi" w:cstheme="minorHAnsi"/>
          <w:sz w:val="20"/>
          <w:szCs w:val="18"/>
        </w:rPr>
        <w:t>y</w:t>
      </w:r>
      <w:r w:rsidRPr="00C37C6A">
        <w:rPr>
          <w:rFonts w:asciiTheme="minorHAnsi" w:hAnsiTheme="minorHAnsi" w:cstheme="minorHAnsi"/>
          <w:sz w:val="20"/>
          <w:szCs w:val="18"/>
        </w:rPr>
        <w:t xml:space="preserve"> za roky 2011 až 2016</w:t>
      </w:r>
      <w:r w:rsidR="00F37E9C" w:rsidRPr="00C37C6A">
        <w:rPr>
          <w:rFonts w:asciiTheme="minorHAnsi" w:hAnsiTheme="minorHAnsi" w:cstheme="minorHAnsi"/>
          <w:sz w:val="20"/>
          <w:szCs w:val="18"/>
        </w:rPr>
        <w:t>.</w:t>
      </w:r>
    </w:p>
    <w:p w14:paraId="69EC6BA4" w14:textId="48E7B652" w:rsidR="00026751" w:rsidRPr="005D4280" w:rsidRDefault="00026751" w:rsidP="00026751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Zpoždění realizace vykazovaly zejména akce většího rozsahu (individuálně</w:t>
      </w:r>
      <w:r w:rsidR="008E05A5">
        <w:rPr>
          <w:rStyle w:val="Znakapoznpodarou"/>
          <w:rFonts w:ascii="Calibri" w:hAnsi="Calibri" w:cs="Calibri"/>
        </w:rPr>
        <w:footnoteReference w:id="12"/>
      </w:r>
      <w:r>
        <w:rPr>
          <w:rFonts w:ascii="Calibri" w:hAnsi="Calibri" w:cs="Calibri"/>
        </w:rPr>
        <w:t xml:space="preserve"> financované </w:t>
      </w:r>
      <w:r w:rsidRPr="00095C15">
        <w:rPr>
          <w:rFonts w:ascii="Calibri" w:hAnsi="Calibri" w:cs="Calibri"/>
        </w:rPr>
        <w:t xml:space="preserve">akce </w:t>
      </w:r>
      <w:r>
        <w:rPr>
          <w:rFonts w:ascii="Calibri" w:hAnsi="Calibri" w:cs="Calibri"/>
        </w:rPr>
        <w:t xml:space="preserve">v objemu </w:t>
      </w:r>
      <w:r w:rsidR="00BF1A0D">
        <w:rPr>
          <w:rFonts w:ascii="Calibri" w:hAnsi="Calibri" w:cs="Calibri"/>
        </w:rPr>
        <w:t xml:space="preserve">zpravidla </w:t>
      </w:r>
      <w:r>
        <w:rPr>
          <w:rFonts w:ascii="Calibri" w:hAnsi="Calibri" w:cs="Calibri"/>
        </w:rPr>
        <w:t xml:space="preserve">vyšším než 200 mil. Kč), </w:t>
      </w:r>
      <w:r w:rsidRPr="00095C15">
        <w:rPr>
          <w:rFonts w:ascii="Calibri" w:hAnsi="Calibri" w:cs="Calibri"/>
        </w:rPr>
        <w:t xml:space="preserve">rozdíl </w:t>
      </w:r>
      <w:r>
        <w:rPr>
          <w:rFonts w:ascii="Calibri" w:hAnsi="Calibri" w:cs="Calibri"/>
        </w:rPr>
        <w:t xml:space="preserve">oproti předpokladu </w:t>
      </w:r>
      <w:r w:rsidRPr="00095C15">
        <w:rPr>
          <w:rFonts w:ascii="Calibri" w:hAnsi="Calibri" w:cs="Calibri"/>
        </w:rPr>
        <w:t xml:space="preserve">činil </w:t>
      </w:r>
      <w:r>
        <w:rPr>
          <w:rFonts w:ascii="Calibri" w:hAnsi="Calibri" w:cs="Calibri"/>
        </w:rPr>
        <w:t>až</w:t>
      </w:r>
      <w:r w:rsidRPr="00095C15">
        <w:rPr>
          <w:rFonts w:ascii="Calibri" w:hAnsi="Calibri" w:cs="Calibri"/>
        </w:rPr>
        <w:t xml:space="preserve"> několik let. </w:t>
      </w:r>
      <w:r>
        <w:rPr>
          <w:rFonts w:ascii="Calibri" w:hAnsi="Calibri" w:cs="Calibri"/>
        </w:rPr>
        <w:t>K častým d</w:t>
      </w:r>
      <w:r w:rsidRPr="006A0D73">
        <w:rPr>
          <w:rFonts w:ascii="Calibri" w:hAnsi="Calibri" w:cs="Calibri"/>
        </w:rPr>
        <w:t>ůvod</w:t>
      </w:r>
      <w:r>
        <w:rPr>
          <w:rFonts w:ascii="Calibri" w:hAnsi="Calibri" w:cs="Calibri"/>
        </w:rPr>
        <w:t>ům</w:t>
      </w:r>
      <w:r w:rsidRPr="006A0D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zpoždění patřil posun přípravné fáze akce, </w:t>
      </w:r>
      <w:r w:rsidRPr="006A0D73">
        <w:rPr>
          <w:rFonts w:ascii="Calibri" w:hAnsi="Calibri" w:cs="Calibri"/>
        </w:rPr>
        <w:t>komplikace při získávání územního rozhodnutí a stavebního povolení</w:t>
      </w:r>
      <w:r>
        <w:rPr>
          <w:rFonts w:ascii="Calibri" w:hAnsi="Calibri" w:cs="Calibri"/>
        </w:rPr>
        <w:t>,</w:t>
      </w:r>
      <w:r w:rsidRPr="006A0D73">
        <w:rPr>
          <w:rFonts w:ascii="Calibri" w:hAnsi="Calibri" w:cs="Calibri"/>
        </w:rPr>
        <w:t xml:space="preserve"> průtahy při </w:t>
      </w:r>
      <w:r>
        <w:rPr>
          <w:rFonts w:ascii="Calibri" w:hAnsi="Calibri" w:cs="Calibri"/>
        </w:rPr>
        <w:t>prováděných zadávacích řízeních</w:t>
      </w:r>
      <w:r w:rsidRPr="006A0D73">
        <w:rPr>
          <w:rFonts w:ascii="Calibri" w:hAnsi="Calibri" w:cs="Calibri"/>
        </w:rPr>
        <w:t xml:space="preserve"> </w:t>
      </w:r>
      <w:r w:rsidR="001318D6">
        <w:rPr>
          <w:rFonts w:ascii="Calibri" w:hAnsi="Calibri" w:cs="Calibri"/>
        </w:rPr>
        <w:t>a rovněž</w:t>
      </w:r>
      <w:r w:rsidR="00DB3032">
        <w:rPr>
          <w:rFonts w:ascii="Calibri" w:hAnsi="Calibri" w:cs="Calibri"/>
        </w:rPr>
        <w:t xml:space="preserve"> </w:t>
      </w:r>
      <w:r w:rsidRPr="006A0D73">
        <w:rPr>
          <w:rFonts w:ascii="Calibri" w:hAnsi="Calibri" w:cs="Calibri"/>
        </w:rPr>
        <w:t>předkládání nekvalitně zpracovaných investičních záměrů</w:t>
      </w:r>
      <w:r>
        <w:rPr>
          <w:rFonts w:ascii="Calibri" w:hAnsi="Calibri" w:cs="Calibri"/>
        </w:rPr>
        <w:t xml:space="preserve">, </w:t>
      </w:r>
      <w:r w:rsidRPr="006A0D73">
        <w:rPr>
          <w:rFonts w:ascii="Calibri" w:hAnsi="Calibri" w:cs="Calibri"/>
        </w:rPr>
        <w:t>což m</w:t>
      </w:r>
      <w:r>
        <w:rPr>
          <w:rFonts w:ascii="Calibri" w:hAnsi="Calibri" w:cs="Calibri"/>
        </w:rPr>
        <w:t>ělo</w:t>
      </w:r>
      <w:r w:rsidRPr="006A0D73">
        <w:rPr>
          <w:rFonts w:ascii="Calibri" w:hAnsi="Calibri" w:cs="Calibri"/>
        </w:rPr>
        <w:t xml:space="preserve"> za následek dlouhý proces při jejich schvalování MŠMT</w:t>
      </w:r>
      <w:r w:rsidR="004609ED">
        <w:rPr>
          <w:rFonts w:ascii="Calibri" w:hAnsi="Calibri" w:cs="Calibri"/>
        </w:rPr>
        <w:t xml:space="preserve"> (vracení IZ, někdy opakované, k doplnění či přepracování)</w:t>
      </w:r>
      <w:r>
        <w:rPr>
          <w:rFonts w:ascii="Calibri" w:hAnsi="Calibri" w:cs="Calibri"/>
        </w:rPr>
        <w:t>.</w:t>
      </w:r>
    </w:p>
    <w:p w14:paraId="2DEA6F69" w14:textId="130B198D" w:rsidR="00026751" w:rsidRDefault="00026751" w:rsidP="00026751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V</w:t>
      </w:r>
      <w:r w:rsidRPr="006A0D73">
        <w:rPr>
          <w:rFonts w:ascii="Calibri" w:hAnsi="Calibri" w:cs="Calibri"/>
        </w:rPr>
        <w:t xml:space="preserve"> reakci </w:t>
      </w:r>
      <w:r w:rsidR="0085163C">
        <w:rPr>
          <w:rFonts w:ascii="Calibri" w:hAnsi="Calibri" w:cs="Calibri"/>
        </w:rPr>
        <w:t xml:space="preserve">mj. </w:t>
      </w:r>
      <w:r w:rsidRPr="006A0D73">
        <w:rPr>
          <w:rFonts w:ascii="Calibri" w:hAnsi="Calibri" w:cs="Calibri"/>
        </w:rPr>
        <w:t>na nízké čerpání prostředků</w:t>
      </w:r>
      <w:r>
        <w:rPr>
          <w:rFonts w:ascii="Calibri" w:hAnsi="Calibri" w:cs="Calibri"/>
        </w:rPr>
        <w:t xml:space="preserve"> </w:t>
      </w:r>
      <w:r w:rsidR="004609ED">
        <w:rPr>
          <w:rFonts w:ascii="Calibri" w:hAnsi="Calibri" w:cs="Calibri"/>
        </w:rPr>
        <w:t xml:space="preserve">začalo </w:t>
      </w:r>
      <w:r>
        <w:rPr>
          <w:rFonts w:ascii="Calibri" w:hAnsi="Calibri" w:cs="Calibri"/>
        </w:rPr>
        <w:t>MŠMT</w:t>
      </w:r>
      <w:r w:rsidRPr="006A0D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 roce 2014 s přípravou aktualizace dokumentace programu, </w:t>
      </w:r>
      <w:r w:rsidRPr="006A0D73">
        <w:rPr>
          <w:rFonts w:ascii="Calibri" w:hAnsi="Calibri" w:cs="Calibri"/>
        </w:rPr>
        <w:t>přičemž k jejímu schválen</w:t>
      </w:r>
      <w:r>
        <w:rPr>
          <w:rFonts w:ascii="Calibri" w:hAnsi="Calibri" w:cs="Calibri"/>
        </w:rPr>
        <w:t xml:space="preserve">í vládou došlo </w:t>
      </w:r>
      <w:r w:rsidR="0061580A">
        <w:rPr>
          <w:rFonts w:ascii="Calibri" w:hAnsi="Calibri" w:cs="Calibri"/>
        </w:rPr>
        <w:t xml:space="preserve">až </w:t>
      </w:r>
      <w:r>
        <w:rPr>
          <w:rFonts w:ascii="Calibri" w:hAnsi="Calibri" w:cs="Calibri"/>
        </w:rPr>
        <w:t>v červnu 2015</w:t>
      </w:r>
      <w:r w:rsidR="009652AE" w:rsidRPr="006400BA">
        <w:rPr>
          <w:rFonts w:ascii="Calibri" w:hAnsi="Calibri" w:cs="Calibri"/>
          <w:vertAlign w:val="superscript"/>
        </w:rPr>
        <w:t>6</w:t>
      </w:r>
      <w:r>
        <w:rPr>
          <w:rFonts w:ascii="Calibri" w:hAnsi="Calibri" w:cs="Calibri"/>
        </w:rPr>
        <w:t xml:space="preserve">. </w:t>
      </w:r>
      <w:r w:rsidRPr="006A0D73">
        <w:rPr>
          <w:rFonts w:ascii="Calibri" w:hAnsi="Calibri" w:cs="Calibri"/>
        </w:rPr>
        <w:t xml:space="preserve">VVŠ </w:t>
      </w:r>
      <w:r>
        <w:rPr>
          <w:rFonts w:ascii="Calibri" w:hAnsi="Calibri" w:cs="Calibri"/>
        </w:rPr>
        <w:t xml:space="preserve">v důsledku úpravy svých </w:t>
      </w:r>
      <w:r w:rsidRPr="006A0D73">
        <w:rPr>
          <w:rFonts w:ascii="Calibri" w:hAnsi="Calibri" w:cs="Calibri"/>
        </w:rPr>
        <w:t>investiční</w:t>
      </w:r>
      <w:r>
        <w:rPr>
          <w:rFonts w:ascii="Calibri" w:hAnsi="Calibri" w:cs="Calibri"/>
        </w:rPr>
        <w:t xml:space="preserve">ch plánů aktualizovaly </w:t>
      </w:r>
      <w:r w:rsidR="0061580A">
        <w:rPr>
          <w:rFonts w:ascii="Calibri" w:hAnsi="Calibri" w:cs="Calibri"/>
        </w:rPr>
        <w:t>plánované</w:t>
      </w:r>
      <w:r>
        <w:rPr>
          <w:rFonts w:ascii="Calibri" w:hAnsi="Calibri" w:cs="Calibri"/>
        </w:rPr>
        <w:t xml:space="preserve"> akce včetně parametrů a </w:t>
      </w:r>
      <w:r w:rsidRPr="006A0D73">
        <w:rPr>
          <w:rFonts w:ascii="Calibri" w:hAnsi="Calibri" w:cs="Calibri"/>
        </w:rPr>
        <w:t xml:space="preserve">MŠMT přerozdělilo prostředky </w:t>
      </w:r>
      <w:r w:rsidR="0061580A">
        <w:rPr>
          <w:rFonts w:ascii="Calibri" w:hAnsi="Calibri" w:cs="Calibri"/>
        </w:rPr>
        <w:t xml:space="preserve">SR </w:t>
      </w:r>
      <w:r w:rsidRPr="006A0D73">
        <w:rPr>
          <w:rFonts w:ascii="Calibri" w:hAnsi="Calibri" w:cs="Calibri"/>
        </w:rPr>
        <w:t>na jednotlivé podprogramy za účelem jejich využití. Největ</w:t>
      </w:r>
      <w:r>
        <w:rPr>
          <w:rFonts w:ascii="Calibri" w:hAnsi="Calibri" w:cs="Calibri"/>
        </w:rPr>
        <w:t>ší akcí zařazenou do programu v </w:t>
      </w:r>
      <w:r w:rsidRPr="006A0D73">
        <w:rPr>
          <w:rFonts w:ascii="Calibri" w:hAnsi="Calibri" w:cs="Calibri"/>
        </w:rPr>
        <w:t xml:space="preserve">rámci aktualizace </w:t>
      </w:r>
      <w:r w:rsidR="0018382B">
        <w:rPr>
          <w:rFonts w:ascii="Calibri" w:hAnsi="Calibri" w:cs="Calibri"/>
        </w:rPr>
        <w:t xml:space="preserve">DP </w:t>
      </w:r>
      <w:r w:rsidRPr="006A0D73">
        <w:rPr>
          <w:rFonts w:ascii="Calibri" w:hAnsi="Calibri" w:cs="Calibri"/>
        </w:rPr>
        <w:t>byla akce</w:t>
      </w:r>
      <w:r w:rsidR="001318D6">
        <w:rPr>
          <w:rFonts w:ascii="Calibri" w:hAnsi="Calibri" w:cs="Calibri"/>
        </w:rPr>
        <w:t xml:space="preserve"> </w:t>
      </w:r>
      <w:r w:rsidR="001318D6" w:rsidRPr="00030B65">
        <w:rPr>
          <w:rFonts w:ascii="Calibri" w:hAnsi="Calibri" w:cs="Calibri"/>
          <w:i/>
        </w:rPr>
        <w:t>ČVUT</w:t>
      </w:r>
      <w:r w:rsidR="0085163C" w:rsidRPr="00030B65">
        <w:rPr>
          <w:rFonts w:ascii="Calibri" w:hAnsi="Calibri" w:cs="Calibri"/>
          <w:i/>
        </w:rPr>
        <w:t>-</w:t>
      </w:r>
      <w:r w:rsidRPr="00030B65">
        <w:rPr>
          <w:rFonts w:asciiTheme="minorHAnsi" w:eastAsiaTheme="minorHAnsi" w:hAnsiTheme="minorHAnsi" w:cstheme="minorHAnsi"/>
          <w:bCs/>
          <w:i/>
        </w:rPr>
        <w:t>CIIRC</w:t>
      </w:r>
      <w:r w:rsidRPr="004E424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s účastí SR ve výši </w:t>
      </w:r>
      <w:r w:rsidRPr="004E4249">
        <w:rPr>
          <w:rFonts w:ascii="Calibri" w:hAnsi="Calibri" w:cs="Calibri"/>
        </w:rPr>
        <w:t>1</w:t>
      </w:r>
      <w:r w:rsidRPr="006A0D73">
        <w:rPr>
          <w:rFonts w:ascii="Calibri" w:hAnsi="Calibri" w:cs="Calibri"/>
        </w:rPr>
        <w:t xml:space="preserve"> mld. Kč. </w:t>
      </w:r>
      <w:r w:rsidR="00DD6136">
        <w:rPr>
          <w:rFonts w:ascii="Calibri" w:hAnsi="Calibri" w:cs="Calibri"/>
        </w:rPr>
        <w:t>M</w:t>
      </w:r>
      <w:r w:rsidR="00A90396">
        <w:rPr>
          <w:rFonts w:ascii="Calibri" w:hAnsi="Calibri" w:cs="Calibri"/>
        </w:rPr>
        <w:t xml:space="preserve">alé </w:t>
      </w:r>
      <w:r w:rsidRPr="006A0D73">
        <w:rPr>
          <w:rFonts w:ascii="Calibri" w:hAnsi="Calibri" w:cs="Calibri"/>
        </w:rPr>
        <w:t>čerpání pros</w:t>
      </w:r>
      <w:r>
        <w:rPr>
          <w:rFonts w:ascii="Calibri" w:hAnsi="Calibri" w:cs="Calibri"/>
        </w:rPr>
        <w:t xml:space="preserve">tředků programu </w:t>
      </w:r>
      <w:r w:rsidR="0061580A">
        <w:rPr>
          <w:rFonts w:ascii="Calibri" w:hAnsi="Calibri" w:cs="Calibri"/>
        </w:rPr>
        <w:t xml:space="preserve">naopak </w:t>
      </w:r>
      <w:r>
        <w:rPr>
          <w:rFonts w:ascii="Calibri" w:hAnsi="Calibri" w:cs="Calibri"/>
        </w:rPr>
        <w:t xml:space="preserve">vykazovala </w:t>
      </w:r>
      <w:r w:rsidR="008E05A5">
        <w:rPr>
          <w:rFonts w:ascii="Calibri" w:hAnsi="Calibri" w:cs="Calibri"/>
        </w:rPr>
        <w:t>například</w:t>
      </w:r>
      <w:r>
        <w:rPr>
          <w:rFonts w:ascii="Calibri" w:hAnsi="Calibri" w:cs="Calibri"/>
        </w:rPr>
        <w:t xml:space="preserve"> </w:t>
      </w:r>
      <w:r w:rsidR="0018382B">
        <w:rPr>
          <w:rFonts w:ascii="Calibri" w:hAnsi="Calibri" w:cs="Calibri"/>
        </w:rPr>
        <w:t>VVŠ</w:t>
      </w:r>
      <w:r w:rsidR="008E05A5">
        <w:rPr>
          <w:rFonts w:ascii="Calibri" w:hAnsi="Calibri" w:cs="Calibri"/>
        </w:rPr>
        <w:t xml:space="preserve">, </w:t>
      </w:r>
      <w:r w:rsidRPr="006A0D73">
        <w:rPr>
          <w:rFonts w:ascii="Calibri" w:hAnsi="Calibri" w:cs="Calibri"/>
        </w:rPr>
        <w:t xml:space="preserve">která odsunula realizaci své </w:t>
      </w:r>
      <w:r w:rsidR="00A90396">
        <w:rPr>
          <w:rFonts w:ascii="Calibri" w:hAnsi="Calibri" w:cs="Calibri"/>
        </w:rPr>
        <w:t>významné</w:t>
      </w:r>
      <w:r w:rsidRPr="006A0D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plánované </w:t>
      </w:r>
      <w:r w:rsidRPr="006A0D73">
        <w:rPr>
          <w:rFonts w:ascii="Calibri" w:hAnsi="Calibri" w:cs="Calibri"/>
        </w:rPr>
        <w:t xml:space="preserve">akce </w:t>
      </w:r>
      <w:r w:rsidRPr="00C541BD">
        <w:rPr>
          <w:rFonts w:ascii="Calibri" w:hAnsi="Calibri" w:cs="Calibri"/>
          <w:i/>
        </w:rPr>
        <w:t>Kampus Albertov</w:t>
      </w:r>
      <w:r w:rsidR="0018382B">
        <w:rPr>
          <w:rFonts w:ascii="Calibri" w:hAnsi="Calibri" w:cs="Calibri"/>
          <w:i/>
        </w:rPr>
        <w:t xml:space="preserve">, </w:t>
      </w:r>
      <w:r>
        <w:rPr>
          <w:rFonts w:ascii="Calibri" w:hAnsi="Calibri" w:cs="Calibri"/>
          <w:i/>
        </w:rPr>
        <w:t>výstavba</w:t>
      </w:r>
      <w:r w:rsidR="0018382B"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>Biocentr</w:t>
      </w:r>
      <w:r w:rsidR="00A90396">
        <w:rPr>
          <w:rFonts w:ascii="Calibri" w:hAnsi="Calibri" w:cs="Calibri"/>
          <w:i/>
        </w:rPr>
        <w:t>a</w:t>
      </w:r>
      <w:r>
        <w:rPr>
          <w:rFonts w:ascii="Calibri" w:hAnsi="Calibri" w:cs="Calibri"/>
        </w:rPr>
        <w:t xml:space="preserve"> do </w:t>
      </w:r>
      <w:r w:rsidR="00793377">
        <w:rPr>
          <w:rFonts w:ascii="Calibri" w:hAnsi="Calibri" w:cs="Calibri"/>
        </w:rPr>
        <w:t>dalších let</w:t>
      </w:r>
      <w:r w:rsidRPr="006A0D73">
        <w:rPr>
          <w:rFonts w:ascii="Calibri" w:hAnsi="Calibri" w:cs="Calibri"/>
        </w:rPr>
        <w:t xml:space="preserve"> a</w:t>
      </w:r>
      <w:r>
        <w:rPr>
          <w:rFonts w:ascii="Calibri" w:hAnsi="Calibri" w:cs="Calibri"/>
        </w:rPr>
        <w:t> </w:t>
      </w:r>
      <w:r w:rsidRPr="006A0D73">
        <w:rPr>
          <w:rFonts w:ascii="Calibri" w:hAnsi="Calibri" w:cs="Calibri"/>
        </w:rPr>
        <w:t>v</w:t>
      </w:r>
      <w:r>
        <w:rPr>
          <w:rFonts w:ascii="Calibri" w:hAnsi="Calibri" w:cs="Calibri"/>
        </w:rPr>
        <w:t> </w:t>
      </w:r>
      <w:r w:rsidRPr="006A0D73">
        <w:rPr>
          <w:rFonts w:ascii="Calibri" w:hAnsi="Calibri" w:cs="Calibri"/>
        </w:rPr>
        <w:t>období 2011</w:t>
      </w:r>
      <w:r w:rsidR="00F34EBB">
        <w:rPr>
          <w:rFonts w:ascii="Calibri" w:hAnsi="Calibri" w:cs="Calibri"/>
        </w:rPr>
        <w:t>–</w:t>
      </w:r>
      <w:r w:rsidRPr="006A0D73">
        <w:rPr>
          <w:rFonts w:ascii="Calibri" w:hAnsi="Calibri" w:cs="Calibri"/>
        </w:rPr>
        <w:t>2016 vyčerpala pouze 12,6 % prostředků SR určených na podprogram</w:t>
      </w:r>
      <w:r>
        <w:rPr>
          <w:rFonts w:ascii="Calibri" w:hAnsi="Calibri" w:cs="Calibri"/>
        </w:rPr>
        <w:t xml:space="preserve"> (500,1 mil. Kč)</w:t>
      </w:r>
      <w:r w:rsidRPr="006A0D73">
        <w:rPr>
          <w:rFonts w:ascii="Calibri" w:hAnsi="Calibri" w:cs="Calibri"/>
        </w:rPr>
        <w:t>.</w:t>
      </w:r>
    </w:p>
    <w:p w14:paraId="28CD5DA8" w14:textId="77777777" w:rsidR="00026751" w:rsidRDefault="00026751" w:rsidP="002663D7">
      <w:pPr>
        <w:pStyle w:val="Odstavecseseznamem"/>
        <w:ind w:left="0"/>
        <w:jc w:val="both"/>
        <w:rPr>
          <w:rFonts w:ascii="Calibri" w:hAnsi="Calibri" w:cs="Calibri"/>
        </w:rPr>
      </w:pPr>
    </w:p>
    <w:p w14:paraId="3DDD31AB" w14:textId="0509ED4C" w:rsidR="003A491A" w:rsidRPr="006C21AD" w:rsidRDefault="006C21AD" w:rsidP="006C21AD">
      <w:pPr>
        <w:spacing w:before="1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2. </w:t>
      </w:r>
      <w:r w:rsidR="00696CB7" w:rsidRPr="006C21AD">
        <w:rPr>
          <w:rFonts w:ascii="Calibri" w:hAnsi="Calibri" w:cs="Calibri"/>
          <w:b/>
        </w:rPr>
        <w:t>Cíle</w:t>
      </w:r>
      <w:r w:rsidR="003A491A" w:rsidRPr="006C21AD">
        <w:rPr>
          <w:rFonts w:ascii="Calibri" w:hAnsi="Calibri" w:cs="Calibri"/>
          <w:b/>
        </w:rPr>
        <w:t xml:space="preserve"> a parametr</w:t>
      </w:r>
      <w:r w:rsidR="00696CB7" w:rsidRPr="006C21AD">
        <w:rPr>
          <w:rFonts w:ascii="Calibri" w:hAnsi="Calibri" w:cs="Calibri"/>
          <w:b/>
        </w:rPr>
        <w:t>y</w:t>
      </w:r>
      <w:r w:rsidR="000C3A3A" w:rsidRPr="006C21AD">
        <w:rPr>
          <w:rFonts w:ascii="Calibri" w:hAnsi="Calibri" w:cs="Calibri"/>
          <w:b/>
        </w:rPr>
        <w:t xml:space="preserve"> </w:t>
      </w:r>
      <w:r w:rsidR="003A491A" w:rsidRPr="006C21AD">
        <w:rPr>
          <w:rFonts w:ascii="Calibri" w:hAnsi="Calibri" w:cs="Calibri"/>
          <w:b/>
        </w:rPr>
        <w:t>programu</w:t>
      </w:r>
      <w:r w:rsidR="0039314F" w:rsidRPr="006C21AD">
        <w:rPr>
          <w:rFonts w:ascii="Calibri" w:hAnsi="Calibri" w:cs="Calibri"/>
          <w:b/>
        </w:rPr>
        <w:t>, jednotkové ceny</w:t>
      </w:r>
    </w:p>
    <w:p w14:paraId="7814DE24" w14:textId="7CA92BA6" w:rsidR="00192A40" w:rsidRPr="005C59BD" w:rsidRDefault="00192A40" w:rsidP="00192A40">
      <w:pPr>
        <w:spacing w:before="120"/>
        <w:jc w:val="both"/>
        <w:rPr>
          <w:rFonts w:asciiTheme="minorHAnsi" w:hAnsiTheme="minorHAnsi" w:cstheme="minorHAnsi"/>
          <w:b/>
        </w:rPr>
      </w:pPr>
      <w:r w:rsidRPr="00E94273">
        <w:rPr>
          <w:rFonts w:ascii="Calibri" w:hAnsi="Calibri" w:cs="Calibri"/>
        </w:rPr>
        <w:t>MŠMT v</w:t>
      </w:r>
      <w:r w:rsidR="006C21A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dokumentaci </w:t>
      </w:r>
      <w:r w:rsidRPr="00E94273">
        <w:rPr>
          <w:rFonts w:ascii="Calibri" w:hAnsi="Calibri" w:cs="Calibri"/>
        </w:rPr>
        <w:t xml:space="preserve">programu stanovilo čtyři obecné cíle, aktualizací dokumentace </w:t>
      </w:r>
      <w:r w:rsidR="0061580A">
        <w:rPr>
          <w:rFonts w:ascii="Calibri" w:hAnsi="Calibri" w:cs="Calibri"/>
        </w:rPr>
        <w:t xml:space="preserve">nebyly </w:t>
      </w:r>
      <w:r>
        <w:rPr>
          <w:rFonts w:ascii="Calibri" w:hAnsi="Calibri" w:cs="Calibri"/>
        </w:rPr>
        <w:t>měněny. Zahrnovaly o</w:t>
      </w:r>
      <w:r>
        <w:rPr>
          <w:rFonts w:asciiTheme="minorHAnsi" w:hAnsiTheme="minorHAnsi" w:cstheme="minorHAnsi"/>
        </w:rPr>
        <w:t>bnovu a rekonstrukci stávajících ploch, získání nových ploch výstavbou či</w:t>
      </w:r>
      <w:r w:rsidRPr="002E6725">
        <w:rPr>
          <w:rFonts w:asciiTheme="minorHAnsi" w:hAnsiTheme="minorHAnsi" w:cstheme="minorHAnsi"/>
        </w:rPr>
        <w:t xml:space="preserve"> nákupem</w:t>
      </w:r>
      <w:r>
        <w:rPr>
          <w:rFonts w:asciiTheme="minorHAnsi" w:hAnsiTheme="minorHAnsi" w:cstheme="minorHAnsi"/>
        </w:rPr>
        <w:t>,</w:t>
      </w:r>
      <w:r w:rsidRPr="002E672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</w:t>
      </w:r>
      <w:r w:rsidRPr="002E6725">
        <w:rPr>
          <w:rFonts w:asciiTheme="minorHAnsi" w:hAnsiTheme="minorHAnsi" w:cstheme="minorHAnsi"/>
        </w:rPr>
        <w:t>odpor</w:t>
      </w:r>
      <w:r>
        <w:rPr>
          <w:rFonts w:asciiTheme="minorHAnsi" w:hAnsiTheme="minorHAnsi" w:cstheme="minorHAnsi"/>
        </w:rPr>
        <w:t>u</w:t>
      </w:r>
      <w:r w:rsidRPr="002E6725">
        <w:rPr>
          <w:rFonts w:asciiTheme="minorHAnsi" w:hAnsiTheme="minorHAnsi" w:cstheme="minorHAnsi"/>
        </w:rPr>
        <w:t xml:space="preserve"> realizace opatření vedoucích k</w:t>
      </w:r>
      <w:r w:rsidR="006C21AD">
        <w:rPr>
          <w:rFonts w:asciiTheme="minorHAnsi" w:hAnsiTheme="minorHAnsi" w:cstheme="minorHAnsi"/>
        </w:rPr>
        <w:t> </w:t>
      </w:r>
      <w:r w:rsidRPr="002E6725">
        <w:rPr>
          <w:rFonts w:asciiTheme="minorHAnsi" w:hAnsiTheme="minorHAnsi" w:cstheme="minorHAnsi"/>
        </w:rPr>
        <w:t>úsporám energií</w:t>
      </w:r>
      <w:r>
        <w:rPr>
          <w:rFonts w:asciiTheme="minorHAnsi" w:hAnsiTheme="minorHAnsi" w:cstheme="minorHAnsi"/>
        </w:rPr>
        <w:t xml:space="preserve"> a pořízení </w:t>
      </w:r>
      <w:r w:rsidR="0085163C" w:rsidRPr="002E6725">
        <w:rPr>
          <w:rFonts w:asciiTheme="minorHAnsi" w:hAnsiTheme="minorHAnsi" w:cstheme="minorHAnsi"/>
        </w:rPr>
        <w:t>informačních a komunikačních tec</w:t>
      </w:r>
      <w:r w:rsidR="0085163C">
        <w:rPr>
          <w:rFonts w:asciiTheme="minorHAnsi" w:hAnsiTheme="minorHAnsi" w:cstheme="minorHAnsi"/>
        </w:rPr>
        <w:t xml:space="preserve">hnologií a </w:t>
      </w:r>
      <w:r>
        <w:rPr>
          <w:rFonts w:asciiTheme="minorHAnsi" w:hAnsiTheme="minorHAnsi" w:cstheme="minorHAnsi"/>
        </w:rPr>
        <w:t>strojního</w:t>
      </w:r>
      <w:r w:rsidR="0085163C">
        <w:rPr>
          <w:rFonts w:asciiTheme="minorHAnsi" w:hAnsiTheme="minorHAnsi" w:cstheme="minorHAnsi"/>
        </w:rPr>
        <w:t xml:space="preserve"> či</w:t>
      </w:r>
      <w:r w:rsidR="00DB30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přístrojového vybavení. </w:t>
      </w:r>
      <w:r>
        <w:rPr>
          <w:rFonts w:ascii="Calibri" w:hAnsi="Calibri" w:cs="Calibri"/>
        </w:rPr>
        <w:t xml:space="preserve">Cíle jednotlivých podprogramů </w:t>
      </w:r>
      <w:r w:rsidRPr="003A25EB">
        <w:rPr>
          <w:rFonts w:ascii="Calibri" w:hAnsi="Calibri" w:cs="Calibri"/>
        </w:rPr>
        <w:t>VVŠ</w:t>
      </w:r>
      <w:r>
        <w:rPr>
          <w:rFonts w:ascii="Calibri" w:hAnsi="Calibri" w:cs="Calibri"/>
        </w:rPr>
        <w:t xml:space="preserve"> na tyto cíle navazovaly.</w:t>
      </w:r>
      <w:r w:rsidR="008516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MŠMT </w:t>
      </w:r>
      <w:r w:rsidR="00030B65">
        <w:rPr>
          <w:rFonts w:ascii="Calibri" w:hAnsi="Calibri" w:cs="Calibri"/>
        </w:rPr>
        <w:t xml:space="preserve">dále </w:t>
      </w:r>
      <w:r>
        <w:rPr>
          <w:rFonts w:ascii="Calibri" w:hAnsi="Calibri" w:cs="Calibri"/>
        </w:rPr>
        <w:t>s</w:t>
      </w:r>
      <w:r w:rsidRPr="003A25EB">
        <w:rPr>
          <w:rFonts w:ascii="Calibri" w:hAnsi="Calibri" w:cs="Calibri"/>
        </w:rPr>
        <w:t xml:space="preserve">tanovilo </w:t>
      </w:r>
      <w:r>
        <w:rPr>
          <w:rFonts w:ascii="Calibri" w:hAnsi="Calibri" w:cs="Calibri"/>
        </w:rPr>
        <w:t>pro každý podprogram</w:t>
      </w:r>
      <w:r w:rsidR="0085163C">
        <w:rPr>
          <w:rFonts w:ascii="Calibri" w:hAnsi="Calibri" w:cs="Calibri"/>
        </w:rPr>
        <w:t xml:space="preserve"> plánované akce</w:t>
      </w:r>
      <w:r w:rsidR="0061580A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61580A">
        <w:rPr>
          <w:rFonts w:ascii="Calibri" w:hAnsi="Calibri" w:cs="Calibri"/>
        </w:rPr>
        <w:t xml:space="preserve">včetně </w:t>
      </w:r>
      <w:r>
        <w:rPr>
          <w:rFonts w:ascii="Calibri" w:hAnsi="Calibri" w:cs="Calibri"/>
        </w:rPr>
        <w:t>základní</w:t>
      </w:r>
      <w:r w:rsidR="0061580A">
        <w:rPr>
          <w:rFonts w:ascii="Calibri" w:hAnsi="Calibri" w:cs="Calibri"/>
        </w:rPr>
        <w:t>ch</w:t>
      </w:r>
      <w:r>
        <w:rPr>
          <w:rFonts w:ascii="Calibri" w:hAnsi="Calibri" w:cs="Calibri"/>
        </w:rPr>
        <w:t xml:space="preserve"> </w:t>
      </w:r>
      <w:r w:rsidR="0061580A">
        <w:rPr>
          <w:rFonts w:ascii="Calibri" w:hAnsi="Calibri" w:cs="Calibri"/>
        </w:rPr>
        <w:t>technických</w:t>
      </w:r>
      <w:r>
        <w:rPr>
          <w:rFonts w:ascii="Calibri" w:hAnsi="Calibri" w:cs="Calibri"/>
        </w:rPr>
        <w:t xml:space="preserve"> </w:t>
      </w:r>
      <w:r w:rsidRPr="003A25EB">
        <w:rPr>
          <w:rFonts w:ascii="Calibri" w:hAnsi="Calibri" w:cs="Calibri"/>
        </w:rPr>
        <w:t>parametr</w:t>
      </w:r>
      <w:r w:rsidR="0061580A">
        <w:rPr>
          <w:rFonts w:ascii="Calibri" w:hAnsi="Calibri" w:cs="Calibri"/>
        </w:rPr>
        <w:t>ů</w:t>
      </w:r>
      <w:r>
        <w:rPr>
          <w:rFonts w:ascii="Calibri" w:hAnsi="Calibri" w:cs="Calibri"/>
        </w:rPr>
        <w:t xml:space="preserve">. Souhrn pěti základních </w:t>
      </w:r>
      <w:r w:rsidR="0061580A">
        <w:rPr>
          <w:rFonts w:ascii="Calibri" w:hAnsi="Calibri" w:cs="Calibri"/>
        </w:rPr>
        <w:t xml:space="preserve">technických </w:t>
      </w:r>
      <w:r>
        <w:rPr>
          <w:rFonts w:ascii="Calibri" w:hAnsi="Calibri" w:cs="Calibri"/>
        </w:rPr>
        <w:t xml:space="preserve">parametrů, </w:t>
      </w:r>
      <w:r w:rsidR="0061580A">
        <w:rPr>
          <w:rFonts w:ascii="Calibri" w:hAnsi="Calibri" w:cs="Calibri"/>
        </w:rPr>
        <w:t>pro něž určilo MŠMT i </w:t>
      </w:r>
      <w:r w:rsidRPr="00305FC0">
        <w:rPr>
          <w:rFonts w:ascii="Calibri" w:hAnsi="Calibri" w:cs="Calibri"/>
        </w:rPr>
        <w:t xml:space="preserve">orientační jednotkové ceny, je uveden </w:t>
      </w:r>
      <w:r w:rsidRPr="00EB5E97">
        <w:rPr>
          <w:rFonts w:ascii="Calibri" w:hAnsi="Calibri" w:cs="Calibri"/>
        </w:rPr>
        <w:t>v</w:t>
      </w:r>
      <w:r w:rsidR="006C21AD">
        <w:rPr>
          <w:rFonts w:ascii="Calibri" w:hAnsi="Calibri" w:cs="Calibri"/>
        </w:rPr>
        <w:t> </w:t>
      </w:r>
      <w:r w:rsidRPr="00EB5E97">
        <w:rPr>
          <w:rFonts w:ascii="Calibri" w:hAnsi="Calibri" w:cs="Calibri"/>
        </w:rPr>
        <w:t>tabulce č. </w:t>
      </w:r>
      <w:r w:rsidR="00193391" w:rsidRPr="00EB5E97">
        <w:rPr>
          <w:rFonts w:ascii="Calibri" w:hAnsi="Calibri" w:cs="Calibri"/>
        </w:rPr>
        <w:t>4</w:t>
      </w:r>
      <w:r w:rsidRPr="00EB5E9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Hodnoty těchto parametrů byly stanoveny závazně. Aktualizací DP byly upraveny závazné hodnoty základních parametrů </w:t>
      </w:r>
      <w:r w:rsidR="0061580A">
        <w:rPr>
          <w:rFonts w:ascii="Calibri" w:hAnsi="Calibri" w:cs="Calibri"/>
        </w:rPr>
        <w:t>i plánovan</w:t>
      </w:r>
      <w:r>
        <w:rPr>
          <w:rFonts w:ascii="Calibri" w:hAnsi="Calibri" w:cs="Calibri"/>
        </w:rPr>
        <w:t>é akce.</w:t>
      </w:r>
      <w:r w:rsidRPr="005C59BD">
        <w:rPr>
          <w:rFonts w:asciiTheme="minorHAnsi" w:hAnsiTheme="minorHAnsi" w:cstheme="minorHAnsi"/>
        </w:rPr>
        <w:t xml:space="preserve"> </w:t>
      </w:r>
      <w:r w:rsidRPr="00017265">
        <w:rPr>
          <w:rFonts w:asciiTheme="minorHAnsi" w:hAnsiTheme="minorHAnsi" w:cstheme="minorHAnsi"/>
        </w:rPr>
        <w:t xml:space="preserve">Kromě </w:t>
      </w:r>
      <w:r>
        <w:rPr>
          <w:rFonts w:asciiTheme="minorHAnsi" w:hAnsiTheme="minorHAnsi" w:cstheme="minorHAnsi"/>
        </w:rPr>
        <w:t>základních parametrů byly u akcí při jejich registraci stanoveny i doplňkové parametry, blíže specifikující danou akci.</w:t>
      </w:r>
      <w:r>
        <w:rPr>
          <w:rFonts w:ascii="Calibri" w:hAnsi="Calibri" w:cs="Calibri"/>
        </w:rPr>
        <w:t xml:space="preserve"> </w:t>
      </w:r>
      <w:r w:rsidR="0059328C">
        <w:rPr>
          <w:rFonts w:ascii="Calibri" w:hAnsi="Calibri" w:cs="Calibri"/>
        </w:rPr>
        <w:t>Žádný</w:t>
      </w:r>
      <w:r>
        <w:rPr>
          <w:rFonts w:ascii="Calibri" w:hAnsi="Calibri" w:cs="Calibri"/>
        </w:rPr>
        <w:t xml:space="preserve"> z</w:t>
      </w:r>
      <w:r w:rsidR="006C21AD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parametrů </w:t>
      </w:r>
      <w:r>
        <w:rPr>
          <w:rFonts w:asciiTheme="minorHAnsi" w:hAnsiTheme="minorHAnsi" w:cstheme="minorHAnsi"/>
        </w:rPr>
        <w:t>akcí</w:t>
      </w:r>
      <w:r w:rsidRPr="003E3CF9">
        <w:rPr>
          <w:rFonts w:asciiTheme="minorHAnsi" w:hAnsiTheme="minorHAnsi" w:cstheme="minorHAnsi"/>
        </w:rPr>
        <w:t xml:space="preserve"> nem</w:t>
      </w:r>
      <w:r w:rsidR="0059328C">
        <w:rPr>
          <w:rFonts w:asciiTheme="minorHAnsi" w:hAnsiTheme="minorHAnsi" w:cstheme="minorHAnsi"/>
        </w:rPr>
        <w:t>á</w:t>
      </w:r>
      <w:r w:rsidRPr="003E3CF9">
        <w:rPr>
          <w:rFonts w:asciiTheme="minorHAnsi" w:hAnsiTheme="minorHAnsi" w:cstheme="minorHAnsi"/>
        </w:rPr>
        <w:t xml:space="preserve"> vypovídací schopnost kvalitativního ukazatele</w:t>
      </w:r>
      <w:r>
        <w:rPr>
          <w:rFonts w:asciiTheme="minorHAnsi" w:hAnsiTheme="minorHAnsi" w:cstheme="minorHAnsi"/>
        </w:rPr>
        <w:t>, jak definuje vyhláška</w:t>
      </w:r>
      <w:r w:rsidR="0059328C">
        <w:rPr>
          <w:rFonts w:asciiTheme="minorHAnsi" w:hAnsiTheme="minorHAnsi" w:cstheme="minorHAnsi"/>
        </w:rPr>
        <w:t xml:space="preserve"> </w:t>
      </w:r>
      <w:r w:rsidR="00C607D4">
        <w:rPr>
          <w:rFonts w:asciiTheme="minorHAnsi" w:hAnsiTheme="minorHAnsi" w:cstheme="minorHAnsi"/>
        </w:rPr>
        <w:t xml:space="preserve">č. </w:t>
      </w:r>
      <w:r w:rsidR="0059328C">
        <w:rPr>
          <w:rFonts w:asciiTheme="minorHAnsi" w:hAnsiTheme="minorHAnsi" w:cstheme="minorHAnsi"/>
        </w:rPr>
        <w:t>560/2006 Sb.</w:t>
      </w:r>
      <w:r>
        <w:rPr>
          <w:rFonts w:asciiTheme="minorHAnsi" w:hAnsiTheme="minorHAnsi" w:cstheme="minorHAnsi"/>
        </w:rPr>
        <w:t xml:space="preserve"> v</w:t>
      </w:r>
      <w:r w:rsidR="006C21AD">
        <w:rPr>
          <w:rFonts w:asciiTheme="minorHAnsi" w:hAnsiTheme="minorHAnsi" w:cstheme="minorHAnsi"/>
        </w:rPr>
        <w:t> </w:t>
      </w:r>
      <w:r w:rsidR="00F34EBB">
        <w:rPr>
          <w:rFonts w:asciiTheme="minorHAnsi" w:hAnsiTheme="minorHAnsi" w:cstheme="minorHAnsi"/>
        </w:rPr>
        <w:t xml:space="preserve">ustanovení </w:t>
      </w:r>
      <w:r>
        <w:rPr>
          <w:rFonts w:asciiTheme="minorHAnsi" w:hAnsiTheme="minorHAnsi" w:cstheme="minorHAnsi"/>
        </w:rPr>
        <w:t>§ 2 písm. c)</w:t>
      </w:r>
      <w:r w:rsidRPr="003E3CF9">
        <w:rPr>
          <w:rFonts w:asciiTheme="minorHAnsi" w:hAnsiTheme="minorHAnsi" w:cstheme="minorHAnsi"/>
        </w:rPr>
        <w:t>. MŠMT</w:t>
      </w:r>
      <w:r>
        <w:rPr>
          <w:rFonts w:asciiTheme="minorHAnsi" w:hAnsiTheme="minorHAnsi" w:cstheme="minorHAnsi"/>
        </w:rPr>
        <w:t xml:space="preserve"> </w:t>
      </w:r>
      <w:r w:rsidRPr="003E3CF9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Pr="003E3CF9">
        <w:rPr>
          <w:rFonts w:asciiTheme="minorHAnsi" w:hAnsiTheme="minorHAnsi" w:cstheme="minorHAnsi"/>
        </w:rPr>
        <w:t xml:space="preserve">programu použilo pouze kvantitativní parametry </w:t>
      </w:r>
      <w:r w:rsidR="006C21AD">
        <w:rPr>
          <w:rFonts w:asciiTheme="minorHAnsi" w:hAnsiTheme="minorHAnsi" w:cstheme="minorHAnsi"/>
        </w:rPr>
        <w:t>–</w:t>
      </w:r>
      <w:r>
        <w:rPr>
          <w:rFonts w:asciiTheme="minorHAnsi" w:hAnsiTheme="minorHAnsi" w:cstheme="minorHAnsi"/>
        </w:rPr>
        <w:t xml:space="preserve"> </w:t>
      </w:r>
      <w:r w:rsidRPr="003E3CF9">
        <w:rPr>
          <w:rFonts w:asciiTheme="minorHAnsi" w:hAnsiTheme="minorHAnsi" w:cstheme="minorHAnsi"/>
        </w:rPr>
        <w:t xml:space="preserve">měřitelné cíle akce podle </w:t>
      </w:r>
      <w:r>
        <w:rPr>
          <w:rFonts w:asciiTheme="minorHAnsi" w:hAnsiTheme="minorHAnsi" w:cstheme="minorHAnsi"/>
        </w:rPr>
        <w:t xml:space="preserve">ustanovení § 2 písm. j) této </w:t>
      </w:r>
      <w:r w:rsidRPr="003E3CF9">
        <w:rPr>
          <w:rFonts w:asciiTheme="minorHAnsi" w:hAnsiTheme="minorHAnsi" w:cstheme="minorHAnsi"/>
        </w:rPr>
        <w:t>vyhlášky</w:t>
      </w:r>
      <w:r>
        <w:rPr>
          <w:rFonts w:asciiTheme="minorHAnsi" w:hAnsiTheme="minorHAnsi" w:cstheme="minorHAnsi"/>
        </w:rPr>
        <w:t>.</w:t>
      </w:r>
    </w:p>
    <w:p w14:paraId="539AFDB8" w14:textId="0959F9BA" w:rsidR="00192A40" w:rsidRPr="002C1215" w:rsidRDefault="00192A40" w:rsidP="00192A40">
      <w:pPr>
        <w:spacing w:before="120"/>
        <w:jc w:val="both"/>
        <w:rPr>
          <w:rFonts w:asciiTheme="minorHAnsi" w:hAnsiTheme="minorHAnsi" w:cstheme="minorHAnsi"/>
          <w:b/>
        </w:rPr>
      </w:pPr>
      <w:r w:rsidRPr="002C1215">
        <w:rPr>
          <w:rFonts w:asciiTheme="minorHAnsi" w:hAnsiTheme="minorHAnsi" w:cstheme="minorHAnsi"/>
          <w:b/>
        </w:rPr>
        <w:t xml:space="preserve">Tabulka č. </w:t>
      </w:r>
      <w:r w:rsidR="00193391" w:rsidRPr="002C1215">
        <w:rPr>
          <w:rFonts w:asciiTheme="minorHAnsi" w:hAnsiTheme="minorHAnsi" w:cstheme="minorHAnsi"/>
          <w:b/>
        </w:rPr>
        <w:t>4</w:t>
      </w:r>
      <w:r w:rsidRPr="002C1215">
        <w:rPr>
          <w:rFonts w:asciiTheme="minorHAnsi" w:hAnsiTheme="minorHAnsi" w:cstheme="minorHAnsi"/>
          <w:b/>
        </w:rPr>
        <w:t xml:space="preserve"> </w:t>
      </w:r>
      <w:r w:rsidRPr="002C1215">
        <w:rPr>
          <w:rFonts w:ascii="Calibri" w:hAnsi="Calibri" w:cstheme="minorHAnsi"/>
          <w:b/>
          <w:color w:val="000000"/>
        </w:rPr>
        <w:t>–</w:t>
      </w:r>
      <w:r w:rsidRPr="002C1215">
        <w:rPr>
          <w:rFonts w:asciiTheme="minorHAnsi" w:hAnsiTheme="minorHAnsi" w:cstheme="minorHAnsi"/>
          <w:b/>
        </w:rPr>
        <w:t xml:space="preserve"> Závazné hodnoty technick</w:t>
      </w:r>
      <w:r w:rsidR="0059328C" w:rsidRPr="002C1215">
        <w:rPr>
          <w:rFonts w:asciiTheme="minorHAnsi" w:hAnsiTheme="minorHAnsi" w:cstheme="minorHAnsi"/>
          <w:b/>
        </w:rPr>
        <w:t xml:space="preserve">ých </w:t>
      </w:r>
      <w:r w:rsidRPr="002C1215">
        <w:rPr>
          <w:rFonts w:asciiTheme="minorHAnsi" w:hAnsiTheme="minorHAnsi" w:cstheme="minorHAnsi"/>
          <w:b/>
        </w:rPr>
        <w:t xml:space="preserve">parametrů programu </w:t>
      </w:r>
    </w:p>
    <w:tbl>
      <w:tblPr>
        <w:tblStyle w:val="Mkatabulky1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4365"/>
        <w:gridCol w:w="1559"/>
        <w:gridCol w:w="1559"/>
        <w:gridCol w:w="1589"/>
      </w:tblGrid>
      <w:tr w:rsidR="00192A40" w:rsidRPr="002E6725" w14:paraId="4C9F7B1D" w14:textId="77777777" w:rsidTr="00C44967">
        <w:trPr>
          <w:jc w:val="center"/>
        </w:trPr>
        <w:tc>
          <w:tcPr>
            <w:tcW w:w="4365" w:type="dxa"/>
            <w:shd w:val="clear" w:color="auto" w:fill="DBE5F1" w:themeFill="accent1" w:themeFillTint="33"/>
            <w:vAlign w:val="center"/>
          </w:tcPr>
          <w:p w14:paraId="7C045262" w14:textId="77777777" w:rsidR="00192A40" w:rsidRPr="002C1215" w:rsidRDefault="00192A40" w:rsidP="00926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215">
              <w:rPr>
                <w:rFonts w:asciiTheme="minorHAnsi" w:hAnsiTheme="minorHAnsi" w:cstheme="minorHAnsi"/>
                <w:b/>
                <w:sz w:val="20"/>
                <w:szCs w:val="20"/>
              </w:rPr>
              <w:t>Parametr (jednotka)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D971F0" w14:textId="77777777" w:rsidR="00192A40" w:rsidRPr="002C1215" w:rsidRDefault="00192A40" w:rsidP="009268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215">
              <w:rPr>
                <w:rFonts w:asciiTheme="minorHAnsi" w:hAnsiTheme="minorHAnsi" w:cstheme="minorHAnsi"/>
                <w:b/>
                <w:sz w:val="20"/>
                <w:szCs w:val="20"/>
              </w:rPr>
              <w:t>Původní DP (08/2011)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4CF4D33D" w14:textId="77777777" w:rsidR="00192A40" w:rsidRPr="002C1215" w:rsidRDefault="00192A40" w:rsidP="009268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215">
              <w:rPr>
                <w:rFonts w:asciiTheme="minorHAnsi" w:hAnsiTheme="minorHAnsi" w:cstheme="minorHAnsi"/>
                <w:b/>
                <w:sz w:val="20"/>
                <w:szCs w:val="20"/>
              </w:rPr>
              <w:t>Aktualizace DP (06/2015)</w:t>
            </w:r>
          </w:p>
        </w:tc>
        <w:tc>
          <w:tcPr>
            <w:tcW w:w="1589" w:type="dxa"/>
            <w:shd w:val="clear" w:color="auto" w:fill="DBE5F1" w:themeFill="accent1" w:themeFillTint="33"/>
            <w:vAlign w:val="center"/>
          </w:tcPr>
          <w:p w14:paraId="675896D6" w14:textId="77777777" w:rsidR="00192A40" w:rsidRPr="002C1215" w:rsidRDefault="00192A40" w:rsidP="0092688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C1215">
              <w:rPr>
                <w:rFonts w:asciiTheme="minorHAnsi" w:hAnsiTheme="minorHAnsi" w:cstheme="minorHAnsi"/>
                <w:b/>
                <w:sz w:val="20"/>
                <w:szCs w:val="20"/>
              </w:rPr>
              <w:t>Orientační cena za jednotku</w:t>
            </w:r>
          </w:p>
        </w:tc>
      </w:tr>
      <w:tr w:rsidR="00192A40" w:rsidRPr="002E6725" w14:paraId="2439480E" w14:textId="77777777" w:rsidTr="00C44967">
        <w:trPr>
          <w:trHeight w:val="283"/>
          <w:jc w:val="center"/>
        </w:trPr>
        <w:tc>
          <w:tcPr>
            <w:tcW w:w="4365" w:type="dxa"/>
            <w:vAlign w:val="center"/>
          </w:tcPr>
          <w:p w14:paraId="1D42EC8A" w14:textId="77777777" w:rsidR="00192A40" w:rsidRPr="002E6725" w:rsidRDefault="00192A40" w:rsidP="00926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Obestavěný prostor (m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B793E47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2 042 097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14:paraId="655702F5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1 913 527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89" w:type="dxa"/>
            <w:vAlign w:val="center"/>
          </w:tcPr>
          <w:p w14:paraId="561950B0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8 500 Kč/m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</w:tr>
      <w:tr w:rsidR="00192A40" w:rsidRPr="002E6725" w14:paraId="23A56364" w14:textId="77777777" w:rsidTr="00C44967">
        <w:trPr>
          <w:trHeight w:val="283"/>
          <w:jc w:val="center"/>
        </w:trPr>
        <w:tc>
          <w:tcPr>
            <w:tcW w:w="4365" w:type="dxa"/>
            <w:vAlign w:val="center"/>
          </w:tcPr>
          <w:p w14:paraId="448E0BF0" w14:textId="77777777" w:rsidR="00192A40" w:rsidRPr="002E6725" w:rsidRDefault="00192A40" w:rsidP="00926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Užitková plocha po technické obnově (m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186CE1A3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290 093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2418EFD3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330 940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9" w:type="dxa"/>
            <w:vAlign w:val="center"/>
          </w:tcPr>
          <w:p w14:paraId="6BB541AC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30 000 Kč/m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192A40" w:rsidRPr="002E6725" w14:paraId="29564AB0" w14:textId="77777777" w:rsidTr="00C44967">
        <w:trPr>
          <w:trHeight w:val="283"/>
          <w:jc w:val="center"/>
        </w:trPr>
        <w:tc>
          <w:tcPr>
            <w:tcW w:w="4365" w:type="dxa"/>
            <w:vAlign w:val="center"/>
          </w:tcPr>
          <w:p w14:paraId="1AE2A934" w14:textId="77777777" w:rsidR="00192A40" w:rsidRPr="002E6725" w:rsidRDefault="00192A40" w:rsidP="00926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Užitková plocha nově získaná (m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0481FA60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164 778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96ED71F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107 895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9" w:type="dxa"/>
            <w:vAlign w:val="center"/>
          </w:tcPr>
          <w:p w14:paraId="7C3F741C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50 000 Kč/m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192A40" w:rsidRPr="002E6725" w14:paraId="63D551A0" w14:textId="77777777" w:rsidTr="00C44967">
        <w:trPr>
          <w:trHeight w:val="283"/>
          <w:jc w:val="center"/>
        </w:trPr>
        <w:tc>
          <w:tcPr>
            <w:tcW w:w="4365" w:type="dxa"/>
            <w:vAlign w:val="center"/>
          </w:tcPr>
          <w:p w14:paraId="6E7C06CB" w14:textId="77777777" w:rsidR="00192A40" w:rsidRPr="002E6725" w:rsidRDefault="00192A40" w:rsidP="00926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Zateplovaná plocha objektů (m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271D972E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65 606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53D75E3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52 117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9" w:type="dxa"/>
            <w:vAlign w:val="center"/>
          </w:tcPr>
          <w:p w14:paraId="11E04575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4 900 Kč/m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192A40" w:rsidRPr="002E6725" w14:paraId="04BAC1A7" w14:textId="77777777" w:rsidTr="00C44967">
        <w:trPr>
          <w:trHeight w:val="283"/>
          <w:jc w:val="center"/>
        </w:trPr>
        <w:tc>
          <w:tcPr>
            <w:tcW w:w="4365" w:type="dxa"/>
            <w:vAlign w:val="center"/>
          </w:tcPr>
          <w:p w14:paraId="09A942D7" w14:textId="77777777" w:rsidR="00192A40" w:rsidRPr="002E6725" w:rsidRDefault="00192A40" w:rsidP="00926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Technická obnova obvodového pláště objektů (m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3D75F22B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28 263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0D84112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57 710 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89" w:type="dxa"/>
            <w:vAlign w:val="center"/>
          </w:tcPr>
          <w:p w14:paraId="33454D7F" w14:textId="77777777" w:rsidR="00192A40" w:rsidRPr="002E6725" w:rsidRDefault="00192A40" w:rsidP="0092688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E6725">
              <w:rPr>
                <w:rFonts w:asciiTheme="minorHAnsi" w:hAnsiTheme="minorHAnsi" w:cstheme="minorHAnsi"/>
                <w:sz w:val="20"/>
                <w:szCs w:val="20"/>
              </w:rPr>
              <w:t>13 000 Kč/m</w:t>
            </w:r>
            <w:r w:rsidRPr="002E6725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</w:tbl>
    <w:p w14:paraId="0BA3E635" w14:textId="60AA0D95" w:rsidR="00192A40" w:rsidRPr="00C37C6A" w:rsidRDefault="00192A40" w:rsidP="00C37C6A">
      <w:pPr>
        <w:spacing w:before="40" w:after="120"/>
        <w:jc w:val="both"/>
        <w:rPr>
          <w:rFonts w:asciiTheme="minorHAnsi" w:hAnsiTheme="minorHAnsi" w:cstheme="minorHAnsi"/>
          <w:sz w:val="20"/>
          <w:szCs w:val="18"/>
        </w:rPr>
      </w:pPr>
      <w:r w:rsidRPr="00C37C6A">
        <w:rPr>
          <w:rFonts w:asciiTheme="minorHAnsi" w:hAnsiTheme="minorHAnsi" w:cstheme="minorHAnsi"/>
          <w:b/>
          <w:sz w:val="20"/>
          <w:szCs w:val="18"/>
        </w:rPr>
        <w:t>Zdroj:</w:t>
      </w:r>
      <w:r w:rsidRPr="00C37C6A">
        <w:rPr>
          <w:rFonts w:asciiTheme="minorHAnsi" w:hAnsiTheme="minorHAnsi" w:cstheme="minorHAnsi"/>
          <w:sz w:val="20"/>
          <w:szCs w:val="18"/>
        </w:rPr>
        <w:t xml:space="preserve"> </w:t>
      </w:r>
      <w:r w:rsidR="00DB3032">
        <w:rPr>
          <w:rFonts w:asciiTheme="minorHAnsi" w:hAnsiTheme="minorHAnsi" w:cstheme="minorHAnsi"/>
          <w:sz w:val="20"/>
          <w:szCs w:val="18"/>
        </w:rPr>
        <w:t>d</w:t>
      </w:r>
      <w:r w:rsidRPr="00C37C6A">
        <w:rPr>
          <w:rFonts w:asciiTheme="minorHAnsi" w:hAnsiTheme="minorHAnsi" w:cstheme="minorHAnsi"/>
          <w:sz w:val="20"/>
          <w:szCs w:val="18"/>
        </w:rPr>
        <w:t>okumentace programu a její aktualizace</w:t>
      </w:r>
      <w:r w:rsidR="00F34EBB" w:rsidRPr="00C37C6A">
        <w:rPr>
          <w:rFonts w:asciiTheme="minorHAnsi" w:hAnsiTheme="minorHAnsi" w:cstheme="minorHAnsi"/>
          <w:sz w:val="20"/>
          <w:szCs w:val="18"/>
        </w:rPr>
        <w:t>.</w:t>
      </w:r>
    </w:p>
    <w:p w14:paraId="6A448FBD" w14:textId="76530A30" w:rsidR="0059328C" w:rsidRDefault="004609ED" w:rsidP="0059328C">
      <w:pPr>
        <w:spacing w:before="12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O</w:t>
      </w:r>
      <w:r w:rsidR="000023E2" w:rsidRPr="000023E2">
        <w:rPr>
          <w:rFonts w:asciiTheme="minorHAnsi" w:hAnsiTheme="minorHAnsi" w:cstheme="minorHAnsi"/>
        </w:rPr>
        <w:t xml:space="preserve">rientační jednotkové ceny </w:t>
      </w:r>
      <w:r w:rsidRPr="000023E2">
        <w:rPr>
          <w:rFonts w:asciiTheme="minorHAnsi" w:hAnsiTheme="minorHAnsi" w:cstheme="minorHAnsi"/>
        </w:rPr>
        <w:t xml:space="preserve">stanovilo MŠMT </w:t>
      </w:r>
      <w:r w:rsidR="000023E2" w:rsidRPr="000023E2">
        <w:rPr>
          <w:rFonts w:asciiTheme="minorHAnsi" w:hAnsiTheme="minorHAnsi" w:cstheme="minorHAnsi"/>
        </w:rPr>
        <w:t>na základě sledování nákladů obdobných stavebních prací realizovaných u VVŠ v</w:t>
      </w:r>
      <w:r w:rsidR="006C21AD">
        <w:rPr>
          <w:rFonts w:asciiTheme="minorHAnsi" w:hAnsiTheme="minorHAnsi" w:cstheme="minorHAnsi"/>
        </w:rPr>
        <w:t> </w:t>
      </w:r>
      <w:r w:rsidR="000023E2" w:rsidRPr="000023E2">
        <w:rPr>
          <w:rFonts w:asciiTheme="minorHAnsi" w:hAnsiTheme="minorHAnsi" w:cstheme="minorHAnsi"/>
        </w:rPr>
        <w:t>období 2003</w:t>
      </w:r>
      <w:r w:rsidR="003329FC">
        <w:rPr>
          <w:rFonts w:asciiTheme="minorHAnsi" w:hAnsiTheme="minorHAnsi" w:cstheme="minorHAnsi"/>
        </w:rPr>
        <w:t>–</w:t>
      </w:r>
      <w:r w:rsidR="000023E2" w:rsidRPr="000023E2">
        <w:rPr>
          <w:rFonts w:asciiTheme="minorHAnsi" w:hAnsiTheme="minorHAnsi" w:cstheme="minorHAnsi"/>
        </w:rPr>
        <w:t xml:space="preserve">2008. </w:t>
      </w:r>
      <w:r w:rsidR="0059328C" w:rsidRPr="003672DE">
        <w:rPr>
          <w:rFonts w:asciiTheme="minorHAnsi" w:hAnsiTheme="minorHAnsi" w:cstheme="minorHAnsi"/>
        </w:rPr>
        <w:t>Do orientačních</w:t>
      </w:r>
      <w:r w:rsidR="0059328C" w:rsidRPr="003672DE">
        <w:rPr>
          <w:rFonts w:asciiTheme="minorHAnsi" w:hAnsiTheme="minorHAnsi"/>
        </w:rPr>
        <w:t xml:space="preserve"> jednotkových cen</w:t>
      </w:r>
      <w:r w:rsidR="0059328C">
        <w:t xml:space="preserve"> </w:t>
      </w:r>
      <w:r w:rsidRPr="005C59BD">
        <w:rPr>
          <w:rFonts w:asciiTheme="minorHAnsi" w:hAnsiTheme="minorHAnsi" w:cstheme="minorHAnsi"/>
        </w:rPr>
        <w:t>MŠMT</w:t>
      </w:r>
      <w:r w:rsidRPr="003672DE">
        <w:rPr>
          <w:rFonts w:ascii="Calibri" w:hAnsi="Calibri" w:cs="Calibri"/>
        </w:rPr>
        <w:t xml:space="preserve"> </w:t>
      </w:r>
      <w:r w:rsidR="0059328C" w:rsidRPr="005C59BD">
        <w:rPr>
          <w:rFonts w:asciiTheme="minorHAnsi" w:hAnsiTheme="minorHAnsi" w:cstheme="minorHAnsi"/>
        </w:rPr>
        <w:t xml:space="preserve">zahrnulo </w:t>
      </w:r>
      <w:r w:rsidR="0059328C" w:rsidRPr="003672DE">
        <w:rPr>
          <w:rFonts w:ascii="Calibri" w:hAnsi="Calibri" w:cs="Calibri"/>
        </w:rPr>
        <w:t>kromě samotné ceny stavebních prací i další náklady přípravy a realizace stavby</w:t>
      </w:r>
      <w:r w:rsidR="00DB3032">
        <w:rPr>
          <w:rFonts w:ascii="Calibri" w:hAnsi="Calibri" w:cs="Calibri"/>
        </w:rPr>
        <w:t>, a to</w:t>
      </w:r>
      <w:r w:rsidR="0059328C" w:rsidRPr="003672DE">
        <w:rPr>
          <w:rFonts w:ascii="Calibri" w:hAnsi="Calibri" w:cs="Calibri"/>
        </w:rPr>
        <w:t xml:space="preserve"> zejména na projektovou činnost, inženýrskou činnost, dodávky interiérového a dalšího vybavení (včetně strojů a přístrojů), informační systémy, úpravy venkovních ploch apod.</w:t>
      </w:r>
      <w:r w:rsidR="0057322A">
        <w:rPr>
          <w:rFonts w:ascii="Calibri" w:hAnsi="Calibri" w:cs="Calibri"/>
        </w:rPr>
        <w:t>,</w:t>
      </w:r>
      <w:r w:rsidR="0059328C" w:rsidRPr="003672DE">
        <w:rPr>
          <w:rFonts w:ascii="Calibri" w:hAnsi="Calibri" w:cs="Calibri"/>
        </w:rPr>
        <w:t xml:space="preserve"> a rovněž DPH</w:t>
      </w:r>
      <w:r w:rsidR="0059328C">
        <w:rPr>
          <w:rStyle w:val="Znakapoznpodarou"/>
          <w:rFonts w:asciiTheme="minorHAnsi" w:hAnsiTheme="minorHAnsi" w:cstheme="minorHAnsi"/>
        </w:rPr>
        <w:footnoteReference w:id="13"/>
      </w:r>
      <w:r w:rsidR="0059328C" w:rsidRPr="003672DE">
        <w:rPr>
          <w:rFonts w:ascii="Calibri" w:hAnsi="Calibri" w:cs="Calibri"/>
        </w:rPr>
        <w:t>.</w:t>
      </w:r>
      <w:r w:rsidR="0059328C">
        <w:rPr>
          <w:rFonts w:ascii="Calibri" w:hAnsi="Calibri" w:cs="Calibri"/>
        </w:rPr>
        <w:t xml:space="preserve"> </w:t>
      </w:r>
      <w:r w:rsidR="0059328C" w:rsidRPr="000023E2">
        <w:rPr>
          <w:rFonts w:ascii="Calibri" w:hAnsi="Calibri" w:cs="Calibri"/>
        </w:rPr>
        <w:t>Porovnání jednotkových cen akc</w:t>
      </w:r>
      <w:r w:rsidR="00520973">
        <w:rPr>
          <w:rFonts w:ascii="Calibri" w:hAnsi="Calibri" w:cs="Calibri"/>
        </w:rPr>
        <w:t>í</w:t>
      </w:r>
      <w:r w:rsidR="0059328C" w:rsidRPr="000023E2">
        <w:rPr>
          <w:rFonts w:ascii="Calibri" w:hAnsi="Calibri" w:cs="Calibri"/>
        </w:rPr>
        <w:t xml:space="preserve"> s</w:t>
      </w:r>
      <w:r w:rsidR="006C21AD">
        <w:rPr>
          <w:rFonts w:ascii="Calibri" w:hAnsi="Calibri" w:cs="Calibri"/>
        </w:rPr>
        <w:t> </w:t>
      </w:r>
      <w:r w:rsidR="0059328C" w:rsidRPr="000023E2">
        <w:rPr>
          <w:rFonts w:ascii="Calibri" w:hAnsi="Calibri" w:cs="Calibri"/>
        </w:rPr>
        <w:t xml:space="preserve">orientačními jednotkovými cenami </w:t>
      </w:r>
      <w:r w:rsidR="0059328C">
        <w:rPr>
          <w:rFonts w:ascii="Calibri" w:hAnsi="Calibri" w:cs="Calibri"/>
        </w:rPr>
        <w:t>stanovenými v</w:t>
      </w:r>
      <w:r w:rsidR="006C21AD">
        <w:rPr>
          <w:rFonts w:ascii="Calibri" w:hAnsi="Calibri" w:cs="Calibri"/>
        </w:rPr>
        <w:t> </w:t>
      </w:r>
      <w:r w:rsidR="0059328C" w:rsidRPr="000023E2">
        <w:rPr>
          <w:rFonts w:ascii="Calibri" w:hAnsi="Calibri" w:cs="Calibri"/>
        </w:rPr>
        <w:t>DP nemá dostatečnou</w:t>
      </w:r>
      <w:r w:rsidR="0059328C">
        <w:rPr>
          <w:rFonts w:ascii="Calibri" w:hAnsi="Calibri" w:cs="Calibri"/>
        </w:rPr>
        <w:t xml:space="preserve"> vypovídací schopnost z</w:t>
      </w:r>
      <w:r w:rsidR="006C21AD">
        <w:rPr>
          <w:rFonts w:ascii="Calibri" w:hAnsi="Calibri" w:cs="Calibri"/>
        </w:rPr>
        <w:t> </w:t>
      </w:r>
      <w:r w:rsidR="0059328C">
        <w:rPr>
          <w:rFonts w:ascii="Calibri" w:hAnsi="Calibri" w:cs="Calibri"/>
        </w:rPr>
        <w:t>následujících důvodů:</w:t>
      </w:r>
    </w:p>
    <w:p w14:paraId="3B0937BE" w14:textId="7D8827FA" w:rsidR="0059328C" w:rsidRDefault="00A752FB" w:rsidP="002F5677">
      <w:pPr>
        <w:pStyle w:val="Odstavecseseznamem"/>
        <w:numPr>
          <w:ilvl w:val="0"/>
          <w:numId w:val="40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MŠMT </w:t>
      </w:r>
      <w:r w:rsidR="00793377">
        <w:rPr>
          <w:rFonts w:asciiTheme="minorHAnsi" w:hAnsiTheme="minorHAnsi" w:cstheme="minorHAnsi"/>
        </w:rPr>
        <w:t>orientační j</w:t>
      </w:r>
      <w:r w:rsidR="00793377" w:rsidRPr="0059328C">
        <w:rPr>
          <w:rFonts w:asciiTheme="minorHAnsi" w:hAnsiTheme="minorHAnsi" w:cstheme="minorHAnsi"/>
        </w:rPr>
        <w:t xml:space="preserve">ednotkové ceny </w:t>
      </w:r>
      <w:r w:rsidR="000023E2" w:rsidRPr="0059328C">
        <w:rPr>
          <w:rFonts w:asciiTheme="minorHAnsi" w:hAnsiTheme="minorHAnsi" w:cstheme="minorHAnsi"/>
        </w:rPr>
        <w:t>ne</w:t>
      </w:r>
      <w:r>
        <w:rPr>
          <w:rFonts w:asciiTheme="minorHAnsi" w:hAnsiTheme="minorHAnsi" w:cstheme="minorHAnsi"/>
        </w:rPr>
        <w:t>aktualizovalo</w:t>
      </w:r>
      <w:r w:rsidR="0057322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</w:t>
      </w:r>
      <w:r w:rsidR="0057322A">
        <w:rPr>
          <w:rFonts w:asciiTheme="minorHAnsi" w:hAnsiTheme="minorHAnsi" w:cstheme="minorHAnsi"/>
        </w:rPr>
        <w:t> tedy</w:t>
      </w:r>
      <w:r>
        <w:rPr>
          <w:rFonts w:asciiTheme="minorHAnsi" w:hAnsiTheme="minorHAnsi" w:cstheme="minorHAnsi"/>
        </w:rPr>
        <w:t xml:space="preserve"> </w:t>
      </w:r>
      <w:r w:rsidR="000023E2" w:rsidRPr="0059328C">
        <w:rPr>
          <w:rFonts w:asciiTheme="minorHAnsi" w:hAnsiTheme="minorHAnsi" w:cstheme="minorHAnsi"/>
        </w:rPr>
        <w:t>nereflekt</w:t>
      </w:r>
      <w:r w:rsidR="00143D03">
        <w:rPr>
          <w:rFonts w:asciiTheme="minorHAnsi" w:hAnsiTheme="minorHAnsi" w:cstheme="minorHAnsi"/>
        </w:rPr>
        <w:t>ovalo</w:t>
      </w:r>
      <w:r w:rsidR="000023E2" w:rsidRPr="0059328C">
        <w:rPr>
          <w:rFonts w:asciiTheme="minorHAnsi" w:hAnsiTheme="minorHAnsi" w:cstheme="minorHAnsi"/>
        </w:rPr>
        <w:t xml:space="preserve"> časový vývoj (v určitém období</w:t>
      </w:r>
      <w:r w:rsidR="0059328C" w:rsidRPr="0059328C">
        <w:rPr>
          <w:rFonts w:asciiTheme="minorHAnsi" w:hAnsiTheme="minorHAnsi" w:cstheme="minorHAnsi"/>
        </w:rPr>
        <w:t xml:space="preserve"> i pokles) </w:t>
      </w:r>
      <w:r w:rsidR="00520973">
        <w:rPr>
          <w:rFonts w:asciiTheme="minorHAnsi" w:hAnsiTheme="minorHAnsi" w:cstheme="minorHAnsi"/>
        </w:rPr>
        <w:t xml:space="preserve">těchto </w:t>
      </w:r>
      <w:r w:rsidR="0059328C" w:rsidRPr="0059328C">
        <w:rPr>
          <w:rFonts w:asciiTheme="minorHAnsi" w:hAnsiTheme="minorHAnsi" w:cstheme="minorHAnsi"/>
        </w:rPr>
        <w:t>cen. MŠM</w:t>
      </w:r>
      <w:r w:rsidR="0059328C">
        <w:rPr>
          <w:rFonts w:asciiTheme="minorHAnsi" w:hAnsiTheme="minorHAnsi" w:cstheme="minorHAnsi"/>
        </w:rPr>
        <w:t xml:space="preserve">T </w:t>
      </w:r>
      <w:r w:rsidR="00143D03">
        <w:rPr>
          <w:rFonts w:asciiTheme="minorHAnsi" w:hAnsiTheme="minorHAnsi" w:cstheme="minorHAnsi"/>
        </w:rPr>
        <w:t xml:space="preserve">ani při aktualizaci DP </w:t>
      </w:r>
      <w:r w:rsidR="00793377">
        <w:rPr>
          <w:rFonts w:asciiTheme="minorHAnsi" w:hAnsiTheme="minorHAnsi" w:cstheme="minorHAnsi"/>
        </w:rPr>
        <w:t xml:space="preserve">orientační </w:t>
      </w:r>
      <w:r w:rsidR="0059328C">
        <w:rPr>
          <w:rFonts w:asciiTheme="minorHAnsi" w:hAnsiTheme="minorHAnsi" w:cstheme="minorHAnsi"/>
        </w:rPr>
        <w:t>ceny</w:t>
      </w:r>
      <w:r w:rsidR="00793377">
        <w:rPr>
          <w:rFonts w:asciiTheme="minorHAnsi" w:hAnsiTheme="minorHAnsi" w:cstheme="minorHAnsi"/>
        </w:rPr>
        <w:t xml:space="preserve"> nezkoumalo a </w:t>
      </w:r>
      <w:r w:rsidR="0059328C" w:rsidRPr="0059328C">
        <w:rPr>
          <w:rFonts w:asciiTheme="minorHAnsi" w:hAnsiTheme="minorHAnsi" w:cstheme="minorHAnsi"/>
        </w:rPr>
        <w:t>neupravilo</w:t>
      </w:r>
      <w:r w:rsidR="0059328C">
        <w:rPr>
          <w:rFonts w:asciiTheme="minorHAnsi" w:hAnsiTheme="minorHAnsi" w:cstheme="minorHAnsi"/>
        </w:rPr>
        <w:t>,</w:t>
      </w:r>
      <w:r w:rsidR="0059328C" w:rsidRPr="0059328C">
        <w:rPr>
          <w:rFonts w:asciiTheme="minorHAnsi" w:hAnsiTheme="minorHAnsi" w:cstheme="minorHAnsi"/>
        </w:rPr>
        <w:t xml:space="preserve"> </w:t>
      </w:r>
      <w:r w:rsidR="002B14DB">
        <w:rPr>
          <w:rFonts w:asciiTheme="minorHAnsi" w:hAnsiTheme="minorHAnsi" w:cstheme="minorHAnsi"/>
        </w:rPr>
        <w:t xml:space="preserve">například </w:t>
      </w:r>
      <w:r w:rsidR="0059328C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="0059328C">
        <w:rPr>
          <w:rFonts w:asciiTheme="minorHAnsi" w:hAnsiTheme="minorHAnsi" w:cstheme="minorHAnsi"/>
        </w:rPr>
        <w:t>návaznosti na vývoj indexu stavebních prací</w:t>
      </w:r>
      <w:r w:rsidR="00A850FE">
        <w:rPr>
          <w:rFonts w:asciiTheme="minorHAnsi" w:hAnsiTheme="minorHAnsi" w:cstheme="minorHAnsi"/>
        </w:rPr>
        <w:t>.</w:t>
      </w:r>
    </w:p>
    <w:p w14:paraId="5324F9E7" w14:textId="297F5C4A" w:rsidR="00192A40" w:rsidRPr="00B12DCF" w:rsidRDefault="00716FEC" w:rsidP="002F5677">
      <w:pPr>
        <w:pStyle w:val="Odstavecseseznamem"/>
        <w:numPr>
          <w:ilvl w:val="0"/>
          <w:numId w:val="37"/>
        </w:numPr>
        <w:ind w:left="357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Jednotkové c</w:t>
      </w:r>
      <w:r w:rsidR="00192A40">
        <w:rPr>
          <w:rFonts w:asciiTheme="minorHAnsi" w:hAnsiTheme="minorHAnsi" w:cstheme="minorHAnsi"/>
        </w:rPr>
        <w:t>eny zahrnují náklady</w:t>
      </w:r>
      <w:r>
        <w:rPr>
          <w:rFonts w:asciiTheme="minorHAnsi" w:hAnsiTheme="minorHAnsi" w:cstheme="minorHAnsi"/>
        </w:rPr>
        <w:t xml:space="preserve"> na akci</w:t>
      </w:r>
      <w:r w:rsidR="00192A40">
        <w:rPr>
          <w:rFonts w:asciiTheme="minorHAnsi" w:hAnsiTheme="minorHAnsi" w:cstheme="minorHAnsi"/>
        </w:rPr>
        <w:t xml:space="preserve"> včetně </w:t>
      </w:r>
      <w:r w:rsidR="004609ED">
        <w:rPr>
          <w:rFonts w:asciiTheme="minorHAnsi" w:hAnsiTheme="minorHAnsi" w:cstheme="minorHAnsi"/>
        </w:rPr>
        <w:t>veškerého vybavení a </w:t>
      </w:r>
      <w:r w:rsidR="00192A40">
        <w:rPr>
          <w:rFonts w:asciiTheme="minorHAnsi" w:hAnsiTheme="minorHAnsi" w:cstheme="minorHAnsi"/>
        </w:rPr>
        <w:t xml:space="preserve">nezohledňují </w:t>
      </w:r>
      <w:r w:rsidR="00192A40" w:rsidRPr="00716FEC">
        <w:rPr>
          <w:rFonts w:asciiTheme="minorHAnsi" w:hAnsiTheme="minorHAnsi" w:cstheme="minorHAnsi"/>
        </w:rPr>
        <w:t xml:space="preserve">ceny stavebních prací </w:t>
      </w:r>
      <w:r w:rsidR="001A15FF">
        <w:rPr>
          <w:rFonts w:asciiTheme="minorHAnsi" w:hAnsiTheme="minorHAnsi" w:cstheme="minorHAnsi"/>
        </w:rPr>
        <w:t xml:space="preserve">samostatně </w:t>
      </w:r>
      <w:r w:rsidR="00192A40" w:rsidRPr="00716FEC">
        <w:rPr>
          <w:rFonts w:asciiTheme="minorHAnsi" w:hAnsiTheme="minorHAnsi" w:cstheme="minorHAnsi"/>
        </w:rPr>
        <w:t xml:space="preserve">bez </w:t>
      </w:r>
      <w:r w:rsidRPr="00716FEC">
        <w:rPr>
          <w:rFonts w:asciiTheme="minorHAnsi" w:hAnsiTheme="minorHAnsi" w:cstheme="minorHAnsi"/>
        </w:rPr>
        <w:t xml:space="preserve">cen </w:t>
      </w:r>
      <w:r w:rsidR="00192A40" w:rsidRPr="00716FEC">
        <w:rPr>
          <w:rFonts w:asciiTheme="minorHAnsi" w:hAnsiTheme="minorHAnsi" w:cstheme="minorHAnsi"/>
        </w:rPr>
        <w:t>strojů</w:t>
      </w:r>
      <w:r>
        <w:rPr>
          <w:rFonts w:asciiTheme="minorHAnsi" w:hAnsiTheme="minorHAnsi" w:cstheme="minorHAnsi"/>
        </w:rPr>
        <w:t xml:space="preserve">, </w:t>
      </w:r>
      <w:r w:rsidR="00192A40">
        <w:rPr>
          <w:rFonts w:asciiTheme="minorHAnsi" w:hAnsiTheme="minorHAnsi" w:cstheme="minorHAnsi"/>
        </w:rPr>
        <w:t>přístrojů</w:t>
      </w:r>
      <w:r>
        <w:rPr>
          <w:rFonts w:asciiTheme="minorHAnsi" w:hAnsiTheme="minorHAnsi" w:cstheme="minorHAnsi"/>
        </w:rPr>
        <w:t xml:space="preserve"> </w:t>
      </w:r>
      <w:r w:rsidR="001A15FF">
        <w:rPr>
          <w:rFonts w:asciiTheme="minorHAnsi" w:hAnsiTheme="minorHAnsi" w:cstheme="minorHAnsi"/>
        </w:rPr>
        <w:t>či</w:t>
      </w:r>
      <w:r>
        <w:rPr>
          <w:rFonts w:asciiTheme="minorHAnsi" w:hAnsiTheme="minorHAnsi" w:cstheme="minorHAnsi"/>
        </w:rPr>
        <w:t xml:space="preserve"> dalšího </w:t>
      </w:r>
      <w:r w:rsidR="00030B65">
        <w:rPr>
          <w:rFonts w:asciiTheme="minorHAnsi" w:hAnsiTheme="minorHAnsi" w:cstheme="minorHAnsi"/>
        </w:rPr>
        <w:t>zařízení a </w:t>
      </w:r>
      <w:r w:rsidR="001A15FF">
        <w:rPr>
          <w:rFonts w:asciiTheme="minorHAnsi" w:hAnsiTheme="minorHAnsi" w:cstheme="minorHAnsi"/>
        </w:rPr>
        <w:t>inventáře</w:t>
      </w:r>
      <w:r>
        <w:rPr>
          <w:rFonts w:asciiTheme="minorHAnsi" w:hAnsiTheme="minorHAnsi" w:cstheme="minorHAnsi"/>
        </w:rPr>
        <w:t>. Přitom c</w:t>
      </w:r>
      <w:r w:rsidR="00192A40">
        <w:rPr>
          <w:rFonts w:asciiTheme="minorHAnsi" w:hAnsiTheme="minorHAnsi" w:cstheme="minorHAnsi"/>
        </w:rPr>
        <w:t xml:space="preserve">eny </w:t>
      </w:r>
      <w:r>
        <w:rPr>
          <w:rFonts w:asciiTheme="minorHAnsi" w:hAnsiTheme="minorHAnsi" w:cstheme="minorHAnsi"/>
        </w:rPr>
        <w:t xml:space="preserve">za </w:t>
      </w:r>
      <w:r w:rsidR="00192A40">
        <w:rPr>
          <w:rFonts w:asciiTheme="minorHAnsi" w:hAnsiTheme="minorHAnsi" w:cstheme="minorHAnsi"/>
        </w:rPr>
        <w:t>pořízení strojů, přístrojů</w:t>
      </w:r>
      <w:r>
        <w:rPr>
          <w:rFonts w:asciiTheme="minorHAnsi" w:hAnsiTheme="minorHAnsi" w:cstheme="minorHAnsi"/>
        </w:rPr>
        <w:t xml:space="preserve"> a </w:t>
      </w:r>
      <w:r w:rsidR="001A15FF">
        <w:rPr>
          <w:rFonts w:asciiTheme="minorHAnsi" w:hAnsiTheme="minorHAnsi" w:cstheme="minorHAnsi"/>
        </w:rPr>
        <w:t xml:space="preserve">dalšího </w:t>
      </w:r>
      <w:r w:rsidR="00192A40">
        <w:rPr>
          <w:rFonts w:asciiTheme="minorHAnsi" w:hAnsiTheme="minorHAnsi" w:cstheme="minorHAnsi"/>
        </w:rPr>
        <w:t>vybavení se mohou u jednotlivých akcí značně lišit. Příkladem, kdy významnou část ceny akce (</w:t>
      </w:r>
      <w:r w:rsidR="001A15FF">
        <w:rPr>
          <w:rFonts w:asciiTheme="minorHAnsi" w:hAnsiTheme="minorHAnsi" w:cstheme="minorHAnsi"/>
        </w:rPr>
        <w:t>8,5 </w:t>
      </w:r>
      <w:r>
        <w:rPr>
          <w:rFonts w:asciiTheme="minorHAnsi" w:hAnsiTheme="minorHAnsi" w:cstheme="minorHAnsi"/>
        </w:rPr>
        <w:t>%</w:t>
      </w:r>
      <w:r w:rsidR="00192A40">
        <w:rPr>
          <w:rFonts w:asciiTheme="minorHAnsi" w:hAnsiTheme="minorHAnsi" w:cstheme="minorHAnsi"/>
        </w:rPr>
        <w:t xml:space="preserve">) tvořila cena </w:t>
      </w:r>
      <w:r w:rsidR="00520973">
        <w:rPr>
          <w:rFonts w:asciiTheme="minorHAnsi" w:hAnsiTheme="minorHAnsi" w:cstheme="minorHAnsi"/>
        </w:rPr>
        <w:t>vybavení včetně</w:t>
      </w:r>
      <w:r w:rsidR="001A15FF">
        <w:rPr>
          <w:rFonts w:asciiTheme="minorHAnsi" w:hAnsiTheme="minorHAnsi" w:cstheme="minorHAnsi"/>
        </w:rPr>
        <w:t xml:space="preserve"> </w:t>
      </w:r>
      <w:r w:rsidR="00192A40">
        <w:rPr>
          <w:rFonts w:asciiTheme="minorHAnsi" w:hAnsiTheme="minorHAnsi" w:cstheme="minorHAnsi"/>
        </w:rPr>
        <w:t>přístroj</w:t>
      </w:r>
      <w:r w:rsidR="00520973">
        <w:rPr>
          <w:rFonts w:asciiTheme="minorHAnsi" w:hAnsiTheme="minorHAnsi" w:cstheme="minorHAnsi"/>
        </w:rPr>
        <w:t>ů</w:t>
      </w:r>
      <w:r w:rsidR="00192A40">
        <w:rPr>
          <w:rFonts w:asciiTheme="minorHAnsi" w:hAnsiTheme="minorHAnsi" w:cstheme="minorHAnsi"/>
        </w:rPr>
        <w:t xml:space="preserve">, je akce </w:t>
      </w:r>
      <w:r w:rsidR="00192A40">
        <w:rPr>
          <w:rFonts w:asciiTheme="minorHAnsi" w:hAnsiTheme="minorHAnsi" w:cstheme="minorHAnsi"/>
          <w:i/>
        </w:rPr>
        <w:t>ČVUT-CIIRC</w:t>
      </w:r>
      <w:r w:rsidR="00192A40">
        <w:rPr>
          <w:rFonts w:asciiTheme="minorHAnsi" w:hAnsiTheme="minorHAnsi" w:cstheme="minorHAnsi"/>
        </w:rPr>
        <w:t>.</w:t>
      </w:r>
      <w:r w:rsidR="00192A40" w:rsidRPr="00BF1E61">
        <w:rPr>
          <w:rFonts w:asciiTheme="minorHAnsi" w:hAnsiTheme="minorHAnsi" w:cstheme="minorHAnsi"/>
        </w:rPr>
        <w:t xml:space="preserve"> </w:t>
      </w:r>
      <w:r w:rsidR="00192A40">
        <w:rPr>
          <w:rFonts w:asciiTheme="minorHAnsi" w:hAnsiTheme="minorHAnsi" w:cstheme="minorHAnsi"/>
        </w:rPr>
        <w:t xml:space="preserve">Pro dosažení lepší vypovídací schopnosti </w:t>
      </w:r>
      <w:r w:rsidR="00520973">
        <w:rPr>
          <w:rFonts w:asciiTheme="minorHAnsi" w:hAnsiTheme="minorHAnsi" w:cstheme="minorHAnsi"/>
        </w:rPr>
        <w:t>je nutné</w:t>
      </w:r>
      <w:r>
        <w:rPr>
          <w:rFonts w:asciiTheme="minorHAnsi" w:hAnsiTheme="minorHAnsi" w:cstheme="minorHAnsi"/>
        </w:rPr>
        <w:t xml:space="preserve"> </w:t>
      </w:r>
      <w:r w:rsidR="00192A40">
        <w:rPr>
          <w:rFonts w:asciiTheme="minorHAnsi" w:hAnsiTheme="minorHAnsi" w:cstheme="minorHAnsi"/>
        </w:rPr>
        <w:t>posuzovat cenu za stavbu, včetně souvisejících projektových a dalších prací, odděleně od ceny za pořízení strojů, přístrojů,</w:t>
      </w:r>
      <w:r>
        <w:rPr>
          <w:rFonts w:asciiTheme="minorHAnsi" w:hAnsiTheme="minorHAnsi" w:cstheme="minorHAnsi"/>
        </w:rPr>
        <w:t xml:space="preserve"> zařízení, vybavení a inventáře.</w:t>
      </w:r>
    </w:p>
    <w:p w14:paraId="4C940422" w14:textId="2C5C50CA" w:rsidR="00192A40" w:rsidRDefault="00716FEC" w:rsidP="00CE5800">
      <w:pPr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Problematické z</w:t>
      </w:r>
      <w:r w:rsidR="006C21AD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 xml:space="preserve">hlediska posuzování jednotkových cen jsou akce, které </w:t>
      </w:r>
      <w:r w:rsidR="00192A40" w:rsidRPr="00716FEC">
        <w:rPr>
          <w:rFonts w:asciiTheme="minorHAnsi" w:hAnsiTheme="minorHAnsi" w:cstheme="minorHAnsi"/>
        </w:rPr>
        <w:t xml:space="preserve">zahrnují zároveň výstavbu i rekonstrukci prostor, </w:t>
      </w:r>
      <w:r>
        <w:rPr>
          <w:rFonts w:asciiTheme="minorHAnsi" w:hAnsiTheme="minorHAnsi" w:cstheme="minorHAnsi"/>
        </w:rPr>
        <w:t>nebo zároveň rekonstrukci prostor a zateplení</w:t>
      </w:r>
      <w:r w:rsidR="0057322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8906EA">
        <w:rPr>
          <w:rFonts w:asciiTheme="minorHAnsi" w:hAnsiTheme="minorHAnsi" w:cstheme="minorHAnsi"/>
        </w:rPr>
        <w:t>resp.</w:t>
      </w:r>
      <w:r>
        <w:rPr>
          <w:rFonts w:asciiTheme="minorHAnsi" w:hAnsiTheme="minorHAnsi" w:cstheme="minorHAnsi"/>
        </w:rPr>
        <w:t xml:space="preserve"> obnovu obvodového pláště objektu. MŠMT u takovýchto akcí není schopno přesně rozdělit celkovou cenu</w:t>
      </w:r>
      <w:r w:rsidR="008906EA">
        <w:rPr>
          <w:rFonts w:asciiTheme="minorHAnsi" w:hAnsiTheme="minorHAnsi" w:cstheme="minorHAnsi"/>
        </w:rPr>
        <w:t xml:space="preserve"> na sledované kategorie, neboť VVŠ předkládají cenu souhrnnou.</w:t>
      </w:r>
      <w:r>
        <w:rPr>
          <w:rFonts w:asciiTheme="minorHAnsi" w:hAnsiTheme="minorHAnsi" w:cstheme="minorHAnsi"/>
        </w:rPr>
        <w:t xml:space="preserve"> Přitom například </w:t>
      </w:r>
      <w:r w:rsidR="00192A40" w:rsidRPr="00716FEC">
        <w:rPr>
          <w:rFonts w:asciiTheme="minorHAnsi" w:hAnsiTheme="minorHAnsi" w:cstheme="minorHAnsi"/>
        </w:rPr>
        <w:t xml:space="preserve">orientační jednotková cena </w:t>
      </w:r>
      <w:r w:rsidR="008906EA">
        <w:rPr>
          <w:rFonts w:asciiTheme="minorHAnsi" w:hAnsiTheme="minorHAnsi" w:cstheme="minorHAnsi"/>
        </w:rPr>
        <w:t xml:space="preserve">za </w:t>
      </w:r>
      <w:r w:rsidR="0057322A">
        <w:rPr>
          <w:rFonts w:asciiTheme="minorHAnsi" w:hAnsiTheme="minorHAnsi" w:cstheme="minorHAnsi"/>
        </w:rPr>
        <w:t>1 </w:t>
      </w:r>
      <w:r w:rsidR="008906EA">
        <w:rPr>
          <w:rFonts w:asciiTheme="minorHAnsi" w:hAnsiTheme="minorHAnsi" w:cstheme="minorHAnsi"/>
        </w:rPr>
        <w:t>m</w:t>
      </w:r>
      <w:r w:rsidR="008906EA">
        <w:rPr>
          <w:rFonts w:asciiTheme="minorHAnsi" w:hAnsiTheme="minorHAnsi" w:cstheme="minorHAnsi"/>
          <w:vertAlign w:val="superscript"/>
        </w:rPr>
        <w:t>2</w:t>
      </w:r>
      <w:r w:rsidR="008906EA">
        <w:rPr>
          <w:rFonts w:asciiTheme="minorHAnsi" w:hAnsiTheme="minorHAnsi" w:cstheme="minorHAnsi"/>
        </w:rPr>
        <w:t xml:space="preserve"> užitné plochy nově získané a </w:t>
      </w:r>
      <w:r w:rsidR="0057322A">
        <w:rPr>
          <w:rFonts w:asciiTheme="minorHAnsi" w:hAnsiTheme="minorHAnsi" w:cstheme="minorHAnsi"/>
        </w:rPr>
        <w:t>1 </w:t>
      </w:r>
      <w:r w:rsidR="008906EA" w:rsidRPr="008906EA">
        <w:rPr>
          <w:rFonts w:asciiTheme="minorHAnsi" w:hAnsiTheme="minorHAnsi" w:cstheme="minorHAnsi"/>
        </w:rPr>
        <w:t>m</w:t>
      </w:r>
      <w:r w:rsidR="008906EA" w:rsidRPr="008906EA">
        <w:rPr>
          <w:rFonts w:asciiTheme="minorHAnsi" w:hAnsiTheme="minorHAnsi" w:cstheme="minorHAnsi"/>
          <w:vertAlign w:val="superscript"/>
        </w:rPr>
        <w:t>2</w:t>
      </w:r>
      <w:r w:rsidR="008906EA">
        <w:rPr>
          <w:rFonts w:asciiTheme="minorHAnsi" w:hAnsiTheme="minorHAnsi" w:cstheme="minorHAnsi"/>
        </w:rPr>
        <w:t xml:space="preserve"> </w:t>
      </w:r>
      <w:r w:rsidR="008906EA" w:rsidRPr="008906EA">
        <w:rPr>
          <w:rFonts w:asciiTheme="minorHAnsi" w:hAnsiTheme="minorHAnsi" w:cstheme="minorHAnsi"/>
        </w:rPr>
        <w:t>užitné</w:t>
      </w:r>
      <w:r w:rsidR="008906EA">
        <w:rPr>
          <w:rFonts w:asciiTheme="minorHAnsi" w:hAnsiTheme="minorHAnsi" w:cstheme="minorHAnsi"/>
        </w:rPr>
        <w:t xml:space="preserve"> plochy technické obnovy se </w:t>
      </w:r>
      <w:r w:rsidR="00192A40" w:rsidRPr="00716FEC">
        <w:rPr>
          <w:rFonts w:asciiTheme="minorHAnsi" w:hAnsiTheme="minorHAnsi" w:cstheme="minorHAnsi"/>
        </w:rPr>
        <w:t xml:space="preserve">výrazně liší (30 000 Kč a 50 000 Kč za </w:t>
      </w:r>
      <w:r w:rsidR="0057322A">
        <w:rPr>
          <w:rFonts w:asciiTheme="minorHAnsi" w:hAnsiTheme="minorHAnsi" w:cstheme="minorHAnsi"/>
        </w:rPr>
        <w:t>1 </w:t>
      </w:r>
      <w:r w:rsidR="00192A40" w:rsidRPr="00716FEC">
        <w:rPr>
          <w:rFonts w:asciiTheme="minorHAnsi" w:hAnsiTheme="minorHAnsi" w:cstheme="minorHAnsi"/>
        </w:rPr>
        <w:t>m</w:t>
      </w:r>
      <w:r w:rsidR="00192A40" w:rsidRPr="00716FEC">
        <w:rPr>
          <w:rFonts w:asciiTheme="minorHAnsi" w:hAnsiTheme="minorHAnsi" w:cstheme="minorHAnsi"/>
          <w:vertAlign w:val="superscript"/>
        </w:rPr>
        <w:t>2</w:t>
      </w:r>
      <w:r w:rsidR="008906EA">
        <w:rPr>
          <w:rFonts w:asciiTheme="minorHAnsi" w:hAnsiTheme="minorHAnsi" w:cstheme="minorHAnsi"/>
        </w:rPr>
        <w:t>).</w:t>
      </w:r>
      <w:r w:rsidR="001B0A8A">
        <w:rPr>
          <w:rFonts w:asciiTheme="minorHAnsi" w:hAnsiTheme="minorHAnsi" w:cstheme="minorHAnsi"/>
        </w:rPr>
        <w:t xml:space="preserve"> </w:t>
      </w:r>
      <w:r w:rsidR="00E9096E">
        <w:rPr>
          <w:rFonts w:asciiTheme="minorHAnsi" w:hAnsiTheme="minorHAnsi" w:cstheme="minorHAnsi"/>
        </w:rPr>
        <w:t xml:space="preserve">Příklady jednotkových cen akcí jsou uvedeny </w:t>
      </w:r>
      <w:r w:rsidR="00030B65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="00030B65">
        <w:rPr>
          <w:rFonts w:asciiTheme="minorHAnsi" w:hAnsiTheme="minorHAnsi" w:cstheme="minorHAnsi"/>
        </w:rPr>
        <w:t>příloze č. 3,</w:t>
      </w:r>
      <w:r w:rsidR="00965785" w:rsidRPr="00E22069">
        <w:rPr>
          <w:rFonts w:asciiTheme="minorHAnsi" w:hAnsiTheme="minorHAnsi" w:cstheme="minorHAnsi"/>
        </w:rPr>
        <w:t xml:space="preserve"> </w:t>
      </w:r>
      <w:r w:rsidR="00030B65">
        <w:rPr>
          <w:rFonts w:asciiTheme="minorHAnsi" w:hAnsiTheme="minorHAnsi" w:cstheme="minorHAnsi"/>
        </w:rPr>
        <w:t>z</w:t>
      </w:r>
      <w:r w:rsidR="006C21AD">
        <w:rPr>
          <w:rFonts w:asciiTheme="minorHAnsi" w:hAnsiTheme="minorHAnsi" w:cstheme="minorHAnsi"/>
        </w:rPr>
        <w:t> </w:t>
      </w:r>
      <w:r w:rsidR="00965785" w:rsidRPr="00793377">
        <w:rPr>
          <w:rFonts w:asciiTheme="minorHAnsi" w:hAnsiTheme="minorHAnsi" w:cstheme="minorHAnsi"/>
        </w:rPr>
        <w:t>uvedených hodnot je patrn</w:t>
      </w:r>
      <w:r w:rsidR="00B6762C" w:rsidRPr="00793377">
        <w:rPr>
          <w:rFonts w:asciiTheme="minorHAnsi" w:hAnsiTheme="minorHAnsi" w:cstheme="minorHAnsi"/>
        </w:rPr>
        <w:t xml:space="preserve">ý </w:t>
      </w:r>
      <w:r w:rsidR="00030B65">
        <w:rPr>
          <w:rFonts w:asciiTheme="minorHAnsi" w:hAnsiTheme="minorHAnsi" w:cstheme="minorHAnsi"/>
        </w:rPr>
        <w:t xml:space="preserve">jejich </w:t>
      </w:r>
      <w:r w:rsidR="00B6762C" w:rsidRPr="00793377">
        <w:rPr>
          <w:rFonts w:asciiTheme="minorHAnsi" w:hAnsiTheme="minorHAnsi" w:cstheme="minorHAnsi"/>
        </w:rPr>
        <w:t xml:space="preserve">velký rozptyl. Důvodem je </w:t>
      </w:r>
      <w:r w:rsidR="00030B65">
        <w:rPr>
          <w:rFonts w:asciiTheme="minorHAnsi" w:hAnsiTheme="minorHAnsi" w:cstheme="minorHAnsi"/>
        </w:rPr>
        <w:t>mj.</w:t>
      </w:r>
      <w:r w:rsidR="005E5CD1" w:rsidRPr="00793377">
        <w:rPr>
          <w:rFonts w:asciiTheme="minorHAnsi" w:hAnsiTheme="minorHAnsi" w:cstheme="minorHAnsi"/>
        </w:rPr>
        <w:t xml:space="preserve"> </w:t>
      </w:r>
      <w:r w:rsidR="00B6762C" w:rsidRPr="00793377">
        <w:rPr>
          <w:rFonts w:asciiTheme="minorHAnsi" w:hAnsiTheme="minorHAnsi" w:cstheme="minorHAnsi"/>
        </w:rPr>
        <w:t>různý c</w:t>
      </w:r>
      <w:r w:rsidR="00143D03">
        <w:rPr>
          <w:rFonts w:asciiTheme="minorHAnsi" w:hAnsiTheme="minorHAnsi" w:cstheme="minorHAnsi"/>
        </w:rPr>
        <w:t>harakter staveb (rekonstrukce a </w:t>
      </w:r>
      <w:r w:rsidR="00B6762C" w:rsidRPr="00793377">
        <w:rPr>
          <w:rFonts w:asciiTheme="minorHAnsi" w:hAnsiTheme="minorHAnsi" w:cstheme="minorHAnsi"/>
        </w:rPr>
        <w:t xml:space="preserve">modernizace stávajícího objektu, zvětšení kapacity dostavbou objektu nebo novostavba objektu, která je zpravidla nejdražší) </w:t>
      </w:r>
      <w:r w:rsidR="005E5CD1" w:rsidRPr="00793377">
        <w:rPr>
          <w:rFonts w:asciiTheme="minorHAnsi" w:hAnsiTheme="minorHAnsi" w:cstheme="minorHAnsi"/>
        </w:rPr>
        <w:t xml:space="preserve">a dále </w:t>
      </w:r>
      <w:r w:rsidR="00B6762C" w:rsidRPr="00793377">
        <w:rPr>
          <w:rFonts w:asciiTheme="minorHAnsi" w:hAnsiTheme="minorHAnsi" w:cstheme="minorHAnsi"/>
        </w:rPr>
        <w:t>konkrétní technické a technologické aspekty realizace stavby</w:t>
      </w:r>
      <w:r w:rsidR="00492262" w:rsidRPr="00793377">
        <w:rPr>
          <w:rStyle w:val="Znakapoznpodarou"/>
          <w:rFonts w:asciiTheme="minorHAnsi" w:hAnsiTheme="minorHAnsi" w:cstheme="minorHAnsi"/>
        </w:rPr>
        <w:footnoteReference w:id="14"/>
      </w:r>
      <w:r w:rsidR="00B6762C" w:rsidRPr="00793377">
        <w:rPr>
          <w:rFonts w:asciiTheme="minorHAnsi" w:hAnsiTheme="minorHAnsi" w:cstheme="minorHAnsi"/>
        </w:rPr>
        <w:t xml:space="preserve"> spolu se standardem případně nadstandardem vybavení</w:t>
      </w:r>
      <w:r w:rsidR="00492262" w:rsidRPr="00793377">
        <w:rPr>
          <w:rFonts w:asciiTheme="minorHAnsi" w:hAnsiTheme="minorHAnsi" w:cstheme="minorHAnsi"/>
        </w:rPr>
        <w:t xml:space="preserve"> v</w:t>
      </w:r>
      <w:r w:rsidR="006C21AD">
        <w:rPr>
          <w:rFonts w:asciiTheme="minorHAnsi" w:hAnsiTheme="minorHAnsi" w:cstheme="minorHAnsi"/>
        </w:rPr>
        <w:t> </w:t>
      </w:r>
      <w:r w:rsidR="00492262" w:rsidRPr="00793377">
        <w:rPr>
          <w:rFonts w:asciiTheme="minorHAnsi" w:hAnsiTheme="minorHAnsi" w:cstheme="minorHAnsi"/>
        </w:rPr>
        <w:t>důsledku rozmanitosti profesního zaměření školy</w:t>
      </w:r>
      <w:r w:rsidR="00B6762C" w:rsidRPr="00793377">
        <w:rPr>
          <w:rFonts w:asciiTheme="minorHAnsi" w:hAnsiTheme="minorHAnsi" w:cstheme="minorHAnsi"/>
        </w:rPr>
        <w:t xml:space="preserve"> nebo </w:t>
      </w:r>
      <w:r w:rsidR="001A15FF">
        <w:rPr>
          <w:rFonts w:asciiTheme="minorHAnsi" w:hAnsiTheme="minorHAnsi" w:cstheme="minorHAnsi"/>
        </w:rPr>
        <w:t xml:space="preserve">i </w:t>
      </w:r>
      <w:r w:rsidR="00492262" w:rsidRPr="00793377">
        <w:rPr>
          <w:rFonts w:asciiTheme="minorHAnsi" w:hAnsiTheme="minorHAnsi" w:cstheme="minorHAnsi"/>
        </w:rPr>
        <w:t xml:space="preserve">nutné </w:t>
      </w:r>
      <w:r w:rsidR="00B6762C" w:rsidRPr="00793377">
        <w:rPr>
          <w:rFonts w:asciiTheme="minorHAnsi" w:hAnsiTheme="minorHAnsi" w:cstheme="minorHAnsi"/>
        </w:rPr>
        <w:t>respektování památkové ochrany objektů.</w:t>
      </w:r>
    </w:p>
    <w:p w14:paraId="7383F016" w14:textId="77777777" w:rsidR="00C37C6A" w:rsidRPr="005E5CD1" w:rsidRDefault="00C37C6A" w:rsidP="00C37C6A">
      <w:pPr>
        <w:jc w:val="both"/>
        <w:rPr>
          <w:rFonts w:asciiTheme="minorHAnsi" w:hAnsiTheme="minorHAnsi" w:cstheme="minorHAnsi"/>
        </w:rPr>
      </w:pPr>
    </w:p>
    <w:p w14:paraId="3F4336D8" w14:textId="184420C4" w:rsidR="00896FE1" w:rsidRPr="006C21AD" w:rsidRDefault="006C21AD" w:rsidP="006C21AD">
      <w:pPr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  <w:b/>
        </w:rPr>
        <w:t xml:space="preserve">3. </w:t>
      </w:r>
      <w:r w:rsidR="006A3E7F" w:rsidRPr="006C21AD">
        <w:rPr>
          <w:rFonts w:ascii="Calibri" w:hAnsi="Calibri" w:cs="Calibri"/>
          <w:b/>
        </w:rPr>
        <w:t>H</w:t>
      </w:r>
      <w:r w:rsidR="00E53D8B" w:rsidRPr="006C21AD">
        <w:rPr>
          <w:rFonts w:ascii="Calibri" w:hAnsi="Calibri" w:cs="Calibri"/>
          <w:b/>
        </w:rPr>
        <w:t xml:space="preserve">odnocení </w:t>
      </w:r>
      <w:r w:rsidR="006A3E7F" w:rsidRPr="006C21AD">
        <w:rPr>
          <w:rFonts w:ascii="Calibri" w:hAnsi="Calibri" w:cs="Calibri"/>
          <w:b/>
        </w:rPr>
        <w:t xml:space="preserve">plnění </w:t>
      </w:r>
      <w:r w:rsidR="00E53D8B" w:rsidRPr="006C21AD">
        <w:rPr>
          <w:rFonts w:ascii="Calibri" w:hAnsi="Calibri" w:cs="Calibri"/>
          <w:b/>
        </w:rPr>
        <w:t>cílů programu</w:t>
      </w:r>
    </w:p>
    <w:p w14:paraId="0DAE3480" w14:textId="66C5CAD4" w:rsidR="000023E2" w:rsidRDefault="0057322A" w:rsidP="000023E2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devět let trvajícím </w:t>
      </w:r>
      <w:proofErr w:type="gramStart"/>
      <w:r>
        <w:rPr>
          <w:rFonts w:asciiTheme="minorHAnsi" w:hAnsiTheme="minorHAnsi" w:cstheme="minorHAnsi"/>
        </w:rPr>
        <w:t>programu</w:t>
      </w:r>
      <w:proofErr w:type="gramEnd"/>
      <w:r w:rsidR="00870471">
        <w:rPr>
          <w:rFonts w:asciiTheme="minorHAnsi" w:hAnsiTheme="minorHAnsi" w:cstheme="minorHAnsi"/>
        </w:rPr>
        <w:t xml:space="preserve"> </w:t>
      </w:r>
      <w:r w:rsidR="000023E2" w:rsidRPr="000A030F">
        <w:rPr>
          <w:rFonts w:asciiTheme="minorHAnsi" w:hAnsiTheme="minorHAnsi" w:cstheme="minorHAnsi"/>
        </w:rPr>
        <w:t>ne</w:t>
      </w:r>
      <w:r w:rsidR="00E9096E">
        <w:rPr>
          <w:rFonts w:asciiTheme="minorHAnsi" w:hAnsiTheme="minorHAnsi" w:cstheme="minorHAnsi"/>
        </w:rPr>
        <w:t>stanovilo</w:t>
      </w:r>
      <w:r w:rsidR="00870471">
        <w:rPr>
          <w:rFonts w:asciiTheme="minorHAnsi" w:hAnsiTheme="minorHAnsi" w:cstheme="minorHAnsi"/>
        </w:rPr>
        <w:t xml:space="preserve"> </w:t>
      </w:r>
      <w:r w:rsidRPr="000A030F">
        <w:rPr>
          <w:rFonts w:asciiTheme="minorHAnsi" w:hAnsiTheme="minorHAnsi" w:cstheme="minorHAnsi"/>
        </w:rPr>
        <w:t xml:space="preserve">MŠMT </w:t>
      </w:r>
      <w:r w:rsidR="00520973">
        <w:rPr>
          <w:rFonts w:asciiTheme="minorHAnsi" w:hAnsiTheme="minorHAnsi" w:cstheme="minorHAnsi"/>
        </w:rPr>
        <w:t xml:space="preserve">žádné </w:t>
      </w:r>
      <w:r w:rsidR="00E9096E">
        <w:rPr>
          <w:rFonts w:asciiTheme="minorHAnsi" w:hAnsiTheme="minorHAnsi" w:cstheme="minorHAnsi"/>
        </w:rPr>
        <w:t xml:space="preserve">milníky </w:t>
      </w:r>
      <w:r w:rsidR="004A4BCF">
        <w:rPr>
          <w:rFonts w:asciiTheme="minorHAnsi" w:hAnsiTheme="minorHAnsi" w:cstheme="minorHAnsi"/>
        </w:rPr>
        <w:t xml:space="preserve">pro </w:t>
      </w:r>
      <w:r w:rsidR="00896FE1">
        <w:rPr>
          <w:rFonts w:asciiTheme="minorHAnsi" w:hAnsiTheme="minorHAnsi" w:cstheme="minorHAnsi"/>
        </w:rPr>
        <w:t xml:space="preserve">jeho </w:t>
      </w:r>
      <w:r w:rsidR="004A4BCF">
        <w:rPr>
          <w:rFonts w:asciiTheme="minorHAnsi" w:hAnsiTheme="minorHAnsi" w:cstheme="minorHAnsi"/>
        </w:rPr>
        <w:t>hodnocení</w:t>
      </w:r>
      <w:r w:rsidR="00520973">
        <w:rPr>
          <w:rFonts w:asciiTheme="minorHAnsi" w:hAnsiTheme="minorHAnsi" w:cstheme="minorHAnsi"/>
        </w:rPr>
        <w:t xml:space="preserve">. MŠMT </w:t>
      </w:r>
      <w:r w:rsidR="00E9096E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="00E9096E">
        <w:rPr>
          <w:rFonts w:asciiTheme="minorHAnsi" w:hAnsiTheme="minorHAnsi" w:cstheme="minorHAnsi"/>
        </w:rPr>
        <w:t>DP neu</w:t>
      </w:r>
      <w:r w:rsidR="000023E2" w:rsidRPr="000A030F">
        <w:rPr>
          <w:rFonts w:asciiTheme="minorHAnsi" w:hAnsiTheme="minorHAnsi" w:cstheme="minorHAnsi"/>
        </w:rPr>
        <w:t>vedlo</w:t>
      </w:r>
      <w:r w:rsidR="000023E2">
        <w:rPr>
          <w:rFonts w:asciiTheme="minorHAnsi" w:hAnsiTheme="minorHAnsi" w:cstheme="minorHAnsi"/>
        </w:rPr>
        <w:t xml:space="preserve"> kvantifikovaný </w:t>
      </w:r>
      <w:r w:rsidR="000023E2" w:rsidRPr="000A030F">
        <w:rPr>
          <w:rFonts w:asciiTheme="minorHAnsi" w:hAnsiTheme="minorHAnsi" w:cstheme="minorHAnsi"/>
        </w:rPr>
        <w:t>výchozí stav materiálně technické základny jednotlivých VVŠ</w:t>
      </w:r>
      <w:r w:rsidR="00520973">
        <w:rPr>
          <w:rFonts w:asciiTheme="minorHAnsi" w:hAnsiTheme="minorHAnsi" w:cstheme="minorHAnsi"/>
        </w:rPr>
        <w:t>, t</w:t>
      </w:r>
      <w:r w:rsidR="00E9096E">
        <w:rPr>
          <w:rFonts w:asciiTheme="minorHAnsi" w:hAnsiTheme="minorHAnsi" w:cstheme="minorHAnsi"/>
        </w:rPr>
        <w:t xml:space="preserve">ento stav </w:t>
      </w:r>
      <w:r w:rsidR="000023E2" w:rsidRPr="000A030F">
        <w:rPr>
          <w:rFonts w:asciiTheme="minorHAnsi" w:hAnsiTheme="minorHAnsi" w:cstheme="minorHAnsi"/>
        </w:rPr>
        <w:t xml:space="preserve">byl </w:t>
      </w:r>
      <w:r w:rsidR="004605B8">
        <w:rPr>
          <w:rFonts w:asciiTheme="minorHAnsi" w:hAnsiTheme="minorHAnsi" w:cstheme="minorHAnsi"/>
        </w:rPr>
        <w:t>obsažen</w:t>
      </w:r>
      <w:r w:rsidR="000023E2" w:rsidRPr="000A030F">
        <w:rPr>
          <w:rFonts w:asciiTheme="minorHAnsi" w:hAnsiTheme="minorHAnsi" w:cstheme="minorHAnsi"/>
        </w:rPr>
        <w:t xml:space="preserve"> </w:t>
      </w:r>
      <w:r w:rsidR="00E35229">
        <w:rPr>
          <w:rFonts w:asciiTheme="minorHAnsi" w:hAnsiTheme="minorHAnsi" w:cstheme="minorHAnsi"/>
        </w:rPr>
        <w:t xml:space="preserve">pouze </w:t>
      </w:r>
      <w:r w:rsidR="000023E2" w:rsidRPr="000A030F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="000023E2" w:rsidRPr="000A030F">
        <w:rPr>
          <w:rFonts w:asciiTheme="minorHAnsi" w:hAnsiTheme="minorHAnsi" w:cstheme="minorHAnsi"/>
        </w:rPr>
        <w:t>podkladech VVŠ pro tvorbu dokumentace programu</w:t>
      </w:r>
      <w:r w:rsidR="00047F76">
        <w:rPr>
          <w:rFonts w:asciiTheme="minorHAnsi" w:hAnsiTheme="minorHAnsi" w:cstheme="minorHAnsi"/>
        </w:rPr>
        <w:t xml:space="preserve">. </w:t>
      </w:r>
      <w:r w:rsidR="00030B65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="009544FC">
        <w:rPr>
          <w:rFonts w:asciiTheme="minorHAnsi" w:hAnsiTheme="minorHAnsi" w:cstheme="minorHAnsi"/>
        </w:rPr>
        <w:t xml:space="preserve">průběhu realizace programu </w:t>
      </w:r>
      <w:r w:rsidR="00030B65">
        <w:rPr>
          <w:rFonts w:asciiTheme="minorHAnsi" w:hAnsiTheme="minorHAnsi" w:cstheme="minorHAnsi"/>
        </w:rPr>
        <w:t xml:space="preserve">MŠMT </w:t>
      </w:r>
      <w:r w:rsidR="00520973">
        <w:rPr>
          <w:rFonts w:asciiTheme="minorHAnsi" w:hAnsiTheme="minorHAnsi" w:cstheme="minorHAnsi"/>
        </w:rPr>
        <w:t xml:space="preserve">sice </w:t>
      </w:r>
      <w:r w:rsidR="009544FC">
        <w:rPr>
          <w:rFonts w:asciiTheme="minorHAnsi" w:hAnsiTheme="minorHAnsi" w:cstheme="minorHAnsi"/>
        </w:rPr>
        <w:t>monitor</w:t>
      </w:r>
      <w:r w:rsidR="00DA04BE">
        <w:rPr>
          <w:rFonts w:asciiTheme="minorHAnsi" w:hAnsiTheme="minorHAnsi" w:cstheme="minorHAnsi"/>
        </w:rPr>
        <w:t>ovalo</w:t>
      </w:r>
      <w:r w:rsidR="001A15FF">
        <w:rPr>
          <w:rFonts w:asciiTheme="minorHAnsi" w:hAnsiTheme="minorHAnsi" w:cstheme="minorHAnsi"/>
        </w:rPr>
        <w:t xml:space="preserve"> </w:t>
      </w:r>
      <w:r w:rsidR="009544FC">
        <w:rPr>
          <w:rFonts w:asciiTheme="minorHAnsi" w:hAnsiTheme="minorHAnsi" w:cstheme="minorHAnsi"/>
        </w:rPr>
        <w:t>financování jednotlivých akcí</w:t>
      </w:r>
      <w:r w:rsidR="009474E8">
        <w:rPr>
          <w:rFonts w:asciiTheme="minorHAnsi" w:hAnsiTheme="minorHAnsi" w:cstheme="minorHAnsi"/>
        </w:rPr>
        <w:t xml:space="preserve"> ve vztahu k</w:t>
      </w:r>
      <w:r w:rsidR="006C21AD">
        <w:rPr>
          <w:rFonts w:asciiTheme="minorHAnsi" w:hAnsiTheme="minorHAnsi" w:cstheme="minorHAnsi"/>
        </w:rPr>
        <w:t> </w:t>
      </w:r>
      <w:r w:rsidR="009474E8">
        <w:rPr>
          <w:rFonts w:asciiTheme="minorHAnsi" w:hAnsiTheme="minorHAnsi" w:cstheme="minorHAnsi"/>
        </w:rPr>
        <w:t>čerpání rozpočtu</w:t>
      </w:r>
      <w:r w:rsidR="002B33D8">
        <w:rPr>
          <w:rFonts w:asciiTheme="minorHAnsi" w:hAnsiTheme="minorHAnsi" w:cstheme="minorHAnsi"/>
        </w:rPr>
        <w:t>, avšak</w:t>
      </w:r>
      <w:r w:rsidR="00793377">
        <w:rPr>
          <w:rFonts w:asciiTheme="minorHAnsi" w:hAnsiTheme="minorHAnsi" w:cstheme="minorHAnsi"/>
        </w:rPr>
        <w:t xml:space="preserve"> </w:t>
      </w:r>
      <w:r w:rsidR="002B33D8">
        <w:rPr>
          <w:rFonts w:asciiTheme="minorHAnsi" w:hAnsiTheme="minorHAnsi" w:cstheme="minorHAnsi"/>
        </w:rPr>
        <w:t>c</w:t>
      </w:r>
      <w:r w:rsidR="00E35229">
        <w:rPr>
          <w:rFonts w:asciiTheme="minorHAnsi" w:hAnsiTheme="minorHAnsi" w:cstheme="minorHAnsi"/>
        </w:rPr>
        <w:t xml:space="preserve">elkové vyhodnocení splněných </w:t>
      </w:r>
      <w:r w:rsidR="00520973">
        <w:rPr>
          <w:rFonts w:asciiTheme="minorHAnsi" w:hAnsiTheme="minorHAnsi" w:cstheme="minorHAnsi"/>
        </w:rPr>
        <w:t xml:space="preserve">kvantifikovaných </w:t>
      </w:r>
      <w:r w:rsidR="00FA2068">
        <w:rPr>
          <w:rFonts w:asciiTheme="minorHAnsi" w:hAnsiTheme="minorHAnsi" w:cstheme="minorHAnsi"/>
        </w:rPr>
        <w:t xml:space="preserve">cílů </w:t>
      </w:r>
      <w:r w:rsidR="004605B8">
        <w:rPr>
          <w:rFonts w:asciiTheme="minorHAnsi" w:hAnsiTheme="minorHAnsi" w:cstheme="minorHAnsi"/>
        </w:rPr>
        <w:t xml:space="preserve">programu </w:t>
      </w:r>
      <w:r w:rsidR="00E35229">
        <w:rPr>
          <w:rFonts w:asciiTheme="minorHAnsi" w:hAnsiTheme="minorHAnsi" w:cstheme="minorHAnsi"/>
        </w:rPr>
        <w:t>neprovedlo. V</w:t>
      </w:r>
      <w:r w:rsidR="009544FC">
        <w:rPr>
          <w:rFonts w:asciiTheme="minorHAnsi" w:hAnsiTheme="minorHAnsi" w:cstheme="minorHAnsi"/>
        </w:rPr>
        <w:t xml:space="preserve">yhodnocení </w:t>
      </w:r>
      <w:r w:rsidR="00FA2068">
        <w:rPr>
          <w:rFonts w:asciiTheme="minorHAnsi" w:hAnsiTheme="minorHAnsi" w:cstheme="minorHAnsi"/>
        </w:rPr>
        <w:t xml:space="preserve">plnění </w:t>
      </w:r>
      <w:r w:rsidR="00E35229">
        <w:rPr>
          <w:rFonts w:asciiTheme="minorHAnsi" w:hAnsiTheme="minorHAnsi" w:cstheme="minorHAnsi"/>
        </w:rPr>
        <w:t xml:space="preserve">cílů </w:t>
      </w:r>
      <w:r w:rsidR="00030B65">
        <w:rPr>
          <w:rFonts w:asciiTheme="minorHAnsi" w:hAnsiTheme="minorHAnsi" w:cstheme="minorHAnsi"/>
        </w:rPr>
        <w:t xml:space="preserve">MŠMT </w:t>
      </w:r>
      <w:r w:rsidR="009544FC">
        <w:rPr>
          <w:rFonts w:asciiTheme="minorHAnsi" w:hAnsiTheme="minorHAnsi" w:cstheme="minorHAnsi"/>
        </w:rPr>
        <w:t xml:space="preserve">předpokládá provést až </w:t>
      </w:r>
      <w:r w:rsidR="00FA2068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="00FA2068">
        <w:rPr>
          <w:rFonts w:asciiTheme="minorHAnsi" w:hAnsiTheme="minorHAnsi" w:cstheme="minorHAnsi"/>
        </w:rPr>
        <w:t xml:space="preserve">rámci závěrečného vyhodnocení </w:t>
      </w:r>
      <w:r w:rsidR="009544FC">
        <w:rPr>
          <w:rFonts w:asciiTheme="minorHAnsi" w:hAnsiTheme="minorHAnsi" w:cstheme="minorHAnsi"/>
        </w:rPr>
        <w:t xml:space="preserve">po ukončení </w:t>
      </w:r>
      <w:r w:rsidR="00FA2068">
        <w:rPr>
          <w:rFonts w:asciiTheme="minorHAnsi" w:hAnsiTheme="minorHAnsi" w:cstheme="minorHAnsi"/>
        </w:rPr>
        <w:t>programu (</w:t>
      </w:r>
      <w:r w:rsidR="002B33D8">
        <w:rPr>
          <w:rFonts w:asciiTheme="minorHAnsi" w:hAnsiTheme="minorHAnsi" w:cstheme="minorHAnsi"/>
        </w:rPr>
        <w:t>tj. </w:t>
      </w:r>
      <w:r w:rsidR="009544FC">
        <w:rPr>
          <w:rFonts w:asciiTheme="minorHAnsi" w:hAnsiTheme="minorHAnsi" w:cstheme="minorHAnsi"/>
        </w:rPr>
        <w:t xml:space="preserve">po roce 2019). </w:t>
      </w:r>
      <w:r w:rsidR="00E53D8B">
        <w:rPr>
          <w:rFonts w:asciiTheme="minorHAnsi" w:hAnsiTheme="minorHAnsi" w:cstheme="minorHAnsi"/>
        </w:rPr>
        <w:t>MŠMT tak v</w:t>
      </w:r>
      <w:r w:rsidR="006C21AD">
        <w:rPr>
          <w:rFonts w:asciiTheme="minorHAnsi" w:hAnsiTheme="minorHAnsi" w:cstheme="minorHAnsi"/>
        </w:rPr>
        <w:t> </w:t>
      </w:r>
      <w:r w:rsidR="00E53D8B">
        <w:rPr>
          <w:rFonts w:asciiTheme="minorHAnsi" w:hAnsiTheme="minorHAnsi" w:cstheme="minorHAnsi"/>
        </w:rPr>
        <w:t xml:space="preserve">průběhu </w:t>
      </w:r>
      <w:r w:rsidR="00A90396">
        <w:rPr>
          <w:rFonts w:asciiTheme="minorHAnsi" w:hAnsiTheme="minorHAnsi" w:cstheme="minorHAnsi"/>
        </w:rPr>
        <w:t xml:space="preserve">devítileté </w:t>
      </w:r>
      <w:r w:rsidR="00E53D8B">
        <w:rPr>
          <w:rFonts w:asciiTheme="minorHAnsi" w:hAnsiTheme="minorHAnsi" w:cstheme="minorHAnsi"/>
        </w:rPr>
        <w:t>realizace programu nemá přehled o</w:t>
      </w:r>
      <w:r>
        <w:rPr>
          <w:rFonts w:asciiTheme="minorHAnsi" w:hAnsiTheme="minorHAnsi" w:cstheme="minorHAnsi"/>
        </w:rPr>
        <w:t> </w:t>
      </w:r>
      <w:r w:rsidR="00E53D8B">
        <w:rPr>
          <w:rFonts w:asciiTheme="minorHAnsi" w:hAnsiTheme="minorHAnsi" w:cstheme="minorHAnsi"/>
        </w:rPr>
        <w:t>naplňování stanovených kvantifikovaných cílů programu</w:t>
      </w:r>
      <w:r w:rsidR="001B0A8A">
        <w:rPr>
          <w:rFonts w:asciiTheme="minorHAnsi" w:hAnsiTheme="minorHAnsi" w:cstheme="minorHAnsi"/>
        </w:rPr>
        <w:t xml:space="preserve"> ani o tom, jak </w:t>
      </w:r>
      <w:r w:rsidR="00E702A5">
        <w:rPr>
          <w:rFonts w:asciiTheme="minorHAnsi" w:hAnsiTheme="minorHAnsi" w:cstheme="minorHAnsi"/>
        </w:rPr>
        <w:t xml:space="preserve">realizace programu přispívá ke </w:t>
      </w:r>
      <w:r w:rsidR="001B0A8A">
        <w:rPr>
          <w:rFonts w:asciiTheme="minorHAnsi" w:hAnsiTheme="minorHAnsi" w:cstheme="minorHAnsi"/>
        </w:rPr>
        <w:t>zlepše</w:t>
      </w:r>
      <w:r w:rsidR="00E702A5">
        <w:rPr>
          <w:rFonts w:asciiTheme="minorHAnsi" w:hAnsiTheme="minorHAnsi" w:cstheme="minorHAnsi"/>
        </w:rPr>
        <w:t>ní</w:t>
      </w:r>
      <w:r w:rsidR="001B0A8A">
        <w:rPr>
          <w:rFonts w:asciiTheme="minorHAnsi" w:hAnsiTheme="minorHAnsi" w:cstheme="minorHAnsi"/>
        </w:rPr>
        <w:t xml:space="preserve"> </w:t>
      </w:r>
      <w:r w:rsidR="006A3E7F">
        <w:rPr>
          <w:rFonts w:asciiTheme="minorHAnsi" w:hAnsiTheme="minorHAnsi" w:cstheme="minorHAnsi"/>
        </w:rPr>
        <w:t>celkov</w:t>
      </w:r>
      <w:r w:rsidR="00E702A5">
        <w:rPr>
          <w:rFonts w:asciiTheme="minorHAnsi" w:hAnsiTheme="minorHAnsi" w:cstheme="minorHAnsi"/>
        </w:rPr>
        <w:t>ého</w:t>
      </w:r>
      <w:r w:rsidR="006A3E7F">
        <w:rPr>
          <w:rFonts w:asciiTheme="minorHAnsi" w:hAnsiTheme="minorHAnsi" w:cstheme="minorHAnsi"/>
        </w:rPr>
        <w:t xml:space="preserve"> </w:t>
      </w:r>
      <w:r w:rsidR="001B0A8A">
        <w:rPr>
          <w:rFonts w:asciiTheme="minorHAnsi" w:hAnsiTheme="minorHAnsi" w:cstheme="minorHAnsi"/>
        </w:rPr>
        <w:t>stav</w:t>
      </w:r>
      <w:r w:rsidR="00E702A5">
        <w:rPr>
          <w:rFonts w:asciiTheme="minorHAnsi" w:hAnsiTheme="minorHAnsi" w:cstheme="minorHAnsi"/>
        </w:rPr>
        <w:t>u</w:t>
      </w:r>
      <w:r w:rsidR="001B0A8A">
        <w:rPr>
          <w:rFonts w:asciiTheme="minorHAnsi" w:hAnsiTheme="minorHAnsi" w:cstheme="minorHAnsi"/>
        </w:rPr>
        <w:t xml:space="preserve"> materiálně technické základny </w:t>
      </w:r>
      <w:r w:rsidR="006A3E7F">
        <w:rPr>
          <w:rFonts w:asciiTheme="minorHAnsi" w:hAnsiTheme="minorHAnsi" w:cstheme="minorHAnsi"/>
        </w:rPr>
        <w:t xml:space="preserve">jednotlivých </w:t>
      </w:r>
      <w:r w:rsidR="001B0A8A">
        <w:rPr>
          <w:rFonts w:asciiTheme="minorHAnsi" w:hAnsiTheme="minorHAnsi" w:cstheme="minorHAnsi"/>
        </w:rPr>
        <w:t>VVŠ</w:t>
      </w:r>
      <w:r w:rsidR="00E53D8B">
        <w:rPr>
          <w:rFonts w:asciiTheme="minorHAnsi" w:hAnsiTheme="minorHAnsi" w:cstheme="minorHAnsi"/>
        </w:rPr>
        <w:t>.</w:t>
      </w:r>
    </w:p>
    <w:p w14:paraId="2BE24BCC" w14:textId="0A957054" w:rsidR="00192A40" w:rsidRDefault="00192A40" w:rsidP="00192A40">
      <w:pPr>
        <w:rPr>
          <w:rFonts w:ascii="Calibri" w:hAnsi="Calibri" w:cs="Calibri"/>
        </w:rPr>
      </w:pPr>
    </w:p>
    <w:p w14:paraId="688AAFA9" w14:textId="77777777" w:rsidR="0057322A" w:rsidRDefault="0057322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71B34968" w14:textId="3672AE04" w:rsidR="0060250E" w:rsidRPr="006C21AD" w:rsidRDefault="006C21AD" w:rsidP="006C21A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4. </w:t>
      </w:r>
      <w:r w:rsidR="0060250E" w:rsidRPr="006C21AD">
        <w:rPr>
          <w:rFonts w:ascii="Calibri" w:hAnsi="Calibri" w:cs="Calibri"/>
          <w:b/>
        </w:rPr>
        <w:t>Obsah investičního záměru</w:t>
      </w:r>
      <w:r w:rsidR="00DA04BE" w:rsidRPr="006C21AD">
        <w:rPr>
          <w:rFonts w:ascii="Calibri" w:hAnsi="Calibri" w:cs="Calibri"/>
          <w:b/>
        </w:rPr>
        <w:t xml:space="preserve"> akce</w:t>
      </w:r>
    </w:p>
    <w:p w14:paraId="061415AB" w14:textId="6D21B51D" w:rsidR="0060250E" w:rsidRDefault="0060250E" w:rsidP="0060250E">
      <w:pPr>
        <w:spacing w:before="120"/>
        <w:jc w:val="both"/>
        <w:rPr>
          <w:rFonts w:asciiTheme="minorHAnsi" w:hAnsiTheme="minorHAnsi"/>
          <w:i/>
        </w:rPr>
      </w:pPr>
      <w:r w:rsidRPr="00DD6136">
        <w:rPr>
          <w:rFonts w:asciiTheme="minorHAnsi" w:hAnsiTheme="minorHAnsi"/>
        </w:rPr>
        <w:t>Registraci akce provádí MŠMT na základě investičního záměru</w:t>
      </w:r>
      <w:r w:rsidR="00E75358" w:rsidRPr="00DD6136">
        <w:rPr>
          <w:rFonts w:asciiTheme="minorHAnsi" w:hAnsiTheme="minorHAnsi"/>
        </w:rPr>
        <w:t xml:space="preserve"> vypracovaného VVŠ</w:t>
      </w:r>
      <w:r w:rsidRPr="00DD6136">
        <w:rPr>
          <w:rFonts w:asciiTheme="minorHAnsi" w:hAnsiTheme="minorHAnsi"/>
        </w:rPr>
        <w:t xml:space="preserve">. Obsahové náležitosti IZ </w:t>
      </w:r>
      <w:r w:rsidR="004B0BC6" w:rsidRPr="00DD6136">
        <w:rPr>
          <w:rFonts w:asciiTheme="minorHAnsi" w:hAnsiTheme="minorHAnsi"/>
        </w:rPr>
        <w:t>upravuje ustanovení</w:t>
      </w:r>
      <w:r w:rsidRPr="00DD6136">
        <w:rPr>
          <w:rFonts w:asciiTheme="minorHAnsi" w:hAnsiTheme="minorHAnsi"/>
        </w:rPr>
        <w:t xml:space="preserve"> § 12 odst. 6 zákona č. 218/2000 Sb. MŠMT </w:t>
      </w:r>
      <w:r w:rsidR="00745C60" w:rsidRPr="00DD6136">
        <w:rPr>
          <w:rFonts w:asciiTheme="minorHAnsi" w:hAnsiTheme="minorHAnsi"/>
        </w:rPr>
        <w:t xml:space="preserve">stanovilo </w:t>
      </w:r>
      <w:r w:rsidRPr="00DD6136">
        <w:rPr>
          <w:rFonts w:asciiTheme="minorHAnsi" w:hAnsiTheme="minorHAnsi"/>
        </w:rPr>
        <w:t xml:space="preserve">v DP </w:t>
      </w:r>
      <w:r w:rsidR="00E75358" w:rsidRPr="00DD6136">
        <w:rPr>
          <w:rFonts w:asciiTheme="minorHAnsi" w:hAnsiTheme="minorHAnsi"/>
        </w:rPr>
        <w:t>obsah</w:t>
      </w:r>
      <w:r w:rsidRPr="00DD6136">
        <w:rPr>
          <w:rFonts w:asciiTheme="minorHAnsi" w:hAnsiTheme="minorHAnsi"/>
        </w:rPr>
        <w:t xml:space="preserve"> IZ </w:t>
      </w:r>
      <w:r w:rsidR="00745C60" w:rsidRPr="00DD6136">
        <w:rPr>
          <w:rFonts w:asciiTheme="minorHAnsi" w:hAnsiTheme="minorHAnsi"/>
        </w:rPr>
        <w:t>nepřesně</w:t>
      </w:r>
      <w:r w:rsidRPr="00DD6136">
        <w:rPr>
          <w:rFonts w:asciiTheme="minorHAnsi" w:hAnsiTheme="minorHAnsi"/>
        </w:rPr>
        <w:t xml:space="preserve">. Z obsahu DP totiž vyplývá, že </w:t>
      </w:r>
      <w:r w:rsidRPr="00006C50">
        <w:rPr>
          <w:rFonts w:asciiTheme="minorHAnsi" w:hAnsiTheme="minorHAnsi"/>
        </w:rPr>
        <w:t>„</w:t>
      </w:r>
      <w:r w:rsidRPr="00DD6136">
        <w:rPr>
          <w:rFonts w:asciiTheme="minorHAnsi" w:hAnsiTheme="minorHAnsi"/>
          <w:i/>
        </w:rPr>
        <w:t>zhodnocení efektivnosti vynaložených prostředků</w:t>
      </w:r>
      <w:r w:rsidRPr="00DB663B">
        <w:rPr>
          <w:rFonts w:asciiTheme="minorHAnsi" w:hAnsiTheme="minorHAnsi"/>
        </w:rPr>
        <w:t>“</w:t>
      </w:r>
      <w:r w:rsidRPr="00DD6136">
        <w:rPr>
          <w:rFonts w:asciiTheme="minorHAnsi" w:hAnsiTheme="minorHAnsi"/>
        </w:rPr>
        <w:t xml:space="preserve"> považuje MŠMT za totéž, jako </w:t>
      </w:r>
      <w:r w:rsidRPr="00DB663B">
        <w:rPr>
          <w:rFonts w:asciiTheme="minorHAnsi" w:hAnsiTheme="minorHAnsi"/>
        </w:rPr>
        <w:t>„</w:t>
      </w:r>
      <w:r w:rsidRPr="00DD6136">
        <w:rPr>
          <w:rFonts w:asciiTheme="minorHAnsi" w:hAnsiTheme="minorHAnsi"/>
          <w:i/>
        </w:rPr>
        <w:t>specifikaci požadavků na zabezpečení budoucího provozu objektu</w:t>
      </w:r>
      <w:r w:rsidRPr="00DB663B">
        <w:rPr>
          <w:rFonts w:asciiTheme="minorHAnsi" w:hAnsiTheme="minorHAnsi"/>
        </w:rPr>
        <w:t>“</w:t>
      </w:r>
      <w:r w:rsidRPr="00DD6136">
        <w:rPr>
          <w:rFonts w:asciiTheme="minorHAnsi" w:hAnsiTheme="minorHAnsi"/>
          <w:i/>
        </w:rPr>
        <w:t>.</w:t>
      </w:r>
      <w:r w:rsidRPr="00DD6136">
        <w:rPr>
          <w:rFonts w:asciiTheme="minorHAnsi" w:hAnsiTheme="minorHAnsi"/>
        </w:rPr>
        <w:t xml:space="preserve"> Dle citovaného ustanovení zákona řádně vypracovaný investiční záměr přitom obsahuje jak </w:t>
      </w:r>
      <w:r w:rsidRPr="00DB663B">
        <w:rPr>
          <w:rFonts w:asciiTheme="minorHAnsi" w:hAnsiTheme="minorHAnsi"/>
        </w:rPr>
        <w:t>„</w:t>
      </w:r>
      <w:r w:rsidRPr="00DD6136">
        <w:rPr>
          <w:rFonts w:asciiTheme="minorHAnsi" w:hAnsiTheme="minorHAnsi"/>
          <w:i/>
        </w:rPr>
        <w:t>vyjádření efektivnosti vložených prostředků</w:t>
      </w:r>
      <w:r w:rsidRPr="00DB663B">
        <w:rPr>
          <w:rFonts w:asciiTheme="minorHAnsi" w:hAnsiTheme="minorHAnsi"/>
        </w:rPr>
        <w:t>“</w:t>
      </w:r>
      <w:r w:rsidRPr="00DD6136">
        <w:rPr>
          <w:rFonts w:asciiTheme="minorHAnsi" w:hAnsiTheme="minorHAnsi"/>
        </w:rPr>
        <w:t>, tak i </w:t>
      </w:r>
      <w:r w:rsidRPr="00DB663B">
        <w:rPr>
          <w:rFonts w:asciiTheme="minorHAnsi" w:hAnsiTheme="minorHAnsi"/>
        </w:rPr>
        <w:t>„</w:t>
      </w:r>
      <w:r w:rsidRPr="00DD6136">
        <w:rPr>
          <w:rFonts w:asciiTheme="minorHAnsi" w:hAnsiTheme="minorHAnsi"/>
          <w:i/>
        </w:rPr>
        <w:t>specifikaci požadavků na zabezpečení provozu budo</w:t>
      </w:r>
      <w:r w:rsidR="00FD0EE9" w:rsidRPr="00DD6136">
        <w:rPr>
          <w:rFonts w:asciiTheme="minorHAnsi" w:hAnsiTheme="minorHAnsi"/>
          <w:i/>
        </w:rPr>
        <w:t>vané nebo obnovované kapacity</w:t>
      </w:r>
      <w:r w:rsidR="00FD0EE9" w:rsidRPr="00DB663B">
        <w:rPr>
          <w:rFonts w:asciiTheme="minorHAnsi" w:hAnsiTheme="minorHAnsi"/>
        </w:rPr>
        <w:t>“</w:t>
      </w:r>
      <w:r w:rsidR="00FD0EE9" w:rsidRPr="00DD6136">
        <w:rPr>
          <w:rFonts w:asciiTheme="minorHAnsi" w:hAnsiTheme="minorHAnsi"/>
          <w:i/>
        </w:rPr>
        <w:t>.</w:t>
      </w:r>
    </w:p>
    <w:p w14:paraId="412E0D13" w14:textId="77777777" w:rsidR="006A6C4C" w:rsidRPr="006A6C4C" w:rsidRDefault="006A6C4C" w:rsidP="006A6C4C">
      <w:pPr>
        <w:jc w:val="both"/>
        <w:rPr>
          <w:rFonts w:asciiTheme="minorHAnsi" w:hAnsiTheme="minorHAnsi"/>
        </w:rPr>
      </w:pPr>
    </w:p>
    <w:p w14:paraId="4F426B7A" w14:textId="152A7CA9" w:rsidR="00D55EA3" w:rsidRPr="006C21AD" w:rsidRDefault="006C21AD" w:rsidP="006C21A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5. </w:t>
      </w:r>
      <w:r w:rsidR="00D55EA3" w:rsidRPr="006C21AD">
        <w:rPr>
          <w:rFonts w:ascii="Calibri" w:hAnsi="Calibri" w:cs="Calibri"/>
          <w:b/>
        </w:rPr>
        <w:t>Koncepční záměry VVŠ</w:t>
      </w:r>
    </w:p>
    <w:p w14:paraId="42220B46" w14:textId="532539A6" w:rsidR="00D55EA3" w:rsidRPr="003A491A" w:rsidRDefault="00D55EA3" w:rsidP="00D55EA3">
      <w:pPr>
        <w:spacing w:before="120"/>
        <w:jc w:val="both"/>
        <w:rPr>
          <w:rFonts w:ascii="Calibri" w:hAnsi="Calibri" w:cs="Calibri"/>
        </w:rPr>
      </w:pPr>
      <w:r w:rsidRPr="00D55EA3">
        <w:rPr>
          <w:rFonts w:ascii="Calibri" w:hAnsi="Calibri" w:cs="Calibri"/>
        </w:rPr>
        <w:t>MŠMT ponechalo na VVŠ, v jakém rozsahu a do jaké hloubky bude oblast financování investičního rozvoje školy v koncepčních záměrech zpracována. U jednotlivých VVŠ se v období 2011</w:t>
      </w:r>
      <w:r w:rsidR="00207F24">
        <w:rPr>
          <w:rFonts w:ascii="Calibri" w:hAnsi="Calibri" w:cs="Calibri"/>
        </w:rPr>
        <w:t>–</w:t>
      </w:r>
      <w:r w:rsidRPr="00D55EA3">
        <w:rPr>
          <w:rFonts w:ascii="Calibri" w:hAnsi="Calibri" w:cs="Calibri"/>
        </w:rPr>
        <w:t>2016</w:t>
      </w:r>
      <w:r w:rsidR="00831FA5">
        <w:rPr>
          <w:rFonts w:ascii="Calibri" w:hAnsi="Calibri" w:cs="Calibri"/>
        </w:rPr>
        <w:t xml:space="preserve"> </w:t>
      </w:r>
      <w:r w:rsidRPr="00D55EA3">
        <w:rPr>
          <w:rFonts w:ascii="Calibri" w:hAnsi="Calibri" w:cs="Calibri"/>
        </w:rPr>
        <w:t>rozsah i hloubka zpracování této oblasti výrazně lišily. Koncepční záměry některých VVŠ oblast financování investičních potřeb neobsahovaly. Jiné VVŠ naopak uváděly podrobné informace o stavu materiálně technické základny, o plánovaném investičním rozvoji a někdy i hodnotily jeho plnění. Některé VVŠ pouze odkazovaly na zpracovaný investiční program či plán jako na základní dokument investičního rozvoje školy. Koncepční záměry některých VVŠ tak neposkytovaly dostatečný přehled o potřebách v této oblasti ani</w:t>
      </w:r>
      <w:r w:rsidR="008E3013">
        <w:rPr>
          <w:rFonts w:ascii="Calibri" w:hAnsi="Calibri" w:cs="Calibri"/>
        </w:rPr>
        <w:t xml:space="preserve"> </w:t>
      </w:r>
      <w:r w:rsidRPr="00D55EA3">
        <w:rPr>
          <w:rFonts w:ascii="Calibri" w:hAnsi="Calibri" w:cs="Calibri"/>
        </w:rPr>
        <w:t>o realizovaných investičních aktivitách.</w:t>
      </w:r>
      <w:r>
        <w:rPr>
          <w:rFonts w:ascii="Calibri" w:hAnsi="Calibri" w:cs="Calibri"/>
        </w:rPr>
        <w:t xml:space="preserve"> </w:t>
      </w:r>
    </w:p>
    <w:p w14:paraId="2F17621C" w14:textId="77777777" w:rsidR="00D55EA3" w:rsidRPr="00B92FAD" w:rsidRDefault="00D55EA3" w:rsidP="00D55EA3">
      <w:pPr>
        <w:rPr>
          <w:rFonts w:ascii="Calibri" w:hAnsi="Calibri" w:cs="Calibri"/>
        </w:rPr>
      </w:pPr>
    </w:p>
    <w:p w14:paraId="2F7596D1" w14:textId="3D5CDFE5" w:rsidR="009F2B64" w:rsidRPr="006C21AD" w:rsidRDefault="006C21AD" w:rsidP="006C21A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6. </w:t>
      </w:r>
      <w:r w:rsidR="009F2B64" w:rsidRPr="006C21AD">
        <w:rPr>
          <w:rFonts w:ascii="Calibri" w:hAnsi="Calibri" w:cs="Calibri"/>
          <w:b/>
        </w:rPr>
        <w:t>Ne</w:t>
      </w:r>
      <w:r w:rsidR="00472BD7" w:rsidRPr="006C21AD">
        <w:rPr>
          <w:rFonts w:ascii="Calibri" w:hAnsi="Calibri" w:cs="Calibri"/>
          <w:b/>
        </w:rPr>
        <w:t>připravenost akcí, změny parametrů</w:t>
      </w:r>
    </w:p>
    <w:p w14:paraId="112E02BD" w14:textId="3CDFC1C9" w:rsidR="009F692A" w:rsidRDefault="00412497" w:rsidP="00412497">
      <w:pPr>
        <w:spacing w:before="120"/>
        <w:jc w:val="both"/>
        <w:rPr>
          <w:rFonts w:ascii="Calibri" w:hAnsi="Calibri" w:cs="Calibri"/>
        </w:rPr>
      </w:pPr>
      <w:r w:rsidRPr="007F3228">
        <w:rPr>
          <w:rFonts w:ascii="Calibri" w:hAnsi="Calibri" w:cs="Calibri"/>
        </w:rPr>
        <w:t>N</w:t>
      </w:r>
      <w:r w:rsidR="006A3E7F">
        <w:rPr>
          <w:rFonts w:ascii="Calibri" w:hAnsi="Calibri" w:cs="Calibri"/>
        </w:rPr>
        <w:t>ěkteré</w:t>
      </w:r>
      <w:r w:rsidRPr="007F3228">
        <w:rPr>
          <w:rFonts w:ascii="Calibri" w:hAnsi="Calibri" w:cs="Calibri"/>
        </w:rPr>
        <w:t xml:space="preserve"> akce uvedlo MŠMT v</w:t>
      </w:r>
      <w:r w:rsidR="006C21AD">
        <w:rPr>
          <w:rFonts w:ascii="Calibri" w:hAnsi="Calibri" w:cs="Calibri"/>
        </w:rPr>
        <w:t> </w:t>
      </w:r>
      <w:r w:rsidRPr="007F3228">
        <w:rPr>
          <w:rFonts w:ascii="Calibri" w:hAnsi="Calibri" w:cs="Calibri"/>
        </w:rPr>
        <w:t>dokument</w:t>
      </w:r>
      <w:r w:rsidR="00EB454D">
        <w:rPr>
          <w:rFonts w:ascii="Calibri" w:hAnsi="Calibri" w:cs="Calibri"/>
        </w:rPr>
        <w:t xml:space="preserve">aci programu jako </w:t>
      </w:r>
      <w:r w:rsidR="00E702A5">
        <w:rPr>
          <w:rFonts w:ascii="Calibri" w:hAnsi="Calibri" w:cs="Calibri"/>
        </w:rPr>
        <w:t>plánované</w:t>
      </w:r>
      <w:r w:rsidR="00EB454D">
        <w:rPr>
          <w:rFonts w:ascii="Calibri" w:hAnsi="Calibri" w:cs="Calibri"/>
        </w:rPr>
        <w:t xml:space="preserve"> </w:t>
      </w:r>
      <w:r w:rsidR="009F692A">
        <w:rPr>
          <w:rFonts w:ascii="Calibri" w:hAnsi="Calibri" w:cs="Calibri"/>
        </w:rPr>
        <w:t>akce k</w:t>
      </w:r>
      <w:r w:rsidR="006C21AD">
        <w:rPr>
          <w:rFonts w:ascii="Calibri" w:hAnsi="Calibri" w:cs="Calibri"/>
        </w:rPr>
        <w:t> </w:t>
      </w:r>
      <w:r w:rsidR="009F692A">
        <w:rPr>
          <w:rFonts w:ascii="Calibri" w:hAnsi="Calibri" w:cs="Calibri"/>
        </w:rPr>
        <w:t>financování</w:t>
      </w:r>
      <w:r w:rsidRPr="007F3228">
        <w:rPr>
          <w:rFonts w:ascii="Calibri" w:hAnsi="Calibri" w:cs="Calibri"/>
        </w:rPr>
        <w:t xml:space="preserve">, </w:t>
      </w:r>
      <w:r w:rsidR="00A90396">
        <w:rPr>
          <w:rFonts w:ascii="Calibri" w:hAnsi="Calibri" w:cs="Calibri"/>
        </w:rPr>
        <w:t>př</w:t>
      </w:r>
      <w:r w:rsidR="00A70FB9">
        <w:rPr>
          <w:rFonts w:ascii="Calibri" w:hAnsi="Calibri" w:cs="Calibri"/>
        </w:rPr>
        <w:t>estože</w:t>
      </w:r>
      <w:r w:rsidRPr="007F3228">
        <w:rPr>
          <w:rFonts w:ascii="Calibri" w:hAnsi="Calibri" w:cs="Calibri"/>
        </w:rPr>
        <w:t xml:space="preserve"> VVŠ v</w:t>
      </w:r>
      <w:r w:rsidR="006C21AD">
        <w:rPr>
          <w:rFonts w:ascii="Calibri" w:hAnsi="Calibri" w:cs="Calibri"/>
        </w:rPr>
        <w:t> </w:t>
      </w:r>
      <w:r w:rsidRPr="007F3228">
        <w:rPr>
          <w:rFonts w:ascii="Calibri" w:hAnsi="Calibri" w:cs="Calibri"/>
        </w:rPr>
        <w:t xml:space="preserve">předložených podkladech neuvedly </w:t>
      </w:r>
      <w:r w:rsidR="00E702A5">
        <w:rPr>
          <w:rFonts w:ascii="Calibri" w:hAnsi="Calibri" w:cs="Calibri"/>
        </w:rPr>
        <w:t>k</w:t>
      </w:r>
      <w:r w:rsidR="006C21AD">
        <w:rPr>
          <w:rFonts w:ascii="Calibri" w:hAnsi="Calibri" w:cs="Calibri"/>
        </w:rPr>
        <w:t> </w:t>
      </w:r>
      <w:r w:rsidR="00E702A5">
        <w:rPr>
          <w:rFonts w:ascii="Calibri" w:hAnsi="Calibri" w:cs="Calibri"/>
        </w:rPr>
        <w:t xml:space="preserve">těmto akcím </w:t>
      </w:r>
      <w:r w:rsidRPr="007F3228">
        <w:rPr>
          <w:rFonts w:ascii="Calibri" w:hAnsi="Calibri" w:cs="Calibri"/>
        </w:rPr>
        <w:t>žádné parametry výstavby. V</w:t>
      </w:r>
      <w:r w:rsidR="006C21AD">
        <w:rPr>
          <w:rFonts w:ascii="Calibri" w:hAnsi="Calibri" w:cs="Calibri"/>
        </w:rPr>
        <w:t> </w:t>
      </w:r>
      <w:r w:rsidRPr="007F3228">
        <w:rPr>
          <w:rFonts w:ascii="Calibri" w:hAnsi="Calibri" w:cs="Calibri"/>
        </w:rPr>
        <w:t xml:space="preserve">případě tří </w:t>
      </w:r>
      <w:r>
        <w:rPr>
          <w:rFonts w:ascii="Calibri" w:hAnsi="Calibri" w:cs="Calibri"/>
        </w:rPr>
        <w:t xml:space="preserve">prioritních </w:t>
      </w:r>
      <w:r w:rsidRPr="007F3228">
        <w:rPr>
          <w:rFonts w:ascii="Calibri" w:hAnsi="Calibri" w:cs="Calibri"/>
        </w:rPr>
        <w:t xml:space="preserve">akcí </w:t>
      </w:r>
      <w:r w:rsidR="00A90396">
        <w:rPr>
          <w:rFonts w:ascii="Calibri" w:hAnsi="Calibri" w:cs="Calibri"/>
        </w:rPr>
        <w:t xml:space="preserve">MŠMT </w:t>
      </w:r>
      <w:r w:rsidRPr="007F3228">
        <w:rPr>
          <w:rFonts w:ascii="Calibri" w:hAnsi="Calibri" w:cs="Calibri"/>
        </w:rPr>
        <w:t>uved</w:t>
      </w:r>
      <w:r w:rsidR="00A90396">
        <w:rPr>
          <w:rFonts w:ascii="Calibri" w:hAnsi="Calibri" w:cs="Calibri"/>
        </w:rPr>
        <w:t>lo</w:t>
      </w:r>
      <w:r w:rsidRPr="007F3228">
        <w:rPr>
          <w:rFonts w:ascii="Calibri" w:hAnsi="Calibri" w:cs="Calibri"/>
        </w:rPr>
        <w:t xml:space="preserve"> </w:t>
      </w:r>
      <w:r w:rsidR="001E3CA5" w:rsidRPr="007F3228">
        <w:rPr>
          <w:rFonts w:ascii="Calibri" w:hAnsi="Calibri" w:cs="Calibri"/>
        </w:rPr>
        <w:t>v</w:t>
      </w:r>
      <w:r w:rsidR="006C21AD">
        <w:rPr>
          <w:rFonts w:ascii="Calibri" w:hAnsi="Calibri" w:cs="Calibri"/>
        </w:rPr>
        <w:t> </w:t>
      </w:r>
      <w:r w:rsidR="001E3CA5" w:rsidRPr="007F3228">
        <w:rPr>
          <w:rFonts w:ascii="Calibri" w:hAnsi="Calibri" w:cs="Calibri"/>
        </w:rPr>
        <w:t xml:space="preserve">DP </w:t>
      </w:r>
      <w:r w:rsidRPr="007F3228">
        <w:rPr>
          <w:rFonts w:ascii="Calibri" w:hAnsi="Calibri" w:cs="Calibri"/>
        </w:rPr>
        <w:t>technick</w:t>
      </w:r>
      <w:r>
        <w:rPr>
          <w:rFonts w:ascii="Calibri" w:hAnsi="Calibri" w:cs="Calibri"/>
        </w:rPr>
        <w:t>é</w:t>
      </w:r>
      <w:r w:rsidRPr="007F3228">
        <w:rPr>
          <w:rFonts w:ascii="Calibri" w:hAnsi="Calibri" w:cs="Calibri"/>
        </w:rPr>
        <w:t xml:space="preserve"> parametry až několikanásobně nižší</w:t>
      </w:r>
      <w:r w:rsidR="00EB454D">
        <w:rPr>
          <w:rFonts w:ascii="Calibri" w:hAnsi="Calibri" w:cs="Calibri"/>
        </w:rPr>
        <w:t>, než</w:t>
      </w:r>
      <w:r w:rsidR="008E3013">
        <w:rPr>
          <w:rFonts w:ascii="Calibri" w:hAnsi="Calibri" w:cs="Calibri"/>
        </w:rPr>
        <w:t xml:space="preserve"> by </w:t>
      </w:r>
      <w:r w:rsidR="00C425ED">
        <w:rPr>
          <w:rFonts w:ascii="Calibri" w:hAnsi="Calibri" w:cs="Calibri"/>
        </w:rPr>
        <w:t>odpovídalo</w:t>
      </w:r>
      <w:r w:rsidR="00EB454D">
        <w:rPr>
          <w:rFonts w:ascii="Calibri" w:hAnsi="Calibri" w:cs="Calibri"/>
        </w:rPr>
        <w:t xml:space="preserve"> hodnot</w:t>
      </w:r>
      <w:r w:rsidR="00C425ED">
        <w:rPr>
          <w:rFonts w:ascii="Calibri" w:hAnsi="Calibri" w:cs="Calibri"/>
        </w:rPr>
        <w:t>ám</w:t>
      </w:r>
      <w:r w:rsidR="00EB454D">
        <w:rPr>
          <w:rFonts w:ascii="Calibri" w:hAnsi="Calibri" w:cs="Calibri"/>
        </w:rPr>
        <w:t xml:space="preserve"> plánovaný</w:t>
      </w:r>
      <w:r w:rsidR="00C425ED">
        <w:rPr>
          <w:rFonts w:ascii="Calibri" w:hAnsi="Calibri" w:cs="Calibri"/>
        </w:rPr>
        <w:t>ch</w:t>
      </w:r>
      <w:r w:rsidR="00EB454D">
        <w:rPr>
          <w:rFonts w:ascii="Calibri" w:hAnsi="Calibri" w:cs="Calibri"/>
        </w:rPr>
        <w:t xml:space="preserve"> prostředků</w:t>
      </w:r>
      <w:r w:rsidRPr="007F3228">
        <w:rPr>
          <w:rFonts w:ascii="Calibri" w:hAnsi="Calibri" w:cs="Calibri"/>
        </w:rPr>
        <w:t>.</w:t>
      </w:r>
      <w:r w:rsidR="00A519BD">
        <w:rPr>
          <w:rFonts w:ascii="Calibri" w:hAnsi="Calibri" w:cs="Calibri"/>
        </w:rPr>
        <w:t xml:space="preserve"> Tyto akce byly do programu zařazeny nepřipravené, bez zpracování příslušných studií či projektových dokumentací</w:t>
      </w:r>
      <w:r w:rsidR="001E3CA5">
        <w:rPr>
          <w:rFonts w:ascii="Calibri" w:hAnsi="Calibri" w:cs="Calibri"/>
        </w:rPr>
        <w:t>. V</w:t>
      </w:r>
      <w:r w:rsidR="006C21AD">
        <w:rPr>
          <w:rFonts w:ascii="Calibri" w:hAnsi="Calibri" w:cs="Calibri"/>
        </w:rPr>
        <w:t> </w:t>
      </w:r>
      <w:r w:rsidR="00A519BD">
        <w:rPr>
          <w:rFonts w:ascii="Calibri" w:hAnsi="Calibri" w:cs="Calibri"/>
        </w:rPr>
        <w:t xml:space="preserve">důsledku </w:t>
      </w:r>
      <w:r w:rsidR="001E3CA5">
        <w:rPr>
          <w:rFonts w:ascii="Calibri" w:hAnsi="Calibri" w:cs="Calibri"/>
        </w:rPr>
        <w:t>toho</w:t>
      </w:r>
      <w:r w:rsidR="00A519BD">
        <w:rPr>
          <w:rFonts w:ascii="Calibri" w:hAnsi="Calibri" w:cs="Calibri"/>
        </w:rPr>
        <w:t xml:space="preserve"> MŠMT nezapočetlo </w:t>
      </w:r>
      <w:r w:rsidR="009F692A">
        <w:rPr>
          <w:rFonts w:ascii="Calibri" w:hAnsi="Calibri" w:cs="Calibri"/>
        </w:rPr>
        <w:t xml:space="preserve">hodnoty jejich parametrů </w:t>
      </w:r>
      <w:r w:rsidR="00A519BD">
        <w:rPr>
          <w:rFonts w:ascii="Calibri" w:hAnsi="Calibri" w:cs="Calibri"/>
        </w:rPr>
        <w:t>do celkových technických parametrů programu</w:t>
      </w:r>
      <w:r w:rsidR="00DB71DB">
        <w:rPr>
          <w:rFonts w:ascii="Calibri" w:hAnsi="Calibri" w:cs="Calibri"/>
        </w:rPr>
        <w:t xml:space="preserve">, které byly </w:t>
      </w:r>
      <w:r w:rsidR="001E3CA5">
        <w:rPr>
          <w:rFonts w:ascii="Calibri" w:hAnsi="Calibri" w:cs="Calibri"/>
        </w:rPr>
        <w:t>v</w:t>
      </w:r>
      <w:r w:rsidR="006C21AD">
        <w:rPr>
          <w:rFonts w:ascii="Calibri" w:hAnsi="Calibri" w:cs="Calibri"/>
        </w:rPr>
        <w:t> </w:t>
      </w:r>
      <w:r w:rsidR="001E3CA5">
        <w:rPr>
          <w:rFonts w:ascii="Calibri" w:hAnsi="Calibri" w:cs="Calibri"/>
        </w:rPr>
        <w:t>rámci původní DP</w:t>
      </w:r>
      <w:r w:rsidR="00E702A5" w:rsidRPr="00E702A5">
        <w:rPr>
          <w:rFonts w:ascii="Calibri" w:hAnsi="Calibri" w:cs="Calibri"/>
        </w:rPr>
        <w:t xml:space="preserve"> </w:t>
      </w:r>
      <w:r w:rsidR="00E702A5">
        <w:rPr>
          <w:rFonts w:ascii="Calibri" w:hAnsi="Calibri" w:cs="Calibri"/>
        </w:rPr>
        <w:t>závazným ukazatelem pro hodnocení</w:t>
      </w:r>
      <w:r w:rsidR="00A519BD">
        <w:rPr>
          <w:rFonts w:ascii="Calibri" w:hAnsi="Calibri" w:cs="Calibri"/>
        </w:rPr>
        <w:t>.</w:t>
      </w:r>
      <w:r w:rsidR="001E3CA5" w:rsidRPr="001E3CA5">
        <w:rPr>
          <w:rFonts w:asciiTheme="minorHAnsi" w:hAnsiTheme="minorHAnsi" w:cstheme="minorHAnsi"/>
        </w:rPr>
        <w:t xml:space="preserve"> </w:t>
      </w:r>
      <w:r w:rsidR="001E3CA5">
        <w:rPr>
          <w:rFonts w:asciiTheme="minorHAnsi" w:hAnsiTheme="minorHAnsi" w:cstheme="minorHAnsi"/>
        </w:rPr>
        <w:t xml:space="preserve">Správné stanovení parametrů je </w:t>
      </w:r>
      <w:r w:rsidR="00A70FB9">
        <w:rPr>
          <w:rFonts w:asciiTheme="minorHAnsi" w:hAnsiTheme="minorHAnsi" w:cstheme="minorHAnsi"/>
        </w:rPr>
        <w:t xml:space="preserve">přitom </w:t>
      </w:r>
      <w:r w:rsidR="001E3CA5">
        <w:rPr>
          <w:rFonts w:asciiTheme="minorHAnsi" w:hAnsiTheme="minorHAnsi" w:cstheme="minorHAnsi"/>
        </w:rPr>
        <w:t>předpokladem pro efektivní čerpání prostředků.</w:t>
      </w:r>
    </w:p>
    <w:p w14:paraId="24F3DF36" w14:textId="17EBFFF2" w:rsidR="00412497" w:rsidRPr="007F3228" w:rsidRDefault="00412497" w:rsidP="00412497">
      <w:pPr>
        <w:spacing w:before="120"/>
        <w:jc w:val="both"/>
        <w:rPr>
          <w:rFonts w:asciiTheme="minorHAnsi" w:hAnsiTheme="minorHAnsi" w:cstheme="minorHAnsi"/>
        </w:rPr>
      </w:pPr>
      <w:r w:rsidRPr="006A3E7F">
        <w:rPr>
          <w:rFonts w:ascii="Calibri" w:hAnsi="Calibri" w:cs="Calibri"/>
        </w:rPr>
        <w:t>Chybějící a </w:t>
      </w:r>
      <w:r w:rsidR="00FA5E16">
        <w:rPr>
          <w:rFonts w:ascii="Calibri" w:hAnsi="Calibri" w:cs="Calibri"/>
        </w:rPr>
        <w:t>chybné</w:t>
      </w:r>
      <w:r w:rsidRPr="006A3E7F">
        <w:rPr>
          <w:rFonts w:ascii="Calibri" w:hAnsi="Calibri" w:cs="Calibri"/>
        </w:rPr>
        <w:t xml:space="preserve"> parametry byly doplněny či upraveny </w:t>
      </w:r>
      <w:r w:rsidR="001E3CA5">
        <w:rPr>
          <w:rFonts w:ascii="Calibri" w:hAnsi="Calibri" w:cs="Calibri"/>
        </w:rPr>
        <w:t xml:space="preserve">až </w:t>
      </w:r>
      <w:r w:rsidRPr="006A3E7F">
        <w:rPr>
          <w:rFonts w:ascii="Calibri" w:hAnsi="Calibri" w:cs="Calibri"/>
        </w:rPr>
        <w:t>v</w:t>
      </w:r>
      <w:r w:rsidR="006C21AD">
        <w:rPr>
          <w:rFonts w:ascii="Calibri" w:hAnsi="Calibri" w:cs="Calibri"/>
        </w:rPr>
        <w:t> </w:t>
      </w:r>
      <w:r w:rsidRPr="006A3E7F">
        <w:rPr>
          <w:rFonts w:ascii="Calibri" w:hAnsi="Calibri" w:cs="Calibri"/>
        </w:rPr>
        <w:t xml:space="preserve">rámci aktualizace DP </w:t>
      </w:r>
      <w:r w:rsidR="00A648B0">
        <w:rPr>
          <w:rFonts w:ascii="Calibri" w:hAnsi="Calibri" w:cs="Calibri"/>
        </w:rPr>
        <w:t xml:space="preserve">připravované </w:t>
      </w:r>
      <w:r w:rsidRPr="006A3E7F">
        <w:rPr>
          <w:rFonts w:ascii="Calibri" w:hAnsi="Calibri" w:cs="Calibri"/>
        </w:rPr>
        <w:t>v</w:t>
      </w:r>
      <w:r w:rsidR="006C21AD">
        <w:rPr>
          <w:rFonts w:ascii="Calibri" w:hAnsi="Calibri" w:cs="Calibri"/>
        </w:rPr>
        <w:t> </w:t>
      </w:r>
      <w:r w:rsidRPr="006A3E7F">
        <w:rPr>
          <w:rFonts w:ascii="Calibri" w:hAnsi="Calibri" w:cs="Calibri"/>
        </w:rPr>
        <w:t>roce 2014.</w:t>
      </w:r>
      <w:r w:rsidRPr="007F3228">
        <w:rPr>
          <w:rFonts w:ascii="Calibri" w:hAnsi="Calibri" w:cs="Calibri"/>
        </w:rPr>
        <w:t xml:space="preserve"> </w:t>
      </w:r>
      <w:r w:rsidR="009F692A">
        <w:rPr>
          <w:rFonts w:ascii="Calibri" w:hAnsi="Calibri" w:cs="Calibri"/>
        </w:rPr>
        <w:t>U </w:t>
      </w:r>
      <w:r w:rsidR="006A3E7F">
        <w:rPr>
          <w:rFonts w:ascii="Calibri" w:hAnsi="Calibri" w:cs="Calibri"/>
        </w:rPr>
        <w:t>konkrétní</w:t>
      </w:r>
      <w:r w:rsidR="00A648B0">
        <w:rPr>
          <w:rFonts w:ascii="Calibri" w:hAnsi="Calibri" w:cs="Calibri"/>
        </w:rPr>
        <w:t>ho podprogramu</w:t>
      </w:r>
      <w:r w:rsidR="006A3E7F">
        <w:rPr>
          <w:rFonts w:ascii="Calibri" w:hAnsi="Calibri" w:cs="Calibri"/>
        </w:rPr>
        <w:t xml:space="preserve"> </w:t>
      </w:r>
      <w:r w:rsidR="00EB454D">
        <w:rPr>
          <w:rFonts w:ascii="Calibri" w:hAnsi="Calibri" w:cs="Calibri"/>
        </w:rPr>
        <w:t>byl</w:t>
      </w:r>
      <w:r w:rsidR="006A3E7F">
        <w:rPr>
          <w:rFonts w:ascii="Calibri" w:hAnsi="Calibri" w:cs="Calibri"/>
        </w:rPr>
        <w:t xml:space="preserve"> například</w:t>
      </w:r>
      <w:r>
        <w:rPr>
          <w:rFonts w:ascii="Calibri" w:hAnsi="Calibri" w:cs="Calibri"/>
        </w:rPr>
        <w:t xml:space="preserve"> p</w:t>
      </w:r>
      <w:r w:rsidRPr="007F3228">
        <w:rPr>
          <w:rFonts w:ascii="Calibri" w:hAnsi="Calibri" w:cs="Calibri"/>
        </w:rPr>
        <w:t>arametr</w:t>
      </w:r>
      <w:r>
        <w:rPr>
          <w:rFonts w:ascii="Calibri" w:hAnsi="Calibri" w:cs="Calibri"/>
        </w:rPr>
        <w:t xml:space="preserve"> </w:t>
      </w:r>
      <w:r w:rsidRPr="007F3228">
        <w:rPr>
          <w:rFonts w:ascii="Calibri" w:hAnsi="Calibri" w:cs="Calibri"/>
        </w:rPr>
        <w:t xml:space="preserve">obestavěného prostoru </w:t>
      </w:r>
      <w:r w:rsidR="00CF749C">
        <w:rPr>
          <w:rFonts w:ascii="Calibri" w:hAnsi="Calibri" w:cs="Calibri"/>
        </w:rPr>
        <w:t xml:space="preserve">při aktualizaci DP </w:t>
      </w:r>
      <w:r w:rsidRPr="007F3228">
        <w:rPr>
          <w:rFonts w:ascii="Calibri" w:hAnsi="Calibri" w:cs="Calibri"/>
        </w:rPr>
        <w:t xml:space="preserve">navýšen u akce </w:t>
      </w:r>
      <w:r w:rsidRPr="007F3228">
        <w:rPr>
          <w:rFonts w:ascii="Calibri" w:hAnsi="Calibri" w:cs="Calibri"/>
          <w:i/>
        </w:rPr>
        <w:t>Rekonstrukce pavilonu F</w:t>
      </w:r>
      <w:r w:rsidR="00590BE0">
        <w:rPr>
          <w:rFonts w:ascii="Calibri" w:hAnsi="Calibri" w:cs="Calibri"/>
          <w:i/>
        </w:rPr>
        <w:t>akulty agrobiologie, potravinových a přírodních zdrojů</w:t>
      </w:r>
      <w:r w:rsidRPr="007F3228">
        <w:rPr>
          <w:rFonts w:ascii="Calibri" w:hAnsi="Calibri" w:cs="Calibri"/>
          <w:i/>
        </w:rPr>
        <w:t xml:space="preserve"> </w:t>
      </w:r>
      <w:r w:rsidRPr="007F3228">
        <w:rPr>
          <w:rFonts w:ascii="Calibri" w:hAnsi="Calibri" w:cs="Calibri"/>
        </w:rPr>
        <w:t>ze</w:t>
      </w:r>
      <w:r w:rsidR="008E3013">
        <w:rPr>
          <w:rFonts w:ascii="Calibri" w:hAnsi="Calibri" w:cs="Calibri"/>
        </w:rPr>
        <w:t xml:space="preserve"> </w:t>
      </w:r>
      <w:r w:rsidRPr="007F3228">
        <w:rPr>
          <w:rFonts w:ascii="Calibri" w:hAnsi="Calibri" w:cs="Calibri"/>
        </w:rPr>
        <w:t>4 300 m</w:t>
      </w:r>
      <w:r w:rsidRPr="007F3228">
        <w:rPr>
          <w:rFonts w:ascii="Calibri" w:hAnsi="Calibri" w:cs="Calibri"/>
          <w:vertAlign w:val="superscript"/>
        </w:rPr>
        <w:t>3</w:t>
      </w:r>
      <w:r w:rsidRPr="007F3228">
        <w:rPr>
          <w:rFonts w:ascii="Calibri" w:hAnsi="Calibri" w:cs="Calibri"/>
        </w:rPr>
        <w:t xml:space="preserve"> na 23 089 m</w:t>
      </w:r>
      <w:r w:rsidRPr="007F3228">
        <w:rPr>
          <w:rFonts w:ascii="Calibri" w:hAnsi="Calibri" w:cs="Calibri"/>
          <w:vertAlign w:val="superscript"/>
        </w:rPr>
        <w:t>3</w:t>
      </w:r>
      <w:r w:rsidR="00EB454D">
        <w:rPr>
          <w:rFonts w:ascii="Calibri" w:hAnsi="Calibri" w:cs="Calibri"/>
        </w:rPr>
        <w:t xml:space="preserve"> (o </w:t>
      </w:r>
      <w:r w:rsidR="005E5CD1">
        <w:rPr>
          <w:rFonts w:ascii="Calibri" w:hAnsi="Calibri" w:cs="Calibri"/>
        </w:rPr>
        <w:t>437 %)</w:t>
      </w:r>
      <w:r w:rsidRPr="007F3228">
        <w:rPr>
          <w:rFonts w:ascii="Calibri" w:hAnsi="Calibri" w:cs="Calibri"/>
        </w:rPr>
        <w:t xml:space="preserve">, u akce </w:t>
      </w:r>
      <w:r w:rsidRPr="007F3228">
        <w:rPr>
          <w:rFonts w:ascii="Calibri" w:hAnsi="Calibri" w:cs="Calibri"/>
          <w:i/>
        </w:rPr>
        <w:t>Výstavba Mezifakultního ce</w:t>
      </w:r>
      <w:r w:rsidR="00DA04BE">
        <w:rPr>
          <w:rFonts w:ascii="Calibri" w:hAnsi="Calibri" w:cs="Calibri"/>
          <w:i/>
        </w:rPr>
        <w:t>ntra environmentálních věd – 2. </w:t>
      </w:r>
      <w:r w:rsidRPr="007F3228">
        <w:rPr>
          <w:rFonts w:ascii="Calibri" w:hAnsi="Calibri" w:cs="Calibri"/>
          <w:i/>
        </w:rPr>
        <w:t xml:space="preserve">etapa </w:t>
      </w:r>
      <w:r w:rsidRPr="007F3228">
        <w:rPr>
          <w:rFonts w:ascii="Calibri" w:hAnsi="Calibri" w:cs="Calibri"/>
        </w:rPr>
        <w:t>z</w:t>
      </w:r>
      <w:r w:rsidR="006C21AD">
        <w:rPr>
          <w:rFonts w:ascii="Calibri" w:hAnsi="Calibri" w:cs="Calibri"/>
        </w:rPr>
        <w:t> </w:t>
      </w:r>
      <w:r w:rsidRPr="007F3228">
        <w:rPr>
          <w:rFonts w:ascii="Calibri" w:hAnsi="Calibri" w:cs="Calibri"/>
        </w:rPr>
        <w:t>20 948 m</w:t>
      </w:r>
      <w:r w:rsidRPr="007F3228">
        <w:rPr>
          <w:rFonts w:ascii="Calibri" w:hAnsi="Calibri" w:cs="Calibri"/>
          <w:vertAlign w:val="superscript"/>
        </w:rPr>
        <w:t>3</w:t>
      </w:r>
      <w:r w:rsidRPr="007F3228">
        <w:rPr>
          <w:rFonts w:ascii="Calibri" w:hAnsi="Calibri" w:cs="Calibri"/>
        </w:rPr>
        <w:t xml:space="preserve"> na 45 000 m</w:t>
      </w:r>
      <w:r w:rsidRPr="007F3228">
        <w:rPr>
          <w:rFonts w:ascii="Calibri" w:hAnsi="Calibri" w:cs="Calibri"/>
          <w:vertAlign w:val="superscript"/>
        </w:rPr>
        <w:t>3</w:t>
      </w:r>
      <w:r w:rsidRPr="007F3228">
        <w:rPr>
          <w:rFonts w:ascii="Calibri" w:hAnsi="Calibri" w:cs="Calibri"/>
        </w:rPr>
        <w:t xml:space="preserve"> </w:t>
      </w:r>
      <w:r w:rsidR="00CE17A6">
        <w:rPr>
          <w:rFonts w:ascii="Calibri" w:hAnsi="Calibri" w:cs="Calibri"/>
        </w:rPr>
        <w:t xml:space="preserve">(o 115 %) </w:t>
      </w:r>
      <w:r w:rsidRPr="007F3228">
        <w:rPr>
          <w:rFonts w:ascii="Calibri" w:hAnsi="Calibri" w:cs="Calibri"/>
        </w:rPr>
        <w:t xml:space="preserve">a u akce </w:t>
      </w:r>
      <w:r w:rsidRPr="007F3228">
        <w:rPr>
          <w:rFonts w:ascii="Calibri" w:hAnsi="Calibri" w:cs="Calibri"/>
          <w:i/>
        </w:rPr>
        <w:t>Centrum ekonomicko-manažerských studií – 2. etapa</w:t>
      </w:r>
      <w:r w:rsidRPr="007F3228">
        <w:rPr>
          <w:rFonts w:ascii="Calibri" w:hAnsi="Calibri" w:cs="Calibri"/>
        </w:rPr>
        <w:t xml:space="preserve"> z</w:t>
      </w:r>
      <w:r w:rsidR="006C21AD">
        <w:rPr>
          <w:rFonts w:ascii="Calibri" w:hAnsi="Calibri" w:cs="Calibri"/>
        </w:rPr>
        <w:t> </w:t>
      </w:r>
      <w:r w:rsidRPr="007F3228">
        <w:rPr>
          <w:rFonts w:ascii="Calibri" w:hAnsi="Calibri" w:cs="Calibri"/>
        </w:rPr>
        <w:t>15 400 m</w:t>
      </w:r>
      <w:r w:rsidRPr="007F3228">
        <w:rPr>
          <w:rFonts w:ascii="Calibri" w:hAnsi="Calibri" w:cs="Calibri"/>
          <w:vertAlign w:val="superscript"/>
        </w:rPr>
        <w:t>3</w:t>
      </w:r>
      <w:r w:rsidRPr="007F3228">
        <w:rPr>
          <w:rFonts w:ascii="Calibri" w:hAnsi="Calibri" w:cs="Calibri"/>
        </w:rPr>
        <w:t xml:space="preserve"> na 24 006 m</w:t>
      </w:r>
      <w:r w:rsidRPr="007F3228">
        <w:rPr>
          <w:rFonts w:ascii="Calibri" w:hAnsi="Calibri" w:cs="Calibri"/>
          <w:vertAlign w:val="superscript"/>
        </w:rPr>
        <w:t>3</w:t>
      </w:r>
      <w:r w:rsidR="006A3E7F">
        <w:rPr>
          <w:rFonts w:ascii="Calibri" w:hAnsi="Calibri" w:cs="Calibri"/>
        </w:rPr>
        <w:t xml:space="preserve"> (o 56 </w:t>
      </w:r>
      <w:r w:rsidR="00CE17A6">
        <w:rPr>
          <w:rFonts w:ascii="Calibri" w:hAnsi="Calibri" w:cs="Calibri"/>
        </w:rPr>
        <w:t>%)</w:t>
      </w:r>
      <w:r w:rsidR="009F692A">
        <w:rPr>
          <w:rFonts w:ascii="Calibri" w:hAnsi="Calibri" w:cs="Calibri"/>
        </w:rPr>
        <w:t xml:space="preserve">, zatímco prostředky na daný podprogram byly </w:t>
      </w:r>
      <w:r w:rsidR="00A70FB9">
        <w:rPr>
          <w:rFonts w:ascii="Calibri" w:hAnsi="Calibri" w:cs="Calibri"/>
        </w:rPr>
        <w:t xml:space="preserve">aktualizací DP </w:t>
      </w:r>
      <w:r w:rsidR="009F692A">
        <w:rPr>
          <w:rFonts w:ascii="Calibri" w:hAnsi="Calibri" w:cs="Calibri"/>
        </w:rPr>
        <w:t>navýšeny jen o 24 % (parametr obestavěného prostoru byl celk</w:t>
      </w:r>
      <w:r w:rsidR="00DB71DB">
        <w:rPr>
          <w:rFonts w:ascii="Calibri" w:hAnsi="Calibri" w:cs="Calibri"/>
        </w:rPr>
        <w:t>em</w:t>
      </w:r>
      <w:r w:rsidR="009F692A">
        <w:rPr>
          <w:rFonts w:ascii="Calibri" w:hAnsi="Calibri" w:cs="Calibri"/>
        </w:rPr>
        <w:t xml:space="preserve"> za podprogram navýšen o </w:t>
      </w:r>
      <w:r w:rsidR="00DB71DB">
        <w:rPr>
          <w:rFonts w:ascii="Calibri" w:hAnsi="Calibri" w:cs="Calibri"/>
        </w:rPr>
        <w:t>99 %)</w:t>
      </w:r>
      <w:r w:rsidR="009F692A">
        <w:rPr>
          <w:rFonts w:ascii="Calibri" w:hAnsi="Calibri" w:cs="Calibri"/>
        </w:rPr>
        <w:t>.</w:t>
      </w:r>
      <w:r w:rsidR="00DB71DB">
        <w:rPr>
          <w:rFonts w:ascii="Calibri" w:hAnsi="Calibri" w:cs="Calibri"/>
        </w:rPr>
        <w:t xml:space="preserve"> </w:t>
      </w:r>
      <w:r w:rsidR="00A70FB9">
        <w:rPr>
          <w:rFonts w:ascii="Calibri" w:hAnsi="Calibri" w:cs="Calibri"/>
        </w:rPr>
        <w:t>Nulové</w:t>
      </w:r>
      <w:r w:rsidRPr="007F3228">
        <w:rPr>
          <w:rFonts w:ascii="Calibri" w:hAnsi="Calibri" w:cs="Calibri"/>
        </w:rPr>
        <w:t xml:space="preserve"> parametry </w:t>
      </w:r>
      <w:r w:rsidR="001E3CA5">
        <w:rPr>
          <w:rFonts w:ascii="Calibri" w:hAnsi="Calibri" w:cs="Calibri"/>
        </w:rPr>
        <w:t xml:space="preserve">uvedlo MŠMT </w:t>
      </w:r>
      <w:r w:rsidRPr="007F3228">
        <w:rPr>
          <w:rFonts w:ascii="Calibri" w:hAnsi="Calibri" w:cs="Calibri"/>
        </w:rPr>
        <w:t>v</w:t>
      </w:r>
      <w:r w:rsidR="006C21AD">
        <w:rPr>
          <w:rFonts w:ascii="Calibri" w:hAnsi="Calibri" w:cs="Calibri"/>
        </w:rPr>
        <w:t> </w:t>
      </w:r>
      <w:r w:rsidRPr="007F3228">
        <w:rPr>
          <w:rFonts w:ascii="Calibri" w:hAnsi="Calibri" w:cs="Calibri"/>
        </w:rPr>
        <w:t xml:space="preserve">DP například u dvou akcí </w:t>
      </w:r>
      <w:r w:rsidR="00A648B0">
        <w:rPr>
          <w:rFonts w:ascii="Calibri" w:hAnsi="Calibri" w:cs="Calibri"/>
        </w:rPr>
        <w:t>jiného podprogramu (</w:t>
      </w:r>
      <w:r w:rsidRPr="007F3228">
        <w:rPr>
          <w:rFonts w:asciiTheme="minorHAnsi" w:hAnsiTheme="minorHAnsi" w:cstheme="minorHAnsi"/>
          <w:i/>
        </w:rPr>
        <w:t xml:space="preserve">Stavební úpravy objektu B, Českobratrská </w:t>
      </w:r>
      <w:r w:rsidRPr="007F3228">
        <w:rPr>
          <w:rFonts w:asciiTheme="minorHAnsi" w:hAnsiTheme="minorHAnsi" w:cstheme="minorHAnsi"/>
        </w:rPr>
        <w:t>a</w:t>
      </w:r>
      <w:r w:rsidR="00DB71DB">
        <w:rPr>
          <w:rFonts w:asciiTheme="minorHAnsi" w:hAnsiTheme="minorHAnsi" w:cstheme="minorHAnsi"/>
          <w:i/>
        </w:rPr>
        <w:t> </w:t>
      </w:r>
      <w:r w:rsidRPr="007F3228">
        <w:rPr>
          <w:rFonts w:asciiTheme="minorHAnsi" w:hAnsiTheme="minorHAnsi" w:cstheme="minorHAnsi"/>
          <w:i/>
        </w:rPr>
        <w:t>Stavební úpravy objektu C, Bráfova</w:t>
      </w:r>
      <w:r w:rsidR="00A648B0">
        <w:rPr>
          <w:rFonts w:asciiTheme="minorHAnsi" w:hAnsiTheme="minorHAnsi" w:cstheme="minorHAnsi"/>
        </w:rPr>
        <w:t>)</w:t>
      </w:r>
      <w:r w:rsidRPr="007F3228">
        <w:rPr>
          <w:rFonts w:asciiTheme="minorHAnsi" w:hAnsiTheme="minorHAnsi" w:cstheme="minorHAnsi"/>
        </w:rPr>
        <w:t xml:space="preserve">, přičemž </w:t>
      </w:r>
      <w:r w:rsidR="001E3CA5">
        <w:rPr>
          <w:rFonts w:asciiTheme="minorHAnsi" w:hAnsiTheme="minorHAnsi" w:cstheme="minorHAnsi"/>
        </w:rPr>
        <w:t xml:space="preserve">později </w:t>
      </w:r>
      <w:r w:rsidRPr="007F3228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Pr="007F3228">
        <w:rPr>
          <w:rFonts w:asciiTheme="minorHAnsi" w:hAnsiTheme="minorHAnsi" w:cstheme="minorHAnsi"/>
        </w:rPr>
        <w:t>rámci aktuali</w:t>
      </w:r>
      <w:r w:rsidR="009F692A">
        <w:rPr>
          <w:rFonts w:asciiTheme="minorHAnsi" w:hAnsiTheme="minorHAnsi" w:cstheme="minorHAnsi"/>
        </w:rPr>
        <w:t>zace DP byl u </w:t>
      </w:r>
      <w:r w:rsidR="001A15FF">
        <w:rPr>
          <w:rFonts w:asciiTheme="minorHAnsi" w:hAnsiTheme="minorHAnsi" w:cstheme="minorHAnsi"/>
        </w:rPr>
        <w:t xml:space="preserve">těchto </w:t>
      </w:r>
      <w:r w:rsidRPr="007F3228">
        <w:rPr>
          <w:rFonts w:asciiTheme="minorHAnsi" w:hAnsiTheme="minorHAnsi" w:cstheme="minorHAnsi"/>
        </w:rPr>
        <w:t>akcí stanoven obestavěný prostor ve výši 14 892 m</w:t>
      </w:r>
      <w:r w:rsidRPr="007F3228">
        <w:rPr>
          <w:rFonts w:asciiTheme="minorHAnsi" w:hAnsiTheme="minorHAnsi" w:cstheme="minorHAnsi"/>
          <w:vertAlign w:val="superscript"/>
        </w:rPr>
        <w:t>3</w:t>
      </w:r>
      <w:r w:rsidRPr="007F3228">
        <w:rPr>
          <w:rFonts w:asciiTheme="minorHAnsi" w:hAnsiTheme="minorHAnsi" w:cstheme="minorHAnsi"/>
        </w:rPr>
        <w:t xml:space="preserve"> a 3 200 m</w:t>
      </w:r>
      <w:r w:rsidRPr="007F3228">
        <w:rPr>
          <w:rFonts w:asciiTheme="minorHAnsi" w:hAnsiTheme="minorHAnsi" w:cstheme="minorHAnsi"/>
          <w:vertAlign w:val="superscript"/>
        </w:rPr>
        <w:t>3</w:t>
      </w:r>
      <w:r w:rsidR="009F692A">
        <w:rPr>
          <w:rFonts w:asciiTheme="minorHAnsi" w:hAnsiTheme="minorHAnsi" w:cstheme="minorHAnsi"/>
        </w:rPr>
        <w:t xml:space="preserve"> (prostředky na podprogram byly </w:t>
      </w:r>
      <w:r w:rsidR="001E3CA5">
        <w:rPr>
          <w:rFonts w:asciiTheme="minorHAnsi" w:hAnsiTheme="minorHAnsi" w:cstheme="minorHAnsi"/>
        </w:rPr>
        <w:t>v</w:t>
      </w:r>
      <w:r w:rsidR="006C21AD">
        <w:rPr>
          <w:rFonts w:asciiTheme="minorHAnsi" w:hAnsiTheme="minorHAnsi" w:cstheme="minorHAnsi"/>
        </w:rPr>
        <w:t> </w:t>
      </w:r>
      <w:r w:rsidR="001E3CA5">
        <w:rPr>
          <w:rFonts w:asciiTheme="minorHAnsi" w:hAnsiTheme="minorHAnsi" w:cstheme="minorHAnsi"/>
        </w:rPr>
        <w:t xml:space="preserve">rámci aktualizace </w:t>
      </w:r>
      <w:r w:rsidR="009F692A">
        <w:rPr>
          <w:rFonts w:asciiTheme="minorHAnsi" w:hAnsiTheme="minorHAnsi" w:cstheme="minorHAnsi"/>
        </w:rPr>
        <w:t>navýšeny jen o 27 %</w:t>
      </w:r>
      <w:r w:rsidR="00DB71DB">
        <w:rPr>
          <w:rFonts w:asciiTheme="minorHAnsi" w:hAnsiTheme="minorHAnsi" w:cstheme="minorHAnsi"/>
        </w:rPr>
        <w:t xml:space="preserve">, </w:t>
      </w:r>
      <w:r w:rsidR="00A70FB9">
        <w:rPr>
          <w:rFonts w:asciiTheme="minorHAnsi" w:hAnsiTheme="minorHAnsi" w:cstheme="minorHAnsi"/>
        </w:rPr>
        <w:t xml:space="preserve">zatímco </w:t>
      </w:r>
      <w:r w:rsidR="00DB71DB">
        <w:rPr>
          <w:rFonts w:asciiTheme="minorHAnsi" w:hAnsiTheme="minorHAnsi" w:cstheme="minorHAnsi"/>
        </w:rPr>
        <w:t>parametr obe</w:t>
      </w:r>
      <w:r w:rsidR="001E3CA5">
        <w:rPr>
          <w:rFonts w:asciiTheme="minorHAnsi" w:hAnsiTheme="minorHAnsi" w:cstheme="minorHAnsi"/>
        </w:rPr>
        <w:t>stavěného prostoru celkem o 182 </w:t>
      </w:r>
      <w:r w:rsidR="00DB71DB">
        <w:rPr>
          <w:rFonts w:asciiTheme="minorHAnsi" w:hAnsiTheme="minorHAnsi" w:cstheme="minorHAnsi"/>
        </w:rPr>
        <w:t>%)</w:t>
      </w:r>
      <w:r w:rsidRPr="007F3228">
        <w:rPr>
          <w:rFonts w:asciiTheme="minorHAnsi" w:hAnsiTheme="minorHAnsi" w:cstheme="minorHAnsi"/>
        </w:rPr>
        <w:t>.</w:t>
      </w:r>
    </w:p>
    <w:p w14:paraId="3AC6D3DD" w14:textId="38010A6A" w:rsidR="00412497" w:rsidRDefault="00412497" w:rsidP="00412497">
      <w:pPr>
        <w:spacing w:before="120"/>
        <w:jc w:val="both"/>
        <w:rPr>
          <w:rFonts w:ascii="Calibri" w:hAnsi="Calibri" w:cs="Calibri"/>
        </w:rPr>
      </w:pPr>
      <w:r w:rsidRPr="00DA04BE">
        <w:rPr>
          <w:rFonts w:ascii="Calibri" w:hAnsi="Calibri" w:cs="Calibri"/>
        </w:rPr>
        <w:t xml:space="preserve">Aktualizací DP byly u některých podprogramů změněny </w:t>
      </w:r>
      <w:r w:rsidR="00A70FB9">
        <w:rPr>
          <w:rFonts w:ascii="Calibri" w:hAnsi="Calibri" w:cs="Calibri"/>
        </w:rPr>
        <w:t xml:space="preserve">i </w:t>
      </w:r>
      <w:r w:rsidR="00A519BD">
        <w:rPr>
          <w:rFonts w:ascii="Calibri" w:hAnsi="Calibri" w:cs="Calibri"/>
        </w:rPr>
        <w:t xml:space="preserve">konkrétní </w:t>
      </w:r>
      <w:r w:rsidRPr="00DA04BE">
        <w:rPr>
          <w:rFonts w:ascii="Calibri" w:hAnsi="Calibri" w:cs="Calibri"/>
        </w:rPr>
        <w:t>plánované akce. Důvodem byl v</w:t>
      </w:r>
      <w:r w:rsidR="006C21AD">
        <w:rPr>
          <w:rFonts w:ascii="Calibri" w:hAnsi="Calibri" w:cs="Calibri"/>
        </w:rPr>
        <w:t> </w:t>
      </w:r>
      <w:r w:rsidRPr="00DA04BE">
        <w:rPr>
          <w:rFonts w:ascii="Calibri" w:hAnsi="Calibri" w:cs="Calibri"/>
        </w:rPr>
        <w:t>několika případech</w:t>
      </w:r>
      <w:r w:rsidRPr="00DA04BE">
        <w:t xml:space="preserve"> </w:t>
      </w:r>
      <w:r w:rsidRPr="00DA04BE">
        <w:rPr>
          <w:rFonts w:ascii="Calibri" w:hAnsi="Calibri" w:cs="Calibri"/>
        </w:rPr>
        <w:t>přesun akce k</w:t>
      </w:r>
      <w:r w:rsidR="006C21AD">
        <w:rPr>
          <w:rFonts w:ascii="Calibri" w:hAnsi="Calibri" w:cs="Calibri"/>
        </w:rPr>
        <w:t> </w:t>
      </w:r>
      <w:r w:rsidRPr="00DA04BE">
        <w:rPr>
          <w:rFonts w:ascii="Calibri" w:hAnsi="Calibri" w:cs="Calibri"/>
        </w:rPr>
        <w:t xml:space="preserve">financování do </w:t>
      </w:r>
      <w:proofErr w:type="gramStart"/>
      <w:r w:rsidRPr="00DA04BE">
        <w:rPr>
          <w:rFonts w:ascii="Calibri" w:hAnsi="Calibri" w:cs="Calibri"/>
        </w:rPr>
        <w:t>OP</w:t>
      </w:r>
      <w:proofErr w:type="gramEnd"/>
      <w:r w:rsidRPr="00DA04BE">
        <w:rPr>
          <w:rFonts w:ascii="Calibri" w:hAnsi="Calibri" w:cs="Calibri"/>
        </w:rPr>
        <w:t xml:space="preserve"> </w:t>
      </w:r>
      <w:proofErr w:type="spellStart"/>
      <w:r w:rsidRPr="00DA04BE">
        <w:rPr>
          <w:rFonts w:ascii="Calibri" w:hAnsi="Calibri" w:cs="Calibri"/>
        </w:rPr>
        <w:t>VaVpI</w:t>
      </w:r>
      <w:proofErr w:type="spellEnd"/>
      <w:r w:rsidRPr="00DA04BE">
        <w:rPr>
          <w:rFonts w:ascii="Calibri" w:hAnsi="Calibri" w:cs="Calibri"/>
        </w:rPr>
        <w:t xml:space="preserve"> a její náhrada jinou akcí nebo naopak doplnění akce původně zamýšlené v</w:t>
      </w:r>
      <w:r w:rsidR="006C21AD">
        <w:rPr>
          <w:rFonts w:ascii="Calibri" w:hAnsi="Calibri" w:cs="Calibri"/>
        </w:rPr>
        <w:t> </w:t>
      </w:r>
      <w:r w:rsidRPr="00DA04BE">
        <w:rPr>
          <w:rFonts w:ascii="Calibri" w:hAnsi="Calibri" w:cs="Calibri"/>
        </w:rPr>
        <w:t xml:space="preserve">rámci OP </w:t>
      </w:r>
      <w:proofErr w:type="spellStart"/>
      <w:r w:rsidRPr="00DA04BE">
        <w:rPr>
          <w:rFonts w:ascii="Calibri" w:hAnsi="Calibri" w:cs="Calibri"/>
        </w:rPr>
        <w:t>VaVpI</w:t>
      </w:r>
      <w:proofErr w:type="spellEnd"/>
      <w:r w:rsidRPr="00DA04BE">
        <w:rPr>
          <w:rFonts w:ascii="Calibri" w:hAnsi="Calibri" w:cs="Calibri"/>
        </w:rPr>
        <w:t xml:space="preserve">. Dalším důvodem </w:t>
      </w:r>
      <w:r w:rsidR="00A519BD">
        <w:rPr>
          <w:rFonts w:ascii="Calibri" w:hAnsi="Calibri" w:cs="Calibri"/>
        </w:rPr>
        <w:t xml:space="preserve">pak </w:t>
      </w:r>
      <w:r w:rsidRPr="00DA04BE">
        <w:rPr>
          <w:rFonts w:ascii="Calibri" w:hAnsi="Calibri" w:cs="Calibri"/>
        </w:rPr>
        <w:t>bylo přehodnocení investičních priorit VVŠ po změně vedení školy.</w:t>
      </w:r>
    </w:p>
    <w:p w14:paraId="6AEDE418" w14:textId="299D1821" w:rsidR="00E66D6C" w:rsidRPr="00C37C6A" w:rsidRDefault="00E66D6C" w:rsidP="00E66D6C">
      <w:pPr>
        <w:rPr>
          <w:rFonts w:ascii="Calibri" w:hAnsi="Calibri" w:cs="Calibri"/>
        </w:rPr>
      </w:pPr>
    </w:p>
    <w:p w14:paraId="229A1771" w14:textId="0F0173BA" w:rsidR="000C3A3A" w:rsidRPr="006C21AD" w:rsidRDefault="006C21AD" w:rsidP="006C21AD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7. </w:t>
      </w:r>
      <w:r w:rsidR="00A57093" w:rsidRPr="006C21AD">
        <w:rPr>
          <w:rFonts w:ascii="Calibri" w:hAnsi="Calibri" w:cs="Calibri"/>
          <w:b/>
        </w:rPr>
        <w:t>A</w:t>
      </w:r>
      <w:r w:rsidR="000C3A3A" w:rsidRPr="006C21AD">
        <w:rPr>
          <w:rFonts w:ascii="Calibri" w:hAnsi="Calibri" w:cs="Calibri"/>
          <w:b/>
        </w:rPr>
        <w:t xml:space="preserve">kce </w:t>
      </w:r>
      <w:r w:rsidR="000C3A3A" w:rsidRPr="006C21AD">
        <w:rPr>
          <w:rFonts w:ascii="Calibri" w:hAnsi="Calibri" w:cs="Calibri"/>
          <w:b/>
          <w:i/>
        </w:rPr>
        <w:t>ČVUT-CIIRC</w:t>
      </w:r>
      <w:r w:rsidR="000C3A3A" w:rsidRPr="006C21AD">
        <w:rPr>
          <w:rFonts w:ascii="Calibri" w:hAnsi="Calibri" w:cs="Calibri"/>
          <w:b/>
        </w:rPr>
        <w:t xml:space="preserve"> </w:t>
      </w:r>
      <w:r w:rsidR="00A57093" w:rsidRPr="006C21AD">
        <w:rPr>
          <w:rFonts w:ascii="Calibri" w:hAnsi="Calibri" w:cs="Calibri"/>
          <w:b/>
        </w:rPr>
        <w:t xml:space="preserve">– výstavba sídla </w:t>
      </w:r>
      <w:r w:rsidR="009D164E" w:rsidRPr="006C21AD">
        <w:rPr>
          <w:rFonts w:ascii="Calibri" w:hAnsi="Calibri" w:cs="Calibri"/>
          <w:b/>
        </w:rPr>
        <w:t>Českého institutu informatiky, robotiky a kybernetiky</w:t>
      </w:r>
    </w:p>
    <w:p w14:paraId="348CF1A4" w14:textId="6D24C441" w:rsidR="00637618" w:rsidRDefault="00637618" w:rsidP="00637618">
      <w:pPr>
        <w:spacing w:before="120"/>
        <w:jc w:val="both"/>
        <w:rPr>
          <w:rFonts w:asciiTheme="minorHAnsi" w:eastAsiaTheme="minorHAnsi" w:hAnsiTheme="minorHAnsi" w:cstheme="minorHAnsi"/>
          <w:bCs/>
        </w:rPr>
      </w:pPr>
      <w:r w:rsidRPr="00FA37D5">
        <w:rPr>
          <w:rFonts w:asciiTheme="minorHAnsi" w:eastAsiaTheme="minorHAnsi" w:hAnsiTheme="minorHAnsi" w:cstheme="minorHAnsi"/>
          <w:bCs/>
        </w:rPr>
        <w:t xml:space="preserve">Cílem akce </w:t>
      </w:r>
      <w:r w:rsidRPr="00FA37D5">
        <w:rPr>
          <w:rFonts w:asciiTheme="minorHAnsi" w:eastAsiaTheme="minorHAnsi" w:hAnsiTheme="minorHAnsi" w:cstheme="minorHAnsi"/>
          <w:bCs/>
          <w:i/>
        </w:rPr>
        <w:t xml:space="preserve">ČVUT-CIIRC </w:t>
      </w:r>
      <w:r w:rsidRPr="00FA37D5">
        <w:rPr>
          <w:rFonts w:asciiTheme="minorHAnsi" w:eastAsiaTheme="minorHAnsi" w:hAnsiTheme="minorHAnsi" w:cstheme="minorHAnsi"/>
          <w:bCs/>
        </w:rPr>
        <w:t>byl</w:t>
      </w:r>
      <w:r w:rsidR="00FA37D5">
        <w:rPr>
          <w:rFonts w:asciiTheme="minorHAnsi" w:eastAsiaTheme="minorHAnsi" w:hAnsiTheme="minorHAnsi" w:cstheme="minorHAnsi"/>
          <w:bCs/>
        </w:rPr>
        <w:t>o</w:t>
      </w:r>
      <w:r w:rsidRPr="00FA37D5">
        <w:rPr>
          <w:rFonts w:asciiTheme="minorHAnsi" w:eastAsiaTheme="minorHAnsi" w:hAnsiTheme="minorHAnsi" w:cstheme="minorHAnsi"/>
          <w:bCs/>
        </w:rPr>
        <w:t xml:space="preserve"> </w:t>
      </w:r>
      <w:r w:rsidR="00FA37D5">
        <w:rPr>
          <w:rFonts w:asciiTheme="minorHAnsi" w:eastAsiaTheme="minorHAnsi" w:hAnsiTheme="minorHAnsi" w:cstheme="minorHAnsi"/>
          <w:bCs/>
        </w:rPr>
        <w:t xml:space="preserve">vybudování sídla CIIRC. </w:t>
      </w:r>
      <w:r w:rsidR="00FA2A3C">
        <w:rPr>
          <w:rFonts w:asciiTheme="minorHAnsi" w:eastAsiaTheme="minorHAnsi" w:hAnsiTheme="minorHAnsi" w:cstheme="minorHAnsi"/>
          <w:bCs/>
        </w:rPr>
        <w:t xml:space="preserve">Akce zahrnovala </w:t>
      </w:r>
      <w:r w:rsidR="00FA37D5">
        <w:rPr>
          <w:rFonts w:asciiTheme="minorHAnsi" w:eastAsiaTheme="minorHAnsi" w:hAnsiTheme="minorHAnsi" w:cstheme="minorHAnsi"/>
          <w:bCs/>
        </w:rPr>
        <w:t xml:space="preserve">výstavbu nového objektu A </w:t>
      </w:r>
      <w:proofErr w:type="spellStart"/>
      <w:r w:rsidR="00FA37D5">
        <w:rPr>
          <w:rFonts w:asciiTheme="minorHAnsi" w:eastAsiaTheme="minorHAnsi" w:hAnsiTheme="minorHAnsi" w:cstheme="minorHAnsi"/>
          <w:bCs/>
        </w:rPr>
        <w:t>a</w:t>
      </w:r>
      <w:proofErr w:type="spellEnd"/>
      <w:r w:rsidR="00FA37D5">
        <w:rPr>
          <w:rFonts w:asciiTheme="minorHAnsi" w:eastAsiaTheme="minorHAnsi" w:hAnsiTheme="minorHAnsi" w:cstheme="minorHAnsi"/>
          <w:bCs/>
        </w:rPr>
        <w:t> </w:t>
      </w:r>
      <w:r w:rsidRPr="00FA37D5">
        <w:rPr>
          <w:rFonts w:asciiTheme="minorHAnsi" w:eastAsiaTheme="minorHAnsi" w:hAnsiTheme="minorHAnsi" w:cstheme="minorHAnsi"/>
          <w:bCs/>
        </w:rPr>
        <w:t>rekonstrukc</w:t>
      </w:r>
      <w:r w:rsidR="00FA37D5">
        <w:rPr>
          <w:rFonts w:asciiTheme="minorHAnsi" w:eastAsiaTheme="minorHAnsi" w:hAnsiTheme="minorHAnsi" w:cstheme="minorHAnsi"/>
          <w:bCs/>
        </w:rPr>
        <w:t>i</w:t>
      </w:r>
      <w:r w:rsidRPr="00FA37D5">
        <w:rPr>
          <w:rFonts w:asciiTheme="minorHAnsi" w:eastAsiaTheme="minorHAnsi" w:hAnsiTheme="minorHAnsi" w:cstheme="minorHAnsi"/>
          <w:bCs/>
        </w:rPr>
        <w:t>, nástavb</w:t>
      </w:r>
      <w:r w:rsidR="00FA37D5">
        <w:rPr>
          <w:rFonts w:asciiTheme="minorHAnsi" w:eastAsiaTheme="minorHAnsi" w:hAnsiTheme="minorHAnsi" w:cstheme="minorHAnsi"/>
          <w:bCs/>
        </w:rPr>
        <w:t>u</w:t>
      </w:r>
      <w:r w:rsidR="005D441E" w:rsidRPr="00FA37D5">
        <w:rPr>
          <w:rFonts w:asciiTheme="minorHAnsi" w:eastAsiaTheme="minorHAnsi" w:hAnsiTheme="minorHAnsi" w:cstheme="minorHAnsi"/>
          <w:bCs/>
        </w:rPr>
        <w:t xml:space="preserve"> a </w:t>
      </w:r>
      <w:r w:rsidR="00FA37D5">
        <w:rPr>
          <w:rFonts w:asciiTheme="minorHAnsi" w:eastAsiaTheme="minorHAnsi" w:hAnsiTheme="minorHAnsi" w:cstheme="minorHAnsi"/>
          <w:bCs/>
        </w:rPr>
        <w:t>přístavbu</w:t>
      </w:r>
      <w:r w:rsidRPr="00FA37D5">
        <w:rPr>
          <w:rFonts w:asciiTheme="minorHAnsi" w:eastAsiaTheme="minorHAnsi" w:hAnsiTheme="minorHAnsi" w:cstheme="minorHAnsi"/>
          <w:bCs/>
        </w:rPr>
        <w:t xml:space="preserve"> stávajícího objektu B (původní Technická menza ČVUT v Praze-Dejvicích) včetně vybavení nábytkem a dalším </w:t>
      </w:r>
      <w:r w:rsidR="001A15FF">
        <w:rPr>
          <w:rFonts w:asciiTheme="minorHAnsi" w:eastAsiaTheme="minorHAnsi" w:hAnsiTheme="minorHAnsi" w:cstheme="minorHAnsi"/>
          <w:bCs/>
        </w:rPr>
        <w:t xml:space="preserve">zejména </w:t>
      </w:r>
      <w:r w:rsidR="00263DC4">
        <w:rPr>
          <w:rFonts w:asciiTheme="minorHAnsi" w:eastAsiaTheme="minorHAnsi" w:hAnsiTheme="minorHAnsi" w:cstheme="minorHAnsi"/>
          <w:bCs/>
        </w:rPr>
        <w:t xml:space="preserve">přístrojovým </w:t>
      </w:r>
      <w:r w:rsidRPr="00FA37D5">
        <w:rPr>
          <w:rFonts w:asciiTheme="minorHAnsi" w:eastAsiaTheme="minorHAnsi" w:hAnsiTheme="minorHAnsi" w:cstheme="minorHAnsi"/>
          <w:bCs/>
        </w:rPr>
        <w:t>vybavením. Dílčí součástí akce byla i výstavba prostor, které budou sloužit pro centrální provozy ČVUT (</w:t>
      </w:r>
      <w:r w:rsidR="007C09C5">
        <w:rPr>
          <w:rFonts w:asciiTheme="minorHAnsi" w:eastAsiaTheme="minorHAnsi" w:hAnsiTheme="minorHAnsi" w:cstheme="minorHAnsi"/>
          <w:bCs/>
        </w:rPr>
        <w:t>r</w:t>
      </w:r>
      <w:r w:rsidRPr="00FA37D5">
        <w:rPr>
          <w:rFonts w:asciiTheme="minorHAnsi" w:eastAsiaTheme="minorHAnsi" w:hAnsiTheme="minorHAnsi" w:cstheme="minorHAnsi"/>
          <w:bCs/>
        </w:rPr>
        <w:t xml:space="preserve">ektorát). Jednalo se o akci s celkovými výdaji </w:t>
      </w:r>
      <w:r w:rsidR="008F1053">
        <w:rPr>
          <w:rFonts w:asciiTheme="minorHAnsi" w:eastAsiaTheme="minorHAnsi" w:hAnsiTheme="minorHAnsi" w:cstheme="minorHAnsi"/>
          <w:bCs/>
        </w:rPr>
        <w:t>1 425,731 mil. Kč (z toho 1 000 mil. </w:t>
      </w:r>
      <w:r w:rsidRPr="00FA37D5">
        <w:rPr>
          <w:rFonts w:asciiTheme="minorHAnsi" w:eastAsiaTheme="minorHAnsi" w:hAnsiTheme="minorHAnsi" w:cstheme="minorHAnsi"/>
          <w:bCs/>
        </w:rPr>
        <w:t xml:space="preserve">Kč </w:t>
      </w:r>
      <w:r w:rsidR="00FA37D5">
        <w:rPr>
          <w:rFonts w:asciiTheme="minorHAnsi" w:eastAsiaTheme="minorHAnsi" w:hAnsiTheme="minorHAnsi" w:cstheme="minorHAnsi"/>
          <w:bCs/>
        </w:rPr>
        <w:t xml:space="preserve">činily výdaje </w:t>
      </w:r>
      <w:r w:rsidRPr="00FA37D5">
        <w:rPr>
          <w:rFonts w:asciiTheme="minorHAnsi" w:eastAsiaTheme="minorHAnsi" w:hAnsiTheme="minorHAnsi" w:cstheme="minorHAnsi"/>
          <w:bCs/>
        </w:rPr>
        <w:t xml:space="preserve">SR). </w:t>
      </w:r>
      <w:r w:rsidR="00FA2A3C">
        <w:rPr>
          <w:rFonts w:asciiTheme="minorHAnsi" w:eastAsiaTheme="minorHAnsi" w:hAnsiTheme="minorHAnsi" w:cstheme="minorHAnsi"/>
          <w:bCs/>
        </w:rPr>
        <w:t>C</w:t>
      </w:r>
      <w:r w:rsidR="00FA37D5">
        <w:rPr>
          <w:rFonts w:asciiTheme="minorHAnsi" w:eastAsiaTheme="minorHAnsi" w:hAnsiTheme="minorHAnsi" w:cstheme="minorHAnsi"/>
          <w:bCs/>
        </w:rPr>
        <w:t>elkov</w:t>
      </w:r>
      <w:r w:rsidR="00FA2A3C">
        <w:rPr>
          <w:rFonts w:asciiTheme="minorHAnsi" w:eastAsiaTheme="minorHAnsi" w:hAnsiTheme="minorHAnsi" w:cstheme="minorHAnsi"/>
          <w:bCs/>
        </w:rPr>
        <w:t xml:space="preserve">é </w:t>
      </w:r>
      <w:r w:rsidRPr="00FA37D5">
        <w:rPr>
          <w:rFonts w:asciiTheme="minorHAnsi" w:eastAsiaTheme="minorHAnsi" w:hAnsiTheme="minorHAnsi" w:cstheme="minorHAnsi"/>
          <w:bCs/>
        </w:rPr>
        <w:t>výdaj</w:t>
      </w:r>
      <w:r w:rsidR="00FA2A3C">
        <w:rPr>
          <w:rFonts w:asciiTheme="minorHAnsi" w:eastAsiaTheme="minorHAnsi" w:hAnsiTheme="minorHAnsi" w:cstheme="minorHAnsi"/>
          <w:bCs/>
        </w:rPr>
        <w:t>e</w:t>
      </w:r>
      <w:r w:rsidRPr="00FA37D5">
        <w:rPr>
          <w:rFonts w:asciiTheme="minorHAnsi" w:eastAsiaTheme="minorHAnsi" w:hAnsiTheme="minorHAnsi" w:cstheme="minorHAnsi"/>
          <w:bCs/>
        </w:rPr>
        <w:t xml:space="preserve"> </w:t>
      </w:r>
      <w:r w:rsidR="00FA2A3C">
        <w:rPr>
          <w:rFonts w:asciiTheme="minorHAnsi" w:eastAsiaTheme="minorHAnsi" w:hAnsiTheme="minorHAnsi" w:cstheme="minorHAnsi"/>
          <w:bCs/>
        </w:rPr>
        <w:t xml:space="preserve">akce se skládaly jak z </w:t>
      </w:r>
      <w:r w:rsidRPr="00FA37D5">
        <w:rPr>
          <w:rFonts w:asciiTheme="minorHAnsi" w:eastAsiaTheme="minorHAnsi" w:hAnsiTheme="minorHAnsi" w:cstheme="minorHAnsi"/>
          <w:bCs/>
        </w:rPr>
        <w:t>náklad</w:t>
      </w:r>
      <w:r w:rsidR="00FA2A3C">
        <w:rPr>
          <w:rFonts w:asciiTheme="minorHAnsi" w:eastAsiaTheme="minorHAnsi" w:hAnsiTheme="minorHAnsi" w:cstheme="minorHAnsi"/>
          <w:bCs/>
        </w:rPr>
        <w:t>ů</w:t>
      </w:r>
      <w:r w:rsidRPr="00FA37D5">
        <w:rPr>
          <w:rFonts w:asciiTheme="minorHAnsi" w:eastAsiaTheme="minorHAnsi" w:hAnsiTheme="minorHAnsi" w:cstheme="minorHAnsi"/>
          <w:bCs/>
        </w:rPr>
        <w:t xml:space="preserve"> stavb</w:t>
      </w:r>
      <w:r w:rsidR="00263DC4">
        <w:rPr>
          <w:rFonts w:asciiTheme="minorHAnsi" w:eastAsiaTheme="minorHAnsi" w:hAnsiTheme="minorHAnsi" w:cstheme="minorHAnsi"/>
          <w:bCs/>
        </w:rPr>
        <w:t>y</w:t>
      </w:r>
      <w:r w:rsidRPr="00FA37D5">
        <w:rPr>
          <w:rFonts w:asciiTheme="minorHAnsi" w:eastAsiaTheme="minorHAnsi" w:hAnsiTheme="minorHAnsi" w:cstheme="minorHAnsi"/>
          <w:bCs/>
        </w:rPr>
        <w:t xml:space="preserve">, tak </w:t>
      </w:r>
      <w:r w:rsidR="00FA37D5">
        <w:rPr>
          <w:rFonts w:asciiTheme="minorHAnsi" w:eastAsiaTheme="minorHAnsi" w:hAnsiTheme="minorHAnsi" w:cstheme="minorHAnsi"/>
          <w:bCs/>
        </w:rPr>
        <w:t>i </w:t>
      </w:r>
      <w:r w:rsidR="00263DC4">
        <w:rPr>
          <w:rFonts w:asciiTheme="minorHAnsi" w:eastAsiaTheme="minorHAnsi" w:hAnsiTheme="minorHAnsi" w:cstheme="minorHAnsi"/>
          <w:bCs/>
        </w:rPr>
        <w:t>z</w:t>
      </w:r>
      <w:r w:rsidR="007C09C5">
        <w:rPr>
          <w:rFonts w:asciiTheme="minorHAnsi" w:eastAsiaTheme="minorHAnsi" w:hAnsiTheme="minorHAnsi" w:cstheme="minorHAnsi"/>
          <w:bCs/>
        </w:rPr>
        <w:t> </w:t>
      </w:r>
      <w:r w:rsidR="00FA2A3C">
        <w:rPr>
          <w:rFonts w:asciiTheme="minorHAnsi" w:eastAsiaTheme="minorHAnsi" w:hAnsiTheme="minorHAnsi" w:cstheme="minorHAnsi"/>
          <w:bCs/>
        </w:rPr>
        <w:t>nákladů</w:t>
      </w:r>
      <w:r w:rsidRPr="00FA37D5">
        <w:rPr>
          <w:rFonts w:asciiTheme="minorHAnsi" w:eastAsiaTheme="minorHAnsi" w:hAnsiTheme="minorHAnsi" w:cstheme="minorHAnsi"/>
          <w:bCs/>
        </w:rPr>
        <w:t xml:space="preserve"> na projektovou a inženýrskou činnost</w:t>
      </w:r>
      <w:r w:rsidR="005D441E" w:rsidRPr="00FA37D5">
        <w:rPr>
          <w:rFonts w:asciiTheme="minorHAnsi" w:eastAsiaTheme="minorHAnsi" w:hAnsiTheme="minorHAnsi" w:cstheme="minorHAnsi"/>
          <w:bCs/>
        </w:rPr>
        <w:t xml:space="preserve"> a </w:t>
      </w:r>
      <w:r w:rsidR="00FA37D5">
        <w:rPr>
          <w:rFonts w:asciiTheme="minorHAnsi" w:eastAsiaTheme="minorHAnsi" w:hAnsiTheme="minorHAnsi" w:cstheme="minorHAnsi"/>
          <w:bCs/>
        </w:rPr>
        <w:t xml:space="preserve">na </w:t>
      </w:r>
      <w:r w:rsidRPr="00FA37D5">
        <w:rPr>
          <w:rFonts w:asciiTheme="minorHAnsi" w:eastAsiaTheme="minorHAnsi" w:hAnsiTheme="minorHAnsi" w:cstheme="minorHAnsi"/>
          <w:bCs/>
        </w:rPr>
        <w:t>dodávky vybavení a techniky.</w:t>
      </w:r>
    </w:p>
    <w:p w14:paraId="513A972B" w14:textId="05FB4766" w:rsidR="009E27F1" w:rsidRDefault="00FA37D5" w:rsidP="001C2F8F">
      <w:pPr>
        <w:spacing w:before="120"/>
        <w:jc w:val="both"/>
        <w:rPr>
          <w:rFonts w:asciiTheme="minorHAnsi" w:eastAsiaTheme="minorHAnsi" w:hAnsiTheme="minorHAnsi" w:cstheme="minorHAnsi"/>
          <w:bCs/>
        </w:rPr>
      </w:pPr>
      <w:r>
        <w:rPr>
          <w:rFonts w:asciiTheme="minorHAnsi" w:eastAsiaTheme="minorHAnsi" w:hAnsiTheme="minorHAnsi" w:cstheme="minorHAnsi"/>
          <w:bCs/>
        </w:rPr>
        <w:t xml:space="preserve">CIIRC jako </w:t>
      </w:r>
      <w:r w:rsidRPr="00637618">
        <w:rPr>
          <w:rFonts w:asciiTheme="minorHAnsi" w:eastAsiaTheme="minorHAnsi" w:hAnsiTheme="minorHAnsi" w:cstheme="minorHAnsi"/>
          <w:bCs/>
        </w:rPr>
        <w:t xml:space="preserve">vysokoškolský ústav ČVUT </w:t>
      </w:r>
      <w:r>
        <w:rPr>
          <w:rFonts w:asciiTheme="minorHAnsi" w:eastAsiaTheme="minorHAnsi" w:hAnsiTheme="minorHAnsi" w:cstheme="minorHAnsi"/>
          <w:bCs/>
        </w:rPr>
        <w:t>byl zřízen d</w:t>
      </w:r>
      <w:r w:rsidRPr="00637618">
        <w:rPr>
          <w:rFonts w:asciiTheme="minorHAnsi" w:eastAsiaTheme="minorHAnsi" w:hAnsiTheme="minorHAnsi" w:cstheme="minorHAnsi"/>
          <w:bCs/>
        </w:rPr>
        <w:t>nem 1. července 2013</w:t>
      </w:r>
      <w:r>
        <w:rPr>
          <w:rFonts w:asciiTheme="minorHAnsi" w:eastAsiaTheme="minorHAnsi" w:hAnsiTheme="minorHAnsi" w:cstheme="minorHAnsi"/>
          <w:bCs/>
        </w:rPr>
        <w:t xml:space="preserve">. </w:t>
      </w:r>
      <w:r w:rsidRPr="00637618">
        <w:rPr>
          <w:rFonts w:asciiTheme="minorHAnsi" w:eastAsiaTheme="minorHAnsi" w:hAnsiTheme="minorHAnsi" w:cstheme="minorHAnsi"/>
          <w:bCs/>
        </w:rPr>
        <w:t xml:space="preserve">Již v roce 2009 zpracovalo ČVUT podklady pro územní rozhodnutí začleňující sídlo </w:t>
      </w:r>
      <w:r w:rsidR="00AD342D">
        <w:rPr>
          <w:rFonts w:asciiTheme="minorHAnsi" w:eastAsiaTheme="minorHAnsi" w:hAnsiTheme="minorHAnsi" w:cstheme="minorHAnsi"/>
          <w:bCs/>
        </w:rPr>
        <w:t>CIIRC</w:t>
      </w:r>
      <w:r w:rsidRPr="00637618">
        <w:rPr>
          <w:rFonts w:asciiTheme="minorHAnsi" w:eastAsiaTheme="minorHAnsi" w:hAnsiTheme="minorHAnsi" w:cstheme="minorHAnsi"/>
          <w:bCs/>
        </w:rPr>
        <w:t xml:space="preserve"> do svého areálu v Praze</w:t>
      </w:r>
      <w:r w:rsidR="005679EC">
        <w:rPr>
          <w:rFonts w:asciiTheme="minorHAnsi" w:eastAsiaTheme="minorHAnsi" w:hAnsiTheme="minorHAnsi" w:cstheme="minorHAnsi"/>
          <w:bCs/>
        </w:rPr>
        <w:t>-</w:t>
      </w:r>
      <w:r w:rsidRPr="00637618">
        <w:rPr>
          <w:rFonts w:asciiTheme="minorHAnsi" w:eastAsiaTheme="minorHAnsi" w:hAnsiTheme="minorHAnsi" w:cstheme="minorHAnsi"/>
          <w:bCs/>
        </w:rPr>
        <w:t xml:space="preserve">Dejvicích a hledalo zdroj financování. Vybudování CIIRC </w:t>
      </w:r>
      <w:r w:rsidR="009E27F1">
        <w:rPr>
          <w:rFonts w:asciiTheme="minorHAnsi" w:eastAsiaTheme="minorHAnsi" w:hAnsiTheme="minorHAnsi" w:cstheme="minorHAnsi"/>
          <w:bCs/>
        </w:rPr>
        <w:t>poté ČVUT uvedlo jako prioritu</w:t>
      </w:r>
      <w:r>
        <w:rPr>
          <w:rFonts w:asciiTheme="minorHAnsi" w:eastAsiaTheme="minorHAnsi" w:hAnsiTheme="minorHAnsi" w:cstheme="minorHAnsi"/>
          <w:bCs/>
        </w:rPr>
        <w:t xml:space="preserve"> </w:t>
      </w:r>
      <w:r w:rsidR="005577B1">
        <w:rPr>
          <w:rFonts w:asciiTheme="minorHAnsi" w:eastAsiaTheme="minorHAnsi" w:hAnsiTheme="minorHAnsi" w:cstheme="minorHAnsi"/>
          <w:bCs/>
        </w:rPr>
        <w:t>mj. </w:t>
      </w:r>
      <w:r w:rsidRPr="00637618">
        <w:rPr>
          <w:rFonts w:asciiTheme="minorHAnsi" w:eastAsiaTheme="minorHAnsi" w:hAnsiTheme="minorHAnsi" w:cstheme="minorHAnsi"/>
          <w:bCs/>
        </w:rPr>
        <w:t>v koncep</w:t>
      </w:r>
      <w:r w:rsidR="00207F24">
        <w:rPr>
          <w:rFonts w:asciiTheme="minorHAnsi" w:eastAsiaTheme="minorHAnsi" w:hAnsiTheme="minorHAnsi" w:cstheme="minorHAnsi"/>
          <w:bCs/>
        </w:rPr>
        <w:t>čním záměru ČVUT na období 2011–</w:t>
      </w:r>
      <w:r w:rsidRPr="00637618">
        <w:rPr>
          <w:rFonts w:asciiTheme="minorHAnsi" w:eastAsiaTheme="minorHAnsi" w:hAnsiTheme="minorHAnsi" w:cstheme="minorHAnsi"/>
          <w:bCs/>
        </w:rPr>
        <w:t>2015</w:t>
      </w:r>
      <w:r>
        <w:rPr>
          <w:rFonts w:asciiTheme="minorHAnsi" w:eastAsiaTheme="minorHAnsi" w:hAnsiTheme="minorHAnsi" w:cstheme="minorHAnsi"/>
          <w:bCs/>
        </w:rPr>
        <w:t xml:space="preserve">, </w:t>
      </w:r>
      <w:r w:rsidR="00FA2A3C">
        <w:rPr>
          <w:rFonts w:asciiTheme="minorHAnsi" w:eastAsiaTheme="minorHAnsi" w:hAnsiTheme="minorHAnsi" w:cstheme="minorHAnsi"/>
          <w:bCs/>
        </w:rPr>
        <w:t xml:space="preserve">přičemž </w:t>
      </w:r>
      <w:r w:rsidRPr="00637618">
        <w:rPr>
          <w:rFonts w:asciiTheme="minorHAnsi" w:eastAsiaTheme="minorHAnsi" w:hAnsiTheme="minorHAnsi" w:cstheme="minorHAnsi"/>
          <w:bCs/>
        </w:rPr>
        <w:t xml:space="preserve">k zajištění odpovídající infrastruktury pro činnost </w:t>
      </w:r>
      <w:r w:rsidR="00AD342D">
        <w:rPr>
          <w:rFonts w:asciiTheme="minorHAnsi" w:eastAsiaTheme="minorHAnsi" w:hAnsiTheme="minorHAnsi" w:cstheme="minorHAnsi"/>
          <w:bCs/>
        </w:rPr>
        <w:t>CIIRC</w:t>
      </w:r>
      <w:r w:rsidRPr="00637618">
        <w:rPr>
          <w:rFonts w:asciiTheme="minorHAnsi" w:eastAsiaTheme="minorHAnsi" w:hAnsiTheme="minorHAnsi" w:cstheme="minorHAnsi"/>
          <w:bCs/>
        </w:rPr>
        <w:t xml:space="preserve"> mě</w:t>
      </w:r>
      <w:r w:rsidR="009E27F1">
        <w:rPr>
          <w:rFonts w:asciiTheme="minorHAnsi" w:eastAsiaTheme="minorHAnsi" w:hAnsiTheme="minorHAnsi" w:cstheme="minorHAnsi"/>
          <w:bCs/>
        </w:rPr>
        <w:t xml:space="preserve">ly být využity zdroje OP </w:t>
      </w:r>
      <w:proofErr w:type="spellStart"/>
      <w:r w:rsidR="009E27F1">
        <w:rPr>
          <w:rFonts w:asciiTheme="minorHAnsi" w:eastAsiaTheme="minorHAnsi" w:hAnsiTheme="minorHAnsi" w:cstheme="minorHAnsi"/>
          <w:bCs/>
        </w:rPr>
        <w:t>VaVpI</w:t>
      </w:r>
      <w:proofErr w:type="spellEnd"/>
      <w:r w:rsidR="009E27F1">
        <w:rPr>
          <w:rFonts w:asciiTheme="minorHAnsi" w:eastAsiaTheme="minorHAnsi" w:hAnsiTheme="minorHAnsi" w:cstheme="minorHAnsi"/>
          <w:bCs/>
        </w:rPr>
        <w:t xml:space="preserve">. ČVUT se však nepodařilo splnit stanovené podmínky </w:t>
      </w:r>
      <w:r w:rsidR="00263DC4">
        <w:rPr>
          <w:rFonts w:asciiTheme="minorHAnsi" w:eastAsiaTheme="minorHAnsi" w:hAnsiTheme="minorHAnsi" w:cstheme="minorHAnsi"/>
          <w:bCs/>
        </w:rPr>
        <w:t xml:space="preserve">pro financování z prostředků EU </w:t>
      </w:r>
      <w:r w:rsidR="009E27F1">
        <w:rPr>
          <w:rFonts w:asciiTheme="minorHAnsi" w:eastAsiaTheme="minorHAnsi" w:hAnsiTheme="minorHAnsi" w:cstheme="minorHAnsi"/>
          <w:bCs/>
        </w:rPr>
        <w:t>a následně</w:t>
      </w:r>
      <w:r w:rsidR="009E27F1" w:rsidRPr="009E27F1">
        <w:rPr>
          <w:rFonts w:asciiTheme="minorHAnsi" w:eastAsiaTheme="minorHAnsi" w:hAnsiTheme="minorHAnsi" w:cstheme="minorHAnsi"/>
          <w:bCs/>
        </w:rPr>
        <w:t xml:space="preserve"> </w:t>
      </w:r>
      <w:r w:rsidR="005679EC">
        <w:rPr>
          <w:rFonts w:asciiTheme="minorHAnsi" w:eastAsiaTheme="minorHAnsi" w:hAnsiTheme="minorHAnsi" w:cstheme="minorHAnsi"/>
          <w:bCs/>
        </w:rPr>
        <w:t>se přistoupilo</w:t>
      </w:r>
      <w:r w:rsidR="009E27F1" w:rsidRPr="009E27F1">
        <w:rPr>
          <w:rFonts w:asciiTheme="minorHAnsi" w:eastAsiaTheme="minorHAnsi" w:hAnsiTheme="minorHAnsi" w:cstheme="minorHAnsi"/>
          <w:bCs/>
        </w:rPr>
        <w:t xml:space="preserve"> k financování z prostředků programu. Záměr realizovat akci z prostředků programu byl patrný z přílohy usnesení vlády č. 779/2014</w:t>
      </w:r>
      <w:r w:rsidR="00AD342D" w:rsidRPr="00831FA5">
        <w:rPr>
          <w:rFonts w:asciiTheme="minorHAnsi" w:eastAsiaTheme="minorHAnsi" w:hAnsiTheme="minorHAnsi" w:cstheme="minorHAnsi"/>
          <w:bCs/>
          <w:vertAlign w:val="superscript"/>
        </w:rPr>
        <w:t>11</w:t>
      </w:r>
      <w:r w:rsidR="009E27F1" w:rsidRPr="009E27F1">
        <w:rPr>
          <w:rFonts w:asciiTheme="minorHAnsi" w:eastAsiaTheme="minorHAnsi" w:hAnsiTheme="minorHAnsi" w:cstheme="minorHAnsi"/>
          <w:bCs/>
        </w:rPr>
        <w:t>.</w:t>
      </w:r>
    </w:p>
    <w:p w14:paraId="59BECB89" w14:textId="16AC1ACE" w:rsidR="001C2F8F" w:rsidRPr="00013BA4" w:rsidRDefault="003F322C" w:rsidP="00C37C6A">
      <w:pPr>
        <w:spacing w:before="120" w:after="120"/>
        <w:jc w:val="both"/>
        <w:rPr>
          <w:rFonts w:asciiTheme="minorHAnsi" w:eastAsiaTheme="minorHAnsi" w:hAnsiTheme="minorHAnsi" w:cstheme="minorHAnsi"/>
          <w:bCs/>
        </w:rPr>
      </w:pPr>
      <w:r w:rsidRPr="00013BA4">
        <w:rPr>
          <w:rFonts w:asciiTheme="minorHAnsi" w:eastAsiaTheme="minorHAnsi" w:hAnsiTheme="minorHAnsi" w:cstheme="minorHAnsi"/>
          <w:bCs/>
        </w:rPr>
        <w:t xml:space="preserve">V září 2013 </w:t>
      </w:r>
      <w:r w:rsidR="007635F7" w:rsidRPr="00013BA4">
        <w:rPr>
          <w:rFonts w:asciiTheme="minorHAnsi" w:eastAsiaTheme="minorHAnsi" w:hAnsiTheme="minorHAnsi" w:cstheme="minorHAnsi"/>
          <w:bCs/>
        </w:rPr>
        <w:t xml:space="preserve">vyhlásilo MŠMT </w:t>
      </w:r>
      <w:r w:rsidRPr="00013BA4">
        <w:rPr>
          <w:rFonts w:asciiTheme="minorHAnsi" w:eastAsiaTheme="minorHAnsi" w:hAnsiTheme="minorHAnsi" w:cstheme="minorHAnsi"/>
          <w:bCs/>
        </w:rPr>
        <w:t>výzv</w:t>
      </w:r>
      <w:r w:rsidR="007635F7" w:rsidRPr="00013BA4">
        <w:rPr>
          <w:rFonts w:asciiTheme="minorHAnsi" w:eastAsiaTheme="minorHAnsi" w:hAnsiTheme="minorHAnsi" w:cstheme="minorHAnsi"/>
          <w:bCs/>
        </w:rPr>
        <w:t>u</w:t>
      </w:r>
      <w:r w:rsidRPr="00013BA4">
        <w:rPr>
          <w:rFonts w:asciiTheme="minorHAnsi" w:eastAsiaTheme="minorHAnsi" w:hAnsiTheme="minorHAnsi" w:cstheme="minorHAnsi"/>
          <w:bCs/>
        </w:rPr>
        <w:t xml:space="preserve"> v rámci čtvrté prioritní osy OP </w:t>
      </w:r>
      <w:proofErr w:type="spellStart"/>
      <w:r w:rsidRPr="00013BA4">
        <w:rPr>
          <w:rFonts w:asciiTheme="minorHAnsi" w:eastAsiaTheme="minorHAnsi" w:hAnsiTheme="minorHAnsi" w:cstheme="minorHAnsi"/>
          <w:bCs/>
        </w:rPr>
        <w:t>VaVpI</w:t>
      </w:r>
      <w:proofErr w:type="spellEnd"/>
      <w:r w:rsidRPr="00013BA4">
        <w:rPr>
          <w:rFonts w:asciiTheme="minorHAnsi" w:eastAsiaTheme="minorHAnsi" w:hAnsiTheme="minorHAnsi" w:cstheme="minorHAnsi"/>
          <w:bCs/>
        </w:rPr>
        <w:t xml:space="preserve"> pro školy se sídlem v Praze. </w:t>
      </w:r>
      <w:r w:rsidR="001C2F8F" w:rsidRPr="00013BA4">
        <w:rPr>
          <w:rFonts w:asciiTheme="minorHAnsi" w:eastAsiaTheme="minorHAnsi" w:hAnsiTheme="minorHAnsi" w:cstheme="minorHAnsi"/>
          <w:bCs/>
        </w:rPr>
        <w:t>Akce byla zařazena k</w:t>
      </w:r>
      <w:r w:rsidRPr="00013BA4">
        <w:rPr>
          <w:rFonts w:asciiTheme="minorHAnsi" w:eastAsiaTheme="minorHAnsi" w:hAnsiTheme="minorHAnsi" w:cstheme="minorHAnsi"/>
          <w:bCs/>
        </w:rPr>
        <w:t> </w:t>
      </w:r>
      <w:r w:rsidR="001C2F8F" w:rsidRPr="00013BA4">
        <w:rPr>
          <w:rFonts w:asciiTheme="minorHAnsi" w:eastAsiaTheme="minorHAnsi" w:hAnsiTheme="minorHAnsi" w:cstheme="minorHAnsi"/>
          <w:bCs/>
        </w:rPr>
        <w:t>financování</w:t>
      </w:r>
      <w:r w:rsidRPr="00013BA4">
        <w:rPr>
          <w:rFonts w:asciiTheme="minorHAnsi" w:eastAsiaTheme="minorHAnsi" w:hAnsiTheme="minorHAnsi" w:cstheme="minorHAnsi"/>
          <w:bCs/>
        </w:rPr>
        <w:t xml:space="preserve"> </w:t>
      </w:r>
      <w:r w:rsidR="00916F49">
        <w:rPr>
          <w:rFonts w:asciiTheme="minorHAnsi" w:eastAsiaTheme="minorHAnsi" w:hAnsiTheme="minorHAnsi" w:cstheme="minorHAnsi"/>
          <w:bCs/>
        </w:rPr>
        <w:t>do</w:t>
      </w:r>
      <w:r w:rsidR="005679EC">
        <w:rPr>
          <w:rFonts w:asciiTheme="minorHAnsi" w:eastAsiaTheme="minorHAnsi" w:hAnsiTheme="minorHAnsi" w:cstheme="minorHAnsi"/>
          <w:bCs/>
        </w:rPr>
        <w:t xml:space="preserve"> </w:t>
      </w:r>
      <w:r w:rsidRPr="00013BA4">
        <w:rPr>
          <w:rFonts w:asciiTheme="minorHAnsi" w:eastAsiaTheme="minorHAnsi" w:hAnsiTheme="minorHAnsi" w:cstheme="minorHAnsi"/>
          <w:bCs/>
        </w:rPr>
        <w:t>tohoto operačního programu</w:t>
      </w:r>
      <w:r w:rsidR="00916F49" w:rsidRPr="00916F49">
        <w:rPr>
          <w:rFonts w:asciiTheme="minorHAnsi" w:eastAsiaTheme="minorHAnsi" w:hAnsiTheme="minorHAnsi" w:cstheme="minorHAnsi"/>
          <w:bCs/>
        </w:rPr>
        <w:t xml:space="preserve"> </w:t>
      </w:r>
      <w:r w:rsidR="00916F49" w:rsidRPr="00013BA4">
        <w:rPr>
          <w:rFonts w:asciiTheme="minorHAnsi" w:eastAsiaTheme="minorHAnsi" w:hAnsiTheme="minorHAnsi" w:cstheme="minorHAnsi"/>
          <w:bCs/>
        </w:rPr>
        <w:t>v roce 2014</w:t>
      </w:r>
      <w:r w:rsidRPr="00013BA4">
        <w:rPr>
          <w:rFonts w:asciiTheme="minorHAnsi" w:eastAsiaTheme="minorHAnsi" w:hAnsiTheme="minorHAnsi" w:cstheme="minorHAnsi"/>
          <w:bCs/>
        </w:rPr>
        <w:t xml:space="preserve">. </w:t>
      </w:r>
      <w:r w:rsidR="001C2F8F" w:rsidRPr="00013BA4">
        <w:rPr>
          <w:rFonts w:asciiTheme="minorHAnsi" w:eastAsiaTheme="minorHAnsi" w:hAnsiTheme="minorHAnsi" w:cstheme="minorHAnsi"/>
          <w:bCs/>
        </w:rPr>
        <w:t>Při hodnocení říd</w:t>
      </w:r>
      <w:r w:rsidR="005679EC">
        <w:rPr>
          <w:rFonts w:asciiTheme="minorHAnsi" w:eastAsiaTheme="minorHAnsi" w:hAnsiTheme="minorHAnsi" w:cstheme="minorHAnsi"/>
          <w:bCs/>
        </w:rPr>
        <w:t>i</w:t>
      </w:r>
      <w:r w:rsidR="001C2F8F" w:rsidRPr="00013BA4">
        <w:rPr>
          <w:rFonts w:asciiTheme="minorHAnsi" w:eastAsiaTheme="minorHAnsi" w:hAnsiTheme="minorHAnsi" w:cstheme="minorHAnsi"/>
          <w:bCs/>
        </w:rPr>
        <w:t>cím orgánem MŠMT získal projekt 57 bodů z přijatelného interva</w:t>
      </w:r>
      <w:r w:rsidR="00207F24">
        <w:rPr>
          <w:rFonts w:asciiTheme="minorHAnsi" w:eastAsiaTheme="minorHAnsi" w:hAnsiTheme="minorHAnsi" w:cstheme="minorHAnsi"/>
          <w:bCs/>
        </w:rPr>
        <w:t>lu 55 až 100 </w:t>
      </w:r>
      <w:r w:rsidR="001C2F8F" w:rsidRPr="00013BA4">
        <w:rPr>
          <w:rFonts w:asciiTheme="minorHAnsi" w:eastAsiaTheme="minorHAnsi" w:hAnsiTheme="minorHAnsi" w:cstheme="minorHAnsi"/>
          <w:bCs/>
        </w:rPr>
        <w:t>bodů</w:t>
      </w:r>
      <w:r w:rsidR="00916F49">
        <w:rPr>
          <w:rFonts w:asciiTheme="minorHAnsi" w:eastAsiaTheme="minorHAnsi" w:hAnsiTheme="minorHAnsi" w:cstheme="minorHAnsi"/>
          <w:bCs/>
        </w:rPr>
        <w:t xml:space="preserve">. Současně </w:t>
      </w:r>
      <w:r w:rsidR="001C2F8F" w:rsidRPr="00013BA4">
        <w:rPr>
          <w:rFonts w:asciiTheme="minorHAnsi" w:eastAsiaTheme="minorHAnsi" w:hAnsiTheme="minorHAnsi" w:cstheme="minorHAnsi"/>
          <w:bCs/>
        </w:rPr>
        <w:t>byla identifikována časová</w:t>
      </w:r>
      <w:r w:rsidR="00916F49">
        <w:rPr>
          <w:rFonts w:asciiTheme="minorHAnsi" w:eastAsiaTheme="minorHAnsi" w:hAnsiTheme="minorHAnsi" w:cstheme="minorHAnsi"/>
          <w:bCs/>
        </w:rPr>
        <w:t xml:space="preserve"> a </w:t>
      </w:r>
      <w:r w:rsidR="001C2F8F" w:rsidRPr="00013BA4">
        <w:rPr>
          <w:rFonts w:asciiTheme="minorHAnsi" w:eastAsiaTheme="minorHAnsi" w:hAnsiTheme="minorHAnsi" w:cstheme="minorHAnsi"/>
          <w:bCs/>
        </w:rPr>
        <w:t>finanční rizika</w:t>
      </w:r>
      <w:r w:rsidR="00916F49">
        <w:rPr>
          <w:rFonts w:asciiTheme="minorHAnsi" w:eastAsiaTheme="minorHAnsi" w:hAnsiTheme="minorHAnsi" w:cstheme="minorHAnsi"/>
          <w:bCs/>
        </w:rPr>
        <w:t xml:space="preserve"> vztahující se</w:t>
      </w:r>
      <w:r w:rsidR="001C2F8F" w:rsidRPr="00013BA4">
        <w:rPr>
          <w:rFonts w:asciiTheme="minorHAnsi" w:eastAsiaTheme="minorHAnsi" w:hAnsiTheme="minorHAnsi" w:cstheme="minorHAnsi"/>
          <w:bCs/>
        </w:rPr>
        <w:t>:</w:t>
      </w:r>
    </w:p>
    <w:p w14:paraId="0793336B" w14:textId="73212C80" w:rsidR="001C2F8F" w:rsidRPr="00EC6768" w:rsidRDefault="00916F49" w:rsidP="002F5677">
      <w:pPr>
        <w:pStyle w:val="Odstavecseseznamem"/>
        <w:numPr>
          <w:ilvl w:val="1"/>
          <w:numId w:val="34"/>
        </w:numPr>
        <w:ind w:left="357" w:hanging="357"/>
        <w:jc w:val="both"/>
        <w:rPr>
          <w:rFonts w:asciiTheme="minorHAnsi" w:eastAsiaTheme="minorHAnsi" w:hAnsiTheme="minorHAnsi" w:cstheme="minorHAnsi"/>
          <w:bCs/>
        </w:rPr>
      </w:pPr>
      <w:r w:rsidRPr="00EC6768">
        <w:rPr>
          <w:rFonts w:asciiTheme="minorHAnsi" w:eastAsiaTheme="minorHAnsi" w:hAnsiTheme="minorHAnsi" w:cstheme="minorHAnsi"/>
          <w:bCs/>
        </w:rPr>
        <w:t xml:space="preserve">k </w:t>
      </w:r>
      <w:r w:rsidR="001C2F8F" w:rsidRPr="00EC6768">
        <w:rPr>
          <w:rFonts w:asciiTheme="minorHAnsi" w:eastAsiaTheme="minorHAnsi" w:hAnsiTheme="minorHAnsi" w:cstheme="minorHAnsi"/>
          <w:bCs/>
        </w:rPr>
        <w:t>harmonogram</w:t>
      </w:r>
      <w:r w:rsidRPr="00EC6768">
        <w:rPr>
          <w:rFonts w:asciiTheme="minorHAnsi" w:eastAsiaTheme="minorHAnsi" w:hAnsiTheme="minorHAnsi" w:cstheme="minorHAnsi"/>
          <w:bCs/>
        </w:rPr>
        <w:t>u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projektu</w:t>
      </w:r>
      <w:r w:rsidRPr="00EC6768">
        <w:rPr>
          <w:rFonts w:asciiTheme="minorHAnsi" w:eastAsiaTheme="minorHAnsi" w:hAnsiTheme="minorHAnsi" w:cstheme="minorHAnsi"/>
          <w:bCs/>
        </w:rPr>
        <w:t>,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</w:t>
      </w:r>
      <w:r w:rsidRPr="00EC6768">
        <w:rPr>
          <w:rFonts w:asciiTheme="minorHAnsi" w:eastAsiaTheme="minorHAnsi" w:hAnsiTheme="minorHAnsi" w:cstheme="minorHAnsi"/>
          <w:bCs/>
        </w:rPr>
        <w:t>stanoveném</w:t>
      </w:r>
      <w:r w:rsidR="00EC6768">
        <w:rPr>
          <w:rFonts w:asciiTheme="minorHAnsi" w:eastAsiaTheme="minorHAnsi" w:hAnsiTheme="minorHAnsi" w:cstheme="minorHAnsi"/>
          <w:bCs/>
        </w:rPr>
        <w:t>u</w:t>
      </w:r>
      <w:r w:rsidRPr="00EC6768">
        <w:rPr>
          <w:rFonts w:asciiTheme="minorHAnsi" w:eastAsiaTheme="minorHAnsi" w:hAnsiTheme="minorHAnsi" w:cstheme="minorHAnsi"/>
          <w:bCs/>
        </w:rPr>
        <w:t xml:space="preserve"> s ohledem na implementační období OP </w:t>
      </w:r>
      <w:proofErr w:type="spellStart"/>
      <w:r w:rsidRPr="00EC6768">
        <w:rPr>
          <w:rFonts w:asciiTheme="minorHAnsi" w:eastAsiaTheme="minorHAnsi" w:hAnsiTheme="minorHAnsi" w:cstheme="minorHAnsi"/>
          <w:bCs/>
        </w:rPr>
        <w:t>VaVpI</w:t>
      </w:r>
      <w:proofErr w:type="spellEnd"/>
      <w:r w:rsidRPr="00EC6768">
        <w:rPr>
          <w:rFonts w:asciiTheme="minorHAnsi" w:eastAsiaTheme="minorHAnsi" w:hAnsiTheme="minorHAnsi" w:cstheme="minorHAnsi"/>
          <w:bCs/>
        </w:rPr>
        <w:t xml:space="preserve"> trvající do 31. prosince 2015, který byl h</w:t>
      </w:r>
      <w:r w:rsidR="001C2F8F" w:rsidRPr="00EC6768">
        <w:rPr>
          <w:rFonts w:asciiTheme="minorHAnsi" w:eastAsiaTheme="minorHAnsi" w:hAnsiTheme="minorHAnsi" w:cstheme="minorHAnsi"/>
          <w:bCs/>
        </w:rPr>
        <w:t>odnocen</w:t>
      </w:r>
      <w:r w:rsidRPr="00EC6768">
        <w:rPr>
          <w:rFonts w:asciiTheme="minorHAnsi" w:eastAsiaTheme="minorHAnsi" w:hAnsiTheme="minorHAnsi" w:cstheme="minorHAnsi"/>
          <w:bCs/>
        </w:rPr>
        <w:t xml:space="preserve"> 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na hranici realizovatelnosti </w:t>
      </w:r>
      <w:r w:rsidR="00263DC4">
        <w:rPr>
          <w:rFonts w:asciiTheme="minorHAnsi" w:eastAsiaTheme="minorHAnsi" w:hAnsiTheme="minorHAnsi" w:cstheme="minorHAnsi"/>
          <w:bCs/>
        </w:rPr>
        <w:t>a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bez </w:t>
      </w:r>
      <w:r w:rsidRPr="00EC6768">
        <w:rPr>
          <w:rFonts w:asciiTheme="minorHAnsi" w:eastAsiaTheme="minorHAnsi" w:hAnsiTheme="minorHAnsi" w:cstheme="minorHAnsi"/>
          <w:bCs/>
        </w:rPr>
        <w:t xml:space="preserve">jakýchkoli </w:t>
      </w:r>
      <w:r w:rsidR="001C2F8F" w:rsidRPr="00EC6768">
        <w:rPr>
          <w:rFonts w:asciiTheme="minorHAnsi" w:eastAsiaTheme="minorHAnsi" w:hAnsiTheme="minorHAnsi" w:cstheme="minorHAnsi"/>
          <w:bCs/>
        </w:rPr>
        <w:t>časových rezerv</w:t>
      </w:r>
      <w:r w:rsidR="005679EC">
        <w:rPr>
          <w:rFonts w:asciiTheme="minorHAnsi" w:eastAsiaTheme="minorHAnsi" w:hAnsiTheme="minorHAnsi" w:cstheme="minorHAnsi"/>
          <w:bCs/>
        </w:rPr>
        <w:t>;</w:t>
      </w:r>
    </w:p>
    <w:p w14:paraId="352851E2" w14:textId="125F8F9B" w:rsidR="001C2F8F" w:rsidRPr="00EC6768" w:rsidRDefault="00EC6768" w:rsidP="002F5677">
      <w:pPr>
        <w:pStyle w:val="Odstavecseseznamem"/>
        <w:numPr>
          <w:ilvl w:val="1"/>
          <w:numId w:val="34"/>
        </w:numPr>
        <w:ind w:left="357" w:hanging="357"/>
        <w:jc w:val="both"/>
        <w:rPr>
          <w:rFonts w:asciiTheme="minorHAnsi" w:eastAsiaTheme="minorHAnsi" w:hAnsiTheme="minorHAnsi" w:cstheme="minorHAnsi"/>
          <w:bCs/>
        </w:rPr>
      </w:pPr>
      <w:r w:rsidRPr="00EC6768">
        <w:rPr>
          <w:rFonts w:asciiTheme="minorHAnsi" w:eastAsiaTheme="minorHAnsi" w:hAnsiTheme="minorHAnsi" w:cstheme="minorHAnsi"/>
          <w:bCs/>
        </w:rPr>
        <w:t>k možnému překročení maximálního limitu celkových výdajů projektu</w:t>
      </w:r>
      <w:r>
        <w:rPr>
          <w:rFonts w:asciiTheme="minorHAnsi" w:eastAsiaTheme="minorHAnsi" w:hAnsiTheme="minorHAnsi" w:cstheme="minorHAnsi"/>
          <w:bCs/>
        </w:rPr>
        <w:t xml:space="preserve">, </w:t>
      </w:r>
      <w:r w:rsidRPr="00EC6768">
        <w:rPr>
          <w:rFonts w:asciiTheme="minorHAnsi" w:eastAsiaTheme="minorHAnsi" w:hAnsiTheme="minorHAnsi" w:cstheme="minorHAnsi"/>
          <w:bCs/>
        </w:rPr>
        <w:t xml:space="preserve">neboť </w:t>
      </w:r>
      <w:r>
        <w:rPr>
          <w:rFonts w:asciiTheme="minorHAnsi" w:eastAsiaTheme="minorHAnsi" w:hAnsiTheme="minorHAnsi" w:cstheme="minorHAnsi"/>
          <w:bCs/>
        </w:rPr>
        <w:t xml:space="preserve">předpokládaný </w:t>
      </w:r>
      <w:r w:rsidR="00263DC4">
        <w:rPr>
          <w:rFonts w:asciiTheme="minorHAnsi" w:eastAsiaTheme="minorHAnsi" w:hAnsiTheme="minorHAnsi" w:cstheme="minorHAnsi"/>
          <w:bCs/>
        </w:rPr>
        <w:t xml:space="preserve">stanovený </w:t>
      </w:r>
      <w:r w:rsidR="001C2F8F" w:rsidRPr="00EC6768">
        <w:rPr>
          <w:rFonts w:asciiTheme="minorHAnsi" w:eastAsiaTheme="minorHAnsi" w:hAnsiTheme="minorHAnsi" w:cstheme="minorHAnsi"/>
          <w:bCs/>
        </w:rPr>
        <w:t>objem ve výši 1 099,991 mil. Kč byl na horní hranici těsně pod akceptovatelným limitem 1 100 mil. Kč</w:t>
      </w:r>
      <w:r w:rsidR="005679EC">
        <w:rPr>
          <w:rFonts w:asciiTheme="minorHAnsi" w:eastAsiaTheme="minorHAnsi" w:hAnsiTheme="minorHAnsi" w:cstheme="minorHAnsi"/>
          <w:bCs/>
        </w:rPr>
        <w:t>;</w:t>
      </w:r>
    </w:p>
    <w:p w14:paraId="66DA25EA" w14:textId="36DA13D5" w:rsidR="001C2F8F" w:rsidRPr="00EC6768" w:rsidRDefault="00EC6768" w:rsidP="002F5677">
      <w:pPr>
        <w:pStyle w:val="Odstavecseseznamem"/>
        <w:numPr>
          <w:ilvl w:val="1"/>
          <w:numId w:val="34"/>
        </w:numPr>
        <w:ind w:left="357" w:hanging="357"/>
        <w:jc w:val="both"/>
        <w:rPr>
          <w:rFonts w:asciiTheme="minorHAnsi" w:eastAsiaTheme="minorHAnsi" w:hAnsiTheme="minorHAnsi" w:cstheme="minorHAnsi"/>
          <w:bCs/>
        </w:rPr>
      </w:pPr>
      <w:r w:rsidRPr="00EC6768">
        <w:rPr>
          <w:rFonts w:asciiTheme="minorHAnsi" w:eastAsiaTheme="minorHAnsi" w:hAnsiTheme="minorHAnsi" w:cstheme="minorHAnsi"/>
          <w:bCs/>
        </w:rPr>
        <w:t>k jednotkovým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náklad</w:t>
      </w:r>
      <w:r w:rsidRPr="00EC6768">
        <w:rPr>
          <w:rFonts w:asciiTheme="minorHAnsi" w:eastAsiaTheme="minorHAnsi" w:hAnsiTheme="minorHAnsi" w:cstheme="minorHAnsi"/>
          <w:bCs/>
        </w:rPr>
        <w:t>ům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na realizaci stavby</w:t>
      </w:r>
      <w:r w:rsidRPr="00EC6768">
        <w:rPr>
          <w:rFonts w:asciiTheme="minorHAnsi" w:eastAsiaTheme="minorHAnsi" w:hAnsiTheme="minorHAnsi" w:cstheme="minorHAnsi"/>
          <w:bCs/>
        </w:rPr>
        <w:t>, které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byly hodnoceny jako nízké </w:t>
      </w:r>
      <w:r w:rsidR="005679EC">
        <w:rPr>
          <w:rFonts w:asciiTheme="minorHAnsi" w:eastAsiaTheme="minorHAnsi" w:hAnsiTheme="minorHAnsi" w:cstheme="minorHAnsi"/>
          <w:bCs/>
        </w:rPr>
        <w:t>–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na samé hranici běžných současných cenových relací (28 000</w:t>
      </w:r>
      <w:r w:rsidR="001C2F8F" w:rsidRPr="00EC6768">
        <w:rPr>
          <w:rStyle w:val="Znakapoznpodarou"/>
          <w:rFonts w:asciiTheme="minorHAnsi" w:eastAsiaTheme="minorHAnsi" w:hAnsiTheme="minorHAnsi" w:cstheme="minorHAnsi"/>
          <w:bCs/>
        </w:rPr>
        <w:footnoteReference w:id="15"/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Kč/m</w:t>
      </w:r>
      <w:r w:rsidR="001C2F8F" w:rsidRPr="00EC6768">
        <w:rPr>
          <w:rFonts w:asciiTheme="minorHAnsi" w:eastAsiaTheme="minorHAnsi" w:hAnsiTheme="minorHAnsi" w:cstheme="minorHAnsi"/>
          <w:bCs/>
          <w:vertAlign w:val="superscript"/>
        </w:rPr>
        <w:t>2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a 6 500 Kč/m</w:t>
      </w:r>
      <w:r w:rsidR="001C2F8F" w:rsidRPr="00EC6768">
        <w:rPr>
          <w:rFonts w:asciiTheme="minorHAnsi" w:eastAsiaTheme="minorHAnsi" w:hAnsiTheme="minorHAnsi" w:cstheme="minorHAnsi"/>
          <w:bCs/>
          <w:vertAlign w:val="superscript"/>
        </w:rPr>
        <w:t>3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včetně 21% </w:t>
      </w:r>
      <w:r w:rsidR="005679EC">
        <w:rPr>
          <w:rFonts w:asciiTheme="minorHAnsi" w:eastAsiaTheme="minorHAnsi" w:hAnsiTheme="minorHAnsi" w:cstheme="minorHAnsi"/>
          <w:bCs/>
        </w:rPr>
        <w:t xml:space="preserve">sazby </w:t>
      </w:r>
      <w:r w:rsidR="001C2F8F" w:rsidRPr="00EC6768">
        <w:rPr>
          <w:rFonts w:asciiTheme="minorHAnsi" w:eastAsiaTheme="minorHAnsi" w:hAnsiTheme="minorHAnsi" w:cstheme="minorHAnsi"/>
          <w:bCs/>
        </w:rPr>
        <w:t>DPH)</w:t>
      </w:r>
      <w:r w:rsidR="005679EC">
        <w:rPr>
          <w:rFonts w:asciiTheme="minorHAnsi" w:eastAsiaTheme="minorHAnsi" w:hAnsiTheme="minorHAnsi" w:cstheme="minorHAnsi"/>
          <w:bCs/>
        </w:rPr>
        <w:t>;</w:t>
      </w:r>
    </w:p>
    <w:p w14:paraId="59ED618A" w14:textId="3BDBFC04" w:rsidR="001C2F8F" w:rsidRPr="00EC6768" w:rsidRDefault="00EC6768" w:rsidP="00C37C6A">
      <w:pPr>
        <w:pStyle w:val="Odstavecseseznamem"/>
        <w:numPr>
          <w:ilvl w:val="1"/>
          <w:numId w:val="34"/>
        </w:numPr>
        <w:spacing w:after="120"/>
        <w:ind w:left="357" w:hanging="357"/>
        <w:jc w:val="both"/>
        <w:rPr>
          <w:rFonts w:asciiTheme="minorHAnsi" w:eastAsiaTheme="minorHAnsi" w:hAnsiTheme="minorHAnsi" w:cstheme="minorHAnsi"/>
          <w:bCs/>
        </w:rPr>
      </w:pPr>
      <w:r w:rsidRPr="00EC6768">
        <w:rPr>
          <w:rFonts w:asciiTheme="minorHAnsi" w:eastAsiaTheme="minorHAnsi" w:hAnsiTheme="minorHAnsi" w:cstheme="minorHAnsi"/>
          <w:bCs/>
        </w:rPr>
        <w:t xml:space="preserve">k </w:t>
      </w:r>
      <w:r w:rsidR="001C2F8F" w:rsidRPr="00EC6768">
        <w:rPr>
          <w:rFonts w:asciiTheme="minorHAnsi" w:eastAsiaTheme="minorHAnsi" w:hAnsiTheme="minorHAnsi" w:cstheme="minorHAnsi"/>
          <w:bCs/>
        </w:rPr>
        <w:t>územní</w:t>
      </w:r>
      <w:r w:rsidRPr="00EC6768">
        <w:rPr>
          <w:rFonts w:asciiTheme="minorHAnsi" w:eastAsiaTheme="minorHAnsi" w:hAnsiTheme="minorHAnsi" w:cstheme="minorHAnsi"/>
          <w:bCs/>
        </w:rPr>
        <w:t>mu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rozhodnutí</w:t>
      </w:r>
      <w:r>
        <w:rPr>
          <w:rFonts w:asciiTheme="minorHAnsi" w:eastAsiaTheme="minorHAnsi" w:hAnsiTheme="minorHAnsi" w:cstheme="minorHAnsi"/>
          <w:bCs/>
        </w:rPr>
        <w:t>,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napaden</w:t>
      </w:r>
      <w:r w:rsidRPr="00EC6768">
        <w:rPr>
          <w:rFonts w:asciiTheme="minorHAnsi" w:eastAsiaTheme="minorHAnsi" w:hAnsiTheme="minorHAnsi" w:cstheme="minorHAnsi"/>
          <w:bCs/>
        </w:rPr>
        <w:t>ému v době podání žádosti</w:t>
      </w:r>
      <w:r w:rsidR="001C2F8F" w:rsidRPr="00EC6768">
        <w:rPr>
          <w:rFonts w:asciiTheme="minorHAnsi" w:eastAsiaTheme="minorHAnsi" w:hAnsiTheme="minorHAnsi" w:cstheme="minorHAnsi"/>
          <w:bCs/>
        </w:rPr>
        <w:t xml:space="preserve"> </w:t>
      </w:r>
      <w:r w:rsidR="00C607D4" w:rsidRPr="00EC6768">
        <w:rPr>
          <w:rFonts w:asciiTheme="minorHAnsi" w:eastAsiaTheme="minorHAnsi" w:hAnsiTheme="minorHAnsi" w:cstheme="minorHAnsi"/>
          <w:bCs/>
        </w:rPr>
        <w:t xml:space="preserve">žalobou občanského sdružení v rámci soudního </w:t>
      </w:r>
      <w:r w:rsidR="001C2F8F" w:rsidRPr="00EC6768">
        <w:rPr>
          <w:rFonts w:asciiTheme="minorHAnsi" w:eastAsiaTheme="minorHAnsi" w:hAnsiTheme="minorHAnsi" w:cstheme="minorHAnsi"/>
          <w:bCs/>
        </w:rPr>
        <w:t>řízení.</w:t>
      </w:r>
    </w:p>
    <w:p w14:paraId="01732178" w14:textId="7BAED084" w:rsidR="00EB715B" w:rsidRPr="00EC6768" w:rsidRDefault="00F133E8" w:rsidP="00EB715B">
      <w:pPr>
        <w:jc w:val="both"/>
        <w:rPr>
          <w:rFonts w:asciiTheme="minorHAnsi" w:eastAsiaTheme="minorHAnsi" w:hAnsiTheme="minorHAnsi" w:cstheme="minorHAnsi"/>
          <w:bCs/>
        </w:rPr>
      </w:pPr>
      <w:r w:rsidRPr="00EC6768">
        <w:rPr>
          <w:rFonts w:asciiTheme="minorHAnsi" w:eastAsiaTheme="minorHAnsi" w:hAnsiTheme="minorHAnsi" w:cstheme="minorHAnsi"/>
          <w:bCs/>
        </w:rPr>
        <w:t xml:space="preserve">Již </w:t>
      </w:r>
      <w:r w:rsidR="00263DC4">
        <w:rPr>
          <w:rFonts w:asciiTheme="minorHAnsi" w:eastAsiaTheme="minorHAnsi" w:hAnsiTheme="minorHAnsi" w:cstheme="minorHAnsi"/>
          <w:bCs/>
        </w:rPr>
        <w:t xml:space="preserve">pouze </w:t>
      </w:r>
      <w:r w:rsidRPr="00EC6768">
        <w:rPr>
          <w:rFonts w:asciiTheme="minorHAnsi" w:eastAsiaTheme="minorHAnsi" w:hAnsiTheme="minorHAnsi" w:cstheme="minorHAnsi"/>
          <w:bCs/>
        </w:rPr>
        <w:t>kombinace druhého a třetího rizika vytvářela vysokou míru pravděpodobnosti</w:t>
      </w:r>
      <w:r w:rsidR="00EB715B" w:rsidRPr="00EC6768">
        <w:rPr>
          <w:rFonts w:asciiTheme="minorHAnsi" w:eastAsiaTheme="minorHAnsi" w:hAnsiTheme="minorHAnsi" w:cstheme="minorHAnsi"/>
          <w:bCs/>
        </w:rPr>
        <w:t xml:space="preserve">, že skutečný finanční objem projektu </w:t>
      </w:r>
      <w:r w:rsidR="00BA0CE8" w:rsidRPr="00EC6768">
        <w:rPr>
          <w:rFonts w:asciiTheme="minorHAnsi" w:eastAsiaTheme="minorHAnsi" w:hAnsiTheme="minorHAnsi" w:cstheme="minorHAnsi"/>
          <w:bCs/>
        </w:rPr>
        <w:t xml:space="preserve">přesáhne </w:t>
      </w:r>
      <w:r w:rsidR="00EB715B" w:rsidRPr="00EC6768">
        <w:rPr>
          <w:rFonts w:asciiTheme="minorHAnsi" w:eastAsiaTheme="minorHAnsi" w:hAnsiTheme="minorHAnsi" w:cstheme="minorHAnsi"/>
          <w:bCs/>
        </w:rPr>
        <w:t xml:space="preserve">maximální </w:t>
      </w:r>
      <w:r w:rsidR="00BA0CE8" w:rsidRPr="00EC6768">
        <w:rPr>
          <w:rFonts w:asciiTheme="minorHAnsi" w:eastAsiaTheme="minorHAnsi" w:hAnsiTheme="minorHAnsi" w:cstheme="minorHAnsi"/>
          <w:bCs/>
        </w:rPr>
        <w:t xml:space="preserve">akceptovatelný </w:t>
      </w:r>
      <w:r w:rsidR="00EB715B" w:rsidRPr="00EC6768">
        <w:rPr>
          <w:rFonts w:asciiTheme="minorHAnsi" w:eastAsiaTheme="minorHAnsi" w:hAnsiTheme="minorHAnsi" w:cstheme="minorHAnsi"/>
          <w:bCs/>
        </w:rPr>
        <w:t>limit</w:t>
      </w:r>
      <w:r w:rsidR="00EC6768" w:rsidRPr="00EC6768">
        <w:rPr>
          <w:rFonts w:asciiTheme="minorHAnsi" w:eastAsiaTheme="minorHAnsi" w:hAnsiTheme="minorHAnsi" w:cstheme="minorHAnsi"/>
          <w:bCs/>
        </w:rPr>
        <w:t xml:space="preserve"> pro využití prostředků OP </w:t>
      </w:r>
      <w:proofErr w:type="spellStart"/>
      <w:r w:rsidR="00EC6768" w:rsidRPr="00EC6768">
        <w:rPr>
          <w:rFonts w:asciiTheme="minorHAnsi" w:eastAsiaTheme="minorHAnsi" w:hAnsiTheme="minorHAnsi" w:cstheme="minorHAnsi"/>
          <w:bCs/>
        </w:rPr>
        <w:t>VaVpI</w:t>
      </w:r>
      <w:proofErr w:type="spellEnd"/>
      <w:r w:rsidR="00EB715B" w:rsidRPr="00EC6768">
        <w:rPr>
          <w:rFonts w:asciiTheme="minorHAnsi" w:eastAsiaTheme="minorHAnsi" w:hAnsiTheme="minorHAnsi" w:cstheme="minorHAnsi"/>
          <w:bCs/>
        </w:rPr>
        <w:t xml:space="preserve">. </w:t>
      </w:r>
    </w:p>
    <w:p w14:paraId="011F93A4" w14:textId="5AFFB19D" w:rsidR="004C33ED" w:rsidRDefault="00153F78" w:rsidP="0095077F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Cs/>
        </w:rPr>
        <w:t xml:space="preserve">Dne </w:t>
      </w:r>
      <w:r w:rsidRPr="00375707">
        <w:rPr>
          <w:rFonts w:asciiTheme="minorHAnsi" w:eastAsiaTheme="minorHAnsi" w:hAnsiTheme="minorHAnsi" w:cstheme="minorHAnsi"/>
          <w:bCs/>
        </w:rPr>
        <w:t>31. března 2014</w:t>
      </w:r>
      <w:r>
        <w:rPr>
          <w:rFonts w:asciiTheme="minorHAnsi" w:eastAsiaTheme="minorHAnsi" w:hAnsiTheme="minorHAnsi" w:cstheme="minorHAnsi"/>
          <w:bCs/>
        </w:rPr>
        <w:t xml:space="preserve"> uzavřelo </w:t>
      </w:r>
      <w:r w:rsidR="00BA0CE8" w:rsidRPr="00375707">
        <w:rPr>
          <w:rFonts w:asciiTheme="minorHAnsi" w:eastAsiaTheme="minorHAnsi" w:hAnsiTheme="minorHAnsi" w:cstheme="minorHAnsi"/>
          <w:bCs/>
        </w:rPr>
        <w:t xml:space="preserve">ČVUT </w:t>
      </w:r>
      <w:r>
        <w:rPr>
          <w:rFonts w:asciiTheme="minorHAnsi" w:eastAsiaTheme="minorHAnsi" w:hAnsiTheme="minorHAnsi" w:cstheme="minorHAnsi"/>
          <w:bCs/>
        </w:rPr>
        <w:t>dohodu s </w:t>
      </w:r>
      <w:r w:rsidR="00342DB3" w:rsidRPr="00375707">
        <w:rPr>
          <w:rFonts w:asciiTheme="minorHAnsi" w:eastAsiaTheme="minorHAnsi" w:hAnsiTheme="minorHAnsi" w:cstheme="minorHAnsi"/>
          <w:bCs/>
        </w:rPr>
        <w:t>občansk</w:t>
      </w:r>
      <w:r>
        <w:rPr>
          <w:rFonts w:asciiTheme="minorHAnsi" w:eastAsiaTheme="minorHAnsi" w:hAnsiTheme="minorHAnsi" w:cstheme="minorHAnsi"/>
          <w:bCs/>
        </w:rPr>
        <w:t>ým sdružením,</w:t>
      </w:r>
      <w:r w:rsidRPr="00153F78">
        <w:rPr>
          <w:rFonts w:asciiTheme="minorHAnsi" w:eastAsiaTheme="minorHAnsi" w:hAnsiTheme="minorHAnsi" w:cstheme="minorHAnsi"/>
          <w:bCs/>
        </w:rPr>
        <w:t xml:space="preserve"> </w:t>
      </w:r>
      <w:r>
        <w:rPr>
          <w:rFonts w:asciiTheme="minorHAnsi" w:eastAsiaTheme="minorHAnsi" w:hAnsiTheme="minorHAnsi" w:cstheme="minorHAnsi"/>
          <w:bCs/>
        </w:rPr>
        <w:t xml:space="preserve">které v roce 2011 </w:t>
      </w:r>
      <w:r w:rsidRPr="00375707">
        <w:rPr>
          <w:rFonts w:asciiTheme="minorHAnsi" w:eastAsiaTheme="minorHAnsi" w:hAnsiTheme="minorHAnsi" w:cstheme="minorHAnsi"/>
          <w:bCs/>
        </w:rPr>
        <w:t>napad</w:t>
      </w:r>
      <w:r>
        <w:rPr>
          <w:rFonts w:asciiTheme="minorHAnsi" w:eastAsiaTheme="minorHAnsi" w:hAnsiTheme="minorHAnsi" w:cstheme="minorHAnsi"/>
          <w:bCs/>
        </w:rPr>
        <w:t xml:space="preserve">lo </w:t>
      </w:r>
      <w:r w:rsidRPr="00375707">
        <w:rPr>
          <w:rFonts w:asciiTheme="minorHAnsi" w:eastAsiaTheme="minorHAnsi" w:hAnsiTheme="minorHAnsi" w:cstheme="minorHAnsi"/>
          <w:bCs/>
        </w:rPr>
        <w:t>žalobou</w:t>
      </w:r>
      <w:r>
        <w:rPr>
          <w:rFonts w:asciiTheme="minorHAnsi" w:eastAsiaTheme="minorHAnsi" w:hAnsiTheme="minorHAnsi" w:cstheme="minorHAnsi"/>
          <w:bCs/>
        </w:rPr>
        <w:t xml:space="preserve"> ú</w:t>
      </w:r>
      <w:r w:rsidRPr="00375707">
        <w:rPr>
          <w:rFonts w:asciiTheme="minorHAnsi" w:eastAsiaTheme="minorHAnsi" w:hAnsiTheme="minorHAnsi" w:cstheme="minorHAnsi"/>
          <w:bCs/>
        </w:rPr>
        <w:t xml:space="preserve">zemní </w:t>
      </w:r>
      <w:r>
        <w:rPr>
          <w:rFonts w:asciiTheme="minorHAnsi" w:eastAsiaTheme="minorHAnsi" w:hAnsiTheme="minorHAnsi" w:cstheme="minorHAnsi"/>
          <w:bCs/>
        </w:rPr>
        <w:t>rozhodnutí. Dohoda</w:t>
      </w:r>
      <w:r w:rsidRPr="00375707">
        <w:rPr>
          <w:rFonts w:asciiTheme="minorHAnsi" w:eastAsiaTheme="minorHAnsi" w:hAnsiTheme="minorHAnsi" w:cstheme="minorHAnsi"/>
          <w:bCs/>
        </w:rPr>
        <w:t xml:space="preserve"> </w:t>
      </w:r>
      <w:r>
        <w:rPr>
          <w:rFonts w:asciiTheme="minorHAnsi" w:eastAsiaTheme="minorHAnsi" w:hAnsiTheme="minorHAnsi" w:cstheme="minorHAnsi"/>
          <w:bCs/>
        </w:rPr>
        <w:t>byla předpokladem pro ukončení soudního sporu i územního řízení</w:t>
      </w:r>
      <w:r w:rsidRPr="00375707">
        <w:rPr>
          <w:rFonts w:asciiTheme="minorHAnsi" w:eastAsiaTheme="minorHAnsi" w:hAnsiTheme="minorHAnsi" w:cstheme="minorHAnsi"/>
          <w:bCs/>
        </w:rPr>
        <w:t xml:space="preserve"> </w:t>
      </w:r>
      <w:r>
        <w:rPr>
          <w:rFonts w:asciiTheme="minorHAnsi" w:eastAsiaTheme="minorHAnsi" w:hAnsiTheme="minorHAnsi" w:cstheme="minorHAnsi"/>
          <w:bCs/>
        </w:rPr>
        <w:t xml:space="preserve">a </w:t>
      </w:r>
      <w:r w:rsidR="00375707" w:rsidRPr="00375707">
        <w:rPr>
          <w:rFonts w:asciiTheme="minorHAnsi" w:eastAsiaTheme="minorHAnsi" w:hAnsiTheme="minorHAnsi" w:cstheme="minorHAnsi"/>
          <w:bCs/>
        </w:rPr>
        <w:t>spočíva</w:t>
      </w:r>
      <w:r>
        <w:rPr>
          <w:rFonts w:asciiTheme="minorHAnsi" w:eastAsiaTheme="minorHAnsi" w:hAnsiTheme="minorHAnsi" w:cstheme="minorHAnsi"/>
          <w:bCs/>
        </w:rPr>
        <w:t xml:space="preserve">la </w:t>
      </w:r>
      <w:r w:rsidR="00375707" w:rsidRPr="00375707">
        <w:rPr>
          <w:rFonts w:asciiTheme="minorHAnsi" w:eastAsiaTheme="minorHAnsi" w:hAnsiTheme="minorHAnsi" w:cstheme="minorHAnsi"/>
          <w:bCs/>
        </w:rPr>
        <w:t xml:space="preserve">zejména ve snížení výšky </w:t>
      </w:r>
      <w:r w:rsidR="00375707">
        <w:rPr>
          <w:rFonts w:asciiTheme="minorHAnsi" w:eastAsiaTheme="minorHAnsi" w:hAnsiTheme="minorHAnsi" w:cstheme="minorHAnsi"/>
          <w:bCs/>
        </w:rPr>
        <w:t>nové</w:t>
      </w:r>
      <w:r w:rsidR="00F83AB1">
        <w:rPr>
          <w:rFonts w:asciiTheme="minorHAnsi" w:eastAsiaTheme="minorHAnsi" w:hAnsiTheme="minorHAnsi" w:cstheme="minorHAnsi"/>
          <w:bCs/>
        </w:rPr>
        <w:t>ho objektu</w:t>
      </w:r>
      <w:r w:rsidR="00375707">
        <w:rPr>
          <w:rFonts w:asciiTheme="minorHAnsi" w:eastAsiaTheme="minorHAnsi" w:hAnsiTheme="minorHAnsi" w:cstheme="minorHAnsi"/>
          <w:bCs/>
        </w:rPr>
        <w:t xml:space="preserve"> A</w:t>
      </w:r>
      <w:r>
        <w:rPr>
          <w:rFonts w:asciiTheme="minorHAnsi" w:eastAsiaTheme="minorHAnsi" w:hAnsiTheme="minorHAnsi" w:cstheme="minorHAnsi"/>
          <w:bCs/>
        </w:rPr>
        <w:t xml:space="preserve">. </w:t>
      </w:r>
      <w:r w:rsidR="00263DC4">
        <w:rPr>
          <w:rFonts w:asciiTheme="minorHAnsi" w:eastAsiaTheme="minorHAnsi" w:hAnsiTheme="minorHAnsi" w:cstheme="minorHAnsi"/>
          <w:bCs/>
        </w:rPr>
        <w:t>Hned na počátku dubna</w:t>
      </w:r>
      <w:r w:rsidR="00375707" w:rsidRPr="00375707">
        <w:rPr>
          <w:rFonts w:asciiTheme="minorHAnsi" w:eastAsiaTheme="minorHAnsi" w:hAnsiTheme="minorHAnsi" w:cstheme="minorHAnsi"/>
          <w:bCs/>
        </w:rPr>
        <w:t xml:space="preserve"> 2014 </w:t>
      </w:r>
      <w:r w:rsidR="00BA0CE8" w:rsidRPr="00375707">
        <w:rPr>
          <w:rFonts w:asciiTheme="minorHAnsi" w:eastAsiaTheme="minorHAnsi" w:hAnsiTheme="minorHAnsi" w:cstheme="minorHAnsi"/>
          <w:bCs/>
        </w:rPr>
        <w:t>za</w:t>
      </w:r>
      <w:r w:rsidR="00AD342D">
        <w:rPr>
          <w:rFonts w:asciiTheme="minorHAnsi" w:eastAsiaTheme="minorHAnsi" w:hAnsiTheme="minorHAnsi" w:cstheme="minorHAnsi"/>
          <w:bCs/>
        </w:rPr>
        <w:t>hájilo</w:t>
      </w:r>
      <w:r w:rsidR="00BA0CE8" w:rsidRPr="00375707">
        <w:rPr>
          <w:rFonts w:asciiTheme="minorHAnsi" w:eastAsiaTheme="minorHAnsi" w:hAnsiTheme="minorHAnsi" w:cstheme="minorHAnsi"/>
          <w:bCs/>
        </w:rPr>
        <w:t xml:space="preserve"> </w:t>
      </w:r>
      <w:r w:rsidR="00342DB3" w:rsidRPr="00375707">
        <w:rPr>
          <w:rFonts w:asciiTheme="minorHAnsi" w:eastAsiaTheme="minorHAnsi" w:hAnsiTheme="minorHAnsi" w:cstheme="minorHAnsi"/>
          <w:bCs/>
        </w:rPr>
        <w:t xml:space="preserve">ČVUT otevřené </w:t>
      </w:r>
      <w:r w:rsidR="00AD342D">
        <w:rPr>
          <w:rFonts w:asciiTheme="minorHAnsi" w:eastAsiaTheme="minorHAnsi" w:hAnsiTheme="minorHAnsi" w:cstheme="minorHAnsi"/>
          <w:bCs/>
        </w:rPr>
        <w:t xml:space="preserve">zadávací </w:t>
      </w:r>
      <w:r w:rsidR="00342DB3" w:rsidRPr="00375707">
        <w:rPr>
          <w:rFonts w:asciiTheme="minorHAnsi" w:eastAsiaTheme="minorHAnsi" w:hAnsiTheme="minorHAnsi" w:cstheme="minorHAnsi"/>
          <w:bCs/>
        </w:rPr>
        <w:t>řízení</w:t>
      </w:r>
      <w:r w:rsidR="00375707" w:rsidRPr="00375707">
        <w:rPr>
          <w:rFonts w:asciiTheme="minorHAnsi" w:eastAsiaTheme="minorHAnsi" w:hAnsiTheme="minorHAnsi" w:cstheme="minorHAnsi"/>
          <w:bCs/>
        </w:rPr>
        <w:t xml:space="preserve"> na zhotovitele stavby</w:t>
      </w:r>
      <w:r>
        <w:rPr>
          <w:rFonts w:asciiTheme="minorHAnsi" w:eastAsiaTheme="minorHAnsi" w:hAnsiTheme="minorHAnsi" w:cstheme="minorHAnsi"/>
          <w:bCs/>
        </w:rPr>
        <w:t xml:space="preserve">, ačkoli </w:t>
      </w:r>
      <w:r>
        <w:rPr>
          <w:rFonts w:asciiTheme="minorHAnsi" w:hAnsiTheme="minorHAnsi" w:cstheme="minorHAnsi"/>
        </w:rPr>
        <w:t xml:space="preserve">v této době </w:t>
      </w:r>
      <w:r w:rsidR="00263DC4">
        <w:rPr>
          <w:rFonts w:asciiTheme="minorHAnsi" w:hAnsiTheme="minorHAnsi" w:cstheme="minorHAnsi"/>
        </w:rPr>
        <w:t xml:space="preserve">ještě </w:t>
      </w:r>
      <w:r w:rsidR="0095077F" w:rsidRPr="0095077F">
        <w:rPr>
          <w:rFonts w:asciiTheme="minorHAnsi" w:hAnsiTheme="minorHAnsi" w:cstheme="minorHAnsi"/>
        </w:rPr>
        <w:t xml:space="preserve">nedisponovalo </w:t>
      </w:r>
      <w:r w:rsidR="00CF70DE">
        <w:rPr>
          <w:rFonts w:asciiTheme="minorHAnsi" w:hAnsiTheme="minorHAnsi" w:cstheme="minorHAnsi"/>
        </w:rPr>
        <w:t>výslednou</w:t>
      </w:r>
      <w:r w:rsidR="0095077F" w:rsidRPr="0095077F">
        <w:rPr>
          <w:rFonts w:asciiTheme="minorHAnsi" w:hAnsiTheme="minorHAnsi" w:cstheme="minorHAnsi"/>
        </w:rPr>
        <w:t xml:space="preserve"> podobou projektové dokumentace pro provedení stavby</w:t>
      </w:r>
      <w:r>
        <w:rPr>
          <w:rFonts w:asciiTheme="minorHAnsi" w:hAnsiTheme="minorHAnsi" w:cstheme="minorHAnsi"/>
        </w:rPr>
        <w:t>. V</w:t>
      </w:r>
      <w:r w:rsidR="0095077F">
        <w:rPr>
          <w:rFonts w:asciiTheme="minorHAnsi" w:hAnsiTheme="minorHAnsi" w:cstheme="minorHAnsi"/>
        </w:rPr>
        <w:t> projektové dokumentaci určené pro zadávací řízení nebyl</w:t>
      </w:r>
      <w:r w:rsidR="00263DC4">
        <w:rPr>
          <w:rFonts w:asciiTheme="minorHAnsi" w:hAnsiTheme="minorHAnsi" w:cstheme="minorHAnsi"/>
        </w:rPr>
        <w:t>a</w:t>
      </w:r>
      <w:r w:rsidR="0095077F">
        <w:rPr>
          <w:rFonts w:asciiTheme="minorHAnsi" w:hAnsiTheme="minorHAnsi" w:cstheme="minorHAnsi"/>
        </w:rPr>
        <w:t xml:space="preserve"> </w:t>
      </w:r>
      <w:r w:rsidR="00C1279A">
        <w:rPr>
          <w:rFonts w:asciiTheme="minorHAnsi" w:hAnsiTheme="minorHAnsi" w:cstheme="minorHAnsi"/>
        </w:rPr>
        <w:t>dostatečně</w:t>
      </w:r>
      <w:r w:rsidR="00CF70DE">
        <w:rPr>
          <w:rFonts w:asciiTheme="minorHAnsi" w:hAnsiTheme="minorHAnsi" w:cstheme="minorHAnsi"/>
        </w:rPr>
        <w:t xml:space="preserve"> </w:t>
      </w:r>
      <w:r w:rsidR="0095077F">
        <w:rPr>
          <w:rFonts w:asciiTheme="minorHAnsi" w:hAnsiTheme="minorHAnsi" w:cstheme="minorHAnsi"/>
        </w:rPr>
        <w:t>upraven</w:t>
      </w:r>
      <w:r w:rsidR="00263DC4">
        <w:rPr>
          <w:rFonts w:asciiTheme="minorHAnsi" w:hAnsiTheme="minorHAnsi" w:cstheme="minorHAnsi"/>
        </w:rPr>
        <w:t>a konečná podoba</w:t>
      </w:r>
      <w:r w:rsidR="0095077F">
        <w:rPr>
          <w:rFonts w:asciiTheme="minorHAnsi" w:hAnsiTheme="minorHAnsi" w:cstheme="minorHAnsi"/>
        </w:rPr>
        <w:t xml:space="preserve"> nosn</w:t>
      </w:r>
      <w:r w:rsidR="00263DC4">
        <w:rPr>
          <w:rFonts w:asciiTheme="minorHAnsi" w:hAnsiTheme="minorHAnsi" w:cstheme="minorHAnsi"/>
        </w:rPr>
        <w:t>ých</w:t>
      </w:r>
      <w:r w:rsidR="0095077F">
        <w:rPr>
          <w:rFonts w:asciiTheme="minorHAnsi" w:hAnsiTheme="minorHAnsi" w:cstheme="minorHAnsi"/>
        </w:rPr>
        <w:t xml:space="preserve"> konstrukc</w:t>
      </w:r>
      <w:r w:rsidR="00263DC4">
        <w:rPr>
          <w:rFonts w:asciiTheme="minorHAnsi" w:hAnsiTheme="minorHAnsi" w:cstheme="minorHAnsi"/>
        </w:rPr>
        <w:t>í</w:t>
      </w:r>
      <w:r w:rsidR="0095077F">
        <w:rPr>
          <w:rFonts w:asciiTheme="minorHAnsi" w:hAnsiTheme="minorHAnsi" w:cstheme="minorHAnsi"/>
        </w:rPr>
        <w:t xml:space="preserve">. </w:t>
      </w:r>
      <w:r w:rsidR="004C33ED">
        <w:rPr>
          <w:rFonts w:asciiTheme="minorHAnsi" w:hAnsiTheme="minorHAnsi" w:cstheme="minorHAnsi"/>
        </w:rPr>
        <w:t xml:space="preserve">Zároveň </w:t>
      </w:r>
      <w:r w:rsidR="005679EC">
        <w:rPr>
          <w:rFonts w:asciiTheme="minorHAnsi" w:hAnsiTheme="minorHAnsi" w:cstheme="minorHAnsi"/>
        </w:rPr>
        <w:t xml:space="preserve">byla </w:t>
      </w:r>
      <w:r w:rsidR="004C33ED">
        <w:rPr>
          <w:rFonts w:asciiTheme="minorHAnsi" w:hAnsiTheme="minorHAnsi" w:cstheme="minorHAnsi"/>
        </w:rPr>
        <w:t>předpokládaná hodnota veřejné zakázky (755,675 mil. Kč bez DPH) vypočtena z podkladů, které ne</w:t>
      </w:r>
      <w:r w:rsidR="00263DC4">
        <w:rPr>
          <w:rFonts w:asciiTheme="minorHAnsi" w:hAnsiTheme="minorHAnsi" w:cstheme="minorHAnsi"/>
        </w:rPr>
        <w:t xml:space="preserve">měly </w:t>
      </w:r>
      <w:r w:rsidR="004C33ED">
        <w:rPr>
          <w:rFonts w:asciiTheme="minorHAnsi" w:hAnsiTheme="minorHAnsi" w:cstheme="minorHAnsi"/>
        </w:rPr>
        <w:t xml:space="preserve">potřebnou míru podrobností k objektivnímu určení její výše. </w:t>
      </w:r>
      <w:r w:rsidR="0095077F" w:rsidRPr="0095077F">
        <w:rPr>
          <w:rFonts w:asciiTheme="minorHAnsi" w:hAnsiTheme="minorHAnsi" w:cstheme="minorHAnsi"/>
        </w:rPr>
        <w:t xml:space="preserve">ČVUT </w:t>
      </w:r>
      <w:r w:rsidR="00263DC4">
        <w:rPr>
          <w:rFonts w:asciiTheme="minorHAnsi" w:hAnsiTheme="minorHAnsi" w:cstheme="minorHAnsi"/>
        </w:rPr>
        <w:t xml:space="preserve">však </w:t>
      </w:r>
      <w:r w:rsidR="0095077F" w:rsidRPr="0095077F">
        <w:rPr>
          <w:rFonts w:asciiTheme="minorHAnsi" w:hAnsiTheme="minorHAnsi" w:cstheme="minorHAnsi"/>
        </w:rPr>
        <w:t xml:space="preserve">s vyhlášením veřejné zakázky spěchalo z důvodu splnění termínů plynoucích z podmínek OP </w:t>
      </w:r>
      <w:proofErr w:type="spellStart"/>
      <w:r w:rsidR="0095077F" w:rsidRPr="0095077F">
        <w:rPr>
          <w:rFonts w:asciiTheme="minorHAnsi" w:hAnsiTheme="minorHAnsi" w:cstheme="minorHAnsi"/>
        </w:rPr>
        <w:t>VaVpI</w:t>
      </w:r>
      <w:proofErr w:type="spellEnd"/>
      <w:r w:rsidR="0095077F" w:rsidRPr="0095077F">
        <w:rPr>
          <w:rFonts w:asciiTheme="minorHAnsi" w:hAnsiTheme="minorHAnsi" w:cstheme="minorHAnsi"/>
        </w:rPr>
        <w:t>.</w:t>
      </w:r>
    </w:p>
    <w:p w14:paraId="79FC50C6" w14:textId="2737357D" w:rsidR="00433167" w:rsidRDefault="00CF70DE" w:rsidP="003F322C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Územní řízení bylo ukončeno až v květnu 2014 rozsudkem soudu</w:t>
      </w:r>
      <w:r w:rsidR="00C1279A">
        <w:rPr>
          <w:rFonts w:asciiTheme="minorHAnsi" w:hAnsiTheme="minorHAnsi" w:cstheme="minorHAnsi"/>
        </w:rPr>
        <w:t xml:space="preserve">, přičemž teprve rozsudek byl </w:t>
      </w:r>
      <w:r w:rsidR="00263DC4">
        <w:rPr>
          <w:rFonts w:asciiTheme="minorHAnsi" w:hAnsiTheme="minorHAnsi" w:cstheme="minorHAnsi"/>
        </w:rPr>
        <w:t xml:space="preserve">pro ČVUT </w:t>
      </w:r>
      <w:r w:rsidR="00C1279A">
        <w:rPr>
          <w:rFonts w:asciiTheme="minorHAnsi" w:hAnsiTheme="minorHAnsi" w:cstheme="minorHAnsi"/>
        </w:rPr>
        <w:t>rozhodným aktem pro výslednou podobu projektové dokumentace i výkaz výměr. V červnu 2014 byl vydán certifikát autorizovaného inspektora podle stavebního zákona</w:t>
      </w:r>
      <w:r w:rsidR="00C1279A">
        <w:rPr>
          <w:rStyle w:val="Znakapoznpodarou"/>
          <w:rFonts w:asciiTheme="minorHAnsi" w:hAnsiTheme="minorHAnsi" w:cstheme="minorHAnsi"/>
        </w:rPr>
        <w:footnoteReference w:id="16"/>
      </w:r>
      <w:r w:rsidR="00C1279A">
        <w:rPr>
          <w:rFonts w:asciiTheme="minorHAnsi" w:hAnsiTheme="minorHAnsi" w:cstheme="minorHAnsi"/>
        </w:rPr>
        <w:t>.</w:t>
      </w:r>
      <w:r w:rsidR="004C33ED">
        <w:rPr>
          <w:rFonts w:asciiTheme="minorHAnsi" w:hAnsiTheme="minorHAnsi" w:cstheme="minorHAnsi"/>
        </w:rPr>
        <w:t xml:space="preserve"> </w:t>
      </w:r>
      <w:r w:rsidR="00263DC4">
        <w:rPr>
          <w:rFonts w:asciiTheme="minorHAnsi" w:hAnsiTheme="minorHAnsi" w:cstheme="minorHAnsi"/>
        </w:rPr>
        <w:t xml:space="preserve">Poté </w:t>
      </w:r>
      <w:r w:rsidR="004C33ED">
        <w:rPr>
          <w:rFonts w:asciiTheme="minorHAnsi" w:hAnsiTheme="minorHAnsi" w:cstheme="minorHAnsi"/>
        </w:rPr>
        <w:t>byla projektantem n</w:t>
      </w:r>
      <w:r w:rsidR="00433167">
        <w:rPr>
          <w:rFonts w:asciiTheme="minorHAnsi" w:hAnsiTheme="minorHAnsi" w:cstheme="minorHAnsi"/>
        </w:rPr>
        <w:t>a základě upravené dokumentace pro provedení stavby nově</w:t>
      </w:r>
      <w:r w:rsidR="004C33ED">
        <w:rPr>
          <w:rFonts w:asciiTheme="minorHAnsi" w:hAnsiTheme="minorHAnsi" w:cstheme="minorHAnsi"/>
        </w:rPr>
        <w:t xml:space="preserve"> vyčíslena hodnota veřejné zakázky (845,570 mil. Kč bez DPH)</w:t>
      </w:r>
      <w:r w:rsidR="00433167">
        <w:rPr>
          <w:rFonts w:asciiTheme="minorHAnsi" w:hAnsiTheme="minorHAnsi" w:cstheme="minorHAnsi"/>
        </w:rPr>
        <w:t>.</w:t>
      </w:r>
    </w:p>
    <w:p w14:paraId="30932471" w14:textId="743C9C64" w:rsidR="00342DB3" w:rsidRPr="00433167" w:rsidRDefault="00B76696" w:rsidP="003F322C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Cs/>
        </w:rPr>
        <w:t>P</w:t>
      </w:r>
      <w:r w:rsidR="001C2F8F" w:rsidRPr="00C1279A">
        <w:rPr>
          <w:rFonts w:asciiTheme="minorHAnsi" w:eastAsiaTheme="minorHAnsi" w:hAnsiTheme="minorHAnsi" w:cstheme="minorHAnsi"/>
          <w:bCs/>
        </w:rPr>
        <w:t xml:space="preserve">o </w:t>
      </w:r>
      <w:r w:rsidR="00BA0CE8" w:rsidRPr="00C1279A">
        <w:rPr>
          <w:rFonts w:asciiTheme="minorHAnsi" w:eastAsiaTheme="minorHAnsi" w:hAnsiTheme="minorHAnsi" w:cstheme="minorHAnsi"/>
          <w:bCs/>
        </w:rPr>
        <w:t xml:space="preserve">vyhodnocení nabídek sedmi uchazečů </w:t>
      </w:r>
      <w:r w:rsidR="001C2F8F" w:rsidRPr="00C1279A">
        <w:rPr>
          <w:rFonts w:asciiTheme="minorHAnsi" w:eastAsiaTheme="minorHAnsi" w:hAnsiTheme="minorHAnsi" w:cstheme="minorHAnsi"/>
          <w:bCs/>
        </w:rPr>
        <w:t xml:space="preserve">bylo </w:t>
      </w:r>
      <w:r>
        <w:rPr>
          <w:rFonts w:asciiTheme="minorHAnsi" w:eastAsiaTheme="minorHAnsi" w:hAnsiTheme="minorHAnsi" w:cstheme="minorHAnsi"/>
          <w:bCs/>
        </w:rPr>
        <w:t xml:space="preserve">v červenci 2014 </w:t>
      </w:r>
      <w:r w:rsidR="001C2F8F" w:rsidRPr="00C1279A">
        <w:rPr>
          <w:rFonts w:asciiTheme="minorHAnsi" w:eastAsiaTheme="minorHAnsi" w:hAnsiTheme="minorHAnsi" w:cstheme="minorHAnsi"/>
          <w:bCs/>
        </w:rPr>
        <w:t>z</w:t>
      </w:r>
      <w:r w:rsidR="00BE2360">
        <w:rPr>
          <w:rFonts w:asciiTheme="minorHAnsi" w:eastAsiaTheme="minorHAnsi" w:hAnsiTheme="minorHAnsi" w:cstheme="minorHAnsi"/>
          <w:bCs/>
        </w:rPr>
        <w:t> ekonomicky nejvýhodnější nabídk</w:t>
      </w:r>
      <w:r w:rsidR="001D30CE">
        <w:rPr>
          <w:rFonts w:asciiTheme="minorHAnsi" w:eastAsiaTheme="minorHAnsi" w:hAnsiTheme="minorHAnsi" w:cstheme="minorHAnsi"/>
          <w:bCs/>
        </w:rPr>
        <w:t xml:space="preserve">y uchazeče (s </w:t>
      </w:r>
      <w:r w:rsidR="008C0D26">
        <w:rPr>
          <w:rFonts w:asciiTheme="minorHAnsi" w:eastAsiaTheme="minorHAnsi" w:hAnsiTheme="minorHAnsi" w:cstheme="minorHAnsi"/>
          <w:bCs/>
        </w:rPr>
        <w:t>cen</w:t>
      </w:r>
      <w:r w:rsidR="001D30CE">
        <w:rPr>
          <w:rFonts w:asciiTheme="minorHAnsi" w:eastAsiaTheme="minorHAnsi" w:hAnsiTheme="minorHAnsi" w:cstheme="minorHAnsi"/>
          <w:bCs/>
        </w:rPr>
        <w:t>ou</w:t>
      </w:r>
      <w:r w:rsidR="001C2F8F" w:rsidRPr="00C1279A">
        <w:rPr>
          <w:rFonts w:asciiTheme="minorHAnsi" w:eastAsiaTheme="minorHAnsi" w:hAnsiTheme="minorHAnsi" w:cstheme="minorHAnsi"/>
          <w:bCs/>
        </w:rPr>
        <w:t xml:space="preserve"> </w:t>
      </w:r>
      <w:r w:rsidR="00433167">
        <w:rPr>
          <w:rFonts w:asciiTheme="minorHAnsi" w:eastAsiaTheme="minorHAnsi" w:hAnsiTheme="minorHAnsi" w:cstheme="minorHAnsi"/>
          <w:bCs/>
        </w:rPr>
        <w:t>974,642 mil. Kč bez DPH a </w:t>
      </w:r>
      <w:r>
        <w:rPr>
          <w:rFonts w:asciiTheme="minorHAnsi" w:eastAsiaTheme="minorHAnsi" w:hAnsiTheme="minorHAnsi" w:cstheme="minorHAnsi"/>
          <w:bCs/>
        </w:rPr>
        <w:t>1 179,317 mil. </w:t>
      </w:r>
      <w:r w:rsidR="001C2F8F" w:rsidRPr="00C1279A">
        <w:rPr>
          <w:rFonts w:asciiTheme="minorHAnsi" w:eastAsiaTheme="minorHAnsi" w:hAnsiTheme="minorHAnsi" w:cstheme="minorHAnsi"/>
          <w:bCs/>
        </w:rPr>
        <w:t>Kč včetně DPH</w:t>
      </w:r>
      <w:r w:rsidR="00402555" w:rsidRPr="00C1279A">
        <w:rPr>
          <w:rFonts w:asciiTheme="minorHAnsi" w:eastAsiaTheme="minorHAnsi" w:hAnsiTheme="minorHAnsi" w:cstheme="minorHAnsi"/>
          <w:bCs/>
        </w:rPr>
        <w:t>)</w:t>
      </w:r>
      <w:r w:rsidR="001C2F8F" w:rsidRPr="00C1279A">
        <w:rPr>
          <w:rFonts w:asciiTheme="minorHAnsi" w:eastAsiaTheme="minorHAnsi" w:hAnsiTheme="minorHAnsi" w:cstheme="minorHAnsi"/>
          <w:bCs/>
        </w:rPr>
        <w:t xml:space="preserve"> zřejmé, že maximální limit prostředků </w:t>
      </w:r>
      <w:r w:rsidR="00342DB3" w:rsidRPr="00C1279A">
        <w:rPr>
          <w:rFonts w:asciiTheme="minorHAnsi" w:eastAsiaTheme="minorHAnsi" w:hAnsiTheme="minorHAnsi" w:cstheme="minorHAnsi"/>
          <w:bCs/>
        </w:rPr>
        <w:t>stanovený v rámci OP </w:t>
      </w:r>
      <w:proofErr w:type="spellStart"/>
      <w:r w:rsidR="00342DB3" w:rsidRPr="00C1279A">
        <w:rPr>
          <w:rFonts w:asciiTheme="minorHAnsi" w:eastAsiaTheme="minorHAnsi" w:hAnsiTheme="minorHAnsi" w:cstheme="minorHAnsi"/>
          <w:bCs/>
        </w:rPr>
        <w:t>VaVpI</w:t>
      </w:r>
      <w:proofErr w:type="spellEnd"/>
      <w:r w:rsidR="00342DB3" w:rsidRPr="00C1279A">
        <w:rPr>
          <w:rFonts w:asciiTheme="minorHAnsi" w:eastAsiaTheme="minorHAnsi" w:hAnsiTheme="minorHAnsi" w:cstheme="minorHAnsi"/>
          <w:bCs/>
        </w:rPr>
        <w:t xml:space="preserve"> </w:t>
      </w:r>
      <w:r w:rsidR="001C2F8F" w:rsidRPr="00C1279A">
        <w:rPr>
          <w:rFonts w:asciiTheme="minorHAnsi" w:eastAsiaTheme="minorHAnsi" w:hAnsiTheme="minorHAnsi" w:cstheme="minorHAnsi"/>
          <w:bCs/>
        </w:rPr>
        <w:t>ne</w:t>
      </w:r>
      <w:r w:rsidR="00EB715B" w:rsidRPr="00C1279A">
        <w:rPr>
          <w:rFonts w:asciiTheme="minorHAnsi" w:eastAsiaTheme="minorHAnsi" w:hAnsiTheme="minorHAnsi" w:cstheme="minorHAnsi"/>
          <w:bCs/>
        </w:rPr>
        <w:t>může být d</w:t>
      </w:r>
      <w:r w:rsidR="001C2F8F" w:rsidRPr="00C1279A">
        <w:rPr>
          <w:rFonts w:asciiTheme="minorHAnsi" w:eastAsiaTheme="minorHAnsi" w:hAnsiTheme="minorHAnsi" w:cstheme="minorHAnsi"/>
          <w:bCs/>
        </w:rPr>
        <w:t>održen.</w:t>
      </w:r>
      <w:r w:rsidR="00BA0CE8" w:rsidRPr="00C1279A">
        <w:rPr>
          <w:rFonts w:asciiTheme="minorHAnsi" w:eastAsiaTheme="minorHAnsi" w:hAnsiTheme="minorHAnsi" w:cstheme="minorHAnsi"/>
          <w:bCs/>
        </w:rPr>
        <w:t xml:space="preserve"> </w:t>
      </w:r>
      <w:r w:rsidR="00F83AB1">
        <w:rPr>
          <w:rFonts w:asciiTheme="minorHAnsi" w:eastAsiaTheme="minorHAnsi" w:hAnsiTheme="minorHAnsi" w:cstheme="minorHAnsi"/>
          <w:bCs/>
        </w:rPr>
        <w:t>Teprve v</w:t>
      </w:r>
      <w:r w:rsidR="001D30CE">
        <w:rPr>
          <w:rFonts w:asciiTheme="minorHAnsi" w:eastAsiaTheme="minorHAnsi" w:hAnsiTheme="minorHAnsi" w:cstheme="minorHAnsi"/>
          <w:bCs/>
        </w:rPr>
        <w:t> </w:t>
      </w:r>
      <w:r w:rsidR="00BA0CE8" w:rsidRPr="00C1279A">
        <w:rPr>
          <w:rFonts w:asciiTheme="minorHAnsi" w:eastAsiaTheme="minorHAnsi" w:hAnsiTheme="minorHAnsi" w:cstheme="minorHAnsi"/>
          <w:bCs/>
        </w:rPr>
        <w:t>srpnu 2014</w:t>
      </w:r>
      <w:r w:rsidR="008C0D26">
        <w:rPr>
          <w:rFonts w:asciiTheme="minorHAnsi" w:eastAsiaTheme="minorHAnsi" w:hAnsiTheme="minorHAnsi" w:cstheme="minorHAnsi"/>
          <w:bCs/>
        </w:rPr>
        <w:t xml:space="preserve"> (</w:t>
      </w:r>
      <w:r w:rsidR="00BA0CE8" w:rsidRPr="00C1279A">
        <w:rPr>
          <w:rFonts w:asciiTheme="minorHAnsi" w:eastAsiaTheme="minorHAnsi" w:hAnsiTheme="minorHAnsi" w:cstheme="minorHAnsi"/>
          <w:bCs/>
        </w:rPr>
        <w:t xml:space="preserve">čtyři měsíce po zahájení </w:t>
      </w:r>
      <w:r w:rsidR="00C607D4" w:rsidRPr="00C1279A">
        <w:rPr>
          <w:rFonts w:asciiTheme="minorHAnsi" w:eastAsiaTheme="minorHAnsi" w:hAnsiTheme="minorHAnsi" w:cstheme="minorHAnsi"/>
          <w:bCs/>
        </w:rPr>
        <w:t>zadávacího</w:t>
      </w:r>
      <w:r w:rsidR="00BA0CE8" w:rsidRPr="00C1279A">
        <w:rPr>
          <w:rFonts w:asciiTheme="minorHAnsi" w:eastAsiaTheme="minorHAnsi" w:hAnsiTheme="minorHAnsi" w:cstheme="minorHAnsi"/>
          <w:bCs/>
        </w:rPr>
        <w:t xml:space="preserve"> řízení</w:t>
      </w:r>
      <w:r w:rsidR="008C0D26">
        <w:rPr>
          <w:rFonts w:asciiTheme="minorHAnsi" w:eastAsiaTheme="minorHAnsi" w:hAnsiTheme="minorHAnsi" w:cstheme="minorHAnsi"/>
          <w:bCs/>
        </w:rPr>
        <w:t xml:space="preserve">) </w:t>
      </w:r>
      <w:r w:rsidR="00BA0CE8" w:rsidRPr="00C1279A">
        <w:rPr>
          <w:rFonts w:asciiTheme="minorHAnsi" w:eastAsiaTheme="minorHAnsi" w:hAnsiTheme="minorHAnsi" w:cstheme="minorHAnsi"/>
          <w:bCs/>
        </w:rPr>
        <w:t>ČVUT</w:t>
      </w:r>
      <w:r w:rsidR="00433167">
        <w:rPr>
          <w:rFonts w:asciiTheme="minorHAnsi" w:eastAsiaTheme="minorHAnsi" w:hAnsiTheme="minorHAnsi" w:cstheme="minorHAnsi"/>
          <w:bCs/>
        </w:rPr>
        <w:t xml:space="preserve"> </w:t>
      </w:r>
      <w:r w:rsidR="00BA0CE8" w:rsidRPr="00C1279A">
        <w:rPr>
          <w:rFonts w:asciiTheme="minorHAnsi" w:eastAsiaTheme="minorHAnsi" w:hAnsiTheme="minorHAnsi" w:cstheme="minorHAnsi"/>
          <w:bCs/>
        </w:rPr>
        <w:t>v</w:t>
      </w:r>
      <w:r w:rsidR="00C607D4" w:rsidRPr="00C1279A">
        <w:rPr>
          <w:rFonts w:asciiTheme="minorHAnsi" w:eastAsiaTheme="minorHAnsi" w:hAnsiTheme="minorHAnsi" w:cstheme="minorHAnsi"/>
          <w:bCs/>
        </w:rPr>
        <w:t>z</w:t>
      </w:r>
      <w:r w:rsidR="00BA0CE8" w:rsidRPr="00C1279A">
        <w:rPr>
          <w:rFonts w:asciiTheme="minorHAnsi" w:eastAsiaTheme="minorHAnsi" w:hAnsiTheme="minorHAnsi" w:cstheme="minorHAnsi"/>
          <w:bCs/>
        </w:rPr>
        <w:t>niklo právo provést oznámený stavební záměr s certifikátem autorizovaného inspektora</w:t>
      </w:r>
      <w:r w:rsidR="004C33ED">
        <w:rPr>
          <w:rFonts w:asciiTheme="minorHAnsi" w:eastAsiaTheme="minorHAnsi" w:hAnsiTheme="minorHAnsi" w:cstheme="minorHAnsi"/>
          <w:bCs/>
        </w:rPr>
        <w:t>.</w:t>
      </w:r>
      <w:r w:rsidR="00971A4A">
        <w:rPr>
          <w:rFonts w:asciiTheme="minorHAnsi" w:hAnsiTheme="minorHAnsi" w:cstheme="minorHAnsi"/>
        </w:rPr>
        <w:t xml:space="preserve"> </w:t>
      </w:r>
      <w:r w:rsidR="00675ECB" w:rsidRPr="00433167">
        <w:rPr>
          <w:rFonts w:asciiTheme="minorHAnsi" w:eastAsiaTheme="minorHAnsi" w:hAnsiTheme="minorHAnsi" w:cstheme="minorHAnsi"/>
          <w:bCs/>
        </w:rPr>
        <w:t xml:space="preserve">V září 2014 </w:t>
      </w:r>
      <w:r w:rsidR="00833DA6">
        <w:rPr>
          <w:rFonts w:asciiTheme="minorHAnsi" w:eastAsiaTheme="minorHAnsi" w:hAnsiTheme="minorHAnsi" w:cstheme="minorHAnsi"/>
          <w:bCs/>
        </w:rPr>
        <w:t>schválila vláda</w:t>
      </w:r>
      <w:r w:rsidR="00813026" w:rsidRPr="00433167">
        <w:rPr>
          <w:rFonts w:asciiTheme="minorHAnsi" w:hAnsiTheme="minorHAnsi" w:cstheme="minorHAnsi"/>
        </w:rPr>
        <w:t xml:space="preserve"> </w:t>
      </w:r>
      <w:r w:rsidR="0075638B" w:rsidRPr="00433167">
        <w:rPr>
          <w:rFonts w:asciiTheme="minorHAnsi" w:hAnsiTheme="minorHAnsi" w:cstheme="minorHAnsi"/>
        </w:rPr>
        <w:t>rozpočtové opatření</w:t>
      </w:r>
      <w:r w:rsidR="00AD342D" w:rsidRPr="00831FA5">
        <w:rPr>
          <w:rFonts w:asciiTheme="minorHAnsi" w:hAnsiTheme="minorHAnsi" w:cstheme="minorHAnsi"/>
          <w:vertAlign w:val="superscript"/>
        </w:rPr>
        <w:t>11</w:t>
      </w:r>
      <w:r w:rsidR="00675ECB" w:rsidRPr="00433167">
        <w:rPr>
          <w:rFonts w:asciiTheme="minorHAnsi" w:hAnsiTheme="minorHAnsi" w:cstheme="minorHAnsi"/>
        </w:rPr>
        <w:t xml:space="preserve"> k posílení výdajů </w:t>
      </w:r>
      <w:r>
        <w:rPr>
          <w:rFonts w:asciiTheme="minorHAnsi" w:hAnsiTheme="minorHAnsi" w:cstheme="minorHAnsi"/>
        </w:rPr>
        <w:t xml:space="preserve">rozpočtové </w:t>
      </w:r>
      <w:r w:rsidR="00675ECB" w:rsidRPr="00433167">
        <w:rPr>
          <w:rFonts w:asciiTheme="minorHAnsi" w:hAnsiTheme="minorHAnsi" w:cstheme="minorHAnsi"/>
        </w:rPr>
        <w:t>kapitoly</w:t>
      </w:r>
      <w:r w:rsidR="002441BB">
        <w:rPr>
          <w:rFonts w:asciiTheme="minorHAnsi" w:hAnsiTheme="minorHAnsi" w:cstheme="minorHAnsi"/>
        </w:rPr>
        <w:t xml:space="preserve"> </w:t>
      </w:r>
      <w:r w:rsidR="002441BB" w:rsidRPr="00C775AA">
        <w:rPr>
          <w:rFonts w:asciiTheme="minorHAnsi" w:hAnsiTheme="minorHAnsi" w:cstheme="minorHAnsi"/>
        </w:rPr>
        <w:t>MŠMT</w:t>
      </w:r>
      <w:r w:rsidR="00675ECB" w:rsidRPr="00433167">
        <w:rPr>
          <w:rFonts w:asciiTheme="minorHAnsi" w:hAnsiTheme="minorHAnsi" w:cstheme="minorHAnsi"/>
        </w:rPr>
        <w:t>.</w:t>
      </w:r>
      <w:r w:rsidR="00342DB3" w:rsidRPr="00433167">
        <w:rPr>
          <w:rFonts w:asciiTheme="minorHAnsi" w:hAnsiTheme="minorHAnsi" w:cstheme="minorHAnsi"/>
        </w:rPr>
        <w:t xml:space="preserve"> V říjnu 2014 uzavřelo ČVUT s vítězným uchazečem </w:t>
      </w:r>
      <w:r w:rsidR="001C4C4A" w:rsidRPr="00433167">
        <w:rPr>
          <w:rFonts w:asciiTheme="minorHAnsi" w:hAnsiTheme="minorHAnsi" w:cstheme="minorHAnsi"/>
        </w:rPr>
        <w:t xml:space="preserve">smlouvu o dílo na zhotovení stavby a v listopadu </w:t>
      </w:r>
      <w:r w:rsidR="00853C5D">
        <w:rPr>
          <w:rFonts w:asciiTheme="minorHAnsi" w:hAnsiTheme="minorHAnsi" w:cstheme="minorHAnsi"/>
        </w:rPr>
        <w:t>téhož roku byly zahájeny stavební práce</w:t>
      </w:r>
      <w:r w:rsidR="001C4C4A" w:rsidRPr="00433167">
        <w:rPr>
          <w:rFonts w:asciiTheme="minorHAnsi" w:hAnsiTheme="minorHAnsi" w:cstheme="minorHAnsi"/>
        </w:rPr>
        <w:t>.</w:t>
      </w:r>
      <w:r w:rsidR="00925477" w:rsidRPr="00433167">
        <w:rPr>
          <w:rFonts w:asciiTheme="minorHAnsi" w:hAnsiTheme="minorHAnsi" w:cstheme="minorHAnsi"/>
        </w:rPr>
        <w:t xml:space="preserve"> </w:t>
      </w:r>
      <w:r w:rsidR="00971A4A">
        <w:rPr>
          <w:rFonts w:asciiTheme="minorHAnsi" w:hAnsiTheme="minorHAnsi" w:cstheme="minorHAnsi"/>
        </w:rPr>
        <w:t>Následně v</w:t>
      </w:r>
      <w:r w:rsidR="00925477" w:rsidRPr="00433167">
        <w:rPr>
          <w:rFonts w:asciiTheme="minorHAnsi" w:hAnsiTheme="minorHAnsi" w:cstheme="minorHAnsi"/>
        </w:rPr>
        <w:t xml:space="preserve"> prosinci 2014 vyřadilo MŠMT </w:t>
      </w:r>
      <w:r w:rsidR="00E80529" w:rsidRPr="00433167">
        <w:rPr>
          <w:rFonts w:asciiTheme="minorHAnsi" w:hAnsiTheme="minorHAnsi" w:cstheme="minorHAnsi"/>
        </w:rPr>
        <w:t xml:space="preserve">projekt z financování v rámci OP </w:t>
      </w:r>
      <w:proofErr w:type="spellStart"/>
      <w:r w:rsidR="00E80529" w:rsidRPr="00433167">
        <w:rPr>
          <w:rFonts w:asciiTheme="minorHAnsi" w:hAnsiTheme="minorHAnsi" w:cstheme="minorHAnsi"/>
        </w:rPr>
        <w:t>VaVpI</w:t>
      </w:r>
      <w:proofErr w:type="spellEnd"/>
      <w:r w:rsidR="00E80529" w:rsidRPr="00433167">
        <w:rPr>
          <w:rFonts w:asciiTheme="minorHAnsi" w:hAnsiTheme="minorHAnsi" w:cstheme="minorHAnsi"/>
        </w:rPr>
        <w:t>.</w:t>
      </w:r>
    </w:p>
    <w:p w14:paraId="3D51DBBE" w14:textId="590D2298" w:rsidR="00F00F31" w:rsidRDefault="00F83AB1" w:rsidP="00333736">
      <w:pPr>
        <w:spacing w:before="120"/>
        <w:jc w:val="both"/>
        <w:rPr>
          <w:rFonts w:ascii="Calibri" w:hAnsi="Calibri" w:cs="Calibri"/>
        </w:rPr>
      </w:pPr>
      <w:r>
        <w:rPr>
          <w:rFonts w:asciiTheme="minorHAnsi" w:eastAsiaTheme="minorHAnsi" w:hAnsiTheme="minorHAnsi" w:cstheme="minorHAnsi"/>
          <w:bCs/>
        </w:rPr>
        <w:t xml:space="preserve">Až </w:t>
      </w:r>
      <w:r w:rsidR="00853C5D">
        <w:rPr>
          <w:rFonts w:asciiTheme="minorHAnsi" w:eastAsiaTheme="minorHAnsi" w:hAnsiTheme="minorHAnsi" w:cstheme="minorHAnsi"/>
          <w:bCs/>
        </w:rPr>
        <w:t>v</w:t>
      </w:r>
      <w:r w:rsidR="008C0D26" w:rsidRPr="00433167">
        <w:rPr>
          <w:rFonts w:asciiTheme="minorHAnsi" w:eastAsiaTheme="minorHAnsi" w:hAnsiTheme="minorHAnsi" w:cstheme="minorHAnsi"/>
          <w:bCs/>
        </w:rPr>
        <w:t xml:space="preserve"> březnu 2015 </w:t>
      </w:r>
      <w:r w:rsidR="00853C5D">
        <w:rPr>
          <w:rFonts w:asciiTheme="minorHAnsi" w:eastAsiaTheme="minorHAnsi" w:hAnsiTheme="minorHAnsi" w:cstheme="minorHAnsi"/>
          <w:bCs/>
        </w:rPr>
        <w:t>schválilo</w:t>
      </w:r>
      <w:r w:rsidR="008C0D26">
        <w:rPr>
          <w:rFonts w:asciiTheme="minorHAnsi" w:eastAsiaTheme="minorHAnsi" w:hAnsiTheme="minorHAnsi" w:cstheme="minorHAnsi"/>
          <w:bCs/>
        </w:rPr>
        <w:t xml:space="preserve"> </w:t>
      </w:r>
      <w:r w:rsidR="00853C5D">
        <w:rPr>
          <w:rFonts w:asciiTheme="minorHAnsi" w:eastAsiaTheme="minorHAnsi" w:hAnsiTheme="minorHAnsi" w:cstheme="minorHAnsi"/>
          <w:bCs/>
        </w:rPr>
        <w:t>MŠMT na základě žádosti ČVUT ze září 2014</w:t>
      </w:r>
      <w:r w:rsidR="008C0D26" w:rsidRPr="00433167">
        <w:rPr>
          <w:rFonts w:asciiTheme="minorHAnsi" w:eastAsiaTheme="minorHAnsi" w:hAnsiTheme="minorHAnsi" w:cstheme="minorHAnsi"/>
          <w:bCs/>
        </w:rPr>
        <w:t xml:space="preserve"> investiční záměr na financování akce v rámci programu a vydalo</w:t>
      </w:r>
      <w:r w:rsidR="00853C5D">
        <w:rPr>
          <w:rFonts w:asciiTheme="minorHAnsi" w:eastAsiaTheme="minorHAnsi" w:hAnsiTheme="minorHAnsi" w:cstheme="minorHAnsi"/>
          <w:bCs/>
        </w:rPr>
        <w:t xml:space="preserve"> </w:t>
      </w:r>
      <w:r w:rsidR="00B76696">
        <w:rPr>
          <w:rFonts w:asciiTheme="minorHAnsi" w:eastAsiaTheme="minorHAnsi" w:hAnsiTheme="minorHAnsi" w:cstheme="minorHAnsi"/>
          <w:bCs/>
        </w:rPr>
        <w:t>r</w:t>
      </w:r>
      <w:r w:rsidR="00853C5D">
        <w:rPr>
          <w:rFonts w:asciiTheme="minorHAnsi" w:eastAsiaTheme="minorHAnsi" w:hAnsiTheme="minorHAnsi" w:cstheme="minorHAnsi"/>
          <w:bCs/>
        </w:rPr>
        <w:t xml:space="preserve">egistraci akce a </w:t>
      </w:r>
      <w:r w:rsidR="00B76696">
        <w:rPr>
          <w:rFonts w:asciiTheme="minorHAnsi" w:eastAsiaTheme="minorHAnsi" w:hAnsiTheme="minorHAnsi" w:cstheme="minorHAnsi"/>
          <w:bCs/>
        </w:rPr>
        <w:t>r</w:t>
      </w:r>
      <w:r w:rsidR="00853C5D">
        <w:rPr>
          <w:rFonts w:asciiTheme="minorHAnsi" w:eastAsiaTheme="minorHAnsi" w:hAnsiTheme="minorHAnsi" w:cstheme="minorHAnsi"/>
          <w:bCs/>
        </w:rPr>
        <w:t>ozhodnutí o </w:t>
      </w:r>
      <w:r w:rsidR="008C0D26" w:rsidRPr="00433167">
        <w:rPr>
          <w:rFonts w:asciiTheme="minorHAnsi" w:eastAsiaTheme="minorHAnsi" w:hAnsiTheme="minorHAnsi" w:cstheme="minorHAnsi"/>
          <w:bCs/>
        </w:rPr>
        <w:t xml:space="preserve">poskytnutí dotace. </w:t>
      </w:r>
      <w:r w:rsidR="003622F5" w:rsidRPr="00E15180">
        <w:rPr>
          <w:rFonts w:asciiTheme="minorHAnsi" w:hAnsiTheme="minorHAnsi" w:cstheme="minorHAnsi"/>
        </w:rPr>
        <w:t xml:space="preserve">V důsledku </w:t>
      </w:r>
      <w:r w:rsidR="002B2F9C" w:rsidRPr="00E15180">
        <w:rPr>
          <w:rFonts w:asciiTheme="minorHAnsi" w:hAnsiTheme="minorHAnsi" w:cstheme="minorHAnsi"/>
        </w:rPr>
        <w:t xml:space="preserve">nestandardního </w:t>
      </w:r>
      <w:r w:rsidR="003622F5" w:rsidRPr="00E15180">
        <w:rPr>
          <w:rFonts w:asciiTheme="minorHAnsi" w:hAnsiTheme="minorHAnsi" w:cstheme="minorHAnsi"/>
        </w:rPr>
        <w:t>průběhu akce, kdy výběr zhotovitele stavby i následné uzavření smlouvy o dílo proběhly ještě před vydáním</w:t>
      </w:r>
      <w:r w:rsidR="00823D6D">
        <w:rPr>
          <w:rFonts w:asciiTheme="minorHAnsi" w:hAnsiTheme="minorHAnsi" w:cstheme="minorHAnsi"/>
        </w:rPr>
        <w:t xml:space="preserve"> řídi</w:t>
      </w:r>
      <w:r w:rsidR="00E15180" w:rsidRPr="00E15180">
        <w:rPr>
          <w:rFonts w:asciiTheme="minorHAnsi" w:hAnsiTheme="minorHAnsi" w:cstheme="minorHAnsi"/>
        </w:rPr>
        <w:t>cích dokumentů akce</w:t>
      </w:r>
      <w:r w:rsidR="003622F5" w:rsidRPr="00E1518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nebyly a </w:t>
      </w:r>
      <w:r w:rsidR="00433167" w:rsidRPr="00E15180">
        <w:rPr>
          <w:rFonts w:asciiTheme="minorHAnsi" w:hAnsiTheme="minorHAnsi" w:cstheme="minorHAnsi"/>
        </w:rPr>
        <w:t>nemohly být naplněny základní principy programového financování</w:t>
      </w:r>
      <w:r w:rsidR="00853C5D">
        <w:rPr>
          <w:rFonts w:asciiTheme="minorHAnsi" w:hAnsiTheme="minorHAnsi" w:cstheme="minorHAnsi"/>
        </w:rPr>
        <w:t xml:space="preserve"> platné pro financování akcí ze </w:t>
      </w:r>
      <w:r w:rsidR="00F65895">
        <w:rPr>
          <w:rFonts w:asciiTheme="minorHAnsi" w:hAnsiTheme="minorHAnsi" w:cstheme="minorHAnsi"/>
        </w:rPr>
        <w:t>SR</w:t>
      </w:r>
      <w:r w:rsidR="00853C5D">
        <w:rPr>
          <w:rFonts w:asciiTheme="minorHAnsi" w:hAnsiTheme="minorHAnsi" w:cstheme="minorHAnsi"/>
        </w:rPr>
        <w:t>. Mezi ně patří zejména řídi</w:t>
      </w:r>
      <w:r w:rsidR="00E15180" w:rsidRPr="00E15180">
        <w:rPr>
          <w:rFonts w:asciiTheme="minorHAnsi" w:hAnsiTheme="minorHAnsi" w:cstheme="minorHAnsi"/>
        </w:rPr>
        <w:t>cí činnost správce programu</w:t>
      </w:r>
      <w:r w:rsidR="00F65895">
        <w:rPr>
          <w:rFonts w:asciiTheme="minorHAnsi" w:hAnsiTheme="minorHAnsi" w:cstheme="minorHAnsi"/>
        </w:rPr>
        <w:t>, která s</w:t>
      </w:r>
      <w:r w:rsidR="00853C5D">
        <w:rPr>
          <w:rFonts w:asciiTheme="minorHAnsi" w:hAnsiTheme="minorHAnsi" w:cstheme="minorHAnsi"/>
        </w:rPr>
        <w:t>počív</w:t>
      </w:r>
      <w:r w:rsidR="00F65895">
        <w:rPr>
          <w:rFonts w:asciiTheme="minorHAnsi" w:hAnsiTheme="minorHAnsi" w:cstheme="minorHAnsi"/>
        </w:rPr>
        <w:t>á</w:t>
      </w:r>
      <w:r w:rsidR="00853C5D">
        <w:rPr>
          <w:rFonts w:asciiTheme="minorHAnsi" w:hAnsiTheme="minorHAnsi" w:cstheme="minorHAnsi"/>
        </w:rPr>
        <w:t xml:space="preserve"> ve stanovení podmínek pro hospodárný a účelný průběh </w:t>
      </w:r>
      <w:r w:rsidR="006C3AFA">
        <w:rPr>
          <w:rFonts w:asciiTheme="minorHAnsi" w:hAnsiTheme="minorHAnsi" w:cstheme="minorHAnsi"/>
        </w:rPr>
        <w:t>přípravy a</w:t>
      </w:r>
      <w:r w:rsidR="00333736">
        <w:rPr>
          <w:rFonts w:asciiTheme="minorHAnsi" w:hAnsiTheme="minorHAnsi" w:cstheme="minorHAnsi"/>
        </w:rPr>
        <w:t xml:space="preserve"> realizace akcí. Ke splnění těchto podmínek správce programu zavazuje účastníky programu. </w:t>
      </w:r>
      <w:r w:rsidR="00823D6D" w:rsidRPr="00AE3E2E">
        <w:rPr>
          <w:rFonts w:asciiTheme="minorHAnsi" w:hAnsiTheme="minorHAnsi" w:cstheme="minorHAnsi"/>
        </w:rPr>
        <w:t xml:space="preserve">ČVUT </w:t>
      </w:r>
      <w:r w:rsidR="00333736" w:rsidRPr="00AE3E2E">
        <w:rPr>
          <w:rFonts w:asciiTheme="minorHAnsi" w:hAnsiTheme="minorHAnsi" w:cstheme="minorHAnsi"/>
        </w:rPr>
        <w:t xml:space="preserve">tak </w:t>
      </w:r>
      <w:r w:rsidR="00823D6D" w:rsidRPr="00AE3E2E">
        <w:rPr>
          <w:rFonts w:asciiTheme="minorHAnsi" w:hAnsiTheme="minorHAnsi" w:cstheme="minorHAnsi"/>
        </w:rPr>
        <w:t>nem</w:t>
      </w:r>
      <w:r w:rsidR="00AE3E2E" w:rsidRPr="00AE3E2E">
        <w:rPr>
          <w:rFonts w:asciiTheme="minorHAnsi" w:hAnsiTheme="minorHAnsi" w:cstheme="minorHAnsi"/>
        </w:rPr>
        <w:t>uselo</w:t>
      </w:r>
      <w:r w:rsidR="00823D6D" w:rsidRPr="00AE3E2E">
        <w:rPr>
          <w:rFonts w:asciiTheme="minorHAnsi" w:hAnsiTheme="minorHAnsi" w:cstheme="minorHAnsi"/>
        </w:rPr>
        <w:t xml:space="preserve"> dodržet například podmínku MŠMT</w:t>
      </w:r>
      <w:r w:rsidR="00333736" w:rsidRPr="00AE3E2E">
        <w:rPr>
          <w:rFonts w:asciiTheme="minorHAnsi" w:hAnsiTheme="minorHAnsi" w:cstheme="minorHAnsi"/>
        </w:rPr>
        <w:t xml:space="preserve">, že </w:t>
      </w:r>
      <w:r w:rsidR="00823D6D" w:rsidRPr="00AE3E2E">
        <w:rPr>
          <w:rFonts w:asciiTheme="minorHAnsi" w:hAnsiTheme="minorHAnsi" w:cstheme="minorHAnsi"/>
        </w:rPr>
        <w:t xml:space="preserve">zadávací řízení na výběr zhotovitele stavby nesmí být zahájeno bez vydání </w:t>
      </w:r>
      <w:r w:rsidR="00333736" w:rsidRPr="00AE3E2E">
        <w:rPr>
          <w:rFonts w:asciiTheme="minorHAnsi" w:hAnsiTheme="minorHAnsi" w:cstheme="minorHAnsi"/>
        </w:rPr>
        <w:t xml:space="preserve">pravomocného </w:t>
      </w:r>
      <w:r w:rsidR="00823D6D" w:rsidRPr="00AE3E2E">
        <w:rPr>
          <w:rFonts w:asciiTheme="minorHAnsi" w:hAnsiTheme="minorHAnsi" w:cstheme="minorHAnsi"/>
        </w:rPr>
        <w:t>platného stavebního povolení.</w:t>
      </w:r>
    </w:p>
    <w:p w14:paraId="3B8957CF" w14:textId="222EC45C" w:rsidR="00E15180" w:rsidRPr="00433167" w:rsidRDefault="00E15180" w:rsidP="00C37C6A">
      <w:pPr>
        <w:spacing w:before="120" w:after="120"/>
        <w:jc w:val="both"/>
        <w:rPr>
          <w:rFonts w:asciiTheme="minorHAnsi" w:eastAsiaTheme="minorHAnsi" w:hAnsiTheme="minorHAnsi" w:cstheme="minorHAnsi"/>
          <w:bCs/>
        </w:rPr>
      </w:pPr>
      <w:r w:rsidRPr="00433167">
        <w:rPr>
          <w:rFonts w:asciiTheme="minorHAnsi" w:eastAsiaTheme="minorHAnsi" w:hAnsiTheme="minorHAnsi" w:cstheme="minorHAnsi"/>
          <w:bCs/>
        </w:rPr>
        <w:t xml:space="preserve">Akce </w:t>
      </w:r>
      <w:r>
        <w:rPr>
          <w:rFonts w:asciiTheme="minorHAnsi" w:eastAsiaTheme="minorHAnsi" w:hAnsiTheme="minorHAnsi" w:cstheme="minorHAnsi"/>
          <w:bCs/>
        </w:rPr>
        <w:t xml:space="preserve">nebyla v době vydání </w:t>
      </w:r>
      <w:r w:rsidR="0027038D">
        <w:rPr>
          <w:rFonts w:asciiTheme="minorHAnsi" w:eastAsiaTheme="minorHAnsi" w:hAnsiTheme="minorHAnsi" w:cstheme="minorHAnsi"/>
          <w:bCs/>
        </w:rPr>
        <w:t>r</w:t>
      </w:r>
      <w:r>
        <w:rPr>
          <w:rFonts w:asciiTheme="minorHAnsi" w:eastAsiaTheme="minorHAnsi" w:hAnsiTheme="minorHAnsi" w:cstheme="minorHAnsi"/>
          <w:bCs/>
        </w:rPr>
        <w:t xml:space="preserve">egistrace akce </w:t>
      </w:r>
      <w:r w:rsidRPr="00433167">
        <w:rPr>
          <w:rFonts w:asciiTheme="minorHAnsi" w:eastAsiaTheme="minorHAnsi" w:hAnsiTheme="minorHAnsi" w:cstheme="minorHAnsi"/>
          <w:bCs/>
        </w:rPr>
        <w:t xml:space="preserve">uvedena mezi </w:t>
      </w:r>
      <w:r w:rsidR="00A70FB9">
        <w:rPr>
          <w:rFonts w:asciiTheme="minorHAnsi" w:eastAsiaTheme="minorHAnsi" w:hAnsiTheme="minorHAnsi" w:cstheme="minorHAnsi"/>
          <w:bCs/>
        </w:rPr>
        <w:t>plánovanými</w:t>
      </w:r>
      <w:r w:rsidRPr="00433167">
        <w:rPr>
          <w:rFonts w:asciiTheme="minorHAnsi" w:eastAsiaTheme="minorHAnsi" w:hAnsiTheme="minorHAnsi" w:cstheme="minorHAnsi"/>
          <w:bCs/>
        </w:rPr>
        <w:t xml:space="preserve"> akcemi jako konkrétní cíl programu. K tomu došlo až o tři měsíce později v červnu 2015</w:t>
      </w:r>
      <w:r w:rsidR="00F65895" w:rsidRPr="00831FA5">
        <w:rPr>
          <w:rFonts w:asciiTheme="minorHAnsi" w:eastAsiaTheme="minorHAnsi" w:hAnsiTheme="minorHAnsi" w:cstheme="minorHAnsi"/>
          <w:bCs/>
          <w:vertAlign w:val="superscript"/>
        </w:rPr>
        <w:t>6</w:t>
      </w:r>
      <w:r w:rsidRPr="00433167">
        <w:rPr>
          <w:rFonts w:asciiTheme="minorHAnsi" w:eastAsiaTheme="minorHAnsi" w:hAnsiTheme="minorHAnsi" w:cstheme="minorHAnsi"/>
          <w:bCs/>
        </w:rPr>
        <w:t>, kdy vláda schválila aktualiz</w:t>
      </w:r>
      <w:r w:rsidR="00F65895">
        <w:rPr>
          <w:rFonts w:asciiTheme="minorHAnsi" w:eastAsiaTheme="minorHAnsi" w:hAnsiTheme="minorHAnsi" w:cstheme="minorHAnsi"/>
          <w:bCs/>
        </w:rPr>
        <w:t>ovanou</w:t>
      </w:r>
      <w:r w:rsidRPr="00433167">
        <w:rPr>
          <w:rFonts w:asciiTheme="minorHAnsi" w:eastAsiaTheme="minorHAnsi" w:hAnsiTheme="minorHAnsi" w:cstheme="minorHAnsi"/>
          <w:bCs/>
        </w:rPr>
        <w:t xml:space="preserve"> DP</w:t>
      </w:r>
      <w:r w:rsidR="00F83AB1">
        <w:rPr>
          <w:rFonts w:asciiTheme="minorHAnsi" w:eastAsiaTheme="minorHAnsi" w:hAnsiTheme="minorHAnsi" w:cstheme="minorHAnsi"/>
          <w:bCs/>
        </w:rPr>
        <w:t xml:space="preserve"> (již obsahující uvedenou akci)</w:t>
      </w:r>
      <w:r w:rsidR="00F65895">
        <w:rPr>
          <w:rFonts w:asciiTheme="minorHAnsi" w:eastAsiaTheme="minorHAnsi" w:hAnsiTheme="minorHAnsi" w:cstheme="minorHAnsi"/>
          <w:bCs/>
        </w:rPr>
        <w:t>. O</w:t>
      </w:r>
      <w:r w:rsidRPr="00433167">
        <w:rPr>
          <w:rFonts w:asciiTheme="minorHAnsi" w:eastAsiaTheme="minorHAnsi" w:hAnsiTheme="minorHAnsi" w:cstheme="minorHAnsi"/>
          <w:bCs/>
        </w:rPr>
        <w:t>becné cíle podprogramu ČVUT</w:t>
      </w:r>
      <w:r w:rsidRPr="00433167">
        <w:rPr>
          <w:rStyle w:val="Znakapoznpodarou"/>
          <w:rFonts w:asciiTheme="minorHAnsi" w:eastAsiaTheme="minorHAnsi" w:hAnsiTheme="minorHAnsi" w:cstheme="minorHAnsi"/>
          <w:bCs/>
        </w:rPr>
        <w:footnoteReference w:id="17"/>
      </w:r>
      <w:r w:rsidRPr="00433167">
        <w:rPr>
          <w:rFonts w:asciiTheme="minorHAnsi" w:eastAsiaTheme="minorHAnsi" w:hAnsiTheme="minorHAnsi" w:cstheme="minorHAnsi"/>
          <w:bCs/>
        </w:rPr>
        <w:t xml:space="preserve"> zůstaly </w:t>
      </w:r>
      <w:r w:rsidR="00F83AB1">
        <w:rPr>
          <w:rFonts w:asciiTheme="minorHAnsi" w:eastAsiaTheme="minorHAnsi" w:hAnsiTheme="minorHAnsi" w:cstheme="minorHAnsi"/>
          <w:bCs/>
        </w:rPr>
        <w:t>i </w:t>
      </w:r>
      <w:r w:rsidR="00F65895">
        <w:rPr>
          <w:rFonts w:asciiTheme="minorHAnsi" w:eastAsiaTheme="minorHAnsi" w:hAnsiTheme="minorHAnsi" w:cstheme="minorHAnsi"/>
          <w:bCs/>
        </w:rPr>
        <w:t xml:space="preserve">po aktualizaci DP </w:t>
      </w:r>
      <w:r w:rsidRPr="00433167">
        <w:rPr>
          <w:rFonts w:asciiTheme="minorHAnsi" w:eastAsiaTheme="minorHAnsi" w:hAnsiTheme="minorHAnsi" w:cstheme="minorHAnsi"/>
          <w:bCs/>
        </w:rPr>
        <w:t>nezměněny</w:t>
      </w:r>
      <w:r w:rsidR="008C0D26">
        <w:rPr>
          <w:rFonts w:asciiTheme="minorHAnsi" w:eastAsiaTheme="minorHAnsi" w:hAnsiTheme="minorHAnsi" w:cstheme="minorHAnsi"/>
          <w:bCs/>
        </w:rPr>
        <w:t xml:space="preserve"> v následující podobě</w:t>
      </w:r>
      <w:r w:rsidRPr="00433167">
        <w:rPr>
          <w:rFonts w:asciiTheme="minorHAnsi" w:eastAsiaTheme="minorHAnsi" w:hAnsiTheme="minorHAnsi" w:cstheme="minorHAnsi"/>
          <w:bCs/>
        </w:rPr>
        <w:t>:</w:t>
      </w:r>
    </w:p>
    <w:p w14:paraId="1EFA7F49" w14:textId="77777777" w:rsidR="00E15180" w:rsidRPr="00433167" w:rsidRDefault="00E15180" w:rsidP="002F5677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Calibri" w:hAnsi="Calibri" w:cs="Calibri"/>
        </w:rPr>
      </w:pPr>
      <w:r w:rsidRPr="00433167">
        <w:rPr>
          <w:rFonts w:asciiTheme="minorHAnsi" w:eastAsiaTheme="minorHAnsi" w:hAnsiTheme="minorHAnsi" w:cstheme="minorHAnsi"/>
          <w:bCs/>
        </w:rPr>
        <w:t>optimalizace využití stávajících prostor,</w:t>
      </w:r>
    </w:p>
    <w:p w14:paraId="0AF1DA41" w14:textId="77777777" w:rsidR="00E15180" w:rsidRPr="00433167" w:rsidRDefault="00E15180" w:rsidP="002F5677">
      <w:pPr>
        <w:pStyle w:val="Odstavecseseznamem"/>
        <w:numPr>
          <w:ilvl w:val="0"/>
          <w:numId w:val="32"/>
        </w:numPr>
        <w:ind w:left="357" w:hanging="357"/>
        <w:jc w:val="both"/>
        <w:rPr>
          <w:rFonts w:ascii="Calibri" w:hAnsi="Calibri" w:cs="Calibri"/>
        </w:rPr>
      </w:pPr>
      <w:r w:rsidRPr="00433167">
        <w:rPr>
          <w:rFonts w:asciiTheme="minorHAnsi" w:eastAsiaTheme="minorHAnsi" w:hAnsiTheme="minorHAnsi" w:cstheme="minorHAnsi"/>
          <w:bCs/>
        </w:rPr>
        <w:t>modernizace stávajících výukových prostor,</w:t>
      </w:r>
    </w:p>
    <w:p w14:paraId="7B4EB512" w14:textId="77777777" w:rsidR="00E15180" w:rsidRPr="00433167" w:rsidRDefault="00E15180" w:rsidP="002F5677">
      <w:pPr>
        <w:pStyle w:val="Odstavecseseznamem"/>
        <w:numPr>
          <w:ilvl w:val="0"/>
          <w:numId w:val="32"/>
        </w:numPr>
        <w:spacing w:after="120"/>
        <w:ind w:left="357" w:hanging="357"/>
        <w:jc w:val="both"/>
        <w:rPr>
          <w:rFonts w:ascii="Calibri" w:hAnsi="Calibri" w:cs="Calibri"/>
        </w:rPr>
      </w:pPr>
      <w:r w:rsidRPr="00433167">
        <w:rPr>
          <w:rFonts w:asciiTheme="minorHAnsi" w:eastAsiaTheme="minorHAnsi" w:hAnsiTheme="minorHAnsi" w:cstheme="minorHAnsi"/>
          <w:bCs/>
        </w:rPr>
        <w:t>snížení provozní energetické náročnosti objektů.</w:t>
      </w:r>
    </w:p>
    <w:p w14:paraId="569727F6" w14:textId="20756A9F" w:rsidR="00333736" w:rsidRPr="00303DCB" w:rsidRDefault="006C3AFA" w:rsidP="006C3AFA">
      <w:pPr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Cs/>
        </w:rPr>
        <w:t xml:space="preserve">Přestože se jednalo o věcně i finančně nejvýznamnější akci programu, aktualizací </w:t>
      </w:r>
      <w:r w:rsidRPr="00433167">
        <w:rPr>
          <w:rFonts w:asciiTheme="minorHAnsi" w:eastAsiaTheme="minorHAnsi" w:hAnsiTheme="minorHAnsi" w:cstheme="minorHAnsi"/>
          <w:bCs/>
        </w:rPr>
        <w:t>nebyly</w:t>
      </w:r>
      <w:r>
        <w:rPr>
          <w:rFonts w:asciiTheme="minorHAnsi" w:eastAsiaTheme="minorHAnsi" w:hAnsiTheme="minorHAnsi" w:cstheme="minorHAnsi"/>
          <w:bCs/>
        </w:rPr>
        <w:t xml:space="preserve"> </w:t>
      </w:r>
      <w:r w:rsidR="00BB5397">
        <w:rPr>
          <w:rFonts w:asciiTheme="minorHAnsi" w:eastAsiaTheme="minorHAnsi" w:hAnsiTheme="minorHAnsi" w:cstheme="minorHAnsi"/>
          <w:bCs/>
        </w:rPr>
        <w:t xml:space="preserve">obecné </w:t>
      </w:r>
      <w:r w:rsidR="00E15180" w:rsidRPr="00433167">
        <w:rPr>
          <w:rFonts w:asciiTheme="minorHAnsi" w:eastAsiaTheme="minorHAnsi" w:hAnsiTheme="minorHAnsi" w:cstheme="minorHAnsi"/>
          <w:bCs/>
        </w:rPr>
        <w:t xml:space="preserve">cíle </w:t>
      </w:r>
      <w:r w:rsidR="00E15180">
        <w:rPr>
          <w:rFonts w:asciiTheme="minorHAnsi" w:eastAsiaTheme="minorHAnsi" w:hAnsiTheme="minorHAnsi" w:cstheme="minorHAnsi"/>
          <w:bCs/>
        </w:rPr>
        <w:t xml:space="preserve">podprogramu ČVUT </w:t>
      </w:r>
      <w:r w:rsidR="00E15180" w:rsidRPr="00433167">
        <w:rPr>
          <w:rFonts w:asciiTheme="minorHAnsi" w:eastAsiaTheme="minorHAnsi" w:hAnsiTheme="minorHAnsi" w:cstheme="minorHAnsi"/>
          <w:bCs/>
        </w:rPr>
        <w:t>rozšířeny o vybudování sídla CIIRC.</w:t>
      </w:r>
      <w:r>
        <w:rPr>
          <w:rFonts w:asciiTheme="minorHAnsi" w:eastAsiaTheme="minorHAnsi" w:hAnsiTheme="minorHAnsi" w:cstheme="minorHAnsi"/>
          <w:bCs/>
        </w:rPr>
        <w:t xml:space="preserve"> V době ukončení kontroly byla stavební část akce již dokončena</w:t>
      </w:r>
      <w:r w:rsidR="00C51DB1">
        <w:rPr>
          <w:rFonts w:asciiTheme="minorHAnsi" w:eastAsiaTheme="minorHAnsi" w:hAnsiTheme="minorHAnsi" w:cstheme="minorHAnsi"/>
          <w:bCs/>
        </w:rPr>
        <w:t xml:space="preserve">, akce nebyla </w:t>
      </w:r>
      <w:r w:rsidR="00AE3E2E">
        <w:rPr>
          <w:rFonts w:asciiTheme="minorHAnsi" w:eastAsiaTheme="minorHAnsi" w:hAnsiTheme="minorHAnsi" w:cstheme="minorHAnsi"/>
          <w:bCs/>
        </w:rPr>
        <w:t xml:space="preserve">v plné výši </w:t>
      </w:r>
      <w:r w:rsidR="00C51DB1">
        <w:rPr>
          <w:rFonts w:asciiTheme="minorHAnsi" w:eastAsiaTheme="minorHAnsi" w:hAnsiTheme="minorHAnsi" w:cstheme="minorHAnsi"/>
          <w:bCs/>
        </w:rPr>
        <w:t>dofinancována</w:t>
      </w:r>
      <w:r w:rsidR="00BB5397">
        <w:rPr>
          <w:rFonts w:asciiTheme="minorHAnsi" w:eastAsiaTheme="minorHAnsi" w:hAnsiTheme="minorHAnsi" w:cstheme="minorHAnsi"/>
          <w:bCs/>
        </w:rPr>
        <w:t>.</w:t>
      </w:r>
    </w:p>
    <w:p w14:paraId="3A6796A0" w14:textId="39494378" w:rsidR="00DA32B2" w:rsidRDefault="00DA32B2" w:rsidP="002663D7">
      <w:pPr>
        <w:pStyle w:val="Odstavecseseznamem"/>
        <w:ind w:left="0"/>
        <w:jc w:val="both"/>
        <w:rPr>
          <w:rFonts w:ascii="Calibri" w:hAnsi="Calibri" w:cs="Calibri"/>
        </w:rPr>
      </w:pPr>
    </w:p>
    <w:p w14:paraId="7F6DBAEC" w14:textId="607116E6" w:rsidR="00334304" w:rsidRDefault="00334304" w:rsidP="002663D7">
      <w:pPr>
        <w:pStyle w:val="Odstavecseseznamem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B. </w:t>
      </w:r>
      <w:r w:rsidRPr="00334304">
        <w:rPr>
          <w:rFonts w:ascii="Calibri" w:hAnsi="Calibri" w:cs="Calibri"/>
          <w:b/>
        </w:rPr>
        <w:t>Příjemci dotace</w:t>
      </w:r>
    </w:p>
    <w:p w14:paraId="48C11923" w14:textId="4E78A4B8" w:rsidR="00306235" w:rsidRDefault="00306235" w:rsidP="002663D7">
      <w:pPr>
        <w:pStyle w:val="Odstavecseseznamem"/>
        <w:ind w:left="0"/>
        <w:jc w:val="both"/>
        <w:rPr>
          <w:rFonts w:ascii="Calibri" w:hAnsi="Calibri" w:cs="Calibri"/>
          <w:b/>
        </w:rPr>
      </w:pPr>
    </w:p>
    <w:p w14:paraId="04ADD4D8" w14:textId="77777777" w:rsidR="00CF749C" w:rsidRPr="007109D7" w:rsidRDefault="00CF749C" w:rsidP="007109D7">
      <w:pPr>
        <w:jc w:val="both"/>
        <w:rPr>
          <w:rFonts w:ascii="Calibri" w:hAnsi="Calibri" w:cs="Calibri"/>
          <w:b/>
        </w:rPr>
      </w:pPr>
      <w:r w:rsidRPr="007109D7">
        <w:rPr>
          <w:rFonts w:ascii="Calibri" w:hAnsi="Calibri" w:cs="Calibri"/>
          <w:b/>
        </w:rPr>
        <w:t>Vysoké učení technické v Brně – porušení zákona č. 218/2000 Sb.</w:t>
      </w:r>
    </w:p>
    <w:p w14:paraId="1BCB1C3E" w14:textId="601F95D5" w:rsidR="00CF749C" w:rsidRPr="00AC33F6" w:rsidRDefault="00CF749C" w:rsidP="00CF749C">
      <w:pPr>
        <w:spacing w:before="120"/>
        <w:jc w:val="both"/>
        <w:rPr>
          <w:rFonts w:ascii="Calibri" w:hAnsi="Calibri" w:cs="Calibri"/>
        </w:rPr>
      </w:pPr>
      <w:r w:rsidRPr="005E3711">
        <w:rPr>
          <w:rFonts w:ascii="Calibri" w:hAnsi="Calibri" w:cs="Calibri"/>
        </w:rPr>
        <w:t xml:space="preserve">Při kontrole plnění zakázek na stavební práce byla </w:t>
      </w:r>
      <w:r w:rsidR="005456ED">
        <w:rPr>
          <w:rFonts w:ascii="Calibri" w:hAnsi="Calibri" w:cs="Calibri"/>
        </w:rPr>
        <w:t xml:space="preserve">prověřena </w:t>
      </w:r>
      <w:r>
        <w:rPr>
          <w:rFonts w:ascii="Calibri" w:hAnsi="Calibri" w:cs="Calibri"/>
        </w:rPr>
        <w:t xml:space="preserve">mj. </w:t>
      </w:r>
      <w:r w:rsidRPr="005E3711">
        <w:rPr>
          <w:rFonts w:ascii="Calibri" w:hAnsi="Calibri" w:cs="Calibri"/>
        </w:rPr>
        <w:t>faktura ze dne 11. prosince 2012</w:t>
      </w:r>
      <w:r>
        <w:rPr>
          <w:rFonts w:ascii="Calibri" w:hAnsi="Calibri" w:cs="Calibri"/>
        </w:rPr>
        <w:t xml:space="preserve"> na částku 25 445 870 Kč bez DPH. Jednalo se o první </w:t>
      </w:r>
      <w:r w:rsidR="005456ED">
        <w:rPr>
          <w:rFonts w:ascii="Calibri" w:hAnsi="Calibri" w:cs="Calibri"/>
        </w:rPr>
        <w:t>fakturu vystavenou ke smlouvě o </w:t>
      </w:r>
      <w:r>
        <w:rPr>
          <w:rFonts w:ascii="Calibri" w:hAnsi="Calibri" w:cs="Calibri"/>
        </w:rPr>
        <w:t>dílo uzavřené dne 5. prosince 2012. VUT provedlo úhradu fakturované částky dne 17.</w:t>
      </w:r>
      <w:r w:rsidR="005456ED">
        <w:rPr>
          <w:rFonts w:ascii="Calibri" w:hAnsi="Calibri" w:cs="Calibri"/>
        </w:rPr>
        <w:t> </w:t>
      </w:r>
      <w:r>
        <w:rPr>
          <w:rFonts w:ascii="Calibri" w:hAnsi="Calibri" w:cs="Calibri"/>
        </w:rPr>
        <w:t>prosince 2012 v plné výši</w:t>
      </w:r>
      <w:r w:rsidR="00FA5E16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přestože věcné plnění pr</w:t>
      </w:r>
      <w:r w:rsidR="005456ED">
        <w:rPr>
          <w:rFonts w:ascii="Calibri" w:hAnsi="Calibri" w:cs="Calibri"/>
        </w:rPr>
        <w:t xml:space="preserve">okazatelně nebylo </w:t>
      </w:r>
      <w:r w:rsidR="002B5710">
        <w:rPr>
          <w:rFonts w:ascii="Calibri" w:hAnsi="Calibri" w:cs="Calibri"/>
        </w:rPr>
        <w:t>ke dni vystavení faktury</w:t>
      </w:r>
      <w:r w:rsidR="005456ED">
        <w:rPr>
          <w:rFonts w:ascii="Calibri" w:hAnsi="Calibri" w:cs="Calibri"/>
        </w:rPr>
        <w:t xml:space="preserve"> realizováno v </w:t>
      </w:r>
      <w:r>
        <w:rPr>
          <w:rFonts w:ascii="Calibri" w:hAnsi="Calibri" w:cs="Calibri"/>
        </w:rPr>
        <w:t>rozsahu deklarovaném fakturou. Tato skutečnost vyplynula mj. ze zápisů provedených ve stavebním deníku a ze zápisu z kontrolního dne konaného 13. prosince 2012. VUT úhradou faktury porušilo jednu z podmínek čerpání prostředků SR, k</w:t>
      </w:r>
      <w:r w:rsidR="005456ED">
        <w:rPr>
          <w:rFonts w:ascii="Calibri" w:hAnsi="Calibri" w:cs="Calibri"/>
        </w:rPr>
        <w:t xml:space="preserve">teré byly přílohou </w:t>
      </w:r>
      <w:r w:rsidR="0027038D">
        <w:rPr>
          <w:rFonts w:ascii="Calibri" w:hAnsi="Calibri" w:cs="Calibri"/>
        </w:rPr>
        <w:t>r</w:t>
      </w:r>
      <w:r w:rsidR="005456ED">
        <w:rPr>
          <w:rFonts w:ascii="Calibri" w:hAnsi="Calibri" w:cs="Calibri"/>
        </w:rPr>
        <w:t>ozhodnutí o </w:t>
      </w:r>
      <w:r>
        <w:rPr>
          <w:rFonts w:ascii="Calibri" w:hAnsi="Calibri" w:cs="Calibri"/>
        </w:rPr>
        <w:t>poskytnutí d</w:t>
      </w:r>
      <w:r w:rsidR="002B5710">
        <w:rPr>
          <w:rFonts w:ascii="Calibri" w:hAnsi="Calibri" w:cs="Calibri"/>
        </w:rPr>
        <w:t xml:space="preserve">otace ze dne 29. listopadu 2012. </w:t>
      </w:r>
      <w:r>
        <w:rPr>
          <w:rFonts w:ascii="Calibri" w:hAnsi="Calibri" w:cs="Calibri"/>
        </w:rPr>
        <w:t xml:space="preserve">Tímto postupem VUT porušilo rozpočtovou kázeň </w:t>
      </w:r>
      <w:r w:rsidR="002B5710">
        <w:rPr>
          <w:rFonts w:ascii="Calibri" w:hAnsi="Calibri" w:cs="Calibri"/>
        </w:rPr>
        <w:t>ve smyslu ustanovení</w:t>
      </w:r>
      <w:r w:rsidRPr="005E3711">
        <w:rPr>
          <w:rFonts w:ascii="Calibri" w:hAnsi="Calibri" w:cs="Calibri"/>
        </w:rPr>
        <w:t xml:space="preserve"> §</w:t>
      </w:r>
      <w:r>
        <w:rPr>
          <w:rFonts w:ascii="Calibri" w:hAnsi="Calibri" w:cs="Calibri"/>
        </w:rPr>
        <w:t> 44 odst. 1 písm. b)</w:t>
      </w:r>
      <w:r w:rsidR="002441BB">
        <w:rPr>
          <w:rFonts w:ascii="Calibri" w:hAnsi="Calibri" w:cs="Calibri"/>
        </w:rPr>
        <w:t xml:space="preserve"> zákona</w:t>
      </w:r>
      <w:r w:rsidRPr="005E3711">
        <w:rPr>
          <w:rFonts w:ascii="Calibri" w:hAnsi="Calibri" w:cs="Calibri"/>
        </w:rPr>
        <w:t xml:space="preserve"> č. 218/2000 Sb.</w:t>
      </w:r>
    </w:p>
    <w:p w14:paraId="678891A0" w14:textId="23BE5138" w:rsidR="0060250E" w:rsidRDefault="0060250E">
      <w:pPr>
        <w:rPr>
          <w:rFonts w:asciiTheme="minorHAnsi" w:hAnsiTheme="minorHAnsi" w:cstheme="minorHAnsi"/>
          <w:b/>
          <w:color w:val="000000"/>
        </w:rPr>
      </w:pPr>
    </w:p>
    <w:p w14:paraId="61A6404A" w14:textId="23C9078B" w:rsidR="008957A1" w:rsidRDefault="008957A1" w:rsidP="00D867DA">
      <w:pPr>
        <w:spacing w:after="120"/>
        <w:jc w:val="both"/>
        <w:rPr>
          <w:rFonts w:asciiTheme="minorHAnsi" w:hAnsiTheme="minorHAnsi" w:cstheme="minorHAnsi"/>
          <w:b/>
          <w:color w:val="000000"/>
        </w:rPr>
      </w:pPr>
    </w:p>
    <w:p w14:paraId="63B61599" w14:textId="77777777" w:rsidR="00C060E2" w:rsidRDefault="00C060E2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6B4635B2" w14:textId="77777777" w:rsidR="00C060E2" w:rsidRDefault="00C060E2" w:rsidP="00C060E2">
      <w:pPr>
        <w:pStyle w:val="Odstavecseseznamem"/>
        <w:spacing w:after="120"/>
        <w:ind w:left="0"/>
        <w:jc w:val="both"/>
        <w:rPr>
          <w:rFonts w:ascii="Calibri" w:hAnsi="Calibri" w:cs="Calibri"/>
          <w:b/>
        </w:rPr>
      </w:pPr>
      <w:r w:rsidRPr="0039314F">
        <w:rPr>
          <w:rFonts w:ascii="Calibri" w:hAnsi="Calibri" w:cs="Calibri"/>
          <w:b/>
        </w:rPr>
        <w:t>Seznam zkratek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C060E2" w:rsidRPr="001C3B0C" w14:paraId="6DA47046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6CF84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CIIRC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403D8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Český institut informatiky, robotiky a kybernetiky (ČVUT)</w:t>
            </w:r>
          </w:p>
        </w:tc>
      </w:tr>
      <w:tr w:rsidR="00C060E2" w:rsidRPr="001C3B0C" w14:paraId="03E8A320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4228B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CMTF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E04BC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Cyrilometodějská teologická fakulta (UPOL)</w:t>
            </w:r>
          </w:p>
        </w:tc>
      </w:tr>
      <w:tr w:rsidR="00C060E2" w:rsidRPr="001C3B0C" w14:paraId="409828FB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BBCC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ČR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F4B49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Česká republika</w:t>
            </w:r>
          </w:p>
        </w:tc>
      </w:tr>
      <w:tr w:rsidR="00C060E2" w:rsidRPr="001C3B0C" w14:paraId="455BE9DB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8E998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ČVUT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63FD6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České vysoké učení technické v Praze</w:t>
            </w:r>
          </w:p>
        </w:tc>
      </w:tr>
      <w:tr w:rsidR="00C060E2" w:rsidRPr="001C3B0C" w14:paraId="5BADB664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74CB9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DP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75110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dokumentace programu</w:t>
            </w:r>
          </w:p>
        </w:tc>
      </w:tr>
      <w:tr w:rsidR="00C060E2" w:rsidRPr="001C3B0C" w14:paraId="1DD9CD39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B0387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DPH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32CC9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daň z přidané hodnoty</w:t>
            </w:r>
          </w:p>
        </w:tc>
      </w:tr>
      <w:tr w:rsidR="00C060E2" w:rsidRPr="001C3B0C" w14:paraId="035D28A3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2D202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EDS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6972" w14:textId="01156978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evidenční dotační systém</w:t>
            </w:r>
          </w:p>
        </w:tc>
      </w:tr>
      <w:tr w:rsidR="00C060E2" w:rsidRPr="001C3B0C" w14:paraId="5D79A005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CB01C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EU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CF32B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Evropská unie</w:t>
            </w:r>
          </w:p>
        </w:tc>
      </w:tr>
      <w:tr w:rsidR="00C060E2" w:rsidRPr="001C3B0C" w14:paraId="382FFC9B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D322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IZ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C87BC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investiční záměr</w:t>
            </w:r>
          </w:p>
        </w:tc>
      </w:tr>
      <w:tr w:rsidR="00C060E2" w:rsidRPr="001C3B0C" w14:paraId="38AC11BA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FAA0D3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koncepční záměr MŠMT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88250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8A7C7B">
              <w:rPr>
                <w:rFonts w:ascii="Calibri" w:hAnsi="Calibri" w:cs="Calibri"/>
              </w:rPr>
              <w:t>dlouhodobý záměr vzdělávací a vědecké, výzkumné, vývojové, umělecké a další tvůrčí činnosti pro oblast vysokých škol</w:t>
            </w:r>
          </w:p>
        </w:tc>
      </w:tr>
      <w:tr w:rsidR="00C060E2" w:rsidRPr="001C3B0C" w14:paraId="456A7A58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0DE2B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koncepční záměry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7EA0B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8A7C7B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>louhodobé</w:t>
            </w:r>
            <w:r w:rsidRPr="008A7C7B">
              <w:rPr>
                <w:rFonts w:ascii="Calibri" w:hAnsi="Calibri" w:cs="Calibri"/>
              </w:rPr>
              <w:t xml:space="preserve"> záměr</w:t>
            </w:r>
            <w:r>
              <w:rPr>
                <w:rFonts w:ascii="Calibri" w:hAnsi="Calibri" w:cs="Calibri"/>
              </w:rPr>
              <w:t>y</w:t>
            </w:r>
            <w:r w:rsidRPr="008A7C7B">
              <w:rPr>
                <w:rFonts w:ascii="Calibri" w:hAnsi="Calibri" w:cs="Calibri"/>
              </w:rPr>
              <w:t xml:space="preserve"> vzdělávací a vědecké, výzkumné, vývojové, u</w:t>
            </w:r>
            <w:r>
              <w:rPr>
                <w:rFonts w:ascii="Calibri" w:hAnsi="Calibri" w:cs="Calibri"/>
              </w:rPr>
              <w:t>mělecké a další tvůrčí činnosti (VVŠ)</w:t>
            </w:r>
          </w:p>
        </w:tc>
      </w:tr>
      <w:tr w:rsidR="00C060E2" w:rsidRPr="001C3B0C" w14:paraId="2843A081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4D59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MŠMT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1ED4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Ministerstvo školství, mládeže a tělovýchovy</w:t>
            </w:r>
          </w:p>
        </w:tc>
      </w:tr>
      <w:tr w:rsidR="00C060E2" w:rsidRPr="001C3B0C" w14:paraId="64CA86B2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4782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NKÚ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2D7B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Nejvyšší kontrolní úřad</w:t>
            </w:r>
          </w:p>
        </w:tc>
      </w:tr>
      <w:tr w:rsidR="00C060E2" w:rsidRPr="001C3B0C" w14:paraId="690CEAA0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E51A6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OP </w:t>
            </w:r>
            <w:proofErr w:type="spellStart"/>
            <w:r>
              <w:rPr>
                <w:rFonts w:asciiTheme="minorHAnsi" w:hAnsiTheme="minorHAnsi" w:cstheme="minorHAnsi"/>
                <w:color w:val="000000"/>
              </w:rPr>
              <w:t>VaVpI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F3839" w14:textId="77777777" w:rsidR="00C060E2" w:rsidRPr="0039314F" w:rsidRDefault="00C060E2" w:rsidP="00DB663B">
            <w:pPr>
              <w:rPr>
                <w:rFonts w:ascii="Calibri" w:hAnsi="Calibri" w:cstheme="minorHAnsi"/>
                <w:i/>
              </w:rPr>
            </w:pPr>
            <w:r>
              <w:rPr>
                <w:rFonts w:ascii="Calibri" w:hAnsi="Calibri" w:cstheme="minorHAnsi"/>
              </w:rPr>
              <w:t xml:space="preserve">operační program </w:t>
            </w:r>
            <w:r>
              <w:rPr>
                <w:rFonts w:ascii="Calibri" w:hAnsi="Calibri" w:cstheme="minorHAnsi"/>
                <w:i/>
              </w:rPr>
              <w:t>Výzkum a vývoj pro inovace</w:t>
            </w:r>
          </w:p>
        </w:tc>
      </w:tr>
      <w:tr w:rsidR="00C060E2" w:rsidRPr="001C3B0C" w14:paraId="16FFCAD2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91E926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plánované akce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A154C" w14:textId="57F71C40" w:rsidR="00C060E2" w:rsidRDefault="00C060E2" w:rsidP="00DB663B">
            <w:pPr>
              <w:rPr>
                <w:rFonts w:ascii="Calibri" w:hAnsi="Calibr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akce uvedené v DP jako konkrétní cíle podprogramu</w:t>
            </w:r>
            <w:r w:rsidR="008F1053">
              <w:rPr>
                <w:rFonts w:asciiTheme="minorHAnsi" w:hAnsiTheme="minorHAnsi" w:cstheme="minorHAnsi"/>
                <w:color w:val="000000"/>
              </w:rPr>
              <w:t>,</w:t>
            </w:r>
            <w:r>
              <w:rPr>
                <w:rFonts w:asciiTheme="minorHAnsi" w:hAnsiTheme="minorHAnsi" w:cstheme="minorHAnsi"/>
                <w:color w:val="000000"/>
              </w:rPr>
              <w:t xml:space="preserve"> resp. programu</w:t>
            </w:r>
          </w:p>
        </w:tc>
      </w:tr>
      <w:tr w:rsidR="00C060E2" w:rsidRPr="001C3B0C" w14:paraId="0BA556CD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149554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podprogram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1BCD1" w14:textId="77777777" w:rsidR="00C060E2" w:rsidRPr="004F6355" w:rsidRDefault="00C060E2" w:rsidP="00DB663B">
            <w:pPr>
              <w:rPr>
                <w:rFonts w:ascii="Calibri" w:hAnsi="Calibri" w:cstheme="minorHAnsi"/>
              </w:rPr>
            </w:pPr>
            <w:r>
              <w:rPr>
                <w:rFonts w:ascii="Calibri" w:hAnsi="Calibri" w:cstheme="minorHAnsi"/>
              </w:rPr>
              <w:t>část programu, sloužící k zabezpečení realizace cílů jedné VVŠ</w:t>
            </w:r>
          </w:p>
        </w:tc>
      </w:tr>
      <w:tr w:rsidR="00C060E2" w:rsidRPr="001C3B0C" w14:paraId="115BD937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FFA4C7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program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149DF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4F6355">
              <w:rPr>
                <w:rFonts w:ascii="Calibri" w:hAnsi="Calibri" w:cstheme="minorHAnsi"/>
              </w:rPr>
              <w:t>program</w:t>
            </w:r>
            <w:r>
              <w:rPr>
                <w:rFonts w:ascii="Calibri" w:hAnsi="Calibri" w:cstheme="minorHAnsi"/>
              </w:rPr>
              <w:t xml:space="preserve"> 133 210 </w:t>
            </w:r>
            <w:r w:rsidRPr="004F6355">
              <w:rPr>
                <w:rFonts w:ascii="Calibri" w:hAnsi="Calibri" w:cstheme="minorHAnsi"/>
              </w:rPr>
              <w:t xml:space="preserve">– </w:t>
            </w:r>
            <w:r>
              <w:rPr>
                <w:rFonts w:ascii="Calibri" w:hAnsi="Calibri" w:cstheme="minorHAnsi"/>
                <w:i/>
              </w:rPr>
              <w:t>Rozvoj a </w:t>
            </w:r>
            <w:r w:rsidRPr="004F6355">
              <w:rPr>
                <w:rFonts w:ascii="Calibri" w:hAnsi="Calibri" w:cstheme="minorHAnsi"/>
                <w:i/>
              </w:rPr>
              <w:t>obnova materiálně technické základny veřejných vysokých škol</w:t>
            </w:r>
          </w:p>
        </w:tc>
      </w:tr>
      <w:tr w:rsidR="00C060E2" w:rsidRPr="001C3B0C" w14:paraId="1D74B66D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C75C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SR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C69F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 w:rsidRPr="007D6D39">
              <w:rPr>
                <w:rFonts w:asciiTheme="minorHAnsi" w:hAnsiTheme="minorHAnsi" w:cstheme="minorHAnsi"/>
                <w:color w:val="000000"/>
              </w:rPr>
              <w:t>státní rozpočet</w:t>
            </w:r>
          </w:p>
        </w:tc>
      </w:tr>
      <w:tr w:rsidR="00C060E2" w:rsidRPr="001C3B0C" w14:paraId="17AABE33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74652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UHK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17FA5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Univerzita Hradec Králové</w:t>
            </w:r>
          </w:p>
        </w:tc>
      </w:tr>
      <w:tr w:rsidR="00C060E2" w:rsidRPr="001C3B0C" w14:paraId="78AA1194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7B87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UPOL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AB14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Univerzita Palackého v Olomouci</w:t>
            </w:r>
          </w:p>
        </w:tc>
      </w:tr>
      <w:tr w:rsidR="00C060E2" w:rsidRPr="001C3B0C" w14:paraId="1EF570D0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4983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VUT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DEC0D" w14:textId="77777777" w:rsidR="00C060E2" w:rsidRPr="007D6D39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Vysoké učení technické v Brně</w:t>
            </w:r>
          </w:p>
        </w:tc>
      </w:tr>
      <w:tr w:rsidR="00C060E2" w:rsidRPr="001C3B0C" w14:paraId="7CDA1622" w14:textId="77777777" w:rsidTr="00C775AA">
        <w:trPr>
          <w:trHeight w:val="301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596FB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VVŠ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DF699" w14:textId="77777777" w:rsidR="00C060E2" w:rsidRDefault="00C060E2" w:rsidP="00DB663B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veřejná vysoká škola</w:t>
            </w:r>
          </w:p>
        </w:tc>
      </w:tr>
    </w:tbl>
    <w:p w14:paraId="55900C4A" w14:textId="77777777" w:rsidR="00C060E2" w:rsidRPr="001C3B0C" w:rsidRDefault="00C060E2" w:rsidP="00C060E2">
      <w:pPr>
        <w:jc w:val="both"/>
        <w:rPr>
          <w:rFonts w:asciiTheme="minorHAnsi" w:hAnsiTheme="minorHAnsi" w:cstheme="minorHAnsi"/>
          <w:b/>
        </w:rPr>
      </w:pPr>
    </w:p>
    <w:p w14:paraId="6D6B1D3B" w14:textId="1601F238" w:rsidR="005F13B9" w:rsidRDefault="005F13B9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0C1F377C" w14:textId="6F292200" w:rsidR="00D867DA" w:rsidRPr="00D867DA" w:rsidRDefault="00D867DA" w:rsidP="00C775AA">
      <w:pPr>
        <w:spacing w:after="120"/>
        <w:jc w:val="right"/>
        <w:rPr>
          <w:rFonts w:asciiTheme="minorHAnsi" w:hAnsiTheme="minorHAnsi" w:cstheme="minorHAnsi"/>
          <w:b/>
          <w:color w:val="000000"/>
        </w:rPr>
      </w:pPr>
      <w:r w:rsidRPr="00D867DA">
        <w:rPr>
          <w:rFonts w:asciiTheme="minorHAnsi" w:hAnsiTheme="minorHAnsi" w:cstheme="minorHAnsi"/>
          <w:b/>
          <w:color w:val="000000"/>
        </w:rPr>
        <w:t>Příloha č. 1</w:t>
      </w:r>
    </w:p>
    <w:p w14:paraId="7C7B630D" w14:textId="6ED254C8" w:rsidR="008F4358" w:rsidRDefault="00D867DA" w:rsidP="00C543FC">
      <w:pPr>
        <w:jc w:val="both"/>
        <w:rPr>
          <w:rFonts w:asciiTheme="minorHAnsi" w:hAnsiTheme="minorHAnsi" w:cstheme="minorHAnsi"/>
        </w:rPr>
      </w:pPr>
      <w:r w:rsidRPr="00D867DA">
        <w:rPr>
          <w:rFonts w:asciiTheme="minorHAnsi" w:hAnsiTheme="minorHAnsi" w:cstheme="minorHAnsi"/>
          <w:b/>
          <w:color w:val="000000"/>
        </w:rPr>
        <w:t>Přehled kont</w:t>
      </w:r>
      <w:r w:rsidR="001E0D64">
        <w:rPr>
          <w:rFonts w:asciiTheme="minorHAnsi" w:hAnsiTheme="minorHAnsi" w:cstheme="minorHAnsi"/>
          <w:b/>
          <w:color w:val="000000"/>
        </w:rPr>
        <w:t>rolovaných akcí programu</w:t>
      </w:r>
    </w:p>
    <w:p w14:paraId="66212B7E" w14:textId="3CBEBD92" w:rsidR="00D867DA" w:rsidRPr="00C37C6A" w:rsidRDefault="00D867DA" w:rsidP="008F4358">
      <w:pPr>
        <w:jc w:val="right"/>
        <w:rPr>
          <w:rFonts w:asciiTheme="minorHAnsi" w:hAnsiTheme="minorHAnsi" w:cstheme="minorHAnsi"/>
          <w:b/>
          <w:color w:val="000000"/>
        </w:rPr>
      </w:pPr>
      <w:r w:rsidRPr="00C775AA">
        <w:rPr>
          <w:rFonts w:asciiTheme="minorHAnsi" w:hAnsiTheme="minorHAnsi" w:cstheme="minorHAnsi"/>
          <w:b/>
        </w:rPr>
        <w:t>(v mil. Kč)</w:t>
      </w:r>
    </w:p>
    <w:tbl>
      <w:tblPr>
        <w:tblW w:w="4941" w:type="pct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2621"/>
        <w:gridCol w:w="907"/>
        <w:gridCol w:w="907"/>
        <w:gridCol w:w="912"/>
        <w:gridCol w:w="1009"/>
        <w:gridCol w:w="1114"/>
      </w:tblGrid>
      <w:tr w:rsidR="00C543FC" w:rsidRPr="00DA0BDE" w14:paraId="7DCFA6A9" w14:textId="77777777" w:rsidTr="00AA24DE">
        <w:trPr>
          <w:trHeight w:val="454"/>
          <w:jc w:val="center"/>
        </w:trPr>
        <w:tc>
          <w:tcPr>
            <w:tcW w:w="896" w:type="pct"/>
            <w:shd w:val="clear" w:color="auto" w:fill="DBE5F1" w:themeFill="accent1" w:themeFillTint="33"/>
            <w:vAlign w:val="center"/>
          </w:tcPr>
          <w:p w14:paraId="37D50C48" w14:textId="16D7156C" w:rsidR="00D867DA" w:rsidRPr="00C775AA" w:rsidRDefault="00D867DA" w:rsidP="00D867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Číslo akce</w:t>
            </w:r>
          </w:p>
        </w:tc>
        <w:tc>
          <w:tcPr>
            <w:tcW w:w="1440" w:type="pct"/>
            <w:shd w:val="clear" w:color="auto" w:fill="DBE5F1" w:themeFill="accent1" w:themeFillTint="33"/>
            <w:vAlign w:val="center"/>
          </w:tcPr>
          <w:p w14:paraId="4323828A" w14:textId="027EB144" w:rsidR="00D867DA" w:rsidRPr="00C775AA" w:rsidRDefault="00D867DA" w:rsidP="00D867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Název akce</w:t>
            </w:r>
          </w:p>
        </w:tc>
        <w:tc>
          <w:tcPr>
            <w:tcW w:w="498" w:type="pct"/>
            <w:shd w:val="clear" w:color="auto" w:fill="DBE5F1" w:themeFill="accent1" w:themeFillTint="33"/>
            <w:vAlign w:val="center"/>
          </w:tcPr>
          <w:p w14:paraId="7E9171E1" w14:textId="26678C25" w:rsidR="00D867DA" w:rsidRPr="00C775AA" w:rsidRDefault="00C543FC" w:rsidP="00C543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Příjemce dotace</w:t>
            </w:r>
          </w:p>
        </w:tc>
        <w:tc>
          <w:tcPr>
            <w:tcW w:w="498" w:type="pct"/>
            <w:shd w:val="clear" w:color="auto" w:fill="DBE5F1" w:themeFill="accent1" w:themeFillTint="33"/>
            <w:vAlign w:val="center"/>
            <w:hideMark/>
          </w:tcPr>
          <w:p w14:paraId="45286801" w14:textId="30DBE29D" w:rsidR="00D867DA" w:rsidRPr="00C775AA" w:rsidRDefault="00D867DA" w:rsidP="00D867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Výdaje celkem</w:t>
            </w:r>
          </w:p>
        </w:tc>
        <w:tc>
          <w:tcPr>
            <w:tcW w:w="501" w:type="pct"/>
            <w:shd w:val="clear" w:color="auto" w:fill="DBE5F1" w:themeFill="accent1" w:themeFillTint="33"/>
            <w:vAlign w:val="center"/>
            <w:hideMark/>
          </w:tcPr>
          <w:p w14:paraId="3A2ACEDF" w14:textId="77777777" w:rsidR="00D867DA" w:rsidRPr="00C775AA" w:rsidRDefault="00D867DA" w:rsidP="00D867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Účast SR</w:t>
            </w:r>
          </w:p>
        </w:tc>
        <w:tc>
          <w:tcPr>
            <w:tcW w:w="554" w:type="pct"/>
            <w:shd w:val="clear" w:color="auto" w:fill="DBE5F1" w:themeFill="accent1" w:themeFillTint="33"/>
            <w:vAlign w:val="center"/>
          </w:tcPr>
          <w:p w14:paraId="174F190E" w14:textId="77777777" w:rsidR="00D867DA" w:rsidRPr="00C775AA" w:rsidRDefault="00D867DA" w:rsidP="00D867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Výdaje SR do 2016</w:t>
            </w: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*</w:t>
            </w:r>
          </w:p>
        </w:tc>
        <w:tc>
          <w:tcPr>
            <w:tcW w:w="612" w:type="pct"/>
            <w:shd w:val="clear" w:color="auto" w:fill="DBE5F1" w:themeFill="accent1" w:themeFillTint="33"/>
            <w:vAlign w:val="center"/>
            <w:hideMark/>
          </w:tcPr>
          <w:p w14:paraId="5080F1F8" w14:textId="4D972ED6" w:rsidR="00D867DA" w:rsidRPr="00C775AA" w:rsidRDefault="00D867DA" w:rsidP="006A6C4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Realizace akce </w:t>
            </w:r>
            <w:proofErr w:type="gramStart"/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</w:t>
            </w:r>
            <w:proofErr w:type="gramEnd"/>
            <w:r w:rsidR="006A6C4C"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</w:t>
            </w:r>
            <w:proofErr w:type="gramStart"/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</w:t>
            </w:r>
            <w:proofErr w:type="gramEnd"/>
          </w:p>
        </w:tc>
      </w:tr>
      <w:tr w:rsidR="00C543FC" w:rsidRPr="00DA0BDE" w14:paraId="1D34C3FA" w14:textId="77777777" w:rsidTr="00AA24DE">
        <w:trPr>
          <w:trHeight w:val="397"/>
          <w:jc w:val="center"/>
        </w:trPr>
        <w:tc>
          <w:tcPr>
            <w:tcW w:w="896" w:type="pct"/>
            <w:vAlign w:val="center"/>
          </w:tcPr>
          <w:p w14:paraId="0A56FD37" w14:textId="545D8608" w:rsidR="00D867DA" w:rsidRPr="00C543FC" w:rsidRDefault="00D867DA" w:rsidP="00C543FC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133D21D003826</w:t>
            </w:r>
          </w:p>
        </w:tc>
        <w:tc>
          <w:tcPr>
            <w:tcW w:w="1440" w:type="pct"/>
            <w:vAlign w:val="center"/>
          </w:tcPr>
          <w:p w14:paraId="59E3DA8B" w14:textId="6CFB76E9" w:rsidR="00D867DA" w:rsidRPr="00C543FC" w:rsidRDefault="00D867DA" w:rsidP="00D867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CIIRC</w:t>
            </w:r>
          </w:p>
        </w:tc>
        <w:tc>
          <w:tcPr>
            <w:tcW w:w="498" w:type="pct"/>
            <w:vAlign w:val="center"/>
          </w:tcPr>
          <w:p w14:paraId="79E3C404" w14:textId="43F9A06D" w:rsidR="00D867DA" w:rsidRPr="00C543FC" w:rsidRDefault="00D867DA" w:rsidP="00D867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ČVUT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59ADC3D4" w14:textId="2CCAC491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1 425,7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7A3E7122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1 000,0</w:t>
            </w:r>
          </w:p>
        </w:tc>
        <w:tc>
          <w:tcPr>
            <w:tcW w:w="554" w:type="pct"/>
            <w:vAlign w:val="center"/>
          </w:tcPr>
          <w:p w14:paraId="48870C61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902,1</w:t>
            </w:r>
          </w:p>
        </w:tc>
        <w:tc>
          <w:tcPr>
            <w:tcW w:w="612" w:type="pct"/>
            <w:shd w:val="clear" w:color="auto" w:fill="auto"/>
            <w:vAlign w:val="center"/>
            <w:hideMark/>
          </w:tcPr>
          <w:p w14:paraId="7FF2B5C8" w14:textId="46678B94" w:rsidR="00D867DA" w:rsidRPr="00C543FC" w:rsidRDefault="00D867DA" w:rsidP="006A6C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2014</w:t>
            </w:r>
            <w:r w:rsidR="006A6C4C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2017</w:t>
            </w:r>
          </w:p>
        </w:tc>
      </w:tr>
      <w:tr w:rsidR="00C543FC" w:rsidRPr="00DA0BDE" w14:paraId="67E43A3A" w14:textId="77777777" w:rsidTr="00AA24DE">
        <w:trPr>
          <w:trHeight w:val="397"/>
          <w:jc w:val="center"/>
        </w:trPr>
        <w:tc>
          <w:tcPr>
            <w:tcW w:w="896" w:type="pct"/>
            <w:vAlign w:val="center"/>
          </w:tcPr>
          <w:p w14:paraId="2930B0AD" w14:textId="22EBCAC8" w:rsidR="00D867DA" w:rsidRPr="00C543FC" w:rsidRDefault="00D867DA" w:rsidP="00C543FC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133D21T003702</w:t>
            </w:r>
          </w:p>
        </w:tc>
        <w:tc>
          <w:tcPr>
            <w:tcW w:w="1440" w:type="pct"/>
            <w:vAlign w:val="center"/>
          </w:tcPr>
          <w:p w14:paraId="6C632279" w14:textId="51FD7B90" w:rsidR="00D867DA" w:rsidRPr="00C543FC" w:rsidRDefault="00D867DA" w:rsidP="00D867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Objekt C, lokalita Na Soutoku</w:t>
            </w:r>
          </w:p>
        </w:tc>
        <w:tc>
          <w:tcPr>
            <w:tcW w:w="498" w:type="pct"/>
            <w:vAlign w:val="center"/>
          </w:tcPr>
          <w:p w14:paraId="0AB19F3A" w14:textId="104D0B3E" w:rsidR="00D867DA" w:rsidRPr="00C543FC" w:rsidRDefault="00D867DA" w:rsidP="00D867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UHK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E11C286" w14:textId="31E3C963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455,9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A608CCA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427,8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505C978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422,0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3A0EE140" w14:textId="59701A27" w:rsidR="00D867DA" w:rsidRPr="00C543FC" w:rsidRDefault="00D867DA" w:rsidP="006A6C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2014</w:t>
            </w:r>
            <w:r w:rsidR="006A6C4C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2017</w:t>
            </w:r>
          </w:p>
        </w:tc>
      </w:tr>
      <w:tr w:rsidR="00C543FC" w:rsidRPr="00DA0BDE" w14:paraId="127942E1" w14:textId="77777777" w:rsidTr="00AA24DE">
        <w:trPr>
          <w:trHeight w:val="397"/>
          <w:jc w:val="center"/>
        </w:trPr>
        <w:tc>
          <w:tcPr>
            <w:tcW w:w="896" w:type="pct"/>
            <w:vAlign w:val="center"/>
          </w:tcPr>
          <w:p w14:paraId="52BFD020" w14:textId="4ACF2762" w:rsidR="00D867DA" w:rsidRPr="00C543FC" w:rsidRDefault="00D867DA" w:rsidP="00C543FC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133D21M004301</w:t>
            </w:r>
          </w:p>
        </w:tc>
        <w:tc>
          <w:tcPr>
            <w:tcW w:w="1440" w:type="pct"/>
            <w:vAlign w:val="center"/>
          </w:tcPr>
          <w:p w14:paraId="3CE7FC6F" w14:textId="548E01AB" w:rsidR="00D867DA" w:rsidRPr="00C543FC" w:rsidRDefault="00D867DA" w:rsidP="00D867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Rekonstrukce opláštění </w:t>
            </w:r>
            <w:r w:rsidR="0039314F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 xml:space="preserve">objektu </w:t>
            </w:r>
            <w:r w:rsidRPr="00C543F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A1, Technická 2, Brno</w:t>
            </w:r>
          </w:p>
        </w:tc>
        <w:tc>
          <w:tcPr>
            <w:tcW w:w="498" w:type="pct"/>
            <w:vAlign w:val="center"/>
          </w:tcPr>
          <w:p w14:paraId="4A52781B" w14:textId="26C2DD88" w:rsidR="00D867DA" w:rsidRPr="00C543FC" w:rsidRDefault="00D867DA" w:rsidP="00D867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VUT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68517A66" w14:textId="5B3639C1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604,1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18D19AE3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459,1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C2FA54C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459,1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0AE51C3F" w14:textId="2361C59A" w:rsidR="00D867DA" w:rsidRPr="00C543FC" w:rsidRDefault="00D867DA" w:rsidP="006A6C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2012</w:t>
            </w:r>
            <w:r w:rsidR="006A6C4C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2016</w:t>
            </w:r>
          </w:p>
        </w:tc>
      </w:tr>
      <w:tr w:rsidR="00C543FC" w:rsidRPr="00DA0BDE" w14:paraId="7A28334D" w14:textId="77777777" w:rsidTr="00AA24DE">
        <w:trPr>
          <w:trHeight w:val="397"/>
          <w:jc w:val="center"/>
        </w:trPr>
        <w:tc>
          <w:tcPr>
            <w:tcW w:w="896" w:type="pct"/>
            <w:vAlign w:val="center"/>
          </w:tcPr>
          <w:p w14:paraId="56970C3A" w14:textId="0826B472" w:rsidR="00D867DA" w:rsidRPr="00C543FC" w:rsidRDefault="00D867DA" w:rsidP="00C543FC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133D21Q001101</w:t>
            </w:r>
          </w:p>
        </w:tc>
        <w:tc>
          <w:tcPr>
            <w:tcW w:w="1440" w:type="pct"/>
            <w:vAlign w:val="center"/>
          </w:tcPr>
          <w:p w14:paraId="70762406" w14:textId="01740A83" w:rsidR="00D867DA" w:rsidRPr="00C543FC" w:rsidRDefault="00D867DA" w:rsidP="00D867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Rekonstrukce části objektu CMTF Univerzitní 22, Olomouc</w:t>
            </w:r>
          </w:p>
        </w:tc>
        <w:tc>
          <w:tcPr>
            <w:tcW w:w="498" w:type="pct"/>
            <w:vAlign w:val="center"/>
          </w:tcPr>
          <w:p w14:paraId="36F5829C" w14:textId="33BE8EF6" w:rsidR="00D867DA" w:rsidRPr="00C543FC" w:rsidRDefault="00D867DA" w:rsidP="00D867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UPOL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4DBCE734" w14:textId="58D6793A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15,7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2FE9BF1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13,8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CB15586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13,8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1A2AE1E1" w14:textId="0DC9F6EF" w:rsidR="00D867DA" w:rsidRPr="00C543FC" w:rsidRDefault="00D867DA" w:rsidP="006A6C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2014</w:t>
            </w:r>
            <w:r w:rsidR="006A6C4C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2016</w:t>
            </w:r>
          </w:p>
        </w:tc>
      </w:tr>
      <w:tr w:rsidR="00C543FC" w:rsidRPr="00DA0BDE" w14:paraId="09E47E34" w14:textId="77777777" w:rsidTr="00AA24DE">
        <w:trPr>
          <w:trHeight w:val="397"/>
          <w:jc w:val="center"/>
        </w:trPr>
        <w:tc>
          <w:tcPr>
            <w:tcW w:w="896" w:type="pct"/>
            <w:vAlign w:val="center"/>
          </w:tcPr>
          <w:p w14:paraId="18F34A52" w14:textId="4FE524B9" w:rsidR="00D867DA" w:rsidRPr="00C543FC" w:rsidRDefault="00D867DA" w:rsidP="00C543FC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133D21Q001102</w:t>
            </w:r>
          </w:p>
        </w:tc>
        <w:tc>
          <w:tcPr>
            <w:tcW w:w="1440" w:type="pct"/>
            <w:vAlign w:val="center"/>
          </w:tcPr>
          <w:p w14:paraId="5C3E65D7" w14:textId="5A973C45" w:rsidR="00D867DA" w:rsidRPr="00C543FC" w:rsidRDefault="00D867DA" w:rsidP="00D867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Rekonstrukce objektu Křížkovského 10, Olomouc</w:t>
            </w:r>
          </w:p>
        </w:tc>
        <w:tc>
          <w:tcPr>
            <w:tcW w:w="498" w:type="pct"/>
            <w:vAlign w:val="center"/>
          </w:tcPr>
          <w:p w14:paraId="39C2E3E1" w14:textId="4A9FF64E" w:rsidR="00D867DA" w:rsidRPr="00C543FC" w:rsidRDefault="00D867DA" w:rsidP="00D867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UPOL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F377ADC" w14:textId="03A05AAA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244,4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0E714C60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240,0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B8BBB7E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54,3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2AA4A897" w14:textId="04CFC96C" w:rsidR="00D867DA" w:rsidRPr="00C543FC" w:rsidRDefault="00D867DA" w:rsidP="006A6C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2014</w:t>
            </w:r>
            <w:r w:rsidR="006A6C4C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2017</w:t>
            </w:r>
          </w:p>
        </w:tc>
      </w:tr>
      <w:tr w:rsidR="00C543FC" w:rsidRPr="00DA0BDE" w14:paraId="19B01E49" w14:textId="77777777" w:rsidTr="00AA24DE">
        <w:trPr>
          <w:trHeight w:val="397"/>
          <w:jc w:val="center"/>
        </w:trPr>
        <w:tc>
          <w:tcPr>
            <w:tcW w:w="896" w:type="pct"/>
            <w:vAlign w:val="center"/>
          </w:tcPr>
          <w:p w14:paraId="135485E5" w14:textId="24BEA699" w:rsidR="00D867DA" w:rsidRPr="00C543FC" w:rsidRDefault="00D867DA" w:rsidP="00C543FC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133D21Q001104</w:t>
            </w:r>
          </w:p>
        </w:tc>
        <w:tc>
          <w:tcPr>
            <w:tcW w:w="1440" w:type="pct"/>
            <w:vAlign w:val="center"/>
          </w:tcPr>
          <w:p w14:paraId="0399101B" w14:textId="791F258F" w:rsidR="00D867DA" w:rsidRPr="00C543FC" w:rsidRDefault="00D867DA" w:rsidP="00D867D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Rekonstrukce objektu Na Hradě 5, Olomouc</w:t>
            </w:r>
          </w:p>
        </w:tc>
        <w:tc>
          <w:tcPr>
            <w:tcW w:w="498" w:type="pct"/>
            <w:vAlign w:val="center"/>
          </w:tcPr>
          <w:p w14:paraId="7D76C433" w14:textId="726A5077" w:rsidR="00D867DA" w:rsidRPr="00C543FC" w:rsidRDefault="00D867DA" w:rsidP="00D867D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UPOL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760625E0" w14:textId="04AD0A74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124,0</w:t>
            </w:r>
          </w:p>
        </w:tc>
        <w:tc>
          <w:tcPr>
            <w:tcW w:w="501" w:type="pct"/>
            <w:shd w:val="clear" w:color="auto" w:fill="auto"/>
            <w:vAlign w:val="center"/>
          </w:tcPr>
          <w:p w14:paraId="64E7FD68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56,2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2F16283" w14:textId="77777777" w:rsidR="00D867DA" w:rsidRPr="00C543FC" w:rsidRDefault="00D867DA" w:rsidP="00D867DA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612" w:type="pct"/>
            <w:shd w:val="clear" w:color="auto" w:fill="auto"/>
            <w:vAlign w:val="center"/>
          </w:tcPr>
          <w:p w14:paraId="715D0C5C" w14:textId="097176DD" w:rsidR="00D867DA" w:rsidRPr="00C543FC" w:rsidRDefault="00D867DA" w:rsidP="006A6C4C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2016</w:t>
            </w:r>
            <w:r w:rsidR="006A6C4C"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C543FC">
              <w:rPr>
                <w:rFonts w:asciiTheme="minorHAnsi" w:hAnsiTheme="minorHAnsi" w:cstheme="minorHAnsi"/>
                <w:bCs/>
                <w:sz w:val="20"/>
                <w:szCs w:val="20"/>
              </w:rPr>
              <w:t>2017</w:t>
            </w:r>
          </w:p>
        </w:tc>
      </w:tr>
      <w:tr w:rsidR="00C543FC" w:rsidRPr="00DA0BDE" w14:paraId="4B0297CB" w14:textId="77777777" w:rsidTr="00AA24DE">
        <w:trPr>
          <w:trHeight w:val="397"/>
          <w:jc w:val="center"/>
        </w:trPr>
        <w:tc>
          <w:tcPr>
            <w:tcW w:w="896" w:type="pct"/>
            <w:shd w:val="clear" w:color="auto" w:fill="F2DBDB" w:themeFill="accent2" w:themeFillTint="33"/>
            <w:vAlign w:val="center"/>
          </w:tcPr>
          <w:p w14:paraId="0A2C0AD0" w14:textId="4BD158FE" w:rsidR="00C543FC" w:rsidRPr="00C775AA" w:rsidRDefault="00C543FC" w:rsidP="00C543F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Celkem akce</w:t>
            </w:r>
          </w:p>
        </w:tc>
        <w:tc>
          <w:tcPr>
            <w:tcW w:w="1440" w:type="pct"/>
            <w:shd w:val="clear" w:color="auto" w:fill="F2DBDB" w:themeFill="accent2" w:themeFillTint="33"/>
            <w:vAlign w:val="center"/>
          </w:tcPr>
          <w:p w14:paraId="56A78682" w14:textId="77777777" w:rsidR="00C543FC" w:rsidRPr="00C775AA" w:rsidRDefault="00C543FC" w:rsidP="00D867DA">
            <w:pP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2DBDB" w:themeFill="accent2" w:themeFillTint="33"/>
            <w:vAlign w:val="center"/>
          </w:tcPr>
          <w:p w14:paraId="73E004DC" w14:textId="77777777" w:rsidR="00C543FC" w:rsidRPr="00C775AA" w:rsidRDefault="00C543FC" w:rsidP="00D867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shd w:val="clear" w:color="auto" w:fill="F2DBDB" w:themeFill="accent2" w:themeFillTint="33"/>
            <w:vAlign w:val="center"/>
          </w:tcPr>
          <w:p w14:paraId="742771BE" w14:textId="72BA7F05" w:rsidR="00C543FC" w:rsidRPr="00C775AA" w:rsidRDefault="00C543FC" w:rsidP="00D867D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2 869,8</w:t>
            </w:r>
          </w:p>
        </w:tc>
        <w:tc>
          <w:tcPr>
            <w:tcW w:w="501" w:type="pct"/>
            <w:shd w:val="clear" w:color="auto" w:fill="F2DBDB" w:themeFill="accent2" w:themeFillTint="33"/>
            <w:vAlign w:val="center"/>
          </w:tcPr>
          <w:p w14:paraId="28436FC0" w14:textId="1630F073" w:rsidR="00C543FC" w:rsidRPr="00C775AA" w:rsidRDefault="00C543FC" w:rsidP="00D867D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2 196,9</w:t>
            </w:r>
          </w:p>
        </w:tc>
        <w:tc>
          <w:tcPr>
            <w:tcW w:w="554" w:type="pct"/>
            <w:shd w:val="clear" w:color="auto" w:fill="F2DBDB" w:themeFill="accent2" w:themeFillTint="33"/>
            <w:vAlign w:val="center"/>
          </w:tcPr>
          <w:p w14:paraId="3E22D79E" w14:textId="3150550B" w:rsidR="00C543FC" w:rsidRPr="00C775AA" w:rsidRDefault="00C543FC" w:rsidP="00D867DA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1 851,3</w:t>
            </w:r>
          </w:p>
        </w:tc>
        <w:tc>
          <w:tcPr>
            <w:tcW w:w="612" w:type="pct"/>
            <w:shd w:val="clear" w:color="auto" w:fill="F2DBDB" w:themeFill="accent2" w:themeFillTint="33"/>
            <w:vAlign w:val="center"/>
          </w:tcPr>
          <w:p w14:paraId="59B68B15" w14:textId="77777777" w:rsidR="00C543FC" w:rsidRPr="00C775AA" w:rsidRDefault="00C543FC" w:rsidP="00D867D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8578E17" w14:textId="77777777" w:rsidR="00D867DA" w:rsidRPr="00C543FC" w:rsidRDefault="00D867DA" w:rsidP="006E7DC9">
      <w:pPr>
        <w:spacing w:before="40"/>
        <w:jc w:val="both"/>
        <w:rPr>
          <w:rFonts w:asciiTheme="minorHAnsi" w:hAnsiTheme="minorHAnsi" w:cstheme="minorHAnsi"/>
          <w:sz w:val="20"/>
          <w:szCs w:val="20"/>
        </w:rPr>
      </w:pPr>
      <w:r w:rsidRPr="00F967F8">
        <w:rPr>
          <w:rFonts w:asciiTheme="minorHAnsi" w:hAnsiTheme="minorHAnsi" w:cstheme="minorHAnsi"/>
          <w:b/>
          <w:bCs/>
          <w:sz w:val="20"/>
          <w:szCs w:val="20"/>
        </w:rPr>
        <w:t xml:space="preserve">* </w:t>
      </w:r>
      <w:r w:rsidRPr="00C543FC">
        <w:rPr>
          <w:rFonts w:asciiTheme="minorHAnsi" w:hAnsiTheme="minorHAnsi" w:cstheme="minorHAnsi"/>
          <w:bCs/>
          <w:sz w:val="20"/>
          <w:szCs w:val="20"/>
        </w:rPr>
        <w:t>Výdaje čerpané ze SR na financování akce od počátku její realizace do 31. 12. 2016.</w:t>
      </w:r>
    </w:p>
    <w:p w14:paraId="2526B82F" w14:textId="5149AD6D" w:rsidR="00D867DA" w:rsidRDefault="00D867DA" w:rsidP="00646A88">
      <w:pPr>
        <w:pStyle w:val="Odstavecseseznamem"/>
        <w:spacing w:after="120"/>
        <w:ind w:left="0"/>
        <w:jc w:val="both"/>
        <w:rPr>
          <w:rFonts w:ascii="Calibri" w:hAnsi="Calibri" w:cs="Calibri"/>
          <w:b/>
        </w:rPr>
      </w:pPr>
    </w:p>
    <w:p w14:paraId="65727B60" w14:textId="77777777" w:rsidR="002F068C" w:rsidRDefault="002F068C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3C485114" w14:textId="77777777" w:rsidR="00F6171E" w:rsidRDefault="00F6171E" w:rsidP="00C775AA">
      <w:pPr>
        <w:pStyle w:val="Odstavecseseznamem"/>
        <w:spacing w:after="120"/>
        <w:ind w:left="0" w:right="-427"/>
        <w:jc w:val="righ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Příloha č. 2</w:t>
      </w:r>
    </w:p>
    <w:p w14:paraId="3D5B3A57" w14:textId="5CB4B600" w:rsidR="00F6171E" w:rsidRPr="00E81AF7" w:rsidRDefault="00F6171E" w:rsidP="006E7DC9">
      <w:pPr>
        <w:spacing w:before="120"/>
        <w:ind w:hanging="426"/>
        <w:rPr>
          <w:rFonts w:asciiTheme="minorHAnsi" w:hAnsiTheme="minorHAnsi" w:cstheme="minorHAnsi"/>
          <w:b/>
        </w:rPr>
      </w:pPr>
      <w:r w:rsidRPr="00E81AF7">
        <w:rPr>
          <w:rFonts w:asciiTheme="minorHAnsi" w:hAnsiTheme="minorHAnsi" w:cstheme="minorHAnsi"/>
          <w:b/>
        </w:rPr>
        <w:t xml:space="preserve">Postupné čerpání výdajů státního rozpočtu na </w:t>
      </w:r>
      <w:r>
        <w:rPr>
          <w:rFonts w:asciiTheme="minorHAnsi" w:hAnsiTheme="minorHAnsi" w:cstheme="minorHAnsi"/>
          <w:b/>
        </w:rPr>
        <w:t xml:space="preserve">jednotlivé </w:t>
      </w:r>
      <w:r w:rsidRPr="00E81AF7">
        <w:rPr>
          <w:rFonts w:asciiTheme="minorHAnsi" w:hAnsiTheme="minorHAnsi" w:cstheme="minorHAnsi"/>
          <w:b/>
        </w:rPr>
        <w:t>podprogramy programu</w:t>
      </w:r>
    </w:p>
    <w:p w14:paraId="6FD9FFC8" w14:textId="56CF37FF" w:rsidR="00F6171E" w:rsidRPr="00C775AA" w:rsidRDefault="00F6171E" w:rsidP="008F4358">
      <w:pPr>
        <w:ind w:right="-427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C775AA">
        <w:rPr>
          <w:rFonts w:asciiTheme="minorHAnsi" w:hAnsiTheme="minorHAnsi" w:cstheme="minorHAnsi"/>
          <w:b/>
        </w:rPr>
        <w:t>(v mil. Kč)</w:t>
      </w:r>
    </w:p>
    <w:tbl>
      <w:tblPr>
        <w:tblStyle w:val="Mkatabulky"/>
        <w:tblW w:w="9924" w:type="dxa"/>
        <w:tblInd w:w="-318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134"/>
        <w:gridCol w:w="1133"/>
        <w:gridCol w:w="1135"/>
        <w:gridCol w:w="1417"/>
        <w:gridCol w:w="1063"/>
        <w:gridCol w:w="1489"/>
      </w:tblGrid>
      <w:tr w:rsidR="00F6171E" w:rsidRPr="00810DDA" w14:paraId="5C8FF89C" w14:textId="77777777" w:rsidTr="00310BE6">
        <w:trPr>
          <w:trHeight w:val="660"/>
        </w:trPr>
        <w:tc>
          <w:tcPr>
            <w:tcW w:w="2553" w:type="dxa"/>
            <w:shd w:val="clear" w:color="auto" w:fill="DBE5F1" w:themeFill="accent1" w:themeFillTint="33"/>
            <w:vAlign w:val="center"/>
          </w:tcPr>
          <w:p w14:paraId="1936963E" w14:textId="77777777" w:rsidR="00F6171E" w:rsidRPr="00C775AA" w:rsidRDefault="00F6171E" w:rsidP="008F43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Název podprogramu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5E2E824B" w14:textId="77777777" w:rsidR="00F6171E" w:rsidRPr="00C775AA" w:rsidRDefault="00F6171E" w:rsidP="008F43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Původní DP</w:t>
            </w:r>
          </w:p>
          <w:p w14:paraId="394952CF" w14:textId="64147438" w:rsidR="00F6171E" w:rsidRPr="00C775AA" w:rsidRDefault="00F6171E" w:rsidP="006A6C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2011</w:t>
            </w:r>
            <w:r w:rsidR="006A6C4C"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2016</w:t>
            </w:r>
          </w:p>
        </w:tc>
        <w:tc>
          <w:tcPr>
            <w:tcW w:w="1133" w:type="dxa"/>
            <w:shd w:val="clear" w:color="auto" w:fill="DBE5F1" w:themeFill="accent1" w:themeFillTint="33"/>
            <w:vAlign w:val="center"/>
          </w:tcPr>
          <w:p w14:paraId="4CFAA7B0" w14:textId="77777777" w:rsidR="00F6171E" w:rsidRPr="00C775AA" w:rsidRDefault="00F6171E" w:rsidP="008F43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Výdaje SR</w:t>
            </w:r>
          </w:p>
          <w:p w14:paraId="46FFF8A2" w14:textId="00BFC161" w:rsidR="00F6171E" w:rsidRPr="00C775AA" w:rsidRDefault="00F6171E" w:rsidP="006A6C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2011</w:t>
            </w:r>
            <w:r w:rsidR="006A6C4C"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2013</w:t>
            </w:r>
          </w:p>
        </w:tc>
        <w:tc>
          <w:tcPr>
            <w:tcW w:w="1135" w:type="dxa"/>
            <w:shd w:val="clear" w:color="auto" w:fill="DBE5F1" w:themeFill="accent1" w:themeFillTint="33"/>
            <w:vAlign w:val="center"/>
          </w:tcPr>
          <w:p w14:paraId="64F235B1" w14:textId="2C5F41F8" w:rsidR="00F6171E" w:rsidRPr="00C775AA" w:rsidRDefault="00F6171E" w:rsidP="006A6C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% čerpání původní DP 2011</w:t>
            </w:r>
            <w:r w:rsidR="006A6C4C"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3B02B525" w14:textId="7734DB21" w:rsidR="00F6171E" w:rsidRPr="00C775AA" w:rsidRDefault="00F6171E" w:rsidP="006A6C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Aktualizace DP 2011</w:t>
            </w:r>
            <w:r w:rsidR="006A6C4C"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2019</w:t>
            </w:r>
          </w:p>
        </w:tc>
        <w:tc>
          <w:tcPr>
            <w:tcW w:w="1063" w:type="dxa"/>
            <w:shd w:val="clear" w:color="auto" w:fill="DBE5F1" w:themeFill="accent1" w:themeFillTint="33"/>
            <w:vAlign w:val="center"/>
          </w:tcPr>
          <w:p w14:paraId="71EC3138" w14:textId="77777777" w:rsidR="00F6171E" w:rsidRPr="00C775AA" w:rsidRDefault="00F6171E" w:rsidP="008F435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Výdaje SR</w:t>
            </w:r>
          </w:p>
          <w:p w14:paraId="0D2916F3" w14:textId="4007791F" w:rsidR="00F6171E" w:rsidRPr="00C775AA" w:rsidRDefault="00F6171E" w:rsidP="006A6C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2011</w:t>
            </w:r>
            <w:r w:rsidR="006A6C4C"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2016</w:t>
            </w:r>
          </w:p>
        </w:tc>
        <w:tc>
          <w:tcPr>
            <w:tcW w:w="1489" w:type="dxa"/>
            <w:shd w:val="clear" w:color="auto" w:fill="DBE5F1" w:themeFill="accent1" w:themeFillTint="33"/>
            <w:vAlign w:val="center"/>
          </w:tcPr>
          <w:p w14:paraId="7C622770" w14:textId="6F456094" w:rsidR="00F6171E" w:rsidRPr="00C775AA" w:rsidRDefault="00F6171E" w:rsidP="006A6C4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% čerpání aktualizované DP 2011</w:t>
            </w:r>
            <w:r w:rsidR="006A6C4C"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–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2016</w:t>
            </w:r>
          </w:p>
        </w:tc>
      </w:tr>
      <w:tr w:rsidR="00F6171E" w:rsidRPr="00810DDA" w14:paraId="159B6E01" w14:textId="77777777" w:rsidTr="00310BE6">
        <w:tc>
          <w:tcPr>
            <w:tcW w:w="2553" w:type="dxa"/>
            <w:vAlign w:val="center"/>
          </w:tcPr>
          <w:p w14:paraId="1A415B81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kademie múzických umění v Praze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02DBE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195,0</w:t>
            </w:r>
          </w:p>
        </w:tc>
        <w:tc>
          <w:tcPr>
            <w:tcW w:w="1133" w:type="dxa"/>
            <w:vAlign w:val="center"/>
          </w:tcPr>
          <w:p w14:paraId="7CC7AF9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13,1</w:t>
            </w:r>
          </w:p>
        </w:tc>
        <w:tc>
          <w:tcPr>
            <w:tcW w:w="1135" w:type="dxa"/>
            <w:vAlign w:val="center"/>
          </w:tcPr>
          <w:p w14:paraId="13A8C87E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6,7 %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2054E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302,6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C66E90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307999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54,0 %</w:t>
            </w:r>
          </w:p>
        </w:tc>
      </w:tr>
      <w:tr w:rsidR="00F6171E" w:rsidRPr="00810DDA" w14:paraId="5637B3A7" w14:textId="77777777" w:rsidTr="00310BE6">
        <w:tc>
          <w:tcPr>
            <w:tcW w:w="2553" w:type="dxa"/>
            <w:vAlign w:val="center"/>
          </w:tcPr>
          <w:p w14:paraId="06D7C86D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kademie výtvarných umění v Praze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30A995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125,0</w:t>
            </w:r>
          </w:p>
        </w:tc>
        <w:tc>
          <w:tcPr>
            <w:tcW w:w="1133" w:type="dxa"/>
            <w:vAlign w:val="center"/>
          </w:tcPr>
          <w:p w14:paraId="28E68482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5,0</w:t>
            </w:r>
          </w:p>
        </w:tc>
        <w:tc>
          <w:tcPr>
            <w:tcW w:w="1135" w:type="dxa"/>
            <w:vAlign w:val="center"/>
          </w:tcPr>
          <w:p w14:paraId="2E763EB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4,0 %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134B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B5F635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71B4F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13,2 %</w:t>
            </w:r>
          </w:p>
        </w:tc>
      </w:tr>
      <w:tr w:rsidR="00F6171E" w:rsidRPr="00810DDA" w14:paraId="69C8CAE9" w14:textId="77777777" w:rsidTr="00310BE6">
        <w:tc>
          <w:tcPr>
            <w:tcW w:w="2553" w:type="dxa"/>
            <w:vAlign w:val="center"/>
          </w:tcPr>
          <w:p w14:paraId="31F404A8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eská zemědělská univerzita v Praze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63659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500,0</w:t>
            </w:r>
          </w:p>
        </w:tc>
        <w:tc>
          <w:tcPr>
            <w:tcW w:w="1133" w:type="dxa"/>
            <w:vAlign w:val="center"/>
          </w:tcPr>
          <w:p w14:paraId="753D336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0,2</w:t>
            </w:r>
          </w:p>
        </w:tc>
        <w:tc>
          <w:tcPr>
            <w:tcW w:w="1135" w:type="dxa"/>
            <w:vAlign w:val="center"/>
          </w:tcPr>
          <w:p w14:paraId="47EA302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46A02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620,0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7C1E9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452,3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2AF4A7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73,0 %</w:t>
            </w:r>
          </w:p>
        </w:tc>
      </w:tr>
      <w:tr w:rsidR="00F6171E" w:rsidRPr="00810DDA" w14:paraId="48487CDF" w14:textId="77777777" w:rsidTr="00310BE6">
        <w:tc>
          <w:tcPr>
            <w:tcW w:w="2553" w:type="dxa"/>
            <w:vAlign w:val="center"/>
          </w:tcPr>
          <w:p w14:paraId="571D4D5F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Č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eské vysoké učení technické v Praze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2E119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1 116,0</w:t>
            </w:r>
          </w:p>
        </w:tc>
        <w:tc>
          <w:tcPr>
            <w:tcW w:w="1133" w:type="dxa"/>
            <w:vAlign w:val="center"/>
          </w:tcPr>
          <w:p w14:paraId="7465FD7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368,8</w:t>
            </w:r>
          </w:p>
        </w:tc>
        <w:tc>
          <w:tcPr>
            <w:tcW w:w="1135" w:type="dxa"/>
            <w:vAlign w:val="center"/>
          </w:tcPr>
          <w:p w14:paraId="07BA754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33,0 %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313E85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1 957,8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7382A1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1 586,7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0B4846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81,0 %</w:t>
            </w:r>
          </w:p>
        </w:tc>
      </w:tr>
      <w:tr w:rsidR="00F6171E" w:rsidRPr="00810DDA" w14:paraId="6D311549" w14:textId="77777777" w:rsidTr="00310BE6">
        <w:tc>
          <w:tcPr>
            <w:tcW w:w="2553" w:type="dxa"/>
            <w:vAlign w:val="center"/>
          </w:tcPr>
          <w:p w14:paraId="1FEB50DA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Univerzita Karlova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898CD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4 978,8</w:t>
            </w:r>
          </w:p>
        </w:tc>
        <w:tc>
          <w:tcPr>
            <w:tcW w:w="1133" w:type="dxa"/>
            <w:vAlign w:val="center"/>
          </w:tcPr>
          <w:p w14:paraId="34EDFA0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1,5</w:t>
            </w:r>
          </w:p>
        </w:tc>
        <w:tc>
          <w:tcPr>
            <w:tcW w:w="1135" w:type="dxa"/>
            <w:vAlign w:val="center"/>
          </w:tcPr>
          <w:p w14:paraId="289E1FD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0,0 %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3906A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3 970,6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7C1E6D4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500,1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4C10D8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12,6 %</w:t>
            </w:r>
          </w:p>
        </w:tc>
      </w:tr>
      <w:tr w:rsidR="00F6171E" w:rsidRPr="00810DDA" w14:paraId="65ED250A" w14:textId="77777777" w:rsidTr="00310BE6">
        <w:tc>
          <w:tcPr>
            <w:tcW w:w="2553" w:type="dxa"/>
            <w:vAlign w:val="center"/>
          </w:tcPr>
          <w:p w14:paraId="0F0A8D87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Vysoká škola ekonomická v Praze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43F3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399,0</w:t>
            </w:r>
          </w:p>
        </w:tc>
        <w:tc>
          <w:tcPr>
            <w:tcW w:w="1133" w:type="dxa"/>
            <w:vAlign w:val="center"/>
          </w:tcPr>
          <w:p w14:paraId="2959421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14,4</w:t>
            </w:r>
          </w:p>
        </w:tc>
        <w:tc>
          <w:tcPr>
            <w:tcW w:w="1135" w:type="dxa"/>
            <w:vAlign w:val="center"/>
          </w:tcPr>
          <w:p w14:paraId="604A7AB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3,6 %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3E94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298,0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228EDE2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232,0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73ACD92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77,9 %</w:t>
            </w:r>
          </w:p>
        </w:tc>
      </w:tr>
      <w:tr w:rsidR="00F6171E" w:rsidRPr="00810DDA" w14:paraId="1C5D80F6" w14:textId="77777777" w:rsidTr="00310BE6">
        <w:tc>
          <w:tcPr>
            <w:tcW w:w="2553" w:type="dxa"/>
            <w:vAlign w:val="center"/>
          </w:tcPr>
          <w:p w14:paraId="55B2EA04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ysoká škola chemicko-technologická v Praze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C87F2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266,0</w:t>
            </w:r>
          </w:p>
        </w:tc>
        <w:tc>
          <w:tcPr>
            <w:tcW w:w="1133" w:type="dxa"/>
            <w:vAlign w:val="center"/>
          </w:tcPr>
          <w:p w14:paraId="65C3FED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231,7</w:t>
            </w:r>
          </w:p>
        </w:tc>
        <w:tc>
          <w:tcPr>
            <w:tcW w:w="1135" w:type="dxa"/>
            <w:vAlign w:val="center"/>
          </w:tcPr>
          <w:p w14:paraId="2B149D54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87,1 %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E478D4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330,5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7FC4AA2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288,7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4C81F1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87,4 %</w:t>
            </w:r>
          </w:p>
        </w:tc>
      </w:tr>
      <w:tr w:rsidR="00F6171E" w:rsidRPr="00810DDA" w14:paraId="77237547" w14:textId="77777777" w:rsidTr="00310BE6">
        <w:tc>
          <w:tcPr>
            <w:tcW w:w="2553" w:type="dxa"/>
            <w:vAlign w:val="center"/>
          </w:tcPr>
          <w:p w14:paraId="4A291B68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ysoká škola uměleckoprůmyslová v Praze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D4DE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597,0</w:t>
            </w:r>
          </w:p>
        </w:tc>
        <w:tc>
          <w:tcPr>
            <w:tcW w:w="1133" w:type="dxa"/>
            <w:vAlign w:val="center"/>
          </w:tcPr>
          <w:p w14:paraId="6772910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11,7</w:t>
            </w:r>
          </w:p>
        </w:tc>
        <w:tc>
          <w:tcPr>
            <w:tcW w:w="1135" w:type="dxa"/>
            <w:vAlign w:val="center"/>
          </w:tcPr>
          <w:p w14:paraId="31337C6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2,0 %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38961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595,9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8E206C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22B031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2,0 %</w:t>
            </w:r>
          </w:p>
        </w:tc>
      </w:tr>
      <w:tr w:rsidR="00F6171E" w:rsidRPr="00810DDA" w14:paraId="4E4F5C67" w14:textId="77777777" w:rsidTr="00310BE6">
        <w:tc>
          <w:tcPr>
            <w:tcW w:w="2553" w:type="dxa"/>
            <w:vAlign w:val="center"/>
          </w:tcPr>
          <w:p w14:paraId="26572DD7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anáčkova akademie múzických umění v Brně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64D1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68,2</w:t>
            </w:r>
          </w:p>
        </w:tc>
        <w:tc>
          <w:tcPr>
            <w:tcW w:w="1133" w:type="dxa"/>
            <w:vAlign w:val="center"/>
          </w:tcPr>
          <w:p w14:paraId="30498B0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23,3</w:t>
            </w:r>
          </w:p>
        </w:tc>
        <w:tc>
          <w:tcPr>
            <w:tcW w:w="1135" w:type="dxa"/>
            <w:vAlign w:val="center"/>
          </w:tcPr>
          <w:p w14:paraId="10688E67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34,2 %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2BB1A1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68,2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54A276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46,0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8D6AA4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67,4 %</w:t>
            </w:r>
          </w:p>
        </w:tc>
      </w:tr>
      <w:tr w:rsidR="00F6171E" w:rsidRPr="00810DDA" w14:paraId="543D2BAC" w14:textId="77777777" w:rsidTr="00310BE6">
        <w:tc>
          <w:tcPr>
            <w:tcW w:w="2553" w:type="dxa"/>
            <w:vAlign w:val="center"/>
          </w:tcPr>
          <w:p w14:paraId="5598C9DC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asarykova univerzita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84F315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470,0</w:t>
            </w:r>
          </w:p>
        </w:tc>
        <w:tc>
          <w:tcPr>
            <w:tcW w:w="1133" w:type="dxa"/>
            <w:vAlign w:val="center"/>
          </w:tcPr>
          <w:p w14:paraId="446E57A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0,8</w:t>
            </w:r>
          </w:p>
        </w:tc>
        <w:tc>
          <w:tcPr>
            <w:tcW w:w="1135" w:type="dxa"/>
            <w:vAlign w:val="center"/>
          </w:tcPr>
          <w:p w14:paraId="58247DA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0,2 %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F5320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466,6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B8E1A6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96C62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14,0 %</w:t>
            </w:r>
          </w:p>
        </w:tc>
      </w:tr>
      <w:tr w:rsidR="00F6171E" w:rsidRPr="00810DDA" w14:paraId="52484CD5" w14:textId="77777777" w:rsidTr="00310BE6">
        <w:tc>
          <w:tcPr>
            <w:tcW w:w="2553" w:type="dxa"/>
            <w:vAlign w:val="center"/>
          </w:tcPr>
          <w:p w14:paraId="49C14D56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endelova univerzita v Brně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C0ACA5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139,3</w:t>
            </w:r>
          </w:p>
        </w:tc>
        <w:tc>
          <w:tcPr>
            <w:tcW w:w="1133" w:type="dxa"/>
            <w:vAlign w:val="center"/>
          </w:tcPr>
          <w:p w14:paraId="55ABE59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53,6</w:t>
            </w:r>
          </w:p>
        </w:tc>
        <w:tc>
          <w:tcPr>
            <w:tcW w:w="1135" w:type="dxa"/>
            <w:vAlign w:val="center"/>
          </w:tcPr>
          <w:p w14:paraId="3E93E624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38,5 %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F0B87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217,1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FE1685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142,9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56D043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65,8 %</w:t>
            </w:r>
          </w:p>
        </w:tc>
      </w:tr>
      <w:tr w:rsidR="00F6171E" w:rsidRPr="00810DDA" w14:paraId="3BD01A93" w14:textId="77777777" w:rsidTr="00310BE6">
        <w:tc>
          <w:tcPr>
            <w:tcW w:w="2553" w:type="dxa"/>
            <w:vAlign w:val="center"/>
          </w:tcPr>
          <w:p w14:paraId="3AB87BD1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eterinární a farmaceutická univerzita Brno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72E51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235,0</w:t>
            </w:r>
          </w:p>
        </w:tc>
        <w:tc>
          <w:tcPr>
            <w:tcW w:w="1133" w:type="dxa"/>
            <w:vAlign w:val="center"/>
          </w:tcPr>
          <w:p w14:paraId="1CCC110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5BB619A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03DD6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250,0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5351DDA2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6B07DA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2,4 %</w:t>
            </w:r>
          </w:p>
        </w:tc>
      </w:tr>
      <w:tr w:rsidR="00F6171E" w:rsidRPr="00810DDA" w14:paraId="2BC08A10" w14:textId="77777777" w:rsidTr="00310BE6">
        <w:tc>
          <w:tcPr>
            <w:tcW w:w="2553" w:type="dxa"/>
            <w:vAlign w:val="center"/>
          </w:tcPr>
          <w:p w14:paraId="39983CC3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Vysoké učení technické v Brně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5FE9F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395,0</w:t>
            </w:r>
          </w:p>
        </w:tc>
        <w:tc>
          <w:tcPr>
            <w:tcW w:w="1133" w:type="dxa"/>
            <w:vAlign w:val="center"/>
          </w:tcPr>
          <w:p w14:paraId="1AA0975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30,5</w:t>
            </w:r>
          </w:p>
        </w:tc>
        <w:tc>
          <w:tcPr>
            <w:tcW w:w="1135" w:type="dxa"/>
            <w:vAlign w:val="center"/>
          </w:tcPr>
          <w:p w14:paraId="1DDB4EF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7,7 %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1D39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494,0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6D0257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459,1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A3A5AF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92,9 %</w:t>
            </w:r>
          </w:p>
        </w:tc>
      </w:tr>
      <w:tr w:rsidR="00F6171E" w:rsidRPr="00810DDA" w14:paraId="69E61B90" w14:textId="77777777" w:rsidTr="00310BE6">
        <w:tc>
          <w:tcPr>
            <w:tcW w:w="2553" w:type="dxa"/>
            <w:vAlign w:val="center"/>
          </w:tcPr>
          <w:p w14:paraId="147D5F42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stravská univerzita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C197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208,0</w:t>
            </w:r>
          </w:p>
        </w:tc>
        <w:tc>
          <w:tcPr>
            <w:tcW w:w="1133" w:type="dxa"/>
            <w:vAlign w:val="center"/>
          </w:tcPr>
          <w:p w14:paraId="532A477E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28,0</w:t>
            </w:r>
          </w:p>
        </w:tc>
        <w:tc>
          <w:tcPr>
            <w:tcW w:w="1135" w:type="dxa"/>
            <w:vAlign w:val="center"/>
          </w:tcPr>
          <w:p w14:paraId="1805956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13,5 %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404D3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263,9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2DFA39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103,9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8943C9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39,4 %</w:t>
            </w:r>
          </w:p>
        </w:tc>
      </w:tr>
      <w:tr w:rsidR="00F6171E" w:rsidRPr="00810DDA" w14:paraId="7BBC61BD" w14:textId="77777777" w:rsidTr="00310BE6">
        <w:tc>
          <w:tcPr>
            <w:tcW w:w="2553" w:type="dxa"/>
            <w:vAlign w:val="center"/>
          </w:tcPr>
          <w:p w14:paraId="3BBC5CEC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Vysoká škola báňská – Technická univerzita Ostrava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459C01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400,1</w:t>
            </w:r>
          </w:p>
        </w:tc>
        <w:tc>
          <w:tcPr>
            <w:tcW w:w="1133" w:type="dxa"/>
            <w:vAlign w:val="center"/>
          </w:tcPr>
          <w:p w14:paraId="3D7EBD2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31,7</w:t>
            </w:r>
          </w:p>
        </w:tc>
        <w:tc>
          <w:tcPr>
            <w:tcW w:w="1135" w:type="dxa"/>
            <w:vAlign w:val="center"/>
          </w:tcPr>
          <w:p w14:paraId="422ABB5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7,9 %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1A0F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400,5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86A0671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154,7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685F2B2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38,6 %</w:t>
            </w:r>
          </w:p>
        </w:tc>
      </w:tr>
      <w:tr w:rsidR="00F6171E" w:rsidRPr="00810DDA" w14:paraId="35EB4789" w14:textId="77777777" w:rsidTr="00310BE6">
        <w:tc>
          <w:tcPr>
            <w:tcW w:w="2553" w:type="dxa"/>
            <w:vAlign w:val="center"/>
          </w:tcPr>
          <w:p w14:paraId="04FE9004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Slezská univerzita v Opavě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E7A2C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534,4</w:t>
            </w:r>
          </w:p>
        </w:tc>
        <w:tc>
          <w:tcPr>
            <w:tcW w:w="1133" w:type="dxa"/>
            <w:vAlign w:val="center"/>
          </w:tcPr>
          <w:p w14:paraId="355C5E0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12,0</w:t>
            </w:r>
          </w:p>
        </w:tc>
        <w:tc>
          <w:tcPr>
            <w:tcW w:w="1135" w:type="dxa"/>
            <w:vAlign w:val="center"/>
          </w:tcPr>
          <w:p w14:paraId="3390BD37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2,3 %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B7AC1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534,4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B50CDC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386,9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5F3680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72,4 %</w:t>
            </w:r>
          </w:p>
        </w:tc>
      </w:tr>
      <w:tr w:rsidR="00F6171E" w:rsidRPr="00810DDA" w14:paraId="5D91EAD1" w14:textId="77777777" w:rsidTr="00310BE6">
        <w:tc>
          <w:tcPr>
            <w:tcW w:w="2553" w:type="dxa"/>
            <w:vAlign w:val="center"/>
          </w:tcPr>
          <w:p w14:paraId="1E242EEF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Univerzita Palackého v Olomouci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294A55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405,0</w:t>
            </w:r>
          </w:p>
        </w:tc>
        <w:tc>
          <w:tcPr>
            <w:tcW w:w="1133" w:type="dxa"/>
            <w:vAlign w:val="center"/>
          </w:tcPr>
          <w:p w14:paraId="641591F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2A8DB0E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C9928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405,0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805EB8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68,1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6296844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16,8 %</w:t>
            </w:r>
          </w:p>
        </w:tc>
      </w:tr>
      <w:tr w:rsidR="00F6171E" w:rsidRPr="00810DDA" w14:paraId="2D4B4C57" w14:textId="77777777" w:rsidTr="00310BE6">
        <w:tc>
          <w:tcPr>
            <w:tcW w:w="2553" w:type="dxa"/>
            <w:vAlign w:val="center"/>
          </w:tcPr>
          <w:p w14:paraId="41EA4644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Univerzita Tomáše Bati ve Zlíně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67F9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408,6</w:t>
            </w:r>
          </w:p>
        </w:tc>
        <w:tc>
          <w:tcPr>
            <w:tcW w:w="1133" w:type="dxa"/>
            <w:vAlign w:val="center"/>
          </w:tcPr>
          <w:p w14:paraId="4FA9720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3287B2B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E0A161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388,0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69BB9D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139,0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3632E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35,8 %</w:t>
            </w:r>
          </w:p>
        </w:tc>
      </w:tr>
      <w:tr w:rsidR="00F6171E" w:rsidRPr="00810DDA" w14:paraId="77D9DDE8" w14:textId="77777777" w:rsidTr="00310BE6">
        <w:tc>
          <w:tcPr>
            <w:tcW w:w="2553" w:type="dxa"/>
            <w:vAlign w:val="center"/>
          </w:tcPr>
          <w:p w14:paraId="3CBC7495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Technická univerzita v Liberci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D13CD7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97,5</w:t>
            </w:r>
          </w:p>
        </w:tc>
        <w:tc>
          <w:tcPr>
            <w:tcW w:w="1133" w:type="dxa"/>
            <w:vAlign w:val="center"/>
          </w:tcPr>
          <w:p w14:paraId="0A17CD3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4E295B6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A53C44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162,4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505C41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94143F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39,2 %</w:t>
            </w:r>
          </w:p>
        </w:tc>
      </w:tr>
      <w:tr w:rsidR="00F6171E" w:rsidRPr="00810DDA" w14:paraId="596E768D" w14:textId="77777777" w:rsidTr="00310BE6">
        <w:tc>
          <w:tcPr>
            <w:tcW w:w="2553" w:type="dxa"/>
            <w:vAlign w:val="center"/>
          </w:tcPr>
          <w:p w14:paraId="7C22F26E" w14:textId="09B70153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niverzita Hradec Králové</w:t>
            </w:r>
            <w:r w:rsidR="00C37C6A" w:rsidRPr="00810DD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B6E8E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465,9</w:t>
            </w:r>
          </w:p>
        </w:tc>
        <w:tc>
          <w:tcPr>
            <w:tcW w:w="1133" w:type="dxa"/>
            <w:vAlign w:val="center"/>
          </w:tcPr>
          <w:p w14:paraId="288D1C8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488BF97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EE8B05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466,0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6582685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468,7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ECA7EC8" w14:textId="7DB01995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100,6 %</w:t>
            </w:r>
          </w:p>
        </w:tc>
      </w:tr>
      <w:tr w:rsidR="00F6171E" w:rsidRPr="00810DDA" w14:paraId="460831E1" w14:textId="77777777" w:rsidTr="00310BE6">
        <w:tc>
          <w:tcPr>
            <w:tcW w:w="2553" w:type="dxa"/>
            <w:vAlign w:val="center"/>
          </w:tcPr>
          <w:p w14:paraId="7DC6EC64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niverzita Pardubice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7AB1E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175,0</w:t>
            </w:r>
          </w:p>
        </w:tc>
        <w:tc>
          <w:tcPr>
            <w:tcW w:w="1133" w:type="dxa"/>
            <w:vAlign w:val="center"/>
          </w:tcPr>
          <w:p w14:paraId="4B1C823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31,9</w:t>
            </w:r>
          </w:p>
        </w:tc>
        <w:tc>
          <w:tcPr>
            <w:tcW w:w="1135" w:type="dxa"/>
            <w:vAlign w:val="center"/>
          </w:tcPr>
          <w:p w14:paraId="1FBCCD3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18,2 %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1A01F7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168,2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5CA16A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94,5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4D4E2A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56,2 %</w:t>
            </w:r>
          </w:p>
        </w:tc>
      </w:tr>
      <w:tr w:rsidR="00F6171E" w:rsidRPr="00810DDA" w14:paraId="646B3425" w14:textId="77777777" w:rsidTr="00310BE6">
        <w:tc>
          <w:tcPr>
            <w:tcW w:w="2553" w:type="dxa"/>
            <w:vAlign w:val="center"/>
          </w:tcPr>
          <w:p w14:paraId="436E5F54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ysoká škola polytechnická Jihlava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4BE424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130,0</w:t>
            </w:r>
          </w:p>
        </w:tc>
        <w:tc>
          <w:tcPr>
            <w:tcW w:w="1133" w:type="dxa"/>
            <w:vAlign w:val="center"/>
          </w:tcPr>
          <w:p w14:paraId="067C35F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662FD697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485B1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147,4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6DB3AF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3725672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7,4 %</w:t>
            </w:r>
          </w:p>
        </w:tc>
      </w:tr>
      <w:tr w:rsidR="00F6171E" w:rsidRPr="00810DDA" w14:paraId="2EA3C1FB" w14:textId="77777777" w:rsidTr="00310BE6">
        <w:tc>
          <w:tcPr>
            <w:tcW w:w="2553" w:type="dxa"/>
            <w:vAlign w:val="center"/>
          </w:tcPr>
          <w:p w14:paraId="7FBC5C62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niverzita J. E. Purkyně v Ústí nad Labem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311FD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590,0</w:t>
            </w:r>
          </w:p>
        </w:tc>
        <w:tc>
          <w:tcPr>
            <w:tcW w:w="1133" w:type="dxa"/>
            <w:vAlign w:val="center"/>
          </w:tcPr>
          <w:p w14:paraId="0F9FB89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16,8</w:t>
            </w:r>
          </w:p>
        </w:tc>
        <w:tc>
          <w:tcPr>
            <w:tcW w:w="1135" w:type="dxa"/>
            <w:vAlign w:val="center"/>
          </w:tcPr>
          <w:p w14:paraId="7D79ADA7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2,9 %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7EB5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594,6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ADC0BE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6C13F3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5,6 %</w:t>
            </w:r>
          </w:p>
        </w:tc>
      </w:tr>
      <w:tr w:rsidR="00F6171E" w:rsidRPr="00810DDA" w14:paraId="68F953DC" w14:textId="77777777" w:rsidTr="00310BE6">
        <w:tc>
          <w:tcPr>
            <w:tcW w:w="2553" w:type="dxa"/>
            <w:vAlign w:val="center"/>
          </w:tcPr>
          <w:p w14:paraId="5B558436" w14:textId="78A2761C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Vysoká škola technická a ekonomická v Českých Budějovicích</w:t>
            </w:r>
            <w:r w:rsidR="00C37C6A" w:rsidRPr="00F967F8">
              <w:rPr>
                <w:rFonts w:asciiTheme="minorHAnsi" w:hAnsiTheme="minorHAns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BDF72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27,9</w:t>
            </w:r>
          </w:p>
        </w:tc>
        <w:tc>
          <w:tcPr>
            <w:tcW w:w="1133" w:type="dxa"/>
            <w:vAlign w:val="center"/>
          </w:tcPr>
          <w:p w14:paraId="64BEECA7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31,5</w:t>
            </w:r>
          </w:p>
        </w:tc>
        <w:tc>
          <w:tcPr>
            <w:tcW w:w="1135" w:type="dxa"/>
            <w:vAlign w:val="center"/>
          </w:tcPr>
          <w:p w14:paraId="0B89B516" w14:textId="571E9B4A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112,9 %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F4CE7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73,1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6A21516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30F9CA5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99,7 %</w:t>
            </w:r>
          </w:p>
        </w:tc>
      </w:tr>
      <w:tr w:rsidR="00F6171E" w:rsidRPr="00810DDA" w14:paraId="64D62F75" w14:textId="77777777" w:rsidTr="00310BE6">
        <w:tc>
          <w:tcPr>
            <w:tcW w:w="2553" w:type="dxa"/>
            <w:vAlign w:val="center"/>
          </w:tcPr>
          <w:p w14:paraId="40130AAB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ihočeská univerzita v Českých Budějovicích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8D239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199,8</w:t>
            </w:r>
          </w:p>
        </w:tc>
        <w:tc>
          <w:tcPr>
            <w:tcW w:w="1133" w:type="dxa"/>
            <w:vAlign w:val="center"/>
          </w:tcPr>
          <w:p w14:paraId="029BB0D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19,6</w:t>
            </w:r>
          </w:p>
        </w:tc>
        <w:tc>
          <w:tcPr>
            <w:tcW w:w="1135" w:type="dxa"/>
            <w:vAlign w:val="center"/>
          </w:tcPr>
          <w:p w14:paraId="29DC4FDF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9,8 %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0EC1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193,2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C9E032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160,1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4ECA08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82,9 %</w:t>
            </w:r>
          </w:p>
        </w:tc>
      </w:tr>
      <w:tr w:rsidR="00F6171E" w:rsidRPr="00810DDA" w14:paraId="12C23BD4" w14:textId="77777777" w:rsidTr="00310BE6">
        <w:tc>
          <w:tcPr>
            <w:tcW w:w="2553" w:type="dxa"/>
            <w:vAlign w:val="center"/>
          </w:tcPr>
          <w:p w14:paraId="07E776FF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Západočeská univerzita v Plzni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CCBFCB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350,0</w:t>
            </w:r>
          </w:p>
        </w:tc>
        <w:tc>
          <w:tcPr>
            <w:tcW w:w="1133" w:type="dxa"/>
            <w:vAlign w:val="center"/>
          </w:tcPr>
          <w:p w14:paraId="2AE6C090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14:paraId="71762AC7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5405A8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350,0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B69F77D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B48611C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color w:val="000000"/>
                <w:sz w:val="18"/>
                <w:szCs w:val="18"/>
              </w:rPr>
              <w:t>3,7 %</w:t>
            </w:r>
          </w:p>
        </w:tc>
      </w:tr>
      <w:tr w:rsidR="00F6171E" w:rsidRPr="00810DDA" w14:paraId="038F0EAE" w14:textId="77777777" w:rsidTr="00310BE6">
        <w:tc>
          <w:tcPr>
            <w:tcW w:w="2553" w:type="dxa"/>
            <w:shd w:val="clear" w:color="auto" w:fill="F2DBDB" w:themeFill="accent2" w:themeFillTint="33"/>
            <w:vAlign w:val="center"/>
          </w:tcPr>
          <w:p w14:paraId="407DE086" w14:textId="77777777" w:rsidR="00F6171E" w:rsidRPr="00810DDA" w:rsidRDefault="00F6171E" w:rsidP="008F435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10DDA">
              <w:rPr>
                <w:rFonts w:asciiTheme="minorHAnsi" w:hAnsiTheme="minorHAnsi" w:cstheme="minorHAnsi"/>
                <w:sz w:val="18"/>
                <w:szCs w:val="18"/>
              </w:rPr>
              <w:t>Rezerva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programu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**</w:t>
            </w:r>
            <w:r w:rsidRPr="00810DDA">
              <w:rPr>
                <w:rFonts w:asciiTheme="minorHAnsi" w:hAnsiTheme="minorHAnsi"/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381B4A79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393,2</w:t>
            </w:r>
          </w:p>
        </w:tc>
        <w:tc>
          <w:tcPr>
            <w:tcW w:w="1133" w:type="dxa"/>
            <w:shd w:val="clear" w:color="auto" w:fill="F2DBDB" w:themeFill="accent2" w:themeFillTint="33"/>
            <w:vAlign w:val="center"/>
          </w:tcPr>
          <w:p w14:paraId="0A04DCFA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779E0E33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0593C141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14:paraId="10697E82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489" w:type="dxa"/>
            <w:shd w:val="clear" w:color="auto" w:fill="F2DBDB" w:themeFill="accent2" w:themeFillTint="33"/>
            <w:vAlign w:val="center"/>
          </w:tcPr>
          <w:p w14:paraId="3A26F4EE" w14:textId="77777777" w:rsidR="00F6171E" w:rsidRPr="00810DDA" w:rsidRDefault="00F6171E" w:rsidP="008F4358">
            <w:pPr>
              <w:jc w:val="right"/>
              <w:rPr>
                <w:rFonts w:asciiTheme="minorHAnsi" w:hAnsiTheme="minorHAnsi"/>
                <w:bCs/>
                <w:color w:val="000000"/>
                <w:sz w:val="18"/>
                <w:szCs w:val="18"/>
              </w:rPr>
            </w:pPr>
            <w:r w:rsidRPr="00810DDA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F6171E" w:rsidRPr="00810DDA" w14:paraId="3EBE2CFF" w14:textId="77777777" w:rsidTr="00310BE6">
        <w:tc>
          <w:tcPr>
            <w:tcW w:w="2553" w:type="dxa"/>
            <w:shd w:val="clear" w:color="auto" w:fill="F2DBDB" w:themeFill="accent2" w:themeFillTint="33"/>
            <w:vAlign w:val="center"/>
          </w:tcPr>
          <w:p w14:paraId="2232CFE0" w14:textId="77777777" w:rsidR="00F6171E" w:rsidRPr="00C775AA" w:rsidRDefault="00F6171E" w:rsidP="008F4358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Celkem program</w:t>
            </w:r>
          </w:p>
        </w:tc>
        <w:tc>
          <w:tcPr>
            <w:tcW w:w="1134" w:type="dxa"/>
            <w:shd w:val="clear" w:color="auto" w:fill="F2DBDB" w:themeFill="accent2" w:themeFillTint="33"/>
            <w:vAlign w:val="center"/>
          </w:tcPr>
          <w:p w14:paraId="125D93BA" w14:textId="77777777" w:rsidR="00F6171E" w:rsidRPr="00C775AA" w:rsidRDefault="00F6171E" w:rsidP="008F43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/>
                <w:b/>
                <w:sz w:val="18"/>
                <w:szCs w:val="18"/>
              </w:rPr>
              <w:t>13 869,7</w:t>
            </w:r>
          </w:p>
        </w:tc>
        <w:tc>
          <w:tcPr>
            <w:tcW w:w="1133" w:type="dxa"/>
            <w:shd w:val="clear" w:color="auto" w:fill="F2DBDB" w:themeFill="accent2" w:themeFillTint="33"/>
            <w:vAlign w:val="center"/>
          </w:tcPr>
          <w:p w14:paraId="2AF907C2" w14:textId="77777777" w:rsidR="00F6171E" w:rsidRPr="00C775AA" w:rsidRDefault="00F6171E" w:rsidP="008F43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/>
                <w:b/>
                <w:sz w:val="18"/>
                <w:szCs w:val="18"/>
              </w:rPr>
              <w:t>926,1</w:t>
            </w:r>
          </w:p>
        </w:tc>
        <w:tc>
          <w:tcPr>
            <w:tcW w:w="1135" w:type="dxa"/>
            <w:shd w:val="clear" w:color="auto" w:fill="F2DBDB" w:themeFill="accent2" w:themeFillTint="33"/>
            <w:vAlign w:val="center"/>
          </w:tcPr>
          <w:p w14:paraId="2EAB785E" w14:textId="77777777" w:rsidR="00F6171E" w:rsidRPr="00C775AA" w:rsidRDefault="00F6171E" w:rsidP="008F4358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/>
                <w:b/>
                <w:sz w:val="18"/>
                <w:szCs w:val="18"/>
              </w:rPr>
              <w:t>6,7 %</w:t>
            </w:r>
          </w:p>
        </w:tc>
        <w:tc>
          <w:tcPr>
            <w:tcW w:w="1417" w:type="dxa"/>
            <w:shd w:val="clear" w:color="auto" w:fill="F2DBDB" w:themeFill="accent2" w:themeFillTint="33"/>
            <w:vAlign w:val="center"/>
          </w:tcPr>
          <w:p w14:paraId="03356E4B" w14:textId="77777777" w:rsidR="00F6171E" w:rsidRPr="00C775AA" w:rsidRDefault="00F6171E" w:rsidP="008F435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5A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13 834,7</w:t>
            </w:r>
          </w:p>
        </w:tc>
        <w:tc>
          <w:tcPr>
            <w:tcW w:w="1063" w:type="dxa"/>
            <w:shd w:val="clear" w:color="auto" w:fill="F2DBDB" w:themeFill="accent2" w:themeFillTint="33"/>
            <w:vAlign w:val="center"/>
          </w:tcPr>
          <w:p w14:paraId="33D4D2F1" w14:textId="77777777" w:rsidR="00F6171E" w:rsidRPr="00C775AA" w:rsidRDefault="00F6171E" w:rsidP="008F435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5A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5 737,7</w:t>
            </w:r>
          </w:p>
        </w:tc>
        <w:tc>
          <w:tcPr>
            <w:tcW w:w="1489" w:type="dxa"/>
            <w:shd w:val="clear" w:color="auto" w:fill="F2DBDB" w:themeFill="accent2" w:themeFillTint="33"/>
            <w:vAlign w:val="center"/>
          </w:tcPr>
          <w:p w14:paraId="06AD3B07" w14:textId="77777777" w:rsidR="00F6171E" w:rsidRPr="00C775AA" w:rsidRDefault="00F6171E" w:rsidP="008F4358">
            <w:pPr>
              <w:jc w:val="right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C775AA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41,5 %</w:t>
            </w:r>
          </w:p>
        </w:tc>
      </w:tr>
    </w:tbl>
    <w:p w14:paraId="20D107FB" w14:textId="7AA4E35E" w:rsidR="00F6171E" w:rsidRPr="00360287" w:rsidRDefault="00F6171E" w:rsidP="006E7DC9">
      <w:pPr>
        <w:spacing w:before="40"/>
        <w:ind w:right="-425" w:hanging="425"/>
        <w:jc w:val="both"/>
        <w:rPr>
          <w:rFonts w:asciiTheme="minorHAnsi" w:hAnsiTheme="minorHAnsi" w:cstheme="minorHAnsi"/>
          <w:sz w:val="18"/>
          <w:szCs w:val="18"/>
        </w:rPr>
      </w:pPr>
      <w:r w:rsidRPr="00360287">
        <w:rPr>
          <w:rFonts w:asciiTheme="minorHAnsi" w:hAnsiTheme="minorHAnsi" w:cstheme="minorHAnsi"/>
          <w:sz w:val="18"/>
          <w:szCs w:val="18"/>
        </w:rPr>
        <w:t>*</w:t>
      </w:r>
      <w:r w:rsidR="00C37C6A" w:rsidRPr="00360287">
        <w:rPr>
          <w:rFonts w:asciiTheme="minorHAnsi" w:hAnsiTheme="minorHAnsi" w:cstheme="minorHAnsi"/>
          <w:sz w:val="18"/>
          <w:szCs w:val="18"/>
        </w:rPr>
        <w:tab/>
      </w:r>
      <w:r w:rsidRPr="00360287">
        <w:rPr>
          <w:rFonts w:asciiTheme="minorHAnsi" w:hAnsiTheme="minorHAnsi" w:cstheme="minorHAnsi"/>
          <w:sz w:val="18"/>
          <w:szCs w:val="18"/>
        </w:rPr>
        <w:t xml:space="preserve">UHK vznikly při realizaci akce </w:t>
      </w:r>
      <w:r w:rsidRPr="00360287">
        <w:rPr>
          <w:rFonts w:asciiTheme="minorHAnsi" w:hAnsiTheme="minorHAnsi" w:cstheme="minorHAnsi"/>
          <w:i/>
          <w:sz w:val="18"/>
          <w:szCs w:val="18"/>
        </w:rPr>
        <w:t xml:space="preserve">Objekt C, lokalita Na Soutoku </w:t>
      </w:r>
      <w:r w:rsidRPr="00360287">
        <w:rPr>
          <w:rFonts w:asciiTheme="minorHAnsi" w:hAnsiTheme="minorHAnsi" w:cstheme="minorHAnsi"/>
          <w:sz w:val="18"/>
          <w:szCs w:val="18"/>
        </w:rPr>
        <w:t>odůvodněné neplánované výdaje ve výši 9,7 mil. Kč a v podprogramu nebyla dostatečná rezerva, z tohoto důvodu byl o 2,7 mil. Kč překročen limit výdajů SR (bude hrazeno z rezervy programu).</w:t>
      </w:r>
    </w:p>
    <w:p w14:paraId="0E2BFDC1" w14:textId="1D2124ED" w:rsidR="00F6171E" w:rsidRPr="00360287" w:rsidRDefault="00F6171E" w:rsidP="006E7DC9">
      <w:pPr>
        <w:ind w:right="-427" w:hanging="426"/>
        <w:jc w:val="both"/>
        <w:rPr>
          <w:rFonts w:asciiTheme="minorHAnsi" w:hAnsiTheme="minorHAnsi"/>
          <w:color w:val="000000"/>
          <w:sz w:val="18"/>
          <w:szCs w:val="18"/>
        </w:rPr>
      </w:pPr>
      <w:r w:rsidRPr="00F967F8">
        <w:rPr>
          <w:rFonts w:asciiTheme="minorHAnsi" w:hAnsiTheme="minorHAnsi"/>
          <w:color w:val="000000"/>
          <w:sz w:val="18"/>
          <w:szCs w:val="18"/>
        </w:rPr>
        <w:t>**</w:t>
      </w:r>
      <w:r w:rsidR="00360287" w:rsidRPr="00F967F8">
        <w:rPr>
          <w:rFonts w:asciiTheme="minorHAnsi" w:hAnsiTheme="minorHAnsi"/>
          <w:color w:val="000000"/>
          <w:sz w:val="18"/>
          <w:szCs w:val="18"/>
        </w:rPr>
        <w:tab/>
      </w:r>
      <w:r w:rsidRPr="00360287">
        <w:rPr>
          <w:rFonts w:asciiTheme="minorHAnsi" w:hAnsiTheme="minorHAnsi"/>
          <w:color w:val="000000"/>
          <w:sz w:val="18"/>
          <w:szCs w:val="18"/>
        </w:rPr>
        <w:t>V podprogramu Vysok</w:t>
      </w:r>
      <w:r w:rsidR="00310BE6">
        <w:rPr>
          <w:rFonts w:asciiTheme="minorHAnsi" w:hAnsiTheme="minorHAnsi"/>
          <w:color w:val="000000"/>
          <w:sz w:val="18"/>
          <w:szCs w:val="18"/>
        </w:rPr>
        <w:t>é</w:t>
      </w:r>
      <w:r w:rsidRPr="00360287">
        <w:rPr>
          <w:rFonts w:asciiTheme="minorHAnsi" w:hAnsiTheme="minorHAnsi"/>
          <w:color w:val="000000"/>
          <w:sz w:val="18"/>
          <w:szCs w:val="18"/>
        </w:rPr>
        <w:t xml:space="preserve"> škol</w:t>
      </w:r>
      <w:r w:rsidR="00310BE6">
        <w:rPr>
          <w:rFonts w:asciiTheme="minorHAnsi" w:hAnsiTheme="minorHAnsi"/>
          <w:color w:val="000000"/>
          <w:sz w:val="18"/>
          <w:szCs w:val="18"/>
        </w:rPr>
        <w:t>y</w:t>
      </w:r>
      <w:r w:rsidRPr="00360287">
        <w:rPr>
          <w:rFonts w:asciiTheme="minorHAnsi" w:hAnsiTheme="minorHAnsi"/>
          <w:color w:val="000000"/>
          <w:sz w:val="18"/>
          <w:szCs w:val="18"/>
        </w:rPr>
        <w:t xml:space="preserve"> technick</w:t>
      </w:r>
      <w:r w:rsidR="00310BE6">
        <w:rPr>
          <w:rFonts w:asciiTheme="minorHAnsi" w:hAnsiTheme="minorHAnsi"/>
          <w:color w:val="000000"/>
          <w:sz w:val="18"/>
          <w:szCs w:val="18"/>
        </w:rPr>
        <w:t>é</w:t>
      </w:r>
      <w:r w:rsidRPr="00360287">
        <w:rPr>
          <w:rFonts w:asciiTheme="minorHAnsi" w:hAnsiTheme="minorHAnsi"/>
          <w:color w:val="000000"/>
          <w:sz w:val="18"/>
          <w:szCs w:val="18"/>
        </w:rPr>
        <w:t xml:space="preserve"> a ekonomick</w:t>
      </w:r>
      <w:r w:rsidR="00310BE6">
        <w:rPr>
          <w:rFonts w:asciiTheme="minorHAnsi" w:hAnsiTheme="minorHAnsi"/>
          <w:color w:val="000000"/>
          <w:sz w:val="18"/>
          <w:szCs w:val="18"/>
        </w:rPr>
        <w:t>é</w:t>
      </w:r>
      <w:r w:rsidRPr="00360287">
        <w:rPr>
          <w:rFonts w:asciiTheme="minorHAnsi" w:hAnsiTheme="minorHAnsi"/>
          <w:color w:val="000000"/>
          <w:sz w:val="18"/>
          <w:szCs w:val="18"/>
        </w:rPr>
        <w:t xml:space="preserve"> v Českých Budějovicích byla navýšena dotace ze SR až v</w:t>
      </w:r>
      <w:r w:rsidR="00310BE6">
        <w:rPr>
          <w:rFonts w:asciiTheme="minorHAnsi" w:hAnsiTheme="minorHAnsi"/>
          <w:color w:val="000000"/>
          <w:sz w:val="18"/>
          <w:szCs w:val="18"/>
        </w:rPr>
        <w:t> </w:t>
      </w:r>
      <w:r w:rsidRPr="00360287">
        <w:rPr>
          <w:rFonts w:asciiTheme="minorHAnsi" w:hAnsiTheme="minorHAnsi"/>
          <w:color w:val="000000"/>
          <w:sz w:val="18"/>
          <w:szCs w:val="18"/>
        </w:rPr>
        <w:t xml:space="preserve">rámci aktualizace DP, schválené v roce 2015. </w:t>
      </w:r>
    </w:p>
    <w:p w14:paraId="06ACFDD2" w14:textId="02CEF908" w:rsidR="00F6171E" w:rsidRPr="00360287" w:rsidRDefault="00F6171E" w:rsidP="006E7DC9">
      <w:pPr>
        <w:ind w:right="-427" w:hanging="426"/>
        <w:jc w:val="both"/>
        <w:rPr>
          <w:rFonts w:ascii="Calibri" w:hAnsi="Calibri" w:cs="Calibri"/>
          <w:b/>
          <w:sz w:val="18"/>
          <w:szCs w:val="18"/>
        </w:rPr>
      </w:pPr>
      <w:r w:rsidRPr="00F967F8">
        <w:rPr>
          <w:rFonts w:asciiTheme="minorHAnsi" w:hAnsiTheme="minorHAnsi"/>
          <w:color w:val="000000"/>
          <w:sz w:val="18"/>
          <w:szCs w:val="18"/>
        </w:rPr>
        <w:t>***</w:t>
      </w:r>
      <w:r w:rsidR="00360287" w:rsidRPr="00F967F8">
        <w:rPr>
          <w:rFonts w:asciiTheme="minorHAnsi" w:hAnsiTheme="minorHAnsi"/>
          <w:color w:val="000000"/>
          <w:sz w:val="18"/>
          <w:szCs w:val="18"/>
        </w:rPr>
        <w:tab/>
      </w:r>
      <w:r w:rsidRPr="00360287">
        <w:rPr>
          <w:rFonts w:asciiTheme="minorHAnsi" w:hAnsiTheme="minorHAnsi"/>
          <w:color w:val="000000"/>
          <w:sz w:val="18"/>
          <w:szCs w:val="18"/>
        </w:rPr>
        <w:t xml:space="preserve">Rezerva programu zahrnovala i prostředky poskytované kapitole 307 </w:t>
      </w:r>
      <w:r w:rsidR="00A3401A" w:rsidRPr="00360287">
        <w:rPr>
          <w:rFonts w:asciiTheme="minorHAnsi" w:hAnsiTheme="minorHAnsi"/>
          <w:color w:val="000000"/>
          <w:sz w:val="18"/>
          <w:szCs w:val="18"/>
        </w:rPr>
        <w:t>–</w:t>
      </w:r>
      <w:r w:rsidRPr="00360287">
        <w:rPr>
          <w:rFonts w:asciiTheme="minorHAnsi" w:hAnsiTheme="minorHAnsi"/>
          <w:color w:val="000000"/>
          <w:sz w:val="18"/>
          <w:szCs w:val="18"/>
        </w:rPr>
        <w:t xml:space="preserve"> </w:t>
      </w:r>
      <w:r w:rsidRPr="00360287">
        <w:rPr>
          <w:rFonts w:asciiTheme="minorHAnsi" w:hAnsiTheme="minorHAnsi"/>
          <w:i/>
          <w:color w:val="000000"/>
          <w:sz w:val="18"/>
          <w:szCs w:val="18"/>
        </w:rPr>
        <w:t xml:space="preserve">Ministerstvo obrany </w:t>
      </w:r>
      <w:r w:rsidRPr="00360287">
        <w:rPr>
          <w:rFonts w:asciiTheme="minorHAnsi" w:hAnsiTheme="minorHAnsi"/>
          <w:color w:val="000000"/>
          <w:sz w:val="18"/>
          <w:szCs w:val="18"/>
        </w:rPr>
        <w:t>pro Univerzitu obrany, převáděné prostřednictvím rozpočtových opatření maximálně do výše 35 mil. Kč. O převedené prostředky ve výši 34,968 mil. Kč byl v aktualizaci DP snížen objem prostředků SR na program.</w:t>
      </w:r>
    </w:p>
    <w:p w14:paraId="277F15A2" w14:textId="77777777" w:rsidR="008F4358" w:rsidRDefault="008F4358">
      <w:pPr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br w:type="page"/>
      </w:r>
    </w:p>
    <w:p w14:paraId="59C17D16" w14:textId="430EBD40" w:rsidR="00DA2454" w:rsidRPr="0044600F" w:rsidRDefault="00C541BD" w:rsidP="00C775AA">
      <w:pPr>
        <w:pStyle w:val="Odstavecseseznamem"/>
        <w:spacing w:before="120" w:after="120"/>
        <w:ind w:left="0" w:right="-427"/>
        <w:jc w:val="right"/>
        <w:rPr>
          <w:rFonts w:asciiTheme="minorHAnsi" w:hAnsiTheme="minorHAnsi" w:cstheme="minorHAnsi"/>
          <w:b/>
          <w:color w:val="000000"/>
        </w:rPr>
      </w:pPr>
      <w:r w:rsidRPr="0044600F">
        <w:rPr>
          <w:rFonts w:asciiTheme="minorHAnsi" w:hAnsiTheme="minorHAnsi" w:cstheme="minorHAnsi"/>
          <w:b/>
          <w:color w:val="000000"/>
        </w:rPr>
        <w:t>Příloha č. 3</w:t>
      </w:r>
    </w:p>
    <w:p w14:paraId="5612073B" w14:textId="4C25FEDD" w:rsidR="0044600F" w:rsidRPr="006F27C5" w:rsidRDefault="00DA2454" w:rsidP="006E7DC9">
      <w:pPr>
        <w:pStyle w:val="Odstavecseseznamem"/>
        <w:spacing w:before="120" w:after="120"/>
        <w:ind w:left="0" w:hanging="426"/>
        <w:jc w:val="both"/>
        <w:rPr>
          <w:rFonts w:asciiTheme="minorHAnsi" w:hAnsiTheme="minorHAnsi" w:cstheme="minorHAnsi"/>
          <w:b/>
          <w:color w:val="000000"/>
          <w:highlight w:val="yellow"/>
        </w:rPr>
      </w:pPr>
      <w:r w:rsidRPr="0044600F">
        <w:rPr>
          <w:rFonts w:asciiTheme="minorHAnsi" w:hAnsiTheme="minorHAnsi" w:cstheme="minorHAnsi"/>
          <w:b/>
          <w:color w:val="000000"/>
        </w:rPr>
        <w:t>Př</w:t>
      </w:r>
      <w:r w:rsidR="00A97B35" w:rsidRPr="0044600F">
        <w:rPr>
          <w:rFonts w:asciiTheme="minorHAnsi" w:hAnsiTheme="minorHAnsi" w:cstheme="minorHAnsi"/>
          <w:b/>
          <w:color w:val="000000"/>
        </w:rPr>
        <w:t xml:space="preserve">íklady </w:t>
      </w:r>
      <w:r w:rsidRPr="0044600F">
        <w:rPr>
          <w:rFonts w:asciiTheme="minorHAnsi" w:hAnsiTheme="minorHAnsi" w:cstheme="minorHAnsi"/>
          <w:b/>
          <w:color w:val="000000"/>
        </w:rPr>
        <w:t>jednotkov</w:t>
      </w:r>
      <w:r w:rsidR="001E0D64" w:rsidRPr="0044600F">
        <w:rPr>
          <w:rFonts w:asciiTheme="minorHAnsi" w:hAnsiTheme="minorHAnsi" w:cstheme="minorHAnsi"/>
          <w:b/>
          <w:color w:val="000000"/>
        </w:rPr>
        <w:t xml:space="preserve">ých cen </w:t>
      </w:r>
      <w:r w:rsidR="00A97B35" w:rsidRPr="0044600F">
        <w:rPr>
          <w:rFonts w:asciiTheme="minorHAnsi" w:hAnsiTheme="minorHAnsi" w:cstheme="minorHAnsi"/>
          <w:b/>
          <w:color w:val="000000"/>
        </w:rPr>
        <w:t xml:space="preserve">technických parametrů </w:t>
      </w:r>
      <w:r w:rsidR="001E0D64" w:rsidRPr="0044600F">
        <w:rPr>
          <w:rFonts w:asciiTheme="minorHAnsi" w:hAnsiTheme="minorHAnsi" w:cstheme="minorHAnsi"/>
          <w:b/>
          <w:color w:val="000000"/>
        </w:rPr>
        <w:t>akcí</w:t>
      </w:r>
    </w:p>
    <w:tbl>
      <w:tblPr>
        <w:tblStyle w:val="Mkatabulky"/>
        <w:tblW w:w="9978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417"/>
        <w:gridCol w:w="1304"/>
        <w:gridCol w:w="1304"/>
        <w:gridCol w:w="1701"/>
      </w:tblGrid>
      <w:tr w:rsidR="00306235" w:rsidRPr="006F27C5" w14:paraId="4D96326D" w14:textId="77777777" w:rsidTr="006E7DC9">
        <w:trPr>
          <w:trHeight w:val="835"/>
          <w:jc w:val="center"/>
        </w:trPr>
        <w:tc>
          <w:tcPr>
            <w:tcW w:w="3118" w:type="dxa"/>
            <w:vMerge w:val="restart"/>
            <w:shd w:val="clear" w:color="auto" w:fill="DBE5F1" w:themeFill="accent1" w:themeFillTint="33"/>
            <w:vAlign w:val="center"/>
          </w:tcPr>
          <w:p w14:paraId="09CA366D" w14:textId="267413E0" w:rsidR="00306235" w:rsidRPr="00C775AA" w:rsidRDefault="00306235" w:rsidP="0036028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Číslo a</w:t>
            </w:r>
            <w:r w:rsidR="00871FA1"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12540E"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název akce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D96AE6B" w14:textId="07F884B3" w:rsidR="00306235" w:rsidRPr="00C775AA" w:rsidRDefault="00306235" w:rsidP="003602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Obestavěný prostor (</w:t>
            </w:r>
            <w:r w:rsidR="00360287">
              <w:rPr>
                <w:rFonts w:asciiTheme="minorHAnsi" w:hAnsiTheme="minorHAnsi" w:cstheme="minorHAnsi"/>
                <w:b/>
                <w:sz w:val="18"/>
                <w:szCs w:val="18"/>
              </w:rPr>
              <w:t>v 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8AE08E7" w14:textId="579DEDB7" w:rsidR="00306235" w:rsidRPr="00C775AA" w:rsidRDefault="00306235" w:rsidP="003602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Užitková plocha po technické obnově (</w:t>
            </w:r>
            <w:r w:rsidR="00360287">
              <w:rPr>
                <w:rFonts w:asciiTheme="minorHAnsi" w:hAnsiTheme="minorHAnsi" w:cstheme="minorHAnsi"/>
                <w:b/>
                <w:sz w:val="18"/>
                <w:szCs w:val="18"/>
              </w:rPr>
              <w:t>v 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14:paraId="17984B14" w14:textId="6DC01366" w:rsidR="00306235" w:rsidRPr="00C775AA" w:rsidRDefault="00306235" w:rsidP="003602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Užitková plocha nově získaná (</w:t>
            </w:r>
            <w:r w:rsidR="00360287">
              <w:rPr>
                <w:rFonts w:asciiTheme="minorHAnsi" w:hAnsiTheme="minorHAnsi" w:cstheme="minorHAnsi"/>
                <w:b/>
                <w:sz w:val="18"/>
                <w:szCs w:val="18"/>
              </w:rPr>
              <w:t>v 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14:paraId="48850AD8" w14:textId="39D9F3FE" w:rsidR="00306235" w:rsidRPr="00C775AA" w:rsidRDefault="00306235" w:rsidP="003602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Zateplovaná plocha objektů (</w:t>
            </w:r>
            <w:r w:rsidR="00360287">
              <w:rPr>
                <w:rFonts w:asciiTheme="minorHAnsi" w:hAnsiTheme="minorHAnsi" w:cstheme="minorHAnsi"/>
                <w:b/>
                <w:sz w:val="18"/>
                <w:szCs w:val="18"/>
              </w:rPr>
              <w:t>v 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32FDCC5F" w14:textId="63B18AF2" w:rsidR="00306235" w:rsidRPr="00C775AA" w:rsidRDefault="00306235" w:rsidP="0036028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Technická obnova obvodového pláště objektů (</w:t>
            </w:r>
            <w:r w:rsidR="00360287">
              <w:rPr>
                <w:rFonts w:asciiTheme="minorHAnsi" w:hAnsiTheme="minorHAnsi" w:cstheme="minorHAnsi"/>
                <w:b/>
                <w:sz w:val="18"/>
                <w:szCs w:val="18"/>
              </w:rPr>
              <w:t>v 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2</w:t>
            </w:r>
            <w:r w:rsidRPr="00C775AA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306235" w:rsidRPr="006F27C5" w14:paraId="72DBC1B5" w14:textId="77777777" w:rsidTr="006E7DC9">
        <w:trPr>
          <w:jc w:val="center"/>
        </w:trPr>
        <w:tc>
          <w:tcPr>
            <w:tcW w:w="3118" w:type="dxa"/>
            <w:vMerge/>
            <w:shd w:val="clear" w:color="auto" w:fill="DBE5F1" w:themeFill="accent1" w:themeFillTint="33"/>
            <w:vAlign w:val="center"/>
          </w:tcPr>
          <w:p w14:paraId="1619583E" w14:textId="77777777" w:rsidR="00306235" w:rsidRPr="0044600F" w:rsidRDefault="00306235" w:rsidP="003602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55AF16D" w14:textId="77777777" w:rsidR="00306235" w:rsidRPr="0044600F" w:rsidRDefault="00306235" w:rsidP="0036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600F">
              <w:rPr>
                <w:rFonts w:asciiTheme="minorHAnsi" w:hAnsiTheme="minorHAnsi" w:cstheme="minorHAnsi"/>
                <w:sz w:val="18"/>
                <w:szCs w:val="18"/>
              </w:rPr>
              <w:t>8 500 Kč/m</w:t>
            </w:r>
            <w:r w:rsidRPr="0044600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6CECD78F" w14:textId="77777777" w:rsidR="00306235" w:rsidRPr="0044600F" w:rsidRDefault="00306235" w:rsidP="0036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600F">
              <w:rPr>
                <w:rFonts w:asciiTheme="minorHAnsi" w:hAnsiTheme="minorHAnsi" w:cstheme="minorHAnsi"/>
                <w:sz w:val="18"/>
                <w:szCs w:val="18"/>
              </w:rPr>
              <w:t>30 000 Kč/m</w:t>
            </w:r>
            <w:r w:rsidRPr="0044600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14:paraId="5516778B" w14:textId="77777777" w:rsidR="00306235" w:rsidRPr="0044600F" w:rsidRDefault="00306235" w:rsidP="0036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600F">
              <w:rPr>
                <w:rFonts w:asciiTheme="minorHAnsi" w:hAnsiTheme="minorHAnsi" w:cstheme="minorHAnsi"/>
                <w:sz w:val="18"/>
                <w:szCs w:val="18"/>
              </w:rPr>
              <w:t>50 000 Kč/m</w:t>
            </w:r>
            <w:r w:rsidRPr="0044600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DBE5F1" w:themeFill="accent1" w:themeFillTint="33"/>
            <w:vAlign w:val="center"/>
          </w:tcPr>
          <w:p w14:paraId="59F4ED3B" w14:textId="77777777" w:rsidR="00306235" w:rsidRPr="0044600F" w:rsidRDefault="00306235" w:rsidP="0036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600F">
              <w:rPr>
                <w:rFonts w:asciiTheme="minorHAnsi" w:hAnsiTheme="minorHAnsi" w:cstheme="minorHAnsi"/>
                <w:sz w:val="18"/>
                <w:szCs w:val="18"/>
              </w:rPr>
              <w:t>4 900 Kč/m</w:t>
            </w:r>
            <w:r w:rsidRPr="0044600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243DD331" w14:textId="77777777" w:rsidR="00306235" w:rsidRPr="0044600F" w:rsidRDefault="00306235" w:rsidP="003602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4600F">
              <w:rPr>
                <w:rFonts w:asciiTheme="minorHAnsi" w:hAnsiTheme="minorHAnsi" w:cstheme="minorHAnsi"/>
                <w:sz w:val="18"/>
                <w:szCs w:val="18"/>
              </w:rPr>
              <w:t>13 000 Kč/m</w:t>
            </w:r>
            <w:r w:rsidRPr="0044600F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752D1A" w:rsidRPr="006F27C5" w14:paraId="611EE7E6" w14:textId="77777777" w:rsidTr="006E7DC9">
        <w:trPr>
          <w:jc w:val="center"/>
        </w:trPr>
        <w:tc>
          <w:tcPr>
            <w:tcW w:w="3118" w:type="dxa"/>
            <w:vAlign w:val="center"/>
          </w:tcPr>
          <w:p w14:paraId="05A5F7B7" w14:textId="5479C8D8" w:rsidR="00752D1A" w:rsidRPr="00752D1A" w:rsidRDefault="00752D1A" w:rsidP="00310BE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133D21Y001610 </w:t>
            </w:r>
            <w:r w:rsidR="00FA5E16">
              <w:rPr>
                <w:rFonts w:asciiTheme="minorHAnsi" w:hAnsiTheme="minorHAnsi" w:cstheme="minorHAnsi"/>
                <w:i/>
                <w:sz w:val="18"/>
                <w:szCs w:val="18"/>
              </w:rPr>
              <w:t>Pavilon tělovýchovy II. </w:t>
            </w:r>
            <w:r w:rsidR="00310BE6">
              <w:rPr>
                <w:rFonts w:asciiTheme="minorHAnsi" w:hAnsiTheme="minorHAnsi" w:cstheme="minorHAnsi"/>
                <w:i/>
                <w:sz w:val="18"/>
                <w:szCs w:val="18"/>
              </w:rPr>
              <w:t>e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tapa </w:t>
            </w: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(akce nedokončena)</w:t>
            </w:r>
          </w:p>
        </w:tc>
        <w:tc>
          <w:tcPr>
            <w:tcW w:w="1134" w:type="dxa"/>
            <w:vAlign w:val="center"/>
          </w:tcPr>
          <w:p w14:paraId="67815285" w14:textId="77777777" w:rsidR="00752D1A" w:rsidRPr="00752D1A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2 278 Kč</w:t>
            </w:r>
          </w:p>
          <w:p w14:paraId="4B1CC946" w14:textId="6747B705" w:rsidR="00752D1A" w:rsidRPr="00752D1A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2 298 Kč</w:t>
            </w:r>
          </w:p>
        </w:tc>
        <w:tc>
          <w:tcPr>
            <w:tcW w:w="1417" w:type="dxa"/>
            <w:vAlign w:val="center"/>
          </w:tcPr>
          <w:p w14:paraId="45451A93" w14:textId="77777777" w:rsidR="00752D1A" w:rsidRPr="00752D1A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15 044 Kč</w:t>
            </w:r>
          </w:p>
          <w:p w14:paraId="2A625933" w14:textId="0719587D" w:rsidR="00752D1A" w:rsidRPr="00752D1A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15 174 Kč</w:t>
            </w:r>
          </w:p>
        </w:tc>
        <w:tc>
          <w:tcPr>
            <w:tcW w:w="1304" w:type="dxa"/>
            <w:vAlign w:val="center"/>
          </w:tcPr>
          <w:p w14:paraId="1A04BA0B" w14:textId="77777777" w:rsidR="00752D1A" w:rsidRPr="00752D1A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261FA88" w14:textId="77777777" w:rsidR="00752D1A" w:rsidRPr="00752D1A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D518A2" w14:textId="77777777" w:rsidR="00752D1A" w:rsidRPr="00752D1A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2B82" w:rsidRPr="006F27C5" w14:paraId="5D0C1C4F" w14:textId="77777777" w:rsidTr="006E7DC9">
        <w:trPr>
          <w:jc w:val="center"/>
        </w:trPr>
        <w:tc>
          <w:tcPr>
            <w:tcW w:w="3118" w:type="dxa"/>
            <w:vAlign w:val="center"/>
          </w:tcPr>
          <w:p w14:paraId="2F90FE6D" w14:textId="632B5D18" w:rsidR="003C2B82" w:rsidRPr="00752D1A" w:rsidRDefault="003C2B82" w:rsidP="003602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133D21A006602 </w:t>
            </w:r>
            <w:r w:rsidR="00FA5E16">
              <w:rPr>
                <w:rFonts w:asciiTheme="minorHAnsi" w:hAnsiTheme="minorHAnsi" w:cstheme="minorHAnsi"/>
                <w:i/>
                <w:sz w:val="18"/>
                <w:szCs w:val="18"/>
              </w:rPr>
              <w:t>Generální rekonstrukce a 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oprava objektu Tržiště 20 </w:t>
            </w:r>
            <w:r w:rsidR="00FA5E16">
              <w:rPr>
                <w:rFonts w:asciiTheme="minorHAnsi" w:hAnsiTheme="minorHAnsi" w:cstheme="minorHAnsi"/>
                <w:sz w:val="18"/>
                <w:szCs w:val="18"/>
              </w:rPr>
              <w:t>(akce </w:t>
            </w: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dokončena)</w:t>
            </w:r>
          </w:p>
        </w:tc>
        <w:tc>
          <w:tcPr>
            <w:tcW w:w="1134" w:type="dxa"/>
            <w:vAlign w:val="center"/>
          </w:tcPr>
          <w:p w14:paraId="3EF1B97D" w14:textId="77777777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3 323 Kč</w:t>
            </w:r>
          </w:p>
          <w:p w14:paraId="687D5853" w14:textId="089B0A95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4 163 Kč</w:t>
            </w:r>
          </w:p>
        </w:tc>
        <w:tc>
          <w:tcPr>
            <w:tcW w:w="1417" w:type="dxa"/>
            <w:vAlign w:val="center"/>
          </w:tcPr>
          <w:p w14:paraId="2BB25D9B" w14:textId="392336F0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20 938 Kč </w:t>
            </w: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26 234 Kč</w:t>
            </w:r>
          </w:p>
        </w:tc>
        <w:tc>
          <w:tcPr>
            <w:tcW w:w="1304" w:type="dxa"/>
            <w:vAlign w:val="center"/>
          </w:tcPr>
          <w:p w14:paraId="74BDBF40" w14:textId="77777777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E5EE014" w14:textId="77777777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C7336A" w14:textId="77777777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773262C3" w14:textId="77777777" w:rsidTr="006E7DC9">
        <w:trPr>
          <w:jc w:val="center"/>
        </w:trPr>
        <w:tc>
          <w:tcPr>
            <w:tcW w:w="3118" w:type="dxa"/>
            <w:vAlign w:val="center"/>
          </w:tcPr>
          <w:p w14:paraId="14B21D79" w14:textId="77777777" w:rsidR="00187573" w:rsidRPr="00752D1A" w:rsidRDefault="00187573" w:rsidP="0036028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133D21Q001102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>UPOL – Rekonstrukce objektu Křížkovského 10, Olomouc</w:t>
            </w:r>
          </w:p>
          <w:p w14:paraId="289D1595" w14:textId="6DD0192A" w:rsidR="00187573" w:rsidRPr="00752D1A" w:rsidRDefault="00187573" w:rsidP="003602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(akce nedokončena)</w:t>
            </w:r>
          </w:p>
        </w:tc>
        <w:tc>
          <w:tcPr>
            <w:tcW w:w="1134" w:type="dxa"/>
            <w:vAlign w:val="center"/>
          </w:tcPr>
          <w:p w14:paraId="6CD726FC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6 065 Kč</w:t>
            </w:r>
          </w:p>
          <w:p w14:paraId="2D51BAD0" w14:textId="193BFC2D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6 065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78948E" w14:textId="26E9D994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32 658 Kč </w:t>
            </w: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32 657 Kč</w:t>
            </w:r>
          </w:p>
        </w:tc>
        <w:tc>
          <w:tcPr>
            <w:tcW w:w="1304" w:type="dxa"/>
            <w:vAlign w:val="center"/>
          </w:tcPr>
          <w:p w14:paraId="33E7E101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1AFBFE6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61C0E8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0F2DFF92" w14:textId="77777777" w:rsidTr="006E7DC9">
        <w:trPr>
          <w:jc w:val="center"/>
        </w:trPr>
        <w:tc>
          <w:tcPr>
            <w:tcW w:w="3118" w:type="dxa"/>
            <w:vAlign w:val="center"/>
          </w:tcPr>
          <w:p w14:paraId="7F77F855" w14:textId="2B6C6D0C" w:rsidR="00187573" w:rsidRPr="00427391" w:rsidRDefault="00187573" w:rsidP="0036028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133D21Q001101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UPOL – Rekonstrukce části objektu CMTF Univerzitní 22, Olomouc </w:t>
            </w: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(akce dokončena)</w:t>
            </w:r>
          </w:p>
        </w:tc>
        <w:tc>
          <w:tcPr>
            <w:tcW w:w="1134" w:type="dxa"/>
            <w:vAlign w:val="center"/>
          </w:tcPr>
          <w:p w14:paraId="136DE8D7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6 454 Kč</w:t>
            </w:r>
          </w:p>
          <w:p w14:paraId="387ED370" w14:textId="7A8A372D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3 641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3A698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34 928 Kč</w:t>
            </w:r>
          </w:p>
          <w:p w14:paraId="74823225" w14:textId="26CAE8C4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19 988 Kč</w:t>
            </w:r>
          </w:p>
        </w:tc>
        <w:tc>
          <w:tcPr>
            <w:tcW w:w="1304" w:type="dxa"/>
            <w:vAlign w:val="center"/>
          </w:tcPr>
          <w:p w14:paraId="41CABA11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950E523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7323B7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4600F" w:rsidRPr="006F27C5" w14:paraId="36D86C22" w14:textId="77777777" w:rsidTr="006E7DC9">
        <w:trPr>
          <w:jc w:val="center"/>
        </w:trPr>
        <w:tc>
          <w:tcPr>
            <w:tcW w:w="3118" w:type="dxa"/>
            <w:vAlign w:val="center"/>
          </w:tcPr>
          <w:p w14:paraId="579F661B" w14:textId="0FAF1301" w:rsidR="003C2B82" w:rsidRPr="00752D1A" w:rsidRDefault="0044600F" w:rsidP="0036028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133D21Q001104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>UPOL – Rekonstrukce objektu Na Hradě 5, Olomouc</w:t>
            </w:r>
            <w:r w:rsidR="0042739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72B24094" w14:textId="51BCC466" w:rsidR="0044600F" w:rsidRPr="00752D1A" w:rsidRDefault="0044600F" w:rsidP="003602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(akce nedokončena)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BFC3A6" w14:textId="77777777" w:rsidR="0044600F" w:rsidRPr="00752D1A" w:rsidRDefault="0044600F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6 927 Kč</w:t>
            </w:r>
          </w:p>
          <w:p w14:paraId="1582A45D" w14:textId="36C1ADFE" w:rsidR="0044600F" w:rsidRPr="00752D1A" w:rsidRDefault="0044600F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6 778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3CB853" w14:textId="77777777" w:rsidR="0044600F" w:rsidRPr="00752D1A" w:rsidRDefault="0044600F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31 594 Kč</w:t>
            </w:r>
          </w:p>
          <w:p w14:paraId="1AF5F301" w14:textId="177813D5" w:rsidR="0044600F" w:rsidRPr="00752D1A" w:rsidRDefault="0044600F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32 826 Kč</w:t>
            </w:r>
          </w:p>
        </w:tc>
        <w:tc>
          <w:tcPr>
            <w:tcW w:w="1304" w:type="dxa"/>
            <w:vAlign w:val="center"/>
          </w:tcPr>
          <w:p w14:paraId="68783A16" w14:textId="77777777" w:rsidR="0044600F" w:rsidRPr="00752D1A" w:rsidRDefault="0044600F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7595E31" w14:textId="77777777" w:rsidR="0044600F" w:rsidRPr="00752D1A" w:rsidRDefault="0044600F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7F75D5" w14:textId="77777777" w:rsidR="0044600F" w:rsidRPr="00752D1A" w:rsidRDefault="0044600F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56AAB0F6" w14:textId="77777777" w:rsidTr="006E7DC9">
        <w:trPr>
          <w:jc w:val="center"/>
        </w:trPr>
        <w:tc>
          <w:tcPr>
            <w:tcW w:w="3118" w:type="dxa"/>
            <w:vAlign w:val="center"/>
          </w:tcPr>
          <w:p w14:paraId="5CB8DC12" w14:textId="0D8C2389" w:rsidR="00187573" w:rsidRPr="00752D1A" w:rsidRDefault="00187573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133D21C005902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Mezifakultní centrum environmentálních věd – 2. část </w:t>
            </w:r>
            <w:r w:rsidR="00FA5E16">
              <w:rPr>
                <w:rFonts w:asciiTheme="minorHAnsi" w:hAnsiTheme="minorHAnsi" w:cstheme="minorHAnsi"/>
                <w:sz w:val="18"/>
                <w:szCs w:val="18"/>
              </w:rPr>
              <w:t>(akce </w:t>
            </w: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dokončena)</w:t>
            </w:r>
          </w:p>
        </w:tc>
        <w:tc>
          <w:tcPr>
            <w:tcW w:w="1134" w:type="dxa"/>
            <w:vAlign w:val="center"/>
          </w:tcPr>
          <w:p w14:paraId="632730FB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7 115 Kč</w:t>
            </w:r>
          </w:p>
          <w:p w14:paraId="3ADF8797" w14:textId="718EFA21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7 115 Kč</w:t>
            </w:r>
          </w:p>
        </w:tc>
        <w:tc>
          <w:tcPr>
            <w:tcW w:w="1417" w:type="dxa"/>
            <w:vAlign w:val="center"/>
          </w:tcPr>
          <w:p w14:paraId="2C6178A9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25EA5D7" w14:textId="151EAD5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36 136 Kč </w:t>
            </w: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36 139 Kč</w:t>
            </w:r>
          </w:p>
        </w:tc>
        <w:tc>
          <w:tcPr>
            <w:tcW w:w="1304" w:type="dxa"/>
            <w:vAlign w:val="center"/>
          </w:tcPr>
          <w:p w14:paraId="740CF6A7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5F64CC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2B82" w:rsidRPr="006F27C5" w14:paraId="08550318" w14:textId="77777777" w:rsidTr="006E7DC9">
        <w:trPr>
          <w:jc w:val="center"/>
        </w:trPr>
        <w:tc>
          <w:tcPr>
            <w:tcW w:w="3118" w:type="dxa"/>
            <w:vAlign w:val="center"/>
          </w:tcPr>
          <w:p w14:paraId="396F6C92" w14:textId="77777777" w:rsidR="003C2B82" w:rsidRPr="00752D1A" w:rsidRDefault="003C2B82" w:rsidP="0036028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133D21M004301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>VUT – Rekonstrukce opláštění budovy A1, Brno</w:t>
            </w:r>
          </w:p>
          <w:p w14:paraId="27B92294" w14:textId="28F92AF5" w:rsidR="003C2B82" w:rsidRPr="00752D1A" w:rsidRDefault="003C2B82" w:rsidP="003602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(akce dokončena)</w:t>
            </w:r>
          </w:p>
        </w:tc>
        <w:tc>
          <w:tcPr>
            <w:tcW w:w="1134" w:type="dxa"/>
            <w:vAlign w:val="center"/>
          </w:tcPr>
          <w:p w14:paraId="208A407A" w14:textId="77777777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8 052 Kč</w:t>
            </w:r>
          </w:p>
          <w:p w14:paraId="771415FA" w14:textId="1B18C6AB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7 590 Kč</w:t>
            </w:r>
          </w:p>
          <w:p w14:paraId="04705386" w14:textId="589BFD46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6 985 Kč</w:t>
            </w:r>
          </w:p>
        </w:tc>
        <w:tc>
          <w:tcPr>
            <w:tcW w:w="1417" w:type="dxa"/>
            <w:vAlign w:val="center"/>
          </w:tcPr>
          <w:p w14:paraId="73503E2B" w14:textId="77777777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31 559 Kč </w:t>
            </w: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29 747 Kč</w:t>
            </w:r>
          </w:p>
          <w:p w14:paraId="6440E14B" w14:textId="686DEC5B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29 402 Kč</w:t>
            </w:r>
          </w:p>
        </w:tc>
        <w:tc>
          <w:tcPr>
            <w:tcW w:w="1304" w:type="dxa"/>
            <w:vAlign w:val="center"/>
          </w:tcPr>
          <w:p w14:paraId="280FDB21" w14:textId="3B2E00E2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3565583" w14:textId="77777777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C78D2D" w14:textId="77777777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-</w:t>
            </w:r>
          </w:p>
          <w:p w14:paraId="5C115F42" w14:textId="42E889CF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-</w:t>
            </w:r>
          </w:p>
          <w:p w14:paraId="221B31DF" w14:textId="21805F04" w:rsidR="003C2B82" w:rsidRPr="00752D1A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7 865 Kč</w:t>
            </w:r>
          </w:p>
        </w:tc>
      </w:tr>
      <w:tr w:rsidR="00187573" w:rsidRPr="006F27C5" w14:paraId="545EF034" w14:textId="77777777" w:rsidTr="006E7DC9">
        <w:trPr>
          <w:jc w:val="center"/>
        </w:trPr>
        <w:tc>
          <w:tcPr>
            <w:tcW w:w="3118" w:type="dxa"/>
            <w:vAlign w:val="center"/>
          </w:tcPr>
          <w:p w14:paraId="5F452FD5" w14:textId="7E461A8A" w:rsidR="00187573" w:rsidRPr="00752D1A" w:rsidRDefault="00187573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133D21R004701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Vzdělávací komplex </w:t>
            </w:r>
            <w:r w:rsidR="006B0882">
              <w:rPr>
                <w:rFonts w:asciiTheme="minorHAnsi" w:hAnsiTheme="minorHAnsi" w:cstheme="minorHAnsi"/>
                <w:sz w:val="18"/>
                <w:szCs w:val="18"/>
              </w:rPr>
              <w:t>(akce </w:t>
            </w: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nedokončena)</w:t>
            </w:r>
          </w:p>
        </w:tc>
        <w:tc>
          <w:tcPr>
            <w:tcW w:w="1134" w:type="dxa"/>
            <w:vAlign w:val="center"/>
          </w:tcPr>
          <w:p w14:paraId="09444087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8 175 Kč</w:t>
            </w:r>
          </w:p>
          <w:p w14:paraId="7C48F01E" w14:textId="1A6C36FD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7 751 Kč</w:t>
            </w:r>
          </w:p>
        </w:tc>
        <w:tc>
          <w:tcPr>
            <w:tcW w:w="1417" w:type="dxa"/>
            <w:vAlign w:val="center"/>
          </w:tcPr>
          <w:p w14:paraId="1530A4C3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4864760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37 005 Kč</w:t>
            </w:r>
          </w:p>
          <w:p w14:paraId="062D9C0B" w14:textId="6E6D01F1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35 084 Kč</w:t>
            </w:r>
          </w:p>
        </w:tc>
        <w:tc>
          <w:tcPr>
            <w:tcW w:w="1304" w:type="dxa"/>
            <w:vAlign w:val="center"/>
          </w:tcPr>
          <w:p w14:paraId="1EC80540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7E2503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50B40EA5" w14:textId="77777777" w:rsidTr="006E7DC9">
        <w:trPr>
          <w:jc w:val="center"/>
        </w:trPr>
        <w:tc>
          <w:tcPr>
            <w:tcW w:w="3118" w:type="dxa"/>
            <w:vAlign w:val="center"/>
          </w:tcPr>
          <w:p w14:paraId="023BF520" w14:textId="77777777" w:rsidR="00360287" w:rsidRDefault="00187573" w:rsidP="0036028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133D21T003702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UHK – Objekt C, lokalita Na Soutoku </w:t>
            </w:r>
          </w:p>
          <w:p w14:paraId="7A1A64BA" w14:textId="0CD27E17" w:rsidR="00187573" w:rsidRPr="00752D1A" w:rsidRDefault="00187573" w:rsidP="003602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(akce nedokončena)</w:t>
            </w:r>
          </w:p>
        </w:tc>
        <w:tc>
          <w:tcPr>
            <w:tcW w:w="1134" w:type="dxa"/>
            <w:vAlign w:val="center"/>
          </w:tcPr>
          <w:p w14:paraId="2016D330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8 280 Kč</w:t>
            </w:r>
          </w:p>
          <w:p w14:paraId="619719FF" w14:textId="26B0A77D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7 994 Kč</w:t>
            </w:r>
          </w:p>
        </w:tc>
        <w:tc>
          <w:tcPr>
            <w:tcW w:w="1417" w:type="dxa"/>
            <w:vAlign w:val="center"/>
          </w:tcPr>
          <w:p w14:paraId="7CCD3129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2163216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50 812 Kč</w:t>
            </w:r>
          </w:p>
          <w:p w14:paraId="66E3F6D1" w14:textId="088C615E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49 057 Kč</w:t>
            </w:r>
          </w:p>
        </w:tc>
        <w:tc>
          <w:tcPr>
            <w:tcW w:w="1304" w:type="dxa"/>
            <w:vAlign w:val="center"/>
          </w:tcPr>
          <w:p w14:paraId="528092C1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8AE65C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5D5CD870" w14:textId="77777777" w:rsidTr="006E7DC9">
        <w:trPr>
          <w:jc w:val="center"/>
        </w:trPr>
        <w:tc>
          <w:tcPr>
            <w:tcW w:w="3118" w:type="dxa"/>
            <w:vAlign w:val="center"/>
          </w:tcPr>
          <w:p w14:paraId="40646358" w14:textId="4DBD0E67" w:rsidR="00187573" w:rsidRPr="00752D1A" w:rsidRDefault="00187573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133D21J000701 </w:t>
            </w:r>
            <w:r w:rsidR="00C34243">
              <w:rPr>
                <w:rFonts w:asciiTheme="minorHAnsi" w:hAnsiTheme="minorHAnsi" w:cstheme="minorHAnsi"/>
                <w:i/>
                <w:sz w:val="18"/>
                <w:szCs w:val="18"/>
              </w:rPr>
              <w:t>Rekonstrukce a 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>dostavba historického areálu F</w:t>
            </w:r>
            <w:r w:rsidR="00C34243">
              <w:rPr>
                <w:rFonts w:asciiTheme="minorHAnsi" w:hAnsiTheme="minorHAnsi" w:cstheme="minorHAnsi"/>
                <w:i/>
                <w:sz w:val="18"/>
                <w:szCs w:val="18"/>
              </w:rPr>
              <w:t>ilozofické fakulty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34243">
              <w:rPr>
                <w:rFonts w:asciiTheme="minorHAnsi" w:hAnsiTheme="minorHAnsi" w:cstheme="minorHAnsi"/>
                <w:sz w:val="18"/>
                <w:szCs w:val="18"/>
              </w:rPr>
              <w:t>(akce </w:t>
            </w: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nedokončena)</w:t>
            </w:r>
          </w:p>
        </w:tc>
        <w:tc>
          <w:tcPr>
            <w:tcW w:w="1134" w:type="dxa"/>
            <w:vAlign w:val="center"/>
          </w:tcPr>
          <w:p w14:paraId="1507C627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8 442 Kč</w:t>
            </w:r>
          </w:p>
          <w:p w14:paraId="66440693" w14:textId="66499486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8 442 Kč</w:t>
            </w:r>
          </w:p>
        </w:tc>
        <w:tc>
          <w:tcPr>
            <w:tcW w:w="1417" w:type="dxa"/>
            <w:vAlign w:val="center"/>
          </w:tcPr>
          <w:p w14:paraId="2FD3BA38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41 553 Kč</w:t>
            </w:r>
          </w:p>
          <w:p w14:paraId="5ABD2CE9" w14:textId="689BC4B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41 559 Kč</w:t>
            </w:r>
          </w:p>
        </w:tc>
        <w:tc>
          <w:tcPr>
            <w:tcW w:w="1304" w:type="dxa"/>
            <w:vAlign w:val="center"/>
          </w:tcPr>
          <w:p w14:paraId="2670DBFC" w14:textId="22D9CDD2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2B41741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ED081B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47D4A1F4" w14:textId="77777777" w:rsidTr="006E7DC9">
        <w:trPr>
          <w:jc w:val="center"/>
        </w:trPr>
        <w:tc>
          <w:tcPr>
            <w:tcW w:w="3118" w:type="dxa"/>
            <w:vAlign w:val="center"/>
          </w:tcPr>
          <w:p w14:paraId="4DE8185A" w14:textId="06FB99A5" w:rsidR="00187573" w:rsidRPr="00752D1A" w:rsidRDefault="00187573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133D21B006905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Rekonstrukce Školy architektury </w:t>
            </w: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(akce nedokončena)</w:t>
            </w:r>
          </w:p>
        </w:tc>
        <w:tc>
          <w:tcPr>
            <w:tcW w:w="1134" w:type="dxa"/>
            <w:vAlign w:val="center"/>
          </w:tcPr>
          <w:p w14:paraId="1DFE59EE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9 600 Kč</w:t>
            </w:r>
          </w:p>
          <w:p w14:paraId="5BFB2277" w14:textId="41CCCFB6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9 592 Kč</w:t>
            </w:r>
          </w:p>
        </w:tc>
        <w:tc>
          <w:tcPr>
            <w:tcW w:w="1417" w:type="dxa"/>
            <w:vAlign w:val="center"/>
          </w:tcPr>
          <w:p w14:paraId="69494132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54 472 Kč</w:t>
            </w:r>
          </w:p>
          <w:p w14:paraId="4C660D0A" w14:textId="3A571154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54 442 Kč</w:t>
            </w:r>
          </w:p>
        </w:tc>
        <w:tc>
          <w:tcPr>
            <w:tcW w:w="1304" w:type="dxa"/>
            <w:vAlign w:val="center"/>
          </w:tcPr>
          <w:p w14:paraId="020F225C" w14:textId="7FF8BC2E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9A5E237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E413B4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25BFF897" w14:textId="77777777" w:rsidTr="006E7DC9">
        <w:trPr>
          <w:jc w:val="center"/>
        </w:trPr>
        <w:tc>
          <w:tcPr>
            <w:tcW w:w="3118" w:type="dxa"/>
            <w:vAlign w:val="center"/>
          </w:tcPr>
          <w:p w14:paraId="25E5D509" w14:textId="0F7AC73C" w:rsidR="00187573" w:rsidRPr="00752D1A" w:rsidRDefault="00187573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 xml:space="preserve">133D21D003826 </w:t>
            </w:r>
            <w:r w:rsidRPr="00752D1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ČVUT – CIIRC </w:t>
            </w: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(akce nedokončena)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80D1D" w14:textId="7D97D6C8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9 700 Kč</w:t>
            </w:r>
          </w:p>
          <w:p w14:paraId="62B7E7EA" w14:textId="135BF438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8 520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B4C449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752D1A">
              <w:rPr>
                <w:rFonts w:asciiTheme="minorHAnsi" w:hAnsiTheme="minorHAnsi" w:cstheme="minorHAnsi"/>
                <w:sz w:val="18"/>
                <w:szCs w:val="18"/>
              </w:rPr>
              <w:t>59 597 Kč</w:t>
            </w:r>
          </w:p>
          <w:p w14:paraId="3CE40D9A" w14:textId="6A3FAF9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9A536E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4</w:t>
            </w:r>
            <w:r w:rsidR="009A536E" w:rsidRPr="009A536E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3</w:t>
            </w:r>
            <w:r w:rsidRPr="009A536E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 xml:space="preserve"> </w:t>
            </w:r>
            <w:r w:rsidR="009A536E" w:rsidRPr="009A536E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>866</w:t>
            </w:r>
            <w:r w:rsidRPr="009A536E">
              <w:rPr>
                <w:rFonts w:asciiTheme="minorHAnsi" w:hAnsiTheme="minorHAnsi" w:cstheme="minorHAnsi"/>
                <w:color w:val="C00000"/>
                <w:sz w:val="18"/>
                <w:szCs w:val="18"/>
              </w:rPr>
              <w:t xml:space="preserve"> Kč</w:t>
            </w:r>
          </w:p>
        </w:tc>
        <w:tc>
          <w:tcPr>
            <w:tcW w:w="1304" w:type="dxa"/>
            <w:vAlign w:val="center"/>
          </w:tcPr>
          <w:p w14:paraId="13EAADD5" w14:textId="1F1D83BF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D1B7289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05C76A" w14:textId="77777777" w:rsidR="00187573" w:rsidRPr="00752D1A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5F652CDB" w14:textId="77777777" w:rsidTr="006E7DC9">
        <w:trPr>
          <w:jc w:val="center"/>
        </w:trPr>
        <w:tc>
          <w:tcPr>
            <w:tcW w:w="3118" w:type="dxa"/>
            <w:vAlign w:val="center"/>
          </w:tcPr>
          <w:p w14:paraId="50B06C7B" w14:textId="6B37D65E" w:rsidR="00187573" w:rsidRPr="00187573" w:rsidRDefault="00187573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 xml:space="preserve">133D21E000011 </w:t>
            </w:r>
            <w:r w:rsidRPr="0018757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Dostavba posluchárny Lékařské fakulty </w:t>
            </w: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(akce dokončena)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F78DA5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10 841 Kč</w:t>
            </w:r>
          </w:p>
          <w:p w14:paraId="1B3E8A4B" w14:textId="5001CD28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9 852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4C3065" w14:textId="6F2B83D8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702845AE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92 519 Kč</w:t>
            </w:r>
          </w:p>
          <w:p w14:paraId="0AE961AB" w14:textId="54060F5C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84 082 Kč</w:t>
            </w:r>
          </w:p>
        </w:tc>
        <w:tc>
          <w:tcPr>
            <w:tcW w:w="1304" w:type="dxa"/>
            <w:vAlign w:val="center"/>
          </w:tcPr>
          <w:p w14:paraId="3654A1D5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D13182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87573" w:rsidRPr="006F27C5" w14:paraId="4D78EACE" w14:textId="77777777" w:rsidTr="006E7DC9">
        <w:trPr>
          <w:jc w:val="center"/>
        </w:trPr>
        <w:tc>
          <w:tcPr>
            <w:tcW w:w="3118" w:type="dxa"/>
            <w:vAlign w:val="center"/>
          </w:tcPr>
          <w:p w14:paraId="4776A539" w14:textId="3AA62938" w:rsidR="00187573" w:rsidRPr="00187573" w:rsidRDefault="00187573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 xml:space="preserve">133D21F003311 </w:t>
            </w:r>
            <w:r w:rsidRPr="0018757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Rekonstrukce terminálových učeben a infrastruktury Staré budovy v Praze </w:t>
            </w: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(akce dokončena)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49A496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13 892 Kč</w:t>
            </w:r>
          </w:p>
          <w:p w14:paraId="70B44B21" w14:textId="563BF65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9 817 Kč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665E5E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60 107 Kč</w:t>
            </w:r>
          </w:p>
          <w:p w14:paraId="4FB31AB6" w14:textId="533F122A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42 477 Kč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2E52205" w14:textId="3E7257C1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B56E69E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DA1C34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C2B82" w:rsidRPr="006F27C5" w14:paraId="6082FA8A" w14:textId="77777777" w:rsidTr="006E7DC9">
        <w:trPr>
          <w:jc w:val="center"/>
        </w:trPr>
        <w:tc>
          <w:tcPr>
            <w:tcW w:w="3118" w:type="dxa"/>
            <w:vAlign w:val="center"/>
          </w:tcPr>
          <w:p w14:paraId="32C3F008" w14:textId="5987F5B4" w:rsidR="00752D1A" w:rsidRPr="00187573" w:rsidRDefault="003C2B82" w:rsidP="00360287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 xml:space="preserve">133D21D003819 </w:t>
            </w:r>
            <w:r w:rsidRPr="00187573">
              <w:rPr>
                <w:rFonts w:asciiTheme="minorHAnsi" w:hAnsiTheme="minorHAnsi" w:cstheme="minorHAnsi"/>
                <w:i/>
                <w:sz w:val="18"/>
                <w:szCs w:val="18"/>
              </w:rPr>
              <w:t>ČVUT – Rekonstrukce LOP Monobloku Dejvice 3. a 4. etapa</w:t>
            </w:r>
            <w:r w:rsidR="0042739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44691569" w14:textId="61A5D1F8" w:rsidR="003C2B82" w:rsidRPr="00187573" w:rsidRDefault="003C2B82" w:rsidP="003602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(akce dokončena)</w:t>
            </w:r>
          </w:p>
        </w:tc>
        <w:tc>
          <w:tcPr>
            <w:tcW w:w="1134" w:type="dxa"/>
            <w:vAlign w:val="center"/>
          </w:tcPr>
          <w:p w14:paraId="0E673F9B" w14:textId="1156FEBC" w:rsidR="003C2B82" w:rsidRPr="00187573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9FFC459" w14:textId="4314D5B3" w:rsidR="003C2B82" w:rsidRPr="00187573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41C5629" w14:textId="77777777" w:rsidR="003C2B82" w:rsidRPr="00187573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E2235D7" w14:textId="6BF036BB" w:rsidR="003C2B82" w:rsidRPr="00187573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A00987" w14:textId="77777777" w:rsidR="003C2B82" w:rsidRPr="00187573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8 530 Kč</w:t>
            </w:r>
          </w:p>
          <w:p w14:paraId="617855DD" w14:textId="1F81BF99" w:rsidR="003C2B82" w:rsidRPr="00187573" w:rsidRDefault="003C2B82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8 203 Kč</w:t>
            </w:r>
          </w:p>
        </w:tc>
      </w:tr>
      <w:tr w:rsidR="00752D1A" w:rsidRPr="006F27C5" w14:paraId="550826A6" w14:textId="77777777" w:rsidTr="006E7DC9">
        <w:trPr>
          <w:jc w:val="center"/>
        </w:trPr>
        <w:tc>
          <w:tcPr>
            <w:tcW w:w="3118" w:type="dxa"/>
            <w:vAlign w:val="center"/>
          </w:tcPr>
          <w:p w14:paraId="1BD2789F" w14:textId="53C86A23" w:rsidR="00752D1A" w:rsidRPr="00187573" w:rsidRDefault="00752D1A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 xml:space="preserve">133D21H007001 </w:t>
            </w:r>
            <w:r w:rsidRPr="0018757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Oprava fasády v hlavní budově v Praze – 3. etapa </w:t>
            </w:r>
            <w:r w:rsidR="006B0882">
              <w:rPr>
                <w:rFonts w:asciiTheme="minorHAnsi" w:hAnsiTheme="minorHAnsi" w:cstheme="minorHAnsi"/>
                <w:sz w:val="18"/>
                <w:szCs w:val="18"/>
              </w:rPr>
              <w:t>(akce </w:t>
            </w: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dokončena)</w:t>
            </w:r>
          </w:p>
        </w:tc>
        <w:tc>
          <w:tcPr>
            <w:tcW w:w="1134" w:type="dxa"/>
            <w:vAlign w:val="center"/>
          </w:tcPr>
          <w:p w14:paraId="26B033A9" w14:textId="5E92BC6A" w:rsidR="00752D1A" w:rsidRPr="00187573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E0C7A5" w14:textId="6B78A7FA" w:rsidR="00752D1A" w:rsidRPr="00187573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157D50B" w14:textId="77777777" w:rsidR="00752D1A" w:rsidRPr="00187573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194C125" w14:textId="77777777" w:rsidR="00752D1A" w:rsidRPr="00187573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A1A4C1" w14:textId="77777777" w:rsidR="00752D1A" w:rsidRPr="00187573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8 675 Kč</w:t>
            </w:r>
          </w:p>
          <w:p w14:paraId="62C25A1E" w14:textId="32FED798" w:rsidR="00752D1A" w:rsidRPr="00187573" w:rsidRDefault="00752D1A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7 115 Kč</w:t>
            </w:r>
          </w:p>
        </w:tc>
      </w:tr>
      <w:tr w:rsidR="00187573" w:rsidRPr="006F27C5" w14:paraId="65C21B53" w14:textId="77777777" w:rsidTr="006E7DC9">
        <w:trPr>
          <w:jc w:val="center"/>
        </w:trPr>
        <w:tc>
          <w:tcPr>
            <w:tcW w:w="3118" w:type="dxa"/>
            <w:vAlign w:val="center"/>
          </w:tcPr>
          <w:p w14:paraId="5057AE12" w14:textId="7A6CA5F6" w:rsidR="00187573" w:rsidRPr="00187573" w:rsidRDefault="00187573" w:rsidP="0042739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 xml:space="preserve">133D21U004903 </w:t>
            </w:r>
            <w:r w:rsidR="00C34243">
              <w:rPr>
                <w:rFonts w:asciiTheme="minorHAnsi" w:hAnsiTheme="minorHAnsi" w:cstheme="minorHAnsi"/>
                <w:i/>
                <w:sz w:val="18"/>
                <w:szCs w:val="18"/>
              </w:rPr>
              <w:t>Rekonstrukce a </w:t>
            </w:r>
            <w:r w:rsidRPr="00187573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zateplení výukového objektu EA </w:t>
            </w: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>(akce dokončena)</w:t>
            </w:r>
          </w:p>
        </w:tc>
        <w:tc>
          <w:tcPr>
            <w:tcW w:w="1134" w:type="dxa"/>
            <w:vAlign w:val="center"/>
          </w:tcPr>
          <w:p w14:paraId="4EBDD795" w14:textId="01F17259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404504F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489D718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70D78E2" w14:textId="77777777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E31C51" w14:textId="4E0D42FB" w:rsidR="00187573" w:rsidRPr="00187573" w:rsidRDefault="00187573" w:rsidP="00360287">
            <w:pPr>
              <w:ind w:right="59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187573">
              <w:rPr>
                <w:rFonts w:asciiTheme="minorHAnsi" w:hAnsiTheme="minorHAnsi" w:cstheme="minorHAnsi"/>
                <w:sz w:val="18"/>
                <w:szCs w:val="18"/>
              </w:rPr>
              <w:t xml:space="preserve">9 532 Kč </w:t>
            </w:r>
            <w:r w:rsidRPr="0018757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6 778 Kč</w:t>
            </w:r>
          </w:p>
        </w:tc>
      </w:tr>
    </w:tbl>
    <w:p w14:paraId="40C1EDE5" w14:textId="2B9998AF" w:rsidR="00752D1A" w:rsidRDefault="00427391" w:rsidP="006E7DC9">
      <w:pPr>
        <w:ind w:right="-427" w:hanging="426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Vysvětlivky</w:t>
      </w:r>
      <w:r w:rsidR="00752D1A">
        <w:rPr>
          <w:rFonts w:asciiTheme="minorHAnsi" w:hAnsiTheme="minorHAnsi" w:cstheme="minorHAnsi"/>
          <w:b/>
          <w:sz w:val="18"/>
          <w:szCs w:val="18"/>
        </w:rPr>
        <w:t>:</w:t>
      </w:r>
    </w:p>
    <w:p w14:paraId="01739A3D" w14:textId="47021612" w:rsidR="00187573" w:rsidRDefault="00752D1A" w:rsidP="006E7DC9">
      <w:pPr>
        <w:ind w:left="284" w:right="-427" w:hanging="71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Če</w:t>
      </w:r>
      <w:r w:rsidR="0044600F" w:rsidRPr="0044600F">
        <w:rPr>
          <w:rFonts w:asciiTheme="minorHAnsi" w:hAnsiTheme="minorHAnsi" w:cstheme="minorHAnsi"/>
          <w:sz w:val="18"/>
          <w:szCs w:val="18"/>
        </w:rPr>
        <w:t xml:space="preserve">rně </w:t>
      </w:r>
      <w:r w:rsidR="001554D0">
        <w:rPr>
          <w:rFonts w:asciiTheme="minorHAnsi" w:hAnsiTheme="minorHAnsi" w:cstheme="minorHAnsi"/>
          <w:sz w:val="18"/>
          <w:szCs w:val="18"/>
        </w:rPr>
        <w:t>–</w:t>
      </w:r>
      <w:r w:rsidR="00187573">
        <w:rPr>
          <w:rFonts w:asciiTheme="minorHAnsi" w:hAnsiTheme="minorHAnsi" w:cstheme="minorHAnsi"/>
          <w:sz w:val="18"/>
          <w:szCs w:val="18"/>
        </w:rPr>
        <w:t xml:space="preserve"> </w:t>
      </w:r>
      <w:r w:rsidR="00CE555A">
        <w:rPr>
          <w:rFonts w:asciiTheme="minorHAnsi" w:hAnsiTheme="minorHAnsi" w:cstheme="minorHAnsi"/>
          <w:sz w:val="18"/>
          <w:szCs w:val="18"/>
        </w:rPr>
        <w:t xml:space="preserve">předběžně vypočtená </w:t>
      </w:r>
      <w:r w:rsidR="0044600F" w:rsidRPr="0044600F">
        <w:rPr>
          <w:rFonts w:asciiTheme="minorHAnsi" w:hAnsiTheme="minorHAnsi" w:cstheme="minorHAnsi"/>
          <w:sz w:val="18"/>
          <w:szCs w:val="18"/>
        </w:rPr>
        <w:t xml:space="preserve">jednotková cena </w:t>
      </w:r>
      <w:r w:rsidR="00C4413C">
        <w:rPr>
          <w:rFonts w:asciiTheme="minorHAnsi" w:hAnsiTheme="minorHAnsi" w:cstheme="minorHAnsi"/>
          <w:sz w:val="18"/>
          <w:szCs w:val="18"/>
        </w:rPr>
        <w:t>po</w:t>
      </w:r>
      <w:r w:rsidR="0044600F" w:rsidRPr="0044600F">
        <w:rPr>
          <w:rFonts w:asciiTheme="minorHAnsi" w:hAnsiTheme="minorHAnsi" w:cstheme="minorHAnsi"/>
          <w:sz w:val="18"/>
          <w:szCs w:val="18"/>
        </w:rPr>
        <w:t xml:space="preserve">dle </w:t>
      </w:r>
      <w:r w:rsidR="00C4413C">
        <w:rPr>
          <w:rFonts w:asciiTheme="minorHAnsi" w:hAnsiTheme="minorHAnsi" w:cstheme="minorHAnsi"/>
          <w:sz w:val="18"/>
          <w:szCs w:val="18"/>
        </w:rPr>
        <w:t>investičního záměru akce.</w:t>
      </w:r>
    </w:p>
    <w:p w14:paraId="168A4B51" w14:textId="49315EE2" w:rsidR="00427391" w:rsidRDefault="00187573" w:rsidP="006E7DC9">
      <w:pPr>
        <w:ind w:left="284" w:right="-427" w:hanging="710"/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>M</w:t>
      </w:r>
      <w:r w:rsidR="0044600F" w:rsidRPr="0044600F">
        <w:rPr>
          <w:rFonts w:asciiTheme="minorHAnsi" w:hAnsiTheme="minorHAnsi" w:cstheme="minorHAnsi"/>
          <w:color w:val="0070C0"/>
          <w:sz w:val="18"/>
          <w:szCs w:val="18"/>
        </w:rPr>
        <w:t>odře</w:t>
      </w:r>
      <w:r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427391">
        <w:rPr>
          <w:rFonts w:asciiTheme="minorHAnsi" w:hAnsiTheme="minorHAnsi" w:cstheme="minorHAnsi"/>
          <w:color w:val="0070C0"/>
          <w:sz w:val="18"/>
          <w:szCs w:val="18"/>
        </w:rPr>
        <w:t>–</w:t>
      </w:r>
      <w:r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44600F" w:rsidRPr="0044600F">
        <w:rPr>
          <w:rFonts w:asciiTheme="minorHAnsi" w:hAnsiTheme="minorHAnsi" w:cstheme="minorHAnsi"/>
          <w:color w:val="0070C0"/>
          <w:sz w:val="18"/>
          <w:szCs w:val="18"/>
        </w:rPr>
        <w:t>jednotková cena vypočtená z celkových nákladů a parametrů</w:t>
      </w:r>
      <w:r w:rsidR="00C4413C">
        <w:rPr>
          <w:rFonts w:asciiTheme="minorHAnsi" w:hAnsiTheme="minorHAnsi" w:cstheme="minorHAnsi"/>
          <w:color w:val="0070C0"/>
          <w:sz w:val="18"/>
          <w:szCs w:val="18"/>
        </w:rPr>
        <w:t xml:space="preserve"> akce</w:t>
      </w:r>
      <w:r w:rsidR="001E31C6">
        <w:rPr>
          <w:rFonts w:asciiTheme="minorHAnsi" w:hAnsiTheme="minorHAnsi" w:cstheme="minorHAnsi"/>
          <w:color w:val="0070C0"/>
          <w:sz w:val="18"/>
          <w:szCs w:val="18"/>
        </w:rPr>
        <w:t xml:space="preserve"> podle </w:t>
      </w:r>
      <w:r w:rsidR="001554D0">
        <w:rPr>
          <w:rFonts w:asciiTheme="minorHAnsi" w:hAnsiTheme="minorHAnsi" w:cstheme="minorHAnsi"/>
          <w:color w:val="0070C0"/>
          <w:sz w:val="18"/>
          <w:szCs w:val="18"/>
        </w:rPr>
        <w:t>evidenčního dotačního</w:t>
      </w:r>
      <w:r w:rsidR="00CE555A">
        <w:rPr>
          <w:rFonts w:asciiTheme="minorHAnsi" w:hAnsiTheme="minorHAnsi" w:cstheme="minorHAnsi"/>
          <w:color w:val="0070C0"/>
          <w:sz w:val="18"/>
          <w:szCs w:val="18"/>
        </w:rPr>
        <w:t xml:space="preserve"> systému</w:t>
      </w:r>
      <w:r w:rsidR="0044600F" w:rsidRPr="0044600F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="001554D0">
        <w:rPr>
          <w:rFonts w:asciiTheme="minorHAnsi" w:hAnsiTheme="minorHAnsi" w:cstheme="minorHAnsi"/>
          <w:color w:val="0070C0"/>
          <w:sz w:val="18"/>
          <w:szCs w:val="18"/>
        </w:rPr>
        <w:t xml:space="preserve">– </w:t>
      </w:r>
      <w:r w:rsidR="0044600F" w:rsidRPr="0044600F">
        <w:rPr>
          <w:rFonts w:asciiTheme="minorHAnsi" w:hAnsiTheme="minorHAnsi" w:cstheme="minorHAnsi"/>
          <w:color w:val="0070C0"/>
          <w:sz w:val="18"/>
          <w:szCs w:val="18"/>
        </w:rPr>
        <w:t>EDS</w:t>
      </w:r>
      <w:r w:rsidR="001E31C6">
        <w:rPr>
          <w:rFonts w:asciiTheme="minorHAnsi" w:hAnsiTheme="minorHAnsi" w:cstheme="minorHAnsi"/>
          <w:color w:val="0070C0"/>
          <w:sz w:val="18"/>
          <w:szCs w:val="18"/>
        </w:rPr>
        <w:t xml:space="preserve"> (stav 03/2017)</w:t>
      </w:r>
      <w:r w:rsidR="00C4413C">
        <w:rPr>
          <w:rFonts w:asciiTheme="minorHAnsi" w:hAnsiTheme="minorHAnsi" w:cstheme="minorHAnsi"/>
          <w:color w:val="0070C0"/>
          <w:sz w:val="18"/>
          <w:szCs w:val="18"/>
        </w:rPr>
        <w:t>.</w:t>
      </w:r>
      <w:r w:rsidR="0044600F" w:rsidRPr="0044600F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</w:p>
    <w:p w14:paraId="2FA1F31C" w14:textId="4A9050E4" w:rsidR="0044600F" w:rsidRPr="00752D1A" w:rsidRDefault="00187573" w:rsidP="006E7DC9">
      <w:pPr>
        <w:ind w:left="284" w:right="-427" w:hanging="710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color w:val="C00000"/>
          <w:sz w:val="18"/>
          <w:szCs w:val="18"/>
        </w:rPr>
        <w:t>Če</w:t>
      </w:r>
      <w:r w:rsidR="0044600F" w:rsidRPr="0044600F">
        <w:rPr>
          <w:rFonts w:asciiTheme="minorHAnsi" w:hAnsiTheme="minorHAnsi" w:cstheme="minorHAnsi"/>
          <w:color w:val="C00000"/>
          <w:sz w:val="18"/>
          <w:szCs w:val="18"/>
        </w:rPr>
        <w:t xml:space="preserve">rveně </w:t>
      </w:r>
      <w:r w:rsidR="00427391">
        <w:rPr>
          <w:rFonts w:asciiTheme="minorHAnsi" w:hAnsiTheme="minorHAnsi" w:cstheme="minorHAnsi"/>
          <w:color w:val="C00000"/>
          <w:sz w:val="18"/>
          <w:szCs w:val="18"/>
        </w:rPr>
        <w:t>–</w:t>
      </w:r>
      <w:r>
        <w:rPr>
          <w:rFonts w:asciiTheme="minorHAnsi" w:hAnsiTheme="minorHAnsi" w:cstheme="minorHAnsi"/>
          <w:color w:val="C00000"/>
          <w:sz w:val="18"/>
          <w:szCs w:val="18"/>
        </w:rPr>
        <w:t xml:space="preserve"> </w:t>
      </w:r>
      <w:r w:rsidR="0044600F" w:rsidRPr="0044600F">
        <w:rPr>
          <w:rFonts w:asciiTheme="minorHAnsi" w:hAnsiTheme="minorHAnsi" w:cstheme="minorHAnsi"/>
          <w:color w:val="C00000"/>
          <w:sz w:val="18"/>
          <w:szCs w:val="18"/>
        </w:rPr>
        <w:t>dosažená jednotková cena</w:t>
      </w:r>
      <w:r w:rsidR="00CE555A">
        <w:rPr>
          <w:rFonts w:asciiTheme="minorHAnsi" w:hAnsiTheme="minorHAnsi" w:cstheme="minorHAnsi"/>
          <w:color w:val="C00000"/>
          <w:sz w:val="18"/>
          <w:szCs w:val="18"/>
        </w:rPr>
        <w:t xml:space="preserve">; u akce </w:t>
      </w:r>
      <w:r w:rsidR="00CE555A" w:rsidRPr="00382444">
        <w:rPr>
          <w:rFonts w:asciiTheme="minorHAnsi" w:hAnsiTheme="minorHAnsi" w:cstheme="minorHAnsi"/>
          <w:i/>
          <w:color w:val="C00000"/>
          <w:sz w:val="18"/>
          <w:szCs w:val="18"/>
        </w:rPr>
        <w:t>ČVUT-CIIRC</w:t>
      </w:r>
      <w:r w:rsidR="00CE555A">
        <w:rPr>
          <w:rFonts w:asciiTheme="minorHAnsi" w:hAnsiTheme="minorHAnsi" w:cstheme="minorHAnsi"/>
          <w:color w:val="C00000"/>
          <w:sz w:val="18"/>
          <w:szCs w:val="18"/>
        </w:rPr>
        <w:t xml:space="preserve"> cena dle </w:t>
      </w:r>
      <w:r w:rsidR="00382444">
        <w:rPr>
          <w:rFonts w:asciiTheme="minorHAnsi" w:hAnsiTheme="minorHAnsi" w:cstheme="minorHAnsi"/>
          <w:color w:val="C00000"/>
          <w:sz w:val="18"/>
          <w:szCs w:val="18"/>
        </w:rPr>
        <w:t xml:space="preserve">změny </w:t>
      </w:r>
      <w:r w:rsidR="00CE555A">
        <w:rPr>
          <w:rFonts w:asciiTheme="minorHAnsi" w:hAnsiTheme="minorHAnsi" w:cstheme="minorHAnsi"/>
          <w:color w:val="C00000"/>
          <w:sz w:val="18"/>
          <w:szCs w:val="18"/>
        </w:rPr>
        <w:t>Rozhodnutí o poskytnutí dotace</w:t>
      </w:r>
      <w:r w:rsidR="00382444">
        <w:rPr>
          <w:rFonts w:asciiTheme="minorHAnsi" w:hAnsiTheme="minorHAnsi" w:cstheme="minorHAnsi"/>
          <w:color w:val="C00000"/>
          <w:sz w:val="18"/>
          <w:szCs w:val="18"/>
        </w:rPr>
        <w:t xml:space="preserve"> 12/2016</w:t>
      </w:r>
      <w:r w:rsidR="00C4413C">
        <w:rPr>
          <w:rFonts w:asciiTheme="minorHAnsi" w:hAnsiTheme="minorHAnsi" w:cstheme="minorHAnsi"/>
          <w:color w:val="C00000"/>
          <w:sz w:val="18"/>
          <w:szCs w:val="18"/>
        </w:rPr>
        <w:t>.</w:t>
      </w:r>
    </w:p>
    <w:p w14:paraId="4D40AB52" w14:textId="40F22345" w:rsidR="006B0882" w:rsidRPr="006E7DC9" w:rsidRDefault="006B0882" w:rsidP="006E7DC9">
      <w:pPr>
        <w:ind w:hanging="426"/>
        <w:rPr>
          <w:rFonts w:ascii="Calibri" w:hAnsi="Calibri" w:cs="Calibri"/>
        </w:rPr>
      </w:pPr>
    </w:p>
    <w:sectPr w:rsidR="006B0882" w:rsidRPr="006E7DC9" w:rsidSect="00872A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418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08F40" w14:textId="77777777" w:rsidR="00DB663B" w:rsidRDefault="00DB663B">
      <w:r>
        <w:separator/>
      </w:r>
    </w:p>
  </w:endnote>
  <w:endnote w:type="continuationSeparator" w:id="0">
    <w:p w14:paraId="12063CD1" w14:textId="77777777" w:rsidR="00DB663B" w:rsidRDefault="00DB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0E63C" w14:textId="77777777" w:rsidR="00F967F8" w:rsidRDefault="00F967F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F55EC" w14:textId="3442800F" w:rsidR="00DB663B" w:rsidRPr="00C2708B" w:rsidRDefault="00DB663B" w:rsidP="009A12AE">
    <w:pPr>
      <w:pStyle w:val="Zpat"/>
      <w:jc w:val="center"/>
      <w:rPr>
        <w:rFonts w:asciiTheme="minorHAnsi" w:hAnsiTheme="minorHAnsi" w:cstheme="minorHAnsi"/>
      </w:rPr>
    </w:pPr>
    <w:r w:rsidRPr="00C2708B">
      <w:rPr>
        <w:rFonts w:asciiTheme="minorHAnsi" w:hAnsiTheme="minorHAnsi" w:cstheme="minorHAnsi"/>
      </w:rPr>
      <w:fldChar w:fldCharType="begin"/>
    </w:r>
    <w:r w:rsidRPr="00C2708B">
      <w:rPr>
        <w:rFonts w:asciiTheme="minorHAnsi" w:hAnsiTheme="minorHAnsi" w:cstheme="minorHAnsi"/>
      </w:rPr>
      <w:instrText xml:space="preserve"> PAGE   \* MERGEFORMAT </w:instrText>
    </w:r>
    <w:r w:rsidRPr="00C2708B">
      <w:rPr>
        <w:rFonts w:asciiTheme="minorHAnsi" w:hAnsiTheme="minorHAnsi" w:cstheme="minorHAnsi"/>
      </w:rPr>
      <w:fldChar w:fldCharType="separate"/>
    </w:r>
    <w:r w:rsidR="0005209D">
      <w:rPr>
        <w:rFonts w:asciiTheme="minorHAnsi" w:hAnsiTheme="minorHAnsi" w:cstheme="minorHAnsi"/>
        <w:noProof/>
      </w:rPr>
      <w:t>15</w:t>
    </w:r>
    <w:r w:rsidRPr="00C2708B">
      <w:rPr>
        <w:rFonts w:asciiTheme="minorHAnsi" w:hAnsiTheme="minorHAnsi"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FF00F" w14:textId="77777777" w:rsidR="00F967F8" w:rsidRDefault="00F967F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E43A8" w14:textId="77777777" w:rsidR="00DB663B" w:rsidRDefault="00DB663B">
      <w:r>
        <w:separator/>
      </w:r>
    </w:p>
  </w:footnote>
  <w:footnote w:type="continuationSeparator" w:id="0">
    <w:p w14:paraId="729C20A3" w14:textId="77777777" w:rsidR="00DB663B" w:rsidRDefault="00DB663B">
      <w:r>
        <w:continuationSeparator/>
      </w:r>
    </w:p>
  </w:footnote>
  <w:footnote w:id="1">
    <w:p w14:paraId="7682D720" w14:textId="23CD89EF" w:rsidR="00DB663B" w:rsidRPr="008F4358" w:rsidRDefault="00DB663B" w:rsidP="008F4358">
      <w:pPr>
        <w:pStyle w:val="Textpoznpodarou"/>
        <w:ind w:left="284" w:hanging="284"/>
        <w:rPr>
          <w:rFonts w:ascii="Calibri" w:hAnsi="Calibri" w:cs="Calibri"/>
          <w:szCs w:val="18"/>
        </w:rPr>
      </w:pPr>
      <w:r w:rsidRPr="008F4358">
        <w:rPr>
          <w:rStyle w:val="Znakapoznpodarou"/>
          <w:rFonts w:ascii="Calibri" w:hAnsi="Calibri" w:cs="Calibri"/>
          <w:szCs w:val="18"/>
        </w:rPr>
        <w:footnoteRef/>
      </w:r>
      <w:r w:rsidRPr="008F4358"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szCs w:val="18"/>
        </w:rPr>
        <w:tab/>
      </w:r>
      <w:r w:rsidRPr="008F4358">
        <w:rPr>
          <w:rFonts w:ascii="Calibri" w:hAnsi="Calibri" w:cs="Calibri"/>
          <w:szCs w:val="18"/>
        </w:rPr>
        <w:t>Zákon č. 111/1998 Sb., o vysokých školách a o změně a doplnění dalších zákonů (zákon o vysokých školách).</w:t>
      </w:r>
    </w:p>
  </w:footnote>
  <w:footnote w:id="2">
    <w:p w14:paraId="2D08EA5E" w14:textId="4052F5F1" w:rsidR="00DB663B" w:rsidRPr="008F4358" w:rsidRDefault="00DB663B" w:rsidP="008F4358">
      <w:pPr>
        <w:pStyle w:val="Textpoznpodarou"/>
        <w:ind w:left="284" w:hanging="284"/>
        <w:rPr>
          <w:rFonts w:ascii="Calibri" w:hAnsi="Calibri" w:cs="Calibri"/>
          <w:szCs w:val="18"/>
        </w:rPr>
      </w:pPr>
      <w:r w:rsidRPr="008F4358">
        <w:rPr>
          <w:rStyle w:val="Znakapoznpodarou"/>
          <w:rFonts w:ascii="Calibri" w:hAnsi="Calibri" w:cs="Calibri"/>
          <w:szCs w:val="18"/>
        </w:rPr>
        <w:footnoteRef/>
      </w:r>
      <w:r w:rsidRPr="008F4358"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szCs w:val="18"/>
        </w:rPr>
        <w:tab/>
      </w:r>
      <w:r w:rsidRPr="008F4358">
        <w:rPr>
          <w:rFonts w:ascii="Calibri" w:hAnsi="Calibri" w:cs="Calibri"/>
          <w:szCs w:val="18"/>
        </w:rPr>
        <w:t>Kompetence vymezuje zejména ustanovení § 18 zákona č. 111/1998 Sb. (</w:t>
      </w:r>
      <w:r>
        <w:rPr>
          <w:rFonts w:ascii="Calibri" w:hAnsi="Calibri" w:cs="Calibri"/>
          <w:szCs w:val="18"/>
        </w:rPr>
        <w:t xml:space="preserve">vztahující se </w:t>
      </w:r>
      <w:r w:rsidRPr="008F4358">
        <w:rPr>
          <w:rFonts w:ascii="Calibri" w:hAnsi="Calibri" w:cs="Calibri"/>
          <w:szCs w:val="18"/>
        </w:rPr>
        <w:t>k rozpočtu VVŠ).</w:t>
      </w:r>
    </w:p>
  </w:footnote>
  <w:footnote w:id="3">
    <w:p w14:paraId="565925D3" w14:textId="7EB24036" w:rsidR="00DB663B" w:rsidRPr="008F4358" w:rsidRDefault="00DB663B" w:rsidP="008F4358">
      <w:pPr>
        <w:pStyle w:val="Textpoznpodarou"/>
        <w:ind w:left="284" w:hanging="284"/>
        <w:jc w:val="both"/>
        <w:rPr>
          <w:rFonts w:ascii="Calibri" w:hAnsi="Calibri" w:cs="Calibri"/>
          <w:szCs w:val="18"/>
        </w:rPr>
      </w:pPr>
      <w:r w:rsidRPr="008F4358">
        <w:rPr>
          <w:rStyle w:val="Znakapoznpodarou"/>
          <w:rFonts w:ascii="Calibri" w:hAnsi="Calibri" w:cs="Calibri"/>
          <w:szCs w:val="18"/>
        </w:rPr>
        <w:footnoteRef/>
      </w:r>
      <w:r w:rsidRPr="008F4358"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szCs w:val="18"/>
        </w:rPr>
        <w:tab/>
      </w:r>
      <w:r w:rsidRPr="008F4358">
        <w:rPr>
          <w:rFonts w:ascii="Calibri" w:hAnsi="Calibri" w:cs="Calibri"/>
          <w:szCs w:val="18"/>
        </w:rPr>
        <w:t>Vzdělávací kapacity, knihovny, administrativní zázemí činnosti vysokých škol, informační a komunikační technologie, strojní a přístrojové vybavení.</w:t>
      </w:r>
    </w:p>
  </w:footnote>
  <w:footnote w:id="4">
    <w:p w14:paraId="69917F84" w14:textId="0850D1AF" w:rsidR="00DB663B" w:rsidRPr="008F4358" w:rsidRDefault="00DB663B" w:rsidP="008F4358">
      <w:pPr>
        <w:pStyle w:val="Textpoznpodarou"/>
        <w:ind w:left="284" w:hanging="284"/>
        <w:rPr>
          <w:rFonts w:ascii="Calibri" w:hAnsi="Calibri" w:cs="Calibri"/>
          <w:szCs w:val="18"/>
        </w:rPr>
      </w:pPr>
      <w:r w:rsidRPr="008F4358">
        <w:rPr>
          <w:rStyle w:val="Znakapoznpodarou"/>
          <w:rFonts w:ascii="Calibri" w:hAnsi="Calibri" w:cs="Calibri"/>
          <w:szCs w:val="18"/>
        </w:rPr>
        <w:footnoteRef/>
      </w:r>
      <w:r w:rsidRPr="008F4358"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szCs w:val="18"/>
        </w:rPr>
        <w:tab/>
      </w:r>
      <w:r w:rsidRPr="008F4358">
        <w:rPr>
          <w:rFonts w:ascii="Calibri" w:hAnsi="Calibri" w:cs="Calibri"/>
          <w:szCs w:val="18"/>
        </w:rPr>
        <w:t xml:space="preserve">Omezený přístup k prostředkům EU měly čtyři umělecké VVŠ, dvě neuniverzitní VVŠ a rovněž VVŠ se sídlem v Praze. </w:t>
      </w:r>
    </w:p>
  </w:footnote>
  <w:footnote w:id="5">
    <w:p w14:paraId="1D55E70C" w14:textId="0E4F116A" w:rsidR="00DB663B" w:rsidRPr="008F4358" w:rsidRDefault="00DB663B" w:rsidP="008F4358">
      <w:pPr>
        <w:pStyle w:val="Textpoznpodarou"/>
        <w:ind w:left="284" w:hanging="284"/>
        <w:jc w:val="both"/>
        <w:rPr>
          <w:rFonts w:ascii="Calibri" w:hAnsi="Calibri" w:cs="Calibri"/>
          <w:szCs w:val="18"/>
        </w:rPr>
      </w:pPr>
      <w:r w:rsidRPr="008F4358">
        <w:rPr>
          <w:rStyle w:val="Znakapoznpodarou"/>
          <w:rFonts w:ascii="Calibri" w:hAnsi="Calibri" w:cs="Calibri"/>
          <w:szCs w:val="18"/>
        </w:rPr>
        <w:footnoteRef/>
      </w:r>
      <w:r w:rsidRPr="008F4358"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szCs w:val="18"/>
        </w:rPr>
        <w:tab/>
      </w:r>
      <w:r w:rsidRPr="008F4358">
        <w:rPr>
          <w:rFonts w:ascii="Calibri" w:hAnsi="Calibri" w:cs="Calibri"/>
          <w:szCs w:val="18"/>
        </w:rPr>
        <w:t>Usnesení vlády ČR ze dne</w:t>
      </w:r>
      <w:r w:rsidRPr="008F4358">
        <w:rPr>
          <w:rFonts w:ascii="Calibri" w:eastAsia="Arial Unicode MS" w:hAnsi="Calibri" w:cs="Calibri"/>
          <w:szCs w:val="18"/>
        </w:rPr>
        <w:t xml:space="preserve"> </w:t>
      </w:r>
      <w:r w:rsidRPr="008F4358">
        <w:rPr>
          <w:rFonts w:ascii="Calibri" w:hAnsi="Calibri" w:cs="Calibri"/>
          <w:szCs w:val="18"/>
        </w:rPr>
        <w:t>31. srpna 2011 č. 653</w:t>
      </w:r>
      <w:r>
        <w:rPr>
          <w:rFonts w:ascii="Calibri" w:hAnsi="Calibri" w:cs="Calibri"/>
          <w:szCs w:val="18"/>
        </w:rPr>
        <w:t>,</w:t>
      </w:r>
      <w:r w:rsidRPr="008F4358">
        <w:rPr>
          <w:rFonts w:ascii="Calibri" w:hAnsi="Calibri" w:cs="Calibri"/>
          <w:szCs w:val="18"/>
        </w:rPr>
        <w:t xml:space="preserve"> </w:t>
      </w:r>
      <w:r w:rsidRPr="006D024F">
        <w:rPr>
          <w:rFonts w:ascii="Calibri" w:hAnsi="Calibri" w:cs="Calibri"/>
          <w:i/>
          <w:szCs w:val="18"/>
        </w:rPr>
        <w:t>k dokumentaci programu Ministerstva školství, mládeže a tělovýchovy 133 210 Rozvoj a obnova materiálně technické základny veřejných vysokých škol</w:t>
      </w:r>
      <w:r w:rsidRPr="008F4358">
        <w:rPr>
          <w:rFonts w:ascii="Calibri" w:hAnsi="Calibri" w:cs="Calibri"/>
          <w:szCs w:val="18"/>
        </w:rPr>
        <w:t>.</w:t>
      </w:r>
    </w:p>
  </w:footnote>
  <w:footnote w:id="6">
    <w:p w14:paraId="038D8B95" w14:textId="51267CE2" w:rsidR="00DB663B" w:rsidRPr="008F4358" w:rsidRDefault="00DB663B" w:rsidP="008F4358">
      <w:pPr>
        <w:pStyle w:val="Textpoznpodarou"/>
        <w:ind w:left="284" w:hanging="284"/>
        <w:jc w:val="both"/>
        <w:rPr>
          <w:rFonts w:ascii="Calibri" w:hAnsi="Calibri" w:cs="Calibri"/>
          <w:szCs w:val="18"/>
        </w:rPr>
      </w:pPr>
      <w:r w:rsidRPr="008F4358">
        <w:rPr>
          <w:rStyle w:val="Znakapoznpodarou"/>
          <w:rFonts w:ascii="Calibri" w:hAnsi="Calibri" w:cs="Calibri"/>
          <w:szCs w:val="18"/>
        </w:rPr>
        <w:footnoteRef/>
      </w:r>
      <w:r w:rsidRPr="008F4358">
        <w:rPr>
          <w:rFonts w:ascii="Calibri" w:hAnsi="Calibri" w:cs="Calibri"/>
          <w:szCs w:val="18"/>
        </w:rPr>
        <w:t xml:space="preserve"> </w:t>
      </w:r>
      <w:r>
        <w:rPr>
          <w:rFonts w:ascii="Calibri" w:hAnsi="Calibri" w:cs="Calibri"/>
          <w:szCs w:val="18"/>
        </w:rPr>
        <w:tab/>
      </w:r>
      <w:r w:rsidRPr="008F4358">
        <w:rPr>
          <w:rFonts w:ascii="Calibri" w:hAnsi="Calibri" w:cs="Calibri"/>
          <w:szCs w:val="18"/>
        </w:rPr>
        <w:t>Usnesení vlády ČR ze dne 24. června 2015 č. 494</w:t>
      </w:r>
      <w:r>
        <w:rPr>
          <w:rFonts w:ascii="Calibri" w:hAnsi="Calibri" w:cs="Calibri"/>
          <w:szCs w:val="18"/>
        </w:rPr>
        <w:t>,</w:t>
      </w:r>
      <w:r w:rsidRPr="008F4358">
        <w:rPr>
          <w:rFonts w:ascii="Calibri" w:hAnsi="Calibri" w:cs="Calibri"/>
          <w:szCs w:val="18"/>
        </w:rPr>
        <w:t xml:space="preserve"> </w:t>
      </w:r>
      <w:r w:rsidRPr="006D024F">
        <w:rPr>
          <w:rFonts w:ascii="Calibri" w:hAnsi="Calibri" w:cs="Calibri"/>
          <w:i/>
          <w:szCs w:val="18"/>
        </w:rPr>
        <w:t>k aktualizaci dokumentace programu 133 210 Rozvoj a obnova materiálně technické základny veřejných vysokých škol</w:t>
      </w:r>
      <w:r w:rsidRPr="008F4358">
        <w:rPr>
          <w:rFonts w:ascii="Calibri" w:hAnsi="Calibri" w:cs="Calibri"/>
          <w:szCs w:val="18"/>
        </w:rPr>
        <w:t>.</w:t>
      </w:r>
    </w:p>
  </w:footnote>
  <w:footnote w:id="7">
    <w:p w14:paraId="6786631A" w14:textId="4FBD1679" w:rsidR="00DB663B" w:rsidRPr="006A6C4C" w:rsidRDefault="00DB663B" w:rsidP="006A6C4C">
      <w:pPr>
        <w:pStyle w:val="Textpoznpodarou"/>
        <w:ind w:left="284" w:hanging="284"/>
        <w:rPr>
          <w:rFonts w:asciiTheme="minorHAnsi" w:hAnsiTheme="minorHAnsi" w:cstheme="minorHAnsi"/>
          <w:szCs w:val="18"/>
        </w:rPr>
      </w:pPr>
      <w:r w:rsidRPr="006A6C4C">
        <w:rPr>
          <w:rStyle w:val="Znakapoznpodarou"/>
          <w:rFonts w:asciiTheme="minorHAnsi" w:hAnsiTheme="minorHAnsi" w:cstheme="minorHAnsi"/>
          <w:szCs w:val="18"/>
        </w:rPr>
        <w:footnoteRef/>
      </w:r>
      <w:r w:rsidRPr="006A6C4C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ab/>
      </w:r>
      <w:r w:rsidRPr="006A6C4C">
        <w:rPr>
          <w:rFonts w:ascii="Calibri" w:hAnsi="Calibri" w:cstheme="minorHAnsi"/>
          <w:szCs w:val="18"/>
        </w:rPr>
        <w:t>Část programu sloužící k zabezpečení realizace cílů jedné VVŠ.</w:t>
      </w:r>
    </w:p>
  </w:footnote>
  <w:footnote w:id="8">
    <w:p w14:paraId="3E86CB50" w14:textId="7C66156E" w:rsidR="00DB663B" w:rsidRPr="00B61426" w:rsidRDefault="00DB663B" w:rsidP="006A6C4C">
      <w:pPr>
        <w:pStyle w:val="Textpoznpodarou"/>
        <w:ind w:left="284" w:hanging="284"/>
        <w:rPr>
          <w:rFonts w:asciiTheme="minorHAnsi" w:hAnsiTheme="minorHAnsi" w:cstheme="minorHAnsi"/>
        </w:rPr>
      </w:pPr>
      <w:r w:rsidRPr="006A6C4C">
        <w:rPr>
          <w:rStyle w:val="Znakapoznpodarou"/>
          <w:rFonts w:asciiTheme="minorHAnsi" w:hAnsiTheme="minorHAnsi" w:cstheme="minorHAnsi"/>
          <w:szCs w:val="18"/>
        </w:rPr>
        <w:footnoteRef/>
      </w:r>
      <w:r w:rsidRPr="006A6C4C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ab/>
      </w:r>
      <w:r w:rsidRPr="00B61426">
        <w:rPr>
          <w:rFonts w:asciiTheme="minorHAnsi" w:hAnsiTheme="minorHAnsi" w:cstheme="minorHAnsi"/>
        </w:rPr>
        <w:t>Vyhláška č. 560/2006 Sb., o účasti státního rozpočtu na financování programů reprodukce majetku.</w:t>
      </w:r>
    </w:p>
  </w:footnote>
  <w:footnote w:id="9">
    <w:p w14:paraId="684032F8" w14:textId="4DA2E8D6" w:rsidR="00DB663B" w:rsidRPr="00B61426" w:rsidRDefault="00DB663B" w:rsidP="006A6C4C">
      <w:pPr>
        <w:pStyle w:val="Textpoznpodarou"/>
        <w:ind w:left="284" w:hanging="284"/>
        <w:rPr>
          <w:rFonts w:asciiTheme="minorHAnsi" w:hAnsiTheme="minorHAnsi" w:cstheme="minorHAnsi"/>
        </w:rPr>
      </w:pPr>
      <w:r w:rsidRPr="00B61426">
        <w:rPr>
          <w:rStyle w:val="Znakapoznpodarou"/>
          <w:rFonts w:asciiTheme="minorHAnsi" w:hAnsiTheme="minorHAnsi" w:cstheme="minorHAnsi"/>
        </w:rPr>
        <w:footnoteRef/>
      </w:r>
      <w:r w:rsidRPr="00B61426">
        <w:rPr>
          <w:rFonts w:asciiTheme="minorHAnsi" w:hAnsiTheme="minorHAnsi" w:cstheme="minorHAnsi"/>
        </w:rPr>
        <w:t xml:space="preserve"> </w:t>
      </w:r>
      <w:r w:rsidRPr="00B61426">
        <w:rPr>
          <w:rFonts w:asciiTheme="minorHAnsi" w:hAnsiTheme="minorHAnsi" w:cstheme="minorHAnsi"/>
        </w:rPr>
        <w:tab/>
        <w:t>Zákon č. 218/2000 Sb., o rozpočtových pravidlech a o změně některých souvisejících zákonů (rozpočtová pravidla).</w:t>
      </w:r>
    </w:p>
  </w:footnote>
  <w:footnote w:id="10">
    <w:p w14:paraId="11AF52D2" w14:textId="6C330771" w:rsidR="00DB663B" w:rsidRPr="00B61426" w:rsidRDefault="00DB663B" w:rsidP="006A6C4C">
      <w:pPr>
        <w:pStyle w:val="Textpoznpodarou"/>
        <w:ind w:left="284" w:hanging="284"/>
        <w:rPr>
          <w:rFonts w:asciiTheme="minorHAnsi" w:hAnsiTheme="minorHAnsi" w:cstheme="minorHAnsi"/>
        </w:rPr>
      </w:pPr>
      <w:r w:rsidRPr="00B61426">
        <w:rPr>
          <w:rStyle w:val="Znakapoznpodarou"/>
          <w:rFonts w:asciiTheme="minorHAnsi" w:hAnsiTheme="minorHAnsi" w:cstheme="minorHAnsi"/>
        </w:rPr>
        <w:footnoteRef/>
      </w:r>
      <w:r w:rsidRPr="00B61426">
        <w:rPr>
          <w:rFonts w:asciiTheme="minorHAnsi" w:hAnsiTheme="minorHAnsi" w:cstheme="minorHAnsi"/>
        </w:rPr>
        <w:t xml:space="preserve"> </w:t>
      </w:r>
      <w:r w:rsidRPr="00B61426">
        <w:rPr>
          <w:rFonts w:asciiTheme="minorHAnsi" w:hAnsiTheme="minorHAnsi" w:cstheme="minorHAnsi"/>
        </w:rPr>
        <w:tab/>
        <w:t>Nebyly vymezeny předpokládané technické parametry akce (nebyla zpracována studie či projektová dokumentace).</w:t>
      </w:r>
    </w:p>
  </w:footnote>
  <w:footnote w:id="11">
    <w:p w14:paraId="66B26BD7" w14:textId="381B5A9B" w:rsidR="00DB663B" w:rsidRPr="00B61426" w:rsidRDefault="00DB663B" w:rsidP="006A6C4C">
      <w:pPr>
        <w:pStyle w:val="Textpoznpodarou"/>
        <w:ind w:left="284" w:hanging="284"/>
        <w:jc w:val="both"/>
        <w:rPr>
          <w:rFonts w:asciiTheme="minorHAnsi" w:hAnsiTheme="minorHAnsi" w:cstheme="minorHAnsi"/>
        </w:rPr>
      </w:pPr>
      <w:r w:rsidRPr="00B61426">
        <w:rPr>
          <w:rStyle w:val="Znakapoznpodarou"/>
          <w:rFonts w:asciiTheme="minorHAnsi" w:hAnsiTheme="minorHAnsi" w:cstheme="minorHAnsi"/>
        </w:rPr>
        <w:footnoteRef/>
      </w:r>
      <w:r w:rsidRPr="00B61426">
        <w:rPr>
          <w:rFonts w:asciiTheme="minorHAnsi" w:hAnsiTheme="minorHAnsi" w:cstheme="minorHAnsi"/>
        </w:rPr>
        <w:t xml:space="preserve"> </w:t>
      </w:r>
      <w:r w:rsidRPr="00B61426">
        <w:rPr>
          <w:rFonts w:asciiTheme="minorHAnsi" w:hAnsiTheme="minorHAnsi" w:cstheme="minorHAnsi"/>
        </w:rPr>
        <w:tab/>
        <w:t>Usnesení vlády ČR ze dne 22. září 2014 č. 779</w:t>
      </w:r>
      <w:r>
        <w:rPr>
          <w:rFonts w:asciiTheme="minorHAnsi" w:hAnsiTheme="minorHAnsi" w:cstheme="minorHAnsi"/>
        </w:rPr>
        <w:t>,</w:t>
      </w:r>
      <w:r w:rsidRPr="00B61426">
        <w:rPr>
          <w:rFonts w:asciiTheme="minorHAnsi" w:hAnsiTheme="minorHAnsi" w:cstheme="minorHAnsi"/>
        </w:rPr>
        <w:t xml:space="preserve"> </w:t>
      </w:r>
      <w:r w:rsidRPr="003D3945">
        <w:rPr>
          <w:rFonts w:asciiTheme="minorHAnsi" w:hAnsiTheme="minorHAnsi" w:cstheme="minorHAnsi"/>
          <w:i/>
        </w:rPr>
        <w:t>k posílení výdajů vybraných rozpočtových kapitol v roce 2014</w:t>
      </w:r>
      <w:r w:rsidRPr="00B61426">
        <w:rPr>
          <w:rFonts w:asciiTheme="minorHAnsi" w:hAnsiTheme="minorHAnsi" w:cstheme="minorHAnsi"/>
        </w:rPr>
        <w:t xml:space="preserve">, kterým došlo mj. k posílení výdajů rozpočtové kapitoly </w:t>
      </w:r>
      <w:r w:rsidRPr="003D3945">
        <w:rPr>
          <w:rFonts w:asciiTheme="minorHAnsi" w:hAnsiTheme="minorHAnsi" w:cstheme="minorHAnsi"/>
        </w:rPr>
        <w:t>MŠMT</w:t>
      </w:r>
      <w:r w:rsidRPr="00B61426">
        <w:rPr>
          <w:rFonts w:asciiTheme="minorHAnsi" w:hAnsiTheme="minorHAnsi" w:cstheme="minorHAnsi"/>
        </w:rPr>
        <w:t xml:space="preserve"> o částku 400 mil. Kč určenou na financování akce </w:t>
      </w:r>
      <w:r w:rsidRPr="00B61426">
        <w:rPr>
          <w:rFonts w:asciiTheme="minorHAnsi" w:hAnsiTheme="minorHAnsi" w:cstheme="minorHAnsi"/>
          <w:i/>
        </w:rPr>
        <w:t>ČVUT</w:t>
      </w:r>
      <w:r w:rsidRPr="00B61426">
        <w:rPr>
          <w:rFonts w:asciiTheme="minorHAnsi" w:hAnsiTheme="minorHAnsi" w:cstheme="minorHAnsi"/>
          <w:i/>
        </w:rPr>
        <w:noBreakHyphen/>
        <w:t>CIIRC</w:t>
      </w:r>
      <w:r w:rsidRPr="00B61426">
        <w:rPr>
          <w:rFonts w:asciiTheme="minorHAnsi" w:hAnsiTheme="minorHAnsi" w:cstheme="minorHAnsi"/>
        </w:rPr>
        <w:t>.</w:t>
      </w:r>
    </w:p>
  </w:footnote>
  <w:footnote w:id="12">
    <w:p w14:paraId="290D26E9" w14:textId="3FB95EB5" w:rsidR="00DB663B" w:rsidRPr="006A6C4C" w:rsidRDefault="00DB663B" w:rsidP="006A6C4C">
      <w:pPr>
        <w:pStyle w:val="Textpoznpodarou"/>
        <w:ind w:left="284" w:hanging="284"/>
        <w:rPr>
          <w:rFonts w:asciiTheme="minorHAnsi" w:hAnsiTheme="minorHAnsi" w:cstheme="minorHAnsi"/>
          <w:szCs w:val="18"/>
        </w:rPr>
      </w:pPr>
      <w:r w:rsidRPr="006A6C4C">
        <w:rPr>
          <w:rStyle w:val="Znakapoznpodarou"/>
          <w:rFonts w:asciiTheme="minorHAnsi" w:hAnsiTheme="minorHAnsi" w:cstheme="minorHAnsi"/>
          <w:szCs w:val="18"/>
        </w:rPr>
        <w:footnoteRef/>
      </w:r>
      <w:r w:rsidRPr="006A6C4C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ab/>
      </w:r>
      <w:r w:rsidRPr="006A6C4C">
        <w:rPr>
          <w:rFonts w:asciiTheme="minorHAnsi" w:hAnsiTheme="minorHAnsi" w:cstheme="minorHAnsi"/>
          <w:szCs w:val="18"/>
        </w:rPr>
        <w:t>Akce financované individuální dotací ze státního rozpočtu podle ustanovení § 13 odst. 3 písm. c) zákona č.</w:t>
      </w:r>
      <w:r>
        <w:rPr>
          <w:rFonts w:asciiTheme="minorHAnsi" w:hAnsiTheme="minorHAnsi" w:cstheme="minorHAnsi"/>
          <w:szCs w:val="18"/>
        </w:rPr>
        <w:t> </w:t>
      </w:r>
      <w:r w:rsidRPr="006A6C4C">
        <w:rPr>
          <w:rFonts w:asciiTheme="minorHAnsi" w:hAnsiTheme="minorHAnsi" w:cstheme="minorHAnsi"/>
          <w:szCs w:val="18"/>
        </w:rPr>
        <w:t>218/2000 Sb.</w:t>
      </w:r>
    </w:p>
  </w:footnote>
  <w:footnote w:id="13">
    <w:p w14:paraId="054511BD" w14:textId="18228E96" w:rsidR="00DB663B" w:rsidRPr="006A6C4C" w:rsidRDefault="00DB663B" w:rsidP="006A6C4C">
      <w:pPr>
        <w:pStyle w:val="Textpoznpodarou"/>
        <w:ind w:left="284" w:hanging="284"/>
        <w:rPr>
          <w:rFonts w:asciiTheme="minorHAnsi" w:hAnsiTheme="minorHAnsi"/>
          <w:szCs w:val="18"/>
        </w:rPr>
      </w:pPr>
      <w:r w:rsidRPr="006A6C4C">
        <w:rPr>
          <w:rStyle w:val="Znakapoznpodarou"/>
          <w:rFonts w:asciiTheme="minorHAnsi" w:hAnsiTheme="minorHAnsi"/>
          <w:szCs w:val="18"/>
        </w:rPr>
        <w:footnoteRef/>
      </w:r>
      <w:r w:rsidRPr="006A6C4C">
        <w:rPr>
          <w:rFonts w:asciiTheme="minorHAnsi" w:hAnsiTheme="minorHAnsi"/>
          <w:szCs w:val="18"/>
        </w:rPr>
        <w:t xml:space="preserve"> </w:t>
      </w:r>
      <w:r>
        <w:rPr>
          <w:rFonts w:asciiTheme="minorHAnsi" w:hAnsiTheme="minorHAnsi"/>
          <w:szCs w:val="18"/>
        </w:rPr>
        <w:tab/>
      </w:r>
      <w:r w:rsidRPr="006A6C4C">
        <w:rPr>
          <w:rFonts w:asciiTheme="minorHAnsi" w:hAnsiTheme="minorHAnsi"/>
          <w:szCs w:val="18"/>
        </w:rPr>
        <w:t>Základní sazba DPH v období 2011</w:t>
      </w:r>
      <w:r>
        <w:rPr>
          <w:rFonts w:asciiTheme="minorHAnsi" w:hAnsiTheme="minorHAnsi"/>
          <w:szCs w:val="18"/>
        </w:rPr>
        <w:t>–</w:t>
      </w:r>
      <w:r w:rsidRPr="006A6C4C">
        <w:rPr>
          <w:rFonts w:asciiTheme="minorHAnsi" w:hAnsiTheme="minorHAnsi"/>
          <w:szCs w:val="18"/>
        </w:rPr>
        <w:t>2012 činila 20 %, od roku 2013 činila 21 %.</w:t>
      </w:r>
    </w:p>
  </w:footnote>
  <w:footnote w:id="14">
    <w:p w14:paraId="09DBD46F" w14:textId="13961712" w:rsidR="00DB663B" w:rsidRPr="006A6C4C" w:rsidRDefault="00DB663B" w:rsidP="006A6C4C">
      <w:pPr>
        <w:pStyle w:val="Textpoznpodarou"/>
        <w:ind w:left="284" w:hanging="284"/>
        <w:rPr>
          <w:rFonts w:asciiTheme="minorHAnsi" w:hAnsiTheme="minorHAnsi" w:cstheme="minorHAnsi"/>
          <w:szCs w:val="18"/>
        </w:rPr>
      </w:pPr>
      <w:r w:rsidRPr="006A6C4C">
        <w:rPr>
          <w:rStyle w:val="Znakapoznpodarou"/>
          <w:rFonts w:asciiTheme="minorHAnsi" w:hAnsiTheme="minorHAnsi" w:cstheme="minorHAnsi"/>
          <w:szCs w:val="18"/>
        </w:rPr>
        <w:footnoteRef/>
      </w:r>
      <w:r w:rsidRPr="006A6C4C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ab/>
      </w:r>
      <w:r w:rsidRPr="006A6C4C">
        <w:rPr>
          <w:rFonts w:asciiTheme="minorHAnsi" w:hAnsiTheme="minorHAnsi" w:cstheme="minorHAnsi"/>
          <w:szCs w:val="18"/>
        </w:rPr>
        <w:t xml:space="preserve">Konstrukční systém, základové poměry, způsob založení stavby, lokalita výstavby, dostupnost místa stavby apod. </w:t>
      </w:r>
    </w:p>
  </w:footnote>
  <w:footnote w:id="15">
    <w:p w14:paraId="3AF8589C" w14:textId="0FDBDAEF" w:rsidR="00DB663B" w:rsidRPr="006A6C4C" w:rsidRDefault="00DB663B" w:rsidP="008E1572">
      <w:pPr>
        <w:pStyle w:val="Textpoznpodarou"/>
        <w:ind w:left="255" w:hanging="255"/>
        <w:jc w:val="both"/>
        <w:rPr>
          <w:rFonts w:asciiTheme="minorHAnsi" w:hAnsiTheme="minorHAnsi" w:cstheme="minorHAnsi"/>
          <w:szCs w:val="18"/>
        </w:rPr>
      </w:pPr>
      <w:r w:rsidRPr="006A6C4C">
        <w:rPr>
          <w:rStyle w:val="Znakapoznpodarou"/>
          <w:rFonts w:asciiTheme="minorHAnsi" w:hAnsiTheme="minorHAnsi" w:cstheme="minorHAnsi"/>
          <w:szCs w:val="18"/>
        </w:rPr>
        <w:footnoteRef/>
      </w:r>
      <w:r w:rsidRPr="006A6C4C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ab/>
      </w:r>
      <w:r w:rsidRPr="006A6C4C">
        <w:rPr>
          <w:rFonts w:asciiTheme="minorHAnsi" w:hAnsiTheme="minorHAnsi" w:cstheme="minorHAnsi"/>
          <w:szCs w:val="18"/>
        </w:rPr>
        <w:t xml:space="preserve">Podle propočtu výdajů na akci </w:t>
      </w:r>
      <w:r w:rsidRPr="006A6C4C">
        <w:rPr>
          <w:rFonts w:asciiTheme="minorHAnsi" w:hAnsiTheme="minorHAnsi" w:cstheme="minorHAnsi"/>
          <w:i/>
          <w:szCs w:val="18"/>
        </w:rPr>
        <w:t>ČVUT-CIIRC</w:t>
      </w:r>
      <w:r w:rsidRPr="006A6C4C">
        <w:rPr>
          <w:rFonts w:asciiTheme="minorHAnsi" w:hAnsiTheme="minorHAnsi" w:cstheme="minorHAnsi"/>
          <w:szCs w:val="18"/>
        </w:rPr>
        <w:t>, provedeném</w:t>
      </w:r>
      <w:r>
        <w:rPr>
          <w:rFonts w:asciiTheme="minorHAnsi" w:hAnsiTheme="minorHAnsi" w:cstheme="minorHAnsi"/>
          <w:szCs w:val="18"/>
        </w:rPr>
        <w:t>u</w:t>
      </w:r>
      <w:r w:rsidRPr="006A6C4C">
        <w:rPr>
          <w:rFonts w:asciiTheme="minorHAnsi" w:hAnsiTheme="minorHAnsi" w:cstheme="minorHAnsi"/>
          <w:szCs w:val="18"/>
        </w:rPr>
        <w:t xml:space="preserve"> NKÚ ke dni 6. března 2017, činily náklady na stavební a technologickou část stavby cca 90 % výdajů na akci. Zachováním daného poměru lze odhadnout navrhovanou cenu za </w:t>
      </w:r>
      <w:r>
        <w:rPr>
          <w:rFonts w:asciiTheme="minorHAnsi" w:hAnsiTheme="minorHAnsi" w:cstheme="minorHAnsi"/>
          <w:szCs w:val="18"/>
        </w:rPr>
        <w:t>1 </w:t>
      </w:r>
      <w:r w:rsidRPr="006A6C4C">
        <w:rPr>
          <w:rFonts w:asciiTheme="minorHAnsi" w:hAnsiTheme="minorHAnsi" w:cstheme="minorHAnsi"/>
          <w:szCs w:val="18"/>
        </w:rPr>
        <w:t>m</w:t>
      </w:r>
      <w:r w:rsidRPr="006A6C4C">
        <w:rPr>
          <w:rFonts w:asciiTheme="minorHAnsi" w:hAnsiTheme="minorHAnsi" w:cstheme="minorHAnsi"/>
          <w:szCs w:val="18"/>
          <w:vertAlign w:val="superscript"/>
        </w:rPr>
        <w:t>2</w:t>
      </w:r>
      <w:r w:rsidRPr="006A6C4C">
        <w:rPr>
          <w:rFonts w:asciiTheme="minorHAnsi" w:hAnsiTheme="minorHAnsi" w:cstheme="minorHAnsi"/>
          <w:szCs w:val="18"/>
        </w:rPr>
        <w:t xml:space="preserve"> užitné plochy 31 100 Kč a cenu za </w:t>
      </w:r>
      <w:r>
        <w:rPr>
          <w:rFonts w:asciiTheme="minorHAnsi" w:hAnsiTheme="minorHAnsi" w:cstheme="minorHAnsi"/>
          <w:szCs w:val="18"/>
        </w:rPr>
        <w:t>1 </w:t>
      </w:r>
      <w:r w:rsidRPr="006A6C4C">
        <w:rPr>
          <w:rFonts w:asciiTheme="minorHAnsi" w:hAnsiTheme="minorHAnsi" w:cstheme="minorHAnsi"/>
          <w:szCs w:val="18"/>
        </w:rPr>
        <w:t>m</w:t>
      </w:r>
      <w:r w:rsidRPr="006A6C4C">
        <w:rPr>
          <w:rFonts w:asciiTheme="minorHAnsi" w:hAnsiTheme="minorHAnsi" w:cstheme="minorHAnsi"/>
          <w:szCs w:val="18"/>
          <w:vertAlign w:val="superscript"/>
        </w:rPr>
        <w:t>3</w:t>
      </w:r>
      <w:r w:rsidRPr="006A6C4C">
        <w:rPr>
          <w:rFonts w:asciiTheme="minorHAnsi" w:hAnsiTheme="minorHAnsi" w:cstheme="minorHAnsi"/>
          <w:szCs w:val="18"/>
        </w:rPr>
        <w:t xml:space="preserve"> obestavěného prostoru 7 200 Kč. Aktuální skutečná cena za </w:t>
      </w:r>
      <w:r>
        <w:rPr>
          <w:rFonts w:asciiTheme="minorHAnsi" w:hAnsiTheme="minorHAnsi" w:cstheme="minorHAnsi"/>
          <w:szCs w:val="18"/>
        </w:rPr>
        <w:t>1 </w:t>
      </w:r>
      <w:r w:rsidRPr="006A6C4C">
        <w:rPr>
          <w:rFonts w:asciiTheme="minorHAnsi" w:hAnsiTheme="minorHAnsi" w:cstheme="minorHAnsi"/>
          <w:szCs w:val="18"/>
        </w:rPr>
        <w:t>m</w:t>
      </w:r>
      <w:r w:rsidRPr="006A6C4C">
        <w:rPr>
          <w:rFonts w:asciiTheme="minorHAnsi" w:hAnsiTheme="minorHAnsi" w:cstheme="minorHAnsi"/>
          <w:szCs w:val="18"/>
          <w:vertAlign w:val="superscript"/>
        </w:rPr>
        <w:t>2</w:t>
      </w:r>
      <w:r w:rsidRPr="006A6C4C">
        <w:rPr>
          <w:rFonts w:asciiTheme="minorHAnsi" w:hAnsiTheme="minorHAnsi" w:cstheme="minorHAnsi"/>
          <w:szCs w:val="18"/>
        </w:rPr>
        <w:t xml:space="preserve"> užitné plochy činí 43 866 Kč a za </w:t>
      </w:r>
      <w:r>
        <w:rPr>
          <w:rFonts w:asciiTheme="minorHAnsi" w:hAnsiTheme="minorHAnsi" w:cstheme="minorHAnsi"/>
          <w:szCs w:val="18"/>
        </w:rPr>
        <w:t>1 </w:t>
      </w:r>
      <w:r w:rsidRPr="006A6C4C">
        <w:rPr>
          <w:rFonts w:asciiTheme="minorHAnsi" w:hAnsiTheme="minorHAnsi" w:cstheme="minorHAnsi"/>
          <w:szCs w:val="18"/>
        </w:rPr>
        <w:t>m</w:t>
      </w:r>
      <w:r w:rsidRPr="006A6C4C">
        <w:rPr>
          <w:rFonts w:asciiTheme="minorHAnsi" w:hAnsiTheme="minorHAnsi" w:cstheme="minorHAnsi"/>
          <w:szCs w:val="18"/>
          <w:vertAlign w:val="superscript"/>
        </w:rPr>
        <w:t>3</w:t>
      </w:r>
      <w:r w:rsidRPr="006A6C4C">
        <w:rPr>
          <w:rFonts w:asciiTheme="minorHAnsi" w:hAnsiTheme="minorHAnsi" w:cstheme="minorHAnsi"/>
          <w:szCs w:val="18"/>
        </w:rPr>
        <w:t> obestavěného prostoru 8 520 Kč (</w:t>
      </w:r>
      <w:r>
        <w:rPr>
          <w:rFonts w:asciiTheme="minorHAnsi" w:hAnsiTheme="minorHAnsi" w:cstheme="minorHAnsi"/>
          <w:szCs w:val="18"/>
        </w:rPr>
        <w:t xml:space="preserve">viz </w:t>
      </w:r>
      <w:r w:rsidRPr="006A6C4C">
        <w:rPr>
          <w:rFonts w:asciiTheme="minorHAnsi" w:hAnsiTheme="minorHAnsi" w:cstheme="minorHAnsi"/>
          <w:szCs w:val="18"/>
        </w:rPr>
        <w:t>příloha č.</w:t>
      </w:r>
      <w:r>
        <w:rPr>
          <w:rFonts w:asciiTheme="minorHAnsi" w:hAnsiTheme="minorHAnsi" w:cstheme="minorHAnsi"/>
          <w:szCs w:val="18"/>
        </w:rPr>
        <w:t> </w:t>
      </w:r>
      <w:r w:rsidRPr="006A6C4C">
        <w:rPr>
          <w:rFonts w:asciiTheme="minorHAnsi" w:hAnsiTheme="minorHAnsi" w:cstheme="minorHAnsi"/>
          <w:szCs w:val="18"/>
        </w:rPr>
        <w:t xml:space="preserve">3). Odhad nákladů učiněný na základě projektové dokumentace pro stavební řízení a uvedený ČVUT v rámci žádosti do </w:t>
      </w:r>
      <w:proofErr w:type="gramStart"/>
      <w:r w:rsidRPr="006A6C4C">
        <w:rPr>
          <w:rFonts w:asciiTheme="minorHAnsi" w:hAnsiTheme="minorHAnsi" w:cstheme="minorHAnsi"/>
          <w:szCs w:val="18"/>
        </w:rPr>
        <w:t>OP</w:t>
      </w:r>
      <w:proofErr w:type="gramEnd"/>
      <w:r w:rsidRPr="006A6C4C">
        <w:rPr>
          <w:rFonts w:asciiTheme="minorHAnsi" w:hAnsiTheme="minorHAnsi" w:cstheme="minorHAnsi"/>
          <w:szCs w:val="18"/>
        </w:rPr>
        <w:t xml:space="preserve"> </w:t>
      </w:r>
      <w:proofErr w:type="spellStart"/>
      <w:r w:rsidRPr="006A6C4C">
        <w:rPr>
          <w:rFonts w:asciiTheme="minorHAnsi" w:hAnsiTheme="minorHAnsi" w:cstheme="minorHAnsi"/>
          <w:szCs w:val="18"/>
        </w:rPr>
        <w:t>VaVpI</w:t>
      </w:r>
      <w:proofErr w:type="spellEnd"/>
      <w:r w:rsidRPr="006A6C4C">
        <w:rPr>
          <w:rFonts w:asciiTheme="minorHAnsi" w:hAnsiTheme="minorHAnsi" w:cstheme="minorHAnsi"/>
          <w:szCs w:val="18"/>
        </w:rPr>
        <w:t xml:space="preserve"> byl podhodnocen. </w:t>
      </w:r>
    </w:p>
  </w:footnote>
  <w:footnote w:id="16">
    <w:p w14:paraId="10583B59" w14:textId="31DB4EF4" w:rsidR="00DB663B" w:rsidRPr="006A6C4C" w:rsidRDefault="00DB663B" w:rsidP="006A6C4C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bCs/>
          <w:sz w:val="20"/>
          <w:szCs w:val="18"/>
        </w:rPr>
      </w:pPr>
      <w:r w:rsidRPr="006A6C4C">
        <w:rPr>
          <w:rStyle w:val="Znakapoznpodarou"/>
          <w:rFonts w:asciiTheme="minorHAnsi" w:hAnsiTheme="minorHAnsi" w:cstheme="minorHAnsi"/>
          <w:sz w:val="20"/>
          <w:szCs w:val="18"/>
        </w:rPr>
        <w:footnoteRef/>
      </w:r>
      <w:r w:rsidRPr="006A6C4C">
        <w:rPr>
          <w:rFonts w:asciiTheme="minorHAnsi" w:hAnsiTheme="minorHAnsi" w:cstheme="minorHAnsi"/>
          <w:sz w:val="20"/>
          <w:szCs w:val="18"/>
        </w:rPr>
        <w:t xml:space="preserve"> </w:t>
      </w:r>
      <w:r>
        <w:rPr>
          <w:rFonts w:asciiTheme="minorHAnsi" w:hAnsiTheme="minorHAnsi" w:cstheme="minorHAnsi"/>
          <w:sz w:val="20"/>
          <w:szCs w:val="18"/>
        </w:rPr>
        <w:tab/>
      </w:r>
      <w:r w:rsidRPr="006A6C4C">
        <w:rPr>
          <w:rFonts w:asciiTheme="minorHAnsi" w:hAnsiTheme="minorHAnsi" w:cstheme="minorHAnsi"/>
          <w:sz w:val="20"/>
          <w:szCs w:val="18"/>
        </w:rPr>
        <w:t>Zákon č. 183/2006 Sb., o územním plánování a stavebním řádu (stavební zákon)</w:t>
      </w:r>
      <w:r>
        <w:rPr>
          <w:rFonts w:asciiTheme="minorHAnsi" w:hAnsiTheme="minorHAnsi" w:cstheme="minorHAnsi"/>
          <w:sz w:val="20"/>
          <w:szCs w:val="18"/>
        </w:rPr>
        <w:t>,</w:t>
      </w:r>
      <w:r w:rsidRPr="006A6C4C">
        <w:rPr>
          <w:rFonts w:asciiTheme="minorHAnsi" w:hAnsiTheme="minorHAnsi" w:cstheme="minorHAnsi"/>
          <w:sz w:val="20"/>
          <w:szCs w:val="18"/>
        </w:rPr>
        <w:t xml:space="preserve"> upravuje v ustanovení </w:t>
      </w:r>
      <w:r>
        <w:rPr>
          <w:rFonts w:asciiTheme="minorHAnsi" w:hAnsiTheme="minorHAnsi" w:cstheme="minorHAnsi"/>
          <w:sz w:val="20"/>
          <w:szCs w:val="18"/>
        </w:rPr>
        <w:t>§ </w:t>
      </w:r>
      <w:r w:rsidRPr="006A6C4C">
        <w:rPr>
          <w:rFonts w:asciiTheme="minorHAnsi" w:hAnsiTheme="minorHAnsi" w:cstheme="minorHAnsi"/>
          <w:sz w:val="20"/>
          <w:szCs w:val="18"/>
        </w:rPr>
        <w:t xml:space="preserve">117 postup, </w:t>
      </w:r>
      <w:r w:rsidRPr="006A6C4C">
        <w:rPr>
          <w:rFonts w:asciiTheme="minorHAnsi" w:hAnsiTheme="minorHAnsi" w:cstheme="minorHAnsi"/>
          <w:bCs/>
          <w:sz w:val="20"/>
          <w:szCs w:val="18"/>
        </w:rPr>
        <w:t xml:space="preserve">který je zkrácenou alternativou ke stavebnímu řízení. </w:t>
      </w:r>
      <w:r w:rsidRPr="006A6C4C">
        <w:rPr>
          <w:rFonts w:asciiTheme="minorHAnsi" w:hAnsiTheme="minorHAnsi" w:cstheme="minorHAnsi"/>
          <w:sz w:val="20"/>
          <w:szCs w:val="18"/>
        </w:rPr>
        <w:t>Stavebník je podle tohoto ustanovení oprávněn provést stavbu, vyžadující jinak stavební povolení, na základě oznámení stavebního záměru stavebnímu úřadu autorizovaným inspektorem, a to za předpokladu splnění zákonem stanovených podmínek.</w:t>
      </w:r>
    </w:p>
  </w:footnote>
  <w:footnote w:id="17">
    <w:p w14:paraId="3826DAD8" w14:textId="436982BF" w:rsidR="00DB663B" w:rsidRPr="006A6C4C" w:rsidRDefault="00DB663B" w:rsidP="006A6C4C">
      <w:pPr>
        <w:pStyle w:val="Textpoznpodarou"/>
        <w:ind w:left="284" w:hanging="284"/>
        <w:rPr>
          <w:rFonts w:asciiTheme="minorHAnsi" w:hAnsiTheme="minorHAnsi" w:cstheme="minorHAnsi"/>
          <w:szCs w:val="18"/>
        </w:rPr>
      </w:pPr>
      <w:r w:rsidRPr="006A6C4C">
        <w:rPr>
          <w:rStyle w:val="Znakapoznpodarou"/>
          <w:rFonts w:asciiTheme="minorHAnsi" w:hAnsiTheme="minorHAnsi" w:cstheme="minorHAnsi"/>
          <w:szCs w:val="18"/>
        </w:rPr>
        <w:footnoteRef/>
      </w:r>
      <w:r w:rsidRPr="006A6C4C">
        <w:rPr>
          <w:rFonts w:asciiTheme="minorHAnsi" w:hAnsiTheme="minorHAnsi" w:cstheme="minorHAnsi"/>
          <w:szCs w:val="18"/>
        </w:rPr>
        <w:t xml:space="preserve"> </w:t>
      </w:r>
      <w:r>
        <w:rPr>
          <w:rFonts w:asciiTheme="minorHAnsi" w:hAnsiTheme="minorHAnsi" w:cstheme="minorHAnsi"/>
          <w:szCs w:val="18"/>
        </w:rPr>
        <w:tab/>
      </w:r>
      <w:r w:rsidRPr="006A6C4C">
        <w:rPr>
          <w:rFonts w:ascii="Calibri" w:hAnsi="Calibri" w:cstheme="minorHAnsi"/>
          <w:szCs w:val="18"/>
        </w:rPr>
        <w:t>Část programu sloužící k zabezpečení realizace cílů ČVUT.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0C98" w14:textId="77777777" w:rsidR="00F967F8" w:rsidRDefault="00F967F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03997" w14:textId="77777777" w:rsidR="00F967F8" w:rsidRDefault="00F967F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11725" w14:textId="77777777" w:rsidR="00F967F8" w:rsidRDefault="00F967F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0B2F"/>
    <w:multiLevelType w:val="hybridMultilevel"/>
    <w:tmpl w:val="8B189BE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4435A9"/>
    <w:multiLevelType w:val="hybridMultilevel"/>
    <w:tmpl w:val="9502EE3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159489C"/>
    <w:multiLevelType w:val="hybridMultilevel"/>
    <w:tmpl w:val="8290661E"/>
    <w:lvl w:ilvl="0" w:tplc="2270AE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EC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65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302E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24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FAF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E5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B6C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CA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22D2"/>
    <w:multiLevelType w:val="hybridMultilevel"/>
    <w:tmpl w:val="D4EE4ACC"/>
    <w:lvl w:ilvl="0" w:tplc="13526EFA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F4B56"/>
    <w:multiLevelType w:val="hybridMultilevel"/>
    <w:tmpl w:val="1B947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60A7"/>
    <w:multiLevelType w:val="hybridMultilevel"/>
    <w:tmpl w:val="5A0E233A"/>
    <w:lvl w:ilvl="0" w:tplc="50BE23E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BA42C06"/>
    <w:multiLevelType w:val="hybridMultilevel"/>
    <w:tmpl w:val="3BD81DB6"/>
    <w:lvl w:ilvl="0" w:tplc="538207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51A72"/>
    <w:multiLevelType w:val="hybridMultilevel"/>
    <w:tmpl w:val="8A288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0BE23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7737A"/>
    <w:multiLevelType w:val="hybridMultilevel"/>
    <w:tmpl w:val="9CF4EDD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A47DC8"/>
    <w:multiLevelType w:val="hybridMultilevel"/>
    <w:tmpl w:val="C3343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30875"/>
    <w:multiLevelType w:val="hybridMultilevel"/>
    <w:tmpl w:val="94087CFE"/>
    <w:lvl w:ilvl="0" w:tplc="976ED5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00B05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6939"/>
    <w:multiLevelType w:val="hybridMultilevel"/>
    <w:tmpl w:val="DE90E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D26AC"/>
    <w:multiLevelType w:val="hybridMultilevel"/>
    <w:tmpl w:val="AD0E6F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4E5F"/>
    <w:multiLevelType w:val="hybridMultilevel"/>
    <w:tmpl w:val="2FB6BFA6"/>
    <w:lvl w:ilvl="0" w:tplc="5EA6906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C3F38A0"/>
    <w:multiLevelType w:val="hybridMultilevel"/>
    <w:tmpl w:val="1FB238BC"/>
    <w:lvl w:ilvl="0" w:tplc="50BE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16CBB"/>
    <w:multiLevelType w:val="hybridMultilevel"/>
    <w:tmpl w:val="204C59BC"/>
    <w:lvl w:ilvl="0" w:tplc="4AE4A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4E6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E66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4E1C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874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F64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162D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46E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EFC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A2609"/>
    <w:multiLevelType w:val="hybridMultilevel"/>
    <w:tmpl w:val="A440C9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11668"/>
    <w:multiLevelType w:val="hybridMultilevel"/>
    <w:tmpl w:val="9438ADF2"/>
    <w:lvl w:ilvl="0" w:tplc="50BE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0D11D5"/>
    <w:multiLevelType w:val="hybridMultilevel"/>
    <w:tmpl w:val="7DC682F0"/>
    <w:lvl w:ilvl="0" w:tplc="D6ECB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6134E"/>
    <w:multiLevelType w:val="hybridMultilevel"/>
    <w:tmpl w:val="AF10723C"/>
    <w:lvl w:ilvl="0" w:tplc="D6ECB43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A35941"/>
    <w:multiLevelType w:val="hybridMultilevel"/>
    <w:tmpl w:val="5928CD30"/>
    <w:lvl w:ilvl="0" w:tplc="69F44772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712C30"/>
    <w:multiLevelType w:val="hybridMultilevel"/>
    <w:tmpl w:val="BFFCA912"/>
    <w:lvl w:ilvl="0" w:tplc="1EE211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A5B51"/>
    <w:multiLevelType w:val="hybridMultilevel"/>
    <w:tmpl w:val="E56039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B67D30"/>
    <w:multiLevelType w:val="hybridMultilevel"/>
    <w:tmpl w:val="D9FC433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BF7359A"/>
    <w:multiLevelType w:val="hybridMultilevel"/>
    <w:tmpl w:val="26E6BC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8564BA"/>
    <w:multiLevelType w:val="hybridMultilevel"/>
    <w:tmpl w:val="BDAC11AA"/>
    <w:lvl w:ilvl="0" w:tplc="0D46B694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434CC0"/>
    <w:multiLevelType w:val="hybridMultilevel"/>
    <w:tmpl w:val="E2486428"/>
    <w:lvl w:ilvl="0" w:tplc="F14C737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E36BC"/>
    <w:multiLevelType w:val="hybridMultilevel"/>
    <w:tmpl w:val="F2429744"/>
    <w:lvl w:ilvl="0" w:tplc="50F64F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2335B2B"/>
    <w:multiLevelType w:val="hybridMultilevel"/>
    <w:tmpl w:val="79402F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48A33EF"/>
    <w:multiLevelType w:val="hybridMultilevel"/>
    <w:tmpl w:val="0CFC6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D21F26"/>
    <w:multiLevelType w:val="hybridMultilevel"/>
    <w:tmpl w:val="D0CC9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75930"/>
    <w:multiLevelType w:val="hybridMultilevel"/>
    <w:tmpl w:val="750CE060"/>
    <w:lvl w:ilvl="0" w:tplc="BBE82248">
      <w:numFmt w:val="bullet"/>
      <w:lvlText w:val="-"/>
      <w:lvlJc w:val="left"/>
      <w:pPr>
        <w:ind w:left="-70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2" w15:restartNumberingAfterBreak="0">
    <w:nsid w:val="538D0B76"/>
    <w:multiLevelType w:val="hybridMultilevel"/>
    <w:tmpl w:val="E8BE87BA"/>
    <w:lvl w:ilvl="0" w:tplc="60925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F4E88"/>
    <w:multiLevelType w:val="hybridMultilevel"/>
    <w:tmpl w:val="05EA3574"/>
    <w:lvl w:ilvl="0" w:tplc="50BE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9554BA"/>
    <w:multiLevelType w:val="hybridMultilevel"/>
    <w:tmpl w:val="AB241E46"/>
    <w:lvl w:ilvl="0" w:tplc="E40678AA">
      <w:numFmt w:val="bullet"/>
      <w:lvlText w:val="-"/>
      <w:lvlJc w:val="left"/>
      <w:pPr>
        <w:ind w:left="36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730260B"/>
    <w:multiLevelType w:val="hybridMultilevel"/>
    <w:tmpl w:val="64E8B28E"/>
    <w:lvl w:ilvl="0" w:tplc="50BE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F36FC1"/>
    <w:multiLevelType w:val="hybridMultilevel"/>
    <w:tmpl w:val="F140E782"/>
    <w:lvl w:ilvl="0" w:tplc="50BE23E6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5E693B99"/>
    <w:multiLevelType w:val="hybridMultilevel"/>
    <w:tmpl w:val="1A00CE8E"/>
    <w:lvl w:ilvl="0" w:tplc="826E4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6CB3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AA0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A71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208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4C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6BC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2F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65D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D77D01"/>
    <w:multiLevelType w:val="hybridMultilevel"/>
    <w:tmpl w:val="98A0C448"/>
    <w:lvl w:ilvl="0" w:tplc="231AFBE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 w15:restartNumberingAfterBreak="0">
    <w:nsid w:val="654A097D"/>
    <w:multiLevelType w:val="hybridMultilevel"/>
    <w:tmpl w:val="03E0EEBE"/>
    <w:lvl w:ilvl="0" w:tplc="D6ECB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B71390"/>
    <w:multiLevelType w:val="multilevel"/>
    <w:tmpl w:val="7974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0F0D58"/>
    <w:multiLevelType w:val="hybridMultilevel"/>
    <w:tmpl w:val="3D7040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40680E"/>
    <w:multiLevelType w:val="hybridMultilevel"/>
    <w:tmpl w:val="25B05454"/>
    <w:lvl w:ilvl="0" w:tplc="1EE211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C74200"/>
    <w:multiLevelType w:val="hybridMultilevel"/>
    <w:tmpl w:val="67A0C65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14102"/>
    <w:multiLevelType w:val="hybridMultilevel"/>
    <w:tmpl w:val="6C72E9E8"/>
    <w:lvl w:ilvl="0" w:tplc="1EE211C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DC53A7"/>
    <w:multiLevelType w:val="hybridMultilevel"/>
    <w:tmpl w:val="CF7A1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EC3CC1"/>
    <w:multiLevelType w:val="hybridMultilevel"/>
    <w:tmpl w:val="F3CC7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22306"/>
    <w:multiLevelType w:val="hybridMultilevel"/>
    <w:tmpl w:val="C1BCBB82"/>
    <w:lvl w:ilvl="0" w:tplc="50BE23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0"/>
  </w:num>
  <w:num w:numId="3">
    <w:abstractNumId w:val="16"/>
  </w:num>
  <w:num w:numId="4">
    <w:abstractNumId w:val="23"/>
  </w:num>
  <w:num w:numId="5">
    <w:abstractNumId w:val="6"/>
  </w:num>
  <w:num w:numId="6">
    <w:abstractNumId w:val="46"/>
  </w:num>
  <w:num w:numId="7">
    <w:abstractNumId w:val="8"/>
  </w:num>
  <w:num w:numId="8">
    <w:abstractNumId w:val="3"/>
  </w:num>
  <w:num w:numId="9">
    <w:abstractNumId w:val="22"/>
  </w:num>
  <w:num w:numId="10">
    <w:abstractNumId w:val="0"/>
  </w:num>
  <w:num w:numId="11">
    <w:abstractNumId w:val="45"/>
  </w:num>
  <w:num w:numId="12">
    <w:abstractNumId w:val="1"/>
  </w:num>
  <w:num w:numId="13">
    <w:abstractNumId w:val="38"/>
  </w:num>
  <w:num w:numId="14">
    <w:abstractNumId w:val="13"/>
  </w:num>
  <w:num w:numId="15">
    <w:abstractNumId w:val="15"/>
  </w:num>
  <w:num w:numId="16">
    <w:abstractNumId w:val="31"/>
  </w:num>
  <w:num w:numId="17">
    <w:abstractNumId w:val="2"/>
  </w:num>
  <w:num w:numId="18">
    <w:abstractNumId w:val="34"/>
  </w:num>
  <w:num w:numId="19">
    <w:abstractNumId w:val="37"/>
  </w:num>
  <w:num w:numId="20">
    <w:abstractNumId w:val="20"/>
  </w:num>
  <w:num w:numId="21">
    <w:abstractNumId w:val="25"/>
  </w:num>
  <w:num w:numId="22">
    <w:abstractNumId w:val="4"/>
  </w:num>
  <w:num w:numId="23">
    <w:abstractNumId w:val="12"/>
  </w:num>
  <w:num w:numId="24">
    <w:abstractNumId w:val="39"/>
  </w:num>
  <w:num w:numId="25">
    <w:abstractNumId w:val="21"/>
  </w:num>
  <w:num w:numId="26">
    <w:abstractNumId w:val="10"/>
  </w:num>
  <w:num w:numId="27">
    <w:abstractNumId w:val="32"/>
  </w:num>
  <w:num w:numId="28">
    <w:abstractNumId w:val="27"/>
  </w:num>
  <w:num w:numId="29">
    <w:abstractNumId w:val="17"/>
  </w:num>
  <w:num w:numId="30">
    <w:abstractNumId w:val="44"/>
  </w:num>
  <w:num w:numId="31">
    <w:abstractNumId w:val="42"/>
  </w:num>
  <w:num w:numId="32">
    <w:abstractNumId w:val="14"/>
  </w:num>
  <w:num w:numId="33">
    <w:abstractNumId w:val="9"/>
  </w:num>
  <w:num w:numId="34">
    <w:abstractNumId w:val="7"/>
  </w:num>
  <w:num w:numId="35">
    <w:abstractNumId w:val="5"/>
  </w:num>
  <w:num w:numId="36">
    <w:abstractNumId w:val="41"/>
  </w:num>
  <w:num w:numId="37">
    <w:abstractNumId w:val="36"/>
  </w:num>
  <w:num w:numId="38">
    <w:abstractNumId w:val="47"/>
  </w:num>
  <w:num w:numId="39">
    <w:abstractNumId w:val="33"/>
  </w:num>
  <w:num w:numId="40">
    <w:abstractNumId w:val="35"/>
  </w:num>
  <w:num w:numId="41">
    <w:abstractNumId w:val="26"/>
  </w:num>
  <w:num w:numId="42">
    <w:abstractNumId w:val="43"/>
  </w:num>
  <w:num w:numId="43">
    <w:abstractNumId w:val="28"/>
  </w:num>
  <w:num w:numId="44">
    <w:abstractNumId w:val="11"/>
  </w:num>
  <w:num w:numId="45">
    <w:abstractNumId w:val="29"/>
  </w:num>
  <w:num w:numId="46">
    <w:abstractNumId w:val="24"/>
  </w:num>
  <w:num w:numId="47">
    <w:abstractNumId w:val="18"/>
  </w:num>
  <w:num w:numId="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B91"/>
    <w:rsid w:val="00002073"/>
    <w:rsid w:val="0000236D"/>
    <w:rsid w:val="000023E2"/>
    <w:rsid w:val="0000285D"/>
    <w:rsid w:val="00002B7E"/>
    <w:rsid w:val="0000330E"/>
    <w:rsid w:val="000033DB"/>
    <w:rsid w:val="00003B60"/>
    <w:rsid w:val="00003D20"/>
    <w:rsid w:val="00003EAD"/>
    <w:rsid w:val="00003FF9"/>
    <w:rsid w:val="000044CF"/>
    <w:rsid w:val="00004A9B"/>
    <w:rsid w:val="00004DB0"/>
    <w:rsid w:val="00004E73"/>
    <w:rsid w:val="00005220"/>
    <w:rsid w:val="0000568F"/>
    <w:rsid w:val="0000580F"/>
    <w:rsid w:val="00005C3E"/>
    <w:rsid w:val="00005C47"/>
    <w:rsid w:val="00005C6C"/>
    <w:rsid w:val="000066B9"/>
    <w:rsid w:val="00006886"/>
    <w:rsid w:val="00006B02"/>
    <w:rsid w:val="00006C50"/>
    <w:rsid w:val="00007773"/>
    <w:rsid w:val="00007D5C"/>
    <w:rsid w:val="00007EC9"/>
    <w:rsid w:val="00007FD1"/>
    <w:rsid w:val="000104BD"/>
    <w:rsid w:val="0001113E"/>
    <w:rsid w:val="000112F9"/>
    <w:rsid w:val="00011810"/>
    <w:rsid w:val="000119C8"/>
    <w:rsid w:val="00011EF7"/>
    <w:rsid w:val="0001248D"/>
    <w:rsid w:val="000124FE"/>
    <w:rsid w:val="00013006"/>
    <w:rsid w:val="000131C6"/>
    <w:rsid w:val="00013507"/>
    <w:rsid w:val="000138FD"/>
    <w:rsid w:val="00013A3C"/>
    <w:rsid w:val="00013BA4"/>
    <w:rsid w:val="000141DD"/>
    <w:rsid w:val="00014603"/>
    <w:rsid w:val="000152B0"/>
    <w:rsid w:val="0001567E"/>
    <w:rsid w:val="000156CF"/>
    <w:rsid w:val="0001597F"/>
    <w:rsid w:val="00015CCB"/>
    <w:rsid w:val="00015F28"/>
    <w:rsid w:val="000163B7"/>
    <w:rsid w:val="000172AE"/>
    <w:rsid w:val="00017773"/>
    <w:rsid w:val="00017BE6"/>
    <w:rsid w:val="00017E46"/>
    <w:rsid w:val="00017EC7"/>
    <w:rsid w:val="00017F46"/>
    <w:rsid w:val="00020834"/>
    <w:rsid w:val="00020A05"/>
    <w:rsid w:val="00020DE5"/>
    <w:rsid w:val="00021026"/>
    <w:rsid w:val="000218CA"/>
    <w:rsid w:val="000225B8"/>
    <w:rsid w:val="00022D5C"/>
    <w:rsid w:val="00023D6D"/>
    <w:rsid w:val="00023EA1"/>
    <w:rsid w:val="00024146"/>
    <w:rsid w:val="00024A45"/>
    <w:rsid w:val="00024E81"/>
    <w:rsid w:val="000254CB"/>
    <w:rsid w:val="00025A70"/>
    <w:rsid w:val="00025CF1"/>
    <w:rsid w:val="00025E01"/>
    <w:rsid w:val="00026751"/>
    <w:rsid w:val="00026AFA"/>
    <w:rsid w:val="00027D1F"/>
    <w:rsid w:val="00027D3C"/>
    <w:rsid w:val="00030772"/>
    <w:rsid w:val="000307C5"/>
    <w:rsid w:val="0003087F"/>
    <w:rsid w:val="00030B65"/>
    <w:rsid w:val="00030DD7"/>
    <w:rsid w:val="0003111A"/>
    <w:rsid w:val="00031292"/>
    <w:rsid w:val="000314CC"/>
    <w:rsid w:val="00031A57"/>
    <w:rsid w:val="00031C8A"/>
    <w:rsid w:val="00031D26"/>
    <w:rsid w:val="00031DEE"/>
    <w:rsid w:val="00032482"/>
    <w:rsid w:val="000326DA"/>
    <w:rsid w:val="000328E1"/>
    <w:rsid w:val="00032B6F"/>
    <w:rsid w:val="00033741"/>
    <w:rsid w:val="0003416D"/>
    <w:rsid w:val="000342ED"/>
    <w:rsid w:val="00034393"/>
    <w:rsid w:val="000343CF"/>
    <w:rsid w:val="000343E1"/>
    <w:rsid w:val="000347C0"/>
    <w:rsid w:val="00034844"/>
    <w:rsid w:val="00034AA9"/>
    <w:rsid w:val="000357D3"/>
    <w:rsid w:val="000372C9"/>
    <w:rsid w:val="00037363"/>
    <w:rsid w:val="0004037C"/>
    <w:rsid w:val="000406B5"/>
    <w:rsid w:val="000407CE"/>
    <w:rsid w:val="00040D85"/>
    <w:rsid w:val="0004108C"/>
    <w:rsid w:val="000413E1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0E2"/>
    <w:rsid w:val="00043439"/>
    <w:rsid w:val="00043672"/>
    <w:rsid w:val="000437B0"/>
    <w:rsid w:val="00043891"/>
    <w:rsid w:val="00043B34"/>
    <w:rsid w:val="00043B6B"/>
    <w:rsid w:val="0004461C"/>
    <w:rsid w:val="00044938"/>
    <w:rsid w:val="00045921"/>
    <w:rsid w:val="000459C2"/>
    <w:rsid w:val="00045E0B"/>
    <w:rsid w:val="000465B1"/>
    <w:rsid w:val="00046CD6"/>
    <w:rsid w:val="00047621"/>
    <w:rsid w:val="00047F76"/>
    <w:rsid w:val="00050407"/>
    <w:rsid w:val="00050E1F"/>
    <w:rsid w:val="00050F23"/>
    <w:rsid w:val="00051606"/>
    <w:rsid w:val="00051EBF"/>
    <w:rsid w:val="0005209D"/>
    <w:rsid w:val="00052837"/>
    <w:rsid w:val="00052CBB"/>
    <w:rsid w:val="00052F4A"/>
    <w:rsid w:val="000530F1"/>
    <w:rsid w:val="000532AB"/>
    <w:rsid w:val="00054517"/>
    <w:rsid w:val="00054696"/>
    <w:rsid w:val="0005491B"/>
    <w:rsid w:val="000549C6"/>
    <w:rsid w:val="00054BBC"/>
    <w:rsid w:val="00054E4B"/>
    <w:rsid w:val="000550B4"/>
    <w:rsid w:val="000558EC"/>
    <w:rsid w:val="000559BB"/>
    <w:rsid w:val="00055A17"/>
    <w:rsid w:val="000569A4"/>
    <w:rsid w:val="00056F50"/>
    <w:rsid w:val="00057193"/>
    <w:rsid w:val="00057235"/>
    <w:rsid w:val="00057577"/>
    <w:rsid w:val="00057A70"/>
    <w:rsid w:val="00057CBE"/>
    <w:rsid w:val="00060843"/>
    <w:rsid w:val="00060C32"/>
    <w:rsid w:val="000613C2"/>
    <w:rsid w:val="00061429"/>
    <w:rsid w:val="00061520"/>
    <w:rsid w:val="00061621"/>
    <w:rsid w:val="0006260B"/>
    <w:rsid w:val="00064144"/>
    <w:rsid w:val="000641DB"/>
    <w:rsid w:val="00064235"/>
    <w:rsid w:val="000642CE"/>
    <w:rsid w:val="00064524"/>
    <w:rsid w:val="0006454E"/>
    <w:rsid w:val="000647BD"/>
    <w:rsid w:val="00064CAA"/>
    <w:rsid w:val="00064DC8"/>
    <w:rsid w:val="00064DEF"/>
    <w:rsid w:val="00064F00"/>
    <w:rsid w:val="000654EA"/>
    <w:rsid w:val="00066699"/>
    <w:rsid w:val="0006671D"/>
    <w:rsid w:val="00066725"/>
    <w:rsid w:val="00066D9F"/>
    <w:rsid w:val="00066E48"/>
    <w:rsid w:val="00067642"/>
    <w:rsid w:val="00067667"/>
    <w:rsid w:val="00070408"/>
    <w:rsid w:val="0007064B"/>
    <w:rsid w:val="000706B4"/>
    <w:rsid w:val="000710D5"/>
    <w:rsid w:val="00071186"/>
    <w:rsid w:val="00071622"/>
    <w:rsid w:val="00071686"/>
    <w:rsid w:val="00071B68"/>
    <w:rsid w:val="00071FA4"/>
    <w:rsid w:val="00072445"/>
    <w:rsid w:val="00072D5A"/>
    <w:rsid w:val="000732F3"/>
    <w:rsid w:val="0007408B"/>
    <w:rsid w:val="00074954"/>
    <w:rsid w:val="00074A01"/>
    <w:rsid w:val="00075409"/>
    <w:rsid w:val="00075C06"/>
    <w:rsid w:val="00076806"/>
    <w:rsid w:val="00077153"/>
    <w:rsid w:val="00077196"/>
    <w:rsid w:val="000772FC"/>
    <w:rsid w:val="00077727"/>
    <w:rsid w:val="00080535"/>
    <w:rsid w:val="00080987"/>
    <w:rsid w:val="00080C12"/>
    <w:rsid w:val="00080EDC"/>
    <w:rsid w:val="00081221"/>
    <w:rsid w:val="000813FB"/>
    <w:rsid w:val="00081F8E"/>
    <w:rsid w:val="00082640"/>
    <w:rsid w:val="0008264D"/>
    <w:rsid w:val="000828E4"/>
    <w:rsid w:val="00082FB7"/>
    <w:rsid w:val="0008360F"/>
    <w:rsid w:val="000839E5"/>
    <w:rsid w:val="000843F6"/>
    <w:rsid w:val="00084DFA"/>
    <w:rsid w:val="00084EF4"/>
    <w:rsid w:val="00084F19"/>
    <w:rsid w:val="0008513A"/>
    <w:rsid w:val="000855DB"/>
    <w:rsid w:val="00086696"/>
    <w:rsid w:val="00086CAF"/>
    <w:rsid w:val="00086D3E"/>
    <w:rsid w:val="00087183"/>
    <w:rsid w:val="00087884"/>
    <w:rsid w:val="00087A8A"/>
    <w:rsid w:val="00087ABD"/>
    <w:rsid w:val="00087F21"/>
    <w:rsid w:val="000903FF"/>
    <w:rsid w:val="000908D8"/>
    <w:rsid w:val="0009092D"/>
    <w:rsid w:val="000913CB"/>
    <w:rsid w:val="00091459"/>
    <w:rsid w:val="000919E2"/>
    <w:rsid w:val="00091A81"/>
    <w:rsid w:val="000927F6"/>
    <w:rsid w:val="0009286D"/>
    <w:rsid w:val="000928BB"/>
    <w:rsid w:val="000928EE"/>
    <w:rsid w:val="00092FA7"/>
    <w:rsid w:val="000932A7"/>
    <w:rsid w:val="0009336C"/>
    <w:rsid w:val="00093E2F"/>
    <w:rsid w:val="00094A2D"/>
    <w:rsid w:val="00094B6E"/>
    <w:rsid w:val="00095323"/>
    <w:rsid w:val="00095329"/>
    <w:rsid w:val="00095721"/>
    <w:rsid w:val="00095904"/>
    <w:rsid w:val="00095C15"/>
    <w:rsid w:val="00095EF6"/>
    <w:rsid w:val="0009635C"/>
    <w:rsid w:val="00096DF6"/>
    <w:rsid w:val="00096E1C"/>
    <w:rsid w:val="00096F81"/>
    <w:rsid w:val="0009709F"/>
    <w:rsid w:val="0009745F"/>
    <w:rsid w:val="000976CC"/>
    <w:rsid w:val="000979E8"/>
    <w:rsid w:val="000A030F"/>
    <w:rsid w:val="000A0A28"/>
    <w:rsid w:val="000A0AB9"/>
    <w:rsid w:val="000A0DA9"/>
    <w:rsid w:val="000A0E63"/>
    <w:rsid w:val="000A0FA8"/>
    <w:rsid w:val="000A15CA"/>
    <w:rsid w:val="000A21E6"/>
    <w:rsid w:val="000A2538"/>
    <w:rsid w:val="000A2D0A"/>
    <w:rsid w:val="000A37BB"/>
    <w:rsid w:val="000A39BB"/>
    <w:rsid w:val="000A41A3"/>
    <w:rsid w:val="000A446F"/>
    <w:rsid w:val="000A46D3"/>
    <w:rsid w:val="000A4816"/>
    <w:rsid w:val="000A53CC"/>
    <w:rsid w:val="000A556F"/>
    <w:rsid w:val="000A58F6"/>
    <w:rsid w:val="000A7392"/>
    <w:rsid w:val="000B02A7"/>
    <w:rsid w:val="000B04BE"/>
    <w:rsid w:val="000B114F"/>
    <w:rsid w:val="000B12F1"/>
    <w:rsid w:val="000B1348"/>
    <w:rsid w:val="000B144E"/>
    <w:rsid w:val="000B1C04"/>
    <w:rsid w:val="000B25C3"/>
    <w:rsid w:val="000B3105"/>
    <w:rsid w:val="000B3145"/>
    <w:rsid w:val="000B3978"/>
    <w:rsid w:val="000B3B08"/>
    <w:rsid w:val="000B3B74"/>
    <w:rsid w:val="000B3BD6"/>
    <w:rsid w:val="000B53A0"/>
    <w:rsid w:val="000B5426"/>
    <w:rsid w:val="000B556B"/>
    <w:rsid w:val="000B571C"/>
    <w:rsid w:val="000B5FE2"/>
    <w:rsid w:val="000B6D43"/>
    <w:rsid w:val="000B710A"/>
    <w:rsid w:val="000B7411"/>
    <w:rsid w:val="000B75F0"/>
    <w:rsid w:val="000C113C"/>
    <w:rsid w:val="000C1234"/>
    <w:rsid w:val="000C1474"/>
    <w:rsid w:val="000C18EF"/>
    <w:rsid w:val="000C1C55"/>
    <w:rsid w:val="000C1DFD"/>
    <w:rsid w:val="000C1E95"/>
    <w:rsid w:val="000C2190"/>
    <w:rsid w:val="000C27CA"/>
    <w:rsid w:val="000C28BB"/>
    <w:rsid w:val="000C3130"/>
    <w:rsid w:val="000C320D"/>
    <w:rsid w:val="000C3A3A"/>
    <w:rsid w:val="000C3B6B"/>
    <w:rsid w:val="000C40E9"/>
    <w:rsid w:val="000C4C9A"/>
    <w:rsid w:val="000C5338"/>
    <w:rsid w:val="000C55AD"/>
    <w:rsid w:val="000C5A55"/>
    <w:rsid w:val="000C64AC"/>
    <w:rsid w:val="000C672F"/>
    <w:rsid w:val="000C6DA4"/>
    <w:rsid w:val="000C6F9D"/>
    <w:rsid w:val="000C7BDF"/>
    <w:rsid w:val="000D0088"/>
    <w:rsid w:val="000D0135"/>
    <w:rsid w:val="000D01D6"/>
    <w:rsid w:val="000D05D4"/>
    <w:rsid w:val="000D0735"/>
    <w:rsid w:val="000D0ED6"/>
    <w:rsid w:val="000D17BB"/>
    <w:rsid w:val="000D18A3"/>
    <w:rsid w:val="000D18F3"/>
    <w:rsid w:val="000D1CB4"/>
    <w:rsid w:val="000D202F"/>
    <w:rsid w:val="000D2204"/>
    <w:rsid w:val="000D225C"/>
    <w:rsid w:val="000D225E"/>
    <w:rsid w:val="000D2CC7"/>
    <w:rsid w:val="000D2D82"/>
    <w:rsid w:val="000D3453"/>
    <w:rsid w:val="000D350B"/>
    <w:rsid w:val="000D40A9"/>
    <w:rsid w:val="000D4542"/>
    <w:rsid w:val="000D456D"/>
    <w:rsid w:val="000D4F7E"/>
    <w:rsid w:val="000D57FF"/>
    <w:rsid w:val="000D6081"/>
    <w:rsid w:val="000D62D0"/>
    <w:rsid w:val="000D6416"/>
    <w:rsid w:val="000D671A"/>
    <w:rsid w:val="000D6A32"/>
    <w:rsid w:val="000D6EB0"/>
    <w:rsid w:val="000D6EB6"/>
    <w:rsid w:val="000D702C"/>
    <w:rsid w:val="000D7A33"/>
    <w:rsid w:val="000D7D68"/>
    <w:rsid w:val="000E01D0"/>
    <w:rsid w:val="000E0245"/>
    <w:rsid w:val="000E05D8"/>
    <w:rsid w:val="000E05EA"/>
    <w:rsid w:val="000E0655"/>
    <w:rsid w:val="000E0AE6"/>
    <w:rsid w:val="000E101D"/>
    <w:rsid w:val="000E1099"/>
    <w:rsid w:val="000E123D"/>
    <w:rsid w:val="000E196A"/>
    <w:rsid w:val="000E1CA1"/>
    <w:rsid w:val="000E1E4B"/>
    <w:rsid w:val="000E2251"/>
    <w:rsid w:val="000E23CC"/>
    <w:rsid w:val="000E2E38"/>
    <w:rsid w:val="000E352E"/>
    <w:rsid w:val="000E398D"/>
    <w:rsid w:val="000E399D"/>
    <w:rsid w:val="000E4219"/>
    <w:rsid w:val="000E5022"/>
    <w:rsid w:val="000E5071"/>
    <w:rsid w:val="000E53AF"/>
    <w:rsid w:val="000E5476"/>
    <w:rsid w:val="000E5629"/>
    <w:rsid w:val="000E58D0"/>
    <w:rsid w:val="000E5967"/>
    <w:rsid w:val="000E62B1"/>
    <w:rsid w:val="000E650F"/>
    <w:rsid w:val="000E65E4"/>
    <w:rsid w:val="000E661B"/>
    <w:rsid w:val="000E67B9"/>
    <w:rsid w:val="000F0258"/>
    <w:rsid w:val="000F0864"/>
    <w:rsid w:val="000F1BD9"/>
    <w:rsid w:val="000F1DF3"/>
    <w:rsid w:val="000F1FF6"/>
    <w:rsid w:val="000F272E"/>
    <w:rsid w:val="000F31D0"/>
    <w:rsid w:val="000F36FA"/>
    <w:rsid w:val="000F3776"/>
    <w:rsid w:val="000F37A0"/>
    <w:rsid w:val="000F3957"/>
    <w:rsid w:val="000F4618"/>
    <w:rsid w:val="000F4A05"/>
    <w:rsid w:val="000F4E31"/>
    <w:rsid w:val="000F4F0D"/>
    <w:rsid w:val="000F5263"/>
    <w:rsid w:val="000F5FE2"/>
    <w:rsid w:val="000F5FF1"/>
    <w:rsid w:val="000F6159"/>
    <w:rsid w:val="000F659A"/>
    <w:rsid w:val="000F6B2D"/>
    <w:rsid w:val="000F6E30"/>
    <w:rsid w:val="000F74CC"/>
    <w:rsid w:val="000F7CC7"/>
    <w:rsid w:val="000F7D04"/>
    <w:rsid w:val="000F7EC8"/>
    <w:rsid w:val="001002B8"/>
    <w:rsid w:val="001002DE"/>
    <w:rsid w:val="0010034C"/>
    <w:rsid w:val="001009B5"/>
    <w:rsid w:val="0010159A"/>
    <w:rsid w:val="00101798"/>
    <w:rsid w:val="001019FC"/>
    <w:rsid w:val="00101D7D"/>
    <w:rsid w:val="001021F7"/>
    <w:rsid w:val="0010231F"/>
    <w:rsid w:val="0010304D"/>
    <w:rsid w:val="0010376B"/>
    <w:rsid w:val="00103A3A"/>
    <w:rsid w:val="00103BA6"/>
    <w:rsid w:val="00104BDC"/>
    <w:rsid w:val="00105AD0"/>
    <w:rsid w:val="00106174"/>
    <w:rsid w:val="00106532"/>
    <w:rsid w:val="00106833"/>
    <w:rsid w:val="0010688E"/>
    <w:rsid w:val="00106D02"/>
    <w:rsid w:val="00106FC8"/>
    <w:rsid w:val="00107563"/>
    <w:rsid w:val="00107CAA"/>
    <w:rsid w:val="00110594"/>
    <w:rsid w:val="0011098F"/>
    <w:rsid w:val="00110FFD"/>
    <w:rsid w:val="0011149F"/>
    <w:rsid w:val="0011171A"/>
    <w:rsid w:val="00111936"/>
    <w:rsid w:val="00111AFD"/>
    <w:rsid w:val="00111E71"/>
    <w:rsid w:val="001129CF"/>
    <w:rsid w:val="001129ED"/>
    <w:rsid w:val="00112B51"/>
    <w:rsid w:val="00112CD0"/>
    <w:rsid w:val="001135CA"/>
    <w:rsid w:val="0011376D"/>
    <w:rsid w:val="00113B93"/>
    <w:rsid w:val="00113F2F"/>
    <w:rsid w:val="001140CF"/>
    <w:rsid w:val="001140E8"/>
    <w:rsid w:val="00115CEF"/>
    <w:rsid w:val="00115E25"/>
    <w:rsid w:val="0011637B"/>
    <w:rsid w:val="00116982"/>
    <w:rsid w:val="00116B2E"/>
    <w:rsid w:val="001176BB"/>
    <w:rsid w:val="00117DC9"/>
    <w:rsid w:val="001208DD"/>
    <w:rsid w:val="00120AA3"/>
    <w:rsid w:val="0012129B"/>
    <w:rsid w:val="00121642"/>
    <w:rsid w:val="0012177D"/>
    <w:rsid w:val="00121B6F"/>
    <w:rsid w:val="00122D95"/>
    <w:rsid w:val="00122F13"/>
    <w:rsid w:val="0012376C"/>
    <w:rsid w:val="00123874"/>
    <w:rsid w:val="00123ACC"/>
    <w:rsid w:val="00123BB9"/>
    <w:rsid w:val="00124136"/>
    <w:rsid w:val="0012476C"/>
    <w:rsid w:val="0012499F"/>
    <w:rsid w:val="00124FF6"/>
    <w:rsid w:val="0012511E"/>
    <w:rsid w:val="0012540E"/>
    <w:rsid w:val="00125B7B"/>
    <w:rsid w:val="00126303"/>
    <w:rsid w:val="001265E7"/>
    <w:rsid w:val="00126713"/>
    <w:rsid w:val="00126AA0"/>
    <w:rsid w:val="00127CC1"/>
    <w:rsid w:val="00127E65"/>
    <w:rsid w:val="00127FF9"/>
    <w:rsid w:val="001302F2"/>
    <w:rsid w:val="0013051A"/>
    <w:rsid w:val="00130778"/>
    <w:rsid w:val="001318D6"/>
    <w:rsid w:val="001325AD"/>
    <w:rsid w:val="00132A7F"/>
    <w:rsid w:val="00133019"/>
    <w:rsid w:val="00133222"/>
    <w:rsid w:val="001332BC"/>
    <w:rsid w:val="0013397D"/>
    <w:rsid w:val="00133D41"/>
    <w:rsid w:val="00134C4E"/>
    <w:rsid w:val="0013587A"/>
    <w:rsid w:val="00135D90"/>
    <w:rsid w:val="00135E06"/>
    <w:rsid w:val="001360A2"/>
    <w:rsid w:val="001363D8"/>
    <w:rsid w:val="001364A6"/>
    <w:rsid w:val="001368E7"/>
    <w:rsid w:val="00137D95"/>
    <w:rsid w:val="00140B7F"/>
    <w:rsid w:val="00140D10"/>
    <w:rsid w:val="0014105F"/>
    <w:rsid w:val="001410DB"/>
    <w:rsid w:val="0014132F"/>
    <w:rsid w:val="00141355"/>
    <w:rsid w:val="001415FD"/>
    <w:rsid w:val="0014163E"/>
    <w:rsid w:val="001418C0"/>
    <w:rsid w:val="00141BF7"/>
    <w:rsid w:val="00141C97"/>
    <w:rsid w:val="00141FA2"/>
    <w:rsid w:val="00141FDE"/>
    <w:rsid w:val="00142073"/>
    <w:rsid w:val="001422A6"/>
    <w:rsid w:val="001425AD"/>
    <w:rsid w:val="00142A6C"/>
    <w:rsid w:val="00142B1D"/>
    <w:rsid w:val="00142FD1"/>
    <w:rsid w:val="00143392"/>
    <w:rsid w:val="0014351A"/>
    <w:rsid w:val="00143530"/>
    <w:rsid w:val="00143C9D"/>
    <w:rsid w:val="00143D03"/>
    <w:rsid w:val="0014414B"/>
    <w:rsid w:val="001442C8"/>
    <w:rsid w:val="00144332"/>
    <w:rsid w:val="00144916"/>
    <w:rsid w:val="00144FA1"/>
    <w:rsid w:val="0014534E"/>
    <w:rsid w:val="0014548A"/>
    <w:rsid w:val="001456CE"/>
    <w:rsid w:val="00145861"/>
    <w:rsid w:val="001462AD"/>
    <w:rsid w:val="00146439"/>
    <w:rsid w:val="00146599"/>
    <w:rsid w:val="001468BA"/>
    <w:rsid w:val="00146C0C"/>
    <w:rsid w:val="00147599"/>
    <w:rsid w:val="00147A69"/>
    <w:rsid w:val="00147AE0"/>
    <w:rsid w:val="00147EAF"/>
    <w:rsid w:val="0015023B"/>
    <w:rsid w:val="00150511"/>
    <w:rsid w:val="00150987"/>
    <w:rsid w:val="00151252"/>
    <w:rsid w:val="00151B47"/>
    <w:rsid w:val="00151D94"/>
    <w:rsid w:val="001522D1"/>
    <w:rsid w:val="001523C1"/>
    <w:rsid w:val="00152479"/>
    <w:rsid w:val="00152B55"/>
    <w:rsid w:val="00152CB6"/>
    <w:rsid w:val="001531E3"/>
    <w:rsid w:val="0015334F"/>
    <w:rsid w:val="00153700"/>
    <w:rsid w:val="00153876"/>
    <w:rsid w:val="00153985"/>
    <w:rsid w:val="00153BF0"/>
    <w:rsid w:val="00153F78"/>
    <w:rsid w:val="00154178"/>
    <w:rsid w:val="00154C1C"/>
    <w:rsid w:val="001550CC"/>
    <w:rsid w:val="0015511A"/>
    <w:rsid w:val="001554D0"/>
    <w:rsid w:val="00155CDC"/>
    <w:rsid w:val="00155DE6"/>
    <w:rsid w:val="001564AB"/>
    <w:rsid w:val="00156C62"/>
    <w:rsid w:val="00157FCD"/>
    <w:rsid w:val="0016027D"/>
    <w:rsid w:val="00160429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BDF"/>
    <w:rsid w:val="00162C1D"/>
    <w:rsid w:val="00163354"/>
    <w:rsid w:val="0016453D"/>
    <w:rsid w:val="001645EF"/>
    <w:rsid w:val="00164813"/>
    <w:rsid w:val="00165830"/>
    <w:rsid w:val="001671F8"/>
    <w:rsid w:val="00167879"/>
    <w:rsid w:val="001679FB"/>
    <w:rsid w:val="00167F98"/>
    <w:rsid w:val="001702DE"/>
    <w:rsid w:val="00170BEB"/>
    <w:rsid w:val="00171086"/>
    <w:rsid w:val="001712AF"/>
    <w:rsid w:val="00171371"/>
    <w:rsid w:val="001715AC"/>
    <w:rsid w:val="001718B7"/>
    <w:rsid w:val="00171A28"/>
    <w:rsid w:val="00171A41"/>
    <w:rsid w:val="00171E37"/>
    <w:rsid w:val="00172390"/>
    <w:rsid w:val="001725CE"/>
    <w:rsid w:val="00172804"/>
    <w:rsid w:val="001728D7"/>
    <w:rsid w:val="00173420"/>
    <w:rsid w:val="0017377A"/>
    <w:rsid w:val="00173BFF"/>
    <w:rsid w:val="00173EA1"/>
    <w:rsid w:val="0017418E"/>
    <w:rsid w:val="001742A7"/>
    <w:rsid w:val="0017464D"/>
    <w:rsid w:val="00174783"/>
    <w:rsid w:val="00174F59"/>
    <w:rsid w:val="00175157"/>
    <w:rsid w:val="0017558B"/>
    <w:rsid w:val="00176033"/>
    <w:rsid w:val="001766BF"/>
    <w:rsid w:val="00176AE7"/>
    <w:rsid w:val="00177D39"/>
    <w:rsid w:val="00177D45"/>
    <w:rsid w:val="00177E1E"/>
    <w:rsid w:val="00177FC3"/>
    <w:rsid w:val="00180090"/>
    <w:rsid w:val="00180226"/>
    <w:rsid w:val="00180600"/>
    <w:rsid w:val="0018067B"/>
    <w:rsid w:val="001806F7"/>
    <w:rsid w:val="00180879"/>
    <w:rsid w:val="0018090A"/>
    <w:rsid w:val="00180B46"/>
    <w:rsid w:val="00180F3B"/>
    <w:rsid w:val="001826FC"/>
    <w:rsid w:val="00182BE1"/>
    <w:rsid w:val="00182F04"/>
    <w:rsid w:val="0018327F"/>
    <w:rsid w:val="001832B9"/>
    <w:rsid w:val="00183702"/>
    <w:rsid w:val="0018382B"/>
    <w:rsid w:val="00183FDB"/>
    <w:rsid w:val="00184724"/>
    <w:rsid w:val="00185486"/>
    <w:rsid w:val="00185710"/>
    <w:rsid w:val="00185888"/>
    <w:rsid w:val="00185E76"/>
    <w:rsid w:val="001862F0"/>
    <w:rsid w:val="001865E7"/>
    <w:rsid w:val="00187573"/>
    <w:rsid w:val="0018767F"/>
    <w:rsid w:val="0019012B"/>
    <w:rsid w:val="00190D5F"/>
    <w:rsid w:val="001922FC"/>
    <w:rsid w:val="00192304"/>
    <w:rsid w:val="00192A40"/>
    <w:rsid w:val="00192BC2"/>
    <w:rsid w:val="00193391"/>
    <w:rsid w:val="00193533"/>
    <w:rsid w:val="0019357D"/>
    <w:rsid w:val="001938C6"/>
    <w:rsid w:val="00193C73"/>
    <w:rsid w:val="00193DC1"/>
    <w:rsid w:val="00194005"/>
    <w:rsid w:val="00194298"/>
    <w:rsid w:val="0019441C"/>
    <w:rsid w:val="00194491"/>
    <w:rsid w:val="00194F87"/>
    <w:rsid w:val="0019536B"/>
    <w:rsid w:val="0019577B"/>
    <w:rsid w:val="00195A5C"/>
    <w:rsid w:val="00195B7C"/>
    <w:rsid w:val="00196098"/>
    <w:rsid w:val="00196138"/>
    <w:rsid w:val="001962B1"/>
    <w:rsid w:val="0019670B"/>
    <w:rsid w:val="0019675E"/>
    <w:rsid w:val="00196F2C"/>
    <w:rsid w:val="001A03F3"/>
    <w:rsid w:val="001A08A9"/>
    <w:rsid w:val="001A094E"/>
    <w:rsid w:val="001A0E1F"/>
    <w:rsid w:val="001A0FC2"/>
    <w:rsid w:val="001A11D8"/>
    <w:rsid w:val="001A1216"/>
    <w:rsid w:val="001A1518"/>
    <w:rsid w:val="001A15D3"/>
    <w:rsid w:val="001A15FF"/>
    <w:rsid w:val="001A1AAC"/>
    <w:rsid w:val="001A1CBF"/>
    <w:rsid w:val="001A1DB1"/>
    <w:rsid w:val="001A1EC5"/>
    <w:rsid w:val="001A1F1B"/>
    <w:rsid w:val="001A2838"/>
    <w:rsid w:val="001A2C49"/>
    <w:rsid w:val="001A3388"/>
    <w:rsid w:val="001A37F7"/>
    <w:rsid w:val="001A3FD4"/>
    <w:rsid w:val="001A4061"/>
    <w:rsid w:val="001A4CED"/>
    <w:rsid w:val="001A4FFF"/>
    <w:rsid w:val="001A50E5"/>
    <w:rsid w:val="001A5214"/>
    <w:rsid w:val="001A5493"/>
    <w:rsid w:val="001A5628"/>
    <w:rsid w:val="001A5B2A"/>
    <w:rsid w:val="001A5D01"/>
    <w:rsid w:val="001A71B5"/>
    <w:rsid w:val="001A7F32"/>
    <w:rsid w:val="001B0A8A"/>
    <w:rsid w:val="001B0CBD"/>
    <w:rsid w:val="001B0CFC"/>
    <w:rsid w:val="001B0E97"/>
    <w:rsid w:val="001B12AA"/>
    <w:rsid w:val="001B12AC"/>
    <w:rsid w:val="001B134D"/>
    <w:rsid w:val="001B1A8D"/>
    <w:rsid w:val="001B1AB6"/>
    <w:rsid w:val="001B1C52"/>
    <w:rsid w:val="001B2131"/>
    <w:rsid w:val="001B2565"/>
    <w:rsid w:val="001B296C"/>
    <w:rsid w:val="001B2A1F"/>
    <w:rsid w:val="001B2A38"/>
    <w:rsid w:val="001B2B19"/>
    <w:rsid w:val="001B2B2B"/>
    <w:rsid w:val="001B2F10"/>
    <w:rsid w:val="001B3C76"/>
    <w:rsid w:val="001B3EE5"/>
    <w:rsid w:val="001B5134"/>
    <w:rsid w:val="001B537D"/>
    <w:rsid w:val="001B54CD"/>
    <w:rsid w:val="001B57E8"/>
    <w:rsid w:val="001B5B67"/>
    <w:rsid w:val="001B6433"/>
    <w:rsid w:val="001B69B3"/>
    <w:rsid w:val="001B6DAD"/>
    <w:rsid w:val="001B7707"/>
    <w:rsid w:val="001C1368"/>
    <w:rsid w:val="001C194C"/>
    <w:rsid w:val="001C196B"/>
    <w:rsid w:val="001C1BE9"/>
    <w:rsid w:val="001C2F11"/>
    <w:rsid w:val="001C2F8F"/>
    <w:rsid w:val="001C301A"/>
    <w:rsid w:val="001C3B0C"/>
    <w:rsid w:val="001C3ECD"/>
    <w:rsid w:val="001C4029"/>
    <w:rsid w:val="001C422A"/>
    <w:rsid w:val="001C42DE"/>
    <w:rsid w:val="001C43C9"/>
    <w:rsid w:val="001C43FA"/>
    <w:rsid w:val="001C4488"/>
    <w:rsid w:val="001C4C4A"/>
    <w:rsid w:val="001C561C"/>
    <w:rsid w:val="001C5D62"/>
    <w:rsid w:val="001C6A88"/>
    <w:rsid w:val="001C6C82"/>
    <w:rsid w:val="001C78EE"/>
    <w:rsid w:val="001C7DEA"/>
    <w:rsid w:val="001D03FD"/>
    <w:rsid w:val="001D0C24"/>
    <w:rsid w:val="001D0FC2"/>
    <w:rsid w:val="001D0FEF"/>
    <w:rsid w:val="001D1646"/>
    <w:rsid w:val="001D1661"/>
    <w:rsid w:val="001D16B5"/>
    <w:rsid w:val="001D231A"/>
    <w:rsid w:val="001D2E18"/>
    <w:rsid w:val="001D2F79"/>
    <w:rsid w:val="001D30CE"/>
    <w:rsid w:val="001D370A"/>
    <w:rsid w:val="001D37E1"/>
    <w:rsid w:val="001D61A3"/>
    <w:rsid w:val="001D727C"/>
    <w:rsid w:val="001D7A52"/>
    <w:rsid w:val="001D7B89"/>
    <w:rsid w:val="001E091B"/>
    <w:rsid w:val="001E0D64"/>
    <w:rsid w:val="001E1655"/>
    <w:rsid w:val="001E1BDA"/>
    <w:rsid w:val="001E1D26"/>
    <w:rsid w:val="001E237D"/>
    <w:rsid w:val="001E2767"/>
    <w:rsid w:val="001E28D7"/>
    <w:rsid w:val="001E31C6"/>
    <w:rsid w:val="001E31FA"/>
    <w:rsid w:val="001E36A0"/>
    <w:rsid w:val="001E3785"/>
    <w:rsid w:val="001E3CA5"/>
    <w:rsid w:val="001E41B1"/>
    <w:rsid w:val="001E4469"/>
    <w:rsid w:val="001E557D"/>
    <w:rsid w:val="001E5B7E"/>
    <w:rsid w:val="001E5B89"/>
    <w:rsid w:val="001E6654"/>
    <w:rsid w:val="001E71A6"/>
    <w:rsid w:val="001E71E7"/>
    <w:rsid w:val="001F0078"/>
    <w:rsid w:val="001F028E"/>
    <w:rsid w:val="001F02EE"/>
    <w:rsid w:val="001F04A5"/>
    <w:rsid w:val="001F0576"/>
    <w:rsid w:val="001F071B"/>
    <w:rsid w:val="001F0D00"/>
    <w:rsid w:val="001F19FB"/>
    <w:rsid w:val="001F1CA5"/>
    <w:rsid w:val="001F1EE8"/>
    <w:rsid w:val="001F28F7"/>
    <w:rsid w:val="001F2D5B"/>
    <w:rsid w:val="001F32ED"/>
    <w:rsid w:val="001F47D9"/>
    <w:rsid w:val="001F4965"/>
    <w:rsid w:val="001F4AA4"/>
    <w:rsid w:val="001F5098"/>
    <w:rsid w:val="001F5500"/>
    <w:rsid w:val="001F55FB"/>
    <w:rsid w:val="001F5654"/>
    <w:rsid w:val="001F57C1"/>
    <w:rsid w:val="001F58BA"/>
    <w:rsid w:val="001F5FC9"/>
    <w:rsid w:val="001F60FB"/>
    <w:rsid w:val="001F633D"/>
    <w:rsid w:val="001F66B9"/>
    <w:rsid w:val="001F6C4F"/>
    <w:rsid w:val="001F6CE7"/>
    <w:rsid w:val="00200350"/>
    <w:rsid w:val="00200625"/>
    <w:rsid w:val="002009D7"/>
    <w:rsid w:val="00201C5B"/>
    <w:rsid w:val="00201E5D"/>
    <w:rsid w:val="00202300"/>
    <w:rsid w:val="002026C0"/>
    <w:rsid w:val="00203DCE"/>
    <w:rsid w:val="00203FDA"/>
    <w:rsid w:val="002041DA"/>
    <w:rsid w:val="0020444C"/>
    <w:rsid w:val="00204CEA"/>
    <w:rsid w:val="00205237"/>
    <w:rsid w:val="0020536C"/>
    <w:rsid w:val="002053B9"/>
    <w:rsid w:val="002055CF"/>
    <w:rsid w:val="0020638B"/>
    <w:rsid w:val="00206604"/>
    <w:rsid w:val="002067AB"/>
    <w:rsid w:val="00206DB2"/>
    <w:rsid w:val="00207D69"/>
    <w:rsid w:val="00207F24"/>
    <w:rsid w:val="00210221"/>
    <w:rsid w:val="002102F9"/>
    <w:rsid w:val="00210672"/>
    <w:rsid w:val="00210D87"/>
    <w:rsid w:val="00210DAC"/>
    <w:rsid w:val="00210E6A"/>
    <w:rsid w:val="002112BF"/>
    <w:rsid w:val="00211AB9"/>
    <w:rsid w:val="002120C1"/>
    <w:rsid w:val="002121C0"/>
    <w:rsid w:val="0021235F"/>
    <w:rsid w:val="00212482"/>
    <w:rsid w:val="002125EB"/>
    <w:rsid w:val="00212868"/>
    <w:rsid w:val="00212FBB"/>
    <w:rsid w:val="00213252"/>
    <w:rsid w:val="0021333B"/>
    <w:rsid w:val="002138E6"/>
    <w:rsid w:val="00213FA5"/>
    <w:rsid w:val="0021620D"/>
    <w:rsid w:val="002162D9"/>
    <w:rsid w:val="00216406"/>
    <w:rsid w:val="00216450"/>
    <w:rsid w:val="00216945"/>
    <w:rsid w:val="002177B4"/>
    <w:rsid w:val="002178C3"/>
    <w:rsid w:val="002207F9"/>
    <w:rsid w:val="00220899"/>
    <w:rsid w:val="00220BE9"/>
    <w:rsid w:val="0022140D"/>
    <w:rsid w:val="00221626"/>
    <w:rsid w:val="00222072"/>
    <w:rsid w:val="002231C0"/>
    <w:rsid w:val="0022321D"/>
    <w:rsid w:val="00223B8E"/>
    <w:rsid w:val="00224385"/>
    <w:rsid w:val="00225082"/>
    <w:rsid w:val="00225295"/>
    <w:rsid w:val="0022560C"/>
    <w:rsid w:val="00225A49"/>
    <w:rsid w:val="00225AD3"/>
    <w:rsid w:val="00225AEE"/>
    <w:rsid w:val="00226524"/>
    <w:rsid w:val="002268E1"/>
    <w:rsid w:val="00226A2D"/>
    <w:rsid w:val="00226C3E"/>
    <w:rsid w:val="00226E28"/>
    <w:rsid w:val="002302B8"/>
    <w:rsid w:val="002305C9"/>
    <w:rsid w:val="002307B3"/>
    <w:rsid w:val="00230AF7"/>
    <w:rsid w:val="00230F90"/>
    <w:rsid w:val="00231080"/>
    <w:rsid w:val="002313A4"/>
    <w:rsid w:val="00231891"/>
    <w:rsid w:val="00231DBD"/>
    <w:rsid w:val="00232369"/>
    <w:rsid w:val="00233586"/>
    <w:rsid w:val="00233807"/>
    <w:rsid w:val="00233994"/>
    <w:rsid w:val="00233B2D"/>
    <w:rsid w:val="00234F8D"/>
    <w:rsid w:val="00235288"/>
    <w:rsid w:val="002352B4"/>
    <w:rsid w:val="00235671"/>
    <w:rsid w:val="00235DB4"/>
    <w:rsid w:val="00236071"/>
    <w:rsid w:val="002363A9"/>
    <w:rsid w:val="00236495"/>
    <w:rsid w:val="002364A9"/>
    <w:rsid w:val="0023655C"/>
    <w:rsid w:val="0023666E"/>
    <w:rsid w:val="00236DAD"/>
    <w:rsid w:val="002404C4"/>
    <w:rsid w:val="0024071F"/>
    <w:rsid w:val="00241158"/>
    <w:rsid w:val="0024127B"/>
    <w:rsid w:val="0024159C"/>
    <w:rsid w:val="0024175C"/>
    <w:rsid w:val="00242247"/>
    <w:rsid w:val="0024296A"/>
    <w:rsid w:val="00242A4C"/>
    <w:rsid w:val="002433C3"/>
    <w:rsid w:val="002438FD"/>
    <w:rsid w:val="00243D37"/>
    <w:rsid w:val="002441BB"/>
    <w:rsid w:val="00244A9F"/>
    <w:rsid w:val="00244C66"/>
    <w:rsid w:val="00245685"/>
    <w:rsid w:val="00245B80"/>
    <w:rsid w:val="002460FB"/>
    <w:rsid w:val="0024692B"/>
    <w:rsid w:val="0024718B"/>
    <w:rsid w:val="00247367"/>
    <w:rsid w:val="00247706"/>
    <w:rsid w:val="00247C1A"/>
    <w:rsid w:val="00247C9C"/>
    <w:rsid w:val="00250426"/>
    <w:rsid w:val="002506B7"/>
    <w:rsid w:val="00251810"/>
    <w:rsid w:val="002518B4"/>
    <w:rsid w:val="00251995"/>
    <w:rsid w:val="00251B25"/>
    <w:rsid w:val="00251B8F"/>
    <w:rsid w:val="002521DD"/>
    <w:rsid w:val="00252631"/>
    <w:rsid w:val="00252CFD"/>
    <w:rsid w:val="002536D6"/>
    <w:rsid w:val="002538C5"/>
    <w:rsid w:val="00254047"/>
    <w:rsid w:val="002544DE"/>
    <w:rsid w:val="002558FE"/>
    <w:rsid w:val="00255EB1"/>
    <w:rsid w:val="0025628A"/>
    <w:rsid w:val="00256320"/>
    <w:rsid w:val="00256572"/>
    <w:rsid w:val="00256EB7"/>
    <w:rsid w:val="00256EFA"/>
    <w:rsid w:val="00256F75"/>
    <w:rsid w:val="00257241"/>
    <w:rsid w:val="00257267"/>
    <w:rsid w:val="00257504"/>
    <w:rsid w:val="00257719"/>
    <w:rsid w:val="002602FB"/>
    <w:rsid w:val="00260848"/>
    <w:rsid w:val="002609EA"/>
    <w:rsid w:val="002611AB"/>
    <w:rsid w:val="0026148B"/>
    <w:rsid w:val="00261540"/>
    <w:rsid w:val="00261C74"/>
    <w:rsid w:val="00261EF0"/>
    <w:rsid w:val="0026274F"/>
    <w:rsid w:val="002629DC"/>
    <w:rsid w:val="00262AD6"/>
    <w:rsid w:val="00262B21"/>
    <w:rsid w:val="00262DF8"/>
    <w:rsid w:val="00262E38"/>
    <w:rsid w:val="002631DD"/>
    <w:rsid w:val="002634F2"/>
    <w:rsid w:val="00263DC4"/>
    <w:rsid w:val="00263EAF"/>
    <w:rsid w:val="00263EDA"/>
    <w:rsid w:val="002646BF"/>
    <w:rsid w:val="00264E84"/>
    <w:rsid w:val="00265587"/>
    <w:rsid w:val="00265970"/>
    <w:rsid w:val="00265BFF"/>
    <w:rsid w:val="0026639D"/>
    <w:rsid w:val="002663D7"/>
    <w:rsid w:val="0026642A"/>
    <w:rsid w:val="00266517"/>
    <w:rsid w:val="00266632"/>
    <w:rsid w:val="00266664"/>
    <w:rsid w:val="0026712E"/>
    <w:rsid w:val="00267136"/>
    <w:rsid w:val="00267306"/>
    <w:rsid w:val="002675B4"/>
    <w:rsid w:val="002677BF"/>
    <w:rsid w:val="00267B5B"/>
    <w:rsid w:val="00267FA6"/>
    <w:rsid w:val="002701B7"/>
    <w:rsid w:val="0027038D"/>
    <w:rsid w:val="002706B5"/>
    <w:rsid w:val="00270C84"/>
    <w:rsid w:val="00271D19"/>
    <w:rsid w:val="0027368D"/>
    <w:rsid w:val="00273AA9"/>
    <w:rsid w:val="002740E9"/>
    <w:rsid w:val="0027414F"/>
    <w:rsid w:val="00274CA4"/>
    <w:rsid w:val="002752AF"/>
    <w:rsid w:val="00275A7A"/>
    <w:rsid w:val="00275C51"/>
    <w:rsid w:val="00276628"/>
    <w:rsid w:val="00276D19"/>
    <w:rsid w:val="00276F6C"/>
    <w:rsid w:val="0027715A"/>
    <w:rsid w:val="0027732A"/>
    <w:rsid w:val="00277434"/>
    <w:rsid w:val="0028011C"/>
    <w:rsid w:val="00280D14"/>
    <w:rsid w:val="00281341"/>
    <w:rsid w:val="002813A9"/>
    <w:rsid w:val="002814FC"/>
    <w:rsid w:val="00281932"/>
    <w:rsid w:val="00281B08"/>
    <w:rsid w:val="00281FAB"/>
    <w:rsid w:val="0028216D"/>
    <w:rsid w:val="00282327"/>
    <w:rsid w:val="00283109"/>
    <w:rsid w:val="0028311C"/>
    <w:rsid w:val="00283969"/>
    <w:rsid w:val="00283D70"/>
    <w:rsid w:val="00284318"/>
    <w:rsid w:val="00284AAA"/>
    <w:rsid w:val="00285FA7"/>
    <w:rsid w:val="00285FBA"/>
    <w:rsid w:val="002867B7"/>
    <w:rsid w:val="00286C01"/>
    <w:rsid w:val="00286C26"/>
    <w:rsid w:val="00287824"/>
    <w:rsid w:val="00287A57"/>
    <w:rsid w:val="00287D23"/>
    <w:rsid w:val="002906F9"/>
    <w:rsid w:val="002912DF"/>
    <w:rsid w:val="00291500"/>
    <w:rsid w:val="00291C52"/>
    <w:rsid w:val="00291E7B"/>
    <w:rsid w:val="00292390"/>
    <w:rsid w:val="00292459"/>
    <w:rsid w:val="0029283B"/>
    <w:rsid w:val="002928DA"/>
    <w:rsid w:val="002929C2"/>
    <w:rsid w:val="00292E56"/>
    <w:rsid w:val="00293017"/>
    <w:rsid w:val="002932D8"/>
    <w:rsid w:val="002935A5"/>
    <w:rsid w:val="002938F8"/>
    <w:rsid w:val="00293C31"/>
    <w:rsid w:val="00293D6C"/>
    <w:rsid w:val="002942B3"/>
    <w:rsid w:val="0029441E"/>
    <w:rsid w:val="0029453E"/>
    <w:rsid w:val="00295242"/>
    <w:rsid w:val="00295758"/>
    <w:rsid w:val="00295FE9"/>
    <w:rsid w:val="00296193"/>
    <w:rsid w:val="002961A0"/>
    <w:rsid w:val="002961BB"/>
    <w:rsid w:val="002970F8"/>
    <w:rsid w:val="00297590"/>
    <w:rsid w:val="002975F0"/>
    <w:rsid w:val="002976D5"/>
    <w:rsid w:val="00297970"/>
    <w:rsid w:val="002979E6"/>
    <w:rsid w:val="00297B31"/>
    <w:rsid w:val="00297C5D"/>
    <w:rsid w:val="002A028B"/>
    <w:rsid w:val="002A08E4"/>
    <w:rsid w:val="002A094F"/>
    <w:rsid w:val="002A097F"/>
    <w:rsid w:val="002A0F56"/>
    <w:rsid w:val="002A1935"/>
    <w:rsid w:val="002A1F47"/>
    <w:rsid w:val="002A21F9"/>
    <w:rsid w:val="002A23C8"/>
    <w:rsid w:val="002A273C"/>
    <w:rsid w:val="002A2C8F"/>
    <w:rsid w:val="002A31B4"/>
    <w:rsid w:val="002A3666"/>
    <w:rsid w:val="002A38AB"/>
    <w:rsid w:val="002A3B7E"/>
    <w:rsid w:val="002A4B86"/>
    <w:rsid w:val="002A546C"/>
    <w:rsid w:val="002A5E06"/>
    <w:rsid w:val="002A60F6"/>
    <w:rsid w:val="002A62ED"/>
    <w:rsid w:val="002A65F7"/>
    <w:rsid w:val="002A7DC1"/>
    <w:rsid w:val="002A7EDD"/>
    <w:rsid w:val="002B023D"/>
    <w:rsid w:val="002B0259"/>
    <w:rsid w:val="002B0982"/>
    <w:rsid w:val="002B0CF3"/>
    <w:rsid w:val="002B14DB"/>
    <w:rsid w:val="002B19B7"/>
    <w:rsid w:val="002B1B19"/>
    <w:rsid w:val="002B2032"/>
    <w:rsid w:val="002B2268"/>
    <w:rsid w:val="002B2874"/>
    <w:rsid w:val="002B2F9C"/>
    <w:rsid w:val="002B33D8"/>
    <w:rsid w:val="002B40EE"/>
    <w:rsid w:val="002B449A"/>
    <w:rsid w:val="002B452A"/>
    <w:rsid w:val="002B49C3"/>
    <w:rsid w:val="002B4F83"/>
    <w:rsid w:val="002B5587"/>
    <w:rsid w:val="002B5710"/>
    <w:rsid w:val="002B5B65"/>
    <w:rsid w:val="002B6023"/>
    <w:rsid w:val="002B64F0"/>
    <w:rsid w:val="002B667A"/>
    <w:rsid w:val="002B6CC1"/>
    <w:rsid w:val="002B706F"/>
    <w:rsid w:val="002B71FA"/>
    <w:rsid w:val="002B77AD"/>
    <w:rsid w:val="002B7D05"/>
    <w:rsid w:val="002B7E77"/>
    <w:rsid w:val="002C052C"/>
    <w:rsid w:val="002C1215"/>
    <w:rsid w:val="002C1910"/>
    <w:rsid w:val="002C1E06"/>
    <w:rsid w:val="002C2D4B"/>
    <w:rsid w:val="002C321C"/>
    <w:rsid w:val="002C395D"/>
    <w:rsid w:val="002C3A25"/>
    <w:rsid w:val="002C43D4"/>
    <w:rsid w:val="002C4CBB"/>
    <w:rsid w:val="002C4EB2"/>
    <w:rsid w:val="002C5128"/>
    <w:rsid w:val="002C5723"/>
    <w:rsid w:val="002C60C3"/>
    <w:rsid w:val="002C62BA"/>
    <w:rsid w:val="002C6584"/>
    <w:rsid w:val="002C6636"/>
    <w:rsid w:val="002C6872"/>
    <w:rsid w:val="002C69F1"/>
    <w:rsid w:val="002C6AF1"/>
    <w:rsid w:val="002C77D6"/>
    <w:rsid w:val="002C7AB8"/>
    <w:rsid w:val="002C7C29"/>
    <w:rsid w:val="002D0280"/>
    <w:rsid w:val="002D0602"/>
    <w:rsid w:val="002D07DD"/>
    <w:rsid w:val="002D0946"/>
    <w:rsid w:val="002D0E06"/>
    <w:rsid w:val="002D0E0E"/>
    <w:rsid w:val="002D1045"/>
    <w:rsid w:val="002D15C9"/>
    <w:rsid w:val="002D1983"/>
    <w:rsid w:val="002D20DF"/>
    <w:rsid w:val="002D2772"/>
    <w:rsid w:val="002D36B3"/>
    <w:rsid w:val="002D3D19"/>
    <w:rsid w:val="002D3D44"/>
    <w:rsid w:val="002D42C7"/>
    <w:rsid w:val="002D4A1A"/>
    <w:rsid w:val="002D5E03"/>
    <w:rsid w:val="002D6137"/>
    <w:rsid w:val="002D6A90"/>
    <w:rsid w:val="002D6DFA"/>
    <w:rsid w:val="002D7863"/>
    <w:rsid w:val="002E0094"/>
    <w:rsid w:val="002E0186"/>
    <w:rsid w:val="002E0724"/>
    <w:rsid w:val="002E0869"/>
    <w:rsid w:val="002E086C"/>
    <w:rsid w:val="002E0973"/>
    <w:rsid w:val="002E0A3E"/>
    <w:rsid w:val="002E0F51"/>
    <w:rsid w:val="002E1083"/>
    <w:rsid w:val="002E15B2"/>
    <w:rsid w:val="002E1C5F"/>
    <w:rsid w:val="002E2E1C"/>
    <w:rsid w:val="002E2E50"/>
    <w:rsid w:val="002E3346"/>
    <w:rsid w:val="002E359B"/>
    <w:rsid w:val="002E35D3"/>
    <w:rsid w:val="002E3C7D"/>
    <w:rsid w:val="002E3D05"/>
    <w:rsid w:val="002E505E"/>
    <w:rsid w:val="002E5174"/>
    <w:rsid w:val="002E51F0"/>
    <w:rsid w:val="002E5898"/>
    <w:rsid w:val="002E589E"/>
    <w:rsid w:val="002E5B89"/>
    <w:rsid w:val="002E64D3"/>
    <w:rsid w:val="002E7555"/>
    <w:rsid w:val="002E7D5C"/>
    <w:rsid w:val="002E7F49"/>
    <w:rsid w:val="002F0451"/>
    <w:rsid w:val="002F0581"/>
    <w:rsid w:val="002F068C"/>
    <w:rsid w:val="002F070D"/>
    <w:rsid w:val="002F0F7A"/>
    <w:rsid w:val="002F139B"/>
    <w:rsid w:val="002F1B3A"/>
    <w:rsid w:val="002F1B66"/>
    <w:rsid w:val="002F1DDD"/>
    <w:rsid w:val="002F1F14"/>
    <w:rsid w:val="002F1F30"/>
    <w:rsid w:val="002F2131"/>
    <w:rsid w:val="002F2767"/>
    <w:rsid w:val="002F2D98"/>
    <w:rsid w:val="002F3137"/>
    <w:rsid w:val="002F3302"/>
    <w:rsid w:val="002F375C"/>
    <w:rsid w:val="002F39A5"/>
    <w:rsid w:val="002F3D42"/>
    <w:rsid w:val="002F4FD7"/>
    <w:rsid w:val="002F564D"/>
    <w:rsid w:val="002F5677"/>
    <w:rsid w:val="002F5868"/>
    <w:rsid w:val="002F604F"/>
    <w:rsid w:val="002F61D6"/>
    <w:rsid w:val="002F65B0"/>
    <w:rsid w:val="002F68DF"/>
    <w:rsid w:val="002F6A21"/>
    <w:rsid w:val="002F6B67"/>
    <w:rsid w:val="002F7049"/>
    <w:rsid w:val="002F71ED"/>
    <w:rsid w:val="002F723B"/>
    <w:rsid w:val="002F745A"/>
    <w:rsid w:val="002F75BA"/>
    <w:rsid w:val="002F7C1A"/>
    <w:rsid w:val="00300043"/>
    <w:rsid w:val="003002FF"/>
    <w:rsid w:val="003007B2"/>
    <w:rsid w:val="003012CE"/>
    <w:rsid w:val="00301A10"/>
    <w:rsid w:val="00302053"/>
    <w:rsid w:val="00302146"/>
    <w:rsid w:val="00302194"/>
    <w:rsid w:val="003029B0"/>
    <w:rsid w:val="003037C0"/>
    <w:rsid w:val="00303DCB"/>
    <w:rsid w:val="00303F08"/>
    <w:rsid w:val="00304520"/>
    <w:rsid w:val="00304E98"/>
    <w:rsid w:val="0030515E"/>
    <w:rsid w:val="003059F1"/>
    <w:rsid w:val="00305FC0"/>
    <w:rsid w:val="00306235"/>
    <w:rsid w:val="0030653B"/>
    <w:rsid w:val="0030698E"/>
    <w:rsid w:val="00306F79"/>
    <w:rsid w:val="003073C5"/>
    <w:rsid w:val="0030741C"/>
    <w:rsid w:val="00307855"/>
    <w:rsid w:val="00310230"/>
    <w:rsid w:val="003108EA"/>
    <w:rsid w:val="00310BDA"/>
    <w:rsid w:val="00310BE6"/>
    <w:rsid w:val="00310F25"/>
    <w:rsid w:val="003110B8"/>
    <w:rsid w:val="0031110D"/>
    <w:rsid w:val="00311871"/>
    <w:rsid w:val="00311DC6"/>
    <w:rsid w:val="00312A63"/>
    <w:rsid w:val="00313014"/>
    <w:rsid w:val="0031325B"/>
    <w:rsid w:val="003137B1"/>
    <w:rsid w:val="0031405F"/>
    <w:rsid w:val="00314B6A"/>
    <w:rsid w:val="00314BCF"/>
    <w:rsid w:val="00315100"/>
    <w:rsid w:val="00315B4B"/>
    <w:rsid w:val="00315C2F"/>
    <w:rsid w:val="003163D4"/>
    <w:rsid w:val="0031645C"/>
    <w:rsid w:val="003166A9"/>
    <w:rsid w:val="0031679F"/>
    <w:rsid w:val="00316E13"/>
    <w:rsid w:val="00317012"/>
    <w:rsid w:val="0031716A"/>
    <w:rsid w:val="00317254"/>
    <w:rsid w:val="00317A1A"/>
    <w:rsid w:val="00317B2B"/>
    <w:rsid w:val="00320241"/>
    <w:rsid w:val="00320B18"/>
    <w:rsid w:val="00320C8C"/>
    <w:rsid w:val="003214CE"/>
    <w:rsid w:val="003217BE"/>
    <w:rsid w:val="0032182E"/>
    <w:rsid w:val="00321AF2"/>
    <w:rsid w:val="00321BF4"/>
    <w:rsid w:val="00322325"/>
    <w:rsid w:val="00322345"/>
    <w:rsid w:val="0032236E"/>
    <w:rsid w:val="00322466"/>
    <w:rsid w:val="0032250E"/>
    <w:rsid w:val="003231D6"/>
    <w:rsid w:val="0032329B"/>
    <w:rsid w:val="00323725"/>
    <w:rsid w:val="00323CC7"/>
    <w:rsid w:val="00323E94"/>
    <w:rsid w:val="00323F1A"/>
    <w:rsid w:val="003241F1"/>
    <w:rsid w:val="003245B8"/>
    <w:rsid w:val="00324B7C"/>
    <w:rsid w:val="00324F23"/>
    <w:rsid w:val="00324F5A"/>
    <w:rsid w:val="00325004"/>
    <w:rsid w:val="0032616D"/>
    <w:rsid w:val="003262A8"/>
    <w:rsid w:val="00327081"/>
    <w:rsid w:val="00327502"/>
    <w:rsid w:val="00327AD6"/>
    <w:rsid w:val="00327DB8"/>
    <w:rsid w:val="00327F86"/>
    <w:rsid w:val="0033001F"/>
    <w:rsid w:val="00330E41"/>
    <w:rsid w:val="003317CA"/>
    <w:rsid w:val="00331F06"/>
    <w:rsid w:val="0033217F"/>
    <w:rsid w:val="003325CE"/>
    <w:rsid w:val="003325F1"/>
    <w:rsid w:val="00332910"/>
    <w:rsid w:val="003329C3"/>
    <w:rsid w:val="003329FC"/>
    <w:rsid w:val="00332DC7"/>
    <w:rsid w:val="00332FAF"/>
    <w:rsid w:val="00333063"/>
    <w:rsid w:val="00333668"/>
    <w:rsid w:val="00333736"/>
    <w:rsid w:val="0033422D"/>
    <w:rsid w:val="00334304"/>
    <w:rsid w:val="00334643"/>
    <w:rsid w:val="00336063"/>
    <w:rsid w:val="00336171"/>
    <w:rsid w:val="00337293"/>
    <w:rsid w:val="003379D9"/>
    <w:rsid w:val="00340233"/>
    <w:rsid w:val="003405F5"/>
    <w:rsid w:val="003409EE"/>
    <w:rsid w:val="00340AAA"/>
    <w:rsid w:val="003413A8"/>
    <w:rsid w:val="0034194D"/>
    <w:rsid w:val="00342486"/>
    <w:rsid w:val="00342DB3"/>
    <w:rsid w:val="003432FA"/>
    <w:rsid w:val="0034365F"/>
    <w:rsid w:val="003437C6"/>
    <w:rsid w:val="00343D91"/>
    <w:rsid w:val="00343F6F"/>
    <w:rsid w:val="0034446D"/>
    <w:rsid w:val="00344D8C"/>
    <w:rsid w:val="003459A8"/>
    <w:rsid w:val="00345B02"/>
    <w:rsid w:val="00345C6E"/>
    <w:rsid w:val="00346154"/>
    <w:rsid w:val="003461DB"/>
    <w:rsid w:val="003465B2"/>
    <w:rsid w:val="00346ED1"/>
    <w:rsid w:val="00347495"/>
    <w:rsid w:val="00347513"/>
    <w:rsid w:val="00347570"/>
    <w:rsid w:val="00347E78"/>
    <w:rsid w:val="00347F22"/>
    <w:rsid w:val="003501FD"/>
    <w:rsid w:val="003503AB"/>
    <w:rsid w:val="00350760"/>
    <w:rsid w:val="003510C9"/>
    <w:rsid w:val="00351186"/>
    <w:rsid w:val="003516A8"/>
    <w:rsid w:val="00351CCE"/>
    <w:rsid w:val="003523D9"/>
    <w:rsid w:val="00352769"/>
    <w:rsid w:val="003527E5"/>
    <w:rsid w:val="00352BA2"/>
    <w:rsid w:val="00352FDD"/>
    <w:rsid w:val="003530D9"/>
    <w:rsid w:val="003532A3"/>
    <w:rsid w:val="00353B0A"/>
    <w:rsid w:val="0035498B"/>
    <w:rsid w:val="003554C0"/>
    <w:rsid w:val="00355574"/>
    <w:rsid w:val="00355A60"/>
    <w:rsid w:val="0035690C"/>
    <w:rsid w:val="003569B5"/>
    <w:rsid w:val="00357E3F"/>
    <w:rsid w:val="0036017B"/>
    <w:rsid w:val="00360287"/>
    <w:rsid w:val="0036057B"/>
    <w:rsid w:val="00360850"/>
    <w:rsid w:val="003609B2"/>
    <w:rsid w:val="00361034"/>
    <w:rsid w:val="00361469"/>
    <w:rsid w:val="00361986"/>
    <w:rsid w:val="00361D3F"/>
    <w:rsid w:val="00361FBE"/>
    <w:rsid w:val="003622F5"/>
    <w:rsid w:val="0036238B"/>
    <w:rsid w:val="00362F33"/>
    <w:rsid w:val="003632BC"/>
    <w:rsid w:val="0036343D"/>
    <w:rsid w:val="003638A9"/>
    <w:rsid w:val="00363DB3"/>
    <w:rsid w:val="00363DD0"/>
    <w:rsid w:val="0036400F"/>
    <w:rsid w:val="0036487C"/>
    <w:rsid w:val="003654BF"/>
    <w:rsid w:val="0036648A"/>
    <w:rsid w:val="00366780"/>
    <w:rsid w:val="00367296"/>
    <w:rsid w:val="003672DE"/>
    <w:rsid w:val="00367774"/>
    <w:rsid w:val="00367A0B"/>
    <w:rsid w:val="00367ED2"/>
    <w:rsid w:val="00367EF5"/>
    <w:rsid w:val="00370161"/>
    <w:rsid w:val="00370B9B"/>
    <w:rsid w:val="00370D8B"/>
    <w:rsid w:val="00370EEE"/>
    <w:rsid w:val="00370F52"/>
    <w:rsid w:val="003710CA"/>
    <w:rsid w:val="00371287"/>
    <w:rsid w:val="0037139B"/>
    <w:rsid w:val="00371A1A"/>
    <w:rsid w:val="00371B53"/>
    <w:rsid w:val="00371BF4"/>
    <w:rsid w:val="00372011"/>
    <w:rsid w:val="003734EE"/>
    <w:rsid w:val="00373B5C"/>
    <w:rsid w:val="00374117"/>
    <w:rsid w:val="00374B2E"/>
    <w:rsid w:val="00374DED"/>
    <w:rsid w:val="00374E61"/>
    <w:rsid w:val="00375005"/>
    <w:rsid w:val="00375707"/>
    <w:rsid w:val="00375947"/>
    <w:rsid w:val="003760CA"/>
    <w:rsid w:val="0037620A"/>
    <w:rsid w:val="00376323"/>
    <w:rsid w:val="003773C8"/>
    <w:rsid w:val="003775EB"/>
    <w:rsid w:val="00377735"/>
    <w:rsid w:val="0038042C"/>
    <w:rsid w:val="00380743"/>
    <w:rsid w:val="00380A3C"/>
    <w:rsid w:val="00380E69"/>
    <w:rsid w:val="00380E77"/>
    <w:rsid w:val="00380F67"/>
    <w:rsid w:val="00381031"/>
    <w:rsid w:val="003810AF"/>
    <w:rsid w:val="003817CB"/>
    <w:rsid w:val="00382444"/>
    <w:rsid w:val="00382B58"/>
    <w:rsid w:val="00382C5D"/>
    <w:rsid w:val="00382C98"/>
    <w:rsid w:val="00382D65"/>
    <w:rsid w:val="00382FF4"/>
    <w:rsid w:val="0038370D"/>
    <w:rsid w:val="00383DA1"/>
    <w:rsid w:val="0038477D"/>
    <w:rsid w:val="0038550A"/>
    <w:rsid w:val="00386336"/>
    <w:rsid w:val="0038635C"/>
    <w:rsid w:val="00386617"/>
    <w:rsid w:val="003867B5"/>
    <w:rsid w:val="003874B4"/>
    <w:rsid w:val="0038752E"/>
    <w:rsid w:val="00387A5A"/>
    <w:rsid w:val="00390646"/>
    <w:rsid w:val="00390C9B"/>
    <w:rsid w:val="00390D42"/>
    <w:rsid w:val="003913FF"/>
    <w:rsid w:val="0039314F"/>
    <w:rsid w:val="003935E8"/>
    <w:rsid w:val="0039363F"/>
    <w:rsid w:val="00393643"/>
    <w:rsid w:val="003936B9"/>
    <w:rsid w:val="003938BB"/>
    <w:rsid w:val="00393B90"/>
    <w:rsid w:val="00393E70"/>
    <w:rsid w:val="003944B3"/>
    <w:rsid w:val="00394B6C"/>
    <w:rsid w:val="00396506"/>
    <w:rsid w:val="00396884"/>
    <w:rsid w:val="00396DA8"/>
    <w:rsid w:val="00396FA1"/>
    <w:rsid w:val="00397981"/>
    <w:rsid w:val="0039799D"/>
    <w:rsid w:val="00397D2C"/>
    <w:rsid w:val="003A022D"/>
    <w:rsid w:val="003A0581"/>
    <w:rsid w:val="003A0932"/>
    <w:rsid w:val="003A0B0D"/>
    <w:rsid w:val="003A0EBC"/>
    <w:rsid w:val="003A142D"/>
    <w:rsid w:val="003A19E6"/>
    <w:rsid w:val="003A1A1E"/>
    <w:rsid w:val="003A1C8D"/>
    <w:rsid w:val="003A25EB"/>
    <w:rsid w:val="003A27F3"/>
    <w:rsid w:val="003A2BA0"/>
    <w:rsid w:val="003A2E8D"/>
    <w:rsid w:val="003A3681"/>
    <w:rsid w:val="003A37C5"/>
    <w:rsid w:val="003A3C8E"/>
    <w:rsid w:val="003A4000"/>
    <w:rsid w:val="003A4059"/>
    <w:rsid w:val="003A40C3"/>
    <w:rsid w:val="003A4481"/>
    <w:rsid w:val="003A491A"/>
    <w:rsid w:val="003A4B8E"/>
    <w:rsid w:val="003A50BC"/>
    <w:rsid w:val="003A5668"/>
    <w:rsid w:val="003A6650"/>
    <w:rsid w:val="003A67C6"/>
    <w:rsid w:val="003A6F58"/>
    <w:rsid w:val="003A732C"/>
    <w:rsid w:val="003A7746"/>
    <w:rsid w:val="003B0D1D"/>
    <w:rsid w:val="003B0FC5"/>
    <w:rsid w:val="003B1208"/>
    <w:rsid w:val="003B15BB"/>
    <w:rsid w:val="003B1653"/>
    <w:rsid w:val="003B1F73"/>
    <w:rsid w:val="003B2036"/>
    <w:rsid w:val="003B247C"/>
    <w:rsid w:val="003B26BD"/>
    <w:rsid w:val="003B287C"/>
    <w:rsid w:val="003B29E1"/>
    <w:rsid w:val="003B3007"/>
    <w:rsid w:val="003B3977"/>
    <w:rsid w:val="003B4908"/>
    <w:rsid w:val="003B490B"/>
    <w:rsid w:val="003B509B"/>
    <w:rsid w:val="003B6D0E"/>
    <w:rsid w:val="003B7745"/>
    <w:rsid w:val="003B789C"/>
    <w:rsid w:val="003B7ED7"/>
    <w:rsid w:val="003C01C4"/>
    <w:rsid w:val="003C074F"/>
    <w:rsid w:val="003C0A39"/>
    <w:rsid w:val="003C0CD9"/>
    <w:rsid w:val="003C0EB0"/>
    <w:rsid w:val="003C12E8"/>
    <w:rsid w:val="003C1C3D"/>
    <w:rsid w:val="003C249B"/>
    <w:rsid w:val="003C2B82"/>
    <w:rsid w:val="003C33D4"/>
    <w:rsid w:val="003C3CE6"/>
    <w:rsid w:val="003C4915"/>
    <w:rsid w:val="003C4D47"/>
    <w:rsid w:val="003C5514"/>
    <w:rsid w:val="003C56C7"/>
    <w:rsid w:val="003C5C52"/>
    <w:rsid w:val="003C5D17"/>
    <w:rsid w:val="003C6486"/>
    <w:rsid w:val="003C6BE7"/>
    <w:rsid w:val="003C6D0E"/>
    <w:rsid w:val="003C7688"/>
    <w:rsid w:val="003D0394"/>
    <w:rsid w:val="003D0751"/>
    <w:rsid w:val="003D0D59"/>
    <w:rsid w:val="003D1391"/>
    <w:rsid w:val="003D1460"/>
    <w:rsid w:val="003D2161"/>
    <w:rsid w:val="003D27CF"/>
    <w:rsid w:val="003D3945"/>
    <w:rsid w:val="003D3DF1"/>
    <w:rsid w:val="003D3E73"/>
    <w:rsid w:val="003D3E74"/>
    <w:rsid w:val="003D4507"/>
    <w:rsid w:val="003D61EA"/>
    <w:rsid w:val="003D64F8"/>
    <w:rsid w:val="003D65DD"/>
    <w:rsid w:val="003D683E"/>
    <w:rsid w:val="003D7844"/>
    <w:rsid w:val="003D79D3"/>
    <w:rsid w:val="003E0542"/>
    <w:rsid w:val="003E0B9F"/>
    <w:rsid w:val="003E0C7C"/>
    <w:rsid w:val="003E0E8D"/>
    <w:rsid w:val="003E11C3"/>
    <w:rsid w:val="003E12BA"/>
    <w:rsid w:val="003E1640"/>
    <w:rsid w:val="003E1EF4"/>
    <w:rsid w:val="003E2019"/>
    <w:rsid w:val="003E2110"/>
    <w:rsid w:val="003E2576"/>
    <w:rsid w:val="003E2874"/>
    <w:rsid w:val="003E2F16"/>
    <w:rsid w:val="003E32D4"/>
    <w:rsid w:val="003E36B0"/>
    <w:rsid w:val="003E37A1"/>
    <w:rsid w:val="003E3CF9"/>
    <w:rsid w:val="003E3EED"/>
    <w:rsid w:val="003E42C9"/>
    <w:rsid w:val="003E436A"/>
    <w:rsid w:val="003E4602"/>
    <w:rsid w:val="003E5C72"/>
    <w:rsid w:val="003E5CEF"/>
    <w:rsid w:val="003E60A1"/>
    <w:rsid w:val="003E6123"/>
    <w:rsid w:val="003E61C3"/>
    <w:rsid w:val="003E61C9"/>
    <w:rsid w:val="003E62EC"/>
    <w:rsid w:val="003E64F1"/>
    <w:rsid w:val="003E67F9"/>
    <w:rsid w:val="003E6877"/>
    <w:rsid w:val="003E6D94"/>
    <w:rsid w:val="003E75C1"/>
    <w:rsid w:val="003F0277"/>
    <w:rsid w:val="003F046B"/>
    <w:rsid w:val="003F070E"/>
    <w:rsid w:val="003F0DF9"/>
    <w:rsid w:val="003F12AF"/>
    <w:rsid w:val="003F1743"/>
    <w:rsid w:val="003F18CF"/>
    <w:rsid w:val="003F1FD6"/>
    <w:rsid w:val="003F22E7"/>
    <w:rsid w:val="003F322C"/>
    <w:rsid w:val="003F3594"/>
    <w:rsid w:val="003F38E8"/>
    <w:rsid w:val="003F4DE4"/>
    <w:rsid w:val="003F4E24"/>
    <w:rsid w:val="003F4E3D"/>
    <w:rsid w:val="003F4E96"/>
    <w:rsid w:val="003F51DE"/>
    <w:rsid w:val="003F5951"/>
    <w:rsid w:val="003F6CB9"/>
    <w:rsid w:val="003F6D3F"/>
    <w:rsid w:val="003F6D77"/>
    <w:rsid w:val="003F72E0"/>
    <w:rsid w:val="003F72F2"/>
    <w:rsid w:val="003F75C8"/>
    <w:rsid w:val="003F77BE"/>
    <w:rsid w:val="003F7B5D"/>
    <w:rsid w:val="003F7C6A"/>
    <w:rsid w:val="004001DE"/>
    <w:rsid w:val="00400393"/>
    <w:rsid w:val="00400436"/>
    <w:rsid w:val="00400A4B"/>
    <w:rsid w:val="00401605"/>
    <w:rsid w:val="00401B97"/>
    <w:rsid w:val="00402464"/>
    <w:rsid w:val="00402555"/>
    <w:rsid w:val="00402BE6"/>
    <w:rsid w:val="00402D68"/>
    <w:rsid w:val="00402D91"/>
    <w:rsid w:val="004030D0"/>
    <w:rsid w:val="0040328B"/>
    <w:rsid w:val="0040374F"/>
    <w:rsid w:val="004042DB"/>
    <w:rsid w:val="004044A5"/>
    <w:rsid w:val="004044FC"/>
    <w:rsid w:val="00404632"/>
    <w:rsid w:val="0040485C"/>
    <w:rsid w:val="00405142"/>
    <w:rsid w:val="00405793"/>
    <w:rsid w:val="00405BE6"/>
    <w:rsid w:val="00405D0F"/>
    <w:rsid w:val="004064FE"/>
    <w:rsid w:val="004066D6"/>
    <w:rsid w:val="00407431"/>
    <w:rsid w:val="0041094C"/>
    <w:rsid w:val="00410BE3"/>
    <w:rsid w:val="0041122D"/>
    <w:rsid w:val="00411CB8"/>
    <w:rsid w:val="00411DDC"/>
    <w:rsid w:val="00411E5A"/>
    <w:rsid w:val="004123A2"/>
    <w:rsid w:val="0041246A"/>
    <w:rsid w:val="00412497"/>
    <w:rsid w:val="00412A45"/>
    <w:rsid w:val="00412BD9"/>
    <w:rsid w:val="00412D07"/>
    <w:rsid w:val="00412F8F"/>
    <w:rsid w:val="00413017"/>
    <w:rsid w:val="004131AD"/>
    <w:rsid w:val="00413501"/>
    <w:rsid w:val="004137CB"/>
    <w:rsid w:val="00413C47"/>
    <w:rsid w:val="00414A86"/>
    <w:rsid w:val="00414ABF"/>
    <w:rsid w:val="00414B15"/>
    <w:rsid w:val="00414D3A"/>
    <w:rsid w:val="00415098"/>
    <w:rsid w:val="0041533F"/>
    <w:rsid w:val="00415771"/>
    <w:rsid w:val="00416193"/>
    <w:rsid w:val="0041632B"/>
    <w:rsid w:val="00416C56"/>
    <w:rsid w:val="004175CD"/>
    <w:rsid w:val="00417708"/>
    <w:rsid w:val="00417B66"/>
    <w:rsid w:val="00417C8E"/>
    <w:rsid w:val="00420043"/>
    <w:rsid w:val="00420287"/>
    <w:rsid w:val="00420445"/>
    <w:rsid w:val="004204A3"/>
    <w:rsid w:val="004205B3"/>
    <w:rsid w:val="00420B23"/>
    <w:rsid w:val="00421448"/>
    <w:rsid w:val="00421507"/>
    <w:rsid w:val="0042175C"/>
    <w:rsid w:val="004218CB"/>
    <w:rsid w:val="00421E08"/>
    <w:rsid w:val="0042236D"/>
    <w:rsid w:val="0042347F"/>
    <w:rsid w:val="004238F0"/>
    <w:rsid w:val="00423D11"/>
    <w:rsid w:val="00423FF0"/>
    <w:rsid w:val="0042469E"/>
    <w:rsid w:val="00424C2D"/>
    <w:rsid w:val="00424EE5"/>
    <w:rsid w:val="00425014"/>
    <w:rsid w:val="0042540E"/>
    <w:rsid w:val="004254AE"/>
    <w:rsid w:val="00425BAA"/>
    <w:rsid w:val="0042615D"/>
    <w:rsid w:val="004265B6"/>
    <w:rsid w:val="00426B60"/>
    <w:rsid w:val="0042708B"/>
    <w:rsid w:val="00427391"/>
    <w:rsid w:val="00427396"/>
    <w:rsid w:val="00430278"/>
    <w:rsid w:val="004304E4"/>
    <w:rsid w:val="004305D4"/>
    <w:rsid w:val="004307F3"/>
    <w:rsid w:val="00430F1D"/>
    <w:rsid w:val="00431190"/>
    <w:rsid w:val="004316FD"/>
    <w:rsid w:val="00431E7C"/>
    <w:rsid w:val="0043270E"/>
    <w:rsid w:val="00432878"/>
    <w:rsid w:val="00432BEE"/>
    <w:rsid w:val="00433167"/>
    <w:rsid w:val="004334D9"/>
    <w:rsid w:val="0043409B"/>
    <w:rsid w:val="00434336"/>
    <w:rsid w:val="00434380"/>
    <w:rsid w:val="0043472C"/>
    <w:rsid w:val="004357F7"/>
    <w:rsid w:val="00435A98"/>
    <w:rsid w:val="00436C29"/>
    <w:rsid w:val="00436D7A"/>
    <w:rsid w:val="00436FE4"/>
    <w:rsid w:val="00437474"/>
    <w:rsid w:val="00437689"/>
    <w:rsid w:val="004377D2"/>
    <w:rsid w:val="004379AD"/>
    <w:rsid w:val="00437D19"/>
    <w:rsid w:val="0044076A"/>
    <w:rsid w:val="00440A71"/>
    <w:rsid w:val="00440C28"/>
    <w:rsid w:val="00440D36"/>
    <w:rsid w:val="00440E58"/>
    <w:rsid w:val="00440F95"/>
    <w:rsid w:val="00440FD2"/>
    <w:rsid w:val="00441227"/>
    <w:rsid w:val="0044156E"/>
    <w:rsid w:val="00441848"/>
    <w:rsid w:val="00441FA7"/>
    <w:rsid w:val="004420AF"/>
    <w:rsid w:val="0044225D"/>
    <w:rsid w:val="004423DF"/>
    <w:rsid w:val="00443032"/>
    <w:rsid w:val="00443443"/>
    <w:rsid w:val="0044382A"/>
    <w:rsid w:val="00443949"/>
    <w:rsid w:val="00443C05"/>
    <w:rsid w:val="00444832"/>
    <w:rsid w:val="00444854"/>
    <w:rsid w:val="0044600F"/>
    <w:rsid w:val="00446FF8"/>
    <w:rsid w:val="004476A7"/>
    <w:rsid w:val="0044798F"/>
    <w:rsid w:val="00447B00"/>
    <w:rsid w:val="004502BA"/>
    <w:rsid w:val="004505F8"/>
    <w:rsid w:val="0045108E"/>
    <w:rsid w:val="004516C8"/>
    <w:rsid w:val="0045185C"/>
    <w:rsid w:val="00452318"/>
    <w:rsid w:val="00452559"/>
    <w:rsid w:val="0045287B"/>
    <w:rsid w:val="004528D2"/>
    <w:rsid w:val="00452BDA"/>
    <w:rsid w:val="0045313B"/>
    <w:rsid w:val="00453835"/>
    <w:rsid w:val="00453B39"/>
    <w:rsid w:val="00453CC1"/>
    <w:rsid w:val="00453D50"/>
    <w:rsid w:val="004541FF"/>
    <w:rsid w:val="00454515"/>
    <w:rsid w:val="00455704"/>
    <w:rsid w:val="00455A18"/>
    <w:rsid w:val="00455C05"/>
    <w:rsid w:val="004563AF"/>
    <w:rsid w:val="00456B6C"/>
    <w:rsid w:val="00457503"/>
    <w:rsid w:val="00457C80"/>
    <w:rsid w:val="00457E68"/>
    <w:rsid w:val="0046040B"/>
    <w:rsid w:val="004604A9"/>
    <w:rsid w:val="004605B8"/>
    <w:rsid w:val="00460687"/>
    <w:rsid w:val="004609ED"/>
    <w:rsid w:val="00461010"/>
    <w:rsid w:val="00461016"/>
    <w:rsid w:val="00461467"/>
    <w:rsid w:val="004617F4"/>
    <w:rsid w:val="00461BC3"/>
    <w:rsid w:val="00461BDC"/>
    <w:rsid w:val="004621FE"/>
    <w:rsid w:val="00462A53"/>
    <w:rsid w:val="00462C92"/>
    <w:rsid w:val="0046306C"/>
    <w:rsid w:val="004630E5"/>
    <w:rsid w:val="0046326E"/>
    <w:rsid w:val="00463B09"/>
    <w:rsid w:val="00463E5E"/>
    <w:rsid w:val="00463E73"/>
    <w:rsid w:val="00463F28"/>
    <w:rsid w:val="0046403D"/>
    <w:rsid w:val="0046417E"/>
    <w:rsid w:val="00464D1A"/>
    <w:rsid w:val="00464D6C"/>
    <w:rsid w:val="00464DC0"/>
    <w:rsid w:val="00464E56"/>
    <w:rsid w:val="00465D2E"/>
    <w:rsid w:val="00465DFE"/>
    <w:rsid w:val="004660EA"/>
    <w:rsid w:val="004666F5"/>
    <w:rsid w:val="004667FC"/>
    <w:rsid w:val="00466B44"/>
    <w:rsid w:val="00467297"/>
    <w:rsid w:val="00467A9B"/>
    <w:rsid w:val="00467C75"/>
    <w:rsid w:val="0047020D"/>
    <w:rsid w:val="004702C9"/>
    <w:rsid w:val="00470A1F"/>
    <w:rsid w:val="00470ADE"/>
    <w:rsid w:val="00470DD0"/>
    <w:rsid w:val="00472692"/>
    <w:rsid w:val="0047280B"/>
    <w:rsid w:val="00472BD7"/>
    <w:rsid w:val="0047371F"/>
    <w:rsid w:val="00473A64"/>
    <w:rsid w:val="00473FD7"/>
    <w:rsid w:val="0047419F"/>
    <w:rsid w:val="0047425E"/>
    <w:rsid w:val="004749F7"/>
    <w:rsid w:val="00475654"/>
    <w:rsid w:val="00476250"/>
    <w:rsid w:val="00476A8E"/>
    <w:rsid w:val="00477441"/>
    <w:rsid w:val="00477B72"/>
    <w:rsid w:val="0048021D"/>
    <w:rsid w:val="00480434"/>
    <w:rsid w:val="004805F9"/>
    <w:rsid w:val="00480A9C"/>
    <w:rsid w:val="00481299"/>
    <w:rsid w:val="004818E2"/>
    <w:rsid w:val="004826A3"/>
    <w:rsid w:val="004827C3"/>
    <w:rsid w:val="0048288E"/>
    <w:rsid w:val="00482A3B"/>
    <w:rsid w:val="00482F60"/>
    <w:rsid w:val="004837AA"/>
    <w:rsid w:val="00483E99"/>
    <w:rsid w:val="0048444C"/>
    <w:rsid w:val="00485431"/>
    <w:rsid w:val="00485900"/>
    <w:rsid w:val="00485A5A"/>
    <w:rsid w:val="00485B34"/>
    <w:rsid w:val="00485CB1"/>
    <w:rsid w:val="00486346"/>
    <w:rsid w:val="004867B9"/>
    <w:rsid w:val="00486AA2"/>
    <w:rsid w:val="00487375"/>
    <w:rsid w:val="004879EE"/>
    <w:rsid w:val="00490240"/>
    <w:rsid w:val="004904BD"/>
    <w:rsid w:val="00490D8F"/>
    <w:rsid w:val="004912ED"/>
    <w:rsid w:val="00491482"/>
    <w:rsid w:val="00491C48"/>
    <w:rsid w:val="0049213C"/>
    <w:rsid w:val="00492262"/>
    <w:rsid w:val="0049247C"/>
    <w:rsid w:val="004927A0"/>
    <w:rsid w:val="00492930"/>
    <w:rsid w:val="00492B9C"/>
    <w:rsid w:val="00492E74"/>
    <w:rsid w:val="00493528"/>
    <w:rsid w:val="004942FB"/>
    <w:rsid w:val="0049458D"/>
    <w:rsid w:val="00494608"/>
    <w:rsid w:val="00494B16"/>
    <w:rsid w:val="00494BBB"/>
    <w:rsid w:val="00494FD7"/>
    <w:rsid w:val="00495944"/>
    <w:rsid w:val="00495CFC"/>
    <w:rsid w:val="004961EC"/>
    <w:rsid w:val="00496309"/>
    <w:rsid w:val="00496A74"/>
    <w:rsid w:val="00496AB7"/>
    <w:rsid w:val="00497D13"/>
    <w:rsid w:val="00497D33"/>
    <w:rsid w:val="004A0150"/>
    <w:rsid w:val="004A0235"/>
    <w:rsid w:val="004A1078"/>
    <w:rsid w:val="004A1233"/>
    <w:rsid w:val="004A1725"/>
    <w:rsid w:val="004A17DA"/>
    <w:rsid w:val="004A1BA8"/>
    <w:rsid w:val="004A1EAF"/>
    <w:rsid w:val="004A2CA9"/>
    <w:rsid w:val="004A3E4B"/>
    <w:rsid w:val="004A41CB"/>
    <w:rsid w:val="004A4673"/>
    <w:rsid w:val="004A4AF5"/>
    <w:rsid w:val="004A4BCF"/>
    <w:rsid w:val="004A5560"/>
    <w:rsid w:val="004A6260"/>
    <w:rsid w:val="004A6B78"/>
    <w:rsid w:val="004A6E29"/>
    <w:rsid w:val="004A76A1"/>
    <w:rsid w:val="004A77B9"/>
    <w:rsid w:val="004A7D52"/>
    <w:rsid w:val="004B03CB"/>
    <w:rsid w:val="004B07DF"/>
    <w:rsid w:val="004B0943"/>
    <w:rsid w:val="004B0A94"/>
    <w:rsid w:val="004B0BC6"/>
    <w:rsid w:val="004B0F26"/>
    <w:rsid w:val="004B1187"/>
    <w:rsid w:val="004B18E9"/>
    <w:rsid w:val="004B1C33"/>
    <w:rsid w:val="004B1F41"/>
    <w:rsid w:val="004B2742"/>
    <w:rsid w:val="004B2E60"/>
    <w:rsid w:val="004B3394"/>
    <w:rsid w:val="004B33E4"/>
    <w:rsid w:val="004B3500"/>
    <w:rsid w:val="004B38E7"/>
    <w:rsid w:val="004B3F26"/>
    <w:rsid w:val="004B4092"/>
    <w:rsid w:val="004B40D7"/>
    <w:rsid w:val="004B4192"/>
    <w:rsid w:val="004B4275"/>
    <w:rsid w:val="004B42FC"/>
    <w:rsid w:val="004B45F0"/>
    <w:rsid w:val="004B48CE"/>
    <w:rsid w:val="004B4E93"/>
    <w:rsid w:val="004B5553"/>
    <w:rsid w:val="004B5CEA"/>
    <w:rsid w:val="004B5E4F"/>
    <w:rsid w:val="004B5FDA"/>
    <w:rsid w:val="004B602F"/>
    <w:rsid w:val="004B61A5"/>
    <w:rsid w:val="004B6E5E"/>
    <w:rsid w:val="004B7281"/>
    <w:rsid w:val="004B7372"/>
    <w:rsid w:val="004C031F"/>
    <w:rsid w:val="004C0469"/>
    <w:rsid w:val="004C068E"/>
    <w:rsid w:val="004C076A"/>
    <w:rsid w:val="004C08A0"/>
    <w:rsid w:val="004C09D0"/>
    <w:rsid w:val="004C0AB6"/>
    <w:rsid w:val="004C0C18"/>
    <w:rsid w:val="004C1208"/>
    <w:rsid w:val="004C1221"/>
    <w:rsid w:val="004C146D"/>
    <w:rsid w:val="004C1FA3"/>
    <w:rsid w:val="004C2156"/>
    <w:rsid w:val="004C2AC9"/>
    <w:rsid w:val="004C2BA4"/>
    <w:rsid w:val="004C2D0D"/>
    <w:rsid w:val="004C2DA2"/>
    <w:rsid w:val="004C33ED"/>
    <w:rsid w:val="004C3573"/>
    <w:rsid w:val="004C3661"/>
    <w:rsid w:val="004C3AF1"/>
    <w:rsid w:val="004C3B8C"/>
    <w:rsid w:val="004C40B6"/>
    <w:rsid w:val="004C40C7"/>
    <w:rsid w:val="004C4189"/>
    <w:rsid w:val="004C4959"/>
    <w:rsid w:val="004C4C23"/>
    <w:rsid w:val="004C4D0E"/>
    <w:rsid w:val="004C4E36"/>
    <w:rsid w:val="004C5379"/>
    <w:rsid w:val="004C5769"/>
    <w:rsid w:val="004C5770"/>
    <w:rsid w:val="004C59D8"/>
    <w:rsid w:val="004C5C45"/>
    <w:rsid w:val="004C5EA3"/>
    <w:rsid w:val="004C6991"/>
    <w:rsid w:val="004C6B00"/>
    <w:rsid w:val="004C6B23"/>
    <w:rsid w:val="004C6BC7"/>
    <w:rsid w:val="004C7718"/>
    <w:rsid w:val="004C7B1A"/>
    <w:rsid w:val="004C7EB2"/>
    <w:rsid w:val="004D0310"/>
    <w:rsid w:val="004D0421"/>
    <w:rsid w:val="004D0A8E"/>
    <w:rsid w:val="004D0B8D"/>
    <w:rsid w:val="004D0EC9"/>
    <w:rsid w:val="004D1154"/>
    <w:rsid w:val="004D12C2"/>
    <w:rsid w:val="004D16B4"/>
    <w:rsid w:val="004D1DBB"/>
    <w:rsid w:val="004D26FF"/>
    <w:rsid w:val="004D2EB4"/>
    <w:rsid w:val="004D3024"/>
    <w:rsid w:val="004D3193"/>
    <w:rsid w:val="004D3406"/>
    <w:rsid w:val="004D3796"/>
    <w:rsid w:val="004D3BF1"/>
    <w:rsid w:val="004D3D5C"/>
    <w:rsid w:val="004D4CCE"/>
    <w:rsid w:val="004D6A48"/>
    <w:rsid w:val="004D7280"/>
    <w:rsid w:val="004D72A8"/>
    <w:rsid w:val="004D7484"/>
    <w:rsid w:val="004D7973"/>
    <w:rsid w:val="004E07C1"/>
    <w:rsid w:val="004E07C4"/>
    <w:rsid w:val="004E147C"/>
    <w:rsid w:val="004E1577"/>
    <w:rsid w:val="004E192B"/>
    <w:rsid w:val="004E1BEC"/>
    <w:rsid w:val="004E1DF2"/>
    <w:rsid w:val="004E1EC0"/>
    <w:rsid w:val="004E2588"/>
    <w:rsid w:val="004E2685"/>
    <w:rsid w:val="004E32F8"/>
    <w:rsid w:val="004E3F0B"/>
    <w:rsid w:val="004E408D"/>
    <w:rsid w:val="004E4249"/>
    <w:rsid w:val="004E42B9"/>
    <w:rsid w:val="004E4693"/>
    <w:rsid w:val="004E474A"/>
    <w:rsid w:val="004E4964"/>
    <w:rsid w:val="004E4B73"/>
    <w:rsid w:val="004E4DFD"/>
    <w:rsid w:val="004E5260"/>
    <w:rsid w:val="004E549E"/>
    <w:rsid w:val="004E5B5E"/>
    <w:rsid w:val="004E5B8C"/>
    <w:rsid w:val="004E647E"/>
    <w:rsid w:val="004E7035"/>
    <w:rsid w:val="004E70BA"/>
    <w:rsid w:val="004E71C3"/>
    <w:rsid w:val="004E725A"/>
    <w:rsid w:val="004E775C"/>
    <w:rsid w:val="004E779A"/>
    <w:rsid w:val="004E79C3"/>
    <w:rsid w:val="004E7B81"/>
    <w:rsid w:val="004F088C"/>
    <w:rsid w:val="004F0C9A"/>
    <w:rsid w:val="004F0D80"/>
    <w:rsid w:val="004F187D"/>
    <w:rsid w:val="004F1B60"/>
    <w:rsid w:val="004F3124"/>
    <w:rsid w:val="004F3A42"/>
    <w:rsid w:val="004F409E"/>
    <w:rsid w:val="004F427E"/>
    <w:rsid w:val="004F4402"/>
    <w:rsid w:val="004F54B3"/>
    <w:rsid w:val="004F566B"/>
    <w:rsid w:val="004F5D1D"/>
    <w:rsid w:val="004F5F98"/>
    <w:rsid w:val="004F6355"/>
    <w:rsid w:val="004F6F8B"/>
    <w:rsid w:val="004F6FC2"/>
    <w:rsid w:val="004F7254"/>
    <w:rsid w:val="004F7D98"/>
    <w:rsid w:val="00500488"/>
    <w:rsid w:val="00500575"/>
    <w:rsid w:val="00500C69"/>
    <w:rsid w:val="0050124D"/>
    <w:rsid w:val="005012C0"/>
    <w:rsid w:val="0050134C"/>
    <w:rsid w:val="005014F5"/>
    <w:rsid w:val="00501672"/>
    <w:rsid w:val="0050184D"/>
    <w:rsid w:val="00501B51"/>
    <w:rsid w:val="00502861"/>
    <w:rsid w:val="00502A6D"/>
    <w:rsid w:val="00502D63"/>
    <w:rsid w:val="00503447"/>
    <w:rsid w:val="00503750"/>
    <w:rsid w:val="00503941"/>
    <w:rsid w:val="00503952"/>
    <w:rsid w:val="00503C3B"/>
    <w:rsid w:val="0050428D"/>
    <w:rsid w:val="00504691"/>
    <w:rsid w:val="00504910"/>
    <w:rsid w:val="00504C37"/>
    <w:rsid w:val="0050551D"/>
    <w:rsid w:val="005056D7"/>
    <w:rsid w:val="00505A53"/>
    <w:rsid w:val="00505B30"/>
    <w:rsid w:val="00505EF8"/>
    <w:rsid w:val="0050623D"/>
    <w:rsid w:val="00506EFF"/>
    <w:rsid w:val="0050734A"/>
    <w:rsid w:val="00510023"/>
    <w:rsid w:val="00510863"/>
    <w:rsid w:val="00510E6B"/>
    <w:rsid w:val="005113AD"/>
    <w:rsid w:val="00512231"/>
    <w:rsid w:val="00512C66"/>
    <w:rsid w:val="00512EF8"/>
    <w:rsid w:val="0051323B"/>
    <w:rsid w:val="0051333D"/>
    <w:rsid w:val="0051386E"/>
    <w:rsid w:val="00513B71"/>
    <w:rsid w:val="00513D0F"/>
    <w:rsid w:val="0051468D"/>
    <w:rsid w:val="0051494D"/>
    <w:rsid w:val="00514C6C"/>
    <w:rsid w:val="00514F96"/>
    <w:rsid w:val="0051518E"/>
    <w:rsid w:val="005152BC"/>
    <w:rsid w:val="0051542A"/>
    <w:rsid w:val="00516FD6"/>
    <w:rsid w:val="00517A19"/>
    <w:rsid w:val="005207E0"/>
    <w:rsid w:val="0052090C"/>
    <w:rsid w:val="00520973"/>
    <w:rsid w:val="00521127"/>
    <w:rsid w:val="005211B2"/>
    <w:rsid w:val="005227A3"/>
    <w:rsid w:val="00522C42"/>
    <w:rsid w:val="00522D42"/>
    <w:rsid w:val="00522F55"/>
    <w:rsid w:val="00523275"/>
    <w:rsid w:val="00523A49"/>
    <w:rsid w:val="00523A52"/>
    <w:rsid w:val="00524095"/>
    <w:rsid w:val="00524F8D"/>
    <w:rsid w:val="00525331"/>
    <w:rsid w:val="00525945"/>
    <w:rsid w:val="00525B84"/>
    <w:rsid w:val="00526192"/>
    <w:rsid w:val="005262A9"/>
    <w:rsid w:val="005262E4"/>
    <w:rsid w:val="00526495"/>
    <w:rsid w:val="005264BD"/>
    <w:rsid w:val="00526E20"/>
    <w:rsid w:val="00526EA2"/>
    <w:rsid w:val="00527102"/>
    <w:rsid w:val="005273FC"/>
    <w:rsid w:val="00527595"/>
    <w:rsid w:val="005276F9"/>
    <w:rsid w:val="0052771A"/>
    <w:rsid w:val="00527890"/>
    <w:rsid w:val="00530B59"/>
    <w:rsid w:val="00530E88"/>
    <w:rsid w:val="0053112F"/>
    <w:rsid w:val="00531385"/>
    <w:rsid w:val="00531520"/>
    <w:rsid w:val="005316B6"/>
    <w:rsid w:val="0053175C"/>
    <w:rsid w:val="00531952"/>
    <w:rsid w:val="00531B8F"/>
    <w:rsid w:val="00532930"/>
    <w:rsid w:val="00532984"/>
    <w:rsid w:val="00533040"/>
    <w:rsid w:val="00533DFE"/>
    <w:rsid w:val="00533E8B"/>
    <w:rsid w:val="00534BFA"/>
    <w:rsid w:val="00535250"/>
    <w:rsid w:val="00535608"/>
    <w:rsid w:val="00535620"/>
    <w:rsid w:val="005356ED"/>
    <w:rsid w:val="0053612D"/>
    <w:rsid w:val="005364A3"/>
    <w:rsid w:val="00536AE4"/>
    <w:rsid w:val="00536F52"/>
    <w:rsid w:val="0053761C"/>
    <w:rsid w:val="005378B0"/>
    <w:rsid w:val="00537EB3"/>
    <w:rsid w:val="00537EFC"/>
    <w:rsid w:val="005402D7"/>
    <w:rsid w:val="0054056E"/>
    <w:rsid w:val="00540573"/>
    <w:rsid w:val="00540E91"/>
    <w:rsid w:val="00541D5C"/>
    <w:rsid w:val="005422D6"/>
    <w:rsid w:val="00542554"/>
    <w:rsid w:val="00542591"/>
    <w:rsid w:val="00542D05"/>
    <w:rsid w:val="00543CEA"/>
    <w:rsid w:val="00543DCA"/>
    <w:rsid w:val="0054437F"/>
    <w:rsid w:val="0054455F"/>
    <w:rsid w:val="005446DE"/>
    <w:rsid w:val="00544718"/>
    <w:rsid w:val="00544765"/>
    <w:rsid w:val="00544FA1"/>
    <w:rsid w:val="00545330"/>
    <w:rsid w:val="005456ED"/>
    <w:rsid w:val="005460EA"/>
    <w:rsid w:val="005464CD"/>
    <w:rsid w:val="005467F0"/>
    <w:rsid w:val="00546877"/>
    <w:rsid w:val="0054695B"/>
    <w:rsid w:val="00546ABA"/>
    <w:rsid w:val="00546F15"/>
    <w:rsid w:val="00547301"/>
    <w:rsid w:val="005477A2"/>
    <w:rsid w:val="0055013D"/>
    <w:rsid w:val="00550320"/>
    <w:rsid w:val="005504A5"/>
    <w:rsid w:val="00550DD5"/>
    <w:rsid w:val="00550E46"/>
    <w:rsid w:val="00550EC7"/>
    <w:rsid w:val="00551243"/>
    <w:rsid w:val="00551769"/>
    <w:rsid w:val="005519B7"/>
    <w:rsid w:val="00551C9A"/>
    <w:rsid w:val="00551F12"/>
    <w:rsid w:val="0055235B"/>
    <w:rsid w:val="005528A7"/>
    <w:rsid w:val="005537E2"/>
    <w:rsid w:val="00553974"/>
    <w:rsid w:val="005539AE"/>
    <w:rsid w:val="0055449C"/>
    <w:rsid w:val="00554650"/>
    <w:rsid w:val="00554FF2"/>
    <w:rsid w:val="0055560D"/>
    <w:rsid w:val="005559E9"/>
    <w:rsid w:val="00555A4F"/>
    <w:rsid w:val="00555FCD"/>
    <w:rsid w:val="00557014"/>
    <w:rsid w:val="005570BE"/>
    <w:rsid w:val="0055765B"/>
    <w:rsid w:val="005577B1"/>
    <w:rsid w:val="00557940"/>
    <w:rsid w:val="00557D62"/>
    <w:rsid w:val="00557EF0"/>
    <w:rsid w:val="005607B9"/>
    <w:rsid w:val="00560B85"/>
    <w:rsid w:val="0056233B"/>
    <w:rsid w:val="00562A51"/>
    <w:rsid w:val="00562B73"/>
    <w:rsid w:val="00562D96"/>
    <w:rsid w:val="00563694"/>
    <w:rsid w:val="005642F4"/>
    <w:rsid w:val="00564313"/>
    <w:rsid w:val="00564978"/>
    <w:rsid w:val="00564CC4"/>
    <w:rsid w:val="00564EBB"/>
    <w:rsid w:val="005659BC"/>
    <w:rsid w:val="00565D6A"/>
    <w:rsid w:val="0056610C"/>
    <w:rsid w:val="00566A8C"/>
    <w:rsid w:val="00566C7E"/>
    <w:rsid w:val="0056717F"/>
    <w:rsid w:val="00567253"/>
    <w:rsid w:val="00567530"/>
    <w:rsid w:val="005679EC"/>
    <w:rsid w:val="00567B17"/>
    <w:rsid w:val="00567F19"/>
    <w:rsid w:val="00570777"/>
    <w:rsid w:val="00570B82"/>
    <w:rsid w:val="00570E53"/>
    <w:rsid w:val="00571660"/>
    <w:rsid w:val="005716EA"/>
    <w:rsid w:val="005718A0"/>
    <w:rsid w:val="005720E6"/>
    <w:rsid w:val="005724C3"/>
    <w:rsid w:val="0057271B"/>
    <w:rsid w:val="005729C7"/>
    <w:rsid w:val="00572E82"/>
    <w:rsid w:val="00572F77"/>
    <w:rsid w:val="00572FA9"/>
    <w:rsid w:val="0057322A"/>
    <w:rsid w:val="0057357B"/>
    <w:rsid w:val="00573718"/>
    <w:rsid w:val="005738F8"/>
    <w:rsid w:val="00573D5E"/>
    <w:rsid w:val="00574403"/>
    <w:rsid w:val="00574EA9"/>
    <w:rsid w:val="0057518B"/>
    <w:rsid w:val="005753A1"/>
    <w:rsid w:val="0057587C"/>
    <w:rsid w:val="005760AF"/>
    <w:rsid w:val="00576987"/>
    <w:rsid w:val="005774CE"/>
    <w:rsid w:val="00577A7B"/>
    <w:rsid w:val="00577D02"/>
    <w:rsid w:val="00580127"/>
    <w:rsid w:val="00580B39"/>
    <w:rsid w:val="005811AA"/>
    <w:rsid w:val="005812A5"/>
    <w:rsid w:val="005815F1"/>
    <w:rsid w:val="00581DBF"/>
    <w:rsid w:val="00581E54"/>
    <w:rsid w:val="00582527"/>
    <w:rsid w:val="00583247"/>
    <w:rsid w:val="0058326E"/>
    <w:rsid w:val="00583329"/>
    <w:rsid w:val="005834B1"/>
    <w:rsid w:val="0058352B"/>
    <w:rsid w:val="005838B7"/>
    <w:rsid w:val="00583A41"/>
    <w:rsid w:val="00584737"/>
    <w:rsid w:val="005848B5"/>
    <w:rsid w:val="00585028"/>
    <w:rsid w:val="00586B32"/>
    <w:rsid w:val="00587440"/>
    <w:rsid w:val="00587679"/>
    <w:rsid w:val="00590156"/>
    <w:rsid w:val="0059015E"/>
    <w:rsid w:val="00590364"/>
    <w:rsid w:val="00590396"/>
    <w:rsid w:val="00590661"/>
    <w:rsid w:val="00590BE0"/>
    <w:rsid w:val="00590D00"/>
    <w:rsid w:val="00591099"/>
    <w:rsid w:val="00591271"/>
    <w:rsid w:val="005919CC"/>
    <w:rsid w:val="00591F58"/>
    <w:rsid w:val="005923E7"/>
    <w:rsid w:val="00592611"/>
    <w:rsid w:val="005926FF"/>
    <w:rsid w:val="005927B6"/>
    <w:rsid w:val="00592D78"/>
    <w:rsid w:val="00592ED9"/>
    <w:rsid w:val="00592FDE"/>
    <w:rsid w:val="00592FE6"/>
    <w:rsid w:val="005931E4"/>
    <w:rsid w:val="0059328C"/>
    <w:rsid w:val="00593A13"/>
    <w:rsid w:val="005954D3"/>
    <w:rsid w:val="0059575C"/>
    <w:rsid w:val="00595AF1"/>
    <w:rsid w:val="00596199"/>
    <w:rsid w:val="00596E97"/>
    <w:rsid w:val="00596F3F"/>
    <w:rsid w:val="005972F4"/>
    <w:rsid w:val="005A00B2"/>
    <w:rsid w:val="005A0A00"/>
    <w:rsid w:val="005A0ADC"/>
    <w:rsid w:val="005A0BC1"/>
    <w:rsid w:val="005A16EB"/>
    <w:rsid w:val="005A2B90"/>
    <w:rsid w:val="005A2D77"/>
    <w:rsid w:val="005A2E40"/>
    <w:rsid w:val="005A38A2"/>
    <w:rsid w:val="005A39D0"/>
    <w:rsid w:val="005A3D43"/>
    <w:rsid w:val="005A4010"/>
    <w:rsid w:val="005A4CC6"/>
    <w:rsid w:val="005A564F"/>
    <w:rsid w:val="005A5F5E"/>
    <w:rsid w:val="005A642E"/>
    <w:rsid w:val="005A72C0"/>
    <w:rsid w:val="005A7426"/>
    <w:rsid w:val="005A7722"/>
    <w:rsid w:val="005B009E"/>
    <w:rsid w:val="005B0659"/>
    <w:rsid w:val="005B0933"/>
    <w:rsid w:val="005B0A49"/>
    <w:rsid w:val="005B0F48"/>
    <w:rsid w:val="005B195A"/>
    <w:rsid w:val="005B1A15"/>
    <w:rsid w:val="005B1BC4"/>
    <w:rsid w:val="005B1D52"/>
    <w:rsid w:val="005B23F0"/>
    <w:rsid w:val="005B2922"/>
    <w:rsid w:val="005B2A93"/>
    <w:rsid w:val="005B2F71"/>
    <w:rsid w:val="005B2F76"/>
    <w:rsid w:val="005B3624"/>
    <w:rsid w:val="005B3903"/>
    <w:rsid w:val="005B3B25"/>
    <w:rsid w:val="005B3EC6"/>
    <w:rsid w:val="005B43F2"/>
    <w:rsid w:val="005B4B4D"/>
    <w:rsid w:val="005B4E81"/>
    <w:rsid w:val="005B56E2"/>
    <w:rsid w:val="005B57A3"/>
    <w:rsid w:val="005B5A51"/>
    <w:rsid w:val="005B5EE5"/>
    <w:rsid w:val="005B665B"/>
    <w:rsid w:val="005B69B1"/>
    <w:rsid w:val="005B72D0"/>
    <w:rsid w:val="005B7D95"/>
    <w:rsid w:val="005B7EC4"/>
    <w:rsid w:val="005B7FFB"/>
    <w:rsid w:val="005C0398"/>
    <w:rsid w:val="005C0588"/>
    <w:rsid w:val="005C0D9C"/>
    <w:rsid w:val="005C105E"/>
    <w:rsid w:val="005C1082"/>
    <w:rsid w:val="005C110C"/>
    <w:rsid w:val="005C1434"/>
    <w:rsid w:val="005C20F3"/>
    <w:rsid w:val="005C2A50"/>
    <w:rsid w:val="005C3502"/>
    <w:rsid w:val="005C3EF2"/>
    <w:rsid w:val="005C4E45"/>
    <w:rsid w:val="005C4F27"/>
    <w:rsid w:val="005C5203"/>
    <w:rsid w:val="005C5529"/>
    <w:rsid w:val="005C560C"/>
    <w:rsid w:val="005C5697"/>
    <w:rsid w:val="005C59BD"/>
    <w:rsid w:val="005C5D13"/>
    <w:rsid w:val="005C6494"/>
    <w:rsid w:val="005C7158"/>
    <w:rsid w:val="005C75C9"/>
    <w:rsid w:val="005D01B7"/>
    <w:rsid w:val="005D0527"/>
    <w:rsid w:val="005D08B8"/>
    <w:rsid w:val="005D0C99"/>
    <w:rsid w:val="005D0D84"/>
    <w:rsid w:val="005D1278"/>
    <w:rsid w:val="005D1A73"/>
    <w:rsid w:val="005D2138"/>
    <w:rsid w:val="005D30A0"/>
    <w:rsid w:val="005D4151"/>
    <w:rsid w:val="005D4280"/>
    <w:rsid w:val="005D441E"/>
    <w:rsid w:val="005D4DB0"/>
    <w:rsid w:val="005D5494"/>
    <w:rsid w:val="005D5749"/>
    <w:rsid w:val="005D6267"/>
    <w:rsid w:val="005D6FF9"/>
    <w:rsid w:val="005D70FF"/>
    <w:rsid w:val="005D77BD"/>
    <w:rsid w:val="005E0230"/>
    <w:rsid w:val="005E04B5"/>
    <w:rsid w:val="005E05E5"/>
    <w:rsid w:val="005E0A06"/>
    <w:rsid w:val="005E0AB8"/>
    <w:rsid w:val="005E0B36"/>
    <w:rsid w:val="005E0CC2"/>
    <w:rsid w:val="005E199B"/>
    <w:rsid w:val="005E1E7B"/>
    <w:rsid w:val="005E2246"/>
    <w:rsid w:val="005E2660"/>
    <w:rsid w:val="005E273B"/>
    <w:rsid w:val="005E2B13"/>
    <w:rsid w:val="005E2CCA"/>
    <w:rsid w:val="005E30C8"/>
    <w:rsid w:val="005E3711"/>
    <w:rsid w:val="005E3A52"/>
    <w:rsid w:val="005E44FA"/>
    <w:rsid w:val="005E50A8"/>
    <w:rsid w:val="005E5CD1"/>
    <w:rsid w:val="005E687F"/>
    <w:rsid w:val="005E7C04"/>
    <w:rsid w:val="005F061D"/>
    <w:rsid w:val="005F09AD"/>
    <w:rsid w:val="005F0C85"/>
    <w:rsid w:val="005F0CDE"/>
    <w:rsid w:val="005F0FFB"/>
    <w:rsid w:val="005F13B9"/>
    <w:rsid w:val="005F1E84"/>
    <w:rsid w:val="005F20B1"/>
    <w:rsid w:val="005F2181"/>
    <w:rsid w:val="005F2A54"/>
    <w:rsid w:val="005F32C3"/>
    <w:rsid w:val="005F33D8"/>
    <w:rsid w:val="005F3755"/>
    <w:rsid w:val="005F37A5"/>
    <w:rsid w:val="005F3C9F"/>
    <w:rsid w:val="005F3D86"/>
    <w:rsid w:val="005F49F6"/>
    <w:rsid w:val="005F4C42"/>
    <w:rsid w:val="005F4CA5"/>
    <w:rsid w:val="005F4EF4"/>
    <w:rsid w:val="005F543F"/>
    <w:rsid w:val="005F5D8A"/>
    <w:rsid w:val="005F5D8E"/>
    <w:rsid w:val="005F5E17"/>
    <w:rsid w:val="005F63B8"/>
    <w:rsid w:val="005F63C4"/>
    <w:rsid w:val="005F6C7F"/>
    <w:rsid w:val="005F7203"/>
    <w:rsid w:val="005F7485"/>
    <w:rsid w:val="005F7753"/>
    <w:rsid w:val="005F7778"/>
    <w:rsid w:val="005F7D19"/>
    <w:rsid w:val="00600F1B"/>
    <w:rsid w:val="006010C2"/>
    <w:rsid w:val="00601D92"/>
    <w:rsid w:val="00601E41"/>
    <w:rsid w:val="0060250E"/>
    <w:rsid w:val="00602760"/>
    <w:rsid w:val="0060284B"/>
    <w:rsid w:val="00602F99"/>
    <w:rsid w:val="006033C1"/>
    <w:rsid w:val="006037AB"/>
    <w:rsid w:val="006037E0"/>
    <w:rsid w:val="0060403D"/>
    <w:rsid w:val="0060510F"/>
    <w:rsid w:val="00605650"/>
    <w:rsid w:val="00605772"/>
    <w:rsid w:val="0060582B"/>
    <w:rsid w:val="006061D6"/>
    <w:rsid w:val="00607113"/>
    <w:rsid w:val="00607473"/>
    <w:rsid w:val="00607D7B"/>
    <w:rsid w:val="006101EC"/>
    <w:rsid w:val="00610A0D"/>
    <w:rsid w:val="00610D3B"/>
    <w:rsid w:val="00610D65"/>
    <w:rsid w:val="006110B9"/>
    <w:rsid w:val="00612F76"/>
    <w:rsid w:val="006134F1"/>
    <w:rsid w:val="00613529"/>
    <w:rsid w:val="006136B6"/>
    <w:rsid w:val="006138C2"/>
    <w:rsid w:val="00613FDE"/>
    <w:rsid w:val="0061444E"/>
    <w:rsid w:val="006144BC"/>
    <w:rsid w:val="0061463F"/>
    <w:rsid w:val="00614EF9"/>
    <w:rsid w:val="0061580A"/>
    <w:rsid w:val="006165E7"/>
    <w:rsid w:val="0061681B"/>
    <w:rsid w:val="00616F79"/>
    <w:rsid w:val="006177A1"/>
    <w:rsid w:val="00617A2C"/>
    <w:rsid w:val="00620209"/>
    <w:rsid w:val="00620866"/>
    <w:rsid w:val="00620A0C"/>
    <w:rsid w:val="0062143E"/>
    <w:rsid w:val="006223BF"/>
    <w:rsid w:val="0062251A"/>
    <w:rsid w:val="0062268C"/>
    <w:rsid w:val="006229AA"/>
    <w:rsid w:val="00622F5C"/>
    <w:rsid w:val="006235C4"/>
    <w:rsid w:val="006235D8"/>
    <w:rsid w:val="0062383D"/>
    <w:rsid w:val="00623A07"/>
    <w:rsid w:val="00624082"/>
    <w:rsid w:val="00624315"/>
    <w:rsid w:val="00624D07"/>
    <w:rsid w:val="00624DE8"/>
    <w:rsid w:val="00625674"/>
    <w:rsid w:val="00625684"/>
    <w:rsid w:val="0062595F"/>
    <w:rsid w:val="00625B88"/>
    <w:rsid w:val="00625CFB"/>
    <w:rsid w:val="00625E35"/>
    <w:rsid w:val="006261F5"/>
    <w:rsid w:val="00626C02"/>
    <w:rsid w:val="00626E5C"/>
    <w:rsid w:val="0062715B"/>
    <w:rsid w:val="00627336"/>
    <w:rsid w:val="00627DAF"/>
    <w:rsid w:val="006308CC"/>
    <w:rsid w:val="00630BAC"/>
    <w:rsid w:val="00630BDC"/>
    <w:rsid w:val="0063110C"/>
    <w:rsid w:val="006311CE"/>
    <w:rsid w:val="006312D5"/>
    <w:rsid w:val="00631481"/>
    <w:rsid w:val="00631892"/>
    <w:rsid w:val="00631FF2"/>
    <w:rsid w:val="00632192"/>
    <w:rsid w:val="0063224C"/>
    <w:rsid w:val="006329C3"/>
    <w:rsid w:val="00632EAC"/>
    <w:rsid w:val="00632F91"/>
    <w:rsid w:val="00633AE0"/>
    <w:rsid w:val="00633D8A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6BB"/>
    <w:rsid w:val="006368C0"/>
    <w:rsid w:val="006368F7"/>
    <w:rsid w:val="00636944"/>
    <w:rsid w:val="00636B55"/>
    <w:rsid w:val="00636C61"/>
    <w:rsid w:val="006373ED"/>
    <w:rsid w:val="00637493"/>
    <w:rsid w:val="00637618"/>
    <w:rsid w:val="00637967"/>
    <w:rsid w:val="00637B66"/>
    <w:rsid w:val="00637E06"/>
    <w:rsid w:val="00637FB4"/>
    <w:rsid w:val="006400BA"/>
    <w:rsid w:val="00640589"/>
    <w:rsid w:val="006412B0"/>
    <w:rsid w:val="006417AE"/>
    <w:rsid w:val="00641AFA"/>
    <w:rsid w:val="00641F85"/>
    <w:rsid w:val="00642520"/>
    <w:rsid w:val="00642731"/>
    <w:rsid w:val="00642870"/>
    <w:rsid w:val="00642C24"/>
    <w:rsid w:val="00642EEE"/>
    <w:rsid w:val="0064383B"/>
    <w:rsid w:val="00643891"/>
    <w:rsid w:val="00643A2A"/>
    <w:rsid w:val="006443E3"/>
    <w:rsid w:val="00644499"/>
    <w:rsid w:val="0064482E"/>
    <w:rsid w:val="0064535F"/>
    <w:rsid w:val="006461CE"/>
    <w:rsid w:val="006462DB"/>
    <w:rsid w:val="006468BB"/>
    <w:rsid w:val="00646A88"/>
    <w:rsid w:val="00646B30"/>
    <w:rsid w:val="00646FDE"/>
    <w:rsid w:val="00647767"/>
    <w:rsid w:val="006501C2"/>
    <w:rsid w:val="006507F0"/>
    <w:rsid w:val="0065096B"/>
    <w:rsid w:val="00650EAA"/>
    <w:rsid w:val="00651236"/>
    <w:rsid w:val="006518CA"/>
    <w:rsid w:val="00651C20"/>
    <w:rsid w:val="0065276A"/>
    <w:rsid w:val="00652998"/>
    <w:rsid w:val="00652A19"/>
    <w:rsid w:val="00652B7E"/>
    <w:rsid w:val="00652FC8"/>
    <w:rsid w:val="006533E3"/>
    <w:rsid w:val="006537A6"/>
    <w:rsid w:val="00654441"/>
    <w:rsid w:val="00654D4A"/>
    <w:rsid w:val="00655A73"/>
    <w:rsid w:val="00655C7B"/>
    <w:rsid w:val="00655DDE"/>
    <w:rsid w:val="00655EA0"/>
    <w:rsid w:val="00656CDB"/>
    <w:rsid w:val="00656D9F"/>
    <w:rsid w:val="00656DD1"/>
    <w:rsid w:val="00657579"/>
    <w:rsid w:val="00657857"/>
    <w:rsid w:val="00657DF3"/>
    <w:rsid w:val="00660347"/>
    <w:rsid w:val="00660FFD"/>
    <w:rsid w:val="00661D41"/>
    <w:rsid w:val="0066205D"/>
    <w:rsid w:val="00663026"/>
    <w:rsid w:val="00663112"/>
    <w:rsid w:val="00663CAD"/>
    <w:rsid w:val="00664453"/>
    <w:rsid w:val="00664ADF"/>
    <w:rsid w:val="0066505D"/>
    <w:rsid w:val="006655F7"/>
    <w:rsid w:val="006656B4"/>
    <w:rsid w:val="00665C19"/>
    <w:rsid w:val="006660AE"/>
    <w:rsid w:val="00666B65"/>
    <w:rsid w:val="00666C65"/>
    <w:rsid w:val="00666EC5"/>
    <w:rsid w:val="00666F3C"/>
    <w:rsid w:val="0066717D"/>
    <w:rsid w:val="006676F2"/>
    <w:rsid w:val="00667772"/>
    <w:rsid w:val="0066790E"/>
    <w:rsid w:val="00667B99"/>
    <w:rsid w:val="00667E26"/>
    <w:rsid w:val="00670891"/>
    <w:rsid w:val="006709FC"/>
    <w:rsid w:val="00670EC4"/>
    <w:rsid w:val="00671F70"/>
    <w:rsid w:val="0067229D"/>
    <w:rsid w:val="00672956"/>
    <w:rsid w:val="006732B0"/>
    <w:rsid w:val="0067342E"/>
    <w:rsid w:val="006734B0"/>
    <w:rsid w:val="0067366E"/>
    <w:rsid w:val="006736EA"/>
    <w:rsid w:val="006737F4"/>
    <w:rsid w:val="0067381A"/>
    <w:rsid w:val="00673909"/>
    <w:rsid w:val="00674481"/>
    <w:rsid w:val="006753D6"/>
    <w:rsid w:val="0067564A"/>
    <w:rsid w:val="00675842"/>
    <w:rsid w:val="00675E97"/>
    <w:rsid w:val="00675ECB"/>
    <w:rsid w:val="00675EF7"/>
    <w:rsid w:val="00675FD2"/>
    <w:rsid w:val="00676552"/>
    <w:rsid w:val="00676869"/>
    <w:rsid w:val="00676E77"/>
    <w:rsid w:val="0067721A"/>
    <w:rsid w:val="00677755"/>
    <w:rsid w:val="00677B80"/>
    <w:rsid w:val="00677DFC"/>
    <w:rsid w:val="00677F37"/>
    <w:rsid w:val="00677FDD"/>
    <w:rsid w:val="006801FF"/>
    <w:rsid w:val="00680376"/>
    <w:rsid w:val="0068064E"/>
    <w:rsid w:val="0068092F"/>
    <w:rsid w:val="00680A9F"/>
    <w:rsid w:val="00680D69"/>
    <w:rsid w:val="00680DEA"/>
    <w:rsid w:val="006811F6"/>
    <w:rsid w:val="0068148F"/>
    <w:rsid w:val="0068158B"/>
    <w:rsid w:val="00681B0D"/>
    <w:rsid w:val="00681C95"/>
    <w:rsid w:val="006823EA"/>
    <w:rsid w:val="00682A8B"/>
    <w:rsid w:val="00682AAD"/>
    <w:rsid w:val="00682D13"/>
    <w:rsid w:val="00683292"/>
    <w:rsid w:val="006832E6"/>
    <w:rsid w:val="0068424C"/>
    <w:rsid w:val="00684A34"/>
    <w:rsid w:val="00684E7E"/>
    <w:rsid w:val="006854E7"/>
    <w:rsid w:val="006854F4"/>
    <w:rsid w:val="006855A5"/>
    <w:rsid w:val="006869C9"/>
    <w:rsid w:val="00686ABF"/>
    <w:rsid w:val="00686C5D"/>
    <w:rsid w:val="00686E78"/>
    <w:rsid w:val="00687035"/>
    <w:rsid w:val="00687072"/>
    <w:rsid w:val="00687651"/>
    <w:rsid w:val="00687738"/>
    <w:rsid w:val="00687815"/>
    <w:rsid w:val="006879AF"/>
    <w:rsid w:val="00687D9B"/>
    <w:rsid w:val="00687F8E"/>
    <w:rsid w:val="006901B6"/>
    <w:rsid w:val="0069058A"/>
    <w:rsid w:val="006911A3"/>
    <w:rsid w:val="00691AF7"/>
    <w:rsid w:val="00692D9C"/>
    <w:rsid w:val="00693110"/>
    <w:rsid w:val="00693C56"/>
    <w:rsid w:val="00694496"/>
    <w:rsid w:val="00694A71"/>
    <w:rsid w:val="00694B7F"/>
    <w:rsid w:val="00695257"/>
    <w:rsid w:val="00695CDD"/>
    <w:rsid w:val="00695D02"/>
    <w:rsid w:val="00695DC0"/>
    <w:rsid w:val="00695F83"/>
    <w:rsid w:val="00696759"/>
    <w:rsid w:val="00696A2A"/>
    <w:rsid w:val="00696CB7"/>
    <w:rsid w:val="0069771F"/>
    <w:rsid w:val="006A0491"/>
    <w:rsid w:val="006A05F9"/>
    <w:rsid w:val="006A08BA"/>
    <w:rsid w:val="006A0949"/>
    <w:rsid w:val="006A0D73"/>
    <w:rsid w:val="006A0DCA"/>
    <w:rsid w:val="006A0F82"/>
    <w:rsid w:val="006A105E"/>
    <w:rsid w:val="006A1329"/>
    <w:rsid w:val="006A1850"/>
    <w:rsid w:val="006A190C"/>
    <w:rsid w:val="006A1DE3"/>
    <w:rsid w:val="006A24D4"/>
    <w:rsid w:val="006A3864"/>
    <w:rsid w:val="006A3E7F"/>
    <w:rsid w:val="006A41F2"/>
    <w:rsid w:val="006A4744"/>
    <w:rsid w:val="006A4D90"/>
    <w:rsid w:val="006A4F47"/>
    <w:rsid w:val="006A646E"/>
    <w:rsid w:val="006A65A6"/>
    <w:rsid w:val="006A6C05"/>
    <w:rsid w:val="006A6C4C"/>
    <w:rsid w:val="006A6CF0"/>
    <w:rsid w:val="006A716E"/>
    <w:rsid w:val="006A7430"/>
    <w:rsid w:val="006A7B8E"/>
    <w:rsid w:val="006B0092"/>
    <w:rsid w:val="006B0882"/>
    <w:rsid w:val="006B123D"/>
    <w:rsid w:val="006B13BC"/>
    <w:rsid w:val="006B1452"/>
    <w:rsid w:val="006B1502"/>
    <w:rsid w:val="006B1532"/>
    <w:rsid w:val="006B162C"/>
    <w:rsid w:val="006B1790"/>
    <w:rsid w:val="006B1946"/>
    <w:rsid w:val="006B1DAC"/>
    <w:rsid w:val="006B1DC1"/>
    <w:rsid w:val="006B285F"/>
    <w:rsid w:val="006B2898"/>
    <w:rsid w:val="006B34BF"/>
    <w:rsid w:val="006B3797"/>
    <w:rsid w:val="006B3985"/>
    <w:rsid w:val="006B3CAE"/>
    <w:rsid w:val="006B475E"/>
    <w:rsid w:val="006B4CBD"/>
    <w:rsid w:val="006B5BDA"/>
    <w:rsid w:val="006B5CC1"/>
    <w:rsid w:val="006B5DE6"/>
    <w:rsid w:val="006B5E01"/>
    <w:rsid w:val="006B609B"/>
    <w:rsid w:val="006B6130"/>
    <w:rsid w:val="006B6571"/>
    <w:rsid w:val="006B696C"/>
    <w:rsid w:val="006B6E06"/>
    <w:rsid w:val="006B6F29"/>
    <w:rsid w:val="006B74D5"/>
    <w:rsid w:val="006B787F"/>
    <w:rsid w:val="006B7C1E"/>
    <w:rsid w:val="006C0BF7"/>
    <w:rsid w:val="006C0CD2"/>
    <w:rsid w:val="006C155E"/>
    <w:rsid w:val="006C1946"/>
    <w:rsid w:val="006C2094"/>
    <w:rsid w:val="006C21AD"/>
    <w:rsid w:val="006C21CD"/>
    <w:rsid w:val="006C2237"/>
    <w:rsid w:val="006C2365"/>
    <w:rsid w:val="006C2486"/>
    <w:rsid w:val="006C25E5"/>
    <w:rsid w:val="006C2A41"/>
    <w:rsid w:val="006C2C87"/>
    <w:rsid w:val="006C2ED5"/>
    <w:rsid w:val="006C2F3A"/>
    <w:rsid w:val="006C3AFA"/>
    <w:rsid w:val="006C3DC4"/>
    <w:rsid w:val="006C4055"/>
    <w:rsid w:val="006C4B12"/>
    <w:rsid w:val="006C53E6"/>
    <w:rsid w:val="006C5591"/>
    <w:rsid w:val="006C56D2"/>
    <w:rsid w:val="006C5943"/>
    <w:rsid w:val="006C5B48"/>
    <w:rsid w:val="006C664B"/>
    <w:rsid w:val="006C664D"/>
    <w:rsid w:val="006C67E7"/>
    <w:rsid w:val="006C6EEA"/>
    <w:rsid w:val="006C711A"/>
    <w:rsid w:val="006C7215"/>
    <w:rsid w:val="006C75E1"/>
    <w:rsid w:val="006C7992"/>
    <w:rsid w:val="006C7A96"/>
    <w:rsid w:val="006C7CE8"/>
    <w:rsid w:val="006C7D39"/>
    <w:rsid w:val="006C7E76"/>
    <w:rsid w:val="006D024A"/>
    <w:rsid w:val="006D024F"/>
    <w:rsid w:val="006D07EA"/>
    <w:rsid w:val="006D0A26"/>
    <w:rsid w:val="006D0A5B"/>
    <w:rsid w:val="006D0E1E"/>
    <w:rsid w:val="006D11E2"/>
    <w:rsid w:val="006D160E"/>
    <w:rsid w:val="006D175E"/>
    <w:rsid w:val="006D1761"/>
    <w:rsid w:val="006D17D9"/>
    <w:rsid w:val="006D1CC1"/>
    <w:rsid w:val="006D2804"/>
    <w:rsid w:val="006D3446"/>
    <w:rsid w:val="006D4195"/>
    <w:rsid w:val="006D432B"/>
    <w:rsid w:val="006D460E"/>
    <w:rsid w:val="006D47C3"/>
    <w:rsid w:val="006D568B"/>
    <w:rsid w:val="006D5F7B"/>
    <w:rsid w:val="006D5FB1"/>
    <w:rsid w:val="006D6507"/>
    <w:rsid w:val="006D6E54"/>
    <w:rsid w:val="006D700C"/>
    <w:rsid w:val="006D7B49"/>
    <w:rsid w:val="006E0102"/>
    <w:rsid w:val="006E04DD"/>
    <w:rsid w:val="006E0E9F"/>
    <w:rsid w:val="006E18E3"/>
    <w:rsid w:val="006E21E6"/>
    <w:rsid w:val="006E2276"/>
    <w:rsid w:val="006E2678"/>
    <w:rsid w:val="006E2C32"/>
    <w:rsid w:val="006E30BE"/>
    <w:rsid w:val="006E318F"/>
    <w:rsid w:val="006E31DE"/>
    <w:rsid w:val="006E3703"/>
    <w:rsid w:val="006E3C3E"/>
    <w:rsid w:val="006E4676"/>
    <w:rsid w:val="006E4CEF"/>
    <w:rsid w:val="006E52AF"/>
    <w:rsid w:val="006E5D2E"/>
    <w:rsid w:val="006E613C"/>
    <w:rsid w:val="006E61F3"/>
    <w:rsid w:val="006E67B6"/>
    <w:rsid w:val="006E6B7E"/>
    <w:rsid w:val="006E74AD"/>
    <w:rsid w:val="006E7DC9"/>
    <w:rsid w:val="006E7E9C"/>
    <w:rsid w:val="006F055A"/>
    <w:rsid w:val="006F0695"/>
    <w:rsid w:val="006F0733"/>
    <w:rsid w:val="006F0A85"/>
    <w:rsid w:val="006F0D5C"/>
    <w:rsid w:val="006F0D72"/>
    <w:rsid w:val="006F1468"/>
    <w:rsid w:val="006F1605"/>
    <w:rsid w:val="006F1EB0"/>
    <w:rsid w:val="006F27C5"/>
    <w:rsid w:val="006F2FFF"/>
    <w:rsid w:val="006F3550"/>
    <w:rsid w:val="006F36C4"/>
    <w:rsid w:val="006F3A71"/>
    <w:rsid w:val="006F3F3F"/>
    <w:rsid w:val="006F4053"/>
    <w:rsid w:val="006F457C"/>
    <w:rsid w:val="006F4786"/>
    <w:rsid w:val="006F47BA"/>
    <w:rsid w:val="006F4887"/>
    <w:rsid w:val="006F4D6E"/>
    <w:rsid w:val="006F57AE"/>
    <w:rsid w:val="006F5BD1"/>
    <w:rsid w:val="006F5CA0"/>
    <w:rsid w:val="006F5F53"/>
    <w:rsid w:val="006F5FC9"/>
    <w:rsid w:val="006F69D6"/>
    <w:rsid w:val="006F6BA9"/>
    <w:rsid w:val="006F7716"/>
    <w:rsid w:val="006F77E2"/>
    <w:rsid w:val="007000AC"/>
    <w:rsid w:val="00700202"/>
    <w:rsid w:val="00701076"/>
    <w:rsid w:val="007011BF"/>
    <w:rsid w:val="00701276"/>
    <w:rsid w:val="007017AA"/>
    <w:rsid w:val="0070196F"/>
    <w:rsid w:val="00701AF0"/>
    <w:rsid w:val="00701BB7"/>
    <w:rsid w:val="007023DC"/>
    <w:rsid w:val="00703E8A"/>
    <w:rsid w:val="00704509"/>
    <w:rsid w:val="00706039"/>
    <w:rsid w:val="007062DB"/>
    <w:rsid w:val="007068CA"/>
    <w:rsid w:val="0070699C"/>
    <w:rsid w:val="00706B0D"/>
    <w:rsid w:val="00706EDD"/>
    <w:rsid w:val="0070777B"/>
    <w:rsid w:val="007077E9"/>
    <w:rsid w:val="00707865"/>
    <w:rsid w:val="0071012B"/>
    <w:rsid w:val="0071057A"/>
    <w:rsid w:val="007109D7"/>
    <w:rsid w:val="00710ED3"/>
    <w:rsid w:val="0071110D"/>
    <w:rsid w:val="00711432"/>
    <w:rsid w:val="00711CD0"/>
    <w:rsid w:val="00712711"/>
    <w:rsid w:val="00713181"/>
    <w:rsid w:val="007134FE"/>
    <w:rsid w:val="00713E2B"/>
    <w:rsid w:val="00714162"/>
    <w:rsid w:val="00714812"/>
    <w:rsid w:val="00714EE0"/>
    <w:rsid w:val="007154F8"/>
    <w:rsid w:val="007161D7"/>
    <w:rsid w:val="007164A8"/>
    <w:rsid w:val="007164FB"/>
    <w:rsid w:val="0071682C"/>
    <w:rsid w:val="00716FEC"/>
    <w:rsid w:val="00717757"/>
    <w:rsid w:val="00717B5E"/>
    <w:rsid w:val="00720389"/>
    <w:rsid w:val="007203DF"/>
    <w:rsid w:val="00720C60"/>
    <w:rsid w:val="00720E75"/>
    <w:rsid w:val="00720EDB"/>
    <w:rsid w:val="00722439"/>
    <w:rsid w:val="007227A3"/>
    <w:rsid w:val="00722DE9"/>
    <w:rsid w:val="007236EA"/>
    <w:rsid w:val="00723710"/>
    <w:rsid w:val="00723950"/>
    <w:rsid w:val="00723983"/>
    <w:rsid w:val="007241B4"/>
    <w:rsid w:val="007249AC"/>
    <w:rsid w:val="0072520C"/>
    <w:rsid w:val="0072524F"/>
    <w:rsid w:val="00725458"/>
    <w:rsid w:val="00725701"/>
    <w:rsid w:val="00725CF2"/>
    <w:rsid w:val="00726123"/>
    <w:rsid w:val="007261F2"/>
    <w:rsid w:val="0072750E"/>
    <w:rsid w:val="00730837"/>
    <w:rsid w:val="0073131D"/>
    <w:rsid w:val="0073168A"/>
    <w:rsid w:val="0073196A"/>
    <w:rsid w:val="00731AFD"/>
    <w:rsid w:val="00731B0C"/>
    <w:rsid w:val="00731BFE"/>
    <w:rsid w:val="00731D56"/>
    <w:rsid w:val="007330E0"/>
    <w:rsid w:val="0073317A"/>
    <w:rsid w:val="0073329F"/>
    <w:rsid w:val="00733A39"/>
    <w:rsid w:val="00733B11"/>
    <w:rsid w:val="00733B8B"/>
    <w:rsid w:val="00733D11"/>
    <w:rsid w:val="00734578"/>
    <w:rsid w:val="0073459A"/>
    <w:rsid w:val="00734C2E"/>
    <w:rsid w:val="0073541E"/>
    <w:rsid w:val="0073599E"/>
    <w:rsid w:val="00735E7A"/>
    <w:rsid w:val="007362A7"/>
    <w:rsid w:val="0073704C"/>
    <w:rsid w:val="007371DC"/>
    <w:rsid w:val="00737251"/>
    <w:rsid w:val="00737705"/>
    <w:rsid w:val="00737B1C"/>
    <w:rsid w:val="0074053E"/>
    <w:rsid w:val="0074076E"/>
    <w:rsid w:val="00740A31"/>
    <w:rsid w:val="00740DA7"/>
    <w:rsid w:val="00740F67"/>
    <w:rsid w:val="007414A8"/>
    <w:rsid w:val="00741516"/>
    <w:rsid w:val="007415D9"/>
    <w:rsid w:val="00741F27"/>
    <w:rsid w:val="00742ED7"/>
    <w:rsid w:val="00743007"/>
    <w:rsid w:val="007438F4"/>
    <w:rsid w:val="00743912"/>
    <w:rsid w:val="00743A44"/>
    <w:rsid w:val="007446E7"/>
    <w:rsid w:val="00745C60"/>
    <w:rsid w:val="00745FAC"/>
    <w:rsid w:val="0074618B"/>
    <w:rsid w:val="00746609"/>
    <w:rsid w:val="00746908"/>
    <w:rsid w:val="00746DF4"/>
    <w:rsid w:val="007477ED"/>
    <w:rsid w:val="00747C9C"/>
    <w:rsid w:val="00750290"/>
    <w:rsid w:val="007506FC"/>
    <w:rsid w:val="007507A8"/>
    <w:rsid w:val="007508EA"/>
    <w:rsid w:val="00750CE3"/>
    <w:rsid w:val="0075155A"/>
    <w:rsid w:val="00751895"/>
    <w:rsid w:val="00752012"/>
    <w:rsid w:val="007523C2"/>
    <w:rsid w:val="007527B9"/>
    <w:rsid w:val="00752D1A"/>
    <w:rsid w:val="00752DB4"/>
    <w:rsid w:val="00752E40"/>
    <w:rsid w:val="007530C6"/>
    <w:rsid w:val="00753E5C"/>
    <w:rsid w:val="00754418"/>
    <w:rsid w:val="0075460F"/>
    <w:rsid w:val="0075463A"/>
    <w:rsid w:val="007546D0"/>
    <w:rsid w:val="007552A7"/>
    <w:rsid w:val="0075538F"/>
    <w:rsid w:val="0075560F"/>
    <w:rsid w:val="00755748"/>
    <w:rsid w:val="007558B2"/>
    <w:rsid w:val="007561CC"/>
    <w:rsid w:val="00756312"/>
    <w:rsid w:val="0075638B"/>
    <w:rsid w:val="00756562"/>
    <w:rsid w:val="00757034"/>
    <w:rsid w:val="00757897"/>
    <w:rsid w:val="00757D3D"/>
    <w:rsid w:val="007600DB"/>
    <w:rsid w:val="00760141"/>
    <w:rsid w:val="007608B5"/>
    <w:rsid w:val="007609E9"/>
    <w:rsid w:val="00761000"/>
    <w:rsid w:val="007615AC"/>
    <w:rsid w:val="00761926"/>
    <w:rsid w:val="00762030"/>
    <w:rsid w:val="00762401"/>
    <w:rsid w:val="00762A2A"/>
    <w:rsid w:val="00762DF4"/>
    <w:rsid w:val="007633F2"/>
    <w:rsid w:val="007635F7"/>
    <w:rsid w:val="007637EC"/>
    <w:rsid w:val="0076405B"/>
    <w:rsid w:val="007640A4"/>
    <w:rsid w:val="00764685"/>
    <w:rsid w:val="00764A74"/>
    <w:rsid w:val="00765046"/>
    <w:rsid w:val="007663D9"/>
    <w:rsid w:val="007668F3"/>
    <w:rsid w:val="00766C04"/>
    <w:rsid w:val="00766FAF"/>
    <w:rsid w:val="007670A5"/>
    <w:rsid w:val="00767286"/>
    <w:rsid w:val="007676AA"/>
    <w:rsid w:val="00767768"/>
    <w:rsid w:val="007677F9"/>
    <w:rsid w:val="00767901"/>
    <w:rsid w:val="00767971"/>
    <w:rsid w:val="00767C06"/>
    <w:rsid w:val="00767D48"/>
    <w:rsid w:val="00770913"/>
    <w:rsid w:val="00770F6B"/>
    <w:rsid w:val="0077108F"/>
    <w:rsid w:val="0077112E"/>
    <w:rsid w:val="00771EF5"/>
    <w:rsid w:val="00772362"/>
    <w:rsid w:val="007731C0"/>
    <w:rsid w:val="00773D50"/>
    <w:rsid w:val="00773E73"/>
    <w:rsid w:val="0077427E"/>
    <w:rsid w:val="00774735"/>
    <w:rsid w:val="0077493C"/>
    <w:rsid w:val="00774FD1"/>
    <w:rsid w:val="007752DC"/>
    <w:rsid w:val="0077539F"/>
    <w:rsid w:val="00775A4B"/>
    <w:rsid w:val="00776040"/>
    <w:rsid w:val="00776523"/>
    <w:rsid w:val="0078026A"/>
    <w:rsid w:val="00780495"/>
    <w:rsid w:val="00780745"/>
    <w:rsid w:val="00781014"/>
    <w:rsid w:val="007816A1"/>
    <w:rsid w:val="0078175A"/>
    <w:rsid w:val="0078187B"/>
    <w:rsid w:val="00781AD5"/>
    <w:rsid w:val="007824D1"/>
    <w:rsid w:val="0078251A"/>
    <w:rsid w:val="0078265F"/>
    <w:rsid w:val="00782D34"/>
    <w:rsid w:val="0078333E"/>
    <w:rsid w:val="0078374C"/>
    <w:rsid w:val="007838D5"/>
    <w:rsid w:val="00783BBB"/>
    <w:rsid w:val="00784232"/>
    <w:rsid w:val="007847A7"/>
    <w:rsid w:val="0078509A"/>
    <w:rsid w:val="007850C5"/>
    <w:rsid w:val="007851DB"/>
    <w:rsid w:val="00785BCB"/>
    <w:rsid w:val="00785E9B"/>
    <w:rsid w:val="00785F22"/>
    <w:rsid w:val="00786472"/>
    <w:rsid w:val="007875C0"/>
    <w:rsid w:val="007905C9"/>
    <w:rsid w:val="00790DA6"/>
    <w:rsid w:val="00790EDA"/>
    <w:rsid w:val="007911CB"/>
    <w:rsid w:val="007916E6"/>
    <w:rsid w:val="00792AEC"/>
    <w:rsid w:val="0079312A"/>
    <w:rsid w:val="00793377"/>
    <w:rsid w:val="0079344E"/>
    <w:rsid w:val="007935FC"/>
    <w:rsid w:val="0079360E"/>
    <w:rsid w:val="0079391D"/>
    <w:rsid w:val="007939F2"/>
    <w:rsid w:val="007947E4"/>
    <w:rsid w:val="007948FA"/>
    <w:rsid w:val="00794A4A"/>
    <w:rsid w:val="00794EDC"/>
    <w:rsid w:val="007950ED"/>
    <w:rsid w:val="007956E7"/>
    <w:rsid w:val="00796C4C"/>
    <w:rsid w:val="00797103"/>
    <w:rsid w:val="0079738E"/>
    <w:rsid w:val="00797B24"/>
    <w:rsid w:val="00797E09"/>
    <w:rsid w:val="00797F91"/>
    <w:rsid w:val="007A0B63"/>
    <w:rsid w:val="007A0D4D"/>
    <w:rsid w:val="007A1BC0"/>
    <w:rsid w:val="007A20EE"/>
    <w:rsid w:val="007A23DF"/>
    <w:rsid w:val="007A253E"/>
    <w:rsid w:val="007A35C4"/>
    <w:rsid w:val="007A3763"/>
    <w:rsid w:val="007A387D"/>
    <w:rsid w:val="007A39A0"/>
    <w:rsid w:val="007A3B72"/>
    <w:rsid w:val="007A4423"/>
    <w:rsid w:val="007A5144"/>
    <w:rsid w:val="007A516F"/>
    <w:rsid w:val="007A5196"/>
    <w:rsid w:val="007A57ED"/>
    <w:rsid w:val="007A5A84"/>
    <w:rsid w:val="007A5CE0"/>
    <w:rsid w:val="007A6634"/>
    <w:rsid w:val="007A67F8"/>
    <w:rsid w:val="007A6C55"/>
    <w:rsid w:val="007A7054"/>
    <w:rsid w:val="007A7248"/>
    <w:rsid w:val="007A7F4A"/>
    <w:rsid w:val="007B0508"/>
    <w:rsid w:val="007B05B5"/>
    <w:rsid w:val="007B070C"/>
    <w:rsid w:val="007B0943"/>
    <w:rsid w:val="007B0B80"/>
    <w:rsid w:val="007B0B90"/>
    <w:rsid w:val="007B1295"/>
    <w:rsid w:val="007B14D0"/>
    <w:rsid w:val="007B1BA3"/>
    <w:rsid w:val="007B2294"/>
    <w:rsid w:val="007B2503"/>
    <w:rsid w:val="007B2554"/>
    <w:rsid w:val="007B30A1"/>
    <w:rsid w:val="007B3569"/>
    <w:rsid w:val="007B3B15"/>
    <w:rsid w:val="007B3D05"/>
    <w:rsid w:val="007B40AA"/>
    <w:rsid w:val="007B40BB"/>
    <w:rsid w:val="007B41A0"/>
    <w:rsid w:val="007B498A"/>
    <w:rsid w:val="007B49FE"/>
    <w:rsid w:val="007B5259"/>
    <w:rsid w:val="007B601D"/>
    <w:rsid w:val="007B6379"/>
    <w:rsid w:val="007B68CC"/>
    <w:rsid w:val="007B695D"/>
    <w:rsid w:val="007B69D8"/>
    <w:rsid w:val="007B6CC8"/>
    <w:rsid w:val="007B764A"/>
    <w:rsid w:val="007B78BD"/>
    <w:rsid w:val="007B7A9C"/>
    <w:rsid w:val="007C0203"/>
    <w:rsid w:val="007C0476"/>
    <w:rsid w:val="007C0573"/>
    <w:rsid w:val="007C09C5"/>
    <w:rsid w:val="007C13EB"/>
    <w:rsid w:val="007C1EF4"/>
    <w:rsid w:val="007C21D7"/>
    <w:rsid w:val="007C23FF"/>
    <w:rsid w:val="007C2A01"/>
    <w:rsid w:val="007C3291"/>
    <w:rsid w:val="007C32BB"/>
    <w:rsid w:val="007C33D8"/>
    <w:rsid w:val="007C384E"/>
    <w:rsid w:val="007C3BFD"/>
    <w:rsid w:val="007C4325"/>
    <w:rsid w:val="007C45EB"/>
    <w:rsid w:val="007C5222"/>
    <w:rsid w:val="007C5432"/>
    <w:rsid w:val="007C5530"/>
    <w:rsid w:val="007C5AF5"/>
    <w:rsid w:val="007C5D42"/>
    <w:rsid w:val="007C5E89"/>
    <w:rsid w:val="007C5F3F"/>
    <w:rsid w:val="007C614B"/>
    <w:rsid w:val="007C6D49"/>
    <w:rsid w:val="007C7647"/>
    <w:rsid w:val="007C7B74"/>
    <w:rsid w:val="007C7F32"/>
    <w:rsid w:val="007D006F"/>
    <w:rsid w:val="007D00E0"/>
    <w:rsid w:val="007D078A"/>
    <w:rsid w:val="007D0FD1"/>
    <w:rsid w:val="007D10FE"/>
    <w:rsid w:val="007D1AAC"/>
    <w:rsid w:val="007D24DA"/>
    <w:rsid w:val="007D2606"/>
    <w:rsid w:val="007D2F3B"/>
    <w:rsid w:val="007D3BDE"/>
    <w:rsid w:val="007D4072"/>
    <w:rsid w:val="007D427E"/>
    <w:rsid w:val="007D50D9"/>
    <w:rsid w:val="007D5282"/>
    <w:rsid w:val="007D53A6"/>
    <w:rsid w:val="007D6A29"/>
    <w:rsid w:val="007D6A4A"/>
    <w:rsid w:val="007D6D39"/>
    <w:rsid w:val="007D6DC4"/>
    <w:rsid w:val="007D7508"/>
    <w:rsid w:val="007D763F"/>
    <w:rsid w:val="007D7C50"/>
    <w:rsid w:val="007D7F39"/>
    <w:rsid w:val="007E0756"/>
    <w:rsid w:val="007E12BE"/>
    <w:rsid w:val="007E1976"/>
    <w:rsid w:val="007E1980"/>
    <w:rsid w:val="007E256E"/>
    <w:rsid w:val="007E3210"/>
    <w:rsid w:val="007E336E"/>
    <w:rsid w:val="007E33E4"/>
    <w:rsid w:val="007E382B"/>
    <w:rsid w:val="007E3B79"/>
    <w:rsid w:val="007E44BD"/>
    <w:rsid w:val="007E4515"/>
    <w:rsid w:val="007E4E7C"/>
    <w:rsid w:val="007E6337"/>
    <w:rsid w:val="007E681F"/>
    <w:rsid w:val="007E685B"/>
    <w:rsid w:val="007E68AF"/>
    <w:rsid w:val="007E6ACA"/>
    <w:rsid w:val="007E6FA9"/>
    <w:rsid w:val="007E7695"/>
    <w:rsid w:val="007E79AC"/>
    <w:rsid w:val="007E7F6A"/>
    <w:rsid w:val="007F0283"/>
    <w:rsid w:val="007F08E3"/>
    <w:rsid w:val="007F13F9"/>
    <w:rsid w:val="007F1ED9"/>
    <w:rsid w:val="007F2472"/>
    <w:rsid w:val="007F31DA"/>
    <w:rsid w:val="007F3228"/>
    <w:rsid w:val="007F3BC0"/>
    <w:rsid w:val="007F3E0C"/>
    <w:rsid w:val="007F3FE2"/>
    <w:rsid w:val="007F473F"/>
    <w:rsid w:val="007F47F5"/>
    <w:rsid w:val="007F5681"/>
    <w:rsid w:val="007F58E4"/>
    <w:rsid w:val="007F6EFF"/>
    <w:rsid w:val="007F7186"/>
    <w:rsid w:val="007F718D"/>
    <w:rsid w:val="007F7856"/>
    <w:rsid w:val="007F7E38"/>
    <w:rsid w:val="008003D0"/>
    <w:rsid w:val="00801731"/>
    <w:rsid w:val="0080248B"/>
    <w:rsid w:val="00802614"/>
    <w:rsid w:val="00802B39"/>
    <w:rsid w:val="00802C84"/>
    <w:rsid w:val="00803A70"/>
    <w:rsid w:val="00804518"/>
    <w:rsid w:val="0080487E"/>
    <w:rsid w:val="008048AA"/>
    <w:rsid w:val="00804FD6"/>
    <w:rsid w:val="0080513F"/>
    <w:rsid w:val="0080593D"/>
    <w:rsid w:val="008060FB"/>
    <w:rsid w:val="00806D82"/>
    <w:rsid w:val="00806E1B"/>
    <w:rsid w:val="00810B35"/>
    <w:rsid w:val="00810C83"/>
    <w:rsid w:val="00810DDA"/>
    <w:rsid w:val="008110EB"/>
    <w:rsid w:val="008110F7"/>
    <w:rsid w:val="00811182"/>
    <w:rsid w:val="008117B2"/>
    <w:rsid w:val="00811833"/>
    <w:rsid w:val="0081188F"/>
    <w:rsid w:val="00811B54"/>
    <w:rsid w:val="008121BE"/>
    <w:rsid w:val="0081264C"/>
    <w:rsid w:val="00812DE6"/>
    <w:rsid w:val="00812F37"/>
    <w:rsid w:val="00813008"/>
    <w:rsid w:val="00813026"/>
    <w:rsid w:val="008131EE"/>
    <w:rsid w:val="00813F25"/>
    <w:rsid w:val="00813FE5"/>
    <w:rsid w:val="00814D33"/>
    <w:rsid w:val="00814EDD"/>
    <w:rsid w:val="008157D6"/>
    <w:rsid w:val="00815A4D"/>
    <w:rsid w:val="00815F1D"/>
    <w:rsid w:val="00816029"/>
    <w:rsid w:val="0081614C"/>
    <w:rsid w:val="00816894"/>
    <w:rsid w:val="00816933"/>
    <w:rsid w:val="00817190"/>
    <w:rsid w:val="008172C1"/>
    <w:rsid w:val="008172EE"/>
    <w:rsid w:val="00817AC6"/>
    <w:rsid w:val="00817AE6"/>
    <w:rsid w:val="00817DB2"/>
    <w:rsid w:val="00817F11"/>
    <w:rsid w:val="00820060"/>
    <w:rsid w:val="008203A1"/>
    <w:rsid w:val="00820575"/>
    <w:rsid w:val="0082071B"/>
    <w:rsid w:val="008207B5"/>
    <w:rsid w:val="0082092A"/>
    <w:rsid w:val="00820B56"/>
    <w:rsid w:val="00820E5E"/>
    <w:rsid w:val="00820F12"/>
    <w:rsid w:val="0082126D"/>
    <w:rsid w:val="00821493"/>
    <w:rsid w:val="00821681"/>
    <w:rsid w:val="008216FE"/>
    <w:rsid w:val="00821B67"/>
    <w:rsid w:val="00821D98"/>
    <w:rsid w:val="00822BB3"/>
    <w:rsid w:val="00823667"/>
    <w:rsid w:val="00823B2D"/>
    <w:rsid w:val="00823D6D"/>
    <w:rsid w:val="00823DEC"/>
    <w:rsid w:val="00824DE3"/>
    <w:rsid w:val="00824EE4"/>
    <w:rsid w:val="00825727"/>
    <w:rsid w:val="008258B5"/>
    <w:rsid w:val="00825903"/>
    <w:rsid w:val="00825D60"/>
    <w:rsid w:val="00825F29"/>
    <w:rsid w:val="00825FFE"/>
    <w:rsid w:val="0082604D"/>
    <w:rsid w:val="00826EEB"/>
    <w:rsid w:val="00826F64"/>
    <w:rsid w:val="00826F7B"/>
    <w:rsid w:val="0082730E"/>
    <w:rsid w:val="00827899"/>
    <w:rsid w:val="00827934"/>
    <w:rsid w:val="008303F5"/>
    <w:rsid w:val="00830620"/>
    <w:rsid w:val="00830BDF"/>
    <w:rsid w:val="00830CA0"/>
    <w:rsid w:val="00831F9D"/>
    <w:rsid w:val="00831FA5"/>
    <w:rsid w:val="00832192"/>
    <w:rsid w:val="008324C9"/>
    <w:rsid w:val="0083292B"/>
    <w:rsid w:val="00832A8E"/>
    <w:rsid w:val="00832C0C"/>
    <w:rsid w:val="00832D51"/>
    <w:rsid w:val="0083368D"/>
    <w:rsid w:val="00833701"/>
    <w:rsid w:val="00833DA6"/>
    <w:rsid w:val="00833ED1"/>
    <w:rsid w:val="008340D9"/>
    <w:rsid w:val="008340DA"/>
    <w:rsid w:val="00834625"/>
    <w:rsid w:val="0083582D"/>
    <w:rsid w:val="00836B00"/>
    <w:rsid w:val="00836B07"/>
    <w:rsid w:val="00837170"/>
    <w:rsid w:val="00837499"/>
    <w:rsid w:val="00837D4C"/>
    <w:rsid w:val="00837F48"/>
    <w:rsid w:val="008406A5"/>
    <w:rsid w:val="00840771"/>
    <w:rsid w:val="008409FA"/>
    <w:rsid w:val="00840DED"/>
    <w:rsid w:val="0084142C"/>
    <w:rsid w:val="00841790"/>
    <w:rsid w:val="00841BA1"/>
    <w:rsid w:val="00842297"/>
    <w:rsid w:val="008425D8"/>
    <w:rsid w:val="008426A5"/>
    <w:rsid w:val="00842C0B"/>
    <w:rsid w:val="00843056"/>
    <w:rsid w:val="008434EF"/>
    <w:rsid w:val="008437A8"/>
    <w:rsid w:val="00843ADC"/>
    <w:rsid w:val="00844463"/>
    <w:rsid w:val="0084483E"/>
    <w:rsid w:val="00844C99"/>
    <w:rsid w:val="00844F10"/>
    <w:rsid w:val="008453ED"/>
    <w:rsid w:val="00845EEE"/>
    <w:rsid w:val="008464CA"/>
    <w:rsid w:val="00846B3B"/>
    <w:rsid w:val="008470B8"/>
    <w:rsid w:val="008479DD"/>
    <w:rsid w:val="008500C4"/>
    <w:rsid w:val="008501F9"/>
    <w:rsid w:val="008501FD"/>
    <w:rsid w:val="0085083E"/>
    <w:rsid w:val="00851027"/>
    <w:rsid w:val="00851217"/>
    <w:rsid w:val="00851239"/>
    <w:rsid w:val="0085163C"/>
    <w:rsid w:val="008516EF"/>
    <w:rsid w:val="00851B6C"/>
    <w:rsid w:val="00852512"/>
    <w:rsid w:val="00852587"/>
    <w:rsid w:val="00852643"/>
    <w:rsid w:val="008534E4"/>
    <w:rsid w:val="00853C5D"/>
    <w:rsid w:val="0085415B"/>
    <w:rsid w:val="00854741"/>
    <w:rsid w:val="00854A3C"/>
    <w:rsid w:val="00854D3B"/>
    <w:rsid w:val="00855DFC"/>
    <w:rsid w:val="00855E3E"/>
    <w:rsid w:val="00855E50"/>
    <w:rsid w:val="0085664D"/>
    <w:rsid w:val="008568E3"/>
    <w:rsid w:val="00856AE5"/>
    <w:rsid w:val="00856B2B"/>
    <w:rsid w:val="00856D75"/>
    <w:rsid w:val="0085708B"/>
    <w:rsid w:val="008570D5"/>
    <w:rsid w:val="008578C7"/>
    <w:rsid w:val="008578CD"/>
    <w:rsid w:val="008579F4"/>
    <w:rsid w:val="00857B15"/>
    <w:rsid w:val="00857E36"/>
    <w:rsid w:val="00857F04"/>
    <w:rsid w:val="00860DC3"/>
    <w:rsid w:val="00861BD6"/>
    <w:rsid w:val="00861C9F"/>
    <w:rsid w:val="00862181"/>
    <w:rsid w:val="00862F2E"/>
    <w:rsid w:val="00862FA2"/>
    <w:rsid w:val="008631DC"/>
    <w:rsid w:val="008632A6"/>
    <w:rsid w:val="0086390D"/>
    <w:rsid w:val="0086470A"/>
    <w:rsid w:val="008648DA"/>
    <w:rsid w:val="00864DC3"/>
    <w:rsid w:val="00864ECB"/>
    <w:rsid w:val="0086541B"/>
    <w:rsid w:val="008666C6"/>
    <w:rsid w:val="00867B06"/>
    <w:rsid w:val="00867BAB"/>
    <w:rsid w:val="00870471"/>
    <w:rsid w:val="00870493"/>
    <w:rsid w:val="0087066E"/>
    <w:rsid w:val="0087121D"/>
    <w:rsid w:val="008712C1"/>
    <w:rsid w:val="00871332"/>
    <w:rsid w:val="00871FA1"/>
    <w:rsid w:val="008723D0"/>
    <w:rsid w:val="00872A16"/>
    <w:rsid w:val="0087328F"/>
    <w:rsid w:val="00873436"/>
    <w:rsid w:val="00873FE6"/>
    <w:rsid w:val="0087444C"/>
    <w:rsid w:val="00874C86"/>
    <w:rsid w:val="00874EA8"/>
    <w:rsid w:val="00874F7B"/>
    <w:rsid w:val="00875253"/>
    <w:rsid w:val="00875324"/>
    <w:rsid w:val="008753ED"/>
    <w:rsid w:val="00875432"/>
    <w:rsid w:val="00875738"/>
    <w:rsid w:val="00876278"/>
    <w:rsid w:val="0087692D"/>
    <w:rsid w:val="00876EE4"/>
    <w:rsid w:val="008770CD"/>
    <w:rsid w:val="00877352"/>
    <w:rsid w:val="0087748D"/>
    <w:rsid w:val="008777F8"/>
    <w:rsid w:val="0087783C"/>
    <w:rsid w:val="00877AE1"/>
    <w:rsid w:val="008807FD"/>
    <w:rsid w:val="008809F3"/>
    <w:rsid w:val="008809FB"/>
    <w:rsid w:val="00880E67"/>
    <w:rsid w:val="0088151A"/>
    <w:rsid w:val="00881899"/>
    <w:rsid w:val="00882518"/>
    <w:rsid w:val="008828D7"/>
    <w:rsid w:val="00882D52"/>
    <w:rsid w:val="0088314C"/>
    <w:rsid w:val="00883F9B"/>
    <w:rsid w:val="00883FC5"/>
    <w:rsid w:val="00884703"/>
    <w:rsid w:val="00884791"/>
    <w:rsid w:val="0088486D"/>
    <w:rsid w:val="00885045"/>
    <w:rsid w:val="00885097"/>
    <w:rsid w:val="00885946"/>
    <w:rsid w:val="00885A29"/>
    <w:rsid w:val="00885ECE"/>
    <w:rsid w:val="00886699"/>
    <w:rsid w:val="00886EE9"/>
    <w:rsid w:val="0088709D"/>
    <w:rsid w:val="0088766D"/>
    <w:rsid w:val="00887706"/>
    <w:rsid w:val="00890076"/>
    <w:rsid w:val="008905E0"/>
    <w:rsid w:val="00890679"/>
    <w:rsid w:val="008906EA"/>
    <w:rsid w:val="0089084B"/>
    <w:rsid w:val="008909CF"/>
    <w:rsid w:val="00890B07"/>
    <w:rsid w:val="008911E4"/>
    <w:rsid w:val="0089158D"/>
    <w:rsid w:val="00891E00"/>
    <w:rsid w:val="00892557"/>
    <w:rsid w:val="00892D43"/>
    <w:rsid w:val="00892F39"/>
    <w:rsid w:val="00892F94"/>
    <w:rsid w:val="00893184"/>
    <w:rsid w:val="008931C9"/>
    <w:rsid w:val="00893379"/>
    <w:rsid w:val="008934D9"/>
    <w:rsid w:val="00893535"/>
    <w:rsid w:val="00894660"/>
    <w:rsid w:val="00894886"/>
    <w:rsid w:val="00894D9B"/>
    <w:rsid w:val="0089524C"/>
    <w:rsid w:val="008955EF"/>
    <w:rsid w:val="0089568E"/>
    <w:rsid w:val="008957A1"/>
    <w:rsid w:val="008958C0"/>
    <w:rsid w:val="00895F11"/>
    <w:rsid w:val="00896FE1"/>
    <w:rsid w:val="00897B69"/>
    <w:rsid w:val="008A0110"/>
    <w:rsid w:val="008A049C"/>
    <w:rsid w:val="008A066D"/>
    <w:rsid w:val="008A0CC1"/>
    <w:rsid w:val="008A0FDD"/>
    <w:rsid w:val="008A1059"/>
    <w:rsid w:val="008A10EF"/>
    <w:rsid w:val="008A11A2"/>
    <w:rsid w:val="008A1C6F"/>
    <w:rsid w:val="008A2261"/>
    <w:rsid w:val="008A2427"/>
    <w:rsid w:val="008A242C"/>
    <w:rsid w:val="008A2813"/>
    <w:rsid w:val="008A2BD5"/>
    <w:rsid w:val="008A318B"/>
    <w:rsid w:val="008A3518"/>
    <w:rsid w:val="008A4461"/>
    <w:rsid w:val="008A4E4F"/>
    <w:rsid w:val="008A4F25"/>
    <w:rsid w:val="008A5649"/>
    <w:rsid w:val="008A5AE1"/>
    <w:rsid w:val="008A5EEC"/>
    <w:rsid w:val="008A6084"/>
    <w:rsid w:val="008A6BEC"/>
    <w:rsid w:val="008A6C63"/>
    <w:rsid w:val="008A6D36"/>
    <w:rsid w:val="008A6ED5"/>
    <w:rsid w:val="008A702A"/>
    <w:rsid w:val="008A7203"/>
    <w:rsid w:val="008A72B1"/>
    <w:rsid w:val="008A7C7B"/>
    <w:rsid w:val="008B017B"/>
    <w:rsid w:val="008B06DB"/>
    <w:rsid w:val="008B074B"/>
    <w:rsid w:val="008B085A"/>
    <w:rsid w:val="008B29FC"/>
    <w:rsid w:val="008B2BB9"/>
    <w:rsid w:val="008B2EB8"/>
    <w:rsid w:val="008B30CD"/>
    <w:rsid w:val="008B3266"/>
    <w:rsid w:val="008B35D4"/>
    <w:rsid w:val="008B42AD"/>
    <w:rsid w:val="008B4684"/>
    <w:rsid w:val="008B4811"/>
    <w:rsid w:val="008B4E0C"/>
    <w:rsid w:val="008B4E7B"/>
    <w:rsid w:val="008B503C"/>
    <w:rsid w:val="008B5262"/>
    <w:rsid w:val="008B54A0"/>
    <w:rsid w:val="008B55D7"/>
    <w:rsid w:val="008B5BEE"/>
    <w:rsid w:val="008B611E"/>
    <w:rsid w:val="008B646A"/>
    <w:rsid w:val="008B72CB"/>
    <w:rsid w:val="008B7405"/>
    <w:rsid w:val="008B759D"/>
    <w:rsid w:val="008B769F"/>
    <w:rsid w:val="008B7E24"/>
    <w:rsid w:val="008C032B"/>
    <w:rsid w:val="008C0580"/>
    <w:rsid w:val="008C0685"/>
    <w:rsid w:val="008C090E"/>
    <w:rsid w:val="008C0D26"/>
    <w:rsid w:val="008C1077"/>
    <w:rsid w:val="008C11F0"/>
    <w:rsid w:val="008C1D9F"/>
    <w:rsid w:val="008C259D"/>
    <w:rsid w:val="008C2A97"/>
    <w:rsid w:val="008C2DDC"/>
    <w:rsid w:val="008C30EE"/>
    <w:rsid w:val="008C38B5"/>
    <w:rsid w:val="008C4B2C"/>
    <w:rsid w:val="008C4E4E"/>
    <w:rsid w:val="008C4FA8"/>
    <w:rsid w:val="008C521F"/>
    <w:rsid w:val="008C52F3"/>
    <w:rsid w:val="008C55E2"/>
    <w:rsid w:val="008C5669"/>
    <w:rsid w:val="008C5FFF"/>
    <w:rsid w:val="008C62D2"/>
    <w:rsid w:val="008C6332"/>
    <w:rsid w:val="008C65F7"/>
    <w:rsid w:val="008C665E"/>
    <w:rsid w:val="008C6AD5"/>
    <w:rsid w:val="008C71A2"/>
    <w:rsid w:val="008C72EC"/>
    <w:rsid w:val="008C7B12"/>
    <w:rsid w:val="008D01C5"/>
    <w:rsid w:val="008D065D"/>
    <w:rsid w:val="008D06D2"/>
    <w:rsid w:val="008D0868"/>
    <w:rsid w:val="008D12D9"/>
    <w:rsid w:val="008D166B"/>
    <w:rsid w:val="008D2203"/>
    <w:rsid w:val="008D2496"/>
    <w:rsid w:val="008D2E5B"/>
    <w:rsid w:val="008D3A22"/>
    <w:rsid w:val="008D3C28"/>
    <w:rsid w:val="008D3F97"/>
    <w:rsid w:val="008D42F9"/>
    <w:rsid w:val="008D443A"/>
    <w:rsid w:val="008D451E"/>
    <w:rsid w:val="008D4586"/>
    <w:rsid w:val="008D464C"/>
    <w:rsid w:val="008D4821"/>
    <w:rsid w:val="008D496B"/>
    <w:rsid w:val="008D4AAA"/>
    <w:rsid w:val="008D505D"/>
    <w:rsid w:val="008D51E1"/>
    <w:rsid w:val="008D5462"/>
    <w:rsid w:val="008D568F"/>
    <w:rsid w:val="008D628C"/>
    <w:rsid w:val="008D64F4"/>
    <w:rsid w:val="008D64F9"/>
    <w:rsid w:val="008D6538"/>
    <w:rsid w:val="008D7322"/>
    <w:rsid w:val="008E05A5"/>
    <w:rsid w:val="008E0901"/>
    <w:rsid w:val="008E1572"/>
    <w:rsid w:val="008E173B"/>
    <w:rsid w:val="008E1B8F"/>
    <w:rsid w:val="008E1EE5"/>
    <w:rsid w:val="008E2949"/>
    <w:rsid w:val="008E29C2"/>
    <w:rsid w:val="008E2BC9"/>
    <w:rsid w:val="008E2E99"/>
    <w:rsid w:val="008E3013"/>
    <w:rsid w:val="008E36E7"/>
    <w:rsid w:val="008E4476"/>
    <w:rsid w:val="008E4B95"/>
    <w:rsid w:val="008E5422"/>
    <w:rsid w:val="008E548A"/>
    <w:rsid w:val="008E5C4E"/>
    <w:rsid w:val="008E5FF2"/>
    <w:rsid w:val="008E6536"/>
    <w:rsid w:val="008E711B"/>
    <w:rsid w:val="008E71B4"/>
    <w:rsid w:val="008E7491"/>
    <w:rsid w:val="008F0017"/>
    <w:rsid w:val="008F0DDE"/>
    <w:rsid w:val="008F1053"/>
    <w:rsid w:val="008F119B"/>
    <w:rsid w:val="008F1361"/>
    <w:rsid w:val="008F1647"/>
    <w:rsid w:val="008F1C0F"/>
    <w:rsid w:val="008F245A"/>
    <w:rsid w:val="008F25C8"/>
    <w:rsid w:val="008F28B6"/>
    <w:rsid w:val="008F29A0"/>
    <w:rsid w:val="008F2B10"/>
    <w:rsid w:val="008F2DEC"/>
    <w:rsid w:val="008F364E"/>
    <w:rsid w:val="008F3676"/>
    <w:rsid w:val="008F3757"/>
    <w:rsid w:val="008F3794"/>
    <w:rsid w:val="008F3F86"/>
    <w:rsid w:val="008F4290"/>
    <w:rsid w:val="008F4358"/>
    <w:rsid w:val="008F4458"/>
    <w:rsid w:val="008F5167"/>
    <w:rsid w:val="008F519B"/>
    <w:rsid w:val="008F55CA"/>
    <w:rsid w:val="008F60B1"/>
    <w:rsid w:val="008F666B"/>
    <w:rsid w:val="008F6808"/>
    <w:rsid w:val="008F6B69"/>
    <w:rsid w:val="008F7853"/>
    <w:rsid w:val="009004DB"/>
    <w:rsid w:val="0090060E"/>
    <w:rsid w:val="00900FA8"/>
    <w:rsid w:val="00901164"/>
    <w:rsid w:val="009012A2"/>
    <w:rsid w:val="009013C1"/>
    <w:rsid w:val="00901F09"/>
    <w:rsid w:val="00902843"/>
    <w:rsid w:val="00902BF5"/>
    <w:rsid w:val="0090325B"/>
    <w:rsid w:val="00903288"/>
    <w:rsid w:val="00903994"/>
    <w:rsid w:val="00903D12"/>
    <w:rsid w:val="0090533A"/>
    <w:rsid w:val="00905B1E"/>
    <w:rsid w:val="00905C0B"/>
    <w:rsid w:val="00905C58"/>
    <w:rsid w:val="00906E55"/>
    <w:rsid w:val="0090746C"/>
    <w:rsid w:val="009078EF"/>
    <w:rsid w:val="00907CBF"/>
    <w:rsid w:val="00907E29"/>
    <w:rsid w:val="0091045F"/>
    <w:rsid w:val="009104B9"/>
    <w:rsid w:val="0091051D"/>
    <w:rsid w:val="00910695"/>
    <w:rsid w:val="00910D55"/>
    <w:rsid w:val="009111DA"/>
    <w:rsid w:val="00911B42"/>
    <w:rsid w:val="009124C2"/>
    <w:rsid w:val="00912D0D"/>
    <w:rsid w:val="00913104"/>
    <w:rsid w:val="009136EF"/>
    <w:rsid w:val="00913984"/>
    <w:rsid w:val="00913DA4"/>
    <w:rsid w:val="00914BF8"/>
    <w:rsid w:val="00915857"/>
    <w:rsid w:val="00915E7E"/>
    <w:rsid w:val="00915F86"/>
    <w:rsid w:val="0091678E"/>
    <w:rsid w:val="00916948"/>
    <w:rsid w:val="00916F49"/>
    <w:rsid w:val="00917B99"/>
    <w:rsid w:val="00917C21"/>
    <w:rsid w:val="00917E99"/>
    <w:rsid w:val="00920574"/>
    <w:rsid w:val="0092090D"/>
    <w:rsid w:val="00920BF2"/>
    <w:rsid w:val="00920C5D"/>
    <w:rsid w:val="0092161B"/>
    <w:rsid w:val="00922431"/>
    <w:rsid w:val="0092273E"/>
    <w:rsid w:val="00922983"/>
    <w:rsid w:val="00922C87"/>
    <w:rsid w:val="00923283"/>
    <w:rsid w:val="0092344D"/>
    <w:rsid w:val="009240B4"/>
    <w:rsid w:val="00924910"/>
    <w:rsid w:val="00924B50"/>
    <w:rsid w:val="00924C13"/>
    <w:rsid w:val="00924EAF"/>
    <w:rsid w:val="00924ECB"/>
    <w:rsid w:val="00925175"/>
    <w:rsid w:val="00925477"/>
    <w:rsid w:val="00925EFE"/>
    <w:rsid w:val="00926207"/>
    <w:rsid w:val="009267D1"/>
    <w:rsid w:val="00926883"/>
    <w:rsid w:val="00926E74"/>
    <w:rsid w:val="00927207"/>
    <w:rsid w:val="00927571"/>
    <w:rsid w:val="00927C3D"/>
    <w:rsid w:val="00927CAA"/>
    <w:rsid w:val="00927D99"/>
    <w:rsid w:val="00927DD9"/>
    <w:rsid w:val="00927E3C"/>
    <w:rsid w:val="0093022A"/>
    <w:rsid w:val="0093035C"/>
    <w:rsid w:val="00930613"/>
    <w:rsid w:val="00930AA1"/>
    <w:rsid w:val="0093115D"/>
    <w:rsid w:val="00931762"/>
    <w:rsid w:val="009319C5"/>
    <w:rsid w:val="00931B6B"/>
    <w:rsid w:val="00931BD8"/>
    <w:rsid w:val="00933300"/>
    <w:rsid w:val="00933328"/>
    <w:rsid w:val="0093472F"/>
    <w:rsid w:val="00934FB4"/>
    <w:rsid w:val="0093509F"/>
    <w:rsid w:val="00935502"/>
    <w:rsid w:val="009355AD"/>
    <w:rsid w:val="00936F7E"/>
    <w:rsid w:val="009378CB"/>
    <w:rsid w:val="00940813"/>
    <w:rsid w:val="00940F2F"/>
    <w:rsid w:val="0094111C"/>
    <w:rsid w:val="009413DF"/>
    <w:rsid w:val="009417F4"/>
    <w:rsid w:val="00941EA2"/>
    <w:rsid w:val="00942077"/>
    <w:rsid w:val="0094307C"/>
    <w:rsid w:val="0094314A"/>
    <w:rsid w:val="00944526"/>
    <w:rsid w:val="00944732"/>
    <w:rsid w:val="00944ECF"/>
    <w:rsid w:val="00944F12"/>
    <w:rsid w:val="0094504C"/>
    <w:rsid w:val="00945808"/>
    <w:rsid w:val="00945AB1"/>
    <w:rsid w:val="0094652B"/>
    <w:rsid w:val="00946BE2"/>
    <w:rsid w:val="0094704F"/>
    <w:rsid w:val="00947143"/>
    <w:rsid w:val="009472A2"/>
    <w:rsid w:val="009474E8"/>
    <w:rsid w:val="009476B5"/>
    <w:rsid w:val="00947A5E"/>
    <w:rsid w:val="0095034F"/>
    <w:rsid w:val="0095077F"/>
    <w:rsid w:val="00950B5D"/>
    <w:rsid w:val="0095123B"/>
    <w:rsid w:val="00951EAE"/>
    <w:rsid w:val="0095209D"/>
    <w:rsid w:val="0095213B"/>
    <w:rsid w:val="00952224"/>
    <w:rsid w:val="0095237C"/>
    <w:rsid w:val="00952490"/>
    <w:rsid w:val="009527A5"/>
    <w:rsid w:val="00952882"/>
    <w:rsid w:val="00953BE2"/>
    <w:rsid w:val="00953D0A"/>
    <w:rsid w:val="0095401D"/>
    <w:rsid w:val="009540B0"/>
    <w:rsid w:val="009544FC"/>
    <w:rsid w:val="00955372"/>
    <w:rsid w:val="00956215"/>
    <w:rsid w:val="009569A7"/>
    <w:rsid w:val="00956B22"/>
    <w:rsid w:val="00956BE2"/>
    <w:rsid w:val="00956DB5"/>
    <w:rsid w:val="00957498"/>
    <w:rsid w:val="0095777D"/>
    <w:rsid w:val="00960017"/>
    <w:rsid w:val="00960242"/>
    <w:rsid w:val="00960FDA"/>
    <w:rsid w:val="009612DD"/>
    <w:rsid w:val="009619F0"/>
    <w:rsid w:val="009619FE"/>
    <w:rsid w:val="00961FF9"/>
    <w:rsid w:val="009623B6"/>
    <w:rsid w:val="00962500"/>
    <w:rsid w:val="00963178"/>
    <w:rsid w:val="009633AA"/>
    <w:rsid w:val="0096350C"/>
    <w:rsid w:val="009638D4"/>
    <w:rsid w:val="009643EC"/>
    <w:rsid w:val="0096484B"/>
    <w:rsid w:val="00964BBA"/>
    <w:rsid w:val="00964FA6"/>
    <w:rsid w:val="009652AE"/>
    <w:rsid w:val="00965785"/>
    <w:rsid w:val="00965D21"/>
    <w:rsid w:val="0096718D"/>
    <w:rsid w:val="00967261"/>
    <w:rsid w:val="009672DC"/>
    <w:rsid w:val="0096741E"/>
    <w:rsid w:val="009676A0"/>
    <w:rsid w:val="00967F1F"/>
    <w:rsid w:val="0097004D"/>
    <w:rsid w:val="00971964"/>
    <w:rsid w:val="00971A4A"/>
    <w:rsid w:val="00971AF8"/>
    <w:rsid w:val="00971C25"/>
    <w:rsid w:val="0097250A"/>
    <w:rsid w:val="00972B03"/>
    <w:rsid w:val="00972E21"/>
    <w:rsid w:val="00972E84"/>
    <w:rsid w:val="00973081"/>
    <w:rsid w:val="0097384A"/>
    <w:rsid w:val="00973911"/>
    <w:rsid w:val="00974B25"/>
    <w:rsid w:val="00974BEA"/>
    <w:rsid w:val="00974C3E"/>
    <w:rsid w:val="00974D5E"/>
    <w:rsid w:val="00975D4F"/>
    <w:rsid w:val="00975F7F"/>
    <w:rsid w:val="00976387"/>
    <w:rsid w:val="00976ADB"/>
    <w:rsid w:val="009777CF"/>
    <w:rsid w:val="00977EDB"/>
    <w:rsid w:val="00977EE4"/>
    <w:rsid w:val="00977FBC"/>
    <w:rsid w:val="009801C9"/>
    <w:rsid w:val="0098066D"/>
    <w:rsid w:val="009808CA"/>
    <w:rsid w:val="00982184"/>
    <w:rsid w:val="009828BA"/>
    <w:rsid w:val="00982AF5"/>
    <w:rsid w:val="009832E5"/>
    <w:rsid w:val="00983469"/>
    <w:rsid w:val="00983584"/>
    <w:rsid w:val="00983786"/>
    <w:rsid w:val="00983F2D"/>
    <w:rsid w:val="009847DC"/>
    <w:rsid w:val="00984817"/>
    <w:rsid w:val="00984AC1"/>
    <w:rsid w:val="009855D3"/>
    <w:rsid w:val="0098582E"/>
    <w:rsid w:val="009858DF"/>
    <w:rsid w:val="00985CFC"/>
    <w:rsid w:val="00986604"/>
    <w:rsid w:val="00986619"/>
    <w:rsid w:val="00986728"/>
    <w:rsid w:val="009868A7"/>
    <w:rsid w:val="0098792A"/>
    <w:rsid w:val="00987E3E"/>
    <w:rsid w:val="009900A2"/>
    <w:rsid w:val="0099026B"/>
    <w:rsid w:val="009903D7"/>
    <w:rsid w:val="0099066F"/>
    <w:rsid w:val="00990B48"/>
    <w:rsid w:val="00990C82"/>
    <w:rsid w:val="00990CA5"/>
    <w:rsid w:val="00990D6E"/>
    <w:rsid w:val="009910C0"/>
    <w:rsid w:val="00991331"/>
    <w:rsid w:val="00991CA4"/>
    <w:rsid w:val="009928A3"/>
    <w:rsid w:val="0099292A"/>
    <w:rsid w:val="00992EA9"/>
    <w:rsid w:val="009944CD"/>
    <w:rsid w:val="00994A46"/>
    <w:rsid w:val="0099503A"/>
    <w:rsid w:val="0099546D"/>
    <w:rsid w:val="009956C7"/>
    <w:rsid w:val="009959D3"/>
    <w:rsid w:val="00995C8D"/>
    <w:rsid w:val="00995D43"/>
    <w:rsid w:val="00995E6A"/>
    <w:rsid w:val="00995F6C"/>
    <w:rsid w:val="009966D0"/>
    <w:rsid w:val="0099691D"/>
    <w:rsid w:val="00996C56"/>
    <w:rsid w:val="00997638"/>
    <w:rsid w:val="00997710"/>
    <w:rsid w:val="00997866"/>
    <w:rsid w:val="009A00DD"/>
    <w:rsid w:val="009A06F7"/>
    <w:rsid w:val="009A0EC1"/>
    <w:rsid w:val="009A1173"/>
    <w:rsid w:val="009A119C"/>
    <w:rsid w:val="009A11D0"/>
    <w:rsid w:val="009A1212"/>
    <w:rsid w:val="009A12AE"/>
    <w:rsid w:val="009A1658"/>
    <w:rsid w:val="009A1A0E"/>
    <w:rsid w:val="009A1A75"/>
    <w:rsid w:val="009A33DA"/>
    <w:rsid w:val="009A37B6"/>
    <w:rsid w:val="009A475B"/>
    <w:rsid w:val="009A4A40"/>
    <w:rsid w:val="009A4DFE"/>
    <w:rsid w:val="009A4F6D"/>
    <w:rsid w:val="009A536E"/>
    <w:rsid w:val="009A5499"/>
    <w:rsid w:val="009A54F1"/>
    <w:rsid w:val="009A557B"/>
    <w:rsid w:val="009A5821"/>
    <w:rsid w:val="009A5AA7"/>
    <w:rsid w:val="009A670E"/>
    <w:rsid w:val="009A67DA"/>
    <w:rsid w:val="009A776B"/>
    <w:rsid w:val="009B029C"/>
    <w:rsid w:val="009B1547"/>
    <w:rsid w:val="009B1811"/>
    <w:rsid w:val="009B1A55"/>
    <w:rsid w:val="009B1FC5"/>
    <w:rsid w:val="009B2165"/>
    <w:rsid w:val="009B23C6"/>
    <w:rsid w:val="009B2469"/>
    <w:rsid w:val="009B2541"/>
    <w:rsid w:val="009B2A5D"/>
    <w:rsid w:val="009B3893"/>
    <w:rsid w:val="009B39F7"/>
    <w:rsid w:val="009B3D68"/>
    <w:rsid w:val="009B3D96"/>
    <w:rsid w:val="009B42B1"/>
    <w:rsid w:val="009B4BE6"/>
    <w:rsid w:val="009B5407"/>
    <w:rsid w:val="009B5435"/>
    <w:rsid w:val="009B575C"/>
    <w:rsid w:val="009B5948"/>
    <w:rsid w:val="009B5B69"/>
    <w:rsid w:val="009B69D1"/>
    <w:rsid w:val="009B6DF3"/>
    <w:rsid w:val="009B71E7"/>
    <w:rsid w:val="009B7709"/>
    <w:rsid w:val="009B792B"/>
    <w:rsid w:val="009B7E21"/>
    <w:rsid w:val="009C0062"/>
    <w:rsid w:val="009C02A3"/>
    <w:rsid w:val="009C02D8"/>
    <w:rsid w:val="009C0D71"/>
    <w:rsid w:val="009C0DAD"/>
    <w:rsid w:val="009C1291"/>
    <w:rsid w:val="009C1A17"/>
    <w:rsid w:val="009C1B27"/>
    <w:rsid w:val="009C1D01"/>
    <w:rsid w:val="009C1D40"/>
    <w:rsid w:val="009C1D5E"/>
    <w:rsid w:val="009C20CC"/>
    <w:rsid w:val="009C2431"/>
    <w:rsid w:val="009C2BEC"/>
    <w:rsid w:val="009C368F"/>
    <w:rsid w:val="009C4C95"/>
    <w:rsid w:val="009C4D1E"/>
    <w:rsid w:val="009C4EA9"/>
    <w:rsid w:val="009C4EE5"/>
    <w:rsid w:val="009C5448"/>
    <w:rsid w:val="009C55A5"/>
    <w:rsid w:val="009C5925"/>
    <w:rsid w:val="009C5C1F"/>
    <w:rsid w:val="009C6725"/>
    <w:rsid w:val="009C680D"/>
    <w:rsid w:val="009C6DDD"/>
    <w:rsid w:val="009C7A8F"/>
    <w:rsid w:val="009C7D11"/>
    <w:rsid w:val="009C7F1C"/>
    <w:rsid w:val="009D0503"/>
    <w:rsid w:val="009D0692"/>
    <w:rsid w:val="009D0B05"/>
    <w:rsid w:val="009D0F4C"/>
    <w:rsid w:val="009D13E9"/>
    <w:rsid w:val="009D14BC"/>
    <w:rsid w:val="009D164E"/>
    <w:rsid w:val="009D16C0"/>
    <w:rsid w:val="009D17D3"/>
    <w:rsid w:val="009D203E"/>
    <w:rsid w:val="009D292A"/>
    <w:rsid w:val="009D3140"/>
    <w:rsid w:val="009D335F"/>
    <w:rsid w:val="009D364B"/>
    <w:rsid w:val="009D3793"/>
    <w:rsid w:val="009D3E26"/>
    <w:rsid w:val="009D4220"/>
    <w:rsid w:val="009D42AC"/>
    <w:rsid w:val="009D452F"/>
    <w:rsid w:val="009D4E80"/>
    <w:rsid w:val="009D52A0"/>
    <w:rsid w:val="009D5642"/>
    <w:rsid w:val="009D57D5"/>
    <w:rsid w:val="009D5E5D"/>
    <w:rsid w:val="009D63E2"/>
    <w:rsid w:val="009D68FB"/>
    <w:rsid w:val="009D732B"/>
    <w:rsid w:val="009D7B65"/>
    <w:rsid w:val="009E00F9"/>
    <w:rsid w:val="009E142E"/>
    <w:rsid w:val="009E19D8"/>
    <w:rsid w:val="009E1CB2"/>
    <w:rsid w:val="009E1F16"/>
    <w:rsid w:val="009E2450"/>
    <w:rsid w:val="009E24A5"/>
    <w:rsid w:val="009E27F1"/>
    <w:rsid w:val="009E29C4"/>
    <w:rsid w:val="009E31AA"/>
    <w:rsid w:val="009E3807"/>
    <w:rsid w:val="009E3852"/>
    <w:rsid w:val="009E412D"/>
    <w:rsid w:val="009E4181"/>
    <w:rsid w:val="009E4236"/>
    <w:rsid w:val="009E444E"/>
    <w:rsid w:val="009E4B4F"/>
    <w:rsid w:val="009E4CF6"/>
    <w:rsid w:val="009E61EE"/>
    <w:rsid w:val="009E65E3"/>
    <w:rsid w:val="009E660A"/>
    <w:rsid w:val="009E6EEE"/>
    <w:rsid w:val="009E71FE"/>
    <w:rsid w:val="009E7632"/>
    <w:rsid w:val="009F0167"/>
    <w:rsid w:val="009F04BC"/>
    <w:rsid w:val="009F0BE1"/>
    <w:rsid w:val="009F0F1D"/>
    <w:rsid w:val="009F1684"/>
    <w:rsid w:val="009F1AFC"/>
    <w:rsid w:val="009F2B64"/>
    <w:rsid w:val="009F3502"/>
    <w:rsid w:val="009F356F"/>
    <w:rsid w:val="009F36AD"/>
    <w:rsid w:val="009F3A73"/>
    <w:rsid w:val="009F3FFB"/>
    <w:rsid w:val="009F439A"/>
    <w:rsid w:val="009F4714"/>
    <w:rsid w:val="009F4D8D"/>
    <w:rsid w:val="009F51B0"/>
    <w:rsid w:val="009F53BD"/>
    <w:rsid w:val="009F550C"/>
    <w:rsid w:val="009F57C8"/>
    <w:rsid w:val="009F63B2"/>
    <w:rsid w:val="009F692A"/>
    <w:rsid w:val="009F6942"/>
    <w:rsid w:val="009F6B03"/>
    <w:rsid w:val="00A007BC"/>
    <w:rsid w:val="00A008E8"/>
    <w:rsid w:val="00A00905"/>
    <w:rsid w:val="00A01162"/>
    <w:rsid w:val="00A01409"/>
    <w:rsid w:val="00A01CC1"/>
    <w:rsid w:val="00A01E5C"/>
    <w:rsid w:val="00A01F02"/>
    <w:rsid w:val="00A023F2"/>
    <w:rsid w:val="00A029FC"/>
    <w:rsid w:val="00A03D23"/>
    <w:rsid w:val="00A03F1D"/>
    <w:rsid w:val="00A04ABD"/>
    <w:rsid w:val="00A04EA5"/>
    <w:rsid w:val="00A05041"/>
    <w:rsid w:val="00A051A6"/>
    <w:rsid w:val="00A0533C"/>
    <w:rsid w:val="00A055F6"/>
    <w:rsid w:val="00A05690"/>
    <w:rsid w:val="00A05DD3"/>
    <w:rsid w:val="00A05FE9"/>
    <w:rsid w:val="00A0613B"/>
    <w:rsid w:val="00A06675"/>
    <w:rsid w:val="00A10B91"/>
    <w:rsid w:val="00A10C16"/>
    <w:rsid w:val="00A10FA6"/>
    <w:rsid w:val="00A1120A"/>
    <w:rsid w:val="00A11711"/>
    <w:rsid w:val="00A11898"/>
    <w:rsid w:val="00A11C3C"/>
    <w:rsid w:val="00A120FB"/>
    <w:rsid w:val="00A12F50"/>
    <w:rsid w:val="00A13512"/>
    <w:rsid w:val="00A137E0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9C8"/>
    <w:rsid w:val="00A16E48"/>
    <w:rsid w:val="00A17091"/>
    <w:rsid w:val="00A171B6"/>
    <w:rsid w:val="00A174B3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14E"/>
    <w:rsid w:val="00A234AA"/>
    <w:rsid w:val="00A23A00"/>
    <w:rsid w:val="00A23C0F"/>
    <w:rsid w:val="00A23F99"/>
    <w:rsid w:val="00A24140"/>
    <w:rsid w:val="00A24C93"/>
    <w:rsid w:val="00A24DD4"/>
    <w:rsid w:val="00A2552E"/>
    <w:rsid w:val="00A25751"/>
    <w:rsid w:val="00A258F0"/>
    <w:rsid w:val="00A25E02"/>
    <w:rsid w:val="00A25FC5"/>
    <w:rsid w:val="00A2609D"/>
    <w:rsid w:val="00A2692F"/>
    <w:rsid w:val="00A26B88"/>
    <w:rsid w:val="00A27672"/>
    <w:rsid w:val="00A2799C"/>
    <w:rsid w:val="00A30584"/>
    <w:rsid w:val="00A30E44"/>
    <w:rsid w:val="00A311E1"/>
    <w:rsid w:val="00A31275"/>
    <w:rsid w:val="00A313B1"/>
    <w:rsid w:val="00A314B2"/>
    <w:rsid w:val="00A315CB"/>
    <w:rsid w:val="00A3180D"/>
    <w:rsid w:val="00A32050"/>
    <w:rsid w:val="00A32209"/>
    <w:rsid w:val="00A3265F"/>
    <w:rsid w:val="00A32ADA"/>
    <w:rsid w:val="00A32AE1"/>
    <w:rsid w:val="00A33141"/>
    <w:rsid w:val="00A339D3"/>
    <w:rsid w:val="00A3401A"/>
    <w:rsid w:val="00A342F9"/>
    <w:rsid w:val="00A34E2C"/>
    <w:rsid w:val="00A34F96"/>
    <w:rsid w:val="00A3547A"/>
    <w:rsid w:val="00A356E1"/>
    <w:rsid w:val="00A35D62"/>
    <w:rsid w:val="00A3616A"/>
    <w:rsid w:val="00A3632F"/>
    <w:rsid w:val="00A3653C"/>
    <w:rsid w:val="00A36950"/>
    <w:rsid w:val="00A36CBC"/>
    <w:rsid w:val="00A37278"/>
    <w:rsid w:val="00A372E0"/>
    <w:rsid w:val="00A3741A"/>
    <w:rsid w:val="00A4069B"/>
    <w:rsid w:val="00A410FB"/>
    <w:rsid w:val="00A41A09"/>
    <w:rsid w:val="00A423C4"/>
    <w:rsid w:val="00A425B6"/>
    <w:rsid w:val="00A427F9"/>
    <w:rsid w:val="00A428D5"/>
    <w:rsid w:val="00A42B46"/>
    <w:rsid w:val="00A42B59"/>
    <w:rsid w:val="00A42EFA"/>
    <w:rsid w:val="00A4301B"/>
    <w:rsid w:val="00A43D61"/>
    <w:rsid w:val="00A447E6"/>
    <w:rsid w:val="00A449C1"/>
    <w:rsid w:val="00A44AA3"/>
    <w:rsid w:val="00A45167"/>
    <w:rsid w:val="00A45FB6"/>
    <w:rsid w:val="00A46081"/>
    <w:rsid w:val="00A467BB"/>
    <w:rsid w:val="00A4691B"/>
    <w:rsid w:val="00A46ECF"/>
    <w:rsid w:val="00A46F45"/>
    <w:rsid w:val="00A47EBA"/>
    <w:rsid w:val="00A47FFA"/>
    <w:rsid w:val="00A5078C"/>
    <w:rsid w:val="00A50A43"/>
    <w:rsid w:val="00A50A8F"/>
    <w:rsid w:val="00A51932"/>
    <w:rsid w:val="00A519BD"/>
    <w:rsid w:val="00A52229"/>
    <w:rsid w:val="00A524C8"/>
    <w:rsid w:val="00A52D20"/>
    <w:rsid w:val="00A52FAC"/>
    <w:rsid w:val="00A53BD6"/>
    <w:rsid w:val="00A53D94"/>
    <w:rsid w:val="00A5425B"/>
    <w:rsid w:val="00A54264"/>
    <w:rsid w:val="00A547E3"/>
    <w:rsid w:val="00A551AC"/>
    <w:rsid w:val="00A552E4"/>
    <w:rsid w:val="00A557DF"/>
    <w:rsid w:val="00A5596A"/>
    <w:rsid w:val="00A55A29"/>
    <w:rsid w:val="00A55E20"/>
    <w:rsid w:val="00A561CE"/>
    <w:rsid w:val="00A5633F"/>
    <w:rsid w:val="00A5641B"/>
    <w:rsid w:val="00A56430"/>
    <w:rsid w:val="00A56658"/>
    <w:rsid w:val="00A56775"/>
    <w:rsid w:val="00A56A18"/>
    <w:rsid w:val="00A57093"/>
    <w:rsid w:val="00A600C4"/>
    <w:rsid w:val="00A6023B"/>
    <w:rsid w:val="00A60874"/>
    <w:rsid w:val="00A617D8"/>
    <w:rsid w:val="00A61A50"/>
    <w:rsid w:val="00A6239B"/>
    <w:rsid w:val="00A62540"/>
    <w:rsid w:val="00A626EA"/>
    <w:rsid w:val="00A63108"/>
    <w:rsid w:val="00A63199"/>
    <w:rsid w:val="00A63646"/>
    <w:rsid w:val="00A6388A"/>
    <w:rsid w:val="00A63AD2"/>
    <w:rsid w:val="00A63CDA"/>
    <w:rsid w:val="00A63EB5"/>
    <w:rsid w:val="00A6456A"/>
    <w:rsid w:val="00A64659"/>
    <w:rsid w:val="00A648B0"/>
    <w:rsid w:val="00A64DA5"/>
    <w:rsid w:val="00A66F47"/>
    <w:rsid w:val="00A674DD"/>
    <w:rsid w:val="00A67910"/>
    <w:rsid w:val="00A67A2B"/>
    <w:rsid w:val="00A67EAE"/>
    <w:rsid w:val="00A7009F"/>
    <w:rsid w:val="00A7024A"/>
    <w:rsid w:val="00A70277"/>
    <w:rsid w:val="00A70768"/>
    <w:rsid w:val="00A709BF"/>
    <w:rsid w:val="00A70D2A"/>
    <w:rsid w:val="00A70FB9"/>
    <w:rsid w:val="00A713BF"/>
    <w:rsid w:val="00A71DE0"/>
    <w:rsid w:val="00A7209C"/>
    <w:rsid w:val="00A7268A"/>
    <w:rsid w:val="00A729AF"/>
    <w:rsid w:val="00A729F7"/>
    <w:rsid w:val="00A72C20"/>
    <w:rsid w:val="00A73374"/>
    <w:rsid w:val="00A7372E"/>
    <w:rsid w:val="00A73FF3"/>
    <w:rsid w:val="00A7403F"/>
    <w:rsid w:val="00A74040"/>
    <w:rsid w:val="00A741F2"/>
    <w:rsid w:val="00A744A3"/>
    <w:rsid w:val="00A74B17"/>
    <w:rsid w:val="00A75249"/>
    <w:rsid w:val="00A7525E"/>
    <w:rsid w:val="00A752FB"/>
    <w:rsid w:val="00A75399"/>
    <w:rsid w:val="00A75455"/>
    <w:rsid w:val="00A75C11"/>
    <w:rsid w:val="00A7600D"/>
    <w:rsid w:val="00A7607E"/>
    <w:rsid w:val="00A762C5"/>
    <w:rsid w:val="00A779E2"/>
    <w:rsid w:val="00A77F83"/>
    <w:rsid w:val="00A80557"/>
    <w:rsid w:val="00A80C9B"/>
    <w:rsid w:val="00A80ED8"/>
    <w:rsid w:val="00A81B3A"/>
    <w:rsid w:val="00A81C21"/>
    <w:rsid w:val="00A81D98"/>
    <w:rsid w:val="00A81F2E"/>
    <w:rsid w:val="00A82174"/>
    <w:rsid w:val="00A82D0F"/>
    <w:rsid w:val="00A82FD2"/>
    <w:rsid w:val="00A8346D"/>
    <w:rsid w:val="00A8351D"/>
    <w:rsid w:val="00A836DB"/>
    <w:rsid w:val="00A842B7"/>
    <w:rsid w:val="00A850FE"/>
    <w:rsid w:val="00A853AB"/>
    <w:rsid w:val="00A85939"/>
    <w:rsid w:val="00A86DF7"/>
    <w:rsid w:val="00A870E9"/>
    <w:rsid w:val="00A87AF6"/>
    <w:rsid w:val="00A87B32"/>
    <w:rsid w:val="00A87DBB"/>
    <w:rsid w:val="00A9032C"/>
    <w:rsid w:val="00A90396"/>
    <w:rsid w:val="00A906C3"/>
    <w:rsid w:val="00A90AA9"/>
    <w:rsid w:val="00A90E4B"/>
    <w:rsid w:val="00A9126B"/>
    <w:rsid w:val="00A91445"/>
    <w:rsid w:val="00A91550"/>
    <w:rsid w:val="00A91777"/>
    <w:rsid w:val="00A91BB7"/>
    <w:rsid w:val="00A9204F"/>
    <w:rsid w:val="00A92204"/>
    <w:rsid w:val="00A927AF"/>
    <w:rsid w:val="00A927F1"/>
    <w:rsid w:val="00A93399"/>
    <w:rsid w:val="00A94993"/>
    <w:rsid w:val="00A94C3A"/>
    <w:rsid w:val="00A95018"/>
    <w:rsid w:val="00A950F4"/>
    <w:rsid w:val="00A9515E"/>
    <w:rsid w:val="00A953EB"/>
    <w:rsid w:val="00A95A9F"/>
    <w:rsid w:val="00A9663A"/>
    <w:rsid w:val="00A96A9B"/>
    <w:rsid w:val="00A97923"/>
    <w:rsid w:val="00A97B35"/>
    <w:rsid w:val="00AA023A"/>
    <w:rsid w:val="00AA0639"/>
    <w:rsid w:val="00AA0D62"/>
    <w:rsid w:val="00AA119C"/>
    <w:rsid w:val="00AA11D8"/>
    <w:rsid w:val="00AA12FB"/>
    <w:rsid w:val="00AA13BD"/>
    <w:rsid w:val="00AA1A37"/>
    <w:rsid w:val="00AA24DE"/>
    <w:rsid w:val="00AA26D8"/>
    <w:rsid w:val="00AA2D89"/>
    <w:rsid w:val="00AA3443"/>
    <w:rsid w:val="00AA367F"/>
    <w:rsid w:val="00AA3695"/>
    <w:rsid w:val="00AA3A1A"/>
    <w:rsid w:val="00AA3B5D"/>
    <w:rsid w:val="00AA4033"/>
    <w:rsid w:val="00AA4402"/>
    <w:rsid w:val="00AA48ED"/>
    <w:rsid w:val="00AA4DA8"/>
    <w:rsid w:val="00AA5329"/>
    <w:rsid w:val="00AA550F"/>
    <w:rsid w:val="00AA5530"/>
    <w:rsid w:val="00AA5697"/>
    <w:rsid w:val="00AA5CC6"/>
    <w:rsid w:val="00AA6068"/>
    <w:rsid w:val="00AA7044"/>
    <w:rsid w:val="00AA7239"/>
    <w:rsid w:val="00AA74AB"/>
    <w:rsid w:val="00AA7D06"/>
    <w:rsid w:val="00AA7D36"/>
    <w:rsid w:val="00AA7F82"/>
    <w:rsid w:val="00AB0F9F"/>
    <w:rsid w:val="00AB21D1"/>
    <w:rsid w:val="00AB2264"/>
    <w:rsid w:val="00AB23E5"/>
    <w:rsid w:val="00AB25D0"/>
    <w:rsid w:val="00AB4355"/>
    <w:rsid w:val="00AB4B0A"/>
    <w:rsid w:val="00AB4D59"/>
    <w:rsid w:val="00AB55F9"/>
    <w:rsid w:val="00AB6307"/>
    <w:rsid w:val="00AB6614"/>
    <w:rsid w:val="00AB662B"/>
    <w:rsid w:val="00AB6A9C"/>
    <w:rsid w:val="00AB6C39"/>
    <w:rsid w:val="00AB742D"/>
    <w:rsid w:val="00AB785B"/>
    <w:rsid w:val="00AB7D51"/>
    <w:rsid w:val="00AB7D98"/>
    <w:rsid w:val="00AC0A12"/>
    <w:rsid w:val="00AC0B12"/>
    <w:rsid w:val="00AC0F4F"/>
    <w:rsid w:val="00AC0F8A"/>
    <w:rsid w:val="00AC0FFF"/>
    <w:rsid w:val="00AC1136"/>
    <w:rsid w:val="00AC161B"/>
    <w:rsid w:val="00AC16A4"/>
    <w:rsid w:val="00AC19AB"/>
    <w:rsid w:val="00AC1A02"/>
    <w:rsid w:val="00AC2755"/>
    <w:rsid w:val="00AC2BC3"/>
    <w:rsid w:val="00AC3133"/>
    <w:rsid w:val="00AC32E7"/>
    <w:rsid w:val="00AC3338"/>
    <w:rsid w:val="00AC33D2"/>
    <w:rsid w:val="00AC33F6"/>
    <w:rsid w:val="00AC3842"/>
    <w:rsid w:val="00AC4496"/>
    <w:rsid w:val="00AC45DF"/>
    <w:rsid w:val="00AC4682"/>
    <w:rsid w:val="00AC47F7"/>
    <w:rsid w:val="00AC6184"/>
    <w:rsid w:val="00AC665A"/>
    <w:rsid w:val="00AC6948"/>
    <w:rsid w:val="00AC7AE9"/>
    <w:rsid w:val="00AC7E07"/>
    <w:rsid w:val="00AD1443"/>
    <w:rsid w:val="00AD150E"/>
    <w:rsid w:val="00AD17CC"/>
    <w:rsid w:val="00AD188F"/>
    <w:rsid w:val="00AD1998"/>
    <w:rsid w:val="00AD2069"/>
    <w:rsid w:val="00AD25B0"/>
    <w:rsid w:val="00AD28AE"/>
    <w:rsid w:val="00AD2E20"/>
    <w:rsid w:val="00AD342D"/>
    <w:rsid w:val="00AD3995"/>
    <w:rsid w:val="00AD39A2"/>
    <w:rsid w:val="00AD47DD"/>
    <w:rsid w:val="00AD4B4E"/>
    <w:rsid w:val="00AD4B83"/>
    <w:rsid w:val="00AD5755"/>
    <w:rsid w:val="00AD6150"/>
    <w:rsid w:val="00AD6154"/>
    <w:rsid w:val="00AD62A2"/>
    <w:rsid w:val="00AD6E24"/>
    <w:rsid w:val="00AD74AF"/>
    <w:rsid w:val="00AE1799"/>
    <w:rsid w:val="00AE19E9"/>
    <w:rsid w:val="00AE2095"/>
    <w:rsid w:val="00AE25F4"/>
    <w:rsid w:val="00AE26A2"/>
    <w:rsid w:val="00AE28B1"/>
    <w:rsid w:val="00AE28EB"/>
    <w:rsid w:val="00AE2F24"/>
    <w:rsid w:val="00AE2FC5"/>
    <w:rsid w:val="00AE38DC"/>
    <w:rsid w:val="00AE3A56"/>
    <w:rsid w:val="00AE3C96"/>
    <w:rsid w:val="00AE3E2E"/>
    <w:rsid w:val="00AE44F9"/>
    <w:rsid w:val="00AE5206"/>
    <w:rsid w:val="00AE521E"/>
    <w:rsid w:val="00AE5248"/>
    <w:rsid w:val="00AE5D74"/>
    <w:rsid w:val="00AE6432"/>
    <w:rsid w:val="00AE6818"/>
    <w:rsid w:val="00AE69DE"/>
    <w:rsid w:val="00AE6AE6"/>
    <w:rsid w:val="00AE6EC9"/>
    <w:rsid w:val="00AE716C"/>
    <w:rsid w:val="00AE7192"/>
    <w:rsid w:val="00AF040E"/>
    <w:rsid w:val="00AF042F"/>
    <w:rsid w:val="00AF05D4"/>
    <w:rsid w:val="00AF0C9C"/>
    <w:rsid w:val="00AF0D54"/>
    <w:rsid w:val="00AF1325"/>
    <w:rsid w:val="00AF1340"/>
    <w:rsid w:val="00AF13BA"/>
    <w:rsid w:val="00AF1459"/>
    <w:rsid w:val="00AF15E7"/>
    <w:rsid w:val="00AF1B7F"/>
    <w:rsid w:val="00AF22E3"/>
    <w:rsid w:val="00AF258E"/>
    <w:rsid w:val="00AF3197"/>
    <w:rsid w:val="00AF3280"/>
    <w:rsid w:val="00AF375C"/>
    <w:rsid w:val="00AF3B03"/>
    <w:rsid w:val="00AF3FDA"/>
    <w:rsid w:val="00AF4040"/>
    <w:rsid w:val="00AF4374"/>
    <w:rsid w:val="00AF47B5"/>
    <w:rsid w:val="00AF498F"/>
    <w:rsid w:val="00AF4C84"/>
    <w:rsid w:val="00AF4C9B"/>
    <w:rsid w:val="00AF4DE8"/>
    <w:rsid w:val="00AF5033"/>
    <w:rsid w:val="00AF5169"/>
    <w:rsid w:val="00AF5183"/>
    <w:rsid w:val="00AF5246"/>
    <w:rsid w:val="00AF5AC3"/>
    <w:rsid w:val="00AF5CC7"/>
    <w:rsid w:val="00AF5D3E"/>
    <w:rsid w:val="00AF61C2"/>
    <w:rsid w:val="00AF6858"/>
    <w:rsid w:val="00AF6C18"/>
    <w:rsid w:val="00AF6CB6"/>
    <w:rsid w:val="00AF6CF7"/>
    <w:rsid w:val="00AF72EA"/>
    <w:rsid w:val="00AF749B"/>
    <w:rsid w:val="00AF7774"/>
    <w:rsid w:val="00AF7B5D"/>
    <w:rsid w:val="00B00307"/>
    <w:rsid w:val="00B00891"/>
    <w:rsid w:val="00B00949"/>
    <w:rsid w:val="00B00B12"/>
    <w:rsid w:val="00B00D58"/>
    <w:rsid w:val="00B01014"/>
    <w:rsid w:val="00B0116B"/>
    <w:rsid w:val="00B0158D"/>
    <w:rsid w:val="00B0169E"/>
    <w:rsid w:val="00B01889"/>
    <w:rsid w:val="00B01E1A"/>
    <w:rsid w:val="00B02275"/>
    <w:rsid w:val="00B0234B"/>
    <w:rsid w:val="00B02657"/>
    <w:rsid w:val="00B03363"/>
    <w:rsid w:val="00B03FD1"/>
    <w:rsid w:val="00B0406B"/>
    <w:rsid w:val="00B06137"/>
    <w:rsid w:val="00B063C7"/>
    <w:rsid w:val="00B06538"/>
    <w:rsid w:val="00B06988"/>
    <w:rsid w:val="00B06B9F"/>
    <w:rsid w:val="00B06D9A"/>
    <w:rsid w:val="00B07B16"/>
    <w:rsid w:val="00B07C9D"/>
    <w:rsid w:val="00B104F1"/>
    <w:rsid w:val="00B1070F"/>
    <w:rsid w:val="00B1072F"/>
    <w:rsid w:val="00B10E04"/>
    <w:rsid w:val="00B116F9"/>
    <w:rsid w:val="00B119DA"/>
    <w:rsid w:val="00B11C91"/>
    <w:rsid w:val="00B120BC"/>
    <w:rsid w:val="00B123AC"/>
    <w:rsid w:val="00B123E4"/>
    <w:rsid w:val="00B12444"/>
    <w:rsid w:val="00B126AA"/>
    <w:rsid w:val="00B1294A"/>
    <w:rsid w:val="00B129C6"/>
    <w:rsid w:val="00B129E8"/>
    <w:rsid w:val="00B13230"/>
    <w:rsid w:val="00B13C7F"/>
    <w:rsid w:val="00B13DA4"/>
    <w:rsid w:val="00B14069"/>
    <w:rsid w:val="00B142F5"/>
    <w:rsid w:val="00B143B3"/>
    <w:rsid w:val="00B145B0"/>
    <w:rsid w:val="00B145FC"/>
    <w:rsid w:val="00B145FD"/>
    <w:rsid w:val="00B1476B"/>
    <w:rsid w:val="00B14847"/>
    <w:rsid w:val="00B15C49"/>
    <w:rsid w:val="00B1694C"/>
    <w:rsid w:val="00B1705E"/>
    <w:rsid w:val="00B174A1"/>
    <w:rsid w:val="00B17DD0"/>
    <w:rsid w:val="00B20265"/>
    <w:rsid w:val="00B20B8A"/>
    <w:rsid w:val="00B21368"/>
    <w:rsid w:val="00B21405"/>
    <w:rsid w:val="00B21520"/>
    <w:rsid w:val="00B21ED4"/>
    <w:rsid w:val="00B21F67"/>
    <w:rsid w:val="00B22382"/>
    <w:rsid w:val="00B22532"/>
    <w:rsid w:val="00B22B40"/>
    <w:rsid w:val="00B22EA4"/>
    <w:rsid w:val="00B23354"/>
    <w:rsid w:val="00B23884"/>
    <w:rsid w:val="00B23E54"/>
    <w:rsid w:val="00B24170"/>
    <w:rsid w:val="00B242D5"/>
    <w:rsid w:val="00B24319"/>
    <w:rsid w:val="00B24337"/>
    <w:rsid w:val="00B24BDD"/>
    <w:rsid w:val="00B25853"/>
    <w:rsid w:val="00B25989"/>
    <w:rsid w:val="00B25D0B"/>
    <w:rsid w:val="00B26384"/>
    <w:rsid w:val="00B26F97"/>
    <w:rsid w:val="00B27432"/>
    <w:rsid w:val="00B27B29"/>
    <w:rsid w:val="00B27B2D"/>
    <w:rsid w:val="00B3005C"/>
    <w:rsid w:val="00B3011F"/>
    <w:rsid w:val="00B3037B"/>
    <w:rsid w:val="00B30CAC"/>
    <w:rsid w:val="00B313A5"/>
    <w:rsid w:val="00B31491"/>
    <w:rsid w:val="00B315AF"/>
    <w:rsid w:val="00B31E6C"/>
    <w:rsid w:val="00B324BD"/>
    <w:rsid w:val="00B32921"/>
    <w:rsid w:val="00B32F22"/>
    <w:rsid w:val="00B33240"/>
    <w:rsid w:val="00B332A6"/>
    <w:rsid w:val="00B33386"/>
    <w:rsid w:val="00B333B9"/>
    <w:rsid w:val="00B3415C"/>
    <w:rsid w:val="00B34207"/>
    <w:rsid w:val="00B3446D"/>
    <w:rsid w:val="00B34FED"/>
    <w:rsid w:val="00B356C1"/>
    <w:rsid w:val="00B35875"/>
    <w:rsid w:val="00B35884"/>
    <w:rsid w:val="00B36023"/>
    <w:rsid w:val="00B3604B"/>
    <w:rsid w:val="00B36129"/>
    <w:rsid w:val="00B36517"/>
    <w:rsid w:val="00B36868"/>
    <w:rsid w:val="00B36F71"/>
    <w:rsid w:val="00B3729A"/>
    <w:rsid w:val="00B374DF"/>
    <w:rsid w:val="00B3766B"/>
    <w:rsid w:val="00B37A03"/>
    <w:rsid w:val="00B37E03"/>
    <w:rsid w:val="00B404FF"/>
    <w:rsid w:val="00B4097F"/>
    <w:rsid w:val="00B40B50"/>
    <w:rsid w:val="00B40CBB"/>
    <w:rsid w:val="00B412DF"/>
    <w:rsid w:val="00B41527"/>
    <w:rsid w:val="00B416F4"/>
    <w:rsid w:val="00B41E9C"/>
    <w:rsid w:val="00B43009"/>
    <w:rsid w:val="00B43B56"/>
    <w:rsid w:val="00B43C85"/>
    <w:rsid w:val="00B43DF6"/>
    <w:rsid w:val="00B43F83"/>
    <w:rsid w:val="00B442FD"/>
    <w:rsid w:val="00B44681"/>
    <w:rsid w:val="00B4478A"/>
    <w:rsid w:val="00B44791"/>
    <w:rsid w:val="00B44B4E"/>
    <w:rsid w:val="00B44B71"/>
    <w:rsid w:val="00B44C6B"/>
    <w:rsid w:val="00B44F8C"/>
    <w:rsid w:val="00B450C6"/>
    <w:rsid w:val="00B46096"/>
    <w:rsid w:val="00B46183"/>
    <w:rsid w:val="00B46D2B"/>
    <w:rsid w:val="00B46F9C"/>
    <w:rsid w:val="00B472DC"/>
    <w:rsid w:val="00B4749F"/>
    <w:rsid w:val="00B4766E"/>
    <w:rsid w:val="00B5017B"/>
    <w:rsid w:val="00B50D31"/>
    <w:rsid w:val="00B50D62"/>
    <w:rsid w:val="00B51775"/>
    <w:rsid w:val="00B51B3E"/>
    <w:rsid w:val="00B52AB2"/>
    <w:rsid w:val="00B532DB"/>
    <w:rsid w:val="00B54028"/>
    <w:rsid w:val="00B5464E"/>
    <w:rsid w:val="00B547E8"/>
    <w:rsid w:val="00B547F8"/>
    <w:rsid w:val="00B54B49"/>
    <w:rsid w:val="00B54E8B"/>
    <w:rsid w:val="00B552AF"/>
    <w:rsid w:val="00B555D6"/>
    <w:rsid w:val="00B56179"/>
    <w:rsid w:val="00B57081"/>
    <w:rsid w:val="00B57F3E"/>
    <w:rsid w:val="00B60196"/>
    <w:rsid w:val="00B6033F"/>
    <w:rsid w:val="00B60B57"/>
    <w:rsid w:val="00B60CEB"/>
    <w:rsid w:val="00B61426"/>
    <w:rsid w:val="00B614E8"/>
    <w:rsid w:val="00B61989"/>
    <w:rsid w:val="00B6268E"/>
    <w:rsid w:val="00B62D4B"/>
    <w:rsid w:val="00B63141"/>
    <w:rsid w:val="00B637DD"/>
    <w:rsid w:val="00B638D6"/>
    <w:rsid w:val="00B639E6"/>
    <w:rsid w:val="00B63B13"/>
    <w:rsid w:val="00B63C59"/>
    <w:rsid w:val="00B63F0D"/>
    <w:rsid w:val="00B6413C"/>
    <w:rsid w:val="00B6491B"/>
    <w:rsid w:val="00B64F45"/>
    <w:rsid w:val="00B6517F"/>
    <w:rsid w:val="00B65500"/>
    <w:rsid w:val="00B65547"/>
    <w:rsid w:val="00B659FB"/>
    <w:rsid w:val="00B664DA"/>
    <w:rsid w:val="00B6658E"/>
    <w:rsid w:val="00B666B6"/>
    <w:rsid w:val="00B667E8"/>
    <w:rsid w:val="00B6762C"/>
    <w:rsid w:val="00B70CEC"/>
    <w:rsid w:val="00B71185"/>
    <w:rsid w:val="00B71532"/>
    <w:rsid w:val="00B72579"/>
    <w:rsid w:val="00B73402"/>
    <w:rsid w:val="00B734E8"/>
    <w:rsid w:val="00B7371D"/>
    <w:rsid w:val="00B73734"/>
    <w:rsid w:val="00B73897"/>
    <w:rsid w:val="00B73E87"/>
    <w:rsid w:val="00B740A4"/>
    <w:rsid w:val="00B74221"/>
    <w:rsid w:val="00B746A9"/>
    <w:rsid w:val="00B74759"/>
    <w:rsid w:val="00B74A64"/>
    <w:rsid w:val="00B74D55"/>
    <w:rsid w:val="00B7569D"/>
    <w:rsid w:val="00B75F16"/>
    <w:rsid w:val="00B76696"/>
    <w:rsid w:val="00B7698A"/>
    <w:rsid w:val="00B77C64"/>
    <w:rsid w:val="00B8026C"/>
    <w:rsid w:val="00B809F8"/>
    <w:rsid w:val="00B81396"/>
    <w:rsid w:val="00B81DEB"/>
    <w:rsid w:val="00B8222E"/>
    <w:rsid w:val="00B82C95"/>
    <w:rsid w:val="00B830A1"/>
    <w:rsid w:val="00B831A1"/>
    <w:rsid w:val="00B83771"/>
    <w:rsid w:val="00B83A62"/>
    <w:rsid w:val="00B83AA9"/>
    <w:rsid w:val="00B84034"/>
    <w:rsid w:val="00B8408A"/>
    <w:rsid w:val="00B841F4"/>
    <w:rsid w:val="00B8504F"/>
    <w:rsid w:val="00B85BAB"/>
    <w:rsid w:val="00B8667B"/>
    <w:rsid w:val="00B867F7"/>
    <w:rsid w:val="00B869DE"/>
    <w:rsid w:val="00B86F5C"/>
    <w:rsid w:val="00B874EA"/>
    <w:rsid w:val="00B87A7D"/>
    <w:rsid w:val="00B90DB2"/>
    <w:rsid w:val="00B919F3"/>
    <w:rsid w:val="00B91A8A"/>
    <w:rsid w:val="00B92FAD"/>
    <w:rsid w:val="00B93F38"/>
    <w:rsid w:val="00B93FB5"/>
    <w:rsid w:val="00B942C2"/>
    <w:rsid w:val="00B94642"/>
    <w:rsid w:val="00B94668"/>
    <w:rsid w:val="00B94A59"/>
    <w:rsid w:val="00B94B65"/>
    <w:rsid w:val="00B95F65"/>
    <w:rsid w:val="00B96307"/>
    <w:rsid w:val="00B96590"/>
    <w:rsid w:val="00B965AE"/>
    <w:rsid w:val="00B96B55"/>
    <w:rsid w:val="00B970B7"/>
    <w:rsid w:val="00B9755F"/>
    <w:rsid w:val="00B977CF"/>
    <w:rsid w:val="00B97828"/>
    <w:rsid w:val="00B97EC5"/>
    <w:rsid w:val="00BA037C"/>
    <w:rsid w:val="00BA0B34"/>
    <w:rsid w:val="00BA0CE8"/>
    <w:rsid w:val="00BA0E42"/>
    <w:rsid w:val="00BA18B1"/>
    <w:rsid w:val="00BA1CEF"/>
    <w:rsid w:val="00BA1DFE"/>
    <w:rsid w:val="00BA1E84"/>
    <w:rsid w:val="00BA1FCB"/>
    <w:rsid w:val="00BA2038"/>
    <w:rsid w:val="00BA25A7"/>
    <w:rsid w:val="00BA2696"/>
    <w:rsid w:val="00BA2948"/>
    <w:rsid w:val="00BA2CC3"/>
    <w:rsid w:val="00BA2CD3"/>
    <w:rsid w:val="00BA3051"/>
    <w:rsid w:val="00BA30CE"/>
    <w:rsid w:val="00BA33A6"/>
    <w:rsid w:val="00BA36F5"/>
    <w:rsid w:val="00BA4119"/>
    <w:rsid w:val="00BA449C"/>
    <w:rsid w:val="00BA614B"/>
    <w:rsid w:val="00BA6413"/>
    <w:rsid w:val="00BA6D57"/>
    <w:rsid w:val="00BA6EC6"/>
    <w:rsid w:val="00BA709C"/>
    <w:rsid w:val="00BA70A6"/>
    <w:rsid w:val="00BA73E5"/>
    <w:rsid w:val="00BA73F9"/>
    <w:rsid w:val="00BA79E1"/>
    <w:rsid w:val="00BA7A53"/>
    <w:rsid w:val="00BA7A55"/>
    <w:rsid w:val="00BA7A92"/>
    <w:rsid w:val="00BB006E"/>
    <w:rsid w:val="00BB0305"/>
    <w:rsid w:val="00BB054A"/>
    <w:rsid w:val="00BB0DB8"/>
    <w:rsid w:val="00BB15A3"/>
    <w:rsid w:val="00BB16CF"/>
    <w:rsid w:val="00BB194E"/>
    <w:rsid w:val="00BB1E0D"/>
    <w:rsid w:val="00BB225D"/>
    <w:rsid w:val="00BB2409"/>
    <w:rsid w:val="00BB274B"/>
    <w:rsid w:val="00BB27AA"/>
    <w:rsid w:val="00BB2CF6"/>
    <w:rsid w:val="00BB2FE6"/>
    <w:rsid w:val="00BB3056"/>
    <w:rsid w:val="00BB3619"/>
    <w:rsid w:val="00BB396F"/>
    <w:rsid w:val="00BB423A"/>
    <w:rsid w:val="00BB4669"/>
    <w:rsid w:val="00BB491B"/>
    <w:rsid w:val="00BB5397"/>
    <w:rsid w:val="00BB5EA1"/>
    <w:rsid w:val="00BB674A"/>
    <w:rsid w:val="00BB677B"/>
    <w:rsid w:val="00BB6B56"/>
    <w:rsid w:val="00BB6DBE"/>
    <w:rsid w:val="00BB72D2"/>
    <w:rsid w:val="00BB789F"/>
    <w:rsid w:val="00BB7F47"/>
    <w:rsid w:val="00BC0799"/>
    <w:rsid w:val="00BC0A0C"/>
    <w:rsid w:val="00BC0A3F"/>
    <w:rsid w:val="00BC1715"/>
    <w:rsid w:val="00BC2277"/>
    <w:rsid w:val="00BC24EC"/>
    <w:rsid w:val="00BC296A"/>
    <w:rsid w:val="00BC2D2A"/>
    <w:rsid w:val="00BC3AB4"/>
    <w:rsid w:val="00BC3CD5"/>
    <w:rsid w:val="00BC3F4A"/>
    <w:rsid w:val="00BC407B"/>
    <w:rsid w:val="00BC4673"/>
    <w:rsid w:val="00BC49D1"/>
    <w:rsid w:val="00BC4DBB"/>
    <w:rsid w:val="00BC4F19"/>
    <w:rsid w:val="00BC523C"/>
    <w:rsid w:val="00BC585A"/>
    <w:rsid w:val="00BC58E7"/>
    <w:rsid w:val="00BC5B22"/>
    <w:rsid w:val="00BC5BBB"/>
    <w:rsid w:val="00BC5BD1"/>
    <w:rsid w:val="00BC6A61"/>
    <w:rsid w:val="00BC6E7B"/>
    <w:rsid w:val="00BC75EC"/>
    <w:rsid w:val="00BC7805"/>
    <w:rsid w:val="00BC7A24"/>
    <w:rsid w:val="00BD031F"/>
    <w:rsid w:val="00BD0EF2"/>
    <w:rsid w:val="00BD0F1D"/>
    <w:rsid w:val="00BD12FD"/>
    <w:rsid w:val="00BD1315"/>
    <w:rsid w:val="00BD1470"/>
    <w:rsid w:val="00BD1C20"/>
    <w:rsid w:val="00BD2316"/>
    <w:rsid w:val="00BD2911"/>
    <w:rsid w:val="00BD3289"/>
    <w:rsid w:val="00BD377C"/>
    <w:rsid w:val="00BD3C9A"/>
    <w:rsid w:val="00BD3DE0"/>
    <w:rsid w:val="00BD413F"/>
    <w:rsid w:val="00BD45CA"/>
    <w:rsid w:val="00BD4C23"/>
    <w:rsid w:val="00BD4E34"/>
    <w:rsid w:val="00BD4F0D"/>
    <w:rsid w:val="00BD55CB"/>
    <w:rsid w:val="00BD5BDC"/>
    <w:rsid w:val="00BD5C08"/>
    <w:rsid w:val="00BD5D56"/>
    <w:rsid w:val="00BD61AE"/>
    <w:rsid w:val="00BD630D"/>
    <w:rsid w:val="00BD66A1"/>
    <w:rsid w:val="00BD6D1F"/>
    <w:rsid w:val="00BD6FDB"/>
    <w:rsid w:val="00BD7124"/>
    <w:rsid w:val="00BD736B"/>
    <w:rsid w:val="00BD737D"/>
    <w:rsid w:val="00BD742C"/>
    <w:rsid w:val="00BD743C"/>
    <w:rsid w:val="00BD7FAA"/>
    <w:rsid w:val="00BE015B"/>
    <w:rsid w:val="00BE046B"/>
    <w:rsid w:val="00BE0DFE"/>
    <w:rsid w:val="00BE0E92"/>
    <w:rsid w:val="00BE1A0A"/>
    <w:rsid w:val="00BE1A63"/>
    <w:rsid w:val="00BE1CD3"/>
    <w:rsid w:val="00BE217C"/>
    <w:rsid w:val="00BE2360"/>
    <w:rsid w:val="00BE2407"/>
    <w:rsid w:val="00BE25B9"/>
    <w:rsid w:val="00BE2612"/>
    <w:rsid w:val="00BE2870"/>
    <w:rsid w:val="00BE2954"/>
    <w:rsid w:val="00BE2AA4"/>
    <w:rsid w:val="00BE3174"/>
    <w:rsid w:val="00BE376A"/>
    <w:rsid w:val="00BE3799"/>
    <w:rsid w:val="00BE3CB9"/>
    <w:rsid w:val="00BE4313"/>
    <w:rsid w:val="00BE4E7E"/>
    <w:rsid w:val="00BE55C5"/>
    <w:rsid w:val="00BE5C2E"/>
    <w:rsid w:val="00BE617B"/>
    <w:rsid w:val="00BE6403"/>
    <w:rsid w:val="00BE656D"/>
    <w:rsid w:val="00BE676D"/>
    <w:rsid w:val="00BE67AB"/>
    <w:rsid w:val="00BE6998"/>
    <w:rsid w:val="00BE7C52"/>
    <w:rsid w:val="00BE7D16"/>
    <w:rsid w:val="00BF031B"/>
    <w:rsid w:val="00BF05F3"/>
    <w:rsid w:val="00BF0A9E"/>
    <w:rsid w:val="00BF0DAB"/>
    <w:rsid w:val="00BF0EBF"/>
    <w:rsid w:val="00BF154E"/>
    <w:rsid w:val="00BF1A0D"/>
    <w:rsid w:val="00BF1ACB"/>
    <w:rsid w:val="00BF1CA4"/>
    <w:rsid w:val="00BF248C"/>
    <w:rsid w:val="00BF271E"/>
    <w:rsid w:val="00BF2FE2"/>
    <w:rsid w:val="00BF391A"/>
    <w:rsid w:val="00BF395F"/>
    <w:rsid w:val="00BF39C1"/>
    <w:rsid w:val="00BF3DB8"/>
    <w:rsid w:val="00BF44EE"/>
    <w:rsid w:val="00BF450F"/>
    <w:rsid w:val="00BF4996"/>
    <w:rsid w:val="00BF49E7"/>
    <w:rsid w:val="00BF4CA3"/>
    <w:rsid w:val="00BF55C9"/>
    <w:rsid w:val="00BF5F21"/>
    <w:rsid w:val="00BF6099"/>
    <w:rsid w:val="00BF6129"/>
    <w:rsid w:val="00BF6ABA"/>
    <w:rsid w:val="00BF6FA7"/>
    <w:rsid w:val="00BF77FF"/>
    <w:rsid w:val="00BF7CA9"/>
    <w:rsid w:val="00BF7E75"/>
    <w:rsid w:val="00C00405"/>
    <w:rsid w:val="00C00FD4"/>
    <w:rsid w:val="00C01487"/>
    <w:rsid w:val="00C01D33"/>
    <w:rsid w:val="00C025D8"/>
    <w:rsid w:val="00C029F2"/>
    <w:rsid w:val="00C04275"/>
    <w:rsid w:val="00C042E8"/>
    <w:rsid w:val="00C04CDB"/>
    <w:rsid w:val="00C04EC8"/>
    <w:rsid w:val="00C0509C"/>
    <w:rsid w:val="00C0546A"/>
    <w:rsid w:val="00C057A2"/>
    <w:rsid w:val="00C05BCF"/>
    <w:rsid w:val="00C05F41"/>
    <w:rsid w:val="00C060E2"/>
    <w:rsid w:val="00C066D8"/>
    <w:rsid w:val="00C067DB"/>
    <w:rsid w:val="00C06B49"/>
    <w:rsid w:val="00C07264"/>
    <w:rsid w:val="00C1070E"/>
    <w:rsid w:val="00C10ECE"/>
    <w:rsid w:val="00C11055"/>
    <w:rsid w:val="00C1134F"/>
    <w:rsid w:val="00C113D6"/>
    <w:rsid w:val="00C114F2"/>
    <w:rsid w:val="00C117A9"/>
    <w:rsid w:val="00C1279A"/>
    <w:rsid w:val="00C12CB7"/>
    <w:rsid w:val="00C12F37"/>
    <w:rsid w:val="00C134EF"/>
    <w:rsid w:val="00C14FAF"/>
    <w:rsid w:val="00C151B7"/>
    <w:rsid w:val="00C152B8"/>
    <w:rsid w:val="00C1579C"/>
    <w:rsid w:val="00C16FF4"/>
    <w:rsid w:val="00C171E8"/>
    <w:rsid w:val="00C174A4"/>
    <w:rsid w:val="00C17824"/>
    <w:rsid w:val="00C20BB3"/>
    <w:rsid w:val="00C20EA1"/>
    <w:rsid w:val="00C21610"/>
    <w:rsid w:val="00C21781"/>
    <w:rsid w:val="00C224F9"/>
    <w:rsid w:val="00C226D7"/>
    <w:rsid w:val="00C22AC8"/>
    <w:rsid w:val="00C22BF9"/>
    <w:rsid w:val="00C23426"/>
    <w:rsid w:val="00C236F8"/>
    <w:rsid w:val="00C23B4D"/>
    <w:rsid w:val="00C23C9D"/>
    <w:rsid w:val="00C23CB0"/>
    <w:rsid w:val="00C23E01"/>
    <w:rsid w:val="00C24B61"/>
    <w:rsid w:val="00C24D9B"/>
    <w:rsid w:val="00C25482"/>
    <w:rsid w:val="00C25556"/>
    <w:rsid w:val="00C25780"/>
    <w:rsid w:val="00C26205"/>
    <w:rsid w:val="00C26F99"/>
    <w:rsid w:val="00C27078"/>
    <w:rsid w:val="00C2708B"/>
    <w:rsid w:val="00C270C6"/>
    <w:rsid w:val="00C2790C"/>
    <w:rsid w:val="00C27EA4"/>
    <w:rsid w:val="00C302C6"/>
    <w:rsid w:val="00C3061C"/>
    <w:rsid w:val="00C30643"/>
    <w:rsid w:val="00C30B75"/>
    <w:rsid w:val="00C30FD5"/>
    <w:rsid w:val="00C310F9"/>
    <w:rsid w:val="00C313CF"/>
    <w:rsid w:val="00C318E5"/>
    <w:rsid w:val="00C319C5"/>
    <w:rsid w:val="00C31BBF"/>
    <w:rsid w:val="00C31D2E"/>
    <w:rsid w:val="00C31DF0"/>
    <w:rsid w:val="00C32026"/>
    <w:rsid w:val="00C328D5"/>
    <w:rsid w:val="00C32C9F"/>
    <w:rsid w:val="00C332E7"/>
    <w:rsid w:val="00C33C54"/>
    <w:rsid w:val="00C33C67"/>
    <w:rsid w:val="00C34243"/>
    <w:rsid w:val="00C345E4"/>
    <w:rsid w:val="00C34A52"/>
    <w:rsid w:val="00C3522D"/>
    <w:rsid w:val="00C359F0"/>
    <w:rsid w:val="00C35C10"/>
    <w:rsid w:val="00C35D93"/>
    <w:rsid w:val="00C36336"/>
    <w:rsid w:val="00C36464"/>
    <w:rsid w:val="00C37159"/>
    <w:rsid w:val="00C37699"/>
    <w:rsid w:val="00C37B67"/>
    <w:rsid w:val="00C37C6A"/>
    <w:rsid w:val="00C400E9"/>
    <w:rsid w:val="00C41263"/>
    <w:rsid w:val="00C417AA"/>
    <w:rsid w:val="00C417AE"/>
    <w:rsid w:val="00C41D2F"/>
    <w:rsid w:val="00C41EFA"/>
    <w:rsid w:val="00C420B7"/>
    <w:rsid w:val="00C4244C"/>
    <w:rsid w:val="00C42497"/>
    <w:rsid w:val="00C425A7"/>
    <w:rsid w:val="00C425ED"/>
    <w:rsid w:val="00C428C4"/>
    <w:rsid w:val="00C42A5D"/>
    <w:rsid w:val="00C42C95"/>
    <w:rsid w:val="00C430C9"/>
    <w:rsid w:val="00C4383E"/>
    <w:rsid w:val="00C43AA2"/>
    <w:rsid w:val="00C43F54"/>
    <w:rsid w:val="00C4413C"/>
    <w:rsid w:val="00C444C3"/>
    <w:rsid w:val="00C44681"/>
    <w:rsid w:val="00C44967"/>
    <w:rsid w:val="00C44978"/>
    <w:rsid w:val="00C449DD"/>
    <w:rsid w:val="00C44B50"/>
    <w:rsid w:val="00C455BF"/>
    <w:rsid w:val="00C45925"/>
    <w:rsid w:val="00C45FF2"/>
    <w:rsid w:val="00C461FB"/>
    <w:rsid w:val="00C465E7"/>
    <w:rsid w:val="00C465F9"/>
    <w:rsid w:val="00C466ED"/>
    <w:rsid w:val="00C467D0"/>
    <w:rsid w:val="00C47091"/>
    <w:rsid w:val="00C470F0"/>
    <w:rsid w:val="00C47254"/>
    <w:rsid w:val="00C4774E"/>
    <w:rsid w:val="00C478A4"/>
    <w:rsid w:val="00C4794F"/>
    <w:rsid w:val="00C479A3"/>
    <w:rsid w:val="00C50544"/>
    <w:rsid w:val="00C50670"/>
    <w:rsid w:val="00C50C26"/>
    <w:rsid w:val="00C50C30"/>
    <w:rsid w:val="00C516E8"/>
    <w:rsid w:val="00C51D3E"/>
    <w:rsid w:val="00C51DB1"/>
    <w:rsid w:val="00C51E52"/>
    <w:rsid w:val="00C52231"/>
    <w:rsid w:val="00C52569"/>
    <w:rsid w:val="00C52898"/>
    <w:rsid w:val="00C52F0D"/>
    <w:rsid w:val="00C53028"/>
    <w:rsid w:val="00C53555"/>
    <w:rsid w:val="00C53CBF"/>
    <w:rsid w:val="00C5410C"/>
    <w:rsid w:val="00C541BD"/>
    <w:rsid w:val="00C54264"/>
    <w:rsid w:val="00C543FC"/>
    <w:rsid w:val="00C547ED"/>
    <w:rsid w:val="00C5500D"/>
    <w:rsid w:val="00C5505E"/>
    <w:rsid w:val="00C5592C"/>
    <w:rsid w:val="00C55A92"/>
    <w:rsid w:val="00C55E70"/>
    <w:rsid w:val="00C56F36"/>
    <w:rsid w:val="00C573C6"/>
    <w:rsid w:val="00C57425"/>
    <w:rsid w:val="00C577FA"/>
    <w:rsid w:val="00C57AE1"/>
    <w:rsid w:val="00C602FB"/>
    <w:rsid w:val="00C607D4"/>
    <w:rsid w:val="00C61166"/>
    <w:rsid w:val="00C61376"/>
    <w:rsid w:val="00C6168C"/>
    <w:rsid w:val="00C618A2"/>
    <w:rsid w:val="00C61ED8"/>
    <w:rsid w:val="00C61F06"/>
    <w:rsid w:val="00C62235"/>
    <w:rsid w:val="00C62586"/>
    <w:rsid w:val="00C62692"/>
    <w:rsid w:val="00C63352"/>
    <w:rsid w:val="00C63CA7"/>
    <w:rsid w:val="00C63F45"/>
    <w:rsid w:val="00C6469C"/>
    <w:rsid w:val="00C64708"/>
    <w:rsid w:val="00C64C3A"/>
    <w:rsid w:val="00C64CB6"/>
    <w:rsid w:val="00C65035"/>
    <w:rsid w:val="00C6513C"/>
    <w:rsid w:val="00C654ED"/>
    <w:rsid w:val="00C65674"/>
    <w:rsid w:val="00C66028"/>
    <w:rsid w:val="00C66B7F"/>
    <w:rsid w:val="00C66F1F"/>
    <w:rsid w:val="00C66F6B"/>
    <w:rsid w:val="00C675C3"/>
    <w:rsid w:val="00C67A91"/>
    <w:rsid w:val="00C67BE1"/>
    <w:rsid w:val="00C70B3A"/>
    <w:rsid w:val="00C71265"/>
    <w:rsid w:val="00C71CD7"/>
    <w:rsid w:val="00C7201B"/>
    <w:rsid w:val="00C733CE"/>
    <w:rsid w:val="00C73AA7"/>
    <w:rsid w:val="00C73F00"/>
    <w:rsid w:val="00C740B1"/>
    <w:rsid w:val="00C74C83"/>
    <w:rsid w:val="00C75240"/>
    <w:rsid w:val="00C75C46"/>
    <w:rsid w:val="00C75FC0"/>
    <w:rsid w:val="00C76256"/>
    <w:rsid w:val="00C76537"/>
    <w:rsid w:val="00C76802"/>
    <w:rsid w:val="00C76F9D"/>
    <w:rsid w:val="00C775AA"/>
    <w:rsid w:val="00C77661"/>
    <w:rsid w:val="00C7778D"/>
    <w:rsid w:val="00C778EF"/>
    <w:rsid w:val="00C77A99"/>
    <w:rsid w:val="00C77B0D"/>
    <w:rsid w:val="00C80F06"/>
    <w:rsid w:val="00C82316"/>
    <w:rsid w:val="00C82495"/>
    <w:rsid w:val="00C82621"/>
    <w:rsid w:val="00C82F60"/>
    <w:rsid w:val="00C82FAC"/>
    <w:rsid w:val="00C831A8"/>
    <w:rsid w:val="00C831B6"/>
    <w:rsid w:val="00C83501"/>
    <w:rsid w:val="00C8381C"/>
    <w:rsid w:val="00C83966"/>
    <w:rsid w:val="00C83F96"/>
    <w:rsid w:val="00C84161"/>
    <w:rsid w:val="00C85617"/>
    <w:rsid w:val="00C85ABF"/>
    <w:rsid w:val="00C85D9A"/>
    <w:rsid w:val="00C85FF3"/>
    <w:rsid w:val="00C860B5"/>
    <w:rsid w:val="00C8672F"/>
    <w:rsid w:val="00C86DEA"/>
    <w:rsid w:val="00C879E7"/>
    <w:rsid w:val="00C90227"/>
    <w:rsid w:val="00C90985"/>
    <w:rsid w:val="00C90C3D"/>
    <w:rsid w:val="00C910C7"/>
    <w:rsid w:val="00C91216"/>
    <w:rsid w:val="00C9126E"/>
    <w:rsid w:val="00C91A8E"/>
    <w:rsid w:val="00C930AE"/>
    <w:rsid w:val="00C93533"/>
    <w:rsid w:val="00C93CE7"/>
    <w:rsid w:val="00C94AFD"/>
    <w:rsid w:val="00C9563A"/>
    <w:rsid w:val="00C95D21"/>
    <w:rsid w:val="00C967D1"/>
    <w:rsid w:val="00C96A43"/>
    <w:rsid w:val="00C979D8"/>
    <w:rsid w:val="00CA00F8"/>
    <w:rsid w:val="00CA016D"/>
    <w:rsid w:val="00CA0556"/>
    <w:rsid w:val="00CA0641"/>
    <w:rsid w:val="00CA0846"/>
    <w:rsid w:val="00CA0C1D"/>
    <w:rsid w:val="00CA11CF"/>
    <w:rsid w:val="00CA131D"/>
    <w:rsid w:val="00CA1619"/>
    <w:rsid w:val="00CA162C"/>
    <w:rsid w:val="00CA18AC"/>
    <w:rsid w:val="00CA2837"/>
    <w:rsid w:val="00CA2D27"/>
    <w:rsid w:val="00CA2D86"/>
    <w:rsid w:val="00CA301C"/>
    <w:rsid w:val="00CA30D6"/>
    <w:rsid w:val="00CA3155"/>
    <w:rsid w:val="00CA374A"/>
    <w:rsid w:val="00CA3A21"/>
    <w:rsid w:val="00CA3D69"/>
    <w:rsid w:val="00CA41F7"/>
    <w:rsid w:val="00CA4CC3"/>
    <w:rsid w:val="00CA5201"/>
    <w:rsid w:val="00CA584D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587"/>
    <w:rsid w:val="00CB061C"/>
    <w:rsid w:val="00CB08EB"/>
    <w:rsid w:val="00CB0FA3"/>
    <w:rsid w:val="00CB1B08"/>
    <w:rsid w:val="00CB1E6A"/>
    <w:rsid w:val="00CB228A"/>
    <w:rsid w:val="00CB24A4"/>
    <w:rsid w:val="00CB2B98"/>
    <w:rsid w:val="00CB2D83"/>
    <w:rsid w:val="00CB315A"/>
    <w:rsid w:val="00CB31B2"/>
    <w:rsid w:val="00CB38CF"/>
    <w:rsid w:val="00CB3C92"/>
    <w:rsid w:val="00CB4450"/>
    <w:rsid w:val="00CB456D"/>
    <w:rsid w:val="00CB4841"/>
    <w:rsid w:val="00CB4EE1"/>
    <w:rsid w:val="00CB514A"/>
    <w:rsid w:val="00CB5258"/>
    <w:rsid w:val="00CB55AF"/>
    <w:rsid w:val="00CB5BFA"/>
    <w:rsid w:val="00CB5E8A"/>
    <w:rsid w:val="00CB627A"/>
    <w:rsid w:val="00CB6902"/>
    <w:rsid w:val="00CB6EC0"/>
    <w:rsid w:val="00CB6F14"/>
    <w:rsid w:val="00CB7C72"/>
    <w:rsid w:val="00CC0C1A"/>
    <w:rsid w:val="00CC1011"/>
    <w:rsid w:val="00CC165F"/>
    <w:rsid w:val="00CC17AE"/>
    <w:rsid w:val="00CC1D97"/>
    <w:rsid w:val="00CC21DB"/>
    <w:rsid w:val="00CC2327"/>
    <w:rsid w:val="00CC2526"/>
    <w:rsid w:val="00CC2532"/>
    <w:rsid w:val="00CC29AA"/>
    <w:rsid w:val="00CC4668"/>
    <w:rsid w:val="00CC4753"/>
    <w:rsid w:val="00CC479A"/>
    <w:rsid w:val="00CC4AA5"/>
    <w:rsid w:val="00CC4E1C"/>
    <w:rsid w:val="00CC4FFF"/>
    <w:rsid w:val="00CC5338"/>
    <w:rsid w:val="00CC59FB"/>
    <w:rsid w:val="00CC5F10"/>
    <w:rsid w:val="00CC6193"/>
    <w:rsid w:val="00CC6BC7"/>
    <w:rsid w:val="00CC6BCF"/>
    <w:rsid w:val="00CC6C16"/>
    <w:rsid w:val="00CC6C2B"/>
    <w:rsid w:val="00CC6F2A"/>
    <w:rsid w:val="00CC6F58"/>
    <w:rsid w:val="00CC76A9"/>
    <w:rsid w:val="00CC7709"/>
    <w:rsid w:val="00CC7A76"/>
    <w:rsid w:val="00CC7A77"/>
    <w:rsid w:val="00CC7D8F"/>
    <w:rsid w:val="00CD0075"/>
    <w:rsid w:val="00CD025E"/>
    <w:rsid w:val="00CD0FDF"/>
    <w:rsid w:val="00CD11B0"/>
    <w:rsid w:val="00CD1357"/>
    <w:rsid w:val="00CD163E"/>
    <w:rsid w:val="00CD17F8"/>
    <w:rsid w:val="00CD1855"/>
    <w:rsid w:val="00CD1D0A"/>
    <w:rsid w:val="00CD206E"/>
    <w:rsid w:val="00CD2295"/>
    <w:rsid w:val="00CD33C4"/>
    <w:rsid w:val="00CD343F"/>
    <w:rsid w:val="00CD366F"/>
    <w:rsid w:val="00CD38D3"/>
    <w:rsid w:val="00CD3938"/>
    <w:rsid w:val="00CD3B88"/>
    <w:rsid w:val="00CD4DB8"/>
    <w:rsid w:val="00CD5388"/>
    <w:rsid w:val="00CD552D"/>
    <w:rsid w:val="00CD5816"/>
    <w:rsid w:val="00CD5C32"/>
    <w:rsid w:val="00CD5C6C"/>
    <w:rsid w:val="00CD5DD3"/>
    <w:rsid w:val="00CD5FED"/>
    <w:rsid w:val="00CD60C0"/>
    <w:rsid w:val="00CD6666"/>
    <w:rsid w:val="00CD6700"/>
    <w:rsid w:val="00CD70A7"/>
    <w:rsid w:val="00CD787B"/>
    <w:rsid w:val="00CD7AE6"/>
    <w:rsid w:val="00CD7F4A"/>
    <w:rsid w:val="00CE0257"/>
    <w:rsid w:val="00CE0261"/>
    <w:rsid w:val="00CE028F"/>
    <w:rsid w:val="00CE06F0"/>
    <w:rsid w:val="00CE0B99"/>
    <w:rsid w:val="00CE0E45"/>
    <w:rsid w:val="00CE1045"/>
    <w:rsid w:val="00CE1192"/>
    <w:rsid w:val="00CE17A6"/>
    <w:rsid w:val="00CE1CB7"/>
    <w:rsid w:val="00CE1FE6"/>
    <w:rsid w:val="00CE291F"/>
    <w:rsid w:val="00CE2BE8"/>
    <w:rsid w:val="00CE30D0"/>
    <w:rsid w:val="00CE315F"/>
    <w:rsid w:val="00CE3288"/>
    <w:rsid w:val="00CE3568"/>
    <w:rsid w:val="00CE37AE"/>
    <w:rsid w:val="00CE3E15"/>
    <w:rsid w:val="00CE3F00"/>
    <w:rsid w:val="00CE4083"/>
    <w:rsid w:val="00CE409D"/>
    <w:rsid w:val="00CE4955"/>
    <w:rsid w:val="00CE4F4A"/>
    <w:rsid w:val="00CE51C2"/>
    <w:rsid w:val="00CE555A"/>
    <w:rsid w:val="00CE5800"/>
    <w:rsid w:val="00CE615B"/>
    <w:rsid w:val="00CE6538"/>
    <w:rsid w:val="00CE6695"/>
    <w:rsid w:val="00CE6918"/>
    <w:rsid w:val="00CE6B77"/>
    <w:rsid w:val="00CE764E"/>
    <w:rsid w:val="00CE7FCF"/>
    <w:rsid w:val="00CF080E"/>
    <w:rsid w:val="00CF0E64"/>
    <w:rsid w:val="00CF0EE2"/>
    <w:rsid w:val="00CF11CF"/>
    <w:rsid w:val="00CF1289"/>
    <w:rsid w:val="00CF1562"/>
    <w:rsid w:val="00CF16CB"/>
    <w:rsid w:val="00CF1ACA"/>
    <w:rsid w:val="00CF2F2E"/>
    <w:rsid w:val="00CF3F84"/>
    <w:rsid w:val="00CF44B3"/>
    <w:rsid w:val="00CF4560"/>
    <w:rsid w:val="00CF46D6"/>
    <w:rsid w:val="00CF481C"/>
    <w:rsid w:val="00CF4930"/>
    <w:rsid w:val="00CF54EC"/>
    <w:rsid w:val="00CF5839"/>
    <w:rsid w:val="00CF58F6"/>
    <w:rsid w:val="00CF5E37"/>
    <w:rsid w:val="00CF5E40"/>
    <w:rsid w:val="00CF62CF"/>
    <w:rsid w:val="00CF6E55"/>
    <w:rsid w:val="00CF6FB0"/>
    <w:rsid w:val="00CF70DE"/>
    <w:rsid w:val="00CF72AE"/>
    <w:rsid w:val="00CF749C"/>
    <w:rsid w:val="00CF7D7A"/>
    <w:rsid w:val="00D00178"/>
    <w:rsid w:val="00D003C6"/>
    <w:rsid w:val="00D00670"/>
    <w:rsid w:val="00D007D8"/>
    <w:rsid w:val="00D00AE5"/>
    <w:rsid w:val="00D00CF7"/>
    <w:rsid w:val="00D0132F"/>
    <w:rsid w:val="00D01C2E"/>
    <w:rsid w:val="00D01FE3"/>
    <w:rsid w:val="00D0256E"/>
    <w:rsid w:val="00D02A4B"/>
    <w:rsid w:val="00D03804"/>
    <w:rsid w:val="00D039F9"/>
    <w:rsid w:val="00D03B5C"/>
    <w:rsid w:val="00D04971"/>
    <w:rsid w:val="00D0582E"/>
    <w:rsid w:val="00D05ADB"/>
    <w:rsid w:val="00D071CC"/>
    <w:rsid w:val="00D1064F"/>
    <w:rsid w:val="00D10AAD"/>
    <w:rsid w:val="00D10BDA"/>
    <w:rsid w:val="00D10CA3"/>
    <w:rsid w:val="00D10E06"/>
    <w:rsid w:val="00D11351"/>
    <w:rsid w:val="00D1139F"/>
    <w:rsid w:val="00D115EB"/>
    <w:rsid w:val="00D1162E"/>
    <w:rsid w:val="00D1195B"/>
    <w:rsid w:val="00D11AE5"/>
    <w:rsid w:val="00D124AF"/>
    <w:rsid w:val="00D127B4"/>
    <w:rsid w:val="00D12B77"/>
    <w:rsid w:val="00D12EAE"/>
    <w:rsid w:val="00D12ECA"/>
    <w:rsid w:val="00D13C51"/>
    <w:rsid w:val="00D14196"/>
    <w:rsid w:val="00D14707"/>
    <w:rsid w:val="00D14FB8"/>
    <w:rsid w:val="00D15759"/>
    <w:rsid w:val="00D15835"/>
    <w:rsid w:val="00D15A6D"/>
    <w:rsid w:val="00D16452"/>
    <w:rsid w:val="00D16671"/>
    <w:rsid w:val="00D16A5D"/>
    <w:rsid w:val="00D16ADF"/>
    <w:rsid w:val="00D16C09"/>
    <w:rsid w:val="00D175FA"/>
    <w:rsid w:val="00D17893"/>
    <w:rsid w:val="00D179A8"/>
    <w:rsid w:val="00D17B20"/>
    <w:rsid w:val="00D17B52"/>
    <w:rsid w:val="00D200A9"/>
    <w:rsid w:val="00D20A68"/>
    <w:rsid w:val="00D20F99"/>
    <w:rsid w:val="00D217CC"/>
    <w:rsid w:val="00D22039"/>
    <w:rsid w:val="00D225AA"/>
    <w:rsid w:val="00D22F9B"/>
    <w:rsid w:val="00D23606"/>
    <w:rsid w:val="00D23B8B"/>
    <w:rsid w:val="00D2414B"/>
    <w:rsid w:val="00D242A2"/>
    <w:rsid w:val="00D24480"/>
    <w:rsid w:val="00D24938"/>
    <w:rsid w:val="00D24AC0"/>
    <w:rsid w:val="00D24CDC"/>
    <w:rsid w:val="00D250D0"/>
    <w:rsid w:val="00D256C2"/>
    <w:rsid w:val="00D25968"/>
    <w:rsid w:val="00D25CE7"/>
    <w:rsid w:val="00D25E83"/>
    <w:rsid w:val="00D2608A"/>
    <w:rsid w:val="00D26464"/>
    <w:rsid w:val="00D2651A"/>
    <w:rsid w:val="00D2697F"/>
    <w:rsid w:val="00D26D5B"/>
    <w:rsid w:val="00D270EC"/>
    <w:rsid w:val="00D27B09"/>
    <w:rsid w:val="00D302FC"/>
    <w:rsid w:val="00D30426"/>
    <w:rsid w:val="00D3074F"/>
    <w:rsid w:val="00D30A1A"/>
    <w:rsid w:val="00D3109E"/>
    <w:rsid w:val="00D31312"/>
    <w:rsid w:val="00D3141F"/>
    <w:rsid w:val="00D32087"/>
    <w:rsid w:val="00D327E3"/>
    <w:rsid w:val="00D32ECF"/>
    <w:rsid w:val="00D330C2"/>
    <w:rsid w:val="00D33100"/>
    <w:rsid w:val="00D33B6D"/>
    <w:rsid w:val="00D33F7F"/>
    <w:rsid w:val="00D344B2"/>
    <w:rsid w:val="00D35484"/>
    <w:rsid w:val="00D35653"/>
    <w:rsid w:val="00D35AF7"/>
    <w:rsid w:val="00D361DA"/>
    <w:rsid w:val="00D36366"/>
    <w:rsid w:val="00D36547"/>
    <w:rsid w:val="00D36F5B"/>
    <w:rsid w:val="00D37086"/>
    <w:rsid w:val="00D37ADD"/>
    <w:rsid w:val="00D37B0A"/>
    <w:rsid w:val="00D37C79"/>
    <w:rsid w:val="00D4053B"/>
    <w:rsid w:val="00D40B46"/>
    <w:rsid w:val="00D40E6B"/>
    <w:rsid w:val="00D41189"/>
    <w:rsid w:val="00D412BF"/>
    <w:rsid w:val="00D41E85"/>
    <w:rsid w:val="00D422B0"/>
    <w:rsid w:val="00D425B9"/>
    <w:rsid w:val="00D42DDB"/>
    <w:rsid w:val="00D43F19"/>
    <w:rsid w:val="00D449FD"/>
    <w:rsid w:val="00D44A77"/>
    <w:rsid w:val="00D44B33"/>
    <w:rsid w:val="00D4548B"/>
    <w:rsid w:val="00D45997"/>
    <w:rsid w:val="00D46525"/>
    <w:rsid w:val="00D469C0"/>
    <w:rsid w:val="00D47645"/>
    <w:rsid w:val="00D50408"/>
    <w:rsid w:val="00D50593"/>
    <w:rsid w:val="00D50841"/>
    <w:rsid w:val="00D50902"/>
    <w:rsid w:val="00D50BDC"/>
    <w:rsid w:val="00D5137F"/>
    <w:rsid w:val="00D51C41"/>
    <w:rsid w:val="00D52061"/>
    <w:rsid w:val="00D520E2"/>
    <w:rsid w:val="00D52251"/>
    <w:rsid w:val="00D5262C"/>
    <w:rsid w:val="00D52757"/>
    <w:rsid w:val="00D52F55"/>
    <w:rsid w:val="00D52F66"/>
    <w:rsid w:val="00D52FA1"/>
    <w:rsid w:val="00D5332E"/>
    <w:rsid w:val="00D535DB"/>
    <w:rsid w:val="00D5380A"/>
    <w:rsid w:val="00D53A27"/>
    <w:rsid w:val="00D53AF6"/>
    <w:rsid w:val="00D53CED"/>
    <w:rsid w:val="00D54236"/>
    <w:rsid w:val="00D54552"/>
    <w:rsid w:val="00D55EA3"/>
    <w:rsid w:val="00D56265"/>
    <w:rsid w:val="00D571E8"/>
    <w:rsid w:val="00D57B03"/>
    <w:rsid w:val="00D57D86"/>
    <w:rsid w:val="00D57D9E"/>
    <w:rsid w:val="00D6067B"/>
    <w:rsid w:val="00D6070B"/>
    <w:rsid w:val="00D60C23"/>
    <w:rsid w:val="00D62779"/>
    <w:rsid w:val="00D629EA"/>
    <w:rsid w:val="00D641EB"/>
    <w:rsid w:val="00D64ECB"/>
    <w:rsid w:val="00D6544A"/>
    <w:rsid w:val="00D6567D"/>
    <w:rsid w:val="00D659A1"/>
    <w:rsid w:val="00D65D9C"/>
    <w:rsid w:val="00D65EF1"/>
    <w:rsid w:val="00D6645C"/>
    <w:rsid w:val="00D66B1F"/>
    <w:rsid w:val="00D67E02"/>
    <w:rsid w:val="00D703B4"/>
    <w:rsid w:val="00D70451"/>
    <w:rsid w:val="00D711D8"/>
    <w:rsid w:val="00D71407"/>
    <w:rsid w:val="00D7173B"/>
    <w:rsid w:val="00D7204E"/>
    <w:rsid w:val="00D72205"/>
    <w:rsid w:val="00D72257"/>
    <w:rsid w:val="00D728B8"/>
    <w:rsid w:val="00D729D5"/>
    <w:rsid w:val="00D72A1D"/>
    <w:rsid w:val="00D73F03"/>
    <w:rsid w:val="00D741C2"/>
    <w:rsid w:val="00D742C4"/>
    <w:rsid w:val="00D759F1"/>
    <w:rsid w:val="00D75A7D"/>
    <w:rsid w:val="00D761EE"/>
    <w:rsid w:val="00D76B4E"/>
    <w:rsid w:val="00D77226"/>
    <w:rsid w:val="00D77727"/>
    <w:rsid w:val="00D8170D"/>
    <w:rsid w:val="00D818DF"/>
    <w:rsid w:val="00D81EC8"/>
    <w:rsid w:val="00D83B90"/>
    <w:rsid w:val="00D84514"/>
    <w:rsid w:val="00D847D0"/>
    <w:rsid w:val="00D848CE"/>
    <w:rsid w:val="00D84BFD"/>
    <w:rsid w:val="00D84E21"/>
    <w:rsid w:val="00D853A8"/>
    <w:rsid w:val="00D861CD"/>
    <w:rsid w:val="00D8637C"/>
    <w:rsid w:val="00D86778"/>
    <w:rsid w:val="00D867DA"/>
    <w:rsid w:val="00D86C17"/>
    <w:rsid w:val="00D87003"/>
    <w:rsid w:val="00D872D2"/>
    <w:rsid w:val="00D87357"/>
    <w:rsid w:val="00D8771E"/>
    <w:rsid w:val="00D87769"/>
    <w:rsid w:val="00D87B49"/>
    <w:rsid w:val="00D87BB7"/>
    <w:rsid w:val="00D90608"/>
    <w:rsid w:val="00D9095E"/>
    <w:rsid w:val="00D90A53"/>
    <w:rsid w:val="00D91038"/>
    <w:rsid w:val="00D91235"/>
    <w:rsid w:val="00D920FB"/>
    <w:rsid w:val="00D922F1"/>
    <w:rsid w:val="00D9248A"/>
    <w:rsid w:val="00D9277C"/>
    <w:rsid w:val="00D9346A"/>
    <w:rsid w:val="00D93503"/>
    <w:rsid w:val="00D9353A"/>
    <w:rsid w:val="00D9375D"/>
    <w:rsid w:val="00D93A38"/>
    <w:rsid w:val="00D94131"/>
    <w:rsid w:val="00D95701"/>
    <w:rsid w:val="00D95CF6"/>
    <w:rsid w:val="00D95D04"/>
    <w:rsid w:val="00D9622C"/>
    <w:rsid w:val="00D9629F"/>
    <w:rsid w:val="00D96566"/>
    <w:rsid w:val="00D9743D"/>
    <w:rsid w:val="00D97542"/>
    <w:rsid w:val="00DA0304"/>
    <w:rsid w:val="00DA0328"/>
    <w:rsid w:val="00DA0443"/>
    <w:rsid w:val="00DA04BE"/>
    <w:rsid w:val="00DA0556"/>
    <w:rsid w:val="00DA05B3"/>
    <w:rsid w:val="00DA23FC"/>
    <w:rsid w:val="00DA2454"/>
    <w:rsid w:val="00DA2589"/>
    <w:rsid w:val="00DA2782"/>
    <w:rsid w:val="00DA2BEF"/>
    <w:rsid w:val="00DA2E49"/>
    <w:rsid w:val="00DA2F78"/>
    <w:rsid w:val="00DA32A6"/>
    <w:rsid w:val="00DA32B2"/>
    <w:rsid w:val="00DA3550"/>
    <w:rsid w:val="00DA401C"/>
    <w:rsid w:val="00DA427E"/>
    <w:rsid w:val="00DA42A9"/>
    <w:rsid w:val="00DA4E73"/>
    <w:rsid w:val="00DA4ED3"/>
    <w:rsid w:val="00DA51D8"/>
    <w:rsid w:val="00DA5232"/>
    <w:rsid w:val="00DA6919"/>
    <w:rsid w:val="00DA6BF4"/>
    <w:rsid w:val="00DA75DB"/>
    <w:rsid w:val="00DA76C0"/>
    <w:rsid w:val="00DA780C"/>
    <w:rsid w:val="00DA7998"/>
    <w:rsid w:val="00DA7AF8"/>
    <w:rsid w:val="00DA7B97"/>
    <w:rsid w:val="00DB0142"/>
    <w:rsid w:val="00DB01EC"/>
    <w:rsid w:val="00DB028C"/>
    <w:rsid w:val="00DB0BBB"/>
    <w:rsid w:val="00DB0EA1"/>
    <w:rsid w:val="00DB1189"/>
    <w:rsid w:val="00DB1482"/>
    <w:rsid w:val="00DB1DB6"/>
    <w:rsid w:val="00DB23ED"/>
    <w:rsid w:val="00DB2515"/>
    <w:rsid w:val="00DB2620"/>
    <w:rsid w:val="00DB2BE3"/>
    <w:rsid w:val="00DB3032"/>
    <w:rsid w:val="00DB3727"/>
    <w:rsid w:val="00DB3FA9"/>
    <w:rsid w:val="00DB41C1"/>
    <w:rsid w:val="00DB44A6"/>
    <w:rsid w:val="00DB528D"/>
    <w:rsid w:val="00DB53B2"/>
    <w:rsid w:val="00DB5B26"/>
    <w:rsid w:val="00DB5E62"/>
    <w:rsid w:val="00DB6035"/>
    <w:rsid w:val="00DB663B"/>
    <w:rsid w:val="00DB6644"/>
    <w:rsid w:val="00DB66DB"/>
    <w:rsid w:val="00DB6A1B"/>
    <w:rsid w:val="00DB71DB"/>
    <w:rsid w:val="00DB7327"/>
    <w:rsid w:val="00DB7F76"/>
    <w:rsid w:val="00DC0415"/>
    <w:rsid w:val="00DC0769"/>
    <w:rsid w:val="00DC0D8A"/>
    <w:rsid w:val="00DC0E52"/>
    <w:rsid w:val="00DC115F"/>
    <w:rsid w:val="00DC1775"/>
    <w:rsid w:val="00DC1DC8"/>
    <w:rsid w:val="00DC272B"/>
    <w:rsid w:val="00DC284A"/>
    <w:rsid w:val="00DC33A4"/>
    <w:rsid w:val="00DC3581"/>
    <w:rsid w:val="00DC3B4E"/>
    <w:rsid w:val="00DC3F04"/>
    <w:rsid w:val="00DC411B"/>
    <w:rsid w:val="00DC438B"/>
    <w:rsid w:val="00DC461C"/>
    <w:rsid w:val="00DC47C7"/>
    <w:rsid w:val="00DC4D3E"/>
    <w:rsid w:val="00DC53AC"/>
    <w:rsid w:val="00DC53BA"/>
    <w:rsid w:val="00DC5D44"/>
    <w:rsid w:val="00DC6D51"/>
    <w:rsid w:val="00DC7C7A"/>
    <w:rsid w:val="00DC7DF7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154"/>
    <w:rsid w:val="00DD53DC"/>
    <w:rsid w:val="00DD563E"/>
    <w:rsid w:val="00DD5A7B"/>
    <w:rsid w:val="00DD5C29"/>
    <w:rsid w:val="00DD5CAC"/>
    <w:rsid w:val="00DD5E65"/>
    <w:rsid w:val="00DD6136"/>
    <w:rsid w:val="00DD672F"/>
    <w:rsid w:val="00DD68F8"/>
    <w:rsid w:val="00DD6FAB"/>
    <w:rsid w:val="00DD7101"/>
    <w:rsid w:val="00DD784D"/>
    <w:rsid w:val="00DD7C40"/>
    <w:rsid w:val="00DE0B7F"/>
    <w:rsid w:val="00DE137C"/>
    <w:rsid w:val="00DE1471"/>
    <w:rsid w:val="00DE189A"/>
    <w:rsid w:val="00DE1BB2"/>
    <w:rsid w:val="00DE2194"/>
    <w:rsid w:val="00DE2AB6"/>
    <w:rsid w:val="00DE3855"/>
    <w:rsid w:val="00DE3D75"/>
    <w:rsid w:val="00DE400F"/>
    <w:rsid w:val="00DE44F7"/>
    <w:rsid w:val="00DE4962"/>
    <w:rsid w:val="00DE4C61"/>
    <w:rsid w:val="00DE4E47"/>
    <w:rsid w:val="00DE5B80"/>
    <w:rsid w:val="00DE6056"/>
    <w:rsid w:val="00DE6583"/>
    <w:rsid w:val="00DE709F"/>
    <w:rsid w:val="00DE7313"/>
    <w:rsid w:val="00DE774A"/>
    <w:rsid w:val="00DF0018"/>
    <w:rsid w:val="00DF0BF8"/>
    <w:rsid w:val="00DF0D66"/>
    <w:rsid w:val="00DF0E3D"/>
    <w:rsid w:val="00DF16D9"/>
    <w:rsid w:val="00DF1A4B"/>
    <w:rsid w:val="00DF1B40"/>
    <w:rsid w:val="00DF21A4"/>
    <w:rsid w:val="00DF23F1"/>
    <w:rsid w:val="00DF27D9"/>
    <w:rsid w:val="00DF2922"/>
    <w:rsid w:val="00DF2D2E"/>
    <w:rsid w:val="00DF2EE8"/>
    <w:rsid w:val="00DF3B01"/>
    <w:rsid w:val="00DF43D2"/>
    <w:rsid w:val="00DF458D"/>
    <w:rsid w:val="00DF4A4A"/>
    <w:rsid w:val="00DF519A"/>
    <w:rsid w:val="00DF5A27"/>
    <w:rsid w:val="00DF5C35"/>
    <w:rsid w:val="00DF5FBE"/>
    <w:rsid w:val="00DF61D0"/>
    <w:rsid w:val="00DF6B48"/>
    <w:rsid w:val="00DF6C8A"/>
    <w:rsid w:val="00DF714F"/>
    <w:rsid w:val="00DF715D"/>
    <w:rsid w:val="00DF76D1"/>
    <w:rsid w:val="00DF79A2"/>
    <w:rsid w:val="00DF7A18"/>
    <w:rsid w:val="00DF7DCC"/>
    <w:rsid w:val="00DF7F0A"/>
    <w:rsid w:val="00E0012D"/>
    <w:rsid w:val="00E00326"/>
    <w:rsid w:val="00E004E0"/>
    <w:rsid w:val="00E009D6"/>
    <w:rsid w:val="00E00B9C"/>
    <w:rsid w:val="00E00F25"/>
    <w:rsid w:val="00E01109"/>
    <w:rsid w:val="00E014C0"/>
    <w:rsid w:val="00E0152A"/>
    <w:rsid w:val="00E0192D"/>
    <w:rsid w:val="00E01E47"/>
    <w:rsid w:val="00E02AED"/>
    <w:rsid w:val="00E035CE"/>
    <w:rsid w:val="00E038D0"/>
    <w:rsid w:val="00E03B8E"/>
    <w:rsid w:val="00E03FB5"/>
    <w:rsid w:val="00E044D2"/>
    <w:rsid w:val="00E04842"/>
    <w:rsid w:val="00E0496B"/>
    <w:rsid w:val="00E05A55"/>
    <w:rsid w:val="00E05B24"/>
    <w:rsid w:val="00E05FEF"/>
    <w:rsid w:val="00E0637B"/>
    <w:rsid w:val="00E06505"/>
    <w:rsid w:val="00E0680E"/>
    <w:rsid w:val="00E06933"/>
    <w:rsid w:val="00E06BC9"/>
    <w:rsid w:val="00E06D12"/>
    <w:rsid w:val="00E101AC"/>
    <w:rsid w:val="00E10EB5"/>
    <w:rsid w:val="00E112A6"/>
    <w:rsid w:val="00E11D2E"/>
    <w:rsid w:val="00E11E2C"/>
    <w:rsid w:val="00E1223C"/>
    <w:rsid w:val="00E13744"/>
    <w:rsid w:val="00E13BEB"/>
    <w:rsid w:val="00E14167"/>
    <w:rsid w:val="00E14318"/>
    <w:rsid w:val="00E147B7"/>
    <w:rsid w:val="00E14ECE"/>
    <w:rsid w:val="00E15180"/>
    <w:rsid w:val="00E15335"/>
    <w:rsid w:val="00E1611B"/>
    <w:rsid w:val="00E16312"/>
    <w:rsid w:val="00E16B59"/>
    <w:rsid w:val="00E16FEC"/>
    <w:rsid w:val="00E17D38"/>
    <w:rsid w:val="00E20067"/>
    <w:rsid w:val="00E2030C"/>
    <w:rsid w:val="00E204C5"/>
    <w:rsid w:val="00E20656"/>
    <w:rsid w:val="00E20780"/>
    <w:rsid w:val="00E20A0C"/>
    <w:rsid w:val="00E20AC8"/>
    <w:rsid w:val="00E2126A"/>
    <w:rsid w:val="00E218BA"/>
    <w:rsid w:val="00E21A9E"/>
    <w:rsid w:val="00E21AD5"/>
    <w:rsid w:val="00E21DBE"/>
    <w:rsid w:val="00E22069"/>
    <w:rsid w:val="00E22208"/>
    <w:rsid w:val="00E22683"/>
    <w:rsid w:val="00E231BA"/>
    <w:rsid w:val="00E232AE"/>
    <w:rsid w:val="00E23372"/>
    <w:rsid w:val="00E23797"/>
    <w:rsid w:val="00E238EC"/>
    <w:rsid w:val="00E24A16"/>
    <w:rsid w:val="00E24BE8"/>
    <w:rsid w:val="00E24DEA"/>
    <w:rsid w:val="00E24EE7"/>
    <w:rsid w:val="00E252F0"/>
    <w:rsid w:val="00E25F2A"/>
    <w:rsid w:val="00E26675"/>
    <w:rsid w:val="00E27702"/>
    <w:rsid w:val="00E3003E"/>
    <w:rsid w:val="00E3022B"/>
    <w:rsid w:val="00E303BE"/>
    <w:rsid w:val="00E30597"/>
    <w:rsid w:val="00E306DA"/>
    <w:rsid w:val="00E30968"/>
    <w:rsid w:val="00E30B86"/>
    <w:rsid w:val="00E3124F"/>
    <w:rsid w:val="00E316D9"/>
    <w:rsid w:val="00E32E67"/>
    <w:rsid w:val="00E330C5"/>
    <w:rsid w:val="00E33560"/>
    <w:rsid w:val="00E33AB2"/>
    <w:rsid w:val="00E3413B"/>
    <w:rsid w:val="00E347E7"/>
    <w:rsid w:val="00E35229"/>
    <w:rsid w:val="00E353E9"/>
    <w:rsid w:val="00E35776"/>
    <w:rsid w:val="00E3589F"/>
    <w:rsid w:val="00E35F3B"/>
    <w:rsid w:val="00E3650D"/>
    <w:rsid w:val="00E36EA9"/>
    <w:rsid w:val="00E370F0"/>
    <w:rsid w:val="00E3740A"/>
    <w:rsid w:val="00E37716"/>
    <w:rsid w:val="00E37E4F"/>
    <w:rsid w:val="00E401CF"/>
    <w:rsid w:val="00E40299"/>
    <w:rsid w:val="00E40F41"/>
    <w:rsid w:val="00E41393"/>
    <w:rsid w:val="00E41A9E"/>
    <w:rsid w:val="00E41E97"/>
    <w:rsid w:val="00E42372"/>
    <w:rsid w:val="00E43744"/>
    <w:rsid w:val="00E4381D"/>
    <w:rsid w:val="00E43879"/>
    <w:rsid w:val="00E43B2E"/>
    <w:rsid w:val="00E43B36"/>
    <w:rsid w:val="00E44044"/>
    <w:rsid w:val="00E441BF"/>
    <w:rsid w:val="00E44414"/>
    <w:rsid w:val="00E449B5"/>
    <w:rsid w:val="00E44A49"/>
    <w:rsid w:val="00E44C4D"/>
    <w:rsid w:val="00E45190"/>
    <w:rsid w:val="00E4592C"/>
    <w:rsid w:val="00E45BB7"/>
    <w:rsid w:val="00E47304"/>
    <w:rsid w:val="00E47864"/>
    <w:rsid w:val="00E47BBB"/>
    <w:rsid w:val="00E47BD0"/>
    <w:rsid w:val="00E47DAC"/>
    <w:rsid w:val="00E47F22"/>
    <w:rsid w:val="00E501A6"/>
    <w:rsid w:val="00E501EB"/>
    <w:rsid w:val="00E5076A"/>
    <w:rsid w:val="00E507F5"/>
    <w:rsid w:val="00E50BDC"/>
    <w:rsid w:val="00E50DBB"/>
    <w:rsid w:val="00E50E83"/>
    <w:rsid w:val="00E51B18"/>
    <w:rsid w:val="00E52403"/>
    <w:rsid w:val="00E52C97"/>
    <w:rsid w:val="00E532A8"/>
    <w:rsid w:val="00E53C76"/>
    <w:rsid w:val="00E53D05"/>
    <w:rsid w:val="00E53D8B"/>
    <w:rsid w:val="00E54403"/>
    <w:rsid w:val="00E550F5"/>
    <w:rsid w:val="00E55624"/>
    <w:rsid w:val="00E55777"/>
    <w:rsid w:val="00E558D5"/>
    <w:rsid w:val="00E56132"/>
    <w:rsid w:val="00E56B33"/>
    <w:rsid w:val="00E56C37"/>
    <w:rsid w:val="00E60643"/>
    <w:rsid w:val="00E60CD7"/>
    <w:rsid w:val="00E61322"/>
    <w:rsid w:val="00E61F75"/>
    <w:rsid w:val="00E62BE5"/>
    <w:rsid w:val="00E62EEC"/>
    <w:rsid w:val="00E636AB"/>
    <w:rsid w:val="00E63EF4"/>
    <w:rsid w:val="00E643C2"/>
    <w:rsid w:val="00E64B1C"/>
    <w:rsid w:val="00E64C3E"/>
    <w:rsid w:val="00E64E56"/>
    <w:rsid w:val="00E6576C"/>
    <w:rsid w:val="00E65973"/>
    <w:rsid w:val="00E65F0D"/>
    <w:rsid w:val="00E662E1"/>
    <w:rsid w:val="00E666D7"/>
    <w:rsid w:val="00E66D43"/>
    <w:rsid w:val="00E66D6C"/>
    <w:rsid w:val="00E6789D"/>
    <w:rsid w:val="00E679D3"/>
    <w:rsid w:val="00E702A5"/>
    <w:rsid w:val="00E7094D"/>
    <w:rsid w:val="00E70AE1"/>
    <w:rsid w:val="00E70C20"/>
    <w:rsid w:val="00E70D73"/>
    <w:rsid w:val="00E70FD0"/>
    <w:rsid w:val="00E71169"/>
    <w:rsid w:val="00E711F0"/>
    <w:rsid w:val="00E71599"/>
    <w:rsid w:val="00E7169C"/>
    <w:rsid w:val="00E719DD"/>
    <w:rsid w:val="00E71D09"/>
    <w:rsid w:val="00E72019"/>
    <w:rsid w:val="00E724E0"/>
    <w:rsid w:val="00E7374D"/>
    <w:rsid w:val="00E73D04"/>
    <w:rsid w:val="00E74165"/>
    <w:rsid w:val="00E745B4"/>
    <w:rsid w:val="00E7461B"/>
    <w:rsid w:val="00E7484B"/>
    <w:rsid w:val="00E750A5"/>
    <w:rsid w:val="00E75358"/>
    <w:rsid w:val="00E761A1"/>
    <w:rsid w:val="00E766D7"/>
    <w:rsid w:val="00E76BCC"/>
    <w:rsid w:val="00E7793F"/>
    <w:rsid w:val="00E77F8B"/>
    <w:rsid w:val="00E80529"/>
    <w:rsid w:val="00E80EAC"/>
    <w:rsid w:val="00E811CA"/>
    <w:rsid w:val="00E8174E"/>
    <w:rsid w:val="00E81AF7"/>
    <w:rsid w:val="00E81FD0"/>
    <w:rsid w:val="00E823CA"/>
    <w:rsid w:val="00E826FF"/>
    <w:rsid w:val="00E8284D"/>
    <w:rsid w:val="00E828FC"/>
    <w:rsid w:val="00E82BD9"/>
    <w:rsid w:val="00E83082"/>
    <w:rsid w:val="00E83EFF"/>
    <w:rsid w:val="00E83F2D"/>
    <w:rsid w:val="00E83F55"/>
    <w:rsid w:val="00E8408A"/>
    <w:rsid w:val="00E841DA"/>
    <w:rsid w:val="00E846ED"/>
    <w:rsid w:val="00E84760"/>
    <w:rsid w:val="00E8476C"/>
    <w:rsid w:val="00E84E97"/>
    <w:rsid w:val="00E856C5"/>
    <w:rsid w:val="00E85762"/>
    <w:rsid w:val="00E85BFF"/>
    <w:rsid w:val="00E86030"/>
    <w:rsid w:val="00E8618A"/>
    <w:rsid w:val="00E86DD1"/>
    <w:rsid w:val="00E876E4"/>
    <w:rsid w:val="00E90810"/>
    <w:rsid w:val="00E9096E"/>
    <w:rsid w:val="00E90DE0"/>
    <w:rsid w:val="00E9139B"/>
    <w:rsid w:val="00E918E1"/>
    <w:rsid w:val="00E919AD"/>
    <w:rsid w:val="00E91EB0"/>
    <w:rsid w:val="00E91F93"/>
    <w:rsid w:val="00E924F8"/>
    <w:rsid w:val="00E928DA"/>
    <w:rsid w:val="00E929BC"/>
    <w:rsid w:val="00E93B7F"/>
    <w:rsid w:val="00E94273"/>
    <w:rsid w:val="00E94894"/>
    <w:rsid w:val="00E94C7C"/>
    <w:rsid w:val="00E950BB"/>
    <w:rsid w:val="00E95263"/>
    <w:rsid w:val="00E95429"/>
    <w:rsid w:val="00E95804"/>
    <w:rsid w:val="00E959CA"/>
    <w:rsid w:val="00E95A51"/>
    <w:rsid w:val="00E95EB9"/>
    <w:rsid w:val="00E9689F"/>
    <w:rsid w:val="00E96D01"/>
    <w:rsid w:val="00E96F1C"/>
    <w:rsid w:val="00E973CA"/>
    <w:rsid w:val="00E97504"/>
    <w:rsid w:val="00EA04E4"/>
    <w:rsid w:val="00EA0A7C"/>
    <w:rsid w:val="00EA0C40"/>
    <w:rsid w:val="00EA0E09"/>
    <w:rsid w:val="00EA19F0"/>
    <w:rsid w:val="00EA1C34"/>
    <w:rsid w:val="00EA2978"/>
    <w:rsid w:val="00EA2ACB"/>
    <w:rsid w:val="00EA2F88"/>
    <w:rsid w:val="00EA2F8D"/>
    <w:rsid w:val="00EA3450"/>
    <w:rsid w:val="00EA3599"/>
    <w:rsid w:val="00EA3B0A"/>
    <w:rsid w:val="00EA3BCF"/>
    <w:rsid w:val="00EA3CCF"/>
    <w:rsid w:val="00EA3D86"/>
    <w:rsid w:val="00EA437D"/>
    <w:rsid w:val="00EA4848"/>
    <w:rsid w:val="00EA4EE5"/>
    <w:rsid w:val="00EA57AA"/>
    <w:rsid w:val="00EA5879"/>
    <w:rsid w:val="00EA5895"/>
    <w:rsid w:val="00EA5C4C"/>
    <w:rsid w:val="00EA6056"/>
    <w:rsid w:val="00EA6ABD"/>
    <w:rsid w:val="00EA6E50"/>
    <w:rsid w:val="00EA7311"/>
    <w:rsid w:val="00EA7688"/>
    <w:rsid w:val="00EA7784"/>
    <w:rsid w:val="00EA7A80"/>
    <w:rsid w:val="00EB0474"/>
    <w:rsid w:val="00EB06C3"/>
    <w:rsid w:val="00EB0A80"/>
    <w:rsid w:val="00EB0B3A"/>
    <w:rsid w:val="00EB1018"/>
    <w:rsid w:val="00EB102E"/>
    <w:rsid w:val="00EB1C7D"/>
    <w:rsid w:val="00EB1F40"/>
    <w:rsid w:val="00EB29FE"/>
    <w:rsid w:val="00EB2F66"/>
    <w:rsid w:val="00EB3012"/>
    <w:rsid w:val="00EB3834"/>
    <w:rsid w:val="00EB39F1"/>
    <w:rsid w:val="00EB3BA9"/>
    <w:rsid w:val="00EB3E72"/>
    <w:rsid w:val="00EB454D"/>
    <w:rsid w:val="00EB4738"/>
    <w:rsid w:val="00EB54FC"/>
    <w:rsid w:val="00EB5E97"/>
    <w:rsid w:val="00EB5EF2"/>
    <w:rsid w:val="00EB5F83"/>
    <w:rsid w:val="00EB643C"/>
    <w:rsid w:val="00EB68F7"/>
    <w:rsid w:val="00EB6948"/>
    <w:rsid w:val="00EB6C92"/>
    <w:rsid w:val="00EB6E9A"/>
    <w:rsid w:val="00EB715B"/>
    <w:rsid w:val="00EB718C"/>
    <w:rsid w:val="00EB7472"/>
    <w:rsid w:val="00EB757A"/>
    <w:rsid w:val="00EB760D"/>
    <w:rsid w:val="00EB7667"/>
    <w:rsid w:val="00EC0250"/>
    <w:rsid w:val="00EC03AB"/>
    <w:rsid w:val="00EC0BF9"/>
    <w:rsid w:val="00EC12B7"/>
    <w:rsid w:val="00EC17A9"/>
    <w:rsid w:val="00EC1A2B"/>
    <w:rsid w:val="00EC321D"/>
    <w:rsid w:val="00EC3531"/>
    <w:rsid w:val="00EC3FF3"/>
    <w:rsid w:val="00EC438F"/>
    <w:rsid w:val="00EC4757"/>
    <w:rsid w:val="00EC48D1"/>
    <w:rsid w:val="00EC4E4D"/>
    <w:rsid w:val="00EC5A39"/>
    <w:rsid w:val="00EC5E74"/>
    <w:rsid w:val="00EC6532"/>
    <w:rsid w:val="00EC6768"/>
    <w:rsid w:val="00EC6D5D"/>
    <w:rsid w:val="00EC7046"/>
    <w:rsid w:val="00EC71CC"/>
    <w:rsid w:val="00EC71E5"/>
    <w:rsid w:val="00EC7404"/>
    <w:rsid w:val="00EC7AEA"/>
    <w:rsid w:val="00EC7ECE"/>
    <w:rsid w:val="00ED0086"/>
    <w:rsid w:val="00ED0A9A"/>
    <w:rsid w:val="00ED13C7"/>
    <w:rsid w:val="00ED1871"/>
    <w:rsid w:val="00ED18D1"/>
    <w:rsid w:val="00ED1A4B"/>
    <w:rsid w:val="00ED1C10"/>
    <w:rsid w:val="00ED1DAC"/>
    <w:rsid w:val="00ED2023"/>
    <w:rsid w:val="00ED2699"/>
    <w:rsid w:val="00ED2717"/>
    <w:rsid w:val="00ED2DAA"/>
    <w:rsid w:val="00ED3209"/>
    <w:rsid w:val="00ED3218"/>
    <w:rsid w:val="00ED32B8"/>
    <w:rsid w:val="00ED347A"/>
    <w:rsid w:val="00ED3581"/>
    <w:rsid w:val="00ED39F1"/>
    <w:rsid w:val="00ED3A9B"/>
    <w:rsid w:val="00ED3E2D"/>
    <w:rsid w:val="00ED44B0"/>
    <w:rsid w:val="00ED4951"/>
    <w:rsid w:val="00ED4965"/>
    <w:rsid w:val="00ED4AFE"/>
    <w:rsid w:val="00ED533F"/>
    <w:rsid w:val="00ED5396"/>
    <w:rsid w:val="00ED59E7"/>
    <w:rsid w:val="00ED6065"/>
    <w:rsid w:val="00ED609F"/>
    <w:rsid w:val="00ED63EC"/>
    <w:rsid w:val="00ED6577"/>
    <w:rsid w:val="00ED6A52"/>
    <w:rsid w:val="00ED6D93"/>
    <w:rsid w:val="00ED701C"/>
    <w:rsid w:val="00ED7815"/>
    <w:rsid w:val="00EE05C0"/>
    <w:rsid w:val="00EE0737"/>
    <w:rsid w:val="00EE0CAD"/>
    <w:rsid w:val="00EE0EFE"/>
    <w:rsid w:val="00EE206D"/>
    <w:rsid w:val="00EE28AB"/>
    <w:rsid w:val="00EE300F"/>
    <w:rsid w:val="00EE318C"/>
    <w:rsid w:val="00EE3AAE"/>
    <w:rsid w:val="00EE3AC4"/>
    <w:rsid w:val="00EE3C69"/>
    <w:rsid w:val="00EE485C"/>
    <w:rsid w:val="00EE5052"/>
    <w:rsid w:val="00EE590D"/>
    <w:rsid w:val="00EE5923"/>
    <w:rsid w:val="00EE5EFB"/>
    <w:rsid w:val="00EE62E5"/>
    <w:rsid w:val="00EE7084"/>
    <w:rsid w:val="00EE7633"/>
    <w:rsid w:val="00EF006D"/>
    <w:rsid w:val="00EF0149"/>
    <w:rsid w:val="00EF08AD"/>
    <w:rsid w:val="00EF139E"/>
    <w:rsid w:val="00EF1ADA"/>
    <w:rsid w:val="00EF1D6C"/>
    <w:rsid w:val="00EF23B6"/>
    <w:rsid w:val="00EF2686"/>
    <w:rsid w:val="00EF280D"/>
    <w:rsid w:val="00EF2837"/>
    <w:rsid w:val="00EF2C66"/>
    <w:rsid w:val="00EF2CD9"/>
    <w:rsid w:val="00EF30BB"/>
    <w:rsid w:val="00EF3356"/>
    <w:rsid w:val="00EF33BE"/>
    <w:rsid w:val="00EF3689"/>
    <w:rsid w:val="00EF37FB"/>
    <w:rsid w:val="00EF37FD"/>
    <w:rsid w:val="00EF3FDC"/>
    <w:rsid w:val="00EF40A5"/>
    <w:rsid w:val="00EF4214"/>
    <w:rsid w:val="00EF4EE1"/>
    <w:rsid w:val="00EF5684"/>
    <w:rsid w:val="00EF57CE"/>
    <w:rsid w:val="00EF5AB2"/>
    <w:rsid w:val="00EF5CFA"/>
    <w:rsid w:val="00EF658A"/>
    <w:rsid w:val="00EF690E"/>
    <w:rsid w:val="00EF6AD8"/>
    <w:rsid w:val="00EF73D4"/>
    <w:rsid w:val="00EF77F4"/>
    <w:rsid w:val="00EF791F"/>
    <w:rsid w:val="00EF7998"/>
    <w:rsid w:val="00EF7A22"/>
    <w:rsid w:val="00EF7CC1"/>
    <w:rsid w:val="00F0086F"/>
    <w:rsid w:val="00F00A2F"/>
    <w:rsid w:val="00F00EA8"/>
    <w:rsid w:val="00F00F31"/>
    <w:rsid w:val="00F0183A"/>
    <w:rsid w:val="00F01E16"/>
    <w:rsid w:val="00F01EC4"/>
    <w:rsid w:val="00F0239A"/>
    <w:rsid w:val="00F02DD4"/>
    <w:rsid w:val="00F02DFD"/>
    <w:rsid w:val="00F02F78"/>
    <w:rsid w:val="00F03025"/>
    <w:rsid w:val="00F0307C"/>
    <w:rsid w:val="00F03225"/>
    <w:rsid w:val="00F0327A"/>
    <w:rsid w:val="00F037E7"/>
    <w:rsid w:val="00F03A20"/>
    <w:rsid w:val="00F03BD3"/>
    <w:rsid w:val="00F0404B"/>
    <w:rsid w:val="00F043FE"/>
    <w:rsid w:val="00F044C2"/>
    <w:rsid w:val="00F044C9"/>
    <w:rsid w:val="00F045AD"/>
    <w:rsid w:val="00F04602"/>
    <w:rsid w:val="00F05051"/>
    <w:rsid w:val="00F05BAB"/>
    <w:rsid w:val="00F060B8"/>
    <w:rsid w:val="00F062AB"/>
    <w:rsid w:val="00F0674E"/>
    <w:rsid w:val="00F074A5"/>
    <w:rsid w:val="00F07CBF"/>
    <w:rsid w:val="00F07E79"/>
    <w:rsid w:val="00F1023E"/>
    <w:rsid w:val="00F10252"/>
    <w:rsid w:val="00F107C8"/>
    <w:rsid w:val="00F10B18"/>
    <w:rsid w:val="00F10C2E"/>
    <w:rsid w:val="00F10C36"/>
    <w:rsid w:val="00F112ED"/>
    <w:rsid w:val="00F11B59"/>
    <w:rsid w:val="00F11C9F"/>
    <w:rsid w:val="00F1226D"/>
    <w:rsid w:val="00F126A3"/>
    <w:rsid w:val="00F12763"/>
    <w:rsid w:val="00F133E8"/>
    <w:rsid w:val="00F13AFC"/>
    <w:rsid w:val="00F13B8B"/>
    <w:rsid w:val="00F13DB2"/>
    <w:rsid w:val="00F13E27"/>
    <w:rsid w:val="00F13EB3"/>
    <w:rsid w:val="00F13F08"/>
    <w:rsid w:val="00F14329"/>
    <w:rsid w:val="00F14641"/>
    <w:rsid w:val="00F14678"/>
    <w:rsid w:val="00F14946"/>
    <w:rsid w:val="00F14CF1"/>
    <w:rsid w:val="00F14F12"/>
    <w:rsid w:val="00F14F67"/>
    <w:rsid w:val="00F1578B"/>
    <w:rsid w:val="00F15AF9"/>
    <w:rsid w:val="00F15CBB"/>
    <w:rsid w:val="00F16BF6"/>
    <w:rsid w:val="00F1755B"/>
    <w:rsid w:val="00F2004F"/>
    <w:rsid w:val="00F20438"/>
    <w:rsid w:val="00F2086E"/>
    <w:rsid w:val="00F20FEC"/>
    <w:rsid w:val="00F216C6"/>
    <w:rsid w:val="00F21860"/>
    <w:rsid w:val="00F229AB"/>
    <w:rsid w:val="00F2334B"/>
    <w:rsid w:val="00F2382B"/>
    <w:rsid w:val="00F242C4"/>
    <w:rsid w:val="00F247F9"/>
    <w:rsid w:val="00F2491C"/>
    <w:rsid w:val="00F24C32"/>
    <w:rsid w:val="00F24E37"/>
    <w:rsid w:val="00F251A9"/>
    <w:rsid w:val="00F2523C"/>
    <w:rsid w:val="00F25282"/>
    <w:rsid w:val="00F2548A"/>
    <w:rsid w:val="00F25C6D"/>
    <w:rsid w:val="00F26123"/>
    <w:rsid w:val="00F26336"/>
    <w:rsid w:val="00F26767"/>
    <w:rsid w:val="00F2698F"/>
    <w:rsid w:val="00F26D89"/>
    <w:rsid w:val="00F270F4"/>
    <w:rsid w:val="00F27339"/>
    <w:rsid w:val="00F27730"/>
    <w:rsid w:val="00F279E0"/>
    <w:rsid w:val="00F30327"/>
    <w:rsid w:val="00F31384"/>
    <w:rsid w:val="00F316EA"/>
    <w:rsid w:val="00F317C6"/>
    <w:rsid w:val="00F3242C"/>
    <w:rsid w:val="00F326E3"/>
    <w:rsid w:val="00F32855"/>
    <w:rsid w:val="00F32DA9"/>
    <w:rsid w:val="00F334ED"/>
    <w:rsid w:val="00F33658"/>
    <w:rsid w:val="00F33718"/>
    <w:rsid w:val="00F34AD3"/>
    <w:rsid w:val="00F34EBB"/>
    <w:rsid w:val="00F3577A"/>
    <w:rsid w:val="00F36260"/>
    <w:rsid w:val="00F365CD"/>
    <w:rsid w:val="00F36743"/>
    <w:rsid w:val="00F37157"/>
    <w:rsid w:val="00F3745B"/>
    <w:rsid w:val="00F37CF5"/>
    <w:rsid w:val="00F37E9C"/>
    <w:rsid w:val="00F40326"/>
    <w:rsid w:val="00F4058F"/>
    <w:rsid w:val="00F40725"/>
    <w:rsid w:val="00F4099A"/>
    <w:rsid w:val="00F40EAA"/>
    <w:rsid w:val="00F41805"/>
    <w:rsid w:val="00F41923"/>
    <w:rsid w:val="00F41A88"/>
    <w:rsid w:val="00F4218A"/>
    <w:rsid w:val="00F425F3"/>
    <w:rsid w:val="00F434AF"/>
    <w:rsid w:val="00F43763"/>
    <w:rsid w:val="00F441B7"/>
    <w:rsid w:val="00F44588"/>
    <w:rsid w:val="00F45465"/>
    <w:rsid w:val="00F45483"/>
    <w:rsid w:val="00F45495"/>
    <w:rsid w:val="00F454C4"/>
    <w:rsid w:val="00F45930"/>
    <w:rsid w:val="00F45ADC"/>
    <w:rsid w:val="00F46FA3"/>
    <w:rsid w:val="00F4733E"/>
    <w:rsid w:val="00F4755A"/>
    <w:rsid w:val="00F477AF"/>
    <w:rsid w:val="00F47B42"/>
    <w:rsid w:val="00F47F8D"/>
    <w:rsid w:val="00F50043"/>
    <w:rsid w:val="00F514F9"/>
    <w:rsid w:val="00F515EC"/>
    <w:rsid w:val="00F51B18"/>
    <w:rsid w:val="00F52A59"/>
    <w:rsid w:val="00F52B30"/>
    <w:rsid w:val="00F52D8B"/>
    <w:rsid w:val="00F5300D"/>
    <w:rsid w:val="00F5337F"/>
    <w:rsid w:val="00F5340B"/>
    <w:rsid w:val="00F53749"/>
    <w:rsid w:val="00F53D62"/>
    <w:rsid w:val="00F54B05"/>
    <w:rsid w:val="00F54F7B"/>
    <w:rsid w:val="00F557C3"/>
    <w:rsid w:val="00F558DD"/>
    <w:rsid w:val="00F559D1"/>
    <w:rsid w:val="00F56081"/>
    <w:rsid w:val="00F5630D"/>
    <w:rsid w:val="00F56708"/>
    <w:rsid w:val="00F56712"/>
    <w:rsid w:val="00F56EA2"/>
    <w:rsid w:val="00F56F50"/>
    <w:rsid w:val="00F56F63"/>
    <w:rsid w:val="00F573EC"/>
    <w:rsid w:val="00F57475"/>
    <w:rsid w:val="00F57828"/>
    <w:rsid w:val="00F57AFD"/>
    <w:rsid w:val="00F57CC9"/>
    <w:rsid w:val="00F57EC4"/>
    <w:rsid w:val="00F6004D"/>
    <w:rsid w:val="00F6029F"/>
    <w:rsid w:val="00F61436"/>
    <w:rsid w:val="00F6171E"/>
    <w:rsid w:val="00F618C5"/>
    <w:rsid w:val="00F6295B"/>
    <w:rsid w:val="00F62C06"/>
    <w:rsid w:val="00F63232"/>
    <w:rsid w:val="00F6342A"/>
    <w:rsid w:val="00F63719"/>
    <w:rsid w:val="00F63B12"/>
    <w:rsid w:val="00F63C24"/>
    <w:rsid w:val="00F63DFE"/>
    <w:rsid w:val="00F641BE"/>
    <w:rsid w:val="00F649FE"/>
    <w:rsid w:val="00F64A0A"/>
    <w:rsid w:val="00F65334"/>
    <w:rsid w:val="00F653FF"/>
    <w:rsid w:val="00F65895"/>
    <w:rsid w:val="00F65B68"/>
    <w:rsid w:val="00F65BAD"/>
    <w:rsid w:val="00F65EE4"/>
    <w:rsid w:val="00F6615F"/>
    <w:rsid w:val="00F66DFC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DED"/>
    <w:rsid w:val="00F72E25"/>
    <w:rsid w:val="00F734B3"/>
    <w:rsid w:val="00F737AD"/>
    <w:rsid w:val="00F738AA"/>
    <w:rsid w:val="00F73C18"/>
    <w:rsid w:val="00F73C38"/>
    <w:rsid w:val="00F74558"/>
    <w:rsid w:val="00F745B5"/>
    <w:rsid w:val="00F7481E"/>
    <w:rsid w:val="00F748D8"/>
    <w:rsid w:val="00F7508B"/>
    <w:rsid w:val="00F750CE"/>
    <w:rsid w:val="00F753E4"/>
    <w:rsid w:val="00F7586D"/>
    <w:rsid w:val="00F762FA"/>
    <w:rsid w:val="00F76BC7"/>
    <w:rsid w:val="00F76FF4"/>
    <w:rsid w:val="00F771D5"/>
    <w:rsid w:val="00F7725C"/>
    <w:rsid w:val="00F77D60"/>
    <w:rsid w:val="00F803C0"/>
    <w:rsid w:val="00F80489"/>
    <w:rsid w:val="00F8074A"/>
    <w:rsid w:val="00F80A31"/>
    <w:rsid w:val="00F817A0"/>
    <w:rsid w:val="00F8248B"/>
    <w:rsid w:val="00F82639"/>
    <w:rsid w:val="00F82A8E"/>
    <w:rsid w:val="00F82E95"/>
    <w:rsid w:val="00F83035"/>
    <w:rsid w:val="00F83456"/>
    <w:rsid w:val="00F8346F"/>
    <w:rsid w:val="00F83628"/>
    <w:rsid w:val="00F83875"/>
    <w:rsid w:val="00F83AB1"/>
    <w:rsid w:val="00F83AF8"/>
    <w:rsid w:val="00F83D7F"/>
    <w:rsid w:val="00F83EA5"/>
    <w:rsid w:val="00F843D3"/>
    <w:rsid w:val="00F84594"/>
    <w:rsid w:val="00F847A5"/>
    <w:rsid w:val="00F84D77"/>
    <w:rsid w:val="00F84DAF"/>
    <w:rsid w:val="00F85F0C"/>
    <w:rsid w:val="00F8640F"/>
    <w:rsid w:val="00F8664B"/>
    <w:rsid w:val="00F866AD"/>
    <w:rsid w:val="00F86860"/>
    <w:rsid w:val="00F87171"/>
    <w:rsid w:val="00F87DAF"/>
    <w:rsid w:val="00F87E05"/>
    <w:rsid w:val="00F91080"/>
    <w:rsid w:val="00F9163A"/>
    <w:rsid w:val="00F9172B"/>
    <w:rsid w:val="00F91DCC"/>
    <w:rsid w:val="00F929C3"/>
    <w:rsid w:val="00F929CD"/>
    <w:rsid w:val="00F92D19"/>
    <w:rsid w:val="00F930B6"/>
    <w:rsid w:val="00F936A7"/>
    <w:rsid w:val="00F9384D"/>
    <w:rsid w:val="00F93FBF"/>
    <w:rsid w:val="00F9438F"/>
    <w:rsid w:val="00F94A2A"/>
    <w:rsid w:val="00F956E6"/>
    <w:rsid w:val="00F95924"/>
    <w:rsid w:val="00F9594A"/>
    <w:rsid w:val="00F95DEB"/>
    <w:rsid w:val="00F9624F"/>
    <w:rsid w:val="00F96407"/>
    <w:rsid w:val="00F966DF"/>
    <w:rsid w:val="00F967F8"/>
    <w:rsid w:val="00F96874"/>
    <w:rsid w:val="00F968E7"/>
    <w:rsid w:val="00F9704E"/>
    <w:rsid w:val="00F97721"/>
    <w:rsid w:val="00F97CD4"/>
    <w:rsid w:val="00FA023A"/>
    <w:rsid w:val="00FA0B9C"/>
    <w:rsid w:val="00FA0DE0"/>
    <w:rsid w:val="00FA134F"/>
    <w:rsid w:val="00FA15FD"/>
    <w:rsid w:val="00FA2068"/>
    <w:rsid w:val="00FA2A3C"/>
    <w:rsid w:val="00FA34D5"/>
    <w:rsid w:val="00FA37D5"/>
    <w:rsid w:val="00FA3896"/>
    <w:rsid w:val="00FA3D16"/>
    <w:rsid w:val="00FA4994"/>
    <w:rsid w:val="00FA5199"/>
    <w:rsid w:val="00FA59F5"/>
    <w:rsid w:val="00FA5A27"/>
    <w:rsid w:val="00FA5E16"/>
    <w:rsid w:val="00FA5E8A"/>
    <w:rsid w:val="00FA6BB1"/>
    <w:rsid w:val="00FA6FD7"/>
    <w:rsid w:val="00FA7217"/>
    <w:rsid w:val="00FA7508"/>
    <w:rsid w:val="00FA7EDB"/>
    <w:rsid w:val="00FB0048"/>
    <w:rsid w:val="00FB0072"/>
    <w:rsid w:val="00FB0E34"/>
    <w:rsid w:val="00FB0EAF"/>
    <w:rsid w:val="00FB1CBB"/>
    <w:rsid w:val="00FB2B1A"/>
    <w:rsid w:val="00FB2C78"/>
    <w:rsid w:val="00FB2DE2"/>
    <w:rsid w:val="00FB3045"/>
    <w:rsid w:val="00FB3293"/>
    <w:rsid w:val="00FB3AD9"/>
    <w:rsid w:val="00FB4389"/>
    <w:rsid w:val="00FB46D1"/>
    <w:rsid w:val="00FB46D4"/>
    <w:rsid w:val="00FB50FD"/>
    <w:rsid w:val="00FB524C"/>
    <w:rsid w:val="00FB52D9"/>
    <w:rsid w:val="00FB5316"/>
    <w:rsid w:val="00FB57B9"/>
    <w:rsid w:val="00FB59EA"/>
    <w:rsid w:val="00FB61AB"/>
    <w:rsid w:val="00FB633A"/>
    <w:rsid w:val="00FB6B8B"/>
    <w:rsid w:val="00FB6C55"/>
    <w:rsid w:val="00FB706D"/>
    <w:rsid w:val="00FB70B5"/>
    <w:rsid w:val="00FB74D5"/>
    <w:rsid w:val="00FB7993"/>
    <w:rsid w:val="00FB79EC"/>
    <w:rsid w:val="00FC0850"/>
    <w:rsid w:val="00FC0F42"/>
    <w:rsid w:val="00FC1A80"/>
    <w:rsid w:val="00FC1D0C"/>
    <w:rsid w:val="00FC2A8F"/>
    <w:rsid w:val="00FC3394"/>
    <w:rsid w:val="00FC3C00"/>
    <w:rsid w:val="00FC3EDF"/>
    <w:rsid w:val="00FC3EF0"/>
    <w:rsid w:val="00FC428A"/>
    <w:rsid w:val="00FC4453"/>
    <w:rsid w:val="00FC487A"/>
    <w:rsid w:val="00FC4981"/>
    <w:rsid w:val="00FC64E1"/>
    <w:rsid w:val="00FC6653"/>
    <w:rsid w:val="00FC74BF"/>
    <w:rsid w:val="00FC7678"/>
    <w:rsid w:val="00FD008B"/>
    <w:rsid w:val="00FD0A8C"/>
    <w:rsid w:val="00FD0C3C"/>
    <w:rsid w:val="00FD0CCF"/>
    <w:rsid w:val="00FD0E12"/>
    <w:rsid w:val="00FD0EE9"/>
    <w:rsid w:val="00FD0FB0"/>
    <w:rsid w:val="00FD0FE1"/>
    <w:rsid w:val="00FD140C"/>
    <w:rsid w:val="00FD145C"/>
    <w:rsid w:val="00FD1762"/>
    <w:rsid w:val="00FD1F85"/>
    <w:rsid w:val="00FD215A"/>
    <w:rsid w:val="00FD253E"/>
    <w:rsid w:val="00FD2665"/>
    <w:rsid w:val="00FD27CF"/>
    <w:rsid w:val="00FD2A53"/>
    <w:rsid w:val="00FD2A55"/>
    <w:rsid w:val="00FD2E1D"/>
    <w:rsid w:val="00FD3575"/>
    <w:rsid w:val="00FD39BE"/>
    <w:rsid w:val="00FD3A80"/>
    <w:rsid w:val="00FD3D98"/>
    <w:rsid w:val="00FD40D8"/>
    <w:rsid w:val="00FD447D"/>
    <w:rsid w:val="00FD44A4"/>
    <w:rsid w:val="00FD461F"/>
    <w:rsid w:val="00FD50A4"/>
    <w:rsid w:val="00FD520B"/>
    <w:rsid w:val="00FD5B60"/>
    <w:rsid w:val="00FD5F3A"/>
    <w:rsid w:val="00FD6D5F"/>
    <w:rsid w:val="00FD7198"/>
    <w:rsid w:val="00FD74A7"/>
    <w:rsid w:val="00FD7A1C"/>
    <w:rsid w:val="00FE015D"/>
    <w:rsid w:val="00FE08FD"/>
    <w:rsid w:val="00FE0E7A"/>
    <w:rsid w:val="00FE1009"/>
    <w:rsid w:val="00FE12A2"/>
    <w:rsid w:val="00FE190B"/>
    <w:rsid w:val="00FE218F"/>
    <w:rsid w:val="00FE232F"/>
    <w:rsid w:val="00FE2AC2"/>
    <w:rsid w:val="00FE2DDD"/>
    <w:rsid w:val="00FE3640"/>
    <w:rsid w:val="00FE3919"/>
    <w:rsid w:val="00FE3BC3"/>
    <w:rsid w:val="00FE3C3F"/>
    <w:rsid w:val="00FE3D8E"/>
    <w:rsid w:val="00FE3E91"/>
    <w:rsid w:val="00FE3F3A"/>
    <w:rsid w:val="00FE4629"/>
    <w:rsid w:val="00FE490F"/>
    <w:rsid w:val="00FE584F"/>
    <w:rsid w:val="00FE585E"/>
    <w:rsid w:val="00FE5861"/>
    <w:rsid w:val="00FE5E84"/>
    <w:rsid w:val="00FE5F1E"/>
    <w:rsid w:val="00FE6142"/>
    <w:rsid w:val="00FE62BA"/>
    <w:rsid w:val="00FE6954"/>
    <w:rsid w:val="00FE6A6E"/>
    <w:rsid w:val="00FE6B87"/>
    <w:rsid w:val="00FE7044"/>
    <w:rsid w:val="00FF0182"/>
    <w:rsid w:val="00FF0634"/>
    <w:rsid w:val="00FF12AA"/>
    <w:rsid w:val="00FF19ED"/>
    <w:rsid w:val="00FF2154"/>
    <w:rsid w:val="00FF239F"/>
    <w:rsid w:val="00FF2716"/>
    <w:rsid w:val="00FF311A"/>
    <w:rsid w:val="00FF32F9"/>
    <w:rsid w:val="00FF340F"/>
    <w:rsid w:val="00FF344D"/>
    <w:rsid w:val="00FF38FB"/>
    <w:rsid w:val="00FF3964"/>
    <w:rsid w:val="00FF4036"/>
    <w:rsid w:val="00FF554B"/>
    <w:rsid w:val="00FF5DE6"/>
    <w:rsid w:val="00FF5FF2"/>
    <w:rsid w:val="00FF6EB6"/>
    <w:rsid w:val="00FF756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0CE2729"/>
  <w15:docId w15:val="{FEB3AFAE-96A7-4B91-A513-52105C4D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iPriority w:val="99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uiPriority w:val="99"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aliases w:val=" Char Char,Char Char,ft"/>
    <w:basedOn w:val="Normln"/>
    <w:uiPriority w:val="99"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aliases w:val=" Char Char Char,Char Char Char,ft Char"/>
    <w:basedOn w:val="Standardnpsmoodstavce"/>
    <w:uiPriority w:val="99"/>
    <w:rsid w:val="00074A01"/>
  </w:style>
  <w:style w:type="character" w:styleId="Znakapoznpodarou">
    <w:name w:val="footnote reference"/>
    <w:aliases w:val="Footnote,Footnote call,12 b.,PGI Fußnote Ziffer,PGI Fußnote Ziffer + Times New Roman,Zúžené o ..."/>
    <w:basedOn w:val="Standardnpsmoodstavce"/>
    <w:uiPriority w:val="99"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803A70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  <w:style w:type="table" w:customStyle="1" w:styleId="Mkatabulky10">
    <w:name w:val="Mřížka tabulky10"/>
    <w:basedOn w:val="Normlntabulka"/>
    <w:next w:val="Mkatabulky"/>
    <w:uiPriority w:val="59"/>
    <w:rsid w:val="003A2E8D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7A253E"/>
    <w:rPr>
      <w:rFonts w:ascii="Arial" w:eastAsia="Calibri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E67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3163D4"/>
  </w:style>
  <w:style w:type="paragraph" w:styleId="Normlnweb">
    <w:name w:val="Normal (Web)"/>
    <w:basedOn w:val="Normln"/>
    <w:uiPriority w:val="99"/>
    <w:semiHidden/>
    <w:unhideWhenUsed/>
    <w:rsid w:val="003163D4"/>
    <w:pPr>
      <w:spacing w:before="100" w:beforeAutospacing="1" w:after="100" w:afterAutospacing="1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3163D4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67B9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67B99"/>
    <w:rPr>
      <w:rFonts w:ascii="Arial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667B99"/>
    <w:rPr>
      <w:vertAlign w:val="superscript"/>
    </w:rPr>
  </w:style>
  <w:style w:type="character" w:customStyle="1" w:styleId="A0">
    <w:name w:val="A0"/>
    <w:uiPriority w:val="99"/>
    <w:rsid w:val="00AD28AE"/>
    <w:rPr>
      <w:rFonts w:cs="Myriad Pro"/>
      <w:b/>
      <w:bCs/>
      <w:color w:val="000000"/>
      <w:sz w:val="26"/>
      <w:szCs w:val="26"/>
    </w:rPr>
  </w:style>
  <w:style w:type="character" w:customStyle="1" w:styleId="A2">
    <w:name w:val="A2"/>
    <w:uiPriority w:val="99"/>
    <w:rsid w:val="00AD28AE"/>
    <w:rPr>
      <w:rFonts w:cs="Myriad Pro"/>
      <w:b/>
      <w:bCs/>
      <w:color w:val="000000"/>
      <w:sz w:val="44"/>
      <w:szCs w:val="44"/>
    </w:rPr>
  </w:style>
  <w:style w:type="character" w:customStyle="1" w:styleId="st1">
    <w:name w:val="st1"/>
    <w:basedOn w:val="Standardnpsmoodstavce"/>
    <w:rsid w:val="009858DF"/>
  </w:style>
  <w:style w:type="character" w:customStyle="1" w:styleId="OdstavecseseznamemChar">
    <w:name w:val="Odstavec se seznamem Char"/>
    <w:link w:val="Odstavecseseznamem"/>
    <w:uiPriority w:val="34"/>
    <w:rsid w:val="00310230"/>
    <w:rPr>
      <w:rFonts w:ascii="Arial" w:hAnsi="Arial"/>
      <w:sz w:val="24"/>
      <w:szCs w:val="24"/>
    </w:rPr>
  </w:style>
  <w:style w:type="paragraph" w:styleId="Bezmezer">
    <w:name w:val="No Spacing"/>
    <w:uiPriority w:val="1"/>
    <w:qFormat/>
    <w:rsid w:val="00BB3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3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1347A-F5E8-4EAA-9ACC-BF9749B23F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228B4-BA39-49C6-B50E-51DA7CF18AF6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3FF9C3-D13A-47EF-BA63-F61B707A4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57C064-83CB-4D16-8750-E176311A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863780D9.dotm</Template>
  <TotalTime>5</TotalTime>
  <Pages>15</Pages>
  <Words>5236</Words>
  <Characters>30893</Characters>
  <Application>Microsoft Office Word</Application>
  <DocSecurity>0</DocSecurity>
  <Lines>257</Lines>
  <Paragraphs>72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Kontrolní závěr z kontrolní akce NKÚ č. 15/27 - Peněžní prostředky státu určené na účelovou podporu výzkumu a vývoje prostřednictvím rozpočtové kapitoly Technologická agentura České republiky</vt:lpstr>
      <vt:lpstr> </vt:lpstr>
    </vt:vector>
  </TitlesOfParts>
  <Company>Nejvyšší kontrolní úřad</Company>
  <LinksUpToDate>false</LinksUpToDate>
  <CharactersWithSpaces>36057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16/31 - Rozvoj a obnova materiálně technické základny veřejných vysokých škol</dc:title>
  <dc:creator>Nejvyšší kontrolní úřad</dc:creator>
  <dc:description/>
  <cp:lastModifiedBy>KOKRDA Daniel</cp:lastModifiedBy>
  <cp:revision>4</cp:revision>
  <cp:lastPrinted>2017-08-07T08:05:00Z</cp:lastPrinted>
  <dcterms:created xsi:type="dcterms:W3CDTF">2017-07-28T12:45:00Z</dcterms:created>
  <dcterms:modified xsi:type="dcterms:W3CDTF">2017-08-07T08:06:00Z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15/27-NKU30/403/16</vt:lpwstr>
  </property>
  <property fmtid="{D5CDD505-2E9C-101B-9397-08002B2CF9AE}" pid="3" name="SZ_Spis_Pisemnost">
    <vt:lpwstr>15/27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*B000263723*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16-5943/NKU</vt:lpwstr>
  </property>
  <property fmtid="{D5CDD505-2E9C-101B-9397-08002B2CF9AE}" pid="9" name="Odkaz">
    <vt:lpwstr>ODKAZ</vt:lpwstr>
  </property>
  <property fmtid="{D5CDD505-2E9C-101B-9397-08002B2CF9AE}" pid="10" name="SkartacniZnakLhuta_PisemnostZnak">
    <vt:lpwstr>?/?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  <property fmtid="{D5CDD505-2E9C-101B-9397-08002B2CF9AE}" pid="13" name="Contact_PostaOdes_All">
    <vt:lpwstr>ROZDĚLOVNÍK...</vt:lpwstr>
  </property>
  <property fmtid="{D5CDD505-2E9C-101B-9397-08002B2CF9AE}" pid="14" name="UserName_PisemnostTypZpristupneniInformaciZOSZ_Pisemnost">
    <vt:lpwstr>ZOSZ_UserName</vt:lpwstr>
  </property>
  <property fmtid="{D5CDD505-2E9C-101B-9397-08002B2CF9AE}" pid="15" name="Password_PisemnostTypZpristupneniInformaciZOSZ_Pisemnost">
    <vt:lpwstr>ZOSZ_Password</vt:lpwstr>
  </property>
  <property fmtid="{D5CDD505-2E9C-101B-9397-08002B2CF9AE}" pid="16" name="DatumPlatnosti_PisemnostTypZpristupneniInformaciZOSZ_Pisemnost">
    <vt:lpwstr>ZOSZ_DatumPlatnosti</vt:lpwstr>
  </property>
  <property fmtid="{D5CDD505-2E9C-101B-9397-08002B2CF9AE}" pid="17" name="TEST">
    <vt:lpwstr>testovací pole</vt:lpwstr>
  </property>
  <property fmtid="{D5CDD505-2E9C-101B-9397-08002B2CF9AE}" pid="18" name="PocetListu_Pisemnost">
    <vt:lpwstr>1</vt:lpwstr>
  </property>
  <property fmtid="{D5CDD505-2E9C-101B-9397-08002B2CF9AE}" pid="19" name="Vec_Pisemnost">
    <vt:lpwstr>Návrh kontrolního závěru z KA č. 15/27 do připomínek. Termín pro předložení připomínek je 29. 4. 2016.</vt:lpwstr>
  </property>
  <property fmtid="{D5CDD505-2E9C-101B-9397-08002B2CF9AE}" pid="20" name="DatumPoriz_Pisemnost">
    <vt:lpwstr>20.4.2016</vt:lpwstr>
  </property>
  <property fmtid="{D5CDD505-2E9C-101B-9397-08002B2CF9AE}" pid="21" name="KRukam">
    <vt:lpwstr>{KRukam}</vt:lpwstr>
  </property>
  <property fmtid="{D5CDD505-2E9C-101B-9397-08002B2CF9AE}" pid="22" name="PocetListuDokumentu_Pisemnost">
    <vt:lpwstr>1</vt:lpwstr>
  </property>
  <property fmtid="{D5CDD505-2E9C-101B-9397-08002B2CF9AE}" pid="23" name="PocetPriloh_Pisemnost">
    <vt:lpwstr>0</vt:lpwstr>
  </property>
  <property fmtid="{D5CDD505-2E9C-101B-9397-08002B2CF9AE}" pid="24" name="TypPrilohy_Pisemnost">
    <vt:lpwstr>TYP PŘÍLOHY</vt:lpwstr>
  </property>
  <property fmtid="{D5CDD505-2E9C-101B-9397-08002B2CF9AE}" pid="25" name="DisplayName_UserPoriz_Pisemnost">
    <vt:lpwstr>Bc. Jana Pokorná</vt:lpwstr>
  </property>
  <property fmtid="{D5CDD505-2E9C-101B-9397-08002B2CF9AE}" pid="26" name="Podpis">
    <vt:lpwstr/>
  </property>
  <property fmtid="{D5CDD505-2E9C-101B-9397-08002B2CF9AE}" pid="27" name="SmlouvaCislo">
    <vt:lpwstr>ČÍSLO SMLOUVY</vt:lpwstr>
  </property>
</Properties>
</file>