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4F158" w14:textId="221B05B6" w:rsidR="00A4595A" w:rsidRDefault="00ED4646" w:rsidP="00A4595A">
      <w:pPr>
        <w:spacing w:before="0"/>
        <w:jc w:val="center"/>
      </w:pPr>
      <w:r w:rsidRPr="00316C69"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5680" behindDoc="0" locked="0" layoutInCell="1" allowOverlap="1" wp14:anchorId="6FD7654C" wp14:editId="335BBEFA">
            <wp:simplePos x="0" y="0"/>
            <wp:positionH relativeFrom="column">
              <wp:posOffset>2486660</wp:posOffset>
            </wp:positionH>
            <wp:positionV relativeFrom="paragraph">
              <wp:posOffset>1601</wp:posOffset>
            </wp:positionV>
            <wp:extent cx="786765" cy="56070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4B73BE" w14:textId="77777777" w:rsidR="00A4595A" w:rsidRDefault="00A4595A" w:rsidP="00A4595A">
      <w:pPr>
        <w:spacing w:before="0"/>
        <w:jc w:val="center"/>
      </w:pPr>
    </w:p>
    <w:p w14:paraId="126B18C3" w14:textId="77777777" w:rsidR="00A4595A" w:rsidRDefault="00A4595A" w:rsidP="00A4595A">
      <w:pPr>
        <w:spacing w:before="0"/>
        <w:jc w:val="center"/>
      </w:pPr>
    </w:p>
    <w:p w14:paraId="3B3360EE" w14:textId="77777777" w:rsidR="00ED4646" w:rsidRDefault="00ED4646" w:rsidP="00A4595A">
      <w:pPr>
        <w:pStyle w:val="Nzev"/>
        <w:spacing w:before="0"/>
      </w:pPr>
      <w:bookmarkStart w:id="0" w:name="_GoBack"/>
      <w:r>
        <w:t>Kontrolní závěr z kontrolní akce</w:t>
      </w:r>
    </w:p>
    <w:p w14:paraId="22A7D7E6" w14:textId="77777777" w:rsidR="00A4595A" w:rsidRDefault="00A4595A" w:rsidP="00A4595A">
      <w:pPr>
        <w:spacing w:before="0"/>
        <w:jc w:val="center"/>
      </w:pPr>
    </w:p>
    <w:p w14:paraId="3B3360F0" w14:textId="15CA91EE" w:rsidR="00ED4646" w:rsidRDefault="00342AAE" w:rsidP="00A4595A">
      <w:pPr>
        <w:pStyle w:val="Nzev"/>
        <w:spacing w:before="0"/>
      </w:pPr>
      <w:r>
        <w:t>16/11</w:t>
      </w:r>
    </w:p>
    <w:p w14:paraId="1C1260EF" w14:textId="77777777" w:rsidR="00A4595A" w:rsidRDefault="00A4595A" w:rsidP="00A4595A">
      <w:pPr>
        <w:spacing w:before="0"/>
        <w:jc w:val="center"/>
      </w:pPr>
    </w:p>
    <w:p w14:paraId="3B3360F3" w14:textId="01D1A90E" w:rsidR="00ED4646" w:rsidRDefault="00342AAE" w:rsidP="00A4595A">
      <w:pPr>
        <w:pStyle w:val="Nzev"/>
        <w:spacing w:before="0"/>
      </w:pPr>
      <w:r>
        <w:t>Peněžní prostředky státu určené na vytváření rovných příležitostí pro osoby se zdravotním postižením</w:t>
      </w:r>
    </w:p>
    <w:bookmarkEnd w:id="0"/>
    <w:p w14:paraId="081D6427" w14:textId="77777777" w:rsidR="00A4595A" w:rsidRDefault="00A4595A" w:rsidP="00A4595A">
      <w:pPr>
        <w:spacing w:before="0"/>
      </w:pPr>
    </w:p>
    <w:p w14:paraId="3B3360F4" w14:textId="77777777" w:rsidR="00ED4646" w:rsidRDefault="00ED4646" w:rsidP="00A4595A">
      <w:pPr>
        <w:spacing w:before="0"/>
      </w:pPr>
    </w:p>
    <w:p w14:paraId="3B3360F5" w14:textId="5AD439DA" w:rsidR="00ED4646" w:rsidRDefault="00ED4646" w:rsidP="00A4595A">
      <w:pPr>
        <w:spacing w:before="0"/>
      </w:pPr>
      <w:r>
        <w:t>Kontrolní akce byla zařazena do plánu kontrolní činnosti Nejvyššího kontrolního úřadu (dále jen „NKÚ“) na rok 201</w:t>
      </w:r>
      <w:r w:rsidR="00342AAE">
        <w:t>6</w:t>
      </w:r>
      <w:r>
        <w:t xml:space="preserve"> pod číslem </w:t>
      </w:r>
      <w:r w:rsidR="00342AAE">
        <w:t>16/11</w:t>
      </w:r>
      <w:r>
        <w:t>. Kontrolní akci řídil</w:t>
      </w:r>
      <w:r w:rsidR="00342AAE">
        <w:t>a</w:t>
      </w:r>
      <w:r>
        <w:t xml:space="preserve"> a kontrolní závěr vypracoval</w:t>
      </w:r>
      <w:r w:rsidR="00342AAE">
        <w:t>a</w:t>
      </w:r>
      <w:r>
        <w:t xml:space="preserve"> člen</w:t>
      </w:r>
      <w:r w:rsidR="00342AAE">
        <w:t>ka</w:t>
      </w:r>
      <w:r>
        <w:t xml:space="preserve"> NKÚ Ing. </w:t>
      </w:r>
      <w:r w:rsidR="00342AAE">
        <w:t>Hana Hykšová</w:t>
      </w:r>
      <w:r>
        <w:t xml:space="preserve">. </w:t>
      </w:r>
    </w:p>
    <w:p w14:paraId="6A97EFE7" w14:textId="77777777" w:rsidR="00A4595A" w:rsidRDefault="00A4595A" w:rsidP="00A4595A">
      <w:pPr>
        <w:spacing w:before="0"/>
      </w:pPr>
    </w:p>
    <w:p w14:paraId="3B3360F6" w14:textId="61BC762B" w:rsidR="00086993" w:rsidRDefault="00ED4646" w:rsidP="00A4595A">
      <w:pPr>
        <w:spacing w:before="0"/>
      </w:pPr>
      <w:r>
        <w:t xml:space="preserve">Cílem kontroly bylo prověřit </w:t>
      </w:r>
      <w:r w:rsidR="00755A3A" w:rsidRPr="00755A3A">
        <w:rPr>
          <w:shd w:val="clear" w:color="auto" w:fill="FFFFFF" w:themeFill="background1"/>
        </w:rPr>
        <w:t>systém</w:t>
      </w:r>
      <w:r w:rsidR="00157EDC">
        <w:t xml:space="preserve"> </w:t>
      </w:r>
      <w:r w:rsidR="00755A3A">
        <w:t>podpory zaměstnávání osob se zdravotním po</w:t>
      </w:r>
      <w:r w:rsidR="00E254B3">
        <w:t>stižením a </w:t>
      </w:r>
      <w:r w:rsidR="00755A3A">
        <w:t xml:space="preserve">plnění </w:t>
      </w:r>
      <w:r w:rsidR="00755A3A" w:rsidRPr="006E23B1">
        <w:rPr>
          <w:i/>
        </w:rPr>
        <w:t>Národního plánu vytváření rovných příležitostí pro osoby se zdrav</w:t>
      </w:r>
      <w:r w:rsidR="00E254B3" w:rsidRPr="006E23B1">
        <w:rPr>
          <w:i/>
        </w:rPr>
        <w:t>otním postižením na období 2010–</w:t>
      </w:r>
      <w:r w:rsidR="00755A3A" w:rsidRPr="006E23B1">
        <w:rPr>
          <w:i/>
        </w:rPr>
        <w:t>2014</w:t>
      </w:r>
      <w:r w:rsidR="00755A3A">
        <w:t>.</w:t>
      </w:r>
    </w:p>
    <w:p w14:paraId="61DB528C" w14:textId="77777777" w:rsidR="00A4595A" w:rsidRDefault="00A4595A" w:rsidP="00A4595A">
      <w:pPr>
        <w:spacing w:before="0"/>
      </w:pPr>
    </w:p>
    <w:p w14:paraId="3B3360F7" w14:textId="38975FC5" w:rsidR="00ED4646" w:rsidRDefault="007E2430" w:rsidP="00A4595A">
      <w:pPr>
        <w:spacing w:before="0"/>
      </w:pPr>
      <w:r>
        <w:t>Kontrolováno bylo období</w:t>
      </w:r>
      <w:r w:rsidR="007B3F47">
        <w:t xml:space="preserve"> let</w:t>
      </w:r>
      <w:r w:rsidR="00ED4646">
        <w:t xml:space="preserve"> 201</w:t>
      </w:r>
      <w:r w:rsidR="00342AAE">
        <w:t>0</w:t>
      </w:r>
      <w:r w:rsidR="00ED4646">
        <w:t xml:space="preserve"> až 2015</w:t>
      </w:r>
      <w:r w:rsidR="00342AAE">
        <w:t xml:space="preserve"> u Ministerstva práce a sociálních věcí a </w:t>
      </w:r>
      <w:r w:rsidR="007B3F47">
        <w:t>období let</w:t>
      </w:r>
      <w:r w:rsidR="00342AAE">
        <w:t xml:space="preserve"> 2012 až 2015 u Úřadu práce </w:t>
      </w:r>
      <w:r w:rsidR="00342AAE" w:rsidRPr="0029459B">
        <w:t xml:space="preserve">České republiky a u </w:t>
      </w:r>
      <w:r w:rsidR="00755A3A" w:rsidRPr="0029459B">
        <w:t xml:space="preserve">vybraných </w:t>
      </w:r>
      <w:r w:rsidR="00342AAE" w:rsidRPr="0029459B">
        <w:t>příjemců</w:t>
      </w:r>
      <w:r w:rsidR="00A91A83" w:rsidRPr="0029459B">
        <w:t xml:space="preserve"> veřejné finanční podpory (dále jen „příjemci“)</w:t>
      </w:r>
      <w:r w:rsidR="00ED4646" w:rsidRPr="0029459B">
        <w:t>, v případě věcných souvislostí i</w:t>
      </w:r>
      <w:r w:rsidR="00755A3A" w:rsidRPr="0029459B">
        <w:rPr>
          <w:rFonts w:ascii="Calibri" w:hAnsi="Calibri" w:cs="Calibri"/>
        </w:rPr>
        <w:t xml:space="preserve"> předchozí období a období následující.</w:t>
      </w:r>
      <w:r w:rsidR="00ED4646" w:rsidRPr="0029459B">
        <w:t xml:space="preserve"> </w:t>
      </w:r>
      <w:r w:rsidR="00755A3A" w:rsidRPr="0029459B">
        <w:t xml:space="preserve">Kontrola byla prováděna </w:t>
      </w:r>
      <w:r w:rsidR="00E254B3" w:rsidRPr="0029459B">
        <w:t>u </w:t>
      </w:r>
      <w:r w:rsidRPr="0029459B">
        <w:t xml:space="preserve">kontrolovaných osob </w:t>
      </w:r>
      <w:r w:rsidR="00755A3A" w:rsidRPr="0029459B">
        <w:t>v období od března do září 2016.</w:t>
      </w:r>
    </w:p>
    <w:p w14:paraId="35FAB8B3" w14:textId="77777777" w:rsidR="00A4595A" w:rsidRDefault="00A4595A" w:rsidP="00A4595A">
      <w:pPr>
        <w:spacing w:before="0"/>
      </w:pPr>
    </w:p>
    <w:p w14:paraId="0D343109" w14:textId="77777777" w:rsidR="00641588" w:rsidRPr="0029459B" w:rsidRDefault="00641588" w:rsidP="00A4595A">
      <w:pPr>
        <w:spacing w:before="0"/>
      </w:pPr>
    </w:p>
    <w:p w14:paraId="3B3360F8" w14:textId="79111F02" w:rsidR="00ED4646" w:rsidRPr="0029459B" w:rsidRDefault="00342AAE" w:rsidP="00641588">
      <w:pPr>
        <w:spacing w:before="0" w:after="120"/>
        <w:rPr>
          <w:b/>
        </w:rPr>
      </w:pPr>
      <w:r w:rsidRPr="0029459B">
        <w:rPr>
          <w:b/>
        </w:rPr>
        <w:t>Kontrolované osoby</w:t>
      </w:r>
      <w:r w:rsidR="00ED4646" w:rsidRPr="0029459B">
        <w:rPr>
          <w:b/>
        </w:rPr>
        <w:t xml:space="preserve">: </w:t>
      </w:r>
    </w:p>
    <w:p w14:paraId="1FF031B4" w14:textId="77777777" w:rsidR="006E23B1" w:rsidRDefault="00342AAE" w:rsidP="00A4595A">
      <w:pPr>
        <w:spacing w:before="0"/>
      </w:pPr>
      <w:r w:rsidRPr="0029459B">
        <w:t>Ministerstvo práce a sociálních věcí</w:t>
      </w:r>
      <w:r w:rsidR="00AF1D5C" w:rsidRPr="0029459B">
        <w:t xml:space="preserve"> (dále také „MPSV“)</w:t>
      </w:r>
      <w:r w:rsidRPr="0029459B">
        <w:t>;</w:t>
      </w:r>
      <w:r w:rsidR="006E23B1">
        <w:t xml:space="preserve"> </w:t>
      </w:r>
    </w:p>
    <w:p w14:paraId="65090B3B" w14:textId="5CAF7F7C" w:rsidR="00AF1D5C" w:rsidRPr="0029459B" w:rsidRDefault="00342AAE" w:rsidP="006E23B1">
      <w:pPr>
        <w:spacing w:before="0" w:after="120"/>
      </w:pPr>
      <w:r w:rsidRPr="0029459B">
        <w:t xml:space="preserve">Úřad práce </w:t>
      </w:r>
      <w:r w:rsidR="00AF1D5C" w:rsidRPr="0029459B">
        <w:t>České republiky</w:t>
      </w:r>
      <w:r w:rsidR="001F6ED0" w:rsidRPr="0029459B">
        <w:t>, Praha</w:t>
      </w:r>
      <w:r w:rsidR="00AF1D5C" w:rsidRPr="0029459B">
        <w:t xml:space="preserve"> (dále také „ÚP ČR“);</w:t>
      </w:r>
    </w:p>
    <w:p w14:paraId="3B3360F9" w14:textId="53BAA19F" w:rsidR="00ED4646" w:rsidRPr="0029459B" w:rsidRDefault="00A17B53" w:rsidP="00A4595A">
      <w:pPr>
        <w:spacing w:before="0"/>
      </w:pPr>
      <w:r w:rsidRPr="0029459B">
        <w:t xml:space="preserve">vybraní příjemci: </w:t>
      </w:r>
      <w:r w:rsidRPr="0029459B">
        <w:rPr>
          <w:rFonts w:cstheme="minorHAnsi"/>
        </w:rPr>
        <w:t xml:space="preserve">AB plus CZ s.r.o., Za elektrárnou 419/1, Praha; Centrum MARTIN o.p.s., Chelčického 911/2, Praha; </w:t>
      </w:r>
      <w:r w:rsidRPr="0029459B">
        <w:rPr>
          <w:color w:val="000000"/>
        </w:rPr>
        <w:t>Randi Group s.r.o.,</w:t>
      </w:r>
      <w:r w:rsidR="000439F3">
        <w:rPr>
          <w:color w:val="000000"/>
        </w:rPr>
        <w:t xml:space="preserve"> </w:t>
      </w:r>
      <w:r w:rsidRPr="0029459B">
        <w:rPr>
          <w:color w:val="000000"/>
        </w:rPr>
        <w:t xml:space="preserve">Praha; </w:t>
      </w:r>
      <w:r w:rsidRPr="0029459B">
        <w:rPr>
          <w:rFonts w:cstheme="minorHAnsi"/>
        </w:rPr>
        <w:t xml:space="preserve">FEHAS group, s.r.o., Dělnická 6, Most; Jan Zykmund, Pražská 2986/2, Teplice; </w:t>
      </w:r>
      <w:r w:rsidRPr="0029459B">
        <w:t>Ing. Vladimír Matoušek,</w:t>
      </w:r>
      <w:r w:rsidR="000439F3">
        <w:t xml:space="preserve"> </w:t>
      </w:r>
      <w:r w:rsidRPr="0029459B">
        <w:t xml:space="preserve">Heroutova 1736/36, Česká Lípa; Gabriela Žehová, Horní Libchava č. popis. 261; DH Liberec, o.p.s., Liberec; STYL PLZEŇ, výrobní družstvo, Plzeň; META Plzeň s.r.o., Plzeň; OBZOR, výrobní družstvo, Plzeň; AVÍZO s.r.o., Zliv; Služba, výrobní družstvo, České Budějovice; VEŘEJNÉ SLUŽBY PÍSEK s.r.o., Písek; FOKUS Vysočina, Havlíčkův Brod; </w:t>
      </w:r>
      <w:r w:rsidRPr="0029459B">
        <w:rPr>
          <w:color w:val="000000"/>
        </w:rPr>
        <w:t xml:space="preserve">Chráněné dílny Fokus Vysočina, s.r.o., Havlíčkův Brod; </w:t>
      </w:r>
      <w:r w:rsidRPr="0029459B">
        <w:t>ALTREVA-services s.r.o., Třebíč; Jana Voháňková, Břevnice č. popis. 47; FORCORP GROUP spol. s r.o., Olomouc; Perfect Distribution a.s., Prostějov; RAUDO – výrobní družstvo invalidů, Šumperk.</w:t>
      </w:r>
    </w:p>
    <w:p w14:paraId="3B3360FA" w14:textId="2649E1D7" w:rsidR="00641588" w:rsidRDefault="00641588">
      <w:pPr>
        <w:spacing w:before="0" w:after="200" w:line="276" w:lineRule="auto"/>
        <w:jc w:val="left"/>
      </w:pPr>
      <w:r>
        <w:br w:type="page"/>
      </w:r>
    </w:p>
    <w:p w14:paraId="3B3360FB" w14:textId="29F409A9" w:rsidR="00ED4646" w:rsidRDefault="00ED4646" w:rsidP="00A4595A">
      <w:pPr>
        <w:shd w:val="clear" w:color="auto" w:fill="FFFFFF" w:themeFill="background1"/>
        <w:spacing w:before="0"/>
      </w:pPr>
      <w:r w:rsidRPr="0029459B">
        <w:rPr>
          <w:shd w:val="clear" w:color="auto" w:fill="FFFFFF" w:themeFill="background1"/>
        </w:rPr>
        <w:lastRenderedPageBreak/>
        <w:t>Námitky proti kontrolnímu protokolu, které podal</w:t>
      </w:r>
      <w:r w:rsidR="00706C0F" w:rsidRPr="0029459B">
        <w:rPr>
          <w:shd w:val="clear" w:color="auto" w:fill="FFFFFF" w:themeFill="background1"/>
        </w:rPr>
        <w:t>y Ministe</w:t>
      </w:r>
      <w:r w:rsidR="00D73575" w:rsidRPr="0029459B">
        <w:rPr>
          <w:shd w:val="clear" w:color="auto" w:fill="FFFFFF" w:themeFill="background1"/>
        </w:rPr>
        <w:t>rstvo práce a sociálních věcí a </w:t>
      </w:r>
      <w:r w:rsidR="00706C0F" w:rsidRPr="0029459B">
        <w:rPr>
          <w:shd w:val="clear" w:color="auto" w:fill="FFFFFF" w:themeFill="background1"/>
        </w:rPr>
        <w:t>Úřad práce České republiky</w:t>
      </w:r>
      <w:r w:rsidRPr="0029459B">
        <w:rPr>
          <w:shd w:val="clear" w:color="auto" w:fill="FFFFFF" w:themeFill="background1"/>
        </w:rPr>
        <w:t>, vypořá</w:t>
      </w:r>
      <w:r w:rsidR="006E69FA" w:rsidRPr="0029459B">
        <w:rPr>
          <w:shd w:val="clear" w:color="auto" w:fill="FFFFFF" w:themeFill="background1"/>
        </w:rPr>
        <w:t>d</w:t>
      </w:r>
      <w:r w:rsidR="007A0D06" w:rsidRPr="0029459B">
        <w:rPr>
          <w:shd w:val="clear" w:color="auto" w:fill="FFFFFF" w:themeFill="background1"/>
        </w:rPr>
        <w:t>ala</w:t>
      </w:r>
      <w:r w:rsidR="000C2B60" w:rsidRPr="0029459B">
        <w:rPr>
          <w:shd w:val="clear" w:color="auto" w:fill="FFFFFF" w:themeFill="background1"/>
        </w:rPr>
        <w:t xml:space="preserve"> vedoucí</w:t>
      </w:r>
      <w:r w:rsidRPr="0029459B">
        <w:rPr>
          <w:shd w:val="clear" w:color="auto" w:fill="FFFFFF" w:themeFill="background1"/>
        </w:rPr>
        <w:t xml:space="preserve"> skupi</w:t>
      </w:r>
      <w:r w:rsidR="00B62369" w:rsidRPr="0029459B">
        <w:rPr>
          <w:shd w:val="clear" w:color="auto" w:fill="FFFFFF" w:themeFill="background1"/>
        </w:rPr>
        <w:t>ny kontrolujících rozhodnutím o </w:t>
      </w:r>
      <w:r w:rsidRPr="0029459B">
        <w:rPr>
          <w:shd w:val="clear" w:color="auto" w:fill="FFFFFF" w:themeFill="background1"/>
        </w:rPr>
        <w:t xml:space="preserve">námitkách. </w:t>
      </w:r>
      <w:r w:rsidRPr="0029459B">
        <w:t>Odvolání proti</w:t>
      </w:r>
      <w:r w:rsidR="006E69FA" w:rsidRPr="0029459B">
        <w:t xml:space="preserve"> </w:t>
      </w:r>
      <w:r w:rsidR="000C2B60" w:rsidRPr="0029459B">
        <w:t>rozhodnutí o</w:t>
      </w:r>
      <w:r w:rsidR="005A3AD3" w:rsidRPr="0029459B">
        <w:t> </w:t>
      </w:r>
      <w:r w:rsidR="000C2B60" w:rsidRPr="0029459B">
        <w:t xml:space="preserve">námitkách podané </w:t>
      </w:r>
      <w:r w:rsidR="00805134" w:rsidRPr="0029459B">
        <w:t>Úřadem práce České republiky</w:t>
      </w:r>
      <w:r w:rsidRPr="0029459B">
        <w:t xml:space="preserve"> bylo vypořádáno usnesením Kolegia NKÚ.</w:t>
      </w:r>
    </w:p>
    <w:p w14:paraId="6E8C7DD2" w14:textId="77777777" w:rsidR="00A4595A" w:rsidRDefault="00A4595A" w:rsidP="00A4595A">
      <w:pPr>
        <w:shd w:val="clear" w:color="auto" w:fill="FFFFFF" w:themeFill="background1"/>
        <w:spacing w:before="0"/>
      </w:pPr>
    </w:p>
    <w:p w14:paraId="1EC3D67B" w14:textId="77777777" w:rsidR="00A4595A" w:rsidRPr="0029459B" w:rsidRDefault="00A4595A" w:rsidP="00A4595A">
      <w:pPr>
        <w:shd w:val="clear" w:color="auto" w:fill="FFFFFF" w:themeFill="background1"/>
        <w:spacing w:before="0"/>
      </w:pPr>
    </w:p>
    <w:p w14:paraId="3B3360FC" w14:textId="34442447" w:rsidR="00ED4646" w:rsidRPr="0029459B" w:rsidRDefault="00ED4646" w:rsidP="00A4595A">
      <w:pPr>
        <w:shd w:val="clear" w:color="auto" w:fill="FFFFFF" w:themeFill="background1"/>
        <w:spacing w:before="0"/>
      </w:pPr>
      <w:r w:rsidRPr="0029459B">
        <w:rPr>
          <w:b/>
          <w:i/>
        </w:rPr>
        <w:t>K o l e g i u m   N K Ú</w:t>
      </w:r>
      <w:r w:rsidRPr="0029459B">
        <w:t xml:space="preserve">   na svém</w:t>
      </w:r>
      <w:r w:rsidR="000C2B60" w:rsidRPr="0029459B">
        <w:t xml:space="preserve"> </w:t>
      </w:r>
      <w:r w:rsidR="006313F7">
        <w:t>XVI.</w:t>
      </w:r>
      <w:r w:rsidR="00E254B3" w:rsidRPr="0029459B">
        <w:t xml:space="preserve"> </w:t>
      </w:r>
      <w:r w:rsidRPr="0029459B">
        <w:t>jedn</w:t>
      </w:r>
      <w:r w:rsidR="000C2B60" w:rsidRPr="0029459B">
        <w:t xml:space="preserve">ání, které se konalo dne </w:t>
      </w:r>
      <w:r w:rsidR="006313F7">
        <w:t xml:space="preserve">19. prosince </w:t>
      </w:r>
      <w:r w:rsidRPr="0029459B">
        <w:t xml:space="preserve">2016, </w:t>
      </w:r>
    </w:p>
    <w:p w14:paraId="3B3360FD" w14:textId="1BCA6C72" w:rsidR="00ED4646" w:rsidRPr="0029459B" w:rsidRDefault="00ED4646" w:rsidP="00A4595A">
      <w:pPr>
        <w:shd w:val="clear" w:color="auto" w:fill="FFFFFF" w:themeFill="background1"/>
        <w:spacing w:before="0"/>
      </w:pPr>
      <w:r w:rsidRPr="0029459B">
        <w:rPr>
          <w:b/>
          <w:i/>
        </w:rPr>
        <w:t>s c h v á l i l o</w:t>
      </w:r>
      <w:r w:rsidRPr="0029459B">
        <w:t xml:space="preserve">   usnesením č. </w:t>
      </w:r>
      <w:r w:rsidR="00FF36CF">
        <w:t>6</w:t>
      </w:r>
      <w:r w:rsidRPr="0029459B">
        <w:t>/</w:t>
      </w:r>
      <w:r w:rsidR="006313F7">
        <w:t>XVI</w:t>
      </w:r>
      <w:r w:rsidRPr="0029459B">
        <w:t>/2016</w:t>
      </w:r>
    </w:p>
    <w:p w14:paraId="3B3360FE" w14:textId="77777777" w:rsidR="00ED4646" w:rsidRPr="0029459B" w:rsidRDefault="00ED4646" w:rsidP="00A4595A">
      <w:pPr>
        <w:shd w:val="clear" w:color="auto" w:fill="FFFFFF" w:themeFill="background1"/>
        <w:spacing w:before="0"/>
      </w:pPr>
      <w:r w:rsidRPr="0029459B">
        <w:rPr>
          <w:b/>
          <w:i/>
        </w:rPr>
        <w:t>k o n t r o l n í   z á v ě r</w:t>
      </w:r>
      <w:r w:rsidRPr="0029459B">
        <w:t xml:space="preserve">   v tomto znění:</w:t>
      </w:r>
    </w:p>
    <w:p w14:paraId="3B3360FF" w14:textId="71D71FC6" w:rsidR="000C2B60" w:rsidRPr="0029459B" w:rsidRDefault="000C2B60" w:rsidP="00A4595A">
      <w:pPr>
        <w:spacing w:before="0"/>
        <w:jc w:val="left"/>
      </w:pPr>
    </w:p>
    <w:p w14:paraId="64EAF20D" w14:textId="77777777" w:rsidR="00B62369" w:rsidRPr="0029459B" w:rsidRDefault="00B62369" w:rsidP="00A4595A">
      <w:pPr>
        <w:spacing w:before="0"/>
        <w:jc w:val="left"/>
      </w:pPr>
    </w:p>
    <w:p w14:paraId="3B336100" w14:textId="4424065C" w:rsidR="00653154" w:rsidRPr="0029459B" w:rsidRDefault="00A4595A" w:rsidP="00A4595A">
      <w:pPr>
        <w:pStyle w:val="Nzevtext"/>
        <w:numPr>
          <w:ilvl w:val="0"/>
          <w:numId w:val="0"/>
        </w:numPr>
        <w:spacing w:before="0"/>
        <w:ind w:left="360"/>
      </w:pPr>
      <w:r>
        <w:t xml:space="preserve">I. </w:t>
      </w:r>
      <w:r w:rsidR="00086993" w:rsidRPr="0029459B">
        <w:t>Úvod</w:t>
      </w:r>
    </w:p>
    <w:p w14:paraId="3514DC0D" w14:textId="77777777" w:rsidR="00A4595A" w:rsidRDefault="00A4595A" w:rsidP="00A4595A">
      <w:pPr>
        <w:spacing w:before="0"/>
      </w:pPr>
    </w:p>
    <w:p w14:paraId="3607ED67" w14:textId="639EC312" w:rsidR="002453BB" w:rsidRDefault="001C1B1F" w:rsidP="00A4595A">
      <w:pPr>
        <w:spacing w:before="0"/>
      </w:pPr>
      <w:r w:rsidRPr="0029459B">
        <w:t>MPSV na základě zákona č. 435/2004 Sb.</w:t>
      </w:r>
      <w:r w:rsidRPr="0029459B">
        <w:rPr>
          <w:rStyle w:val="Znakapoznpodarou"/>
        </w:rPr>
        <w:footnoteReference w:id="1"/>
      </w:r>
      <w:r w:rsidRPr="0029459B">
        <w:t xml:space="preserve"> usměrňuje a k</w:t>
      </w:r>
      <w:r w:rsidR="00B62369" w:rsidRPr="0029459B">
        <w:t>ontroluje výkon státní správy a </w:t>
      </w:r>
      <w:r w:rsidRPr="0029459B">
        <w:t>dodržování zákonnosti při zabezpečování státní politiky z</w:t>
      </w:r>
      <w:r w:rsidR="00B62369" w:rsidRPr="0029459B">
        <w:t xml:space="preserve">aměstnanosti. </w:t>
      </w:r>
      <w:r w:rsidR="00E17571" w:rsidRPr="0029459B">
        <w:t xml:space="preserve">MPSV je odpovědné za </w:t>
      </w:r>
      <w:r w:rsidR="00DF568D" w:rsidRPr="0029459B">
        <w:t>plnění</w:t>
      </w:r>
      <w:r w:rsidR="00E17571" w:rsidRPr="0029459B">
        <w:t xml:space="preserve"> opatření </w:t>
      </w:r>
      <w:r w:rsidR="00E17571" w:rsidRPr="00575033">
        <w:rPr>
          <w:i/>
        </w:rPr>
        <w:t>Národní</w:t>
      </w:r>
      <w:r w:rsidR="001D6AEC" w:rsidRPr="00575033">
        <w:rPr>
          <w:i/>
        </w:rPr>
        <w:t>ho</w:t>
      </w:r>
      <w:r w:rsidR="00E17571" w:rsidRPr="00575033">
        <w:rPr>
          <w:i/>
        </w:rPr>
        <w:t xml:space="preserve"> plán</w:t>
      </w:r>
      <w:r w:rsidR="001D6AEC" w:rsidRPr="00575033">
        <w:rPr>
          <w:i/>
        </w:rPr>
        <w:t>u</w:t>
      </w:r>
      <w:r w:rsidR="00E17571" w:rsidRPr="00575033">
        <w:rPr>
          <w:i/>
        </w:rPr>
        <w:t xml:space="preserve"> vytváření rovných příležitostí pro osoby se zdravotním postižením na období 2010–2014</w:t>
      </w:r>
      <w:r w:rsidR="00E17571" w:rsidRPr="0029459B">
        <w:t xml:space="preserve"> (dále také „Národní plán 2010–2014“)</w:t>
      </w:r>
      <w:r w:rsidR="001D6AEC" w:rsidRPr="0029459B">
        <w:t>.</w:t>
      </w:r>
      <w:r w:rsidR="00E17571" w:rsidRPr="0029459B">
        <w:t xml:space="preserve"> Národní plán 2010–2014 </w:t>
      </w:r>
      <w:r w:rsidR="001D6AEC" w:rsidRPr="0029459B">
        <w:t xml:space="preserve">je od roku 1992 již pátým plánem zaměřeným na oblast </w:t>
      </w:r>
      <w:r w:rsidR="002817B8">
        <w:t>osob se zdravotním postižením</w:t>
      </w:r>
      <w:r w:rsidR="001D6AEC" w:rsidRPr="0029459B">
        <w:t xml:space="preserve"> </w:t>
      </w:r>
      <w:r w:rsidR="002817B8" w:rsidRPr="0029459B">
        <w:t>(dále také „OZP“)</w:t>
      </w:r>
      <w:r w:rsidR="002817B8">
        <w:t xml:space="preserve"> </w:t>
      </w:r>
      <w:r w:rsidR="001D6AEC" w:rsidRPr="0029459B">
        <w:t xml:space="preserve">a </w:t>
      </w:r>
      <w:r w:rsidR="00E17571" w:rsidRPr="0029459B">
        <w:t xml:space="preserve">vychází z obecných zásad </w:t>
      </w:r>
      <w:r w:rsidR="00E17571" w:rsidRPr="003C6FED">
        <w:rPr>
          <w:i/>
        </w:rPr>
        <w:t>Úmluvy o právech osob se zdravotním postižením</w:t>
      </w:r>
      <w:r w:rsidR="00E17571" w:rsidRPr="0029459B">
        <w:t>, kterou Česká republika ratifikovala v září 2009. Národní plán</w:t>
      </w:r>
      <w:r w:rsidR="000439F3">
        <w:t xml:space="preserve"> </w:t>
      </w:r>
      <w:r w:rsidR="003B7931">
        <w:br/>
      </w:r>
      <w:r w:rsidR="00E17571" w:rsidRPr="0029459B">
        <w:t xml:space="preserve">2010–2014 byl schválen usnesením vlády ČR ze dne 29. března 2010 č. 253, které ukládá </w:t>
      </w:r>
      <w:r w:rsidR="00A35278" w:rsidRPr="0029459B">
        <w:t xml:space="preserve">jednou ročně </w:t>
      </w:r>
      <w:r w:rsidR="00E17571" w:rsidRPr="0029459B">
        <w:t>do 30. června předložit vládě ČR k projednání zprávu o realizaci jednotlivých opatření Národního plánu 2010–2014 za uplynulý kalendářní rok.</w:t>
      </w:r>
      <w:r w:rsidR="00DF568D" w:rsidRPr="0029459B">
        <w:t xml:space="preserve"> </w:t>
      </w:r>
    </w:p>
    <w:p w14:paraId="7C4AB663" w14:textId="77777777" w:rsidR="00A4595A" w:rsidRDefault="00A4595A" w:rsidP="00A4595A">
      <w:pPr>
        <w:spacing w:before="0"/>
      </w:pPr>
    </w:p>
    <w:p w14:paraId="07C73619" w14:textId="77777777" w:rsidR="002817B8" w:rsidRDefault="00B62369" w:rsidP="00A4595A">
      <w:pPr>
        <w:spacing w:before="0"/>
      </w:pPr>
      <w:r w:rsidRPr="0029459B">
        <w:t xml:space="preserve">MPSV </w:t>
      </w:r>
      <w:r w:rsidR="002453BB">
        <w:t xml:space="preserve">rovněž </w:t>
      </w:r>
      <w:r w:rsidRPr="0029459B">
        <w:t>řídí ÚP ČR a </w:t>
      </w:r>
      <w:r w:rsidR="001C1B1F" w:rsidRPr="0029459B">
        <w:t xml:space="preserve">je jeho nadřízeným správním úřadem. ÚP ČR plní úkoly </w:t>
      </w:r>
      <w:r w:rsidR="00DD0D2D">
        <w:t>po</w:t>
      </w:r>
      <w:r w:rsidR="001C1B1F" w:rsidRPr="0029459B">
        <w:t>dle zákona č. 73/2011 Sb.</w:t>
      </w:r>
      <w:r w:rsidR="001C1B1F" w:rsidRPr="0029459B">
        <w:rPr>
          <w:rStyle w:val="Znakapoznpodarou"/>
        </w:rPr>
        <w:footnoteReference w:id="2"/>
      </w:r>
      <w:r w:rsidRPr="0029459B">
        <w:t xml:space="preserve"> v </w:t>
      </w:r>
      <w:r w:rsidR="001C1B1F" w:rsidRPr="0029459B">
        <w:t>oblastech zaměstnanosti.</w:t>
      </w:r>
      <w:r w:rsidR="00A650B9" w:rsidRPr="0029459B">
        <w:t xml:space="preserve"> </w:t>
      </w:r>
      <w:r w:rsidR="001C1B1F" w:rsidRPr="0029459B">
        <w:t>Státní politika zaměstnanosti zahrnuje mimo jiné zabezpečování práva na zaměstnání, opatření na podporu a dosažení rovného zacházení s osobami se zdravotním postižením</w:t>
      </w:r>
      <w:r w:rsidR="00CA33ED" w:rsidRPr="0029459B">
        <w:t xml:space="preserve"> </w:t>
      </w:r>
      <w:r w:rsidR="001C1B1F" w:rsidRPr="0029459B">
        <w:t xml:space="preserve">a opatření pro zaměstnávání fyzických </w:t>
      </w:r>
      <w:r w:rsidR="00646BC1" w:rsidRPr="0029459B">
        <w:t xml:space="preserve">osob se zdravotním postižením </w:t>
      </w:r>
      <w:r w:rsidR="001C1B1F" w:rsidRPr="0029459B">
        <w:t>a dalších fyzických osob, které mají ztížené postavení na trhu práce.</w:t>
      </w:r>
      <w:r w:rsidR="002817B8">
        <w:t xml:space="preserve"> </w:t>
      </w:r>
    </w:p>
    <w:p w14:paraId="5943E1BC" w14:textId="77777777" w:rsidR="00A4595A" w:rsidRDefault="00A4595A" w:rsidP="00A4595A">
      <w:pPr>
        <w:spacing w:before="0"/>
      </w:pPr>
    </w:p>
    <w:p w14:paraId="5E339F48" w14:textId="3634129E" w:rsidR="00755A3A" w:rsidRDefault="00755A3A" w:rsidP="00A4595A">
      <w:pPr>
        <w:spacing w:before="0"/>
      </w:pPr>
      <w:r w:rsidRPr="0029459B">
        <w:t xml:space="preserve">Osobám se zdravotním postižením se </w:t>
      </w:r>
      <w:r w:rsidR="00416530" w:rsidRPr="0029459B">
        <w:t>podle</w:t>
      </w:r>
      <w:r w:rsidRPr="0029459B">
        <w:t xml:space="preserve"> zákona č. 435/2004 Sb. poskytuje zvýšená ochrana na trhu práce. OZP jsou </w:t>
      </w:r>
      <w:r w:rsidR="00115646">
        <w:t xml:space="preserve">citovaným zákonem </w:t>
      </w:r>
      <w:r w:rsidRPr="0029459B">
        <w:t>definov</w:t>
      </w:r>
      <w:r w:rsidR="00EF2A9C">
        <w:t>ány</w:t>
      </w:r>
      <w:r w:rsidRPr="0029459B">
        <w:t xml:space="preserve"> jako fyzické osoby, které jsou orgánem sociálního zabezpečení uznány invalidními nebo</w:t>
      </w:r>
      <w:r w:rsidR="001C1B1F" w:rsidRPr="0029459B">
        <w:t xml:space="preserve"> zdravotně znevýhodněnými</w:t>
      </w:r>
      <w:r w:rsidR="001D6AEC" w:rsidRPr="0029459B">
        <w:t xml:space="preserve"> (dále také „OZZ“)</w:t>
      </w:r>
      <w:r w:rsidR="001C1B1F" w:rsidRPr="0029459B">
        <w:t>. Z</w:t>
      </w:r>
      <w:r w:rsidRPr="0029459B">
        <w:t>ákon č. 155/1995 Sb</w:t>
      </w:r>
      <w:r w:rsidR="00662187" w:rsidRPr="0029459B">
        <w:t>.</w:t>
      </w:r>
      <w:r w:rsidR="005327E6" w:rsidRPr="0029459B">
        <w:rPr>
          <w:rStyle w:val="Znakapoznpodarou"/>
        </w:rPr>
        <w:footnoteReference w:id="3"/>
      </w:r>
      <w:r w:rsidRPr="0029459B">
        <w:t xml:space="preserve"> definuje stupně invalidity podle míry poklesu pracovních schopností osob se zdravotním postižením z důvodu dlouhodobě nepříznivého zdravotního stavu.</w:t>
      </w:r>
    </w:p>
    <w:p w14:paraId="1C37C72F" w14:textId="77777777" w:rsidR="00A4595A" w:rsidRPr="0029459B" w:rsidRDefault="00A4595A" w:rsidP="00A4595A">
      <w:pPr>
        <w:spacing w:before="0"/>
      </w:pPr>
    </w:p>
    <w:p w14:paraId="6461BC1C" w14:textId="06BB1271" w:rsidR="0018350B" w:rsidRDefault="00115646" w:rsidP="00A4595A">
      <w:pPr>
        <w:spacing w:before="0"/>
      </w:pPr>
      <w:r>
        <w:t>Zaměstnavatelům</w:t>
      </w:r>
      <w:r w:rsidR="001A5CF0" w:rsidRPr="0029459B">
        <w:t xml:space="preserve"> s více než 25 zaměstnanci v pracovním poměru j</w:t>
      </w:r>
      <w:r>
        <w:t>e</w:t>
      </w:r>
      <w:r w:rsidR="001A5CF0" w:rsidRPr="0029459B">
        <w:t xml:space="preserve"> zákon</w:t>
      </w:r>
      <w:r>
        <w:t xml:space="preserve">em </w:t>
      </w:r>
      <w:r w:rsidR="00CB5C79">
        <w:t>č. 435/2004 </w:t>
      </w:r>
      <w:r w:rsidR="001A5CF0" w:rsidRPr="0029459B">
        <w:t xml:space="preserve">Sb. </w:t>
      </w:r>
      <w:r>
        <w:t xml:space="preserve">uložena povinnost </w:t>
      </w:r>
      <w:r w:rsidR="001A5CF0" w:rsidRPr="0029459B">
        <w:t>zaměstnat OZP ve výši 4% podílu z celkového počtu svých zaměstnanců. Povinný podíl mohou plnit třemi způsoby a jejich vzájemnými kombinacemi, a</w:t>
      </w:r>
      <w:r w:rsidR="00A96E3F">
        <w:t> </w:t>
      </w:r>
      <w:r w:rsidR="001A5CF0" w:rsidRPr="0029459B">
        <w:t xml:space="preserve">to přímým zaměstnáním OZP, odvodem </w:t>
      </w:r>
      <w:r w:rsidR="00646BC1" w:rsidRPr="0029459B">
        <w:t xml:space="preserve">peněžních prostředků </w:t>
      </w:r>
      <w:r w:rsidR="001A5CF0" w:rsidRPr="0029459B">
        <w:t>do státního rozpočtu nebo odebíráním výrobk</w:t>
      </w:r>
      <w:r w:rsidR="00706C0F" w:rsidRPr="0029459B">
        <w:t>ů nebo služeb od zaměstnavatelů</w:t>
      </w:r>
      <w:r w:rsidR="001A5CF0" w:rsidRPr="0029459B">
        <w:t xml:space="preserve"> zaměstnávajících více než 50 % OZP</w:t>
      </w:r>
      <w:r w:rsidR="00DA567F" w:rsidRPr="0029459B">
        <w:t xml:space="preserve"> </w:t>
      </w:r>
      <w:r w:rsidR="00DA567F" w:rsidRPr="0029459B">
        <w:lastRenderedPageBreak/>
        <w:t>z celkového počtu svých zaměstnanců</w:t>
      </w:r>
      <w:r w:rsidR="004738CD" w:rsidRPr="0029459B">
        <w:t>, tzv</w:t>
      </w:r>
      <w:r w:rsidR="00646BC1" w:rsidRPr="0029459B">
        <w:t>.</w:t>
      </w:r>
      <w:r w:rsidR="001A5CF0" w:rsidRPr="0029459B">
        <w:t xml:space="preserve"> náhradním plněním.</w:t>
      </w:r>
      <w:r w:rsidR="0018350B" w:rsidRPr="0029459B">
        <w:t xml:space="preserve"> Zaměstnavatelé zaměstnávající více než 50 % OZP tvoří tzv. chráněný trh </w:t>
      </w:r>
      <w:r w:rsidR="00A96E3F">
        <w:t>práce, ostatní zaměstnavatelé a </w:t>
      </w:r>
      <w:r w:rsidR="002817B8">
        <w:t>osoby samostatně výdělečně činné</w:t>
      </w:r>
      <w:r w:rsidR="0018350B" w:rsidRPr="0029459B">
        <w:t xml:space="preserve">, kteří </w:t>
      </w:r>
      <w:r w:rsidR="00BE771F" w:rsidRPr="0029459B">
        <w:t>toto kritérium</w:t>
      </w:r>
      <w:r w:rsidR="0018350B" w:rsidRPr="0029459B">
        <w:t xml:space="preserve"> nesplňují, jsou označováni jako volný trh práce.</w:t>
      </w:r>
      <w:r w:rsidR="00A650B9" w:rsidRPr="0029459B">
        <w:t xml:space="preserve"> </w:t>
      </w:r>
      <w:r w:rsidR="0018350B" w:rsidRPr="0029459B">
        <w:t xml:space="preserve">K dalším nástrojům podpory zaměstnávání OZP patří sleva </w:t>
      </w:r>
      <w:r w:rsidR="00163CDB" w:rsidRPr="0029459B">
        <w:t xml:space="preserve">na dani </w:t>
      </w:r>
      <w:r w:rsidR="0018350B" w:rsidRPr="0029459B">
        <w:t>z příjmů fyzických a právnických osob za každého zaměstnance se zdravotním postižením, případně zaměstnance s těžším zdravotním postižením.</w:t>
      </w:r>
    </w:p>
    <w:p w14:paraId="22E12068" w14:textId="77777777" w:rsidR="00A4595A" w:rsidRPr="0029459B" w:rsidRDefault="00A4595A" w:rsidP="00A4595A">
      <w:pPr>
        <w:spacing w:before="0"/>
      </w:pPr>
    </w:p>
    <w:p w14:paraId="6FF87EA1" w14:textId="1FD8DCAA" w:rsidR="0042282F" w:rsidRDefault="0042282F" w:rsidP="00A4595A">
      <w:pPr>
        <w:spacing w:before="0"/>
        <w:rPr>
          <w:shd w:val="clear" w:color="auto" w:fill="FFFFFF" w:themeFill="background1"/>
        </w:rPr>
      </w:pPr>
      <w:r w:rsidRPr="0029459B">
        <w:t xml:space="preserve">Zaměstnavatelé zaměstnávající více než 50 % OZP jsou </w:t>
      </w:r>
      <w:r w:rsidR="00416530" w:rsidRPr="0029459B">
        <w:t>podle</w:t>
      </w:r>
      <w:r w:rsidR="00163CDB" w:rsidRPr="0029459B">
        <w:t xml:space="preserve"> zákona č. 435/2004 Sb. </w:t>
      </w:r>
      <w:r w:rsidRPr="0029459B">
        <w:t>zvýhodněni možností čerpat příspěvek na podporu zaměstnávání OZP</w:t>
      </w:r>
      <w:r w:rsidR="002A01FE" w:rsidRPr="0029459B">
        <w:t xml:space="preserve"> </w:t>
      </w:r>
      <w:r w:rsidR="00B1307C" w:rsidRPr="0029459B">
        <w:t xml:space="preserve">na chráněném pracovním místě </w:t>
      </w:r>
      <w:r w:rsidR="002A01FE" w:rsidRPr="0029459B">
        <w:t xml:space="preserve">(dále také „příspěvek podle </w:t>
      </w:r>
      <w:r w:rsidR="00B62369" w:rsidRPr="0029459B">
        <w:t xml:space="preserve">ustanovení </w:t>
      </w:r>
      <w:r w:rsidR="002A01FE" w:rsidRPr="0029459B">
        <w:t>§ 78“)</w:t>
      </w:r>
      <w:r w:rsidRPr="0029459B">
        <w:t xml:space="preserve">, kterým </w:t>
      </w:r>
      <w:r w:rsidR="00646BC1" w:rsidRPr="0029459B">
        <w:rPr>
          <w:shd w:val="clear" w:color="auto" w:fill="FFFFFF" w:themeFill="background1"/>
        </w:rPr>
        <w:t>jsou</w:t>
      </w:r>
      <w:r w:rsidRPr="0029459B">
        <w:rPr>
          <w:shd w:val="clear" w:color="auto" w:fill="FFFFFF" w:themeFill="background1"/>
        </w:rPr>
        <w:t xml:space="preserve"> nahrazovány skutečně vynaložené prostředky na mzdy nebo platy v měsíční výši 75 % skutečně vynaložených prostředků, nejvýše však 8 000 Kč</w:t>
      </w:r>
      <w:r w:rsidR="00DA567F" w:rsidRPr="0029459B">
        <w:rPr>
          <w:rStyle w:val="Znakapoznpodarou"/>
          <w:shd w:val="clear" w:color="auto" w:fill="FFFFFF" w:themeFill="background1"/>
        </w:rPr>
        <w:footnoteReference w:id="4"/>
      </w:r>
      <w:r w:rsidRPr="0029459B">
        <w:rPr>
          <w:shd w:val="clear" w:color="auto" w:fill="FFFFFF" w:themeFill="background1"/>
        </w:rPr>
        <w:t xml:space="preserve"> na </w:t>
      </w:r>
      <w:r w:rsidR="00CF21DA" w:rsidRPr="0029459B">
        <w:rPr>
          <w:shd w:val="clear" w:color="auto" w:fill="FFFFFF" w:themeFill="background1"/>
        </w:rPr>
        <w:t xml:space="preserve">jednu </w:t>
      </w:r>
      <w:r w:rsidRPr="0029459B">
        <w:rPr>
          <w:shd w:val="clear" w:color="auto" w:fill="FFFFFF" w:themeFill="background1"/>
        </w:rPr>
        <w:t>OZP</w:t>
      </w:r>
      <w:r w:rsidR="00E22AA0">
        <w:rPr>
          <w:shd w:val="clear" w:color="auto" w:fill="FFFFFF" w:themeFill="background1"/>
        </w:rPr>
        <w:t>,</w:t>
      </w:r>
      <w:r w:rsidRPr="0029459B">
        <w:rPr>
          <w:shd w:val="clear" w:color="auto" w:fill="FFFFFF" w:themeFill="background1"/>
        </w:rPr>
        <w:t xml:space="preserve"> a navýšení příspěvku o</w:t>
      </w:r>
      <w:r w:rsidR="00E22AA0">
        <w:rPr>
          <w:shd w:val="clear" w:color="auto" w:fill="FFFFFF" w:themeFill="background1"/>
        </w:rPr>
        <w:t> </w:t>
      </w:r>
      <w:r w:rsidRPr="0029459B">
        <w:rPr>
          <w:shd w:val="clear" w:color="auto" w:fill="FFFFFF" w:themeFill="background1"/>
        </w:rPr>
        <w:t>částku odpovídající prokázaným dalším nákladům vynaloženým zaměstnavatelem na zaměstnávání OZP, nejvýše však o 2 000 Kč</w:t>
      </w:r>
      <w:r w:rsidR="00DA567F" w:rsidRPr="0029459B">
        <w:rPr>
          <w:rStyle w:val="Znakapoznpodarou"/>
          <w:shd w:val="clear" w:color="auto" w:fill="FFFFFF" w:themeFill="background1"/>
        </w:rPr>
        <w:footnoteReference w:id="5"/>
      </w:r>
      <w:r w:rsidRPr="0029459B">
        <w:rPr>
          <w:shd w:val="clear" w:color="auto" w:fill="FFFFFF" w:themeFill="background1"/>
        </w:rPr>
        <w:t xml:space="preserve"> na </w:t>
      </w:r>
      <w:r w:rsidR="00CF21DA" w:rsidRPr="0029459B">
        <w:rPr>
          <w:shd w:val="clear" w:color="auto" w:fill="FFFFFF" w:themeFill="background1"/>
        </w:rPr>
        <w:t xml:space="preserve">jednu </w:t>
      </w:r>
      <w:r w:rsidRPr="0029459B">
        <w:rPr>
          <w:shd w:val="clear" w:color="auto" w:fill="FFFFFF" w:themeFill="background1"/>
        </w:rPr>
        <w:t xml:space="preserve">OZP. </w:t>
      </w:r>
      <w:r w:rsidR="00B208CB" w:rsidRPr="0029459B">
        <w:rPr>
          <w:shd w:val="clear" w:color="auto" w:fill="FFFFFF" w:themeFill="background1"/>
        </w:rPr>
        <w:t>Z</w:t>
      </w:r>
      <w:r w:rsidRPr="0029459B">
        <w:rPr>
          <w:shd w:val="clear" w:color="auto" w:fill="FFFFFF" w:themeFill="background1"/>
        </w:rPr>
        <w:t>ákon č. 592/1992 Sb.</w:t>
      </w:r>
      <w:r w:rsidRPr="0029459B">
        <w:rPr>
          <w:rStyle w:val="Znakapoznpodarou"/>
          <w:shd w:val="clear" w:color="auto" w:fill="FFFFFF" w:themeFill="background1"/>
        </w:rPr>
        <w:footnoteReference w:id="6"/>
      </w:r>
      <w:r w:rsidRPr="0029459B">
        <w:rPr>
          <w:shd w:val="clear" w:color="auto" w:fill="FFFFFF" w:themeFill="background1"/>
        </w:rPr>
        <w:t xml:space="preserve"> upravuje vyměřovací základ pro výpočet povinného pojistného na </w:t>
      </w:r>
      <w:r w:rsidR="000A6598">
        <w:rPr>
          <w:shd w:val="clear" w:color="auto" w:fill="FFFFFF" w:themeFill="background1"/>
        </w:rPr>
        <w:t>veřejné</w:t>
      </w:r>
      <w:r w:rsidRPr="0029459B">
        <w:rPr>
          <w:shd w:val="clear" w:color="auto" w:fill="FFFFFF" w:themeFill="background1"/>
        </w:rPr>
        <w:t xml:space="preserve"> zdravotní pojištění u</w:t>
      </w:r>
      <w:r w:rsidR="00E22AA0">
        <w:rPr>
          <w:shd w:val="clear" w:color="auto" w:fill="FFFFFF" w:themeFill="background1"/>
        </w:rPr>
        <w:t> </w:t>
      </w:r>
      <w:r w:rsidRPr="0029459B">
        <w:rPr>
          <w:shd w:val="clear" w:color="auto" w:fill="FFFFFF" w:themeFill="background1"/>
        </w:rPr>
        <w:t xml:space="preserve">zaměstnance, kterému byl přiznán invalidní důchod. </w:t>
      </w:r>
      <w:r w:rsidR="00646BC1" w:rsidRPr="0029459B">
        <w:rPr>
          <w:shd w:val="clear" w:color="auto" w:fill="FFFFFF" w:themeFill="background1"/>
        </w:rPr>
        <w:t>Dále</w:t>
      </w:r>
      <w:r w:rsidRPr="0029459B">
        <w:rPr>
          <w:shd w:val="clear" w:color="auto" w:fill="FFFFFF" w:themeFill="background1"/>
        </w:rPr>
        <w:t xml:space="preserve"> byli tito zaměstnavatelé </w:t>
      </w:r>
      <w:r w:rsidR="00646BC1" w:rsidRPr="0029459B">
        <w:rPr>
          <w:shd w:val="clear" w:color="auto" w:fill="FFFFFF" w:themeFill="background1"/>
        </w:rPr>
        <w:t xml:space="preserve">do října 2016 </w:t>
      </w:r>
      <w:r w:rsidRPr="0029459B">
        <w:rPr>
          <w:shd w:val="clear" w:color="auto" w:fill="FFFFFF" w:themeFill="background1"/>
        </w:rPr>
        <w:t xml:space="preserve">zvýhodněni </w:t>
      </w:r>
      <w:r w:rsidR="00416530" w:rsidRPr="0029459B">
        <w:rPr>
          <w:shd w:val="clear" w:color="auto" w:fill="FFFFFF" w:themeFill="background1"/>
        </w:rPr>
        <w:t>podle</w:t>
      </w:r>
      <w:r w:rsidRPr="0029459B">
        <w:rPr>
          <w:shd w:val="clear" w:color="auto" w:fill="FFFFFF" w:themeFill="background1"/>
        </w:rPr>
        <w:t xml:space="preserve"> zákona č. 137/2006 Sb.</w:t>
      </w:r>
      <w:r w:rsidRPr="0029459B">
        <w:rPr>
          <w:rStyle w:val="Znakapoznpodarou"/>
          <w:shd w:val="clear" w:color="auto" w:fill="FFFFFF" w:themeFill="background1"/>
        </w:rPr>
        <w:footnoteReference w:id="7"/>
      </w:r>
      <w:r w:rsidRPr="0029459B">
        <w:rPr>
          <w:shd w:val="clear" w:color="auto" w:fill="FFFFFF" w:themeFill="background1"/>
        </w:rPr>
        <w:t xml:space="preserve"> </w:t>
      </w:r>
      <w:r w:rsidR="004738CD" w:rsidRPr="0029459B">
        <w:rPr>
          <w:shd w:val="clear" w:color="auto" w:fill="FFFFFF" w:themeFill="background1"/>
        </w:rPr>
        <w:t xml:space="preserve">oproti ostatním uchazečům o veřejnou zakázku </w:t>
      </w:r>
      <w:r w:rsidR="00A650B9" w:rsidRPr="0029459B">
        <w:rPr>
          <w:shd w:val="clear" w:color="auto" w:fill="FFFFFF" w:themeFill="background1"/>
        </w:rPr>
        <w:t>snížením</w:t>
      </w:r>
      <w:r w:rsidRPr="0029459B">
        <w:rPr>
          <w:shd w:val="clear" w:color="auto" w:fill="FFFFFF" w:themeFill="background1"/>
        </w:rPr>
        <w:t xml:space="preserve"> rozhodné výše nabídkové ceny o 15 %. </w:t>
      </w:r>
    </w:p>
    <w:p w14:paraId="31A4F074" w14:textId="77777777" w:rsidR="00A4595A" w:rsidRPr="0029459B" w:rsidRDefault="00A4595A" w:rsidP="00A4595A">
      <w:pPr>
        <w:spacing w:before="0"/>
        <w:rPr>
          <w:shd w:val="clear" w:color="auto" w:fill="FFFFFF" w:themeFill="background1"/>
        </w:rPr>
      </w:pPr>
    </w:p>
    <w:p w14:paraId="2DF48015" w14:textId="73B311B3" w:rsidR="00A202A5" w:rsidRPr="0029459B" w:rsidRDefault="00D233C5" w:rsidP="00A4595A">
      <w:pPr>
        <w:autoSpaceDE w:val="0"/>
        <w:autoSpaceDN w:val="0"/>
        <w:adjustRightInd w:val="0"/>
        <w:spacing w:before="0"/>
        <w:rPr>
          <w:rFonts w:ascii="Calibri" w:eastAsiaTheme="minorHAnsi" w:hAnsi="Calibri" w:cs="Calibri"/>
        </w:rPr>
      </w:pPr>
      <w:r w:rsidRPr="0029459B">
        <w:rPr>
          <w:rFonts w:ascii="Calibri" w:eastAsiaTheme="minorHAnsi" w:hAnsi="Calibri" w:cs="Calibri"/>
        </w:rPr>
        <w:t xml:space="preserve">Chráněné pracovní místo (dále také „CHPM“) je pracovní místo zřízené zaměstnavatelem pro OZP na základě písemné dohody s ÚP ČR </w:t>
      </w:r>
      <w:r w:rsidR="00F151E5" w:rsidRPr="0029459B">
        <w:rPr>
          <w:rFonts w:ascii="Calibri" w:eastAsiaTheme="minorHAnsi" w:hAnsi="Calibri" w:cs="Calibri"/>
        </w:rPr>
        <w:t>podle</w:t>
      </w:r>
      <w:r w:rsidRPr="0029459B">
        <w:rPr>
          <w:rFonts w:ascii="Calibri" w:eastAsiaTheme="minorHAnsi" w:hAnsi="Calibri" w:cs="Calibri"/>
        </w:rPr>
        <w:t xml:space="preserve"> zákona č. 435/2004 Sb. </w:t>
      </w:r>
      <w:r w:rsidR="00163CDB" w:rsidRPr="0029459B">
        <w:rPr>
          <w:rFonts w:ascii="Calibri" w:eastAsiaTheme="minorHAnsi" w:hAnsi="Calibri" w:cs="Calibri"/>
        </w:rPr>
        <w:t xml:space="preserve">a </w:t>
      </w:r>
      <w:r w:rsidR="00E17571" w:rsidRPr="0029459B">
        <w:rPr>
          <w:rFonts w:ascii="Calibri" w:eastAsiaTheme="minorHAnsi" w:hAnsi="Calibri" w:cs="Calibri"/>
        </w:rPr>
        <w:t xml:space="preserve">od 1. 1. 2012 </w:t>
      </w:r>
      <w:r w:rsidRPr="0029459B">
        <w:rPr>
          <w:rFonts w:ascii="Calibri" w:eastAsiaTheme="minorHAnsi" w:hAnsi="Calibri" w:cs="Calibri"/>
        </w:rPr>
        <w:t>musí být obsazeno OZP po dobu 3 let. Chráněným pracovním místem může být i pracovní místo</w:t>
      </w:r>
      <w:r w:rsidR="00977F5B" w:rsidRPr="0029459B">
        <w:rPr>
          <w:rFonts w:ascii="Calibri" w:eastAsiaTheme="minorHAnsi" w:hAnsi="Calibri" w:cs="Calibri"/>
        </w:rPr>
        <w:t xml:space="preserve"> již obsazené OZP</w:t>
      </w:r>
      <w:r w:rsidRPr="0029459B">
        <w:rPr>
          <w:rFonts w:ascii="Calibri" w:eastAsiaTheme="minorHAnsi" w:hAnsi="Calibri" w:cs="Calibri"/>
        </w:rPr>
        <w:t>, které získá charakter CHPM na základě dohody mezi ÚP ČR a</w:t>
      </w:r>
      <w:r w:rsidR="00424227">
        <w:rPr>
          <w:rFonts w:ascii="Calibri" w:eastAsiaTheme="minorHAnsi" w:hAnsi="Calibri" w:cs="Calibri"/>
        </w:rPr>
        <w:t> </w:t>
      </w:r>
      <w:r w:rsidRPr="0029459B">
        <w:rPr>
          <w:rFonts w:ascii="Calibri" w:eastAsiaTheme="minorHAnsi" w:hAnsi="Calibri" w:cs="Calibri"/>
        </w:rPr>
        <w:t>zaměstnavatelem o jeho vymezení. Charakteri</w:t>
      </w:r>
      <w:r w:rsidR="00424227">
        <w:rPr>
          <w:rFonts w:ascii="Calibri" w:eastAsiaTheme="minorHAnsi" w:hAnsi="Calibri" w:cs="Calibri"/>
        </w:rPr>
        <w:t>stika CHPM je dána vyhláškou č. 518/2004 </w:t>
      </w:r>
      <w:r w:rsidRPr="0029459B">
        <w:rPr>
          <w:rFonts w:ascii="Calibri" w:eastAsiaTheme="minorHAnsi" w:hAnsi="Calibri" w:cs="Calibri"/>
        </w:rPr>
        <w:t>Sb.</w:t>
      </w:r>
      <w:r w:rsidRPr="0029459B">
        <w:rPr>
          <w:rStyle w:val="Znakapoznpodarou"/>
          <w:rFonts w:ascii="Calibri" w:eastAsiaTheme="minorHAnsi" w:hAnsi="Calibri" w:cs="Calibri"/>
        </w:rPr>
        <w:footnoteReference w:id="8"/>
      </w:r>
    </w:p>
    <w:p w14:paraId="3B4165BC" w14:textId="77777777" w:rsidR="004141C7" w:rsidRDefault="004141C7" w:rsidP="00A4595A">
      <w:pPr>
        <w:spacing w:before="0"/>
        <w:rPr>
          <w:b/>
        </w:rPr>
      </w:pPr>
    </w:p>
    <w:p w14:paraId="40599F50" w14:textId="198F4DD0" w:rsidR="00A17B53" w:rsidRPr="0029459B" w:rsidRDefault="00A17B53" w:rsidP="00A4595A">
      <w:pPr>
        <w:spacing w:before="0"/>
        <w:rPr>
          <w:b/>
        </w:rPr>
      </w:pPr>
      <w:r w:rsidRPr="0029459B">
        <w:rPr>
          <w:b/>
        </w:rPr>
        <w:t xml:space="preserve">NKÚ provedl kontrolu zaměřenou na prověření systému poskytování podpory při zaměstnávání osob se zdravotním postižením. Kontrola se zabývala koncepční a řídící činností dané oblasti, plněním </w:t>
      </w:r>
      <w:r w:rsidRPr="000D1416">
        <w:rPr>
          <w:b/>
          <w:i/>
        </w:rPr>
        <w:t>Národního plánu vytváření rovných příležitostí pro osoby se zdravotním postižením na období 2010–2014</w:t>
      </w:r>
      <w:r w:rsidRPr="0029459B">
        <w:rPr>
          <w:b/>
        </w:rPr>
        <w:t>, výkonem k</w:t>
      </w:r>
      <w:r w:rsidR="00CE39F4">
        <w:rPr>
          <w:b/>
        </w:rPr>
        <w:t>ontrolní činnosti MPSV, ÚP ČR a </w:t>
      </w:r>
      <w:r w:rsidRPr="0029459B">
        <w:rPr>
          <w:b/>
        </w:rPr>
        <w:t>krajských poboček ÚP ČR a postupem ÚP ČR při poskytování příspěvků určených na podporu zaměstnávání OZP. Dále se kontrola u příjemců zaměřila na plnění uzavřených dohod včetně správnosti použití obdržených příspěvků a jejich zaúčtování a na dodržení stanoveného limitu při poskytování výrobků a služeb nebo splněných zadaných zakázek pro účely splnění povinného podílu zaměstnat OZP v rámci tzv. náhradního plnění.</w:t>
      </w:r>
    </w:p>
    <w:p w14:paraId="494186B8" w14:textId="77777777" w:rsidR="00A17B53" w:rsidRPr="0029459B" w:rsidRDefault="00A17B53" w:rsidP="00A4595A">
      <w:pPr>
        <w:spacing w:before="0"/>
        <w:rPr>
          <w:b/>
        </w:rPr>
      </w:pPr>
    </w:p>
    <w:p w14:paraId="1140E95D" w14:textId="43B8D236" w:rsidR="002817B8" w:rsidRDefault="00A17B53" w:rsidP="00A4595A">
      <w:pPr>
        <w:spacing w:before="0"/>
        <w:rPr>
          <w:b/>
        </w:rPr>
      </w:pPr>
      <w:r w:rsidRPr="0029459B">
        <w:rPr>
          <w:b/>
        </w:rPr>
        <w:lastRenderedPageBreak/>
        <w:t>Na podporu zaměstnávání OZP bylo v letech 2010 až 2015 z kapitoly MPSV poskytnuto celkem 22 375 mil. Kč</w:t>
      </w:r>
      <w:r w:rsidRPr="0029459B">
        <w:rPr>
          <w:rStyle w:val="Znakapoznpodarou"/>
          <w:b/>
        </w:rPr>
        <w:footnoteReference w:id="9"/>
      </w:r>
      <w:r w:rsidRPr="0029459B">
        <w:rPr>
          <w:b/>
        </w:rPr>
        <w:t xml:space="preserve">, z toho v rámci závazného ukazatele </w:t>
      </w:r>
      <w:r w:rsidR="000439F3">
        <w:rPr>
          <w:b/>
        </w:rPr>
        <w:t>„</w:t>
      </w:r>
      <w:r w:rsidR="000439F3">
        <w:rPr>
          <w:b/>
          <w:i/>
        </w:rPr>
        <w:t>z</w:t>
      </w:r>
      <w:r w:rsidRPr="0029459B">
        <w:rPr>
          <w:b/>
          <w:i/>
        </w:rPr>
        <w:t>aměstnávání zdravotně postižených občanů</w:t>
      </w:r>
      <w:r w:rsidR="000439F3">
        <w:rPr>
          <w:b/>
        </w:rPr>
        <w:t>“</w:t>
      </w:r>
      <w:r w:rsidRPr="0029459B">
        <w:rPr>
          <w:b/>
        </w:rPr>
        <w:t xml:space="preserve"> </w:t>
      </w:r>
      <w:r>
        <w:rPr>
          <w:b/>
        </w:rPr>
        <w:t xml:space="preserve">(dále také „ZZPO“) </w:t>
      </w:r>
      <w:r w:rsidRPr="0029459B">
        <w:rPr>
          <w:b/>
        </w:rPr>
        <w:t xml:space="preserve">21 472 mil. Kč a z prostředků </w:t>
      </w:r>
      <w:r w:rsidR="006E502E">
        <w:rPr>
          <w:b/>
        </w:rPr>
        <w:t xml:space="preserve">určených </w:t>
      </w:r>
      <w:r w:rsidR="007B50C8">
        <w:rPr>
          <w:b/>
        </w:rPr>
        <w:t xml:space="preserve">na </w:t>
      </w:r>
      <w:r w:rsidR="000D1416" w:rsidRPr="00542718">
        <w:rPr>
          <w:b/>
        </w:rPr>
        <w:t>„</w:t>
      </w:r>
      <w:r w:rsidR="007B50C8" w:rsidRPr="006E502E">
        <w:rPr>
          <w:b/>
          <w:i/>
        </w:rPr>
        <w:t>a</w:t>
      </w:r>
      <w:r w:rsidR="000D1416" w:rsidRPr="006E502E">
        <w:rPr>
          <w:b/>
          <w:i/>
        </w:rPr>
        <w:t>ktivní politiku</w:t>
      </w:r>
      <w:r w:rsidRPr="006E502E">
        <w:rPr>
          <w:b/>
          <w:i/>
        </w:rPr>
        <w:t xml:space="preserve"> zaměstnanosti</w:t>
      </w:r>
      <w:r w:rsidR="000D1416" w:rsidRPr="00542718">
        <w:rPr>
          <w:b/>
        </w:rPr>
        <w:t>“</w:t>
      </w:r>
      <w:r w:rsidRPr="00542718">
        <w:rPr>
          <w:b/>
        </w:rPr>
        <w:t xml:space="preserve"> </w:t>
      </w:r>
      <w:r>
        <w:rPr>
          <w:b/>
        </w:rPr>
        <w:t xml:space="preserve">(dále také „APZ“) </w:t>
      </w:r>
      <w:r w:rsidRPr="0029459B">
        <w:rPr>
          <w:b/>
        </w:rPr>
        <w:t xml:space="preserve">903 mil. Kč. </w:t>
      </w:r>
    </w:p>
    <w:p w14:paraId="2C622631" w14:textId="1A0CDD3D" w:rsidR="001F746A" w:rsidRDefault="000C24BB" w:rsidP="00A4595A">
      <w:pPr>
        <w:spacing w:before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2959462E" wp14:editId="7A901CE3">
            <wp:simplePos x="0" y="0"/>
            <wp:positionH relativeFrom="column">
              <wp:posOffset>-3810</wp:posOffset>
            </wp:positionH>
            <wp:positionV relativeFrom="paragraph">
              <wp:posOffset>192405</wp:posOffset>
            </wp:positionV>
            <wp:extent cx="5759450" cy="2705100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středky S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B47CA6" w14:textId="638FADD6" w:rsidR="001F746A" w:rsidRPr="0029459B" w:rsidRDefault="001F746A" w:rsidP="00A4595A">
      <w:pPr>
        <w:spacing w:before="0"/>
        <w:rPr>
          <w:b/>
        </w:rPr>
      </w:pPr>
    </w:p>
    <w:p w14:paraId="58E50A3C" w14:textId="2C6514DA" w:rsidR="00A17B53" w:rsidRPr="0029459B" w:rsidRDefault="00A17B53" w:rsidP="00A4595A">
      <w:pPr>
        <w:spacing w:before="0"/>
        <w:rPr>
          <w:b/>
          <w:lang w:eastAsia="cs-CZ"/>
        </w:rPr>
      </w:pPr>
      <w:r w:rsidRPr="0029459B">
        <w:rPr>
          <w:b/>
          <w:lang w:eastAsia="cs-CZ"/>
        </w:rPr>
        <w:t xml:space="preserve">NKÚ zkontroloval peněžní prostředky </w:t>
      </w:r>
      <w:r w:rsidR="00E22AA0">
        <w:rPr>
          <w:b/>
          <w:lang w:eastAsia="cs-CZ"/>
        </w:rPr>
        <w:t>v celkové výši</w:t>
      </w:r>
      <w:r w:rsidRPr="0029459B">
        <w:rPr>
          <w:b/>
          <w:lang w:eastAsia="cs-CZ"/>
        </w:rPr>
        <w:t xml:space="preserve"> 4 071 mil. Kč, z toho:</w:t>
      </w:r>
    </w:p>
    <w:p w14:paraId="65C68147" w14:textId="77777777" w:rsidR="00A17B53" w:rsidRPr="00A62A7F" w:rsidRDefault="00A17B53" w:rsidP="00A4595A">
      <w:pPr>
        <w:pStyle w:val="Odstavecseseznamem"/>
        <w:numPr>
          <w:ilvl w:val="0"/>
          <w:numId w:val="10"/>
        </w:numPr>
        <w:spacing w:before="0"/>
        <w:ind w:left="426"/>
        <w:contextualSpacing w:val="0"/>
      </w:pPr>
      <w:r w:rsidRPr="00A62A7F">
        <w:t>na MPSV 36 mil. Kč vynaložených na realizaci systémových projektů týkajících se oblasti zaměstnávání OZP;</w:t>
      </w:r>
    </w:p>
    <w:p w14:paraId="0B5A66B3" w14:textId="77777777" w:rsidR="00A17B53" w:rsidRPr="00A62A7F" w:rsidRDefault="00A17B53" w:rsidP="00A4595A">
      <w:pPr>
        <w:pStyle w:val="Odstavecseseznamem"/>
        <w:numPr>
          <w:ilvl w:val="0"/>
          <w:numId w:val="10"/>
        </w:numPr>
        <w:spacing w:before="0"/>
        <w:ind w:left="426"/>
        <w:contextualSpacing w:val="0"/>
      </w:pPr>
      <w:r w:rsidRPr="00A62A7F">
        <w:t>na generálním ředitelství ÚP ČR 2 999 mil. Kč souvisejících s odvodem do státního rozpočtu a náhradním plněním pro účely plnění povinnosti ÚP ČR zaměstnat OZP;</w:t>
      </w:r>
    </w:p>
    <w:p w14:paraId="262295B4" w14:textId="77777777" w:rsidR="00A17B53" w:rsidRPr="00A62A7F" w:rsidRDefault="00A17B53" w:rsidP="00A4595A">
      <w:pPr>
        <w:pStyle w:val="Odstavecseseznamem"/>
        <w:numPr>
          <w:ilvl w:val="0"/>
          <w:numId w:val="10"/>
        </w:numPr>
        <w:spacing w:before="0"/>
        <w:ind w:left="426"/>
        <w:contextualSpacing w:val="0"/>
      </w:pPr>
      <w:r w:rsidRPr="00A62A7F">
        <w:t>na krajských pobočkách ÚP ČR a u příjemců 965 mil. Kč v rámci procesu poskytování a použití peněžních prostředků;</w:t>
      </w:r>
    </w:p>
    <w:p w14:paraId="17D5E878" w14:textId="77777777" w:rsidR="00A17B53" w:rsidRPr="0029459B" w:rsidRDefault="00A17B53" w:rsidP="00A4595A">
      <w:pPr>
        <w:pStyle w:val="Odstavecseseznamem"/>
        <w:numPr>
          <w:ilvl w:val="0"/>
          <w:numId w:val="10"/>
        </w:numPr>
        <w:spacing w:before="0"/>
        <w:ind w:left="426"/>
        <w:contextualSpacing w:val="0"/>
        <w:rPr>
          <w:b/>
        </w:rPr>
      </w:pPr>
      <w:r w:rsidRPr="00A62A7F">
        <w:t xml:space="preserve">u příjemců 71 mil. Kč souvisejících s poskytnutým náhradním plněním. </w:t>
      </w:r>
    </w:p>
    <w:p w14:paraId="68206979" w14:textId="77777777" w:rsidR="00CD4432" w:rsidRDefault="00CD4432" w:rsidP="00A4595A">
      <w:pPr>
        <w:spacing w:before="0"/>
        <w:rPr>
          <w:b/>
        </w:rPr>
      </w:pPr>
    </w:p>
    <w:p w14:paraId="671AA2A5" w14:textId="3CDDA96A" w:rsidR="00746224" w:rsidRDefault="00A17B53" w:rsidP="00A4595A">
      <w:pPr>
        <w:spacing w:before="0"/>
        <w:rPr>
          <w:b/>
        </w:rPr>
      </w:pPr>
      <w:r w:rsidRPr="0029459B">
        <w:rPr>
          <w:b/>
        </w:rPr>
        <w:t>Kontrolou NKÚ bylo prověřeno 380 příspěvků v celkové výši 965 mil. Kč poskytnutých ÚP</w:t>
      </w:r>
      <w:r w:rsidR="00E22AA0">
        <w:rPr>
          <w:b/>
        </w:rPr>
        <w:t> </w:t>
      </w:r>
      <w:r w:rsidRPr="0029459B">
        <w:rPr>
          <w:b/>
        </w:rPr>
        <w:t>ČR 21 příjemcům. Zjištěny byly nedostatky při poskytování příspěvku podle ustanovení § 78 ve výši 216 735 Kč a dále nedostatky administrativního charakteru, které ve svém důsledku neměly vliv na výši poskytnutých příspěvků.</w:t>
      </w:r>
    </w:p>
    <w:p w14:paraId="708F67E2" w14:textId="77777777" w:rsidR="00A17B53" w:rsidRDefault="00A17B53" w:rsidP="00A4595A">
      <w:pPr>
        <w:spacing w:before="0"/>
        <w:rPr>
          <w:lang w:eastAsia="cs-CZ"/>
        </w:rPr>
      </w:pPr>
    </w:p>
    <w:p w14:paraId="70C8F308" w14:textId="77777777" w:rsidR="00CD4432" w:rsidRPr="0029459B" w:rsidRDefault="00CD4432" w:rsidP="00A4595A">
      <w:pPr>
        <w:spacing w:before="0"/>
        <w:rPr>
          <w:lang w:eastAsia="cs-CZ"/>
        </w:rPr>
      </w:pPr>
    </w:p>
    <w:p w14:paraId="798A4337" w14:textId="48417CAE" w:rsidR="00A4595A" w:rsidRDefault="004A6D82" w:rsidP="00A4595A">
      <w:pPr>
        <w:spacing w:before="0"/>
        <w:ind w:left="567" w:hanging="567"/>
      </w:pPr>
      <w:r w:rsidRPr="0029459B">
        <w:rPr>
          <w:rFonts w:cstheme="minorHAnsi"/>
          <w:b/>
          <w:sz w:val="20"/>
          <w:szCs w:val="20"/>
        </w:rPr>
        <w:t>Pozn.:</w:t>
      </w:r>
      <w:r w:rsidRPr="0029459B">
        <w:rPr>
          <w:rFonts w:cstheme="minorHAnsi"/>
          <w:sz w:val="20"/>
          <w:szCs w:val="20"/>
        </w:rPr>
        <w:tab/>
        <w:t>Právní předpisy uvedené v tomto kontrolním závěru jsou aplikovány ve znění účinném pro kontrolované období.</w:t>
      </w:r>
      <w:r w:rsidR="00A4595A" w:rsidRPr="00A4595A">
        <w:t xml:space="preserve"> </w:t>
      </w:r>
    </w:p>
    <w:p w14:paraId="3B336112" w14:textId="2147BA55" w:rsidR="004A6D82" w:rsidRPr="0029459B" w:rsidRDefault="004A6D82" w:rsidP="00A4595A">
      <w:pPr>
        <w:spacing w:before="0"/>
        <w:ind w:left="624" w:hanging="624"/>
        <w:rPr>
          <w:rFonts w:cs="Times New Roman"/>
          <w:b/>
          <w:sz w:val="28"/>
          <w:szCs w:val="20"/>
          <w:lang w:eastAsia="cs-CZ"/>
        </w:rPr>
      </w:pPr>
      <w:r w:rsidRPr="0029459B">
        <w:br w:type="page"/>
      </w:r>
    </w:p>
    <w:p w14:paraId="4D374F0D" w14:textId="1D06901E" w:rsidR="00AE5BD9" w:rsidRPr="0029459B" w:rsidRDefault="00A4595A" w:rsidP="00A4595A">
      <w:pPr>
        <w:pStyle w:val="Nzevtext"/>
        <w:numPr>
          <w:ilvl w:val="0"/>
          <w:numId w:val="0"/>
        </w:numPr>
        <w:ind w:left="360"/>
      </w:pPr>
      <w:r>
        <w:lastRenderedPageBreak/>
        <w:t xml:space="preserve">II. </w:t>
      </w:r>
      <w:r w:rsidR="00AE5BD9" w:rsidRPr="0029459B">
        <w:t>Shrnutí a vyhodnocení</w:t>
      </w:r>
    </w:p>
    <w:p w14:paraId="222D5B77" w14:textId="1FD3A0DF" w:rsidR="00A17B53" w:rsidRPr="00A4595A" w:rsidRDefault="00A17B53" w:rsidP="00A4595A">
      <w:pPr>
        <w:pStyle w:val="Odstavecseseznamem"/>
        <w:numPr>
          <w:ilvl w:val="0"/>
          <w:numId w:val="0"/>
        </w:numPr>
        <w:shd w:val="clear" w:color="auto" w:fill="FFFFFF" w:themeFill="background1"/>
        <w:spacing w:before="0"/>
        <w:contextualSpacing w:val="0"/>
        <w:rPr>
          <w:b/>
        </w:rPr>
      </w:pPr>
    </w:p>
    <w:p w14:paraId="0569ED95" w14:textId="26840021" w:rsidR="00A528DC" w:rsidRPr="00A4595A" w:rsidRDefault="00A62A7F" w:rsidP="00A4595A">
      <w:pPr>
        <w:pStyle w:val="Odstavecseseznamem"/>
        <w:numPr>
          <w:ilvl w:val="0"/>
          <w:numId w:val="0"/>
        </w:numPr>
        <w:shd w:val="clear" w:color="auto" w:fill="FFFFFF" w:themeFill="background1"/>
        <w:spacing w:before="0"/>
        <w:contextualSpacing w:val="0"/>
        <w:rPr>
          <w:b/>
        </w:rPr>
      </w:pPr>
      <w:r w:rsidRPr="00A4595A">
        <w:rPr>
          <w:b/>
        </w:rPr>
        <w:t>NKÚ n</w:t>
      </w:r>
      <w:r w:rsidR="00A528DC" w:rsidRPr="00A4595A">
        <w:rPr>
          <w:b/>
        </w:rPr>
        <w:t xml:space="preserve">a základě provedené kontroly </w:t>
      </w:r>
      <w:r w:rsidRPr="00A4595A">
        <w:rPr>
          <w:b/>
        </w:rPr>
        <w:t>a zjištěných skutečností konstatuje</w:t>
      </w:r>
      <w:r w:rsidR="00A528DC" w:rsidRPr="00A4595A">
        <w:rPr>
          <w:b/>
        </w:rPr>
        <w:t>:</w:t>
      </w:r>
    </w:p>
    <w:p w14:paraId="5FA51E85" w14:textId="77777777" w:rsidR="00B77D68" w:rsidRPr="00A4595A" w:rsidRDefault="00B77D68" w:rsidP="00A4595A">
      <w:pPr>
        <w:pStyle w:val="Odstavecseseznamem"/>
        <w:numPr>
          <w:ilvl w:val="0"/>
          <w:numId w:val="0"/>
        </w:numPr>
        <w:shd w:val="clear" w:color="auto" w:fill="FFFFFF" w:themeFill="background1"/>
        <w:spacing w:before="0"/>
        <w:contextualSpacing w:val="0"/>
        <w:rPr>
          <w:b/>
        </w:rPr>
      </w:pPr>
    </w:p>
    <w:p w14:paraId="4BCC307D" w14:textId="371D37F8" w:rsidR="00A528DC" w:rsidRPr="00A4595A" w:rsidRDefault="00A528DC" w:rsidP="00424227">
      <w:pPr>
        <w:pStyle w:val="Odstavecseseznamem"/>
        <w:numPr>
          <w:ilvl w:val="0"/>
          <w:numId w:val="9"/>
        </w:numPr>
        <w:tabs>
          <w:tab w:val="left" w:pos="284"/>
        </w:tabs>
        <w:spacing w:before="0"/>
        <w:ind w:left="284" w:hanging="284"/>
        <w:contextualSpacing w:val="0"/>
        <w:rPr>
          <w:b/>
        </w:rPr>
      </w:pPr>
      <w:r w:rsidRPr="00A4595A">
        <w:rPr>
          <w:b/>
          <w:i/>
        </w:rPr>
        <w:t xml:space="preserve">Koncepce </w:t>
      </w:r>
      <w:r w:rsidR="00437057" w:rsidRPr="00A4595A">
        <w:rPr>
          <w:b/>
          <w:i/>
        </w:rPr>
        <w:t>politiky zaměstnanosti 2013</w:t>
      </w:r>
      <w:r w:rsidR="00B62369" w:rsidRPr="00A4595A">
        <w:rPr>
          <w:b/>
          <w:i/>
        </w:rPr>
        <w:t>–</w:t>
      </w:r>
      <w:r w:rsidR="00437057" w:rsidRPr="00A4595A">
        <w:rPr>
          <w:b/>
          <w:i/>
        </w:rPr>
        <w:t>2020</w:t>
      </w:r>
      <w:r w:rsidRPr="00A4595A">
        <w:rPr>
          <w:b/>
        </w:rPr>
        <w:t xml:space="preserve"> </w:t>
      </w:r>
      <w:r w:rsidR="00635DB1" w:rsidRPr="00A4595A">
        <w:rPr>
          <w:b/>
        </w:rPr>
        <w:t xml:space="preserve">ani navazující </w:t>
      </w:r>
      <w:r w:rsidR="00635DB1" w:rsidRPr="00A4595A">
        <w:rPr>
          <w:b/>
          <w:i/>
        </w:rPr>
        <w:t>Strategie politiky zaměstnanosti do roku 2020</w:t>
      </w:r>
      <w:r w:rsidR="00635DB1" w:rsidRPr="00A4595A">
        <w:rPr>
          <w:b/>
        </w:rPr>
        <w:t xml:space="preserve"> nemají</w:t>
      </w:r>
      <w:r w:rsidRPr="00A4595A">
        <w:rPr>
          <w:b/>
        </w:rPr>
        <w:t xml:space="preserve"> </w:t>
      </w:r>
      <w:r w:rsidR="00CB5291" w:rsidRPr="00A4595A">
        <w:rPr>
          <w:b/>
        </w:rPr>
        <w:t xml:space="preserve">pro oblast zaměstnávání OZP </w:t>
      </w:r>
      <w:r w:rsidRPr="00A4595A">
        <w:rPr>
          <w:b/>
        </w:rPr>
        <w:t>stanoveny žádné konkrétní a měřitelné cíle, podle kterých by bylo možné hodnotit míru jejich plnění.</w:t>
      </w:r>
    </w:p>
    <w:p w14:paraId="10103C1A" w14:textId="77777777" w:rsidR="00A4595A" w:rsidRDefault="00A4595A" w:rsidP="00A4595A">
      <w:pPr>
        <w:spacing w:before="0"/>
      </w:pPr>
    </w:p>
    <w:p w14:paraId="44361C9F" w14:textId="05B35AFD" w:rsidR="00596077" w:rsidRDefault="00596077" w:rsidP="00A4595A">
      <w:pPr>
        <w:spacing w:before="0"/>
      </w:pPr>
      <w:r w:rsidRPr="00A4595A">
        <w:t>Opatření Národního plánu 2010</w:t>
      </w:r>
      <w:r w:rsidR="00B62369" w:rsidRPr="00A4595A">
        <w:t>–</w:t>
      </w:r>
      <w:r w:rsidRPr="00A4595A">
        <w:t xml:space="preserve">2014, které mělo za účel odstranit nerovnoprávné postavení OZP v odměňování minimální mzdou, nebylo splněno. Opatření bylo dále přeneseno do </w:t>
      </w:r>
      <w:r w:rsidRPr="00A4595A">
        <w:rPr>
          <w:i/>
        </w:rPr>
        <w:t xml:space="preserve">Národního plánu podpory rovných příležitostí pro osoby se zdravotním postižením na </w:t>
      </w:r>
      <w:r w:rsidR="00B62369" w:rsidRPr="00A4595A">
        <w:rPr>
          <w:i/>
        </w:rPr>
        <w:t>období 2015–</w:t>
      </w:r>
      <w:r w:rsidRPr="00A4595A">
        <w:rPr>
          <w:i/>
        </w:rPr>
        <w:t>2020</w:t>
      </w:r>
      <w:r w:rsidRPr="00A4595A">
        <w:t xml:space="preserve"> s novým termínem plnění </w:t>
      </w:r>
      <w:r w:rsidR="00E22AA0">
        <w:t xml:space="preserve">do </w:t>
      </w:r>
      <w:r w:rsidRPr="00A4595A">
        <w:t>1. 1. 2017.</w:t>
      </w:r>
    </w:p>
    <w:p w14:paraId="59DE6645" w14:textId="77777777" w:rsidR="00A4595A" w:rsidRPr="00A4595A" w:rsidRDefault="00A4595A" w:rsidP="00A4595A">
      <w:pPr>
        <w:spacing w:before="0"/>
      </w:pPr>
    </w:p>
    <w:p w14:paraId="736D108F" w14:textId="4EEDB3C4" w:rsidR="00A528DC" w:rsidRDefault="00E17571" w:rsidP="00A4595A">
      <w:pPr>
        <w:spacing w:before="0"/>
        <w:rPr>
          <w:rFonts w:cs="Times New Roman"/>
        </w:rPr>
      </w:pPr>
      <w:r w:rsidRPr="00A4595A">
        <w:t xml:space="preserve">MPSV vychází </w:t>
      </w:r>
      <w:r w:rsidR="00C340CC" w:rsidRPr="00A4595A">
        <w:t xml:space="preserve">při tvorbě koncepčních materiálů </w:t>
      </w:r>
      <w:r w:rsidRPr="00A4595A">
        <w:t>ze statistických šetření osob se zdravotním postižením prováděných Českým statistickým úřadem, jejichž četnost</w:t>
      </w:r>
      <w:r w:rsidR="00C340CC" w:rsidRPr="00A4595A">
        <w:t xml:space="preserve"> v oblasti OZP je</w:t>
      </w:r>
      <w:r w:rsidRPr="00A4595A">
        <w:t xml:space="preserve"> pro směřování a strategická rozhodnutí MPSV v oblasti zaměstnávání OZP nedostatečná</w:t>
      </w:r>
      <w:r w:rsidR="00A528DC" w:rsidRPr="00A4595A">
        <w:rPr>
          <w:rFonts w:cs="Times New Roman"/>
        </w:rPr>
        <w:t xml:space="preserve">. </w:t>
      </w:r>
    </w:p>
    <w:p w14:paraId="44064114" w14:textId="77777777" w:rsidR="00A4595A" w:rsidRPr="00A4595A" w:rsidRDefault="00A4595A" w:rsidP="00A4595A">
      <w:pPr>
        <w:spacing w:before="0"/>
        <w:rPr>
          <w:rFonts w:cs="Times New Roman"/>
        </w:rPr>
      </w:pPr>
    </w:p>
    <w:p w14:paraId="248A722D" w14:textId="2FE84038" w:rsidR="00817440" w:rsidRDefault="00E46912" w:rsidP="00A4595A">
      <w:pPr>
        <w:spacing w:before="0"/>
        <w:rPr>
          <w:lang w:eastAsia="cs-CZ"/>
        </w:rPr>
      </w:pPr>
      <w:r w:rsidRPr="00A4595A">
        <w:rPr>
          <w:lang w:eastAsia="cs-CZ"/>
        </w:rPr>
        <w:t>Výdaje státního rozpočtu na oblast zaměstnávání OZP vzrostly z 3 036 mil. Kč v roce 2010 na 4 381 mil. Kč v roce 2015, přesto se podíl počtu uchazečů OZP o zaměstnání na celkovém počtu uchazečů o zaměstnání ne</w:t>
      </w:r>
      <w:r w:rsidR="00C34703" w:rsidRPr="00A4595A">
        <w:rPr>
          <w:lang w:eastAsia="cs-CZ"/>
        </w:rPr>
        <w:t>po</w:t>
      </w:r>
      <w:r w:rsidRPr="00A4595A">
        <w:rPr>
          <w:lang w:eastAsia="cs-CZ"/>
        </w:rPr>
        <w:t>dař</w:t>
      </w:r>
      <w:r w:rsidR="00E3713F" w:rsidRPr="00A4595A">
        <w:rPr>
          <w:lang w:eastAsia="cs-CZ"/>
        </w:rPr>
        <w:t>ilo</w:t>
      </w:r>
      <w:r w:rsidRPr="00A4595A">
        <w:rPr>
          <w:lang w:eastAsia="cs-CZ"/>
        </w:rPr>
        <w:t xml:space="preserve"> snížit. </w:t>
      </w:r>
    </w:p>
    <w:p w14:paraId="3EFB7834" w14:textId="77777777" w:rsidR="00A4595A" w:rsidRPr="00A4595A" w:rsidRDefault="00A4595A" w:rsidP="00A4595A">
      <w:pPr>
        <w:spacing w:before="0"/>
        <w:rPr>
          <w:rFonts w:cs="Times New Roman"/>
        </w:rPr>
      </w:pPr>
    </w:p>
    <w:p w14:paraId="5897CA8E" w14:textId="4CB64BB7" w:rsidR="00A528DC" w:rsidRDefault="00C85B98" w:rsidP="00424227">
      <w:pPr>
        <w:pStyle w:val="Odstavecseseznamem"/>
        <w:numPr>
          <w:ilvl w:val="0"/>
          <w:numId w:val="9"/>
        </w:numPr>
        <w:tabs>
          <w:tab w:val="left" w:pos="284"/>
        </w:tabs>
        <w:spacing w:before="0"/>
        <w:ind w:left="284" w:hanging="284"/>
        <w:contextualSpacing w:val="0"/>
        <w:rPr>
          <w:b/>
        </w:rPr>
      </w:pPr>
      <w:r w:rsidRPr="00A4595A">
        <w:rPr>
          <w:b/>
        </w:rPr>
        <w:t xml:space="preserve">Ačkoliv hlavní prioritou politiky zaměstnanosti </w:t>
      </w:r>
      <w:r w:rsidR="00A528DC" w:rsidRPr="00A4595A">
        <w:rPr>
          <w:b/>
        </w:rPr>
        <w:t xml:space="preserve">a smyslem všech typů podpor </w:t>
      </w:r>
      <w:r w:rsidR="00A35278" w:rsidRPr="00A4595A">
        <w:rPr>
          <w:b/>
        </w:rPr>
        <w:t xml:space="preserve">v oblasti zaměstnávání OZP </w:t>
      </w:r>
      <w:r w:rsidR="00A528DC" w:rsidRPr="00A4595A">
        <w:rPr>
          <w:b/>
        </w:rPr>
        <w:t xml:space="preserve">poskytnutých ze státního rozpočtu je </w:t>
      </w:r>
      <w:r w:rsidR="00726824" w:rsidRPr="00A4595A">
        <w:rPr>
          <w:b/>
        </w:rPr>
        <w:t>podpora přístupu OZP k </w:t>
      </w:r>
      <w:r w:rsidRPr="00A4595A">
        <w:rPr>
          <w:b/>
        </w:rPr>
        <w:t>zaměstnání</w:t>
      </w:r>
      <w:r w:rsidR="00A528DC" w:rsidRPr="00A4595A">
        <w:rPr>
          <w:b/>
        </w:rPr>
        <w:t xml:space="preserve"> nebo usnadnění vstupu OZP na </w:t>
      </w:r>
      <w:r w:rsidRPr="00A4595A">
        <w:rPr>
          <w:b/>
        </w:rPr>
        <w:t>volný</w:t>
      </w:r>
      <w:r w:rsidR="00A528DC" w:rsidRPr="00A4595A">
        <w:rPr>
          <w:b/>
        </w:rPr>
        <w:t xml:space="preserve"> trh</w:t>
      </w:r>
      <w:r w:rsidRPr="00A4595A">
        <w:rPr>
          <w:b/>
        </w:rPr>
        <w:t xml:space="preserve"> práce</w:t>
      </w:r>
      <w:r w:rsidR="00A528DC" w:rsidRPr="00A4595A">
        <w:rPr>
          <w:b/>
        </w:rPr>
        <w:t xml:space="preserve"> a tím i jejich začlenění do většinové společnosti, byl v letech 2010 až 2015 z celkového objemu prostředků vyplacen největší podíl (</w:t>
      </w:r>
      <w:r w:rsidR="009053FD" w:rsidRPr="00A4595A">
        <w:rPr>
          <w:b/>
        </w:rPr>
        <w:t xml:space="preserve">až </w:t>
      </w:r>
      <w:r w:rsidR="00A528DC" w:rsidRPr="00A4595A">
        <w:rPr>
          <w:b/>
        </w:rPr>
        <w:t>96</w:t>
      </w:r>
      <w:r w:rsidR="00E22AA0">
        <w:rPr>
          <w:b/>
        </w:rPr>
        <w:t> </w:t>
      </w:r>
      <w:r w:rsidR="00A528DC" w:rsidRPr="00A4595A">
        <w:rPr>
          <w:b/>
        </w:rPr>
        <w:t xml:space="preserve">%) zaměstnavatelům, kteří působí na chráněném trhu práce. Ostatní instituty určené </w:t>
      </w:r>
      <w:r w:rsidR="000011C1" w:rsidRPr="00A4595A">
        <w:rPr>
          <w:b/>
        </w:rPr>
        <w:t xml:space="preserve">také </w:t>
      </w:r>
      <w:r w:rsidR="00A528DC" w:rsidRPr="00A4595A">
        <w:rPr>
          <w:b/>
        </w:rPr>
        <w:t>pro zaměstnavatele působící na volném trhu práce byly využívány spíše okrajově</w:t>
      </w:r>
      <w:r w:rsidR="00AE531B" w:rsidRPr="00A4595A">
        <w:rPr>
          <w:b/>
        </w:rPr>
        <w:t xml:space="preserve"> (meziročně klesaly z 10,6 % v roce 2010 až na 1,38 % v roce 2015 na všech vyplacených prostředcích na zaměstnávání OZP)</w:t>
      </w:r>
      <w:r w:rsidR="00A528DC" w:rsidRPr="00A4595A">
        <w:rPr>
          <w:b/>
        </w:rPr>
        <w:t>.</w:t>
      </w:r>
    </w:p>
    <w:p w14:paraId="01348C14" w14:textId="77777777" w:rsidR="00A4595A" w:rsidRPr="00A4595A" w:rsidRDefault="00A4595A" w:rsidP="00A4595A">
      <w:pPr>
        <w:spacing w:before="0"/>
      </w:pPr>
    </w:p>
    <w:p w14:paraId="5799ED44" w14:textId="7EFCF405" w:rsidR="00635DB1" w:rsidRDefault="00635DB1" w:rsidP="00A4595A">
      <w:pPr>
        <w:spacing w:before="0"/>
      </w:pPr>
      <w:r w:rsidRPr="006F6B36">
        <w:rPr>
          <w:b/>
        </w:rPr>
        <w:t xml:space="preserve">Poskytování příspěvku podle </w:t>
      </w:r>
      <w:r w:rsidR="001C779F" w:rsidRPr="006F6B36">
        <w:rPr>
          <w:b/>
        </w:rPr>
        <w:t xml:space="preserve">ustanovení </w:t>
      </w:r>
      <w:r w:rsidRPr="006F6B36">
        <w:rPr>
          <w:b/>
        </w:rPr>
        <w:t>§ 78</w:t>
      </w:r>
      <w:r w:rsidRPr="00A4595A">
        <w:t xml:space="preserve"> nepřispívá k naplnění hlavního cíle stanovené politiky zaměstnanosti OZP, tj. umístění OZP na volném trhu práce a jejich začlenění do většinové společnosti. Ve svém důsledku tento nárokový příspěvek</w:t>
      </w:r>
      <w:r w:rsidR="00ED1C0C" w:rsidRPr="00A4595A">
        <w:t xml:space="preserve"> </w:t>
      </w:r>
      <w:r w:rsidRPr="00A4595A">
        <w:t>podporuje vznik nových zaměstnavatelů specializujících se na zaměstnávání OZP a jejich koncentraci na chráněném trhu práce. Peněžní prostředky vynakládané státem na podporu zaměstnává</w:t>
      </w:r>
      <w:r w:rsidR="001C779F" w:rsidRPr="00A4595A">
        <w:t>ní OZP rostly v období let 2010–</w:t>
      </w:r>
      <w:r w:rsidRPr="00A4595A">
        <w:t xml:space="preserve">2015 jednak z důvodu zvyšování zákonné výše příspěvku, </w:t>
      </w:r>
      <w:r w:rsidR="00E22AA0">
        <w:t>jednak</w:t>
      </w:r>
      <w:r w:rsidRPr="00A4595A">
        <w:t xml:space="preserve"> z důvodu vyššího zaměstnávání OZP u zaměstnavatelů, kteří zaměstnávají více než 50 % OZP.</w:t>
      </w:r>
    </w:p>
    <w:p w14:paraId="01825CF3" w14:textId="77777777" w:rsidR="00A4595A" w:rsidRPr="00A4595A" w:rsidRDefault="00A4595A" w:rsidP="00A4595A">
      <w:pPr>
        <w:spacing w:before="0"/>
        <w:rPr>
          <w:u w:val="single"/>
        </w:rPr>
      </w:pPr>
    </w:p>
    <w:p w14:paraId="0177DA64" w14:textId="70A24650" w:rsidR="00635DB1" w:rsidRPr="00A4595A" w:rsidRDefault="001144D6" w:rsidP="00A4595A">
      <w:pPr>
        <w:spacing w:before="0"/>
        <w:rPr>
          <w:b/>
        </w:rPr>
      </w:pPr>
      <w:r w:rsidRPr="001E056F">
        <w:rPr>
          <w:b/>
        </w:rPr>
        <w:t>N</w:t>
      </w:r>
      <w:r w:rsidR="00635DB1" w:rsidRPr="001E056F">
        <w:rPr>
          <w:b/>
        </w:rPr>
        <w:t>áhradní plnění</w:t>
      </w:r>
      <w:r w:rsidR="00635DB1" w:rsidRPr="001E056F">
        <w:rPr>
          <w:rStyle w:val="Znakapoznpodarou"/>
        </w:rPr>
        <w:footnoteReference w:id="10"/>
      </w:r>
      <w:r w:rsidR="00635DB1" w:rsidRPr="00A4595A">
        <w:t xml:space="preserve"> je jedním ze způsobů plnění povinnosti </w:t>
      </w:r>
      <w:r w:rsidR="00CB5C79">
        <w:t>zaměstnavatele zaměstnat OZP. V </w:t>
      </w:r>
      <w:r w:rsidR="00635DB1" w:rsidRPr="00A4595A">
        <w:t>praxi stále dochází k tzv. přefa</w:t>
      </w:r>
      <w:r w:rsidR="004738CD" w:rsidRPr="00A4595A">
        <w:t>kturovávání výrobků a služeb, t</w:t>
      </w:r>
      <w:r w:rsidR="007949C0" w:rsidRPr="00A4595A">
        <w:t>j</w:t>
      </w:r>
      <w:r w:rsidR="00635DB1" w:rsidRPr="00A4595A">
        <w:t xml:space="preserve">. </w:t>
      </w:r>
      <w:r w:rsidR="00635DB1" w:rsidRPr="00A4595A">
        <w:rPr>
          <w:rFonts w:cstheme="minorHAnsi"/>
        </w:rPr>
        <w:t xml:space="preserve">poskytování náhradního plnění prodejem zboží či služeb od výrobců a dodavatelů, kteří nesplňují podmínku </w:t>
      </w:r>
      <w:r w:rsidR="00635DB1" w:rsidRPr="00A4595A">
        <w:rPr>
          <w:rFonts w:cstheme="minorHAnsi"/>
        </w:rPr>
        <w:lastRenderedPageBreak/>
        <w:t>zaměstnávání více než 50 % OZP, a nikoli prodejem vlastní výroby či poskytování</w:t>
      </w:r>
      <w:r w:rsidR="00A11EAE" w:rsidRPr="00A4595A">
        <w:rPr>
          <w:rFonts w:cstheme="minorHAnsi"/>
        </w:rPr>
        <w:t>m</w:t>
      </w:r>
      <w:r w:rsidR="00635DB1" w:rsidRPr="00A4595A">
        <w:rPr>
          <w:rFonts w:cstheme="minorHAnsi"/>
        </w:rPr>
        <w:t xml:space="preserve"> služeb vlastními zaměstnanci, kteří jsou OZP</w:t>
      </w:r>
      <w:r w:rsidR="0027463F" w:rsidRPr="00A4595A">
        <w:t>. Na kontrolním vzorku 21 </w:t>
      </w:r>
      <w:r w:rsidR="00635DB1" w:rsidRPr="00A4595A">
        <w:t>příjemců (zaměstnavatelů s více než 50 % OZP) bylo zjištěno, že</w:t>
      </w:r>
      <w:r w:rsidRPr="00A4595A">
        <w:t xml:space="preserve"> </w:t>
      </w:r>
      <w:r w:rsidR="00A17B53" w:rsidRPr="00A4595A">
        <w:t>pouze necelá polovina z nich (42 %)</w:t>
      </w:r>
      <w:r w:rsidR="00A179BF" w:rsidRPr="00A4595A">
        <w:t xml:space="preserve"> poskytovala náhradní plnění </w:t>
      </w:r>
      <w:r w:rsidR="007C5171" w:rsidRPr="00A4595A">
        <w:t xml:space="preserve">výhradně </w:t>
      </w:r>
      <w:r w:rsidR="00A179BF" w:rsidRPr="00A4595A">
        <w:t xml:space="preserve">na základě vlastní činnosti a vlastními zaměstnanci, výše jimi poskytnutého </w:t>
      </w:r>
      <w:r w:rsidRPr="00A4595A">
        <w:t xml:space="preserve">náhradního plnění </w:t>
      </w:r>
      <w:r w:rsidR="00A179BF" w:rsidRPr="00A4595A">
        <w:t xml:space="preserve">činila </w:t>
      </w:r>
      <w:r w:rsidRPr="00A4595A">
        <w:t>3 523 680 283 Kč</w:t>
      </w:r>
      <w:r w:rsidR="00806EF8">
        <w:t>,</w:t>
      </w:r>
      <w:r w:rsidRPr="00A4595A">
        <w:t xml:space="preserve"> tj. 22 %</w:t>
      </w:r>
      <w:r w:rsidR="00A179BF" w:rsidRPr="00A4595A">
        <w:t xml:space="preserve"> z celkového poskytnutého plnění</w:t>
      </w:r>
      <w:r w:rsidR="00635DB1" w:rsidRPr="00A4595A">
        <w:t>.</w:t>
      </w:r>
      <w:r w:rsidR="00A179BF" w:rsidRPr="00A4595A">
        <w:t xml:space="preserve"> Zbývající příjemci poskytovali náhradní plnění kombinací obou způsobů. </w:t>
      </w:r>
      <w:r w:rsidR="00635DB1" w:rsidRPr="00A4595A">
        <w:rPr>
          <w:b/>
        </w:rPr>
        <w:t>Základní princip této formy podpory chráněného trhu práce, tj.</w:t>
      </w:r>
      <w:r w:rsidR="009053FD" w:rsidRPr="00A4595A">
        <w:rPr>
          <w:b/>
        </w:rPr>
        <w:t xml:space="preserve"> zajištění odbytu výrobků a služeb od zaměstnavatelů zaměstnávajících více než 50 % OZP a </w:t>
      </w:r>
      <w:r w:rsidR="00806EF8">
        <w:rPr>
          <w:b/>
        </w:rPr>
        <w:t>z toho plynoucí</w:t>
      </w:r>
      <w:r w:rsidR="009053FD" w:rsidRPr="00A4595A">
        <w:rPr>
          <w:b/>
        </w:rPr>
        <w:t xml:space="preserve"> </w:t>
      </w:r>
      <w:r w:rsidR="00635DB1" w:rsidRPr="00A4595A">
        <w:rPr>
          <w:b/>
        </w:rPr>
        <w:t>vznik a udržení pracovních míst pro OZP prostřednictvím určitého zvýhodnění jejich zaměstnavatelů na trhu práce, tak není naplněn.</w:t>
      </w:r>
    </w:p>
    <w:p w14:paraId="3920B86A" w14:textId="77777777" w:rsidR="00A4595A" w:rsidRDefault="00A4595A" w:rsidP="00A4595A">
      <w:pPr>
        <w:spacing w:before="0"/>
      </w:pPr>
    </w:p>
    <w:p w14:paraId="2F32093C" w14:textId="27A95D2B" w:rsidR="00635DB1" w:rsidRDefault="00635DB1" w:rsidP="00A4595A">
      <w:pPr>
        <w:spacing w:before="0"/>
      </w:pPr>
      <w:r w:rsidRPr="00A4595A">
        <w:t>Při překročení stanoveného limitu</w:t>
      </w:r>
      <w:r w:rsidRPr="00A4595A">
        <w:rPr>
          <w:rStyle w:val="Znakapoznpodarou"/>
        </w:rPr>
        <w:footnoteReference w:id="11"/>
      </w:r>
      <w:r w:rsidRPr="00A4595A">
        <w:t xml:space="preserve"> pro poskytnutí náhradního plnění neplynou poskytovateli výrobků či služeb žádné sankce. </w:t>
      </w:r>
      <w:r w:rsidR="007C3F42" w:rsidRPr="00A4595A">
        <w:t xml:space="preserve">Důsledkem je, že zaměstnavatelé, kteří od poskytovatele odebrali výrobky či služby nad stanovený limit, nevědomě nesplnili povinnost zaměstnat OZP </w:t>
      </w:r>
      <w:r w:rsidR="00E43F20" w:rsidRPr="00A4595A">
        <w:t xml:space="preserve">buď </w:t>
      </w:r>
      <w:r w:rsidR="00E17571" w:rsidRPr="00A4595A">
        <w:t>náhradním plněním</w:t>
      </w:r>
      <w:r w:rsidR="00E43F20" w:rsidRPr="00A4595A">
        <w:t xml:space="preserve"> či odvodem</w:t>
      </w:r>
      <w:r w:rsidR="007C3F42" w:rsidRPr="00A4595A">
        <w:t xml:space="preserve"> prostředk</w:t>
      </w:r>
      <w:r w:rsidR="00B61CCA" w:rsidRPr="00A4595A">
        <w:t>ů</w:t>
      </w:r>
      <w:r w:rsidR="007C3F42" w:rsidRPr="00A4595A">
        <w:t xml:space="preserve"> do státního rozpočtu.</w:t>
      </w:r>
    </w:p>
    <w:p w14:paraId="374F8A88" w14:textId="77777777" w:rsidR="00A4595A" w:rsidRPr="00A4595A" w:rsidRDefault="00A4595A" w:rsidP="00A4595A">
      <w:pPr>
        <w:spacing w:before="0"/>
        <w:rPr>
          <w:u w:val="single"/>
        </w:rPr>
      </w:pPr>
    </w:p>
    <w:p w14:paraId="52429854" w14:textId="7C901230" w:rsidR="00A528DC" w:rsidRDefault="00A528DC" w:rsidP="00A4595A">
      <w:pPr>
        <w:spacing w:before="0"/>
      </w:pPr>
      <w:r w:rsidRPr="001E056F">
        <w:rPr>
          <w:b/>
        </w:rPr>
        <w:t>Nástroj pracovní rehabilitace,</w:t>
      </w:r>
      <w:r w:rsidRPr="00A4595A">
        <w:t xml:space="preserve"> jehož cílem je usnadnění vstupu OZP na volný trh práce, byl v kontrolovaném období využíván velmi sporadicky (pouze 0,09</w:t>
      </w:r>
      <w:r w:rsidR="000011C1" w:rsidRPr="00A4595A">
        <w:t xml:space="preserve"> </w:t>
      </w:r>
      <w:r w:rsidRPr="00A4595A">
        <w:t>% z celkových výdajů vynaložených na podporu zaměstnávání OZP). Ke zlepšení tohoto stavu došlo až v roce 2016 po zavedení pracovní pozice poradce pro pracovní rehabilitaci</w:t>
      </w:r>
      <w:r w:rsidR="00424227">
        <w:t xml:space="preserve"> na krajských pobočkách ÚP </w:t>
      </w:r>
      <w:r w:rsidR="006157EC" w:rsidRPr="00A4595A">
        <w:t>ČR</w:t>
      </w:r>
      <w:r w:rsidRPr="00A4595A">
        <w:t>.</w:t>
      </w:r>
    </w:p>
    <w:p w14:paraId="24BDBB30" w14:textId="77777777" w:rsidR="00A4595A" w:rsidRPr="00A4595A" w:rsidRDefault="00A4595A" w:rsidP="00A4595A">
      <w:pPr>
        <w:spacing w:before="0"/>
      </w:pPr>
    </w:p>
    <w:p w14:paraId="407F75FA" w14:textId="696F7762" w:rsidR="00A528DC" w:rsidRPr="00A4595A" w:rsidRDefault="00A528DC" w:rsidP="00424227">
      <w:pPr>
        <w:pStyle w:val="Odstavecseseznamem"/>
        <w:numPr>
          <w:ilvl w:val="0"/>
          <w:numId w:val="9"/>
        </w:numPr>
        <w:tabs>
          <w:tab w:val="left" w:pos="284"/>
        </w:tabs>
        <w:spacing w:before="0"/>
        <w:ind w:left="284" w:hanging="284"/>
        <w:contextualSpacing w:val="0"/>
        <w:rPr>
          <w:b/>
          <w:i/>
        </w:rPr>
      </w:pPr>
      <w:r w:rsidRPr="00A4595A">
        <w:rPr>
          <w:b/>
        </w:rPr>
        <w:t>MPSV v kontrolovaném období prováděl</w:t>
      </w:r>
      <w:r w:rsidR="003317F9" w:rsidRPr="00A4595A">
        <w:rPr>
          <w:b/>
        </w:rPr>
        <w:t>o</w:t>
      </w:r>
      <w:r w:rsidRPr="00A4595A">
        <w:rPr>
          <w:b/>
        </w:rPr>
        <w:t xml:space="preserve"> </w:t>
      </w:r>
      <w:r w:rsidR="005C479B" w:rsidRPr="00A4595A">
        <w:rPr>
          <w:b/>
        </w:rPr>
        <w:t>podle zákona č. 320/2001 Sb.</w:t>
      </w:r>
      <w:r w:rsidR="005C479B" w:rsidRPr="00A4595A">
        <w:rPr>
          <w:rStyle w:val="Znakapoznpodarou"/>
          <w:b/>
        </w:rPr>
        <w:footnoteReference w:id="12"/>
      </w:r>
      <w:r w:rsidR="005C479B" w:rsidRPr="00A4595A">
        <w:rPr>
          <w:b/>
        </w:rPr>
        <w:t xml:space="preserve"> </w:t>
      </w:r>
      <w:r w:rsidR="00CA38BD" w:rsidRPr="00A4595A">
        <w:rPr>
          <w:b/>
        </w:rPr>
        <w:t xml:space="preserve">na ÚP ČR </w:t>
      </w:r>
      <w:r w:rsidRPr="00A4595A">
        <w:rPr>
          <w:b/>
        </w:rPr>
        <w:t xml:space="preserve">veřejnosprávní kontrolu zaměřenou na užití peněžních prostředků poskytnutých </w:t>
      </w:r>
      <w:r w:rsidR="00945F06" w:rsidRPr="00A4595A">
        <w:rPr>
          <w:b/>
        </w:rPr>
        <w:t>v </w:t>
      </w:r>
      <w:r w:rsidR="00E670BE" w:rsidRPr="00A4595A">
        <w:rPr>
          <w:b/>
        </w:rPr>
        <w:t>rámci</w:t>
      </w:r>
      <w:r w:rsidRPr="00A4595A">
        <w:rPr>
          <w:b/>
        </w:rPr>
        <w:t> </w:t>
      </w:r>
      <w:r w:rsidR="00C340CC" w:rsidRPr="00A4595A">
        <w:rPr>
          <w:b/>
        </w:rPr>
        <w:t xml:space="preserve">ukazatele </w:t>
      </w:r>
      <w:r w:rsidR="007B50C8">
        <w:rPr>
          <w:b/>
        </w:rPr>
        <w:t>„</w:t>
      </w:r>
      <w:r w:rsidR="007B50C8">
        <w:rPr>
          <w:b/>
          <w:i/>
        </w:rPr>
        <w:t>a</w:t>
      </w:r>
      <w:r w:rsidRPr="00A4595A">
        <w:rPr>
          <w:b/>
          <w:i/>
        </w:rPr>
        <w:t>ktivní politik</w:t>
      </w:r>
      <w:r w:rsidR="00C340CC" w:rsidRPr="00A4595A">
        <w:rPr>
          <w:b/>
          <w:i/>
        </w:rPr>
        <w:t>a</w:t>
      </w:r>
      <w:r w:rsidRPr="00A4595A">
        <w:rPr>
          <w:b/>
          <w:i/>
        </w:rPr>
        <w:t xml:space="preserve"> zaměstnanosti</w:t>
      </w:r>
      <w:r w:rsidR="007B50C8">
        <w:rPr>
          <w:b/>
        </w:rPr>
        <w:t>“</w:t>
      </w:r>
      <w:r w:rsidR="005C479B" w:rsidRPr="00A4595A">
        <w:rPr>
          <w:b/>
        </w:rPr>
        <w:t>. A</w:t>
      </w:r>
      <w:r w:rsidRPr="00A4595A">
        <w:rPr>
          <w:b/>
        </w:rPr>
        <w:t xml:space="preserve">ni </w:t>
      </w:r>
      <w:r w:rsidR="005C479B" w:rsidRPr="00A4595A">
        <w:rPr>
          <w:b/>
        </w:rPr>
        <w:t>jedna z provedených kontrol nebyla zaměřena na</w:t>
      </w:r>
      <w:r w:rsidRPr="00A4595A">
        <w:rPr>
          <w:b/>
        </w:rPr>
        <w:t xml:space="preserve"> poskytování příspěvku na zřízení chráněného pracovního místa nebo příspěvku na částečnou úhradu provozních nákladů na CHPM. MPSV rovněž neprovádělo </w:t>
      </w:r>
      <w:r w:rsidR="00157A89" w:rsidRPr="00A4595A">
        <w:rPr>
          <w:b/>
        </w:rPr>
        <w:t xml:space="preserve">na ÚP ČR </w:t>
      </w:r>
      <w:r w:rsidRPr="00A4595A">
        <w:rPr>
          <w:b/>
        </w:rPr>
        <w:t xml:space="preserve">veřejnosprávní kontrolu v souvislosti s poskytováním příspěvku podle </w:t>
      </w:r>
      <w:r w:rsidR="00A445A2" w:rsidRPr="00A4595A">
        <w:rPr>
          <w:b/>
        </w:rPr>
        <w:t xml:space="preserve">ustanovení </w:t>
      </w:r>
      <w:r w:rsidRPr="00A4595A">
        <w:rPr>
          <w:b/>
        </w:rPr>
        <w:t xml:space="preserve">§ 78, který byl poskytován ze závazného ukazatele </w:t>
      </w:r>
      <w:r w:rsidR="00806EF8">
        <w:rPr>
          <w:b/>
        </w:rPr>
        <w:t>„</w:t>
      </w:r>
      <w:r w:rsidR="00806EF8">
        <w:rPr>
          <w:b/>
          <w:i/>
        </w:rPr>
        <w:t>z</w:t>
      </w:r>
      <w:r w:rsidRPr="00A4595A">
        <w:rPr>
          <w:b/>
          <w:i/>
        </w:rPr>
        <w:t>aměstnávání zdravotně postižených občanů</w:t>
      </w:r>
      <w:r w:rsidR="00806EF8">
        <w:rPr>
          <w:b/>
        </w:rPr>
        <w:t>“</w:t>
      </w:r>
      <w:r w:rsidRPr="001E056F">
        <w:rPr>
          <w:b/>
        </w:rPr>
        <w:t>.</w:t>
      </w:r>
      <w:r w:rsidRPr="00A4595A">
        <w:rPr>
          <w:b/>
          <w:i/>
        </w:rPr>
        <w:t xml:space="preserve"> </w:t>
      </w:r>
      <w:r w:rsidR="008C2339" w:rsidRPr="00A4595A">
        <w:rPr>
          <w:b/>
        </w:rPr>
        <w:t>Veřejnosprávní kontrola</w:t>
      </w:r>
      <w:r w:rsidR="005C479B" w:rsidRPr="00A4595A">
        <w:rPr>
          <w:b/>
        </w:rPr>
        <w:t xml:space="preserve"> MPSV v oblasti podpory zaměstnávání OZP byla nedostatečná.</w:t>
      </w:r>
    </w:p>
    <w:p w14:paraId="74DDC046" w14:textId="77777777" w:rsidR="00A528DC" w:rsidRPr="00A4595A" w:rsidRDefault="00A528DC" w:rsidP="00A4595A">
      <w:pPr>
        <w:pStyle w:val="Odstavecseseznamem"/>
        <w:numPr>
          <w:ilvl w:val="0"/>
          <w:numId w:val="0"/>
        </w:numPr>
        <w:spacing w:before="0"/>
        <w:contextualSpacing w:val="0"/>
      </w:pPr>
    </w:p>
    <w:p w14:paraId="3E5EBE14" w14:textId="47D90998" w:rsidR="005C479B" w:rsidRPr="00A4595A" w:rsidRDefault="001333D6" w:rsidP="00A4595A">
      <w:pPr>
        <w:pStyle w:val="Odstavecseseznamem"/>
        <w:numPr>
          <w:ilvl w:val="0"/>
          <w:numId w:val="0"/>
        </w:numPr>
        <w:spacing w:before="0"/>
        <w:contextualSpacing w:val="0"/>
      </w:pPr>
      <w:r w:rsidRPr="00A4595A">
        <w:t>Generální ředitelství ÚP ČR provedlo v kontrolovaném období pouze jedno monitorovací šetření na krajských pobočkách ÚP ČR.</w:t>
      </w:r>
      <w:r w:rsidR="005C479B" w:rsidRPr="00A4595A">
        <w:t xml:space="preserve"> </w:t>
      </w:r>
    </w:p>
    <w:p w14:paraId="274DE5CD" w14:textId="77777777" w:rsidR="005C479B" w:rsidRPr="00A4595A" w:rsidRDefault="005C479B" w:rsidP="00A4595A">
      <w:pPr>
        <w:pStyle w:val="Odstavecseseznamem"/>
        <w:numPr>
          <w:ilvl w:val="0"/>
          <w:numId w:val="0"/>
        </w:numPr>
        <w:spacing w:before="0"/>
        <w:contextualSpacing w:val="0"/>
      </w:pPr>
    </w:p>
    <w:p w14:paraId="7A263011" w14:textId="7443E10F" w:rsidR="00A528DC" w:rsidRPr="00A4595A" w:rsidRDefault="00A528DC" w:rsidP="00A4595A">
      <w:pPr>
        <w:pStyle w:val="Odstavecseseznamem"/>
        <w:numPr>
          <w:ilvl w:val="0"/>
          <w:numId w:val="0"/>
        </w:numPr>
        <w:spacing w:before="0"/>
        <w:contextualSpacing w:val="0"/>
      </w:pPr>
      <w:r w:rsidRPr="00A4595A">
        <w:t>ÚP ČR, resp. krajské pobočky ÚP ČR</w:t>
      </w:r>
      <w:r w:rsidR="000E51EB" w:rsidRPr="00A4595A">
        <w:t>,</w:t>
      </w:r>
      <w:r w:rsidRPr="00A4595A">
        <w:t xml:space="preserve"> prováděly v rámci své kontrolní činnosti i kontrolu v oblasti zaměstnávání OZP. Nicméně podíl těchto kontrol na celkovém počtu kontrol se v průběhu let trvale snižoval (z 26</w:t>
      </w:r>
      <w:r w:rsidR="000011C1" w:rsidRPr="00A4595A">
        <w:t xml:space="preserve"> </w:t>
      </w:r>
      <w:r w:rsidRPr="00A4595A">
        <w:t>% v roce 2012 na 12</w:t>
      </w:r>
      <w:r w:rsidR="000011C1" w:rsidRPr="00A4595A">
        <w:t xml:space="preserve"> </w:t>
      </w:r>
      <w:r w:rsidRPr="00A4595A">
        <w:t xml:space="preserve">% v roce 2015). </w:t>
      </w:r>
    </w:p>
    <w:p w14:paraId="3FC166AC" w14:textId="77777777" w:rsidR="00A4595A" w:rsidRPr="00A4595A" w:rsidRDefault="00A4595A" w:rsidP="00A4595A">
      <w:pPr>
        <w:spacing w:before="0"/>
      </w:pPr>
    </w:p>
    <w:p w14:paraId="5F4A18CB" w14:textId="3D8C2CD4" w:rsidR="00AE5BD9" w:rsidRPr="00A4595A" w:rsidRDefault="00AE5BD9" w:rsidP="00A4595A">
      <w:pPr>
        <w:spacing w:before="0"/>
        <w:rPr>
          <w:rFonts w:cs="Times New Roman"/>
          <w:lang w:eastAsia="cs-CZ"/>
        </w:rPr>
      </w:pPr>
    </w:p>
    <w:p w14:paraId="3B336113" w14:textId="798CAC5F" w:rsidR="00086993" w:rsidRPr="0029459B" w:rsidRDefault="00A4595A" w:rsidP="00A4595A">
      <w:pPr>
        <w:pStyle w:val="Nzevtext"/>
        <w:numPr>
          <w:ilvl w:val="0"/>
          <w:numId w:val="0"/>
        </w:numPr>
        <w:ind w:left="360"/>
      </w:pPr>
      <w:r>
        <w:lastRenderedPageBreak/>
        <w:t xml:space="preserve">III. </w:t>
      </w:r>
      <w:r w:rsidR="00FD64CA" w:rsidRPr="0029459B">
        <w:t>Skutečnosti zjištěné při kontrole</w:t>
      </w:r>
    </w:p>
    <w:p w14:paraId="15D0445D" w14:textId="77777777" w:rsidR="00A4595A" w:rsidRDefault="00A4595A" w:rsidP="00A4595A">
      <w:pPr>
        <w:spacing w:before="0"/>
        <w:rPr>
          <w:b/>
          <w:lang w:eastAsia="cs-CZ"/>
        </w:rPr>
      </w:pPr>
    </w:p>
    <w:p w14:paraId="52DC56AD" w14:textId="71DB4FB1" w:rsidR="00AE5BD9" w:rsidRPr="00A4595A" w:rsidRDefault="00A4595A" w:rsidP="00A4595A">
      <w:pPr>
        <w:spacing w:before="0"/>
        <w:rPr>
          <w:b/>
          <w:lang w:eastAsia="cs-CZ"/>
        </w:rPr>
      </w:pPr>
      <w:r>
        <w:rPr>
          <w:b/>
          <w:lang w:eastAsia="cs-CZ"/>
        </w:rPr>
        <w:t xml:space="preserve">1. </w:t>
      </w:r>
      <w:r w:rsidR="00AE5BD9" w:rsidRPr="00A4595A">
        <w:rPr>
          <w:b/>
          <w:lang w:eastAsia="cs-CZ"/>
        </w:rPr>
        <w:t>Koncepce zaměstnávání osob se zdravotním postižením</w:t>
      </w:r>
    </w:p>
    <w:p w14:paraId="016AA60B" w14:textId="77777777" w:rsidR="00A4595A" w:rsidRDefault="00A4595A" w:rsidP="00A4595A">
      <w:pPr>
        <w:spacing w:before="0"/>
        <w:rPr>
          <w:lang w:eastAsia="cs-CZ"/>
        </w:rPr>
      </w:pPr>
    </w:p>
    <w:p w14:paraId="2D8DF13F" w14:textId="6A346B81" w:rsidR="008E7A37" w:rsidRDefault="004E0205" w:rsidP="00A4595A">
      <w:pPr>
        <w:spacing w:before="0"/>
        <w:rPr>
          <w:shd w:val="clear" w:color="auto" w:fill="FFFFFF" w:themeFill="background1"/>
        </w:rPr>
      </w:pPr>
      <w:r w:rsidRPr="00A4595A">
        <w:rPr>
          <w:lang w:eastAsia="cs-CZ"/>
        </w:rPr>
        <w:t xml:space="preserve">Směřování vývoje oblasti podpory zaměstnávání osob se zdravotním postižením je upraveno </w:t>
      </w:r>
      <w:r w:rsidR="006C5B50" w:rsidRPr="00A4595A">
        <w:rPr>
          <w:lang w:eastAsia="cs-CZ"/>
        </w:rPr>
        <w:t xml:space="preserve">v </w:t>
      </w:r>
      <w:r w:rsidRPr="00A4595A">
        <w:rPr>
          <w:lang w:eastAsia="cs-CZ"/>
        </w:rPr>
        <w:t>dokument</w:t>
      </w:r>
      <w:r w:rsidR="006C5B50" w:rsidRPr="00A4595A">
        <w:rPr>
          <w:lang w:eastAsia="cs-CZ"/>
        </w:rPr>
        <w:t>ech</w:t>
      </w:r>
      <w:r w:rsidRPr="00A4595A">
        <w:rPr>
          <w:lang w:eastAsia="cs-CZ"/>
        </w:rPr>
        <w:t xml:space="preserve">, které zpracovalo MPSV. </w:t>
      </w:r>
      <w:r w:rsidR="008E7A37" w:rsidRPr="00A4595A">
        <w:rPr>
          <w:shd w:val="clear" w:color="auto" w:fill="FFFFFF" w:themeFill="background1"/>
        </w:rPr>
        <w:t xml:space="preserve">MPSV ke zpracování koncepcí státní politiky zaměstnanosti a k řešení stěžejních otázek na trhu práce využívalo podklady a stanoviska zpracované </w:t>
      </w:r>
      <w:r w:rsidR="00F724F7" w:rsidRPr="00A4595A">
        <w:rPr>
          <w:shd w:val="clear" w:color="auto" w:fill="FFFFFF" w:themeFill="background1"/>
        </w:rPr>
        <w:t>ÚP</w:t>
      </w:r>
      <w:r w:rsidR="008E7A37" w:rsidRPr="00A4595A">
        <w:rPr>
          <w:shd w:val="clear" w:color="auto" w:fill="FFFFFF" w:themeFill="background1"/>
        </w:rPr>
        <w:t xml:space="preserve"> ČR. Pro tyto účely ÚP ČR v rámci své </w:t>
      </w:r>
      <w:r w:rsidR="004060F3" w:rsidRPr="00A4595A">
        <w:rPr>
          <w:shd w:val="clear" w:color="auto" w:fill="FFFFFF" w:themeFill="background1"/>
        </w:rPr>
        <w:t>působnosti soustavně sledoval a </w:t>
      </w:r>
      <w:r w:rsidR="008E7A37" w:rsidRPr="00A4595A">
        <w:rPr>
          <w:shd w:val="clear" w:color="auto" w:fill="FFFFFF" w:themeFill="background1"/>
        </w:rPr>
        <w:t>vyhodnocoval celkovou situaci na trhu práce.</w:t>
      </w:r>
    </w:p>
    <w:p w14:paraId="7370A8AB" w14:textId="77777777" w:rsidR="00A4595A" w:rsidRPr="00A4595A" w:rsidRDefault="00A4595A" w:rsidP="00A4595A">
      <w:pPr>
        <w:spacing w:before="0"/>
        <w:rPr>
          <w:lang w:eastAsia="cs-CZ"/>
        </w:rPr>
      </w:pPr>
    </w:p>
    <w:p w14:paraId="15F89619" w14:textId="29EF59F3" w:rsidR="008C449A" w:rsidRDefault="008C449A" w:rsidP="00A4595A">
      <w:pPr>
        <w:spacing w:before="0"/>
      </w:pPr>
      <w:r w:rsidRPr="00A4595A">
        <w:rPr>
          <w:lang w:eastAsia="cs-CZ"/>
        </w:rPr>
        <w:t>Výchozím rámcovým dokumentem</w:t>
      </w:r>
      <w:r w:rsidR="004E0205" w:rsidRPr="00A4595A">
        <w:rPr>
          <w:lang w:eastAsia="cs-CZ"/>
        </w:rPr>
        <w:t xml:space="preserve"> je </w:t>
      </w:r>
      <w:r w:rsidR="004E0205" w:rsidRPr="00A4595A">
        <w:rPr>
          <w:i/>
          <w:lang w:eastAsia="cs-CZ"/>
        </w:rPr>
        <w:t>Konce</w:t>
      </w:r>
      <w:r w:rsidR="00B3351C" w:rsidRPr="00A4595A">
        <w:rPr>
          <w:i/>
          <w:lang w:eastAsia="cs-CZ"/>
        </w:rPr>
        <w:t>pce politiky zaměstnanosti 2013–</w:t>
      </w:r>
      <w:r w:rsidR="004E0205" w:rsidRPr="00A4595A">
        <w:rPr>
          <w:i/>
          <w:lang w:eastAsia="cs-CZ"/>
        </w:rPr>
        <w:t>2020</w:t>
      </w:r>
      <w:r w:rsidR="006F569C">
        <w:rPr>
          <w:lang w:eastAsia="cs-CZ"/>
        </w:rPr>
        <w:t>.</w:t>
      </w:r>
      <w:r w:rsidR="004E0205" w:rsidRPr="00A4595A">
        <w:rPr>
          <w:lang w:eastAsia="cs-CZ"/>
        </w:rPr>
        <w:t xml:space="preserve"> </w:t>
      </w:r>
      <w:r w:rsidR="006F569C">
        <w:t>J</w:t>
      </w:r>
      <w:r w:rsidR="00AE5BD9" w:rsidRPr="00A4595A">
        <w:t xml:space="preserve">ednou </w:t>
      </w:r>
      <w:r w:rsidR="006F569C">
        <w:t>z jeho</w:t>
      </w:r>
      <w:r w:rsidR="00AE5BD9" w:rsidRPr="00A4595A">
        <w:t xml:space="preserve"> základních priorit je podpora přístupu k zaměstnání, a to zejména pro skupiny ohrožené na trhu práce, mezi které patří mimo jiné i OZP.</w:t>
      </w:r>
      <w:r w:rsidR="004E0205" w:rsidRPr="00A4595A">
        <w:t xml:space="preserve"> </w:t>
      </w:r>
      <w:r w:rsidRPr="00A4595A">
        <w:t>Jednotlivé základní priority politiky zaměstnanosti nastíněné v </w:t>
      </w:r>
      <w:r w:rsidR="006F569C">
        <w:t>k</w:t>
      </w:r>
      <w:r w:rsidRPr="00A4595A">
        <w:t xml:space="preserve">oncepci </w:t>
      </w:r>
      <w:r w:rsidR="000454F9" w:rsidRPr="00A4595A">
        <w:t xml:space="preserve">politiky zaměstnanosti </w:t>
      </w:r>
      <w:r w:rsidRPr="00A4595A">
        <w:t xml:space="preserve">dále rozpracovává </w:t>
      </w:r>
      <w:r w:rsidRPr="00A4595A">
        <w:rPr>
          <w:i/>
        </w:rPr>
        <w:t>Strategie politiky zaměstnanosti do roku 2020</w:t>
      </w:r>
      <w:r w:rsidRPr="00A4595A">
        <w:t xml:space="preserve"> do konkrétních strategických opatření. </w:t>
      </w:r>
      <w:r w:rsidR="00E4049E" w:rsidRPr="00A4595A">
        <w:t>Hlavní cíl</w:t>
      </w:r>
      <w:r w:rsidR="00AE5BD9" w:rsidRPr="00A4595A">
        <w:t xml:space="preserve"> a dílčí národní cíle</w:t>
      </w:r>
      <w:r w:rsidRPr="00A4595A">
        <w:t xml:space="preserve">, které jsou v dokumentu uvedeny, </w:t>
      </w:r>
      <w:r w:rsidR="00AE5BD9" w:rsidRPr="00A4595A">
        <w:t xml:space="preserve">navazují na </w:t>
      </w:r>
      <w:r w:rsidR="006F569C">
        <w:t>s</w:t>
      </w:r>
      <w:r w:rsidR="00AE5BD9" w:rsidRPr="00A4595A">
        <w:t xml:space="preserve">trategii </w:t>
      </w:r>
      <w:r w:rsidR="00AE5BD9" w:rsidRPr="001E056F">
        <w:rPr>
          <w:i/>
        </w:rPr>
        <w:t>EVROPA 2020</w:t>
      </w:r>
      <w:r w:rsidR="00AE5BD9" w:rsidRPr="00A4595A">
        <w:t xml:space="preserve"> přijatou vládou ČR. </w:t>
      </w:r>
      <w:r w:rsidRPr="00A4595A">
        <w:t xml:space="preserve">Pro oblast zaměstnávání OZP dílčí cíl </w:t>
      </w:r>
      <w:r w:rsidR="005F25BE" w:rsidRPr="00A4595A">
        <w:t xml:space="preserve">ve </w:t>
      </w:r>
      <w:r w:rsidR="006F569C">
        <w:t>s</w:t>
      </w:r>
      <w:r w:rsidR="005F25BE" w:rsidRPr="00A4595A">
        <w:t xml:space="preserve">trategii </w:t>
      </w:r>
      <w:r w:rsidR="000454F9" w:rsidRPr="00A4595A">
        <w:t xml:space="preserve">politiky zaměstnanosti </w:t>
      </w:r>
      <w:r w:rsidRPr="00A4595A">
        <w:t>není uveden.</w:t>
      </w:r>
    </w:p>
    <w:p w14:paraId="44039C90" w14:textId="77777777" w:rsidR="00A4595A" w:rsidRPr="00A4595A" w:rsidRDefault="00A4595A" w:rsidP="00A4595A">
      <w:pPr>
        <w:spacing w:before="0"/>
      </w:pPr>
    </w:p>
    <w:p w14:paraId="6DEED586" w14:textId="6F4A9EFF" w:rsidR="00AE5BD9" w:rsidRDefault="00635DB1" w:rsidP="00A4595A">
      <w:pPr>
        <w:spacing w:before="0"/>
      </w:pPr>
      <w:r w:rsidRPr="00A4595A">
        <w:t>Smyslem d</w:t>
      </w:r>
      <w:r w:rsidR="008C449A" w:rsidRPr="00A4595A">
        <w:t>alší</w:t>
      </w:r>
      <w:r w:rsidRPr="00A4595A">
        <w:t>ho</w:t>
      </w:r>
      <w:r w:rsidR="008C449A" w:rsidRPr="00A4595A">
        <w:t xml:space="preserve"> dokument</w:t>
      </w:r>
      <w:r w:rsidRPr="00A4595A">
        <w:t xml:space="preserve">u </w:t>
      </w:r>
      <w:r w:rsidRPr="00A4595A">
        <w:rPr>
          <w:i/>
        </w:rPr>
        <w:t>Koncepce podpory zaměstnávání osob se zdravo</w:t>
      </w:r>
      <w:r w:rsidR="00B3351C" w:rsidRPr="00A4595A">
        <w:rPr>
          <w:i/>
        </w:rPr>
        <w:t>tním postižením pro období 2012</w:t>
      </w:r>
      <w:r w:rsidR="004060F3" w:rsidRPr="00A4595A">
        <w:rPr>
          <w:i/>
        </w:rPr>
        <w:t>–</w:t>
      </w:r>
      <w:r w:rsidRPr="00A4595A">
        <w:rPr>
          <w:i/>
        </w:rPr>
        <w:t>2015</w:t>
      </w:r>
      <w:r w:rsidR="00AE5BD9" w:rsidRPr="00A4595A">
        <w:t xml:space="preserve"> bylo analyzovat sy</w:t>
      </w:r>
      <w:r w:rsidR="0058148D" w:rsidRPr="00A4595A">
        <w:t>stém podpory zaměstnávání OZP a </w:t>
      </w:r>
      <w:r w:rsidR="00AE5BD9" w:rsidRPr="00A4595A">
        <w:t>navrhnout směry, které by mohly přispět ke zlepšení situace v dané oblasti.</w:t>
      </w:r>
      <w:r w:rsidRPr="00A4595A">
        <w:t xml:space="preserve"> </w:t>
      </w:r>
      <w:r w:rsidR="00B5631A" w:rsidRPr="00A4595A">
        <w:t xml:space="preserve">Koncepce </w:t>
      </w:r>
      <w:r w:rsidR="00812F05" w:rsidRPr="00A4595A">
        <w:t>zahrnovala opatření zrealizovaná v roce 2012</w:t>
      </w:r>
      <w:r w:rsidR="009B2546" w:rsidRPr="00A4595A">
        <w:t xml:space="preserve"> a</w:t>
      </w:r>
      <w:r w:rsidR="00812F05" w:rsidRPr="00A4595A">
        <w:t xml:space="preserve"> </w:t>
      </w:r>
      <w:r w:rsidR="009B2546" w:rsidRPr="00A4595A">
        <w:t>p</w:t>
      </w:r>
      <w:r w:rsidR="0058148D" w:rsidRPr="00A4595A">
        <w:t>ro období 2013–</w:t>
      </w:r>
      <w:r w:rsidR="00B5631A" w:rsidRPr="00A4595A">
        <w:t xml:space="preserve">2015 </w:t>
      </w:r>
      <w:r w:rsidRPr="00A4595A">
        <w:t xml:space="preserve">přehled </w:t>
      </w:r>
      <w:r w:rsidR="009E0CBC" w:rsidRPr="00A4595A">
        <w:t xml:space="preserve">šesti </w:t>
      </w:r>
      <w:r w:rsidRPr="00A4595A">
        <w:t>opatření navržen</w:t>
      </w:r>
      <w:r w:rsidR="009B2546" w:rsidRPr="00A4595A">
        <w:t>ých pro oblast zaměstnávání OZP.</w:t>
      </w:r>
      <w:r w:rsidRPr="00A4595A">
        <w:t xml:space="preserve"> </w:t>
      </w:r>
      <w:r w:rsidR="009B2546" w:rsidRPr="00A4595A">
        <w:t>K</w:t>
      </w:r>
      <w:r w:rsidRPr="00A4595A">
        <w:t>ontrolou NKÚ</w:t>
      </w:r>
      <w:r w:rsidR="009B2546" w:rsidRPr="00A4595A">
        <w:t xml:space="preserve"> bylo</w:t>
      </w:r>
      <w:r w:rsidRPr="00A4595A">
        <w:t xml:space="preserve"> zjištěno, </w:t>
      </w:r>
      <w:r w:rsidR="009E0CBC" w:rsidRPr="00A4595A">
        <w:t xml:space="preserve">že čtyři opatření </w:t>
      </w:r>
      <w:r w:rsidR="00C340CC" w:rsidRPr="00A4595A">
        <w:t xml:space="preserve">navržená v </w:t>
      </w:r>
      <w:r w:rsidR="0027676A" w:rsidRPr="00A4595A">
        <w:t>dané</w:t>
      </w:r>
      <w:r w:rsidR="00C340CC" w:rsidRPr="00A4595A">
        <w:t>m</w:t>
      </w:r>
      <w:r w:rsidR="0027676A" w:rsidRPr="00A4595A">
        <w:t xml:space="preserve"> dokumentu </w:t>
      </w:r>
      <w:r w:rsidR="009E0CBC" w:rsidRPr="00A4595A">
        <w:t xml:space="preserve">se nepodařilo ve stanoveném termínu provést a v průběhu kontroly </w:t>
      </w:r>
      <w:r w:rsidR="003E55EB" w:rsidRPr="00A4595A">
        <w:t xml:space="preserve">NKÚ </w:t>
      </w:r>
      <w:r w:rsidR="009E0CBC" w:rsidRPr="00A4595A">
        <w:t>byly v rozpracovaném stavu.</w:t>
      </w:r>
    </w:p>
    <w:p w14:paraId="7B30278F" w14:textId="77777777" w:rsidR="00A4595A" w:rsidRPr="00A4595A" w:rsidRDefault="00A4595A" w:rsidP="00A4595A">
      <w:pPr>
        <w:spacing w:before="0"/>
      </w:pPr>
    </w:p>
    <w:p w14:paraId="29E6A582" w14:textId="2AB9AE3D" w:rsidR="009E0CBC" w:rsidRDefault="008E7A37" w:rsidP="00A4595A">
      <w:pPr>
        <w:spacing w:before="0"/>
        <w:rPr>
          <w:shd w:val="clear" w:color="auto" w:fill="FFFFFF" w:themeFill="background1"/>
        </w:rPr>
      </w:pPr>
      <w:r w:rsidRPr="00A4595A">
        <w:rPr>
          <w:shd w:val="clear" w:color="auto" w:fill="FFFFFF" w:themeFill="background1"/>
        </w:rPr>
        <w:t>P</w:t>
      </w:r>
      <w:r w:rsidR="005F25BE" w:rsidRPr="00A4595A">
        <w:rPr>
          <w:shd w:val="clear" w:color="auto" w:fill="FFFFFF" w:themeFill="background1"/>
        </w:rPr>
        <w:t xml:space="preserve">ro ÚP ČR </w:t>
      </w:r>
      <w:r w:rsidRPr="00A4595A">
        <w:rPr>
          <w:shd w:val="clear" w:color="auto" w:fill="FFFFFF" w:themeFill="background1"/>
        </w:rPr>
        <w:t xml:space="preserve">definovalo MPSV cíle </w:t>
      </w:r>
      <w:r w:rsidR="005F25BE" w:rsidRPr="00A4595A">
        <w:rPr>
          <w:shd w:val="clear" w:color="auto" w:fill="FFFFFF" w:themeFill="background1"/>
        </w:rPr>
        <w:t xml:space="preserve">prostřednictvím normativních instrukcí </w:t>
      </w:r>
      <w:r w:rsidR="00AE5BD9" w:rsidRPr="00A4595A">
        <w:rPr>
          <w:i/>
          <w:shd w:val="clear" w:color="auto" w:fill="FFFFFF" w:themeFill="background1"/>
        </w:rPr>
        <w:t xml:space="preserve">Realizace </w:t>
      </w:r>
      <w:r w:rsidR="00A11EAE" w:rsidRPr="00A4595A">
        <w:rPr>
          <w:i/>
          <w:shd w:val="clear" w:color="auto" w:fill="FFFFFF" w:themeFill="background1"/>
        </w:rPr>
        <w:t>A</w:t>
      </w:r>
      <w:r w:rsidR="00AE5BD9" w:rsidRPr="00A4595A">
        <w:rPr>
          <w:i/>
          <w:shd w:val="clear" w:color="auto" w:fill="FFFFFF" w:themeFill="background1"/>
        </w:rPr>
        <w:t>ktivní politiky zaměstnanosti</w:t>
      </w:r>
      <w:r w:rsidR="00AE5BD9" w:rsidRPr="00A4595A">
        <w:rPr>
          <w:shd w:val="clear" w:color="auto" w:fill="FFFFFF" w:themeFill="background1"/>
        </w:rPr>
        <w:t xml:space="preserve"> </w:t>
      </w:r>
      <w:r w:rsidRPr="00A4595A">
        <w:rPr>
          <w:shd w:val="clear" w:color="auto" w:fill="FFFFFF" w:themeFill="background1"/>
        </w:rPr>
        <w:t xml:space="preserve">platných </w:t>
      </w:r>
      <w:r w:rsidR="00AE5BD9" w:rsidRPr="00A4595A">
        <w:rPr>
          <w:shd w:val="clear" w:color="auto" w:fill="FFFFFF" w:themeFill="background1"/>
        </w:rPr>
        <w:t>v příslušném roce</w:t>
      </w:r>
      <w:r w:rsidRPr="00A4595A">
        <w:rPr>
          <w:shd w:val="clear" w:color="auto" w:fill="FFFFFF" w:themeFill="background1"/>
        </w:rPr>
        <w:t>. Cíle byly v instrukcích definovány pouze</w:t>
      </w:r>
      <w:r w:rsidR="006F569C">
        <w:rPr>
          <w:shd w:val="clear" w:color="auto" w:fill="FFFFFF" w:themeFill="background1"/>
        </w:rPr>
        <w:t xml:space="preserve"> </w:t>
      </w:r>
      <w:r w:rsidR="00B3351C" w:rsidRPr="00A4595A">
        <w:rPr>
          <w:shd w:val="clear" w:color="auto" w:fill="FFFFFF" w:themeFill="background1"/>
        </w:rPr>
        <w:t>v </w:t>
      </w:r>
      <w:r w:rsidR="005F25BE" w:rsidRPr="00A4595A">
        <w:rPr>
          <w:shd w:val="clear" w:color="auto" w:fill="FFFFFF" w:themeFill="background1"/>
        </w:rPr>
        <w:t>obecné rovině</w:t>
      </w:r>
      <w:r w:rsidRPr="00A4595A">
        <w:rPr>
          <w:shd w:val="clear" w:color="auto" w:fill="FFFFFF" w:themeFill="background1"/>
        </w:rPr>
        <w:t>, a to</w:t>
      </w:r>
      <w:r w:rsidR="00AE5BD9" w:rsidRPr="00A4595A">
        <w:rPr>
          <w:shd w:val="clear" w:color="auto" w:fill="FFFFFF" w:themeFill="background1"/>
        </w:rPr>
        <w:t>: „</w:t>
      </w:r>
      <w:r w:rsidR="00E014F2" w:rsidRPr="001C6901">
        <w:rPr>
          <w:i/>
          <w:shd w:val="clear" w:color="auto" w:fill="FFFFFF" w:themeFill="background1"/>
        </w:rPr>
        <w:t>V</w:t>
      </w:r>
      <w:r w:rsidR="00AE5BD9" w:rsidRPr="00A4595A">
        <w:rPr>
          <w:i/>
          <w:shd w:val="clear" w:color="auto" w:fill="FFFFFF" w:themeFill="background1"/>
        </w:rPr>
        <w:t> oblasti podpory zaměstnávání OZP preferovat jejich uplatnění na volném trhu práce</w:t>
      </w:r>
      <w:r w:rsidR="00AE5BD9" w:rsidRPr="001C6901">
        <w:rPr>
          <w:shd w:val="clear" w:color="auto" w:fill="FFFFFF" w:themeFill="background1"/>
        </w:rPr>
        <w:t>“</w:t>
      </w:r>
      <w:r w:rsidR="00AE5BD9" w:rsidRPr="00A4595A">
        <w:rPr>
          <w:shd w:val="clear" w:color="auto" w:fill="FFFFFF" w:themeFill="background1"/>
        </w:rPr>
        <w:t xml:space="preserve">. </w:t>
      </w:r>
    </w:p>
    <w:p w14:paraId="5F848D5E" w14:textId="77777777" w:rsidR="00A4595A" w:rsidRPr="00A4595A" w:rsidRDefault="00A4595A" w:rsidP="00A4595A">
      <w:pPr>
        <w:spacing w:before="0"/>
        <w:rPr>
          <w:shd w:val="clear" w:color="auto" w:fill="FFFFFF" w:themeFill="background1"/>
        </w:rPr>
      </w:pPr>
    </w:p>
    <w:p w14:paraId="7E826D43" w14:textId="31D1CBF8" w:rsidR="00AE5BD9" w:rsidRPr="00A4595A" w:rsidRDefault="00EB05FB" w:rsidP="00A4595A">
      <w:pPr>
        <w:spacing w:before="0"/>
        <w:rPr>
          <w:b/>
          <w:shd w:val="clear" w:color="auto" w:fill="FFFFFF" w:themeFill="background1"/>
        </w:rPr>
      </w:pPr>
      <w:r w:rsidRPr="00A4595A">
        <w:rPr>
          <w:b/>
          <w:shd w:val="clear" w:color="auto" w:fill="FFFFFF" w:themeFill="background1"/>
        </w:rPr>
        <w:t>C</w:t>
      </w:r>
      <w:r w:rsidR="00AE5BD9" w:rsidRPr="00A4595A">
        <w:rPr>
          <w:b/>
          <w:shd w:val="clear" w:color="auto" w:fill="FFFFFF" w:themeFill="background1"/>
        </w:rPr>
        <w:t xml:space="preserve">íle stanovené MPSV ve </w:t>
      </w:r>
      <w:r w:rsidR="009E0CBC" w:rsidRPr="00A4595A">
        <w:rPr>
          <w:b/>
          <w:shd w:val="clear" w:color="auto" w:fill="FFFFFF" w:themeFill="background1"/>
        </w:rPr>
        <w:t>výše uvedených</w:t>
      </w:r>
      <w:r w:rsidR="00AE5BD9" w:rsidRPr="00A4595A">
        <w:rPr>
          <w:b/>
          <w:shd w:val="clear" w:color="auto" w:fill="FFFFFF" w:themeFill="background1"/>
        </w:rPr>
        <w:t xml:space="preserve"> </w:t>
      </w:r>
      <w:r w:rsidR="009E0CBC" w:rsidRPr="00A4595A">
        <w:rPr>
          <w:b/>
          <w:shd w:val="clear" w:color="auto" w:fill="FFFFFF" w:themeFill="background1"/>
        </w:rPr>
        <w:t>dokumentech</w:t>
      </w:r>
      <w:r w:rsidR="00AE5BD9" w:rsidRPr="00A4595A">
        <w:rPr>
          <w:b/>
          <w:shd w:val="clear" w:color="auto" w:fill="FFFFFF" w:themeFill="background1"/>
        </w:rPr>
        <w:t xml:space="preserve"> upravujících</w:t>
      </w:r>
      <w:r w:rsidR="006F569C">
        <w:rPr>
          <w:b/>
          <w:shd w:val="clear" w:color="auto" w:fill="FFFFFF" w:themeFill="background1"/>
        </w:rPr>
        <w:t xml:space="preserve"> </w:t>
      </w:r>
      <w:r w:rsidR="00AE5BD9" w:rsidRPr="00A4595A">
        <w:rPr>
          <w:b/>
          <w:shd w:val="clear" w:color="auto" w:fill="FFFFFF" w:themeFill="background1"/>
        </w:rPr>
        <w:t xml:space="preserve">oblast zaměstnávání OZP nesplňovaly kritérium měřitelnosti, podle </w:t>
      </w:r>
      <w:r w:rsidR="006F569C">
        <w:rPr>
          <w:b/>
          <w:shd w:val="clear" w:color="auto" w:fill="FFFFFF" w:themeFill="background1"/>
        </w:rPr>
        <w:t>něhož</w:t>
      </w:r>
      <w:r w:rsidR="00AE5BD9" w:rsidRPr="00A4595A">
        <w:rPr>
          <w:b/>
          <w:shd w:val="clear" w:color="auto" w:fill="FFFFFF" w:themeFill="background1"/>
        </w:rPr>
        <w:t xml:space="preserve"> by bylo možné následně vyhodnotit míru jejich splnění.</w:t>
      </w:r>
    </w:p>
    <w:p w14:paraId="47F00F37" w14:textId="77777777" w:rsidR="00A4595A" w:rsidRDefault="00A4595A" w:rsidP="00A4595A">
      <w:pPr>
        <w:spacing w:before="0"/>
        <w:rPr>
          <w:lang w:eastAsia="cs-CZ"/>
        </w:rPr>
      </w:pPr>
    </w:p>
    <w:p w14:paraId="2A366D99" w14:textId="763451DB" w:rsidR="003C5C94" w:rsidRDefault="003C5C94" w:rsidP="00A4595A">
      <w:pPr>
        <w:spacing w:before="0"/>
      </w:pPr>
      <w:r w:rsidRPr="00A4595A">
        <w:rPr>
          <w:lang w:eastAsia="cs-CZ"/>
        </w:rPr>
        <w:t xml:space="preserve">Dalším dokumentem, který definoval problematiku zaměstnávání OZP, byl </w:t>
      </w:r>
      <w:r w:rsidRPr="00A4595A">
        <w:rPr>
          <w:i/>
        </w:rPr>
        <w:t>Národní plán vytváření rovných příležitostí pro osoby se zdrav</w:t>
      </w:r>
      <w:r w:rsidR="00B3351C" w:rsidRPr="00A4595A">
        <w:rPr>
          <w:i/>
        </w:rPr>
        <w:t>otním postižením na období 2010–</w:t>
      </w:r>
      <w:r w:rsidRPr="00A4595A">
        <w:rPr>
          <w:i/>
        </w:rPr>
        <w:t>2014</w:t>
      </w:r>
      <w:r w:rsidRPr="00A4595A">
        <w:t>. NKÚ zjistil, že MPSV z vybraného vzorku čtrnácti o</w:t>
      </w:r>
      <w:r w:rsidR="0043763B">
        <w:t>patření nesplnilo opatření 12.8:</w:t>
      </w:r>
      <w:r w:rsidRPr="00A4595A">
        <w:t xml:space="preserve"> </w:t>
      </w:r>
      <w:r w:rsidRPr="00424227">
        <w:t>„</w:t>
      </w:r>
      <w:r w:rsidRPr="00A4595A">
        <w:rPr>
          <w:i/>
        </w:rPr>
        <w:t>Odstranit nerovnoprávné postavení osob se zdravotním postižením v odměňování minimální mzdou.</w:t>
      </w:r>
      <w:r w:rsidRPr="00424227">
        <w:t>“</w:t>
      </w:r>
      <w:r w:rsidRPr="00A4595A">
        <w:t xml:space="preserve"> Nařízení vlády č. 246/2012 Sb.</w:t>
      </w:r>
      <w:r w:rsidRPr="00A4595A">
        <w:rPr>
          <w:rStyle w:val="Znakapoznpodarou"/>
        </w:rPr>
        <w:footnoteReference w:id="13"/>
      </w:r>
      <w:r w:rsidRPr="00A4595A">
        <w:t xml:space="preserve"> nerovnoprávné odměňování OZP minimální mzdou </w:t>
      </w:r>
      <w:r w:rsidRPr="00A4595A">
        <w:lastRenderedPageBreak/>
        <w:t xml:space="preserve">neodstranilo. Opatření 12.8. bylo dále přeneseno do následujícího </w:t>
      </w:r>
      <w:r w:rsidRPr="00A4595A">
        <w:rPr>
          <w:i/>
        </w:rPr>
        <w:t>Národního plánu podpory rovných příležitostí pro osoby se zdrav</w:t>
      </w:r>
      <w:r w:rsidR="00B3351C" w:rsidRPr="00A4595A">
        <w:rPr>
          <w:i/>
        </w:rPr>
        <w:t>otním postižením na období 2015–</w:t>
      </w:r>
      <w:r w:rsidRPr="00A4595A">
        <w:rPr>
          <w:i/>
        </w:rPr>
        <w:t>2020</w:t>
      </w:r>
      <w:r w:rsidRPr="00A4595A">
        <w:t xml:space="preserve"> s</w:t>
      </w:r>
      <w:r w:rsidR="00B3351C" w:rsidRPr="00A4595A">
        <w:t> </w:t>
      </w:r>
      <w:r w:rsidR="004B379F" w:rsidRPr="00A4595A">
        <w:t>novým</w:t>
      </w:r>
      <w:r w:rsidRPr="00A4595A">
        <w:t xml:space="preserve"> termínem plnění </w:t>
      </w:r>
      <w:r w:rsidR="00FF7EC4">
        <w:t xml:space="preserve">do </w:t>
      </w:r>
      <w:r w:rsidRPr="00A4595A">
        <w:t>1. 1. 2017.</w:t>
      </w:r>
    </w:p>
    <w:p w14:paraId="48538A5E" w14:textId="77777777" w:rsidR="00A4595A" w:rsidRPr="00A4595A" w:rsidRDefault="00A4595A" w:rsidP="00A4595A">
      <w:pPr>
        <w:spacing w:before="0"/>
        <w:rPr>
          <w:shd w:val="clear" w:color="auto" w:fill="FFFFFF" w:themeFill="background1"/>
        </w:rPr>
      </w:pPr>
    </w:p>
    <w:p w14:paraId="514E8151" w14:textId="3397301C" w:rsidR="00AE5BD9" w:rsidRPr="00A4595A" w:rsidRDefault="00A4595A" w:rsidP="00A4595A">
      <w:pPr>
        <w:spacing w:before="0"/>
        <w:rPr>
          <w:b/>
          <w:lang w:eastAsia="cs-CZ"/>
        </w:rPr>
      </w:pPr>
      <w:r>
        <w:rPr>
          <w:b/>
          <w:lang w:eastAsia="cs-CZ"/>
        </w:rPr>
        <w:t xml:space="preserve">2. </w:t>
      </w:r>
      <w:r w:rsidR="00AE5BD9" w:rsidRPr="00A4595A">
        <w:rPr>
          <w:b/>
          <w:lang w:eastAsia="cs-CZ"/>
        </w:rPr>
        <w:t>Statistické údaje k osobám se zdravotním postižením</w:t>
      </w:r>
    </w:p>
    <w:p w14:paraId="16897D43" w14:textId="77777777" w:rsidR="00A4595A" w:rsidRDefault="00A4595A" w:rsidP="00A4595A">
      <w:pPr>
        <w:spacing w:before="0"/>
        <w:rPr>
          <w:shd w:val="clear" w:color="auto" w:fill="FFFFFF" w:themeFill="background1"/>
        </w:rPr>
      </w:pPr>
    </w:p>
    <w:p w14:paraId="18650E0E" w14:textId="11B747D2" w:rsidR="00F36F84" w:rsidRPr="00A4595A" w:rsidRDefault="00A4595A" w:rsidP="00A4595A">
      <w:pPr>
        <w:spacing w:before="0"/>
        <w:rPr>
          <w:shd w:val="clear" w:color="auto" w:fill="FFFFFF" w:themeFill="background1"/>
        </w:rPr>
      </w:pPr>
      <w:r>
        <w:rPr>
          <w:noProof/>
          <w:lang w:eastAsia="cs-CZ"/>
        </w:rPr>
        <w:drawing>
          <wp:anchor distT="0" distB="0" distL="114300" distR="114300" simplePos="0" relativeHeight="251656704" behindDoc="0" locked="0" layoutInCell="1" allowOverlap="1" wp14:anchorId="77689E03" wp14:editId="20066F99">
            <wp:simplePos x="0" y="0"/>
            <wp:positionH relativeFrom="column">
              <wp:posOffset>-1905</wp:posOffset>
            </wp:positionH>
            <wp:positionV relativeFrom="paragraph">
              <wp:posOffset>1208101</wp:posOffset>
            </wp:positionV>
            <wp:extent cx="5758815" cy="2075180"/>
            <wp:effectExtent l="0" t="0" r="0" b="1270"/>
            <wp:wrapTopAndBottom/>
            <wp:docPr id="4" name="Obrázek 4" descr="C:\Users\palkova\AppData\Local\Microsoft\Windows\Temporary Internet Files\Content.Word\Data ČSÚ Popul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kova\AppData\Local\Microsoft\Windows\Temporary Internet Files\Content.Word\Data ČSÚ Populac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A37" w:rsidRPr="00A4595A">
        <w:rPr>
          <w:shd w:val="clear" w:color="auto" w:fill="FFFFFF" w:themeFill="background1"/>
        </w:rPr>
        <w:t>Z</w:t>
      </w:r>
      <w:r w:rsidR="004B379F" w:rsidRPr="00A4595A">
        <w:rPr>
          <w:shd w:val="clear" w:color="auto" w:fill="FFFFFF" w:themeFill="background1"/>
        </w:rPr>
        <w:t xml:space="preserve">a plnění opatření </w:t>
      </w:r>
      <w:r w:rsidR="006F569C">
        <w:rPr>
          <w:shd w:val="clear" w:color="auto" w:fill="FFFFFF" w:themeFill="background1"/>
        </w:rPr>
        <w:t>„</w:t>
      </w:r>
      <w:r w:rsidR="006F569C">
        <w:rPr>
          <w:i/>
          <w:shd w:val="clear" w:color="auto" w:fill="FFFFFF" w:themeFill="background1"/>
        </w:rPr>
        <w:t>s</w:t>
      </w:r>
      <w:r w:rsidR="004B379F" w:rsidRPr="00A4595A">
        <w:rPr>
          <w:i/>
          <w:shd w:val="clear" w:color="auto" w:fill="FFFFFF" w:themeFill="background1"/>
        </w:rPr>
        <w:t>tatistické údaje</w:t>
      </w:r>
      <w:r w:rsidR="006F569C">
        <w:rPr>
          <w:shd w:val="clear" w:color="auto" w:fill="FFFFFF" w:themeFill="background1"/>
        </w:rPr>
        <w:t>“</w:t>
      </w:r>
      <w:r w:rsidR="006813CA" w:rsidRPr="00A4595A">
        <w:rPr>
          <w:shd w:val="clear" w:color="auto" w:fill="FFFFFF" w:themeFill="background1"/>
        </w:rPr>
        <w:t xml:space="preserve"> Národního plánu 2010–</w:t>
      </w:r>
      <w:r w:rsidR="004B379F" w:rsidRPr="00A4595A">
        <w:rPr>
          <w:shd w:val="clear" w:color="auto" w:fill="FFFFFF" w:themeFill="background1"/>
        </w:rPr>
        <w:t>2014</w:t>
      </w:r>
      <w:r w:rsidR="008E7A37" w:rsidRPr="00A4595A">
        <w:rPr>
          <w:shd w:val="clear" w:color="auto" w:fill="FFFFFF" w:themeFill="background1"/>
        </w:rPr>
        <w:t xml:space="preserve"> je odpovědný Český statistický úřad (dále také „ČSÚ“)</w:t>
      </w:r>
      <w:r w:rsidR="004B379F" w:rsidRPr="00A4595A">
        <w:rPr>
          <w:shd w:val="clear" w:color="auto" w:fill="FFFFFF" w:themeFill="background1"/>
        </w:rPr>
        <w:t xml:space="preserve">. </w:t>
      </w:r>
      <w:r w:rsidR="00AE5BD9" w:rsidRPr="00A4595A">
        <w:rPr>
          <w:shd w:val="clear" w:color="auto" w:fill="FFFFFF" w:themeFill="background1"/>
        </w:rPr>
        <w:t xml:space="preserve">Za účelem </w:t>
      </w:r>
      <w:r w:rsidR="004B379F" w:rsidRPr="00A4595A">
        <w:rPr>
          <w:shd w:val="clear" w:color="auto" w:fill="FFFFFF" w:themeFill="background1"/>
        </w:rPr>
        <w:t>získání co nejpř</w:t>
      </w:r>
      <w:r w:rsidR="006813CA" w:rsidRPr="00A4595A">
        <w:rPr>
          <w:shd w:val="clear" w:color="auto" w:fill="FFFFFF" w:themeFill="background1"/>
        </w:rPr>
        <w:t>esnějších statistických údajů o </w:t>
      </w:r>
      <w:r w:rsidR="004B379F" w:rsidRPr="00A4595A">
        <w:rPr>
          <w:shd w:val="clear" w:color="auto" w:fill="FFFFFF" w:themeFill="background1"/>
        </w:rPr>
        <w:t xml:space="preserve">počtu a struktuře skupiny osob se zdravotním postižením provedl ČSÚ </w:t>
      </w:r>
      <w:r w:rsidR="00AE5BD9" w:rsidRPr="00A4595A">
        <w:rPr>
          <w:shd w:val="clear" w:color="auto" w:fill="FFFFFF" w:themeFill="background1"/>
        </w:rPr>
        <w:t>výběrové šetření</w:t>
      </w:r>
      <w:r w:rsidR="004B379F" w:rsidRPr="00A4595A">
        <w:rPr>
          <w:shd w:val="clear" w:color="auto" w:fill="FFFFFF" w:themeFill="background1"/>
        </w:rPr>
        <w:t xml:space="preserve"> OZP </w:t>
      </w:r>
      <w:r w:rsidR="008C2339" w:rsidRPr="00A4595A">
        <w:rPr>
          <w:shd w:val="clear" w:color="auto" w:fill="FFFFFF" w:themeFill="background1"/>
        </w:rPr>
        <w:t>k datu 31. 12. roku 2006 a 2012</w:t>
      </w:r>
      <w:r w:rsidR="00AE5BD9" w:rsidRPr="00A4595A">
        <w:rPr>
          <w:shd w:val="clear" w:color="auto" w:fill="FFFFFF" w:themeFill="background1"/>
        </w:rPr>
        <w:t xml:space="preserve">. Z porovnání počtu OZP na celkové populaci </w:t>
      </w:r>
      <w:r w:rsidR="00081E11" w:rsidRPr="00A4595A">
        <w:rPr>
          <w:shd w:val="clear" w:color="auto" w:fill="FFFFFF" w:themeFill="background1"/>
        </w:rPr>
        <w:t>ČR</w:t>
      </w:r>
      <w:r w:rsidR="00AE5BD9" w:rsidRPr="00A4595A">
        <w:rPr>
          <w:shd w:val="clear" w:color="auto" w:fill="FFFFFF" w:themeFill="background1"/>
        </w:rPr>
        <w:t xml:space="preserve">, které byly zjištěny na základě </w:t>
      </w:r>
      <w:r w:rsidR="00E31FE6" w:rsidRPr="00A4595A">
        <w:rPr>
          <w:shd w:val="clear" w:color="auto" w:fill="FFFFFF" w:themeFill="background1"/>
        </w:rPr>
        <w:t xml:space="preserve">daných </w:t>
      </w:r>
      <w:r w:rsidR="00AE5BD9" w:rsidRPr="00A4595A">
        <w:rPr>
          <w:shd w:val="clear" w:color="auto" w:fill="FFFFFF" w:themeFill="background1"/>
        </w:rPr>
        <w:t>výběrových šetření, vyplývá, že poč</w:t>
      </w:r>
      <w:r w:rsidR="004E7E2A" w:rsidRPr="00A4595A">
        <w:rPr>
          <w:shd w:val="clear" w:color="auto" w:fill="FFFFFF" w:themeFill="background1"/>
        </w:rPr>
        <w:t>et</w:t>
      </w:r>
      <w:r w:rsidR="00AE5BD9" w:rsidRPr="00A4595A">
        <w:rPr>
          <w:shd w:val="clear" w:color="auto" w:fill="FFFFFF" w:themeFill="background1"/>
        </w:rPr>
        <w:t xml:space="preserve"> zdravotně postižených osob se za posledních 6 let zvýšil o 0,3 </w:t>
      </w:r>
      <w:r w:rsidR="004B379F" w:rsidRPr="00A4595A">
        <w:rPr>
          <w:shd w:val="clear" w:color="auto" w:fill="FFFFFF" w:themeFill="background1"/>
        </w:rPr>
        <w:t>%</w:t>
      </w:r>
      <w:r w:rsidR="00AE5BD9" w:rsidRPr="00A4595A">
        <w:rPr>
          <w:shd w:val="clear" w:color="auto" w:fill="FFFFFF" w:themeFill="background1"/>
        </w:rPr>
        <w:t>.</w:t>
      </w:r>
    </w:p>
    <w:p w14:paraId="7FCC3CBB" w14:textId="77777777" w:rsidR="006F569C" w:rsidRPr="0029459B" w:rsidRDefault="006F569C" w:rsidP="00A4595A">
      <w:pPr>
        <w:spacing w:before="0"/>
        <w:rPr>
          <w:shd w:val="clear" w:color="auto" w:fill="FFFFFF" w:themeFill="background1"/>
        </w:rPr>
      </w:pPr>
    </w:p>
    <w:p w14:paraId="38D58CE7" w14:textId="255AB1DD" w:rsidR="00C77E9E" w:rsidRDefault="00172CFF" w:rsidP="00A4595A">
      <w:pPr>
        <w:shd w:val="clear" w:color="auto" w:fill="FFFFFF" w:themeFill="background1"/>
        <w:spacing w:before="0"/>
      </w:pPr>
      <w:r w:rsidRPr="00CD4C8D">
        <w:t>MPSV při tvorbě koncepcí vycházelo z údajů o počtech zaměstnaných OZP, které byly zjištěny na základě výběrových šetření ČSÚ.</w:t>
      </w:r>
      <w:r w:rsidRPr="0029459B">
        <w:t xml:space="preserve"> </w:t>
      </w:r>
      <w:r w:rsidR="006606AC" w:rsidRPr="0029459B">
        <w:t>Avšak pravidelnost</w:t>
      </w:r>
      <w:r w:rsidR="008E7A37" w:rsidRPr="0029459B">
        <w:t xml:space="preserve"> těchto</w:t>
      </w:r>
      <w:r w:rsidR="006606AC" w:rsidRPr="0029459B">
        <w:t xml:space="preserve"> šetření </w:t>
      </w:r>
      <w:r w:rsidR="0079589E" w:rsidRPr="0029459B">
        <w:t xml:space="preserve">prováděných </w:t>
      </w:r>
      <w:r w:rsidR="006606AC" w:rsidRPr="0029459B">
        <w:t xml:space="preserve">v rozmezí 6 let je pro </w:t>
      </w:r>
      <w:r w:rsidR="00D93922" w:rsidRPr="0029459B">
        <w:t>směřování</w:t>
      </w:r>
      <w:r w:rsidR="006606AC" w:rsidRPr="0029459B">
        <w:t xml:space="preserve"> a strategická rozhodnutí v oblasti zaměstnávání OZP dlouhá a nemusí odrážet aktuální vývoj oblasti. MPSV vzhledem k tomu, že nedisponuje</w:t>
      </w:r>
      <w:r w:rsidR="00AE5BD9" w:rsidRPr="0029459B">
        <w:t xml:space="preserve"> </w:t>
      </w:r>
      <w:r w:rsidR="0079589E" w:rsidRPr="0029459B">
        <w:t>aktuálními</w:t>
      </w:r>
      <w:r w:rsidR="00F91C93" w:rsidRPr="0029459B">
        <w:t xml:space="preserve"> </w:t>
      </w:r>
      <w:r w:rsidR="00AE5BD9" w:rsidRPr="0029459B">
        <w:t>údaj</w:t>
      </w:r>
      <w:r w:rsidR="006606AC" w:rsidRPr="0029459B">
        <w:t>i</w:t>
      </w:r>
      <w:r w:rsidR="006813CA" w:rsidRPr="0029459B">
        <w:t xml:space="preserve"> o </w:t>
      </w:r>
      <w:r w:rsidR="00AE5BD9" w:rsidRPr="0029459B">
        <w:t xml:space="preserve">celkovém počtu zaměstnaných OZP, nemůže předvídat budoucí finanční výdaje z daného závazného ukazatele určeného na čerpání příspěvku podle </w:t>
      </w:r>
      <w:r w:rsidR="006813CA" w:rsidRPr="0029459B">
        <w:t xml:space="preserve">ustanovení </w:t>
      </w:r>
      <w:r w:rsidR="00AE5BD9" w:rsidRPr="0029459B">
        <w:t>§ 78, který je nárokový a přitom tvoří podstatnou část všech výdajů plynoucích na podporu zaměstnávání OZP.</w:t>
      </w:r>
      <w:r w:rsidR="00D615A9" w:rsidRPr="0029459B">
        <w:t xml:space="preserve"> </w:t>
      </w:r>
      <w:r w:rsidR="00AE5BD9" w:rsidRPr="0029459B">
        <w:rPr>
          <w:lang w:eastAsia="cs-CZ"/>
        </w:rPr>
        <w:t xml:space="preserve">Chybějící údaje o zaměstnaných OZP </w:t>
      </w:r>
      <w:r w:rsidR="006606AC" w:rsidRPr="0029459B">
        <w:rPr>
          <w:lang w:eastAsia="cs-CZ"/>
        </w:rPr>
        <w:t xml:space="preserve">také </w:t>
      </w:r>
      <w:r w:rsidR="00AE5BD9" w:rsidRPr="0029459B">
        <w:rPr>
          <w:lang w:eastAsia="cs-CZ"/>
        </w:rPr>
        <w:t>neumožňují vyhodnotit efektivitu vynaložených prostředků na podporu zaměstnávání OZP.</w:t>
      </w:r>
      <w:r w:rsidR="006606AC" w:rsidRPr="0029459B">
        <w:t xml:space="preserve"> </w:t>
      </w:r>
    </w:p>
    <w:p w14:paraId="43F42C09" w14:textId="77777777" w:rsidR="00A4595A" w:rsidRDefault="00A4595A" w:rsidP="00A4595A">
      <w:pPr>
        <w:shd w:val="clear" w:color="auto" w:fill="FFFFFF" w:themeFill="background1"/>
        <w:spacing w:before="0"/>
      </w:pPr>
    </w:p>
    <w:p w14:paraId="5AD10049" w14:textId="76FF0667" w:rsidR="00CD4C8D" w:rsidRDefault="006606AC" w:rsidP="00A4595A">
      <w:pPr>
        <w:shd w:val="clear" w:color="auto" w:fill="FFFFFF" w:themeFill="background1"/>
        <w:spacing w:before="0"/>
      </w:pPr>
      <w:r w:rsidRPr="0029459B">
        <w:t xml:space="preserve">MPSV dále </w:t>
      </w:r>
      <w:r w:rsidR="00C77E9E">
        <w:t>využívá</w:t>
      </w:r>
      <w:r w:rsidRPr="0029459B">
        <w:t xml:space="preserve"> statistiky zpracované ÚP ČR, které se</w:t>
      </w:r>
      <w:r w:rsidR="00874A78">
        <w:t xml:space="preserve"> vztahují k evidenci uchazečů o </w:t>
      </w:r>
      <w:r w:rsidRPr="0029459B">
        <w:t>zaměstnání</w:t>
      </w:r>
      <w:r w:rsidR="00462B3C" w:rsidRPr="0029459B">
        <w:t xml:space="preserve"> včetně </w:t>
      </w:r>
      <w:r w:rsidR="00C340CC">
        <w:t xml:space="preserve">evidence </w:t>
      </w:r>
      <w:r w:rsidR="00462B3C" w:rsidRPr="0029459B">
        <w:t>uchazečů OZP o zaměstnání</w:t>
      </w:r>
      <w:r w:rsidRPr="0029459B">
        <w:t>.</w:t>
      </w:r>
    </w:p>
    <w:p w14:paraId="74E79FA2" w14:textId="77777777" w:rsidR="00A4595A" w:rsidRDefault="00A4595A" w:rsidP="00A4595A">
      <w:pPr>
        <w:shd w:val="clear" w:color="auto" w:fill="FFFFFF" w:themeFill="background1"/>
        <w:spacing w:before="0"/>
      </w:pPr>
    </w:p>
    <w:p w14:paraId="603B535D" w14:textId="77777777" w:rsidR="00583444" w:rsidRDefault="00583444" w:rsidP="00A4595A">
      <w:pPr>
        <w:shd w:val="clear" w:color="auto" w:fill="FFFFFF" w:themeFill="background1"/>
        <w:spacing w:before="0"/>
      </w:pPr>
    </w:p>
    <w:p w14:paraId="5EF9FEB6" w14:textId="77777777" w:rsidR="00583444" w:rsidRDefault="00583444" w:rsidP="00A4595A">
      <w:pPr>
        <w:shd w:val="clear" w:color="auto" w:fill="FFFFFF" w:themeFill="background1"/>
        <w:spacing w:before="0"/>
      </w:pPr>
    </w:p>
    <w:p w14:paraId="37AD637C" w14:textId="77777777" w:rsidR="00583444" w:rsidRDefault="00583444" w:rsidP="00A4595A">
      <w:pPr>
        <w:shd w:val="clear" w:color="auto" w:fill="FFFFFF" w:themeFill="background1"/>
        <w:spacing w:before="0"/>
      </w:pPr>
    </w:p>
    <w:p w14:paraId="11CE5DF2" w14:textId="77777777" w:rsidR="00583444" w:rsidRDefault="00583444" w:rsidP="00A4595A">
      <w:pPr>
        <w:shd w:val="clear" w:color="auto" w:fill="FFFFFF" w:themeFill="background1"/>
        <w:spacing w:before="0"/>
      </w:pPr>
    </w:p>
    <w:p w14:paraId="34F6D4D9" w14:textId="77777777" w:rsidR="00583444" w:rsidRDefault="00583444" w:rsidP="00A4595A">
      <w:pPr>
        <w:shd w:val="clear" w:color="auto" w:fill="FFFFFF" w:themeFill="background1"/>
        <w:spacing w:before="0"/>
      </w:pPr>
    </w:p>
    <w:p w14:paraId="7C504AB1" w14:textId="77777777" w:rsidR="00583444" w:rsidRDefault="00583444" w:rsidP="00A4595A">
      <w:pPr>
        <w:shd w:val="clear" w:color="auto" w:fill="FFFFFF" w:themeFill="background1"/>
        <w:spacing w:before="0"/>
      </w:pPr>
    </w:p>
    <w:p w14:paraId="2F4E5B8B" w14:textId="6C1AA50E" w:rsidR="00583444" w:rsidRDefault="00A62A7F" w:rsidP="00A4595A">
      <w:pPr>
        <w:shd w:val="clear" w:color="auto" w:fill="FFFFFF" w:themeFill="background1"/>
        <w:spacing w:before="0"/>
      </w:pPr>
      <w:r w:rsidRPr="008709A0">
        <w:rPr>
          <w:noProof/>
          <w:lang w:eastAsia="cs-CZ"/>
        </w:rPr>
        <w:lastRenderedPageBreak/>
        <w:drawing>
          <wp:anchor distT="0" distB="0" distL="114300" distR="114300" simplePos="0" relativeHeight="251658752" behindDoc="0" locked="0" layoutInCell="1" allowOverlap="1" wp14:anchorId="692A3ABE" wp14:editId="31F402F8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5758815" cy="2138680"/>
            <wp:effectExtent l="0" t="0" r="0" b="0"/>
            <wp:wrapTopAndBottom/>
            <wp:docPr id="8" name="Obrázek 8" descr="C:\Users\palkova\AppData\Local\Microsoft\Windows\Temporary Internet Files\Content.Word\Uchazeč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lkova\AppData\Local\Microsoft\Windows\Temporary Internet Files\Content.Word\Uchazeč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51CAD" w14:textId="2EE664A8" w:rsidR="008C2339" w:rsidRDefault="008C2339" w:rsidP="00A4595A">
      <w:pPr>
        <w:shd w:val="clear" w:color="auto" w:fill="FFFFFF" w:themeFill="background1"/>
        <w:spacing w:before="0"/>
        <w:rPr>
          <w:lang w:eastAsia="cs-CZ"/>
        </w:rPr>
      </w:pPr>
      <w:r w:rsidRPr="0029459B">
        <w:rPr>
          <w:lang w:eastAsia="cs-CZ"/>
        </w:rPr>
        <w:t>Přestože celkový počet uchazečů o zaměstnání i počet uchazečů OZP o zaměstnání v letech 2010 až 2015 postupně klesal, podíl uchazečů OZP o zaměstnání na celkovém počtu uchazečů o zaměstnání se nepodařilo trvale s</w:t>
      </w:r>
      <w:r w:rsidR="00874A78">
        <w:rPr>
          <w:lang w:eastAsia="cs-CZ"/>
        </w:rPr>
        <w:t>nížit, ale naopak v letech 2014–</w:t>
      </w:r>
      <w:r w:rsidRPr="0029459B">
        <w:rPr>
          <w:lang w:eastAsia="cs-CZ"/>
        </w:rPr>
        <w:t>2015 měl vzrůstající tendenci.</w:t>
      </w:r>
    </w:p>
    <w:p w14:paraId="2346E51A" w14:textId="77777777" w:rsidR="00A4595A" w:rsidRDefault="00A4595A" w:rsidP="00A4595A">
      <w:pPr>
        <w:shd w:val="clear" w:color="auto" w:fill="FFFFFF" w:themeFill="background1"/>
        <w:spacing w:before="0"/>
      </w:pPr>
    </w:p>
    <w:p w14:paraId="56BBF407" w14:textId="7A85012F" w:rsidR="00C340CC" w:rsidRDefault="00A4595A" w:rsidP="0017621E">
      <w:pPr>
        <w:pStyle w:val="Nzevtabulky"/>
        <w:numPr>
          <w:ilvl w:val="0"/>
          <w:numId w:val="0"/>
        </w:numPr>
        <w:spacing w:before="0" w:after="40"/>
        <w:ind w:left="1418" w:hanging="1418"/>
      </w:pPr>
      <w:r w:rsidRPr="00EF0312">
        <w:rPr>
          <w:b/>
        </w:rPr>
        <w:t>Tabulka č. 1</w:t>
      </w:r>
      <w:r w:rsidR="006F569C">
        <w:t xml:space="preserve"> </w:t>
      </w:r>
      <w:r w:rsidR="006F569C" w:rsidRPr="00EF0312">
        <w:rPr>
          <w:b/>
        </w:rPr>
        <w:t>–</w:t>
      </w:r>
      <w:r w:rsidRPr="00EF0312">
        <w:rPr>
          <w:b/>
        </w:rPr>
        <w:t xml:space="preserve"> </w:t>
      </w:r>
      <w:r w:rsidR="0017621E">
        <w:rPr>
          <w:b/>
        </w:rPr>
        <w:tab/>
      </w:r>
      <w:r w:rsidR="00C340CC" w:rsidRPr="00EF0312">
        <w:rPr>
          <w:b/>
        </w:rPr>
        <w:t>Přehled uchazečů o zaměstnání evidovaných na ÚP ČR</w:t>
      </w:r>
      <w:r w:rsidR="006F569C" w:rsidRPr="00EF0312">
        <w:rPr>
          <w:b/>
        </w:rPr>
        <w:t xml:space="preserve"> k 31. 12. daného roku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61"/>
        <w:gridCol w:w="992"/>
        <w:gridCol w:w="992"/>
        <w:gridCol w:w="992"/>
        <w:gridCol w:w="992"/>
        <w:gridCol w:w="992"/>
        <w:gridCol w:w="992"/>
      </w:tblGrid>
      <w:tr w:rsidR="00C340CC" w:rsidRPr="00A4595A" w14:paraId="6F9B4642" w14:textId="77777777" w:rsidTr="00424227">
        <w:trPr>
          <w:trHeight w:val="227"/>
          <w:jc w:val="center"/>
        </w:trPr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6E7"/>
          </w:tcPr>
          <w:p w14:paraId="4A829EF3" w14:textId="77777777" w:rsidR="00C340CC" w:rsidRPr="00A4595A" w:rsidRDefault="00C340CC" w:rsidP="00A4595A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1018AAA5" w14:textId="5B8B501C" w:rsidR="00C340CC" w:rsidRPr="00A4595A" w:rsidRDefault="00C340CC" w:rsidP="00A4595A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95A">
              <w:rPr>
                <w:rFonts w:ascii="Calibri" w:hAnsi="Calibri" w:cs="Calibri"/>
                <w:b/>
                <w:sz w:val="20"/>
                <w:szCs w:val="20"/>
              </w:rPr>
              <w:t>2010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1D5731AB" w14:textId="0A8D374A" w:rsidR="00C340CC" w:rsidRPr="00A4595A" w:rsidRDefault="00C340CC" w:rsidP="00A4595A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95A">
              <w:rPr>
                <w:rFonts w:ascii="Calibri" w:hAnsi="Calibri" w:cs="Calibri"/>
                <w:b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351929AA" w14:textId="668EC1AF" w:rsidR="00C340CC" w:rsidRPr="00A4595A" w:rsidRDefault="00C340CC" w:rsidP="00A4595A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95A">
              <w:rPr>
                <w:rFonts w:ascii="Calibri" w:hAnsi="Calibri" w:cs="Calibri"/>
                <w:b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21602F9C" w14:textId="0DA9526F" w:rsidR="00C340CC" w:rsidRPr="00A4595A" w:rsidRDefault="00C340CC" w:rsidP="00A4595A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95A">
              <w:rPr>
                <w:rFonts w:ascii="Calibri" w:hAnsi="Calibri" w:cs="Calibri"/>
                <w:b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020F26C7" w14:textId="33CC2977" w:rsidR="00C340CC" w:rsidRPr="00A4595A" w:rsidRDefault="00C340CC" w:rsidP="00A4595A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95A">
              <w:rPr>
                <w:rFonts w:ascii="Calibri" w:hAnsi="Calibri" w:cs="Calibri"/>
                <w:b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6E7"/>
            <w:vAlign w:val="center"/>
          </w:tcPr>
          <w:p w14:paraId="1A4F4F20" w14:textId="3A5F9C76" w:rsidR="00C340CC" w:rsidRPr="00A4595A" w:rsidRDefault="00C340CC" w:rsidP="00A4595A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4595A">
              <w:rPr>
                <w:rFonts w:ascii="Calibri" w:hAnsi="Calibri" w:cs="Calibri"/>
                <w:b/>
                <w:sz w:val="20"/>
                <w:szCs w:val="20"/>
              </w:rPr>
              <w:t>2015</w:t>
            </w:r>
          </w:p>
        </w:tc>
      </w:tr>
      <w:tr w:rsidR="00C340CC" w:rsidRPr="00A4595A" w14:paraId="38D4DE4C" w14:textId="77777777" w:rsidTr="00424227">
        <w:trPr>
          <w:trHeight w:val="227"/>
          <w:jc w:val="center"/>
        </w:trPr>
        <w:tc>
          <w:tcPr>
            <w:tcW w:w="30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E33555" w14:textId="7BE93382" w:rsidR="00C340CC" w:rsidRPr="00A4595A" w:rsidRDefault="00C340CC" w:rsidP="00A4595A">
            <w:pPr>
              <w:spacing w:befor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Uchazeči o zaměstnání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81D253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561 551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C6E88D3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508 451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783FC37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545 311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D6FA3AB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596 833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EE6C139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541 914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8F62FA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453 118</w:t>
            </w:r>
          </w:p>
        </w:tc>
      </w:tr>
      <w:tr w:rsidR="00C340CC" w:rsidRPr="00A4595A" w14:paraId="22056588" w14:textId="77777777" w:rsidTr="00424227">
        <w:trPr>
          <w:trHeight w:val="227"/>
          <w:jc w:val="center"/>
        </w:trPr>
        <w:tc>
          <w:tcPr>
            <w:tcW w:w="30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0DC67" w14:textId="4D6D6CC3" w:rsidR="00C340CC" w:rsidRPr="00A4595A" w:rsidRDefault="0017621E" w:rsidP="0017621E">
            <w:pPr>
              <w:spacing w:before="0"/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– </w:t>
            </w:r>
            <w:r w:rsidR="00C340CC" w:rsidRPr="00A4595A">
              <w:rPr>
                <w:rFonts w:ascii="Calibri" w:hAnsi="Calibri" w:cs="Calibri"/>
                <w:sz w:val="20"/>
                <w:szCs w:val="20"/>
              </w:rPr>
              <w:t xml:space="preserve">z toho: </w:t>
            </w:r>
            <w:r>
              <w:rPr>
                <w:rFonts w:ascii="Calibri" w:hAnsi="Calibri" w:cs="Calibri"/>
                <w:sz w:val="20"/>
                <w:szCs w:val="20"/>
              </w:rPr>
              <w:t>u</w:t>
            </w:r>
            <w:r w:rsidR="00C340CC" w:rsidRPr="00A4595A">
              <w:rPr>
                <w:rFonts w:ascii="Calibri" w:hAnsi="Calibri" w:cs="Calibri"/>
                <w:sz w:val="20"/>
                <w:szCs w:val="20"/>
              </w:rPr>
              <w:t>chazeči OZP o</w:t>
            </w:r>
            <w:r>
              <w:rPr>
                <w:rFonts w:ascii="Calibri" w:hAnsi="Calibri" w:cs="Calibri"/>
                <w:sz w:val="20"/>
                <w:szCs w:val="20"/>
              </w:rPr>
              <w:t> </w:t>
            </w:r>
            <w:r w:rsidR="00C340CC" w:rsidRPr="00A4595A">
              <w:rPr>
                <w:rFonts w:ascii="Calibri" w:hAnsi="Calibri" w:cs="Calibri"/>
                <w:sz w:val="20"/>
                <w:szCs w:val="20"/>
              </w:rPr>
              <w:t>zaměstnání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73F4509A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69 499</w:t>
            </w:r>
          </w:p>
        </w:tc>
        <w:tc>
          <w:tcPr>
            <w:tcW w:w="992" w:type="dxa"/>
            <w:vAlign w:val="center"/>
          </w:tcPr>
          <w:p w14:paraId="7EC52771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63 092</w:t>
            </w:r>
          </w:p>
        </w:tc>
        <w:tc>
          <w:tcPr>
            <w:tcW w:w="992" w:type="dxa"/>
            <w:vAlign w:val="center"/>
          </w:tcPr>
          <w:p w14:paraId="6C8711DC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62 038</w:t>
            </w:r>
          </w:p>
        </w:tc>
        <w:tc>
          <w:tcPr>
            <w:tcW w:w="992" w:type="dxa"/>
            <w:vAlign w:val="center"/>
          </w:tcPr>
          <w:p w14:paraId="14C50FD9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62 789</w:t>
            </w:r>
          </w:p>
        </w:tc>
        <w:tc>
          <w:tcPr>
            <w:tcW w:w="992" w:type="dxa"/>
            <w:vAlign w:val="center"/>
          </w:tcPr>
          <w:p w14:paraId="66FDB319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61 146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2DCCB9EC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58 584</w:t>
            </w:r>
          </w:p>
        </w:tc>
      </w:tr>
      <w:tr w:rsidR="00C340CC" w:rsidRPr="00A4595A" w14:paraId="0E50629E" w14:textId="77777777" w:rsidTr="00424227">
        <w:trPr>
          <w:trHeight w:val="227"/>
          <w:jc w:val="center"/>
        </w:trPr>
        <w:tc>
          <w:tcPr>
            <w:tcW w:w="30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14E13B" w14:textId="05161C69" w:rsidR="00C340CC" w:rsidRPr="00A4595A" w:rsidRDefault="00C340CC" w:rsidP="00A4595A">
            <w:pPr>
              <w:spacing w:before="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Podíl počtu uchazečů OZP o</w:t>
            </w:r>
            <w:r w:rsidR="00A4595A">
              <w:rPr>
                <w:rFonts w:ascii="Calibri" w:hAnsi="Calibri" w:cs="Calibri"/>
                <w:sz w:val="20"/>
                <w:szCs w:val="20"/>
              </w:rPr>
              <w:t> </w:t>
            </w:r>
            <w:r w:rsidRPr="00A4595A">
              <w:rPr>
                <w:rFonts w:ascii="Calibri" w:hAnsi="Calibri" w:cs="Calibri"/>
                <w:sz w:val="20"/>
                <w:szCs w:val="20"/>
              </w:rPr>
              <w:t>zaměstnání na celkovém počtu uchazečů o zaměstnání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17191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83EBF69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12,4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4A42032C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11,4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1809BA1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10,5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DDF57DE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11,3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3A941A" w14:textId="77777777" w:rsidR="00C340CC" w:rsidRPr="00A4595A" w:rsidRDefault="00C340CC" w:rsidP="00A4595A">
            <w:pPr>
              <w:spacing w:before="0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4595A">
              <w:rPr>
                <w:rFonts w:ascii="Calibri" w:hAnsi="Calibri" w:cs="Calibri"/>
                <w:sz w:val="20"/>
                <w:szCs w:val="20"/>
              </w:rPr>
              <w:t>12,9</w:t>
            </w:r>
          </w:p>
        </w:tc>
      </w:tr>
    </w:tbl>
    <w:p w14:paraId="6F5B6932" w14:textId="79F246A9" w:rsidR="00C340CC" w:rsidRPr="00EF0312" w:rsidRDefault="00C340CC" w:rsidP="00A4595A">
      <w:pPr>
        <w:pStyle w:val="Zdroj"/>
        <w:spacing w:before="40"/>
        <w:rPr>
          <w:i w:val="0"/>
        </w:rPr>
      </w:pPr>
      <w:r w:rsidRPr="00EF0312">
        <w:rPr>
          <w:b/>
          <w:i w:val="0"/>
          <w:lang w:eastAsia="cs-CZ"/>
        </w:rPr>
        <w:t>Zdroj:</w:t>
      </w:r>
      <w:r w:rsidRPr="00EF0312">
        <w:rPr>
          <w:i w:val="0"/>
          <w:lang w:eastAsia="cs-CZ"/>
        </w:rPr>
        <w:t xml:space="preserve"> </w:t>
      </w:r>
      <w:r w:rsidR="006F569C">
        <w:rPr>
          <w:i w:val="0"/>
          <w:lang w:eastAsia="cs-CZ"/>
        </w:rPr>
        <w:t>s</w:t>
      </w:r>
      <w:r w:rsidRPr="00EF0312">
        <w:rPr>
          <w:i w:val="0"/>
          <w:lang w:eastAsia="cs-CZ"/>
        </w:rPr>
        <w:t xml:space="preserve">tatistické ročenky trhu práce v České republice </w:t>
      </w:r>
      <w:r w:rsidR="006F569C">
        <w:rPr>
          <w:i w:val="0"/>
          <w:lang w:eastAsia="cs-CZ"/>
        </w:rPr>
        <w:t xml:space="preserve">za </w:t>
      </w:r>
      <w:r w:rsidRPr="00EF0312">
        <w:rPr>
          <w:i w:val="0"/>
          <w:lang w:eastAsia="cs-CZ"/>
        </w:rPr>
        <w:t xml:space="preserve">roky 2010 až 2015, IS </w:t>
      </w:r>
      <w:r w:rsidRPr="006F569C">
        <w:rPr>
          <w:lang w:eastAsia="cs-CZ"/>
        </w:rPr>
        <w:t>OKpráce</w:t>
      </w:r>
      <w:r w:rsidRPr="00EF0312">
        <w:rPr>
          <w:i w:val="0"/>
          <w:lang w:eastAsia="cs-CZ"/>
        </w:rPr>
        <w:t>.</w:t>
      </w:r>
    </w:p>
    <w:p w14:paraId="1C459525" w14:textId="77777777" w:rsidR="00A4595A" w:rsidRDefault="00A4595A" w:rsidP="00A4595A">
      <w:pPr>
        <w:spacing w:before="0"/>
        <w:rPr>
          <w:lang w:eastAsia="cs-CZ"/>
        </w:rPr>
      </w:pPr>
    </w:p>
    <w:p w14:paraId="65C0D9CE" w14:textId="17C3BE0F" w:rsidR="009A30BE" w:rsidRDefault="009A30BE" w:rsidP="00A4595A">
      <w:pPr>
        <w:spacing w:before="0"/>
        <w:rPr>
          <w:lang w:eastAsia="cs-CZ"/>
        </w:rPr>
      </w:pPr>
      <w:r w:rsidRPr="0029459B">
        <w:rPr>
          <w:lang w:eastAsia="cs-CZ"/>
        </w:rPr>
        <w:t xml:space="preserve">V průběhu kontrolovaného období průměrné výdaje </w:t>
      </w:r>
      <w:r w:rsidR="00290CE7" w:rsidRPr="0029459B">
        <w:rPr>
          <w:lang w:eastAsia="cs-CZ"/>
        </w:rPr>
        <w:t xml:space="preserve">za rok </w:t>
      </w:r>
      <w:r w:rsidRPr="0029459B">
        <w:rPr>
          <w:lang w:eastAsia="cs-CZ"/>
        </w:rPr>
        <w:t xml:space="preserve">na 1 OZP podpořenou z příspěvku podle </w:t>
      </w:r>
      <w:r w:rsidR="006813CA" w:rsidRPr="0029459B">
        <w:rPr>
          <w:lang w:eastAsia="cs-CZ"/>
        </w:rPr>
        <w:t xml:space="preserve">ustanovení </w:t>
      </w:r>
      <w:r w:rsidRPr="0029459B">
        <w:rPr>
          <w:lang w:eastAsia="cs-CZ"/>
        </w:rPr>
        <w:t>§ 78</w:t>
      </w:r>
      <w:r w:rsidR="00ED1C0C" w:rsidRPr="0029459B">
        <w:rPr>
          <w:lang w:eastAsia="cs-CZ"/>
        </w:rPr>
        <w:t xml:space="preserve"> </w:t>
      </w:r>
      <w:r w:rsidRPr="0029459B">
        <w:rPr>
          <w:lang w:eastAsia="cs-CZ"/>
        </w:rPr>
        <w:t xml:space="preserve">vzrostly o 31,6 %, tj. z 88 838 Kč na 116 986 Kč, což bylo </w:t>
      </w:r>
      <w:r w:rsidR="007949C0" w:rsidRPr="0029459B">
        <w:rPr>
          <w:lang w:eastAsia="cs-CZ"/>
        </w:rPr>
        <w:t xml:space="preserve">způsobeno </w:t>
      </w:r>
      <w:r w:rsidR="00567004" w:rsidRPr="0029459B">
        <w:rPr>
          <w:lang w:eastAsia="cs-CZ"/>
        </w:rPr>
        <w:t>rostoucí výší</w:t>
      </w:r>
      <w:r w:rsidRPr="0029459B">
        <w:rPr>
          <w:lang w:eastAsia="cs-CZ"/>
        </w:rPr>
        <w:t xml:space="preserve"> příspěvku, </w:t>
      </w:r>
      <w:r w:rsidR="003D372C" w:rsidRPr="0029459B">
        <w:rPr>
          <w:lang w:eastAsia="cs-CZ"/>
        </w:rPr>
        <w:t>na který měli zaměstnavatelé nárok</w:t>
      </w:r>
      <w:r w:rsidRPr="0029459B">
        <w:rPr>
          <w:lang w:eastAsia="cs-CZ"/>
        </w:rPr>
        <w:t xml:space="preserve">. V průběhu kontrolovaného období </w:t>
      </w:r>
      <w:r w:rsidR="008E7A37" w:rsidRPr="0029459B">
        <w:rPr>
          <w:lang w:eastAsia="cs-CZ"/>
        </w:rPr>
        <w:t>rostl</w:t>
      </w:r>
      <w:r w:rsidR="007949C0" w:rsidRPr="0029459B">
        <w:rPr>
          <w:lang w:eastAsia="cs-CZ"/>
        </w:rPr>
        <w:t xml:space="preserve"> poč</w:t>
      </w:r>
      <w:r w:rsidR="008E7A37" w:rsidRPr="0029459B">
        <w:rPr>
          <w:lang w:eastAsia="cs-CZ"/>
        </w:rPr>
        <w:t>et</w:t>
      </w:r>
      <w:r w:rsidRPr="0029459B">
        <w:rPr>
          <w:lang w:eastAsia="cs-CZ"/>
        </w:rPr>
        <w:t xml:space="preserve"> zaměstnavatelů, kteří příspěvek podle </w:t>
      </w:r>
      <w:r w:rsidR="004B0D7B" w:rsidRPr="0029459B">
        <w:rPr>
          <w:lang w:eastAsia="cs-CZ"/>
        </w:rPr>
        <w:t xml:space="preserve">ustanovení </w:t>
      </w:r>
      <w:r w:rsidRPr="0029459B">
        <w:rPr>
          <w:lang w:eastAsia="cs-CZ"/>
        </w:rPr>
        <w:t>§</w:t>
      </w:r>
      <w:r w:rsidR="003E55EB" w:rsidRPr="0029459B">
        <w:rPr>
          <w:lang w:eastAsia="cs-CZ"/>
        </w:rPr>
        <w:t xml:space="preserve"> 78 čerpali</w:t>
      </w:r>
      <w:r w:rsidR="00D47303">
        <w:rPr>
          <w:lang w:eastAsia="cs-CZ"/>
        </w:rPr>
        <w:t>,</w:t>
      </w:r>
      <w:r w:rsidR="007949C0" w:rsidRPr="0029459B">
        <w:rPr>
          <w:lang w:eastAsia="cs-CZ"/>
        </w:rPr>
        <w:t xml:space="preserve"> a poč</w:t>
      </w:r>
      <w:r w:rsidR="008E7A37" w:rsidRPr="0029459B">
        <w:rPr>
          <w:lang w:eastAsia="cs-CZ"/>
        </w:rPr>
        <w:t>et</w:t>
      </w:r>
      <w:r w:rsidRPr="0029459B">
        <w:rPr>
          <w:lang w:eastAsia="cs-CZ"/>
        </w:rPr>
        <w:t xml:space="preserve"> zaměstnanců OZP, kteří </w:t>
      </w:r>
      <w:r w:rsidR="003E55EB" w:rsidRPr="0029459B">
        <w:rPr>
          <w:lang w:eastAsia="cs-CZ"/>
        </w:rPr>
        <w:t>byli</w:t>
      </w:r>
      <w:r w:rsidRPr="0029459B">
        <w:rPr>
          <w:lang w:eastAsia="cs-CZ"/>
        </w:rPr>
        <w:t xml:space="preserve"> v rámci </w:t>
      </w:r>
      <w:r w:rsidR="003E55EB" w:rsidRPr="0029459B">
        <w:rPr>
          <w:lang w:eastAsia="cs-CZ"/>
        </w:rPr>
        <w:t xml:space="preserve">příspěvku podle </w:t>
      </w:r>
      <w:r w:rsidR="006A4EF6" w:rsidRPr="0029459B">
        <w:rPr>
          <w:lang w:eastAsia="cs-CZ"/>
        </w:rPr>
        <w:t xml:space="preserve">ustanovení </w:t>
      </w:r>
      <w:r w:rsidR="003E55EB" w:rsidRPr="0029459B">
        <w:rPr>
          <w:lang w:eastAsia="cs-CZ"/>
        </w:rPr>
        <w:t>§ 78 podpořeni</w:t>
      </w:r>
      <w:r w:rsidRPr="0029459B">
        <w:rPr>
          <w:lang w:eastAsia="cs-CZ"/>
        </w:rPr>
        <w:t>.</w:t>
      </w:r>
      <w:r w:rsidR="0079589E" w:rsidRPr="0029459B">
        <w:rPr>
          <w:lang w:eastAsia="cs-CZ"/>
        </w:rPr>
        <w:t xml:space="preserve"> </w:t>
      </w:r>
    </w:p>
    <w:p w14:paraId="7EA130BD" w14:textId="12CB63EE" w:rsidR="008C2339" w:rsidRDefault="00C77E9E" w:rsidP="00A4595A">
      <w:pPr>
        <w:spacing w:before="0"/>
        <w:rPr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1E512B2D" wp14:editId="77F2D551">
            <wp:extent cx="5756638" cy="341027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kova\AppData\Local\Microsoft\Windows\Temporary Internet Files\Content.Word\Podpořené osoby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638" cy="341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7C41C" w14:textId="2CCE972E" w:rsidR="00CD4C8D" w:rsidRPr="00FA5CEF" w:rsidRDefault="00602672" w:rsidP="001061D9">
      <w:pPr>
        <w:pStyle w:val="Zdroj"/>
        <w:ind w:left="567" w:hanging="567"/>
        <w:rPr>
          <w:i w:val="0"/>
        </w:rPr>
      </w:pPr>
      <w:r w:rsidRPr="00FA5CEF">
        <w:rPr>
          <w:b/>
          <w:i w:val="0"/>
        </w:rPr>
        <w:t>Pozn</w:t>
      </w:r>
      <w:r w:rsidR="00D47303">
        <w:rPr>
          <w:b/>
          <w:i w:val="0"/>
        </w:rPr>
        <w:t>.</w:t>
      </w:r>
      <w:r w:rsidRPr="00FA5CEF">
        <w:rPr>
          <w:b/>
          <w:i w:val="0"/>
        </w:rPr>
        <w:t>:</w:t>
      </w:r>
      <w:r w:rsidRPr="00FA5CEF">
        <w:rPr>
          <w:i w:val="0"/>
        </w:rPr>
        <w:t xml:space="preserve"> Souhrnná data o OZP zaměstnaných na volném trhu práce, které byly podpořeny pouze z prostředků APZ, nejsou k dispozici. ÚP ČR v rámci svých zákonem daných kompetencí sleduje a</w:t>
      </w:r>
      <w:r w:rsidR="00D47303">
        <w:rPr>
          <w:i w:val="0"/>
        </w:rPr>
        <w:t> </w:t>
      </w:r>
      <w:r w:rsidRPr="00FA5CEF">
        <w:rPr>
          <w:i w:val="0"/>
        </w:rPr>
        <w:t>vyhodnocuje pouze údaje o celkovém počtu uchazečů OZP o zaměstnání.</w:t>
      </w:r>
    </w:p>
    <w:p w14:paraId="105B5E84" w14:textId="77777777" w:rsidR="00A4595A" w:rsidRDefault="00A4595A" w:rsidP="00A4595A">
      <w:pPr>
        <w:spacing w:before="0"/>
        <w:rPr>
          <w:lang w:eastAsia="cs-CZ"/>
        </w:rPr>
      </w:pPr>
    </w:p>
    <w:p w14:paraId="1C01F6A6" w14:textId="600CFF8A" w:rsidR="001619B6" w:rsidRDefault="001619B6" w:rsidP="00CB5C79">
      <w:pPr>
        <w:spacing w:before="0"/>
        <w:rPr>
          <w:lang w:eastAsia="cs-CZ"/>
        </w:rPr>
      </w:pPr>
      <w:r w:rsidRPr="0029459B">
        <w:rPr>
          <w:lang w:eastAsia="cs-CZ"/>
        </w:rPr>
        <w:t xml:space="preserve">Růst průměrných výdajů na 1 OZP a růst počtu zaměstnavatelů a zaměstnanců OZP vedly v průběhu kontrolovaného období k nárůstu celkově poskytnutých prostředků z ukazatele </w:t>
      </w:r>
      <w:r>
        <w:rPr>
          <w:lang w:eastAsia="cs-CZ"/>
        </w:rPr>
        <w:t>ZZPO</w:t>
      </w:r>
      <w:r w:rsidRPr="0029459B">
        <w:rPr>
          <w:lang w:eastAsia="cs-CZ"/>
        </w:rPr>
        <w:t>.</w:t>
      </w:r>
    </w:p>
    <w:p w14:paraId="18A63949" w14:textId="77777777" w:rsidR="00CD4C8D" w:rsidRDefault="00CD4C8D" w:rsidP="00CB5C79">
      <w:pPr>
        <w:spacing w:before="0"/>
        <w:rPr>
          <w:lang w:eastAsia="cs-CZ"/>
        </w:rPr>
      </w:pPr>
    </w:p>
    <w:p w14:paraId="4EA8E43A" w14:textId="276BC945" w:rsidR="00AE5BD9" w:rsidRPr="00927D14" w:rsidRDefault="001061D9" w:rsidP="001061D9">
      <w:pPr>
        <w:pStyle w:val="Nzevtabulky"/>
        <w:numPr>
          <w:ilvl w:val="0"/>
          <w:numId w:val="0"/>
        </w:numPr>
        <w:spacing w:before="0" w:after="40"/>
        <w:ind w:left="1418" w:hanging="1418"/>
        <w:rPr>
          <w:b/>
        </w:rPr>
      </w:pPr>
      <w:r w:rsidRPr="00927D14">
        <w:rPr>
          <w:b/>
        </w:rPr>
        <w:t>Tabulka č. 2</w:t>
      </w:r>
      <w:r>
        <w:t xml:space="preserve"> </w:t>
      </w:r>
      <w:r w:rsidR="00D47303" w:rsidRPr="00927D14">
        <w:rPr>
          <w:b/>
        </w:rPr>
        <w:t>–</w:t>
      </w:r>
      <w:r w:rsidRPr="00927D14">
        <w:rPr>
          <w:b/>
        </w:rPr>
        <w:tab/>
      </w:r>
      <w:r w:rsidR="00AE5BD9" w:rsidRPr="00927D14">
        <w:rPr>
          <w:b/>
        </w:rPr>
        <w:t xml:space="preserve">Přehled </w:t>
      </w:r>
      <w:r w:rsidR="00C340CC" w:rsidRPr="00927D14">
        <w:rPr>
          <w:b/>
        </w:rPr>
        <w:t xml:space="preserve">výdajů z ukazatele </w:t>
      </w:r>
      <w:r w:rsidR="000439F3" w:rsidRPr="00927D14">
        <w:rPr>
          <w:b/>
        </w:rPr>
        <w:t>„</w:t>
      </w:r>
      <w:r w:rsidR="000439F3" w:rsidRPr="00927D14">
        <w:rPr>
          <w:b/>
          <w:i/>
        </w:rPr>
        <w:t>z</w:t>
      </w:r>
      <w:r w:rsidR="00C340CC" w:rsidRPr="00927D14">
        <w:rPr>
          <w:b/>
          <w:i/>
        </w:rPr>
        <w:t>aměstnávání zdravotně postižených občanů</w:t>
      </w:r>
      <w:r w:rsidR="000439F3" w:rsidRPr="00927D14">
        <w:rPr>
          <w:b/>
        </w:rPr>
        <w:t>“</w:t>
      </w:r>
      <w:r w:rsidR="00F547CC" w:rsidRPr="00927D14">
        <w:rPr>
          <w:b/>
        </w:rPr>
        <w:t xml:space="preserve"> a </w:t>
      </w:r>
      <w:r w:rsidR="00CC213B" w:rsidRPr="00927D14">
        <w:rPr>
          <w:b/>
        </w:rPr>
        <w:t>počty z něj podpořených zaměstnavatelů a OZP</w:t>
      </w:r>
      <w:r w:rsidR="00D47303" w:rsidRPr="00927D14">
        <w:rPr>
          <w:b/>
        </w:rPr>
        <w:t xml:space="preserve"> k 31. 12. daného roku</w:t>
      </w: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993"/>
        <w:gridCol w:w="992"/>
        <w:gridCol w:w="992"/>
        <w:gridCol w:w="992"/>
      </w:tblGrid>
      <w:tr w:rsidR="00AE5BD9" w:rsidRPr="0029459B" w14:paraId="0F587E48" w14:textId="77777777" w:rsidTr="000E2A7D"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6E7"/>
          </w:tcPr>
          <w:p w14:paraId="2C85BC08" w14:textId="77777777" w:rsidR="00AE5BD9" w:rsidRPr="0029459B" w:rsidRDefault="00AE5BD9" w:rsidP="00AE5BD9">
            <w:pPr>
              <w:spacing w:before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218B3F1F" w14:textId="6D152C89" w:rsidR="00AE5BD9" w:rsidRPr="0029459B" w:rsidRDefault="00AE5BD9" w:rsidP="00D47303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9459B">
              <w:rPr>
                <w:b/>
                <w:sz w:val="16"/>
                <w:szCs w:val="16"/>
              </w:rPr>
              <w:t>2010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76015549" w14:textId="605A871E" w:rsidR="00AE5BD9" w:rsidRPr="0029459B" w:rsidRDefault="00AE5BD9" w:rsidP="00AE5BD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9459B">
              <w:rPr>
                <w:b/>
                <w:sz w:val="16"/>
                <w:szCs w:val="16"/>
              </w:rPr>
              <w:t>2011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2C31C73C" w14:textId="0BFE73C7" w:rsidR="00AE5BD9" w:rsidRPr="0029459B" w:rsidRDefault="00AE5BD9" w:rsidP="00C340C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9459B">
              <w:rPr>
                <w:b/>
                <w:sz w:val="16"/>
                <w:szCs w:val="16"/>
              </w:rPr>
              <w:t>2012</w:t>
            </w:r>
            <w:r w:rsidR="003E55EB" w:rsidRPr="0029459B"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0CB50A10" w14:textId="3BAC3FA8" w:rsidR="00AE5BD9" w:rsidRPr="0029459B" w:rsidRDefault="00AE5BD9" w:rsidP="00C340CC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9459B">
              <w:rPr>
                <w:b/>
                <w:sz w:val="16"/>
                <w:szCs w:val="16"/>
              </w:rPr>
              <w:t>2013</w:t>
            </w:r>
            <w:r w:rsidR="003E55EB" w:rsidRPr="0029459B">
              <w:rPr>
                <w:sz w:val="16"/>
                <w:szCs w:val="16"/>
              </w:rPr>
              <w:t>*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184FC34F" w14:textId="5A12E9DE" w:rsidR="00AE5BD9" w:rsidRPr="0029459B" w:rsidRDefault="00AE5BD9" w:rsidP="00AE5BD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9459B">
              <w:rPr>
                <w:b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6E7"/>
            <w:vAlign w:val="center"/>
          </w:tcPr>
          <w:p w14:paraId="470469B7" w14:textId="22A2E1B0" w:rsidR="00AE5BD9" w:rsidRPr="0029459B" w:rsidRDefault="00AE5BD9" w:rsidP="00AE5BD9">
            <w:pPr>
              <w:spacing w:before="0"/>
              <w:jc w:val="center"/>
              <w:rPr>
                <w:b/>
                <w:sz w:val="16"/>
                <w:szCs w:val="16"/>
              </w:rPr>
            </w:pPr>
            <w:r w:rsidRPr="0029459B">
              <w:rPr>
                <w:b/>
                <w:sz w:val="16"/>
                <w:szCs w:val="16"/>
              </w:rPr>
              <w:t>2015</w:t>
            </w:r>
          </w:p>
        </w:tc>
      </w:tr>
      <w:tr w:rsidR="00AE5BD9" w:rsidRPr="0029459B" w14:paraId="0C5F7E7C" w14:textId="77777777" w:rsidTr="00637355"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427FFE" w14:textId="2B06112B" w:rsidR="00AE5BD9" w:rsidRPr="0029459B" w:rsidRDefault="00F66439" w:rsidP="00CB5C79">
            <w:pPr>
              <w:spacing w:before="0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</w:rPr>
              <w:t>Výdaje na u</w:t>
            </w:r>
            <w:r w:rsidR="00AE5BD9" w:rsidRPr="0029459B">
              <w:rPr>
                <w:sz w:val="18"/>
                <w:szCs w:val="18"/>
              </w:rPr>
              <w:t xml:space="preserve">kazatel </w:t>
            </w:r>
            <w:r w:rsidR="00C340CC" w:rsidRPr="00927D14">
              <w:rPr>
                <w:sz w:val="18"/>
                <w:szCs w:val="18"/>
              </w:rPr>
              <w:t>ZZPO</w:t>
            </w:r>
            <w:r w:rsidR="00AE5BD9" w:rsidRPr="0029459B">
              <w:rPr>
                <w:sz w:val="18"/>
                <w:szCs w:val="18"/>
              </w:rPr>
              <w:t xml:space="preserve"> (</w:t>
            </w:r>
            <w:r w:rsidR="00295716" w:rsidRPr="0029459B">
              <w:rPr>
                <w:sz w:val="18"/>
                <w:szCs w:val="18"/>
              </w:rPr>
              <w:t xml:space="preserve">ustanovení </w:t>
            </w:r>
            <w:r w:rsidR="00AE5BD9" w:rsidRPr="0029459B">
              <w:rPr>
                <w:sz w:val="18"/>
                <w:szCs w:val="18"/>
              </w:rPr>
              <w:t>§</w:t>
            </w:r>
            <w:r w:rsidR="00CB5C79">
              <w:rPr>
                <w:sz w:val="18"/>
                <w:szCs w:val="18"/>
              </w:rPr>
              <w:t> </w:t>
            </w:r>
            <w:r w:rsidR="00AE5BD9" w:rsidRPr="0029459B">
              <w:rPr>
                <w:sz w:val="18"/>
                <w:szCs w:val="18"/>
              </w:rPr>
              <w:t>78) v tis. Kč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351C07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</w:rPr>
              <w:t>2 712 304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280F502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</w:rPr>
              <w:t>3 282 404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8443DF8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</w:rPr>
              <w:t>3 468 251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D0A30AE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</w:rPr>
              <w:t>3 670 239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7AFA5807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</w:rPr>
              <w:t>4 018 724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0FF60F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</w:rPr>
              <w:t>4 320 059</w:t>
            </w:r>
          </w:p>
        </w:tc>
      </w:tr>
      <w:tr w:rsidR="00AE5BD9" w:rsidRPr="0029459B" w14:paraId="1F60D339" w14:textId="77777777" w:rsidTr="00AE5BD9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46841737" w14:textId="00D9E4A5" w:rsidR="00AE5BD9" w:rsidRPr="0029459B" w:rsidRDefault="00AE5BD9" w:rsidP="00AE5BD9">
            <w:pPr>
              <w:spacing w:before="0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</w:rPr>
              <w:t xml:space="preserve">Průměrné výdaje na 1 OZP podpořenou z příspěvku podle </w:t>
            </w:r>
            <w:r w:rsidR="00295716" w:rsidRPr="0029459B">
              <w:rPr>
                <w:sz w:val="18"/>
                <w:szCs w:val="18"/>
              </w:rPr>
              <w:t xml:space="preserve">ustanovení </w:t>
            </w:r>
            <w:r w:rsidRPr="0029459B">
              <w:rPr>
                <w:sz w:val="18"/>
                <w:szCs w:val="18"/>
              </w:rPr>
              <w:t>§ 78 v Kč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547B6D59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88 838</w:t>
            </w:r>
          </w:p>
        </w:tc>
        <w:tc>
          <w:tcPr>
            <w:tcW w:w="992" w:type="dxa"/>
            <w:vAlign w:val="center"/>
          </w:tcPr>
          <w:p w14:paraId="1E1EDD67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98 835</w:t>
            </w:r>
          </w:p>
        </w:tc>
        <w:tc>
          <w:tcPr>
            <w:tcW w:w="993" w:type="dxa"/>
            <w:vAlign w:val="center"/>
          </w:tcPr>
          <w:p w14:paraId="21208BBE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vAlign w:val="center"/>
          </w:tcPr>
          <w:p w14:paraId="789DAAE6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vAlign w:val="center"/>
          </w:tcPr>
          <w:p w14:paraId="53B22035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116 168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38A6565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116 986</w:t>
            </w:r>
          </w:p>
        </w:tc>
      </w:tr>
      <w:tr w:rsidR="00AE5BD9" w:rsidRPr="0029459B" w14:paraId="7D31851B" w14:textId="77777777" w:rsidTr="00F91C93"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6093EB2D" w14:textId="4225344E" w:rsidR="00AE5BD9" w:rsidRPr="0029459B" w:rsidRDefault="00AE5BD9" w:rsidP="00F91C93">
            <w:pPr>
              <w:spacing w:before="0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 xml:space="preserve">Počet zaměstnavatelů </w:t>
            </w:r>
            <w:r w:rsidR="00F91C93" w:rsidRPr="0029459B">
              <w:rPr>
                <w:sz w:val="18"/>
                <w:szCs w:val="18"/>
                <w:lang w:eastAsia="cs-CZ"/>
              </w:rPr>
              <w:t>čerpajících</w:t>
            </w:r>
            <w:r w:rsidRPr="0029459B">
              <w:rPr>
                <w:sz w:val="18"/>
                <w:szCs w:val="18"/>
                <w:lang w:eastAsia="cs-CZ"/>
              </w:rPr>
              <w:t xml:space="preserve"> příspěv</w:t>
            </w:r>
            <w:r w:rsidR="00F91C93" w:rsidRPr="0029459B">
              <w:rPr>
                <w:sz w:val="18"/>
                <w:szCs w:val="18"/>
                <w:lang w:eastAsia="cs-CZ"/>
              </w:rPr>
              <w:t>ek</w:t>
            </w:r>
            <w:r w:rsidRPr="0029459B">
              <w:rPr>
                <w:sz w:val="18"/>
                <w:szCs w:val="18"/>
                <w:lang w:eastAsia="cs-CZ"/>
              </w:rPr>
              <w:t xml:space="preserve"> podle </w:t>
            </w:r>
            <w:r w:rsidR="00295716" w:rsidRPr="0029459B">
              <w:rPr>
                <w:sz w:val="18"/>
                <w:szCs w:val="18"/>
                <w:lang w:eastAsia="cs-CZ"/>
              </w:rPr>
              <w:t xml:space="preserve">ustanovení </w:t>
            </w:r>
            <w:r w:rsidRPr="0029459B">
              <w:rPr>
                <w:sz w:val="18"/>
                <w:szCs w:val="18"/>
                <w:lang w:eastAsia="cs-CZ"/>
              </w:rPr>
              <w:t>§ 78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14:paraId="25B20367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1 988</w:t>
            </w:r>
          </w:p>
        </w:tc>
        <w:tc>
          <w:tcPr>
            <w:tcW w:w="992" w:type="dxa"/>
            <w:vAlign w:val="center"/>
          </w:tcPr>
          <w:p w14:paraId="39394908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2 272</w:t>
            </w:r>
          </w:p>
        </w:tc>
        <w:tc>
          <w:tcPr>
            <w:tcW w:w="993" w:type="dxa"/>
            <w:vAlign w:val="center"/>
          </w:tcPr>
          <w:p w14:paraId="65B37DBD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vAlign w:val="center"/>
          </w:tcPr>
          <w:p w14:paraId="31EBA097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vAlign w:val="center"/>
          </w:tcPr>
          <w:p w14:paraId="377C8E08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2 621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4061A631" w14:textId="77777777" w:rsidR="00AE5BD9" w:rsidRPr="0029459B" w:rsidRDefault="00AE5BD9" w:rsidP="00AE5BD9">
            <w:pPr>
              <w:spacing w:before="0"/>
              <w:jc w:val="right"/>
              <w:rPr>
                <w:sz w:val="18"/>
                <w:szCs w:val="18"/>
              </w:rPr>
            </w:pPr>
            <w:r w:rsidRPr="0029459B">
              <w:rPr>
                <w:sz w:val="18"/>
                <w:szCs w:val="18"/>
                <w:lang w:eastAsia="cs-CZ"/>
              </w:rPr>
              <w:t>2 709</w:t>
            </w:r>
          </w:p>
        </w:tc>
      </w:tr>
      <w:tr w:rsidR="00F91C93" w:rsidRPr="0029459B" w14:paraId="5CE60110" w14:textId="77777777" w:rsidTr="00AE5BD9"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1A44F" w14:textId="28546E2E" w:rsidR="00F91C93" w:rsidRPr="0029459B" w:rsidRDefault="00F91C93" w:rsidP="00F91C93">
            <w:pPr>
              <w:spacing w:before="0"/>
              <w:rPr>
                <w:sz w:val="18"/>
                <w:szCs w:val="18"/>
                <w:lang w:eastAsia="cs-CZ"/>
              </w:rPr>
            </w:pPr>
            <w:r w:rsidRPr="0029459B">
              <w:rPr>
                <w:sz w:val="18"/>
                <w:szCs w:val="18"/>
                <w:lang w:eastAsia="cs-CZ"/>
              </w:rPr>
              <w:t xml:space="preserve">Počet OZP podpořených z příspěvku podle </w:t>
            </w:r>
            <w:r w:rsidR="00295716" w:rsidRPr="0029459B">
              <w:rPr>
                <w:sz w:val="18"/>
                <w:szCs w:val="18"/>
                <w:lang w:eastAsia="cs-CZ"/>
              </w:rPr>
              <w:t xml:space="preserve">ustanovení </w:t>
            </w:r>
            <w:r w:rsidRPr="0029459B">
              <w:rPr>
                <w:sz w:val="18"/>
                <w:szCs w:val="18"/>
                <w:lang w:eastAsia="cs-CZ"/>
              </w:rPr>
              <w:t xml:space="preserve">§ 78 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D91987" w14:textId="49CFF4B8" w:rsidR="00F91C93" w:rsidRPr="0029459B" w:rsidRDefault="00F91C93" w:rsidP="00F91C93">
            <w:pPr>
              <w:spacing w:before="0"/>
              <w:jc w:val="right"/>
              <w:rPr>
                <w:sz w:val="18"/>
                <w:szCs w:val="18"/>
                <w:lang w:eastAsia="cs-CZ"/>
              </w:rPr>
            </w:pPr>
            <w:r w:rsidRPr="0029459B">
              <w:rPr>
                <w:sz w:val="18"/>
                <w:szCs w:val="18"/>
                <w:lang w:eastAsia="cs-CZ"/>
              </w:rPr>
              <w:t>30 531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0B53E09" w14:textId="49EC01B2" w:rsidR="00F91C93" w:rsidRPr="0029459B" w:rsidRDefault="00F91C93" w:rsidP="00F91C93">
            <w:pPr>
              <w:spacing w:before="0"/>
              <w:jc w:val="right"/>
              <w:rPr>
                <w:sz w:val="18"/>
                <w:szCs w:val="18"/>
                <w:lang w:eastAsia="cs-CZ"/>
              </w:rPr>
            </w:pPr>
            <w:r w:rsidRPr="0029459B">
              <w:rPr>
                <w:sz w:val="18"/>
                <w:szCs w:val="18"/>
                <w:lang w:eastAsia="cs-CZ"/>
              </w:rPr>
              <w:t>33 211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419D1FD" w14:textId="7E09F51C" w:rsidR="00F91C93" w:rsidRPr="0029459B" w:rsidRDefault="00F91C93" w:rsidP="00F91C93">
            <w:pPr>
              <w:spacing w:before="0"/>
              <w:jc w:val="right"/>
              <w:rPr>
                <w:sz w:val="18"/>
                <w:szCs w:val="18"/>
                <w:lang w:eastAsia="cs-CZ"/>
              </w:rPr>
            </w:pPr>
            <w:r w:rsidRPr="0029459B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D998DE9" w14:textId="5F0D1F24" w:rsidR="00F91C93" w:rsidRPr="0029459B" w:rsidRDefault="00F91C93" w:rsidP="00F91C93">
            <w:pPr>
              <w:spacing w:before="0"/>
              <w:jc w:val="right"/>
              <w:rPr>
                <w:sz w:val="18"/>
                <w:szCs w:val="18"/>
                <w:lang w:eastAsia="cs-CZ"/>
              </w:rPr>
            </w:pPr>
            <w:r w:rsidRPr="0029459B">
              <w:rPr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6E5E38F" w14:textId="15709E8B" w:rsidR="00F91C93" w:rsidRPr="0029459B" w:rsidRDefault="00F91C93" w:rsidP="00F91C93">
            <w:pPr>
              <w:spacing w:before="0"/>
              <w:jc w:val="right"/>
              <w:rPr>
                <w:sz w:val="18"/>
                <w:szCs w:val="18"/>
                <w:lang w:eastAsia="cs-CZ"/>
              </w:rPr>
            </w:pPr>
            <w:r w:rsidRPr="0029459B">
              <w:rPr>
                <w:sz w:val="18"/>
                <w:szCs w:val="18"/>
                <w:lang w:eastAsia="cs-CZ"/>
              </w:rPr>
              <w:t>34 594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57BC77" w14:textId="1C7EF4A5" w:rsidR="00F91C93" w:rsidRPr="0029459B" w:rsidRDefault="00F91C93" w:rsidP="00F91C93">
            <w:pPr>
              <w:spacing w:before="0"/>
              <w:jc w:val="right"/>
              <w:rPr>
                <w:sz w:val="18"/>
                <w:szCs w:val="18"/>
                <w:lang w:eastAsia="cs-CZ"/>
              </w:rPr>
            </w:pPr>
            <w:r w:rsidRPr="0029459B">
              <w:rPr>
                <w:sz w:val="18"/>
                <w:szCs w:val="18"/>
                <w:lang w:eastAsia="cs-CZ"/>
              </w:rPr>
              <w:t>36 928</w:t>
            </w:r>
          </w:p>
        </w:tc>
      </w:tr>
    </w:tbl>
    <w:p w14:paraId="6FCC5ECE" w14:textId="593DF6C1" w:rsidR="00AE5BD9" w:rsidRPr="00927D14" w:rsidRDefault="00AE5BD9" w:rsidP="001061D9">
      <w:pPr>
        <w:pStyle w:val="Zdroj"/>
        <w:spacing w:before="40"/>
        <w:ind w:left="567" w:hanging="567"/>
        <w:rPr>
          <w:i w:val="0"/>
          <w:lang w:eastAsia="cs-CZ"/>
        </w:rPr>
      </w:pPr>
      <w:r w:rsidRPr="00927D14">
        <w:rPr>
          <w:b/>
          <w:i w:val="0"/>
          <w:lang w:eastAsia="cs-CZ"/>
        </w:rPr>
        <w:t>Zdroj:</w:t>
      </w:r>
      <w:r w:rsidRPr="00927D14">
        <w:rPr>
          <w:i w:val="0"/>
          <w:lang w:eastAsia="cs-CZ"/>
        </w:rPr>
        <w:t xml:space="preserve"> </w:t>
      </w:r>
      <w:r w:rsidR="00D47303">
        <w:rPr>
          <w:i w:val="0"/>
          <w:lang w:eastAsia="cs-CZ"/>
        </w:rPr>
        <w:t>s</w:t>
      </w:r>
      <w:r w:rsidRPr="00927D14">
        <w:rPr>
          <w:i w:val="0"/>
          <w:lang w:eastAsia="cs-CZ"/>
        </w:rPr>
        <w:t>tátní závěrečn</w:t>
      </w:r>
      <w:r w:rsidR="00D47303">
        <w:rPr>
          <w:i w:val="0"/>
          <w:lang w:eastAsia="cs-CZ"/>
        </w:rPr>
        <w:t>é</w:t>
      </w:r>
      <w:r w:rsidRPr="00927D14">
        <w:rPr>
          <w:i w:val="0"/>
          <w:lang w:eastAsia="cs-CZ"/>
        </w:rPr>
        <w:t xml:space="preserve"> účt</w:t>
      </w:r>
      <w:r w:rsidR="00D47303">
        <w:rPr>
          <w:i w:val="0"/>
          <w:lang w:eastAsia="cs-CZ"/>
        </w:rPr>
        <w:t>y</w:t>
      </w:r>
      <w:r w:rsidRPr="00927D14">
        <w:rPr>
          <w:i w:val="0"/>
          <w:lang w:eastAsia="cs-CZ"/>
        </w:rPr>
        <w:t xml:space="preserve"> MPSV za roky 2010 až 2015, IS </w:t>
      </w:r>
      <w:r w:rsidRPr="00D47303">
        <w:rPr>
          <w:lang w:eastAsia="cs-CZ"/>
        </w:rPr>
        <w:t>OKpráce</w:t>
      </w:r>
      <w:r w:rsidR="00230424" w:rsidRPr="00927D14">
        <w:rPr>
          <w:i w:val="0"/>
          <w:lang w:eastAsia="cs-CZ"/>
        </w:rPr>
        <w:t>.</w:t>
      </w:r>
    </w:p>
    <w:p w14:paraId="48CE988D" w14:textId="36C2EC96" w:rsidR="00AE5BD9" w:rsidRPr="00927D14" w:rsidRDefault="003E55EB" w:rsidP="0017621E">
      <w:pPr>
        <w:pStyle w:val="Zdroj"/>
        <w:ind w:left="142" w:hanging="142"/>
        <w:rPr>
          <w:i w:val="0"/>
          <w:lang w:eastAsia="cs-CZ"/>
        </w:rPr>
      </w:pPr>
      <w:r w:rsidRPr="00927D14">
        <w:rPr>
          <w:i w:val="0"/>
          <w:lang w:eastAsia="cs-CZ"/>
        </w:rPr>
        <w:t>*</w:t>
      </w:r>
      <w:r w:rsidR="00AE5BD9" w:rsidRPr="00927D14">
        <w:rPr>
          <w:i w:val="0"/>
          <w:lang w:eastAsia="cs-CZ"/>
        </w:rPr>
        <w:t xml:space="preserve"> V letech 2012 a 2013 byl nahrazen IS </w:t>
      </w:r>
      <w:r w:rsidR="00AE5BD9" w:rsidRPr="00D47303">
        <w:rPr>
          <w:lang w:eastAsia="cs-CZ"/>
        </w:rPr>
        <w:t>OKpráce</w:t>
      </w:r>
      <w:r w:rsidR="00AE5BD9" w:rsidRPr="00927D14">
        <w:rPr>
          <w:i w:val="0"/>
          <w:lang w:eastAsia="cs-CZ"/>
        </w:rPr>
        <w:t>, obsahující uvedenou statistiku</w:t>
      </w:r>
      <w:r w:rsidR="00D47303">
        <w:rPr>
          <w:i w:val="0"/>
          <w:lang w:eastAsia="cs-CZ"/>
        </w:rPr>
        <w:t>,</w:t>
      </w:r>
      <w:r w:rsidR="00AE5BD9" w:rsidRPr="00927D14">
        <w:rPr>
          <w:i w:val="0"/>
          <w:lang w:eastAsia="cs-CZ"/>
        </w:rPr>
        <w:t xml:space="preserve"> informačním systémem, který touto statistikou nedisponoval.</w:t>
      </w:r>
    </w:p>
    <w:p w14:paraId="03929056" w14:textId="77777777" w:rsidR="001061D9" w:rsidRDefault="001061D9" w:rsidP="001061D9">
      <w:pPr>
        <w:spacing w:before="0"/>
        <w:rPr>
          <w:shd w:val="clear" w:color="auto" w:fill="FFFFFF" w:themeFill="background1"/>
        </w:rPr>
      </w:pPr>
    </w:p>
    <w:p w14:paraId="73491A6B" w14:textId="0BA2B2D1" w:rsidR="0018350B" w:rsidRPr="001061D9" w:rsidRDefault="001061D9" w:rsidP="001061D9">
      <w:pPr>
        <w:spacing w:before="0"/>
        <w:rPr>
          <w:b/>
          <w:shd w:val="clear" w:color="auto" w:fill="FFFFFF" w:themeFill="background1"/>
        </w:rPr>
      </w:pPr>
      <w:r w:rsidRPr="001061D9">
        <w:rPr>
          <w:b/>
          <w:shd w:val="clear" w:color="auto" w:fill="FFFFFF" w:themeFill="background1"/>
        </w:rPr>
        <w:t xml:space="preserve">3. </w:t>
      </w:r>
      <w:r w:rsidR="002C2D46" w:rsidRPr="001061D9">
        <w:rPr>
          <w:b/>
          <w:shd w:val="clear" w:color="auto" w:fill="FFFFFF" w:themeFill="background1"/>
        </w:rPr>
        <w:t>Nástroje p</w:t>
      </w:r>
      <w:r w:rsidR="00B77BD9" w:rsidRPr="001061D9">
        <w:rPr>
          <w:b/>
          <w:shd w:val="clear" w:color="auto" w:fill="FFFFFF" w:themeFill="background1"/>
        </w:rPr>
        <w:t>odpor</w:t>
      </w:r>
      <w:r w:rsidR="002C2D46" w:rsidRPr="001061D9">
        <w:rPr>
          <w:b/>
          <w:shd w:val="clear" w:color="auto" w:fill="FFFFFF" w:themeFill="background1"/>
        </w:rPr>
        <w:t>y</w:t>
      </w:r>
      <w:r w:rsidR="00B77BD9" w:rsidRPr="001061D9">
        <w:rPr>
          <w:b/>
          <w:shd w:val="clear" w:color="auto" w:fill="FFFFFF" w:themeFill="background1"/>
        </w:rPr>
        <w:t xml:space="preserve"> zaměstnávání </w:t>
      </w:r>
      <w:r w:rsidR="002C2D46" w:rsidRPr="001061D9">
        <w:rPr>
          <w:b/>
          <w:shd w:val="clear" w:color="auto" w:fill="FFFFFF" w:themeFill="background1"/>
        </w:rPr>
        <w:t>osob se zdravotním postižením</w:t>
      </w:r>
    </w:p>
    <w:p w14:paraId="477C6E5D" w14:textId="77777777" w:rsidR="001061D9" w:rsidRDefault="001061D9" w:rsidP="001061D9">
      <w:pPr>
        <w:shd w:val="clear" w:color="auto" w:fill="FFFFFF" w:themeFill="background1"/>
        <w:spacing w:before="0"/>
      </w:pPr>
    </w:p>
    <w:p w14:paraId="058D5130" w14:textId="58CB01AB" w:rsidR="008925E0" w:rsidRPr="0029459B" w:rsidRDefault="002C2D46" w:rsidP="001061D9">
      <w:pPr>
        <w:shd w:val="clear" w:color="auto" w:fill="FFFFFF" w:themeFill="background1"/>
        <w:spacing w:before="0"/>
      </w:pPr>
      <w:r w:rsidRPr="0029459B">
        <w:t xml:space="preserve">Podpora zaměstnávání OZP </w:t>
      </w:r>
      <w:r w:rsidR="00FD06FA" w:rsidRPr="0029459B">
        <w:t xml:space="preserve">z kapitoly MPSV </w:t>
      </w:r>
      <w:r w:rsidRPr="0029459B">
        <w:t xml:space="preserve">byla v letech 2010 až 2015 poskytována jednak v rámci </w:t>
      </w:r>
      <w:r w:rsidR="00F36F84" w:rsidRPr="00927D14">
        <w:t>APZ</w:t>
      </w:r>
      <w:r w:rsidR="00D47303">
        <w:t>,</w:t>
      </w:r>
      <w:r w:rsidRPr="0029459B">
        <w:t xml:space="preserve"> jednak v rámci závazného ukazatele </w:t>
      </w:r>
      <w:r w:rsidR="00F36F84" w:rsidRPr="00927D14">
        <w:t>ZZPO</w:t>
      </w:r>
      <w:r w:rsidRPr="0029459B">
        <w:t>.</w:t>
      </w:r>
      <w:r w:rsidR="0017621E">
        <w:t xml:space="preserve"> </w:t>
      </w:r>
      <w:r w:rsidR="008925E0" w:rsidRPr="0029459B">
        <w:t>Prostředky z</w:t>
      </w:r>
      <w:r w:rsidR="00D72F69" w:rsidRPr="0029459B">
        <w:t> </w:t>
      </w:r>
      <w:r w:rsidR="00F36F84" w:rsidRPr="00927D14">
        <w:t>APZ</w:t>
      </w:r>
      <w:r w:rsidR="008925E0" w:rsidRPr="0029459B">
        <w:rPr>
          <w:i/>
        </w:rPr>
        <w:t xml:space="preserve"> </w:t>
      </w:r>
      <w:r w:rsidR="008925E0" w:rsidRPr="0029459B">
        <w:t xml:space="preserve">pro OZP byly určeny pro všechny zaměstnavatele, a to: </w:t>
      </w:r>
    </w:p>
    <w:p w14:paraId="197049C0" w14:textId="7F0BEE8F" w:rsidR="008925E0" w:rsidRPr="0029459B" w:rsidRDefault="00D47303" w:rsidP="001061D9">
      <w:pPr>
        <w:pStyle w:val="Odstavecseseznamem"/>
        <w:numPr>
          <w:ilvl w:val="0"/>
          <w:numId w:val="7"/>
        </w:numPr>
        <w:shd w:val="clear" w:color="auto" w:fill="FFFFFF" w:themeFill="background1"/>
        <w:spacing w:before="0"/>
        <w:ind w:left="284" w:hanging="284"/>
      </w:pPr>
      <w:r>
        <w:t>p</w:t>
      </w:r>
      <w:r w:rsidR="008925E0" w:rsidRPr="0029459B">
        <w:t xml:space="preserve">říspěvek na zřízení chráněného pracovního místa podle </w:t>
      </w:r>
      <w:r w:rsidR="00F9059B" w:rsidRPr="0029459B">
        <w:t xml:space="preserve">ustanovení </w:t>
      </w:r>
      <w:r w:rsidR="008925E0" w:rsidRPr="0029459B">
        <w:t xml:space="preserve">§ 75 zákona </w:t>
      </w:r>
      <w:r w:rsidR="00F9059B" w:rsidRPr="0029459B">
        <w:t>č. </w:t>
      </w:r>
      <w:r w:rsidR="008925E0" w:rsidRPr="0029459B">
        <w:t>435/2004 Sb.;</w:t>
      </w:r>
    </w:p>
    <w:p w14:paraId="03C9FDC8" w14:textId="07CBE44E" w:rsidR="008925E0" w:rsidRPr="0029459B" w:rsidRDefault="00D47303" w:rsidP="001061D9">
      <w:pPr>
        <w:pStyle w:val="Odstavecseseznamem"/>
        <w:numPr>
          <w:ilvl w:val="0"/>
          <w:numId w:val="7"/>
        </w:numPr>
        <w:shd w:val="clear" w:color="auto" w:fill="FFFFFF" w:themeFill="background1"/>
        <w:spacing w:before="0"/>
        <w:ind w:left="284" w:hanging="284"/>
      </w:pPr>
      <w:r>
        <w:lastRenderedPageBreak/>
        <w:t>p</w:t>
      </w:r>
      <w:r w:rsidR="008925E0" w:rsidRPr="0029459B">
        <w:t xml:space="preserve">říspěvek na částečnou úhradu provozních nákladů chráněného pracovního místa podle </w:t>
      </w:r>
      <w:r w:rsidR="00F9059B" w:rsidRPr="0029459B">
        <w:t xml:space="preserve">ustanovení </w:t>
      </w:r>
      <w:r w:rsidR="008925E0" w:rsidRPr="0029459B">
        <w:t>§ 76 zákona č. 435/2004 Sb.;</w:t>
      </w:r>
    </w:p>
    <w:p w14:paraId="17F18846" w14:textId="34023DA8" w:rsidR="0042282F" w:rsidRPr="0029459B" w:rsidRDefault="00D47303" w:rsidP="001061D9">
      <w:pPr>
        <w:pStyle w:val="Odstavecseseznamem"/>
        <w:numPr>
          <w:ilvl w:val="0"/>
          <w:numId w:val="7"/>
        </w:numPr>
        <w:shd w:val="clear" w:color="auto" w:fill="FFFFFF" w:themeFill="background1"/>
        <w:spacing w:before="0"/>
        <w:ind w:left="284" w:hanging="284"/>
      </w:pPr>
      <w:r>
        <w:t>p</w:t>
      </w:r>
      <w:r w:rsidR="008925E0" w:rsidRPr="0029459B">
        <w:t>rostředky určené na pracovní rehabilitaci.</w:t>
      </w:r>
    </w:p>
    <w:p w14:paraId="684BC4AE" w14:textId="77777777" w:rsidR="001061D9" w:rsidRDefault="001061D9" w:rsidP="001061D9">
      <w:pPr>
        <w:shd w:val="clear" w:color="auto" w:fill="FFFFFF" w:themeFill="background1"/>
        <w:spacing w:before="0"/>
      </w:pPr>
    </w:p>
    <w:p w14:paraId="5CF77705" w14:textId="1C6B32A9" w:rsidR="008925E0" w:rsidRPr="0029459B" w:rsidRDefault="008925E0" w:rsidP="001061D9">
      <w:pPr>
        <w:shd w:val="clear" w:color="auto" w:fill="FFFFFF" w:themeFill="background1"/>
        <w:spacing w:before="0"/>
      </w:pPr>
      <w:r w:rsidRPr="0029459B">
        <w:t>Prostředky v rámci</w:t>
      </w:r>
      <w:r w:rsidR="00D47303">
        <w:t xml:space="preserve"> </w:t>
      </w:r>
      <w:r w:rsidRPr="0029459B">
        <w:t xml:space="preserve">ukazatele </w:t>
      </w:r>
      <w:r w:rsidR="00F36F84" w:rsidRPr="00927D14">
        <w:t>ZZPO</w:t>
      </w:r>
      <w:r w:rsidRPr="0029459B">
        <w:t xml:space="preserve">, </w:t>
      </w:r>
      <w:r w:rsidR="00D47303">
        <w:t>z něhož</w:t>
      </w:r>
      <w:r w:rsidRPr="0029459B">
        <w:t xml:space="preserve"> byly poskytovány prostředky na příspěvek na podporu zaměstnávání osob se zdravotním postižením na chráněném pracovním místě podle </w:t>
      </w:r>
      <w:r w:rsidR="00F9059B" w:rsidRPr="0029459B">
        <w:t xml:space="preserve">ustanovení </w:t>
      </w:r>
      <w:r w:rsidRPr="0029459B">
        <w:t xml:space="preserve">§ 78 zákona </w:t>
      </w:r>
      <w:r w:rsidR="005D3B11" w:rsidRPr="0029459B">
        <w:t>č. 435/2004 Sb.</w:t>
      </w:r>
      <w:r w:rsidRPr="0029459B">
        <w:t>, byly určeny pouze pro zaměstnavatele zaměstnávající na chráněných pracovních místech více než 50 % OZP z celkového počtu svých zaměstnanců.</w:t>
      </w:r>
    </w:p>
    <w:p w14:paraId="06BEFF10" w14:textId="77777777" w:rsidR="001061D9" w:rsidRDefault="001061D9" w:rsidP="00CB5C79">
      <w:pPr>
        <w:shd w:val="clear" w:color="auto" w:fill="FFFFFF" w:themeFill="background1"/>
        <w:spacing w:before="0"/>
        <w:rPr>
          <w:shd w:val="clear" w:color="auto" w:fill="FFFFFF" w:themeFill="background1"/>
        </w:rPr>
      </w:pPr>
    </w:p>
    <w:p w14:paraId="372E8262" w14:textId="5783427A" w:rsidR="003E55EB" w:rsidRDefault="003E55EB" w:rsidP="00CB5C79">
      <w:pPr>
        <w:shd w:val="clear" w:color="auto" w:fill="FFFFFF" w:themeFill="background1"/>
        <w:spacing w:before="0"/>
        <w:rPr>
          <w:lang w:eastAsia="cs-CZ"/>
        </w:rPr>
      </w:pPr>
      <w:r w:rsidRPr="0029459B">
        <w:rPr>
          <w:shd w:val="clear" w:color="auto" w:fill="FFFFFF" w:themeFill="background1"/>
        </w:rPr>
        <w:t xml:space="preserve">V letech 2010 až 2015 byl z celkového objemu prostředků určených na podporu zaměstnávání OZP vyplacen největší podíl, tj. až 96 %, zaměstnavatelům s více než 50 % OZP. </w:t>
      </w:r>
      <w:r w:rsidR="00E259AF" w:rsidRPr="0029459B">
        <w:rPr>
          <w:shd w:val="clear" w:color="auto" w:fill="FFFFFF" w:themeFill="background1"/>
        </w:rPr>
        <w:t>Z důvodu</w:t>
      </w:r>
      <w:r w:rsidRPr="0029459B">
        <w:rPr>
          <w:lang w:eastAsia="cs-CZ"/>
        </w:rPr>
        <w:t xml:space="preserve"> současného nastavení legislativy </w:t>
      </w:r>
      <w:r w:rsidR="00E259AF" w:rsidRPr="0029459B">
        <w:rPr>
          <w:lang w:eastAsia="cs-CZ"/>
        </w:rPr>
        <w:t>jsou</w:t>
      </w:r>
      <w:r w:rsidRPr="0029459B">
        <w:rPr>
          <w:lang w:eastAsia="cs-CZ"/>
        </w:rPr>
        <w:t xml:space="preserve"> </w:t>
      </w:r>
      <w:r w:rsidR="00E259AF" w:rsidRPr="0029459B">
        <w:rPr>
          <w:lang w:eastAsia="cs-CZ"/>
        </w:rPr>
        <w:t>využívány zejména nástroje</w:t>
      </w:r>
      <w:r w:rsidRPr="0029459B">
        <w:rPr>
          <w:lang w:eastAsia="cs-CZ"/>
        </w:rPr>
        <w:t xml:space="preserve"> </w:t>
      </w:r>
      <w:r w:rsidR="00E259AF" w:rsidRPr="0029459B">
        <w:rPr>
          <w:lang w:eastAsia="cs-CZ"/>
        </w:rPr>
        <w:t>podporující zaměstnávání OZP na chráněném</w:t>
      </w:r>
      <w:r w:rsidRPr="0029459B">
        <w:rPr>
          <w:lang w:eastAsia="cs-CZ"/>
        </w:rPr>
        <w:t xml:space="preserve"> trh</w:t>
      </w:r>
      <w:r w:rsidR="00E259AF" w:rsidRPr="0029459B">
        <w:rPr>
          <w:lang w:eastAsia="cs-CZ"/>
        </w:rPr>
        <w:t>u</w:t>
      </w:r>
      <w:r w:rsidRPr="0029459B">
        <w:rPr>
          <w:lang w:eastAsia="cs-CZ"/>
        </w:rPr>
        <w:t xml:space="preserve"> práce, čímž nedochází k jednomu ze základních cílů politiky zaměstnanosti OZP, tj. začlenění</w:t>
      </w:r>
      <w:r w:rsidR="00D47303">
        <w:rPr>
          <w:lang w:eastAsia="cs-CZ"/>
        </w:rPr>
        <w:t xml:space="preserve"> OZP</w:t>
      </w:r>
      <w:r w:rsidRPr="0029459B">
        <w:rPr>
          <w:lang w:eastAsia="cs-CZ"/>
        </w:rPr>
        <w:t xml:space="preserve"> do většinové společnosti.</w:t>
      </w:r>
    </w:p>
    <w:p w14:paraId="4EE3E33A" w14:textId="77777777" w:rsidR="00E112F1" w:rsidRDefault="00E112F1" w:rsidP="00CB5C79">
      <w:pPr>
        <w:shd w:val="clear" w:color="auto" w:fill="FFFFFF" w:themeFill="background1"/>
        <w:spacing w:before="0"/>
        <w:rPr>
          <w:lang w:eastAsia="cs-CZ"/>
        </w:rPr>
      </w:pPr>
    </w:p>
    <w:p w14:paraId="75BDE798" w14:textId="35E7348E" w:rsidR="006F7AF5" w:rsidRPr="00927D14" w:rsidRDefault="006F7AF5" w:rsidP="001061D9">
      <w:pPr>
        <w:spacing w:before="0" w:after="40"/>
        <w:ind w:left="1134" w:hanging="1134"/>
        <w:rPr>
          <w:b/>
        </w:rPr>
      </w:pPr>
      <w:r w:rsidRPr="00927D14">
        <w:rPr>
          <w:b/>
        </w:rPr>
        <w:t xml:space="preserve">Graf č. </w:t>
      </w:r>
      <w:r w:rsidR="00784220" w:rsidRPr="00927D14">
        <w:rPr>
          <w:b/>
        </w:rPr>
        <w:t>1</w:t>
      </w:r>
      <w:r w:rsidR="00D47303">
        <w:t xml:space="preserve"> </w:t>
      </w:r>
      <w:r w:rsidR="00D47303" w:rsidRPr="00927D14">
        <w:rPr>
          <w:b/>
        </w:rPr>
        <w:t>–</w:t>
      </w:r>
      <w:r w:rsidRPr="00927D14">
        <w:rPr>
          <w:b/>
        </w:rPr>
        <w:t xml:space="preserve"> </w:t>
      </w:r>
      <w:r w:rsidR="00417DD6">
        <w:rPr>
          <w:b/>
        </w:rPr>
        <w:tab/>
      </w:r>
      <w:r w:rsidRPr="00927D14">
        <w:rPr>
          <w:b/>
        </w:rPr>
        <w:t>Srovnání čerpání prostředků</w:t>
      </w:r>
      <w:r w:rsidR="006F2CE3" w:rsidRPr="00927D14">
        <w:rPr>
          <w:b/>
        </w:rPr>
        <w:t xml:space="preserve"> poskytnutých z</w:t>
      </w:r>
      <w:r w:rsidR="007B50C8">
        <w:rPr>
          <w:b/>
        </w:rPr>
        <w:t> ukazatele</w:t>
      </w:r>
      <w:r w:rsidRPr="00927D14">
        <w:rPr>
          <w:b/>
        </w:rPr>
        <w:t xml:space="preserve"> </w:t>
      </w:r>
      <w:r w:rsidR="007B50C8">
        <w:rPr>
          <w:b/>
        </w:rPr>
        <w:t>„</w:t>
      </w:r>
      <w:r w:rsidR="007B50C8">
        <w:rPr>
          <w:b/>
          <w:i/>
        </w:rPr>
        <w:t>a</w:t>
      </w:r>
      <w:r w:rsidR="002B398F" w:rsidRPr="00927D14">
        <w:rPr>
          <w:b/>
          <w:i/>
        </w:rPr>
        <w:t>ktivní politik</w:t>
      </w:r>
      <w:r w:rsidR="007B50C8">
        <w:rPr>
          <w:b/>
          <w:i/>
        </w:rPr>
        <w:t>a</w:t>
      </w:r>
      <w:r w:rsidR="002B398F" w:rsidRPr="00927D14">
        <w:rPr>
          <w:b/>
          <w:i/>
        </w:rPr>
        <w:t xml:space="preserve"> zaměstnanosti</w:t>
      </w:r>
      <w:r w:rsidR="007B50C8">
        <w:rPr>
          <w:b/>
        </w:rPr>
        <w:t>“</w:t>
      </w:r>
      <w:r w:rsidR="006F2CE3" w:rsidRPr="00927D14">
        <w:rPr>
          <w:b/>
        </w:rPr>
        <w:t xml:space="preserve"> a</w:t>
      </w:r>
      <w:r w:rsidR="001061D9" w:rsidRPr="00927D14">
        <w:rPr>
          <w:b/>
        </w:rPr>
        <w:t> </w:t>
      </w:r>
      <w:r w:rsidR="006F2CE3" w:rsidRPr="00927D14">
        <w:rPr>
          <w:b/>
        </w:rPr>
        <w:t>z </w:t>
      </w:r>
      <w:r w:rsidRPr="00927D14">
        <w:rPr>
          <w:b/>
        </w:rPr>
        <w:t xml:space="preserve">ukazatele </w:t>
      </w:r>
      <w:r w:rsidR="00D47303" w:rsidRPr="00927D14">
        <w:rPr>
          <w:b/>
        </w:rPr>
        <w:t>„</w:t>
      </w:r>
      <w:r w:rsidR="00D47303" w:rsidRPr="00927D14">
        <w:rPr>
          <w:b/>
          <w:i/>
        </w:rPr>
        <w:t>z</w:t>
      </w:r>
      <w:r w:rsidRPr="00927D14">
        <w:rPr>
          <w:b/>
          <w:i/>
        </w:rPr>
        <w:t>aměstnávání zdravotně postižených občanů</w:t>
      </w:r>
      <w:r w:rsidR="00D47303" w:rsidRPr="00927D14">
        <w:rPr>
          <w:b/>
        </w:rPr>
        <w:t>“</w:t>
      </w:r>
    </w:p>
    <w:p w14:paraId="1B88B268" w14:textId="573CE554" w:rsidR="00D26AE2" w:rsidRDefault="00D26AE2" w:rsidP="00CB5C79">
      <w:pPr>
        <w:spacing w:before="0"/>
        <w:rPr>
          <w:b/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5636AC5E" wp14:editId="26009580">
            <wp:extent cx="5759450" cy="2719070"/>
            <wp:effectExtent l="0" t="0" r="0" b="508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481CFC1B" w14:textId="14F80DD5" w:rsidR="006F7AF5" w:rsidRPr="00927D14" w:rsidRDefault="006F7AF5" w:rsidP="00CB5C79">
      <w:pPr>
        <w:spacing w:before="0"/>
        <w:rPr>
          <w:sz w:val="20"/>
          <w:szCs w:val="20"/>
        </w:rPr>
      </w:pPr>
      <w:r w:rsidRPr="00927D14">
        <w:rPr>
          <w:b/>
          <w:sz w:val="20"/>
          <w:szCs w:val="20"/>
        </w:rPr>
        <w:t>Zdroj:</w:t>
      </w:r>
      <w:r w:rsidRPr="00927D14">
        <w:rPr>
          <w:sz w:val="20"/>
          <w:szCs w:val="20"/>
        </w:rPr>
        <w:t xml:space="preserve"> </w:t>
      </w:r>
      <w:r w:rsidR="00D47303">
        <w:rPr>
          <w:sz w:val="20"/>
          <w:szCs w:val="20"/>
        </w:rPr>
        <w:t>s</w:t>
      </w:r>
      <w:r w:rsidRPr="00927D14">
        <w:rPr>
          <w:sz w:val="20"/>
          <w:szCs w:val="20"/>
        </w:rPr>
        <w:t>tátní závěrečn</w:t>
      </w:r>
      <w:r w:rsidR="00D47303">
        <w:rPr>
          <w:sz w:val="20"/>
          <w:szCs w:val="20"/>
        </w:rPr>
        <w:t>é</w:t>
      </w:r>
      <w:r w:rsidRPr="00927D14">
        <w:rPr>
          <w:sz w:val="20"/>
          <w:szCs w:val="20"/>
        </w:rPr>
        <w:t xml:space="preserve"> účt</w:t>
      </w:r>
      <w:r w:rsidR="00D47303">
        <w:rPr>
          <w:sz w:val="20"/>
          <w:szCs w:val="20"/>
        </w:rPr>
        <w:t>y</w:t>
      </w:r>
      <w:r w:rsidRPr="00927D14">
        <w:rPr>
          <w:sz w:val="20"/>
          <w:szCs w:val="20"/>
        </w:rPr>
        <w:t xml:space="preserve"> MPSV za jednotlivé roky</w:t>
      </w:r>
      <w:r w:rsidR="00F9059B" w:rsidRPr="00927D14">
        <w:rPr>
          <w:sz w:val="20"/>
          <w:szCs w:val="20"/>
        </w:rPr>
        <w:t>.</w:t>
      </w:r>
    </w:p>
    <w:p w14:paraId="1DBB3C9F" w14:textId="77777777" w:rsidR="002C2D46" w:rsidRPr="0029459B" w:rsidRDefault="002C2D46" w:rsidP="001061D9">
      <w:pPr>
        <w:spacing w:before="0"/>
      </w:pPr>
    </w:p>
    <w:p w14:paraId="182D322F" w14:textId="69319030" w:rsidR="002640F8" w:rsidRPr="0029459B" w:rsidRDefault="002640F8" w:rsidP="001061D9">
      <w:pPr>
        <w:spacing w:before="0"/>
        <w:rPr>
          <w:rFonts w:cstheme="minorHAnsi"/>
        </w:rPr>
      </w:pPr>
      <w:r w:rsidRPr="0029459B">
        <w:t xml:space="preserve">Zaměstnavatelé s více než 25 zaměstnanci v pracovním poměru jsou povinni </w:t>
      </w:r>
      <w:r w:rsidR="00416530" w:rsidRPr="0029459B">
        <w:t>podle</w:t>
      </w:r>
      <w:r w:rsidRPr="0029459B">
        <w:t xml:space="preserve"> zákona č.</w:t>
      </w:r>
      <w:r w:rsidR="00424227">
        <w:t> </w:t>
      </w:r>
      <w:r w:rsidRPr="0029459B">
        <w:t>435/2004</w:t>
      </w:r>
      <w:r w:rsidR="00424227">
        <w:t> </w:t>
      </w:r>
      <w:r w:rsidRPr="0029459B">
        <w:t xml:space="preserve">Sb. zaměstnat OZP ve výši 4% podílu z celkového počtu svých zaměstnanců. </w:t>
      </w:r>
      <w:r w:rsidRPr="0029459B">
        <w:rPr>
          <w:rFonts w:cstheme="minorHAnsi"/>
        </w:rPr>
        <w:t>Plnění povinného podílu zaměstnávání OZP včetně zvoleného způsobu plnění je zaměstnavatel s více než 25 zaměstnanci povinen ohlásit písemně krajské pobočce ÚP ČR dle územního obvodu do 15. února následujícího roku.</w:t>
      </w:r>
    </w:p>
    <w:p w14:paraId="48E2BF5B" w14:textId="34EFF33D" w:rsidR="003E55EB" w:rsidRPr="0029459B" w:rsidRDefault="003E55EB" w:rsidP="001061D9">
      <w:pPr>
        <w:spacing w:before="0"/>
      </w:pPr>
    </w:p>
    <w:p w14:paraId="40E16603" w14:textId="0E859311" w:rsidR="009349DC" w:rsidRDefault="009349DC" w:rsidP="001061D9">
      <w:pPr>
        <w:spacing w:before="0"/>
        <w:rPr>
          <w:rFonts w:cstheme="minorHAnsi"/>
        </w:rPr>
      </w:pPr>
      <w:r w:rsidRPr="0029459B">
        <w:rPr>
          <w:rFonts w:cstheme="minorHAnsi"/>
        </w:rPr>
        <w:t xml:space="preserve">Plnění povinného podílu ve stanovené 4% výši </w:t>
      </w:r>
      <w:r w:rsidR="00C15814" w:rsidRPr="0029459B">
        <w:rPr>
          <w:rFonts w:cstheme="minorHAnsi"/>
        </w:rPr>
        <w:t xml:space="preserve">bylo </w:t>
      </w:r>
      <w:r w:rsidRPr="0029459B">
        <w:rPr>
          <w:rFonts w:cstheme="minorHAnsi"/>
        </w:rPr>
        <w:t>v souhrnu za zaměstnavatele, kteří plnění ohlásili krajské pobočce ÚP ČR, v letech 2012 až 2015 překročeno a pohybovalo se v rozmezí 6,14–7,06 %. Největší podíl z toho představovalo přímé zaměstnávání OZP</w:t>
      </w:r>
      <w:r w:rsidR="003048FC">
        <w:rPr>
          <w:rFonts w:cstheme="minorHAnsi"/>
        </w:rPr>
        <w:t>, které od roku 2012 vzrostlo z</w:t>
      </w:r>
      <w:r w:rsidRPr="0029459B">
        <w:rPr>
          <w:rFonts w:cstheme="minorHAnsi"/>
        </w:rPr>
        <w:t xml:space="preserve"> 52,83</w:t>
      </w:r>
      <w:r w:rsidR="003048FC">
        <w:rPr>
          <w:rFonts w:cstheme="minorHAnsi"/>
        </w:rPr>
        <w:t xml:space="preserve"> % na</w:t>
      </w:r>
      <w:r w:rsidRPr="0029459B">
        <w:rPr>
          <w:rFonts w:cstheme="minorHAnsi"/>
        </w:rPr>
        <w:t xml:space="preserve"> </w:t>
      </w:r>
      <w:r w:rsidR="003048FC">
        <w:rPr>
          <w:rFonts w:cstheme="minorHAnsi"/>
        </w:rPr>
        <w:t>5</w:t>
      </w:r>
      <w:r w:rsidRPr="0029459B">
        <w:rPr>
          <w:rFonts w:cstheme="minorHAnsi"/>
        </w:rPr>
        <w:t>5,31 %</w:t>
      </w:r>
      <w:r w:rsidR="003048FC">
        <w:rPr>
          <w:rFonts w:cstheme="minorHAnsi"/>
        </w:rPr>
        <w:t>.</w:t>
      </w:r>
      <w:r w:rsidRPr="0029459B">
        <w:rPr>
          <w:rFonts w:cstheme="minorHAnsi"/>
        </w:rPr>
        <w:t xml:space="preserve"> </w:t>
      </w:r>
      <w:r w:rsidR="003048FC">
        <w:rPr>
          <w:rFonts w:cstheme="minorHAnsi"/>
        </w:rPr>
        <w:t>Plnění</w:t>
      </w:r>
      <w:r w:rsidRPr="0029459B">
        <w:rPr>
          <w:rFonts w:cstheme="minorHAnsi"/>
        </w:rPr>
        <w:t xml:space="preserve"> odběr</w:t>
      </w:r>
      <w:r w:rsidR="003048FC">
        <w:rPr>
          <w:rFonts w:cstheme="minorHAnsi"/>
        </w:rPr>
        <w:t>em</w:t>
      </w:r>
      <w:r w:rsidRPr="0029459B">
        <w:rPr>
          <w:rFonts w:cstheme="minorHAnsi"/>
        </w:rPr>
        <w:t xml:space="preserve"> výrobků a služeb nebo zadání</w:t>
      </w:r>
      <w:r w:rsidR="003048FC">
        <w:rPr>
          <w:rFonts w:cstheme="minorHAnsi"/>
        </w:rPr>
        <w:t>m</w:t>
      </w:r>
      <w:r w:rsidRPr="0029459B">
        <w:rPr>
          <w:rFonts w:cstheme="minorHAnsi"/>
        </w:rPr>
        <w:t xml:space="preserve"> zakázky </w:t>
      </w:r>
      <w:r w:rsidR="003048FC">
        <w:rPr>
          <w:rFonts w:cstheme="minorHAnsi"/>
        </w:rPr>
        <w:t xml:space="preserve">se rovněž zvýšilo z </w:t>
      </w:r>
      <w:r w:rsidRPr="0029459B">
        <w:rPr>
          <w:rFonts w:cstheme="minorHAnsi"/>
        </w:rPr>
        <w:t>29,62</w:t>
      </w:r>
      <w:r w:rsidR="003048FC">
        <w:rPr>
          <w:rFonts w:cstheme="minorHAnsi"/>
        </w:rPr>
        <w:t xml:space="preserve"> % na</w:t>
      </w:r>
      <w:r w:rsidRPr="0029459B">
        <w:rPr>
          <w:rFonts w:cstheme="minorHAnsi"/>
        </w:rPr>
        <w:t xml:space="preserve"> 38,36 %</w:t>
      </w:r>
      <w:r w:rsidR="003048FC">
        <w:rPr>
          <w:rFonts w:cstheme="minorHAnsi"/>
        </w:rPr>
        <w:t>. Způsob</w:t>
      </w:r>
      <w:r w:rsidRPr="0029459B">
        <w:rPr>
          <w:rFonts w:cstheme="minorHAnsi"/>
        </w:rPr>
        <w:t xml:space="preserve"> plnění odvodem do státního rozpočtu </w:t>
      </w:r>
      <w:r w:rsidR="003048FC">
        <w:rPr>
          <w:rFonts w:cstheme="minorHAnsi"/>
        </w:rPr>
        <w:t>oproti tomu klesal</w:t>
      </w:r>
      <w:r w:rsidRPr="0029459B">
        <w:rPr>
          <w:rFonts w:cstheme="minorHAnsi"/>
        </w:rPr>
        <w:t xml:space="preserve"> z 17,55 % až na 6,40 %</w:t>
      </w:r>
      <w:r w:rsidR="003048FC">
        <w:rPr>
          <w:rFonts w:cstheme="minorHAnsi"/>
        </w:rPr>
        <w:t>. Blíže</w:t>
      </w:r>
      <w:r w:rsidR="005950BD" w:rsidRPr="0029459B">
        <w:rPr>
          <w:rFonts w:cstheme="minorHAnsi"/>
        </w:rPr>
        <w:t xml:space="preserve"> </w:t>
      </w:r>
      <w:r w:rsidR="00D47303">
        <w:rPr>
          <w:rFonts w:cstheme="minorHAnsi"/>
        </w:rPr>
        <w:t xml:space="preserve">viz </w:t>
      </w:r>
      <w:r w:rsidR="005950BD" w:rsidRPr="0029459B">
        <w:rPr>
          <w:rFonts w:cstheme="minorHAnsi"/>
        </w:rPr>
        <w:t xml:space="preserve">tabulka č. </w:t>
      </w:r>
      <w:r w:rsidR="003048FC">
        <w:rPr>
          <w:rFonts w:cstheme="minorHAnsi"/>
        </w:rPr>
        <w:t>3</w:t>
      </w:r>
      <w:r w:rsidR="005950BD" w:rsidRPr="0029459B">
        <w:rPr>
          <w:rFonts w:cstheme="minorHAnsi"/>
        </w:rPr>
        <w:t xml:space="preserve"> a graf č. 2</w:t>
      </w:r>
      <w:r w:rsidRPr="0029459B">
        <w:rPr>
          <w:rFonts w:cstheme="minorHAnsi"/>
        </w:rPr>
        <w:t>.</w:t>
      </w:r>
    </w:p>
    <w:p w14:paraId="3645DCDE" w14:textId="77777777" w:rsidR="001061D9" w:rsidRDefault="001061D9" w:rsidP="001061D9">
      <w:pPr>
        <w:spacing w:before="0"/>
        <w:rPr>
          <w:rFonts w:cstheme="minorHAnsi"/>
        </w:rPr>
      </w:pPr>
    </w:p>
    <w:p w14:paraId="5C5BDE3B" w14:textId="3567A4DB" w:rsidR="002C2D46" w:rsidRPr="00927D14" w:rsidRDefault="001061D9" w:rsidP="001061D9">
      <w:pPr>
        <w:pStyle w:val="Nzevtabulky"/>
        <w:numPr>
          <w:ilvl w:val="0"/>
          <w:numId w:val="0"/>
        </w:numPr>
        <w:tabs>
          <w:tab w:val="left" w:pos="1418"/>
        </w:tabs>
        <w:spacing w:before="0" w:after="40"/>
        <w:rPr>
          <w:b/>
          <w:lang w:eastAsia="cs-CZ"/>
        </w:rPr>
      </w:pPr>
      <w:r w:rsidRPr="00927D14">
        <w:rPr>
          <w:b/>
        </w:rPr>
        <w:lastRenderedPageBreak/>
        <w:t>Tabulka č. 3</w:t>
      </w:r>
      <w:r w:rsidR="00D47303">
        <w:t xml:space="preserve"> </w:t>
      </w:r>
      <w:r w:rsidR="00D47303" w:rsidRPr="00927D14">
        <w:rPr>
          <w:b/>
        </w:rPr>
        <w:t>–</w:t>
      </w:r>
      <w:r w:rsidRPr="00927D14">
        <w:rPr>
          <w:b/>
        </w:rPr>
        <w:t xml:space="preserve"> </w:t>
      </w:r>
      <w:r w:rsidR="00565A1E" w:rsidRPr="00927D14">
        <w:rPr>
          <w:b/>
        </w:rPr>
        <w:t xml:space="preserve">Způsoby </w:t>
      </w:r>
      <w:r w:rsidR="002C2D46" w:rsidRPr="00927D14">
        <w:rPr>
          <w:b/>
        </w:rPr>
        <w:t xml:space="preserve">plnění povinného podílu zaměstnat OZP </w:t>
      </w:r>
      <w:r w:rsidR="00237625" w:rsidRPr="00927D14">
        <w:rPr>
          <w:b/>
        </w:rPr>
        <w:t xml:space="preserve">v letech </w:t>
      </w:r>
      <w:r w:rsidR="002C2D46" w:rsidRPr="00927D14">
        <w:rPr>
          <w:b/>
        </w:rPr>
        <w:t>2012 až 2015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3011"/>
        <w:gridCol w:w="1263"/>
        <w:gridCol w:w="1263"/>
        <w:gridCol w:w="1263"/>
        <w:gridCol w:w="1264"/>
      </w:tblGrid>
      <w:tr w:rsidR="00AD50F1" w:rsidRPr="001061D9" w14:paraId="08118617" w14:textId="77777777" w:rsidTr="001061D9">
        <w:trPr>
          <w:trHeight w:val="300"/>
          <w:jc w:val="center"/>
        </w:trPr>
        <w:tc>
          <w:tcPr>
            <w:tcW w:w="40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6F5581D" w14:textId="04F4E1A1" w:rsidR="00AD50F1" w:rsidRPr="001061D9" w:rsidRDefault="00AD50F1" w:rsidP="005E3177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0D42177F" w14:textId="77777777" w:rsidR="00AD50F1" w:rsidRPr="001061D9" w:rsidRDefault="00AD50F1" w:rsidP="005E3177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1D9">
              <w:rPr>
                <w:rFonts w:ascii="Calibri" w:hAnsi="Calibri" w:cs="Calibri"/>
                <w:b/>
                <w:sz w:val="20"/>
                <w:szCs w:val="20"/>
              </w:rPr>
              <w:t>2012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3B8C1723" w14:textId="77777777" w:rsidR="00AD50F1" w:rsidRPr="001061D9" w:rsidRDefault="00AD50F1" w:rsidP="005E3177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1D9">
              <w:rPr>
                <w:rFonts w:ascii="Calibri" w:hAnsi="Calibri" w:cs="Calibri"/>
                <w:b/>
                <w:sz w:val="20"/>
                <w:szCs w:val="20"/>
              </w:rPr>
              <w:t>2013</w:t>
            </w:r>
          </w:p>
        </w:tc>
        <w:tc>
          <w:tcPr>
            <w:tcW w:w="126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086075CE" w14:textId="77777777" w:rsidR="00AD50F1" w:rsidRPr="001061D9" w:rsidRDefault="00AD50F1" w:rsidP="005E3177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1D9">
              <w:rPr>
                <w:rFonts w:ascii="Calibri" w:hAnsi="Calibri" w:cs="Calibri"/>
                <w:b/>
                <w:sz w:val="20"/>
                <w:szCs w:val="20"/>
              </w:rPr>
              <w:t>2014</w:t>
            </w:r>
          </w:p>
        </w:tc>
        <w:tc>
          <w:tcPr>
            <w:tcW w:w="126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vAlign w:val="center"/>
            <w:hideMark/>
          </w:tcPr>
          <w:p w14:paraId="77941C60" w14:textId="77777777" w:rsidR="00AD50F1" w:rsidRPr="001061D9" w:rsidRDefault="00AD50F1" w:rsidP="005E3177">
            <w:pPr>
              <w:spacing w:before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061D9">
              <w:rPr>
                <w:rFonts w:ascii="Calibri" w:hAnsi="Calibri" w:cs="Calibri"/>
                <w:b/>
                <w:sz w:val="20"/>
                <w:szCs w:val="20"/>
              </w:rPr>
              <w:t>2015</w:t>
            </w:r>
          </w:p>
        </w:tc>
      </w:tr>
      <w:tr w:rsidR="00AD50F1" w:rsidRPr="001061D9" w14:paraId="15DA71A6" w14:textId="77777777" w:rsidTr="001061D9">
        <w:trPr>
          <w:trHeight w:val="510"/>
          <w:jc w:val="center"/>
        </w:trPr>
        <w:tc>
          <w:tcPr>
            <w:tcW w:w="401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2351D389" w14:textId="77777777" w:rsidR="00AD50F1" w:rsidRPr="001061D9" w:rsidRDefault="00AD50F1" w:rsidP="001061D9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Počet zaměstnavatelů s více než 25 zaměstnanci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52CE492" w14:textId="77777777" w:rsidR="00AD50F1" w:rsidRPr="001061D9" w:rsidRDefault="00AD50F1" w:rsidP="00417DD6">
            <w:pPr>
              <w:ind w:right="24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20 749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  <w:hideMark/>
          </w:tcPr>
          <w:p w14:paraId="7649788C" w14:textId="77777777" w:rsidR="00AD50F1" w:rsidRPr="001061D9" w:rsidRDefault="00AD50F1" w:rsidP="00417DD6">
            <w:pPr>
              <w:ind w:right="24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20 579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  <w:hideMark/>
          </w:tcPr>
          <w:p w14:paraId="7BA285F2" w14:textId="77777777" w:rsidR="00AD50F1" w:rsidRPr="001061D9" w:rsidRDefault="00AD50F1" w:rsidP="00417DD6">
            <w:pPr>
              <w:ind w:right="24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20 372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  <w:hideMark/>
          </w:tcPr>
          <w:p w14:paraId="24F9951E" w14:textId="77777777" w:rsidR="00AD50F1" w:rsidRPr="001061D9" w:rsidRDefault="00AD50F1" w:rsidP="00417DD6">
            <w:pPr>
              <w:ind w:right="248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20 527</w:t>
            </w:r>
          </w:p>
        </w:tc>
      </w:tr>
      <w:tr w:rsidR="00AD50F1" w:rsidRPr="001061D9" w14:paraId="42CEBB39" w14:textId="77777777" w:rsidTr="001061D9">
        <w:trPr>
          <w:trHeight w:val="510"/>
          <w:jc w:val="center"/>
        </w:trPr>
        <w:tc>
          <w:tcPr>
            <w:tcW w:w="40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846A74C" w14:textId="77777777" w:rsidR="00AD50F1" w:rsidRPr="001061D9" w:rsidRDefault="00AD50F1" w:rsidP="001061D9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Průměrný roční přepočtený počet zaměstnanců 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98CFF14" w14:textId="77777777" w:rsidR="00AD50F1" w:rsidRPr="001061D9" w:rsidRDefault="00AD50F1" w:rsidP="001061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2 673 161,04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  <w:hideMark/>
          </w:tcPr>
          <w:p w14:paraId="41226E78" w14:textId="77777777" w:rsidR="00AD50F1" w:rsidRPr="001061D9" w:rsidRDefault="00AD50F1" w:rsidP="001061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2 650 374,10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  <w:hideMark/>
          </w:tcPr>
          <w:p w14:paraId="60F4C104" w14:textId="77777777" w:rsidR="00AD50F1" w:rsidRPr="001061D9" w:rsidRDefault="00AD50F1" w:rsidP="001061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2 680 169,99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  <w:hideMark/>
          </w:tcPr>
          <w:p w14:paraId="289DA4F9" w14:textId="77777777" w:rsidR="00AD50F1" w:rsidRPr="001061D9" w:rsidRDefault="00AD50F1" w:rsidP="001061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2 669 315,87</w:t>
            </w:r>
          </w:p>
        </w:tc>
      </w:tr>
      <w:tr w:rsidR="005C479B" w:rsidRPr="001061D9" w14:paraId="63CA9755" w14:textId="77777777" w:rsidTr="001061D9">
        <w:trPr>
          <w:trHeight w:val="286"/>
          <w:jc w:val="center"/>
        </w:trPr>
        <w:tc>
          <w:tcPr>
            <w:tcW w:w="100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32F4751" w14:textId="7B29568F" w:rsidR="005C479B" w:rsidRPr="001061D9" w:rsidRDefault="005C479B" w:rsidP="001061D9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Plnění povinného podílu OZP – 4%</w:t>
            </w:r>
            <w:r w:rsidR="00237625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výše</w:t>
            </w:r>
          </w:p>
          <w:p w14:paraId="55A88BC3" w14:textId="2CD3EF06" w:rsidR="005C479B" w:rsidRPr="001061D9" w:rsidRDefault="005C479B" w:rsidP="001061D9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11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FF16096" w14:textId="3AEDA9CD" w:rsidR="005C479B" w:rsidRPr="001061D9" w:rsidRDefault="001C5A5C" w:rsidP="001061D9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Procentuální vyjádření </w:t>
            </w:r>
          </w:p>
        </w:tc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3A131D07" w14:textId="64122FE9" w:rsidR="005C479B" w:rsidRPr="001061D9" w:rsidRDefault="005C479B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7,06 %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  <w:hideMark/>
          </w:tcPr>
          <w:p w14:paraId="0A4D7AC6" w14:textId="28C4F921" w:rsidR="005C479B" w:rsidRPr="001061D9" w:rsidRDefault="005C479B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6,14 %</w:t>
            </w:r>
          </w:p>
        </w:tc>
        <w:tc>
          <w:tcPr>
            <w:tcW w:w="1263" w:type="dxa"/>
            <w:tcBorders>
              <w:top w:val="single" w:sz="12" w:space="0" w:color="auto"/>
            </w:tcBorders>
            <w:vAlign w:val="center"/>
            <w:hideMark/>
          </w:tcPr>
          <w:p w14:paraId="596BC09D" w14:textId="279627A7" w:rsidR="005C479B" w:rsidRPr="001061D9" w:rsidRDefault="005C479B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6,26 %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  <w:hideMark/>
          </w:tcPr>
          <w:p w14:paraId="15C93A34" w14:textId="467C0224" w:rsidR="005C479B" w:rsidRPr="001061D9" w:rsidRDefault="005C479B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6,31 %</w:t>
            </w:r>
          </w:p>
        </w:tc>
      </w:tr>
      <w:tr w:rsidR="005C479B" w:rsidRPr="001061D9" w14:paraId="25DFF032" w14:textId="77777777" w:rsidTr="001061D9">
        <w:trPr>
          <w:trHeight w:val="512"/>
          <w:jc w:val="center"/>
        </w:trPr>
        <w:tc>
          <w:tcPr>
            <w:tcW w:w="1007" w:type="dxa"/>
            <w:vMerge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3663D8C5" w14:textId="77777777" w:rsidR="005C479B" w:rsidRPr="001061D9" w:rsidRDefault="005C479B" w:rsidP="001061D9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6E1C8BCA" w14:textId="39119F91" w:rsidR="005C479B" w:rsidRPr="001061D9" w:rsidRDefault="001C5A5C" w:rsidP="001061D9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Vyjádření v přepočteném počtu</w:t>
            </w:r>
            <w:r w:rsidR="005C479B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OZP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  <w:hideMark/>
          </w:tcPr>
          <w:p w14:paraId="582BC482" w14:textId="77777777" w:rsidR="005C479B" w:rsidRPr="001061D9" w:rsidRDefault="005C479B" w:rsidP="001061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188 860,01</w:t>
            </w:r>
          </w:p>
        </w:tc>
        <w:tc>
          <w:tcPr>
            <w:tcW w:w="1263" w:type="dxa"/>
            <w:vAlign w:val="center"/>
            <w:hideMark/>
          </w:tcPr>
          <w:p w14:paraId="221EA072" w14:textId="77777777" w:rsidR="005C479B" w:rsidRPr="001061D9" w:rsidRDefault="005C479B" w:rsidP="001061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163 025,34</w:t>
            </w:r>
          </w:p>
        </w:tc>
        <w:tc>
          <w:tcPr>
            <w:tcW w:w="1263" w:type="dxa"/>
            <w:vAlign w:val="center"/>
            <w:hideMark/>
          </w:tcPr>
          <w:p w14:paraId="0BFDFA80" w14:textId="77777777" w:rsidR="005C479B" w:rsidRPr="001061D9" w:rsidRDefault="005C479B" w:rsidP="001061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167 811,67</w:t>
            </w:r>
          </w:p>
        </w:tc>
        <w:tc>
          <w:tcPr>
            <w:tcW w:w="1264" w:type="dxa"/>
            <w:vAlign w:val="center"/>
            <w:hideMark/>
          </w:tcPr>
          <w:p w14:paraId="297FC61C" w14:textId="77777777" w:rsidR="005C479B" w:rsidRPr="001061D9" w:rsidRDefault="005C479B" w:rsidP="001061D9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168 559,56</w:t>
            </w:r>
          </w:p>
        </w:tc>
      </w:tr>
      <w:tr w:rsidR="001C5A5C" w:rsidRPr="001061D9" w14:paraId="25C58E4E" w14:textId="77777777" w:rsidTr="001061D9">
        <w:trPr>
          <w:trHeight w:val="300"/>
          <w:jc w:val="center"/>
        </w:trPr>
        <w:tc>
          <w:tcPr>
            <w:tcW w:w="1007" w:type="dxa"/>
            <w:vMerge w:val="restart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00BBB823" w14:textId="642C2971" w:rsidR="001C5A5C" w:rsidRPr="001061D9" w:rsidRDefault="00D47303" w:rsidP="00D47303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– z</w:t>
            </w:r>
            <w:r w:rsidR="001C5A5C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 toho:</w:t>
            </w:r>
          </w:p>
        </w:tc>
        <w:tc>
          <w:tcPr>
            <w:tcW w:w="30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1B0E87B5" w14:textId="4F2231C5" w:rsidR="001C5A5C" w:rsidRPr="001061D9" w:rsidRDefault="001C5A5C" w:rsidP="001061D9">
            <w:pPr>
              <w:spacing w:before="0"/>
              <w:ind w:left="639" w:hanging="639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Zaměstnáváním OZP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  <w:hideMark/>
          </w:tcPr>
          <w:p w14:paraId="1778E08E" w14:textId="69C3A621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52,83 %</w:t>
            </w:r>
          </w:p>
        </w:tc>
        <w:tc>
          <w:tcPr>
            <w:tcW w:w="1263" w:type="dxa"/>
            <w:vAlign w:val="center"/>
            <w:hideMark/>
          </w:tcPr>
          <w:p w14:paraId="134B6B19" w14:textId="11C92ECF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55,31 %</w:t>
            </w:r>
          </w:p>
        </w:tc>
        <w:tc>
          <w:tcPr>
            <w:tcW w:w="1263" w:type="dxa"/>
            <w:vAlign w:val="center"/>
            <w:hideMark/>
          </w:tcPr>
          <w:p w14:paraId="4F586ACF" w14:textId="6E158779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54,67 %</w:t>
            </w:r>
          </w:p>
        </w:tc>
        <w:tc>
          <w:tcPr>
            <w:tcW w:w="1264" w:type="dxa"/>
            <w:vAlign w:val="center"/>
            <w:hideMark/>
          </w:tcPr>
          <w:p w14:paraId="0E06610B" w14:textId="4AFB29B6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55,24 %</w:t>
            </w:r>
          </w:p>
        </w:tc>
      </w:tr>
      <w:tr w:rsidR="001C5A5C" w:rsidRPr="001061D9" w14:paraId="1768393B" w14:textId="77777777" w:rsidTr="001061D9">
        <w:trPr>
          <w:trHeight w:val="510"/>
          <w:jc w:val="center"/>
        </w:trPr>
        <w:tc>
          <w:tcPr>
            <w:tcW w:w="1007" w:type="dxa"/>
            <w:vMerge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7E759D3E" w14:textId="77777777" w:rsidR="001C5A5C" w:rsidRPr="001061D9" w:rsidRDefault="001C5A5C" w:rsidP="00AD50F1">
            <w:pPr>
              <w:spacing w:before="0"/>
              <w:ind w:left="639" w:hanging="639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11" w:type="dxa"/>
            <w:tcBorders>
              <w:right w:val="single" w:sz="12" w:space="0" w:color="auto"/>
            </w:tcBorders>
            <w:shd w:val="clear" w:color="000000" w:fill="FFFFFF"/>
            <w:vAlign w:val="center"/>
          </w:tcPr>
          <w:p w14:paraId="26F11FBA" w14:textId="6DDC1F5E" w:rsidR="001C5A5C" w:rsidRPr="001061D9" w:rsidRDefault="001C5A5C" w:rsidP="001061D9">
            <w:pPr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Odběrem výrobků a služeb nebo zadáním zakázek</w:t>
            </w:r>
          </w:p>
        </w:tc>
        <w:tc>
          <w:tcPr>
            <w:tcW w:w="1263" w:type="dxa"/>
            <w:tcBorders>
              <w:left w:val="single" w:sz="12" w:space="0" w:color="auto"/>
            </w:tcBorders>
            <w:vAlign w:val="center"/>
            <w:hideMark/>
          </w:tcPr>
          <w:p w14:paraId="0B5AF0CD" w14:textId="207C1598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29,62 %</w:t>
            </w:r>
          </w:p>
        </w:tc>
        <w:tc>
          <w:tcPr>
            <w:tcW w:w="1263" w:type="dxa"/>
            <w:vAlign w:val="center"/>
            <w:hideMark/>
          </w:tcPr>
          <w:p w14:paraId="3AD48DDD" w14:textId="53551FF7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37,13 %</w:t>
            </w:r>
          </w:p>
        </w:tc>
        <w:tc>
          <w:tcPr>
            <w:tcW w:w="1263" w:type="dxa"/>
            <w:vAlign w:val="center"/>
            <w:hideMark/>
          </w:tcPr>
          <w:p w14:paraId="07532344" w14:textId="03B825F8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38,28 %</w:t>
            </w:r>
          </w:p>
        </w:tc>
        <w:tc>
          <w:tcPr>
            <w:tcW w:w="1264" w:type="dxa"/>
            <w:vAlign w:val="center"/>
            <w:hideMark/>
          </w:tcPr>
          <w:p w14:paraId="1B7CA23A" w14:textId="4A954966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38,36 %</w:t>
            </w:r>
          </w:p>
        </w:tc>
      </w:tr>
      <w:tr w:rsidR="001C5A5C" w:rsidRPr="001061D9" w14:paraId="0216E2B7" w14:textId="77777777" w:rsidTr="001061D9">
        <w:trPr>
          <w:trHeight w:val="315"/>
          <w:jc w:val="center"/>
        </w:trPr>
        <w:tc>
          <w:tcPr>
            <w:tcW w:w="100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067B07E0" w14:textId="77777777" w:rsidR="001C5A5C" w:rsidRPr="001061D9" w:rsidRDefault="001C5A5C" w:rsidP="00AD50F1">
            <w:pPr>
              <w:spacing w:before="0"/>
              <w:ind w:left="639" w:hanging="639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011" w:type="dxa"/>
            <w:tcBorders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14683BB7" w14:textId="4DA541BB" w:rsidR="001C5A5C" w:rsidRPr="001061D9" w:rsidRDefault="001C5A5C" w:rsidP="001061D9">
            <w:pPr>
              <w:spacing w:before="0"/>
              <w:ind w:left="639" w:hanging="639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Odvodem do SR</w:t>
            </w:r>
          </w:p>
        </w:tc>
        <w:tc>
          <w:tcPr>
            <w:tcW w:w="126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7DC7A68E" w14:textId="5C2DB1A2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17,55 %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  <w:hideMark/>
          </w:tcPr>
          <w:p w14:paraId="6F4D95EF" w14:textId="60047D0D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7,56 %</w:t>
            </w:r>
          </w:p>
        </w:tc>
        <w:tc>
          <w:tcPr>
            <w:tcW w:w="1263" w:type="dxa"/>
            <w:tcBorders>
              <w:bottom w:val="single" w:sz="12" w:space="0" w:color="auto"/>
            </w:tcBorders>
            <w:vAlign w:val="center"/>
            <w:hideMark/>
          </w:tcPr>
          <w:p w14:paraId="0E7DF7E0" w14:textId="273E3676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7,06 %</w:t>
            </w: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  <w:hideMark/>
          </w:tcPr>
          <w:p w14:paraId="119AFE35" w14:textId="18BC256F" w:rsidR="001C5A5C" w:rsidRPr="001061D9" w:rsidRDefault="001C5A5C" w:rsidP="001061D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6,40 %</w:t>
            </w:r>
          </w:p>
        </w:tc>
      </w:tr>
    </w:tbl>
    <w:p w14:paraId="24320DFA" w14:textId="48621942" w:rsidR="002C2D46" w:rsidRPr="00927D14" w:rsidRDefault="002C2D46" w:rsidP="001061D9">
      <w:pPr>
        <w:spacing w:before="40"/>
        <w:rPr>
          <w:rFonts w:cs="Times New Roman"/>
          <w:sz w:val="20"/>
          <w:szCs w:val="20"/>
        </w:rPr>
      </w:pPr>
      <w:r w:rsidRPr="00927D14">
        <w:rPr>
          <w:rFonts w:cs="Times New Roman"/>
          <w:b/>
          <w:sz w:val="20"/>
          <w:szCs w:val="20"/>
        </w:rPr>
        <w:t>Zdroj:</w:t>
      </w:r>
      <w:r w:rsidRPr="00927D14">
        <w:rPr>
          <w:rFonts w:cs="Times New Roman"/>
          <w:sz w:val="20"/>
          <w:szCs w:val="20"/>
        </w:rPr>
        <w:t xml:space="preserve"> sumář dle OK systému ÚP ČR – OK centrum</w:t>
      </w:r>
      <w:r w:rsidR="00F547CC" w:rsidRPr="00927D14">
        <w:rPr>
          <w:rFonts w:cs="Times New Roman"/>
          <w:sz w:val="20"/>
          <w:szCs w:val="20"/>
        </w:rPr>
        <w:t>.</w:t>
      </w:r>
      <w:r w:rsidRPr="00927D14">
        <w:rPr>
          <w:rFonts w:cs="Times New Roman"/>
          <w:sz w:val="20"/>
          <w:szCs w:val="20"/>
        </w:rPr>
        <w:t xml:space="preserve"> </w:t>
      </w:r>
    </w:p>
    <w:p w14:paraId="2F4EFC19" w14:textId="23432A1C" w:rsidR="002C2D46" w:rsidRPr="001061D9" w:rsidRDefault="002C2D46" w:rsidP="001061D9">
      <w:pPr>
        <w:spacing w:before="0"/>
        <w:rPr>
          <w:rFonts w:cs="Times New Roman"/>
          <w:szCs w:val="18"/>
        </w:rPr>
      </w:pPr>
    </w:p>
    <w:p w14:paraId="55D04890" w14:textId="77777777" w:rsidR="003515E2" w:rsidRDefault="003515E2" w:rsidP="001061D9">
      <w:pPr>
        <w:tabs>
          <w:tab w:val="left" w:pos="1134"/>
        </w:tabs>
        <w:spacing w:before="0" w:after="40"/>
        <w:rPr>
          <w:b/>
        </w:rPr>
      </w:pPr>
    </w:p>
    <w:p w14:paraId="58A864C0" w14:textId="0D3EC39F" w:rsidR="00E56FF5" w:rsidRPr="00927D14" w:rsidRDefault="00E56FF5" w:rsidP="001061D9">
      <w:pPr>
        <w:tabs>
          <w:tab w:val="left" w:pos="1134"/>
        </w:tabs>
        <w:spacing w:before="0" w:after="40"/>
        <w:rPr>
          <w:b/>
        </w:rPr>
      </w:pPr>
      <w:r w:rsidRPr="00927D14">
        <w:rPr>
          <w:b/>
        </w:rPr>
        <w:t>Graf č. 2</w:t>
      </w:r>
      <w:r w:rsidR="00AF546B">
        <w:t xml:space="preserve"> </w:t>
      </w:r>
      <w:r w:rsidR="00AF546B" w:rsidRPr="00927D14">
        <w:rPr>
          <w:b/>
        </w:rPr>
        <w:t>–</w:t>
      </w:r>
      <w:r w:rsidRPr="00927D14">
        <w:rPr>
          <w:b/>
        </w:rPr>
        <w:t xml:space="preserve"> Způsoby plnění povinného podílu OZP v přepočteném počtu OZP</w:t>
      </w:r>
    </w:p>
    <w:p w14:paraId="3DE51083" w14:textId="2E406C40" w:rsidR="00E56FF5" w:rsidRDefault="008C2339" w:rsidP="002C2D46">
      <w:pPr>
        <w:spacing w:before="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7885B195" wp14:editId="32D69D5E">
            <wp:extent cx="5756745" cy="2928620"/>
            <wp:effectExtent l="0" t="0" r="15875" b="508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72C9127" w14:textId="1B498703" w:rsidR="00E56FF5" w:rsidRPr="00927D14" w:rsidRDefault="00E56FF5" w:rsidP="001061D9">
      <w:pPr>
        <w:spacing w:before="40"/>
        <w:rPr>
          <w:rFonts w:cs="Times New Roman"/>
          <w:sz w:val="20"/>
          <w:szCs w:val="20"/>
        </w:rPr>
      </w:pPr>
      <w:r w:rsidRPr="00927D14">
        <w:rPr>
          <w:rFonts w:cs="Times New Roman"/>
          <w:b/>
          <w:sz w:val="20"/>
          <w:szCs w:val="20"/>
        </w:rPr>
        <w:t>Zdroj:</w:t>
      </w:r>
      <w:r w:rsidRPr="00927D14">
        <w:rPr>
          <w:rFonts w:cs="Times New Roman"/>
          <w:sz w:val="20"/>
          <w:szCs w:val="20"/>
        </w:rPr>
        <w:t xml:space="preserve"> sumář dle OK systému ÚP ČR – OK centrum</w:t>
      </w:r>
      <w:r w:rsidR="00E2513F" w:rsidRPr="00927D14">
        <w:rPr>
          <w:rFonts w:cs="Times New Roman"/>
          <w:sz w:val="20"/>
          <w:szCs w:val="20"/>
        </w:rPr>
        <w:t>.</w:t>
      </w:r>
    </w:p>
    <w:p w14:paraId="73C57EEB" w14:textId="77777777" w:rsidR="001061D9" w:rsidRDefault="001061D9" w:rsidP="001061D9">
      <w:pPr>
        <w:spacing w:before="0"/>
      </w:pPr>
    </w:p>
    <w:p w14:paraId="62012DA6" w14:textId="5B2B9376" w:rsidR="0082194E" w:rsidRPr="001061D9" w:rsidRDefault="001061D9" w:rsidP="001061D9">
      <w:pPr>
        <w:spacing w:before="0"/>
        <w:rPr>
          <w:b/>
        </w:rPr>
      </w:pPr>
      <w:r>
        <w:rPr>
          <w:b/>
        </w:rPr>
        <w:t xml:space="preserve">3.1 </w:t>
      </w:r>
      <w:r w:rsidR="00F44B27" w:rsidRPr="001061D9">
        <w:rPr>
          <w:b/>
        </w:rPr>
        <w:t>Poskytování příspěvků na podporu zaměstnávání OZP</w:t>
      </w:r>
    </w:p>
    <w:p w14:paraId="7AA30609" w14:textId="77777777" w:rsidR="001061D9" w:rsidRDefault="001061D9" w:rsidP="001061D9">
      <w:pPr>
        <w:spacing w:before="0"/>
        <w:rPr>
          <w:rFonts w:cstheme="minorHAnsi"/>
        </w:rPr>
      </w:pPr>
    </w:p>
    <w:p w14:paraId="5EC652B2" w14:textId="3BE36FFF" w:rsidR="00903308" w:rsidRDefault="00903308" w:rsidP="001061D9">
      <w:pPr>
        <w:spacing w:before="0"/>
      </w:pPr>
      <w:r w:rsidRPr="0029459B">
        <w:rPr>
          <w:rFonts w:cstheme="minorHAnsi"/>
        </w:rPr>
        <w:t>Správnost údajů v žádostech o příspěvek, v uzavřených dohodách a v rozhodnutích o poskytnutí příspěvku</w:t>
      </w:r>
      <w:r w:rsidR="007B4894" w:rsidRPr="0029459B">
        <w:rPr>
          <w:rFonts w:cstheme="minorHAnsi"/>
        </w:rPr>
        <w:t xml:space="preserve"> podle </w:t>
      </w:r>
      <w:r w:rsidR="009978FF" w:rsidRPr="0029459B">
        <w:rPr>
          <w:rFonts w:cstheme="minorHAnsi"/>
        </w:rPr>
        <w:t xml:space="preserve">ustanovení </w:t>
      </w:r>
      <w:r w:rsidR="007B4894" w:rsidRPr="0029459B">
        <w:rPr>
          <w:rFonts w:cstheme="minorHAnsi"/>
        </w:rPr>
        <w:t>§ 78</w:t>
      </w:r>
      <w:r w:rsidRPr="0029459B">
        <w:rPr>
          <w:rFonts w:cstheme="minorHAnsi"/>
        </w:rPr>
        <w:t xml:space="preserve"> a splnění podmínek pro poskytnutí jednotlivých příspěvků prověřoval</w:t>
      </w:r>
      <w:r w:rsidR="00AF546B" w:rsidRPr="00AF546B">
        <w:rPr>
          <w:rFonts w:cstheme="minorHAnsi"/>
        </w:rPr>
        <w:t xml:space="preserve"> </w:t>
      </w:r>
      <w:r w:rsidR="00AF546B" w:rsidRPr="0029459B">
        <w:rPr>
          <w:rFonts w:cstheme="minorHAnsi"/>
        </w:rPr>
        <w:t>NKÚ</w:t>
      </w:r>
      <w:r w:rsidRPr="0029459B">
        <w:rPr>
          <w:rFonts w:cstheme="minorHAnsi"/>
        </w:rPr>
        <w:t xml:space="preserve"> na základě dokladů předložených jednotlivými krajskými pobočkami ÚP ČR </w:t>
      </w:r>
      <w:r w:rsidR="00541DE7" w:rsidRPr="0029459B">
        <w:rPr>
          <w:rFonts w:cstheme="minorHAnsi"/>
        </w:rPr>
        <w:t>a </w:t>
      </w:r>
      <w:r w:rsidRPr="0029459B">
        <w:rPr>
          <w:rFonts w:cstheme="minorHAnsi"/>
        </w:rPr>
        <w:t>vybraným</w:t>
      </w:r>
      <w:r w:rsidR="00E259AF" w:rsidRPr="0029459B">
        <w:rPr>
          <w:rFonts w:cstheme="minorHAnsi"/>
        </w:rPr>
        <w:t>i příjemci</w:t>
      </w:r>
      <w:r w:rsidRPr="0029459B">
        <w:rPr>
          <w:rFonts w:cstheme="minorHAnsi"/>
        </w:rPr>
        <w:t xml:space="preserve">. </w:t>
      </w:r>
      <w:r w:rsidRPr="0029459B">
        <w:t>Vybraní příjemci byli zaměstnavatelé zaměstnávající více než 50 % OZP na chráněných pracovních místech.</w:t>
      </w:r>
    </w:p>
    <w:p w14:paraId="7460EEAE" w14:textId="77777777" w:rsidR="001061D9" w:rsidRPr="0029459B" w:rsidRDefault="001061D9" w:rsidP="001061D9">
      <w:pPr>
        <w:spacing w:before="0"/>
      </w:pPr>
    </w:p>
    <w:p w14:paraId="3CB4E93E" w14:textId="4F9F9BDB" w:rsidR="007B4894" w:rsidRDefault="007B4894" w:rsidP="001061D9">
      <w:pPr>
        <w:spacing w:before="0"/>
        <w:rPr>
          <w:rFonts w:ascii="Calibri" w:eastAsiaTheme="minorHAnsi" w:hAnsi="Calibri" w:cs="Calibri"/>
        </w:rPr>
      </w:pPr>
      <w:r w:rsidRPr="0029459B">
        <w:lastRenderedPageBreak/>
        <w:t>Příspěvek na podporu zaměstnávání OZP na chráněném pracovním místě je</w:t>
      </w:r>
      <w:r w:rsidRPr="0029459B">
        <w:rPr>
          <w:rFonts w:ascii="Calibri" w:eastAsiaTheme="minorHAnsi" w:hAnsi="Calibri" w:cs="Calibri"/>
        </w:rPr>
        <w:t xml:space="preserve"> jediný příspěvek, který není ÚP ČR poskytován na základě dohody, ale zaměstnavateli na něj</w:t>
      </w:r>
      <w:r w:rsidR="00AF546B" w:rsidRPr="00AF546B">
        <w:rPr>
          <w:rFonts w:ascii="Calibri" w:eastAsiaTheme="minorHAnsi" w:hAnsi="Calibri" w:cs="Calibri"/>
        </w:rPr>
        <w:t xml:space="preserve"> </w:t>
      </w:r>
      <w:r w:rsidR="00AF546B" w:rsidRPr="0029459B">
        <w:rPr>
          <w:rFonts w:ascii="Calibri" w:eastAsiaTheme="minorHAnsi" w:hAnsi="Calibri" w:cs="Calibri"/>
        </w:rPr>
        <w:t>vzniká nárok</w:t>
      </w:r>
      <w:r w:rsidRPr="0029459B">
        <w:rPr>
          <w:rFonts w:ascii="Calibri" w:eastAsiaTheme="minorHAnsi" w:hAnsi="Calibri" w:cs="Calibri"/>
        </w:rPr>
        <w:t xml:space="preserve"> při splnění podmínek. Hlavní podmínkou je zaměstnávání </w:t>
      </w:r>
      <w:r w:rsidR="00C65ACA" w:rsidRPr="0029459B">
        <w:rPr>
          <w:rFonts w:ascii="Calibri" w:eastAsiaTheme="minorHAnsi" w:hAnsi="Calibri" w:cs="Calibri"/>
        </w:rPr>
        <w:t>více než 50 % OZP na CHPM z </w:t>
      </w:r>
      <w:r w:rsidRPr="0029459B">
        <w:rPr>
          <w:rFonts w:ascii="Calibri" w:eastAsiaTheme="minorHAnsi" w:hAnsi="Calibri" w:cs="Calibri"/>
        </w:rPr>
        <w:t>celkového počtu zaměstnanců.</w:t>
      </w:r>
    </w:p>
    <w:p w14:paraId="4FEDE46C" w14:textId="77777777" w:rsidR="001061D9" w:rsidRPr="0029459B" w:rsidRDefault="001061D9" w:rsidP="001061D9">
      <w:pPr>
        <w:spacing w:before="0"/>
        <w:rPr>
          <w:rFonts w:ascii="Calibri" w:eastAsiaTheme="minorHAnsi" w:hAnsi="Calibri" w:cs="Calibri"/>
        </w:rPr>
      </w:pPr>
    </w:p>
    <w:p w14:paraId="2F925A9A" w14:textId="392AFAD9" w:rsidR="007B4894" w:rsidRPr="00927D14" w:rsidRDefault="001061D9" w:rsidP="001061D9">
      <w:pPr>
        <w:pStyle w:val="Nzevtabulky"/>
        <w:numPr>
          <w:ilvl w:val="0"/>
          <w:numId w:val="0"/>
        </w:numPr>
        <w:spacing w:before="0" w:after="40"/>
        <w:rPr>
          <w:b/>
        </w:rPr>
      </w:pPr>
      <w:r w:rsidRPr="00927D14">
        <w:rPr>
          <w:b/>
        </w:rPr>
        <w:t>Tabulka č. 4</w:t>
      </w:r>
      <w:r w:rsidR="00AF546B">
        <w:t xml:space="preserve"> </w:t>
      </w:r>
      <w:r w:rsidR="00AF546B" w:rsidRPr="00927D14">
        <w:rPr>
          <w:b/>
        </w:rPr>
        <w:t>–</w:t>
      </w:r>
      <w:r w:rsidRPr="00927D14">
        <w:rPr>
          <w:b/>
        </w:rPr>
        <w:t xml:space="preserve"> </w:t>
      </w:r>
      <w:r w:rsidR="007B4894" w:rsidRPr="00927D14">
        <w:rPr>
          <w:b/>
        </w:rPr>
        <w:t xml:space="preserve">Souhrnná tabulka za všechny </w:t>
      </w:r>
      <w:r w:rsidR="00DA327E" w:rsidRPr="00927D14">
        <w:rPr>
          <w:b/>
        </w:rPr>
        <w:t>vybrané</w:t>
      </w:r>
      <w:r w:rsidR="009349DC" w:rsidRPr="00927D14">
        <w:rPr>
          <w:b/>
        </w:rPr>
        <w:t xml:space="preserve"> </w:t>
      </w:r>
      <w:r w:rsidR="007B4894" w:rsidRPr="00927D14">
        <w:rPr>
          <w:b/>
        </w:rPr>
        <w:t>příjemce</w:t>
      </w:r>
      <w:r w:rsidR="00AF546B">
        <w:rPr>
          <w:b/>
        </w:rPr>
        <w:t xml:space="preserve"> k 31. 12. daného roku</w:t>
      </w:r>
    </w:p>
    <w:tbl>
      <w:tblPr>
        <w:tblW w:w="9102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827"/>
        <w:gridCol w:w="1098"/>
        <w:gridCol w:w="1099"/>
        <w:gridCol w:w="1098"/>
        <w:gridCol w:w="1099"/>
      </w:tblGrid>
      <w:tr w:rsidR="007B4894" w:rsidRPr="001061D9" w14:paraId="68582150" w14:textId="77777777" w:rsidTr="001061D9">
        <w:trPr>
          <w:trHeight w:val="341"/>
          <w:jc w:val="center"/>
        </w:trPr>
        <w:tc>
          <w:tcPr>
            <w:tcW w:w="4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AA96CC" w14:textId="77777777" w:rsidR="007B4894" w:rsidRPr="001061D9" w:rsidRDefault="007B4894" w:rsidP="00DB4290">
            <w:pPr>
              <w:spacing w:before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67C336" w14:textId="40E62BF3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2B8C3D0" w14:textId="5930F04D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3CCA32" w14:textId="457FB0CF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25AC84" w14:textId="4EAED22F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2015</w:t>
            </w:r>
          </w:p>
        </w:tc>
      </w:tr>
      <w:tr w:rsidR="007B4894" w:rsidRPr="001061D9" w14:paraId="4BE92854" w14:textId="77777777" w:rsidTr="001061D9">
        <w:trPr>
          <w:trHeight w:val="297"/>
          <w:jc w:val="center"/>
        </w:trPr>
        <w:tc>
          <w:tcPr>
            <w:tcW w:w="47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2E058" w14:textId="6DF2DD21" w:rsidR="007B4894" w:rsidRPr="001061D9" w:rsidRDefault="00DD246C" w:rsidP="00DD246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Celkový p</w:t>
            </w:r>
            <w:r w:rsidR="007B4894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řepočtený počet zaměstnanců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5411F" w14:textId="143E234D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2 944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02218" w14:textId="45353976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2 839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8D8C6" w14:textId="52A4806C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3 077</w:t>
            </w:r>
          </w:p>
        </w:tc>
        <w:tc>
          <w:tcPr>
            <w:tcW w:w="10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90E68B" w14:textId="2688297C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3 07</w:t>
            </w:r>
            <w:r w:rsidR="000632AE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7B4894" w:rsidRPr="001061D9" w14:paraId="18A96368" w14:textId="77777777" w:rsidTr="001061D9">
        <w:trPr>
          <w:trHeight w:val="230"/>
          <w:jc w:val="center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D0372" w14:textId="1EFBB183" w:rsidR="007B4894" w:rsidRPr="001061D9" w:rsidRDefault="00DD246C" w:rsidP="00DD246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Celkový p</w:t>
            </w:r>
            <w:r w:rsidR="007B4894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řepočtený počet zaměstnaných OZP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F997" w14:textId="63599D65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2 08</w:t>
            </w:r>
            <w:r w:rsidR="00A216D8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8F324" w14:textId="6C0F8083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2 04</w:t>
            </w:r>
            <w:r w:rsidR="00A216D8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48B63" w14:textId="6B66DF9F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2 191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4309A" w14:textId="5F1DC4A8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2 345</w:t>
            </w:r>
          </w:p>
        </w:tc>
      </w:tr>
      <w:tr w:rsidR="00433E89" w:rsidRPr="001061D9" w14:paraId="3A29DF55" w14:textId="77777777" w:rsidTr="001061D9">
        <w:trPr>
          <w:trHeight w:val="230"/>
          <w:jc w:val="center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574FFE" w14:textId="447A2E9D" w:rsidR="00433E89" w:rsidRPr="001061D9" w:rsidRDefault="00AF546B" w:rsidP="00433E8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– </w:t>
            </w:r>
            <w:r w:rsidR="00433E89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9A7D" w14:textId="79DA2610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zdravotně znevýhodněných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C797BC" w14:textId="36DFAB08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1 723</w:t>
            </w:r>
          </w:p>
        </w:tc>
        <w:tc>
          <w:tcPr>
            <w:tcW w:w="10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14D78B" w14:textId="295AC3ED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1 720</w:t>
            </w:r>
          </w:p>
        </w:tc>
        <w:tc>
          <w:tcPr>
            <w:tcW w:w="10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9DDDF2" w14:textId="427D7F70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1 844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58365A" w14:textId="08877436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162</w:t>
            </w:r>
          </w:p>
        </w:tc>
      </w:tr>
      <w:tr w:rsidR="00433E89" w:rsidRPr="001061D9" w14:paraId="5A450925" w14:textId="77777777" w:rsidTr="001061D9">
        <w:trPr>
          <w:trHeight w:val="230"/>
          <w:jc w:val="center"/>
        </w:trPr>
        <w:tc>
          <w:tcPr>
            <w:tcW w:w="88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369820A" w14:textId="77777777" w:rsidR="00433E89" w:rsidRPr="001061D9" w:rsidRDefault="00433E89" w:rsidP="005E317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EA262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I. nebo II. stupně invalidity</w:t>
            </w:r>
          </w:p>
        </w:tc>
        <w:tc>
          <w:tcPr>
            <w:tcW w:w="1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8610C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FBBDC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6D118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706E52" w14:textId="3932B7A0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1 822</w:t>
            </w:r>
          </w:p>
        </w:tc>
      </w:tr>
      <w:tr w:rsidR="00433E89" w:rsidRPr="001061D9" w14:paraId="1AD1C56C" w14:textId="77777777" w:rsidTr="001061D9">
        <w:trPr>
          <w:trHeight w:val="204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7CA39D" w14:textId="77777777" w:rsidR="00433E89" w:rsidRPr="001061D9" w:rsidRDefault="00433E89" w:rsidP="005E317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8957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osob s těžším zdravotním postižením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A9722" w14:textId="5843C366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4ECF7" w14:textId="0EECF4EE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322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B36BB7" w14:textId="76176AE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347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3816DB" w14:textId="005E861E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361</w:t>
            </w:r>
          </w:p>
        </w:tc>
      </w:tr>
      <w:tr w:rsidR="007B4894" w:rsidRPr="001061D9" w14:paraId="06A46FE3" w14:textId="77777777" w:rsidTr="001061D9">
        <w:trPr>
          <w:trHeight w:val="230"/>
          <w:jc w:val="center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8F6E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Počet CHPM celkem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6EF1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2 019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2D051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2 372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E992F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2 700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3746CF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3 020</w:t>
            </w:r>
          </w:p>
        </w:tc>
      </w:tr>
      <w:tr w:rsidR="00433E89" w:rsidRPr="001061D9" w14:paraId="0E6F6091" w14:textId="77777777" w:rsidTr="001061D9">
        <w:trPr>
          <w:trHeight w:val="230"/>
          <w:jc w:val="center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D65053E" w14:textId="25C8F539" w:rsidR="00433E89" w:rsidRPr="001061D9" w:rsidRDefault="00AF546B" w:rsidP="00433E89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– </w:t>
            </w:r>
            <w:r w:rsidR="00433E89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71B0D" w14:textId="38D5B313" w:rsidR="00433E89" w:rsidRPr="001061D9" w:rsidRDefault="00DD246C" w:rsidP="001061D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</w:t>
            </w:r>
            <w:r w:rsidR="00433E89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očet zřízených CHPM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5A18E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3AAA3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61856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009561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433E89" w:rsidRPr="001061D9" w14:paraId="10B9F536" w14:textId="77777777" w:rsidTr="001061D9">
        <w:trPr>
          <w:trHeight w:val="230"/>
          <w:jc w:val="center"/>
        </w:trPr>
        <w:tc>
          <w:tcPr>
            <w:tcW w:w="88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1D8423D" w14:textId="77777777" w:rsidR="00433E89" w:rsidRPr="001061D9" w:rsidRDefault="00433E89" w:rsidP="005E3177">
            <w:pPr>
              <w:autoSpaceDE w:val="0"/>
              <w:autoSpaceDN w:val="0"/>
              <w:adjustRightInd w:val="0"/>
              <w:spacing w:before="0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1FFE8" w14:textId="7943BA7D" w:rsidR="00433E89" w:rsidRPr="001061D9" w:rsidRDefault="00DD246C" w:rsidP="001061D9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p</w:t>
            </w:r>
            <w:r w:rsidR="00433E89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očet vymezených CHPM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32C10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2 014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E5847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2 363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D5603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2 658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19901A" w14:textId="77777777" w:rsidR="00433E89" w:rsidRPr="001061D9" w:rsidRDefault="00433E89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2 972</w:t>
            </w:r>
          </w:p>
        </w:tc>
      </w:tr>
      <w:tr w:rsidR="007B4894" w:rsidRPr="001061D9" w14:paraId="4721A0A0" w14:textId="77777777" w:rsidTr="001061D9">
        <w:trPr>
          <w:trHeight w:val="230"/>
          <w:jc w:val="center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0E232" w14:textId="25A4CBF6" w:rsidR="007B4894" w:rsidRPr="001061D9" w:rsidRDefault="00DD246C" w:rsidP="00DD246C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Celková v</w:t>
            </w:r>
            <w:r w:rsidR="007B4894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ýše příspěvku na zřízení CHPM v Kč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2803D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443 800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E8977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245 793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C63E4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1 738 157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0C424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745 088</w:t>
            </w:r>
          </w:p>
        </w:tc>
      </w:tr>
      <w:tr w:rsidR="007B4894" w:rsidRPr="001061D9" w14:paraId="41ABBC36" w14:textId="77777777" w:rsidTr="001061D9">
        <w:trPr>
          <w:trHeight w:val="230"/>
          <w:jc w:val="center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BE43A" w14:textId="0962CE82" w:rsidR="007B4894" w:rsidRPr="001061D9" w:rsidRDefault="00AF546B" w:rsidP="00AF546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Celková v</w:t>
            </w:r>
            <w:r w:rsidR="007B4894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ýše příspěvku na částečnou úhradu provozních nákladů v Kč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F778F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7 534 444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97C4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D2CEB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C110BC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7B4894" w:rsidRPr="001061D9" w14:paraId="0106FC6E" w14:textId="77777777" w:rsidTr="001061D9">
        <w:trPr>
          <w:trHeight w:val="200"/>
          <w:jc w:val="center"/>
        </w:trPr>
        <w:tc>
          <w:tcPr>
            <w:tcW w:w="47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603B21" w14:textId="40E00D58" w:rsidR="007B4894" w:rsidRPr="001061D9" w:rsidRDefault="00AF546B" w:rsidP="00AF546B">
            <w:pPr>
              <w:autoSpaceDE w:val="0"/>
              <w:autoSpaceDN w:val="0"/>
              <w:adjustRightInd w:val="0"/>
              <w:spacing w:before="0"/>
              <w:jc w:val="lef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Celková v</w:t>
            </w:r>
            <w:r w:rsidR="007B4894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ýše příspěvku dle </w:t>
            </w:r>
            <w:r w:rsidR="00295716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 xml:space="preserve">ustanovení </w:t>
            </w:r>
            <w:r w:rsidR="007B4894"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§ 78 v Kč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C96730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216 713 074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B885C34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238 320 664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9460079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256 086 714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CE3AB" w14:textId="77777777" w:rsidR="007B4894" w:rsidRPr="001061D9" w:rsidRDefault="007B4894" w:rsidP="001061D9">
            <w:pPr>
              <w:autoSpaceDE w:val="0"/>
              <w:autoSpaceDN w:val="0"/>
              <w:adjustRightInd w:val="0"/>
              <w:spacing w:before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1061D9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266 618 490</w:t>
            </w:r>
          </w:p>
        </w:tc>
      </w:tr>
    </w:tbl>
    <w:p w14:paraId="7F2E557B" w14:textId="18B8D348" w:rsidR="007B4894" w:rsidRPr="00AF546B" w:rsidRDefault="007B4894" w:rsidP="001061D9">
      <w:pPr>
        <w:spacing w:before="40"/>
        <w:rPr>
          <w:rFonts w:cstheme="minorHAnsi"/>
        </w:rPr>
      </w:pPr>
      <w:r w:rsidRPr="00927D14">
        <w:rPr>
          <w:b/>
          <w:sz w:val="20"/>
          <w:szCs w:val="20"/>
          <w:lang w:eastAsia="cs-CZ"/>
        </w:rPr>
        <w:t>Zdroj:</w:t>
      </w:r>
      <w:r w:rsidRPr="00927D14">
        <w:rPr>
          <w:sz w:val="20"/>
          <w:szCs w:val="20"/>
          <w:lang w:eastAsia="cs-CZ"/>
        </w:rPr>
        <w:t xml:space="preserve"> </w:t>
      </w:r>
      <w:r w:rsidR="00AF546B">
        <w:rPr>
          <w:sz w:val="20"/>
          <w:szCs w:val="20"/>
          <w:lang w:eastAsia="cs-CZ"/>
        </w:rPr>
        <w:t>ž</w:t>
      </w:r>
      <w:r w:rsidRPr="00927D14">
        <w:rPr>
          <w:sz w:val="20"/>
          <w:szCs w:val="20"/>
          <w:lang w:eastAsia="cs-CZ"/>
        </w:rPr>
        <w:t xml:space="preserve">ádosti o příspěvky, </w:t>
      </w:r>
      <w:r w:rsidR="00AF546B">
        <w:rPr>
          <w:sz w:val="20"/>
          <w:szCs w:val="20"/>
          <w:lang w:eastAsia="cs-CZ"/>
        </w:rPr>
        <w:t>d</w:t>
      </w:r>
      <w:r w:rsidRPr="00927D14">
        <w:rPr>
          <w:sz w:val="20"/>
          <w:szCs w:val="20"/>
          <w:lang w:eastAsia="cs-CZ"/>
        </w:rPr>
        <w:t xml:space="preserve">ohody o vymezení/zřízení CHPM, </w:t>
      </w:r>
      <w:r w:rsidR="00AF546B">
        <w:rPr>
          <w:sz w:val="20"/>
          <w:szCs w:val="20"/>
          <w:lang w:eastAsia="cs-CZ"/>
        </w:rPr>
        <w:t>r</w:t>
      </w:r>
      <w:r w:rsidRPr="00927D14">
        <w:rPr>
          <w:sz w:val="20"/>
          <w:szCs w:val="20"/>
          <w:lang w:eastAsia="cs-CZ"/>
        </w:rPr>
        <w:t>ozhodnutí o poskytnutí příspěvku</w:t>
      </w:r>
      <w:r w:rsidR="007C2A59" w:rsidRPr="00927D14">
        <w:rPr>
          <w:sz w:val="20"/>
          <w:szCs w:val="20"/>
          <w:lang w:eastAsia="cs-CZ"/>
        </w:rPr>
        <w:t>.</w:t>
      </w:r>
    </w:p>
    <w:p w14:paraId="5344E1A5" w14:textId="77777777" w:rsidR="001061D9" w:rsidRDefault="001061D9" w:rsidP="001061D9">
      <w:pPr>
        <w:spacing w:before="0"/>
        <w:rPr>
          <w:rFonts w:eastAsiaTheme="minorHAnsi" w:cs="Calibri"/>
        </w:rPr>
      </w:pPr>
    </w:p>
    <w:p w14:paraId="7DF89D09" w14:textId="0DD0B25C" w:rsidR="00903308" w:rsidRDefault="00903308" w:rsidP="001061D9">
      <w:pPr>
        <w:spacing w:before="0"/>
        <w:rPr>
          <w:rFonts w:eastAsiaTheme="minorHAnsi" w:cs="Calibri"/>
        </w:rPr>
      </w:pPr>
      <w:r w:rsidRPr="0029459B">
        <w:rPr>
          <w:rFonts w:eastAsiaTheme="minorHAnsi" w:cs="Calibri"/>
        </w:rPr>
        <w:t xml:space="preserve">Kontrola NKÚ zjistila, že </w:t>
      </w:r>
      <w:r w:rsidR="00356D68" w:rsidRPr="0029459B">
        <w:rPr>
          <w:rFonts w:eastAsiaTheme="minorHAnsi" w:cs="Calibri"/>
        </w:rPr>
        <w:t>jedna</w:t>
      </w:r>
      <w:r w:rsidR="00237625" w:rsidRPr="0029459B">
        <w:rPr>
          <w:rFonts w:eastAsiaTheme="minorHAnsi" w:cs="Calibri"/>
        </w:rPr>
        <w:t xml:space="preserve"> krajská</w:t>
      </w:r>
      <w:r w:rsidR="00356D68" w:rsidRPr="0029459B">
        <w:rPr>
          <w:rFonts w:eastAsiaTheme="minorHAnsi" w:cs="Calibri"/>
        </w:rPr>
        <w:t xml:space="preserve"> </w:t>
      </w:r>
      <w:r w:rsidR="005E3177" w:rsidRPr="0029459B">
        <w:rPr>
          <w:rFonts w:eastAsiaTheme="minorHAnsi" w:cs="Calibri"/>
        </w:rPr>
        <w:t>poboč</w:t>
      </w:r>
      <w:r w:rsidR="00356D68" w:rsidRPr="0029459B">
        <w:rPr>
          <w:rFonts w:eastAsiaTheme="minorHAnsi" w:cs="Calibri"/>
        </w:rPr>
        <w:t>k</w:t>
      </w:r>
      <w:r w:rsidR="005E3177" w:rsidRPr="0029459B">
        <w:rPr>
          <w:rFonts w:eastAsiaTheme="minorHAnsi" w:cs="Calibri"/>
        </w:rPr>
        <w:t>a</w:t>
      </w:r>
      <w:r w:rsidR="00356D68" w:rsidRPr="0029459B">
        <w:rPr>
          <w:rFonts w:eastAsiaTheme="minorHAnsi" w:cs="Calibri"/>
        </w:rPr>
        <w:t xml:space="preserve"> ÚP ČR</w:t>
      </w:r>
      <w:r w:rsidRPr="0029459B">
        <w:rPr>
          <w:rFonts w:eastAsiaTheme="minorHAnsi" w:cs="Calibri"/>
        </w:rPr>
        <w:t xml:space="preserve"> neuzavírala</w:t>
      </w:r>
      <w:r w:rsidR="00356D68" w:rsidRPr="0029459B">
        <w:rPr>
          <w:rFonts w:eastAsiaTheme="minorHAnsi" w:cs="Calibri"/>
        </w:rPr>
        <w:t xml:space="preserve"> na rozdíl od ostatních kontrolovaných poboček</w:t>
      </w:r>
      <w:r w:rsidRPr="0029459B">
        <w:rPr>
          <w:rFonts w:eastAsiaTheme="minorHAnsi" w:cs="Calibri"/>
        </w:rPr>
        <w:t xml:space="preserve"> dohody o vymezení CHPM ke stávajícím pracovním místům pro OZP v chráněných pracovních dílnách, ale pouze k chráněným pracovním místům, která byla nově vymezena po 1. 1. 2012. Odlišný postup neměl vliv na výši poskytnutých prostředků.</w:t>
      </w:r>
    </w:p>
    <w:p w14:paraId="14915A73" w14:textId="77777777" w:rsidR="001061D9" w:rsidRPr="0029459B" w:rsidRDefault="001061D9" w:rsidP="001061D9">
      <w:pPr>
        <w:spacing w:before="0"/>
        <w:rPr>
          <w:rFonts w:eastAsiaTheme="minorHAnsi" w:cs="Calibri"/>
        </w:rPr>
      </w:pPr>
    </w:p>
    <w:p w14:paraId="40F93CAD" w14:textId="058E2DB4" w:rsidR="00903308" w:rsidRDefault="007B4894" w:rsidP="001061D9">
      <w:pPr>
        <w:spacing w:before="0"/>
        <w:rPr>
          <w:rFonts w:eastAsiaTheme="minorHAnsi"/>
        </w:rPr>
      </w:pPr>
      <w:r w:rsidRPr="0029459B">
        <w:rPr>
          <w:rFonts w:eastAsiaTheme="minorHAnsi"/>
        </w:rPr>
        <w:t xml:space="preserve">Kontrole NKÚ bylo podrobeno </w:t>
      </w:r>
      <w:r w:rsidRPr="0029459B">
        <w:rPr>
          <w:rFonts w:ascii="Calibri" w:eastAsiaTheme="minorHAnsi" w:hAnsi="Calibri" w:cs="Calibri"/>
        </w:rPr>
        <w:t>111 žádostí a dohod o vymezení CHPM a</w:t>
      </w:r>
      <w:r w:rsidR="00E60362" w:rsidRPr="0029459B">
        <w:rPr>
          <w:rFonts w:eastAsiaTheme="minorHAnsi"/>
        </w:rPr>
        <w:t xml:space="preserve"> 18 žádostí a dohod o </w:t>
      </w:r>
      <w:r w:rsidRPr="0029459B">
        <w:rPr>
          <w:rFonts w:eastAsiaTheme="minorHAnsi"/>
        </w:rPr>
        <w:t>příspěvek na vytvoření/zřízení chrá</w:t>
      </w:r>
      <w:r w:rsidR="00D14B81" w:rsidRPr="0029459B">
        <w:rPr>
          <w:rFonts w:eastAsiaTheme="minorHAnsi"/>
        </w:rPr>
        <w:t>něného pracovního místa pro OZP uzavřených mezi příjemci a ÚP ČR.</w:t>
      </w:r>
      <w:r w:rsidR="00B11640" w:rsidRPr="0029459B">
        <w:rPr>
          <w:rFonts w:eastAsiaTheme="minorHAnsi"/>
        </w:rPr>
        <w:t xml:space="preserve"> Kontrola</w:t>
      </w:r>
      <w:r w:rsidR="00D14B81" w:rsidRPr="0029459B">
        <w:rPr>
          <w:rFonts w:eastAsiaTheme="minorHAnsi"/>
        </w:rPr>
        <w:t xml:space="preserve"> NKÚ </w:t>
      </w:r>
      <w:r w:rsidR="00B11640" w:rsidRPr="0029459B">
        <w:rPr>
          <w:rFonts w:eastAsiaTheme="minorHAnsi"/>
        </w:rPr>
        <w:t>prověřila</w:t>
      </w:r>
      <w:r w:rsidR="00D14B81" w:rsidRPr="0029459B">
        <w:rPr>
          <w:rFonts w:eastAsiaTheme="minorHAnsi"/>
        </w:rPr>
        <w:t xml:space="preserve"> 18 příspěvků na vytvoření/zřízení CHPM </w:t>
      </w:r>
      <w:r w:rsidRPr="0029459B">
        <w:rPr>
          <w:rFonts w:eastAsiaTheme="minorHAnsi"/>
        </w:rPr>
        <w:t>v celkové vyplacené výši 3 728 038 Kč</w:t>
      </w:r>
      <w:r w:rsidR="00D4309B" w:rsidRPr="0029459B">
        <w:rPr>
          <w:rFonts w:eastAsiaTheme="minorHAnsi"/>
        </w:rPr>
        <w:t>, dále</w:t>
      </w:r>
      <w:r w:rsidRPr="0029459B">
        <w:rPr>
          <w:rFonts w:eastAsiaTheme="minorHAnsi"/>
        </w:rPr>
        <w:t xml:space="preserve"> 37 příspěvků na částečnou úhradu provozních nákladů chráněných pracovních dílen</w:t>
      </w:r>
      <w:r w:rsidRPr="0029459B">
        <w:rPr>
          <w:rStyle w:val="Znakapoznpodarou"/>
          <w:rFonts w:ascii="Calibri" w:eastAsiaTheme="minorHAnsi" w:hAnsi="Calibri" w:cs="Calibri"/>
        </w:rPr>
        <w:footnoteReference w:id="14"/>
      </w:r>
      <w:r w:rsidRPr="0029459B">
        <w:rPr>
          <w:rFonts w:eastAsiaTheme="minorHAnsi"/>
        </w:rPr>
        <w:t xml:space="preserve"> a </w:t>
      </w:r>
      <w:r w:rsidR="00AB484A">
        <w:rPr>
          <w:rFonts w:eastAsiaTheme="minorHAnsi"/>
        </w:rPr>
        <w:t>devět</w:t>
      </w:r>
      <w:r w:rsidRPr="0029459B">
        <w:rPr>
          <w:rFonts w:eastAsiaTheme="minorHAnsi"/>
        </w:rPr>
        <w:t xml:space="preserve"> příspěvků na částečnou úhradu provozních nákladů CHPM v celkové vyplacené výši 7 804 244 Kč. Kontrolou byly zjištěny nedostatky formálního charakteru.</w:t>
      </w:r>
    </w:p>
    <w:p w14:paraId="151EE4C4" w14:textId="77777777" w:rsidR="001061D9" w:rsidRPr="0029459B" w:rsidRDefault="001061D9" w:rsidP="001061D9">
      <w:pPr>
        <w:spacing w:before="0"/>
        <w:rPr>
          <w:rFonts w:eastAsiaTheme="minorHAnsi"/>
        </w:rPr>
      </w:pPr>
    </w:p>
    <w:p w14:paraId="15AA5186" w14:textId="7294D337" w:rsidR="007B4894" w:rsidRPr="0029459B" w:rsidRDefault="007B4894" w:rsidP="001061D9">
      <w:pPr>
        <w:spacing w:before="0"/>
        <w:rPr>
          <w:rFonts w:ascii="Calibri" w:eastAsiaTheme="minorHAnsi" w:hAnsi="Calibri" w:cs="Calibri"/>
        </w:rPr>
      </w:pPr>
      <w:r w:rsidRPr="0029459B">
        <w:rPr>
          <w:rFonts w:ascii="Calibri" w:eastAsiaTheme="minorHAnsi" w:hAnsi="Calibri" w:cs="Calibri"/>
        </w:rPr>
        <w:t>Kontrolou NKÚ bylo prověřeno 316 příspěvků na pod</w:t>
      </w:r>
      <w:r w:rsidR="0084001D" w:rsidRPr="0029459B">
        <w:rPr>
          <w:rFonts w:ascii="Calibri" w:eastAsiaTheme="minorHAnsi" w:hAnsi="Calibri" w:cs="Calibri"/>
        </w:rPr>
        <w:t>poru zaměstnávání OZP na CHPM v </w:t>
      </w:r>
      <w:r w:rsidRPr="0029459B">
        <w:rPr>
          <w:rFonts w:ascii="Calibri" w:eastAsiaTheme="minorHAnsi" w:hAnsi="Calibri" w:cs="Calibri"/>
        </w:rPr>
        <w:t>celkové vyplacené výši 953 418 170 Kč u 21 příjemců:</w:t>
      </w:r>
    </w:p>
    <w:p w14:paraId="6D167EB2" w14:textId="572A6B4C" w:rsidR="0082194E" w:rsidRPr="0029459B" w:rsidRDefault="0082194E" w:rsidP="001061D9">
      <w:pPr>
        <w:pStyle w:val="Odstavecseseznamem"/>
        <w:numPr>
          <w:ilvl w:val="0"/>
          <w:numId w:val="11"/>
        </w:numPr>
        <w:spacing w:before="0"/>
        <w:ind w:left="284" w:hanging="284"/>
      </w:pPr>
      <w:r w:rsidRPr="0029459B">
        <w:t>Skupina kontrolujících NKÚ zjistila, že v kontrolovaném období ÚP ČR v důsledku nesprávně vydaných rozhodnutí</w:t>
      </w:r>
      <w:r w:rsidR="007B4894" w:rsidRPr="0029459B">
        <w:t xml:space="preserve"> </w:t>
      </w:r>
      <w:r w:rsidR="007B4894" w:rsidRPr="0029459B">
        <w:rPr>
          <w:rFonts w:cstheme="minorHAnsi"/>
        </w:rPr>
        <w:t xml:space="preserve">o poskytnutí příspěvku podle </w:t>
      </w:r>
      <w:r w:rsidR="0084001D" w:rsidRPr="0029459B">
        <w:rPr>
          <w:rFonts w:cstheme="minorHAnsi"/>
        </w:rPr>
        <w:t xml:space="preserve">ustanovení </w:t>
      </w:r>
      <w:r w:rsidR="007B4894" w:rsidRPr="0029459B">
        <w:rPr>
          <w:rFonts w:cstheme="minorHAnsi"/>
        </w:rPr>
        <w:t>§ 78</w:t>
      </w:r>
      <w:r w:rsidRPr="0029459B">
        <w:t xml:space="preserve"> vyplatil </w:t>
      </w:r>
      <w:r w:rsidR="00AF546B" w:rsidRPr="0029459B">
        <w:t xml:space="preserve">třem příjemcům </w:t>
      </w:r>
      <w:r w:rsidRPr="0029459B">
        <w:t xml:space="preserve">neoprávněně </w:t>
      </w:r>
      <w:r w:rsidR="008C49B8">
        <w:t xml:space="preserve">tento příspěvek </w:t>
      </w:r>
      <w:r w:rsidRPr="0029459B">
        <w:t>ve výši 21 82</w:t>
      </w:r>
      <w:r w:rsidR="00887004" w:rsidRPr="0029459B">
        <w:t>8</w:t>
      </w:r>
      <w:r w:rsidRPr="0029459B">
        <w:t> Kč.</w:t>
      </w:r>
      <w:r w:rsidR="00BA2FB3" w:rsidRPr="0029459B">
        <w:t xml:space="preserve"> Ostatní nedostatky </w:t>
      </w:r>
      <w:r w:rsidR="007B4894" w:rsidRPr="0029459B">
        <w:t xml:space="preserve">ze strany ÚP ČR </w:t>
      </w:r>
      <w:r w:rsidR="00BA2FB3" w:rsidRPr="0029459B">
        <w:t>byly administrativního charakteru</w:t>
      </w:r>
      <w:r w:rsidR="00AF546B">
        <w:t xml:space="preserve"> a</w:t>
      </w:r>
      <w:r w:rsidR="00BA2FB3" w:rsidRPr="0029459B">
        <w:t xml:space="preserve"> neměly dopad na výši poskytnutých prostředků.</w:t>
      </w:r>
    </w:p>
    <w:p w14:paraId="128C2542" w14:textId="435C72C5" w:rsidR="00BA2FB3" w:rsidRPr="00D80C16" w:rsidRDefault="0057027C" w:rsidP="001061D9">
      <w:pPr>
        <w:pStyle w:val="Odstavecseseznamem"/>
        <w:numPr>
          <w:ilvl w:val="0"/>
          <w:numId w:val="11"/>
        </w:numPr>
        <w:spacing w:before="0"/>
        <w:ind w:left="284" w:hanging="284"/>
      </w:pPr>
      <w:r w:rsidRPr="0029459B">
        <w:rPr>
          <w:rFonts w:ascii="Calibri" w:eastAsiaTheme="minorHAnsi" w:hAnsi="Calibri" w:cs="Calibri"/>
        </w:rPr>
        <w:t>Skupina kontrolujících NKÚ zjistila</w:t>
      </w:r>
      <w:r w:rsidR="00BA2FB3" w:rsidRPr="0029459B">
        <w:rPr>
          <w:rFonts w:ascii="Calibri" w:eastAsiaTheme="minorHAnsi" w:hAnsi="Calibri" w:cs="Calibri"/>
        </w:rPr>
        <w:t xml:space="preserve"> </w:t>
      </w:r>
      <w:r w:rsidR="00D4309B" w:rsidRPr="0029459B">
        <w:rPr>
          <w:rFonts w:ascii="Calibri" w:eastAsiaTheme="minorHAnsi" w:hAnsi="Calibri" w:cs="Calibri"/>
        </w:rPr>
        <w:t xml:space="preserve">u sedmi příjemců </w:t>
      </w:r>
      <w:r w:rsidR="00BA2FB3" w:rsidRPr="0029459B">
        <w:rPr>
          <w:rFonts w:ascii="Calibri" w:eastAsiaTheme="minorHAnsi" w:hAnsi="Calibri" w:cs="Calibri"/>
        </w:rPr>
        <w:t>nedostatky v celkové výši 194</w:t>
      </w:r>
      <w:r w:rsidR="00011432">
        <w:rPr>
          <w:rFonts w:ascii="Calibri" w:eastAsiaTheme="minorHAnsi" w:hAnsi="Calibri" w:cs="Calibri"/>
        </w:rPr>
        <w:t> </w:t>
      </w:r>
      <w:r w:rsidR="00BA2FB3" w:rsidRPr="0029459B">
        <w:rPr>
          <w:rFonts w:ascii="Calibri" w:eastAsiaTheme="minorHAnsi" w:hAnsi="Calibri" w:cs="Calibri"/>
        </w:rPr>
        <w:t>90</w:t>
      </w:r>
      <w:r w:rsidR="00FE7054" w:rsidRPr="0029459B">
        <w:rPr>
          <w:rFonts w:ascii="Calibri" w:eastAsiaTheme="minorHAnsi" w:hAnsi="Calibri" w:cs="Calibri"/>
        </w:rPr>
        <w:t>9</w:t>
      </w:r>
      <w:r w:rsidR="00011432">
        <w:rPr>
          <w:rFonts w:ascii="Calibri" w:eastAsiaTheme="minorHAnsi" w:hAnsi="Calibri" w:cs="Calibri"/>
        </w:rPr>
        <w:t> </w:t>
      </w:r>
      <w:r w:rsidR="00BA2FB3" w:rsidRPr="0029459B">
        <w:rPr>
          <w:rFonts w:ascii="Calibri" w:eastAsiaTheme="minorHAnsi" w:hAnsi="Calibri" w:cs="Calibri"/>
        </w:rPr>
        <w:t xml:space="preserve">Kč </w:t>
      </w:r>
      <w:r w:rsidR="005E3177" w:rsidRPr="0029459B">
        <w:rPr>
          <w:rFonts w:ascii="Calibri" w:eastAsiaTheme="minorHAnsi" w:hAnsi="Calibri" w:cs="Calibri"/>
        </w:rPr>
        <w:t>(</w:t>
      </w:r>
      <w:r w:rsidR="00BA2FB3" w:rsidRPr="0029459B">
        <w:rPr>
          <w:rFonts w:ascii="Calibri" w:eastAsiaTheme="minorHAnsi" w:hAnsi="Calibri" w:cs="Calibri"/>
        </w:rPr>
        <w:t>0,02 % z celkové vyplacené výše</w:t>
      </w:r>
      <w:r w:rsidR="00462B3C" w:rsidRPr="0029459B">
        <w:rPr>
          <w:rFonts w:ascii="Calibri" w:eastAsiaTheme="minorHAnsi" w:hAnsi="Calibri" w:cs="Calibri"/>
        </w:rPr>
        <w:t xml:space="preserve"> příspěvků</w:t>
      </w:r>
      <w:r w:rsidR="005E3177" w:rsidRPr="0029459B">
        <w:rPr>
          <w:rFonts w:ascii="Calibri" w:eastAsiaTheme="minorHAnsi" w:hAnsi="Calibri" w:cs="Calibri"/>
        </w:rPr>
        <w:t xml:space="preserve">), v jejichž důsledku byly dle </w:t>
      </w:r>
      <w:r w:rsidR="00004535">
        <w:rPr>
          <w:rFonts w:ascii="Calibri" w:eastAsiaTheme="minorHAnsi" w:hAnsi="Calibri" w:cs="Calibri"/>
        </w:rPr>
        <w:t>zjištění</w:t>
      </w:r>
      <w:r w:rsidR="005E3177" w:rsidRPr="0029459B">
        <w:rPr>
          <w:rFonts w:ascii="Calibri" w:eastAsiaTheme="minorHAnsi" w:hAnsi="Calibri" w:cs="Calibri"/>
        </w:rPr>
        <w:t xml:space="preserve"> NKÚ neoprávněně vyplaceny prostředky ve smyslu zákona č. 435/2004 Sb</w:t>
      </w:r>
      <w:r w:rsidR="00BA2FB3" w:rsidRPr="0029459B">
        <w:rPr>
          <w:rFonts w:ascii="Calibri" w:eastAsiaTheme="minorHAnsi" w:hAnsi="Calibri" w:cs="Calibri"/>
        </w:rPr>
        <w:t>.</w:t>
      </w:r>
      <w:r w:rsidR="003F36F5" w:rsidRPr="0029459B">
        <w:rPr>
          <w:rFonts w:ascii="Calibri" w:eastAsiaTheme="minorHAnsi" w:hAnsi="Calibri" w:cs="Calibri"/>
        </w:rPr>
        <w:t xml:space="preserve"> </w:t>
      </w:r>
      <w:r w:rsidR="003F36F5" w:rsidRPr="0029459B">
        <w:t xml:space="preserve">Nedostatky se týkaly údajů vyplněných v žádostech o příspěvek podle </w:t>
      </w:r>
      <w:r w:rsidR="0084001D" w:rsidRPr="0029459B">
        <w:t xml:space="preserve">ustanovení </w:t>
      </w:r>
      <w:r w:rsidR="003F36F5" w:rsidRPr="0029459B">
        <w:t xml:space="preserve">§ 78, které </w:t>
      </w:r>
      <w:r w:rsidR="003F36F5" w:rsidRPr="0029459B">
        <w:lastRenderedPageBreak/>
        <w:t>neodpovídaly kontrolou zjištěným skutečnostem.</w:t>
      </w:r>
      <w:r w:rsidR="003048FC">
        <w:t xml:space="preserve"> Tři z kontrolovaných příjemců neoprávněně vyplacené prostředky v souhrnné výši 14 282 Kč vrátili v průběhu kontroly NKÚ na účet příslušné krajské pobočky ÚP ČR.</w:t>
      </w:r>
      <w:r w:rsidR="00004535">
        <w:t xml:space="preserve"> Ostatní čtyři příjemci do doby ukončení kontroly NKÚ u příjemců k vrácení přeplatku v celkové výši 180 627 Kč nepřistoupili </w:t>
      </w:r>
      <w:r w:rsidR="00004535" w:rsidRPr="00D80C16">
        <w:t xml:space="preserve">(viz </w:t>
      </w:r>
      <w:r w:rsidR="005A2FD2" w:rsidRPr="00D80C16">
        <w:t>p</w:t>
      </w:r>
      <w:r w:rsidR="00004535" w:rsidRPr="00D80C16">
        <w:t>říloha</w:t>
      </w:r>
      <w:r w:rsidR="00D80C16">
        <w:t xml:space="preserve"> č. 1</w:t>
      </w:r>
      <w:r w:rsidR="00004535" w:rsidRPr="00D80C16">
        <w:t>).</w:t>
      </w:r>
    </w:p>
    <w:p w14:paraId="2445FCBD" w14:textId="77777777" w:rsidR="001061D9" w:rsidRPr="0029459B" w:rsidRDefault="001061D9" w:rsidP="001061D9">
      <w:pPr>
        <w:spacing w:before="0"/>
      </w:pPr>
    </w:p>
    <w:p w14:paraId="189A7FF7" w14:textId="6322E9F1" w:rsidR="0082194E" w:rsidRPr="001061D9" w:rsidRDefault="001061D9" w:rsidP="001061D9">
      <w:pPr>
        <w:spacing w:before="0"/>
        <w:ind w:left="426" w:hanging="426"/>
        <w:rPr>
          <w:b/>
        </w:rPr>
      </w:pPr>
      <w:r>
        <w:rPr>
          <w:b/>
        </w:rPr>
        <w:t>3.2</w:t>
      </w:r>
      <w:r>
        <w:rPr>
          <w:b/>
        </w:rPr>
        <w:tab/>
      </w:r>
      <w:r w:rsidR="0082194E" w:rsidRPr="001061D9">
        <w:rPr>
          <w:b/>
        </w:rPr>
        <w:t>Plnění limitu při poskytování výrobků a služeb pro účely splnění povinného podílu zaměstnávání OZP</w:t>
      </w:r>
    </w:p>
    <w:p w14:paraId="33B0E4CB" w14:textId="77777777" w:rsidR="001061D9" w:rsidRDefault="001061D9" w:rsidP="001061D9">
      <w:pPr>
        <w:spacing w:before="0"/>
      </w:pPr>
    </w:p>
    <w:p w14:paraId="7A2BF181" w14:textId="6696E0B2" w:rsidR="0082194E" w:rsidRDefault="00BA2FB3" w:rsidP="001061D9">
      <w:pPr>
        <w:spacing w:before="0"/>
        <w:rPr>
          <w:rFonts w:cstheme="minorHAnsi"/>
          <w:lang w:eastAsia="cs-CZ"/>
        </w:rPr>
      </w:pPr>
      <w:r w:rsidRPr="0029459B">
        <w:t xml:space="preserve">Vybraní příjemci byli zaměstnavatelé zaměstnávající více než 50 % OZP, kteří mohou </w:t>
      </w:r>
      <w:r w:rsidR="00115646">
        <w:t>poskytovat tzv. náhradní plnění</w:t>
      </w:r>
      <w:r w:rsidR="000F7F3F" w:rsidRPr="0029459B">
        <w:t xml:space="preserve"> </w:t>
      </w:r>
      <w:r w:rsidR="00871987" w:rsidRPr="0029459B">
        <w:t>zaměstnavatelům, kteří</w:t>
      </w:r>
      <w:r w:rsidRPr="0029459B">
        <w:t xml:space="preserve"> stanoveného </w:t>
      </w:r>
      <w:r w:rsidR="00871987" w:rsidRPr="0029459B">
        <w:t>podílu</w:t>
      </w:r>
      <w:r w:rsidRPr="0029459B">
        <w:t xml:space="preserve"> zaměstnanců se statutem OZP nedosahují. </w:t>
      </w:r>
      <w:r w:rsidR="0082194E" w:rsidRPr="0029459B">
        <w:rPr>
          <w:rFonts w:cstheme="minorHAnsi"/>
          <w:lang w:eastAsia="cs-CZ"/>
        </w:rPr>
        <w:t xml:space="preserve">Limit náhradního plnění je v kalendářním roce omezen 36násobkem průměrné mzdy v národním hospodářství za první až třetí čtvrtletí předcházejícího kalendářního roku za každého přepočteného zaměstnance se zdravotním postižením zaměstnaného v předchozím kalendářním roce. </w:t>
      </w:r>
    </w:p>
    <w:p w14:paraId="05AF5DDF" w14:textId="77777777" w:rsidR="001061D9" w:rsidRPr="0029459B" w:rsidRDefault="001061D9" w:rsidP="001061D9">
      <w:pPr>
        <w:spacing w:before="0"/>
        <w:rPr>
          <w:rFonts w:cstheme="minorHAnsi"/>
          <w:lang w:eastAsia="cs-CZ"/>
        </w:rPr>
      </w:pPr>
    </w:p>
    <w:p w14:paraId="02DCECB6" w14:textId="02B1545A" w:rsidR="0082194E" w:rsidRDefault="0082194E" w:rsidP="001061D9">
      <w:pPr>
        <w:spacing w:before="0"/>
        <w:rPr>
          <w:rFonts w:cstheme="minorHAnsi"/>
          <w:lang w:eastAsia="cs-CZ"/>
        </w:rPr>
      </w:pPr>
      <w:r w:rsidRPr="0029459B">
        <w:rPr>
          <w:rFonts w:cstheme="minorHAnsi"/>
          <w:lang w:eastAsia="cs-CZ"/>
        </w:rPr>
        <w:t>Z 21 příjemců, u kterých kontrola NKÚ probíhala, pouze dva neposkytovali výrobky a služby jako náhradní plnění. Dalších 19 kontrolovaných příj</w:t>
      </w:r>
      <w:r w:rsidR="000D204C" w:rsidRPr="0029459B">
        <w:rPr>
          <w:rFonts w:cstheme="minorHAnsi"/>
          <w:lang w:eastAsia="cs-CZ"/>
        </w:rPr>
        <w:t>emců poskytlo v období let 2012–</w:t>
      </w:r>
      <w:r w:rsidRPr="0029459B">
        <w:rPr>
          <w:rFonts w:cstheme="minorHAnsi"/>
          <w:lang w:eastAsia="cs-CZ"/>
        </w:rPr>
        <w:t>2015 náhradní plnění v celkové výši 3 523 680</w:t>
      </w:r>
      <w:r w:rsidR="00BA7E58" w:rsidRPr="0029459B">
        <w:rPr>
          <w:rFonts w:cstheme="minorHAnsi"/>
          <w:lang w:eastAsia="cs-CZ"/>
        </w:rPr>
        <w:t> </w:t>
      </w:r>
      <w:r w:rsidRPr="0029459B">
        <w:rPr>
          <w:rFonts w:cstheme="minorHAnsi"/>
          <w:lang w:eastAsia="cs-CZ"/>
        </w:rPr>
        <w:t>283</w:t>
      </w:r>
      <w:r w:rsidR="00BA7E58" w:rsidRPr="0029459B">
        <w:rPr>
          <w:rFonts w:cstheme="minorHAnsi"/>
          <w:lang w:eastAsia="cs-CZ"/>
        </w:rPr>
        <w:t xml:space="preserve"> </w:t>
      </w:r>
      <w:r w:rsidR="00DC7E21" w:rsidRPr="0029459B">
        <w:rPr>
          <w:rFonts w:cstheme="minorHAnsi"/>
          <w:lang w:eastAsia="cs-CZ"/>
        </w:rPr>
        <w:t>Kč</w:t>
      </w:r>
      <w:r w:rsidRPr="0029459B">
        <w:rPr>
          <w:rFonts w:cstheme="minorHAnsi"/>
          <w:lang w:eastAsia="cs-CZ"/>
        </w:rPr>
        <w:t>.</w:t>
      </w:r>
    </w:p>
    <w:p w14:paraId="2F9F19D9" w14:textId="77777777" w:rsidR="001061D9" w:rsidRPr="0029459B" w:rsidRDefault="001061D9" w:rsidP="001061D9">
      <w:pPr>
        <w:spacing w:before="0"/>
        <w:rPr>
          <w:rFonts w:cstheme="minorHAnsi"/>
          <w:lang w:eastAsia="cs-CZ"/>
        </w:rPr>
      </w:pPr>
    </w:p>
    <w:p w14:paraId="7071A58E" w14:textId="22A493CB" w:rsidR="0082194E" w:rsidRPr="00CF0F39" w:rsidRDefault="0082194E" w:rsidP="001061D9">
      <w:pPr>
        <w:spacing w:before="0"/>
        <w:rPr>
          <w:rFonts w:cstheme="minorHAnsi"/>
          <w:vanish/>
          <w:lang w:eastAsia="cs-CZ"/>
          <w:specVanish/>
        </w:rPr>
      </w:pPr>
      <w:r w:rsidRPr="0029459B">
        <w:rPr>
          <w:rFonts w:cstheme="minorHAnsi"/>
          <w:lang w:eastAsia="cs-CZ"/>
        </w:rPr>
        <w:t>Osm z kontrolovaných příjemců (tj. 42</w:t>
      </w:r>
      <w:r w:rsidR="001F6941">
        <w:rPr>
          <w:rFonts w:cstheme="minorHAnsi"/>
          <w:lang w:eastAsia="cs-CZ"/>
        </w:rPr>
        <w:t> </w:t>
      </w:r>
      <w:r w:rsidRPr="0029459B">
        <w:rPr>
          <w:rFonts w:cstheme="minorHAnsi"/>
          <w:lang w:eastAsia="cs-CZ"/>
        </w:rPr>
        <w:t>% příjemců) poskytovalo náhradní plnění výhradně prostřednictvím vlastních výrobků či služeb, výše jimi poskytnutého plnění činila 757 963</w:t>
      </w:r>
      <w:r w:rsidR="001061D9">
        <w:rPr>
          <w:rFonts w:cstheme="minorHAnsi"/>
          <w:lang w:eastAsia="cs-CZ"/>
        </w:rPr>
        <w:t> </w:t>
      </w:r>
      <w:r w:rsidRPr="0029459B">
        <w:rPr>
          <w:rFonts w:cstheme="minorHAnsi"/>
          <w:lang w:eastAsia="cs-CZ"/>
        </w:rPr>
        <w:t>17</w:t>
      </w:r>
      <w:r w:rsidR="00A04CAD" w:rsidRPr="0029459B">
        <w:rPr>
          <w:rFonts w:cstheme="minorHAnsi"/>
          <w:lang w:eastAsia="cs-CZ"/>
        </w:rPr>
        <w:t>2</w:t>
      </w:r>
      <w:r w:rsidR="001061D9">
        <w:rPr>
          <w:rFonts w:cstheme="minorHAnsi"/>
          <w:lang w:eastAsia="cs-CZ"/>
        </w:rPr>
        <w:t> </w:t>
      </w:r>
      <w:r w:rsidRPr="0029459B">
        <w:rPr>
          <w:rFonts w:cstheme="minorHAnsi"/>
          <w:lang w:eastAsia="cs-CZ"/>
        </w:rPr>
        <w:t>Kč (tj. 22</w:t>
      </w:r>
      <w:r w:rsidR="00B418F0">
        <w:rPr>
          <w:rFonts w:cstheme="minorHAnsi"/>
          <w:lang w:eastAsia="cs-CZ"/>
        </w:rPr>
        <w:t> </w:t>
      </w:r>
      <w:r w:rsidRPr="0029459B">
        <w:rPr>
          <w:rFonts w:cstheme="minorHAnsi"/>
          <w:lang w:eastAsia="cs-CZ"/>
        </w:rPr>
        <w:t xml:space="preserve">% z celkového poskytnutého plnění). Zbývající příjemci poskytovali </w:t>
      </w:r>
      <w:r w:rsidR="000D204C" w:rsidRPr="0029459B">
        <w:rPr>
          <w:rFonts w:cstheme="minorHAnsi"/>
          <w:lang w:eastAsia="cs-CZ"/>
        </w:rPr>
        <w:t>náhradní plnění i </w:t>
      </w:r>
      <w:r w:rsidRPr="0029459B">
        <w:rPr>
          <w:rFonts w:cstheme="minorHAnsi"/>
          <w:lang w:eastAsia="cs-CZ"/>
        </w:rPr>
        <w:t>prodejem zboží či služeb jiných výrobců a dodavatelů, kteří nesplňovali po</w:t>
      </w:r>
      <w:r w:rsidR="00CF0F39">
        <w:rPr>
          <w:rFonts w:cstheme="minorHAnsi"/>
          <w:lang w:eastAsia="cs-CZ"/>
        </w:rPr>
        <w:t>dmínku zaměstnávání více než 50 </w:t>
      </w:r>
      <w:r w:rsidRPr="0029459B">
        <w:rPr>
          <w:rFonts w:cstheme="minorHAnsi"/>
          <w:lang w:eastAsia="cs-CZ"/>
        </w:rPr>
        <w:t>% OZP. Čtyři z kontrolovaných příjemců poskytovali náh</w:t>
      </w:r>
      <w:r w:rsidR="000D204C" w:rsidRPr="0029459B">
        <w:rPr>
          <w:rFonts w:cstheme="minorHAnsi"/>
          <w:lang w:eastAsia="cs-CZ"/>
        </w:rPr>
        <w:t>radní plnění téměř výhradně (</w:t>
      </w:r>
      <w:r w:rsidR="00B418F0">
        <w:rPr>
          <w:rFonts w:cstheme="minorHAnsi"/>
          <w:lang w:eastAsia="cs-CZ"/>
        </w:rPr>
        <w:t>z</w:t>
      </w:r>
      <w:r w:rsidR="001F6941">
        <w:rPr>
          <w:rFonts w:cstheme="minorHAnsi"/>
          <w:lang w:eastAsia="cs-CZ"/>
        </w:rPr>
        <w:t xml:space="preserve"> </w:t>
      </w:r>
      <w:r w:rsidR="000D204C" w:rsidRPr="0029459B">
        <w:rPr>
          <w:rFonts w:cstheme="minorHAnsi"/>
          <w:lang w:eastAsia="cs-CZ"/>
        </w:rPr>
        <w:t>90–</w:t>
      </w:r>
      <w:r w:rsidRPr="0029459B">
        <w:rPr>
          <w:rFonts w:cstheme="minorHAnsi"/>
          <w:lang w:eastAsia="cs-CZ"/>
        </w:rPr>
        <w:t>100</w:t>
      </w:r>
      <w:r w:rsidR="001F6941">
        <w:rPr>
          <w:rFonts w:cstheme="minorHAnsi"/>
          <w:lang w:eastAsia="cs-CZ"/>
        </w:rPr>
        <w:t> </w:t>
      </w:r>
      <w:r w:rsidRPr="0029459B">
        <w:rPr>
          <w:rFonts w:cstheme="minorHAnsi"/>
          <w:lang w:eastAsia="cs-CZ"/>
        </w:rPr>
        <w:t>%) prodejem zboží a služeb třetích dodavatelů, z toho dva kontrolovaní příjemci uzavřeli smlouvy, na</w:t>
      </w:r>
      <w:r w:rsidR="001F6941">
        <w:rPr>
          <w:rFonts w:cstheme="minorHAnsi"/>
          <w:lang w:eastAsia="cs-CZ"/>
        </w:rPr>
        <w:t xml:space="preserve"> jejichž</w:t>
      </w:r>
      <w:r w:rsidRPr="0029459B">
        <w:rPr>
          <w:rFonts w:cstheme="minorHAnsi"/>
          <w:lang w:eastAsia="cs-CZ"/>
        </w:rPr>
        <w:t xml:space="preserve"> základě třetí dodavatelé přímo zajišťovali dodávky zboží konečným zákazníkům výměnou za sjed</w:t>
      </w:r>
      <w:r w:rsidR="00714AD7" w:rsidRPr="0029459B">
        <w:rPr>
          <w:rFonts w:cstheme="minorHAnsi"/>
          <w:lang w:eastAsia="cs-CZ"/>
        </w:rPr>
        <w:t>nané množstevní slevy ve</w:t>
      </w:r>
      <w:r w:rsidR="001061D9">
        <w:rPr>
          <w:rFonts w:cstheme="minorHAnsi"/>
          <w:lang w:eastAsia="cs-CZ"/>
        </w:rPr>
        <w:t xml:space="preserve"> </w:t>
      </w:r>
      <w:r w:rsidR="00714AD7" w:rsidRPr="0029459B">
        <w:rPr>
          <w:rFonts w:cstheme="minorHAnsi"/>
          <w:lang w:eastAsia="cs-CZ"/>
        </w:rPr>
        <w:t>výši 5–8,1 </w:t>
      </w:r>
      <w:r w:rsidR="001061D9">
        <w:rPr>
          <w:rFonts w:cstheme="minorHAnsi"/>
          <w:lang w:eastAsia="cs-CZ"/>
        </w:rPr>
        <w:t>%.</w:t>
      </w:r>
    </w:p>
    <w:p w14:paraId="61303213" w14:textId="59796F02" w:rsidR="001061D9" w:rsidRPr="0029459B" w:rsidRDefault="00CF0F39" w:rsidP="001061D9">
      <w:pPr>
        <w:spacing w:before="0"/>
        <w:rPr>
          <w:rFonts w:cstheme="minorHAnsi"/>
          <w:lang w:eastAsia="cs-CZ"/>
        </w:rPr>
      </w:pPr>
      <w:r>
        <w:rPr>
          <w:rFonts w:cstheme="minorHAnsi"/>
          <w:lang w:eastAsia="cs-CZ"/>
        </w:rPr>
        <w:t xml:space="preserve"> </w:t>
      </w:r>
    </w:p>
    <w:p w14:paraId="52E93591" w14:textId="3C906DAF" w:rsidR="0082194E" w:rsidRDefault="0082194E" w:rsidP="001061D9">
      <w:pPr>
        <w:spacing w:before="0"/>
        <w:rPr>
          <w:rFonts w:cstheme="minorHAnsi"/>
          <w:lang w:eastAsia="cs-CZ"/>
        </w:rPr>
      </w:pPr>
      <w:r w:rsidRPr="0029459B">
        <w:rPr>
          <w:rFonts w:cstheme="minorHAnsi"/>
          <w:lang w:eastAsia="cs-CZ"/>
        </w:rPr>
        <w:t>Z kontroly NKÚ vyplynulo, že příjemci, kteří poskytovali jako náhradní plnění převážně či výhradně vlastní výrobky či služby</w:t>
      </w:r>
      <w:r w:rsidR="00FB562A" w:rsidRPr="0029459B">
        <w:rPr>
          <w:rFonts w:cstheme="minorHAnsi"/>
          <w:lang w:eastAsia="cs-CZ"/>
        </w:rPr>
        <w:t>,</w:t>
      </w:r>
      <w:r w:rsidRPr="0029459B">
        <w:rPr>
          <w:rFonts w:cstheme="minorHAnsi"/>
          <w:lang w:eastAsia="cs-CZ"/>
        </w:rPr>
        <w:t xml:space="preserve"> dosahovali nižšího procentuálního podílu z možného </w:t>
      </w:r>
      <w:r w:rsidR="00D008C6" w:rsidRPr="0029459B">
        <w:rPr>
          <w:rFonts w:cstheme="minorHAnsi"/>
          <w:lang w:eastAsia="cs-CZ"/>
        </w:rPr>
        <w:t xml:space="preserve">zákonného </w:t>
      </w:r>
      <w:r w:rsidRPr="0029459B">
        <w:rPr>
          <w:rFonts w:cstheme="minorHAnsi"/>
          <w:lang w:eastAsia="cs-CZ"/>
        </w:rPr>
        <w:t>limitu náhradního plnění</w:t>
      </w:r>
      <w:r w:rsidR="007D79A0" w:rsidRPr="0029459B">
        <w:rPr>
          <w:rFonts w:cstheme="minorHAnsi"/>
          <w:lang w:eastAsia="cs-CZ"/>
        </w:rPr>
        <w:t xml:space="preserve"> (v průměru 35</w:t>
      </w:r>
      <w:r w:rsidR="001F6941">
        <w:rPr>
          <w:rFonts w:cstheme="minorHAnsi"/>
          <w:lang w:eastAsia="cs-CZ"/>
        </w:rPr>
        <w:t> </w:t>
      </w:r>
      <w:r w:rsidR="007D79A0" w:rsidRPr="0029459B">
        <w:rPr>
          <w:rFonts w:cstheme="minorHAnsi"/>
          <w:lang w:eastAsia="cs-CZ"/>
        </w:rPr>
        <w:t>%)</w:t>
      </w:r>
      <w:r w:rsidRPr="0029459B">
        <w:rPr>
          <w:rFonts w:cstheme="minorHAnsi"/>
          <w:lang w:eastAsia="cs-CZ"/>
        </w:rPr>
        <w:t xml:space="preserve"> než příjemci, kteří poskytovali jako náhradní plnění převážně či výhradně zboží či služby od jiných výrobců </w:t>
      </w:r>
      <w:r w:rsidR="007D79A0" w:rsidRPr="0029459B">
        <w:rPr>
          <w:rFonts w:cstheme="minorHAnsi"/>
          <w:lang w:eastAsia="cs-CZ"/>
        </w:rPr>
        <w:t>a</w:t>
      </w:r>
      <w:r w:rsidR="00DA337E" w:rsidRPr="0029459B">
        <w:rPr>
          <w:rFonts w:cstheme="minorHAnsi"/>
          <w:lang w:eastAsia="cs-CZ"/>
        </w:rPr>
        <w:t xml:space="preserve"> dodavatelů (v </w:t>
      </w:r>
      <w:r w:rsidRPr="0029459B">
        <w:rPr>
          <w:rFonts w:cstheme="minorHAnsi"/>
          <w:lang w:eastAsia="cs-CZ"/>
        </w:rPr>
        <w:t>průměru 82</w:t>
      </w:r>
      <w:r w:rsidR="001F6941">
        <w:rPr>
          <w:rFonts w:cstheme="minorHAnsi"/>
          <w:lang w:eastAsia="cs-CZ"/>
        </w:rPr>
        <w:t> </w:t>
      </w:r>
      <w:r w:rsidRPr="0029459B">
        <w:rPr>
          <w:rFonts w:cstheme="minorHAnsi"/>
          <w:lang w:eastAsia="cs-CZ"/>
        </w:rPr>
        <w:t xml:space="preserve">%). </w:t>
      </w:r>
    </w:p>
    <w:p w14:paraId="139E0CDF" w14:textId="77777777" w:rsidR="001061D9" w:rsidRPr="0029459B" w:rsidRDefault="001061D9" w:rsidP="001061D9">
      <w:pPr>
        <w:spacing w:before="0"/>
        <w:rPr>
          <w:rFonts w:cstheme="minorHAnsi"/>
          <w:lang w:eastAsia="cs-CZ"/>
        </w:rPr>
      </w:pPr>
    </w:p>
    <w:p w14:paraId="57B8EBB1" w14:textId="694FE863" w:rsidR="0082194E" w:rsidRDefault="0082194E" w:rsidP="001061D9">
      <w:pPr>
        <w:spacing w:before="0"/>
      </w:pPr>
      <w:r w:rsidRPr="0029459B">
        <w:t>Jeden z kontrolovaných příjemců v roce 2015 poskytl výrobky a služby pro účely náhradního plnění v celkové výši 115 758 346 Kč bez DPH</w:t>
      </w:r>
      <w:r w:rsidR="001F6941">
        <w:t>,</w:t>
      </w:r>
      <w:r w:rsidRPr="0029459B">
        <w:t xml:space="preserve"> a</w:t>
      </w:r>
      <w:r w:rsidR="001F6941">
        <w:t> tudíž</w:t>
      </w:r>
      <w:r w:rsidRPr="0029459B">
        <w:t xml:space="preserve"> překročil limit stanovený zákonem č.</w:t>
      </w:r>
      <w:r w:rsidR="001061D9">
        <w:t> </w:t>
      </w:r>
      <w:r w:rsidRPr="0029459B">
        <w:t xml:space="preserve">435/2004 Sb. o 9 704 398 Kč. Výrobky nebo služby v hodnotě 9 704 398 Kč bez DPH tak nemohly sloužit pro účely náhradního plnění </w:t>
      </w:r>
      <w:r w:rsidR="00F85607" w:rsidRPr="0029459B">
        <w:t xml:space="preserve">v přepočtu </w:t>
      </w:r>
      <w:r w:rsidRPr="0029459B">
        <w:t xml:space="preserve">za 53,52 OZP. Odběratelé </w:t>
      </w:r>
      <w:r w:rsidR="00BA6C39" w:rsidRPr="0029459B">
        <w:t>tak</w:t>
      </w:r>
      <w:r w:rsidRPr="0029459B">
        <w:t xml:space="preserve"> vykázali náhradní plnění, ačkoliv ve skutečnosti náhradního plnění nedosáhli</w:t>
      </w:r>
      <w:r w:rsidR="001F6941">
        <w:t>,</w:t>
      </w:r>
      <w:r w:rsidRPr="0029459B">
        <w:t xml:space="preserve"> </w:t>
      </w:r>
      <w:r w:rsidR="001F6941">
        <w:t>t</w:t>
      </w:r>
      <w:r w:rsidR="003367B0">
        <w:t>udíž</w:t>
      </w:r>
      <w:r w:rsidRPr="0029459B">
        <w:t xml:space="preserve"> nesplnili povinnost uloženou zákonem č. 435/2004 Sb. </w:t>
      </w:r>
    </w:p>
    <w:p w14:paraId="00511927" w14:textId="77777777" w:rsidR="001061D9" w:rsidRPr="0029459B" w:rsidRDefault="001061D9" w:rsidP="001061D9">
      <w:pPr>
        <w:spacing w:before="0"/>
      </w:pPr>
    </w:p>
    <w:p w14:paraId="042A217A" w14:textId="7D12C892" w:rsidR="002C2D46" w:rsidRDefault="0082194E" w:rsidP="001061D9">
      <w:pPr>
        <w:spacing w:before="0"/>
        <w:rPr>
          <w:rFonts w:cstheme="minorHAnsi"/>
          <w:lang w:eastAsia="cs-CZ"/>
        </w:rPr>
      </w:pPr>
      <w:r w:rsidRPr="0029459B">
        <w:rPr>
          <w:rFonts w:cstheme="minorHAnsi"/>
          <w:lang w:eastAsia="cs-CZ"/>
        </w:rPr>
        <w:t xml:space="preserve">Čtyři </w:t>
      </w:r>
      <w:r w:rsidR="00BA6C39" w:rsidRPr="0029459B">
        <w:rPr>
          <w:rFonts w:cstheme="minorHAnsi"/>
          <w:lang w:eastAsia="cs-CZ"/>
        </w:rPr>
        <w:t xml:space="preserve">z kontrolovaných </w:t>
      </w:r>
      <w:r w:rsidRPr="0029459B">
        <w:rPr>
          <w:rFonts w:cstheme="minorHAnsi"/>
          <w:lang w:eastAsia="cs-CZ"/>
        </w:rPr>
        <w:t>příjemc</w:t>
      </w:r>
      <w:r w:rsidR="00BA6C39" w:rsidRPr="0029459B">
        <w:rPr>
          <w:rFonts w:cstheme="minorHAnsi"/>
          <w:lang w:eastAsia="cs-CZ"/>
        </w:rPr>
        <w:t>ů</w:t>
      </w:r>
      <w:r w:rsidRPr="0029459B">
        <w:rPr>
          <w:rFonts w:cstheme="minorHAnsi"/>
          <w:lang w:eastAsia="cs-CZ"/>
        </w:rPr>
        <w:t xml:space="preserve"> poskytli náhradní plnění v celkové výši 25 707 16</w:t>
      </w:r>
      <w:r w:rsidR="00464887" w:rsidRPr="0029459B">
        <w:rPr>
          <w:rFonts w:cstheme="minorHAnsi"/>
          <w:lang w:eastAsia="cs-CZ"/>
        </w:rPr>
        <w:t>7</w:t>
      </w:r>
      <w:r w:rsidRPr="0029459B">
        <w:rPr>
          <w:rFonts w:cstheme="minorHAnsi"/>
          <w:lang w:eastAsia="cs-CZ"/>
        </w:rPr>
        <w:t xml:space="preserve"> Kč formou veřejných zakázek, další tři příjemci neevidovali, zda je náhradní plnění poskytováno na základě veřejných zakázek či nikoliv.</w:t>
      </w:r>
    </w:p>
    <w:p w14:paraId="3F9F41E9" w14:textId="77777777" w:rsidR="001061D9" w:rsidRPr="0029459B" w:rsidRDefault="001061D9" w:rsidP="001061D9">
      <w:pPr>
        <w:spacing w:before="0"/>
        <w:rPr>
          <w:rFonts w:cstheme="minorHAnsi"/>
        </w:rPr>
      </w:pPr>
    </w:p>
    <w:p w14:paraId="056157B5" w14:textId="77777777" w:rsidR="00442B5C" w:rsidRDefault="00442B5C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97E04F1" w14:textId="050E01A2" w:rsidR="00AE5BD9" w:rsidRPr="001061D9" w:rsidRDefault="001061D9" w:rsidP="001061D9">
      <w:pPr>
        <w:spacing w:before="0"/>
        <w:rPr>
          <w:b/>
        </w:rPr>
      </w:pPr>
      <w:r>
        <w:rPr>
          <w:b/>
        </w:rPr>
        <w:lastRenderedPageBreak/>
        <w:t xml:space="preserve">3.3 </w:t>
      </w:r>
      <w:r w:rsidR="00AE5BD9" w:rsidRPr="001061D9">
        <w:rPr>
          <w:b/>
        </w:rPr>
        <w:t>Pracovní rehabilitace</w:t>
      </w:r>
    </w:p>
    <w:p w14:paraId="20C84F84" w14:textId="77777777" w:rsidR="001061D9" w:rsidRDefault="001061D9" w:rsidP="001061D9">
      <w:pPr>
        <w:spacing w:before="0"/>
        <w:rPr>
          <w:rFonts w:cstheme="minorHAnsi"/>
        </w:rPr>
      </w:pPr>
    </w:p>
    <w:p w14:paraId="4290470D" w14:textId="5BA018C4" w:rsidR="00AE5BD9" w:rsidRDefault="00AE5BD9" w:rsidP="001061D9">
      <w:pPr>
        <w:spacing w:before="0"/>
        <w:rPr>
          <w:rFonts w:cstheme="minorHAnsi"/>
        </w:rPr>
      </w:pPr>
      <w:r w:rsidRPr="0029459B">
        <w:rPr>
          <w:rFonts w:cstheme="minorHAnsi"/>
        </w:rPr>
        <w:t xml:space="preserve">Institut pracovní rehabilitace byl legislativně </w:t>
      </w:r>
      <w:r w:rsidR="001F6941">
        <w:rPr>
          <w:rFonts w:cstheme="minorHAnsi"/>
        </w:rPr>
        <w:t>upraven</w:t>
      </w:r>
      <w:r w:rsidRPr="0029459B">
        <w:rPr>
          <w:rFonts w:cstheme="minorHAnsi"/>
        </w:rPr>
        <w:t xml:space="preserve"> již v r</w:t>
      </w:r>
      <w:r w:rsidR="00CB5C79">
        <w:rPr>
          <w:rFonts w:cstheme="minorHAnsi"/>
        </w:rPr>
        <w:t>oce 1991 a v zákoně č. 435/2004 </w:t>
      </w:r>
      <w:r w:rsidRPr="0029459B">
        <w:rPr>
          <w:rFonts w:cstheme="minorHAnsi"/>
        </w:rPr>
        <w:t>Sb. je definován jako souvislá činnost zaměřená na získání a udržení vhodného zaměstnání OZP, kterou na základě žádosti OZP zabezpečují krajské pobočky ÚP</w:t>
      </w:r>
      <w:r w:rsidR="003D6E50" w:rsidRPr="0029459B">
        <w:rPr>
          <w:rFonts w:cstheme="minorHAnsi"/>
        </w:rPr>
        <w:t xml:space="preserve"> ČR</w:t>
      </w:r>
      <w:r w:rsidRPr="0029459B">
        <w:rPr>
          <w:rFonts w:cstheme="minorHAnsi"/>
        </w:rPr>
        <w:t xml:space="preserve"> a hradí náklady s ní spojené. Cílem pracovní rehabilitace je usnadnění vstupu OZP na volný trh práce a udržení stávajícího zaměstnání u osob, které kvůli zhoršení zdravotního stavu již nejsou schopny vykonávat svoji dosavadní profesi. Na pracovní rehabilitaci </w:t>
      </w:r>
      <w:r w:rsidR="001F6941" w:rsidRPr="0029459B">
        <w:rPr>
          <w:rFonts w:cstheme="minorHAnsi"/>
        </w:rPr>
        <w:t xml:space="preserve">mají </w:t>
      </w:r>
      <w:r w:rsidRPr="0029459B">
        <w:rPr>
          <w:rFonts w:cstheme="minorHAnsi"/>
        </w:rPr>
        <w:t>OZP nárok.</w:t>
      </w:r>
    </w:p>
    <w:p w14:paraId="309D6213" w14:textId="77777777" w:rsidR="001061D9" w:rsidRPr="0029459B" w:rsidRDefault="001061D9" w:rsidP="001061D9">
      <w:pPr>
        <w:spacing w:before="0"/>
      </w:pPr>
    </w:p>
    <w:p w14:paraId="63CA7302" w14:textId="55DA49AB" w:rsidR="00AE5BD9" w:rsidRDefault="00AE5BD9" w:rsidP="001061D9">
      <w:pPr>
        <w:spacing w:before="0"/>
        <w:rPr>
          <w:rFonts w:cstheme="minorHAnsi"/>
        </w:rPr>
      </w:pPr>
      <w:r w:rsidRPr="0029459B">
        <w:rPr>
          <w:rFonts w:cstheme="minorHAnsi"/>
        </w:rPr>
        <w:t>Kontrolou NKÚ bylo zjištěno, že v kontrolovaném období byl tento nástroj aktivní politiky zaměstnanosti samotnými OZP i zaměstnavateli málo využíván. V průběhu let 2010 až 2015 bylo ze státního rozpočtu vynaloženo 19 191 tis. Kč na pracovní rehabilitaci. P</w:t>
      </w:r>
      <w:r w:rsidRPr="0029459B">
        <w:t>rostředky vynaložené na pracovní rehabilitaci byly v porovnání s ostatními nástroji na podporu zaměstnávání OZP na velmi nízké úrovni. V</w:t>
      </w:r>
      <w:r w:rsidRPr="0029459B">
        <w:rPr>
          <w:rFonts w:cstheme="minorHAnsi"/>
        </w:rPr>
        <w:t xml:space="preserve"> průměru šlo pouze o 0,09 % </w:t>
      </w:r>
      <w:r w:rsidR="007B50C8">
        <w:rPr>
          <w:rFonts w:cstheme="minorHAnsi"/>
        </w:rPr>
        <w:t>z</w:t>
      </w:r>
      <w:r w:rsidRPr="0029459B">
        <w:rPr>
          <w:rFonts w:cstheme="minorHAnsi"/>
        </w:rPr>
        <w:t xml:space="preserve"> celkových výdaj</w:t>
      </w:r>
      <w:r w:rsidR="007B50C8">
        <w:rPr>
          <w:rFonts w:cstheme="minorHAnsi"/>
        </w:rPr>
        <w:t>ů</w:t>
      </w:r>
      <w:r w:rsidRPr="0029459B">
        <w:rPr>
          <w:rFonts w:cstheme="minorHAnsi"/>
        </w:rPr>
        <w:t xml:space="preserve"> na podporu zaměstnávání OZP, zatímco výdaje na příspěvek podle</w:t>
      </w:r>
      <w:r w:rsidR="009978FF" w:rsidRPr="0029459B">
        <w:rPr>
          <w:rFonts w:cstheme="minorHAnsi"/>
        </w:rPr>
        <w:t xml:space="preserve"> ustanovení</w:t>
      </w:r>
      <w:r w:rsidRPr="0029459B">
        <w:rPr>
          <w:rFonts w:cstheme="minorHAnsi"/>
        </w:rPr>
        <w:t xml:space="preserve"> §</w:t>
      </w:r>
      <w:r w:rsidR="007B50C8">
        <w:rPr>
          <w:rFonts w:cstheme="minorHAnsi"/>
        </w:rPr>
        <w:t> </w:t>
      </w:r>
      <w:r w:rsidRPr="0029459B">
        <w:rPr>
          <w:rFonts w:cstheme="minorHAnsi"/>
        </w:rPr>
        <w:t xml:space="preserve">78, který </w:t>
      </w:r>
      <w:r w:rsidR="005545FB" w:rsidRPr="0029459B">
        <w:rPr>
          <w:rFonts w:cstheme="minorHAnsi"/>
        </w:rPr>
        <w:t>váže</w:t>
      </w:r>
      <w:r w:rsidR="00F85607" w:rsidRPr="0029459B">
        <w:rPr>
          <w:rFonts w:cstheme="minorHAnsi"/>
        </w:rPr>
        <w:t xml:space="preserve"> </w:t>
      </w:r>
      <w:r w:rsidRPr="0029459B">
        <w:rPr>
          <w:rFonts w:cstheme="minorHAnsi"/>
        </w:rPr>
        <w:t xml:space="preserve">OZP na chráněném trhu práce, byly 21 471 981 tis. Kč, tj. 96 % </w:t>
      </w:r>
      <w:r w:rsidR="007B50C8">
        <w:rPr>
          <w:rFonts w:cstheme="minorHAnsi"/>
        </w:rPr>
        <w:t>z</w:t>
      </w:r>
      <w:r w:rsidRPr="0029459B">
        <w:rPr>
          <w:rFonts w:cstheme="minorHAnsi"/>
        </w:rPr>
        <w:t xml:space="preserve"> celkových výdaj</w:t>
      </w:r>
      <w:r w:rsidR="007B50C8">
        <w:rPr>
          <w:rFonts w:cstheme="minorHAnsi"/>
        </w:rPr>
        <w:t>ů</w:t>
      </w:r>
      <w:r w:rsidRPr="0029459B">
        <w:rPr>
          <w:rFonts w:cstheme="minorHAnsi"/>
        </w:rPr>
        <w:t>.</w:t>
      </w:r>
      <w:r w:rsidRPr="0029459B">
        <w:t xml:space="preserve"> V</w:t>
      </w:r>
      <w:r w:rsidR="00DA337E" w:rsidRPr="0029459B">
        <w:t> porovnání s obdobím let 2006–</w:t>
      </w:r>
      <w:r w:rsidRPr="0029459B">
        <w:t>2009</w:t>
      </w:r>
      <w:r w:rsidRPr="0029459B">
        <w:rPr>
          <w:rStyle w:val="Znakapoznpodarou"/>
        </w:rPr>
        <w:footnoteReference w:id="15"/>
      </w:r>
      <w:r w:rsidRPr="0029459B">
        <w:t xml:space="preserve">, </w:t>
      </w:r>
      <w:r w:rsidR="007B50C8">
        <w:t>kdy</w:t>
      </w:r>
      <w:r w:rsidRPr="0029459B">
        <w:t xml:space="preserve"> se jednalo v průměru o</w:t>
      </w:r>
      <w:r w:rsidR="007B50C8">
        <w:t> </w:t>
      </w:r>
      <w:r w:rsidRPr="0029459B">
        <w:t xml:space="preserve">0,12 % </w:t>
      </w:r>
      <w:r w:rsidR="007B50C8">
        <w:t>z</w:t>
      </w:r>
      <w:r w:rsidRPr="0029459B">
        <w:t xml:space="preserve"> celkových výdaj</w:t>
      </w:r>
      <w:r w:rsidR="007B50C8">
        <w:t>ů</w:t>
      </w:r>
      <w:r w:rsidRPr="0029459B">
        <w:t xml:space="preserve"> na podporu zaměstnávání OZP, </w:t>
      </w:r>
      <w:r w:rsidRPr="0029459B">
        <w:rPr>
          <w:rFonts w:cstheme="minorHAnsi"/>
        </w:rPr>
        <w:t xml:space="preserve">došlo dokonce ke zhoršení využívání tohoto nástroje. Ke zlepšení využívání pracovní rehabilitace </w:t>
      </w:r>
      <w:r w:rsidR="007B50C8">
        <w:rPr>
          <w:rFonts w:cstheme="minorHAnsi"/>
        </w:rPr>
        <w:t>došlo</w:t>
      </w:r>
      <w:r w:rsidRPr="0029459B">
        <w:rPr>
          <w:rFonts w:cstheme="minorHAnsi"/>
        </w:rPr>
        <w:t xml:space="preserve"> až po zavedení pracovní pozice poradce pro pracovní rehabilitaci </w:t>
      </w:r>
      <w:r w:rsidR="000E6F8D" w:rsidRPr="0029459B">
        <w:rPr>
          <w:rFonts w:cstheme="minorHAnsi"/>
        </w:rPr>
        <w:t xml:space="preserve">na krajských pobočkách ÚP ČR </w:t>
      </w:r>
      <w:r w:rsidRPr="0029459B">
        <w:rPr>
          <w:rFonts w:cstheme="minorHAnsi"/>
        </w:rPr>
        <w:t>v průběhu roku 2016.</w:t>
      </w:r>
    </w:p>
    <w:p w14:paraId="41778884" w14:textId="77777777" w:rsidR="001061D9" w:rsidRPr="0029459B" w:rsidRDefault="001061D9" w:rsidP="001061D9">
      <w:pPr>
        <w:spacing w:before="0"/>
        <w:rPr>
          <w:rFonts w:cstheme="minorHAnsi"/>
        </w:rPr>
      </w:pPr>
    </w:p>
    <w:p w14:paraId="37618CA0" w14:textId="279595B7" w:rsidR="00633DEF" w:rsidRPr="001061D9" w:rsidRDefault="001061D9" w:rsidP="001061D9">
      <w:pPr>
        <w:spacing w:before="0"/>
        <w:rPr>
          <w:b/>
        </w:rPr>
      </w:pPr>
      <w:r>
        <w:rPr>
          <w:b/>
        </w:rPr>
        <w:t xml:space="preserve">4. </w:t>
      </w:r>
      <w:r w:rsidR="00633DEF" w:rsidRPr="001061D9">
        <w:rPr>
          <w:b/>
        </w:rPr>
        <w:t xml:space="preserve">Kontrolní činnost </w:t>
      </w:r>
      <w:r w:rsidR="00AD4878" w:rsidRPr="001061D9">
        <w:rPr>
          <w:b/>
        </w:rPr>
        <w:t>v oblasti zaměstnávání OZP</w:t>
      </w:r>
    </w:p>
    <w:p w14:paraId="1455FA7F" w14:textId="77777777" w:rsidR="001061D9" w:rsidRDefault="001061D9" w:rsidP="001061D9">
      <w:pPr>
        <w:spacing w:before="0"/>
      </w:pPr>
    </w:p>
    <w:p w14:paraId="329564AC" w14:textId="0F539E2E" w:rsidR="00633DEF" w:rsidRDefault="00633DEF" w:rsidP="001061D9">
      <w:pPr>
        <w:spacing w:before="0"/>
        <w:rPr>
          <w:lang w:eastAsia="cs-CZ"/>
        </w:rPr>
      </w:pPr>
      <w:r w:rsidRPr="0029459B">
        <w:t xml:space="preserve">MPSV v období 2012 až 2015 provádělo </w:t>
      </w:r>
      <w:r w:rsidR="00665C14" w:rsidRPr="0029459B">
        <w:t xml:space="preserve">na ÚP ČR </w:t>
      </w:r>
      <w:r w:rsidRPr="0029459B">
        <w:t>veřejnosprávní kontroly, jejichž předmětem byla aktivní politika zaměstnanosti. Nicméně</w:t>
      </w:r>
      <w:r w:rsidRPr="0029459B">
        <w:rPr>
          <w:lang w:eastAsia="cs-CZ"/>
        </w:rPr>
        <w:t xml:space="preserve"> ani v jednom případě se</w:t>
      </w:r>
      <w:r w:rsidR="00DB7B8D" w:rsidRPr="0029459B">
        <w:rPr>
          <w:lang w:eastAsia="cs-CZ"/>
        </w:rPr>
        <w:t xml:space="preserve"> provedené</w:t>
      </w:r>
      <w:r w:rsidRPr="0029459B">
        <w:rPr>
          <w:lang w:eastAsia="cs-CZ"/>
        </w:rPr>
        <w:t xml:space="preserve"> kontrol</w:t>
      </w:r>
      <w:r w:rsidR="00DB7B8D" w:rsidRPr="0029459B">
        <w:rPr>
          <w:lang w:eastAsia="cs-CZ"/>
        </w:rPr>
        <w:t>y</w:t>
      </w:r>
      <w:r w:rsidRPr="0029459B">
        <w:rPr>
          <w:lang w:eastAsia="cs-CZ"/>
        </w:rPr>
        <w:t xml:space="preserve"> </w:t>
      </w:r>
      <w:r w:rsidR="00DB7B8D" w:rsidRPr="0029459B">
        <w:rPr>
          <w:lang w:eastAsia="cs-CZ"/>
        </w:rPr>
        <w:t>netýkaly</w:t>
      </w:r>
      <w:r w:rsidRPr="0029459B">
        <w:rPr>
          <w:lang w:eastAsia="cs-CZ"/>
        </w:rPr>
        <w:t xml:space="preserve"> poskytování příspěvku na zřízení CHPM nebo příspěvku na částečnou úhradu provozních nákladů CHPM. MPSV na ÚP ČR neprovádělo veřejnosprávní kontrolu v souvislosti s poskytováním příspěvku podle </w:t>
      </w:r>
      <w:r w:rsidR="00DA337E" w:rsidRPr="0029459B">
        <w:rPr>
          <w:lang w:eastAsia="cs-CZ"/>
        </w:rPr>
        <w:t xml:space="preserve">ustanovení </w:t>
      </w:r>
      <w:r w:rsidRPr="0029459B">
        <w:rPr>
          <w:lang w:eastAsia="cs-CZ"/>
        </w:rPr>
        <w:t>§ 78</w:t>
      </w:r>
      <w:r w:rsidR="00DB7B8D" w:rsidRPr="0029459B">
        <w:rPr>
          <w:lang w:eastAsia="cs-CZ"/>
        </w:rPr>
        <w:t xml:space="preserve">, který byl poskytován ze závazného ukazatele </w:t>
      </w:r>
      <w:r w:rsidR="00F36F84">
        <w:t>ZZPO</w:t>
      </w:r>
      <w:r w:rsidRPr="0029459B">
        <w:rPr>
          <w:lang w:eastAsia="cs-CZ"/>
        </w:rPr>
        <w:t xml:space="preserve">. </w:t>
      </w:r>
    </w:p>
    <w:p w14:paraId="2DAB0119" w14:textId="77777777" w:rsidR="001061D9" w:rsidRPr="0029459B" w:rsidRDefault="001061D9" w:rsidP="001061D9">
      <w:pPr>
        <w:spacing w:before="0"/>
      </w:pPr>
    </w:p>
    <w:p w14:paraId="7311A7D9" w14:textId="4A9FC899" w:rsidR="005E3177" w:rsidRDefault="005E3177" w:rsidP="001061D9">
      <w:pPr>
        <w:spacing w:before="0"/>
        <w:rPr>
          <w:lang w:eastAsia="cs-CZ"/>
        </w:rPr>
      </w:pPr>
      <w:r w:rsidRPr="0029459B">
        <w:rPr>
          <w:lang w:eastAsia="cs-CZ"/>
        </w:rPr>
        <w:t>Generál</w:t>
      </w:r>
      <w:r w:rsidR="009F29F7" w:rsidRPr="0029459B">
        <w:rPr>
          <w:lang w:eastAsia="cs-CZ"/>
        </w:rPr>
        <w:t xml:space="preserve">ní ředitelství ÚP ČR </w:t>
      </w:r>
      <w:r w:rsidR="00A7323E">
        <w:rPr>
          <w:lang w:eastAsia="cs-CZ"/>
        </w:rPr>
        <w:t xml:space="preserve">mělo v kontrolovaném období provádět podle </w:t>
      </w:r>
      <w:r w:rsidR="007B50C8">
        <w:rPr>
          <w:lang w:eastAsia="cs-CZ"/>
        </w:rPr>
        <w:t>s</w:t>
      </w:r>
      <w:r w:rsidR="00A7323E">
        <w:rPr>
          <w:lang w:eastAsia="cs-CZ"/>
        </w:rPr>
        <w:t>měrnic generální ředitelky č. 4/2014 a č. 21/2014</w:t>
      </w:r>
      <w:r w:rsidRPr="0029459B">
        <w:rPr>
          <w:lang w:eastAsia="cs-CZ"/>
        </w:rPr>
        <w:t xml:space="preserve"> monitorovací šetření, jejichž smyslem </w:t>
      </w:r>
      <w:r w:rsidR="009F29F7" w:rsidRPr="0029459B">
        <w:rPr>
          <w:lang w:eastAsia="cs-CZ"/>
        </w:rPr>
        <w:t>byl</w:t>
      </w:r>
      <w:r w:rsidR="00A7323E">
        <w:rPr>
          <w:lang w:eastAsia="cs-CZ"/>
        </w:rPr>
        <w:t>a</w:t>
      </w:r>
      <w:r w:rsidRPr="0029459B">
        <w:rPr>
          <w:lang w:eastAsia="cs-CZ"/>
        </w:rPr>
        <w:t xml:space="preserve"> standardizace činností ÚP ČR v rámci celé ČR. Kontrolou NKÚ bylo ověře</w:t>
      </w:r>
      <w:r w:rsidR="00FF5802">
        <w:rPr>
          <w:lang w:eastAsia="cs-CZ"/>
        </w:rPr>
        <w:t>no, že na krajských pobočkách a </w:t>
      </w:r>
      <w:r w:rsidRPr="0029459B">
        <w:rPr>
          <w:lang w:eastAsia="cs-CZ"/>
        </w:rPr>
        <w:t xml:space="preserve">kontaktních pracovištích ÚP ČR </w:t>
      </w:r>
      <w:r w:rsidR="00A7323E">
        <w:rPr>
          <w:lang w:eastAsia="cs-CZ"/>
        </w:rPr>
        <w:t>bylo provedeno</w:t>
      </w:r>
      <w:r w:rsidRPr="0029459B">
        <w:rPr>
          <w:lang w:eastAsia="cs-CZ"/>
        </w:rPr>
        <w:t xml:space="preserve"> pouze jedno monitorovací šetření za celé období let 2012 až 2015. Z toho vyplývá, že vnitřní kontrola prováděná </w:t>
      </w:r>
      <w:r w:rsidR="007B50C8">
        <w:rPr>
          <w:lang w:eastAsia="cs-CZ"/>
        </w:rPr>
        <w:t>g</w:t>
      </w:r>
      <w:r w:rsidRPr="0029459B">
        <w:rPr>
          <w:lang w:eastAsia="cs-CZ"/>
        </w:rPr>
        <w:t>enerálním ředitelstvím ÚP ČR nebyla</w:t>
      </w:r>
      <w:r w:rsidR="009F29F7" w:rsidRPr="0029459B">
        <w:rPr>
          <w:lang w:eastAsia="cs-CZ"/>
        </w:rPr>
        <w:t xml:space="preserve"> v kontrolovaném období</w:t>
      </w:r>
      <w:r w:rsidRPr="0029459B">
        <w:rPr>
          <w:lang w:eastAsia="cs-CZ"/>
        </w:rPr>
        <w:t xml:space="preserve"> dostatečná. Ke zvýšení </w:t>
      </w:r>
      <w:r w:rsidR="009F29F7" w:rsidRPr="0029459B">
        <w:rPr>
          <w:lang w:eastAsia="cs-CZ"/>
        </w:rPr>
        <w:t>počtu</w:t>
      </w:r>
      <w:r w:rsidRPr="0029459B">
        <w:rPr>
          <w:lang w:eastAsia="cs-CZ"/>
        </w:rPr>
        <w:t xml:space="preserve"> monitorovacích šetření došlo až v roce 2016</w:t>
      </w:r>
      <w:r w:rsidR="009F29F7" w:rsidRPr="0029459B">
        <w:rPr>
          <w:lang w:eastAsia="cs-CZ"/>
        </w:rPr>
        <w:t xml:space="preserve"> (čtyři monitorovací šetření)</w:t>
      </w:r>
      <w:r w:rsidRPr="0029459B">
        <w:rPr>
          <w:lang w:eastAsia="cs-CZ"/>
        </w:rPr>
        <w:t xml:space="preserve">. </w:t>
      </w:r>
    </w:p>
    <w:p w14:paraId="1A1B8ADD" w14:textId="77777777" w:rsidR="001061D9" w:rsidRPr="0029459B" w:rsidRDefault="001061D9" w:rsidP="001061D9">
      <w:pPr>
        <w:spacing w:before="0"/>
        <w:rPr>
          <w:lang w:eastAsia="cs-CZ"/>
        </w:rPr>
      </w:pPr>
    </w:p>
    <w:p w14:paraId="02469877" w14:textId="0A56F558" w:rsidR="00242A70" w:rsidRDefault="009F29F7" w:rsidP="001061D9">
      <w:pPr>
        <w:spacing w:before="0"/>
        <w:rPr>
          <w:lang w:eastAsia="cs-CZ"/>
        </w:rPr>
      </w:pPr>
      <w:r w:rsidRPr="0029459B">
        <w:t>Pracovníci interního auditu ÚP ČR uskutečňovali i</w:t>
      </w:r>
      <w:r w:rsidR="00A202A5" w:rsidRPr="0029459B">
        <w:t>nterní audity</w:t>
      </w:r>
      <w:r w:rsidR="00AD4878" w:rsidRPr="0029459B">
        <w:t xml:space="preserve"> </w:t>
      </w:r>
      <w:r w:rsidR="00A202A5" w:rsidRPr="0029459B">
        <w:t xml:space="preserve">týkající se zaměstnávání OZP na krajských pobočkách </w:t>
      </w:r>
      <w:r w:rsidR="00F724F7" w:rsidRPr="0029459B">
        <w:t xml:space="preserve">ÚP ČR </w:t>
      </w:r>
      <w:r w:rsidR="00A202A5" w:rsidRPr="0029459B">
        <w:t xml:space="preserve">a jejich vybraných kontaktních pracovištích. </w:t>
      </w:r>
      <w:r w:rsidR="00DB7B8D" w:rsidRPr="0029459B">
        <w:t>Interní audity prověřovaly</w:t>
      </w:r>
      <w:r w:rsidR="00A202A5" w:rsidRPr="0029459B">
        <w:t xml:space="preserve"> plnění závazných pravidel pro příspěvek dle </w:t>
      </w:r>
      <w:r w:rsidR="00DA337E" w:rsidRPr="0029459B">
        <w:t xml:space="preserve">ustanovení </w:t>
      </w:r>
      <w:r w:rsidR="00A202A5" w:rsidRPr="0029459B">
        <w:t xml:space="preserve">§ 78 a plnění závazných pravidel pro uplatňování chráněných pracovních míst. </w:t>
      </w:r>
      <w:r w:rsidR="00242A70" w:rsidRPr="0029459B">
        <w:rPr>
          <w:lang w:eastAsia="cs-CZ"/>
        </w:rPr>
        <w:t xml:space="preserve">Kontrolou </w:t>
      </w:r>
      <w:r w:rsidR="00DB7B8D" w:rsidRPr="0029459B">
        <w:rPr>
          <w:lang w:eastAsia="cs-CZ"/>
        </w:rPr>
        <w:t xml:space="preserve">NKÚ </w:t>
      </w:r>
      <w:r w:rsidR="00242A70" w:rsidRPr="0029459B">
        <w:rPr>
          <w:lang w:eastAsia="cs-CZ"/>
        </w:rPr>
        <w:t xml:space="preserve">bylo zjištěno, </w:t>
      </w:r>
      <w:r w:rsidR="00AC637B" w:rsidRPr="0029459B">
        <w:rPr>
          <w:lang w:eastAsia="cs-CZ"/>
        </w:rPr>
        <w:t xml:space="preserve">že v průběhu let 2012 až 2015 </w:t>
      </w:r>
      <w:r w:rsidR="009349DC" w:rsidRPr="0029459B">
        <w:rPr>
          <w:lang w:eastAsia="cs-CZ"/>
        </w:rPr>
        <w:t xml:space="preserve">byly interní audity ÚP ČR v oblasti zaměstnávání OZP </w:t>
      </w:r>
      <w:r w:rsidR="009349DC" w:rsidRPr="0029459B">
        <w:rPr>
          <w:lang w:eastAsia="cs-CZ"/>
        </w:rPr>
        <w:lastRenderedPageBreak/>
        <w:t xml:space="preserve">uskutečněny </w:t>
      </w:r>
      <w:r w:rsidR="00AC637B" w:rsidRPr="0029459B">
        <w:rPr>
          <w:lang w:eastAsia="cs-CZ"/>
        </w:rPr>
        <w:t>pouze</w:t>
      </w:r>
      <w:r w:rsidR="009349DC" w:rsidRPr="0029459B">
        <w:rPr>
          <w:lang w:eastAsia="cs-CZ"/>
        </w:rPr>
        <w:t xml:space="preserve"> u</w:t>
      </w:r>
      <w:r w:rsidR="00AC637B" w:rsidRPr="0029459B">
        <w:rPr>
          <w:lang w:eastAsia="cs-CZ"/>
        </w:rPr>
        <w:t xml:space="preserve"> 11 ze</w:t>
      </w:r>
      <w:r w:rsidR="00242A70" w:rsidRPr="0029459B">
        <w:rPr>
          <w:lang w:eastAsia="cs-CZ"/>
        </w:rPr>
        <w:t xml:space="preserve"> 14</w:t>
      </w:r>
      <w:r w:rsidR="00DA337E" w:rsidRPr="0029459B">
        <w:rPr>
          <w:lang w:eastAsia="cs-CZ"/>
        </w:rPr>
        <w:t> </w:t>
      </w:r>
      <w:r w:rsidR="00242A70" w:rsidRPr="0029459B">
        <w:rPr>
          <w:lang w:eastAsia="cs-CZ"/>
        </w:rPr>
        <w:t>krajských poboček ÚP ČR. Nebyl</w:t>
      </w:r>
      <w:r w:rsidR="007533EB">
        <w:rPr>
          <w:lang w:eastAsia="cs-CZ"/>
        </w:rPr>
        <w:t>y</w:t>
      </w:r>
      <w:r w:rsidR="00242A70" w:rsidRPr="0029459B">
        <w:rPr>
          <w:lang w:eastAsia="cs-CZ"/>
        </w:rPr>
        <w:t xml:space="preserve"> zkontrolován</w:t>
      </w:r>
      <w:r w:rsidR="007B50C8">
        <w:rPr>
          <w:lang w:eastAsia="cs-CZ"/>
        </w:rPr>
        <w:t>y</w:t>
      </w:r>
      <w:r w:rsidR="00242A70" w:rsidRPr="0029459B">
        <w:rPr>
          <w:lang w:eastAsia="cs-CZ"/>
        </w:rPr>
        <w:t xml:space="preserve"> krajsk</w:t>
      </w:r>
      <w:r w:rsidR="007B50C8">
        <w:rPr>
          <w:lang w:eastAsia="cs-CZ"/>
        </w:rPr>
        <w:t>é</w:t>
      </w:r>
      <w:r w:rsidR="00242A70" w:rsidRPr="0029459B">
        <w:rPr>
          <w:lang w:eastAsia="cs-CZ"/>
        </w:rPr>
        <w:t xml:space="preserve"> pobočk</w:t>
      </w:r>
      <w:r w:rsidR="007B50C8">
        <w:rPr>
          <w:lang w:eastAsia="cs-CZ"/>
        </w:rPr>
        <w:t>y</w:t>
      </w:r>
      <w:r w:rsidR="00242A70" w:rsidRPr="0029459B">
        <w:rPr>
          <w:lang w:eastAsia="cs-CZ"/>
        </w:rPr>
        <w:t xml:space="preserve"> pro Liberecký kraj, pro Moravskoslezský kraj a pro Zlínský kraj.</w:t>
      </w:r>
    </w:p>
    <w:p w14:paraId="684AD6B3" w14:textId="77777777" w:rsidR="001061D9" w:rsidRPr="0029459B" w:rsidRDefault="001061D9" w:rsidP="001061D9">
      <w:pPr>
        <w:spacing w:before="0"/>
        <w:rPr>
          <w:lang w:eastAsia="cs-CZ"/>
        </w:rPr>
      </w:pPr>
    </w:p>
    <w:p w14:paraId="500A099D" w14:textId="450EF9F3" w:rsidR="00DA337E" w:rsidRDefault="00C35CFF" w:rsidP="001061D9">
      <w:pPr>
        <w:spacing w:before="0"/>
      </w:pPr>
      <w:r w:rsidRPr="0029459B">
        <w:t>Krajské p</w:t>
      </w:r>
      <w:r w:rsidR="00AD4878" w:rsidRPr="0029459B">
        <w:t>obočky ÚP ČR prováděly</w:t>
      </w:r>
      <w:r w:rsidR="00C15814" w:rsidRPr="0029459B">
        <w:t xml:space="preserve"> podle zákon</w:t>
      </w:r>
      <w:r w:rsidR="007B50C8">
        <w:t>ů</w:t>
      </w:r>
      <w:r w:rsidR="00C15814" w:rsidRPr="0029459B">
        <w:t xml:space="preserve"> č. 435/2004 Sb., č. 320/2001 Sb. a</w:t>
      </w:r>
      <w:r w:rsidR="001061D9">
        <w:t> </w:t>
      </w:r>
      <w:r w:rsidR="00C15814" w:rsidRPr="0029459B">
        <w:t>č.</w:t>
      </w:r>
      <w:r w:rsidR="001061D9">
        <w:t> </w:t>
      </w:r>
      <w:r w:rsidR="00C15814" w:rsidRPr="0029459B">
        <w:t>255/2012 Sb.</w:t>
      </w:r>
      <w:r w:rsidR="00C15814" w:rsidRPr="0029459B">
        <w:rPr>
          <w:rStyle w:val="Znakapoznpodarou"/>
        </w:rPr>
        <w:footnoteReference w:id="16"/>
      </w:r>
      <w:r w:rsidR="00C15814" w:rsidRPr="0029459B">
        <w:t xml:space="preserve"> </w:t>
      </w:r>
      <w:r w:rsidR="00AD4878" w:rsidRPr="0029459B">
        <w:t>kontrolní činnost na základě plánu kontrolní činnosti a dle typu kontroly, tj. veřejnosprávní kontroly předběžné, průběžné a následné. Předběž</w:t>
      </w:r>
      <w:r w:rsidR="00DA337E" w:rsidRPr="0029459B">
        <w:t>né a </w:t>
      </w:r>
      <w:r w:rsidR="00AD4878" w:rsidRPr="0029459B">
        <w:t xml:space="preserve">průběžné kontroly byly prováděny věcnými útvary a následné kontroly byly prováděny v rámci kontrolních oddělení jednotlivých poboček ÚP ČR. Předmětem kontrol bylo mj. čerpání příspěvku na zřízení CHPM, čerpání příspěvku na částečnou úhradu provozních nákladů, čerpání příspěvku podle </w:t>
      </w:r>
      <w:r w:rsidR="009978FF" w:rsidRPr="0029459B">
        <w:t xml:space="preserve">ustanovení </w:t>
      </w:r>
      <w:r w:rsidR="00AD4878" w:rsidRPr="0029459B">
        <w:t>§ 78 a na plnění po</w:t>
      </w:r>
      <w:r w:rsidR="00DA337E" w:rsidRPr="0029459B">
        <w:t>dmínek stanovených v dohodách a </w:t>
      </w:r>
      <w:r w:rsidR="00AD4878" w:rsidRPr="0029459B">
        <w:t>rozhodnutích uzavřených mezi ÚP ČR a příjemci.</w:t>
      </w:r>
    </w:p>
    <w:p w14:paraId="2A55405B" w14:textId="77777777" w:rsidR="001061D9" w:rsidRDefault="001061D9" w:rsidP="001061D9">
      <w:pPr>
        <w:spacing w:before="0"/>
      </w:pPr>
    </w:p>
    <w:p w14:paraId="2C1FA474" w14:textId="2674AC06" w:rsidR="00AD4878" w:rsidRPr="0029459B" w:rsidRDefault="001061D9" w:rsidP="001061D9">
      <w:pPr>
        <w:pStyle w:val="Nzevtabulky"/>
        <w:numPr>
          <w:ilvl w:val="0"/>
          <w:numId w:val="0"/>
        </w:numPr>
        <w:spacing w:before="0"/>
        <w:ind w:left="1418" w:hanging="1418"/>
        <w:rPr>
          <w:lang w:eastAsia="cs-CZ"/>
        </w:rPr>
      </w:pPr>
      <w:r w:rsidRPr="00927D14">
        <w:rPr>
          <w:b/>
        </w:rPr>
        <w:t>Tabulka č. 5</w:t>
      </w:r>
      <w:r w:rsidR="001F2FDE">
        <w:t xml:space="preserve"> </w:t>
      </w:r>
      <w:r w:rsidR="001F2FDE">
        <w:rPr>
          <w:b/>
        </w:rPr>
        <w:t>–</w:t>
      </w:r>
      <w:r>
        <w:tab/>
      </w:r>
      <w:r w:rsidR="00AD4878" w:rsidRPr="00927D14">
        <w:rPr>
          <w:b/>
        </w:rPr>
        <w:t>Přehled veřejnosprávních kontrol provedený</w:t>
      </w:r>
      <w:r w:rsidRPr="00927D14">
        <w:rPr>
          <w:b/>
        </w:rPr>
        <w:t>ch všemi krajskými pobočkami ÚP </w:t>
      </w:r>
      <w:r w:rsidR="00AD4878" w:rsidRPr="00927D14">
        <w:rPr>
          <w:b/>
        </w:rPr>
        <w:t>ČR dle zákona č. 320/2001 Sb.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910"/>
        <w:gridCol w:w="4772"/>
        <w:gridCol w:w="847"/>
        <w:gridCol w:w="848"/>
        <w:gridCol w:w="847"/>
        <w:gridCol w:w="848"/>
      </w:tblGrid>
      <w:tr w:rsidR="00AD4878" w:rsidRPr="00CB5C79" w14:paraId="3C85F830" w14:textId="77777777" w:rsidTr="00CB5C79">
        <w:trPr>
          <w:trHeight w:val="227"/>
        </w:trPr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6E7"/>
          </w:tcPr>
          <w:p w14:paraId="54F4B681" w14:textId="77777777" w:rsidR="00AD4878" w:rsidRPr="00CB5C79" w:rsidRDefault="00AD4878" w:rsidP="0049097D">
            <w:pPr>
              <w:spacing w:before="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4B0A4DD3" w14:textId="77777777" w:rsidR="00AD4878" w:rsidRPr="00CB5C79" w:rsidRDefault="00AD4878" w:rsidP="00CB5C79">
            <w:pPr>
              <w:spacing w:befor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5C79">
              <w:rPr>
                <w:rFonts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6558851F" w14:textId="77777777" w:rsidR="00AD4878" w:rsidRPr="00CB5C79" w:rsidRDefault="00AD4878" w:rsidP="00CB5C79">
            <w:pPr>
              <w:spacing w:befor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5C79">
              <w:rPr>
                <w:rFonts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DD6E7"/>
            <w:vAlign w:val="center"/>
          </w:tcPr>
          <w:p w14:paraId="0FF7DE91" w14:textId="77777777" w:rsidR="00AD4878" w:rsidRPr="00CB5C79" w:rsidRDefault="00AD4878" w:rsidP="00CB5C79">
            <w:pPr>
              <w:spacing w:befor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5C79">
              <w:rPr>
                <w:rFonts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DD6E7"/>
            <w:vAlign w:val="center"/>
          </w:tcPr>
          <w:p w14:paraId="33220E29" w14:textId="77777777" w:rsidR="00AD4878" w:rsidRPr="00CB5C79" w:rsidRDefault="00AD4878" w:rsidP="00CB5C79">
            <w:pPr>
              <w:spacing w:befor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CB5C79">
              <w:rPr>
                <w:rFonts w:cs="Times New Roman"/>
                <w:b/>
                <w:sz w:val="20"/>
                <w:szCs w:val="20"/>
              </w:rPr>
              <w:t>2015</w:t>
            </w:r>
          </w:p>
        </w:tc>
      </w:tr>
      <w:tr w:rsidR="00AD4878" w:rsidRPr="00CB5C79" w14:paraId="6D8DD3C1" w14:textId="77777777" w:rsidTr="00CB5C79">
        <w:trPr>
          <w:trHeight w:val="227"/>
        </w:trPr>
        <w:tc>
          <w:tcPr>
            <w:tcW w:w="56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F133D" w14:textId="1E0A2CB2" w:rsidR="00AD4878" w:rsidRPr="00CB5C79" w:rsidRDefault="00F415DB" w:rsidP="00F415DB">
            <w:pPr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Celkový p</w:t>
            </w:r>
            <w:r w:rsidR="00AD4878" w:rsidRPr="00CB5C79">
              <w:rPr>
                <w:rFonts w:cs="Times New Roman"/>
                <w:sz w:val="20"/>
                <w:szCs w:val="20"/>
              </w:rPr>
              <w:t>očet veřejnosprávních kontrol provedených u příjemců veřejné finanční podpory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DE20824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13 491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35F2605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16 675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4425899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13 867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4DA3B2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17 391</w:t>
            </w:r>
          </w:p>
        </w:tc>
      </w:tr>
      <w:tr w:rsidR="00AD4878" w:rsidRPr="00CB5C79" w14:paraId="61C2406C" w14:textId="77777777" w:rsidTr="00CB5C79">
        <w:trPr>
          <w:trHeight w:val="227"/>
        </w:trPr>
        <w:tc>
          <w:tcPr>
            <w:tcW w:w="851" w:type="dxa"/>
            <w:vMerge w:val="restart"/>
            <w:tcBorders>
              <w:left w:val="single" w:sz="12" w:space="0" w:color="auto"/>
            </w:tcBorders>
            <w:vAlign w:val="center"/>
          </w:tcPr>
          <w:p w14:paraId="7501891F" w14:textId="15104203" w:rsidR="00AD4878" w:rsidRPr="00CB5C79" w:rsidRDefault="00AD4878" w:rsidP="00CB5C79">
            <w:pPr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 xml:space="preserve">Kontroly týkající se </w:t>
            </w:r>
            <w:r w:rsidR="00295716" w:rsidRPr="00CB5C79">
              <w:rPr>
                <w:rFonts w:cs="Times New Roman"/>
                <w:sz w:val="20"/>
                <w:szCs w:val="20"/>
              </w:rPr>
              <w:t>C</w:t>
            </w:r>
            <w:r w:rsidRPr="00CB5C79">
              <w:rPr>
                <w:rFonts w:cs="Times New Roman"/>
                <w:sz w:val="20"/>
                <w:szCs w:val="20"/>
              </w:rPr>
              <w:t>HPM</w:t>
            </w: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56F66DC3" w14:textId="77777777" w:rsidR="00AD4878" w:rsidRPr="00CB5C79" w:rsidRDefault="00AD4878" w:rsidP="00CB5C79">
            <w:pPr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Počet kontrol provedených u příspěvku na zřízení CHPM a příspěvku na částečnou úhradu provozních nákladů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46DDA349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1 082</w:t>
            </w:r>
          </w:p>
        </w:tc>
        <w:tc>
          <w:tcPr>
            <w:tcW w:w="851" w:type="dxa"/>
            <w:vAlign w:val="center"/>
          </w:tcPr>
          <w:p w14:paraId="3FCE125E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622</w:t>
            </w:r>
          </w:p>
        </w:tc>
        <w:tc>
          <w:tcPr>
            <w:tcW w:w="850" w:type="dxa"/>
            <w:vAlign w:val="center"/>
          </w:tcPr>
          <w:p w14:paraId="5FA37ABC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1DA86F4B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928</w:t>
            </w:r>
          </w:p>
        </w:tc>
      </w:tr>
      <w:tr w:rsidR="00AD4878" w:rsidRPr="00CB5C79" w14:paraId="6F34F155" w14:textId="77777777" w:rsidTr="00CB5C79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742E6791" w14:textId="77777777" w:rsidR="00AD4878" w:rsidRPr="00CB5C79" w:rsidRDefault="00AD4878" w:rsidP="00CB5C79">
            <w:pPr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33481AF1" w14:textId="4A13917C" w:rsidR="00AD4878" w:rsidRPr="00CB5C79" w:rsidRDefault="00AD4878" w:rsidP="00CB5C79">
            <w:pPr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 xml:space="preserve">Počet kontrol provedených u příspěvku podle </w:t>
            </w:r>
            <w:r w:rsidR="00295716" w:rsidRPr="00CB5C79">
              <w:rPr>
                <w:rFonts w:cs="Times New Roman"/>
                <w:sz w:val="20"/>
                <w:szCs w:val="20"/>
              </w:rPr>
              <w:t xml:space="preserve">ustanovení </w:t>
            </w:r>
            <w:r w:rsidRPr="00CB5C79">
              <w:rPr>
                <w:rFonts w:cs="Times New Roman"/>
                <w:sz w:val="20"/>
                <w:szCs w:val="20"/>
              </w:rPr>
              <w:t>§ 78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703E4D5D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2 431</w:t>
            </w:r>
          </w:p>
        </w:tc>
        <w:tc>
          <w:tcPr>
            <w:tcW w:w="851" w:type="dxa"/>
            <w:vAlign w:val="center"/>
          </w:tcPr>
          <w:p w14:paraId="212AE35F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2 209</w:t>
            </w:r>
          </w:p>
        </w:tc>
        <w:tc>
          <w:tcPr>
            <w:tcW w:w="850" w:type="dxa"/>
            <w:vAlign w:val="center"/>
          </w:tcPr>
          <w:p w14:paraId="05616D49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1 702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5AA3EB9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1 200</w:t>
            </w:r>
          </w:p>
        </w:tc>
      </w:tr>
      <w:tr w:rsidR="00AD4878" w:rsidRPr="00CB5C79" w14:paraId="6E2A8EA0" w14:textId="77777777" w:rsidTr="00CB5C79">
        <w:trPr>
          <w:trHeight w:val="227"/>
        </w:trPr>
        <w:tc>
          <w:tcPr>
            <w:tcW w:w="851" w:type="dxa"/>
            <w:vMerge/>
            <w:tcBorders>
              <w:left w:val="single" w:sz="12" w:space="0" w:color="auto"/>
            </w:tcBorders>
            <w:vAlign w:val="center"/>
          </w:tcPr>
          <w:p w14:paraId="5D1B3793" w14:textId="77777777" w:rsidR="00AD4878" w:rsidRPr="00CB5C79" w:rsidRDefault="00AD4878" w:rsidP="00CB5C79">
            <w:pPr>
              <w:spacing w:befor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right w:val="single" w:sz="12" w:space="0" w:color="auto"/>
            </w:tcBorders>
            <w:vAlign w:val="center"/>
          </w:tcPr>
          <w:p w14:paraId="782FD93E" w14:textId="77777777" w:rsidR="00AD4878" w:rsidRPr="00CB5C79" w:rsidRDefault="00AD4878" w:rsidP="00CB5C79">
            <w:pPr>
              <w:spacing w:before="0"/>
              <w:jc w:val="left"/>
              <w:rPr>
                <w:rFonts w:cs="Times New Roman"/>
                <w:b/>
                <w:sz w:val="20"/>
                <w:szCs w:val="20"/>
              </w:rPr>
            </w:pPr>
            <w:r w:rsidRPr="00CB5C79">
              <w:rPr>
                <w:rFonts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14:paraId="5EAE0D5E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5C79">
              <w:rPr>
                <w:rFonts w:cs="Times New Roman"/>
                <w:b/>
                <w:sz w:val="20"/>
                <w:szCs w:val="20"/>
              </w:rPr>
              <w:t>3 513</w:t>
            </w:r>
          </w:p>
        </w:tc>
        <w:tc>
          <w:tcPr>
            <w:tcW w:w="851" w:type="dxa"/>
            <w:vAlign w:val="center"/>
          </w:tcPr>
          <w:p w14:paraId="5643B413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5C79">
              <w:rPr>
                <w:rFonts w:cs="Times New Roman"/>
                <w:b/>
                <w:sz w:val="20"/>
                <w:szCs w:val="20"/>
              </w:rPr>
              <w:t>2 831</w:t>
            </w:r>
          </w:p>
        </w:tc>
        <w:tc>
          <w:tcPr>
            <w:tcW w:w="850" w:type="dxa"/>
            <w:vAlign w:val="center"/>
          </w:tcPr>
          <w:p w14:paraId="7E603070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5C79">
              <w:rPr>
                <w:rFonts w:cs="Times New Roman"/>
                <w:b/>
                <w:sz w:val="20"/>
                <w:szCs w:val="20"/>
              </w:rPr>
              <w:t>2 102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4B2F3C56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CB5C79">
              <w:rPr>
                <w:rFonts w:cs="Times New Roman"/>
                <w:b/>
                <w:sz w:val="20"/>
                <w:szCs w:val="20"/>
              </w:rPr>
              <w:t>2 128</w:t>
            </w:r>
          </w:p>
        </w:tc>
      </w:tr>
      <w:tr w:rsidR="00AD4878" w:rsidRPr="00CB5C79" w14:paraId="089056EF" w14:textId="77777777" w:rsidTr="00CB5C79">
        <w:trPr>
          <w:trHeight w:val="227"/>
        </w:trPr>
        <w:tc>
          <w:tcPr>
            <w:tcW w:w="56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E72BA" w14:textId="77777777" w:rsidR="00AD4878" w:rsidRPr="00CB5C79" w:rsidRDefault="00AD4878" w:rsidP="00CB5C79">
            <w:pPr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Podíl kontrol týkajících se CHPM na celkovém počtu veřejnosprávních kontrol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C744B45" w14:textId="77777777" w:rsidR="00AD4878" w:rsidRPr="00CB5C79" w:rsidRDefault="00AD4878" w:rsidP="00CB5C79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26 %</w:t>
            </w:r>
          </w:p>
        </w:tc>
        <w:tc>
          <w:tcPr>
            <w:tcW w:w="851" w:type="dxa"/>
            <w:vAlign w:val="center"/>
          </w:tcPr>
          <w:p w14:paraId="24788018" w14:textId="77777777" w:rsidR="00AD4878" w:rsidRPr="00CB5C79" w:rsidRDefault="00AD4878" w:rsidP="00CB5C79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17 %</w:t>
            </w:r>
          </w:p>
        </w:tc>
        <w:tc>
          <w:tcPr>
            <w:tcW w:w="850" w:type="dxa"/>
            <w:vAlign w:val="center"/>
          </w:tcPr>
          <w:p w14:paraId="3DD6CD05" w14:textId="77777777" w:rsidR="00AD4878" w:rsidRPr="00CB5C79" w:rsidRDefault="00AD4878" w:rsidP="00CB5C79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15 %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4840A69" w14:textId="797A8A3A" w:rsidR="00AD4878" w:rsidRPr="00CB5C79" w:rsidRDefault="00AD4878" w:rsidP="00CB5C79">
            <w:pPr>
              <w:spacing w:before="0"/>
              <w:jc w:val="center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12 %</w:t>
            </w:r>
          </w:p>
        </w:tc>
      </w:tr>
      <w:tr w:rsidR="00AD4878" w:rsidRPr="00CB5C79" w14:paraId="25CB3FB9" w14:textId="77777777" w:rsidTr="00CB5C79">
        <w:trPr>
          <w:trHeight w:val="227"/>
        </w:trPr>
        <w:tc>
          <w:tcPr>
            <w:tcW w:w="56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3BACF" w14:textId="77777777" w:rsidR="00AD4878" w:rsidRPr="00CB5C79" w:rsidRDefault="00AD4878" w:rsidP="00CB5C79">
            <w:pPr>
              <w:spacing w:before="0"/>
              <w:jc w:val="lef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Počet porušení v souvislosti s podporou zaměstnávání OZP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026294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267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738C9743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7393DAD3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3EC9AA" w14:textId="77777777" w:rsidR="00AD4878" w:rsidRPr="00CB5C79" w:rsidRDefault="00AD4878" w:rsidP="00CB5C79">
            <w:pPr>
              <w:spacing w:before="0"/>
              <w:jc w:val="right"/>
              <w:rPr>
                <w:rFonts w:cs="Times New Roman"/>
                <w:sz w:val="20"/>
                <w:szCs w:val="20"/>
              </w:rPr>
            </w:pPr>
            <w:r w:rsidRPr="00CB5C79">
              <w:rPr>
                <w:rFonts w:cs="Times New Roman"/>
                <w:sz w:val="20"/>
                <w:szCs w:val="20"/>
              </w:rPr>
              <w:t>195</w:t>
            </w:r>
          </w:p>
        </w:tc>
      </w:tr>
    </w:tbl>
    <w:p w14:paraId="01586232" w14:textId="76F04018" w:rsidR="00AD4878" w:rsidRPr="00927D14" w:rsidRDefault="00AD4878" w:rsidP="00CB5C79">
      <w:pPr>
        <w:spacing w:before="40"/>
        <w:ind w:left="539" w:hanging="539"/>
        <w:rPr>
          <w:rFonts w:cs="Times New Roman"/>
          <w:sz w:val="20"/>
          <w:szCs w:val="20"/>
          <w:lang w:eastAsia="cs-CZ"/>
        </w:rPr>
      </w:pPr>
      <w:r w:rsidRPr="00927D14">
        <w:rPr>
          <w:rFonts w:cs="Times New Roman"/>
          <w:b/>
          <w:sz w:val="20"/>
          <w:szCs w:val="20"/>
          <w:lang w:eastAsia="cs-CZ"/>
        </w:rPr>
        <w:t>Zdroj:</w:t>
      </w:r>
      <w:r w:rsidRPr="00927D14">
        <w:rPr>
          <w:rFonts w:cs="Times New Roman"/>
          <w:sz w:val="20"/>
          <w:szCs w:val="20"/>
          <w:lang w:eastAsia="cs-CZ"/>
        </w:rPr>
        <w:t xml:space="preserve"> </w:t>
      </w:r>
      <w:r w:rsidR="001F2FDE">
        <w:rPr>
          <w:rFonts w:cs="Times New Roman"/>
          <w:sz w:val="20"/>
          <w:szCs w:val="20"/>
          <w:lang w:eastAsia="cs-CZ"/>
        </w:rPr>
        <w:t>z</w:t>
      </w:r>
      <w:r w:rsidRPr="00927D14">
        <w:rPr>
          <w:rFonts w:cs="Times New Roman"/>
          <w:sz w:val="20"/>
          <w:szCs w:val="20"/>
          <w:lang w:eastAsia="cs-CZ"/>
        </w:rPr>
        <w:t>právy o činnosti ÚP ČR za rok</w:t>
      </w:r>
      <w:r w:rsidR="001F2FDE">
        <w:rPr>
          <w:rFonts w:cs="Times New Roman"/>
          <w:sz w:val="20"/>
          <w:szCs w:val="20"/>
          <w:lang w:eastAsia="cs-CZ"/>
        </w:rPr>
        <w:t>y</w:t>
      </w:r>
      <w:r w:rsidRPr="00927D14">
        <w:rPr>
          <w:rFonts w:cs="Times New Roman"/>
          <w:sz w:val="20"/>
          <w:szCs w:val="20"/>
          <w:lang w:eastAsia="cs-CZ"/>
        </w:rPr>
        <w:t xml:space="preserve"> 2014 a 2015, </w:t>
      </w:r>
      <w:r w:rsidR="001F2FDE">
        <w:rPr>
          <w:rFonts w:cs="Times New Roman"/>
          <w:sz w:val="20"/>
          <w:szCs w:val="20"/>
          <w:lang w:eastAsia="cs-CZ"/>
        </w:rPr>
        <w:t>z</w:t>
      </w:r>
      <w:r w:rsidRPr="00927D14">
        <w:rPr>
          <w:rFonts w:cs="Times New Roman"/>
          <w:sz w:val="20"/>
          <w:szCs w:val="20"/>
          <w:lang w:eastAsia="cs-CZ"/>
        </w:rPr>
        <w:t xml:space="preserve">práva o kontrolní činnosti ÚP ČR realizované v roce 2013, </w:t>
      </w:r>
      <w:r w:rsidR="001F2FDE">
        <w:rPr>
          <w:rFonts w:cs="Times New Roman"/>
          <w:sz w:val="20"/>
          <w:szCs w:val="20"/>
          <w:lang w:eastAsia="cs-CZ"/>
        </w:rPr>
        <w:t>p</w:t>
      </w:r>
      <w:r w:rsidRPr="00927D14">
        <w:rPr>
          <w:rFonts w:cs="Times New Roman"/>
          <w:sz w:val="20"/>
          <w:szCs w:val="20"/>
          <w:lang w:eastAsia="cs-CZ"/>
        </w:rPr>
        <w:t>řehledy o počtech veřejnosprávních kontrol v roce 2012</w:t>
      </w:r>
      <w:r w:rsidR="00067C68" w:rsidRPr="00927D14">
        <w:rPr>
          <w:rFonts w:cs="Times New Roman"/>
          <w:sz w:val="20"/>
          <w:szCs w:val="20"/>
          <w:lang w:eastAsia="cs-CZ"/>
        </w:rPr>
        <w:t>.</w:t>
      </w:r>
    </w:p>
    <w:p w14:paraId="6AB93A78" w14:textId="77777777" w:rsidR="00CB5C79" w:rsidRDefault="00CB5C79" w:rsidP="00CB5C79">
      <w:pPr>
        <w:spacing w:before="0"/>
        <w:rPr>
          <w:lang w:eastAsia="cs-CZ"/>
        </w:rPr>
      </w:pPr>
    </w:p>
    <w:p w14:paraId="1D65C4AA" w14:textId="31E37CA0" w:rsidR="00BD6E47" w:rsidRPr="00CB5C79" w:rsidRDefault="00CB5C79" w:rsidP="00CB5C79">
      <w:pPr>
        <w:spacing w:before="0"/>
        <w:rPr>
          <w:b/>
          <w:lang w:eastAsia="cs-CZ"/>
        </w:rPr>
      </w:pPr>
      <w:r>
        <w:rPr>
          <w:b/>
          <w:lang w:eastAsia="cs-CZ"/>
        </w:rPr>
        <w:t xml:space="preserve">5. </w:t>
      </w:r>
      <w:r w:rsidR="00A650B9" w:rsidRPr="00CB5C79">
        <w:rPr>
          <w:b/>
          <w:lang w:eastAsia="cs-CZ"/>
        </w:rPr>
        <w:t>Plnění nápravných opatření z kontrolní akce č. 10/03</w:t>
      </w:r>
      <w:r w:rsidR="00BD6E47" w:rsidRPr="00CB5C79">
        <w:rPr>
          <w:b/>
          <w:lang w:eastAsia="cs-CZ"/>
        </w:rPr>
        <w:t xml:space="preserve"> </w:t>
      </w:r>
    </w:p>
    <w:p w14:paraId="5F05052D" w14:textId="77777777" w:rsidR="00CB5C79" w:rsidRDefault="00CB5C79" w:rsidP="00CB5C79">
      <w:pPr>
        <w:spacing w:before="0"/>
      </w:pPr>
    </w:p>
    <w:p w14:paraId="68702207" w14:textId="247D44BE" w:rsidR="001A321F" w:rsidRDefault="001A321F" w:rsidP="00CB5C79">
      <w:pPr>
        <w:spacing w:before="0"/>
      </w:pPr>
      <w:r w:rsidRPr="0029459B">
        <w:t>V roce 2010 byla provedena kontrola NKÚ č. 10/03</w:t>
      </w:r>
      <w:r w:rsidR="00A616AD">
        <w:t xml:space="preserve"> –</w:t>
      </w:r>
      <w:r w:rsidRPr="0029459B">
        <w:t xml:space="preserve"> </w:t>
      </w:r>
      <w:r w:rsidRPr="00927D14">
        <w:rPr>
          <w:i/>
        </w:rPr>
        <w:t>Peněžní prostředky státu určené na podporu a integraci občanů se zdravotním postižením</w:t>
      </w:r>
      <w:r w:rsidRPr="0029459B">
        <w:t xml:space="preserve">, po jejímž dokončení předložilo MPSV dne 4. 1. 2012 vládě ČR informaci o </w:t>
      </w:r>
      <w:r w:rsidR="006F2CE3">
        <w:t>o</w:t>
      </w:r>
      <w:r w:rsidRPr="0029459B">
        <w:t xml:space="preserve">patřeních </w:t>
      </w:r>
      <w:r w:rsidR="006F2CE3">
        <w:t xml:space="preserve">přijatých za účelem </w:t>
      </w:r>
      <w:r w:rsidRPr="0029459B">
        <w:t>odstranění zjištěných nedostatků. Kontrolou NKÚ bylo zjištěno, že z osmi přijatých opatření nebyla splněna dvě opatření, a to:</w:t>
      </w:r>
    </w:p>
    <w:p w14:paraId="7A79513E" w14:textId="74C2F5DA" w:rsidR="000E2FFB" w:rsidRPr="0029459B" w:rsidRDefault="00A616AD" w:rsidP="00CB5C79">
      <w:pPr>
        <w:pStyle w:val="Odstavecseseznamem"/>
        <w:numPr>
          <w:ilvl w:val="0"/>
          <w:numId w:val="5"/>
        </w:numPr>
        <w:spacing w:before="0"/>
        <w:ind w:left="284" w:hanging="284"/>
        <w:contextualSpacing w:val="0"/>
      </w:pPr>
      <w:r>
        <w:t>o</w:t>
      </w:r>
      <w:r w:rsidR="000E2FFB" w:rsidRPr="0029459B">
        <w:t>patření</w:t>
      </w:r>
      <w:r w:rsidR="006F2CE3">
        <w:t xml:space="preserve"> MPSV</w:t>
      </w:r>
      <w:r w:rsidR="000E2FFB" w:rsidRPr="0029459B">
        <w:t xml:space="preserve">: </w:t>
      </w:r>
      <w:r w:rsidR="000E2FFB" w:rsidRPr="002C6273">
        <w:t>„</w:t>
      </w:r>
      <w:r w:rsidR="000E2FFB" w:rsidRPr="0029459B">
        <w:rPr>
          <w:i/>
        </w:rPr>
        <w:t>Požadavek</w:t>
      </w:r>
      <w:r w:rsidR="000E2FFB" w:rsidRPr="0029459B">
        <w:rPr>
          <w:rStyle w:val="Znakapoznpodarou"/>
          <w:i/>
        </w:rPr>
        <w:footnoteReference w:id="17"/>
      </w:r>
      <w:r w:rsidR="000E2FFB" w:rsidRPr="0029459B">
        <w:rPr>
          <w:i/>
        </w:rPr>
        <w:t xml:space="preserve"> bude naplněn realizací projektu</w:t>
      </w:r>
      <w:r w:rsidR="00035970" w:rsidRPr="0029459B">
        <w:rPr>
          <w:i/>
        </w:rPr>
        <w:t>.</w:t>
      </w:r>
      <w:r w:rsidR="000E2FFB" w:rsidRPr="002C6273">
        <w:t>“</w:t>
      </w:r>
    </w:p>
    <w:p w14:paraId="32706B96" w14:textId="12F04023" w:rsidR="001A321F" w:rsidRDefault="001A321F" w:rsidP="00CB5C79">
      <w:pPr>
        <w:pStyle w:val="Odstavecseseznamem"/>
        <w:numPr>
          <w:ilvl w:val="0"/>
          <w:numId w:val="0"/>
        </w:numPr>
        <w:spacing w:before="0"/>
        <w:ind w:left="284"/>
        <w:contextualSpacing w:val="0"/>
      </w:pPr>
      <w:r w:rsidRPr="0029459B">
        <w:t>Chybějící přesný počet OZP v ČR, přesné údaje o zaměstnaných OZP, zaměstnanosti OZP a</w:t>
      </w:r>
      <w:r w:rsidR="00A616AD">
        <w:t> </w:t>
      </w:r>
      <w:r w:rsidRPr="0029459B">
        <w:t>zjištění, že MPSV u zákonných nástrojů nestanovilo žádné konkrétní a měřitelné cíle, jichž by mělo být v oblasti zaměstnávání OZP dosaženo</w:t>
      </w:r>
      <w:r w:rsidR="00035970" w:rsidRPr="0029459B">
        <w:t>, nadále trvá</w:t>
      </w:r>
      <w:r w:rsidRPr="0029459B">
        <w:t>;</w:t>
      </w:r>
    </w:p>
    <w:p w14:paraId="4823A8F8" w14:textId="765E9B50" w:rsidR="00035970" w:rsidRPr="0029459B" w:rsidRDefault="00F415DB" w:rsidP="00CB5C79">
      <w:pPr>
        <w:pStyle w:val="Odstavecseseznamem"/>
        <w:numPr>
          <w:ilvl w:val="0"/>
          <w:numId w:val="5"/>
        </w:numPr>
        <w:spacing w:before="0"/>
        <w:ind w:left="284" w:hanging="284"/>
        <w:contextualSpacing w:val="0"/>
      </w:pPr>
      <w:r>
        <w:t>o</w:t>
      </w:r>
      <w:r w:rsidR="00035970" w:rsidRPr="0029459B">
        <w:t>patření</w:t>
      </w:r>
      <w:r w:rsidR="006F2CE3">
        <w:t xml:space="preserve"> MPSV</w:t>
      </w:r>
      <w:r w:rsidR="00035970" w:rsidRPr="0029459B">
        <w:t xml:space="preserve">: </w:t>
      </w:r>
      <w:r w:rsidR="00035970" w:rsidRPr="00955D11">
        <w:t>„</w:t>
      </w:r>
      <w:r w:rsidR="00035970" w:rsidRPr="0029459B">
        <w:rPr>
          <w:i/>
        </w:rPr>
        <w:t>Úřady práce budou instruovány k provádění kontrol ve zvýšené četnosti.</w:t>
      </w:r>
      <w:r w:rsidR="00035970" w:rsidRPr="00955D11">
        <w:t>“</w:t>
      </w:r>
    </w:p>
    <w:p w14:paraId="64365CD0" w14:textId="3E2F3F07" w:rsidR="00BD6E47" w:rsidRDefault="001A321F" w:rsidP="00CB5C79">
      <w:pPr>
        <w:pStyle w:val="Odstavecseseznamem"/>
        <w:numPr>
          <w:ilvl w:val="0"/>
          <w:numId w:val="0"/>
        </w:numPr>
        <w:spacing w:before="0"/>
        <w:ind w:left="284"/>
        <w:contextualSpacing w:val="0"/>
        <w:rPr>
          <w:shd w:val="clear" w:color="auto" w:fill="FFFFFF" w:themeFill="background1"/>
        </w:rPr>
      </w:pPr>
      <w:r w:rsidRPr="0029459B">
        <w:rPr>
          <w:shd w:val="clear" w:color="auto" w:fill="FFFFFF" w:themeFill="background1"/>
        </w:rPr>
        <w:lastRenderedPageBreak/>
        <w:t xml:space="preserve">Podíl kontrolní činnosti </w:t>
      </w:r>
      <w:r w:rsidR="00035970" w:rsidRPr="0029459B">
        <w:rPr>
          <w:shd w:val="clear" w:color="auto" w:fill="FFFFFF" w:themeFill="background1"/>
        </w:rPr>
        <w:t xml:space="preserve">ÚP ČR </w:t>
      </w:r>
      <w:r w:rsidRPr="0029459B">
        <w:rPr>
          <w:shd w:val="clear" w:color="auto" w:fill="FFFFFF" w:themeFill="background1"/>
        </w:rPr>
        <w:t>týkající se zaměstnávání OZP měl v kontrolovaném období klesající tendenci. Počet kontrol klesl z 3 513 provedených v roce 2012 na 2 128 provedených v roce 2015, tj. pokles o 40 %.</w:t>
      </w:r>
    </w:p>
    <w:p w14:paraId="7547DFDC" w14:textId="77777777" w:rsidR="00CB5C79" w:rsidRDefault="00CB5C79" w:rsidP="00CB5C79">
      <w:pPr>
        <w:spacing w:before="0"/>
        <w:jc w:val="left"/>
        <w:rPr>
          <w:shd w:val="clear" w:color="auto" w:fill="FFFFFF" w:themeFill="background1"/>
        </w:rPr>
      </w:pPr>
    </w:p>
    <w:p w14:paraId="6163EA57" w14:textId="77777777" w:rsidR="00CB5C79" w:rsidRDefault="00CB5C79" w:rsidP="00CB5C79">
      <w:pPr>
        <w:spacing w:before="0"/>
        <w:jc w:val="left"/>
        <w:rPr>
          <w:shd w:val="clear" w:color="auto" w:fill="FFFFFF" w:themeFill="background1"/>
        </w:rPr>
      </w:pPr>
    </w:p>
    <w:p w14:paraId="73FBD0F3" w14:textId="77777777" w:rsidR="008C7193" w:rsidRDefault="008C7193">
      <w:pPr>
        <w:spacing w:before="0" w:after="200" w:line="276" w:lineRule="auto"/>
        <w:jc w:val="left"/>
        <w:rPr>
          <w:b/>
          <w:shd w:val="clear" w:color="auto" w:fill="FFFFFF" w:themeFill="background1"/>
          <w:lang w:eastAsia="cs-CZ"/>
        </w:rPr>
      </w:pPr>
      <w:r>
        <w:rPr>
          <w:b/>
          <w:shd w:val="clear" w:color="auto" w:fill="FFFFFF" w:themeFill="background1"/>
        </w:rPr>
        <w:br w:type="page"/>
      </w:r>
    </w:p>
    <w:p w14:paraId="5A22F93C" w14:textId="5DE34C87" w:rsidR="00004535" w:rsidRPr="00927D14" w:rsidRDefault="00004535" w:rsidP="00CB5C79">
      <w:pPr>
        <w:pStyle w:val="Odstavecseseznamem"/>
        <w:numPr>
          <w:ilvl w:val="0"/>
          <w:numId w:val="0"/>
        </w:numPr>
        <w:spacing w:before="0"/>
        <w:contextualSpacing w:val="0"/>
        <w:rPr>
          <w:b/>
          <w:shd w:val="clear" w:color="auto" w:fill="FFFFFF" w:themeFill="background1"/>
        </w:rPr>
      </w:pPr>
      <w:r w:rsidRPr="00927D14">
        <w:rPr>
          <w:b/>
          <w:shd w:val="clear" w:color="auto" w:fill="FFFFFF" w:themeFill="background1"/>
        </w:rPr>
        <w:lastRenderedPageBreak/>
        <w:t>Seznam použitých zkratek</w:t>
      </w:r>
    </w:p>
    <w:p w14:paraId="4766C994" w14:textId="77777777" w:rsidR="003933A5" w:rsidRDefault="003933A5" w:rsidP="00CB5C79">
      <w:pPr>
        <w:pStyle w:val="Odstavecseseznamem"/>
        <w:numPr>
          <w:ilvl w:val="0"/>
          <w:numId w:val="0"/>
        </w:numPr>
        <w:spacing w:before="0"/>
        <w:contextualSpacing w:val="0"/>
      </w:pPr>
    </w:p>
    <w:p w14:paraId="39659366" w14:textId="12D7C7D6" w:rsidR="003933A5" w:rsidRDefault="003933A5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APZ</w:t>
      </w:r>
      <w:r>
        <w:tab/>
      </w:r>
      <w:r w:rsidR="007B50C8">
        <w:t>a</w:t>
      </w:r>
      <w:r>
        <w:t>ktivní politika zaměstnanosti</w:t>
      </w:r>
    </w:p>
    <w:p w14:paraId="6325C314" w14:textId="5F67F066" w:rsidR="00CC183F" w:rsidRDefault="00CC183F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ČR</w:t>
      </w:r>
      <w:r>
        <w:tab/>
        <w:t>Česká republika</w:t>
      </w:r>
    </w:p>
    <w:p w14:paraId="11705661" w14:textId="3DE447AF" w:rsidR="003933A5" w:rsidRDefault="003933A5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ČSÚ</w:t>
      </w:r>
      <w:r>
        <w:tab/>
        <w:t>Český statistický úřad</w:t>
      </w:r>
    </w:p>
    <w:p w14:paraId="50D4CCDD" w14:textId="40EA3BAC" w:rsidR="003933A5" w:rsidRDefault="003933A5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CHPM</w:t>
      </w:r>
      <w:r>
        <w:tab/>
        <w:t>chráněné pracovní místo</w:t>
      </w:r>
    </w:p>
    <w:p w14:paraId="0EAB8C60" w14:textId="6634EF0D" w:rsidR="00D47303" w:rsidRDefault="00D47303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IS</w:t>
      </w:r>
      <w:r>
        <w:tab/>
        <w:t>informační systém</w:t>
      </w:r>
    </w:p>
    <w:p w14:paraId="6F2B18C5" w14:textId="27C6C083" w:rsidR="003933A5" w:rsidRDefault="003933A5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MPSV</w:t>
      </w:r>
      <w:r>
        <w:tab/>
        <w:t>Ministerstvo práce a sociálních věcí</w:t>
      </w:r>
    </w:p>
    <w:p w14:paraId="45B7252A" w14:textId="70406CF6" w:rsidR="00F4346A" w:rsidRDefault="00F4346A" w:rsidP="00F4346A">
      <w:pPr>
        <w:pStyle w:val="Odstavecseseznamem"/>
        <w:numPr>
          <w:ilvl w:val="0"/>
          <w:numId w:val="0"/>
        </w:numPr>
        <w:tabs>
          <w:tab w:val="left" w:pos="3402"/>
        </w:tabs>
        <w:ind w:left="3402" w:hanging="3402"/>
      </w:pPr>
      <w:r>
        <w:t>Národní plán 2010–2014</w:t>
      </w:r>
      <w:r>
        <w:tab/>
      </w:r>
      <w:r w:rsidRPr="00927D14">
        <w:rPr>
          <w:i/>
        </w:rPr>
        <w:t>Národní plán vytváření rovných příležitostí pro osoby se zdravotním postižením na období 2010–2014</w:t>
      </w:r>
    </w:p>
    <w:p w14:paraId="4C776EFA" w14:textId="1E1993C7" w:rsidR="003933A5" w:rsidRDefault="003933A5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NKÚ</w:t>
      </w:r>
      <w:r>
        <w:tab/>
        <w:t>Nejvyšší kontrolní úřad</w:t>
      </w:r>
    </w:p>
    <w:p w14:paraId="28DEAB73" w14:textId="3E43C668" w:rsidR="003933A5" w:rsidRDefault="003933A5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OZP</w:t>
      </w:r>
      <w:r>
        <w:tab/>
        <w:t>osoba se zdravotním postižením</w:t>
      </w:r>
    </w:p>
    <w:p w14:paraId="01642E2D" w14:textId="52F778F1" w:rsidR="003933A5" w:rsidRDefault="003933A5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OZZ</w:t>
      </w:r>
      <w:r>
        <w:tab/>
        <w:t>osoba zdravotně znevýhodněná</w:t>
      </w:r>
    </w:p>
    <w:p w14:paraId="46A151A9" w14:textId="3A70430A" w:rsidR="003933A5" w:rsidRDefault="003933A5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ÚP ČR</w:t>
      </w:r>
      <w:r>
        <w:tab/>
        <w:t>Úřad práce České republiky</w:t>
      </w:r>
    </w:p>
    <w:p w14:paraId="67BAF565" w14:textId="7B1A251F" w:rsidR="003933A5" w:rsidRDefault="003933A5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  <w:r>
        <w:t>ZZPO</w:t>
      </w:r>
      <w:r>
        <w:tab/>
      </w:r>
      <w:r w:rsidR="00694133">
        <w:t>z</w:t>
      </w:r>
      <w:r>
        <w:t>aměstnávání zdravotně postižených občanů</w:t>
      </w:r>
    </w:p>
    <w:p w14:paraId="23515088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018B3153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53EFEE4E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3696062C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34779123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6A07CCAB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4843BDF9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69DBCAFA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3006CAA3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0F98A5AF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6E18F593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4E9201C9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525B5FC0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16751987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2560FC2D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14B723AA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50DFF804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3B3A8154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4E803F1E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2902464E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574FE119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2E7B4FDA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4BB33AE2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35E6BE07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7014E8C8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6D33437B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62B0A537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2DBF1F99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182C0AA6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6CA14284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0181B559" w14:textId="77777777" w:rsidR="001F2AB9" w:rsidRDefault="001F2AB9" w:rsidP="00F4346A">
      <w:pPr>
        <w:pStyle w:val="Odstavecseseznamem"/>
        <w:numPr>
          <w:ilvl w:val="0"/>
          <w:numId w:val="0"/>
        </w:numPr>
        <w:tabs>
          <w:tab w:val="left" w:pos="3402"/>
        </w:tabs>
      </w:pPr>
    </w:p>
    <w:p w14:paraId="37A8DC21" w14:textId="77777777" w:rsidR="00F14506" w:rsidRDefault="00F14506" w:rsidP="00F4346A">
      <w:pPr>
        <w:pStyle w:val="Odstavecseseznamem"/>
        <w:numPr>
          <w:ilvl w:val="0"/>
          <w:numId w:val="0"/>
        </w:numPr>
        <w:tabs>
          <w:tab w:val="left" w:pos="3402"/>
        </w:tabs>
        <w:sectPr w:rsidR="00F14506" w:rsidSect="00A4595A">
          <w:footerReference w:type="default" r:id="rId18"/>
          <w:pgSz w:w="11906" w:h="16838" w:code="9"/>
          <w:pgMar w:top="1418" w:right="1418" w:bottom="1418" w:left="1418" w:header="0" w:footer="709" w:gutter="0"/>
          <w:cols w:space="708"/>
          <w:titlePg/>
          <w:docGrid w:linePitch="360"/>
        </w:sectPr>
      </w:pPr>
    </w:p>
    <w:p w14:paraId="6411A29F" w14:textId="77777777" w:rsidR="00F14506" w:rsidRPr="00B77D5D" w:rsidRDefault="00F14506" w:rsidP="00F14506">
      <w:pPr>
        <w:pStyle w:val="Nzevtabulky"/>
        <w:numPr>
          <w:ilvl w:val="0"/>
          <w:numId w:val="0"/>
        </w:numPr>
        <w:spacing w:before="120" w:after="120"/>
        <w:rPr>
          <w:b/>
        </w:rPr>
      </w:pPr>
      <w:r w:rsidRPr="00B77D5D">
        <w:rPr>
          <w:b/>
        </w:rPr>
        <w:lastRenderedPageBreak/>
        <w:t>Přehled zjištěných nedostatků u čtyř příjemců</w:t>
      </w:r>
    </w:p>
    <w:tbl>
      <w:tblPr>
        <w:tblStyle w:val="Mkatabulky"/>
        <w:tblW w:w="14034" w:type="dxa"/>
        <w:tblInd w:w="-15" w:type="dxa"/>
        <w:tblLook w:val="04A0" w:firstRow="1" w:lastRow="0" w:firstColumn="1" w:lastColumn="0" w:noHBand="0" w:noVBand="1"/>
      </w:tblPr>
      <w:tblGrid>
        <w:gridCol w:w="1985"/>
        <w:gridCol w:w="1134"/>
        <w:gridCol w:w="3260"/>
        <w:gridCol w:w="7655"/>
      </w:tblGrid>
      <w:tr w:rsidR="00F14506" w:rsidRPr="0029459B" w14:paraId="41CEDDBF" w14:textId="77777777" w:rsidTr="002C324E">
        <w:trPr>
          <w:trHeight w:val="85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8964A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b/>
                <w:bCs/>
                <w:color w:val="000000"/>
              </w:rPr>
              <w:t>Příjemce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CA5745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b/>
                <w:bCs/>
                <w:color w:val="000000"/>
              </w:rPr>
              <w:t xml:space="preserve">Částka </w:t>
            </w:r>
            <w:r>
              <w:rPr>
                <w:rFonts w:ascii="Calibri" w:hAnsi="Calibri"/>
                <w:b/>
                <w:bCs/>
                <w:color w:val="000000"/>
              </w:rPr>
              <w:br/>
              <w:t>(</w:t>
            </w:r>
            <w:r w:rsidRPr="00AA44E3">
              <w:rPr>
                <w:rFonts w:ascii="Calibri" w:hAnsi="Calibri"/>
                <w:b/>
                <w:bCs/>
                <w:color w:val="000000"/>
              </w:rPr>
              <w:t>v Kč</w:t>
            </w:r>
            <w:r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2C95B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b/>
                <w:bCs/>
                <w:color w:val="000000"/>
              </w:rPr>
              <w:t>Období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739959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b/>
                <w:bCs/>
                <w:color w:val="000000"/>
              </w:rPr>
              <w:t>P</w:t>
            </w:r>
            <w:r>
              <w:rPr>
                <w:rFonts w:ascii="Calibri" w:hAnsi="Calibri"/>
                <w:b/>
                <w:bCs/>
                <w:color w:val="000000"/>
              </w:rPr>
              <w:t>opis p</w:t>
            </w:r>
            <w:r w:rsidRPr="00AA44E3">
              <w:rPr>
                <w:rFonts w:ascii="Calibri" w:hAnsi="Calibri"/>
                <w:b/>
                <w:bCs/>
                <w:color w:val="000000"/>
              </w:rPr>
              <w:t>orušení</w:t>
            </w:r>
          </w:p>
        </w:tc>
      </w:tr>
      <w:tr w:rsidR="00F14506" w:rsidRPr="0029459B" w14:paraId="15828821" w14:textId="77777777" w:rsidTr="002C324E">
        <w:trPr>
          <w:trHeight w:val="850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381DD03D" w14:textId="77777777" w:rsidR="00F14506" w:rsidRPr="00AA44E3" w:rsidRDefault="00F14506" w:rsidP="002C324E">
            <w:pPr>
              <w:spacing w:before="120" w:after="120"/>
              <w:jc w:val="left"/>
            </w:pPr>
            <w:r w:rsidRPr="00AA44E3">
              <w:rPr>
                <w:rFonts w:ascii="Calibri" w:hAnsi="Calibri"/>
                <w:color w:val="000000"/>
              </w:rPr>
              <w:t>Randi Group s.r.o.</w:t>
            </w:r>
          </w:p>
        </w:tc>
        <w:tc>
          <w:tcPr>
            <w:tcW w:w="1134" w:type="dxa"/>
            <w:vAlign w:val="center"/>
          </w:tcPr>
          <w:p w14:paraId="6ACA848E" w14:textId="77777777" w:rsidR="00F14506" w:rsidRPr="00AA44E3" w:rsidRDefault="00F14506" w:rsidP="002C324E">
            <w:pPr>
              <w:spacing w:before="120" w:after="120"/>
              <w:jc w:val="right"/>
            </w:pPr>
            <w:r w:rsidRPr="00AA44E3">
              <w:rPr>
                <w:rFonts w:ascii="Calibri" w:hAnsi="Calibri"/>
                <w:color w:val="000000"/>
              </w:rPr>
              <w:t>106 135</w:t>
            </w:r>
          </w:p>
        </w:tc>
        <w:tc>
          <w:tcPr>
            <w:tcW w:w="3260" w:type="dxa"/>
            <w:vAlign w:val="center"/>
          </w:tcPr>
          <w:p w14:paraId="764C37F7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color w:val="000000"/>
              </w:rPr>
              <w:t xml:space="preserve">1. </w:t>
            </w:r>
            <w:r>
              <w:rPr>
                <w:rFonts w:ascii="Calibri" w:hAnsi="Calibri"/>
                <w:color w:val="000000"/>
              </w:rPr>
              <w:t>až</w:t>
            </w:r>
            <w:r w:rsidRPr="00AA44E3">
              <w:rPr>
                <w:rFonts w:ascii="Calibri" w:hAnsi="Calibri"/>
                <w:color w:val="000000"/>
              </w:rPr>
              <w:t xml:space="preserve"> 4. čtvrtletí 2012, </w:t>
            </w:r>
            <w:r>
              <w:rPr>
                <w:rFonts w:ascii="Calibri" w:hAnsi="Calibri"/>
                <w:color w:val="000000"/>
              </w:rPr>
              <w:br/>
            </w:r>
            <w:r w:rsidRPr="00AA44E3">
              <w:rPr>
                <w:rFonts w:ascii="Calibri" w:hAnsi="Calibri"/>
                <w:color w:val="000000"/>
              </w:rPr>
              <w:t xml:space="preserve">3. a 4. čtvrtletí 2013, </w:t>
            </w:r>
            <w:r>
              <w:rPr>
                <w:rFonts w:ascii="Calibri" w:hAnsi="Calibri"/>
                <w:color w:val="000000"/>
              </w:rPr>
              <w:br/>
            </w:r>
            <w:r w:rsidRPr="00AA44E3">
              <w:rPr>
                <w:rFonts w:ascii="Calibri" w:hAnsi="Calibri"/>
                <w:color w:val="000000"/>
              </w:rPr>
              <w:t xml:space="preserve">2. čtvrtletí 2014, </w:t>
            </w:r>
            <w:r>
              <w:rPr>
                <w:rFonts w:ascii="Calibri" w:hAnsi="Calibri"/>
                <w:color w:val="000000"/>
              </w:rPr>
              <w:br/>
            </w:r>
            <w:r w:rsidRPr="00AA44E3">
              <w:rPr>
                <w:rFonts w:ascii="Calibri" w:hAnsi="Calibri"/>
                <w:color w:val="000000"/>
              </w:rPr>
              <w:t>1. čtvrtletí 2015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650BECA6" w14:textId="77777777" w:rsidR="00F14506" w:rsidRPr="00AA44E3" w:rsidRDefault="00F14506" w:rsidP="002C324E">
            <w:pPr>
              <w:spacing w:before="120" w:after="120"/>
              <w:jc w:val="left"/>
            </w:pPr>
            <w:r>
              <w:rPr>
                <w:rFonts w:ascii="Calibri" w:hAnsi="Calibri"/>
                <w:color w:val="000000"/>
              </w:rPr>
              <w:t>N</w:t>
            </w:r>
            <w:r w:rsidRPr="00AA44E3">
              <w:rPr>
                <w:rFonts w:ascii="Calibri" w:hAnsi="Calibri"/>
                <w:color w:val="000000"/>
              </w:rPr>
              <w:t>esprávná výše mzdových nákladů v žádosti o příspěvek podle ustanovení §</w:t>
            </w:r>
            <w:r>
              <w:rPr>
                <w:rFonts w:ascii="Calibri" w:hAnsi="Calibri"/>
                <w:color w:val="000000"/>
              </w:rPr>
              <w:t> </w:t>
            </w:r>
            <w:r w:rsidRPr="00AA44E3">
              <w:rPr>
                <w:rFonts w:ascii="Calibri" w:hAnsi="Calibri"/>
                <w:color w:val="000000"/>
              </w:rPr>
              <w:t>78</w:t>
            </w:r>
          </w:p>
        </w:tc>
      </w:tr>
      <w:tr w:rsidR="00F14506" w:rsidRPr="0029459B" w14:paraId="27EB3ACE" w14:textId="77777777" w:rsidTr="002C324E">
        <w:trPr>
          <w:trHeight w:val="85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4BAD1C13" w14:textId="77777777" w:rsidR="00F14506" w:rsidRPr="00AA44E3" w:rsidRDefault="00F14506" w:rsidP="002C324E">
            <w:pPr>
              <w:spacing w:before="120" w:after="120"/>
              <w:jc w:val="left"/>
            </w:pPr>
          </w:p>
        </w:tc>
        <w:tc>
          <w:tcPr>
            <w:tcW w:w="1134" w:type="dxa"/>
            <w:vAlign w:val="center"/>
          </w:tcPr>
          <w:p w14:paraId="4B1AE6AF" w14:textId="77777777" w:rsidR="00F14506" w:rsidRPr="00AA44E3" w:rsidRDefault="00F14506" w:rsidP="002C324E">
            <w:pPr>
              <w:spacing w:before="120" w:after="120"/>
              <w:jc w:val="right"/>
            </w:pPr>
            <w:r w:rsidRPr="00AA44E3">
              <w:rPr>
                <w:rFonts w:ascii="Calibri" w:hAnsi="Calibri"/>
                <w:color w:val="000000"/>
              </w:rPr>
              <w:t>9 858</w:t>
            </w:r>
          </w:p>
        </w:tc>
        <w:tc>
          <w:tcPr>
            <w:tcW w:w="3260" w:type="dxa"/>
            <w:vAlign w:val="center"/>
          </w:tcPr>
          <w:p w14:paraId="6210A2FC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color w:val="000000"/>
              </w:rPr>
              <w:t xml:space="preserve">3. čtvrtletí 2013, </w:t>
            </w:r>
            <w:r>
              <w:rPr>
                <w:rFonts w:ascii="Calibri" w:hAnsi="Calibri"/>
                <w:color w:val="000000"/>
              </w:rPr>
              <w:br/>
            </w:r>
            <w:r w:rsidRPr="00AA44E3">
              <w:rPr>
                <w:rFonts w:ascii="Calibri" w:hAnsi="Calibri"/>
                <w:color w:val="000000"/>
              </w:rPr>
              <w:t>1. čtvrtletí 2015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33498E77" w14:textId="77777777" w:rsidR="00F14506" w:rsidRPr="00AA44E3" w:rsidRDefault="00F14506" w:rsidP="002C324E">
            <w:pPr>
              <w:spacing w:before="120" w:after="120"/>
              <w:jc w:val="left"/>
            </w:pPr>
            <w:r>
              <w:rPr>
                <w:rFonts w:ascii="Calibri" w:hAnsi="Calibri"/>
                <w:color w:val="000000"/>
              </w:rPr>
              <w:t>Z</w:t>
            </w:r>
            <w:r w:rsidRPr="00AA44E3">
              <w:rPr>
                <w:rFonts w:ascii="Calibri" w:hAnsi="Calibri"/>
                <w:color w:val="000000"/>
              </w:rPr>
              <w:t>výšení příspěvku za osoby, které nebyly v rozhodném období zaměstnanci</w:t>
            </w:r>
          </w:p>
        </w:tc>
      </w:tr>
      <w:tr w:rsidR="00F14506" w:rsidRPr="0029459B" w14:paraId="5E6650A2" w14:textId="77777777" w:rsidTr="002C324E">
        <w:trPr>
          <w:trHeight w:val="85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063BC6EF" w14:textId="77777777" w:rsidR="00F14506" w:rsidRPr="00AA44E3" w:rsidRDefault="00F14506" w:rsidP="002C324E">
            <w:pPr>
              <w:spacing w:before="120" w:after="120"/>
              <w:jc w:val="left"/>
            </w:pPr>
          </w:p>
        </w:tc>
        <w:tc>
          <w:tcPr>
            <w:tcW w:w="1134" w:type="dxa"/>
            <w:vAlign w:val="center"/>
          </w:tcPr>
          <w:p w14:paraId="3E4B66FC" w14:textId="77777777" w:rsidR="00F14506" w:rsidRPr="00AA44E3" w:rsidRDefault="00F14506" w:rsidP="002C324E">
            <w:pPr>
              <w:spacing w:before="120" w:after="120"/>
              <w:jc w:val="right"/>
            </w:pPr>
            <w:r w:rsidRPr="00AA44E3">
              <w:rPr>
                <w:rFonts w:ascii="Calibri" w:hAnsi="Calibri"/>
                <w:color w:val="000000"/>
              </w:rPr>
              <w:t>6 000</w:t>
            </w:r>
          </w:p>
        </w:tc>
        <w:tc>
          <w:tcPr>
            <w:tcW w:w="3260" w:type="dxa"/>
            <w:vAlign w:val="center"/>
          </w:tcPr>
          <w:p w14:paraId="6DBAB92C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color w:val="000000"/>
              </w:rPr>
              <w:t>2. čtvrtletí 2015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2F5EAED8" w14:textId="77777777" w:rsidR="00F14506" w:rsidRPr="00AA44E3" w:rsidRDefault="00F14506" w:rsidP="002C324E">
            <w:pPr>
              <w:spacing w:before="120" w:after="120"/>
              <w:jc w:val="left"/>
            </w:pPr>
            <w:r>
              <w:rPr>
                <w:rFonts w:ascii="Calibri" w:hAnsi="Calibri"/>
                <w:color w:val="000000"/>
              </w:rPr>
              <w:t>D</w:t>
            </w:r>
            <w:r w:rsidRPr="00AA44E3">
              <w:rPr>
                <w:rFonts w:ascii="Calibri" w:hAnsi="Calibri"/>
                <w:color w:val="000000"/>
              </w:rPr>
              <w:t>vakrát uveden požadavek na zvýšení příspěvku na jednoho zaměstnance</w:t>
            </w:r>
          </w:p>
        </w:tc>
      </w:tr>
      <w:tr w:rsidR="00F14506" w:rsidRPr="0029459B" w14:paraId="05B49932" w14:textId="77777777" w:rsidTr="002C324E">
        <w:trPr>
          <w:trHeight w:val="85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6305196" w14:textId="77777777" w:rsidR="00F14506" w:rsidRPr="00AA44E3" w:rsidRDefault="00F14506" w:rsidP="002C324E">
            <w:pPr>
              <w:spacing w:before="120" w:after="120"/>
              <w:jc w:val="left"/>
            </w:pPr>
            <w:r w:rsidRPr="00AA44E3">
              <w:rPr>
                <w:rFonts w:ascii="Calibri" w:hAnsi="Calibri"/>
                <w:color w:val="000000"/>
              </w:rPr>
              <w:t>Jan Zykmund</w:t>
            </w:r>
          </w:p>
        </w:tc>
        <w:tc>
          <w:tcPr>
            <w:tcW w:w="1134" w:type="dxa"/>
            <w:vAlign w:val="center"/>
          </w:tcPr>
          <w:p w14:paraId="56B6AF33" w14:textId="77777777" w:rsidR="00F14506" w:rsidRPr="00AA44E3" w:rsidRDefault="00F14506" w:rsidP="002C324E">
            <w:pPr>
              <w:spacing w:before="120" w:after="120"/>
              <w:jc w:val="right"/>
            </w:pPr>
            <w:r w:rsidRPr="00AA44E3">
              <w:rPr>
                <w:rFonts w:ascii="Calibri" w:hAnsi="Calibri"/>
                <w:color w:val="000000"/>
              </w:rPr>
              <w:t>30 263</w:t>
            </w:r>
          </w:p>
        </w:tc>
        <w:tc>
          <w:tcPr>
            <w:tcW w:w="3260" w:type="dxa"/>
            <w:vAlign w:val="center"/>
          </w:tcPr>
          <w:p w14:paraId="396C0AD9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color w:val="000000"/>
              </w:rPr>
              <w:t xml:space="preserve">2. </w:t>
            </w:r>
            <w:r>
              <w:rPr>
                <w:rFonts w:ascii="Calibri" w:hAnsi="Calibri"/>
                <w:color w:val="000000"/>
              </w:rPr>
              <w:t>až</w:t>
            </w:r>
            <w:r w:rsidRPr="00AA44E3">
              <w:rPr>
                <w:rFonts w:ascii="Calibri" w:hAnsi="Calibri"/>
                <w:color w:val="000000"/>
              </w:rPr>
              <w:t xml:space="preserve"> 4. čtvrtletí 2013, </w:t>
            </w:r>
            <w:r w:rsidRPr="00AA44E3">
              <w:rPr>
                <w:rFonts w:ascii="Calibri" w:hAnsi="Calibri"/>
                <w:color w:val="000000"/>
              </w:rPr>
              <w:br/>
              <w:t xml:space="preserve">1., 2. a 4. čtvrtletí 2014, </w:t>
            </w:r>
            <w:r>
              <w:rPr>
                <w:rFonts w:ascii="Calibri" w:hAnsi="Calibri"/>
                <w:color w:val="000000"/>
              </w:rPr>
              <w:br/>
            </w:r>
            <w:r w:rsidRPr="00AA44E3">
              <w:rPr>
                <w:rFonts w:ascii="Calibri" w:hAnsi="Calibri"/>
                <w:color w:val="000000"/>
              </w:rPr>
              <w:t>1. čtvrtletí 2015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00E90013" w14:textId="77777777" w:rsidR="00F14506" w:rsidRPr="00AA44E3" w:rsidRDefault="00F14506" w:rsidP="002C324E">
            <w:pPr>
              <w:spacing w:before="120" w:after="120"/>
              <w:jc w:val="left"/>
            </w:pPr>
            <w:r>
              <w:rPr>
                <w:rFonts w:ascii="Calibri" w:hAnsi="Calibri"/>
                <w:color w:val="000000"/>
              </w:rPr>
              <w:t>Z</w:t>
            </w:r>
            <w:r w:rsidRPr="00AA44E3">
              <w:rPr>
                <w:rFonts w:ascii="Calibri" w:hAnsi="Calibri"/>
                <w:color w:val="000000"/>
              </w:rPr>
              <w:t>výšení příspěvku (náklady na dopravu) na osoby, které byly celý měsíc v</w:t>
            </w:r>
            <w:r>
              <w:rPr>
                <w:rFonts w:ascii="Calibri" w:hAnsi="Calibri"/>
                <w:color w:val="000000"/>
              </w:rPr>
              <w:t> </w:t>
            </w:r>
            <w:r w:rsidRPr="00AA44E3">
              <w:rPr>
                <w:rFonts w:ascii="Calibri" w:hAnsi="Calibri"/>
                <w:color w:val="000000"/>
              </w:rPr>
              <w:t>pracovní neschopnosti</w:t>
            </w:r>
          </w:p>
        </w:tc>
      </w:tr>
      <w:tr w:rsidR="00F14506" w:rsidRPr="0029459B" w14:paraId="18592B03" w14:textId="77777777" w:rsidTr="002C324E">
        <w:trPr>
          <w:trHeight w:val="85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C65C0CB" w14:textId="77777777" w:rsidR="00F14506" w:rsidRPr="00AA44E3" w:rsidRDefault="00F14506" w:rsidP="002C324E">
            <w:pPr>
              <w:spacing w:before="120" w:after="120"/>
              <w:jc w:val="left"/>
            </w:pPr>
            <w:r w:rsidRPr="00AA44E3">
              <w:rPr>
                <w:rFonts w:ascii="Calibri" w:hAnsi="Calibri"/>
                <w:color w:val="000000"/>
              </w:rPr>
              <w:t>Ing. Vladimír Matoušek</w:t>
            </w:r>
          </w:p>
        </w:tc>
        <w:tc>
          <w:tcPr>
            <w:tcW w:w="1134" w:type="dxa"/>
            <w:vAlign w:val="center"/>
          </w:tcPr>
          <w:p w14:paraId="66A228D5" w14:textId="77777777" w:rsidR="00F14506" w:rsidRPr="00AA44E3" w:rsidRDefault="00F14506" w:rsidP="002C324E">
            <w:pPr>
              <w:spacing w:before="120" w:after="120"/>
              <w:jc w:val="right"/>
            </w:pPr>
            <w:r w:rsidRPr="00AA44E3">
              <w:rPr>
                <w:rFonts w:ascii="Calibri" w:hAnsi="Calibri"/>
                <w:color w:val="000000"/>
              </w:rPr>
              <w:t>8 234</w:t>
            </w:r>
          </w:p>
        </w:tc>
        <w:tc>
          <w:tcPr>
            <w:tcW w:w="3260" w:type="dxa"/>
            <w:vAlign w:val="center"/>
          </w:tcPr>
          <w:p w14:paraId="76056258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color w:val="000000"/>
              </w:rPr>
              <w:t xml:space="preserve">3. a 4. čtvrtletí 2012, </w:t>
            </w:r>
            <w:r w:rsidRPr="00AA44E3">
              <w:rPr>
                <w:rFonts w:ascii="Calibri" w:hAnsi="Calibri"/>
                <w:color w:val="000000"/>
              </w:rPr>
              <w:br/>
              <w:t>1., 3. a 4. čtvrtletí 2015</w:t>
            </w:r>
          </w:p>
        </w:tc>
        <w:tc>
          <w:tcPr>
            <w:tcW w:w="7655" w:type="dxa"/>
            <w:tcBorders>
              <w:right w:val="single" w:sz="12" w:space="0" w:color="auto"/>
            </w:tcBorders>
            <w:vAlign w:val="center"/>
          </w:tcPr>
          <w:p w14:paraId="479ACA8C" w14:textId="77777777" w:rsidR="00F14506" w:rsidRPr="00AA44E3" w:rsidRDefault="00F14506" w:rsidP="002C324E">
            <w:pPr>
              <w:spacing w:before="120" w:after="120"/>
              <w:jc w:val="left"/>
            </w:pPr>
            <w:r>
              <w:rPr>
                <w:rFonts w:ascii="Calibri" w:hAnsi="Calibri"/>
                <w:color w:val="000000"/>
              </w:rPr>
              <w:t>Z</w:t>
            </w:r>
            <w:r w:rsidRPr="00AA44E3">
              <w:rPr>
                <w:rFonts w:ascii="Calibri" w:hAnsi="Calibri"/>
                <w:color w:val="000000"/>
              </w:rPr>
              <w:t>výšení příspěvku za provozní zaměstnance a pracovní asistenty v rozsahu, který neodpovídal jejich pomoci OZP</w:t>
            </w:r>
          </w:p>
        </w:tc>
      </w:tr>
      <w:tr w:rsidR="00F14506" w:rsidRPr="0029459B" w14:paraId="6E784763" w14:textId="77777777" w:rsidTr="002C324E">
        <w:trPr>
          <w:trHeight w:val="8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D3D6E0" w14:textId="77777777" w:rsidR="00F14506" w:rsidRPr="00AA44E3" w:rsidRDefault="00F14506" w:rsidP="002C324E">
            <w:pPr>
              <w:spacing w:before="120" w:after="120"/>
              <w:jc w:val="left"/>
            </w:pPr>
            <w:r w:rsidRPr="00AA44E3">
              <w:rPr>
                <w:rFonts w:ascii="Calibri" w:hAnsi="Calibri"/>
                <w:color w:val="000000"/>
              </w:rPr>
              <w:t>Jana Voháňková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CE71F79" w14:textId="77777777" w:rsidR="00F14506" w:rsidRPr="00AA44E3" w:rsidRDefault="00F14506" w:rsidP="002C324E">
            <w:pPr>
              <w:spacing w:before="120" w:after="120"/>
              <w:jc w:val="right"/>
            </w:pPr>
            <w:r w:rsidRPr="00AA44E3">
              <w:rPr>
                <w:rFonts w:ascii="Calibri" w:hAnsi="Calibri"/>
                <w:color w:val="000000"/>
              </w:rPr>
              <w:t>20 137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79AF4576" w14:textId="77777777" w:rsidR="00F14506" w:rsidRPr="00AA44E3" w:rsidRDefault="00F14506" w:rsidP="002C324E">
            <w:pPr>
              <w:spacing w:before="120" w:after="120"/>
              <w:jc w:val="center"/>
            </w:pPr>
            <w:r w:rsidRPr="00AA44E3">
              <w:rPr>
                <w:rFonts w:ascii="Calibri" w:hAnsi="Calibri"/>
                <w:color w:val="000000"/>
              </w:rPr>
              <w:t>3. čtvrtletí 2015</w:t>
            </w:r>
          </w:p>
        </w:tc>
        <w:tc>
          <w:tcPr>
            <w:tcW w:w="76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08BE45" w14:textId="77777777" w:rsidR="00F14506" w:rsidRPr="00AA44E3" w:rsidRDefault="00F14506" w:rsidP="002C324E">
            <w:pPr>
              <w:spacing w:before="120" w:after="120"/>
              <w:jc w:val="left"/>
            </w:pPr>
            <w:r>
              <w:rPr>
                <w:rFonts w:ascii="Calibri" w:hAnsi="Calibri"/>
                <w:color w:val="000000"/>
              </w:rPr>
              <w:t>U</w:t>
            </w:r>
            <w:r w:rsidRPr="00AA44E3">
              <w:rPr>
                <w:rFonts w:ascii="Calibri" w:hAnsi="Calibri"/>
                <w:color w:val="000000"/>
              </w:rPr>
              <w:t>platn</w:t>
            </w:r>
            <w:r>
              <w:rPr>
                <w:rFonts w:ascii="Calibri" w:hAnsi="Calibri"/>
                <w:color w:val="000000"/>
              </w:rPr>
              <w:t>ěn</w:t>
            </w:r>
            <w:r w:rsidRPr="00AA44E3">
              <w:rPr>
                <w:rFonts w:ascii="Calibri" w:hAnsi="Calibri"/>
                <w:color w:val="000000"/>
              </w:rPr>
              <w:t xml:space="preserve"> nárok na příspěvek za celý měsíc červenec, ačkoliv ne</w:t>
            </w:r>
            <w:r>
              <w:rPr>
                <w:rFonts w:ascii="Calibri" w:hAnsi="Calibri"/>
                <w:color w:val="000000"/>
              </w:rPr>
              <w:t>byla</w:t>
            </w:r>
            <w:r w:rsidRPr="00AA44E3">
              <w:rPr>
                <w:rFonts w:ascii="Calibri" w:hAnsi="Calibri"/>
                <w:color w:val="000000"/>
              </w:rPr>
              <w:t xml:space="preserve"> po dobu 19 dní uzavřen</w:t>
            </w:r>
            <w:r>
              <w:rPr>
                <w:rFonts w:ascii="Calibri" w:hAnsi="Calibri"/>
                <w:color w:val="000000"/>
              </w:rPr>
              <w:t>a</w:t>
            </w:r>
            <w:r w:rsidRPr="00AA44E3">
              <w:rPr>
                <w:rFonts w:ascii="Calibri" w:hAnsi="Calibri"/>
                <w:color w:val="000000"/>
              </w:rPr>
              <w:t xml:space="preserve"> žádn</w:t>
            </w:r>
            <w:r>
              <w:rPr>
                <w:rFonts w:ascii="Calibri" w:hAnsi="Calibri"/>
                <w:color w:val="000000"/>
              </w:rPr>
              <w:t>á</w:t>
            </w:r>
            <w:r w:rsidRPr="00AA44E3">
              <w:rPr>
                <w:rFonts w:ascii="Calibri" w:hAnsi="Calibri"/>
                <w:color w:val="000000"/>
              </w:rPr>
              <w:t xml:space="preserve"> dohod</w:t>
            </w:r>
            <w:r>
              <w:rPr>
                <w:rFonts w:ascii="Calibri" w:hAnsi="Calibri"/>
                <w:color w:val="000000"/>
              </w:rPr>
              <w:t>a</w:t>
            </w:r>
            <w:r w:rsidRPr="00AA44E3">
              <w:rPr>
                <w:rFonts w:ascii="Calibri" w:hAnsi="Calibri"/>
                <w:color w:val="000000"/>
              </w:rPr>
              <w:t xml:space="preserve"> o vymezení CHPM</w:t>
            </w:r>
          </w:p>
        </w:tc>
      </w:tr>
      <w:tr w:rsidR="00F14506" w:rsidRPr="0029459B" w14:paraId="6323499B" w14:textId="77777777" w:rsidTr="002C324E">
        <w:trPr>
          <w:trHeight w:val="85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579781" w14:textId="77777777" w:rsidR="00F14506" w:rsidRPr="00AA44E3" w:rsidRDefault="00F14506" w:rsidP="002C324E">
            <w:pPr>
              <w:spacing w:before="120" w:after="120"/>
              <w:jc w:val="left"/>
            </w:pPr>
            <w:r w:rsidRPr="00AA44E3">
              <w:rPr>
                <w:rFonts w:ascii="Calibri" w:hAnsi="Calibri"/>
                <w:b/>
                <w:bCs/>
                <w:color w:val="000000"/>
              </w:rPr>
              <w:t>Celkem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BF121" w14:textId="77777777" w:rsidR="00F14506" w:rsidRPr="00AA44E3" w:rsidRDefault="00F14506" w:rsidP="002C324E">
            <w:pPr>
              <w:spacing w:before="120" w:after="120"/>
              <w:jc w:val="right"/>
            </w:pPr>
            <w:r w:rsidRPr="00AA44E3">
              <w:rPr>
                <w:rFonts w:ascii="Calibri" w:hAnsi="Calibri"/>
                <w:b/>
                <w:bCs/>
                <w:color w:val="000000"/>
              </w:rPr>
              <w:t>180 627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3E3A7B" w14:textId="77777777" w:rsidR="00F14506" w:rsidRPr="00AA44E3" w:rsidRDefault="00F14506" w:rsidP="002C324E">
            <w:pPr>
              <w:spacing w:before="120" w:after="120"/>
              <w:jc w:val="center"/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66310" w14:textId="77777777" w:rsidR="00F14506" w:rsidRPr="00AA44E3" w:rsidRDefault="00F14506" w:rsidP="002C324E">
            <w:pPr>
              <w:spacing w:before="120" w:after="120"/>
              <w:jc w:val="left"/>
            </w:pPr>
          </w:p>
        </w:tc>
      </w:tr>
    </w:tbl>
    <w:p w14:paraId="41CFB417" w14:textId="1865F665" w:rsidR="00F14506" w:rsidRPr="00F14506" w:rsidRDefault="00F14506" w:rsidP="00F14506">
      <w:pPr>
        <w:pStyle w:val="Zdroj"/>
        <w:spacing w:before="40"/>
        <w:rPr>
          <w:i w:val="0"/>
        </w:rPr>
      </w:pPr>
      <w:r w:rsidRPr="00B77D5D">
        <w:rPr>
          <w:b/>
          <w:i w:val="0"/>
        </w:rPr>
        <w:t>Zdroj:</w:t>
      </w:r>
      <w:r w:rsidRPr="00B77D5D">
        <w:rPr>
          <w:i w:val="0"/>
        </w:rPr>
        <w:t xml:space="preserve"> </w:t>
      </w:r>
      <w:r>
        <w:rPr>
          <w:i w:val="0"/>
        </w:rPr>
        <w:t>k</w:t>
      </w:r>
      <w:r w:rsidRPr="00B77D5D">
        <w:rPr>
          <w:i w:val="0"/>
        </w:rPr>
        <w:t>ontrolní protokoly vybraných příjemců.</w:t>
      </w:r>
    </w:p>
    <w:sectPr w:rsidR="00F14506" w:rsidRPr="00F14506" w:rsidSect="00A9100F">
      <w:headerReference w:type="default" r:id="rId1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AF0F7" w14:textId="77777777" w:rsidR="00DD7EFF" w:rsidRDefault="00DD7EFF" w:rsidP="00751E6A">
      <w:r>
        <w:separator/>
      </w:r>
    </w:p>
  </w:endnote>
  <w:endnote w:type="continuationSeparator" w:id="0">
    <w:p w14:paraId="00111BC5" w14:textId="77777777" w:rsidR="00DD7EFF" w:rsidRDefault="00DD7EFF" w:rsidP="0075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3621E" w14:textId="77777777" w:rsidR="00EF2A9C" w:rsidRDefault="00EF2A9C" w:rsidP="00A415A3">
    <w:pPr>
      <w:pStyle w:val="Zpat"/>
      <w:jc w:val="center"/>
    </w:pPr>
    <w:r w:rsidRPr="00A415A3">
      <w:rPr>
        <w:rStyle w:val="slostrnky"/>
        <w:rFonts w:eastAsiaTheme="majorEastAsia"/>
      </w:rPr>
      <w:fldChar w:fldCharType="begin"/>
    </w:r>
    <w:r w:rsidRPr="00A415A3">
      <w:rPr>
        <w:rStyle w:val="slostrnky"/>
        <w:rFonts w:eastAsiaTheme="majorEastAsia"/>
      </w:rPr>
      <w:instrText xml:space="preserve"> PAGE </w:instrText>
    </w:r>
    <w:r w:rsidRPr="00A415A3">
      <w:rPr>
        <w:rStyle w:val="slostrnky"/>
        <w:rFonts w:eastAsiaTheme="majorEastAsia"/>
      </w:rPr>
      <w:fldChar w:fldCharType="separate"/>
    </w:r>
    <w:r w:rsidR="00D51B02">
      <w:rPr>
        <w:rStyle w:val="slostrnky"/>
        <w:rFonts w:eastAsiaTheme="majorEastAsia"/>
        <w:noProof/>
      </w:rPr>
      <w:t>3</w:t>
    </w:r>
    <w:r w:rsidRPr="00A415A3">
      <w:rPr>
        <w:rStyle w:val="slostrnky"/>
        <w:rFonts w:eastAsiaTheme="major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EA24F" w14:textId="77777777" w:rsidR="00DD7EFF" w:rsidRDefault="00DD7EFF" w:rsidP="00751E6A">
      <w:r>
        <w:separator/>
      </w:r>
    </w:p>
  </w:footnote>
  <w:footnote w:type="continuationSeparator" w:id="0">
    <w:p w14:paraId="7CE62BA1" w14:textId="77777777" w:rsidR="00DD7EFF" w:rsidRDefault="00DD7EFF" w:rsidP="00751E6A">
      <w:r>
        <w:continuationSeparator/>
      </w:r>
    </w:p>
  </w:footnote>
  <w:footnote w:id="1">
    <w:p w14:paraId="46C5E58A" w14:textId="5475013A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435/2004 Sb., o zaměstnanosti.</w:t>
      </w:r>
    </w:p>
  </w:footnote>
  <w:footnote w:id="2">
    <w:p w14:paraId="04D3179A" w14:textId="27BCF9AB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73/2011 Sb., o Úřadu práce České republiky a o změně souvisejících zákonů.</w:t>
      </w:r>
    </w:p>
  </w:footnote>
  <w:footnote w:id="3">
    <w:p w14:paraId="6A00906B" w14:textId="17C2E8AB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155/1995 Sb., o důchodovém pojištění. </w:t>
      </w:r>
    </w:p>
  </w:footnote>
  <w:footnote w:id="4">
    <w:p w14:paraId="53F96B6F" w14:textId="6ED9C53C" w:rsidR="00EF2A9C" w:rsidRPr="0029459B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29459B">
        <w:t xml:space="preserve">Do 31. 12. 2014 byl příspěvek </w:t>
      </w:r>
      <w:r>
        <w:t xml:space="preserve">poskytovaný </w:t>
      </w:r>
      <w:r w:rsidRPr="0029459B">
        <w:t xml:space="preserve">podle ustanovení § 78 jednotný pro </w:t>
      </w:r>
      <w:r>
        <w:t>obě skupiny</w:t>
      </w:r>
      <w:r w:rsidRPr="0029459B">
        <w:t xml:space="preserve"> OZP</w:t>
      </w:r>
      <w:r>
        <w:t xml:space="preserve"> a činil měsíčně 8 000 Kč na jednu OZP</w:t>
      </w:r>
      <w:r w:rsidRPr="0029459B">
        <w:t xml:space="preserve">. Od 1. 1. 2015 byl pro OZZ snížen na nejvýše 5 000 Kč. Od 1. 1. 2016 byl příspěvek </w:t>
      </w:r>
      <w:r>
        <w:t>pro OZP</w:t>
      </w:r>
      <w:r w:rsidRPr="0029459B">
        <w:t xml:space="preserve"> zvýšen na nejvýše 8 800 Kč, pro OZZ byl </w:t>
      </w:r>
      <w:r>
        <w:t xml:space="preserve">příspěvek </w:t>
      </w:r>
      <w:r w:rsidRPr="0029459B">
        <w:t>ponechán ve výši</w:t>
      </w:r>
      <w:r>
        <w:t xml:space="preserve"> 5 000 Kč</w:t>
      </w:r>
      <w:r w:rsidRPr="0029459B">
        <w:t>.</w:t>
      </w:r>
    </w:p>
  </w:footnote>
  <w:footnote w:id="5">
    <w:p w14:paraId="7CA12AF0" w14:textId="369F0047" w:rsidR="00EF2A9C" w:rsidRPr="0029459B" w:rsidRDefault="00EF2A9C" w:rsidP="00CB5C79">
      <w:pPr>
        <w:pStyle w:val="Textpoznpodarou"/>
        <w:ind w:left="284" w:hanging="284"/>
      </w:pPr>
      <w:r w:rsidRPr="0029459B">
        <w:rPr>
          <w:rStyle w:val="Znakapoznpodarou"/>
        </w:rPr>
        <w:footnoteRef/>
      </w:r>
      <w:r w:rsidRPr="0029459B">
        <w:t xml:space="preserve"> </w:t>
      </w:r>
      <w:r>
        <w:tab/>
      </w:r>
      <w:r w:rsidRPr="0029459B">
        <w:t xml:space="preserve">Do 31. 12. 2014 bylo navýšení příspěvku o částku odpovídající prokázaným dalším nákladům </w:t>
      </w:r>
      <w:r w:rsidRPr="0029459B">
        <w:rPr>
          <w:shd w:val="clear" w:color="auto" w:fill="FFFFFF" w:themeFill="background1"/>
        </w:rPr>
        <w:t xml:space="preserve">vynaloženým zaměstnavatelem na zaměstnávání OZP jednotné pro </w:t>
      </w:r>
      <w:r>
        <w:rPr>
          <w:shd w:val="clear" w:color="auto" w:fill="FFFFFF" w:themeFill="background1"/>
        </w:rPr>
        <w:t>obě skupiny</w:t>
      </w:r>
      <w:r w:rsidRPr="0029459B">
        <w:rPr>
          <w:shd w:val="clear" w:color="auto" w:fill="FFFFFF" w:themeFill="background1"/>
        </w:rPr>
        <w:t xml:space="preserve"> OZP</w:t>
      </w:r>
      <w:r>
        <w:rPr>
          <w:shd w:val="clear" w:color="auto" w:fill="FFFFFF" w:themeFill="background1"/>
        </w:rPr>
        <w:t xml:space="preserve"> a činilo měsíčně 2 000 Kč na jednu OZP</w:t>
      </w:r>
      <w:r w:rsidRPr="0029459B">
        <w:rPr>
          <w:shd w:val="clear" w:color="auto" w:fill="FFFFFF" w:themeFill="background1"/>
        </w:rPr>
        <w:t xml:space="preserve">. </w:t>
      </w:r>
      <w:r w:rsidRPr="0029459B">
        <w:t xml:space="preserve">Od 1. 1. 2015 bylo sníženo pro OZZ na nejvýše 1 000 Kč. Od 1. 1. 2016 bylo navýšení příspěvku </w:t>
      </w:r>
      <w:r>
        <w:t xml:space="preserve">na zaměstnávání OZP </w:t>
      </w:r>
      <w:r w:rsidRPr="0029459B">
        <w:rPr>
          <w:shd w:val="clear" w:color="auto" w:fill="FFFFFF" w:themeFill="background1"/>
        </w:rPr>
        <w:t>zvýšeno na nejvýše 2 700 Kč, pro OZZ bylo</w:t>
      </w:r>
      <w:r>
        <w:rPr>
          <w:shd w:val="clear" w:color="auto" w:fill="FFFFFF" w:themeFill="background1"/>
        </w:rPr>
        <w:t xml:space="preserve"> navýšení příspěvku</w:t>
      </w:r>
      <w:r w:rsidRPr="0029459B">
        <w:rPr>
          <w:shd w:val="clear" w:color="auto" w:fill="FFFFFF" w:themeFill="background1"/>
        </w:rPr>
        <w:t xml:space="preserve"> ponecháno ve výši</w:t>
      </w:r>
      <w:r>
        <w:rPr>
          <w:shd w:val="clear" w:color="auto" w:fill="FFFFFF" w:themeFill="background1"/>
        </w:rPr>
        <w:t xml:space="preserve"> 1 000 Kč</w:t>
      </w:r>
      <w:r w:rsidRPr="0029459B">
        <w:rPr>
          <w:shd w:val="clear" w:color="auto" w:fill="FFFFFF" w:themeFill="background1"/>
        </w:rPr>
        <w:t>.</w:t>
      </w:r>
      <w:r w:rsidRPr="0029459B">
        <w:t xml:space="preserve"> </w:t>
      </w:r>
    </w:p>
  </w:footnote>
  <w:footnote w:id="6">
    <w:p w14:paraId="01F5CBC4" w14:textId="7DE33EEC" w:rsidR="00EF2A9C" w:rsidRDefault="00EF2A9C" w:rsidP="00CB5C79">
      <w:pPr>
        <w:pStyle w:val="Textpoznpodarou"/>
        <w:ind w:left="284" w:hanging="284"/>
      </w:pPr>
      <w:r w:rsidRPr="0029459B">
        <w:rPr>
          <w:rStyle w:val="Znakapoznpodarou"/>
        </w:rPr>
        <w:footnoteRef/>
      </w:r>
      <w:r w:rsidRPr="0029459B">
        <w:t xml:space="preserve"> </w:t>
      </w:r>
      <w:r>
        <w:tab/>
      </w:r>
      <w:r w:rsidRPr="0029459B">
        <w:t>Zákon č. 592/1992 Sb., o pojistném na veřejné</w:t>
      </w:r>
      <w:r>
        <w:t xml:space="preserve"> zdravotní pojištění.</w:t>
      </w:r>
    </w:p>
  </w:footnote>
  <w:footnote w:id="7">
    <w:p w14:paraId="3662BBAD" w14:textId="11F1DC13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Zákon č. 137/2006 Sb., o veřejných zakázkách.</w:t>
      </w:r>
    </w:p>
  </w:footnote>
  <w:footnote w:id="8">
    <w:p w14:paraId="6668ED14" w14:textId="06946D98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Vyhláška č. 518/2004 Sb., kterou se provádí zákon č. 435/2004 Sb., o zaměstnanosti.</w:t>
      </w:r>
    </w:p>
  </w:footnote>
  <w:footnote w:id="9">
    <w:p w14:paraId="7EFCE8EA" w14:textId="2ADD63E5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8925E0">
        <w:t xml:space="preserve">Prostředky </w:t>
      </w:r>
      <w:r>
        <w:t xml:space="preserve">poskytnuté </w:t>
      </w:r>
      <w:r w:rsidRPr="008925E0">
        <w:t>v rámci</w:t>
      </w:r>
      <w:r>
        <w:t xml:space="preserve"> závazného </w:t>
      </w:r>
      <w:r w:rsidRPr="008925E0">
        <w:t xml:space="preserve">ukazatele </w:t>
      </w:r>
      <w:r w:rsidRPr="002F1DC4">
        <w:t>ZZPO</w:t>
      </w:r>
      <w:r>
        <w:t xml:space="preserve"> byly určeny pouze pro zaměstnavatele zaměstnávající více než 50 % OZP na chráněných pracovních místech, kteří působí na tzv. chráněném trhu práce. Prostředky z </w:t>
      </w:r>
      <w:r w:rsidRPr="002F1DC4">
        <w:t>APZ</w:t>
      </w:r>
      <w:r w:rsidRPr="00E22AA0">
        <w:t xml:space="preserve"> </w:t>
      </w:r>
      <w:r>
        <w:t>pro OZP byly určeny pro všechny zaměstnavatele působící na trhu práce.</w:t>
      </w:r>
    </w:p>
  </w:footnote>
  <w:footnote w:id="10">
    <w:p w14:paraId="5A06C496" w14:textId="7908138F" w:rsidR="00EF2A9C" w:rsidRDefault="00EF2A9C" w:rsidP="00A459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D17F3C">
        <w:rPr>
          <w:color w:val="000000"/>
          <w:spacing w:val="-1"/>
        </w:rPr>
        <w:t>Ustanoven</w:t>
      </w:r>
      <w:r w:rsidRPr="00D17F3C">
        <w:rPr>
          <w:rFonts w:cs="Times New Roman"/>
          <w:color w:val="000000"/>
          <w:spacing w:val="-1"/>
        </w:rPr>
        <w:t>í</w:t>
      </w:r>
      <w:r w:rsidRPr="00D17F3C">
        <w:rPr>
          <w:color w:val="000000"/>
          <w:spacing w:val="-1"/>
        </w:rPr>
        <w:t xml:space="preserve"> </w:t>
      </w:r>
      <w:r w:rsidRPr="00D17F3C">
        <w:rPr>
          <w:rFonts w:cs="Times New Roman"/>
          <w:color w:val="000000"/>
          <w:spacing w:val="-1"/>
        </w:rPr>
        <w:t>§</w:t>
      </w:r>
      <w:r w:rsidRPr="00D17F3C">
        <w:rPr>
          <w:color w:val="000000"/>
          <w:spacing w:val="-1"/>
        </w:rPr>
        <w:t xml:space="preserve"> 81 z</w:t>
      </w:r>
      <w:r w:rsidRPr="00D17F3C">
        <w:rPr>
          <w:rFonts w:cs="Times New Roman"/>
          <w:color w:val="000000"/>
          <w:spacing w:val="-1"/>
        </w:rPr>
        <w:t>á</w:t>
      </w:r>
      <w:r w:rsidRPr="00D17F3C">
        <w:rPr>
          <w:color w:val="000000"/>
          <w:spacing w:val="-1"/>
        </w:rPr>
        <w:t xml:space="preserve">kona </w:t>
      </w:r>
      <w:r w:rsidRPr="00D17F3C">
        <w:rPr>
          <w:rFonts w:cs="Times New Roman"/>
          <w:color w:val="000000"/>
          <w:spacing w:val="-1"/>
        </w:rPr>
        <w:t>č</w:t>
      </w:r>
      <w:r w:rsidRPr="00D17F3C">
        <w:rPr>
          <w:color w:val="000000"/>
          <w:spacing w:val="-1"/>
        </w:rPr>
        <w:t>. 435/2004 Sb. stanov</w:t>
      </w:r>
      <w:r>
        <w:rPr>
          <w:color w:val="000000"/>
          <w:spacing w:val="-1"/>
        </w:rPr>
        <w:t>uje</w:t>
      </w:r>
      <w:r w:rsidRPr="00D17F3C">
        <w:rPr>
          <w:color w:val="000000"/>
          <w:spacing w:val="-1"/>
        </w:rPr>
        <w:t xml:space="preserve"> povinnost pro zam</w:t>
      </w:r>
      <w:r w:rsidRPr="00D17F3C">
        <w:rPr>
          <w:rFonts w:cs="Times New Roman"/>
          <w:color w:val="000000"/>
          <w:spacing w:val="-1"/>
        </w:rPr>
        <w:t>ě</w:t>
      </w:r>
      <w:r w:rsidRPr="00D17F3C">
        <w:rPr>
          <w:color w:val="000000"/>
          <w:spacing w:val="-1"/>
        </w:rPr>
        <w:t>stnavatele s v</w:t>
      </w:r>
      <w:r w:rsidRPr="00D17F3C">
        <w:rPr>
          <w:rFonts w:cs="Times New Roman"/>
          <w:color w:val="000000"/>
          <w:spacing w:val="-1"/>
        </w:rPr>
        <w:t>í</w:t>
      </w:r>
      <w:r w:rsidRPr="00D17F3C">
        <w:rPr>
          <w:color w:val="000000"/>
          <w:spacing w:val="-1"/>
        </w:rPr>
        <w:t xml:space="preserve">ce </w:t>
      </w:r>
      <w:r w:rsidRPr="00D17F3C">
        <w:rPr>
          <w:color w:val="000000"/>
        </w:rPr>
        <w:t>ne</w:t>
      </w:r>
      <w:r w:rsidRPr="00D17F3C">
        <w:rPr>
          <w:rFonts w:cs="Times New Roman"/>
          <w:color w:val="000000"/>
        </w:rPr>
        <w:t>ž</w:t>
      </w:r>
      <w:r w:rsidRPr="00D17F3C">
        <w:rPr>
          <w:color w:val="000000"/>
        </w:rPr>
        <w:t xml:space="preserve"> 25 zam</w:t>
      </w:r>
      <w:r w:rsidRPr="00D17F3C">
        <w:rPr>
          <w:rFonts w:cs="Times New Roman"/>
          <w:color w:val="000000"/>
        </w:rPr>
        <w:t>ě</w:t>
      </w:r>
      <w:r>
        <w:rPr>
          <w:color w:val="000000"/>
        </w:rPr>
        <w:t>stnanci v </w:t>
      </w:r>
      <w:r w:rsidRPr="00D17F3C">
        <w:rPr>
          <w:color w:val="000000"/>
        </w:rPr>
        <w:t>pracovn</w:t>
      </w:r>
      <w:r w:rsidRPr="00D17F3C">
        <w:rPr>
          <w:rFonts w:cs="Times New Roman"/>
          <w:color w:val="000000"/>
        </w:rPr>
        <w:t>í</w:t>
      </w:r>
      <w:r w:rsidRPr="00D17F3C">
        <w:rPr>
          <w:color w:val="000000"/>
        </w:rPr>
        <w:t>m pom</w:t>
      </w:r>
      <w:r w:rsidRPr="00D17F3C">
        <w:rPr>
          <w:rFonts w:cs="Times New Roman"/>
          <w:color w:val="000000"/>
        </w:rPr>
        <w:t>ě</w:t>
      </w:r>
      <w:r w:rsidRPr="00D17F3C">
        <w:rPr>
          <w:color w:val="000000"/>
        </w:rPr>
        <w:t>ru zam</w:t>
      </w:r>
      <w:r w:rsidRPr="00D17F3C">
        <w:rPr>
          <w:rFonts w:cs="Times New Roman"/>
          <w:color w:val="000000"/>
        </w:rPr>
        <w:t>ě</w:t>
      </w:r>
      <w:r w:rsidRPr="00D17F3C">
        <w:rPr>
          <w:color w:val="000000"/>
        </w:rPr>
        <w:t>stn</w:t>
      </w:r>
      <w:r w:rsidRPr="00D17F3C">
        <w:rPr>
          <w:rFonts w:cs="Times New Roman"/>
          <w:color w:val="000000"/>
        </w:rPr>
        <w:t>á</w:t>
      </w:r>
      <w:r w:rsidRPr="00D17F3C">
        <w:rPr>
          <w:color w:val="000000"/>
        </w:rPr>
        <w:t>vat OZP ve v</w:t>
      </w:r>
      <w:r w:rsidRPr="00D17F3C">
        <w:rPr>
          <w:rFonts w:cs="Times New Roman"/>
          <w:color w:val="000000"/>
        </w:rPr>
        <w:t>ýš</w:t>
      </w:r>
      <w:r w:rsidRPr="00D17F3C">
        <w:rPr>
          <w:color w:val="000000"/>
        </w:rPr>
        <w:t>i 4 % pod</w:t>
      </w:r>
      <w:r w:rsidRPr="00D17F3C">
        <w:rPr>
          <w:rFonts w:cs="Times New Roman"/>
          <w:color w:val="000000"/>
        </w:rPr>
        <w:t>í</w:t>
      </w:r>
      <w:r w:rsidRPr="00D17F3C">
        <w:rPr>
          <w:color w:val="000000"/>
        </w:rPr>
        <w:t>lu z celkov</w:t>
      </w:r>
      <w:r w:rsidRPr="00D17F3C">
        <w:rPr>
          <w:rFonts w:cs="Times New Roman"/>
          <w:color w:val="000000"/>
        </w:rPr>
        <w:t>é</w:t>
      </w:r>
      <w:r w:rsidRPr="00D17F3C">
        <w:rPr>
          <w:color w:val="000000"/>
        </w:rPr>
        <w:t>ho po</w:t>
      </w:r>
      <w:r w:rsidRPr="00D17F3C">
        <w:rPr>
          <w:rFonts w:cs="Times New Roman"/>
          <w:color w:val="000000"/>
        </w:rPr>
        <w:t>č</w:t>
      </w:r>
      <w:r w:rsidRPr="00D17F3C">
        <w:rPr>
          <w:color w:val="000000"/>
        </w:rPr>
        <w:t>tu sv</w:t>
      </w:r>
      <w:r w:rsidRPr="00D17F3C">
        <w:rPr>
          <w:rFonts w:cs="Times New Roman"/>
          <w:color w:val="000000"/>
        </w:rPr>
        <w:t>ý</w:t>
      </w:r>
      <w:r w:rsidRPr="00D17F3C">
        <w:rPr>
          <w:color w:val="000000"/>
        </w:rPr>
        <w:t>ch zam</w:t>
      </w:r>
      <w:r w:rsidRPr="00D17F3C">
        <w:rPr>
          <w:rFonts w:cs="Times New Roman"/>
          <w:color w:val="000000"/>
        </w:rPr>
        <w:t>ě</w:t>
      </w:r>
      <w:r w:rsidRPr="00D17F3C">
        <w:rPr>
          <w:color w:val="000000"/>
        </w:rPr>
        <w:t>stnanc</w:t>
      </w:r>
      <w:r w:rsidRPr="00D17F3C">
        <w:rPr>
          <w:rFonts w:cs="Times New Roman"/>
          <w:color w:val="000000"/>
        </w:rPr>
        <w:t>ů</w:t>
      </w:r>
      <w:r w:rsidRPr="00D17F3C">
        <w:rPr>
          <w:color w:val="000000"/>
        </w:rPr>
        <w:t>. Povinn</w:t>
      </w:r>
      <w:r w:rsidRPr="00D17F3C">
        <w:rPr>
          <w:rFonts w:cs="Times New Roman"/>
          <w:color w:val="000000"/>
        </w:rPr>
        <w:t>ý</w:t>
      </w:r>
      <w:r w:rsidRPr="00D17F3C">
        <w:rPr>
          <w:color w:val="000000"/>
        </w:rPr>
        <w:t xml:space="preserve"> pod</w:t>
      </w:r>
      <w:r w:rsidRPr="00D17F3C">
        <w:rPr>
          <w:rFonts w:cs="Times New Roman"/>
          <w:color w:val="000000"/>
        </w:rPr>
        <w:t>í</w:t>
      </w:r>
      <w:r w:rsidRPr="00D17F3C">
        <w:rPr>
          <w:color w:val="000000"/>
        </w:rPr>
        <w:t>l moh</w:t>
      </w:r>
      <w:r>
        <w:rPr>
          <w:color w:val="000000"/>
        </w:rPr>
        <w:t>ou</w:t>
      </w:r>
      <w:r w:rsidRPr="00D17F3C">
        <w:rPr>
          <w:color w:val="000000"/>
        </w:rPr>
        <w:t xml:space="preserve"> zam</w:t>
      </w:r>
      <w:r w:rsidRPr="00D17F3C">
        <w:rPr>
          <w:rFonts w:cs="Times New Roman"/>
          <w:color w:val="000000"/>
        </w:rPr>
        <w:t>ě</w:t>
      </w:r>
      <w:r w:rsidRPr="00D17F3C">
        <w:rPr>
          <w:color w:val="000000"/>
        </w:rPr>
        <w:t>stnavatel</w:t>
      </w:r>
      <w:r w:rsidRPr="00D17F3C">
        <w:rPr>
          <w:rFonts w:cs="Times New Roman"/>
          <w:color w:val="000000"/>
        </w:rPr>
        <w:t>é</w:t>
      </w:r>
      <w:r w:rsidRPr="00D17F3C">
        <w:rPr>
          <w:color w:val="000000"/>
        </w:rPr>
        <w:t xml:space="preserve"> plnit t</w:t>
      </w:r>
      <w:r w:rsidRPr="00D17F3C">
        <w:rPr>
          <w:rFonts w:cs="Times New Roman"/>
          <w:color w:val="000000"/>
        </w:rPr>
        <w:t>ř</w:t>
      </w:r>
      <w:r w:rsidRPr="00D17F3C">
        <w:rPr>
          <w:color w:val="000000"/>
        </w:rPr>
        <w:t xml:space="preserve">emi </w:t>
      </w:r>
      <w:r w:rsidRPr="00D17F3C">
        <w:rPr>
          <w:color w:val="000000"/>
          <w:spacing w:val="-1"/>
        </w:rPr>
        <w:t>zp</w:t>
      </w:r>
      <w:r w:rsidRPr="00D17F3C">
        <w:rPr>
          <w:rFonts w:cs="Times New Roman"/>
          <w:color w:val="000000"/>
          <w:spacing w:val="-1"/>
        </w:rPr>
        <w:t>ů</w:t>
      </w:r>
      <w:r w:rsidRPr="00D17F3C">
        <w:rPr>
          <w:color w:val="000000"/>
          <w:spacing w:val="-1"/>
        </w:rPr>
        <w:t>soby a jejich vz</w:t>
      </w:r>
      <w:r w:rsidRPr="00D17F3C">
        <w:rPr>
          <w:rFonts w:cs="Times New Roman"/>
          <w:color w:val="000000"/>
          <w:spacing w:val="-1"/>
        </w:rPr>
        <w:t>á</w:t>
      </w:r>
      <w:r w:rsidRPr="00D17F3C">
        <w:rPr>
          <w:color w:val="000000"/>
          <w:spacing w:val="-1"/>
        </w:rPr>
        <w:t>jemn</w:t>
      </w:r>
      <w:r w:rsidRPr="00D17F3C">
        <w:rPr>
          <w:rFonts w:cs="Times New Roman"/>
          <w:color w:val="000000"/>
          <w:spacing w:val="-1"/>
        </w:rPr>
        <w:t>ý</w:t>
      </w:r>
      <w:r w:rsidRPr="00D17F3C">
        <w:rPr>
          <w:color w:val="000000"/>
          <w:spacing w:val="-1"/>
        </w:rPr>
        <w:t>mi kombinacemi, a to p</w:t>
      </w:r>
      <w:r w:rsidRPr="00D17F3C">
        <w:rPr>
          <w:rFonts w:cs="Times New Roman"/>
          <w:color w:val="000000"/>
          <w:spacing w:val="-1"/>
        </w:rPr>
        <w:t>ří</w:t>
      </w:r>
      <w:r w:rsidRPr="00D17F3C">
        <w:rPr>
          <w:color w:val="000000"/>
          <w:spacing w:val="-1"/>
        </w:rPr>
        <w:t>m</w:t>
      </w:r>
      <w:r w:rsidRPr="00D17F3C">
        <w:rPr>
          <w:rFonts w:cs="Times New Roman"/>
          <w:color w:val="000000"/>
          <w:spacing w:val="-1"/>
        </w:rPr>
        <w:t>ý</w:t>
      </w:r>
      <w:r w:rsidRPr="00D17F3C">
        <w:rPr>
          <w:color w:val="000000"/>
          <w:spacing w:val="-1"/>
        </w:rPr>
        <w:t>m zam</w:t>
      </w:r>
      <w:r w:rsidRPr="00D17F3C">
        <w:rPr>
          <w:rFonts w:cs="Times New Roman"/>
          <w:color w:val="000000"/>
          <w:spacing w:val="-1"/>
        </w:rPr>
        <w:t>ě</w:t>
      </w:r>
      <w:r w:rsidRPr="00D17F3C">
        <w:rPr>
          <w:color w:val="000000"/>
          <w:spacing w:val="-1"/>
        </w:rPr>
        <w:t>stn</w:t>
      </w:r>
      <w:r w:rsidRPr="00D17F3C">
        <w:rPr>
          <w:rFonts w:cs="Times New Roman"/>
          <w:color w:val="000000"/>
          <w:spacing w:val="-1"/>
        </w:rPr>
        <w:t>á</w:t>
      </w:r>
      <w:r w:rsidRPr="00D17F3C">
        <w:rPr>
          <w:color w:val="000000"/>
          <w:spacing w:val="-1"/>
        </w:rPr>
        <w:t>v</w:t>
      </w:r>
      <w:r w:rsidRPr="00D17F3C">
        <w:rPr>
          <w:rFonts w:cs="Times New Roman"/>
          <w:color w:val="000000"/>
          <w:spacing w:val="-1"/>
        </w:rPr>
        <w:t>á</w:t>
      </w:r>
      <w:r w:rsidRPr="00D17F3C">
        <w:rPr>
          <w:color w:val="000000"/>
          <w:spacing w:val="-1"/>
        </w:rPr>
        <w:t>n</w:t>
      </w:r>
      <w:r w:rsidRPr="00D17F3C">
        <w:rPr>
          <w:rFonts w:cs="Times New Roman"/>
          <w:color w:val="000000"/>
          <w:spacing w:val="-1"/>
        </w:rPr>
        <w:t>í</w:t>
      </w:r>
      <w:r w:rsidRPr="00D17F3C">
        <w:rPr>
          <w:color w:val="000000"/>
          <w:spacing w:val="-1"/>
        </w:rPr>
        <w:t xml:space="preserve">m OZP, odvodem </w:t>
      </w:r>
      <w:r w:rsidRPr="00D17F3C">
        <w:rPr>
          <w:color w:val="000000"/>
        </w:rPr>
        <w:t>do st</w:t>
      </w:r>
      <w:r w:rsidRPr="00D17F3C">
        <w:rPr>
          <w:rFonts w:cs="Times New Roman"/>
          <w:color w:val="000000"/>
        </w:rPr>
        <w:t>á</w:t>
      </w:r>
      <w:r w:rsidRPr="00D17F3C">
        <w:rPr>
          <w:color w:val="000000"/>
        </w:rPr>
        <w:t>tn</w:t>
      </w:r>
      <w:r w:rsidRPr="00D17F3C">
        <w:rPr>
          <w:rFonts w:cs="Times New Roman"/>
          <w:color w:val="000000"/>
        </w:rPr>
        <w:t>í</w:t>
      </w:r>
      <w:r w:rsidRPr="00D17F3C">
        <w:rPr>
          <w:color w:val="000000"/>
        </w:rPr>
        <w:t>ho rozpo</w:t>
      </w:r>
      <w:r w:rsidRPr="00D17F3C">
        <w:rPr>
          <w:rFonts w:cs="Times New Roman"/>
          <w:color w:val="000000"/>
        </w:rPr>
        <w:t>č</w:t>
      </w:r>
      <w:r w:rsidRPr="00D17F3C">
        <w:rPr>
          <w:color w:val="000000"/>
        </w:rPr>
        <w:t>tu a odeb</w:t>
      </w:r>
      <w:r w:rsidRPr="00D17F3C">
        <w:rPr>
          <w:rFonts w:cs="Times New Roman"/>
          <w:color w:val="000000"/>
        </w:rPr>
        <w:t>í</w:t>
      </w:r>
      <w:r w:rsidRPr="00D17F3C">
        <w:rPr>
          <w:color w:val="000000"/>
        </w:rPr>
        <w:t>r</w:t>
      </w:r>
      <w:r w:rsidRPr="00D17F3C">
        <w:rPr>
          <w:rFonts w:cs="Times New Roman"/>
          <w:color w:val="000000"/>
        </w:rPr>
        <w:t>á</w:t>
      </w:r>
      <w:r w:rsidRPr="00D17F3C">
        <w:rPr>
          <w:color w:val="000000"/>
        </w:rPr>
        <w:t>n</w:t>
      </w:r>
      <w:r w:rsidRPr="00D17F3C">
        <w:rPr>
          <w:rFonts w:cs="Times New Roman"/>
          <w:color w:val="000000"/>
        </w:rPr>
        <w:t>í</w:t>
      </w:r>
      <w:r w:rsidRPr="00D17F3C">
        <w:rPr>
          <w:color w:val="000000"/>
        </w:rPr>
        <w:t>m v</w:t>
      </w:r>
      <w:r w:rsidRPr="00D17F3C">
        <w:rPr>
          <w:rFonts w:cs="Times New Roman"/>
          <w:color w:val="000000"/>
        </w:rPr>
        <w:t>ý</w:t>
      </w:r>
      <w:r w:rsidRPr="00D17F3C">
        <w:rPr>
          <w:color w:val="000000"/>
        </w:rPr>
        <w:t>robk</w:t>
      </w:r>
      <w:r w:rsidRPr="00D17F3C">
        <w:rPr>
          <w:rFonts w:cs="Times New Roman"/>
          <w:color w:val="000000"/>
        </w:rPr>
        <w:t>ů</w:t>
      </w:r>
      <w:r w:rsidRPr="00D17F3C">
        <w:rPr>
          <w:color w:val="000000"/>
        </w:rPr>
        <w:t xml:space="preserve"> nebo slu</w:t>
      </w:r>
      <w:r w:rsidRPr="00D17F3C">
        <w:rPr>
          <w:rFonts w:cs="Times New Roman"/>
          <w:color w:val="000000"/>
        </w:rPr>
        <w:t>ž</w:t>
      </w:r>
      <w:r w:rsidRPr="00D17F3C">
        <w:rPr>
          <w:color w:val="000000"/>
        </w:rPr>
        <w:t>eb od zam</w:t>
      </w:r>
      <w:r w:rsidRPr="00D17F3C">
        <w:rPr>
          <w:rFonts w:cs="Times New Roman"/>
          <w:color w:val="000000"/>
        </w:rPr>
        <w:t>ě</w:t>
      </w:r>
      <w:r w:rsidRPr="00D17F3C">
        <w:rPr>
          <w:color w:val="000000"/>
        </w:rPr>
        <w:t>stnavatel</w:t>
      </w:r>
      <w:r w:rsidRPr="00D17F3C">
        <w:rPr>
          <w:rFonts w:cs="Times New Roman"/>
          <w:color w:val="000000"/>
        </w:rPr>
        <w:t xml:space="preserve">ů </w:t>
      </w:r>
      <w:r w:rsidRPr="00D17F3C">
        <w:rPr>
          <w:color w:val="000000"/>
          <w:spacing w:val="-2"/>
        </w:rPr>
        <w:t>zam</w:t>
      </w:r>
      <w:r w:rsidRPr="00D17F3C">
        <w:rPr>
          <w:rFonts w:cs="Times New Roman"/>
          <w:color w:val="000000"/>
          <w:spacing w:val="-2"/>
        </w:rPr>
        <w:t>ě</w:t>
      </w:r>
      <w:r w:rsidRPr="00D17F3C">
        <w:rPr>
          <w:color w:val="000000"/>
          <w:spacing w:val="-2"/>
        </w:rPr>
        <w:t>stn</w:t>
      </w:r>
      <w:r w:rsidRPr="00D17F3C">
        <w:rPr>
          <w:rFonts w:cs="Times New Roman"/>
          <w:color w:val="000000"/>
          <w:spacing w:val="-2"/>
        </w:rPr>
        <w:t>á</w:t>
      </w:r>
      <w:r w:rsidRPr="00D17F3C">
        <w:rPr>
          <w:color w:val="000000"/>
          <w:spacing w:val="-2"/>
        </w:rPr>
        <w:t>vaj</w:t>
      </w:r>
      <w:r w:rsidRPr="00D17F3C">
        <w:rPr>
          <w:rFonts w:cs="Times New Roman"/>
          <w:color w:val="000000"/>
          <w:spacing w:val="-2"/>
        </w:rPr>
        <w:t>í</w:t>
      </w:r>
      <w:r w:rsidRPr="00D17F3C">
        <w:rPr>
          <w:color w:val="000000"/>
          <w:spacing w:val="-2"/>
        </w:rPr>
        <w:t>c</w:t>
      </w:r>
      <w:r w:rsidRPr="00D17F3C">
        <w:rPr>
          <w:rFonts w:cs="Times New Roman"/>
          <w:color w:val="000000"/>
          <w:spacing w:val="-2"/>
        </w:rPr>
        <w:t>í</w:t>
      </w:r>
      <w:r w:rsidRPr="00D17F3C">
        <w:rPr>
          <w:color w:val="000000"/>
          <w:spacing w:val="-2"/>
        </w:rPr>
        <w:t>ch v</w:t>
      </w:r>
      <w:r w:rsidRPr="00D17F3C">
        <w:rPr>
          <w:rFonts w:cs="Times New Roman"/>
          <w:color w:val="000000"/>
          <w:spacing w:val="-2"/>
        </w:rPr>
        <w:t>í</w:t>
      </w:r>
      <w:r w:rsidRPr="00D17F3C">
        <w:rPr>
          <w:color w:val="000000"/>
          <w:spacing w:val="-2"/>
        </w:rPr>
        <w:t>ce ne</w:t>
      </w:r>
      <w:r w:rsidRPr="00D17F3C">
        <w:rPr>
          <w:rFonts w:cs="Times New Roman"/>
          <w:color w:val="000000"/>
          <w:spacing w:val="-2"/>
        </w:rPr>
        <w:t>ž</w:t>
      </w:r>
      <w:r w:rsidRPr="00D17F3C">
        <w:rPr>
          <w:color w:val="000000"/>
          <w:spacing w:val="-2"/>
        </w:rPr>
        <w:t xml:space="preserve"> 50 % OZP (tzv. n</w:t>
      </w:r>
      <w:r w:rsidRPr="00D17F3C">
        <w:rPr>
          <w:rFonts w:cs="Times New Roman"/>
          <w:color w:val="000000"/>
          <w:spacing w:val="-2"/>
        </w:rPr>
        <w:t>á</w:t>
      </w:r>
      <w:r w:rsidRPr="00D17F3C">
        <w:rPr>
          <w:color w:val="000000"/>
          <w:spacing w:val="-2"/>
        </w:rPr>
        <w:t>hradn</w:t>
      </w:r>
      <w:r w:rsidRPr="00D17F3C">
        <w:rPr>
          <w:rFonts w:cs="Times New Roman"/>
          <w:color w:val="000000"/>
          <w:spacing w:val="-2"/>
        </w:rPr>
        <w:t>í</w:t>
      </w:r>
      <w:r w:rsidRPr="00D17F3C">
        <w:rPr>
          <w:color w:val="000000"/>
          <w:spacing w:val="-2"/>
        </w:rPr>
        <w:t>m pln</w:t>
      </w:r>
      <w:r w:rsidRPr="00D17F3C">
        <w:rPr>
          <w:rFonts w:cs="Times New Roman"/>
          <w:color w:val="000000"/>
          <w:spacing w:val="-2"/>
        </w:rPr>
        <w:t>ě</w:t>
      </w:r>
      <w:r w:rsidRPr="00D17F3C">
        <w:rPr>
          <w:color w:val="000000"/>
          <w:spacing w:val="-2"/>
        </w:rPr>
        <w:t>n</w:t>
      </w:r>
      <w:r w:rsidRPr="00D17F3C">
        <w:rPr>
          <w:rFonts w:cs="Times New Roman"/>
          <w:color w:val="000000"/>
          <w:spacing w:val="-2"/>
        </w:rPr>
        <w:t>í</w:t>
      </w:r>
      <w:r w:rsidRPr="00D17F3C">
        <w:rPr>
          <w:color w:val="000000"/>
          <w:spacing w:val="-2"/>
        </w:rPr>
        <w:t xml:space="preserve">m). </w:t>
      </w:r>
    </w:p>
  </w:footnote>
  <w:footnote w:id="11">
    <w:p w14:paraId="50B083AF" w14:textId="18184A40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Pro účely plnění povinného podílu mohou zaměstnavatelé poskytnout výrobky a služby pouze do výše 36násobku průměrné mzdy v národním hospodářství za první až třetí čtvrtletí předcházejícího roku za každého přepočteného zaměstnance OZP zaměstnaného v předchozím kalendářním roce.</w:t>
      </w:r>
    </w:p>
  </w:footnote>
  <w:footnote w:id="12">
    <w:p w14:paraId="3CBC2428" w14:textId="6B1E0351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333D6">
        <w:t>Zákon č.</w:t>
      </w:r>
      <w:r>
        <w:t xml:space="preserve"> 320/2001 Sb., o finanční kontrole ve veřejné správě a o změně některých zákonů (zákon o finanční kontrole).</w:t>
      </w:r>
    </w:p>
  </w:footnote>
  <w:footnote w:id="13">
    <w:p w14:paraId="6C8A6486" w14:textId="326505B5" w:rsidR="00EF2A9C" w:rsidRDefault="00EF2A9C" w:rsidP="00A4595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Nařízení vlády č. 246/2012 Sb., </w:t>
      </w:r>
      <w:r w:rsidRPr="00AF19A9">
        <w:t>kterým se mění nařízení vlády</w:t>
      </w:r>
      <w:r>
        <w:t xml:space="preserve"> </w:t>
      </w:r>
      <w:r w:rsidRPr="00AF19A9">
        <w:t>č. 56</w:t>
      </w:r>
      <w:r>
        <w:t>7/2006 Sb., o minimální mzdě, o </w:t>
      </w:r>
      <w:r w:rsidRPr="00AF19A9">
        <w:t>nejnižších úrovních zaručené mzdy, o vymezení ztíženého pracovního prostředí a o výši příplatku ke mzdě za práci ve ztíženém pracovním prostředí, ve znění pozdějších předpisů</w:t>
      </w:r>
      <w:r>
        <w:t xml:space="preserve">. </w:t>
      </w:r>
      <w:r w:rsidRPr="0029459B">
        <w:t>Ustanovení § 4 citovaného nařízení vlády bylo zrušeno nařízením vlády č. 336/2016</w:t>
      </w:r>
      <w:r>
        <w:t xml:space="preserve">, </w:t>
      </w:r>
      <w:r w:rsidRPr="0029459B">
        <w:t>kterým se mění nařízení vlády č. 56</w:t>
      </w:r>
      <w:r>
        <w:t>7/2006 Sb., o minimální mzdě, o </w:t>
      </w:r>
      <w:r w:rsidRPr="0029459B">
        <w:t>nejnižších úrovních zaručené mzdy, o vymezení ztíženého pracovního prostředí a o výši příplatku ke mzdě za práci ve ztíženém pracovním prostředí, ve znění pozdějších předpisů</w:t>
      </w:r>
      <w:r>
        <w:t>,</w:t>
      </w:r>
      <w:r w:rsidRPr="0029459B">
        <w:t xml:space="preserve"> s účinností od 1. 1. 2017.</w:t>
      </w:r>
    </w:p>
  </w:footnote>
  <w:footnote w:id="14">
    <w:p w14:paraId="0450B98E" w14:textId="43B8FBA1" w:rsidR="00EF2A9C" w:rsidRDefault="00EF2A9C" w:rsidP="00AF546B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Institut chráněná pracovní dílna byl sloučen s institutem chráněné pracovní místo od 1. 1. 2012. </w:t>
      </w:r>
    </w:p>
  </w:footnote>
  <w:footnote w:id="15">
    <w:p w14:paraId="60B7156B" w14:textId="592CCB00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Období let 2006–2009 bylo kontrolovaným obdobím kontrolní akce 10/03 – </w:t>
      </w:r>
      <w:r w:rsidRPr="00927D14">
        <w:rPr>
          <w:i/>
        </w:rPr>
        <w:t>Peněžní prostředky státu určené na podporu a integraci občanů se zdravotním postižením</w:t>
      </w:r>
      <w:r>
        <w:t xml:space="preserve"> (kontrolní závěr byl zveřejněn v částce 4/2010 </w:t>
      </w:r>
      <w:r>
        <w:rPr>
          <w:i/>
        </w:rPr>
        <w:t>Věstníku NKÚ</w:t>
      </w:r>
      <w:r>
        <w:t>).</w:t>
      </w:r>
    </w:p>
  </w:footnote>
  <w:footnote w:id="16">
    <w:p w14:paraId="6F571663" w14:textId="154C3F8A" w:rsidR="00EF2A9C" w:rsidRDefault="00EF2A9C" w:rsidP="00CB5C7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Zákon č. 255/2012 Sb., </w:t>
      </w:r>
      <w:r w:rsidRPr="00C15814">
        <w:t>o kontrole (kontrolní řád)</w:t>
      </w:r>
      <w:r>
        <w:t>.</w:t>
      </w:r>
    </w:p>
  </w:footnote>
  <w:footnote w:id="17">
    <w:p w14:paraId="451427E6" w14:textId="292E48E2" w:rsidR="00EF2A9C" w:rsidRPr="000E2FFB" w:rsidRDefault="00EF2A9C" w:rsidP="00CB5C79">
      <w:pPr>
        <w:pStyle w:val="Textpoznpodarou"/>
        <w:ind w:left="284" w:hanging="284"/>
        <w:rPr>
          <w:i/>
        </w:rPr>
      </w:pPr>
      <w:r>
        <w:rPr>
          <w:rStyle w:val="Znakapoznpodarou"/>
        </w:rPr>
        <w:footnoteRef/>
      </w:r>
      <w:r>
        <w:t xml:space="preserve"> </w:t>
      </w:r>
      <w:r>
        <w:tab/>
        <w:t>„</w:t>
      </w:r>
      <w:r>
        <w:rPr>
          <w:i/>
        </w:rPr>
        <w:t>Přesný počet OZP v ČR nebyl v době kontroly znám a k dispozici nebyly ani přesné údaje o ekonomické aktivitě a zaměstnanosti OZP. MPSV u zákonných nástrojů nestanovilo žádné konkrétní a měřitelné cíle, jichž by mělo být v oblasti zaměstnávání OZP dosaženo, nesleduje ani v jaké míře se na zaměstnávání OZP podílejí jednotlivé skupiny zaměstnavatelů. Absence těchto údajů znemožňuje hodnocení a ztěžuje zavedení takových cílů a nástrojů, které by motivovaly všechny skupiny zaměstnavatelů.</w:t>
      </w:r>
      <w:r w:rsidRPr="00927D14">
        <w:t>“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36755" w14:textId="77777777" w:rsidR="00A9100F" w:rsidRPr="000F73C9" w:rsidRDefault="00F14506" w:rsidP="00C720EF">
    <w:pPr>
      <w:pStyle w:val="Zhlav"/>
      <w:jc w:val="right"/>
      <w:rPr>
        <w:b/>
      </w:rPr>
    </w:pPr>
    <w:r w:rsidRPr="000F73C9">
      <w:rPr>
        <w:b/>
      </w:rPr>
      <w:t>Příloha</w:t>
    </w:r>
    <w:r>
      <w:rPr>
        <w:b/>
      </w:rPr>
      <w:t xml:space="preserve">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58E"/>
    <w:multiLevelType w:val="hybridMultilevel"/>
    <w:tmpl w:val="3402B262"/>
    <w:lvl w:ilvl="0" w:tplc="FCC828B8">
      <w:start w:val="1"/>
      <w:numFmt w:val="decimal"/>
      <w:lvlText w:val="Tabulka č. %1:"/>
      <w:lvlJc w:val="left"/>
      <w:pPr>
        <w:ind w:left="2062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A06A80"/>
    <w:multiLevelType w:val="hybridMultilevel"/>
    <w:tmpl w:val="F8C431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213"/>
    <w:multiLevelType w:val="hybridMultilevel"/>
    <w:tmpl w:val="63147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DB3C5A"/>
    <w:multiLevelType w:val="hybridMultilevel"/>
    <w:tmpl w:val="F4DC350A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5BF1F16"/>
    <w:multiLevelType w:val="hybridMultilevel"/>
    <w:tmpl w:val="1B5041F0"/>
    <w:lvl w:ilvl="0" w:tplc="370A0968">
      <w:start w:val="1"/>
      <w:numFmt w:val="upperRoman"/>
      <w:pStyle w:val="Nzevtext"/>
      <w:lvlText w:val="%1."/>
      <w:lvlJc w:val="right"/>
      <w:pPr>
        <w:ind w:left="567" w:hanging="20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30E63"/>
    <w:multiLevelType w:val="hybridMultilevel"/>
    <w:tmpl w:val="55CE1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01090"/>
    <w:multiLevelType w:val="multilevel"/>
    <w:tmpl w:val="9762FCF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667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>
    <w:nsid w:val="5F093800"/>
    <w:multiLevelType w:val="hybridMultilevel"/>
    <w:tmpl w:val="3CF622D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691E6EE4"/>
    <w:multiLevelType w:val="hybridMultilevel"/>
    <w:tmpl w:val="283832AE"/>
    <w:lvl w:ilvl="0" w:tplc="8604BCC0">
      <w:start w:val="1"/>
      <w:numFmt w:val="decimal"/>
      <w:pStyle w:val="Nzevtabulky"/>
      <w:lvlText w:val="Tabulka č. %1:"/>
      <w:lvlJc w:val="left"/>
      <w:pPr>
        <w:ind w:left="610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6827" w:hanging="360"/>
      </w:pPr>
    </w:lvl>
    <w:lvl w:ilvl="2" w:tplc="0405001B" w:tentative="1">
      <w:start w:val="1"/>
      <w:numFmt w:val="lowerRoman"/>
      <w:lvlText w:val="%3."/>
      <w:lvlJc w:val="right"/>
      <w:pPr>
        <w:ind w:left="7547" w:hanging="180"/>
      </w:pPr>
    </w:lvl>
    <w:lvl w:ilvl="3" w:tplc="0405000F" w:tentative="1">
      <w:start w:val="1"/>
      <w:numFmt w:val="decimal"/>
      <w:lvlText w:val="%4."/>
      <w:lvlJc w:val="left"/>
      <w:pPr>
        <w:ind w:left="8267" w:hanging="360"/>
      </w:pPr>
    </w:lvl>
    <w:lvl w:ilvl="4" w:tplc="04050019" w:tentative="1">
      <w:start w:val="1"/>
      <w:numFmt w:val="lowerLetter"/>
      <w:lvlText w:val="%5."/>
      <w:lvlJc w:val="left"/>
      <w:pPr>
        <w:ind w:left="8987" w:hanging="360"/>
      </w:pPr>
    </w:lvl>
    <w:lvl w:ilvl="5" w:tplc="0405001B" w:tentative="1">
      <w:start w:val="1"/>
      <w:numFmt w:val="lowerRoman"/>
      <w:lvlText w:val="%6."/>
      <w:lvlJc w:val="right"/>
      <w:pPr>
        <w:ind w:left="9707" w:hanging="180"/>
      </w:pPr>
    </w:lvl>
    <w:lvl w:ilvl="6" w:tplc="0405000F" w:tentative="1">
      <w:start w:val="1"/>
      <w:numFmt w:val="decimal"/>
      <w:lvlText w:val="%7."/>
      <w:lvlJc w:val="left"/>
      <w:pPr>
        <w:ind w:left="10427" w:hanging="360"/>
      </w:pPr>
    </w:lvl>
    <w:lvl w:ilvl="7" w:tplc="04050019" w:tentative="1">
      <w:start w:val="1"/>
      <w:numFmt w:val="lowerLetter"/>
      <w:lvlText w:val="%8."/>
      <w:lvlJc w:val="left"/>
      <w:pPr>
        <w:ind w:left="11147" w:hanging="360"/>
      </w:pPr>
    </w:lvl>
    <w:lvl w:ilvl="8" w:tplc="0405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9">
    <w:nsid w:val="69CE5E79"/>
    <w:multiLevelType w:val="hybridMultilevel"/>
    <w:tmpl w:val="FE6E72F6"/>
    <w:lvl w:ilvl="0" w:tplc="D3C260A4">
      <w:start w:val="1"/>
      <w:numFmt w:val="decimal"/>
      <w:pStyle w:val="Graf"/>
      <w:lvlText w:val="Graf č. %1: "/>
      <w:lvlJc w:val="left"/>
      <w:pPr>
        <w:ind w:left="1191" w:hanging="119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B11EB"/>
    <w:multiLevelType w:val="hybridMultilevel"/>
    <w:tmpl w:val="4EC07A1E"/>
    <w:lvl w:ilvl="0" w:tplc="6CC89470">
      <w:start w:val="1"/>
      <w:numFmt w:val="bullet"/>
      <w:pStyle w:val="Odstavecseseznam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5"/>
  </w:num>
  <w:num w:numId="10">
    <w:abstractNumId w:val="3"/>
  </w:num>
  <w:num w:numId="11">
    <w:abstractNumId w:val="7"/>
  </w:num>
  <w:num w:numId="12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53"/>
    <w:rsid w:val="000002E6"/>
    <w:rsid w:val="0000078F"/>
    <w:rsid w:val="00000ED3"/>
    <w:rsid w:val="00000F47"/>
    <w:rsid w:val="000011C1"/>
    <w:rsid w:val="0000231C"/>
    <w:rsid w:val="00002FA2"/>
    <w:rsid w:val="00003337"/>
    <w:rsid w:val="00003659"/>
    <w:rsid w:val="00004535"/>
    <w:rsid w:val="0000470A"/>
    <w:rsid w:val="00005834"/>
    <w:rsid w:val="00005B77"/>
    <w:rsid w:val="00005D9A"/>
    <w:rsid w:val="00006207"/>
    <w:rsid w:val="00006305"/>
    <w:rsid w:val="00007C1F"/>
    <w:rsid w:val="00007E11"/>
    <w:rsid w:val="00010997"/>
    <w:rsid w:val="00011432"/>
    <w:rsid w:val="00015082"/>
    <w:rsid w:val="00016287"/>
    <w:rsid w:val="00016EEB"/>
    <w:rsid w:val="000176F3"/>
    <w:rsid w:val="00017856"/>
    <w:rsid w:val="00022711"/>
    <w:rsid w:val="00023051"/>
    <w:rsid w:val="00023BC1"/>
    <w:rsid w:val="00023F74"/>
    <w:rsid w:val="00024274"/>
    <w:rsid w:val="00024D69"/>
    <w:rsid w:val="00025301"/>
    <w:rsid w:val="00027844"/>
    <w:rsid w:val="00027E5D"/>
    <w:rsid w:val="00027EF1"/>
    <w:rsid w:val="0003056B"/>
    <w:rsid w:val="000307B0"/>
    <w:rsid w:val="00032061"/>
    <w:rsid w:val="00032142"/>
    <w:rsid w:val="00032B81"/>
    <w:rsid w:val="00033039"/>
    <w:rsid w:val="0003370F"/>
    <w:rsid w:val="00033F8C"/>
    <w:rsid w:val="00034154"/>
    <w:rsid w:val="00034507"/>
    <w:rsid w:val="0003516A"/>
    <w:rsid w:val="00035970"/>
    <w:rsid w:val="00035AEB"/>
    <w:rsid w:val="00036637"/>
    <w:rsid w:val="00040B8B"/>
    <w:rsid w:val="00041769"/>
    <w:rsid w:val="000431CF"/>
    <w:rsid w:val="00043284"/>
    <w:rsid w:val="000439F3"/>
    <w:rsid w:val="000454F9"/>
    <w:rsid w:val="00046D1A"/>
    <w:rsid w:val="00047066"/>
    <w:rsid w:val="00047B9B"/>
    <w:rsid w:val="00047EB9"/>
    <w:rsid w:val="00050363"/>
    <w:rsid w:val="00050F2C"/>
    <w:rsid w:val="00051132"/>
    <w:rsid w:val="00051D3B"/>
    <w:rsid w:val="00051F4C"/>
    <w:rsid w:val="00052DB2"/>
    <w:rsid w:val="00053025"/>
    <w:rsid w:val="000549F4"/>
    <w:rsid w:val="00054F4F"/>
    <w:rsid w:val="00055155"/>
    <w:rsid w:val="00061392"/>
    <w:rsid w:val="0006208A"/>
    <w:rsid w:val="0006242D"/>
    <w:rsid w:val="00062CEA"/>
    <w:rsid w:val="00062D8D"/>
    <w:rsid w:val="00062FC6"/>
    <w:rsid w:val="000632AE"/>
    <w:rsid w:val="000634E2"/>
    <w:rsid w:val="00063942"/>
    <w:rsid w:val="0006469B"/>
    <w:rsid w:val="00065C3A"/>
    <w:rsid w:val="000664B8"/>
    <w:rsid w:val="00066B15"/>
    <w:rsid w:val="000677DD"/>
    <w:rsid w:val="00067C68"/>
    <w:rsid w:val="00067CCF"/>
    <w:rsid w:val="00071AD4"/>
    <w:rsid w:val="00072B82"/>
    <w:rsid w:val="000730CE"/>
    <w:rsid w:val="0007323E"/>
    <w:rsid w:val="000733BA"/>
    <w:rsid w:val="00073647"/>
    <w:rsid w:val="000756D2"/>
    <w:rsid w:val="00076DDD"/>
    <w:rsid w:val="00076EEA"/>
    <w:rsid w:val="00077643"/>
    <w:rsid w:val="00077AC4"/>
    <w:rsid w:val="00077F2E"/>
    <w:rsid w:val="00081006"/>
    <w:rsid w:val="00081E11"/>
    <w:rsid w:val="00081F1A"/>
    <w:rsid w:val="000823BA"/>
    <w:rsid w:val="00082DAA"/>
    <w:rsid w:val="00084DE3"/>
    <w:rsid w:val="000856DE"/>
    <w:rsid w:val="000866EA"/>
    <w:rsid w:val="00086993"/>
    <w:rsid w:val="00086A39"/>
    <w:rsid w:val="000879F8"/>
    <w:rsid w:val="00087CFC"/>
    <w:rsid w:val="00091209"/>
    <w:rsid w:val="000912E2"/>
    <w:rsid w:val="000914CD"/>
    <w:rsid w:val="000915DE"/>
    <w:rsid w:val="0009161B"/>
    <w:rsid w:val="00091D38"/>
    <w:rsid w:val="00091DD1"/>
    <w:rsid w:val="0009313B"/>
    <w:rsid w:val="00093399"/>
    <w:rsid w:val="00094129"/>
    <w:rsid w:val="000945EA"/>
    <w:rsid w:val="00094771"/>
    <w:rsid w:val="000954CA"/>
    <w:rsid w:val="0009591C"/>
    <w:rsid w:val="00096267"/>
    <w:rsid w:val="00096C51"/>
    <w:rsid w:val="00097126"/>
    <w:rsid w:val="00097681"/>
    <w:rsid w:val="000976D6"/>
    <w:rsid w:val="00097A36"/>
    <w:rsid w:val="000A0602"/>
    <w:rsid w:val="000A28E3"/>
    <w:rsid w:val="000A3038"/>
    <w:rsid w:val="000A440F"/>
    <w:rsid w:val="000A6276"/>
    <w:rsid w:val="000A6598"/>
    <w:rsid w:val="000A6794"/>
    <w:rsid w:val="000A6FE1"/>
    <w:rsid w:val="000A7355"/>
    <w:rsid w:val="000A7654"/>
    <w:rsid w:val="000A7932"/>
    <w:rsid w:val="000B0C0C"/>
    <w:rsid w:val="000B2306"/>
    <w:rsid w:val="000B2398"/>
    <w:rsid w:val="000B33DA"/>
    <w:rsid w:val="000B59E5"/>
    <w:rsid w:val="000B6189"/>
    <w:rsid w:val="000C0EFD"/>
    <w:rsid w:val="000C18B7"/>
    <w:rsid w:val="000C24BB"/>
    <w:rsid w:val="000C2634"/>
    <w:rsid w:val="000C2B60"/>
    <w:rsid w:val="000C2DB8"/>
    <w:rsid w:val="000C2E29"/>
    <w:rsid w:val="000C37E0"/>
    <w:rsid w:val="000C44BF"/>
    <w:rsid w:val="000C48FD"/>
    <w:rsid w:val="000C4B64"/>
    <w:rsid w:val="000C4E40"/>
    <w:rsid w:val="000C5D99"/>
    <w:rsid w:val="000C7D55"/>
    <w:rsid w:val="000D0211"/>
    <w:rsid w:val="000D0D79"/>
    <w:rsid w:val="000D1416"/>
    <w:rsid w:val="000D183A"/>
    <w:rsid w:val="000D1D85"/>
    <w:rsid w:val="000D204C"/>
    <w:rsid w:val="000D3255"/>
    <w:rsid w:val="000D38FA"/>
    <w:rsid w:val="000D3FBC"/>
    <w:rsid w:val="000D418D"/>
    <w:rsid w:val="000D46D2"/>
    <w:rsid w:val="000D4733"/>
    <w:rsid w:val="000D5801"/>
    <w:rsid w:val="000D6DCC"/>
    <w:rsid w:val="000D70C6"/>
    <w:rsid w:val="000E010F"/>
    <w:rsid w:val="000E02F1"/>
    <w:rsid w:val="000E089D"/>
    <w:rsid w:val="000E1044"/>
    <w:rsid w:val="000E1880"/>
    <w:rsid w:val="000E1B6F"/>
    <w:rsid w:val="000E1F8A"/>
    <w:rsid w:val="000E2095"/>
    <w:rsid w:val="000E2A7D"/>
    <w:rsid w:val="000E2F13"/>
    <w:rsid w:val="000E2FFB"/>
    <w:rsid w:val="000E33DE"/>
    <w:rsid w:val="000E3875"/>
    <w:rsid w:val="000E4271"/>
    <w:rsid w:val="000E4517"/>
    <w:rsid w:val="000E4CAB"/>
    <w:rsid w:val="000E51EB"/>
    <w:rsid w:val="000E6497"/>
    <w:rsid w:val="000E6C47"/>
    <w:rsid w:val="000E6F8D"/>
    <w:rsid w:val="000E772C"/>
    <w:rsid w:val="000E7BDC"/>
    <w:rsid w:val="000E7CFD"/>
    <w:rsid w:val="000F0C67"/>
    <w:rsid w:val="000F0DA9"/>
    <w:rsid w:val="000F13D6"/>
    <w:rsid w:val="000F189E"/>
    <w:rsid w:val="000F18FC"/>
    <w:rsid w:val="000F2787"/>
    <w:rsid w:val="000F2900"/>
    <w:rsid w:val="000F2A5E"/>
    <w:rsid w:val="000F341F"/>
    <w:rsid w:val="000F3B3C"/>
    <w:rsid w:val="000F48EC"/>
    <w:rsid w:val="000F4E32"/>
    <w:rsid w:val="000F5454"/>
    <w:rsid w:val="000F7505"/>
    <w:rsid w:val="000F7531"/>
    <w:rsid w:val="000F7990"/>
    <w:rsid w:val="000F7F3F"/>
    <w:rsid w:val="00101646"/>
    <w:rsid w:val="001059B2"/>
    <w:rsid w:val="00105AEA"/>
    <w:rsid w:val="001061D9"/>
    <w:rsid w:val="00107204"/>
    <w:rsid w:val="00110C2E"/>
    <w:rsid w:val="00110DF7"/>
    <w:rsid w:val="001110F1"/>
    <w:rsid w:val="00112B64"/>
    <w:rsid w:val="00113036"/>
    <w:rsid w:val="0011365F"/>
    <w:rsid w:val="00113C84"/>
    <w:rsid w:val="00114110"/>
    <w:rsid w:val="001144D6"/>
    <w:rsid w:val="00114D6A"/>
    <w:rsid w:val="001155AF"/>
    <w:rsid w:val="00115646"/>
    <w:rsid w:val="001164B1"/>
    <w:rsid w:val="00117009"/>
    <w:rsid w:val="0012226C"/>
    <w:rsid w:val="00122E04"/>
    <w:rsid w:val="001233F3"/>
    <w:rsid w:val="00124286"/>
    <w:rsid w:val="0012516B"/>
    <w:rsid w:val="001251BE"/>
    <w:rsid w:val="00125DA0"/>
    <w:rsid w:val="001261A7"/>
    <w:rsid w:val="001266B9"/>
    <w:rsid w:val="001267B4"/>
    <w:rsid w:val="0012723F"/>
    <w:rsid w:val="00127409"/>
    <w:rsid w:val="00127B1E"/>
    <w:rsid w:val="0013101E"/>
    <w:rsid w:val="0013193A"/>
    <w:rsid w:val="001333D6"/>
    <w:rsid w:val="00135710"/>
    <w:rsid w:val="00137F87"/>
    <w:rsid w:val="00140017"/>
    <w:rsid w:val="00140B21"/>
    <w:rsid w:val="00142CED"/>
    <w:rsid w:val="00142EED"/>
    <w:rsid w:val="00142F32"/>
    <w:rsid w:val="001433E6"/>
    <w:rsid w:val="001440BE"/>
    <w:rsid w:val="0014498F"/>
    <w:rsid w:val="00146385"/>
    <w:rsid w:val="0014762D"/>
    <w:rsid w:val="0015118C"/>
    <w:rsid w:val="0015231C"/>
    <w:rsid w:val="00153658"/>
    <w:rsid w:val="001539FE"/>
    <w:rsid w:val="001544EE"/>
    <w:rsid w:val="00154609"/>
    <w:rsid w:val="0015521A"/>
    <w:rsid w:val="00155A6A"/>
    <w:rsid w:val="00155EBA"/>
    <w:rsid w:val="00156348"/>
    <w:rsid w:val="001569A7"/>
    <w:rsid w:val="00156AA2"/>
    <w:rsid w:val="00157A89"/>
    <w:rsid w:val="00157EDC"/>
    <w:rsid w:val="00157F63"/>
    <w:rsid w:val="00160EE3"/>
    <w:rsid w:val="001619B6"/>
    <w:rsid w:val="0016237C"/>
    <w:rsid w:val="00162EDD"/>
    <w:rsid w:val="00163CDB"/>
    <w:rsid w:val="001661C1"/>
    <w:rsid w:val="0016681C"/>
    <w:rsid w:val="001668DD"/>
    <w:rsid w:val="00167362"/>
    <w:rsid w:val="00167D88"/>
    <w:rsid w:val="00171013"/>
    <w:rsid w:val="0017167B"/>
    <w:rsid w:val="00172CFF"/>
    <w:rsid w:val="0017621E"/>
    <w:rsid w:val="0017659D"/>
    <w:rsid w:val="001773B6"/>
    <w:rsid w:val="00180BC9"/>
    <w:rsid w:val="00181203"/>
    <w:rsid w:val="0018350B"/>
    <w:rsid w:val="0018377F"/>
    <w:rsid w:val="001856EF"/>
    <w:rsid w:val="0018661B"/>
    <w:rsid w:val="00187D69"/>
    <w:rsid w:val="00191068"/>
    <w:rsid w:val="0019122D"/>
    <w:rsid w:val="001919A7"/>
    <w:rsid w:val="00192460"/>
    <w:rsid w:val="001926E7"/>
    <w:rsid w:val="001948FD"/>
    <w:rsid w:val="00194F90"/>
    <w:rsid w:val="001957D6"/>
    <w:rsid w:val="001960CA"/>
    <w:rsid w:val="00197617"/>
    <w:rsid w:val="00197E21"/>
    <w:rsid w:val="001A050E"/>
    <w:rsid w:val="001A0528"/>
    <w:rsid w:val="001A0F4A"/>
    <w:rsid w:val="001A1AA0"/>
    <w:rsid w:val="001A21D5"/>
    <w:rsid w:val="001A321F"/>
    <w:rsid w:val="001A35D6"/>
    <w:rsid w:val="001A50C4"/>
    <w:rsid w:val="001A5507"/>
    <w:rsid w:val="001A5CF0"/>
    <w:rsid w:val="001A6BAB"/>
    <w:rsid w:val="001A72D7"/>
    <w:rsid w:val="001A74DB"/>
    <w:rsid w:val="001A7A12"/>
    <w:rsid w:val="001B006E"/>
    <w:rsid w:val="001B021F"/>
    <w:rsid w:val="001B0A2C"/>
    <w:rsid w:val="001B20C4"/>
    <w:rsid w:val="001B29F6"/>
    <w:rsid w:val="001B2DA0"/>
    <w:rsid w:val="001B4A75"/>
    <w:rsid w:val="001B4C98"/>
    <w:rsid w:val="001B50D5"/>
    <w:rsid w:val="001B5B93"/>
    <w:rsid w:val="001B7CBA"/>
    <w:rsid w:val="001C076A"/>
    <w:rsid w:val="001C08C9"/>
    <w:rsid w:val="001C0A6E"/>
    <w:rsid w:val="001C0CBE"/>
    <w:rsid w:val="001C1B1F"/>
    <w:rsid w:val="001C374A"/>
    <w:rsid w:val="001C37B9"/>
    <w:rsid w:val="001C5A5C"/>
    <w:rsid w:val="001C62E0"/>
    <w:rsid w:val="001C6901"/>
    <w:rsid w:val="001C6D31"/>
    <w:rsid w:val="001C779F"/>
    <w:rsid w:val="001C7BB2"/>
    <w:rsid w:val="001C7E86"/>
    <w:rsid w:val="001D0034"/>
    <w:rsid w:val="001D0416"/>
    <w:rsid w:val="001D157E"/>
    <w:rsid w:val="001D178E"/>
    <w:rsid w:val="001D183C"/>
    <w:rsid w:val="001D27AB"/>
    <w:rsid w:val="001D5B58"/>
    <w:rsid w:val="001D6147"/>
    <w:rsid w:val="001D6799"/>
    <w:rsid w:val="001D6AEC"/>
    <w:rsid w:val="001D6BAE"/>
    <w:rsid w:val="001D6F5E"/>
    <w:rsid w:val="001E056F"/>
    <w:rsid w:val="001E1729"/>
    <w:rsid w:val="001E24C6"/>
    <w:rsid w:val="001E2549"/>
    <w:rsid w:val="001E51BC"/>
    <w:rsid w:val="001E5CEB"/>
    <w:rsid w:val="001E6217"/>
    <w:rsid w:val="001E6CFC"/>
    <w:rsid w:val="001E75C6"/>
    <w:rsid w:val="001F05F8"/>
    <w:rsid w:val="001F0AA4"/>
    <w:rsid w:val="001F0F3C"/>
    <w:rsid w:val="001F25F4"/>
    <w:rsid w:val="001F2A75"/>
    <w:rsid w:val="001F2AB9"/>
    <w:rsid w:val="001F2FDE"/>
    <w:rsid w:val="001F30D7"/>
    <w:rsid w:val="001F333C"/>
    <w:rsid w:val="001F3B77"/>
    <w:rsid w:val="001F4FE0"/>
    <w:rsid w:val="001F5091"/>
    <w:rsid w:val="001F55C9"/>
    <w:rsid w:val="001F65C2"/>
    <w:rsid w:val="001F6941"/>
    <w:rsid w:val="001F6A30"/>
    <w:rsid w:val="001F6ED0"/>
    <w:rsid w:val="001F746A"/>
    <w:rsid w:val="00200C3A"/>
    <w:rsid w:val="00201A0F"/>
    <w:rsid w:val="00202CA1"/>
    <w:rsid w:val="002038D1"/>
    <w:rsid w:val="00203A4C"/>
    <w:rsid w:val="00203ACF"/>
    <w:rsid w:val="00203ED9"/>
    <w:rsid w:val="002053DD"/>
    <w:rsid w:val="002072DB"/>
    <w:rsid w:val="0020739C"/>
    <w:rsid w:val="00207B94"/>
    <w:rsid w:val="00212859"/>
    <w:rsid w:val="00213483"/>
    <w:rsid w:val="0021383D"/>
    <w:rsid w:val="00214726"/>
    <w:rsid w:val="00215B8B"/>
    <w:rsid w:val="00215E2E"/>
    <w:rsid w:val="00215F7C"/>
    <w:rsid w:val="00216272"/>
    <w:rsid w:val="00217902"/>
    <w:rsid w:val="00220326"/>
    <w:rsid w:val="002214BB"/>
    <w:rsid w:val="00221ABF"/>
    <w:rsid w:val="002225F8"/>
    <w:rsid w:val="00222B9E"/>
    <w:rsid w:val="00223388"/>
    <w:rsid w:val="00224CCC"/>
    <w:rsid w:val="0022501F"/>
    <w:rsid w:val="002258F7"/>
    <w:rsid w:val="00226CDF"/>
    <w:rsid w:val="00226F39"/>
    <w:rsid w:val="00227122"/>
    <w:rsid w:val="00227753"/>
    <w:rsid w:val="00230073"/>
    <w:rsid w:val="00230185"/>
    <w:rsid w:val="00230424"/>
    <w:rsid w:val="0023051D"/>
    <w:rsid w:val="00230F44"/>
    <w:rsid w:val="002317BE"/>
    <w:rsid w:val="00231D9D"/>
    <w:rsid w:val="00232174"/>
    <w:rsid w:val="00232214"/>
    <w:rsid w:val="0023391F"/>
    <w:rsid w:val="00233A5A"/>
    <w:rsid w:val="00233E5C"/>
    <w:rsid w:val="00233EF3"/>
    <w:rsid w:val="00233FBF"/>
    <w:rsid w:val="00234F42"/>
    <w:rsid w:val="002358F0"/>
    <w:rsid w:val="0023654C"/>
    <w:rsid w:val="00236925"/>
    <w:rsid w:val="00237467"/>
    <w:rsid w:val="002375C7"/>
    <w:rsid w:val="00237625"/>
    <w:rsid w:val="002376C4"/>
    <w:rsid w:val="0024028E"/>
    <w:rsid w:val="002403F0"/>
    <w:rsid w:val="00240518"/>
    <w:rsid w:val="0024077A"/>
    <w:rsid w:val="002409F8"/>
    <w:rsid w:val="00242A70"/>
    <w:rsid w:val="00244EA9"/>
    <w:rsid w:val="00244F25"/>
    <w:rsid w:val="002453BB"/>
    <w:rsid w:val="0024632C"/>
    <w:rsid w:val="00246D9A"/>
    <w:rsid w:val="002470B1"/>
    <w:rsid w:val="002471AA"/>
    <w:rsid w:val="0025007C"/>
    <w:rsid w:val="002504D9"/>
    <w:rsid w:val="00251032"/>
    <w:rsid w:val="0025138E"/>
    <w:rsid w:val="00251D5B"/>
    <w:rsid w:val="00253D80"/>
    <w:rsid w:val="002550CF"/>
    <w:rsid w:val="002566E7"/>
    <w:rsid w:val="00261429"/>
    <w:rsid w:val="002615D2"/>
    <w:rsid w:val="00261921"/>
    <w:rsid w:val="002622D4"/>
    <w:rsid w:val="002639CC"/>
    <w:rsid w:val="002640F8"/>
    <w:rsid w:val="002644E7"/>
    <w:rsid w:val="00264C85"/>
    <w:rsid w:val="00265447"/>
    <w:rsid w:val="002662CA"/>
    <w:rsid w:val="00267DAE"/>
    <w:rsid w:val="00270590"/>
    <w:rsid w:val="00271D0D"/>
    <w:rsid w:val="00272E27"/>
    <w:rsid w:val="00273511"/>
    <w:rsid w:val="00273AE2"/>
    <w:rsid w:val="00273BB8"/>
    <w:rsid w:val="00273DA3"/>
    <w:rsid w:val="0027463F"/>
    <w:rsid w:val="002753FF"/>
    <w:rsid w:val="00275918"/>
    <w:rsid w:val="00275E43"/>
    <w:rsid w:val="0027676A"/>
    <w:rsid w:val="002767F5"/>
    <w:rsid w:val="00276A31"/>
    <w:rsid w:val="00276AFF"/>
    <w:rsid w:val="00276EBE"/>
    <w:rsid w:val="00276ED2"/>
    <w:rsid w:val="002817B8"/>
    <w:rsid w:val="00283702"/>
    <w:rsid w:val="00283A37"/>
    <w:rsid w:val="002849B8"/>
    <w:rsid w:val="00284FBD"/>
    <w:rsid w:val="00285A3D"/>
    <w:rsid w:val="002906FF"/>
    <w:rsid w:val="00290A73"/>
    <w:rsid w:val="00290CE7"/>
    <w:rsid w:val="00290D61"/>
    <w:rsid w:val="002913B2"/>
    <w:rsid w:val="00292BD5"/>
    <w:rsid w:val="00293B59"/>
    <w:rsid w:val="002942DF"/>
    <w:rsid w:val="00294375"/>
    <w:rsid w:val="0029459B"/>
    <w:rsid w:val="00294E48"/>
    <w:rsid w:val="00295067"/>
    <w:rsid w:val="00295130"/>
    <w:rsid w:val="00295716"/>
    <w:rsid w:val="00295A94"/>
    <w:rsid w:val="00296973"/>
    <w:rsid w:val="00296A0A"/>
    <w:rsid w:val="00296B5B"/>
    <w:rsid w:val="00297994"/>
    <w:rsid w:val="00297D6C"/>
    <w:rsid w:val="002A01FE"/>
    <w:rsid w:val="002A163A"/>
    <w:rsid w:val="002A1A4E"/>
    <w:rsid w:val="002A42E2"/>
    <w:rsid w:val="002A46EC"/>
    <w:rsid w:val="002A54F4"/>
    <w:rsid w:val="002A57B9"/>
    <w:rsid w:val="002B01AB"/>
    <w:rsid w:val="002B12CC"/>
    <w:rsid w:val="002B1DDA"/>
    <w:rsid w:val="002B1FD1"/>
    <w:rsid w:val="002B34D0"/>
    <w:rsid w:val="002B387E"/>
    <w:rsid w:val="002B398F"/>
    <w:rsid w:val="002B5029"/>
    <w:rsid w:val="002B5152"/>
    <w:rsid w:val="002B6B5C"/>
    <w:rsid w:val="002B6F97"/>
    <w:rsid w:val="002B770B"/>
    <w:rsid w:val="002B770E"/>
    <w:rsid w:val="002C14D8"/>
    <w:rsid w:val="002C19AD"/>
    <w:rsid w:val="002C241F"/>
    <w:rsid w:val="002C2D46"/>
    <w:rsid w:val="002C4A87"/>
    <w:rsid w:val="002C4C11"/>
    <w:rsid w:val="002C5479"/>
    <w:rsid w:val="002C55CE"/>
    <w:rsid w:val="002C6273"/>
    <w:rsid w:val="002C7328"/>
    <w:rsid w:val="002C744C"/>
    <w:rsid w:val="002D0F06"/>
    <w:rsid w:val="002D1332"/>
    <w:rsid w:val="002D1E80"/>
    <w:rsid w:val="002D28B6"/>
    <w:rsid w:val="002D2BED"/>
    <w:rsid w:val="002D3586"/>
    <w:rsid w:val="002D496C"/>
    <w:rsid w:val="002D52C0"/>
    <w:rsid w:val="002D548C"/>
    <w:rsid w:val="002D5EA1"/>
    <w:rsid w:val="002D60A8"/>
    <w:rsid w:val="002D6498"/>
    <w:rsid w:val="002D771D"/>
    <w:rsid w:val="002E07A5"/>
    <w:rsid w:val="002E254B"/>
    <w:rsid w:val="002E31A7"/>
    <w:rsid w:val="002E3483"/>
    <w:rsid w:val="002E431A"/>
    <w:rsid w:val="002E542D"/>
    <w:rsid w:val="002E554B"/>
    <w:rsid w:val="002E5952"/>
    <w:rsid w:val="002E6138"/>
    <w:rsid w:val="002E61CB"/>
    <w:rsid w:val="002E68A8"/>
    <w:rsid w:val="002E78F3"/>
    <w:rsid w:val="002F1DC4"/>
    <w:rsid w:val="002F4D36"/>
    <w:rsid w:val="002F5685"/>
    <w:rsid w:val="002F5FA3"/>
    <w:rsid w:val="00300A39"/>
    <w:rsid w:val="00300DE8"/>
    <w:rsid w:val="00301726"/>
    <w:rsid w:val="00302BAF"/>
    <w:rsid w:val="00304052"/>
    <w:rsid w:val="003044E9"/>
    <w:rsid w:val="0030466E"/>
    <w:rsid w:val="003048FC"/>
    <w:rsid w:val="00306274"/>
    <w:rsid w:val="00306FEA"/>
    <w:rsid w:val="003106CD"/>
    <w:rsid w:val="00311AD3"/>
    <w:rsid w:val="0031211C"/>
    <w:rsid w:val="00312727"/>
    <w:rsid w:val="003145A2"/>
    <w:rsid w:val="003154F7"/>
    <w:rsid w:val="00315D4D"/>
    <w:rsid w:val="00316C09"/>
    <w:rsid w:val="00316CAA"/>
    <w:rsid w:val="003175D6"/>
    <w:rsid w:val="003176E8"/>
    <w:rsid w:val="00317BEF"/>
    <w:rsid w:val="00320876"/>
    <w:rsid w:val="00320B39"/>
    <w:rsid w:val="00320DDD"/>
    <w:rsid w:val="00322403"/>
    <w:rsid w:val="00322732"/>
    <w:rsid w:val="00322CCE"/>
    <w:rsid w:val="00323465"/>
    <w:rsid w:val="003239A0"/>
    <w:rsid w:val="00323AEB"/>
    <w:rsid w:val="00326EBA"/>
    <w:rsid w:val="00327FD1"/>
    <w:rsid w:val="003317F9"/>
    <w:rsid w:val="003323B7"/>
    <w:rsid w:val="00332581"/>
    <w:rsid w:val="00332E2E"/>
    <w:rsid w:val="003335A6"/>
    <w:rsid w:val="003349E4"/>
    <w:rsid w:val="003361B2"/>
    <w:rsid w:val="003367B0"/>
    <w:rsid w:val="00340081"/>
    <w:rsid w:val="003408F8"/>
    <w:rsid w:val="00341DB0"/>
    <w:rsid w:val="0034215C"/>
    <w:rsid w:val="00342593"/>
    <w:rsid w:val="00342AAE"/>
    <w:rsid w:val="0034306B"/>
    <w:rsid w:val="00346308"/>
    <w:rsid w:val="00346472"/>
    <w:rsid w:val="003468E7"/>
    <w:rsid w:val="00346B7A"/>
    <w:rsid w:val="00346BA6"/>
    <w:rsid w:val="003477F4"/>
    <w:rsid w:val="00347A31"/>
    <w:rsid w:val="0035076F"/>
    <w:rsid w:val="003515E2"/>
    <w:rsid w:val="00352612"/>
    <w:rsid w:val="00352DB6"/>
    <w:rsid w:val="0035380A"/>
    <w:rsid w:val="00353C23"/>
    <w:rsid w:val="00354453"/>
    <w:rsid w:val="00355D25"/>
    <w:rsid w:val="003564AE"/>
    <w:rsid w:val="0035676F"/>
    <w:rsid w:val="00356D68"/>
    <w:rsid w:val="00356E50"/>
    <w:rsid w:val="003600B9"/>
    <w:rsid w:val="003608DB"/>
    <w:rsid w:val="003612B6"/>
    <w:rsid w:val="00361E82"/>
    <w:rsid w:val="003631FA"/>
    <w:rsid w:val="00363B91"/>
    <w:rsid w:val="0036408F"/>
    <w:rsid w:val="003646F2"/>
    <w:rsid w:val="00365FC2"/>
    <w:rsid w:val="00367021"/>
    <w:rsid w:val="0036704D"/>
    <w:rsid w:val="00367E08"/>
    <w:rsid w:val="00370DD5"/>
    <w:rsid w:val="00370FA9"/>
    <w:rsid w:val="00371C0C"/>
    <w:rsid w:val="00371F1C"/>
    <w:rsid w:val="003724B4"/>
    <w:rsid w:val="00372640"/>
    <w:rsid w:val="00372C7F"/>
    <w:rsid w:val="00373A41"/>
    <w:rsid w:val="0037431A"/>
    <w:rsid w:val="00375343"/>
    <w:rsid w:val="003767B5"/>
    <w:rsid w:val="00377207"/>
    <w:rsid w:val="00377361"/>
    <w:rsid w:val="00377B7C"/>
    <w:rsid w:val="00381957"/>
    <w:rsid w:val="0038236F"/>
    <w:rsid w:val="003828F7"/>
    <w:rsid w:val="003839DC"/>
    <w:rsid w:val="00383A58"/>
    <w:rsid w:val="0038418D"/>
    <w:rsid w:val="003846E5"/>
    <w:rsid w:val="0038539C"/>
    <w:rsid w:val="003854A3"/>
    <w:rsid w:val="00387D2D"/>
    <w:rsid w:val="00391CBD"/>
    <w:rsid w:val="0039272D"/>
    <w:rsid w:val="00392B11"/>
    <w:rsid w:val="00392E43"/>
    <w:rsid w:val="003933A5"/>
    <w:rsid w:val="003964DD"/>
    <w:rsid w:val="003975D5"/>
    <w:rsid w:val="003A0869"/>
    <w:rsid w:val="003A4C41"/>
    <w:rsid w:val="003A4E9A"/>
    <w:rsid w:val="003A4FD7"/>
    <w:rsid w:val="003A5C30"/>
    <w:rsid w:val="003A606B"/>
    <w:rsid w:val="003A6466"/>
    <w:rsid w:val="003A6D55"/>
    <w:rsid w:val="003A757A"/>
    <w:rsid w:val="003A7A76"/>
    <w:rsid w:val="003A7C02"/>
    <w:rsid w:val="003B2AFC"/>
    <w:rsid w:val="003B301B"/>
    <w:rsid w:val="003B5661"/>
    <w:rsid w:val="003B57FA"/>
    <w:rsid w:val="003B6764"/>
    <w:rsid w:val="003B777C"/>
    <w:rsid w:val="003B7931"/>
    <w:rsid w:val="003C06C6"/>
    <w:rsid w:val="003C1AB5"/>
    <w:rsid w:val="003C2429"/>
    <w:rsid w:val="003C2D14"/>
    <w:rsid w:val="003C3DA8"/>
    <w:rsid w:val="003C4EA4"/>
    <w:rsid w:val="003C4F66"/>
    <w:rsid w:val="003C5C94"/>
    <w:rsid w:val="003C5E1A"/>
    <w:rsid w:val="003C6E1C"/>
    <w:rsid w:val="003C6FED"/>
    <w:rsid w:val="003C7AE0"/>
    <w:rsid w:val="003D0316"/>
    <w:rsid w:val="003D0319"/>
    <w:rsid w:val="003D313B"/>
    <w:rsid w:val="003D32D8"/>
    <w:rsid w:val="003D34C8"/>
    <w:rsid w:val="003D372C"/>
    <w:rsid w:val="003D4745"/>
    <w:rsid w:val="003D6E50"/>
    <w:rsid w:val="003D7C58"/>
    <w:rsid w:val="003E0618"/>
    <w:rsid w:val="003E0B17"/>
    <w:rsid w:val="003E1BD3"/>
    <w:rsid w:val="003E3200"/>
    <w:rsid w:val="003E3A14"/>
    <w:rsid w:val="003E41DF"/>
    <w:rsid w:val="003E49E5"/>
    <w:rsid w:val="003E55EB"/>
    <w:rsid w:val="003E5CC5"/>
    <w:rsid w:val="003E5CCE"/>
    <w:rsid w:val="003E6BE7"/>
    <w:rsid w:val="003E7A61"/>
    <w:rsid w:val="003F0A95"/>
    <w:rsid w:val="003F0B1A"/>
    <w:rsid w:val="003F0E60"/>
    <w:rsid w:val="003F13D5"/>
    <w:rsid w:val="003F192F"/>
    <w:rsid w:val="003F2A6C"/>
    <w:rsid w:val="003F2B4C"/>
    <w:rsid w:val="003F337E"/>
    <w:rsid w:val="003F36F5"/>
    <w:rsid w:val="003F4388"/>
    <w:rsid w:val="003F60AA"/>
    <w:rsid w:val="003F648F"/>
    <w:rsid w:val="003F72AA"/>
    <w:rsid w:val="003F7AE2"/>
    <w:rsid w:val="00401217"/>
    <w:rsid w:val="0040141A"/>
    <w:rsid w:val="00401CF2"/>
    <w:rsid w:val="00402165"/>
    <w:rsid w:val="004030CF"/>
    <w:rsid w:val="00403453"/>
    <w:rsid w:val="00403E4E"/>
    <w:rsid w:val="00404016"/>
    <w:rsid w:val="004048E4"/>
    <w:rsid w:val="004050D7"/>
    <w:rsid w:val="00405104"/>
    <w:rsid w:val="004060F3"/>
    <w:rsid w:val="00407BA6"/>
    <w:rsid w:val="00407DE1"/>
    <w:rsid w:val="004101EB"/>
    <w:rsid w:val="00410664"/>
    <w:rsid w:val="00410E69"/>
    <w:rsid w:val="004111A6"/>
    <w:rsid w:val="00411244"/>
    <w:rsid w:val="0041373F"/>
    <w:rsid w:val="004141B1"/>
    <w:rsid w:val="004141C7"/>
    <w:rsid w:val="00414492"/>
    <w:rsid w:val="00415F89"/>
    <w:rsid w:val="00416217"/>
    <w:rsid w:val="00416530"/>
    <w:rsid w:val="0041770F"/>
    <w:rsid w:val="00417DD6"/>
    <w:rsid w:val="00421076"/>
    <w:rsid w:val="00421422"/>
    <w:rsid w:val="004219C7"/>
    <w:rsid w:val="004221B1"/>
    <w:rsid w:val="004225D6"/>
    <w:rsid w:val="0042282F"/>
    <w:rsid w:val="00424004"/>
    <w:rsid w:val="00424227"/>
    <w:rsid w:val="004248FA"/>
    <w:rsid w:val="00424E23"/>
    <w:rsid w:val="00424F2E"/>
    <w:rsid w:val="00425B46"/>
    <w:rsid w:val="0042774E"/>
    <w:rsid w:val="00427A62"/>
    <w:rsid w:val="00427C2F"/>
    <w:rsid w:val="0043028C"/>
    <w:rsid w:val="00431970"/>
    <w:rsid w:val="004319D2"/>
    <w:rsid w:val="00432495"/>
    <w:rsid w:val="004337A7"/>
    <w:rsid w:val="00433E89"/>
    <w:rsid w:val="00433E96"/>
    <w:rsid w:val="00435446"/>
    <w:rsid w:val="00437057"/>
    <w:rsid w:val="0043763B"/>
    <w:rsid w:val="0043786D"/>
    <w:rsid w:val="0043796A"/>
    <w:rsid w:val="00440081"/>
    <w:rsid w:val="004404C5"/>
    <w:rsid w:val="00442B5C"/>
    <w:rsid w:val="00442F74"/>
    <w:rsid w:val="0044310F"/>
    <w:rsid w:val="00443143"/>
    <w:rsid w:val="004439D1"/>
    <w:rsid w:val="004443AB"/>
    <w:rsid w:val="00444A65"/>
    <w:rsid w:val="004451AE"/>
    <w:rsid w:val="00445A26"/>
    <w:rsid w:val="00445CB3"/>
    <w:rsid w:val="00445E8A"/>
    <w:rsid w:val="00445F37"/>
    <w:rsid w:val="00446CCF"/>
    <w:rsid w:val="00447863"/>
    <w:rsid w:val="00452CF4"/>
    <w:rsid w:val="0045332C"/>
    <w:rsid w:val="00453B0C"/>
    <w:rsid w:val="00454D40"/>
    <w:rsid w:val="00455F7A"/>
    <w:rsid w:val="0045620C"/>
    <w:rsid w:val="00460658"/>
    <w:rsid w:val="00461F40"/>
    <w:rsid w:val="00462B3C"/>
    <w:rsid w:val="00464563"/>
    <w:rsid w:val="00464887"/>
    <w:rsid w:val="00465694"/>
    <w:rsid w:val="0046575B"/>
    <w:rsid w:val="00465818"/>
    <w:rsid w:val="00465863"/>
    <w:rsid w:val="0046595D"/>
    <w:rsid w:val="0046602E"/>
    <w:rsid w:val="0046626F"/>
    <w:rsid w:val="0046674E"/>
    <w:rsid w:val="00466A74"/>
    <w:rsid w:val="004671DC"/>
    <w:rsid w:val="00467860"/>
    <w:rsid w:val="0047027A"/>
    <w:rsid w:val="004705EE"/>
    <w:rsid w:val="004712F5"/>
    <w:rsid w:val="004721D0"/>
    <w:rsid w:val="0047233F"/>
    <w:rsid w:val="00472B97"/>
    <w:rsid w:val="004730C8"/>
    <w:rsid w:val="004738CD"/>
    <w:rsid w:val="00474295"/>
    <w:rsid w:val="004742C5"/>
    <w:rsid w:val="004751E6"/>
    <w:rsid w:val="00475787"/>
    <w:rsid w:val="00475E19"/>
    <w:rsid w:val="00480260"/>
    <w:rsid w:val="00480E4F"/>
    <w:rsid w:val="00480F57"/>
    <w:rsid w:val="004831B1"/>
    <w:rsid w:val="00484450"/>
    <w:rsid w:val="004852A1"/>
    <w:rsid w:val="0048578C"/>
    <w:rsid w:val="00487B29"/>
    <w:rsid w:val="00487E1E"/>
    <w:rsid w:val="0049097D"/>
    <w:rsid w:val="004948D9"/>
    <w:rsid w:val="00495529"/>
    <w:rsid w:val="00495729"/>
    <w:rsid w:val="00495957"/>
    <w:rsid w:val="0049652F"/>
    <w:rsid w:val="00496F04"/>
    <w:rsid w:val="00497CF0"/>
    <w:rsid w:val="00497E85"/>
    <w:rsid w:val="004A09ED"/>
    <w:rsid w:val="004A1392"/>
    <w:rsid w:val="004A1AB7"/>
    <w:rsid w:val="004A2706"/>
    <w:rsid w:val="004A3E93"/>
    <w:rsid w:val="004A4282"/>
    <w:rsid w:val="004A45B8"/>
    <w:rsid w:val="004A4B2B"/>
    <w:rsid w:val="004A6333"/>
    <w:rsid w:val="004A6758"/>
    <w:rsid w:val="004A6D82"/>
    <w:rsid w:val="004A70F2"/>
    <w:rsid w:val="004A717C"/>
    <w:rsid w:val="004B0D7B"/>
    <w:rsid w:val="004B15A7"/>
    <w:rsid w:val="004B2016"/>
    <w:rsid w:val="004B21C0"/>
    <w:rsid w:val="004B3779"/>
    <w:rsid w:val="004B379F"/>
    <w:rsid w:val="004B4DE7"/>
    <w:rsid w:val="004B5A35"/>
    <w:rsid w:val="004B7A47"/>
    <w:rsid w:val="004B7A5D"/>
    <w:rsid w:val="004C0A1E"/>
    <w:rsid w:val="004C0D6D"/>
    <w:rsid w:val="004C14F3"/>
    <w:rsid w:val="004C164C"/>
    <w:rsid w:val="004C3902"/>
    <w:rsid w:val="004C3BCA"/>
    <w:rsid w:val="004C4FE3"/>
    <w:rsid w:val="004C5287"/>
    <w:rsid w:val="004C687B"/>
    <w:rsid w:val="004C7575"/>
    <w:rsid w:val="004D17EF"/>
    <w:rsid w:val="004D1E2F"/>
    <w:rsid w:val="004D27D5"/>
    <w:rsid w:val="004D288F"/>
    <w:rsid w:val="004D29C0"/>
    <w:rsid w:val="004D3938"/>
    <w:rsid w:val="004D4897"/>
    <w:rsid w:val="004D49B0"/>
    <w:rsid w:val="004D4D91"/>
    <w:rsid w:val="004D6057"/>
    <w:rsid w:val="004D62E3"/>
    <w:rsid w:val="004D63EC"/>
    <w:rsid w:val="004D6824"/>
    <w:rsid w:val="004D6D59"/>
    <w:rsid w:val="004D7178"/>
    <w:rsid w:val="004D7F92"/>
    <w:rsid w:val="004E0205"/>
    <w:rsid w:val="004E07F1"/>
    <w:rsid w:val="004E19A1"/>
    <w:rsid w:val="004E328D"/>
    <w:rsid w:val="004E4457"/>
    <w:rsid w:val="004E4DEA"/>
    <w:rsid w:val="004E72B8"/>
    <w:rsid w:val="004E7551"/>
    <w:rsid w:val="004E77C9"/>
    <w:rsid w:val="004E7E2A"/>
    <w:rsid w:val="004F0653"/>
    <w:rsid w:val="004F0EDE"/>
    <w:rsid w:val="004F0FAC"/>
    <w:rsid w:val="004F1A67"/>
    <w:rsid w:val="004F2A18"/>
    <w:rsid w:val="004F2EAC"/>
    <w:rsid w:val="004F389B"/>
    <w:rsid w:val="004F462A"/>
    <w:rsid w:val="004F480E"/>
    <w:rsid w:val="004F4ED1"/>
    <w:rsid w:val="004F564D"/>
    <w:rsid w:val="004F6E5A"/>
    <w:rsid w:val="004F7BAA"/>
    <w:rsid w:val="00500C97"/>
    <w:rsid w:val="00501B95"/>
    <w:rsid w:val="00503099"/>
    <w:rsid w:val="005044A5"/>
    <w:rsid w:val="00504BF3"/>
    <w:rsid w:val="005051EE"/>
    <w:rsid w:val="0050533D"/>
    <w:rsid w:val="00507C7F"/>
    <w:rsid w:val="00507CD3"/>
    <w:rsid w:val="00510912"/>
    <w:rsid w:val="005109B1"/>
    <w:rsid w:val="00511713"/>
    <w:rsid w:val="00512051"/>
    <w:rsid w:val="005122F3"/>
    <w:rsid w:val="0051269D"/>
    <w:rsid w:val="0051285E"/>
    <w:rsid w:val="0051319A"/>
    <w:rsid w:val="005132DE"/>
    <w:rsid w:val="00515910"/>
    <w:rsid w:val="0051689D"/>
    <w:rsid w:val="005176D6"/>
    <w:rsid w:val="00517EFA"/>
    <w:rsid w:val="0052005D"/>
    <w:rsid w:val="00520181"/>
    <w:rsid w:val="0052273D"/>
    <w:rsid w:val="00524A66"/>
    <w:rsid w:val="00524A78"/>
    <w:rsid w:val="00525DE3"/>
    <w:rsid w:val="00527D6D"/>
    <w:rsid w:val="00530D67"/>
    <w:rsid w:val="005327E6"/>
    <w:rsid w:val="00533934"/>
    <w:rsid w:val="0053444F"/>
    <w:rsid w:val="00534BB0"/>
    <w:rsid w:val="00534E25"/>
    <w:rsid w:val="00536238"/>
    <w:rsid w:val="00537D5B"/>
    <w:rsid w:val="00540780"/>
    <w:rsid w:val="00540E6D"/>
    <w:rsid w:val="00541A41"/>
    <w:rsid w:val="00541DE7"/>
    <w:rsid w:val="00542718"/>
    <w:rsid w:val="0054352E"/>
    <w:rsid w:val="005435A1"/>
    <w:rsid w:val="005439EE"/>
    <w:rsid w:val="0054521B"/>
    <w:rsid w:val="005464AF"/>
    <w:rsid w:val="00546FAC"/>
    <w:rsid w:val="005474CC"/>
    <w:rsid w:val="00550566"/>
    <w:rsid w:val="00550AAB"/>
    <w:rsid w:val="00550E44"/>
    <w:rsid w:val="00551372"/>
    <w:rsid w:val="005521DD"/>
    <w:rsid w:val="005545FB"/>
    <w:rsid w:val="00554CF5"/>
    <w:rsid w:val="00554E61"/>
    <w:rsid w:val="0055605A"/>
    <w:rsid w:val="00557FA1"/>
    <w:rsid w:val="00560021"/>
    <w:rsid w:val="00560B54"/>
    <w:rsid w:val="00561720"/>
    <w:rsid w:val="00561EE0"/>
    <w:rsid w:val="0056382B"/>
    <w:rsid w:val="005646A9"/>
    <w:rsid w:val="00564ABA"/>
    <w:rsid w:val="00564D9F"/>
    <w:rsid w:val="0056586F"/>
    <w:rsid w:val="00565A1E"/>
    <w:rsid w:val="00566075"/>
    <w:rsid w:val="00567004"/>
    <w:rsid w:val="00567782"/>
    <w:rsid w:val="0057027C"/>
    <w:rsid w:val="00573A5C"/>
    <w:rsid w:val="00574702"/>
    <w:rsid w:val="0057473E"/>
    <w:rsid w:val="00574B29"/>
    <w:rsid w:val="00574B6B"/>
    <w:rsid w:val="00574EBA"/>
    <w:rsid w:val="00575033"/>
    <w:rsid w:val="00577298"/>
    <w:rsid w:val="00577FE4"/>
    <w:rsid w:val="00580B67"/>
    <w:rsid w:val="0058148D"/>
    <w:rsid w:val="005823C0"/>
    <w:rsid w:val="005825BD"/>
    <w:rsid w:val="005826F8"/>
    <w:rsid w:val="00583023"/>
    <w:rsid w:val="00583444"/>
    <w:rsid w:val="00583945"/>
    <w:rsid w:val="00583B1B"/>
    <w:rsid w:val="00584C3A"/>
    <w:rsid w:val="00585537"/>
    <w:rsid w:val="00586A32"/>
    <w:rsid w:val="005870D6"/>
    <w:rsid w:val="0059003B"/>
    <w:rsid w:val="00591684"/>
    <w:rsid w:val="0059205E"/>
    <w:rsid w:val="00592060"/>
    <w:rsid w:val="00593027"/>
    <w:rsid w:val="00594D2F"/>
    <w:rsid w:val="005950BD"/>
    <w:rsid w:val="00595774"/>
    <w:rsid w:val="00595B6C"/>
    <w:rsid w:val="00596077"/>
    <w:rsid w:val="00596E2F"/>
    <w:rsid w:val="00596E79"/>
    <w:rsid w:val="00597786"/>
    <w:rsid w:val="0059794E"/>
    <w:rsid w:val="005A0BE1"/>
    <w:rsid w:val="005A1919"/>
    <w:rsid w:val="005A28B7"/>
    <w:rsid w:val="005A2C50"/>
    <w:rsid w:val="005A2FD2"/>
    <w:rsid w:val="005A32A9"/>
    <w:rsid w:val="005A3A27"/>
    <w:rsid w:val="005A3AD3"/>
    <w:rsid w:val="005A40A2"/>
    <w:rsid w:val="005A4548"/>
    <w:rsid w:val="005A6087"/>
    <w:rsid w:val="005A6137"/>
    <w:rsid w:val="005A76E1"/>
    <w:rsid w:val="005A7FA5"/>
    <w:rsid w:val="005B0DA4"/>
    <w:rsid w:val="005B1038"/>
    <w:rsid w:val="005B10C4"/>
    <w:rsid w:val="005B1A7F"/>
    <w:rsid w:val="005B1D09"/>
    <w:rsid w:val="005B2230"/>
    <w:rsid w:val="005B3414"/>
    <w:rsid w:val="005B4547"/>
    <w:rsid w:val="005B4DCB"/>
    <w:rsid w:val="005B60A9"/>
    <w:rsid w:val="005B61E4"/>
    <w:rsid w:val="005B639A"/>
    <w:rsid w:val="005B7000"/>
    <w:rsid w:val="005B7A46"/>
    <w:rsid w:val="005C0821"/>
    <w:rsid w:val="005C1A06"/>
    <w:rsid w:val="005C1B4A"/>
    <w:rsid w:val="005C3238"/>
    <w:rsid w:val="005C479B"/>
    <w:rsid w:val="005C54C6"/>
    <w:rsid w:val="005C5533"/>
    <w:rsid w:val="005C5654"/>
    <w:rsid w:val="005C5718"/>
    <w:rsid w:val="005C6383"/>
    <w:rsid w:val="005C6385"/>
    <w:rsid w:val="005C65FE"/>
    <w:rsid w:val="005C76AC"/>
    <w:rsid w:val="005C76C3"/>
    <w:rsid w:val="005C7944"/>
    <w:rsid w:val="005D09AF"/>
    <w:rsid w:val="005D0E0F"/>
    <w:rsid w:val="005D19FF"/>
    <w:rsid w:val="005D1C37"/>
    <w:rsid w:val="005D257E"/>
    <w:rsid w:val="005D29CD"/>
    <w:rsid w:val="005D36EC"/>
    <w:rsid w:val="005D3992"/>
    <w:rsid w:val="005D3B11"/>
    <w:rsid w:val="005D496A"/>
    <w:rsid w:val="005D4A3C"/>
    <w:rsid w:val="005D4A9D"/>
    <w:rsid w:val="005D54D3"/>
    <w:rsid w:val="005D61E0"/>
    <w:rsid w:val="005E06F2"/>
    <w:rsid w:val="005E0AB6"/>
    <w:rsid w:val="005E26FA"/>
    <w:rsid w:val="005E3177"/>
    <w:rsid w:val="005E380A"/>
    <w:rsid w:val="005E5524"/>
    <w:rsid w:val="005E58F7"/>
    <w:rsid w:val="005E5F9B"/>
    <w:rsid w:val="005E66C9"/>
    <w:rsid w:val="005E720A"/>
    <w:rsid w:val="005E7D6D"/>
    <w:rsid w:val="005F0D61"/>
    <w:rsid w:val="005F0D70"/>
    <w:rsid w:val="005F1506"/>
    <w:rsid w:val="005F2444"/>
    <w:rsid w:val="005F2570"/>
    <w:rsid w:val="005F25BE"/>
    <w:rsid w:val="005F4256"/>
    <w:rsid w:val="005F52DE"/>
    <w:rsid w:val="005F5D0D"/>
    <w:rsid w:val="005F77B9"/>
    <w:rsid w:val="00600374"/>
    <w:rsid w:val="006007CD"/>
    <w:rsid w:val="00601045"/>
    <w:rsid w:val="00602672"/>
    <w:rsid w:val="006032D9"/>
    <w:rsid w:val="00607B0C"/>
    <w:rsid w:val="006107ED"/>
    <w:rsid w:val="00611218"/>
    <w:rsid w:val="00614AAB"/>
    <w:rsid w:val="006157EC"/>
    <w:rsid w:val="00615A3C"/>
    <w:rsid w:val="00616307"/>
    <w:rsid w:val="00617877"/>
    <w:rsid w:val="00617977"/>
    <w:rsid w:val="00617CF7"/>
    <w:rsid w:val="0062030D"/>
    <w:rsid w:val="00620D97"/>
    <w:rsid w:val="00621539"/>
    <w:rsid w:val="006222EB"/>
    <w:rsid w:val="006239C7"/>
    <w:rsid w:val="0062452B"/>
    <w:rsid w:val="00624D98"/>
    <w:rsid w:val="00624EC7"/>
    <w:rsid w:val="00626456"/>
    <w:rsid w:val="00626648"/>
    <w:rsid w:val="006266BC"/>
    <w:rsid w:val="00626B53"/>
    <w:rsid w:val="00626FC5"/>
    <w:rsid w:val="006313F7"/>
    <w:rsid w:val="00632141"/>
    <w:rsid w:val="00632CF0"/>
    <w:rsid w:val="00633415"/>
    <w:rsid w:val="006334B1"/>
    <w:rsid w:val="006334EE"/>
    <w:rsid w:val="00633DEF"/>
    <w:rsid w:val="00634BB4"/>
    <w:rsid w:val="006350E3"/>
    <w:rsid w:val="00635DB1"/>
    <w:rsid w:val="006362B4"/>
    <w:rsid w:val="00637355"/>
    <w:rsid w:val="00637A70"/>
    <w:rsid w:val="00637E0C"/>
    <w:rsid w:val="0064087D"/>
    <w:rsid w:val="00640B3D"/>
    <w:rsid w:val="00641182"/>
    <w:rsid w:val="00641588"/>
    <w:rsid w:val="006421B8"/>
    <w:rsid w:val="006430D4"/>
    <w:rsid w:val="006431B5"/>
    <w:rsid w:val="006435BB"/>
    <w:rsid w:val="00643CA7"/>
    <w:rsid w:val="0064428E"/>
    <w:rsid w:val="00644304"/>
    <w:rsid w:val="006451F4"/>
    <w:rsid w:val="006461E2"/>
    <w:rsid w:val="00646A2E"/>
    <w:rsid w:val="00646A2F"/>
    <w:rsid w:val="00646BA5"/>
    <w:rsid w:val="00646BC1"/>
    <w:rsid w:val="00646FDC"/>
    <w:rsid w:val="006473BE"/>
    <w:rsid w:val="00647D20"/>
    <w:rsid w:val="00650E6C"/>
    <w:rsid w:val="00650FD1"/>
    <w:rsid w:val="006521CC"/>
    <w:rsid w:val="00653154"/>
    <w:rsid w:val="00655755"/>
    <w:rsid w:val="00657211"/>
    <w:rsid w:val="00657CBA"/>
    <w:rsid w:val="006606AC"/>
    <w:rsid w:val="006609C3"/>
    <w:rsid w:val="00662187"/>
    <w:rsid w:val="006621DF"/>
    <w:rsid w:val="0066272D"/>
    <w:rsid w:val="0066285B"/>
    <w:rsid w:val="00662B3E"/>
    <w:rsid w:val="006656F4"/>
    <w:rsid w:val="0066574E"/>
    <w:rsid w:val="00665C14"/>
    <w:rsid w:val="006660FB"/>
    <w:rsid w:val="00666305"/>
    <w:rsid w:val="006675F0"/>
    <w:rsid w:val="00667F30"/>
    <w:rsid w:val="006702D4"/>
    <w:rsid w:val="006703DC"/>
    <w:rsid w:val="00670C05"/>
    <w:rsid w:val="00672AB5"/>
    <w:rsid w:val="00673CD7"/>
    <w:rsid w:val="00674279"/>
    <w:rsid w:val="00675EF6"/>
    <w:rsid w:val="006763DB"/>
    <w:rsid w:val="006765CD"/>
    <w:rsid w:val="00676F4D"/>
    <w:rsid w:val="006778C3"/>
    <w:rsid w:val="00677A99"/>
    <w:rsid w:val="00677D21"/>
    <w:rsid w:val="00680C4E"/>
    <w:rsid w:val="006813CA"/>
    <w:rsid w:val="00681442"/>
    <w:rsid w:val="006817D4"/>
    <w:rsid w:val="006818AC"/>
    <w:rsid w:val="00683400"/>
    <w:rsid w:val="00683A40"/>
    <w:rsid w:val="0068559F"/>
    <w:rsid w:val="00685C95"/>
    <w:rsid w:val="00686093"/>
    <w:rsid w:val="006901C1"/>
    <w:rsid w:val="006902C6"/>
    <w:rsid w:val="00690F32"/>
    <w:rsid w:val="00692FC4"/>
    <w:rsid w:val="00693C09"/>
    <w:rsid w:val="00694133"/>
    <w:rsid w:val="006942A6"/>
    <w:rsid w:val="00694524"/>
    <w:rsid w:val="00694541"/>
    <w:rsid w:val="00694E57"/>
    <w:rsid w:val="006951D9"/>
    <w:rsid w:val="00695D52"/>
    <w:rsid w:val="00696257"/>
    <w:rsid w:val="006967E6"/>
    <w:rsid w:val="00696F8B"/>
    <w:rsid w:val="00697A9D"/>
    <w:rsid w:val="006A0FD0"/>
    <w:rsid w:val="006A123C"/>
    <w:rsid w:val="006A1E3E"/>
    <w:rsid w:val="006A23FA"/>
    <w:rsid w:val="006A3158"/>
    <w:rsid w:val="006A3874"/>
    <w:rsid w:val="006A4143"/>
    <w:rsid w:val="006A4542"/>
    <w:rsid w:val="006A4606"/>
    <w:rsid w:val="006A4B19"/>
    <w:rsid w:val="006A4EF6"/>
    <w:rsid w:val="006A50A6"/>
    <w:rsid w:val="006A6247"/>
    <w:rsid w:val="006B0B5D"/>
    <w:rsid w:val="006B242D"/>
    <w:rsid w:val="006B25BD"/>
    <w:rsid w:val="006B29DC"/>
    <w:rsid w:val="006B4C47"/>
    <w:rsid w:val="006B6027"/>
    <w:rsid w:val="006B6F09"/>
    <w:rsid w:val="006B7B5F"/>
    <w:rsid w:val="006C0636"/>
    <w:rsid w:val="006C06AE"/>
    <w:rsid w:val="006C0D11"/>
    <w:rsid w:val="006C2D37"/>
    <w:rsid w:val="006C3224"/>
    <w:rsid w:val="006C5135"/>
    <w:rsid w:val="006C54AE"/>
    <w:rsid w:val="006C5958"/>
    <w:rsid w:val="006C5B50"/>
    <w:rsid w:val="006C6B53"/>
    <w:rsid w:val="006C76C8"/>
    <w:rsid w:val="006C7A6E"/>
    <w:rsid w:val="006D24B9"/>
    <w:rsid w:val="006D27A5"/>
    <w:rsid w:val="006D4354"/>
    <w:rsid w:val="006D4691"/>
    <w:rsid w:val="006D4DFE"/>
    <w:rsid w:val="006D5048"/>
    <w:rsid w:val="006D5D27"/>
    <w:rsid w:val="006D7A40"/>
    <w:rsid w:val="006E18B3"/>
    <w:rsid w:val="006E1FCB"/>
    <w:rsid w:val="006E23B1"/>
    <w:rsid w:val="006E322F"/>
    <w:rsid w:val="006E32F5"/>
    <w:rsid w:val="006E41A5"/>
    <w:rsid w:val="006E502E"/>
    <w:rsid w:val="006E6536"/>
    <w:rsid w:val="006E69FA"/>
    <w:rsid w:val="006E7949"/>
    <w:rsid w:val="006E7C32"/>
    <w:rsid w:val="006F0E44"/>
    <w:rsid w:val="006F1F2C"/>
    <w:rsid w:val="006F269D"/>
    <w:rsid w:val="006F2CE3"/>
    <w:rsid w:val="006F33D3"/>
    <w:rsid w:val="006F4F61"/>
    <w:rsid w:val="006F569C"/>
    <w:rsid w:val="006F5CE8"/>
    <w:rsid w:val="006F6253"/>
    <w:rsid w:val="006F6B36"/>
    <w:rsid w:val="006F7AF5"/>
    <w:rsid w:val="007005B2"/>
    <w:rsid w:val="007006FF"/>
    <w:rsid w:val="00700829"/>
    <w:rsid w:val="007060AB"/>
    <w:rsid w:val="0070660C"/>
    <w:rsid w:val="00706C0F"/>
    <w:rsid w:val="0070704B"/>
    <w:rsid w:val="00707BE1"/>
    <w:rsid w:val="00710C8B"/>
    <w:rsid w:val="00710CD1"/>
    <w:rsid w:val="00714AD7"/>
    <w:rsid w:val="00714BAE"/>
    <w:rsid w:val="00714CB7"/>
    <w:rsid w:val="00714FFF"/>
    <w:rsid w:val="0071591B"/>
    <w:rsid w:val="00715D89"/>
    <w:rsid w:val="00716298"/>
    <w:rsid w:val="00716DB7"/>
    <w:rsid w:val="00717788"/>
    <w:rsid w:val="0071788C"/>
    <w:rsid w:val="00720166"/>
    <w:rsid w:val="00721546"/>
    <w:rsid w:val="00721E0E"/>
    <w:rsid w:val="00723242"/>
    <w:rsid w:val="00723656"/>
    <w:rsid w:val="0072387D"/>
    <w:rsid w:val="00723F61"/>
    <w:rsid w:val="00723FBE"/>
    <w:rsid w:val="007243C1"/>
    <w:rsid w:val="007245BF"/>
    <w:rsid w:val="007255A9"/>
    <w:rsid w:val="00725F6B"/>
    <w:rsid w:val="0072628C"/>
    <w:rsid w:val="00726824"/>
    <w:rsid w:val="00726F07"/>
    <w:rsid w:val="00730359"/>
    <w:rsid w:val="007303FF"/>
    <w:rsid w:val="00731007"/>
    <w:rsid w:val="007311F5"/>
    <w:rsid w:val="00731AEA"/>
    <w:rsid w:val="00731F54"/>
    <w:rsid w:val="007330B1"/>
    <w:rsid w:val="00733AC1"/>
    <w:rsid w:val="00733F3D"/>
    <w:rsid w:val="007349E7"/>
    <w:rsid w:val="00735DC3"/>
    <w:rsid w:val="007365EC"/>
    <w:rsid w:val="00737143"/>
    <w:rsid w:val="00737C2C"/>
    <w:rsid w:val="00740C4A"/>
    <w:rsid w:val="00741E0D"/>
    <w:rsid w:val="00742098"/>
    <w:rsid w:val="00742BA7"/>
    <w:rsid w:val="00742D24"/>
    <w:rsid w:val="00743606"/>
    <w:rsid w:val="00743B7E"/>
    <w:rsid w:val="00743F6C"/>
    <w:rsid w:val="007440B3"/>
    <w:rsid w:val="00745804"/>
    <w:rsid w:val="0074587D"/>
    <w:rsid w:val="00745E3D"/>
    <w:rsid w:val="00745FAF"/>
    <w:rsid w:val="00746224"/>
    <w:rsid w:val="0074660B"/>
    <w:rsid w:val="00747255"/>
    <w:rsid w:val="007505C7"/>
    <w:rsid w:val="00751809"/>
    <w:rsid w:val="0075198B"/>
    <w:rsid w:val="00751D9B"/>
    <w:rsid w:val="00751DB0"/>
    <w:rsid w:val="00751E6A"/>
    <w:rsid w:val="00752B6A"/>
    <w:rsid w:val="00752C55"/>
    <w:rsid w:val="007533EB"/>
    <w:rsid w:val="00753CA6"/>
    <w:rsid w:val="00754C13"/>
    <w:rsid w:val="00755701"/>
    <w:rsid w:val="00755A3A"/>
    <w:rsid w:val="007562B1"/>
    <w:rsid w:val="007564C2"/>
    <w:rsid w:val="007567FD"/>
    <w:rsid w:val="007576A8"/>
    <w:rsid w:val="00760C5E"/>
    <w:rsid w:val="00760CBD"/>
    <w:rsid w:val="007615B2"/>
    <w:rsid w:val="00761A4E"/>
    <w:rsid w:val="00762A30"/>
    <w:rsid w:val="00763490"/>
    <w:rsid w:val="0076397D"/>
    <w:rsid w:val="0076479B"/>
    <w:rsid w:val="00764D78"/>
    <w:rsid w:val="00766275"/>
    <w:rsid w:val="007665B1"/>
    <w:rsid w:val="0076663F"/>
    <w:rsid w:val="0076726B"/>
    <w:rsid w:val="007674F9"/>
    <w:rsid w:val="00767649"/>
    <w:rsid w:val="00767D47"/>
    <w:rsid w:val="007703DF"/>
    <w:rsid w:val="0077043F"/>
    <w:rsid w:val="00770A11"/>
    <w:rsid w:val="00771126"/>
    <w:rsid w:val="00771729"/>
    <w:rsid w:val="007717B1"/>
    <w:rsid w:val="0077188B"/>
    <w:rsid w:val="007726CC"/>
    <w:rsid w:val="007732DD"/>
    <w:rsid w:val="0077389C"/>
    <w:rsid w:val="00774625"/>
    <w:rsid w:val="00775AC3"/>
    <w:rsid w:val="0077617F"/>
    <w:rsid w:val="0077708C"/>
    <w:rsid w:val="0077747C"/>
    <w:rsid w:val="00777684"/>
    <w:rsid w:val="007803D5"/>
    <w:rsid w:val="007804A8"/>
    <w:rsid w:val="00780DF2"/>
    <w:rsid w:val="0078197D"/>
    <w:rsid w:val="00784220"/>
    <w:rsid w:val="00784611"/>
    <w:rsid w:val="00784876"/>
    <w:rsid w:val="00787576"/>
    <w:rsid w:val="007876E8"/>
    <w:rsid w:val="00790A89"/>
    <w:rsid w:val="007910F9"/>
    <w:rsid w:val="007932AF"/>
    <w:rsid w:val="00793E9A"/>
    <w:rsid w:val="007949C0"/>
    <w:rsid w:val="00794A19"/>
    <w:rsid w:val="00794A77"/>
    <w:rsid w:val="0079589E"/>
    <w:rsid w:val="007A0D06"/>
    <w:rsid w:val="007A18B2"/>
    <w:rsid w:val="007A39BB"/>
    <w:rsid w:val="007A62FF"/>
    <w:rsid w:val="007A7014"/>
    <w:rsid w:val="007B1174"/>
    <w:rsid w:val="007B187E"/>
    <w:rsid w:val="007B1CE6"/>
    <w:rsid w:val="007B2419"/>
    <w:rsid w:val="007B3AF4"/>
    <w:rsid w:val="007B3CE8"/>
    <w:rsid w:val="007B3F47"/>
    <w:rsid w:val="007B478D"/>
    <w:rsid w:val="007B4894"/>
    <w:rsid w:val="007B4EC8"/>
    <w:rsid w:val="007B50C8"/>
    <w:rsid w:val="007B57A2"/>
    <w:rsid w:val="007B5A24"/>
    <w:rsid w:val="007B5F14"/>
    <w:rsid w:val="007B5FF5"/>
    <w:rsid w:val="007B6662"/>
    <w:rsid w:val="007B7220"/>
    <w:rsid w:val="007B75B0"/>
    <w:rsid w:val="007C082E"/>
    <w:rsid w:val="007C110E"/>
    <w:rsid w:val="007C24C5"/>
    <w:rsid w:val="007C29DD"/>
    <w:rsid w:val="007C2A59"/>
    <w:rsid w:val="007C3F42"/>
    <w:rsid w:val="007C410F"/>
    <w:rsid w:val="007C4ABE"/>
    <w:rsid w:val="007C5171"/>
    <w:rsid w:val="007C59A5"/>
    <w:rsid w:val="007C6575"/>
    <w:rsid w:val="007D10B6"/>
    <w:rsid w:val="007D12E0"/>
    <w:rsid w:val="007D1411"/>
    <w:rsid w:val="007D1AC8"/>
    <w:rsid w:val="007D240E"/>
    <w:rsid w:val="007D2ED3"/>
    <w:rsid w:val="007D3468"/>
    <w:rsid w:val="007D3998"/>
    <w:rsid w:val="007D3A36"/>
    <w:rsid w:val="007D460A"/>
    <w:rsid w:val="007D5300"/>
    <w:rsid w:val="007D68DD"/>
    <w:rsid w:val="007D7227"/>
    <w:rsid w:val="007D7442"/>
    <w:rsid w:val="007D79A0"/>
    <w:rsid w:val="007D7A51"/>
    <w:rsid w:val="007D7B59"/>
    <w:rsid w:val="007D7F7D"/>
    <w:rsid w:val="007E0449"/>
    <w:rsid w:val="007E055F"/>
    <w:rsid w:val="007E0F21"/>
    <w:rsid w:val="007E115A"/>
    <w:rsid w:val="007E2430"/>
    <w:rsid w:val="007E2465"/>
    <w:rsid w:val="007E2C4F"/>
    <w:rsid w:val="007E4E28"/>
    <w:rsid w:val="007E5DC2"/>
    <w:rsid w:val="007F0AA9"/>
    <w:rsid w:val="007F1714"/>
    <w:rsid w:val="007F2941"/>
    <w:rsid w:val="007F2C6A"/>
    <w:rsid w:val="007F2D1E"/>
    <w:rsid w:val="007F3915"/>
    <w:rsid w:val="007F420D"/>
    <w:rsid w:val="007F45E0"/>
    <w:rsid w:val="007F466E"/>
    <w:rsid w:val="007F4CE0"/>
    <w:rsid w:val="008009D4"/>
    <w:rsid w:val="00801FEB"/>
    <w:rsid w:val="0080207A"/>
    <w:rsid w:val="008025F0"/>
    <w:rsid w:val="00802C84"/>
    <w:rsid w:val="00802F61"/>
    <w:rsid w:val="008030A0"/>
    <w:rsid w:val="00803F61"/>
    <w:rsid w:val="008045A4"/>
    <w:rsid w:val="00805134"/>
    <w:rsid w:val="00806281"/>
    <w:rsid w:val="00806EF8"/>
    <w:rsid w:val="008106F6"/>
    <w:rsid w:val="0081071D"/>
    <w:rsid w:val="00810B58"/>
    <w:rsid w:val="00810FA7"/>
    <w:rsid w:val="008112E5"/>
    <w:rsid w:val="0081182A"/>
    <w:rsid w:val="00811D68"/>
    <w:rsid w:val="00812247"/>
    <w:rsid w:val="00812BA2"/>
    <w:rsid w:val="00812E0E"/>
    <w:rsid w:val="00812F05"/>
    <w:rsid w:val="0081369C"/>
    <w:rsid w:val="00814196"/>
    <w:rsid w:val="008141C8"/>
    <w:rsid w:val="00816466"/>
    <w:rsid w:val="00816839"/>
    <w:rsid w:val="00816F7D"/>
    <w:rsid w:val="00817440"/>
    <w:rsid w:val="00820007"/>
    <w:rsid w:val="008203CA"/>
    <w:rsid w:val="008205DC"/>
    <w:rsid w:val="00820BAE"/>
    <w:rsid w:val="00820D2D"/>
    <w:rsid w:val="00821281"/>
    <w:rsid w:val="0082194E"/>
    <w:rsid w:val="00821D6C"/>
    <w:rsid w:val="008223BF"/>
    <w:rsid w:val="00822FDC"/>
    <w:rsid w:val="008231C3"/>
    <w:rsid w:val="00823527"/>
    <w:rsid w:val="00823825"/>
    <w:rsid w:val="00824DEE"/>
    <w:rsid w:val="00826E6F"/>
    <w:rsid w:val="00827D14"/>
    <w:rsid w:val="0083044E"/>
    <w:rsid w:val="00830726"/>
    <w:rsid w:val="0083128A"/>
    <w:rsid w:val="00832501"/>
    <w:rsid w:val="00832574"/>
    <w:rsid w:val="00833222"/>
    <w:rsid w:val="0083471F"/>
    <w:rsid w:val="00834C2D"/>
    <w:rsid w:val="00834D3D"/>
    <w:rsid w:val="00835BFC"/>
    <w:rsid w:val="0083608C"/>
    <w:rsid w:val="008365C6"/>
    <w:rsid w:val="0083698E"/>
    <w:rsid w:val="00836A3D"/>
    <w:rsid w:val="008373D2"/>
    <w:rsid w:val="008376C5"/>
    <w:rsid w:val="00837B29"/>
    <w:rsid w:val="00837DAD"/>
    <w:rsid w:val="00837E45"/>
    <w:rsid w:val="0084001D"/>
    <w:rsid w:val="00841583"/>
    <w:rsid w:val="00841660"/>
    <w:rsid w:val="00841AD9"/>
    <w:rsid w:val="008424F9"/>
    <w:rsid w:val="008425AD"/>
    <w:rsid w:val="00842E64"/>
    <w:rsid w:val="00842FA6"/>
    <w:rsid w:val="00843702"/>
    <w:rsid w:val="00844006"/>
    <w:rsid w:val="008441F9"/>
    <w:rsid w:val="0084488D"/>
    <w:rsid w:val="00844BF9"/>
    <w:rsid w:val="00844CA3"/>
    <w:rsid w:val="00845A3E"/>
    <w:rsid w:val="00846A5C"/>
    <w:rsid w:val="008475D7"/>
    <w:rsid w:val="00847A81"/>
    <w:rsid w:val="008500AB"/>
    <w:rsid w:val="008501DA"/>
    <w:rsid w:val="00850C0E"/>
    <w:rsid w:val="0085194E"/>
    <w:rsid w:val="00851EA8"/>
    <w:rsid w:val="0085479C"/>
    <w:rsid w:val="0085618C"/>
    <w:rsid w:val="00856929"/>
    <w:rsid w:val="00856ADE"/>
    <w:rsid w:val="00856B88"/>
    <w:rsid w:val="00856C95"/>
    <w:rsid w:val="00856D1F"/>
    <w:rsid w:val="008577E7"/>
    <w:rsid w:val="00860046"/>
    <w:rsid w:val="00860AB5"/>
    <w:rsid w:val="00860B7D"/>
    <w:rsid w:val="00860F38"/>
    <w:rsid w:val="0086484B"/>
    <w:rsid w:val="008656D9"/>
    <w:rsid w:val="008665F1"/>
    <w:rsid w:val="0086772C"/>
    <w:rsid w:val="0087083E"/>
    <w:rsid w:val="008709A0"/>
    <w:rsid w:val="008709AD"/>
    <w:rsid w:val="00871987"/>
    <w:rsid w:val="00871F89"/>
    <w:rsid w:val="00874A78"/>
    <w:rsid w:val="00874A85"/>
    <w:rsid w:val="008758DE"/>
    <w:rsid w:val="00876D68"/>
    <w:rsid w:val="00883139"/>
    <w:rsid w:val="00883EC3"/>
    <w:rsid w:val="008850C2"/>
    <w:rsid w:val="0088563C"/>
    <w:rsid w:val="00885E64"/>
    <w:rsid w:val="00886AFE"/>
    <w:rsid w:val="00886E7B"/>
    <w:rsid w:val="00887004"/>
    <w:rsid w:val="0088738E"/>
    <w:rsid w:val="0089096A"/>
    <w:rsid w:val="0089137C"/>
    <w:rsid w:val="0089191E"/>
    <w:rsid w:val="008925E0"/>
    <w:rsid w:val="0089343E"/>
    <w:rsid w:val="00893B49"/>
    <w:rsid w:val="008956F0"/>
    <w:rsid w:val="008958E9"/>
    <w:rsid w:val="00896756"/>
    <w:rsid w:val="0089689A"/>
    <w:rsid w:val="00897269"/>
    <w:rsid w:val="008A0251"/>
    <w:rsid w:val="008A09E3"/>
    <w:rsid w:val="008A0F59"/>
    <w:rsid w:val="008A198B"/>
    <w:rsid w:val="008A2EB1"/>
    <w:rsid w:val="008A2FA7"/>
    <w:rsid w:val="008A39E0"/>
    <w:rsid w:val="008A6FFA"/>
    <w:rsid w:val="008A7765"/>
    <w:rsid w:val="008B0629"/>
    <w:rsid w:val="008B1CF7"/>
    <w:rsid w:val="008B225F"/>
    <w:rsid w:val="008B435B"/>
    <w:rsid w:val="008B47AA"/>
    <w:rsid w:val="008B5056"/>
    <w:rsid w:val="008B592C"/>
    <w:rsid w:val="008B62EC"/>
    <w:rsid w:val="008B694A"/>
    <w:rsid w:val="008B6FA8"/>
    <w:rsid w:val="008C0DBB"/>
    <w:rsid w:val="008C123D"/>
    <w:rsid w:val="008C1852"/>
    <w:rsid w:val="008C2339"/>
    <w:rsid w:val="008C26BE"/>
    <w:rsid w:val="008C2CA3"/>
    <w:rsid w:val="008C2F8B"/>
    <w:rsid w:val="008C31FE"/>
    <w:rsid w:val="008C3B79"/>
    <w:rsid w:val="008C449A"/>
    <w:rsid w:val="008C49B8"/>
    <w:rsid w:val="008C4ACB"/>
    <w:rsid w:val="008C4D24"/>
    <w:rsid w:val="008C61F4"/>
    <w:rsid w:val="008C7193"/>
    <w:rsid w:val="008C7481"/>
    <w:rsid w:val="008C772B"/>
    <w:rsid w:val="008C782F"/>
    <w:rsid w:val="008C7CB3"/>
    <w:rsid w:val="008D1C83"/>
    <w:rsid w:val="008D3065"/>
    <w:rsid w:val="008D335E"/>
    <w:rsid w:val="008D3B05"/>
    <w:rsid w:val="008D40C8"/>
    <w:rsid w:val="008D4436"/>
    <w:rsid w:val="008D44D7"/>
    <w:rsid w:val="008D461C"/>
    <w:rsid w:val="008D470C"/>
    <w:rsid w:val="008D48BC"/>
    <w:rsid w:val="008D5B0E"/>
    <w:rsid w:val="008D5D08"/>
    <w:rsid w:val="008D6634"/>
    <w:rsid w:val="008D7BFC"/>
    <w:rsid w:val="008E0B03"/>
    <w:rsid w:val="008E10E8"/>
    <w:rsid w:val="008E1A70"/>
    <w:rsid w:val="008E3115"/>
    <w:rsid w:val="008E3330"/>
    <w:rsid w:val="008E5105"/>
    <w:rsid w:val="008E53A2"/>
    <w:rsid w:val="008E5C97"/>
    <w:rsid w:val="008E60C6"/>
    <w:rsid w:val="008E65E2"/>
    <w:rsid w:val="008E6B37"/>
    <w:rsid w:val="008E7A37"/>
    <w:rsid w:val="008E7CB0"/>
    <w:rsid w:val="008F0D82"/>
    <w:rsid w:val="008F1711"/>
    <w:rsid w:val="008F31A4"/>
    <w:rsid w:val="008F33F7"/>
    <w:rsid w:val="008F562C"/>
    <w:rsid w:val="008F5927"/>
    <w:rsid w:val="008F627E"/>
    <w:rsid w:val="008F68DF"/>
    <w:rsid w:val="008F6DD4"/>
    <w:rsid w:val="0090034E"/>
    <w:rsid w:val="009026C6"/>
    <w:rsid w:val="00903308"/>
    <w:rsid w:val="009040AD"/>
    <w:rsid w:val="009045BB"/>
    <w:rsid w:val="009053FD"/>
    <w:rsid w:val="00905B6D"/>
    <w:rsid w:val="00907812"/>
    <w:rsid w:val="00907E4B"/>
    <w:rsid w:val="009103D4"/>
    <w:rsid w:val="009107DE"/>
    <w:rsid w:val="009116E3"/>
    <w:rsid w:val="00911785"/>
    <w:rsid w:val="009117BF"/>
    <w:rsid w:val="00911DB4"/>
    <w:rsid w:val="009123BB"/>
    <w:rsid w:val="00913411"/>
    <w:rsid w:val="009137EB"/>
    <w:rsid w:val="009139F3"/>
    <w:rsid w:val="00914E11"/>
    <w:rsid w:val="00915181"/>
    <w:rsid w:val="009159C2"/>
    <w:rsid w:val="0091661B"/>
    <w:rsid w:val="00916F67"/>
    <w:rsid w:val="009201A8"/>
    <w:rsid w:val="009224A2"/>
    <w:rsid w:val="0092268D"/>
    <w:rsid w:val="0092497D"/>
    <w:rsid w:val="00925CF4"/>
    <w:rsid w:val="00926275"/>
    <w:rsid w:val="00927D14"/>
    <w:rsid w:val="00930160"/>
    <w:rsid w:val="009311ED"/>
    <w:rsid w:val="00931430"/>
    <w:rsid w:val="009322EF"/>
    <w:rsid w:val="009331A7"/>
    <w:rsid w:val="009349DC"/>
    <w:rsid w:val="00936434"/>
    <w:rsid w:val="0093681A"/>
    <w:rsid w:val="00936942"/>
    <w:rsid w:val="00936D3A"/>
    <w:rsid w:val="009377A6"/>
    <w:rsid w:val="009405FE"/>
    <w:rsid w:val="009413E0"/>
    <w:rsid w:val="00942493"/>
    <w:rsid w:val="0094268E"/>
    <w:rsid w:val="00942F47"/>
    <w:rsid w:val="009434A3"/>
    <w:rsid w:val="0094379B"/>
    <w:rsid w:val="009439E3"/>
    <w:rsid w:val="00943D8B"/>
    <w:rsid w:val="00944D4C"/>
    <w:rsid w:val="009452A0"/>
    <w:rsid w:val="00945E45"/>
    <w:rsid w:val="00945F06"/>
    <w:rsid w:val="009461AC"/>
    <w:rsid w:val="00946700"/>
    <w:rsid w:val="009479B4"/>
    <w:rsid w:val="00947B7B"/>
    <w:rsid w:val="00947B9E"/>
    <w:rsid w:val="009505C5"/>
    <w:rsid w:val="0095081F"/>
    <w:rsid w:val="009509E5"/>
    <w:rsid w:val="00952664"/>
    <w:rsid w:val="009532A9"/>
    <w:rsid w:val="009533F1"/>
    <w:rsid w:val="009536D2"/>
    <w:rsid w:val="00953CBD"/>
    <w:rsid w:val="0095473F"/>
    <w:rsid w:val="00954E68"/>
    <w:rsid w:val="00955A96"/>
    <w:rsid w:val="00955B2F"/>
    <w:rsid w:val="00955B6A"/>
    <w:rsid w:val="00955D11"/>
    <w:rsid w:val="009565DE"/>
    <w:rsid w:val="009573AA"/>
    <w:rsid w:val="00957570"/>
    <w:rsid w:val="0096002C"/>
    <w:rsid w:val="0096289C"/>
    <w:rsid w:val="00962DED"/>
    <w:rsid w:val="009636FE"/>
    <w:rsid w:val="00964213"/>
    <w:rsid w:val="0096468A"/>
    <w:rsid w:val="00964D40"/>
    <w:rsid w:val="00967D9B"/>
    <w:rsid w:val="00967E20"/>
    <w:rsid w:val="00971806"/>
    <w:rsid w:val="0097198E"/>
    <w:rsid w:val="009720C0"/>
    <w:rsid w:val="009723CF"/>
    <w:rsid w:val="00973519"/>
    <w:rsid w:val="009745C3"/>
    <w:rsid w:val="00975307"/>
    <w:rsid w:val="00975731"/>
    <w:rsid w:val="00976BAE"/>
    <w:rsid w:val="00977202"/>
    <w:rsid w:val="00977C42"/>
    <w:rsid w:val="00977F5B"/>
    <w:rsid w:val="0098063E"/>
    <w:rsid w:val="00982444"/>
    <w:rsid w:val="0098281E"/>
    <w:rsid w:val="00982844"/>
    <w:rsid w:val="00982FC6"/>
    <w:rsid w:val="0098323D"/>
    <w:rsid w:val="009832F4"/>
    <w:rsid w:val="00983791"/>
    <w:rsid w:val="00983CBC"/>
    <w:rsid w:val="00983FC3"/>
    <w:rsid w:val="0098441E"/>
    <w:rsid w:val="00984679"/>
    <w:rsid w:val="009846F8"/>
    <w:rsid w:val="00984ED5"/>
    <w:rsid w:val="0098574E"/>
    <w:rsid w:val="00986CA4"/>
    <w:rsid w:val="00987984"/>
    <w:rsid w:val="00987A37"/>
    <w:rsid w:val="00987E43"/>
    <w:rsid w:val="00987EC0"/>
    <w:rsid w:val="00987F4F"/>
    <w:rsid w:val="00990261"/>
    <w:rsid w:val="0099031F"/>
    <w:rsid w:val="00990411"/>
    <w:rsid w:val="009923ED"/>
    <w:rsid w:val="00995378"/>
    <w:rsid w:val="009960B5"/>
    <w:rsid w:val="00996601"/>
    <w:rsid w:val="009978FF"/>
    <w:rsid w:val="0099799C"/>
    <w:rsid w:val="009A0C5F"/>
    <w:rsid w:val="009A0EEF"/>
    <w:rsid w:val="009A1A1F"/>
    <w:rsid w:val="009A30BE"/>
    <w:rsid w:val="009A3C0B"/>
    <w:rsid w:val="009A3C65"/>
    <w:rsid w:val="009A4E4F"/>
    <w:rsid w:val="009A4FE8"/>
    <w:rsid w:val="009A6A6C"/>
    <w:rsid w:val="009A70AC"/>
    <w:rsid w:val="009A7BDF"/>
    <w:rsid w:val="009B1119"/>
    <w:rsid w:val="009B17F7"/>
    <w:rsid w:val="009B2546"/>
    <w:rsid w:val="009B3FAE"/>
    <w:rsid w:val="009B527D"/>
    <w:rsid w:val="009B5729"/>
    <w:rsid w:val="009B575E"/>
    <w:rsid w:val="009B58A1"/>
    <w:rsid w:val="009B6025"/>
    <w:rsid w:val="009B78E4"/>
    <w:rsid w:val="009C00F8"/>
    <w:rsid w:val="009C2D29"/>
    <w:rsid w:val="009C394B"/>
    <w:rsid w:val="009C3B50"/>
    <w:rsid w:val="009C4B60"/>
    <w:rsid w:val="009C55A6"/>
    <w:rsid w:val="009C5FD5"/>
    <w:rsid w:val="009C6315"/>
    <w:rsid w:val="009C6A70"/>
    <w:rsid w:val="009C6AEF"/>
    <w:rsid w:val="009C6CC1"/>
    <w:rsid w:val="009C6F98"/>
    <w:rsid w:val="009C7A4A"/>
    <w:rsid w:val="009D00D5"/>
    <w:rsid w:val="009D1664"/>
    <w:rsid w:val="009D17EB"/>
    <w:rsid w:val="009D22D6"/>
    <w:rsid w:val="009D2EEB"/>
    <w:rsid w:val="009D30C2"/>
    <w:rsid w:val="009D3FE7"/>
    <w:rsid w:val="009D474B"/>
    <w:rsid w:val="009D4AFB"/>
    <w:rsid w:val="009D54AB"/>
    <w:rsid w:val="009D69ED"/>
    <w:rsid w:val="009D7C35"/>
    <w:rsid w:val="009E0277"/>
    <w:rsid w:val="009E0BDE"/>
    <w:rsid w:val="009E0CBC"/>
    <w:rsid w:val="009E34F2"/>
    <w:rsid w:val="009E41D8"/>
    <w:rsid w:val="009E4515"/>
    <w:rsid w:val="009E4656"/>
    <w:rsid w:val="009E4C5C"/>
    <w:rsid w:val="009E5E78"/>
    <w:rsid w:val="009E613F"/>
    <w:rsid w:val="009F1E3A"/>
    <w:rsid w:val="009F27F3"/>
    <w:rsid w:val="009F28C8"/>
    <w:rsid w:val="009F29F7"/>
    <w:rsid w:val="009F3218"/>
    <w:rsid w:val="009F3E0D"/>
    <w:rsid w:val="009F4ED6"/>
    <w:rsid w:val="009F5080"/>
    <w:rsid w:val="009F5925"/>
    <w:rsid w:val="009F6798"/>
    <w:rsid w:val="009F6CCF"/>
    <w:rsid w:val="009F7675"/>
    <w:rsid w:val="009F7775"/>
    <w:rsid w:val="00A0010A"/>
    <w:rsid w:val="00A00C1B"/>
    <w:rsid w:val="00A00E77"/>
    <w:rsid w:val="00A02897"/>
    <w:rsid w:val="00A02A42"/>
    <w:rsid w:val="00A037B2"/>
    <w:rsid w:val="00A04CAD"/>
    <w:rsid w:val="00A0527B"/>
    <w:rsid w:val="00A06EDA"/>
    <w:rsid w:val="00A07946"/>
    <w:rsid w:val="00A1025D"/>
    <w:rsid w:val="00A11EAE"/>
    <w:rsid w:val="00A12040"/>
    <w:rsid w:val="00A13EF0"/>
    <w:rsid w:val="00A157A3"/>
    <w:rsid w:val="00A1652A"/>
    <w:rsid w:val="00A179BF"/>
    <w:rsid w:val="00A17B53"/>
    <w:rsid w:val="00A202A5"/>
    <w:rsid w:val="00A20CB3"/>
    <w:rsid w:val="00A216D8"/>
    <w:rsid w:val="00A21A47"/>
    <w:rsid w:val="00A21C16"/>
    <w:rsid w:val="00A23057"/>
    <w:rsid w:val="00A2343E"/>
    <w:rsid w:val="00A23B5B"/>
    <w:rsid w:val="00A242A9"/>
    <w:rsid w:val="00A24646"/>
    <w:rsid w:val="00A267EC"/>
    <w:rsid w:val="00A26A6F"/>
    <w:rsid w:val="00A27899"/>
    <w:rsid w:val="00A30511"/>
    <w:rsid w:val="00A3191F"/>
    <w:rsid w:val="00A31AD8"/>
    <w:rsid w:val="00A320AB"/>
    <w:rsid w:val="00A35278"/>
    <w:rsid w:val="00A356C6"/>
    <w:rsid w:val="00A36409"/>
    <w:rsid w:val="00A36B9A"/>
    <w:rsid w:val="00A37360"/>
    <w:rsid w:val="00A40244"/>
    <w:rsid w:val="00A403B8"/>
    <w:rsid w:val="00A4126A"/>
    <w:rsid w:val="00A415A3"/>
    <w:rsid w:val="00A4278E"/>
    <w:rsid w:val="00A42B72"/>
    <w:rsid w:val="00A4306C"/>
    <w:rsid w:val="00A445A2"/>
    <w:rsid w:val="00A445DD"/>
    <w:rsid w:val="00A44B02"/>
    <w:rsid w:val="00A4595A"/>
    <w:rsid w:val="00A463E9"/>
    <w:rsid w:val="00A46784"/>
    <w:rsid w:val="00A4700E"/>
    <w:rsid w:val="00A47ECE"/>
    <w:rsid w:val="00A5025B"/>
    <w:rsid w:val="00A513F0"/>
    <w:rsid w:val="00A51BEA"/>
    <w:rsid w:val="00A520DE"/>
    <w:rsid w:val="00A524C7"/>
    <w:rsid w:val="00A528DC"/>
    <w:rsid w:val="00A532D4"/>
    <w:rsid w:val="00A544E7"/>
    <w:rsid w:val="00A545C6"/>
    <w:rsid w:val="00A553BD"/>
    <w:rsid w:val="00A55653"/>
    <w:rsid w:val="00A55A86"/>
    <w:rsid w:val="00A55ACE"/>
    <w:rsid w:val="00A55D07"/>
    <w:rsid w:val="00A563C6"/>
    <w:rsid w:val="00A5644C"/>
    <w:rsid w:val="00A574E9"/>
    <w:rsid w:val="00A57DDC"/>
    <w:rsid w:val="00A607E2"/>
    <w:rsid w:val="00A60E0E"/>
    <w:rsid w:val="00A60E99"/>
    <w:rsid w:val="00A616AD"/>
    <w:rsid w:val="00A616D6"/>
    <w:rsid w:val="00A62A7F"/>
    <w:rsid w:val="00A62C04"/>
    <w:rsid w:val="00A632BF"/>
    <w:rsid w:val="00A6497E"/>
    <w:rsid w:val="00A64C59"/>
    <w:rsid w:val="00A65028"/>
    <w:rsid w:val="00A650B9"/>
    <w:rsid w:val="00A655AD"/>
    <w:rsid w:val="00A661C4"/>
    <w:rsid w:val="00A662F8"/>
    <w:rsid w:val="00A67929"/>
    <w:rsid w:val="00A70F2F"/>
    <w:rsid w:val="00A71638"/>
    <w:rsid w:val="00A72359"/>
    <w:rsid w:val="00A72516"/>
    <w:rsid w:val="00A72681"/>
    <w:rsid w:val="00A72EE7"/>
    <w:rsid w:val="00A7323E"/>
    <w:rsid w:val="00A73937"/>
    <w:rsid w:val="00A73A5C"/>
    <w:rsid w:val="00A749F0"/>
    <w:rsid w:val="00A74E49"/>
    <w:rsid w:val="00A75ABB"/>
    <w:rsid w:val="00A7631E"/>
    <w:rsid w:val="00A7742B"/>
    <w:rsid w:val="00A77AC5"/>
    <w:rsid w:val="00A80C4F"/>
    <w:rsid w:val="00A826A9"/>
    <w:rsid w:val="00A828D7"/>
    <w:rsid w:val="00A82CCA"/>
    <w:rsid w:val="00A8373E"/>
    <w:rsid w:val="00A8594F"/>
    <w:rsid w:val="00A85BDE"/>
    <w:rsid w:val="00A85F70"/>
    <w:rsid w:val="00A86DAA"/>
    <w:rsid w:val="00A87115"/>
    <w:rsid w:val="00A875DE"/>
    <w:rsid w:val="00A87C15"/>
    <w:rsid w:val="00A87C96"/>
    <w:rsid w:val="00A87DD1"/>
    <w:rsid w:val="00A9007C"/>
    <w:rsid w:val="00A9041B"/>
    <w:rsid w:val="00A90440"/>
    <w:rsid w:val="00A906D2"/>
    <w:rsid w:val="00A90A00"/>
    <w:rsid w:val="00A91A83"/>
    <w:rsid w:val="00A91B9B"/>
    <w:rsid w:val="00A923FA"/>
    <w:rsid w:val="00A92E5F"/>
    <w:rsid w:val="00A937FD"/>
    <w:rsid w:val="00A93896"/>
    <w:rsid w:val="00A93FEB"/>
    <w:rsid w:val="00A9583F"/>
    <w:rsid w:val="00A96E3F"/>
    <w:rsid w:val="00A97416"/>
    <w:rsid w:val="00A9797D"/>
    <w:rsid w:val="00AA0475"/>
    <w:rsid w:val="00AA176A"/>
    <w:rsid w:val="00AA18E2"/>
    <w:rsid w:val="00AA1CD4"/>
    <w:rsid w:val="00AA2146"/>
    <w:rsid w:val="00AA31E9"/>
    <w:rsid w:val="00AA3780"/>
    <w:rsid w:val="00AA378B"/>
    <w:rsid w:val="00AA3B9B"/>
    <w:rsid w:val="00AA4CB3"/>
    <w:rsid w:val="00AA5AEC"/>
    <w:rsid w:val="00AA5F19"/>
    <w:rsid w:val="00AB033E"/>
    <w:rsid w:val="00AB1862"/>
    <w:rsid w:val="00AB484A"/>
    <w:rsid w:val="00AB5668"/>
    <w:rsid w:val="00AB5C57"/>
    <w:rsid w:val="00AB61E1"/>
    <w:rsid w:val="00AB720A"/>
    <w:rsid w:val="00AB766E"/>
    <w:rsid w:val="00AB79A1"/>
    <w:rsid w:val="00AB7F76"/>
    <w:rsid w:val="00AC0C3B"/>
    <w:rsid w:val="00AC1CBC"/>
    <w:rsid w:val="00AC1FFD"/>
    <w:rsid w:val="00AC20EA"/>
    <w:rsid w:val="00AC23F4"/>
    <w:rsid w:val="00AC2792"/>
    <w:rsid w:val="00AC2CD8"/>
    <w:rsid w:val="00AC33E9"/>
    <w:rsid w:val="00AC5B6F"/>
    <w:rsid w:val="00AC5BA4"/>
    <w:rsid w:val="00AC5F20"/>
    <w:rsid w:val="00AC6131"/>
    <w:rsid w:val="00AC637B"/>
    <w:rsid w:val="00AC64F9"/>
    <w:rsid w:val="00AC68EB"/>
    <w:rsid w:val="00AC695C"/>
    <w:rsid w:val="00AC7646"/>
    <w:rsid w:val="00AC7897"/>
    <w:rsid w:val="00AD188E"/>
    <w:rsid w:val="00AD1AD3"/>
    <w:rsid w:val="00AD1F85"/>
    <w:rsid w:val="00AD2665"/>
    <w:rsid w:val="00AD28E0"/>
    <w:rsid w:val="00AD2970"/>
    <w:rsid w:val="00AD360D"/>
    <w:rsid w:val="00AD4878"/>
    <w:rsid w:val="00AD48A3"/>
    <w:rsid w:val="00AD4D5E"/>
    <w:rsid w:val="00AD50F1"/>
    <w:rsid w:val="00AD69B6"/>
    <w:rsid w:val="00AD74FF"/>
    <w:rsid w:val="00AD76B8"/>
    <w:rsid w:val="00AD7F73"/>
    <w:rsid w:val="00AE1099"/>
    <w:rsid w:val="00AE1A7D"/>
    <w:rsid w:val="00AE2524"/>
    <w:rsid w:val="00AE4ECA"/>
    <w:rsid w:val="00AE531B"/>
    <w:rsid w:val="00AE5734"/>
    <w:rsid w:val="00AE5BD9"/>
    <w:rsid w:val="00AE6BC4"/>
    <w:rsid w:val="00AE737F"/>
    <w:rsid w:val="00AE739C"/>
    <w:rsid w:val="00AF15B6"/>
    <w:rsid w:val="00AF1AC3"/>
    <w:rsid w:val="00AF1D5C"/>
    <w:rsid w:val="00AF248E"/>
    <w:rsid w:val="00AF249A"/>
    <w:rsid w:val="00AF255A"/>
    <w:rsid w:val="00AF2809"/>
    <w:rsid w:val="00AF3031"/>
    <w:rsid w:val="00AF3F35"/>
    <w:rsid w:val="00AF406C"/>
    <w:rsid w:val="00AF4625"/>
    <w:rsid w:val="00AF46A6"/>
    <w:rsid w:val="00AF546B"/>
    <w:rsid w:val="00AF63AE"/>
    <w:rsid w:val="00AF68EC"/>
    <w:rsid w:val="00AF75C8"/>
    <w:rsid w:val="00AF7A51"/>
    <w:rsid w:val="00B00EB5"/>
    <w:rsid w:val="00B0228C"/>
    <w:rsid w:val="00B0257C"/>
    <w:rsid w:val="00B03158"/>
    <w:rsid w:val="00B040A4"/>
    <w:rsid w:val="00B05769"/>
    <w:rsid w:val="00B05E2A"/>
    <w:rsid w:val="00B07015"/>
    <w:rsid w:val="00B07283"/>
    <w:rsid w:val="00B07BB2"/>
    <w:rsid w:val="00B07F32"/>
    <w:rsid w:val="00B1076A"/>
    <w:rsid w:val="00B10B6E"/>
    <w:rsid w:val="00B115BB"/>
    <w:rsid w:val="00B11640"/>
    <w:rsid w:val="00B116C4"/>
    <w:rsid w:val="00B12218"/>
    <w:rsid w:val="00B127B2"/>
    <w:rsid w:val="00B13047"/>
    <w:rsid w:val="00B1307C"/>
    <w:rsid w:val="00B14929"/>
    <w:rsid w:val="00B1524D"/>
    <w:rsid w:val="00B15CD2"/>
    <w:rsid w:val="00B16883"/>
    <w:rsid w:val="00B17256"/>
    <w:rsid w:val="00B1763C"/>
    <w:rsid w:val="00B208CB"/>
    <w:rsid w:val="00B21D40"/>
    <w:rsid w:val="00B21F29"/>
    <w:rsid w:val="00B22A08"/>
    <w:rsid w:val="00B22D3B"/>
    <w:rsid w:val="00B23789"/>
    <w:rsid w:val="00B24C65"/>
    <w:rsid w:val="00B2528B"/>
    <w:rsid w:val="00B25B29"/>
    <w:rsid w:val="00B25E02"/>
    <w:rsid w:val="00B25F41"/>
    <w:rsid w:val="00B2736A"/>
    <w:rsid w:val="00B30275"/>
    <w:rsid w:val="00B30399"/>
    <w:rsid w:val="00B30F63"/>
    <w:rsid w:val="00B31166"/>
    <w:rsid w:val="00B311C3"/>
    <w:rsid w:val="00B320FE"/>
    <w:rsid w:val="00B32C44"/>
    <w:rsid w:val="00B3351C"/>
    <w:rsid w:val="00B3364B"/>
    <w:rsid w:val="00B33F72"/>
    <w:rsid w:val="00B3619B"/>
    <w:rsid w:val="00B36480"/>
    <w:rsid w:val="00B376EA"/>
    <w:rsid w:val="00B3787B"/>
    <w:rsid w:val="00B40967"/>
    <w:rsid w:val="00B41001"/>
    <w:rsid w:val="00B418F0"/>
    <w:rsid w:val="00B43FC7"/>
    <w:rsid w:val="00B44864"/>
    <w:rsid w:val="00B44A2F"/>
    <w:rsid w:val="00B4604C"/>
    <w:rsid w:val="00B46210"/>
    <w:rsid w:val="00B4696B"/>
    <w:rsid w:val="00B46D2B"/>
    <w:rsid w:val="00B47530"/>
    <w:rsid w:val="00B47F30"/>
    <w:rsid w:val="00B510CD"/>
    <w:rsid w:val="00B51CEF"/>
    <w:rsid w:val="00B54069"/>
    <w:rsid w:val="00B5439F"/>
    <w:rsid w:val="00B54E32"/>
    <w:rsid w:val="00B55437"/>
    <w:rsid w:val="00B5631A"/>
    <w:rsid w:val="00B578A2"/>
    <w:rsid w:val="00B57FE8"/>
    <w:rsid w:val="00B60963"/>
    <w:rsid w:val="00B60EAB"/>
    <w:rsid w:val="00B611FA"/>
    <w:rsid w:val="00B615E7"/>
    <w:rsid w:val="00B61899"/>
    <w:rsid w:val="00B61CCA"/>
    <w:rsid w:val="00B62369"/>
    <w:rsid w:val="00B6250C"/>
    <w:rsid w:val="00B626AC"/>
    <w:rsid w:val="00B62FAB"/>
    <w:rsid w:val="00B63A15"/>
    <w:rsid w:val="00B65F2B"/>
    <w:rsid w:val="00B6799E"/>
    <w:rsid w:val="00B67BD6"/>
    <w:rsid w:val="00B71864"/>
    <w:rsid w:val="00B72B31"/>
    <w:rsid w:val="00B73B6F"/>
    <w:rsid w:val="00B73C43"/>
    <w:rsid w:val="00B743BA"/>
    <w:rsid w:val="00B74800"/>
    <w:rsid w:val="00B74D54"/>
    <w:rsid w:val="00B75129"/>
    <w:rsid w:val="00B753E8"/>
    <w:rsid w:val="00B7671C"/>
    <w:rsid w:val="00B769D4"/>
    <w:rsid w:val="00B76D52"/>
    <w:rsid w:val="00B7764C"/>
    <w:rsid w:val="00B77B28"/>
    <w:rsid w:val="00B77BD9"/>
    <w:rsid w:val="00B77D68"/>
    <w:rsid w:val="00B8089A"/>
    <w:rsid w:val="00B81577"/>
    <w:rsid w:val="00B838E9"/>
    <w:rsid w:val="00B84093"/>
    <w:rsid w:val="00B8409B"/>
    <w:rsid w:val="00B841B1"/>
    <w:rsid w:val="00B8497D"/>
    <w:rsid w:val="00B84A97"/>
    <w:rsid w:val="00B85F6D"/>
    <w:rsid w:val="00B8645E"/>
    <w:rsid w:val="00B86F43"/>
    <w:rsid w:val="00B9086C"/>
    <w:rsid w:val="00B91A92"/>
    <w:rsid w:val="00B93AD1"/>
    <w:rsid w:val="00B93FB7"/>
    <w:rsid w:val="00B94CE3"/>
    <w:rsid w:val="00B9522D"/>
    <w:rsid w:val="00B9637B"/>
    <w:rsid w:val="00B9650C"/>
    <w:rsid w:val="00B96B47"/>
    <w:rsid w:val="00B9718A"/>
    <w:rsid w:val="00B97495"/>
    <w:rsid w:val="00B97728"/>
    <w:rsid w:val="00BA1255"/>
    <w:rsid w:val="00BA1F54"/>
    <w:rsid w:val="00BA22D9"/>
    <w:rsid w:val="00BA2B61"/>
    <w:rsid w:val="00BA2FB3"/>
    <w:rsid w:val="00BA3751"/>
    <w:rsid w:val="00BA38D5"/>
    <w:rsid w:val="00BA57E8"/>
    <w:rsid w:val="00BA6517"/>
    <w:rsid w:val="00BA697F"/>
    <w:rsid w:val="00BA6C39"/>
    <w:rsid w:val="00BA781C"/>
    <w:rsid w:val="00BA7E58"/>
    <w:rsid w:val="00BB0F3D"/>
    <w:rsid w:val="00BB1349"/>
    <w:rsid w:val="00BB27B0"/>
    <w:rsid w:val="00BB2E25"/>
    <w:rsid w:val="00BB4133"/>
    <w:rsid w:val="00BB4691"/>
    <w:rsid w:val="00BB488D"/>
    <w:rsid w:val="00BB4AF5"/>
    <w:rsid w:val="00BB4C31"/>
    <w:rsid w:val="00BB4D1F"/>
    <w:rsid w:val="00BB67CF"/>
    <w:rsid w:val="00BC063C"/>
    <w:rsid w:val="00BC0F6D"/>
    <w:rsid w:val="00BC139E"/>
    <w:rsid w:val="00BC1C06"/>
    <w:rsid w:val="00BC1C81"/>
    <w:rsid w:val="00BC2109"/>
    <w:rsid w:val="00BC239A"/>
    <w:rsid w:val="00BC2437"/>
    <w:rsid w:val="00BC3118"/>
    <w:rsid w:val="00BC4329"/>
    <w:rsid w:val="00BC4D5F"/>
    <w:rsid w:val="00BC5033"/>
    <w:rsid w:val="00BC5541"/>
    <w:rsid w:val="00BC595E"/>
    <w:rsid w:val="00BC5A87"/>
    <w:rsid w:val="00BC61A6"/>
    <w:rsid w:val="00BC6703"/>
    <w:rsid w:val="00BC69E9"/>
    <w:rsid w:val="00BC6A70"/>
    <w:rsid w:val="00BC74D4"/>
    <w:rsid w:val="00BC76E5"/>
    <w:rsid w:val="00BD1888"/>
    <w:rsid w:val="00BD1E10"/>
    <w:rsid w:val="00BD2CED"/>
    <w:rsid w:val="00BD346A"/>
    <w:rsid w:val="00BD4731"/>
    <w:rsid w:val="00BD48B7"/>
    <w:rsid w:val="00BD4B81"/>
    <w:rsid w:val="00BD6E47"/>
    <w:rsid w:val="00BD6EAC"/>
    <w:rsid w:val="00BD757F"/>
    <w:rsid w:val="00BD7A90"/>
    <w:rsid w:val="00BD7F71"/>
    <w:rsid w:val="00BE1028"/>
    <w:rsid w:val="00BE15BA"/>
    <w:rsid w:val="00BE1B44"/>
    <w:rsid w:val="00BE2219"/>
    <w:rsid w:val="00BE3321"/>
    <w:rsid w:val="00BE3992"/>
    <w:rsid w:val="00BE5385"/>
    <w:rsid w:val="00BE5A5A"/>
    <w:rsid w:val="00BE771F"/>
    <w:rsid w:val="00BF1291"/>
    <w:rsid w:val="00BF1C11"/>
    <w:rsid w:val="00BF1D1D"/>
    <w:rsid w:val="00BF26F9"/>
    <w:rsid w:val="00BF3996"/>
    <w:rsid w:val="00BF3E2A"/>
    <w:rsid w:val="00BF3F91"/>
    <w:rsid w:val="00BF4077"/>
    <w:rsid w:val="00BF4E94"/>
    <w:rsid w:val="00BF5248"/>
    <w:rsid w:val="00C00C33"/>
    <w:rsid w:val="00C0193D"/>
    <w:rsid w:val="00C01C7F"/>
    <w:rsid w:val="00C03FCE"/>
    <w:rsid w:val="00C04ACE"/>
    <w:rsid w:val="00C04DAB"/>
    <w:rsid w:val="00C04E15"/>
    <w:rsid w:val="00C053E7"/>
    <w:rsid w:val="00C1077C"/>
    <w:rsid w:val="00C11235"/>
    <w:rsid w:val="00C112F6"/>
    <w:rsid w:val="00C1174B"/>
    <w:rsid w:val="00C127B5"/>
    <w:rsid w:val="00C13627"/>
    <w:rsid w:val="00C137D0"/>
    <w:rsid w:val="00C138EB"/>
    <w:rsid w:val="00C145C6"/>
    <w:rsid w:val="00C15481"/>
    <w:rsid w:val="00C15814"/>
    <w:rsid w:val="00C15920"/>
    <w:rsid w:val="00C16315"/>
    <w:rsid w:val="00C166BA"/>
    <w:rsid w:val="00C170DD"/>
    <w:rsid w:val="00C209EE"/>
    <w:rsid w:val="00C21A11"/>
    <w:rsid w:val="00C21C0D"/>
    <w:rsid w:val="00C23438"/>
    <w:rsid w:val="00C247E2"/>
    <w:rsid w:val="00C2489D"/>
    <w:rsid w:val="00C24B01"/>
    <w:rsid w:val="00C25711"/>
    <w:rsid w:val="00C258C3"/>
    <w:rsid w:val="00C25F91"/>
    <w:rsid w:val="00C260A0"/>
    <w:rsid w:val="00C262F8"/>
    <w:rsid w:val="00C263B0"/>
    <w:rsid w:val="00C266F1"/>
    <w:rsid w:val="00C27426"/>
    <w:rsid w:val="00C30062"/>
    <w:rsid w:val="00C3078A"/>
    <w:rsid w:val="00C30C4D"/>
    <w:rsid w:val="00C30E44"/>
    <w:rsid w:val="00C31607"/>
    <w:rsid w:val="00C31A16"/>
    <w:rsid w:val="00C32309"/>
    <w:rsid w:val="00C34038"/>
    <w:rsid w:val="00C340CC"/>
    <w:rsid w:val="00C34703"/>
    <w:rsid w:val="00C35CFF"/>
    <w:rsid w:val="00C36283"/>
    <w:rsid w:val="00C40B86"/>
    <w:rsid w:val="00C41041"/>
    <w:rsid w:val="00C410B0"/>
    <w:rsid w:val="00C417AC"/>
    <w:rsid w:val="00C419A1"/>
    <w:rsid w:val="00C42693"/>
    <w:rsid w:val="00C42B87"/>
    <w:rsid w:val="00C437DD"/>
    <w:rsid w:val="00C441AF"/>
    <w:rsid w:val="00C44E2F"/>
    <w:rsid w:val="00C44FC5"/>
    <w:rsid w:val="00C451B7"/>
    <w:rsid w:val="00C45C1D"/>
    <w:rsid w:val="00C45DEF"/>
    <w:rsid w:val="00C46694"/>
    <w:rsid w:val="00C46A90"/>
    <w:rsid w:val="00C47E88"/>
    <w:rsid w:val="00C50CD2"/>
    <w:rsid w:val="00C50EC8"/>
    <w:rsid w:val="00C538B0"/>
    <w:rsid w:val="00C53E16"/>
    <w:rsid w:val="00C54060"/>
    <w:rsid w:val="00C54416"/>
    <w:rsid w:val="00C545A6"/>
    <w:rsid w:val="00C54C4F"/>
    <w:rsid w:val="00C5776E"/>
    <w:rsid w:val="00C579D0"/>
    <w:rsid w:val="00C579F5"/>
    <w:rsid w:val="00C60768"/>
    <w:rsid w:val="00C607BA"/>
    <w:rsid w:val="00C617C5"/>
    <w:rsid w:val="00C618F6"/>
    <w:rsid w:val="00C61D22"/>
    <w:rsid w:val="00C62366"/>
    <w:rsid w:val="00C6258E"/>
    <w:rsid w:val="00C637AB"/>
    <w:rsid w:val="00C6390B"/>
    <w:rsid w:val="00C63ED6"/>
    <w:rsid w:val="00C63F9C"/>
    <w:rsid w:val="00C64E63"/>
    <w:rsid w:val="00C65ACA"/>
    <w:rsid w:val="00C6663B"/>
    <w:rsid w:val="00C67C4D"/>
    <w:rsid w:val="00C7018E"/>
    <w:rsid w:val="00C70216"/>
    <w:rsid w:val="00C704CB"/>
    <w:rsid w:val="00C70587"/>
    <w:rsid w:val="00C71663"/>
    <w:rsid w:val="00C72360"/>
    <w:rsid w:val="00C723FF"/>
    <w:rsid w:val="00C72525"/>
    <w:rsid w:val="00C72999"/>
    <w:rsid w:val="00C74433"/>
    <w:rsid w:val="00C747BE"/>
    <w:rsid w:val="00C74AC6"/>
    <w:rsid w:val="00C752ED"/>
    <w:rsid w:val="00C75CFB"/>
    <w:rsid w:val="00C77048"/>
    <w:rsid w:val="00C77766"/>
    <w:rsid w:val="00C77C4E"/>
    <w:rsid w:val="00C77E9E"/>
    <w:rsid w:val="00C77F30"/>
    <w:rsid w:val="00C8067E"/>
    <w:rsid w:val="00C808A1"/>
    <w:rsid w:val="00C82C98"/>
    <w:rsid w:val="00C82FC7"/>
    <w:rsid w:val="00C830FE"/>
    <w:rsid w:val="00C837DA"/>
    <w:rsid w:val="00C84EDD"/>
    <w:rsid w:val="00C85B69"/>
    <w:rsid w:val="00C85B98"/>
    <w:rsid w:val="00C872F5"/>
    <w:rsid w:val="00C87FE2"/>
    <w:rsid w:val="00C90EF0"/>
    <w:rsid w:val="00C90F49"/>
    <w:rsid w:val="00C91344"/>
    <w:rsid w:val="00C91AE7"/>
    <w:rsid w:val="00C91CEA"/>
    <w:rsid w:val="00C924FB"/>
    <w:rsid w:val="00C93408"/>
    <w:rsid w:val="00C936C9"/>
    <w:rsid w:val="00C937CA"/>
    <w:rsid w:val="00C942F6"/>
    <w:rsid w:val="00C9451F"/>
    <w:rsid w:val="00C94695"/>
    <w:rsid w:val="00C94B31"/>
    <w:rsid w:val="00C96520"/>
    <w:rsid w:val="00C9674A"/>
    <w:rsid w:val="00C975B6"/>
    <w:rsid w:val="00C97D93"/>
    <w:rsid w:val="00CA0662"/>
    <w:rsid w:val="00CA12E3"/>
    <w:rsid w:val="00CA1FDA"/>
    <w:rsid w:val="00CA315C"/>
    <w:rsid w:val="00CA33ED"/>
    <w:rsid w:val="00CA38BD"/>
    <w:rsid w:val="00CA3C92"/>
    <w:rsid w:val="00CA412F"/>
    <w:rsid w:val="00CA432F"/>
    <w:rsid w:val="00CA47CF"/>
    <w:rsid w:val="00CA686F"/>
    <w:rsid w:val="00CA7A60"/>
    <w:rsid w:val="00CA7B59"/>
    <w:rsid w:val="00CA7CF2"/>
    <w:rsid w:val="00CB02D8"/>
    <w:rsid w:val="00CB07A2"/>
    <w:rsid w:val="00CB0A8E"/>
    <w:rsid w:val="00CB1605"/>
    <w:rsid w:val="00CB1785"/>
    <w:rsid w:val="00CB1A5B"/>
    <w:rsid w:val="00CB337B"/>
    <w:rsid w:val="00CB47BA"/>
    <w:rsid w:val="00CB5291"/>
    <w:rsid w:val="00CB53B3"/>
    <w:rsid w:val="00CB5C79"/>
    <w:rsid w:val="00CB61DE"/>
    <w:rsid w:val="00CB6348"/>
    <w:rsid w:val="00CB6B4C"/>
    <w:rsid w:val="00CC06BC"/>
    <w:rsid w:val="00CC183F"/>
    <w:rsid w:val="00CC213B"/>
    <w:rsid w:val="00CC2BB5"/>
    <w:rsid w:val="00CC387B"/>
    <w:rsid w:val="00CC54B8"/>
    <w:rsid w:val="00CC719F"/>
    <w:rsid w:val="00CD0778"/>
    <w:rsid w:val="00CD0A5A"/>
    <w:rsid w:val="00CD0C1D"/>
    <w:rsid w:val="00CD162B"/>
    <w:rsid w:val="00CD1CD4"/>
    <w:rsid w:val="00CD2BB2"/>
    <w:rsid w:val="00CD3172"/>
    <w:rsid w:val="00CD4432"/>
    <w:rsid w:val="00CD4B65"/>
    <w:rsid w:val="00CD4BBA"/>
    <w:rsid w:val="00CD4C62"/>
    <w:rsid w:val="00CD4C7A"/>
    <w:rsid w:val="00CD4C8D"/>
    <w:rsid w:val="00CD7A8E"/>
    <w:rsid w:val="00CD7D51"/>
    <w:rsid w:val="00CE01C7"/>
    <w:rsid w:val="00CE022A"/>
    <w:rsid w:val="00CE1EE7"/>
    <w:rsid w:val="00CE249E"/>
    <w:rsid w:val="00CE25C2"/>
    <w:rsid w:val="00CE2781"/>
    <w:rsid w:val="00CE39F4"/>
    <w:rsid w:val="00CE4308"/>
    <w:rsid w:val="00CE4DBE"/>
    <w:rsid w:val="00CE58BD"/>
    <w:rsid w:val="00CE6662"/>
    <w:rsid w:val="00CF08A4"/>
    <w:rsid w:val="00CF0F39"/>
    <w:rsid w:val="00CF21DA"/>
    <w:rsid w:val="00CF38B5"/>
    <w:rsid w:val="00CF4984"/>
    <w:rsid w:val="00CF4CA4"/>
    <w:rsid w:val="00CF608C"/>
    <w:rsid w:val="00CF71B1"/>
    <w:rsid w:val="00CF71CA"/>
    <w:rsid w:val="00CF74D4"/>
    <w:rsid w:val="00CF7BDE"/>
    <w:rsid w:val="00D00037"/>
    <w:rsid w:val="00D004E8"/>
    <w:rsid w:val="00D008C6"/>
    <w:rsid w:val="00D01486"/>
    <w:rsid w:val="00D01E7B"/>
    <w:rsid w:val="00D03922"/>
    <w:rsid w:val="00D04DF2"/>
    <w:rsid w:val="00D058B3"/>
    <w:rsid w:val="00D05ABF"/>
    <w:rsid w:val="00D06260"/>
    <w:rsid w:val="00D06B75"/>
    <w:rsid w:val="00D10875"/>
    <w:rsid w:val="00D10AB9"/>
    <w:rsid w:val="00D1166D"/>
    <w:rsid w:val="00D1203A"/>
    <w:rsid w:val="00D128BB"/>
    <w:rsid w:val="00D13BE4"/>
    <w:rsid w:val="00D13F5A"/>
    <w:rsid w:val="00D14B81"/>
    <w:rsid w:val="00D14F10"/>
    <w:rsid w:val="00D1538D"/>
    <w:rsid w:val="00D15E27"/>
    <w:rsid w:val="00D16833"/>
    <w:rsid w:val="00D1690E"/>
    <w:rsid w:val="00D17BDF"/>
    <w:rsid w:val="00D17F3C"/>
    <w:rsid w:val="00D20463"/>
    <w:rsid w:val="00D20DAD"/>
    <w:rsid w:val="00D21D36"/>
    <w:rsid w:val="00D21F61"/>
    <w:rsid w:val="00D2289C"/>
    <w:rsid w:val="00D233C5"/>
    <w:rsid w:val="00D2358E"/>
    <w:rsid w:val="00D23FF8"/>
    <w:rsid w:val="00D2482E"/>
    <w:rsid w:val="00D24F7F"/>
    <w:rsid w:val="00D2502D"/>
    <w:rsid w:val="00D258DB"/>
    <w:rsid w:val="00D2680A"/>
    <w:rsid w:val="00D268C8"/>
    <w:rsid w:val="00D26AE2"/>
    <w:rsid w:val="00D32293"/>
    <w:rsid w:val="00D327E5"/>
    <w:rsid w:val="00D3292D"/>
    <w:rsid w:val="00D32F1B"/>
    <w:rsid w:val="00D32F26"/>
    <w:rsid w:val="00D33111"/>
    <w:rsid w:val="00D34628"/>
    <w:rsid w:val="00D3515B"/>
    <w:rsid w:val="00D36F9A"/>
    <w:rsid w:val="00D3796B"/>
    <w:rsid w:val="00D37B49"/>
    <w:rsid w:val="00D4067E"/>
    <w:rsid w:val="00D412F0"/>
    <w:rsid w:val="00D42249"/>
    <w:rsid w:val="00D42261"/>
    <w:rsid w:val="00D424E7"/>
    <w:rsid w:val="00D4309B"/>
    <w:rsid w:val="00D43887"/>
    <w:rsid w:val="00D43AA8"/>
    <w:rsid w:val="00D445E1"/>
    <w:rsid w:val="00D44BED"/>
    <w:rsid w:val="00D47303"/>
    <w:rsid w:val="00D47792"/>
    <w:rsid w:val="00D50106"/>
    <w:rsid w:val="00D51B02"/>
    <w:rsid w:val="00D52380"/>
    <w:rsid w:val="00D523A9"/>
    <w:rsid w:val="00D525BE"/>
    <w:rsid w:val="00D5305E"/>
    <w:rsid w:val="00D5332B"/>
    <w:rsid w:val="00D559B1"/>
    <w:rsid w:val="00D55BEA"/>
    <w:rsid w:val="00D56FFA"/>
    <w:rsid w:val="00D571B4"/>
    <w:rsid w:val="00D57BBF"/>
    <w:rsid w:val="00D6007F"/>
    <w:rsid w:val="00D604D1"/>
    <w:rsid w:val="00D615A9"/>
    <w:rsid w:val="00D66A54"/>
    <w:rsid w:val="00D705E7"/>
    <w:rsid w:val="00D7182A"/>
    <w:rsid w:val="00D727F5"/>
    <w:rsid w:val="00D72F07"/>
    <w:rsid w:val="00D72F69"/>
    <w:rsid w:val="00D73575"/>
    <w:rsid w:val="00D74FC4"/>
    <w:rsid w:val="00D763C6"/>
    <w:rsid w:val="00D763F4"/>
    <w:rsid w:val="00D76882"/>
    <w:rsid w:val="00D77A47"/>
    <w:rsid w:val="00D80631"/>
    <w:rsid w:val="00D80C16"/>
    <w:rsid w:val="00D811CE"/>
    <w:rsid w:val="00D81897"/>
    <w:rsid w:val="00D819F2"/>
    <w:rsid w:val="00D825C2"/>
    <w:rsid w:val="00D8367B"/>
    <w:rsid w:val="00D84777"/>
    <w:rsid w:val="00D84D9B"/>
    <w:rsid w:val="00D8608A"/>
    <w:rsid w:val="00D8690F"/>
    <w:rsid w:val="00D87497"/>
    <w:rsid w:val="00D90E30"/>
    <w:rsid w:val="00D91096"/>
    <w:rsid w:val="00D9257B"/>
    <w:rsid w:val="00D93922"/>
    <w:rsid w:val="00D93FE0"/>
    <w:rsid w:val="00D94940"/>
    <w:rsid w:val="00D95645"/>
    <w:rsid w:val="00D959B6"/>
    <w:rsid w:val="00DA0289"/>
    <w:rsid w:val="00DA0444"/>
    <w:rsid w:val="00DA2410"/>
    <w:rsid w:val="00DA2597"/>
    <w:rsid w:val="00DA276F"/>
    <w:rsid w:val="00DA29EA"/>
    <w:rsid w:val="00DA2B87"/>
    <w:rsid w:val="00DA2CC4"/>
    <w:rsid w:val="00DA31D6"/>
    <w:rsid w:val="00DA327E"/>
    <w:rsid w:val="00DA337E"/>
    <w:rsid w:val="00DA451A"/>
    <w:rsid w:val="00DA4644"/>
    <w:rsid w:val="00DA493C"/>
    <w:rsid w:val="00DA567F"/>
    <w:rsid w:val="00DA6578"/>
    <w:rsid w:val="00DA6DEA"/>
    <w:rsid w:val="00DA7278"/>
    <w:rsid w:val="00DA79BF"/>
    <w:rsid w:val="00DA7FE0"/>
    <w:rsid w:val="00DB07A1"/>
    <w:rsid w:val="00DB0B5F"/>
    <w:rsid w:val="00DB2E18"/>
    <w:rsid w:val="00DB3A64"/>
    <w:rsid w:val="00DB4142"/>
    <w:rsid w:val="00DB4185"/>
    <w:rsid w:val="00DB4290"/>
    <w:rsid w:val="00DB4650"/>
    <w:rsid w:val="00DB4B9D"/>
    <w:rsid w:val="00DB4CAB"/>
    <w:rsid w:val="00DB6F84"/>
    <w:rsid w:val="00DB7B37"/>
    <w:rsid w:val="00DB7B8D"/>
    <w:rsid w:val="00DB7FE0"/>
    <w:rsid w:val="00DC0743"/>
    <w:rsid w:val="00DC1688"/>
    <w:rsid w:val="00DC16A7"/>
    <w:rsid w:val="00DC198A"/>
    <w:rsid w:val="00DC2232"/>
    <w:rsid w:val="00DC3426"/>
    <w:rsid w:val="00DC3591"/>
    <w:rsid w:val="00DC3E2B"/>
    <w:rsid w:val="00DC479F"/>
    <w:rsid w:val="00DC56C0"/>
    <w:rsid w:val="00DC64A4"/>
    <w:rsid w:val="00DC70AE"/>
    <w:rsid w:val="00DC7E21"/>
    <w:rsid w:val="00DC7E7C"/>
    <w:rsid w:val="00DD0560"/>
    <w:rsid w:val="00DD0B20"/>
    <w:rsid w:val="00DD0D2D"/>
    <w:rsid w:val="00DD0EA4"/>
    <w:rsid w:val="00DD0F7A"/>
    <w:rsid w:val="00DD12EA"/>
    <w:rsid w:val="00DD1EFF"/>
    <w:rsid w:val="00DD246C"/>
    <w:rsid w:val="00DD3E2F"/>
    <w:rsid w:val="00DD7EFF"/>
    <w:rsid w:val="00DE12E2"/>
    <w:rsid w:val="00DE1941"/>
    <w:rsid w:val="00DE2DB8"/>
    <w:rsid w:val="00DE31FE"/>
    <w:rsid w:val="00DE5C59"/>
    <w:rsid w:val="00DE6139"/>
    <w:rsid w:val="00DE7111"/>
    <w:rsid w:val="00DE7933"/>
    <w:rsid w:val="00DE7CDF"/>
    <w:rsid w:val="00DF0125"/>
    <w:rsid w:val="00DF1B73"/>
    <w:rsid w:val="00DF1F14"/>
    <w:rsid w:val="00DF22CB"/>
    <w:rsid w:val="00DF2E7D"/>
    <w:rsid w:val="00DF2FF5"/>
    <w:rsid w:val="00DF396A"/>
    <w:rsid w:val="00DF568D"/>
    <w:rsid w:val="00DF5DA7"/>
    <w:rsid w:val="00DF65C0"/>
    <w:rsid w:val="00DF6798"/>
    <w:rsid w:val="00DF6C7E"/>
    <w:rsid w:val="00DF7C26"/>
    <w:rsid w:val="00E014F2"/>
    <w:rsid w:val="00E022CB"/>
    <w:rsid w:val="00E02A50"/>
    <w:rsid w:val="00E0469E"/>
    <w:rsid w:val="00E0519D"/>
    <w:rsid w:val="00E065FA"/>
    <w:rsid w:val="00E06672"/>
    <w:rsid w:val="00E06E78"/>
    <w:rsid w:val="00E07DAA"/>
    <w:rsid w:val="00E10D47"/>
    <w:rsid w:val="00E10E06"/>
    <w:rsid w:val="00E11127"/>
    <w:rsid w:val="00E112F1"/>
    <w:rsid w:val="00E114BE"/>
    <w:rsid w:val="00E12864"/>
    <w:rsid w:val="00E1446A"/>
    <w:rsid w:val="00E15229"/>
    <w:rsid w:val="00E154E6"/>
    <w:rsid w:val="00E16BFE"/>
    <w:rsid w:val="00E17571"/>
    <w:rsid w:val="00E2053F"/>
    <w:rsid w:val="00E217D8"/>
    <w:rsid w:val="00E21AA2"/>
    <w:rsid w:val="00E21D2C"/>
    <w:rsid w:val="00E22015"/>
    <w:rsid w:val="00E22AA0"/>
    <w:rsid w:val="00E22AAD"/>
    <w:rsid w:val="00E24B15"/>
    <w:rsid w:val="00E2513F"/>
    <w:rsid w:val="00E251C9"/>
    <w:rsid w:val="00E254B3"/>
    <w:rsid w:val="00E259AF"/>
    <w:rsid w:val="00E25E17"/>
    <w:rsid w:val="00E25EC0"/>
    <w:rsid w:val="00E2618B"/>
    <w:rsid w:val="00E263EC"/>
    <w:rsid w:val="00E26BFA"/>
    <w:rsid w:val="00E275C5"/>
    <w:rsid w:val="00E27665"/>
    <w:rsid w:val="00E27841"/>
    <w:rsid w:val="00E27BEB"/>
    <w:rsid w:val="00E27DFE"/>
    <w:rsid w:val="00E30A90"/>
    <w:rsid w:val="00E310AB"/>
    <w:rsid w:val="00E317C1"/>
    <w:rsid w:val="00E31FE6"/>
    <w:rsid w:val="00E3270D"/>
    <w:rsid w:val="00E32C85"/>
    <w:rsid w:val="00E33141"/>
    <w:rsid w:val="00E333C9"/>
    <w:rsid w:val="00E33662"/>
    <w:rsid w:val="00E339D1"/>
    <w:rsid w:val="00E33D1C"/>
    <w:rsid w:val="00E346A8"/>
    <w:rsid w:val="00E35703"/>
    <w:rsid w:val="00E36615"/>
    <w:rsid w:val="00E3713F"/>
    <w:rsid w:val="00E37191"/>
    <w:rsid w:val="00E40258"/>
    <w:rsid w:val="00E4049E"/>
    <w:rsid w:val="00E4053F"/>
    <w:rsid w:val="00E40FD1"/>
    <w:rsid w:val="00E41C50"/>
    <w:rsid w:val="00E42C4F"/>
    <w:rsid w:val="00E431C8"/>
    <w:rsid w:val="00E43F20"/>
    <w:rsid w:val="00E43F77"/>
    <w:rsid w:val="00E44F15"/>
    <w:rsid w:val="00E46912"/>
    <w:rsid w:val="00E471FF"/>
    <w:rsid w:val="00E47AC1"/>
    <w:rsid w:val="00E47C9F"/>
    <w:rsid w:val="00E50003"/>
    <w:rsid w:val="00E50062"/>
    <w:rsid w:val="00E50762"/>
    <w:rsid w:val="00E517DF"/>
    <w:rsid w:val="00E52430"/>
    <w:rsid w:val="00E529EB"/>
    <w:rsid w:val="00E52DC2"/>
    <w:rsid w:val="00E5382E"/>
    <w:rsid w:val="00E5451A"/>
    <w:rsid w:val="00E54ED3"/>
    <w:rsid w:val="00E55906"/>
    <w:rsid w:val="00E56368"/>
    <w:rsid w:val="00E56FF5"/>
    <w:rsid w:val="00E57698"/>
    <w:rsid w:val="00E576F6"/>
    <w:rsid w:val="00E57C26"/>
    <w:rsid w:val="00E60257"/>
    <w:rsid w:val="00E60362"/>
    <w:rsid w:val="00E62751"/>
    <w:rsid w:val="00E63635"/>
    <w:rsid w:val="00E63F33"/>
    <w:rsid w:val="00E64054"/>
    <w:rsid w:val="00E64F05"/>
    <w:rsid w:val="00E65BA8"/>
    <w:rsid w:val="00E65DC2"/>
    <w:rsid w:val="00E65F4E"/>
    <w:rsid w:val="00E6628A"/>
    <w:rsid w:val="00E670BE"/>
    <w:rsid w:val="00E70DAB"/>
    <w:rsid w:val="00E71313"/>
    <w:rsid w:val="00E71639"/>
    <w:rsid w:val="00E718B0"/>
    <w:rsid w:val="00E72021"/>
    <w:rsid w:val="00E720AC"/>
    <w:rsid w:val="00E7347B"/>
    <w:rsid w:val="00E73BB0"/>
    <w:rsid w:val="00E7417E"/>
    <w:rsid w:val="00E749C1"/>
    <w:rsid w:val="00E75810"/>
    <w:rsid w:val="00E75D27"/>
    <w:rsid w:val="00E7616F"/>
    <w:rsid w:val="00E80526"/>
    <w:rsid w:val="00E81269"/>
    <w:rsid w:val="00E81781"/>
    <w:rsid w:val="00E82892"/>
    <w:rsid w:val="00E82EA4"/>
    <w:rsid w:val="00E840CF"/>
    <w:rsid w:val="00E84CF8"/>
    <w:rsid w:val="00E85BF5"/>
    <w:rsid w:val="00E87541"/>
    <w:rsid w:val="00E9058E"/>
    <w:rsid w:val="00E90D7D"/>
    <w:rsid w:val="00E91F65"/>
    <w:rsid w:val="00E94CA0"/>
    <w:rsid w:val="00E94DB8"/>
    <w:rsid w:val="00E950F6"/>
    <w:rsid w:val="00E952AB"/>
    <w:rsid w:val="00E95543"/>
    <w:rsid w:val="00E957CC"/>
    <w:rsid w:val="00E95FDF"/>
    <w:rsid w:val="00E96901"/>
    <w:rsid w:val="00E96DCC"/>
    <w:rsid w:val="00E970C0"/>
    <w:rsid w:val="00E972DE"/>
    <w:rsid w:val="00EA1363"/>
    <w:rsid w:val="00EA1959"/>
    <w:rsid w:val="00EA2246"/>
    <w:rsid w:val="00EA3E55"/>
    <w:rsid w:val="00EA3F5E"/>
    <w:rsid w:val="00EA416E"/>
    <w:rsid w:val="00EA4491"/>
    <w:rsid w:val="00EA4D7B"/>
    <w:rsid w:val="00EA5474"/>
    <w:rsid w:val="00EA67DB"/>
    <w:rsid w:val="00EA6DDB"/>
    <w:rsid w:val="00EA7098"/>
    <w:rsid w:val="00EA76EF"/>
    <w:rsid w:val="00EB05FB"/>
    <w:rsid w:val="00EB153F"/>
    <w:rsid w:val="00EB1C12"/>
    <w:rsid w:val="00EB2DC7"/>
    <w:rsid w:val="00EB3852"/>
    <w:rsid w:val="00EB4933"/>
    <w:rsid w:val="00EB49ED"/>
    <w:rsid w:val="00EB6192"/>
    <w:rsid w:val="00EB62A1"/>
    <w:rsid w:val="00EB62DC"/>
    <w:rsid w:val="00EB6F18"/>
    <w:rsid w:val="00EC00C2"/>
    <w:rsid w:val="00EC0225"/>
    <w:rsid w:val="00EC0AB6"/>
    <w:rsid w:val="00EC0B4E"/>
    <w:rsid w:val="00EC0F89"/>
    <w:rsid w:val="00EC2904"/>
    <w:rsid w:val="00EC2B04"/>
    <w:rsid w:val="00EC2BB6"/>
    <w:rsid w:val="00EC3217"/>
    <w:rsid w:val="00EC432E"/>
    <w:rsid w:val="00EC467F"/>
    <w:rsid w:val="00EC633F"/>
    <w:rsid w:val="00EC6BC8"/>
    <w:rsid w:val="00EC7931"/>
    <w:rsid w:val="00EC79DE"/>
    <w:rsid w:val="00EC7DC5"/>
    <w:rsid w:val="00EC7FC5"/>
    <w:rsid w:val="00ED0DFB"/>
    <w:rsid w:val="00ED1803"/>
    <w:rsid w:val="00ED194A"/>
    <w:rsid w:val="00ED1C0C"/>
    <w:rsid w:val="00ED2346"/>
    <w:rsid w:val="00ED2C9D"/>
    <w:rsid w:val="00ED30F4"/>
    <w:rsid w:val="00ED364E"/>
    <w:rsid w:val="00ED3973"/>
    <w:rsid w:val="00ED3E41"/>
    <w:rsid w:val="00ED4646"/>
    <w:rsid w:val="00ED47A8"/>
    <w:rsid w:val="00ED4C9D"/>
    <w:rsid w:val="00ED537C"/>
    <w:rsid w:val="00ED53F3"/>
    <w:rsid w:val="00ED77CC"/>
    <w:rsid w:val="00ED7E29"/>
    <w:rsid w:val="00EE09F1"/>
    <w:rsid w:val="00EE139A"/>
    <w:rsid w:val="00EE2557"/>
    <w:rsid w:val="00EE2BA7"/>
    <w:rsid w:val="00EE2BFC"/>
    <w:rsid w:val="00EE2D0A"/>
    <w:rsid w:val="00EE2E6D"/>
    <w:rsid w:val="00EE3656"/>
    <w:rsid w:val="00EE37D3"/>
    <w:rsid w:val="00EE3D6C"/>
    <w:rsid w:val="00EE3E15"/>
    <w:rsid w:val="00EE5ADA"/>
    <w:rsid w:val="00EE6446"/>
    <w:rsid w:val="00EE6BE6"/>
    <w:rsid w:val="00EE6F06"/>
    <w:rsid w:val="00EF0312"/>
    <w:rsid w:val="00EF0B11"/>
    <w:rsid w:val="00EF0E4F"/>
    <w:rsid w:val="00EF136F"/>
    <w:rsid w:val="00EF1A8B"/>
    <w:rsid w:val="00EF1DB0"/>
    <w:rsid w:val="00EF2A9C"/>
    <w:rsid w:val="00EF329E"/>
    <w:rsid w:val="00EF4149"/>
    <w:rsid w:val="00EF41C8"/>
    <w:rsid w:val="00EF4C97"/>
    <w:rsid w:val="00EF719D"/>
    <w:rsid w:val="00F004AE"/>
    <w:rsid w:val="00F00C45"/>
    <w:rsid w:val="00F02221"/>
    <w:rsid w:val="00F022EA"/>
    <w:rsid w:val="00F04CAD"/>
    <w:rsid w:val="00F05040"/>
    <w:rsid w:val="00F05B67"/>
    <w:rsid w:val="00F065AE"/>
    <w:rsid w:val="00F06CAE"/>
    <w:rsid w:val="00F07284"/>
    <w:rsid w:val="00F07BB2"/>
    <w:rsid w:val="00F10BA2"/>
    <w:rsid w:val="00F13ADB"/>
    <w:rsid w:val="00F1404D"/>
    <w:rsid w:val="00F14506"/>
    <w:rsid w:val="00F145AB"/>
    <w:rsid w:val="00F14B59"/>
    <w:rsid w:val="00F151E5"/>
    <w:rsid w:val="00F15703"/>
    <w:rsid w:val="00F15B82"/>
    <w:rsid w:val="00F167FF"/>
    <w:rsid w:val="00F172BA"/>
    <w:rsid w:val="00F17E5E"/>
    <w:rsid w:val="00F202EE"/>
    <w:rsid w:val="00F20455"/>
    <w:rsid w:val="00F2083B"/>
    <w:rsid w:val="00F20ACA"/>
    <w:rsid w:val="00F21617"/>
    <w:rsid w:val="00F22687"/>
    <w:rsid w:val="00F2309D"/>
    <w:rsid w:val="00F248E4"/>
    <w:rsid w:val="00F254AE"/>
    <w:rsid w:val="00F26270"/>
    <w:rsid w:val="00F26A15"/>
    <w:rsid w:val="00F27F9D"/>
    <w:rsid w:val="00F303A4"/>
    <w:rsid w:val="00F3210D"/>
    <w:rsid w:val="00F32C53"/>
    <w:rsid w:val="00F3341E"/>
    <w:rsid w:val="00F343B4"/>
    <w:rsid w:val="00F3527B"/>
    <w:rsid w:val="00F35E02"/>
    <w:rsid w:val="00F3622F"/>
    <w:rsid w:val="00F363FD"/>
    <w:rsid w:val="00F36E80"/>
    <w:rsid w:val="00F36F84"/>
    <w:rsid w:val="00F36FD2"/>
    <w:rsid w:val="00F37AEE"/>
    <w:rsid w:val="00F4086F"/>
    <w:rsid w:val="00F415DB"/>
    <w:rsid w:val="00F4244E"/>
    <w:rsid w:val="00F42A0D"/>
    <w:rsid w:val="00F42E34"/>
    <w:rsid w:val="00F4346A"/>
    <w:rsid w:val="00F435E4"/>
    <w:rsid w:val="00F440AF"/>
    <w:rsid w:val="00F44525"/>
    <w:rsid w:val="00F44B27"/>
    <w:rsid w:val="00F50257"/>
    <w:rsid w:val="00F5044D"/>
    <w:rsid w:val="00F5068E"/>
    <w:rsid w:val="00F50BE0"/>
    <w:rsid w:val="00F52443"/>
    <w:rsid w:val="00F52DBB"/>
    <w:rsid w:val="00F54014"/>
    <w:rsid w:val="00F547CC"/>
    <w:rsid w:val="00F54BEB"/>
    <w:rsid w:val="00F5500A"/>
    <w:rsid w:val="00F55E03"/>
    <w:rsid w:val="00F562A2"/>
    <w:rsid w:val="00F56395"/>
    <w:rsid w:val="00F566BE"/>
    <w:rsid w:val="00F56842"/>
    <w:rsid w:val="00F57551"/>
    <w:rsid w:val="00F57B8A"/>
    <w:rsid w:val="00F62AD7"/>
    <w:rsid w:val="00F62BA9"/>
    <w:rsid w:val="00F65485"/>
    <w:rsid w:val="00F65629"/>
    <w:rsid w:val="00F66439"/>
    <w:rsid w:val="00F66889"/>
    <w:rsid w:val="00F66F4F"/>
    <w:rsid w:val="00F6704E"/>
    <w:rsid w:val="00F67639"/>
    <w:rsid w:val="00F67AD8"/>
    <w:rsid w:val="00F70874"/>
    <w:rsid w:val="00F70E07"/>
    <w:rsid w:val="00F70F93"/>
    <w:rsid w:val="00F71495"/>
    <w:rsid w:val="00F71E46"/>
    <w:rsid w:val="00F724F7"/>
    <w:rsid w:val="00F72D45"/>
    <w:rsid w:val="00F74382"/>
    <w:rsid w:val="00F74775"/>
    <w:rsid w:val="00F74F81"/>
    <w:rsid w:val="00F7520D"/>
    <w:rsid w:val="00F75557"/>
    <w:rsid w:val="00F75A3B"/>
    <w:rsid w:val="00F75AB7"/>
    <w:rsid w:val="00F76529"/>
    <w:rsid w:val="00F76FB2"/>
    <w:rsid w:val="00F77927"/>
    <w:rsid w:val="00F815DE"/>
    <w:rsid w:val="00F82146"/>
    <w:rsid w:val="00F8449B"/>
    <w:rsid w:val="00F8470F"/>
    <w:rsid w:val="00F85031"/>
    <w:rsid w:val="00F85607"/>
    <w:rsid w:val="00F866C3"/>
    <w:rsid w:val="00F86AF2"/>
    <w:rsid w:val="00F87095"/>
    <w:rsid w:val="00F902E3"/>
    <w:rsid w:val="00F9049C"/>
    <w:rsid w:val="00F9059B"/>
    <w:rsid w:val="00F90E38"/>
    <w:rsid w:val="00F91C93"/>
    <w:rsid w:val="00F93D19"/>
    <w:rsid w:val="00F941BF"/>
    <w:rsid w:val="00F942EC"/>
    <w:rsid w:val="00F961DA"/>
    <w:rsid w:val="00F97BB7"/>
    <w:rsid w:val="00FA0CF8"/>
    <w:rsid w:val="00FA1413"/>
    <w:rsid w:val="00FA153E"/>
    <w:rsid w:val="00FA1986"/>
    <w:rsid w:val="00FA1A08"/>
    <w:rsid w:val="00FA342F"/>
    <w:rsid w:val="00FA4259"/>
    <w:rsid w:val="00FA4274"/>
    <w:rsid w:val="00FA5991"/>
    <w:rsid w:val="00FA5CEF"/>
    <w:rsid w:val="00FA5F51"/>
    <w:rsid w:val="00FA6F85"/>
    <w:rsid w:val="00FA754A"/>
    <w:rsid w:val="00FA7DA1"/>
    <w:rsid w:val="00FB0EA0"/>
    <w:rsid w:val="00FB106F"/>
    <w:rsid w:val="00FB1574"/>
    <w:rsid w:val="00FB2717"/>
    <w:rsid w:val="00FB2A3A"/>
    <w:rsid w:val="00FB32BF"/>
    <w:rsid w:val="00FB337F"/>
    <w:rsid w:val="00FB3744"/>
    <w:rsid w:val="00FB3E57"/>
    <w:rsid w:val="00FB3F4A"/>
    <w:rsid w:val="00FB41C7"/>
    <w:rsid w:val="00FB4CFD"/>
    <w:rsid w:val="00FB5024"/>
    <w:rsid w:val="00FB562A"/>
    <w:rsid w:val="00FB638F"/>
    <w:rsid w:val="00FB68A0"/>
    <w:rsid w:val="00FB68A5"/>
    <w:rsid w:val="00FC127F"/>
    <w:rsid w:val="00FC130A"/>
    <w:rsid w:val="00FC2044"/>
    <w:rsid w:val="00FC25F3"/>
    <w:rsid w:val="00FC4DF7"/>
    <w:rsid w:val="00FC553F"/>
    <w:rsid w:val="00FC5C69"/>
    <w:rsid w:val="00FC647B"/>
    <w:rsid w:val="00FC64C1"/>
    <w:rsid w:val="00FC65B2"/>
    <w:rsid w:val="00FC6804"/>
    <w:rsid w:val="00FC6AEF"/>
    <w:rsid w:val="00FC6FAC"/>
    <w:rsid w:val="00FC7F09"/>
    <w:rsid w:val="00FD065B"/>
    <w:rsid w:val="00FD06F9"/>
    <w:rsid w:val="00FD06FA"/>
    <w:rsid w:val="00FD4E94"/>
    <w:rsid w:val="00FD5548"/>
    <w:rsid w:val="00FD5C29"/>
    <w:rsid w:val="00FD64CA"/>
    <w:rsid w:val="00FD6BF5"/>
    <w:rsid w:val="00FD782E"/>
    <w:rsid w:val="00FE03A7"/>
    <w:rsid w:val="00FE1A06"/>
    <w:rsid w:val="00FE1A23"/>
    <w:rsid w:val="00FE277A"/>
    <w:rsid w:val="00FE3302"/>
    <w:rsid w:val="00FE35F1"/>
    <w:rsid w:val="00FE4265"/>
    <w:rsid w:val="00FE4ECD"/>
    <w:rsid w:val="00FE54AE"/>
    <w:rsid w:val="00FE7054"/>
    <w:rsid w:val="00FE741C"/>
    <w:rsid w:val="00FE7586"/>
    <w:rsid w:val="00FF179E"/>
    <w:rsid w:val="00FF1A74"/>
    <w:rsid w:val="00FF231A"/>
    <w:rsid w:val="00FF2EBC"/>
    <w:rsid w:val="00FF300C"/>
    <w:rsid w:val="00FF36CF"/>
    <w:rsid w:val="00FF383B"/>
    <w:rsid w:val="00FF3E03"/>
    <w:rsid w:val="00FF5310"/>
    <w:rsid w:val="00FF56AB"/>
    <w:rsid w:val="00FF5802"/>
    <w:rsid w:val="00FF59F6"/>
    <w:rsid w:val="00FF6A44"/>
    <w:rsid w:val="00FF6C09"/>
    <w:rsid w:val="00FF74D8"/>
    <w:rsid w:val="00FF7720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3360EC"/>
  <w15:docId w15:val="{A8215E76-C46D-4400-9F35-CF34D20B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894"/>
    <w:pPr>
      <w:spacing w:before="240" w:after="0" w:line="240" w:lineRule="auto"/>
      <w:jc w:val="both"/>
    </w:pPr>
    <w:rPr>
      <w:rFonts w:eastAsia="Times New Roman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4595A"/>
    <w:pPr>
      <w:keepNext/>
      <w:tabs>
        <w:tab w:val="right" w:pos="9072"/>
      </w:tabs>
      <w:spacing w:before="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1061D9"/>
    <w:pPr>
      <w:keepNext/>
      <w:spacing w:after="120"/>
      <w:outlineLvl w:val="1"/>
    </w:pPr>
    <w:rPr>
      <w:b/>
      <w:bCs/>
      <w:iCs/>
      <w:szCs w:val="28"/>
    </w:rPr>
  </w:style>
  <w:style w:type="paragraph" w:styleId="Nadpis3">
    <w:name w:val="heading 3"/>
    <w:basedOn w:val="Nadpis2"/>
    <w:next w:val="Normln"/>
    <w:link w:val="Nadpis3Char"/>
    <w:autoRedefine/>
    <w:qFormat/>
    <w:rsid w:val="00B16883"/>
    <w:pPr>
      <w:numPr>
        <w:ilvl w:val="2"/>
      </w:numPr>
      <w:ind w:left="851"/>
      <w:outlineLvl w:val="2"/>
    </w:pPr>
    <w:rPr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7F1714"/>
    <w:pPr>
      <w:keepNext/>
      <w:numPr>
        <w:ilvl w:val="3"/>
        <w:numId w:val="1"/>
      </w:numPr>
      <w:spacing w:before="120"/>
      <w:ind w:left="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751E6A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51E6A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51E6A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51E6A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51E6A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595A"/>
    <w:rPr>
      <w:rFonts w:eastAsia="Times New Roman" w:cs="Arial"/>
      <w:b/>
      <w:sz w:val="28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1061D9"/>
    <w:rPr>
      <w:rFonts w:eastAsia="Times New Roman" w:cs="Arial"/>
      <w:b/>
      <w:bCs/>
      <w:i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B16883"/>
    <w:rPr>
      <w:rFonts w:eastAsia="Times New Roman" w:cs="Arial"/>
      <w:b/>
      <w:bCs/>
      <w:i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7F1714"/>
    <w:rPr>
      <w:rFonts w:eastAsia="Times New Roman" w:cs="Arial"/>
      <w:b/>
      <w:b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51E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51E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51E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51E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51E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rsid w:val="00751E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E6A"/>
    <w:rPr>
      <w:rFonts w:ascii="Arial" w:eastAsia="Times New Roman" w:hAnsi="Arial" w:cs="Arial"/>
      <w:szCs w:val="24"/>
    </w:rPr>
  </w:style>
  <w:style w:type="paragraph" w:styleId="Zpat">
    <w:name w:val="footer"/>
    <w:basedOn w:val="Normln"/>
    <w:link w:val="ZpatChar"/>
    <w:semiHidden/>
    <w:rsid w:val="00751E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751E6A"/>
    <w:rPr>
      <w:rFonts w:ascii="Arial" w:eastAsia="Times New Roman" w:hAnsi="Arial" w:cs="Arial"/>
      <w:szCs w:val="24"/>
    </w:rPr>
  </w:style>
  <w:style w:type="character" w:styleId="slostrnky">
    <w:name w:val="page number"/>
    <w:basedOn w:val="Standardnpsmoodstavce"/>
    <w:semiHidden/>
    <w:rsid w:val="00751E6A"/>
  </w:style>
  <w:style w:type="paragraph" w:styleId="Textpoznpodarou">
    <w:name w:val="footnote text"/>
    <w:basedOn w:val="Normln"/>
    <w:link w:val="TextpoznpodarouChar"/>
    <w:uiPriority w:val="99"/>
    <w:semiHidden/>
    <w:rsid w:val="00AD69B6"/>
    <w:pPr>
      <w:spacing w:before="0"/>
      <w:ind w:left="142" w:hanging="142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69B6"/>
    <w:rPr>
      <w:rFonts w:eastAsia="Times New Roman" w:cs="Arial"/>
      <w:sz w:val="20"/>
      <w:szCs w:val="20"/>
    </w:rPr>
  </w:style>
  <w:style w:type="character" w:styleId="Znakapoznpodarou">
    <w:name w:val="footnote reference"/>
    <w:uiPriority w:val="99"/>
    <w:semiHidden/>
    <w:rsid w:val="00751E6A"/>
    <w:rPr>
      <w:vertAlign w:val="superscript"/>
    </w:rPr>
  </w:style>
  <w:style w:type="paragraph" w:styleId="Zkladntext3">
    <w:name w:val="Body Text 3"/>
    <w:basedOn w:val="Normln"/>
    <w:link w:val="Zkladntext3Char"/>
    <w:autoRedefine/>
    <w:uiPriority w:val="99"/>
    <w:semiHidden/>
    <w:rsid w:val="00AE6BC4"/>
    <w:pPr>
      <w:spacing w:before="0"/>
      <w:jc w:val="right"/>
    </w:pPr>
    <w:rPr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E6BC4"/>
    <w:rPr>
      <w:rFonts w:eastAsia="Times New Roman" w:cs="Arial"/>
      <w:szCs w:val="24"/>
    </w:rPr>
  </w:style>
  <w:style w:type="character" w:styleId="Siln">
    <w:name w:val="Strong"/>
    <w:uiPriority w:val="22"/>
    <w:qFormat/>
    <w:rsid w:val="00751E6A"/>
    <w:rPr>
      <w:b/>
      <w:bCs/>
    </w:rPr>
  </w:style>
  <w:style w:type="paragraph" w:customStyle="1" w:styleId="tabulka">
    <w:name w:val="tabulka"/>
    <w:basedOn w:val="Normln"/>
    <w:link w:val="tabulkaChar"/>
    <w:qFormat/>
    <w:rsid w:val="00A47ECE"/>
    <w:pPr>
      <w:spacing w:before="0"/>
    </w:pPr>
    <w:rPr>
      <w:sz w:val="22"/>
      <w:szCs w:val="18"/>
    </w:rPr>
  </w:style>
  <w:style w:type="character" w:customStyle="1" w:styleId="tabulkaChar">
    <w:name w:val="tabulka Char"/>
    <w:link w:val="tabulka"/>
    <w:rsid w:val="00A47ECE"/>
    <w:rPr>
      <w:rFonts w:eastAsia="Times New Roman" w:cs="Arial"/>
      <w:szCs w:val="18"/>
    </w:rPr>
  </w:style>
  <w:style w:type="paragraph" w:customStyle="1" w:styleId="Poznmka">
    <w:name w:val="Poznámka"/>
    <w:basedOn w:val="Normln"/>
    <w:link w:val="PoznmkaChar"/>
    <w:autoRedefine/>
    <w:qFormat/>
    <w:rsid w:val="009509E5"/>
    <w:pPr>
      <w:spacing w:before="60"/>
      <w:ind w:left="567" w:hanging="567"/>
    </w:pPr>
    <w:rPr>
      <w:rFonts w:cs="Times New Roman"/>
      <w:sz w:val="20"/>
      <w:szCs w:val="18"/>
    </w:rPr>
  </w:style>
  <w:style w:type="character" w:customStyle="1" w:styleId="PoznmkaChar">
    <w:name w:val="Poznámka Char"/>
    <w:link w:val="Poznmka"/>
    <w:rsid w:val="009509E5"/>
    <w:rPr>
      <w:rFonts w:eastAsia="Times New Roman" w:cs="Times New Roman"/>
      <w:sz w:val="20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751E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51E6A"/>
    <w:rPr>
      <w:rFonts w:ascii="Arial" w:eastAsia="Times New Roman" w:hAnsi="Arial" w:cs="Arial"/>
      <w:szCs w:val="24"/>
    </w:rPr>
  </w:style>
  <w:style w:type="paragraph" w:styleId="Nzev">
    <w:name w:val="Title"/>
    <w:basedOn w:val="Normln"/>
    <w:link w:val="NzevChar"/>
    <w:rsid w:val="00ED4646"/>
    <w:pPr>
      <w:spacing w:before="360"/>
      <w:jc w:val="center"/>
    </w:pPr>
    <w:rPr>
      <w:rFonts w:cs="Times New Roman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ED4646"/>
    <w:rPr>
      <w:rFonts w:eastAsia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rážky"/>
    <w:basedOn w:val="Normln"/>
    <w:uiPriority w:val="34"/>
    <w:qFormat/>
    <w:rsid w:val="00DF5DA7"/>
    <w:pPr>
      <w:numPr>
        <w:numId w:val="2"/>
      </w:numPr>
      <w:contextualSpacing/>
    </w:pPr>
    <w:rPr>
      <w:lang w:eastAsia="cs-CZ"/>
    </w:rPr>
  </w:style>
  <w:style w:type="paragraph" w:customStyle="1" w:styleId="Zkladntext21">
    <w:name w:val="Základní text 21"/>
    <w:basedOn w:val="Normln"/>
    <w:uiPriority w:val="99"/>
    <w:rsid w:val="00751E6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b/>
      <w:szCs w:val="20"/>
      <w:lang w:eastAsia="cs-CZ"/>
    </w:rPr>
  </w:style>
  <w:style w:type="paragraph" w:customStyle="1" w:styleId="odst1">
    <w:name w:val="odst 1"/>
    <w:basedOn w:val="Normln"/>
    <w:qFormat/>
    <w:rsid w:val="00751E6A"/>
    <w:pPr>
      <w:spacing w:after="200"/>
    </w:pPr>
    <w:rPr>
      <w:rFonts w:eastAsia="Calibri"/>
      <w:szCs w:val="22"/>
    </w:rPr>
  </w:style>
  <w:style w:type="character" w:customStyle="1" w:styleId="platne1">
    <w:name w:val="platne1"/>
    <w:basedOn w:val="Standardnpsmoodstavce"/>
    <w:rsid w:val="00751E6A"/>
  </w:style>
  <w:style w:type="character" w:styleId="Odkaznakoment">
    <w:name w:val="annotation reference"/>
    <w:basedOn w:val="Standardnpsmoodstavce"/>
    <w:uiPriority w:val="99"/>
    <w:semiHidden/>
    <w:unhideWhenUsed/>
    <w:rsid w:val="00751E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1E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1E6A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E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E6A"/>
    <w:rPr>
      <w:rFonts w:ascii="Tahoma" w:eastAsia="Times New Roman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31F5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77188B"/>
    <w:pPr>
      <w:tabs>
        <w:tab w:val="left" w:pos="440"/>
        <w:tab w:val="right" w:leader="dot" w:pos="9060"/>
      </w:tabs>
      <w:spacing w:before="120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77188B"/>
    <w:pPr>
      <w:spacing w:before="120"/>
      <w:ind w:left="221"/>
    </w:pPr>
  </w:style>
  <w:style w:type="character" w:styleId="Hypertextovodkaz">
    <w:name w:val="Hyperlink"/>
    <w:basedOn w:val="Standardnpsmoodstavce"/>
    <w:uiPriority w:val="99"/>
    <w:unhideWhenUsed/>
    <w:rsid w:val="00731F54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D825C2"/>
    <w:pPr>
      <w:spacing w:after="0" w:line="240" w:lineRule="auto"/>
      <w:jc w:val="both"/>
    </w:pPr>
    <w:rPr>
      <w:rFonts w:eastAsia="Times New Roman" w:cs="Arial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024D69"/>
    <w:pPr>
      <w:tabs>
        <w:tab w:val="left" w:pos="1320"/>
        <w:tab w:val="right" w:leader="dot" w:pos="9060"/>
      </w:tabs>
      <w:spacing w:before="0" w:after="100" w:line="276" w:lineRule="auto"/>
      <w:ind w:left="440"/>
      <w:jc w:val="left"/>
    </w:pPr>
    <w:rPr>
      <w:rFonts w:eastAsiaTheme="minorEastAsia"/>
      <w:noProof/>
      <w:szCs w:val="22"/>
      <w:lang w:eastAsia="cs-CZ"/>
    </w:rPr>
  </w:style>
  <w:style w:type="table" w:styleId="Mkatabulky">
    <w:name w:val="Table Grid"/>
    <w:basedOn w:val="Normlntabulka"/>
    <w:uiPriority w:val="59"/>
    <w:rsid w:val="00987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86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LatinArial">
    <w:name w:val="Style (Latin) Arial"/>
    <w:rsid w:val="00392B11"/>
    <w:rPr>
      <w:rFonts w:ascii="Arial" w:eastAsia="Calibri" w:hAnsi="Arial" w:cs="Arial"/>
      <w:sz w:val="20"/>
      <w:lang w:val="cs-CZ" w:eastAsia="en-US" w:bidi="ar-SA"/>
    </w:rPr>
  </w:style>
  <w:style w:type="paragraph" w:customStyle="1" w:styleId="BodyText31">
    <w:name w:val="Body Text 31"/>
    <w:basedOn w:val="Normln"/>
    <w:rsid w:val="00FE741C"/>
    <w:pPr>
      <w:overflowPunct w:val="0"/>
      <w:autoSpaceDE w:val="0"/>
      <w:autoSpaceDN w:val="0"/>
      <w:adjustRightInd w:val="0"/>
      <w:spacing w:before="0"/>
      <w:ind w:left="284" w:hanging="284"/>
    </w:pPr>
    <w:rPr>
      <w:b/>
      <w:bCs/>
      <w:szCs w:val="22"/>
      <w:lang w:eastAsia="cs-CZ"/>
    </w:rPr>
  </w:style>
  <w:style w:type="paragraph" w:customStyle="1" w:styleId="Nzevtabulky">
    <w:name w:val="Název tabulky"/>
    <w:basedOn w:val="Normln"/>
    <w:qFormat/>
    <w:rsid w:val="00C112F6"/>
    <w:pPr>
      <w:numPr>
        <w:numId w:val="8"/>
      </w:numPr>
    </w:pPr>
    <w:rPr>
      <w:szCs w:val="22"/>
    </w:rPr>
  </w:style>
  <w:style w:type="paragraph" w:styleId="Normlnweb">
    <w:name w:val="Normal (Web)"/>
    <w:basedOn w:val="Normln"/>
    <w:uiPriority w:val="99"/>
    <w:semiHidden/>
    <w:rsid w:val="00653154"/>
    <w:pPr>
      <w:spacing w:before="0"/>
      <w:jc w:val="left"/>
    </w:pPr>
    <w:rPr>
      <w:rFonts w:ascii="Times New Roman" w:hAnsi="Times New Roman" w:cs="Times New Roman"/>
    </w:rPr>
  </w:style>
  <w:style w:type="paragraph" w:styleId="Citt">
    <w:name w:val="Quote"/>
    <w:basedOn w:val="Normln"/>
    <w:next w:val="Normln"/>
    <w:link w:val="CittChar"/>
    <w:uiPriority w:val="29"/>
    <w:qFormat/>
    <w:rsid w:val="00191068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191068"/>
    <w:rPr>
      <w:rFonts w:eastAsia="Times New Roman" w:cs="Arial"/>
      <w:i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4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42D"/>
    <w:rPr>
      <w:rFonts w:ascii="Arial" w:eastAsia="Times New Roman" w:hAnsi="Arial" w:cs="Arial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qFormat/>
    <w:rsid w:val="0006242D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6242D"/>
    <w:rPr>
      <w:rFonts w:eastAsia="Times New Roman" w:cs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06242D"/>
    <w:rPr>
      <w:vertAlign w:val="superscript"/>
    </w:rPr>
  </w:style>
  <w:style w:type="paragraph" w:customStyle="1" w:styleId="Graf">
    <w:name w:val="Graf"/>
    <w:basedOn w:val="Nzevtabulky"/>
    <w:qFormat/>
    <w:rsid w:val="00751809"/>
    <w:pPr>
      <w:numPr>
        <w:numId w:val="3"/>
      </w:numPr>
    </w:pPr>
  </w:style>
  <w:style w:type="paragraph" w:customStyle="1" w:styleId="Nzevtext">
    <w:name w:val="Název text"/>
    <w:basedOn w:val="Nzev"/>
    <w:qFormat/>
    <w:rsid w:val="00E970C0"/>
    <w:pPr>
      <w:numPr>
        <w:numId w:val="4"/>
      </w:numPr>
    </w:pPr>
  </w:style>
  <w:style w:type="paragraph" w:customStyle="1" w:styleId="Zdroj">
    <w:name w:val="Zdroj"/>
    <w:basedOn w:val="Normln"/>
    <w:link w:val="ZdrojChar"/>
    <w:qFormat/>
    <w:rsid w:val="00947B7B"/>
    <w:pPr>
      <w:spacing w:before="0"/>
      <w:ind w:left="57"/>
    </w:pPr>
    <w:rPr>
      <w:rFonts w:cs="Times New Roman"/>
      <w:i/>
      <w:sz w:val="20"/>
    </w:rPr>
  </w:style>
  <w:style w:type="character" w:customStyle="1" w:styleId="ZdrojChar">
    <w:name w:val="Zdroj Char"/>
    <w:basedOn w:val="Standardnpsmoodstavce"/>
    <w:link w:val="Zdroj"/>
    <w:rsid w:val="00947B7B"/>
    <w:rPr>
      <w:rFonts w:eastAsia="Times New Roman" w:cs="Times New Roman"/>
      <w:i/>
      <w:sz w:val="20"/>
      <w:szCs w:val="24"/>
    </w:rPr>
  </w:style>
  <w:style w:type="paragraph" w:customStyle="1" w:styleId="Zdrojtabulky">
    <w:name w:val="Zdroj tabulky"/>
    <w:basedOn w:val="Normln"/>
    <w:link w:val="ZdrojtabulkyChar"/>
    <w:qFormat/>
    <w:rsid w:val="00BD6E47"/>
    <w:pPr>
      <w:keepNext/>
      <w:spacing w:before="0"/>
    </w:pPr>
    <w:rPr>
      <w:rFonts w:cstheme="minorHAnsi"/>
      <w:i/>
      <w:sz w:val="20"/>
    </w:rPr>
  </w:style>
  <w:style w:type="character" w:customStyle="1" w:styleId="ZdrojtabulkyChar">
    <w:name w:val="Zdroj tabulky Char"/>
    <w:basedOn w:val="Standardnpsmoodstavce"/>
    <w:link w:val="Zdrojtabulky"/>
    <w:rsid w:val="00BD6E47"/>
    <w:rPr>
      <w:rFonts w:eastAsia="Times New Roman" w:cstheme="minorHAnsi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25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749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6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64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chart" Target="charts/chart2.xml"/><Relationship Id="rId2" Type="http://schemas.openxmlformats.org/officeDocument/2006/relationships/customXml" Target="../customXml/item2.xml"/><Relationship Id="rId16" Type="http://schemas.openxmlformats.org/officeDocument/2006/relationships/chart" Target="charts/chart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Agendy\Kontrola\KA%201611\Z&#225;v&#283;r\KZ_podkla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MojePlocha\Z&#225;v&#283;r\KZ_podkla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[KZ_podklad.xlsx]List1!$A$6</c:f>
              <c:strCache>
                <c:ptCount val="1"/>
                <c:pt idx="0">
                  <c:v>Prostředky určené pro OZP z Aktivní politiky zaměstnanosti (všichni zaměstnavatelé)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[KZ_podklad.xlsx]List1!$B$5:$G$5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[KZ_podklad.xlsx]List1!$B$6:$G$6</c:f>
              <c:numCache>
                <c:formatCode>#,##0</c:formatCode>
                <c:ptCount val="6"/>
                <c:pt idx="0">
                  <c:v>323662</c:v>
                </c:pt>
                <c:pt idx="1">
                  <c:v>255783</c:v>
                </c:pt>
                <c:pt idx="2">
                  <c:v>121143</c:v>
                </c:pt>
                <c:pt idx="3">
                  <c:v>52854</c:v>
                </c:pt>
                <c:pt idx="4">
                  <c:v>88867</c:v>
                </c:pt>
                <c:pt idx="5">
                  <c:v>60461</c:v>
                </c:pt>
              </c:numCache>
            </c:numRef>
          </c:val>
        </c:ser>
        <c:ser>
          <c:idx val="1"/>
          <c:order val="1"/>
          <c:tx>
            <c:strRef>
              <c:f>[KZ_podklad.xlsx]List1!$A$7</c:f>
              <c:strCache>
                <c:ptCount val="1"/>
                <c:pt idx="0">
                  <c:v>Zaměstnávání zdravotně postižených občanů podle § 78 (chráněný trh práce)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[KZ_podklad.xlsx]List1!$B$5:$G$5</c:f>
              <c:numCache>
                <c:formatCode>General</c:formatCode>
                <c:ptCount val="6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</c:numCache>
            </c:numRef>
          </c:cat>
          <c:val>
            <c:numRef>
              <c:f>[KZ_podklad.xlsx]List1!$B$7:$G$7</c:f>
              <c:numCache>
                <c:formatCode>#,##0</c:formatCode>
                <c:ptCount val="6"/>
                <c:pt idx="0">
                  <c:v>2712304</c:v>
                </c:pt>
                <c:pt idx="1">
                  <c:v>3282404</c:v>
                </c:pt>
                <c:pt idx="2">
                  <c:v>3468251</c:v>
                </c:pt>
                <c:pt idx="3">
                  <c:v>3670239</c:v>
                </c:pt>
                <c:pt idx="4">
                  <c:v>4018724</c:v>
                </c:pt>
                <c:pt idx="5">
                  <c:v>4320059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5643088"/>
        <c:axId val="185667896"/>
      </c:barChart>
      <c:catAx>
        <c:axId val="185643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667896"/>
        <c:crosses val="autoZero"/>
        <c:auto val="1"/>
        <c:lblAlgn val="ctr"/>
        <c:lblOffset val="100"/>
        <c:noMultiLvlLbl val="0"/>
      </c:catAx>
      <c:valAx>
        <c:axId val="185667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64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Liberec!$A$2</c:f>
              <c:strCache>
                <c:ptCount val="1"/>
                <c:pt idx="0">
                  <c:v>Zaměstnáváním OZP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Liberec!$B$1:$E$1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Liberec!$B$2:$E$2</c:f>
              <c:numCache>
                <c:formatCode>#,##0</c:formatCode>
                <c:ptCount val="4"/>
                <c:pt idx="0">
                  <c:v>99780.27</c:v>
                </c:pt>
                <c:pt idx="1">
                  <c:v>90168.94</c:v>
                </c:pt>
                <c:pt idx="2">
                  <c:v>91738.97</c:v>
                </c:pt>
                <c:pt idx="3">
                  <c:v>93109.9</c:v>
                </c:pt>
              </c:numCache>
            </c:numRef>
          </c:val>
        </c:ser>
        <c:ser>
          <c:idx val="1"/>
          <c:order val="1"/>
          <c:tx>
            <c:strRef>
              <c:f>Liberec!$A$3</c:f>
              <c:strCache>
                <c:ptCount val="1"/>
                <c:pt idx="0">
                  <c:v>Odběrem výrobků a služeb nebo zadáním zakázek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Liberec!$B$1:$E$1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Liberec!$B$3:$E$3</c:f>
              <c:numCache>
                <c:formatCode>#,##0</c:formatCode>
                <c:ptCount val="4"/>
                <c:pt idx="0">
                  <c:v>55939.64</c:v>
                </c:pt>
                <c:pt idx="1">
                  <c:v>60536.37</c:v>
                </c:pt>
                <c:pt idx="2">
                  <c:v>64230.05</c:v>
                </c:pt>
                <c:pt idx="3">
                  <c:v>64662.92</c:v>
                </c:pt>
              </c:numCache>
            </c:numRef>
          </c:val>
        </c:ser>
        <c:ser>
          <c:idx val="2"/>
          <c:order val="2"/>
          <c:tx>
            <c:strRef>
              <c:f>Liberec!$A$4</c:f>
              <c:strCache>
                <c:ptCount val="1"/>
                <c:pt idx="0">
                  <c:v>Odvodem do SR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Liberec!$B$1:$E$1</c:f>
              <c:numCache>
                <c:formatCode>General</c:formatCode>
                <c:ptCount val="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</c:numCache>
            </c:numRef>
          </c:cat>
          <c:val>
            <c:numRef>
              <c:f>Liberec!$B$4:$E$4</c:f>
              <c:numCache>
                <c:formatCode>#,##0</c:formatCode>
                <c:ptCount val="4"/>
                <c:pt idx="0">
                  <c:v>33140.1</c:v>
                </c:pt>
                <c:pt idx="1">
                  <c:v>12320.03</c:v>
                </c:pt>
                <c:pt idx="2">
                  <c:v>11842.65</c:v>
                </c:pt>
                <c:pt idx="3">
                  <c:v>10786.74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86319472"/>
        <c:axId val="186319856"/>
      </c:barChart>
      <c:catAx>
        <c:axId val="186319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6319856"/>
        <c:crosses val="autoZero"/>
        <c:auto val="1"/>
        <c:lblAlgn val="ctr"/>
        <c:lblOffset val="100"/>
        <c:noMultiLvlLbl val="0"/>
      </c:catAx>
      <c:valAx>
        <c:axId val="186319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6319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080572939965518E-3"/>
          <c:y val="0.90080174280036329"/>
          <c:w val="0.94191938362916994"/>
          <c:h val="7.317917654048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77264-F22F-4BA1-8782-AF7F5CBCA9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CBEE1-3E01-4FD0-BB9A-3A287464B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50F8E-D32A-425C-BE47-68335664B76A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7F63BC3-423F-4350-8AE2-1C0DA033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A8C2C4D2.dotm</Template>
  <TotalTime>0</TotalTime>
  <Pages>19</Pages>
  <Words>5366</Words>
  <Characters>31666</Characters>
  <Application>Microsoft Office Word</Application>
  <DocSecurity>4</DocSecurity>
  <Lines>263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KZ 16/11</vt:lpstr>
    </vt:vector>
  </TitlesOfParts>
  <Company>NKU</Company>
  <LinksUpToDate>false</LinksUpToDate>
  <CharactersWithSpaces>36959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16/11 - Peněžní prostředky státu určené na vytváření rovných příležitostí pro osoby se zdravotním postižením</dc:title>
  <dc:subject/>
  <dc:creator>Nejvyšší kontrolní úřad</dc:creator>
  <cp:keywords>kontrolní závěr; OZP; rovné příležitosti; zdravotně postižení</cp:keywords>
  <dc:description/>
  <cp:lastModifiedBy>KOKRDA Daniel</cp:lastModifiedBy>
  <cp:revision>2</cp:revision>
  <cp:lastPrinted>2017-01-05T12:16:00Z</cp:lastPrinted>
  <dcterms:created xsi:type="dcterms:W3CDTF">2017-01-10T07:20:00Z</dcterms:created>
  <dcterms:modified xsi:type="dcterms:W3CDTF">2017-01-10T07:20:00Z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13/13-NKU430/302/13</vt:lpwstr>
  </property>
  <property fmtid="{D5CDD505-2E9C-101B-9397-08002B2CF9AE}" pid="3" name="ContentTypeId">
    <vt:lpwstr>0x0101002F7A625AE9F5AB4A939F92BCAA7FEC02</vt:lpwstr>
  </property>
  <property fmtid="{D5CDD505-2E9C-101B-9397-08002B2CF9AE}" pid="4" name="Contact_PostaOdes_All">
    <vt:lpwstr/>
  </property>
  <property fmtid="{D5CDD505-2E9C-101B-9397-08002B2CF9AE}" pid="5" name="SZ_Spis_Pisemnost">
    <vt:lpwstr>13/13</vt:lpwstr>
  </property>
  <property fmtid="{D5CDD505-2E9C-101B-9397-08002B2CF9AE}" pid="6" name="DisplayName_SpisovyUzel_PoziceZodpo_Pisemnost">
    <vt:lpwstr>Odbor III.</vt:lpwstr>
  </property>
  <property fmtid="{D5CDD505-2E9C-101B-9397-08002B2CF9AE}" pid="7" name="Zkratka_SpisovyUzel_PoziceZodpo_Pisemnost">
    <vt:lpwstr>430</vt:lpwstr>
  </property>
  <property fmtid="{D5CDD505-2E9C-101B-9397-08002B2CF9AE}" pid="8" name="Key_BarCode_Pisemnost">
    <vt:lpwstr>*B000181331*</vt:lpwstr>
  </property>
  <property fmtid="{D5CDD505-2E9C-101B-9397-08002B2CF9AE}" pid="9" name="EC_Pisemnost">
    <vt:lpwstr>13-8474</vt:lpwstr>
  </property>
  <property fmtid="{D5CDD505-2E9C-101B-9397-08002B2CF9AE}" pid="10" name="Odkaz">
    <vt:lpwstr>ODKAZ</vt:lpwstr>
  </property>
  <property fmtid="{D5CDD505-2E9C-101B-9397-08002B2CF9AE}" pid="11" name="SkartacniZnakLhuta_PisemnostZnak">
    <vt:lpwstr>/0</vt:lpwstr>
  </property>
  <property fmtid="{D5CDD505-2E9C-101B-9397-08002B2CF9AE}" pid="12" name="CJ_Spis_Pisemnost">
    <vt:lpwstr>CJ/SPIS/ROK</vt:lpwstr>
  </property>
  <property fmtid="{D5CDD505-2E9C-101B-9397-08002B2CF9AE}" pid="13" name="UserName_PisemnostTypZpristupneniInformaciZOSZ_Pisemnost">
    <vt:lpwstr>ZOSZ_UserName</vt:lpwstr>
  </property>
  <property fmtid="{D5CDD505-2E9C-101B-9397-08002B2CF9AE}" pid="14" name="Password_PisemnostTypZpristupneniInformaciZOSZ_Pisemnost">
    <vt:lpwstr>ZOSZ_Password</vt:lpwstr>
  </property>
  <property fmtid="{D5CDD505-2E9C-101B-9397-08002B2CF9AE}" pid="15" name="DatumPlatnosti_PisemnostTypZpristupneniInformaciZOSZ_Pisemnost">
    <vt:lpwstr>ZOSZ_DatumPlatnosti</vt:lpwstr>
  </property>
  <property fmtid="{D5CDD505-2E9C-101B-9397-08002B2CF9AE}" pid="16" name="TEST">
    <vt:lpwstr>testovací pole</vt:lpwstr>
  </property>
  <property fmtid="{D5CDD505-2E9C-101B-9397-08002B2CF9AE}" pid="17" name="PocetListu_Pisemnost">
    <vt:lpwstr>22/1</vt:lpwstr>
  </property>
  <property fmtid="{D5CDD505-2E9C-101B-9397-08002B2CF9AE}" pid="18" name="Vec_Pisemnost">
    <vt:lpwstr>Program 13-13 – schválený – přílohy</vt:lpwstr>
  </property>
  <property fmtid="{D5CDD505-2E9C-101B-9397-08002B2CF9AE}" pid="19" name="DatumPoriz_Pisemnost">
    <vt:lpwstr>31.5.2013</vt:lpwstr>
  </property>
  <property fmtid="{D5CDD505-2E9C-101B-9397-08002B2CF9AE}" pid="20" name="KRukam">
    <vt:lpwstr>{KRukam}</vt:lpwstr>
  </property>
  <property fmtid="{D5CDD505-2E9C-101B-9397-08002B2CF9AE}" pid="21" name="PocetListuDokumentu_Pisemnost">
    <vt:lpwstr>22</vt:lpwstr>
  </property>
  <property fmtid="{D5CDD505-2E9C-101B-9397-08002B2CF9AE}" pid="22" name="PocetPriloh_Pisemnost">
    <vt:lpwstr>1</vt:lpwstr>
  </property>
  <property fmtid="{D5CDD505-2E9C-101B-9397-08002B2CF9AE}" pid="23" name="TypPrilohy_Pisemnost">
    <vt:lpwstr>TYP PŘÍLOHY</vt:lpwstr>
  </property>
  <property fmtid="{D5CDD505-2E9C-101B-9397-08002B2CF9AE}" pid="24" name="DisplayName_UserPoriz_Pisemnost">
    <vt:lpwstr>Mgr. Petr Severa</vt:lpwstr>
  </property>
  <property fmtid="{D5CDD505-2E9C-101B-9397-08002B2CF9AE}" pid="25" name="Podpis">
    <vt:lpwstr/>
  </property>
  <property fmtid="{D5CDD505-2E9C-101B-9397-08002B2CF9AE}" pid="26" name="SmlouvaCislo">
    <vt:lpwstr>ČÍSLO SMLOUVY</vt:lpwstr>
  </property>
</Properties>
</file>