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4D968" w14:textId="77777777" w:rsidR="00E05B24" w:rsidRPr="00D15A6D" w:rsidRDefault="00DB2620" w:rsidP="00D15A6D">
      <w:pPr>
        <w:jc w:val="center"/>
        <w:rPr>
          <w:rFonts w:ascii="Calibri" w:hAnsi="Calibri" w:cs="Calibri"/>
        </w:rPr>
      </w:pPr>
      <w:r w:rsidRPr="00A315CB">
        <w:rPr>
          <w:noProof/>
        </w:rPr>
        <w:drawing>
          <wp:anchor distT="0" distB="0" distL="114300" distR="114300" simplePos="0" relativeHeight="251659776" behindDoc="0" locked="0" layoutInCell="1" allowOverlap="1" wp14:anchorId="7FE3897F" wp14:editId="3B545B2F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533D6" w14:textId="77777777" w:rsidR="008A11A2" w:rsidRPr="00D15A6D" w:rsidRDefault="008A11A2" w:rsidP="00D15A6D">
      <w:pPr>
        <w:jc w:val="center"/>
        <w:rPr>
          <w:rFonts w:ascii="Calibri" w:hAnsi="Calibri" w:cs="Calibri"/>
        </w:rPr>
      </w:pPr>
    </w:p>
    <w:p w14:paraId="2F527667" w14:textId="77777777" w:rsidR="00DB2620" w:rsidRPr="00D15A6D" w:rsidRDefault="00DB2620" w:rsidP="00D15A6D">
      <w:pPr>
        <w:pStyle w:val="Nadpis9"/>
        <w:spacing w:before="0" w:after="0"/>
        <w:jc w:val="center"/>
        <w:rPr>
          <w:rFonts w:ascii="Calibri" w:hAnsi="Calibri" w:cs="Calibri"/>
          <w:sz w:val="24"/>
          <w:szCs w:val="24"/>
        </w:rPr>
      </w:pPr>
      <w:bookmarkStart w:id="0" w:name="_GoBack"/>
    </w:p>
    <w:p w14:paraId="09952935" w14:textId="77777777" w:rsidR="00E47DAC" w:rsidRPr="00D15A6D" w:rsidRDefault="00E47DAC" w:rsidP="00D15A6D">
      <w:pPr>
        <w:pStyle w:val="Nadpis9"/>
        <w:spacing w:before="0" w:after="0"/>
        <w:jc w:val="center"/>
        <w:rPr>
          <w:rFonts w:ascii="Calibri" w:hAnsi="Calibri" w:cs="Calibri"/>
          <w:b/>
          <w:sz w:val="28"/>
          <w:szCs w:val="24"/>
        </w:rPr>
      </w:pPr>
      <w:r w:rsidRPr="00D15A6D">
        <w:rPr>
          <w:rFonts w:ascii="Calibri" w:hAnsi="Calibri" w:cs="Calibri"/>
          <w:b/>
          <w:sz w:val="28"/>
          <w:szCs w:val="24"/>
        </w:rPr>
        <w:t>Kontrolní závěr z kontrolní akce</w:t>
      </w:r>
    </w:p>
    <w:p w14:paraId="3A5A9D49" w14:textId="77777777" w:rsidR="00DA0304" w:rsidRPr="00D15A6D" w:rsidRDefault="00DA0304" w:rsidP="00D15A6D">
      <w:pPr>
        <w:jc w:val="center"/>
        <w:rPr>
          <w:rFonts w:ascii="Calibri" w:hAnsi="Calibri" w:cs="Calibri"/>
        </w:rPr>
      </w:pPr>
    </w:p>
    <w:p w14:paraId="4150DADA" w14:textId="77777777" w:rsidR="00E47DAC" w:rsidRPr="004C031F" w:rsidRDefault="004379AD" w:rsidP="00D15A6D">
      <w:pPr>
        <w:ind w:right="68"/>
        <w:jc w:val="center"/>
        <w:rPr>
          <w:rFonts w:ascii="Calibri" w:hAnsi="Calibri" w:cs="Calibri"/>
          <w:b/>
          <w:bCs/>
          <w:sz w:val="28"/>
        </w:rPr>
      </w:pPr>
      <w:r w:rsidRPr="004C031F">
        <w:rPr>
          <w:rFonts w:ascii="Calibri" w:hAnsi="Calibri" w:cs="Calibri"/>
          <w:b/>
          <w:bCs/>
          <w:sz w:val="28"/>
        </w:rPr>
        <w:t>1</w:t>
      </w:r>
      <w:r w:rsidR="000E67B9" w:rsidRPr="004C031F">
        <w:rPr>
          <w:rFonts w:ascii="Calibri" w:hAnsi="Calibri" w:cs="Calibri"/>
          <w:b/>
          <w:bCs/>
          <w:sz w:val="28"/>
        </w:rPr>
        <w:t>5</w:t>
      </w:r>
      <w:r w:rsidR="00553974" w:rsidRPr="004C031F">
        <w:rPr>
          <w:rFonts w:ascii="Calibri" w:hAnsi="Calibri" w:cs="Calibri"/>
          <w:b/>
          <w:bCs/>
          <w:sz w:val="28"/>
        </w:rPr>
        <w:t>/</w:t>
      </w:r>
      <w:r w:rsidR="006A105E">
        <w:rPr>
          <w:rFonts w:ascii="Calibri" w:hAnsi="Calibri" w:cs="Calibri"/>
          <w:b/>
          <w:bCs/>
          <w:sz w:val="28"/>
        </w:rPr>
        <w:t>27</w:t>
      </w:r>
    </w:p>
    <w:p w14:paraId="55E8B529" w14:textId="77777777" w:rsidR="00DA0304" w:rsidRPr="00D15A6D" w:rsidRDefault="00DA0304" w:rsidP="00D15A6D">
      <w:pPr>
        <w:ind w:right="68"/>
        <w:jc w:val="center"/>
        <w:rPr>
          <w:rFonts w:ascii="Calibri" w:hAnsi="Calibri" w:cs="Calibri"/>
          <w:bCs/>
        </w:rPr>
      </w:pPr>
    </w:p>
    <w:p w14:paraId="5B7AC92C" w14:textId="77777777" w:rsidR="00675EF7" w:rsidRPr="004C031F" w:rsidRDefault="008409FA" w:rsidP="00675EF7">
      <w:pPr>
        <w:jc w:val="center"/>
        <w:rPr>
          <w:rFonts w:ascii="Calibri" w:hAnsi="Calibri" w:cs="Calibri"/>
          <w:b/>
          <w:sz w:val="28"/>
        </w:rPr>
      </w:pPr>
      <w:r w:rsidRPr="004C031F">
        <w:rPr>
          <w:rFonts w:ascii="Calibri" w:hAnsi="Calibri" w:cs="Calibri"/>
          <w:b/>
          <w:sz w:val="28"/>
        </w:rPr>
        <w:t xml:space="preserve">Peněžní prostředky </w:t>
      </w:r>
      <w:r w:rsidR="00F3745B">
        <w:rPr>
          <w:rFonts w:ascii="Calibri" w:hAnsi="Calibri" w:cs="Calibri"/>
          <w:b/>
          <w:sz w:val="28"/>
        </w:rPr>
        <w:t xml:space="preserve">státu </w:t>
      </w:r>
      <w:r w:rsidRPr="004C031F">
        <w:rPr>
          <w:rFonts w:ascii="Calibri" w:hAnsi="Calibri" w:cs="Calibri"/>
          <w:b/>
          <w:sz w:val="28"/>
        </w:rPr>
        <w:t xml:space="preserve">určené na </w:t>
      </w:r>
      <w:r w:rsidR="006A105E">
        <w:rPr>
          <w:rFonts w:ascii="Calibri" w:hAnsi="Calibri" w:cs="Calibri"/>
          <w:b/>
          <w:sz w:val="28"/>
        </w:rPr>
        <w:t xml:space="preserve">účelovou podporu výzkumu a vývoje prostřednictvím rozpočtové kapitoly </w:t>
      </w:r>
      <w:r w:rsidR="006A105E" w:rsidRPr="007B3B15">
        <w:rPr>
          <w:rFonts w:ascii="Calibri" w:hAnsi="Calibri" w:cs="Calibri"/>
          <w:b/>
          <w:sz w:val="28"/>
        </w:rPr>
        <w:t>Technologická agentura České republiky</w:t>
      </w:r>
    </w:p>
    <w:bookmarkEnd w:id="0"/>
    <w:p w14:paraId="108490AD" w14:textId="77777777" w:rsidR="00DB2620" w:rsidRPr="004C031F" w:rsidRDefault="00DB2620" w:rsidP="00675EF7">
      <w:pPr>
        <w:spacing w:line="264" w:lineRule="auto"/>
        <w:jc w:val="center"/>
        <w:rPr>
          <w:rFonts w:ascii="Calibri" w:hAnsi="Calibri" w:cs="Calibri"/>
        </w:rPr>
      </w:pPr>
    </w:p>
    <w:p w14:paraId="48AF01B5" w14:textId="4B4D1BE6" w:rsidR="00E47DAC" w:rsidRPr="004C031F" w:rsidRDefault="00E47DAC" w:rsidP="005D70FF">
      <w:pPr>
        <w:pStyle w:val="Zkladn"/>
        <w:spacing w:before="0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Kontrolní akce byla zařazena do plánu kontrolní činnosti Nejvyššího kontrolního úřadu (dále jen „NKÚ“) na rok 20</w:t>
      </w:r>
      <w:r w:rsidR="004379AD" w:rsidRPr="004C031F">
        <w:rPr>
          <w:rFonts w:ascii="Calibri" w:hAnsi="Calibri" w:cs="Calibri"/>
        </w:rPr>
        <w:t>1</w:t>
      </w:r>
      <w:r w:rsidR="000E67B9" w:rsidRPr="004C031F">
        <w:rPr>
          <w:rFonts w:ascii="Calibri" w:hAnsi="Calibri" w:cs="Calibri"/>
        </w:rPr>
        <w:t>5</w:t>
      </w:r>
      <w:r w:rsidRPr="004C031F">
        <w:rPr>
          <w:rFonts w:ascii="Calibri" w:hAnsi="Calibri" w:cs="Calibri"/>
        </w:rPr>
        <w:t xml:space="preserve"> pod číslem </w:t>
      </w:r>
      <w:r w:rsidR="004379AD" w:rsidRPr="004C031F">
        <w:rPr>
          <w:rFonts w:ascii="Calibri" w:hAnsi="Calibri" w:cs="Calibri"/>
        </w:rPr>
        <w:t>1</w:t>
      </w:r>
      <w:r w:rsidR="000E67B9" w:rsidRPr="004C031F">
        <w:rPr>
          <w:rFonts w:ascii="Calibri" w:hAnsi="Calibri" w:cs="Calibri"/>
        </w:rPr>
        <w:t>5</w:t>
      </w:r>
      <w:r w:rsidRPr="004C031F">
        <w:rPr>
          <w:rFonts w:ascii="Calibri" w:hAnsi="Calibri" w:cs="Calibri"/>
        </w:rPr>
        <w:t>/</w:t>
      </w:r>
      <w:r w:rsidR="006A105E">
        <w:rPr>
          <w:rFonts w:ascii="Calibri" w:hAnsi="Calibri" w:cs="Calibri"/>
        </w:rPr>
        <w:t>27</w:t>
      </w:r>
      <w:r w:rsidRPr="004C031F">
        <w:rPr>
          <w:rFonts w:ascii="Calibri" w:hAnsi="Calibri" w:cs="Calibri"/>
        </w:rPr>
        <w:t>. Kontrolní akci řídil a</w:t>
      </w:r>
      <w:r w:rsidR="00C61ED8">
        <w:rPr>
          <w:rFonts w:ascii="Calibri" w:hAnsi="Calibri" w:cs="Calibri"/>
        </w:rPr>
        <w:t> </w:t>
      </w:r>
      <w:r w:rsidRPr="004C031F">
        <w:rPr>
          <w:rFonts w:ascii="Calibri" w:hAnsi="Calibri" w:cs="Calibri"/>
        </w:rPr>
        <w:t>kontrolní záv</w:t>
      </w:r>
      <w:r w:rsidR="001E1D26" w:rsidRPr="004C031F">
        <w:rPr>
          <w:rFonts w:ascii="Calibri" w:hAnsi="Calibri" w:cs="Calibri"/>
        </w:rPr>
        <w:t>ěr vypracoval člen NKÚ RNDr. Petr Neuvirt.</w:t>
      </w:r>
      <w:r w:rsidR="00CC4668">
        <w:rPr>
          <w:rFonts w:ascii="Calibri" w:hAnsi="Calibri" w:cs="Calibri"/>
        </w:rPr>
        <w:t xml:space="preserve"> </w:t>
      </w:r>
    </w:p>
    <w:p w14:paraId="7CE153D1" w14:textId="77777777" w:rsidR="00D86778" w:rsidRPr="004C031F" w:rsidRDefault="00D86778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6B597BAC" w14:textId="68017D55" w:rsidR="000E67B9" w:rsidRPr="004C031F" w:rsidRDefault="005B57A3" w:rsidP="005D70FF">
      <w:pPr>
        <w:jc w:val="both"/>
        <w:rPr>
          <w:rFonts w:ascii="Calibri" w:hAnsi="Calibri" w:cs="Calibri"/>
          <w:lang w:eastAsia="en-US"/>
        </w:rPr>
      </w:pPr>
      <w:r w:rsidRPr="003A4059">
        <w:rPr>
          <w:rFonts w:ascii="Calibri" w:hAnsi="Calibri" w:cs="Calibri"/>
          <w:lang w:eastAsia="en-US"/>
        </w:rPr>
        <w:t xml:space="preserve">Cílem kontroly bylo prověřit poskytování, čerpání a užití peněžních prostředků </w:t>
      </w:r>
      <w:r w:rsidR="00D26464">
        <w:rPr>
          <w:rFonts w:ascii="Calibri" w:hAnsi="Calibri" w:cs="Calibri"/>
          <w:lang w:eastAsia="en-US"/>
        </w:rPr>
        <w:t xml:space="preserve">státu </w:t>
      </w:r>
      <w:r w:rsidRPr="003A4059">
        <w:rPr>
          <w:rFonts w:ascii="Calibri" w:hAnsi="Calibri" w:cs="Calibri"/>
          <w:lang w:eastAsia="en-US"/>
        </w:rPr>
        <w:t xml:space="preserve">určených </w:t>
      </w:r>
      <w:r w:rsidR="003D64F8" w:rsidRPr="003A4059">
        <w:rPr>
          <w:rFonts w:ascii="Calibri" w:hAnsi="Calibri" w:cs="Calibri"/>
          <w:lang w:eastAsia="en-US"/>
        </w:rPr>
        <w:t xml:space="preserve">na </w:t>
      </w:r>
      <w:r w:rsidR="00BF77FF" w:rsidRPr="003A4059">
        <w:rPr>
          <w:rFonts w:ascii="Calibri" w:hAnsi="Calibri" w:cs="Calibri"/>
          <w:lang w:eastAsia="en-US"/>
        </w:rPr>
        <w:t>účelovou podporu výzkumu a vývoje</w:t>
      </w:r>
      <w:r w:rsidR="00D26464">
        <w:rPr>
          <w:rFonts w:ascii="Calibri" w:hAnsi="Calibri" w:cs="Calibri"/>
          <w:lang w:eastAsia="en-US"/>
        </w:rPr>
        <w:t>.</w:t>
      </w:r>
    </w:p>
    <w:p w14:paraId="62EA7456" w14:textId="77777777" w:rsidR="000E67B9" w:rsidRPr="004C031F" w:rsidRDefault="000E67B9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577DF503" w14:textId="77777777" w:rsidR="000E67B9" w:rsidRPr="004C031F" w:rsidRDefault="008409FA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Kontrolováno bylo</w:t>
      </w:r>
      <w:r w:rsidR="00637B66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období</w:t>
      </w:r>
      <w:r w:rsidRPr="004C031F">
        <w:rPr>
          <w:rFonts w:ascii="Calibri" w:hAnsi="Calibri" w:cs="Calibri"/>
        </w:rPr>
        <w:t xml:space="preserve"> od roku 20</w:t>
      </w:r>
      <w:r w:rsidR="006A105E">
        <w:rPr>
          <w:rFonts w:ascii="Calibri" w:hAnsi="Calibri" w:cs="Calibri"/>
        </w:rPr>
        <w:t>11</w:t>
      </w:r>
      <w:r w:rsidR="001E1D26" w:rsidRPr="004C031F">
        <w:rPr>
          <w:rFonts w:ascii="Calibri" w:hAnsi="Calibri" w:cs="Calibri"/>
        </w:rPr>
        <w:t xml:space="preserve"> do roku</w:t>
      </w:r>
      <w:r w:rsidRPr="004C031F">
        <w:rPr>
          <w:rFonts w:ascii="Calibri" w:hAnsi="Calibri" w:cs="Calibri"/>
        </w:rPr>
        <w:t xml:space="preserve"> 201</w:t>
      </w:r>
      <w:r w:rsidR="006A105E">
        <w:rPr>
          <w:rFonts w:ascii="Calibri" w:hAnsi="Calibri" w:cs="Calibri"/>
        </w:rPr>
        <w:t>4</w:t>
      </w:r>
      <w:r w:rsidR="00491C48" w:rsidRPr="004C031F">
        <w:rPr>
          <w:rFonts w:ascii="Calibri" w:hAnsi="Calibri" w:cs="Calibri"/>
        </w:rPr>
        <w:t>,</w:t>
      </w:r>
      <w:r w:rsidR="00E47DAC" w:rsidRPr="004C031F">
        <w:rPr>
          <w:rFonts w:ascii="Calibri" w:hAnsi="Calibri" w:cs="Calibri"/>
        </w:rPr>
        <w:t xml:space="preserve">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případě věcných souvislostí i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období</w:t>
      </w:r>
      <w:r w:rsidR="00CD1855" w:rsidRPr="004C031F">
        <w:rPr>
          <w:rFonts w:ascii="Calibri" w:hAnsi="Calibri" w:cs="Calibri"/>
        </w:rPr>
        <w:t xml:space="preserve"> </w:t>
      </w:r>
      <w:r w:rsidR="00CD1855" w:rsidRPr="00D95701">
        <w:rPr>
          <w:rFonts w:ascii="Calibri" w:hAnsi="Calibri" w:cs="Calibri"/>
        </w:rPr>
        <w:t>předcházející</w:t>
      </w:r>
      <w:r w:rsidR="003163D4" w:rsidRPr="00D95701">
        <w:rPr>
          <w:rFonts w:ascii="Calibri" w:hAnsi="Calibri" w:cs="Calibri"/>
        </w:rPr>
        <w:t xml:space="preserve"> a následující</w:t>
      </w:r>
      <w:r w:rsidR="00DD1F0E" w:rsidRPr="004C031F">
        <w:rPr>
          <w:rFonts w:ascii="Calibri" w:hAnsi="Calibri" w:cs="Calibri"/>
        </w:rPr>
        <w:t xml:space="preserve">. </w:t>
      </w:r>
      <w:r w:rsidR="00E47DAC" w:rsidRPr="004C031F">
        <w:rPr>
          <w:rFonts w:ascii="Calibri" w:hAnsi="Calibri" w:cs="Calibri"/>
        </w:rPr>
        <w:t>Kontrola byla prov</w:t>
      </w:r>
      <w:r w:rsidR="005C2A50" w:rsidRPr="004C031F">
        <w:rPr>
          <w:rFonts w:ascii="Calibri" w:hAnsi="Calibri" w:cs="Calibri"/>
        </w:rPr>
        <w:t>á</w:t>
      </w:r>
      <w:r w:rsidR="00E47DAC" w:rsidRPr="004C031F">
        <w:rPr>
          <w:rFonts w:ascii="Calibri" w:hAnsi="Calibri" w:cs="Calibri"/>
        </w:rPr>
        <w:t>d</w:t>
      </w:r>
      <w:r w:rsidR="005C2A50" w:rsidRPr="004C031F">
        <w:rPr>
          <w:rFonts w:ascii="Calibri" w:hAnsi="Calibri" w:cs="Calibri"/>
        </w:rPr>
        <w:t>ě</w:t>
      </w:r>
      <w:r w:rsidR="00E47DAC" w:rsidRPr="004C031F">
        <w:rPr>
          <w:rFonts w:ascii="Calibri" w:hAnsi="Calibri" w:cs="Calibri"/>
        </w:rPr>
        <w:t xml:space="preserve">na </w:t>
      </w:r>
      <w:r w:rsidR="00DE137C" w:rsidRPr="004C031F">
        <w:rPr>
          <w:rFonts w:ascii="Calibri" w:hAnsi="Calibri" w:cs="Calibri"/>
        </w:rPr>
        <w:t xml:space="preserve">u kontrolovaných osob </w:t>
      </w:r>
      <w:r w:rsidR="00E47DAC" w:rsidRPr="004C031F">
        <w:rPr>
          <w:rFonts w:ascii="Calibri" w:hAnsi="Calibri" w:cs="Calibri"/>
        </w:rPr>
        <w:t xml:space="preserve">od </w:t>
      </w:r>
      <w:r w:rsidR="006A105E">
        <w:rPr>
          <w:rFonts w:ascii="Calibri" w:hAnsi="Calibri" w:cs="Calibri"/>
        </w:rPr>
        <w:t>srpna 2015</w:t>
      </w:r>
      <w:r w:rsidR="000E67B9" w:rsidRPr="004C031F">
        <w:rPr>
          <w:rFonts w:ascii="Calibri" w:hAnsi="Calibri" w:cs="Calibri"/>
        </w:rPr>
        <w:t xml:space="preserve"> do </w:t>
      </w:r>
      <w:r w:rsidR="006A105E">
        <w:rPr>
          <w:rFonts w:ascii="Calibri" w:hAnsi="Calibri" w:cs="Calibri"/>
        </w:rPr>
        <w:t>února</w:t>
      </w:r>
      <w:r w:rsidR="000E67B9" w:rsidRPr="004C031F">
        <w:rPr>
          <w:rFonts w:ascii="Calibri" w:hAnsi="Calibri" w:cs="Calibri"/>
        </w:rPr>
        <w:t xml:space="preserve"> </w:t>
      </w:r>
      <w:r w:rsidR="006A105E">
        <w:rPr>
          <w:rFonts w:ascii="Calibri" w:hAnsi="Calibri" w:cs="Calibri"/>
        </w:rPr>
        <w:t>2016</w:t>
      </w:r>
      <w:r w:rsidR="00DE137C" w:rsidRPr="004C031F">
        <w:rPr>
          <w:rFonts w:ascii="Calibri" w:hAnsi="Calibri" w:cs="Calibri"/>
        </w:rPr>
        <w:t>.</w:t>
      </w:r>
    </w:p>
    <w:p w14:paraId="162D51E7" w14:textId="77777777" w:rsidR="000E67B9" w:rsidRPr="004C031F" w:rsidRDefault="000E67B9" w:rsidP="005D70FF">
      <w:pPr>
        <w:pStyle w:val="Zkladn"/>
        <w:spacing w:before="0"/>
        <w:rPr>
          <w:rFonts w:ascii="Calibri" w:hAnsi="Calibri" w:cs="Calibri"/>
        </w:rPr>
      </w:pPr>
    </w:p>
    <w:p w14:paraId="63ABCE47" w14:textId="77777777" w:rsidR="00DE137C" w:rsidRPr="005D70FF" w:rsidRDefault="00DE137C" w:rsidP="005D70FF">
      <w:pPr>
        <w:pStyle w:val="Zkladn"/>
        <w:spacing w:before="0"/>
        <w:rPr>
          <w:rFonts w:ascii="Calibri" w:hAnsi="Calibri" w:cs="Calibri"/>
          <w:b/>
        </w:rPr>
      </w:pPr>
      <w:r w:rsidRPr="005D70FF">
        <w:rPr>
          <w:rFonts w:ascii="Calibri" w:hAnsi="Calibri" w:cs="Calibri"/>
          <w:b/>
        </w:rPr>
        <w:t>Kontrolované osoby:</w:t>
      </w:r>
    </w:p>
    <w:p w14:paraId="51155EF2" w14:textId="6394F778" w:rsidR="006A105E" w:rsidRPr="004C031F" w:rsidRDefault="00292E56" w:rsidP="005D70FF">
      <w:pPr>
        <w:pStyle w:val="Zkladn"/>
        <w:spacing w:before="0"/>
        <w:rPr>
          <w:rFonts w:ascii="Calibri" w:hAnsi="Calibri" w:cs="Calibri"/>
        </w:rPr>
      </w:pPr>
      <w:r w:rsidRPr="00F112ED">
        <w:rPr>
          <w:rFonts w:ascii="Calibri" w:hAnsi="Calibri" w:cs="Calibri"/>
        </w:rPr>
        <w:t>Technologická agentura České republiky</w:t>
      </w:r>
      <w:r w:rsidR="003A4059" w:rsidRPr="00F112ED">
        <w:rPr>
          <w:rFonts w:ascii="Calibri" w:hAnsi="Calibri" w:cs="Calibri"/>
        </w:rPr>
        <w:t xml:space="preserve"> (dále také „TA ČR“)</w:t>
      </w:r>
      <w:r w:rsidR="007B3569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AGRITEC, výzkum, šlechtění a</w:t>
      </w:r>
      <w:r w:rsidR="00486346" w:rsidRPr="00F112ED">
        <w:rPr>
          <w:rFonts w:ascii="Calibri" w:hAnsi="Calibri" w:cs="Calibri"/>
        </w:rPr>
        <w:t> </w:t>
      </w:r>
      <w:r w:rsidR="00AB23E5" w:rsidRPr="00F112ED">
        <w:rPr>
          <w:rFonts w:ascii="Calibri" w:hAnsi="Calibri" w:cs="Calibri"/>
        </w:rPr>
        <w:t>služby, s.r.o.,</w:t>
      </w:r>
      <w:r w:rsidR="00F112ED" w:rsidRPr="00F112ED">
        <w:rPr>
          <w:rFonts w:ascii="Calibri" w:hAnsi="Calibri" w:cs="Calibri"/>
        </w:rPr>
        <w:t xml:space="preserve"> Šumperk;</w:t>
      </w:r>
      <w:r w:rsidR="00AB23E5" w:rsidRPr="00F112ED">
        <w:rPr>
          <w:rFonts w:ascii="Calibri" w:hAnsi="Calibri" w:cs="Calibri"/>
        </w:rPr>
        <w:t xml:space="preserve"> Agrovýzkum Rapotín s.r.o.</w:t>
      </w:r>
      <w:r w:rsidR="00F112ED" w:rsidRPr="00F112ED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ATAS elektromotory Náchod a.s.</w:t>
      </w:r>
      <w:r w:rsidR="00F112ED" w:rsidRPr="00F112ED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Centrum dopravního výzkumu, v. v. i.</w:t>
      </w:r>
      <w:r w:rsidR="00F112ED" w:rsidRPr="00F112ED">
        <w:rPr>
          <w:rFonts w:ascii="Calibri" w:hAnsi="Calibri" w:cs="Calibri"/>
        </w:rPr>
        <w:t>, Brno</w:t>
      </w:r>
      <w:r w:rsidR="003A4059" w:rsidRPr="00F112ED">
        <w:rPr>
          <w:rFonts w:ascii="Calibri" w:hAnsi="Calibri" w:cs="Calibri"/>
        </w:rPr>
        <w:t xml:space="preserve"> (dále také „CDV“)</w:t>
      </w:r>
      <w:r w:rsidR="0049458D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CRYTUR, spol. s r.o.,</w:t>
      </w:r>
      <w:r w:rsidRPr="00F112ED">
        <w:rPr>
          <w:rFonts w:ascii="Calibri" w:hAnsi="Calibri" w:cs="Calibri"/>
        </w:rPr>
        <w:t xml:space="preserve"> </w:t>
      </w:r>
      <w:r w:rsidR="00F112ED" w:rsidRPr="00F112ED">
        <w:rPr>
          <w:rFonts w:ascii="Calibri" w:hAnsi="Calibri" w:cs="Calibri"/>
        </w:rPr>
        <w:t xml:space="preserve">Turnov; </w:t>
      </w:r>
      <w:r w:rsidRPr="00F112ED">
        <w:rPr>
          <w:rFonts w:ascii="Calibri" w:hAnsi="Calibri" w:cs="Calibri"/>
        </w:rPr>
        <w:t>České vysoké učení technické v</w:t>
      </w:r>
      <w:r w:rsidR="003A4059" w:rsidRPr="00F112ED">
        <w:rPr>
          <w:rFonts w:ascii="Calibri" w:hAnsi="Calibri" w:cs="Calibri"/>
        </w:rPr>
        <w:t> </w:t>
      </w:r>
      <w:r w:rsidRPr="00F112ED">
        <w:rPr>
          <w:rFonts w:ascii="Calibri" w:hAnsi="Calibri" w:cs="Calibri"/>
        </w:rPr>
        <w:t>Praze</w:t>
      </w:r>
      <w:r w:rsidR="003A4059" w:rsidRPr="00F112ED">
        <w:rPr>
          <w:rFonts w:ascii="Calibri" w:hAnsi="Calibri" w:cs="Calibri"/>
        </w:rPr>
        <w:t xml:space="preserve"> (dále také „ČVUT“)</w:t>
      </w:r>
      <w:r w:rsidR="0049458D">
        <w:rPr>
          <w:rFonts w:ascii="Calibri" w:hAnsi="Calibri" w:cs="Calibri"/>
        </w:rPr>
        <w:t>;</w:t>
      </w:r>
      <w:r w:rsidRPr="00F112ED">
        <w:rPr>
          <w:rFonts w:ascii="Calibri" w:hAnsi="Calibri" w:cs="Calibri"/>
        </w:rPr>
        <w:t xml:space="preserve"> </w:t>
      </w:r>
      <w:r w:rsidR="00AB23E5" w:rsidRPr="00F112ED">
        <w:rPr>
          <w:rFonts w:ascii="Calibri" w:hAnsi="Calibri" w:cs="Calibri"/>
        </w:rPr>
        <w:t xml:space="preserve">KPM CONSULT, a.s., </w:t>
      </w:r>
      <w:r w:rsidR="00F112ED" w:rsidRPr="00F112ED">
        <w:rPr>
          <w:rFonts w:ascii="Calibri" w:hAnsi="Calibri" w:cs="Calibri"/>
        </w:rPr>
        <w:t xml:space="preserve">Brno; </w:t>
      </w:r>
      <w:r w:rsidR="00AB23E5" w:rsidRPr="00F112ED">
        <w:rPr>
          <w:rFonts w:ascii="Calibri" w:hAnsi="Calibri" w:cs="Calibri"/>
        </w:rPr>
        <w:t>PRAGOLET</w:t>
      </w:r>
      <w:r w:rsidR="00EA7688" w:rsidRPr="00F112ED">
        <w:rPr>
          <w:rFonts w:ascii="Calibri" w:hAnsi="Calibri" w:cs="Calibri"/>
        </w:rPr>
        <w:t>,</w:t>
      </w:r>
      <w:r w:rsidR="00AB23E5" w:rsidRPr="00F112ED">
        <w:rPr>
          <w:rFonts w:ascii="Calibri" w:hAnsi="Calibri" w:cs="Calibri"/>
        </w:rPr>
        <w:t xml:space="preserve"> s.r.o., </w:t>
      </w:r>
      <w:r w:rsidR="00F112ED" w:rsidRPr="00F112ED">
        <w:rPr>
          <w:rFonts w:ascii="Calibri" w:hAnsi="Calibri" w:cs="Calibri"/>
        </w:rPr>
        <w:t xml:space="preserve">Mnichovice; </w:t>
      </w:r>
      <w:r w:rsidR="00AB23E5" w:rsidRPr="00F112ED">
        <w:rPr>
          <w:rFonts w:ascii="Calibri" w:hAnsi="Calibri" w:cs="Calibri"/>
        </w:rPr>
        <w:t xml:space="preserve">SQS Vláknová optika a.s., </w:t>
      </w:r>
      <w:r w:rsidR="00F112ED" w:rsidRPr="00F112ED">
        <w:rPr>
          <w:rFonts w:ascii="Calibri" w:hAnsi="Calibri" w:cs="Calibri"/>
        </w:rPr>
        <w:t xml:space="preserve">Nová Paka; </w:t>
      </w:r>
      <w:r w:rsidR="00AB23E5" w:rsidRPr="00F112ED">
        <w:rPr>
          <w:rFonts w:ascii="Calibri" w:hAnsi="Calibri" w:cs="Calibri"/>
        </w:rPr>
        <w:t xml:space="preserve">SVCS Process </w:t>
      </w:r>
      <w:r w:rsidR="00362F33">
        <w:rPr>
          <w:rFonts w:ascii="Calibri" w:hAnsi="Calibri" w:cs="Calibri"/>
        </w:rPr>
        <w:br/>
      </w:r>
      <w:r w:rsidR="00AB23E5" w:rsidRPr="00F112ED">
        <w:rPr>
          <w:rFonts w:ascii="Calibri" w:hAnsi="Calibri" w:cs="Calibri"/>
        </w:rPr>
        <w:t>Innovation s.r.o.,</w:t>
      </w:r>
      <w:r w:rsidR="00F112ED" w:rsidRPr="00F112ED">
        <w:rPr>
          <w:rFonts w:ascii="Calibri" w:hAnsi="Calibri" w:cs="Calibri"/>
        </w:rPr>
        <w:t xml:space="preserve"> Brno; TESLA BLATNÁ, a.s.;</w:t>
      </w:r>
      <w:r w:rsidR="00AB23E5" w:rsidRPr="00F112ED">
        <w:rPr>
          <w:rFonts w:ascii="Calibri" w:hAnsi="Calibri" w:cs="Calibri"/>
        </w:rPr>
        <w:t xml:space="preserve"> Trakce, a.s., </w:t>
      </w:r>
      <w:r w:rsidR="00F112ED" w:rsidRPr="00F112ED">
        <w:rPr>
          <w:rFonts w:ascii="Calibri" w:hAnsi="Calibri" w:cs="Calibri"/>
        </w:rPr>
        <w:t xml:space="preserve">Ostrava; </w:t>
      </w:r>
      <w:r w:rsidR="00AB23E5" w:rsidRPr="00F112ED">
        <w:rPr>
          <w:rFonts w:ascii="Calibri" w:hAnsi="Calibri" w:cs="Calibri"/>
        </w:rPr>
        <w:t>UJP PRAHA a.s.</w:t>
      </w:r>
      <w:r w:rsidR="0049458D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</w:t>
      </w:r>
      <w:r w:rsidR="00362F33">
        <w:rPr>
          <w:rFonts w:ascii="Calibri" w:hAnsi="Calibri" w:cs="Calibri"/>
        </w:rPr>
        <w:br/>
      </w:r>
      <w:r w:rsidR="00AB23E5" w:rsidRPr="00F112ED">
        <w:rPr>
          <w:rFonts w:ascii="Calibri" w:hAnsi="Calibri" w:cs="Calibri"/>
        </w:rPr>
        <w:t xml:space="preserve">VÍTKOVICE ÚAM a.s., </w:t>
      </w:r>
      <w:r w:rsidR="00F112ED" w:rsidRPr="00F112ED">
        <w:rPr>
          <w:rFonts w:ascii="Calibri" w:hAnsi="Calibri" w:cs="Calibri"/>
        </w:rPr>
        <w:t xml:space="preserve">Ostrava; </w:t>
      </w:r>
      <w:r w:rsidR="00AB23E5" w:rsidRPr="00F112ED">
        <w:rPr>
          <w:rFonts w:ascii="Calibri" w:hAnsi="Calibri" w:cs="Calibri"/>
        </w:rPr>
        <w:t>Technická univerzita v</w:t>
      </w:r>
      <w:r w:rsidR="00F112ED" w:rsidRPr="00F112ED">
        <w:rPr>
          <w:rFonts w:ascii="Calibri" w:hAnsi="Calibri" w:cs="Calibri"/>
        </w:rPr>
        <w:t> </w:t>
      </w:r>
      <w:r w:rsidR="00AB23E5" w:rsidRPr="00F112ED">
        <w:rPr>
          <w:rFonts w:ascii="Calibri" w:hAnsi="Calibri" w:cs="Calibri"/>
        </w:rPr>
        <w:t>Liberci</w:t>
      </w:r>
      <w:r w:rsidR="00F112ED" w:rsidRPr="00F112ED">
        <w:rPr>
          <w:rFonts w:ascii="Calibri" w:hAnsi="Calibri" w:cs="Calibri"/>
        </w:rPr>
        <w:t>;</w:t>
      </w:r>
      <w:r w:rsidR="00A3632F" w:rsidRPr="00F112ED">
        <w:rPr>
          <w:rFonts w:ascii="Calibri" w:hAnsi="Calibri" w:cs="Calibri"/>
        </w:rPr>
        <w:t xml:space="preserve"> </w:t>
      </w:r>
      <w:r w:rsidR="00AB23E5" w:rsidRPr="00F112ED">
        <w:rPr>
          <w:rFonts w:ascii="Calibri" w:hAnsi="Calibri" w:cs="Calibri"/>
        </w:rPr>
        <w:t>Západočeská univerzita v</w:t>
      </w:r>
      <w:r w:rsidR="003A4059" w:rsidRPr="00F112ED">
        <w:rPr>
          <w:rFonts w:ascii="Calibri" w:hAnsi="Calibri" w:cs="Calibri"/>
        </w:rPr>
        <w:t> </w:t>
      </w:r>
      <w:r w:rsidR="00AB23E5" w:rsidRPr="00F112ED">
        <w:rPr>
          <w:rFonts w:ascii="Calibri" w:hAnsi="Calibri" w:cs="Calibri"/>
        </w:rPr>
        <w:t>Plzni</w:t>
      </w:r>
      <w:r w:rsidR="003A4059" w:rsidRPr="00F112ED">
        <w:rPr>
          <w:rFonts w:ascii="Calibri" w:hAnsi="Calibri" w:cs="Calibri"/>
        </w:rPr>
        <w:t xml:space="preserve"> (dále také „ZČU“)</w:t>
      </w:r>
      <w:r w:rsidR="0049458D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Ing.</w:t>
      </w:r>
      <w:r w:rsidR="005738F8">
        <w:rPr>
          <w:rFonts w:ascii="Calibri" w:hAnsi="Calibri" w:cs="Calibri"/>
        </w:rPr>
        <w:t> </w:t>
      </w:r>
      <w:r w:rsidR="00AB23E5" w:rsidRPr="00F112ED">
        <w:rPr>
          <w:rFonts w:ascii="Calibri" w:hAnsi="Calibri" w:cs="Calibri"/>
        </w:rPr>
        <w:t>Vladimír Fišer</w:t>
      </w:r>
      <w:r w:rsidR="00F112ED" w:rsidRPr="00F112ED">
        <w:rPr>
          <w:rFonts w:ascii="Calibri" w:hAnsi="Calibri" w:cs="Calibri"/>
        </w:rPr>
        <w:t>, Mlýnská 388/68, Brno.</w:t>
      </w:r>
    </w:p>
    <w:p w14:paraId="3BE84BFF" w14:textId="77777777" w:rsidR="008409FA" w:rsidRPr="004C031F" w:rsidRDefault="008409FA" w:rsidP="005D70FF">
      <w:pPr>
        <w:jc w:val="both"/>
        <w:rPr>
          <w:rFonts w:ascii="Calibri" w:hAnsi="Calibri" w:cs="Calibri"/>
          <w:lang w:eastAsia="en-US"/>
        </w:rPr>
      </w:pPr>
    </w:p>
    <w:p w14:paraId="59B8468F" w14:textId="5BA53121" w:rsidR="00BA33A6" w:rsidRPr="00EF006D" w:rsidRDefault="007D2606" w:rsidP="005D70FF">
      <w:pPr>
        <w:pStyle w:val="Zkladn"/>
        <w:spacing w:before="0"/>
        <w:rPr>
          <w:rFonts w:ascii="Calibri" w:hAnsi="Calibri" w:cs="Calibri"/>
        </w:rPr>
      </w:pPr>
      <w:r w:rsidRPr="004C031F">
        <w:rPr>
          <w:rFonts w:ascii="Calibri" w:hAnsi="Calibri" w:cs="Calibri"/>
        </w:rPr>
        <w:t>Námitky</w:t>
      </w:r>
      <w:r w:rsidR="00E47DAC" w:rsidRPr="004C031F">
        <w:rPr>
          <w:rFonts w:ascii="Calibri" w:hAnsi="Calibri" w:cs="Calibri"/>
        </w:rPr>
        <w:t xml:space="preserve"> proti kontroln</w:t>
      </w:r>
      <w:r w:rsidRPr="004C031F">
        <w:rPr>
          <w:rFonts w:ascii="Calibri" w:hAnsi="Calibri" w:cs="Calibri"/>
        </w:rPr>
        <w:t>ímu protokolu, které</w:t>
      </w:r>
      <w:r w:rsidR="003A4059">
        <w:rPr>
          <w:rFonts w:ascii="Calibri" w:hAnsi="Calibri" w:cs="Calibri"/>
        </w:rPr>
        <w:t xml:space="preserve"> podaly kontrolované osoby </w:t>
      </w:r>
      <w:r w:rsidR="00F112ED">
        <w:rPr>
          <w:rFonts w:ascii="Calibri" w:hAnsi="Calibri" w:cs="Calibri"/>
        </w:rPr>
        <w:t>–</w:t>
      </w:r>
      <w:r w:rsidR="003A4059">
        <w:rPr>
          <w:rFonts w:ascii="Calibri" w:hAnsi="Calibri" w:cs="Calibri"/>
        </w:rPr>
        <w:t xml:space="preserve"> TA ČR, ČVUT, ZČU </w:t>
      </w:r>
      <w:r w:rsidR="00F3745B">
        <w:rPr>
          <w:rFonts w:ascii="Calibri" w:hAnsi="Calibri" w:cs="Calibri"/>
        </w:rPr>
        <w:t>a</w:t>
      </w:r>
      <w:r w:rsidR="005D70FF">
        <w:rPr>
          <w:rFonts w:ascii="Calibri" w:hAnsi="Calibri" w:cs="Calibri"/>
        </w:rPr>
        <w:t> </w:t>
      </w:r>
      <w:r w:rsidR="003A4059">
        <w:rPr>
          <w:rFonts w:ascii="Calibri" w:hAnsi="Calibri" w:cs="Calibri"/>
        </w:rPr>
        <w:t>CDV</w:t>
      </w:r>
      <w:r w:rsidR="005B2F71" w:rsidRPr="004C031F">
        <w:rPr>
          <w:rFonts w:ascii="Calibri" w:hAnsi="Calibri" w:cs="Calibri"/>
        </w:rPr>
        <w:t>,</w:t>
      </w:r>
      <w:r w:rsidRPr="004C031F">
        <w:rPr>
          <w:rFonts w:ascii="Calibri" w:hAnsi="Calibri" w:cs="Calibri"/>
        </w:rPr>
        <w:t xml:space="preserve"> </w:t>
      </w:r>
      <w:r w:rsidR="003A4059">
        <w:rPr>
          <w:rFonts w:ascii="Calibri" w:hAnsi="Calibri" w:cs="Calibri"/>
        </w:rPr>
        <w:t>vypořádali</w:t>
      </w:r>
      <w:r w:rsidR="00F40326">
        <w:rPr>
          <w:rFonts w:ascii="Calibri" w:hAnsi="Calibri" w:cs="Calibri"/>
        </w:rPr>
        <w:t xml:space="preserve"> </w:t>
      </w:r>
      <w:r w:rsidR="003A4059">
        <w:rPr>
          <w:rFonts w:ascii="Calibri" w:hAnsi="Calibri" w:cs="Calibri"/>
        </w:rPr>
        <w:t xml:space="preserve">jednotliví </w:t>
      </w:r>
      <w:r w:rsidRPr="004C031F">
        <w:rPr>
          <w:rFonts w:ascii="Calibri" w:hAnsi="Calibri" w:cs="Calibri"/>
        </w:rPr>
        <w:t xml:space="preserve">vedoucí </w:t>
      </w:r>
      <w:r w:rsidR="00CD1855" w:rsidRPr="004C031F">
        <w:rPr>
          <w:rFonts w:ascii="Calibri" w:hAnsi="Calibri" w:cs="Calibri"/>
        </w:rPr>
        <w:t>skupin kont</w:t>
      </w:r>
      <w:r w:rsidR="00C65035" w:rsidRPr="004C031F">
        <w:rPr>
          <w:rFonts w:ascii="Calibri" w:hAnsi="Calibri" w:cs="Calibri"/>
        </w:rPr>
        <w:t>rolujících rozhodnutím</w:t>
      </w:r>
      <w:r w:rsidR="00F3745B">
        <w:rPr>
          <w:rFonts w:ascii="Calibri" w:hAnsi="Calibri" w:cs="Calibri"/>
        </w:rPr>
        <w:t>i</w:t>
      </w:r>
      <w:r w:rsidR="00C65035" w:rsidRPr="004C031F">
        <w:rPr>
          <w:rFonts w:ascii="Calibri" w:hAnsi="Calibri" w:cs="Calibri"/>
        </w:rPr>
        <w:t xml:space="preserve"> o námitkách</w:t>
      </w:r>
      <w:r w:rsidR="00CD1855" w:rsidRPr="004C031F">
        <w:rPr>
          <w:rFonts w:ascii="Calibri" w:hAnsi="Calibri" w:cs="Calibri"/>
        </w:rPr>
        <w:t>.</w:t>
      </w:r>
      <w:r w:rsidR="003163D4">
        <w:rPr>
          <w:rFonts w:ascii="Calibri" w:hAnsi="Calibri" w:cs="Calibri"/>
        </w:rPr>
        <w:t xml:space="preserve"> </w:t>
      </w:r>
      <w:r w:rsidR="003163D4" w:rsidRPr="00EF006D">
        <w:rPr>
          <w:rFonts w:ascii="Calibri" w:hAnsi="Calibri" w:cs="Calibri"/>
        </w:rPr>
        <w:t>Odvolání</w:t>
      </w:r>
      <w:r w:rsidR="00F3745B">
        <w:rPr>
          <w:rFonts w:ascii="Calibri" w:hAnsi="Calibri" w:cs="Calibri"/>
        </w:rPr>
        <w:t>,</w:t>
      </w:r>
      <w:r w:rsidR="003163D4" w:rsidRPr="00EF006D">
        <w:rPr>
          <w:rFonts w:ascii="Calibri" w:hAnsi="Calibri" w:cs="Calibri"/>
        </w:rPr>
        <w:t xml:space="preserve"> </w:t>
      </w:r>
      <w:r w:rsidR="00F3745B" w:rsidRPr="00EF006D">
        <w:rPr>
          <w:rFonts w:ascii="Calibri" w:hAnsi="Calibri" w:cs="Calibri"/>
        </w:rPr>
        <w:t xml:space="preserve">které </w:t>
      </w:r>
      <w:r w:rsidR="003163D4" w:rsidRPr="00EF006D">
        <w:rPr>
          <w:rFonts w:ascii="Calibri" w:hAnsi="Calibri" w:cs="Calibri"/>
        </w:rPr>
        <w:t>proti rozhodnutí o námitkách</w:t>
      </w:r>
      <w:r w:rsidR="00EF006D" w:rsidRPr="00EF006D">
        <w:rPr>
          <w:rFonts w:ascii="Calibri" w:hAnsi="Calibri" w:cs="Calibri"/>
        </w:rPr>
        <w:t xml:space="preserve"> </w:t>
      </w:r>
      <w:r w:rsidR="002F4FD7" w:rsidRPr="00EF006D">
        <w:rPr>
          <w:rFonts w:ascii="Calibri" w:hAnsi="Calibri" w:cs="Calibri"/>
        </w:rPr>
        <w:t>podala</w:t>
      </w:r>
      <w:r w:rsidR="00EF006D" w:rsidRPr="00EF006D">
        <w:rPr>
          <w:rFonts w:ascii="Calibri" w:hAnsi="Calibri" w:cs="Calibri"/>
        </w:rPr>
        <w:t xml:space="preserve"> TA</w:t>
      </w:r>
      <w:r w:rsidR="00F3745B">
        <w:rPr>
          <w:rFonts w:ascii="Calibri" w:hAnsi="Calibri" w:cs="Calibri"/>
        </w:rPr>
        <w:t> </w:t>
      </w:r>
      <w:r w:rsidR="00EF006D" w:rsidRPr="00EF006D">
        <w:rPr>
          <w:rFonts w:ascii="Calibri" w:hAnsi="Calibri" w:cs="Calibri"/>
        </w:rPr>
        <w:t>ČR</w:t>
      </w:r>
      <w:r w:rsidR="002F4FD7" w:rsidRPr="00EF006D">
        <w:rPr>
          <w:rFonts w:ascii="Calibri" w:hAnsi="Calibri" w:cs="Calibri"/>
        </w:rPr>
        <w:t>, bylo vypořádáno usnesením Kolegia NKÚ</w:t>
      </w:r>
      <w:r w:rsidR="003163D4" w:rsidRPr="00EF006D">
        <w:rPr>
          <w:rFonts w:ascii="Calibri" w:hAnsi="Calibri" w:cs="Calibri"/>
        </w:rPr>
        <w:t>.</w:t>
      </w:r>
    </w:p>
    <w:p w14:paraId="0D77BC63" w14:textId="77777777" w:rsidR="00330E41" w:rsidRDefault="00330E41" w:rsidP="005D70FF">
      <w:pPr>
        <w:ind w:right="70"/>
        <w:jc w:val="both"/>
        <w:rPr>
          <w:rFonts w:ascii="Calibri" w:hAnsi="Calibri" w:cs="Calibri"/>
        </w:rPr>
      </w:pPr>
    </w:p>
    <w:p w14:paraId="4582CCAD" w14:textId="77777777" w:rsidR="0038477D" w:rsidRDefault="0038477D" w:rsidP="005D70FF">
      <w:pPr>
        <w:ind w:right="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Právní předpisy jsou </w:t>
      </w:r>
      <w:r w:rsidR="00F3745B">
        <w:rPr>
          <w:rFonts w:ascii="Calibri" w:hAnsi="Calibri" w:cs="Calibri"/>
        </w:rPr>
        <w:t xml:space="preserve">v textu kontrolního závěru </w:t>
      </w:r>
      <w:r>
        <w:rPr>
          <w:rFonts w:ascii="Calibri" w:hAnsi="Calibri" w:cs="Calibri"/>
        </w:rPr>
        <w:t>aplikovány ve znění účinném pro kontrolované období.</w:t>
      </w:r>
    </w:p>
    <w:p w14:paraId="45F2D0DB" w14:textId="77777777" w:rsidR="0038477D" w:rsidRPr="004C031F" w:rsidRDefault="0038477D" w:rsidP="005D70FF">
      <w:pPr>
        <w:ind w:right="70"/>
        <w:jc w:val="both"/>
        <w:rPr>
          <w:rFonts w:ascii="Calibri" w:hAnsi="Calibri" w:cs="Calibri"/>
        </w:rPr>
      </w:pPr>
    </w:p>
    <w:p w14:paraId="0F432A64" w14:textId="77777777" w:rsidR="00E47DAC" w:rsidRPr="004C031F" w:rsidRDefault="00E47DAC" w:rsidP="005D70FF">
      <w:pPr>
        <w:ind w:right="7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K o l e g i u m</w:t>
      </w:r>
      <w:r w:rsidRPr="004C031F">
        <w:rPr>
          <w:rFonts w:ascii="Calibri" w:hAnsi="Calibri" w:cs="Calibri"/>
        </w:rPr>
        <w:t xml:space="preserve">  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8D64F9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K</w:t>
      </w:r>
      <w:r w:rsidR="005E2660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Ú</w:t>
      </w:r>
      <w:r w:rsidR="002313A4" w:rsidRPr="004C031F">
        <w:rPr>
          <w:rFonts w:ascii="Calibri" w:hAnsi="Calibri" w:cs="Calibri"/>
          <w:b/>
          <w:bCs/>
          <w:i/>
          <w:iCs/>
        </w:rPr>
        <w:t xml:space="preserve">  </w:t>
      </w:r>
      <w:r w:rsidR="00F738AA" w:rsidRPr="004C031F">
        <w:rPr>
          <w:rFonts w:ascii="Calibri" w:hAnsi="Calibri" w:cs="Calibri"/>
          <w:b/>
          <w:bCs/>
          <w:iCs/>
        </w:rPr>
        <w:t xml:space="preserve"> </w:t>
      </w:r>
      <w:r w:rsidRPr="004C031F">
        <w:rPr>
          <w:rFonts w:ascii="Calibri" w:hAnsi="Calibri" w:cs="Calibri"/>
        </w:rPr>
        <w:t>na</w:t>
      </w:r>
      <w:r w:rsidR="00F57CC9" w:rsidRPr="004C031F">
        <w:rPr>
          <w:rFonts w:ascii="Calibri" w:hAnsi="Calibri" w:cs="Calibri"/>
        </w:rPr>
        <w:t xml:space="preserve"> </w:t>
      </w:r>
      <w:r w:rsidR="00F34AD3" w:rsidRPr="004C031F">
        <w:rPr>
          <w:rFonts w:ascii="Calibri" w:hAnsi="Calibri" w:cs="Calibri"/>
        </w:rPr>
        <w:t>svém</w:t>
      </w:r>
      <w:r w:rsidR="00794A4A" w:rsidRPr="004C031F">
        <w:rPr>
          <w:rFonts w:ascii="Calibri" w:hAnsi="Calibri" w:cs="Calibri"/>
        </w:rPr>
        <w:t xml:space="preserve"> </w:t>
      </w:r>
      <w:r w:rsidR="005738F8">
        <w:rPr>
          <w:rFonts w:ascii="Calibri" w:hAnsi="Calibri" w:cs="Calibri"/>
        </w:rPr>
        <w:t xml:space="preserve">VII. </w:t>
      </w:r>
      <w:r w:rsidR="007A5A84" w:rsidRPr="005738F8">
        <w:rPr>
          <w:rFonts w:ascii="Calibri" w:hAnsi="Calibri" w:cs="Calibri"/>
        </w:rPr>
        <w:t>jedn</w:t>
      </w:r>
      <w:r w:rsidRPr="005738F8">
        <w:rPr>
          <w:rFonts w:ascii="Calibri" w:hAnsi="Calibri" w:cs="Calibri"/>
        </w:rPr>
        <w:t xml:space="preserve">ání, </w:t>
      </w:r>
      <w:r w:rsidR="00A80C9B" w:rsidRPr="005738F8">
        <w:rPr>
          <w:rFonts w:ascii="Calibri" w:hAnsi="Calibri" w:cs="Calibri"/>
        </w:rPr>
        <w:t xml:space="preserve">které se </w:t>
      </w:r>
      <w:r w:rsidRPr="005738F8">
        <w:rPr>
          <w:rFonts w:ascii="Calibri" w:hAnsi="Calibri" w:cs="Calibri"/>
        </w:rPr>
        <w:t>kona</w:t>
      </w:r>
      <w:r w:rsidR="00A80C9B" w:rsidRPr="005738F8">
        <w:rPr>
          <w:rFonts w:ascii="Calibri" w:hAnsi="Calibri" w:cs="Calibri"/>
        </w:rPr>
        <w:t>lo</w:t>
      </w:r>
      <w:r w:rsidRPr="005738F8">
        <w:rPr>
          <w:rFonts w:ascii="Calibri" w:hAnsi="Calibri" w:cs="Calibri"/>
        </w:rPr>
        <w:t xml:space="preserve"> dne</w:t>
      </w:r>
      <w:r w:rsidR="009A12AE" w:rsidRPr="005738F8">
        <w:rPr>
          <w:rFonts w:ascii="Calibri" w:hAnsi="Calibri" w:cs="Calibri"/>
        </w:rPr>
        <w:t xml:space="preserve"> </w:t>
      </w:r>
      <w:r w:rsidR="005738F8">
        <w:rPr>
          <w:rFonts w:ascii="Calibri" w:hAnsi="Calibri" w:cs="Calibri"/>
        </w:rPr>
        <w:t xml:space="preserve">16. května </w:t>
      </w:r>
      <w:r w:rsidR="006A105E" w:rsidRPr="005738F8">
        <w:rPr>
          <w:rFonts w:ascii="Calibri" w:hAnsi="Calibri" w:cs="Calibri"/>
        </w:rPr>
        <w:t>2016</w:t>
      </w:r>
      <w:r w:rsidRPr="005738F8">
        <w:rPr>
          <w:rFonts w:ascii="Calibri" w:hAnsi="Calibri" w:cs="Calibri"/>
        </w:rPr>
        <w:t>,</w:t>
      </w:r>
      <w:r w:rsidRPr="004C031F">
        <w:rPr>
          <w:rFonts w:ascii="Calibri" w:hAnsi="Calibri" w:cs="Calibri"/>
        </w:rPr>
        <w:t xml:space="preserve"> </w:t>
      </w:r>
    </w:p>
    <w:p w14:paraId="1EBE0716" w14:textId="77777777" w:rsidR="00E47DAC" w:rsidRPr="004C031F" w:rsidRDefault="00A427F9" w:rsidP="005D70FF">
      <w:pPr>
        <w:ind w:right="68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s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c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h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="00150511" w:rsidRPr="004C031F">
        <w:rPr>
          <w:rFonts w:ascii="Calibri" w:hAnsi="Calibri" w:cs="Calibri"/>
          <w:b/>
          <w:bCs/>
          <w:i/>
          <w:iCs/>
        </w:rPr>
        <w:t xml:space="preserve">v </w:t>
      </w:r>
      <w:r w:rsidRPr="004C031F">
        <w:rPr>
          <w:rFonts w:ascii="Calibri" w:hAnsi="Calibri" w:cs="Calibri"/>
          <w:b/>
          <w:bCs/>
          <w:i/>
          <w:iCs/>
        </w:rPr>
        <w:t>á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i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F112ED">
        <w:rPr>
          <w:rFonts w:ascii="Calibri" w:hAnsi="Calibri" w:cs="Calibri"/>
          <w:b/>
          <w:bCs/>
          <w:i/>
          <w:iCs/>
        </w:rPr>
        <w:t>o</w:t>
      </w:r>
      <w:r w:rsidR="00E47DAC" w:rsidRPr="00F112ED">
        <w:rPr>
          <w:rFonts w:ascii="Calibri" w:hAnsi="Calibri" w:cs="Calibri"/>
        </w:rPr>
        <w:t xml:space="preserve"> </w:t>
      </w:r>
      <w:r w:rsidR="002313A4" w:rsidRPr="00F112ED">
        <w:rPr>
          <w:rFonts w:ascii="Calibri" w:hAnsi="Calibri" w:cs="Calibri"/>
        </w:rPr>
        <w:t xml:space="preserve">  </w:t>
      </w:r>
      <w:r w:rsidR="00E47DAC" w:rsidRPr="00F112ED">
        <w:rPr>
          <w:rFonts w:ascii="Calibri" w:hAnsi="Calibri" w:cs="Calibri"/>
        </w:rPr>
        <w:t>usnesením č.</w:t>
      </w:r>
      <w:r w:rsidR="00F112ED">
        <w:rPr>
          <w:rFonts w:ascii="Calibri" w:hAnsi="Calibri" w:cs="Calibri"/>
        </w:rPr>
        <w:t xml:space="preserve"> </w:t>
      </w:r>
      <w:r w:rsidR="000F1BD9">
        <w:rPr>
          <w:rFonts w:ascii="Calibri" w:hAnsi="Calibri" w:cs="Calibri"/>
        </w:rPr>
        <w:t>8</w:t>
      </w:r>
      <w:r w:rsidR="00F112ED">
        <w:rPr>
          <w:rFonts w:ascii="Calibri" w:hAnsi="Calibri" w:cs="Calibri"/>
        </w:rPr>
        <w:t>/</w:t>
      </w:r>
      <w:r w:rsidR="005738F8">
        <w:rPr>
          <w:rFonts w:ascii="Calibri" w:hAnsi="Calibri" w:cs="Calibri"/>
        </w:rPr>
        <w:t>VII/</w:t>
      </w:r>
      <w:r w:rsidR="00F112ED">
        <w:rPr>
          <w:rFonts w:ascii="Calibri" w:hAnsi="Calibri" w:cs="Calibri"/>
        </w:rPr>
        <w:t>2016</w:t>
      </w:r>
      <w:r w:rsidR="009A12AE" w:rsidRPr="004C031F">
        <w:rPr>
          <w:rFonts w:ascii="Calibri" w:hAnsi="Calibri" w:cs="Calibri"/>
        </w:rPr>
        <w:t xml:space="preserve"> </w:t>
      </w:r>
    </w:p>
    <w:p w14:paraId="7B2298C7" w14:textId="77777777" w:rsidR="00E47DAC" w:rsidRPr="004C031F" w:rsidRDefault="00A427F9" w:rsidP="005D70FF">
      <w:pPr>
        <w:ind w:right="7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k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t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r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 xml:space="preserve">í 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 </w:t>
      </w:r>
      <w:r w:rsidRPr="004C031F">
        <w:rPr>
          <w:rFonts w:ascii="Calibri" w:hAnsi="Calibri" w:cs="Calibri"/>
          <w:b/>
          <w:bCs/>
          <w:i/>
          <w:iCs/>
        </w:rPr>
        <w:t>z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á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="00150511" w:rsidRPr="004C031F">
        <w:rPr>
          <w:rFonts w:ascii="Calibri" w:hAnsi="Calibri" w:cs="Calibri"/>
          <w:b/>
          <w:bCs/>
          <w:i/>
          <w:iCs/>
        </w:rPr>
        <w:t xml:space="preserve">v </w:t>
      </w:r>
      <w:r w:rsidRPr="004C031F">
        <w:rPr>
          <w:rFonts w:ascii="Calibri" w:hAnsi="Calibri" w:cs="Calibri"/>
          <w:b/>
          <w:bCs/>
          <w:i/>
          <w:iCs/>
        </w:rPr>
        <w:t>ě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r</w:t>
      </w:r>
      <w:r w:rsidR="00E47DAC" w:rsidRPr="004C031F">
        <w:rPr>
          <w:rFonts w:ascii="Calibri" w:hAnsi="Calibri" w:cs="Calibri"/>
        </w:rPr>
        <w:t xml:space="preserve"> </w:t>
      </w:r>
      <w:r w:rsidR="002313A4" w:rsidRPr="004C031F">
        <w:rPr>
          <w:rFonts w:ascii="Calibri" w:hAnsi="Calibri" w:cs="Calibri"/>
        </w:rPr>
        <w:t xml:space="preserve"> 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tomto znění:</w:t>
      </w:r>
    </w:p>
    <w:p w14:paraId="794BF690" w14:textId="77777777" w:rsidR="00362F33" w:rsidRDefault="00362F3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723EDE48" w14:textId="77777777" w:rsidR="000928BB" w:rsidRPr="00A315CB" w:rsidRDefault="000928BB" w:rsidP="003D3E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15CB">
        <w:rPr>
          <w:rFonts w:asciiTheme="minorHAnsi" w:hAnsiTheme="minorHAnsi" w:cstheme="minorHAnsi"/>
          <w:b/>
          <w:sz w:val="28"/>
          <w:szCs w:val="28"/>
        </w:rPr>
        <w:lastRenderedPageBreak/>
        <w:t>I. Informace k předmětu kontroly</w:t>
      </w:r>
    </w:p>
    <w:p w14:paraId="70E2669D" w14:textId="77777777" w:rsidR="00AF6C18" w:rsidRPr="00EA3CCF" w:rsidRDefault="00AF6C18" w:rsidP="003163D4">
      <w:pPr>
        <w:spacing w:line="264" w:lineRule="auto"/>
        <w:jc w:val="both"/>
        <w:rPr>
          <w:rFonts w:asciiTheme="minorHAnsi" w:hAnsiTheme="minorHAnsi" w:cstheme="minorHAnsi"/>
          <w:bCs/>
          <w:shd w:val="clear" w:color="auto" w:fill="FFFFFF"/>
        </w:rPr>
      </w:pPr>
    </w:p>
    <w:p w14:paraId="38879BFB" w14:textId="6F6E156E" w:rsidR="009D16C0" w:rsidRDefault="009D16C0" w:rsidP="00EF006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13A5">
        <w:rPr>
          <w:rFonts w:asciiTheme="minorHAnsi" w:hAnsiTheme="minorHAnsi" w:cstheme="minorHAnsi"/>
        </w:rPr>
        <w:t xml:space="preserve">Výzkum, experimentální vývoj a inovace (dále jen „VaVaI“) patří mezi </w:t>
      </w:r>
      <w:r w:rsidR="00573D5E">
        <w:rPr>
          <w:rFonts w:asciiTheme="minorHAnsi" w:hAnsiTheme="minorHAnsi" w:cstheme="minorHAnsi"/>
        </w:rPr>
        <w:t>významnou</w:t>
      </w:r>
      <w:r w:rsidRPr="00B313A5">
        <w:rPr>
          <w:rFonts w:asciiTheme="minorHAnsi" w:hAnsiTheme="minorHAnsi" w:cstheme="minorHAnsi"/>
        </w:rPr>
        <w:t xml:space="preserve"> součást rozvoje každé konkurenceschopné společnosti. </w:t>
      </w:r>
      <w:r w:rsidR="006A0DCA" w:rsidRPr="00B313A5">
        <w:rPr>
          <w:rFonts w:asciiTheme="minorHAnsi" w:hAnsiTheme="minorHAnsi" w:cstheme="minorHAnsi"/>
        </w:rPr>
        <w:t>V současnosti jsou poskytovateli účelové podpory dvě agentury (Grantová agentura České republiky a Technologická agentura České</w:t>
      </w:r>
      <w:r w:rsidR="00E06D12">
        <w:rPr>
          <w:rFonts w:asciiTheme="minorHAnsi" w:hAnsiTheme="minorHAnsi" w:cstheme="minorHAnsi"/>
        </w:rPr>
        <w:t xml:space="preserve"> republiky) a sedm ministerstev</w:t>
      </w:r>
      <w:r w:rsidR="006A0DCA" w:rsidRPr="00B313A5">
        <w:rPr>
          <w:rFonts w:asciiTheme="minorHAnsi" w:hAnsiTheme="minorHAnsi" w:cstheme="minorHAnsi"/>
        </w:rPr>
        <w:t xml:space="preserve"> (viz </w:t>
      </w:r>
      <w:r w:rsidR="00183702">
        <w:rPr>
          <w:rFonts w:asciiTheme="minorHAnsi" w:hAnsiTheme="minorHAnsi" w:cstheme="minorHAnsi"/>
        </w:rPr>
        <w:t xml:space="preserve">obr. </w:t>
      </w:r>
      <w:r w:rsidR="006A0DCA" w:rsidRPr="00B313A5">
        <w:rPr>
          <w:rFonts w:asciiTheme="minorHAnsi" w:hAnsiTheme="minorHAnsi" w:cstheme="minorHAnsi"/>
        </w:rPr>
        <w:t>č. 1)</w:t>
      </w:r>
      <w:r w:rsidR="006308CC" w:rsidRPr="00B313A5">
        <w:rPr>
          <w:rFonts w:asciiTheme="minorHAnsi" w:hAnsiTheme="minorHAnsi" w:cstheme="minorHAnsi"/>
        </w:rPr>
        <w:t>. Odborným a poradním orgánem pro oblast výzkumu, experimentálního vývoje a inovací je Rada vlády pro výzkum, vývoj a inovace.</w:t>
      </w:r>
    </w:p>
    <w:p w14:paraId="4577CB45" w14:textId="16F42E7E" w:rsidR="006A0DCA" w:rsidRDefault="006A0DCA" w:rsidP="00EF006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FBDDCCD" w14:textId="51EA84A0" w:rsidR="00B22382" w:rsidRPr="0053175C" w:rsidRDefault="00A7600D" w:rsidP="00EF006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90CA4A9" wp14:editId="2E3AE00F">
            <wp:simplePos x="0" y="0"/>
            <wp:positionH relativeFrom="column">
              <wp:posOffset>-204470</wp:posOffset>
            </wp:positionH>
            <wp:positionV relativeFrom="paragraph">
              <wp:posOffset>343535</wp:posOffset>
            </wp:positionV>
            <wp:extent cx="6303645" cy="3137535"/>
            <wp:effectExtent l="0" t="0" r="1905" b="571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13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82" w:rsidRPr="0053175C">
        <w:rPr>
          <w:rFonts w:asciiTheme="minorHAnsi" w:hAnsiTheme="minorHAnsi" w:cstheme="minorHAnsi"/>
          <w:b/>
        </w:rPr>
        <w:t>Obr. č. 1</w:t>
      </w:r>
      <w:r w:rsidR="00276D19">
        <w:rPr>
          <w:rFonts w:asciiTheme="minorHAnsi" w:hAnsiTheme="minorHAnsi" w:cstheme="minorHAnsi"/>
          <w:b/>
        </w:rPr>
        <w:t xml:space="preserve"> –</w:t>
      </w:r>
      <w:r w:rsidR="00B22382" w:rsidRPr="0053175C">
        <w:rPr>
          <w:rFonts w:asciiTheme="minorHAnsi" w:hAnsiTheme="minorHAnsi" w:cstheme="minorHAnsi"/>
          <w:b/>
        </w:rPr>
        <w:t xml:space="preserve"> Systém podpory VaVaI v České republice</w:t>
      </w:r>
    </w:p>
    <w:p w14:paraId="51CC69EE" w14:textId="7CA49B66" w:rsidR="00B22382" w:rsidRPr="00EF006D" w:rsidRDefault="00B22382" w:rsidP="00EF006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84476D" w14:textId="46DA0C34" w:rsidR="00276D19" w:rsidRPr="00276D19" w:rsidRDefault="0073541E" w:rsidP="00670EC4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522D1">
        <w:rPr>
          <w:rFonts w:asciiTheme="minorHAnsi" w:hAnsiTheme="minorHAnsi" w:cstheme="minorHAnsi"/>
          <w:b/>
          <w:sz w:val="20"/>
        </w:rPr>
        <w:t>Zdroj:</w:t>
      </w:r>
      <w:r>
        <w:rPr>
          <w:rFonts w:asciiTheme="minorHAnsi" w:hAnsiTheme="minorHAnsi" w:cstheme="minorHAnsi"/>
          <w:sz w:val="20"/>
        </w:rPr>
        <w:t xml:space="preserve"> </w:t>
      </w:r>
      <w:r w:rsidR="00670EC4">
        <w:rPr>
          <w:rFonts w:asciiTheme="minorHAnsi" w:hAnsiTheme="minorHAnsi" w:cstheme="minorHAnsi"/>
          <w:sz w:val="20"/>
        </w:rPr>
        <w:tab/>
      </w:r>
      <w:r w:rsidR="00276D19">
        <w:rPr>
          <w:rFonts w:asciiTheme="minorHAnsi" w:hAnsiTheme="minorHAnsi" w:cstheme="minorHAnsi"/>
          <w:sz w:val="20"/>
        </w:rPr>
        <w:t>w</w:t>
      </w:r>
      <w:r w:rsidR="00B22382" w:rsidRPr="00B22382">
        <w:rPr>
          <w:rFonts w:asciiTheme="minorHAnsi" w:hAnsiTheme="minorHAnsi" w:cstheme="minorHAnsi"/>
          <w:sz w:val="20"/>
        </w:rPr>
        <w:t>ebové stránky TA ČR</w:t>
      </w:r>
      <w:r w:rsidR="001522D1">
        <w:rPr>
          <w:rFonts w:asciiTheme="minorHAnsi" w:hAnsiTheme="minorHAnsi" w:cstheme="minorHAnsi"/>
          <w:sz w:val="20"/>
        </w:rPr>
        <w:t>.</w:t>
      </w:r>
    </w:p>
    <w:p w14:paraId="15CB10E2" w14:textId="1BA188E5" w:rsidR="00642C24" w:rsidRPr="00642C24" w:rsidRDefault="00642C24" w:rsidP="00642C24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183702">
        <w:rPr>
          <w:rFonts w:ascii="Calibri" w:hAnsi="Calibri" w:cs="Calibri"/>
          <w:b/>
          <w:sz w:val="20"/>
          <w:szCs w:val="20"/>
        </w:rPr>
        <w:t>Pozn.:</w:t>
      </w:r>
      <w:r w:rsidRPr="00642C24">
        <w:rPr>
          <w:rFonts w:ascii="Calibri" w:hAnsi="Calibri" w:cs="Calibri"/>
          <w:sz w:val="20"/>
          <w:szCs w:val="20"/>
        </w:rPr>
        <w:t xml:space="preserve"> MŠMT – Ministerstvo školství mládeže a tělovýchovy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RVVI </w:t>
      </w:r>
      <w:r w:rsidR="00183702">
        <w:rPr>
          <w:rFonts w:ascii="Calibri" w:hAnsi="Calibri" w:cs="Calibri"/>
          <w:sz w:val="20"/>
          <w:szCs w:val="20"/>
        </w:rPr>
        <w:t>–</w:t>
      </w:r>
      <w:r w:rsidRPr="00642C24">
        <w:rPr>
          <w:rFonts w:ascii="Calibri" w:hAnsi="Calibri" w:cs="Calibri"/>
          <w:sz w:val="20"/>
          <w:szCs w:val="20"/>
        </w:rPr>
        <w:t xml:space="preserve"> Rada vlády pro výzkum, vývoj a inovace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MPO – Ministerstvo průmyslu a obchodu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AV ČR – Akademie věd České republiky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GA ČR – Grantová agentura České republiky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MV – Ministerstvo vnitra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MO – Ministerstvo obrany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MZe – Ministerstvo zemědělství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MK – Ministerstvo kultury</w:t>
      </w:r>
      <w:r w:rsidR="00183702">
        <w:rPr>
          <w:rFonts w:ascii="Calibri" w:hAnsi="Calibri" w:cs="Calibri"/>
          <w:sz w:val="20"/>
          <w:szCs w:val="20"/>
        </w:rPr>
        <w:t>;</w:t>
      </w:r>
      <w:r w:rsidRPr="00642C24">
        <w:rPr>
          <w:rFonts w:ascii="Calibri" w:hAnsi="Calibri" w:cs="Calibri"/>
          <w:sz w:val="20"/>
          <w:szCs w:val="20"/>
        </w:rPr>
        <w:t xml:space="preserve"> MZd – Ministerstvo zdravotnictví.</w:t>
      </w:r>
    </w:p>
    <w:p w14:paraId="0CB4FC03" w14:textId="77777777" w:rsidR="00B22382" w:rsidRPr="00F63B12" w:rsidRDefault="00B22382" w:rsidP="00EF006D">
      <w:pPr>
        <w:jc w:val="both"/>
        <w:rPr>
          <w:rFonts w:asciiTheme="minorHAnsi" w:hAnsiTheme="minorHAnsi" w:cstheme="minorHAnsi"/>
        </w:rPr>
      </w:pPr>
    </w:p>
    <w:p w14:paraId="1634C9A5" w14:textId="122116D5" w:rsidR="00FB52D9" w:rsidRDefault="00FB52D9" w:rsidP="00EF006D">
      <w:pPr>
        <w:jc w:val="both"/>
        <w:rPr>
          <w:rFonts w:asciiTheme="minorHAnsi" w:hAnsiTheme="minorHAnsi" w:cstheme="minorHAnsi"/>
        </w:rPr>
      </w:pPr>
      <w:r w:rsidRPr="00EF006D">
        <w:rPr>
          <w:rStyle w:val="Siln"/>
          <w:rFonts w:asciiTheme="minorHAnsi" w:hAnsiTheme="minorHAnsi" w:cstheme="minorHAnsi"/>
          <w:b w:val="0"/>
        </w:rPr>
        <w:t>Zákon č. 130/2002 Sb.</w:t>
      </w:r>
      <w:r w:rsidR="008C4B2C">
        <w:rPr>
          <w:rStyle w:val="Znakapoznpodarou"/>
          <w:rFonts w:ascii="Calibri" w:hAnsi="Calibri" w:cs="Calibri"/>
          <w:bCs/>
        </w:rPr>
        <w:footnoteReference w:id="1"/>
      </w:r>
      <w:r w:rsidR="008C4B2C">
        <w:rPr>
          <w:rStyle w:val="Siln"/>
          <w:rFonts w:asciiTheme="minorHAnsi" w:hAnsiTheme="minorHAnsi" w:cstheme="minorHAnsi"/>
          <w:b w:val="0"/>
        </w:rPr>
        <w:t xml:space="preserve"> nabyl účinnosti</w:t>
      </w:r>
      <w:r w:rsidRPr="00EF006D">
        <w:rPr>
          <w:rStyle w:val="Siln"/>
          <w:rFonts w:asciiTheme="minorHAnsi" w:hAnsiTheme="minorHAnsi" w:cstheme="minorHAnsi"/>
          <w:b w:val="0"/>
        </w:rPr>
        <w:t xml:space="preserve"> od 1. července 2002. </w:t>
      </w:r>
      <w:r w:rsidR="00141BF7">
        <w:rPr>
          <w:rStyle w:val="Siln"/>
          <w:rFonts w:asciiTheme="minorHAnsi" w:hAnsiTheme="minorHAnsi" w:cstheme="minorHAnsi"/>
          <w:b w:val="0"/>
        </w:rPr>
        <w:t>Z</w:t>
      </w:r>
      <w:r w:rsidRPr="00EF006D">
        <w:rPr>
          <w:rStyle w:val="Siln"/>
          <w:rFonts w:asciiTheme="minorHAnsi" w:hAnsiTheme="minorHAnsi" w:cstheme="minorHAnsi"/>
          <w:b w:val="0"/>
        </w:rPr>
        <w:t>ákon upravuje podporu výzkumu, experimentálního vývoje a inovací z veřejných prostředků</w:t>
      </w:r>
      <w:r w:rsidR="00670EC4">
        <w:rPr>
          <w:rStyle w:val="Siln"/>
          <w:rFonts w:asciiTheme="minorHAnsi" w:hAnsiTheme="minorHAnsi" w:cstheme="minorHAnsi"/>
          <w:b w:val="0"/>
        </w:rPr>
        <w:t>,</w:t>
      </w:r>
      <w:r w:rsidRPr="00EF006D">
        <w:rPr>
          <w:rStyle w:val="Siln"/>
          <w:rFonts w:asciiTheme="minorHAnsi" w:hAnsiTheme="minorHAnsi" w:cstheme="minorHAnsi"/>
          <w:b w:val="0"/>
        </w:rPr>
        <w:t xml:space="preserve"> </w:t>
      </w:r>
      <w:r w:rsidR="00F63B12">
        <w:rPr>
          <w:rStyle w:val="Siln"/>
          <w:rFonts w:asciiTheme="minorHAnsi" w:hAnsiTheme="minorHAnsi" w:cstheme="minorHAnsi"/>
          <w:b w:val="0"/>
        </w:rPr>
        <w:t>dále</w:t>
      </w:r>
      <w:r w:rsidRPr="00EF006D">
        <w:rPr>
          <w:rStyle w:val="Siln"/>
          <w:rFonts w:asciiTheme="minorHAnsi" w:hAnsiTheme="minorHAnsi" w:cstheme="minorHAnsi"/>
          <w:b w:val="0"/>
        </w:rPr>
        <w:t xml:space="preserve"> práva a povinnosti právnických osob a fyzických osob</w:t>
      </w:r>
      <w:r w:rsidR="00F63B12">
        <w:rPr>
          <w:rStyle w:val="Siln"/>
          <w:rFonts w:asciiTheme="minorHAnsi" w:hAnsiTheme="minorHAnsi" w:cstheme="minorHAnsi"/>
          <w:b w:val="0"/>
        </w:rPr>
        <w:t xml:space="preserve"> a</w:t>
      </w:r>
      <w:r w:rsidRPr="00EF006D">
        <w:rPr>
          <w:rStyle w:val="Siln"/>
          <w:rFonts w:asciiTheme="minorHAnsi" w:hAnsiTheme="minorHAnsi" w:cstheme="minorHAnsi"/>
          <w:b w:val="0"/>
        </w:rPr>
        <w:t xml:space="preserve"> úkoly organizačních složek státu. </w:t>
      </w:r>
      <w:r w:rsidRPr="00EF006D">
        <w:rPr>
          <w:rFonts w:asciiTheme="minorHAnsi" w:hAnsiTheme="minorHAnsi" w:cstheme="minorHAnsi"/>
        </w:rPr>
        <w:t>Předmětem zákona je systém podpory výzkumu a vývoje z veřejných prostředků a podmínky jeho účelové a</w:t>
      </w:r>
      <w:r w:rsidR="006E613C">
        <w:rPr>
          <w:rFonts w:asciiTheme="minorHAnsi" w:hAnsiTheme="minorHAnsi" w:cstheme="minorHAnsi"/>
        </w:rPr>
        <w:t> </w:t>
      </w:r>
      <w:r w:rsidRPr="00EF006D">
        <w:rPr>
          <w:rFonts w:asciiTheme="minorHAnsi" w:hAnsiTheme="minorHAnsi" w:cstheme="minorHAnsi"/>
        </w:rPr>
        <w:t>institucionální podpory, veřejná soutěž ve výzkumu a vývoji a postup při hodnocení výzkumných záměrů, způsob poskytování informací o výzkumu a vývoji, práva a povinnosti související s poskytováním podpory výzkumu a vývoje z veřejných prostředků, působnost a</w:t>
      </w:r>
      <w:r w:rsidR="006E613C">
        <w:rPr>
          <w:rFonts w:asciiTheme="minorHAnsi" w:hAnsiTheme="minorHAnsi" w:cstheme="minorHAnsi"/>
        </w:rPr>
        <w:t> </w:t>
      </w:r>
      <w:r w:rsidRPr="00EF006D">
        <w:rPr>
          <w:rFonts w:asciiTheme="minorHAnsi" w:hAnsiTheme="minorHAnsi" w:cstheme="minorHAnsi"/>
        </w:rPr>
        <w:t>právní postavení orgánů výzkumu a vývoje. Zákonem jsou upravena i vlastnická práva k výsledkům a jejich využití.</w:t>
      </w:r>
    </w:p>
    <w:p w14:paraId="02288E85" w14:textId="77777777" w:rsidR="00B64F45" w:rsidRPr="00EF006D" w:rsidRDefault="00B64F45" w:rsidP="00EF006D">
      <w:pPr>
        <w:jc w:val="both"/>
        <w:rPr>
          <w:rFonts w:asciiTheme="minorHAnsi" w:hAnsiTheme="minorHAnsi" w:cstheme="minorHAnsi"/>
        </w:rPr>
      </w:pPr>
    </w:p>
    <w:p w14:paraId="68F0340B" w14:textId="77777777" w:rsidR="00BA0B34" w:rsidRDefault="00BF77FF" w:rsidP="00EF006D">
      <w:pPr>
        <w:jc w:val="both"/>
        <w:rPr>
          <w:rFonts w:ascii="Calibri" w:hAnsi="Calibri" w:cs="Calibri"/>
        </w:rPr>
      </w:pPr>
      <w:r w:rsidRPr="00EF006D">
        <w:rPr>
          <w:rFonts w:ascii="Calibri" w:hAnsi="Calibri" w:cs="Calibri"/>
        </w:rPr>
        <w:lastRenderedPageBreak/>
        <w:t xml:space="preserve">Technologická agentura České republiky byla zřízena </w:t>
      </w:r>
      <w:r w:rsidR="0038477D">
        <w:rPr>
          <w:rFonts w:ascii="Calibri" w:hAnsi="Calibri" w:cs="Calibri"/>
        </w:rPr>
        <w:t>novelou</w:t>
      </w:r>
      <w:r w:rsidR="0038477D" w:rsidRPr="00EF006D">
        <w:rPr>
          <w:rFonts w:ascii="Calibri" w:hAnsi="Calibri" w:cs="Calibri"/>
        </w:rPr>
        <w:t xml:space="preserve"> </w:t>
      </w:r>
      <w:r w:rsidR="0093022A">
        <w:rPr>
          <w:rFonts w:ascii="Calibri" w:hAnsi="Calibri" w:cs="Calibri"/>
        </w:rPr>
        <w:t>zákona č. </w:t>
      </w:r>
      <w:r w:rsidRPr="00EF006D">
        <w:rPr>
          <w:rFonts w:ascii="Calibri" w:hAnsi="Calibri" w:cs="Calibri"/>
        </w:rPr>
        <w:t>130/2002 Sb.</w:t>
      </w:r>
      <w:r w:rsidR="0038477D">
        <w:rPr>
          <w:rStyle w:val="Znakapoznpodarou"/>
          <w:rFonts w:ascii="Calibri" w:hAnsi="Calibri" w:cs="Calibri"/>
        </w:rPr>
        <w:footnoteReference w:id="2"/>
      </w:r>
      <w:r w:rsidR="008C4B2C" w:rsidRPr="008C4B2C">
        <w:rPr>
          <w:rStyle w:val="Znakapoznpodarou"/>
          <w:rFonts w:ascii="Calibri" w:hAnsi="Calibri" w:cs="Calibri"/>
          <w:bCs/>
        </w:rPr>
        <w:t xml:space="preserve"> </w:t>
      </w:r>
      <w:r w:rsidR="001522D1">
        <w:rPr>
          <w:rFonts w:ascii="Calibri" w:hAnsi="Calibri" w:cs="Calibri"/>
        </w:rPr>
        <w:t>s </w:t>
      </w:r>
      <w:r w:rsidRPr="00EF006D">
        <w:rPr>
          <w:rFonts w:ascii="Calibri" w:hAnsi="Calibri" w:cs="Calibri"/>
        </w:rPr>
        <w:t xml:space="preserve">účinností od 1. července 2009. </w:t>
      </w:r>
      <w:r w:rsidRPr="001D302D">
        <w:rPr>
          <w:rFonts w:ascii="Calibri" w:hAnsi="Calibri" w:cs="Calibri"/>
        </w:rPr>
        <w:t>TA ČR je organizační složkou státu a</w:t>
      </w:r>
      <w:r w:rsidR="006E613C">
        <w:rPr>
          <w:rFonts w:ascii="Calibri" w:hAnsi="Calibri" w:cs="Calibri"/>
        </w:rPr>
        <w:t> </w:t>
      </w:r>
      <w:r w:rsidRPr="001D302D">
        <w:rPr>
          <w:rFonts w:ascii="Calibri" w:hAnsi="Calibri" w:cs="Calibri"/>
        </w:rPr>
        <w:t xml:space="preserve">správcem rozpočtové kapitoly. </w:t>
      </w:r>
    </w:p>
    <w:p w14:paraId="62097EE3" w14:textId="77777777" w:rsidR="005D01B7" w:rsidRPr="00EA3CCF" w:rsidRDefault="005D01B7" w:rsidP="00EF006D">
      <w:pPr>
        <w:jc w:val="both"/>
        <w:rPr>
          <w:rFonts w:ascii="Calibri" w:hAnsi="Calibri" w:cs="Calibri"/>
        </w:rPr>
      </w:pPr>
    </w:p>
    <w:p w14:paraId="2155A2BC" w14:textId="77777777" w:rsidR="00FB52D9" w:rsidRPr="00EF006D" w:rsidRDefault="00EF006D" w:rsidP="005D70FF">
      <w:pPr>
        <w:spacing w:after="120"/>
        <w:jc w:val="both"/>
        <w:rPr>
          <w:rFonts w:ascii="Calibri" w:hAnsi="Calibri" w:cs="Calibri"/>
        </w:rPr>
      </w:pPr>
      <w:r w:rsidRPr="00EF006D">
        <w:rPr>
          <w:rFonts w:ascii="Calibri" w:hAnsi="Calibri" w:cs="Calibri"/>
          <w:bCs/>
        </w:rPr>
        <w:t>TA ČR zejména zabezpečuje:</w:t>
      </w:r>
    </w:p>
    <w:p w14:paraId="6D50B8B9" w14:textId="77777777" w:rsidR="00FB52D9" w:rsidRPr="00D44248" w:rsidRDefault="00FB52D9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D44248">
        <w:rPr>
          <w:rFonts w:ascii="Calibri" w:hAnsi="Calibri" w:cs="Calibri"/>
        </w:rPr>
        <w:t>přípravu a realizaci programů aplikovaného výzkumu, vývoje a inovací včetně programů pro potřeby státní správy, veřejných soutěží ve výzkumu, vývoji a inovacích na podporu projektů a zadávání veřejných zakázek,</w:t>
      </w:r>
    </w:p>
    <w:p w14:paraId="4CCB7469" w14:textId="77777777" w:rsidR="00FB52D9" w:rsidRPr="00D44248" w:rsidRDefault="00FB52D9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D44248">
        <w:rPr>
          <w:rFonts w:ascii="Calibri" w:hAnsi="Calibri" w:cs="Calibri"/>
        </w:rPr>
        <w:t>hodnocení a výběr návrhů programových projektů,</w:t>
      </w:r>
    </w:p>
    <w:p w14:paraId="343DCCDE" w14:textId="77777777" w:rsidR="00FB52D9" w:rsidRPr="00D44248" w:rsidRDefault="00FB52D9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D44248">
        <w:rPr>
          <w:rFonts w:ascii="Calibri" w:hAnsi="Calibri" w:cs="Calibri"/>
        </w:rPr>
        <w:t>poskytování účelové podpory na řešení programových projektů na základě smluv o</w:t>
      </w:r>
      <w:r w:rsidR="00E13744">
        <w:rPr>
          <w:rFonts w:ascii="Calibri" w:hAnsi="Calibri" w:cs="Calibri"/>
        </w:rPr>
        <w:t> </w:t>
      </w:r>
      <w:r w:rsidRPr="00D44248">
        <w:rPr>
          <w:rFonts w:ascii="Calibri" w:hAnsi="Calibri" w:cs="Calibri"/>
        </w:rPr>
        <w:t>poskytnutí podpory nebo rozhodnutí o poskytnutí podpory, </w:t>
      </w:r>
    </w:p>
    <w:p w14:paraId="41E929A1" w14:textId="77777777" w:rsidR="00FB52D9" w:rsidRPr="00D44248" w:rsidRDefault="00FB52D9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D44248">
        <w:rPr>
          <w:rFonts w:ascii="Calibri" w:hAnsi="Calibri" w:cs="Calibri"/>
        </w:rPr>
        <w:t>kontrolu plnění smluv o poskytnutí podpory nebo rozhodnutí o poskytnutí podpory a</w:t>
      </w:r>
      <w:r w:rsidR="00E13744">
        <w:rPr>
          <w:rFonts w:ascii="Calibri" w:hAnsi="Calibri" w:cs="Calibri"/>
        </w:rPr>
        <w:t> </w:t>
      </w:r>
      <w:r w:rsidRPr="00D44248">
        <w:rPr>
          <w:rFonts w:ascii="Calibri" w:hAnsi="Calibri" w:cs="Calibri"/>
        </w:rPr>
        <w:t>čerpání účelové podpory,</w:t>
      </w:r>
    </w:p>
    <w:p w14:paraId="28EEDC2F" w14:textId="77777777" w:rsidR="00FB52D9" w:rsidRDefault="00FB52D9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D44248">
        <w:rPr>
          <w:rFonts w:ascii="Calibri" w:hAnsi="Calibri" w:cs="Calibri"/>
        </w:rPr>
        <w:t>hodnocení a kontrolu průběhu řešení a plnění cílů programových projektů a ko</w:t>
      </w:r>
      <w:r w:rsidR="006E613C">
        <w:rPr>
          <w:rFonts w:ascii="Calibri" w:hAnsi="Calibri" w:cs="Calibri"/>
        </w:rPr>
        <w:t>ntrolu jimi dosažených výsledků,</w:t>
      </w:r>
    </w:p>
    <w:p w14:paraId="6E81B09E" w14:textId="77777777" w:rsidR="006E613C" w:rsidRPr="0093022A" w:rsidRDefault="006E613C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93022A">
        <w:rPr>
          <w:rFonts w:asciiTheme="minorHAnsi" w:hAnsiTheme="minorHAnsi" w:cstheme="minorHAnsi"/>
        </w:rPr>
        <w:t>jedná</w:t>
      </w:r>
      <w:r w:rsidR="00573D5E">
        <w:rPr>
          <w:rFonts w:asciiTheme="minorHAnsi" w:hAnsiTheme="minorHAnsi" w:cstheme="minorHAnsi"/>
        </w:rPr>
        <w:t>ní</w:t>
      </w:r>
      <w:r w:rsidRPr="0093022A">
        <w:rPr>
          <w:rFonts w:asciiTheme="minorHAnsi" w:hAnsiTheme="minorHAnsi" w:cstheme="minorHAnsi"/>
        </w:rPr>
        <w:t xml:space="preserve"> s příslušnými orgány České republiky nebo Evropské unie v otázce posuzování slučitelnosti poskytované podpory se společným trhem,</w:t>
      </w:r>
    </w:p>
    <w:p w14:paraId="00618A6C" w14:textId="77777777" w:rsidR="006E613C" w:rsidRPr="0093022A" w:rsidRDefault="006E613C" w:rsidP="0053175C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Calibri" w:hAnsi="Calibri" w:cs="Calibri"/>
        </w:rPr>
      </w:pPr>
      <w:r w:rsidRPr="0093022A">
        <w:rPr>
          <w:rFonts w:asciiTheme="minorHAnsi" w:hAnsiTheme="minorHAnsi" w:cstheme="minorHAnsi"/>
        </w:rPr>
        <w:t>spolupráci s obdobnými zahraničními agenturami</w:t>
      </w:r>
      <w:r w:rsidR="007E68AF">
        <w:rPr>
          <w:rStyle w:val="Znakapoznpodarou"/>
          <w:rFonts w:asciiTheme="minorHAnsi" w:hAnsiTheme="minorHAnsi" w:cstheme="minorHAnsi"/>
        </w:rPr>
        <w:footnoteReference w:id="3"/>
      </w:r>
      <w:r w:rsidRPr="0093022A">
        <w:rPr>
          <w:rFonts w:asciiTheme="minorHAnsi" w:hAnsiTheme="minorHAnsi" w:cstheme="minorHAnsi"/>
        </w:rPr>
        <w:t>.</w:t>
      </w:r>
    </w:p>
    <w:p w14:paraId="39080FCD" w14:textId="77777777" w:rsidR="00642520" w:rsidRPr="004304E4" w:rsidRDefault="00642520" w:rsidP="001C3ECD">
      <w:pPr>
        <w:jc w:val="both"/>
        <w:rPr>
          <w:rFonts w:ascii="Calibri" w:hAnsi="Calibri" w:cs="Calibri"/>
        </w:rPr>
      </w:pPr>
    </w:p>
    <w:p w14:paraId="0552F8A7" w14:textId="7B5A36DF" w:rsidR="00324F23" w:rsidRPr="001C3ECD" w:rsidRDefault="00324F23" w:rsidP="008464CA">
      <w:pPr>
        <w:jc w:val="both"/>
        <w:rPr>
          <w:rFonts w:ascii="Calibri" w:hAnsi="Calibri" w:cs="Calibri"/>
        </w:rPr>
      </w:pPr>
      <w:r w:rsidRPr="00BA2CD3">
        <w:rPr>
          <w:rFonts w:ascii="Calibri" w:hAnsi="Calibri" w:cs="Calibri"/>
        </w:rPr>
        <w:t xml:space="preserve">TA ČR </w:t>
      </w:r>
      <w:r w:rsidR="0093022A" w:rsidRPr="00BA2CD3">
        <w:rPr>
          <w:rFonts w:ascii="Calibri" w:hAnsi="Calibri" w:cs="Calibri"/>
        </w:rPr>
        <w:t>podporuje</w:t>
      </w:r>
      <w:r w:rsidRPr="00BA2CD3">
        <w:rPr>
          <w:rFonts w:ascii="Calibri" w:hAnsi="Calibri" w:cs="Calibri"/>
        </w:rPr>
        <w:t xml:space="preserve"> </w:t>
      </w:r>
      <w:r w:rsidR="0093022A" w:rsidRPr="00BA2CD3">
        <w:rPr>
          <w:rFonts w:ascii="Calibri" w:hAnsi="Calibri" w:cs="Calibri"/>
        </w:rPr>
        <w:t>projekty</w:t>
      </w:r>
      <w:r w:rsidRPr="00BA2CD3">
        <w:rPr>
          <w:rFonts w:ascii="Calibri" w:hAnsi="Calibri" w:cs="Calibri"/>
        </w:rPr>
        <w:t xml:space="preserve"> </w:t>
      </w:r>
      <w:r w:rsidR="0093022A" w:rsidRPr="00BA2CD3">
        <w:rPr>
          <w:rFonts w:ascii="Calibri" w:hAnsi="Calibri" w:cs="Calibri"/>
        </w:rPr>
        <w:t>formou dotací</w:t>
      </w:r>
      <w:r w:rsidRPr="00BA2CD3">
        <w:rPr>
          <w:rFonts w:ascii="Calibri" w:hAnsi="Calibri" w:cs="Calibri"/>
        </w:rPr>
        <w:t xml:space="preserve">. </w:t>
      </w:r>
      <w:r w:rsidR="0093022A" w:rsidRPr="00BA2CD3">
        <w:rPr>
          <w:rFonts w:ascii="Calibri" w:hAnsi="Calibri" w:cs="Calibri"/>
        </w:rPr>
        <w:t xml:space="preserve">Vláda ČR schválila </w:t>
      </w:r>
      <w:r w:rsidRPr="00BA2CD3">
        <w:rPr>
          <w:rFonts w:ascii="Calibri" w:hAnsi="Calibri" w:cs="Calibri"/>
        </w:rPr>
        <w:t>sedm programů</w:t>
      </w:r>
      <w:r w:rsidR="0093022A" w:rsidRPr="00BA2CD3">
        <w:rPr>
          <w:rFonts w:ascii="Calibri" w:hAnsi="Calibri" w:cs="Calibri"/>
        </w:rPr>
        <w:t xml:space="preserve"> TA ČR na</w:t>
      </w:r>
      <w:r w:rsidR="0093022A">
        <w:rPr>
          <w:rFonts w:ascii="Calibri" w:hAnsi="Calibri" w:cs="Calibri"/>
        </w:rPr>
        <w:t xml:space="preserve"> podporu VaVaI</w:t>
      </w:r>
      <w:r w:rsidRPr="001C3ECD">
        <w:rPr>
          <w:rFonts w:ascii="Calibri" w:hAnsi="Calibri" w:cs="Calibri"/>
        </w:rPr>
        <w:t xml:space="preserve"> (program ALFA, BETA, </w:t>
      </w:r>
      <w:r w:rsidR="008934D9" w:rsidRPr="007B3B15">
        <w:rPr>
          <w:rFonts w:ascii="Calibri" w:hAnsi="Calibri" w:cs="Calibri"/>
        </w:rPr>
        <w:t>Centra kompetence</w:t>
      </w:r>
      <w:r w:rsidR="008934D9">
        <w:rPr>
          <w:rFonts w:ascii="Calibri" w:hAnsi="Calibri" w:cs="Calibri"/>
        </w:rPr>
        <w:t>,</w:t>
      </w:r>
      <w:r w:rsidR="008934D9" w:rsidRPr="001C3ECD">
        <w:rPr>
          <w:rFonts w:ascii="Calibri" w:hAnsi="Calibri" w:cs="Calibri"/>
        </w:rPr>
        <w:t xml:space="preserve"> OMEGA</w:t>
      </w:r>
      <w:r w:rsidR="00F63B12">
        <w:rPr>
          <w:rFonts w:ascii="Calibri" w:hAnsi="Calibri" w:cs="Calibri"/>
        </w:rPr>
        <w:t>,</w:t>
      </w:r>
      <w:r w:rsidR="008934D9" w:rsidRPr="001C3ECD">
        <w:rPr>
          <w:rFonts w:ascii="Calibri" w:hAnsi="Calibri" w:cs="Calibri"/>
        </w:rPr>
        <w:t xml:space="preserve"> </w:t>
      </w:r>
      <w:r w:rsidR="008934D9">
        <w:rPr>
          <w:rFonts w:ascii="Calibri" w:hAnsi="Calibri" w:cs="Calibri"/>
        </w:rPr>
        <w:t>GAMA, DELTA, EPSILON</w:t>
      </w:r>
      <w:r w:rsidRPr="001C3ECD">
        <w:rPr>
          <w:rFonts w:ascii="Calibri" w:hAnsi="Calibri" w:cs="Calibri"/>
        </w:rPr>
        <w:t>). Všechny programy se věnují podpoře aplikovaného výz</w:t>
      </w:r>
      <w:r w:rsidR="00DB41C1">
        <w:rPr>
          <w:rFonts w:ascii="Calibri" w:hAnsi="Calibri" w:cs="Calibri"/>
        </w:rPr>
        <w:t>kumu, experimentálního vývoje a </w:t>
      </w:r>
      <w:r w:rsidRPr="001C3ECD">
        <w:rPr>
          <w:rFonts w:ascii="Calibri" w:hAnsi="Calibri" w:cs="Calibri"/>
        </w:rPr>
        <w:t xml:space="preserve">inovací a jsou směřovány do specifických oblastí </w:t>
      </w:r>
      <w:r w:rsidRPr="002646BF">
        <w:rPr>
          <w:rFonts w:ascii="Calibri" w:hAnsi="Calibri" w:cs="Calibri"/>
        </w:rPr>
        <w:t>VaVaI</w:t>
      </w:r>
      <w:r w:rsidRPr="001C3ECD">
        <w:rPr>
          <w:rFonts w:ascii="Calibri" w:hAnsi="Calibri" w:cs="Calibri"/>
        </w:rPr>
        <w:t xml:space="preserve">. </w:t>
      </w:r>
      <w:r w:rsidR="003461DB" w:rsidRPr="001C3ECD">
        <w:rPr>
          <w:rFonts w:ascii="Calibri" w:hAnsi="Calibri" w:cs="Calibri"/>
        </w:rPr>
        <w:t xml:space="preserve">Popis </w:t>
      </w:r>
      <w:r w:rsidR="0093022A">
        <w:rPr>
          <w:rFonts w:ascii="Calibri" w:hAnsi="Calibri" w:cs="Calibri"/>
        </w:rPr>
        <w:t xml:space="preserve">jednotlivých </w:t>
      </w:r>
      <w:r w:rsidR="003461DB" w:rsidRPr="001C3ECD">
        <w:rPr>
          <w:rFonts w:ascii="Calibri" w:hAnsi="Calibri" w:cs="Calibri"/>
        </w:rPr>
        <w:t xml:space="preserve">programů </w:t>
      </w:r>
      <w:r w:rsidR="00FF0182" w:rsidRPr="001C3ECD">
        <w:rPr>
          <w:rFonts w:ascii="Calibri" w:hAnsi="Calibri" w:cs="Calibri"/>
        </w:rPr>
        <w:t xml:space="preserve">TA ČR </w:t>
      </w:r>
      <w:r w:rsidR="00BA0B34">
        <w:rPr>
          <w:rFonts w:ascii="Calibri" w:hAnsi="Calibri" w:cs="Calibri"/>
        </w:rPr>
        <w:t xml:space="preserve">je uveden </w:t>
      </w:r>
      <w:r w:rsidR="00E06D12">
        <w:rPr>
          <w:rFonts w:ascii="Calibri" w:hAnsi="Calibri" w:cs="Calibri"/>
        </w:rPr>
        <w:t>v </w:t>
      </w:r>
      <w:r w:rsidR="002646BF" w:rsidRPr="002646BF">
        <w:rPr>
          <w:rFonts w:ascii="Calibri" w:hAnsi="Calibri" w:cs="Calibri"/>
        </w:rPr>
        <w:t>příloze č. 1</w:t>
      </w:r>
      <w:r w:rsidR="00EF006D" w:rsidRPr="001C3ECD">
        <w:rPr>
          <w:rFonts w:ascii="Calibri" w:hAnsi="Calibri" w:cs="Calibri"/>
        </w:rPr>
        <w:t xml:space="preserve"> </w:t>
      </w:r>
      <w:r w:rsidR="00747C9C">
        <w:rPr>
          <w:rFonts w:ascii="Calibri" w:hAnsi="Calibri" w:cs="Calibri"/>
        </w:rPr>
        <w:t xml:space="preserve">tohoto </w:t>
      </w:r>
      <w:r w:rsidR="00EF006D" w:rsidRPr="001C3ECD">
        <w:rPr>
          <w:rFonts w:ascii="Calibri" w:hAnsi="Calibri" w:cs="Calibri"/>
        </w:rPr>
        <w:t>kontrolního závěru</w:t>
      </w:r>
      <w:r w:rsidR="003461DB" w:rsidRPr="001C3ECD">
        <w:rPr>
          <w:rFonts w:ascii="Calibri" w:hAnsi="Calibri" w:cs="Calibri"/>
        </w:rPr>
        <w:t>.</w:t>
      </w:r>
    </w:p>
    <w:p w14:paraId="5B19E3FA" w14:textId="77777777" w:rsidR="00B61989" w:rsidRPr="001C3ECD" w:rsidRDefault="00B61989" w:rsidP="001C3ECD">
      <w:pPr>
        <w:jc w:val="both"/>
        <w:rPr>
          <w:rFonts w:ascii="Calibri" w:hAnsi="Calibri" w:cs="Calibri"/>
        </w:rPr>
      </w:pPr>
    </w:p>
    <w:p w14:paraId="0B4BC856" w14:textId="18E2FEA2" w:rsidR="00324F23" w:rsidRDefault="00324F23" w:rsidP="001C3ECD">
      <w:pPr>
        <w:jc w:val="both"/>
        <w:rPr>
          <w:rFonts w:ascii="Calibri" w:hAnsi="Calibri" w:cs="Calibri"/>
        </w:rPr>
      </w:pPr>
      <w:r w:rsidRPr="001C3ECD">
        <w:rPr>
          <w:rFonts w:ascii="Calibri" w:hAnsi="Calibri" w:cs="Calibri"/>
        </w:rPr>
        <w:t>Finanční prostředky vynaložené na podporu výzkumu a vývoje prostřednictvím pro</w:t>
      </w:r>
      <w:r w:rsidR="0029283B">
        <w:rPr>
          <w:rFonts w:ascii="Calibri" w:hAnsi="Calibri" w:cs="Calibri"/>
        </w:rPr>
        <w:t>gramů TA ČR v letech 2011–</w:t>
      </w:r>
      <w:r w:rsidR="00573D5E">
        <w:rPr>
          <w:rFonts w:ascii="Calibri" w:hAnsi="Calibri" w:cs="Calibri"/>
        </w:rPr>
        <w:t>2015</w:t>
      </w:r>
      <w:r w:rsidRPr="001C3ECD">
        <w:rPr>
          <w:rFonts w:ascii="Calibri" w:hAnsi="Calibri" w:cs="Calibri"/>
        </w:rPr>
        <w:t xml:space="preserve"> uvádí následující tabulka.</w:t>
      </w:r>
    </w:p>
    <w:p w14:paraId="75514EE6" w14:textId="77777777" w:rsidR="001C3ECD" w:rsidRPr="001C3ECD" w:rsidRDefault="001C3ECD" w:rsidP="001C3ECD">
      <w:pPr>
        <w:jc w:val="both"/>
        <w:rPr>
          <w:rFonts w:ascii="Calibri" w:hAnsi="Calibri" w:cs="Calibri"/>
        </w:rPr>
      </w:pPr>
    </w:p>
    <w:p w14:paraId="4B4CCE95" w14:textId="1A75AA0B" w:rsidR="00F30327" w:rsidRPr="005738F8" w:rsidRDefault="00F30327" w:rsidP="001C3ECD">
      <w:pPr>
        <w:rPr>
          <w:rFonts w:ascii="Calibri" w:hAnsi="Calibri" w:cs="Calibri"/>
          <w:b/>
        </w:rPr>
      </w:pPr>
      <w:r w:rsidRPr="005738F8">
        <w:rPr>
          <w:rFonts w:ascii="Calibri" w:hAnsi="Calibri" w:cs="Calibri"/>
          <w:b/>
        </w:rPr>
        <w:t>Tabulka č. 1</w:t>
      </w:r>
      <w:r w:rsidR="00747C9C">
        <w:rPr>
          <w:rFonts w:ascii="Calibri" w:hAnsi="Calibri" w:cs="Calibri"/>
          <w:b/>
        </w:rPr>
        <w:t xml:space="preserve"> –</w:t>
      </w:r>
      <w:r w:rsidRPr="005738F8">
        <w:rPr>
          <w:rFonts w:ascii="Calibri" w:hAnsi="Calibri" w:cs="Calibri"/>
          <w:b/>
        </w:rPr>
        <w:t xml:space="preserve"> Objem finančních prostředků poskytnutých TA ČR na realizaci programů</w:t>
      </w:r>
    </w:p>
    <w:p w14:paraId="5C9DFBE0" w14:textId="77777777" w:rsidR="00F30327" w:rsidRPr="005D70FF" w:rsidRDefault="00747C9C" w:rsidP="00747C9C">
      <w:pPr>
        <w:tabs>
          <w:tab w:val="right" w:pos="9072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5738F8" w:rsidRPr="005D70FF">
        <w:rPr>
          <w:rFonts w:ascii="Calibri" w:hAnsi="Calibri" w:cs="Calibri"/>
          <w:b/>
        </w:rPr>
        <w:t>(</w:t>
      </w:r>
      <w:r w:rsidR="00F30327" w:rsidRPr="005D70FF">
        <w:rPr>
          <w:rFonts w:ascii="Calibri" w:hAnsi="Calibri" w:cs="Calibri"/>
          <w:b/>
        </w:rPr>
        <w:t>v tis. Kč</w:t>
      </w:r>
      <w:r w:rsidR="005738F8" w:rsidRPr="005D70FF">
        <w:rPr>
          <w:rFonts w:ascii="Calibri" w:hAnsi="Calibri" w:cs="Calibri"/>
          <w:b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1105"/>
        <w:gridCol w:w="1105"/>
        <w:gridCol w:w="1147"/>
        <w:gridCol w:w="1257"/>
        <w:gridCol w:w="1257"/>
        <w:gridCol w:w="1257"/>
      </w:tblGrid>
      <w:tr w:rsidR="00127CC1" w:rsidRPr="00AF13BA" w14:paraId="22CB913B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33D4A0BC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7F271666" w14:textId="77777777" w:rsidR="00127CC1" w:rsidRPr="00A169C8" w:rsidRDefault="00127C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1993398C" w14:textId="77777777" w:rsidR="00127CC1" w:rsidRPr="00A169C8" w:rsidRDefault="00127C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40137851" w14:textId="77777777" w:rsidR="00127CC1" w:rsidRPr="00A169C8" w:rsidRDefault="00127C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45FB87B4" w14:textId="77777777" w:rsidR="00127CC1" w:rsidRPr="00A169C8" w:rsidRDefault="00127C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5D91DAC8" w14:textId="77777777" w:rsidR="00127CC1" w:rsidRPr="00A169C8" w:rsidRDefault="00127C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3F83150E" w14:textId="77777777" w:rsidR="00127CC1" w:rsidRPr="00A169C8" w:rsidRDefault="00127C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127CC1" w:rsidRPr="00AF13BA" w14:paraId="173E8E08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768F416C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C6E4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776 551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0002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1 374 420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04D9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1 841 394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D48C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1 794 854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BEEC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1 631 563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492F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7 418 782</w:t>
            </w:r>
          </w:p>
        </w:tc>
      </w:tr>
      <w:tr w:rsidR="00127CC1" w:rsidRPr="00AF13BA" w14:paraId="0E998837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55DB896B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B6C5" w14:textId="2F093878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88CB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6 735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CCB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51 353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AB0F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60 005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4D32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116 938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3CA0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235 031</w:t>
            </w:r>
          </w:p>
        </w:tc>
      </w:tr>
      <w:tr w:rsidR="00127CC1" w:rsidRPr="00AF13BA" w14:paraId="1D159914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330B6166" w14:textId="121539D7" w:rsidR="00127CC1" w:rsidRPr="00A169C8" w:rsidRDefault="000B6D43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Centra kompetence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6177" w14:textId="0FC83095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0325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402 090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9861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570 754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977A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825 757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2624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909 094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38F9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2 707 695</w:t>
            </w:r>
          </w:p>
        </w:tc>
      </w:tr>
      <w:tr w:rsidR="00127CC1" w:rsidRPr="00AF13BA" w14:paraId="29CE6C6A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609E47F7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OMEGA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B54F" w14:textId="0DFC8791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64BA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45 079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02EB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38 050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D8EB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79 841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0C5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70 500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6A14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233 470</w:t>
            </w:r>
          </w:p>
        </w:tc>
      </w:tr>
      <w:tr w:rsidR="00127CC1" w:rsidRPr="00AF13BA" w14:paraId="42E733B4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6F21EE9B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GAMA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90D2" w14:textId="2BE98B70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79F8" w14:textId="3996FF49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E2FB" w14:textId="70CC64D0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8064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5 162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4190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42 258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04DC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47 420</w:t>
            </w:r>
          </w:p>
        </w:tc>
      </w:tr>
      <w:tr w:rsidR="00127CC1" w:rsidRPr="00AF13BA" w14:paraId="00F740AE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3AB75AAE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DELTA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9A55" w14:textId="6C4482D6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6F8A" w14:textId="1B5C2E93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F7F7" w14:textId="3A73875B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214" w14:textId="7D1C929C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6323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13 223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28CE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13 223</w:t>
            </w:r>
          </w:p>
        </w:tc>
      </w:tr>
      <w:tr w:rsidR="00127CC1" w:rsidRPr="00AF13BA" w14:paraId="03DABC17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2878FE85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EPSILON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0DB5" w14:textId="4C3161BC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B27A" w14:textId="1D7F34E7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30D" w14:textId="341D3FF6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EF98" w14:textId="612B8320" w:rsidR="00127CC1" w:rsidRPr="00AF13BA" w:rsidRDefault="000B6D43" w:rsidP="000B6D43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8B10" w14:textId="77777777" w:rsidR="00127CC1" w:rsidRPr="00AF13BA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13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231 385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AD6B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231 385</w:t>
            </w:r>
          </w:p>
        </w:tc>
      </w:tr>
      <w:tr w:rsidR="00127CC1" w:rsidRPr="00AF13BA" w14:paraId="3FDF64B0" w14:textId="77777777" w:rsidTr="00A169C8">
        <w:trPr>
          <w:trHeight w:val="8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FFF"/>
          </w:tcPr>
          <w:p w14:paraId="796E6624" w14:textId="77777777" w:rsidR="00127CC1" w:rsidRPr="00A169C8" w:rsidRDefault="00127CC1" w:rsidP="005D70F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69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Celkem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5E3A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776 551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A752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1 828 324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BCDF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2 501 551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86D0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2 765 619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9E32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3 014 961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CCB1" w14:textId="77777777" w:rsidR="00127CC1" w:rsidRPr="005D70FF" w:rsidRDefault="00127CC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70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10 887 006</w:t>
            </w:r>
          </w:p>
        </w:tc>
      </w:tr>
    </w:tbl>
    <w:p w14:paraId="78268B3A" w14:textId="5F956951" w:rsidR="00F30327" w:rsidRDefault="00F30327" w:rsidP="001C3ECD">
      <w:pPr>
        <w:rPr>
          <w:rFonts w:ascii="Calibri" w:hAnsi="Calibri" w:cs="Calibri"/>
          <w:sz w:val="20"/>
          <w:szCs w:val="20"/>
        </w:rPr>
      </w:pPr>
      <w:r w:rsidRPr="00DB41C1">
        <w:rPr>
          <w:rFonts w:ascii="Calibri" w:hAnsi="Calibri" w:cs="Calibri"/>
          <w:b/>
          <w:sz w:val="20"/>
          <w:szCs w:val="20"/>
        </w:rPr>
        <w:t>Zdroj:</w:t>
      </w:r>
      <w:r w:rsidRPr="00B44681">
        <w:rPr>
          <w:rFonts w:ascii="Calibri" w:hAnsi="Calibri" w:cs="Calibri"/>
          <w:sz w:val="20"/>
          <w:szCs w:val="20"/>
        </w:rPr>
        <w:t xml:space="preserve"> </w:t>
      </w:r>
      <w:r w:rsidR="000B6D43">
        <w:rPr>
          <w:rFonts w:ascii="Calibri" w:hAnsi="Calibri" w:cs="Calibri"/>
          <w:sz w:val="20"/>
          <w:szCs w:val="20"/>
        </w:rPr>
        <w:t>z</w:t>
      </w:r>
      <w:r w:rsidRPr="00B44681">
        <w:rPr>
          <w:rFonts w:ascii="Calibri" w:hAnsi="Calibri" w:cs="Calibri"/>
          <w:sz w:val="20"/>
          <w:szCs w:val="20"/>
        </w:rPr>
        <w:t>ávěrečn</w:t>
      </w:r>
      <w:r w:rsidR="000B6D43">
        <w:rPr>
          <w:rFonts w:ascii="Calibri" w:hAnsi="Calibri" w:cs="Calibri"/>
          <w:sz w:val="20"/>
          <w:szCs w:val="20"/>
        </w:rPr>
        <w:t>é</w:t>
      </w:r>
      <w:r w:rsidRPr="00B44681">
        <w:rPr>
          <w:rFonts w:ascii="Calibri" w:hAnsi="Calibri" w:cs="Calibri"/>
          <w:sz w:val="20"/>
          <w:szCs w:val="20"/>
        </w:rPr>
        <w:t xml:space="preserve"> úč</w:t>
      </w:r>
      <w:r w:rsidR="000B6D43">
        <w:rPr>
          <w:rFonts w:ascii="Calibri" w:hAnsi="Calibri" w:cs="Calibri"/>
          <w:sz w:val="20"/>
          <w:szCs w:val="20"/>
        </w:rPr>
        <w:t>ty</w:t>
      </w:r>
      <w:r w:rsidRPr="00B44681">
        <w:rPr>
          <w:rFonts w:ascii="Calibri" w:hAnsi="Calibri" w:cs="Calibri"/>
          <w:sz w:val="20"/>
          <w:szCs w:val="20"/>
        </w:rPr>
        <w:t xml:space="preserve"> TA ČR, </w:t>
      </w:r>
      <w:r w:rsidR="000B6D43">
        <w:rPr>
          <w:rFonts w:ascii="Calibri" w:hAnsi="Calibri" w:cs="Calibri"/>
          <w:sz w:val="20"/>
          <w:szCs w:val="20"/>
        </w:rPr>
        <w:t>v</w:t>
      </w:r>
      <w:r w:rsidRPr="00B44681">
        <w:rPr>
          <w:rFonts w:ascii="Calibri" w:hAnsi="Calibri" w:cs="Calibri"/>
          <w:sz w:val="20"/>
          <w:szCs w:val="20"/>
        </w:rPr>
        <w:t>ýroční z</w:t>
      </w:r>
      <w:r w:rsidR="00573D5E">
        <w:rPr>
          <w:rFonts w:ascii="Calibri" w:hAnsi="Calibri" w:cs="Calibri"/>
          <w:sz w:val="20"/>
          <w:szCs w:val="20"/>
        </w:rPr>
        <w:t xml:space="preserve">právy TA ČR (stav k 31. </w:t>
      </w:r>
      <w:r w:rsidR="005738F8">
        <w:rPr>
          <w:rFonts w:ascii="Calibri" w:hAnsi="Calibri" w:cs="Calibri"/>
          <w:sz w:val="20"/>
          <w:szCs w:val="20"/>
        </w:rPr>
        <w:t xml:space="preserve">prosinci </w:t>
      </w:r>
      <w:r w:rsidR="00573D5E">
        <w:rPr>
          <w:rFonts w:ascii="Calibri" w:hAnsi="Calibri" w:cs="Calibri"/>
          <w:sz w:val="20"/>
          <w:szCs w:val="20"/>
        </w:rPr>
        <w:t>2015</w:t>
      </w:r>
      <w:r w:rsidRPr="00B44681">
        <w:rPr>
          <w:rFonts w:ascii="Calibri" w:hAnsi="Calibri" w:cs="Calibri"/>
          <w:sz w:val="20"/>
          <w:szCs w:val="20"/>
        </w:rPr>
        <w:t>)</w:t>
      </w:r>
      <w:r w:rsidR="00DB41C1">
        <w:rPr>
          <w:rFonts w:ascii="Calibri" w:hAnsi="Calibri" w:cs="Calibri"/>
          <w:sz w:val="20"/>
          <w:szCs w:val="20"/>
        </w:rPr>
        <w:t>.</w:t>
      </w:r>
    </w:p>
    <w:p w14:paraId="79B8215C" w14:textId="77777777" w:rsidR="00B61989" w:rsidRPr="005D70FF" w:rsidRDefault="00B61989" w:rsidP="001C3ECD">
      <w:pPr>
        <w:rPr>
          <w:rFonts w:ascii="Calibri" w:hAnsi="Calibri" w:cs="Calibri"/>
        </w:rPr>
      </w:pPr>
    </w:p>
    <w:p w14:paraId="27E4B8D7" w14:textId="20B13855" w:rsidR="00930AA1" w:rsidRDefault="00B61989" w:rsidP="00AA74AB">
      <w:pPr>
        <w:jc w:val="both"/>
        <w:rPr>
          <w:rFonts w:ascii="Calibri" w:hAnsi="Calibri" w:cs="Calibri"/>
        </w:rPr>
      </w:pPr>
      <w:r w:rsidRPr="0065096B">
        <w:rPr>
          <w:rFonts w:ascii="Calibri" w:hAnsi="Calibri" w:cs="Calibri"/>
        </w:rPr>
        <w:t xml:space="preserve">V rámci jednotlivých programů vyhlašuje TA ČR veřejné soutěže. Podmínky pro uchazeče o poskytnutí podpory na projekt jsou zakotveny v zadávací dokumentaci programu, která se vždy vztahuje ke konkrétní veřejné soutěži. Projekty jsou hodnoceny oponenty </w:t>
      </w:r>
      <w:r w:rsidRPr="0065096B">
        <w:rPr>
          <w:rFonts w:ascii="Calibri" w:hAnsi="Calibri" w:cs="Calibri"/>
        </w:rPr>
        <w:lastRenderedPageBreak/>
        <w:t xml:space="preserve">a zpravodajem, poté jsou hodnoceny poradními orgány TA ČR (Rada programu a Rada podprogramu). O poskytnutí účelové podpory rozhoduje Předsednictvo TA ČR. </w:t>
      </w:r>
    </w:p>
    <w:p w14:paraId="0C93D1AC" w14:textId="77777777" w:rsidR="008934D9" w:rsidRDefault="008934D9" w:rsidP="001B1C52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1DDF647D" w14:textId="10D34A17" w:rsidR="001B1C52" w:rsidRPr="00833701" w:rsidRDefault="001B1C52" w:rsidP="001B1C52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AA74AB">
        <w:rPr>
          <w:rFonts w:asciiTheme="minorHAnsi" w:hAnsiTheme="minorHAnsi" w:cstheme="minorHAnsi"/>
        </w:rPr>
        <w:t>Kont</w:t>
      </w:r>
      <w:r>
        <w:rPr>
          <w:rFonts w:asciiTheme="minorHAnsi" w:hAnsiTheme="minorHAnsi" w:cstheme="minorHAnsi"/>
        </w:rPr>
        <w:t>role bylo podrobeno 35 projektů s uznanými náklady</w:t>
      </w:r>
      <w:r w:rsidR="008934D9">
        <w:rPr>
          <w:rStyle w:val="Znakapoznpodarou"/>
          <w:rFonts w:asciiTheme="minorHAnsi" w:hAnsiTheme="minorHAnsi" w:cstheme="minorHAnsi"/>
        </w:rPr>
        <w:footnoteReference w:id="4"/>
      </w:r>
      <w:r w:rsidR="00CB228A">
        <w:rPr>
          <w:rFonts w:asciiTheme="minorHAnsi" w:hAnsiTheme="minorHAnsi" w:cstheme="minorHAnsi"/>
        </w:rPr>
        <w:t xml:space="preserve"> příjemců </w:t>
      </w:r>
      <w:r w:rsidR="004B4275">
        <w:rPr>
          <w:rFonts w:asciiTheme="minorHAnsi" w:hAnsiTheme="minorHAnsi" w:cstheme="minorHAnsi"/>
        </w:rPr>
        <w:t>v celkové výši</w:t>
      </w:r>
      <w:r w:rsidR="00330E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301,3</w:t>
      </w:r>
      <w:r w:rsidR="005738F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mil.</w:t>
      </w:r>
      <w:r w:rsidR="005738F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Kč</w:t>
      </w:r>
      <w:r w:rsidR="004B4275">
        <w:rPr>
          <w:rFonts w:asciiTheme="minorHAnsi" w:hAnsiTheme="minorHAnsi" w:cstheme="minorHAnsi"/>
        </w:rPr>
        <w:t>, z toho</w:t>
      </w:r>
      <w:r>
        <w:rPr>
          <w:rFonts w:asciiTheme="minorHAnsi" w:hAnsiTheme="minorHAnsi" w:cstheme="minorHAnsi"/>
        </w:rPr>
        <w:t xml:space="preserve"> podpor</w:t>
      </w:r>
      <w:r w:rsidR="004B427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ze státního rozpočtu </w:t>
      </w:r>
      <w:r w:rsidR="004B4275">
        <w:rPr>
          <w:rFonts w:asciiTheme="minorHAnsi" w:hAnsiTheme="minorHAnsi" w:cstheme="minorHAnsi"/>
        </w:rPr>
        <w:t>činila</w:t>
      </w:r>
      <w:r w:rsidR="00CA0846">
        <w:rPr>
          <w:rFonts w:asciiTheme="minorHAnsi" w:hAnsiTheme="minorHAnsi" w:cstheme="minorHAnsi"/>
        </w:rPr>
        <w:t xml:space="preserve"> </w:t>
      </w:r>
      <w:r w:rsidR="00330E41">
        <w:rPr>
          <w:rFonts w:asciiTheme="minorHAnsi" w:hAnsiTheme="minorHAnsi" w:cstheme="minorHAnsi"/>
        </w:rPr>
        <w:t xml:space="preserve">celkem </w:t>
      </w:r>
      <w:r w:rsidRPr="00B5017B">
        <w:rPr>
          <w:rFonts w:ascii="Calibri" w:hAnsi="Calibri" w:cs="Calibri"/>
        </w:rPr>
        <w:t>208,3 mil. Kč</w:t>
      </w:r>
      <w:r w:rsidR="004B4275">
        <w:rPr>
          <w:rFonts w:ascii="Calibri" w:hAnsi="Calibri" w:cs="Calibri"/>
        </w:rPr>
        <w:t>.</w:t>
      </w:r>
      <w:r w:rsidR="00CB228A">
        <w:rPr>
          <w:rStyle w:val="Znakapoznpodarou"/>
          <w:rFonts w:ascii="Calibri" w:hAnsi="Calibri" w:cs="Calibri"/>
        </w:rPr>
        <w:footnoteReference w:id="5"/>
      </w:r>
      <w:r w:rsidRPr="005D70FF">
        <w:rPr>
          <w:rFonts w:ascii="Calibri" w:hAnsi="Calibri" w:cs="Calibri"/>
        </w:rPr>
        <w:t xml:space="preserve"> </w:t>
      </w:r>
      <w:r w:rsidRPr="00AA74AB">
        <w:rPr>
          <w:rFonts w:asciiTheme="minorHAnsi" w:hAnsiTheme="minorHAnsi" w:cstheme="minorHAnsi"/>
        </w:rPr>
        <w:t>Z programu ALFA</w:t>
      </w:r>
      <w:r w:rsidRPr="00AA74AB">
        <w:rPr>
          <w:rStyle w:val="Znakapoznpodarou"/>
          <w:rFonts w:asciiTheme="minorHAnsi" w:hAnsiTheme="minorHAnsi" w:cstheme="minorHAnsi"/>
        </w:rPr>
        <w:footnoteReference w:id="6"/>
      </w:r>
      <w:r w:rsidRPr="00AA74AB">
        <w:rPr>
          <w:rFonts w:asciiTheme="minorHAnsi" w:hAnsiTheme="minorHAnsi" w:cstheme="minorHAnsi"/>
        </w:rPr>
        <w:t xml:space="preserve"> bylo 34 projektů (z</w:t>
      </w:r>
      <w:r w:rsidR="00DB41C1">
        <w:rPr>
          <w:rFonts w:asciiTheme="minorHAnsi" w:hAnsiTheme="minorHAnsi" w:cstheme="minorHAnsi"/>
        </w:rPr>
        <w:t> </w:t>
      </w:r>
      <w:r w:rsidRPr="00AA74AB">
        <w:rPr>
          <w:rFonts w:asciiTheme="minorHAnsi" w:hAnsiTheme="minorHAnsi" w:cstheme="minorHAnsi"/>
        </w:rPr>
        <w:t xml:space="preserve">toho 13 projektů k 31. </w:t>
      </w:r>
      <w:r w:rsidR="005738F8">
        <w:rPr>
          <w:rFonts w:asciiTheme="minorHAnsi" w:hAnsiTheme="minorHAnsi" w:cstheme="minorHAnsi"/>
        </w:rPr>
        <w:t>prosinci</w:t>
      </w:r>
      <w:r w:rsidRPr="00AA74AB">
        <w:rPr>
          <w:rFonts w:asciiTheme="minorHAnsi" w:hAnsiTheme="minorHAnsi" w:cstheme="minorHAnsi"/>
        </w:rPr>
        <w:t xml:space="preserve"> 2014 neukončených) a jeden neukončený projekt z programu </w:t>
      </w:r>
      <w:r w:rsidRPr="00CA0846">
        <w:rPr>
          <w:rFonts w:asciiTheme="minorHAnsi" w:hAnsiTheme="minorHAnsi" w:cstheme="minorHAnsi"/>
        </w:rPr>
        <w:t>Centra kompetence</w:t>
      </w:r>
      <w:r>
        <w:rPr>
          <w:rFonts w:asciiTheme="minorHAnsi" w:hAnsiTheme="minorHAnsi" w:cstheme="minorHAnsi"/>
        </w:rPr>
        <w:t xml:space="preserve">. </w:t>
      </w:r>
      <w:r w:rsidRPr="00AA74AB">
        <w:rPr>
          <w:rFonts w:asciiTheme="minorHAnsi" w:hAnsiTheme="minorHAnsi" w:cstheme="minorHAnsi"/>
          <w:lang w:eastAsia="en-US"/>
        </w:rPr>
        <w:t>Přednostně byli vybíráni příjemci s významným objemem podpory a</w:t>
      </w:r>
      <w:r w:rsidR="00486346">
        <w:rPr>
          <w:rFonts w:asciiTheme="minorHAnsi" w:hAnsiTheme="minorHAnsi" w:cstheme="minorHAnsi"/>
          <w:lang w:eastAsia="en-US"/>
        </w:rPr>
        <w:t> </w:t>
      </w:r>
      <w:r w:rsidRPr="00AA74AB">
        <w:rPr>
          <w:rFonts w:asciiTheme="minorHAnsi" w:hAnsiTheme="minorHAnsi" w:cstheme="minorHAnsi"/>
          <w:lang w:eastAsia="en-US"/>
        </w:rPr>
        <w:t>ukončenými projekty</w:t>
      </w:r>
      <w:r w:rsidR="004B4275">
        <w:rPr>
          <w:rFonts w:asciiTheme="minorHAnsi" w:hAnsiTheme="minorHAnsi" w:cstheme="minorHAnsi"/>
          <w:lang w:eastAsia="en-US"/>
        </w:rPr>
        <w:t>, a to</w:t>
      </w:r>
      <w:r w:rsidRPr="00AA74AB">
        <w:rPr>
          <w:rFonts w:asciiTheme="minorHAnsi" w:hAnsiTheme="minorHAnsi" w:cstheme="minorHAnsi"/>
          <w:lang w:eastAsia="en-US"/>
        </w:rPr>
        <w:t xml:space="preserve"> kvůli hodnocení výsledků a</w:t>
      </w:r>
      <w:r w:rsidR="005D70FF">
        <w:rPr>
          <w:rFonts w:asciiTheme="minorHAnsi" w:hAnsiTheme="minorHAnsi" w:cstheme="minorHAnsi"/>
          <w:lang w:eastAsia="en-US"/>
        </w:rPr>
        <w:t> </w:t>
      </w:r>
      <w:r w:rsidRPr="00AA74AB">
        <w:rPr>
          <w:rFonts w:asciiTheme="minorHAnsi" w:hAnsiTheme="minorHAnsi" w:cstheme="minorHAnsi"/>
          <w:lang w:eastAsia="en-US"/>
        </w:rPr>
        <w:t xml:space="preserve">jejich využití. </w:t>
      </w:r>
    </w:p>
    <w:p w14:paraId="1E1EE14F" w14:textId="77777777" w:rsidR="001B1C52" w:rsidRDefault="001B1C52" w:rsidP="00AA74AB">
      <w:pPr>
        <w:jc w:val="both"/>
        <w:rPr>
          <w:rFonts w:ascii="Calibri" w:hAnsi="Calibri" w:cs="Calibri"/>
        </w:rPr>
      </w:pPr>
    </w:p>
    <w:p w14:paraId="21B65BA2" w14:textId="08E76800" w:rsidR="00930AA1" w:rsidRDefault="00F56F63" w:rsidP="00AA74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Podstatou podpory projektů v </w:t>
      </w:r>
      <w:r w:rsidR="00267136">
        <w:rPr>
          <w:rFonts w:ascii="Calibri" w:hAnsi="Calibri" w:cs="Calibri"/>
        </w:rPr>
        <w:t xml:space="preserve">oblasti </w:t>
      </w:r>
      <w:r>
        <w:rPr>
          <w:rFonts w:ascii="Calibri" w:hAnsi="Calibri" w:cs="Calibri"/>
        </w:rPr>
        <w:t>VaV</w:t>
      </w:r>
      <w:r w:rsidR="00BA36F5">
        <w:rPr>
          <w:rFonts w:ascii="Calibri" w:hAnsi="Calibri" w:cs="Calibri"/>
        </w:rPr>
        <w:t>aI</w:t>
      </w:r>
      <w:r>
        <w:rPr>
          <w:rFonts w:ascii="Calibri" w:hAnsi="Calibri" w:cs="Calibri"/>
        </w:rPr>
        <w:t xml:space="preserve"> je komerční využití vnesených práv</w:t>
      </w:r>
      <w:r w:rsidR="00E06D12">
        <w:rPr>
          <w:rStyle w:val="Znakapoznpodarou"/>
          <w:rFonts w:ascii="Calibri" w:hAnsi="Calibri" w:cs="Calibri"/>
        </w:rPr>
        <w:footnoteReference w:id="7"/>
      </w:r>
      <w:r>
        <w:rPr>
          <w:rFonts w:ascii="Calibri" w:hAnsi="Calibri" w:cs="Calibri"/>
        </w:rPr>
        <w:t xml:space="preserve"> nebo výsledků projektu pro vývoj výrobku nebo technologie a jejich uplatnění na trhu. </w:t>
      </w:r>
      <w:r w:rsidR="00B61989" w:rsidRPr="0065096B">
        <w:rPr>
          <w:rFonts w:ascii="Calibri" w:hAnsi="Calibri" w:cs="Calibri"/>
        </w:rPr>
        <w:t xml:space="preserve">Po vybrání projektu k podpoře </w:t>
      </w:r>
      <w:r w:rsidR="00025CF1" w:rsidRPr="0065096B">
        <w:rPr>
          <w:rFonts w:ascii="Calibri" w:hAnsi="Calibri" w:cs="Calibri"/>
        </w:rPr>
        <w:t xml:space="preserve">uzavírá </w:t>
      </w:r>
      <w:r w:rsidR="00B61989" w:rsidRPr="0065096B">
        <w:rPr>
          <w:rFonts w:ascii="Calibri" w:hAnsi="Calibri" w:cs="Calibri"/>
        </w:rPr>
        <w:t>TA ČR s příjemci</w:t>
      </w:r>
      <w:r w:rsidR="00B61989" w:rsidRPr="0065096B">
        <w:rPr>
          <w:rStyle w:val="Znakapoznpodarou"/>
          <w:rFonts w:ascii="Calibri" w:hAnsi="Calibri" w:cs="Calibri"/>
        </w:rPr>
        <w:footnoteReference w:id="8"/>
      </w:r>
      <w:r w:rsidR="00B61989" w:rsidRPr="0065096B">
        <w:rPr>
          <w:rFonts w:ascii="Calibri" w:hAnsi="Calibri" w:cs="Calibri"/>
        </w:rPr>
        <w:t xml:space="preserve"> smlouvy o poskytnutí podpory. </w:t>
      </w:r>
      <w:r w:rsidR="00930AA1" w:rsidRPr="0065096B">
        <w:rPr>
          <w:rFonts w:ascii="Calibri" w:hAnsi="Calibri" w:cs="Calibri"/>
        </w:rPr>
        <w:t>Pokud se na projektu podílí i další účastníci</w:t>
      </w:r>
      <w:r w:rsidR="00930AA1" w:rsidRPr="0065096B">
        <w:rPr>
          <w:rStyle w:val="Znakapoznpodarou"/>
          <w:rFonts w:ascii="Calibri" w:hAnsi="Calibri" w:cs="Calibri"/>
        </w:rPr>
        <w:footnoteReference w:id="9"/>
      </w:r>
      <w:r w:rsidR="00930AA1">
        <w:rPr>
          <w:rFonts w:ascii="Calibri" w:hAnsi="Calibri" w:cs="Calibri"/>
        </w:rPr>
        <w:t>,</w:t>
      </w:r>
      <w:r w:rsidR="00930AA1" w:rsidRPr="0065096B">
        <w:rPr>
          <w:rFonts w:ascii="Calibri" w:hAnsi="Calibri" w:cs="Calibri"/>
        </w:rPr>
        <w:t xml:space="preserve"> příjemce</w:t>
      </w:r>
      <w:r w:rsidR="00930AA1">
        <w:rPr>
          <w:rFonts w:ascii="Calibri" w:hAnsi="Calibri" w:cs="Calibri"/>
        </w:rPr>
        <w:t xml:space="preserve"> s nimi uzavírá</w:t>
      </w:r>
      <w:r w:rsidR="00930AA1" w:rsidRPr="0065096B">
        <w:rPr>
          <w:rFonts w:ascii="Calibri" w:hAnsi="Calibri" w:cs="Calibri"/>
        </w:rPr>
        <w:t xml:space="preserve"> před podpisem smlouvy o poskytnutí účelov</w:t>
      </w:r>
      <w:r w:rsidR="00930AA1">
        <w:rPr>
          <w:rFonts w:ascii="Calibri" w:hAnsi="Calibri" w:cs="Calibri"/>
        </w:rPr>
        <w:t xml:space="preserve">é podpory smlouvu o spolupráci. </w:t>
      </w:r>
      <w:r w:rsidR="00930AA1" w:rsidRPr="0065096B">
        <w:rPr>
          <w:rFonts w:ascii="Calibri" w:hAnsi="Calibri" w:cs="Calibri"/>
        </w:rPr>
        <w:t>TA ČR z</w:t>
      </w:r>
      <w:r w:rsidR="00930AA1">
        <w:rPr>
          <w:rFonts w:ascii="Calibri" w:hAnsi="Calibri" w:cs="Calibri"/>
        </w:rPr>
        <w:t>asílá účelovou podporu příjemci, který převede</w:t>
      </w:r>
      <w:r w:rsidR="00B61989" w:rsidRPr="0065096B">
        <w:rPr>
          <w:rFonts w:ascii="Calibri" w:hAnsi="Calibri" w:cs="Calibri"/>
        </w:rPr>
        <w:t xml:space="preserve"> část podpory dalšímu účastníkovi. </w:t>
      </w:r>
      <w:r w:rsidR="00CB228A" w:rsidRPr="00AA74AB">
        <w:rPr>
          <w:rFonts w:asciiTheme="minorHAnsi" w:hAnsiTheme="minorHAnsi" w:cstheme="minorHAnsi"/>
        </w:rPr>
        <w:t xml:space="preserve">Kontrola účelové podpory </w:t>
      </w:r>
      <w:r w:rsidR="00330E41">
        <w:rPr>
          <w:rFonts w:asciiTheme="minorHAnsi" w:hAnsiTheme="minorHAnsi" w:cstheme="minorHAnsi"/>
        </w:rPr>
        <w:t xml:space="preserve">celkem </w:t>
      </w:r>
      <w:r w:rsidR="00CB228A" w:rsidRPr="00AA74AB">
        <w:rPr>
          <w:rFonts w:asciiTheme="minorHAnsi" w:hAnsiTheme="minorHAnsi" w:cstheme="minorHAnsi"/>
        </w:rPr>
        <w:t>ve výši 217</w:t>
      </w:r>
      <w:r w:rsidR="005D70FF">
        <w:rPr>
          <w:rFonts w:asciiTheme="minorHAnsi" w:hAnsiTheme="minorHAnsi" w:cstheme="minorHAnsi"/>
        </w:rPr>
        <w:t> </w:t>
      </w:r>
      <w:r w:rsidR="00CB228A" w:rsidRPr="00AA74AB">
        <w:rPr>
          <w:rFonts w:asciiTheme="minorHAnsi" w:hAnsiTheme="minorHAnsi" w:cstheme="minorHAnsi"/>
        </w:rPr>
        <w:t>mil.</w:t>
      </w:r>
      <w:r w:rsidR="005D70FF">
        <w:rPr>
          <w:rFonts w:asciiTheme="minorHAnsi" w:hAnsiTheme="minorHAnsi" w:cstheme="minorHAnsi"/>
        </w:rPr>
        <w:t> </w:t>
      </w:r>
      <w:r w:rsidR="00CB228A" w:rsidRPr="00AA74AB">
        <w:rPr>
          <w:rFonts w:asciiTheme="minorHAnsi" w:hAnsiTheme="minorHAnsi" w:cstheme="minorHAnsi"/>
        </w:rPr>
        <w:t>Kč určená dalším účastníkům nebyla provedena.</w:t>
      </w:r>
    </w:p>
    <w:p w14:paraId="6BE617B6" w14:textId="77777777" w:rsidR="00F56F63" w:rsidRDefault="00F56F63" w:rsidP="00AA74AB">
      <w:pPr>
        <w:jc w:val="both"/>
        <w:rPr>
          <w:rFonts w:asciiTheme="minorHAnsi" w:hAnsiTheme="minorHAnsi" w:cstheme="minorHAnsi"/>
          <w:color w:val="000000"/>
        </w:rPr>
      </w:pPr>
    </w:p>
    <w:p w14:paraId="7528945B" w14:textId="77777777" w:rsidR="00F56F63" w:rsidRDefault="00AA74AB" w:rsidP="00AA74AB">
      <w:pPr>
        <w:jc w:val="both"/>
        <w:rPr>
          <w:rFonts w:asciiTheme="minorHAnsi" w:hAnsiTheme="minorHAnsi" w:cstheme="minorHAnsi"/>
          <w:lang w:eastAsia="en-US"/>
        </w:rPr>
      </w:pPr>
      <w:r w:rsidRPr="0065096B">
        <w:rPr>
          <w:rFonts w:asciiTheme="minorHAnsi" w:hAnsiTheme="minorHAnsi" w:cstheme="minorHAnsi"/>
          <w:color w:val="000000"/>
        </w:rPr>
        <w:t xml:space="preserve">Maximální míra podpory na jeden projekt </w:t>
      </w:r>
      <w:r w:rsidR="0085083E">
        <w:rPr>
          <w:rFonts w:asciiTheme="minorHAnsi" w:hAnsiTheme="minorHAnsi" w:cstheme="minorHAnsi"/>
          <w:color w:val="000000"/>
        </w:rPr>
        <w:t>je stanovena</w:t>
      </w:r>
      <w:r w:rsidRPr="0065096B">
        <w:rPr>
          <w:rFonts w:asciiTheme="minorHAnsi" w:hAnsiTheme="minorHAnsi" w:cstheme="minorHAnsi"/>
          <w:color w:val="000000"/>
        </w:rPr>
        <w:t xml:space="preserve"> dle jednotlivých </w:t>
      </w:r>
      <w:r w:rsidR="0085083E">
        <w:rPr>
          <w:rFonts w:asciiTheme="minorHAnsi" w:hAnsiTheme="minorHAnsi" w:cstheme="minorHAnsi"/>
          <w:color w:val="000000"/>
        </w:rPr>
        <w:t xml:space="preserve">veřejných </w:t>
      </w:r>
      <w:r w:rsidRPr="0065096B">
        <w:rPr>
          <w:rFonts w:asciiTheme="minorHAnsi" w:hAnsiTheme="minorHAnsi" w:cstheme="minorHAnsi"/>
          <w:color w:val="000000"/>
        </w:rPr>
        <w:t>soutěží</w:t>
      </w:r>
      <w:r w:rsidR="00B5017B">
        <w:rPr>
          <w:rFonts w:asciiTheme="minorHAnsi" w:hAnsiTheme="minorHAnsi" w:cstheme="minorHAnsi"/>
          <w:color w:val="000000"/>
        </w:rPr>
        <w:t>, např. u</w:t>
      </w:r>
      <w:r w:rsidRPr="0065096B">
        <w:rPr>
          <w:rFonts w:asciiTheme="minorHAnsi" w:hAnsiTheme="minorHAnsi" w:cstheme="minorHAnsi"/>
          <w:color w:val="000000"/>
        </w:rPr>
        <w:t xml:space="preserve"> programu ALFA </w:t>
      </w:r>
      <w:r w:rsidR="0085083E">
        <w:rPr>
          <w:rFonts w:asciiTheme="minorHAnsi" w:hAnsiTheme="minorHAnsi" w:cstheme="minorHAnsi"/>
          <w:color w:val="000000"/>
        </w:rPr>
        <w:t xml:space="preserve">se pohybuje </w:t>
      </w:r>
      <w:r w:rsidRPr="0065096B">
        <w:rPr>
          <w:rFonts w:asciiTheme="minorHAnsi" w:hAnsiTheme="minorHAnsi" w:cstheme="minorHAnsi"/>
          <w:color w:val="000000"/>
        </w:rPr>
        <w:t>od</w:t>
      </w:r>
      <w:r w:rsidR="00B5017B">
        <w:rPr>
          <w:rFonts w:asciiTheme="minorHAnsi" w:hAnsiTheme="minorHAnsi" w:cstheme="minorHAnsi"/>
          <w:color w:val="000000"/>
        </w:rPr>
        <w:t xml:space="preserve"> </w:t>
      </w:r>
      <w:r w:rsidR="00B5017B" w:rsidRPr="0065096B">
        <w:rPr>
          <w:rFonts w:asciiTheme="minorHAnsi" w:hAnsiTheme="minorHAnsi" w:cstheme="minorHAnsi"/>
          <w:color w:val="000000"/>
        </w:rPr>
        <w:t>65 %</w:t>
      </w:r>
      <w:r w:rsidRPr="0065096B">
        <w:rPr>
          <w:rFonts w:asciiTheme="minorHAnsi" w:hAnsiTheme="minorHAnsi" w:cstheme="minorHAnsi"/>
          <w:color w:val="000000"/>
        </w:rPr>
        <w:t xml:space="preserve"> do</w:t>
      </w:r>
      <w:r w:rsidR="00B5017B">
        <w:rPr>
          <w:rFonts w:asciiTheme="minorHAnsi" w:hAnsiTheme="minorHAnsi" w:cstheme="minorHAnsi"/>
          <w:color w:val="000000"/>
        </w:rPr>
        <w:t xml:space="preserve"> 80 %</w:t>
      </w:r>
      <w:r w:rsidRPr="0065096B">
        <w:rPr>
          <w:rFonts w:asciiTheme="minorHAnsi" w:hAnsiTheme="minorHAnsi" w:cstheme="minorHAnsi"/>
          <w:color w:val="000000"/>
        </w:rPr>
        <w:t xml:space="preserve"> celkových </w:t>
      </w:r>
      <w:r w:rsidR="00ED347A">
        <w:rPr>
          <w:rFonts w:asciiTheme="minorHAnsi" w:hAnsiTheme="minorHAnsi" w:cstheme="minorHAnsi"/>
          <w:color w:val="000000"/>
        </w:rPr>
        <w:t>uznaných</w:t>
      </w:r>
      <w:r w:rsidR="00ED347A" w:rsidRPr="0065096B">
        <w:rPr>
          <w:rFonts w:asciiTheme="minorHAnsi" w:hAnsiTheme="minorHAnsi" w:cstheme="minorHAnsi"/>
          <w:color w:val="000000"/>
        </w:rPr>
        <w:t xml:space="preserve"> </w:t>
      </w:r>
      <w:r w:rsidRPr="0065096B">
        <w:rPr>
          <w:rFonts w:asciiTheme="minorHAnsi" w:hAnsiTheme="minorHAnsi" w:cstheme="minorHAnsi"/>
          <w:color w:val="000000"/>
        </w:rPr>
        <w:t>nákladů. Maximální míra podpory je stanovena vždy za celý projekt, tedy i za další účastníky v případě jejich podílu na projektu.</w:t>
      </w:r>
      <w:r w:rsidR="00930AA1">
        <w:rPr>
          <w:rFonts w:asciiTheme="minorHAnsi" w:hAnsiTheme="minorHAnsi" w:cstheme="minorHAnsi"/>
          <w:color w:val="000000"/>
        </w:rPr>
        <w:t xml:space="preserve"> </w:t>
      </w:r>
      <w:r w:rsidRPr="0065096B">
        <w:rPr>
          <w:rFonts w:asciiTheme="minorHAnsi" w:hAnsiTheme="minorHAnsi" w:cstheme="minorHAnsi"/>
          <w:lang w:eastAsia="en-US"/>
        </w:rPr>
        <w:t xml:space="preserve">Příjemce odpovídá poskytovateli za činnosti a ukazatele týkající se projektu jako celku i v případě, kdy se řešení účastní také další účastníci projektu. Je rovněž odpovědný za čerpání prostředků celého projektu. </w:t>
      </w:r>
    </w:p>
    <w:p w14:paraId="30D04EFC" w14:textId="77777777" w:rsidR="00F56F63" w:rsidRDefault="00F56F63" w:rsidP="00AA74AB">
      <w:pPr>
        <w:jc w:val="both"/>
        <w:rPr>
          <w:rFonts w:asciiTheme="minorHAnsi" w:hAnsiTheme="minorHAnsi" w:cstheme="minorHAnsi"/>
          <w:lang w:eastAsia="en-US"/>
        </w:rPr>
      </w:pPr>
    </w:p>
    <w:p w14:paraId="4272F0FD" w14:textId="3E428EF1" w:rsidR="00AA74AB" w:rsidRPr="001C2F11" w:rsidRDefault="00AA74AB" w:rsidP="00AA74AB">
      <w:pPr>
        <w:jc w:val="both"/>
        <w:rPr>
          <w:rFonts w:asciiTheme="minorHAnsi" w:hAnsiTheme="minorHAnsi" w:cstheme="minorHAnsi"/>
          <w:color w:val="000000"/>
        </w:rPr>
      </w:pPr>
      <w:r w:rsidRPr="0065096B">
        <w:rPr>
          <w:rFonts w:asciiTheme="minorHAnsi" w:hAnsiTheme="minorHAnsi" w:cstheme="minorHAnsi"/>
          <w:lang w:eastAsia="en-US"/>
        </w:rPr>
        <w:t xml:space="preserve">Příjemce podpory uzavře s uživatelem výsledků </w:t>
      </w:r>
      <w:r w:rsidRPr="00CA0846">
        <w:rPr>
          <w:rFonts w:asciiTheme="minorHAnsi" w:hAnsiTheme="minorHAnsi" w:cstheme="minorHAnsi"/>
          <w:lang w:eastAsia="en-US"/>
        </w:rPr>
        <w:t>smlouvu o využití výsledků</w:t>
      </w:r>
      <w:r w:rsidRPr="0065096B">
        <w:rPr>
          <w:rFonts w:asciiTheme="minorHAnsi" w:hAnsiTheme="minorHAnsi" w:cstheme="minorHAnsi"/>
          <w:lang w:eastAsia="en-US"/>
        </w:rPr>
        <w:t xml:space="preserve">, kterou </w:t>
      </w:r>
      <w:r w:rsidR="0085083E">
        <w:rPr>
          <w:rFonts w:asciiTheme="minorHAnsi" w:hAnsiTheme="minorHAnsi" w:cstheme="minorHAnsi"/>
          <w:lang w:eastAsia="en-US"/>
        </w:rPr>
        <w:t xml:space="preserve">je povinen předložit </w:t>
      </w:r>
      <w:r w:rsidRPr="0065096B">
        <w:rPr>
          <w:rFonts w:asciiTheme="minorHAnsi" w:hAnsiTheme="minorHAnsi" w:cstheme="minorHAnsi"/>
          <w:lang w:eastAsia="en-US"/>
        </w:rPr>
        <w:t>poskytovateli nejpozději před ukončením řešení projektu.</w:t>
      </w:r>
      <w:r w:rsidR="00737251">
        <w:rPr>
          <w:rStyle w:val="Znakapoznpodarou"/>
          <w:rFonts w:asciiTheme="minorHAnsi" w:hAnsiTheme="minorHAnsi" w:cstheme="minorHAnsi"/>
          <w:lang w:eastAsia="en-US"/>
        </w:rPr>
        <w:footnoteReference w:id="10"/>
      </w:r>
      <w:r w:rsidRPr="0065096B">
        <w:rPr>
          <w:rFonts w:asciiTheme="minorHAnsi" w:hAnsiTheme="minorHAnsi" w:cstheme="minorHAnsi"/>
          <w:lang w:eastAsia="en-US"/>
        </w:rPr>
        <w:t xml:space="preserve"> </w:t>
      </w:r>
      <w:r w:rsidR="001C2F11">
        <w:rPr>
          <w:rFonts w:asciiTheme="minorHAnsi" w:hAnsiTheme="minorHAnsi" w:cstheme="minorHAnsi"/>
          <w:lang w:eastAsia="en-US"/>
        </w:rPr>
        <w:t>Ve smlouvě o</w:t>
      </w:r>
      <w:r w:rsidR="00486346">
        <w:rPr>
          <w:rFonts w:asciiTheme="minorHAnsi" w:hAnsiTheme="minorHAnsi" w:cstheme="minorHAnsi"/>
          <w:lang w:eastAsia="en-US"/>
        </w:rPr>
        <w:t> </w:t>
      </w:r>
      <w:r w:rsidR="001C2F11">
        <w:rPr>
          <w:rFonts w:asciiTheme="minorHAnsi" w:hAnsiTheme="minorHAnsi" w:cstheme="minorHAnsi"/>
          <w:lang w:eastAsia="en-US"/>
        </w:rPr>
        <w:t>využití výsledků a ve schváleném implementačním plánu jsou stanoveny podrobnosti využití výsledků projektu. Návrh implementačního plánu musí zahrnovat všechny nároky na práva k</w:t>
      </w:r>
      <w:r w:rsidR="00501B51">
        <w:rPr>
          <w:rFonts w:asciiTheme="minorHAnsi" w:hAnsiTheme="minorHAnsi" w:cstheme="minorHAnsi"/>
          <w:lang w:eastAsia="en-US"/>
        </w:rPr>
        <w:t> </w:t>
      </w:r>
      <w:r w:rsidR="001C2F11">
        <w:rPr>
          <w:rFonts w:asciiTheme="minorHAnsi" w:hAnsiTheme="minorHAnsi" w:cstheme="minorHAnsi"/>
          <w:lang w:eastAsia="en-US"/>
        </w:rPr>
        <w:t>výsledkům projektu a návrhy na komerční využití výsledků projektu v časovém harmonogramu.</w:t>
      </w:r>
      <w:r w:rsidR="001C2F11">
        <w:rPr>
          <w:rFonts w:asciiTheme="minorHAnsi" w:hAnsiTheme="minorHAnsi" w:cstheme="minorHAnsi"/>
          <w:color w:val="000000"/>
        </w:rPr>
        <w:t xml:space="preserve"> </w:t>
      </w:r>
      <w:r w:rsidRPr="0065096B">
        <w:rPr>
          <w:rFonts w:asciiTheme="minorHAnsi" w:hAnsiTheme="minorHAnsi" w:cstheme="minorHAnsi"/>
          <w:lang w:eastAsia="en-US"/>
        </w:rPr>
        <w:t>Poskytovatel schvaluje návrh implementačního plánu</w:t>
      </w:r>
      <w:r w:rsidR="00F56F63">
        <w:rPr>
          <w:rFonts w:asciiTheme="minorHAnsi" w:hAnsiTheme="minorHAnsi" w:cstheme="minorHAnsi"/>
          <w:lang w:eastAsia="en-US"/>
        </w:rPr>
        <w:t xml:space="preserve"> na využití výsledků </w:t>
      </w:r>
      <w:r w:rsidR="00F56F63">
        <w:rPr>
          <w:rFonts w:asciiTheme="minorHAnsi" w:hAnsiTheme="minorHAnsi" w:cstheme="minorHAnsi"/>
          <w:lang w:eastAsia="en-US"/>
        </w:rPr>
        <w:lastRenderedPageBreak/>
        <w:t>předkládaný příjemcem</w:t>
      </w:r>
      <w:r w:rsidRPr="0065096B">
        <w:rPr>
          <w:rFonts w:asciiTheme="minorHAnsi" w:hAnsiTheme="minorHAnsi" w:cstheme="minorHAnsi"/>
          <w:lang w:eastAsia="en-US"/>
        </w:rPr>
        <w:t xml:space="preserve"> spolu se závěrečnou zprávou. Lhůta pro právo kontroly dodržování implementačního plánu je stanovena ve všeobecných po</w:t>
      </w:r>
      <w:r w:rsidR="001C2F11">
        <w:rPr>
          <w:rFonts w:asciiTheme="minorHAnsi" w:hAnsiTheme="minorHAnsi" w:cstheme="minorHAnsi"/>
          <w:lang w:eastAsia="en-US"/>
        </w:rPr>
        <w:t>dmínkách (např.</w:t>
      </w:r>
      <w:r w:rsidR="00B06D9A">
        <w:rPr>
          <w:rFonts w:asciiTheme="minorHAnsi" w:hAnsiTheme="minorHAnsi" w:cstheme="minorHAnsi"/>
          <w:lang w:eastAsia="en-US"/>
        </w:rPr>
        <w:t xml:space="preserve"> pro</w:t>
      </w:r>
      <w:r w:rsidR="001C2F11">
        <w:rPr>
          <w:rFonts w:asciiTheme="minorHAnsi" w:hAnsiTheme="minorHAnsi" w:cstheme="minorHAnsi"/>
          <w:lang w:eastAsia="en-US"/>
        </w:rPr>
        <w:t xml:space="preserve"> první veřejn</w:t>
      </w:r>
      <w:r w:rsidR="00B06D9A">
        <w:rPr>
          <w:rFonts w:asciiTheme="minorHAnsi" w:hAnsiTheme="minorHAnsi" w:cstheme="minorHAnsi"/>
          <w:lang w:eastAsia="en-US"/>
        </w:rPr>
        <w:t>ou</w:t>
      </w:r>
      <w:r w:rsidR="001C2F11">
        <w:rPr>
          <w:rFonts w:asciiTheme="minorHAnsi" w:hAnsiTheme="minorHAnsi" w:cstheme="minorHAnsi"/>
          <w:lang w:eastAsia="en-US"/>
        </w:rPr>
        <w:t xml:space="preserve"> soutěž </w:t>
      </w:r>
      <w:r w:rsidR="0099691D">
        <w:rPr>
          <w:rFonts w:asciiTheme="minorHAnsi" w:hAnsiTheme="minorHAnsi" w:cstheme="minorHAnsi"/>
          <w:lang w:eastAsia="en-US"/>
        </w:rPr>
        <w:t>byla</w:t>
      </w:r>
      <w:r w:rsidR="00B06D9A">
        <w:rPr>
          <w:rFonts w:asciiTheme="minorHAnsi" w:hAnsiTheme="minorHAnsi" w:cstheme="minorHAnsi"/>
          <w:lang w:eastAsia="en-US"/>
        </w:rPr>
        <w:t xml:space="preserve"> stanovena lhůta </w:t>
      </w:r>
      <w:r w:rsidR="001C2F11">
        <w:rPr>
          <w:rFonts w:asciiTheme="minorHAnsi" w:hAnsiTheme="minorHAnsi" w:cstheme="minorHAnsi"/>
          <w:lang w:eastAsia="en-US"/>
        </w:rPr>
        <w:t>tři</w:t>
      </w:r>
      <w:r w:rsidRPr="0065096B">
        <w:rPr>
          <w:rFonts w:asciiTheme="minorHAnsi" w:hAnsiTheme="minorHAnsi" w:cstheme="minorHAnsi"/>
          <w:lang w:eastAsia="en-US"/>
        </w:rPr>
        <w:t xml:space="preserve"> roky). Příjemce je povinen předkládat pravidelné zprávy o</w:t>
      </w:r>
      <w:r w:rsidR="005D70FF">
        <w:rPr>
          <w:rFonts w:asciiTheme="minorHAnsi" w:hAnsiTheme="minorHAnsi" w:cstheme="minorHAnsi"/>
          <w:lang w:eastAsia="en-US"/>
        </w:rPr>
        <w:t> </w:t>
      </w:r>
      <w:r w:rsidRPr="0065096B">
        <w:rPr>
          <w:rFonts w:asciiTheme="minorHAnsi" w:hAnsiTheme="minorHAnsi" w:cstheme="minorHAnsi"/>
          <w:lang w:eastAsia="en-US"/>
        </w:rPr>
        <w:t>implementaci výsledků projektu za příslušný kalendářní rok vždy do 15. ledna následujícího roku.</w:t>
      </w:r>
    </w:p>
    <w:p w14:paraId="4E93F2C6" w14:textId="77777777" w:rsidR="00F56F63" w:rsidRDefault="00F56F63" w:rsidP="00F56F63">
      <w:pPr>
        <w:jc w:val="both"/>
        <w:rPr>
          <w:rFonts w:asciiTheme="minorHAnsi" w:hAnsiTheme="minorHAnsi" w:cstheme="minorHAnsi"/>
        </w:rPr>
      </w:pPr>
    </w:p>
    <w:p w14:paraId="1CD5801B" w14:textId="214F6F56" w:rsidR="007E68AF" w:rsidRPr="007E68AF" w:rsidRDefault="00B06D9A" w:rsidP="00FD0FE1">
      <w:pPr>
        <w:pStyle w:val="Default"/>
        <w:jc w:val="both"/>
      </w:pPr>
      <w:r>
        <w:t xml:space="preserve">Podpora </w:t>
      </w:r>
      <w:r w:rsidR="00687D9B">
        <w:t>VaVaI</w:t>
      </w:r>
      <w:r w:rsidR="00AD28AE" w:rsidRPr="00AD28AE">
        <w:t xml:space="preserve"> </w:t>
      </w:r>
      <w:r>
        <w:t xml:space="preserve">je </w:t>
      </w:r>
      <w:r w:rsidR="00AD28AE" w:rsidRPr="00F83EA5">
        <w:t xml:space="preserve">klíčovou iniciativou evropské dlouhodobé strategie </w:t>
      </w:r>
      <w:r w:rsidR="00AD28AE" w:rsidRPr="00CA0846">
        <w:t>Evropa 2020</w:t>
      </w:r>
      <w:r w:rsidR="00FD0FE1" w:rsidRPr="00F83EA5">
        <w:rPr>
          <w:rStyle w:val="Znakapoznpodarou"/>
        </w:rPr>
        <w:footnoteReference w:id="11"/>
      </w:r>
      <w:r w:rsidR="00FD0FE1" w:rsidRPr="00F83EA5">
        <w:t xml:space="preserve">. </w:t>
      </w:r>
      <w:r w:rsidR="00F83EA5" w:rsidRPr="00F83EA5">
        <w:t>N</w:t>
      </w:r>
      <w:r w:rsidR="00F83EA5" w:rsidRPr="00F83EA5">
        <w:rPr>
          <w:bCs/>
        </w:rPr>
        <w:t>árodním cílem pro Českou republiku</w:t>
      </w:r>
      <w:r w:rsidR="00F83EA5">
        <w:rPr>
          <w:bCs/>
        </w:rPr>
        <w:t xml:space="preserve"> v návaznosti na </w:t>
      </w:r>
      <w:r w:rsidR="007E68AF">
        <w:rPr>
          <w:bCs/>
        </w:rPr>
        <w:t>tuto strategii je dosažení jednoprocentního podílu</w:t>
      </w:r>
      <w:r w:rsidR="00F83EA5" w:rsidRPr="00F83EA5">
        <w:rPr>
          <w:bCs/>
        </w:rPr>
        <w:t xml:space="preserve"> </w:t>
      </w:r>
      <w:r w:rsidR="007E68AF">
        <w:rPr>
          <w:bCs/>
        </w:rPr>
        <w:t>veřejných výdajů</w:t>
      </w:r>
      <w:r w:rsidR="007E68AF" w:rsidRPr="00F83EA5">
        <w:rPr>
          <w:bCs/>
        </w:rPr>
        <w:t xml:space="preserve"> na VaVaI </w:t>
      </w:r>
      <w:r w:rsidR="00F83EA5" w:rsidRPr="00F83EA5">
        <w:rPr>
          <w:bCs/>
        </w:rPr>
        <w:t>na HDP</w:t>
      </w:r>
      <w:r w:rsidR="007E68AF" w:rsidRPr="007E68AF">
        <w:rPr>
          <w:bCs/>
        </w:rPr>
        <w:t xml:space="preserve"> </w:t>
      </w:r>
      <w:r w:rsidR="007E68AF" w:rsidRPr="00F83EA5">
        <w:rPr>
          <w:bCs/>
        </w:rPr>
        <w:t>do roku 2020</w:t>
      </w:r>
      <w:r w:rsidR="00F83EA5" w:rsidRPr="00F83EA5">
        <w:rPr>
          <w:bCs/>
        </w:rPr>
        <w:t>.</w:t>
      </w:r>
      <w:r w:rsidR="00F044C2">
        <w:rPr>
          <w:bCs/>
        </w:rPr>
        <w:t xml:space="preserve"> </w:t>
      </w:r>
      <w:r w:rsidR="007E68AF">
        <w:rPr>
          <w:bCs/>
        </w:rPr>
        <w:t>Pod</w:t>
      </w:r>
      <w:r w:rsidR="0050551D">
        <w:rPr>
          <w:bCs/>
        </w:rPr>
        <w:t>porou inovací v EU se zabýval i </w:t>
      </w:r>
      <w:r w:rsidR="00AD28AE" w:rsidRPr="00FD0FE1">
        <w:t>Evropský účetní dvůr</w:t>
      </w:r>
      <w:r w:rsidR="007E68AF">
        <w:t>, který</w:t>
      </w:r>
      <w:r w:rsidR="00AD28AE" w:rsidRPr="00FD0FE1">
        <w:t xml:space="preserve"> vydal</w:t>
      </w:r>
      <w:r w:rsidR="0038370D" w:rsidRPr="00FD0FE1">
        <w:t xml:space="preserve"> v dubnu roku 2016</w:t>
      </w:r>
      <w:r w:rsidR="00AD28AE" w:rsidRPr="00FD0FE1">
        <w:t xml:space="preserve"> zvláštní zprávu č. 4/2016</w:t>
      </w:r>
      <w:r w:rsidR="0038370D" w:rsidRPr="00FD0FE1">
        <w:rPr>
          <w:rStyle w:val="Znakapoznpodarou"/>
        </w:rPr>
        <w:footnoteReference w:id="12"/>
      </w:r>
      <w:r w:rsidR="00FD0FE1" w:rsidRPr="00FD0FE1">
        <w:t xml:space="preserve"> </w:t>
      </w:r>
      <w:r w:rsidR="007E68AF">
        <w:t>týkající</w:t>
      </w:r>
      <w:r w:rsidR="00CB228A">
        <w:t xml:space="preserve"> se </w:t>
      </w:r>
      <w:r w:rsidR="007E68AF">
        <w:t>Evropského</w:t>
      </w:r>
      <w:r w:rsidR="00FD0FE1" w:rsidRPr="00FD0FE1">
        <w:t xml:space="preserve"> inovační</w:t>
      </w:r>
      <w:r w:rsidR="007E68AF">
        <w:t>ho a technologického</w:t>
      </w:r>
      <w:r w:rsidR="00FD0FE1" w:rsidRPr="00FD0FE1">
        <w:t xml:space="preserve"> </w:t>
      </w:r>
      <w:r w:rsidR="00FD0FE1" w:rsidRPr="007E68AF">
        <w:t>institut</w:t>
      </w:r>
      <w:r w:rsidR="007E68AF" w:rsidRPr="007E68AF">
        <w:t>u.</w:t>
      </w:r>
      <w:r w:rsidR="00FD0FE1" w:rsidRPr="007E68AF">
        <w:t xml:space="preserve"> </w:t>
      </w:r>
      <w:r w:rsidR="007E68AF" w:rsidRPr="007E68AF">
        <w:t>Z této zprávy mj.</w:t>
      </w:r>
      <w:r w:rsidR="00501B51">
        <w:t> </w:t>
      </w:r>
      <w:r w:rsidR="007E68AF" w:rsidRPr="007E68AF">
        <w:t>vyplývá, že v EU je příliš mnoho různých mechanismů veřejného financování s vlastními pravidly, což omezuje celkovou efektivnost systémů veřejné podpory.</w:t>
      </w:r>
    </w:p>
    <w:p w14:paraId="45A04E0C" w14:textId="77777777" w:rsidR="008464CA" w:rsidRDefault="008464CA" w:rsidP="00F56F63">
      <w:pPr>
        <w:jc w:val="both"/>
        <w:rPr>
          <w:rFonts w:ascii="Calibri" w:hAnsi="Calibri" w:cs="Calibri"/>
        </w:rPr>
      </w:pPr>
    </w:p>
    <w:p w14:paraId="31DEEBB7" w14:textId="77777777" w:rsidR="0053175C" w:rsidRDefault="0053175C" w:rsidP="00F56F63">
      <w:pPr>
        <w:jc w:val="both"/>
        <w:rPr>
          <w:rFonts w:ascii="Calibri" w:hAnsi="Calibri" w:cs="Calibri"/>
        </w:rPr>
      </w:pPr>
    </w:p>
    <w:p w14:paraId="50059EA6" w14:textId="77777777" w:rsidR="002E0724" w:rsidRPr="001C3ECD" w:rsidRDefault="002E0724" w:rsidP="001C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3ECD">
        <w:rPr>
          <w:rFonts w:asciiTheme="minorHAnsi" w:hAnsiTheme="minorHAnsi" w:cstheme="minorHAnsi"/>
          <w:b/>
          <w:sz w:val="28"/>
          <w:szCs w:val="28"/>
        </w:rPr>
        <w:t>II. Shrnutí a vyhodnocení skutečností zjištěných při</w:t>
      </w:r>
      <w:r w:rsidR="00DB2620" w:rsidRPr="001C3EC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C3ECD">
        <w:rPr>
          <w:rFonts w:asciiTheme="minorHAnsi" w:hAnsiTheme="minorHAnsi" w:cstheme="minorHAnsi"/>
          <w:b/>
          <w:sz w:val="28"/>
          <w:szCs w:val="28"/>
        </w:rPr>
        <w:t>kontrole</w:t>
      </w:r>
    </w:p>
    <w:p w14:paraId="02A437FA" w14:textId="77777777" w:rsidR="006E3C3E" w:rsidRPr="001C3ECD" w:rsidRDefault="006E3C3E" w:rsidP="001C3ECD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710413FC" w14:textId="77777777" w:rsidR="008464CA" w:rsidRDefault="00EE485C" w:rsidP="001C3ECD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Předmětem kontroly </w:t>
      </w:r>
      <w:r w:rsidR="003F5951" w:rsidRPr="001C3ECD">
        <w:rPr>
          <w:rFonts w:asciiTheme="minorHAnsi" w:hAnsiTheme="minorHAnsi" w:cstheme="minorHAnsi"/>
          <w:b/>
        </w:rPr>
        <w:t xml:space="preserve">byly peněžní prostředky </w:t>
      </w:r>
      <w:r w:rsidR="003F5951" w:rsidRPr="001C3ECD">
        <w:rPr>
          <w:rFonts w:ascii="Calibri" w:hAnsi="Calibri" w:cs="Calibri"/>
          <w:b/>
        </w:rPr>
        <w:t>určené na účelovou podporu VaV</w:t>
      </w:r>
      <w:r w:rsidR="00BA36F5">
        <w:rPr>
          <w:rFonts w:ascii="Calibri" w:hAnsi="Calibri" w:cs="Calibri"/>
          <w:b/>
        </w:rPr>
        <w:t>aI</w:t>
      </w:r>
      <w:r w:rsidR="003F5951" w:rsidRPr="001C3ECD">
        <w:rPr>
          <w:rFonts w:ascii="Calibri" w:hAnsi="Calibri" w:cs="Calibri"/>
          <w:b/>
        </w:rPr>
        <w:t xml:space="preserve"> prostřednictvím rozpočtové kapitoly TA ČR.</w:t>
      </w:r>
    </w:p>
    <w:p w14:paraId="447FA428" w14:textId="77777777" w:rsidR="001B5B67" w:rsidRDefault="001B5B67" w:rsidP="001B5B67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6FC97BCE" w14:textId="77777777" w:rsidR="00DA6BF4" w:rsidRDefault="00216450" w:rsidP="005D70FF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NKÚ se v kontrolní akci zaměřil na</w:t>
      </w:r>
      <w:r w:rsidR="00DA6BF4">
        <w:rPr>
          <w:rFonts w:ascii="Calibri" w:hAnsi="Calibri" w:cs="Calibri"/>
          <w:b/>
        </w:rPr>
        <w:t>:</w:t>
      </w:r>
    </w:p>
    <w:p w14:paraId="1F9F6F8B" w14:textId="77777777" w:rsidR="00DA6BF4" w:rsidRDefault="00216450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způsob, jakým</w:t>
      </w:r>
      <w:r w:rsidR="001009B5" w:rsidRPr="001C3ECD">
        <w:rPr>
          <w:rFonts w:ascii="Calibri" w:hAnsi="Calibri" w:cs="Calibri"/>
          <w:b/>
        </w:rPr>
        <w:t xml:space="preserve"> TA ČR </w:t>
      </w:r>
      <w:r w:rsidR="00DA6BF4">
        <w:rPr>
          <w:rFonts w:ascii="Calibri" w:hAnsi="Calibri" w:cs="Calibri"/>
          <w:b/>
        </w:rPr>
        <w:t>stanovila cíle programu</w:t>
      </w:r>
      <w:r w:rsidR="00CB228A">
        <w:rPr>
          <w:rFonts w:ascii="Calibri" w:hAnsi="Calibri" w:cs="Calibri"/>
          <w:b/>
        </w:rPr>
        <w:t>;</w:t>
      </w:r>
    </w:p>
    <w:p w14:paraId="4286FBF1" w14:textId="77777777" w:rsidR="00DA6BF4" w:rsidRDefault="007E68AF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posouzení</w:t>
      </w:r>
      <w:r w:rsidR="00216450">
        <w:rPr>
          <w:rFonts w:ascii="Calibri" w:hAnsi="Calibri" w:cs="Calibri"/>
          <w:b/>
        </w:rPr>
        <w:t xml:space="preserve">, </w:t>
      </w:r>
      <w:r w:rsidR="00725701" w:rsidRPr="001C3ECD">
        <w:rPr>
          <w:rFonts w:ascii="Calibri" w:hAnsi="Calibri" w:cs="Calibri"/>
          <w:b/>
        </w:rPr>
        <w:t xml:space="preserve">zda byl způsob výběru příjemců </w:t>
      </w:r>
      <w:r w:rsidR="00DA6BF4">
        <w:rPr>
          <w:rFonts w:ascii="Calibri" w:hAnsi="Calibri" w:cs="Calibri"/>
          <w:b/>
        </w:rPr>
        <w:t>transparentní a nediskriminační</w:t>
      </w:r>
      <w:r w:rsidR="00CB228A">
        <w:rPr>
          <w:rFonts w:ascii="Calibri" w:hAnsi="Calibri" w:cs="Calibri"/>
          <w:b/>
        </w:rPr>
        <w:t>;</w:t>
      </w:r>
    </w:p>
    <w:p w14:paraId="4F7C1B3A" w14:textId="77777777" w:rsidR="002F3302" w:rsidRDefault="007E68AF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srozumitelnost a ověřitelnost </w:t>
      </w:r>
      <w:r w:rsidR="00F37157">
        <w:rPr>
          <w:rFonts w:ascii="Calibri" w:hAnsi="Calibri" w:cs="Calibri"/>
          <w:b/>
        </w:rPr>
        <w:t>hodnoti</w:t>
      </w:r>
      <w:r w:rsidR="00725701" w:rsidRPr="001C3ECD">
        <w:rPr>
          <w:rFonts w:ascii="Calibri" w:hAnsi="Calibri" w:cs="Calibri"/>
          <w:b/>
        </w:rPr>
        <w:t>cí</w:t>
      </w:r>
      <w:r>
        <w:rPr>
          <w:rFonts w:ascii="Calibri" w:hAnsi="Calibri" w:cs="Calibri"/>
          <w:b/>
        </w:rPr>
        <w:t>ch</w:t>
      </w:r>
      <w:r w:rsidR="0025628A">
        <w:rPr>
          <w:rFonts w:ascii="Calibri" w:hAnsi="Calibri" w:cs="Calibri"/>
          <w:b/>
        </w:rPr>
        <w:t xml:space="preserve"> ukazatelů programů a projektů</w:t>
      </w:r>
      <w:r w:rsidR="00CB228A">
        <w:rPr>
          <w:rFonts w:ascii="Calibri" w:hAnsi="Calibri" w:cs="Calibri"/>
          <w:b/>
        </w:rPr>
        <w:t>;</w:t>
      </w:r>
      <w:r w:rsidR="002F3302" w:rsidRPr="002F3302">
        <w:rPr>
          <w:rFonts w:ascii="Calibri" w:hAnsi="Calibri" w:cs="Calibri"/>
          <w:b/>
        </w:rPr>
        <w:t xml:space="preserve"> </w:t>
      </w:r>
    </w:p>
    <w:p w14:paraId="672D4F44" w14:textId="77777777" w:rsidR="00DA6BF4" w:rsidRPr="002F3302" w:rsidRDefault="002F3302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dodržování právních předpisů a smluvních podmínek poskytovatelem podpory;</w:t>
      </w:r>
    </w:p>
    <w:p w14:paraId="5046E3AE" w14:textId="77777777" w:rsidR="00DA6BF4" w:rsidRDefault="00216450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stanovení </w:t>
      </w:r>
      <w:r w:rsidR="00725701" w:rsidRPr="001C3ECD">
        <w:rPr>
          <w:rFonts w:ascii="Calibri" w:hAnsi="Calibri" w:cs="Calibri"/>
          <w:b/>
        </w:rPr>
        <w:t>obsah</w:t>
      </w:r>
      <w:r>
        <w:rPr>
          <w:rFonts w:ascii="Calibri" w:hAnsi="Calibri" w:cs="Calibri"/>
          <w:b/>
        </w:rPr>
        <w:t>u</w:t>
      </w:r>
      <w:r w:rsidR="00725701" w:rsidRPr="001C3ECD">
        <w:rPr>
          <w:rFonts w:ascii="Calibri" w:hAnsi="Calibri" w:cs="Calibri"/>
          <w:b/>
        </w:rPr>
        <w:t xml:space="preserve"> informací a systém jejich sběru pro průběžné a závěrečné hodn</w:t>
      </w:r>
      <w:r w:rsidR="00DA6BF4">
        <w:rPr>
          <w:rFonts w:ascii="Calibri" w:hAnsi="Calibri" w:cs="Calibri"/>
          <w:b/>
        </w:rPr>
        <w:t>ocení výsledků a dopadu podpory</w:t>
      </w:r>
      <w:r w:rsidR="00CB228A">
        <w:rPr>
          <w:rFonts w:ascii="Calibri" w:hAnsi="Calibri" w:cs="Calibri"/>
          <w:b/>
        </w:rPr>
        <w:t>;</w:t>
      </w:r>
    </w:p>
    <w:p w14:paraId="4A996D57" w14:textId="7F6F0537" w:rsidR="00E62EEC" w:rsidRDefault="00216450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vyhodnocování přínosů</w:t>
      </w:r>
      <w:r w:rsidR="00725701" w:rsidRPr="001C3ECD">
        <w:rPr>
          <w:rFonts w:ascii="Calibri" w:hAnsi="Calibri" w:cs="Calibri"/>
          <w:b/>
        </w:rPr>
        <w:t xml:space="preserve"> výzkumu, vývoje a inovací ve v</w:t>
      </w:r>
      <w:r w:rsidR="00DA6BF4">
        <w:rPr>
          <w:rFonts w:ascii="Calibri" w:hAnsi="Calibri" w:cs="Calibri"/>
          <w:b/>
        </w:rPr>
        <w:t>ztahu k vynaloženým prostředkům</w:t>
      </w:r>
      <w:r w:rsidR="00CB228A">
        <w:rPr>
          <w:rFonts w:ascii="Calibri" w:hAnsi="Calibri" w:cs="Calibri"/>
          <w:b/>
        </w:rPr>
        <w:t>;</w:t>
      </w:r>
      <w:r w:rsidR="00DA6BF4">
        <w:rPr>
          <w:rFonts w:ascii="Calibri" w:hAnsi="Calibri" w:cs="Calibri"/>
          <w:b/>
        </w:rPr>
        <w:t xml:space="preserve"> </w:t>
      </w:r>
    </w:p>
    <w:p w14:paraId="7B04885B" w14:textId="77777777" w:rsidR="00370B9B" w:rsidRDefault="00370B9B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strukturu dosažených výsledků projektů;</w:t>
      </w:r>
    </w:p>
    <w:p w14:paraId="77EFFE85" w14:textId="77777777" w:rsidR="005B43F2" w:rsidRDefault="003A1C8D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využití výsledků projektů a </w:t>
      </w:r>
      <w:r w:rsidR="00216450">
        <w:rPr>
          <w:rFonts w:ascii="Calibri" w:hAnsi="Calibri" w:cs="Calibri"/>
          <w:b/>
        </w:rPr>
        <w:t>dosažení</w:t>
      </w:r>
      <w:r w:rsidR="00590D00">
        <w:rPr>
          <w:rFonts w:ascii="Calibri" w:hAnsi="Calibri" w:cs="Calibri"/>
          <w:b/>
        </w:rPr>
        <w:t xml:space="preserve"> plánovaných přínosů</w:t>
      </w:r>
      <w:r w:rsidR="00CB228A">
        <w:rPr>
          <w:rFonts w:ascii="Calibri" w:hAnsi="Calibri" w:cs="Calibri"/>
          <w:b/>
        </w:rPr>
        <w:t>;</w:t>
      </w:r>
    </w:p>
    <w:p w14:paraId="4D043112" w14:textId="6127FA0D" w:rsidR="00590D00" w:rsidRPr="005B43F2" w:rsidRDefault="005B43F2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 w:rsidRPr="008479DD">
        <w:rPr>
          <w:rFonts w:asciiTheme="minorHAnsi" w:hAnsiTheme="minorHAnsi" w:cstheme="minorHAnsi"/>
          <w:b/>
        </w:rPr>
        <w:t>čerpání peněžních prostředků příjemci podpory, zejména z hlediska dodrž</w:t>
      </w:r>
      <w:r w:rsidR="00B06D9A">
        <w:rPr>
          <w:rFonts w:asciiTheme="minorHAnsi" w:hAnsiTheme="minorHAnsi" w:cstheme="minorHAnsi"/>
          <w:b/>
        </w:rPr>
        <w:t>ování</w:t>
      </w:r>
      <w:r w:rsidRPr="008479DD">
        <w:rPr>
          <w:rFonts w:asciiTheme="minorHAnsi" w:hAnsiTheme="minorHAnsi" w:cstheme="minorHAnsi"/>
          <w:b/>
        </w:rPr>
        <w:t xml:space="preserve"> právních předpisů a podmínek poskytnutí podpory;</w:t>
      </w:r>
      <w:r w:rsidR="00590D00" w:rsidRPr="005B43F2">
        <w:rPr>
          <w:rFonts w:ascii="Calibri" w:hAnsi="Calibri" w:cs="Calibri"/>
          <w:b/>
        </w:rPr>
        <w:t xml:space="preserve"> </w:t>
      </w:r>
    </w:p>
    <w:p w14:paraId="34DB6A03" w14:textId="77777777" w:rsidR="00B54028" w:rsidRPr="00FC487A" w:rsidRDefault="000F74CC" w:rsidP="005317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b/>
        </w:rPr>
      </w:pPr>
      <w:r w:rsidRPr="00FC487A">
        <w:rPr>
          <w:rFonts w:ascii="Calibri" w:hAnsi="Calibri" w:cs="Calibri"/>
          <w:b/>
        </w:rPr>
        <w:t xml:space="preserve">analýzu </w:t>
      </w:r>
      <w:r w:rsidR="00B54028" w:rsidRPr="00FC487A">
        <w:rPr>
          <w:rFonts w:ascii="Calibri" w:hAnsi="Calibri" w:cs="Calibri"/>
          <w:b/>
        </w:rPr>
        <w:t>postavení ČR ve srovnání s Evropskou unií v oblasti VaV</w:t>
      </w:r>
      <w:r w:rsidR="00FC1A80">
        <w:rPr>
          <w:rFonts w:ascii="Calibri" w:hAnsi="Calibri" w:cs="Calibri"/>
          <w:b/>
        </w:rPr>
        <w:t>aI</w:t>
      </w:r>
      <w:r w:rsidR="00CB228A">
        <w:rPr>
          <w:rFonts w:ascii="Calibri" w:hAnsi="Calibri" w:cs="Calibri"/>
          <w:b/>
        </w:rPr>
        <w:t>.</w:t>
      </w:r>
      <w:r w:rsidR="00B54028" w:rsidRPr="00FC487A">
        <w:rPr>
          <w:rFonts w:ascii="Calibri" w:hAnsi="Calibri" w:cs="Calibri"/>
          <w:b/>
        </w:rPr>
        <w:t xml:space="preserve"> </w:t>
      </w:r>
    </w:p>
    <w:p w14:paraId="607ED333" w14:textId="77777777" w:rsidR="00725701" w:rsidRPr="001C3ECD" w:rsidRDefault="00725701" w:rsidP="001C3ECD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7C792AC2" w14:textId="77777777" w:rsidR="00DA6BF4" w:rsidRDefault="00851B6C" w:rsidP="005D70FF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 w:rsidRPr="00B44681">
        <w:rPr>
          <w:rFonts w:ascii="Calibri" w:hAnsi="Calibri" w:cs="Calibri"/>
          <w:b/>
        </w:rPr>
        <w:t xml:space="preserve">Při </w:t>
      </w:r>
      <w:r w:rsidR="00BA6413" w:rsidRPr="00B44681">
        <w:rPr>
          <w:rFonts w:ascii="Calibri" w:hAnsi="Calibri" w:cs="Calibri"/>
          <w:b/>
        </w:rPr>
        <w:t>kontrole</w:t>
      </w:r>
      <w:r w:rsidR="00324F5A" w:rsidRPr="00B44681">
        <w:rPr>
          <w:rFonts w:ascii="Calibri" w:hAnsi="Calibri" w:cs="Calibri"/>
          <w:b/>
        </w:rPr>
        <w:t xml:space="preserve"> </w:t>
      </w:r>
      <w:r w:rsidRPr="00B44681">
        <w:rPr>
          <w:rFonts w:ascii="Calibri" w:hAnsi="Calibri" w:cs="Calibri"/>
          <w:b/>
        </w:rPr>
        <w:t xml:space="preserve">NKÚ </w:t>
      </w:r>
      <w:r w:rsidR="00324F5A" w:rsidRPr="00B44681">
        <w:rPr>
          <w:rFonts w:ascii="Calibri" w:hAnsi="Calibri" w:cs="Calibri"/>
          <w:b/>
        </w:rPr>
        <w:t>zjistil</w:t>
      </w:r>
      <w:r w:rsidR="00DA6BF4">
        <w:rPr>
          <w:rFonts w:ascii="Calibri" w:hAnsi="Calibri" w:cs="Calibri"/>
          <w:b/>
        </w:rPr>
        <w:t>:</w:t>
      </w:r>
      <w:r w:rsidRPr="00B44681">
        <w:rPr>
          <w:rFonts w:ascii="Calibri" w:hAnsi="Calibri" w:cs="Calibri"/>
          <w:b/>
        </w:rPr>
        <w:t xml:space="preserve"> </w:t>
      </w:r>
    </w:p>
    <w:p w14:paraId="4F6A4F82" w14:textId="55B0B44A" w:rsidR="001728D7" w:rsidRPr="00DC3F04" w:rsidRDefault="001F6C4F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DC3F04">
        <w:rPr>
          <w:rFonts w:ascii="Calibri" w:hAnsi="Calibri" w:cs="Calibri"/>
          <w:b/>
        </w:rPr>
        <w:t>TA ČR</w:t>
      </w:r>
      <w:r w:rsidR="00973911" w:rsidRPr="00DC3F04">
        <w:rPr>
          <w:rFonts w:ascii="Calibri" w:hAnsi="Calibri" w:cs="Calibri"/>
          <w:b/>
        </w:rPr>
        <w:t xml:space="preserve"> připravuje</w:t>
      </w:r>
      <w:r w:rsidRPr="00DC3F04">
        <w:rPr>
          <w:rFonts w:ascii="Calibri" w:hAnsi="Calibri" w:cs="Calibri"/>
          <w:b/>
        </w:rPr>
        <w:t xml:space="preserve"> programy</w:t>
      </w:r>
      <w:r w:rsidR="00DC3F04" w:rsidRPr="00DC3F04">
        <w:rPr>
          <w:rFonts w:ascii="Calibri" w:hAnsi="Calibri" w:cs="Calibri"/>
          <w:b/>
        </w:rPr>
        <w:t xml:space="preserve"> v souladu s </w:t>
      </w:r>
      <w:r w:rsidR="00973911" w:rsidRPr="00DC3F04">
        <w:rPr>
          <w:rFonts w:ascii="Calibri" w:hAnsi="Calibri" w:cs="Calibri"/>
          <w:b/>
        </w:rPr>
        <w:t>Národní</w:t>
      </w:r>
      <w:r w:rsidR="00DC3F04" w:rsidRPr="00DC3F04">
        <w:rPr>
          <w:rFonts w:ascii="Calibri" w:hAnsi="Calibri" w:cs="Calibri"/>
          <w:b/>
        </w:rPr>
        <w:t>mi prioritami</w:t>
      </w:r>
      <w:r w:rsidR="00973911" w:rsidRPr="00DC3F04">
        <w:rPr>
          <w:rFonts w:ascii="Calibri" w:hAnsi="Calibri" w:cs="Calibri"/>
          <w:b/>
        </w:rPr>
        <w:t xml:space="preserve"> </w:t>
      </w:r>
      <w:r w:rsidR="00FC1A80" w:rsidRPr="00DC3F04">
        <w:rPr>
          <w:rFonts w:ascii="Calibri" w:hAnsi="Calibri" w:cs="Calibri"/>
          <w:b/>
        </w:rPr>
        <w:t>VaVaI</w:t>
      </w:r>
      <w:r w:rsidR="00DC3F04" w:rsidRPr="00DC3F04">
        <w:rPr>
          <w:rStyle w:val="Znakapoznpodarou"/>
          <w:rFonts w:ascii="Calibri" w:hAnsi="Calibri" w:cs="Calibri"/>
          <w:b/>
        </w:rPr>
        <w:footnoteReference w:id="13"/>
      </w:r>
      <w:r w:rsidR="00524095">
        <w:rPr>
          <w:rFonts w:ascii="Calibri" w:hAnsi="Calibri" w:cs="Calibri"/>
          <w:b/>
        </w:rPr>
        <w:t>. Tyto programy</w:t>
      </w:r>
      <w:r w:rsidRPr="00DC3F04">
        <w:rPr>
          <w:rFonts w:ascii="Calibri" w:hAnsi="Calibri" w:cs="Calibri"/>
          <w:b/>
        </w:rPr>
        <w:t xml:space="preserve"> </w:t>
      </w:r>
      <w:r w:rsidR="00524095">
        <w:rPr>
          <w:rFonts w:ascii="Calibri" w:hAnsi="Calibri" w:cs="Calibri"/>
          <w:b/>
        </w:rPr>
        <w:t xml:space="preserve">schvaluje </w:t>
      </w:r>
      <w:r w:rsidR="004F3A42">
        <w:rPr>
          <w:rFonts w:ascii="Calibri" w:hAnsi="Calibri" w:cs="Calibri"/>
          <w:b/>
        </w:rPr>
        <w:t>v</w:t>
      </w:r>
      <w:r w:rsidR="00524095">
        <w:rPr>
          <w:rFonts w:ascii="Calibri" w:hAnsi="Calibri" w:cs="Calibri"/>
          <w:b/>
        </w:rPr>
        <w:t>láda</w:t>
      </w:r>
      <w:r w:rsidR="00524095" w:rsidRPr="00DC3F04">
        <w:rPr>
          <w:rFonts w:ascii="Calibri" w:hAnsi="Calibri" w:cs="Calibri"/>
          <w:b/>
        </w:rPr>
        <w:t xml:space="preserve"> ČR</w:t>
      </w:r>
      <w:r w:rsidR="00524095">
        <w:rPr>
          <w:rFonts w:ascii="Calibri" w:hAnsi="Calibri" w:cs="Calibri"/>
          <w:b/>
        </w:rPr>
        <w:t xml:space="preserve"> svým</w:t>
      </w:r>
      <w:r w:rsidR="00DC3F04">
        <w:rPr>
          <w:rFonts w:ascii="Calibri" w:hAnsi="Calibri" w:cs="Calibri"/>
          <w:b/>
        </w:rPr>
        <w:t xml:space="preserve"> usnesením</w:t>
      </w:r>
      <w:r w:rsidRPr="00DC3F04">
        <w:rPr>
          <w:rFonts w:ascii="Calibri" w:hAnsi="Calibri" w:cs="Calibri"/>
          <w:b/>
        </w:rPr>
        <w:t>. Jejich cíle</w:t>
      </w:r>
      <w:r w:rsidR="00973911" w:rsidRPr="00DC3F04">
        <w:rPr>
          <w:rFonts w:ascii="Calibri" w:hAnsi="Calibri" w:cs="Calibri"/>
          <w:b/>
        </w:rPr>
        <w:t xml:space="preserve"> jsou </w:t>
      </w:r>
      <w:r w:rsidR="003503AB" w:rsidRPr="00DC3F04">
        <w:rPr>
          <w:rFonts w:ascii="Calibri" w:hAnsi="Calibri" w:cs="Calibri"/>
          <w:b/>
        </w:rPr>
        <w:t xml:space="preserve">směřovány do specifických </w:t>
      </w:r>
      <w:r w:rsidR="003503AB" w:rsidRPr="00DC3F04">
        <w:rPr>
          <w:rFonts w:ascii="Calibri" w:hAnsi="Calibri" w:cs="Calibri"/>
          <w:b/>
        </w:rPr>
        <w:lastRenderedPageBreak/>
        <w:t xml:space="preserve">oblastí VaVaI a ke konkrétním příjemcům. </w:t>
      </w:r>
      <w:r w:rsidR="00FC2A8F" w:rsidRPr="00DC3F04">
        <w:rPr>
          <w:rFonts w:ascii="Calibri" w:hAnsi="Calibri" w:cs="Calibri"/>
          <w:b/>
        </w:rPr>
        <w:t>TA Č</w:t>
      </w:r>
      <w:r w:rsidR="001728D7" w:rsidRPr="00DC3F04">
        <w:rPr>
          <w:rFonts w:ascii="Calibri" w:hAnsi="Calibri" w:cs="Calibri"/>
          <w:b/>
        </w:rPr>
        <w:t>R upravila své programy tak, aby byly v souladu s novými pravidly Evropské unie pro poskytování veřejné podp</w:t>
      </w:r>
      <w:r w:rsidR="00FC2A8F" w:rsidRPr="00DC3F04">
        <w:rPr>
          <w:rFonts w:ascii="Calibri" w:hAnsi="Calibri" w:cs="Calibri"/>
          <w:b/>
        </w:rPr>
        <w:t>ory</w:t>
      </w:r>
      <w:r w:rsidR="001728D7" w:rsidRPr="00DC3F04">
        <w:rPr>
          <w:rFonts w:ascii="Calibri" w:hAnsi="Calibri" w:cs="Calibri"/>
          <w:b/>
        </w:rPr>
        <w:t>.</w:t>
      </w:r>
      <w:r w:rsidR="00FC2A8F" w:rsidRPr="00DC3F04">
        <w:rPr>
          <w:rFonts w:ascii="Calibri" w:hAnsi="Calibri" w:cs="Calibri"/>
          <w:b/>
        </w:rPr>
        <w:t xml:space="preserve"> </w:t>
      </w:r>
    </w:p>
    <w:p w14:paraId="3C7911F5" w14:textId="61AB9901" w:rsidR="00EE485C" w:rsidRDefault="00DA6BF4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DC3F04">
        <w:rPr>
          <w:rFonts w:ascii="Calibri" w:hAnsi="Calibri" w:cs="Calibri"/>
          <w:b/>
        </w:rPr>
        <w:t>TA ČR nepostupovala při výběru příjemců</w:t>
      </w:r>
      <w:r w:rsidR="004F3A42" w:rsidRPr="004F3A42">
        <w:rPr>
          <w:rFonts w:ascii="Calibri" w:hAnsi="Calibri" w:cs="Calibri"/>
          <w:b/>
        </w:rPr>
        <w:t xml:space="preserve"> </w:t>
      </w:r>
      <w:r w:rsidR="004F3A42">
        <w:rPr>
          <w:rFonts w:ascii="Calibri" w:hAnsi="Calibri" w:cs="Calibri"/>
          <w:b/>
        </w:rPr>
        <w:t>transparentním způsobem</w:t>
      </w:r>
      <w:r w:rsidRPr="00DC3F04">
        <w:rPr>
          <w:rFonts w:ascii="Calibri" w:hAnsi="Calibri" w:cs="Calibri"/>
          <w:b/>
        </w:rPr>
        <w:t xml:space="preserve">, </w:t>
      </w:r>
      <w:r w:rsidR="004F3A42">
        <w:rPr>
          <w:rFonts w:ascii="Calibri" w:hAnsi="Calibri" w:cs="Calibri"/>
          <w:b/>
        </w:rPr>
        <w:t xml:space="preserve">a to </w:t>
      </w:r>
      <w:r w:rsidRPr="00DC3F04">
        <w:rPr>
          <w:rFonts w:ascii="Calibri" w:hAnsi="Calibri" w:cs="Calibri"/>
          <w:b/>
        </w:rPr>
        <w:t xml:space="preserve">zejména při vyhlášení </w:t>
      </w:r>
      <w:r w:rsidR="00216450" w:rsidRPr="00DC3F04">
        <w:rPr>
          <w:rFonts w:ascii="Calibri" w:hAnsi="Calibri" w:cs="Calibri"/>
          <w:b/>
        </w:rPr>
        <w:t>první veřejné</w:t>
      </w:r>
      <w:r w:rsidR="0021645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soutěže</w:t>
      </w:r>
      <w:r w:rsidR="00216450">
        <w:rPr>
          <w:rFonts w:ascii="Calibri" w:hAnsi="Calibri" w:cs="Calibri"/>
          <w:b/>
        </w:rPr>
        <w:t xml:space="preserve"> programu ALFA</w:t>
      </w:r>
      <w:r>
        <w:rPr>
          <w:rFonts w:ascii="Calibri" w:hAnsi="Calibri" w:cs="Calibri"/>
          <w:b/>
        </w:rPr>
        <w:t xml:space="preserve"> a </w:t>
      </w:r>
      <w:r w:rsidR="004F3A42">
        <w:rPr>
          <w:rFonts w:ascii="Calibri" w:hAnsi="Calibri" w:cs="Calibri"/>
          <w:b/>
        </w:rPr>
        <w:t xml:space="preserve">při </w:t>
      </w:r>
      <w:r>
        <w:rPr>
          <w:rFonts w:ascii="Calibri" w:hAnsi="Calibri" w:cs="Calibri"/>
          <w:b/>
        </w:rPr>
        <w:t xml:space="preserve">hodnocení projektů </w:t>
      </w:r>
      <w:r w:rsidR="00216450">
        <w:rPr>
          <w:rFonts w:ascii="Calibri" w:hAnsi="Calibri" w:cs="Calibri"/>
          <w:b/>
        </w:rPr>
        <w:t>ve čtvrté ve</w:t>
      </w:r>
      <w:r w:rsidR="003A1C8D">
        <w:rPr>
          <w:rFonts w:ascii="Calibri" w:hAnsi="Calibri" w:cs="Calibri"/>
          <w:b/>
        </w:rPr>
        <w:t>řejné soutěži podprogramu 3 ALFA</w:t>
      </w:r>
      <w:r w:rsidRPr="00BA2CD3">
        <w:rPr>
          <w:rFonts w:ascii="Calibri" w:hAnsi="Calibri" w:cs="Calibri"/>
          <w:b/>
        </w:rPr>
        <w:t xml:space="preserve">. </w:t>
      </w:r>
      <w:r w:rsidR="00AB742D">
        <w:rPr>
          <w:rFonts w:ascii="Calibri" w:hAnsi="Calibri" w:cs="Calibri"/>
          <w:b/>
        </w:rPr>
        <w:t>Přestože k</w:t>
      </w:r>
      <w:r w:rsidRPr="00BA2CD3">
        <w:rPr>
          <w:rFonts w:ascii="Calibri" w:hAnsi="Calibri" w:cs="Calibri"/>
          <w:b/>
        </w:rPr>
        <w:t>ontrolou nebyl zjištěn diskriminační způsob výběru příjemců</w:t>
      </w:r>
      <w:r w:rsidR="00AB742D">
        <w:rPr>
          <w:rFonts w:ascii="Calibri" w:hAnsi="Calibri" w:cs="Calibri"/>
          <w:b/>
        </w:rPr>
        <w:t>, r</w:t>
      </w:r>
      <w:r>
        <w:rPr>
          <w:rFonts w:ascii="Calibri" w:hAnsi="Calibri" w:cs="Calibri"/>
          <w:b/>
        </w:rPr>
        <w:t xml:space="preserve">iziko </w:t>
      </w:r>
      <w:r w:rsidR="00AB742D">
        <w:rPr>
          <w:rFonts w:ascii="Calibri" w:hAnsi="Calibri" w:cs="Calibri"/>
          <w:b/>
        </w:rPr>
        <w:t>nerovnosti podmínek</w:t>
      </w:r>
      <w:r w:rsidR="00C41EFA">
        <w:rPr>
          <w:rFonts w:ascii="Calibri" w:hAnsi="Calibri" w:cs="Calibri"/>
          <w:b/>
        </w:rPr>
        <w:t xml:space="preserve"> lze spatřovat v identifikované personální provázanosti osob, které jsou členy poradních orgánů </w:t>
      </w:r>
      <w:r w:rsidR="000D6081">
        <w:rPr>
          <w:rFonts w:ascii="Calibri" w:hAnsi="Calibri" w:cs="Calibri"/>
          <w:b/>
        </w:rPr>
        <w:br/>
      </w:r>
      <w:r w:rsidR="00C41EFA">
        <w:rPr>
          <w:rFonts w:ascii="Calibri" w:hAnsi="Calibri" w:cs="Calibri"/>
          <w:b/>
        </w:rPr>
        <w:t>TA ČR</w:t>
      </w:r>
      <w:r w:rsidR="000D6081">
        <w:rPr>
          <w:rFonts w:ascii="Calibri" w:hAnsi="Calibri" w:cs="Calibri"/>
          <w:b/>
        </w:rPr>
        <w:t>,</w:t>
      </w:r>
      <w:r w:rsidR="00C41EFA">
        <w:rPr>
          <w:rFonts w:ascii="Calibri" w:hAnsi="Calibri" w:cs="Calibri"/>
          <w:b/>
        </w:rPr>
        <w:t xml:space="preserve"> s příjemci </w:t>
      </w:r>
      <w:r w:rsidR="00EE485C">
        <w:rPr>
          <w:rFonts w:ascii="Calibri" w:hAnsi="Calibri" w:cs="Calibri"/>
          <w:b/>
        </w:rPr>
        <w:t>podpory.</w:t>
      </w:r>
    </w:p>
    <w:p w14:paraId="0BB2B4C8" w14:textId="77777777" w:rsidR="002F3302" w:rsidRDefault="00A5078C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BA2CD3">
        <w:rPr>
          <w:rFonts w:ascii="Calibri" w:hAnsi="Calibri" w:cs="Calibri"/>
          <w:b/>
        </w:rPr>
        <w:t>Hodnoticí kritéria projektů v </w:t>
      </w:r>
      <w:r w:rsidR="00FC487A">
        <w:rPr>
          <w:rFonts w:ascii="Calibri" w:hAnsi="Calibri" w:cs="Calibri"/>
          <w:b/>
        </w:rPr>
        <w:t>první</w:t>
      </w:r>
      <w:r w:rsidRPr="00BA2CD3">
        <w:rPr>
          <w:rFonts w:ascii="Calibri" w:hAnsi="Calibri" w:cs="Calibri"/>
          <w:b/>
        </w:rPr>
        <w:t xml:space="preserve"> veře</w:t>
      </w:r>
      <w:r w:rsidR="00AB742D">
        <w:rPr>
          <w:rFonts w:ascii="Calibri" w:hAnsi="Calibri" w:cs="Calibri"/>
          <w:b/>
        </w:rPr>
        <w:t>jné soutěži programu ALFA nebyla jasně stanovena</w:t>
      </w:r>
      <w:r w:rsidRPr="00BA2CD3">
        <w:rPr>
          <w:rFonts w:ascii="Calibri" w:hAnsi="Calibri" w:cs="Calibri"/>
          <w:b/>
        </w:rPr>
        <w:t>. V ostatních soutěžích programu ALFA a v </w:t>
      </w:r>
      <w:r w:rsidR="0025628A">
        <w:rPr>
          <w:rFonts w:ascii="Calibri" w:hAnsi="Calibri" w:cs="Calibri"/>
          <w:b/>
        </w:rPr>
        <w:t>dalších</w:t>
      </w:r>
      <w:r w:rsidRPr="00BA2CD3">
        <w:rPr>
          <w:rFonts w:ascii="Calibri" w:hAnsi="Calibri" w:cs="Calibri"/>
          <w:b/>
        </w:rPr>
        <w:t xml:space="preserve"> progra</w:t>
      </w:r>
      <w:r w:rsidR="00AB742D">
        <w:rPr>
          <w:rFonts w:ascii="Calibri" w:hAnsi="Calibri" w:cs="Calibri"/>
          <w:b/>
        </w:rPr>
        <w:t>mech již byl</w:t>
      </w:r>
      <w:r w:rsidR="00B54028">
        <w:rPr>
          <w:rFonts w:ascii="Calibri" w:hAnsi="Calibri" w:cs="Calibri"/>
          <w:b/>
        </w:rPr>
        <w:t xml:space="preserve"> </w:t>
      </w:r>
      <w:r w:rsidR="00B54028" w:rsidRPr="000F74CC">
        <w:rPr>
          <w:rFonts w:ascii="Calibri" w:hAnsi="Calibri" w:cs="Calibri"/>
          <w:b/>
        </w:rPr>
        <w:t>tento nedostatek odstraněn.</w:t>
      </w:r>
      <w:r w:rsidR="002F3302" w:rsidRPr="002F3302">
        <w:rPr>
          <w:rFonts w:ascii="Calibri" w:hAnsi="Calibri" w:cs="Calibri"/>
          <w:b/>
        </w:rPr>
        <w:t xml:space="preserve"> </w:t>
      </w:r>
    </w:p>
    <w:p w14:paraId="61CE08CA" w14:textId="77777777" w:rsidR="00EE485C" w:rsidRPr="002F3302" w:rsidRDefault="00737251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TA ČR </w:t>
      </w:r>
      <w:r w:rsidR="007C384E">
        <w:rPr>
          <w:rFonts w:ascii="Calibri" w:hAnsi="Calibri" w:cs="Calibri"/>
          <w:b/>
        </w:rPr>
        <w:t>uzavírá smlouvy</w:t>
      </w:r>
      <w:r>
        <w:rPr>
          <w:rFonts w:ascii="Calibri" w:hAnsi="Calibri" w:cs="Calibri"/>
          <w:b/>
        </w:rPr>
        <w:t xml:space="preserve"> o </w:t>
      </w:r>
      <w:r w:rsidR="002F3302" w:rsidRPr="00B57081">
        <w:rPr>
          <w:rFonts w:ascii="Calibri" w:hAnsi="Calibri" w:cs="Calibri"/>
          <w:b/>
        </w:rPr>
        <w:t>poskytnutí účelové podpory</w:t>
      </w:r>
      <w:r w:rsidR="007C384E">
        <w:rPr>
          <w:rFonts w:ascii="Calibri" w:hAnsi="Calibri" w:cs="Calibri"/>
          <w:b/>
        </w:rPr>
        <w:t>, ve kterých byly zjištěny nedostatky,</w:t>
      </w:r>
      <w:r w:rsidR="002F3302" w:rsidRPr="00B57081">
        <w:rPr>
          <w:rFonts w:ascii="Calibri" w:hAnsi="Calibri" w:cs="Calibri"/>
          <w:b/>
        </w:rPr>
        <w:t xml:space="preserve"> a </w:t>
      </w:r>
      <w:r>
        <w:rPr>
          <w:rFonts w:ascii="Calibri" w:hAnsi="Calibri" w:cs="Calibri"/>
          <w:b/>
        </w:rPr>
        <w:t>dále některé dokumenty</w:t>
      </w:r>
      <w:r w:rsidR="007C384E">
        <w:rPr>
          <w:rFonts w:ascii="Calibri" w:hAnsi="Calibri" w:cs="Calibri"/>
          <w:b/>
        </w:rPr>
        <w:t xml:space="preserve"> vytvářené</w:t>
      </w:r>
      <w:r w:rsidR="0094314A">
        <w:rPr>
          <w:rFonts w:ascii="Calibri" w:hAnsi="Calibri" w:cs="Calibri"/>
          <w:b/>
        </w:rPr>
        <w:t xml:space="preserve"> pro příjemce podpory</w:t>
      </w:r>
      <w:r w:rsidR="002F3302" w:rsidRPr="00B5708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nebyly </w:t>
      </w:r>
      <w:r w:rsidR="002F3302" w:rsidRPr="00B57081">
        <w:rPr>
          <w:rFonts w:ascii="Calibri" w:hAnsi="Calibri" w:cs="Calibri"/>
          <w:b/>
        </w:rPr>
        <w:t xml:space="preserve">s těmito smlouvami </w:t>
      </w:r>
      <w:r>
        <w:rPr>
          <w:rFonts w:ascii="Calibri" w:hAnsi="Calibri" w:cs="Calibri"/>
          <w:b/>
        </w:rPr>
        <w:t>v souladu</w:t>
      </w:r>
      <w:r w:rsidR="002F3302">
        <w:rPr>
          <w:rFonts w:ascii="Calibri" w:hAnsi="Calibri" w:cs="Calibri"/>
          <w:b/>
        </w:rPr>
        <w:t>.</w:t>
      </w:r>
    </w:p>
    <w:p w14:paraId="383406B3" w14:textId="2E4EB514" w:rsidR="002F3302" w:rsidRDefault="0094314A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Obsah souhrnných</w:t>
      </w:r>
      <w:r w:rsidR="00B54028" w:rsidRPr="00DC3F04">
        <w:rPr>
          <w:rFonts w:ascii="Calibri" w:hAnsi="Calibri" w:cs="Calibri"/>
          <w:b/>
        </w:rPr>
        <w:t xml:space="preserve"> informací </w:t>
      </w:r>
      <w:r>
        <w:rPr>
          <w:rFonts w:ascii="Calibri" w:hAnsi="Calibri" w:cs="Calibri"/>
          <w:b/>
        </w:rPr>
        <w:t xml:space="preserve">o projektech </w:t>
      </w:r>
      <w:r w:rsidR="00B54028" w:rsidRPr="00DC3F04">
        <w:rPr>
          <w:rFonts w:ascii="Calibri" w:hAnsi="Calibri" w:cs="Calibri"/>
          <w:b/>
        </w:rPr>
        <w:t xml:space="preserve">a systém jejich sběru </w:t>
      </w:r>
      <w:r>
        <w:rPr>
          <w:rFonts w:ascii="Calibri" w:hAnsi="Calibri" w:cs="Calibri"/>
          <w:b/>
        </w:rPr>
        <w:t>j</w:t>
      </w:r>
      <w:r w:rsidR="004F3A42">
        <w:rPr>
          <w:rFonts w:ascii="Calibri" w:hAnsi="Calibri" w:cs="Calibri"/>
          <w:b/>
        </w:rPr>
        <w:t>sou</w:t>
      </w:r>
      <w:r>
        <w:rPr>
          <w:rFonts w:ascii="Calibri" w:hAnsi="Calibri" w:cs="Calibri"/>
          <w:b/>
        </w:rPr>
        <w:t xml:space="preserve"> </w:t>
      </w:r>
      <w:r w:rsidR="00711432" w:rsidRPr="00DC3F04">
        <w:rPr>
          <w:rFonts w:ascii="Calibri" w:hAnsi="Calibri" w:cs="Calibri"/>
          <w:b/>
        </w:rPr>
        <w:t>stanoven</w:t>
      </w:r>
      <w:r w:rsidR="004F3A42">
        <w:rPr>
          <w:rFonts w:ascii="Calibri" w:hAnsi="Calibri" w:cs="Calibri"/>
          <w:b/>
        </w:rPr>
        <w:t>y</w:t>
      </w:r>
      <w:r w:rsidR="00B54028" w:rsidRPr="00DC3F04">
        <w:rPr>
          <w:rFonts w:ascii="Calibri" w:hAnsi="Calibri" w:cs="Calibri"/>
          <w:b/>
        </w:rPr>
        <w:t xml:space="preserve"> vnitřními předpisy. </w:t>
      </w:r>
      <w:r>
        <w:rPr>
          <w:rFonts w:ascii="Calibri" w:hAnsi="Calibri" w:cs="Calibri"/>
          <w:b/>
        </w:rPr>
        <w:t>TA ČR v</w:t>
      </w:r>
      <w:r w:rsidR="00711432" w:rsidRPr="00DC3F04">
        <w:rPr>
          <w:rFonts w:ascii="Calibri" w:hAnsi="Calibri" w:cs="Calibri"/>
          <w:b/>
        </w:rPr>
        <w:t>yhodnocuje jednotlivé projekty v rámci oponentních řízení</w:t>
      </w:r>
      <w:r w:rsidR="00BB194E" w:rsidRPr="00DC3F04">
        <w:rPr>
          <w:rFonts w:ascii="Calibri" w:hAnsi="Calibri" w:cs="Calibri"/>
          <w:b/>
        </w:rPr>
        <w:t xml:space="preserve">, </w:t>
      </w:r>
      <w:r w:rsidR="00711432" w:rsidRPr="00DC3F04">
        <w:rPr>
          <w:rFonts w:ascii="Calibri" w:hAnsi="Calibri" w:cs="Calibri"/>
          <w:b/>
        </w:rPr>
        <w:t>p</w:t>
      </w:r>
      <w:r w:rsidR="00BB194E" w:rsidRPr="00DC3F04">
        <w:rPr>
          <w:rFonts w:ascii="Calibri" w:hAnsi="Calibri" w:cs="Calibri"/>
          <w:b/>
        </w:rPr>
        <w:t>růběžných či závěrečných zpráv a kontrolou plnění implementačních plánů.</w:t>
      </w:r>
      <w:r w:rsidR="002F3302" w:rsidRPr="002F3302">
        <w:rPr>
          <w:rFonts w:ascii="Calibri" w:hAnsi="Calibri" w:cs="Calibri"/>
          <w:b/>
        </w:rPr>
        <w:t xml:space="preserve"> </w:t>
      </w:r>
    </w:p>
    <w:p w14:paraId="3EF1C849" w14:textId="77777777" w:rsidR="00997710" w:rsidRPr="00DC3F04" w:rsidRDefault="0025628A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DC3F04">
        <w:rPr>
          <w:rFonts w:ascii="Calibri" w:hAnsi="Calibri" w:cs="Calibri"/>
          <w:b/>
        </w:rPr>
        <w:t xml:space="preserve">Dopady podpory </w:t>
      </w:r>
      <w:r w:rsidR="0094314A">
        <w:rPr>
          <w:rFonts w:ascii="Calibri" w:hAnsi="Calibri" w:cs="Calibri"/>
          <w:b/>
        </w:rPr>
        <w:t>jsou hodnoceny</w:t>
      </w:r>
      <w:r w:rsidRPr="00DC3F04">
        <w:rPr>
          <w:rFonts w:ascii="Calibri" w:hAnsi="Calibri" w:cs="Calibri"/>
          <w:b/>
        </w:rPr>
        <w:t xml:space="preserve"> dle plnění přínosů na základě implementačních plánů. TA </w:t>
      </w:r>
      <w:r w:rsidR="003A1C8D" w:rsidRPr="00DC3F04">
        <w:rPr>
          <w:rFonts w:ascii="Calibri" w:hAnsi="Calibri" w:cs="Calibri"/>
          <w:b/>
        </w:rPr>
        <w:t>ČR analyzovala 378 implementačních plánů projektů a zjistila, že</w:t>
      </w:r>
      <w:r w:rsidR="00BA36F5">
        <w:rPr>
          <w:rFonts w:ascii="Calibri" w:hAnsi="Calibri" w:cs="Calibri"/>
          <w:b/>
        </w:rPr>
        <w:t>:</w:t>
      </w:r>
      <w:r w:rsidR="003A1C8D" w:rsidRPr="00DC3F04">
        <w:rPr>
          <w:rFonts w:ascii="Calibri" w:hAnsi="Calibri" w:cs="Calibri"/>
          <w:b/>
        </w:rPr>
        <w:t xml:space="preserve"> </w:t>
      </w:r>
      <w:r w:rsidR="00BA36F5" w:rsidRPr="00C82316">
        <w:rPr>
          <w:rFonts w:ascii="Calibri" w:hAnsi="Calibri" w:cs="Calibri"/>
          <w:b/>
          <w:i/>
        </w:rPr>
        <w:t>„</w:t>
      </w:r>
      <w:r w:rsidR="003A1C8D" w:rsidRPr="00BA36F5">
        <w:rPr>
          <w:rFonts w:ascii="Calibri" w:hAnsi="Calibri" w:cs="Calibri"/>
          <w:b/>
          <w:i/>
        </w:rPr>
        <w:t>ve značném množství případů se silně rozchází očekávaný nebo prokázaný ekonomický přínos s náklady projektů</w:t>
      </w:r>
      <w:r w:rsidR="003A1C8D" w:rsidRPr="00C82316">
        <w:rPr>
          <w:rFonts w:ascii="Calibri" w:hAnsi="Calibri" w:cs="Calibri"/>
          <w:b/>
          <w:i/>
        </w:rPr>
        <w:t>.</w:t>
      </w:r>
      <w:r w:rsidR="00BA36F5" w:rsidRPr="00C82316">
        <w:rPr>
          <w:rFonts w:ascii="Calibri" w:hAnsi="Calibri" w:cs="Calibri"/>
          <w:b/>
          <w:i/>
        </w:rPr>
        <w:t>“</w:t>
      </w:r>
      <w:r w:rsidR="00997710" w:rsidRPr="004F3A42">
        <w:rPr>
          <w:rFonts w:ascii="Calibri" w:hAnsi="Calibri" w:cs="Calibri"/>
          <w:b/>
        </w:rPr>
        <w:t xml:space="preserve"> </w:t>
      </w:r>
    </w:p>
    <w:p w14:paraId="5C9D6864" w14:textId="77777777" w:rsidR="002F3302" w:rsidRDefault="002F3302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3D61EA">
        <w:rPr>
          <w:rFonts w:ascii="Calibri" w:hAnsi="Calibri" w:cs="Calibri"/>
          <w:b/>
        </w:rPr>
        <w:t xml:space="preserve">Dosaženými výsledky u kontrolovaných projektů byly převážně odborné články. Strukturu dosažených výsledků zkreslily i nepovinné výsledky vedené v IS VaVaI. </w:t>
      </w:r>
    </w:p>
    <w:p w14:paraId="1DBAB64C" w14:textId="0F199A4D" w:rsidR="00350760" w:rsidRPr="00350760" w:rsidRDefault="00997710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AA119C">
        <w:rPr>
          <w:rFonts w:ascii="Calibri" w:hAnsi="Calibri" w:cs="Calibri"/>
          <w:b/>
        </w:rPr>
        <w:t>TA ČR d</w:t>
      </w:r>
      <w:r w:rsidR="00F37157" w:rsidRPr="00AA119C">
        <w:rPr>
          <w:rFonts w:ascii="Calibri" w:hAnsi="Calibri" w:cs="Calibri"/>
          <w:b/>
        </w:rPr>
        <w:t xml:space="preserve">ůsledně nevyžadovala </w:t>
      </w:r>
      <w:r w:rsidRPr="00AA119C">
        <w:rPr>
          <w:rFonts w:ascii="Calibri" w:hAnsi="Calibri" w:cs="Calibri"/>
          <w:b/>
        </w:rPr>
        <w:t>uzavírání smluv o využití výsledků v zákonem stanoveném termínu, což v některých případech vedlo k nenaplňování implementačního plánu a v důsledku</w:t>
      </w:r>
      <w:r w:rsidR="00350760">
        <w:rPr>
          <w:rFonts w:ascii="Calibri" w:hAnsi="Calibri" w:cs="Calibri"/>
          <w:b/>
        </w:rPr>
        <w:t xml:space="preserve"> i k oddálení komerčního využití</w:t>
      </w:r>
      <w:r w:rsidRPr="00AA119C">
        <w:rPr>
          <w:rFonts w:ascii="Calibri" w:hAnsi="Calibri" w:cs="Calibri"/>
          <w:b/>
        </w:rPr>
        <w:t xml:space="preserve"> výsledků.</w:t>
      </w:r>
      <w:r w:rsidR="00F37157" w:rsidRPr="00AA119C">
        <w:rPr>
          <w:rFonts w:ascii="Calibri" w:hAnsi="Calibri" w:cs="Calibri"/>
          <w:b/>
        </w:rPr>
        <w:t xml:space="preserve"> </w:t>
      </w:r>
      <w:r w:rsidR="00E550F5" w:rsidRPr="00AA119C">
        <w:rPr>
          <w:rFonts w:ascii="Calibri" w:hAnsi="Calibri" w:cs="Calibri"/>
          <w:b/>
        </w:rPr>
        <w:t>Při kontrole projektů</w:t>
      </w:r>
      <w:r w:rsidR="00E85BFF" w:rsidRPr="00AA119C">
        <w:rPr>
          <w:rFonts w:ascii="Calibri" w:hAnsi="Calibri" w:cs="Calibri"/>
          <w:b/>
        </w:rPr>
        <w:t xml:space="preserve"> </w:t>
      </w:r>
      <w:r w:rsidR="00E550F5" w:rsidRPr="00AA119C">
        <w:rPr>
          <w:rFonts w:ascii="Calibri" w:hAnsi="Calibri" w:cs="Calibri"/>
          <w:b/>
        </w:rPr>
        <w:t>u příjemců bylo zjištěno, že 72 % smluv o využití výsledků nebylo uzavřeno řádně a včas.</w:t>
      </w:r>
      <w:r w:rsidR="00AA119C" w:rsidRPr="00AA119C">
        <w:rPr>
          <w:rFonts w:ascii="Calibri" w:hAnsi="Calibri" w:cs="Calibri"/>
          <w:b/>
        </w:rPr>
        <w:t xml:space="preserve"> U pěti z osmi</w:t>
      </w:r>
      <w:r w:rsidR="00A7268A" w:rsidRPr="00AA119C">
        <w:rPr>
          <w:rFonts w:ascii="Calibri" w:hAnsi="Calibri" w:cs="Calibri"/>
          <w:b/>
        </w:rPr>
        <w:t xml:space="preserve"> kontrolovaných projektů</w:t>
      </w:r>
      <w:r w:rsidR="004604A9">
        <w:rPr>
          <w:rFonts w:ascii="Calibri" w:hAnsi="Calibri" w:cs="Calibri"/>
          <w:b/>
        </w:rPr>
        <w:t xml:space="preserve"> ukončených k 31.</w:t>
      </w:r>
      <w:r w:rsidR="005738F8">
        <w:rPr>
          <w:rFonts w:ascii="Calibri" w:hAnsi="Calibri" w:cs="Calibri"/>
          <w:b/>
        </w:rPr>
        <w:t xml:space="preserve"> prosinci </w:t>
      </w:r>
      <w:r w:rsidR="004604A9">
        <w:rPr>
          <w:rFonts w:ascii="Calibri" w:hAnsi="Calibri" w:cs="Calibri"/>
          <w:b/>
        </w:rPr>
        <w:t>2013</w:t>
      </w:r>
      <w:r w:rsidR="00A7268A" w:rsidRPr="00AA119C">
        <w:rPr>
          <w:rFonts w:ascii="Calibri" w:hAnsi="Calibri" w:cs="Calibri"/>
          <w:b/>
        </w:rPr>
        <w:t xml:space="preserve"> (tj. 63 %) nebylo dosaženo plánovaných přínosů.</w:t>
      </w:r>
      <w:r w:rsidR="00A7268A" w:rsidRPr="00AA119C">
        <w:rPr>
          <w:rFonts w:ascii="Calibri" w:hAnsi="Calibri" w:cs="Calibri"/>
        </w:rPr>
        <w:t xml:space="preserve"> </w:t>
      </w:r>
    </w:p>
    <w:p w14:paraId="1EF03FA7" w14:textId="53184E60" w:rsidR="005B43F2" w:rsidRPr="00B57081" w:rsidRDefault="005B43F2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</w:rPr>
      </w:pPr>
      <w:r w:rsidRPr="00B57081">
        <w:rPr>
          <w:rFonts w:ascii="Calibri" w:hAnsi="Calibri" w:cs="Calibri"/>
          <w:b/>
        </w:rPr>
        <w:t xml:space="preserve">Kontrole byly podrobeny uznané náklady u příjemců v celkové výši 301,3 mil. Kč s podporou ze státního rozpočtu v celkové výši 208,3 mil. Kč. U osmi projektů byly zjištěny nedostatky, které NKÚ vyhodnotil jako porušení rozpočtové kázně v celkové výši 5,1 mil. Kč. </w:t>
      </w:r>
    </w:p>
    <w:p w14:paraId="01C6AC6F" w14:textId="724791D4" w:rsidR="00D16ADF" w:rsidRPr="00B57081" w:rsidRDefault="00F72DED" w:rsidP="005317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</w:rPr>
      </w:pPr>
      <w:r w:rsidRPr="00F72DED">
        <w:rPr>
          <w:rFonts w:ascii="Calibri" w:hAnsi="Calibri" w:cs="Calibri"/>
          <w:b/>
        </w:rPr>
        <w:t xml:space="preserve">Česká republika nedosahuje </w:t>
      </w:r>
      <w:r w:rsidR="004F3A42">
        <w:rPr>
          <w:rFonts w:ascii="Calibri" w:hAnsi="Calibri" w:cs="Calibri"/>
          <w:b/>
        </w:rPr>
        <w:t xml:space="preserve">dle indikátoru </w:t>
      </w:r>
      <w:r w:rsidRPr="00F72DED">
        <w:rPr>
          <w:rFonts w:ascii="Calibri" w:hAnsi="Calibri" w:cs="Calibri"/>
          <w:b/>
        </w:rPr>
        <w:t>inovační výkonnosti</w:t>
      </w:r>
      <w:r w:rsidR="00D16ADF">
        <w:rPr>
          <w:rStyle w:val="Znakapoznpodarou"/>
          <w:rFonts w:ascii="Calibri" w:hAnsi="Calibri" w:cs="Calibri"/>
          <w:b/>
        </w:rPr>
        <w:footnoteReference w:id="14"/>
      </w:r>
      <w:r w:rsidRPr="00F72DED">
        <w:rPr>
          <w:rFonts w:ascii="Calibri" w:hAnsi="Calibri" w:cs="Calibri"/>
          <w:b/>
        </w:rPr>
        <w:t xml:space="preserve"> evropského průměru</w:t>
      </w:r>
      <w:r w:rsidR="00F37157">
        <w:rPr>
          <w:rFonts w:ascii="Calibri" w:hAnsi="Calibri" w:cs="Calibri"/>
          <w:b/>
        </w:rPr>
        <w:t>.</w:t>
      </w:r>
      <w:r w:rsidR="00AA119C">
        <w:rPr>
          <w:rFonts w:ascii="Calibri" w:hAnsi="Calibri" w:cs="Calibri"/>
          <w:b/>
        </w:rPr>
        <w:t xml:space="preserve"> </w:t>
      </w:r>
      <w:r w:rsidR="0087066E" w:rsidRPr="00034AA9">
        <w:rPr>
          <w:rFonts w:asciiTheme="minorHAnsi" w:hAnsiTheme="minorHAnsi" w:cstheme="minorHAnsi"/>
          <w:b/>
        </w:rPr>
        <w:t xml:space="preserve">Z mezinárodního srovnání </w:t>
      </w:r>
      <w:r w:rsidR="004F3A42" w:rsidRPr="00034AA9">
        <w:rPr>
          <w:rFonts w:asciiTheme="minorHAnsi" w:hAnsiTheme="minorHAnsi" w:cstheme="minorHAnsi"/>
          <w:b/>
        </w:rPr>
        <w:t xml:space="preserve">indikátoru </w:t>
      </w:r>
      <w:r w:rsidR="0087066E" w:rsidRPr="00034AA9">
        <w:rPr>
          <w:rFonts w:asciiTheme="minorHAnsi" w:hAnsiTheme="minorHAnsi" w:cstheme="minorHAnsi"/>
          <w:b/>
        </w:rPr>
        <w:t>inovační výkon</w:t>
      </w:r>
      <w:r w:rsidR="00AA119C" w:rsidRPr="00034AA9">
        <w:rPr>
          <w:rFonts w:asciiTheme="minorHAnsi" w:hAnsiTheme="minorHAnsi" w:cstheme="minorHAnsi"/>
          <w:b/>
        </w:rPr>
        <w:t>nosti</w:t>
      </w:r>
      <w:r w:rsidR="0087066E" w:rsidRPr="00034AA9">
        <w:rPr>
          <w:rFonts w:asciiTheme="minorHAnsi" w:hAnsiTheme="minorHAnsi" w:cstheme="minorHAnsi"/>
          <w:b/>
        </w:rPr>
        <w:t xml:space="preserve"> je zřejmé, že Česká republika je pod průměrem EU, ačkoliv dle ukazatele </w:t>
      </w:r>
      <w:r w:rsidR="0025628A">
        <w:rPr>
          <w:rFonts w:asciiTheme="minorHAnsi" w:hAnsiTheme="minorHAnsi" w:cstheme="minorHAnsi"/>
          <w:b/>
        </w:rPr>
        <w:t>„</w:t>
      </w:r>
      <w:r w:rsidR="00AA119C" w:rsidRPr="00C82316">
        <w:rPr>
          <w:rFonts w:asciiTheme="minorHAnsi" w:hAnsiTheme="minorHAnsi" w:cstheme="minorHAnsi"/>
          <w:b/>
        </w:rPr>
        <w:t>státní roz</w:t>
      </w:r>
      <w:r w:rsidR="0025628A" w:rsidRPr="00C82316">
        <w:rPr>
          <w:rFonts w:asciiTheme="minorHAnsi" w:hAnsiTheme="minorHAnsi" w:cstheme="minorHAnsi"/>
          <w:b/>
        </w:rPr>
        <w:t>počtové výdaje a dotace na VaV</w:t>
      </w:r>
      <w:r w:rsidR="002646BF" w:rsidRPr="00C82316">
        <w:rPr>
          <w:rFonts w:asciiTheme="minorHAnsi" w:hAnsiTheme="minorHAnsi" w:cstheme="minorHAnsi"/>
          <w:b/>
        </w:rPr>
        <w:t>aI</w:t>
      </w:r>
      <w:r w:rsidR="0025628A" w:rsidRPr="00C82316">
        <w:rPr>
          <w:rFonts w:asciiTheme="minorHAnsi" w:hAnsiTheme="minorHAnsi" w:cstheme="minorHAnsi"/>
          <w:b/>
        </w:rPr>
        <w:t xml:space="preserve"> v procentech</w:t>
      </w:r>
      <w:r w:rsidR="00AA119C" w:rsidRPr="00C82316">
        <w:rPr>
          <w:rFonts w:asciiTheme="minorHAnsi" w:hAnsiTheme="minorHAnsi" w:cstheme="minorHAnsi"/>
          <w:b/>
        </w:rPr>
        <w:t xml:space="preserve"> na HDP</w:t>
      </w:r>
      <w:r w:rsidR="0025628A">
        <w:rPr>
          <w:rFonts w:asciiTheme="minorHAnsi" w:hAnsiTheme="minorHAnsi" w:cstheme="minorHAnsi"/>
          <w:b/>
        </w:rPr>
        <w:t>“</w:t>
      </w:r>
      <w:r w:rsidR="0087066E" w:rsidRPr="00034AA9">
        <w:rPr>
          <w:rFonts w:asciiTheme="minorHAnsi" w:hAnsiTheme="minorHAnsi" w:cstheme="minorHAnsi"/>
          <w:b/>
        </w:rPr>
        <w:t xml:space="preserve"> je ČR srovnatelná s průměrem EU</w:t>
      </w:r>
      <w:r w:rsidR="00157FCD">
        <w:rPr>
          <w:rFonts w:asciiTheme="minorHAnsi" w:hAnsiTheme="minorHAnsi" w:cstheme="minorHAnsi"/>
          <w:b/>
        </w:rPr>
        <w:t xml:space="preserve"> </w:t>
      </w:r>
      <w:r w:rsidR="002646BF">
        <w:rPr>
          <w:rFonts w:asciiTheme="minorHAnsi" w:hAnsiTheme="minorHAnsi" w:cstheme="minorHAnsi"/>
        </w:rPr>
        <w:t>(</w:t>
      </w:r>
      <w:r w:rsidR="000F36FA">
        <w:rPr>
          <w:rFonts w:asciiTheme="minorHAnsi" w:hAnsiTheme="minorHAnsi" w:cstheme="minorHAnsi"/>
        </w:rPr>
        <w:t>viz</w:t>
      </w:r>
      <w:r w:rsidR="00B70CEC">
        <w:rPr>
          <w:rFonts w:asciiTheme="minorHAnsi" w:hAnsiTheme="minorHAnsi" w:cstheme="minorHAnsi"/>
        </w:rPr>
        <w:t> </w:t>
      </w:r>
      <w:r w:rsidR="000F36FA">
        <w:rPr>
          <w:rFonts w:asciiTheme="minorHAnsi" w:hAnsiTheme="minorHAnsi" w:cstheme="minorHAnsi"/>
        </w:rPr>
        <w:t>p</w:t>
      </w:r>
      <w:r w:rsidR="002646BF">
        <w:rPr>
          <w:rFonts w:asciiTheme="minorHAnsi" w:hAnsiTheme="minorHAnsi" w:cstheme="minorHAnsi"/>
        </w:rPr>
        <w:t xml:space="preserve">říloha č. 2 </w:t>
      </w:r>
      <w:r w:rsidR="000F36FA">
        <w:rPr>
          <w:rFonts w:asciiTheme="minorHAnsi" w:hAnsiTheme="minorHAnsi" w:cstheme="minorHAnsi"/>
        </w:rPr>
        <w:t xml:space="preserve">tohoto </w:t>
      </w:r>
      <w:r w:rsidR="002646BF">
        <w:rPr>
          <w:rFonts w:asciiTheme="minorHAnsi" w:hAnsiTheme="minorHAnsi" w:cstheme="minorHAnsi"/>
        </w:rPr>
        <w:t>kontrolního závěru</w:t>
      </w:r>
      <w:r w:rsidR="00157FCD" w:rsidRPr="00157FCD">
        <w:rPr>
          <w:rFonts w:asciiTheme="minorHAnsi" w:hAnsiTheme="minorHAnsi" w:cstheme="minorHAnsi"/>
        </w:rPr>
        <w:t>)</w:t>
      </w:r>
      <w:r w:rsidR="000F36FA">
        <w:rPr>
          <w:rFonts w:asciiTheme="minorHAnsi" w:hAnsiTheme="minorHAnsi" w:cstheme="minorHAnsi"/>
        </w:rPr>
        <w:t>.</w:t>
      </w:r>
    </w:p>
    <w:p w14:paraId="3DD1CBBB" w14:textId="77777777" w:rsidR="003D61EA" w:rsidRPr="003D61EA" w:rsidRDefault="003D61EA" w:rsidP="00A2314E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3481A1A0" w14:textId="3EB270F2" w:rsidR="0094314A" w:rsidRDefault="000F74CC" w:rsidP="00230F90">
      <w:pPr>
        <w:jc w:val="both"/>
        <w:rPr>
          <w:rFonts w:ascii="Calibri" w:hAnsi="Calibri" w:cs="Calibri"/>
          <w:b/>
        </w:rPr>
      </w:pPr>
      <w:r w:rsidRPr="000F74CC">
        <w:rPr>
          <w:rFonts w:ascii="Calibri" w:hAnsi="Calibri" w:cs="Calibri"/>
          <w:b/>
        </w:rPr>
        <w:t>TA ČR vznikla v roce 2009, prostředky začala poskytovat v roce 2011. Přestože první podpořené projekty byly ukončen</w:t>
      </w:r>
      <w:r w:rsidR="002677BF">
        <w:rPr>
          <w:rFonts w:ascii="Calibri" w:hAnsi="Calibri" w:cs="Calibri"/>
          <w:b/>
        </w:rPr>
        <w:t>y</w:t>
      </w:r>
      <w:r w:rsidRPr="000F74CC">
        <w:rPr>
          <w:rFonts w:ascii="Calibri" w:hAnsi="Calibri" w:cs="Calibri"/>
          <w:b/>
        </w:rPr>
        <w:t xml:space="preserve"> v roce 2013, doba pro komerční využití výsledků doposud neuplynula. NKÚ při kontrole neměl možnost komplexně vyhodnotit celkové </w:t>
      </w:r>
      <w:r w:rsidRPr="000F74CC">
        <w:rPr>
          <w:rFonts w:ascii="Calibri" w:hAnsi="Calibri" w:cs="Calibri"/>
          <w:b/>
        </w:rPr>
        <w:lastRenderedPageBreak/>
        <w:t xml:space="preserve">přínosy projektů, přesto byl kontrole podroben první rok plnění implementačního plánu na vzorku osmi ukončených projektů v roce 2013. </w:t>
      </w:r>
    </w:p>
    <w:p w14:paraId="6C2235B0" w14:textId="5EA3C25D" w:rsidR="000F74CC" w:rsidRDefault="007F6EFF" w:rsidP="00127FF9">
      <w:pPr>
        <w:spacing w:before="120"/>
        <w:jc w:val="both"/>
        <w:rPr>
          <w:rFonts w:ascii="Calibri" w:hAnsi="Calibri" w:cs="Calibri"/>
          <w:b/>
        </w:rPr>
      </w:pPr>
      <w:r w:rsidRPr="0094314A">
        <w:rPr>
          <w:rFonts w:ascii="Calibri" w:hAnsi="Calibri" w:cs="Calibri"/>
          <w:b/>
        </w:rPr>
        <w:t>Neuzavírání smluv o využití výsledků v zákonné lhůtě</w:t>
      </w:r>
      <w:r w:rsidR="00226E28">
        <w:rPr>
          <w:rFonts w:ascii="Calibri" w:hAnsi="Calibri" w:cs="Calibri"/>
          <w:b/>
        </w:rPr>
        <w:t>,</w:t>
      </w:r>
      <w:r w:rsidR="00A50A8F" w:rsidRPr="0094314A">
        <w:rPr>
          <w:rFonts w:ascii="Calibri" w:hAnsi="Calibri" w:cs="Calibri"/>
          <w:b/>
        </w:rPr>
        <w:t xml:space="preserve"> </w:t>
      </w:r>
      <w:r w:rsidR="00350760" w:rsidRPr="0094314A">
        <w:rPr>
          <w:rFonts w:ascii="Calibri" w:hAnsi="Calibri" w:cs="Calibri"/>
          <w:b/>
        </w:rPr>
        <w:t>resp. jejich neuzavírání</w:t>
      </w:r>
      <w:r w:rsidR="00A50A8F" w:rsidRPr="0094314A">
        <w:rPr>
          <w:rFonts w:ascii="Calibri" w:hAnsi="Calibri" w:cs="Calibri"/>
          <w:b/>
        </w:rPr>
        <w:t xml:space="preserve"> po </w:t>
      </w:r>
      <w:r w:rsidR="00350760" w:rsidRPr="0094314A">
        <w:rPr>
          <w:rFonts w:ascii="Calibri" w:hAnsi="Calibri" w:cs="Calibri"/>
          <w:b/>
        </w:rPr>
        <w:t>změně</w:t>
      </w:r>
      <w:r w:rsidR="00A50A8F" w:rsidRPr="0094314A">
        <w:rPr>
          <w:rFonts w:ascii="Calibri" w:hAnsi="Calibri" w:cs="Calibri"/>
          <w:b/>
        </w:rPr>
        <w:t xml:space="preserve"> zákona č. 130/2002 Sb.</w:t>
      </w:r>
      <w:r w:rsidR="00350760" w:rsidRPr="0094314A">
        <w:rPr>
          <w:rStyle w:val="Znakapoznpodarou"/>
          <w:rFonts w:ascii="Calibri" w:hAnsi="Calibri" w:cs="Calibri"/>
          <w:b/>
        </w:rPr>
        <w:footnoteReference w:id="15"/>
      </w:r>
      <w:r w:rsidRPr="0094314A">
        <w:rPr>
          <w:rFonts w:ascii="Calibri" w:hAnsi="Calibri" w:cs="Calibri"/>
          <w:b/>
        </w:rPr>
        <w:t xml:space="preserve"> je </w:t>
      </w:r>
      <w:r w:rsidR="0000285D">
        <w:rPr>
          <w:rFonts w:ascii="Calibri" w:hAnsi="Calibri" w:cs="Calibri"/>
          <w:b/>
        </w:rPr>
        <w:t xml:space="preserve">dle NKÚ </w:t>
      </w:r>
      <w:r w:rsidRPr="0094314A">
        <w:rPr>
          <w:rFonts w:ascii="Calibri" w:hAnsi="Calibri" w:cs="Calibri"/>
          <w:b/>
        </w:rPr>
        <w:t xml:space="preserve">rizikem pro </w:t>
      </w:r>
      <w:r w:rsidR="00350760" w:rsidRPr="0094314A">
        <w:rPr>
          <w:rFonts w:ascii="Calibri" w:hAnsi="Calibri" w:cs="Calibri"/>
          <w:b/>
        </w:rPr>
        <w:t>nedosažení přínosů projektů</w:t>
      </w:r>
      <w:r w:rsidR="0094314A">
        <w:rPr>
          <w:rFonts w:ascii="Calibri" w:hAnsi="Calibri" w:cs="Calibri"/>
          <w:b/>
        </w:rPr>
        <w:t>. TA ČR</w:t>
      </w:r>
      <w:r w:rsidR="0000285D">
        <w:rPr>
          <w:rFonts w:ascii="Calibri" w:hAnsi="Calibri" w:cs="Calibri"/>
          <w:b/>
        </w:rPr>
        <w:t xml:space="preserve"> již</w:t>
      </w:r>
      <w:r w:rsidR="0094314A">
        <w:rPr>
          <w:rFonts w:ascii="Calibri" w:hAnsi="Calibri" w:cs="Calibri"/>
          <w:b/>
        </w:rPr>
        <w:t xml:space="preserve"> při výběru projektů </w:t>
      </w:r>
      <w:r w:rsidR="00226E28">
        <w:rPr>
          <w:rFonts w:ascii="Calibri" w:hAnsi="Calibri" w:cs="Calibri"/>
          <w:b/>
        </w:rPr>
        <w:t xml:space="preserve">musí </w:t>
      </w:r>
      <w:r w:rsidR="0094314A">
        <w:rPr>
          <w:rFonts w:ascii="Calibri" w:hAnsi="Calibri" w:cs="Calibri"/>
          <w:b/>
        </w:rPr>
        <w:t xml:space="preserve">klást důraz na budoucí komerční využití výsledků projektů. </w:t>
      </w:r>
      <w:r w:rsidR="00226E28">
        <w:rPr>
          <w:rFonts w:ascii="Calibri" w:hAnsi="Calibri" w:cs="Calibri"/>
          <w:b/>
        </w:rPr>
        <w:t>Nevyužívání</w:t>
      </w:r>
      <w:r w:rsidR="007C384E">
        <w:rPr>
          <w:rFonts w:ascii="Calibri" w:hAnsi="Calibri" w:cs="Calibri"/>
          <w:b/>
        </w:rPr>
        <w:t xml:space="preserve"> výsledků</w:t>
      </w:r>
      <w:r w:rsidR="00226E28">
        <w:rPr>
          <w:rFonts w:ascii="Calibri" w:hAnsi="Calibri" w:cs="Calibri"/>
          <w:b/>
        </w:rPr>
        <w:t xml:space="preserve"> podpořených projektů v praxi vede k neefektivnímu vynakládání peněžních prostředků určených na účelovou podporu VaVaI.</w:t>
      </w:r>
    </w:p>
    <w:p w14:paraId="77729479" w14:textId="77777777" w:rsidR="002352B4" w:rsidRDefault="002352B4" w:rsidP="00230F90">
      <w:pPr>
        <w:jc w:val="both"/>
        <w:rPr>
          <w:rFonts w:ascii="Calibri" w:hAnsi="Calibri" w:cs="Calibri"/>
          <w:b/>
        </w:rPr>
      </w:pPr>
    </w:p>
    <w:p w14:paraId="01B6E9C3" w14:textId="4B644A71" w:rsidR="0025628A" w:rsidRDefault="0025628A" w:rsidP="0025628A">
      <w:pPr>
        <w:pStyle w:val="Odstavecseseznamem"/>
        <w:ind w:left="0"/>
        <w:jc w:val="both"/>
        <w:rPr>
          <w:rFonts w:ascii="Calibri" w:hAnsi="Calibri" w:cs="Calibri"/>
          <w:b/>
        </w:rPr>
      </w:pPr>
      <w:r w:rsidRPr="0025628A">
        <w:rPr>
          <w:rFonts w:ascii="Calibri" w:hAnsi="Calibri" w:cs="Calibri"/>
          <w:b/>
        </w:rPr>
        <w:t>V dubnu 2016 byla publikována zvláštní zpráva Evropského účetního dvora č. 4/2016</w:t>
      </w:r>
      <w:r w:rsidR="00BA36F5" w:rsidRPr="005D70FF">
        <w:rPr>
          <w:rFonts w:ascii="Calibri" w:hAnsi="Calibri" w:cs="Calibri"/>
          <w:b/>
          <w:sz w:val="20"/>
          <w:vertAlign w:val="superscript"/>
        </w:rPr>
        <w:t>1</w:t>
      </w:r>
      <w:r w:rsidR="00057235" w:rsidRPr="005D70FF">
        <w:rPr>
          <w:rFonts w:ascii="Calibri" w:hAnsi="Calibri" w:cs="Calibri"/>
          <w:b/>
          <w:sz w:val="20"/>
          <w:vertAlign w:val="superscript"/>
        </w:rPr>
        <w:t>3</w:t>
      </w:r>
      <w:r w:rsidRPr="0025628A">
        <w:rPr>
          <w:rFonts w:ascii="Calibri" w:hAnsi="Calibri" w:cs="Calibri"/>
          <w:b/>
        </w:rPr>
        <w:t xml:space="preserve">, </w:t>
      </w:r>
      <w:r w:rsidR="00BA36F5">
        <w:rPr>
          <w:rFonts w:ascii="Calibri" w:hAnsi="Calibri" w:cs="Calibri"/>
          <w:b/>
        </w:rPr>
        <w:t>která upozornila na</w:t>
      </w:r>
      <w:r w:rsidRPr="0025628A">
        <w:rPr>
          <w:rFonts w:ascii="Calibri" w:hAnsi="Calibri" w:cs="Calibri"/>
          <w:b/>
        </w:rPr>
        <w:t xml:space="preserve"> obdobné ne</w:t>
      </w:r>
      <w:r w:rsidR="008060FB">
        <w:rPr>
          <w:rFonts w:ascii="Calibri" w:hAnsi="Calibri" w:cs="Calibri"/>
          <w:b/>
        </w:rPr>
        <w:t>d</w:t>
      </w:r>
      <w:r w:rsidRPr="0025628A">
        <w:rPr>
          <w:rFonts w:ascii="Calibri" w:hAnsi="Calibri" w:cs="Calibri"/>
          <w:b/>
        </w:rPr>
        <w:t>ostatky, jak</w:t>
      </w:r>
      <w:r w:rsidR="00CD343F">
        <w:rPr>
          <w:rFonts w:ascii="Calibri" w:hAnsi="Calibri" w:cs="Calibri"/>
          <w:b/>
        </w:rPr>
        <w:t>é</w:t>
      </w:r>
      <w:r w:rsidRPr="0025628A">
        <w:rPr>
          <w:rFonts w:ascii="Calibri" w:hAnsi="Calibri" w:cs="Calibri"/>
          <w:b/>
        </w:rPr>
        <w:t xml:space="preserve"> zjistil NKÚ při této kontrole.</w:t>
      </w:r>
    </w:p>
    <w:p w14:paraId="61327E6F" w14:textId="77777777" w:rsidR="0053175C" w:rsidRPr="0025628A" w:rsidRDefault="0053175C" w:rsidP="0025628A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692942B0" w14:textId="77777777" w:rsidR="0025628A" w:rsidRPr="0025628A" w:rsidRDefault="0025628A" w:rsidP="005D70FF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 w:rsidRPr="0025628A">
        <w:rPr>
          <w:rFonts w:ascii="Calibri" w:hAnsi="Calibri" w:cs="Calibri"/>
          <w:b/>
        </w:rPr>
        <w:t>Ze zvláštní zprávy č. 4/2016 například vyplynulo:</w:t>
      </w:r>
    </w:p>
    <w:p w14:paraId="6EF04D06" w14:textId="77777777" w:rsidR="0025628A" w:rsidRPr="0025628A" w:rsidRDefault="0025628A" w:rsidP="005D70F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b/>
        </w:rPr>
      </w:pPr>
      <w:r w:rsidRPr="0025628A">
        <w:rPr>
          <w:rFonts w:ascii="Calibri" w:hAnsi="Calibri" w:cs="Calibri"/>
          <w:b/>
        </w:rPr>
        <w:t>Evropská komise klade větší důraz na konec inovačního cyklu s cílem uvádět výsledky výzkumu na trh;</w:t>
      </w:r>
    </w:p>
    <w:p w14:paraId="13C7DF63" w14:textId="77777777" w:rsidR="0025628A" w:rsidRPr="0025628A" w:rsidRDefault="0025628A" w:rsidP="005D70F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b/>
        </w:rPr>
      </w:pPr>
      <w:r w:rsidRPr="0025628A">
        <w:rPr>
          <w:rFonts w:ascii="Calibri" w:hAnsi="Calibri" w:cs="Calibri"/>
          <w:b/>
        </w:rPr>
        <w:t>veřejné programy podpory inovací nejsou dostatečně zaměřeny na tržní uplatnění, výsledky se komerčně nevyužívají;</w:t>
      </w:r>
    </w:p>
    <w:p w14:paraId="75D18458" w14:textId="77777777" w:rsidR="0025628A" w:rsidRPr="0025628A" w:rsidRDefault="0025628A" w:rsidP="005D70F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b/>
        </w:rPr>
      </w:pPr>
      <w:r w:rsidRPr="0025628A">
        <w:rPr>
          <w:rFonts w:ascii="Calibri" w:hAnsi="Calibri" w:cs="Calibri"/>
          <w:b/>
        </w:rPr>
        <w:t>netransparentnost při rozdělování finančních prostředků na inovace.</w:t>
      </w:r>
    </w:p>
    <w:p w14:paraId="01CF2AB2" w14:textId="77777777" w:rsidR="0087066E" w:rsidRPr="0025628A" w:rsidRDefault="0087066E" w:rsidP="00CD343F">
      <w:pPr>
        <w:ind w:left="567" w:hanging="283"/>
        <w:jc w:val="both"/>
        <w:rPr>
          <w:rFonts w:ascii="Calibri" w:hAnsi="Calibri" w:cs="Calibri"/>
          <w:b/>
        </w:rPr>
      </w:pPr>
    </w:p>
    <w:p w14:paraId="03A5928F" w14:textId="77777777" w:rsidR="00F72DED" w:rsidRPr="000F74CC" w:rsidRDefault="00F72DED" w:rsidP="00F72DE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Doporučení: </w:t>
      </w:r>
    </w:p>
    <w:p w14:paraId="01F42BA8" w14:textId="7C54BDCC" w:rsidR="0065096B" w:rsidRDefault="00571660" w:rsidP="0065096B">
      <w:pPr>
        <w:jc w:val="both"/>
        <w:rPr>
          <w:rFonts w:ascii="Calibri" w:hAnsi="Calibri" w:cs="Calibri"/>
          <w:b/>
        </w:rPr>
      </w:pPr>
      <w:r w:rsidRPr="00380F67">
        <w:rPr>
          <w:rFonts w:asciiTheme="minorHAnsi" w:hAnsiTheme="minorHAnsi" w:cstheme="minorHAnsi"/>
          <w:b/>
        </w:rPr>
        <w:t>NKÚ doporučuje</w:t>
      </w:r>
      <w:r w:rsidR="0065096B" w:rsidRPr="0065096B">
        <w:rPr>
          <w:rFonts w:asciiTheme="minorHAnsi" w:hAnsiTheme="minorHAnsi" w:cstheme="minorHAnsi"/>
          <w:b/>
        </w:rPr>
        <w:t xml:space="preserve">, aby TA ČR </w:t>
      </w:r>
      <w:r w:rsidR="00127FF9">
        <w:rPr>
          <w:rFonts w:asciiTheme="minorHAnsi" w:hAnsiTheme="minorHAnsi" w:cstheme="minorHAnsi"/>
          <w:b/>
        </w:rPr>
        <w:t xml:space="preserve">při své činnosti </w:t>
      </w:r>
      <w:r w:rsidR="002352B4">
        <w:rPr>
          <w:rFonts w:asciiTheme="minorHAnsi" w:hAnsiTheme="minorHAnsi" w:cstheme="minorHAnsi"/>
          <w:b/>
        </w:rPr>
        <w:t>minimalizovala</w:t>
      </w:r>
      <w:r w:rsidR="004A0150">
        <w:rPr>
          <w:rFonts w:asciiTheme="minorHAnsi" w:hAnsiTheme="minorHAnsi" w:cstheme="minorHAnsi"/>
          <w:b/>
        </w:rPr>
        <w:t xml:space="preserve"> rizik</w:t>
      </w:r>
      <w:r w:rsidR="002352B4">
        <w:rPr>
          <w:rFonts w:asciiTheme="minorHAnsi" w:hAnsiTheme="minorHAnsi" w:cstheme="minorHAnsi"/>
          <w:b/>
        </w:rPr>
        <w:t>a</w:t>
      </w:r>
      <w:r w:rsidR="0065096B" w:rsidRPr="0065096B">
        <w:rPr>
          <w:rFonts w:asciiTheme="minorHAnsi" w:hAnsiTheme="minorHAnsi" w:cstheme="minorHAnsi"/>
          <w:b/>
        </w:rPr>
        <w:t xml:space="preserve"> </w:t>
      </w:r>
      <w:r w:rsidR="00AB742D">
        <w:rPr>
          <w:rFonts w:asciiTheme="minorHAnsi" w:hAnsiTheme="minorHAnsi" w:cstheme="minorHAnsi"/>
          <w:b/>
        </w:rPr>
        <w:t>nedosažení</w:t>
      </w:r>
      <w:r w:rsidR="0065096B" w:rsidRPr="0065096B">
        <w:rPr>
          <w:rFonts w:asciiTheme="minorHAnsi" w:hAnsiTheme="minorHAnsi" w:cstheme="minorHAnsi"/>
          <w:b/>
        </w:rPr>
        <w:t xml:space="preserve"> přínosů projektů</w:t>
      </w:r>
      <w:r w:rsidR="004A0150">
        <w:rPr>
          <w:rFonts w:asciiTheme="minorHAnsi" w:hAnsiTheme="minorHAnsi" w:cstheme="minorHAnsi"/>
          <w:b/>
        </w:rPr>
        <w:t>.</w:t>
      </w:r>
      <w:r w:rsidR="0065096B" w:rsidRPr="0065096B">
        <w:rPr>
          <w:rFonts w:asciiTheme="minorHAnsi" w:hAnsiTheme="minorHAnsi" w:cstheme="minorHAnsi"/>
          <w:b/>
        </w:rPr>
        <w:t xml:space="preserve"> </w:t>
      </w:r>
      <w:r w:rsidR="00890679">
        <w:rPr>
          <w:rFonts w:ascii="Calibri" w:hAnsi="Calibri" w:cs="Calibri"/>
          <w:b/>
        </w:rPr>
        <w:t xml:space="preserve">Toto doporučení vychází </w:t>
      </w:r>
      <w:r w:rsidR="007C33D8">
        <w:rPr>
          <w:rFonts w:ascii="Calibri" w:hAnsi="Calibri" w:cs="Calibri"/>
          <w:b/>
        </w:rPr>
        <w:t>z výsledků kontrolní akce, z analýzy TA ČR</w:t>
      </w:r>
      <w:r w:rsidR="00890679">
        <w:rPr>
          <w:rFonts w:ascii="Calibri" w:hAnsi="Calibri" w:cs="Calibri"/>
          <w:b/>
        </w:rPr>
        <w:t xml:space="preserve"> </w:t>
      </w:r>
      <w:r w:rsidR="007C33D8">
        <w:rPr>
          <w:rFonts w:ascii="Calibri" w:hAnsi="Calibri" w:cs="Calibri"/>
          <w:b/>
        </w:rPr>
        <w:t>a</w:t>
      </w:r>
      <w:r w:rsidR="005738F8">
        <w:rPr>
          <w:rFonts w:ascii="Calibri" w:hAnsi="Calibri" w:cs="Calibri"/>
          <w:b/>
        </w:rPr>
        <w:t> </w:t>
      </w:r>
      <w:r w:rsidR="00890679">
        <w:rPr>
          <w:rFonts w:ascii="Calibri" w:hAnsi="Calibri" w:cs="Calibri"/>
          <w:b/>
        </w:rPr>
        <w:t>z mezinárodního srovnání ČR.</w:t>
      </w:r>
    </w:p>
    <w:p w14:paraId="0F3B7CE1" w14:textId="77777777" w:rsidR="00571660" w:rsidRPr="0065096B" w:rsidRDefault="00571660" w:rsidP="0065096B">
      <w:pPr>
        <w:jc w:val="both"/>
        <w:rPr>
          <w:rFonts w:ascii="Calibri" w:hAnsi="Calibri" w:cs="Calibri"/>
          <w:b/>
        </w:rPr>
      </w:pPr>
    </w:p>
    <w:p w14:paraId="78327871" w14:textId="77777777" w:rsidR="00BE7D16" w:rsidRDefault="00BE7D16">
      <w:pPr>
        <w:rPr>
          <w:rFonts w:asciiTheme="minorHAnsi" w:hAnsiTheme="minorHAnsi" w:cstheme="minorHAnsi"/>
          <w:b/>
        </w:rPr>
      </w:pPr>
    </w:p>
    <w:p w14:paraId="43437387" w14:textId="77777777" w:rsidR="00C76802" w:rsidRPr="001C3ECD" w:rsidRDefault="00C76802" w:rsidP="001C3ECD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3ECD">
        <w:rPr>
          <w:rFonts w:asciiTheme="minorHAnsi" w:hAnsiTheme="minorHAnsi" w:cstheme="minorHAnsi"/>
          <w:b/>
          <w:sz w:val="28"/>
          <w:szCs w:val="28"/>
        </w:rPr>
        <w:t>III. Podrobnosti ke zjištěným skutečnostem</w:t>
      </w:r>
    </w:p>
    <w:p w14:paraId="0DB3E46D" w14:textId="77777777" w:rsidR="001C5D62" w:rsidRPr="001C3ECD" w:rsidRDefault="001C5D62" w:rsidP="001C3ECD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4EF008" w14:textId="6188B707" w:rsidR="00851B6C" w:rsidRDefault="00851B6C" w:rsidP="001C3ECD">
      <w:pPr>
        <w:jc w:val="both"/>
        <w:rPr>
          <w:rFonts w:asciiTheme="minorHAnsi" w:hAnsiTheme="minorHAnsi" w:cstheme="minorHAnsi"/>
        </w:rPr>
      </w:pPr>
      <w:r w:rsidRPr="001C3ECD">
        <w:rPr>
          <w:rFonts w:asciiTheme="minorHAnsi" w:hAnsiTheme="minorHAnsi" w:cstheme="minorHAnsi"/>
          <w:b/>
        </w:rPr>
        <w:t xml:space="preserve">První veřejná soutěž programu ALFA nebyla transparentní. </w:t>
      </w:r>
      <w:r w:rsidRPr="001C3ECD">
        <w:rPr>
          <w:rFonts w:asciiTheme="minorHAnsi" w:hAnsiTheme="minorHAnsi" w:cstheme="minorHAnsi"/>
        </w:rPr>
        <w:t>Uchazečům nebyly při vyhlášení soutěže sděleny prahové a maximální hodnoty počtu bodů, které mohli obdržet, přičemž nedosažení prahových hodnot počtu bodů mohlo být důvodem k nedoporučení projektu. Kontrolou byla též zjištěna personální provázanost osob, které jsou členy poradních orgánů TA ČR</w:t>
      </w:r>
      <w:r w:rsidR="00230F90">
        <w:rPr>
          <w:rFonts w:asciiTheme="minorHAnsi" w:hAnsiTheme="minorHAnsi" w:cstheme="minorHAnsi"/>
        </w:rPr>
        <w:t>,</w:t>
      </w:r>
      <w:r w:rsidRPr="001C3ECD">
        <w:rPr>
          <w:rFonts w:asciiTheme="minorHAnsi" w:hAnsiTheme="minorHAnsi" w:cstheme="minorHAnsi"/>
        </w:rPr>
        <w:t xml:space="preserve"> s </w:t>
      </w:r>
      <w:r w:rsidR="002B0982">
        <w:rPr>
          <w:rFonts w:asciiTheme="minorHAnsi" w:hAnsiTheme="minorHAnsi" w:cstheme="minorHAnsi"/>
        </w:rPr>
        <w:t> </w:t>
      </w:r>
      <w:r w:rsidRPr="001C3ECD">
        <w:rPr>
          <w:rFonts w:asciiTheme="minorHAnsi" w:hAnsiTheme="minorHAnsi" w:cstheme="minorHAnsi"/>
        </w:rPr>
        <w:t>příjemci</w:t>
      </w:r>
      <w:r w:rsidR="002B0982">
        <w:rPr>
          <w:rFonts w:asciiTheme="minorHAnsi" w:hAnsiTheme="minorHAnsi" w:cstheme="minorHAnsi"/>
        </w:rPr>
        <w:t xml:space="preserve"> podpory</w:t>
      </w:r>
      <w:r w:rsidRPr="001C3ECD">
        <w:rPr>
          <w:rFonts w:asciiTheme="minorHAnsi" w:hAnsiTheme="minorHAnsi" w:cstheme="minorHAnsi"/>
        </w:rPr>
        <w:t>. Z tohoto důvodu nelze zaručit, že všichni uchazeči v soutěži měli rovné podmínky a tyto hodnoty neznali</w:t>
      </w:r>
      <w:r w:rsidR="00571660">
        <w:rPr>
          <w:rFonts w:asciiTheme="minorHAnsi" w:hAnsiTheme="minorHAnsi" w:cstheme="minorHAnsi"/>
        </w:rPr>
        <w:t>, a</w:t>
      </w:r>
      <w:r w:rsidR="004C3AF1">
        <w:rPr>
          <w:rFonts w:asciiTheme="minorHAnsi" w:hAnsiTheme="minorHAnsi" w:cstheme="minorHAnsi"/>
        </w:rPr>
        <w:t> </w:t>
      </w:r>
      <w:r w:rsidR="00571660">
        <w:rPr>
          <w:rFonts w:asciiTheme="minorHAnsi" w:hAnsiTheme="minorHAnsi" w:cstheme="minorHAnsi"/>
        </w:rPr>
        <w:t>v tom lze spatřovat riziko nerovnosti.</w:t>
      </w:r>
    </w:p>
    <w:p w14:paraId="745B32DA" w14:textId="77777777" w:rsidR="001C3ECD" w:rsidRPr="001C3ECD" w:rsidRDefault="001C3ECD" w:rsidP="001C3ECD">
      <w:pPr>
        <w:jc w:val="both"/>
        <w:rPr>
          <w:rFonts w:asciiTheme="minorHAnsi" w:hAnsiTheme="minorHAnsi" w:cstheme="minorHAnsi"/>
        </w:rPr>
      </w:pPr>
    </w:p>
    <w:p w14:paraId="69BACE21" w14:textId="77777777" w:rsidR="004307F3" w:rsidRDefault="00851B6C" w:rsidP="004307F3">
      <w:pPr>
        <w:jc w:val="both"/>
        <w:rPr>
          <w:rFonts w:asciiTheme="minorHAnsi" w:hAnsiTheme="minorHAnsi" w:cstheme="minorHAnsi"/>
        </w:rPr>
      </w:pPr>
      <w:r w:rsidRPr="001C3ECD">
        <w:rPr>
          <w:rFonts w:asciiTheme="minorHAnsi" w:hAnsiTheme="minorHAnsi" w:cstheme="minorHAnsi"/>
          <w:b/>
        </w:rPr>
        <w:t xml:space="preserve">Hodnocení projektů ve </w:t>
      </w:r>
      <w:r w:rsidR="00230F90">
        <w:rPr>
          <w:rFonts w:asciiTheme="minorHAnsi" w:hAnsiTheme="minorHAnsi" w:cstheme="minorHAnsi"/>
          <w:b/>
        </w:rPr>
        <w:t>čtvrté</w:t>
      </w:r>
      <w:r w:rsidRPr="001C3ECD">
        <w:rPr>
          <w:rFonts w:asciiTheme="minorHAnsi" w:hAnsiTheme="minorHAnsi" w:cstheme="minorHAnsi"/>
          <w:b/>
        </w:rPr>
        <w:t xml:space="preserve"> veřejné soutěži programu ALFA nebylo transparentní</w:t>
      </w:r>
      <w:r w:rsidRPr="005B1A15">
        <w:rPr>
          <w:rFonts w:asciiTheme="minorHAnsi" w:hAnsiTheme="minorHAnsi" w:cstheme="minorHAnsi"/>
        </w:rPr>
        <w:t>.</w:t>
      </w:r>
      <w:r w:rsidRPr="001C3ECD">
        <w:rPr>
          <w:rFonts w:asciiTheme="minorHAnsi" w:hAnsiTheme="minorHAnsi" w:cstheme="minorHAnsi"/>
        </w:rPr>
        <w:t xml:space="preserve"> </w:t>
      </w:r>
      <w:r w:rsidR="00AB742D">
        <w:rPr>
          <w:rFonts w:asciiTheme="minorHAnsi" w:hAnsiTheme="minorHAnsi" w:cstheme="minorHAnsi"/>
        </w:rPr>
        <w:t>Poradní orgán navyšoval</w:t>
      </w:r>
      <w:r w:rsidR="00230F90">
        <w:rPr>
          <w:rFonts w:asciiTheme="minorHAnsi" w:hAnsiTheme="minorHAnsi" w:cstheme="minorHAnsi"/>
        </w:rPr>
        <w:t xml:space="preserve"> bodové</w:t>
      </w:r>
      <w:r w:rsidRPr="001C3ECD">
        <w:rPr>
          <w:rFonts w:asciiTheme="minorHAnsi" w:hAnsiTheme="minorHAnsi" w:cstheme="minorHAnsi"/>
        </w:rPr>
        <w:t xml:space="preserve"> hodnocení některých projektů, které provedli oponenti a</w:t>
      </w:r>
      <w:r w:rsidR="00230F90">
        <w:rPr>
          <w:rFonts w:asciiTheme="minorHAnsi" w:hAnsiTheme="minorHAnsi" w:cstheme="minorHAnsi"/>
        </w:rPr>
        <w:t> </w:t>
      </w:r>
      <w:r w:rsidRPr="001C3ECD">
        <w:rPr>
          <w:rFonts w:asciiTheme="minorHAnsi" w:hAnsiTheme="minorHAnsi" w:cstheme="minorHAnsi"/>
        </w:rPr>
        <w:t xml:space="preserve">zpravodajové, aniž by </w:t>
      </w:r>
      <w:r w:rsidR="00AB742D">
        <w:rPr>
          <w:rFonts w:asciiTheme="minorHAnsi" w:hAnsiTheme="minorHAnsi" w:cstheme="minorHAnsi"/>
        </w:rPr>
        <w:t>důkladně odůvodnil</w:t>
      </w:r>
      <w:r w:rsidRPr="001C3ECD">
        <w:rPr>
          <w:rFonts w:asciiTheme="minorHAnsi" w:hAnsiTheme="minorHAnsi" w:cstheme="minorHAnsi"/>
        </w:rPr>
        <w:t xml:space="preserve"> t</w:t>
      </w:r>
      <w:r w:rsidR="00AB742D">
        <w:rPr>
          <w:rFonts w:asciiTheme="minorHAnsi" w:hAnsiTheme="minorHAnsi" w:cstheme="minorHAnsi"/>
        </w:rPr>
        <w:t>uto změnu</w:t>
      </w:r>
      <w:r w:rsidRPr="001C3ECD">
        <w:rPr>
          <w:rFonts w:asciiTheme="minorHAnsi" w:hAnsiTheme="minorHAnsi" w:cstheme="minorHAnsi"/>
        </w:rPr>
        <w:t>. Tím došlo zároveň k jejich posunu z oblasti projektů nedoporučených k podpoře do oblasti projektů k podpoře určených.</w:t>
      </w:r>
      <w:r w:rsidR="00230F90">
        <w:rPr>
          <w:rFonts w:asciiTheme="minorHAnsi" w:hAnsiTheme="minorHAnsi" w:cstheme="minorHAnsi"/>
        </w:rPr>
        <w:t xml:space="preserve"> </w:t>
      </w:r>
      <w:r w:rsidR="00177FC3">
        <w:rPr>
          <w:rFonts w:asciiTheme="minorHAnsi" w:hAnsiTheme="minorHAnsi" w:cstheme="minorHAnsi"/>
        </w:rPr>
        <w:t>V</w:t>
      </w:r>
      <w:r w:rsidRPr="001C3ECD">
        <w:rPr>
          <w:rFonts w:asciiTheme="minorHAnsi" w:hAnsiTheme="minorHAnsi" w:cstheme="minorHAnsi"/>
        </w:rPr>
        <w:t xml:space="preserve">e </w:t>
      </w:r>
      <w:r w:rsidR="00230F90">
        <w:rPr>
          <w:rFonts w:asciiTheme="minorHAnsi" w:hAnsiTheme="minorHAnsi" w:cstheme="minorHAnsi"/>
        </w:rPr>
        <w:t>čtvrté</w:t>
      </w:r>
      <w:r w:rsidRPr="001C3ECD">
        <w:rPr>
          <w:rFonts w:asciiTheme="minorHAnsi" w:hAnsiTheme="minorHAnsi" w:cstheme="minorHAnsi"/>
        </w:rPr>
        <w:t xml:space="preserve"> veřejné soutěži podprogramu 3 A</w:t>
      </w:r>
      <w:r w:rsidR="00BD0F1D">
        <w:rPr>
          <w:rFonts w:asciiTheme="minorHAnsi" w:hAnsiTheme="minorHAnsi" w:cstheme="minorHAnsi"/>
        </w:rPr>
        <w:t>L</w:t>
      </w:r>
      <w:r w:rsidR="00177FC3">
        <w:rPr>
          <w:rFonts w:asciiTheme="minorHAnsi" w:hAnsiTheme="minorHAnsi" w:cstheme="minorHAnsi"/>
        </w:rPr>
        <w:t>FA bylo</w:t>
      </w:r>
      <w:r w:rsidR="002302B8">
        <w:rPr>
          <w:rFonts w:asciiTheme="minorHAnsi" w:hAnsiTheme="minorHAnsi" w:cstheme="minorHAnsi"/>
        </w:rPr>
        <w:t xml:space="preserve"> hodnoceno</w:t>
      </w:r>
      <w:r w:rsidR="00EA3B0A">
        <w:rPr>
          <w:rFonts w:asciiTheme="minorHAnsi" w:hAnsiTheme="minorHAnsi" w:cstheme="minorHAnsi"/>
        </w:rPr>
        <w:t xml:space="preserve"> 126 projektů. Kontrolou bylo zjištěno</w:t>
      </w:r>
      <w:r w:rsidR="00177FC3">
        <w:rPr>
          <w:rFonts w:asciiTheme="minorHAnsi" w:hAnsiTheme="minorHAnsi" w:cstheme="minorHAnsi"/>
        </w:rPr>
        <w:t>, že</w:t>
      </w:r>
      <w:r w:rsidR="00D35653">
        <w:rPr>
          <w:rFonts w:asciiTheme="minorHAnsi" w:hAnsiTheme="minorHAnsi" w:cstheme="minorHAnsi"/>
        </w:rPr>
        <w:t xml:space="preserve"> k řešení bylo doporučeno</w:t>
      </w:r>
      <w:r w:rsidR="00177FC3">
        <w:rPr>
          <w:rFonts w:asciiTheme="minorHAnsi" w:hAnsiTheme="minorHAnsi" w:cstheme="minorHAnsi"/>
        </w:rPr>
        <w:t xml:space="preserve"> 50 projektů</w:t>
      </w:r>
      <w:r w:rsidR="00D35653">
        <w:rPr>
          <w:rFonts w:asciiTheme="minorHAnsi" w:hAnsiTheme="minorHAnsi" w:cstheme="minorHAnsi"/>
        </w:rPr>
        <w:t>. P</w:t>
      </w:r>
      <w:r w:rsidRPr="001C3ECD">
        <w:rPr>
          <w:rFonts w:asciiTheme="minorHAnsi" w:hAnsiTheme="minorHAnsi" w:cstheme="minorHAnsi"/>
        </w:rPr>
        <w:t xml:space="preserve">ouze </w:t>
      </w:r>
      <w:r w:rsidR="002302B8">
        <w:rPr>
          <w:rFonts w:asciiTheme="minorHAnsi" w:hAnsiTheme="minorHAnsi" w:cstheme="minorHAnsi"/>
        </w:rPr>
        <w:t xml:space="preserve">33 projektů (tj. </w:t>
      </w:r>
      <w:r w:rsidRPr="001C3ECD">
        <w:rPr>
          <w:rFonts w:asciiTheme="minorHAnsi" w:hAnsiTheme="minorHAnsi" w:cstheme="minorHAnsi"/>
        </w:rPr>
        <w:t>66</w:t>
      </w:r>
      <w:r w:rsidR="00AB742D">
        <w:rPr>
          <w:rFonts w:asciiTheme="minorHAnsi" w:hAnsiTheme="minorHAnsi" w:cstheme="minorHAnsi"/>
        </w:rPr>
        <w:t>,6</w:t>
      </w:r>
      <w:r w:rsidR="00177FC3">
        <w:rPr>
          <w:rFonts w:asciiTheme="minorHAnsi" w:hAnsiTheme="minorHAnsi" w:cstheme="minorHAnsi"/>
        </w:rPr>
        <w:t xml:space="preserve"> %</w:t>
      </w:r>
      <w:r w:rsidR="002302B8">
        <w:rPr>
          <w:rFonts w:asciiTheme="minorHAnsi" w:hAnsiTheme="minorHAnsi" w:cstheme="minorHAnsi"/>
        </w:rPr>
        <w:t>)</w:t>
      </w:r>
      <w:r w:rsidRPr="001C3ECD">
        <w:rPr>
          <w:rFonts w:asciiTheme="minorHAnsi" w:hAnsiTheme="minorHAnsi" w:cstheme="minorHAnsi"/>
        </w:rPr>
        <w:t xml:space="preserve"> </w:t>
      </w:r>
      <w:r w:rsidR="00177FC3">
        <w:rPr>
          <w:rFonts w:asciiTheme="minorHAnsi" w:hAnsiTheme="minorHAnsi" w:cstheme="minorHAnsi"/>
        </w:rPr>
        <w:t xml:space="preserve">bylo </w:t>
      </w:r>
      <w:r w:rsidR="00177FC3" w:rsidRPr="00EA3B0A">
        <w:rPr>
          <w:rFonts w:asciiTheme="minorHAnsi" w:hAnsiTheme="minorHAnsi" w:cstheme="minorHAnsi"/>
        </w:rPr>
        <w:t xml:space="preserve">vybráno na základě bodového hodnocení oponenty. </w:t>
      </w:r>
      <w:r w:rsidR="002302B8" w:rsidRPr="00EA3B0A">
        <w:rPr>
          <w:rFonts w:asciiTheme="minorHAnsi" w:hAnsiTheme="minorHAnsi" w:cstheme="minorHAnsi"/>
        </w:rPr>
        <w:t xml:space="preserve">Poradní orgány změnily pořadí projektů, aniž by zasáhly do bodového hodnocení. </w:t>
      </w:r>
      <w:r w:rsidR="004307F3" w:rsidRPr="00A50A8F">
        <w:rPr>
          <w:rFonts w:ascii="Calibri" w:hAnsi="Calibri" w:cs="Calibri"/>
        </w:rPr>
        <w:t>Při posuzování projektů v jedné ze soutěží programu ALFA byla u TA ČR zjištěna rozsáhlá podjatost členů poradních orgánů</w:t>
      </w:r>
      <w:r w:rsidR="004307F3" w:rsidRPr="00A50A8F">
        <w:rPr>
          <w:rStyle w:val="Znakapoznpodarou"/>
          <w:rFonts w:ascii="Calibri" w:hAnsi="Calibri" w:cs="Calibri"/>
        </w:rPr>
        <w:footnoteReference w:id="16"/>
      </w:r>
      <w:r w:rsidR="004307F3" w:rsidRPr="00A50A8F">
        <w:rPr>
          <w:rFonts w:ascii="Calibri" w:hAnsi="Calibri" w:cs="Calibri"/>
        </w:rPr>
        <w:t xml:space="preserve">, což mělo </w:t>
      </w:r>
      <w:r w:rsidR="004307F3" w:rsidRPr="00A50A8F">
        <w:rPr>
          <w:rFonts w:ascii="Calibri" w:hAnsi="Calibri" w:cs="Calibri"/>
        </w:rPr>
        <w:lastRenderedPageBreak/>
        <w:t>za následek nemožnost řádného projednání významné části projektů.</w:t>
      </w:r>
      <w:r w:rsidR="004307F3" w:rsidRPr="00230F90">
        <w:rPr>
          <w:rFonts w:ascii="Calibri" w:hAnsi="Calibri" w:cs="Calibri"/>
          <w:b/>
        </w:rPr>
        <w:t xml:space="preserve"> </w:t>
      </w:r>
      <w:r w:rsidR="004307F3" w:rsidRPr="00230F90">
        <w:rPr>
          <w:rFonts w:asciiTheme="minorHAnsi" w:hAnsiTheme="minorHAnsi" w:cstheme="minorHAnsi"/>
        </w:rPr>
        <w:t>Podjatost u některých členů poradního orgánu byla tak rozsáhlá, že se tito členové nemohli účastnit projednávání významné části projektů. Identifikována byla podjatost u tří členů poradního orgánu</w:t>
      </w:r>
      <w:r w:rsidR="004307F3">
        <w:rPr>
          <w:rFonts w:asciiTheme="minorHAnsi" w:hAnsiTheme="minorHAnsi" w:cstheme="minorHAnsi"/>
        </w:rPr>
        <w:t>,</w:t>
      </w:r>
      <w:r w:rsidR="004307F3" w:rsidRPr="00230F90">
        <w:rPr>
          <w:rFonts w:asciiTheme="minorHAnsi" w:hAnsiTheme="minorHAnsi" w:cstheme="minorHAnsi"/>
        </w:rPr>
        <w:t xml:space="preserve"> a to k 22–33 % projektů.</w:t>
      </w:r>
    </w:p>
    <w:p w14:paraId="3E82A86C" w14:textId="77777777" w:rsidR="004307F3" w:rsidRPr="00230F90" w:rsidRDefault="004307F3" w:rsidP="004307F3">
      <w:pPr>
        <w:jc w:val="both"/>
        <w:rPr>
          <w:rFonts w:ascii="Calibri" w:hAnsi="Calibri" w:cs="Calibri"/>
          <w:b/>
        </w:rPr>
      </w:pPr>
    </w:p>
    <w:p w14:paraId="3584084F" w14:textId="1141E191" w:rsidR="007E6FA9" w:rsidRDefault="007E6FA9" w:rsidP="007E6FA9">
      <w:pPr>
        <w:jc w:val="both"/>
        <w:rPr>
          <w:rFonts w:asciiTheme="minorHAnsi" w:hAnsiTheme="minorHAnsi" w:cstheme="minorHAnsi"/>
        </w:rPr>
      </w:pPr>
      <w:r w:rsidRPr="00230F90">
        <w:rPr>
          <w:rFonts w:ascii="Calibri" w:hAnsi="Calibri" w:cs="Calibri"/>
          <w:b/>
        </w:rPr>
        <w:t>U TA ČR byly zjištěny nedostatky ve smlouvách o poskytnutí účelové podpory.</w:t>
      </w:r>
      <w:r>
        <w:rPr>
          <w:rFonts w:ascii="Calibri" w:hAnsi="Calibri" w:cs="Calibri"/>
          <w:b/>
        </w:rPr>
        <w:t xml:space="preserve"> </w:t>
      </w:r>
      <w:r w:rsidRPr="00230F90">
        <w:rPr>
          <w:rFonts w:asciiTheme="minorHAnsi" w:hAnsiTheme="minorHAnsi" w:cstheme="minorHAnsi"/>
        </w:rPr>
        <w:t>Kontrolou byl</w:t>
      </w:r>
      <w:r w:rsidR="004C3AF1">
        <w:rPr>
          <w:rFonts w:asciiTheme="minorHAnsi" w:hAnsiTheme="minorHAnsi" w:cstheme="minorHAnsi"/>
        </w:rPr>
        <w:t>a</w:t>
      </w:r>
      <w:r w:rsidRPr="00230F90">
        <w:rPr>
          <w:rFonts w:asciiTheme="minorHAnsi" w:hAnsiTheme="minorHAnsi" w:cstheme="minorHAnsi"/>
        </w:rPr>
        <w:t xml:space="preserve"> v některých případech zjištěn</w:t>
      </w:r>
      <w:r w:rsidR="004C3AF1">
        <w:rPr>
          <w:rFonts w:asciiTheme="minorHAnsi" w:hAnsiTheme="minorHAnsi" w:cstheme="minorHAnsi"/>
        </w:rPr>
        <w:t>a</w:t>
      </w:r>
      <w:r w:rsidRPr="00230F90">
        <w:rPr>
          <w:rFonts w:asciiTheme="minorHAnsi" w:hAnsiTheme="minorHAnsi" w:cstheme="minorHAnsi"/>
        </w:rPr>
        <w:t xml:space="preserve"> porušení zákona č. 130/2002 Sb</w:t>
      </w:r>
      <w:r w:rsidRPr="004C3AF1">
        <w:rPr>
          <w:rFonts w:asciiTheme="minorHAnsi" w:hAnsiTheme="minorHAnsi" w:cstheme="minorHAnsi"/>
        </w:rPr>
        <w:t>.</w:t>
      </w:r>
      <w:r w:rsidRPr="005D70FF">
        <w:rPr>
          <w:rFonts w:asciiTheme="minorHAnsi" w:hAnsiTheme="minorHAnsi" w:cstheme="minorHAnsi"/>
        </w:rPr>
        <w:t xml:space="preserve"> </w:t>
      </w:r>
      <w:r w:rsidRPr="00230F90">
        <w:rPr>
          <w:rFonts w:asciiTheme="minorHAnsi" w:hAnsiTheme="minorHAnsi" w:cstheme="minorHAnsi"/>
        </w:rPr>
        <w:t>Jednalo se především o</w:t>
      </w:r>
      <w:r>
        <w:rPr>
          <w:rFonts w:asciiTheme="minorHAnsi" w:hAnsiTheme="minorHAnsi" w:cstheme="minorHAnsi"/>
        </w:rPr>
        <w:t> </w:t>
      </w:r>
      <w:r w:rsidR="004C3AF1">
        <w:rPr>
          <w:rFonts w:asciiTheme="minorHAnsi" w:hAnsiTheme="minorHAnsi" w:cstheme="minorHAnsi"/>
        </w:rPr>
        <w:t xml:space="preserve">pozdní </w:t>
      </w:r>
      <w:r w:rsidRPr="00230F90">
        <w:rPr>
          <w:rFonts w:asciiTheme="minorHAnsi" w:hAnsiTheme="minorHAnsi" w:cstheme="minorHAnsi"/>
        </w:rPr>
        <w:t>uzavřen</w:t>
      </w:r>
      <w:r w:rsidR="004C3AF1">
        <w:rPr>
          <w:rFonts w:asciiTheme="minorHAnsi" w:hAnsiTheme="minorHAnsi" w:cstheme="minorHAnsi"/>
        </w:rPr>
        <w:t>í</w:t>
      </w:r>
      <w:r w:rsidRPr="00230F90">
        <w:rPr>
          <w:rFonts w:asciiTheme="minorHAnsi" w:hAnsiTheme="minorHAnsi" w:cstheme="minorHAnsi"/>
        </w:rPr>
        <w:t xml:space="preserve"> smlouvy o poskytnutí účelové podpory, a to u 54 % zkontrolovaných smluv, dále o neposkytnutí podpory příjemcům v zákonem stanovených termínech či neúplnost smluv o</w:t>
      </w:r>
      <w:r w:rsidR="002E5174"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>poskytnutí podpory.</w:t>
      </w:r>
      <w:r>
        <w:rPr>
          <w:rFonts w:asciiTheme="minorHAnsi" w:hAnsiTheme="minorHAnsi" w:cstheme="minorHAnsi"/>
        </w:rPr>
        <w:t xml:space="preserve"> </w:t>
      </w:r>
      <w:r w:rsidRPr="007E6FA9">
        <w:rPr>
          <w:rFonts w:ascii="Calibri" w:hAnsi="Calibri" w:cs="Calibri"/>
        </w:rPr>
        <w:t>TA ČR vytvářela a aktualizovala dokumenty stanovující pravidla pro čerpání podpory při realizaci projektu, ačkoliv některé dokumenty nebyly v souladu se smlouvou o poskytnutí účelové podpory</w:t>
      </w:r>
      <w:r w:rsidR="00C53CBF">
        <w:rPr>
          <w:rFonts w:ascii="Calibri" w:hAnsi="Calibri" w:cs="Calibri"/>
        </w:rPr>
        <w:t>,</w:t>
      </w:r>
      <w:r w:rsidRPr="007E6FA9">
        <w:rPr>
          <w:rFonts w:ascii="Calibri" w:hAnsi="Calibri" w:cs="Calibri"/>
        </w:rPr>
        <w:t xml:space="preserve"> resp. všeobecnými podmínkami.</w:t>
      </w:r>
      <w:r w:rsidRPr="005D70FF">
        <w:rPr>
          <w:rFonts w:ascii="Calibri" w:hAnsi="Calibri" w:cs="Calibri"/>
        </w:rPr>
        <w:t xml:space="preserve"> </w:t>
      </w:r>
      <w:r w:rsidRPr="00230F90">
        <w:rPr>
          <w:rFonts w:asciiTheme="minorHAnsi" w:hAnsiTheme="minorHAnsi" w:cstheme="minorHAnsi"/>
        </w:rPr>
        <w:t>TA</w:t>
      </w:r>
      <w:r w:rsidR="002E5174"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>ČR v některých případech nejednala v souladu se smlouvou o poskytnutí podpory</w:t>
      </w:r>
      <w:r w:rsidR="00C53CBF">
        <w:rPr>
          <w:rFonts w:asciiTheme="minorHAnsi" w:hAnsiTheme="minorHAnsi" w:cstheme="minorHAnsi"/>
        </w:rPr>
        <w:t>,</w:t>
      </w:r>
      <w:r w:rsidRPr="005D70FF">
        <w:rPr>
          <w:rFonts w:asciiTheme="minorHAnsi" w:hAnsiTheme="minorHAnsi" w:cstheme="minorHAnsi"/>
        </w:rPr>
        <w:t xml:space="preserve"> </w:t>
      </w:r>
      <w:r w:rsidR="00C53CBF" w:rsidRPr="00230F90">
        <w:rPr>
          <w:rFonts w:asciiTheme="minorHAnsi" w:hAnsiTheme="minorHAnsi" w:cstheme="minorHAnsi"/>
        </w:rPr>
        <w:t xml:space="preserve">například </w:t>
      </w:r>
      <w:r w:rsidR="00C53CBF">
        <w:rPr>
          <w:rFonts w:asciiTheme="minorHAnsi" w:hAnsiTheme="minorHAnsi" w:cstheme="minorHAnsi"/>
        </w:rPr>
        <w:t>v</w:t>
      </w:r>
      <w:r w:rsidRPr="00230F90">
        <w:rPr>
          <w:rFonts w:asciiTheme="minorHAnsi" w:hAnsiTheme="minorHAnsi" w:cstheme="minorHAnsi"/>
        </w:rPr>
        <w:t xml:space="preserve">ydávala příručky pro příjemce, které však obsahovaly i ustanovení, která nebyla v souladu se smlouvou o poskytnutí podpory. TA ČR též v průběhu řešení projektů měnila způsob a formu předávání průběžných zpráv, aniž by si tuto možnost změn </w:t>
      </w:r>
      <w:r w:rsidR="00C53CBF" w:rsidRPr="00230F90">
        <w:rPr>
          <w:rFonts w:asciiTheme="minorHAnsi" w:hAnsiTheme="minorHAnsi" w:cstheme="minorHAnsi"/>
        </w:rPr>
        <w:t xml:space="preserve">stanovila </w:t>
      </w:r>
      <w:r w:rsidRPr="00230F90">
        <w:rPr>
          <w:rFonts w:asciiTheme="minorHAnsi" w:hAnsiTheme="minorHAnsi" w:cstheme="minorHAnsi"/>
        </w:rPr>
        <w:t>ve smlouvě či</w:t>
      </w:r>
      <w:r w:rsidR="00C53CBF">
        <w:rPr>
          <w:rFonts w:asciiTheme="minorHAnsi" w:hAnsiTheme="minorHAnsi" w:cstheme="minorHAnsi"/>
        </w:rPr>
        <w:t xml:space="preserve"> ve</w:t>
      </w:r>
      <w:r w:rsidRPr="00230F90">
        <w:rPr>
          <w:rFonts w:asciiTheme="minorHAnsi" w:hAnsiTheme="minorHAnsi" w:cstheme="minorHAnsi"/>
        </w:rPr>
        <w:t xml:space="preserve"> všeobecných podmínkách, které byly nedílnou součástí smlouvy. K příjemc</w:t>
      </w:r>
      <w:r w:rsidR="00C53CBF">
        <w:rPr>
          <w:rFonts w:asciiTheme="minorHAnsi" w:hAnsiTheme="minorHAnsi" w:cstheme="minorHAnsi"/>
        </w:rPr>
        <w:t>ům</w:t>
      </w:r>
      <w:r w:rsidRPr="00230F90">
        <w:rPr>
          <w:rFonts w:asciiTheme="minorHAnsi" w:hAnsiTheme="minorHAnsi" w:cstheme="minorHAnsi"/>
        </w:rPr>
        <w:t xml:space="preserve"> se tak dostaly nejednoznačné informace pro čerpání podpory.</w:t>
      </w:r>
    </w:p>
    <w:p w14:paraId="253F86B5" w14:textId="77777777" w:rsidR="007E6FA9" w:rsidRDefault="007E6FA9" w:rsidP="007E6FA9">
      <w:pPr>
        <w:jc w:val="both"/>
        <w:rPr>
          <w:rFonts w:asciiTheme="minorHAnsi" w:hAnsiTheme="minorHAnsi" w:cstheme="minorHAnsi"/>
        </w:rPr>
      </w:pPr>
    </w:p>
    <w:p w14:paraId="111F9696" w14:textId="3AFD141A" w:rsidR="007E6FA9" w:rsidRDefault="007E6FA9" w:rsidP="007E6FA9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>Velk</w:t>
      </w:r>
      <w:r w:rsidR="00C53CBF">
        <w:rPr>
          <w:rFonts w:ascii="Calibri" w:hAnsi="Calibri" w:cs="Calibri"/>
          <w:b/>
        </w:rPr>
        <w:t>ou</w:t>
      </w:r>
      <w:r w:rsidRPr="00230F9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část</w:t>
      </w:r>
      <w:r w:rsidRPr="00230F90">
        <w:rPr>
          <w:rFonts w:ascii="Calibri" w:hAnsi="Calibri" w:cs="Calibri"/>
          <w:b/>
        </w:rPr>
        <w:t xml:space="preserve"> dosažených výsledků projektů v programu ALFA </w:t>
      </w:r>
      <w:r w:rsidR="00C53CBF">
        <w:rPr>
          <w:rFonts w:ascii="Calibri" w:hAnsi="Calibri" w:cs="Calibri"/>
          <w:b/>
        </w:rPr>
        <w:t>tvoří</w:t>
      </w:r>
      <w:r w:rsidRPr="00230F90">
        <w:rPr>
          <w:rFonts w:ascii="Calibri" w:hAnsi="Calibri" w:cs="Calibri"/>
          <w:b/>
        </w:rPr>
        <w:t xml:space="preserve"> výsledky publikační.</w:t>
      </w:r>
      <w:r>
        <w:rPr>
          <w:rFonts w:ascii="Calibri" w:hAnsi="Calibri" w:cs="Calibri"/>
          <w:b/>
        </w:rPr>
        <w:t xml:space="preserve"> </w:t>
      </w:r>
      <w:r w:rsidRPr="00230F9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 xml:space="preserve">následujícím grafu </w:t>
      </w:r>
      <w:r w:rsidRPr="002646BF">
        <w:rPr>
          <w:rFonts w:asciiTheme="minorHAnsi" w:hAnsiTheme="minorHAnsi" w:cstheme="minorHAnsi"/>
        </w:rPr>
        <w:t xml:space="preserve">č. </w:t>
      </w:r>
      <w:r w:rsidR="00C53CBF" w:rsidRPr="002E517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230F90">
        <w:rPr>
          <w:rFonts w:asciiTheme="minorHAnsi" w:hAnsiTheme="minorHAnsi" w:cstheme="minorHAnsi"/>
        </w:rPr>
        <w:t>je zobrazen přehled výsledků kontrolovaných projektů programu ALFA dle typů výsledků. V</w:t>
      </w:r>
      <w:r w:rsidR="00C53CBF">
        <w:rPr>
          <w:rFonts w:asciiTheme="minorHAnsi" w:hAnsiTheme="minorHAnsi" w:cstheme="minorHAnsi"/>
        </w:rPr>
        <w:t xml:space="preserve"> informačním </w:t>
      </w:r>
      <w:r w:rsidRPr="00230F90">
        <w:rPr>
          <w:rFonts w:asciiTheme="minorHAnsi" w:hAnsiTheme="minorHAnsi" w:cstheme="minorHAnsi"/>
        </w:rPr>
        <w:t>systému VaV</w:t>
      </w:r>
      <w:r>
        <w:rPr>
          <w:rFonts w:asciiTheme="minorHAnsi" w:hAnsiTheme="minorHAnsi" w:cstheme="minorHAnsi"/>
        </w:rPr>
        <w:t>aI</w:t>
      </w:r>
      <w:r w:rsidRPr="00230F90">
        <w:rPr>
          <w:rFonts w:asciiTheme="minorHAnsi" w:hAnsiTheme="minorHAnsi" w:cstheme="minorHAnsi"/>
        </w:rPr>
        <w:t xml:space="preserve"> bylo ke dni 24. </w:t>
      </w:r>
      <w:r w:rsidR="0053175C">
        <w:rPr>
          <w:rFonts w:asciiTheme="minorHAnsi" w:hAnsiTheme="minorHAnsi" w:cstheme="minorHAnsi"/>
        </w:rPr>
        <w:t xml:space="preserve">února </w:t>
      </w:r>
      <w:r w:rsidRPr="00230F90">
        <w:rPr>
          <w:rFonts w:asciiTheme="minorHAnsi" w:hAnsiTheme="minorHAnsi" w:cstheme="minorHAnsi"/>
        </w:rPr>
        <w:t>2016 vedeno 576 výsledků. Dle schválených návrhů projektů bylo plánovaných 310 výsledků u</w:t>
      </w:r>
      <w:r w:rsidR="002E5174"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>kontrolovaných pr</w:t>
      </w:r>
      <w:r>
        <w:rPr>
          <w:rFonts w:asciiTheme="minorHAnsi" w:hAnsiTheme="minorHAnsi" w:cstheme="minorHAnsi"/>
        </w:rPr>
        <w:t xml:space="preserve">ojektů. Jak vyplývá </w:t>
      </w:r>
      <w:r w:rsidRPr="002646BF">
        <w:rPr>
          <w:rFonts w:asciiTheme="minorHAnsi" w:hAnsiTheme="minorHAnsi" w:cstheme="minorHAnsi"/>
        </w:rPr>
        <w:t>z grafu,</w:t>
      </w:r>
      <w:r w:rsidRPr="00230F90">
        <w:rPr>
          <w:rFonts w:asciiTheme="minorHAnsi" w:hAnsiTheme="minorHAnsi" w:cstheme="minorHAnsi"/>
        </w:rPr>
        <w:t xml:space="preserve"> v kontrolovaných 34 projektech </w:t>
      </w:r>
      <w:r w:rsidR="006F4D6E">
        <w:rPr>
          <w:rFonts w:asciiTheme="minorHAnsi" w:hAnsiTheme="minorHAnsi" w:cstheme="minorHAnsi"/>
        </w:rPr>
        <w:t xml:space="preserve">programu ALFA </w:t>
      </w:r>
      <w:r w:rsidRPr="00230F90">
        <w:rPr>
          <w:rFonts w:asciiTheme="minorHAnsi" w:hAnsiTheme="minorHAnsi" w:cstheme="minorHAnsi"/>
        </w:rPr>
        <w:t>bylo dosaženo velké</w:t>
      </w:r>
      <w:r w:rsidR="006F4D6E">
        <w:rPr>
          <w:rFonts w:asciiTheme="minorHAnsi" w:hAnsiTheme="minorHAnsi" w:cstheme="minorHAnsi"/>
        </w:rPr>
        <w:t>ho</w:t>
      </w:r>
      <w:r w:rsidRPr="00230F90">
        <w:rPr>
          <w:rFonts w:asciiTheme="minorHAnsi" w:hAnsiTheme="minorHAnsi" w:cstheme="minorHAnsi"/>
        </w:rPr>
        <w:t xml:space="preserve"> množství publikačních výsledků. V celkovém počtu 576 výsledků je zahrnuto 255 takových výsledků (tj. 44 %). Jedná se především o články ve sborní</w:t>
      </w:r>
      <w:r w:rsidR="00C53CBF">
        <w:rPr>
          <w:rFonts w:asciiTheme="minorHAnsi" w:hAnsiTheme="minorHAnsi" w:cstheme="minorHAnsi"/>
        </w:rPr>
        <w:t>cích</w:t>
      </w:r>
      <w:r w:rsidRPr="00230F90">
        <w:rPr>
          <w:rFonts w:asciiTheme="minorHAnsi" w:hAnsiTheme="minorHAnsi" w:cstheme="minorHAnsi"/>
        </w:rPr>
        <w:t xml:space="preserve"> či odborn</w:t>
      </w:r>
      <w:r w:rsidR="00C53CBF">
        <w:rPr>
          <w:rFonts w:asciiTheme="minorHAnsi" w:hAnsiTheme="minorHAnsi" w:cstheme="minorHAnsi"/>
        </w:rPr>
        <w:t>ých</w:t>
      </w:r>
      <w:r w:rsidRPr="00230F90">
        <w:rPr>
          <w:rFonts w:asciiTheme="minorHAnsi" w:hAnsiTheme="minorHAnsi" w:cstheme="minorHAnsi"/>
        </w:rPr>
        <w:t xml:space="preserve"> periodik</w:t>
      </w:r>
      <w:r w:rsidR="005B1A15">
        <w:rPr>
          <w:rFonts w:asciiTheme="minorHAnsi" w:hAnsiTheme="minorHAnsi" w:cstheme="minorHAnsi"/>
        </w:rPr>
        <w:t>ách</w:t>
      </w:r>
      <w:r w:rsidRPr="00230F90">
        <w:rPr>
          <w:rFonts w:asciiTheme="minorHAnsi" w:hAnsiTheme="minorHAnsi" w:cstheme="minorHAnsi"/>
        </w:rPr>
        <w:t>. Tyto články vznikají často v souvislosti s jinými dosaženými výsledky a</w:t>
      </w:r>
      <w:r w:rsidR="009E6EEE"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>nejsou obsaženy ve schváleném návrhu projektu (tzv. výsledky nepovinné). Z grafu je dále patrné i</w:t>
      </w:r>
      <w:r w:rsidR="002E5174"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>dosažení velkého množství užitných vzorů, certifikovaných metodik, funkčních vzorků, softwarů a ověřených technologií. Naopak např. průmyslových vzorů, patentů a</w:t>
      </w:r>
      <w:r w:rsidR="009E6EEE">
        <w:rPr>
          <w:rFonts w:asciiTheme="minorHAnsi" w:hAnsiTheme="minorHAnsi" w:cstheme="minorHAnsi"/>
        </w:rPr>
        <w:t> </w:t>
      </w:r>
      <w:r w:rsidRPr="00230F90">
        <w:rPr>
          <w:rFonts w:asciiTheme="minorHAnsi" w:hAnsiTheme="minorHAnsi" w:cstheme="minorHAnsi"/>
        </w:rPr>
        <w:t>prototypů bylo v kontrolovaných projektech dosaženo malé množství. Kontrolou bylo zjištěno, že většiny plánovaných výsledků (</w:t>
      </w:r>
      <w:r w:rsidR="00C53CBF">
        <w:rPr>
          <w:rFonts w:asciiTheme="minorHAnsi" w:hAnsiTheme="minorHAnsi" w:cstheme="minorHAnsi"/>
        </w:rPr>
        <w:t>dl</w:t>
      </w:r>
      <w:r w:rsidRPr="00230F90">
        <w:rPr>
          <w:rFonts w:asciiTheme="minorHAnsi" w:hAnsiTheme="minorHAnsi" w:cstheme="minorHAnsi"/>
        </w:rPr>
        <w:t>e schválen</w:t>
      </w:r>
      <w:r w:rsidR="00C53CBF">
        <w:rPr>
          <w:rFonts w:asciiTheme="minorHAnsi" w:hAnsiTheme="minorHAnsi" w:cstheme="minorHAnsi"/>
        </w:rPr>
        <w:t>ých</w:t>
      </w:r>
      <w:r w:rsidRPr="00230F90">
        <w:rPr>
          <w:rFonts w:asciiTheme="minorHAnsi" w:hAnsiTheme="minorHAnsi" w:cstheme="minorHAnsi"/>
        </w:rPr>
        <w:t xml:space="preserve"> návrh</w:t>
      </w:r>
      <w:r w:rsidR="00C53CBF">
        <w:rPr>
          <w:rFonts w:asciiTheme="minorHAnsi" w:hAnsiTheme="minorHAnsi" w:cstheme="minorHAnsi"/>
        </w:rPr>
        <w:t>ů</w:t>
      </w:r>
      <w:r w:rsidRPr="00230F90">
        <w:rPr>
          <w:rFonts w:asciiTheme="minorHAnsi" w:hAnsiTheme="minorHAnsi" w:cstheme="minorHAnsi"/>
        </w:rPr>
        <w:t xml:space="preserve"> projekt</w:t>
      </w:r>
      <w:r w:rsidR="00C53CBF">
        <w:rPr>
          <w:rFonts w:asciiTheme="minorHAnsi" w:hAnsiTheme="minorHAnsi" w:cstheme="minorHAnsi"/>
        </w:rPr>
        <w:t>ů</w:t>
      </w:r>
      <w:r w:rsidRPr="00230F90">
        <w:rPr>
          <w:rFonts w:asciiTheme="minorHAnsi" w:hAnsiTheme="minorHAnsi" w:cstheme="minorHAnsi"/>
        </w:rPr>
        <w:t>) bylo dosaženo. Pokud nebylo možné některé výsledky naplnit, příjemci tyto změny ve většině případů hlásili poskytovateli.</w:t>
      </w:r>
    </w:p>
    <w:p w14:paraId="03E0C140" w14:textId="77777777" w:rsidR="005738F8" w:rsidRDefault="005738F8" w:rsidP="007E6FA9">
      <w:pPr>
        <w:jc w:val="both"/>
        <w:rPr>
          <w:rFonts w:asciiTheme="minorHAnsi" w:hAnsiTheme="minorHAnsi" w:cstheme="minorHAnsi"/>
        </w:rPr>
      </w:pPr>
    </w:p>
    <w:p w14:paraId="60627609" w14:textId="77777777" w:rsidR="005738F8" w:rsidRDefault="005738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C57238B" w14:textId="0BEE83E1" w:rsidR="007E6FA9" w:rsidRPr="000D6081" w:rsidRDefault="007E6FA9" w:rsidP="005D70FF">
      <w:pPr>
        <w:pStyle w:val="Odstavecseseznamem"/>
        <w:ind w:left="1077" w:hanging="1077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lastRenderedPageBreak/>
        <w:t xml:space="preserve">Graf č. </w:t>
      </w:r>
      <w:r w:rsidR="003775EB">
        <w:rPr>
          <w:rFonts w:asciiTheme="minorHAnsi" w:hAnsiTheme="minorHAnsi" w:cstheme="minorHAnsi"/>
          <w:b/>
        </w:rPr>
        <w:t>1</w:t>
      </w:r>
      <w:r w:rsidRPr="005738F8">
        <w:rPr>
          <w:rFonts w:asciiTheme="minorHAnsi" w:hAnsiTheme="minorHAnsi" w:cstheme="minorHAnsi"/>
          <w:b/>
        </w:rPr>
        <w:t xml:space="preserve"> </w:t>
      </w:r>
      <w:r w:rsidR="003775EB">
        <w:rPr>
          <w:rFonts w:asciiTheme="minorHAnsi" w:hAnsiTheme="minorHAnsi" w:cstheme="minorHAnsi"/>
          <w:b/>
        </w:rPr>
        <w:t xml:space="preserve">– </w:t>
      </w:r>
      <w:r w:rsidRPr="005738F8">
        <w:rPr>
          <w:rFonts w:asciiTheme="minorHAnsi" w:hAnsiTheme="minorHAnsi" w:cstheme="minorHAnsi"/>
          <w:b/>
        </w:rPr>
        <w:t>Výsledky kontrolovaných projektů dle IS VaVaI</w:t>
      </w:r>
      <w:r w:rsidRPr="005D70FF">
        <w:rPr>
          <w:rFonts w:asciiTheme="minorHAnsi" w:hAnsiTheme="minorHAnsi" w:cstheme="minorHAnsi"/>
        </w:rPr>
        <w:t xml:space="preserve"> </w:t>
      </w:r>
      <w:r w:rsidRPr="000D6081">
        <w:rPr>
          <w:rFonts w:asciiTheme="minorHAnsi" w:hAnsiTheme="minorHAnsi" w:cstheme="minorHAnsi"/>
          <w:b/>
        </w:rPr>
        <w:t>v Rejstříku informací o</w:t>
      </w:r>
      <w:r w:rsidR="00007FD1" w:rsidRPr="000D6081">
        <w:rPr>
          <w:rFonts w:asciiTheme="minorHAnsi" w:hAnsiTheme="minorHAnsi" w:cstheme="minorHAnsi"/>
          <w:b/>
        </w:rPr>
        <w:t> </w:t>
      </w:r>
      <w:r w:rsidRPr="000D6081">
        <w:rPr>
          <w:rFonts w:asciiTheme="minorHAnsi" w:hAnsiTheme="minorHAnsi" w:cstheme="minorHAnsi"/>
          <w:b/>
        </w:rPr>
        <w:t>výsledcích</w:t>
      </w:r>
    </w:p>
    <w:p w14:paraId="75FB5107" w14:textId="39704591" w:rsidR="007E6FA9" w:rsidRDefault="00A7600D" w:rsidP="007E6FA9">
      <w:pPr>
        <w:pStyle w:val="Odstavecseseznamem"/>
        <w:ind w:left="0"/>
      </w:pPr>
      <w:r>
        <w:rPr>
          <w:noProof/>
        </w:rPr>
        <w:drawing>
          <wp:inline distT="0" distB="0" distL="0" distR="0" wp14:anchorId="23299ED9" wp14:editId="23B26BF4">
            <wp:extent cx="5761355" cy="3682823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6068F6" w14:textId="5846097B" w:rsidR="007E6FA9" w:rsidRPr="005738F8" w:rsidRDefault="007E6FA9" w:rsidP="002F65B0">
      <w:pPr>
        <w:ind w:left="567" w:hanging="567"/>
        <w:jc w:val="both"/>
        <w:rPr>
          <w:sz w:val="20"/>
          <w:szCs w:val="20"/>
        </w:rPr>
      </w:pPr>
      <w:r w:rsidRPr="005738F8">
        <w:rPr>
          <w:rFonts w:asciiTheme="minorHAnsi" w:hAnsiTheme="minorHAnsi" w:cstheme="minorHAnsi"/>
          <w:b/>
          <w:sz w:val="20"/>
          <w:szCs w:val="20"/>
        </w:rPr>
        <w:t>Zdroj:</w:t>
      </w:r>
      <w:r w:rsidR="002F65B0">
        <w:rPr>
          <w:rFonts w:asciiTheme="minorHAnsi" w:hAnsiTheme="minorHAnsi" w:cstheme="minorHAnsi"/>
          <w:b/>
          <w:sz w:val="20"/>
          <w:szCs w:val="20"/>
        </w:rPr>
        <w:tab/>
      </w:r>
      <w:r w:rsidRPr="005738F8">
        <w:rPr>
          <w:rFonts w:asciiTheme="minorHAnsi" w:hAnsiTheme="minorHAnsi" w:cstheme="minorHAnsi"/>
          <w:sz w:val="20"/>
          <w:szCs w:val="20"/>
        </w:rPr>
        <w:t xml:space="preserve"> </w:t>
      </w:r>
      <w:r w:rsidR="003775EB">
        <w:rPr>
          <w:rFonts w:asciiTheme="minorHAnsi" w:hAnsiTheme="minorHAnsi" w:cstheme="minorHAnsi"/>
          <w:sz w:val="20"/>
          <w:szCs w:val="20"/>
        </w:rPr>
        <w:t>d</w:t>
      </w:r>
      <w:r w:rsidRPr="005738F8">
        <w:rPr>
          <w:rFonts w:asciiTheme="minorHAnsi" w:hAnsiTheme="minorHAnsi" w:cstheme="minorHAnsi"/>
          <w:sz w:val="20"/>
          <w:szCs w:val="20"/>
        </w:rPr>
        <w:t>ata z IS VaVaI.</w:t>
      </w:r>
    </w:p>
    <w:p w14:paraId="1EA7831B" w14:textId="07BF9080" w:rsidR="007E6FA9" w:rsidRPr="005738F8" w:rsidRDefault="007E6FA9" w:rsidP="002F65B0">
      <w:pPr>
        <w:pStyle w:val="Odstavecseseznamem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738F8">
        <w:rPr>
          <w:rFonts w:asciiTheme="minorHAnsi" w:hAnsiTheme="minorHAnsi" w:cstheme="minorHAnsi"/>
          <w:b/>
          <w:sz w:val="20"/>
          <w:szCs w:val="20"/>
        </w:rPr>
        <w:t>Pozn.:</w:t>
      </w:r>
      <w:r w:rsidRPr="005738F8">
        <w:rPr>
          <w:rFonts w:asciiTheme="minorHAnsi" w:hAnsiTheme="minorHAnsi" w:cstheme="minorHAnsi"/>
          <w:sz w:val="20"/>
          <w:szCs w:val="20"/>
        </w:rPr>
        <w:t xml:space="preserve"> </w:t>
      </w:r>
      <w:r w:rsidR="002F65B0">
        <w:rPr>
          <w:rFonts w:asciiTheme="minorHAnsi" w:hAnsiTheme="minorHAnsi" w:cstheme="minorHAnsi"/>
          <w:sz w:val="20"/>
          <w:szCs w:val="20"/>
        </w:rPr>
        <w:tab/>
      </w:r>
      <w:r w:rsidR="003775EB">
        <w:rPr>
          <w:rFonts w:asciiTheme="minorHAnsi" w:hAnsiTheme="minorHAnsi" w:cstheme="minorHAnsi"/>
          <w:sz w:val="20"/>
          <w:szCs w:val="20"/>
        </w:rPr>
        <w:t>G</w:t>
      </w:r>
      <w:r w:rsidRPr="005738F8">
        <w:rPr>
          <w:rFonts w:asciiTheme="minorHAnsi" w:hAnsiTheme="minorHAnsi" w:cstheme="minorHAnsi"/>
          <w:sz w:val="20"/>
          <w:szCs w:val="20"/>
        </w:rPr>
        <w:t xml:space="preserve">raf je zpracován dle dat z IS VaVaI ke dni 24. </w:t>
      </w:r>
      <w:r w:rsidR="0053175C">
        <w:rPr>
          <w:rFonts w:asciiTheme="minorHAnsi" w:hAnsiTheme="minorHAnsi" w:cstheme="minorHAnsi"/>
          <w:sz w:val="20"/>
          <w:szCs w:val="20"/>
        </w:rPr>
        <w:t xml:space="preserve">února </w:t>
      </w:r>
      <w:r w:rsidRPr="005738F8">
        <w:rPr>
          <w:rFonts w:asciiTheme="minorHAnsi" w:hAnsiTheme="minorHAnsi" w:cstheme="minorHAnsi"/>
          <w:sz w:val="20"/>
          <w:szCs w:val="20"/>
        </w:rPr>
        <w:t xml:space="preserve">2016 </w:t>
      </w:r>
      <w:r w:rsidR="002F65B0">
        <w:rPr>
          <w:rFonts w:asciiTheme="minorHAnsi" w:hAnsiTheme="minorHAnsi" w:cstheme="minorHAnsi"/>
          <w:sz w:val="20"/>
          <w:szCs w:val="20"/>
        </w:rPr>
        <w:t xml:space="preserve">a zachycuje </w:t>
      </w:r>
      <w:r w:rsidRPr="005738F8">
        <w:rPr>
          <w:rFonts w:asciiTheme="minorHAnsi" w:hAnsiTheme="minorHAnsi" w:cstheme="minorHAnsi"/>
          <w:sz w:val="20"/>
          <w:szCs w:val="20"/>
        </w:rPr>
        <w:t>veškeré předané výsledky týkající se kontrolovaných projektů, včetně nepovinných výsledků</w:t>
      </w:r>
      <w:r w:rsidR="002F65B0">
        <w:rPr>
          <w:rFonts w:asciiTheme="minorHAnsi" w:hAnsiTheme="minorHAnsi" w:cstheme="minorHAnsi"/>
          <w:sz w:val="20"/>
          <w:szCs w:val="20"/>
        </w:rPr>
        <w:t>;</w:t>
      </w:r>
      <w:r w:rsidRPr="005738F8">
        <w:rPr>
          <w:rFonts w:asciiTheme="minorHAnsi" w:hAnsiTheme="minorHAnsi" w:cstheme="minorHAnsi"/>
          <w:sz w:val="20"/>
          <w:szCs w:val="20"/>
        </w:rPr>
        <w:t xml:space="preserve"> výsledky jsou za celý projekt a za všechny účastníky projektu (příjemce + další účastníci).</w:t>
      </w:r>
    </w:p>
    <w:p w14:paraId="1B5D5F34" w14:textId="77777777" w:rsidR="00D35653" w:rsidRDefault="00D35653" w:rsidP="00F72DED">
      <w:pPr>
        <w:jc w:val="both"/>
        <w:rPr>
          <w:rFonts w:asciiTheme="minorHAnsi" w:hAnsiTheme="minorHAnsi" w:cstheme="minorHAnsi"/>
          <w:b/>
        </w:rPr>
      </w:pPr>
    </w:p>
    <w:p w14:paraId="681A10CD" w14:textId="5B172576" w:rsidR="00F72DED" w:rsidRDefault="00F72DED" w:rsidP="00F72DED">
      <w:pPr>
        <w:jc w:val="both"/>
        <w:rPr>
          <w:rFonts w:asciiTheme="minorHAnsi" w:hAnsiTheme="minorHAnsi" w:cstheme="minorHAnsi"/>
        </w:rPr>
      </w:pPr>
      <w:r w:rsidRPr="00F72DED">
        <w:rPr>
          <w:rFonts w:asciiTheme="minorHAnsi" w:hAnsiTheme="minorHAnsi" w:cstheme="minorHAnsi"/>
          <w:b/>
        </w:rPr>
        <w:t>TA ČR důsledně nevyžadovala včasné uzaví</w:t>
      </w:r>
      <w:r w:rsidR="00230F90">
        <w:rPr>
          <w:rFonts w:asciiTheme="minorHAnsi" w:hAnsiTheme="minorHAnsi" w:cstheme="minorHAnsi"/>
          <w:b/>
        </w:rPr>
        <w:t xml:space="preserve">rání smluv o využití výsledků. </w:t>
      </w:r>
      <w:r w:rsidRPr="00CE1FE6">
        <w:rPr>
          <w:rFonts w:asciiTheme="minorHAnsi" w:hAnsiTheme="minorHAnsi" w:cstheme="minorHAnsi"/>
        </w:rPr>
        <w:t>Splnění podmínky uvedené v ustanovení § 11 odst. 1 zákona č. 130/2002 Sb.</w:t>
      </w:r>
      <w:r w:rsidRPr="00CE1FE6">
        <w:rPr>
          <w:rStyle w:val="Znakapoznpodarou"/>
          <w:rFonts w:asciiTheme="minorHAnsi" w:hAnsiTheme="minorHAnsi" w:cstheme="minorHAnsi"/>
        </w:rPr>
        <w:footnoteReference w:id="17"/>
      </w:r>
      <w:r w:rsidRPr="00CE1FE6">
        <w:rPr>
          <w:rFonts w:asciiTheme="minorHAnsi" w:hAnsiTheme="minorHAnsi" w:cstheme="minorHAnsi"/>
        </w:rPr>
        <w:t xml:space="preserve"> je důležitým předpokladem využití výsledku výzkumu a vývoje a její význam vzroste zejména v projektech, na jejichž řešení se podílí příjemce a další účastníci. TA ČR také nepostupovala v souladu</w:t>
      </w:r>
      <w:r>
        <w:rPr>
          <w:rFonts w:asciiTheme="minorHAnsi" w:hAnsiTheme="minorHAnsi" w:cstheme="minorHAnsi"/>
        </w:rPr>
        <w:t xml:space="preserve"> s tímto ustanovením,</w:t>
      </w:r>
      <w:r w:rsidRPr="00667B99">
        <w:rPr>
          <w:rFonts w:asciiTheme="minorHAnsi" w:hAnsiTheme="minorHAnsi" w:cstheme="minorHAnsi"/>
        </w:rPr>
        <w:t xml:space="preserve"> když v</w:t>
      </w:r>
      <w:r>
        <w:rPr>
          <w:rFonts w:asciiTheme="minorHAnsi" w:hAnsiTheme="minorHAnsi" w:cstheme="minorHAnsi"/>
        </w:rPr>
        <w:t>e</w:t>
      </w:r>
      <w:r w:rsidRPr="00667B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všeobecných podmínkách</w:t>
      </w:r>
      <w:r w:rsidRPr="001C3ECD">
        <w:rPr>
          <w:rFonts w:asciiTheme="minorHAnsi" w:hAnsiTheme="minorHAnsi" w:cstheme="minorHAnsi"/>
        </w:rPr>
        <w:t>, které byly součástí smluv o poskytnutí podpory, umožnila nad rámec zákona příjemcům předkládat čestná prohlášení, ve kterých prohlásili, že v době ukončení řešení projektu nemají výsledky komerčně využitelné a že smlouvu o využití výsledků</w:t>
      </w:r>
      <w:r>
        <w:rPr>
          <w:rFonts w:asciiTheme="minorHAnsi" w:hAnsiTheme="minorHAnsi" w:cstheme="minorHAnsi"/>
        </w:rPr>
        <w:t xml:space="preserve"> uzavřou v dodatečné lhůtě. Zákon č. 130/2002 Sb.</w:t>
      </w:r>
      <w:r w:rsidRPr="001C3ECD">
        <w:rPr>
          <w:rFonts w:asciiTheme="minorHAnsi" w:hAnsiTheme="minorHAnsi" w:cstheme="minorHAnsi"/>
        </w:rPr>
        <w:t xml:space="preserve"> takové řešení neumožňuje a stanoví povinnost uzavřít smlouvu o využití výsledků </w:t>
      </w:r>
      <w:r>
        <w:rPr>
          <w:rFonts w:asciiTheme="minorHAnsi" w:hAnsiTheme="minorHAnsi" w:cstheme="minorHAnsi"/>
        </w:rPr>
        <w:t>před ukončením</w:t>
      </w:r>
      <w:r w:rsidRPr="001C3ECD">
        <w:rPr>
          <w:rFonts w:asciiTheme="minorHAnsi" w:hAnsiTheme="minorHAnsi" w:cstheme="minorHAnsi"/>
        </w:rPr>
        <w:t xml:space="preserve"> řešení projektu.</w:t>
      </w:r>
      <w:r w:rsidR="00AA119C">
        <w:rPr>
          <w:rFonts w:asciiTheme="minorHAnsi" w:hAnsiTheme="minorHAnsi" w:cstheme="minorHAnsi"/>
        </w:rPr>
        <w:t xml:space="preserve"> </w:t>
      </w:r>
    </w:p>
    <w:p w14:paraId="4B036A2E" w14:textId="77777777" w:rsidR="0087066E" w:rsidRPr="00CA584D" w:rsidRDefault="0087066E" w:rsidP="00F72DED">
      <w:pPr>
        <w:jc w:val="both"/>
        <w:rPr>
          <w:rFonts w:asciiTheme="minorHAnsi" w:hAnsiTheme="minorHAnsi" w:cstheme="minorHAnsi"/>
          <w:b/>
        </w:rPr>
      </w:pPr>
    </w:p>
    <w:p w14:paraId="5D0D3B27" w14:textId="5F81D9F9" w:rsidR="007E6FA9" w:rsidRDefault="007E6FA9" w:rsidP="007E6FA9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 xml:space="preserve">Někteří příjemci nedodržovali smlouvy o poskytnutí účelové podpory, resp. všeobecné podmínky, což NKÚ vyhodnotil jako porušení rozpočtové kázně. </w:t>
      </w:r>
      <w:r w:rsidRPr="00D35653">
        <w:rPr>
          <w:rFonts w:asciiTheme="minorHAnsi" w:hAnsiTheme="minorHAnsi" w:cstheme="minorHAnsi"/>
        </w:rPr>
        <w:t>Porušení rozpočtové kázně v celkové výši 5 104 331,37 Kč</w:t>
      </w:r>
      <w:r w:rsidRPr="00E47BBB">
        <w:rPr>
          <w:rFonts w:asciiTheme="minorHAnsi" w:hAnsiTheme="minorHAnsi" w:cstheme="minorHAnsi"/>
        </w:rPr>
        <w:t xml:space="preserve"> </w:t>
      </w:r>
      <w:r w:rsidRPr="00667B99">
        <w:rPr>
          <w:rFonts w:asciiTheme="minorHAnsi" w:hAnsiTheme="minorHAnsi" w:cstheme="minorHAnsi"/>
        </w:rPr>
        <w:t>bylo zjištěno u osmi projektů</w:t>
      </w:r>
      <w:r>
        <w:rPr>
          <w:rFonts w:asciiTheme="minorHAnsi" w:hAnsiTheme="minorHAnsi" w:cstheme="minorHAnsi"/>
        </w:rPr>
        <w:t xml:space="preserve"> </w:t>
      </w:r>
      <w:r w:rsidR="002F65B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z 35</w:t>
      </w:r>
      <w:r w:rsidR="002F65B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kde příjemcům byla přiznána účelová podpora ve výši 92 233 000 Kč. </w:t>
      </w:r>
    </w:p>
    <w:p w14:paraId="5FA33C34" w14:textId="77777777" w:rsidR="0053175C" w:rsidRDefault="005317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4498C75" w14:textId="77777777" w:rsidR="007E6FA9" w:rsidRDefault="007E6FA9" w:rsidP="005D70FF">
      <w:pPr>
        <w:spacing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Příjemce</w:t>
      </w:r>
      <w:r w:rsidRPr="00667B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porušil rozpočtovou kázeň </w:t>
      </w:r>
      <w:r w:rsidRPr="00667B99">
        <w:rPr>
          <w:rFonts w:asciiTheme="minorHAnsi" w:hAnsiTheme="minorHAnsi" w:cstheme="minorHAnsi"/>
        </w:rPr>
        <w:t>např.</w:t>
      </w:r>
      <w:r>
        <w:rPr>
          <w:rFonts w:asciiTheme="minorHAnsi" w:hAnsiTheme="minorHAnsi" w:cstheme="minorHAnsi"/>
        </w:rPr>
        <w:t xml:space="preserve"> tím, že:</w:t>
      </w:r>
      <w:r w:rsidRPr="00667B99">
        <w:rPr>
          <w:rFonts w:asciiTheme="minorHAnsi" w:hAnsiTheme="minorHAnsi" w:cstheme="minorHAnsi"/>
        </w:rPr>
        <w:t xml:space="preserve"> </w:t>
      </w:r>
    </w:p>
    <w:p w14:paraId="649E17C1" w14:textId="77777777" w:rsidR="007E6FA9" w:rsidRPr="00D53AF6" w:rsidRDefault="007E6FA9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 xml:space="preserve">nedoložil náklady průkaznými doklady, </w:t>
      </w:r>
    </w:p>
    <w:p w14:paraId="20022A3F" w14:textId="22050B17" w:rsidR="007E6FA9" w:rsidRPr="00D53AF6" w:rsidRDefault="00D50841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poskytnuté podpory hradil </w:t>
      </w:r>
      <w:r w:rsidR="007E6FA9" w:rsidRPr="00D53AF6">
        <w:rPr>
          <w:rFonts w:asciiTheme="minorHAnsi" w:hAnsiTheme="minorHAnsi" w:cstheme="minorHAnsi"/>
        </w:rPr>
        <w:t>náklady nesouvise</w:t>
      </w:r>
      <w:r>
        <w:rPr>
          <w:rFonts w:asciiTheme="minorHAnsi" w:hAnsiTheme="minorHAnsi" w:cstheme="minorHAnsi"/>
        </w:rPr>
        <w:t>jící</w:t>
      </w:r>
      <w:r w:rsidR="007E6FA9" w:rsidRPr="00D53AF6">
        <w:rPr>
          <w:rFonts w:asciiTheme="minorHAnsi" w:hAnsiTheme="minorHAnsi" w:cstheme="minorHAnsi"/>
        </w:rPr>
        <w:t xml:space="preserve"> s řešením projektu, </w:t>
      </w:r>
    </w:p>
    <w:p w14:paraId="0E1B7248" w14:textId="77777777" w:rsidR="007E6FA9" w:rsidRPr="00D53AF6" w:rsidRDefault="007E6FA9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 xml:space="preserve">nevyčerpané prostředky nevrátil včas, </w:t>
      </w:r>
    </w:p>
    <w:p w14:paraId="4DFBDAE5" w14:textId="77777777" w:rsidR="007E6FA9" w:rsidRPr="00D53AF6" w:rsidRDefault="007E6FA9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neinformoval TA ČR o změně smluvního ujednání,</w:t>
      </w:r>
    </w:p>
    <w:p w14:paraId="52095982" w14:textId="77777777" w:rsidR="007E6FA9" w:rsidRPr="00D53AF6" w:rsidRDefault="007E6FA9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 xml:space="preserve">nesplnil v termínu výsledek, </w:t>
      </w:r>
    </w:p>
    <w:p w14:paraId="4BBBB3A8" w14:textId="77777777" w:rsidR="007E6FA9" w:rsidRPr="00D53AF6" w:rsidRDefault="007E6FA9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pořizoval z poskytnuté podpory dlouhodobý hmotný majetek,</w:t>
      </w:r>
      <w:r>
        <w:rPr>
          <w:rFonts w:asciiTheme="minorHAnsi" w:hAnsiTheme="minorHAnsi" w:cstheme="minorHAnsi"/>
        </w:rPr>
        <w:t xml:space="preserve"> a to v rozporu s podmínkami smlouvy o poskytnutí podpory,</w:t>
      </w:r>
    </w:p>
    <w:p w14:paraId="7AE80F4A" w14:textId="77777777" w:rsidR="007E6FA9" w:rsidRPr="00D53AF6" w:rsidRDefault="007E6FA9" w:rsidP="0053175C">
      <w:pPr>
        <w:pStyle w:val="Odstavecseseznamem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vynaložil náklady v následujícím kalendářním roce.</w:t>
      </w:r>
    </w:p>
    <w:p w14:paraId="339F933A" w14:textId="77777777" w:rsidR="007E6FA9" w:rsidRPr="00FE5861" w:rsidRDefault="007E6FA9" w:rsidP="007E6FA9">
      <w:pPr>
        <w:jc w:val="both"/>
        <w:rPr>
          <w:rFonts w:ascii="Calibri" w:hAnsi="Calibri" w:cs="Calibri"/>
          <w:b/>
        </w:rPr>
      </w:pPr>
    </w:p>
    <w:p w14:paraId="0BDFEFF7" w14:textId="71BF2C12" w:rsidR="007E6FA9" w:rsidRPr="00D53AF6" w:rsidRDefault="007E6FA9" w:rsidP="007E6FA9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Příjemci </w:t>
      </w:r>
      <w:r w:rsidR="00D50841">
        <w:rPr>
          <w:rFonts w:ascii="Calibri" w:hAnsi="Calibri" w:cs="Calibri"/>
          <w:b/>
        </w:rPr>
        <w:t xml:space="preserve">nepřeváděli </w:t>
      </w:r>
      <w:r>
        <w:rPr>
          <w:rFonts w:ascii="Calibri" w:hAnsi="Calibri" w:cs="Calibri"/>
          <w:b/>
        </w:rPr>
        <w:t xml:space="preserve">včas část účelové podpory dalším účastníkům. </w:t>
      </w:r>
      <w:r>
        <w:rPr>
          <w:rFonts w:asciiTheme="minorHAnsi" w:hAnsiTheme="minorHAnsi" w:cstheme="minorHAnsi"/>
        </w:rPr>
        <w:t>U sedmi projektů nepřevedli příjemci</w:t>
      </w:r>
      <w:r w:rsidRPr="00D35653">
        <w:rPr>
          <w:rFonts w:asciiTheme="minorHAnsi" w:hAnsiTheme="minorHAnsi" w:cstheme="minorHAnsi"/>
        </w:rPr>
        <w:t xml:space="preserve"> včas stanoven</w:t>
      </w:r>
      <w:r>
        <w:rPr>
          <w:rFonts w:asciiTheme="minorHAnsi" w:hAnsiTheme="minorHAnsi" w:cstheme="minorHAnsi"/>
        </w:rPr>
        <w:t xml:space="preserve">ou část účelové podpory dalším </w:t>
      </w:r>
      <w:r w:rsidRPr="00D35653">
        <w:rPr>
          <w:rFonts w:asciiTheme="minorHAnsi" w:hAnsiTheme="minorHAnsi" w:cstheme="minorHAnsi"/>
        </w:rPr>
        <w:t>účastník</w:t>
      </w:r>
      <w:r>
        <w:rPr>
          <w:rFonts w:asciiTheme="minorHAnsi" w:hAnsiTheme="minorHAnsi" w:cstheme="minorHAnsi"/>
        </w:rPr>
        <w:t>ům. Lhůta pro převod části účelové podpory dalšímu účastníkovi je stanovena smlouvou o spolupráci.</w:t>
      </w:r>
    </w:p>
    <w:p w14:paraId="29058CAE" w14:textId="77777777" w:rsidR="007E6FA9" w:rsidRDefault="007E6FA9" w:rsidP="00D50841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54F2C0A8" w14:textId="77777777" w:rsidR="007E6FA9" w:rsidRDefault="007E6FA9" w:rsidP="007E6FA9">
      <w:pPr>
        <w:jc w:val="both"/>
        <w:rPr>
          <w:rFonts w:asciiTheme="minorHAnsi" w:hAnsiTheme="minorHAnsi" w:cstheme="minorHAnsi"/>
        </w:rPr>
      </w:pPr>
      <w:r w:rsidRPr="00D53AF6">
        <w:rPr>
          <w:rFonts w:ascii="Calibri" w:hAnsi="Calibri" w:cs="Calibri"/>
          <w:b/>
        </w:rPr>
        <w:t>Někteří příjemci nedodržovali zákonnou lhůtu pro uzavření smlouvy o využití výsledků.</w:t>
      </w:r>
      <w:r>
        <w:rPr>
          <w:rFonts w:ascii="Calibri" w:hAnsi="Calibri" w:cs="Calibri"/>
          <w:b/>
        </w:rPr>
        <w:t xml:space="preserve"> </w:t>
      </w:r>
      <w:r w:rsidRPr="006507F0">
        <w:rPr>
          <w:rFonts w:asciiTheme="minorHAnsi" w:hAnsiTheme="minorHAnsi" w:cstheme="minorHAnsi"/>
        </w:rPr>
        <w:t>Kontrole byly</w:t>
      </w:r>
      <w:r>
        <w:rPr>
          <w:rFonts w:asciiTheme="minorHAnsi" w:hAnsiTheme="minorHAnsi" w:cstheme="minorHAnsi"/>
        </w:rPr>
        <w:t xml:space="preserve"> podrobeny pouze ukončené projekty</w:t>
      </w:r>
      <w:r>
        <w:rPr>
          <w:rStyle w:val="Znakapoznpodarou"/>
          <w:rFonts w:asciiTheme="minorHAnsi" w:hAnsiTheme="minorHAnsi" w:cstheme="minorHAnsi"/>
        </w:rPr>
        <w:footnoteReference w:id="18"/>
      </w:r>
      <w:r w:rsidRPr="00B3005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Kontrolou bylo zjištěno, že 72 % smluv o využití výsledků (tj. 15 smluv) nebylo řádně a včas uzavřeno. Jednalo se o neuzavření smlouvy o využití výsledků v zákonem stanovené lhůtě, nebo smlouva byla uzavřena, ale nebyla předložena poskytovateli, nebo neobsahovala zákonné náležitosti. To vše vedlo k oddálení komerčního využití přínosů. </w:t>
      </w:r>
    </w:p>
    <w:p w14:paraId="2803427B" w14:textId="77777777" w:rsidR="00D50841" w:rsidRPr="00D53AF6" w:rsidRDefault="00D50841" w:rsidP="007E6FA9">
      <w:pPr>
        <w:jc w:val="both"/>
        <w:rPr>
          <w:rFonts w:ascii="Calibri" w:hAnsi="Calibri" w:cs="Calibri"/>
          <w:b/>
        </w:rPr>
      </w:pPr>
    </w:p>
    <w:p w14:paraId="7FD5D7E0" w14:textId="43F6DD3D" w:rsidR="007E6FA9" w:rsidRPr="00D53AF6" w:rsidRDefault="007E6FA9" w:rsidP="007E6FA9">
      <w:pPr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 xml:space="preserve">Kontrole NKÚ byly podrobeny přínosy a komerční využití výsledků projektů pouze u osmi ukončených projektů k 31. </w:t>
      </w:r>
      <w:r w:rsidR="0053175C">
        <w:rPr>
          <w:rFonts w:asciiTheme="minorHAnsi" w:hAnsiTheme="minorHAnsi" w:cstheme="minorHAnsi"/>
        </w:rPr>
        <w:t xml:space="preserve">prosinci </w:t>
      </w:r>
      <w:r w:rsidRPr="00D53AF6">
        <w:rPr>
          <w:rFonts w:asciiTheme="minorHAnsi" w:hAnsiTheme="minorHAnsi" w:cstheme="minorHAnsi"/>
        </w:rPr>
        <w:t>2013</w:t>
      </w:r>
      <w:r w:rsidR="00F968E7">
        <w:rPr>
          <w:rFonts w:asciiTheme="minorHAnsi" w:hAnsiTheme="minorHAnsi" w:cstheme="minorHAnsi"/>
        </w:rPr>
        <w:t>.</w:t>
      </w:r>
      <w:r w:rsidRPr="00D53AF6">
        <w:rPr>
          <w:rFonts w:asciiTheme="minorHAnsi" w:hAnsiTheme="minorHAnsi" w:cstheme="minorHAnsi"/>
        </w:rPr>
        <w:t xml:space="preserve"> </w:t>
      </w:r>
      <w:r w:rsidR="00F968E7">
        <w:rPr>
          <w:rFonts w:asciiTheme="minorHAnsi" w:hAnsiTheme="minorHAnsi" w:cstheme="minorHAnsi"/>
        </w:rPr>
        <w:t>U</w:t>
      </w:r>
      <w:r w:rsidRPr="00D53AF6">
        <w:rPr>
          <w:rFonts w:asciiTheme="minorHAnsi" w:hAnsiTheme="minorHAnsi" w:cstheme="minorHAnsi"/>
        </w:rPr>
        <w:t xml:space="preserve"> pěti z nich bylo zjištěno, že přínosů a komerčního využití nebylo dosaženo, u dvou projektů bylo dosaženo přínosů s časovou prodlevou a</w:t>
      </w:r>
      <w:r>
        <w:rPr>
          <w:rFonts w:asciiTheme="minorHAnsi" w:hAnsiTheme="minorHAnsi" w:cstheme="minorHAnsi"/>
        </w:rPr>
        <w:t> u </w:t>
      </w:r>
      <w:r w:rsidRPr="00D53AF6">
        <w:rPr>
          <w:rFonts w:asciiTheme="minorHAnsi" w:hAnsiTheme="minorHAnsi" w:cstheme="minorHAnsi"/>
        </w:rPr>
        <w:t>jednoho projektu byl přínos dosažen částečně. U 26 projektů nebyly kontrolovány přínosy a</w:t>
      </w:r>
      <w:r w:rsidR="00F968E7">
        <w:rPr>
          <w:rFonts w:asciiTheme="minorHAnsi" w:hAnsiTheme="minorHAnsi" w:cstheme="minorHAnsi"/>
        </w:rPr>
        <w:t>ni</w:t>
      </w:r>
      <w:r w:rsidRPr="00D53AF6">
        <w:rPr>
          <w:rFonts w:asciiTheme="minorHAnsi" w:hAnsiTheme="minorHAnsi" w:cstheme="minorHAnsi"/>
        </w:rPr>
        <w:t xml:space="preserve"> komerční využití</w:t>
      </w:r>
      <w:r w:rsidR="00F968E7">
        <w:rPr>
          <w:rFonts w:asciiTheme="minorHAnsi" w:hAnsiTheme="minorHAnsi" w:cstheme="minorHAnsi"/>
        </w:rPr>
        <w:t>, neboť u nich stále běžela</w:t>
      </w:r>
      <w:r w:rsidRPr="00D53AF6">
        <w:rPr>
          <w:rFonts w:asciiTheme="minorHAnsi" w:hAnsiTheme="minorHAnsi" w:cstheme="minorHAnsi"/>
        </w:rPr>
        <w:t xml:space="preserve"> lhůt</w:t>
      </w:r>
      <w:r w:rsidR="00F968E7">
        <w:rPr>
          <w:rFonts w:asciiTheme="minorHAnsi" w:hAnsiTheme="minorHAnsi" w:cstheme="minorHAnsi"/>
        </w:rPr>
        <w:t>a, ve které měli příjemci předložit poskytovateli zprávu</w:t>
      </w:r>
      <w:r w:rsidRPr="00D53AF6">
        <w:rPr>
          <w:rFonts w:asciiTheme="minorHAnsi" w:hAnsiTheme="minorHAnsi" w:cstheme="minorHAnsi"/>
        </w:rPr>
        <w:t xml:space="preserve"> </w:t>
      </w:r>
      <w:r w:rsidR="00F968E7">
        <w:rPr>
          <w:rFonts w:asciiTheme="minorHAnsi" w:hAnsiTheme="minorHAnsi" w:cstheme="minorHAnsi"/>
        </w:rPr>
        <w:t xml:space="preserve">o </w:t>
      </w:r>
      <w:r w:rsidRPr="00D53AF6">
        <w:rPr>
          <w:rFonts w:asciiTheme="minorHAnsi" w:hAnsiTheme="minorHAnsi" w:cstheme="minorHAnsi"/>
        </w:rPr>
        <w:t>plnění implementačního plánu.</w:t>
      </w:r>
      <w:r>
        <w:rPr>
          <w:rStyle w:val="Znakapoznpodarou"/>
          <w:rFonts w:asciiTheme="minorHAnsi" w:hAnsiTheme="minorHAnsi" w:cstheme="minorHAnsi"/>
        </w:rPr>
        <w:footnoteReference w:id="19"/>
      </w:r>
      <w:r w:rsidRPr="00D53AF6">
        <w:rPr>
          <w:rFonts w:asciiTheme="minorHAnsi" w:hAnsiTheme="minorHAnsi" w:cstheme="minorHAnsi"/>
        </w:rPr>
        <w:t xml:space="preserve"> </w:t>
      </w:r>
    </w:p>
    <w:p w14:paraId="49C7AD54" w14:textId="77777777" w:rsidR="007E6FA9" w:rsidRPr="006507F0" w:rsidRDefault="007E6FA9" w:rsidP="004942FB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4E1DC332" w14:textId="77777777" w:rsidR="00A7600D" w:rsidRDefault="00A760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C513A39" w14:textId="6DBB8658" w:rsidR="007E6FA9" w:rsidRPr="005738F8" w:rsidRDefault="007E6FA9" w:rsidP="007E6FA9">
      <w:pPr>
        <w:jc w:val="both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lastRenderedPageBreak/>
        <w:t xml:space="preserve">Graf č. </w:t>
      </w:r>
      <w:r w:rsidR="004942FB">
        <w:rPr>
          <w:rFonts w:asciiTheme="minorHAnsi" w:hAnsiTheme="minorHAnsi" w:cstheme="minorHAnsi"/>
          <w:b/>
        </w:rPr>
        <w:t>2</w:t>
      </w:r>
      <w:r w:rsidR="00F968E7">
        <w:rPr>
          <w:rFonts w:asciiTheme="minorHAnsi" w:hAnsiTheme="minorHAnsi" w:cstheme="minorHAnsi"/>
          <w:b/>
        </w:rPr>
        <w:t xml:space="preserve"> –</w:t>
      </w:r>
      <w:r w:rsidRPr="005738F8">
        <w:rPr>
          <w:rFonts w:asciiTheme="minorHAnsi" w:hAnsiTheme="minorHAnsi" w:cstheme="minorHAnsi"/>
          <w:b/>
        </w:rPr>
        <w:t xml:space="preserve"> Přehled kontrolovaných projektů programu ALFA dle data ukončení</w:t>
      </w:r>
    </w:p>
    <w:p w14:paraId="233353DB" w14:textId="6F015634" w:rsidR="007E6FA9" w:rsidRPr="006507F0" w:rsidRDefault="00A7600D" w:rsidP="007E6FA9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154E98D" wp14:editId="0EE43494">
            <wp:extent cx="6238875" cy="27241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DC796B" w14:textId="66D63E49" w:rsidR="0053175C" w:rsidRDefault="007E6FA9">
      <w:pPr>
        <w:rPr>
          <w:rFonts w:asciiTheme="minorHAnsi" w:hAnsiTheme="minorHAnsi" w:cstheme="minorHAnsi"/>
          <w:sz w:val="20"/>
          <w:szCs w:val="20"/>
        </w:rPr>
      </w:pPr>
      <w:r w:rsidRPr="00BF49E7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43AA2">
        <w:rPr>
          <w:rFonts w:asciiTheme="minorHAnsi" w:hAnsiTheme="minorHAnsi" w:cstheme="minorHAnsi"/>
          <w:sz w:val="20"/>
          <w:szCs w:val="20"/>
        </w:rPr>
        <w:t>k</w:t>
      </w:r>
      <w:r w:rsidRPr="00D53AF6">
        <w:rPr>
          <w:rFonts w:asciiTheme="minorHAnsi" w:hAnsiTheme="minorHAnsi" w:cstheme="minorHAnsi"/>
          <w:sz w:val="20"/>
          <w:szCs w:val="20"/>
        </w:rPr>
        <w:t>ontrolní protokoly příjemců podpory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2070A7" w14:textId="77777777" w:rsidR="00A7600D" w:rsidRDefault="00A7600D">
      <w:pPr>
        <w:rPr>
          <w:rFonts w:asciiTheme="minorHAnsi" w:hAnsiTheme="minorHAnsi" w:cstheme="minorHAnsi"/>
          <w:sz w:val="20"/>
          <w:szCs w:val="20"/>
        </w:rPr>
      </w:pPr>
    </w:p>
    <w:p w14:paraId="2B8E935B" w14:textId="77777777" w:rsidR="00A7600D" w:rsidRDefault="00A7600D">
      <w:pPr>
        <w:rPr>
          <w:rFonts w:ascii="Calibri" w:hAnsi="Calibri" w:cs="Calibri"/>
          <w:b/>
        </w:rPr>
      </w:pPr>
    </w:p>
    <w:p w14:paraId="092ADE76" w14:textId="4A5E1E0C" w:rsidR="007E6FA9" w:rsidRDefault="007E6FA9" w:rsidP="005D70FF">
      <w:pPr>
        <w:spacing w:after="120"/>
        <w:jc w:val="both"/>
        <w:rPr>
          <w:rFonts w:asciiTheme="minorHAnsi" w:hAnsiTheme="minorHAnsi" w:cstheme="minorHAnsi"/>
        </w:rPr>
      </w:pPr>
      <w:r w:rsidRPr="00D53AF6">
        <w:rPr>
          <w:rFonts w:ascii="Calibri" w:hAnsi="Calibri" w:cs="Calibri"/>
          <w:b/>
        </w:rPr>
        <w:t>U příjemců byly zjištěny i nedostatky v oblasti zadávání veřejných zakázek</w:t>
      </w:r>
      <w:r>
        <w:rPr>
          <w:rFonts w:ascii="Calibri" w:hAnsi="Calibri" w:cs="Calibri"/>
          <w:b/>
        </w:rPr>
        <w:t>.</w:t>
      </w:r>
      <w:r w:rsidRPr="00D53AF6">
        <w:rPr>
          <w:rFonts w:ascii="Calibri" w:hAnsi="Calibri" w:cs="Calibri"/>
          <w:b/>
        </w:rPr>
        <w:t xml:space="preserve"> </w:t>
      </w:r>
      <w:r w:rsidRPr="00A50A8F">
        <w:rPr>
          <w:rFonts w:ascii="Calibri" w:hAnsi="Calibri" w:cs="Calibri"/>
        </w:rPr>
        <w:t>V případě dvou projektů v celkové výši 770 000 Kč nebyly</w:t>
      </w:r>
      <w:r>
        <w:rPr>
          <w:rFonts w:ascii="Calibri" w:hAnsi="Calibri" w:cs="Calibri"/>
          <w:b/>
        </w:rPr>
        <w:t xml:space="preserve"> </w:t>
      </w:r>
      <w:r>
        <w:rPr>
          <w:rFonts w:asciiTheme="minorHAnsi" w:hAnsiTheme="minorHAnsi" w:cstheme="minorHAnsi"/>
        </w:rPr>
        <w:t>v</w:t>
      </w:r>
      <w:r w:rsidRPr="006507F0">
        <w:rPr>
          <w:rFonts w:asciiTheme="minorHAnsi" w:hAnsiTheme="minorHAnsi" w:cstheme="minorHAnsi"/>
        </w:rPr>
        <w:t>eřejné zakázky</w:t>
      </w:r>
      <w:r>
        <w:rPr>
          <w:rFonts w:asciiTheme="minorHAnsi" w:hAnsiTheme="minorHAnsi" w:cstheme="minorHAnsi"/>
        </w:rPr>
        <w:t xml:space="preserve"> zadávány dle zákona č.</w:t>
      </w:r>
      <w:r w:rsidR="005317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137/2006</w:t>
      </w:r>
      <w:r w:rsidR="005317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Sb.</w:t>
      </w:r>
      <w:r w:rsidRPr="001B1C52">
        <w:rPr>
          <w:rFonts w:asciiTheme="minorHAnsi" w:hAnsiTheme="minorHAnsi" w:cstheme="minorHAnsi"/>
        </w:rPr>
        <w:t xml:space="preserve"> </w:t>
      </w:r>
      <w:r w:rsidR="0054455F">
        <w:rPr>
          <w:rFonts w:asciiTheme="minorHAnsi" w:hAnsiTheme="minorHAnsi" w:cstheme="minorHAnsi"/>
        </w:rPr>
        <w:t xml:space="preserve">NKÚ zjistil </w:t>
      </w:r>
      <w:r w:rsidRPr="001B1C52">
        <w:rPr>
          <w:rFonts w:asciiTheme="minorHAnsi" w:hAnsiTheme="minorHAnsi" w:cstheme="minorHAnsi"/>
        </w:rPr>
        <w:t>např. tyto nedostatky:</w:t>
      </w:r>
    </w:p>
    <w:p w14:paraId="4CA4FE27" w14:textId="77777777" w:rsidR="007E6FA9" w:rsidRPr="00D53AF6" w:rsidRDefault="007E6FA9" w:rsidP="0053175C">
      <w:pPr>
        <w:pStyle w:val="Odstavecseseznamem"/>
        <w:numPr>
          <w:ilvl w:val="0"/>
          <w:numId w:val="7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objednávky byly uchazeči zaslány před termínem zadávacího řízení,</w:t>
      </w:r>
    </w:p>
    <w:p w14:paraId="70B6FB3A" w14:textId="77777777" w:rsidR="007E6FA9" w:rsidRPr="00D53AF6" w:rsidRDefault="007E6FA9" w:rsidP="0053175C">
      <w:pPr>
        <w:pStyle w:val="Odstavecseseznamem"/>
        <w:numPr>
          <w:ilvl w:val="0"/>
          <w:numId w:val="7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podlimitní veřejná zakázka nebyla uveřejněna formou předběžného oznámení,</w:t>
      </w:r>
    </w:p>
    <w:p w14:paraId="36D0D0D7" w14:textId="77777777" w:rsidR="007E6FA9" w:rsidRPr="00D53AF6" w:rsidRDefault="007E6FA9" w:rsidP="0053175C">
      <w:pPr>
        <w:pStyle w:val="Odstavecseseznamem"/>
        <w:numPr>
          <w:ilvl w:val="0"/>
          <w:numId w:val="7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 xml:space="preserve">oznámení o zahájení zadávacího řízení nebylo uveřejněno ve </w:t>
      </w:r>
      <w:r w:rsidRPr="005D70FF">
        <w:rPr>
          <w:rFonts w:asciiTheme="minorHAnsi" w:hAnsiTheme="minorHAnsi" w:cstheme="minorHAnsi"/>
          <w:i/>
        </w:rPr>
        <w:t>Věstníku veřejných zakázek</w:t>
      </w:r>
      <w:r w:rsidRPr="00D53AF6">
        <w:rPr>
          <w:rFonts w:asciiTheme="minorHAnsi" w:hAnsiTheme="minorHAnsi" w:cstheme="minorHAnsi"/>
        </w:rPr>
        <w:t>,</w:t>
      </w:r>
    </w:p>
    <w:p w14:paraId="03E889D2" w14:textId="77777777" w:rsidR="007E6FA9" w:rsidRPr="00D53AF6" w:rsidRDefault="007E6FA9" w:rsidP="0053175C">
      <w:pPr>
        <w:pStyle w:val="Odstavecseseznamem"/>
        <w:numPr>
          <w:ilvl w:val="0"/>
          <w:numId w:val="7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nebyl vyřazen uchazeč, který neprokázal splnění kvalifikace,</w:t>
      </w:r>
    </w:p>
    <w:p w14:paraId="0AFBFC3B" w14:textId="77777777" w:rsidR="007E6FA9" w:rsidRPr="00D53AF6" w:rsidRDefault="007E6FA9" w:rsidP="0053175C">
      <w:pPr>
        <w:pStyle w:val="Odstavecseseznamem"/>
        <w:numPr>
          <w:ilvl w:val="0"/>
          <w:numId w:val="7"/>
        </w:numPr>
        <w:ind w:left="567" w:hanging="283"/>
        <w:contextualSpacing/>
        <w:jc w:val="both"/>
        <w:rPr>
          <w:rFonts w:asciiTheme="minorHAnsi" w:hAnsiTheme="minorHAnsi" w:cstheme="minorHAnsi"/>
        </w:rPr>
      </w:pPr>
      <w:r w:rsidRPr="00D53AF6">
        <w:rPr>
          <w:rFonts w:asciiTheme="minorHAnsi" w:hAnsiTheme="minorHAnsi" w:cstheme="minorHAnsi"/>
        </w:rPr>
        <w:t>s vítězným uchazečem byla uzavřena smlouva před uplynutím lhůty pro podání námitek.</w:t>
      </w:r>
    </w:p>
    <w:p w14:paraId="00082D18" w14:textId="77777777" w:rsidR="007E6FA9" w:rsidRDefault="007E6FA9" w:rsidP="0053175C">
      <w:pPr>
        <w:pStyle w:val="Odstavecseseznamem"/>
        <w:ind w:left="284" w:hanging="284"/>
        <w:jc w:val="both"/>
        <w:rPr>
          <w:rFonts w:ascii="Calibri" w:hAnsi="Calibri" w:cs="Calibri"/>
          <w:b/>
        </w:rPr>
      </w:pPr>
    </w:p>
    <w:p w14:paraId="54B69409" w14:textId="5DDCD4C9" w:rsidR="007E6FA9" w:rsidRPr="00D53AF6" w:rsidRDefault="007E6FA9" w:rsidP="007E6FA9">
      <w:pPr>
        <w:jc w:val="both"/>
        <w:rPr>
          <w:rFonts w:ascii="Calibri" w:hAnsi="Calibri" w:cs="Calibri"/>
          <w:b/>
        </w:rPr>
      </w:pPr>
      <w:r w:rsidRPr="00D53AF6">
        <w:rPr>
          <w:rFonts w:ascii="Calibri" w:hAnsi="Calibri" w:cs="Calibri"/>
          <w:b/>
        </w:rPr>
        <w:t>U příjemců bylo zjištěno nehospodárné vynaložení nákladů projektu.</w:t>
      </w:r>
      <w:r>
        <w:rPr>
          <w:rFonts w:ascii="Calibri" w:hAnsi="Calibri" w:cs="Calibri"/>
          <w:b/>
        </w:rPr>
        <w:t xml:space="preserve"> </w:t>
      </w:r>
      <w:r w:rsidRPr="006507F0">
        <w:rPr>
          <w:rFonts w:asciiTheme="minorHAnsi" w:hAnsiTheme="minorHAnsi" w:cstheme="minorHAnsi"/>
        </w:rPr>
        <w:t>Náklady na školení a</w:t>
      </w:r>
      <w:r>
        <w:rPr>
          <w:rFonts w:asciiTheme="minorHAnsi" w:hAnsiTheme="minorHAnsi" w:cstheme="minorHAnsi"/>
        </w:rPr>
        <w:t> </w:t>
      </w:r>
      <w:r w:rsidRPr="006507F0">
        <w:rPr>
          <w:rFonts w:asciiTheme="minorHAnsi" w:hAnsiTheme="minorHAnsi" w:cstheme="minorHAnsi"/>
        </w:rPr>
        <w:t>ubytování v celkové výši 216 245 Kč</w:t>
      </w:r>
      <w:r>
        <w:rPr>
          <w:rFonts w:asciiTheme="minorHAnsi" w:hAnsiTheme="minorHAnsi" w:cstheme="minorHAnsi"/>
          <w:b/>
        </w:rPr>
        <w:t xml:space="preserve"> </w:t>
      </w:r>
      <w:r w:rsidRPr="00C029F2">
        <w:rPr>
          <w:rFonts w:asciiTheme="minorHAnsi" w:hAnsiTheme="minorHAnsi" w:cstheme="minorHAnsi"/>
        </w:rPr>
        <w:t>nebyly</w:t>
      </w:r>
      <w:r>
        <w:rPr>
          <w:rFonts w:asciiTheme="minorHAnsi" w:hAnsiTheme="minorHAnsi" w:cstheme="minorHAnsi"/>
        </w:rPr>
        <w:t xml:space="preserve"> vynaloženy v souladu s principem hospodárnosti</w:t>
      </w:r>
      <w:r w:rsidRPr="00123AC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Celkem bylo na školení vynaloženo 196 020 Kč, což </w:t>
      </w:r>
      <w:r w:rsidR="006C4055">
        <w:rPr>
          <w:rFonts w:asciiTheme="minorHAnsi" w:hAnsiTheme="minorHAnsi" w:cstheme="minorHAnsi"/>
        </w:rPr>
        <w:t xml:space="preserve">v přepočtu na </w:t>
      </w:r>
      <w:r>
        <w:rPr>
          <w:rFonts w:asciiTheme="minorHAnsi" w:hAnsiTheme="minorHAnsi" w:cstheme="minorHAnsi"/>
        </w:rPr>
        <w:t xml:space="preserve">jednu osobu a jeden den činilo 13 068 Kč. Náklady na ubytování při zahraniční pracovní cestě za jednu osobu a noc byly ve výši 10 112 Kč. </w:t>
      </w:r>
    </w:p>
    <w:p w14:paraId="7B59FE73" w14:textId="77777777" w:rsidR="007E6FA9" w:rsidRDefault="007E6FA9" w:rsidP="00F72DED">
      <w:pPr>
        <w:jc w:val="both"/>
        <w:rPr>
          <w:rFonts w:asciiTheme="minorHAnsi" w:hAnsiTheme="minorHAnsi" w:cstheme="minorHAnsi"/>
          <w:b/>
        </w:rPr>
      </w:pPr>
    </w:p>
    <w:p w14:paraId="46837FCF" w14:textId="42498C8B" w:rsidR="007C33D8" w:rsidRPr="00B242D5" w:rsidRDefault="00657579" w:rsidP="00B242D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Inovační výkonnost České republiky</w:t>
      </w:r>
      <w:r w:rsidR="007C33D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zaostává za evropským průměrem</w:t>
      </w:r>
      <w:r w:rsidR="007C33D8">
        <w:rPr>
          <w:rFonts w:ascii="Calibri" w:hAnsi="Calibri" w:cs="Calibri"/>
          <w:b/>
        </w:rPr>
        <w:t>.</w:t>
      </w:r>
      <w:r w:rsidR="007C33D8" w:rsidRPr="007C33D8">
        <w:rPr>
          <w:rFonts w:asciiTheme="minorHAnsi" w:hAnsiTheme="minorHAnsi" w:cstheme="minorHAnsi"/>
        </w:rPr>
        <w:t xml:space="preserve"> </w:t>
      </w:r>
      <w:r w:rsidR="007C33D8">
        <w:rPr>
          <w:rFonts w:asciiTheme="minorHAnsi" w:hAnsiTheme="minorHAnsi" w:cstheme="minorHAnsi"/>
        </w:rPr>
        <w:t>Přestože v podílu státních rozpočtových výdajů na VaV</w:t>
      </w:r>
      <w:r w:rsidR="00B063C7">
        <w:rPr>
          <w:rFonts w:asciiTheme="minorHAnsi" w:hAnsiTheme="minorHAnsi" w:cstheme="minorHAnsi"/>
        </w:rPr>
        <w:t>aI</w:t>
      </w:r>
      <w:r w:rsidR="007C33D8">
        <w:rPr>
          <w:rFonts w:asciiTheme="minorHAnsi" w:hAnsiTheme="minorHAnsi" w:cstheme="minorHAnsi"/>
        </w:rPr>
        <w:t xml:space="preserve"> na HDP a celkových výdajů na VaV</w:t>
      </w:r>
      <w:r w:rsidR="002646BF">
        <w:rPr>
          <w:rFonts w:asciiTheme="minorHAnsi" w:hAnsiTheme="minorHAnsi" w:cstheme="minorHAnsi"/>
        </w:rPr>
        <w:t>aI</w:t>
      </w:r>
      <w:r w:rsidR="007C33D8">
        <w:rPr>
          <w:rFonts w:asciiTheme="minorHAnsi" w:hAnsiTheme="minorHAnsi" w:cstheme="minorHAnsi"/>
        </w:rPr>
        <w:t xml:space="preserve"> </w:t>
      </w:r>
      <w:r w:rsidR="00675EF7">
        <w:rPr>
          <w:rFonts w:asciiTheme="minorHAnsi" w:hAnsiTheme="minorHAnsi" w:cstheme="minorHAnsi"/>
        </w:rPr>
        <w:t xml:space="preserve">na HDP </w:t>
      </w:r>
      <w:r w:rsidR="007C33D8">
        <w:rPr>
          <w:rFonts w:asciiTheme="minorHAnsi" w:hAnsiTheme="minorHAnsi" w:cstheme="minorHAnsi"/>
        </w:rPr>
        <w:t>dosahuje Česká republika téměř průměrných hodnot EU28</w:t>
      </w:r>
      <w:r w:rsidR="004E5260" w:rsidRPr="002646BF">
        <w:rPr>
          <w:rStyle w:val="Znakapoznpodarou"/>
          <w:rFonts w:asciiTheme="minorHAnsi" w:hAnsiTheme="minorHAnsi" w:cstheme="minorHAnsi"/>
        </w:rPr>
        <w:footnoteReference w:id="20"/>
      </w:r>
      <w:r w:rsidR="007C33D8">
        <w:rPr>
          <w:rFonts w:asciiTheme="minorHAnsi" w:hAnsiTheme="minorHAnsi" w:cstheme="minorHAnsi"/>
        </w:rPr>
        <w:t>, v</w:t>
      </w:r>
      <w:r w:rsidR="00CA584D">
        <w:rPr>
          <w:rFonts w:asciiTheme="minorHAnsi" w:hAnsiTheme="minorHAnsi" w:cstheme="minorHAnsi"/>
        </w:rPr>
        <w:t xml:space="preserve"> indikátoru </w:t>
      </w:r>
      <w:r w:rsidR="007C33D8">
        <w:rPr>
          <w:rFonts w:asciiTheme="minorHAnsi" w:hAnsiTheme="minorHAnsi" w:cstheme="minorHAnsi"/>
        </w:rPr>
        <w:t xml:space="preserve">inovační výkonnosti </w:t>
      </w:r>
      <w:r w:rsidR="00675EF7">
        <w:rPr>
          <w:rFonts w:asciiTheme="minorHAnsi" w:hAnsiTheme="minorHAnsi" w:cstheme="minorHAnsi"/>
        </w:rPr>
        <w:t xml:space="preserve">je </w:t>
      </w:r>
      <w:r w:rsidR="007C33D8" w:rsidRPr="00AF13BA">
        <w:rPr>
          <w:rFonts w:asciiTheme="minorHAnsi" w:hAnsiTheme="minorHAnsi" w:cstheme="minorHAnsi"/>
        </w:rPr>
        <w:t>Česká</w:t>
      </w:r>
      <w:r w:rsidR="007C33D8">
        <w:rPr>
          <w:rFonts w:asciiTheme="minorHAnsi" w:hAnsiTheme="minorHAnsi" w:cstheme="minorHAnsi"/>
        </w:rPr>
        <w:t xml:space="preserve"> </w:t>
      </w:r>
      <w:r w:rsidR="007C33D8" w:rsidRPr="00AF13BA">
        <w:rPr>
          <w:rFonts w:asciiTheme="minorHAnsi" w:hAnsiTheme="minorHAnsi" w:cstheme="minorHAnsi"/>
        </w:rPr>
        <w:t>republika</w:t>
      </w:r>
      <w:r w:rsidR="00B242D5">
        <w:rPr>
          <w:rFonts w:asciiTheme="minorHAnsi" w:hAnsiTheme="minorHAnsi" w:cstheme="minorHAnsi"/>
        </w:rPr>
        <w:t xml:space="preserve"> pod </w:t>
      </w:r>
      <w:r w:rsidR="007C33D8">
        <w:rPr>
          <w:rFonts w:asciiTheme="minorHAnsi" w:hAnsiTheme="minorHAnsi" w:cstheme="minorHAnsi"/>
        </w:rPr>
        <w:t>průměrem EU28</w:t>
      </w:r>
      <w:r w:rsidR="00BA36F5">
        <w:rPr>
          <w:rFonts w:asciiTheme="minorHAnsi" w:hAnsiTheme="minorHAnsi" w:cstheme="minorHAnsi"/>
        </w:rPr>
        <w:t xml:space="preserve"> (</w:t>
      </w:r>
      <w:r w:rsidR="009B39F7">
        <w:rPr>
          <w:rFonts w:asciiTheme="minorHAnsi" w:hAnsiTheme="minorHAnsi" w:cstheme="minorHAnsi"/>
        </w:rPr>
        <w:t xml:space="preserve">viz </w:t>
      </w:r>
      <w:r w:rsidR="00EA3CCF">
        <w:rPr>
          <w:rFonts w:asciiTheme="minorHAnsi" w:hAnsiTheme="minorHAnsi" w:cstheme="minorHAnsi"/>
        </w:rPr>
        <w:t>p</w:t>
      </w:r>
      <w:r w:rsidR="00BA36F5">
        <w:rPr>
          <w:rFonts w:asciiTheme="minorHAnsi" w:hAnsiTheme="minorHAnsi" w:cstheme="minorHAnsi"/>
        </w:rPr>
        <w:t xml:space="preserve">říloha č. 2 </w:t>
      </w:r>
      <w:r w:rsidR="006C4055">
        <w:rPr>
          <w:rFonts w:asciiTheme="minorHAnsi" w:hAnsiTheme="minorHAnsi" w:cstheme="minorHAnsi"/>
        </w:rPr>
        <w:t xml:space="preserve">tohoto </w:t>
      </w:r>
      <w:r w:rsidR="00BA36F5">
        <w:rPr>
          <w:rFonts w:asciiTheme="minorHAnsi" w:hAnsiTheme="minorHAnsi" w:cstheme="minorHAnsi"/>
        </w:rPr>
        <w:t>kontrolního závěru)</w:t>
      </w:r>
      <w:r w:rsidR="00EA3CCF">
        <w:rPr>
          <w:rFonts w:asciiTheme="minorHAnsi" w:hAnsiTheme="minorHAnsi" w:cstheme="minorHAnsi"/>
        </w:rPr>
        <w:t>.</w:t>
      </w:r>
    </w:p>
    <w:p w14:paraId="3DCAEFC2" w14:textId="57CAAF5B" w:rsidR="002646BF" w:rsidRPr="002646BF" w:rsidRDefault="006C4055" w:rsidP="005D70FF">
      <w:pPr>
        <w:pStyle w:val="Odstavecseseznamem"/>
        <w:spacing w:before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2646BF" w:rsidRPr="002646BF">
        <w:rPr>
          <w:rFonts w:asciiTheme="minorHAnsi" w:hAnsiTheme="minorHAnsi" w:cstheme="minorHAnsi"/>
        </w:rPr>
        <w:t xml:space="preserve">ásledující graf </w:t>
      </w:r>
      <w:r>
        <w:rPr>
          <w:rFonts w:asciiTheme="minorHAnsi" w:hAnsiTheme="minorHAnsi" w:cstheme="minorHAnsi"/>
        </w:rPr>
        <w:t>(</w:t>
      </w:r>
      <w:r w:rsidR="00B242D5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3)</w:t>
      </w:r>
      <w:r w:rsidR="00B242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obsahuje</w:t>
      </w:r>
      <w:r w:rsidR="009B39F7">
        <w:rPr>
          <w:rFonts w:asciiTheme="minorHAnsi" w:hAnsiTheme="minorHAnsi" w:cstheme="minorHAnsi"/>
        </w:rPr>
        <w:t xml:space="preserve"> srovnání</w:t>
      </w:r>
      <w:r w:rsidR="002646BF" w:rsidRPr="002646BF">
        <w:rPr>
          <w:rFonts w:asciiTheme="minorHAnsi" w:hAnsiTheme="minorHAnsi" w:cstheme="minorHAnsi"/>
        </w:rPr>
        <w:t xml:space="preserve"> ČR s vybranými státy EU v oblasti VaV</w:t>
      </w:r>
      <w:r w:rsidR="002646BF">
        <w:rPr>
          <w:rFonts w:asciiTheme="minorHAnsi" w:hAnsiTheme="minorHAnsi" w:cstheme="minorHAnsi"/>
        </w:rPr>
        <w:t>aI</w:t>
      </w:r>
      <w:r w:rsidR="002646BF" w:rsidRPr="002646BF">
        <w:rPr>
          <w:rFonts w:asciiTheme="minorHAnsi" w:hAnsiTheme="minorHAnsi" w:cstheme="minorHAnsi"/>
        </w:rPr>
        <w:t xml:space="preserve"> z hlediska podílu státních rozpočtových výdajů na VaV</w:t>
      </w:r>
      <w:r w:rsidR="002646BF">
        <w:rPr>
          <w:rFonts w:asciiTheme="minorHAnsi" w:hAnsiTheme="minorHAnsi" w:cstheme="minorHAnsi"/>
        </w:rPr>
        <w:t>aI</w:t>
      </w:r>
      <w:r w:rsidR="002646BF" w:rsidRPr="002646BF">
        <w:rPr>
          <w:rFonts w:asciiTheme="minorHAnsi" w:hAnsiTheme="minorHAnsi" w:cstheme="minorHAnsi"/>
        </w:rPr>
        <w:t xml:space="preserve"> ve vztahu k</w:t>
      </w:r>
      <w:r w:rsidR="009B39F7">
        <w:rPr>
          <w:rFonts w:asciiTheme="minorHAnsi" w:hAnsiTheme="minorHAnsi" w:cstheme="minorHAnsi"/>
        </w:rPr>
        <w:t> </w:t>
      </w:r>
      <w:r w:rsidR="002646BF" w:rsidRPr="002646BF">
        <w:rPr>
          <w:rFonts w:asciiTheme="minorHAnsi" w:hAnsiTheme="minorHAnsi" w:cstheme="minorHAnsi"/>
        </w:rPr>
        <w:t>HDP</w:t>
      </w:r>
      <w:r w:rsidR="009B39F7">
        <w:rPr>
          <w:rFonts w:asciiTheme="minorHAnsi" w:hAnsiTheme="minorHAnsi" w:cstheme="minorHAnsi"/>
        </w:rPr>
        <w:t>,</w:t>
      </w:r>
      <w:r w:rsidR="002646BF" w:rsidRPr="002646BF">
        <w:rPr>
          <w:rFonts w:asciiTheme="minorHAnsi" w:hAnsiTheme="minorHAnsi" w:cstheme="minorHAnsi"/>
        </w:rPr>
        <w:t xml:space="preserve"> z hlediska celkových výdajů na VaV</w:t>
      </w:r>
      <w:r w:rsidR="002646BF">
        <w:rPr>
          <w:rFonts w:asciiTheme="minorHAnsi" w:hAnsiTheme="minorHAnsi" w:cstheme="minorHAnsi"/>
        </w:rPr>
        <w:t>aI</w:t>
      </w:r>
      <w:r w:rsidR="002646BF" w:rsidRPr="002646BF">
        <w:rPr>
          <w:rFonts w:asciiTheme="minorHAnsi" w:hAnsiTheme="minorHAnsi" w:cstheme="minorHAnsi"/>
        </w:rPr>
        <w:t xml:space="preserve"> a z hlediska indikátoru výkonnosti v roce 2014.</w:t>
      </w:r>
    </w:p>
    <w:p w14:paraId="2D5CAADD" w14:textId="77777777" w:rsidR="00675EF7" w:rsidRDefault="00675EF7" w:rsidP="0012499F">
      <w:pPr>
        <w:jc w:val="both"/>
        <w:rPr>
          <w:rFonts w:ascii="Calibri" w:hAnsi="Calibri" w:cs="Calibri"/>
          <w:b/>
        </w:rPr>
      </w:pPr>
    </w:p>
    <w:p w14:paraId="5BCBA582" w14:textId="77777777" w:rsidR="00A7600D" w:rsidRDefault="00A7600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5D5B8D4" w14:textId="17921F68" w:rsidR="0087066E" w:rsidRPr="00F65EE4" w:rsidRDefault="0087066E" w:rsidP="00F65EE4">
      <w:pPr>
        <w:spacing w:after="60"/>
        <w:jc w:val="both"/>
        <w:rPr>
          <w:rFonts w:ascii="Calibri" w:hAnsi="Calibri" w:cs="Calibri"/>
          <w:b/>
        </w:rPr>
      </w:pPr>
      <w:r w:rsidRPr="005738F8">
        <w:rPr>
          <w:rFonts w:ascii="Calibri" w:hAnsi="Calibri" w:cs="Calibri"/>
          <w:b/>
        </w:rPr>
        <w:lastRenderedPageBreak/>
        <w:t xml:space="preserve">Graf č. </w:t>
      </w:r>
      <w:r w:rsidR="009B39F7">
        <w:rPr>
          <w:rFonts w:ascii="Calibri" w:hAnsi="Calibri" w:cs="Calibri"/>
          <w:b/>
        </w:rPr>
        <w:t>3 –</w:t>
      </w:r>
      <w:r w:rsidRPr="005738F8">
        <w:rPr>
          <w:rFonts w:ascii="Calibri" w:hAnsi="Calibri" w:cs="Calibri"/>
          <w:b/>
        </w:rPr>
        <w:t xml:space="preserve"> Postavení ČR ve srovnání s vybranými státy EU v oblasti VaV</w:t>
      </w:r>
      <w:r w:rsidR="00B063C7" w:rsidRPr="005738F8">
        <w:rPr>
          <w:rFonts w:ascii="Calibri" w:hAnsi="Calibri" w:cs="Calibri"/>
          <w:b/>
        </w:rPr>
        <w:t>aI</w:t>
      </w:r>
      <w:r w:rsidRPr="005738F8">
        <w:rPr>
          <w:rFonts w:ascii="Calibri" w:hAnsi="Calibri" w:cs="Calibri"/>
          <w:b/>
        </w:rPr>
        <w:t xml:space="preserve"> v roce 2014</w:t>
      </w:r>
    </w:p>
    <w:p w14:paraId="268696F6" w14:textId="20F5211B" w:rsidR="00F65EE4" w:rsidRPr="00BA36F5" w:rsidRDefault="00A7600D" w:rsidP="00A7600D">
      <w:pPr>
        <w:jc w:val="right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7703D63E" wp14:editId="63C1C96F">
            <wp:extent cx="5810250" cy="3591569"/>
            <wp:effectExtent l="0" t="0" r="0" b="8890"/>
            <wp:docPr id="9" name="Obrázek 9" descr="D:\Agendy\NKÚ\15_27\Graf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gendy\NKÚ\15_27\Graf 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15" cy="362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07E6" w14:textId="77777777" w:rsidR="00A7600D" w:rsidRDefault="00A7600D" w:rsidP="002942B3">
      <w:pPr>
        <w:jc w:val="both"/>
        <w:rPr>
          <w:rFonts w:asciiTheme="minorHAnsi" w:hAnsiTheme="minorHAnsi" w:cstheme="minorHAnsi"/>
          <w:b/>
          <w:sz w:val="20"/>
        </w:rPr>
      </w:pPr>
    </w:p>
    <w:p w14:paraId="13206B18" w14:textId="4178FDFF" w:rsidR="002942B3" w:rsidRPr="002942B3" w:rsidRDefault="002942B3" w:rsidP="002942B3">
      <w:pPr>
        <w:jc w:val="both"/>
        <w:rPr>
          <w:rFonts w:asciiTheme="minorHAnsi" w:hAnsiTheme="minorHAnsi" w:cstheme="minorHAnsi"/>
          <w:sz w:val="20"/>
        </w:rPr>
      </w:pPr>
      <w:r w:rsidRPr="0012476C">
        <w:rPr>
          <w:rFonts w:asciiTheme="minorHAnsi" w:hAnsiTheme="minorHAnsi" w:cstheme="minorHAnsi"/>
          <w:b/>
          <w:sz w:val="20"/>
        </w:rPr>
        <w:t>Zdroj:</w:t>
      </w:r>
      <w:r w:rsidRPr="002942B3">
        <w:rPr>
          <w:rFonts w:asciiTheme="minorHAnsi" w:hAnsiTheme="minorHAnsi" w:cstheme="minorHAnsi"/>
          <w:sz w:val="20"/>
        </w:rPr>
        <w:t xml:space="preserve"> </w:t>
      </w:r>
      <w:r w:rsidR="007850C5">
        <w:rPr>
          <w:rFonts w:asciiTheme="minorHAnsi" w:hAnsiTheme="minorHAnsi" w:cstheme="minorHAnsi"/>
          <w:sz w:val="20"/>
        </w:rPr>
        <w:t>a</w:t>
      </w:r>
      <w:r w:rsidRPr="002942B3">
        <w:rPr>
          <w:rFonts w:asciiTheme="minorHAnsi" w:hAnsiTheme="minorHAnsi" w:cstheme="minorHAnsi"/>
          <w:sz w:val="20"/>
        </w:rPr>
        <w:t>nalýza NKÚ ze zdrojů Českého statistického úřadu</w:t>
      </w:r>
      <w:r w:rsidR="0012476C">
        <w:rPr>
          <w:rFonts w:asciiTheme="minorHAnsi" w:hAnsiTheme="minorHAnsi" w:cstheme="minorHAnsi"/>
          <w:sz w:val="20"/>
        </w:rPr>
        <w:t>.</w:t>
      </w:r>
    </w:p>
    <w:p w14:paraId="5DB93588" w14:textId="77777777" w:rsidR="00F72DED" w:rsidRPr="00E62EEC" w:rsidRDefault="00F72DED" w:rsidP="00F72DED">
      <w:pPr>
        <w:ind w:left="360"/>
        <w:jc w:val="both"/>
        <w:rPr>
          <w:rFonts w:ascii="Calibri" w:hAnsi="Calibri" w:cs="Calibri"/>
        </w:rPr>
      </w:pPr>
    </w:p>
    <w:p w14:paraId="25479CFE" w14:textId="59B4F235" w:rsidR="00F72DED" w:rsidRPr="00127FF9" w:rsidRDefault="00F72DED" w:rsidP="00230F90">
      <w:pPr>
        <w:jc w:val="both"/>
        <w:rPr>
          <w:rFonts w:ascii="Calibri" w:hAnsi="Calibri" w:cs="Calibri"/>
        </w:rPr>
      </w:pPr>
      <w:r w:rsidRPr="00127FF9">
        <w:rPr>
          <w:rFonts w:ascii="Calibri" w:hAnsi="Calibri" w:cs="Calibri"/>
        </w:rPr>
        <w:t>Řízení TA ČR i rozhodování o financování projektů j</w:t>
      </w:r>
      <w:r w:rsidR="008631DC">
        <w:rPr>
          <w:rFonts w:ascii="Calibri" w:hAnsi="Calibri" w:cs="Calibri"/>
        </w:rPr>
        <w:t>sou</w:t>
      </w:r>
      <w:r w:rsidRPr="00127FF9">
        <w:rPr>
          <w:rFonts w:ascii="Calibri" w:hAnsi="Calibri" w:cs="Calibri"/>
        </w:rPr>
        <w:t xml:space="preserve"> v České republice značně centralizované, což vyplynulo z analýzy vybraných agentur předních zemí EU v oblasti VaV</w:t>
      </w:r>
      <w:r w:rsidR="002646BF" w:rsidRPr="00127FF9">
        <w:rPr>
          <w:rFonts w:ascii="Calibri" w:hAnsi="Calibri" w:cs="Calibri"/>
        </w:rPr>
        <w:t>aI</w:t>
      </w:r>
      <w:r w:rsidRPr="00127FF9">
        <w:rPr>
          <w:rFonts w:ascii="Calibri" w:hAnsi="Calibri" w:cs="Calibri"/>
        </w:rPr>
        <w:t xml:space="preserve"> předložené TA ČR. Srovnání je uvedeno v </w:t>
      </w:r>
      <w:r w:rsidR="00157FCD" w:rsidRPr="00127FF9">
        <w:rPr>
          <w:rFonts w:ascii="Calibri" w:hAnsi="Calibri" w:cs="Calibri"/>
        </w:rPr>
        <w:t>příloze č.</w:t>
      </w:r>
      <w:r w:rsidR="002646BF" w:rsidRPr="00127FF9">
        <w:rPr>
          <w:rFonts w:ascii="Calibri" w:hAnsi="Calibri" w:cs="Calibri"/>
        </w:rPr>
        <w:t xml:space="preserve"> 3</w:t>
      </w:r>
      <w:r w:rsidRPr="00127FF9">
        <w:rPr>
          <w:rFonts w:ascii="Calibri" w:hAnsi="Calibri" w:cs="Calibri"/>
        </w:rPr>
        <w:t xml:space="preserve"> </w:t>
      </w:r>
      <w:r w:rsidR="008631DC">
        <w:rPr>
          <w:rFonts w:ascii="Calibri" w:hAnsi="Calibri" w:cs="Calibri"/>
        </w:rPr>
        <w:t xml:space="preserve">tohoto </w:t>
      </w:r>
      <w:r w:rsidRPr="00127FF9">
        <w:rPr>
          <w:rFonts w:ascii="Calibri" w:hAnsi="Calibri" w:cs="Calibri"/>
        </w:rPr>
        <w:t>kontrolního závěru.</w:t>
      </w:r>
    </w:p>
    <w:p w14:paraId="475E760B" w14:textId="2D448B53" w:rsidR="00731AFD" w:rsidRDefault="008631DC" w:rsidP="008631DC">
      <w:pPr>
        <w:spacing w:line="264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2646BF" w:rsidRPr="002646BF">
        <w:rPr>
          <w:rFonts w:asciiTheme="minorHAnsi" w:hAnsiTheme="minorHAnsi" w:cstheme="minorHAnsi"/>
          <w:b/>
        </w:rPr>
        <w:lastRenderedPageBreak/>
        <w:t>Příloha č. 1</w:t>
      </w:r>
    </w:p>
    <w:p w14:paraId="0DE35F90" w14:textId="77777777" w:rsidR="005738F8" w:rsidRPr="002646BF" w:rsidRDefault="005738F8" w:rsidP="005738F8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66D5C970" w14:textId="797F31F2" w:rsidR="00731AFD" w:rsidRDefault="00731AFD" w:rsidP="00731AFD">
      <w:pPr>
        <w:spacing w:after="160" w:line="259" w:lineRule="auto"/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  <w:b/>
        </w:rPr>
        <w:t>Program ALFA</w:t>
      </w:r>
      <w:r w:rsidRPr="00350D8E">
        <w:rPr>
          <w:rFonts w:ascii="Calibri" w:hAnsi="Calibri" w:cs="Calibri"/>
        </w:rPr>
        <w:t xml:space="preserve"> byl schválen usnesením vlády </w:t>
      </w:r>
      <w:r w:rsidR="006A6C05">
        <w:rPr>
          <w:rFonts w:ascii="Calibri" w:hAnsi="Calibri" w:cs="Calibri"/>
        </w:rPr>
        <w:t xml:space="preserve">ČR </w:t>
      </w:r>
      <w:r w:rsidRPr="00350D8E">
        <w:rPr>
          <w:rFonts w:ascii="Calibri" w:hAnsi="Calibri" w:cs="Calibri"/>
        </w:rPr>
        <w:t xml:space="preserve">ze dne 8. února 2010 č. 121. </w:t>
      </w:r>
      <w:r>
        <w:rPr>
          <w:rFonts w:ascii="Calibri" w:hAnsi="Calibri" w:cs="Calibri"/>
        </w:rPr>
        <w:t>Program se z</w:t>
      </w:r>
      <w:r w:rsidRPr="00350D8E">
        <w:rPr>
          <w:rFonts w:ascii="Calibri" w:hAnsi="Calibri" w:cs="Calibri"/>
        </w:rPr>
        <w:t>aměřuje na podporu aplikovaného výzkumu a e</w:t>
      </w:r>
      <w:r>
        <w:rPr>
          <w:rFonts w:ascii="Calibri" w:hAnsi="Calibri" w:cs="Calibri"/>
        </w:rPr>
        <w:t>xperimentálního vývoje. Program byl rozdělen do tří podprogramů:</w:t>
      </w:r>
      <w:r w:rsidRPr="00350D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1) </w:t>
      </w:r>
      <w:r w:rsidRPr="00350D8E">
        <w:rPr>
          <w:rFonts w:ascii="Calibri" w:hAnsi="Calibri" w:cs="Calibri"/>
        </w:rPr>
        <w:t>prog</w:t>
      </w:r>
      <w:r>
        <w:rPr>
          <w:rFonts w:ascii="Calibri" w:hAnsi="Calibri" w:cs="Calibri"/>
        </w:rPr>
        <w:t>resivní technologie, materiály a systémy</w:t>
      </w:r>
      <w:r w:rsidRPr="00350D8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2) energetické zdroje a ochrana a tvorba životního prostředí a 3) udržitelný rozvoj</w:t>
      </w:r>
      <w:r w:rsidRPr="00350D8E">
        <w:rPr>
          <w:rFonts w:ascii="Calibri" w:hAnsi="Calibri" w:cs="Calibri"/>
        </w:rPr>
        <w:t xml:space="preserve"> dopravy. </w:t>
      </w:r>
      <w:r>
        <w:rPr>
          <w:rFonts w:ascii="Calibri" w:hAnsi="Calibri" w:cs="Calibri"/>
        </w:rPr>
        <w:t>V rámci programu ALFA byly vyhlášeny čtyři veřejné soutěže.</w:t>
      </w:r>
    </w:p>
    <w:p w14:paraId="329DBB62" w14:textId="7CED40B5" w:rsidR="00731AFD" w:rsidRDefault="00731AFD" w:rsidP="00731AFD">
      <w:pPr>
        <w:spacing w:after="160" w:line="259" w:lineRule="auto"/>
        <w:jc w:val="both"/>
      </w:pPr>
      <w:r>
        <w:rPr>
          <w:rFonts w:ascii="Calibri" w:hAnsi="Calibri" w:cs="Calibri"/>
          <w:b/>
        </w:rPr>
        <w:t>Program BETA</w:t>
      </w:r>
      <w:r>
        <w:rPr>
          <w:rFonts w:ascii="Calibri" w:hAnsi="Calibri" w:cs="Calibri"/>
        </w:rPr>
        <w:t xml:space="preserve"> byl schválen usnesením vlády </w:t>
      </w:r>
      <w:r w:rsidR="006A6C05">
        <w:rPr>
          <w:rFonts w:ascii="Calibri" w:hAnsi="Calibri" w:cs="Calibri"/>
        </w:rPr>
        <w:t xml:space="preserve">ČR </w:t>
      </w:r>
      <w:r>
        <w:rPr>
          <w:rFonts w:ascii="Calibri" w:hAnsi="Calibri" w:cs="Calibri"/>
        </w:rPr>
        <w:t xml:space="preserve">ze dne 19. ledna 2011 č. 54. Program BETA slouží k realizaci veřejných zakázek ve výzkumu, experimentálním vývoji a inovacích pro potřeby státní správy. </w:t>
      </w:r>
    </w:p>
    <w:p w14:paraId="682A7571" w14:textId="34D84FD9" w:rsidR="008934D9" w:rsidRPr="00350D8E" w:rsidRDefault="008934D9" w:rsidP="008934D9">
      <w:pPr>
        <w:spacing w:after="160" w:line="259" w:lineRule="auto"/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  <w:b/>
        </w:rPr>
        <w:t xml:space="preserve">Program </w:t>
      </w:r>
      <w:r w:rsidRPr="00CA584D">
        <w:rPr>
          <w:rFonts w:ascii="Calibri" w:hAnsi="Calibri" w:cs="Calibri"/>
          <w:b/>
        </w:rPr>
        <w:t>Centra kompetence</w:t>
      </w:r>
      <w:r w:rsidRPr="00350D8E">
        <w:rPr>
          <w:rFonts w:ascii="Calibri" w:hAnsi="Calibri" w:cs="Calibri"/>
        </w:rPr>
        <w:t xml:space="preserve"> byl schválen usnesením vlády </w:t>
      </w:r>
      <w:r w:rsidR="006A6C05">
        <w:rPr>
          <w:rFonts w:ascii="Calibri" w:hAnsi="Calibri" w:cs="Calibri"/>
        </w:rPr>
        <w:t xml:space="preserve">ČR </w:t>
      </w:r>
      <w:r w:rsidRPr="00350D8E">
        <w:rPr>
          <w:rFonts w:ascii="Calibri" w:hAnsi="Calibri" w:cs="Calibri"/>
        </w:rPr>
        <w:t>ze dne 19. ledna 2011 č. 55. Program je zaměřen na podporu vzniku a činnosti center výzkumu, vývoje a</w:t>
      </w:r>
      <w:r>
        <w:rPr>
          <w:rFonts w:ascii="Calibri" w:hAnsi="Calibri" w:cs="Calibri"/>
        </w:rPr>
        <w:t> </w:t>
      </w:r>
      <w:r w:rsidRPr="00350D8E">
        <w:rPr>
          <w:rFonts w:ascii="Calibri" w:hAnsi="Calibri" w:cs="Calibri"/>
        </w:rPr>
        <w:t>inovací v progresivních oborech s vysokým aplikačním a inovativním potenciálem a</w:t>
      </w:r>
      <w:r>
        <w:rPr>
          <w:rFonts w:ascii="Calibri" w:hAnsi="Calibri" w:cs="Calibri"/>
        </w:rPr>
        <w:t> </w:t>
      </w:r>
      <w:r w:rsidRPr="00350D8E">
        <w:rPr>
          <w:rFonts w:ascii="Calibri" w:hAnsi="Calibri" w:cs="Calibri"/>
        </w:rPr>
        <w:t>perspektivou pro značný přínos k růstu konkurenceschopnosti ČR.</w:t>
      </w:r>
      <w:r>
        <w:rPr>
          <w:rFonts w:ascii="Calibri" w:hAnsi="Calibri" w:cs="Calibri"/>
        </w:rPr>
        <w:t xml:space="preserve"> V rámci tohoto programu byly vyhlášeny dvě veřejné soutěže.</w:t>
      </w:r>
    </w:p>
    <w:p w14:paraId="3FE85DE5" w14:textId="697C077B" w:rsidR="008934D9" w:rsidRPr="00350D8E" w:rsidRDefault="008934D9" w:rsidP="008934D9">
      <w:pPr>
        <w:spacing w:after="160" w:line="259" w:lineRule="auto"/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  <w:b/>
        </w:rPr>
        <w:t>Program OMEGA</w:t>
      </w:r>
      <w:r w:rsidRPr="00350D8E">
        <w:rPr>
          <w:rFonts w:ascii="Calibri" w:hAnsi="Calibri" w:cs="Calibri"/>
        </w:rPr>
        <w:t xml:space="preserve"> byl schválen usnesením vlády </w:t>
      </w:r>
      <w:r w:rsidR="006A6C05">
        <w:rPr>
          <w:rFonts w:ascii="Calibri" w:hAnsi="Calibri" w:cs="Calibri"/>
        </w:rPr>
        <w:t xml:space="preserve">ČR </w:t>
      </w:r>
      <w:r w:rsidRPr="00350D8E">
        <w:rPr>
          <w:rFonts w:ascii="Calibri" w:hAnsi="Calibri" w:cs="Calibri"/>
        </w:rPr>
        <w:t>ze dne 19. ledna 2011 č. 56. Je zaměřen na podporu projektů aplikovaného výzkumu a experimentálního vývoje, jejichž výsledky mají vysoký potenciál pro uplatnění v řadě oblastí celospolečenského života obyvatel ČR. Získané poznatky mají přispět k definování faktorů a procesů, které určují a ovlivňují fungování a</w:t>
      </w:r>
      <w:r>
        <w:rPr>
          <w:rFonts w:ascii="Calibri" w:hAnsi="Calibri" w:cs="Calibri"/>
        </w:rPr>
        <w:t> </w:t>
      </w:r>
      <w:r w:rsidRPr="00350D8E">
        <w:rPr>
          <w:rFonts w:ascii="Calibri" w:hAnsi="Calibri" w:cs="Calibri"/>
        </w:rPr>
        <w:t xml:space="preserve">rozvoj české společnosti, v kontextu probíhající evropské integrace a světové globalizace. </w:t>
      </w:r>
    </w:p>
    <w:p w14:paraId="5066FEF8" w14:textId="5637D6BE" w:rsidR="00731AFD" w:rsidRPr="00350D8E" w:rsidRDefault="00731AFD" w:rsidP="00731AFD">
      <w:pPr>
        <w:spacing w:after="160" w:line="259" w:lineRule="auto"/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  <w:b/>
        </w:rPr>
        <w:t>Program GAMA</w:t>
      </w:r>
      <w:r w:rsidRPr="00350D8E">
        <w:rPr>
          <w:rFonts w:ascii="Calibri" w:hAnsi="Calibri" w:cs="Calibri"/>
        </w:rPr>
        <w:t xml:space="preserve"> byl schválen usnesením vlády </w:t>
      </w:r>
      <w:r w:rsidR="006A6C05">
        <w:rPr>
          <w:rFonts w:ascii="Calibri" w:hAnsi="Calibri" w:cs="Calibri"/>
        </w:rPr>
        <w:t xml:space="preserve">ČR </w:t>
      </w:r>
      <w:r w:rsidRPr="00350D8E">
        <w:rPr>
          <w:rFonts w:ascii="Calibri" w:hAnsi="Calibri" w:cs="Calibri"/>
        </w:rPr>
        <w:t>ze dne 12. června</w:t>
      </w:r>
      <w:r>
        <w:rPr>
          <w:rFonts w:ascii="Calibri" w:hAnsi="Calibri" w:cs="Calibri"/>
        </w:rPr>
        <w:t xml:space="preserve"> 2013</w:t>
      </w:r>
      <w:r w:rsidRPr="00350D8E">
        <w:rPr>
          <w:rFonts w:ascii="Calibri" w:hAnsi="Calibri" w:cs="Calibri"/>
        </w:rPr>
        <w:t xml:space="preserve"> č. 455. Je zaměřen na podporu ověření výsledků aplikovaného výzkumu a experimentálního vývoje z hlediska jejich praktického uplatnění a na přípravu jejich následného komerčního využití. Hlavním cílem programu je podpořit a významně zefektivnit transformaci výsledků VaV</w:t>
      </w:r>
      <w:r w:rsidR="000C113C">
        <w:rPr>
          <w:rFonts w:ascii="Calibri" w:hAnsi="Calibri" w:cs="Calibri"/>
        </w:rPr>
        <w:t>aI</w:t>
      </w:r>
      <w:r w:rsidRPr="00350D8E">
        <w:rPr>
          <w:rFonts w:ascii="Calibri" w:hAnsi="Calibri" w:cs="Calibri"/>
        </w:rPr>
        <w:t>, dosažených ve výzkumných organizacích nebo ve spolupráci mezi výzkumnými organizacemi a podniky, do doby praktické aplikace umožňující jejich komerční využití a podpořit tak jejich zavedení do praxe.</w:t>
      </w:r>
    </w:p>
    <w:p w14:paraId="1A5055B3" w14:textId="0DBCBB8A" w:rsidR="00731AFD" w:rsidRPr="00350D8E" w:rsidRDefault="00731AFD" w:rsidP="00731AFD">
      <w:pPr>
        <w:spacing w:after="160" w:line="259" w:lineRule="auto"/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  <w:b/>
        </w:rPr>
        <w:t>Program DELTA</w:t>
      </w:r>
      <w:r w:rsidRPr="00350D8E">
        <w:rPr>
          <w:rFonts w:ascii="Calibri" w:hAnsi="Calibri" w:cs="Calibri"/>
        </w:rPr>
        <w:t xml:space="preserve"> byl schválen usnesením vlády Č</w:t>
      </w:r>
      <w:r w:rsidR="006A6C05">
        <w:rPr>
          <w:rFonts w:ascii="Calibri" w:hAnsi="Calibri" w:cs="Calibri"/>
        </w:rPr>
        <w:t>R</w:t>
      </w:r>
      <w:r w:rsidRPr="00350D8E">
        <w:rPr>
          <w:rFonts w:ascii="Calibri" w:hAnsi="Calibri" w:cs="Calibri"/>
        </w:rPr>
        <w:t xml:space="preserve"> ze dne 28. srpna 2013 č. 668. Je zaměřen na podporu spolupráce v aplikovaném výzkumu a experimentálním vývoji prostřednictvím společných projektů podniků a výzkumn</w:t>
      </w:r>
      <w:r>
        <w:rPr>
          <w:rFonts w:ascii="Calibri" w:hAnsi="Calibri" w:cs="Calibri"/>
        </w:rPr>
        <w:t>ých organizací podporovaných TA </w:t>
      </w:r>
      <w:r w:rsidRPr="00350D8E">
        <w:rPr>
          <w:rFonts w:ascii="Calibri" w:hAnsi="Calibri" w:cs="Calibri"/>
        </w:rPr>
        <w:t xml:space="preserve">ČR a významnými zahraničními technologickými a inovačními agenturami či jinými obdobnými institucemi, se kterými má/bude mít TA ČR v době vyhlášení veřejné soutěže ve výzkumu, vývoji a inovacích navázánu spolupráci. </w:t>
      </w:r>
    </w:p>
    <w:p w14:paraId="16F47332" w14:textId="11410751" w:rsidR="00731AFD" w:rsidRPr="0059575C" w:rsidRDefault="00731AFD" w:rsidP="00731AFD">
      <w:pPr>
        <w:spacing w:after="160" w:line="259" w:lineRule="auto"/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  <w:b/>
        </w:rPr>
        <w:t xml:space="preserve">Program EPSILON </w:t>
      </w:r>
      <w:r w:rsidRPr="00350D8E">
        <w:rPr>
          <w:rFonts w:ascii="Calibri" w:hAnsi="Calibri" w:cs="Calibri"/>
        </w:rPr>
        <w:t>byl schválen usnesením vlády Č</w:t>
      </w:r>
      <w:r w:rsidR="006A6C05">
        <w:rPr>
          <w:rFonts w:ascii="Calibri" w:hAnsi="Calibri" w:cs="Calibri"/>
        </w:rPr>
        <w:t>R</w:t>
      </w:r>
      <w:r w:rsidRPr="00350D8E">
        <w:rPr>
          <w:rFonts w:ascii="Calibri" w:hAnsi="Calibri" w:cs="Calibri"/>
        </w:rPr>
        <w:t xml:space="preserve"> ze dne 18. prosince 2013 č.</w:t>
      </w:r>
      <w:r>
        <w:rPr>
          <w:rFonts w:ascii="Calibri" w:hAnsi="Calibri" w:cs="Calibri"/>
        </w:rPr>
        <w:t> </w:t>
      </w:r>
      <w:r w:rsidRPr="00350D8E">
        <w:rPr>
          <w:rFonts w:ascii="Calibri" w:hAnsi="Calibri" w:cs="Calibri"/>
        </w:rPr>
        <w:t>987. Je zaměřen zejména na zlepšení pozice českého a v globálním kontextu i evropského průmyslu pomocí podpory projektů aplikovaného výzkumu a experimentálního vývoje, jejichž výsledky mají vysoký potenciál pro rychlé uplatnění v nových produktech, výrobních postupech a</w:t>
      </w:r>
      <w:r w:rsidR="008203A1">
        <w:rPr>
          <w:rFonts w:ascii="Calibri" w:hAnsi="Calibri" w:cs="Calibri"/>
        </w:rPr>
        <w:t> </w:t>
      </w:r>
      <w:r w:rsidRPr="00350D8E">
        <w:rPr>
          <w:rFonts w:ascii="Calibri" w:hAnsi="Calibri" w:cs="Calibri"/>
        </w:rPr>
        <w:t xml:space="preserve">službách, zejména </w:t>
      </w:r>
      <w:r>
        <w:rPr>
          <w:rFonts w:ascii="Calibri" w:hAnsi="Calibri" w:cs="Calibri"/>
        </w:rPr>
        <w:t xml:space="preserve">v těchto prioritních oblastech </w:t>
      </w:r>
      <w:r w:rsidR="00F13E27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k</w:t>
      </w:r>
      <w:r w:rsidRPr="00350D8E">
        <w:rPr>
          <w:rFonts w:ascii="Calibri" w:hAnsi="Calibri" w:cs="Calibri"/>
        </w:rPr>
        <w:t>onkurenceschopná ekonomika založená na znalostech</w:t>
      </w:r>
      <w:r>
        <w:rPr>
          <w:rFonts w:ascii="Calibri" w:hAnsi="Calibri" w:cs="Calibri"/>
        </w:rPr>
        <w:t>, u</w:t>
      </w:r>
      <w:r w:rsidRPr="00350D8E">
        <w:rPr>
          <w:rFonts w:ascii="Calibri" w:hAnsi="Calibri" w:cs="Calibri"/>
        </w:rPr>
        <w:t>držitelnost energetiky a materiálových zdrojů</w:t>
      </w:r>
      <w:r>
        <w:rPr>
          <w:rFonts w:ascii="Calibri" w:hAnsi="Calibri" w:cs="Calibri"/>
        </w:rPr>
        <w:t>, p</w:t>
      </w:r>
      <w:r w:rsidRPr="00350D8E">
        <w:rPr>
          <w:rFonts w:ascii="Calibri" w:hAnsi="Calibri" w:cs="Calibri"/>
        </w:rPr>
        <w:t>rostředí pro kvalitní život</w:t>
      </w:r>
      <w:r>
        <w:rPr>
          <w:rFonts w:ascii="Calibri" w:hAnsi="Calibri" w:cs="Calibri"/>
        </w:rPr>
        <w:t>.</w:t>
      </w:r>
    </w:p>
    <w:p w14:paraId="3AF3FD5C" w14:textId="06C27683" w:rsidR="00731AFD" w:rsidRDefault="00731AFD" w:rsidP="00731AFD">
      <w:pPr>
        <w:jc w:val="both"/>
        <w:rPr>
          <w:rFonts w:ascii="Calibri" w:hAnsi="Calibri" w:cs="Calibri"/>
        </w:rPr>
      </w:pPr>
      <w:r w:rsidRPr="00350D8E">
        <w:rPr>
          <w:rFonts w:ascii="Calibri" w:hAnsi="Calibri" w:cs="Calibri"/>
        </w:rPr>
        <w:lastRenderedPageBreak/>
        <w:t>Každý z programů má alokov</w:t>
      </w:r>
      <w:r w:rsidR="008203A1">
        <w:rPr>
          <w:rFonts w:ascii="Calibri" w:hAnsi="Calibri" w:cs="Calibri"/>
        </w:rPr>
        <w:t>án</w:t>
      </w:r>
      <w:r w:rsidRPr="00350D8E">
        <w:rPr>
          <w:rFonts w:ascii="Calibri" w:hAnsi="Calibri" w:cs="Calibri"/>
        </w:rPr>
        <w:t xml:space="preserve"> finanční obnos, který vyplývá z</w:t>
      </w:r>
      <w:r>
        <w:rPr>
          <w:rFonts w:ascii="Calibri" w:hAnsi="Calibri" w:cs="Calibri"/>
        </w:rPr>
        <w:t> </w:t>
      </w:r>
      <w:r w:rsidRPr="00350D8E">
        <w:rPr>
          <w:rFonts w:ascii="Calibri" w:hAnsi="Calibri" w:cs="Calibri"/>
        </w:rPr>
        <w:t>předchozích</w:t>
      </w:r>
      <w:r>
        <w:rPr>
          <w:rFonts w:ascii="Calibri" w:hAnsi="Calibri" w:cs="Calibri"/>
        </w:rPr>
        <w:t xml:space="preserve"> analýz absorpční kapacity</w:t>
      </w:r>
      <w:r w:rsidRPr="00350D8E">
        <w:rPr>
          <w:rFonts w:ascii="Calibri" w:hAnsi="Calibri" w:cs="Calibri"/>
        </w:rPr>
        <w:t xml:space="preserve"> a ze zkušeností TA ČR s realizací podobných projektů. Na programy je vymezen následující finanční </w:t>
      </w:r>
      <w:r>
        <w:rPr>
          <w:rFonts w:ascii="Calibri" w:hAnsi="Calibri" w:cs="Calibri"/>
        </w:rPr>
        <w:t xml:space="preserve">objem prostředků: </w:t>
      </w:r>
    </w:p>
    <w:p w14:paraId="3D4B951A" w14:textId="77777777" w:rsidR="00731AFD" w:rsidRDefault="00731AFD" w:rsidP="00731AFD">
      <w:pPr>
        <w:rPr>
          <w:rFonts w:ascii="Calibri" w:hAnsi="Calibri" w:cs="Calibri"/>
        </w:rPr>
      </w:pPr>
    </w:p>
    <w:p w14:paraId="17A3E8C1" w14:textId="205DD602" w:rsidR="00731AFD" w:rsidRPr="005738F8" w:rsidRDefault="002646BF" w:rsidP="005D70FF">
      <w:pPr>
        <w:spacing w:after="20"/>
        <w:ind w:left="1418" w:hanging="1418"/>
        <w:rPr>
          <w:rFonts w:ascii="Calibri" w:hAnsi="Calibri" w:cs="Calibri"/>
          <w:b/>
        </w:rPr>
      </w:pPr>
      <w:r w:rsidRPr="005738F8">
        <w:rPr>
          <w:rFonts w:ascii="Calibri" w:hAnsi="Calibri" w:cs="Calibri"/>
          <w:b/>
        </w:rPr>
        <w:t>Tabulka č. 2</w:t>
      </w:r>
      <w:r w:rsidR="00EF280D">
        <w:rPr>
          <w:rFonts w:ascii="Calibri" w:hAnsi="Calibri" w:cs="Calibri"/>
          <w:b/>
        </w:rPr>
        <w:t xml:space="preserve"> </w:t>
      </w:r>
      <w:r w:rsidR="00DF0018">
        <w:rPr>
          <w:rFonts w:ascii="Calibri" w:hAnsi="Calibri" w:cs="Calibri"/>
          <w:b/>
        </w:rPr>
        <w:t>–</w:t>
      </w:r>
      <w:r w:rsidR="00DF0018">
        <w:rPr>
          <w:rFonts w:ascii="Calibri" w:hAnsi="Calibri" w:cs="Calibri"/>
          <w:b/>
        </w:rPr>
        <w:tab/>
      </w:r>
      <w:r w:rsidR="00731AFD" w:rsidRPr="005738F8">
        <w:rPr>
          <w:rFonts w:ascii="Calibri" w:hAnsi="Calibri" w:cs="Calibri"/>
          <w:b/>
        </w:rPr>
        <w:t>Alokované finanční prostředky na jednotlivé programy po celou dobu jejich trvání</w:t>
      </w:r>
    </w:p>
    <w:tbl>
      <w:tblPr>
        <w:tblW w:w="89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440"/>
        <w:gridCol w:w="1760"/>
        <w:gridCol w:w="1580"/>
        <w:gridCol w:w="1960"/>
      </w:tblGrid>
      <w:tr w:rsidR="00731AFD" w:rsidRPr="00FE1009" w14:paraId="44C1DD79" w14:textId="77777777" w:rsidTr="00A169C8">
        <w:trPr>
          <w:trHeight w:val="840"/>
        </w:trPr>
        <w:tc>
          <w:tcPr>
            <w:tcW w:w="2180" w:type="dxa"/>
            <w:shd w:val="clear" w:color="auto" w:fill="C5DFFF"/>
            <w:vAlign w:val="center"/>
            <w:hideMark/>
          </w:tcPr>
          <w:p w14:paraId="0624F395" w14:textId="77777777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440" w:type="dxa"/>
            <w:shd w:val="clear" w:color="auto" w:fill="C5DFFF"/>
            <w:vAlign w:val="center"/>
            <w:hideMark/>
          </w:tcPr>
          <w:p w14:paraId="10740BF1" w14:textId="64D4C4DF" w:rsidR="00731AFD" w:rsidRPr="00FE1009" w:rsidRDefault="00731AFD" w:rsidP="00EF28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Trvání programu</w:t>
            </w:r>
          </w:p>
        </w:tc>
        <w:tc>
          <w:tcPr>
            <w:tcW w:w="1760" w:type="dxa"/>
            <w:shd w:val="clear" w:color="auto" w:fill="C5DFFF"/>
            <w:vAlign w:val="center"/>
            <w:hideMark/>
          </w:tcPr>
          <w:p w14:paraId="4EFAD9FE" w14:textId="77777777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Finanční prostředky SR </w:t>
            </w:r>
          </w:p>
          <w:p w14:paraId="0889BD05" w14:textId="77777777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(v mil. Kč)</w:t>
            </w:r>
          </w:p>
        </w:tc>
        <w:tc>
          <w:tcPr>
            <w:tcW w:w="1580" w:type="dxa"/>
            <w:shd w:val="clear" w:color="auto" w:fill="C5DFFF"/>
            <w:vAlign w:val="center"/>
            <w:hideMark/>
          </w:tcPr>
          <w:p w14:paraId="272510D4" w14:textId="77777777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Neveřejné zdroje </w:t>
            </w:r>
          </w:p>
          <w:p w14:paraId="54036EB4" w14:textId="77777777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(v mil. Kč)</w:t>
            </w:r>
          </w:p>
        </w:tc>
        <w:tc>
          <w:tcPr>
            <w:tcW w:w="1960" w:type="dxa"/>
            <w:shd w:val="clear" w:color="auto" w:fill="C5DFFF"/>
            <w:vAlign w:val="center"/>
            <w:hideMark/>
          </w:tcPr>
          <w:p w14:paraId="22BAD97E" w14:textId="57121B21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</w:t>
            </w:r>
            <w:r w:rsidR="00EF28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ové</w:t>
            </w: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rozpoč</w:t>
            </w:r>
            <w:r w:rsidR="00EF28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</w:t>
            </w: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programů </w:t>
            </w:r>
          </w:p>
          <w:p w14:paraId="7536720A" w14:textId="77777777" w:rsidR="00731AFD" w:rsidRPr="00FE1009" w:rsidRDefault="00731AFD" w:rsidP="00F56F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(v mil. Kč)</w:t>
            </w:r>
          </w:p>
        </w:tc>
      </w:tr>
      <w:tr w:rsidR="00731AFD" w:rsidRPr="00FE1009" w14:paraId="315B6A79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5C5A3DE7" w14:textId="77777777" w:rsidR="00731AFD" w:rsidRPr="00FE1009" w:rsidRDefault="00731AFD" w:rsidP="00F56F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05A3AF" w14:textId="77777777" w:rsidR="00731AFD" w:rsidRPr="00FE1009" w:rsidRDefault="00731AFD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2011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651F1B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9 339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E6720EE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5 029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567274D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14 368</w:t>
            </w:r>
          </w:p>
        </w:tc>
      </w:tr>
      <w:tr w:rsidR="00731AFD" w:rsidRPr="00FE1009" w14:paraId="258CEFB9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1B1071F6" w14:textId="77777777" w:rsidR="00731AFD" w:rsidRPr="00FE1009" w:rsidRDefault="00731AFD" w:rsidP="00F56F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F0A137" w14:textId="77777777" w:rsidR="00731AFD" w:rsidRPr="00FE1009" w:rsidRDefault="00731AFD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2012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659353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5D1908B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3A329F3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640</w:t>
            </w:r>
          </w:p>
        </w:tc>
      </w:tr>
      <w:tr w:rsidR="008934D9" w:rsidRPr="00FE1009" w14:paraId="048375DD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2AD558A3" w14:textId="77777777" w:rsidR="008934D9" w:rsidRPr="00183702" w:rsidRDefault="008934D9" w:rsidP="00CB228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37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Centra kompetence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B6232E" w14:textId="77777777" w:rsidR="008934D9" w:rsidRPr="00FE1009" w:rsidRDefault="008934D9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2012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707DDE" w14:textId="77777777" w:rsidR="008934D9" w:rsidRPr="00FE1009" w:rsidRDefault="008934D9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6 297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199858A" w14:textId="77777777" w:rsidR="008934D9" w:rsidRPr="00FE1009" w:rsidRDefault="008934D9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2 703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9A4DB72" w14:textId="77777777" w:rsidR="008934D9" w:rsidRPr="00FE1009" w:rsidRDefault="008934D9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9 000</w:t>
            </w:r>
          </w:p>
        </w:tc>
      </w:tr>
      <w:tr w:rsidR="008934D9" w:rsidRPr="00FE1009" w14:paraId="7DF01B4A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424D63C5" w14:textId="77777777" w:rsidR="008934D9" w:rsidRPr="00FE1009" w:rsidRDefault="008934D9" w:rsidP="00CB228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OMEGA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F95728" w14:textId="77777777" w:rsidR="008934D9" w:rsidRPr="00FE1009" w:rsidRDefault="008934D9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2012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916429" w14:textId="77777777" w:rsidR="008934D9" w:rsidRPr="00FE1009" w:rsidRDefault="008934D9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1BC4F70" w14:textId="77777777" w:rsidR="008934D9" w:rsidRPr="00FE1009" w:rsidRDefault="008934D9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0404DA9" w14:textId="77777777" w:rsidR="008934D9" w:rsidRPr="00FE1009" w:rsidRDefault="008934D9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386</w:t>
            </w:r>
          </w:p>
        </w:tc>
      </w:tr>
      <w:tr w:rsidR="00731AFD" w:rsidRPr="00FE1009" w14:paraId="15FA3DC3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7F53F059" w14:textId="77777777" w:rsidR="00731AFD" w:rsidRPr="00FE1009" w:rsidRDefault="00731AFD" w:rsidP="00F56F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GAMA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879F2" w14:textId="77777777" w:rsidR="00731AFD" w:rsidRPr="00FE1009" w:rsidRDefault="00731AFD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2014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AB1D3E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E8DB5AE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D7FAC1A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2 770</w:t>
            </w:r>
          </w:p>
        </w:tc>
      </w:tr>
      <w:tr w:rsidR="00731AFD" w:rsidRPr="00FE1009" w14:paraId="7807E78B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3C200CED" w14:textId="77777777" w:rsidR="00731AFD" w:rsidRPr="00FE1009" w:rsidRDefault="00731AFD" w:rsidP="00F56F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DELTA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9CA495" w14:textId="77777777" w:rsidR="00731AFD" w:rsidRPr="00FE1009" w:rsidRDefault="00731AFD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2014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62C2B7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FD4D778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35B1380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1 039</w:t>
            </w:r>
          </w:p>
        </w:tc>
      </w:tr>
      <w:tr w:rsidR="00731AFD" w:rsidRPr="00FE1009" w14:paraId="1016B66B" w14:textId="77777777" w:rsidTr="00A169C8">
        <w:trPr>
          <w:trHeight w:val="338"/>
        </w:trPr>
        <w:tc>
          <w:tcPr>
            <w:tcW w:w="2180" w:type="dxa"/>
            <w:shd w:val="clear" w:color="auto" w:fill="C5DFFF"/>
            <w:noWrap/>
            <w:vAlign w:val="center"/>
            <w:hideMark/>
          </w:tcPr>
          <w:p w14:paraId="624ABBBA" w14:textId="77777777" w:rsidR="00731AFD" w:rsidRPr="00FE1009" w:rsidRDefault="00731AFD" w:rsidP="00F56F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EPSILON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10AEB4" w14:textId="77777777" w:rsidR="00731AFD" w:rsidRPr="00FE1009" w:rsidRDefault="00731AFD" w:rsidP="005317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2015</w:t>
            </w:r>
            <w:r w:rsidR="005317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0B0AF4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9 690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9B00B22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6 460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1A7DEAF" w14:textId="77777777" w:rsidR="00731AFD" w:rsidRPr="00FE1009" w:rsidRDefault="00731AFD" w:rsidP="005D70FF">
            <w:pPr>
              <w:ind w:right="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16 150</w:t>
            </w:r>
          </w:p>
        </w:tc>
      </w:tr>
    </w:tbl>
    <w:p w14:paraId="5260EE5A" w14:textId="786F4035" w:rsidR="00731AFD" w:rsidRPr="005738F8" w:rsidRDefault="00731AFD" w:rsidP="00731AFD">
      <w:pPr>
        <w:spacing w:after="160" w:line="259" w:lineRule="auto"/>
        <w:rPr>
          <w:rFonts w:ascii="Calibri" w:hAnsi="Calibri" w:cs="Calibri"/>
          <w:sz w:val="20"/>
          <w:szCs w:val="20"/>
        </w:rPr>
      </w:pPr>
      <w:r w:rsidRPr="005738F8">
        <w:rPr>
          <w:rFonts w:ascii="Calibri" w:hAnsi="Calibri" w:cs="Calibri"/>
          <w:b/>
          <w:sz w:val="20"/>
          <w:szCs w:val="20"/>
        </w:rPr>
        <w:t>Zdroj:</w:t>
      </w:r>
      <w:r w:rsidRPr="005738F8">
        <w:rPr>
          <w:rFonts w:ascii="Calibri" w:hAnsi="Calibri" w:cs="Calibri"/>
          <w:sz w:val="20"/>
          <w:szCs w:val="20"/>
        </w:rPr>
        <w:t xml:space="preserve"> </w:t>
      </w:r>
      <w:r w:rsidR="00EF280D">
        <w:rPr>
          <w:rFonts w:ascii="Calibri" w:hAnsi="Calibri" w:cs="Calibri"/>
          <w:sz w:val="20"/>
          <w:szCs w:val="20"/>
        </w:rPr>
        <w:t>d</w:t>
      </w:r>
      <w:r w:rsidRPr="005738F8">
        <w:rPr>
          <w:rFonts w:ascii="Calibri" w:hAnsi="Calibri" w:cs="Calibri"/>
          <w:sz w:val="20"/>
          <w:szCs w:val="20"/>
        </w:rPr>
        <w:t>ata TA ČR</w:t>
      </w:r>
      <w:r w:rsidR="00F13E27" w:rsidRPr="005738F8">
        <w:rPr>
          <w:rFonts w:ascii="Calibri" w:hAnsi="Calibri" w:cs="Calibri"/>
          <w:sz w:val="20"/>
          <w:szCs w:val="20"/>
        </w:rPr>
        <w:t>.</w:t>
      </w:r>
    </w:p>
    <w:p w14:paraId="6BA4D779" w14:textId="77777777" w:rsidR="00CE0B99" w:rsidRDefault="00CE0B9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DEB2290" w14:textId="77777777" w:rsidR="00CE0B99" w:rsidRDefault="00CE0B99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2"/>
        </w:rPr>
        <w:sectPr w:rsidR="00CE0B99" w:rsidSect="004C031F">
          <w:footerReference w:type="default" r:id="rId16"/>
          <w:pgSz w:w="11907" w:h="16839" w:code="9"/>
          <w:pgMar w:top="1417" w:right="1417" w:bottom="1417" w:left="1417" w:header="850" w:footer="567" w:gutter="0"/>
          <w:cols w:space="708"/>
          <w:titlePg/>
          <w:docGrid w:linePitch="360"/>
        </w:sectPr>
      </w:pPr>
    </w:p>
    <w:p w14:paraId="3099AD7A" w14:textId="6C41E92C" w:rsidR="00157FCD" w:rsidRDefault="002646BF" w:rsidP="005738F8">
      <w:pPr>
        <w:spacing w:line="264" w:lineRule="auto"/>
        <w:ind w:left="624" w:hanging="624"/>
        <w:jc w:val="right"/>
        <w:rPr>
          <w:rFonts w:asciiTheme="minorHAnsi" w:hAnsiTheme="minorHAnsi" w:cstheme="minorHAnsi"/>
          <w:b/>
        </w:rPr>
      </w:pPr>
      <w:r w:rsidRPr="002646BF">
        <w:rPr>
          <w:rFonts w:asciiTheme="minorHAnsi" w:hAnsiTheme="minorHAnsi" w:cstheme="minorHAnsi"/>
          <w:b/>
        </w:rPr>
        <w:lastRenderedPageBreak/>
        <w:t>Příloha č. 2</w:t>
      </w:r>
    </w:p>
    <w:p w14:paraId="45853D6B" w14:textId="187D311C" w:rsidR="005C6494" w:rsidRPr="005738F8" w:rsidRDefault="00F16BF6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  <w:r w:rsidRPr="00F16BF6">
        <w:rPr>
          <w:noProof/>
        </w:rPr>
        <w:drawing>
          <wp:anchor distT="0" distB="0" distL="114300" distR="114300" simplePos="0" relativeHeight="251655680" behindDoc="1" locked="0" layoutInCell="1" allowOverlap="1" wp14:anchorId="4DB77BFA" wp14:editId="1C59A5F5">
            <wp:simplePos x="0" y="0"/>
            <wp:positionH relativeFrom="column">
              <wp:posOffset>-2540</wp:posOffset>
            </wp:positionH>
            <wp:positionV relativeFrom="paragraph">
              <wp:posOffset>200660</wp:posOffset>
            </wp:positionV>
            <wp:extent cx="6360795" cy="2143125"/>
            <wp:effectExtent l="0" t="0" r="1905" b="9525"/>
            <wp:wrapTight wrapText="bothSides">
              <wp:wrapPolygon edited="0">
                <wp:start x="0" y="0"/>
                <wp:lineTo x="0" y="21504"/>
                <wp:lineTo x="21542" y="21504"/>
                <wp:lineTo x="2154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6BF" w:rsidRPr="005738F8">
        <w:rPr>
          <w:rFonts w:asciiTheme="minorHAnsi" w:hAnsiTheme="minorHAnsi" w:cstheme="minorHAnsi"/>
          <w:b/>
        </w:rPr>
        <w:t>Tabulka č. 3</w:t>
      </w:r>
      <w:r w:rsidR="00FD0FB0">
        <w:rPr>
          <w:rFonts w:asciiTheme="minorHAnsi" w:hAnsiTheme="minorHAnsi" w:cstheme="minorHAnsi"/>
          <w:b/>
        </w:rPr>
        <w:t xml:space="preserve"> –</w:t>
      </w:r>
      <w:r w:rsidR="005C6494" w:rsidRPr="005738F8">
        <w:rPr>
          <w:rFonts w:asciiTheme="minorHAnsi" w:hAnsiTheme="minorHAnsi" w:cstheme="minorHAnsi"/>
          <w:b/>
        </w:rPr>
        <w:t xml:space="preserve"> Srovnání České republiky s vybranými státy EU za roky 2011</w:t>
      </w:r>
      <w:r w:rsidR="005738F8" w:rsidRPr="005738F8">
        <w:rPr>
          <w:rFonts w:asciiTheme="minorHAnsi" w:hAnsiTheme="minorHAnsi" w:cstheme="minorHAnsi"/>
          <w:b/>
        </w:rPr>
        <w:t>–</w:t>
      </w:r>
      <w:r w:rsidR="005C6494" w:rsidRPr="005738F8">
        <w:rPr>
          <w:rFonts w:asciiTheme="minorHAnsi" w:hAnsiTheme="minorHAnsi" w:cstheme="minorHAnsi"/>
          <w:b/>
        </w:rPr>
        <w:t>2014</w:t>
      </w:r>
    </w:p>
    <w:p w14:paraId="2392142E" w14:textId="7D35EACA" w:rsidR="00FE1009" w:rsidRDefault="00BA36F5" w:rsidP="005D70FF">
      <w:pPr>
        <w:spacing w:after="120" w:line="264" w:lineRule="auto"/>
        <w:ind w:left="624" w:hanging="62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0"/>
        </w:rPr>
        <w:t>V</w:t>
      </w:r>
      <w:r>
        <w:rPr>
          <w:rFonts w:asciiTheme="minorHAnsi" w:hAnsiTheme="minorHAnsi" w:cstheme="minorHAnsi"/>
          <w:sz w:val="20"/>
        </w:rPr>
        <w:t xml:space="preserve"> tabulce</w:t>
      </w:r>
      <w:r w:rsidR="00FD0FB0">
        <w:rPr>
          <w:rFonts w:asciiTheme="minorHAnsi" w:hAnsiTheme="minorHAnsi" w:cstheme="minorHAnsi"/>
          <w:sz w:val="20"/>
        </w:rPr>
        <w:t xml:space="preserve"> č. 3</w:t>
      </w:r>
      <w:r w:rsidR="00A626EA" w:rsidRPr="00633D8A">
        <w:rPr>
          <w:rFonts w:asciiTheme="minorHAnsi" w:hAnsiTheme="minorHAnsi" w:cstheme="minorHAnsi"/>
          <w:sz w:val="20"/>
        </w:rPr>
        <w:t xml:space="preserve"> lze vidět vývoj nejdůležitějších srovnávacích ukazatelů </w:t>
      </w:r>
      <w:r w:rsidR="00FD0FB0">
        <w:rPr>
          <w:rFonts w:asciiTheme="minorHAnsi" w:hAnsiTheme="minorHAnsi" w:cstheme="minorHAnsi"/>
          <w:sz w:val="20"/>
        </w:rPr>
        <w:t>pro oblast</w:t>
      </w:r>
      <w:r w:rsidR="00A626EA" w:rsidRPr="00633D8A">
        <w:rPr>
          <w:rFonts w:asciiTheme="minorHAnsi" w:hAnsiTheme="minorHAnsi" w:cstheme="minorHAnsi"/>
          <w:sz w:val="20"/>
        </w:rPr>
        <w:t xml:space="preserve"> VaV</w:t>
      </w:r>
      <w:r w:rsidR="000C113C">
        <w:rPr>
          <w:rFonts w:asciiTheme="minorHAnsi" w:hAnsiTheme="minorHAnsi" w:cstheme="minorHAnsi"/>
          <w:sz w:val="20"/>
        </w:rPr>
        <w:t>aI</w:t>
      </w:r>
      <w:r w:rsidR="00F13E27">
        <w:rPr>
          <w:rFonts w:asciiTheme="minorHAnsi" w:hAnsiTheme="minorHAnsi" w:cstheme="minorHAnsi"/>
          <w:sz w:val="20"/>
        </w:rPr>
        <w:t xml:space="preserve"> v letech 2011–</w:t>
      </w:r>
      <w:r w:rsidR="00A626EA" w:rsidRPr="00633D8A">
        <w:rPr>
          <w:rFonts w:asciiTheme="minorHAnsi" w:hAnsiTheme="minorHAnsi" w:cstheme="minorHAnsi"/>
          <w:sz w:val="20"/>
        </w:rPr>
        <w:t>2014. Srovnávána je Česká republika s vybranými členskými státy EU</w:t>
      </w:r>
      <w:r w:rsidR="00FE1009" w:rsidRPr="00633D8A">
        <w:rPr>
          <w:rFonts w:asciiTheme="minorHAnsi" w:hAnsiTheme="minorHAnsi" w:cstheme="minorHAnsi"/>
          <w:sz w:val="20"/>
        </w:rPr>
        <w:t>.</w:t>
      </w:r>
    </w:p>
    <w:p w14:paraId="361CE82D" w14:textId="79B6ACD0" w:rsidR="00B063C7" w:rsidRPr="00B063C7" w:rsidRDefault="00BA36F5" w:rsidP="005D70FF">
      <w:pPr>
        <w:spacing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Graf č. 4</w:t>
      </w:r>
      <w:r w:rsidR="00B063C7" w:rsidRPr="00B063C7">
        <w:rPr>
          <w:rFonts w:asciiTheme="minorHAnsi" w:hAnsiTheme="minorHAnsi" w:cstheme="minorHAnsi"/>
          <w:sz w:val="20"/>
        </w:rPr>
        <w:t xml:space="preserve"> znázorňuje pozici České republiky v oblasti VaV</w:t>
      </w:r>
      <w:r w:rsidR="000C113C">
        <w:rPr>
          <w:rFonts w:asciiTheme="minorHAnsi" w:hAnsiTheme="minorHAnsi" w:cstheme="minorHAnsi"/>
          <w:sz w:val="20"/>
        </w:rPr>
        <w:t>aI</w:t>
      </w:r>
      <w:r w:rsidR="00B063C7" w:rsidRPr="00B063C7">
        <w:rPr>
          <w:rFonts w:asciiTheme="minorHAnsi" w:hAnsiTheme="minorHAnsi" w:cstheme="minorHAnsi"/>
          <w:sz w:val="20"/>
        </w:rPr>
        <w:t>.</w:t>
      </w:r>
    </w:p>
    <w:p w14:paraId="0E03DA6C" w14:textId="24E063F2" w:rsidR="00B063C7" w:rsidRPr="00B063C7" w:rsidRDefault="00B063C7" w:rsidP="00B063C7">
      <w:pPr>
        <w:jc w:val="both"/>
        <w:rPr>
          <w:rFonts w:asciiTheme="minorHAnsi" w:hAnsiTheme="minorHAnsi" w:cstheme="minorHAnsi"/>
          <w:sz w:val="20"/>
        </w:rPr>
      </w:pPr>
      <w:r w:rsidRPr="00B063C7">
        <w:rPr>
          <w:rFonts w:asciiTheme="minorHAnsi" w:hAnsiTheme="minorHAnsi" w:cstheme="minorHAnsi"/>
          <w:sz w:val="20"/>
        </w:rPr>
        <w:t>Přední místa v oblasti VaVaI zaujímají ve všech ukazatelích Finsko a Švédsko.</w:t>
      </w:r>
    </w:p>
    <w:p w14:paraId="44DF0D11" w14:textId="369810BD" w:rsidR="005C6494" w:rsidRDefault="005C6494" w:rsidP="00A626EA">
      <w:pPr>
        <w:jc w:val="both"/>
        <w:rPr>
          <w:rFonts w:asciiTheme="minorHAnsi" w:hAnsiTheme="minorHAnsi" w:cstheme="minorHAnsi"/>
          <w:sz w:val="22"/>
        </w:rPr>
      </w:pPr>
    </w:p>
    <w:p w14:paraId="2D01FCED" w14:textId="5F44F116" w:rsidR="00BA36F5" w:rsidRDefault="00BA36F5" w:rsidP="00A626EA">
      <w:pPr>
        <w:jc w:val="both"/>
        <w:rPr>
          <w:rFonts w:asciiTheme="minorHAnsi" w:hAnsiTheme="minorHAnsi" w:cstheme="minorHAnsi"/>
          <w:sz w:val="22"/>
        </w:rPr>
      </w:pPr>
    </w:p>
    <w:p w14:paraId="4050DE79" w14:textId="18413155" w:rsidR="00BA36F5" w:rsidRDefault="00BA36F5" w:rsidP="00A626EA">
      <w:pPr>
        <w:jc w:val="both"/>
        <w:rPr>
          <w:rFonts w:asciiTheme="minorHAnsi" w:hAnsiTheme="minorHAnsi" w:cstheme="minorHAnsi"/>
          <w:sz w:val="22"/>
        </w:rPr>
      </w:pPr>
    </w:p>
    <w:p w14:paraId="4269A81E" w14:textId="77777777" w:rsidR="00A94993" w:rsidRDefault="00A94993" w:rsidP="00A626EA">
      <w:pPr>
        <w:jc w:val="both"/>
        <w:rPr>
          <w:rFonts w:asciiTheme="minorHAnsi" w:hAnsiTheme="minorHAnsi" w:cstheme="minorHAnsi"/>
          <w:sz w:val="22"/>
        </w:rPr>
      </w:pPr>
    </w:p>
    <w:p w14:paraId="7973A1A5" w14:textId="63951995" w:rsidR="005C6494" w:rsidRPr="002942B3" w:rsidRDefault="002942B3" w:rsidP="00A626EA">
      <w:pPr>
        <w:jc w:val="both"/>
        <w:rPr>
          <w:rFonts w:asciiTheme="minorHAnsi" w:hAnsiTheme="minorHAnsi" w:cstheme="minorHAnsi"/>
          <w:sz w:val="18"/>
        </w:rPr>
      </w:pPr>
      <w:r w:rsidRPr="00F13E27">
        <w:rPr>
          <w:rFonts w:asciiTheme="minorHAnsi" w:hAnsiTheme="minorHAnsi" w:cstheme="minorHAnsi"/>
          <w:b/>
          <w:sz w:val="18"/>
        </w:rPr>
        <w:t>Zdroj:</w:t>
      </w:r>
      <w:r w:rsidRPr="002942B3">
        <w:rPr>
          <w:rFonts w:asciiTheme="minorHAnsi" w:hAnsiTheme="minorHAnsi" w:cstheme="minorHAnsi"/>
          <w:sz w:val="18"/>
        </w:rPr>
        <w:t xml:space="preserve"> </w:t>
      </w:r>
      <w:r w:rsidR="00FD0FB0">
        <w:rPr>
          <w:rFonts w:asciiTheme="minorHAnsi" w:hAnsiTheme="minorHAnsi" w:cstheme="minorHAnsi"/>
          <w:sz w:val="18"/>
        </w:rPr>
        <w:t>a</w:t>
      </w:r>
      <w:r w:rsidRPr="002942B3">
        <w:rPr>
          <w:rFonts w:asciiTheme="minorHAnsi" w:hAnsiTheme="minorHAnsi" w:cstheme="minorHAnsi"/>
          <w:sz w:val="18"/>
        </w:rPr>
        <w:t>nalýza NKÚ ze zdrojů Českého statistického úřadu</w:t>
      </w:r>
      <w:r w:rsidR="00F13E27">
        <w:rPr>
          <w:rFonts w:asciiTheme="minorHAnsi" w:hAnsiTheme="minorHAnsi" w:cstheme="minorHAnsi"/>
          <w:sz w:val="18"/>
        </w:rPr>
        <w:t>.</w:t>
      </w:r>
    </w:p>
    <w:p w14:paraId="5F3D3DA8" w14:textId="5DB3C700" w:rsidR="00F16BF6" w:rsidRDefault="002646BF" w:rsidP="009944CD">
      <w:pPr>
        <w:ind w:left="-1418"/>
        <w:jc w:val="center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t>Graf č. 4</w:t>
      </w:r>
      <w:r w:rsidR="005C6494" w:rsidRPr="005738F8">
        <w:rPr>
          <w:rFonts w:asciiTheme="minorHAnsi" w:hAnsiTheme="minorHAnsi" w:cstheme="minorHAnsi"/>
          <w:b/>
        </w:rPr>
        <w:t xml:space="preserve"> </w:t>
      </w:r>
      <w:r w:rsidR="00FD0FB0">
        <w:rPr>
          <w:rFonts w:asciiTheme="minorHAnsi" w:hAnsiTheme="minorHAnsi" w:cstheme="minorHAnsi"/>
          <w:b/>
        </w:rPr>
        <w:t xml:space="preserve">– </w:t>
      </w:r>
      <w:r w:rsidR="005C6494" w:rsidRPr="005738F8">
        <w:rPr>
          <w:rFonts w:asciiTheme="minorHAnsi" w:hAnsiTheme="minorHAnsi" w:cstheme="minorHAnsi"/>
          <w:b/>
        </w:rPr>
        <w:t>Srovnání ČR s vybranými státy EU</w:t>
      </w:r>
    </w:p>
    <w:p w14:paraId="66B95E43" w14:textId="3AF311B6" w:rsidR="00B063C7" w:rsidRPr="00B063C7" w:rsidRDefault="009944CD" w:rsidP="00633D8A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6192" behindDoc="0" locked="0" layoutInCell="1" allowOverlap="1" wp14:anchorId="1C321B59" wp14:editId="36405A6E">
            <wp:simplePos x="0" y="0"/>
            <wp:positionH relativeFrom="column">
              <wp:posOffset>2328545</wp:posOffset>
            </wp:positionH>
            <wp:positionV relativeFrom="paragraph">
              <wp:posOffset>9525</wp:posOffset>
            </wp:positionV>
            <wp:extent cx="6877050" cy="2914015"/>
            <wp:effectExtent l="0" t="0" r="0" b="63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C7" w:rsidRPr="00B063C7">
        <w:rPr>
          <w:rFonts w:asciiTheme="minorHAnsi" w:hAnsiTheme="minorHAnsi" w:cstheme="minorHAnsi"/>
          <w:sz w:val="20"/>
        </w:rPr>
        <w:t>Nejvyšší podíl státních rozpočtových výdajů</w:t>
      </w:r>
      <w:r w:rsidR="00633D8A">
        <w:rPr>
          <w:rFonts w:asciiTheme="minorHAnsi" w:hAnsiTheme="minorHAnsi" w:cstheme="minorHAnsi"/>
          <w:sz w:val="20"/>
        </w:rPr>
        <w:t xml:space="preserve"> a dotac</w:t>
      </w:r>
      <w:r w:rsidR="00A94993">
        <w:rPr>
          <w:rFonts w:asciiTheme="minorHAnsi" w:hAnsiTheme="minorHAnsi" w:cstheme="minorHAnsi"/>
          <w:sz w:val="20"/>
        </w:rPr>
        <w:t>í</w:t>
      </w:r>
      <w:r w:rsidR="00B063C7" w:rsidRPr="00B063C7">
        <w:rPr>
          <w:rFonts w:asciiTheme="minorHAnsi" w:hAnsiTheme="minorHAnsi" w:cstheme="minorHAnsi"/>
          <w:sz w:val="20"/>
        </w:rPr>
        <w:t xml:space="preserve"> na VaV</w:t>
      </w:r>
      <w:r w:rsidR="00633D8A">
        <w:rPr>
          <w:rFonts w:asciiTheme="minorHAnsi" w:hAnsiTheme="minorHAnsi" w:cstheme="minorHAnsi"/>
          <w:sz w:val="20"/>
        </w:rPr>
        <w:t>aI</w:t>
      </w:r>
      <w:r w:rsidR="00B063C7" w:rsidRPr="00B063C7">
        <w:rPr>
          <w:rFonts w:asciiTheme="minorHAnsi" w:hAnsiTheme="minorHAnsi" w:cstheme="minorHAnsi"/>
          <w:sz w:val="20"/>
        </w:rPr>
        <w:t xml:space="preserve"> v</w:t>
      </w:r>
      <w:r w:rsidR="00C43AA2">
        <w:rPr>
          <w:rFonts w:asciiTheme="minorHAnsi" w:hAnsiTheme="minorHAnsi" w:cstheme="minorHAnsi"/>
          <w:sz w:val="20"/>
        </w:rPr>
        <w:t> </w:t>
      </w:r>
      <w:r w:rsidR="00B063C7" w:rsidRPr="00B063C7">
        <w:rPr>
          <w:rFonts w:asciiTheme="minorHAnsi" w:hAnsiTheme="minorHAnsi" w:cstheme="minorHAnsi"/>
          <w:sz w:val="20"/>
        </w:rPr>
        <w:t>poměru k HDP mělo z porovnávaných zemí EU Finsko (0,95 % na HDP).</w:t>
      </w:r>
      <w:r w:rsidR="00633D8A" w:rsidRPr="00633D8A">
        <w:rPr>
          <w:rFonts w:asciiTheme="minorHAnsi" w:hAnsiTheme="minorHAnsi" w:cstheme="minorHAnsi"/>
          <w:sz w:val="20"/>
        </w:rPr>
        <w:t xml:space="preserve"> </w:t>
      </w:r>
      <w:r w:rsidR="00633D8A">
        <w:rPr>
          <w:rFonts w:asciiTheme="minorHAnsi" w:hAnsiTheme="minorHAnsi" w:cstheme="minorHAnsi"/>
          <w:sz w:val="20"/>
        </w:rPr>
        <w:t xml:space="preserve">V </w:t>
      </w:r>
      <w:r w:rsidR="00633D8A" w:rsidRPr="00B063C7">
        <w:rPr>
          <w:rFonts w:asciiTheme="minorHAnsi" w:hAnsiTheme="minorHAnsi" w:cstheme="minorHAnsi"/>
          <w:sz w:val="20"/>
        </w:rPr>
        <w:t xml:space="preserve">ČR v roce 2014 dosáhl </w:t>
      </w:r>
      <w:r w:rsidR="00633D8A">
        <w:rPr>
          <w:rFonts w:asciiTheme="minorHAnsi" w:hAnsiTheme="minorHAnsi" w:cstheme="minorHAnsi"/>
          <w:sz w:val="20"/>
        </w:rPr>
        <w:t xml:space="preserve">tento </w:t>
      </w:r>
      <w:r w:rsidR="00633D8A" w:rsidRPr="00B063C7">
        <w:rPr>
          <w:rFonts w:asciiTheme="minorHAnsi" w:hAnsiTheme="minorHAnsi" w:cstheme="minorHAnsi"/>
          <w:sz w:val="20"/>
        </w:rPr>
        <w:t>podíl 0,64 % na HDP, zatímco</w:t>
      </w:r>
      <w:r w:rsidR="00A94993">
        <w:rPr>
          <w:rFonts w:asciiTheme="minorHAnsi" w:hAnsiTheme="minorHAnsi" w:cstheme="minorHAnsi"/>
          <w:sz w:val="20"/>
        </w:rPr>
        <w:t xml:space="preserve"> </w:t>
      </w:r>
      <w:r w:rsidR="00633D8A" w:rsidRPr="00B063C7">
        <w:rPr>
          <w:rFonts w:asciiTheme="minorHAnsi" w:hAnsiTheme="minorHAnsi" w:cstheme="minorHAnsi"/>
          <w:sz w:val="20"/>
        </w:rPr>
        <w:t>průměr za EU28 činil 0,67 % na HDP.</w:t>
      </w:r>
    </w:p>
    <w:p w14:paraId="7062242D" w14:textId="6E8AE9B4" w:rsidR="002942B3" w:rsidRDefault="00B063C7" w:rsidP="002942B3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sz w:val="20"/>
        </w:rPr>
      </w:pPr>
      <w:r w:rsidRPr="00B063C7">
        <w:rPr>
          <w:rFonts w:asciiTheme="minorHAnsi" w:hAnsiTheme="minorHAnsi" w:cstheme="minorHAnsi"/>
          <w:sz w:val="20"/>
        </w:rPr>
        <w:t>V letech 2013 a 2014 narůstaly celkové výdaje na výzkum a vývoj v České republice. Na nárůstu výdajů na VaV</w:t>
      </w:r>
      <w:r w:rsidR="000C113C">
        <w:rPr>
          <w:rFonts w:asciiTheme="minorHAnsi" w:hAnsiTheme="minorHAnsi" w:cstheme="minorHAnsi"/>
          <w:sz w:val="20"/>
        </w:rPr>
        <w:t>aI</w:t>
      </w:r>
      <w:r w:rsidRPr="00B063C7">
        <w:rPr>
          <w:rFonts w:asciiTheme="minorHAnsi" w:hAnsiTheme="minorHAnsi" w:cstheme="minorHAnsi"/>
          <w:sz w:val="20"/>
        </w:rPr>
        <w:t xml:space="preserve"> se v posledních dvou letech podílel především podnikatelský sektor</w:t>
      </w:r>
      <w:r w:rsidRPr="007C21D7">
        <w:rPr>
          <w:rFonts w:asciiTheme="minorHAnsi" w:hAnsiTheme="minorHAnsi" w:cstheme="minorHAnsi"/>
          <w:sz w:val="20"/>
        </w:rPr>
        <w:t>.</w:t>
      </w:r>
      <w:r w:rsidRPr="00B063C7">
        <w:rPr>
          <w:rFonts w:asciiTheme="minorHAnsi" w:hAnsiTheme="minorHAnsi" w:cstheme="minorHAnsi"/>
          <w:sz w:val="20"/>
        </w:rPr>
        <w:t xml:space="preserve"> V roce 2014 se Česká republika (s hodnotou 2,0 % na HDP) poprvé dostala téměř na úroveň průměru Evropské unie (2,03 % na HDP). Ze srovnávaných zemí dosahuje úrovně více </w:t>
      </w:r>
      <w:r w:rsidR="002942B3">
        <w:rPr>
          <w:rFonts w:asciiTheme="minorHAnsi" w:hAnsiTheme="minorHAnsi" w:cstheme="minorHAnsi"/>
          <w:sz w:val="20"/>
        </w:rPr>
        <w:t>než 3 % pouze Finsko a</w:t>
      </w:r>
      <w:r w:rsidR="00C43AA2">
        <w:rPr>
          <w:rFonts w:asciiTheme="minorHAnsi" w:hAnsiTheme="minorHAnsi" w:cstheme="minorHAnsi"/>
          <w:sz w:val="20"/>
        </w:rPr>
        <w:t> </w:t>
      </w:r>
      <w:r w:rsidR="002942B3">
        <w:rPr>
          <w:rFonts w:asciiTheme="minorHAnsi" w:hAnsiTheme="minorHAnsi" w:cstheme="minorHAnsi"/>
          <w:sz w:val="20"/>
        </w:rPr>
        <w:t>Švédsko.</w:t>
      </w:r>
    </w:p>
    <w:p w14:paraId="0012CB83" w14:textId="77777777" w:rsidR="0073541E" w:rsidRDefault="0073541E" w:rsidP="005D70FF">
      <w:pPr>
        <w:pStyle w:val="Odstavecseseznamem"/>
        <w:ind w:left="0"/>
        <w:jc w:val="both"/>
        <w:rPr>
          <w:rFonts w:asciiTheme="minorHAnsi" w:hAnsiTheme="minorHAnsi" w:cstheme="minorHAnsi"/>
          <w:sz w:val="20"/>
        </w:rPr>
      </w:pPr>
    </w:p>
    <w:p w14:paraId="6C160920" w14:textId="77777777" w:rsidR="0073541E" w:rsidRDefault="0073541E" w:rsidP="005D70FF">
      <w:pPr>
        <w:pStyle w:val="Odstavecseseznamem"/>
        <w:ind w:left="0"/>
        <w:jc w:val="both"/>
        <w:rPr>
          <w:rFonts w:asciiTheme="minorHAnsi" w:hAnsiTheme="minorHAnsi" w:cstheme="minorHAnsi"/>
          <w:sz w:val="20"/>
        </w:rPr>
      </w:pPr>
    </w:p>
    <w:p w14:paraId="5DEECF95" w14:textId="61DDE25F" w:rsidR="002942B3" w:rsidRDefault="0073541E" w:rsidP="009944CD">
      <w:pPr>
        <w:ind w:left="-1418"/>
        <w:jc w:val="center"/>
        <w:rPr>
          <w:rFonts w:asciiTheme="minorHAnsi" w:hAnsiTheme="minorHAnsi" w:cstheme="minorHAnsi"/>
          <w:sz w:val="22"/>
        </w:rPr>
      </w:pPr>
      <w:r w:rsidRPr="00F13E27">
        <w:rPr>
          <w:rFonts w:asciiTheme="minorHAnsi" w:hAnsiTheme="minorHAnsi" w:cstheme="minorHAnsi"/>
          <w:b/>
          <w:sz w:val="18"/>
        </w:rPr>
        <w:t>Zdroj:</w:t>
      </w:r>
      <w:r w:rsidRPr="002942B3">
        <w:rPr>
          <w:rFonts w:asciiTheme="minorHAnsi" w:hAnsiTheme="minorHAnsi" w:cstheme="minorHAnsi"/>
          <w:sz w:val="18"/>
        </w:rPr>
        <w:t xml:space="preserve"> </w:t>
      </w:r>
      <w:r w:rsidR="00A94993">
        <w:rPr>
          <w:rFonts w:asciiTheme="minorHAnsi" w:hAnsiTheme="minorHAnsi" w:cstheme="minorHAnsi"/>
          <w:sz w:val="18"/>
        </w:rPr>
        <w:t>a</w:t>
      </w:r>
      <w:r w:rsidRPr="002942B3">
        <w:rPr>
          <w:rFonts w:asciiTheme="minorHAnsi" w:hAnsiTheme="minorHAnsi" w:cstheme="minorHAnsi"/>
          <w:sz w:val="18"/>
        </w:rPr>
        <w:t xml:space="preserve">nalýza NKÚ </w:t>
      </w:r>
      <w:r w:rsidR="00F16BF6">
        <w:rPr>
          <w:rFonts w:asciiTheme="minorHAnsi" w:hAnsiTheme="minorHAnsi" w:cstheme="minorHAnsi"/>
          <w:sz w:val="18"/>
        </w:rPr>
        <w:t xml:space="preserve">ze zdrojů Českého statistického </w:t>
      </w:r>
      <w:r w:rsidRPr="002942B3">
        <w:rPr>
          <w:rFonts w:asciiTheme="minorHAnsi" w:hAnsiTheme="minorHAnsi" w:cstheme="minorHAnsi"/>
          <w:sz w:val="18"/>
        </w:rPr>
        <w:t>úřadu</w:t>
      </w:r>
      <w:r w:rsidR="00F13E27">
        <w:rPr>
          <w:rFonts w:asciiTheme="minorHAnsi" w:hAnsiTheme="minorHAnsi" w:cstheme="minorHAnsi"/>
          <w:sz w:val="18"/>
        </w:rPr>
        <w:t>.</w:t>
      </w:r>
    </w:p>
    <w:p w14:paraId="6EFFFFE4" w14:textId="77777777" w:rsidR="00F16BF6" w:rsidRDefault="00F16BF6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2"/>
        </w:rPr>
        <w:sectPr w:rsidR="00F16BF6" w:rsidSect="005738F8">
          <w:pgSz w:w="16839" w:h="11907" w:orient="landscape" w:code="9"/>
          <w:pgMar w:top="1418" w:right="1418" w:bottom="993" w:left="1418" w:header="851" w:footer="567" w:gutter="0"/>
          <w:cols w:space="708"/>
          <w:titlePg/>
          <w:docGrid w:linePitch="360"/>
        </w:sectPr>
      </w:pPr>
    </w:p>
    <w:p w14:paraId="2D9E81B7" w14:textId="4F9BD1C9" w:rsidR="00633D8A" w:rsidRPr="005738F8" w:rsidRDefault="00F9438F" w:rsidP="00633D8A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A626EA">
        <w:rPr>
          <w:rFonts w:asciiTheme="minorHAnsi" w:hAnsiTheme="minorHAnsi" w:cstheme="minorHAnsi"/>
          <w:noProof/>
          <w:sz w:val="22"/>
        </w:rPr>
        <w:lastRenderedPageBreak/>
        <w:drawing>
          <wp:anchor distT="0" distB="0" distL="114300" distR="114300" simplePos="0" relativeHeight="251658752" behindDoc="0" locked="0" layoutInCell="1" allowOverlap="1" wp14:anchorId="24C05A85" wp14:editId="5DDA112A">
            <wp:simplePos x="0" y="0"/>
            <wp:positionH relativeFrom="column">
              <wp:posOffset>-12700</wp:posOffset>
            </wp:positionH>
            <wp:positionV relativeFrom="paragraph">
              <wp:posOffset>251460</wp:posOffset>
            </wp:positionV>
            <wp:extent cx="3514725" cy="2380615"/>
            <wp:effectExtent l="19050" t="19050" r="28575" b="1968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9"/>
                    <a:stretch/>
                  </pic:blipFill>
                  <pic:spPr bwMode="auto">
                    <a:xfrm>
                      <a:off x="0" y="0"/>
                      <a:ext cx="3514725" cy="238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6BF" w:rsidRPr="005738F8">
        <w:rPr>
          <w:rFonts w:asciiTheme="minorHAnsi" w:hAnsiTheme="minorHAnsi" w:cstheme="minorHAnsi"/>
          <w:b/>
        </w:rPr>
        <w:t xml:space="preserve">Graf č. 5 </w:t>
      </w:r>
      <w:r w:rsidR="00E56132">
        <w:rPr>
          <w:rFonts w:asciiTheme="minorHAnsi" w:hAnsiTheme="minorHAnsi" w:cstheme="minorHAnsi"/>
          <w:b/>
        </w:rPr>
        <w:t xml:space="preserve">– </w:t>
      </w:r>
      <w:r w:rsidR="002646BF" w:rsidRPr="005738F8">
        <w:rPr>
          <w:rFonts w:asciiTheme="minorHAnsi" w:hAnsiTheme="minorHAnsi" w:cstheme="minorHAnsi"/>
          <w:b/>
        </w:rPr>
        <w:t>Státní rozpočtové výdaje a dotace na VaVaI</w:t>
      </w:r>
    </w:p>
    <w:p w14:paraId="34E30340" w14:textId="53DC3EFD" w:rsidR="00B93F38" w:rsidRDefault="00931762" w:rsidP="005D70FF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A626EA">
        <w:rPr>
          <w:rFonts w:asciiTheme="minorHAnsi" w:hAnsiTheme="minorHAnsi" w:cstheme="minorHAnsi"/>
          <w:sz w:val="22"/>
        </w:rPr>
        <w:t xml:space="preserve">Z tohoto grafu je patrné, že Česká republika se v oblasti </w:t>
      </w:r>
      <w:r w:rsidR="002646BF">
        <w:rPr>
          <w:rFonts w:asciiTheme="minorHAnsi" w:hAnsiTheme="minorHAnsi" w:cstheme="minorHAnsi"/>
          <w:sz w:val="22"/>
        </w:rPr>
        <w:t xml:space="preserve">státních rozpočtových </w:t>
      </w:r>
      <w:r w:rsidRPr="00A626EA">
        <w:rPr>
          <w:rFonts w:asciiTheme="minorHAnsi" w:hAnsiTheme="minorHAnsi" w:cstheme="minorHAnsi"/>
          <w:sz w:val="22"/>
        </w:rPr>
        <w:t>výdajů</w:t>
      </w:r>
      <w:r w:rsidR="002646BF">
        <w:rPr>
          <w:rFonts w:asciiTheme="minorHAnsi" w:hAnsiTheme="minorHAnsi" w:cstheme="minorHAnsi"/>
          <w:sz w:val="22"/>
        </w:rPr>
        <w:t xml:space="preserve"> a dotací</w:t>
      </w:r>
      <w:r w:rsidRPr="00A626EA">
        <w:rPr>
          <w:rFonts w:asciiTheme="minorHAnsi" w:hAnsiTheme="minorHAnsi" w:cstheme="minorHAnsi"/>
          <w:sz w:val="22"/>
        </w:rPr>
        <w:t xml:space="preserve"> na VaV</w:t>
      </w:r>
      <w:r w:rsidR="00A01F02">
        <w:rPr>
          <w:rFonts w:asciiTheme="minorHAnsi" w:hAnsiTheme="minorHAnsi" w:cstheme="minorHAnsi"/>
          <w:sz w:val="22"/>
        </w:rPr>
        <w:t>aI</w:t>
      </w:r>
      <w:r w:rsidRPr="00A626EA">
        <w:rPr>
          <w:rFonts w:asciiTheme="minorHAnsi" w:hAnsiTheme="minorHAnsi" w:cstheme="minorHAnsi"/>
          <w:sz w:val="22"/>
        </w:rPr>
        <w:t xml:space="preserve"> v roce 2013 a 2014 dostala téměř na úroveň průměru Evropské unie. Zajímavé je i srovnání České republiky s Belgií. Česká republika v roce 2010 za Belgií </w:t>
      </w:r>
      <w:r w:rsidR="00E33AB2" w:rsidRPr="00A626EA">
        <w:rPr>
          <w:rFonts w:asciiTheme="minorHAnsi" w:hAnsiTheme="minorHAnsi" w:cstheme="minorHAnsi"/>
          <w:sz w:val="22"/>
        </w:rPr>
        <w:t>z</w:t>
      </w:r>
      <w:r w:rsidR="005C6494">
        <w:rPr>
          <w:rFonts w:asciiTheme="minorHAnsi" w:hAnsiTheme="minorHAnsi" w:cstheme="minorHAnsi"/>
          <w:sz w:val="22"/>
        </w:rPr>
        <w:t>aostávala. V letech 2011</w:t>
      </w:r>
      <w:r w:rsidR="004137CB">
        <w:rPr>
          <w:rFonts w:asciiTheme="minorHAnsi" w:hAnsiTheme="minorHAnsi" w:cstheme="minorHAnsi"/>
          <w:sz w:val="22"/>
        </w:rPr>
        <w:t>–</w:t>
      </w:r>
      <w:r w:rsidR="005C6494">
        <w:rPr>
          <w:rFonts w:asciiTheme="minorHAnsi" w:hAnsiTheme="minorHAnsi" w:cstheme="minorHAnsi"/>
          <w:sz w:val="22"/>
        </w:rPr>
        <w:t>2013 ji</w:t>
      </w:r>
      <w:r w:rsidR="00E33AB2" w:rsidRPr="00A626EA">
        <w:rPr>
          <w:rFonts w:asciiTheme="minorHAnsi" w:hAnsiTheme="minorHAnsi" w:cstheme="minorHAnsi"/>
          <w:sz w:val="22"/>
        </w:rPr>
        <w:t xml:space="preserve"> dokonce překonala a</w:t>
      </w:r>
      <w:r w:rsidR="00CA5201">
        <w:rPr>
          <w:rFonts w:asciiTheme="minorHAnsi" w:hAnsiTheme="minorHAnsi" w:cstheme="minorHAnsi"/>
          <w:sz w:val="22"/>
        </w:rPr>
        <w:t> </w:t>
      </w:r>
      <w:r w:rsidR="00E33AB2" w:rsidRPr="00A626EA">
        <w:rPr>
          <w:rFonts w:asciiTheme="minorHAnsi" w:hAnsiTheme="minorHAnsi" w:cstheme="minorHAnsi"/>
          <w:sz w:val="22"/>
        </w:rPr>
        <w:t xml:space="preserve">v roce 2014 </w:t>
      </w:r>
      <w:r w:rsidR="00A01F02">
        <w:rPr>
          <w:rFonts w:asciiTheme="minorHAnsi" w:hAnsiTheme="minorHAnsi" w:cstheme="minorHAnsi"/>
          <w:sz w:val="22"/>
        </w:rPr>
        <w:t>byly</w:t>
      </w:r>
      <w:r w:rsidR="00E33AB2" w:rsidRPr="00A626EA">
        <w:rPr>
          <w:rFonts w:asciiTheme="minorHAnsi" w:hAnsiTheme="minorHAnsi" w:cstheme="minorHAnsi"/>
          <w:sz w:val="22"/>
        </w:rPr>
        <w:t xml:space="preserve"> hodnoty vládních výdajů na VaV</w:t>
      </w:r>
      <w:r w:rsidR="00A01F02">
        <w:rPr>
          <w:rFonts w:asciiTheme="minorHAnsi" w:hAnsiTheme="minorHAnsi" w:cstheme="minorHAnsi"/>
          <w:sz w:val="22"/>
        </w:rPr>
        <w:t>aI</w:t>
      </w:r>
      <w:r w:rsidR="00E33AB2" w:rsidRPr="00A626EA">
        <w:rPr>
          <w:rFonts w:asciiTheme="minorHAnsi" w:hAnsiTheme="minorHAnsi" w:cstheme="minorHAnsi"/>
          <w:sz w:val="22"/>
        </w:rPr>
        <w:t xml:space="preserve"> těchto dvou zemí téměř</w:t>
      </w:r>
      <w:r w:rsidR="00183FDB" w:rsidRPr="00A626EA">
        <w:rPr>
          <w:rFonts w:asciiTheme="minorHAnsi" w:hAnsiTheme="minorHAnsi" w:cstheme="minorHAnsi"/>
          <w:sz w:val="22"/>
        </w:rPr>
        <w:t xml:space="preserve"> totožné.</w:t>
      </w:r>
      <w:r w:rsidR="00183FDB">
        <w:rPr>
          <w:rFonts w:asciiTheme="minorHAnsi" w:hAnsiTheme="minorHAnsi" w:cstheme="minorHAnsi"/>
          <w:sz w:val="22"/>
        </w:rPr>
        <w:t xml:space="preserve"> </w:t>
      </w:r>
    </w:p>
    <w:p w14:paraId="040089D1" w14:textId="77777777" w:rsidR="00183FDB" w:rsidRDefault="00183FDB" w:rsidP="00F9438F">
      <w:pPr>
        <w:spacing w:after="40" w:line="264" w:lineRule="auto"/>
        <w:ind w:left="624" w:hanging="624"/>
        <w:jc w:val="both"/>
        <w:rPr>
          <w:rFonts w:asciiTheme="minorHAnsi" w:hAnsiTheme="minorHAnsi" w:cstheme="minorHAnsi"/>
          <w:sz w:val="22"/>
        </w:rPr>
      </w:pPr>
    </w:p>
    <w:p w14:paraId="4334E56B" w14:textId="43696253" w:rsidR="00317B2B" w:rsidRPr="005738F8" w:rsidRDefault="00524095" w:rsidP="0073541E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8F8">
        <w:rPr>
          <w:rFonts w:asciiTheme="minorHAnsi" w:hAnsiTheme="minorHAnsi" w:cstheme="minorHAnsi"/>
          <w:b/>
          <w:sz w:val="20"/>
          <w:szCs w:val="20"/>
        </w:rPr>
        <w:t>Zdroj:</w:t>
      </w:r>
      <w:r w:rsidRPr="005738F8">
        <w:rPr>
          <w:rFonts w:asciiTheme="minorHAnsi" w:hAnsiTheme="minorHAnsi" w:cstheme="minorHAnsi"/>
          <w:sz w:val="20"/>
          <w:szCs w:val="20"/>
        </w:rPr>
        <w:t xml:space="preserve"> </w:t>
      </w:r>
      <w:r w:rsidR="00E56132">
        <w:rPr>
          <w:rFonts w:asciiTheme="minorHAnsi" w:hAnsiTheme="minorHAnsi" w:cstheme="minorHAnsi"/>
          <w:sz w:val="20"/>
          <w:szCs w:val="20"/>
        </w:rPr>
        <w:t>d</w:t>
      </w:r>
      <w:r w:rsidR="00633D8A" w:rsidRPr="005738F8">
        <w:rPr>
          <w:rFonts w:asciiTheme="minorHAnsi" w:hAnsiTheme="minorHAnsi" w:cstheme="minorHAnsi"/>
          <w:sz w:val="20"/>
          <w:szCs w:val="20"/>
        </w:rPr>
        <w:t>ata Českého statistického úřadu</w:t>
      </w:r>
      <w:r w:rsidR="004137CB" w:rsidRPr="005738F8">
        <w:rPr>
          <w:rFonts w:asciiTheme="minorHAnsi" w:hAnsiTheme="minorHAnsi" w:cstheme="minorHAnsi"/>
          <w:sz w:val="20"/>
          <w:szCs w:val="20"/>
        </w:rPr>
        <w:t>.</w:t>
      </w:r>
    </w:p>
    <w:p w14:paraId="5F5210B6" w14:textId="77777777" w:rsidR="0073541E" w:rsidRPr="00524095" w:rsidRDefault="0073541E" w:rsidP="0073541E">
      <w:pPr>
        <w:spacing w:line="264" w:lineRule="auto"/>
        <w:jc w:val="both"/>
        <w:rPr>
          <w:rFonts w:asciiTheme="minorHAnsi" w:hAnsiTheme="minorHAnsi" w:cstheme="minorHAnsi"/>
          <w:sz w:val="18"/>
        </w:rPr>
      </w:pPr>
    </w:p>
    <w:p w14:paraId="6A5803F6" w14:textId="0F69E0C4" w:rsidR="00872A16" w:rsidRPr="005738F8" w:rsidRDefault="00E56132" w:rsidP="005D70FF">
      <w:pPr>
        <w:tabs>
          <w:tab w:val="left" w:pos="2977"/>
        </w:tabs>
        <w:spacing w:line="264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633D8A" w:rsidRPr="005738F8">
        <w:rPr>
          <w:rFonts w:asciiTheme="minorHAnsi" w:hAnsiTheme="minorHAnsi" w:cstheme="minorHAnsi"/>
          <w:b/>
        </w:rPr>
        <w:t xml:space="preserve">Graf č. </w:t>
      </w:r>
      <w:r w:rsidR="002646BF" w:rsidRPr="005738F8">
        <w:rPr>
          <w:rFonts w:asciiTheme="minorHAnsi" w:hAnsiTheme="minorHAnsi" w:cstheme="minorHAnsi"/>
          <w:b/>
        </w:rPr>
        <w:t>6</w:t>
      </w:r>
      <w:r w:rsidR="00633D8A" w:rsidRPr="005738F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="00633D8A" w:rsidRPr="005738F8">
        <w:rPr>
          <w:rFonts w:asciiTheme="minorHAnsi" w:hAnsiTheme="minorHAnsi" w:cstheme="minorHAnsi"/>
          <w:b/>
        </w:rPr>
        <w:t xml:space="preserve"> Celkové výdaje </w:t>
      </w:r>
      <w:r>
        <w:rPr>
          <w:rFonts w:asciiTheme="minorHAnsi" w:hAnsiTheme="minorHAnsi" w:cstheme="minorHAnsi"/>
          <w:b/>
        </w:rPr>
        <w:t>na</w:t>
      </w:r>
      <w:r w:rsidR="00633D8A" w:rsidRPr="005738F8">
        <w:rPr>
          <w:rFonts w:asciiTheme="minorHAnsi" w:hAnsiTheme="minorHAnsi" w:cstheme="minorHAnsi"/>
          <w:b/>
        </w:rPr>
        <w:t xml:space="preserve"> VaVaI v mezinárodním srovnání</w:t>
      </w:r>
    </w:p>
    <w:p w14:paraId="4D9CD925" w14:textId="1C09B57B" w:rsidR="00872A16" w:rsidRDefault="00317B2B" w:rsidP="00183FDB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6704" behindDoc="1" locked="0" layoutInCell="1" allowOverlap="1" wp14:anchorId="535E4DA8" wp14:editId="11D164FB">
            <wp:simplePos x="0" y="0"/>
            <wp:positionH relativeFrom="column">
              <wp:posOffset>2115724</wp:posOffset>
            </wp:positionH>
            <wp:positionV relativeFrom="paragraph">
              <wp:posOffset>39217</wp:posOffset>
            </wp:positionV>
            <wp:extent cx="3521085" cy="2128843"/>
            <wp:effectExtent l="19050" t="19050" r="22225" b="24130"/>
            <wp:wrapTight wrapText="bothSides">
              <wp:wrapPolygon edited="0">
                <wp:start x="-117" y="-193"/>
                <wp:lineTo x="-117" y="21652"/>
                <wp:lineTo x="21619" y="21652"/>
                <wp:lineTo x="21619" y="-193"/>
                <wp:lineTo x="-117" y="-193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" t="9414" r="613" b="1098"/>
                    <a:stretch/>
                  </pic:blipFill>
                  <pic:spPr bwMode="auto">
                    <a:xfrm>
                      <a:off x="0" y="0"/>
                      <a:ext cx="3521085" cy="212884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AB2" w:rsidRPr="00A626EA">
        <w:rPr>
          <w:rFonts w:asciiTheme="minorHAnsi" w:hAnsiTheme="minorHAnsi" w:cstheme="minorHAnsi"/>
          <w:sz w:val="22"/>
        </w:rPr>
        <w:t>Pokud jde o celkové výdaje na VaV</w:t>
      </w:r>
      <w:r w:rsidR="00A01F02">
        <w:rPr>
          <w:rFonts w:asciiTheme="minorHAnsi" w:hAnsiTheme="minorHAnsi" w:cstheme="minorHAnsi"/>
          <w:sz w:val="22"/>
        </w:rPr>
        <w:t>aI</w:t>
      </w:r>
      <w:r w:rsidR="00E33AB2" w:rsidRPr="00A626EA">
        <w:rPr>
          <w:rFonts w:asciiTheme="minorHAnsi" w:hAnsiTheme="minorHAnsi" w:cstheme="minorHAnsi"/>
          <w:sz w:val="22"/>
        </w:rPr>
        <w:t xml:space="preserve">, Česká republika od roku 2013 dosahuje téměř průměru Evropské unie, stejně jako Nizozemsko, které </w:t>
      </w:r>
      <w:r w:rsidR="00405793">
        <w:rPr>
          <w:rFonts w:asciiTheme="minorHAnsi" w:hAnsiTheme="minorHAnsi" w:cstheme="minorHAnsi"/>
          <w:sz w:val="22"/>
        </w:rPr>
        <w:t>bylo</w:t>
      </w:r>
      <w:r w:rsidR="00E33AB2" w:rsidRPr="00A626EA">
        <w:rPr>
          <w:rFonts w:asciiTheme="minorHAnsi" w:hAnsiTheme="minorHAnsi" w:cstheme="minorHAnsi"/>
          <w:sz w:val="22"/>
        </w:rPr>
        <w:t xml:space="preserve"> v roce 2014 lehce pod úrovní České republiky. Oproti tomu Belgie je již od roku 2010 nad tímto průměrem.</w:t>
      </w:r>
      <w:r w:rsidR="00E33AB2">
        <w:rPr>
          <w:rFonts w:asciiTheme="minorHAnsi" w:hAnsiTheme="minorHAnsi" w:cstheme="minorHAnsi"/>
          <w:sz w:val="22"/>
        </w:rPr>
        <w:t xml:space="preserve"> </w:t>
      </w:r>
    </w:p>
    <w:p w14:paraId="1543460C" w14:textId="77777777" w:rsidR="00183FDB" w:rsidRDefault="00183FDB" w:rsidP="00183FDB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50E2F986" w14:textId="77777777" w:rsidR="00183FDB" w:rsidRDefault="00183FDB" w:rsidP="00183FDB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464DF069" w14:textId="50604E87" w:rsidR="00633D8A" w:rsidRPr="005738F8" w:rsidRDefault="00405793" w:rsidP="00405793">
      <w:pPr>
        <w:tabs>
          <w:tab w:val="left" w:pos="3261"/>
        </w:tabs>
        <w:spacing w:before="200" w:line="26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</w:rPr>
        <w:tab/>
        <w:t xml:space="preserve"> </w:t>
      </w:r>
      <w:r w:rsidR="00524095" w:rsidRPr="005738F8">
        <w:rPr>
          <w:rFonts w:asciiTheme="minorHAnsi" w:hAnsiTheme="minorHAnsi" w:cstheme="minorHAnsi"/>
          <w:b/>
          <w:sz w:val="20"/>
          <w:szCs w:val="20"/>
        </w:rPr>
        <w:t>Zdroj:</w:t>
      </w:r>
      <w:r w:rsidR="00524095" w:rsidRPr="005738F8">
        <w:rPr>
          <w:rFonts w:asciiTheme="minorHAnsi" w:hAnsiTheme="minorHAnsi" w:cstheme="minorHAnsi"/>
          <w:sz w:val="20"/>
          <w:szCs w:val="20"/>
        </w:rPr>
        <w:t xml:space="preserve"> </w:t>
      </w:r>
      <w:r w:rsidR="00E56132">
        <w:rPr>
          <w:rFonts w:asciiTheme="minorHAnsi" w:hAnsiTheme="minorHAnsi" w:cstheme="minorHAnsi"/>
          <w:sz w:val="20"/>
          <w:szCs w:val="20"/>
        </w:rPr>
        <w:t>d</w:t>
      </w:r>
      <w:r w:rsidR="00633D8A" w:rsidRPr="005738F8">
        <w:rPr>
          <w:rFonts w:asciiTheme="minorHAnsi" w:hAnsiTheme="minorHAnsi" w:cstheme="minorHAnsi"/>
          <w:sz w:val="20"/>
          <w:szCs w:val="20"/>
        </w:rPr>
        <w:t>ata Českého statistického úřadu</w:t>
      </w:r>
      <w:r w:rsidR="004137CB" w:rsidRPr="005738F8">
        <w:rPr>
          <w:rFonts w:asciiTheme="minorHAnsi" w:hAnsiTheme="minorHAnsi" w:cstheme="minorHAnsi"/>
          <w:sz w:val="20"/>
          <w:szCs w:val="20"/>
        </w:rPr>
        <w:t>.</w:t>
      </w:r>
    </w:p>
    <w:p w14:paraId="370CD1F9" w14:textId="77777777" w:rsidR="00633D8A" w:rsidRPr="00633D8A" w:rsidRDefault="00633D8A" w:rsidP="00183FDB">
      <w:pPr>
        <w:spacing w:line="264" w:lineRule="auto"/>
        <w:jc w:val="both"/>
        <w:rPr>
          <w:rFonts w:asciiTheme="minorHAnsi" w:hAnsiTheme="minorHAnsi" w:cstheme="minorHAnsi"/>
          <w:sz w:val="14"/>
        </w:rPr>
      </w:pPr>
    </w:p>
    <w:p w14:paraId="01E01188" w14:textId="4FD02ABB" w:rsidR="00183FDB" w:rsidRPr="005738F8" w:rsidRDefault="002646BF" w:rsidP="00317B2B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t>Graf č. 7</w:t>
      </w:r>
      <w:r w:rsidR="00633D8A" w:rsidRPr="005738F8">
        <w:rPr>
          <w:rFonts w:asciiTheme="minorHAnsi" w:hAnsiTheme="minorHAnsi" w:cstheme="minorHAnsi"/>
          <w:b/>
        </w:rPr>
        <w:t xml:space="preserve"> </w:t>
      </w:r>
      <w:r w:rsidR="00405793">
        <w:rPr>
          <w:rFonts w:asciiTheme="minorHAnsi" w:hAnsiTheme="minorHAnsi" w:cstheme="minorHAnsi"/>
          <w:b/>
        </w:rPr>
        <w:t>– I</w:t>
      </w:r>
      <w:r w:rsidR="00405793" w:rsidRPr="005738F8">
        <w:rPr>
          <w:rFonts w:asciiTheme="minorHAnsi" w:hAnsiTheme="minorHAnsi" w:cstheme="minorHAnsi"/>
          <w:b/>
        </w:rPr>
        <w:t xml:space="preserve">ndikátor </w:t>
      </w:r>
      <w:r w:rsidR="00405793">
        <w:rPr>
          <w:rFonts w:asciiTheme="minorHAnsi" w:hAnsiTheme="minorHAnsi" w:cstheme="minorHAnsi"/>
          <w:b/>
        </w:rPr>
        <w:t>i</w:t>
      </w:r>
      <w:r w:rsidR="00633D8A" w:rsidRPr="005738F8">
        <w:rPr>
          <w:rFonts w:asciiTheme="minorHAnsi" w:hAnsiTheme="minorHAnsi" w:cstheme="minorHAnsi"/>
          <w:b/>
        </w:rPr>
        <w:t>novační vý</w:t>
      </w:r>
      <w:r w:rsidR="00317B2B" w:rsidRPr="005738F8">
        <w:rPr>
          <w:rFonts w:asciiTheme="minorHAnsi" w:hAnsiTheme="minorHAnsi" w:cstheme="minorHAnsi"/>
          <w:b/>
        </w:rPr>
        <w:t>konnosti v mezinárodním srovnání</w:t>
      </w:r>
    </w:p>
    <w:p w14:paraId="0C0D3A3E" w14:textId="16B958FA" w:rsidR="00872A16" w:rsidRDefault="00317B2B" w:rsidP="00E33AB2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2"/>
        </w:rPr>
      </w:pPr>
      <w:r w:rsidRPr="00A626E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4656" behindDoc="0" locked="0" layoutInCell="1" allowOverlap="1" wp14:anchorId="243EB142" wp14:editId="291BBA2A">
            <wp:simplePos x="0" y="0"/>
            <wp:positionH relativeFrom="column">
              <wp:posOffset>-13648</wp:posOffset>
            </wp:positionH>
            <wp:positionV relativeFrom="paragraph">
              <wp:posOffset>49833</wp:posOffset>
            </wp:positionV>
            <wp:extent cx="3568700" cy="2419350"/>
            <wp:effectExtent l="19050" t="19050" r="12700" b="1905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8" r="1121"/>
                    <a:stretch/>
                  </pic:blipFill>
                  <pic:spPr bwMode="auto">
                    <a:xfrm>
                      <a:off x="0" y="0"/>
                      <a:ext cx="3568700" cy="2419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FDB" w:rsidRPr="00A626EA">
        <w:rPr>
          <w:rFonts w:asciiTheme="minorHAnsi" w:hAnsiTheme="minorHAnsi" w:cstheme="minorHAnsi"/>
          <w:sz w:val="22"/>
        </w:rPr>
        <w:t>J</w:t>
      </w:r>
      <w:r w:rsidR="00E33AB2" w:rsidRPr="00A626EA">
        <w:rPr>
          <w:rFonts w:asciiTheme="minorHAnsi" w:hAnsiTheme="minorHAnsi" w:cstheme="minorHAnsi"/>
          <w:sz w:val="22"/>
        </w:rPr>
        <w:t>ak vyplývá z </w:t>
      </w:r>
      <w:r w:rsidR="00405793" w:rsidRPr="00A626EA">
        <w:rPr>
          <w:rFonts w:asciiTheme="minorHAnsi" w:hAnsiTheme="minorHAnsi" w:cstheme="minorHAnsi"/>
          <w:sz w:val="22"/>
        </w:rPr>
        <w:t xml:space="preserve">indikátoru </w:t>
      </w:r>
      <w:r w:rsidR="00E33AB2" w:rsidRPr="00A626EA">
        <w:rPr>
          <w:rFonts w:asciiTheme="minorHAnsi" w:hAnsiTheme="minorHAnsi" w:cstheme="minorHAnsi"/>
          <w:sz w:val="22"/>
        </w:rPr>
        <w:t xml:space="preserve">inovační výkonnosti, Česká republika výrazně zaostává za evropským průměrem, stejně tak </w:t>
      </w:r>
      <w:r w:rsidR="00405793">
        <w:rPr>
          <w:rFonts w:asciiTheme="minorHAnsi" w:hAnsiTheme="minorHAnsi" w:cstheme="minorHAnsi"/>
          <w:sz w:val="22"/>
        </w:rPr>
        <w:t xml:space="preserve">zaostává </w:t>
      </w:r>
      <w:r w:rsidR="00E33AB2" w:rsidRPr="00A626EA">
        <w:rPr>
          <w:rFonts w:asciiTheme="minorHAnsi" w:hAnsiTheme="minorHAnsi" w:cstheme="minorHAnsi"/>
          <w:sz w:val="22"/>
        </w:rPr>
        <w:t>za úrovní zemí</w:t>
      </w:r>
      <w:r w:rsidR="00405793">
        <w:rPr>
          <w:rFonts w:asciiTheme="minorHAnsi" w:hAnsiTheme="minorHAnsi" w:cstheme="minorHAnsi"/>
          <w:sz w:val="22"/>
        </w:rPr>
        <w:t>,</w:t>
      </w:r>
      <w:r w:rsidR="00E33AB2" w:rsidRPr="00A626EA">
        <w:rPr>
          <w:rFonts w:asciiTheme="minorHAnsi" w:hAnsiTheme="minorHAnsi" w:cstheme="minorHAnsi"/>
          <w:sz w:val="22"/>
        </w:rPr>
        <w:t xml:space="preserve"> jako </w:t>
      </w:r>
      <w:r w:rsidR="00405793">
        <w:rPr>
          <w:rFonts w:asciiTheme="minorHAnsi" w:hAnsiTheme="minorHAnsi" w:cstheme="minorHAnsi"/>
          <w:sz w:val="22"/>
        </w:rPr>
        <w:t>jsou</w:t>
      </w:r>
      <w:r w:rsidR="00E33AB2" w:rsidRPr="00A626EA">
        <w:rPr>
          <w:rFonts w:asciiTheme="minorHAnsi" w:hAnsiTheme="minorHAnsi" w:cstheme="minorHAnsi"/>
          <w:sz w:val="22"/>
        </w:rPr>
        <w:t xml:space="preserve"> Be</w:t>
      </w:r>
      <w:r w:rsidR="00183FDB" w:rsidRPr="00A626EA">
        <w:rPr>
          <w:rFonts w:asciiTheme="minorHAnsi" w:hAnsiTheme="minorHAnsi" w:cstheme="minorHAnsi"/>
          <w:sz w:val="22"/>
        </w:rPr>
        <w:t>lgie či Nizozemsko, se kterými měla srovnatelné hodnoty v oblasti celkových či vládních výdajů na VaV</w:t>
      </w:r>
      <w:r w:rsidR="00A01F02">
        <w:rPr>
          <w:rFonts w:asciiTheme="minorHAnsi" w:hAnsiTheme="minorHAnsi" w:cstheme="minorHAnsi"/>
          <w:sz w:val="22"/>
        </w:rPr>
        <w:t>aI</w:t>
      </w:r>
      <w:r w:rsidR="00183FDB" w:rsidRPr="00A626EA">
        <w:rPr>
          <w:rFonts w:asciiTheme="minorHAnsi" w:hAnsiTheme="minorHAnsi" w:cstheme="minorHAnsi"/>
          <w:sz w:val="22"/>
        </w:rPr>
        <w:t>.</w:t>
      </w:r>
      <w:r w:rsidR="00E33AB2">
        <w:rPr>
          <w:rFonts w:asciiTheme="minorHAnsi" w:hAnsiTheme="minorHAnsi" w:cstheme="minorHAnsi"/>
          <w:sz w:val="22"/>
        </w:rPr>
        <w:t xml:space="preserve"> </w:t>
      </w:r>
    </w:p>
    <w:p w14:paraId="728019F7" w14:textId="77777777" w:rsidR="00872A16" w:rsidRDefault="00872A16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2"/>
        </w:rPr>
      </w:pPr>
    </w:p>
    <w:p w14:paraId="37710777" w14:textId="77777777" w:rsidR="00633D8A" w:rsidRDefault="00633D8A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2"/>
        </w:rPr>
      </w:pPr>
    </w:p>
    <w:p w14:paraId="06383CC5" w14:textId="77777777" w:rsidR="00633D8A" w:rsidRDefault="00633D8A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2"/>
        </w:rPr>
      </w:pPr>
    </w:p>
    <w:p w14:paraId="3680118E" w14:textId="77777777" w:rsidR="00633D8A" w:rsidRDefault="00633D8A" w:rsidP="00633D8A">
      <w:pPr>
        <w:spacing w:line="264" w:lineRule="auto"/>
        <w:ind w:left="567" w:hanging="624"/>
        <w:jc w:val="right"/>
        <w:rPr>
          <w:rFonts w:asciiTheme="minorHAnsi" w:hAnsiTheme="minorHAnsi" w:cstheme="minorHAnsi"/>
          <w:sz w:val="18"/>
        </w:rPr>
      </w:pPr>
    </w:p>
    <w:p w14:paraId="6A2E5311" w14:textId="77777777" w:rsidR="00633D8A" w:rsidRDefault="00633D8A" w:rsidP="00633D8A">
      <w:pPr>
        <w:spacing w:line="264" w:lineRule="auto"/>
        <w:ind w:left="567" w:hanging="624"/>
        <w:jc w:val="right"/>
        <w:rPr>
          <w:rFonts w:asciiTheme="minorHAnsi" w:hAnsiTheme="minorHAnsi" w:cstheme="minorHAnsi"/>
          <w:sz w:val="18"/>
        </w:rPr>
      </w:pPr>
    </w:p>
    <w:p w14:paraId="0E35B541" w14:textId="77777777" w:rsidR="00633D8A" w:rsidRDefault="00633D8A" w:rsidP="00633D8A">
      <w:pPr>
        <w:spacing w:line="264" w:lineRule="auto"/>
        <w:ind w:left="567" w:hanging="624"/>
        <w:rPr>
          <w:rFonts w:asciiTheme="minorHAnsi" w:hAnsiTheme="minorHAnsi" w:cstheme="minorHAnsi"/>
          <w:sz w:val="18"/>
        </w:rPr>
      </w:pPr>
    </w:p>
    <w:p w14:paraId="3D773EAD" w14:textId="5F9734E0" w:rsidR="0073541E" w:rsidRDefault="00633D8A" w:rsidP="005738F8">
      <w:pPr>
        <w:spacing w:line="264" w:lineRule="auto"/>
        <w:ind w:left="567" w:hanging="624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  <w:sz w:val="20"/>
          <w:szCs w:val="20"/>
        </w:rPr>
        <w:t>Zdroj</w:t>
      </w:r>
      <w:r w:rsidR="00524095" w:rsidRPr="005738F8">
        <w:rPr>
          <w:rFonts w:asciiTheme="minorHAnsi" w:hAnsiTheme="minorHAnsi" w:cstheme="minorHAnsi"/>
          <w:b/>
          <w:sz w:val="20"/>
          <w:szCs w:val="20"/>
        </w:rPr>
        <w:t>:</w:t>
      </w:r>
      <w:r w:rsidR="00524095" w:rsidRPr="005738F8">
        <w:rPr>
          <w:rFonts w:asciiTheme="minorHAnsi" w:hAnsiTheme="minorHAnsi" w:cstheme="minorHAnsi"/>
          <w:sz w:val="20"/>
          <w:szCs w:val="20"/>
        </w:rPr>
        <w:t xml:space="preserve"> </w:t>
      </w:r>
      <w:r w:rsidR="00405793">
        <w:rPr>
          <w:rFonts w:asciiTheme="minorHAnsi" w:hAnsiTheme="minorHAnsi" w:cstheme="minorHAnsi"/>
          <w:sz w:val="20"/>
          <w:szCs w:val="20"/>
        </w:rPr>
        <w:t>d</w:t>
      </w:r>
      <w:r w:rsidRPr="005738F8">
        <w:rPr>
          <w:rFonts w:asciiTheme="minorHAnsi" w:hAnsiTheme="minorHAnsi" w:cstheme="minorHAnsi"/>
          <w:sz w:val="20"/>
          <w:szCs w:val="20"/>
        </w:rPr>
        <w:t>ata Českého statistického úřadu</w:t>
      </w:r>
      <w:r w:rsidR="004137CB" w:rsidRPr="005738F8">
        <w:rPr>
          <w:rFonts w:asciiTheme="minorHAnsi" w:hAnsiTheme="minorHAnsi" w:cstheme="minorHAnsi"/>
          <w:sz w:val="20"/>
          <w:szCs w:val="20"/>
        </w:rPr>
        <w:t>.</w:t>
      </w:r>
      <w:r w:rsidR="0073541E">
        <w:rPr>
          <w:rFonts w:asciiTheme="minorHAnsi" w:hAnsiTheme="minorHAnsi" w:cstheme="minorHAnsi"/>
          <w:b/>
        </w:rPr>
        <w:br w:type="page"/>
      </w:r>
    </w:p>
    <w:p w14:paraId="22AC584D" w14:textId="77777777" w:rsidR="002646BF" w:rsidRPr="002646BF" w:rsidRDefault="002646BF" w:rsidP="005738F8">
      <w:pPr>
        <w:spacing w:line="264" w:lineRule="auto"/>
        <w:ind w:left="624" w:hanging="624"/>
        <w:jc w:val="right"/>
        <w:rPr>
          <w:rFonts w:asciiTheme="minorHAnsi" w:hAnsiTheme="minorHAnsi" w:cstheme="minorHAnsi"/>
          <w:b/>
        </w:rPr>
      </w:pPr>
      <w:r w:rsidRPr="002646BF">
        <w:rPr>
          <w:rFonts w:asciiTheme="minorHAnsi" w:hAnsiTheme="minorHAnsi" w:cstheme="minorHAnsi"/>
          <w:b/>
        </w:rPr>
        <w:lastRenderedPageBreak/>
        <w:t>Příloha č. 3</w:t>
      </w:r>
    </w:p>
    <w:p w14:paraId="48C45990" w14:textId="77777777" w:rsidR="002646BF" w:rsidRDefault="002646BF" w:rsidP="002646BF">
      <w:pPr>
        <w:jc w:val="both"/>
        <w:rPr>
          <w:rFonts w:ascii="Calibri" w:hAnsi="Calibri" w:cs="Calibri"/>
        </w:rPr>
      </w:pPr>
    </w:p>
    <w:p w14:paraId="2FACD01E" w14:textId="4F2468B6" w:rsidR="002646BF" w:rsidRDefault="002646BF" w:rsidP="002646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 ČR si nechala zpracovat </w:t>
      </w:r>
      <w:r w:rsidRPr="009D7B65">
        <w:rPr>
          <w:rFonts w:ascii="Calibri" w:hAnsi="Calibri" w:cs="Calibri"/>
        </w:rPr>
        <w:t>Analýzu zahraničních zkušeností a vnějšího prostředí TA ČR</w:t>
      </w:r>
      <w:r>
        <w:rPr>
          <w:rFonts w:ascii="Calibri" w:hAnsi="Calibri" w:cs="Calibri"/>
        </w:rPr>
        <w:t>. Cílem bylo získání informací a podkladů o fungování vybraných zahraničních technologických agentur. K analýze byly vybrány agentury předních zemí Evropské unie v oblasti VaVaI.</w:t>
      </w:r>
    </w:p>
    <w:p w14:paraId="13B8CA78" w14:textId="77777777" w:rsidR="002646BF" w:rsidRDefault="002646BF" w:rsidP="002646BF">
      <w:pPr>
        <w:jc w:val="both"/>
        <w:rPr>
          <w:rFonts w:ascii="Calibri" w:hAnsi="Calibri" w:cs="Calibri"/>
        </w:rPr>
      </w:pPr>
    </w:p>
    <w:p w14:paraId="333C2095" w14:textId="46D46F35" w:rsidR="002646BF" w:rsidRDefault="00C449DD" w:rsidP="00C43AA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Analýza identifikovala např. tyto rozdíly:</w:t>
      </w:r>
    </w:p>
    <w:p w14:paraId="24BAB671" w14:textId="77777777" w:rsidR="002646BF" w:rsidRPr="00642520" w:rsidRDefault="002646BF" w:rsidP="002646B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42520">
        <w:rPr>
          <w:rFonts w:ascii="Calibri" w:hAnsi="Calibri" w:cs="Calibri"/>
        </w:rPr>
        <w:t xml:space="preserve">Řízení TA ČR je velmi centralizované. Předsednictvo TA ČR také plní úlohu výkonného orgánu, zatímco v zahraničních agenturách je tato činnost obvykle svěřena vedoucím pracovníkům jednotlivých oddělení. </w:t>
      </w:r>
    </w:p>
    <w:p w14:paraId="29F5DD60" w14:textId="74D48641" w:rsidR="002646BF" w:rsidRPr="00642520" w:rsidRDefault="00F074A5" w:rsidP="002646B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 </w:t>
      </w:r>
      <w:r w:rsidRPr="00642520">
        <w:rPr>
          <w:rFonts w:ascii="Calibri" w:hAnsi="Calibri" w:cs="Calibri"/>
        </w:rPr>
        <w:t xml:space="preserve">zahraničních agentur </w:t>
      </w:r>
      <w:r>
        <w:rPr>
          <w:rFonts w:ascii="Calibri" w:hAnsi="Calibri" w:cs="Calibri"/>
        </w:rPr>
        <w:t>je patrná s</w:t>
      </w:r>
      <w:r w:rsidR="002646BF" w:rsidRPr="00642520">
        <w:rPr>
          <w:rFonts w:ascii="Calibri" w:hAnsi="Calibri" w:cs="Calibri"/>
        </w:rPr>
        <w:t>naha o decentralizaci rozhodování o fina</w:t>
      </w:r>
      <w:r w:rsidR="004137CB">
        <w:rPr>
          <w:rFonts w:ascii="Calibri" w:hAnsi="Calibri" w:cs="Calibri"/>
        </w:rPr>
        <w:t>ncování jednotlivých projektů</w:t>
      </w:r>
      <w:r w:rsidR="002646BF" w:rsidRPr="00642520">
        <w:rPr>
          <w:rFonts w:ascii="Calibri" w:hAnsi="Calibri" w:cs="Calibri"/>
        </w:rPr>
        <w:t>.</w:t>
      </w:r>
    </w:p>
    <w:p w14:paraId="583A7AEC" w14:textId="489DC712" w:rsidR="002646BF" w:rsidRPr="00642520" w:rsidRDefault="002646BF" w:rsidP="002646B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42520">
        <w:rPr>
          <w:rFonts w:ascii="Calibri" w:hAnsi="Calibri" w:cs="Calibri"/>
        </w:rPr>
        <w:t>Financování projektů prostřednictvím i jiných nástrojů než dotací, např. půjček či záruk, zatímco TA ČR poskytuje finanční prostředky pouze prostřednictvím dotací.</w:t>
      </w:r>
    </w:p>
    <w:p w14:paraId="568AA1C6" w14:textId="77777777" w:rsidR="002646BF" w:rsidRPr="00642520" w:rsidRDefault="002646BF" w:rsidP="002646B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Jeden z </w:t>
      </w:r>
      <w:r w:rsidRPr="00642520">
        <w:rPr>
          <w:rFonts w:ascii="Calibri" w:hAnsi="Calibri" w:cs="Calibri"/>
        </w:rPr>
        <w:t>rozdíl</w:t>
      </w:r>
      <w:r>
        <w:rPr>
          <w:rFonts w:ascii="Calibri" w:hAnsi="Calibri" w:cs="Calibri"/>
        </w:rPr>
        <w:t>ů</w:t>
      </w:r>
      <w:r w:rsidRPr="00642520">
        <w:rPr>
          <w:rFonts w:ascii="Calibri" w:hAnsi="Calibri" w:cs="Calibri"/>
        </w:rPr>
        <w:t xml:space="preserve"> mezi TA ČR a zahraničními agentura</w:t>
      </w:r>
      <w:r>
        <w:rPr>
          <w:rFonts w:ascii="Calibri" w:hAnsi="Calibri" w:cs="Calibri"/>
        </w:rPr>
        <w:t>mi představuje nepodřízenost TA </w:t>
      </w:r>
      <w:r w:rsidRPr="00642520">
        <w:rPr>
          <w:rFonts w:ascii="Calibri" w:hAnsi="Calibri" w:cs="Calibri"/>
        </w:rPr>
        <w:t xml:space="preserve">ČR některému z ministerstev. </w:t>
      </w:r>
    </w:p>
    <w:p w14:paraId="1F6D144E" w14:textId="6B09481F" w:rsidR="002646BF" w:rsidRPr="00642520" w:rsidRDefault="002646BF" w:rsidP="002646B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42520">
        <w:rPr>
          <w:rFonts w:ascii="Calibri" w:hAnsi="Calibri" w:cs="Calibri"/>
        </w:rPr>
        <w:t>Značný rozdíl je i v personálním složení vrcholných orgánů TA ČR. V zahraničí jsou členy říd</w:t>
      </w:r>
      <w:r w:rsidR="00F074A5">
        <w:rPr>
          <w:rFonts w:ascii="Calibri" w:hAnsi="Calibri" w:cs="Calibri"/>
        </w:rPr>
        <w:t>i</w:t>
      </w:r>
      <w:r w:rsidRPr="00642520">
        <w:rPr>
          <w:rFonts w:ascii="Calibri" w:hAnsi="Calibri" w:cs="Calibri"/>
        </w:rPr>
        <w:t>cích orgánů (rad) často zástupci ministerstev, příp. odborníci z průmyslu, zatímco v</w:t>
      </w:r>
      <w:r w:rsidR="00F074A5">
        <w:rPr>
          <w:rFonts w:ascii="Calibri" w:hAnsi="Calibri" w:cs="Calibri"/>
        </w:rPr>
        <w:t> </w:t>
      </w:r>
      <w:r w:rsidRPr="00642520">
        <w:rPr>
          <w:rFonts w:ascii="Calibri" w:hAnsi="Calibri" w:cs="Calibri"/>
        </w:rPr>
        <w:t>TA</w:t>
      </w:r>
      <w:r w:rsidR="00F074A5">
        <w:rPr>
          <w:rFonts w:ascii="Calibri" w:hAnsi="Calibri" w:cs="Calibri"/>
        </w:rPr>
        <w:t> </w:t>
      </w:r>
      <w:r w:rsidRPr="00642520">
        <w:rPr>
          <w:rFonts w:ascii="Calibri" w:hAnsi="Calibri" w:cs="Calibri"/>
        </w:rPr>
        <w:t xml:space="preserve">ČR se jedná o odborníky jmenované vládou, často z akademického prostředí. </w:t>
      </w:r>
    </w:p>
    <w:p w14:paraId="36B0B2FA" w14:textId="77777777" w:rsidR="002646BF" w:rsidRDefault="002646BF" w:rsidP="002646BF">
      <w:pPr>
        <w:rPr>
          <w:rFonts w:asciiTheme="minorHAnsi" w:hAnsiTheme="minorHAnsi" w:cstheme="minorHAnsi"/>
        </w:rPr>
      </w:pPr>
    </w:p>
    <w:p w14:paraId="33CEF4F7" w14:textId="1BDB3C0E" w:rsidR="002646BF" w:rsidRPr="005738F8" w:rsidRDefault="002646BF" w:rsidP="002646BF">
      <w:pPr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t>Tabulka č. 4</w:t>
      </w:r>
      <w:r w:rsidR="00F074A5">
        <w:rPr>
          <w:rFonts w:asciiTheme="minorHAnsi" w:hAnsiTheme="minorHAnsi" w:cstheme="minorHAnsi"/>
          <w:b/>
        </w:rPr>
        <w:t xml:space="preserve"> –</w:t>
      </w:r>
      <w:r w:rsidRPr="005738F8">
        <w:rPr>
          <w:rFonts w:asciiTheme="minorHAnsi" w:hAnsiTheme="minorHAnsi" w:cstheme="minorHAnsi"/>
          <w:b/>
        </w:rPr>
        <w:t xml:space="preserve"> </w:t>
      </w:r>
      <w:r w:rsidR="004D3024">
        <w:rPr>
          <w:rFonts w:asciiTheme="minorHAnsi" w:hAnsiTheme="minorHAnsi" w:cstheme="minorHAnsi"/>
          <w:b/>
        </w:rPr>
        <w:t>Z</w:t>
      </w:r>
      <w:r w:rsidRPr="005738F8">
        <w:rPr>
          <w:rFonts w:asciiTheme="minorHAnsi" w:hAnsiTheme="minorHAnsi" w:cstheme="minorHAnsi"/>
          <w:b/>
        </w:rPr>
        <w:t>ákladní informac</w:t>
      </w:r>
      <w:r w:rsidR="004D3024">
        <w:rPr>
          <w:rFonts w:asciiTheme="minorHAnsi" w:hAnsiTheme="minorHAnsi" w:cstheme="minorHAnsi"/>
          <w:b/>
        </w:rPr>
        <w:t>e</w:t>
      </w:r>
      <w:r w:rsidRPr="005738F8">
        <w:rPr>
          <w:rFonts w:asciiTheme="minorHAnsi" w:hAnsiTheme="minorHAnsi" w:cstheme="minorHAnsi"/>
          <w:b/>
        </w:rPr>
        <w:t xml:space="preserve"> o </w:t>
      </w:r>
      <w:r w:rsidR="009D7B65">
        <w:rPr>
          <w:rFonts w:asciiTheme="minorHAnsi" w:hAnsiTheme="minorHAnsi" w:cstheme="minorHAnsi"/>
          <w:b/>
        </w:rPr>
        <w:t xml:space="preserve">vybraných </w:t>
      </w:r>
      <w:r w:rsidRPr="005738F8">
        <w:rPr>
          <w:rFonts w:asciiTheme="minorHAnsi" w:hAnsiTheme="minorHAnsi" w:cstheme="minorHAnsi"/>
          <w:b/>
        </w:rPr>
        <w:t>agenturách</w:t>
      </w:r>
    </w:p>
    <w:tbl>
      <w:tblPr>
        <w:tblStyle w:val="Mkatabulky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524"/>
        <w:gridCol w:w="1524"/>
        <w:gridCol w:w="1524"/>
        <w:gridCol w:w="1524"/>
        <w:gridCol w:w="1524"/>
      </w:tblGrid>
      <w:tr w:rsidR="002646BF" w:rsidRPr="00535250" w14:paraId="161D8E1E" w14:textId="77777777" w:rsidTr="005D70FF">
        <w:trPr>
          <w:cantSplit/>
          <w:trHeight w:val="227"/>
        </w:trPr>
        <w:tc>
          <w:tcPr>
            <w:tcW w:w="850" w:type="pct"/>
            <w:shd w:val="clear" w:color="auto" w:fill="B8CCE4" w:themeFill="accent1" w:themeFillTint="66"/>
          </w:tcPr>
          <w:p w14:paraId="259880E6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830" w:type="pct"/>
            <w:shd w:val="clear" w:color="auto" w:fill="B8CCE4" w:themeFill="accent1" w:themeFillTint="66"/>
            <w:noWrap/>
            <w:vAlign w:val="center"/>
            <w:hideMark/>
          </w:tcPr>
          <w:p w14:paraId="6695B0DF" w14:textId="449B9950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Finsko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 Tekes</w:t>
            </w:r>
          </w:p>
        </w:tc>
        <w:tc>
          <w:tcPr>
            <w:tcW w:w="830" w:type="pct"/>
            <w:shd w:val="clear" w:color="auto" w:fill="B8CCE4" w:themeFill="accent1" w:themeFillTint="66"/>
            <w:noWrap/>
            <w:vAlign w:val="center"/>
            <w:hideMark/>
          </w:tcPr>
          <w:p w14:paraId="17AF597E" w14:textId="20555CB1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Švédsko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 Vinnova</w:t>
            </w:r>
          </w:p>
        </w:tc>
        <w:tc>
          <w:tcPr>
            <w:tcW w:w="830" w:type="pct"/>
            <w:shd w:val="clear" w:color="auto" w:fill="B8CCE4" w:themeFill="accent1" w:themeFillTint="66"/>
            <w:noWrap/>
            <w:vAlign w:val="center"/>
            <w:hideMark/>
          </w:tcPr>
          <w:p w14:paraId="3D0901A1" w14:textId="05D1C8D9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Rakousko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 FFG</w:t>
            </w:r>
          </w:p>
        </w:tc>
        <w:tc>
          <w:tcPr>
            <w:tcW w:w="830" w:type="pct"/>
            <w:shd w:val="clear" w:color="auto" w:fill="B8CCE4" w:themeFill="accent1" w:themeFillTint="66"/>
            <w:noWrap/>
            <w:vAlign w:val="center"/>
            <w:hideMark/>
          </w:tcPr>
          <w:p w14:paraId="1D904293" w14:textId="5C12D870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Nizozemsko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 RVO</w:t>
            </w:r>
          </w:p>
        </w:tc>
        <w:tc>
          <w:tcPr>
            <w:tcW w:w="830" w:type="pct"/>
            <w:shd w:val="clear" w:color="auto" w:fill="B8CCE4" w:themeFill="accent1" w:themeFillTint="66"/>
            <w:noWrap/>
            <w:vAlign w:val="center"/>
            <w:hideMark/>
          </w:tcPr>
          <w:p w14:paraId="4256C703" w14:textId="5A0635F3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Česká republika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 TA ČR</w:t>
            </w:r>
          </w:p>
        </w:tc>
      </w:tr>
      <w:tr w:rsidR="002646BF" w:rsidRPr="00535250" w14:paraId="783D78DF" w14:textId="77777777" w:rsidTr="005D70FF">
        <w:trPr>
          <w:cantSplit/>
          <w:trHeight w:val="227"/>
        </w:trPr>
        <w:tc>
          <w:tcPr>
            <w:tcW w:w="850" w:type="pct"/>
            <w:shd w:val="clear" w:color="auto" w:fill="DBE5F1" w:themeFill="accent1" w:themeFillTint="33"/>
          </w:tcPr>
          <w:p w14:paraId="06E1C814" w14:textId="4564E273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Rozpočet</w:t>
            </w:r>
          </w:p>
        </w:tc>
        <w:tc>
          <w:tcPr>
            <w:tcW w:w="830" w:type="pct"/>
            <w:noWrap/>
            <w:vAlign w:val="center"/>
          </w:tcPr>
          <w:p w14:paraId="1EC55D11" w14:textId="50C45834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600 mil.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€ 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(2011)</w:t>
            </w:r>
          </w:p>
        </w:tc>
        <w:tc>
          <w:tcPr>
            <w:tcW w:w="830" w:type="pct"/>
            <w:noWrap/>
            <w:vAlign w:val="center"/>
          </w:tcPr>
          <w:p w14:paraId="149018B0" w14:textId="358880DC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220 mil.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€ 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(2011)</w:t>
            </w:r>
          </w:p>
        </w:tc>
        <w:tc>
          <w:tcPr>
            <w:tcW w:w="830" w:type="pct"/>
            <w:noWrap/>
            <w:vAlign w:val="center"/>
          </w:tcPr>
          <w:p w14:paraId="770FE4A9" w14:textId="1F91C03C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550 mil.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€ 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(2010)</w:t>
            </w:r>
          </w:p>
        </w:tc>
        <w:tc>
          <w:tcPr>
            <w:tcW w:w="830" w:type="pct"/>
            <w:noWrap/>
            <w:vAlign w:val="center"/>
          </w:tcPr>
          <w:p w14:paraId="37C42799" w14:textId="02E829A1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7 300 mil.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€ 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(2014)</w:t>
            </w:r>
          </w:p>
        </w:tc>
        <w:tc>
          <w:tcPr>
            <w:tcW w:w="830" w:type="pct"/>
            <w:noWrap/>
            <w:vAlign w:val="center"/>
          </w:tcPr>
          <w:p w14:paraId="7B2FEA53" w14:textId="1778AC64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108 mil.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€ 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(2014)</w:t>
            </w:r>
          </w:p>
        </w:tc>
      </w:tr>
      <w:tr w:rsidR="002646BF" w:rsidRPr="00535250" w14:paraId="2EA82B66" w14:textId="77777777" w:rsidTr="005D70FF">
        <w:trPr>
          <w:cantSplit/>
          <w:trHeight w:val="227"/>
        </w:trPr>
        <w:tc>
          <w:tcPr>
            <w:tcW w:w="850" w:type="pct"/>
            <w:shd w:val="clear" w:color="auto" w:fill="DBE5F1" w:themeFill="accent1" w:themeFillTint="33"/>
          </w:tcPr>
          <w:p w14:paraId="6952F3A0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Rozpočet na milion obyvatel</w:t>
            </w:r>
          </w:p>
        </w:tc>
        <w:tc>
          <w:tcPr>
            <w:tcW w:w="830" w:type="pct"/>
            <w:noWrap/>
            <w:vAlign w:val="center"/>
          </w:tcPr>
          <w:p w14:paraId="2E5941A1" w14:textId="291B35EA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110 mil.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 €</w:t>
            </w:r>
          </w:p>
        </w:tc>
        <w:tc>
          <w:tcPr>
            <w:tcW w:w="830" w:type="pct"/>
            <w:noWrap/>
            <w:vAlign w:val="center"/>
          </w:tcPr>
          <w:p w14:paraId="313784AC" w14:textId="52FF598C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24 mil.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 €</w:t>
            </w:r>
          </w:p>
        </w:tc>
        <w:tc>
          <w:tcPr>
            <w:tcW w:w="830" w:type="pct"/>
            <w:noWrap/>
            <w:vAlign w:val="center"/>
          </w:tcPr>
          <w:p w14:paraId="39E98364" w14:textId="2CF87724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65 mil.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 €</w:t>
            </w:r>
          </w:p>
        </w:tc>
        <w:tc>
          <w:tcPr>
            <w:tcW w:w="830" w:type="pct"/>
            <w:noWrap/>
            <w:vAlign w:val="center"/>
          </w:tcPr>
          <w:p w14:paraId="4E62630D" w14:textId="0F205935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435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 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mil.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 €</w:t>
            </w:r>
          </w:p>
        </w:tc>
        <w:tc>
          <w:tcPr>
            <w:tcW w:w="830" w:type="pct"/>
            <w:noWrap/>
            <w:vAlign w:val="center"/>
          </w:tcPr>
          <w:p w14:paraId="2F7ECDC1" w14:textId="670B062A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10 mil.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 xml:space="preserve"> €</w:t>
            </w:r>
          </w:p>
        </w:tc>
      </w:tr>
      <w:tr w:rsidR="002646BF" w:rsidRPr="00535250" w14:paraId="237BA6B2" w14:textId="77777777" w:rsidTr="005D70FF">
        <w:trPr>
          <w:cantSplit/>
          <w:trHeight w:val="227"/>
        </w:trPr>
        <w:tc>
          <w:tcPr>
            <w:tcW w:w="850" w:type="pct"/>
            <w:shd w:val="clear" w:color="auto" w:fill="DBE5F1" w:themeFill="accent1" w:themeFillTint="33"/>
          </w:tcPr>
          <w:p w14:paraId="0495AA12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Počet zaměstnanců</w:t>
            </w:r>
          </w:p>
        </w:tc>
        <w:tc>
          <w:tcPr>
            <w:tcW w:w="830" w:type="pct"/>
            <w:noWrap/>
            <w:vAlign w:val="center"/>
          </w:tcPr>
          <w:p w14:paraId="7CAA28FC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381 (2011)</w:t>
            </w:r>
          </w:p>
        </w:tc>
        <w:tc>
          <w:tcPr>
            <w:tcW w:w="830" w:type="pct"/>
            <w:noWrap/>
            <w:vAlign w:val="center"/>
          </w:tcPr>
          <w:p w14:paraId="26F35172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223 (2011)</w:t>
            </w:r>
          </w:p>
        </w:tc>
        <w:tc>
          <w:tcPr>
            <w:tcW w:w="830" w:type="pct"/>
            <w:noWrap/>
            <w:vAlign w:val="center"/>
          </w:tcPr>
          <w:p w14:paraId="5F884CAB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257 (2011)</w:t>
            </w:r>
          </w:p>
        </w:tc>
        <w:tc>
          <w:tcPr>
            <w:tcW w:w="830" w:type="pct"/>
            <w:noWrap/>
            <w:vAlign w:val="center"/>
          </w:tcPr>
          <w:p w14:paraId="0AF21630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2 650 (2014)</w:t>
            </w:r>
          </w:p>
        </w:tc>
        <w:tc>
          <w:tcPr>
            <w:tcW w:w="830" w:type="pct"/>
            <w:noWrap/>
            <w:vAlign w:val="center"/>
          </w:tcPr>
          <w:p w14:paraId="0449EFA8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52</w:t>
            </w:r>
          </w:p>
        </w:tc>
      </w:tr>
      <w:tr w:rsidR="002646BF" w:rsidRPr="00535250" w14:paraId="5F028338" w14:textId="77777777" w:rsidTr="005D70FF">
        <w:trPr>
          <w:cantSplit/>
          <w:trHeight w:val="227"/>
        </w:trPr>
        <w:tc>
          <w:tcPr>
            <w:tcW w:w="850" w:type="pct"/>
            <w:shd w:val="clear" w:color="auto" w:fill="DBE5F1" w:themeFill="accent1" w:themeFillTint="33"/>
          </w:tcPr>
          <w:p w14:paraId="59B6CA03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Prostředky z rozpočtu přímo alokované firmám</w:t>
            </w:r>
          </w:p>
        </w:tc>
        <w:tc>
          <w:tcPr>
            <w:tcW w:w="830" w:type="pct"/>
            <w:noWrap/>
            <w:vAlign w:val="center"/>
          </w:tcPr>
          <w:p w14:paraId="5470BCA4" w14:textId="4A5030F7" w:rsidR="002646BF" w:rsidRPr="00535250" w:rsidRDefault="004137CB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2"/>
              </w:rPr>
              <w:t>60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="002646BF" w:rsidRPr="00535250">
              <w:rPr>
                <w:rFonts w:asciiTheme="minorHAnsi" w:hAnsiTheme="minorHAnsi" w:cstheme="minorHAnsi"/>
                <w:sz w:val="16"/>
                <w:szCs w:val="12"/>
              </w:rPr>
              <w:t>65 %</w:t>
            </w:r>
          </w:p>
        </w:tc>
        <w:tc>
          <w:tcPr>
            <w:tcW w:w="830" w:type="pct"/>
            <w:noWrap/>
            <w:vAlign w:val="center"/>
          </w:tcPr>
          <w:p w14:paraId="0401BA78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30 %</w:t>
            </w:r>
          </w:p>
        </w:tc>
        <w:tc>
          <w:tcPr>
            <w:tcW w:w="830" w:type="pct"/>
            <w:noWrap/>
            <w:vAlign w:val="center"/>
          </w:tcPr>
          <w:p w14:paraId="515B4DBB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65 %</w:t>
            </w:r>
          </w:p>
        </w:tc>
        <w:tc>
          <w:tcPr>
            <w:tcW w:w="830" w:type="pct"/>
            <w:noWrap/>
            <w:vAlign w:val="center"/>
          </w:tcPr>
          <w:p w14:paraId="36C1EB5B" w14:textId="01734FBF" w:rsidR="002646BF" w:rsidRPr="00535250" w:rsidRDefault="00EA2ACB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2"/>
              </w:rPr>
              <w:t>N</w:t>
            </w:r>
            <w:r w:rsidR="002646BF" w:rsidRPr="00535250">
              <w:rPr>
                <w:rFonts w:asciiTheme="minorHAnsi" w:hAnsiTheme="minorHAnsi" w:cstheme="minorHAnsi"/>
                <w:sz w:val="16"/>
                <w:szCs w:val="12"/>
              </w:rPr>
              <w:t>edostupné</w:t>
            </w:r>
          </w:p>
        </w:tc>
        <w:tc>
          <w:tcPr>
            <w:tcW w:w="830" w:type="pct"/>
            <w:noWrap/>
            <w:vAlign w:val="center"/>
          </w:tcPr>
          <w:p w14:paraId="486ED587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46 %</w:t>
            </w:r>
          </w:p>
        </w:tc>
      </w:tr>
      <w:tr w:rsidR="002646BF" w:rsidRPr="00535250" w14:paraId="6FC77349" w14:textId="77777777" w:rsidTr="005D70FF">
        <w:trPr>
          <w:cantSplit/>
          <w:trHeight w:val="227"/>
        </w:trPr>
        <w:tc>
          <w:tcPr>
            <w:tcW w:w="850" w:type="pct"/>
            <w:shd w:val="clear" w:color="auto" w:fill="DBE5F1" w:themeFill="accent1" w:themeFillTint="33"/>
          </w:tcPr>
          <w:p w14:paraId="7E70D9C0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Podíl financování pro firmy s méně než 10 zaměstnanci</w:t>
            </w:r>
          </w:p>
        </w:tc>
        <w:tc>
          <w:tcPr>
            <w:tcW w:w="830" w:type="pct"/>
            <w:noWrap/>
            <w:vAlign w:val="center"/>
          </w:tcPr>
          <w:p w14:paraId="4A5E95DB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31 % </w:t>
            </w:r>
          </w:p>
          <w:p w14:paraId="29A7DD2F" w14:textId="77777777" w:rsidR="002646BF" w:rsidRPr="00535250" w:rsidRDefault="004137CB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2"/>
              </w:rPr>
              <w:t>(2007–</w:t>
            </w:r>
            <w:r w:rsidR="002646BF" w:rsidRPr="00535250">
              <w:rPr>
                <w:rFonts w:asciiTheme="minorHAnsi" w:hAnsiTheme="minorHAnsi" w:cstheme="minorHAnsi"/>
                <w:sz w:val="16"/>
                <w:szCs w:val="12"/>
              </w:rPr>
              <w:t>2010)</w:t>
            </w:r>
          </w:p>
        </w:tc>
        <w:tc>
          <w:tcPr>
            <w:tcW w:w="830" w:type="pct"/>
            <w:noWrap/>
            <w:vAlign w:val="center"/>
          </w:tcPr>
          <w:p w14:paraId="27DD19C2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Cca 25 % </w:t>
            </w:r>
          </w:p>
          <w:p w14:paraId="6831FE77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(odhad Vinnovy)</w:t>
            </w:r>
          </w:p>
        </w:tc>
        <w:tc>
          <w:tcPr>
            <w:tcW w:w="830" w:type="pct"/>
            <w:noWrap/>
            <w:vAlign w:val="center"/>
          </w:tcPr>
          <w:p w14:paraId="60FC1703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Cca 15 % </w:t>
            </w:r>
          </w:p>
          <w:p w14:paraId="420BAAA0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(odhad FFG)</w:t>
            </w:r>
          </w:p>
        </w:tc>
        <w:tc>
          <w:tcPr>
            <w:tcW w:w="830" w:type="pct"/>
            <w:noWrap/>
            <w:vAlign w:val="center"/>
          </w:tcPr>
          <w:p w14:paraId="549DA27A" w14:textId="3FC707F6" w:rsidR="002646BF" w:rsidRPr="00535250" w:rsidRDefault="00EA2ACB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2"/>
              </w:rPr>
              <w:t>N</w:t>
            </w:r>
            <w:r w:rsidR="002646BF" w:rsidRPr="00535250">
              <w:rPr>
                <w:rFonts w:asciiTheme="minorHAnsi" w:hAnsiTheme="minorHAnsi" w:cstheme="minorHAnsi"/>
                <w:sz w:val="16"/>
                <w:szCs w:val="12"/>
              </w:rPr>
              <w:t>edostupné</w:t>
            </w:r>
          </w:p>
        </w:tc>
        <w:tc>
          <w:tcPr>
            <w:tcW w:w="830" w:type="pct"/>
            <w:noWrap/>
            <w:vAlign w:val="center"/>
          </w:tcPr>
          <w:p w14:paraId="3E6F00CE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Cca 8 % </w:t>
            </w:r>
          </w:p>
          <w:p w14:paraId="437EBA8C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(odhad TA ČR)</w:t>
            </w:r>
          </w:p>
        </w:tc>
      </w:tr>
      <w:tr w:rsidR="002646BF" w:rsidRPr="00535250" w14:paraId="3A03A93B" w14:textId="77777777" w:rsidTr="005D70FF">
        <w:trPr>
          <w:cantSplit/>
          <w:trHeight w:val="227"/>
        </w:trPr>
        <w:tc>
          <w:tcPr>
            <w:tcW w:w="850" w:type="pct"/>
            <w:shd w:val="clear" w:color="auto" w:fill="DBE5F1" w:themeFill="accent1" w:themeFillTint="33"/>
          </w:tcPr>
          <w:p w14:paraId="519E9CF9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Podíl financování pro firmy s méně než 250 zaměstnanci</w:t>
            </w:r>
          </w:p>
        </w:tc>
        <w:tc>
          <w:tcPr>
            <w:tcW w:w="830" w:type="pct"/>
            <w:noWrap/>
            <w:vAlign w:val="center"/>
          </w:tcPr>
          <w:p w14:paraId="4CF8D433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65 % </w:t>
            </w:r>
          </w:p>
          <w:p w14:paraId="00F176E8" w14:textId="51893D56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(8 % pro 50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249)</w:t>
            </w:r>
          </w:p>
        </w:tc>
        <w:tc>
          <w:tcPr>
            <w:tcW w:w="830" w:type="pct"/>
            <w:noWrap/>
            <w:vAlign w:val="center"/>
          </w:tcPr>
          <w:p w14:paraId="4A6B559B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66 % </w:t>
            </w:r>
          </w:p>
          <w:p w14:paraId="12C00569" w14:textId="20DC92CF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(9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 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% 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pro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 50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249)</w:t>
            </w:r>
          </w:p>
        </w:tc>
        <w:tc>
          <w:tcPr>
            <w:tcW w:w="830" w:type="pct"/>
            <w:noWrap/>
            <w:vAlign w:val="center"/>
          </w:tcPr>
          <w:p w14:paraId="6B9C53E0" w14:textId="77777777" w:rsidR="002646BF" w:rsidRPr="00535250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46 %</w:t>
            </w:r>
          </w:p>
        </w:tc>
        <w:tc>
          <w:tcPr>
            <w:tcW w:w="830" w:type="pct"/>
            <w:noWrap/>
            <w:vAlign w:val="center"/>
          </w:tcPr>
          <w:p w14:paraId="674AA432" w14:textId="48F8DABA" w:rsidR="002646BF" w:rsidRPr="00535250" w:rsidRDefault="00EA2ACB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2"/>
              </w:rPr>
              <w:t>N</w:t>
            </w:r>
            <w:r w:rsidR="002646BF" w:rsidRPr="00535250">
              <w:rPr>
                <w:rFonts w:asciiTheme="minorHAnsi" w:hAnsiTheme="minorHAnsi" w:cstheme="minorHAnsi"/>
                <w:sz w:val="16"/>
                <w:szCs w:val="12"/>
              </w:rPr>
              <w:t>edostupné</w:t>
            </w:r>
          </w:p>
        </w:tc>
        <w:tc>
          <w:tcPr>
            <w:tcW w:w="830" w:type="pct"/>
            <w:noWrap/>
            <w:vAlign w:val="center"/>
          </w:tcPr>
          <w:p w14:paraId="3589FAB1" w14:textId="77777777" w:rsidR="002646BF" w:rsidRDefault="002646BF" w:rsidP="00BA36F5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 xml:space="preserve">27 % </w:t>
            </w:r>
          </w:p>
          <w:p w14:paraId="09631AB1" w14:textId="0DEBEF02" w:rsidR="002646BF" w:rsidRPr="00535250" w:rsidRDefault="002646BF" w:rsidP="00EA2ACB">
            <w:pPr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(12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 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% pro 50</w:t>
            </w:r>
            <w:r w:rsidR="00EA2ACB">
              <w:rPr>
                <w:rFonts w:asciiTheme="minorHAnsi" w:hAnsiTheme="minorHAnsi" w:cstheme="minorHAnsi"/>
                <w:sz w:val="16"/>
                <w:szCs w:val="12"/>
              </w:rPr>
              <w:t>–</w:t>
            </w:r>
            <w:r w:rsidRPr="00535250">
              <w:rPr>
                <w:rFonts w:asciiTheme="minorHAnsi" w:hAnsiTheme="minorHAnsi" w:cstheme="minorHAnsi"/>
                <w:sz w:val="16"/>
                <w:szCs w:val="12"/>
              </w:rPr>
              <w:t>249)</w:t>
            </w:r>
          </w:p>
        </w:tc>
      </w:tr>
    </w:tbl>
    <w:p w14:paraId="3980075D" w14:textId="77777777" w:rsidR="002646BF" w:rsidRDefault="002646BF" w:rsidP="002646BF">
      <w:pPr>
        <w:rPr>
          <w:rFonts w:asciiTheme="minorHAnsi" w:hAnsiTheme="minorHAnsi" w:cstheme="minorHAnsi"/>
          <w:sz w:val="20"/>
          <w:szCs w:val="20"/>
        </w:rPr>
      </w:pPr>
      <w:r w:rsidRPr="004137CB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Netherlands Enterprise Agency (2014), OECD 2012, TA ČR 2014</w:t>
      </w:r>
      <w:r w:rsidR="004137CB">
        <w:rPr>
          <w:rFonts w:asciiTheme="minorHAnsi" w:hAnsiTheme="minorHAnsi" w:cstheme="minorHAnsi"/>
          <w:sz w:val="20"/>
          <w:szCs w:val="20"/>
        </w:rPr>
        <w:t>.</w:t>
      </w:r>
    </w:p>
    <w:p w14:paraId="7FA746D5" w14:textId="77777777" w:rsidR="002646BF" w:rsidRPr="005D70FF" w:rsidRDefault="002646BF" w:rsidP="002646BF">
      <w:pPr>
        <w:rPr>
          <w:rFonts w:asciiTheme="minorHAnsi" w:hAnsiTheme="minorHAnsi" w:cstheme="minorHAnsi"/>
        </w:rPr>
      </w:pPr>
    </w:p>
    <w:p w14:paraId="4F556798" w14:textId="77777777" w:rsidR="002646BF" w:rsidRPr="00A626EA" w:rsidRDefault="00BA36F5" w:rsidP="002646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Jak vyplývá z tabulky č. 4</w:t>
      </w:r>
      <w:r w:rsidR="002646BF" w:rsidRPr="00A626EA">
        <w:rPr>
          <w:rFonts w:asciiTheme="minorHAnsi" w:hAnsiTheme="minorHAnsi" w:cstheme="minorHAnsi"/>
          <w:bCs/>
        </w:rPr>
        <w:t>, objem finančních prostředků, které mají agentury k dispozici</w:t>
      </w:r>
      <w:r w:rsidR="002646BF" w:rsidRPr="00A626EA">
        <w:rPr>
          <w:rFonts w:asciiTheme="minorHAnsi" w:hAnsiTheme="minorHAnsi" w:cstheme="minorHAnsi"/>
        </w:rPr>
        <w:t>, se také výrazně liší.</w:t>
      </w:r>
      <w:r w:rsidR="002646BF">
        <w:rPr>
          <w:rFonts w:asciiTheme="minorHAnsi" w:hAnsiTheme="minorHAnsi" w:cstheme="minorHAnsi"/>
        </w:rPr>
        <w:t xml:space="preserve"> </w:t>
      </w:r>
      <w:r w:rsidR="002646BF" w:rsidRPr="00A626EA">
        <w:rPr>
          <w:rFonts w:asciiTheme="minorHAnsi" w:hAnsiTheme="minorHAnsi" w:cstheme="minorHAnsi"/>
        </w:rPr>
        <w:t xml:space="preserve">Je to způsobeno jednak inovační aktivitou jednotlivých zemí, ale </w:t>
      </w:r>
      <w:r w:rsidR="002646BF" w:rsidRPr="00A626EA">
        <w:rPr>
          <w:rFonts w:asciiTheme="minorHAnsi" w:hAnsiTheme="minorHAnsi" w:cstheme="minorHAnsi"/>
          <w:bCs/>
        </w:rPr>
        <w:t>především rozdílnou strukturou sítě</w:t>
      </w:r>
      <w:r w:rsidR="002646BF" w:rsidRPr="00A626EA">
        <w:rPr>
          <w:rFonts w:asciiTheme="minorHAnsi" w:hAnsiTheme="minorHAnsi" w:cstheme="minorHAnsi"/>
        </w:rPr>
        <w:t xml:space="preserve"> </w:t>
      </w:r>
      <w:r w:rsidR="002646BF" w:rsidRPr="00A626EA">
        <w:rPr>
          <w:rFonts w:asciiTheme="minorHAnsi" w:hAnsiTheme="minorHAnsi" w:cstheme="minorHAnsi"/>
          <w:bCs/>
        </w:rPr>
        <w:t>poskytovatelů finančních prostředků na VaVaI v jednotlivých zemích</w:t>
      </w:r>
      <w:r w:rsidR="002646BF" w:rsidRPr="00A626EA">
        <w:rPr>
          <w:rFonts w:asciiTheme="minorHAnsi" w:hAnsiTheme="minorHAnsi" w:cstheme="minorHAnsi"/>
        </w:rPr>
        <w:t xml:space="preserve">. U všech agentur je však zřejmé </w:t>
      </w:r>
      <w:r w:rsidR="002646BF" w:rsidRPr="00A626EA">
        <w:rPr>
          <w:rFonts w:asciiTheme="minorHAnsi" w:hAnsiTheme="minorHAnsi" w:cstheme="minorHAnsi"/>
          <w:bCs/>
        </w:rPr>
        <w:t>zaměření na malé a střední podniky, přičemž podíl financování pro firmy s méně než 10 zaměstnanci</w:t>
      </w:r>
      <w:r w:rsidR="002646BF" w:rsidRPr="00A626EA">
        <w:rPr>
          <w:rFonts w:asciiTheme="minorHAnsi" w:hAnsiTheme="minorHAnsi" w:cstheme="minorHAnsi"/>
        </w:rPr>
        <w:t xml:space="preserve"> </w:t>
      </w:r>
      <w:r w:rsidR="002646BF" w:rsidRPr="00A626EA">
        <w:rPr>
          <w:rFonts w:asciiTheme="minorHAnsi" w:hAnsiTheme="minorHAnsi" w:cstheme="minorHAnsi"/>
          <w:bCs/>
        </w:rPr>
        <w:t>dosahuje relativně vysokých hodnot.</w:t>
      </w:r>
    </w:p>
    <w:p w14:paraId="1A7402C5" w14:textId="77777777" w:rsidR="002646BF" w:rsidRPr="00A626EA" w:rsidRDefault="002646BF" w:rsidP="002646BF">
      <w:pPr>
        <w:autoSpaceDE w:val="0"/>
        <w:autoSpaceDN w:val="0"/>
        <w:adjustRightInd w:val="0"/>
        <w:jc w:val="both"/>
        <w:rPr>
          <w:rFonts w:ascii="Georgia,BoldOOEnc" w:hAnsi="Georgia,BoldOOEnc" w:cs="Georgia,BoldOOEnc"/>
          <w:bCs/>
          <w:sz w:val="20"/>
          <w:szCs w:val="20"/>
        </w:rPr>
      </w:pPr>
    </w:p>
    <w:p w14:paraId="6F9AFD28" w14:textId="2F3CE69C" w:rsidR="002646BF" w:rsidRPr="00C54264" w:rsidRDefault="00BA36F5" w:rsidP="002646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tabulky č. 5</w:t>
      </w:r>
      <w:r w:rsidR="002646BF" w:rsidRPr="00A626EA">
        <w:rPr>
          <w:rFonts w:asciiTheme="minorHAnsi" w:hAnsiTheme="minorHAnsi" w:cstheme="minorHAnsi"/>
        </w:rPr>
        <w:t xml:space="preserve"> je zřejmé, že všechny agentury získávají </w:t>
      </w:r>
      <w:r w:rsidR="002646BF" w:rsidRPr="00A626EA">
        <w:rPr>
          <w:rFonts w:asciiTheme="minorHAnsi" w:hAnsiTheme="minorHAnsi" w:cstheme="minorHAnsi"/>
          <w:bCs/>
        </w:rPr>
        <w:t>většinu finančních prostředků pro svou činnost ze státního rozpočtu</w:t>
      </w:r>
      <w:r w:rsidR="002646BF" w:rsidRPr="00A626EA">
        <w:rPr>
          <w:rFonts w:asciiTheme="minorHAnsi" w:hAnsiTheme="minorHAnsi" w:cstheme="minorHAnsi"/>
        </w:rPr>
        <w:t xml:space="preserve">. Agentury používají k financování projektů různé </w:t>
      </w:r>
      <w:r w:rsidR="002646BF" w:rsidRPr="00A626EA">
        <w:rPr>
          <w:rFonts w:asciiTheme="minorHAnsi" w:hAnsiTheme="minorHAnsi" w:cstheme="minorHAnsi"/>
          <w:bCs/>
        </w:rPr>
        <w:t>formy finanční podpory.</w:t>
      </w:r>
      <w:r w:rsidR="002646BF" w:rsidRPr="00A626EA">
        <w:rPr>
          <w:rFonts w:ascii="Georgia,BoldOOEnc" w:hAnsi="Georgia,BoldOOEnc" w:cs="Georgia,BoldOOEnc"/>
          <w:b/>
          <w:bCs/>
          <w:sz w:val="20"/>
          <w:szCs w:val="20"/>
        </w:rPr>
        <w:t xml:space="preserve"> </w:t>
      </w:r>
      <w:r w:rsidR="002646BF" w:rsidRPr="00A626EA">
        <w:rPr>
          <w:rFonts w:asciiTheme="minorHAnsi" w:hAnsiTheme="minorHAnsi" w:cstheme="minorHAnsi"/>
          <w:bCs/>
        </w:rPr>
        <w:t>Zatímco TA ČR a V</w:t>
      </w:r>
      <w:r w:rsidR="00EA2ACB">
        <w:rPr>
          <w:rFonts w:asciiTheme="minorHAnsi" w:hAnsiTheme="minorHAnsi" w:cstheme="minorHAnsi"/>
          <w:bCs/>
        </w:rPr>
        <w:t>innova</w:t>
      </w:r>
      <w:r w:rsidR="002646BF" w:rsidRPr="00A626EA">
        <w:rPr>
          <w:rFonts w:asciiTheme="minorHAnsi" w:hAnsiTheme="minorHAnsi" w:cstheme="minorHAnsi"/>
          <w:bCs/>
        </w:rPr>
        <w:t xml:space="preserve"> </w:t>
      </w:r>
      <w:r w:rsidR="002646BF">
        <w:rPr>
          <w:rFonts w:asciiTheme="minorHAnsi" w:hAnsiTheme="minorHAnsi" w:cstheme="minorHAnsi"/>
          <w:bCs/>
        </w:rPr>
        <w:t>podporují projekty</w:t>
      </w:r>
      <w:r w:rsidR="002646BF" w:rsidRPr="00A626EA">
        <w:rPr>
          <w:rFonts w:asciiTheme="minorHAnsi" w:hAnsiTheme="minorHAnsi" w:cstheme="minorHAnsi"/>
          <w:bCs/>
        </w:rPr>
        <w:t xml:space="preserve"> výlučně </w:t>
      </w:r>
      <w:r w:rsidR="002646BF">
        <w:rPr>
          <w:rFonts w:asciiTheme="minorHAnsi" w:hAnsiTheme="minorHAnsi" w:cstheme="minorHAnsi"/>
          <w:bCs/>
        </w:rPr>
        <w:t xml:space="preserve">formou </w:t>
      </w:r>
      <w:r w:rsidR="002646BF" w:rsidRPr="00A626EA">
        <w:rPr>
          <w:rFonts w:asciiTheme="minorHAnsi" w:hAnsiTheme="minorHAnsi" w:cstheme="minorHAnsi"/>
          <w:bCs/>
        </w:rPr>
        <w:t>dotace, ostatní agentury využívají i jiné nástroje, jako jsou např. půjčky či záruky.</w:t>
      </w:r>
      <w:r w:rsidR="002646BF" w:rsidRPr="00C54264">
        <w:rPr>
          <w:rFonts w:asciiTheme="minorHAnsi" w:hAnsiTheme="minorHAnsi" w:cstheme="minorHAnsi"/>
        </w:rPr>
        <w:br w:type="page"/>
      </w:r>
    </w:p>
    <w:p w14:paraId="27EECD36" w14:textId="5874805D" w:rsidR="002646BF" w:rsidRPr="005738F8" w:rsidRDefault="002646BF" w:rsidP="002646BF">
      <w:pPr>
        <w:jc w:val="both"/>
        <w:rPr>
          <w:rFonts w:ascii="Calibri" w:hAnsi="Calibri" w:cs="Calibri"/>
          <w:b/>
        </w:rPr>
      </w:pPr>
      <w:r w:rsidRPr="005738F8">
        <w:rPr>
          <w:rFonts w:ascii="Calibri" w:hAnsi="Calibri" w:cs="Calibri"/>
          <w:b/>
        </w:rPr>
        <w:lastRenderedPageBreak/>
        <w:t xml:space="preserve">Tabulka č. 5 </w:t>
      </w:r>
      <w:r w:rsidR="00327502">
        <w:rPr>
          <w:rFonts w:ascii="Calibri" w:hAnsi="Calibri" w:cs="Calibri"/>
          <w:b/>
        </w:rPr>
        <w:t xml:space="preserve">– </w:t>
      </w:r>
      <w:r w:rsidRPr="005738F8">
        <w:rPr>
          <w:rFonts w:ascii="Calibri" w:hAnsi="Calibri" w:cs="Calibri"/>
          <w:b/>
        </w:rPr>
        <w:t xml:space="preserve">Souhrnná analýza hodnocených agentur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276"/>
        <w:gridCol w:w="1559"/>
        <w:gridCol w:w="1660"/>
        <w:gridCol w:w="1884"/>
        <w:gridCol w:w="1526"/>
      </w:tblGrid>
      <w:tr w:rsidR="002646BF" w:rsidRPr="00D2414B" w14:paraId="14656A60" w14:textId="77777777" w:rsidTr="00BA36F5">
        <w:trPr>
          <w:cantSplit/>
          <w:trHeight w:val="227"/>
        </w:trPr>
        <w:tc>
          <w:tcPr>
            <w:tcW w:w="392" w:type="dxa"/>
            <w:shd w:val="clear" w:color="auto" w:fill="B8CCE4" w:themeFill="accent1" w:themeFillTint="66"/>
            <w:noWrap/>
            <w:vAlign w:val="center"/>
            <w:hideMark/>
          </w:tcPr>
          <w:p w14:paraId="0F4356D4" w14:textId="77777777" w:rsidR="002646BF" w:rsidRPr="00D2414B" w:rsidRDefault="002646BF" w:rsidP="00BA36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noWrap/>
            <w:vAlign w:val="center"/>
            <w:hideMark/>
          </w:tcPr>
          <w:p w14:paraId="2566BE10" w14:textId="77777777" w:rsidR="002646BF" w:rsidRPr="00D2414B" w:rsidRDefault="002646BF" w:rsidP="00BA36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noWrap/>
            <w:vAlign w:val="center"/>
            <w:hideMark/>
          </w:tcPr>
          <w:p w14:paraId="71962461" w14:textId="7D8CE661" w:rsidR="002646BF" w:rsidRPr="00D2414B" w:rsidRDefault="002646BF" w:rsidP="003275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Finsko </w:t>
            </w:r>
            <w:r w:rsidR="00327502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Tekes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vAlign w:val="center"/>
            <w:hideMark/>
          </w:tcPr>
          <w:p w14:paraId="27FEA2C3" w14:textId="216F2022" w:rsidR="002646BF" w:rsidRPr="00D2414B" w:rsidRDefault="002646BF" w:rsidP="003275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Švédsko </w:t>
            </w:r>
            <w:r w:rsidR="00327502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Vinnova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  <w:vAlign w:val="center"/>
            <w:hideMark/>
          </w:tcPr>
          <w:p w14:paraId="6EB6E0B0" w14:textId="3F308CCC" w:rsidR="002646BF" w:rsidRPr="00D2414B" w:rsidRDefault="002646BF" w:rsidP="003275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Rakousko </w:t>
            </w:r>
            <w:r w:rsidR="00327502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FFG</w:t>
            </w:r>
          </w:p>
        </w:tc>
        <w:tc>
          <w:tcPr>
            <w:tcW w:w="1884" w:type="dxa"/>
            <w:shd w:val="clear" w:color="auto" w:fill="B8CCE4" w:themeFill="accent1" w:themeFillTint="66"/>
            <w:noWrap/>
            <w:vAlign w:val="center"/>
            <w:hideMark/>
          </w:tcPr>
          <w:p w14:paraId="78D6B592" w14:textId="44963CC9" w:rsidR="002646BF" w:rsidRPr="00D2414B" w:rsidRDefault="002646BF" w:rsidP="003275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Nizozemsko </w:t>
            </w:r>
            <w:r w:rsidR="00327502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RVO</w:t>
            </w:r>
          </w:p>
        </w:tc>
        <w:tc>
          <w:tcPr>
            <w:tcW w:w="1526" w:type="dxa"/>
            <w:shd w:val="clear" w:color="auto" w:fill="B8CCE4" w:themeFill="accent1" w:themeFillTint="66"/>
            <w:noWrap/>
            <w:vAlign w:val="center"/>
            <w:hideMark/>
          </w:tcPr>
          <w:p w14:paraId="6000A922" w14:textId="52A6BA38" w:rsidR="002646BF" w:rsidRPr="00D2414B" w:rsidRDefault="002646BF" w:rsidP="003275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Česká republika </w:t>
            </w:r>
            <w:r w:rsidR="00327502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TA ČR</w:t>
            </w:r>
          </w:p>
        </w:tc>
      </w:tr>
      <w:tr w:rsidR="002646BF" w:rsidRPr="00D2414B" w14:paraId="5A0DC542" w14:textId="77777777" w:rsidTr="00BA36F5">
        <w:trPr>
          <w:cantSplit/>
          <w:trHeight w:val="227"/>
        </w:trPr>
        <w:tc>
          <w:tcPr>
            <w:tcW w:w="392" w:type="dxa"/>
            <w:vMerge w:val="restart"/>
            <w:shd w:val="clear" w:color="auto" w:fill="B8CCE4" w:themeFill="accent1" w:themeFillTint="66"/>
            <w:noWrap/>
            <w:textDirection w:val="btLr"/>
            <w:hideMark/>
          </w:tcPr>
          <w:p w14:paraId="11AEA35E" w14:textId="77777777" w:rsidR="002646BF" w:rsidRPr="00D2414B" w:rsidRDefault="002646BF" w:rsidP="00BA36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Charakteristika agendy</w:t>
            </w: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14:paraId="73BE135A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Charakter finančních zdrojů</w:t>
            </w:r>
          </w:p>
        </w:tc>
        <w:tc>
          <w:tcPr>
            <w:tcW w:w="1276" w:type="dxa"/>
            <w:noWrap/>
            <w:hideMark/>
          </w:tcPr>
          <w:p w14:paraId="5DF96B77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100 % národní veřejné zdroje</w:t>
            </w:r>
          </w:p>
          <w:p w14:paraId="449C932A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Zdroje poskytnuty v rámci státního rozpočtu</w:t>
            </w:r>
          </w:p>
        </w:tc>
        <w:tc>
          <w:tcPr>
            <w:tcW w:w="1559" w:type="dxa"/>
            <w:noWrap/>
            <w:hideMark/>
          </w:tcPr>
          <w:p w14:paraId="45C6916B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100 % národní veřejné zdroje</w:t>
            </w:r>
          </w:p>
          <w:p w14:paraId="6DC58392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Zdroje poskytnuty v rámci státního rozpočtu</w:t>
            </w:r>
          </w:p>
        </w:tc>
        <w:tc>
          <w:tcPr>
            <w:tcW w:w="1660" w:type="dxa"/>
            <w:noWrap/>
            <w:hideMark/>
          </w:tcPr>
          <w:p w14:paraId="4D555FBD" w14:textId="70A90270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95 % národní veřejné zdroje +</w:t>
            </w:r>
            <w:r w:rsidR="0032750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5 % další veřejné zdroje</w:t>
            </w:r>
          </w:p>
          <w:p w14:paraId="5F46BE7C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Zdroje poskytnuty v rámci státního rozpočtu</w:t>
            </w:r>
          </w:p>
          <w:p w14:paraId="3806794F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Zdroje ze státního rozpočtu alokované na individuální programy</w:t>
            </w:r>
          </w:p>
          <w:p w14:paraId="6B689281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Vlastní FN agendy</w:t>
            </w:r>
          </w:p>
        </w:tc>
        <w:tc>
          <w:tcPr>
            <w:tcW w:w="1884" w:type="dxa"/>
            <w:noWrap/>
            <w:hideMark/>
          </w:tcPr>
          <w:p w14:paraId="25C951A8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Zdroje ze státního rozpočtu alokované na individuální programy</w:t>
            </w:r>
          </w:p>
          <w:p w14:paraId="374E57FF" w14:textId="5B30CD22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6 mld. </w:t>
            </w:r>
            <w:r w:rsidR="00327502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národní veřejné zdroje (z toho 2</w:t>
            </w:r>
            <w:r w:rsidR="0032750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mld. </w:t>
            </w:r>
            <w:r w:rsidR="00327502">
              <w:rPr>
                <w:rFonts w:asciiTheme="minorHAnsi" w:hAnsiTheme="minorHAnsi" w:cstheme="minorHAnsi"/>
                <w:sz w:val="16"/>
                <w:szCs w:val="16"/>
              </w:rPr>
              <w:t xml:space="preserve">€ 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na záruky)</w:t>
            </w:r>
          </w:p>
          <w:p w14:paraId="5392B3CB" w14:textId="7A3A771A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1,2 mld. </w:t>
            </w:r>
            <w:r w:rsidR="00327502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EU</w:t>
            </w:r>
          </w:p>
          <w:p w14:paraId="3E084AA3" w14:textId="7AA7A71A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0,1 mld.</w:t>
            </w:r>
            <w:r w:rsidR="00327502">
              <w:rPr>
                <w:rFonts w:asciiTheme="minorHAnsi" w:hAnsiTheme="minorHAnsi" w:cstheme="minorHAnsi"/>
                <w:sz w:val="16"/>
                <w:szCs w:val="16"/>
              </w:rPr>
              <w:t xml:space="preserve"> €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místní samospráva</w:t>
            </w:r>
          </w:p>
        </w:tc>
        <w:tc>
          <w:tcPr>
            <w:tcW w:w="1526" w:type="dxa"/>
            <w:noWrap/>
            <w:hideMark/>
          </w:tcPr>
          <w:p w14:paraId="5F242B86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Zdroje ze státního rozpočtu alokované na individuální programy</w:t>
            </w:r>
          </w:p>
          <w:p w14:paraId="09A6AB7E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100 % národní veřejné zdroje</w:t>
            </w:r>
          </w:p>
        </w:tc>
      </w:tr>
      <w:tr w:rsidR="002646BF" w:rsidRPr="00D2414B" w14:paraId="598A7B9F" w14:textId="77777777" w:rsidTr="00BA36F5">
        <w:trPr>
          <w:cantSplit/>
          <w:trHeight w:val="227"/>
        </w:trPr>
        <w:tc>
          <w:tcPr>
            <w:tcW w:w="392" w:type="dxa"/>
            <w:vMerge/>
            <w:shd w:val="clear" w:color="auto" w:fill="B8CCE4" w:themeFill="accent1" w:themeFillTint="66"/>
            <w:hideMark/>
          </w:tcPr>
          <w:p w14:paraId="5D554F90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14:paraId="2CDA384E" w14:textId="2FF813E9" w:rsidR="002646BF" w:rsidRPr="00D2414B" w:rsidRDefault="002646BF" w:rsidP="0032750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Kombinace s dalšími zdroji / </w:t>
            </w:r>
            <w:r w:rsidR="00327502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polupráce s entitami</w:t>
            </w:r>
          </w:p>
        </w:tc>
        <w:tc>
          <w:tcPr>
            <w:tcW w:w="1276" w:type="dxa"/>
            <w:noWrap/>
            <w:hideMark/>
          </w:tcPr>
          <w:p w14:paraId="4AAEDEE1" w14:textId="5B20A809" w:rsidR="002646BF" w:rsidRPr="00D2414B" w:rsidRDefault="002646BF" w:rsidP="00297C5D">
            <w:pPr>
              <w:pStyle w:val="Odstavecseseznamem"/>
              <w:numPr>
                <w:ilvl w:val="0"/>
                <w:numId w:val="5"/>
              </w:numPr>
              <w:ind w:left="102" w:right="-108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Zprostředkující subjekt pro </w:t>
            </w:r>
            <w:r w:rsidR="00297C5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trukturální fondy (velmi malý podíl finančních prostředků)</w:t>
            </w:r>
          </w:p>
        </w:tc>
        <w:tc>
          <w:tcPr>
            <w:tcW w:w="1559" w:type="dxa"/>
            <w:noWrap/>
            <w:hideMark/>
          </w:tcPr>
          <w:p w14:paraId="31A92FB6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Zapojení do výzkumných programů EU</w:t>
            </w:r>
          </w:p>
        </w:tc>
        <w:tc>
          <w:tcPr>
            <w:tcW w:w="1660" w:type="dxa"/>
            <w:noWrap/>
            <w:hideMark/>
          </w:tcPr>
          <w:p w14:paraId="42982804" w14:textId="0EDB4BAC" w:rsidR="002646BF" w:rsidRPr="00D2414B" w:rsidRDefault="002646BF" w:rsidP="00297C5D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Zprostředkující subjekt pro </w:t>
            </w:r>
            <w:r w:rsidR="00297C5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trukturální fondy</w:t>
            </w:r>
          </w:p>
        </w:tc>
        <w:tc>
          <w:tcPr>
            <w:tcW w:w="1884" w:type="dxa"/>
            <w:noWrap/>
            <w:hideMark/>
          </w:tcPr>
          <w:p w14:paraId="6244058E" w14:textId="0DF2B644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Zprostředkující subjekt pro </w:t>
            </w:r>
            <w:r w:rsidR="00297C5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trukturální fondy</w:t>
            </w:r>
          </w:p>
          <w:p w14:paraId="66960C33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Zapojení do výzkumných programů EU</w:t>
            </w:r>
          </w:p>
          <w:p w14:paraId="255EE4C9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Mezinárodní fin. instituce</w:t>
            </w:r>
          </w:p>
        </w:tc>
        <w:tc>
          <w:tcPr>
            <w:tcW w:w="1526" w:type="dxa"/>
            <w:noWrap/>
            <w:hideMark/>
          </w:tcPr>
          <w:p w14:paraId="447BA7D8" w14:textId="33470BB2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Zprostředkující subjekt pro </w:t>
            </w:r>
            <w:r w:rsidR="00297C5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trukturální fondy</w:t>
            </w:r>
          </w:p>
          <w:p w14:paraId="56E2E57B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Mezinárodní fin. instituce</w:t>
            </w:r>
          </w:p>
        </w:tc>
      </w:tr>
      <w:tr w:rsidR="002646BF" w:rsidRPr="00D2414B" w14:paraId="23B11157" w14:textId="77777777" w:rsidTr="00BA36F5">
        <w:trPr>
          <w:cantSplit/>
          <w:trHeight w:val="227"/>
        </w:trPr>
        <w:tc>
          <w:tcPr>
            <w:tcW w:w="392" w:type="dxa"/>
            <w:vMerge/>
            <w:shd w:val="clear" w:color="auto" w:fill="B8CCE4" w:themeFill="accent1" w:themeFillTint="66"/>
            <w:hideMark/>
          </w:tcPr>
          <w:p w14:paraId="30B557BB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14:paraId="37F37A06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Typ nástrojů</w:t>
            </w:r>
          </w:p>
        </w:tc>
        <w:tc>
          <w:tcPr>
            <w:tcW w:w="1276" w:type="dxa"/>
            <w:noWrap/>
            <w:hideMark/>
          </w:tcPr>
          <w:p w14:paraId="129D10E6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Dotace</w:t>
            </w:r>
          </w:p>
          <w:p w14:paraId="2E9DFD6E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Půjčky</w:t>
            </w:r>
          </w:p>
          <w:p w14:paraId="7E102F70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Rizikový kapitál</w:t>
            </w:r>
          </w:p>
        </w:tc>
        <w:tc>
          <w:tcPr>
            <w:tcW w:w="1559" w:type="dxa"/>
            <w:noWrap/>
            <w:hideMark/>
          </w:tcPr>
          <w:p w14:paraId="4DF8CAA8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Dotace</w:t>
            </w:r>
          </w:p>
          <w:p w14:paraId="5C836952" w14:textId="77777777" w:rsidR="002646BF" w:rsidRPr="00D2414B" w:rsidRDefault="002646BF" w:rsidP="00BA36F5">
            <w:pPr>
              <w:pStyle w:val="Odstavecseseznamem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  <w:noWrap/>
            <w:hideMark/>
          </w:tcPr>
          <w:p w14:paraId="386C43E9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Dotace</w:t>
            </w:r>
          </w:p>
          <w:p w14:paraId="2C76024F" w14:textId="47987FF5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Půjčky, </w:t>
            </w:r>
            <w:r w:rsidR="001E091B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áruky</w:t>
            </w:r>
          </w:p>
          <w:p w14:paraId="4643612C" w14:textId="4071C11B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Poskytování speciálních služeb, mentoringu</w:t>
            </w:r>
            <w:r w:rsidR="001E091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  <w:p w14:paraId="21F3B1F9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Školení </w:t>
            </w:r>
          </w:p>
        </w:tc>
        <w:tc>
          <w:tcPr>
            <w:tcW w:w="1884" w:type="dxa"/>
            <w:noWrap/>
            <w:hideMark/>
          </w:tcPr>
          <w:p w14:paraId="1CFF60E5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Dotace</w:t>
            </w:r>
          </w:p>
          <w:p w14:paraId="0C34F6F4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Půjčky</w:t>
            </w:r>
          </w:p>
          <w:p w14:paraId="66F2A63C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Záruky</w:t>
            </w:r>
          </w:p>
          <w:p w14:paraId="05E04376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Služby podporující obchod a inovace</w:t>
            </w:r>
          </w:p>
        </w:tc>
        <w:tc>
          <w:tcPr>
            <w:tcW w:w="1526" w:type="dxa"/>
            <w:noWrap/>
            <w:hideMark/>
          </w:tcPr>
          <w:p w14:paraId="0788BC6B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Dotace</w:t>
            </w:r>
          </w:p>
        </w:tc>
      </w:tr>
      <w:tr w:rsidR="002646BF" w:rsidRPr="00D2414B" w14:paraId="69B475BE" w14:textId="77777777" w:rsidTr="00BA36F5">
        <w:trPr>
          <w:cantSplit/>
          <w:trHeight w:val="227"/>
        </w:trPr>
        <w:tc>
          <w:tcPr>
            <w:tcW w:w="392" w:type="dxa"/>
            <w:vMerge/>
            <w:shd w:val="clear" w:color="auto" w:fill="B8CCE4" w:themeFill="accent1" w:themeFillTint="66"/>
            <w:hideMark/>
          </w:tcPr>
          <w:p w14:paraId="5AF3007C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14:paraId="376672A2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Spolupráce s dalšími aktéry</w:t>
            </w:r>
          </w:p>
        </w:tc>
        <w:tc>
          <w:tcPr>
            <w:tcW w:w="1276" w:type="dxa"/>
            <w:noWrap/>
            <w:hideMark/>
          </w:tcPr>
          <w:p w14:paraId="704885AB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Fondy rizikového kapitálu</w:t>
            </w:r>
          </w:p>
          <w:p w14:paraId="293CE2A4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Soukromí investoři</w:t>
            </w:r>
          </w:p>
        </w:tc>
        <w:tc>
          <w:tcPr>
            <w:tcW w:w="1559" w:type="dxa"/>
            <w:noWrap/>
            <w:hideMark/>
          </w:tcPr>
          <w:p w14:paraId="1FCF6840" w14:textId="77777777" w:rsidR="002646BF" w:rsidRPr="00D2414B" w:rsidRDefault="002646BF" w:rsidP="00BA36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  <w:noWrap/>
            <w:hideMark/>
          </w:tcPr>
          <w:p w14:paraId="72DF1B57" w14:textId="77777777" w:rsidR="002646BF" w:rsidRPr="00D2414B" w:rsidRDefault="002646BF" w:rsidP="00BA36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4" w:type="dxa"/>
            <w:noWrap/>
            <w:hideMark/>
          </w:tcPr>
          <w:p w14:paraId="7428CC5E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Banky</w:t>
            </w:r>
          </w:p>
          <w:p w14:paraId="5C35246A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Fondy rizikového kapitálu</w:t>
            </w:r>
          </w:p>
          <w:p w14:paraId="7DC2D07E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Soukromí investoři</w:t>
            </w:r>
          </w:p>
          <w:p w14:paraId="35C577BF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EIB/EIF</w:t>
            </w:r>
          </w:p>
        </w:tc>
        <w:tc>
          <w:tcPr>
            <w:tcW w:w="1526" w:type="dxa"/>
            <w:noWrap/>
            <w:hideMark/>
          </w:tcPr>
          <w:p w14:paraId="738FAB88" w14:textId="77777777" w:rsidR="002646BF" w:rsidRPr="00D2414B" w:rsidRDefault="002646BF" w:rsidP="00BA36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46BF" w:rsidRPr="00D2414B" w14:paraId="3B75F980" w14:textId="77777777" w:rsidTr="00BA36F5">
        <w:trPr>
          <w:cantSplit/>
          <w:trHeight w:val="227"/>
        </w:trPr>
        <w:tc>
          <w:tcPr>
            <w:tcW w:w="392" w:type="dxa"/>
            <w:vMerge/>
            <w:shd w:val="clear" w:color="auto" w:fill="B8CCE4" w:themeFill="accent1" w:themeFillTint="66"/>
            <w:hideMark/>
          </w:tcPr>
          <w:p w14:paraId="4B15E53F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14:paraId="220878F5" w14:textId="77777777" w:rsidR="002646BF" w:rsidRPr="00D2414B" w:rsidRDefault="002646BF" w:rsidP="00BA36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Návaznost na další činnosti</w:t>
            </w:r>
          </w:p>
        </w:tc>
        <w:tc>
          <w:tcPr>
            <w:tcW w:w="1276" w:type="dxa"/>
            <w:noWrap/>
            <w:hideMark/>
          </w:tcPr>
          <w:p w14:paraId="3A150507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při přípravě nových FN na národní úrovni</w:t>
            </w:r>
          </w:p>
          <w:p w14:paraId="536EB5F5" w14:textId="670A003F" w:rsidR="002646BF" w:rsidRPr="00D2414B" w:rsidRDefault="002646BF" w:rsidP="005D70FF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s ministerstvy, příjemci, nezávislými experty a</w:t>
            </w:r>
            <w:r w:rsidR="001E091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dalšími podpůrnými agenturami</w:t>
            </w:r>
          </w:p>
        </w:tc>
        <w:tc>
          <w:tcPr>
            <w:tcW w:w="1559" w:type="dxa"/>
            <w:noWrap/>
            <w:hideMark/>
          </w:tcPr>
          <w:p w14:paraId="59475EBB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na přípravě nových FN na národní úrovni</w:t>
            </w:r>
          </w:p>
          <w:p w14:paraId="220A06E6" w14:textId="66A565EF" w:rsidR="002646BF" w:rsidRPr="00D2414B" w:rsidRDefault="002646BF" w:rsidP="005D70FF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s ministerstvy, příjemci a dalšími podpůrnými agenturami</w:t>
            </w:r>
          </w:p>
        </w:tc>
        <w:tc>
          <w:tcPr>
            <w:tcW w:w="1660" w:type="dxa"/>
            <w:noWrap/>
            <w:hideMark/>
          </w:tcPr>
          <w:p w14:paraId="75B76CA9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na přípravě nových FN na národní úrovni</w:t>
            </w:r>
          </w:p>
          <w:p w14:paraId="18D077B3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s ministerstvy, příjemci, nezávislými experty a zahraničními experty/agenturami</w:t>
            </w:r>
          </w:p>
        </w:tc>
        <w:tc>
          <w:tcPr>
            <w:tcW w:w="1884" w:type="dxa"/>
            <w:noWrap/>
            <w:hideMark/>
          </w:tcPr>
          <w:p w14:paraId="108CBB83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při přípravě nových FN na národní úrovni</w:t>
            </w:r>
          </w:p>
          <w:p w14:paraId="02024DE3" w14:textId="05B8701E" w:rsidR="002646BF" w:rsidRPr="00D2414B" w:rsidRDefault="002646BF" w:rsidP="001E091B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s ministerstvy a</w:t>
            </w:r>
            <w:r w:rsidR="001E091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nezávislými experty</w:t>
            </w:r>
          </w:p>
        </w:tc>
        <w:tc>
          <w:tcPr>
            <w:tcW w:w="1526" w:type="dxa"/>
            <w:noWrap/>
            <w:hideMark/>
          </w:tcPr>
          <w:p w14:paraId="2D72A0E8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při přípravě nových FN na národní úrovni</w:t>
            </w:r>
          </w:p>
          <w:p w14:paraId="2193BAE7" w14:textId="77777777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Spolupráce s ministerstvy</w:t>
            </w:r>
          </w:p>
        </w:tc>
      </w:tr>
      <w:tr w:rsidR="002646BF" w:rsidRPr="00D2414B" w14:paraId="09FFBED2" w14:textId="77777777" w:rsidTr="00BA36F5">
        <w:trPr>
          <w:cantSplit/>
          <w:trHeight w:val="227"/>
        </w:trPr>
        <w:tc>
          <w:tcPr>
            <w:tcW w:w="1384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37F16537" w14:textId="38B8F25B" w:rsidR="002646BF" w:rsidRPr="00D2414B" w:rsidRDefault="002646BF" w:rsidP="002E35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Silné stránky a</w:t>
            </w:r>
            <w:r w:rsidR="002E359B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>dobr</w:t>
            </w:r>
            <w:r w:rsidR="002E359B">
              <w:rPr>
                <w:rFonts w:asciiTheme="minorHAnsi" w:hAnsiTheme="minorHAnsi" w:cstheme="minorHAnsi"/>
                <w:b/>
                <w:sz w:val="16"/>
                <w:szCs w:val="16"/>
              </w:rPr>
              <w:t>á</w:t>
            </w:r>
            <w:r w:rsidRPr="00D241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praxe</w:t>
            </w:r>
          </w:p>
        </w:tc>
        <w:tc>
          <w:tcPr>
            <w:tcW w:w="1276" w:type="dxa"/>
            <w:noWrap/>
            <w:hideMark/>
          </w:tcPr>
          <w:p w14:paraId="42C4ADEC" w14:textId="2A36566A" w:rsidR="002646BF" w:rsidRPr="00D2414B" w:rsidRDefault="002646BF" w:rsidP="00BA36F5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Rozpočet plánován (v</w:t>
            </w:r>
            <w:r w:rsidR="001E091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souladu se strategií) na víceleté období</w:t>
            </w:r>
          </w:p>
          <w:p w14:paraId="0E510064" w14:textId="019DF3AF" w:rsidR="002646BF" w:rsidRPr="00D2414B" w:rsidRDefault="002646BF" w:rsidP="002E359B">
            <w:pPr>
              <w:pStyle w:val="Odstavecseseznamem"/>
              <w:numPr>
                <w:ilvl w:val="0"/>
                <w:numId w:val="5"/>
              </w:numPr>
              <w:ind w:left="102" w:right="-108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Nové FN připraveny na základě detailní znalosti absorpční kapacity a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aktuálních FN</w:t>
            </w:r>
          </w:p>
          <w:p w14:paraId="1DFABEE9" w14:textId="0887CB96" w:rsidR="002646BF" w:rsidRPr="00D2414B" w:rsidRDefault="002646BF" w:rsidP="002009D7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Decentralizace rozhodování – projekty nad 3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mil. 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rozhod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uje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 xml:space="preserve">projekty v rozmezí </w:t>
            </w:r>
            <w:r w:rsidR="000908D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3 mil. 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359B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D2414B">
              <w:rPr>
                <w:rFonts w:asciiTheme="minorHAnsi" w:hAnsiTheme="minorHAnsi" w:cstheme="minorHAnsi"/>
                <w:sz w:val="16"/>
                <w:szCs w:val="16"/>
              </w:rPr>
              <w:t>enerální ředitel</w:t>
            </w:r>
          </w:p>
        </w:tc>
        <w:tc>
          <w:tcPr>
            <w:tcW w:w="1559" w:type="dxa"/>
            <w:noWrap/>
            <w:hideMark/>
          </w:tcPr>
          <w:p w14:paraId="377ABAAD" w14:textId="4465F27D" w:rsidR="002646BF" w:rsidRPr="00D2414B" w:rsidRDefault="001E091B" w:rsidP="005D70FF">
            <w:pPr>
              <w:pStyle w:val="Odstavecseseznamem"/>
              <w:numPr>
                <w:ilvl w:val="0"/>
                <w:numId w:val="5"/>
              </w:numPr>
              <w:ind w:left="102" w:hanging="10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>ecentralizace rozhodování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>ada nerozhoduje o</w:t>
            </w:r>
            <w:r w:rsidR="00C6567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 xml:space="preserve">alokaci finančních prostředků na jednotlivé projekty, rozhoduje o tom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ř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>íd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>cí skupina, která případně konzultuje s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2646BF" w:rsidRPr="00D2414B">
              <w:rPr>
                <w:rFonts w:asciiTheme="minorHAnsi" w:hAnsiTheme="minorHAnsi" w:cstheme="minorHAnsi"/>
                <w:sz w:val="16"/>
                <w:szCs w:val="16"/>
              </w:rPr>
              <w:t>enerálním ředitelem (na základě velikosti projektu)</w:t>
            </w:r>
          </w:p>
        </w:tc>
        <w:tc>
          <w:tcPr>
            <w:tcW w:w="1660" w:type="dxa"/>
            <w:noWrap/>
            <w:hideMark/>
          </w:tcPr>
          <w:p w14:paraId="7A584401" w14:textId="77777777" w:rsidR="002646BF" w:rsidRPr="00D2414B" w:rsidRDefault="002646BF" w:rsidP="00BA36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4" w:type="dxa"/>
            <w:noWrap/>
            <w:hideMark/>
          </w:tcPr>
          <w:p w14:paraId="2735CD4E" w14:textId="77777777" w:rsidR="002646BF" w:rsidRPr="00D2414B" w:rsidRDefault="002646BF" w:rsidP="00BA36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5611F563" w14:textId="77777777" w:rsidR="002646BF" w:rsidRPr="00D2414B" w:rsidRDefault="002646BF" w:rsidP="00BA36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482853" w14:textId="77777777" w:rsidR="002646BF" w:rsidRPr="005738F8" w:rsidRDefault="002646BF" w:rsidP="002009D7">
      <w:pPr>
        <w:spacing w:before="20" w:line="264" w:lineRule="auto"/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5738F8">
        <w:rPr>
          <w:rFonts w:asciiTheme="minorHAnsi" w:hAnsiTheme="minorHAnsi" w:cstheme="minorHAnsi"/>
          <w:b/>
          <w:sz w:val="20"/>
          <w:szCs w:val="20"/>
        </w:rPr>
        <w:t>Zdroj:</w:t>
      </w:r>
      <w:r w:rsidRPr="005738F8">
        <w:rPr>
          <w:rFonts w:asciiTheme="minorHAnsi" w:hAnsiTheme="minorHAnsi" w:cstheme="minorHAnsi"/>
          <w:sz w:val="20"/>
          <w:szCs w:val="20"/>
        </w:rPr>
        <w:t xml:space="preserve"> </w:t>
      </w:r>
      <w:r w:rsidRPr="004123A2">
        <w:rPr>
          <w:rFonts w:asciiTheme="minorHAnsi" w:hAnsiTheme="minorHAnsi" w:cstheme="minorHAnsi"/>
          <w:sz w:val="20"/>
          <w:szCs w:val="20"/>
        </w:rPr>
        <w:t>Analýza zahraničních zkušeností a vnějšího prostředí TA ČR</w:t>
      </w:r>
      <w:r w:rsidR="005C5D13" w:rsidRPr="005738F8">
        <w:rPr>
          <w:rFonts w:asciiTheme="minorHAnsi" w:hAnsiTheme="minorHAnsi" w:cstheme="minorHAnsi"/>
          <w:sz w:val="20"/>
          <w:szCs w:val="20"/>
        </w:rPr>
        <w:t>.</w:t>
      </w:r>
    </w:p>
    <w:p w14:paraId="723FCE2B" w14:textId="77777777" w:rsidR="00A3632F" w:rsidRPr="005738F8" w:rsidRDefault="002646BF" w:rsidP="002646BF">
      <w:pPr>
        <w:spacing w:line="264" w:lineRule="auto"/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5738F8">
        <w:rPr>
          <w:rFonts w:asciiTheme="minorHAnsi" w:hAnsiTheme="minorHAnsi" w:cstheme="minorHAnsi"/>
          <w:b/>
          <w:sz w:val="20"/>
          <w:szCs w:val="20"/>
        </w:rPr>
        <w:t>Pozn.:</w:t>
      </w:r>
      <w:r w:rsidRPr="005738F8">
        <w:rPr>
          <w:rFonts w:asciiTheme="minorHAnsi" w:hAnsiTheme="minorHAnsi" w:cstheme="minorHAnsi"/>
          <w:sz w:val="20"/>
          <w:szCs w:val="20"/>
        </w:rPr>
        <w:t xml:space="preserve"> FN = finanční nástroje</w:t>
      </w:r>
      <w:r w:rsidR="00251B8F">
        <w:rPr>
          <w:rFonts w:asciiTheme="minorHAnsi" w:hAnsiTheme="minorHAnsi" w:cstheme="minorHAnsi"/>
          <w:sz w:val="20"/>
          <w:szCs w:val="20"/>
        </w:rPr>
        <w:t>.</w:t>
      </w:r>
    </w:p>
    <w:p w14:paraId="14D5358B" w14:textId="16147DC1" w:rsidR="002646BF" w:rsidRPr="005738F8" w:rsidRDefault="00A3632F" w:rsidP="002646B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lastRenderedPageBreak/>
        <w:t>Seznam zkratek</w:t>
      </w:r>
    </w:p>
    <w:p w14:paraId="41A3AB17" w14:textId="77777777" w:rsidR="00BE5C2E" w:rsidRPr="005D70FF" w:rsidRDefault="00BE5C2E" w:rsidP="002646BF">
      <w:pPr>
        <w:spacing w:line="264" w:lineRule="auto"/>
        <w:ind w:left="624" w:hanging="624"/>
        <w:jc w:val="both"/>
        <w:rPr>
          <w:rFonts w:asciiTheme="minorHAnsi" w:hAnsiTheme="minorHAnsi" w:cstheme="minorHAnsi"/>
        </w:rPr>
      </w:pPr>
    </w:p>
    <w:p w14:paraId="3EE77323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AV ČR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Akademie věd České republiky</w:t>
      </w:r>
    </w:p>
    <w:p w14:paraId="5038E120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CDV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Centrum dopravního výzkumu, v. v. i.</w:t>
      </w:r>
    </w:p>
    <w:p w14:paraId="3121798B" w14:textId="77777777" w:rsidR="00BE5C2E" w:rsidRPr="000D2CC7" w:rsidRDefault="00BE5C2E" w:rsidP="00BE5C2E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ČR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Česká republika</w:t>
      </w:r>
    </w:p>
    <w:p w14:paraId="6C409911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ČVUT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České vysoké učení technické v Praze</w:t>
      </w:r>
    </w:p>
    <w:p w14:paraId="053D1DA3" w14:textId="77777777" w:rsidR="00BE5C2E" w:rsidRPr="005D70FF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  <w:bCs/>
          <w:kern w:val="36"/>
          <w:lang w:val="nl-NL"/>
        </w:rPr>
      </w:pPr>
      <w:r w:rsidRPr="005D70FF">
        <w:rPr>
          <w:rFonts w:asciiTheme="minorHAnsi" w:hAnsiTheme="minorHAnsi" w:cstheme="minorHAnsi"/>
          <w:bCs/>
          <w:kern w:val="36"/>
          <w:lang w:val="nl-NL"/>
        </w:rPr>
        <w:t>EIB</w:t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  <w:t>Evropská investiční banka</w:t>
      </w:r>
    </w:p>
    <w:p w14:paraId="14A69E74" w14:textId="77777777" w:rsidR="00BE5C2E" w:rsidRPr="005D70FF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5D70FF">
        <w:rPr>
          <w:rFonts w:asciiTheme="minorHAnsi" w:hAnsiTheme="minorHAnsi" w:cstheme="minorHAnsi"/>
          <w:bCs/>
          <w:kern w:val="36"/>
          <w:lang w:val="nl-NL"/>
        </w:rPr>
        <w:t>EIF</w:t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ab/>
        <w:t>Evropský investiční fond</w:t>
      </w:r>
    </w:p>
    <w:p w14:paraId="5719905F" w14:textId="77777777" w:rsidR="00BE5C2E" w:rsidRPr="000D2CC7" w:rsidRDefault="00BE5C2E" w:rsidP="00BE5C2E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EU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Evropská unie</w:t>
      </w:r>
    </w:p>
    <w:p w14:paraId="0AC46A40" w14:textId="77777777" w:rsidR="00BE5C2E" w:rsidRPr="000D2CC7" w:rsidRDefault="00BE5C2E" w:rsidP="00BE5C2E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EU28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28 členských států Evropské unie</w:t>
      </w:r>
    </w:p>
    <w:p w14:paraId="2C2CD5A5" w14:textId="77777777" w:rsidR="00BE5C2E" w:rsidRPr="00EB0474" w:rsidRDefault="00BE5C2E" w:rsidP="005D70FF">
      <w:pPr>
        <w:ind w:left="2835" w:hanging="2835"/>
        <w:rPr>
          <w:rFonts w:asciiTheme="minorHAnsi" w:hAnsiTheme="minorHAnsi" w:cstheme="minorHAnsi"/>
        </w:rPr>
      </w:pPr>
      <w:r w:rsidRPr="005D70FF">
        <w:rPr>
          <w:rFonts w:asciiTheme="minorHAnsi" w:hAnsiTheme="minorHAnsi" w:cstheme="minorHAnsi"/>
        </w:rPr>
        <w:t xml:space="preserve">FFG </w:t>
      </w:r>
      <w:r w:rsidRPr="005D70FF">
        <w:rPr>
          <w:rFonts w:asciiTheme="minorHAnsi" w:hAnsiTheme="minorHAnsi" w:cstheme="minorHAnsi"/>
        </w:rPr>
        <w:tab/>
      </w:r>
      <w:r w:rsidRPr="005D70FF">
        <w:rPr>
          <w:rFonts w:asciiTheme="minorHAnsi" w:hAnsiTheme="minorHAnsi" w:cstheme="minorHAnsi"/>
        </w:rPr>
        <w:tab/>
        <w:t xml:space="preserve">Österreichische Forschungsförderungsgesellschaft </w:t>
      </w:r>
    </w:p>
    <w:p w14:paraId="4F0CDDDA" w14:textId="1A465898" w:rsidR="00BE5C2E" w:rsidRPr="005D70FF" w:rsidRDefault="00BE5C2E" w:rsidP="005D70FF">
      <w:pPr>
        <w:spacing w:after="120"/>
        <w:ind w:left="2835"/>
        <w:rPr>
          <w:rFonts w:asciiTheme="minorHAnsi" w:hAnsiTheme="minorHAnsi" w:cstheme="minorHAnsi"/>
        </w:rPr>
      </w:pPr>
      <w:r w:rsidRPr="00EB0474">
        <w:rPr>
          <w:rFonts w:asciiTheme="minorHAnsi" w:hAnsiTheme="minorHAnsi" w:cstheme="minorHAnsi"/>
        </w:rPr>
        <w:t xml:space="preserve">(rakouská </w:t>
      </w:r>
      <w:r w:rsidRPr="005D70FF">
        <w:rPr>
          <w:rFonts w:asciiTheme="minorHAnsi" w:hAnsiTheme="minorHAnsi" w:cstheme="minorHAnsi"/>
          <w:bCs/>
          <w:kern w:val="36"/>
          <w:lang w:val="nl-NL"/>
        </w:rPr>
        <w:t xml:space="preserve">agentura) </w:t>
      </w:r>
    </w:p>
    <w:p w14:paraId="3BA7D5E7" w14:textId="611E704F" w:rsidR="00BE5C2E" w:rsidRPr="000D2CC7" w:rsidRDefault="00BE5C2E" w:rsidP="00BE5C2E">
      <w:pPr>
        <w:spacing w:after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</w:t>
      </w:r>
      <w:r w:rsidRPr="000D2CC7">
        <w:rPr>
          <w:rFonts w:asciiTheme="minorHAnsi" w:hAnsiTheme="minorHAnsi" w:cstheme="minorHAnsi"/>
        </w:rPr>
        <w:t>inanční nástroje</w:t>
      </w:r>
    </w:p>
    <w:p w14:paraId="30C5D35D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GA ČR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Grantová agentura České republiky</w:t>
      </w:r>
    </w:p>
    <w:p w14:paraId="304A6576" w14:textId="67C773CB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HDP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</w:t>
      </w:r>
      <w:r w:rsidRPr="000D2CC7">
        <w:rPr>
          <w:rFonts w:asciiTheme="minorHAnsi" w:hAnsiTheme="minorHAnsi" w:cstheme="minorHAnsi"/>
        </w:rPr>
        <w:t>rubý domácí produkt</w:t>
      </w:r>
    </w:p>
    <w:p w14:paraId="2061478B" w14:textId="4F025525" w:rsidR="006A646E" w:rsidRDefault="006A646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informační systém</w:t>
      </w:r>
    </w:p>
    <w:p w14:paraId="31232F11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MK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kultury</w:t>
      </w:r>
    </w:p>
    <w:p w14:paraId="2DD178CB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MO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obrany</w:t>
      </w:r>
    </w:p>
    <w:p w14:paraId="5813C083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MPO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průmyslu a obchodu</w:t>
      </w:r>
    </w:p>
    <w:p w14:paraId="08CD4759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>Ministerstvo školství, mládeže a tělovýchovy</w:t>
      </w:r>
    </w:p>
    <w:p w14:paraId="4636C812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MV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vnitra</w:t>
      </w:r>
    </w:p>
    <w:p w14:paraId="3EA630DB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MZd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zdravotnictví</w:t>
      </w:r>
    </w:p>
    <w:p w14:paraId="08AD24FE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MZe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zemědělství</w:t>
      </w:r>
    </w:p>
    <w:p w14:paraId="7570D92B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 xml:space="preserve">NKÚ 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Nejvyšší kontrolní úřad</w:t>
      </w:r>
    </w:p>
    <w:p w14:paraId="05484FF8" w14:textId="77777777" w:rsidR="00BE5C2E" w:rsidRPr="005D70FF" w:rsidRDefault="00BE5C2E" w:rsidP="005D70FF">
      <w:pPr>
        <w:ind w:left="2835" w:hanging="2835"/>
        <w:rPr>
          <w:rFonts w:asciiTheme="minorHAnsi" w:hAnsiTheme="minorHAnsi" w:cstheme="minorHAnsi"/>
          <w:bCs/>
          <w:kern w:val="36"/>
          <w:lang w:val="nl-NL"/>
        </w:rPr>
      </w:pPr>
      <w:r w:rsidRPr="005D70FF">
        <w:rPr>
          <w:rFonts w:asciiTheme="minorHAnsi" w:hAnsiTheme="minorHAnsi" w:cstheme="minorHAnsi"/>
        </w:rPr>
        <w:t>RVO</w:t>
      </w:r>
      <w:r w:rsidRPr="005D70FF">
        <w:rPr>
          <w:rFonts w:asciiTheme="minorHAnsi" w:hAnsiTheme="minorHAnsi" w:cstheme="minorHAnsi"/>
        </w:rPr>
        <w:tab/>
      </w:r>
      <w:r w:rsidRPr="005D70FF">
        <w:rPr>
          <w:rFonts w:asciiTheme="minorHAnsi" w:hAnsiTheme="minorHAnsi" w:cstheme="minorHAnsi"/>
        </w:rPr>
        <w:tab/>
      </w:r>
      <w:r w:rsidRPr="005D70FF">
        <w:rPr>
          <w:rFonts w:asciiTheme="minorHAnsi" w:hAnsiTheme="minorHAnsi" w:cstheme="minorHAnsi"/>
          <w:bCs/>
          <w:kern w:val="36"/>
          <w:lang w:val="nl-NL"/>
        </w:rPr>
        <w:t xml:space="preserve">Rijksdienst voor Ondernemend Nederland </w:t>
      </w:r>
    </w:p>
    <w:p w14:paraId="42308E9F" w14:textId="0619843B" w:rsidR="00BE5C2E" w:rsidRPr="005D70FF" w:rsidRDefault="00BE5C2E" w:rsidP="005D70FF">
      <w:pPr>
        <w:spacing w:after="120"/>
        <w:ind w:left="2835"/>
        <w:rPr>
          <w:rFonts w:asciiTheme="minorHAnsi" w:hAnsiTheme="minorHAnsi" w:cstheme="minorHAnsi"/>
          <w:bCs/>
          <w:kern w:val="36"/>
          <w:lang w:val="nl-NL"/>
        </w:rPr>
      </w:pPr>
      <w:r w:rsidRPr="005D70FF">
        <w:rPr>
          <w:rFonts w:asciiTheme="minorHAnsi" w:hAnsiTheme="minorHAnsi" w:cstheme="minorHAnsi"/>
          <w:bCs/>
          <w:kern w:val="36"/>
          <w:lang w:val="nl-NL"/>
        </w:rPr>
        <w:t>(nizozemská agentura)</w:t>
      </w:r>
    </w:p>
    <w:p w14:paraId="5BDC4612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RVVI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Rada vlády pro výzkum, vývoj a inovace</w:t>
      </w:r>
    </w:p>
    <w:p w14:paraId="2C79185A" w14:textId="69B21E91" w:rsidR="00BE5C2E" w:rsidRPr="000D2CC7" w:rsidRDefault="00BE5C2E" w:rsidP="00BE5C2E">
      <w:pPr>
        <w:spacing w:after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0D2CC7">
        <w:rPr>
          <w:rFonts w:asciiTheme="minorHAnsi" w:hAnsiTheme="minorHAnsi" w:cstheme="minorHAnsi"/>
        </w:rPr>
        <w:t>tátní rozpočet</w:t>
      </w:r>
    </w:p>
    <w:p w14:paraId="3CA7F92E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 xml:space="preserve">TA ČR 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Technologická agentura České republiky</w:t>
      </w:r>
    </w:p>
    <w:p w14:paraId="4956389A" w14:textId="714B8920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VaVaI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</w:t>
      </w:r>
      <w:r w:rsidRPr="000D2CC7">
        <w:rPr>
          <w:rFonts w:asciiTheme="minorHAnsi" w:hAnsiTheme="minorHAnsi" w:cstheme="minorHAnsi"/>
        </w:rPr>
        <w:t>ýzkum, experimentální vývoj a inovace</w:t>
      </w:r>
    </w:p>
    <w:p w14:paraId="4FF18762" w14:textId="77777777" w:rsidR="00BE5C2E" w:rsidRPr="000D2CC7" w:rsidRDefault="00BE5C2E" w:rsidP="00BE5C2E">
      <w:pPr>
        <w:spacing w:after="120" w:line="264" w:lineRule="auto"/>
        <w:ind w:left="624" w:hanging="624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ZČU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Západočeská univerzita v Plzni</w:t>
      </w:r>
    </w:p>
    <w:sectPr w:rsidR="00BE5C2E" w:rsidRPr="000D2CC7" w:rsidSect="00872A16">
      <w:pgSz w:w="11907" w:h="16839" w:code="9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C7BC" w14:textId="77777777" w:rsidR="0062595F" w:rsidRDefault="0062595F">
      <w:r>
        <w:separator/>
      </w:r>
    </w:p>
  </w:endnote>
  <w:endnote w:type="continuationSeparator" w:id="0">
    <w:p w14:paraId="6532C74F" w14:textId="77777777" w:rsidR="0062595F" w:rsidRDefault="0062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55EC" w14:textId="77777777" w:rsidR="00A7600D" w:rsidRPr="00C2708B" w:rsidRDefault="00A7600D" w:rsidP="009A12AE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150987">
      <w:rPr>
        <w:rFonts w:asciiTheme="minorHAnsi" w:hAnsiTheme="minorHAnsi" w:cstheme="minorHAnsi"/>
        <w:noProof/>
      </w:rPr>
      <w:t>2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9312" w14:textId="77777777" w:rsidR="0062595F" w:rsidRDefault="0062595F">
      <w:r>
        <w:separator/>
      </w:r>
    </w:p>
  </w:footnote>
  <w:footnote w:type="continuationSeparator" w:id="0">
    <w:p w14:paraId="141B9FD8" w14:textId="77777777" w:rsidR="0062595F" w:rsidRDefault="0062595F">
      <w:r>
        <w:continuationSeparator/>
      </w:r>
    </w:p>
  </w:footnote>
  <w:footnote w:id="1">
    <w:p w14:paraId="2733F3D6" w14:textId="77777777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 xml:space="preserve">Zákon č. 130/2002 Sb., o podpoře výzkumu, experimentálního vývoje a inovací z veřejných prostředků a o změně některých souvisejících zákonů. Dne 15. </w:t>
      </w:r>
      <w:r>
        <w:rPr>
          <w:rFonts w:asciiTheme="minorHAnsi" w:hAnsiTheme="minorHAnsi" w:cstheme="minorHAnsi"/>
        </w:rPr>
        <w:t xml:space="preserve">dubna </w:t>
      </w:r>
      <w:r w:rsidRPr="005738F8">
        <w:rPr>
          <w:rFonts w:asciiTheme="minorHAnsi" w:hAnsiTheme="minorHAnsi" w:cstheme="minorHAnsi"/>
        </w:rPr>
        <w:t>2016 byl v Poslanecké sněmovně Parlamentu ČR schválen návrh zákona, kterým se mění zákon č. 130/2002 Sb.</w:t>
      </w:r>
    </w:p>
  </w:footnote>
  <w:footnote w:id="2">
    <w:p w14:paraId="0F1E2BD7" w14:textId="3F570A9B" w:rsidR="00A7600D" w:rsidRPr="008479DD" w:rsidRDefault="00A7600D" w:rsidP="005738F8">
      <w:pPr>
        <w:pStyle w:val="Textpoznpodarou"/>
        <w:ind w:left="284" w:hanging="284"/>
        <w:rPr>
          <w:rFonts w:asciiTheme="minorHAnsi" w:hAnsiTheme="minorHAnsi" w:cstheme="minorHAnsi"/>
        </w:rPr>
      </w:pPr>
      <w:r w:rsidRPr="008479DD">
        <w:rPr>
          <w:rStyle w:val="Znakapoznpodarou"/>
          <w:rFonts w:asciiTheme="minorHAnsi" w:hAnsiTheme="minorHAnsi" w:cstheme="minorHAnsi"/>
        </w:rPr>
        <w:footnoteRef/>
      </w:r>
      <w:r w:rsidRPr="008479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479DD">
        <w:rPr>
          <w:rFonts w:asciiTheme="minorHAnsi" w:hAnsiTheme="minorHAnsi" w:cstheme="minorHAnsi"/>
        </w:rPr>
        <w:t>Zákon č. 110/2009 Sb., kterým se mění zákon č. 130/2002 Sb.</w:t>
      </w:r>
    </w:p>
  </w:footnote>
  <w:footnote w:id="3">
    <w:p w14:paraId="13849B71" w14:textId="324DB7AA" w:rsidR="00A7600D" w:rsidRPr="007E68AF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E68AF">
        <w:rPr>
          <w:rStyle w:val="Znakapoznpodarou"/>
          <w:rFonts w:asciiTheme="minorHAnsi" w:hAnsiTheme="minorHAnsi" w:cstheme="minorHAnsi"/>
        </w:rPr>
        <w:footnoteRef/>
      </w:r>
      <w:r w:rsidRPr="007E68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E68AF">
        <w:rPr>
          <w:rFonts w:asciiTheme="minorHAnsi" w:hAnsiTheme="minorHAnsi" w:cstheme="minorHAnsi"/>
        </w:rPr>
        <w:t>TA ČR je členem sdružení inovačních agentur TAFTIE, které vzniklo za účelem dobrovolného šíření zku</w:t>
      </w:r>
      <w:r>
        <w:rPr>
          <w:rFonts w:asciiTheme="minorHAnsi" w:hAnsiTheme="minorHAnsi" w:cstheme="minorHAnsi"/>
        </w:rPr>
        <w:t xml:space="preserve">šeností a </w:t>
      </w:r>
      <w:r w:rsidRPr="007E68AF">
        <w:rPr>
          <w:rFonts w:asciiTheme="minorHAnsi" w:hAnsiTheme="minorHAnsi" w:cstheme="minorHAnsi"/>
        </w:rPr>
        <w:t>dobr</w:t>
      </w:r>
      <w:r>
        <w:rPr>
          <w:rFonts w:asciiTheme="minorHAnsi" w:hAnsiTheme="minorHAnsi" w:cstheme="minorHAnsi"/>
        </w:rPr>
        <w:t>é</w:t>
      </w:r>
      <w:r w:rsidRPr="007E68AF">
        <w:rPr>
          <w:rFonts w:asciiTheme="minorHAnsi" w:hAnsiTheme="minorHAnsi" w:cstheme="minorHAnsi"/>
        </w:rPr>
        <w:t xml:space="preserve"> prax</w:t>
      </w:r>
      <w:r>
        <w:rPr>
          <w:rFonts w:asciiTheme="minorHAnsi" w:hAnsiTheme="minorHAnsi" w:cstheme="minorHAnsi"/>
        </w:rPr>
        <w:t>e</w:t>
      </w:r>
      <w:r w:rsidRPr="007E68AF">
        <w:rPr>
          <w:rFonts w:asciiTheme="minorHAnsi" w:hAnsiTheme="minorHAnsi" w:cstheme="minorHAnsi"/>
        </w:rPr>
        <w:t xml:space="preserve"> mezi evropskými institucemi angažovanými na poli podpory výzkumu, vývoje a</w:t>
      </w:r>
      <w:r>
        <w:rPr>
          <w:rFonts w:asciiTheme="minorHAnsi" w:hAnsiTheme="minorHAnsi" w:cstheme="minorHAnsi"/>
        </w:rPr>
        <w:t> </w:t>
      </w:r>
      <w:r w:rsidRPr="007E68AF">
        <w:rPr>
          <w:rFonts w:asciiTheme="minorHAnsi" w:hAnsiTheme="minorHAnsi" w:cstheme="minorHAnsi"/>
        </w:rPr>
        <w:t>inovací.</w:t>
      </w:r>
    </w:p>
  </w:footnote>
  <w:footnote w:id="4">
    <w:p w14:paraId="614C0AB3" w14:textId="0F67E1EE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 xml:space="preserve">Dle ustanovení § 2 odst. 2 písm. l) zákona č. 130/2002 Sb. </w:t>
      </w:r>
      <w:r>
        <w:rPr>
          <w:rFonts w:asciiTheme="minorHAnsi" w:hAnsiTheme="minorHAnsi" w:cstheme="minorHAnsi"/>
        </w:rPr>
        <w:t xml:space="preserve">jsou </w:t>
      </w:r>
      <w:r w:rsidRPr="005738F8">
        <w:rPr>
          <w:rFonts w:asciiTheme="minorHAnsi" w:hAnsiTheme="minorHAnsi" w:cstheme="minorHAnsi"/>
        </w:rPr>
        <w:t>způsobilými náklady takové náklady nebo výdaje ve výzkumu, vývoji a inovacích, které mohou být příjemcem vynaloženy na činnosti ve výzkumu, vývoji a</w:t>
      </w:r>
      <w:r>
        <w:rPr>
          <w:rFonts w:asciiTheme="minorHAnsi" w:hAnsiTheme="minorHAnsi" w:cstheme="minorHAnsi"/>
        </w:rPr>
        <w:t> </w:t>
      </w:r>
      <w:r w:rsidRPr="005738F8">
        <w:rPr>
          <w:rFonts w:asciiTheme="minorHAnsi" w:hAnsiTheme="minorHAnsi" w:cstheme="minorHAnsi"/>
        </w:rPr>
        <w:t>inovacích nebo v souvislosti s</w:t>
      </w:r>
      <w:r>
        <w:rPr>
          <w:rFonts w:asciiTheme="minorHAnsi" w:hAnsiTheme="minorHAnsi" w:cstheme="minorHAnsi"/>
        </w:rPr>
        <w:t> </w:t>
      </w:r>
      <w:r w:rsidRPr="005738F8">
        <w:rPr>
          <w:rFonts w:asciiTheme="minorHAnsi" w:hAnsiTheme="minorHAnsi" w:cstheme="minorHAnsi"/>
        </w:rPr>
        <w:t>nimi</w:t>
      </w:r>
      <w:r>
        <w:rPr>
          <w:rFonts w:asciiTheme="minorHAnsi" w:hAnsiTheme="minorHAnsi" w:cstheme="minorHAnsi"/>
        </w:rPr>
        <w:t>,</w:t>
      </w:r>
      <w:r w:rsidRPr="005738F8">
        <w:rPr>
          <w:rFonts w:asciiTheme="minorHAnsi" w:hAnsiTheme="minorHAnsi" w:cstheme="minorHAnsi"/>
        </w:rPr>
        <w:t xml:space="preserve"> a dle písm. m) </w:t>
      </w:r>
      <w:r>
        <w:rPr>
          <w:rFonts w:asciiTheme="minorHAnsi" w:hAnsiTheme="minorHAnsi" w:cstheme="minorHAnsi"/>
        </w:rPr>
        <w:t xml:space="preserve">jsou </w:t>
      </w:r>
      <w:r w:rsidRPr="005738F8">
        <w:rPr>
          <w:rFonts w:asciiTheme="minorHAnsi" w:hAnsiTheme="minorHAnsi" w:cstheme="minorHAnsi"/>
        </w:rPr>
        <w:t>uznanými náklady takové způsobilé náklady nebo výdaje ve výzkumu, vývoji a inovacích, které poskytovatel schválí a které jsou zdůvodněné.</w:t>
      </w:r>
    </w:p>
  </w:footnote>
  <w:footnote w:id="5">
    <w:p w14:paraId="3D436E43" w14:textId="1F532EB8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>Celkové uznané náklady kontrolovaných projektů včetně části podpory převedené dalším účastníkům byly ve výši 629,5 mil. Kč.</w:t>
      </w:r>
    </w:p>
  </w:footnote>
  <w:footnote w:id="6">
    <w:p w14:paraId="5EE9D622" w14:textId="77777777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>V programu ALFA bylo v kontrolovaném období nejvíce ukončených projektů.</w:t>
      </w:r>
    </w:p>
  </w:footnote>
  <w:footnote w:id="7">
    <w:p w14:paraId="4BC8AF5E" w14:textId="6532322B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>Vnesená práva jsou práva k poznatkům, které jsou ve vlastnictví příjemce</w:t>
      </w:r>
      <w:r>
        <w:rPr>
          <w:rFonts w:asciiTheme="minorHAnsi" w:hAnsiTheme="minorHAnsi" w:cstheme="minorHAnsi"/>
        </w:rPr>
        <w:t>,</w:t>
      </w:r>
      <w:r w:rsidRPr="005738F8">
        <w:rPr>
          <w:rFonts w:asciiTheme="minorHAnsi" w:hAnsiTheme="minorHAnsi" w:cstheme="minorHAnsi"/>
        </w:rPr>
        <w:t xml:space="preserve"> resp. dalších účastníků před uzavřením smlouvy nebo které získají paralelně, avšak mimo provádění smlouvy, a které jsou nezbytné pro řešení projektu. </w:t>
      </w:r>
    </w:p>
  </w:footnote>
  <w:footnote w:id="8">
    <w:p w14:paraId="6CFC7AE5" w14:textId="553418B7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>Dle § 2 odst. 2 písm. c) zákona č. 130/2002 Sb. je příjemcem uchazeč, v jehož prospěch bylo o poskytnutí podpory poskytovatelem rozhodnuto.</w:t>
      </w:r>
    </w:p>
  </w:footnote>
  <w:footnote w:id="9">
    <w:p w14:paraId="2D03838D" w14:textId="3A5AF7D2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>Dle § 2 odst. 2 písm. j) zákona č. 130/2002 Sb. je dalším účastníkem projektu organizační složka státu nebo organizační jednotka ministerstva zabývající se výzkumem a vývojem, dále právnická osoba nebo fyzická osoba, jejíž účast na projektu je vymezena v návrhu projektu a s níž příjemce uzavřel smlouvu o účasti na řešení projektu.</w:t>
      </w:r>
    </w:p>
  </w:footnote>
  <w:footnote w:id="10">
    <w:p w14:paraId="7ADA8279" w14:textId="31418CE1" w:rsidR="00A7600D" w:rsidRPr="00B06D9A" w:rsidRDefault="00A7600D" w:rsidP="005738F8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Style w:val="Znakapoznpodarou"/>
          <w:rFonts w:asciiTheme="minorHAnsi" w:hAnsiTheme="minorHAnsi" w:cstheme="minorHAnsi"/>
        </w:rPr>
        <w:t xml:space="preserve"> </w:t>
      </w:r>
      <w:r>
        <w:rPr>
          <w:rStyle w:val="Znakapoznpodarou"/>
          <w:rFonts w:asciiTheme="minorHAnsi" w:hAnsiTheme="minorHAnsi" w:cstheme="minorHAnsi"/>
        </w:rPr>
        <w:tab/>
      </w:r>
      <w:r w:rsidRPr="005738F8">
        <w:rPr>
          <w:rStyle w:val="Znakapoznpodarou"/>
          <w:rFonts w:asciiTheme="minorHAnsi" w:hAnsiTheme="minorHAnsi" w:cstheme="minorHAnsi"/>
          <w:vertAlign w:val="baseline"/>
        </w:rPr>
        <w:t xml:space="preserve">Změna zákona č. 130/2002 Sb. (sněmovní tisk č. 489 ze dne 15. </w:t>
      </w:r>
      <w:r>
        <w:rPr>
          <w:rFonts w:asciiTheme="minorHAnsi" w:hAnsiTheme="minorHAnsi" w:cstheme="minorHAnsi"/>
        </w:rPr>
        <w:t xml:space="preserve">dubna </w:t>
      </w:r>
      <w:r w:rsidRPr="005738F8">
        <w:rPr>
          <w:rStyle w:val="Znakapoznpodarou"/>
          <w:rFonts w:asciiTheme="minorHAnsi" w:hAnsiTheme="minorHAnsi" w:cstheme="minorHAnsi"/>
          <w:vertAlign w:val="baseline"/>
        </w:rPr>
        <w:t>2016) předpokládá vypuštění povinnosti uzavírání smluv o využití výsledků</w:t>
      </w:r>
      <w:r>
        <w:rPr>
          <w:rFonts w:asciiTheme="minorHAnsi" w:hAnsiTheme="minorHAnsi" w:cstheme="minorHAnsi"/>
        </w:rPr>
        <w:t>.</w:t>
      </w:r>
    </w:p>
  </w:footnote>
  <w:footnote w:id="11">
    <w:p w14:paraId="2BCC5C63" w14:textId="77777777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A0846">
        <w:rPr>
          <w:rFonts w:asciiTheme="minorHAnsi" w:hAnsiTheme="minorHAnsi" w:cstheme="minorHAnsi"/>
          <w:color w:val="000000"/>
        </w:rPr>
        <w:t>Evropa 2020</w:t>
      </w:r>
      <w:r w:rsidRPr="005738F8">
        <w:rPr>
          <w:rFonts w:asciiTheme="minorHAnsi" w:hAnsiTheme="minorHAnsi" w:cstheme="minorHAnsi"/>
          <w:color w:val="000000"/>
        </w:rPr>
        <w:t xml:space="preserve"> je strategie EU pro růst pro nadcházející léta. Jejím cílem je učinit z EU inteligentní a</w:t>
      </w:r>
      <w:r>
        <w:rPr>
          <w:rFonts w:asciiTheme="minorHAnsi" w:hAnsiTheme="minorHAnsi" w:cstheme="minorHAnsi"/>
          <w:color w:val="000000"/>
        </w:rPr>
        <w:t> </w:t>
      </w:r>
      <w:r w:rsidRPr="005738F8">
        <w:rPr>
          <w:rFonts w:asciiTheme="minorHAnsi" w:hAnsiTheme="minorHAnsi" w:cstheme="minorHAnsi"/>
          <w:color w:val="000000"/>
        </w:rPr>
        <w:t>udržitelnou ekonomiku podporující začlenění.</w:t>
      </w:r>
    </w:p>
  </w:footnote>
  <w:footnote w:id="12">
    <w:p w14:paraId="5A010254" w14:textId="4DA9247E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>Z</w:t>
      </w:r>
      <w:r w:rsidRPr="005738F8">
        <w:rPr>
          <w:rFonts w:asciiTheme="minorHAnsi" w:hAnsiTheme="minorHAnsi" w:cstheme="minorHAnsi"/>
          <w:color w:val="000000"/>
        </w:rPr>
        <w:t>vláštní z</w:t>
      </w:r>
      <w:r w:rsidRPr="005738F8">
        <w:rPr>
          <w:rFonts w:asciiTheme="minorHAnsi" w:hAnsiTheme="minorHAnsi" w:cstheme="minorHAnsi"/>
        </w:rPr>
        <w:t>práva č. </w:t>
      </w:r>
      <w:r w:rsidRPr="005738F8">
        <w:rPr>
          <w:rFonts w:asciiTheme="minorHAnsi" w:hAnsiTheme="minorHAnsi" w:cstheme="minorHAnsi"/>
          <w:color w:val="000000"/>
        </w:rPr>
        <w:t xml:space="preserve">4/2016 </w:t>
      </w:r>
      <w:r>
        <w:rPr>
          <w:rFonts w:asciiTheme="minorHAnsi" w:hAnsiTheme="minorHAnsi" w:cstheme="minorHAnsi"/>
          <w:color w:val="000000"/>
        </w:rPr>
        <w:t xml:space="preserve">– </w:t>
      </w:r>
      <w:r w:rsidRPr="00CA0846">
        <w:rPr>
          <w:rFonts w:asciiTheme="minorHAnsi" w:hAnsiTheme="minorHAnsi" w:cstheme="minorHAnsi"/>
          <w:color w:val="000000"/>
        </w:rPr>
        <w:t>Evropský inovační a technologický institut musí upravit své realizační mechanismy a některé prvky své koncepce, aby dosáhl očekávaného dopadu</w:t>
      </w:r>
      <w:r w:rsidRPr="005738F8">
        <w:rPr>
          <w:rFonts w:asciiTheme="minorHAnsi" w:hAnsiTheme="minorHAnsi" w:cstheme="minorHAnsi"/>
        </w:rPr>
        <w:t>.</w:t>
      </w:r>
    </w:p>
  </w:footnote>
  <w:footnote w:id="13">
    <w:p w14:paraId="73C32B7A" w14:textId="13BEF0E6" w:rsidR="00A7600D" w:rsidRPr="005D70FF" w:rsidRDefault="00A7600D" w:rsidP="005738F8">
      <w:pPr>
        <w:pStyle w:val="Normln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38F8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5738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5D70FF">
        <w:rPr>
          <w:rFonts w:asciiTheme="minorHAnsi" w:hAnsiTheme="minorHAnsi" w:cstheme="minorHAnsi"/>
          <w:i/>
          <w:sz w:val="20"/>
          <w:szCs w:val="20"/>
        </w:rPr>
        <w:t xml:space="preserve">Národní priority </w:t>
      </w:r>
      <w:r w:rsidRPr="005D70FF">
        <w:rPr>
          <w:rStyle w:val="st1"/>
          <w:rFonts w:asciiTheme="minorHAnsi" w:hAnsiTheme="minorHAnsi" w:cstheme="minorHAnsi"/>
          <w:i/>
          <w:sz w:val="20"/>
          <w:szCs w:val="20"/>
        </w:rPr>
        <w:t>orientovaného výzkumu, experimentálního vývoje a inovací</w:t>
      </w:r>
      <w:r w:rsidRPr="005D70FF">
        <w:rPr>
          <w:rStyle w:val="st1"/>
          <w:rFonts w:ascii="Arial" w:hAnsi="Arial" w:cs="Arial"/>
        </w:rPr>
        <w:t xml:space="preserve"> </w:t>
      </w:r>
      <w:r w:rsidRPr="003E05DD">
        <w:rPr>
          <w:rFonts w:asciiTheme="minorHAnsi" w:hAnsiTheme="minorHAnsi" w:cstheme="minorHAnsi"/>
          <w:sz w:val="20"/>
          <w:szCs w:val="20"/>
        </w:rPr>
        <w:t xml:space="preserve">schválila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D70FF">
        <w:rPr>
          <w:rFonts w:asciiTheme="minorHAnsi" w:hAnsiTheme="minorHAnsi" w:cstheme="minorHAnsi"/>
          <w:sz w:val="20"/>
          <w:szCs w:val="20"/>
        </w:rPr>
        <w:t xml:space="preserve">láda ČR </w:t>
      </w:r>
      <w:r>
        <w:rPr>
          <w:rFonts w:asciiTheme="minorHAnsi" w:hAnsiTheme="minorHAnsi" w:cstheme="minorHAnsi"/>
          <w:sz w:val="20"/>
          <w:szCs w:val="20"/>
        </w:rPr>
        <w:t xml:space="preserve">svým </w:t>
      </w:r>
      <w:r w:rsidRPr="005D70FF">
        <w:rPr>
          <w:rFonts w:asciiTheme="minorHAnsi" w:hAnsiTheme="minorHAnsi" w:cstheme="minorHAnsi"/>
          <w:sz w:val="20"/>
          <w:szCs w:val="20"/>
        </w:rPr>
        <w:t>usnesením ze dne 19. července 2012</w:t>
      </w:r>
      <w:r w:rsidRPr="000413E1">
        <w:rPr>
          <w:rFonts w:asciiTheme="minorHAnsi" w:hAnsiTheme="minorHAnsi" w:cstheme="minorHAnsi"/>
          <w:sz w:val="20"/>
          <w:szCs w:val="20"/>
        </w:rPr>
        <w:t xml:space="preserve"> </w:t>
      </w:r>
      <w:r w:rsidRPr="00444C34">
        <w:rPr>
          <w:rFonts w:asciiTheme="minorHAnsi" w:hAnsiTheme="minorHAnsi" w:cstheme="minorHAnsi"/>
          <w:sz w:val="20"/>
          <w:szCs w:val="20"/>
        </w:rPr>
        <w:t>č. 552</w:t>
      </w:r>
      <w:r w:rsidRPr="005D70FF">
        <w:rPr>
          <w:rFonts w:asciiTheme="minorHAnsi" w:hAnsiTheme="minorHAnsi" w:cstheme="minorHAnsi"/>
          <w:sz w:val="20"/>
          <w:szCs w:val="20"/>
        </w:rPr>
        <w:t>. Materiál obsahuje 6 prioritních oblastí VaVaI.</w:t>
      </w:r>
    </w:p>
    <w:p w14:paraId="2167D4CB" w14:textId="77777777" w:rsidR="00A7600D" w:rsidRPr="005738F8" w:rsidRDefault="00A7600D" w:rsidP="005738F8">
      <w:pPr>
        <w:pStyle w:val="Textpoznpodarou"/>
        <w:ind w:left="284" w:hanging="284"/>
        <w:rPr>
          <w:rFonts w:asciiTheme="minorHAnsi" w:hAnsiTheme="minorHAnsi" w:cstheme="minorHAnsi"/>
        </w:rPr>
      </w:pPr>
    </w:p>
  </w:footnote>
  <w:footnote w:id="14">
    <w:p w14:paraId="275B31C2" w14:textId="2CC2551A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I</w:t>
      </w:r>
      <w:r w:rsidRPr="005738F8">
        <w:rPr>
          <w:rFonts w:asciiTheme="minorHAnsi" w:hAnsiTheme="minorHAnsi" w:cstheme="minorHAnsi"/>
        </w:rPr>
        <w:t xml:space="preserve">ndikátor </w:t>
      </w:r>
      <w:r>
        <w:rPr>
          <w:rFonts w:asciiTheme="minorHAnsi" w:hAnsiTheme="minorHAnsi" w:cstheme="minorHAnsi"/>
        </w:rPr>
        <w:t>i</w:t>
      </w:r>
      <w:r w:rsidRPr="005738F8">
        <w:rPr>
          <w:rFonts w:asciiTheme="minorHAnsi" w:hAnsiTheme="minorHAnsi" w:cstheme="minorHAnsi"/>
        </w:rPr>
        <w:t>novační výkonnosti (</w:t>
      </w:r>
      <w:r w:rsidRPr="005D70FF">
        <w:rPr>
          <w:rFonts w:asciiTheme="minorHAnsi" w:hAnsiTheme="minorHAnsi" w:cstheme="minorHAnsi"/>
          <w:i/>
        </w:rPr>
        <w:t>Innovation Union Scoreboard</w:t>
      </w:r>
      <w:r w:rsidRPr="005738F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5738F8">
        <w:rPr>
          <w:rFonts w:asciiTheme="minorHAnsi" w:hAnsiTheme="minorHAnsi" w:cstheme="minorHAnsi"/>
        </w:rPr>
        <w:t xml:space="preserve">= </w:t>
      </w:r>
      <w:r>
        <w:rPr>
          <w:rFonts w:asciiTheme="minorHAnsi" w:hAnsiTheme="minorHAnsi" w:cstheme="minorHAnsi"/>
        </w:rPr>
        <w:t>z</w:t>
      </w:r>
      <w:r w:rsidRPr="005738F8">
        <w:rPr>
          <w:rFonts w:asciiTheme="minorHAnsi" w:hAnsiTheme="minorHAnsi" w:cstheme="minorHAnsi"/>
        </w:rPr>
        <w:t>ákladní analytický nástroj pro porovná</w:t>
      </w:r>
      <w:r>
        <w:rPr>
          <w:rFonts w:asciiTheme="minorHAnsi" w:hAnsiTheme="minorHAnsi" w:cstheme="minorHAnsi"/>
        </w:rPr>
        <w:t>vá</w:t>
      </w:r>
      <w:r w:rsidRPr="005738F8">
        <w:rPr>
          <w:rFonts w:asciiTheme="minorHAnsi" w:hAnsiTheme="minorHAnsi" w:cstheme="minorHAnsi"/>
        </w:rPr>
        <w:t>ní inovační výkonnosti evropských zemí (</w:t>
      </w:r>
      <w:hyperlink r:id="rId1" w:history="1">
        <w:r w:rsidRPr="005738F8">
          <w:rPr>
            <w:rStyle w:val="Hypertextovodkaz"/>
            <w:rFonts w:asciiTheme="minorHAnsi" w:hAnsiTheme="minorHAnsi" w:cstheme="minorHAnsi"/>
          </w:rPr>
          <w:t>www.strast.cz</w:t>
        </w:r>
      </w:hyperlink>
      <w:r w:rsidRPr="005738F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5738F8">
        <w:rPr>
          <w:rFonts w:asciiTheme="minorHAnsi" w:hAnsiTheme="minorHAnsi" w:cstheme="minorHAnsi"/>
        </w:rPr>
        <w:t xml:space="preserve">ndikátor </w:t>
      </w:r>
      <w:r>
        <w:rPr>
          <w:rFonts w:asciiTheme="minorHAnsi" w:hAnsiTheme="minorHAnsi" w:cstheme="minorHAnsi"/>
        </w:rPr>
        <w:t>i</w:t>
      </w:r>
      <w:r w:rsidRPr="005738F8">
        <w:rPr>
          <w:rFonts w:asciiTheme="minorHAnsi" w:hAnsiTheme="minorHAnsi" w:cstheme="minorHAnsi"/>
        </w:rPr>
        <w:t xml:space="preserve">novační výkonnosti se netýká pouze TA ČR, ale všech poskytovatelů účelové podpory </w:t>
      </w:r>
      <w:r>
        <w:rPr>
          <w:rFonts w:asciiTheme="minorHAnsi" w:hAnsiTheme="minorHAnsi" w:cstheme="minorHAnsi"/>
        </w:rPr>
        <w:t xml:space="preserve">na </w:t>
      </w:r>
      <w:r w:rsidRPr="005738F8">
        <w:rPr>
          <w:rFonts w:asciiTheme="minorHAnsi" w:hAnsiTheme="minorHAnsi" w:cstheme="minorHAnsi"/>
        </w:rPr>
        <w:t>VaVaI v ČR (sedm ministerstev a dvě agentury)</w:t>
      </w:r>
      <w:r>
        <w:rPr>
          <w:rFonts w:asciiTheme="minorHAnsi" w:hAnsiTheme="minorHAnsi" w:cstheme="minorHAnsi"/>
        </w:rPr>
        <w:t>.</w:t>
      </w:r>
    </w:p>
  </w:footnote>
  <w:footnote w:id="15">
    <w:p w14:paraId="7090BA49" w14:textId="77777777" w:rsidR="00A7600D" w:rsidRPr="007C384E" w:rsidRDefault="00A7600D" w:rsidP="005738F8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C384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C384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7C384E">
        <w:rPr>
          <w:rFonts w:asciiTheme="minorHAnsi" w:hAnsiTheme="minorHAnsi" w:cstheme="minorHAnsi"/>
          <w:sz w:val="18"/>
          <w:szCs w:val="18"/>
        </w:rPr>
        <w:t xml:space="preserve">Sněmovní tisk č. 489 ze dne 15. </w:t>
      </w:r>
      <w:r>
        <w:rPr>
          <w:rFonts w:asciiTheme="minorHAnsi" w:hAnsiTheme="minorHAnsi" w:cstheme="minorHAnsi"/>
          <w:sz w:val="18"/>
          <w:szCs w:val="18"/>
        </w:rPr>
        <w:t>dubna</w:t>
      </w:r>
      <w:r w:rsidRPr="007C384E">
        <w:rPr>
          <w:rFonts w:asciiTheme="minorHAnsi" w:hAnsiTheme="minorHAnsi" w:cstheme="minorHAnsi"/>
          <w:sz w:val="18"/>
          <w:szCs w:val="18"/>
        </w:rPr>
        <w:t xml:space="preserve"> 2016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16">
    <w:p w14:paraId="7B47886A" w14:textId="36479D5D" w:rsidR="00A7600D" w:rsidRPr="00AD28AE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</w:rPr>
      </w:pPr>
      <w:r w:rsidRPr="00AD28AE">
        <w:rPr>
          <w:rStyle w:val="Znakapoznpodarou"/>
          <w:rFonts w:asciiTheme="minorHAnsi" w:hAnsiTheme="minorHAnsi" w:cstheme="minorHAnsi"/>
          <w:sz w:val="18"/>
        </w:rPr>
        <w:footnoteRef/>
      </w:r>
      <w:r w:rsidRPr="00AD28AE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 w:rsidRPr="00AD28AE">
        <w:rPr>
          <w:rFonts w:asciiTheme="minorHAnsi" w:hAnsiTheme="minorHAnsi" w:cstheme="minorHAnsi"/>
          <w:sz w:val="18"/>
        </w:rPr>
        <w:t xml:space="preserve">Dle </w:t>
      </w:r>
      <w:r>
        <w:rPr>
          <w:rFonts w:asciiTheme="minorHAnsi" w:hAnsiTheme="minorHAnsi" w:cstheme="minorHAnsi"/>
          <w:sz w:val="18"/>
        </w:rPr>
        <w:t xml:space="preserve">ustanovení </w:t>
      </w:r>
      <w:r w:rsidRPr="00AD28AE">
        <w:rPr>
          <w:rFonts w:asciiTheme="minorHAnsi" w:hAnsiTheme="minorHAnsi" w:cstheme="minorHAnsi"/>
          <w:sz w:val="18"/>
        </w:rPr>
        <w:t>§ 21 odst. 6 zákona č. 130/2002 Sb. odborný poradní orgán zajistí objektivní a nezaujaté hodnocení návrhů projektů podle vyhlášených pravidel a kritérií veřejné soutěže ve výzkumu, vývo</w:t>
      </w:r>
      <w:r>
        <w:rPr>
          <w:rFonts w:asciiTheme="minorHAnsi" w:hAnsiTheme="minorHAnsi" w:cstheme="minorHAnsi"/>
          <w:sz w:val="18"/>
        </w:rPr>
        <w:t>ji a inovacích s přihlédnutím k </w:t>
      </w:r>
      <w:r w:rsidRPr="00AD28AE">
        <w:rPr>
          <w:rFonts w:asciiTheme="minorHAnsi" w:hAnsiTheme="minorHAnsi" w:cstheme="minorHAnsi"/>
          <w:sz w:val="18"/>
        </w:rPr>
        <w:t>posudkům oponentů. O výsledku hodnocení každého návrhu projektu zpracuje odborný poradní orgán protokol.</w:t>
      </w:r>
    </w:p>
  </w:footnote>
  <w:footnote w:id="17">
    <w:p w14:paraId="02493B21" w14:textId="746CC73B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 xml:space="preserve">V ustanovení § 11 odst. 1 zákona č. 130/2002 Sb. je uvedeno: </w:t>
      </w:r>
      <w:r>
        <w:rPr>
          <w:rFonts w:asciiTheme="minorHAnsi" w:hAnsiTheme="minorHAnsi" w:cstheme="minorHAnsi"/>
        </w:rPr>
        <w:t>„</w:t>
      </w:r>
      <w:r w:rsidRPr="005D70FF">
        <w:rPr>
          <w:rFonts w:asciiTheme="minorHAnsi" w:hAnsiTheme="minorHAnsi" w:cstheme="minorHAnsi"/>
          <w:i/>
        </w:rPr>
        <w:t>Příjemce podpory na řešení projektu aplikovaného výzkumu uzavře s uživatelem výsledků smlouvu o využití výsledků, kterou předloží poskytovateli nejpozději před ukončením řešení projektu. Při uzavírání smlouvy o využití výsledků se vychází z úpravy užívacích a vlastnických práv k výsledkům uvedené ve smlouvě o poskytnutí podpory podle § 9 odst.</w:t>
      </w:r>
      <w:r>
        <w:rPr>
          <w:rFonts w:asciiTheme="minorHAnsi" w:hAnsiTheme="minorHAnsi" w:cstheme="minorHAnsi"/>
          <w:i/>
        </w:rPr>
        <w:t> </w:t>
      </w:r>
      <w:r w:rsidRPr="005D70FF">
        <w:rPr>
          <w:rFonts w:asciiTheme="minorHAnsi" w:hAnsiTheme="minorHAnsi" w:cstheme="minorHAnsi"/>
          <w:i/>
        </w:rPr>
        <w:t>1 písm. h)</w:t>
      </w:r>
      <w:r w:rsidRPr="005738F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“</w:t>
      </w:r>
    </w:p>
  </w:footnote>
  <w:footnote w:id="18">
    <w:p w14:paraId="4E6E14C3" w14:textId="457079A5" w:rsidR="00A7600D" w:rsidRPr="005738F8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 xml:space="preserve">Z 34 kontrolovaných projektů </w:t>
      </w:r>
      <w:r>
        <w:rPr>
          <w:rFonts w:asciiTheme="minorHAnsi" w:hAnsiTheme="minorHAnsi" w:cstheme="minorHAnsi"/>
        </w:rPr>
        <w:t xml:space="preserve">programu ALFA </w:t>
      </w:r>
      <w:r w:rsidRPr="005738F8">
        <w:rPr>
          <w:rFonts w:asciiTheme="minorHAnsi" w:hAnsiTheme="minorHAnsi" w:cstheme="minorHAnsi"/>
        </w:rPr>
        <w:t>bylo ke dni 31.</w:t>
      </w:r>
      <w:r>
        <w:rPr>
          <w:rFonts w:asciiTheme="minorHAnsi" w:hAnsiTheme="minorHAnsi" w:cstheme="minorHAnsi"/>
        </w:rPr>
        <w:t xml:space="preserve"> prosince </w:t>
      </w:r>
      <w:r w:rsidRPr="005738F8">
        <w:rPr>
          <w:rFonts w:asciiTheme="minorHAnsi" w:hAnsiTheme="minorHAnsi" w:cstheme="minorHAnsi"/>
        </w:rPr>
        <w:t>2013 ukončeno 8 projektů, ke dni 31.</w:t>
      </w:r>
      <w:r>
        <w:rPr>
          <w:rFonts w:asciiTheme="minorHAnsi" w:hAnsiTheme="minorHAnsi" w:cstheme="minorHAnsi"/>
        </w:rPr>
        <w:t xml:space="preserve"> prosince </w:t>
      </w:r>
      <w:r w:rsidRPr="005738F8">
        <w:rPr>
          <w:rFonts w:asciiTheme="minorHAnsi" w:hAnsiTheme="minorHAnsi" w:cstheme="minorHAnsi"/>
        </w:rPr>
        <w:t>2014 bylo ukončeno 13 projektů (tj. celkem 21 projektů).</w:t>
      </w:r>
    </w:p>
  </w:footnote>
  <w:footnote w:id="19">
    <w:p w14:paraId="701F6A62" w14:textId="06F79705" w:rsidR="00A7600D" w:rsidRPr="00687D9B" w:rsidRDefault="00A7600D" w:rsidP="005738F8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</w:rPr>
      </w:pPr>
      <w:r w:rsidRPr="005738F8">
        <w:rPr>
          <w:rStyle w:val="Znakapoznpodarou"/>
          <w:rFonts w:asciiTheme="minorHAnsi" w:hAnsiTheme="minorHAnsi" w:cstheme="minorHAnsi"/>
        </w:rPr>
        <w:footnoteRef/>
      </w:r>
      <w:r w:rsidRPr="00573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38F8">
        <w:rPr>
          <w:rFonts w:asciiTheme="minorHAnsi" w:hAnsiTheme="minorHAnsi" w:cstheme="minorHAnsi"/>
        </w:rPr>
        <w:t xml:space="preserve">Přínosy projektů ukončených k 31. </w:t>
      </w:r>
      <w:r>
        <w:rPr>
          <w:rFonts w:asciiTheme="minorHAnsi" w:hAnsiTheme="minorHAnsi" w:cstheme="minorHAnsi"/>
        </w:rPr>
        <w:t xml:space="preserve">prosinci </w:t>
      </w:r>
      <w:r w:rsidRPr="005738F8">
        <w:rPr>
          <w:rFonts w:asciiTheme="minorHAnsi" w:hAnsiTheme="minorHAnsi" w:cstheme="minorHAnsi"/>
        </w:rPr>
        <w:t>2014 dle implementačního plánu v</w:t>
      </w:r>
      <w:r>
        <w:rPr>
          <w:rFonts w:asciiTheme="minorHAnsi" w:hAnsiTheme="minorHAnsi" w:cstheme="minorHAnsi"/>
        </w:rPr>
        <w:t xml:space="preserve"> prvním </w:t>
      </w:r>
      <w:r w:rsidRPr="005738F8">
        <w:rPr>
          <w:rFonts w:asciiTheme="minorHAnsi" w:hAnsiTheme="minorHAnsi" w:cstheme="minorHAnsi"/>
        </w:rPr>
        <w:t>roce lze kontrolovat až po lhůtě pro předložení zprávy o implementaci výsledků projektu</w:t>
      </w:r>
      <w:r>
        <w:rPr>
          <w:rFonts w:asciiTheme="minorHAnsi" w:hAnsiTheme="minorHAnsi" w:cstheme="minorHAnsi"/>
        </w:rPr>
        <w:t>,</w:t>
      </w:r>
      <w:r w:rsidRPr="005738F8">
        <w:rPr>
          <w:rFonts w:asciiTheme="minorHAnsi" w:hAnsiTheme="minorHAnsi" w:cstheme="minorHAnsi"/>
        </w:rPr>
        <w:t xml:space="preserve"> tj. po 31. </w:t>
      </w:r>
      <w:r>
        <w:rPr>
          <w:rFonts w:asciiTheme="minorHAnsi" w:hAnsiTheme="minorHAnsi" w:cstheme="minorHAnsi"/>
        </w:rPr>
        <w:t xml:space="preserve">lednu </w:t>
      </w:r>
      <w:r w:rsidRPr="005738F8">
        <w:rPr>
          <w:rFonts w:asciiTheme="minorHAnsi" w:hAnsiTheme="minorHAnsi" w:cstheme="minorHAnsi"/>
        </w:rPr>
        <w:t>2016.</w:t>
      </w:r>
      <w:r w:rsidRPr="00687D9B">
        <w:rPr>
          <w:rFonts w:asciiTheme="minorHAnsi" w:hAnsiTheme="minorHAnsi" w:cstheme="minorHAnsi"/>
          <w:sz w:val="18"/>
        </w:rPr>
        <w:t xml:space="preserve"> </w:t>
      </w:r>
    </w:p>
  </w:footnote>
  <w:footnote w:id="20">
    <w:p w14:paraId="004137E1" w14:textId="77777777" w:rsidR="00A7600D" w:rsidRPr="00034AA9" w:rsidRDefault="00A7600D" w:rsidP="005738F8">
      <w:pPr>
        <w:pStyle w:val="Textpoznpodarou"/>
        <w:ind w:left="284" w:hanging="284"/>
        <w:rPr>
          <w:rFonts w:asciiTheme="minorHAnsi" w:hAnsiTheme="minorHAnsi" w:cstheme="minorHAnsi"/>
        </w:rPr>
      </w:pPr>
      <w:r w:rsidRPr="00034AA9">
        <w:rPr>
          <w:rStyle w:val="Znakapoznpodarou"/>
          <w:rFonts w:asciiTheme="minorHAnsi" w:hAnsiTheme="minorHAnsi" w:cstheme="minorHAnsi"/>
        </w:rPr>
        <w:footnoteRef/>
      </w:r>
      <w:r w:rsidRPr="00034A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34AA9">
        <w:rPr>
          <w:rFonts w:asciiTheme="minorHAnsi" w:hAnsiTheme="minorHAnsi" w:cstheme="minorHAnsi"/>
        </w:rPr>
        <w:t>EU28 – 28 členských států Evropské unie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22D2"/>
    <w:multiLevelType w:val="hybridMultilevel"/>
    <w:tmpl w:val="D4EE4ACC"/>
    <w:lvl w:ilvl="0" w:tplc="13526EF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42C06"/>
    <w:multiLevelType w:val="hybridMultilevel"/>
    <w:tmpl w:val="3BD81DB6"/>
    <w:lvl w:ilvl="0" w:tplc="53820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737A"/>
    <w:multiLevelType w:val="hybridMultilevel"/>
    <w:tmpl w:val="9CF4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EA2609"/>
    <w:multiLevelType w:val="hybridMultilevel"/>
    <w:tmpl w:val="A440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A5B51"/>
    <w:multiLevelType w:val="hybridMultilevel"/>
    <w:tmpl w:val="E5603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B67D30"/>
    <w:multiLevelType w:val="hybridMultilevel"/>
    <w:tmpl w:val="D9FC43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D21F26"/>
    <w:multiLevelType w:val="hybridMultilevel"/>
    <w:tmpl w:val="D0CC9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71390"/>
    <w:multiLevelType w:val="multilevel"/>
    <w:tmpl w:val="797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C3CC1"/>
    <w:multiLevelType w:val="hybridMultilevel"/>
    <w:tmpl w:val="F3CC7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B91"/>
    <w:rsid w:val="00002073"/>
    <w:rsid w:val="0000236D"/>
    <w:rsid w:val="0000285D"/>
    <w:rsid w:val="0000330E"/>
    <w:rsid w:val="000033DB"/>
    <w:rsid w:val="00003B60"/>
    <w:rsid w:val="00003D20"/>
    <w:rsid w:val="00003EAD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07FD1"/>
    <w:rsid w:val="000104BD"/>
    <w:rsid w:val="0001113E"/>
    <w:rsid w:val="000112F9"/>
    <w:rsid w:val="00011810"/>
    <w:rsid w:val="000119C8"/>
    <w:rsid w:val="00011EF7"/>
    <w:rsid w:val="0001248D"/>
    <w:rsid w:val="000124FE"/>
    <w:rsid w:val="00013006"/>
    <w:rsid w:val="000131C6"/>
    <w:rsid w:val="00013507"/>
    <w:rsid w:val="000138FD"/>
    <w:rsid w:val="00013A3C"/>
    <w:rsid w:val="000141DD"/>
    <w:rsid w:val="00014603"/>
    <w:rsid w:val="000152B0"/>
    <w:rsid w:val="0001567E"/>
    <w:rsid w:val="000156CF"/>
    <w:rsid w:val="0001597F"/>
    <w:rsid w:val="00015CCB"/>
    <w:rsid w:val="00015F28"/>
    <w:rsid w:val="000163B7"/>
    <w:rsid w:val="000172AE"/>
    <w:rsid w:val="00017773"/>
    <w:rsid w:val="00017BE6"/>
    <w:rsid w:val="00017E46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A45"/>
    <w:rsid w:val="00024E81"/>
    <w:rsid w:val="000254CB"/>
    <w:rsid w:val="00025A70"/>
    <w:rsid w:val="00025CF1"/>
    <w:rsid w:val="00025E01"/>
    <w:rsid w:val="00026AFA"/>
    <w:rsid w:val="00027D3C"/>
    <w:rsid w:val="00030772"/>
    <w:rsid w:val="000307C5"/>
    <w:rsid w:val="0003087F"/>
    <w:rsid w:val="00030DD7"/>
    <w:rsid w:val="0003111A"/>
    <w:rsid w:val="00031292"/>
    <w:rsid w:val="000314CC"/>
    <w:rsid w:val="00031A57"/>
    <w:rsid w:val="00031C8A"/>
    <w:rsid w:val="00031D26"/>
    <w:rsid w:val="00031DEE"/>
    <w:rsid w:val="00032482"/>
    <w:rsid w:val="000326DA"/>
    <w:rsid w:val="000328E1"/>
    <w:rsid w:val="00033741"/>
    <w:rsid w:val="000342ED"/>
    <w:rsid w:val="00034393"/>
    <w:rsid w:val="000343CF"/>
    <w:rsid w:val="000343E1"/>
    <w:rsid w:val="000347C0"/>
    <w:rsid w:val="00034844"/>
    <w:rsid w:val="00034AA9"/>
    <w:rsid w:val="000357D3"/>
    <w:rsid w:val="00037363"/>
    <w:rsid w:val="000406B5"/>
    <w:rsid w:val="000407CE"/>
    <w:rsid w:val="0004108C"/>
    <w:rsid w:val="000413E1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0E2"/>
    <w:rsid w:val="00043439"/>
    <w:rsid w:val="000437B0"/>
    <w:rsid w:val="00043891"/>
    <w:rsid w:val="00043B34"/>
    <w:rsid w:val="00043B6B"/>
    <w:rsid w:val="0004461C"/>
    <w:rsid w:val="00044938"/>
    <w:rsid w:val="000459C2"/>
    <w:rsid w:val="00045E0B"/>
    <w:rsid w:val="000465B1"/>
    <w:rsid w:val="00046CD6"/>
    <w:rsid w:val="00050407"/>
    <w:rsid w:val="00050E1F"/>
    <w:rsid w:val="00051606"/>
    <w:rsid w:val="00051EBF"/>
    <w:rsid w:val="00052837"/>
    <w:rsid w:val="00052CBB"/>
    <w:rsid w:val="00052F4A"/>
    <w:rsid w:val="000530F1"/>
    <w:rsid w:val="000532AB"/>
    <w:rsid w:val="00054517"/>
    <w:rsid w:val="00054696"/>
    <w:rsid w:val="0005491B"/>
    <w:rsid w:val="000549C6"/>
    <w:rsid w:val="00054BBC"/>
    <w:rsid w:val="00054E4B"/>
    <w:rsid w:val="000550B4"/>
    <w:rsid w:val="000558EC"/>
    <w:rsid w:val="000559BB"/>
    <w:rsid w:val="00055A17"/>
    <w:rsid w:val="000569A4"/>
    <w:rsid w:val="00056F50"/>
    <w:rsid w:val="00057193"/>
    <w:rsid w:val="00057235"/>
    <w:rsid w:val="00057577"/>
    <w:rsid w:val="00057A70"/>
    <w:rsid w:val="00057CBE"/>
    <w:rsid w:val="00060843"/>
    <w:rsid w:val="00060C32"/>
    <w:rsid w:val="000613C2"/>
    <w:rsid w:val="00061429"/>
    <w:rsid w:val="00061621"/>
    <w:rsid w:val="0006260B"/>
    <w:rsid w:val="00064144"/>
    <w:rsid w:val="000641DB"/>
    <w:rsid w:val="000642CE"/>
    <w:rsid w:val="00064524"/>
    <w:rsid w:val="0006454E"/>
    <w:rsid w:val="000647BD"/>
    <w:rsid w:val="00064CAA"/>
    <w:rsid w:val="00064DEF"/>
    <w:rsid w:val="00064F00"/>
    <w:rsid w:val="000654EA"/>
    <w:rsid w:val="00066699"/>
    <w:rsid w:val="0006671D"/>
    <w:rsid w:val="00066725"/>
    <w:rsid w:val="00066D9F"/>
    <w:rsid w:val="00066E48"/>
    <w:rsid w:val="00067642"/>
    <w:rsid w:val="00067667"/>
    <w:rsid w:val="00070408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D5A"/>
    <w:rsid w:val="000732F3"/>
    <w:rsid w:val="0007408B"/>
    <w:rsid w:val="00074954"/>
    <w:rsid w:val="00074A01"/>
    <w:rsid w:val="00075409"/>
    <w:rsid w:val="00075C06"/>
    <w:rsid w:val="00076806"/>
    <w:rsid w:val="00077153"/>
    <w:rsid w:val="00077196"/>
    <w:rsid w:val="000772FC"/>
    <w:rsid w:val="00077727"/>
    <w:rsid w:val="00080987"/>
    <w:rsid w:val="00080C12"/>
    <w:rsid w:val="00080EDC"/>
    <w:rsid w:val="00081221"/>
    <w:rsid w:val="000813FB"/>
    <w:rsid w:val="00081F8E"/>
    <w:rsid w:val="00082640"/>
    <w:rsid w:val="0008264D"/>
    <w:rsid w:val="000828E4"/>
    <w:rsid w:val="00082FB7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87F21"/>
    <w:rsid w:val="000903FF"/>
    <w:rsid w:val="000908D8"/>
    <w:rsid w:val="0009092D"/>
    <w:rsid w:val="000913CB"/>
    <w:rsid w:val="00091459"/>
    <w:rsid w:val="000919E2"/>
    <w:rsid w:val="00091A81"/>
    <w:rsid w:val="000927F6"/>
    <w:rsid w:val="0009286D"/>
    <w:rsid w:val="000928BB"/>
    <w:rsid w:val="000928EE"/>
    <w:rsid w:val="00092FA7"/>
    <w:rsid w:val="000932A7"/>
    <w:rsid w:val="0009336C"/>
    <w:rsid w:val="00093E2F"/>
    <w:rsid w:val="00094A2D"/>
    <w:rsid w:val="00094B6E"/>
    <w:rsid w:val="00095323"/>
    <w:rsid w:val="00095329"/>
    <w:rsid w:val="00095721"/>
    <w:rsid w:val="00095904"/>
    <w:rsid w:val="0009635C"/>
    <w:rsid w:val="00096DF6"/>
    <w:rsid w:val="00096E1C"/>
    <w:rsid w:val="00096F81"/>
    <w:rsid w:val="0009709F"/>
    <w:rsid w:val="0009745F"/>
    <w:rsid w:val="000979E8"/>
    <w:rsid w:val="000A0A28"/>
    <w:rsid w:val="000A0AB9"/>
    <w:rsid w:val="000A0E63"/>
    <w:rsid w:val="000A0FA8"/>
    <w:rsid w:val="000A15CA"/>
    <w:rsid w:val="000A2538"/>
    <w:rsid w:val="000A39BB"/>
    <w:rsid w:val="000A41A3"/>
    <w:rsid w:val="000A446F"/>
    <w:rsid w:val="000A46D3"/>
    <w:rsid w:val="000A4816"/>
    <w:rsid w:val="000A53CC"/>
    <w:rsid w:val="000A58F6"/>
    <w:rsid w:val="000A7392"/>
    <w:rsid w:val="000B02A7"/>
    <w:rsid w:val="000B04BE"/>
    <w:rsid w:val="000B114F"/>
    <w:rsid w:val="000B12F1"/>
    <w:rsid w:val="000B1348"/>
    <w:rsid w:val="000B1C04"/>
    <w:rsid w:val="000B25C3"/>
    <w:rsid w:val="000B3105"/>
    <w:rsid w:val="000B3145"/>
    <w:rsid w:val="000B3978"/>
    <w:rsid w:val="000B3B08"/>
    <w:rsid w:val="000B3B74"/>
    <w:rsid w:val="000B556B"/>
    <w:rsid w:val="000B571C"/>
    <w:rsid w:val="000B5FE2"/>
    <w:rsid w:val="000B6D43"/>
    <w:rsid w:val="000B710A"/>
    <w:rsid w:val="000B7411"/>
    <w:rsid w:val="000B75F0"/>
    <w:rsid w:val="000C113C"/>
    <w:rsid w:val="000C1234"/>
    <w:rsid w:val="000C18EF"/>
    <w:rsid w:val="000C1C55"/>
    <w:rsid w:val="000C1DFD"/>
    <w:rsid w:val="000C1E95"/>
    <w:rsid w:val="000C2190"/>
    <w:rsid w:val="000C28BB"/>
    <w:rsid w:val="000C3130"/>
    <w:rsid w:val="000C320D"/>
    <w:rsid w:val="000C3B6B"/>
    <w:rsid w:val="000C40E9"/>
    <w:rsid w:val="000C4C9A"/>
    <w:rsid w:val="000C5338"/>
    <w:rsid w:val="000C5A55"/>
    <w:rsid w:val="000C64AC"/>
    <w:rsid w:val="000C672F"/>
    <w:rsid w:val="000C6DA4"/>
    <w:rsid w:val="000C6F9D"/>
    <w:rsid w:val="000C7BDF"/>
    <w:rsid w:val="000D0088"/>
    <w:rsid w:val="000D0135"/>
    <w:rsid w:val="000D01D6"/>
    <w:rsid w:val="000D05D4"/>
    <w:rsid w:val="000D0735"/>
    <w:rsid w:val="000D0ED6"/>
    <w:rsid w:val="000D17BB"/>
    <w:rsid w:val="000D18A3"/>
    <w:rsid w:val="000D18F3"/>
    <w:rsid w:val="000D1CB4"/>
    <w:rsid w:val="000D202F"/>
    <w:rsid w:val="000D2204"/>
    <w:rsid w:val="000D225C"/>
    <w:rsid w:val="000D225E"/>
    <w:rsid w:val="000D2CC7"/>
    <w:rsid w:val="000D2D82"/>
    <w:rsid w:val="000D3453"/>
    <w:rsid w:val="000D350B"/>
    <w:rsid w:val="000D40A9"/>
    <w:rsid w:val="000D456D"/>
    <w:rsid w:val="000D4F7E"/>
    <w:rsid w:val="000D6081"/>
    <w:rsid w:val="000D62D0"/>
    <w:rsid w:val="000D6416"/>
    <w:rsid w:val="000D671A"/>
    <w:rsid w:val="000D6A32"/>
    <w:rsid w:val="000D6EB0"/>
    <w:rsid w:val="000D6EB6"/>
    <w:rsid w:val="000D702C"/>
    <w:rsid w:val="000D7A33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251"/>
    <w:rsid w:val="000E23CC"/>
    <w:rsid w:val="000E2E38"/>
    <w:rsid w:val="000E352E"/>
    <w:rsid w:val="000E398D"/>
    <w:rsid w:val="000E399D"/>
    <w:rsid w:val="000E4219"/>
    <w:rsid w:val="000E5022"/>
    <w:rsid w:val="000E5071"/>
    <w:rsid w:val="000E53AF"/>
    <w:rsid w:val="000E5476"/>
    <w:rsid w:val="000E5629"/>
    <w:rsid w:val="000E5967"/>
    <w:rsid w:val="000E62B1"/>
    <w:rsid w:val="000E650F"/>
    <w:rsid w:val="000E661B"/>
    <w:rsid w:val="000E67B9"/>
    <w:rsid w:val="000F0258"/>
    <w:rsid w:val="000F0864"/>
    <w:rsid w:val="000F1BD9"/>
    <w:rsid w:val="000F1DF3"/>
    <w:rsid w:val="000F1FF6"/>
    <w:rsid w:val="000F272E"/>
    <w:rsid w:val="000F31D0"/>
    <w:rsid w:val="000F36FA"/>
    <w:rsid w:val="000F3776"/>
    <w:rsid w:val="000F37A0"/>
    <w:rsid w:val="000F3957"/>
    <w:rsid w:val="000F4618"/>
    <w:rsid w:val="000F4A05"/>
    <w:rsid w:val="000F4E31"/>
    <w:rsid w:val="000F5263"/>
    <w:rsid w:val="000F5FE2"/>
    <w:rsid w:val="000F5FF1"/>
    <w:rsid w:val="000F6159"/>
    <w:rsid w:val="000F659A"/>
    <w:rsid w:val="000F6B2D"/>
    <w:rsid w:val="000F6E30"/>
    <w:rsid w:val="000F74CC"/>
    <w:rsid w:val="000F7CC7"/>
    <w:rsid w:val="000F7D04"/>
    <w:rsid w:val="000F7EC8"/>
    <w:rsid w:val="001002B8"/>
    <w:rsid w:val="001002DE"/>
    <w:rsid w:val="0010034C"/>
    <w:rsid w:val="001009B5"/>
    <w:rsid w:val="0010159A"/>
    <w:rsid w:val="00101798"/>
    <w:rsid w:val="001019FC"/>
    <w:rsid w:val="001021F7"/>
    <w:rsid w:val="0010231F"/>
    <w:rsid w:val="0010304D"/>
    <w:rsid w:val="0010376B"/>
    <w:rsid w:val="00103A3A"/>
    <w:rsid w:val="00103BA6"/>
    <w:rsid w:val="00104BDC"/>
    <w:rsid w:val="00105AD0"/>
    <w:rsid w:val="00106174"/>
    <w:rsid w:val="00106532"/>
    <w:rsid w:val="00106833"/>
    <w:rsid w:val="0010688E"/>
    <w:rsid w:val="00106D02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982"/>
    <w:rsid w:val="00116B2E"/>
    <w:rsid w:val="001176BB"/>
    <w:rsid w:val="00117DC9"/>
    <w:rsid w:val="001208DD"/>
    <w:rsid w:val="00120AA3"/>
    <w:rsid w:val="0012129B"/>
    <w:rsid w:val="00121642"/>
    <w:rsid w:val="00121B6F"/>
    <w:rsid w:val="00122D95"/>
    <w:rsid w:val="00122F13"/>
    <w:rsid w:val="0012376C"/>
    <w:rsid w:val="00123ACC"/>
    <w:rsid w:val="00123BB9"/>
    <w:rsid w:val="00124136"/>
    <w:rsid w:val="0012476C"/>
    <w:rsid w:val="0012499F"/>
    <w:rsid w:val="00124FF6"/>
    <w:rsid w:val="0012511E"/>
    <w:rsid w:val="00125B7B"/>
    <w:rsid w:val="00126303"/>
    <w:rsid w:val="001265E7"/>
    <w:rsid w:val="00126713"/>
    <w:rsid w:val="00126AA0"/>
    <w:rsid w:val="00127CC1"/>
    <w:rsid w:val="00127E65"/>
    <w:rsid w:val="00127FF9"/>
    <w:rsid w:val="001302F2"/>
    <w:rsid w:val="0013051A"/>
    <w:rsid w:val="001325AD"/>
    <w:rsid w:val="00132A7F"/>
    <w:rsid w:val="00133019"/>
    <w:rsid w:val="00133222"/>
    <w:rsid w:val="001332BC"/>
    <w:rsid w:val="0013397D"/>
    <w:rsid w:val="00134C4E"/>
    <w:rsid w:val="0013587A"/>
    <w:rsid w:val="00135D90"/>
    <w:rsid w:val="00135E06"/>
    <w:rsid w:val="001360A2"/>
    <w:rsid w:val="001364A6"/>
    <w:rsid w:val="001368E7"/>
    <w:rsid w:val="00137D95"/>
    <w:rsid w:val="00140B7F"/>
    <w:rsid w:val="00140D10"/>
    <w:rsid w:val="0014105F"/>
    <w:rsid w:val="001410DB"/>
    <w:rsid w:val="0014132F"/>
    <w:rsid w:val="00141355"/>
    <w:rsid w:val="001415FD"/>
    <w:rsid w:val="0014163E"/>
    <w:rsid w:val="001418C0"/>
    <w:rsid w:val="00141BF7"/>
    <w:rsid w:val="00141C97"/>
    <w:rsid w:val="00141FA2"/>
    <w:rsid w:val="00141FDE"/>
    <w:rsid w:val="00142073"/>
    <w:rsid w:val="001422A6"/>
    <w:rsid w:val="001425AD"/>
    <w:rsid w:val="00142A6C"/>
    <w:rsid w:val="00142B1D"/>
    <w:rsid w:val="00142FD1"/>
    <w:rsid w:val="00143392"/>
    <w:rsid w:val="0014351A"/>
    <w:rsid w:val="00143530"/>
    <w:rsid w:val="00143C9D"/>
    <w:rsid w:val="0014414B"/>
    <w:rsid w:val="001442C8"/>
    <w:rsid w:val="00144332"/>
    <w:rsid w:val="00144916"/>
    <w:rsid w:val="00144FA1"/>
    <w:rsid w:val="0014534E"/>
    <w:rsid w:val="0014548A"/>
    <w:rsid w:val="001456CE"/>
    <w:rsid w:val="00145861"/>
    <w:rsid w:val="001462AD"/>
    <w:rsid w:val="00146599"/>
    <w:rsid w:val="001468BA"/>
    <w:rsid w:val="00146C0C"/>
    <w:rsid w:val="00147599"/>
    <w:rsid w:val="00147A69"/>
    <w:rsid w:val="00147AE0"/>
    <w:rsid w:val="00147EAF"/>
    <w:rsid w:val="00150511"/>
    <w:rsid w:val="00150987"/>
    <w:rsid w:val="00151252"/>
    <w:rsid w:val="00151B47"/>
    <w:rsid w:val="00151D94"/>
    <w:rsid w:val="001522D1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50CC"/>
    <w:rsid w:val="0015511A"/>
    <w:rsid w:val="00155CDC"/>
    <w:rsid w:val="00155DE6"/>
    <w:rsid w:val="001564AB"/>
    <w:rsid w:val="00156C62"/>
    <w:rsid w:val="00157FCD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BDF"/>
    <w:rsid w:val="00162C1D"/>
    <w:rsid w:val="00163354"/>
    <w:rsid w:val="001645EF"/>
    <w:rsid w:val="00164813"/>
    <w:rsid w:val="001671F8"/>
    <w:rsid w:val="00167879"/>
    <w:rsid w:val="001679FB"/>
    <w:rsid w:val="00167F98"/>
    <w:rsid w:val="001702DE"/>
    <w:rsid w:val="00170BEB"/>
    <w:rsid w:val="00171086"/>
    <w:rsid w:val="00171371"/>
    <w:rsid w:val="001715AC"/>
    <w:rsid w:val="001718B7"/>
    <w:rsid w:val="00171A28"/>
    <w:rsid w:val="00171A41"/>
    <w:rsid w:val="00171E37"/>
    <w:rsid w:val="00172390"/>
    <w:rsid w:val="001725CE"/>
    <w:rsid w:val="00172804"/>
    <w:rsid w:val="001728D7"/>
    <w:rsid w:val="00173420"/>
    <w:rsid w:val="0017377A"/>
    <w:rsid w:val="00173BFF"/>
    <w:rsid w:val="00173EA1"/>
    <w:rsid w:val="0017418E"/>
    <w:rsid w:val="001742A7"/>
    <w:rsid w:val="0017464D"/>
    <w:rsid w:val="00174783"/>
    <w:rsid w:val="00174F59"/>
    <w:rsid w:val="00175157"/>
    <w:rsid w:val="0017558B"/>
    <w:rsid w:val="00176033"/>
    <w:rsid w:val="001766BF"/>
    <w:rsid w:val="00176AE7"/>
    <w:rsid w:val="00177D39"/>
    <w:rsid w:val="00177D45"/>
    <w:rsid w:val="00177E1E"/>
    <w:rsid w:val="00177FC3"/>
    <w:rsid w:val="00180090"/>
    <w:rsid w:val="00180226"/>
    <w:rsid w:val="00180600"/>
    <w:rsid w:val="0018067B"/>
    <w:rsid w:val="001806F7"/>
    <w:rsid w:val="00180879"/>
    <w:rsid w:val="0018090A"/>
    <w:rsid w:val="00180B46"/>
    <w:rsid w:val="00180F3B"/>
    <w:rsid w:val="001826FC"/>
    <w:rsid w:val="00182BE1"/>
    <w:rsid w:val="00182F04"/>
    <w:rsid w:val="001832B9"/>
    <w:rsid w:val="00183702"/>
    <w:rsid w:val="00183FDB"/>
    <w:rsid w:val="00184724"/>
    <w:rsid w:val="00185486"/>
    <w:rsid w:val="00185710"/>
    <w:rsid w:val="00185888"/>
    <w:rsid w:val="00185E76"/>
    <w:rsid w:val="001862F0"/>
    <w:rsid w:val="0018767F"/>
    <w:rsid w:val="0019012B"/>
    <w:rsid w:val="00190D5F"/>
    <w:rsid w:val="001922FC"/>
    <w:rsid w:val="00192304"/>
    <w:rsid w:val="00192BC2"/>
    <w:rsid w:val="00193533"/>
    <w:rsid w:val="0019357D"/>
    <w:rsid w:val="001938C6"/>
    <w:rsid w:val="00193C73"/>
    <w:rsid w:val="00193DC1"/>
    <w:rsid w:val="00194005"/>
    <w:rsid w:val="00194298"/>
    <w:rsid w:val="0019441C"/>
    <w:rsid w:val="00194491"/>
    <w:rsid w:val="00194F87"/>
    <w:rsid w:val="0019536B"/>
    <w:rsid w:val="00195A5C"/>
    <w:rsid w:val="00195B7C"/>
    <w:rsid w:val="0019670B"/>
    <w:rsid w:val="0019675E"/>
    <w:rsid w:val="00196F2C"/>
    <w:rsid w:val="001A03F3"/>
    <w:rsid w:val="001A08A9"/>
    <w:rsid w:val="001A094E"/>
    <w:rsid w:val="001A0E1F"/>
    <w:rsid w:val="001A0FC2"/>
    <w:rsid w:val="001A11D8"/>
    <w:rsid w:val="001A1216"/>
    <w:rsid w:val="001A1518"/>
    <w:rsid w:val="001A15D3"/>
    <w:rsid w:val="001A1AAC"/>
    <w:rsid w:val="001A1CBF"/>
    <w:rsid w:val="001A1DB1"/>
    <w:rsid w:val="001A1EC5"/>
    <w:rsid w:val="001A1F1B"/>
    <w:rsid w:val="001A2C49"/>
    <w:rsid w:val="001A3388"/>
    <w:rsid w:val="001A37F7"/>
    <w:rsid w:val="001A3FD4"/>
    <w:rsid w:val="001A4061"/>
    <w:rsid w:val="001A4CED"/>
    <w:rsid w:val="001A4FFF"/>
    <w:rsid w:val="001A50E5"/>
    <w:rsid w:val="001A5214"/>
    <w:rsid w:val="001A5493"/>
    <w:rsid w:val="001A5628"/>
    <w:rsid w:val="001A5B2A"/>
    <w:rsid w:val="001A5D01"/>
    <w:rsid w:val="001A71B5"/>
    <w:rsid w:val="001A7F32"/>
    <w:rsid w:val="001B0CBD"/>
    <w:rsid w:val="001B0CFC"/>
    <w:rsid w:val="001B0E97"/>
    <w:rsid w:val="001B12AA"/>
    <w:rsid w:val="001B12AC"/>
    <w:rsid w:val="001B1A8D"/>
    <w:rsid w:val="001B1AB6"/>
    <w:rsid w:val="001B1C52"/>
    <w:rsid w:val="001B2131"/>
    <w:rsid w:val="001B2565"/>
    <w:rsid w:val="001B296C"/>
    <w:rsid w:val="001B2A38"/>
    <w:rsid w:val="001B2B19"/>
    <w:rsid w:val="001B2B2B"/>
    <w:rsid w:val="001B2F10"/>
    <w:rsid w:val="001B3EE5"/>
    <w:rsid w:val="001B5134"/>
    <w:rsid w:val="001B537D"/>
    <w:rsid w:val="001B54CD"/>
    <w:rsid w:val="001B57E8"/>
    <w:rsid w:val="001B5B67"/>
    <w:rsid w:val="001B6433"/>
    <w:rsid w:val="001B69B3"/>
    <w:rsid w:val="001B6DAD"/>
    <w:rsid w:val="001B7707"/>
    <w:rsid w:val="001C194C"/>
    <w:rsid w:val="001C196B"/>
    <w:rsid w:val="001C1BE9"/>
    <w:rsid w:val="001C2F11"/>
    <w:rsid w:val="001C3ECD"/>
    <w:rsid w:val="001C4029"/>
    <w:rsid w:val="001C422A"/>
    <w:rsid w:val="001C42DE"/>
    <w:rsid w:val="001C43C9"/>
    <w:rsid w:val="001C43FA"/>
    <w:rsid w:val="001C4488"/>
    <w:rsid w:val="001C561C"/>
    <w:rsid w:val="001C5D62"/>
    <w:rsid w:val="001C6A88"/>
    <w:rsid w:val="001C6C82"/>
    <w:rsid w:val="001C78EE"/>
    <w:rsid w:val="001C7DEA"/>
    <w:rsid w:val="001D03FD"/>
    <w:rsid w:val="001D0C24"/>
    <w:rsid w:val="001D0FC2"/>
    <w:rsid w:val="001D0FEF"/>
    <w:rsid w:val="001D1646"/>
    <w:rsid w:val="001D1661"/>
    <w:rsid w:val="001D16B5"/>
    <w:rsid w:val="001D231A"/>
    <w:rsid w:val="001D2E18"/>
    <w:rsid w:val="001D2F79"/>
    <w:rsid w:val="001D370A"/>
    <w:rsid w:val="001D37E1"/>
    <w:rsid w:val="001D61A3"/>
    <w:rsid w:val="001D727C"/>
    <w:rsid w:val="001E091B"/>
    <w:rsid w:val="001E1655"/>
    <w:rsid w:val="001E1BDA"/>
    <w:rsid w:val="001E1D26"/>
    <w:rsid w:val="001E237D"/>
    <w:rsid w:val="001E2767"/>
    <w:rsid w:val="001E31FA"/>
    <w:rsid w:val="001E3785"/>
    <w:rsid w:val="001E41B1"/>
    <w:rsid w:val="001E5B7E"/>
    <w:rsid w:val="001E5B89"/>
    <w:rsid w:val="001E6654"/>
    <w:rsid w:val="001E71A6"/>
    <w:rsid w:val="001E71E7"/>
    <w:rsid w:val="001F0078"/>
    <w:rsid w:val="001F028E"/>
    <w:rsid w:val="001F04A5"/>
    <w:rsid w:val="001F0576"/>
    <w:rsid w:val="001F071B"/>
    <w:rsid w:val="001F0D00"/>
    <w:rsid w:val="001F1CA5"/>
    <w:rsid w:val="001F28F7"/>
    <w:rsid w:val="001F2D5B"/>
    <w:rsid w:val="001F32ED"/>
    <w:rsid w:val="001F47D9"/>
    <w:rsid w:val="001F4AA4"/>
    <w:rsid w:val="001F5098"/>
    <w:rsid w:val="001F5500"/>
    <w:rsid w:val="001F5654"/>
    <w:rsid w:val="001F57C1"/>
    <w:rsid w:val="001F5FC9"/>
    <w:rsid w:val="001F60FB"/>
    <w:rsid w:val="001F633D"/>
    <w:rsid w:val="001F66B9"/>
    <w:rsid w:val="001F6C4F"/>
    <w:rsid w:val="001F6CE7"/>
    <w:rsid w:val="00200350"/>
    <w:rsid w:val="00200625"/>
    <w:rsid w:val="002009D7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6C"/>
    <w:rsid w:val="002053B9"/>
    <w:rsid w:val="002055CF"/>
    <w:rsid w:val="0020638B"/>
    <w:rsid w:val="00206604"/>
    <w:rsid w:val="002067AB"/>
    <w:rsid w:val="00206DB2"/>
    <w:rsid w:val="00207D69"/>
    <w:rsid w:val="00210221"/>
    <w:rsid w:val="002102F9"/>
    <w:rsid w:val="00210672"/>
    <w:rsid w:val="00210D87"/>
    <w:rsid w:val="00210DAC"/>
    <w:rsid w:val="00210E6A"/>
    <w:rsid w:val="002112BF"/>
    <w:rsid w:val="00211AB9"/>
    <w:rsid w:val="002120C1"/>
    <w:rsid w:val="0021235F"/>
    <w:rsid w:val="002125EB"/>
    <w:rsid w:val="00212868"/>
    <w:rsid w:val="00212FBB"/>
    <w:rsid w:val="00213252"/>
    <w:rsid w:val="0021333B"/>
    <w:rsid w:val="002138E6"/>
    <w:rsid w:val="00213FA5"/>
    <w:rsid w:val="0021620D"/>
    <w:rsid w:val="002162D9"/>
    <w:rsid w:val="00216406"/>
    <w:rsid w:val="00216450"/>
    <w:rsid w:val="00216945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3B8E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26E28"/>
    <w:rsid w:val="002302B8"/>
    <w:rsid w:val="002305C9"/>
    <w:rsid w:val="00230AF7"/>
    <w:rsid w:val="00230F90"/>
    <w:rsid w:val="002313A4"/>
    <w:rsid w:val="00231891"/>
    <w:rsid w:val="00231DBD"/>
    <w:rsid w:val="00232369"/>
    <w:rsid w:val="00233586"/>
    <w:rsid w:val="00233807"/>
    <w:rsid w:val="00233994"/>
    <w:rsid w:val="00233B2D"/>
    <w:rsid w:val="00234F8D"/>
    <w:rsid w:val="00235288"/>
    <w:rsid w:val="002352B4"/>
    <w:rsid w:val="00235671"/>
    <w:rsid w:val="00235DB4"/>
    <w:rsid w:val="00236071"/>
    <w:rsid w:val="002363A9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2247"/>
    <w:rsid w:val="0024296A"/>
    <w:rsid w:val="00242A4C"/>
    <w:rsid w:val="002433C3"/>
    <w:rsid w:val="00243D37"/>
    <w:rsid w:val="00244A9F"/>
    <w:rsid w:val="00244C66"/>
    <w:rsid w:val="00245685"/>
    <w:rsid w:val="00245B80"/>
    <w:rsid w:val="002460FB"/>
    <w:rsid w:val="0024692B"/>
    <w:rsid w:val="0024718B"/>
    <w:rsid w:val="00247367"/>
    <w:rsid w:val="00247706"/>
    <w:rsid w:val="00250426"/>
    <w:rsid w:val="002506B7"/>
    <w:rsid w:val="00251810"/>
    <w:rsid w:val="002518B4"/>
    <w:rsid w:val="00251995"/>
    <w:rsid w:val="00251B25"/>
    <w:rsid w:val="00251B8F"/>
    <w:rsid w:val="002521DD"/>
    <w:rsid w:val="00252631"/>
    <w:rsid w:val="00252CFD"/>
    <w:rsid w:val="002536D6"/>
    <w:rsid w:val="002538C5"/>
    <w:rsid w:val="00254047"/>
    <w:rsid w:val="002558FE"/>
    <w:rsid w:val="00255EB1"/>
    <w:rsid w:val="0025628A"/>
    <w:rsid w:val="00256320"/>
    <w:rsid w:val="00256572"/>
    <w:rsid w:val="00256EB7"/>
    <w:rsid w:val="00256EFA"/>
    <w:rsid w:val="00257267"/>
    <w:rsid w:val="00257504"/>
    <w:rsid w:val="00257719"/>
    <w:rsid w:val="002602FB"/>
    <w:rsid w:val="00260848"/>
    <w:rsid w:val="002609EA"/>
    <w:rsid w:val="002611AB"/>
    <w:rsid w:val="0026148B"/>
    <w:rsid w:val="00261540"/>
    <w:rsid w:val="00261C74"/>
    <w:rsid w:val="00261EF0"/>
    <w:rsid w:val="0026274F"/>
    <w:rsid w:val="00262AD6"/>
    <w:rsid w:val="00262B21"/>
    <w:rsid w:val="00262DF8"/>
    <w:rsid w:val="00262E38"/>
    <w:rsid w:val="002631DD"/>
    <w:rsid w:val="002634F2"/>
    <w:rsid w:val="00263EAF"/>
    <w:rsid w:val="00263EDA"/>
    <w:rsid w:val="002646BF"/>
    <w:rsid w:val="00264E84"/>
    <w:rsid w:val="00265587"/>
    <w:rsid w:val="00265970"/>
    <w:rsid w:val="00265BFF"/>
    <w:rsid w:val="0026642A"/>
    <w:rsid w:val="00266517"/>
    <w:rsid w:val="00266632"/>
    <w:rsid w:val="00266664"/>
    <w:rsid w:val="0026712E"/>
    <w:rsid w:val="00267136"/>
    <w:rsid w:val="00267306"/>
    <w:rsid w:val="002675B4"/>
    <w:rsid w:val="002677BF"/>
    <w:rsid w:val="00267B5B"/>
    <w:rsid w:val="002701B7"/>
    <w:rsid w:val="002706B5"/>
    <w:rsid w:val="00270C84"/>
    <w:rsid w:val="00271D19"/>
    <w:rsid w:val="0027368D"/>
    <w:rsid w:val="002740E9"/>
    <w:rsid w:val="0027414F"/>
    <w:rsid w:val="00274CA4"/>
    <w:rsid w:val="002752AF"/>
    <w:rsid w:val="00275A7A"/>
    <w:rsid w:val="00275C51"/>
    <w:rsid w:val="00276D19"/>
    <w:rsid w:val="00276F6C"/>
    <w:rsid w:val="0027715A"/>
    <w:rsid w:val="0027732A"/>
    <w:rsid w:val="00277434"/>
    <w:rsid w:val="0028011C"/>
    <w:rsid w:val="00280D14"/>
    <w:rsid w:val="002813A9"/>
    <w:rsid w:val="002814FC"/>
    <w:rsid w:val="00281932"/>
    <w:rsid w:val="0028216D"/>
    <w:rsid w:val="00282327"/>
    <w:rsid w:val="00283109"/>
    <w:rsid w:val="00283969"/>
    <w:rsid w:val="00283D70"/>
    <w:rsid w:val="00284318"/>
    <w:rsid w:val="00284AAA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C52"/>
    <w:rsid w:val="00291E7B"/>
    <w:rsid w:val="00292390"/>
    <w:rsid w:val="00292459"/>
    <w:rsid w:val="0029283B"/>
    <w:rsid w:val="002928DA"/>
    <w:rsid w:val="00292E56"/>
    <w:rsid w:val="00293017"/>
    <w:rsid w:val="002932D8"/>
    <w:rsid w:val="002935A5"/>
    <w:rsid w:val="002938F8"/>
    <w:rsid w:val="00293C31"/>
    <w:rsid w:val="00293D6C"/>
    <w:rsid w:val="002942B3"/>
    <w:rsid w:val="0029441E"/>
    <w:rsid w:val="0029453E"/>
    <w:rsid w:val="00295242"/>
    <w:rsid w:val="00295758"/>
    <w:rsid w:val="00295FE9"/>
    <w:rsid w:val="00296193"/>
    <w:rsid w:val="002961A0"/>
    <w:rsid w:val="002970F8"/>
    <w:rsid w:val="00297590"/>
    <w:rsid w:val="002975F0"/>
    <w:rsid w:val="002976D5"/>
    <w:rsid w:val="002979E6"/>
    <w:rsid w:val="00297B31"/>
    <w:rsid w:val="00297C5D"/>
    <w:rsid w:val="002A028B"/>
    <w:rsid w:val="002A08E4"/>
    <w:rsid w:val="002A094F"/>
    <w:rsid w:val="002A097F"/>
    <w:rsid w:val="002A0F56"/>
    <w:rsid w:val="002A1935"/>
    <w:rsid w:val="002A1F47"/>
    <w:rsid w:val="002A21F9"/>
    <w:rsid w:val="002A23C8"/>
    <w:rsid w:val="002A2C8F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65F7"/>
    <w:rsid w:val="002A7DC1"/>
    <w:rsid w:val="002B023D"/>
    <w:rsid w:val="002B0259"/>
    <w:rsid w:val="002B0982"/>
    <w:rsid w:val="002B19B7"/>
    <w:rsid w:val="002B1B19"/>
    <w:rsid w:val="002B2032"/>
    <w:rsid w:val="002B2268"/>
    <w:rsid w:val="002B2874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C052C"/>
    <w:rsid w:val="002C1910"/>
    <w:rsid w:val="002C1E06"/>
    <w:rsid w:val="002C2D4B"/>
    <w:rsid w:val="002C321C"/>
    <w:rsid w:val="002C3A25"/>
    <w:rsid w:val="002C43D4"/>
    <w:rsid w:val="002C4CBB"/>
    <w:rsid w:val="002C5128"/>
    <w:rsid w:val="002C5723"/>
    <w:rsid w:val="002C60C3"/>
    <w:rsid w:val="002C62BA"/>
    <w:rsid w:val="002C6584"/>
    <w:rsid w:val="002C6636"/>
    <w:rsid w:val="002C6872"/>
    <w:rsid w:val="002C69F1"/>
    <w:rsid w:val="002C6AF1"/>
    <w:rsid w:val="002C77D6"/>
    <w:rsid w:val="002C7AB8"/>
    <w:rsid w:val="002C7C29"/>
    <w:rsid w:val="002D0280"/>
    <w:rsid w:val="002D0602"/>
    <w:rsid w:val="002D07DD"/>
    <w:rsid w:val="002D0E06"/>
    <w:rsid w:val="002D0E0E"/>
    <w:rsid w:val="002D15C9"/>
    <w:rsid w:val="002D1983"/>
    <w:rsid w:val="002D20DF"/>
    <w:rsid w:val="002D2772"/>
    <w:rsid w:val="002D36B3"/>
    <w:rsid w:val="002D3D19"/>
    <w:rsid w:val="002D3D44"/>
    <w:rsid w:val="002D4A1A"/>
    <w:rsid w:val="002D5E03"/>
    <w:rsid w:val="002D6137"/>
    <w:rsid w:val="002D6A90"/>
    <w:rsid w:val="002D7863"/>
    <w:rsid w:val="002E0094"/>
    <w:rsid w:val="002E0186"/>
    <w:rsid w:val="002E0724"/>
    <w:rsid w:val="002E0869"/>
    <w:rsid w:val="002E0973"/>
    <w:rsid w:val="002E0A3E"/>
    <w:rsid w:val="002E0F51"/>
    <w:rsid w:val="002E1083"/>
    <w:rsid w:val="002E15B2"/>
    <w:rsid w:val="002E1C5F"/>
    <w:rsid w:val="002E2E1C"/>
    <w:rsid w:val="002E2E50"/>
    <w:rsid w:val="002E3346"/>
    <w:rsid w:val="002E359B"/>
    <w:rsid w:val="002E35D3"/>
    <w:rsid w:val="002E3C7D"/>
    <w:rsid w:val="002E3D05"/>
    <w:rsid w:val="002E505E"/>
    <w:rsid w:val="002E5174"/>
    <w:rsid w:val="002E51F0"/>
    <w:rsid w:val="002E5898"/>
    <w:rsid w:val="002E5B89"/>
    <w:rsid w:val="002E64D3"/>
    <w:rsid w:val="002E7555"/>
    <w:rsid w:val="002E7D5C"/>
    <w:rsid w:val="002E7F49"/>
    <w:rsid w:val="002F0581"/>
    <w:rsid w:val="002F070D"/>
    <w:rsid w:val="002F0F7A"/>
    <w:rsid w:val="002F139B"/>
    <w:rsid w:val="002F1F14"/>
    <w:rsid w:val="002F1F30"/>
    <w:rsid w:val="002F2131"/>
    <w:rsid w:val="002F2767"/>
    <w:rsid w:val="002F3137"/>
    <w:rsid w:val="002F3302"/>
    <w:rsid w:val="002F375C"/>
    <w:rsid w:val="002F39A5"/>
    <w:rsid w:val="002F3D42"/>
    <w:rsid w:val="002F4FD7"/>
    <w:rsid w:val="002F564D"/>
    <w:rsid w:val="002F5868"/>
    <w:rsid w:val="002F604F"/>
    <w:rsid w:val="002F61D6"/>
    <w:rsid w:val="002F65B0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300043"/>
    <w:rsid w:val="003002FF"/>
    <w:rsid w:val="003007B2"/>
    <w:rsid w:val="003012CE"/>
    <w:rsid w:val="00301A10"/>
    <w:rsid w:val="00302053"/>
    <w:rsid w:val="00302146"/>
    <w:rsid w:val="00302194"/>
    <w:rsid w:val="003037C0"/>
    <w:rsid w:val="00303F08"/>
    <w:rsid w:val="00304520"/>
    <w:rsid w:val="00304E98"/>
    <w:rsid w:val="003059F1"/>
    <w:rsid w:val="0030653B"/>
    <w:rsid w:val="0030698E"/>
    <w:rsid w:val="00306F79"/>
    <w:rsid w:val="003073C5"/>
    <w:rsid w:val="0030741C"/>
    <w:rsid w:val="00307855"/>
    <w:rsid w:val="00310BDA"/>
    <w:rsid w:val="00310F25"/>
    <w:rsid w:val="003110B8"/>
    <w:rsid w:val="0031110D"/>
    <w:rsid w:val="00311871"/>
    <w:rsid w:val="00311DC6"/>
    <w:rsid w:val="0031325B"/>
    <w:rsid w:val="003137B1"/>
    <w:rsid w:val="0031405F"/>
    <w:rsid w:val="00314B6A"/>
    <w:rsid w:val="00314BCF"/>
    <w:rsid w:val="00315100"/>
    <w:rsid w:val="00315B4B"/>
    <w:rsid w:val="00315C2F"/>
    <w:rsid w:val="003163D4"/>
    <w:rsid w:val="0031645C"/>
    <w:rsid w:val="003166A9"/>
    <w:rsid w:val="0031679F"/>
    <w:rsid w:val="00316E13"/>
    <w:rsid w:val="0031716A"/>
    <w:rsid w:val="00317254"/>
    <w:rsid w:val="00317A1A"/>
    <w:rsid w:val="00317B2B"/>
    <w:rsid w:val="00320241"/>
    <w:rsid w:val="00320B18"/>
    <w:rsid w:val="00320C8C"/>
    <w:rsid w:val="003214CE"/>
    <w:rsid w:val="003217BE"/>
    <w:rsid w:val="0032182E"/>
    <w:rsid w:val="00321AF2"/>
    <w:rsid w:val="00322325"/>
    <w:rsid w:val="0032236E"/>
    <w:rsid w:val="00322466"/>
    <w:rsid w:val="0032250E"/>
    <w:rsid w:val="003231D6"/>
    <w:rsid w:val="0032329B"/>
    <w:rsid w:val="00323725"/>
    <w:rsid w:val="00323CC7"/>
    <w:rsid w:val="00323E94"/>
    <w:rsid w:val="00323F1A"/>
    <w:rsid w:val="003241F1"/>
    <w:rsid w:val="003245B8"/>
    <w:rsid w:val="00324B7C"/>
    <w:rsid w:val="00324F23"/>
    <w:rsid w:val="00324F5A"/>
    <w:rsid w:val="0032616D"/>
    <w:rsid w:val="003262A8"/>
    <w:rsid w:val="00327081"/>
    <w:rsid w:val="00327502"/>
    <w:rsid w:val="00327AD6"/>
    <w:rsid w:val="00327DB8"/>
    <w:rsid w:val="0033001F"/>
    <w:rsid w:val="00330E41"/>
    <w:rsid w:val="003317CA"/>
    <w:rsid w:val="00331F06"/>
    <w:rsid w:val="0033217F"/>
    <w:rsid w:val="003325F1"/>
    <w:rsid w:val="00332910"/>
    <w:rsid w:val="003329C3"/>
    <w:rsid w:val="00332DC7"/>
    <w:rsid w:val="00332FAF"/>
    <w:rsid w:val="00333668"/>
    <w:rsid w:val="0033422D"/>
    <w:rsid w:val="00334643"/>
    <w:rsid w:val="00336063"/>
    <w:rsid w:val="00336171"/>
    <w:rsid w:val="00337293"/>
    <w:rsid w:val="003379D9"/>
    <w:rsid w:val="00340233"/>
    <w:rsid w:val="003405F5"/>
    <w:rsid w:val="003409EE"/>
    <w:rsid w:val="003413A8"/>
    <w:rsid w:val="00342486"/>
    <w:rsid w:val="003432FA"/>
    <w:rsid w:val="0034365F"/>
    <w:rsid w:val="003437C6"/>
    <w:rsid w:val="00343D91"/>
    <w:rsid w:val="00343F6F"/>
    <w:rsid w:val="0034446D"/>
    <w:rsid w:val="00344D8C"/>
    <w:rsid w:val="003459A8"/>
    <w:rsid w:val="00345B02"/>
    <w:rsid w:val="00345C6E"/>
    <w:rsid w:val="00346154"/>
    <w:rsid w:val="003461DB"/>
    <w:rsid w:val="00346ED1"/>
    <w:rsid w:val="00347495"/>
    <w:rsid w:val="00347513"/>
    <w:rsid w:val="00347570"/>
    <w:rsid w:val="00347E78"/>
    <w:rsid w:val="00347F22"/>
    <w:rsid w:val="003501FD"/>
    <w:rsid w:val="003503AB"/>
    <w:rsid w:val="00350760"/>
    <w:rsid w:val="00351186"/>
    <w:rsid w:val="003516A8"/>
    <w:rsid w:val="00351CCE"/>
    <w:rsid w:val="00352769"/>
    <w:rsid w:val="003527E5"/>
    <w:rsid w:val="00352FDD"/>
    <w:rsid w:val="003530D9"/>
    <w:rsid w:val="003532A3"/>
    <w:rsid w:val="00353B0A"/>
    <w:rsid w:val="0035498B"/>
    <w:rsid w:val="003554C0"/>
    <w:rsid w:val="00355574"/>
    <w:rsid w:val="00355A60"/>
    <w:rsid w:val="003569B5"/>
    <w:rsid w:val="00357E3F"/>
    <w:rsid w:val="0036057B"/>
    <w:rsid w:val="003609B2"/>
    <w:rsid w:val="00361034"/>
    <w:rsid w:val="00361469"/>
    <w:rsid w:val="00361986"/>
    <w:rsid w:val="00361D3F"/>
    <w:rsid w:val="00361FBE"/>
    <w:rsid w:val="0036238B"/>
    <w:rsid w:val="00362F33"/>
    <w:rsid w:val="003632BC"/>
    <w:rsid w:val="0036343D"/>
    <w:rsid w:val="00363DB3"/>
    <w:rsid w:val="00363DD0"/>
    <w:rsid w:val="0036400F"/>
    <w:rsid w:val="003654BF"/>
    <w:rsid w:val="0036648A"/>
    <w:rsid w:val="00366780"/>
    <w:rsid w:val="00367296"/>
    <w:rsid w:val="00367774"/>
    <w:rsid w:val="00367A0B"/>
    <w:rsid w:val="00367ED2"/>
    <w:rsid w:val="00367EF5"/>
    <w:rsid w:val="00370161"/>
    <w:rsid w:val="00370B9B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34EE"/>
    <w:rsid w:val="00373B5C"/>
    <w:rsid w:val="00374117"/>
    <w:rsid w:val="00374B2E"/>
    <w:rsid w:val="00374DED"/>
    <w:rsid w:val="00374E61"/>
    <w:rsid w:val="00375005"/>
    <w:rsid w:val="00375947"/>
    <w:rsid w:val="003760CA"/>
    <w:rsid w:val="0037620A"/>
    <w:rsid w:val="00376323"/>
    <w:rsid w:val="003773C8"/>
    <w:rsid w:val="003775EB"/>
    <w:rsid w:val="00377735"/>
    <w:rsid w:val="0038042C"/>
    <w:rsid w:val="00380743"/>
    <w:rsid w:val="00380A3C"/>
    <w:rsid w:val="00380E69"/>
    <w:rsid w:val="00380E77"/>
    <w:rsid w:val="00380F67"/>
    <w:rsid w:val="00381031"/>
    <w:rsid w:val="003810AF"/>
    <w:rsid w:val="003817CB"/>
    <w:rsid w:val="00382C5D"/>
    <w:rsid w:val="00382C98"/>
    <w:rsid w:val="00382D65"/>
    <w:rsid w:val="00382FF4"/>
    <w:rsid w:val="0038370D"/>
    <w:rsid w:val="00383DA1"/>
    <w:rsid w:val="0038477D"/>
    <w:rsid w:val="0038550A"/>
    <w:rsid w:val="00386336"/>
    <w:rsid w:val="0038635C"/>
    <w:rsid w:val="00386617"/>
    <w:rsid w:val="003867B5"/>
    <w:rsid w:val="0038752E"/>
    <w:rsid w:val="00387A5A"/>
    <w:rsid w:val="00390646"/>
    <w:rsid w:val="00390C9B"/>
    <w:rsid w:val="00390D42"/>
    <w:rsid w:val="003913FF"/>
    <w:rsid w:val="003935E8"/>
    <w:rsid w:val="0039363F"/>
    <w:rsid w:val="003936B9"/>
    <w:rsid w:val="003938BB"/>
    <w:rsid w:val="00393B90"/>
    <w:rsid w:val="00393E70"/>
    <w:rsid w:val="003944B3"/>
    <w:rsid w:val="00394B6C"/>
    <w:rsid w:val="00396506"/>
    <w:rsid w:val="00396884"/>
    <w:rsid w:val="00396DA8"/>
    <w:rsid w:val="00396FA1"/>
    <w:rsid w:val="00397981"/>
    <w:rsid w:val="0039799D"/>
    <w:rsid w:val="00397D2C"/>
    <w:rsid w:val="003A022D"/>
    <w:rsid w:val="003A0581"/>
    <w:rsid w:val="003A0932"/>
    <w:rsid w:val="003A0B0D"/>
    <w:rsid w:val="003A0EBC"/>
    <w:rsid w:val="003A142D"/>
    <w:rsid w:val="003A19E6"/>
    <w:rsid w:val="003A1A1E"/>
    <w:rsid w:val="003A1C8D"/>
    <w:rsid w:val="003A27F3"/>
    <w:rsid w:val="003A2BA0"/>
    <w:rsid w:val="003A2E8D"/>
    <w:rsid w:val="003A3681"/>
    <w:rsid w:val="003A3C8E"/>
    <w:rsid w:val="003A4000"/>
    <w:rsid w:val="003A4059"/>
    <w:rsid w:val="003A40C3"/>
    <w:rsid w:val="003A4481"/>
    <w:rsid w:val="003A4B8E"/>
    <w:rsid w:val="003A50BC"/>
    <w:rsid w:val="003A5668"/>
    <w:rsid w:val="003A6650"/>
    <w:rsid w:val="003A67C6"/>
    <w:rsid w:val="003A6F58"/>
    <w:rsid w:val="003A732C"/>
    <w:rsid w:val="003A7746"/>
    <w:rsid w:val="003B0D1D"/>
    <w:rsid w:val="003B0FC5"/>
    <w:rsid w:val="003B1208"/>
    <w:rsid w:val="003B15BB"/>
    <w:rsid w:val="003B1653"/>
    <w:rsid w:val="003B1F73"/>
    <w:rsid w:val="003B2036"/>
    <w:rsid w:val="003B247C"/>
    <w:rsid w:val="003B287C"/>
    <w:rsid w:val="003B29E1"/>
    <w:rsid w:val="003B3007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A39"/>
    <w:rsid w:val="003C0CD9"/>
    <w:rsid w:val="003C0EB0"/>
    <w:rsid w:val="003C12E8"/>
    <w:rsid w:val="003C1C3D"/>
    <w:rsid w:val="003C249B"/>
    <w:rsid w:val="003C33D4"/>
    <w:rsid w:val="003C3CE6"/>
    <w:rsid w:val="003C4915"/>
    <w:rsid w:val="003C4D47"/>
    <w:rsid w:val="003C56C7"/>
    <w:rsid w:val="003C5C52"/>
    <w:rsid w:val="003C6486"/>
    <w:rsid w:val="003C6BE7"/>
    <w:rsid w:val="003C6D0E"/>
    <w:rsid w:val="003C7688"/>
    <w:rsid w:val="003D0394"/>
    <w:rsid w:val="003D0751"/>
    <w:rsid w:val="003D0D59"/>
    <w:rsid w:val="003D1391"/>
    <w:rsid w:val="003D2161"/>
    <w:rsid w:val="003D27CF"/>
    <w:rsid w:val="003D3E73"/>
    <w:rsid w:val="003D4507"/>
    <w:rsid w:val="003D61EA"/>
    <w:rsid w:val="003D64F8"/>
    <w:rsid w:val="003D65DD"/>
    <w:rsid w:val="003D683E"/>
    <w:rsid w:val="003D79D3"/>
    <w:rsid w:val="003E0542"/>
    <w:rsid w:val="003E0B9F"/>
    <w:rsid w:val="003E0C7C"/>
    <w:rsid w:val="003E0E8D"/>
    <w:rsid w:val="003E11C3"/>
    <w:rsid w:val="003E1640"/>
    <w:rsid w:val="003E1EF4"/>
    <w:rsid w:val="003E2019"/>
    <w:rsid w:val="003E2576"/>
    <w:rsid w:val="003E2874"/>
    <w:rsid w:val="003E2F16"/>
    <w:rsid w:val="003E32D4"/>
    <w:rsid w:val="003E36B0"/>
    <w:rsid w:val="003E37A1"/>
    <w:rsid w:val="003E3EED"/>
    <w:rsid w:val="003E42C9"/>
    <w:rsid w:val="003E436A"/>
    <w:rsid w:val="003E4602"/>
    <w:rsid w:val="003E60A1"/>
    <w:rsid w:val="003E61C3"/>
    <w:rsid w:val="003E61C9"/>
    <w:rsid w:val="003E62EC"/>
    <w:rsid w:val="003E64F1"/>
    <w:rsid w:val="003E67F9"/>
    <w:rsid w:val="003E6877"/>
    <w:rsid w:val="003E75C1"/>
    <w:rsid w:val="003F0277"/>
    <w:rsid w:val="003F046B"/>
    <w:rsid w:val="003F070E"/>
    <w:rsid w:val="003F0DF9"/>
    <w:rsid w:val="003F12AF"/>
    <w:rsid w:val="003F1743"/>
    <w:rsid w:val="003F18CF"/>
    <w:rsid w:val="003F1FD6"/>
    <w:rsid w:val="003F22E7"/>
    <w:rsid w:val="003F3594"/>
    <w:rsid w:val="003F38E8"/>
    <w:rsid w:val="003F4DE4"/>
    <w:rsid w:val="003F4E24"/>
    <w:rsid w:val="003F4E3D"/>
    <w:rsid w:val="003F4E96"/>
    <w:rsid w:val="003F51DE"/>
    <w:rsid w:val="003F5951"/>
    <w:rsid w:val="003F6CB9"/>
    <w:rsid w:val="003F6D3F"/>
    <w:rsid w:val="003F6D77"/>
    <w:rsid w:val="003F72E0"/>
    <w:rsid w:val="003F72F2"/>
    <w:rsid w:val="003F75C8"/>
    <w:rsid w:val="003F77BE"/>
    <w:rsid w:val="003F7B5D"/>
    <w:rsid w:val="003F7C6A"/>
    <w:rsid w:val="004001DE"/>
    <w:rsid w:val="00400393"/>
    <w:rsid w:val="00400436"/>
    <w:rsid w:val="00400A4B"/>
    <w:rsid w:val="00401605"/>
    <w:rsid w:val="00401B97"/>
    <w:rsid w:val="00402464"/>
    <w:rsid w:val="00402BE6"/>
    <w:rsid w:val="00402D68"/>
    <w:rsid w:val="00402D91"/>
    <w:rsid w:val="004030D0"/>
    <w:rsid w:val="0040328B"/>
    <w:rsid w:val="0040374F"/>
    <w:rsid w:val="004042DB"/>
    <w:rsid w:val="004044FC"/>
    <w:rsid w:val="00404632"/>
    <w:rsid w:val="0040485C"/>
    <w:rsid w:val="00405793"/>
    <w:rsid w:val="00405BE6"/>
    <w:rsid w:val="00405D0F"/>
    <w:rsid w:val="004064FE"/>
    <w:rsid w:val="004066D6"/>
    <w:rsid w:val="00407431"/>
    <w:rsid w:val="0041094C"/>
    <w:rsid w:val="00411CB8"/>
    <w:rsid w:val="00411DDC"/>
    <w:rsid w:val="00411E5A"/>
    <w:rsid w:val="004123A2"/>
    <w:rsid w:val="00412A45"/>
    <w:rsid w:val="00412BD9"/>
    <w:rsid w:val="00412D07"/>
    <w:rsid w:val="00412F8F"/>
    <w:rsid w:val="00413017"/>
    <w:rsid w:val="004131AD"/>
    <w:rsid w:val="004137CB"/>
    <w:rsid w:val="00413C47"/>
    <w:rsid w:val="00414A86"/>
    <w:rsid w:val="00414ABF"/>
    <w:rsid w:val="00414B15"/>
    <w:rsid w:val="00414D3A"/>
    <w:rsid w:val="00415098"/>
    <w:rsid w:val="0041533F"/>
    <w:rsid w:val="00415771"/>
    <w:rsid w:val="00416193"/>
    <w:rsid w:val="0041632B"/>
    <w:rsid w:val="00416C56"/>
    <w:rsid w:val="004175CD"/>
    <w:rsid w:val="00417708"/>
    <w:rsid w:val="00417B66"/>
    <w:rsid w:val="00417C8E"/>
    <w:rsid w:val="00420043"/>
    <w:rsid w:val="00420287"/>
    <w:rsid w:val="00420445"/>
    <w:rsid w:val="004204A3"/>
    <w:rsid w:val="004205B3"/>
    <w:rsid w:val="00420B23"/>
    <w:rsid w:val="00421448"/>
    <w:rsid w:val="0042175C"/>
    <w:rsid w:val="004218CB"/>
    <w:rsid w:val="00421E08"/>
    <w:rsid w:val="0042236D"/>
    <w:rsid w:val="0042347F"/>
    <w:rsid w:val="004238F0"/>
    <w:rsid w:val="00423D11"/>
    <w:rsid w:val="00423FF0"/>
    <w:rsid w:val="0042469E"/>
    <w:rsid w:val="00424C2D"/>
    <w:rsid w:val="00425014"/>
    <w:rsid w:val="0042540E"/>
    <w:rsid w:val="004254AE"/>
    <w:rsid w:val="00425BAA"/>
    <w:rsid w:val="0042615D"/>
    <w:rsid w:val="00426B60"/>
    <w:rsid w:val="0042708B"/>
    <w:rsid w:val="00430278"/>
    <w:rsid w:val="004304E4"/>
    <w:rsid w:val="004305D4"/>
    <w:rsid w:val="004307F3"/>
    <w:rsid w:val="00430F1D"/>
    <w:rsid w:val="00431190"/>
    <w:rsid w:val="00431E7C"/>
    <w:rsid w:val="0043270E"/>
    <w:rsid w:val="00432878"/>
    <w:rsid w:val="00432BEE"/>
    <w:rsid w:val="004334D9"/>
    <w:rsid w:val="00434336"/>
    <w:rsid w:val="0043472C"/>
    <w:rsid w:val="004357F7"/>
    <w:rsid w:val="00435A98"/>
    <w:rsid w:val="00436C29"/>
    <w:rsid w:val="00436D7A"/>
    <w:rsid w:val="00436FE4"/>
    <w:rsid w:val="00437689"/>
    <w:rsid w:val="004377D2"/>
    <w:rsid w:val="004379AD"/>
    <w:rsid w:val="00437D19"/>
    <w:rsid w:val="0044076A"/>
    <w:rsid w:val="00440A71"/>
    <w:rsid w:val="00440C28"/>
    <w:rsid w:val="00440E58"/>
    <w:rsid w:val="00440F95"/>
    <w:rsid w:val="0044156E"/>
    <w:rsid w:val="00441848"/>
    <w:rsid w:val="00441FA7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6FF8"/>
    <w:rsid w:val="004476A7"/>
    <w:rsid w:val="0044798F"/>
    <w:rsid w:val="00447B00"/>
    <w:rsid w:val="004502BA"/>
    <w:rsid w:val="004505F8"/>
    <w:rsid w:val="00452318"/>
    <w:rsid w:val="00452559"/>
    <w:rsid w:val="004528D2"/>
    <w:rsid w:val="00452BDA"/>
    <w:rsid w:val="0045313B"/>
    <w:rsid w:val="00453835"/>
    <w:rsid w:val="00453B39"/>
    <w:rsid w:val="00453D50"/>
    <w:rsid w:val="004541FF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4A9"/>
    <w:rsid w:val="00460687"/>
    <w:rsid w:val="00461010"/>
    <w:rsid w:val="00461467"/>
    <w:rsid w:val="004617F4"/>
    <w:rsid w:val="00461BC3"/>
    <w:rsid w:val="00461BDC"/>
    <w:rsid w:val="004621FE"/>
    <w:rsid w:val="00462A53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D2E"/>
    <w:rsid w:val="00465DFE"/>
    <w:rsid w:val="004660EA"/>
    <w:rsid w:val="004666F5"/>
    <w:rsid w:val="00466B44"/>
    <w:rsid w:val="00467297"/>
    <w:rsid w:val="00467A9B"/>
    <w:rsid w:val="00467C75"/>
    <w:rsid w:val="0047020D"/>
    <w:rsid w:val="004702C9"/>
    <w:rsid w:val="00470A1F"/>
    <w:rsid w:val="00470ADE"/>
    <w:rsid w:val="00470DD0"/>
    <w:rsid w:val="00472692"/>
    <w:rsid w:val="0047280B"/>
    <w:rsid w:val="0047371F"/>
    <w:rsid w:val="00473FD7"/>
    <w:rsid w:val="0047419F"/>
    <w:rsid w:val="0047425E"/>
    <w:rsid w:val="00475654"/>
    <w:rsid w:val="00476250"/>
    <w:rsid w:val="00477441"/>
    <w:rsid w:val="00477B72"/>
    <w:rsid w:val="0048021D"/>
    <w:rsid w:val="00480434"/>
    <w:rsid w:val="004805F9"/>
    <w:rsid w:val="00480A9C"/>
    <w:rsid w:val="00481299"/>
    <w:rsid w:val="004818E2"/>
    <w:rsid w:val="004826A3"/>
    <w:rsid w:val="004827C3"/>
    <w:rsid w:val="0048288E"/>
    <w:rsid w:val="00482A3B"/>
    <w:rsid w:val="004837AA"/>
    <w:rsid w:val="00483E99"/>
    <w:rsid w:val="0048444C"/>
    <w:rsid w:val="00485431"/>
    <w:rsid w:val="00485900"/>
    <w:rsid w:val="00485B34"/>
    <w:rsid w:val="00485CB1"/>
    <w:rsid w:val="00486346"/>
    <w:rsid w:val="004867B9"/>
    <w:rsid w:val="00486AA2"/>
    <w:rsid w:val="00487375"/>
    <w:rsid w:val="004879EE"/>
    <w:rsid w:val="004904BD"/>
    <w:rsid w:val="00490D8F"/>
    <w:rsid w:val="00491482"/>
    <w:rsid w:val="00491C48"/>
    <w:rsid w:val="0049213C"/>
    <w:rsid w:val="0049247C"/>
    <w:rsid w:val="004927A0"/>
    <w:rsid w:val="00492930"/>
    <w:rsid w:val="00492B9C"/>
    <w:rsid w:val="00492E74"/>
    <w:rsid w:val="00493528"/>
    <w:rsid w:val="004942FB"/>
    <w:rsid w:val="0049458D"/>
    <w:rsid w:val="00494608"/>
    <w:rsid w:val="00494B16"/>
    <w:rsid w:val="00494FD7"/>
    <w:rsid w:val="00495944"/>
    <w:rsid w:val="00495CFC"/>
    <w:rsid w:val="004961EC"/>
    <w:rsid w:val="00496AB7"/>
    <w:rsid w:val="00497D13"/>
    <w:rsid w:val="00497D33"/>
    <w:rsid w:val="004A0150"/>
    <w:rsid w:val="004A0235"/>
    <w:rsid w:val="004A1078"/>
    <w:rsid w:val="004A1233"/>
    <w:rsid w:val="004A1725"/>
    <w:rsid w:val="004A17DA"/>
    <w:rsid w:val="004A1BA8"/>
    <w:rsid w:val="004A1EAF"/>
    <w:rsid w:val="004A2CA9"/>
    <w:rsid w:val="004A3E4B"/>
    <w:rsid w:val="004A41CB"/>
    <w:rsid w:val="004A4673"/>
    <w:rsid w:val="004A4AF5"/>
    <w:rsid w:val="004A5560"/>
    <w:rsid w:val="004A6B78"/>
    <w:rsid w:val="004A6E29"/>
    <w:rsid w:val="004A76A1"/>
    <w:rsid w:val="004A77B9"/>
    <w:rsid w:val="004A7D52"/>
    <w:rsid w:val="004B03CB"/>
    <w:rsid w:val="004B07DF"/>
    <w:rsid w:val="004B0943"/>
    <w:rsid w:val="004B0A94"/>
    <w:rsid w:val="004B0F26"/>
    <w:rsid w:val="004B1187"/>
    <w:rsid w:val="004B1C33"/>
    <w:rsid w:val="004B1F41"/>
    <w:rsid w:val="004B2742"/>
    <w:rsid w:val="004B2E60"/>
    <w:rsid w:val="004B3394"/>
    <w:rsid w:val="004B3500"/>
    <w:rsid w:val="004B3F26"/>
    <w:rsid w:val="004B4092"/>
    <w:rsid w:val="004B40D7"/>
    <w:rsid w:val="004B4192"/>
    <w:rsid w:val="004B4275"/>
    <w:rsid w:val="004B48CE"/>
    <w:rsid w:val="004B5553"/>
    <w:rsid w:val="004B5CEA"/>
    <w:rsid w:val="004B5FDA"/>
    <w:rsid w:val="004B602F"/>
    <w:rsid w:val="004B61A5"/>
    <w:rsid w:val="004B6E5E"/>
    <w:rsid w:val="004B7281"/>
    <w:rsid w:val="004B7372"/>
    <w:rsid w:val="004C031F"/>
    <w:rsid w:val="004C0469"/>
    <w:rsid w:val="004C068E"/>
    <w:rsid w:val="004C076A"/>
    <w:rsid w:val="004C08A0"/>
    <w:rsid w:val="004C09D0"/>
    <w:rsid w:val="004C0AB6"/>
    <w:rsid w:val="004C0C18"/>
    <w:rsid w:val="004C1221"/>
    <w:rsid w:val="004C146D"/>
    <w:rsid w:val="004C1FA3"/>
    <w:rsid w:val="004C2156"/>
    <w:rsid w:val="004C2AC9"/>
    <w:rsid w:val="004C2BA4"/>
    <w:rsid w:val="004C2D0D"/>
    <w:rsid w:val="004C2DA2"/>
    <w:rsid w:val="004C3573"/>
    <w:rsid w:val="004C3661"/>
    <w:rsid w:val="004C3AF1"/>
    <w:rsid w:val="004C3B8C"/>
    <w:rsid w:val="004C40B6"/>
    <w:rsid w:val="004C40C7"/>
    <w:rsid w:val="004C4189"/>
    <w:rsid w:val="004C4959"/>
    <w:rsid w:val="004C4C23"/>
    <w:rsid w:val="004C4E36"/>
    <w:rsid w:val="004C5379"/>
    <w:rsid w:val="004C5770"/>
    <w:rsid w:val="004C5C45"/>
    <w:rsid w:val="004C5EA3"/>
    <w:rsid w:val="004C6991"/>
    <w:rsid w:val="004C6B00"/>
    <w:rsid w:val="004C6B23"/>
    <w:rsid w:val="004C6BC7"/>
    <w:rsid w:val="004C7718"/>
    <w:rsid w:val="004C7B1A"/>
    <w:rsid w:val="004C7EB2"/>
    <w:rsid w:val="004D0310"/>
    <w:rsid w:val="004D0421"/>
    <w:rsid w:val="004D0A8E"/>
    <w:rsid w:val="004D0B8D"/>
    <w:rsid w:val="004D0EC9"/>
    <w:rsid w:val="004D1154"/>
    <w:rsid w:val="004D12C2"/>
    <w:rsid w:val="004D26FF"/>
    <w:rsid w:val="004D2EB4"/>
    <w:rsid w:val="004D3024"/>
    <w:rsid w:val="004D3193"/>
    <w:rsid w:val="004D3406"/>
    <w:rsid w:val="004D3796"/>
    <w:rsid w:val="004D3BF1"/>
    <w:rsid w:val="004D3D5C"/>
    <w:rsid w:val="004D6A48"/>
    <w:rsid w:val="004D7280"/>
    <w:rsid w:val="004D72A8"/>
    <w:rsid w:val="004D7484"/>
    <w:rsid w:val="004D7973"/>
    <w:rsid w:val="004E07C1"/>
    <w:rsid w:val="004E07C4"/>
    <w:rsid w:val="004E1577"/>
    <w:rsid w:val="004E192B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4B73"/>
    <w:rsid w:val="004E4DFD"/>
    <w:rsid w:val="004E5260"/>
    <w:rsid w:val="004E549E"/>
    <w:rsid w:val="004E5B5E"/>
    <w:rsid w:val="004E5B8C"/>
    <w:rsid w:val="004E647E"/>
    <w:rsid w:val="004E7035"/>
    <w:rsid w:val="004E71C3"/>
    <w:rsid w:val="004E725A"/>
    <w:rsid w:val="004E775C"/>
    <w:rsid w:val="004E779A"/>
    <w:rsid w:val="004E7B81"/>
    <w:rsid w:val="004F088C"/>
    <w:rsid w:val="004F0C9A"/>
    <w:rsid w:val="004F0D80"/>
    <w:rsid w:val="004F187D"/>
    <w:rsid w:val="004F1B60"/>
    <w:rsid w:val="004F3124"/>
    <w:rsid w:val="004F3A42"/>
    <w:rsid w:val="004F409E"/>
    <w:rsid w:val="004F4402"/>
    <w:rsid w:val="004F54B3"/>
    <w:rsid w:val="004F566B"/>
    <w:rsid w:val="004F5D1D"/>
    <w:rsid w:val="004F5F98"/>
    <w:rsid w:val="004F6F8B"/>
    <w:rsid w:val="004F6FC2"/>
    <w:rsid w:val="004F7254"/>
    <w:rsid w:val="004F7D98"/>
    <w:rsid w:val="00500575"/>
    <w:rsid w:val="00500C69"/>
    <w:rsid w:val="0050124D"/>
    <w:rsid w:val="005012C0"/>
    <w:rsid w:val="0050134C"/>
    <w:rsid w:val="005014F5"/>
    <w:rsid w:val="0050184D"/>
    <w:rsid w:val="00501B51"/>
    <w:rsid w:val="00502861"/>
    <w:rsid w:val="00502A6D"/>
    <w:rsid w:val="00502D63"/>
    <w:rsid w:val="00503447"/>
    <w:rsid w:val="00503750"/>
    <w:rsid w:val="00503941"/>
    <w:rsid w:val="00503952"/>
    <w:rsid w:val="00503C3B"/>
    <w:rsid w:val="0050428D"/>
    <w:rsid w:val="00504691"/>
    <w:rsid w:val="0050551D"/>
    <w:rsid w:val="005056D7"/>
    <w:rsid w:val="00505A53"/>
    <w:rsid w:val="00505B30"/>
    <w:rsid w:val="00505EF8"/>
    <w:rsid w:val="0050623D"/>
    <w:rsid w:val="00506EFF"/>
    <w:rsid w:val="0050734A"/>
    <w:rsid w:val="00510023"/>
    <w:rsid w:val="00510863"/>
    <w:rsid w:val="00510E6B"/>
    <w:rsid w:val="005113AD"/>
    <w:rsid w:val="00512231"/>
    <w:rsid w:val="00512C66"/>
    <w:rsid w:val="0051323B"/>
    <w:rsid w:val="0051333D"/>
    <w:rsid w:val="0051386E"/>
    <w:rsid w:val="00513B71"/>
    <w:rsid w:val="00513D0F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1127"/>
    <w:rsid w:val="005211B2"/>
    <w:rsid w:val="005227A3"/>
    <w:rsid w:val="00522C42"/>
    <w:rsid w:val="00522D42"/>
    <w:rsid w:val="00522F55"/>
    <w:rsid w:val="00523275"/>
    <w:rsid w:val="00523A49"/>
    <w:rsid w:val="00523A52"/>
    <w:rsid w:val="00524095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6EA2"/>
    <w:rsid w:val="00527102"/>
    <w:rsid w:val="005273FC"/>
    <w:rsid w:val="00527595"/>
    <w:rsid w:val="005276F9"/>
    <w:rsid w:val="0052771A"/>
    <w:rsid w:val="00530B59"/>
    <w:rsid w:val="00530E88"/>
    <w:rsid w:val="0053112F"/>
    <w:rsid w:val="00531385"/>
    <w:rsid w:val="00531520"/>
    <w:rsid w:val="005316B6"/>
    <w:rsid w:val="0053175C"/>
    <w:rsid w:val="00531952"/>
    <w:rsid w:val="00531B8F"/>
    <w:rsid w:val="00532930"/>
    <w:rsid w:val="00532984"/>
    <w:rsid w:val="00533040"/>
    <w:rsid w:val="00533DFE"/>
    <w:rsid w:val="00533E8B"/>
    <w:rsid w:val="00534BFA"/>
    <w:rsid w:val="00535250"/>
    <w:rsid w:val="00535620"/>
    <w:rsid w:val="005356ED"/>
    <w:rsid w:val="0053612D"/>
    <w:rsid w:val="005364A3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55F"/>
    <w:rsid w:val="005446DE"/>
    <w:rsid w:val="00544718"/>
    <w:rsid w:val="00544765"/>
    <w:rsid w:val="00544FA1"/>
    <w:rsid w:val="005460EA"/>
    <w:rsid w:val="005467F0"/>
    <w:rsid w:val="0054695B"/>
    <w:rsid w:val="00546F15"/>
    <w:rsid w:val="005477A2"/>
    <w:rsid w:val="0055013D"/>
    <w:rsid w:val="00550320"/>
    <w:rsid w:val="005504A5"/>
    <w:rsid w:val="00550DD5"/>
    <w:rsid w:val="00550E46"/>
    <w:rsid w:val="00551243"/>
    <w:rsid w:val="00551769"/>
    <w:rsid w:val="005519B7"/>
    <w:rsid w:val="00551C9A"/>
    <w:rsid w:val="00551F12"/>
    <w:rsid w:val="0055235B"/>
    <w:rsid w:val="00553974"/>
    <w:rsid w:val="005539AE"/>
    <w:rsid w:val="0055449C"/>
    <w:rsid w:val="00554650"/>
    <w:rsid w:val="00554FF2"/>
    <w:rsid w:val="0055560D"/>
    <w:rsid w:val="005559E9"/>
    <w:rsid w:val="00555A4F"/>
    <w:rsid w:val="005570BE"/>
    <w:rsid w:val="0055765B"/>
    <w:rsid w:val="00557940"/>
    <w:rsid w:val="00557D62"/>
    <w:rsid w:val="00557EF0"/>
    <w:rsid w:val="005607B9"/>
    <w:rsid w:val="00560B85"/>
    <w:rsid w:val="0056233B"/>
    <w:rsid w:val="00562A51"/>
    <w:rsid w:val="00562B73"/>
    <w:rsid w:val="00562D96"/>
    <w:rsid w:val="005642F4"/>
    <w:rsid w:val="00564313"/>
    <w:rsid w:val="00564978"/>
    <w:rsid w:val="00564CC4"/>
    <w:rsid w:val="00564EBB"/>
    <w:rsid w:val="00565D6A"/>
    <w:rsid w:val="0056610C"/>
    <w:rsid w:val="00566A8C"/>
    <w:rsid w:val="00566C7E"/>
    <w:rsid w:val="0056717F"/>
    <w:rsid w:val="00567253"/>
    <w:rsid w:val="00567530"/>
    <w:rsid w:val="00567B17"/>
    <w:rsid w:val="00567F19"/>
    <w:rsid w:val="00570B82"/>
    <w:rsid w:val="00570E53"/>
    <w:rsid w:val="00571660"/>
    <w:rsid w:val="005716EA"/>
    <w:rsid w:val="005718A0"/>
    <w:rsid w:val="005720E6"/>
    <w:rsid w:val="005724C3"/>
    <w:rsid w:val="005729C7"/>
    <w:rsid w:val="00572E82"/>
    <w:rsid w:val="00572F77"/>
    <w:rsid w:val="00572FA9"/>
    <w:rsid w:val="0057357B"/>
    <w:rsid w:val="00573718"/>
    <w:rsid w:val="005738F8"/>
    <w:rsid w:val="00573D5E"/>
    <w:rsid w:val="00574403"/>
    <w:rsid w:val="00574EA9"/>
    <w:rsid w:val="005753A1"/>
    <w:rsid w:val="0057587C"/>
    <w:rsid w:val="005760AF"/>
    <w:rsid w:val="00576987"/>
    <w:rsid w:val="005774CE"/>
    <w:rsid w:val="00577A7B"/>
    <w:rsid w:val="00577D02"/>
    <w:rsid w:val="00580127"/>
    <w:rsid w:val="00580B39"/>
    <w:rsid w:val="005811AA"/>
    <w:rsid w:val="005812A5"/>
    <w:rsid w:val="005815F1"/>
    <w:rsid w:val="00581DBF"/>
    <w:rsid w:val="00582527"/>
    <w:rsid w:val="00583247"/>
    <w:rsid w:val="0058326E"/>
    <w:rsid w:val="00583329"/>
    <w:rsid w:val="005834B1"/>
    <w:rsid w:val="0058352B"/>
    <w:rsid w:val="005838B7"/>
    <w:rsid w:val="00583A41"/>
    <w:rsid w:val="00584737"/>
    <w:rsid w:val="00585028"/>
    <w:rsid w:val="00586B32"/>
    <w:rsid w:val="00587440"/>
    <w:rsid w:val="00587679"/>
    <w:rsid w:val="0059015E"/>
    <w:rsid w:val="00590396"/>
    <w:rsid w:val="00590661"/>
    <w:rsid w:val="00590D00"/>
    <w:rsid w:val="00591271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75C"/>
    <w:rsid w:val="00595AF1"/>
    <w:rsid w:val="00596199"/>
    <w:rsid w:val="00596E97"/>
    <w:rsid w:val="00596F3F"/>
    <w:rsid w:val="005972F4"/>
    <w:rsid w:val="005A00B2"/>
    <w:rsid w:val="005A0A00"/>
    <w:rsid w:val="005A0ADC"/>
    <w:rsid w:val="005A0BC1"/>
    <w:rsid w:val="005A16EB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F5E"/>
    <w:rsid w:val="005A642E"/>
    <w:rsid w:val="005A7426"/>
    <w:rsid w:val="005A7722"/>
    <w:rsid w:val="005B009E"/>
    <w:rsid w:val="005B0659"/>
    <w:rsid w:val="005B0933"/>
    <w:rsid w:val="005B0A49"/>
    <w:rsid w:val="005B0F48"/>
    <w:rsid w:val="005B195A"/>
    <w:rsid w:val="005B1A15"/>
    <w:rsid w:val="005B1BC4"/>
    <w:rsid w:val="005B1D52"/>
    <w:rsid w:val="005B2922"/>
    <w:rsid w:val="005B2F71"/>
    <w:rsid w:val="005B2F76"/>
    <w:rsid w:val="005B3624"/>
    <w:rsid w:val="005B3903"/>
    <w:rsid w:val="005B3B25"/>
    <w:rsid w:val="005B3EC6"/>
    <w:rsid w:val="005B43F2"/>
    <w:rsid w:val="005B4B4D"/>
    <w:rsid w:val="005B4E81"/>
    <w:rsid w:val="005B56E2"/>
    <w:rsid w:val="005B57A3"/>
    <w:rsid w:val="005B5A51"/>
    <w:rsid w:val="005B5EE5"/>
    <w:rsid w:val="005B665B"/>
    <w:rsid w:val="005B69B1"/>
    <w:rsid w:val="005B7D95"/>
    <w:rsid w:val="005B7EC4"/>
    <w:rsid w:val="005C0398"/>
    <w:rsid w:val="005C0588"/>
    <w:rsid w:val="005C0D9C"/>
    <w:rsid w:val="005C105E"/>
    <w:rsid w:val="005C1082"/>
    <w:rsid w:val="005C110C"/>
    <w:rsid w:val="005C1434"/>
    <w:rsid w:val="005C20F3"/>
    <w:rsid w:val="005C2A50"/>
    <w:rsid w:val="005C3502"/>
    <w:rsid w:val="005C4E45"/>
    <w:rsid w:val="005C4F27"/>
    <w:rsid w:val="005C5203"/>
    <w:rsid w:val="005C560C"/>
    <w:rsid w:val="005C5697"/>
    <w:rsid w:val="005C5D13"/>
    <w:rsid w:val="005C6494"/>
    <w:rsid w:val="005C7158"/>
    <w:rsid w:val="005C75C9"/>
    <w:rsid w:val="005D01B7"/>
    <w:rsid w:val="005D0527"/>
    <w:rsid w:val="005D08B8"/>
    <w:rsid w:val="005D0D84"/>
    <w:rsid w:val="005D1278"/>
    <w:rsid w:val="005D1A73"/>
    <w:rsid w:val="005D4151"/>
    <w:rsid w:val="005D4DB0"/>
    <w:rsid w:val="005D5494"/>
    <w:rsid w:val="005D6267"/>
    <w:rsid w:val="005D6FF9"/>
    <w:rsid w:val="005D70FF"/>
    <w:rsid w:val="005D77BD"/>
    <w:rsid w:val="005E0230"/>
    <w:rsid w:val="005E04B5"/>
    <w:rsid w:val="005E05E5"/>
    <w:rsid w:val="005E0A06"/>
    <w:rsid w:val="005E0AB8"/>
    <w:rsid w:val="005E0CC2"/>
    <w:rsid w:val="005E199B"/>
    <w:rsid w:val="005E1E7B"/>
    <w:rsid w:val="005E2246"/>
    <w:rsid w:val="005E2660"/>
    <w:rsid w:val="005E273B"/>
    <w:rsid w:val="005E2B13"/>
    <w:rsid w:val="005E2CCA"/>
    <w:rsid w:val="005E30C8"/>
    <w:rsid w:val="005E44FA"/>
    <w:rsid w:val="005E50A8"/>
    <w:rsid w:val="005E687F"/>
    <w:rsid w:val="005E7C04"/>
    <w:rsid w:val="005F061D"/>
    <w:rsid w:val="005F0C85"/>
    <w:rsid w:val="005F0CDE"/>
    <w:rsid w:val="005F0FFB"/>
    <w:rsid w:val="005F1E84"/>
    <w:rsid w:val="005F20B1"/>
    <w:rsid w:val="005F2181"/>
    <w:rsid w:val="005F2A54"/>
    <w:rsid w:val="005F33D8"/>
    <w:rsid w:val="005F3755"/>
    <w:rsid w:val="005F37A5"/>
    <w:rsid w:val="005F3C9F"/>
    <w:rsid w:val="005F3D86"/>
    <w:rsid w:val="005F49F6"/>
    <w:rsid w:val="005F4C42"/>
    <w:rsid w:val="005F4CA5"/>
    <w:rsid w:val="005F4EF4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5F7778"/>
    <w:rsid w:val="00600F1B"/>
    <w:rsid w:val="006010C2"/>
    <w:rsid w:val="00601D92"/>
    <w:rsid w:val="00601E41"/>
    <w:rsid w:val="00602760"/>
    <w:rsid w:val="0060284B"/>
    <w:rsid w:val="00602F99"/>
    <w:rsid w:val="006037AB"/>
    <w:rsid w:val="0060403D"/>
    <w:rsid w:val="0060510F"/>
    <w:rsid w:val="00605650"/>
    <w:rsid w:val="00605772"/>
    <w:rsid w:val="0060582B"/>
    <w:rsid w:val="006061D6"/>
    <w:rsid w:val="00607113"/>
    <w:rsid w:val="00607473"/>
    <w:rsid w:val="00607D7B"/>
    <w:rsid w:val="006101EC"/>
    <w:rsid w:val="00610A0D"/>
    <w:rsid w:val="00610D3B"/>
    <w:rsid w:val="006110B9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F79"/>
    <w:rsid w:val="006177A1"/>
    <w:rsid w:val="00617A2C"/>
    <w:rsid w:val="00620866"/>
    <w:rsid w:val="00620A0C"/>
    <w:rsid w:val="0062143E"/>
    <w:rsid w:val="0062251A"/>
    <w:rsid w:val="0062268C"/>
    <w:rsid w:val="006229AA"/>
    <w:rsid w:val="00622F5C"/>
    <w:rsid w:val="006235C4"/>
    <w:rsid w:val="006235D8"/>
    <w:rsid w:val="0062383D"/>
    <w:rsid w:val="00623A07"/>
    <w:rsid w:val="00624315"/>
    <w:rsid w:val="00624D07"/>
    <w:rsid w:val="00624DE8"/>
    <w:rsid w:val="00625674"/>
    <w:rsid w:val="00625684"/>
    <w:rsid w:val="0062595F"/>
    <w:rsid w:val="00625B88"/>
    <w:rsid w:val="00625CFB"/>
    <w:rsid w:val="00625E35"/>
    <w:rsid w:val="006261F5"/>
    <w:rsid w:val="00626C02"/>
    <w:rsid w:val="00626E5C"/>
    <w:rsid w:val="0062715B"/>
    <w:rsid w:val="00627336"/>
    <w:rsid w:val="00627DAF"/>
    <w:rsid w:val="006308CC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AE0"/>
    <w:rsid w:val="00633D8A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967"/>
    <w:rsid w:val="00637B66"/>
    <w:rsid w:val="00637E06"/>
    <w:rsid w:val="00637FB4"/>
    <w:rsid w:val="00640589"/>
    <w:rsid w:val="006412B0"/>
    <w:rsid w:val="006417AE"/>
    <w:rsid w:val="00641AFA"/>
    <w:rsid w:val="00641F85"/>
    <w:rsid w:val="00642520"/>
    <w:rsid w:val="00642731"/>
    <w:rsid w:val="00642870"/>
    <w:rsid w:val="00642C24"/>
    <w:rsid w:val="00642EEE"/>
    <w:rsid w:val="0064383B"/>
    <w:rsid w:val="00643891"/>
    <w:rsid w:val="00643A2A"/>
    <w:rsid w:val="006443E3"/>
    <w:rsid w:val="00644499"/>
    <w:rsid w:val="0064482E"/>
    <w:rsid w:val="0064535F"/>
    <w:rsid w:val="006461CE"/>
    <w:rsid w:val="006462DB"/>
    <w:rsid w:val="006468BB"/>
    <w:rsid w:val="00647767"/>
    <w:rsid w:val="006501C2"/>
    <w:rsid w:val="006507F0"/>
    <w:rsid w:val="0065096B"/>
    <w:rsid w:val="00650EAA"/>
    <w:rsid w:val="00651C20"/>
    <w:rsid w:val="0065276A"/>
    <w:rsid w:val="00652998"/>
    <w:rsid w:val="00652B7E"/>
    <w:rsid w:val="00652FC8"/>
    <w:rsid w:val="006533E3"/>
    <w:rsid w:val="00654441"/>
    <w:rsid w:val="00654D4A"/>
    <w:rsid w:val="00655A73"/>
    <w:rsid w:val="00655C7B"/>
    <w:rsid w:val="00655DDE"/>
    <w:rsid w:val="00655EA0"/>
    <w:rsid w:val="00656CDB"/>
    <w:rsid w:val="00656D9F"/>
    <w:rsid w:val="00656DD1"/>
    <w:rsid w:val="00657579"/>
    <w:rsid w:val="00657DF3"/>
    <w:rsid w:val="00660347"/>
    <w:rsid w:val="00660FFD"/>
    <w:rsid w:val="00661D41"/>
    <w:rsid w:val="0066205D"/>
    <w:rsid w:val="00663026"/>
    <w:rsid w:val="00663112"/>
    <w:rsid w:val="00663CAD"/>
    <w:rsid w:val="00664453"/>
    <w:rsid w:val="00664ADF"/>
    <w:rsid w:val="0066505D"/>
    <w:rsid w:val="006655F7"/>
    <w:rsid w:val="006656B4"/>
    <w:rsid w:val="00665C19"/>
    <w:rsid w:val="006660AE"/>
    <w:rsid w:val="00666B65"/>
    <w:rsid w:val="00666C65"/>
    <w:rsid w:val="00666EC5"/>
    <w:rsid w:val="00666F3C"/>
    <w:rsid w:val="0066717D"/>
    <w:rsid w:val="00667772"/>
    <w:rsid w:val="0066790E"/>
    <w:rsid w:val="00667B99"/>
    <w:rsid w:val="00667E26"/>
    <w:rsid w:val="00670891"/>
    <w:rsid w:val="00670EC4"/>
    <w:rsid w:val="00671F70"/>
    <w:rsid w:val="00672956"/>
    <w:rsid w:val="006732B0"/>
    <w:rsid w:val="0067342E"/>
    <w:rsid w:val="006734B0"/>
    <w:rsid w:val="0067366E"/>
    <w:rsid w:val="006737F4"/>
    <w:rsid w:val="0067381A"/>
    <w:rsid w:val="00673909"/>
    <w:rsid w:val="006753D6"/>
    <w:rsid w:val="0067564A"/>
    <w:rsid w:val="00675842"/>
    <w:rsid w:val="00675E97"/>
    <w:rsid w:val="00675EF7"/>
    <w:rsid w:val="00675FD2"/>
    <w:rsid w:val="00676552"/>
    <w:rsid w:val="00676869"/>
    <w:rsid w:val="00676E77"/>
    <w:rsid w:val="00677755"/>
    <w:rsid w:val="00677B80"/>
    <w:rsid w:val="00677DFC"/>
    <w:rsid w:val="00677F37"/>
    <w:rsid w:val="006801FF"/>
    <w:rsid w:val="00680376"/>
    <w:rsid w:val="0068064E"/>
    <w:rsid w:val="0068092F"/>
    <w:rsid w:val="00680A9F"/>
    <w:rsid w:val="00680D69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55A5"/>
    <w:rsid w:val="00686C5D"/>
    <w:rsid w:val="00686E78"/>
    <w:rsid w:val="00687035"/>
    <w:rsid w:val="00687072"/>
    <w:rsid w:val="00687651"/>
    <w:rsid w:val="00687738"/>
    <w:rsid w:val="00687815"/>
    <w:rsid w:val="006879AF"/>
    <w:rsid w:val="00687D9B"/>
    <w:rsid w:val="00687F8E"/>
    <w:rsid w:val="0069058A"/>
    <w:rsid w:val="00691AF7"/>
    <w:rsid w:val="00692D9C"/>
    <w:rsid w:val="00693110"/>
    <w:rsid w:val="00693C56"/>
    <w:rsid w:val="00694496"/>
    <w:rsid w:val="00694A71"/>
    <w:rsid w:val="00694B7F"/>
    <w:rsid w:val="00695257"/>
    <w:rsid w:val="00695CDD"/>
    <w:rsid w:val="00695D02"/>
    <w:rsid w:val="00695DC0"/>
    <w:rsid w:val="00695F83"/>
    <w:rsid w:val="00696759"/>
    <w:rsid w:val="00696A2A"/>
    <w:rsid w:val="0069771F"/>
    <w:rsid w:val="006A0491"/>
    <w:rsid w:val="006A05F9"/>
    <w:rsid w:val="006A08BA"/>
    <w:rsid w:val="006A0DCA"/>
    <w:rsid w:val="006A0F82"/>
    <w:rsid w:val="006A105E"/>
    <w:rsid w:val="006A1850"/>
    <w:rsid w:val="006A190C"/>
    <w:rsid w:val="006A24D4"/>
    <w:rsid w:val="006A3864"/>
    <w:rsid w:val="006A4744"/>
    <w:rsid w:val="006A4F47"/>
    <w:rsid w:val="006A646E"/>
    <w:rsid w:val="006A6C05"/>
    <w:rsid w:val="006A6CF0"/>
    <w:rsid w:val="006A716E"/>
    <w:rsid w:val="006A7430"/>
    <w:rsid w:val="006A7B8E"/>
    <w:rsid w:val="006B0092"/>
    <w:rsid w:val="006B123D"/>
    <w:rsid w:val="006B13BC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475E"/>
    <w:rsid w:val="006B4CBD"/>
    <w:rsid w:val="006B5CC1"/>
    <w:rsid w:val="006B5DE6"/>
    <w:rsid w:val="006B5E01"/>
    <w:rsid w:val="006B609B"/>
    <w:rsid w:val="006B6130"/>
    <w:rsid w:val="006B6571"/>
    <w:rsid w:val="006B696C"/>
    <w:rsid w:val="006B6E06"/>
    <w:rsid w:val="006B6F29"/>
    <w:rsid w:val="006B74D5"/>
    <w:rsid w:val="006B787F"/>
    <w:rsid w:val="006B7C1E"/>
    <w:rsid w:val="006C0CD2"/>
    <w:rsid w:val="006C155E"/>
    <w:rsid w:val="006C2094"/>
    <w:rsid w:val="006C21CD"/>
    <w:rsid w:val="006C2237"/>
    <w:rsid w:val="006C2365"/>
    <w:rsid w:val="006C2486"/>
    <w:rsid w:val="006C25E5"/>
    <w:rsid w:val="006C2A41"/>
    <w:rsid w:val="006C2C87"/>
    <w:rsid w:val="006C2ED5"/>
    <w:rsid w:val="006C2F3A"/>
    <w:rsid w:val="006C3DC4"/>
    <w:rsid w:val="006C4055"/>
    <w:rsid w:val="006C4B12"/>
    <w:rsid w:val="006C53E6"/>
    <w:rsid w:val="006C5591"/>
    <w:rsid w:val="006C56D2"/>
    <w:rsid w:val="006C5943"/>
    <w:rsid w:val="006C5B48"/>
    <w:rsid w:val="006C664B"/>
    <w:rsid w:val="006C664D"/>
    <w:rsid w:val="006C67E7"/>
    <w:rsid w:val="006C6EEA"/>
    <w:rsid w:val="006C711A"/>
    <w:rsid w:val="006C7215"/>
    <w:rsid w:val="006C75E1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761"/>
    <w:rsid w:val="006D17D9"/>
    <w:rsid w:val="006D1CC1"/>
    <w:rsid w:val="006D2804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2678"/>
    <w:rsid w:val="006E318F"/>
    <w:rsid w:val="006E31DE"/>
    <w:rsid w:val="006E3703"/>
    <w:rsid w:val="006E3C3E"/>
    <w:rsid w:val="006E4676"/>
    <w:rsid w:val="006E52AF"/>
    <w:rsid w:val="006E5D2E"/>
    <w:rsid w:val="006E613C"/>
    <w:rsid w:val="006E61F3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6C4"/>
    <w:rsid w:val="006F3A71"/>
    <w:rsid w:val="006F3F3F"/>
    <w:rsid w:val="006F4053"/>
    <w:rsid w:val="006F457C"/>
    <w:rsid w:val="006F4786"/>
    <w:rsid w:val="006F47BA"/>
    <w:rsid w:val="006F4887"/>
    <w:rsid w:val="006F4D6E"/>
    <w:rsid w:val="006F5BD1"/>
    <w:rsid w:val="006F5CA0"/>
    <w:rsid w:val="006F5F53"/>
    <w:rsid w:val="006F69D6"/>
    <w:rsid w:val="006F6BA9"/>
    <w:rsid w:val="006F7716"/>
    <w:rsid w:val="006F77E2"/>
    <w:rsid w:val="007000AC"/>
    <w:rsid w:val="00700202"/>
    <w:rsid w:val="00701076"/>
    <w:rsid w:val="00701276"/>
    <w:rsid w:val="0070196F"/>
    <w:rsid w:val="00701AF0"/>
    <w:rsid w:val="00701BB7"/>
    <w:rsid w:val="007023DC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07865"/>
    <w:rsid w:val="0071012B"/>
    <w:rsid w:val="0071057A"/>
    <w:rsid w:val="00710ED3"/>
    <w:rsid w:val="0071110D"/>
    <w:rsid w:val="00711432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682C"/>
    <w:rsid w:val="00717757"/>
    <w:rsid w:val="00717B5E"/>
    <w:rsid w:val="00720389"/>
    <w:rsid w:val="007203DF"/>
    <w:rsid w:val="00720C60"/>
    <w:rsid w:val="00720E75"/>
    <w:rsid w:val="00720EDB"/>
    <w:rsid w:val="00722439"/>
    <w:rsid w:val="007227A3"/>
    <w:rsid w:val="00722DE9"/>
    <w:rsid w:val="00723710"/>
    <w:rsid w:val="00723950"/>
    <w:rsid w:val="00723983"/>
    <w:rsid w:val="007241B4"/>
    <w:rsid w:val="007249AC"/>
    <w:rsid w:val="0072520C"/>
    <w:rsid w:val="0072524F"/>
    <w:rsid w:val="00725458"/>
    <w:rsid w:val="00725701"/>
    <w:rsid w:val="00726123"/>
    <w:rsid w:val="007261F2"/>
    <w:rsid w:val="00730837"/>
    <w:rsid w:val="0073131D"/>
    <w:rsid w:val="0073196A"/>
    <w:rsid w:val="00731AFD"/>
    <w:rsid w:val="00731B0C"/>
    <w:rsid w:val="00731BFE"/>
    <w:rsid w:val="00731D56"/>
    <w:rsid w:val="0073317A"/>
    <w:rsid w:val="0073329F"/>
    <w:rsid w:val="00733A39"/>
    <w:rsid w:val="00733B11"/>
    <w:rsid w:val="00733D11"/>
    <w:rsid w:val="00734578"/>
    <w:rsid w:val="00734C2E"/>
    <w:rsid w:val="0073541E"/>
    <w:rsid w:val="0073599E"/>
    <w:rsid w:val="00735E7A"/>
    <w:rsid w:val="007362A7"/>
    <w:rsid w:val="0073704C"/>
    <w:rsid w:val="007371DC"/>
    <w:rsid w:val="00737251"/>
    <w:rsid w:val="00737705"/>
    <w:rsid w:val="0074053E"/>
    <w:rsid w:val="0074076E"/>
    <w:rsid w:val="00740A31"/>
    <w:rsid w:val="00740DA7"/>
    <w:rsid w:val="00740F67"/>
    <w:rsid w:val="007414A8"/>
    <w:rsid w:val="00741516"/>
    <w:rsid w:val="007415D9"/>
    <w:rsid w:val="00741F27"/>
    <w:rsid w:val="00742ED7"/>
    <w:rsid w:val="00743007"/>
    <w:rsid w:val="007438F4"/>
    <w:rsid w:val="00743912"/>
    <w:rsid w:val="00743A44"/>
    <w:rsid w:val="007446E7"/>
    <w:rsid w:val="00745FAC"/>
    <w:rsid w:val="0074618B"/>
    <w:rsid w:val="00746609"/>
    <w:rsid w:val="00746908"/>
    <w:rsid w:val="00746DF4"/>
    <w:rsid w:val="007477ED"/>
    <w:rsid w:val="00747C9C"/>
    <w:rsid w:val="007506FC"/>
    <w:rsid w:val="007507A8"/>
    <w:rsid w:val="007508EA"/>
    <w:rsid w:val="00750CE3"/>
    <w:rsid w:val="0075155A"/>
    <w:rsid w:val="00751895"/>
    <w:rsid w:val="00752012"/>
    <w:rsid w:val="007527B9"/>
    <w:rsid w:val="00752DB4"/>
    <w:rsid w:val="00752E40"/>
    <w:rsid w:val="007530C6"/>
    <w:rsid w:val="00754418"/>
    <w:rsid w:val="0075460F"/>
    <w:rsid w:val="0075463A"/>
    <w:rsid w:val="007546D0"/>
    <w:rsid w:val="007552A7"/>
    <w:rsid w:val="0075538F"/>
    <w:rsid w:val="0075560F"/>
    <w:rsid w:val="00755748"/>
    <w:rsid w:val="007558B2"/>
    <w:rsid w:val="007561CC"/>
    <w:rsid w:val="00756312"/>
    <w:rsid w:val="00756562"/>
    <w:rsid w:val="00757034"/>
    <w:rsid w:val="00757897"/>
    <w:rsid w:val="00757D3D"/>
    <w:rsid w:val="007600DB"/>
    <w:rsid w:val="00760141"/>
    <w:rsid w:val="007608B5"/>
    <w:rsid w:val="007609E9"/>
    <w:rsid w:val="00761000"/>
    <w:rsid w:val="007615AC"/>
    <w:rsid w:val="00761926"/>
    <w:rsid w:val="00762030"/>
    <w:rsid w:val="00762401"/>
    <w:rsid w:val="00762A2A"/>
    <w:rsid w:val="00762DF4"/>
    <w:rsid w:val="007633F2"/>
    <w:rsid w:val="007637EC"/>
    <w:rsid w:val="0076405B"/>
    <w:rsid w:val="007640A4"/>
    <w:rsid w:val="00764685"/>
    <w:rsid w:val="00764A74"/>
    <w:rsid w:val="00765046"/>
    <w:rsid w:val="007663D9"/>
    <w:rsid w:val="007668F3"/>
    <w:rsid w:val="00766C04"/>
    <w:rsid w:val="00766FAF"/>
    <w:rsid w:val="007670A5"/>
    <w:rsid w:val="00767286"/>
    <w:rsid w:val="007676AA"/>
    <w:rsid w:val="007677F9"/>
    <w:rsid w:val="00767971"/>
    <w:rsid w:val="00767C06"/>
    <w:rsid w:val="00767D48"/>
    <w:rsid w:val="00770913"/>
    <w:rsid w:val="0077108F"/>
    <w:rsid w:val="0077112E"/>
    <w:rsid w:val="00772362"/>
    <w:rsid w:val="007731C0"/>
    <w:rsid w:val="00773D50"/>
    <w:rsid w:val="00773E73"/>
    <w:rsid w:val="0077427E"/>
    <w:rsid w:val="00774735"/>
    <w:rsid w:val="0077493C"/>
    <w:rsid w:val="00774FD1"/>
    <w:rsid w:val="007752DC"/>
    <w:rsid w:val="0077539F"/>
    <w:rsid w:val="00775A4B"/>
    <w:rsid w:val="00776040"/>
    <w:rsid w:val="00776523"/>
    <w:rsid w:val="0078026A"/>
    <w:rsid w:val="00780495"/>
    <w:rsid w:val="00780745"/>
    <w:rsid w:val="00781014"/>
    <w:rsid w:val="007816A1"/>
    <w:rsid w:val="0078175A"/>
    <w:rsid w:val="0078187B"/>
    <w:rsid w:val="00781AD5"/>
    <w:rsid w:val="007824D1"/>
    <w:rsid w:val="0078251A"/>
    <w:rsid w:val="0078265F"/>
    <w:rsid w:val="00782D34"/>
    <w:rsid w:val="0078333E"/>
    <w:rsid w:val="0078374C"/>
    <w:rsid w:val="00783BBB"/>
    <w:rsid w:val="00784232"/>
    <w:rsid w:val="007847A7"/>
    <w:rsid w:val="0078509A"/>
    <w:rsid w:val="007850C5"/>
    <w:rsid w:val="00785BCB"/>
    <w:rsid w:val="00785E9B"/>
    <w:rsid w:val="00785F22"/>
    <w:rsid w:val="00786472"/>
    <w:rsid w:val="007905C9"/>
    <w:rsid w:val="00790DA6"/>
    <w:rsid w:val="007911CB"/>
    <w:rsid w:val="007916E6"/>
    <w:rsid w:val="00792AEC"/>
    <w:rsid w:val="0079312A"/>
    <w:rsid w:val="0079344E"/>
    <w:rsid w:val="007935FC"/>
    <w:rsid w:val="0079360E"/>
    <w:rsid w:val="007939F2"/>
    <w:rsid w:val="007947E4"/>
    <w:rsid w:val="007948FA"/>
    <w:rsid w:val="00794A4A"/>
    <w:rsid w:val="00794EDC"/>
    <w:rsid w:val="007950ED"/>
    <w:rsid w:val="007956E7"/>
    <w:rsid w:val="00796C4C"/>
    <w:rsid w:val="00797103"/>
    <w:rsid w:val="00797B24"/>
    <w:rsid w:val="00797E09"/>
    <w:rsid w:val="00797F91"/>
    <w:rsid w:val="007A0B63"/>
    <w:rsid w:val="007A0D4D"/>
    <w:rsid w:val="007A1BC0"/>
    <w:rsid w:val="007A20EE"/>
    <w:rsid w:val="007A253E"/>
    <w:rsid w:val="007A35C4"/>
    <w:rsid w:val="007A387D"/>
    <w:rsid w:val="007A39A0"/>
    <w:rsid w:val="007A3B72"/>
    <w:rsid w:val="007A4423"/>
    <w:rsid w:val="007A5144"/>
    <w:rsid w:val="007A516F"/>
    <w:rsid w:val="007A5196"/>
    <w:rsid w:val="007A57ED"/>
    <w:rsid w:val="007A5A84"/>
    <w:rsid w:val="007A5CE0"/>
    <w:rsid w:val="007A6634"/>
    <w:rsid w:val="007A67F8"/>
    <w:rsid w:val="007A6C55"/>
    <w:rsid w:val="007A7054"/>
    <w:rsid w:val="007A7248"/>
    <w:rsid w:val="007A7F4A"/>
    <w:rsid w:val="007B0508"/>
    <w:rsid w:val="007B05B5"/>
    <w:rsid w:val="007B070C"/>
    <w:rsid w:val="007B0943"/>
    <w:rsid w:val="007B0B80"/>
    <w:rsid w:val="007B0B90"/>
    <w:rsid w:val="007B1295"/>
    <w:rsid w:val="007B14D0"/>
    <w:rsid w:val="007B1BA3"/>
    <w:rsid w:val="007B2294"/>
    <w:rsid w:val="007B2503"/>
    <w:rsid w:val="007B2554"/>
    <w:rsid w:val="007B30A1"/>
    <w:rsid w:val="007B3569"/>
    <w:rsid w:val="007B3B15"/>
    <w:rsid w:val="007B3D05"/>
    <w:rsid w:val="007B40AA"/>
    <w:rsid w:val="007B40BB"/>
    <w:rsid w:val="007B498A"/>
    <w:rsid w:val="007B49FE"/>
    <w:rsid w:val="007B5259"/>
    <w:rsid w:val="007B601D"/>
    <w:rsid w:val="007B6379"/>
    <w:rsid w:val="007B68CC"/>
    <w:rsid w:val="007B695D"/>
    <w:rsid w:val="007B69D8"/>
    <w:rsid w:val="007B6CC8"/>
    <w:rsid w:val="007B78BD"/>
    <w:rsid w:val="007B7A9C"/>
    <w:rsid w:val="007C0203"/>
    <w:rsid w:val="007C0476"/>
    <w:rsid w:val="007C0573"/>
    <w:rsid w:val="007C13EB"/>
    <w:rsid w:val="007C1EF4"/>
    <w:rsid w:val="007C21D7"/>
    <w:rsid w:val="007C23FF"/>
    <w:rsid w:val="007C2A01"/>
    <w:rsid w:val="007C3291"/>
    <w:rsid w:val="007C33D8"/>
    <w:rsid w:val="007C384E"/>
    <w:rsid w:val="007C3BFD"/>
    <w:rsid w:val="007C4325"/>
    <w:rsid w:val="007C45EB"/>
    <w:rsid w:val="007C5222"/>
    <w:rsid w:val="007C5432"/>
    <w:rsid w:val="007C5AF5"/>
    <w:rsid w:val="007C5D42"/>
    <w:rsid w:val="007C5E89"/>
    <w:rsid w:val="007C5F3F"/>
    <w:rsid w:val="007C6D49"/>
    <w:rsid w:val="007C7647"/>
    <w:rsid w:val="007C7B74"/>
    <w:rsid w:val="007C7F32"/>
    <w:rsid w:val="007D006F"/>
    <w:rsid w:val="007D00E0"/>
    <w:rsid w:val="007D0FD1"/>
    <w:rsid w:val="007D10FE"/>
    <w:rsid w:val="007D1AAC"/>
    <w:rsid w:val="007D24DA"/>
    <w:rsid w:val="007D2606"/>
    <w:rsid w:val="007D3BDE"/>
    <w:rsid w:val="007D4072"/>
    <w:rsid w:val="007D427E"/>
    <w:rsid w:val="007D50D9"/>
    <w:rsid w:val="007D53A6"/>
    <w:rsid w:val="007D6A4A"/>
    <w:rsid w:val="007D6DC4"/>
    <w:rsid w:val="007D7508"/>
    <w:rsid w:val="007D763F"/>
    <w:rsid w:val="007D7C50"/>
    <w:rsid w:val="007D7F39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3B79"/>
    <w:rsid w:val="007E44BD"/>
    <w:rsid w:val="007E4515"/>
    <w:rsid w:val="007E4E7C"/>
    <w:rsid w:val="007E6337"/>
    <w:rsid w:val="007E681F"/>
    <w:rsid w:val="007E685B"/>
    <w:rsid w:val="007E68AF"/>
    <w:rsid w:val="007E6ACA"/>
    <w:rsid w:val="007E6FA9"/>
    <w:rsid w:val="007E7695"/>
    <w:rsid w:val="007F0283"/>
    <w:rsid w:val="007F08E3"/>
    <w:rsid w:val="007F13F9"/>
    <w:rsid w:val="007F1ED9"/>
    <w:rsid w:val="007F2472"/>
    <w:rsid w:val="007F31DA"/>
    <w:rsid w:val="007F3BC0"/>
    <w:rsid w:val="007F3E0C"/>
    <w:rsid w:val="007F3FE2"/>
    <w:rsid w:val="007F473F"/>
    <w:rsid w:val="007F47F5"/>
    <w:rsid w:val="007F58E4"/>
    <w:rsid w:val="007F6EFF"/>
    <w:rsid w:val="007F718D"/>
    <w:rsid w:val="007F7E38"/>
    <w:rsid w:val="008003D0"/>
    <w:rsid w:val="00801731"/>
    <w:rsid w:val="0080248B"/>
    <w:rsid w:val="00802614"/>
    <w:rsid w:val="00803A70"/>
    <w:rsid w:val="00804518"/>
    <w:rsid w:val="0080487E"/>
    <w:rsid w:val="00804FD6"/>
    <w:rsid w:val="0080513F"/>
    <w:rsid w:val="0080593D"/>
    <w:rsid w:val="008060FB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F25"/>
    <w:rsid w:val="00813FE5"/>
    <w:rsid w:val="00814D33"/>
    <w:rsid w:val="00814EDD"/>
    <w:rsid w:val="00815A4D"/>
    <w:rsid w:val="00816029"/>
    <w:rsid w:val="0081614C"/>
    <w:rsid w:val="00816894"/>
    <w:rsid w:val="00816933"/>
    <w:rsid w:val="00817190"/>
    <w:rsid w:val="008172EE"/>
    <w:rsid w:val="00817AC6"/>
    <w:rsid w:val="00817AE6"/>
    <w:rsid w:val="00817DB2"/>
    <w:rsid w:val="00817F11"/>
    <w:rsid w:val="00820060"/>
    <w:rsid w:val="008203A1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81"/>
    <w:rsid w:val="008216FE"/>
    <w:rsid w:val="00821B67"/>
    <w:rsid w:val="00821D98"/>
    <w:rsid w:val="00822BB3"/>
    <w:rsid w:val="00823667"/>
    <w:rsid w:val="00823B2D"/>
    <w:rsid w:val="00823DEC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6F7B"/>
    <w:rsid w:val="0082730E"/>
    <w:rsid w:val="00827934"/>
    <w:rsid w:val="008303F5"/>
    <w:rsid w:val="00830620"/>
    <w:rsid w:val="00830BDF"/>
    <w:rsid w:val="00830CA0"/>
    <w:rsid w:val="00831F9D"/>
    <w:rsid w:val="00832192"/>
    <w:rsid w:val="008324C9"/>
    <w:rsid w:val="00832A8E"/>
    <w:rsid w:val="00832C0C"/>
    <w:rsid w:val="00832D51"/>
    <w:rsid w:val="0083368D"/>
    <w:rsid w:val="00833701"/>
    <w:rsid w:val="00833ED1"/>
    <w:rsid w:val="008340D9"/>
    <w:rsid w:val="008340DA"/>
    <w:rsid w:val="00834625"/>
    <w:rsid w:val="0083582D"/>
    <w:rsid w:val="00836B00"/>
    <w:rsid w:val="00837170"/>
    <w:rsid w:val="00837499"/>
    <w:rsid w:val="00837D4C"/>
    <w:rsid w:val="00837F48"/>
    <w:rsid w:val="008406A5"/>
    <w:rsid w:val="00840771"/>
    <w:rsid w:val="008409FA"/>
    <w:rsid w:val="00840DED"/>
    <w:rsid w:val="0084142C"/>
    <w:rsid w:val="00841790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64CA"/>
    <w:rsid w:val="008470B8"/>
    <w:rsid w:val="008479DD"/>
    <w:rsid w:val="008500C4"/>
    <w:rsid w:val="008501F9"/>
    <w:rsid w:val="008501FD"/>
    <w:rsid w:val="0085083E"/>
    <w:rsid w:val="00851027"/>
    <w:rsid w:val="00851217"/>
    <w:rsid w:val="00851239"/>
    <w:rsid w:val="008516EF"/>
    <w:rsid w:val="00851B6C"/>
    <w:rsid w:val="00852643"/>
    <w:rsid w:val="008534E4"/>
    <w:rsid w:val="0085415B"/>
    <w:rsid w:val="00854741"/>
    <w:rsid w:val="00854A3C"/>
    <w:rsid w:val="00854D3B"/>
    <w:rsid w:val="00855DFC"/>
    <w:rsid w:val="00855E50"/>
    <w:rsid w:val="008568E3"/>
    <w:rsid w:val="00856AE5"/>
    <w:rsid w:val="00856B2B"/>
    <w:rsid w:val="00856D75"/>
    <w:rsid w:val="0085708B"/>
    <w:rsid w:val="008570D5"/>
    <w:rsid w:val="008578C7"/>
    <w:rsid w:val="008578CD"/>
    <w:rsid w:val="008579F4"/>
    <w:rsid w:val="00857B15"/>
    <w:rsid w:val="00857E36"/>
    <w:rsid w:val="00860DC3"/>
    <w:rsid w:val="00861BD6"/>
    <w:rsid w:val="00861C9F"/>
    <w:rsid w:val="00862181"/>
    <w:rsid w:val="00862FA2"/>
    <w:rsid w:val="008631DC"/>
    <w:rsid w:val="008632A6"/>
    <w:rsid w:val="0086390D"/>
    <w:rsid w:val="0086470A"/>
    <w:rsid w:val="00864DC3"/>
    <w:rsid w:val="00864ECB"/>
    <w:rsid w:val="008666C6"/>
    <w:rsid w:val="00867B06"/>
    <w:rsid w:val="00867BAB"/>
    <w:rsid w:val="0087066E"/>
    <w:rsid w:val="0087121D"/>
    <w:rsid w:val="008712C1"/>
    <w:rsid w:val="00871332"/>
    <w:rsid w:val="008723D0"/>
    <w:rsid w:val="00872A16"/>
    <w:rsid w:val="0087328F"/>
    <w:rsid w:val="00873436"/>
    <w:rsid w:val="00873FE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51A"/>
    <w:rsid w:val="00881899"/>
    <w:rsid w:val="00882518"/>
    <w:rsid w:val="008828D7"/>
    <w:rsid w:val="00882D52"/>
    <w:rsid w:val="0088314C"/>
    <w:rsid w:val="00883F9B"/>
    <w:rsid w:val="00883FC5"/>
    <w:rsid w:val="00884703"/>
    <w:rsid w:val="0088486D"/>
    <w:rsid w:val="00885045"/>
    <w:rsid w:val="00885097"/>
    <w:rsid w:val="00885946"/>
    <w:rsid w:val="00885A29"/>
    <w:rsid w:val="00886699"/>
    <w:rsid w:val="00886EE9"/>
    <w:rsid w:val="0088709D"/>
    <w:rsid w:val="0088766D"/>
    <w:rsid w:val="00887706"/>
    <w:rsid w:val="00890076"/>
    <w:rsid w:val="008905E0"/>
    <w:rsid w:val="00890679"/>
    <w:rsid w:val="0089084B"/>
    <w:rsid w:val="008909CF"/>
    <w:rsid w:val="00890B07"/>
    <w:rsid w:val="008911E4"/>
    <w:rsid w:val="0089158D"/>
    <w:rsid w:val="00892557"/>
    <w:rsid w:val="00892F39"/>
    <w:rsid w:val="00893184"/>
    <w:rsid w:val="008931C9"/>
    <w:rsid w:val="00893379"/>
    <w:rsid w:val="008934D9"/>
    <w:rsid w:val="00893535"/>
    <w:rsid w:val="00894660"/>
    <w:rsid w:val="00894886"/>
    <w:rsid w:val="0089524C"/>
    <w:rsid w:val="008955EF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1A2"/>
    <w:rsid w:val="008A1C6F"/>
    <w:rsid w:val="008A2261"/>
    <w:rsid w:val="008A2427"/>
    <w:rsid w:val="008A242C"/>
    <w:rsid w:val="008A2813"/>
    <w:rsid w:val="008A2BD5"/>
    <w:rsid w:val="008A318B"/>
    <w:rsid w:val="008A3518"/>
    <w:rsid w:val="008A4461"/>
    <w:rsid w:val="008A4E4F"/>
    <w:rsid w:val="008A4F25"/>
    <w:rsid w:val="008A5649"/>
    <w:rsid w:val="008A5AE1"/>
    <w:rsid w:val="008A5EEC"/>
    <w:rsid w:val="008A6084"/>
    <w:rsid w:val="008A6C63"/>
    <w:rsid w:val="008A6D36"/>
    <w:rsid w:val="008A6ED5"/>
    <w:rsid w:val="008A702A"/>
    <w:rsid w:val="008A7203"/>
    <w:rsid w:val="008A72B1"/>
    <w:rsid w:val="008B06DB"/>
    <w:rsid w:val="008B074B"/>
    <w:rsid w:val="008B085A"/>
    <w:rsid w:val="008B29FC"/>
    <w:rsid w:val="008B2EB8"/>
    <w:rsid w:val="008B30CD"/>
    <w:rsid w:val="008B3266"/>
    <w:rsid w:val="008B35D4"/>
    <w:rsid w:val="008B42AD"/>
    <w:rsid w:val="008B4684"/>
    <w:rsid w:val="008B4E7B"/>
    <w:rsid w:val="008B503C"/>
    <w:rsid w:val="008B5262"/>
    <w:rsid w:val="008B54A0"/>
    <w:rsid w:val="008B55D7"/>
    <w:rsid w:val="008B611E"/>
    <w:rsid w:val="008B646A"/>
    <w:rsid w:val="008B72CB"/>
    <w:rsid w:val="008B7405"/>
    <w:rsid w:val="008B759D"/>
    <w:rsid w:val="008B769F"/>
    <w:rsid w:val="008C032B"/>
    <w:rsid w:val="008C0580"/>
    <w:rsid w:val="008C0685"/>
    <w:rsid w:val="008C090E"/>
    <w:rsid w:val="008C1077"/>
    <w:rsid w:val="008C11F0"/>
    <w:rsid w:val="008C1D9F"/>
    <w:rsid w:val="008C259D"/>
    <w:rsid w:val="008C2A97"/>
    <w:rsid w:val="008C2DDC"/>
    <w:rsid w:val="008C38B5"/>
    <w:rsid w:val="008C4B2C"/>
    <w:rsid w:val="008C4E4E"/>
    <w:rsid w:val="008C4FA8"/>
    <w:rsid w:val="008C521F"/>
    <w:rsid w:val="008C52F3"/>
    <w:rsid w:val="008C55E2"/>
    <w:rsid w:val="008C5669"/>
    <w:rsid w:val="008C62D2"/>
    <w:rsid w:val="008C6332"/>
    <w:rsid w:val="008C65F7"/>
    <w:rsid w:val="008C665E"/>
    <w:rsid w:val="008C6AD5"/>
    <w:rsid w:val="008C71A2"/>
    <w:rsid w:val="008C72EC"/>
    <w:rsid w:val="008C7B12"/>
    <w:rsid w:val="008D01C5"/>
    <w:rsid w:val="008D06D2"/>
    <w:rsid w:val="008D0868"/>
    <w:rsid w:val="008D166B"/>
    <w:rsid w:val="008D2496"/>
    <w:rsid w:val="008D2E5B"/>
    <w:rsid w:val="008D3A22"/>
    <w:rsid w:val="008D3C28"/>
    <w:rsid w:val="008D3F97"/>
    <w:rsid w:val="008D42F9"/>
    <w:rsid w:val="008D443A"/>
    <w:rsid w:val="008D451E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6538"/>
    <w:rsid w:val="008E0901"/>
    <w:rsid w:val="008E173B"/>
    <w:rsid w:val="008E1B8F"/>
    <w:rsid w:val="008E1EE5"/>
    <w:rsid w:val="008E2949"/>
    <w:rsid w:val="008E29C2"/>
    <w:rsid w:val="008E2BC9"/>
    <w:rsid w:val="008E2E99"/>
    <w:rsid w:val="008E4476"/>
    <w:rsid w:val="008E4B95"/>
    <w:rsid w:val="008E5422"/>
    <w:rsid w:val="008E6536"/>
    <w:rsid w:val="008E711B"/>
    <w:rsid w:val="008E71B4"/>
    <w:rsid w:val="008E7491"/>
    <w:rsid w:val="008F0017"/>
    <w:rsid w:val="008F0DDE"/>
    <w:rsid w:val="008F119B"/>
    <w:rsid w:val="008F1361"/>
    <w:rsid w:val="008F1C0F"/>
    <w:rsid w:val="008F245A"/>
    <w:rsid w:val="008F25C8"/>
    <w:rsid w:val="008F29A0"/>
    <w:rsid w:val="008F2B10"/>
    <w:rsid w:val="008F2DEC"/>
    <w:rsid w:val="008F364E"/>
    <w:rsid w:val="008F3676"/>
    <w:rsid w:val="008F3757"/>
    <w:rsid w:val="008F3794"/>
    <w:rsid w:val="008F3F86"/>
    <w:rsid w:val="008F4290"/>
    <w:rsid w:val="008F4458"/>
    <w:rsid w:val="008F5167"/>
    <w:rsid w:val="008F519B"/>
    <w:rsid w:val="008F666B"/>
    <w:rsid w:val="008F6808"/>
    <w:rsid w:val="008F6B69"/>
    <w:rsid w:val="008F7853"/>
    <w:rsid w:val="009004DB"/>
    <w:rsid w:val="0090060E"/>
    <w:rsid w:val="00900FA8"/>
    <w:rsid w:val="00901164"/>
    <w:rsid w:val="009013C1"/>
    <w:rsid w:val="00901F09"/>
    <w:rsid w:val="00902843"/>
    <w:rsid w:val="00902BF5"/>
    <w:rsid w:val="0090325B"/>
    <w:rsid w:val="00903288"/>
    <w:rsid w:val="00903994"/>
    <w:rsid w:val="00903D12"/>
    <w:rsid w:val="0090533A"/>
    <w:rsid w:val="00905B1E"/>
    <w:rsid w:val="00905C0B"/>
    <w:rsid w:val="00905C58"/>
    <w:rsid w:val="00906E55"/>
    <w:rsid w:val="0090746C"/>
    <w:rsid w:val="009078EF"/>
    <w:rsid w:val="00907E29"/>
    <w:rsid w:val="0091051D"/>
    <w:rsid w:val="00910695"/>
    <w:rsid w:val="00910D55"/>
    <w:rsid w:val="009111DA"/>
    <w:rsid w:val="00911B42"/>
    <w:rsid w:val="009124C2"/>
    <w:rsid w:val="00912D0D"/>
    <w:rsid w:val="00913104"/>
    <w:rsid w:val="009136EF"/>
    <w:rsid w:val="00913984"/>
    <w:rsid w:val="00913DA4"/>
    <w:rsid w:val="00914BF8"/>
    <w:rsid w:val="00915857"/>
    <w:rsid w:val="00915E7E"/>
    <w:rsid w:val="00915F86"/>
    <w:rsid w:val="0091678E"/>
    <w:rsid w:val="00916948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73E"/>
    <w:rsid w:val="00922983"/>
    <w:rsid w:val="00922C87"/>
    <w:rsid w:val="00923283"/>
    <w:rsid w:val="0092344D"/>
    <w:rsid w:val="009240B4"/>
    <w:rsid w:val="00924B50"/>
    <w:rsid w:val="00924C13"/>
    <w:rsid w:val="00924EAF"/>
    <w:rsid w:val="00924ECB"/>
    <w:rsid w:val="00925EFE"/>
    <w:rsid w:val="00926207"/>
    <w:rsid w:val="009267D1"/>
    <w:rsid w:val="00926E74"/>
    <w:rsid w:val="00927207"/>
    <w:rsid w:val="00927571"/>
    <w:rsid w:val="00927C3D"/>
    <w:rsid w:val="00927CAA"/>
    <w:rsid w:val="00927D99"/>
    <w:rsid w:val="00927DD9"/>
    <w:rsid w:val="00927E3C"/>
    <w:rsid w:val="0093022A"/>
    <w:rsid w:val="0093035C"/>
    <w:rsid w:val="00930613"/>
    <w:rsid w:val="00930AA1"/>
    <w:rsid w:val="0093115D"/>
    <w:rsid w:val="00931762"/>
    <w:rsid w:val="009319C5"/>
    <w:rsid w:val="00931B6B"/>
    <w:rsid w:val="00931BD8"/>
    <w:rsid w:val="00933300"/>
    <w:rsid w:val="00933328"/>
    <w:rsid w:val="0093472F"/>
    <w:rsid w:val="00934FB4"/>
    <w:rsid w:val="0093509F"/>
    <w:rsid w:val="00935502"/>
    <w:rsid w:val="009355AD"/>
    <w:rsid w:val="00936F7E"/>
    <w:rsid w:val="009378CB"/>
    <w:rsid w:val="00940813"/>
    <w:rsid w:val="00940F2F"/>
    <w:rsid w:val="0094111C"/>
    <w:rsid w:val="009413DF"/>
    <w:rsid w:val="00941EA2"/>
    <w:rsid w:val="00942077"/>
    <w:rsid w:val="0094307C"/>
    <w:rsid w:val="0094314A"/>
    <w:rsid w:val="00944526"/>
    <w:rsid w:val="00944732"/>
    <w:rsid w:val="00944ECF"/>
    <w:rsid w:val="00944F12"/>
    <w:rsid w:val="0094504C"/>
    <w:rsid w:val="00945808"/>
    <w:rsid w:val="00945AB1"/>
    <w:rsid w:val="00946BE2"/>
    <w:rsid w:val="0094704F"/>
    <w:rsid w:val="00947143"/>
    <w:rsid w:val="009472A2"/>
    <w:rsid w:val="009476B5"/>
    <w:rsid w:val="00947A5E"/>
    <w:rsid w:val="00950B5D"/>
    <w:rsid w:val="0095123B"/>
    <w:rsid w:val="00951EAE"/>
    <w:rsid w:val="0095209D"/>
    <w:rsid w:val="0095213B"/>
    <w:rsid w:val="00952224"/>
    <w:rsid w:val="00952490"/>
    <w:rsid w:val="009527A5"/>
    <w:rsid w:val="00952882"/>
    <w:rsid w:val="00953BE2"/>
    <w:rsid w:val="00953D0A"/>
    <w:rsid w:val="0095401D"/>
    <w:rsid w:val="009540B0"/>
    <w:rsid w:val="009569A7"/>
    <w:rsid w:val="00956B22"/>
    <w:rsid w:val="00956BE2"/>
    <w:rsid w:val="00956DB5"/>
    <w:rsid w:val="00957498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3EC"/>
    <w:rsid w:val="0096484B"/>
    <w:rsid w:val="00964BBA"/>
    <w:rsid w:val="00964FA6"/>
    <w:rsid w:val="00965D21"/>
    <w:rsid w:val="0096718D"/>
    <w:rsid w:val="00967261"/>
    <w:rsid w:val="009672DC"/>
    <w:rsid w:val="0096741E"/>
    <w:rsid w:val="009676A0"/>
    <w:rsid w:val="00967F1F"/>
    <w:rsid w:val="0097004D"/>
    <w:rsid w:val="00971964"/>
    <w:rsid w:val="00971AF8"/>
    <w:rsid w:val="00971C25"/>
    <w:rsid w:val="0097250A"/>
    <w:rsid w:val="00972B03"/>
    <w:rsid w:val="00972E21"/>
    <w:rsid w:val="00972E84"/>
    <w:rsid w:val="00973081"/>
    <w:rsid w:val="00973911"/>
    <w:rsid w:val="00974B25"/>
    <w:rsid w:val="00974BEA"/>
    <w:rsid w:val="00974C3E"/>
    <w:rsid w:val="00975D4F"/>
    <w:rsid w:val="00975F7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469"/>
    <w:rsid w:val="00983584"/>
    <w:rsid w:val="00983786"/>
    <w:rsid w:val="00983F2D"/>
    <w:rsid w:val="009847DC"/>
    <w:rsid w:val="00984817"/>
    <w:rsid w:val="00984AC1"/>
    <w:rsid w:val="009855D3"/>
    <w:rsid w:val="0098582E"/>
    <w:rsid w:val="009858DF"/>
    <w:rsid w:val="00985CFC"/>
    <w:rsid w:val="00986619"/>
    <w:rsid w:val="00986728"/>
    <w:rsid w:val="009868A7"/>
    <w:rsid w:val="0098792A"/>
    <w:rsid w:val="00987E3E"/>
    <w:rsid w:val="009900A2"/>
    <w:rsid w:val="0099026B"/>
    <w:rsid w:val="009903D7"/>
    <w:rsid w:val="00990C82"/>
    <w:rsid w:val="00990CA5"/>
    <w:rsid w:val="00990D6E"/>
    <w:rsid w:val="009910C0"/>
    <w:rsid w:val="00991331"/>
    <w:rsid w:val="00991CA4"/>
    <w:rsid w:val="009928A3"/>
    <w:rsid w:val="0099292A"/>
    <w:rsid w:val="00992EA9"/>
    <w:rsid w:val="009944CD"/>
    <w:rsid w:val="0099503A"/>
    <w:rsid w:val="0099546D"/>
    <w:rsid w:val="009959D3"/>
    <w:rsid w:val="00995C8D"/>
    <w:rsid w:val="00995E6A"/>
    <w:rsid w:val="00995F6C"/>
    <w:rsid w:val="009966D0"/>
    <w:rsid w:val="0099691D"/>
    <w:rsid w:val="00996C56"/>
    <w:rsid w:val="00997638"/>
    <w:rsid w:val="00997710"/>
    <w:rsid w:val="00997866"/>
    <w:rsid w:val="009A00DD"/>
    <w:rsid w:val="009A06F7"/>
    <w:rsid w:val="009A0EC1"/>
    <w:rsid w:val="009A1173"/>
    <w:rsid w:val="009A119C"/>
    <w:rsid w:val="009A11D0"/>
    <w:rsid w:val="009A1212"/>
    <w:rsid w:val="009A12AE"/>
    <w:rsid w:val="009A1658"/>
    <w:rsid w:val="009A1A0E"/>
    <w:rsid w:val="009A1A75"/>
    <w:rsid w:val="009A33DA"/>
    <w:rsid w:val="009A475B"/>
    <w:rsid w:val="009A4A40"/>
    <w:rsid w:val="009A4DFE"/>
    <w:rsid w:val="009A4F6D"/>
    <w:rsid w:val="009A54F1"/>
    <w:rsid w:val="009A557B"/>
    <w:rsid w:val="009A5821"/>
    <w:rsid w:val="009A5AA7"/>
    <w:rsid w:val="009A670E"/>
    <w:rsid w:val="009A67DA"/>
    <w:rsid w:val="009A776B"/>
    <w:rsid w:val="009B029C"/>
    <w:rsid w:val="009B1547"/>
    <w:rsid w:val="009B1811"/>
    <w:rsid w:val="009B1A55"/>
    <w:rsid w:val="009B1FC5"/>
    <w:rsid w:val="009B2469"/>
    <w:rsid w:val="009B2541"/>
    <w:rsid w:val="009B2A5D"/>
    <w:rsid w:val="009B3893"/>
    <w:rsid w:val="009B39F7"/>
    <w:rsid w:val="009B3D68"/>
    <w:rsid w:val="009B3D96"/>
    <w:rsid w:val="009B42B1"/>
    <w:rsid w:val="009B4BE6"/>
    <w:rsid w:val="009B5407"/>
    <w:rsid w:val="009B5435"/>
    <w:rsid w:val="009B575C"/>
    <w:rsid w:val="009B5B69"/>
    <w:rsid w:val="009B69D1"/>
    <w:rsid w:val="009B6DF3"/>
    <w:rsid w:val="009B7709"/>
    <w:rsid w:val="009B792B"/>
    <w:rsid w:val="009B7E21"/>
    <w:rsid w:val="009C0062"/>
    <w:rsid w:val="009C02A3"/>
    <w:rsid w:val="009C02D8"/>
    <w:rsid w:val="009C0D71"/>
    <w:rsid w:val="009C0DAD"/>
    <w:rsid w:val="009C1291"/>
    <w:rsid w:val="009C1A17"/>
    <w:rsid w:val="009C1D01"/>
    <w:rsid w:val="009C1D40"/>
    <w:rsid w:val="009C1D5E"/>
    <w:rsid w:val="009C20CC"/>
    <w:rsid w:val="009C2BEC"/>
    <w:rsid w:val="009C368F"/>
    <w:rsid w:val="009C4C95"/>
    <w:rsid w:val="009C4D1E"/>
    <w:rsid w:val="009C4EA9"/>
    <w:rsid w:val="009C4EE5"/>
    <w:rsid w:val="009C5448"/>
    <w:rsid w:val="009C55A5"/>
    <w:rsid w:val="009C5925"/>
    <w:rsid w:val="009C5C1F"/>
    <w:rsid w:val="009C6725"/>
    <w:rsid w:val="009C680D"/>
    <w:rsid w:val="009C6DDD"/>
    <w:rsid w:val="009C7A8F"/>
    <w:rsid w:val="009C7D11"/>
    <w:rsid w:val="009C7F1C"/>
    <w:rsid w:val="009D0503"/>
    <w:rsid w:val="009D0692"/>
    <w:rsid w:val="009D0B05"/>
    <w:rsid w:val="009D0F4C"/>
    <w:rsid w:val="009D13E9"/>
    <w:rsid w:val="009D14BC"/>
    <w:rsid w:val="009D16C0"/>
    <w:rsid w:val="009D17D3"/>
    <w:rsid w:val="009D203E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D7B65"/>
    <w:rsid w:val="009E19D8"/>
    <w:rsid w:val="009E1CB2"/>
    <w:rsid w:val="009E1F16"/>
    <w:rsid w:val="009E2450"/>
    <w:rsid w:val="009E24A5"/>
    <w:rsid w:val="009E29C4"/>
    <w:rsid w:val="009E31AA"/>
    <w:rsid w:val="009E412D"/>
    <w:rsid w:val="009E4181"/>
    <w:rsid w:val="009E444E"/>
    <w:rsid w:val="009E4B4F"/>
    <w:rsid w:val="009E4CF6"/>
    <w:rsid w:val="009E61EE"/>
    <w:rsid w:val="009E65E3"/>
    <w:rsid w:val="009E660A"/>
    <w:rsid w:val="009E6EEE"/>
    <w:rsid w:val="009E71FE"/>
    <w:rsid w:val="009F0167"/>
    <w:rsid w:val="009F04BC"/>
    <w:rsid w:val="009F0BE1"/>
    <w:rsid w:val="009F0F1D"/>
    <w:rsid w:val="009F1684"/>
    <w:rsid w:val="009F1AFC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1162"/>
    <w:rsid w:val="00A01409"/>
    <w:rsid w:val="00A01CC1"/>
    <w:rsid w:val="00A01E5C"/>
    <w:rsid w:val="00A01F02"/>
    <w:rsid w:val="00A023F2"/>
    <w:rsid w:val="00A03D23"/>
    <w:rsid w:val="00A03F1D"/>
    <w:rsid w:val="00A04ABD"/>
    <w:rsid w:val="00A04EA5"/>
    <w:rsid w:val="00A05041"/>
    <w:rsid w:val="00A051A6"/>
    <w:rsid w:val="00A0533C"/>
    <w:rsid w:val="00A05690"/>
    <w:rsid w:val="00A05DD3"/>
    <w:rsid w:val="00A05FE9"/>
    <w:rsid w:val="00A0613B"/>
    <w:rsid w:val="00A06675"/>
    <w:rsid w:val="00A10C16"/>
    <w:rsid w:val="00A10FA6"/>
    <w:rsid w:val="00A11711"/>
    <w:rsid w:val="00A11898"/>
    <w:rsid w:val="00A11C3C"/>
    <w:rsid w:val="00A120FB"/>
    <w:rsid w:val="00A12F50"/>
    <w:rsid w:val="00A13512"/>
    <w:rsid w:val="00A137E0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9C8"/>
    <w:rsid w:val="00A16E48"/>
    <w:rsid w:val="00A17091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14E"/>
    <w:rsid w:val="00A234AA"/>
    <w:rsid w:val="00A23A00"/>
    <w:rsid w:val="00A23C0F"/>
    <w:rsid w:val="00A23F99"/>
    <w:rsid w:val="00A24140"/>
    <w:rsid w:val="00A24C93"/>
    <w:rsid w:val="00A24DD4"/>
    <w:rsid w:val="00A2552E"/>
    <w:rsid w:val="00A25751"/>
    <w:rsid w:val="00A258F0"/>
    <w:rsid w:val="00A25E02"/>
    <w:rsid w:val="00A25FC5"/>
    <w:rsid w:val="00A26B88"/>
    <w:rsid w:val="00A27672"/>
    <w:rsid w:val="00A30584"/>
    <w:rsid w:val="00A30E44"/>
    <w:rsid w:val="00A311E1"/>
    <w:rsid w:val="00A313B1"/>
    <w:rsid w:val="00A314B2"/>
    <w:rsid w:val="00A315CB"/>
    <w:rsid w:val="00A3180D"/>
    <w:rsid w:val="00A32050"/>
    <w:rsid w:val="00A32209"/>
    <w:rsid w:val="00A3265F"/>
    <w:rsid w:val="00A32ADA"/>
    <w:rsid w:val="00A32AE1"/>
    <w:rsid w:val="00A33141"/>
    <w:rsid w:val="00A339D3"/>
    <w:rsid w:val="00A342F9"/>
    <w:rsid w:val="00A34E2C"/>
    <w:rsid w:val="00A34F96"/>
    <w:rsid w:val="00A3547A"/>
    <w:rsid w:val="00A356E1"/>
    <w:rsid w:val="00A35D62"/>
    <w:rsid w:val="00A3616A"/>
    <w:rsid w:val="00A3632F"/>
    <w:rsid w:val="00A3653C"/>
    <w:rsid w:val="00A36950"/>
    <w:rsid w:val="00A36CBC"/>
    <w:rsid w:val="00A37278"/>
    <w:rsid w:val="00A372E0"/>
    <w:rsid w:val="00A3741A"/>
    <w:rsid w:val="00A410FB"/>
    <w:rsid w:val="00A41A09"/>
    <w:rsid w:val="00A425B6"/>
    <w:rsid w:val="00A427F9"/>
    <w:rsid w:val="00A428D5"/>
    <w:rsid w:val="00A42B46"/>
    <w:rsid w:val="00A42EFA"/>
    <w:rsid w:val="00A4301B"/>
    <w:rsid w:val="00A43D61"/>
    <w:rsid w:val="00A449C1"/>
    <w:rsid w:val="00A45167"/>
    <w:rsid w:val="00A45FB6"/>
    <w:rsid w:val="00A46081"/>
    <w:rsid w:val="00A467BB"/>
    <w:rsid w:val="00A4691B"/>
    <w:rsid w:val="00A46ECF"/>
    <w:rsid w:val="00A47EBA"/>
    <w:rsid w:val="00A47FFA"/>
    <w:rsid w:val="00A5078C"/>
    <w:rsid w:val="00A50A8F"/>
    <w:rsid w:val="00A51932"/>
    <w:rsid w:val="00A52229"/>
    <w:rsid w:val="00A524C8"/>
    <w:rsid w:val="00A52D20"/>
    <w:rsid w:val="00A52FAC"/>
    <w:rsid w:val="00A53BD6"/>
    <w:rsid w:val="00A53D94"/>
    <w:rsid w:val="00A5425B"/>
    <w:rsid w:val="00A54264"/>
    <w:rsid w:val="00A547E3"/>
    <w:rsid w:val="00A551AC"/>
    <w:rsid w:val="00A552E4"/>
    <w:rsid w:val="00A5596A"/>
    <w:rsid w:val="00A55A29"/>
    <w:rsid w:val="00A55E20"/>
    <w:rsid w:val="00A561CE"/>
    <w:rsid w:val="00A5633F"/>
    <w:rsid w:val="00A5641B"/>
    <w:rsid w:val="00A56430"/>
    <w:rsid w:val="00A56658"/>
    <w:rsid w:val="00A56775"/>
    <w:rsid w:val="00A56A18"/>
    <w:rsid w:val="00A600C4"/>
    <w:rsid w:val="00A6023B"/>
    <w:rsid w:val="00A60874"/>
    <w:rsid w:val="00A617D8"/>
    <w:rsid w:val="00A61A50"/>
    <w:rsid w:val="00A6239B"/>
    <w:rsid w:val="00A62540"/>
    <w:rsid w:val="00A626EA"/>
    <w:rsid w:val="00A63108"/>
    <w:rsid w:val="00A63646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3BF"/>
    <w:rsid w:val="00A71DE0"/>
    <w:rsid w:val="00A7209C"/>
    <w:rsid w:val="00A7268A"/>
    <w:rsid w:val="00A729AF"/>
    <w:rsid w:val="00A729F7"/>
    <w:rsid w:val="00A72C20"/>
    <w:rsid w:val="00A73374"/>
    <w:rsid w:val="00A7403F"/>
    <w:rsid w:val="00A74040"/>
    <w:rsid w:val="00A741F2"/>
    <w:rsid w:val="00A744A3"/>
    <w:rsid w:val="00A74B17"/>
    <w:rsid w:val="00A75249"/>
    <w:rsid w:val="00A7525E"/>
    <w:rsid w:val="00A75399"/>
    <w:rsid w:val="00A75455"/>
    <w:rsid w:val="00A7600D"/>
    <w:rsid w:val="00A7607E"/>
    <w:rsid w:val="00A762C5"/>
    <w:rsid w:val="00A779E2"/>
    <w:rsid w:val="00A77F83"/>
    <w:rsid w:val="00A80557"/>
    <w:rsid w:val="00A80C9B"/>
    <w:rsid w:val="00A80ED8"/>
    <w:rsid w:val="00A81B3A"/>
    <w:rsid w:val="00A81C21"/>
    <w:rsid w:val="00A81D98"/>
    <w:rsid w:val="00A82174"/>
    <w:rsid w:val="00A82D0F"/>
    <w:rsid w:val="00A82FD2"/>
    <w:rsid w:val="00A8346D"/>
    <w:rsid w:val="00A8351D"/>
    <w:rsid w:val="00A836DB"/>
    <w:rsid w:val="00A842B7"/>
    <w:rsid w:val="00A853AB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4993"/>
    <w:rsid w:val="00A94C3A"/>
    <w:rsid w:val="00A95018"/>
    <w:rsid w:val="00A950F4"/>
    <w:rsid w:val="00A9515E"/>
    <w:rsid w:val="00A953EB"/>
    <w:rsid w:val="00A9663A"/>
    <w:rsid w:val="00A96A9B"/>
    <w:rsid w:val="00A97923"/>
    <w:rsid w:val="00AA023A"/>
    <w:rsid w:val="00AA0639"/>
    <w:rsid w:val="00AA0D62"/>
    <w:rsid w:val="00AA119C"/>
    <w:rsid w:val="00AA11D8"/>
    <w:rsid w:val="00AA12FB"/>
    <w:rsid w:val="00AA13BD"/>
    <w:rsid w:val="00AA1A37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0F"/>
    <w:rsid w:val="00AA5530"/>
    <w:rsid w:val="00AA5697"/>
    <w:rsid w:val="00AA5CC6"/>
    <w:rsid w:val="00AA6068"/>
    <w:rsid w:val="00AA7044"/>
    <w:rsid w:val="00AA7239"/>
    <w:rsid w:val="00AA74AB"/>
    <w:rsid w:val="00AA7D06"/>
    <w:rsid w:val="00AA7D36"/>
    <w:rsid w:val="00AA7F82"/>
    <w:rsid w:val="00AB0F9F"/>
    <w:rsid w:val="00AB21D1"/>
    <w:rsid w:val="00AB2264"/>
    <w:rsid w:val="00AB23E5"/>
    <w:rsid w:val="00AB25D0"/>
    <w:rsid w:val="00AB4355"/>
    <w:rsid w:val="00AB4B0A"/>
    <w:rsid w:val="00AB4D59"/>
    <w:rsid w:val="00AB55F9"/>
    <w:rsid w:val="00AB6614"/>
    <w:rsid w:val="00AB662B"/>
    <w:rsid w:val="00AB6A9C"/>
    <w:rsid w:val="00AB6C39"/>
    <w:rsid w:val="00AB742D"/>
    <w:rsid w:val="00AB7D51"/>
    <w:rsid w:val="00AB7D98"/>
    <w:rsid w:val="00AC0A12"/>
    <w:rsid w:val="00AC0B12"/>
    <w:rsid w:val="00AC0F4F"/>
    <w:rsid w:val="00AC0F8A"/>
    <w:rsid w:val="00AC1136"/>
    <w:rsid w:val="00AC161B"/>
    <w:rsid w:val="00AC16A4"/>
    <w:rsid w:val="00AC19AB"/>
    <w:rsid w:val="00AC1A02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682"/>
    <w:rsid w:val="00AC47F7"/>
    <w:rsid w:val="00AC6184"/>
    <w:rsid w:val="00AC665A"/>
    <w:rsid w:val="00AC6948"/>
    <w:rsid w:val="00AC7AE9"/>
    <w:rsid w:val="00AC7E07"/>
    <w:rsid w:val="00AD1443"/>
    <w:rsid w:val="00AD150E"/>
    <w:rsid w:val="00AD17CC"/>
    <w:rsid w:val="00AD1998"/>
    <w:rsid w:val="00AD25B0"/>
    <w:rsid w:val="00AD28AE"/>
    <w:rsid w:val="00AD2E20"/>
    <w:rsid w:val="00AD3995"/>
    <w:rsid w:val="00AD39A2"/>
    <w:rsid w:val="00AD47DD"/>
    <w:rsid w:val="00AD4B4E"/>
    <w:rsid w:val="00AD4B83"/>
    <w:rsid w:val="00AD5755"/>
    <w:rsid w:val="00AD6150"/>
    <w:rsid w:val="00AD6154"/>
    <w:rsid w:val="00AD62A2"/>
    <w:rsid w:val="00AD6E24"/>
    <w:rsid w:val="00AD74AF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44F9"/>
    <w:rsid w:val="00AE5206"/>
    <w:rsid w:val="00AE521E"/>
    <w:rsid w:val="00AE5248"/>
    <w:rsid w:val="00AE5D74"/>
    <w:rsid w:val="00AE6432"/>
    <w:rsid w:val="00AE6818"/>
    <w:rsid w:val="00AE69DE"/>
    <w:rsid w:val="00AE6AE6"/>
    <w:rsid w:val="00AE6EC9"/>
    <w:rsid w:val="00AE716C"/>
    <w:rsid w:val="00AE7192"/>
    <w:rsid w:val="00AF040E"/>
    <w:rsid w:val="00AF042F"/>
    <w:rsid w:val="00AF05D4"/>
    <w:rsid w:val="00AF0C9C"/>
    <w:rsid w:val="00AF0D54"/>
    <w:rsid w:val="00AF1325"/>
    <w:rsid w:val="00AF1340"/>
    <w:rsid w:val="00AF13BA"/>
    <w:rsid w:val="00AF1459"/>
    <w:rsid w:val="00AF15E7"/>
    <w:rsid w:val="00AF1B7F"/>
    <w:rsid w:val="00AF22E3"/>
    <w:rsid w:val="00AF258E"/>
    <w:rsid w:val="00AF3197"/>
    <w:rsid w:val="00AF3280"/>
    <w:rsid w:val="00AF375C"/>
    <w:rsid w:val="00AF3B03"/>
    <w:rsid w:val="00AF3FDA"/>
    <w:rsid w:val="00AF4040"/>
    <w:rsid w:val="00AF4374"/>
    <w:rsid w:val="00AF47B5"/>
    <w:rsid w:val="00AF498F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18"/>
    <w:rsid w:val="00AF6CB6"/>
    <w:rsid w:val="00AF6CF7"/>
    <w:rsid w:val="00AF72EA"/>
    <w:rsid w:val="00AF749B"/>
    <w:rsid w:val="00AF7774"/>
    <w:rsid w:val="00AF7B5D"/>
    <w:rsid w:val="00B00307"/>
    <w:rsid w:val="00B00891"/>
    <w:rsid w:val="00B00949"/>
    <w:rsid w:val="00B00B12"/>
    <w:rsid w:val="00B00D58"/>
    <w:rsid w:val="00B01014"/>
    <w:rsid w:val="00B0116B"/>
    <w:rsid w:val="00B0158D"/>
    <w:rsid w:val="00B0169E"/>
    <w:rsid w:val="00B01889"/>
    <w:rsid w:val="00B02275"/>
    <w:rsid w:val="00B0234B"/>
    <w:rsid w:val="00B02657"/>
    <w:rsid w:val="00B03363"/>
    <w:rsid w:val="00B03FD1"/>
    <w:rsid w:val="00B0406B"/>
    <w:rsid w:val="00B06137"/>
    <w:rsid w:val="00B063C7"/>
    <w:rsid w:val="00B06538"/>
    <w:rsid w:val="00B06988"/>
    <w:rsid w:val="00B06B9F"/>
    <w:rsid w:val="00B06D9A"/>
    <w:rsid w:val="00B07B16"/>
    <w:rsid w:val="00B07C9D"/>
    <w:rsid w:val="00B104F1"/>
    <w:rsid w:val="00B1070F"/>
    <w:rsid w:val="00B10E04"/>
    <w:rsid w:val="00B116F9"/>
    <w:rsid w:val="00B119DA"/>
    <w:rsid w:val="00B11C91"/>
    <w:rsid w:val="00B123AC"/>
    <w:rsid w:val="00B12444"/>
    <w:rsid w:val="00B1294A"/>
    <w:rsid w:val="00B129C6"/>
    <w:rsid w:val="00B129E8"/>
    <w:rsid w:val="00B13230"/>
    <w:rsid w:val="00B13C7F"/>
    <w:rsid w:val="00B13DA4"/>
    <w:rsid w:val="00B14069"/>
    <w:rsid w:val="00B142F5"/>
    <w:rsid w:val="00B143B3"/>
    <w:rsid w:val="00B145FC"/>
    <w:rsid w:val="00B145FD"/>
    <w:rsid w:val="00B1476B"/>
    <w:rsid w:val="00B14847"/>
    <w:rsid w:val="00B15C49"/>
    <w:rsid w:val="00B1694C"/>
    <w:rsid w:val="00B1705E"/>
    <w:rsid w:val="00B174A1"/>
    <w:rsid w:val="00B17DD0"/>
    <w:rsid w:val="00B20265"/>
    <w:rsid w:val="00B20B8A"/>
    <w:rsid w:val="00B21368"/>
    <w:rsid w:val="00B21405"/>
    <w:rsid w:val="00B21520"/>
    <w:rsid w:val="00B21ED4"/>
    <w:rsid w:val="00B21F67"/>
    <w:rsid w:val="00B22382"/>
    <w:rsid w:val="00B22532"/>
    <w:rsid w:val="00B22B40"/>
    <w:rsid w:val="00B22EA4"/>
    <w:rsid w:val="00B23354"/>
    <w:rsid w:val="00B23884"/>
    <w:rsid w:val="00B23E54"/>
    <w:rsid w:val="00B24170"/>
    <w:rsid w:val="00B242D5"/>
    <w:rsid w:val="00B24319"/>
    <w:rsid w:val="00B24337"/>
    <w:rsid w:val="00B24BDD"/>
    <w:rsid w:val="00B25853"/>
    <w:rsid w:val="00B25989"/>
    <w:rsid w:val="00B25D0B"/>
    <w:rsid w:val="00B26384"/>
    <w:rsid w:val="00B26F97"/>
    <w:rsid w:val="00B27432"/>
    <w:rsid w:val="00B27B29"/>
    <w:rsid w:val="00B27B2D"/>
    <w:rsid w:val="00B3005C"/>
    <w:rsid w:val="00B3011F"/>
    <w:rsid w:val="00B3037B"/>
    <w:rsid w:val="00B30CAC"/>
    <w:rsid w:val="00B313A5"/>
    <w:rsid w:val="00B31491"/>
    <w:rsid w:val="00B315AF"/>
    <w:rsid w:val="00B31E6C"/>
    <w:rsid w:val="00B324BD"/>
    <w:rsid w:val="00B32921"/>
    <w:rsid w:val="00B32F22"/>
    <w:rsid w:val="00B33240"/>
    <w:rsid w:val="00B332A6"/>
    <w:rsid w:val="00B33386"/>
    <w:rsid w:val="00B333B9"/>
    <w:rsid w:val="00B3415C"/>
    <w:rsid w:val="00B34207"/>
    <w:rsid w:val="00B3446D"/>
    <w:rsid w:val="00B34FED"/>
    <w:rsid w:val="00B356C1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B50"/>
    <w:rsid w:val="00B40CBB"/>
    <w:rsid w:val="00B412DF"/>
    <w:rsid w:val="00B41527"/>
    <w:rsid w:val="00B416F4"/>
    <w:rsid w:val="00B41E9C"/>
    <w:rsid w:val="00B43009"/>
    <w:rsid w:val="00B43B56"/>
    <w:rsid w:val="00B43C85"/>
    <w:rsid w:val="00B43DF6"/>
    <w:rsid w:val="00B43F83"/>
    <w:rsid w:val="00B442FD"/>
    <w:rsid w:val="00B44681"/>
    <w:rsid w:val="00B4478A"/>
    <w:rsid w:val="00B44791"/>
    <w:rsid w:val="00B44B4E"/>
    <w:rsid w:val="00B44B71"/>
    <w:rsid w:val="00B44C6B"/>
    <w:rsid w:val="00B44F8C"/>
    <w:rsid w:val="00B450C6"/>
    <w:rsid w:val="00B46D2B"/>
    <w:rsid w:val="00B46F9C"/>
    <w:rsid w:val="00B472DC"/>
    <w:rsid w:val="00B4766E"/>
    <w:rsid w:val="00B5017B"/>
    <w:rsid w:val="00B50D31"/>
    <w:rsid w:val="00B50D62"/>
    <w:rsid w:val="00B51775"/>
    <w:rsid w:val="00B51B3E"/>
    <w:rsid w:val="00B52AB2"/>
    <w:rsid w:val="00B532DB"/>
    <w:rsid w:val="00B54028"/>
    <w:rsid w:val="00B5464E"/>
    <w:rsid w:val="00B547E8"/>
    <w:rsid w:val="00B547F8"/>
    <w:rsid w:val="00B54E8B"/>
    <w:rsid w:val="00B555D6"/>
    <w:rsid w:val="00B56179"/>
    <w:rsid w:val="00B57081"/>
    <w:rsid w:val="00B57F3E"/>
    <w:rsid w:val="00B60196"/>
    <w:rsid w:val="00B6033F"/>
    <w:rsid w:val="00B60B57"/>
    <w:rsid w:val="00B60CEB"/>
    <w:rsid w:val="00B614E8"/>
    <w:rsid w:val="00B61989"/>
    <w:rsid w:val="00B6268E"/>
    <w:rsid w:val="00B62D4B"/>
    <w:rsid w:val="00B63141"/>
    <w:rsid w:val="00B637DD"/>
    <w:rsid w:val="00B638D6"/>
    <w:rsid w:val="00B639E6"/>
    <w:rsid w:val="00B63B13"/>
    <w:rsid w:val="00B63C59"/>
    <w:rsid w:val="00B63F0D"/>
    <w:rsid w:val="00B6413C"/>
    <w:rsid w:val="00B64F45"/>
    <w:rsid w:val="00B6517F"/>
    <w:rsid w:val="00B65500"/>
    <w:rsid w:val="00B65547"/>
    <w:rsid w:val="00B659FB"/>
    <w:rsid w:val="00B664DA"/>
    <w:rsid w:val="00B6658E"/>
    <w:rsid w:val="00B666B6"/>
    <w:rsid w:val="00B667E8"/>
    <w:rsid w:val="00B70CEC"/>
    <w:rsid w:val="00B71185"/>
    <w:rsid w:val="00B71532"/>
    <w:rsid w:val="00B72579"/>
    <w:rsid w:val="00B73402"/>
    <w:rsid w:val="00B734E8"/>
    <w:rsid w:val="00B7371D"/>
    <w:rsid w:val="00B73734"/>
    <w:rsid w:val="00B73897"/>
    <w:rsid w:val="00B73E87"/>
    <w:rsid w:val="00B740A4"/>
    <w:rsid w:val="00B74221"/>
    <w:rsid w:val="00B746A9"/>
    <w:rsid w:val="00B74A64"/>
    <w:rsid w:val="00B74D55"/>
    <w:rsid w:val="00B7569D"/>
    <w:rsid w:val="00B75F16"/>
    <w:rsid w:val="00B7698A"/>
    <w:rsid w:val="00B77C64"/>
    <w:rsid w:val="00B8026C"/>
    <w:rsid w:val="00B809F8"/>
    <w:rsid w:val="00B81396"/>
    <w:rsid w:val="00B81DEB"/>
    <w:rsid w:val="00B82C95"/>
    <w:rsid w:val="00B830A1"/>
    <w:rsid w:val="00B831A1"/>
    <w:rsid w:val="00B83771"/>
    <w:rsid w:val="00B83A62"/>
    <w:rsid w:val="00B83AA9"/>
    <w:rsid w:val="00B84034"/>
    <w:rsid w:val="00B8408A"/>
    <w:rsid w:val="00B841F4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3F38"/>
    <w:rsid w:val="00B942C2"/>
    <w:rsid w:val="00B94668"/>
    <w:rsid w:val="00B94B65"/>
    <w:rsid w:val="00B96307"/>
    <w:rsid w:val="00B96590"/>
    <w:rsid w:val="00B965AE"/>
    <w:rsid w:val="00B96B55"/>
    <w:rsid w:val="00B9755F"/>
    <w:rsid w:val="00B977CF"/>
    <w:rsid w:val="00B97828"/>
    <w:rsid w:val="00B97EC5"/>
    <w:rsid w:val="00BA037C"/>
    <w:rsid w:val="00BA0B34"/>
    <w:rsid w:val="00BA0E42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2CD3"/>
    <w:rsid w:val="00BA3051"/>
    <w:rsid w:val="00BA30CE"/>
    <w:rsid w:val="00BA33A6"/>
    <w:rsid w:val="00BA36F5"/>
    <w:rsid w:val="00BA4119"/>
    <w:rsid w:val="00BA449C"/>
    <w:rsid w:val="00BA6413"/>
    <w:rsid w:val="00BA6D57"/>
    <w:rsid w:val="00BA6EC6"/>
    <w:rsid w:val="00BA709C"/>
    <w:rsid w:val="00BA73E5"/>
    <w:rsid w:val="00BA73F9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94E"/>
    <w:rsid w:val="00BB1E0D"/>
    <w:rsid w:val="00BB225D"/>
    <w:rsid w:val="00BB2409"/>
    <w:rsid w:val="00BB27AA"/>
    <w:rsid w:val="00BB2CF6"/>
    <w:rsid w:val="00BB3056"/>
    <w:rsid w:val="00BB396F"/>
    <w:rsid w:val="00BB423A"/>
    <w:rsid w:val="00BB491B"/>
    <w:rsid w:val="00BB5EA1"/>
    <w:rsid w:val="00BB674A"/>
    <w:rsid w:val="00BB677B"/>
    <w:rsid w:val="00BB6DBE"/>
    <w:rsid w:val="00BB72D2"/>
    <w:rsid w:val="00BB789F"/>
    <w:rsid w:val="00BB7F47"/>
    <w:rsid w:val="00BC0A0C"/>
    <w:rsid w:val="00BC0A3F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85A"/>
    <w:rsid w:val="00BC58E7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0F1D"/>
    <w:rsid w:val="00BD1315"/>
    <w:rsid w:val="00BD1470"/>
    <w:rsid w:val="00BD1C20"/>
    <w:rsid w:val="00BD2316"/>
    <w:rsid w:val="00BD2911"/>
    <w:rsid w:val="00BD3289"/>
    <w:rsid w:val="00BD377C"/>
    <w:rsid w:val="00BD3C9A"/>
    <w:rsid w:val="00BD413F"/>
    <w:rsid w:val="00BD45CA"/>
    <w:rsid w:val="00BD4C23"/>
    <w:rsid w:val="00BD4E34"/>
    <w:rsid w:val="00BD4F0D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E92"/>
    <w:rsid w:val="00BE1A0A"/>
    <w:rsid w:val="00BE1CD3"/>
    <w:rsid w:val="00BE217C"/>
    <w:rsid w:val="00BE2407"/>
    <w:rsid w:val="00BE25B9"/>
    <w:rsid w:val="00BE2612"/>
    <w:rsid w:val="00BE2870"/>
    <w:rsid w:val="00BE2954"/>
    <w:rsid w:val="00BE2AA4"/>
    <w:rsid w:val="00BE3174"/>
    <w:rsid w:val="00BE376A"/>
    <w:rsid w:val="00BE3799"/>
    <w:rsid w:val="00BE3CB9"/>
    <w:rsid w:val="00BE4313"/>
    <w:rsid w:val="00BE4E7E"/>
    <w:rsid w:val="00BE55C5"/>
    <w:rsid w:val="00BE5C2E"/>
    <w:rsid w:val="00BE617B"/>
    <w:rsid w:val="00BE6403"/>
    <w:rsid w:val="00BE656D"/>
    <w:rsid w:val="00BE676D"/>
    <w:rsid w:val="00BE67AB"/>
    <w:rsid w:val="00BE6998"/>
    <w:rsid w:val="00BE7C52"/>
    <w:rsid w:val="00BE7D16"/>
    <w:rsid w:val="00BF031B"/>
    <w:rsid w:val="00BF05F3"/>
    <w:rsid w:val="00BF0A9E"/>
    <w:rsid w:val="00BF0EBF"/>
    <w:rsid w:val="00BF154E"/>
    <w:rsid w:val="00BF1ACB"/>
    <w:rsid w:val="00BF1CA4"/>
    <w:rsid w:val="00BF248C"/>
    <w:rsid w:val="00BF271E"/>
    <w:rsid w:val="00BF2FE2"/>
    <w:rsid w:val="00BF391A"/>
    <w:rsid w:val="00BF395F"/>
    <w:rsid w:val="00BF39C1"/>
    <w:rsid w:val="00BF3DB8"/>
    <w:rsid w:val="00BF44EE"/>
    <w:rsid w:val="00BF4996"/>
    <w:rsid w:val="00BF49E7"/>
    <w:rsid w:val="00BF4CA3"/>
    <w:rsid w:val="00BF5F21"/>
    <w:rsid w:val="00BF6099"/>
    <w:rsid w:val="00BF6129"/>
    <w:rsid w:val="00BF6ABA"/>
    <w:rsid w:val="00BF77FF"/>
    <w:rsid w:val="00BF7CA9"/>
    <w:rsid w:val="00BF7E75"/>
    <w:rsid w:val="00C00405"/>
    <w:rsid w:val="00C00FD4"/>
    <w:rsid w:val="00C01487"/>
    <w:rsid w:val="00C01D33"/>
    <w:rsid w:val="00C029F2"/>
    <w:rsid w:val="00C042E8"/>
    <w:rsid w:val="00C04CDB"/>
    <w:rsid w:val="00C04EC8"/>
    <w:rsid w:val="00C0509C"/>
    <w:rsid w:val="00C0546A"/>
    <w:rsid w:val="00C057A2"/>
    <w:rsid w:val="00C05BCF"/>
    <w:rsid w:val="00C05F41"/>
    <w:rsid w:val="00C066D8"/>
    <w:rsid w:val="00C06B49"/>
    <w:rsid w:val="00C1070E"/>
    <w:rsid w:val="00C10ECE"/>
    <w:rsid w:val="00C11055"/>
    <w:rsid w:val="00C1134F"/>
    <w:rsid w:val="00C113D6"/>
    <w:rsid w:val="00C114F2"/>
    <w:rsid w:val="00C117A9"/>
    <w:rsid w:val="00C12CB7"/>
    <w:rsid w:val="00C12F37"/>
    <w:rsid w:val="00C14FAF"/>
    <w:rsid w:val="00C151B7"/>
    <w:rsid w:val="00C152B8"/>
    <w:rsid w:val="00C1579C"/>
    <w:rsid w:val="00C16FF4"/>
    <w:rsid w:val="00C171E8"/>
    <w:rsid w:val="00C174A4"/>
    <w:rsid w:val="00C17824"/>
    <w:rsid w:val="00C20BB3"/>
    <w:rsid w:val="00C20EA1"/>
    <w:rsid w:val="00C21610"/>
    <w:rsid w:val="00C21781"/>
    <w:rsid w:val="00C224F9"/>
    <w:rsid w:val="00C226D7"/>
    <w:rsid w:val="00C22AC8"/>
    <w:rsid w:val="00C22BF9"/>
    <w:rsid w:val="00C23B4D"/>
    <w:rsid w:val="00C23C9D"/>
    <w:rsid w:val="00C23CB0"/>
    <w:rsid w:val="00C23E01"/>
    <w:rsid w:val="00C24B61"/>
    <w:rsid w:val="00C24D9B"/>
    <w:rsid w:val="00C25482"/>
    <w:rsid w:val="00C25556"/>
    <w:rsid w:val="00C25780"/>
    <w:rsid w:val="00C26205"/>
    <w:rsid w:val="00C26F99"/>
    <w:rsid w:val="00C27078"/>
    <w:rsid w:val="00C2708B"/>
    <w:rsid w:val="00C270C6"/>
    <w:rsid w:val="00C2790C"/>
    <w:rsid w:val="00C27EA4"/>
    <w:rsid w:val="00C302C6"/>
    <w:rsid w:val="00C3061C"/>
    <w:rsid w:val="00C30643"/>
    <w:rsid w:val="00C30B75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32E7"/>
    <w:rsid w:val="00C33C54"/>
    <w:rsid w:val="00C33C67"/>
    <w:rsid w:val="00C345E4"/>
    <w:rsid w:val="00C34A52"/>
    <w:rsid w:val="00C3522D"/>
    <w:rsid w:val="00C359F0"/>
    <w:rsid w:val="00C35C10"/>
    <w:rsid w:val="00C35D93"/>
    <w:rsid w:val="00C36336"/>
    <w:rsid w:val="00C36464"/>
    <w:rsid w:val="00C37159"/>
    <w:rsid w:val="00C37699"/>
    <w:rsid w:val="00C37B67"/>
    <w:rsid w:val="00C400E9"/>
    <w:rsid w:val="00C41263"/>
    <w:rsid w:val="00C417AA"/>
    <w:rsid w:val="00C417AE"/>
    <w:rsid w:val="00C41D2F"/>
    <w:rsid w:val="00C41EFA"/>
    <w:rsid w:val="00C420B7"/>
    <w:rsid w:val="00C4244C"/>
    <w:rsid w:val="00C42497"/>
    <w:rsid w:val="00C428C4"/>
    <w:rsid w:val="00C42A5D"/>
    <w:rsid w:val="00C42C95"/>
    <w:rsid w:val="00C430C9"/>
    <w:rsid w:val="00C4383E"/>
    <w:rsid w:val="00C43AA2"/>
    <w:rsid w:val="00C43F54"/>
    <w:rsid w:val="00C444C3"/>
    <w:rsid w:val="00C44681"/>
    <w:rsid w:val="00C44978"/>
    <w:rsid w:val="00C449DD"/>
    <w:rsid w:val="00C455BF"/>
    <w:rsid w:val="00C45925"/>
    <w:rsid w:val="00C45FF2"/>
    <w:rsid w:val="00C461FB"/>
    <w:rsid w:val="00C465F9"/>
    <w:rsid w:val="00C466ED"/>
    <w:rsid w:val="00C467D0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C26"/>
    <w:rsid w:val="00C50C30"/>
    <w:rsid w:val="00C51D3E"/>
    <w:rsid w:val="00C51E52"/>
    <w:rsid w:val="00C52231"/>
    <w:rsid w:val="00C52569"/>
    <w:rsid w:val="00C52898"/>
    <w:rsid w:val="00C52F0D"/>
    <w:rsid w:val="00C53028"/>
    <w:rsid w:val="00C53555"/>
    <w:rsid w:val="00C53CBF"/>
    <w:rsid w:val="00C5410C"/>
    <w:rsid w:val="00C54264"/>
    <w:rsid w:val="00C5500D"/>
    <w:rsid w:val="00C5505E"/>
    <w:rsid w:val="00C5592C"/>
    <w:rsid w:val="00C55A92"/>
    <w:rsid w:val="00C55E70"/>
    <w:rsid w:val="00C56F36"/>
    <w:rsid w:val="00C57425"/>
    <w:rsid w:val="00C577FA"/>
    <w:rsid w:val="00C57AE1"/>
    <w:rsid w:val="00C602FB"/>
    <w:rsid w:val="00C61166"/>
    <w:rsid w:val="00C61376"/>
    <w:rsid w:val="00C6168C"/>
    <w:rsid w:val="00C618A2"/>
    <w:rsid w:val="00C61ED8"/>
    <w:rsid w:val="00C61F06"/>
    <w:rsid w:val="00C62235"/>
    <w:rsid w:val="00C62586"/>
    <w:rsid w:val="00C62692"/>
    <w:rsid w:val="00C63352"/>
    <w:rsid w:val="00C63CA7"/>
    <w:rsid w:val="00C63F45"/>
    <w:rsid w:val="00C6469C"/>
    <w:rsid w:val="00C64708"/>
    <w:rsid w:val="00C64C3A"/>
    <w:rsid w:val="00C64CB6"/>
    <w:rsid w:val="00C65035"/>
    <w:rsid w:val="00C6513C"/>
    <w:rsid w:val="00C654ED"/>
    <w:rsid w:val="00C65674"/>
    <w:rsid w:val="00C66028"/>
    <w:rsid w:val="00C66B7F"/>
    <w:rsid w:val="00C66F1F"/>
    <w:rsid w:val="00C66F6B"/>
    <w:rsid w:val="00C675C3"/>
    <w:rsid w:val="00C67A91"/>
    <w:rsid w:val="00C67BE1"/>
    <w:rsid w:val="00C70B3A"/>
    <w:rsid w:val="00C71265"/>
    <w:rsid w:val="00C71CD7"/>
    <w:rsid w:val="00C7201B"/>
    <w:rsid w:val="00C733CE"/>
    <w:rsid w:val="00C73AA7"/>
    <w:rsid w:val="00C73F00"/>
    <w:rsid w:val="00C740B1"/>
    <w:rsid w:val="00C74C83"/>
    <w:rsid w:val="00C75C46"/>
    <w:rsid w:val="00C75FC0"/>
    <w:rsid w:val="00C76256"/>
    <w:rsid w:val="00C76537"/>
    <w:rsid w:val="00C76802"/>
    <w:rsid w:val="00C76F9D"/>
    <w:rsid w:val="00C77661"/>
    <w:rsid w:val="00C7778D"/>
    <w:rsid w:val="00C778EF"/>
    <w:rsid w:val="00C77A99"/>
    <w:rsid w:val="00C77B0D"/>
    <w:rsid w:val="00C80F06"/>
    <w:rsid w:val="00C82316"/>
    <w:rsid w:val="00C82495"/>
    <w:rsid w:val="00C82621"/>
    <w:rsid w:val="00C82F60"/>
    <w:rsid w:val="00C82FAC"/>
    <w:rsid w:val="00C831B6"/>
    <w:rsid w:val="00C83501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879E7"/>
    <w:rsid w:val="00C90227"/>
    <w:rsid w:val="00C90C3D"/>
    <w:rsid w:val="00C91216"/>
    <w:rsid w:val="00C9126E"/>
    <w:rsid w:val="00C930AE"/>
    <w:rsid w:val="00C93533"/>
    <w:rsid w:val="00C93CE7"/>
    <w:rsid w:val="00C94AFD"/>
    <w:rsid w:val="00C95D21"/>
    <w:rsid w:val="00C967D1"/>
    <w:rsid w:val="00C96A43"/>
    <w:rsid w:val="00C979D8"/>
    <w:rsid w:val="00CA00F8"/>
    <w:rsid w:val="00CA016D"/>
    <w:rsid w:val="00CA0556"/>
    <w:rsid w:val="00CA0846"/>
    <w:rsid w:val="00CA0C1D"/>
    <w:rsid w:val="00CA131D"/>
    <w:rsid w:val="00CA1619"/>
    <w:rsid w:val="00CA162C"/>
    <w:rsid w:val="00CA18AC"/>
    <w:rsid w:val="00CA2837"/>
    <w:rsid w:val="00CA2D27"/>
    <w:rsid w:val="00CA301C"/>
    <w:rsid w:val="00CA30D6"/>
    <w:rsid w:val="00CA374A"/>
    <w:rsid w:val="00CA3A21"/>
    <w:rsid w:val="00CA4CC3"/>
    <w:rsid w:val="00CA5201"/>
    <w:rsid w:val="00CA584D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8EB"/>
    <w:rsid w:val="00CB0FA3"/>
    <w:rsid w:val="00CB1E6A"/>
    <w:rsid w:val="00CB228A"/>
    <w:rsid w:val="00CB24A4"/>
    <w:rsid w:val="00CB2B98"/>
    <w:rsid w:val="00CB2D83"/>
    <w:rsid w:val="00CB31B2"/>
    <w:rsid w:val="00CB38CF"/>
    <w:rsid w:val="00CB3C92"/>
    <w:rsid w:val="00CB4450"/>
    <w:rsid w:val="00CB456D"/>
    <w:rsid w:val="00CB4841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B7C72"/>
    <w:rsid w:val="00CC165F"/>
    <w:rsid w:val="00CC17AE"/>
    <w:rsid w:val="00CC1D97"/>
    <w:rsid w:val="00CC21DB"/>
    <w:rsid w:val="00CC2526"/>
    <w:rsid w:val="00CC2532"/>
    <w:rsid w:val="00CC29AA"/>
    <w:rsid w:val="00CC4668"/>
    <w:rsid w:val="00CC4753"/>
    <w:rsid w:val="00CC479A"/>
    <w:rsid w:val="00CC4AA5"/>
    <w:rsid w:val="00CC4E1C"/>
    <w:rsid w:val="00CC4FFF"/>
    <w:rsid w:val="00CC59FB"/>
    <w:rsid w:val="00CC5F10"/>
    <w:rsid w:val="00CC6193"/>
    <w:rsid w:val="00CC6BC7"/>
    <w:rsid w:val="00CC6BCF"/>
    <w:rsid w:val="00CC6C16"/>
    <w:rsid w:val="00CC6C2B"/>
    <w:rsid w:val="00CC6F2A"/>
    <w:rsid w:val="00CC6F58"/>
    <w:rsid w:val="00CC76A9"/>
    <w:rsid w:val="00CC7709"/>
    <w:rsid w:val="00CC7A76"/>
    <w:rsid w:val="00CC7A77"/>
    <w:rsid w:val="00CC7D8F"/>
    <w:rsid w:val="00CD0075"/>
    <w:rsid w:val="00CD025E"/>
    <w:rsid w:val="00CD0FDF"/>
    <w:rsid w:val="00CD11B0"/>
    <w:rsid w:val="00CD1357"/>
    <w:rsid w:val="00CD163E"/>
    <w:rsid w:val="00CD17F8"/>
    <w:rsid w:val="00CD1855"/>
    <w:rsid w:val="00CD1D0A"/>
    <w:rsid w:val="00CD2295"/>
    <w:rsid w:val="00CD33C4"/>
    <w:rsid w:val="00CD343F"/>
    <w:rsid w:val="00CD366F"/>
    <w:rsid w:val="00CD38D3"/>
    <w:rsid w:val="00CD3938"/>
    <w:rsid w:val="00CD3B88"/>
    <w:rsid w:val="00CD4DB8"/>
    <w:rsid w:val="00CD5388"/>
    <w:rsid w:val="00CD552D"/>
    <w:rsid w:val="00CD5816"/>
    <w:rsid w:val="00CD5C32"/>
    <w:rsid w:val="00CD5C6C"/>
    <w:rsid w:val="00CD5DD3"/>
    <w:rsid w:val="00CD5FED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0B99"/>
    <w:rsid w:val="00CE1045"/>
    <w:rsid w:val="00CE1192"/>
    <w:rsid w:val="00CE1CB7"/>
    <w:rsid w:val="00CE1FE6"/>
    <w:rsid w:val="00CE291F"/>
    <w:rsid w:val="00CE30D0"/>
    <w:rsid w:val="00CE315F"/>
    <w:rsid w:val="00CE3288"/>
    <w:rsid w:val="00CE3568"/>
    <w:rsid w:val="00CE3E15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64"/>
    <w:rsid w:val="00CF0EE2"/>
    <w:rsid w:val="00CF11CF"/>
    <w:rsid w:val="00CF1289"/>
    <w:rsid w:val="00CF1562"/>
    <w:rsid w:val="00CF16CB"/>
    <w:rsid w:val="00CF1ACA"/>
    <w:rsid w:val="00CF2F2E"/>
    <w:rsid w:val="00CF44B3"/>
    <w:rsid w:val="00CF4560"/>
    <w:rsid w:val="00CF46D6"/>
    <w:rsid w:val="00CF4930"/>
    <w:rsid w:val="00CF54EC"/>
    <w:rsid w:val="00CF5839"/>
    <w:rsid w:val="00CF58F6"/>
    <w:rsid w:val="00CF5E37"/>
    <w:rsid w:val="00CF5E40"/>
    <w:rsid w:val="00CF62CF"/>
    <w:rsid w:val="00CF6FB0"/>
    <w:rsid w:val="00CF72AE"/>
    <w:rsid w:val="00CF7D7A"/>
    <w:rsid w:val="00D00178"/>
    <w:rsid w:val="00D003C6"/>
    <w:rsid w:val="00D00670"/>
    <w:rsid w:val="00D00AE5"/>
    <w:rsid w:val="00D00CF7"/>
    <w:rsid w:val="00D0132F"/>
    <w:rsid w:val="00D01C2E"/>
    <w:rsid w:val="00D01FE3"/>
    <w:rsid w:val="00D0256E"/>
    <w:rsid w:val="00D02A4B"/>
    <w:rsid w:val="00D03804"/>
    <w:rsid w:val="00D039F9"/>
    <w:rsid w:val="00D04971"/>
    <w:rsid w:val="00D0582E"/>
    <w:rsid w:val="00D05ADB"/>
    <w:rsid w:val="00D071CC"/>
    <w:rsid w:val="00D10AAD"/>
    <w:rsid w:val="00D10BDA"/>
    <w:rsid w:val="00D10CA3"/>
    <w:rsid w:val="00D11351"/>
    <w:rsid w:val="00D1139F"/>
    <w:rsid w:val="00D115EB"/>
    <w:rsid w:val="00D1162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5A6D"/>
    <w:rsid w:val="00D16452"/>
    <w:rsid w:val="00D16671"/>
    <w:rsid w:val="00D16A5D"/>
    <w:rsid w:val="00D16ADF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2039"/>
    <w:rsid w:val="00D22F9B"/>
    <w:rsid w:val="00D23606"/>
    <w:rsid w:val="00D23B8B"/>
    <w:rsid w:val="00D2414B"/>
    <w:rsid w:val="00D242A2"/>
    <w:rsid w:val="00D24480"/>
    <w:rsid w:val="00D24938"/>
    <w:rsid w:val="00D24AC0"/>
    <w:rsid w:val="00D24CDC"/>
    <w:rsid w:val="00D250D0"/>
    <w:rsid w:val="00D256C2"/>
    <w:rsid w:val="00D25968"/>
    <w:rsid w:val="00D25E83"/>
    <w:rsid w:val="00D2608A"/>
    <w:rsid w:val="00D26464"/>
    <w:rsid w:val="00D2651A"/>
    <w:rsid w:val="00D2697F"/>
    <w:rsid w:val="00D270EC"/>
    <w:rsid w:val="00D27B09"/>
    <w:rsid w:val="00D302FC"/>
    <w:rsid w:val="00D30426"/>
    <w:rsid w:val="00D3074F"/>
    <w:rsid w:val="00D30A1A"/>
    <w:rsid w:val="00D3109E"/>
    <w:rsid w:val="00D31312"/>
    <w:rsid w:val="00D3141F"/>
    <w:rsid w:val="00D327E3"/>
    <w:rsid w:val="00D32ECF"/>
    <w:rsid w:val="00D330C2"/>
    <w:rsid w:val="00D33B6D"/>
    <w:rsid w:val="00D33F7F"/>
    <w:rsid w:val="00D344B2"/>
    <w:rsid w:val="00D35484"/>
    <w:rsid w:val="00D35653"/>
    <w:rsid w:val="00D35AF7"/>
    <w:rsid w:val="00D361DA"/>
    <w:rsid w:val="00D36366"/>
    <w:rsid w:val="00D36547"/>
    <w:rsid w:val="00D36F5B"/>
    <w:rsid w:val="00D37ADD"/>
    <w:rsid w:val="00D37B0A"/>
    <w:rsid w:val="00D37C79"/>
    <w:rsid w:val="00D4053B"/>
    <w:rsid w:val="00D40B46"/>
    <w:rsid w:val="00D40E6B"/>
    <w:rsid w:val="00D41189"/>
    <w:rsid w:val="00D412BF"/>
    <w:rsid w:val="00D41E85"/>
    <w:rsid w:val="00D422B0"/>
    <w:rsid w:val="00D425B9"/>
    <w:rsid w:val="00D42DDB"/>
    <w:rsid w:val="00D43F19"/>
    <w:rsid w:val="00D449FD"/>
    <w:rsid w:val="00D44A77"/>
    <w:rsid w:val="00D44B33"/>
    <w:rsid w:val="00D4548B"/>
    <w:rsid w:val="00D45997"/>
    <w:rsid w:val="00D46525"/>
    <w:rsid w:val="00D469C0"/>
    <w:rsid w:val="00D47645"/>
    <w:rsid w:val="00D50408"/>
    <w:rsid w:val="00D50593"/>
    <w:rsid w:val="00D50841"/>
    <w:rsid w:val="00D50902"/>
    <w:rsid w:val="00D50BDC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AF6"/>
    <w:rsid w:val="00D53CED"/>
    <w:rsid w:val="00D54236"/>
    <w:rsid w:val="00D54552"/>
    <w:rsid w:val="00D56265"/>
    <w:rsid w:val="00D57B03"/>
    <w:rsid w:val="00D57D86"/>
    <w:rsid w:val="00D57D9E"/>
    <w:rsid w:val="00D6067B"/>
    <w:rsid w:val="00D6070B"/>
    <w:rsid w:val="00D60C23"/>
    <w:rsid w:val="00D62779"/>
    <w:rsid w:val="00D629EA"/>
    <w:rsid w:val="00D641EB"/>
    <w:rsid w:val="00D64ECB"/>
    <w:rsid w:val="00D6544A"/>
    <w:rsid w:val="00D6567D"/>
    <w:rsid w:val="00D659A1"/>
    <w:rsid w:val="00D65D9C"/>
    <w:rsid w:val="00D65EF1"/>
    <w:rsid w:val="00D6645C"/>
    <w:rsid w:val="00D66B1F"/>
    <w:rsid w:val="00D67E02"/>
    <w:rsid w:val="00D703B4"/>
    <w:rsid w:val="00D70451"/>
    <w:rsid w:val="00D711D8"/>
    <w:rsid w:val="00D71407"/>
    <w:rsid w:val="00D7173B"/>
    <w:rsid w:val="00D7204E"/>
    <w:rsid w:val="00D72257"/>
    <w:rsid w:val="00D728B8"/>
    <w:rsid w:val="00D729D5"/>
    <w:rsid w:val="00D73F03"/>
    <w:rsid w:val="00D741C2"/>
    <w:rsid w:val="00D742C4"/>
    <w:rsid w:val="00D759F1"/>
    <w:rsid w:val="00D75A7D"/>
    <w:rsid w:val="00D761EE"/>
    <w:rsid w:val="00D76B4E"/>
    <w:rsid w:val="00D77226"/>
    <w:rsid w:val="00D8170D"/>
    <w:rsid w:val="00D818DF"/>
    <w:rsid w:val="00D81EC8"/>
    <w:rsid w:val="00D83B90"/>
    <w:rsid w:val="00D84514"/>
    <w:rsid w:val="00D847D0"/>
    <w:rsid w:val="00D84BFD"/>
    <w:rsid w:val="00D84E21"/>
    <w:rsid w:val="00D861CD"/>
    <w:rsid w:val="00D8637C"/>
    <w:rsid w:val="00D86778"/>
    <w:rsid w:val="00D86C17"/>
    <w:rsid w:val="00D87003"/>
    <w:rsid w:val="00D872D2"/>
    <w:rsid w:val="00D87357"/>
    <w:rsid w:val="00D8771E"/>
    <w:rsid w:val="00D87769"/>
    <w:rsid w:val="00D90608"/>
    <w:rsid w:val="00D9095E"/>
    <w:rsid w:val="00D90A53"/>
    <w:rsid w:val="00D91038"/>
    <w:rsid w:val="00D91235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5701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23FC"/>
    <w:rsid w:val="00DA2589"/>
    <w:rsid w:val="00DA2782"/>
    <w:rsid w:val="00DA2BEF"/>
    <w:rsid w:val="00DA2E49"/>
    <w:rsid w:val="00DA2F78"/>
    <w:rsid w:val="00DA3550"/>
    <w:rsid w:val="00DA401C"/>
    <w:rsid w:val="00DA427E"/>
    <w:rsid w:val="00DA42A9"/>
    <w:rsid w:val="00DA4E73"/>
    <w:rsid w:val="00DA4ED3"/>
    <w:rsid w:val="00DA51D8"/>
    <w:rsid w:val="00DA5232"/>
    <w:rsid w:val="00DA6BF4"/>
    <w:rsid w:val="00DA75DB"/>
    <w:rsid w:val="00DA76C0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620"/>
    <w:rsid w:val="00DB2BE3"/>
    <w:rsid w:val="00DB3727"/>
    <w:rsid w:val="00DB3FA9"/>
    <w:rsid w:val="00DB41C1"/>
    <w:rsid w:val="00DB44A6"/>
    <w:rsid w:val="00DB528D"/>
    <w:rsid w:val="00DB5B26"/>
    <w:rsid w:val="00DB5E62"/>
    <w:rsid w:val="00DB6035"/>
    <w:rsid w:val="00DB6644"/>
    <w:rsid w:val="00DB66DB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3F04"/>
    <w:rsid w:val="00DC411B"/>
    <w:rsid w:val="00DC438B"/>
    <w:rsid w:val="00DC461C"/>
    <w:rsid w:val="00DC47C7"/>
    <w:rsid w:val="00DC4D3E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3DC"/>
    <w:rsid w:val="00DD563E"/>
    <w:rsid w:val="00DD5C29"/>
    <w:rsid w:val="00DD5CAC"/>
    <w:rsid w:val="00DD672F"/>
    <w:rsid w:val="00DD68F8"/>
    <w:rsid w:val="00DD7101"/>
    <w:rsid w:val="00DD784D"/>
    <w:rsid w:val="00DE137C"/>
    <w:rsid w:val="00DE1471"/>
    <w:rsid w:val="00DE189A"/>
    <w:rsid w:val="00DE1BB2"/>
    <w:rsid w:val="00DE2194"/>
    <w:rsid w:val="00DE2AB6"/>
    <w:rsid w:val="00DE3855"/>
    <w:rsid w:val="00DE3D75"/>
    <w:rsid w:val="00DE400F"/>
    <w:rsid w:val="00DE44F7"/>
    <w:rsid w:val="00DE4962"/>
    <w:rsid w:val="00DE4C61"/>
    <w:rsid w:val="00DE5B80"/>
    <w:rsid w:val="00DE6583"/>
    <w:rsid w:val="00DE709F"/>
    <w:rsid w:val="00DE7313"/>
    <w:rsid w:val="00DE774A"/>
    <w:rsid w:val="00DF0018"/>
    <w:rsid w:val="00DF0BF8"/>
    <w:rsid w:val="00DF0D66"/>
    <w:rsid w:val="00DF0E3D"/>
    <w:rsid w:val="00DF16D9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B48"/>
    <w:rsid w:val="00DF6C8A"/>
    <w:rsid w:val="00DF715D"/>
    <w:rsid w:val="00DF76D1"/>
    <w:rsid w:val="00DF79A2"/>
    <w:rsid w:val="00DF7A18"/>
    <w:rsid w:val="00DF7DCC"/>
    <w:rsid w:val="00DF7F0A"/>
    <w:rsid w:val="00E0012D"/>
    <w:rsid w:val="00E00326"/>
    <w:rsid w:val="00E004E0"/>
    <w:rsid w:val="00E00B9C"/>
    <w:rsid w:val="00E00F25"/>
    <w:rsid w:val="00E01109"/>
    <w:rsid w:val="00E014C0"/>
    <w:rsid w:val="00E0152A"/>
    <w:rsid w:val="00E0192D"/>
    <w:rsid w:val="00E01E47"/>
    <w:rsid w:val="00E02AED"/>
    <w:rsid w:val="00E035CE"/>
    <w:rsid w:val="00E038D0"/>
    <w:rsid w:val="00E03B8E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BC9"/>
    <w:rsid w:val="00E06D12"/>
    <w:rsid w:val="00E101AC"/>
    <w:rsid w:val="00E10EB5"/>
    <w:rsid w:val="00E11E2C"/>
    <w:rsid w:val="00E1223C"/>
    <w:rsid w:val="00E13744"/>
    <w:rsid w:val="00E13BEB"/>
    <w:rsid w:val="00E14167"/>
    <w:rsid w:val="00E14318"/>
    <w:rsid w:val="00E14ECE"/>
    <w:rsid w:val="00E15335"/>
    <w:rsid w:val="00E1611B"/>
    <w:rsid w:val="00E16312"/>
    <w:rsid w:val="00E16B59"/>
    <w:rsid w:val="00E16FEC"/>
    <w:rsid w:val="00E17D38"/>
    <w:rsid w:val="00E20067"/>
    <w:rsid w:val="00E2030C"/>
    <w:rsid w:val="00E204C5"/>
    <w:rsid w:val="00E20656"/>
    <w:rsid w:val="00E20780"/>
    <w:rsid w:val="00E20A0C"/>
    <w:rsid w:val="00E20AC8"/>
    <w:rsid w:val="00E2126A"/>
    <w:rsid w:val="00E218BA"/>
    <w:rsid w:val="00E21A9E"/>
    <w:rsid w:val="00E21DBE"/>
    <w:rsid w:val="00E22208"/>
    <w:rsid w:val="00E22683"/>
    <w:rsid w:val="00E232AE"/>
    <w:rsid w:val="00E23372"/>
    <w:rsid w:val="00E23797"/>
    <w:rsid w:val="00E238EC"/>
    <w:rsid w:val="00E24A16"/>
    <w:rsid w:val="00E24BE8"/>
    <w:rsid w:val="00E24DEA"/>
    <w:rsid w:val="00E24EE7"/>
    <w:rsid w:val="00E252F0"/>
    <w:rsid w:val="00E25F2A"/>
    <w:rsid w:val="00E26675"/>
    <w:rsid w:val="00E27702"/>
    <w:rsid w:val="00E3003E"/>
    <w:rsid w:val="00E3022B"/>
    <w:rsid w:val="00E303BE"/>
    <w:rsid w:val="00E30597"/>
    <w:rsid w:val="00E306DA"/>
    <w:rsid w:val="00E30968"/>
    <w:rsid w:val="00E30B86"/>
    <w:rsid w:val="00E3124F"/>
    <w:rsid w:val="00E316D9"/>
    <w:rsid w:val="00E32E67"/>
    <w:rsid w:val="00E330C5"/>
    <w:rsid w:val="00E33560"/>
    <w:rsid w:val="00E33AB2"/>
    <w:rsid w:val="00E3413B"/>
    <w:rsid w:val="00E347E7"/>
    <w:rsid w:val="00E353E9"/>
    <w:rsid w:val="00E35776"/>
    <w:rsid w:val="00E3589F"/>
    <w:rsid w:val="00E35F3B"/>
    <w:rsid w:val="00E3650D"/>
    <w:rsid w:val="00E36EA9"/>
    <w:rsid w:val="00E370F0"/>
    <w:rsid w:val="00E3740A"/>
    <w:rsid w:val="00E37716"/>
    <w:rsid w:val="00E37E4F"/>
    <w:rsid w:val="00E401CF"/>
    <w:rsid w:val="00E40299"/>
    <w:rsid w:val="00E40F41"/>
    <w:rsid w:val="00E41393"/>
    <w:rsid w:val="00E41A9E"/>
    <w:rsid w:val="00E41E97"/>
    <w:rsid w:val="00E42372"/>
    <w:rsid w:val="00E43744"/>
    <w:rsid w:val="00E4381D"/>
    <w:rsid w:val="00E43879"/>
    <w:rsid w:val="00E43B36"/>
    <w:rsid w:val="00E44044"/>
    <w:rsid w:val="00E441BF"/>
    <w:rsid w:val="00E44414"/>
    <w:rsid w:val="00E449B5"/>
    <w:rsid w:val="00E44A49"/>
    <w:rsid w:val="00E44C4D"/>
    <w:rsid w:val="00E45190"/>
    <w:rsid w:val="00E4592C"/>
    <w:rsid w:val="00E45BB7"/>
    <w:rsid w:val="00E47304"/>
    <w:rsid w:val="00E47864"/>
    <w:rsid w:val="00E47BBB"/>
    <w:rsid w:val="00E47BD0"/>
    <w:rsid w:val="00E47DAC"/>
    <w:rsid w:val="00E47F22"/>
    <w:rsid w:val="00E501A6"/>
    <w:rsid w:val="00E501EB"/>
    <w:rsid w:val="00E5076A"/>
    <w:rsid w:val="00E507F5"/>
    <w:rsid w:val="00E50BDC"/>
    <w:rsid w:val="00E50DBB"/>
    <w:rsid w:val="00E50E83"/>
    <w:rsid w:val="00E51B18"/>
    <w:rsid w:val="00E52403"/>
    <w:rsid w:val="00E52C97"/>
    <w:rsid w:val="00E532A8"/>
    <w:rsid w:val="00E53D05"/>
    <w:rsid w:val="00E54403"/>
    <w:rsid w:val="00E550F5"/>
    <w:rsid w:val="00E55624"/>
    <w:rsid w:val="00E55777"/>
    <w:rsid w:val="00E558D5"/>
    <w:rsid w:val="00E56132"/>
    <w:rsid w:val="00E56B33"/>
    <w:rsid w:val="00E56C37"/>
    <w:rsid w:val="00E60643"/>
    <w:rsid w:val="00E60CD7"/>
    <w:rsid w:val="00E61322"/>
    <w:rsid w:val="00E61F75"/>
    <w:rsid w:val="00E62EEC"/>
    <w:rsid w:val="00E636AB"/>
    <w:rsid w:val="00E63EF4"/>
    <w:rsid w:val="00E643C2"/>
    <w:rsid w:val="00E64B1C"/>
    <w:rsid w:val="00E64C3E"/>
    <w:rsid w:val="00E64E56"/>
    <w:rsid w:val="00E6576C"/>
    <w:rsid w:val="00E65973"/>
    <w:rsid w:val="00E65F0D"/>
    <w:rsid w:val="00E662E1"/>
    <w:rsid w:val="00E666D7"/>
    <w:rsid w:val="00E66D43"/>
    <w:rsid w:val="00E679D3"/>
    <w:rsid w:val="00E70AE1"/>
    <w:rsid w:val="00E70C20"/>
    <w:rsid w:val="00E70D73"/>
    <w:rsid w:val="00E70FD0"/>
    <w:rsid w:val="00E71169"/>
    <w:rsid w:val="00E711F0"/>
    <w:rsid w:val="00E719DD"/>
    <w:rsid w:val="00E71D09"/>
    <w:rsid w:val="00E72019"/>
    <w:rsid w:val="00E7374D"/>
    <w:rsid w:val="00E73D04"/>
    <w:rsid w:val="00E74165"/>
    <w:rsid w:val="00E745B4"/>
    <w:rsid w:val="00E7461B"/>
    <w:rsid w:val="00E7484B"/>
    <w:rsid w:val="00E750A5"/>
    <w:rsid w:val="00E761A1"/>
    <w:rsid w:val="00E766D7"/>
    <w:rsid w:val="00E76BCC"/>
    <w:rsid w:val="00E7793F"/>
    <w:rsid w:val="00E77F8B"/>
    <w:rsid w:val="00E80EAC"/>
    <w:rsid w:val="00E811CA"/>
    <w:rsid w:val="00E8174E"/>
    <w:rsid w:val="00E81FD0"/>
    <w:rsid w:val="00E823CA"/>
    <w:rsid w:val="00E826FF"/>
    <w:rsid w:val="00E8284D"/>
    <w:rsid w:val="00E828FC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4E97"/>
    <w:rsid w:val="00E856C5"/>
    <w:rsid w:val="00E85BFF"/>
    <w:rsid w:val="00E86030"/>
    <w:rsid w:val="00E8618A"/>
    <w:rsid w:val="00E86DD1"/>
    <w:rsid w:val="00E876E4"/>
    <w:rsid w:val="00E90810"/>
    <w:rsid w:val="00E90DE0"/>
    <w:rsid w:val="00E9139B"/>
    <w:rsid w:val="00E918E1"/>
    <w:rsid w:val="00E919AD"/>
    <w:rsid w:val="00E928DA"/>
    <w:rsid w:val="00E93B7F"/>
    <w:rsid w:val="00E94894"/>
    <w:rsid w:val="00E94C7C"/>
    <w:rsid w:val="00E950BB"/>
    <w:rsid w:val="00E95263"/>
    <w:rsid w:val="00E95429"/>
    <w:rsid w:val="00E95804"/>
    <w:rsid w:val="00E95A51"/>
    <w:rsid w:val="00E9689F"/>
    <w:rsid w:val="00E96D01"/>
    <w:rsid w:val="00E96F1C"/>
    <w:rsid w:val="00E973CA"/>
    <w:rsid w:val="00E97504"/>
    <w:rsid w:val="00EA04E4"/>
    <w:rsid w:val="00EA0A7C"/>
    <w:rsid w:val="00EA0C40"/>
    <w:rsid w:val="00EA0E09"/>
    <w:rsid w:val="00EA19F0"/>
    <w:rsid w:val="00EA1C34"/>
    <w:rsid w:val="00EA2978"/>
    <w:rsid w:val="00EA2ACB"/>
    <w:rsid w:val="00EA2F88"/>
    <w:rsid w:val="00EA2F8D"/>
    <w:rsid w:val="00EA3450"/>
    <w:rsid w:val="00EA3599"/>
    <w:rsid w:val="00EA3B0A"/>
    <w:rsid w:val="00EA3CCF"/>
    <w:rsid w:val="00EA3D86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688"/>
    <w:rsid w:val="00EA7784"/>
    <w:rsid w:val="00EA7A80"/>
    <w:rsid w:val="00EB0474"/>
    <w:rsid w:val="00EB06C3"/>
    <w:rsid w:val="00EB0A80"/>
    <w:rsid w:val="00EB0B3A"/>
    <w:rsid w:val="00EB102E"/>
    <w:rsid w:val="00EB1C7D"/>
    <w:rsid w:val="00EB1F40"/>
    <w:rsid w:val="00EB29FE"/>
    <w:rsid w:val="00EB2F66"/>
    <w:rsid w:val="00EB3012"/>
    <w:rsid w:val="00EB3834"/>
    <w:rsid w:val="00EB39F1"/>
    <w:rsid w:val="00EB3BA9"/>
    <w:rsid w:val="00EB3E72"/>
    <w:rsid w:val="00EB4738"/>
    <w:rsid w:val="00EB54FC"/>
    <w:rsid w:val="00EB5EF2"/>
    <w:rsid w:val="00EB5F83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250"/>
    <w:rsid w:val="00EC03AB"/>
    <w:rsid w:val="00EC0BF9"/>
    <w:rsid w:val="00EC12B7"/>
    <w:rsid w:val="00EC17A9"/>
    <w:rsid w:val="00EC1A2B"/>
    <w:rsid w:val="00EC321D"/>
    <w:rsid w:val="00EC3531"/>
    <w:rsid w:val="00EC3FF3"/>
    <w:rsid w:val="00EC438F"/>
    <w:rsid w:val="00EC4757"/>
    <w:rsid w:val="00EC48D1"/>
    <w:rsid w:val="00EC4E4D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086"/>
    <w:rsid w:val="00ED0A9A"/>
    <w:rsid w:val="00ED13C7"/>
    <w:rsid w:val="00ED1871"/>
    <w:rsid w:val="00ED18D1"/>
    <w:rsid w:val="00ED1A4B"/>
    <w:rsid w:val="00ED1C10"/>
    <w:rsid w:val="00ED1DAC"/>
    <w:rsid w:val="00ED2023"/>
    <w:rsid w:val="00ED2699"/>
    <w:rsid w:val="00ED2717"/>
    <w:rsid w:val="00ED2DAA"/>
    <w:rsid w:val="00ED3218"/>
    <w:rsid w:val="00ED32B8"/>
    <w:rsid w:val="00ED347A"/>
    <w:rsid w:val="00ED3581"/>
    <w:rsid w:val="00ED39F1"/>
    <w:rsid w:val="00ED3A9B"/>
    <w:rsid w:val="00ED3E2D"/>
    <w:rsid w:val="00ED44B0"/>
    <w:rsid w:val="00ED4951"/>
    <w:rsid w:val="00ED4965"/>
    <w:rsid w:val="00ED4AFE"/>
    <w:rsid w:val="00ED5396"/>
    <w:rsid w:val="00ED59E7"/>
    <w:rsid w:val="00ED6065"/>
    <w:rsid w:val="00ED63EC"/>
    <w:rsid w:val="00ED6577"/>
    <w:rsid w:val="00ED6A52"/>
    <w:rsid w:val="00ED6D93"/>
    <w:rsid w:val="00ED701C"/>
    <w:rsid w:val="00ED7815"/>
    <w:rsid w:val="00EE05C0"/>
    <w:rsid w:val="00EE0737"/>
    <w:rsid w:val="00EE0CAD"/>
    <w:rsid w:val="00EE0EFE"/>
    <w:rsid w:val="00EE206D"/>
    <w:rsid w:val="00EE28AB"/>
    <w:rsid w:val="00EE300F"/>
    <w:rsid w:val="00EE318C"/>
    <w:rsid w:val="00EE3AAE"/>
    <w:rsid w:val="00EE3AC4"/>
    <w:rsid w:val="00EE3C69"/>
    <w:rsid w:val="00EE485C"/>
    <w:rsid w:val="00EE5052"/>
    <w:rsid w:val="00EE590D"/>
    <w:rsid w:val="00EE5923"/>
    <w:rsid w:val="00EE5EFB"/>
    <w:rsid w:val="00EE62E5"/>
    <w:rsid w:val="00EE7084"/>
    <w:rsid w:val="00EE7633"/>
    <w:rsid w:val="00EF006D"/>
    <w:rsid w:val="00EF0149"/>
    <w:rsid w:val="00EF08AD"/>
    <w:rsid w:val="00EF139E"/>
    <w:rsid w:val="00EF23B6"/>
    <w:rsid w:val="00EF280D"/>
    <w:rsid w:val="00EF2C66"/>
    <w:rsid w:val="00EF2CD9"/>
    <w:rsid w:val="00EF30BB"/>
    <w:rsid w:val="00EF3356"/>
    <w:rsid w:val="00EF33BE"/>
    <w:rsid w:val="00EF3689"/>
    <w:rsid w:val="00EF37FB"/>
    <w:rsid w:val="00EF37FD"/>
    <w:rsid w:val="00EF3FDC"/>
    <w:rsid w:val="00EF40A5"/>
    <w:rsid w:val="00EF4214"/>
    <w:rsid w:val="00EF4EE1"/>
    <w:rsid w:val="00EF5684"/>
    <w:rsid w:val="00EF57CE"/>
    <w:rsid w:val="00EF5AB2"/>
    <w:rsid w:val="00EF5CFA"/>
    <w:rsid w:val="00EF658A"/>
    <w:rsid w:val="00EF690E"/>
    <w:rsid w:val="00EF73D4"/>
    <w:rsid w:val="00EF77F4"/>
    <w:rsid w:val="00EF791F"/>
    <w:rsid w:val="00EF7998"/>
    <w:rsid w:val="00EF7A22"/>
    <w:rsid w:val="00EF7CC1"/>
    <w:rsid w:val="00F0086F"/>
    <w:rsid w:val="00F00A2F"/>
    <w:rsid w:val="00F00EA8"/>
    <w:rsid w:val="00F0183A"/>
    <w:rsid w:val="00F01E16"/>
    <w:rsid w:val="00F01EC4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3FE"/>
    <w:rsid w:val="00F044C2"/>
    <w:rsid w:val="00F044C9"/>
    <w:rsid w:val="00F045AD"/>
    <w:rsid w:val="00F04602"/>
    <w:rsid w:val="00F05BAB"/>
    <w:rsid w:val="00F060B8"/>
    <w:rsid w:val="00F062AB"/>
    <w:rsid w:val="00F0674E"/>
    <w:rsid w:val="00F074A5"/>
    <w:rsid w:val="00F07CBF"/>
    <w:rsid w:val="00F07E79"/>
    <w:rsid w:val="00F1023E"/>
    <w:rsid w:val="00F107C8"/>
    <w:rsid w:val="00F10B18"/>
    <w:rsid w:val="00F10C2E"/>
    <w:rsid w:val="00F10C36"/>
    <w:rsid w:val="00F112ED"/>
    <w:rsid w:val="00F11B59"/>
    <w:rsid w:val="00F11C9F"/>
    <w:rsid w:val="00F1226D"/>
    <w:rsid w:val="00F126A3"/>
    <w:rsid w:val="00F12763"/>
    <w:rsid w:val="00F13AFC"/>
    <w:rsid w:val="00F13B8B"/>
    <w:rsid w:val="00F13E27"/>
    <w:rsid w:val="00F13EB3"/>
    <w:rsid w:val="00F13F08"/>
    <w:rsid w:val="00F14329"/>
    <w:rsid w:val="00F14641"/>
    <w:rsid w:val="00F14678"/>
    <w:rsid w:val="00F14946"/>
    <w:rsid w:val="00F14CF1"/>
    <w:rsid w:val="00F14F12"/>
    <w:rsid w:val="00F14F67"/>
    <w:rsid w:val="00F1578B"/>
    <w:rsid w:val="00F15AF9"/>
    <w:rsid w:val="00F15CBB"/>
    <w:rsid w:val="00F16BF6"/>
    <w:rsid w:val="00F1755B"/>
    <w:rsid w:val="00F2004F"/>
    <w:rsid w:val="00F20438"/>
    <w:rsid w:val="00F2086E"/>
    <w:rsid w:val="00F20FEC"/>
    <w:rsid w:val="00F216C6"/>
    <w:rsid w:val="00F21860"/>
    <w:rsid w:val="00F229AB"/>
    <w:rsid w:val="00F2334B"/>
    <w:rsid w:val="00F2382B"/>
    <w:rsid w:val="00F242C4"/>
    <w:rsid w:val="00F2491C"/>
    <w:rsid w:val="00F24C32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279E0"/>
    <w:rsid w:val="00F30327"/>
    <w:rsid w:val="00F31384"/>
    <w:rsid w:val="00F316EA"/>
    <w:rsid w:val="00F317C6"/>
    <w:rsid w:val="00F326E3"/>
    <w:rsid w:val="00F32855"/>
    <w:rsid w:val="00F32DA9"/>
    <w:rsid w:val="00F334ED"/>
    <w:rsid w:val="00F33658"/>
    <w:rsid w:val="00F33718"/>
    <w:rsid w:val="00F34AD3"/>
    <w:rsid w:val="00F3577A"/>
    <w:rsid w:val="00F36260"/>
    <w:rsid w:val="00F365CD"/>
    <w:rsid w:val="00F36743"/>
    <w:rsid w:val="00F37157"/>
    <w:rsid w:val="00F3745B"/>
    <w:rsid w:val="00F37CF5"/>
    <w:rsid w:val="00F40326"/>
    <w:rsid w:val="00F4058F"/>
    <w:rsid w:val="00F40725"/>
    <w:rsid w:val="00F4099A"/>
    <w:rsid w:val="00F40EAA"/>
    <w:rsid w:val="00F41805"/>
    <w:rsid w:val="00F41923"/>
    <w:rsid w:val="00F41A88"/>
    <w:rsid w:val="00F4218A"/>
    <w:rsid w:val="00F425F3"/>
    <w:rsid w:val="00F43763"/>
    <w:rsid w:val="00F441B7"/>
    <w:rsid w:val="00F44588"/>
    <w:rsid w:val="00F45465"/>
    <w:rsid w:val="00F45495"/>
    <w:rsid w:val="00F45930"/>
    <w:rsid w:val="00F45ADC"/>
    <w:rsid w:val="00F46FA3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40B"/>
    <w:rsid w:val="00F53749"/>
    <w:rsid w:val="00F53D62"/>
    <w:rsid w:val="00F54B05"/>
    <w:rsid w:val="00F54F7B"/>
    <w:rsid w:val="00F557C3"/>
    <w:rsid w:val="00F558DD"/>
    <w:rsid w:val="00F559D1"/>
    <w:rsid w:val="00F5630D"/>
    <w:rsid w:val="00F56708"/>
    <w:rsid w:val="00F56712"/>
    <w:rsid w:val="00F56EA2"/>
    <w:rsid w:val="00F56F50"/>
    <w:rsid w:val="00F56F63"/>
    <w:rsid w:val="00F573EC"/>
    <w:rsid w:val="00F57828"/>
    <w:rsid w:val="00F57AFD"/>
    <w:rsid w:val="00F57CC9"/>
    <w:rsid w:val="00F57EC4"/>
    <w:rsid w:val="00F6004D"/>
    <w:rsid w:val="00F6029F"/>
    <w:rsid w:val="00F618C5"/>
    <w:rsid w:val="00F6295B"/>
    <w:rsid w:val="00F62C06"/>
    <w:rsid w:val="00F63232"/>
    <w:rsid w:val="00F6342A"/>
    <w:rsid w:val="00F63719"/>
    <w:rsid w:val="00F63B12"/>
    <w:rsid w:val="00F63C24"/>
    <w:rsid w:val="00F63DFE"/>
    <w:rsid w:val="00F641BE"/>
    <w:rsid w:val="00F649FE"/>
    <w:rsid w:val="00F64A0A"/>
    <w:rsid w:val="00F65334"/>
    <w:rsid w:val="00F653FF"/>
    <w:rsid w:val="00F65B68"/>
    <w:rsid w:val="00F65BAD"/>
    <w:rsid w:val="00F65EE4"/>
    <w:rsid w:val="00F6615F"/>
    <w:rsid w:val="00F66DFC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DED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3E4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74A"/>
    <w:rsid w:val="00F80A31"/>
    <w:rsid w:val="00F817A0"/>
    <w:rsid w:val="00F82639"/>
    <w:rsid w:val="00F82A8E"/>
    <w:rsid w:val="00F82E95"/>
    <w:rsid w:val="00F83456"/>
    <w:rsid w:val="00F8346F"/>
    <w:rsid w:val="00F83628"/>
    <w:rsid w:val="00F83875"/>
    <w:rsid w:val="00F83AF8"/>
    <w:rsid w:val="00F83D7F"/>
    <w:rsid w:val="00F83EA5"/>
    <w:rsid w:val="00F843D3"/>
    <w:rsid w:val="00F847A5"/>
    <w:rsid w:val="00F84D77"/>
    <w:rsid w:val="00F84DAF"/>
    <w:rsid w:val="00F8640F"/>
    <w:rsid w:val="00F8664B"/>
    <w:rsid w:val="00F866AD"/>
    <w:rsid w:val="00F86860"/>
    <w:rsid w:val="00F87171"/>
    <w:rsid w:val="00F87DAF"/>
    <w:rsid w:val="00F87E05"/>
    <w:rsid w:val="00F91080"/>
    <w:rsid w:val="00F9172B"/>
    <w:rsid w:val="00F929C3"/>
    <w:rsid w:val="00F92D19"/>
    <w:rsid w:val="00F930B6"/>
    <w:rsid w:val="00F936A7"/>
    <w:rsid w:val="00F9384D"/>
    <w:rsid w:val="00F93FBF"/>
    <w:rsid w:val="00F9438F"/>
    <w:rsid w:val="00F94A2A"/>
    <w:rsid w:val="00F956E6"/>
    <w:rsid w:val="00F95924"/>
    <w:rsid w:val="00F95DEB"/>
    <w:rsid w:val="00F9624F"/>
    <w:rsid w:val="00F96407"/>
    <w:rsid w:val="00F966DF"/>
    <w:rsid w:val="00F96874"/>
    <w:rsid w:val="00F968E7"/>
    <w:rsid w:val="00F9704E"/>
    <w:rsid w:val="00F97721"/>
    <w:rsid w:val="00F97CD4"/>
    <w:rsid w:val="00FA023A"/>
    <w:rsid w:val="00FA0B9C"/>
    <w:rsid w:val="00FA0DE0"/>
    <w:rsid w:val="00FA15FD"/>
    <w:rsid w:val="00FA34D5"/>
    <w:rsid w:val="00FA3896"/>
    <w:rsid w:val="00FA3D16"/>
    <w:rsid w:val="00FA4994"/>
    <w:rsid w:val="00FA5199"/>
    <w:rsid w:val="00FA59F5"/>
    <w:rsid w:val="00FA5A27"/>
    <w:rsid w:val="00FA5E8A"/>
    <w:rsid w:val="00FA6BB1"/>
    <w:rsid w:val="00FA6FD7"/>
    <w:rsid w:val="00FA7217"/>
    <w:rsid w:val="00FA7508"/>
    <w:rsid w:val="00FA7EDB"/>
    <w:rsid w:val="00FB0048"/>
    <w:rsid w:val="00FB0E34"/>
    <w:rsid w:val="00FB0EAF"/>
    <w:rsid w:val="00FB1CBB"/>
    <w:rsid w:val="00FB2B1A"/>
    <w:rsid w:val="00FB2DE2"/>
    <w:rsid w:val="00FB3045"/>
    <w:rsid w:val="00FB3293"/>
    <w:rsid w:val="00FB4389"/>
    <w:rsid w:val="00FB46D1"/>
    <w:rsid w:val="00FB50FD"/>
    <w:rsid w:val="00FB524C"/>
    <w:rsid w:val="00FB52D9"/>
    <w:rsid w:val="00FB5316"/>
    <w:rsid w:val="00FB59EA"/>
    <w:rsid w:val="00FB61AB"/>
    <w:rsid w:val="00FB633A"/>
    <w:rsid w:val="00FB6B8B"/>
    <w:rsid w:val="00FB6C55"/>
    <w:rsid w:val="00FB706D"/>
    <w:rsid w:val="00FB70B5"/>
    <w:rsid w:val="00FB74D5"/>
    <w:rsid w:val="00FB7993"/>
    <w:rsid w:val="00FC0850"/>
    <w:rsid w:val="00FC0F42"/>
    <w:rsid w:val="00FC1A80"/>
    <w:rsid w:val="00FC1D0C"/>
    <w:rsid w:val="00FC2A8F"/>
    <w:rsid w:val="00FC3394"/>
    <w:rsid w:val="00FC3EDF"/>
    <w:rsid w:val="00FC3EF0"/>
    <w:rsid w:val="00FC428A"/>
    <w:rsid w:val="00FC4453"/>
    <w:rsid w:val="00FC487A"/>
    <w:rsid w:val="00FC4981"/>
    <w:rsid w:val="00FC64E1"/>
    <w:rsid w:val="00FC6653"/>
    <w:rsid w:val="00FC7678"/>
    <w:rsid w:val="00FD008B"/>
    <w:rsid w:val="00FD0A8C"/>
    <w:rsid w:val="00FD0C3C"/>
    <w:rsid w:val="00FD0CCF"/>
    <w:rsid w:val="00FD0E12"/>
    <w:rsid w:val="00FD0FB0"/>
    <w:rsid w:val="00FD0FE1"/>
    <w:rsid w:val="00FD140C"/>
    <w:rsid w:val="00FD145C"/>
    <w:rsid w:val="00FD1762"/>
    <w:rsid w:val="00FD1F85"/>
    <w:rsid w:val="00FD215A"/>
    <w:rsid w:val="00FD253E"/>
    <w:rsid w:val="00FD2665"/>
    <w:rsid w:val="00FD2A53"/>
    <w:rsid w:val="00FD2E1D"/>
    <w:rsid w:val="00FD3575"/>
    <w:rsid w:val="00FD39BE"/>
    <w:rsid w:val="00FD3D98"/>
    <w:rsid w:val="00FD40D8"/>
    <w:rsid w:val="00FD447D"/>
    <w:rsid w:val="00FD44A4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E7A"/>
    <w:rsid w:val="00FE1009"/>
    <w:rsid w:val="00FE12A2"/>
    <w:rsid w:val="00FE190B"/>
    <w:rsid w:val="00FE218F"/>
    <w:rsid w:val="00FE232F"/>
    <w:rsid w:val="00FE2DDD"/>
    <w:rsid w:val="00FE3640"/>
    <w:rsid w:val="00FE3C3F"/>
    <w:rsid w:val="00FE3D8E"/>
    <w:rsid w:val="00FE3E91"/>
    <w:rsid w:val="00FE3F3A"/>
    <w:rsid w:val="00FE4629"/>
    <w:rsid w:val="00FE490F"/>
    <w:rsid w:val="00FE584F"/>
    <w:rsid w:val="00FE585E"/>
    <w:rsid w:val="00FE5861"/>
    <w:rsid w:val="00FE5E84"/>
    <w:rsid w:val="00FE5F1E"/>
    <w:rsid w:val="00FE6142"/>
    <w:rsid w:val="00FE62BA"/>
    <w:rsid w:val="00FE6954"/>
    <w:rsid w:val="00FE6A6E"/>
    <w:rsid w:val="00FE6B87"/>
    <w:rsid w:val="00FF0182"/>
    <w:rsid w:val="00FF0634"/>
    <w:rsid w:val="00FF12AA"/>
    <w:rsid w:val="00FF19ED"/>
    <w:rsid w:val="00FF2154"/>
    <w:rsid w:val="00FF239F"/>
    <w:rsid w:val="00FF2716"/>
    <w:rsid w:val="00FF32F9"/>
    <w:rsid w:val="00FF340F"/>
    <w:rsid w:val="00FF344D"/>
    <w:rsid w:val="00FF38FB"/>
    <w:rsid w:val="00FF3964"/>
    <w:rsid w:val="00FF554B"/>
    <w:rsid w:val="00FF5DE6"/>
    <w:rsid w:val="00FF5FF2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E2729"/>
  <w15:docId w15:val="{FEB3AFAE-96A7-4B91-A513-52105C4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074A01"/>
  </w:style>
  <w:style w:type="character" w:styleId="Znakapoznpodarou">
    <w:name w:val="footnote reference"/>
    <w:aliases w:val="Footnote,Footnote call"/>
    <w:basedOn w:val="Standardnpsmoodstavce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st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gendy\15_27\z&#225;v&#283;r\v&#253;sledky%20KO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gendy\NK&#218;\15_27\Kopie%20-%20grafy%20do%20z&#225;v&#283;ru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List4!$A$4:$A$20</c:f>
              <c:strCache>
                <c:ptCount val="17"/>
                <c:pt idx="0">
                  <c:v>D - Článek ve sborníku</c:v>
                </c:pt>
                <c:pt idx="1">
                  <c:v>J - Článek v odborném periodiku</c:v>
                </c:pt>
                <c:pt idx="2">
                  <c:v>O - Ostatní výsledky</c:v>
                </c:pt>
                <c:pt idx="3">
                  <c:v>G/B - Funkční vzorek</c:v>
                </c:pt>
                <c:pt idx="4">
                  <c:v>F/U - Užitný vzor</c:v>
                </c:pt>
                <c:pt idx="5">
                  <c:v>N/A - Uplatněná certifikovaná metodika</c:v>
                </c:pt>
                <c:pt idx="6">
                  <c:v>R - Software</c:v>
                </c:pt>
                <c:pt idx="7">
                  <c:v>Z/B - Ověřená technologie</c:v>
                </c:pt>
                <c:pt idx="8">
                  <c:v>V/S - Souhrnná výzkumná zpráva</c:v>
                </c:pt>
                <c:pt idx="9">
                  <c:v>G/A - Prototyp</c:v>
                </c:pt>
                <c:pt idx="10">
                  <c:v>N/D - Specializovaná mapa s odborným obsahem</c:v>
                </c:pt>
                <c:pt idx="11">
                  <c:v>B - Odborná kniha</c:v>
                </c:pt>
                <c:pt idx="12">
                  <c:v>P - Patent</c:v>
                </c:pt>
                <c:pt idx="13">
                  <c:v>Z/A - Poloprovoz</c:v>
                </c:pt>
                <c:pt idx="14">
                  <c:v>C - Kapitola v knize</c:v>
                </c:pt>
                <c:pt idx="15">
                  <c:v>A(L) - Audiovizuální tvorba, elektronické dokumenty</c:v>
                </c:pt>
                <c:pt idx="16">
                  <c:v>F/P - Průmyslový vzor</c:v>
                </c:pt>
              </c:strCache>
            </c:strRef>
          </c:cat>
          <c:val>
            <c:numRef>
              <c:f>List4!$B$4:$B$20</c:f>
              <c:numCache>
                <c:formatCode>General</c:formatCode>
                <c:ptCount val="17"/>
                <c:pt idx="0">
                  <c:v>146</c:v>
                </c:pt>
                <c:pt idx="1">
                  <c:v>109</c:v>
                </c:pt>
                <c:pt idx="2">
                  <c:v>96</c:v>
                </c:pt>
                <c:pt idx="3">
                  <c:v>52</c:v>
                </c:pt>
                <c:pt idx="4">
                  <c:v>50</c:v>
                </c:pt>
                <c:pt idx="5">
                  <c:v>39</c:v>
                </c:pt>
                <c:pt idx="6">
                  <c:v>37</c:v>
                </c:pt>
                <c:pt idx="7">
                  <c:v>18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1436208"/>
        <c:axId val="6873384"/>
      </c:barChart>
      <c:catAx>
        <c:axId val="191436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873384"/>
        <c:crosses val="autoZero"/>
        <c:auto val="1"/>
        <c:lblAlgn val="ctr"/>
        <c:lblOffset val="100"/>
        <c:noMultiLvlLbl val="0"/>
      </c:catAx>
      <c:valAx>
        <c:axId val="68733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1436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106801911324937E-2"/>
          <c:y val="7.4303774118340632E-2"/>
          <c:w val="0.46317046321841854"/>
          <c:h val="0.8075523464032728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4595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004595">
                  <a:alpha val="2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'Graf č. 2'!$A$2:$A$4</c:f>
              <c:strCache>
                <c:ptCount val="3"/>
                <c:pt idx="0">
                  <c:v>ukončené k 31. 12. 2013</c:v>
                </c:pt>
                <c:pt idx="1">
                  <c:v>ukončené k 31. 12. 2014</c:v>
                </c:pt>
                <c:pt idx="2">
                  <c:v>ukončené později</c:v>
                </c:pt>
              </c:strCache>
            </c:strRef>
          </c:cat>
          <c:val>
            <c:numRef>
              <c:f>'Graf č. 2'!$B$2:$B$4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  <c:extLst/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941407705716171"/>
          <c:y val="0.31867278238594576"/>
          <c:w val="0.25218408767606337"/>
          <c:h val="0.291525062863645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452CC-8DAE-4B85-A4B6-BE0A08AE9F7B}"/>
</file>

<file path=customXml/itemProps2.xml><?xml version="1.0" encoding="utf-8"?>
<ds:datastoreItem xmlns:ds="http://schemas.openxmlformats.org/officeDocument/2006/customXml" ds:itemID="{1C7228B4-BA39-49C6-B50E-51DA7CF18AF6}"/>
</file>

<file path=customXml/itemProps3.xml><?xml version="1.0" encoding="utf-8"?>
<ds:datastoreItem xmlns:ds="http://schemas.openxmlformats.org/officeDocument/2006/customXml" ds:itemID="{C871347A-F5E8-4EAA-9ACC-BF9749B23F79}"/>
</file>

<file path=customXml/itemProps4.xml><?xml version="1.0" encoding="utf-8"?>
<ds:datastoreItem xmlns:ds="http://schemas.openxmlformats.org/officeDocument/2006/customXml" ds:itemID="{E33FF9C3-D13A-47EF-BA63-F61B707A4CB2}"/>
</file>

<file path=docProps/app.xml><?xml version="1.0" encoding="utf-8"?>
<Properties xmlns="http://schemas.openxmlformats.org/officeDocument/2006/extended-properties" xmlns:vt="http://schemas.openxmlformats.org/officeDocument/2006/docPropsVTypes">
  <Template>884D81E8.dotm</Template>
  <TotalTime>1</TotalTime>
  <Pages>19</Pages>
  <Words>5258</Words>
  <Characters>31029</Characters>
  <Application>Microsoft Office Word</Application>
  <DocSecurity>4</DocSecurity>
  <Lines>258</Lines>
  <Paragraphs>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15/16</vt:lpstr>
      <vt:lpstr> </vt:lpstr>
    </vt:vector>
  </TitlesOfParts>
  <Company>Nejvyšší kontrolní úřad</Company>
  <LinksUpToDate>false</LinksUpToDate>
  <CharactersWithSpaces>36215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15/27 - Peněžní prostředky státu určené na účelovou podporu výzkumu a vývoje prostřednictvím rozpočtové kapitoly Technologická agentura České republiky</dc:title>
  <dc:creator>Nejvyšší kontrolní úřad</dc:creator>
  <cp:keywords>kontrolní závěr, technologická agentura, TA ČR, výzkum a vývoj</cp:keywords>
  <dc:description/>
  <cp:lastModifiedBy>KOKRDA Daniel</cp:lastModifiedBy>
  <cp:revision>2</cp:revision>
  <cp:lastPrinted>2016-05-24T12:19:00Z</cp:lastPrinted>
  <dcterms:created xsi:type="dcterms:W3CDTF">2016-06-30T11:27:00Z</dcterms:created>
  <dcterms:modified xsi:type="dcterms:W3CDTF">2016-06-30T11:27:00Z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15/27-NKU30/403/16</vt:lpwstr>
  </property>
  <property fmtid="{D5CDD505-2E9C-101B-9397-08002B2CF9AE}" pid="3" name="SZ_Spis_Pisemnost">
    <vt:lpwstr>15/27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*B000263723*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16-5943/NKU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z KA č. 15/27 do připomínek. Termín pro předložení připomínek je 29. 4. 2016.</vt:lpwstr>
  </property>
  <property fmtid="{D5CDD505-2E9C-101B-9397-08002B2CF9AE}" pid="20" name="DatumPoriz_Pisemnost">
    <vt:lpwstr>20.4.2016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