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76B86" w14:textId="77777777" w:rsidR="008420F8" w:rsidRDefault="008420F8" w:rsidP="00433677">
      <w:pPr>
        <w:spacing w:before="240"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</w:p>
    <w:p w14:paraId="560E1713" w14:textId="77777777" w:rsidR="00332AEA" w:rsidRDefault="00332AEA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bookmarkStart w:id="0" w:name="_GoBack"/>
      <w:r w:rsidRPr="006D0355">
        <w:rPr>
          <w:rFonts w:asciiTheme="minorHAnsi" w:hAnsiTheme="minorHAnsi" w:cstheme="minorHAnsi"/>
          <w:noProof/>
          <w:highlight w:val="yellow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AD6070B" wp14:editId="1FD8E692">
            <wp:simplePos x="0" y="0"/>
            <wp:positionH relativeFrom="margin">
              <wp:posOffset>2520315</wp:posOffset>
            </wp:positionH>
            <wp:positionV relativeFrom="paragraph">
              <wp:posOffset>-263525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Kontrolní závěr z kontrolní akce</w:t>
      </w:r>
    </w:p>
    <w:p w14:paraId="5D8A8CF5" w14:textId="77777777" w:rsidR="008420F8" w:rsidRPr="00A74DC0" w:rsidRDefault="008420F8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</w:p>
    <w:p w14:paraId="75982A36" w14:textId="59378473" w:rsidR="00332AEA" w:rsidRDefault="00332AEA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15/25</w:t>
      </w:r>
    </w:p>
    <w:p w14:paraId="274E87D2" w14:textId="77777777" w:rsidR="008420F8" w:rsidRPr="00A74DC0" w:rsidRDefault="008420F8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</w:p>
    <w:p w14:paraId="006CFDC9" w14:textId="77777777" w:rsidR="008420F8" w:rsidRDefault="00332AEA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Majetek a peněžní prostředky státu, </w:t>
      </w:r>
    </w:p>
    <w:p w14:paraId="6998528D" w14:textId="7050CB87" w:rsidR="00332AEA" w:rsidRDefault="00332AEA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6D0355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se kterými je příslušné hospodařit Ministerstvo zahraničních věcí</w:t>
      </w:r>
    </w:p>
    <w:bookmarkEnd w:id="0"/>
    <w:p w14:paraId="0ABD3D96" w14:textId="77777777" w:rsidR="008420F8" w:rsidRDefault="008420F8" w:rsidP="00F6579D">
      <w:pPr>
        <w:spacing w:after="12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</w:p>
    <w:p w14:paraId="0B74EA12" w14:textId="77777777" w:rsidR="008420F8" w:rsidRPr="00A74DC0" w:rsidRDefault="008420F8" w:rsidP="008420F8">
      <w:pPr>
        <w:jc w:val="center"/>
        <w:rPr>
          <w:rFonts w:asciiTheme="minorHAnsi" w:hAnsiTheme="minorHAnsi" w:cstheme="minorHAnsi"/>
          <w:color w:val="000000"/>
          <w:lang w:val="cs-CZ"/>
        </w:rPr>
      </w:pPr>
    </w:p>
    <w:p w14:paraId="13A3CBA9" w14:textId="77777777" w:rsidR="00332AEA" w:rsidRDefault="00332A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Kontrolní akce byla zařazena do plánu kontrolní činnosti Nej</w:t>
      </w:r>
      <w:r w:rsidR="003B34D3">
        <w:rPr>
          <w:rFonts w:asciiTheme="minorHAnsi" w:hAnsiTheme="minorHAnsi" w:cstheme="minorHAnsi"/>
          <w:color w:val="000000"/>
          <w:lang w:val="cs-CZ"/>
        </w:rPr>
        <w:t>vyššího kontrolního úřadu (dále </w:t>
      </w:r>
      <w:r w:rsidRPr="00C31436">
        <w:rPr>
          <w:rFonts w:asciiTheme="minorHAnsi" w:hAnsiTheme="minorHAnsi" w:cstheme="minorHAnsi"/>
          <w:color w:val="000000"/>
          <w:lang w:val="cs-CZ"/>
        </w:rPr>
        <w:t>jen „NKÚ“) na rok 2015 pod číslem 15/25. Kontrolní akci řídil a kontrolní závěr vypracoval člen NKÚ Ing. Antonín Macháček.</w:t>
      </w:r>
    </w:p>
    <w:p w14:paraId="2AE91161" w14:textId="77777777" w:rsidR="006F4DEA" w:rsidRPr="00C31436" w:rsidRDefault="006F4D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0DC8BD1B" w14:textId="77777777" w:rsidR="00332AEA" w:rsidRDefault="00332A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Cílem kontroly bylo prověřit hospodaření s majetkem a peněžními prostředky státu, se kterými je příslušné hospodařit Ministerstvo zahraničních věcí.</w:t>
      </w:r>
    </w:p>
    <w:p w14:paraId="4A4C794C" w14:textId="77777777" w:rsidR="006F4DEA" w:rsidRPr="00C31436" w:rsidRDefault="006F4D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690B7CD0" w14:textId="4D27CE8F" w:rsidR="00332AEA" w:rsidRDefault="00332A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Kontrolovaným obdobím byly roky 2012–2014, v případě věcných souvislostí i období předcházející a</w:t>
      </w:r>
      <w:r w:rsidR="007420D2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následující. Kontrola byla prováděna </w:t>
      </w:r>
      <w:r w:rsidR="0071666B">
        <w:rPr>
          <w:rFonts w:asciiTheme="minorHAnsi" w:hAnsiTheme="minorHAnsi" w:cstheme="minorHAnsi"/>
          <w:color w:val="000000"/>
          <w:lang w:val="cs-CZ"/>
        </w:rPr>
        <w:t xml:space="preserve">u kontrolované osoby </w:t>
      </w:r>
      <w:r w:rsidRPr="00C31436">
        <w:rPr>
          <w:rFonts w:asciiTheme="minorHAnsi" w:hAnsiTheme="minorHAnsi" w:cstheme="minorHAnsi"/>
          <w:color w:val="000000"/>
          <w:lang w:val="cs-CZ"/>
        </w:rPr>
        <w:t>od července 2015 do ledna 2016.</w:t>
      </w:r>
    </w:p>
    <w:p w14:paraId="72D64840" w14:textId="77777777" w:rsidR="006F4DEA" w:rsidRPr="00C31436" w:rsidRDefault="006F4D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277DE097" w14:textId="77777777" w:rsidR="007420D2" w:rsidRDefault="00332AEA" w:rsidP="007420D2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F6579D">
        <w:rPr>
          <w:rFonts w:asciiTheme="minorHAnsi" w:hAnsiTheme="minorHAnsi" w:cstheme="minorHAnsi"/>
          <w:b/>
          <w:color w:val="000000"/>
          <w:lang w:val="cs-CZ"/>
        </w:rPr>
        <w:t>Kontrolovaná osoba: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78C026C1" w14:textId="31172A97" w:rsidR="003357F4" w:rsidRDefault="00332A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Ministerstvo zahraničních věcí</w:t>
      </w:r>
      <w:r w:rsidR="00127F9A">
        <w:rPr>
          <w:rFonts w:asciiTheme="minorHAnsi" w:hAnsiTheme="minorHAnsi" w:cstheme="minorHAnsi"/>
          <w:color w:val="000000"/>
          <w:lang w:val="cs-CZ"/>
        </w:rPr>
        <w:t xml:space="preserve"> (dále také „MZV“)</w:t>
      </w:r>
      <w:r w:rsidR="002F1585">
        <w:rPr>
          <w:rFonts w:asciiTheme="minorHAnsi" w:hAnsiTheme="minorHAnsi" w:cstheme="minorHAnsi"/>
          <w:color w:val="000000"/>
          <w:lang w:val="cs-CZ"/>
        </w:rPr>
        <w:t>.</w:t>
      </w:r>
    </w:p>
    <w:p w14:paraId="219EB1D1" w14:textId="77777777" w:rsidR="006F4DEA" w:rsidRDefault="006F4DE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3C386CC2" w14:textId="37AA929B" w:rsidR="00127F9A" w:rsidRPr="00F6579D" w:rsidRDefault="00332AEA" w:rsidP="00127F9A">
      <w:pPr>
        <w:jc w:val="both"/>
        <w:rPr>
          <w:rFonts w:asciiTheme="minorHAnsi" w:hAnsiTheme="minorHAnsi" w:cstheme="minorHAnsi"/>
          <w:lang w:val="cs-CZ"/>
        </w:rPr>
      </w:pPr>
      <w:r w:rsidRPr="00C31436">
        <w:rPr>
          <w:rFonts w:asciiTheme="minorHAnsi" w:hAnsiTheme="minorHAnsi" w:cstheme="minorHAnsi"/>
          <w:color w:val="000000"/>
          <w:lang w:val="cs-CZ"/>
        </w:rPr>
        <w:t>Námitky proti kontrolnímu protokolu, které podalo MZV, vypořád</w:t>
      </w:r>
      <w:r w:rsidR="00127F9A">
        <w:rPr>
          <w:rFonts w:asciiTheme="minorHAnsi" w:hAnsiTheme="minorHAnsi" w:cstheme="minorHAnsi"/>
          <w:color w:val="000000"/>
          <w:lang w:val="cs-CZ"/>
        </w:rPr>
        <w:t>ala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vedoucí skupiny kontrolujících rozhodnutím o námitkách.</w:t>
      </w:r>
      <w:r w:rsidR="00482CF8" w:rsidRPr="00482CF8">
        <w:t xml:space="preserve"> </w:t>
      </w:r>
      <w:r w:rsidR="00482CF8" w:rsidRPr="00482CF8">
        <w:rPr>
          <w:rFonts w:asciiTheme="minorHAnsi" w:hAnsiTheme="minorHAnsi" w:cstheme="minorHAnsi"/>
          <w:color w:val="000000"/>
          <w:lang w:val="cs-CZ"/>
        </w:rPr>
        <w:t>Odvolání proti rozhodnutí o námitkách nebylo podáno.</w:t>
      </w:r>
      <w:r w:rsidRPr="00C31436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7E9BA93A" w14:textId="707FAB71" w:rsidR="003B34D3" w:rsidRDefault="003B34D3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18F0631C" w14:textId="77777777" w:rsidR="008420F8" w:rsidRDefault="008420F8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60186E6C" w14:textId="77777777" w:rsidR="006F4DEA" w:rsidRDefault="006F4DE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34B824A9" w14:textId="1AD2722E" w:rsidR="00332AEA" w:rsidRDefault="003B34D3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F6579D">
        <w:rPr>
          <w:rFonts w:asciiTheme="minorHAnsi" w:hAnsiTheme="minorHAnsi" w:cstheme="minorHAnsi"/>
          <w:b/>
          <w:i/>
          <w:color w:val="000000"/>
          <w:spacing w:val="50"/>
          <w:lang w:val="cs-CZ"/>
        </w:rPr>
        <w:t>Kolegium NKÚ</w:t>
      </w:r>
      <w:r w:rsidR="00332AEA" w:rsidRPr="00C31436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332AEA" w:rsidRPr="00C31436">
        <w:rPr>
          <w:rFonts w:asciiTheme="minorHAnsi" w:hAnsiTheme="minorHAnsi" w:cstheme="minorHAnsi"/>
          <w:color w:val="000000"/>
          <w:lang w:val="cs-CZ"/>
        </w:rPr>
        <w:t xml:space="preserve">na svém </w:t>
      </w:r>
      <w:r w:rsidR="00242EEC">
        <w:rPr>
          <w:rFonts w:asciiTheme="minorHAnsi" w:hAnsiTheme="minorHAnsi" w:cstheme="minorHAnsi"/>
          <w:color w:val="000000"/>
          <w:lang w:val="cs-CZ"/>
        </w:rPr>
        <w:t>VI.</w:t>
      </w:r>
      <w:r w:rsidR="00332AEA" w:rsidRPr="00C31436">
        <w:rPr>
          <w:rFonts w:asciiTheme="minorHAnsi" w:hAnsiTheme="minorHAnsi" w:cstheme="minorHAnsi"/>
          <w:color w:val="000000"/>
          <w:lang w:val="cs-CZ"/>
        </w:rPr>
        <w:t xml:space="preserve"> jednání, které se konalo dne </w:t>
      </w:r>
      <w:r w:rsidR="00242EEC">
        <w:rPr>
          <w:rFonts w:asciiTheme="minorHAnsi" w:hAnsiTheme="minorHAnsi" w:cstheme="minorHAnsi"/>
          <w:color w:val="000000"/>
          <w:lang w:val="cs-CZ"/>
        </w:rPr>
        <w:t>25. dubna</w:t>
      </w:r>
      <w:r w:rsidR="00312041">
        <w:rPr>
          <w:rFonts w:asciiTheme="minorHAnsi" w:hAnsiTheme="minorHAnsi" w:cstheme="minorHAnsi"/>
          <w:color w:val="000000"/>
          <w:lang w:val="cs-CZ"/>
        </w:rPr>
        <w:t xml:space="preserve"> 2016</w:t>
      </w:r>
      <w:r w:rsidR="00332AEA" w:rsidRPr="00C31436">
        <w:rPr>
          <w:rFonts w:asciiTheme="minorHAnsi" w:hAnsiTheme="minorHAnsi" w:cstheme="minorHAnsi"/>
          <w:color w:val="000000"/>
          <w:lang w:val="cs-CZ"/>
        </w:rPr>
        <w:t>,</w:t>
      </w:r>
    </w:p>
    <w:p w14:paraId="17633459" w14:textId="25C7171B" w:rsidR="00332AEA" w:rsidRPr="00C31436" w:rsidRDefault="00127F9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F6579D">
        <w:rPr>
          <w:rFonts w:asciiTheme="minorHAnsi" w:hAnsiTheme="minorHAnsi" w:cstheme="minorHAnsi"/>
          <w:b/>
          <w:i/>
          <w:color w:val="000000"/>
          <w:spacing w:val="50"/>
          <w:lang w:val="cs-CZ"/>
        </w:rPr>
        <w:t>s</w:t>
      </w:r>
      <w:r w:rsidR="003B34D3" w:rsidRPr="00F6579D">
        <w:rPr>
          <w:rFonts w:asciiTheme="minorHAnsi" w:hAnsiTheme="minorHAnsi" w:cstheme="minorHAnsi"/>
          <w:b/>
          <w:i/>
          <w:color w:val="000000"/>
          <w:spacing w:val="50"/>
          <w:lang w:val="cs-CZ"/>
        </w:rPr>
        <w:t>chválilo usnesením</w:t>
      </w:r>
      <w:r w:rsidR="00332AEA" w:rsidRPr="00C31436">
        <w:rPr>
          <w:rFonts w:asciiTheme="minorHAnsi" w:hAnsiTheme="minorHAnsi" w:cstheme="minorHAnsi"/>
          <w:color w:val="000000"/>
          <w:lang w:val="cs-CZ"/>
        </w:rPr>
        <w:t xml:space="preserve"> č. </w:t>
      </w:r>
      <w:r w:rsidR="002F1585">
        <w:rPr>
          <w:rFonts w:asciiTheme="minorHAnsi" w:hAnsiTheme="minorHAnsi" w:cstheme="minorHAnsi"/>
          <w:color w:val="000000"/>
          <w:lang w:val="cs-CZ"/>
        </w:rPr>
        <w:t>9</w:t>
      </w:r>
      <w:r w:rsidR="00332AEA" w:rsidRPr="00C31436">
        <w:rPr>
          <w:rFonts w:asciiTheme="minorHAnsi" w:hAnsiTheme="minorHAnsi" w:cstheme="minorHAnsi"/>
          <w:color w:val="000000"/>
          <w:lang w:val="cs-CZ"/>
        </w:rPr>
        <w:t>/</w:t>
      </w:r>
      <w:r w:rsidR="00242EEC">
        <w:rPr>
          <w:rFonts w:asciiTheme="minorHAnsi" w:hAnsiTheme="minorHAnsi" w:cstheme="minorHAnsi"/>
          <w:color w:val="000000"/>
          <w:lang w:val="cs-CZ"/>
        </w:rPr>
        <w:t>VI</w:t>
      </w:r>
      <w:r w:rsidR="00332AEA" w:rsidRPr="00C31436">
        <w:rPr>
          <w:rFonts w:asciiTheme="minorHAnsi" w:hAnsiTheme="minorHAnsi" w:cstheme="minorHAnsi"/>
          <w:color w:val="000000"/>
          <w:lang w:val="cs-CZ"/>
        </w:rPr>
        <w:t>/201</w:t>
      </w:r>
      <w:r w:rsidR="003F3135">
        <w:rPr>
          <w:rFonts w:asciiTheme="minorHAnsi" w:hAnsiTheme="minorHAnsi" w:cstheme="minorHAnsi"/>
          <w:color w:val="000000"/>
          <w:lang w:val="cs-CZ"/>
        </w:rPr>
        <w:t>6</w:t>
      </w:r>
    </w:p>
    <w:p w14:paraId="53DC02B6" w14:textId="3EEC64FD" w:rsidR="00332AEA" w:rsidRDefault="00332AE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F6579D">
        <w:rPr>
          <w:rFonts w:asciiTheme="minorHAnsi" w:hAnsiTheme="minorHAnsi" w:cstheme="minorHAnsi"/>
          <w:b/>
          <w:i/>
          <w:color w:val="000000"/>
          <w:spacing w:val="50"/>
          <w:lang w:val="cs-CZ"/>
        </w:rPr>
        <w:t xml:space="preserve">kontrolní závěr </w:t>
      </w:r>
      <w:r w:rsidRPr="00C31436">
        <w:rPr>
          <w:rFonts w:asciiTheme="minorHAnsi" w:hAnsiTheme="minorHAnsi" w:cstheme="minorHAnsi"/>
          <w:color w:val="000000"/>
          <w:lang w:val="cs-CZ"/>
        </w:rPr>
        <w:t>v tomto znění:</w:t>
      </w:r>
    </w:p>
    <w:p w14:paraId="3A60EBCA" w14:textId="77777777" w:rsidR="00F97037" w:rsidRPr="00A74DC0" w:rsidRDefault="00F97037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567AFDDA" w14:textId="77777777" w:rsidR="006F4DEA" w:rsidRDefault="006F4DEA">
      <w:pPr>
        <w:spacing w:after="160" w:line="259" w:lineRule="auto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br w:type="page"/>
      </w:r>
    </w:p>
    <w:p w14:paraId="33427EE6" w14:textId="19643798" w:rsidR="00332AEA" w:rsidRPr="006F4DEA" w:rsidRDefault="006F4DEA" w:rsidP="006F4DEA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6F4DEA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lastRenderedPageBreak/>
        <w:t xml:space="preserve">I. </w:t>
      </w:r>
      <w:r w:rsidR="00332AEA" w:rsidRPr="006F4DEA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Úvod</w:t>
      </w:r>
    </w:p>
    <w:p w14:paraId="190B0138" w14:textId="0DB6210A" w:rsidR="00332AEA" w:rsidRDefault="003357F4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V</w:t>
      </w:r>
      <w:r w:rsidR="00332AEA" w:rsidRPr="00A74DC0">
        <w:rPr>
          <w:rFonts w:asciiTheme="minorHAnsi" w:hAnsiTheme="minorHAnsi" w:cstheme="minorHAnsi"/>
          <w:color w:val="000000"/>
          <w:lang w:val="cs-CZ"/>
        </w:rPr>
        <w:t xml:space="preserve">láda ČR </w:t>
      </w:r>
      <w:r>
        <w:rPr>
          <w:rFonts w:asciiTheme="minorHAnsi" w:hAnsiTheme="minorHAnsi" w:cstheme="minorHAnsi"/>
          <w:color w:val="000000"/>
          <w:lang w:val="cs-CZ"/>
        </w:rPr>
        <w:t xml:space="preserve">schválila v červenci 2015 </w:t>
      </w:r>
      <w:r w:rsidR="00332AEA" w:rsidRPr="00A74DC0">
        <w:rPr>
          <w:rFonts w:asciiTheme="minorHAnsi" w:hAnsiTheme="minorHAnsi" w:cstheme="minorHAnsi"/>
          <w:color w:val="000000"/>
          <w:lang w:val="cs-CZ"/>
        </w:rPr>
        <w:t xml:space="preserve">novou </w:t>
      </w:r>
      <w:r w:rsidR="00C90DB2">
        <w:rPr>
          <w:rFonts w:asciiTheme="minorHAnsi" w:hAnsiTheme="minorHAnsi" w:cstheme="minorHAnsi"/>
          <w:color w:val="000000"/>
          <w:lang w:val="cs-CZ"/>
        </w:rPr>
        <w:t>k</w:t>
      </w:r>
      <w:r w:rsidR="00332AEA" w:rsidRPr="00A74DC0">
        <w:rPr>
          <w:rFonts w:asciiTheme="minorHAnsi" w:hAnsiTheme="minorHAnsi" w:cstheme="minorHAnsi"/>
          <w:color w:val="000000"/>
          <w:lang w:val="cs-CZ"/>
        </w:rPr>
        <w:t>oncepci zahraniční politiky ČR. Ta definuje tři globální cíle, jimiž jsou bezpečnost, prosperita a udržitelný rozvoj a lidská důstojnost, a dva národní cíle – s</w:t>
      </w:r>
      <w:r w:rsidR="00332AEA">
        <w:rPr>
          <w:rFonts w:asciiTheme="minorHAnsi" w:hAnsiTheme="minorHAnsi" w:cstheme="minorHAnsi"/>
          <w:color w:val="000000"/>
          <w:lang w:val="cs-CZ"/>
        </w:rPr>
        <w:t xml:space="preserve">lužba občanům a dobré jméno ČR. </w:t>
      </w:r>
      <w:r w:rsidR="00332AEA" w:rsidRPr="00A74DC0">
        <w:rPr>
          <w:rFonts w:asciiTheme="minorHAnsi" w:hAnsiTheme="minorHAnsi" w:cstheme="minorHAnsi"/>
          <w:color w:val="000000"/>
          <w:lang w:val="cs-CZ"/>
        </w:rPr>
        <w:t xml:space="preserve">Hlavním rámcem pro českou zahraniční politiku zůstává EU a zejména její </w:t>
      </w:r>
      <w:r w:rsidR="00C90DB2">
        <w:rPr>
          <w:rFonts w:asciiTheme="minorHAnsi" w:hAnsiTheme="minorHAnsi" w:cstheme="minorHAnsi"/>
          <w:color w:val="000000"/>
          <w:lang w:val="cs-CZ"/>
        </w:rPr>
        <w:t>s</w:t>
      </w:r>
      <w:r w:rsidR="00332AEA" w:rsidRPr="00A74DC0">
        <w:rPr>
          <w:rFonts w:asciiTheme="minorHAnsi" w:hAnsiTheme="minorHAnsi" w:cstheme="minorHAnsi"/>
          <w:color w:val="000000"/>
          <w:lang w:val="cs-CZ"/>
        </w:rPr>
        <w:t>polečná zahraniční a bezpečnostní politika.</w:t>
      </w:r>
    </w:p>
    <w:p w14:paraId="563A75A5" w14:textId="54CE6953" w:rsidR="003357F4" w:rsidRDefault="003357F4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Oblast zahraniční politiky, vztahy České republiky k ostatním státům, mezinárodním organizacím a </w:t>
      </w:r>
      <w:r w:rsidRPr="00A74DC0">
        <w:rPr>
          <w:rFonts w:asciiTheme="minorHAnsi" w:hAnsiTheme="minorHAnsi" w:cstheme="minorHAnsi"/>
          <w:color w:val="000000"/>
          <w:lang w:val="cs-CZ"/>
        </w:rPr>
        <w:t>integračním seskupením</w:t>
      </w:r>
      <w:r>
        <w:rPr>
          <w:rFonts w:asciiTheme="minorHAnsi" w:hAnsiTheme="minorHAnsi" w:cstheme="minorHAnsi"/>
          <w:color w:val="000000"/>
          <w:lang w:val="cs-CZ"/>
        </w:rPr>
        <w:t xml:space="preserve"> zabezpečuje Ministerstvo zahraničních věcí, které </w:t>
      </w:r>
      <w:r w:rsidR="00C90DB2">
        <w:rPr>
          <w:rFonts w:asciiTheme="minorHAnsi" w:hAnsiTheme="minorHAnsi" w:cstheme="minorHAnsi"/>
          <w:color w:val="000000"/>
          <w:lang w:val="cs-CZ"/>
        </w:rPr>
        <w:t>dále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A74DC0">
        <w:rPr>
          <w:rFonts w:asciiTheme="minorHAnsi" w:hAnsiTheme="minorHAnsi" w:cstheme="minorHAnsi"/>
          <w:color w:val="000000"/>
          <w:lang w:val="cs-CZ"/>
        </w:rPr>
        <w:t>vykonává</w:t>
      </w:r>
      <w:r w:rsidR="00957EAE" w:rsidRPr="00957EAE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57EAE" w:rsidRPr="00A74DC0">
        <w:rPr>
          <w:rFonts w:asciiTheme="minorHAnsi" w:hAnsiTheme="minorHAnsi" w:cstheme="minorHAnsi"/>
          <w:color w:val="000000"/>
          <w:lang w:val="cs-CZ"/>
        </w:rPr>
        <w:t xml:space="preserve">např. </w:t>
      </w:r>
      <w:r w:rsidR="00C90DB2">
        <w:rPr>
          <w:rFonts w:asciiTheme="minorHAnsi" w:hAnsiTheme="minorHAnsi" w:cstheme="minorHAnsi"/>
          <w:color w:val="000000"/>
          <w:lang w:val="cs-CZ"/>
        </w:rPr>
        <w:t xml:space="preserve">i </w:t>
      </w:r>
      <w:r w:rsidR="00957EAE" w:rsidRPr="00A74DC0">
        <w:rPr>
          <w:rFonts w:asciiTheme="minorHAnsi" w:hAnsiTheme="minorHAnsi" w:cstheme="minorHAnsi"/>
          <w:color w:val="000000"/>
          <w:lang w:val="cs-CZ"/>
        </w:rPr>
        <w:t>činnosti spojené se zajišťováním ochrany práv a zájmů ČR a jej</w:t>
      </w:r>
      <w:r w:rsidR="00C90DB2">
        <w:rPr>
          <w:rFonts w:asciiTheme="minorHAnsi" w:hAnsiTheme="minorHAnsi" w:cstheme="minorHAnsi"/>
          <w:color w:val="000000"/>
          <w:lang w:val="cs-CZ"/>
        </w:rPr>
        <w:t>í</w:t>
      </w:r>
      <w:r w:rsidR="00957EAE" w:rsidRPr="00A74DC0">
        <w:rPr>
          <w:rFonts w:asciiTheme="minorHAnsi" w:hAnsiTheme="minorHAnsi" w:cstheme="minorHAnsi"/>
          <w:color w:val="000000"/>
          <w:lang w:val="cs-CZ"/>
        </w:rPr>
        <w:t>ch občanů v</w:t>
      </w:r>
      <w:r w:rsidR="00FA425A">
        <w:rPr>
          <w:rFonts w:asciiTheme="minorHAnsi" w:hAnsiTheme="minorHAnsi" w:cstheme="minorHAnsi"/>
          <w:color w:val="000000"/>
          <w:lang w:val="cs-CZ"/>
        </w:rPr>
        <w:t> </w:t>
      </w:r>
      <w:r w:rsidR="00957EAE" w:rsidRPr="00A74DC0">
        <w:rPr>
          <w:rFonts w:asciiTheme="minorHAnsi" w:hAnsiTheme="minorHAnsi" w:cstheme="minorHAnsi"/>
          <w:color w:val="000000"/>
          <w:lang w:val="cs-CZ"/>
        </w:rPr>
        <w:t xml:space="preserve">zahraničí, řídí zastupitelské úřady v zahraničí </w:t>
      </w:r>
      <w:r w:rsidR="00F23E41">
        <w:rPr>
          <w:rFonts w:asciiTheme="minorHAnsi" w:hAnsiTheme="minorHAnsi" w:cstheme="minorHAnsi"/>
          <w:color w:val="000000"/>
          <w:lang w:val="cs-CZ"/>
        </w:rPr>
        <w:t xml:space="preserve">(dále také „ZÚ“) </w:t>
      </w:r>
      <w:r w:rsidR="00957EAE" w:rsidRPr="00A74DC0">
        <w:rPr>
          <w:rFonts w:asciiTheme="minorHAnsi" w:hAnsiTheme="minorHAnsi" w:cstheme="minorHAnsi"/>
          <w:color w:val="000000"/>
          <w:lang w:val="cs-CZ"/>
        </w:rPr>
        <w:t>a plní úkoly při správě majetku.</w:t>
      </w:r>
    </w:p>
    <w:p w14:paraId="1BC00C8A" w14:textId="75A3C877" w:rsidR="00332AEA" w:rsidRDefault="00332AE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A74DC0">
        <w:rPr>
          <w:rFonts w:asciiTheme="minorHAnsi" w:hAnsiTheme="minorHAnsi" w:cstheme="minorHAnsi"/>
          <w:color w:val="000000"/>
          <w:lang w:val="cs-CZ"/>
        </w:rPr>
        <w:t>Ve své oblasti a v rozsahu své působnosti MZV zodp</w:t>
      </w:r>
      <w:r>
        <w:rPr>
          <w:rFonts w:asciiTheme="minorHAnsi" w:hAnsiTheme="minorHAnsi" w:cstheme="minorHAnsi"/>
          <w:color w:val="000000"/>
          <w:lang w:val="cs-CZ"/>
        </w:rPr>
        <w:t>ovídá za hospodárné nakládání s </w:t>
      </w:r>
      <w:r w:rsidRPr="00A74DC0">
        <w:rPr>
          <w:rFonts w:asciiTheme="minorHAnsi" w:hAnsiTheme="minorHAnsi" w:cstheme="minorHAnsi"/>
          <w:color w:val="000000"/>
          <w:lang w:val="cs-CZ"/>
        </w:rPr>
        <w:t xml:space="preserve">prostředky státního rozpočtu a hospodaření s majetkem státu. MZV </w:t>
      </w:r>
      <w:r>
        <w:rPr>
          <w:rFonts w:asciiTheme="minorHAnsi" w:hAnsiTheme="minorHAnsi" w:cstheme="minorHAnsi"/>
          <w:color w:val="000000"/>
          <w:lang w:val="cs-CZ"/>
        </w:rPr>
        <w:t>je podle zákona č. 219/2000 Sb.</w:t>
      </w:r>
      <w:r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"/>
      </w:r>
      <w:r w:rsidRPr="00A74DC0">
        <w:rPr>
          <w:rFonts w:asciiTheme="minorHAnsi" w:hAnsiTheme="minorHAnsi" w:cstheme="minorHAnsi"/>
          <w:color w:val="000000"/>
          <w:lang w:val="cs-CZ"/>
        </w:rPr>
        <w:t xml:space="preserve"> organizační složkou státu (dále také „OSS“) a </w:t>
      </w:r>
      <w:r w:rsidR="00B4031C">
        <w:rPr>
          <w:rFonts w:asciiTheme="minorHAnsi" w:hAnsiTheme="minorHAnsi" w:cstheme="minorHAnsi"/>
          <w:color w:val="000000"/>
          <w:lang w:val="cs-CZ"/>
        </w:rPr>
        <w:t xml:space="preserve">současně </w:t>
      </w:r>
      <w:r w:rsidRPr="00A74DC0">
        <w:rPr>
          <w:rFonts w:asciiTheme="minorHAnsi" w:hAnsiTheme="minorHAnsi" w:cstheme="minorHAnsi"/>
          <w:color w:val="000000"/>
          <w:lang w:val="cs-CZ"/>
        </w:rPr>
        <w:t>je účetní jednotkou podle zákona č. 563/1991 Sb</w:t>
      </w:r>
      <w:r>
        <w:rPr>
          <w:rFonts w:asciiTheme="minorHAnsi" w:hAnsiTheme="minorHAnsi" w:cstheme="minorHAnsi"/>
          <w:color w:val="000000"/>
          <w:lang w:val="cs-CZ"/>
        </w:rPr>
        <w:t>.</w:t>
      </w:r>
      <w:r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2"/>
      </w:r>
      <w:r>
        <w:rPr>
          <w:rFonts w:asciiTheme="minorHAnsi" w:hAnsiTheme="minorHAnsi" w:cstheme="minorHAnsi"/>
          <w:color w:val="000000"/>
          <w:lang w:val="cs-CZ"/>
        </w:rPr>
        <w:t xml:space="preserve"> Podle zákona č. 218/2000 Sb.</w:t>
      </w:r>
      <w:r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3"/>
      </w:r>
      <w:r w:rsidRPr="00A74DC0">
        <w:rPr>
          <w:rFonts w:asciiTheme="minorHAnsi" w:hAnsiTheme="minorHAnsi" w:cstheme="minorHAnsi"/>
          <w:color w:val="000000"/>
          <w:lang w:val="cs-CZ"/>
        </w:rPr>
        <w:t xml:space="preserve"> je MZV správcem kapitoly státního rozpočtu 306</w:t>
      </w:r>
      <w:r w:rsidR="00B4031C">
        <w:rPr>
          <w:rFonts w:asciiTheme="minorHAnsi" w:hAnsiTheme="minorHAnsi" w:cstheme="minorHAnsi"/>
          <w:color w:val="000000"/>
          <w:lang w:val="cs-CZ"/>
        </w:rPr>
        <w:t xml:space="preserve"> –</w:t>
      </w:r>
      <w:r w:rsidRPr="00A74DC0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F6579D">
        <w:rPr>
          <w:rFonts w:asciiTheme="minorHAnsi" w:hAnsiTheme="minorHAnsi" w:cstheme="minorHAnsi"/>
          <w:i/>
          <w:color w:val="000000"/>
          <w:lang w:val="cs-CZ"/>
        </w:rPr>
        <w:t>Ministerstvo zahraničních věcí</w:t>
      </w:r>
      <w:r w:rsidRPr="00A74DC0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4031C">
        <w:rPr>
          <w:rFonts w:asciiTheme="minorHAnsi" w:hAnsiTheme="minorHAnsi" w:cstheme="minorHAnsi"/>
          <w:color w:val="000000"/>
          <w:lang w:val="cs-CZ"/>
        </w:rPr>
        <w:t xml:space="preserve">(dále jen „kapitola 306 – MZV“) </w:t>
      </w:r>
      <w:r w:rsidRPr="00A74DC0">
        <w:rPr>
          <w:rFonts w:asciiTheme="minorHAnsi" w:hAnsiTheme="minorHAnsi" w:cstheme="minorHAnsi"/>
          <w:color w:val="000000"/>
          <w:lang w:val="cs-CZ"/>
        </w:rPr>
        <w:t>a</w:t>
      </w:r>
      <w:r w:rsidR="00B4031C">
        <w:rPr>
          <w:rFonts w:asciiTheme="minorHAnsi" w:hAnsiTheme="minorHAnsi" w:cstheme="minorHAnsi"/>
          <w:color w:val="000000"/>
          <w:lang w:val="cs-CZ"/>
        </w:rPr>
        <w:t> </w:t>
      </w:r>
      <w:r w:rsidRPr="00A74DC0">
        <w:rPr>
          <w:rFonts w:asciiTheme="minorHAnsi" w:hAnsiTheme="minorHAnsi" w:cstheme="minorHAnsi"/>
          <w:color w:val="000000"/>
          <w:lang w:val="cs-CZ"/>
        </w:rPr>
        <w:t>správcem programů reprodukce majetku.</w:t>
      </w:r>
    </w:p>
    <w:p w14:paraId="31ADDC8E" w14:textId="77777777" w:rsidR="00957EAE" w:rsidRDefault="007859B9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Kontrolou byla ověřována</w:t>
      </w:r>
      <w:r w:rsidR="00957EAE">
        <w:rPr>
          <w:rFonts w:asciiTheme="minorHAnsi" w:hAnsiTheme="minorHAnsi" w:cstheme="minorHAnsi"/>
          <w:color w:val="000000"/>
          <w:lang w:val="cs-CZ"/>
        </w:rPr>
        <w:t xml:space="preserve"> správnost a úplnost vedení účetnictví MZV, dodržování povinností při hospodaření s majetkem, </w:t>
      </w:r>
      <w:r>
        <w:rPr>
          <w:rFonts w:asciiTheme="minorHAnsi" w:hAnsiTheme="minorHAnsi" w:cstheme="minorHAnsi"/>
          <w:color w:val="000000"/>
          <w:lang w:val="cs-CZ"/>
        </w:rPr>
        <w:t>zejména při jeho nabývání, pozbývání a pronajímání, dále byly kontrole podrobeny vybrané náklady v souvislosti s předškolní péčí o děti zaměstnanců MZV v ČR a s výukou dětí zaměstnanců MZV s místem výkonu práce na zastupitelských úřadech ČR v zahraničí.</w:t>
      </w:r>
    </w:p>
    <w:p w14:paraId="78355A2A" w14:textId="77777777" w:rsidR="00B4031C" w:rsidRDefault="00B4031C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75F305EE" w14:textId="19C22BA4" w:rsidR="00332AEA" w:rsidRPr="003F3135" w:rsidRDefault="00A47EE0" w:rsidP="003F3135">
      <w:pPr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  <w:r w:rsidRPr="003F3135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Pozn.:</w:t>
      </w:r>
      <w:r w:rsidR="003F3135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ab/>
      </w:r>
      <w:r w:rsidRPr="003F3135">
        <w:rPr>
          <w:rFonts w:asciiTheme="minorHAnsi" w:hAnsiTheme="minorHAnsi" w:cstheme="minorHAnsi"/>
          <w:color w:val="000000"/>
          <w:sz w:val="20"/>
          <w:szCs w:val="20"/>
          <w:lang w:val="cs-CZ"/>
        </w:rPr>
        <w:t>Právní předpisy uvedené v tomto kontrolním závěru jsou aplikovány ve znění účinném pro kontrolované období.</w:t>
      </w:r>
    </w:p>
    <w:p w14:paraId="2B9F94DC" w14:textId="77777777" w:rsidR="00FD5F25" w:rsidRDefault="00FD5F25" w:rsidP="00B2656A">
      <w:pPr>
        <w:pStyle w:val="Odstavecseseznamem"/>
        <w:ind w:left="0"/>
        <w:rPr>
          <w:rFonts w:asciiTheme="minorHAnsi" w:hAnsiTheme="minorHAnsi" w:cstheme="minorHAnsi"/>
          <w:b/>
          <w:color w:val="000000"/>
          <w:lang w:val="cs-CZ"/>
        </w:rPr>
      </w:pPr>
    </w:p>
    <w:p w14:paraId="0A198B5E" w14:textId="77777777" w:rsidR="00312041" w:rsidRDefault="00312041" w:rsidP="00B2656A">
      <w:pPr>
        <w:pStyle w:val="Odstavecseseznamem"/>
        <w:ind w:left="0"/>
        <w:rPr>
          <w:rFonts w:asciiTheme="minorHAnsi" w:hAnsiTheme="minorHAnsi" w:cstheme="minorHAnsi"/>
          <w:b/>
          <w:color w:val="000000"/>
          <w:lang w:val="cs-CZ"/>
        </w:rPr>
      </w:pPr>
    </w:p>
    <w:p w14:paraId="69771231" w14:textId="7232F754" w:rsidR="008766D5" w:rsidRPr="006F4DEA" w:rsidRDefault="006F4DEA" w:rsidP="006F4DEA">
      <w:pPr>
        <w:pStyle w:val="Odstavecseseznamem"/>
        <w:spacing w:after="120"/>
        <w:ind w:left="108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6F4DEA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II. </w:t>
      </w:r>
      <w:r w:rsidR="008766D5" w:rsidRPr="006F4DEA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Shrnutí a vyhodnocení zjištěných skutečností</w:t>
      </w:r>
    </w:p>
    <w:p w14:paraId="31D1015C" w14:textId="77777777" w:rsidR="00B4031C" w:rsidRPr="008766D5" w:rsidRDefault="00B4031C" w:rsidP="00B2656A">
      <w:pPr>
        <w:pStyle w:val="Odstavecseseznamem"/>
        <w:spacing w:after="120"/>
        <w:ind w:left="0"/>
        <w:rPr>
          <w:rFonts w:asciiTheme="minorHAnsi" w:hAnsiTheme="minorHAnsi" w:cstheme="minorHAnsi"/>
          <w:b/>
          <w:color w:val="000000"/>
          <w:lang w:val="cs-CZ"/>
        </w:rPr>
      </w:pPr>
    </w:p>
    <w:p w14:paraId="18FDAC6C" w14:textId="274E83BB" w:rsidR="003B34D3" w:rsidRPr="00006215" w:rsidRDefault="004006A2" w:rsidP="00F97037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4006A2">
        <w:rPr>
          <w:rFonts w:asciiTheme="minorHAnsi" w:hAnsiTheme="minorHAnsi" w:cstheme="minorHAnsi"/>
          <w:color w:val="000000"/>
          <w:lang w:val="cs-CZ"/>
        </w:rPr>
        <w:t xml:space="preserve">Účetnictví </w:t>
      </w:r>
      <w:r>
        <w:rPr>
          <w:rFonts w:asciiTheme="minorHAnsi" w:hAnsiTheme="minorHAnsi" w:cstheme="minorHAnsi"/>
          <w:color w:val="000000"/>
          <w:lang w:val="cs-CZ"/>
        </w:rPr>
        <w:t xml:space="preserve">MZV v kontrolovaném období let 2012 až 2014 </w:t>
      </w:r>
      <w:r w:rsidR="00B0774C">
        <w:rPr>
          <w:rFonts w:asciiTheme="minorHAnsi" w:eastAsia="Calibri" w:hAnsiTheme="minorHAnsi" w:cstheme="minorHAnsi"/>
          <w:lang w:val="cs-CZ"/>
        </w:rPr>
        <w:t>nebylo správné a úplné ve</w:t>
      </w:r>
      <w:r w:rsidR="00B2656A">
        <w:rPr>
          <w:rFonts w:asciiTheme="minorHAnsi" w:eastAsia="Calibri" w:hAnsiTheme="minorHAnsi" w:cstheme="minorHAnsi"/>
          <w:lang w:val="cs-CZ"/>
        </w:rPr>
        <w:t xml:space="preserve"> </w:t>
      </w:r>
      <w:r w:rsidRPr="002037DB">
        <w:rPr>
          <w:rFonts w:asciiTheme="minorHAnsi" w:eastAsia="Calibri" w:hAnsiTheme="minorHAnsi" w:cstheme="minorHAnsi"/>
          <w:lang w:val="cs-CZ"/>
        </w:rPr>
        <w:t>smyslu ust</w:t>
      </w:r>
      <w:r>
        <w:rPr>
          <w:rFonts w:asciiTheme="minorHAnsi" w:eastAsia="Calibri" w:hAnsiTheme="minorHAnsi" w:cstheme="minorHAnsi"/>
          <w:lang w:val="cs-CZ"/>
        </w:rPr>
        <w:t>anovení § 8 zákona o účetnictví</w:t>
      </w:r>
      <w:r w:rsidR="00F16369">
        <w:rPr>
          <w:rFonts w:asciiTheme="minorHAnsi" w:eastAsia="Calibri" w:hAnsiTheme="minorHAnsi" w:cstheme="minorHAnsi"/>
          <w:lang w:val="cs-CZ"/>
        </w:rPr>
        <w:t>,</w:t>
      </w:r>
      <w:r w:rsidR="00006215">
        <w:rPr>
          <w:rFonts w:asciiTheme="minorHAnsi" w:eastAsia="Calibri" w:hAnsiTheme="minorHAnsi" w:cstheme="minorHAnsi"/>
          <w:lang w:val="cs-CZ"/>
        </w:rPr>
        <w:t xml:space="preserve"> </w:t>
      </w:r>
      <w:r w:rsidR="00143E55">
        <w:rPr>
          <w:rFonts w:asciiTheme="minorHAnsi" w:eastAsia="Calibri" w:hAnsiTheme="minorHAnsi" w:cstheme="minorHAnsi"/>
          <w:lang w:val="cs-CZ"/>
        </w:rPr>
        <w:t xml:space="preserve">jak vyplývá ze </w:t>
      </w:r>
      <w:r w:rsidR="00006215">
        <w:rPr>
          <w:rFonts w:asciiTheme="minorHAnsi" w:eastAsia="Calibri" w:hAnsiTheme="minorHAnsi" w:cstheme="minorHAnsi"/>
          <w:lang w:val="cs-CZ"/>
        </w:rPr>
        <w:t>zjištěných pochybení podrobněji popsaných v části III.</w:t>
      </w:r>
      <w:r w:rsidR="00CF0564">
        <w:rPr>
          <w:rFonts w:asciiTheme="minorHAnsi" w:eastAsia="Calibri" w:hAnsiTheme="minorHAnsi" w:cstheme="minorHAnsi"/>
          <w:lang w:val="cs-CZ"/>
        </w:rPr>
        <w:t xml:space="preserve"> Celková zjištěná nesprávnost činila za kontrolované období </w:t>
      </w:r>
      <w:r w:rsidR="008C7E8F">
        <w:rPr>
          <w:rFonts w:asciiTheme="minorHAnsi" w:eastAsia="Calibri" w:hAnsiTheme="minorHAnsi" w:cstheme="minorHAnsi"/>
          <w:lang w:val="cs-CZ"/>
        </w:rPr>
        <w:t>139 969</w:t>
      </w:r>
      <w:r w:rsidR="00B4031C">
        <w:rPr>
          <w:rFonts w:asciiTheme="minorHAnsi" w:eastAsia="Calibri" w:hAnsiTheme="minorHAnsi" w:cstheme="minorHAnsi"/>
          <w:lang w:val="cs-CZ"/>
        </w:rPr>
        <w:t> </w:t>
      </w:r>
      <w:r w:rsidR="008C7E8F">
        <w:rPr>
          <w:rFonts w:asciiTheme="minorHAnsi" w:eastAsia="Calibri" w:hAnsiTheme="minorHAnsi" w:cstheme="minorHAnsi"/>
          <w:lang w:val="cs-CZ"/>
        </w:rPr>
        <w:t>069</w:t>
      </w:r>
      <w:r w:rsidR="00B4031C">
        <w:rPr>
          <w:rFonts w:asciiTheme="minorHAnsi" w:eastAsia="Calibri" w:hAnsiTheme="minorHAnsi" w:cstheme="minorHAnsi"/>
          <w:lang w:val="cs-CZ"/>
        </w:rPr>
        <w:t> </w:t>
      </w:r>
      <w:r w:rsidR="00CF0564">
        <w:rPr>
          <w:rFonts w:asciiTheme="minorHAnsi" w:eastAsia="Calibri" w:hAnsiTheme="minorHAnsi" w:cstheme="minorHAnsi"/>
          <w:lang w:val="cs-CZ"/>
        </w:rPr>
        <w:t>Kč a byla zapříčiněna např. vykazováním majetku na nesprávných položkách rozvahy</w:t>
      </w:r>
      <w:r w:rsidR="00F16369">
        <w:rPr>
          <w:rFonts w:asciiTheme="minorHAnsi" w:eastAsia="Calibri" w:hAnsiTheme="minorHAnsi" w:cstheme="minorHAnsi"/>
          <w:lang w:val="cs-CZ"/>
        </w:rPr>
        <w:t xml:space="preserve"> a výkazu zisku a ztráty</w:t>
      </w:r>
      <w:r w:rsidR="00CF0564">
        <w:rPr>
          <w:rFonts w:asciiTheme="minorHAnsi" w:eastAsia="Calibri" w:hAnsiTheme="minorHAnsi" w:cstheme="minorHAnsi"/>
          <w:lang w:val="cs-CZ"/>
        </w:rPr>
        <w:t>, nesprávným odpisováním majetku, nevykázáním závazku z titulu zádržného ve výši 7 564 199 Kč aj.</w:t>
      </w:r>
    </w:p>
    <w:p w14:paraId="56CC5AF6" w14:textId="49535A84" w:rsidR="00334843" w:rsidRPr="00216DD4" w:rsidRDefault="00CF0564" w:rsidP="00F97037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eastAsia="Calibri" w:hAnsiTheme="minorHAnsi" w:cstheme="minorHAnsi"/>
          <w:lang w:val="cs-CZ"/>
        </w:rPr>
        <w:t>MZV p</w:t>
      </w:r>
      <w:r w:rsidR="00006215">
        <w:rPr>
          <w:rFonts w:asciiTheme="minorHAnsi" w:eastAsia="Calibri" w:hAnsiTheme="minorHAnsi" w:cstheme="minorHAnsi"/>
          <w:lang w:val="cs-CZ"/>
        </w:rPr>
        <w:t xml:space="preserve">ři </w:t>
      </w:r>
      <w:r>
        <w:rPr>
          <w:rFonts w:asciiTheme="minorHAnsi" w:eastAsia="Calibri" w:hAnsiTheme="minorHAnsi" w:cstheme="minorHAnsi"/>
          <w:lang w:val="cs-CZ"/>
        </w:rPr>
        <w:t>pronajímání</w:t>
      </w:r>
      <w:r w:rsidR="002C686D">
        <w:rPr>
          <w:rFonts w:asciiTheme="minorHAnsi" w:eastAsia="Calibri" w:hAnsiTheme="minorHAnsi" w:cstheme="minorHAnsi"/>
          <w:lang w:val="cs-CZ"/>
        </w:rPr>
        <w:t xml:space="preserve"> </w:t>
      </w:r>
      <w:r w:rsidR="00006215">
        <w:rPr>
          <w:rFonts w:asciiTheme="minorHAnsi" w:eastAsia="Calibri" w:hAnsiTheme="minorHAnsi" w:cstheme="minorHAnsi"/>
          <w:lang w:val="cs-CZ"/>
        </w:rPr>
        <w:t>majetk</w:t>
      </w:r>
      <w:r>
        <w:rPr>
          <w:rFonts w:asciiTheme="minorHAnsi" w:eastAsia="Calibri" w:hAnsiTheme="minorHAnsi" w:cstheme="minorHAnsi"/>
          <w:lang w:val="cs-CZ"/>
        </w:rPr>
        <w:t>u</w:t>
      </w:r>
      <w:r w:rsidR="00006215">
        <w:rPr>
          <w:rFonts w:asciiTheme="minorHAnsi" w:eastAsia="Calibri" w:hAnsiTheme="minorHAnsi" w:cstheme="minorHAnsi"/>
          <w:lang w:val="cs-CZ"/>
        </w:rPr>
        <w:t xml:space="preserve"> nepostupovalo </w:t>
      </w:r>
      <w:r>
        <w:rPr>
          <w:rFonts w:asciiTheme="minorHAnsi" w:eastAsia="Calibri" w:hAnsiTheme="minorHAnsi" w:cstheme="minorHAnsi"/>
          <w:lang w:val="cs-CZ"/>
        </w:rPr>
        <w:t xml:space="preserve">účelně a </w:t>
      </w:r>
      <w:r w:rsidR="00006215">
        <w:rPr>
          <w:rFonts w:asciiTheme="minorHAnsi" w:eastAsia="Calibri" w:hAnsiTheme="minorHAnsi" w:cstheme="minorHAnsi"/>
          <w:lang w:val="cs-CZ"/>
        </w:rPr>
        <w:t>hospodárně a</w:t>
      </w:r>
      <w:r w:rsidR="00006215" w:rsidRPr="00006215">
        <w:rPr>
          <w:rFonts w:asciiTheme="minorHAnsi" w:eastAsia="Calibri" w:hAnsiTheme="minorHAnsi" w:cstheme="minorHAnsi"/>
          <w:lang w:val="cs-CZ"/>
        </w:rPr>
        <w:t xml:space="preserve"> </w:t>
      </w:r>
      <w:r w:rsidR="002C686D" w:rsidRPr="002037DB">
        <w:rPr>
          <w:rFonts w:asciiTheme="minorHAnsi" w:eastAsia="Calibri" w:hAnsiTheme="minorHAnsi" w:cstheme="minorHAnsi"/>
          <w:lang w:val="cs-CZ"/>
        </w:rPr>
        <w:t xml:space="preserve">nevyužívalo </w:t>
      </w:r>
      <w:r w:rsidR="00006215" w:rsidRPr="002037DB">
        <w:rPr>
          <w:rFonts w:asciiTheme="minorHAnsi" w:eastAsia="Calibri" w:hAnsiTheme="minorHAnsi" w:cstheme="minorHAnsi"/>
          <w:lang w:val="cs-CZ"/>
        </w:rPr>
        <w:t>důsledně všechny právní prostředky při uplatňování a hájení práv státu jako vlastníka</w:t>
      </w:r>
      <w:r w:rsidR="00475E4E">
        <w:rPr>
          <w:rFonts w:asciiTheme="minorHAnsi" w:eastAsia="Calibri" w:hAnsiTheme="minorHAnsi" w:cstheme="minorHAnsi"/>
          <w:lang w:val="cs-CZ"/>
        </w:rPr>
        <w:t xml:space="preserve">, </w:t>
      </w:r>
      <w:r w:rsidR="00B4031C">
        <w:rPr>
          <w:rFonts w:asciiTheme="minorHAnsi" w:eastAsia="Calibri" w:hAnsiTheme="minorHAnsi" w:cstheme="minorHAnsi"/>
          <w:lang w:val="cs-CZ"/>
        </w:rPr>
        <w:t>neboť</w:t>
      </w:r>
      <w:r w:rsidR="00475E4E">
        <w:rPr>
          <w:rFonts w:asciiTheme="minorHAnsi" w:eastAsia="Calibri" w:hAnsiTheme="minorHAnsi" w:cstheme="minorHAnsi"/>
          <w:lang w:val="cs-CZ"/>
        </w:rPr>
        <w:t xml:space="preserve"> umožnilo</w:t>
      </w:r>
      <w:r w:rsidR="00475E4E" w:rsidRPr="008C7E8F">
        <w:rPr>
          <w:color w:val="0070C0"/>
          <w:lang w:val="cs-CZ"/>
        </w:rPr>
        <w:t xml:space="preserve"> </w:t>
      </w:r>
      <w:r w:rsidR="00475E4E" w:rsidRPr="0048230F">
        <w:rPr>
          <w:rFonts w:asciiTheme="minorHAnsi" w:hAnsiTheme="minorHAnsi" w:cstheme="minorHAnsi"/>
          <w:lang w:val="cs-CZ"/>
        </w:rPr>
        <w:t xml:space="preserve">bezúplatné užívání pozemku společnosti zabývající se podnikáním nebo neodůvodněně snižovalo výnos z pronájmu majetku tím, že nestanovilo správně výši nájemného. </w:t>
      </w:r>
      <w:r w:rsidR="00E6122D">
        <w:rPr>
          <w:rFonts w:asciiTheme="minorHAnsi" w:hAnsiTheme="minorHAnsi" w:cstheme="minorHAnsi"/>
          <w:lang w:val="cs-CZ"/>
        </w:rPr>
        <w:t>MZV tak nepostupovalo v souladu s příslušnými ustanoveními zákona č. 219/2000 Sb.</w:t>
      </w:r>
    </w:p>
    <w:p w14:paraId="78CA8441" w14:textId="2A60490D" w:rsidR="00A47EE0" w:rsidRPr="00473088" w:rsidRDefault="00B4031C" w:rsidP="00F97037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eastAsia="Calibri" w:hAnsiTheme="minorHAnsi" w:cstheme="minorHAnsi"/>
          <w:lang w:val="cs-CZ"/>
        </w:rPr>
        <w:t>Ministerstvo zahraničních věcí</w:t>
      </w:r>
      <w:r w:rsidR="006F3048" w:rsidRPr="00473088">
        <w:rPr>
          <w:rFonts w:asciiTheme="minorHAnsi" w:eastAsia="Calibri" w:hAnsiTheme="minorHAnsi" w:cstheme="minorHAnsi"/>
          <w:lang w:val="cs-CZ"/>
        </w:rPr>
        <w:t xml:space="preserve"> v roce 2013 při uzavření </w:t>
      </w:r>
      <w:r>
        <w:rPr>
          <w:rFonts w:asciiTheme="minorHAnsi" w:eastAsia="Calibri" w:hAnsiTheme="minorHAnsi" w:cstheme="minorHAnsi"/>
          <w:lang w:val="cs-CZ"/>
        </w:rPr>
        <w:t>s</w:t>
      </w:r>
      <w:r w:rsidR="006F3048" w:rsidRPr="00473088">
        <w:rPr>
          <w:rFonts w:asciiTheme="minorHAnsi" w:eastAsia="Calibri" w:hAnsiTheme="minorHAnsi" w:cstheme="minorHAnsi"/>
          <w:lang w:val="cs-CZ"/>
        </w:rPr>
        <w:t>mlouvy o poskytnutí služby předškolní péče o děti zaměstnanců MZV nepostupovalo v souladu</w:t>
      </w:r>
      <w:r w:rsidR="00AC598F">
        <w:rPr>
          <w:rFonts w:asciiTheme="minorHAnsi" w:eastAsia="Calibri" w:hAnsiTheme="minorHAnsi" w:cstheme="minorHAnsi"/>
          <w:lang w:val="cs-CZ"/>
        </w:rPr>
        <w:t xml:space="preserve"> s obecně závaznými </w:t>
      </w:r>
      <w:r w:rsidR="00AC598F">
        <w:rPr>
          <w:rFonts w:asciiTheme="minorHAnsi" w:eastAsia="Calibri" w:hAnsiTheme="minorHAnsi" w:cstheme="minorHAnsi"/>
          <w:lang w:val="cs-CZ"/>
        </w:rPr>
        <w:lastRenderedPageBreak/>
        <w:t>právními předpisy</w:t>
      </w:r>
      <w:r w:rsidR="006F3048" w:rsidRPr="00473088">
        <w:rPr>
          <w:rFonts w:asciiTheme="minorHAnsi" w:eastAsia="Calibri" w:hAnsiTheme="minorHAnsi" w:cstheme="minorHAnsi"/>
          <w:lang w:val="cs-CZ"/>
        </w:rPr>
        <w:t xml:space="preserve">. </w:t>
      </w:r>
      <w:r w:rsidR="00473088" w:rsidRPr="00473088">
        <w:rPr>
          <w:rFonts w:asciiTheme="minorHAnsi" w:eastAsia="Calibri" w:hAnsiTheme="minorHAnsi" w:cstheme="minorHAnsi"/>
          <w:lang w:val="cs-CZ"/>
        </w:rPr>
        <w:t xml:space="preserve">Na tuto službu vynaložilo MZV do konce roku 2015 částku </w:t>
      </w:r>
      <w:r w:rsidR="00523BF1">
        <w:rPr>
          <w:rFonts w:asciiTheme="minorHAnsi" w:eastAsia="Calibri" w:hAnsiTheme="minorHAnsi" w:cstheme="minorHAnsi"/>
          <w:lang w:val="cs-CZ"/>
        </w:rPr>
        <w:t xml:space="preserve">nejméně </w:t>
      </w:r>
      <w:r w:rsidR="00473088" w:rsidRPr="00473088">
        <w:rPr>
          <w:rFonts w:asciiTheme="minorHAnsi" w:eastAsia="Calibri" w:hAnsiTheme="minorHAnsi" w:cstheme="minorHAnsi"/>
          <w:lang w:val="cs-CZ"/>
        </w:rPr>
        <w:t>10</w:t>
      </w:r>
      <w:r w:rsidR="00577B6C">
        <w:rPr>
          <w:rFonts w:asciiTheme="minorHAnsi" w:eastAsia="Calibri" w:hAnsiTheme="minorHAnsi" w:cstheme="minorHAnsi"/>
          <w:lang w:val="cs-CZ"/>
        </w:rPr>
        <w:t> </w:t>
      </w:r>
      <w:r w:rsidR="00473088" w:rsidRPr="00473088">
        <w:rPr>
          <w:rFonts w:asciiTheme="minorHAnsi" w:eastAsia="Calibri" w:hAnsiTheme="minorHAnsi" w:cstheme="minorHAnsi"/>
          <w:lang w:val="cs-CZ"/>
        </w:rPr>
        <w:t>472 693</w:t>
      </w:r>
      <w:r w:rsidR="00577B6C">
        <w:rPr>
          <w:rFonts w:asciiTheme="minorHAnsi" w:eastAsia="Calibri" w:hAnsiTheme="minorHAnsi" w:cstheme="minorHAnsi"/>
          <w:lang w:val="cs-CZ"/>
        </w:rPr>
        <w:t> </w:t>
      </w:r>
      <w:r w:rsidR="00473088" w:rsidRPr="00473088">
        <w:rPr>
          <w:rFonts w:asciiTheme="minorHAnsi" w:eastAsia="Calibri" w:hAnsiTheme="minorHAnsi" w:cstheme="minorHAnsi"/>
          <w:lang w:val="cs-CZ"/>
        </w:rPr>
        <w:t>Kč, čímž se dle názoru NKÚ</w:t>
      </w:r>
      <w:r w:rsidR="006F3048" w:rsidRPr="00473088">
        <w:rPr>
          <w:rFonts w:asciiTheme="minorHAnsi" w:eastAsia="Calibri" w:hAnsiTheme="minorHAnsi" w:cstheme="minorHAnsi"/>
          <w:lang w:val="cs-CZ"/>
        </w:rPr>
        <w:t xml:space="preserve"> dopustilo porušení rozpočtové kázně dle zákona č. 218/2000 Sb.</w:t>
      </w:r>
    </w:p>
    <w:p w14:paraId="7187C9BC" w14:textId="368D1658" w:rsidR="00171641" w:rsidRPr="00171641" w:rsidRDefault="00F97037" w:rsidP="008420F8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color w:val="000000"/>
          <w:lang w:val="cs-CZ"/>
        </w:rPr>
      </w:pPr>
      <w:r w:rsidRPr="00171641">
        <w:rPr>
          <w:rFonts w:asciiTheme="minorHAnsi" w:hAnsiTheme="minorHAnsi" w:cstheme="minorHAnsi"/>
          <w:color w:val="000000"/>
          <w:lang w:val="cs-CZ"/>
        </w:rPr>
        <w:t xml:space="preserve">Česká republika </w:t>
      </w:r>
      <w:r w:rsidR="00577B6C" w:rsidRPr="00171641">
        <w:rPr>
          <w:rFonts w:asciiTheme="minorHAnsi" w:hAnsiTheme="minorHAnsi" w:cstheme="minorHAnsi"/>
          <w:color w:val="000000"/>
          <w:lang w:val="cs-CZ"/>
        </w:rPr>
        <w:t xml:space="preserve">měla </w:t>
      </w:r>
      <w:r w:rsidRPr="00171641">
        <w:rPr>
          <w:rFonts w:asciiTheme="minorHAnsi" w:hAnsiTheme="minorHAnsi" w:cstheme="minorHAnsi"/>
          <w:color w:val="000000"/>
          <w:lang w:val="cs-CZ"/>
        </w:rPr>
        <w:t xml:space="preserve">v roce 2012 v zahraničí 111 zastupitelských úřadů a </w:t>
      </w:r>
      <w:r w:rsidR="00F16369">
        <w:rPr>
          <w:rFonts w:asciiTheme="minorHAnsi" w:hAnsiTheme="minorHAnsi" w:cstheme="minorHAnsi"/>
          <w:color w:val="000000"/>
          <w:lang w:val="cs-CZ"/>
        </w:rPr>
        <w:t xml:space="preserve">v </w:t>
      </w:r>
      <w:r w:rsidRPr="00171641">
        <w:rPr>
          <w:rFonts w:asciiTheme="minorHAnsi" w:hAnsiTheme="minorHAnsi" w:cstheme="minorHAnsi"/>
          <w:color w:val="000000"/>
          <w:lang w:val="cs-CZ"/>
        </w:rPr>
        <w:t>letech 201</w:t>
      </w:r>
      <w:r w:rsidR="004E15D2">
        <w:rPr>
          <w:rFonts w:asciiTheme="minorHAnsi" w:hAnsiTheme="minorHAnsi" w:cstheme="minorHAnsi"/>
          <w:color w:val="000000"/>
          <w:lang w:val="cs-CZ"/>
        </w:rPr>
        <w:t>3</w:t>
      </w:r>
      <w:r w:rsidRPr="00171641">
        <w:rPr>
          <w:rFonts w:asciiTheme="minorHAnsi" w:hAnsiTheme="minorHAnsi" w:cstheme="minorHAnsi"/>
          <w:color w:val="000000"/>
          <w:lang w:val="cs-CZ"/>
        </w:rPr>
        <w:t xml:space="preserve"> a</w:t>
      </w:r>
      <w:r w:rsidR="00683B17">
        <w:rPr>
          <w:rFonts w:asciiTheme="minorHAnsi" w:hAnsiTheme="minorHAnsi" w:cstheme="minorHAnsi"/>
          <w:color w:val="000000"/>
          <w:lang w:val="cs-CZ"/>
        </w:rPr>
        <w:t> </w:t>
      </w:r>
      <w:r w:rsidRPr="00171641">
        <w:rPr>
          <w:rFonts w:asciiTheme="minorHAnsi" w:hAnsiTheme="minorHAnsi" w:cstheme="minorHAnsi"/>
          <w:color w:val="000000"/>
          <w:lang w:val="cs-CZ"/>
        </w:rPr>
        <w:t>201</w:t>
      </w:r>
      <w:r w:rsidR="004E15D2">
        <w:rPr>
          <w:rFonts w:asciiTheme="minorHAnsi" w:hAnsiTheme="minorHAnsi" w:cstheme="minorHAnsi"/>
          <w:color w:val="000000"/>
          <w:lang w:val="cs-CZ"/>
        </w:rPr>
        <w:t>4</w:t>
      </w:r>
      <w:r w:rsidRPr="00171641">
        <w:rPr>
          <w:rFonts w:asciiTheme="minorHAnsi" w:hAnsiTheme="minorHAnsi" w:cstheme="minorHAnsi"/>
          <w:color w:val="000000"/>
          <w:lang w:val="cs-CZ"/>
        </w:rPr>
        <w:t xml:space="preserve"> pak </w:t>
      </w:r>
      <w:r w:rsidR="00577B6C">
        <w:rPr>
          <w:rFonts w:asciiTheme="minorHAnsi" w:hAnsiTheme="minorHAnsi" w:cstheme="minorHAnsi"/>
          <w:color w:val="000000"/>
          <w:lang w:val="cs-CZ"/>
        </w:rPr>
        <w:t xml:space="preserve">celkem </w:t>
      </w:r>
      <w:r w:rsidRPr="00171641">
        <w:rPr>
          <w:rFonts w:asciiTheme="minorHAnsi" w:hAnsiTheme="minorHAnsi" w:cstheme="minorHAnsi"/>
          <w:color w:val="000000"/>
          <w:lang w:val="cs-CZ"/>
        </w:rPr>
        <w:t>115 zastupitelských úřadů.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171641">
        <w:rPr>
          <w:rFonts w:asciiTheme="minorHAnsi" w:hAnsiTheme="minorHAnsi" w:cstheme="minorHAnsi"/>
          <w:color w:val="000000"/>
          <w:lang w:val="cs-CZ"/>
        </w:rPr>
        <w:t>V</w:t>
      </w:r>
      <w:r w:rsidR="000F5C6C">
        <w:rPr>
          <w:rFonts w:asciiTheme="minorHAnsi" w:hAnsiTheme="minorHAnsi" w:cstheme="minorHAnsi"/>
          <w:color w:val="000000"/>
          <w:lang w:val="cs-CZ"/>
        </w:rPr>
        <w:t>ýdaje zastupitelských úřadů v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 xml:space="preserve"> roce </w:t>
      </w:r>
      <w:r w:rsidR="000F5C6C">
        <w:rPr>
          <w:rFonts w:asciiTheme="minorHAnsi" w:hAnsiTheme="minorHAnsi" w:cstheme="minorHAnsi"/>
          <w:color w:val="000000"/>
          <w:lang w:val="cs-CZ"/>
        </w:rPr>
        <w:t xml:space="preserve">2012 </w:t>
      </w:r>
      <w:r w:rsidR="000F5C6C" w:rsidRPr="00171641">
        <w:rPr>
          <w:rFonts w:asciiTheme="minorHAnsi" w:hAnsiTheme="minorHAnsi" w:cstheme="minorHAnsi"/>
          <w:color w:val="000000"/>
          <w:lang w:val="cs-CZ"/>
        </w:rPr>
        <w:t xml:space="preserve">tvořily </w:t>
      </w:r>
      <w:r w:rsidR="000F5C6C">
        <w:rPr>
          <w:rFonts w:asciiTheme="minorHAnsi" w:hAnsiTheme="minorHAnsi" w:cstheme="minorHAnsi"/>
          <w:color w:val="000000"/>
          <w:lang w:val="cs-CZ"/>
        </w:rPr>
        <w:t xml:space="preserve">53,7 % </w:t>
      </w:r>
      <w:r w:rsidR="000F5C6C" w:rsidRPr="00171641">
        <w:rPr>
          <w:rFonts w:asciiTheme="minorHAnsi" w:hAnsiTheme="minorHAnsi" w:cstheme="minorHAnsi"/>
          <w:color w:val="000000"/>
          <w:lang w:val="cs-CZ"/>
        </w:rPr>
        <w:t>všech výdajů OSS MZV</w:t>
      </w:r>
      <w:r w:rsidR="000F5C6C">
        <w:rPr>
          <w:rFonts w:asciiTheme="minorHAnsi" w:hAnsiTheme="minorHAnsi" w:cstheme="minorHAnsi"/>
          <w:color w:val="000000"/>
          <w:lang w:val="cs-CZ"/>
        </w:rPr>
        <w:t xml:space="preserve">, v 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>2013 tvořily 42,2 %</w:t>
      </w:r>
      <w:r w:rsidR="000F5C6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4"/>
      </w:r>
      <w:r w:rsidR="00171641" w:rsidRPr="0017164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0F5C6C">
        <w:rPr>
          <w:rFonts w:asciiTheme="minorHAnsi" w:hAnsiTheme="minorHAnsi" w:cstheme="minorHAnsi"/>
          <w:color w:val="000000"/>
          <w:lang w:val="cs-CZ"/>
        </w:rPr>
        <w:t>a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 xml:space="preserve"> v roce 2014 téměř 47</w:t>
      </w:r>
      <w:r w:rsidR="00683B17">
        <w:rPr>
          <w:rFonts w:asciiTheme="minorHAnsi" w:hAnsiTheme="minorHAnsi" w:cstheme="minorHAnsi"/>
          <w:color w:val="000000"/>
          <w:lang w:val="cs-CZ"/>
        </w:rPr>
        <w:t> 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>%</w:t>
      </w:r>
      <w:r w:rsidR="00523BF1">
        <w:rPr>
          <w:rFonts w:asciiTheme="minorHAnsi" w:hAnsiTheme="minorHAnsi" w:cstheme="minorHAnsi"/>
          <w:color w:val="000000"/>
          <w:lang w:val="cs-CZ"/>
        </w:rPr>
        <w:t xml:space="preserve"> (viz</w:t>
      </w:r>
      <w:r w:rsidR="00683B17">
        <w:rPr>
          <w:rFonts w:asciiTheme="minorHAnsi" w:hAnsiTheme="minorHAnsi" w:cstheme="minorHAnsi"/>
          <w:color w:val="000000"/>
          <w:lang w:val="cs-CZ"/>
        </w:rPr>
        <w:t> </w:t>
      </w:r>
      <w:r w:rsidR="00523BF1">
        <w:rPr>
          <w:rFonts w:asciiTheme="minorHAnsi" w:hAnsiTheme="minorHAnsi" w:cstheme="minorHAnsi"/>
          <w:color w:val="000000"/>
          <w:lang w:val="cs-CZ"/>
        </w:rPr>
        <w:t>tabulka č. 1)</w:t>
      </w:r>
      <w:r w:rsidR="000F5C6C">
        <w:rPr>
          <w:rFonts w:asciiTheme="minorHAnsi" w:hAnsiTheme="minorHAnsi" w:cstheme="minorHAnsi"/>
          <w:color w:val="000000"/>
          <w:lang w:val="cs-CZ"/>
        </w:rPr>
        <w:t>.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 xml:space="preserve"> Výrazně rostly např. výdaje na vzdělávání dětí zaměstnanců ZÚ, </w:t>
      </w:r>
      <w:r w:rsidR="00577B6C">
        <w:rPr>
          <w:rFonts w:asciiTheme="minorHAnsi" w:hAnsiTheme="minorHAnsi" w:cstheme="minorHAnsi"/>
          <w:color w:val="000000"/>
          <w:lang w:val="cs-CZ"/>
        </w:rPr>
        <w:t>tyto výdaje</w:t>
      </w:r>
      <w:r w:rsidR="0017164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>byly v roce 2015 v porovnání s rokem 2012 o 45 % vyšší, počet dětí se však navýšil o</w:t>
      </w:r>
      <w:r w:rsidR="00683B17">
        <w:rPr>
          <w:rFonts w:asciiTheme="minorHAnsi" w:hAnsiTheme="minorHAnsi" w:cstheme="minorHAnsi"/>
          <w:color w:val="000000"/>
          <w:lang w:val="cs-CZ"/>
        </w:rPr>
        <w:t> </w:t>
      </w:r>
      <w:r w:rsidR="00171641" w:rsidRPr="00171641">
        <w:rPr>
          <w:rFonts w:asciiTheme="minorHAnsi" w:hAnsiTheme="minorHAnsi" w:cstheme="minorHAnsi"/>
          <w:color w:val="000000"/>
          <w:lang w:val="cs-CZ"/>
        </w:rPr>
        <w:t>necelých 27 %.</w:t>
      </w:r>
    </w:p>
    <w:p w14:paraId="4FCD4525" w14:textId="77777777" w:rsidR="00332AEA" w:rsidRDefault="00332AEA" w:rsidP="00433677">
      <w:pPr>
        <w:jc w:val="both"/>
        <w:rPr>
          <w:rFonts w:asciiTheme="minorHAnsi" w:hAnsiTheme="minorHAnsi" w:cstheme="minorHAnsi"/>
          <w:color w:val="000000"/>
          <w:sz w:val="26"/>
          <w:szCs w:val="26"/>
          <w:lang w:val="cs-CZ"/>
        </w:rPr>
      </w:pPr>
    </w:p>
    <w:p w14:paraId="4075CC0A" w14:textId="77777777" w:rsidR="006F4DEA" w:rsidRDefault="006F4DEA" w:rsidP="00433677">
      <w:pPr>
        <w:jc w:val="both"/>
        <w:rPr>
          <w:rFonts w:asciiTheme="minorHAnsi" w:hAnsiTheme="minorHAnsi" w:cstheme="minorHAnsi"/>
          <w:color w:val="000000"/>
          <w:sz w:val="26"/>
          <w:szCs w:val="26"/>
          <w:lang w:val="cs-CZ"/>
        </w:rPr>
      </w:pPr>
    </w:p>
    <w:p w14:paraId="10E28E07" w14:textId="77777777" w:rsidR="00BC7D92" w:rsidRPr="006F4DEA" w:rsidRDefault="00BC7D92" w:rsidP="00433677">
      <w:pPr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6F4DEA">
        <w:rPr>
          <w:rFonts w:asciiTheme="minorHAnsi" w:hAnsiTheme="minorHAnsi" w:cstheme="minorHAnsi"/>
          <w:b/>
          <w:sz w:val="28"/>
          <w:szCs w:val="28"/>
          <w:lang w:val="cs-CZ"/>
        </w:rPr>
        <w:t xml:space="preserve">III. </w:t>
      </w:r>
      <w:r w:rsidR="008766D5" w:rsidRPr="006F4DEA">
        <w:rPr>
          <w:rFonts w:asciiTheme="minorHAnsi" w:hAnsiTheme="minorHAnsi" w:cstheme="minorHAnsi"/>
          <w:b/>
          <w:sz w:val="28"/>
          <w:szCs w:val="28"/>
          <w:lang w:val="cs-CZ"/>
        </w:rPr>
        <w:t>P</w:t>
      </w:r>
      <w:r w:rsidRPr="006F4DEA">
        <w:rPr>
          <w:rFonts w:asciiTheme="minorHAnsi" w:hAnsiTheme="minorHAnsi" w:cstheme="minorHAnsi"/>
          <w:b/>
          <w:sz w:val="28"/>
          <w:szCs w:val="28"/>
          <w:lang w:val="cs-CZ"/>
        </w:rPr>
        <w:t>odrobn</w:t>
      </w:r>
      <w:r w:rsidR="007223EE" w:rsidRPr="006F4DEA">
        <w:rPr>
          <w:rFonts w:asciiTheme="minorHAnsi" w:hAnsiTheme="minorHAnsi" w:cstheme="minorHAnsi"/>
          <w:b/>
          <w:sz w:val="28"/>
          <w:szCs w:val="28"/>
          <w:lang w:val="cs-CZ"/>
        </w:rPr>
        <w:t>ější</w:t>
      </w:r>
      <w:r w:rsidRPr="006F4DEA">
        <w:rPr>
          <w:rFonts w:asciiTheme="minorHAnsi" w:hAnsiTheme="minorHAnsi" w:cstheme="minorHAnsi"/>
          <w:b/>
          <w:sz w:val="28"/>
          <w:szCs w:val="28"/>
          <w:lang w:val="cs-CZ"/>
        </w:rPr>
        <w:t xml:space="preserve"> informace </w:t>
      </w:r>
      <w:r w:rsidR="008766D5" w:rsidRPr="006F4DEA">
        <w:rPr>
          <w:rFonts w:asciiTheme="minorHAnsi" w:hAnsiTheme="minorHAnsi" w:cstheme="minorHAnsi"/>
          <w:b/>
          <w:sz w:val="28"/>
          <w:szCs w:val="28"/>
          <w:lang w:val="cs-CZ"/>
        </w:rPr>
        <w:t xml:space="preserve">ke </w:t>
      </w:r>
      <w:r w:rsidRPr="006F4DEA">
        <w:rPr>
          <w:rFonts w:asciiTheme="minorHAnsi" w:hAnsiTheme="minorHAnsi" w:cstheme="minorHAnsi"/>
          <w:b/>
          <w:sz w:val="28"/>
          <w:szCs w:val="28"/>
          <w:lang w:val="cs-CZ"/>
        </w:rPr>
        <w:t>zjištěn</w:t>
      </w:r>
      <w:r w:rsidR="008766D5" w:rsidRPr="006F4DEA">
        <w:rPr>
          <w:rFonts w:asciiTheme="minorHAnsi" w:hAnsiTheme="minorHAnsi" w:cstheme="minorHAnsi"/>
          <w:b/>
          <w:sz w:val="28"/>
          <w:szCs w:val="28"/>
          <w:lang w:val="cs-CZ"/>
        </w:rPr>
        <w:t>ým</w:t>
      </w:r>
      <w:r w:rsidRPr="006F4DEA">
        <w:rPr>
          <w:rFonts w:asciiTheme="minorHAnsi" w:hAnsiTheme="minorHAnsi" w:cstheme="minorHAnsi"/>
          <w:b/>
          <w:sz w:val="28"/>
          <w:szCs w:val="28"/>
          <w:lang w:val="cs-CZ"/>
        </w:rPr>
        <w:t xml:space="preserve"> </w:t>
      </w:r>
      <w:r w:rsidR="008766D5" w:rsidRPr="006F4DEA">
        <w:rPr>
          <w:rFonts w:asciiTheme="minorHAnsi" w:hAnsiTheme="minorHAnsi" w:cstheme="minorHAnsi"/>
          <w:b/>
          <w:sz w:val="28"/>
          <w:szCs w:val="28"/>
          <w:lang w:val="cs-CZ"/>
        </w:rPr>
        <w:t>skutečnostem</w:t>
      </w:r>
      <w:r w:rsidRPr="006F4DEA">
        <w:rPr>
          <w:rFonts w:asciiTheme="minorHAnsi" w:hAnsiTheme="minorHAnsi" w:cstheme="minorHAnsi"/>
          <w:b/>
          <w:sz w:val="28"/>
          <w:szCs w:val="28"/>
          <w:lang w:val="cs-CZ"/>
        </w:rPr>
        <w:t xml:space="preserve"> </w:t>
      </w:r>
    </w:p>
    <w:p w14:paraId="5E6F54D1" w14:textId="77777777" w:rsidR="00332AEA" w:rsidRDefault="00332AEA" w:rsidP="00433677">
      <w:pPr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1015298D" w14:textId="038B0B8A" w:rsidR="004006A2" w:rsidRDefault="004006A2" w:rsidP="00F6579D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F23E41">
        <w:rPr>
          <w:rFonts w:asciiTheme="minorHAnsi" w:hAnsiTheme="minorHAnsi" w:cstheme="minorHAnsi"/>
          <w:color w:val="000000"/>
          <w:lang w:val="cs-CZ"/>
        </w:rPr>
        <w:t xml:space="preserve">Průměrný přepočtený evidenční počet zaměstnanců </w:t>
      </w:r>
      <w:r>
        <w:rPr>
          <w:rFonts w:asciiTheme="minorHAnsi" w:hAnsiTheme="minorHAnsi" w:cstheme="minorHAnsi"/>
          <w:color w:val="000000"/>
          <w:lang w:val="cs-CZ"/>
        </w:rPr>
        <w:t>MZV činil k 31. 12. 2012 celkem 1</w:t>
      </w:r>
      <w:r w:rsidR="008420F8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718</w:t>
      </w:r>
      <w:r w:rsidR="008420F8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zaměstnanců, k 31. 12. 2013 celkem 1 704 zaměstnanců a k 31. 12. 2014 celkem 1</w:t>
      </w:r>
      <w:r w:rsidR="00A8002B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731</w:t>
      </w:r>
      <w:r w:rsidR="00A8002B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 xml:space="preserve">zaměstnanců. 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Průměrný měsíční plat </w:t>
      </w:r>
      <w:r>
        <w:rPr>
          <w:rFonts w:asciiTheme="minorHAnsi" w:hAnsiTheme="minorHAnsi" w:cstheme="minorHAnsi"/>
          <w:color w:val="000000"/>
          <w:lang w:val="cs-CZ"/>
        </w:rPr>
        <w:t xml:space="preserve">zaměstnanců MZV 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v roce 2012 </w:t>
      </w:r>
      <w:r>
        <w:rPr>
          <w:rFonts w:asciiTheme="minorHAnsi" w:hAnsiTheme="minorHAnsi" w:cstheme="minorHAnsi"/>
          <w:color w:val="000000"/>
          <w:lang w:val="cs-CZ"/>
        </w:rPr>
        <w:t>činil 31 002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Kč, v</w:t>
      </w:r>
      <w:r w:rsidR="003B0F66">
        <w:rPr>
          <w:rFonts w:asciiTheme="minorHAnsi" w:hAnsiTheme="minorHAnsi" w:cstheme="minorHAnsi"/>
          <w:color w:val="000000"/>
          <w:lang w:val="cs-CZ"/>
        </w:rPr>
        <w:t> 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roce 2013 </w:t>
      </w:r>
      <w:r w:rsidR="00AC598F">
        <w:rPr>
          <w:rFonts w:asciiTheme="minorHAnsi" w:hAnsiTheme="minorHAnsi" w:cstheme="minorHAnsi"/>
          <w:color w:val="000000"/>
          <w:lang w:val="cs-CZ"/>
        </w:rPr>
        <w:t xml:space="preserve">dosahoval </w:t>
      </w:r>
      <w:r w:rsidR="003B0F66">
        <w:rPr>
          <w:rFonts w:asciiTheme="minorHAnsi" w:hAnsiTheme="minorHAnsi" w:cstheme="minorHAnsi"/>
          <w:color w:val="000000"/>
          <w:lang w:val="cs-CZ"/>
        </w:rPr>
        <w:t>výše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31 468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Kč a v roce 2014 </w:t>
      </w:r>
      <w:r w:rsidR="003B0F66">
        <w:rPr>
          <w:rFonts w:asciiTheme="minorHAnsi" w:hAnsiTheme="minorHAnsi" w:cstheme="minorHAnsi"/>
          <w:color w:val="000000"/>
          <w:lang w:val="cs-CZ"/>
        </w:rPr>
        <w:t>vzrostl</w:t>
      </w:r>
      <w:r>
        <w:rPr>
          <w:rFonts w:asciiTheme="minorHAnsi" w:hAnsiTheme="minorHAnsi" w:cstheme="minorHAnsi"/>
          <w:color w:val="000000"/>
          <w:lang w:val="cs-CZ"/>
        </w:rPr>
        <w:t xml:space="preserve"> na 32 046 Kč. </w:t>
      </w:r>
    </w:p>
    <w:p w14:paraId="31E27F06" w14:textId="0DE7F09E" w:rsidR="004006A2" w:rsidRDefault="004006A2" w:rsidP="00F6579D">
      <w:pPr>
        <w:spacing w:after="120"/>
        <w:jc w:val="both"/>
        <w:rPr>
          <w:rFonts w:asciiTheme="minorHAnsi" w:hAnsiTheme="minorHAnsi" w:cstheme="minorHAnsi"/>
          <w:color w:val="000000"/>
          <w:spacing w:val="-2"/>
          <w:lang w:val="cs-CZ"/>
        </w:rPr>
      </w:pPr>
      <w:r w:rsidRPr="004B3118">
        <w:rPr>
          <w:rFonts w:asciiTheme="minorHAnsi" w:hAnsiTheme="minorHAnsi" w:cstheme="minorHAnsi"/>
          <w:color w:val="000000"/>
          <w:lang w:val="cs-CZ"/>
        </w:rPr>
        <w:t xml:space="preserve">Hodnota kontrolovaného majetku </w:t>
      </w:r>
      <w:r>
        <w:rPr>
          <w:rFonts w:asciiTheme="minorHAnsi" w:hAnsiTheme="minorHAnsi" w:cstheme="minorHAnsi"/>
          <w:color w:val="000000"/>
          <w:lang w:val="cs-CZ"/>
        </w:rPr>
        <w:t>činila 752 514 713</w:t>
      </w:r>
      <w:r w:rsidRPr="004B3118">
        <w:rPr>
          <w:rFonts w:asciiTheme="minorHAnsi" w:hAnsiTheme="minorHAnsi" w:cstheme="minorHAnsi"/>
          <w:color w:val="000000"/>
          <w:lang w:val="cs-CZ"/>
        </w:rPr>
        <w:t xml:space="preserve"> Kč </w:t>
      </w:r>
      <w:r w:rsidR="003B0F66">
        <w:rPr>
          <w:rFonts w:asciiTheme="minorHAnsi" w:hAnsiTheme="minorHAnsi" w:cstheme="minorHAnsi"/>
          <w:color w:val="000000"/>
          <w:lang w:val="cs-CZ"/>
        </w:rPr>
        <w:t xml:space="preserve">a </w:t>
      </w:r>
      <w:r w:rsidR="003B0F66">
        <w:rPr>
          <w:rFonts w:asciiTheme="minorHAnsi" w:hAnsiTheme="minorHAnsi" w:cstheme="minorHAnsi"/>
          <w:color w:val="000000"/>
          <w:spacing w:val="-2"/>
          <w:lang w:val="cs-CZ"/>
        </w:rPr>
        <w:t>o</w:t>
      </w:r>
      <w:r w:rsidRPr="004B3118">
        <w:rPr>
          <w:rFonts w:asciiTheme="minorHAnsi" w:hAnsiTheme="minorHAnsi" w:cstheme="minorHAnsi"/>
          <w:color w:val="000000"/>
          <w:spacing w:val="-2"/>
          <w:lang w:val="cs-CZ"/>
        </w:rPr>
        <w:t xml:space="preserve">bjem kontrolovaných finančních prostředků </w:t>
      </w:r>
      <w:r>
        <w:rPr>
          <w:rFonts w:asciiTheme="minorHAnsi" w:hAnsiTheme="minorHAnsi" w:cstheme="minorHAnsi"/>
          <w:color w:val="000000"/>
          <w:spacing w:val="-2"/>
          <w:lang w:val="cs-CZ"/>
        </w:rPr>
        <w:t>činil 349 393 120</w:t>
      </w:r>
      <w:r w:rsidRPr="004B3118">
        <w:rPr>
          <w:rFonts w:asciiTheme="minorHAnsi" w:hAnsiTheme="minorHAnsi" w:cstheme="minorHAnsi"/>
          <w:color w:val="000000"/>
          <w:spacing w:val="-2"/>
          <w:lang w:val="cs-CZ"/>
        </w:rPr>
        <w:t xml:space="preserve"> Kč.</w:t>
      </w:r>
    </w:p>
    <w:p w14:paraId="592FCC77" w14:textId="6788F663" w:rsidR="002A61C4" w:rsidRDefault="00FD5F25" w:rsidP="00143E55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Vybrané výdaje kapitoly 306 – MZV jsou uvedeny v tabulce č. 1.</w:t>
      </w:r>
    </w:p>
    <w:p w14:paraId="56A31485" w14:textId="77777777" w:rsidR="00FD5F25" w:rsidRDefault="00FD5F25" w:rsidP="008420F8">
      <w:pPr>
        <w:rPr>
          <w:rFonts w:asciiTheme="minorHAnsi" w:hAnsiTheme="minorHAnsi" w:cstheme="minorHAnsi"/>
          <w:lang w:val="cs-CZ"/>
        </w:rPr>
      </w:pPr>
    </w:p>
    <w:p w14:paraId="19C3CF6B" w14:textId="1345B808" w:rsidR="002A61C4" w:rsidRPr="000101A4" w:rsidRDefault="002A61C4" w:rsidP="000C74F5">
      <w:pPr>
        <w:tabs>
          <w:tab w:val="right" w:pos="9070"/>
        </w:tabs>
        <w:rPr>
          <w:rFonts w:asciiTheme="minorHAnsi" w:hAnsiTheme="minorHAnsi" w:cstheme="minorHAnsi"/>
          <w:b/>
          <w:lang w:val="cs-CZ"/>
        </w:rPr>
      </w:pPr>
      <w:r w:rsidRPr="007C29E9">
        <w:rPr>
          <w:rFonts w:asciiTheme="minorHAnsi" w:hAnsiTheme="minorHAnsi" w:cstheme="minorHAnsi"/>
          <w:b/>
          <w:lang w:val="cs-CZ" w:eastAsia="cs-CZ"/>
        </w:rPr>
        <w:t>Tabulka č. 1</w:t>
      </w:r>
      <w:r w:rsidR="007C29E9">
        <w:rPr>
          <w:rFonts w:asciiTheme="minorHAnsi" w:hAnsiTheme="minorHAnsi" w:cstheme="minorHAnsi"/>
          <w:b/>
          <w:lang w:val="cs-CZ" w:eastAsia="cs-CZ"/>
        </w:rPr>
        <w:t xml:space="preserve"> –</w:t>
      </w:r>
      <w:r w:rsidRPr="007C29E9">
        <w:rPr>
          <w:rFonts w:asciiTheme="minorHAnsi" w:hAnsiTheme="minorHAnsi" w:cstheme="minorHAnsi"/>
          <w:b/>
          <w:lang w:val="cs-CZ" w:eastAsia="cs-CZ"/>
        </w:rPr>
        <w:t xml:space="preserve"> Vybrané výdaje v letech 2012</w:t>
      </w:r>
      <w:r w:rsidR="000101A4">
        <w:rPr>
          <w:rFonts w:asciiTheme="minorHAnsi" w:hAnsiTheme="minorHAnsi" w:cstheme="minorHAnsi"/>
          <w:b/>
          <w:lang w:val="cs-CZ" w:eastAsia="cs-CZ"/>
        </w:rPr>
        <w:t>–</w:t>
      </w:r>
      <w:r w:rsidR="000C74F5">
        <w:rPr>
          <w:rFonts w:asciiTheme="minorHAnsi" w:hAnsiTheme="minorHAnsi" w:cstheme="minorHAnsi"/>
          <w:b/>
          <w:lang w:val="cs-CZ" w:eastAsia="cs-CZ"/>
        </w:rPr>
        <w:t>2014</w:t>
      </w:r>
      <w:r w:rsidR="000101A4">
        <w:rPr>
          <w:rFonts w:asciiTheme="minorHAnsi" w:hAnsiTheme="minorHAnsi" w:cstheme="minorHAnsi"/>
          <w:b/>
          <w:lang w:val="cs-CZ" w:eastAsia="cs-CZ"/>
        </w:rPr>
        <w:t xml:space="preserve"> </w:t>
      </w:r>
      <w:r w:rsidR="000C74F5">
        <w:rPr>
          <w:rFonts w:asciiTheme="minorHAnsi" w:hAnsiTheme="minorHAnsi" w:cstheme="minorHAnsi"/>
          <w:b/>
          <w:lang w:val="cs-CZ" w:eastAsia="cs-CZ"/>
        </w:rPr>
        <w:tab/>
      </w:r>
      <w:r w:rsidRPr="000101A4">
        <w:rPr>
          <w:rFonts w:asciiTheme="minorHAnsi" w:hAnsiTheme="minorHAnsi" w:cstheme="minorHAnsi"/>
          <w:b/>
          <w:lang w:val="cs-CZ" w:eastAsia="cs-CZ"/>
        </w:rPr>
        <w:t>(v mil. Kč)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1276"/>
        <w:gridCol w:w="1276"/>
        <w:gridCol w:w="1270"/>
      </w:tblGrid>
      <w:tr w:rsidR="002A61C4" w:rsidRPr="000C74F5" w14:paraId="44C66EB6" w14:textId="77777777" w:rsidTr="00635844">
        <w:trPr>
          <w:trHeight w:val="227"/>
        </w:trPr>
        <w:tc>
          <w:tcPr>
            <w:tcW w:w="5238" w:type="dxa"/>
            <w:vMerge w:val="restart"/>
            <w:shd w:val="clear" w:color="auto" w:fill="D5DCE4" w:themeFill="text2" w:themeFillTint="33"/>
            <w:vAlign w:val="center"/>
          </w:tcPr>
          <w:p w14:paraId="07F8FBB7" w14:textId="77777777" w:rsidR="002A61C4" w:rsidRPr="003631FA" w:rsidRDefault="002A61C4" w:rsidP="0063584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Výdaje </w:t>
            </w:r>
          </w:p>
        </w:tc>
        <w:tc>
          <w:tcPr>
            <w:tcW w:w="3822" w:type="dxa"/>
            <w:gridSpan w:val="3"/>
            <w:shd w:val="clear" w:color="auto" w:fill="D5DCE4" w:themeFill="text2" w:themeFillTint="33"/>
            <w:vAlign w:val="center"/>
          </w:tcPr>
          <w:p w14:paraId="75DD45AA" w14:textId="77777777" w:rsidR="002A61C4" w:rsidRPr="003631FA" w:rsidRDefault="002A61C4" w:rsidP="006358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Rok</w:t>
            </w:r>
          </w:p>
        </w:tc>
      </w:tr>
      <w:tr w:rsidR="002A61C4" w:rsidRPr="000C74F5" w14:paraId="2F147825" w14:textId="77777777" w:rsidTr="00635844">
        <w:trPr>
          <w:trHeight w:val="227"/>
        </w:trPr>
        <w:tc>
          <w:tcPr>
            <w:tcW w:w="5238" w:type="dxa"/>
            <w:vMerge/>
            <w:shd w:val="clear" w:color="auto" w:fill="D5DCE4" w:themeFill="text2" w:themeFillTint="33"/>
          </w:tcPr>
          <w:p w14:paraId="0B9221F3" w14:textId="77777777" w:rsidR="002A61C4" w:rsidRPr="003631FA" w:rsidRDefault="002A61C4" w:rsidP="0063584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002D14FD" w14:textId="77777777" w:rsidR="002A61C4" w:rsidRPr="003631FA" w:rsidRDefault="002A61C4" w:rsidP="006358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C8AD9BE" w14:textId="77777777" w:rsidR="002A61C4" w:rsidRPr="003631FA" w:rsidRDefault="002A61C4" w:rsidP="006358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1270" w:type="dxa"/>
            <w:shd w:val="clear" w:color="auto" w:fill="DEEAF6" w:themeFill="accent1" w:themeFillTint="33"/>
            <w:vAlign w:val="center"/>
          </w:tcPr>
          <w:p w14:paraId="55D031D4" w14:textId="77777777" w:rsidR="002A61C4" w:rsidRPr="003631FA" w:rsidRDefault="002A61C4" w:rsidP="0063584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cs-CZ" w:eastAsia="cs-CZ"/>
              </w:rPr>
              <w:t>2014</w:t>
            </w:r>
          </w:p>
        </w:tc>
      </w:tr>
      <w:tr w:rsidR="002A61C4" w:rsidRPr="000C74F5" w14:paraId="3DD57F7B" w14:textId="77777777" w:rsidTr="00635844">
        <w:trPr>
          <w:trHeight w:val="227"/>
        </w:trPr>
        <w:tc>
          <w:tcPr>
            <w:tcW w:w="5238" w:type="dxa"/>
          </w:tcPr>
          <w:p w14:paraId="3F51ED05" w14:textId="77777777" w:rsidR="002A61C4" w:rsidRPr="003631FA" w:rsidRDefault="002A61C4" w:rsidP="000C74F5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631F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Výdaje kapitoly 306 – MZV </w:t>
            </w:r>
          </w:p>
        </w:tc>
        <w:tc>
          <w:tcPr>
            <w:tcW w:w="1276" w:type="dxa"/>
            <w:vAlign w:val="center"/>
          </w:tcPr>
          <w:p w14:paraId="44FEC0E4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631F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5 756,94</w:t>
            </w:r>
          </w:p>
        </w:tc>
        <w:tc>
          <w:tcPr>
            <w:tcW w:w="1276" w:type="dxa"/>
            <w:vAlign w:val="center"/>
          </w:tcPr>
          <w:p w14:paraId="7C3AD021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631F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6 156,40</w:t>
            </w:r>
          </w:p>
        </w:tc>
        <w:tc>
          <w:tcPr>
            <w:tcW w:w="1270" w:type="dxa"/>
            <w:vAlign w:val="center"/>
          </w:tcPr>
          <w:p w14:paraId="774F7201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3631F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6 030,23</w:t>
            </w:r>
          </w:p>
        </w:tc>
      </w:tr>
      <w:tr w:rsidR="002A61C4" w:rsidRPr="003631FA" w14:paraId="115887F2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428879E9" w14:textId="74821D8E" w:rsidR="002A61C4" w:rsidRPr="00F6579D" w:rsidRDefault="00983462" w:rsidP="00983462">
            <w:pPr>
              <w:ind w:firstLine="171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z</w:t>
            </w:r>
            <w:r w:rsidR="002A61C4"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to</w:t>
            </w: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ho</w:t>
            </w:r>
            <w:r w:rsidR="002A61C4"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: </w:t>
            </w: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v</w:t>
            </w:r>
            <w:r w:rsidR="002A61C4"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ýdaje OSS MZV </w:t>
            </w:r>
          </w:p>
        </w:tc>
        <w:tc>
          <w:tcPr>
            <w:tcW w:w="1276" w:type="dxa"/>
            <w:vAlign w:val="center"/>
          </w:tcPr>
          <w:p w14:paraId="08B9AC86" w14:textId="77777777" w:rsidR="002A61C4" w:rsidRPr="00F6579D" w:rsidRDefault="002A61C4" w:rsidP="006358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5 352,02</w:t>
            </w:r>
          </w:p>
        </w:tc>
        <w:tc>
          <w:tcPr>
            <w:tcW w:w="1276" w:type="dxa"/>
            <w:vAlign w:val="center"/>
          </w:tcPr>
          <w:p w14:paraId="561C5217" w14:textId="77777777" w:rsidR="002A61C4" w:rsidRPr="00F6579D" w:rsidRDefault="002A61C4" w:rsidP="006358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5 766,65</w:t>
            </w:r>
          </w:p>
        </w:tc>
        <w:tc>
          <w:tcPr>
            <w:tcW w:w="1270" w:type="dxa"/>
            <w:vAlign w:val="center"/>
          </w:tcPr>
          <w:p w14:paraId="17862C27" w14:textId="77777777" w:rsidR="002A61C4" w:rsidRPr="00F6579D" w:rsidRDefault="002A61C4" w:rsidP="0063584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5 632,02</w:t>
            </w:r>
          </w:p>
        </w:tc>
      </w:tr>
      <w:tr w:rsidR="002A61C4" w:rsidRPr="003631FA" w14:paraId="76B085FC" w14:textId="77777777" w:rsidTr="00635844">
        <w:trPr>
          <w:trHeight w:val="227"/>
        </w:trPr>
        <w:tc>
          <w:tcPr>
            <w:tcW w:w="9060" w:type="dxa"/>
            <w:gridSpan w:val="4"/>
            <w:vAlign w:val="center"/>
          </w:tcPr>
          <w:p w14:paraId="0C641619" w14:textId="35BB552C" w:rsidR="002A61C4" w:rsidRPr="00F6579D" w:rsidRDefault="00983462" w:rsidP="00983462">
            <w:pPr>
              <w:ind w:firstLine="313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</w:pP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v</w:t>
            </w:r>
            <w:r w:rsidR="002A61C4"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 xml:space="preserve"> to</w:t>
            </w:r>
            <w:r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m</w:t>
            </w:r>
            <w:r w:rsidR="002A61C4" w:rsidRPr="00F6579D">
              <w:rPr>
                <w:rFonts w:asciiTheme="minorHAnsi" w:hAnsiTheme="minorHAnsi" w:cstheme="minorHAnsi"/>
                <w:color w:val="000000"/>
                <w:sz w:val="20"/>
                <w:szCs w:val="20"/>
                <w:lang w:val="cs-CZ" w:eastAsia="cs-CZ"/>
              </w:rPr>
              <w:t>:</w:t>
            </w:r>
          </w:p>
        </w:tc>
      </w:tr>
      <w:tr w:rsidR="002A61C4" w:rsidRPr="003631FA" w14:paraId="72145685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6D110AA2" w14:textId="6EBF3C44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z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astupitelství a stálé mise ČR v</w:t>
            </w:r>
            <w:r w:rsidR="002A61C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 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zahraničí</w:t>
            </w:r>
            <w:r w:rsidR="002A61C4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1D1CCE2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2 875,41</w:t>
            </w:r>
          </w:p>
        </w:tc>
        <w:tc>
          <w:tcPr>
            <w:tcW w:w="1276" w:type="dxa"/>
            <w:vAlign w:val="center"/>
          </w:tcPr>
          <w:p w14:paraId="28ADC076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2 436,32</w:t>
            </w:r>
          </w:p>
        </w:tc>
        <w:tc>
          <w:tcPr>
            <w:tcW w:w="1270" w:type="dxa"/>
            <w:vAlign w:val="center"/>
          </w:tcPr>
          <w:p w14:paraId="2CBD37D9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2 638,82</w:t>
            </w:r>
          </w:p>
        </w:tc>
      </w:tr>
      <w:tr w:rsidR="002A61C4" w:rsidRPr="003631FA" w14:paraId="4DA0038E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11483297" w14:textId="39780141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z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 xml:space="preserve">ahraniční pomoc a mezinárodní spolupráce </w:t>
            </w:r>
          </w:p>
          <w:p w14:paraId="19C99184" w14:textId="77777777" w:rsidR="002A61C4" w:rsidRPr="003631FA" w:rsidRDefault="002A61C4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(jinde nezařazená)</w:t>
            </w:r>
          </w:p>
        </w:tc>
        <w:tc>
          <w:tcPr>
            <w:tcW w:w="1276" w:type="dxa"/>
            <w:vAlign w:val="center"/>
          </w:tcPr>
          <w:p w14:paraId="64E03371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1 658,99</w:t>
            </w:r>
          </w:p>
        </w:tc>
        <w:tc>
          <w:tcPr>
            <w:tcW w:w="1276" w:type="dxa"/>
            <w:vAlign w:val="center"/>
          </w:tcPr>
          <w:p w14:paraId="082262A0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2 034,60</w:t>
            </w:r>
          </w:p>
        </w:tc>
        <w:tc>
          <w:tcPr>
            <w:tcW w:w="1270" w:type="dxa"/>
            <w:vAlign w:val="center"/>
          </w:tcPr>
          <w:p w14:paraId="2A2E4F2C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1 603,55</w:t>
            </w:r>
          </w:p>
        </w:tc>
      </w:tr>
      <w:tr w:rsidR="002A61C4" w:rsidRPr="003631FA" w14:paraId="5EB6F5F5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0EB53DC0" w14:textId="4BD4DA87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č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innost ústředního orgánu státní správy v zahraniční službě</w:t>
            </w:r>
          </w:p>
        </w:tc>
        <w:tc>
          <w:tcPr>
            <w:tcW w:w="1276" w:type="dxa"/>
            <w:vAlign w:val="center"/>
          </w:tcPr>
          <w:p w14:paraId="5A0E9616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698,77</w:t>
            </w:r>
          </w:p>
        </w:tc>
        <w:tc>
          <w:tcPr>
            <w:tcW w:w="1276" w:type="dxa"/>
            <w:vAlign w:val="center"/>
          </w:tcPr>
          <w:p w14:paraId="7CA0B1B1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1 176,51</w:t>
            </w:r>
          </w:p>
        </w:tc>
        <w:tc>
          <w:tcPr>
            <w:tcW w:w="1270" w:type="dxa"/>
            <w:vAlign w:val="center"/>
          </w:tcPr>
          <w:p w14:paraId="3BCDBC20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1 201,69</w:t>
            </w:r>
          </w:p>
        </w:tc>
      </w:tr>
      <w:tr w:rsidR="002A61C4" w:rsidRPr="003631FA" w14:paraId="33E692A3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2C06AC25" w14:textId="3FD0448F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z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ahraniční služba a záležitosti jinde nezařazené</w:t>
            </w:r>
          </w:p>
        </w:tc>
        <w:tc>
          <w:tcPr>
            <w:tcW w:w="1276" w:type="dxa"/>
            <w:vAlign w:val="center"/>
          </w:tcPr>
          <w:p w14:paraId="1706CFC0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87,19</w:t>
            </w:r>
          </w:p>
        </w:tc>
        <w:tc>
          <w:tcPr>
            <w:tcW w:w="1276" w:type="dxa"/>
            <w:vAlign w:val="center"/>
          </w:tcPr>
          <w:p w14:paraId="7B5CB716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89,94</w:t>
            </w:r>
          </w:p>
        </w:tc>
        <w:tc>
          <w:tcPr>
            <w:tcW w:w="1270" w:type="dxa"/>
            <w:vAlign w:val="center"/>
          </w:tcPr>
          <w:p w14:paraId="2EE8CBFE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159,84</w:t>
            </w:r>
          </w:p>
        </w:tc>
      </w:tr>
      <w:tr w:rsidR="002A61C4" w:rsidRPr="003631FA" w14:paraId="44F768FF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2F943602" w14:textId="33E301C9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s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lužby pro obyvatelstvo</w:t>
            </w:r>
          </w:p>
        </w:tc>
        <w:tc>
          <w:tcPr>
            <w:tcW w:w="1276" w:type="dxa"/>
            <w:vAlign w:val="center"/>
          </w:tcPr>
          <w:p w14:paraId="63E8A671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30,00</w:t>
            </w:r>
          </w:p>
        </w:tc>
        <w:tc>
          <w:tcPr>
            <w:tcW w:w="1276" w:type="dxa"/>
            <w:vAlign w:val="center"/>
          </w:tcPr>
          <w:p w14:paraId="6F463456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25,00</w:t>
            </w:r>
          </w:p>
        </w:tc>
        <w:tc>
          <w:tcPr>
            <w:tcW w:w="1270" w:type="dxa"/>
            <w:vAlign w:val="center"/>
          </w:tcPr>
          <w:p w14:paraId="7352A7AC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27,00</w:t>
            </w:r>
          </w:p>
        </w:tc>
      </w:tr>
      <w:tr w:rsidR="002A61C4" w:rsidRPr="003631FA" w14:paraId="1BDADB0A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6283CDAF" w14:textId="26C83BB6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b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ezpečnost státu a právní ochrana</w:t>
            </w:r>
          </w:p>
        </w:tc>
        <w:tc>
          <w:tcPr>
            <w:tcW w:w="1276" w:type="dxa"/>
            <w:vAlign w:val="center"/>
          </w:tcPr>
          <w:p w14:paraId="7576A49D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1,44</w:t>
            </w:r>
          </w:p>
        </w:tc>
        <w:tc>
          <w:tcPr>
            <w:tcW w:w="1276" w:type="dxa"/>
            <w:vAlign w:val="center"/>
          </w:tcPr>
          <w:p w14:paraId="63960668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1,44</w:t>
            </w:r>
          </w:p>
        </w:tc>
        <w:tc>
          <w:tcPr>
            <w:tcW w:w="1270" w:type="dxa"/>
            <w:vAlign w:val="center"/>
          </w:tcPr>
          <w:p w14:paraId="0D80A8DD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1,12</w:t>
            </w:r>
          </w:p>
        </w:tc>
      </w:tr>
      <w:tr w:rsidR="002A61C4" w:rsidRPr="003631FA" w14:paraId="333733F1" w14:textId="77777777" w:rsidTr="00635844">
        <w:trPr>
          <w:trHeight w:val="227"/>
        </w:trPr>
        <w:tc>
          <w:tcPr>
            <w:tcW w:w="5238" w:type="dxa"/>
            <w:vAlign w:val="center"/>
          </w:tcPr>
          <w:p w14:paraId="3611BD50" w14:textId="6AA777BA" w:rsidR="002A61C4" w:rsidRPr="003631FA" w:rsidRDefault="00983462" w:rsidP="00635844">
            <w:pPr>
              <w:ind w:left="31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z</w:t>
            </w:r>
            <w:r w:rsidR="002A61C4" w:rsidRPr="003631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val="cs-CZ" w:eastAsia="cs-CZ"/>
              </w:rPr>
              <w:t>astupitelské orgány a volby</w:t>
            </w:r>
          </w:p>
        </w:tc>
        <w:tc>
          <w:tcPr>
            <w:tcW w:w="1276" w:type="dxa"/>
            <w:vAlign w:val="center"/>
          </w:tcPr>
          <w:p w14:paraId="6198861E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0,22</w:t>
            </w:r>
          </w:p>
        </w:tc>
        <w:tc>
          <w:tcPr>
            <w:tcW w:w="1276" w:type="dxa"/>
            <w:vAlign w:val="center"/>
          </w:tcPr>
          <w:p w14:paraId="335E27DB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2,84</w:t>
            </w:r>
          </w:p>
        </w:tc>
        <w:tc>
          <w:tcPr>
            <w:tcW w:w="1270" w:type="dxa"/>
            <w:vAlign w:val="center"/>
          </w:tcPr>
          <w:p w14:paraId="3E2BD92C" w14:textId="77777777" w:rsidR="002A61C4" w:rsidRPr="003631FA" w:rsidRDefault="002A61C4" w:rsidP="00635844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</w:pPr>
            <w:r w:rsidRPr="003631FA">
              <w:rPr>
                <w:rFonts w:asciiTheme="minorHAnsi" w:hAnsiTheme="minorHAnsi" w:cstheme="minorHAnsi"/>
                <w:i/>
                <w:sz w:val="20"/>
                <w:szCs w:val="20"/>
                <w:lang w:val="cs-CZ" w:eastAsia="cs-CZ"/>
              </w:rPr>
              <w:t>0,00</w:t>
            </w:r>
          </w:p>
        </w:tc>
      </w:tr>
    </w:tbl>
    <w:p w14:paraId="67D07EEA" w14:textId="24A84F88" w:rsidR="002A61C4" w:rsidRPr="00485CA8" w:rsidRDefault="002A61C4" w:rsidP="002A61C4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  <w:r w:rsidRPr="004026DF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Zdroj: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</w:t>
      </w:r>
      <w:r w:rsidR="00983462">
        <w:rPr>
          <w:rFonts w:asciiTheme="minorHAnsi" w:hAnsiTheme="minorHAnsi" w:cstheme="minorHAnsi"/>
          <w:color w:val="000000"/>
          <w:sz w:val="20"/>
          <w:szCs w:val="20"/>
          <w:lang w:val="cs-CZ"/>
        </w:rPr>
        <w:t>z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ávěrečn</w:t>
      </w:r>
      <w:r w:rsidR="00983462">
        <w:rPr>
          <w:rFonts w:asciiTheme="minorHAnsi" w:hAnsiTheme="minorHAnsi" w:cstheme="minorHAnsi"/>
          <w:color w:val="000000"/>
          <w:sz w:val="20"/>
          <w:szCs w:val="20"/>
          <w:lang w:val="cs-CZ"/>
        </w:rPr>
        <w:t>é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účt</w:t>
      </w:r>
      <w:r w:rsidR="00983462">
        <w:rPr>
          <w:rFonts w:asciiTheme="minorHAnsi" w:hAnsiTheme="minorHAnsi" w:cstheme="minorHAnsi"/>
          <w:color w:val="000000"/>
          <w:sz w:val="20"/>
          <w:szCs w:val="20"/>
          <w:lang w:val="cs-CZ"/>
        </w:rPr>
        <w:t>y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kapitoly 306 </w:t>
      </w:r>
      <w:r w:rsidR="00983462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– MZV 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za rok</w:t>
      </w:r>
      <w:r w:rsidR="00983462">
        <w:rPr>
          <w:rFonts w:asciiTheme="minorHAnsi" w:hAnsiTheme="minorHAnsi" w:cstheme="minorHAnsi"/>
          <w:color w:val="000000"/>
          <w:sz w:val="20"/>
          <w:szCs w:val="20"/>
          <w:lang w:val="cs-CZ"/>
        </w:rPr>
        <w:t>y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2012, 2013, 2014</w:t>
      </w:r>
      <w:r w:rsidR="004026DF">
        <w:rPr>
          <w:rFonts w:asciiTheme="minorHAnsi" w:hAnsiTheme="minorHAnsi" w:cstheme="minorHAnsi"/>
          <w:color w:val="000000"/>
          <w:sz w:val="20"/>
          <w:szCs w:val="20"/>
          <w:lang w:val="cs-CZ"/>
        </w:rPr>
        <w:t>.</w:t>
      </w:r>
    </w:p>
    <w:p w14:paraId="44A1B318" w14:textId="3FB91F2E" w:rsidR="002A61C4" w:rsidRPr="00485CA8" w:rsidRDefault="00983462" w:rsidP="00F6579D">
      <w:pPr>
        <w:spacing w:after="240" w:line="216" w:lineRule="auto"/>
        <w:ind w:left="567" w:hanging="567"/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  <w:r w:rsidRPr="00983462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Pozn.</w:t>
      </w:r>
      <w:r w:rsidR="002A61C4" w:rsidRPr="004026DF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: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Pokles výdajů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u položky 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„</w:t>
      </w:r>
      <w:r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z</w:t>
      </w:r>
      <w:r w:rsidR="002A61C4" w:rsidRPr="0084293C"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astupitelství a stálé mise ČR v zahraničí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“ v roce 2013 koresponduje s nárůstem výdajů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na položce 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„</w:t>
      </w:r>
      <w:r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č</w:t>
      </w:r>
      <w:r w:rsidR="002A61C4" w:rsidRPr="0084293C"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innost ústředního orgánu státní správy v zahraniční službě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“ v tomto roce, což je důsledkem změn ve vykazování výdajů na</w:t>
      </w:r>
      <w:r w:rsidR="002E2E90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příslušných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paragrafech</w:t>
      </w:r>
      <w:r w:rsidR="002A61C4"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rozpočtové skladby.</w:t>
      </w:r>
    </w:p>
    <w:p w14:paraId="3653C0A8" w14:textId="3459B46C" w:rsidR="0099343E" w:rsidRPr="00E97B24" w:rsidRDefault="00FF1E6F" w:rsidP="00433677">
      <w:pPr>
        <w:spacing w:after="120"/>
        <w:jc w:val="both"/>
        <w:rPr>
          <w:rFonts w:asciiTheme="minorHAnsi" w:hAnsiTheme="minorHAnsi" w:cstheme="minorHAnsi"/>
          <w:lang w:val="cs-CZ"/>
        </w:rPr>
      </w:pPr>
      <w:r w:rsidRPr="00E97B24">
        <w:rPr>
          <w:rFonts w:asciiTheme="minorHAnsi" w:hAnsiTheme="minorHAnsi" w:cstheme="minorHAnsi"/>
          <w:lang w:val="cs-CZ"/>
        </w:rPr>
        <w:t>Běžné výdaje v roce 2012</w:t>
      </w:r>
      <w:r w:rsidR="00E97B24" w:rsidRPr="00E97B24">
        <w:rPr>
          <w:rFonts w:asciiTheme="minorHAnsi" w:hAnsiTheme="minorHAnsi" w:cstheme="minorHAnsi"/>
          <w:lang w:val="cs-CZ"/>
        </w:rPr>
        <w:t xml:space="preserve"> činily </w:t>
      </w:r>
      <w:r w:rsidR="00E97B24" w:rsidRPr="00E97B24">
        <w:rPr>
          <w:rFonts w:asciiTheme="minorHAnsi" w:hAnsiTheme="minorHAnsi" w:cstheme="minorHAnsi"/>
          <w:lang w:val="cs-CZ" w:eastAsia="cs-CZ"/>
        </w:rPr>
        <w:t>5 242 272 002 Kč, v roce 2013 činily 5 598 318 906</w:t>
      </w:r>
      <w:r w:rsidR="001022E7">
        <w:rPr>
          <w:rFonts w:asciiTheme="minorHAnsi" w:hAnsiTheme="minorHAnsi" w:cstheme="minorHAnsi"/>
          <w:lang w:val="cs-CZ"/>
        </w:rPr>
        <w:t xml:space="preserve"> Kč a v roce</w:t>
      </w:r>
      <w:r w:rsidR="00983462">
        <w:rPr>
          <w:rFonts w:asciiTheme="minorHAnsi" w:hAnsiTheme="minorHAnsi" w:cstheme="minorHAnsi"/>
          <w:lang w:val="cs-CZ"/>
        </w:rPr>
        <w:t xml:space="preserve"> </w:t>
      </w:r>
      <w:r w:rsidR="00E97B24" w:rsidRPr="00E97B24">
        <w:rPr>
          <w:rFonts w:asciiTheme="minorHAnsi" w:hAnsiTheme="minorHAnsi" w:cstheme="minorHAnsi"/>
          <w:lang w:val="cs-CZ"/>
        </w:rPr>
        <w:t xml:space="preserve">2014 </w:t>
      </w:r>
      <w:r w:rsidR="00983462">
        <w:rPr>
          <w:rFonts w:asciiTheme="minorHAnsi" w:hAnsiTheme="minorHAnsi" w:cstheme="minorHAnsi"/>
          <w:lang w:val="cs-CZ"/>
        </w:rPr>
        <w:t>dosáhly výše</w:t>
      </w:r>
      <w:r w:rsidR="00E97B24" w:rsidRPr="00E97B24">
        <w:rPr>
          <w:rFonts w:asciiTheme="minorHAnsi" w:hAnsiTheme="minorHAnsi" w:cstheme="minorHAnsi"/>
          <w:lang w:val="cs-CZ"/>
        </w:rPr>
        <w:t xml:space="preserve"> </w:t>
      </w:r>
      <w:r w:rsidR="00E97B24" w:rsidRPr="00E97B24">
        <w:rPr>
          <w:rFonts w:asciiTheme="minorHAnsi" w:hAnsiTheme="minorHAnsi" w:cstheme="minorHAnsi"/>
          <w:lang w:val="cs-CZ" w:eastAsia="cs-CZ"/>
        </w:rPr>
        <w:t>5 443 391 568 Kč.</w:t>
      </w:r>
    </w:p>
    <w:p w14:paraId="1234B6D0" w14:textId="62D17441" w:rsidR="00FF1E6F" w:rsidRDefault="00FF1E6F" w:rsidP="00F6579D">
      <w:pPr>
        <w:jc w:val="both"/>
        <w:rPr>
          <w:rFonts w:asciiTheme="minorHAnsi" w:hAnsiTheme="minorHAnsi" w:cstheme="minorHAnsi"/>
          <w:lang w:val="cs-CZ" w:eastAsia="cs-CZ"/>
        </w:rPr>
      </w:pPr>
      <w:r w:rsidRPr="00E97B24">
        <w:rPr>
          <w:rFonts w:asciiTheme="minorHAnsi" w:hAnsiTheme="minorHAnsi" w:cstheme="minorHAnsi"/>
          <w:lang w:val="cs-CZ"/>
        </w:rPr>
        <w:lastRenderedPageBreak/>
        <w:t xml:space="preserve">Kapitálové výdaje </w:t>
      </w:r>
      <w:r w:rsidR="00E97B24" w:rsidRPr="00E97B24">
        <w:rPr>
          <w:rFonts w:asciiTheme="minorHAnsi" w:hAnsiTheme="minorHAnsi" w:cstheme="minorHAnsi"/>
          <w:lang w:val="cs-CZ"/>
        </w:rPr>
        <w:t xml:space="preserve">činily </w:t>
      </w:r>
      <w:r w:rsidR="00E97B24" w:rsidRPr="00E97B24">
        <w:rPr>
          <w:rFonts w:asciiTheme="minorHAnsi" w:hAnsiTheme="minorHAnsi" w:cstheme="minorHAnsi"/>
          <w:lang w:val="cs-CZ" w:eastAsia="cs-CZ"/>
        </w:rPr>
        <w:t xml:space="preserve">109 748 783 Kč </w:t>
      </w:r>
      <w:r w:rsidRPr="00E97B24">
        <w:rPr>
          <w:rFonts w:asciiTheme="minorHAnsi" w:hAnsiTheme="minorHAnsi" w:cstheme="minorHAnsi"/>
          <w:lang w:val="cs-CZ"/>
        </w:rPr>
        <w:t>v roce 2012</w:t>
      </w:r>
      <w:r w:rsidR="00E97B24" w:rsidRPr="00E97B24">
        <w:rPr>
          <w:rFonts w:asciiTheme="minorHAnsi" w:hAnsiTheme="minorHAnsi" w:cstheme="minorHAnsi"/>
          <w:lang w:val="cs-CZ"/>
        </w:rPr>
        <w:t xml:space="preserve">, </w:t>
      </w:r>
      <w:r w:rsidR="00E97B24" w:rsidRPr="00E97B24">
        <w:rPr>
          <w:rFonts w:asciiTheme="minorHAnsi" w:hAnsiTheme="minorHAnsi" w:cstheme="minorHAnsi"/>
          <w:lang w:val="cs-CZ" w:eastAsia="cs-CZ"/>
        </w:rPr>
        <w:t xml:space="preserve">168 326 072 Kč </w:t>
      </w:r>
      <w:r w:rsidR="00E97B24">
        <w:rPr>
          <w:rFonts w:asciiTheme="minorHAnsi" w:hAnsiTheme="minorHAnsi" w:cstheme="minorHAnsi"/>
          <w:lang w:val="cs-CZ" w:eastAsia="cs-CZ"/>
        </w:rPr>
        <w:t>v roce 2013 a 188 </w:t>
      </w:r>
      <w:r w:rsidR="00E97B24" w:rsidRPr="00E97B24">
        <w:rPr>
          <w:rFonts w:asciiTheme="minorHAnsi" w:hAnsiTheme="minorHAnsi" w:cstheme="minorHAnsi"/>
          <w:lang w:val="cs-CZ" w:eastAsia="cs-CZ"/>
        </w:rPr>
        <w:t>631 506</w:t>
      </w:r>
      <w:r w:rsidR="00C50D91">
        <w:rPr>
          <w:rFonts w:asciiTheme="minorHAnsi" w:hAnsiTheme="minorHAnsi" w:cstheme="minorHAnsi"/>
          <w:lang w:val="cs-CZ" w:eastAsia="cs-CZ"/>
        </w:rPr>
        <w:t> </w:t>
      </w:r>
      <w:r w:rsidR="00E97B24" w:rsidRPr="00E97B24">
        <w:rPr>
          <w:rFonts w:asciiTheme="minorHAnsi" w:hAnsiTheme="minorHAnsi" w:cstheme="minorHAnsi"/>
          <w:lang w:val="cs-CZ" w:eastAsia="cs-CZ"/>
        </w:rPr>
        <w:t>Kč v roce 2014.</w:t>
      </w:r>
    </w:p>
    <w:p w14:paraId="3ED48F9C" w14:textId="77777777" w:rsidR="00C12EB3" w:rsidRPr="00E97B24" w:rsidRDefault="00C12EB3" w:rsidP="00F6579D">
      <w:pPr>
        <w:jc w:val="both"/>
        <w:rPr>
          <w:rFonts w:asciiTheme="minorHAnsi" w:hAnsiTheme="minorHAnsi" w:cstheme="minorHAnsi"/>
          <w:lang w:val="cs-CZ"/>
        </w:rPr>
      </w:pPr>
    </w:p>
    <w:p w14:paraId="338004F9" w14:textId="16B4AAB0" w:rsidR="00332AEA" w:rsidRDefault="00B74C60" w:rsidP="00433677">
      <w:pPr>
        <w:spacing w:after="120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t>1. Účetnictví MZV</w:t>
      </w:r>
    </w:p>
    <w:p w14:paraId="514B9DEC" w14:textId="02ED4B0A" w:rsidR="00332AEA" w:rsidRDefault="00332AE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Na</w:t>
      </w:r>
      <w:r w:rsidRPr="00815F36">
        <w:rPr>
          <w:rFonts w:asciiTheme="minorHAnsi" w:hAnsiTheme="minorHAnsi" w:cstheme="minorHAnsi"/>
          <w:color w:val="000000"/>
          <w:lang w:val="cs-CZ"/>
        </w:rPr>
        <w:t xml:space="preserve"> vzorku </w:t>
      </w:r>
      <w:r>
        <w:rPr>
          <w:rFonts w:asciiTheme="minorHAnsi" w:hAnsiTheme="minorHAnsi" w:cstheme="minorHAnsi"/>
          <w:color w:val="000000"/>
          <w:lang w:val="cs-CZ"/>
        </w:rPr>
        <w:t xml:space="preserve">vybraných </w:t>
      </w:r>
      <w:r w:rsidRPr="00815F36">
        <w:rPr>
          <w:rFonts w:asciiTheme="minorHAnsi" w:hAnsiTheme="minorHAnsi" w:cstheme="minorHAnsi"/>
          <w:color w:val="000000"/>
          <w:lang w:val="cs-CZ"/>
        </w:rPr>
        <w:t>položek dlouhodobého hmotného majetku (dále také „DHM“) v c</w:t>
      </w:r>
      <w:r w:rsidR="00AE4187">
        <w:rPr>
          <w:rFonts w:asciiTheme="minorHAnsi" w:hAnsiTheme="minorHAnsi" w:cstheme="minorHAnsi"/>
          <w:color w:val="000000"/>
          <w:lang w:val="cs-CZ"/>
        </w:rPr>
        <w:t xml:space="preserve">elkové hodnotě </w:t>
      </w:r>
      <w:r w:rsidR="0084293C">
        <w:rPr>
          <w:rFonts w:asciiTheme="minorHAnsi" w:hAnsiTheme="minorHAnsi" w:cstheme="minorHAnsi"/>
          <w:color w:val="000000"/>
          <w:lang w:val="cs-CZ"/>
        </w:rPr>
        <w:t>506 547 034</w:t>
      </w:r>
      <w:r>
        <w:rPr>
          <w:rFonts w:asciiTheme="minorHAnsi" w:hAnsiTheme="minorHAnsi" w:cstheme="minorHAnsi"/>
          <w:color w:val="000000"/>
          <w:lang w:val="cs-CZ"/>
        </w:rPr>
        <w:t xml:space="preserve"> Kč byl </w:t>
      </w:r>
      <w:r w:rsidRPr="00815F36">
        <w:rPr>
          <w:rFonts w:asciiTheme="minorHAnsi" w:hAnsiTheme="minorHAnsi" w:cstheme="minorHAnsi"/>
          <w:color w:val="000000"/>
          <w:lang w:val="cs-CZ"/>
        </w:rPr>
        <w:t>prověřen způsob vykazování majetku v účetnictví.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B34D3">
        <w:rPr>
          <w:rFonts w:asciiTheme="minorHAnsi" w:hAnsiTheme="minorHAnsi" w:cstheme="minorHAnsi"/>
          <w:color w:val="000000"/>
          <w:lang w:val="cs-CZ"/>
        </w:rPr>
        <w:t>V </w:t>
      </w:r>
      <w:r w:rsidRPr="00815F36">
        <w:rPr>
          <w:rFonts w:asciiTheme="minorHAnsi" w:hAnsiTheme="minorHAnsi" w:cstheme="minorHAnsi"/>
          <w:color w:val="000000"/>
          <w:lang w:val="cs-CZ"/>
        </w:rPr>
        <w:t>kontrolovaných případech byl</w:t>
      </w:r>
      <w:r>
        <w:rPr>
          <w:rFonts w:asciiTheme="minorHAnsi" w:hAnsiTheme="minorHAnsi" w:cstheme="minorHAnsi"/>
          <w:color w:val="000000"/>
          <w:lang w:val="cs-CZ"/>
        </w:rPr>
        <w:t xml:space="preserve">o o majetku účtováno </w:t>
      </w:r>
      <w:r w:rsidRPr="00815F36">
        <w:rPr>
          <w:rFonts w:asciiTheme="minorHAnsi" w:hAnsiTheme="minorHAnsi" w:cstheme="minorHAnsi"/>
          <w:color w:val="000000"/>
          <w:lang w:val="cs-CZ"/>
        </w:rPr>
        <w:t xml:space="preserve">na </w:t>
      </w:r>
      <w:r>
        <w:rPr>
          <w:rFonts w:asciiTheme="minorHAnsi" w:hAnsiTheme="minorHAnsi" w:cstheme="minorHAnsi"/>
          <w:color w:val="000000"/>
          <w:lang w:val="cs-CZ"/>
        </w:rPr>
        <w:t>příslušných</w:t>
      </w:r>
      <w:r w:rsidR="003B34D3">
        <w:rPr>
          <w:rFonts w:asciiTheme="minorHAnsi" w:hAnsiTheme="minorHAnsi" w:cstheme="minorHAnsi"/>
          <w:color w:val="000000"/>
          <w:lang w:val="cs-CZ"/>
        </w:rPr>
        <w:t xml:space="preserve"> majetkových účtech a </w:t>
      </w:r>
      <w:r w:rsidRPr="00815F36">
        <w:rPr>
          <w:rFonts w:asciiTheme="minorHAnsi" w:hAnsiTheme="minorHAnsi" w:cstheme="minorHAnsi"/>
          <w:color w:val="000000"/>
          <w:lang w:val="cs-CZ"/>
        </w:rPr>
        <w:t xml:space="preserve">uváděné údaje o majetku obsahovaly minimální náležitosti k jeho identifikaci. </w:t>
      </w:r>
    </w:p>
    <w:p w14:paraId="5CF63BED" w14:textId="52987CDE" w:rsidR="00743EBD" w:rsidRDefault="00FF1E6F" w:rsidP="00433677">
      <w:pPr>
        <w:spacing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kontrolovaném vzorku </w:t>
      </w:r>
      <w:r w:rsidRPr="00433677">
        <w:rPr>
          <w:rFonts w:asciiTheme="minorHAnsi" w:hAnsiTheme="minorHAnsi" w:cstheme="minorHAnsi"/>
          <w:lang w:val="cs-CZ"/>
        </w:rPr>
        <w:t xml:space="preserve">bylo </w:t>
      </w:r>
      <w:r>
        <w:rPr>
          <w:rFonts w:asciiTheme="minorHAnsi" w:hAnsiTheme="minorHAnsi" w:cstheme="minorHAnsi"/>
          <w:lang w:val="cs-CZ"/>
        </w:rPr>
        <w:t>k</w:t>
      </w:r>
      <w:r w:rsidR="00433677" w:rsidRPr="00433677">
        <w:rPr>
          <w:rFonts w:asciiTheme="minorHAnsi" w:hAnsiTheme="minorHAnsi" w:cstheme="minorHAnsi"/>
          <w:lang w:val="cs-CZ"/>
        </w:rPr>
        <w:t xml:space="preserve">ontrolou zjištěno chybné účtování </w:t>
      </w:r>
      <w:r>
        <w:rPr>
          <w:rFonts w:asciiTheme="minorHAnsi" w:hAnsiTheme="minorHAnsi" w:cstheme="minorHAnsi"/>
          <w:lang w:val="cs-CZ"/>
        </w:rPr>
        <w:t xml:space="preserve">s dopadem na správnost </w:t>
      </w:r>
      <w:r w:rsidR="00F16369">
        <w:rPr>
          <w:rFonts w:asciiTheme="minorHAnsi" w:hAnsiTheme="minorHAnsi" w:cstheme="minorHAnsi"/>
          <w:lang w:val="cs-CZ"/>
        </w:rPr>
        <w:t>a</w:t>
      </w:r>
      <w:r w:rsidR="0002691C">
        <w:rPr>
          <w:rFonts w:asciiTheme="minorHAnsi" w:hAnsiTheme="minorHAnsi" w:cstheme="minorHAnsi"/>
          <w:lang w:val="cs-CZ"/>
        </w:rPr>
        <w:t> </w:t>
      </w:r>
      <w:r w:rsidR="00F16369">
        <w:rPr>
          <w:rFonts w:asciiTheme="minorHAnsi" w:hAnsiTheme="minorHAnsi" w:cstheme="minorHAnsi"/>
          <w:lang w:val="cs-CZ"/>
        </w:rPr>
        <w:t xml:space="preserve">úplnost </w:t>
      </w:r>
      <w:r>
        <w:rPr>
          <w:rFonts w:asciiTheme="minorHAnsi" w:hAnsiTheme="minorHAnsi" w:cstheme="minorHAnsi"/>
          <w:lang w:val="cs-CZ"/>
        </w:rPr>
        <w:t xml:space="preserve">účetnictví, </w:t>
      </w:r>
      <w:r w:rsidR="00426912">
        <w:rPr>
          <w:rFonts w:asciiTheme="minorHAnsi" w:hAnsiTheme="minorHAnsi" w:cstheme="minorHAnsi"/>
          <w:lang w:val="cs-CZ"/>
        </w:rPr>
        <w:t xml:space="preserve">zjištěny byly </w:t>
      </w:r>
      <w:r>
        <w:rPr>
          <w:rFonts w:asciiTheme="minorHAnsi" w:hAnsiTheme="minorHAnsi" w:cstheme="minorHAnsi"/>
          <w:lang w:val="cs-CZ"/>
        </w:rPr>
        <w:t>např.</w:t>
      </w:r>
      <w:r w:rsidR="00426912">
        <w:rPr>
          <w:rFonts w:asciiTheme="minorHAnsi" w:hAnsiTheme="minorHAnsi" w:cstheme="minorHAnsi"/>
          <w:lang w:val="cs-CZ"/>
        </w:rPr>
        <w:t xml:space="preserve"> tyto skutečnosti</w:t>
      </w:r>
      <w:r>
        <w:rPr>
          <w:rFonts w:asciiTheme="minorHAnsi" w:hAnsiTheme="minorHAnsi" w:cstheme="minorHAnsi"/>
          <w:lang w:val="cs-CZ"/>
        </w:rPr>
        <w:t>:</w:t>
      </w:r>
    </w:p>
    <w:p w14:paraId="6D65E117" w14:textId="35A9A2D0" w:rsidR="00433677" w:rsidRPr="00743EBD" w:rsidRDefault="00426912" w:rsidP="00A0401F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U</w:t>
      </w:r>
      <w:r w:rsidR="002037DB">
        <w:rPr>
          <w:rFonts w:asciiTheme="minorHAnsi" w:hAnsiTheme="minorHAnsi" w:cstheme="minorHAnsi"/>
          <w:lang w:val="cs-CZ"/>
        </w:rPr>
        <w:t> </w:t>
      </w:r>
      <w:r w:rsidR="00433677" w:rsidRPr="00743EBD">
        <w:rPr>
          <w:rFonts w:asciiTheme="minorHAnsi" w:hAnsiTheme="minorHAnsi" w:cstheme="minorHAnsi"/>
          <w:lang w:val="cs-CZ"/>
        </w:rPr>
        <w:t>in</w:t>
      </w:r>
      <w:r w:rsidR="0099343E">
        <w:rPr>
          <w:rFonts w:asciiTheme="minorHAnsi" w:hAnsiTheme="minorHAnsi" w:cstheme="minorHAnsi"/>
          <w:lang w:val="cs-CZ"/>
        </w:rPr>
        <w:t xml:space="preserve">vestiční akce 0065 ZÚ </w:t>
      </w:r>
      <w:r>
        <w:rPr>
          <w:rFonts w:asciiTheme="minorHAnsi" w:hAnsiTheme="minorHAnsi" w:cstheme="minorHAnsi"/>
          <w:lang w:val="cs-CZ"/>
        </w:rPr>
        <w:t>v </w:t>
      </w:r>
      <w:r w:rsidR="0099343E">
        <w:rPr>
          <w:rFonts w:asciiTheme="minorHAnsi" w:hAnsiTheme="minorHAnsi" w:cstheme="minorHAnsi"/>
          <w:lang w:val="cs-CZ"/>
        </w:rPr>
        <w:t>Toki</w:t>
      </w:r>
      <w:r>
        <w:rPr>
          <w:rFonts w:asciiTheme="minorHAnsi" w:hAnsiTheme="minorHAnsi" w:cstheme="minorHAnsi"/>
          <w:lang w:val="cs-CZ"/>
        </w:rPr>
        <w:t>u</w:t>
      </w:r>
      <w:r w:rsidR="0099343E">
        <w:rPr>
          <w:rFonts w:asciiTheme="minorHAnsi" w:hAnsiTheme="minorHAnsi" w:cstheme="minorHAnsi"/>
          <w:lang w:val="cs-CZ"/>
        </w:rPr>
        <w:t xml:space="preserve"> a u </w:t>
      </w:r>
      <w:r w:rsidR="00433677" w:rsidRPr="00743EBD">
        <w:rPr>
          <w:rFonts w:asciiTheme="minorHAnsi" w:hAnsiTheme="minorHAnsi" w:cstheme="minorHAnsi"/>
          <w:lang w:val="cs-CZ"/>
        </w:rPr>
        <w:t xml:space="preserve">investiční akce 0380 ZÚ </w:t>
      </w:r>
      <w:r>
        <w:rPr>
          <w:rFonts w:asciiTheme="minorHAnsi" w:hAnsiTheme="minorHAnsi" w:cstheme="minorHAnsi"/>
          <w:lang w:val="cs-CZ"/>
        </w:rPr>
        <w:t>v </w:t>
      </w:r>
      <w:r w:rsidR="00433677" w:rsidRPr="00743EBD">
        <w:rPr>
          <w:rFonts w:asciiTheme="minorHAnsi" w:hAnsiTheme="minorHAnsi" w:cstheme="minorHAnsi"/>
          <w:lang w:val="cs-CZ"/>
        </w:rPr>
        <w:t>Paříž</w:t>
      </w:r>
      <w:r>
        <w:rPr>
          <w:rFonts w:asciiTheme="minorHAnsi" w:hAnsiTheme="minorHAnsi" w:cstheme="minorHAnsi"/>
          <w:lang w:val="cs-CZ"/>
        </w:rPr>
        <w:t>i neúčtovalo MZV o</w:t>
      </w:r>
      <w:r w:rsidR="0002691C">
        <w:rPr>
          <w:rFonts w:asciiTheme="minorHAnsi" w:hAnsiTheme="minorHAnsi" w:cstheme="minorHAnsi"/>
          <w:lang w:val="cs-CZ"/>
        </w:rPr>
        <w:t> </w:t>
      </w:r>
      <w:r w:rsidRPr="00743EBD">
        <w:rPr>
          <w:rFonts w:asciiTheme="minorHAnsi" w:hAnsiTheme="minorHAnsi" w:cstheme="minorHAnsi"/>
          <w:lang w:val="cs-CZ"/>
        </w:rPr>
        <w:t>závazcích vůči dodavatelům</w:t>
      </w:r>
      <w:r>
        <w:rPr>
          <w:rFonts w:asciiTheme="minorHAnsi" w:hAnsiTheme="minorHAnsi" w:cstheme="minorHAnsi"/>
          <w:lang w:val="cs-CZ"/>
        </w:rPr>
        <w:t xml:space="preserve"> DHM ve správné výši</w:t>
      </w:r>
      <w:r w:rsidR="00433677" w:rsidRPr="00743EBD">
        <w:rPr>
          <w:rFonts w:asciiTheme="minorHAnsi" w:hAnsiTheme="minorHAnsi" w:cstheme="minorHAnsi"/>
          <w:lang w:val="cs-CZ"/>
        </w:rPr>
        <w:t>. Ve smlouvách o dílo bylo obsaženo ujednání o smluvním zádržném, podle kterého mělo MZV jako objednatel stavebních prací právo v případě, že dílo bude vykazovat vady, do doby odstranění vady díla nezaplatit (zadržet) část ceny ve výši 10 % z ceny díla. MZV neúčtovalo dodavatelské faktury</w:t>
      </w:r>
      <w:r w:rsidR="0099343E">
        <w:rPr>
          <w:rFonts w:asciiTheme="minorHAnsi" w:hAnsiTheme="minorHAnsi" w:cstheme="minorHAnsi"/>
          <w:lang w:val="cs-CZ"/>
        </w:rPr>
        <w:t xml:space="preserve"> v účetních knihách roku 2013 a </w:t>
      </w:r>
      <w:r w:rsidR="00433677" w:rsidRPr="00743EBD">
        <w:rPr>
          <w:rFonts w:asciiTheme="minorHAnsi" w:hAnsiTheme="minorHAnsi" w:cstheme="minorHAnsi"/>
          <w:lang w:val="cs-CZ"/>
        </w:rPr>
        <w:t>2014 ve správných částkách, ale účtovalo o částkách snížen</w:t>
      </w:r>
      <w:r w:rsidR="00DF1AEE">
        <w:rPr>
          <w:rFonts w:asciiTheme="minorHAnsi" w:hAnsiTheme="minorHAnsi" w:cstheme="minorHAnsi"/>
          <w:lang w:val="cs-CZ"/>
        </w:rPr>
        <w:t>ých</w:t>
      </w:r>
      <w:r w:rsidR="00433677" w:rsidRPr="00743EBD">
        <w:rPr>
          <w:rFonts w:asciiTheme="minorHAnsi" w:hAnsiTheme="minorHAnsi" w:cstheme="minorHAnsi"/>
          <w:lang w:val="cs-CZ"/>
        </w:rPr>
        <w:t xml:space="preserve"> o</w:t>
      </w:r>
      <w:r w:rsidR="0002691C">
        <w:rPr>
          <w:rFonts w:asciiTheme="minorHAnsi" w:hAnsiTheme="minorHAnsi" w:cstheme="minorHAnsi"/>
          <w:lang w:val="cs-CZ"/>
        </w:rPr>
        <w:t> </w:t>
      </w:r>
      <w:r w:rsidR="00433677" w:rsidRPr="00743EBD">
        <w:rPr>
          <w:rFonts w:asciiTheme="minorHAnsi" w:hAnsiTheme="minorHAnsi" w:cstheme="minorHAnsi"/>
          <w:lang w:val="cs-CZ"/>
        </w:rPr>
        <w:t>vyčíslené zádržné v celkové hodnotě 7 564 1</w:t>
      </w:r>
      <w:r w:rsidR="007C6DE8">
        <w:rPr>
          <w:rFonts w:asciiTheme="minorHAnsi" w:hAnsiTheme="minorHAnsi" w:cstheme="minorHAnsi"/>
          <w:lang w:val="cs-CZ"/>
        </w:rPr>
        <w:t>99</w:t>
      </w:r>
      <w:r w:rsidR="00F02E5B">
        <w:rPr>
          <w:rFonts w:asciiTheme="minorHAnsi" w:hAnsiTheme="minorHAnsi" w:cstheme="minorHAnsi"/>
          <w:lang w:val="cs-CZ"/>
        </w:rPr>
        <w:t xml:space="preserve"> Kč</w:t>
      </w:r>
      <w:r w:rsidR="00FF1E6F">
        <w:rPr>
          <w:rFonts w:asciiTheme="minorHAnsi" w:hAnsiTheme="minorHAnsi" w:cstheme="minorHAnsi"/>
          <w:lang w:val="cs-CZ"/>
        </w:rPr>
        <w:t>, čímž MZV neúčtovalo o</w:t>
      </w:r>
      <w:r w:rsidR="00F16369">
        <w:rPr>
          <w:rFonts w:asciiTheme="minorHAnsi" w:hAnsiTheme="minorHAnsi" w:cstheme="minorHAnsi"/>
          <w:lang w:val="cs-CZ"/>
        </w:rPr>
        <w:t> </w:t>
      </w:r>
      <w:r w:rsidR="00FF1E6F">
        <w:rPr>
          <w:rFonts w:asciiTheme="minorHAnsi" w:hAnsiTheme="minorHAnsi" w:cstheme="minorHAnsi"/>
          <w:lang w:val="cs-CZ"/>
        </w:rPr>
        <w:t>tomto závazku</w:t>
      </w:r>
      <w:r>
        <w:rPr>
          <w:rFonts w:asciiTheme="minorHAnsi" w:hAnsiTheme="minorHAnsi" w:cstheme="minorHAnsi"/>
          <w:lang w:val="cs-CZ"/>
        </w:rPr>
        <w:t>.</w:t>
      </w:r>
    </w:p>
    <w:p w14:paraId="78792211" w14:textId="707342C9" w:rsidR="00332AEA" w:rsidRPr="00A0401F" w:rsidRDefault="00426912" w:rsidP="00A0401F">
      <w:pPr>
        <w:pStyle w:val="Odstavecseseznamem"/>
        <w:numPr>
          <w:ilvl w:val="0"/>
          <w:numId w:val="4"/>
        </w:numPr>
        <w:spacing w:before="120" w:after="120"/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O</w:t>
      </w:r>
      <w:r w:rsidR="002037DB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02E5B">
        <w:rPr>
          <w:rFonts w:asciiTheme="minorHAnsi" w:hAnsiTheme="minorHAnsi" w:cstheme="minorHAnsi"/>
          <w:color w:val="000000"/>
          <w:lang w:val="cs-CZ"/>
        </w:rPr>
        <w:t>nákladech</w:t>
      </w:r>
      <w:r w:rsidR="00743EBD" w:rsidRPr="00743EBD">
        <w:rPr>
          <w:rFonts w:asciiTheme="minorHAnsi" w:hAnsiTheme="minorHAnsi" w:cstheme="minorHAnsi"/>
          <w:color w:val="000000"/>
          <w:lang w:val="cs-CZ"/>
        </w:rPr>
        <w:t xml:space="preserve"> za služby </w:t>
      </w:r>
      <w:r w:rsidR="00743EBD" w:rsidRPr="00743EBD">
        <w:rPr>
          <w:rFonts w:asciiTheme="minorHAnsi" w:hAnsiTheme="minorHAnsi" w:cstheme="minorHAnsi"/>
          <w:lang w:val="cs-CZ"/>
        </w:rPr>
        <w:t>zajištění předškolního zařízení pro děti zaměstnanců MZV</w:t>
      </w:r>
      <w:r>
        <w:rPr>
          <w:rFonts w:asciiTheme="minorHAnsi" w:hAnsiTheme="minorHAnsi" w:cstheme="minorHAnsi"/>
          <w:lang w:val="cs-CZ"/>
        </w:rPr>
        <w:t xml:space="preserve"> bylo účtováno nesprávně</w:t>
      </w:r>
      <w:r w:rsidR="00743EBD" w:rsidRPr="00743EBD">
        <w:rPr>
          <w:rFonts w:asciiTheme="minorHAnsi" w:hAnsiTheme="minorHAnsi" w:cstheme="minorHAnsi"/>
          <w:lang w:val="cs-CZ"/>
        </w:rPr>
        <w:t xml:space="preserve">, </w:t>
      </w:r>
      <w:r>
        <w:rPr>
          <w:rFonts w:asciiTheme="minorHAnsi" w:hAnsiTheme="minorHAnsi" w:cstheme="minorHAnsi"/>
          <w:lang w:val="cs-CZ"/>
        </w:rPr>
        <w:t>neboť</w:t>
      </w:r>
      <w:r w:rsidR="00743EBD" w:rsidRPr="00743EBD">
        <w:rPr>
          <w:rFonts w:asciiTheme="minorHAnsi" w:hAnsiTheme="minorHAnsi" w:cstheme="minorHAnsi"/>
          <w:lang w:val="cs-CZ"/>
        </w:rPr>
        <w:t xml:space="preserve"> částku 378 950 Kč fakturovanou </w:t>
      </w:r>
      <w:r w:rsidR="00F02E5B" w:rsidRPr="00743EBD">
        <w:rPr>
          <w:rFonts w:asciiTheme="minorHAnsi" w:hAnsiTheme="minorHAnsi" w:cstheme="minorHAnsi"/>
          <w:lang w:val="cs-CZ"/>
        </w:rPr>
        <w:t xml:space="preserve">dodavatelem služby </w:t>
      </w:r>
      <w:r w:rsidR="00743EBD" w:rsidRPr="00743EBD">
        <w:rPr>
          <w:rFonts w:asciiTheme="minorHAnsi" w:hAnsiTheme="minorHAnsi" w:cstheme="minorHAnsi"/>
          <w:lang w:val="cs-CZ"/>
        </w:rPr>
        <w:t xml:space="preserve">v prosinci 2014 </w:t>
      </w:r>
      <w:r w:rsidR="00F02E5B">
        <w:rPr>
          <w:rFonts w:asciiTheme="minorHAnsi" w:hAnsiTheme="minorHAnsi" w:cstheme="minorHAnsi"/>
          <w:color w:val="000000"/>
          <w:lang w:val="cs-CZ"/>
        </w:rPr>
        <w:t>zaúčtovalo</w:t>
      </w:r>
      <w:r w:rsidR="00743EBD" w:rsidRPr="00743EBD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743EBD">
        <w:rPr>
          <w:rFonts w:asciiTheme="minorHAnsi" w:hAnsiTheme="minorHAnsi" w:cstheme="minorHAnsi"/>
          <w:color w:val="000000"/>
          <w:lang w:val="cs-CZ"/>
        </w:rPr>
        <w:t xml:space="preserve">MZV </w:t>
      </w:r>
      <w:r w:rsidR="0002691C">
        <w:rPr>
          <w:rFonts w:asciiTheme="minorHAnsi" w:hAnsiTheme="minorHAnsi" w:cstheme="minorHAnsi"/>
          <w:color w:val="000000"/>
          <w:lang w:val="cs-CZ"/>
        </w:rPr>
        <w:t xml:space="preserve">až </w:t>
      </w:r>
      <w:r w:rsidR="00743EBD" w:rsidRPr="00743EBD">
        <w:rPr>
          <w:rFonts w:asciiTheme="minorHAnsi" w:hAnsiTheme="minorHAnsi" w:cstheme="minorHAnsi"/>
          <w:color w:val="000000"/>
          <w:lang w:val="cs-CZ"/>
        </w:rPr>
        <w:t>v lednu 2015</w:t>
      </w:r>
      <w:r>
        <w:rPr>
          <w:rFonts w:asciiTheme="minorHAnsi" w:hAnsiTheme="minorHAnsi" w:cstheme="minorHAnsi"/>
          <w:color w:val="000000"/>
          <w:lang w:val="cs-CZ"/>
        </w:rPr>
        <w:t>,</w:t>
      </w:r>
      <w:r w:rsidR="00743EBD" w:rsidRPr="00743EBD">
        <w:rPr>
          <w:rFonts w:asciiTheme="minorHAnsi" w:hAnsiTheme="minorHAnsi" w:cstheme="minorHAnsi"/>
          <w:lang w:val="cs-CZ"/>
        </w:rPr>
        <w:t xml:space="preserve"> a časově tak nerozlišilo náklady vztahující se k účetnímu obdob</w:t>
      </w:r>
      <w:r w:rsidR="00F02E5B">
        <w:rPr>
          <w:rFonts w:asciiTheme="minorHAnsi" w:hAnsiTheme="minorHAnsi" w:cstheme="minorHAnsi"/>
          <w:lang w:val="cs-CZ"/>
        </w:rPr>
        <w:t>í roku 2014 v</w:t>
      </w:r>
      <w:r w:rsidR="00DF1AEE">
        <w:rPr>
          <w:rFonts w:asciiTheme="minorHAnsi" w:hAnsiTheme="minorHAnsi" w:cstheme="minorHAnsi"/>
          <w:lang w:val="cs-CZ"/>
        </w:rPr>
        <w:t> této částce</w:t>
      </w:r>
      <w:r>
        <w:rPr>
          <w:rFonts w:asciiTheme="minorHAnsi" w:hAnsiTheme="minorHAnsi" w:cstheme="minorHAnsi"/>
          <w:lang w:val="cs-CZ"/>
        </w:rPr>
        <w:t>.</w:t>
      </w:r>
      <w:r w:rsidR="00F02E5B">
        <w:rPr>
          <w:rFonts w:asciiTheme="minorHAnsi" w:hAnsiTheme="minorHAnsi" w:cstheme="minorHAnsi"/>
          <w:lang w:val="cs-CZ"/>
        </w:rPr>
        <w:t xml:space="preserve"> </w:t>
      </w:r>
    </w:p>
    <w:p w14:paraId="5A1CE9F9" w14:textId="6E2C9A0C" w:rsidR="007A4AA6" w:rsidRPr="00A0401F" w:rsidRDefault="00591179" w:rsidP="00A0401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MZV přijalo peněžní prostředky </w:t>
      </w:r>
      <w:r w:rsidR="00426912">
        <w:rPr>
          <w:rFonts w:asciiTheme="minorHAnsi" w:hAnsiTheme="minorHAnsi" w:cstheme="minorHAnsi"/>
          <w:color w:val="000000"/>
          <w:lang w:val="cs-CZ"/>
        </w:rPr>
        <w:t xml:space="preserve">z prodeje uměleckých děl a předmětů </w:t>
      </w:r>
      <w:r>
        <w:rPr>
          <w:rFonts w:asciiTheme="minorHAnsi" w:hAnsiTheme="minorHAnsi" w:cstheme="minorHAnsi"/>
          <w:color w:val="000000"/>
          <w:lang w:val="cs-CZ"/>
        </w:rPr>
        <w:t>ve výši 582 142</w:t>
      </w:r>
      <w:r w:rsidR="00AB1F84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Kč v roce 2013, ale o vyřazení majetku účtovalo až v roce 2014</w:t>
      </w:r>
      <w:r w:rsidR="00426912">
        <w:rPr>
          <w:rFonts w:asciiTheme="minorHAnsi" w:hAnsiTheme="minorHAnsi" w:cstheme="minorHAnsi"/>
          <w:color w:val="000000"/>
          <w:lang w:val="cs-CZ"/>
        </w:rPr>
        <w:t>, tj. účtovalo do nesprávného účetního období.</w:t>
      </w:r>
    </w:p>
    <w:p w14:paraId="6130C6A8" w14:textId="73AD0CA6" w:rsidR="00931026" w:rsidRPr="00931026" w:rsidRDefault="00931026" w:rsidP="00F6579D">
      <w:pPr>
        <w:pStyle w:val="Odstavecseseznamem"/>
        <w:numPr>
          <w:ilvl w:val="0"/>
          <w:numId w:val="8"/>
        </w:numPr>
        <w:spacing w:after="120"/>
        <w:ind w:left="284" w:hanging="284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MZV nesprávně vykazovalo </w:t>
      </w:r>
      <w:r w:rsidR="00EA22A3" w:rsidRPr="00931026">
        <w:rPr>
          <w:rFonts w:ascii="Calibri" w:hAnsi="Calibri" w:cs="Calibri"/>
          <w:lang w:val="cs-CZ"/>
        </w:rPr>
        <w:t>majet</w:t>
      </w:r>
      <w:r w:rsidR="00EA22A3">
        <w:rPr>
          <w:rFonts w:ascii="Calibri" w:hAnsi="Calibri" w:cs="Calibri"/>
          <w:lang w:val="cs-CZ"/>
        </w:rPr>
        <w:t>e</w:t>
      </w:r>
      <w:r w:rsidR="00EA22A3" w:rsidRPr="00931026">
        <w:rPr>
          <w:rFonts w:ascii="Calibri" w:hAnsi="Calibri" w:cs="Calibri"/>
          <w:lang w:val="cs-CZ"/>
        </w:rPr>
        <w:t xml:space="preserve">k </w:t>
      </w:r>
      <w:r w:rsidRPr="00931026">
        <w:rPr>
          <w:rFonts w:ascii="Calibri" w:hAnsi="Calibri" w:cs="Calibri"/>
          <w:lang w:val="cs-CZ"/>
        </w:rPr>
        <w:t xml:space="preserve">jako nedokončený dlouhodobý majetek </w:t>
      </w:r>
      <w:r>
        <w:rPr>
          <w:rFonts w:ascii="Calibri" w:hAnsi="Calibri" w:cs="Calibri"/>
          <w:lang w:val="cs-CZ"/>
        </w:rPr>
        <w:t xml:space="preserve">v době, kdy </w:t>
      </w:r>
      <w:r w:rsidRPr="00931026">
        <w:rPr>
          <w:rFonts w:ascii="Calibri" w:hAnsi="Calibri" w:cs="Calibri"/>
          <w:lang w:val="cs-CZ"/>
        </w:rPr>
        <w:t xml:space="preserve">byl </w:t>
      </w:r>
      <w:r w:rsidR="00DF1AEE">
        <w:rPr>
          <w:rFonts w:ascii="Calibri" w:hAnsi="Calibri" w:cs="Calibri"/>
          <w:lang w:val="cs-CZ"/>
        </w:rPr>
        <w:t xml:space="preserve">již </w:t>
      </w:r>
      <w:r w:rsidRPr="00931026">
        <w:rPr>
          <w:rFonts w:ascii="Calibri" w:hAnsi="Calibri" w:cs="Calibri"/>
          <w:lang w:val="cs-CZ"/>
        </w:rPr>
        <w:t xml:space="preserve">způsobilý k užívání a jeho pořízení mělo být zaúčtováno na příslušný majetkový účet, a to </w:t>
      </w:r>
    </w:p>
    <w:p w14:paraId="2741F71F" w14:textId="50CB1F5C" w:rsidR="00931026" w:rsidRPr="009145CE" w:rsidRDefault="00931026" w:rsidP="00931026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lang w:val="cs-CZ"/>
        </w:rPr>
      </w:pPr>
      <w:r w:rsidRPr="009145CE">
        <w:rPr>
          <w:rFonts w:ascii="Calibri" w:hAnsi="Calibri" w:cs="Calibri"/>
          <w:lang w:val="cs-CZ"/>
        </w:rPr>
        <w:t>k 31. 12. 2012, 31. 12. 2013 a k 31. 12. 2014 ve výši 2 832 785 Kč (strukturovaná kabeláž v objektu ZÚ</w:t>
      </w:r>
      <w:r w:rsidR="00EA22A3">
        <w:rPr>
          <w:rFonts w:ascii="Calibri" w:hAnsi="Calibri" w:cs="Calibri"/>
          <w:lang w:val="cs-CZ"/>
        </w:rPr>
        <w:t xml:space="preserve"> v</w:t>
      </w:r>
      <w:r w:rsidRPr="009145CE">
        <w:rPr>
          <w:rFonts w:ascii="Calibri" w:hAnsi="Calibri" w:cs="Calibri"/>
          <w:lang w:val="cs-CZ"/>
        </w:rPr>
        <w:t xml:space="preserve"> Moskv</w:t>
      </w:r>
      <w:r w:rsidR="00EA22A3">
        <w:rPr>
          <w:rFonts w:ascii="Calibri" w:hAnsi="Calibri" w:cs="Calibri"/>
          <w:lang w:val="cs-CZ"/>
        </w:rPr>
        <w:t>ě</w:t>
      </w:r>
      <w:r w:rsidRPr="009145CE">
        <w:rPr>
          <w:rFonts w:ascii="Calibri" w:hAnsi="Calibri" w:cs="Calibri"/>
          <w:lang w:val="cs-CZ"/>
        </w:rPr>
        <w:t xml:space="preserve">), </w:t>
      </w:r>
    </w:p>
    <w:p w14:paraId="28B21CCE" w14:textId="6F17E137" w:rsidR="00931026" w:rsidRDefault="00931026" w:rsidP="00931026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lang w:val="cs-CZ"/>
        </w:rPr>
      </w:pPr>
      <w:r w:rsidRPr="009145CE">
        <w:rPr>
          <w:rFonts w:ascii="Calibri" w:hAnsi="Calibri" w:cs="Calibri"/>
          <w:lang w:val="cs-CZ"/>
        </w:rPr>
        <w:t>k 3</w:t>
      </w:r>
      <w:r w:rsidR="00AE4187">
        <w:rPr>
          <w:rFonts w:ascii="Calibri" w:hAnsi="Calibri" w:cs="Calibri"/>
          <w:lang w:val="cs-CZ"/>
        </w:rPr>
        <w:t>1. 12. 2014 ve výši 5 958 485</w:t>
      </w:r>
      <w:r w:rsidRPr="009145CE">
        <w:rPr>
          <w:rFonts w:ascii="Calibri" w:hAnsi="Calibri" w:cs="Calibri"/>
          <w:lang w:val="cs-CZ"/>
        </w:rPr>
        <w:t xml:space="preserve"> Kč (technické zhodno</w:t>
      </w:r>
      <w:r>
        <w:rPr>
          <w:rFonts w:ascii="Calibri" w:hAnsi="Calibri" w:cs="Calibri"/>
          <w:lang w:val="cs-CZ"/>
        </w:rPr>
        <w:t xml:space="preserve">cení </w:t>
      </w:r>
      <w:r w:rsidR="00EA22A3">
        <w:rPr>
          <w:rFonts w:ascii="Calibri" w:hAnsi="Calibri" w:cs="Calibri"/>
          <w:lang w:val="cs-CZ"/>
        </w:rPr>
        <w:t xml:space="preserve">v podobě </w:t>
      </w:r>
      <w:r>
        <w:rPr>
          <w:rFonts w:ascii="Calibri" w:hAnsi="Calibri" w:cs="Calibri"/>
          <w:lang w:val="cs-CZ"/>
        </w:rPr>
        <w:t>výměn</w:t>
      </w:r>
      <w:r w:rsidR="00EA22A3">
        <w:rPr>
          <w:rFonts w:ascii="Calibri" w:hAnsi="Calibri" w:cs="Calibri"/>
          <w:lang w:val="cs-CZ"/>
        </w:rPr>
        <w:t>y</w:t>
      </w:r>
      <w:r>
        <w:rPr>
          <w:rFonts w:ascii="Calibri" w:hAnsi="Calibri" w:cs="Calibri"/>
          <w:lang w:val="cs-CZ"/>
        </w:rPr>
        <w:t xml:space="preserve"> čerpadel </w:t>
      </w:r>
      <w:r w:rsidR="00EA22A3">
        <w:rPr>
          <w:rFonts w:ascii="Calibri" w:hAnsi="Calibri" w:cs="Calibri"/>
          <w:lang w:val="cs-CZ"/>
        </w:rPr>
        <w:t>v </w:t>
      </w:r>
      <w:r>
        <w:rPr>
          <w:rFonts w:ascii="Calibri" w:hAnsi="Calibri" w:cs="Calibri"/>
          <w:lang w:val="cs-CZ"/>
        </w:rPr>
        <w:t xml:space="preserve">ZÚ </w:t>
      </w:r>
      <w:r w:rsidR="00EA22A3">
        <w:rPr>
          <w:rFonts w:ascii="Calibri" w:hAnsi="Calibri" w:cs="Calibri"/>
          <w:lang w:val="cs-CZ"/>
        </w:rPr>
        <w:t>v </w:t>
      </w:r>
      <w:r>
        <w:rPr>
          <w:rFonts w:ascii="Calibri" w:hAnsi="Calibri" w:cs="Calibri"/>
          <w:lang w:val="cs-CZ"/>
        </w:rPr>
        <w:t>Athén</w:t>
      </w:r>
      <w:r w:rsidR="00EA22A3">
        <w:rPr>
          <w:rFonts w:ascii="Calibri" w:hAnsi="Calibri" w:cs="Calibri"/>
          <w:lang w:val="cs-CZ"/>
        </w:rPr>
        <w:t>ách</w:t>
      </w:r>
      <w:r>
        <w:rPr>
          <w:rFonts w:ascii="Calibri" w:hAnsi="Calibri" w:cs="Calibri"/>
          <w:lang w:val="cs-CZ"/>
        </w:rPr>
        <w:t>),</w:t>
      </w:r>
    </w:p>
    <w:p w14:paraId="5407DBAF" w14:textId="510A60C5" w:rsidR="00931026" w:rsidRPr="00931026" w:rsidRDefault="00931026" w:rsidP="00931026">
      <w:pPr>
        <w:pStyle w:val="Odstavecseseznamem"/>
        <w:numPr>
          <w:ilvl w:val="0"/>
          <w:numId w:val="7"/>
        </w:numPr>
        <w:jc w:val="both"/>
        <w:rPr>
          <w:rFonts w:ascii="Calibri" w:hAnsi="Calibri" w:cs="Calibri"/>
          <w:lang w:val="cs-CZ"/>
        </w:rPr>
      </w:pPr>
      <w:r w:rsidRPr="009145CE">
        <w:rPr>
          <w:rFonts w:ascii="Calibri" w:hAnsi="Calibri" w:cs="Calibri"/>
          <w:lang w:val="cs-CZ"/>
        </w:rPr>
        <w:t>k 31. 12. 2014 ve výši 11</w:t>
      </w:r>
      <w:r w:rsidR="00AE4187">
        <w:rPr>
          <w:rFonts w:ascii="Calibri" w:hAnsi="Calibri" w:cs="Calibri"/>
          <w:lang w:val="cs-CZ"/>
        </w:rPr>
        <w:t>0 052 471</w:t>
      </w:r>
      <w:r w:rsidRPr="009145CE">
        <w:rPr>
          <w:rFonts w:ascii="Calibri" w:hAnsi="Calibri" w:cs="Calibri"/>
          <w:lang w:val="cs-CZ"/>
        </w:rPr>
        <w:t xml:space="preserve"> Kč (rekonstrukce a st</w:t>
      </w:r>
      <w:r>
        <w:rPr>
          <w:rFonts w:ascii="Calibri" w:hAnsi="Calibri" w:cs="Calibri"/>
          <w:lang w:val="cs-CZ"/>
        </w:rPr>
        <w:t>avební úpravy objektu ZÚ</w:t>
      </w:r>
      <w:r w:rsidR="0002691C">
        <w:rPr>
          <w:rFonts w:ascii="Calibri" w:hAnsi="Calibri" w:cs="Calibri"/>
          <w:lang w:val="cs-CZ"/>
        </w:rPr>
        <w:t> </w:t>
      </w:r>
      <w:r w:rsidR="00EA22A3">
        <w:rPr>
          <w:rFonts w:ascii="Calibri" w:hAnsi="Calibri" w:cs="Calibri"/>
          <w:lang w:val="cs-CZ"/>
        </w:rPr>
        <w:t>v </w:t>
      </w:r>
      <w:r>
        <w:rPr>
          <w:rFonts w:ascii="Calibri" w:hAnsi="Calibri" w:cs="Calibri"/>
          <w:lang w:val="cs-CZ"/>
        </w:rPr>
        <w:t>Toki</w:t>
      </w:r>
      <w:r w:rsidR="00EA22A3">
        <w:rPr>
          <w:rFonts w:ascii="Calibri" w:hAnsi="Calibri" w:cs="Calibri"/>
          <w:lang w:val="cs-CZ"/>
        </w:rPr>
        <w:t>u</w:t>
      </w:r>
      <w:r>
        <w:rPr>
          <w:rFonts w:ascii="Calibri" w:hAnsi="Calibri" w:cs="Calibri"/>
          <w:lang w:val="cs-CZ"/>
        </w:rPr>
        <w:t>).</w:t>
      </w:r>
    </w:p>
    <w:p w14:paraId="4C83A20A" w14:textId="10A054A6" w:rsidR="00931026" w:rsidRPr="003B036B" w:rsidRDefault="00931026" w:rsidP="003B036B">
      <w:pPr>
        <w:ind w:firstLine="284"/>
        <w:jc w:val="both"/>
        <w:rPr>
          <w:rFonts w:ascii="Calibri" w:hAnsi="Calibri" w:cs="Calibri"/>
          <w:lang w:val="cs-CZ"/>
        </w:rPr>
      </w:pPr>
      <w:r w:rsidRPr="003B036B">
        <w:rPr>
          <w:rFonts w:ascii="Calibri" w:hAnsi="Calibri" w:cs="Calibri"/>
          <w:lang w:val="cs-CZ"/>
        </w:rPr>
        <w:t>Tento nesprávný postup rovněž ovlivnil výši odpisů DHM v letech 201</w:t>
      </w:r>
      <w:r w:rsidR="00FF1E6F">
        <w:rPr>
          <w:rFonts w:ascii="Calibri" w:hAnsi="Calibri" w:cs="Calibri"/>
          <w:lang w:val="cs-CZ"/>
        </w:rPr>
        <w:t>2</w:t>
      </w:r>
      <w:r w:rsidRPr="003B036B">
        <w:rPr>
          <w:rFonts w:ascii="Calibri" w:hAnsi="Calibri" w:cs="Calibri"/>
          <w:lang w:val="cs-CZ"/>
        </w:rPr>
        <w:t xml:space="preserve"> až 2014.</w:t>
      </w:r>
    </w:p>
    <w:p w14:paraId="70EC2ED3" w14:textId="77777777" w:rsidR="00931026" w:rsidRDefault="00931026" w:rsidP="00433677">
      <w:pPr>
        <w:jc w:val="both"/>
        <w:rPr>
          <w:rFonts w:asciiTheme="minorHAnsi" w:hAnsiTheme="minorHAnsi" w:cstheme="minorHAnsi"/>
          <w:color w:val="000000"/>
          <w:highlight w:val="lightGray"/>
          <w:lang w:val="cs-CZ"/>
        </w:rPr>
      </w:pPr>
    </w:p>
    <w:p w14:paraId="2FCD42A6" w14:textId="77AD68B5" w:rsidR="00931026" w:rsidRDefault="00E32ABB" w:rsidP="001D6283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V kontrolovaném období </w:t>
      </w:r>
      <w:r w:rsidR="004F0CF7" w:rsidRPr="00112AF7">
        <w:rPr>
          <w:rFonts w:asciiTheme="minorHAnsi" w:hAnsiTheme="minorHAnsi" w:cstheme="minorHAnsi"/>
          <w:color w:val="000000"/>
          <w:lang w:val="cs-CZ"/>
        </w:rPr>
        <w:t>MZV těmito postupy porušilo ustanovení § 3 odst. 1</w:t>
      </w:r>
      <w:r w:rsidR="00112AF7" w:rsidRPr="00112AF7">
        <w:rPr>
          <w:rFonts w:asciiTheme="minorHAnsi" w:hAnsiTheme="minorHAnsi" w:cstheme="minorHAnsi"/>
          <w:color w:val="000000"/>
          <w:lang w:val="cs-CZ"/>
        </w:rPr>
        <w:t xml:space="preserve">, </w:t>
      </w:r>
      <w:r w:rsidR="004F0CF7" w:rsidRPr="00112AF7">
        <w:rPr>
          <w:rFonts w:asciiTheme="minorHAnsi" w:hAnsiTheme="minorHAnsi" w:cstheme="minorHAnsi"/>
          <w:color w:val="000000"/>
          <w:lang w:val="cs-CZ"/>
        </w:rPr>
        <w:t xml:space="preserve">§ 4 odst. 8 </w:t>
      </w:r>
      <w:r w:rsidR="00112AF7" w:rsidRPr="00112AF7">
        <w:rPr>
          <w:rFonts w:asciiTheme="minorHAnsi" w:hAnsiTheme="minorHAnsi" w:cstheme="minorHAnsi"/>
          <w:color w:val="000000"/>
          <w:lang w:val="cs-CZ"/>
        </w:rPr>
        <w:t>a</w:t>
      </w:r>
      <w:r w:rsidR="00AB1F84">
        <w:rPr>
          <w:rFonts w:asciiTheme="minorHAnsi" w:hAnsiTheme="minorHAnsi" w:cstheme="minorHAnsi"/>
          <w:color w:val="000000"/>
          <w:lang w:val="cs-CZ"/>
        </w:rPr>
        <w:t> </w:t>
      </w:r>
      <w:r w:rsidR="00112AF7" w:rsidRPr="00112AF7">
        <w:rPr>
          <w:rFonts w:asciiTheme="minorHAnsi" w:hAnsiTheme="minorHAnsi" w:cstheme="minorHAnsi"/>
          <w:color w:val="000000"/>
          <w:lang w:val="cs-CZ"/>
        </w:rPr>
        <w:t>§</w:t>
      </w:r>
      <w:r w:rsidR="00AB1F84">
        <w:rPr>
          <w:rFonts w:asciiTheme="minorHAnsi" w:hAnsiTheme="minorHAnsi" w:cstheme="minorHAnsi"/>
          <w:color w:val="000000"/>
          <w:lang w:val="cs-CZ"/>
        </w:rPr>
        <w:t> </w:t>
      </w:r>
      <w:r w:rsidR="00112AF7" w:rsidRPr="00112AF7">
        <w:rPr>
          <w:rFonts w:asciiTheme="minorHAnsi" w:hAnsiTheme="minorHAnsi" w:cstheme="minorHAnsi"/>
          <w:color w:val="000000"/>
          <w:lang w:val="cs-CZ"/>
        </w:rPr>
        <w:t>8</w:t>
      </w:r>
      <w:r w:rsidR="00AB1F84">
        <w:rPr>
          <w:rFonts w:asciiTheme="minorHAnsi" w:hAnsiTheme="minorHAnsi" w:cstheme="minorHAnsi"/>
          <w:color w:val="000000"/>
          <w:lang w:val="cs-CZ"/>
        </w:rPr>
        <w:t> </w:t>
      </w:r>
      <w:r w:rsidR="00112AF7" w:rsidRPr="00112AF7">
        <w:rPr>
          <w:rFonts w:asciiTheme="minorHAnsi" w:hAnsiTheme="minorHAnsi" w:cstheme="minorHAnsi"/>
          <w:color w:val="000000"/>
          <w:lang w:val="cs-CZ"/>
        </w:rPr>
        <w:t xml:space="preserve">odst. 2 a odst. 3 </w:t>
      </w:r>
      <w:r w:rsidR="004F0CF7" w:rsidRPr="00112AF7">
        <w:rPr>
          <w:rFonts w:asciiTheme="minorHAnsi" w:hAnsiTheme="minorHAnsi" w:cstheme="minorHAnsi"/>
          <w:color w:val="000000"/>
          <w:lang w:val="cs-CZ"/>
        </w:rPr>
        <w:t>zákona č. 563/1991 Sb. a v účetních závěrkách ve výkaz</w:t>
      </w:r>
      <w:r w:rsidR="00112AF7" w:rsidRPr="00112AF7">
        <w:rPr>
          <w:rFonts w:asciiTheme="minorHAnsi" w:hAnsiTheme="minorHAnsi" w:cstheme="minorHAnsi"/>
          <w:color w:val="000000"/>
          <w:lang w:val="cs-CZ"/>
        </w:rPr>
        <w:t>ech rozvaha a </w:t>
      </w:r>
      <w:r w:rsidR="004F0CF7" w:rsidRPr="00112AF7">
        <w:rPr>
          <w:rFonts w:asciiTheme="minorHAnsi" w:hAnsiTheme="minorHAnsi" w:cstheme="minorHAnsi"/>
          <w:color w:val="000000"/>
          <w:lang w:val="cs-CZ"/>
        </w:rPr>
        <w:t>výkaz</w:t>
      </w:r>
      <w:r w:rsidR="00DF1AEE">
        <w:rPr>
          <w:rFonts w:asciiTheme="minorHAnsi" w:hAnsiTheme="minorHAnsi" w:cstheme="minorHAnsi"/>
          <w:color w:val="000000"/>
          <w:lang w:val="cs-CZ"/>
        </w:rPr>
        <w:t>ech</w:t>
      </w:r>
      <w:r w:rsidR="004F0CF7" w:rsidRPr="00112AF7">
        <w:rPr>
          <w:rFonts w:asciiTheme="minorHAnsi" w:hAnsiTheme="minorHAnsi" w:cstheme="minorHAnsi"/>
          <w:color w:val="000000"/>
          <w:lang w:val="cs-CZ"/>
        </w:rPr>
        <w:t xml:space="preserve"> zisku a ztráty</w:t>
      </w:r>
      <w:r w:rsidRPr="00E32ABB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12AF7">
        <w:rPr>
          <w:rFonts w:asciiTheme="minorHAnsi" w:hAnsiTheme="minorHAnsi" w:cstheme="minorHAnsi"/>
          <w:color w:val="000000"/>
          <w:lang w:val="cs-CZ"/>
        </w:rPr>
        <w:t>vyk</w:t>
      </w:r>
      <w:r>
        <w:rPr>
          <w:rFonts w:asciiTheme="minorHAnsi" w:hAnsiTheme="minorHAnsi" w:cstheme="minorHAnsi"/>
          <w:color w:val="000000"/>
          <w:lang w:val="cs-CZ"/>
        </w:rPr>
        <w:t>á</w:t>
      </w:r>
      <w:r w:rsidRPr="00112AF7">
        <w:rPr>
          <w:rFonts w:asciiTheme="minorHAnsi" w:hAnsiTheme="minorHAnsi" w:cstheme="minorHAnsi"/>
          <w:color w:val="000000"/>
          <w:lang w:val="cs-CZ"/>
        </w:rPr>
        <w:t>zalo nesprávn</w:t>
      </w:r>
      <w:r>
        <w:rPr>
          <w:rFonts w:asciiTheme="minorHAnsi" w:hAnsiTheme="minorHAnsi" w:cstheme="minorHAnsi"/>
          <w:color w:val="000000"/>
          <w:lang w:val="cs-CZ"/>
        </w:rPr>
        <w:t>é</w:t>
      </w:r>
      <w:r w:rsidRPr="00112AF7">
        <w:rPr>
          <w:rFonts w:asciiTheme="minorHAnsi" w:hAnsiTheme="minorHAnsi" w:cstheme="minorHAnsi"/>
          <w:color w:val="000000"/>
          <w:lang w:val="cs-CZ"/>
        </w:rPr>
        <w:t xml:space="preserve"> údaje</w:t>
      </w:r>
      <w:r w:rsidR="00112AF7">
        <w:rPr>
          <w:rFonts w:asciiTheme="minorHAnsi" w:hAnsiTheme="minorHAnsi" w:cstheme="minorHAnsi"/>
          <w:color w:val="000000"/>
          <w:lang w:val="cs-CZ"/>
        </w:rPr>
        <w:t>.</w:t>
      </w:r>
    </w:p>
    <w:p w14:paraId="7082A6A7" w14:textId="77777777" w:rsidR="003B036B" w:rsidRDefault="003B036B" w:rsidP="003B036B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365E95">
        <w:rPr>
          <w:rFonts w:asciiTheme="minorHAnsi" w:hAnsiTheme="minorHAnsi" w:cstheme="minorHAnsi"/>
          <w:color w:val="000000"/>
          <w:lang w:val="cs-CZ"/>
        </w:rPr>
        <w:t>U dlouhodobého majetk</w:t>
      </w:r>
      <w:r w:rsidR="00AE4187">
        <w:rPr>
          <w:rFonts w:asciiTheme="minorHAnsi" w:hAnsiTheme="minorHAnsi" w:cstheme="minorHAnsi"/>
          <w:color w:val="000000"/>
          <w:lang w:val="cs-CZ"/>
        </w:rPr>
        <w:t>u v celkové hodnotě 229 285 908</w:t>
      </w:r>
      <w:r w:rsidRPr="00365E95">
        <w:rPr>
          <w:rFonts w:asciiTheme="minorHAnsi" w:hAnsiTheme="minorHAnsi" w:cstheme="minorHAnsi"/>
          <w:color w:val="000000"/>
          <w:lang w:val="cs-CZ"/>
        </w:rPr>
        <w:t xml:space="preserve"> Kč (tj. součet hodnot technického zhodnocení majetku ve vybraných případech, výše poři</w:t>
      </w:r>
      <w:r w:rsidR="00936E4A">
        <w:rPr>
          <w:rFonts w:asciiTheme="minorHAnsi" w:hAnsiTheme="minorHAnsi" w:cstheme="minorHAnsi"/>
          <w:color w:val="000000"/>
          <w:lang w:val="cs-CZ"/>
        </w:rPr>
        <w:t>zovacích cen vybraného majetku)</w:t>
      </w:r>
      <w:r w:rsidRPr="00365E95">
        <w:rPr>
          <w:rFonts w:asciiTheme="minorHAnsi" w:hAnsiTheme="minorHAnsi" w:cstheme="minorHAnsi"/>
          <w:color w:val="000000"/>
          <w:lang w:val="cs-CZ"/>
        </w:rPr>
        <w:t xml:space="preserve"> byla ověřována správnost </w:t>
      </w:r>
      <w:r>
        <w:rPr>
          <w:rFonts w:asciiTheme="minorHAnsi" w:hAnsiTheme="minorHAnsi" w:cstheme="minorHAnsi"/>
          <w:color w:val="000000"/>
          <w:lang w:val="cs-CZ"/>
        </w:rPr>
        <w:t xml:space="preserve">výpočtu </w:t>
      </w:r>
      <w:r w:rsidRPr="00365E95">
        <w:rPr>
          <w:rFonts w:asciiTheme="minorHAnsi" w:hAnsiTheme="minorHAnsi" w:cstheme="minorHAnsi"/>
          <w:color w:val="000000"/>
          <w:lang w:val="cs-CZ"/>
        </w:rPr>
        <w:t>výše odpisů</w:t>
      </w:r>
      <w:r>
        <w:rPr>
          <w:rFonts w:asciiTheme="minorHAnsi" w:hAnsiTheme="minorHAnsi" w:cstheme="minorHAnsi"/>
          <w:color w:val="000000"/>
          <w:lang w:val="cs-CZ"/>
        </w:rPr>
        <w:t>,</w:t>
      </w:r>
      <w:r w:rsidRPr="00365E95">
        <w:rPr>
          <w:rFonts w:asciiTheme="minorHAnsi" w:hAnsiTheme="minorHAnsi" w:cstheme="minorHAnsi"/>
          <w:color w:val="000000"/>
          <w:lang w:val="cs-CZ"/>
        </w:rPr>
        <w:t xml:space="preserve"> včasné zahájení a ukončení provádění odpisování. </w:t>
      </w:r>
    </w:p>
    <w:p w14:paraId="5F405864" w14:textId="7A6248EA" w:rsidR="003B036B" w:rsidRDefault="003B036B" w:rsidP="00F6579D">
      <w:pPr>
        <w:keepNext/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lastRenderedPageBreak/>
        <w:t>Kontrolou bylo zjištěno nesprávné odpisování majetku, např.</w:t>
      </w:r>
      <w:r w:rsidR="004454D7">
        <w:rPr>
          <w:rFonts w:asciiTheme="minorHAnsi" w:hAnsiTheme="minorHAnsi" w:cstheme="minorHAnsi"/>
          <w:color w:val="000000"/>
          <w:lang w:val="cs-CZ"/>
        </w:rPr>
        <w:t>:</w:t>
      </w:r>
    </w:p>
    <w:p w14:paraId="428BDAC1" w14:textId="2B0497F8" w:rsidR="003B036B" w:rsidRPr="0014371C" w:rsidRDefault="003B036B" w:rsidP="003B036B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  <w:rPr>
          <w:rFonts w:asciiTheme="minorHAnsi" w:hAnsiTheme="minorHAnsi" w:cstheme="minorHAnsi"/>
          <w:lang w:val="cs-CZ"/>
        </w:rPr>
      </w:pPr>
      <w:r w:rsidRPr="0014371C">
        <w:rPr>
          <w:rFonts w:asciiTheme="minorHAnsi" w:hAnsiTheme="minorHAnsi" w:cstheme="minorHAnsi"/>
          <w:lang w:val="cs-CZ"/>
        </w:rPr>
        <w:t xml:space="preserve">v případě technického zhodnocení </w:t>
      </w:r>
      <w:r w:rsidR="004454D7">
        <w:rPr>
          <w:rFonts w:asciiTheme="minorHAnsi" w:hAnsiTheme="minorHAnsi" w:cstheme="minorHAnsi"/>
          <w:lang w:val="cs-CZ"/>
        </w:rPr>
        <w:t>ve výši 110 052 471</w:t>
      </w:r>
      <w:r w:rsidR="004454D7" w:rsidRPr="0014371C">
        <w:rPr>
          <w:rFonts w:asciiTheme="minorHAnsi" w:hAnsiTheme="minorHAnsi" w:cstheme="minorHAnsi"/>
          <w:lang w:val="cs-CZ"/>
        </w:rPr>
        <w:t xml:space="preserve"> Kč </w:t>
      </w:r>
      <w:r w:rsidR="004454D7">
        <w:rPr>
          <w:rFonts w:asciiTheme="minorHAnsi" w:hAnsiTheme="minorHAnsi" w:cstheme="minorHAnsi"/>
          <w:lang w:val="cs-CZ"/>
        </w:rPr>
        <w:t xml:space="preserve">na </w:t>
      </w:r>
      <w:r w:rsidRPr="0014371C">
        <w:rPr>
          <w:rFonts w:asciiTheme="minorHAnsi" w:hAnsiTheme="minorHAnsi" w:cstheme="minorHAnsi"/>
          <w:lang w:val="cs-CZ"/>
        </w:rPr>
        <w:t xml:space="preserve">majetku </w:t>
      </w:r>
      <w:r w:rsidR="00AE4187">
        <w:rPr>
          <w:rFonts w:asciiTheme="minorHAnsi" w:hAnsiTheme="minorHAnsi" w:cstheme="minorHAnsi"/>
          <w:lang w:val="cs-CZ"/>
        </w:rPr>
        <w:t xml:space="preserve">ZÚ </w:t>
      </w:r>
      <w:r w:rsidR="004454D7">
        <w:rPr>
          <w:rFonts w:asciiTheme="minorHAnsi" w:hAnsiTheme="minorHAnsi" w:cstheme="minorHAnsi"/>
          <w:lang w:val="cs-CZ"/>
        </w:rPr>
        <w:t>v </w:t>
      </w:r>
      <w:r w:rsidR="00AE4187">
        <w:rPr>
          <w:rFonts w:asciiTheme="minorHAnsi" w:hAnsiTheme="minorHAnsi" w:cstheme="minorHAnsi"/>
          <w:lang w:val="cs-CZ"/>
        </w:rPr>
        <w:t>Toki</w:t>
      </w:r>
      <w:r w:rsidR="004454D7">
        <w:rPr>
          <w:rFonts w:asciiTheme="minorHAnsi" w:hAnsiTheme="minorHAnsi" w:cstheme="minorHAnsi"/>
          <w:lang w:val="cs-CZ"/>
        </w:rPr>
        <w:t>u</w:t>
      </w:r>
      <w:r w:rsidR="00AE4187">
        <w:rPr>
          <w:rFonts w:asciiTheme="minorHAnsi" w:hAnsiTheme="minorHAnsi" w:cstheme="minorHAnsi"/>
          <w:lang w:val="cs-CZ"/>
        </w:rPr>
        <w:t xml:space="preserve"> </w:t>
      </w:r>
      <w:r w:rsidRPr="0014371C">
        <w:rPr>
          <w:rFonts w:asciiTheme="minorHAnsi" w:hAnsiTheme="minorHAnsi" w:cstheme="minorHAnsi"/>
          <w:lang w:val="cs-CZ"/>
        </w:rPr>
        <w:t>bylo odpisování zahájeno o 9 měsíců později, čímž v roce 2014 došlo ke snížení roční výše oprávek o částku 687 828 Kč a v roce 2015 o částku 343 914 Kč</w:t>
      </w:r>
      <w:r w:rsidR="00184892">
        <w:rPr>
          <w:rFonts w:asciiTheme="minorHAnsi" w:hAnsiTheme="minorHAnsi" w:cstheme="minorHAnsi"/>
          <w:lang w:val="cs-CZ"/>
        </w:rPr>
        <w:t>;</w:t>
      </w:r>
    </w:p>
    <w:p w14:paraId="0A540392" w14:textId="4246A5B0" w:rsidR="003B036B" w:rsidRPr="0014371C" w:rsidRDefault="003B036B" w:rsidP="003B036B">
      <w:pPr>
        <w:pStyle w:val="Odstavecseseznamem"/>
        <w:numPr>
          <w:ilvl w:val="0"/>
          <w:numId w:val="5"/>
        </w:numPr>
        <w:ind w:left="425" w:hanging="425"/>
        <w:contextualSpacing w:val="0"/>
        <w:jc w:val="both"/>
        <w:rPr>
          <w:rFonts w:asciiTheme="minorHAnsi" w:hAnsiTheme="minorHAnsi" w:cstheme="minorHAnsi"/>
          <w:lang w:val="cs-CZ"/>
        </w:rPr>
      </w:pPr>
      <w:r w:rsidRPr="0014371C">
        <w:rPr>
          <w:rFonts w:asciiTheme="minorHAnsi" w:hAnsiTheme="minorHAnsi" w:cstheme="minorHAnsi"/>
          <w:lang w:val="cs-CZ"/>
        </w:rPr>
        <w:t xml:space="preserve">v případě technického zhodnocení </w:t>
      </w:r>
      <w:r w:rsidR="004454D7">
        <w:rPr>
          <w:rFonts w:asciiTheme="minorHAnsi" w:hAnsiTheme="minorHAnsi" w:cstheme="minorHAnsi"/>
          <w:lang w:val="cs-CZ"/>
        </w:rPr>
        <w:t xml:space="preserve">ve výši </w:t>
      </w:r>
      <w:r w:rsidR="004454D7" w:rsidRPr="0014371C">
        <w:rPr>
          <w:rFonts w:asciiTheme="minorHAnsi" w:hAnsiTheme="minorHAnsi" w:cstheme="minorHAnsi"/>
          <w:lang w:val="cs-CZ"/>
        </w:rPr>
        <w:t>2 832 785 </w:t>
      </w:r>
      <w:proofErr w:type="gramStart"/>
      <w:r w:rsidR="004454D7" w:rsidRPr="004454D7">
        <w:rPr>
          <w:rFonts w:asciiTheme="minorHAnsi" w:hAnsiTheme="minorHAnsi" w:cstheme="minorHAnsi"/>
          <w:lang w:val="cs-CZ"/>
        </w:rPr>
        <w:t>Kč</w:t>
      </w:r>
      <w:r w:rsidR="004454D7" w:rsidRPr="00F6579D">
        <w:rPr>
          <w:rFonts w:asciiTheme="minorHAnsi" w:hAnsiTheme="minorHAnsi" w:cstheme="minorHAnsi"/>
          <w:lang w:val="cs-CZ"/>
        </w:rPr>
        <w:t xml:space="preserve"> u </w:t>
      </w:r>
      <w:r w:rsidRPr="00C03AF0">
        <w:rPr>
          <w:rFonts w:asciiTheme="minorHAnsi" w:hAnsiTheme="minorHAnsi" w:cstheme="minorHAnsi"/>
          <w:lang w:val="cs-CZ"/>
        </w:rPr>
        <w:t>ZÚ</w:t>
      </w:r>
      <w:proofErr w:type="gramEnd"/>
      <w:r w:rsidRPr="00C03AF0">
        <w:rPr>
          <w:rFonts w:asciiTheme="minorHAnsi" w:hAnsiTheme="minorHAnsi" w:cstheme="minorHAnsi"/>
          <w:lang w:val="cs-CZ"/>
        </w:rPr>
        <w:t xml:space="preserve"> </w:t>
      </w:r>
      <w:r w:rsidR="004454D7" w:rsidRPr="00C03AF0">
        <w:rPr>
          <w:rFonts w:asciiTheme="minorHAnsi" w:hAnsiTheme="minorHAnsi" w:cstheme="minorHAnsi"/>
          <w:lang w:val="cs-CZ"/>
        </w:rPr>
        <w:t>v</w:t>
      </w:r>
      <w:r w:rsidR="004454D7" w:rsidRPr="00F6579D">
        <w:rPr>
          <w:rFonts w:asciiTheme="minorHAnsi" w:hAnsiTheme="minorHAnsi" w:cstheme="minorHAnsi"/>
          <w:lang w:val="cs-CZ"/>
        </w:rPr>
        <w:t> </w:t>
      </w:r>
      <w:r w:rsidRPr="00C03AF0">
        <w:rPr>
          <w:rFonts w:asciiTheme="minorHAnsi" w:hAnsiTheme="minorHAnsi" w:cstheme="minorHAnsi"/>
          <w:lang w:val="cs-CZ"/>
        </w:rPr>
        <w:t>Moskv</w:t>
      </w:r>
      <w:r w:rsidR="004454D7" w:rsidRPr="00F6579D">
        <w:rPr>
          <w:rFonts w:asciiTheme="minorHAnsi" w:hAnsiTheme="minorHAnsi" w:cstheme="minorHAnsi"/>
          <w:lang w:val="cs-CZ"/>
        </w:rPr>
        <w:t>ě</w:t>
      </w:r>
      <w:r w:rsidRPr="00C03AF0">
        <w:rPr>
          <w:rFonts w:asciiTheme="minorHAnsi" w:hAnsiTheme="minorHAnsi" w:cstheme="minorHAnsi"/>
          <w:lang w:val="cs-CZ"/>
        </w:rPr>
        <w:t xml:space="preserve"> bylo odpisování majetku zahájeno po 3,5 letech, v důsledku čehož byly v letech 2012 až</w:t>
      </w:r>
      <w:r w:rsidRPr="0014371C">
        <w:rPr>
          <w:rFonts w:asciiTheme="minorHAnsi" w:hAnsiTheme="minorHAnsi" w:cstheme="minorHAnsi"/>
          <w:lang w:val="cs-CZ"/>
        </w:rPr>
        <w:t xml:space="preserve"> 2014 oprávky sníženy celkem o 106 236 Kč a v roce 2015 o 17 706 Kč</w:t>
      </w:r>
      <w:r w:rsidR="00184892">
        <w:rPr>
          <w:rFonts w:asciiTheme="minorHAnsi" w:hAnsiTheme="minorHAnsi" w:cstheme="minorHAnsi"/>
          <w:lang w:val="cs-CZ"/>
        </w:rPr>
        <w:t>;</w:t>
      </w:r>
    </w:p>
    <w:p w14:paraId="5419A944" w14:textId="2B4F193F" w:rsidR="003B036B" w:rsidRPr="0014371C" w:rsidRDefault="003B036B" w:rsidP="003B036B">
      <w:pPr>
        <w:pStyle w:val="Odstavecseseznamem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Theme="minorHAnsi" w:hAnsiTheme="minorHAnsi" w:cstheme="minorHAnsi"/>
          <w:lang w:val="cs-CZ"/>
        </w:rPr>
      </w:pPr>
      <w:r w:rsidRPr="0014371C">
        <w:rPr>
          <w:rFonts w:asciiTheme="minorHAnsi" w:hAnsiTheme="minorHAnsi" w:cstheme="minorHAnsi"/>
          <w:lang w:val="cs-CZ"/>
        </w:rPr>
        <w:t xml:space="preserve">v souvislosti s prodejem nemovitostí ZÚ </w:t>
      </w:r>
      <w:r w:rsidR="004454D7">
        <w:rPr>
          <w:rFonts w:asciiTheme="minorHAnsi" w:hAnsiTheme="minorHAnsi" w:cstheme="minorHAnsi"/>
          <w:lang w:val="cs-CZ"/>
        </w:rPr>
        <w:t>v </w:t>
      </w:r>
      <w:r w:rsidRPr="0014371C">
        <w:rPr>
          <w:rFonts w:asciiTheme="minorHAnsi" w:hAnsiTheme="minorHAnsi" w:cstheme="minorHAnsi"/>
          <w:lang w:val="cs-CZ"/>
        </w:rPr>
        <w:t>Berlín</w:t>
      </w:r>
      <w:r w:rsidR="004454D7">
        <w:rPr>
          <w:rFonts w:asciiTheme="minorHAnsi" w:hAnsiTheme="minorHAnsi" w:cstheme="minorHAnsi"/>
          <w:lang w:val="cs-CZ"/>
        </w:rPr>
        <w:t>ě</w:t>
      </w:r>
      <w:r w:rsidRPr="0014371C">
        <w:rPr>
          <w:rFonts w:asciiTheme="minorHAnsi" w:hAnsiTheme="minorHAnsi" w:cstheme="minorHAnsi"/>
          <w:lang w:val="cs-CZ"/>
        </w:rPr>
        <w:t xml:space="preserve"> </w:t>
      </w:r>
      <w:r w:rsidR="00F16369">
        <w:rPr>
          <w:rFonts w:asciiTheme="minorHAnsi" w:hAnsiTheme="minorHAnsi" w:cstheme="minorHAnsi"/>
          <w:lang w:val="cs-CZ"/>
        </w:rPr>
        <w:t xml:space="preserve">MZV </w:t>
      </w:r>
      <w:r w:rsidRPr="0014371C">
        <w:rPr>
          <w:rFonts w:asciiTheme="minorHAnsi" w:hAnsiTheme="minorHAnsi" w:cstheme="minorHAnsi"/>
          <w:lang w:val="cs-CZ"/>
        </w:rPr>
        <w:t>chybně odpisovalo majetek v době, kdy byl určen k prodeji, čímž v roce 2012 nesprávně navýšilo oprávky o celkem 487</w:t>
      </w:r>
      <w:r w:rsidR="002F1585">
        <w:rPr>
          <w:rFonts w:asciiTheme="minorHAnsi" w:hAnsiTheme="minorHAnsi" w:cstheme="minorHAnsi"/>
          <w:lang w:val="cs-CZ"/>
        </w:rPr>
        <w:t> </w:t>
      </w:r>
      <w:r w:rsidRPr="0014371C">
        <w:rPr>
          <w:rFonts w:asciiTheme="minorHAnsi" w:hAnsiTheme="minorHAnsi" w:cstheme="minorHAnsi"/>
          <w:lang w:val="cs-CZ"/>
        </w:rPr>
        <w:t>125</w:t>
      </w:r>
      <w:r w:rsidR="002F1585">
        <w:rPr>
          <w:rFonts w:asciiTheme="minorHAnsi" w:hAnsiTheme="minorHAnsi" w:cstheme="minorHAnsi"/>
          <w:lang w:val="cs-CZ"/>
        </w:rPr>
        <w:t> </w:t>
      </w:r>
      <w:r>
        <w:rPr>
          <w:rFonts w:asciiTheme="minorHAnsi" w:hAnsiTheme="minorHAnsi" w:cstheme="minorHAnsi"/>
          <w:lang w:val="cs-CZ"/>
        </w:rPr>
        <w:t>Kč a</w:t>
      </w:r>
      <w:r w:rsidR="00AB1F84">
        <w:rPr>
          <w:rFonts w:asciiTheme="minorHAnsi" w:hAnsiTheme="minorHAnsi" w:cstheme="minorHAnsi"/>
          <w:lang w:val="cs-CZ"/>
        </w:rPr>
        <w:t> </w:t>
      </w:r>
      <w:r>
        <w:rPr>
          <w:rFonts w:asciiTheme="minorHAnsi" w:hAnsiTheme="minorHAnsi" w:cstheme="minorHAnsi"/>
          <w:lang w:val="cs-CZ"/>
        </w:rPr>
        <w:t>v roce 2013 o 974 250 Kč.</w:t>
      </w:r>
    </w:p>
    <w:p w14:paraId="777F7C80" w14:textId="4AAE43B4" w:rsidR="003B036B" w:rsidRPr="00936E4A" w:rsidRDefault="003B036B" w:rsidP="00936E4A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6124A7">
        <w:rPr>
          <w:rFonts w:asciiTheme="minorHAnsi" w:hAnsiTheme="minorHAnsi" w:cstheme="minorHAnsi"/>
          <w:color w:val="000000"/>
          <w:lang w:val="cs-CZ"/>
        </w:rPr>
        <w:t xml:space="preserve">MZV </w:t>
      </w:r>
      <w:r>
        <w:rPr>
          <w:rFonts w:asciiTheme="minorHAnsi" w:hAnsiTheme="minorHAnsi" w:cstheme="minorHAnsi"/>
          <w:color w:val="000000"/>
          <w:lang w:val="cs-CZ"/>
        </w:rPr>
        <w:t xml:space="preserve">tímto </w:t>
      </w:r>
      <w:r w:rsidRPr="006124A7">
        <w:rPr>
          <w:rFonts w:asciiTheme="minorHAnsi" w:hAnsiTheme="minorHAnsi" w:cstheme="minorHAnsi"/>
          <w:color w:val="000000"/>
          <w:lang w:val="cs-CZ"/>
        </w:rPr>
        <w:t xml:space="preserve">porušilo ustanovení § 28 odst. 1 zákona č. 563/1991 Sb. </w:t>
      </w:r>
      <w:r>
        <w:rPr>
          <w:rFonts w:asciiTheme="minorHAnsi" w:hAnsiTheme="minorHAnsi" w:cstheme="minorHAnsi"/>
          <w:color w:val="000000"/>
          <w:lang w:val="cs-CZ"/>
        </w:rPr>
        <w:t xml:space="preserve">a </w:t>
      </w:r>
      <w:r w:rsidR="0086552D">
        <w:rPr>
          <w:rFonts w:asciiTheme="minorHAnsi" w:hAnsiTheme="minorHAnsi" w:cstheme="minorHAnsi"/>
          <w:color w:val="000000"/>
          <w:lang w:val="cs-CZ"/>
        </w:rPr>
        <w:t xml:space="preserve">zároveň </w:t>
      </w:r>
      <w:r>
        <w:rPr>
          <w:rFonts w:asciiTheme="minorHAnsi" w:hAnsiTheme="minorHAnsi" w:cstheme="minorHAnsi"/>
          <w:color w:val="000000"/>
          <w:lang w:val="cs-CZ"/>
        </w:rPr>
        <w:t>§ 14 odst. 11 (resp.</w:t>
      </w:r>
      <w:r w:rsidR="004B14DD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od</w:t>
      </w:r>
      <w:r w:rsidR="00AB1F84">
        <w:rPr>
          <w:rFonts w:asciiTheme="minorHAnsi" w:hAnsiTheme="minorHAnsi" w:cstheme="minorHAnsi"/>
          <w:color w:val="000000"/>
          <w:lang w:val="cs-CZ"/>
        </w:rPr>
        <w:t> </w:t>
      </w:r>
      <w:r>
        <w:rPr>
          <w:rFonts w:asciiTheme="minorHAnsi" w:hAnsiTheme="minorHAnsi" w:cstheme="minorHAnsi"/>
          <w:color w:val="000000"/>
          <w:lang w:val="cs-CZ"/>
        </w:rPr>
        <w:t>1. 1. </w:t>
      </w:r>
      <w:r w:rsidRPr="006124A7">
        <w:rPr>
          <w:rFonts w:asciiTheme="minorHAnsi" w:hAnsiTheme="minorHAnsi" w:cstheme="minorHAnsi"/>
          <w:color w:val="000000"/>
          <w:lang w:val="cs-CZ"/>
        </w:rPr>
        <w:t>2013 odst. 12)</w:t>
      </w:r>
      <w:r w:rsidR="0086552D">
        <w:rPr>
          <w:rFonts w:asciiTheme="minorHAnsi" w:hAnsiTheme="minorHAnsi" w:cstheme="minorHAnsi"/>
          <w:color w:val="000000"/>
          <w:lang w:val="cs-CZ"/>
        </w:rPr>
        <w:t xml:space="preserve"> a</w:t>
      </w:r>
      <w:r w:rsidRPr="006124A7">
        <w:rPr>
          <w:rFonts w:asciiTheme="minorHAnsi" w:hAnsiTheme="minorHAnsi" w:cstheme="minorHAnsi"/>
          <w:color w:val="000000"/>
          <w:lang w:val="cs-CZ"/>
        </w:rPr>
        <w:t xml:space="preserve"> § 66 odst. 1 vyhlášky č. 410/2009 Sb.</w:t>
      </w:r>
      <w:r w:rsidR="00F74A50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5"/>
      </w:r>
    </w:p>
    <w:p w14:paraId="70D842CB" w14:textId="05D98B22" w:rsidR="003B036B" w:rsidRDefault="003B036B" w:rsidP="00936E4A">
      <w:pPr>
        <w:pStyle w:val="Odstavecseseznamem"/>
        <w:spacing w:after="240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Nesprávné odpisování majetku </w:t>
      </w:r>
      <w:r w:rsidR="004B14DD">
        <w:rPr>
          <w:rFonts w:asciiTheme="minorHAnsi" w:hAnsiTheme="minorHAnsi" w:cstheme="minorHAnsi"/>
          <w:lang w:val="cs-CZ"/>
        </w:rPr>
        <w:t xml:space="preserve">ovlivnilo </w:t>
      </w:r>
      <w:r w:rsidR="00C03AF0">
        <w:rPr>
          <w:rFonts w:asciiTheme="minorHAnsi" w:hAnsiTheme="minorHAnsi" w:cstheme="minorHAnsi"/>
          <w:lang w:val="cs-CZ"/>
        </w:rPr>
        <w:t>při</w:t>
      </w:r>
      <w:r w:rsidR="004B14DD">
        <w:rPr>
          <w:rFonts w:asciiTheme="minorHAnsi" w:hAnsiTheme="minorHAnsi" w:cstheme="minorHAnsi"/>
          <w:lang w:val="cs-CZ"/>
        </w:rPr>
        <w:t xml:space="preserve">nejmenším </w:t>
      </w:r>
      <w:r>
        <w:rPr>
          <w:rFonts w:asciiTheme="minorHAnsi" w:hAnsiTheme="minorHAnsi" w:cstheme="minorHAnsi"/>
          <w:lang w:val="cs-CZ"/>
        </w:rPr>
        <w:t>ve zjištěných případech vykazování údajů v účetních závěrkách, např. ve výkazu zisku a ztráty za období 2012 byla položka „</w:t>
      </w:r>
      <w:r w:rsidR="004B14DD" w:rsidRPr="00F6579D">
        <w:rPr>
          <w:rFonts w:asciiTheme="minorHAnsi" w:hAnsiTheme="minorHAnsi" w:cstheme="minorHAnsi"/>
          <w:i/>
          <w:lang w:val="cs-CZ"/>
        </w:rPr>
        <w:t>v</w:t>
      </w:r>
      <w:r w:rsidRPr="00F6579D">
        <w:rPr>
          <w:rFonts w:asciiTheme="minorHAnsi" w:hAnsiTheme="minorHAnsi" w:cstheme="minorHAnsi"/>
          <w:i/>
          <w:lang w:val="cs-CZ"/>
        </w:rPr>
        <w:t>ýsledek hospodaření běžného účetního období</w:t>
      </w:r>
      <w:r>
        <w:rPr>
          <w:rFonts w:asciiTheme="minorHAnsi" w:hAnsiTheme="minorHAnsi" w:cstheme="minorHAnsi"/>
          <w:lang w:val="cs-CZ"/>
        </w:rPr>
        <w:t>“ podhodnocena o 451 713 Kč, za období 2013 o 933 538 Kč, naopak za období 2014 MZV výsledek hospodaření po zdanění nadhodnotilo</w:t>
      </w:r>
      <w:r w:rsidR="00DF1AEE" w:rsidRPr="00DF1AEE">
        <w:rPr>
          <w:rFonts w:asciiTheme="minorHAnsi" w:hAnsiTheme="minorHAnsi" w:cstheme="minorHAnsi"/>
          <w:lang w:val="cs-CZ"/>
        </w:rPr>
        <w:t xml:space="preserve"> </w:t>
      </w:r>
      <w:r w:rsidR="00DF1AEE">
        <w:rPr>
          <w:rFonts w:asciiTheme="minorHAnsi" w:hAnsiTheme="minorHAnsi" w:cstheme="minorHAnsi"/>
          <w:lang w:val="cs-CZ"/>
        </w:rPr>
        <w:t>o</w:t>
      </w:r>
      <w:r w:rsidR="00AB1F84">
        <w:rPr>
          <w:rFonts w:asciiTheme="minorHAnsi" w:hAnsiTheme="minorHAnsi" w:cstheme="minorHAnsi"/>
          <w:lang w:val="cs-CZ"/>
        </w:rPr>
        <w:t> </w:t>
      </w:r>
      <w:r w:rsidR="00DF1AEE">
        <w:rPr>
          <w:rFonts w:asciiTheme="minorHAnsi" w:hAnsiTheme="minorHAnsi" w:cstheme="minorHAnsi"/>
          <w:lang w:val="cs-CZ"/>
        </w:rPr>
        <w:t>částku 726 654 Kč</w:t>
      </w:r>
      <w:r>
        <w:rPr>
          <w:rFonts w:asciiTheme="minorHAnsi" w:hAnsiTheme="minorHAnsi" w:cstheme="minorHAnsi"/>
          <w:lang w:val="cs-CZ"/>
        </w:rPr>
        <w:t>.</w:t>
      </w:r>
    </w:p>
    <w:p w14:paraId="33874F2C" w14:textId="05BB418A" w:rsidR="00FA612C" w:rsidRDefault="00FA612C" w:rsidP="00F6579D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Účetnictví MZV tak v kontrolovaném období </w:t>
      </w:r>
      <w:r w:rsidR="004B14DD">
        <w:rPr>
          <w:rFonts w:asciiTheme="minorHAnsi" w:hAnsiTheme="minorHAnsi" w:cstheme="minorHAnsi"/>
          <w:lang w:val="cs-CZ"/>
        </w:rPr>
        <w:t xml:space="preserve">nebylo </w:t>
      </w:r>
      <w:r>
        <w:rPr>
          <w:rFonts w:asciiTheme="minorHAnsi" w:hAnsiTheme="minorHAnsi" w:cstheme="minorHAnsi"/>
          <w:lang w:val="cs-CZ"/>
        </w:rPr>
        <w:t>úplné a správné.</w:t>
      </w:r>
    </w:p>
    <w:p w14:paraId="37D34395" w14:textId="77777777" w:rsidR="00C12EB3" w:rsidRPr="00936E4A" w:rsidRDefault="00C12EB3" w:rsidP="00F6579D">
      <w:pPr>
        <w:pStyle w:val="Odstavecseseznamem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</w:p>
    <w:p w14:paraId="68F51456" w14:textId="7BCE08B8" w:rsidR="00FA612C" w:rsidRDefault="00B74C60" w:rsidP="00433677">
      <w:pPr>
        <w:spacing w:after="120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t xml:space="preserve">2. </w:t>
      </w:r>
      <w:r w:rsidR="00FA612C">
        <w:rPr>
          <w:rFonts w:asciiTheme="minorHAnsi" w:hAnsiTheme="minorHAnsi" w:cstheme="minorHAnsi"/>
          <w:b/>
          <w:color w:val="000000"/>
          <w:lang w:val="cs-CZ"/>
        </w:rPr>
        <w:t>Nakládání s</w:t>
      </w:r>
      <w:r w:rsidR="00FF1E6F">
        <w:rPr>
          <w:rFonts w:asciiTheme="minorHAnsi" w:hAnsiTheme="minorHAnsi" w:cstheme="minorHAnsi"/>
          <w:b/>
          <w:color w:val="000000"/>
          <w:lang w:val="cs-CZ"/>
        </w:rPr>
        <w:t> </w:t>
      </w:r>
      <w:r w:rsidR="00FA612C">
        <w:rPr>
          <w:rFonts w:asciiTheme="minorHAnsi" w:hAnsiTheme="minorHAnsi" w:cstheme="minorHAnsi"/>
          <w:b/>
          <w:color w:val="000000"/>
          <w:lang w:val="cs-CZ"/>
        </w:rPr>
        <w:t>majetkem</w:t>
      </w:r>
    </w:p>
    <w:p w14:paraId="5D85ED07" w14:textId="2A3186E3" w:rsidR="00FF1E6F" w:rsidRPr="00FF1E6F" w:rsidRDefault="00FF1E6F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FF1E6F">
        <w:rPr>
          <w:rFonts w:asciiTheme="minorHAnsi" w:hAnsiTheme="minorHAnsi" w:cstheme="minorHAnsi"/>
          <w:color w:val="000000"/>
          <w:lang w:val="cs-CZ"/>
        </w:rPr>
        <w:t xml:space="preserve">V rámci kontroly nakládání s majetkem </w:t>
      </w:r>
      <w:r w:rsidR="00C03AF0">
        <w:rPr>
          <w:rFonts w:asciiTheme="minorHAnsi" w:hAnsiTheme="minorHAnsi" w:cstheme="minorHAnsi"/>
          <w:color w:val="000000"/>
          <w:lang w:val="cs-CZ"/>
        </w:rPr>
        <w:t>se NKÚ zaměřil na</w:t>
      </w:r>
      <w:r w:rsidRPr="00FF1E6F">
        <w:rPr>
          <w:rFonts w:asciiTheme="minorHAnsi" w:hAnsiTheme="minorHAnsi" w:cstheme="minorHAnsi"/>
          <w:color w:val="000000"/>
          <w:lang w:val="cs-CZ"/>
        </w:rPr>
        <w:t xml:space="preserve"> nabývání majetku, pozb</w:t>
      </w:r>
      <w:r w:rsidR="0048230F">
        <w:rPr>
          <w:rFonts w:asciiTheme="minorHAnsi" w:hAnsiTheme="minorHAnsi" w:cstheme="minorHAnsi"/>
          <w:color w:val="000000"/>
          <w:lang w:val="cs-CZ"/>
        </w:rPr>
        <w:t>ý</w:t>
      </w:r>
      <w:r w:rsidRPr="00FF1E6F">
        <w:rPr>
          <w:rFonts w:asciiTheme="minorHAnsi" w:hAnsiTheme="minorHAnsi" w:cstheme="minorHAnsi"/>
          <w:color w:val="000000"/>
          <w:lang w:val="cs-CZ"/>
        </w:rPr>
        <w:t>vání majetku a pronájmy majetku.</w:t>
      </w:r>
      <w:r w:rsidR="000731A0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1D1A20C7" w14:textId="77777777" w:rsidR="00332AEA" w:rsidRPr="00FA612C" w:rsidRDefault="00332AEA" w:rsidP="00DF6295">
      <w:pPr>
        <w:pStyle w:val="Odstavecseseznamem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FA612C">
        <w:rPr>
          <w:rFonts w:asciiTheme="minorHAnsi" w:hAnsiTheme="minorHAnsi" w:cstheme="minorHAnsi"/>
          <w:b/>
          <w:color w:val="000000"/>
          <w:lang w:val="cs-CZ"/>
        </w:rPr>
        <w:t>Nabývání majetku</w:t>
      </w:r>
    </w:p>
    <w:p w14:paraId="0E683D99" w14:textId="3B12A7BB" w:rsidR="00332AEA" w:rsidRDefault="00E00FFC" w:rsidP="00433677">
      <w:pPr>
        <w:pStyle w:val="Odstavecseseznamem"/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 xml:space="preserve">Kontrolou bylo ověřeno nabývání majetku v celkové pořizovací ceně 198 231 645 Kč, z toho nabytí majetku </w:t>
      </w:r>
      <w:r w:rsidR="00C03AF0">
        <w:rPr>
          <w:rFonts w:asciiTheme="minorHAnsi" w:eastAsia="Calibri" w:hAnsiTheme="minorHAnsi" w:cstheme="minorHAnsi"/>
          <w:lang w:val="cs-CZ"/>
        </w:rPr>
        <w:t>převodem</w:t>
      </w:r>
      <w:r>
        <w:rPr>
          <w:rFonts w:asciiTheme="minorHAnsi" w:eastAsia="Calibri" w:hAnsiTheme="minorHAnsi" w:cstheme="minorHAnsi"/>
          <w:lang w:val="cs-CZ"/>
        </w:rPr>
        <w:t xml:space="preserve"> příslušnosti hospodaření od jiných státních organizací a dary </w:t>
      </w:r>
      <w:r w:rsidR="00C03AF0">
        <w:rPr>
          <w:rFonts w:asciiTheme="minorHAnsi" w:eastAsia="Calibri" w:hAnsiTheme="minorHAnsi" w:cstheme="minorHAnsi"/>
          <w:lang w:val="cs-CZ"/>
        </w:rPr>
        <w:t>činily</w:t>
      </w:r>
      <w:r>
        <w:rPr>
          <w:rFonts w:asciiTheme="minorHAnsi" w:eastAsia="Calibri" w:hAnsiTheme="minorHAnsi" w:cstheme="minorHAnsi"/>
          <w:lang w:val="cs-CZ"/>
        </w:rPr>
        <w:t xml:space="preserve"> 2 667 855 Kč, úplatn</w:t>
      </w:r>
      <w:r w:rsidR="00C03AF0">
        <w:rPr>
          <w:rFonts w:asciiTheme="minorHAnsi" w:eastAsia="Calibri" w:hAnsiTheme="minorHAnsi" w:cstheme="minorHAnsi"/>
          <w:lang w:val="cs-CZ"/>
        </w:rPr>
        <w:t>é</w:t>
      </w:r>
      <w:r>
        <w:rPr>
          <w:rFonts w:asciiTheme="minorHAnsi" w:eastAsia="Calibri" w:hAnsiTheme="minorHAnsi" w:cstheme="minorHAnsi"/>
          <w:lang w:val="cs-CZ"/>
        </w:rPr>
        <w:t xml:space="preserve"> pořízení majetku </w:t>
      </w:r>
      <w:r w:rsidR="00AE4187">
        <w:rPr>
          <w:rFonts w:asciiTheme="minorHAnsi" w:eastAsia="Calibri" w:hAnsiTheme="minorHAnsi" w:cstheme="minorHAnsi"/>
          <w:lang w:val="cs-CZ"/>
        </w:rPr>
        <w:t>4 202 075</w:t>
      </w:r>
      <w:r w:rsidR="00FD49F6">
        <w:rPr>
          <w:rFonts w:asciiTheme="minorHAnsi" w:eastAsia="Calibri" w:hAnsiTheme="minorHAnsi" w:cstheme="minorHAnsi"/>
          <w:lang w:val="cs-CZ"/>
        </w:rPr>
        <w:t xml:space="preserve"> Kč a pořizování majetku </w:t>
      </w:r>
      <w:r w:rsidR="00936E4A">
        <w:rPr>
          <w:rFonts w:asciiTheme="minorHAnsi" w:eastAsia="Calibri" w:hAnsiTheme="minorHAnsi" w:cstheme="minorHAnsi"/>
          <w:lang w:val="cs-CZ"/>
        </w:rPr>
        <w:t xml:space="preserve">v rámci programů reprodukce </w:t>
      </w:r>
      <w:r w:rsidR="00936E4A" w:rsidRPr="00936E4A">
        <w:rPr>
          <w:rFonts w:asciiTheme="minorHAnsi" w:eastAsia="Calibri" w:hAnsiTheme="minorHAnsi" w:cstheme="minorHAnsi"/>
          <w:lang w:val="cs-CZ"/>
        </w:rPr>
        <w:t>majetku 191</w:t>
      </w:r>
      <w:r w:rsidR="00936E4A">
        <w:rPr>
          <w:rFonts w:asciiTheme="minorHAnsi" w:eastAsia="Calibri" w:hAnsiTheme="minorHAnsi" w:cstheme="minorHAnsi"/>
          <w:lang w:val="cs-CZ"/>
        </w:rPr>
        <w:t xml:space="preserve"> </w:t>
      </w:r>
      <w:r w:rsidR="00936E4A" w:rsidRPr="00936E4A">
        <w:rPr>
          <w:rFonts w:asciiTheme="minorHAnsi" w:eastAsia="Calibri" w:hAnsiTheme="minorHAnsi" w:cstheme="minorHAnsi"/>
          <w:lang w:val="cs-CZ"/>
        </w:rPr>
        <w:t>361</w:t>
      </w:r>
      <w:r w:rsidR="00936E4A">
        <w:rPr>
          <w:rFonts w:asciiTheme="minorHAnsi" w:eastAsia="Calibri" w:hAnsiTheme="minorHAnsi" w:cstheme="minorHAnsi"/>
          <w:lang w:val="cs-CZ"/>
        </w:rPr>
        <w:t> </w:t>
      </w:r>
      <w:r w:rsidR="00936E4A" w:rsidRPr="00936E4A">
        <w:rPr>
          <w:rFonts w:asciiTheme="minorHAnsi" w:eastAsia="Calibri" w:hAnsiTheme="minorHAnsi" w:cstheme="minorHAnsi"/>
          <w:lang w:val="cs-CZ"/>
        </w:rPr>
        <w:t>715</w:t>
      </w:r>
      <w:r w:rsidR="00936E4A">
        <w:rPr>
          <w:rFonts w:asciiTheme="minorHAnsi" w:eastAsia="Calibri" w:hAnsiTheme="minorHAnsi" w:cstheme="minorHAnsi"/>
          <w:lang w:val="cs-CZ"/>
        </w:rPr>
        <w:t xml:space="preserve"> Kč</w:t>
      </w:r>
      <w:r w:rsidR="00FD49F6" w:rsidRPr="00936E4A">
        <w:rPr>
          <w:rFonts w:asciiTheme="minorHAnsi" w:eastAsia="Calibri" w:hAnsiTheme="minorHAnsi" w:cstheme="minorHAnsi"/>
          <w:lang w:val="cs-CZ"/>
        </w:rPr>
        <w:t>.</w:t>
      </w:r>
      <w:r w:rsidR="00FD49F6">
        <w:rPr>
          <w:rFonts w:asciiTheme="minorHAnsi" w:eastAsia="Calibri" w:hAnsiTheme="minorHAnsi" w:cstheme="minorHAnsi"/>
          <w:lang w:val="cs-CZ"/>
        </w:rPr>
        <w:t xml:space="preserve"> </w:t>
      </w:r>
    </w:p>
    <w:p w14:paraId="0BEF2EC9" w14:textId="43EE9087" w:rsidR="00FD49F6" w:rsidRPr="00E4413A" w:rsidRDefault="00CD562C" w:rsidP="00E4413A">
      <w:pPr>
        <w:pStyle w:val="Odstavecseseznamem"/>
        <w:spacing w:after="240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>Na vybraném vzorku případů bylo kontrolou</w:t>
      </w:r>
      <w:r w:rsidR="00332AEA" w:rsidRPr="002E5489">
        <w:rPr>
          <w:rFonts w:asciiTheme="minorHAnsi" w:eastAsia="Calibri" w:hAnsiTheme="minorHAnsi" w:cstheme="minorHAnsi"/>
          <w:lang w:val="cs-CZ"/>
        </w:rPr>
        <w:t xml:space="preserve"> ověřeno, že </w:t>
      </w:r>
      <w:r w:rsidR="00332AEA">
        <w:rPr>
          <w:rFonts w:asciiTheme="minorHAnsi" w:eastAsia="Calibri" w:hAnsiTheme="minorHAnsi" w:cstheme="minorHAnsi"/>
          <w:lang w:val="cs-CZ"/>
        </w:rPr>
        <w:t>MZV při nabývání majetku post</w:t>
      </w:r>
      <w:r w:rsidR="00931026">
        <w:rPr>
          <w:rFonts w:asciiTheme="minorHAnsi" w:eastAsia="Calibri" w:hAnsiTheme="minorHAnsi" w:cstheme="minorHAnsi"/>
          <w:lang w:val="cs-CZ"/>
        </w:rPr>
        <w:t>upovalo v souladu se zákonem č. </w:t>
      </w:r>
      <w:r w:rsidR="00332AEA">
        <w:rPr>
          <w:rFonts w:asciiTheme="minorHAnsi" w:eastAsia="Calibri" w:hAnsiTheme="minorHAnsi" w:cstheme="minorHAnsi"/>
          <w:lang w:val="cs-CZ"/>
        </w:rPr>
        <w:t>219/2000</w:t>
      </w:r>
      <w:r w:rsidR="00E4413A">
        <w:rPr>
          <w:rFonts w:asciiTheme="minorHAnsi" w:eastAsia="Calibri" w:hAnsiTheme="minorHAnsi" w:cstheme="minorHAnsi"/>
          <w:lang w:val="cs-CZ"/>
        </w:rPr>
        <w:t xml:space="preserve"> Sb. a zákonem č. 137/2006 Sb.</w:t>
      </w:r>
      <w:r w:rsidR="00F74A50">
        <w:rPr>
          <w:rStyle w:val="Znakapoznpodarou"/>
          <w:rFonts w:asciiTheme="minorHAnsi" w:eastAsia="Calibri" w:hAnsiTheme="minorHAnsi" w:cstheme="minorHAnsi"/>
          <w:lang w:val="cs-CZ"/>
        </w:rPr>
        <w:footnoteReference w:id="6"/>
      </w:r>
      <w:r w:rsidR="00E4413A">
        <w:rPr>
          <w:rFonts w:asciiTheme="minorHAnsi" w:eastAsia="Calibri" w:hAnsiTheme="minorHAnsi" w:cstheme="minorHAnsi"/>
          <w:lang w:val="cs-CZ"/>
        </w:rPr>
        <w:t xml:space="preserve"> </w:t>
      </w:r>
    </w:p>
    <w:p w14:paraId="71E280ED" w14:textId="77777777" w:rsidR="009145CE" w:rsidRPr="007A4AA6" w:rsidRDefault="007A4AA6" w:rsidP="00FD5F25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lang w:val="cs-CZ"/>
        </w:rPr>
      </w:pPr>
      <w:r>
        <w:rPr>
          <w:rFonts w:asciiTheme="minorHAnsi" w:eastAsia="Calibri" w:hAnsiTheme="minorHAnsi" w:cstheme="minorHAnsi"/>
          <w:b/>
          <w:lang w:val="cs-CZ"/>
        </w:rPr>
        <w:t>Pozbývání majetku</w:t>
      </w:r>
    </w:p>
    <w:p w14:paraId="1978EEE0" w14:textId="741DD73D" w:rsidR="00D6226C" w:rsidRDefault="00FD49F6" w:rsidP="00591179">
      <w:pPr>
        <w:pStyle w:val="Odstavecseseznamem"/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 xml:space="preserve">Kontrolou bylo </w:t>
      </w:r>
      <w:r w:rsidR="00C03AF0">
        <w:rPr>
          <w:rFonts w:asciiTheme="minorHAnsi" w:eastAsia="Calibri" w:hAnsiTheme="minorHAnsi" w:cstheme="minorHAnsi"/>
          <w:lang w:val="cs-CZ"/>
        </w:rPr>
        <w:t>pr</w:t>
      </w:r>
      <w:r>
        <w:rPr>
          <w:rFonts w:asciiTheme="minorHAnsi" w:eastAsia="Calibri" w:hAnsiTheme="minorHAnsi" w:cstheme="minorHAnsi"/>
          <w:lang w:val="cs-CZ"/>
        </w:rPr>
        <w:t xml:space="preserve">ověřeno </w:t>
      </w:r>
      <w:r w:rsidR="00516560">
        <w:rPr>
          <w:rFonts w:asciiTheme="minorHAnsi" w:eastAsia="Calibri" w:hAnsiTheme="minorHAnsi" w:cstheme="minorHAnsi"/>
          <w:lang w:val="cs-CZ"/>
        </w:rPr>
        <w:t>převádění</w:t>
      </w:r>
      <w:r>
        <w:rPr>
          <w:rFonts w:asciiTheme="minorHAnsi" w:eastAsia="Calibri" w:hAnsiTheme="minorHAnsi" w:cstheme="minorHAnsi"/>
          <w:lang w:val="cs-CZ"/>
        </w:rPr>
        <w:t xml:space="preserve"> nepotřebného majetku jiným státním organizacím změnou příslušnosti hospodaření v objemu téměř 36 mil. Kč v pořizovací </w:t>
      </w:r>
      <w:r w:rsidR="00591179">
        <w:rPr>
          <w:rFonts w:asciiTheme="minorHAnsi" w:eastAsia="Calibri" w:hAnsiTheme="minorHAnsi" w:cstheme="minorHAnsi"/>
          <w:lang w:val="cs-CZ"/>
        </w:rPr>
        <w:t xml:space="preserve">ceně, dále pak prodeje majetku, jehož pořizovací cena činila více než 143 mil. Kč. </w:t>
      </w:r>
    </w:p>
    <w:p w14:paraId="4F70B4B5" w14:textId="45061021" w:rsidR="00FA612C" w:rsidRDefault="00FA612C" w:rsidP="00591179">
      <w:pPr>
        <w:pStyle w:val="Odstavecseseznamem"/>
        <w:spacing w:after="120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>Na vybraném vzorku případů bylo kontrolou NKÚ ověřeno, že MZV při pozbývání majetku dodrželo povinnosti uvedené v zákoně č. 219/2000 Sb. a prováděcí vyhlášce č. 62/2001 Sb.</w:t>
      </w:r>
      <w:r w:rsidR="00F74A50">
        <w:rPr>
          <w:rStyle w:val="Znakapoznpodarou"/>
          <w:rFonts w:asciiTheme="minorHAnsi" w:eastAsia="Calibri" w:hAnsiTheme="minorHAnsi" w:cstheme="minorHAnsi"/>
          <w:lang w:val="cs-CZ"/>
        </w:rPr>
        <w:footnoteReference w:id="7"/>
      </w:r>
    </w:p>
    <w:p w14:paraId="5B5B9A7F" w14:textId="53E0CFFC" w:rsidR="00F732ED" w:rsidRDefault="00F361C1" w:rsidP="00F361C1">
      <w:pPr>
        <w:pStyle w:val="Odstavecseseznamem"/>
        <w:spacing w:after="240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>Prověřením</w:t>
      </w:r>
      <w:r w:rsidR="009C3605">
        <w:rPr>
          <w:rFonts w:asciiTheme="minorHAnsi" w:eastAsia="Calibri" w:hAnsiTheme="minorHAnsi" w:cstheme="minorHAnsi"/>
          <w:lang w:val="cs-CZ"/>
        </w:rPr>
        <w:t xml:space="preserve"> 15 případů úbytku majetku </w:t>
      </w:r>
      <w:r w:rsidR="007343A6">
        <w:rPr>
          <w:rFonts w:asciiTheme="minorHAnsi" w:eastAsia="Calibri" w:hAnsiTheme="minorHAnsi" w:cstheme="minorHAnsi"/>
          <w:lang w:val="cs-CZ"/>
        </w:rPr>
        <w:t>v důsledku vzniku škody</w:t>
      </w:r>
      <w:r w:rsidR="009C3605">
        <w:rPr>
          <w:rFonts w:asciiTheme="minorHAnsi" w:eastAsia="Calibri" w:hAnsiTheme="minorHAnsi" w:cstheme="minorHAnsi"/>
          <w:lang w:val="cs-CZ"/>
        </w:rPr>
        <w:t xml:space="preserve"> </w:t>
      </w:r>
      <w:r>
        <w:rPr>
          <w:rFonts w:asciiTheme="minorHAnsi" w:eastAsia="Calibri" w:hAnsiTheme="minorHAnsi" w:cstheme="minorHAnsi"/>
          <w:lang w:val="cs-CZ"/>
        </w:rPr>
        <w:t>bylo</w:t>
      </w:r>
      <w:r w:rsidR="009C3605">
        <w:rPr>
          <w:rFonts w:asciiTheme="minorHAnsi" w:eastAsia="Calibri" w:hAnsiTheme="minorHAnsi" w:cstheme="minorHAnsi"/>
          <w:lang w:val="cs-CZ"/>
        </w:rPr>
        <w:t xml:space="preserve"> zjištěno, že </w:t>
      </w:r>
      <w:r>
        <w:rPr>
          <w:rFonts w:asciiTheme="minorHAnsi" w:eastAsia="Calibri" w:hAnsiTheme="minorHAnsi" w:cstheme="minorHAnsi"/>
          <w:lang w:val="cs-CZ"/>
        </w:rPr>
        <w:t xml:space="preserve">např. </w:t>
      </w:r>
      <w:r w:rsidR="009C3605">
        <w:rPr>
          <w:rFonts w:asciiTheme="minorHAnsi" w:eastAsia="Calibri" w:hAnsiTheme="minorHAnsi" w:cstheme="minorHAnsi"/>
          <w:lang w:val="cs-CZ"/>
        </w:rPr>
        <w:t xml:space="preserve">v roce 2012 došlo na ZÚ </w:t>
      </w:r>
      <w:r w:rsidR="00C03AF0">
        <w:rPr>
          <w:rFonts w:asciiTheme="minorHAnsi" w:eastAsia="Calibri" w:hAnsiTheme="minorHAnsi" w:cstheme="minorHAnsi"/>
          <w:lang w:val="cs-CZ"/>
        </w:rPr>
        <w:t>v </w:t>
      </w:r>
      <w:r w:rsidR="009C3605">
        <w:rPr>
          <w:rFonts w:asciiTheme="minorHAnsi" w:eastAsia="Calibri" w:hAnsiTheme="minorHAnsi" w:cstheme="minorHAnsi"/>
          <w:lang w:val="cs-CZ"/>
        </w:rPr>
        <w:t xml:space="preserve">Buenos Aires </w:t>
      </w:r>
      <w:r w:rsidR="009C3605" w:rsidRPr="009C3605">
        <w:rPr>
          <w:rFonts w:asciiTheme="minorHAnsi" w:eastAsia="Calibri" w:hAnsiTheme="minorHAnsi" w:cstheme="minorHAnsi"/>
          <w:lang w:val="cs-CZ"/>
        </w:rPr>
        <w:t xml:space="preserve">ke </w:t>
      </w:r>
      <w:r w:rsidR="004326A1" w:rsidRPr="009C3605">
        <w:rPr>
          <w:rFonts w:asciiTheme="minorHAnsi" w:eastAsia="Calibri" w:hAnsiTheme="minorHAnsi" w:cstheme="minorHAnsi"/>
          <w:lang w:val="cs-CZ"/>
        </w:rPr>
        <w:t>ztrát</w:t>
      </w:r>
      <w:r w:rsidR="009C3605" w:rsidRPr="009C3605">
        <w:rPr>
          <w:rFonts w:asciiTheme="minorHAnsi" w:eastAsia="Calibri" w:hAnsiTheme="minorHAnsi" w:cstheme="minorHAnsi"/>
          <w:lang w:val="cs-CZ"/>
        </w:rPr>
        <w:t xml:space="preserve">ě </w:t>
      </w:r>
      <w:r>
        <w:rPr>
          <w:rFonts w:asciiTheme="minorHAnsi" w:eastAsia="Calibri" w:hAnsiTheme="minorHAnsi" w:cstheme="minorHAnsi"/>
          <w:lang w:val="cs-CZ"/>
        </w:rPr>
        <w:t>peněz v přepočtu cca</w:t>
      </w:r>
      <w:r w:rsidR="00C03AF0">
        <w:rPr>
          <w:rFonts w:asciiTheme="minorHAnsi" w:eastAsia="Calibri" w:hAnsiTheme="minorHAnsi" w:cstheme="minorHAnsi"/>
          <w:lang w:val="cs-CZ"/>
        </w:rPr>
        <w:t xml:space="preserve"> ve výši</w:t>
      </w:r>
      <w:r>
        <w:rPr>
          <w:rFonts w:asciiTheme="minorHAnsi" w:eastAsia="Calibri" w:hAnsiTheme="minorHAnsi" w:cstheme="minorHAnsi"/>
          <w:lang w:val="cs-CZ"/>
        </w:rPr>
        <w:t xml:space="preserve"> 551 tis. Kč</w:t>
      </w:r>
      <w:r w:rsidRPr="009C3605">
        <w:rPr>
          <w:rFonts w:asciiTheme="minorHAnsi" w:eastAsia="Calibri" w:hAnsiTheme="minorHAnsi" w:cstheme="minorHAnsi"/>
          <w:lang w:val="cs-CZ"/>
        </w:rPr>
        <w:t xml:space="preserve"> </w:t>
      </w:r>
      <w:r>
        <w:rPr>
          <w:rFonts w:asciiTheme="minorHAnsi" w:eastAsia="Calibri" w:hAnsiTheme="minorHAnsi" w:cstheme="minorHAnsi"/>
          <w:lang w:val="cs-CZ"/>
        </w:rPr>
        <w:t xml:space="preserve">v příruční </w:t>
      </w:r>
      <w:r>
        <w:rPr>
          <w:rFonts w:asciiTheme="minorHAnsi" w:eastAsia="Calibri" w:hAnsiTheme="minorHAnsi" w:cstheme="minorHAnsi"/>
          <w:lang w:val="cs-CZ"/>
        </w:rPr>
        <w:lastRenderedPageBreak/>
        <w:t>pokladně</w:t>
      </w:r>
      <w:r w:rsidR="009C3605">
        <w:rPr>
          <w:rFonts w:asciiTheme="minorHAnsi" w:eastAsia="Calibri" w:hAnsiTheme="minorHAnsi" w:cstheme="minorHAnsi"/>
          <w:lang w:val="cs-CZ"/>
        </w:rPr>
        <w:t xml:space="preserve">. MZV </w:t>
      </w:r>
      <w:r w:rsidR="004E0D92">
        <w:rPr>
          <w:rFonts w:asciiTheme="minorHAnsi" w:eastAsia="Calibri" w:hAnsiTheme="minorHAnsi" w:cstheme="minorHAnsi"/>
          <w:lang w:val="cs-CZ"/>
        </w:rPr>
        <w:t xml:space="preserve">podalo trestní oznámení na neznámého pachatele a současně vzhledem k uzavřené dohodě o odpovědnosti za schodek na hodnotách svěřených k vyúčtování </w:t>
      </w:r>
      <w:r w:rsidR="009C3605">
        <w:rPr>
          <w:rFonts w:asciiTheme="minorHAnsi" w:eastAsia="Calibri" w:hAnsiTheme="minorHAnsi" w:cstheme="minorHAnsi"/>
          <w:lang w:val="cs-CZ"/>
        </w:rPr>
        <w:t xml:space="preserve">určilo odpovědnost za vznik škody, se zaměstnanci ve funkci pokladní a hospodáře </w:t>
      </w:r>
      <w:r w:rsidR="004E0D92">
        <w:rPr>
          <w:rFonts w:asciiTheme="minorHAnsi" w:eastAsia="Calibri" w:hAnsiTheme="minorHAnsi" w:cstheme="minorHAnsi"/>
          <w:lang w:val="cs-CZ"/>
        </w:rPr>
        <w:t>ukončilo pracovní poměr a </w:t>
      </w:r>
      <w:r w:rsidR="009C3605">
        <w:rPr>
          <w:rFonts w:asciiTheme="minorHAnsi" w:eastAsia="Calibri" w:hAnsiTheme="minorHAnsi" w:cstheme="minorHAnsi"/>
          <w:lang w:val="cs-CZ"/>
        </w:rPr>
        <w:t>požadovalo uhradit dluh v plné výši. Pohledávka MZ</w:t>
      </w:r>
      <w:r w:rsidR="004E0D92">
        <w:rPr>
          <w:rFonts w:asciiTheme="minorHAnsi" w:eastAsia="Calibri" w:hAnsiTheme="minorHAnsi" w:cstheme="minorHAnsi"/>
          <w:lang w:val="cs-CZ"/>
        </w:rPr>
        <w:t xml:space="preserve">V není dosud uhrazena, </w:t>
      </w:r>
      <w:r w:rsidR="00FA612C">
        <w:rPr>
          <w:rFonts w:asciiTheme="minorHAnsi" w:eastAsia="Calibri" w:hAnsiTheme="minorHAnsi" w:cstheme="minorHAnsi"/>
          <w:lang w:val="cs-CZ"/>
        </w:rPr>
        <w:t xml:space="preserve">neboť </w:t>
      </w:r>
      <w:r w:rsidR="004E0D92">
        <w:rPr>
          <w:rFonts w:asciiTheme="minorHAnsi" w:eastAsia="Calibri" w:hAnsiTheme="minorHAnsi" w:cstheme="minorHAnsi"/>
          <w:lang w:val="cs-CZ"/>
        </w:rPr>
        <w:t xml:space="preserve">ve věci </w:t>
      </w:r>
      <w:r w:rsidR="009C3605">
        <w:rPr>
          <w:rFonts w:asciiTheme="minorHAnsi" w:eastAsia="Calibri" w:hAnsiTheme="minorHAnsi" w:cstheme="minorHAnsi"/>
          <w:lang w:val="cs-CZ"/>
        </w:rPr>
        <w:t xml:space="preserve">jsou vedeny soudní spory o určení neplatnosti rozvázání pracovního poměru a </w:t>
      </w:r>
      <w:r w:rsidR="004E0D92">
        <w:rPr>
          <w:rFonts w:asciiTheme="minorHAnsi" w:eastAsia="Calibri" w:hAnsiTheme="minorHAnsi" w:cstheme="minorHAnsi"/>
          <w:lang w:val="cs-CZ"/>
        </w:rPr>
        <w:t>o zaplacení dlužné částky.</w:t>
      </w:r>
    </w:p>
    <w:p w14:paraId="6442DADE" w14:textId="77777777" w:rsidR="00591179" w:rsidRDefault="004326A1" w:rsidP="00FD5F25">
      <w:pPr>
        <w:pStyle w:val="Odstavecseseznamem"/>
        <w:numPr>
          <w:ilvl w:val="0"/>
          <w:numId w:val="10"/>
        </w:numPr>
        <w:spacing w:after="120"/>
        <w:ind w:left="426" w:hanging="426"/>
        <w:contextualSpacing w:val="0"/>
        <w:jc w:val="both"/>
        <w:rPr>
          <w:rFonts w:asciiTheme="minorHAnsi" w:eastAsia="Calibri" w:hAnsiTheme="minorHAnsi" w:cstheme="minorHAnsi"/>
          <w:b/>
          <w:lang w:val="cs-CZ"/>
        </w:rPr>
      </w:pPr>
      <w:r>
        <w:rPr>
          <w:rFonts w:asciiTheme="minorHAnsi" w:eastAsia="Calibri" w:hAnsiTheme="minorHAnsi" w:cstheme="minorHAnsi"/>
          <w:b/>
          <w:lang w:val="cs-CZ"/>
        </w:rPr>
        <w:t>Pronájmy majetku</w:t>
      </w:r>
    </w:p>
    <w:p w14:paraId="7D461B7F" w14:textId="57FD4B80" w:rsidR="000731A0" w:rsidRPr="0048230F" w:rsidRDefault="0072040B" w:rsidP="000731A0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eastAsia="Calibri" w:hAnsiTheme="minorHAnsi" w:cstheme="minorHAnsi"/>
          <w:lang w:val="cs-CZ"/>
        </w:rPr>
        <w:t xml:space="preserve">Kontrolou smluvních vztahů týkajících se pronájmů nebytových prostor v objektu MZV v ulici Rytířská </w:t>
      </w:r>
      <w:r w:rsidR="00146873">
        <w:rPr>
          <w:rFonts w:asciiTheme="minorHAnsi" w:eastAsia="Calibri" w:hAnsiTheme="minorHAnsi" w:cstheme="minorHAnsi"/>
          <w:lang w:val="cs-CZ"/>
        </w:rPr>
        <w:t>539/</w:t>
      </w:r>
      <w:r>
        <w:rPr>
          <w:rFonts w:asciiTheme="minorHAnsi" w:eastAsia="Calibri" w:hAnsiTheme="minorHAnsi" w:cstheme="minorHAnsi"/>
          <w:lang w:val="cs-CZ"/>
        </w:rPr>
        <w:t xml:space="preserve">31 v Praze 1 třem různým nájemcům bylo zjištěno, že MZV nepostupovalo v souladu s ustanovením § 27 zákona č. 219/2000 Sb., </w:t>
      </w:r>
      <w:r w:rsidR="00146873">
        <w:rPr>
          <w:rFonts w:asciiTheme="minorHAnsi" w:eastAsia="Calibri" w:hAnsiTheme="minorHAnsi" w:cstheme="minorHAnsi"/>
          <w:lang w:val="cs-CZ"/>
        </w:rPr>
        <w:t>neboť</w:t>
      </w:r>
      <w:r>
        <w:rPr>
          <w:rFonts w:asciiTheme="minorHAnsi" w:eastAsia="Calibri" w:hAnsiTheme="minorHAnsi" w:cstheme="minorHAnsi"/>
          <w:lang w:val="cs-CZ"/>
        </w:rPr>
        <w:t xml:space="preserve"> </w:t>
      </w:r>
      <w:r w:rsidR="00EA509F">
        <w:rPr>
          <w:rFonts w:asciiTheme="minorHAnsi" w:eastAsia="Calibri" w:hAnsiTheme="minorHAnsi" w:cstheme="minorHAnsi"/>
          <w:lang w:val="cs-CZ"/>
        </w:rPr>
        <w:t xml:space="preserve">při uzavírání smluv nestanovilo </w:t>
      </w:r>
      <w:r>
        <w:rPr>
          <w:rFonts w:asciiTheme="minorHAnsi" w:eastAsia="Calibri" w:hAnsiTheme="minorHAnsi" w:cstheme="minorHAnsi"/>
          <w:lang w:val="cs-CZ"/>
        </w:rPr>
        <w:t xml:space="preserve">nájemné ve výši </w:t>
      </w:r>
      <w:r w:rsidR="00146873">
        <w:rPr>
          <w:rFonts w:asciiTheme="minorHAnsi" w:eastAsia="Calibri" w:hAnsiTheme="minorHAnsi" w:cstheme="minorHAnsi"/>
          <w:lang w:val="cs-CZ"/>
        </w:rPr>
        <w:t xml:space="preserve">obvyklé </w:t>
      </w:r>
      <w:r>
        <w:rPr>
          <w:rFonts w:asciiTheme="minorHAnsi" w:eastAsia="Calibri" w:hAnsiTheme="minorHAnsi" w:cstheme="minorHAnsi"/>
          <w:lang w:val="cs-CZ"/>
        </w:rPr>
        <w:t>v</w:t>
      </w:r>
      <w:r w:rsidR="00146873">
        <w:rPr>
          <w:rFonts w:asciiTheme="minorHAnsi" w:eastAsia="Calibri" w:hAnsiTheme="minorHAnsi" w:cstheme="minorHAnsi"/>
          <w:lang w:val="cs-CZ"/>
        </w:rPr>
        <w:t xml:space="preserve"> daném </w:t>
      </w:r>
      <w:r>
        <w:rPr>
          <w:rFonts w:asciiTheme="minorHAnsi" w:eastAsia="Calibri" w:hAnsiTheme="minorHAnsi" w:cstheme="minorHAnsi"/>
          <w:lang w:val="cs-CZ"/>
        </w:rPr>
        <w:t xml:space="preserve">místě a čase, ale </w:t>
      </w:r>
      <w:r w:rsidR="00146873">
        <w:rPr>
          <w:rFonts w:asciiTheme="minorHAnsi" w:eastAsia="Calibri" w:hAnsiTheme="minorHAnsi" w:cstheme="minorHAnsi"/>
          <w:lang w:val="cs-CZ"/>
        </w:rPr>
        <w:t xml:space="preserve">sjednalo </w:t>
      </w:r>
      <w:r>
        <w:rPr>
          <w:rFonts w:asciiTheme="minorHAnsi" w:eastAsia="Calibri" w:hAnsiTheme="minorHAnsi" w:cstheme="minorHAnsi"/>
          <w:lang w:val="cs-CZ"/>
        </w:rPr>
        <w:t>v</w:t>
      </w:r>
      <w:r w:rsidR="0042483C">
        <w:rPr>
          <w:rFonts w:asciiTheme="minorHAnsi" w:eastAsia="Calibri" w:hAnsiTheme="minorHAnsi" w:cstheme="minorHAnsi"/>
          <w:lang w:val="cs-CZ"/>
        </w:rPr>
        <w:t>ýši nájemného dohodou</w:t>
      </w:r>
      <w:r w:rsidR="000C5D62">
        <w:rPr>
          <w:rFonts w:asciiTheme="minorHAnsi" w:eastAsia="Calibri" w:hAnsiTheme="minorHAnsi" w:cstheme="minorHAnsi"/>
          <w:lang w:val="cs-CZ"/>
        </w:rPr>
        <w:t>, a to</w:t>
      </w:r>
      <w:r w:rsidR="0042483C">
        <w:rPr>
          <w:rFonts w:asciiTheme="minorHAnsi" w:eastAsia="Calibri" w:hAnsiTheme="minorHAnsi" w:cstheme="minorHAnsi"/>
          <w:lang w:val="cs-CZ"/>
        </w:rPr>
        <w:t xml:space="preserve"> v</w:t>
      </w:r>
      <w:r w:rsidR="007873C3">
        <w:rPr>
          <w:rFonts w:asciiTheme="minorHAnsi" w:eastAsia="Calibri" w:hAnsiTheme="minorHAnsi" w:cstheme="minorHAnsi"/>
          <w:lang w:val="cs-CZ"/>
        </w:rPr>
        <w:t>e vý</w:t>
      </w:r>
      <w:r w:rsidR="00146873">
        <w:rPr>
          <w:rFonts w:asciiTheme="minorHAnsi" w:eastAsia="Calibri" w:hAnsiTheme="minorHAnsi" w:cstheme="minorHAnsi"/>
          <w:lang w:val="cs-CZ"/>
        </w:rPr>
        <w:t>razně</w:t>
      </w:r>
      <w:r w:rsidR="007873C3">
        <w:rPr>
          <w:rFonts w:asciiTheme="minorHAnsi" w:eastAsia="Calibri" w:hAnsiTheme="minorHAnsi" w:cstheme="minorHAnsi"/>
          <w:lang w:val="cs-CZ"/>
        </w:rPr>
        <w:t xml:space="preserve"> odlišných </w:t>
      </w:r>
      <w:r w:rsidR="0042483C">
        <w:rPr>
          <w:rFonts w:asciiTheme="minorHAnsi" w:eastAsia="Calibri" w:hAnsiTheme="minorHAnsi" w:cstheme="minorHAnsi"/>
          <w:lang w:val="cs-CZ"/>
        </w:rPr>
        <w:t>částkách za m</w:t>
      </w:r>
      <w:r w:rsidR="0042483C">
        <w:rPr>
          <w:rFonts w:asciiTheme="minorHAnsi" w:eastAsia="Calibri" w:hAnsiTheme="minorHAnsi" w:cstheme="minorHAnsi"/>
          <w:vertAlign w:val="superscript"/>
          <w:lang w:val="cs-CZ"/>
        </w:rPr>
        <w:t>2</w:t>
      </w:r>
      <w:r w:rsidR="000C5D62">
        <w:rPr>
          <w:rFonts w:asciiTheme="minorHAnsi" w:eastAsia="Calibri" w:hAnsiTheme="minorHAnsi" w:cstheme="minorHAnsi"/>
          <w:lang w:val="cs-CZ"/>
        </w:rPr>
        <w:t xml:space="preserve"> a </w:t>
      </w:r>
      <w:r w:rsidR="007873C3">
        <w:rPr>
          <w:rFonts w:asciiTheme="minorHAnsi" w:eastAsia="Calibri" w:hAnsiTheme="minorHAnsi" w:cstheme="minorHAnsi"/>
          <w:lang w:val="cs-CZ"/>
        </w:rPr>
        <w:t xml:space="preserve">rok. </w:t>
      </w:r>
      <w:r w:rsidR="000731A0" w:rsidRPr="0048230F">
        <w:rPr>
          <w:rFonts w:asciiTheme="minorHAnsi" w:hAnsiTheme="minorHAnsi" w:cstheme="minorHAnsi"/>
          <w:bCs/>
          <w:iCs/>
          <w:lang w:val="cs-CZ"/>
        </w:rPr>
        <w:t>Všichni tři nájemci jsou podnikatelskými subjekty a</w:t>
      </w:r>
      <w:r w:rsidR="000731A0">
        <w:rPr>
          <w:rFonts w:asciiTheme="minorHAnsi" w:hAnsiTheme="minorHAnsi" w:cstheme="minorHAnsi"/>
          <w:bCs/>
          <w:iCs/>
          <w:lang w:val="cs-CZ"/>
        </w:rPr>
        <w:t> </w:t>
      </w:r>
      <w:r w:rsidR="000731A0" w:rsidRPr="0048230F">
        <w:rPr>
          <w:rFonts w:asciiTheme="minorHAnsi" w:hAnsiTheme="minorHAnsi" w:cstheme="minorHAnsi"/>
          <w:bCs/>
          <w:iCs/>
          <w:lang w:val="cs-CZ"/>
        </w:rPr>
        <w:t xml:space="preserve">nebytové prostory užívají v souvislosti s předmětem </w:t>
      </w:r>
      <w:r w:rsidR="00146873">
        <w:rPr>
          <w:rFonts w:asciiTheme="minorHAnsi" w:hAnsiTheme="minorHAnsi" w:cstheme="minorHAnsi"/>
          <w:bCs/>
          <w:iCs/>
          <w:lang w:val="cs-CZ"/>
        </w:rPr>
        <w:t xml:space="preserve">své </w:t>
      </w:r>
      <w:r w:rsidR="000731A0" w:rsidRPr="0048230F">
        <w:rPr>
          <w:rFonts w:asciiTheme="minorHAnsi" w:hAnsiTheme="minorHAnsi" w:cstheme="minorHAnsi"/>
          <w:bCs/>
          <w:iCs/>
          <w:lang w:val="cs-CZ"/>
        </w:rPr>
        <w:t>činnosti</w:t>
      </w:r>
      <w:r w:rsidR="000731A0">
        <w:rPr>
          <w:rFonts w:asciiTheme="minorHAnsi" w:hAnsiTheme="minorHAnsi" w:cstheme="minorHAnsi"/>
          <w:lang w:val="cs-CZ"/>
        </w:rPr>
        <w:t>.</w:t>
      </w:r>
    </w:p>
    <w:p w14:paraId="0599D3BF" w14:textId="27D6136F" w:rsidR="000731A0" w:rsidRPr="007C2372" w:rsidRDefault="000731A0" w:rsidP="000731A0">
      <w:pPr>
        <w:pStyle w:val="Odstavecseseznamem"/>
        <w:spacing w:after="120"/>
        <w:ind w:left="0"/>
        <w:contextualSpacing w:val="0"/>
        <w:jc w:val="both"/>
        <w:rPr>
          <w:rFonts w:asciiTheme="minorHAnsi" w:hAnsiTheme="minorHAnsi" w:cstheme="minorHAnsi"/>
          <w:lang w:val="cs-CZ"/>
        </w:rPr>
      </w:pPr>
      <w:r w:rsidRPr="000731A0">
        <w:rPr>
          <w:rFonts w:asciiTheme="minorHAnsi" w:hAnsiTheme="minorHAnsi" w:cstheme="minorHAnsi"/>
          <w:lang w:val="cs-CZ"/>
        </w:rPr>
        <w:t>V roce 2012 činila výše nájemného u 1. nájemce 6 206 Kč/m</w:t>
      </w:r>
      <w:r w:rsidRPr="000731A0">
        <w:rPr>
          <w:rFonts w:asciiTheme="minorHAnsi" w:hAnsiTheme="minorHAnsi" w:cstheme="minorHAnsi"/>
          <w:vertAlign w:val="superscript"/>
          <w:lang w:val="cs-CZ"/>
        </w:rPr>
        <w:t>2</w:t>
      </w:r>
      <w:r w:rsidRPr="000731A0">
        <w:rPr>
          <w:rFonts w:asciiTheme="minorHAnsi" w:hAnsiTheme="minorHAnsi" w:cstheme="minorHAnsi"/>
          <w:lang w:val="cs-CZ"/>
        </w:rPr>
        <w:t>/rok, u 2. nájemce činila 7 428 Kč/m</w:t>
      </w:r>
      <w:r w:rsidRPr="000731A0">
        <w:rPr>
          <w:rFonts w:asciiTheme="minorHAnsi" w:hAnsiTheme="minorHAnsi" w:cstheme="minorHAnsi"/>
          <w:vertAlign w:val="superscript"/>
          <w:lang w:val="cs-CZ"/>
        </w:rPr>
        <w:t>2</w:t>
      </w:r>
      <w:r w:rsidRPr="000731A0">
        <w:rPr>
          <w:rFonts w:asciiTheme="minorHAnsi" w:hAnsiTheme="minorHAnsi" w:cstheme="minorHAnsi"/>
          <w:lang w:val="cs-CZ"/>
        </w:rPr>
        <w:t>/rok, zatímco u 3. nájemce MZV sjednalo nájemné ve výši 4 370 Kč/m</w:t>
      </w:r>
      <w:r w:rsidRPr="007C2372">
        <w:rPr>
          <w:rFonts w:asciiTheme="minorHAnsi" w:hAnsiTheme="minorHAnsi" w:cstheme="minorHAnsi"/>
          <w:vertAlign w:val="superscript"/>
          <w:lang w:val="cs-CZ"/>
        </w:rPr>
        <w:t>2</w:t>
      </w:r>
      <w:r w:rsidRPr="007C2372">
        <w:rPr>
          <w:rFonts w:asciiTheme="minorHAnsi" w:hAnsiTheme="minorHAnsi" w:cstheme="minorHAnsi"/>
          <w:lang w:val="cs-CZ"/>
        </w:rPr>
        <w:t>/rok, což je o</w:t>
      </w:r>
      <w:r w:rsidR="00124BEB">
        <w:rPr>
          <w:rFonts w:asciiTheme="minorHAnsi" w:hAnsiTheme="minorHAnsi" w:cstheme="minorHAnsi"/>
          <w:lang w:val="cs-CZ"/>
        </w:rPr>
        <w:t> </w:t>
      </w:r>
      <w:r w:rsidRPr="007C2372">
        <w:rPr>
          <w:rFonts w:asciiTheme="minorHAnsi" w:hAnsiTheme="minorHAnsi" w:cstheme="minorHAnsi"/>
          <w:lang w:val="cs-CZ"/>
        </w:rPr>
        <w:t xml:space="preserve">29,6 % méně oproti nájemci č. 1, resp. o 41,2 % méně </w:t>
      </w:r>
      <w:r w:rsidR="00875049">
        <w:rPr>
          <w:rFonts w:asciiTheme="minorHAnsi" w:hAnsiTheme="minorHAnsi" w:cstheme="minorHAnsi"/>
          <w:lang w:val="cs-CZ"/>
        </w:rPr>
        <w:t>ve srovnání s</w:t>
      </w:r>
      <w:r w:rsidRPr="007C2372">
        <w:rPr>
          <w:rFonts w:asciiTheme="minorHAnsi" w:hAnsiTheme="minorHAnsi" w:cstheme="minorHAnsi"/>
          <w:lang w:val="cs-CZ"/>
        </w:rPr>
        <w:t xml:space="preserve"> nájemc</w:t>
      </w:r>
      <w:r w:rsidR="00875049">
        <w:rPr>
          <w:rFonts w:asciiTheme="minorHAnsi" w:hAnsiTheme="minorHAnsi" w:cstheme="minorHAnsi"/>
          <w:lang w:val="cs-CZ"/>
        </w:rPr>
        <w:t>em</w:t>
      </w:r>
      <w:r w:rsidRPr="007C2372">
        <w:rPr>
          <w:rFonts w:asciiTheme="minorHAnsi" w:hAnsiTheme="minorHAnsi" w:cstheme="minorHAnsi"/>
          <w:lang w:val="cs-CZ"/>
        </w:rPr>
        <w:t xml:space="preserve"> č. 2.</w:t>
      </w:r>
    </w:p>
    <w:p w14:paraId="1503CBE6" w14:textId="545B9ECB" w:rsidR="005112D7" w:rsidRDefault="000731A0" w:rsidP="00F6579D">
      <w:pPr>
        <w:pStyle w:val="Odstavecseseznamem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 w:rsidRPr="00611263">
        <w:rPr>
          <w:rFonts w:asciiTheme="minorHAnsi" w:hAnsiTheme="minorHAnsi" w:cstheme="minorHAnsi"/>
          <w:lang w:val="cs-CZ"/>
        </w:rPr>
        <w:t>V letech 2012–2014 bylo nájemné navyšováno o míru inflace všem nájemcům, v roce 2015 k navýšení nájemnéh</w:t>
      </w:r>
      <w:r w:rsidRPr="0048230F">
        <w:rPr>
          <w:rFonts w:asciiTheme="minorHAnsi" w:hAnsiTheme="minorHAnsi" w:cstheme="minorHAnsi"/>
          <w:lang w:val="cs-CZ"/>
        </w:rPr>
        <w:t xml:space="preserve">o </w:t>
      </w:r>
      <w:r w:rsidR="005112D7" w:rsidRPr="0048230F">
        <w:rPr>
          <w:rFonts w:asciiTheme="minorHAnsi" w:hAnsiTheme="minorHAnsi" w:cstheme="minorHAnsi"/>
          <w:lang w:val="cs-CZ"/>
        </w:rPr>
        <w:t>u nájemce č. 3</w:t>
      </w:r>
      <w:r w:rsidR="005112D7">
        <w:rPr>
          <w:rFonts w:asciiTheme="minorHAnsi" w:hAnsiTheme="minorHAnsi" w:cstheme="minorHAnsi"/>
          <w:lang w:val="cs-CZ"/>
        </w:rPr>
        <w:t xml:space="preserve"> </w:t>
      </w:r>
      <w:r w:rsidR="005112D7" w:rsidRPr="005112D7">
        <w:rPr>
          <w:rFonts w:asciiTheme="minorHAnsi" w:hAnsiTheme="minorHAnsi" w:cstheme="minorHAnsi"/>
          <w:lang w:val="cs-CZ"/>
        </w:rPr>
        <w:t xml:space="preserve">nebylo </w:t>
      </w:r>
      <w:r w:rsidRPr="005112D7">
        <w:rPr>
          <w:rFonts w:asciiTheme="minorHAnsi" w:hAnsiTheme="minorHAnsi" w:cstheme="minorHAnsi"/>
          <w:lang w:val="cs-CZ"/>
        </w:rPr>
        <w:t xml:space="preserve">přistoupeno. </w:t>
      </w:r>
      <w:r w:rsidR="005112D7" w:rsidRPr="005112D7">
        <w:rPr>
          <w:rFonts w:asciiTheme="minorHAnsi" w:eastAsia="Calibri" w:hAnsiTheme="minorHAnsi" w:cstheme="minorHAnsi"/>
          <w:lang w:val="cs-CZ"/>
        </w:rPr>
        <w:t xml:space="preserve">MZV </w:t>
      </w:r>
      <w:r w:rsidR="005648B1">
        <w:rPr>
          <w:rFonts w:asciiTheme="minorHAnsi" w:eastAsia="Calibri" w:hAnsiTheme="minorHAnsi" w:cstheme="minorHAnsi"/>
          <w:lang w:val="cs-CZ"/>
        </w:rPr>
        <w:t xml:space="preserve">také </w:t>
      </w:r>
      <w:r w:rsidR="005112D7" w:rsidRPr="005112D7">
        <w:rPr>
          <w:rFonts w:asciiTheme="minorHAnsi" w:eastAsia="Calibri" w:hAnsiTheme="minorHAnsi" w:cstheme="minorHAnsi"/>
          <w:lang w:val="cs-CZ"/>
        </w:rPr>
        <w:t xml:space="preserve">sjednalo </w:t>
      </w:r>
      <w:r w:rsidR="0082668F">
        <w:rPr>
          <w:rFonts w:asciiTheme="minorHAnsi" w:eastAsia="Calibri" w:hAnsiTheme="minorHAnsi" w:cstheme="minorHAnsi"/>
          <w:lang w:val="cs-CZ"/>
        </w:rPr>
        <w:t>pro roky</w:t>
      </w:r>
      <w:r w:rsidR="0091531B">
        <w:rPr>
          <w:rFonts w:asciiTheme="minorHAnsi" w:eastAsia="Calibri" w:hAnsiTheme="minorHAnsi" w:cstheme="minorHAnsi"/>
          <w:lang w:val="cs-CZ"/>
        </w:rPr>
        <w:br/>
        <w:t>2015–</w:t>
      </w:r>
      <w:r w:rsidR="0082668F">
        <w:rPr>
          <w:rFonts w:asciiTheme="minorHAnsi" w:eastAsia="Calibri" w:hAnsiTheme="minorHAnsi" w:cstheme="minorHAnsi"/>
          <w:lang w:val="cs-CZ"/>
        </w:rPr>
        <w:t xml:space="preserve">2017 </w:t>
      </w:r>
      <w:r w:rsidR="005648B1">
        <w:rPr>
          <w:rFonts w:asciiTheme="minorHAnsi" w:eastAsia="Calibri" w:hAnsiTheme="minorHAnsi" w:cstheme="minorHAnsi"/>
          <w:lang w:val="cs-CZ"/>
        </w:rPr>
        <w:t xml:space="preserve">s </w:t>
      </w:r>
      <w:r w:rsidR="005648B1" w:rsidRPr="005112D7">
        <w:rPr>
          <w:rFonts w:asciiTheme="minorHAnsi" w:eastAsia="Calibri" w:hAnsiTheme="minorHAnsi" w:cstheme="minorHAnsi"/>
          <w:lang w:val="cs-CZ"/>
        </w:rPr>
        <w:t>nájemc</w:t>
      </w:r>
      <w:r w:rsidR="005648B1">
        <w:rPr>
          <w:rFonts w:asciiTheme="minorHAnsi" w:eastAsia="Calibri" w:hAnsiTheme="minorHAnsi" w:cstheme="minorHAnsi"/>
          <w:lang w:val="cs-CZ"/>
        </w:rPr>
        <w:t>i č. 1 a </w:t>
      </w:r>
      <w:r w:rsidR="005648B1" w:rsidRPr="005112D7">
        <w:rPr>
          <w:rFonts w:asciiTheme="minorHAnsi" w:eastAsia="Calibri" w:hAnsiTheme="minorHAnsi" w:cstheme="minorHAnsi"/>
          <w:lang w:val="cs-CZ"/>
        </w:rPr>
        <w:t xml:space="preserve">č. 2 </w:t>
      </w:r>
      <w:r w:rsidR="005112D7" w:rsidRPr="005112D7">
        <w:rPr>
          <w:rFonts w:asciiTheme="minorHAnsi" w:eastAsia="Calibri" w:hAnsiTheme="minorHAnsi" w:cstheme="minorHAnsi"/>
          <w:lang w:val="cs-CZ"/>
        </w:rPr>
        <w:t xml:space="preserve">navýšení nájemného o 8 %, </w:t>
      </w:r>
      <w:r w:rsidR="005648B1">
        <w:rPr>
          <w:rFonts w:asciiTheme="minorHAnsi" w:eastAsia="Calibri" w:hAnsiTheme="minorHAnsi" w:cstheme="minorHAnsi"/>
          <w:lang w:val="cs-CZ"/>
        </w:rPr>
        <w:t>ale s</w:t>
      </w:r>
      <w:r w:rsidR="005648B1" w:rsidRPr="005112D7">
        <w:rPr>
          <w:rFonts w:asciiTheme="minorHAnsi" w:eastAsia="Calibri" w:hAnsiTheme="minorHAnsi" w:cstheme="minorHAnsi"/>
          <w:lang w:val="cs-CZ"/>
        </w:rPr>
        <w:t> nájemcem č. 3</w:t>
      </w:r>
      <w:r w:rsidR="005648B1">
        <w:rPr>
          <w:rFonts w:asciiTheme="minorHAnsi" w:eastAsia="Calibri" w:hAnsiTheme="minorHAnsi" w:cstheme="minorHAnsi"/>
          <w:lang w:val="cs-CZ"/>
        </w:rPr>
        <w:t xml:space="preserve"> nikoliv.</w:t>
      </w:r>
    </w:p>
    <w:p w14:paraId="0B216E4A" w14:textId="77777777" w:rsidR="00540E6D" w:rsidRDefault="00540E6D" w:rsidP="00F6579D">
      <w:pPr>
        <w:pStyle w:val="Odstavecseseznamem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</w:p>
    <w:p w14:paraId="0316C89C" w14:textId="59E7AC09" w:rsidR="000731A0" w:rsidRPr="008C7E8F" w:rsidRDefault="000731A0" w:rsidP="006E0AD0">
      <w:pPr>
        <w:jc w:val="both"/>
        <w:rPr>
          <w:rFonts w:asciiTheme="minorHAnsi" w:hAnsiTheme="minorHAnsi" w:cstheme="minorHAnsi"/>
          <w:b/>
          <w:lang w:val="cs-CZ"/>
        </w:rPr>
      </w:pPr>
      <w:r w:rsidRPr="008C7E8F">
        <w:rPr>
          <w:rFonts w:asciiTheme="minorHAnsi" w:hAnsiTheme="minorHAnsi" w:cstheme="minorHAnsi"/>
          <w:b/>
          <w:lang w:val="cs-CZ"/>
        </w:rPr>
        <w:t xml:space="preserve">Tabulka č. </w:t>
      </w:r>
      <w:r w:rsidR="0082668F" w:rsidRPr="008C7E8F">
        <w:rPr>
          <w:rFonts w:asciiTheme="minorHAnsi" w:hAnsiTheme="minorHAnsi" w:cstheme="minorHAnsi"/>
          <w:b/>
          <w:lang w:val="cs-CZ"/>
        </w:rPr>
        <w:t>2</w:t>
      </w:r>
      <w:r w:rsidR="00A8002B">
        <w:rPr>
          <w:rFonts w:asciiTheme="minorHAnsi" w:hAnsiTheme="minorHAnsi" w:cstheme="minorHAnsi"/>
          <w:b/>
          <w:lang w:val="cs-CZ"/>
        </w:rPr>
        <w:t xml:space="preserve"> –</w:t>
      </w:r>
      <w:r w:rsidRPr="008C7E8F">
        <w:rPr>
          <w:rFonts w:asciiTheme="minorHAnsi" w:hAnsiTheme="minorHAnsi" w:cstheme="minorHAnsi"/>
          <w:b/>
          <w:lang w:val="cs-CZ"/>
        </w:rPr>
        <w:t xml:space="preserve"> Nebytové prostory v objektu Rytířská </w:t>
      </w:r>
      <w:r w:rsidR="002A26D0" w:rsidRPr="008C7E8F">
        <w:rPr>
          <w:rFonts w:asciiTheme="minorHAnsi" w:hAnsiTheme="minorHAnsi" w:cstheme="minorHAnsi"/>
          <w:b/>
          <w:lang w:val="cs-CZ"/>
        </w:rPr>
        <w:t>539</w:t>
      </w:r>
      <w:r w:rsidR="002A26D0">
        <w:rPr>
          <w:rFonts w:asciiTheme="minorHAnsi" w:hAnsiTheme="minorHAnsi" w:cstheme="minorHAnsi"/>
          <w:b/>
          <w:lang w:val="cs-CZ"/>
        </w:rPr>
        <w:t>/</w:t>
      </w:r>
      <w:r w:rsidRPr="008C7E8F">
        <w:rPr>
          <w:rFonts w:asciiTheme="minorHAnsi" w:hAnsiTheme="minorHAnsi" w:cstheme="minorHAnsi"/>
          <w:b/>
          <w:lang w:val="cs-CZ"/>
        </w:rPr>
        <w:t>31, Praha 1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7"/>
        <w:gridCol w:w="1476"/>
        <w:gridCol w:w="1175"/>
        <w:gridCol w:w="1560"/>
        <w:gridCol w:w="2551"/>
        <w:gridCol w:w="1361"/>
      </w:tblGrid>
      <w:tr w:rsidR="000731A0" w:rsidRPr="0048230F" w14:paraId="24D6776A" w14:textId="77777777" w:rsidTr="00F6579D">
        <w:trPr>
          <w:trHeight w:val="227"/>
        </w:trPr>
        <w:tc>
          <w:tcPr>
            <w:tcW w:w="907" w:type="dxa"/>
            <w:vMerge w:val="restart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1C1ACC09" w14:textId="77777777" w:rsidR="000731A0" w:rsidRPr="000731A0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7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Rok </w:t>
            </w:r>
          </w:p>
        </w:tc>
        <w:tc>
          <w:tcPr>
            <w:tcW w:w="2651" w:type="dxa"/>
            <w:gridSpan w:val="2"/>
            <w:shd w:val="clear" w:color="auto" w:fill="BDD6EE" w:themeFill="accent1" w:themeFillTint="66"/>
            <w:vAlign w:val="center"/>
          </w:tcPr>
          <w:p w14:paraId="4B123410" w14:textId="77777777" w:rsidR="000731A0" w:rsidRPr="005112D7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112D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Výše nájemného </w:t>
            </w:r>
          </w:p>
          <w:p w14:paraId="14641C89" w14:textId="27BFAA64" w:rsidR="000731A0" w:rsidRPr="008A29FD" w:rsidRDefault="002A26D0" w:rsidP="002A26D0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 Kč/</w:t>
            </w:r>
            <w:r w:rsidR="000731A0" w:rsidRPr="007C237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m</w:t>
            </w:r>
            <w:r w:rsidR="000731A0" w:rsidRPr="007C237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cs-CZ"/>
              </w:rPr>
              <w:t>2</w:t>
            </w:r>
            <w:r w:rsidR="000731A0" w:rsidRPr="008A29FD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/rok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FA77BA0" w14:textId="77777777" w:rsidR="000731A0" w:rsidRPr="00611263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1126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Roční nájemné </w:t>
            </w:r>
          </w:p>
          <w:p w14:paraId="373E8A62" w14:textId="7EF87EFD" w:rsidR="000731A0" w:rsidRPr="0048230F" w:rsidRDefault="002A26D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–</w:t>
            </w:r>
            <w:r w:rsidR="000731A0"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skutečnost</w:t>
            </w:r>
          </w:p>
          <w:p w14:paraId="754FA299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(v Kč)</w:t>
            </w:r>
          </w:p>
        </w:tc>
        <w:tc>
          <w:tcPr>
            <w:tcW w:w="2551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B1DAEFD" w14:textId="1AD3FE9B" w:rsidR="000731A0" w:rsidRPr="0048230F" w:rsidRDefault="000731A0" w:rsidP="002A26D0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Roční nájemné při použití výše nájemného sjednané</w:t>
            </w:r>
            <w:r w:rsidR="002A26D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</w:t>
            </w: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s </w:t>
            </w:r>
            <w:r w:rsidR="002A26D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</w:t>
            </w: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ájemcem č. 1 (v Kč)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14:paraId="0CCEC680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Rozdíl </w:t>
            </w:r>
          </w:p>
          <w:p w14:paraId="73A1E4E1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(v Kč)</w:t>
            </w:r>
          </w:p>
        </w:tc>
      </w:tr>
      <w:tr w:rsidR="000731A0" w:rsidRPr="0048230F" w14:paraId="62E01B70" w14:textId="77777777" w:rsidTr="00F6579D">
        <w:trPr>
          <w:trHeight w:val="283"/>
        </w:trPr>
        <w:tc>
          <w:tcPr>
            <w:tcW w:w="907" w:type="dxa"/>
            <w:vMerge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52AFD1BB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476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E0DE3ED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Nájemce č. 1</w:t>
            </w:r>
          </w:p>
        </w:tc>
        <w:tc>
          <w:tcPr>
            <w:tcW w:w="1175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35EDD1A4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Nájemce č. 3</w:t>
            </w:r>
          </w:p>
        </w:tc>
        <w:tc>
          <w:tcPr>
            <w:tcW w:w="4111" w:type="dxa"/>
            <w:gridSpan w:val="2"/>
            <w:shd w:val="clear" w:color="auto" w:fill="DEEAF6" w:themeFill="accent1" w:themeFillTint="33"/>
            <w:vAlign w:val="center"/>
          </w:tcPr>
          <w:p w14:paraId="7F90528C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Nájemce č. 3</w:t>
            </w:r>
          </w:p>
        </w:tc>
        <w:tc>
          <w:tcPr>
            <w:tcW w:w="1361" w:type="dxa"/>
            <w:shd w:val="clear" w:color="auto" w:fill="BDD6EE" w:themeFill="accent1" w:themeFillTint="66"/>
            <w:vAlign w:val="center"/>
          </w:tcPr>
          <w:p w14:paraId="5EBBBA1F" w14:textId="77777777" w:rsidR="000731A0" w:rsidRPr="0048230F" w:rsidRDefault="000731A0" w:rsidP="00523BF1">
            <w:pPr>
              <w:pStyle w:val="Odstavecseseznamem"/>
              <w:spacing w:line="214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731A0" w:rsidRPr="0048230F" w14:paraId="490BD1ED" w14:textId="77777777" w:rsidTr="00F6579D">
        <w:trPr>
          <w:trHeight w:val="227"/>
        </w:trPr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14:paraId="4A899245" w14:textId="77777777" w:rsidR="000731A0" w:rsidRPr="000731A0" w:rsidRDefault="000731A0" w:rsidP="00F6579D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7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2012</w:t>
            </w:r>
          </w:p>
        </w:tc>
        <w:tc>
          <w:tcPr>
            <w:tcW w:w="1476" w:type="dxa"/>
            <w:vAlign w:val="center"/>
          </w:tcPr>
          <w:p w14:paraId="1ABD4134" w14:textId="77777777" w:rsidR="000731A0" w:rsidRPr="005112D7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112D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6 206</w:t>
            </w:r>
          </w:p>
        </w:tc>
        <w:tc>
          <w:tcPr>
            <w:tcW w:w="1175" w:type="dxa"/>
            <w:vAlign w:val="center"/>
          </w:tcPr>
          <w:p w14:paraId="697B1D16" w14:textId="77777777" w:rsidR="000731A0" w:rsidRPr="007C2372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237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4 370</w:t>
            </w:r>
          </w:p>
        </w:tc>
        <w:tc>
          <w:tcPr>
            <w:tcW w:w="1560" w:type="dxa"/>
            <w:vAlign w:val="center"/>
          </w:tcPr>
          <w:p w14:paraId="3317D3D9" w14:textId="77777777" w:rsidR="000731A0" w:rsidRPr="00611263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1126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1 208 676</w:t>
            </w:r>
          </w:p>
        </w:tc>
        <w:tc>
          <w:tcPr>
            <w:tcW w:w="2551" w:type="dxa"/>
            <w:vAlign w:val="center"/>
          </w:tcPr>
          <w:p w14:paraId="3426F32A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1 716 579</w:t>
            </w:r>
          </w:p>
        </w:tc>
        <w:tc>
          <w:tcPr>
            <w:tcW w:w="1361" w:type="dxa"/>
            <w:vAlign w:val="center"/>
          </w:tcPr>
          <w:p w14:paraId="554B6919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507 903</w:t>
            </w:r>
          </w:p>
        </w:tc>
      </w:tr>
      <w:tr w:rsidR="000731A0" w:rsidRPr="0048230F" w14:paraId="5F68C403" w14:textId="77777777" w:rsidTr="00F6579D">
        <w:trPr>
          <w:trHeight w:val="227"/>
        </w:trPr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14:paraId="658155E0" w14:textId="77777777" w:rsidR="000731A0" w:rsidRPr="000731A0" w:rsidRDefault="000731A0" w:rsidP="00F6579D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7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2013</w:t>
            </w:r>
          </w:p>
        </w:tc>
        <w:tc>
          <w:tcPr>
            <w:tcW w:w="1476" w:type="dxa"/>
            <w:vAlign w:val="center"/>
          </w:tcPr>
          <w:p w14:paraId="2DC857FB" w14:textId="77777777" w:rsidR="000731A0" w:rsidRPr="005112D7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112D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6 411</w:t>
            </w:r>
          </w:p>
        </w:tc>
        <w:tc>
          <w:tcPr>
            <w:tcW w:w="1175" w:type="dxa"/>
            <w:vAlign w:val="center"/>
          </w:tcPr>
          <w:p w14:paraId="79E3F758" w14:textId="77777777" w:rsidR="000731A0" w:rsidRPr="007C2372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237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4 514</w:t>
            </w:r>
          </w:p>
        </w:tc>
        <w:tc>
          <w:tcPr>
            <w:tcW w:w="1560" w:type="dxa"/>
            <w:vAlign w:val="center"/>
          </w:tcPr>
          <w:p w14:paraId="3994EFE4" w14:textId="77777777" w:rsidR="000731A0" w:rsidRPr="00611263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1126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1 248 564</w:t>
            </w:r>
          </w:p>
        </w:tc>
        <w:tc>
          <w:tcPr>
            <w:tcW w:w="2551" w:type="dxa"/>
            <w:vAlign w:val="center"/>
          </w:tcPr>
          <w:p w14:paraId="21C3E0A9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1 773 283</w:t>
            </w:r>
          </w:p>
        </w:tc>
        <w:tc>
          <w:tcPr>
            <w:tcW w:w="1361" w:type="dxa"/>
            <w:vAlign w:val="center"/>
          </w:tcPr>
          <w:p w14:paraId="728E7D45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524 719</w:t>
            </w:r>
          </w:p>
        </w:tc>
      </w:tr>
      <w:tr w:rsidR="000731A0" w:rsidRPr="0048230F" w14:paraId="57CE14A7" w14:textId="77777777" w:rsidTr="00F6579D">
        <w:trPr>
          <w:trHeight w:val="227"/>
        </w:trPr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14:paraId="5134A259" w14:textId="77777777" w:rsidR="000731A0" w:rsidRPr="000731A0" w:rsidRDefault="000731A0" w:rsidP="00F6579D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7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2014</w:t>
            </w:r>
          </w:p>
        </w:tc>
        <w:tc>
          <w:tcPr>
            <w:tcW w:w="1476" w:type="dxa"/>
            <w:vAlign w:val="center"/>
          </w:tcPr>
          <w:p w14:paraId="6B450273" w14:textId="77777777" w:rsidR="000731A0" w:rsidRPr="005112D7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112D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6 500</w:t>
            </w:r>
          </w:p>
        </w:tc>
        <w:tc>
          <w:tcPr>
            <w:tcW w:w="1175" w:type="dxa"/>
            <w:vAlign w:val="center"/>
          </w:tcPr>
          <w:p w14:paraId="517BF8FA" w14:textId="77777777" w:rsidR="000731A0" w:rsidRPr="007C2372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237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4 577</w:t>
            </w:r>
          </w:p>
        </w:tc>
        <w:tc>
          <w:tcPr>
            <w:tcW w:w="1560" w:type="dxa"/>
            <w:vAlign w:val="center"/>
          </w:tcPr>
          <w:p w14:paraId="1C0B6AC3" w14:textId="77777777" w:rsidR="000731A0" w:rsidRPr="00611263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1126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1 266 044</w:t>
            </w:r>
          </w:p>
        </w:tc>
        <w:tc>
          <w:tcPr>
            <w:tcW w:w="2551" w:type="dxa"/>
            <w:vAlign w:val="center"/>
          </w:tcPr>
          <w:p w14:paraId="7D0B6971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1 797 900</w:t>
            </w:r>
          </w:p>
        </w:tc>
        <w:tc>
          <w:tcPr>
            <w:tcW w:w="1361" w:type="dxa"/>
            <w:vAlign w:val="center"/>
          </w:tcPr>
          <w:p w14:paraId="39D91381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531 856</w:t>
            </w:r>
          </w:p>
        </w:tc>
      </w:tr>
      <w:tr w:rsidR="000731A0" w:rsidRPr="0048230F" w14:paraId="39AF0C53" w14:textId="77777777" w:rsidTr="00F6579D">
        <w:trPr>
          <w:trHeight w:val="227"/>
        </w:trPr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14:paraId="17FB2DE0" w14:textId="77777777" w:rsidR="000731A0" w:rsidRPr="000731A0" w:rsidRDefault="000731A0" w:rsidP="00F6579D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0731A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2015</w:t>
            </w:r>
          </w:p>
        </w:tc>
        <w:tc>
          <w:tcPr>
            <w:tcW w:w="1476" w:type="dxa"/>
            <w:vAlign w:val="center"/>
          </w:tcPr>
          <w:p w14:paraId="1A1BB0BC" w14:textId="77777777" w:rsidR="000731A0" w:rsidRPr="005112D7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5112D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7 020</w:t>
            </w:r>
          </w:p>
        </w:tc>
        <w:tc>
          <w:tcPr>
            <w:tcW w:w="1175" w:type="dxa"/>
            <w:vAlign w:val="center"/>
          </w:tcPr>
          <w:p w14:paraId="3357E547" w14:textId="77777777" w:rsidR="000731A0" w:rsidRPr="007C2372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7C2372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4 577</w:t>
            </w:r>
          </w:p>
        </w:tc>
        <w:tc>
          <w:tcPr>
            <w:tcW w:w="1560" w:type="dxa"/>
            <w:vAlign w:val="center"/>
          </w:tcPr>
          <w:p w14:paraId="4E03AB7C" w14:textId="77777777" w:rsidR="000731A0" w:rsidRPr="00611263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61126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1 266 044</w:t>
            </w:r>
          </w:p>
        </w:tc>
        <w:tc>
          <w:tcPr>
            <w:tcW w:w="2551" w:type="dxa"/>
            <w:vAlign w:val="center"/>
          </w:tcPr>
          <w:p w14:paraId="7DD693F4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1 941 732</w:t>
            </w:r>
          </w:p>
        </w:tc>
        <w:tc>
          <w:tcPr>
            <w:tcW w:w="1361" w:type="dxa"/>
            <w:vAlign w:val="center"/>
          </w:tcPr>
          <w:p w14:paraId="2BF6E4AA" w14:textId="77777777" w:rsidR="000731A0" w:rsidRPr="0048230F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48230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675 688</w:t>
            </w:r>
          </w:p>
        </w:tc>
      </w:tr>
      <w:tr w:rsidR="000731A0" w:rsidRPr="0048230F" w14:paraId="372ED7C8" w14:textId="77777777" w:rsidTr="00F6579D">
        <w:trPr>
          <w:trHeight w:val="227"/>
        </w:trPr>
        <w:tc>
          <w:tcPr>
            <w:tcW w:w="3558" w:type="dxa"/>
            <w:gridSpan w:val="3"/>
            <w:shd w:val="clear" w:color="auto" w:fill="DEEAF6" w:themeFill="accent1" w:themeFillTint="33"/>
            <w:vAlign w:val="center"/>
          </w:tcPr>
          <w:p w14:paraId="0B789955" w14:textId="51DB38A7" w:rsidR="000731A0" w:rsidRPr="000731A0" w:rsidRDefault="002A26D0" w:rsidP="00F6579D">
            <w:pPr>
              <w:pStyle w:val="Odstavecseseznamem"/>
              <w:ind w:left="0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C</w:t>
            </w:r>
            <w:r w:rsidR="000731A0" w:rsidRPr="000731A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elkem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14:paraId="2C9F08CE" w14:textId="77777777" w:rsidR="000731A0" w:rsidRPr="005112D7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5112D7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4 989 328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6C217FC7" w14:textId="77777777" w:rsidR="000731A0" w:rsidRPr="007C2372" w:rsidRDefault="000731A0" w:rsidP="00523BF1">
            <w:pPr>
              <w:pStyle w:val="Odstavecseseznamem"/>
              <w:ind w:left="0"/>
              <w:contextualSpacing w:val="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7C2372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7 229 494</w:t>
            </w:r>
          </w:p>
        </w:tc>
        <w:tc>
          <w:tcPr>
            <w:tcW w:w="1361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14:paraId="5C2FF74B" w14:textId="77777777" w:rsidR="000731A0" w:rsidRPr="00611263" w:rsidRDefault="000731A0" w:rsidP="00523BF1">
            <w:pPr>
              <w:pStyle w:val="Odstavecseseznamem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611263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2 240 166</w:t>
            </w:r>
          </w:p>
        </w:tc>
      </w:tr>
    </w:tbl>
    <w:p w14:paraId="3E1E406D" w14:textId="3E625EED" w:rsidR="0082668F" w:rsidRPr="008C7E8F" w:rsidRDefault="00E00FFC" w:rsidP="006E0AD0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64629C">
        <w:rPr>
          <w:rFonts w:asciiTheme="minorHAnsi" w:hAnsiTheme="minorHAnsi" w:cstheme="minorHAnsi"/>
          <w:b/>
          <w:sz w:val="20"/>
          <w:szCs w:val="20"/>
          <w:lang w:val="cs-CZ"/>
        </w:rPr>
        <w:t>Zdroj:</w:t>
      </w:r>
      <w:r w:rsidRPr="008C7E8F">
        <w:rPr>
          <w:rFonts w:asciiTheme="minorHAnsi" w:hAnsiTheme="minorHAnsi" w:cstheme="minorHAnsi"/>
          <w:sz w:val="20"/>
          <w:szCs w:val="20"/>
          <w:lang w:val="cs-CZ"/>
        </w:rPr>
        <w:t xml:space="preserve"> smlouvy, </w:t>
      </w:r>
      <w:r>
        <w:rPr>
          <w:rFonts w:asciiTheme="minorHAnsi" w:hAnsiTheme="minorHAnsi" w:cstheme="minorHAnsi"/>
          <w:sz w:val="20"/>
          <w:szCs w:val="20"/>
          <w:lang w:val="cs-CZ"/>
        </w:rPr>
        <w:t>v</w:t>
      </w:r>
      <w:r w:rsidR="0082668F" w:rsidRPr="008C7E8F">
        <w:rPr>
          <w:rFonts w:asciiTheme="minorHAnsi" w:hAnsiTheme="minorHAnsi" w:cstheme="minorHAnsi"/>
          <w:sz w:val="20"/>
          <w:szCs w:val="20"/>
          <w:lang w:val="cs-CZ"/>
        </w:rPr>
        <w:t>lastní propočet NKÚ</w:t>
      </w:r>
      <w:r w:rsidR="006E0AD0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B18DDD6" w14:textId="62194F49" w:rsidR="000731A0" w:rsidRPr="0048230F" w:rsidRDefault="005112D7" w:rsidP="00857BBF">
      <w:pPr>
        <w:spacing w:after="120"/>
        <w:ind w:left="567" w:right="565" w:hanging="567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64629C">
        <w:rPr>
          <w:rFonts w:asciiTheme="minorHAnsi" w:hAnsiTheme="minorHAnsi" w:cstheme="minorHAnsi"/>
          <w:b/>
          <w:sz w:val="20"/>
          <w:szCs w:val="20"/>
          <w:lang w:val="cs-CZ"/>
        </w:rPr>
        <w:t>Pozn</w:t>
      </w:r>
      <w:r w:rsidR="00184892">
        <w:rPr>
          <w:rFonts w:asciiTheme="minorHAnsi" w:hAnsiTheme="minorHAnsi" w:cstheme="minorHAnsi"/>
          <w:b/>
          <w:sz w:val="20"/>
          <w:szCs w:val="20"/>
          <w:lang w:val="cs-CZ"/>
        </w:rPr>
        <w:t>.</w:t>
      </w:r>
      <w:r w:rsidR="00E00FFC" w:rsidRPr="0064629C">
        <w:rPr>
          <w:rFonts w:asciiTheme="minorHAnsi" w:hAnsiTheme="minorHAnsi" w:cstheme="minorHAnsi"/>
          <w:b/>
          <w:sz w:val="20"/>
          <w:szCs w:val="20"/>
          <w:lang w:val="cs-CZ"/>
        </w:rPr>
        <w:t>:</w:t>
      </w:r>
      <w:r w:rsidRPr="005112D7">
        <w:rPr>
          <w:rFonts w:asciiTheme="minorHAnsi" w:hAnsiTheme="minorHAnsi" w:cstheme="minorHAnsi"/>
          <w:sz w:val="20"/>
          <w:szCs w:val="20"/>
          <w:lang w:val="cs-CZ"/>
        </w:rPr>
        <w:t xml:space="preserve"> U nájemce č. 2 MZV celkovou výši nájemného navyšovalo o míru inflace, ale neprovádělo propočet na údaj Kč/m</w:t>
      </w:r>
      <w:r w:rsidRPr="005112D7">
        <w:rPr>
          <w:rFonts w:asciiTheme="minorHAnsi" w:hAnsiTheme="minorHAnsi" w:cstheme="minorHAnsi"/>
          <w:sz w:val="20"/>
          <w:szCs w:val="20"/>
          <w:vertAlign w:val="superscript"/>
          <w:lang w:val="cs-CZ"/>
        </w:rPr>
        <w:t>2</w:t>
      </w:r>
      <w:r w:rsidRPr="005112D7">
        <w:rPr>
          <w:rFonts w:asciiTheme="minorHAnsi" w:hAnsiTheme="minorHAnsi" w:cstheme="minorHAnsi"/>
          <w:sz w:val="20"/>
          <w:szCs w:val="20"/>
          <w:lang w:val="cs-CZ"/>
        </w:rPr>
        <w:t xml:space="preserve">/rok, kontrola se proto zaměřila na určení </w:t>
      </w:r>
      <w:r w:rsidR="00E00FFC">
        <w:rPr>
          <w:rFonts w:asciiTheme="minorHAnsi" w:hAnsiTheme="minorHAnsi" w:cstheme="minorHAnsi"/>
          <w:sz w:val="20"/>
          <w:szCs w:val="20"/>
          <w:lang w:val="cs-CZ"/>
        </w:rPr>
        <w:t xml:space="preserve">částky </w:t>
      </w:r>
      <w:r w:rsidRPr="005112D7">
        <w:rPr>
          <w:rFonts w:asciiTheme="minorHAnsi" w:hAnsiTheme="minorHAnsi" w:cstheme="minorHAnsi"/>
          <w:sz w:val="20"/>
          <w:szCs w:val="20"/>
          <w:lang w:val="cs-CZ"/>
        </w:rPr>
        <w:t>ušlého zisku porovnáním výnosů od nájemce č. 1 a č. 3.</w:t>
      </w:r>
    </w:p>
    <w:p w14:paraId="24032DD7" w14:textId="00037D96" w:rsidR="000731A0" w:rsidRPr="0048230F" w:rsidRDefault="00523BF1" w:rsidP="000731A0">
      <w:pPr>
        <w:spacing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Z tabulky č. 2 plyne, že </w:t>
      </w:r>
      <w:r w:rsidR="000731A0" w:rsidRPr="0048230F">
        <w:rPr>
          <w:rFonts w:asciiTheme="minorHAnsi" w:hAnsiTheme="minorHAnsi" w:cstheme="minorHAnsi"/>
          <w:lang w:val="cs-CZ"/>
        </w:rPr>
        <w:t xml:space="preserve">MZV v letech 2012 až 2015 při pronájmu nebytových prostor sjednalo s nájemcem č. 3 nájemné v souhrnu o </w:t>
      </w:r>
      <w:r w:rsidR="000731A0" w:rsidRPr="0048230F">
        <w:rPr>
          <w:rFonts w:asciiTheme="minorHAnsi" w:hAnsiTheme="minorHAnsi" w:cstheme="minorHAnsi"/>
          <w:b/>
          <w:lang w:val="cs-CZ"/>
        </w:rPr>
        <w:t>2 240 166 Kč</w:t>
      </w:r>
      <w:r w:rsidR="000731A0" w:rsidRPr="0048230F">
        <w:rPr>
          <w:rFonts w:asciiTheme="minorHAnsi" w:hAnsiTheme="minorHAnsi" w:cstheme="minorHAnsi"/>
          <w:lang w:val="cs-CZ"/>
        </w:rPr>
        <w:t xml:space="preserve"> nižší, než by činilo podle stanovené výše nájemného použité při pronájmu nebytových prostor ve stejném objektu u nájemce č. 1. </w:t>
      </w:r>
    </w:p>
    <w:p w14:paraId="59949CB4" w14:textId="20F5A3B5" w:rsidR="000731A0" w:rsidRDefault="000731A0" w:rsidP="00F6579D">
      <w:pPr>
        <w:pStyle w:val="Odstavecseseznamem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  <w:r w:rsidRPr="005112D7">
        <w:rPr>
          <w:rFonts w:asciiTheme="minorHAnsi" w:eastAsia="Calibri" w:hAnsiTheme="minorHAnsi" w:cstheme="minorHAnsi"/>
          <w:lang w:val="cs-CZ"/>
        </w:rPr>
        <w:t>MZV tak nejméně v letech 2012 až 2015 neplnilo povinnosti stanovené v ustanovení</w:t>
      </w:r>
      <w:r w:rsidR="00AA2081">
        <w:rPr>
          <w:rFonts w:asciiTheme="minorHAnsi" w:eastAsia="Calibri" w:hAnsiTheme="minorHAnsi" w:cstheme="minorHAnsi"/>
          <w:lang w:val="cs-CZ"/>
        </w:rPr>
        <w:t>ch</w:t>
      </w:r>
      <w:r w:rsidRPr="005112D7">
        <w:rPr>
          <w:rFonts w:asciiTheme="minorHAnsi" w:eastAsia="Calibri" w:hAnsiTheme="minorHAnsi" w:cstheme="minorHAnsi"/>
          <w:lang w:val="cs-CZ"/>
        </w:rPr>
        <w:t xml:space="preserve"> § 14 odst. 1 a odst. 4 zákona č. 219/2000 Sb., </w:t>
      </w:r>
      <w:r w:rsidR="00AA2081">
        <w:rPr>
          <w:rFonts w:asciiTheme="minorHAnsi" w:eastAsia="Calibri" w:hAnsiTheme="minorHAnsi" w:cstheme="minorHAnsi"/>
          <w:lang w:val="cs-CZ"/>
        </w:rPr>
        <w:t>v nichž se</w:t>
      </w:r>
      <w:r w:rsidRPr="005112D7">
        <w:rPr>
          <w:rFonts w:asciiTheme="minorHAnsi" w:eastAsia="Calibri" w:hAnsiTheme="minorHAnsi" w:cstheme="minorHAnsi"/>
          <w:lang w:val="cs-CZ"/>
        </w:rPr>
        <w:t xml:space="preserve"> mimo jiné ukládá povinnost využívat majetek hospodárně a počínat si tak, aby nedocházelo k neodů</w:t>
      </w:r>
      <w:r w:rsidRPr="00523BF1">
        <w:rPr>
          <w:rFonts w:asciiTheme="minorHAnsi" w:eastAsia="Calibri" w:hAnsiTheme="minorHAnsi" w:cstheme="minorHAnsi"/>
          <w:lang w:val="cs-CZ"/>
        </w:rPr>
        <w:t xml:space="preserve">vodněnému snižování výnosu z majetku. </w:t>
      </w:r>
    </w:p>
    <w:p w14:paraId="57497325" w14:textId="77777777" w:rsidR="00C12EB3" w:rsidRPr="00523BF1" w:rsidRDefault="00C12EB3" w:rsidP="00F6579D">
      <w:pPr>
        <w:pStyle w:val="Odstavecseseznamem"/>
        <w:ind w:left="0"/>
        <w:contextualSpacing w:val="0"/>
        <w:jc w:val="both"/>
        <w:rPr>
          <w:rFonts w:asciiTheme="minorHAnsi" w:eastAsia="Calibri" w:hAnsiTheme="minorHAnsi" w:cstheme="minorHAnsi"/>
          <w:lang w:val="cs-CZ"/>
        </w:rPr>
      </w:pPr>
    </w:p>
    <w:p w14:paraId="43D840BC" w14:textId="0A9623C9" w:rsidR="000F6C56" w:rsidRPr="00F02C02" w:rsidRDefault="00B74C60" w:rsidP="00F02C02">
      <w:pPr>
        <w:spacing w:after="120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t xml:space="preserve">3. </w:t>
      </w:r>
      <w:r w:rsidR="00F361C1">
        <w:rPr>
          <w:rFonts w:asciiTheme="minorHAnsi" w:hAnsiTheme="minorHAnsi" w:cstheme="minorHAnsi"/>
          <w:b/>
          <w:color w:val="000000"/>
          <w:lang w:val="cs-CZ"/>
        </w:rPr>
        <w:t>P</w:t>
      </w:r>
      <w:r w:rsidR="00F02C02" w:rsidRPr="00F02C02">
        <w:rPr>
          <w:rFonts w:asciiTheme="minorHAnsi" w:hAnsiTheme="minorHAnsi" w:cstheme="minorHAnsi"/>
          <w:b/>
          <w:color w:val="000000"/>
          <w:lang w:val="cs-CZ"/>
        </w:rPr>
        <w:t>ředškolní péče o děti zaměstnanců</w:t>
      </w:r>
    </w:p>
    <w:p w14:paraId="5A383A12" w14:textId="14C1C14F" w:rsidR="00332AEA" w:rsidRPr="001D7AF7" w:rsidRDefault="00720B36" w:rsidP="00897372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eastAsia="Calibri" w:hAnsiTheme="minorHAnsi" w:cstheme="minorHAnsi"/>
          <w:lang w:val="cs-CZ"/>
        </w:rPr>
        <w:t>Ministerstvo zahraničních věcí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 dne 13. 2. 2013 uzavřelo </w:t>
      </w:r>
      <w:r>
        <w:rPr>
          <w:rFonts w:asciiTheme="minorHAnsi" w:hAnsiTheme="minorHAnsi" w:cstheme="minorHAnsi"/>
          <w:color w:val="000000"/>
          <w:lang w:val="cs-CZ"/>
        </w:rPr>
        <w:t>s externím dodavatelem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s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mlouvu o</w:t>
      </w:r>
      <w:r w:rsidR="006D67B9">
        <w:rPr>
          <w:rFonts w:asciiTheme="minorHAnsi" w:hAnsiTheme="minorHAnsi" w:cstheme="minorHAnsi"/>
          <w:color w:val="000000"/>
          <w:lang w:val="cs-CZ"/>
        </w:rPr>
        <w:t> 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poskytnutí služby předškolní péče o děti zaměstnanců MZV</w:t>
      </w:r>
      <w:r>
        <w:rPr>
          <w:rFonts w:asciiTheme="minorHAnsi" w:hAnsiTheme="minorHAnsi" w:cstheme="minorHAnsi"/>
          <w:color w:val="000000"/>
          <w:lang w:val="cs-CZ"/>
        </w:rPr>
        <w:t>.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N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a základě </w:t>
      </w:r>
      <w:r>
        <w:rPr>
          <w:rFonts w:asciiTheme="minorHAnsi" w:hAnsiTheme="minorHAnsi" w:cstheme="minorHAnsi"/>
          <w:color w:val="000000"/>
          <w:lang w:val="cs-CZ"/>
        </w:rPr>
        <w:t xml:space="preserve">této smlouvy 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během 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lastRenderedPageBreak/>
        <w:t>sjednaných tří let (od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září 2013) uhradí poskytovateli služby celkem 15 899 400 Kč vč. DPH, tj.</w:t>
      </w:r>
      <w:r w:rsidR="006D67B9">
        <w:rPr>
          <w:rFonts w:asciiTheme="minorHAnsi" w:hAnsiTheme="minorHAnsi" w:cstheme="minorHAnsi"/>
          <w:color w:val="000000"/>
          <w:lang w:val="cs-CZ"/>
        </w:rPr>
        <w:t> 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441 650 Kč vč. DPH měsíčně.</w:t>
      </w:r>
    </w:p>
    <w:p w14:paraId="3A18B335" w14:textId="77777777" w:rsidR="00F02C02" w:rsidRPr="001D7AF7" w:rsidRDefault="00332AE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1D7AF7">
        <w:rPr>
          <w:rFonts w:asciiTheme="minorHAnsi" w:hAnsiTheme="minorHAnsi" w:cstheme="minorHAnsi"/>
          <w:color w:val="000000"/>
          <w:lang w:val="cs-CZ"/>
        </w:rPr>
        <w:t xml:space="preserve">Při kapacitě 25 dětí činí výše měsíčních nákladů na jedno dítě 17 666 Kč vč. DPH, po odečtu příspěvku placeného zaměstnancem (rodičem) představují </w:t>
      </w:r>
      <w:r w:rsidR="00F02C02">
        <w:rPr>
          <w:rFonts w:asciiTheme="minorHAnsi" w:hAnsiTheme="minorHAnsi" w:cstheme="minorHAnsi"/>
          <w:color w:val="000000"/>
          <w:lang w:val="cs-CZ"/>
        </w:rPr>
        <w:t>náklady na jedno dítě částku 14 </w:t>
      </w:r>
      <w:r w:rsidRPr="001D7AF7">
        <w:rPr>
          <w:rFonts w:asciiTheme="minorHAnsi" w:hAnsiTheme="minorHAnsi" w:cstheme="minorHAnsi"/>
          <w:color w:val="000000"/>
          <w:lang w:val="cs-CZ"/>
        </w:rPr>
        <w:t>666 Kč vč. DPH měsíčně. Tato částka však není koneč</w:t>
      </w:r>
      <w:r w:rsidR="0010148C">
        <w:rPr>
          <w:rFonts w:asciiTheme="minorHAnsi" w:hAnsiTheme="minorHAnsi" w:cstheme="minorHAnsi"/>
          <w:color w:val="000000"/>
          <w:lang w:val="cs-CZ"/>
        </w:rPr>
        <w:t>ná, neboť nezahrnuje náklady za </w:t>
      </w:r>
      <w:r w:rsidRPr="001D7AF7">
        <w:rPr>
          <w:rFonts w:asciiTheme="minorHAnsi" w:hAnsiTheme="minorHAnsi" w:cstheme="minorHAnsi"/>
          <w:color w:val="000000"/>
          <w:lang w:val="cs-CZ"/>
        </w:rPr>
        <w:t>spotřebovanou elektrickou energii, vodu, stočné, odvoz komunálního odpadu, popřípadě jiné náklady, které hradí MZV.</w:t>
      </w:r>
    </w:p>
    <w:p w14:paraId="6FEC81A3" w14:textId="01094CE3" w:rsidR="00332AEA" w:rsidRPr="001D7AF7" w:rsidRDefault="00332AEA" w:rsidP="0043367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1D7AF7">
        <w:rPr>
          <w:rFonts w:asciiTheme="minorHAnsi" w:hAnsiTheme="minorHAnsi" w:cstheme="minorHAnsi"/>
          <w:color w:val="000000"/>
          <w:lang w:val="cs-CZ"/>
        </w:rPr>
        <w:t xml:space="preserve">Montovaná stavba </w:t>
      </w:r>
      <w:r w:rsidR="00E00FFC">
        <w:rPr>
          <w:rFonts w:asciiTheme="minorHAnsi" w:hAnsiTheme="minorHAnsi" w:cstheme="minorHAnsi"/>
          <w:color w:val="000000"/>
          <w:lang w:val="cs-CZ"/>
        </w:rPr>
        <w:t>„</w:t>
      </w:r>
      <w:r w:rsidRPr="001D7AF7">
        <w:rPr>
          <w:rFonts w:asciiTheme="minorHAnsi" w:hAnsiTheme="minorHAnsi" w:cstheme="minorHAnsi"/>
          <w:color w:val="000000"/>
          <w:lang w:val="cs-CZ"/>
        </w:rPr>
        <w:t>školky</w:t>
      </w:r>
      <w:r w:rsidR="00E00FFC">
        <w:rPr>
          <w:rFonts w:asciiTheme="minorHAnsi" w:hAnsiTheme="minorHAnsi" w:cstheme="minorHAnsi"/>
          <w:color w:val="000000"/>
          <w:lang w:val="cs-CZ"/>
        </w:rPr>
        <w:t>“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je umístěna na pozemku MZV a </w:t>
      </w:r>
      <w:r w:rsidR="0010148C">
        <w:rPr>
          <w:rFonts w:asciiTheme="minorHAnsi" w:hAnsiTheme="minorHAnsi" w:cstheme="minorHAnsi"/>
          <w:color w:val="000000"/>
          <w:lang w:val="cs-CZ"/>
        </w:rPr>
        <w:t xml:space="preserve">je 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majetkem poskytovatele služby, který pozemek užívá bezúplatně, ačkoliv podle zákona </w:t>
      </w:r>
      <w:r w:rsidR="00112AF7">
        <w:rPr>
          <w:rFonts w:asciiTheme="minorHAnsi" w:hAnsiTheme="minorHAnsi" w:cstheme="minorHAnsi"/>
          <w:color w:val="000000"/>
          <w:lang w:val="cs-CZ"/>
        </w:rPr>
        <w:t>č. 219/2000 Sb.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musí být nájemné sjednáno nejméně ve výši, která je v daném místě a čase obvyklá. MZV tímto jednáním porušilo ustanovení § 14 odst. 1 a odst. 4 zákona</w:t>
      </w:r>
      <w:r w:rsidR="001C5ABA">
        <w:rPr>
          <w:rFonts w:asciiTheme="minorHAnsi" w:hAnsiTheme="minorHAnsi" w:cstheme="minorHAnsi"/>
          <w:color w:val="000000"/>
          <w:lang w:val="cs-CZ"/>
        </w:rPr>
        <w:t xml:space="preserve"> č. 219/2000 Sb.</w:t>
      </w:r>
      <w:r w:rsidRPr="001D7AF7">
        <w:rPr>
          <w:rFonts w:asciiTheme="minorHAnsi" w:hAnsiTheme="minorHAnsi" w:cstheme="minorHAnsi"/>
          <w:color w:val="000000"/>
          <w:lang w:val="cs-CZ"/>
        </w:rPr>
        <w:t>, nebo</w:t>
      </w:r>
      <w:r>
        <w:rPr>
          <w:rFonts w:asciiTheme="minorHAnsi" w:hAnsiTheme="minorHAnsi" w:cstheme="minorHAnsi"/>
          <w:color w:val="000000"/>
          <w:lang w:val="cs-CZ"/>
        </w:rPr>
        <w:t>ť neodůvodněně snížilo výnos z 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majetku o nájemné </w:t>
      </w:r>
      <w:r w:rsidR="006D67B9">
        <w:rPr>
          <w:rFonts w:asciiTheme="minorHAnsi" w:hAnsiTheme="minorHAnsi" w:cstheme="minorHAnsi"/>
          <w:color w:val="000000"/>
          <w:lang w:val="cs-CZ"/>
        </w:rPr>
        <w:t xml:space="preserve">ve výši obvyklé </w:t>
      </w:r>
      <w:r w:rsidRPr="001D7AF7">
        <w:rPr>
          <w:rFonts w:asciiTheme="minorHAnsi" w:hAnsiTheme="minorHAnsi" w:cstheme="minorHAnsi"/>
          <w:color w:val="000000"/>
          <w:lang w:val="cs-CZ"/>
        </w:rPr>
        <w:t>v</w:t>
      </w:r>
      <w:r w:rsidR="006D67B9">
        <w:rPr>
          <w:rFonts w:asciiTheme="minorHAnsi" w:hAnsiTheme="minorHAnsi" w:cstheme="minorHAnsi"/>
          <w:color w:val="000000"/>
          <w:lang w:val="cs-CZ"/>
        </w:rPr>
        <w:t xml:space="preserve"> daném </w:t>
      </w:r>
      <w:r w:rsidRPr="001D7AF7">
        <w:rPr>
          <w:rFonts w:asciiTheme="minorHAnsi" w:hAnsiTheme="minorHAnsi" w:cstheme="minorHAnsi"/>
          <w:color w:val="000000"/>
          <w:lang w:val="cs-CZ"/>
        </w:rPr>
        <w:t>místě a čase</w:t>
      </w:r>
      <w:r w:rsidR="004713F6">
        <w:rPr>
          <w:rFonts w:asciiTheme="minorHAnsi" w:hAnsiTheme="minorHAnsi" w:cstheme="minorHAnsi"/>
          <w:color w:val="000000"/>
          <w:lang w:val="cs-CZ"/>
        </w:rPr>
        <w:t>.</w:t>
      </w:r>
      <w:r w:rsidR="00A77037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4713F6">
        <w:rPr>
          <w:rFonts w:asciiTheme="minorHAnsi" w:hAnsiTheme="minorHAnsi" w:cstheme="minorHAnsi"/>
          <w:color w:val="000000"/>
          <w:lang w:val="cs-CZ"/>
        </w:rPr>
        <w:t>V</w:t>
      </w:r>
      <w:r w:rsidR="004713F6" w:rsidRPr="001D7AF7">
        <w:rPr>
          <w:rFonts w:asciiTheme="minorHAnsi" w:hAnsiTheme="minorHAnsi" w:cstheme="minorHAnsi"/>
          <w:color w:val="000000"/>
          <w:lang w:val="cs-CZ"/>
        </w:rPr>
        <w:t xml:space="preserve"> době uzavření smlouvy </w:t>
      </w:r>
      <w:r w:rsidR="004713F6">
        <w:rPr>
          <w:rFonts w:asciiTheme="minorHAnsi" w:hAnsiTheme="minorHAnsi" w:cstheme="minorHAnsi"/>
          <w:color w:val="000000"/>
          <w:lang w:val="cs-CZ"/>
        </w:rPr>
        <w:t xml:space="preserve">nebylo </w:t>
      </w:r>
      <w:r w:rsidR="000C776D">
        <w:rPr>
          <w:rFonts w:asciiTheme="minorHAnsi" w:hAnsiTheme="minorHAnsi" w:cstheme="minorHAnsi"/>
          <w:color w:val="000000"/>
          <w:lang w:val="cs-CZ"/>
        </w:rPr>
        <w:t xml:space="preserve">MZV oprávněno 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zahrnout výdaje spojené s </w:t>
      </w:r>
      <w:r w:rsidR="007C2372">
        <w:rPr>
          <w:rFonts w:asciiTheme="minorHAnsi" w:hAnsiTheme="minorHAnsi" w:cstheme="minorHAnsi"/>
          <w:color w:val="000000"/>
          <w:lang w:val="cs-CZ"/>
        </w:rPr>
        <w:t>čerpáním</w:t>
      </w:r>
      <w:r w:rsidR="007C2372" w:rsidRPr="001D7AF7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D7AF7">
        <w:rPr>
          <w:rFonts w:asciiTheme="minorHAnsi" w:hAnsiTheme="minorHAnsi" w:cstheme="minorHAnsi"/>
          <w:color w:val="000000"/>
          <w:lang w:val="cs-CZ"/>
        </w:rPr>
        <w:t>služby</w:t>
      </w:r>
      <w:r w:rsidR="008C7E8F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D67B9">
        <w:rPr>
          <w:rFonts w:asciiTheme="minorHAnsi" w:hAnsiTheme="minorHAnsi" w:cstheme="minorHAnsi"/>
          <w:color w:val="000000"/>
          <w:lang w:val="cs-CZ"/>
        </w:rPr>
        <w:t>(</w:t>
      </w:r>
      <w:r w:rsidR="008C7E8F">
        <w:rPr>
          <w:rFonts w:asciiTheme="minorHAnsi" w:hAnsiTheme="minorHAnsi" w:cstheme="minorHAnsi"/>
          <w:color w:val="000000"/>
          <w:lang w:val="cs-CZ"/>
        </w:rPr>
        <w:t>péče o</w:t>
      </w:r>
      <w:r w:rsidR="006D67B9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D7AF7">
        <w:rPr>
          <w:rFonts w:asciiTheme="minorHAnsi" w:hAnsiTheme="minorHAnsi" w:cstheme="minorHAnsi"/>
          <w:color w:val="000000"/>
          <w:lang w:val="cs-CZ"/>
        </w:rPr>
        <w:t>děti ve</w:t>
      </w:r>
      <w:r w:rsidR="006D67B9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D7AF7">
        <w:rPr>
          <w:rFonts w:asciiTheme="minorHAnsi" w:hAnsiTheme="minorHAnsi" w:cstheme="minorHAnsi"/>
          <w:color w:val="000000"/>
          <w:lang w:val="cs-CZ"/>
        </w:rPr>
        <w:t>věku od 1</w:t>
      </w:r>
      <w:r w:rsidR="004809A7">
        <w:rPr>
          <w:rFonts w:asciiTheme="minorHAnsi" w:hAnsiTheme="minorHAnsi" w:cstheme="minorHAnsi"/>
          <w:color w:val="000000"/>
          <w:lang w:val="cs-CZ"/>
        </w:rPr>
        <w:t> </w:t>
      </w:r>
      <w:r w:rsidRPr="001D7AF7">
        <w:rPr>
          <w:rFonts w:asciiTheme="minorHAnsi" w:hAnsiTheme="minorHAnsi" w:cstheme="minorHAnsi"/>
          <w:color w:val="000000"/>
          <w:lang w:val="cs-CZ"/>
        </w:rPr>
        <w:t>do 6 let</w:t>
      </w:r>
      <w:r w:rsidR="006D67B9">
        <w:rPr>
          <w:rFonts w:asciiTheme="minorHAnsi" w:hAnsiTheme="minorHAnsi" w:cstheme="minorHAnsi"/>
          <w:color w:val="000000"/>
          <w:lang w:val="cs-CZ"/>
        </w:rPr>
        <w:t>)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mezi výdaje, které lze ve smyslu ustanovení § 45 odst. 2 zákona č.</w:t>
      </w:r>
      <w:r w:rsidR="001C5ABA">
        <w:rPr>
          <w:rFonts w:asciiTheme="minorHAnsi" w:hAnsiTheme="minorHAnsi" w:cstheme="minorHAnsi"/>
          <w:color w:val="000000"/>
          <w:lang w:val="cs-CZ"/>
        </w:rPr>
        <w:t> 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218/2000 Sb. označit za výdaje </w:t>
      </w:r>
      <w:r w:rsidR="006D67B9">
        <w:rPr>
          <w:rFonts w:asciiTheme="minorHAnsi" w:hAnsiTheme="minorHAnsi" w:cstheme="minorHAnsi"/>
          <w:color w:val="000000"/>
          <w:lang w:val="cs-CZ"/>
        </w:rPr>
        <w:t>ke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krytí nezbytných potřeb OSS</w:t>
      </w:r>
      <w:r w:rsidR="001C5ABA">
        <w:rPr>
          <w:rFonts w:asciiTheme="minorHAnsi" w:hAnsiTheme="minorHAnsi" w:cstheme="minorHAnsi"/>
          <w:color w:val="000000"/>
          <w:lang w:val="cs-CZ"/>
        </w:rPr>
        <w:t>. N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ebylo je možno použít ani jako výdaje na opatření zakládající se na právních předpisech, neboť v roce 2013 </w:t>
      </w:r>
      <w:r w:rsidR="004713F6">
        <w:rPr>
          <w:rFonts w:asciiTheme="minorHAnsi" w:hAnsiTheme="minorHAnsi" w:cstheme="minorHAnsi"/>
          <w:color w:val="000000"/>
          <w:lang w:val="cs-CZ"/>
        </w:rPr>
        <w:t xml:space="preserve">ještě 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nebyla přijata právní úprava, která by umožňovala OSS, a tedy </w:t>
      </w:r>
      <w:r w:rsidR="006D67B9">
        <w:rPr>
          <w:rFonts w:asciiTheme="minorHAnsi" w:hAnsiTheme="minorHAnsi" w:cstheme="minorHAnsi"/>
          <w:color w:val="000000"/>
          <w:lang w:val="cs-CZ"/>
        </w:rPr>
        <w:t>i </w:t>
      </w:r>
      <w:r w:rsidRPr="001D7AF7">
        <w:rPr>
          <w:rFonts w:asciiTheme="minorHAnsi" w:hAnsiTheme="minorHAnsi" w:cstheme="minorHAnsi"/>
          <w:color w:val="000000"/>
          <w:lang w:val="cs-CZ"/>
        </w:rPr>
        <w:t>MZV</w:t>
      </w:r>
      <w:r w:rsidR="006D67B9">
        <w:rPr>
          <w:rFonts w:asciiTheme="minorHAnsi" w:hAnsiTheme="minorHAnsi" w:cstheme="minorHAnsi"/>
          <w:color w:val="000000"/>
          <w:lang w:val="cs-CZ"/>
        </w:rPr>
        <w:t>,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provozovat </w:t>
      </w:r>
      <w:r w:rsidR="004713F6">
        <w:rPr>
          <w:rFonts w:asciiTheme="minorHAnsi" w:hAnsiTheme="minorHAnsi" w:cstheme="minorHAnsi"/>
          <w:color w:val="000000"/>
          <w:lang w:val="cs-CZ"/>
        </w:rPr>
        <w:t xml:space="preserve">takovéto </w:t>
      </w:r>
      <w:r w:rsidRPr="001D7AF7">
        <w:rPr>
          <w:rFonts w:asciiTheme="minorHAnsi" w:hAnsiTheme="minorHAnsi" w:cstheme="minorHAnsi"/>
          <w:color w:val="000000"/>
          <w:lang w:val="cs-CZ"/>
        </w:rPr>
        <w:t>předškolní zařízení</w:t>
      </w:r>
      <w:r w:rsidR="004713F6">
        <w:rPr>
          <w:rFonts w:asciiTheme="minorHAnsi" w:hAnsiTheme="minorHAnsi" w:cstheme="minorHAnsi"/>
          <w:color w:val="000000"/>
          <w:lang w:val="cs-CZ"/>
        </w:rPr>
        <w:t>.</w:t>
      </w:r>
    </w:p>
    <w:p w14:paraId="5F3633DD" w14:textId="5CD752AA" w:rsidR="00332AEA" w:rsidRPr="001D7AF7" w:rsidRDefault="00F361C1" w:rsidP="0010148C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Právní rámec možnosti vynakládat peněžní prostředky 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na provoz předškolního zařízení </w:t>
      </w:r>
      <w:r w:rsidR="004713F6">
        <w:rPr>
          <w:rFonts w:asciiTheme="minorHAnsi" w:hAnsiTheme="minorHAnsi" w:cstheme="minorHAnsi"/>
          <w:color w:val="000000"/>
          <w:lang w:val="cs-CZ"/>
        </w:rPr>
        <w:t>OSS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 byl vymezen v listopadu 2014, kdy bylo i OSS umožněno stát </w:t>
      </w:r>
      <w:r w:rsidR="000C776D">
        <w:rPr>
          <w:rFonts w:asciiTheme="minorHAnsi" w:hAnsiTheme="minorHAnsi" w:cstheme="minorHAnsi"/>
          <w:color w:val="000000"/>
          <w:lang w:val="cs-CZ"/>
        </w:rPr>
        <w:t>se poskytovatelem služby péče</w:t>
      </w:r>
      <w:r w:rsidR="003E1831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0C776D">
        <w:rPr>
          <w:rFonts w:asciiTheme="minorHAnsi" w:hAnsiTheme="minorHAnsi" w:cstheme="minorHAnsi"/>
          <w:color w:val="000000"/>
          <w:lang w:val="cs-CZ"/>
        </w:rPr>
        <w:t>o 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dítě založením dětské skupiny</w:t>
      </w:r>
      <w:r w:rsidR="006D67B9">
        <w:rPr>
          <w:rFonts w:asciiTheme="minorHAnsi" w:hAnsiTheme="minorHAnsi" w:cstheme="minorHAnsi"/>
          <w:color w:val="000000"/>
          <w:lang w:val="cs-CZ"/>
        </w:rPr>
        <w:t>,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 a dále pak v květnu 2015 přijetím novely školského zákona</w:t>
      </w:r>
      <w:r w:rsidR="00475E4E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8"/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 umožňující OSS zřídit školské zařízení.</w:t>
      </w:r>
    </w:p>
    <w:p w14:paraId="3D70839F" w14:textId="4B8B386C" w:rsidR="00332AEA" w:rsidRPr="001B7EB0" w:rsidRDefault="00332AEA" w:rsidP="00433677">
      <w:pPr>
        <w:spacing w:after="120"/>
        <w:jc w:val="both"/>
        <w:rPr>
          <w:rFonts w:asciiTheme="minorHAnsi" w:hAnsiTheme="minorHAnsi" w:cstheme="minorHAnsi"/>
          <w:lang w:val="cs-CZ"/>
        </w:rPr>
      </w:pPr>
      <w:r w:rsidRPr="001D7AF7">
        <w:rPr>
          <w:rFonts w:asciiTheme="minorHAnsi" w:hAnsiTheme="minorHAnsi" w:cstheme="minorHAnsi"/>
          <w:color w:val="000000"/>
          <w:lang w:val="cs-CZ"/>
        </w:rPr>
        <w:t xml:space="preserve">MZV nedbalo, aby plnilo určené úkoly nejhospodárnějším způsobem a </w:t>
      </w:r>
      <w:r w:rsidR="006D67B9">
        <w:rPr>
          <w:rFonts w:asciiTheme="minorHAnsi" w:hAnsiTheme="minorHAnsi" w:cstheme="minorHAnsi"/>
          <w:color w:val="000000"/>
          <w:lang w:val="cs-CZ"/>
        </w:rPr>
        <w:t xml:space="preserve">aby 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prostředky, kterými </w:t>
      </w:r>
      <w:r w:rsidRPr="001B7EB0">
        <w:rPr>
          <w:rFonts w:asciiTheme="minorHAnsi" w:hAnsiTheme="minorHAnsi" w:cstheme="minorHAnsi"/>
          <w:lang w:val="cs-CZ"/>
        </w:rPr>
        <w:t xml:space="preserve">disponuje, použilo </w:t>
      </w:r>
      <w:r w:rsidR="006D67B9">
        <w:rPr>
          <w:rFonts w:asciiTheme="minorHAnsi" w:hAnsiTheme="minorHAnsi" w:cstheme="minorHAnsi"/>
          <w:lang w:val="cs-CZ"/>
        </w:rPr>
        <w:t>ke</w:t>
      </w:r>
      <w:r w:rsidRPr="001B7EB0">
        <w:rPr>
          <w:rFonts w:asciiTheme="minorHAnsi" w:hAnsiTheme="minorHAnsi" w:cstheme="minorHAnsi"/>
          <w:lang w:val="cs-CZ"/>
        </w:rPr>
        <w:t xml:space="preserve"> krytí nezbytných potřeb, </w:t>
      </w:r>
      <w:r w:rsidR="004713F6">
        <w:rPr>
          <w:rFonts w:asciiTheme="minorHAnsi" w:hAnsiTheme="minorHAnsi" w:cstheme="minorHAnsi"/>
          <w:lang w:val="cs-CZ"/>
        </w:rPr>
        <w:t>proto</w:t>
      </w:r>
      <w:r w:rsidRPr="001B7EB0">
        <w:rPr>
          <w:rFonts w:asciiTheme="minorHAnsi" w:hAnsiTheme="minorHAnsi" w:cstheme="minorHAnsi"/>
          <w:lang w:val="cs-CZ"/>
        </w:rPr>
        <w:t xml:space="preserve">že </w:t>
      </w:r>
    </w:p>
    <w:p w14:paraId="2076388A" w14:textId="253FA013" w:rsidR="00332AEA" w:rsidRPr="001B7EB0" w:rsidRDefault="00332AEA" w:rsidP="0043367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1B7EB0">
        <w:rPr>
          <w:rFonts w:asciiTheme="minorHAnsi" w:hAnsiTheme="minorHAnsi" w:cstheme="minorHAnsi"/>
          <w:lang w:val="cs-CZ"/>
        </w:rPr>
        <w:t xml:space="preserve">od září 2013 do </w:t>
      </w:r>
      <w:r w:rsidR="00F361C1" w:rsidRPr="001B7EB0">
        <w:rPr>
          <w:rFonts w:asciiTheme="minorHAnsi" w:hAnsiTheme="minorHAnsi" w:cstheme="minorHAnsi"/>
          <w:lang w:val="cs-CZ"/>
        </w:rPr>
        <w:t>prosince 2015</w:t>
      </w:r>
      <w:r w:rsidRPr="001B7EB0">
        <w:rPr>
          <w:rFonts w:asciiTheme="minorHAnsi" w:hAnsiTheme="minorHAnsi" w:cstheme="minorHAnsi"/>
          <w:lang w:val="cs-CZ"/>
        </w:rPr>
        <w:t xml:space="preserve"> vynaložilo finanční prostředky ve výši </w:t>
      </w:r>
      <w:r w:rsidR="00F361C1" w:rsidRPr="001B7EB0">
        <w:rPr>
          <w:rFonts w:asciiTheme="minorHAnsi" w:hAnsiTheme="minorHAnsi" w:cstheme="minorHAnsi"/>
          <w:bCs/>
          <w:lang w:val="cs-CZ"/>
        </w:rPr>
        <w:t xml:space="preserve">10 472 693 </w:t>
      </w:r>
      <w:r w:rsidRPr="001B7EB0">
        <w:rPr>
          <w:rFonts w:asciiTheme="minorHAnsi" w:hAnsiTheme="minorHAnsi" w:cstheme="minorHAnsi"/>
          <w:lang w:val="cs-CZ"/>
        </w:rPr>
        <w:t>Kč na nájem služby předškolní péče o děti zaměstnanců MZV</w:t>
      </w:r>
      <w:r w:rsidR="001B7EB0" w:rsidRPr="001B7EB0">
        <w:rPr>
          <w:rFonts w:asciiTheme="minorHAnsi" w:hAnsiTheme="minorHAnsi" w:cstheme="minorHAnsi"/>
          <w:lang w:val="cs-CZ"/>
        </w:rPr>
        <w:t xml:space="preserve"> za situace, </w:t>
      </w:r>
      <w:r w:rsidRPr="001B7EB0">
        <w:rPr>
          <w:rFonts w:asciiTheme="minorHAnsi" w:hAnsiTheme="minorHAnsi" w:cstheme="minorHAnsi"/>
          <w:lang w:val="cs-CZ"/>
        </w:rPr>
        <w:t xml:space="preserve">kdy nebylo možno výdaje spojené s nájmem </w:t>
      </w:r>
      <w:r w:rsidR="004713F6">
        <w:rPr>
          <w:rFonts w:asciiTheme="minorHAnsi" w:hAnsiTheme="minorHAnsi" w:cstheme="minorHAnsi"/>
          <w:lang w:val="cs-CZ"/>
        </w:rPr>
        <w:t xml:space="preserve">takovéto </w:t>
      </w:r>
      <w:r w:rsidRPr="001B7EB0">
        <w:rPr>
          <w:rFonts w:asciiTheme="minorHAnsi" w:hAnsiTheme="minorHAnsi" w:cstheme="minorHAnsi"/>
          <w:lang w:val="cs-CZ"/>
        </w:rPr>
        <w:t xml:space="preserve">služby zahrnout mezi výdaje </w:t>
      </w:r>
      <w:r w:rsidR="006D67B9">
        <w:rPr>
          <w:rFonts w:asciiTheme="minorHAnsi" w:hAnsiTheme="minorHAnsi" w:cstheme="minorHAnsi"/>
          <w:lang w:val="cs-CZ"/>
        </w:rPr>
        <w:t>ke</w:t>
      </w:r>
      <w:r w:rsidR="001B7EB0" w:rsidRPr="001B7EB0">
        <w:rPr>
          <w:rFonts w:asciiTheme="minorHAnsi" w:hAnsiTheme="minorHAnsi" w:cstheme="minorHAnsi"/>
          <w:lang w:val="cs-CZ"/>
        </w:rPr>
        <w:t xml:space="preserve"> krytí nezbytných potřeb OSS</w:t>
      </w:r>
      <w:r w:rsidRPr="001B7EB0">
        <w:rPr>
          <w:rFonts w:asciiTheme="minorHAnsi" w:hAnsiTheme="minorHAnsi" w:cstheme="minorHAnsi"/>
          <w:lang w:val="cs-CZ"/>
        </w:rPr>
        <w:t xml:space="preserve"> ani </w:t>
      </w:r>
      <w:r w:rsidR="001B7EB0" w:rsidRPr="001B7EB0">
        <w:rPr>
          <w:rFonts w:asciiTheme="minorHAnsi" w:hAnsiTheme="minorHAnsi" w:cstheme="minorHAnsi"/>
          <w:lang w:val="cs-CZ"/>
        </w:rPr>
        <w:t>mezi</w:t>
      </w:r>
      <w:r w:rsidRPr="001B7EB0">
        <w:rPr>
          <w:rFonts w:asciiTheme="minorHAnsi" w:hAnsiTheme="minorHAnsi" w:cstheme="minorHAnsi"/>
          <w:lang w:val="cs-CZ"/>
        </w:rPr>
        <w:t xml:space="preserve"> výdaje na opatření zakládající se na právních předpisech,</w:t>
      </w:r>
      <w:r w:rsidR="002855F9" w:rsidRPr="001B7EB0">
        <w:rPr>
          <w:rFonts w:asciiTheme="minorHAnsi" w:hAnsiTheme="minorHAnsi" w:cstheme="minorHAnsi"/>
          <w:lang w:val="cs-CZ"/>
        </w:rPr>
        <w:t xml:space="preserve"> a od listopadu 2014 nepřistoupilo k ekonomicky vhodnějšímu a hospodárnějšímu řešení, resp. k řešení zákonnému</w:t>
      </w:r>
      <w:r w:rsidR="006D67B9">
        <w:rPr>
          <w:rFonts w:asciiTheme="minorHAnsi" w:hAnsiTheme="minorHAnsi" w:cstheme="minorHAnsi"/>
          <w:lang w:val="cs-CZ"/>
        </w:rPr>
        <w:t>;</w:t>
      </w:r>
    </w:p>
    <w:p w14:paraId="7263CE70" w14:textId="14ECC974" w:rsidR="00332AEA" w:rsidRPr="001D7AF7" w:rsidRDefault="00332AEA" w:rsidP="0043367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 w:rsidRPr="001B7EB0">
        <w:rPr>
          <w:rFonts w:asciiTheme="minorHAnsi" w:hAnsiTheme="minorHAnsi" w:cstheme="minorHAnsi"/>
          <w:lang w:val="cs-CZ"/>
        </w:rPr>
        <w:t xml:space="preserve">od září 2013 do prosince 2015 hradilo nejméně náklady za spotřebovanou elektrickou energii a vodu, ačkoliv se jedná o náklady, které </w:t>
      </w:r>
      <w:r w:rsidRPr="001D7AF7">
        <w:rPr>
          <w:rFonts w:asciiTheme="minorHAnsi" w:hAnsiTheme="minorHAnsi" w:cstheme="minorHAnsi"/>
          <w:color w:val="000000"/>
          <w:lang w:val="cs-CZ"/>
        </w:rPr>
        <w:t>mají jít na vrub poskytovatele služby</w:t>
      </w:r>
      <w:r w:rsidR="006D67B9">
        <w:rPr>
          <w:rFonts w:asciiTheme="minorHAnsi" w:hAnsiTheme="minorHAnsi" w:cstheme="minorHAnsi"/>
          <w:color w:val="000000"/>
          <w:lang w:val="cs-CZ"/>
        </w:rPr>
        <w:t>;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79F38363" w14:textId="5F5788C8" w:rsidR="00332AEA" w:rsidRDefault="00E00FFC" w:rsidP="00433677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nepožadovalo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nájemné za pozemek, na kterém poskytovatel služby umístil stavbu </w:t>
      </w:r>
      <w:r>
        <w:rPr>
          <w:rFonts w:asciiTheme="minorHAnsi" w:hAnsiTheme="minorHAnsi" w:cstheme="minorHAnsi"/>
          <w:color w:val="000000"/>
          <w:lang w:val="cs-CZ"/>
        </w:rPr>
        <w:t>„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školky</w:t>
      </w:r>
      <w:r>
        <w:rPr>
          <w:rFonts w:asciiTheme="minorHAnsi" w:hAnsiTheme="minorHAnsi" w:cstheme="minorHAnsi"/>
          <w:color w:val="000000"/>
          <w:lang w:val="cs-CZ"/>
        </w:rPr>
        <w:t>“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.</w:t>
      </w:r>
    </w:p>
    <w:p w14:paraId="0E0471F7" w14:textId="4F4E7C0F" w:rsidR="00F02C02" w:rsidRDefault="00334843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Podle názoru NKÚ </w:t>
      </w:r>
      <w:r w:rsidRPr="001D7AF7">
        <w:rPr>
          <w:rFonts w:asciiTheme="minorHAnsi" w:hAnsiTheme="minorHAnsi" w:cstheme="minorHAnsi"/>
          <w:color w:val="000000"/>
          <w:lang w:val="cs-CZ"/>
        </w:rPr>
        <w:t xml:space="preserve">porušilo 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MZV uvedeným jednáním povinnost stanovenou </w:t>
      </w:r>
      <w:r w:rsidR="006D67B9">
        <w:rPr>
          <w:rFonts w:asciiTheme="minorHAnsi" w:hAnsiTheme="minorHAnsi" w:cstheme="minorHAnsi"/>
          <w:color w:val="000000"/>
          <w:lang w:val="cs-CZ"/>
        </w:rPr>
        <w:t>v </w:t>
      </w:r>
      <w:r w:rsidR="00332AEA">
        <w:rPr>
          <w:rFonts w:asciiTheme="minorHAnsi" w:hAnsiTheme="minorHAnsi" w:cstheme="minorHAnsi"/>
          <w:color w:val="000000"/>
          <w:lang w:val="cs-CZ"/>
        </w:rPr>
        <w:t>§ 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45 odst.</w:t>
      </w:r>
      <w:r w:rsidR="006D67B9">
        <w:rPr>
          <w:rFonts w:asciiTheme="minorHAnsi" w:hAnsiTheme="minorHAnsi" w:cstheme="minorHAnsi"/>
          <w:color w:val="000000"/>
          <w:lang w:val="cs-CZ"/>
        </w:rPr>
        <w:t> 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2 zákona č. 218/2000 Sb., a porušilo tak rozpočtov</w:t>
      </w:r>
      <w:r w:rsidR="00332AEA">
        <w:rPr>
          <w:rFonts w:asciiTheme="minorHAnsi" w:hAnsiTheme="minorHAnsi" w:cstheme="minorHAnsi"/>
          <w:color w:val="000000"/>
          <w:lang w:val="cs-CZ"/>
        </w:rPr>
        <w:t>ou kázeň ve smyslu ustanovení § 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>44 odst. 1 písm. f) zákona č. 218/2000 Sb.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C2372">
        <w:rPr>
          <w:rFonts w:asciiTheme="minorHAnsi" w:hAnsiTheme="minorHAnsi" w:cstheme="minorHAnsi"/>
          <w:color w:val="000000"/>
          <w:lang w:val="cs-CZ"/>
        </w:rPr>
        <w:t xml:space="preserve">Zjištěné skutečnosti </w:t>
      </w:r>
      <w:r>
        <w:rPr>
          <w:rFonts w:asciiTheme="minorHAnsi" w:hAnsiTheme="minorHAnsi" w:cstheme="minorHAnsi"/>
          <w:color w:val="000000"/>
          <w:lang w:val="cs-CZ"/>
        </w:rPr>
        <w:t>byl</w:t>
      </w:r>
      <w:r w:rsidR="007C2372">
        <w:rPr>
          <w:rFonts w:asciiTheme="minorHAnsi" w:hAnsiTheme="minorHAnsi" w:cstheme="minorHAnsi"/>
          <w:color w:val="000000"/>
          <w:lang w:val="cs-CZ"/>
        </w:rPr>
        <w:t>y</w:t>
      </w:r>
      <w:r>
        <w:rPr>
          <w:rFonts w:asciiTheme="minorHAnsi" w:hAnsiTheme="minorHAnsi" w:cstheme="minorHAnsi"/>
          <w:color w:val="000000"/>
          <w:lang w:val="cs-CZ"/>
        </w:rPr>
        <w:t xml:space="preserve"> oznámen</w:t>
      </w:r>
      <w:r w:rsidR="007C2372">
        <w:rPr>
          <w:rFonts w:asciiTheme="minorHAnsi" w:hAnsiTheme="minorHAnsi" w:cstheme="minorHAnsi"/>
          <w:color w:val="000000"/>
          <w:lang w:val="cs-CZ"/>
        </w:rPr>
        <w:t>y</w:t>
      </w:r>
      <w:r>
        <w:rPr>
          <w:rFonts w:asciiTheme="minorHAnsi" w:hAnsiTheme="minorHAnsi" w:cstheme="minorHAnsi"/>
          <w:color w:val="000000"/>
          <w:lang w:val="cs-CZ"/>
        </w:rPr>
        <w:t xml:space="preserve"> příslušnému finančnímu úřadu.</w:t>
      </w:r>
      <w:r w:rsidR="00332AEA" w:rsidRPr="001D7AF7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373AE87E" w14:textId="77777777" w:rsidR="008911AA" w:rsidRDefault="008911AA" w:rsidP="00F6579D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14:paraId="5B94D417" w14:textId="10FA2E82" w:rsidR="000437A0" w:rsidRPr="00AC75E8" w:rsidRDefault="004713F6" w:rsidP="00FE2D71">
      <w:pPr>
        <w:spacing w:after="120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t xml:space="preserve">4. </w:t>
      </w:r>
      <w:r w:rsidR="00AC75E8">
        <w:rPr>
          <w:rFonts w:asciiTheme="minorHAnsi" w:hAnsiTheme="minorHAnsi" w:cstheme="minorHAnsi"/>
          <w:b/>
          <w:color w:val="000000"/>
          <w:lang w:val="cs-CZ"/>
        </w:rPr>
        <w:t xml:space="preserve">Zastupitelské úřady </w:t>
      </w:r>
    </w:p>
    <w:p w14:paraId="51586C4F" w14:textId="0CF71F79" w:rsidR="00FE2D71" w:rsidRDefault="00AC75E8" w:rsidP="00FE2D71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ZÚ (velvyslanectví, generální konzuláty</w:t>
      </w:r>
      <w:r w:rsidR="00E00FFC">
        <w:rPr>
          <w:rFonts w:asciiTheme="minorHAnsi" w:hAnsiTheme="minorHAnsi" w:cstheme="minorHAnsi"/>
          <w:color w:val="000000"/>
          <w:lang w:val="cs-CZ"/>
        </w:rPr>
        <w:t>,</w:t>
      </w:r>
      <w:r w:rsidR="007A4539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4809A7">
        <w:rPr>
          <w:rFonts w:asciiTheme="minorHAnsi" w:hAnsiTheme="minorHAnsi" w:cstheme="minorHAnsi"/>
          <w:color w:val="000000"/>
          <w:lang w:val="cs-CZ"/>
        </w:rPr>
        <w:t>s</w:t>
      </w:r>
      <w:r>
        <w:rPr>
          <w:rFonts w:asciiTheme="minorHAnsi" w:hAnsiTheme="minorHAnsi" w:cstheme="minorHAnsi"/>
          <w:color w:val="000000"/>
          <w:lang w:val="cs-CZ"/>
        </w:rPr>
        <w:t>tálé mise, Stálé zastou</w:t>
      </w:r>
      <w:r w:rsidR="0066206E">
        <w:rPr>
          <w:rFonts w:asciiTheme="minorHAnsi" w:hAnsiTheme="minorHAnsi" w:cstheme="minorHAnsi"/>
          <w:color w:val="000000"/>
          <w:lang w:val="cs-CZ"/>
        </w:rPr>
        <w:t xml:space="preserve">pení </w:t>
      </w:r>
      <w:r w:rsidR="004809A7">
        <w:rPr>
          <w:rFonts w:asciiTheme="minorHAnsi" w:hAnsiTheme="minorHAnsi" w:cstheme="minorHAnsi"/>
          <w:color w:val="000000"/>
          <w:lang w:val="cs-CZ"/>
        </w:rPr>
        <w:t xml:space="preserve">ČR </w:t>
      </w:r>
      <w:r w:rsidR="0066206E">
        <w:rPr>
          <w:rFonts w:asciiTheme="minorHAnsi" w:hAnsiTheme="minorHAnsi" w:cstheme="minorHAnsi"/>
          <w:color w:val="000000"/>
          <w:lang w:val="cs-CZ"/>
        </w:rPr>
        <w:t xml:space="preserve">při EU, Stálá delegace </w:t>
      </w:r>
      <w:r w:rsidR="004809A7">
        <w:rPr>
          <w:rFonts w:asciiTheme="minorHAnsi" w:hAnsiTheme="minorHAnsi" w:cstheme="minorHAnsi"/>
          <w:color w:val="000000"/>
          <w:lang w:val="cs-CZ"/>
        </w:rPr>
        <w:t xml:space="preserve">ČR </w:t>
      </w:r>
      <w:r w:rsidR="0066206E">
        <w:rPr>
          <w:rFonts w:asciiTheme="minorHAnsi" w:hAnsiTheme="minorHAnsi" w:cstheme="minorHAnsi"/>
          <w:color w:val="000000"/>
          <w:lang w:val="cs-CZ"/>
        </w:rPr>
        <w:t>při</w:t>
      </w:r>
      <w:r w:rsidR="004809A7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 xml:space="preserve">NATO) </w:t>
      </w:r>
      <w:r w:rsidRPr="00AC75E8">
        <w:rPr>
          <w:rFonts w:asciiTheme="minorHAnsi" w:hAnsiTheme="minorHAnsi" w:cstheme="minorHAnsi"/>
          <w:color w:val="000000"/>
          <w:lang w:val="cs-CZ"/>
        </w:rPr>
        <w:t>jsou neúčetními zálohovými organizačními útvary MZV.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6206E">
        <w:rPr>
          <w:rFonts w:asciiTheme="minorHAnsi" w:hAnsiTheme="minorHAnsi" w:cstheme="minorHAnsi"/>
          <w:color w:val="000000"/>
          <w:lang w:val="cs-CZ"/>
        </w:rPr>
        <w:t>Dle údajů obsažených v </w:t>
      </w:r>
      <w:r w:rsidR="004809A7">
        <w:rPr>
          <w:rFonts w:asciiTheme="minorHAnsi" w:hAnsiTheme="minorHAnsi" w:cstheme="minorHAnsi"/>
          <w:color w:val="000000"/>
          <w:lang w:val="cs-CZ"/>
        </w:rPr>
        <w:t>z</w:t>
      </w:r>
      <w:r w:rsidRPr="00AC75E8">
        <w:rPr>
          <w:rFonts w:asciiTheme="minorHAnsi" w:hAnsiTheme="minorHAnsi" w:cstheme="minorHAnsi"/>
          <w:color w:val="000000"/>
          <w:lang w:val="cs-CZ"/>
        </w:rPr>
        <w:t xml:space="preserve">ávěrečném účtu kapitoly 306 – MZV </w:t>
      </w:r>
      <w:r>
        <w:rPr>
          <w:rFonts w:asciiTheme="minorHAnsi" w:hAnsiTheme="minorHAnsi" w:cstheme="minorHAnsi"/>
          <w:color w:val="000000"/>
          <w:lang w:val="cs-CZ"/>
        </w:rPr>
        <w:t xml:space="preserve">měla ČR </w:t>
      </w:r>
      <w:r w:rsidRPr="00AC75E8">
        <w:rPr>
          <w:rFonts w:asciiTheme="minorHAnsi" w:hAnsiTheme="minorHAnsi" w:cstheme="minorHAnsi"/>
          <w:color w:val="000000"/>
          <w:lang w:val="cs-CZ"/>
        </w:rPr>
        <w:t xml:space="preserve">v roce 2012 </w:t>
      </w:r>
      <w:r>
        <w:rPr>
          <w:rFonts w:asciiTheme="minorHAnsi" w:hAnsiTheme="minorHAnsi" w:cstheme="minorHAnsi"/>
          <w:color w:val="000000"/>
          <w:lang w:val="cs-CZ"/>
        </w:rPr>
        <w:t>otevřeno</w:t>
      </w:r>
      <w:r w:rsidR="0066206E">
        <w:rPr>
          <w:rFonts w:asciiTheme="minorHAnsi" w:hAnsiTheme="minorHAnsi" w:cstheme="minorHAnsi"/>
          <w:color w:val="000000"/>
          <w:lang w:val="cs-CZ"/>
        </w:rPr>
        <w:t xml:space="preserve"> 111 ZÚ, v roce 2013 </w:t>
      </w:r>
      <w:r w:rsidR="004809A7">
        <w:rPr>
          <w:rFonts w:asciiTheme="minorHAnsi" w:hAnsiTheme="minorHAnsi" w:cstheme="minorHAnsi"/>
          <w:color w:val="000000"/>
          <w:lang w:val="cs-CZ"/>
        </w:rPr>
        <w:t>měla</w:t>
      </w:r>
      <w:r w:rsidRPr="00AC75E8">
        <w:rPr>
          <w:rFonts w:asciiTheme="minorHAnsi" w:hAnsiTheme="minorHAnsi" w:cstheme="minorHAnsi"/>
          <w:color w:val="000000"/>
          <w:lang w:val="cs-CZ"/>
        </w:rPr>
        <w:t xml:space="preserve"> 115 ZÚ a v roce 2014 také 115 ZÚ.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3330A910" w14:textId="4C2F1119" w:rsidR="00AF6294" w:rsidRPr="00AF6294" w:rsidRDefault="00AF6294" w:rsidP="00F03CDD">
      <w:pPr>
        <w:spacing w:before="120"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AF6294">
        <w:rPr>
          <w:rFonts w:asciiTheme="minorHAnsi" w:hAnsiTheme="minorHAnsi" w:cstheme="minorHAnsi"/>
          <w:color w:val="000000"/>
          <w:lang w:val="cs-CZ"/>
        </w:rPr>
        <w:lastRenderedPageBreak/>
        <w:t xml:space="preserve">K výkonu práce v zahraničí bylo v roce 2012 </w:t>
      </w:r>
      <w:proofErr w:type="gramStart"/>
      <w:r w:rsidR="00F03CDD">
        <w:rPr>
          <w:rFonts w:asciiTheme="minorHAnsi" w:hAnsiTheme="minorHAnsi" w:cstheme="minorHAnsi"/>
          <w:color w:val="000000"/>
          <w:lang w:val="cs-CZ"/>
        </w:rPr>
        <w:t>na</w:t>
      </w:r>
      <w:proofErr w:type="gramEnd"/>
      <w:r w:rsidRPr="00AF6294">
        <w:rPr>
          <w:rFonts w:asciiTheme="minorHAnsi" w:hAnsiTheme="minorHAnsi" w:cstheme="minorHAnsi"/>
          <w:color w:val="000000"/>
          <w:lang w:val="cs-CZ"/>
        </w:rPr>
        <w:t xml:space="preserve"> ZÚ </w:t>
      </w:r>
      <w:proofErr w:type="gramStart"/>
      <w:r w:rsidRPr="00AF6294">
        <w:rPr>
          <w:rFonts w:asciiTheme="minorHAnsi" w:hAnsiTheme="minorHAnsi" w:cstheme="minorHAnsi"/>
          <w:color w:val="000000"/>
          <w:lang w:val="cs-CZ"/>
        </w:rPr>
        <w:t>zařazeno</w:t>
      </w:r>
      <w:proofErr w:type="gramEnd"/>
      <w:r w:rsidRPr="00AF6294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2508AF">
        <w:rPr>
          <w:rFonts w:asciiTheme="minorHAnsi" w:hAnsiTheme="minorHAnsi" w:cstheme="minorHAnsi"/>
          <w:color w:val="000000"/>
          <w:lang w:val="cs-CZ"/>
        </w:rPr>
        <w:t>1 017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zaměstnanců</w:t>
      </w:r>
      <w:r w:rsidR="007C2372">
        <w:rPr>
          <w:rFonts w:asciiTheme="minorHAnsi" w:hAnsiTheme="minorHAnsi" w:cstheme="minorHAnsi"/>
          <w:color w:val="000000"/>
          <w:lang w:val="cs-CZ"/>
        </w:rPr>
        <w:t xml:space="preserve"> (59,2</w:t>
      </w:r>
      <w:r w:rsidR="00124BEB">
        <w:rPr>
          <w:rFonts w:asciiTheme="minorHAnsi" w:hAnsiTheme="minorHAnsi" w:cstheme="minorHAnsi"/>
          <w:color w:val="000000"/>
          <w:lang w:val="cs-CZ"/>
        </w:rPr>
        <w:t> </w:t>
      </w:r>
      <w:r w:rsidR="007C2372">
        <w:rPr>
          <w:rFonts w:asciiTheme="minorHAnsi" w:hAnsiTheme="minorHAnsi" w:cstheme="minorHAnsi"/>
          <w:color w:val="000000"/>
          <w:lang w:val="cs-CZ"/>
        </w:rPr>
        <w:t>% z </w:t>
      </w:r>
      <w:r w:rsidR="007C2372" w:rsidRPr="00AF6294">
        <w:rPr>
          <w:rFonts w:asciiTheme="minorHAnsi" w:hAnsiTheme="minorHAnsi" w:cstheme="minorHAnsi"/>
          <w:color w:val="000000"/>
          <w:lang w:val="cs-CZ"/>
        </w:rPr>
        <w:t>celkového počtu zaměstnanců MZV</w:t>
      </w:r>
      <w:r w:rsidR="007C2372">
        <w:rPr>
          <w:rFonts w:asciiTheme="minorHAnsi" w:hAnsiTheme="minorHAnsi" w:cstheme="minorHAnsi"/>
          <w:color w:val="000000"/>
          <w:lang w:val="cs-CZ"/>
        </w:rPr>
        <w:t>)</w:t>
      </w:r>
      <w:r w:rsidRPr="00AF6294">
        <w:rPr>
          <w:rFonts w:asciiTheme="minorHAnsi" w:hAnsiTheme="minorHAnsi" w:cstheme="minorHAnsi"/>
          <w:color w:val="000000"/>
          <w:lang w:val="cs-CZ"/>
        </w:rPr>
        <w:t>,</w:t>
      </w:r>
      <w:r w:rsidR="002508AF">
        <w:rPr>
          <w:rFonts w:asciiTheme="minorHAnsi" w:hAnsiTheme="minorHAnsi" w:cstheme="minorHAnsi"/>
          <w:color w:val="000000"/>
          <w:lang w:val="cs-CZ"/>
        </w:rPr>
        <w:t xml:space="preserve"> v roce 2013 se jednalo o 998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2508AF">
        <w:rPr>
          <w:rFonts w:asciiTheme="minorHAnsi" w:hAnsiTheme="minorHAnsi" w:cstheme="minorHAnsi"/>
          <w:color w:val="000000"/>
          <w:lang w:val="cs-CZ"/>
        </w:rPr>
        <w:t xml:space="preserve">zaměstnanců </w:t>
      </w:r>
      <w:r w:rsidR="007C2372">
        <w:rPr>
          <w:rFonts w:asciiTheme="minorHAnsi" w:hAnsiTheme="minorHAnsi" w:cstheme="minorHAnsi"/>
          <w:color w:val="000000"/>
          <w:lang w:val="cs-CZ"/>
        </w:rPr>
        <w:t>(57,6</w:t>
      </w:r>
      <w:r w:rsidR="00124BEB">
        <w:rPr>
          <w:rFonts w:asciiTheme="minorHAnsi" w:hAnsiTheme="minorHAnsi" w:cstheme="minorHAnsi"/>
          <w:color w:val="000000"/>
          <w:lang w:val="cs-CZ"/>
        </w:rPr>
        <w:t> </w:t>
      </w:r>
      <w:r w:rsidR="007C2372">
        <w:rPr>
          <w:rFonts w:asciiTheme="minorHAnsi" w:hAnsiTheme="minorHAnsi" w:cstheme="minorHAnsi"/>
          <w:color w:val="000000"/>
          <w:lang w:val="cs-CZ"/>
        </w:rPr>
        <w:t xml:space="preserve">%) </w:t>
      </w:r>
      <w:r w:rsidR="003E1831">
        <w:rPr>
          <w:rFonts w:asciiTheme="minorHAnsi" w:hAnsiTheme="minorHAnsi" w:cstheme="minorHAnsi"/>
          <w:color w:val="000000"/>
          <w:lang w:val="cs-CZ"/>
        </w:rPr>
        <w:t>a v 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roce 2014 </w:t>
      </w:r>
      <w:r w:rsidR="00635844">
        <w:rPr>
          <w:rFonts w:asciiTheme="minorHAnsi" w:hAnsiTheme="minorHAnsi" w:cstheme="minorHAnsi"/>
          <w:color w:val="000000"/>
          <w:lang w:val="cs-CZ"/>
        </w:rPr>
        <w:t>pak 1 016 zaměstnanců</w:t>
      </w:r>
      <w:r w:rsidR="007C2372">
        <w:rPr>
          <w:rFonts w:asciiTheme="minorHAnsi" w:hAnsiTheme="minorHAnsi" w:cstheme="minorHAnsi"/>
          <w:color w:val="000000"/>
          <w:lang w:val="cs-CZ"/>
        </w:rPr>
        <w:t xml:space="preserve"> (58</w:t>
      </w:r>
      <w:r w:rsidR="00E00FFC">
        <w:rPr>
          <w:rFonts w:asciiTheme="minorHAnsi" w:hAnsiTheme="minorHAnsi" w:cstheme="minorHAnsi"/>
          <w:color w:val="000000"/>
          <w:lang w:val="cs-CZ"/>
        </w:rPr>
        <w:t>,</w:t>
      </w:r>
      <w:r w:rsidR="007C2372">
        <w:rPr>
          <w:rFonts w:asciiTheme="minorHAnsi" w:hAnsiTheme="minorHAnsi" w:cstheme="minorHAnsi"/>
          <w:color w:val="000000"/>
          <w:lang w:val="cs-CZ"/>
        </w:rPr>
        <w:t>7 %).</w:t>
      </w:r>
      <w:r w:rsidR="00635844">
        <w:rPr>
          <w:rFonts w:asciiTheme="minorHAnsi" w:hAnsiTheme="minorHAnsi" w:cstheme="minorHAnsi"/>
          <w:color w:val="000000"/>
          <w:lang w:val="cs-CZ"/>
        </w:rPr>
        <w:t xml:space="preserve"> </w:t>
      </w:r>
    </w:p>
    <w:p w14:paraId="6CD2A52C" w14:textId="4687BADA" w:rsidR="006645DC" w:rsidRDefault="00AF6294" w:rsidP="00F03CDD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 w:rsidRPr="00AF6294">
        <w:rPr>
          <w:rFonts w:asciiTheme="minorHAnsi" w:hAnsiTheme="minorHAnsi" w:cstheme="minorHAnsi"/>
          <w:color w:val="000000"/>
          <w:lang w:val="cs-CZ"/>
        </w:rPr>
        <w:t>Zaměstnancům, kteří mají místo výkonu práce v zahraničí určeno jako pravidelné pracoviště</w:t>
      </w:r>
      <w:r w:rsidR="00E00FFC">
        <w:rPr>
          <w:rFonts w:asciiTheme="minorHAnsi" w:hAnsiTheme="minorHAnsi" w:cstheme="minorHAnsi"/>
          <w:color w:val="000000"/>
          <w:lang w:val="cs-CZ"/>
        </w:rPr>
        <w:t>,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přísluší náhrada zvýšených životních nákladů. </w:t>
      </w:r>
      <w:r w:rsidR="006B53C9">
        <w:rPr>
          <w:rFonts w:asciiTheme="minorHAnsi" w:hAnsiTheme="minorHAnsi" w:cstheme="minorHAnsi"/>
          <w:color w:val="000000"/>
          <w:lang w:val="cs-CZ"/>
        </w:rPr>
        <w:t>Její p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růměrná měsíční výše </w:t>
      </w:r>
      <w:r w:rsidR="00732CE1">
        <w:rPr>
          <w:rFonts w:asciiTheme="minorHAnsi" w:hAnsiTheme="minorHAnsi" w:cstheme="minorHAnsi"/>
          <w:color w:val="000000"/>
          <w:lang w:val="cs-CZ"/>
        </w:rPr>
        <w:t>dosáhla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v roce 2012 </w:t>
      </w:r>
      <w:r w:rsidR="00732CE1">
        <w:rPr>
          <w:rFonts w:asciiTheme="minorHAnsi" w:hAnsiTheme="minorHAnsi" w:cstheme="minorHAnsi"/>
          <w:color w:val="000000"/>
          <w:lang w:val="cs-CZ"/>
        </w:rPr>
        <w:t>hodnoty</w:t>
      </w:r>
      <w:r w:rsidRPr="00AF6294">
        <w:rPr>
          <w:rFonts w:asciiTheme="minorHAnsi" w:hAnsiTheme="minorHAnsi" w:cstheme="minorHAnsi"/>
          <w:color w:val="000000"/>
          <w:lang w:val="cs-CZ"/>
        </w:rPr>
        <w:t xml:space="preserve"> 81 892 Kč, v roce 2013 vzrostla o 5,6 % na 86 477 Kč a v roce 2014 její výše dosáhla 93 476 Kč, což představuje navýšení o 8 %.</w:t>
      </w:r>
    </w:p>
    <w:p w14:paraId="6405FF32" w14:textId="55142955" w:rsidR="008D58D9" w:rsidRDefault="00A926F2" w:rsidP="00F6579D">
      <w:pPr>
        <w:spacing w:line="259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 oblasti výdajů </w:t>
      </w:r>
      <w:r w:rsidR="0010148C">
        <w:rPr>
          <w:rFonts w:asciiTheme="minorHAnsi" w:hAnsiTheme="minorHAnsi" w:cstheme="minorHAnsi"/>
          <w:lang w:val="cs-CZ"/>
        </w:rPr>
        <w:t xml:space="preserve">MZV </w:t>
      </w:r>
      <w:r>
        <w:rPr>
          <w:rFonts w:asciiTheme="minorHAnsi" w:hAnsiTheme="minorHAnsi" w:cstheme="minorHAnsi"/>
          <w:lang w:val="cs-CZ"/>
        </w:rPr>
        <w:t xml:space="preserve">spojených </w:t>
      </w:r>
      <w:r w:rsidR="008C7039" w:rsidRPr="008C7039">
        <w:rPr>
          <w:rFonts w:asciiTheme="minorHAnsi" w:hAnsiTheme="minorHAnsi" w:cstheme="minorHAnsi"/>
          <w:lang w:val="cs-CZ"/>
        </w:rPr>
        <w:t>s</w:t>
      </w:r>
      <w:r w:rsidR="00563831">
        <w:rPr>
          <w:rFonts w:asciiTheme="minorHAnsi" w:hAnsiTheme="minorHAnsi" w:cstheme="minorHAnsi"/>
          <w:lang w:val="cs-CZ"/>
        </w:rPr>
        <w:t>e vzděláváním</w:t>
      </w:r>
      <w:r w:rsidR="008C7039" w:rsidRPr="008C7039">
        <w:rPr>
          <w:rFonts w:asciiTheme="minorHAnsi" w:hAnsiTheme="minorHAnsi" w:cstheme="minorHAnsi"/>
          <w:lang w:val="cs-CZ"/>
        </w:rPr>
        <w:t xml:space="preserve"> dětí zaměstnanců MZV, kteří jsou vysílá</w:t>
      </w:r>
      <w:r w:rsidR="0010148C">
        <w:rPr>
          <w:rFonts w:asciiTheme="minorHAnsi" w:hAnsiTheme="minorHAnsi" w:cstheme="minorHAnsi"/>
          <w:lang w:val="cs-CZ"/>
        </w:rPr>
        <w:t>ni k výkonu práce do zahraničí</w:t>
      </w:r>
      <w:r w:rsidR="002508AF">
        <w:rPr>
          <w:rFonts w:asciiTheme="minorHAnsi" w:hAnsiTheme="minorHAnsi" w:cstheme="minorHAnsi"/>
          <w:lang w:val="cs-CZ"/>
        </w:rPr>
        <w:t>,</w:t>
      </w:r>
      <w:r w:rsidR="0010148C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>bylo zjištěno, že c</w:t>
      </w:r>
      <w:r w:rsidR="008C7039" w:rsidRPr="008C7039">
        <w:rPr>
          <w:rFonts w:asciiTheme="minorHAnsi" w:hAnsiTheme="minorHAnsi" w:cstheme="minorHAnsi"/>
          <w:lang w:val="cs-CZ"/>
        </w:rPr>
        <w:t xml:space="preserve">elkové výdaje na </w:t>
      </w:r>
      <w:r w:rsidR="00563831">
        <w:rPr>
          <w:rFonts w:asciiTheme="minorHAnsi" w:hAnsiTheme="minorHAnsi" w:cstheme="minorHAnsi"/>
          <w:lang w:val="cs-CZ"/>
        </w:rPr>
        <w:t xml:space="preserve">tuto </w:t>
      </w:r>
      <w:r w:rsidR="008C7039" w:rsidRPr="008C7039">
        <w:rPr>
          <w:rFonts w:asciiTheme="minorHAnsi" w:hAnsiTheme="minorHAnsi" w:cstheme="minorHAnsi"/>
          <w:lang w:val="cs-CZ"/>
        </w:rPr>
        <w:t xml:space="preserve">oblast </w:t>
      </w:r>
      <w:r>
        <w:rPr>
          <w:rFonts w:asciiTheme="minorHAnsi" w:hAnsiTheme="minorHAnsi" w:cstheme="minorHAnsi"/>
          <w:lang w:val="cs-CZ"/>
        </w:rPr>
        <w:t>vykazují v letech 2012 až 201</w:t>
      </w:r>
      <w:r w:rsidR="00171641">
        <w:rPr>
          <w:rFonts w:asciiTheme="minorHAnsi" w:hAnsiTheme="minorHAnsi" w:cstheme="minorHAnsi"/>
          <w:lang w:val="cs-CZ"/>
        </w:rPr>
        <w:t>5</w:t>
      </w:r>
      <w:r>
        <w:rPr>
          <w:rFonts w:asciiTheme="minorHAnsi" w:hAnsiTheme="minorHAnsi" w:cstheme="minorHAnsi"/>
          <w:lang w:val="cs-CZ"/>
        </w:rPr>
        <w:t xml:space="preserve"> vzrůstající tendenci, </w:t>
      </w:r>
      <w:r w:rsidR="00732CE1">
        <w:rPr>
          <w:rFonts w:asciiTheme="minorHAnsi" w:hAnsiTheme="minorHAnsi" w:cstheme="minorHAnsi"/>
          <w:lang w:val="cs-CZ"/>
        </w:rPr>
        <w:t>což dokládá tabulka č. 3 a graf č. 1.</w:t>
      </w:r>
    </w:p>
    <w:p w14:paraId="02C58671" w14:textId="77777777" w:rsidR="00DD53CF" w:rsidRDefault="00DD53CF" w:rsidP="00F6579D">
      <w:pPr>
        <w:spacing w:line="259" w:lineRule="auto"/>
        <w:jc w:val="both"/>
        <w:rPr>
          <w:rFonts w:asciiTheme="minorHAnsi" w:hAnsiTheme="minorHAnsi" w:cstheme="minorHAnsi"/>
          <w:lang w:val="cs-CZ"/>
        </w:rPr>
      </w:pPr>
    </w:p>
    <w:p w14:paraId="27AAFC27" w14:textId="5E64F0E6" w:rsidR="00635844" w:rsidRPr="008D58D9" w:rsidRDefault="00635844" w:rsidP="007C29E9">
      <w:pPr>
        <w:spacing w:line="259" w:lineRule="auto"/>
        <w:rPr>
          <w:rFonts w:asciiTheme="minorHAnsi" w:hAnsiTheme="minorHAnsi" w:cstheme="minorHAnsi"/>
          <w:b/>
          <w:lang w:val="cs-CZ"/>
        </w:rPr>
      </w:pPr>
      <w:r w:rsidRPr="008D58D9">
        <w:rPr>
          <w:rFonts w:asciiTheme="minorHAnsi" w:hAnsiTheme="minorHAnsi" w:cstheme="minorHAnsi"/>
          <w:b/>
          <w:lang w:val="cs-CZ"/>
        </w:rPr>
        <w:t xml:space="preserve">Tabulka č. </w:t>
      </w:r>
      <w:r w:rsidR="0082668F">
        <w:rPr>
          <w:rFonts w:asciiTheme="minorHAnsi" w:hAnsiTheme="minorHAnsi" w:cstheme="minorHAnsi"/>
          <w:b/>
          <w:lang w:val="cs-CZ"/>
        </w:rPr>
        <w:t>3</w:t>
      </w:r>
      <w:r w:rsidR="007C29E9">
        <w:rPr>
          <w:rFonts w:asciiTheme="minorHAnsi" w:hAnsiTheme="minorHAnsi" w:cstheme="minorHAnsi"/>
          <w:b/>
          <w:lang w:val="cs-CZ"/>
        </w:rPr>
        <w:t xml:space="preserve"> –</w:t>
      </w:r>
      <w:r w:rsidRPr="008D58D9">
        <w:rPr>
          <w:rFonts w:asciiTheme="minorHAnsi" w:hAnsiTheme="minorHAnsi" w:cstheme="minorHAnsi"/>
          <w:b/>
          <w:lang w:val="cs-CZ"/>
        </w:rPr>
        <w:t xml:space="preserve"> Vývoj </w:t>
      </w:r>
      <w:r w:rsidR="0028791A">
        <w:rPr>
          <w:rFonts w:asciiTheme="minorHAnsi" w:hAnsiTheme="minorHAnsi" w:cstheme="minorHAnsi"/>
          <w:b/>
          <w:lang w:val="cs-CZ"/>
        </w:rPr>
        <w:t>v oblasti vzdělávání dětí zaměstnanců MZV, kteří pracují v</w:t>
      </w:r>
      <w:r w:rsidR="009D19E0">
        <w:rPr>
          <w:rFonts w:asciiTheme="minorHAnsi" w:hAnsiTheme="minorHAnsi" w:cstheme="minorHAnsi"/>
          <w:b/>
          <w:lang w:val="cs-CZ"/>
        </w:rPr>
        <w:t> </w:t>
      </w:r>
      <w:r w:rsidR="0028791A">
        <w:rPr>
          <w:rFonts w:asciiTheme="minorHAnsi" w:hAnsiTheme="minorHAnsi" w:cstheme="minorHAnsi"/>
          <w:b/>
          <w:lang w:val="cs-CZ"/>
        </w:rPr>
        <w:t>zahraničí</w:t>
      </w:r>
    </w:p>
    <w:tbl>
      <w:tblPr>
        <w:tblStyle w:val="Mkatabul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680"/>
        <w:gridCol w:w="680"/>
        <w:gridCol w:w="680"/>
        <w:gridCol w:w="680"/>
        <w:gridCol w:w="964"/>
        <w:gridCol w:w="964"/>
        <w:gridCol w:w="964"/>
        <w:gridCol w:w="964"/>
        <w:gridCol w:w="937"/>
      </w:tblGrid>
      <w:tr w:rsidR="00635844" w:rsidRPr="006645DC" w14:paraId="403FAD2C" w14:textId="77777777" w:rsidTr="00F6579D">
        <w:tc>
          <w:tcPr>
            <w:tcW w:w="1701" w:type="dxa"/>
            <w:vMerge w:val="restart"/>
            <w:shd w:val="clear" w:color="auto" w:fill="D5DCE4" w:themeFill="text2" w:themeFillTint="33"/>
            <w:vAlign w:val="center"/>
          </w:tcPr>
          <w:p w14:paraId="65983982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680" w:type="dxa"/>
            <w:vMerge w:val="restart"/>
            <w:shd w:val="clear" w:color="auto" w:fill="D5DCE4" w:themeFill="text2" w:themeFillTint="33"/>
            <w:vAlign w:val="center"/>
          </w:tcPr>
          <w:p w14:paraId="1BE32C29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2012</w:t>
            </w:r>
          </w:p>
        </w:tc>
        <w:tc>
          <w:tcPr>
            <w:tcW w:w="680" w:type="dxa"/>
            <w:vMerge w:val="restart"/>
            <w:shd w:val="clear" w:color="auto" w:fill="D5DCE4" w:themeFill="text2" w:themeFillTint="33"/>
            <w:vAlign w:val="center"/>
          </w:tcPr>
          <w:p w14:paraId="7521E500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2013</w:t>
            </w:r>
          </w:p>
        </w:tc>
        <w:tc>
          <w:tcPr>
            <w:tcW w:w="680" w:type="dxa"/>
            <w:vMerge w:val="restart"/>
            <w:shd w:val="clear" w:color="auto" w:fill="D5DCE4" w:themeFill="text2" w:themeFillTint="33"/>
            <w:vAlign w:val="center"/>
          </w:tcPr>
          <w:p w14:paraId="305B3579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2014</w:t>
            </w:r>
          </w:p>
        </w:tc>
        <w:tc>
          <w:tcPr>
            <w:tcW w:w="680" w:type="dxa"/>
            <w:vMerge w:val="restart"/>
            <w:shd w:val="clear" w:color="auto" w:fill="D5DCE4" w:themeFill="text2" w:themeFillTint="33"/>
            <w:vAlign w:val="center"/>
          </w:tcPr>
          <w:p w14:paraId="361F4231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2015</w:t>
            </w:r>
          </w:p>
        </w:tc>
        <w:tc>
          <w:tcPr>
            <w:tcW w:w="4793" w:type="dxa"/>
            <w:gridSpan w:val="5"/>
            <w:shd w:val="clear" w:color="auto" w:fill="D5DCE4" w:themeFill="text2" w:themeFillTint="33"/>
          </w:tcPr>
          <w:p w14:paraId="683B2678" w14:textId="7D489EB5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Meziroční změna </w:t>
            </w:r>
            <w:r w:rsidR="00732CE1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(</w:t>
            </w: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v %</w:t>
            </w:r>
            <w:r w:rsidR="00732CE1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)</w:t>
            </w:r>
          </w:p>
        </w:tc>
      </w:tr>
      <w:tr w:rsidR="00635844" w:rsidRPr="006645DC" w14:paraId="0D498AA4" w14:textId="77777777" w:rsidTr="00F6579D">
        <w:trPr>
          <w:trHeight w:val="283"/>
        </w:trPr>
        <w:tc>
          <w:tcPr>
            <w:tcW w:w="1701" w:type="dxa"/>
            <w:vMerge/>
          </w:tcPr>
          <w:p w14:paraId="65E35A2F" w14:textId="77777777" w:rsidR="00635844" w:rsidRPr="006645DC" w:rsidRDefault="00635844" w:rsidP="00635844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  <w:tc>
          <w:tcPr>
            <w:tcW w:w="680" w:type="dxa"/>
            <w:vMerge/>
            <w:vAlign w:val="center"/>
          </w:tcPr>
          <w:p w14:paraId="5E0797D0" w14:textId="77777777" w:rsidR="00635844" w:rsidRPr="006645DC" w:rsidRDefault="00635844" w:rsidP="00635844">
            <w:pPr>
              <w:ind w:left="-117" w:right="-108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680" w:type="dxa"/>
            <w:vMerge/>
            <w:vAlign w:val="center"/>
          </w:tcPr>
          <w:p w14:paraId="6457DF20" w14:textId="77777777" w:rsidR="00635844" w:rsidRPr="006645DC" w:rsidRDefault="00635844" w:rsidP="00635844">
            <w:pPr>
              <w:ind w:left="-2518" w:firstLine="2474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680" w:type="dxa"/>
            <w:vMerge/>
            <w:vAlign w:val="center"/>
          </w:tcPr>
          <w:p w14:paraId="1A17C34A" w14:textId="77777777" w:rsidR="00635844" w:rsidRPr="006645DC" w:rsidRDefault="00635844" w:rsidP="0063584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680" w:type="dxa"/>
            <w:vMerge/>
            <w:vAlign w:val="center"/>
          </w:tcPr>
          <w:p w14:paraId="1CABC09B" w14:textId="77777777" w:rsidR="00635844" w:rsidRPr="006645DC" w:rsidRDefault="00635844" w:rsidP="00635844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964" w:type="dxa"/>
            <w:shd w:val="clear" w:color="auto" w:fill="DEEAF6" w:themeFill="accent1" w:themeFillTint="33"/>
            <w:vAlign w:val="center"/>
          </w:tcPr>
          <w:p w14:paraId="0408C22B" w14:textId="77777777" w:rsidR="00635844" w:rsidRPr="006645DC" w:rsidRDefault="00635844" w:rsidP="00F6579D">
            <w:pPr>
              <w:ind w:left="-108" w:right="5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2013/2012</w:t>
            </w:r>
          </w:p>
        </w:tc>
        <w:tc>
          <w:tcPr>
            <w:tcW w:w="964" w:type="dxa"/>
            <w:shd w:val="clear" w:color="auto" w:fill="DEEAF6" w:themeFill="accent1" w:themeFillTint="33"/>
            <w:vAlign w:val="center"/>
          </w:tcPr>
          <w:p w14:paraId="5F0DA683" w14:textId="77777777" w:rsidR="00635844" w:rsidRPr="006645DC" w:rsidRDefault="00635844" w:rsidP="00F6579D">
            <w:pPr>
              <w:ind w:hanging="79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2014/2013</w:t>
            </w:r>
          </w:p>
        </w:tc>
        <w:tc>
          <w:tcPr>
            <w:tcW w:w="964" w:type="dxa"/>
            <w:shd w:val="clear" w:color="auto" w:fill="DEEAF6" w:themeFill="accent1" w:themeFillTint="33"/>
            <w:vAlign w:val="center"/>
          </w:tcPr>
          <w:p w14:paraId="29B9E6F4" w14:textId="77777777" w:rsidR="00635844" w:rsidRPr="006645DC" w:rsidRDefault="00635844" w:rsidP="00F6579D">
            <w:pPr>
              <w:ind w:hanging="108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2015/2014</w:t>
            </w:r>
          </w:p>
        </w:tc>
        <w:tc>
          <w:tcPr>
            <w:tcW w:w="964" w:type="dxa"/>
            <w:shd w:val="clear" w:color="auto" w:fill="DEEAF6" w:themeFill="accent1" w:themeFillTint="33"/>
            <w:vAlign w:val="center"/>
          </w:tcPr>
          <w:p w14:paraId="5BDDDFAD" w14:textId="77777777" w:rsidR="00635844" w:rsidRPr="006645DC" w:rsidRDefault="00635844" w:rsidP="00F6579D">
            <w:pPr>
              <w:ind w:hanging="108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2014/2012</w:t>
            </w:r>
          </w:p>
        </w:tc>
        <w:tc>
          <w:tcPr>
            <w:tcW w:w="937" w:type="dxa"/>
            <w:shd w:val="clear" w:color="auto" w:fill="DEEAF6" w:themeFill="accent1" w:themeFillTint="33"/>
            <w:vAlign w:val="center"/>
          </w:tcPr>
          <w:p w14:paraId="69DAE329" w14:textId="77777777" w:rsidR="00635844" w:rsidRPr="006645DC" w:rsidRDefault="00635844" w:rsidP="00F6579D">
            <w:pPr>
              <w:ind w:hanging="108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2015/2012</w:t>
            </w:r>
          </w:p>
        </w:tc>
      </w:tr>
      <w:tr w:rsidR="00635844" w:rsidRPr="006645DC" w14:paraId="796A5FE2" w14:textId="77777777" w:rsidTr="00F6579D">
        <w:tc>
          <w:tcPr>
            <w:tcW w:w="1701" w:type="dxa"/>
          </w:tcPr>
          <w:p w14:paraId="59587AE3" w14:textId="77777777" w:rsidR="00635844" w:rsidRPr="0028791A" w:rsidRDefault="00635844" w:rsidP="00635844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2879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Výdaje </w:t>
            </w:r>
          </w:p>
          <w:p w14:paraId="326F30FB" w14:textId="7C5E03A3" w:rsidR="00635844" w:rsidRPr="006645DC" w:rsidRDefault="00635844" w:rsidP="0028791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2879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na školné</w:t>
            </w:r>
            <w:r w:rsidR="0028791A" w:rsidRPr="00F6579D">
              <w:rPr>
                <w:rStyle w:val="Znakapoznpodarou"/>
                <w:rFonts w:asciiTheme="minorHAnsi" w:hAnsiTheme="minorHAnsi" w:cstheme="minorHAnsi"/>
                <w:sz w:val="18"/>
                <w:szCs w:val="18"/>
                <w:lang w:val="cs-CZ"/>
              </w:rPr>
              <w:footnoteReference w:id="9"/>
            </w:r>
            <w:r w:rsidRPr="002879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</w:t>
            </w:r>
            <w:r w:rsidR="0028791A" w:rsidRPr="002879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(</w:t>
            </w:r>
            <w:r w:rsidRPr="002879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v tis. Kč</w:t>
            </w:r>
            <w:r w:rsidR="0028791A" w:rsidRPr="0028791A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)</w:t>
            </w:r>
          </w:p>
        </w:tc>
        <w:tc>
          <w:tcPr>
            <w:tcW w:w="680" w:type="dxa"/>
            <w:vAlign w:val="center"/>
          </w:tcPr>
          <w:p w14:paraId="6EB6D0D7" w14:textId="77777777" w:rsidR="00635844" w:rsidRPr="00DF6295" w:rsidRDefault="00635844" w:rsidP="00F6579D">
            <w:pPr>
              <w:ind w:left="-119" w:right="-57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70 469</w:t>
            </w:r>
          </w:p>
        </w:tc>
        <w:tc>
          <w:tcPr>
            <w:tcW w:w="680" w:type="dxa"/>
            <w:vAlign w:val="center"/>
          </w:tcPr>
          <w:p w14:paraId="7676C921" w14:textId="77777777" w:rsidR="00635844" w:rsidRPr="00DF6295" w:rsidRDefault="00635844" w:rsidP="00F6579D">
            <w:pPr>
              <w:ind w:left="-2518" w:right="-57" w:firstLine="2410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81 458</w:t>
            </w:r>
          </w:p>
        </w:tc>
        <w:tc>
          <w:tcPr>
            <w:tcW w:w="680" w:type="dxa"/>
            <w:vAlign w:val="center"/>
          </w:tcPr>
          <w:p w14:paraId="460EEF19" w14:textId="77777777" w:rsidR="00635844" w:rsidRPr="00DF6295" w:rsidRDefault="00635844" w:rsidP="00F6579D">
            <w:pPr>
              <w:ind w:right="-57" w:hanging="108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97 692</w:t>
            </w:r>
          </w:p>
        </w:tc>
        <w:tc>
          <w:tcPr>
            <w:tcW w:w="680" w:type="dxa"/>
            <w:vAlign w:val="center"/>
          </w:tcPr>
          <w:p w14:paraId="45F77284" w14:textId="77777777" w:rsidR="00635844" w:rsidRPr="00DF6295" w:rsidRDefault="00635844" w:rsidP="00F6579D">
            <w:pPr>
              <w:ind w:left="-72" w:right="-57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102 071</w:t>
            </w:r>
          </w:p>
        </w:tc>
        <w:tc>
          <w:tcPr>
            <w:tcW w:w="964" w:type="dxa"/>
            <w:vAlign w:val="center"/>
          </w:tcPr>
          <w:p w14:paraId="40F10307" w14:textId="5E1E7D8C" w:rsidR="00635844" w:rsidRPr="006645DC" w:rsidRDefault="00635844" w:rsidP="006B53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15,</w:t>
            </w:r>
            <w:r w:rsidR="006B53C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964" w:type="dxa"/>
            <w:vAlign w:val="center"/>
          </w:tcPr>
          <w:p w14:paraId="790DEB8C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19,9</w:t>
            </w:r>
          </w:p>
        </w:tc>
        <w:tc>
          <w:tcPr>
            <w:tcW w:w="964" w:type="dxa"/>
            <w:vAlign w:val="center"/>
          </w:tcPr>
          <w:p w14:paraId="2612490E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4,5</w:t>
            </w:r>
          </w:p>
        </w:tc>
        <w:tc>
          <w:tcPr>
            <w:tcW w:w="964" w:type="dxa"/>
            <w:vAlign w:val="center"/>
          </w:tcPr>
          <w:p w14:paraId="268966D8" w14:textId="52C341AB" w:rsidR="00635844" w:rsidRPr="006645DC" w:rsidRDefault="00635844" w:rsidP="006B53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38,</w:t>
            </w:r>
            <w:r w:rsidR="006B53C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</w:t>
            </w:r>
          </w:p>
        </w:tc>
        <w:tc>
          <w:tcPr>
            <w:tcW w:w="937" w:type="dxa"/>
            <w:vAlign w:val="center"/>
          </w:tcPr>
          <w:p w14:paraId="003B2E43" w14:textId="27BB26D9" w:rsidR="00635844" w:rsidRPr="006645DC" w:rsidRDefault="00635844" w:rsidP="006B53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</w:t>
            </w:r>
            <w:r w:rsidR="006B53C9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4,8</w:t>
            </w:r>
          </w:p>
        </w:tc>
      </w:tr>
      <w:tr w:rsidR="00635844" w:rsidRPr="006645DC" w14:paraId="2AAFD071" w14:textId="77777777" w:rsidTr="00F6579D">
        <w:trPr>
          <w:trHeight w:val="57"/>
        </w:trPr>
        <w:tc>
          <w:tcPr>
            <w:tcW w:w="9214" w:type="dxa"/>
            <w:gridSpan w:val="10"/>
            <w:vAlign w:val="center"/>
          </w:tcPr>
          <w:p w14:paraId="00ED4D01" w14:textId="77777777" w:rsidR="00635844" w:rsidRPr="00A77037" w:rsidRDefault="00635844" w:rsidP="00F6579D">
            <w:pPr>
              <w:ind w:right="-108"/>
              <w:jc w:val="right"/>
              <w:rPr>
                <w:rFonts w:asciiTheme="minorHAnsi" w:hAnsiTheme="minorHAnsi" w:cstheme="minorHAnsi"/>
                <w:sz w:val="8"/>
                <w:szCs w:val="8"/>
                <w:lang w:val="cs-CZ"/>
              </w:rPr>
            </w:pPr>
          </w:p>
        </w:tc>
      </w:tr>
      <w:tr w:rsidR="00635844" w:rsidRPr="006645DC" w14:paraId="6063A219" w14:textId="77777777" w:rsidTr="00F6579D">
        <w:trPr>
          <w:trHeight w:val="283"/>
        </w:trPr>
        <w:tc>
          <w:tcPr>
            <w:tcW w:w="1701" w:type="dxa"/>
            <w:vAlign w:val="center"/>
          </w:tcPr>
          <w:p w14:paraId="35DC57EB" w14:textId="617A7EC0" w:rsidR="00635844" w:rsidRPr="006645DC" w:rsidRDefault="00635844" w:rsidP="00F6579D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Počet dětí*</w:t>
            </w:r>
          </w:p>
        </w:tc>
        <w:tc>
          <w:tcPr>
            <w:tcW w:w="680" w:type="dxa"/>
            <w:vAlign w:val="center"/>
          </w:tcPr>
          <w:p w14:paraId="6125A1AE" w14:textId="77777777" w:rsidR="00635844" w:rsidRPr="00DF6295" w:rsidRDefault="00635844" w:rsidP="00F6579D">
            <w:pPr>
              <w:ind w:right="-57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191</w:t>
            </w:r>
          </w:p>
        </w:tc>
        <w:tc>
          <w:tcPr>
            <w:tcW w:w="680" w:type="dxa"/>
            <w:vAlign w:val="center"/>
          </w:tcPr>
          <w:p w14:paraId="7BB8877E" w14:textId="77777777" w:rsidR="00635844" w:rsidRPr="00DF6295" w:rsidRDefault="00635844" w:rsidP="00F6579D">
            <w:pPr>
              <w:ind w:right="-57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202</w:t>
            </w:r>
          </w:p>
        </w:tc>
        <w:tc>
          <w:tcPr>
            <w:tcW w:w="680" w:type="dxa"/>
            <w:vAlign w:val="center"/>
          </w:tcPr>
          <w:p w14:paraId="7132F391" w14:textId="77777777" w:rsidR="00635844" w:rsidRPr="00DF6295" w:rsidRDefault="00635844" w:rsidP="00F6579D">
            <w:pPr>
              <w:ind w:right="-57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238</w:t>
            </w:r>
          </w:p>
        </w:tc>
        <w:tc>
          <w:tcPr>
            <w:tcW w:w="680" w:type="dxa"/>
            <w:vAlign w:val="center"/>
          </w:tcPr>
          <w:p w14:paraId="4AB6F930" w14:textId="77777777" w:rsidR="00635844" w:rsidRPr="00DF6295" w:rsidRDefault="00635844" w:rsidP="00F6579D">
            <w:pPr>
              <w:ind w:right="-57"/>
              <w:jc w:val="right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DF6295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242</w:t>
            </w:r>
          </w:p>
        </w:tc>
        <w:tc>
          <w:tcPr>
            <w:tcW w:w="964" w:type="dxa"/>
            <w:vAlign w:val="center"/>
          </w:tcPr>
          <w:p w14:paraId="6882757C" w14:textId="51CE119F" w:rsidR="00635844" w:rsidRPr="006645DC" w:rsidRDefault="006B53C9" w:rsidP="006B53C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5</w:t>
            </w:r>
            <w:r w:rsidR="00635844"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,8</w:t>
            </w:r>
          </w:p>
        </w:tc>
        <w:tc>
          <w:tcPr>
            <w:tcW w:w="964" w:type="dxa"/>
            <w:vAlign w:val="center"/>
          </w:tcPr>
          <w:p w14:paraId="6FE20816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17,8</w:t>
            </w:r>
          </w:p>
        </w:tc>
        <w:tc>
          <w:tcPr>
            <w:tcW w:w="964" w:type="dxa"/>
            <w:vAlign w:val="center"/>
          </w:tcPr>
          <w:p w14:paraId="4D5D1F5D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1,7</w:t>
            </w:r>
          </w:p>
        </w:tc>
        <w:tc>
          <w:tcPr>
            <w:tcW w:w="964" w:type="dxa"/>
            <w:vAlign w:val="center"/>
          </w:tcPr>
          <w:p w14:paraId="088917DE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24,6</w:t>
            </w:r>
          </w:p>
        </w:tc>
        <w:tc>
          <w:tcPr>
            <w:tcW w:w="937" w:type="dxa"/>
            <w:vAlign w:val="center"/>
          </w:tcPr>
          <w:p w14:paraId="0E655467" w14:textId="77777777" w:rsidR="00635844" w:rsidRPr="006645DC" w:rsidRDefault="00635844" w:rsidP="0063584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6645DC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26,7</w:t>
            </w:r>
          </w:p>
        </w:tc>
      </w:tr>
    </w:tbl>
    <w:p w14:paraId="28970407" w14:textId="335D7DF1" w:rsidR="00E15F18" w:rsidRDefault="00635844" w:rsidP="0049388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3E1831">
        <w:rPr>
          <w:rFonts w:asciiTheme="minorHAnsi" w:hAnsiTheme="minorHAnsi" w:cstheme="minorHAnsi"/>
          <w:b/>
          <w:color w:val="000000"/>
          <w:sz w:val="18"/>
          <w:szCs w:val="18"/>
          <w:lang w:val="cs-CZ"/>
        </w:rPr>
        <w:t>Zdroj: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  <w:r w:rsidR="00732CE1">
        <w:rPr>
          <w:rFonts w:asciiTheme="minorHAnsi" w:hAnsiTheme="minorHAnsi" w:cstheme="minorHAnsi"/>
          <w:color w:val="000000"/>
          <w:sz w:val="18"/>
          <w:szCs w:val="18"/>
          <w:lang w:val="cs-CZ"/>
        </w:rPr>
        <w:t>e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>konomický informační systém JASU</w:t>
      </w:r>
      <w:r w:rsidR="00732CE1">
        <w:rPr>
          <w:rFonts w:asciiTheme="minorHAnsi" w:hAnsiTheme="minorHAnsi" w:cstheme="minorHAnsi"/>
          <w:color w:val="000000"/>
          <w:sz w:val="18"/>
          <w:szCs w:val="18"/>
          <w:lang w:val="cs-CZ"/>
        </w:rPr>
        <w:t>, údaje za roky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2012</w:t>
      </w:r>
      <w:r w:rsidR="003F3135">
        <w:rPr>
          <w:rFonts w:asciiTheme="minorHAnsi" w:hAnsiTheme="minorHAnsi" w:cstheme="minorHAnsi"/>
          <w:color w:val="000000"/>
          <w:sz w:val="18"/>
          <w:szCs w:val="18"/>
          <w:lang w:val="cs-CZ"/>
        </w:rPr>
        <w:t>–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>2015</w:t>
      </w:r>
      <w:r w:rsidR="003F3135">
        <w:rPr>
          <w:rFonts w:asciiTheme="minorHAnsi" w:hAnsiTheme="minorHAnsi" w:cstheme="minorHAnsi"/>
          <w:color w:val="000000"/>
          <w:sz w:val="18"/>
          <w:szCs w:val="18"/>
          <w:lang w:val="cs-CZ"/>
        </w:rPr>
        <w:t>.</w:t>
      </w:r>
    </w:p>
    <w:p w14:paraId="028A2EAD" w14:textId="4DB50173" w:rsidR="00635844" w:rsidRDefault="00635844" w:rsidP="00493889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F6579D">
        <w:rPr>
          <w:rFonts w:asciiTheme="minorHAnsi" w:hAnsiTheme="minorHAnsi" w:cstheme="minorHAnsi"/>
          <w:b/>
          <w:sz w:val="18"/>
          <w:szCs w:val="18"/>
          <w:lang w:val="cs-CZ"/>
        </w:rPr>
        <w:t>*</w:t>
      </w:r>
      <w:r w:rsidRPr="006645DC">
        <w:rPr>
          <w:rFonts w:asciiTheme="minorHAnsi" w:hAnsiTheme="minorHAnsi" w:cstheme="minorHAnsi"/>
          <w:sz w:val="18"/>
          <w:szCs w:val="18"/>
          <w:lang w:val="cs-CZ"/>
        </w:rPr>
        <w:t xml:space="preserve"> Jedná se o počet dětí, za které bylo hrazeno školné.</w:t>
      </w:r>
    </w:p>
    <w:p w14:paraId="55C9FB09" w14:textId="77777777" w:rsidR="006F4DEA" w:rsidRDefault="006F4DEA" w:rsidP="00E15F18">
      <w:pPr>
        <w:spacing w:after="120"/>
        <w:rPr>
          <w:rFonts w:asciiTheme="minorHAnsi" w:hAnsiTheme="minorHAnsi" w:cstheme="minorHAnsi"/>
          <w:b/>
          <w:lang w:val="cs-CZ"/>
        </w:rPr>
      </w:pPr>
    </w:p>
    <w:p w14:paraId="08BFDB0C" w14:textId="571FFB43" w:rsidR="00635844" w:rsidRPr="00D413B8" w:rsidRDefault="009E263F" w:rsidP="00E15F18">
      <w:pPr>
        <w:spacing w:after="120"/>
        <w:rPr>
          <w:rFonts w:asciiTheme="minorHAnsi" w:hAnsiTheme="minorHAnsi" w:cstheme="minorHAnsi"/>
          <w:b/>
          <w:lang w:val="cs-CZ"/>
        </w:rPr>
      </w:pPr>
      <w:r w:rsidRPr="00D413B8">
        <w:rPr>
          <w:rFonts w:asciiTheme="minorHAnsi" w:hAnsiTheme="minorHAnsi" w:cstheme="minorHAnsi"/>
          <w:b/>
          <w:lang w:val="cs-CZ"/>
        </w:rPr>
        <w:t>G</w:t>
      </w:r>
      <w:r w:rsidR="00635844" w:rsidRPr="00D413B8">
        <w:rPr>
          <w:rFonts w:asciiTheme="minorHAnsi" w:hAnsiTheme="minorHAnsi" w:cstheme="minorHAnsi"/>
          <w:b/>
          <w:lang w:val="cs-CZ"/>
        </w:rPr>
        <w:t>raf č. 1</w:t>
      </w:r>
      <w:r w:rsidR="009D19E0">
        <w:rPr>
          <w:rFonts w:asciiTheme="minorHAnsi" w:hAnsiTheme="minorHAnsi" w:cstheme="minorHAnsi"/>
          <w:b/>
          <w:lang w:val="cs-CZ"/>
        </w:rPr>
        <w:t xml:space="preserve"> – </w:t>
      </w:r>
      <w:r w:rsidR="00470EA4">
        <w:rPr>
          <w:rFonts w:asciiTheme="minorHAnsi" w:hAnsiTheme="minorHAnsi" w:cstheme="minorHAnsi"/>
          <w:b/>
          <w:lang w:val="cs-CZ"/>
        </w:rPr>
        <w:t>Vývoj</w:t>
      </w:r>
      <w:r w:rsidR="009D19E0" w:rsidRPr="008D58D9">
        <w:rPr>
          <w:rFonts w:asciiTheme="minorHAnsi" w:hAnsiTheme="minorHAnsi" w:cstheme="minorHAnsi"/>
          <w:b/>
          <w:lang w:val="cs-CZ"/>
        </w:rPr>
        <w:t xml:space="preserve"> </w:t>
      </w:r>
      <w:r w:rsidR="00493889">
        <w:rPr>
          <w:rFonts w:asciiTheme="minorHAnsi" w:hAnsiTheme="minorHAnsi" w:cstheme="minorHAnsi"/>
          <w:b/>
          <w:lang w:val="cs-CZ"/>
        </w:rPr>
        <w:t xml:space="preserve">výdajů </w:t>
      </w:r>
      <w:r w:rsidR="00470EA4">
        <w:rPr>
          <w:rFonts w:asciiTheme="minorHAnsi" w:hAnsiTheme="minorHAnsi" w:cstheme="minorHAnsi"/>
          <w:b/>
          <w:lang w:val="cs-CZ"/>
        </w:rPr>
        <w:t xml:space="preserve">MZV </w:t>
      </w:r>
      <w:r w:rsidR="00493889">
        <w:rPr>
          <w:rFonts w:asciiTheme="minorHAnsi" w:hAnsiTheme="minorHAnsi" w:cstheme="minorHAnsi"/>
          <w:b/>
          <w:lang w:val="cs-CZ"/>
        </w:rPr>
        <w:t>na školné</w:t>
      </w:r>
      <w:r w:rsidR="002F02E2" w:rsidRPr="00F6579D">
        <w:rPr>
          <w:rFonts w:asciiTheme="minorHAnsi" w:hAnsiTheme="minorHAnsi" w:cstheme="minorHAnsi"/>
          <w:b/>
          <w:vertAlign w:val="superscript"/>
          <w:lang w:val="cs-CZ"/>
        </w:rPr>
        <w:t>9</w:t>
      </w:r>
      <w:r w:rsidR="00493889">
        <w:rPr>
          <w:rFonts w:asciiTheme="minorHAnsi" w:hAnsiTheme="minorHAnsi" w:cstheme="minorHAnsi"/>
          <w:b/>
          <w:lang w:val="cs-CZ"/>
        </w:rPr>
        <w:t xml:space="preserve"> a vývoj počtu dětí, </w:t>
      </w:r>
      <w:r w:rsidR="00470EA4">
        <w:rPr>
          <w:rFonts w:asciiTheme="minorHAnsi" w:hAnsiTheme="minorHAnsi" w:cstheme="minorHAnsi"/>
          <w:b/>
          <w:lang w:val="cs-CZ"/>
        </w:rPr>
        <w:t xml:space="preserve">jimž </w:t>
      </w:r>
      <w:r w:rsidR="002F02E2">
        <w:rPr>
          <w:rFonts w:asciiTheme="minorHAnsi" w:hAnsiTheme="minorHAnsi" w:cstheme="minorHAnsi"/>
          <w:b/>
          <w:lang w:val="cs-CZ"/>
        </w:rPr>
        <w:t>školné</w:t>
      </w:r>
      <w:r w:rsidR="002F02E2" w:rsidRPr="00F6579D">
        <w:rPr>
          <w:rFonts w:asciiTheme="minorHAnsi" w:hAnsiTheme="minorHAnsi" w:cstheme="minorHAnsi"/>
          <w:b/>
          <w:vertAlign w:val="superscript"/>
          <w:lang w:val="cs-CZ"/>
        </w:rPr>
        <w:t>9</w:t>
      </w:r>
      <w:r w:rsidR="002F02E2">
        <w:rPr>
          <w:rFonts w:asciiTheme="minorHAnsi" w:hAnsiTheme="minorHAnsi" w:cstheme="minorHAnsi"/>
          <w:b/>
          <w:lang w:val="cs-CZ"/>
        </w:rPr>
        <w:t xml:space="preserve"> hradí MZV</w:t>
      </w:r>
    </w:p>
    <w:p w14:paraId="4342FFFD" w14:textId="1202EBB8" w:rsidR="00635844" w:rsidRDefault="00635844" w:rsidP="009E263F">
      <w:pPr>
        <w:rPr>
          <w:rFonts w:asciiTheme="minorHAnsi" w:hAnsiTheme="minorHAnsi" w:cstheme="minorHAnsi"/>
          <w:highlight w:val="yellow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F124402" wp14:editId="15199BCE">
            <wp:extent cx="5544921" cy="2699308"/>
            <wp:effectExtent l="0" t="0" r="17780" b="63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637709" w14:textId="4EE2D664" w:rsidR="00635844" w:rsidRPr="008C7E8F" w:rsidRDefault="001437EB" w:rsidP="00F6579D">
      <w:pPr>
        <w:spacing w:before="20"/>
        <w:rPr>
          <w:rFonts w:asciiTheme="minorHAnsi" w:hAnsiTheme="minorHAnsi" w:cstheme="minorHAnsi"/>
          <w:sz w:val="18"/>
          <w:szCs w:val="18"/>
          <w:lang w:val="cs-CZ"/>
        </w:rPr>
      </w:pPr>
      <w:r w:rsidRPr="00F27D66">
        <w:rPr>
          <w:rFonts w:asciiTheme="minorHAnsi" w:hAnsiTheme="minorHAnsi" w:cstheme="minorHAnsi"/>
          <w:b/>
          <w:color w:val="000000"/>
          <w:sz w:val="18"/>
          <w:szCs w:val="18"/>
          <w:lang w:val="cs-CZ"/>
        </w:rPr>
        <w:t>Zdroj: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  <w:r w:rsidR="00921065">
        <w:rPr>
          <w:rFonts w:asciiTheme="minorHAnsi" w:hAnsiTheme="minorHAnsi" w:cstheme="minorHAnsi"/>
          <w:color w:val="000000"/>
          <w:sz w:val="18"/>
          <w:szCs w:val="18"/>
          <w:lang w:val="cs-CZ"/>
        </w:rPr>
        <w:t>e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>konomický informační systém JASU</w:t>
      </w:r>
      <w:r w:rsidR="00A32E29">
        <w:rPr>
          <w:rFonts w:asciiTheme="minorHAnsi" w:hAnsiTheme="minorHAnsi" w:cstheme="minorHAnsi"/>
          <w:color w:val="000000"/>
          <w:sz w:val="18"/>
          <w:szCs w:val="18"/>
          <w:lang w:val="cs-CZ"/>
        </w:rPr>
        <w:t>, údaje za roky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2012</w:t>
      </w:r>
      <w:r>
        <w:rPr>
          <w:rFonts w:asciiTheme="minorHAnsi" w:hAnsiTheme="minorHAnsi" w:cstheme="minorHAnsi"/>
          <w:color w:val="000000"/>
          <w:sz w:val="18"/>
          <w:szCs w:val="18"/>
          <w:lang w:val="cs-CZ"/>
        </w:rPr>
        <w:t>–</w:t>
      </w:r>
      <w:r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>2015</w:t>
      </w:r>
      <w:r w:rsidR="00A32E29">
        <w:rPr>
          <w:rFonts w:asciiTheme="minorHAnsi" w:hAnsiTheme="minorHAnsi" w:cstheme="minorHAnsi"/>
          <w:color w:val="000000"/>
          <w:sz w:val="18"/>
          <w:szCs w:val="18"/>
          <w:lang w:val="cs-CZ"/>
        </w:rPr>
        <w:t>;</w:t>
      </w:r>
      <w:r w:rsidR="00635844" w:rsidRPr="002853B8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vlastní zpracování NKÚ</w:t>
      </w:r>
      <w:r w:rsidR="00F27D66">
        <w:rPr>
          <w:rFonts w:asciiTheme="minorHAnsi" w:hAnsiTheme="minorHAnsi" w:cstheme="minorHAnsi"/>
          <w:color w:val="000000"/>
          <w:sz w:val="18"/>
          <w:szCs w:val="18"/>
          <w:lang w:val="cs-CZ"/>
        </w:rPr>
        <w:t>.</w:t>
      </w:r>
    </w:p>
    <w:p w14:paraId="63B05A5A" w14:textId="77777777" w:rsidR="00312041" w:rsidRPr="00F6579D" w:rsidRDefault="00312041" w:rsidP="009E263F">
      <w:pPr>
        <w:spacing w:line="214" w:lineRule="auto"/>
        <w:jc w:val="both"/>
        <w:rPr>
          <w:rFonts w:asciiTheme="minorHAnsi" w:hAnsiTheme="minorHAnsi" w:cstheme="minorHAnsi"/>
          <w:color w:val="000000"/>
          <w:lang w:val="cs-CZ"/>
        </w:rPr>
      </w:pPr>
    </w:p>
    <w:p w14:paraId="6C19EF5B" w14:textId="2B5C83A8" w:rsidR="001722F5" w:rsidRPr="001722F5" w:rsidRDefault="00563831" w:rsidP="001722F5">
      <w:pPr>
        <w:spacing w:after="160" w:line="259" w:lineRule="auto"/>
        <w:jc w:val="both"/>
        <w:rPr>
          <w:rFonts w:ascii="Calibri" w:hAnsi="Calibri" w:cs="Calibri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Výdaje na školné byly kontrolovány na </w:t>
      </w:r>
      <w:r w:rsidR="00B812AF">
        <w:rPr>
          <w:rFonts w:asciiTheme="minorHAnsi" w:hAnsiTheme="minorHAnsi" w:cstheme="minorHAnsi"/>
          <w:color w:val="000000"/>
          <w:lang w:val="cs-CZ"/>
        </w:rPr>
        <w:t xml:space="preserve">vzorku 21 ZÚ, tj. cca </w:t>
      </w:r>
      <w:r w:rsidR="007958DC">
        <w:rPr>
          <w:rFonts w:asciiTheme="minorHAnsi" w:hAnsiTheme="minorHAnsi" w:cstheme="minorHAnsi"/>
          <w:color w:val="000000"/>
          <w:lang w:val="cs-CZ"/>
        </w:rPr>
        <w:t>20 % ze všech ZÚ</w:t>
      </w:r>
      <w:r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1722F5" w:rsidRPr="001722F5">
        <w:rPr>
          <w:rFonts w:ascii="Calibri" w:hAnsi="Calibri" w:cs="Calibri"/>
          <w:lang w:val="cs-CZ"/>
        </w:rPr>
        <w:t>Např. v roce 2013 činily v Londýně roční výdaje na školné 30,2 % celkových výdajů ZÚ</w:t>
      </w:r>
      <w:r w:rsidR="00861001">
        <w:rPr>
          <w:rFonts w:ascii="Calibri" w:hAnsi="Calibri" w:cs="Calibri"/>
          <w:lang w:val="cs-CZ"/>
        </w:rPr>
        <w:t xml:space="preserve"> v</w:t>
      </w:r>
      <w:r w:rsidR="001722F5" w:rsidRPr="001722F5">
        <w:rPr>
          <w:rFonts w:ascii="Calibri" w:hAnsi="Calibri" w:cs="Calibri"/>
          <w:lang w:val="cs-CZ"/>
        </w:rPr>
        <w:t xml:space="preserve"> Londýn</w:t>
      </w:r>
      <w:r w:rsidR="00861001">
        <w:rPr>
          <w:rFonts w:ascii="Calibri" w:hAnsi="Calibri" w:cs="Calibri"/>
          <w:lang w:val="cs-CZ"/>
        </w:rPr>
        <w:t>ě</w:t>
      </w:r>
      <w:r w:rsidR="001722F5" w:rsidRPr="001722F5">
        <w:rPr>
          <w:rFonts w:ascii="Calibri" w:hAnsi="Calibri" w:cs="Calibri"/>
          <w:lang w:val="cs-CZ"/>
        </w:rPr>
        <w:t>, v roce 2014 výdaje na školné vykázané u Stálé mise</w:t>
      </w:r>
      <w:r w:rsidR="00861001">
        <w:rPr>
          <w:rFonts w:ascii="Calibri" w:hAnsi="Calibri" w:cs="Calibri"/>
          <w:lang w:val="cs-CZ"/>
        </w:rPr>
        <w:t xml:space="preserve"> ČR ve</w:t>
      </w:r>
      <w:r w:rsidR="001722F5" w:rsidRPr="001722F5">
        <w:rPr>
          <w:rFonts w:ascii="Calibri" w:hAnsi="Calibri" w:cs="Calibri"/>
          <w:lang w:val="cs-CZ"/>
        </w:rPr>
        <w:t xml:space="preserve"> Víd</w:t>
      </w:r>
      <w:r w:rsidR="00861001">
        <w:rPr>
          <w:rFonts w:ascii="Calibri" w:hAnsi="Calibri" w:cs="Calibri"/>
          <w:lang w:val="cs-CZ"/>
        </w:rPr>
        <w:t>ni</w:t>
      </w:r>
      <w:r w:rsidR="001722F5" w:rsidRPr="001722F5">
        <w:rPr>
          <w:rFonts w:ascii="Calibri" w:hAnsi="Calibri" w:cs="Calibri"/>
          <w:lang w:val="cs-CZ"/>
        </w:rPr>
        <w:t xml:space="preserve"> činily 31,2 % všech výdajů tohoto úřadu, výdaje na školné v Moskvě v roce 2014 dosáhly 28 % celkových výdajů ZÚ</w:t>
      </w:r>
      <w:r w:rsidR="00861001">
        <w:rPr>
          <w:rFonts w:ascii="Calibri" w:hAnsi="Calibri" w:cs="Calibri"/>
          <w:lang w:val="cs-CZ"/>
        </w:rPr>
        <w:t xml:space="preserve"> v</w:t>
      </w:r>
      <w:r w:rsidR="001722F5" w:rsidRPr="001722F5">
        <w:rPr>
          <w:rFonts w:ascii="Calibri" w:hAnsi="Calibri" w:cs="Calibri"/>
          <w:lang w:val="cs-CZ"/>
        </w:rPr>
        <w:t xml:space="preserve"> Moskv</w:t>
      </w:r>
      <w:r w:rsidR="00861001">
        <w:rPr>
          <w:rFonts w:ascii="Calibri" w:hAnsi="Calibri" w:cs="Calibri"/>
          <w:lang w:val="cs-CZ"/>
        </w:rPr>
        <w:t>ě</w:t>
      </w:r>
      <w:r w:rsidR="001722F5" w:rsidRPr="001722F5">
        <w:rPr>
          <w:rFonts w:ascii="Calibri" w:hAnsi="Calibri" w:cs="Calibri"/>
          <w:lang w:val="cs-CZ"/>
        </w:rPr>
        <w:t xml:space="preserve">. Naopak nejnižší výdaje na školné </w:t>
      </w:r>
      <w:r w:rsidR="00861001">
        <w:rPr>
          <w:rFonts w:ascii="Calibri" w:hAnsi="Calibri" w:cs="Calibri"/>
          <w:lang w:val="cs-CZ"/>
        </w:rPr>
        <w:t>byly</w:t>
      </w:r>
      <w:r w:rsidR="001722F5" w:rsidRPr="001722F5">
        <w:rPr>
          <w:rFonts w:ascii="Calibri" w:hAnsi="Calibri" w:cs="Calibri"/>
          <w:lang w:val="cs-CZ"/>
        </w:rPr>
        <w:t xml:space="preserve"> za roky 2012</w:t>
      </w:r>
      <w:r w:rsidR="007C29E9">
        <w:rPr>
          <w:rFonts w:ascii="Calibri" w:hAnsi="Calibri" w:cs="Calibri"/>
          <w:lang w:val="cs-CZ"/>
        </w:rPr>
        <w:t>–</w:t>
      </w:r>
      <w:r w:rsidR="001722F5" w:rsidRPr="001722F5">
        <w:rPr>
          <w:rFonts w:ascii="Calibri" w:hAnsi="Calibri" w:cs="Calibri"/>
          <w:lang w:val="cs-CZ"/>
        </w:rPr>
        <w:t xml:space="preserve">2014 </w:t>
      </w:r>
      <w:r w:rsidR="00861001">
        <w:rPr>
          <w:rFonts w:ascii="Calibri" w:hAnsi="Calibri" w:cs="Calibri"/>
          <w:lang w:val="cs-CZ"/>
        </w:rPr>
        <w:t xml:space="preserve">zjištěny </w:t>
      </w:r>
      <w:r w:rsidR="001722F5" w:rsidRPr="001722F5">
        <w:rPr>
          <w:rFonts w:ascii="Calibri" w:hAnsi="Calibri" w:cs="Calibri"/>
          <w:lang w:val="cs-CZ"/>
        </w:rPr>
        <w:t xml:space="preserve">u ZÚ </w:t>
      </w:r>
      <w:r w:rsidR="00861001">
        <w:rPr>
          <w:rFonts w:ascii="Calibri" w:hAnsi="Calibri" w:cs="Calibri"/>
          <w:lang w:val="cs-CZ"/>
        </w:rPr>
        <w:t xml:space="preserve">ve </w:t>
      </w:r>
      <w:r w:rsidR="001722F5" w:rsidRPr="001722F5">
        <w:rPr>
          <w:rFonts w:ascii="Calibri" w:hAnsi="Calibri" w:cs="Calibri"/>
          <w:lang w:val="cs-CZ"/>
        </w:rPr>
        <w:t>Víd</w:t>
      </w:r>
      <w:r w:rsidR="00861001">
        <w:rPr>
          <w:rFonts w:ascii="Calibri" w:hAnsi="Calibri" w:cs="Calibri"/>
          <w:lang w:val="cs-CZ"/>
        </w:rPr>
        <w:t>ni</w:t>
      </w:r>
      <w:r w:rsidR="001722F5" w:rsidRPr="001722F5">
        <w:rPr>
          <w:rFonts w:ascii="Calibri" w:hAnsi="Calibri" w:cs="Calibri"/>
          <w:lang w:val="cs-CZ"/>
        </w:rPr>
        <w:t xml:space="preserve"> (0,3</w:t>
      </w:r>
      <w:r w:rsidR="00124BEB">
        <w:rPr>
          <w:rFonts w:ascii="Calibri" w:hAnsi="Calibri" w:cs="Calibri"/>
          <w:lang w:val="cs-CZ"/>
        </w:rPr>
        <w:t> </w:t>
      </w:r>
      <w:r w:rsidR="001722F5" w:rsidRPr="001722F5">
        <w:rPr>
          <w:rFonts w:ascii="Calibri" w:hAnsi="Calibri" w:cs="Calibri"/>
          <w:lang w:val="cs-CZ"/>
        </w:rPr>
        <w:t xml:space="preserve">% </w:t>
      </w:r>
      <w:r w:rsidR="00861001">
        <w:rPr>
          <w:rFonts w:ascii="Calibri" w:hAnsi="Calibri" w:cs="Calibri"/>
          <w:lang w:val="cs-CZ"/>
        </w:rPr>
        <w:t>až</w:t>
      </w:r>
      <w:r w:rsidR="001722F5" w:rsidRPr="001722F5">
        <w:rPr>
          <w:rFonts w:ascii="Calibri" w:hAnsi="Calibri" w:cs="Calibri"/>
          <w:lang w:val="cs-CZ"/>
        </w:rPr>
        <w:t xml:space="preserve"> 0,6</w:t>
      </w:r>
      <w:r w:rsidR="00124BEB">
        <w:rPr>
          <w:rFonts w:ascii="Calibri" w:hAnsi="Calibri" w:cs="Calibri"/>
          <w:lang w:val="cs-CZ"/>
        </w:rPr>
        <w:t> </w:t>
      </w:r>
      <w:r w:rsidR="001722F5" w:rsidRPr="001722F5">
        <w:rPr>
          <w:rFonts w:ascii="Calibri" w:hAnsi="Calibri" w:cs="Calibri"/>
          <w:lang w:val="cs-CZ"/>
        </w:rPr>
        <w:t>% z celkových výdajů)</w:t>
      </w:r>
      <w:r w:rsidR="001722F5">
        <w:rPr>
          <w:rFonts w:ascii="Calibri" w:hAnsi="Calibri" w:cs="Calibri"/>
          <w:lang w:val="cs-CZ"/>
        </w:rPr>
        <w:t>,</w:t>
      </w:r>
      <w:r w:rsidR="001722F5" w:rsidRPr="001722F5">
        <w:rPr>
          <w:rFonts w:ascii="Calibri" w:hAnsi="Calibri" w:cs="Calibri"/>
          <w:lang w:val="cs-CZ"/>
        </w:rPr>
        <w:t xml:space="preserve"> dále u ZÚ </w:t>
      </w:r>
      <w:r w:rsidR="00861001">
        <w:rPr>
          <w:rFonts w:ascii="Calibri" w:hAnsi="Calibri" w:cs="Calibri"/>
          <w:lang w:val="cs-CZ"/>
        </w:rPr>
        <w:t xml:space="preserve">v </w:t>
      </w:r>
      <w:r w:rsidR="001722F5" w:rsidRPr="001722F5">
        <w:rPr>
          <w:rFonts w:ascii="Calibri" w:hAnsi="Calibri" w:cs="Calibri"/>
          <w:lang w:val="cs-CZ"/>
        </w:rPr>
        <w:t>Berlín</w:t>
      </w:r>
      <w:r w:rsidR="00861001">
        <w:rPr>
          <w:rFonts w:ascii="Calibri" w:hAnsi="Calibri" w:cs="Calibri"/>
          <w:lang w:val="cs-CZ"/>
        </w:rPr>
        <w:t>ě</w:t>
      </w:r>
      <w:r w:rsidR="001722F5" w:rsidRPr="001722F5">
        <w:rPr>
          <w:rFonts w:ascii="Calibri" w:hAnsi="Calibri" w:cs="Calibri"/>
          <w:lang w:val="cs-CZ"/>
        </w:rPr>
        <w:t xml:space="preserve"> (1,2</w:t>
      </w:r>
      <w:r w:rsidR="007C29E9">
        <w:rPr>
          <w:rFonts w:ascii="Calibri" w:hAnsi="Calibri" w:cs="Calibri"/>
          <w:lang w:val="cs-CZ"/>
        </w:rPr>
        <w:t>–</w:t>
      </w:r>
      <w:r w:rsidR="001722F5" w:rsidRPr="001722F5">
        <w:rPr>
          <w:rFonts w:ascii="Calibri" w:hAnsi="Calibri" w:cs="Calibri"/>
          <w:lang w:val="cs-CZ"/>
        </w:rPr>
        <w:t xml:space="preserve">1,4 % z celkových výdajů) a v případě generálního </w:t>
      </w:r>
      <w:r w:rsidR="001722F5" w:rsidRPr="001722F5">
        <w:rPr>
          <w:rFonts w:ascii="Calibri" w:hAnsi="Calibri" w:cs="Calibri"/>
          <w:lang w:val="cs-CZ"/>
        </w:rPr>
        <w:lastRenderedPageBreak/>
        <w:t xml:space="preserve">konzulátu </w:t>
      </w:r>
      <w:r w:rsidR="00861001">
        <w:rPr>
          <w:rFonts w:ascii="Calibri" w:hAnsi="Calibri" w:cs="Calibri"/>
          <w:lang w:val="cs-CZ"/>
        </w:rPr>
        <w:t>v </w:t>
      </w:r>
      <w:r w:rsidR="001722F5" w:rsidRPr="001722F5">
        <w:rPr>
          <w:rFonts w:ascii="Calibri" w:hAnsi="Calibri" w:cs="Calibri"/>
          <w:lang w:val="cs-CZ"/>
        </w:rPr>
        <w:t>Hongkong</w:t>
      </w:r>
      <w:r w:rsidR="00861001">
        <w:rPr>
          <w:rFonts w:ascii="Calibri" w:hAnsi="Calibri" w:cs="Calibri"/>
          <w:lang w:val="cs-CZ"/>
        </w:rPr>
        <w:t>u</w:t>
      </w:r>
      <w:r w:rsidR="001722F5" w:rsidRPr="001722F5">
        <w:rPr>
          <w:rFonts w:ascii="Calibri" w:hAnsi="Calibri" w:cs="Calibri"/>
          <w:lang w:val="cs-CZ"/>
        </w:rPr>
        <w:t xml:space="preserve"> (1,1–2,4 % z celkových výdajů). Tabulka se zdrojovými daty je přílohou č. </w:t>
      </w:r>
      <w:r w:rsidR="006B53C9">
        <w:rPr>
          <w:rFonts w:ascii="Calibri" w:hAnsi="Calibri" w:cs="Calibri"/>
          <w:lang w:val="cs-CZ"/>
        </w:rPr>
        <w:t>1</w:t>
      </w:r>
      <w:r w:rsidR="001722F5">
        <w:rPr>
          <w:rFonts w:ascii="Calibri" w:hAnsi="Calibri" w:cs="Calibri"/>
          <w:lang w:val="cs-CZ"/>
        </w:rPr>
        <w:t xml:space="preserve"> </w:t>
      </w:r>
      <w:r w:rsidR="00861001">
        <w:rPr>
          <w:rFonts w:ascii="Calibri" w:hAnsi="Calibri" w:cs="Calibri"/>
          <w:lang w:val="cs-CZ"/>
        </w:rPr>
        <w:t xml:space="preserve">tohoto </w:t>
      </w:r>
      <w:r w:rsidR="001722F5" w:rsidRPr="001722F5">
        <w:rPr>
          <w:rFonts w:ascii="Calibri" w:hAnsi="Calibri" w:cs="Calibri"/>
          <w:lang w:val="cs-CZ"/>
        </w:rPr>
        <w:t>kontrolního závěru.</w:t>
      </w:r>
    </w:p>
    <w:p w14:paraId="675F6467" w14:textId="2F062AAC" w:rsidR="00B812AF" w:rsidRDefault="00143E55" w:rsidP="00F6579D">
      <w:pPr>
        <w:spacing w:line="259" w:lineRule="auto"/>
        <w:jc w:val="both"/>
        <w:rPr>
          <w:rFonts w:asciiTheme="minorHAnsi" w:hAnsiTheme="minorHAnsi" w:cstheme="minorHAnsi"/>
          <w:lang w:val="cs-CZ"/>
        </w:rPr>
      </w:pPr>
      <w:r>
        <w:rPr>
          <w:rFonts w:ascii="Calibri" w:hAnsi="Calibri" w:cs="Calibri"/>
          <w:lang w:val="cs-CZ"/>
        </w:rPr>
        <w:t>Zjištěné r</w:t>
      </w:r>
      <w:r w:rsidRPr="007958DC">
        <w:rPr>
          <w:rFonts w:ascii="Calibri" w:hAnsi="Calibri" w:cs="Calibri"/>
          <w:lang w:val="cs-CZ"/>
        </w:rPr>
        <w:t xml:space="preserve">oční výdaje </w:t>
      </w:r>
      <w:r w:rsidR="00861001">
        <w:rPr>
          <w:rFonts w:ascii="Calibri" w:hAnsi="Calibri" w:cs="Calibri"/>
          <w:lang w:val="cs-CZ"/>
        </w:rPr>
        <w:t xml:space="preserve">na </w:t>
      </w:r>
      <w:r w:rsidRPr="007958DC">
        <w:rPr>
          <w:rFonts w:ascii="Calibri" w:hAnsi="Calibri" w:cs="Calibri"/>
          <w:lang w:val="cs-CZ"/>
        </w:rPr>
        <w:t xml:space="preserve">školné na 1 dítě </w:t>
      </w:r>
      <w:r>
        <w:rPr>
          <w:rFonts w:ascii="Calibri" w:hAnsi="Calibri" w:cs="Calibri"/>
          <w:lang w:val="cs-CZ"/>
        </w:rPr>
        <w:t>vykazují velké rozdíly.</w:t>
      </w:r>
      <w:r w:rsidR="00455692">
        <w:rPr>
          <w:rFonts w:ascii="Calibri" w:hAnsi="Calibri" w:cs="Calibri"/>
          <w:lang w:val="cs-CZ"/>
        </w:rPr>
        <w:t xml:space="preserve"> </w:t>
      </w:r>
      <w:r w:rsidR="00BB41E3" w:rsidRPr="00BB41E3">
        <w:rPr>
          <w:rFonts w:ascii="Calibri" w:hAnsi="Calibri" w:cs="Calibri"/>
          <w:lang w:val="cs-CZ"/>
        </w:rPr>
        <w:t xml:space="preserve">Rozdíl mezi nejvyšší a nejnižší průměrnou výší ročního školného na 1 dítě </w:t>
      </w:r>
      <w:r w:rsidR="0034411F">
        <w:rPr>
          <w:rFonts w:ascii="Calibri" w:hAnsi="Calibri" w:cs="Calibri"/>
          <w:lang w:val="cs-CZ"/>
        </w:rPr>
        <w:t xml:space="preserve">činil </w:t>
      </w:r>
      <w:r w:rsidR="00BB41E3" w:rsidRPr="00BB41E3">
        <w:rPr>
          <w:rFonts w:ascii="Calibri" w:hAnsi="Calibri" w:cs="Calibri"/>
          <w:lang w:val="cs-CZ"/>
        </w:rPr>
        <w:t>více než 400</w:t>
      </w:r>
      <w:r w:rsidR="007C29E9">
        <w:rPr>
          <w:rFonts w:ascii="Calibri" w:hAnsi="Calibri" w:cs="Calibri"/>
          <w:lang w:val="cs-CZ"/>
        </w:rPr>
        <w:t> </w:t>
      </w:r>
      <w:r w:rsidR="00BB41E3" w:rsidRPr="00BB41E3">
        <w:rPr>
          <w:rFonts w:ascii="Calibri" w:hAnsi="Calibri" w:cs="Calibri"/>
          <w:lang w:val="cs-CZ"/>
        </w:rPr>
        <w:t>tis.</w:t>
      </w:r>
      <w:r w:rsidR="007C29E9">
        <w:rPr>
          <w:rFonts w:ascii="Calibri" w:hAnsi="Calibri" w:cs="Calibri"/>
          <w:lang w:val="cs-CZ"/>
        </w:rPr>
        <w:t> </w:t>
      </w:r>
      <w:r w:rsidR="00BB41E3" w:rsidRPr="00BB41E3">
        <w:rPr>
          <w:rFonts w:ascii="Calibri" w:hAnsi="Calibri" w:cs="Calibri"/>
          <w:lang w:val="cs-CZ"/>
        </w:rPr>
        <w:t xml:space="preserve">Kč ve 40 % </w:t>
      </w:r>
      <w:r w:rsidR="00563831">
        <w:rPr>
          <w:rFonts w:ascii="Calibri" w:hAnsi="Calibri" w:cs="Calibri"/>
          <w:lang w:val="cs-CZ"/>
        </w:rPr>
        <w:t xml:space="preserve">kontrolovaných </w:t>
      </w:r>
      <w:r w:rsidR="00BB41E3" w:rsidRPr="00BB41E3">
        <w:rPr>
          <w:rFonts w:ascii="Calibri" w:hAnsi="Calibri" w:cs="Calibri"/>
          <w:lang w:val="cs-CZ"/>
        </w:rPr>
        <w:t>případů, resp. více než 300 tis. Kč ve více než 54 % případů.</w:t>
      </w:r>
      <w:r w:rsidR="00BB41E3">
        <w:rPr>
          <w:rFonts w:ascii="Calibri" w:hAnsi="Calibri" w:cs="Calibri"/>
          <w:lang w:val="cs-CZ"/>
        </w:rPr>
        <w:t xml:space="preserve"> V téměř 23 % kontrolovaných případů činil rozdíl více než půl milionu Kč a ve dvou případech dosáhl téměř jednoho milionu </w:t>
      </w:r>
      <w:r w:rsidR="002F1585">
        <w:rPr>
          <w:rFonts w:ascii="Calibri" w:hAnsi="Calibri" w:cs="Calibri"/>
          <w:lang w:val="cs-CZ"/>
        </w:rPr>
        <w:t>korun</w:t>
      </w:r>
      <w:r w:rsidR="00BB41E3">
        <w:rPr>
          <w:rFonts w:ascii="Calibri" w:hAnsi="Calibri" w:cs="Calibri"/>
          <w:lang w:val="cs-CZ"/>
        </w:rPr>
        <w:t xml:space="preserve">. </w:t>
      </w:r>
      <w:r w:rsidR="00B812AF" w:rsidRPr="00635844">
        <w:rPr>
          <w:rFonts w:asciiTheme="minorHAnsi" w:hAnsiTheme="minorHAnsi" w:cstheme="minorHAnsi"/>
          <w:lang w:val="cs-CZ"/>
        </w:rPr>
        <w:t>Tabulka se</w:t>
      </w:r>
      <w:r w:rsidR="00124BEB">
        <w:rPr>
          <w:rFonts w:asciiTheme="minorHAnsi" w:hAnsiTheme="minorHAnsi" w:cstheme="minorHAnsi"/>
          <w:lang w:val="cs-CZ"/>
        </w:rPr>
        <w:t xml:space="preserve"> </w:t>
      </w:r>
      <w:r w:rsidR="00B812AF" w:rsidRPr="00635844">
        <w:rPr>
          <w:rFonts w:asciiTheme="minorHAnsi" w:hAnsiTheme="minorHAnsi" w:cstheme="minorHAnsi"/>
          <w:lang w:val="cs-CZ"/>
        </w:rPr>
        <w:t xml:space="preserve">zdrojovými daty je přílohou </w:t>
      </w:r>
      <w:r w:rsidR="00563831" w:rsidRPr="00635844">
        <w:rPr>
          <w:rFonts w:asciiTheme="minorHAnsi" w:hAnsiTheme="minorHAnsi" w:cstheme="minorHAnsi"/>
          <w:lang w:val="cs-CZ"/>
        </w:rPr>
        <w:t xml:space="preserve">č. </w:t>
      </w:r>
      <w:r w:rsidR="006B53C9">
        <w:rPr>
          <w:rFonts w:asciiTheme="minorHAnsi" w:hAnsiTheme="minorHAnsi" w:cstheme="minorHAnsi"/>
          <w:lang w:val="cs-CZ"/>
        </w:rPr>
        <w:t>2</w:t>
      </w:r>
      <w:r w:rsidR="00563831" w:rsidRPr="00635844">
        <w:rPr>
          <w:rFonts w:asciiTheme="minorHAnsi" w:hAnsiTheme="minorHAnsi" w:cstheme="minorHAnsi"/>
          <w:lang w:val="cs-CZ"/>
        </w:rPr>
        <w:t xml:space="preserve"> </w:t>
      </w:r>
      <w:r w:rsidR="00861001">
        <w:rPr>
          <w:rFonts w:asciiTheme="minorHAnsi" w:hAnsiTheme="minorHAnsi" w:cstheme="minorHAnsi"/>
          <w:lang w:val="cs-CZ"/>
        </w:rPr>
        <w:t xml:space="preserve">tohoto </w:t>
      </w:r>
      <w:r w:rsidR="00B812AF" w:rsidRPr="00635844">
        <w:rPr>
          <w:rFonts w:asciiTheme="minorHAnsi" w:hAnsiTheme="minorHAnsi" w:cstheme="minorHAnsi"/>
          <w:lang w:val="cs-CZ"/>
        </w:rPr>
        <w:t>kontrolního závěru.</w:t>
      </w:r>
    </w:p>
    <w:p w14:paraId="6EC35744" w14:textId="77777777" w:rsidR="00DD53CF" w:rsidRDefault="00DD53CF" w:rsidP="00F6579D">
      <w:pPr>
        <w:spacing w:line="259" w:lineRule="auto"/>
        <w:jc w:val="both"/>
        <w:rPr>
          <w:rFonts w:asciiTheme="minorHAnsi" w:hAnsiTheme="minorHAnsi" w:cstheme="minorHAnsi"/>
          <w:lang w:val="cs-CZ"/>
        </w:rPr>
      </w:pPr>
    </w:p>
    <w:p w14:paraId="0E737653" w14:textId="59F10635" w:rsidR="00A77037" w:rsidRPr="008D58D9" w:rsidRDefault="00A77037" w:rsidP="007C29E9">
      <w:pPr>
        <w:spacing w:line="259" w:lineRule="auto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8D58D9">
        <w:rPr>
          <w:rFonts w:asciiTheme="minorHAnsi" w:hAnsiTheme="minorHAnsi" w:cstheme="minorHAnsi"/>
          <w:b/>
          <w:lang w:val="cs-CZ"/>
        </w:rPr>
        <w:t xml:space="preserve">Tabulka č. </w:t>
      </w:r>
      <w:r w:rsidR="0082668F">
        <w:rPr>
          <w:rFonts w:asciiTheme="minorHAnsi" w:hAnsiTheme="minorHAnsi" w:cstheme="minorHAnsi"/>
          <w:b/>
          <w:lang w:val="cs-CZ"/>
        </w:rPr>
        <w:t>4</w:t>
      </w:r>
      <w:r w:rsidR="007C29E9">
        <w:rPr>
          <w:rFonts w:asciiTheme="minorHAnsi" w:hAnsiTheme="minorHAnsi" w:cstheme="minorHAnsi"/>
          <w:b/>
          <w:lang w:val="cs-CZ"/>
        </w:rPr>
        <w:t xml:space="preserve"> –</w:t>
      </w:r>
      <w:r w:rsidRPr="008D58D9">
        <w:rPr>
          <w:rFonts w:asciiTheme="minorHAnsi" w:hAnsiTheme="minorHAnsi" w:cstheme="minorHAnsi"/>
          <w:b/>
          <w:lang w:val="cs-CZ"/>
        </w:rPr>
        <w:t xml:space="preserve"> Nejnižší a nejvyšší průměrné roční výdaje na školné na 1 dítě</w:t>
      </w:r>
      <w:r w:rsidR="001437EB">
        <w:rPr>
          <w:rFonts w:asciiTheme="minorHAnsi" w:hAnsiTheme="minorHAnsi" w:cstheme="minorHAnsi"/>
          <w:b/>
          <w:lang w:val="cs-CZ"/>
        </w:rPr>
        <w:t xml:space="preserve"> (ze vzorku)</w:t>
      </w:r>
    </w:p>
    <w:tbl>
      <w:tblPr>
        <w:tblW w:w="4994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271"/>
        <w:gridCol w:w="2367"/>
        <w:gridCol w:w="681"/>
        <w:gridCol w:w="1470"/>
        <w:gridCol w:w="2571"/>
      </w:tblGrid>
      <w:tr w:rsidR="00563831" w:rsidRPr="00BF49C2" w14:paraId="516C901C" w14:textId="77777777" w:rsidTr="00F6579D">
        <w:trPr>
          <w:trHeight w:val="227"/>
        </w:trPr>
        <w:tc>
          <w:tcPr>
            <w:tcW w:w="37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C9E9F9C" w14:textId="77777777" w:rsidR="00563831" w:rsidRPr="00BF49C2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Pořadí</w:t>
            </w:r>
          </w:p>
        </w:tc>
        <w:tc>
          <w:tcPr>
            <w:tcW w:w="71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5E0574" w14:textId="77777777" w:rsidR="00563831" w:rsidRPr="00BF49C2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ZÚ</w:t>
            </w:r>
          </w:p>
        </w:tc>
        <w:tc>
          <w:tcPr>
            <w:tcW w:w="131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E040E8D" w14:textId="77777777" w:rsidR="0052336E" w:rsidRDefault="00621349" w:rsidP="00861001">
            <w:pPr>
              <w:spacing w:line="214" w:lineRule="auto"/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Nejnižší </w:t>
            </w:r>
            <w:r w:rsidR="006B416A" w:rsidRPr="00472271">
              <w:rPr>
                <w:rFonts w:ascii="Arial" w:hAnsi="Arial" w:cs="Arial"/>
                <w:b/>
                <w:sz w:val="20"/>
                <w:szCs w:val="20"/>
                <w:lang w:val="cs-CZ"/>
              </w:rPr>
              <w:t>ø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 roční </w:t>
            </w:r>
            <w:r w:rsidR="00563831"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výdaje </w:t>
            </w:r>
          </w:p>
          <w:p w14:paraId="0CAF2825" w14:textId="77777777" w:rsidR="00621349" w:rsidRDefault="00563831" w:rsidP="00861001">
            <w:pPr>
              <w:spacing w:line="214" w:lineRule="auto"/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na školné/1 dítě v Kč </w:t>
            </w:r>
          </w:p>
          <w:p w14:paraId="36A3BCA7" w14:textId="77777777" w:rsidR="00563831" w:rsidRPr="00BF49C2" w:rsidRDefault="00563831" w:rsidP="00861001">
            <w:pPr>
              <w:spacing w:line="214" w:lineRule="auto"/>
              <w:ind w:lef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ze vzorku ZÚ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8928C3" w14:textId="77777777" w:rsidR="00563831" w:rsidRPr="00BF49C2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Pořadí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ED8F5E" w14:textId="77777777" w:rsidR="00563831" w:rsidRPr="00BF49C2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ZÚ</w:t>
            </w:r>
          </w:p>
        </w:tc>
        <w:tc>
          <w:tcPr>
            <w:tcW w:w="14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EA1CA6A" w14:textId="77777777" w:rsidR="00563831" w:rsidRPr="006B416A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6B41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Nejvyšší </w:t>
            </w:r>
            <w:r w:rsidR="006B416A" w:rsidRPr="00472271">
              <w:rPr>
                <w:rFonts w:ascii="Arial" w:hAnsi="Arial" w:cs="Arial"/>
                <w:b/>
                <w:sz w:val="20"/>
                <w:szCs w:val="20"/>
                <w:lang w:val="cs-CZ"/>
              </w:rPr>
              <w:t>ø</w:t>
            </w:r>
            <w:r w:rsidRPr="006B41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 roční výdaje </w:t>
            </w:r>
          </w:p>
          <w:p w14:paraId="6FDF0000" w14:textId="77777777" w:rsidR="00563831" w:rsidRPr="006B416A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6B41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 xml:space="preserve">na školné/1 dítě v Kč </w:t>
            </w:r>
          </w:p>
          <w:p w14:paraId="590FE261" w14:textId="77777777" w:rsidR="00563831" w:rsidRPr="00BF49C2" w:rsidRDefault="00563831" w:rsidP="006B416A">
            <w:pPr>
              <w:spacing w:line="214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6B416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ze vzorku ZÚ</w:t>
            </w:r>
          </w:p>
        </w:tc>
      </w:tr>
      <w:tr w:rsidR="007958DC" w:rsidRPr="00BF49C2" w14:paraId="7C2395CD" w14:textId="77777777" w:rsidTr="00F6579D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CE15917" w14:textId="77777777" w:rsidR="007958DC" w:rsidRPr="00BF49C2" w:rsidRDefault="007958DC" w:rsidP="009051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2012</w:t>
            </w:r>
          </w:p>
        </w:tc>
      </w:tr>
      <w:tr w:rsidR="00563831" w:rsidRPr="00BF49C2" w14:paraId="28B98561" w14:textId="77777777" w:rsidTr="00F6579D">
        <w:trPr>
          <w:trHeight w:val="22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C36E07D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F27E6" w14:textId="1A9FD73D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ve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Víd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ni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7BA9292" w14:textId="77777777" w:rsidR="00563831" w:rsidRPr="00BF49C2" w:rsidRDefault="00563831" w:rsidP="00F6579D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19 532</w:t>
            </w:r>
          </w:p>
        </w:tc>
        <w:tc>
          <w:tcPr>
            <w:tcW w:w="377" w:type="pct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95DA16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38D0" w14:textId="64FB64C0" w:rsidR="00563831" w:rsidRPr="00BF49C2" w:rsidRDefault="00563831" w:rsidP="00FA425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GK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Šangha</w:t>
            </w:r>
            <w:r w:rsidR="00FA425A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j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i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noWrap/>
            <w:vAlign w:val="center"/>
            <w:hideMark/>
          </w:tcPr>
          <w:p w14:paraId="517C4D97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600 392</w:t>
            </w:r>
          </w:p>
        </w:tc>
      </w:tr>
      <w:tr w:rsidR="00563831" w:rsidRPr="00BF49C2" w14:paraId="7FEEDA3A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03EA6D0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6BD4" w14:textId="0110EEF8" w:rsidR="00563831" w:rsidRPr="00BF49C2" w:rsidRDefault="00563831" w:rsidP="008610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proofErr w:type="spellStart"/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Astan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ě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noWrap/>
            <w:vAlign w:val="center"/>
            <w:hideMark/>
          </w:tcPr>
          <w:p w14:paraId="423F7E01" w14:textId="77777777" w:rsidR="00563831" w:rsidRPr="00BF49C2" w:rsidRDefault="00563831" w:rsidP="00F6579D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102 247</w:t>
            </w:r>
          </w:p>
        </w:tc>
        <w:tc>
          <w:tcPr>
            <w:tcW w:w="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8D1CBF9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E09B" w14:textId="2A363E4C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SM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New York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u</w:t>
            </w:r>
          </w:p>
        </w:tc>
        <w:tc>
          <w:tcPr>
            <w:tcW w:w="1432" w:type="pc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noWrap/>
            <w:vAlign w:val="center"/>
            <w:hideMark/>
          </w:tcPr>
          <w:p w14:paraId="41D76949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576 649</w:t>
            </w:r>
          </w:p>
        </w:tc>
      </w:tr>
      <w:tr w:rsidR="00563831" w:rsidRPr="00BF49C2" w14:paraId="3D692187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0936D291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8C2F2" w14:textId="15E9F7B5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ZÚ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v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Sydney</w:t>
            </w:r>
          </w:p>
        </w:tc>
        <w:tc>
          <w:tcPr>
            <w:tcW w:w="1314" w:type="pct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9B6F37" w14:textId="77777777" w:rsidR="00563831" w:rsidRPr="00BF49C2" w:rsidRDefault="00563831" w:rsidP="00F6579D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122 264</w:t>
            </w:r>
          </w:p>
        </w:tc>
        <w:tc>
          <w:tcPr>
            <w:tcW w:w="377" w:type="pct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21067EC1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969A3" w14:textId="7D20726A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Londýn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ě</w:t>
            </w:r>
          </w:p>
        </w:tc>
        <w:tc>
          <w:tcPr>
            <w:tcW w:w="1432" w:type="pct"/>
            <w:tcBorders>
              <w:top w:val="single" w:sz="6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2965C8B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572 696</w:t>
            </w:r>
          </w:p>
        </w:tc>
      </w:tr>
      <w:tr w:rsidR="007958DC" w:rsidRPr="00BF49C2" w14:paraId="545D6DE6" w14:textId="77777777" w:rsidTr="00F6579D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05381A81" w14:textId="77777777" w:rsidR="007958DC" w:rsidRPr="00BF49C2" w:rsidRDefault="007958DC" w:rsidP="009051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2013</w:t>
            </w:r>
          </w:p>
        </w:tc>
      </w:tr>
      <w:tr w:rsidR="00563831" w:rsidRPr="00BF49C2" w14:paraId="0CB1EE50" w14:textId="77777777" w:rsidTr="00F6579D">
        <w:trPr>
          <w:trHeight w:val="22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4E02BF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C2C56" w14:textId="01AC4F3A" w:rsidR="00563831" w:rsidRPr="00BF49C2" w:rsidRDefault="00563831" w:rsidP="008610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ve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Víd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ni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noWrap/>
            <w:vAlign w:val="center"/>
            <w:hideMark/>
          </w:tcPr>
          <w:p w14:paraId="49CD95A4" w14:textId="77777777" w:rsidR="00563831" w:rsidRPr="00BF49C2" w:rsidRDefault="00563831" w:rsidP="00F6579D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31 069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EF28978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B914" w14:textId="7C7FCEC3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Londýn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ě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noWrap/>
            <w:vAlign w:val="center"/>
            <w:hideMark/>
          </w:tcPr>
          <w:p w14:paraId="70191119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953 037</w:t>
            </w:r>
          </w:p>
        </w:tc>
      </w:tr>
      <w:tr w:rsidR="00563831" w:rsidRPr="00BF49C2" w14:paraId="2F7B39F4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1101ADA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2E1FC" w14:textId="6E855E06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SM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Paříž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i</w:t>
            </w:r>
          </w:p>
        </w:tc>
        <w:tc>
          <w:tcPr>
            <w:tcW w:w="1314" w:type="pc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auto"/>
            </w:tcBorders>
            <w:noWrap/>
            <w:vAlign w:val="center"/>
            <w:hideMark/>
          </w:tcPr>
          <w:p w14:paraId="78042A47" w14:textId="77777777" w:rsidR="00563831" w:rsidRPr="00BF49C2" w:rsidRDefault="00563831" w:rsidP="00F6579D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107 053</w:t>
            </w:r>
          </w:p>
        </w:tc>
        <w:tc>
          <w:tcPr>
            <w:tcW w:w="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D6ECAA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24E1" w14:textId="087E2B06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GK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New York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u</w:t>
            </w:r>
          </w:p>
        </w:tc>
        <w:tc>
          <w:tcPr>
            <w:tcW w:w="1432" w:type="pc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noWrap/>
            <w:vAlign w:val="center"/>
            <w:hideMark/>
          </w:tcPr>
          <w:p w14:paraId="768D8D86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862 411</w:t>
            </w:r>
          </w:p>
        </w:tc>
      </w:tr>
      <w:tr w:rsidR="00563831" w:rsidRPr="00BF49C2" w14:paraId="6BE4417F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256B0B40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6647" w14:textId="0D74EF2A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Sydney</w:t>
            </w:r>
          </w:p>
        </w:tc>
        <w:tc>
          <w:tcPr>
            <w:tcW w:w="1314" w:type="pct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AF64F8" w14:textId="77777777" w:rsidR="00563831" w:rsidRPr="00BF49C2" w:rsidRDefault="00563831" w:rsidP="00F6579D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110 697</w:t>
            </w:r>
          </w:p>
        </w:tc>
        <w:tc>
          <w:tcPr>
            <w:tcW w:w="377" w:type="pct"/>
            <w:tcBorders>
              <w:top w:val="single" w:sz="6" w:space="0" w:color="000000"/>
              <w:left w:val="nil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7DC15A41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0597C" w14:textId="5A2DF01B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SM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New York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u</w:t>
            </w:r>
          </w:p>
        </w:tc>
        <w:tc>
          <w:tcPr>
            <w:tcW w:w="1432" w:type="pct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165DD35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621 661</w:t>
            </w:r>
          </w:p>
        </w:tc>
      </w:tr>
      <w:tr w:rsidR="007958DC" w:rsidRPr="00BF49C2" w14:paraId="6F579567" w14:textId="77777777" w:rsidTr="00F6579D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EB1A018" w14:textId="77777777" w:rsidR="007958DC" w:rsidRPr="00BF49C2" w:rsidRDefault="007958DC" w:rsidP="009051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2014</w:t>
            </w:r>
          </w:p>
        </w:tc>
      </w:tr>
      <w:tr w:rsidR="00563831" w:rsidRPr="00BF49C2" w14:paraId="5BC59FB1" w14:textId="77777777" w:rsidTr="00F6579D">
        <w:trPr>
          <w:trHeight w:val="22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E0B84B6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EE9FE" w14:textId="4A682136" w:rsidR="00563831" w:rsidRPr="00BF49C2" w:rsidRDefault="00563831" w:rsidP="008610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ve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Víd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ni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A93B819" w14:textId="77777777" w:rsidR="00563831" w:rsidRPr="00BF49C2" w:rsidRDefault="00563831" w:rsidP="00861001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41 519</w:t>
            </w:r>
          </w:p>
        </w:tc>
        <w:tc>
          <w:tcPr>
            <w:tcW w:w="377" w:type="pct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0A769E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55593" w14:textId="17CF025A" w:rsidR="00563831" w:rsidRPr="00BF49C2" w:rsidRDefault="00563831" w:rsidP="008610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ZÚ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v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Moskv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ě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C60E1DC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780 643</w:t>
            </w:r>
          </w:p>
        </w:tc>
      </w:tr>
      <w:tr w:rsidR="00563831" w:rsidRPr="00BF49C2" w14:paraId="36EAC962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8C435C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F623" w14:textId="524ACE60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ZÚ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v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Paříž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i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EEF9521" w14:textId="77777777" w:rsidR="00563831" w:rsidRPr="00BF49C2" w:rsidRDefault="00563831" w:rsidP="00861001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149 882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838C291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D1BA0" w14:textId="3EA9300C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ZÚ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v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Londýn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ě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469B8FF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695 703</w:t>
            </w:r>
          </w:p>
        </w:tc>
      </w:tr>
      <w:tr w:rsidR="00563831" w:rsidRPr="00BF49C2" w14:paraId="74D5E287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683C77A9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77E09" w14:textId="1ADC0FCB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Sydney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A3B11D5" w14:textId="77777777" w:rsidR="00563831" w:rsidRPr="00BF49C2" w:rsidRDefault="00563831" w:rsidP="00861001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178 055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8" w:space="0" w:color="000000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77280E3D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2FA6" w14:textId="7BA520E9" w:rsidR="00563831" w:rsidRPr="00BF49C2" w:rsidRDefault="00563831" w:rsidP="00FA425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GK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Šangha</w:t>
            </w:r>
            <w:r w:rsidR="00FA425A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j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i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ABC5F3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653 597</w:t>
            </w:r>
          </w:p>
        </w:tc>
      </w:tr>
      <w:tr w:rsidR="007958DC" w:rsidRPr="00BF49C2" w14:paraId="22AE11EF" w14:textId="77777777" w:rsidTr="00F6579D">
        <w:trPr>
          <w:trHeight w:val="22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4C603A6C" w14:textId="77777777" w:rsidR="007958DC" w:rsidRPr="00BF49C2" w:rsidRDefault="007958DC" w:rsidP="009051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 w:eastAsia="cs-CZ"/>
              </w:rPr>
              <w:t>2015</w:t>
            </w:r>
          </w:p>
        </w:tc>
      </w:tr>
      <w:tr w:rsidR="00563831" w:rsidRPr="00BF49C2" w14:paraId="3B9ADA59" w14:textId="77777777" w:rsidTr="00F6579D">
        <w:trPr>
          <w:trHeight w:val="227"/>
        </w:trPr>
        <w:tc>
          <w:tcPr>
            <w:tcW w:w="377" w:type="pct"/>
            <w:tcBorders>
              <w:top w:val="nil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AF2C95B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35F22" w14:textId="0756AD33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Sydney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B05623C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</w:pPr>
            <w:r w:rsidRPr="00112AF7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5 636</w:t>
            </w:r>
          </w:p>
        </w:tc>
        <w:tc>
          <w:tcPr>
            <w:tcW w:w="377" w:type="pct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8966B32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B1703" w14:textId="08EC81B6" w:rsidR="00563831" w:rsidRPr="00BF49C2" w:rsidRDefault="00563831" w:rsidP="00FA425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GK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v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 Šangha</w:t>
            </w:r>
            <w:r w:rsidR="00FA425A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j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i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1CE8A43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b/>
                <w:sz w:val="20"/>
                <w:szCs w:val="20"/>
                <w:lang w:val="cs-CZ" w:eastAsia="cs-CZ"/>
              </w:rPr>
              <w:t>911 606</w:t>
            </w:r>
          </w:p>
        </w:tc>
      </w:tr>
      <w:tr w:rsidR="00563831" w:rsidRPr="00BF49C2" w14:paraId="02BDB92B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B7500A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662F5" w14:textId="7B99E6DF" w:rsidR="00563831" w:rsidRPr="00BF49C2" w:rsidRDefault="00563831" w:rsidP="008610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ve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Víd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ni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noWrap/>
            <w:vAlign w:val="center"/>
            <w:hideMark/>
          </w:tcPr>
          <w:p w14:paraId="538F03E1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149 125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094B564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F9152" w14:textId="5A3AF158" w:rsidR="00563831" w:rsidRPr="00BF49C2" w:rsidRDefault="00563831" w:rsidP="0086100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Moskv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ě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noWrap/>
            <w:vAlign w:val="center"/>
            <w:hideMark/>
          </w:tcPr>
          <w:p w14:paraId="0E76E862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649 407</w:t>
            </w:r>
          </w:p>
        </w:tc>
      </w:tr>
      <w:tr w:rsidR="00563831" w:rsidRPr="00BF49C2" w14:paraId="483C79CD" w14:textId="77777777" w:rsidTr="00F6579D">
        <w:trPr>
          <w:trHeight w:val="227"/>
        </w:trPr>
        <w:tc>
          <w:tcPr>
            <w:tcW w:w="377" w:type="pct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437557A0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AF6707" w14:textId="32E3B74A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ZÚ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Paříž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i</w:t>
            </w:r>
          </w:p>
        </w:tc>
        <w:tc>
          <w:tcPr>
            <w:tcW w:w="1314" w:type="pct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F10301C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156 442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8" w:space="0" w:color="000000"/>
              <w:bottom w:val="single" w:sz="8" w:space="0" w:color="auto"/>
              <w:right w:val="single" w:sz="6" w:space="0" w:color="000000"/>
            </w:tcBorders>
            <w:noWrap/>
            <w:vAlign w:val="center"/>
            <w:hideMark/>
          </w:tcPr>
          <w:p w14:paraId="5B12A7B1" w14:textId="77777777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788" w:type="pct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B82583" w14:textId="54B2D0AE" w:rsidR="00563831" w:rsidRPr="00BF49C2" w:rsidRDefault="00563831" w:rsidP="009051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GK 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 xml:space="preserve">v </w:t>
            </w: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New York</w:t>
            </w:r>
            <w:r w:rsidR="00861001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u</w:t>
            </w:r>
          </w:p>
        </w:tc>
        <w:tc>
          <w:tcPr>
            <w:tcW w:w="1432" w:type="pct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484083A" w14:textId="77777777" w:rsidR="00563831" w:rsidRPr="00BF49C2" w:rsidRDefault="00563831" w:rsidP="00397B29">
            <w:pPr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</w:pPr>
            <w:r w:rsidRPr="00BF49C2">
              <w:rPr>
                <w:rFonts w:asciiTheme="minorHAnsi" w:hAnsiTheme="minorHAnsi" w:cstheme="minorHAnsi"/>
                <w:sz w:val="20"/>
                <w:szCs w:val="20"/>
                <w:lang w:val="cs-CZ" w:eastAsia="cs-CZ"/>
              </w:rPr>
              <w:t>613 599</w:t>
            </w:r>
          </w:p>
        </w:tc>
      </w:tr>
    </w:tbl>
    <w:p w14:paraId="1845D8C2" w14:textId="5DDCEBE8" w:rsidR="007958DC" w:rsidRPr="006B416A" w:rsidRDefault="007958DC" w:rsidP="00065D50">
      <w:pPr>
        <w:spacing w:before="40"/>
        <w:ind w:left="510" w:hanging="510"/>
        <w:rPr>
          <w:rFonts w:asciiTheme="minorHAnsi" w:hAnsiTheme="minorHAnsi" w:cstheme="minorHAnsi"/>
          <w:color w:val="000000"/>
          <w:sz w:val="18"/>
          <w:szCs w:val="18"/>
          <w:lang w:val="cs-CZ" w:eastAsia="cs-CZ"/>
        </w:rPr>
      </w:pPr>
      <w:r w:rsidRPr="00F27D66">
        <w:rPr>
          <w:rFonts w:asciiTheme="minorHAnsi" w:hAnsiTheme="minorHAnsi" w:cstheme="minorHAnsi"/>
          <w:b/>
          <w:sz w:val="18"/>
          <w:szCs w:val="18"/>
          <w:lang w:val="cs-CZ"/>
        </w:rPr>
        <w:t>Zdroj:</w:t>
      </w:r>
      <w:r w:rsidRPr="006B416A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97B29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65D50">
        <w:rPr>
          <w:rFonts w:asciiTheme="minorHAnsi" w:hAnsiTheme="minorHAnsi" w:cstheme="minorHAnsi"/>
          <w:sz w:val="18"/>
          <w:szCs w:val="18"/>
          <w:lang w:val="cs-CZ"/>
        </w:rPr>
        <w:t>ekonomický informační systém JASU MZV.</w:t>
      </w:r>
    </w:p>
    <w:p w14:paraId="4A9954CE" w14:textId="004D2549" w:rsidR="006B416A" w:rsidRPr="00472271" w:rsidRDefault="00861001" w:rsidP="006B416A">
      <w:pPr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sz w:val="18"/>
          <w:szCs w:val="18"/>
          <w:lang w:val="cs-CZ"/>
        </w:rPr>
        <w:t>Pozn.:</w:t>
      </w:r>
      <w:r w:rsidR="006B416A" w:rsidRPr="00472271">
        <w:rPr>
          <w:rFonts w:asciiTheme="minorHAnsi" w:hAnsiTheme="minorHAnsi" w:cstheme="minorHAnsi"/>
          <w:sz w:val="18"/>
          <w:szCs w:val="18"/>
          <w:lang w:val="cs-CZ"/>
        </w:rPr>
        <w:t xml:space="preserve"> ø </w:t>
      </w:r>
      <w:r w:rsidR="00CC2373">
        <w:rPr>
          <w:rFonts w:asciiTheme="minorHAnsi" w:hAnsiTheme="minorHAnsi" w:cstheme="minorHAnsi"/>
          <w:sz w:val="18"/>
          <w:szCs w:val="18"/>
          <w:lang w:val="cs-CZ"/>
        </w:rPr>
        <w:t>–</w:t>
      </w:r>
      <w:r w:rsidR="006B416A" w:rsidRPr="00472271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6B416A" w:rsidRPr="006B416A">
        <w:rPr>
          <w:rFonts w:asciiTheme="minorHAnsi" w:hAnsiTheme="minorHAnsi" w:cstheme="minorHAnsi"/>
          <w:sz w:val="18"/>
          <w:szCs w:val="18"/>
          <w:lang w:val="cs-CZ"/>
        </w:rPr>
        <w:t>průměrné</w:t>
      </w:r>
      <w:r w:rsidR="00064E5C">
        <w:rPr>
          <w:rFonts w:asciiTheme="minorHAnsi" w:hAnsiTheme="minorHAnsi" w:cstheme="minorHAnsi"/>
          <w:sz w:val="18"/>
          <w:szCs w:val="18"/>
          <w:lang w:val="cs-CZ"/>
        </w:rPr>
        <w:t xml:space="preserve">, </w:t>
      </w:r>
      <w:r w:rsidR="00064E5C" w:rsidRPr="00064E5C">
        <w:rPr>
          <w:rFonts w:asciiTheme="minorHAnsi" w:hAnsiTheme="minorHAnsi" w:cstheme="minorHAnsi"/>
          <w:sz w:val="18"/>
          <w:szCs w:val="18"/>
          <w:lang w:val="cs-CZ"/>
        </w:rPr>
        <w:t xml:space="preserve">ZÚ – zastupitelský úřad, SM – </w:t>
      </w:r>
      <w:r w:rsidR="00FA425A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064E5C" w:rsidRPr="00064E5C">
        <w:rPr>
          <w:rFonts w:asciiTheme="minorHAnsi" w:hAnsiTheme="minorHAnsi" w:cstheme="minorHAnsi"/>
          <w:sz w:val="18"/>
          <w:szCs w:val="18"/>
          <w:lang w:val="cs-CZ"/>
        </w:rPr>
        <w:t>tálá mise, GK – generální konzulát</w:t>
      </w:r>
      <w:r w:rsidR="00F27D66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69D37E1A" w14:textId="12B4210F" w:rsidR="00E053C6" w:rsidRPr="00E053C6" w:rsidRDefault="00E053C6" w:rsidP="00BF49C2">
      <w:pPr>
        <w:spacing w:before="240" w:after="12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Právní rámec f</w:t>
      </w:r>
      <w:r w:rsidRPr="00E053C6">
        <w:rPr>
          <w:rFonts w:ascii="Calibri" w:hAnsi="Calibri" w:cs="Calibri"/>
          <w:lang w:val="cs-CZ"/>
        </w:rPr>
        <w:t>inancování vzdělávání dětí zaměstnanců, kteří mají místo</w:t>
      </w:r>
      <w:r w:rsidR="00963F5A">
        <w:rPr>
          <w:rFonts w:ascii="Calibri" w:hAnsi="Calibri" w:cs="Calibri"/>
          <w:lang w:val="cs-CZ"/>
        </w:rPr>
        <w:t xml:space="preserve"> </w:t>
      </w:r>
      <w:r w:rsidRPr="00E053C6">
        <w:rPr>
          <w:rFonts w:ascii="Calibri" w:hAnsi="Calibri" w:cs="Calibri"/>
          <w:lang w:val="cs-CZ"/>
        </w:rPr>
        <w:t>výkonu práce v zahraničí, je</w:t>
      </w:r>
      <w:r w:rsidR="00447B94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 xml:space="preserve">zakotven v </w:t>
      </w:r>
      <w:r w:rsidRPr="00E053C6">
        <w:rPr>
          <w:rFonts w:ascii="Calibri" w:hAnsi="Calibri" w:cs="Calibri"/>
          <w:lang w:val="cs-CZ"/>
        </w:rPr>
        <w:t>nařízení vlády č. 62/1994 Sb.</w:t>
      </w:r>
      <w:r w:rsidR="00DC5EA1">
        <w:rPr>
          <w:rStyle w:val="Znakapoznpodarou"/>
          <w:rFonts w:ascii="Calibri" w:hAnsi="Calibri" w:cs="Calibri"/>
          <w:lang w:val="cs-CZ"/>
        </w:rPr>
        <w:footnoteReference w:id="10"/>
      </w:r>
      <w:r w:rsidR="0010148C" w:rsidRPr="008C7039">
        <w:rPr>
          <w:rFonts w:asciiTheme="minorHAnsi" w:hAnsiTheme="minorHAnsi" w:cstheme="minorHAnsi"/>
          <w:lang w:val="cs-CZ"/>
        </w:rPr>
        <w:t xml:space="preserve"> </w:t>
      </w:r>
      <w:r w:rsidRPr="00E053C6">
        <w:rPr>
          <w:rFonts w:ascii="Calibri" w:hAnsi="Calibri" w:cs="Calibri"/>
          <w:lang w:val="cs-CZ"/>
        </w:rPr>
        <w:t xml:space="preserve">a poskytování náhrady výdajů je rozpracováno ve </w:t>
      </w:r>
      <w:r w:rsidR="00447B94">
        <w:rPr>
          <w:rFonts w:ascii="Calibri" w:hAnsi="Calibri" w:cs="Calibri"/>
          <w:lang w:val="cs-CZ"/>
        </w:rPr>
        <w:t>s</w:t>
      </w:r>
      <w:r w:rsidRPr="00E053C6">
        <w:rPr>
          <w:rFonts w:ascii="Calibri" w:hAnsi="Calibri" w:cs="Calibri"/>
          <w:lang w:val="cs-CZ"/>
        </w:rPr>
        <w:t xml:space="preserve">měrnici </w:t>
      </w:r>
      <w:r>
        <w:rPr>
          <w:rFonts w:ascii="Calibri" w:hAnsi="Calibri" w:cs="Calibri"/>
          <w:lang w:val="cs-CZ"/>
        </w:rPr>
        <w:t xml:space="preserve">MZV </w:t>
      </w:r>
      <w:r w:rsidRPr="00E053C6">
        <w:rPr>
          <w:rFonts w:ascii="Calibri" w:hAnsi="Calibri" w:cs="Calibri"/>
          <w:lang w:val="cs-CZ"/>
        </w:rPr>
        <w:t>o náhradě výdajů spojených se školní docházkou mimo území ČR</w:t>
      </w:r>
      <w:r>
        <w:rPr>
          <w:rFonts w:ascii="Calibri" w:hAnsi="Calibri" w:cs="Calibri"/>
          <w:lang w:val="cs-CZ"/>
        </w:rPr>
        <w:t xml:space="preserve">. </w:t>
      </w:r>
      <w:r w:rsidRPr="00E053C6">
        <w:rPr>
          <w:rFonts w:ascii="Calibri" w:hAnsi="Calibri" w:cs="Calibri"/>
          <w:lang w:val="cs-CZ"/>
        </w:rPr>
        <w:t>Oba předpisy preferují bezplatné základní nebo střední vzdělávání ve školách státního typu. Teprve není-li bezplatná forma možná, lze</w:t>
      </w:r>
      <w:r w:rsidR="00963F5A">
        <w:rPr>
          <w:rFonts w:ascii="Calibri" w:hAnsi="Calibri" w:cs="Calibri"/>
          <w:lang w:val="cs-CZ"/>
        </w:rPr>
        <w:t xml:space="preserve"> </w:t>
      </w:r>
      <w:r w:rsidRPr="00E053C6">
        <w:rPr>
          <w:rFonts w:ascii="Calibri" w:hAnsi="Calibri" w:cs="Calibri"/>
          <w:lang w:val="cs-CZ"/>
        </w:rPr>
        <w:t>výdaje spojené se vzděláváním dětí hradit</w:t>
      </w:r>
      <w:r>
        <w:rPr>
          <w:rFonts w:ascii="Calibri" w:hAnsi="Calibri" w:cs="Calibri"/>
          <w:lang w:val="cs-CZ"/>
        </w:rPr>
        <w:t xml:space="preserve"> z</w:t>
      </w:r>
      <w:r w:rsidR="00143E55">
        <w:rPr>
          <w:rFonts w:ascii="Calibri" w:hAnsi="Calibri" w:cs="Calibri"/>
          <w:lang w:val="cs-CZ"/>
        </w:rPr>
        <w:t> </w:t>
      </w:r>
      <w:r>
        <w:rPr>
          <w:rFonts w:ascii="Calibri" w:hAnsi="Calibri" w:cs="Calibri"/>
          <w:lang w:val="cs-CZ"/>
        </w:rPr>
        <w:t>prostředků</w:t>
      </w:r>
      <w:r w:rsidR="00143E55">
        <w:rPr>
          <w:rFonts w:ascii="Calibri" w:hAnsi="Calibri" w:cs="Calibri"/>
          <w:lang w:val="cs-CZ"/>
        </w:rPr>
        <w:t xml:space="preserve"> státního rozpočtu</w:t>
      </w:r>
      <w:r w:rsidR="00447B94">
        <w:rPr>
          <w:rFonts w:ascii="Calibri" w:hAnsi="Calibri" w:cs="Calibri"/>
          <w:lang w:val="cs-CZ"/>
        </w:rPr>
        <w:t>.</w:t>
      </w:r>
      <w:r w:rsidRPr="00E053C6">
        <w:rPr>
          <w:rFonts w:ascii="Calibri" w:hAnsi="Calibri" w:cs="Calibri"/>
          <w:lang w:val="cs-CZ"/>
        </w:rPr>
        <w:t xml:space="preserve"> </w:t>
      </w:r>
      <w:r w:rsidR="00447B94">
        <w:rPr>
          <w:rFonts w:ascii="Calibri" w:hAnsi="Calibri" w:cs="Calibri"/>
          <w:lang w:val="cs-CZ"/>
        </w:rPr>
        <w:t>R</w:t>
      </w:r>
      <w:r w:rsidRPr="00E053C6">
        <w:rPr>
          <w:rFonts w:ascii="Calibri" w:hAnsi="Calibri" w:cs="Calibri"/>
          <w:lang w:val="cs-CZ"/>
        </w:rPr>
        <w:t xml:space="preserve">ozsah úhrady </w:t>
      </w:r>
      <w:r>
        <w:rPr>
          <w:rFonts w:ascii="Calibri" w:hAnsi="Calibri" w:cs="Calibri"/>
          <w:lang w:val="cs-CZ"/>
        </w:rPr>
        <w:t xml:space="preserve">určuje zaměstnavatel, tedy MZV, které </w:t>
      </w:r>
      <w:r w:rsidRPr="00E053C6">
        <w:rPr>
          <w:rFonts w:ascii="Calibri" w:hAnsi="Calibri" w:cs="Calibri"/>
          <w:lang w:val="cs-CZ"/>
        </w:rPr>
        <w:t>zodpovídá za stanovení podmínek, nastavení kr</w:t>
      </w:r>
      <w:r w:rsidR="0010148C">
        <w:rPr>
          <w:rFonts w:ascii="Calibri" w:hAnsi="Calibri" w:cs="Calibri"/>
          <w:lang w:val="cs-CZ"/>
        </w:rPr>
        <w:t>itérií výběru škol, výše úhrad</w:t>
      </w:r>
      <w:r w:rsidR="001C5ABA">
        <w:rPr>
          <w:rFonts w:ascii="Calibri" w:hAnsi="Calibri" w:cs="Calibri"/>
          <w:lang w:val="cs-CZ"/>
        </w:rPr>
        <w:t>,</w:t>
      </w:r>
      <w:r w:rsidR="0010148C">
        <w:rPr>
          <w:rFonts w:ascii="Calibri" w:hAnsi="Calibri" w:cs="Calibri"/>
          <w:lang w:val="cs-CZ"/>
        </w:rPr>
        <w:t xml:space="preserve"> a tedy i za hospodárnost vynakládání </w:t>
      </w:r>
      <w:r w:rsidR="00DC5EA1">
        <w:rPr>
          <w:rFonts w:ascii="Calibri" w:hAnsi="Calibri" w:cs="Calibri"/>
          <w:lang w:val="cs-CZ"/>
        </w:rPr>
        <w:t xml:space="preserve">peněžních </w:t>
      </w:r>
      <w:r w:rsidR="0010148C">
        <w:rPr>
          <w:rFonts w:ascii="Calibri" w:hAnsi="Calibri" w:cs="Calibri"/>
          <w:lang w:val="cs-CZ"/>
        </w:rPr>
        <w:t>prostředků.</w:t>
      </w:r>
    </w:p>
    <w:p w14:paraId="71999F5B" w14:textId="3BD4665C" w:rsidR="00E053C6" w:rsidRDefault="00E053C6" w:rsidP="00E053C6">
      <w:pPr>
        <w:spacing w:after="12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MZV určuje v každém místě, kde dítě </w:t>
      </w:r>
      <w:r w:rsidR="00447B94">
        <w:rPr>
          <w:rFonts w:ascii="Calibri" w:hAnsi="Calibri" w:cs="Calibri"/>
          <w:lang w:val="cs-CZ"/>
        </w:rPr>
        <w:t>studuje</w:t>
      </w:r>
      <w:r>
        <w:rPr>
          <w:rFonts w:ascii="Calibri" w:hAnsi="Calibri" w:cs="Calibri"/>
          <w:lang w:val="cs-CZ"/>
        </w:rPr>
        <w:t xml:space="preserve"> základní nebo střední </w:t>
      </w:r>
      <w:r w:rsidR="0010148C">
        <w:rPr>
          <w:rFonts w:ascii="Calibri" w:hAnsi="Calibri" w:cs="Calibri"/>
          <w:lang w:val="cs-CZ"/>
        </w:rPr>
        <w:t>škol</w:t>
      </w:r>
      <w:r w:rsidR="00447B94">
        <w:rPr>
          <w:rFonts w:ascii="Calibri" w:hAnsi="Calibri" w:cs="Calibri"/>
          <w:lang w:val="cs-CZ"/>
        </w:rPr>
        <w:t>u</w:t>
      </w:r>
      <w:r w:rsidR="0010148C">
        <w:rPr>
          <w:rFonts w:ascii="Calibri" w:hAnsi="Calibri" w:cs="Calibri"/>
          <w:lang w:val="cs-CZ"/>
        </w:rPr>
        <w:t>, tzv. referenční školy, u </w:t>
      </w:r>
      <w:r>
        <w:rPr>
          <w:rFonts w:ascii="Calibri" w:hAnsi="Calibri" w:cs="Calibri"/>
          <w:lang w:val="cs-CZ"/>
        </w:rPr>
        <w:t xml:space="preserve">kterých hradí školné v rozsahu </w:t>
      </w:r>
      <w:r w:rsidR="006B53C9">
        <w:rPr>
          <w:rFonts w:ascii="Calibri" w:hAnsi="Calibri" w:cs="Calibri"/>
          <w:lang w:val="cs-CZ"/>
        </w:rPr>
        <w:t>88 %</w:t>
      </w:r>
      <w:r w:rsidR="00DC5EA1">
        <w:rPr>
          <w:rFonts w:ascii="Calibri" w:hAnsi="Calibri" w:cs="Calibri"/>
          <w:lang w:val="cs-CZ"/>
        </w:rPr>
        <w:t xml:space="preserve"> až </w:t>
      </w:r>
      <w:r w:rsidR="006B53C9">
        <w:rPr>
          <w:rFonts w:ascii="Calibri" w:hAnsi="Calibri" w:cs="Calibri"/>
          <w:lang w:val="cs-CZ"/>
        </w:rPr>
        <w:t>100 %</w:t>
      </w:r>
      <w:r w:rsidR="00DC5EA1">
        <w:rPr>
          <w:rFonts w:ascii="Calibri" w:hAnsi="Calibri" w:cs="Calibri"/>
          <w:lang w:val="cs-CZ"/>
        </w:rPr>
        <w:t xml:space="preserve"> (výše % je stanovena v návaznosti na kategorizaci ZÚ podle obtížnosti života</w:t>
      </w:r>
      <w:r w:rsidR="00A30AEF">
        <w:rPr>
          <w:rFonts w:ascii="Calibri" w:hAnsi="Calibri" w:cs="Calibri"/>
          <w:lang w:val="cs-CZ"/>
        </w:rPr>
        <w:t>, vzdálenosti či bezpečnostní situace</w:t>
      </w:r>
      <w:r w:rsidR="00DC5EA1">
        <w:rPr>
          <w:rFonts w:ascii="Calibri" w:hAnsi="Calibri" w:cs="Calibri"/>
          <w:lang w:val="cs-CZ"/>
        </w:rPr>
        <w:t>)</w:t>
      </w:r>
      <w:r w:rsidR="009A6D22">
        <w:rPr>
          <w:rFonts w:ascii="Calibri" w:hAnsi="Calibri" w:cs="Calibri"/>
          <w:lang w:val="cs-CZ"/>
        </w:rPr>
        <w:t>,</w:t>
      </w:r>
      <w:r w:rsidR="00DC5EA1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a dále určuje podmí</w:t>
      </w:r>
      <w:r w:rsidR="0010148C">
        <w:rPr>
          <w:rFonts w:ascii="Calibri" w:hAnsi="Calibri" w:cs="Calibri"/>
          <w:lang w:val="cs-CZ"/>
        </w:rPr>
        <w:t>nky, za kterých hradí školné na </w:t>
      </w:r>
      <w:r>
        <w:rPr>
          <w:rFonts w:ascii="Calibri" w:hAnsi="Calibri" w:cs="Calibri"/>
          <w:lang w:val="cs-CZ"/>
        </w:rPr>
        <w:t xml:space="preserve">jiných než referenčních školách. </w:t>
      </w:r>
    </w:p>
    <w:p w14:paraId="2D836630" w14:textId="2DA3E2F8" w:rsidR="00243BC6" w:rsidRDefault="008A29FD" w:rsidP="00E053C6">
      <w:pPr>
        <w:spacing w:after="12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Pro z</w:t>
      </w:r>
      <w:r w:rsidR="00243BC6" w:rsidRPr="00243BC6">
        <w:rPr>
          <w:rFonts w:ascii="Calibri" w:hAnsi="Calibri" w:cs="Calibri"/>
          <w:lang w:val="cs-CZ"/>
        </w:rPr>
        <w:t xml:space="preserve">ařazování škol do seznamu referenčních škol </w:t>
      </w:r>
      <w:r>
        <w:rPr>
          <w:rFonts w:ascii="Calibri" w:hAnsi="Calibri" w:cs="Calibri"/>
          <w:lang w:val="cs-CZ"/>
        </w:rPr>
        <w:t xml:space="preserve">nejsou určeny postupy </w:t>
      </w:r>
      <w:r w:rsidR="009A6D22">
        <w:rPr>
          <w:rFonts w:ascii="Calibri" w:hAnsi="Calibri" w:cs="Calibri"/>
          <w:lang w:val="cs-CZ"/>
        </w:rPr>
        <w:t>ani</w:t>
      </w:r>
      <w:r>
        <w:rPr>
          <w:rFonts w:ascii="Calibri" w:hAnsi="Calibri" w:cs="Calibri"/>
          <w:lang w:val="cs-CZ"/>
        </w:rPr>
        <w:t xml:space="preserve"> parametry </w:t>
      </w:r>
      <w:r w:rsidR="00243BC6" w:rsidRPr="00243BC6">
        <w:rPr>
          <w:rFonts w:ascii="Calibri" w:hAnsi="Calibri" w:cs="Calibri"/>
          <w:lang w:val="cs-CZ"/>
        </w:rPr>
        <w:t>k</w:t>
      </w:r>
      <w:r w:rsidR="00F97E61">
        <w:rPr>
          <w:rFonts w:ascii="Calibri" w:hAnsi="Calibri" w:cs="Calibri"/>
          <w:lang w:val="cs-CZ"/>
        </w:rPr>
        <w:t> </w:t>
      </w:r>
      <w:r w:rsidR="00243BC6" w:rsidRPr="00243BC6">
        <w:rPr>
          <w:rFonts w:ascii="Calibri" w:hAnsi="Calibri" w:cs="Calibri"/>
          <w:lang w:val="cs-CZ"/>
        </w:rPr>
        <w:t xml:space="preserve">výběru té které školy </w:t>
      </w:r>
      <w:r>
        <w:rPr>
          <w:rFonts w:ascii="Calibri" w:hAnsi="Calibri" w:cs="Calibri"/>
          <w:lang w:val="cs-CZ"/>
        </w:rPr>
        <w:t>jako školy referenční.</w:t>
      </w:r>
      <w:r w:rsidR="00243BC6" w:rsidRPr="00243BC6">
        <w:rPr>
          <w:rFonts w:ascii="Calibri" w:hAnsi="Calibri" w:cs="Calibri"/>
          <w:lang w:val="cs-CZ"/>
        </w:rPr>
        <w:t xml:space="preserve"> </w:t>
      </w:r>
      <w:r w:rsidR="00F97E61">
        <w:rPr>
          <w:rFonts w:ascii="Calibri" w:hAnsi="Calibri" w:cs="Calibri"/>
          <w:lang w:val="cs-CZ"/>
        </w:rPr>
        <w:t>E</w:t>
      </w:r>
      <w:r w:rsidR="00F97E61" w:rsidRPr="00243BC6">
        <w:rPr>
          <w:rFonts w:ascii="Calibri" w:hAnsi="Calibri" w:cs="Calibri"/>
          <w:lang w:val="cs-CZ"/>
        </w:rPr>
        <w:t>xistují p</w:t>
      </w:r>
      <w:r w:rsidR="00F97E61">
        <w:rPr>
          <w:rFonts w:ascii="Calibri" w:hAnsi="Calibri" w:cs="Calibri"/>
          <w:lang w:val="cs-CZ"/>
        </w:rPr>
        <w:t>řípady, kdy v zemích kulturně a </w:t>
      </w:r>
      <w:r w:rsidR="00F97E61" w:rsidRPr="00243BC6">
        <w:rPr>
          <w:rFonts w:ascii="Calibri" w:hAnsi="Calibri" w:cs="Calibri"/>
          <w:lang w:val="cs-CZ"/>
        </w:rPr>
        <w:t xml:space="preserve">společensky podobných ČR jsou v seznamu referenčních škol vysoce nákladové </w:t>
      </w:r>
      <w:r w:rsidR="009A6D22" w:rsidRPr="00243BC6">
        <w:rPr>
          <w:rFonts w:ascii="Calibri" w:hAnsi="Calibri" w:cs="Calibri"/>
          <w:lang w:val="cs-CZ"/>
        </w:rPr>
        <w:t xml:space="preserve">soukromé </w:t>
      </w:r>
      <w:r w:rsidR="009A6D22" w:rsidRPr="00243BC6">
        <w:rPr>
          <w:rFonts w:ascii="Calibri" w:hAnsi="Calibri" w:cs="Calibri"/>
          <w:lang w:val="cs-CZ"/>
        </w:rPr>
        <w:lastRenderedPageBreak/>
        <w:t>mezinárodní</w:t>
      </w:r>
      <w:r w:rsidR="009A6D22">
        <w:rPr>
          <w:rFonts w:ascii="Calibri" w:hAnsi="Calibri" w:cs="Calibri"/>
          <w:lang w:val="cs-CZ"/>
        </w:rPr>
        <w:t xml:space="preserve"> </w:t>
      </w:r>
      <w:r w:rsidR="00F97E61" w:rsidRPr="00243BC6">
        <w:rPr>
          <w:rFonts w:ascii="Calibri" w:hAnsi="Calibri" w:cs="Calibri"/>
          <w:lang w:val="cs-CZ"/>
        </w:rPr>
        <w:t xml:space="preserve">školy </w:t>
      </w:r>
      <w:r w:rsidR="00F97E61">
        <w:rPr>
          <w:rFonts w:ascii="Calibri" w:hAnsi="Calibri" w:cs="Calibri"/>
          <w:lang w:val="cs-CZ"/>
        </w:rPr>
        <w:t>(např. v Bratislavě a Varšavě).</w:t>
      </w:r>
      <w:r w:rsidR="00F97E61" w:rsidRPr="00243BC6">
        <w:rPr>
          <w:rFonts w:ascii="Calibri" w:hAnsi="Calibri" w:cs="Calibri"/>
          <w:lang w:val="cs-CZ"/>
        </w:rPr>
        <w:t xml:space="preserve"> </w:t>
      </w:r>
      <w:r w:rsidR="00F97E61">
        <w:rPr>
          <w:rFonts w:ascii="Calibri" w:hAnsi="Calibri" w:cs="Calibri"/>
          <w:lang w:val="cs-CZ"/>
        </w:rPr>
        <w:t>Z</w:t>
      </w:r>
      <w:r w:rsidR="00243BC6" w:rsidRPr="00243BC6">
        <w:rPr>
          <w:rFonts w:ascii="Calibri" w:hAnsi="Calibri" w:cs="Calibri"/>
          <w:lang w:val="cs-CZ"/>
        </w:rPr>
        <w:t>měny referenčních škol jsou rizikem</w:t>
      </w:r>
      <w:r w:rsidR="00F97E61">
        <w:rPr>
          <w:rFonts w:ascii="Calibri" w:hAnsi="Calibri" w:cs="Calibri"/>
          <w:lang w:val="cs-CZ"/>
        </w:rPr>
        <w:t xml:space="preserve"> pro</w:t>
      </w:r>
      <w:r w:rsidR="00243BC6" w:rsidRPr="00243BC6">
        <w:rPr>
          <w:rFonts w:ascii="Calibri" w:hAnsi="Calibri" w:cs="Calibri"/>
          <w:lang w:val="cs-CZ"/>
        </w:rPr>
        <w:t xml:space="preserve"> dodržován</w:t>
      </w:r>
      <w:r w:rsidR="00F97E61">
        <w:rPr>
          <w:rFonts w:ascii="Calibri" w:hAnsi="Calibri" w:cs="Calibri"/>
          <w:lang w:val="cs-CZ"/>
        </w:rPr>
        <w:t>í</w:t>
      </w:r>
      <w:r w:rsidR="00243BC6" w:rsidRPr="00243BC6">
        <w:rPr>
          <w:rFonts w:ascii="Calibri" w:hAnsi="Calibri" w:cs="Calibri"/>
          <w:lang w:val="cs-CZ"/>
        </w:rPr>
        <w:t xml:space="preserve"> zásady efektivity a hospodárnosti</w:t>
      </w:r>
      <w:r w:rsidR="00F97E61">
        <w:rPr>
          <w:rFonts w:ascii="Calibri" w:hAnsi="Calibri" w:cs="Calibri"/>
          <w:lang w:val="cs-CZ"/>
        </w:rPr>
        <w:t xml:space="preserve"> při vynakládání peněžních prostředků státního rozpočtu na úhradu školného</w:t>
      </w:r>
      <w:r w:rsidR="00243BC6" w:rsidRPr="00243BC6">
        <w:rPr>
          <w:rFonts w:ascii="Calibri" w:hAnsi="Calibri" w:cs="Calibri"/>
          <w:lang w:val="cs-CZ"/>
        </w:rPr>
        <w:t xml:space="preserve">. </w:t>
      </w:r>
    </w:p>
    <w:p w14:paraId="24F40A4B" w14:textId="03472129" w:rsidR="00243BC6" w:rsidRDefault="008A29FD" w:rsidP="00F6579D">
      <w:pPr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Pro stanovení rozsahu </w:t>
      </w:r>
      <w:r w:rsidR="00243BC6" w:rsidRPr="00243BC6">
        <w:rPr>
          <w:rFonts w:ascii="Calibri" w:hAnsi="Calibri" w:cs="Calibri"/>
          <w:lang w:val="cs-CZ"/>
        </w:rPr>
        <w:t xml:space="preserve">úhrady </w:t>
      </w:r>
      <w:r w:rsidR="00243BC6">
        <w:rPr>
          <w:rFonts w:ascii="Calibri" w:hAnsi="Calibri" w:cs="Calibri"/>
          <w:lang w:val="cs-CZ"/>
        </w:rPr>
        <w:t xml:space="preserve">nákladů </w:t>
      </w:r>
      <w:r w:rsidR="00243BC6" w:rsidRPr="00243BC6">
        <w:rPr>
          <w:rFonts w:ascii="Calibri" w:hAnsi="Calibri" w:cs="Calibri"/>
          <w:lang w:val="cs-CZ"/>
        </w:rPr>
        <w:t xml:space="preserve">na školné </w:t>
      </w:r>
      <w:r>
        <w:rPr>
          <w:rFonts w:ascii="Calibri" w:hAnsi="Calibri" w:cs="Calibri"/>
          <w:lang w:val="cs-CZ"/>
        </w:rPr>
        <w:t xml:space="preserve">nejsou </w:t>
      </w:r>
      <w:r w:rsidR="00243BC6">
        <w:rPr>
          <w:rFonts w:ascii="Calibri" w:hAnsi="Calibri" w:cs="Calibri"/>
          <w:lang w:val="cs-CZ"/>
        </w:rPr>
        <w:t>stanoven</w:t>
      </w:r>
      <w:r w:rsidR="00CF3A5C">
        <w:rPr>
          <w:rFonts w:ascii="Calibri" w:hAnsi="Calibri" w:cs="Calibri"/>
          <w:lang w:val="cs-CZ"/>
        </w:rPr>
        <w:t>a</w:t>
      </w:r>
      <w:r w:rsidR="00243BC6">
        <w:rPr>
          <w:rFonts w:ascii="Calibri" w:hAnsi="Calibri" w:cs="Calibri"/>
          <w:lang w:val="cs-CZ"/>
        </w:rPr>
        <w:t xml:space="preserve"> </w:t>
      </w:r>
      <w:r w:rsidR="00243BC6" w:rsidRPr="00243BC6">
        <w:rPr>
          <w:rFonts w:ascii="Calibri" w:hAnsi="Calibri" w:cs="Calibri"/>
          <w:lang w:val="cs-CZ"/>
        </w:rPr>
        <w:t>kritéri</w:t>
      </w:r>
      <w:r w:rsidR="00CF3A5C">
        <w:rPr>
          <w:rFonts w:ascii="Calibri" w:hAnsi="Calibri" w:cs="Calibri"/>
          <w:lang w:val="cs-CZ"/>
        </w:rPr>
        <w:t>a</w:t>
      </w:r>
      <w:r w:rsidR="00243BC6" w:rsidRPr="00243BC6">
        <w:rPr>
          <w:rFonts w:ascii="Calibri" w:hAnsi="Calibri" w:cs="Calibri"/>
          <w:lang w:val="cs-CZ"/>
        </w:rPr>
        <w:t>. Města, ve kterých se nacházejí školy, jsou rozdělen</w:t>
      </w:r>
      <w:r w:rsidR="00FD5F25">
        <w:rPr>
          <w:rFonts w:ascii="Calibri" w:hAnsi="Calibri" w:cs="Calibri"/>
          <w:lang w:val="cs-CZ"/>
        </w:rPr>
        <w:t>a do oddílu A </w:t>
      </w:r>
      <w:r w:rsidR="00243BC6">
        <w:rPr>
          <w:rFonts w:ascii="Calibri" w:hAnsi="Calibri" w:cs="Calibri"/>
          <w:lang w:val="cs-CZ"/>
        </w:rPr>
        <w:t>a </w:t>
      </w:r>
      <w:r w:rsidR="00243BC6" w:rsidRPr="00243BC6">
        <w:rPr>
          <w:rFonts w:ascii="Calibri" w:hAnsi="Calibri" w:cs="Calibri"/>
          <w:lang w:val="cs-CZ"/>
        </w:rPr>
        <w:t xml:space="preserve">B, přičemž kritérium </w:t>
      </w:r>
      <w:r w:rsidR="00CF3A5C">
        <w:rPr>
          <w:rFonts w:ascii="Calibri" w:hAnsi="Calibri" w:cs="Calibri"/>
          <w:lang w:val="cs-CZ"/>
        </w:rPr>
        <w:t xml:space="preserve">pro </w:t>
      </w:r>
      <w:r w:rsidR="00243BC6" w:rsidRPr="00243BC6">
        <w:rPr>
          <w:rFonts w:ascii="Calibri" w:hAnsi="Calibri" w:cs="Calibri"/>
          <w:lang w:val="cs-CZ"/>
        </w:rPr>
        <w:t>zařazení do oddíl</w:t>
      </w:r>
      <w:r w:rsidR="00243BC6">
        <w:rPr>
          <w:rFonts w:ascii="Calibri" w:hAnsi="Calibri" w:cs="Calibri"/>
          <w:lang w:val="cs-CZ"/>
        </w:rPr>
        <w:t>u</w:t>
      </w:r>
      <w:r w:rsidR="00243BC6" w:rsidRPr="00243BC6">
        <w:rPr>
          <w:rFonts w:ascii="Calibri" w:hAnsi="Calibri" w:cs="Calibri"/>
          <w:lang w:val="cs-CZ"/>
        </w:rPr>
        <w:t xml:space="preserve"> není </w:t>
      </w:r>
      <w:r w:rsidR="00CF3A5C">
        <w:rPr>
          <w:rFonts w:ascii="Calibri" w:hAnsi="Calibri" w:cs="Calibri"/>
          <w:lang w:val="cs-CZ"/>
        </w:rPr>
        <w:t>jednoznačně stanoveno</w:t>
      </w:r>
      <w:r w:rsidR="008911AA">
        <w:rPr>
          <w:rFonts w:ascii="Calibri" w:hAnsi="Calibri" w:cs="Calibri"/>
          <w:lang w:val="cs-CZ"/>
        </w:rPr>
        <w:t>.</w:t>
      </w:r>
      <w:r w:rsidR="00CF3A5C">
        <w:rPr>
          <w:rFonts w:ascii="Calibri" w:hAnsi="Calibri" w:cs="Calibri"/>
          <w:lang w:val="cs-CZ"/>
        </w:rPr>
        <w:t xml:space="preserve"> </w:t>
      </w:r>
      <w:r w:rsidR="008911AA">
        <w:rPr>
          <w:rFonts w:ascii="Calibri" w:hAnsi="Calibri" w:cs="Calibri"/>
          <w:lang w:val="cs-CZ"/>
        </w:rPr>
        <w:t>K</w:t>
      </w:r>
      <w:r w:rsidR="00CF3A5C">
        <w:rPr>
          <w:rFonts w:ascii="Calibri" w:hAnsi="Calibri" w:cs="Calibri"/>
          <w:lang w:val="cs-CZ"/>
        </w:rPr>
        <w:t xml:space="preserve">ontrolou bylo zjištěno, že některá </w:t>
      </w:r>
      <w:r w:rsidR="00CF3A5C" w:rsidRPr="00243BC6">
        <w:rPr>
          <w:rFonts w:ascii="Calibri" w:hAnsi="Calibri" w:cs="Calibri"/>
          <w:lang w:val="cs-CZ"/>
        </w:rPr>
        <w:t>kulturně a společensky podobn</w:t>
      </w:r>
      <w:r w:rsidR="00CF3A5C">
        <w:rPr>
          <w:rFonts w:ascii="Calibri" w:hAnsi="Calibri" w:cs="Calibri"/>
          <w:lang w:val="cs-CZ"/>
        </w:rPr>
        <w:t>á</w:t>
      </w:r>
      <w:r w:rsidR="00CF3A5C" w:rsidRPr="00243BC6">
        <w:rPr>
          <w:rFonts w:ascii="Calibri" w:hAnsi="Calibri" w:cs="Calibri"/>
          <w:lang w:val="cs-CZ"/>
        </w:rPr>
        <w:t xml:space="preserve"> </w:t>
      </w:r>
      <w:r w:rsidR="00936F12">
        <w:rPr>
          <w:rFonts w:ascii="Calibri" w:hAnsi="Calibri" w:cs="Calibri"/>
          <w:lang w:val="cs-CZ"/>
        </w:rPr>
        <w:t>města jsou zařazena do </w:t>
      </w:r>
      <w:r w:rsidR="00243BC6" w:rsidRPr="00243BC6">
        <w:rPr>
          <w:rFonts w:ascii="Calibri" w:hAnsi="Calibri" w:cs="Calibri"/>
          <w:lang w:val="cs-CZ"/>
        </w:rPr>
        <w:t>odlišných oddílů</w:t>
      </w:r>
      <w:r w:rsidR="00611263">
        <w:rPr>
          <w:rStyle w:val="Znakapoznpodarou"/>
          <w:rFonts w:ascii="Calibri" w:hAnsi="Calibri" w:cs="Calibri"/>
          <w:lang w:val="cs-CZ"/>
        </w:rPr>
        <w:footnoteReference w:id="11"/>
      </w:r>
      <w:r w:rsidR="00CF3A5C">
        <w:rPr>
          <w:rFonts w:ascii="Calibri" w:hAnsi="Calibri" w:cs="Calibri"/>
          <w:lang w:val="cs-CZ"/>
        </w:rPr>
        <w:t>. Je-li město zařazeno do oddílu B</w:t>
      </w:r>
      <w:r w:rsidR="00243BC6" w:rsidRPr="00243BC6">
        <w:rPr>
          <w:rFonts w:ascii="Calibri" w:hAnsi="Calibri" w:cs="Calibri"/>
          <w:lang w:val="cs-CZ"/>
        </w:rPr>
        <w:t>,</w:t>
      </w:r>
      <w:r w:rsidR="00CF3A5C">
        <w:rPr>
          <w:rFonts w:ascii="Calibri" w:hAnsi="Calibri" w:cs="Calibri"/>
          <w:lang w:val="cs-CZ"/>
        </w:rPr>
        <w:t xml:space="preserve"> hradí MZV výdaje na školné na základě žádosti zaměstnance schválené k tomu zřízenou komisí MZV. Pro schválení žádosti</w:t>
      </w:r>
      <w:r w:rsidR="00243BC6" w:rsidRPr="00243BC6">
        <w:rPr>
          <w:rFonts w:ascii="Calibri" w:hAnsi="Calibri" w:cs="Calibri"/>
          <w:lang w:val="cs-CZ"/>
        </w:rPr>
        <w:t xml:space="preserve"> přitom </w:t>
      </w:r>
      <w:r w:rsidR="00CF3A5C">
        <w:rPr>
          <w:rFonts w:ascii="Calibri" w:hAnsi="Calibri" w:cs="Calibri"/>
          <w:lang w:val="cs-CZ"/>
        </w:rPr>
        <w:t xml:space="preserve">nebyla v době kontroly </w:t>
      </w:r>
      <w:r w:rsidR="00611263">
        <w:rPr>
          <w:rFonts w:ascii="Calibri" w:hAnsi="Calibri" w:cs="Calibri"/>
          <w:lang w:val="cs-CZ"/>
        </w:rPr>
        <w:t>NKÚ na MZV nastavena kritéria.</w:t>
      </w:r>
    </w:p>
    <w:p w14:paraId="69F5F41A" w14:textId="77777777" w:rsidR="008911AA" w:rsidRPr="00E053C6" w:rsidRDefault="008911AA" w:rsidP="00F6579D">
      <w:pPr>
        <w:jc w:val="both"/>
        <w:rPr>
          <w:rFonts w:ascii="Calibri" w:hAnsi="Calibri" w:cs="Calibri"/>
          <w:lang w:val="cs-CZ"/>
        </w:rPr>
      </w:pPr>
    </w:p>
    <w:p w14:paraId="5897896F" w14:textId="5ACFC5EF" w:rsidR="00FE2D71" w:rsidRPr="00AF6294" w:rsidRDefault="00DF2472" w:rsidP="00F6579D">
      <w:pPr>
        <w:spacing w:after="120"/>
        <w:jc w:val="both"/>
        <w:rPr>
          <w:rFonts w:asciiTheme="minorHAnsi" w:hAnsiTheme="minorHAnsi" w:cstheme="minorHAnsi"/>
          <w:b/>
          <w:color w:val="000000"/>
          <w:lang w:val="cs-CZ"/>
        </w:rPr>
      </w:pPr>
      <w:r>
        <w:rPr>
          <w:rFonts w:asciiTheme="minorHAnsi" w:hAnsiTheme="minorHAnsi" w:cstheme="minorHAnsi"/>
          <w:b/>
          <w:color w:val="000000"/>
          <w:lang w:val="cs-CZ"/>
        </w:rPr>
        <w:t xml:space="preserve">5. </w:t>
      </w:r>
      <w:r w:rsidR="00AF6294" w:rsidRPr="00AF6294">
        <w:rPr>
          <w:rFonts w:asciiTheme="minorHAnsi" w:hAnsiTheme="minorHAnsi" w:cstheme="minorHAnsi"/>
          <w:b/>
          <w:color w:val="000000"/>
          <w:lang w:val="cs-CZ"/>
        </w:rPr>
        <w:t>Jiné skutečnosti</w:t>
      </w:r>
    </w:p>
    <w:p w14:paraId="488040DD" w14:textId="1083DD16" w:rsidR="00FE2D71" w:rsidRPr="00831EC7" w:rsidRDefault="00DF2472" w:rsidP="00831EC7">
      <w:pPr>
        <w:spacing w:after="120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 xml:space="preserve">V rámci kontrolní akce </w:t>
      </w:r>
      <w:r w:rsidR="0002448F">
        <w:rPr>
          <w:rFonts w:asciiTheme="minorHAnsi" w:hAnsiTheme="minorHAnsi" w:cstheme="minorHAnsi"/>
          <w:color w:val="000000"/>
          <w:lang w:val="cs-CZ"/>
        </w:rPr>
        <w:t xml:space="preserve">byly porovnány </w:t>
      </w:r>
      <w:r w:rsidR="002E36D5" w:rsidRPr="002E36D5">
        <w:rPr>
          <w:rFonts w:asciiTheme="minorHAnsi" w:hAnsiTheme="minorHAnsi" w:cstheme="minorHAnsi"/>
          <w:color w:val="000000"/>
          <w:lang w:val="cs-CZ"/>
        </w:rPr>
        <w:t>výda</w:t>
      </w:r>
      <w:r w:rsidR="00FD5F25">
        <w:rPr>
          <w:rFonts w:asciiTheme="minorHAnsi" w:hAnsiTheme="minorHAnsi" w:cstheme="minorHAnsi"/>
          <w:color w:val="000000"/>
          <w:lang w:val="cs-CZ"/>
        </w:rPr>
        <w:t>je České republiky vynaložené v </w:t>
      </w:r>
      <w:r w:rsidR="002E36D5" w:rsidRPr="002E36D5">
        <w:rPr>
          <w:rFonts w:asciiTheme="minorHAnsi" w:hAnsiTheme="minorHAnsi" w:cstheme="minorHAnsi"/>
          <w:color w:val="000000"/>
          <w:lang w:val="cs-CZ"/>
        </w:rPr>
        <w:t>oblasti zahraniční politiky státu v letech 201</w:t>
      </w:r>
      <w:r w:rsidR="00BE0871">
        <w:rPr>
          <w:rFonts w:asciiTheme="minorHAnsi" w:hAnsiTheme="minorHAnsi" w:cstheme="minorHAnsi"/>
          <w:color w:val="000000"/>
          <w:lang w:val="cs-CZ"/>
        </w:rPr>
        <w:t>2</w:t>
      </w:r>
      <w:r w:rsidR="002E36D5" w:rsidRPr="002E36D5">
        <w:rPr>
          <w:rFonts w:asciiTheme="minorHAnsi" w:hAnsiTheme="minorHAnsi" w:cstheme="minorHAnsi"/>
          <w:color w:val="000000"/>
          <w:lang w:val="cs-CZ"/>
        </w:rPr>
        <w:t xml:space="preserve"> až 2014 Ministerstvem zahraničních</w:t>
      </w:r>
      <w:r w:rsidR="00FD5F25">
        <w:rPr>
          <w:rFonts w:asciiTheme="minorHAnsi" w:hAnsiTheme="minorHAnsi" w:cstheme="minorHAnsi"/>
          <w:color w:val="000000"/>
          <w:lang w:val="cs-CZ"/>
        </w:rPr>
        <w:t xml:space="preserve"> věcí s </w:t>
      </w:r>
      <w:r w:rsidR="0010148C">
        <w:rPr>
          <w:rFonts w:asciiTheme="minorHAnsi" w:hAnsiTheme="minorHAnsi" w:cstheme="minorHAnsi"/>
          <w:color w:val="000000"/>
          <w:lang w:val="cs-CZ"/>
        </w:rPr>
        <w:t>výdaji, které byly v </w:t>
      </w:r>
      <w:r w:rsidR="002E36D5" w:rsidRPr="002E36D5">
        <w:rPr>
          <w:rFonts w:asciiTheme="minorHAnsi" w:hAnsiTheme="minorHAnsi" w:cstheme="minorHAnsi"/>
          <w:color w:val="000000"/>
          <w:lang w:val="cs-CZ"/>
        </w:rPr>
        <w:t>této oblasti vynaloženy ministerstvy zahraničí států, které s Českou republikou sousedí</w:t>
      </w:r>
      <w:r w:rsidR="002E36D5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831EC7" w:rsidRPr="00216DD4">
        <w:rPr>
          <w:rFonts w:asciiTheme="minorHAnsi" w:hAnsiTheme="minorHAnsi" w:cstheme="minorHAnsi"/>
          <w:lang w:val="cs-CZ"/>
        </w:rPr>
        <w:t xml:space="preserve">Tabulka se zdrojovými daty je přílohou č. </w:t>
      </w:r>
      <w:r w:rsidR="001437EB">
        <w:rPr>
          <w:rFonts w:asciiTheme="minorHAnsi" w:hAnsiTheme="minorHAnsi" w:cstheme="minorHAnsi"/>
          <w:lang w:val="cs-CZ"/>
        </w:rPr>
        <w:t>3</w:t>
      </w:r>
      <w:r w:rsidR="001437EB" w:rsidRPr="00216DD4">
        <w:rPr>
          <w:rFonts w:asciiTheme="minorHAnsi" w:hAnsiTheme="minorHAnsi" w:cstheme="minorHAnsi"/>
          <w:lang w:val="cs-CZ"/>
        </w:rPr>
        <w:t xml:space="preserve"> </w:t>
      </w:r>
      <w:r w:rsidR="008911AA">
        <w:rPr>
          <w:rFonts w:asciiTheme="minorHAnsi" w:hAnsiTheme="minorHAnsi" w:cstheme="minorHAnsi"/>
          <w:lang w:val="cs-CZ"/>
        </w:rPr>
        <w:t xml:space="preserve">tohoto </w:t>
      </w:r>
      <w:r w:rsidR="00831EC7" w:rsidRPr="00216DD4">
        <w:rPr>
          <w:rFonts w:asciiTheme="minorHAnsi" w:hAnsiTheme="minorHAnsi" w:cstheme="minorHAnsi"/>
          <w:lang w:val="cs-CZ"/>
        </w:rPr>
        <w:t>kontrolního závěru.</w:t>
      </w:r>
    </w:p>
    <w:p w14:paraId="7B453A72" w14:textId="28458D22" w:rsidR="00831EC7" w:rsidRDefault="00831EC7" w:rsidP="00F6579D">
      <w:pPr>
        <w:jc w:val="both"/>
        <w:rPr>
          <w:rFonts w:asciiTheme="minorHAnsi" w:hAnsiTheme="minorHAnsi" w:cstheme="minorHAnsi"/>
          <w:lang w:val="cs-CZ"/>
        </w:rPr>
      </w:pPr>
      <w:r w:rsidRPr="002E36D5">
        <w:rPr>
          <w:rFonts w:asciiTheme="minorHAnsi" w:hAnsiTheme="minorHAnsi" w:cstheme="minorHAnsi"/>
          <w:lang w:val="cs-CZ"/>
        </w:rPr>
        <w:t>V porovnání výdajů kapitol ministerstev zahraničních věcí vůči celkovým výdajům stát</w:t>
      </w:r>
      <w:r w:rsidR="00E6520A">
        <w:rPr>
          <w:rFonts w:asciiTheme="minorHAnsi" w:hAnsiTheme="minorHAnsi" w:cstheme="minorHAnsi"/>
          <w:lang w:val="cs-CZ"/>
        </w:rPr>
        <w:t xml:space="preserve">ního rozpočtu </w:t>
      </w:r>
      <w:r>
        <w:rPr>
          <w:rFonts w:asciiTheme="minorHAnsi" w:hAnsiTheme="minorHAnsi" w:cstheme="minorHAnsi"/>
          <w:lang w:val="cs-CZ"/>
        </w:rPr>
        <w:t>v období let 2012 až 2014</w:t>
      </w:r>
      <w:r w:rsidRPr="002E36D5">
        <w:rPr>
          <w:rFonts w:asciiTheme="minorHAnsi" w:hAnsiTheme="minorHAnsi" w:cstheme="minorHAnsi"/>
          <w:lang w:val="cs-CZ"/>
        </w:rPr>
        <w:t xml:space="preserve"> dosahuje nejvyšších hodnot Německo, a to od 1,07 </w:t>
      </w:r>
      <w:r>
        <w:rPr>
          <w:rFonts w:asciiTheme="minorHAnsi" w:hAnsiTheme="minorHAnsi" w:cstheme="minorHAnsi"/>
          <w:lang w:val="cs-CZ"/>
        </w:rPr>
        <w:t xml:space="preserve">% </w:t>
      </w:r>
      <w:r w:rsidRPr="002E36D5">
        <w:rPr>
          <w:rFonts w:asciiTheme="minorHAnsi" w:hAnsiTheme="minorHAnsi" w:cstheme="minorHAnsi"/>
          <w:lang w:val="cs-CZ"/>
        </w:rPr>
        <w:t xml:space="preserve">až do 1,23 %. </w:t>
      </w:r>
      <w:r>
        <w:rPr>
          <w:rFonts w:asciiTheme="minorHAnsi" w:hAnsiTheme="minorHAnsi" w:cstheme="minorHAnsi"/>
          <w:lang w:val="cs-CZ"/>
        </w:rPr>
        <w:t xml:space="preserve">ČR v porovnání </w:t>
      </w:r>
      <w:r w:rsidR="00F1758E">
        <w:rPr>
          <w:rFonts w:asciiTheme="minorHAnsi" w:hAnsiTheme="minorHAnsi" w:cstheme="minorHAnsi"/>
          <w:lang w:val="cs-CZ"/>
        </w:rPr>
        <w:t>se sousedními</w:t>
      </w:r>
      <w:r>
        <w:rPr>
          <w:rFonts w:asciiTheme="minorHAnsi" w:hAnsiTheme="minorHAnsi" w:cstheme="minorHAnsi"/>
          <w:lang w:val="cs-CZ"/>
        </w:rPr>
        <w:t xml:space="preserve"> státy dosahuje n</w:t>
      </w:r>
      <w:r w:rsidRPr="002E36D5">
        <w:rPr>
          <w:rFonts w:asciiTheme="minorHAnsi" w:hAnsiTheme="minorHAnsi" w:cstheme="minorHAnsi"/>
          <w:lang w:val="cs-CZ"/>
        </w:rPr>
        <w:t>ejnižších hodnot</w:t>
      </w:r>
      <w:r>
        <w:rPr>
          <w:rFonts w:asciiTheme="minorHAnsi" w:hAnsiTheme="minorHAnsi" w:cstheme="minorHAnsi"/>
          <w:lang w:val="cs-CZ"/>
        </w:rPr>
        <w:t>, jak je znázorněno v </w:t>
      </w:r>
      <w:r w:rsidRPr="00284E63">
        <w:rPr>
          <w:rFonts w:asciiTheme="minorHAnsi" w:hAnsiTheme="minorHAnsi" w:cstheme="minorHAnsi"/>
          <w:lang w:val="cs-CZ"/>
        </w:rPr>
        <w:t>grafu č. 2.</w:t>
      </w:r>
    </w:p>
    <w:p w14:paraId="4D23DF48" w14:textId="77777777" w:rsidR="00F8290A" w:rsidRPr="0010148C" w:rsidRDefault="00F8290A" w:rsidP="00F6579D">
      <w:pPr>
        <w:jc w:val="both"/>
        <w:rPr>
          <w:rFonts w:asciiTheme="minorHAnsi" w:hAnsiTheme="minorHAnsi" w:cstheme="minorHAnsi"/>
          <w:lang w:val="cs-CZ"/>
        </w:rPr>
      </w:pPr>
    </w:p>
    <w:p w14:paraId="006052B6" w14:textId="4FB4B6EB" w:rsidR="00F1758E" w:rsidRPr="00F1758E" w:rsidRDefault="00AF6294" w:rsidP="00F6579D">
      <w:pPr>
        <w:ind w:left="1077" w:hanging="1077"/>
        <w:rPr>
          <w:rFonts w:ascii="Calibri" w:hAnsi="Calibri" w:cs="Calibri"/>
          <w:b/>
          <w:lang w:val="cs-CZ"/>
        </w:rPr>
      </w:pPr>
      <w:r w:rsidRPr="00F6579D">
        <w:rPr>
          <w:rFonts w:ascii="Calibri" w:hAnsi="Calibri" w:cs="Calibri"/>
          <w:b/>
          <w:lang w:val="cs-CZ"/>
        </w:rPr>
        <w:t xml:space="preserve">Graf č. </w:t>
      </w:r>
      <w:r w:rsidR="007958DC" w:rsidRPr="00F6579D">
        <w:rPr>
          <w:rFonts w:ascii="Calibri" w:hAnsi="Calibri" w:cs="Calibri"/>
          <w:b/>
          <w:lang w:val="cs-CZ"/>
        </w:rPr>
        <w:t>2</w:t>
      </w:r>
      <w:r w:rsidR="00F1758E" w:rsidRPr="00F6579D">
        <w:rPr>
          <w:rFonts w:ascii="Calibri" w:hAnsi="Calibri" w:cs="Calibri"/>
          <w:b/>
          <w:lang w:val="cs-CZ"/>
        </w:rPr>
        <w:t xml:space="preserve"> – </w:t>
      </w:r>
      <w:r w:rsidR="00F1758E" w:rsidRPr="00F1758E">
        <w:rPr>
          <w:rFonts w:ascii="Calibri" w:hAnsi="Calibri" w:cs="Calibri"/>
          <w:b/>
          <w:bCs/>
          <w:lang w:val="cs-CZ"/>
        </w:rPr>
        <w:t xml:space="preserve">Podíl výdajů kapitoly </w:t>
      </w:r>
      <w:r w:rsidR="00F8290A">
        <w:rPr>
          <w:rFonts w:ascii="Calibri" w:hAnsi="Calibri" w:cs="Calibri"/>
          <w:b/>
          <w:bCs/>
          <w:lang w:val="cs-CZ"/>
        </w:rPr>
        <w:t>ministerstva zahraničí</w:t>
      </w:r>
      <w:r w:rsidR="00F1758E" w:rsidRPr="00F1758E">
        <w:rPr>
          <w:rFonts w:ascii="Calibri" w:hAnsi="Calibri" w:cs="Calibri"/>
          <w:b/>
          <w:bCs/>
          <w:lang w:val="cs-CZ"/>
        </w:rPr>
        <w:t xml:space="preserve"> na celkových výdajích</w:t>
      </w:r>
      <w:r w:rsidR="00F8290A">
        <w:rPr>
          <w:rFonts w:ascii="Calibri" w:hAnsi="Calibri" w:cs="Calibri"/>
          <w:b/>
          <w:bCs/>
          <w:lang w:val="cs-CZ"/>
        </w:rPr>
        <w:t xml:space="preserve"> </w:t>
      </w:r>
      <w:r w:rsidR="00F1758E" w:rsidRPr="00F1758E">
        <w:rPr>
          <w:rFonts w:ascii="Calibri" w:hAnsi="Calibri" w:cs="Calibri"/>
          <w:b/>
          <w:bCs/>
          <w:lang w:val="cs-CZ"/>
        </w:rPr>
        <w:t xml:space="preserve">státního rozpočtu </w:t>
      </w:r>
      <w:r w:rsidR="0021771A">
        <w:rPr>
          <w:rFonts w:ascii="Calibri" w:hAnsi="Calibri" w:cs="Calibri"/>
          <w:b/>
          <w:bCs/>
          <w:lang w:val="cs-CZ"/>
        </w:rPr>
        <w:t xml:space="preserve">ve vybraných </w:t>
      </w:r>
      <w:r w:rsidR="003865BB">
        <w:rPr>
          <w:rFonts w:ascii="Calibri" w:hAnsi="Calibri" w:cs="Calibri"/>
          <w:b/>
          <w:bCs/>
          <w:lang w:val="cs-CZ"/>
        </w:rPr>
        <w:t>zemích</w:t>
      </w:r>
      <w:r w:rsidR="0021771A">
        <w:rPr>
          <w:rFonts w:ascii="Calibri" w:hAnsi="Calibri" w:cs="Calibri"/>
          <w:b/>
          <w:bCs/>
          <w:lang w:val="cs-CZ"/>
        </w:rPr>
        <w:t xml:space="preserve"> </w:t>
      </w:r>
      <w:r w:rsidR="00F1758E" w:rsidRPr="00F1758E">
        <w:rPr>
          <w:rFonts w:ascii="Calibri" w:hAnsi="Calibri" w:cs="Calibri"/>
          <w:b/>
          <w:bCs/>
          <w:lang w:val="cs-CZ"/>
        </w:rPr>
        <w:t>(v %)</w:t>
      </w:r>
    </w:p>
    <w:p w14:paraId="140410B0" w14:textId="77777777" w:rsidR="000112FE" w:rsidRDefault="000112FE" w:rsidP="00B35D2D">
      <w:pPr>
        <w:spacing w:before="120"/>
        <w:rPr>
          <w:rFonts w:ascii="Calibri" w:hAnsi="Calibri" w:cs="Calibri"/>
        </w:rPr>
      </w:pPr>
      <w:r>
        <w:rPr>
          <w:noProof/>
          <w:lang w:val="cs-CZ" w:eastAsia="cs-CZ"/>
        </w:rPr>
        <w:drawing>
          <wp:inline distT="0" distB="0" distL="0" distR="0" wp14:anchorId="3FFBFFA4" wp14:editId="0DC474D7">
            <wp:extent cx="5791200" cy="2461895"/>
            <wp:effectExtent l="0" t="0" r="0" b="14605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00EA61" w14:textId="4F9BC40E" w:rsidR="002E36D5" w:rsidRPr="008D58D9" w:rsidRDefault="00B35D2D" w:rsidP="00201087">
      <w:pPr>
        <w:spacing w:before="40"/>
        <w:rPr>
          <w:rFonts w:ascii="Calibri" w:hAnsi="Calibri" w:cs="Calibri"/>
          <w:sz w:val="20"/>
          <w:szCs w:val="20"/>
          <w:lang w:val="cs-CZ"/>
        </w:rPr>
      </w:pPr>
      <w:r w:rsidRPr="00932468">
        <w:rPr>
          <w:rFonts w:ascii="Calibri" w:hAnsi="Calibri" w:cs="Calibri"/>
          <w:b/>
          <w:sz w:val="20"/>
          <w:szCs w:val="20"/>
          <w:lang w:val="cs-CZ"/>
        </w:rPr>
        <w:t>Zdroj:</w:t>
      </w:r>
      <w:r w:rsidRPr="008D58D9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201087">
        <w:rPr>
          <w:rFonts w:ascii="Calibri" w:hAnsi="Calibri" w:cs="Calibri"/>
          <w:sz w:val="20"/>
          <w:szCs w:val="20"/>
          <w:lang w:val="cs-CZ"/>
        </w:rPr>
        <w:t>příloha č. 3 tohoto kontrolního závěru.</w:t>
      </w:r>
    </w:p>
    <w:p w14:paraId="65CD5D67" w14:textId="77777777" w:rsidR="00914FFD" w:rsidRDefault="00914FFD">
      <w:pPr>
        <w:spacing w:after="160" w:line="259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6D2C7F26" w14:textId="25BD280D" w:rsidR="00E6520A" w:rsidRDefault="00DF35E9" w:rsidP="00F6579D">
      <w:pPr>
        <w:jc w:val="both"/>
        <w:rPr>
          <w:rFonts w:asciiTheme="minorHAnsi" w:hAnsiTheme="minorHAnsi" w:cstheme="minorHAnsi"/>
          <w:lang w:val="cs-CZ"/>
        </w:rPr>
      </w:pPr>
      <w:r w:rsidRPr="00AF6294">
        <w:rPr>
          <w:rFonts w:asciiTheme="minorHAnsi" w:hAnsiTheme="minorHAnsi" w:cstheme="minorHAnsi"/>
          <w:lang w:val="cs-CZ"/>
        </w:rPr>
        <w:lastRenderedPageBreak/>
        <w:t xml:space="preserve">Výše výdajů ministerstev zahraničních věcí </w:t>
      </w:r>
      <w:r w:rsidR="00E6520A">
        <w:rPr>
          <w:rFonts w:asciiTheme="minorHAnsi" w:hAnsiTheme="minorHAnsi" w:cstheme="minorHAnsi"/>
          <w:lang w:val="cs-CZ"/>
        </w:rPr>
        <w:t>ČR a sousedních</w:t>
      </w:r>
      <w:r>
        <w:rPr>
          <w:rFonts w:asciiTheme="minorHAnsi" w:hAnsiTheme="minorHAnsi" w:cstheme="minorHAnsi"/>
          <w:lang w:val="cs-CZ"/>
        </w:rPr>
        <w:t xml:space="preserve"> států </w:t>
      </w:r>
      <w:r w:rsidRPr="00AF6294">
        <w:rPr>
          <w:rFonts w:asciiTheme="minorHAnsi" w:hAnsiTheme="minorHAnsi" w:cstheme="minorHAnsi"/>
          <w:lang w:val="cs-CZ"/>
        </w:rPr>
        <w:t>v období let 2012 až 2014</w:t>
      </w:r>
      <w:r w:rsidR="00E6520A">
        <w:rPr>
          <w:rFonts w:asciiTheme="minorHAnsi" w:hAnsiTheme="minorHAnsi" w:cstheme="minorHAnsi"/>
          <w:lang w:val="cs-CZ"/>
        </w:rPr>
        <w:t xml:space="preserve"> vůči hrubému domácímu produktu (dále také „HDP“) má téměř neměnný charakter</w:t>
      </w:r>
      <w:r w:rsidRPr="00AF6294">
        <w:rPr>
          <w:rFonts w:asciiTheme="minorHAnsi" w:hAnsiTheme="minorHAnsi" w:cstheme="minorHAnsi"/>
          <w:lang w:val="cs-CZ"/>
        </w:rPr>
        <w:t xml:space="preserve">. </w:t>
      </w:r>
      <w:r w:rsidR="00E6520A">
        <w:rPr>
          <w:rFonts w:asciiTheme="minorHAnsi" w:hAnsiTheme="minorHAnsi" w:cstheme="minorHAnsi"/>
          <w:lang w:val="cs-CZ"/>
        </w:rPr>
        <w:t xml:space="preserve">Výdaje MZV se v letech </w:t>
      </w:r>
      <w:r w:rsidR="00243334">
        <w:rPr>
          <w:rFonts w:asciiTheme="minorHAnsi" w:hAnsiTheme="minorHAnsi" w:cstheme="minorHAnsi"/>
          <w:lang w:val="cs-CZ"/>
        </w:rPr>
        <w:t>2012 až 2014 pohybovaly okolo</w:t>
      </w:r>
      <w:r w:rsidR="00E6520A">
        <w:rPr>
          <w:rFonts w:asciiTheme="minorHAnsi" w:hAnsiTheme="minorHAnsi" w:cstheme="minorHAnsi"/>
          <w:lang w:val="cs-CZ"/>
        </w:rPr>
        <w:t xml:space="preserve"> 0,14 % </w:t>
      </w:r>
      <w:r w:rsidR="00243334">
        <w:rPr>
          <w:rFonts w:asciiTheme="minorHAnsi" w:hAnsiTheme="minorHAnsi" w:cstheme="minorHAnsi"/>
          <w:lang w:val="cs-CZ"/>
        </w:rPr>
        <w:t>HDP, na Slovensku okolo 0,17 % HDP, v Rakousku okolo 0,13 % HDP, v Německu činily 0,12 % HDP a v Polsku 0,11 % HDP</w:t>
      </w:r>
      <w:r w:rsidR="001F5299">
        <w:rPr>
          <w:rFonts w:asciiTheme="minorHAnsi" w:hAnsiTheme="minorHAnsi" w:cstheme="minorHAnsi"/>
          <w:lang w:val="cs-CZ"/>
        </w:rPr>
        <w:t>,</w:t>
      </w:r>
      <w:r w:rsidR="003F253D">
        <w:rPr>
          <w:rFonts w:asciiTheme="minorHAnsi" w:hAnsiTheme="minorHAnsi" w:cstheme="minorHAnsi"/>
          <w:lang w:val="cs-CZ"/>
        </w:rPr>
        <w:t xml:space="preserve"> viz graf</w:t>
      </w:r>
      <w:r w:rsidR="001F5299">
        <w:rPr>
          <w:rFonts w:asciiTheme="minorHAnsi" w:hAnsiTheme="minorHAnsi" w:cstheme="minorHAnsi"/>
          <w:lang w:val="cs-CZ"/>
        </w:rPr>
        <w:t> </w:t>
      </w:r>
      <w:r w:rsidR="003F253D">
        <w:rPr>
          <w:rFonts w:asciiTheme="minorHAnsi" w:hAnsiTheme="minorHAnsi" w:cstheme="minorHAnsi"/>
          <w:lang w:val="cs-CZ"/>
        </w:rPr>
        <w:t>č.</w:t>
      </w:r>
      <w:r w:rsidR="001437EB">
        <w:rPr>
          <w:rFonts w:asciiTheme="minorHAnsi" w:hAnsiTheme="minorHAnsi" w:cstheme="minorHAnsi"/>
          <w:lang w:val="cs-CZ"/>
        </w:rPr>
        <w:t> </w:t>
      </w:r>
      <w:r w:rsidR="003F253D">
        <w:rPr>
          <w:rFonts w:asciiTheme="minorHAnsi" w:hAnsiTheme="minorHAnsi" w:cstheme="minorHAnsi"/>
          <w:lang w:val="cs-CZ"/>
        </w:rPr>
        <w:t>3.</w:t>
      </w:r>
    </w:p>
    <w:p w14:paraId="6DB5B8AC" w14:textId="77777777" w:rsidR="001F5299" w:rsidRDefault="001F5299" w:rsidP="00F6579D">
      <w:pPr>
        <w:jc w:val="both"/>
        <w:rPr>
          <w:rFonts w:asciiTheme="minorHAnsi" w:hAnsiTheme="minorHAnsi" w:cstheme="minorHAnsi"/>
          <w:lang w:val="cs-CZ"/>
        </w:rPr>
      </w:pPr>
    </w:p>
    <w:p w14:paraId="72A3C0DE" w14:textId="5BB3E696" w:rsidR="002A3A08" w:rsidRPr="00F6579D" w:rsidRDefault="003746E0" w:rsidP="002A3A08">
      <w:pPr>
        <w:spacing w:after="120"/>
        <w:rPr>
          <w:rFonts w:asciiTheme="minorHAnsi" w:hAnsiTheme="minorHAnsi" w:cstheme="minorHAnsi"/>
          <w:b/>
          <w:lang w:val="cs-CZ"/>
        </w:rPr>
      </w:pPr>
      <w:r w:rsidRPr="008C7E8F">
        <w:rPr>
          <w:rFonts w:asciiTheme="minorHAnsi" w:hAnsiTheme="minorHAnsi" w:cstheme="minorHAnsi"/>
          <w:b/>
          <w:lang w:val="cs-CZ"/>
        </w:rPr>
        <w:t xml:space="preserve">Graf č. 3 </w:t>
      </w:r>
      <w:r w:rsidR="002A3A08">
        <w:rPr>
          <w:rFonts w:asciiTheme="minorHAnsi" w:hAnsiTheme="minorHAnsi" w:cstheme="minorHAnsi"/>
          <w:b/>
          <w:lang w:val="cs-CZ"/>
        </w:rPr>
        <w:t xml:space="preserve">– </w:t>
      </w:r>
      <w:r w:rsidR="002A3A08" w:rsidRPr="00F6579D">
        <w:rPr>
          <w:rFonts w:asciiTheme="minorHAnsi" w:hAnsiTheme="minorHAnsi" w:cstheme="minorHAnsi"/>
          <w:b/>
          <w:bCs/>
          <w:lang w:val="cs-CZ"/>
        </w:rPr>
        <w:t xml:space="preserve">Podíl výdajů kapitoly </w:t>
      </w:r>
      <w:r w:rsidR="002A3A08">
        <w:rPr>
          <w:rFonts w:asciiTheme="minorHAnsi" w:hAnsiTheme="minorHAnsi" w:cstheme="minorHAnsi"/>
          <w:b/>
          <w:bCs/>
          <w:lang w:val="cs-CZ"/>
        </w:rPr>
        <w:t>ministerstva zahraničí</w:t>
      </w:r>
      <w:r w:rsidR="002A3A08" w:rsidRPr="00F6579D">
        <w:rPr>
          <w:rFonts w:asciiTheme="minorHAnsi" w:hAnsiTheme="minorHAnsi" w:cstheme="minorHAnsi"/>
          <w:b/>
          <w:bCs/>
          <w:lang w:val="cs-CZ"/>
        </w:rPr>
        <w:t xml:space="preserve"> na HDP </w:t>
      </w:r>
      <w:r w:rsidR="003865BB">
        <w:rPr>
          <w:rFonts w:asciiTheme="minorHAnsi" w:hAnsiTheme="minorHAnsi" w:cstheme="minorHAnsi"/>
          <w:b/>
          <w:bCs/>
          <w:lang w:val="cs-CZ"/>
        </w:rPr>
        <w:t xml:space="preserve">ve vybraných zemích </w:t>
      </w:r>
      <w:r w:rsidR="002A3A08" w:rsidRPr="00F6579D">
        <w:rPr>
          <w:rFonts w:asciiTheme="minorHAnsi" w:hAnsiTheme="minorHAnsi" w:cstheme="minorHAnsi"/>
          <w:b/>
          <w:bCs/>
          <w:lang w:val="cs-CZ"/>
        </w:rPr>
        <w:t>(v %)</w:t>
      </w:r>
    </w:p>
    <w:p w14:paraId="2D677038" w14:textId="18A58B0E" w:rsidR="003F253D" w:rsidRDefault="00DF2472" w:rsidP="002A3A08">
      <w:pPr>
        <w:spacing w:after="120"/>
        <w:rPr>
          <w:rFonts w:asciiTheme="minorHAnsi" w:hAnsiTheme="minorHAnsi" w:cstheme="minorHAnsi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2F0FC1F" wp14:editId="216C257E">
            <wp:extent cx="5729289" cy="2743200"/>
            <wp:effectExtent l="0" t="0" r="508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A43DEB" w14:textId="3F084A51" w:rsidR="003F253D" w:rsidRPr="008D58D9" w:rsidRDefault="003F253D" w:rsidP="003F253D">
      <w:pPr>
        <w:spacing w:before="120" w:after="120"/>
        <w:rPr>
          <w:rFonts w:ascii="Calibri" w:hAnsi="Calibri" w:cs="Calibri"/>
          <w:sz w:val="20"/>
          <w:szCs w:val="20"/>
          <w:lang w:val="cs-CZ"/>
        </w:rPr>
      </w:pPr>
      <w:r w:rsidRPr="007979E7">
        <w:rPr>
          <w:rFonts w:ascii="Calibri" w:hAnsi="Calibri" w:cs="Calibri"/>
          <w:b/>
          <w:sz w:val="20"/>
          <w:szCs w:val="20"/>
          <w:lang w:val="cs-CZ"/>
        </w:rPr>
        <w:t>Zdroj:</w:t>
      </w:r>
      <w:r w:rsidRPr="008D58D9">
        <w:rPr>
          <w:rFonts w:ascii="Calibri" w:hAnsi="Calibri" w:cs="Calibri"/>
          <w:sz w:val="20"/>
          <w:szCs w:val="20"/>
          <w:lang w:val="cs-CZ"/>
        </w:rPr>
        <w:t xml:space="preserve"> </w:t>
      </w:r>
      <w:r w:rsidR="002A3A08">
        <w:rPr>
          <w:rFonts w:ascii="Calibri" w:hAnsi="Calibri" w:cs="Calibri"/>
          <w:sz w:val="20"/>
          <w:szCs w:val="20"/>
          <w:lang w:val="cs-CZ"/>
        </w:rPr>
        <w:t>příloha č. 3 tohoto kontrolního závěru.</w:t>
      </w:r>
    </w:p>
    <w:p w14:paraId="2D9621EB" w14:textId="77777777" w:rsidR="005B0003" w:rsidRDefault="005B0003" w:rsidP="006F4DEA">
      <w:pPr>
        <w:spacing w:after="120"/>
        <w:rPr>
          <w:rFonts w:asciiTheme="minorHAnsi" w:hAnsiTheme="minorHAnsi" w:cstheme="minorHAnsi"/>
          <w:b/>
          <w:lang w:val="cs-CZ"/>
        </w:rPr>
      </w:pPr>
    </w:p>
    <w:p w14:paraId="5F77F41E" w14:textId="77777777" w:rsidR="006F4DEA" w:rsidRDefault="006F4DEA">
      <w:pPr>
        <w:spacing w:after="160" w:line="259" w:lineRule="auto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br w:type="page"/>
      </w:r>
    </w:p>
    <w:p w14:paraId="649A6BF3" w14:textId="62D34E83" w:rsidR="002F1585" w:rsidRDefault="005B0003" w:rsidP="00F6579D">
      <w:pPr>
        <w:spacing w:after="240"/>
        <w:jc w:val="right"/>
        <w:rPr>
          <w:rFonts w:asciiTheme="minorHAnsi" w:hAnsiTheme="minorHAnsi" w:cstheme="minorHAnsi"/>
          <w:b/>
          <w:lang w:val="cs-CZ"/>
        </w:rPr>
      </w:pPr>
      <w:r w:rsidRPr="00A50CFC">
        <w:rPr>
          <w:rFonts w:asciiTheme="minorHAnsi" w:hAnsiTheme="minorHAnsi" w:cstheme="minorHAnsi"/>
          <w:b/>
          <w:lang w:val="cs-CZ"/>
        </w:rPr>
        <w:lastRenderedPageBreak/>
        <w:t xml:space="preserve">Příloha č. 1 </w:t>
      </w:r>
    </w:p>
    <w:p w14:paraId="718D5909" w14:textId="46A53402" w:rsidR="005B0003" w:rsidRPr="00A50CFC" w:rsidRDefault="005B0003" w:rsidP="00F6579D">
      <w:pPr>
        <w:spacing w:after="40"/>
        <w:ind w:left="-426"/>
        <w:rPr>
          <w:rFonts w:asciiTheme="minorHAnsi" w:hAnsiTheme="minorHAnsi" w:cstheme="minorHAnsi"/>
          <w:b/>
          <w:lang w:val="cs-CZ"/>
        </w:rPr>
      </w:pPr>
      <w:r w:rsidRPr="00A50CFC">
        <w:rPr>
          <w:rFonts w:asciiTheme="minorHAnsi" w:hAnsiTheme="minorHAnsi" w:cstheme="minorHAnsi"/>
          <w:b/>
          <w:lang w:val="cs-CZ"/>
        </w:rPr>
        <w:t>Výdaje na školné na 1 dítě v období let 2012</w:t>
      </w:r>
      <w:r>
        <w:rPr>
          <w:rFonts w:asciiTheme="minorHAnsi" w:hAnsiTheme="minorHAnsi" w:cstheme="minorHAnsi"/>
          <w:b/>
          <w:lang w:val="cs-CZ"/>
        </w:rPr>
        <w:t>–</w:t>
      </w:r>
      <w:r w:rsidRPr="00A50CFC">
        <w:rPr>
          <w:rFonts w:asciiTheme="minorHAnsi" w:hAnsiTheme="minorHAnsi" w:cstheme="minorHAnsi"/>
          <w:b/>
          <w:lang w:val="cs-CZ"/>
        </w:rPr>
        <w:t>2015</w:t>
      </w:r>
      <w:r>
        <w:rPr>
          <w:rFonts w:asciiTheme="minorHAnsi" w:hAnsiTheme="minorHAnsi" w:cstheme="minorHAnsi"/>
          <w:b/>
          <w:lang w:val="cs-CZ"/>
        </w:rPr>
        <w:t xml:space="preserve"> </w:t>
      </w:r>
      <w:r w:rsidR="00914FFD">
        <w:rPr>
          <w:rFonts w:asciiTheme="minorHAnsi" w:hAnsiTheme="minorHAnsi" w:cstheme="minorHAnsi"/>
          <w:b/>
          <w:lang w:val="cs-CZ"/>
        </w:rPr>
        <w:t xml:space="preserve">u </w:t>
      </w:r>
      <w:r>
        <w:rPr>
          <w:rFonts w:asciiTheme="minorHAnsi" w:hAnsiTheme="minorHAnsi" w:cstheme="minorHAnsi"/>
          <w:b/>
          <w:lang w:val="cs-CZ"/>
        </w:rPr>
        <w:t>kontrolního vzorku 21 ZÚ</w:t>
      </w:r>
    </w:p>
    <w:tbl>
      <w:tblPr>
        <w:tblW w:w="10080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51"/>
        <w:gridCol w:w="850"/>
        <w:gridCol w:w="993"/>
        <w:gridCol w:w="850"/>
        <w:gridCol w:w="567"/>
        <w:gridCol w:w="567"/>
        <w:gridCol w:w="567"/>
        <w:gridCol w:w="567"/>
        <w:gridCol w:w="709"/>
        <w:gridCol w:w="850"/>
        <w:gridCol w:w="709"/>
        <w:gridCol w:w="709"/>
      </w:tblGrid>
      <w:tr w:rsidR="005B0003" w:rsidRPr="00A50CFC" w14:paraId="49CF28EE" w14:textId="77777777" w:rsidTr="00F6579D">
        <w:trPr>
          <w:trHeight w:val="20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69DA46E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ZÚ/GK/SM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B9FB08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Výdaje na školné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1E05167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Počet dětí, za které je školné placeno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9F9AAE" w14:textId="3C17D945" w:rsidR="005B0003" w:rsidRPr="00A50CFC" w:rsidRDefault="005B0003" w:rsidP="00F6579D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F6579D">
              <w:rPr>
                <w:rFonts w:asciiTheme="minorHAnsi" w:hAnsiTheme="minorHAnsi" w:cstheme="minorHAnsi"/>
                <w:b/>
                <w:sz w:val="16"/>
                <w:szCs w:val="16"/>
                <w:lang w:val="cs-CZ"/>
              </w:rPr>
              <w:t>Ø</w:t>
            </w:r>
            <w:r w:rsidRPr="00F6579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</w:t>
            </w:r>
            <w:r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roční výše výdajů na školné </w:t>
            </w:r>
            <w:r w:rsidR="00B22E6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na</w:t>
            </w:r>
            <w:r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1 dítě </w:t>
            </w:r>
          </w:p>
          <w:p w14:paraId="36FE033E" w14:textId="79F70FB8" w:rsidR="005B0003" w:rsidRPr="00A50CFC" w:rsidRDefault="00B22E66" w:rsidP="00B22E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(</w:t>
            </w:r>
            <w:r w:rsidR="005B0003"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 Kč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)</w:t>
            </w:r>
            <w:r w:rsidR="005B0003" w:rsidRPr="00A50C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</w:tc>
      </w:tr>
      <w:tr w:rsidR="00B2656A" w:rsidRPr="00A50CFC" w14:paraId="5D1B7A82" w14:textId="77777777" w:rsidTr="00267EA5">
        <w:trPr>
          <w:trHeight w:val="20"/>
        </w:trPr>
        <w:tc>
          <w:tcPr>
            <w:tcW w:w="12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621046" w14:textId="77777777" w:rsidR="005B0003" w:rsidRPr="00A50CFC" w:rsidRDefault="005B0003" w:rsidP="00E97B24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1710CA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EBFA89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6F73C00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5C5AADC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38921D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4A345B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C76E63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6E291F3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D05E3C7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003497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0EE62E5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4549D18" w14:textId="77777777" w:rsidR="005B0003" w:rsidRPr="00A50CFC" w:rsidRDefault="005B0003" w:rsidP="00E97B2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2015</w:t>
            </w:r>
          </w:p>
        </w:tc>
      </w:tr>
      <w:tr w:rsidR="005B0003" w:rsidRPr="00A50CFC" w14:paraId="7FD330CA" w14:textId="77777777" w:rsidTr="00F6579D">
        <w:trPr>
          <w:trHeight w:val="20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237B070" w14:textId="0FF39A01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8F63E8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Berlín</w:t>
            </w:r>
            <w:r w:rsidR="008F63E8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D7858A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238 293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CEEFA8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274 962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70F074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307 624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6972C0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300 231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7FC38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07E0A5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E5F405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734EF5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4CE29B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238 293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23B7F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274 962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5527B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307 624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2E17F0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300 231</w:t>
            </w:r>
          </w:p>
        </w:tc>
      </w:tr>
      <w:tr w:rsidR="005B0003" w:rsidRPr="00A50CFC" w14:paraId="08234E58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03C23F" w14:textId="1622F604" w:rsidR="005B0003" w:rsidRPr="00A50CFC" w:rsidRDefault="005B0003" w:rsidP="008F63E8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8F63E8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Bratislav</w:t>
            </w:r>
            <w:r w:rsidR="008F63E8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F3FD74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1 136 337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33C52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827 166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01FE9F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523 714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35ED54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238 704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82837D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9F31E6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EE2337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6DCC16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DF48B9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378 779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99B433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275 722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46F8E4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261 857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6B0CFD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238 704</w:t>
            </w:r>
          </w:p>
        </w:tc>
      </w:tr>
      <w:tr w:rsidR="005B0003" w:rsidRPr="00A50CFC" w14:paraId="435FD5EF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D813F83" w14:textId="5644A7C8" w:rsidR="005B0003" w:rsidRPr="00A50CFC" w:rsidRDefault="005B0003" w:rsidP="00245006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Budapeš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26E719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209528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AAFCB6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337 365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51AF76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452 459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691DAB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81B14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E7B774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19B508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E6E442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73993F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6ED3D2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337 365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64EAD6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226 230</w:t>
            </w:r>
          </w:p>
        </w:tc>
      </w:tr>
      <w:tr w:rsidR="005B0003" w:rsidRPr="00A50CFC" w14:paraId="0FD9C485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E9F1999" w14:textId="22E58391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Varšav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A5F26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1 063 005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150270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1 761 990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AF58BA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1 878 373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8FAB51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2 253 579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50335F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73AE89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9F93C0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98180B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834873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265 751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232FC9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352 398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9107FD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375 675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904952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450 716</w:t>
            </w:r>
          </w:p>
        </w:tc>
      </w:tr>
      <w:tr w:rsidR="005B0003" w:rsidRPr="00A50CFC" w14:paraId="0754C2CA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054D844" w14:textId="59F51855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Víd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1F97A2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39 065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ACFEEA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62 138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603574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83 037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937499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447 376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90F95D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F49E2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464A68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455206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0C99C7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19 532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85256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31 069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BF7B60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41 519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90F344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149 125</w:t>
            </w:r>
          </w:p>
        </w:tc>
      </w:tr>
      <w:tr w:rsidR="005B0003" w:rsidRPr="00A50CFC" w14:paraId="387FAE93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9C167B1" w14:textId="2AB359BC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Víd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BB3E6D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380 853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FAC85E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99ABA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445 355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A5C3E6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D2C97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88929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66D281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4A8B84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7B24A2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126 951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DD42D4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FDB19C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445 355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37988B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</w:tr>
      <w:tr w:rsidR="005B0003" w:rsidRPr="00A50CFC" w14:paraId="4DEBC328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559172B" w14:textId="664A9228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Sydney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5DA975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366 791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DEC28A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332 090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7E0CF9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356 111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689630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16 908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A89E5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2D0570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DA7DAC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B80A3F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11FF46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122 264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1EF146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110 697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BEF04E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178 055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B9C801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5 636</w:t>
            </w:r>
          </w:p>
        </w:tc>
      </w:tr>
      <w:tr w:rsidR="005B0003" w:rsidRPr="00A50CFC" w14:paraId="17C20157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AAC193" w14:textId="3D864781" w:rsidR="005B0003" w:rsidRPr="00A50CFC" w:rsidRDefault="005B0003" w:rsidP="00245006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proofErr w:type="spellStart"/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Astan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9D121C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102 247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708E4E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390 623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B4201B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639 028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E4922E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1 580 947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6CD963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808BE0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270058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E90580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28E759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102 247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E41E24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390 623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093392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319 514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B055CB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526 982</w:t>
            </w:r>
          </w:p>
        </w:tc>
      </w:tr>
      <w:tr w:rsidR="005B0003" w:rsidRPr="00A50CFC" w14:paraId="4582C225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8BA3702" w14:textId="27A79301" w:rsidR="005B0003" w:rsidRPr="00A50CFC" w:rsidRDefault="005B0003" w:rsidP="00245006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ZÚ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Moskv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ADCF76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5 695 192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A0B322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7 960 498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A90145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10 148 365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469A92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7 143 479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48AD23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CAFB01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B045FD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1DCA48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89F989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474 599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DADCDB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497 531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FBAD9A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780 643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E3C973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649 407</w:t>
            </w:r>
          </w:p>
        </w:tc>
      </w:tr>
      <w:tr w:rsidR="005B0003" w:rsidRPr="00A50CFC" w14:paraId="162A9D18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45EEE1E" w14:textId="146E999C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Londýn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8E1C53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5 726 958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857EAC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6 671 260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FD5E02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4 869 919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B05238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2 987 251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F314A2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0F5F4D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6BF751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9FBACA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71C4C9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572 696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3B29A8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953 037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DF72A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695 703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83D63C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597 450</w:t>
            </w:r>
          </w:p>
        </w:tc>
      </w:tr>
      <w:tr w:rsidR="005B0003" w:rsidRPr="00A50CFC" w14:paraId="4D5F957B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BD97197" w14:textId="13979541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Jerevan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FE79FD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3EB1FC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E2E924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1 540 299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BAF3D4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1 737 822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CCDEA1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9B2BE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F0475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DEC8E5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71DAE5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8B640D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2E2F81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513 433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85343E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579 274</w:t>
            </w:r>
          </w:p>
        </w:tc>
      </w:tr>
      <w:tr w:rsidR="005B0003" w:rsidRPr="00A50CFC" w14:paraId="67D89E5E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6F676DC" w14:textId="394595FD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Harare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83AB45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950 383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F24F5A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497 087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7EFBF4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1 854 156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38B1EC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1 492 385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B28936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EABD1D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9D6BB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239F9B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52D97B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475 191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122A7E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124 272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98FB03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618 052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86723E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497 462</w:t>
            </w:r>
          </w:p>
        </w:tc>
      </w:tr>
      <w:tr w:rsidR="005B0003" w:rsidRPr="00A50CFC" w14:paraId="1E002897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C40735B" w14:textId="22EE4105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Hongkong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9669E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256 246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868FEC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180 180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F0420C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398 658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C69E9A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503 680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6366FF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171E93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A0D9DD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76CB19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FE5FD6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256 246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37CC9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180 180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B1553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199 329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61FD37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251 840</w:t>
            </w:r>
          </w:p>
        </w:tc>
      </w:tr>
      <w:tr w:rsidR="005B0003" w:rsidRPr="00A50CFC" w14:paraId="1EE17A08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721F0B7" w14:textId="40BBD7AD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C1C576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2 375 054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650CEE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3 449 644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1D286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885 088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AA4377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1 227 199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8F0724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B5BC68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ADD367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37F36E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269A39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475 011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9B4CA3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862 411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7BF7AD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442 544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7D7DA6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613 599</w:t>
            </w:r>
          </w:p>
        </w:tc>
      </w:tr>
      <w:tr w:rsidR="005B0003" w:rsidRPr="00A50CFC" w14:paraId="491940A4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B1340A0" w14:textId="62BF4628" w:rsidR="005B0003" w:rsidRPr="00A50CFC" w:rsidRDefault="005B0003" w:rsidP="00245006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Toront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CA30B0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5EBABC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D2A5BD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633 866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D114F4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235 424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C1BDF7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57BAC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4A658F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CB0A7D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022E8D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64AAFB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A43906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316 933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D080E4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235 424</w:t>
            </w:r>
          </w:p>
        </w:tc>
      </w:tr>
      <w:tr w:rsidR="005B0003" w:rsidRPr="00A50CFC" w14:paraId="70BCE2ED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D1B4E8" w14:textId="135E1755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016269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1 153 297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CD411F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2 486 643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EC18AF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3 503 115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1FD10F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2 165 594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48037C9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5E8D70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8D626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B0430B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ACD40D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576 649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F3D043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621 661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2D8A8B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583 852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CCC9D5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433 119</w:t>
            </w:r>
          </w:p>
        </w:tc>
      </w:tr>
      <w:tr w:rsidR="005B0003" w:rsidRPr="00A50CFC" w14:paraId="2126E860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95A9383" w14:textId="1284E92F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i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2D9D45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9B3FFF2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214 107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96EC7C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1 306 532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9F3B1A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1 259 090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4F2432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D063A6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2FC67F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82CB4F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627197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50974E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107 053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6D6871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435 511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F08D6D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419 697</w:t>
            </w:r>
          </w:p>
        </w:tc>
      </w:tr>
      <w:tr w:rsidR="005B0003" w:rsidRPr="00A50CFC" w14:paraId="36EE65AF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CAD5E6C" w14:textId="4FE22A9D" w:rsidR="005B0003" w:rsidRPr="00A50CFC" w:rsidRDefault="005B0003" w:rsidP="00245006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20C543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1 415 177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E087D8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837 108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6C3936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149 882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7FBCD6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156 442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204F97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3E1F68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EBCA09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556AB0F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914501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471 726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B518A6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418 554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2384C0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149 882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4CA10A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156 442</w:t>
            </w:r>
          </w:p>
        </w:tc>
      </w:tr>
      <w:tr w:rsidR="005B0003" w:rsidRPr="00A50CFC" w14:paraId="37BE6DE1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2BFC430" w14:textId="649C2428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Kišiněv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1D6489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4AAC88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1 258 428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6DAD0E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1 293 981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38E330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1 562 589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1482AA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97ED8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77F3C3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736D55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DA2402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839C5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419 476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8127C3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431 327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834416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520 863</w:t>
            </w:r>
          </w:p>
        </w:tc>
      </w:tr>
      <w:tr w:rsidR="005B0003" w:rsidRPr="00A50CFC" w14:paraId="2D5D099F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F8A1992" w14:textId="55240EC3" w:rsidR="005B0003" w:rsidRPr="00A50CFC" w:rsidRDefault="005B0003" w:rsidP="00A51329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Šangha</w:t>
            </w:r>
            <w:r w:rsidR="00A5132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003BECC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1 200 784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ABB59E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1 815 610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074927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2 614 388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323A4D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5 469 634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9779C2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CAD8307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7888E65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CCB6CEB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31E3E0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600 392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A3D5C8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605 203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F14127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653 597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01554A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911 606</w:t>
            </w:r>
          </w:p>
        </w:tc>
      </w:tr>
      <w:tr w:rsidR="005B0003" w:rsidRPr="00A50CFC" w14:paraId="32083954" w14:textId="77777777" w:rsidTr="00F6579D">
        <w:trPr>
          <w:trHeight w:val="20"/>
        </w:trPr>
        <w:tc>
          <w:tcPr>
            <w:tcW w:w="12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546DDC5" w14:textId="5EF36098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Santiag</w:t>
            </w:r>
            <w:r w:rsidR="00245006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</w:t>
            </w: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  <w:p w14:paraId="6AB6B391" w14:textId="77777777" w:rsidR="005B0003" w:rsidRPr="00A50CFC" w:rsidRDefault="005B0003" w:rsidP="00E97B24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de Chile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7E13BC2E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748 100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5627303D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632 498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387273FF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667 522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9D8BD54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2AE4022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083271D3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12456A38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C08B38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44DBD29A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374 050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402B3D41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316 249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55D9C240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333 761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DFDF0B6" w14:textId="77777777" w:rsidR="005B0003" w:rsidRPr="00A50CFC" w:rsidRDefault="005B0003" w:rsidP="00E97B2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A50CFC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</w:t>
            </w:r>
          </w:p>
        </w:tc>
      </w:tr>
    </w:tbl>
    <w:p w14:paraId="70AB22C8" w14:textId="40B0B284" w:rsidR="005B0003" w:rsidRPr="00F6579D" w:rsidRDefault="005B0003" w:rsidP="00065D50">
      <w:pPr>
        <w:spacing w:before="20"/>
        <w:ind w:left="142" w:hanging="568"/>
        <w:jc w:val="both"/>
        <w:rPr>
          <w:rFonts w:asciiTheme="minorHAnsi" w:hAnsiTheme="minorHAnsi" w:cstheme="minorHAnsi"/>
          <w:color w:val="000000"/>
          <w:sz w:val="18"/>
          <w:szCs w:val="18"/>
          <w:lang w:val="cs-CZ" w:eastAsia="cs-CZ"/>
        </w:rPr>
      </w:pPr>
      <w:r w:rsidRPr="00F6579D">
        <w:rPr>
          <w:rFonts w:asciiTheme="minorHAnsi" w:hAnsiTheme="minorHAnsi" w:cstheme="minorHAnsi"/>
          <w:b/>
          <w:sz w:val="18"/>
          <w:szCs w:val="18"/>
          <w:lang w:val="cs-CZ"/>
        </w:rPr>
        <w:t>Zdroj:</w:t>
      </w:r>
      <w:r w:rsidRPr="00F6579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65D50" w:rsidRPr="00065D50">
        <w:rPr>
          <w:rFonts w:asciiTheme="minorHAnsi" w:hAnsiTheme="minorHAnsi" w:cstheme="minorHAnsi"/>
          <w:sz w:val="18"/>
          <w:szCs w:val="18"/>
          <w:lang w:val="cs-CZ"/>
        </w:rPr>
        <w:t>ekonomický informační systém JASU MZV.</w:t>
      </w:r>
      <w:r w:rsidRPr="00F6579D">
        <w:rPr>
          <w:rFonts w:asciiTheme="minorHAnsi" w:hAnsiTheme="minorHAnsi" w:cstheme="minorHAnsi"/>
          <w:color w:val="000000"/>
          <w:sz w:val="18"/>
          <w:szCs w:val="18"/>
          <w:lang w:val="cs-CZ" w:eastAsia="cs-CZ"/>
        </w:rPr>
        <w:t xml:space="preserve"> </w:t>
      </w:r>
    </w:p>
    <w:p w14:paraId="70623542" w14:textId="39CD8EEC" w:rsidR="005B0003" w:rsidRPr="00F6579D" w:rsidRDefault="00B22E66" w:rsidP="00346041">
      <w:pPr>
        <w:ind w:left="142" w:hanging="568"/>
        <w:rPr>
          <w:rFonts w:asciiTheme="minorHAnsi" w:hAnsiTheme="minorHAnsi" w:cstheme="minorHAnsi"/>
          <w:sz w:val="18"/>
          <w:szCs w:val="18"/>
          <w:lang w:val="cs-CZ"/>
        </w:rPr>
      </w:pPr>
      <w:r w:rsidRPr="00F6579D">
        <w:rPr>
          <w:rFonts w:asciiTheme="minorHAnsi" w:hAnsiTheme="minorHAnsi" w:cstheme="minorHAnsi"/>
          <w:b/>
          <w:sz w:val="18"/>
          <w:szCs w:val="18"/>
          <w:lang w:val="cs-CZ"/>
        </w:rPr>
        <w:t>Pozn.:</w:t>
      </w:r>
      <w:r w:rsidR="005B0003" w:rsidRPr="00F6579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346041">
        <w:rPr>
          <w:rFonts w:asciiTheme="minorHAnsi" w:hAnsiTheme="minorHAnsi" w:cstheme="minorHAnsi"/>
          <w:sz w:val="18"/>
          <w:szCs w:val="18"/>
          <w:lang w:val="cs-CZ"/>
        </w:rPr>
        <w:tab/>
      </w:r>
      <w:r w:rsidR="005B0003" w:rsidRPr="00F6579D">
        <w:rPr>
          <w:rFonts w:asciiTheme="minorHAnsi" w:hAnsiTheme="minorHAnsi" w:cstheme="minorHAnsi"/>
          <w:sz w:val="18"/>
          <w:szCs w:val="18"/>
          <w:lang w:val="cs-CZ"/>
        </w:rPr>
        <w:t>ø – průměrná</w:t>
      </w:r>
      <w:r w:rsidR="008F63E8" w:rsidRPr="00F6579D">
        <w:rPr>
          <w:rFonts w:asciiTheme="minorHAnsi" w:hAnsiTheme="minorHAnsi" w:cstheme="minorHAnsi"/>
          <w:sz w:val="18"/>
          <w:szCs w:val="18"/>
          <w:lang w:val="cs-CZ"/>
        </w:rPr>
        <w:t>,</w:t>
      </w:r>
    </w:p>
    <w:p w14:paraId="02A226AE" w14:textId="61F8F9A5" w:rsidR="005B0003" w:rsidRPr="00F6579D" w:rsidRDefault="005B0003" w:rsidP="00267EA5">
      <w:pPr>
        <w:ind w:left="142"/>
        <w:rPr>
          <w:rFonts w:asciiTheme="minorHAnsi" w:hAnsiTheme="minorHAnsi" w:cstheme="minorHAnsi"/>
          <w:sz w:val="18"/>
          <w:szCs w:val="18"/>
          <w:lang w:val="cs-CZ"/>
        </w:rPr>
      </w:pPr>
      <w:r w:rsidRPr="00F6579D">
        <w:rPr>
          <w:rFonts w:asciiTheme="minorHAnsi" w:hAnsiTheme="minorHAnsi" w:cstheme="minorHAnsi"/>
          <w:sz w:val="18"/>
          <w:szCs w:val="18"/>
          <w:lang w:val="cs-CZ"/>
        </w:rPr>
        <w:t xml:space="preserve">ZÚ – zastupitelský úřad, SM – </w:t>
      </w:r>
      <w:r w:rsidR="008D7300">
        <w:rPr>
          <w:rFonts w:asciiTheme="minorHAnsi" w:hAnsiTheme="minorHAnsi" w:cstheme="minorHAnsi"/>
          <w:sz w:val="18"/>
          <w:szCs w:val="18"/>
          <w:lang w:val="cs-CZ"/>
        </w:rPr>
        <w:t>s</w:t>
      </w:r>
      <w:r w:rsidRPr="00F6579D">
        <w:rPr>
          <w:rFonts w:asciiTheme="minorHAnsi" w:hAnsiTheme="minorHAnsi" w:cstheme="minorHAnsi"/>
          <w:sz w:val="18"/>
          <w:szCs w:val="18"/>
          <w:lang w:val="cs-CZ"/>
        </w:rPr>
        <w:t>tálá mise, GK – generální konzulát</w:t>
      </w:r>
      <w:r w:rsidR="007979E7" w:rsidRPr="00F6579D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21B2A4E0" w14:textId="77777777" w:rsidR="005B0003" w:rsidRPr="00EB2F4A" w:rsidRDefault="005B0003" w:rsidP="005B0003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2C24660D" w14:textId="77777777" w:rsidR="005B0003" w:rsidRDefault="005B0003" w:rsidP="006F4DEA">
      <w:pPr>
        <w:rPr>
          <w:rFonts w:asciiTheme="minorHAnsi" w:hAnsiTheme="minorHAnsi" w:cstheme="minorHAnsi"/>
          <w:b/>
          <w:lang w:val="cs-CZ"/>
        </w:rPr>
      </w:pPr>
    </w:p>
    <w:p w14:paraId="18F1B59F" w14:textId="77777777" w:rsidR="006F4DEA" w:rsidRDefault="006F4DEA">
      <w:pPr>
        <w:spacing w:after="160" w:line="259" w:lineRule="auto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br w:type="page"/>
      </w:r>
    </w:p>
    <w:p w14:paraId="41AA0F22" w14:textId="17DD1EC2" w:rsidR="005B0003" w:rsidRDefault="005B0003" w:rsidP="00EB2F4A">
      <w:pPr>
        <w:jc w:val="right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lastRenderedPageBreak/>
        <w:t xml:space="preserve">Příloha č. 2 </w:t>
      </w:r>
    </w:p>
    <w:p w14:paraId="0ACBE682" w14:textId="77777777" w:rsidR="00620B34" w:rsidRDefault="00620B34" w:rsidP="00EB2F4A">
      <w:pPr>
        <w:jc w:val="right"/>
        <w:rPr>
          <w:rFonts w:asciiTheme="minorHAnsi" w:hAnsiTheme="minorHAnsi" w:cstheme="minorHAnsi"/>
          <w:b/>
          <w:lang w:val="cs-CZ"/>
        </w:rPr>
      </w:pPr>
    </w:p>
    <w:p w14:paraId="34136D82" w14:textId="4D6DAB7D" w:rsidR="005B0003" w:rsidRPr="009013CC" w:rsidRDefault="005B0003" w:rsidP="00245006">
      <w:pPr>
        <w:pStyle w:val="Zhlav"/>
        <w:spacing w:after="20"/>
        <w:rPr>
          <w:rFonts w:asciiTheme="minorHAnsi" w:hAnsiTheme="minorHAnsi" w:cstheme="minorHAnsi"/>
          <w:b/>
          <w:lang w:val="cs-CZ"/>
        </w:rPr>
      </w:pPr>
      <w:r w:rsidRPr="009013CC">
        <w:rPr>
          <w:rFonts w:asciiTheme="minorHAnsi" w:hAnsiTheme="minorHAnsi" w:cstheme="minorHAnsi"/>
          <w:b/>
          <w:lang w:val="cs-CZ"/>
        </w:rPr>
        <w:t>Výdaje na školné na 1 dítě v období let 2012–2015 (porovnání nejnižších a nejvyšších výdajů)</w:t>
      </w:r>
      <w:r>
        <w:rPr>
          <w:rFonts w:asciiTheme="minorHAnsi" w:hAnsiTheme="minorHAnsi" w:cstheme="minorHAnsi"/>
          <w:b/>
          <w:lang w:val="cs-CZ"/>
        </w:rPr>
        <w:t xml:space="preserve"> </w:t>
      </w:r>
      <w:r w:rsidR="00245006">
        <w:rPr>
          <w:rFonts w:asciiTheme="minorHAnsi" w:hAnsiTheme="minorHAnsi" w:cstheme="minorHAnsi"/>
          <w:b/>
          <w:lang w:val="cs-CZ"/>
        </w:rPr>
        <w:t xml:space="preserve">u </w:t>
      </w:r>
      <w:r>
        <w:rPr>
          <w:rFonts w:asciiTheme="minorHAnsi" w:hAnsiTheme="minorHAnsi" w:cstheme="minorHAnsi"/>
          <w:b/>
          <w:lang w:val="cs-CZ"/>
        </w:rPr>
        <w:t>kontrolního vzorku 21 ZÚ</w:t>
      </w:r>
    </w:p>
    <w:tbl>
      <w:tblPr>
        <w:tblW w:w="9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27"/>
        <w:gridCol w:w="1706"/>
        <w:gridCol w:w="2127"/>
        <w:gridCol w:w="627"/>
        <w:gridCol w:w="1227"/>
        <w:gridCol w:w="2127"/>
        <w:gridCol w:w="779"/>
      </w:tblGrid>
      <w:tr w:rsidR="005B0003" w:rsidRPr="009013CC" w14:paraId="7EFF59E9" w14:textId="77777777" w:rsidTr="00F6579D">
        <w:trPr>
          <w:trHeight w:val="567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noWrap/>
            <w:vAlign w:val="center"/>
            <w:hideMark/>
          </w:tcPr>
          <w:p w14:paraId="4FDB173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Rok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noWrap/>
            <w:vAlign w:val="center"/>
            <w:hideMark/>
          </w:tcPr>
          <w:p w14:paraId="23164411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Pořadí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noWrap/>
            <w:vAlign w:val="center"/>
            <w:hideMark/>
          </w:tcPr>
          <w:p w14:paraId="283E04A9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ZÚ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vAlign w:val="center"/>
            <w:hideMark/>
          </w:tcPr>
          <w:p w14:paraId="00640B2E" w14:textId="368A7A6D" w:rsidR="005B0003" w:rsidRPr="009013CC" w:rsidRDefault="005B0003" w:rsidP="002450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Nejnižší ø roční výdaje na školné</w:t>
            </w:r>
            <w:r w:rsidR="002450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na </w:t>
            </w: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1 dítě </w:t>
            </w:r>
            <w:r w:rsidR="002450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(</w:t>
            </w: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v Kč</w:t>
            </w:r>
            <w:r w:rsidR="002450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noWrap/>
            <w:vAlign w:val="center"/>
            <w:hideMark/>
          </w:tcPr>
          <w:p w14:paraId="190D93E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Pořadí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noWrap/>
            <w:vAlign w:val="center"/>
            <w:hideMark/>
          </w:tcPr>
          <w:p w14:paraId="38EF63C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ZÚ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BDD6EE"/>
            <w:vAlign w:val="center"/>
            <w:hideMark/>
          </w:tcPr>
          <w:p w14:paraId="3F2815D6" w14:textId="5BA35835" w:rsidR="005B0003" w:rsidRPr="009013CC" w:rsidRDefault="005B0003" w:rsidP="002450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Nejvyšší ø roční výdaje na školné</w:t>
            </w:r>
            <w:r w:rsidR="002450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 na </w:t>
            </w: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1 dítě </w:t>
            </w:r>
            <w:r w:rsidR="002450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(</w:t>
            </w: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v Kč</w:t>
            </w:r>
            <w:r w:rsidR="0024500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BDD6EE"/>
            <w:vAlign w:val="center"/>
            <w:hideMark/>
          </w:tcPr>
          <w:p w14:paraId="7FDA912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cs-CZ" w:eastAsia="cs-CZ"/>
              </w:rPr>
              <w:t>Rozdíl</w:t>
            </w:r>
          </w:p>
        </w:tc>
      </w:tr>
      <w:tr w:rsidR="005B0003" w:rsidRPr="009013CC" w14:paraId="76D92B0B" w14:textId="77777777" w:rsidTr="00F6579D">
        <w:trPr>
          <w:trHeight w:val="255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92A4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75ED3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DA29D" w14:textId="247BCD96" w:rsidR="005B0003" w:rsidRPr="009013CC" w:rsidRDefault="005B0003" w:rsidP="00EB2F4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Víd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4325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19 532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BC3C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2FF37" w14:textId="108C35F0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Šangha</w:t>
            </w:r>
            <w:r w:rsidR="00A51329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j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5AAD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600 392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8978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580 860</w:t>
            </w:r>
          </w:p>
        </w:tc>
      </w:tr>
      <w:tr w:rsidR="005B0003" w:rsidRPr="009013CC" w14:paraId="67FF77F0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5368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19209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55637" w14:textId="3C8AAF49" w:rsidR="005B0003" w:rsidRPr="009013CC" w:rsidRDefault="005B0003" w:rsidP="00EB2F4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Astan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96FBE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102 247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0BE3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16EE" w14:textId="365907C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25EF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576 649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0D2B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474 402</w:t>
            </w:r>
          </w:p>
        </w:tc>
      </w:tr>
      <w:tr w:rsidR="005B0003" w:rsidRPr="009013CC" w14:paraId="5844B8BB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90F6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0946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9C673" w14:textId="342AADEB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Sydney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F08D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122 264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3CD0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CFE47" w14:textId="0A6EDA63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Londýn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3ABE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572 696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5B88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450 432</w:t>
            </w:r>
          </w:p>
        </w:tc>
      </w:tr>
      <w:tr w:rsidR="005B0003" w:rsidRPr="009013CC" w14:paraId="600E4437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FC5C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3806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25EE3" w14:textId="2F735B69" w:rsidR="005B0003" w:rsidRPr="009013CC" w:rsidRDefault="005B0003" w:rsidP="00EB2F4A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Víd</w:t>
            </w:r>
            <w:r w:rsidR="00EB2F4A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F1863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126 951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75359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55ED0" w14:textId="15885921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Harare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3377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475 191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3AB4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348 240</w:t>
            </w:r>
          </w:p>
        </w:tc>
      </w:tr>
      <w:tr w:rsidR="005B0003" w:rsidRPr="009013CC" w14:paraId="462D1F33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BDD21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F0B1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92B81" w14:textId="1AB38DF5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Berlín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6A58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238 293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98961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83DF6" w14:textId="7C6DA60E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GK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New York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DB32E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475 011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F90A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236 718</w:t>
            </w:r>
          </w:p>
        </w:tc>
      </w:tr>
      <w:tr w:rsidR="005B0003" w:rsidRPr="009013CC" w14:paraId="54BF9234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2BAC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4103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E5F4D" w14:textId="0F67E33E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Hongkong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AE098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256 246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6F5F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70142" w14:textId="7786A774" w:rsidR="005B0003" w:rsidRPr="009013CC" w:rsidRDefault="005B0003" w:rsidP="004C5A6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Moskv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783CD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474 599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29AF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218 353</w:t>
            </w:r>
          </w:p>
        </w:tc>
      </w:tr>
      <w:tr w:rsidR="005B0003" w:rsidRPr="009013CC" w14:paraId="559C359A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8AFA1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68C0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7C363" w14:textId="03D304F4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Varšav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7FB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265 751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24AC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C2F01" w14:textId="1E1E5A7A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40A5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471 726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E52D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205 975</w:t>
            </w:r>
          </w:p>
        </w:tc>
      </w:tr>
      <w:tr w:rsidR="005B0003" w:rsidRPr="009013CC" w14:paraId="6E49B85D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4C143C3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1827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77F14" w14:textId="5171C933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Santiag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de Chile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2E64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374 050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9EF1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725E6" w14:textId="15408B16" w:rsidR="005B0003" w:rsidRPr="009013CC" w:rsidRDefault="005B0003" w:rsidP="004C5A6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Bratislav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58D7F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378 779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209AB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4 729</w:t>
            </w:r>
          </w:p>
        </w:tc>
      </w:tr>
      <w:tr w:rsidR="005B0003" w:rsidRPr="009013CC" w14:paraId="4725B2CE" w14:textId="77777777" w:rsidTr="00F6579D">
        <w:trPr>
          <w:trHeight w:val="255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2C06C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CB3C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A544D" w14:textId="6824917F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Víd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0FAD8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31 069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4076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C2F6A" w14:textId="489F7ED9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Londýn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3D62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953 037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4BEF3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921 968</w:t>
            </w:r>
          </w:p>
        </w:tc>
      </w:tr>
      <w:tr w:rsidR="005B0003" w:rsidRPr="009013CC" w14:paraId="7010C0FD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52C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9F3E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00EE2" w14:textId="57C51D7B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7E61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107 053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1FE9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05CE5" w14:textId="1FC7F189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86A99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862 411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8E4C4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755 358</w:t>
            </w:r>
          </w:p>
        </w:tc>
      </w:tr>
      <w:tr w:rsidR="005B0003" w:rsidRPr="009013CC" w14:paraId="47F0CBBA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8A68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8F27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B8BC3" w14:textId="4008D21F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Sydney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D965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110 697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CC9D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909B7" w14:textId="1D9CE01B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6879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621 661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BE0E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510 964</w:t>
            </w:r>
          </w:p>
        </w:tc>
      </w:tr>
      <w:tr w:rsidR="005B0003" w:rsidRPr="009013CC" w14:paraId="537DAF24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46872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7E15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D81AE" w14:textId="2D71D252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Harare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4C25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124 272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013B7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12F59" w14:textId="63AF7334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Šangha</w:t>
            </w:r>
            <w:r w:rsidR="00A51329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j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10F8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605 203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1D74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480 931</w:t>
            </w:r>
          </w:p>
        </w:tc>
      </w:tr>
      <w:tr w:rsidR="005B0003" w:rsidRPr="009013CC" w14:paraId="2D6AEEE1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4CFD2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579A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94873" w14:textId="0DDE84D8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Hongkong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D2783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180 180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1AE39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58E30" w14:textId="5DEEB26A" w:rsidR="005B0003" w:rsidRPr="009013CC" w:rsidRDefault="005B0003" w:rsidP="004C5A6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Moskv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C73DF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497 531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600D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317 351</w:t>
            </w:r>
          </w:p>
        </w:tc>
      </w:tr>
      <w:tr w:rsidR="005B0003" w:rsidRPr="009013CC" w14:paraId="0BA85F75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AFF2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C98E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37078" w14:textId="51AA8450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Berlín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EAA8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274 962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0A4F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603E8" w14:textId="51B7A11E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Kišiněv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0A32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419 476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F56F9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144 514</w:t>
            </w:r>
          </w:p>
        </w:tc>
      </w:tr>
      <w:tr w:rsidR="005B0003" w:rsidRPr="009013CC" w14:paraId="763A21C2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2CC8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DBD72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9AD29" w14:textId="293F8153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Bratislav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4C33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275 722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17C6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E6571" w14:textId="59E4BA4E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67AB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418 554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E901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142 832</w:t>
            </w:r>
          </w:p>
        </w:tc>
      </w:tr>
      <w:tr w:rsidR="005B0003" w:rsidRPr="009013CC" w14:paraId="58D1FFA3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E0F2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838C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76D41" w14:textId="04510773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Santiag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de Chile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7489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316 249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83A3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F4C9E" w14:textId="33978664" w:rsidR="005B0003" w:rsidRPr="009013CC" w:rsidRDefault="005B0003" w:rsidP="004C5A6F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Astan</w:t>
            </w:r>
            <w:r w:rsidR="004C5A6F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B190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390 623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CBE6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74 374</w:t>
            </w:r>
          </w:p>
        </w:tc>
      </w:tr>
      <w:tr w:rsidR="005B0003" w:rsidRPr="009013CC" w14:paraId="23B520CF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48F83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73452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ED533" w14:textId="71138932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Varšav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5F433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352 398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606D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25148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5B0003" w:rsidRPr="009013CC" w14:paraId="15E0DD68" w14:textId="77777777" w:rsidTr="00F6579D">
        <w:trPr>
          <w:trHeight w:val="255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85D2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B2EC3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DB74D" w14:textId="158327B9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Víd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DAAE3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41 519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19CD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4B67F5" w14:textId="63978EB1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Moskv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FF92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780 643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5E3C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739 124</w:t>
            </w:r>
          </w:p>
        </w:tc>
      </w:tr>
      <w:tr w:rsidR="005B0003" w:rsidRPr="009013CC" w14:paraId="202BD80C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A9F8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688C2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9536A" w14:textId="117449E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1FAA7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149 882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996E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0267F" w14:textId="338E59D3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Londýn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1772F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695 703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5FD87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545 821</w:t>
            </w:r>
          </w:p>
        </w:tc>
      </w:tr>
      <w:tr w:rsidR="005B0003" w:rsidRPr="009013CC" w14:paraId="69F71FF1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BFA1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5DA8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D8A9E" w14:textId="3543E049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Sydney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BA8D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178 055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FB7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16551" w14:textId="721C456B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Šangha</w:t>
            </w:r>
            <w:r w:rsidR="00A51329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j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8A0C8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653 597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CCFA7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475 542</w:t>
            </w:r>
          </w:p>
        </w:tc>
      </w:tr>
      <w:tr w:rsidR="005B0003" w:rsidRPr="009013CC" w14:paraId="49F4A212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15E6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081CC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02ECC" w14:textId="080A0CBF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Hongkong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0311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199 329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DED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C2995" w14:textId="0F956A50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Harare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4064F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618 052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52BB9F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418 723</w:t>
            </w:r>
          </w:p>
        </w:tc>
      </w:tr>
      <w:tr w:rsidR="005B0003" w:rsidRPr="009013CC" w14:paraId="39558A94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A682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B65C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D796A" w14:textId="4849F5C4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Bratislav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7885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261 857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71BB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03E8F" w14:textId="63069BD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CDB6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583 852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0AB88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321 995</w:t>
            </w:r>
          </w:p>
        </w:tc>
      </w:tr>
      <w:tr w:rsidR="005B0003" w:rsidRPr="009013CC" w14:paraId="14773F4B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21573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DB3C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661FD" w14:textId="3B3F188B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Berlín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9DD15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307 624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354F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FFFAA" w14:textId="156D8012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Jerevan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01ED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513 433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6BB7CE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205 809</w:t>
            </w:r>
          </w:p>
        </w:tc>
      </w:tr>
      <w:tr w:rsidR="005B0003" w:rsidRPr="009013CC" w14:paraId="284515D7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3D179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7F5C3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BF569" w14:textId="58663565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GK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Toront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28021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316 933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A5AA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4FC15" w14:textId="641B51AF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Víd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780A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445 355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05EE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128 422</w:t>
            </w:r>
          </w:p>
        </w:tc>
      </w:tr>
      <w:tr w:rsidR="005B0003" w:rsidRPr="009013CC" w14:paraId="249DA912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397B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14E87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E90A5" w14:textId="0719994B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proofErr w:type="spellStart"/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Astan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FF0AB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319 514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0AB1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0321A" w14:textId="0792AFD2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ED16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442 544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37073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123 030</w:t>
            </w:r>
          </w:p>
        </w:tc>
      </w:tr>
      <w:tr w:rsidR="005B0003" w:rsidRPr="009013CC" w14:paraId="554136E6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BE15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0DA9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EA2BB" w14:textId="7C1A893D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Santiag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de Chile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5ABB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333 761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84AE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ED3E4" w14:textId="6479FF5E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SM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Paříž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3A659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435 511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179F9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101 750</w:t>
            </w:r>
          </w:p>
        </w:tc>
      </w:tr>
      <w:tr w:rsidR="005B0003" w:rsidRPr="009013CC" w14:paraId="5638568A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3EF8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9871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0E7F5" w14:textId="210FF5CE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Budapeš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F70F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337 365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E11E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14753" w14:textId="3E1C08B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Kišiněv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9F96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431 327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2558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93 962</w:t>
            </w:r>
          </w:p>
        </w:tc>
      </w:tr>
      <w:tr w:rsidR="005B0003" w:rsidRPr="009013CC" w14:paraId="116575C0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5CC9F1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C0C46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FBE96" w14:textId="7C55910F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Varšav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F3C3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375 675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5B48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BF291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  <w:tr w:rsidR="005B0003" w:rsidRPr="009013CC" w14:paraId="6E99D56E" w14:textId="77777777" w:rsidTr="00F6579D">
        <w:trPr>
          <w:trHeight w:val="255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30EC1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2015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9F14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B2C74" w14:textId="6CCCD3FD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Sydney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5465E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5 636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95119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1AD3" w14:textId="7883FDDA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Šangha</w:t>
            </w:r>
            <w:r w:rsidR="00A51329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j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6FC7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cs-CZ" w:eastAsia="cs-CZ"/>
              </w:rPr>
              <w:t>911 606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0967B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905 970</w:t>
            </w:r>
          </w:p>
        </w:tc>
      </w:tr>
      <w:tr w:rsidR="005B0003" w:rsidRPr="009013CC" w14:paraId="5887DD86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DDA9E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8AA67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E0471" w14:textId="79AAF99C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Víd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D206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149 125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179A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48171" w14:textId="2F36DDF8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Moskv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67F1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649 407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5F07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500 282</w:t>
            </w:r>
          </w:p>
        </w:tc>
      </w:tr>
      <w:tr w:rsidR="005B0003" w:rsidRPr="009013CC" w14:paraId="0C8B2F1E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A5005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CB0B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3979F" w14:textId="23F390F3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C8B6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156 442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BA8D4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8CDBE" w14:textId="2C7E45C9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9CE1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613 599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4EB1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457 157</w:t>
            </w:r>
          </w:p>
        </w:tc>
      </w:tr>
      <w:tr w:rsidR="005B0003" w:rsidRPr="009013CC" w14:paraId="28C9E8D0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B4500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2E632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35D3CB" w14:textId="66EE3627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Budapeš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0B057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226 230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D5D3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E6058" w14:textId="7DBD6DF2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Londýn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30DD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597 450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71DAB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371 220</w:t>
            </w:r>
          </w:p>
        </w:tc>
      </w:tr>
      <w:tr w:rsidR="005B0003" w:rsidRPr="009013CC" w14:paraId="5431C39D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5362C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C222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823A3" w14:textId="5BA065CF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GK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Toront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C17C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235 424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248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EFC1C" w14:textId="2F1AF4FD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Jerevan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A6B33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579 274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F8A1A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343 850</w:t>
            </w:r>
          </w:p>
        </w:tc>
      </w:tr>
      <w:tr w:rsidR="005B0003" w:rsidRPr="009013CC" w14:paraId="5CC0386D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A3268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DC877D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699BA" w14:textId="336EA8C4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Bratislav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4742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238 704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9A2B7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3FB15" w14:textId="374D36A1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proofErr w:type="spellStart"/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Astan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41BBC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526 982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8E398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288 278</w:t>
            </w:r>
          </w:p>
        </w:tc>
      </w:tr>
      <w:tr w:rsidR="005B0003" w:rsidRPr="009013CC" w14:paraId="0C5DEF2E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19154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1144A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42D61" w14:textId="3D8DCAB0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GK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Hongkong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DBB8D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251 840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0FDD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71758" w14:textId="4EA653A4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ZÚ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v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Kišiněv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7569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520 863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10371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269 023</w:t>
            </w:r>
          </w:p>
        </w:tc>
      </w:tr>
      <w:tr w:rsidR="005B0003" w:rsidRPr="009013CC" w14:paraId="6E33DDC8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D6532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FEC7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F0E4F" w14:textId="02619DF6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Berlín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4C352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300 231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5D35F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4A87EE" w14:textId="5DE386DB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Harare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D739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497 462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7BE8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197 231</w:t>
            </w:r>
          </w:p>
        </w:tc>
      </w:tr>
      <w:tr w:rsidR="005B0003" w:rsidRPr="009013CC" w14:paraId="75CBD9F0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04514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70130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537A6" w14:textId="6ACB1D40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Paříž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i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64B166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419 697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66495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7D6965" w14:textId="283586A5" w:rsidR="005B0003" w:rsidRPr="009013CC" w:rsidRDefault="005B0003" w:rsidP="0034736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ZÚ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ve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Varšav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ě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10330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450 716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40474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31 019</w:t>
            </w:r>
          </w:p>
        </w:tc>
      </w:tr>
      <w:tr w:rsidR="005B0003" w:rsidRPr="009013CC" w14:paraId="05395A00" w14:textId="77777777" w:rsidTr="00F6579D">
        <w:trPr>
          <w:trHeight w:val="255"/>
        </w:trPr>
        <w:tc>
          <w:tcPr>
            <w:tcW w:w="5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74B982" w14:textId="77777777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D8AAB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D7ED0" w14:textId="3DD3918F" w:rsidR="005B0003" w:rsidRPr="009013CC" w:rsidRDefault="005B0003" w:rsidP="00E97B24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SM 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 xml:space="preserve">v </w:t>
            </w: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New York</w:t>
            </w:r>
            <w:r w:rsidR="0034736B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D059" w14:textId="77777777" w:rsidR="005B0003" w:rsidRPr="009013CC" w:rsidRDefault="005B0003" w:rsidP="00E97B24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433 119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63B78E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859888" w14:textId="77777777" w:rsidR="005B0003" w:rsidRPr="009013CC" w:rsidRDefault="005B0003" w:rsidP="00E97B2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</w:pPr>
            <w:r w:rsidRPr="009013CC">
              <w:rPr>
                <w:rFonts w:asciiTheme="minorHAnsi" w:hAnsiTheme="minorHAnsi" w:cstheme="minorHAnsi"/>
                <w:color w:val="000000"/>
                <w:sz w:val="16"/>
                <w:szCs w:val="16"/>
                <w:lang w:val="cs-CZ" w:eastAsia="cs-CZ"/>
              </w:rPr>
              <w:t> </w:t>
            </w:r>
          </w:p>
        </w:tc>
      </w:tr>
    </w:tbl>
    <w:p w14:paraId="373E3AC8" w14:textId="208A9CB1" w:rsidR="005B0003" w:rsidRPr="00F6579D" w:rsidRDefault="005B0003" w:rsidP="00065D50">
      <w:pPr>
        <w:spacing w:before="40" w:line="214" w:lineRule="auto"/>
        <w:ind w:left="567" w:hanging="567"/>
        <w:jc w:val="both"/>
        <w:rPr>
          <w:rFonts w:asciiTheme="minorHAnsi" w:hAnsiTheme="minorHAnsi" w:cstheme="minorHAnsi"/>
          <w:color w:val="000000"/>
          <w:sz w:val="18"/>
          <w:szCs w:val="18"/>
          <w:lang w:val="cs-CZ" w:eastAsia="cs-CZ"/>
        </w:rPr>
      </w:pPr>
      <w:r w:rsidRPr="00F6579D">
        <w:rPr>
          <w:rFonts w:asciiTheme="minorHAnsi" w:hAnsiTheme="minorHAnsi" w:cstheme="minorHAnsi"/>
          <w:b/>
          <w:sz w:val="18"/>
          <w:szCs w:val="18"/>
          <w:lang w:val="cs-CZ"/>
        </w:rPr>
        <w:t>Zdroj:</w:t>
      </w:r>
      <w:r w:rsidRPr="00F6579D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65D50" w:rsidRPr="00065D50">
        <w:rPr>
          <w:rFonts w:asciiTheme="minorHAnsi" w:hAnsiTheme="minorHAnsi" w:cstheme="minorHAnsi"/>
          <w:sz w:val="18"/>
          <w:szCs w:val="18"/>
          <w:lang w:val="cs-CZ"/>
        </w:rPr>
        <w:t>ekonomický informační systém JASU MZV.</w:t>
      </w:r>
      <w:r w:rsidRPr="00F6579D">
        <w:rPr>
          <w:rFonts w:asciiTheme="minorHAnsi" w:hAnsiTheme="minorHAnsi" w:cstheme="minorHAnsi"/>
          <w:color w:val="000000"/>
          <w:sz w:val="18"/>
          <w:szCs w:val="18"/>
          <w:lang w:val="cs-CZ" w:eastAsia="cs-CZ"/>
        </w:rPr>
        <w:t xml:space="preserve"> </w:t>
      </w:r>
    </w:p>
    <w:p w14:paraId="6961D702" w14:textId="33EFCB39" w:rsidR="005B0003" w:rsidRPr="00F6579D" w:rsidRDefault="00EB2F4A" w:rsidP="00346041">
      <w:pPr>
        <w:spacing w:line="214" w:lineRule="auto"/>
        <w:ind w:left="567" w:hanging="567"/>
        <w:rPr>
          <w:rFonts w:asciiTheme="minorHAnsi" w:hAnsiTheme="minorHAnsi" w:cstheme="minorHAnsi"/>
          <w:sz w:val="18"/>
          <w:szCs w:val="18"/>
          <w:lang w:val="cs-CZ"/>
        </w:rPr>
      </w:pPr>
      <w:r w:rsidRPr="00F6579D">
        <w:rPr>
          <w:rFonts w:asciiTheme="minorHAnsi" w:hAnsiTheme="minorHAnsi" w:cstheme="minorHAnsi"/>
          <w:b/>
          <w:sz w:val="18"/>
          <w:szCs w:val="18"/>
          <w:lang w:val="cs-CZ"/>
        </w:rPr>
        <w:t>Pozn.:</w:t>
      </w:r>
      <w:r w:rsidR="005B0003" w:rsidRPr="00F6579D">
        <w:rPr>
          <w:rFonts w:asciiTheme="minorHAnsi" w:hAnsiTheme="minorHAnsi" w:cstheme="minorHAnsi"/>
          <w:sz w:val="18"/>
          <w:szCs w:val="18"/>
          <w:lang w:val="cs-CZ"/>
        </w:rPr>
        <w:t xml:space="preserve"> ø</w:t>
      </w:r>
      <w:r w:rsidR="005B0003" w:rsidRPr="00F6579D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5B0003" w:rsidRPr="00F6579D">
        <w:rPr>
          <w:rFonts w:asciiTheme="minorHAnsi" w:hAnsiTheme="minorHAnsi" w:cstheme="minorHAnsi"/>
          <w:sz w:val="18"/>
          <w:szCs w:val="18"/>
          <w:lang w:val="cs-CZ"/>
        </w:rPr>
        <w:t>– průměrn</w:t>
      </w:r>
      <w:r w:rsidRPr="00F6579D">
        <w:rPr>
          <w:rFonts w:asciiTheme="minorHAnsi" w:hAnsiTheme="minorHAnsi" w:cstheme="minorHAnsi"/>
          <w:sz w:val="18"/>
          <w:szCs w:val="18"/>
          <w:lang w:val="cs-CZ"/>
        </w:rPr>
        <w:t>é</w:t>
      </w:r>
      <w:r w:rsidR="005B0003" w:rsidRPr="00F6579D">
        <w:rPr>
          <w:rFonts w:asciiTheme="minorHAnsi" w:hAnsiTheme="minorHAnsi" w:cstheme="minorHAnsi"/>
          <w:sz w:val="18"/>
          <w:szCs w:val="18"/>
          <w:lang w:val="cs-CZ"/>
        </w:rPr>
        <w:t xml:space="preserve">, ZÚ – zastupitelský úřad, SM – </w:t>
      </w:r>
      <w:r w:rsidR="008D7300">
        <w:rPr>
          <w:rFonts w:asciiTheme="minorHAnsi" w:hAnsiTheme="minorHAnsi" w:cstheme="minorHAnsi"/>
          <w:sz w:val="18"/>
          <w:szCs w:val="18"/>
          <w:lang w:val="cs-CZ"/>
        </w:rPr>
        <w:t>s</w:t>
      </w:r>
      <w:r w:rsidR="005B0003" w:rsidRPr="00F6579D">
        <w:rPr>
          <w:rFonts w:asciiTheme="minorHAnsi" w:hAnsiTheme="minorHAnsi" w:cstheme="minorHAnsi"/>
          <w:sz w:val="18"/>
          <w:szCs w:val="18"/>
          <w:lang w:val="cs-CZ"/>
        </w:rPr>
        <w:t>tálá mise, GK – generální konzulát</w:t>
      </w:r>
      <w:r w:rsidR="007979E7" w:rsidRPr="00F6579D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14:paraId="69824516" w14:textId="00A9ED6C" w:rsidR="00065D50" w:rsidRDefault="00065D50">
      <w:pPr>
        <w:spacing w:after="160" w:line="259" w:lineRule="auto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br w:type="page"/>
      </w:r>
    </w:p>
    <w:p w14:paraId="321DCF40" w14:textId="77777777" w:rsidR="002F1585" w:rsidRDefault="005B0003" w:rsidP="00F6579D">
      <w:pPr>
        <w:spacing w:after="240"/>
        <w:jc w:val="right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lastRenderedPageBreak/>
        <w:t xml:space="preserve">Příloha č. 3 </w:t>
      </w:r>
    </w:p>
    <w:p w14:paraId="569E8595" w14:textId="1F105045" w:rsidR="005B0003" w:rsidRDefault="005B0003" w:rsidP="005A05DC">
      <w:pPr>
        <w:ind w:left="57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Údaje k porovnání výdajů v letech 201</w:t>
      </w:r>
      <w:r w:rsidR="00A8002B">
        <w:rPr>
          <w:rFonts w:asciiTheme="minorHAnsi" w:hAnsiTheme="minorHAnsi" w:cstheme="minorHAnsi"/>
          <w:b/>
          <w:lang w:val="cs-CZ"/>
        </w:rPr>
        <w:t>2–</w:t>
      </w:r>
      <w:r>
        <w:rPr>
          <w:rFonts w:asciiTheme="minorHAnsi" w:hAnsiTheme="minorHAnsi" w:cstheme="minorHAnsi"/>
          <w:b/>
          <w:lang w:val="cs-CZ"/>
        </w:rPr>
        <w:t>2014</w:t>
      </w:r>
    </w:p>
    <w:tbl>
      <w:tblPr>
        <w:tblW w:w="9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1040"/>
        <w:gridCol w:w="1040"/>
        <w:gridCol w:w="1060"/>
      </w:tblGrid>
      <w:tr w:rsidR="00065D50" w:rsidRPr="00065D50" w14:paraId="13DF7370" w14:textId="77777777" w:rsidTr="00F6579D">
        <w:trPr>
          <w:trHeight w:val="227"/>
        </w:trPr>
        <w:tc>
          <w:tcPr>
            <w:tcW w:w="6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C5D9F1"/>
            <w:noWrap/>
            <w:vAlign w:val="center"/>
            <w:hideMark/>
          </w:tcPr>
          <w:p w14:paraId="7029666F" w14:textId="77777777" w:rsidR="00065D50" w:rsidRPr="00065D50" w:rsidRDefault="00065D50" w:rsidP="00065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5D9F1"/>
            <w:noWrap/>
            <w:vAlign w:val="center"/>
            <w:hideMark/>
          </w:tcPr>
          <w:p w14:paraId="7F4BA3B6" w14:textId="77777777" w:rsidR="00065D50" w:rsidRPr="00065D50" w:rsidRDefault="00065D50" w:rsidP="00065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65D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C5D9F1"/>
            <w:noWrap/>
            <w:vAlign w:val="center"/>
            <w:hideMark/>
          </w:tcPr>
          <w:p w14:paraId="13D472D5" w14:textId="77777777" w:rsidR="00065D50" w:rsidRPr="00065D50" w:rsidRDefault="00065D50" w:rsidP="00065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65D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14:paraId="584616A4" w14:textId="77777777" w:rsidR="00065D50" w:rsidRPr="00065D50" w:rsidRDefault="00065D50" w:rsidP="00065D5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065D5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2014</w:t>
            </w:r>
          </w:p>
        </w:tc>
      </w:tr>
      <w:tr w:rsidR="00065D50" w:rsidRPr="00065D50" w14:paraId="468CF20D" w14:textId="77777777" w:rsidTr="00F6579D">
        <w:trPr>
          <w:trHeight w:val="227"/>
        </w:trPr>
        <w:tc>
          <w:tcPr>
            <w:tcW w:w="6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C4BB4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HDP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1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ČR (v mil. Kč)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12530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4 040 646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C726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4 076 167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D128A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4 260 421</w:t>
            </w:r>
          </w:p>
        </w:tc>
      </w:tr>
      <w:tr w:rsidR="00065D50" w:rsidRPr="00065D50" w14:paraId="3D3B1E75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EC639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HDP Slovenska (v mil. Kč)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748F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1 820 856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6A71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1 917 793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4C6CB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2 080 407</w:t>
            </w:r>
          </w:p>
        </w:tc>
      </w:tr>
      <w:tr w:rsidR="00065D50" w:rsidRPr="00065D50" w14:paraId="6C5B2B41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C37A3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HDP Německa (v mil. Kč)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F267C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69 265 445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4145A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73 267 979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D8819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80 276 591</w:t>
            </w:r>
          </w:p>
        </w:tc>
      </w:tr>
      <w:tr w:rsidR="00065D50" w:rsidRPr="00065D50" w14:paraId="5D66E60B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74657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HDP Polska (v mil. Kč)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672367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9 787 499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A082A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10 249 387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C0CC34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11 311 784</w:t>
            </w:r>
          </w:p>
        </w:tc>
      </w:tr>
      <w:tr w:rsidR="00065D50" w:rsidRPr="00065D50" w14:paraId="22B194C6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41747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HDP Rakouska (v mil. Kč)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4DCC1E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7 971 734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C861E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8 386 441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D22A6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9 066 496</w:t>
            </w:r>
          </w:p>
        </w:tc>
      </w:tr>
      <w:tr w:rsidR="00065D50" w:rsidRPr="00065D50" w14:paraId="31958A3A" w14:textId="77777777" w:rsidTr="00F6579D">
        <w:trPr>
          <w:trHeight w:val="227"/>
        </w:trPr>
        <w:tc>
          <w:tcPr>
            <w:tcW w:w="6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5443A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Celkové výdaje státního rozpočtu ČR 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725D0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1 152 387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24DA4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1 173 128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59657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1 211 608</w:t>
            </w:r>
          </w:p>
        </w:tc>
      </w:tr>
      <w:tr w:rsidR="00065D50" w:rsidRPr="00065D50" w14:paraId="6E53F66D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4954E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Výdaje státního rozpočtu Slovenska 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0C10D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337 093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B094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326 046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EF46D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363 226</w:t>
            </w:r>
          </w:p>
        </w:tc>
      </w:tr>
      <w:tr w:rsidR="00065D50" w:rsidRPr="00065D50" w14:paraId="597CBFAE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1A51E" w14:textId="05440CD7" w:rsidR="00065D50" w:rsidRPr="00065D50" w:rsidRDefault="00065D50" w:rsidP="005A05DC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Výdaje státního rozpočtu Německa (</w:t>
            </w:r>
            <w:r w:rsidR="005A05DC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v 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C82A9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7 834 559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5DF2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8 051 940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1DE8E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8 163 535</w:t>
            </w:r>
          </w:p>
        </w:tc>
      </w:tr>
      <w:tr w:rsidR="00065D50" w:rsidRPr="00065D50" w14:paraId="2221B0B4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26748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Výdaje státního rozpočtu Polska 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D0EC4E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1 911 191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063A30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1 988 806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F312B6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2 057 004</w:t>
            </w:r>
          </w:p>
        </w:tc>
      </w:tr>
      <w:tr w:rsidR="00065D50" w:rsidRPr="00065D50" w14:paraId="5E878A9D" w14:textId="77777777" w:rsidTr="00F6579D">
        <w:trPr>
          <w:trHeight w:val="227"/>
        </w:trPr>
        <w:tc>
          <w:tcPr>
            <w:tcW w:w="6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4A20A" w14:textId="767249E3" w:rsidR="00065D50" w:rsidRPr="00065D50" w:rsidRDefault="00065D50" w:rsidP="005A05DC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Výdaje kapitoly 306 </w:t>
            </w:r>
            <w:r w:rsidR="005A05DC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– 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MZV ČR 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2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49196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5 757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027A4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6 156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D656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6 030</w:t>
            </w:r>
          </w:p>
        </w:tc>
      </w:tr>
      <w:tr w:rsidR="00065D50" w:rsidRPr="00065D50" w14:paraId="1FF3B28D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8859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Výdaje Ministerstva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zahraničných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vecí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európskych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záležitostí Slovenska </w:t>
            </w:r>
          </w:p>
          <w:p w14:paraId="1DC4739C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493E0C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3 140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822A8C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3 454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B1B18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3 235</w:t>
            </w:r>
          </w:p>
        </w:tc>
      </w:tr>
      <w:tr w:rsidR="00065D50" w:rsidRPr="00065D50" w14:paraId="0D5CFA2A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59B65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Výdaje </w:t>
            </w:r>
            <w:r w:rsidRPr="00065D50">
              <w:rPr>
                <w:rFonts w:ascii="Calibri" w:hAnsi="Calibri" w:cs="Calibri"/>
                <w:sz w:val="18"/>
                <w:szCs w:val="18"/>
                <w:lang w:val="de-DE" w:eastAsia="cs-CZ"/>
              </w:rPr>
              <w:t>Auswärtiges Amt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Německa 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F7592B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83 568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2249A8B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90 540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498AC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100 172</w:t>
            </w:r>
          </w:p>
        </w:tc>
      </w:tr>
      <w:tr w:rsidR="00065D50" w:rsidRPr="00065D50" w14:paraId="3E876A2F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2F5E4E4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Výdaje Ministerstva </w:t>
            </w:r>
            <w:r w:rsidRPr="00065D50">
              <w:rPr>
                <w:rFonts w:ascii="Calibri" w:hAnsi="Calibri" w:cs="Calibri"/>
                <w:sz w:val="18"/>
                <w:szCs w:val="18"/>
                <w:lang w:val="pl-PL" w:eastAsia="cs-CZ"/>
              </w:rPr>
              <w:t>Spraw Zagranicznych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Polska 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5ACB2D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10 602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31811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10 983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3175F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11 978</w:t>
            </w:r>
          </w:p>
        </w:tc>
      </w:tr>
      <w:tr w:rsidR="00065D50" w:rsidRPr="00065D50" w14:paraId="397AD2EE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64AA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Výdaje </w:t>
            </w:r>
            <w:r w:rsidRPr="00065D50">
              <w:rPr>
                <w:rFonts w:ascii="Calibri" w:hAnsi="Calibri" w:cs="Calibri"/>
                <w:sz w:val="18"/>
                <w:szCs w:val="18"/>
                <w:lang w:val="de-AT" w:eastAsia="cs-CZ"/>
              </w:rPr>
              <w:t>Bundesministerium für Europa, Integration und Äußeres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Rakouska </w:t>
            </w:r>
          </w:p>
          <w:p w14:paraId="0C7FCB91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(v mil. Kč)</w:t>
            </w:r>
            <w:r w:rsidRPr="00065D50">
              <w:rPr>
                <w:rFonts w:ascii="Calibri" w:hAnsi="Calibri" w:cs="Calibri"/>
                <w:sz w:val="18"/>
                <w:szCs w:val="18"/>
                <w:vertAlign w:val="superscript"/>
                <w:lang w:val="cs-CZ" w:eastAsia="cs-CZ"/>
              </w:rPr>
              <w:t>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B12C4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10 293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0FB846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10 459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12D4CF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11 530</w:t>
            </w:r>
          </w:p>
        </w:tc>
      </w:tr>
      <w:tr w:rsidR="00065D50" w:rsidRPr="00065D50" w14:paraId="5FC54C60" w14:textId="77777777" w:rsidTr="00F6579D">
        <w:trPr>
          <w:trHeight w:val="227"/>
        </w:trPr>
        <w:tc>
          <w:tcPr>
            <w:tcW w:w="6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AC41C" w14:textId="19898313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kapitoly 306 </w:t>
            </w:r>
            <w:r w:rsidR="005A05DC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– 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MZV na celkových výdajích SR ČR (v %)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42433C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0,50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1A1F3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0,52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2BCF87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0,50</w:t>
            </w:r>
          </w:p>
        </w:tc>
      </w:tr>
      <w:tr w:rsidR="00065D50" w:rsidRPr="00065D50" w14:paraId="19C89675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FF304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Ministerstva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zahraničných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vecí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európskych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záležitostí </w:t>
            </w:r>
          </w:p>
          <w:p w14:paraId="11EAA8C3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na celkových výdajích SR Slovenska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258FF2D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0,93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42665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1,06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5D27B2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0,89</w:t>
            </w:r>
          </w:p>
        </w:tc>
      </w:tr>
      <w:tr w:rsidR="00065D50" w:rsidRPr="00065D50" w14:paraId="6CFCAC34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0C239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</w:t>
            </w:r>
            <w:r w:rsidRPr="00065D50">
              <w:rPr>
                <w:rFonts w:ascii="Calibri" w:hAnsi="Calibri" w:cs="Calibri"/>
                <w:sz w:val="18"/>
                <w:szCs w:val="18"/>
                <w:lang w:val="de-AT" w:eastAsia="cs-CZ"/>
              </w:rPr>
              <w:t>Auswärtiges Amt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na celkových výdajích SR Německa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67D5A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1,07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47B61EC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686BCF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1,23</w:t>
            </w:r>
          </w:p>
        </w:tc>
      </w:tr>
      <w:tr w:rsidR="00065D50" w:rsidRPr="00065D50" w14:paraId="4D60C61D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73616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Ministerstva </w:t>
            </w:r>
            <w:r w:rsidRPr="00065D50">
              <w:rPr>
                <w:rFonts w:ascii="Calibri" w:hAnsi="Calibri" w:cs="Calibri"/>
                <w:sz w:val="18"/>
                <w:szCs w:val="18"/>
                <w:lang w:val="pl-PL" w:eastAsia="cs-CZ"/>
              </w:rPr>
              <w:t>Spraw Zagranicznych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na celkových výdajích SR Polska </w:t>
            </w:r>
          </w:p>
          <w:p w14:paraId="7692B2BF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E03189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D94131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6C859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0,58</w:t>
            </w:r>
          </w:p>
        </w:tc>
      </w:tr>
      <w:tr w:rsidR="00065D50" w:rsidRPr="00065D50" w14:paraId="58856935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D20D4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de-AT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</w:t>
            </w:r>
            <w:r w:rsidRPr="00065D50">
              <w:rPr>
                <w:rFonts w:ascii="Calibri" w:hAnsi="Calibri" w:cs="Calibri"/>
                <w:sz w:val="18"/>
                <w:szCs w:val="18"/>
                <w:lang w:val="de-AT" w:eastAsia="cs-CZ"/>
              </w:rPr>
              <w:t xml:space="preserve">Bundesministerium für Europa, Integration und Äußeres </w:t>
            </w:r>
          </w:p>
          <w:p w14:paraId="6B0113C5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na celkových výdajích SR Rakouska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05398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3BEC4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A4929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0,55</w:t>
            </w:r>
          </w:p>
        </w:tc>
      </w:tr>
      <w:tr w:rsidR="00065D50" w:rsidRPr="00065D50" w14:paraId="0614752D" w14:textId="77777777" w:rsidTr="00F6579D">
        <w:trPr>
          <w:trHeight w:val="227"/>
        </w:trPr>
        <w:tc>
          <w:tcPr>
            <w:tcW w:w="61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202C1" w14:textId="4B764240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kapitoly 306 </w:t>
            </w:r>
            <w:r w:rsidR="005A05DC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– 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MZV na HDP ČR (v %)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D05A30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0,14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20C67E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0,15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BAE8E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0,14</w:t>
            </w:r>
          </w:p>
        </w:tc>
      </w:tr>
      <w:tr w:rsidR="00065D50" w:rsidRPr="00065D50" w14:paraId="4E1392A4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FEEED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Ministerstva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zahraničných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vecí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a </w:t>
            </w:r>
            <w:proofErr w:type="spellStart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európskych</w:t>
            </w:r>
            <w:proofErr w:type="spellEnd"/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záležitostí na HDP Slovenska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DDE10C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0F793B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AA8740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0,16</w:t>
            </w:r>
          </w:p>
        </w:tc>
      </w:tr>
      <w:tr w:rsidR="00065D50" w:rsidRPr="00065D50" w14:paraId="43656523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D8919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</w:t>
            </w:r>
            <w:r w:rsidRPr="00065D50">
              <w:rPr>
                <w:rFonts w:ascii="Calibri" w:hAnsi="Calibri" w:cs="Calibri"/>
                <w:sz w:val="18"/>
                <w:szCs w:val="18"/>
                <w:lang w:val="de-DE" w:eastAsia="cs-CZ"/>
              </w:rPr>
              <w:t>Auswärtiges Amt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na HDP Německa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B17706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2FED15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A7188B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0,12</w:t>
            </w:r>
          </w:p>
        </w:tc>
      </w:tr>
      <w:tr w:rsidR="00065D50" w:rsidRPr="00065D50" w14:paraId="1772AC1F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5C4FC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Ministerstva </w:t>
            </w:r>
            <w:r w:rsidRPr="00065D50">
              <w:rPr>
                <w:rFonts w:ascii="Calibri" w:hAnsi="Calibri" w:cs="Calibri"/>
                <w:sz w:val="18"/>
                <w:szCs w:val="18"/>
                <w:lang w:val="pl-PL" w:eastAsia="cs-CZ"/>
              </w:rPr>
              <w:t>Spraw Zagranicznych</w:t>
            </w: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 na HDP Polska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C2C626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38680A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FBFF02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0,11</w:t>
            </w:r>
          </w:p>
        </w:tc>
      </w:tr>
      <w:tr w:rsidR="00065D50" w:rsidRPr="00065D50" w14:paraId="798EF497" w14:textId="77777777" w:rsidTr="00F6579D">
        <w:trPr>
          <w:trHeight w:val="227"/>
        </w:trPr>
        <w:tc>
          <w:tcPr>
            <w:tcW w:w="61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E42D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de-AT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 xml:space="preserve">Podíl výdajů </w:t>
            </w:r>
            <w:r w:rsidRPr="00065D50">
              <w:rPr>
                <w:rFonts w:ascii="Calibri" w:hAnsi="Calibri" w:cs="Calibri"/>
                <w:sz w:val="18"/>
                <w:szCs w:val="18"/>
                <w:lang w:val="de-AT" w:eastAsia="cs-CZ"/>
              </w:rPr>
              <w:t xml:space="preserve">Bundesministerium für Europa, Integration und Äußeres </w:t>
            </w:r>
          </w:p>
          <w:p w14:paraId="6BDB4DB0" w14:textId="77777777" w:rsidR="00065D50" w:rsidRPr="00065D50" w:rsidRDefault="00065D50" w:rsidP="00065D50">
            <w:pPr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na HDP Rakouska (v %)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74053BE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D9952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3B35E3" w14:textId="77777777" w:rsidR="00065D50" w:rsidRPr="00065D50" w:rsidRDefault="00065D50" w:rsidP="00065D50">
            <w:pPr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065D50">
              <w:rPr>
                <w:rFonts w:ascii="Calibri" w:hAnsi="Calibri" w:cs="Calibri"/>
                <w:sz w:val="18"/>
                <w:szCs w:val="18"/>
                <w:lang w:val="cs-CZ" w:eastAsia="cs-CZ"/>
              </w:rPr>
              <w:t>0,13</w:t>
            </w:r>
          </w:p>
        </w:tc>
      </w:tr>
    </w:tbl>
    <w:p w14:paraId="49BAF170" w14:textId="40A18E8B" w:rsidR="00065D50" w:rsidRPr="00D81166" w:rsidRDefault="00065D50" w:rsidP="00D81166">
      <w:pPr>
        <w:tabs>
          <w:tab w:val="left" w:pos="851"/>
        </w:tabs>
        <w:ind w:left="709" w:hanging="652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eastAsiaTheme="minorHAnsi" w:hAnsiTheme="minorHAnsi" w:cstheme="minorHAnsi"/>
          <w:b/>
          <w:sz w:val="18"/>
          <w:szCs w:val="18"/>
          <w:lang w:val="cs-CZ"/>
        </w:rPr>
        <w:t>Zdroje:</w:t>
      </w:r>
      <w:r w:rsidRPr="009D3B4C">
        <w:rPr>
          <w:rFonts w:asciiTheme="minorHAnsi" w:eastAsiaTheme="minorHAnsi" w:hAnsiTheme="minorHAnsi" w:cstheme="minorHAnsi"/>
          <w:i/>
          <w:sz w:val="18"/>
          <w:szCs w:val="18"/>
          <w:lang w:val="cs-CZ"/>
        </w:rPr>
        <w:tab/>
      </w: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>1</w:t>
      </w:r>
      <w:r w:rsidR="009D3B4C"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hyperlink r:id="rId12" w:history="1">
        <w:r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http://ec.europa.eu/eurostat/data/database</w:t>
        </w:r>
      </w:hyperlink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</w:p>
    <w:p w14:paraId="23CD34A0" w14:textId="14F97245" w:rsidR="00065D50" w:rsidRPr="00D81166" w:rsidRDefault="00065D50" w:rsidP="009D3B4C">
      <w:pPr>
        <w:tabs>
          <w:tab w:val="left" w:pos="851"/>
        </w:tabs>
        <w:ind w:left="709" w:hanging="709"/>
        <w:rPr>
          <w:rFonts w:asciiTheme="minorHAnsi" w:hAnsiTheme="minorHAnsi" w:cstheme="minorHAnsi"/>
          <w:sz w:val="18"/>
          <w:szCs w:val="18"/>
          <w:lang w:val="cs-CZ" w:eastAsia="cs-CZ"/>
        </w:rPr>
      </w:pPr>
      <w:r w:rsidRPr="00D81166">
        <w:rPr>
          <w:rFonts w:asciiTheme="minorHAnsi" w:hAnsiTheme="minorHAnsi" w:cstheme="minorHAnsi"/>
          <w:sz w:val="18"/>
          <w:szCs w:val="18"/>
          <w:lang w:val="cs-CZ" w:eastAsia="cs-CZ"/>
        </w:rPr>
        <w:tab/>
      </w: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 xml:space="preserve">2  </w:t>
      </w:r>
      <w:r w:rsidR="009D3B4C"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hyperlink r:id="rId13" w:history="1">
        <w:r w:rsidRPr="00D81166">
          <w:rPr>
            <w:rFonts w:asciiTheme="minorHAnsi" w:hAnsiTheme="minorHAnsi" w:cstheme="minorHAnsi"/>
            <w:sz w:val="18"/>
            <w:szCs w:val="18"/>
            <w:lang w:val="cs-CZ" w:eastAsia="cs-CZ"/>
          </w:rPr>
          <w:t>www.monitor.statnipokladna.cz</w:t>
        </w:r>
      </w:hyperlink>
      <w:r w:rsidRPr="00D81166">
        <w:rPr>
          <w:rFonts w:asciiTheme="minorHAnsi" w:hAnsiTheme="minorHAnsi" w:cstheme="minorHAnsi"/>
          <w:sz w:val="18"/>
          <w:szCs w:val="18"/>
          <w:lang w:val="cs-CZ" w:eastAsia="cs-CZ"/>
        </w:rPr>
        <w:t>.</w:t>
      </w:r>
    </w:p>
    <w:p w14:paraId="126896EC" w14:textId="2B3F8EE6" w:rsidR="00065D50" w:rsidRPr="00D81166" w:rsidRDefault="00065D50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r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 xml:space="preserve">3 </w:t>
      </w:r>
      <w:r w:rsidR="009D3B4C"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ab/>
      </w:r>
      <w:hyperlink r:id="rId14" w:history="1">
        <w:r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www.rozpocet.sk</w:t>
        </w:r>
      </w:hyperlink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,</w:t>
      </w:r>
      <w:r w:rsidR="00B518B8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celkové výdaje SR upravené, bez zdrojů z EU, </w:t>
      </w:r>
      <w:r w:rsidRPr="00D81166">
        <w:rPr>
          <w:rFonts w:asciiTheme="minorHAnsi" w:hAnsiTheme="minorHAnsi" w:cstheme="minorHAnsi"/>
          <w:sz w:val="18"/>
          <w:szCs w:val="18"/>
          <w:lang w:val="cs-CZ" w:eastAsia="cs-CZ"/>
        </w:rPr>
        <w:t>skutečnost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</w:p>
    <w:p w14:paraId="5172A96F" w14:textId="6BCA3511" w:rsidR="00065D50" w:rsidRPr="00D81166" w:rsidRDefault="00065D50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r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 xml:space="preserve">4 </w:t>
      </w:r>
      <w:r w:rsidR="009D3B4C"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ab/>
      </w:r>
      <w:hyperlink r:id="rId15" w:history="1">
        <w:r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www.bundeshaushalt-info.de</w:t>
        </w:r>
      </w:hyperlink>
      <w:r w:rsidRPr="00B518B8">
        <w:rPr>
          <w:rFonts w:asciiTheme="minorHAnsi" w:eastAsiaTheme="minorHAnsi" w:hAnsiTheme="minorHAnsi" w:cstheme="minorHAnsi"/>
          <w:sz w:val="18"/>
          <w:szCs w:val="18"/>
          <w:lang w:val="cs-CZ"/>
        </w:rPr>
        <w:t>,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</w:t>
      </w:r>
      <w:hyperlink r:id="rId16" w:history="1">
        <w:r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www.auswaertiges-amt.de</w:t>
        </w:r>
      </w:hyperlink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</w:p>
    <w:p w14:paraId="36DAEF07" w14:textId="6C0DE6A1" w:rsidR="00065D50" w:rsidRPr="00D81166" w:rsidRDefault="009D3B4C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r w:rsidR="00065D50"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 xml:space="preserve">5 </w:t>
      </w: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proofErr w:type="gram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www</w:t>
      </w:r>
      <w:proofErr w:type="gram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  <w:proofErr w:type="gram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mf</w:t>
      </w:r>
      <w:proofErr w:type="gram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.gov.pl/ministerstwo-finansow/dzialalnosc/finanse-publiczne/budzet-panstwa/wykonanie-budzetu-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panstwa</w:t>
      </w:r>
      <w:proofErr w:type="spell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/</w:t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sprawozdanie</w:t>
      </w:r>
      <w:proofErr w:type="spell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-z-</w:t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wykonania</w:t>
      </w:r>
      <w:proofErr w:type="spell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-</w:t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budzetu-panstwa-roczne</w:t>
      </w:r>
      <w:proofErr w:type="spellEnd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</w:p>
    <w:p w14:paraId="0810A202" w14:textId="461F5496" w:rsidR="00065D50" w:rsidRPr="00D81166" w:rsidRDefault="009D3B4C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r w:rsidR="00065D50"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>6</w:t>
      </w: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Celkový </w:t>
      </w:r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sk-SK"/>
        </w:rPr>
        <w:t>prehľad príjmov a výdavkov</w:t>
      </w:r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kapitoly 10 ŠR Ministerstvo </w:t>
      </w:r>
      <w:proofErr w:type="spellStart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zahraničných</w:t>
      </w:r>
      <w:proofErr w:type="spellEnd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</w:t>
      </w:r>
      <w:proofErr w:type="spellStart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vecí</w:t>
      </w:r>
      <w:proofErr w:type="spellEnd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a </w:t>
      </w:r>
      <w:proofErr w:type="spellStart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európskych</w:t>
      </w:r>
      <w:proofErr w:type="spellEnd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záležitostí SR 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za rok 2012, 2013 a 2014 (skutečnost).</w:t>
      </w:r>
    </w:p>
    <w:p w14:paraId="0123DEA1" w14:textId="4059C71A" w:rsidR="00065D50" w:rsidRPr="00D81166" w:rsidRDefault="009D3B4C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r w:rsidR="00065D50"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 xml:space="preserve">7 </w:t>
      </w: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hyperlink r:id="rId17" w:history="1">
        <w:r w:rsidR="00065D50"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www.bundesrechnungshof.de/en/veroeffentlichungen/bemerkungen-jahresberichte-en/</w:t>
        </w:r>
      </w:hyperlink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, 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hyperlink r:id="rId18" w:history="1">
        <w:r w:rsidR="00065D50"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www.bundeshaushalt-info.de</w:t>
        </w:r>
      </w:hyperlink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</w:p>
    <w:p w14:paraId="582066EE" w14:textId="4F37F71A" w:rsidR="00065D50" w:rsidRPr="00D81166" w:rsidRDefault="009D3B4C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r w:rsidR="00065D50"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 xml:space="preserve">8 </w:t>
      </w:r>
      <w:r w:rsidRPr="00D81166">
        <w:rPr>
          <w:rFonts w:asciiTheme="minorHAnsi" w:hAnsiTheme="minorHAnsi" w:cstheme="minorHAnsi"/>
          <w:sz w:val="18"/>
          <w:szCs w:val="18"/>
          <w:vertAlign w:val="superscript"/>
          <w:lang w:val="cs-CZ" w:eastAsia="cs-CZ"/>
        </w:rPr>
        <w:tab/>
      </w:r>
      <w:proofErr w:type="gram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www</w:t>
      </w:r>
      <w:proofErr w:type="gram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  <w:proofErr w:type="gram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mf</w:t>
      </w:r>
      <w:proofErr w:type="gram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.gov.pl/ministerstwo-finansow/dzialalnosc/finanse-publiczne/budzet-panstwa/wykonanie-budzetu-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panstwa</w:t>
      </w:r>
      <w:proofErr w:type="spell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/</w:t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sprawozdanie</w:t>
      </w:r>
      <w:proofErr w:type="spell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-z-</w:t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wykonania</w:t>
      </w:r>
      <w:proofErr w:type="spellEnd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-</w:t>
      </w:r>
      <w:proofErr w:type="spellStart"/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>budzetu-panstwa-roczne</w:t>
      </w:r>
      <w:proofErr w:type="spellEnd"/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, výdaje divize 750, </w:t>
      </w:r>
      <w:r w:rsidR="00065D50" w:rsidRPr="00D81166">
        <w:rPr>
          <w:rFonts w:asciiTheme="minorHAnsi" w:hAnsiTheme="minorHAnsi" w:cstheme="minorHAnsi"/>
          <w:sz w:val="18"/>
          <w:szCs w:val="18"/>
          <w:lang w:val="cs-CZ" w:eastAsia="cs-CZ"/>
        </w:rPr>
        <w:t>skutečnost.</w:t>
      </w:r>
    </w:p>
    <w:p w14:paraId="6E19AB40" w14:textId="3B79A12E" w:rsidR="00065D50" w:rsidRPr="00D81166" w:rsidRDefault="009D3B4C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ab/>
      </w:r>
      <w:r w:rsidR="00065D50"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 xml:space="preserve">9 </w:t>
      </w:r>
      <w:r w:rsidRPr="00D81166">
        <w:rPr>
          <w:rFonts w:asciiTheme="minorHAnsi" w:eastAsiaTheme="minorHAnsi" w:hAnsiTheme="minorHAnsi" w:cstheme="minorHAnsi"/>
          <w:sz w:val="18"/>
          <w:szCs w:val="18"/>
          <w:vertAlign w:val="superscript"/>
          <w:lang w:val="cs-CZ"/>
        </w:rPr>
        <w:tab/>
      </w:r>
      <w:hyperlink r:id="rId19" w:history="1">
        <w:r w:rsidR="00065D50"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www.bmeia.gv.at</w:t>
        </w:r>
      </w:hyperlink>
      <w:r w:rsidR="00B518B8">
        <w:rPr>
          <w:rFonts w:asciiTheme="minorHAnsi" w:eastAsiaTheme="minorHAnsi" w:hAnsiTheme="minorHAnsi" w:cstheme="minorHAnsi"/>
          <w:sz w:val="18"/>
          <w:szCs w:val="18"/>
          <w:lang w:val="cs-CZ"/>
        </w:rPr>
        <w:t>,</w:t>
      </w:r>
    </w:p>
    <w:p w14:paraId="69CBA60A" w14:textId="7E00B4D4" w:rsidR="00065D50" w:rsidRPr="00D81166" w:rsidRDefault="009D3B4C" w:rsidP="009D3B4C">
      <w:pPr>
        <w:tabs>
          <w:tab w:val="left" w:pos="851"/>
        </w:tabs>
        <w:ind w:left="709" w:hanging="709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hyperlink r:id="rId20" w:history="1">
        <w:r w:rsidR="00065D50"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www.bundesrechnungshof.de/en/veroeffentlichungen/bemerkungen-jahresberichte-en/</w:t>
        </w:r>
      </w:hyperlink>
      <w:r w:rsidR="00B518B8">
        <w:rPr>
          <w:rFonts w:asciiTheme="minorHAnsi" w:eastAsiaTheme="minorHAnsi" w:hAnsiTheme="minorHAnsi" w:cstheme="minorHAnsi"/>
          <w:sz w:val="18"/>
          <w:szCs w:val="18"/>
          <w:lang w:val="cs-CZ"/>
        </w:rPr>
        <w:t>,</w:t>
      </w:r>
      <w:r w:rsidR="00065D50"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 </w:t>
      </w:r>
      <w:r w:rsidRPr="00D81166"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hyperlink r:id="rId21" w:history="1">
        <w:r w:rsidR="00065D50" w:rsidRPr="00D81166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www.bundeshaushalt-info.de</w:t>
        </w:r>
      </w:hyperlink>
      <w:r w:rsidR="00B518B8">
        <w:rPr>
          <w:rFonts w:asciiTheme="minorHAnsi" w:eastAsiaTheme="minorHAnsi" w:hAnsiTheme="minorHAnsi" w:cstheme="minorHAnsi"/>
          <w:sz w:val="18"/>
          <w:szCs w:val="18"/>
          <w:lang w:val="cs-CZ"/>
        </w:rPr>
        <w:t>.</w:t>
      </w:r>
    </w:p>
    <w:p w14:paraId="44ADCE23" w14:textId="77777777" w:rsidR="00065D50" w:rsidRPr="009D3B4C" w:rsidRDefault="00065D50" w:rsidP="00065D50">
      <w:pPr>
        <w:ind w:left="851" w:hanging="142"/>
        <w:rPr>
          <w:rFonts w:asciiTheme="minorHAnsi" w:eastAsiaTheme="minorHAnsi" w:hAnsiTheme="minorHAnsi" w:cstheme="minorHAnsi"/>
          <w:sz w:val="18"/>
          <w:szCs w:val="18"/>
          <w:lang w:val="cs-CZ"/>
        </w:rPr>
      </w:pPr>
    </w:p>
    <w:p w14:paraId="5AC9DBE5" w14:textId="196526CA" w:rsidR="00065D50" w:rsidRPr="009D3B4C" w:rsidRDefault="00065D50" w:rsidP="00D81166">
      <w:pPr>
        <w:tabs>
          <w:tab w:val="left" w:pos="567"/>
        </w:tabs>
        <w:ind w:firstLine="57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 w:rsidRPr="00D81166">
        <w:rPr>
          <w:rFonts w:asciiTheme="minorHAnsi" w:eastAsiaTheme="minorHAnsi" w:hAnsiTheme="minorHAnsi" w:cstheme="minorHAnsi"/>
          <w:b/>
          <w:sz w:val="18"/>
          <w:szCs w:val="18"/>
          <w:lang w:val="cs-CZ"/>
        </w:rPr>
        <w:t>Pozn.:</w:t>
      </w:r>
      <w:r w:rsidR="00D81166">
        <w:rPr>
          <w:rFonts w:asciiTheme="minorHAnsi" w:eastAsiaTheme="minorHAnsi" w:hAnsiTheme="minorHAnsi" w:cstheme="minorHAnsi"/>
          <w:b/>
          <w:sz w:val="18"/>
          <w:szCs w:val="18"/>
          <w:lang w:val="cs-CZ"/>
        </w:rPr>
        <w:tab/>
      </w:r>
      <w:r w:rsidRPr="009D3B4C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Názvy zemí jsou uváděny ve zkrácené a jednoslovné verzi: ČR, Slovensko, Německo, Polsko, Rakousko. </w:t>
      </w:r>
    </w:p>
    <w:p w14:paraId="0D05CF77" w14:textId="3EE2DC41" w:rsidR="00065D50" w:rsidRPr="009D3B4C" w:rsidRDefault="00D81166" w:rsidP="00D81166">
      <w:pPr>
        <w:tabs>
          <w:tab w:val="left" w:pos="567"/>
        </w:tabs>
        <w:ind w:right="-1134" w:firstLine="57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r w:rsidR="00065D50" w:rsidRPr="009D3B4C">
        <w:rPr>
          <w:rFonts w:asciiTheme="minorHAnsi" w:eastAsiaTheme="minorHAnsi" w:hAnsiTheme="minorHAnsi" w:cstheme="minorHAnsi"/>
          <w:sz w:val="18"/>
          <w:szCs w:val="18"/>
          <w:lang w:val="cs-CZ"/>
        </w:rPr>
        <w:t>Údaje uváděné v </w:t>
      </w:r>
      <w:proofErr w:type="gramStart"/>
      <w:r w:rsidR="00065D50" w:rsidRPr="009D3B4C">
        <w:rPr>
          <w:rFonts w:asciiTheme="minorHAnsi" w:eastAsiaTheme="minorHAnsi" w:hAnsiTheme="minorHAnsi" w:cstheme="minorHAnsi"/>
          <w:sz w:val="18"/>
          <w:szCs w:val="18"/>
          <w:lang w:val="cs-CZ"/>
        </w:rPr>
        <w:t>EUR</w:t>
      </w:r>
      <w:proofErr w:type="gramEnd"/>
      <w:r w:rsidR="00065D50" w:rsidRPr="009D3B4C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a PLN jsou přepočteny průměrným ročním kurzem zveřejněným na </w:t>
      </w:r>
      <w:hyperlink r:id="rId22" w:history="1">
        <w:r w:rsidR="00065D50" w:rsidRPr="009D3B4C">
          <w:rPr>
            <w:rFonts w:asciiTheme="minorHAnsi" w:eastAsiaTheme="minorHAnsi" w:hAnsiTheme="minorHAnsi" w:cstheme="minorHAnsi"/>
            <w:sz w:val="18"/>
            <w:szCs w:val="18"/>
            <w:lang w:val="cs-CZ"/>
          </w:rPr>
          <w:t>www.cnb.cz</w:t>
        </w:r>
      </w:hyperlink>
      <w:r w:rsidR="00065D50" w:rsidRPr="009D3B4C">
        <w:rPr>
          <w:rFonts w:asciiTheme="minorHAnsi" w:eastAsiaTheme="minorHAnsi" w:hAnsiTheme="minorHAnsi" w:cstheme="minorHAnsi"/>
          <w:sz w:val="18"/>
          <w:szCs w:val="18"/>
          <w:lang w:val="cs-CZ"/>
        </w:rPr>
        <w:t xml:space="preserve"> </w:t>
      </w:r>
    </w:p>
    <w:p w14:paraId="32F4B198" w14:textId="20288DB8" w:rsidR="00065D50" w:rsidRPr="009D3B4C" w:rsidRDefault="00D81166" w:rsidP="00D81166">
      <w:pPr>
        <w:tabs>
          <w:tab w:val="left" w:pos="567"/>
        </w:tabs>
        <w:ind w:right="-1134" w:firstLine="57"/>
        <w:rPr>
          <w:rFonts w:asciiTheme="minorHAnsi" w:eastAsiaTheme="minorHAnsi" w:hAnsiTheme="minorHAnsi" w:cstheme="minorHAnsi"/>
          <w:sz w:val="18"/>
          <w:szCs w:val="18"/>
          <w:lang w:val="cs-CZ"/>
        </w:rPr>
      </w:pPr>
      <w:r>
        <w:rPr>
          <w:rFonts w:asciiTheme="minorHAnsi" w:eastAsiaTheme="minorHAnsi" w:hAnsiTheme="minorHAnsi" w:cstheme="minorHAnsi"/>
          <w:sz w:val="18"/>
          <w:szCs w:val="18"/>
          <w:lang w:val="cs-CZ"/>
        </w:rPr>
        <w:tab/>
      </w:r>
      <w:r w:rsidR="00065D50" w:rsidRPr="009D3B4C">
        <w:rPr>
          <w:rFonts w:asciiTheme="minorHAnsi" w:eastAsiaTheme="minorHAnsi" w:hAnsiTheme="minorHAnsi" w:cstheme="minorHAnsi"/>
          <w:sz w:val="18"/>
          <w:szCs w:val="18"/>
          <w:lang w:val="cs-CZ"/>
        </w:rPr>
        <w:t>(EUR: 2012 – 25,143; 2013 – 25,974; 2014 – 27,533; PLN: 2012 – 6,01; 2013 – 6,189; 2014 – 6,582).</w:t>
      </w:r>
    </w:p>
    <w:p w14:paraId="704DD1E2" w14:textId="77777777" w:rsidR="00065D50" w:rsidRPr="009D3B4C" w:rsidRDefault="00065D50" w:rsidP="00065D50">
      <w:pPr>
        <w:rPr>
          <w:rFonts w:asciiTheme="minorHAnsi" w:eastAsiaTheme="minorHAnsi" w:hAnsiTheme="minorHAnsi" w:cstheme="minorHAnsi"/>
          <w:sz w:val="22"/>
          <w:szCs w:val="22"/>
          <w:lang w:val="cs-CZ"/>
        </w:rPr>
      </w:pPr>
    </w:p>
    <w:p w14:paraId="4A29BB97" w14:textId="77777777" w:rsidR="009D3B4C" w:rsidRDefault="009D3B4C">
      <w:pPr>
        <w:spacing w:after="160" w:line="259" w:lineRule="auto"/>
        <w:rPr>
          <w:rFonts w:asciiTheme="minorHAnsi" w:hAnsiTheme="minorHAnsi" w:cstheme="minorHAnsi"/>
          <w:lang w:val="cs-CZ"/>
        </w:rPr>
      </w:pPr>
    </w:p>
    <w:p w14:paraId="00A004E1" w14:textId="0E5D15F3" w:rsidR="009D3B4C" w:rsidRDefault="009D3B4C">
      <w:pPr>
        <w:spacing w:after="160" w:line="259" w:lineRule="auto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 w:type="page"/>
      </w:r>
    </w:p>
    <w:p w14:paraId="3FEAF0EE" w14:textId="6286792D" w:rsidR="006D74D0" w:rsidRPr="00F6579D" w:rsidRDefault="006D74D0" w:rsidP="00AF6294">
      <w:pPr>
        <w:spacing w:after="120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F6579D">
        <w:rPr>
          <w:rFonts w:asciiTheme="minorHAnsi" w:hAnsiTheme="minorHAnsi" w:cstheme="minorHAnsi"/>
          <w:b/>
          <w:sz w:val="28"/>
          <w:szCs w:val="28"/>
          <w:lang w:val="cs-CZ"/>
        </w:rPr>
        <w:lastRenderedPageBreak/>
        <w:t>Seznam zkratek</w:t>
      </w:r>
    </w:p>
    <w:p w14:paraId="3329B80C" w14:textId="77777777" w:rsidR="006D74D0" w:rsidRDefault="006D74D0" w:rsidP="00AF6294">
      <w:pPr>
        <w:spacing w:after="120"/>
        <w:rPr>
          <w:rFonts w:asciiTheme="minorHAnsi" w:hAnsiTheme="minorHAnsi" w:cstheme="minorHAnsi"/>
          <w:lang w:val="cs-CZ"/>
        </w:rPr>
      </w:pPr>
    </w:p>
    <w:p w14:paraId="768198BB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ČR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Česká republika</w:t>
      </w:r>
    </w:p>
    <w:p w14:paraId="64CD3B10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DHM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dlouhodobý hmotný majetek</w:t>
      </w:r>
    </w:p>
    <w:p w14:paraId="305FBBD7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EUR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mezinárodní značka pro evropskou měnu euro</w:t>
      </w:r>
    </w:p>
    <w:p w14:paraId="63B5F794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GK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generální konzulát</w:t>
      </w:r>
    </w:p>
    <w:p w14:paraId="56E7C5C0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HDP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hrubý domácí produkt</w:t>
      </w:r>
    </w:p>
    <w:p w14:paraId="149A408D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kapitola 306 – MZV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 xml:space="preserve">kapitola státního rozpočtu 306 – </w:t>
      </w:r>
      <w:r w:rsidRPr="00F6579D">
        <w:rPr>
          <w:rFonts w:asciiTheme="minorHAnsi" w:hAnsiTheme="minorHAnsi" w:cstheme="minorHAnsi"/>
          <w:i/>
          <w:lang w:val="cs-CZ"/>
        </w:rPr>
        <w:t>Ministerstvo zahraničních věcí</w:t>
      </w:r>
    </w:p>
    <w:p w14:paraId="7CAB26FA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MZV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Ministerstvo zahraničních věcí</w:t>
      </w:r>
    </w:p>
    <w:p w14:paraId="4D034925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NKÚ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Nejvyšší kontrolní úřad</w:t>
      </w:r>
    </w:p>
    <w:p w14:paraId="1219E1E4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OSS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organizační složka státu</w:t>
      </w:r>
    </w:p>
    <w:p w14:paraId="05FBAC51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PLN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mezinárodní značka pro polský zlotý</w:t>
      </w:r>
    </w:p>
    <w:p w14:paraId="230E53A7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stálá mise</w:t>
      </w:r>
    </w:p>
    <w:p w14:paraId="77ABF84B" w14:textId="77777777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SR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státní rozpočet</w:t>
      </w:r>
    </w:p>
    <w:p w14:paraId="1B615227" w14:textId="77777777" w:rsidR="002F627A" w:rsidRPr="00F6579D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ŠR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</w:r>
      <w:proofErr w:type="spellStart"/>
      <w:r>
        <w:rPr>
          <w:rFonts w:asciiTheme="minorHAnsi" w:hAnsiTheme="minorHAnsi" w:cstheme="minorHAnsi"/>
          <w:lang w:val="cs-CZ"/>
        </w:rPr>
        <w:t>štátny</w:t>
      </w:r>
      <w:proofErr w:type="spellEnd"/>
      <w:r>
        <w:rPr>
          <w:rFonts w:asciiTheme="minorHAnsi" w:hAnsiTheme="minorHAnsi" w:cstheme="minorHAnsi"/>
          <w:lang w:val="cs-CZ"/>
        </w:rPr>
        <w:t xml:space="preserve"> rozpočet</w:t>
      </w:r>
    </w:p>
    <w:p w14:paraId="7F997436" w14:textId="5FCA022E" w:rsidR="002F627A" w:rsidRDefault="002F627A" w:rsidP="003D4963">
      <w:pPr>
        <w:tabs>
          <w:tab w:val="left" w:pos="2268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ZÚ</w:t>
      </w:r>
      <w:r>
        <w:rPr>
          <w:rFonts w:asciiTheme="minorHAnsi" w:hAnsiTheme="minorHAnsi" w:cstheme="minorHAnsi"/>
          <w:lang w:val="cs-CZ"/>
        </w:rPr>
        <w:tab/>
        <w:t>–</w:t>
      </w:r>
      <w:r>
        <w:rPr>
          <w:rFonts w:asciiTheme="minorHAnsi" w:hAnsiTheme="minorHAnsi" w:cstheme="minorHAnsi"/>
          <w:lang w:val="cs-CZ"/>
        </w:rPr>
        <w:tab/>
        <w:t>zastupitelský úřad</w:t>
      </w:r>
      <w:r w:rsidR="001251A8">
        <w:rPr>
          <w:rFonts w:asciiTheme="minorHAnsi" w:hAnsiTheme="minorHAnsi" w:cstheme="minorHAnsi"/>
          <w:lang w:val="cs-CZ"/>
        </w:rPr>
        <w:t xml:space="preserve"> </w:t>
      </w:r>
    </w:p>
    <w:p w14:paraId="6952437E" w14:textId="2CEF61A4" w:rsidR="006D74D0" w:rsidRPr="002F627A" w:rsidRDefault="006D74D0" w:rsidP="006D74D0">
      <w:pPr>
        <w:tabs>
          <w:tab w:val="left" w:pos="2127"/>
          <w:tab w:val="left" w:pos="2694"/>
        </w:tabs>
        <w:spacing w:after="120"/>
        <w:rPr>
          <w:rFonts w:asciiTheme="minorHAnsi" w:hAnsiTheme="minorHAnsi" w:cstheme="minorHAnsi"/>
          <w:lang w:val="cs-CZ"/>
        </w:rPr>
      </w:pPr>
    </w:p>
    <w:sectPr w:rsidR="006D74D0" w:rsidRPr="002F627A" w:rsidSect="00F6579D">
      <w:footerReference w:type="default" r:id="rId2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24F1D" w14:textId="77777777" w:rsidR="005A05DC" w:rsidRDefault="005A05DC" w:rsidP="00332AEA">
      <w:r>
        <w:separator/>
      </w:r>
    </w:p>
  </w:endnote>
  <w:endnote w:type="continuationSeparator" w:id="0">
    <w:p w14:paraId="1735552F" w14:textId="77777777" w:rsidR="005A05DC" w:rsidRDefault="005A05DC" w:rsidP="0033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AFE7C" w14:textId="77777777" w:rsidR="005A05DC" w:rsidRPr="000546D5" w:rsidRDefault="005A05DC" w:rsidP="00F732ED">
    <w:pPr>
      <w:pStyle w:val="Zpat"/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223623">
      <w:rPr>
        <w:rFonts w:ascii="Calibri" w:hAnsi="Calibri" w:cs="Calibri"/>
        <w:noProof/>
      </w:rPr>
      <w:t>15</w:t>
    </w:r>
    <w:r w:rsidRPr="000546D5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658C3" w14:textId="77777777" w:rsidR="005A05DC" w:rsidRDefault="005A05DC" w:rsidP="00332AEA">
      <w:r>
        <w:separator/>
      </w:r>
    </w:p>
  </w:footnote>
  <w:footnote w:type="continuationSeparator" w:id="0">
    <w:p w14:paraId="245B66B3" w14:textId="77777777" w:rsidR="005A05DC" w:rsidRDefault="005A05DC" w:rsidP="00332AEA">
      <w:r>
        <w:continuationSeparator/>
      </w:r>
    </w:p>
  </w:footnote>
  <w:footnote w:id="1">
    <w:p w14:paraId="1FBBE058" w14:textId="72E6846F" w:rsidR="005A05DC" w:rsidRPr="00E10450" w:rsidRDefault="005A05DC" w:rsidP="008420F8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1B7EB0">
        <w:rPr>
          <w:rStyle w:val="Znakapoznpodarou"/>
          <w:rFonts w:asciiTheme="minorHAnsi" w:hAnsiTheme="minorHAnsi" w:cstheme="minorHAnsi"/>
          <w:lang w:val="cs-CZ"/>
        </w:rPr>
        <w:footnoteRef/>
      </w:r>
      <w:r w:rsidRPr="001B7EB0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B7EB0">
        <w:rPr>
          <w:rFonts w:asciiTheme="minorHAnsi" w:hAnsiTheme="minorHAnsi" w:cstheme="minorHAnsi"/>
          <w:lang w:val="cs-CZ"/>
        </w:rPr>
        <w:t>Zákon č. 219/2000 Sb., o majetku České republiky a jejím vystupování v právních vztazích</w:t>
      </w:r>
      <w:r>
        <w:rPr>
          <w:rFonts w:asciiTheme="minorHAnsi" w:hAnsiTheme="minorHAnsi" w:cstheme="minorHAnsi"/>
          <w:lang w:val="cs-CZ"/>
        </w:rPr>
        <w:t>.</w:t>
      </w:r>
    </w:p>
  </w:footnote>
  <w:footnote w:id="2">
    <w:p w14:paraId="059A4CF7" w14:textId="16164901" w:rsidR="005A05DC" w:rsidRPr="001B7EB0" w:rsidRDefault="005A05DC" w:rsidP="008420F8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1B7EB0">
        <w:rPr>
          <w:rStyle w:val="Znakapoznpodarou"/>
          <w:rFonts w:asciiTheme="minorHAnsi" w:hAnsiTheme="minorHAnsi" w:cstheme="minorHAnsi"/>
          <w:lang w:val="cs-CZ"/>
        </w:rPr>
        <w:footnoteRef/>
      </w:r>
      <w:r w:rsidRPr="001B7EB0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B7EB0">
        <w:rPr>
          <w:rFonts w:asciiTheme="minorHAnsi" w:hAnsiTheme="minorHAnsi" w:cstheme="minorHAnsi"/>
          <w:lang w:val="cs-CZ"/>
        </w:rPr>
        <w:t>Zákon č. 563/1991 Sb., o účetnictví</w:t>
      </w:r>
      <w:r>
        <w:rPr>
          <w:rFonts w:asciiTheme="minorHAnsi" w:hAnsiTheme="minorHAnsi" w:cstheme="minorHAnsi"/>
          <w:lang w:val="cs-CZ"/>
        </w:rPr>
        <w:t>.</w:t>
      </w:r>
    </w:p>
  </w:footnote>
  <w:footnote w:id="3">
    <w:p w14:paraId="0B874DAA" w14:textId="0F643DA0" w:rsidR="005A05DC" w:rsidRPr="001B7EB0" w:rsidRDefault="005A05DC" w:rsidP="008420F8">
      <w:pPr>
        <w:pStyle w:val="Textpoznpodarou"/>
        <w:ind w:left="284" w:hanging="284"/>
        <w:jc w:val="both"/>
        <w:rPr>
          <w:rFonts w:ascii="Calibri" w:hAnsi="Calibri" w:cs="Calibri"/>
          <w:lang w:val="cs-CZ"/>
        </w:rPr>
      </w:pPr>
      <w:r w:rsidRPr="001B7EB0">
        <w:rPr>
          <w:rStyle w:val="Znakapoznpodarou"/>
          <w:rFonts w:asciiTheme="minorHAnsi" w:hAnsiTheme="minorHAnsi" w:cstheme="minorHAnsi"/>
          <w:lang w:val="cs-CZ"/>
        </w:rPr>
        <w:footnoteRef/>
      </w:r>
      <w:r w:rsidRPr="001B7EB0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B7EB0">
        <w:rPr>
          <w:rFonts w:ascii="Calibri" w:hAnsi="Calibri" w:cs="Calibri"/>
          <w:lang w:val="cs-CZ"/>
        </w:rPr>
        <w:t>Zákon č. 218/2000 Sb., o rozpočtových pravidlech a o změně některých souvisejících zákonů (rozpočtová pravidla)</w:t>
      </w:r>
      <w:r>
        <w:rPr>
          <w:rFonts w:ascii="Calibri" w:hAnsi="Calibri" w:cs="Calibri"/>
          <w:lang w:val="cs-CZ"/>
        </w:rPr>
        <w:t>.</w:t>
      </w:r>
    </w:p>
  </w:footnote>
  <w:footnote w:id="4">
    <w:p w14:paraId="0BB94604" w14:textId="1073EDCA" w:rsidR="005A05DC" w:rsidRPr="00485CA8" w:rsidRDefault="005A05DC" w:rsidP="000F5C6C">
      <w:pPr>
        <w:spacing w:after="120" w:line="21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  <w:r w:rsidRPr="00F6579D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F6579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0C74F5">
        <w:rPr>
          <w:rFonts w:asciiTheme="minorHAnsi" w:hAnsiTheme="minorHAnsi" w:cstheme="minorHAnsi"/>
          <w:color w:val="000000"/>
          <w:sz w:val="20"/>
          <w:szCs w:val="20"/>
          <w:lang w:val="cs-CZ"/>
        </w:rPr>
        <w:tab/>
        <w:t>Pokles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výdajů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u položky 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„</w:t>
      </w:r>
      <w:r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z</w:t>
      </w:r>
      <w:r w:rsidRPr="0084293C"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astupitelství a stálé mise ČR v zahraničí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“ v roce 2013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koresponduje s nárůstem výdajů na položce 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„</w:t>
      </w:r>
      <w:r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č</w:t>
      </w:r>
      <w:r w:rsidRPr="0084293C">
        <w:rPr>
          <w:rFonts w:asciiTheme="minorHAnsi" w:hAnsiTheme="minorHAnsi" w:cstheme="minorHAnsi"/>
          <w:i/>
          <w:color w:val="000000"/>
          <w:sz w:val="20"/>
          <w:szCs w:val="20"/>
          <w:lang w:val="cs-CZ"/>
        </w:rPr>
        <w:t>innost ústředního orgánu státní správy v zahraniční službě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>“ v tomto roce, což je důsledkem změn ve vykazování výdajů na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příslušných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paragrafech</w:t>
      </w:r>
      <w:r w:rsidRPr="00485CA8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rozpočtové skladby.</w:t>
      </w:r>
    </w:p>
    <w:p w14:paraId="0B3CDF8A" w14:textId="0E3E102D" w:rsidR="005A05DC" w:rsidRPr="0048230F" w:rsidRDefault="005A05DC">
      <w:pPr>
        <w:pStyle w:val="Textpoznpodarou"/>
        <w:rPr>
          <w:lang w:val="cs-CZ"/>
        </w:rPr>
      </w:pPr>
    </w:p>
  </w:footnote>
  <w:footnote w:id="5">
    <w:p w14:paraId="501CBAF0" w14:textId="66B2FD62" w:rsidR="005A05DC" w:rsidRPr="00143E55" w:rsidRDefault="005A05DC" w:rsidP="00A8002B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143E55">
        <w:rPr>
          <w:rStyle w:val="Znakapoznpodarou"/>
          <w:rFonts w:asciiTheme="minorHAnsi" w:hAnsiTheme="minorHAnsi" w:cstheme="minorHAnsi"/>
        </w:rPr>
        <w:footnoteRef/>
      </w:r>
      <w:r w:rsidRPr="008C7E8F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43E55">
        <w:rPr>
          <w:rFonts w:asciiTheme="minorHAnsi" w:hAnsiTheme="minorHAnsi" w:cstheme="minorHAnsi"/>
          <w:lang w:val="cs-CZ"/>
        </w:rPr>
        <w:t>Vyhláška č. 410/2009 Sb., kterou se provádějí některá ustanovení zákona č. 563/1991 Sb., o účetnictví, ve znění pozdějších předpisů, pro některé vybrané účetní jednotky.</w:t>
      </w:r>
    </w:p>
  </w:footnote>
  <w:footnote w:id="6">
    <w:p w14:paraId="322B597E" w14:textId="66402CBE" w:rsidR="005A05DC" w:rsidRPr="00143E55" w:rsidRDefault="005A05DC" w:rsidP="00A8002B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143E55">
        <w:rPr>
          <w:rStyle w:val="Znakapoznpodarou"/>
          <w:rFonts w:asciiTheme="minorHAnsi" w:hAnsiTheme="minorHAnsi" w:cstheme="minorHAnsi"/>
        </w:rPr>
        <w:footnoteRef/>
      </w:r>
      <w:r w:rsidRPr="008C7E8F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143E55">
        <w:rPr>
          <w:rFonts w:asciiTheme="minorHAnsi" w:hAnsiTheme="minorHAnsi" w:cstheme="minorHAnsi"/>
          <w:lang w:val="cs-CZ"/>
        </w:rPr>
        <w:t>Zákon č</w:t>
      </w:r>
      <w:r>
        <w:rPr>
          <w:rFonts w:asciiTheme="minorHAnsi" w:hAnsiTheme="minorHAnsi" w:cstheme="minorHAnsi"/>
          <w:lang w:val="cs-CZ"/>
        </w:rPr>
        <w:t>.</w:t>
      </w:r>
      <w:r w:rsidRPr="00143E55">
        <w:rPr>
          <w:rFonts w:asciiTheme="minorHAnsi" w:hAnsiTheme="minorHAnsi" w:cstheme="minorHAnsi"/>
          <w:lang w:val="cs-CZ"/>
        </w:rPr>
        <w:t xml:space="preserve"> 137/2006 Sb., o veřejných zakázkách.</w:t>
      </w:r>
    </w:p>
  </w:footnote>
  <w:footnote w:id="7">
    <w:p w14:paraId="14A5A26D" w14:textId="47016737" w:rsidR="005A05DC" w:rsidRPr="00143E55" w:rsidRDefault="005A05DC" w:rsidP="00A8002B">
      <w:pPr>
        <w:pStyle w:val="Textpoznpodarou"/>
        <w:ind w:left="284" w:hanging="284"/>
        <w:jc w:val="both"/>
        <w:rPr>
          <w:lang w:val="cs-CZ"/>
        </w:rPr>
      </w:pPr>
      <w:r w:rsidRPr="00F6579D">
        <w:rPr>
          <w:rStyle w:val="Znakapoznpodarou"/>
          <w:rFonts w:asciiTheme="minorHAnsi" w:hAnsiTheme="minorHAnsi" w:cstheme="minorHAnsi"/>
        </w:rPr>
        <w:footnoteRef/>
      </w:r>
      <w:r w:rsidRPr="00F6579D">
        <w:rPr>
          <w:rFonts w:asciiTheme="minorHAnsi" w:hAnsiTheme="minorHAnsi" w:cstheme="minorHAnsi"/>
          <w:lang w:val="cs-CZ"/>
        </w:rPr>
        <w:t xml:space="preserve"> </w:t>
      </w:r>
      <w:r w:rsidRPr="00F6579D">
        <w:rPr>
          <w:rFonts w:asciiTheme="minorHAnsi" w:hAnsiTheme="minorHAnsi" w:cstheme="minorHAnsi"/>
          <w:lang w:val="cs-CZ"/>
        </w:rPr>
        <w:tab/>
      </w:r>
      <w:r w:rsidRPr="00143E55">
        <w:rPr>
          <w:rFonts w:asciiTheme="minorHAnsi" w:hAnsiTheme="minorHAnsi" w:cstheme="minorHAnsi"/>
          <w:lang w:val="cs-CZ"/>
        </w:rPr>
        <w:t>Vyhláška č. 62/2001 Sb., o hospodaření organizačních složek státu a státních organizací s majetkem státu.</w:t>
      </w:r>
    </w:p>
  </w:footnote>
  <w:footnote w:id="8">
    <w:p w14:paraId="2C16F7CA" w14:textId="1BD3CD30" w:rsidR="005A05DC" w:rsidRPr="00F6579D" w:rsidRDefault="005A05DC" w:rsidP="00A8002B">
      <w:pPr>
        <w:pStyle w:val="Textpoznpodarou"/>
        <w:spacing w:line="192" w:lineRule="auto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6579D">
        <w:rPr>
          <w:rStyle w:val="Znakapoznpodarou"/>
          <w:rFonts w:asciiTheme="minorHAnsi" w:hAnsiTheme="minorHAnsi" w:cstheme="minorHAnsi"/>
        </w:rPr>
        <w:footnoteRef/>
      </w:r>
      <w:r w:rsidRPr="00F6579D">
        <w:rPr>
          <w:rFonts w:asciiTheme="minorHAnsi" w:hAnsiTheme="minorHAnsi" w:cstheme="minorHAnsi"/>
          <w:lang w:val="cs-CZ"/>
        </w:rPr>
        <w:t xml:space="preserve"> </w:t>
      </w:r>
      <w:r w:rsidRPr="00F6579D">
        <w:rPr>
          <w:rFonts w:asciiTheme="minorHAnsi" w:hAnsiTheme="minorHAnsi" w:cstheme="minorHAnsi"/>
          <w:lang w:val="cs-CZ"/>
        </w:rPr>
        <w:tab/>
      </w:r>
      <w:r w:rsidRPr="00A207E5">
        <w:rPr>
          <w:rFonts w:asciiTheme="minorHAnsi" w:hAnsiTheme="minorHAnsi" w:cstheme="minorHAnsi"/>
          <w:lang w:val="cs-CZ"/>
        </w:rPr>
        <w:t>Zákon č. 82/2015 Sb., kterým se mění zákon č. 561/2004 Sb., o předškolním, základním, středním, vyšším o</w:t>
      </w:r>
      <w:r w:rsidRPr="004A320E">
        <w:rPr>
          <w:rFonts w:asciiTheme="minorHAnsi" w:hAnsiTheme="minorHAnsi" w:cstheme="minorHAnsi"/>
          <w:lang w:val="cs-CZ"/>
        </w:rPr>
        <w:t>dborném a jiném vzdělávání (školský zákon), ve znění pozdějších předpisů, a některé další zákony</w:t>
      </w:r>
      <w:r w:rsidRPr="002F627A">
        <w:rPr>
          <w:rFonts w:asciiTheme="minorHAnsi" w:hAnsiTheme="minorHAnsi" w:cstheme="minorHAnsi"/>
          <w:lang w:val="cs-CZ"/>
        </w:rPr>
        <w:t>.</w:t>
      </w:r>
    </w:p>
  </w:footnote>
  <w:footnote w:id="9">
    <w:p w14:paraId="3DBE6F96" w14:textId="7F1B3DB2" w:rsidR="005A05DC" w:rsidRPr="008D58D9" w:rsidRDefault="005A05DC" w:rsidP="0028791A">
      <w:pPr>
        <w:spacing w:line="192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8D58D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D58D9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8D58D9">
        <w:rPr>
          <w:rFonts w:asciiTheme="minorHAnsi" w:hAnsiTheme="minorHAnsi" w:cstheme="minorHAnsi"/>
          <w:sz w:val="20"/>
          <w:szCs w:val="20"/>
          <w:lang w:val="cs-CZ"/>
        </w:rPr>
        <w:t xml:space="preserve">Výrazem „školné“ se v kontrolním závěru rozumí vlastní školné, zápisné, </w:t>
      </w:r>
      <w:r>
        <w:rPr>
          <w:rFonts w:asciiTheme="minorHAnsi" w:hAnsiTheme="minorHAnsi" w:cstheme="minorHAnsi"/>
          <w:sz w:val="20"/>
          <w:szCs w:val="20"/>
          <w:lang w:val="cs-CZ"/>
        </w:rPr>
        <w:t>poplatky za zkoušky</w:t>
      </w:r>
      <w:r w:rsidRPr="008D58D9">
        <w:rPr>
          <w:rFonts w:asciiTheme="minorHAnsi" w:hAnsiTheme="minorHAnsi" w:cstheme="minorHAnsi"/>
          <w:sz w:val="20"/>
          <w:szCs w:val="20"/>
          <w:lang w:val="cs-CZ"/>
        </w:rPr>
        <w:t>, technické a registrační poplatky aj.</w:t>
      </w:r>
    </w:p>
  </w:footnote>
  <w:footnote w:id="10">
    <w:p w14:paraId="13516985" w14:textId="3CABCF60" w:rsidR="005A05DC" w:rsidRPr="008C7E8F" w:rsidRDefault="005A05DC" w:rsidP="005828EF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8D58D9">
        <w:rPr>
          <w:rStyle w:val="Znakapoznpodarou"/>
          <w:rFonts w:asciiTheme="minorHAnsi" w:hAnsiTheme="minorHAnsi" w:cstheme="minorHAnsi"/>
        </w:rPr>
        <w:footnoteRef/>
      </w:r>
      <w:r w:rsidRPr="008D58D9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ab/>
      </w:r>
      <w:r w:rsidRPr="008D58D9">
        <w:rPr>
          <w:rFonts w:asciiTheme="minorHAnsi" w:hAnsiTheme="minorHAnsi" w:cstheme="minorHAnsi"/>
          <w:lang w:val="cs-CZ"/>
        </w:rPr>
        <w:t>Nařízení vlády č. 62/1994 Sb., o poskytování náhrad některých výdajů zaměstnancům rozpočtových a</w:t>
      </w:r>
      <w:r>
        <w:rPr>
          <w:rFonts w:asciiTheme="minorHAnsi" w:hAnsiTheme="minorHAnsi" w:cstheme="minorHAnsi"/>
          <w:lang w:val="cs-CZ"/>
        </w:rPr>
        <w:t> </w:t>
      </w:r>
      <w:r w:rsidRPr="008D58D9">
        <w:rPr>
          <w:rFonts w:asciiTheme="minorHAnsi" w:hAnsiTheme="minorHAnsi" w:cstheme="minorHAnsi"/>
          <w:lang w:val="cs-CZ"/>
        </w:rPr>
        <w:t>příspěvkových organizací s pravidelným pracovištěm v zahraničí.</w:t>
      </w:r>
    </w:p>
  </w:footnote>
  <w:footnote w:id="11">
    <w:p w14:paraId="5C26C2C4" w14:textId="4A761E4C" w:rsidR="005A05DC" w:rsidRPr="002F627A" w:rsidRDefault="005A05DC" w:rsidP="002F1585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6579D">
        <w:rPr>
          <w:rStyle w:val="Znakapoznpodarou"/>
          <w:rFonts w:asciiTheme="minorHAnsi" w:hAnsiTheme="minorHAnsi" w:cstheme="minorHAnsi"/>
        </w:rPr>
        <w:footnoteRef/>
      </w:r>
      <w:r w:rsidRPr="00F6579D">
        <w:rPr>
          <w:rFonts w:asciiTheme="minorHAnsi" w:hAnsiTheme="minorHAnsi" w:cstheme="minorHAnsi"/>
          <w:lang w:val="cs-CZ"/>
        </w:rPr>
        <w:t xml:space="preserve"> </w:t>
      </w:r>
      <w:r w:rsidRPr="00F6579D">
        <w:rPr>
          <w:rFonts w:asciiTheme="minorHAnsi" w:hAnsiTheme="minorHAnsi" w:cstheme="minorHAnsi"/>
          <w:lang w:val="cs-CZ"/>
        </w:rPr>
        <w:tab/>
      </w:r>
      <w:r w:rsidRPr="00A207E5">
        <w:rPr>
          <w:rFonts w:asciiTheme="minorHAnsi" w:hAnsiTheme="minorHAnsi" w:cstheme="minorHAnsi"/>
          <w:lang w:val="cs-CZ"/>
        </w:rPr>
        <w:t>Např. Brusel, Madrid a Řím</w:t>
      </w:r>
      <w:r w:rsidRPr="004A320E">
        <w:rPr>
          <w:rFonts w:asciiTheme="minorHAnsi" w:hAnsiTheme="minorHAnsi" w:cstheme="minorHAnsi"/>
          <w:lang w:val="cs-CZ"/>
        </w:rPr>
        <w:t xml:space="preserve"> jsou</w:t>
      </w:r>
      <w:r w:rsidRPr="002F627A">
        <w:rPr>
          <w:rFonts w:asciiTheme="minorHAnsi" w:hAnsiTheme="minorHAnsi" w:cstheme="minorHAnsi"/>
          <w:lang w:val="cs-CZ"/>
        </w:rPr>
        <w:t xml:space="preserve"> v oddílu A</w:t>
      </w:r>
      <w:r>
        <w:rPr>
          <w:rFonts w:asciiTheme="minorHAnsi" w:hAnsiTheme="minorHAnsi" w:cstheme="minorHAnsi"/>
          <w:lang w:val="cs-CZ"/>
        </w:rPr>
        <w:t>,</w:t>
      </w:r>
      <w:r w:rsidRPr="002F627A">
        <w:rPr>
          <w:rFonts w:asciiTheme="minorHAnsi" w:hAnsiTheme="minorHAnsi" w:cstheme="minorHAnsi"/>
          <w:lang w:val="cs-CZ"/>
        </w:rPr>
        <w:t xml:space="preserve"> stejně jako Helsinky, Kodaň a Stockholm; Bern, Štrasburk a Ženeva jsou v oddílu B</w:t>
      </w:r>
      <w:r>
        <w:rPr>
          <w:rFonts w:asciiTheme="minorHAnsi" w:hAnsiTheme="minorHAnsi" w:cstheme="minorHAnsi"/>
          <w:lang w:val="cs-CZ"/>
        </w:rPr>
        <w:t>,</w:t>
      </w:r>
      <w:r w:rsidRPr="002F627A">
        <w:rPr>
          <w:rFonts w:asciiTheme="minorHAnsi" w:hAnsiTheme="minorHAnsi" w:cstheme="minorHAnsi"/>
          <w:lang w:val="cs-CZ"/>
        </w:rPr>
        <w:t xml:space="preserve"> stejně jako Paříž či Berlín a Mnichov. Vídeň je v oddílu B</w:t>
      </w:r>
      <w:r>
        <w:rPr>
          <w:rFonts w:asciiTheme="minorHAnsi" w:hAnsiTheme="minorHAnsi" w:cstheme="minorHAnsi"/>
          <w:lang w:val="cs-CZ"/>
        </w:rPr>
        <w:t>.</w:t>
      </w:r>
      <w:r w:rsidRPr="002F627A">
        <w:rPr>
          <w:rFonts w:asciiTheme="minorHAnsi" w:hAnsiTheme="minorHAnsi" w:cstheme="minorHAnsi"/>
          <w:lang w:val="cs-CZ"/>
        </w:rPr>
        <w:t xml:space="preserve"> </w:t>
      </w:r>
    </w:p>
    <w:p w14:paraId="0DCB9A31" w14:textId="739F7025" w:rsidR="005A05DC" w:rsidRPr="00F6579D" w:rsidRDefault="005A05DC" w:rsidP="002F1585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F627A">
        <w:rPr>
          <w:rFonts w:asciiTheme="minorHAnsi" w:hAnsiTheme="minorHAnsi" w:cstheme="minorHAnsi"/>
          <w:lang w:val="cs-CZ"/>
        </w:rPr>
        <w:tab/>
        <w:t>Londýn byl od školního</w:t>
      </w:r>
      <w:r w:rsidRPr="00B869FB">
        <w:rPr>
          <w:rFonts w:asciiTheme="minorHAnsi" w:hAnsiTheme="minorHAnsi" w:cstheme="minorHAnsi"/>
          <w:lang w:val="cs-CZ"/>
        </w:rPr>
        <w:t xml:space="preserve"> roku 2013/2014 převe</w:t>
      </w:r>
      <w:r w:rsidRPr="009E367B">
        <w:rPr>
          <w:rFonts w:asciiTheme="minorHAnsi" w:hAnsiTheme="minorHAnsi" w:cstheme="minorHAnsi"/>
          <w:lang w:val="cs-CZ"/>
        </w:rPr>
        <w:t>den do oddílu B, stejně tak Bratislava od školního roku 2015/2016.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ADA"/>
    <w:multiLevelType w:val="hybridMultilevel"/>
    <w:tmpl w:val="833E3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4C1"/>
    <w:multiLevelType w:val="hybridMultilevel"/>
    <w:tmpl w:val="34C4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201BA"/>
    <w:multiLevelType w:val="hybridMultilevel"/>
    <w:tmpl w:val="B4BE6E4E"/>
    <w:lvl w:ilvl="0" w:tplc="434E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1A00"/>
    <w:multiLevelType w:val="hybridMultilevel"/>
    <w:tmpl w:val="FB0A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32BD4"/>
    <w:multiLevelType w:val="hybridMultilevel"/>
    <w:tmpl w:val="F03029BC"/>
    <w:lvl w:ilvl="0" w:tplc="36E8F40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232A2"/>
    <w:multiLevelType w:val="hybridMultilevel"/>
    <w:tmpl w:val="E752C970"/>
    <w:lvl w:ilvl="0" w:tplc="E7F2E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988"/>
    <w:multiLevelType w:val="hybridMultilevel"/>
    <w:tmpl w:val="F2880E74"/>
    <w:lvl w:ilvl="0" w:tplc="BE50A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017BA"/>
    <w:multiLevelType w:val="hybridMultilevel"/>
    <w:tmpl w:val="E13A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92DF6"/>
    <w:multiLevelType w:val="multilevel"/>
    <w:tmpl w:val="FD5095E8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6B95DCC"/>
    <w:multiLevelType w:val="hybridMultilevel"/>
    <w:tmpl w:val="2DAC6E7A"/>
    <w:lvl w:ilvl="0" w:tplc="E3782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D0DE5"/>
    <w:multiLevelType w:val="hybridMultilevel"/>
    <w:tmpl w:val="EC4CB0A8"/>
    <w:lvl w:ilvl="0" w:tplc="A5FE7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EA"/>
    <w:rsid w:val="000010D0"/>
    <w:rsid w:val="00006215"/>
    <w:rsid w:val="000101A4"/>
    <w:rsid w:val="000112FE"/>
    <w:rsid w:val="0002448F"/>
    <w:rsid w:val="0002691C"/>
    <w:rsid w:val="000437A0"/>
    <w:rsid w:val="00064E5C"/>
    <w:rsid w:val="00065D50"/>
    <w:rsid w:val="000731A0"/>
    <w:rsid w:val="000B2C12"/>
    <w:rsid w:val="000C5D62"/>
    <w:rsid w:val="000C74F5"/>
    <w:rsid w:val="000C776D"/>
    <w:rsid w:val="000E5744"/>
    <w:rsid w:val="000F0EE4"/>
    <w:rsid w:val="000F5C6C"/>
    <w:rsid w:val="000F6C56"/>
    <w:rsid w:val="0010148C"/>
    <w:rsid w:val="001022E7"/>
    <w:rsid w:val="00112AF7"/>
    <w:rsid w:val="00114741"/>
    <w:rsid w:val="001160C0"/>
    <w:rsid w:val="00124BEB"/>
    <w:rsid w:val="001251A8"/>
    <w:rsid w:val="00127F9A"/>
    <w:rsid w:val="0014371C"/>
    <w:rsid w:val="001437EB"/>
    <w:rsid w:val="00143E55"/>
    <w:rsid w:val="00146873"/>
    <w:rsid w:val="00150DF6"/>
    <w:rsid w:val="00154F79"/>
    <w:rsid w:val="001678E0"/>
    <w:rsid w:val="00171641"/>
    <w:rsid w:val="001722F5"/>
    <w:rsid w:val="00173CB3"/>
    <w:rsid w:val="00184892"/>
    <w:rsid w:val="00194B48"/>
    <w:rsid w:val="001B7EB0"/>
    <w:rsid w:val="001C5ABA"/>
    <w:rsid w:val="001C611D"/>
    <w:rsid w:val="001D1328"/>
    <w:rsid w:val="001D6283"/>
    <w:rsid w:val="001F5299"/>
    <w:rsid w:val="00201087"/>
    <w:rsid w:val="002037DB"/>
    <w:rsid w:val="002154A0"/>
    <w:rsid w:val="00216DD4"/>
    <w:rsid w:val="0021771A"/>
    <w:rsid w:val="00223623"/>
    <w:rsid w:val="00242EEC"/>
    <w:rsid w:val="00243334"/>
    <w:rsid w:val="00243BC6"/>
    <w:rsid w:val="00245006"/>
    <w:rsid w:val="002508AF"/>
    <w:rsid w:val="00267EA5"/>
    <w:rsid w:val="002773AD"/>
    <w:rsid w:val="00284E63"/>
    <w:rsid w:val="002853B8"/>
    <w:rsid w:val="002855F9"/>
    <w:rsid w:val="0028791A"/>
    <w:rsid w:val="002A26D0"/>
    <w:rsid w:val="002A3A08"/>
    <w:rsid w:val="002A61C4"/>
    <w:rsid w:val="002B07D6"/>
    <w:rsid w:val="002C686D"/>
    <w:rsid w:val="002E2E90"/>
    <w:rsid w:val="002E36D5"/>
    <w:rsid w:val="002F02E2"/>
    <w:rsid w:val="002F1585"/>
    <w:rsid w:val="002F627A"/>
    <w:rsid w:val="003025CB"/>
    <w:rsid w:val="00312041"/>
    <w:rsid w:val="0031388F"/>
    <w:rsid w:val="003150D6"/>
    <w:rsid w:val="00315437"/>
    <w:rsid w:val="00332AEA"/>
    <w:rsid w:val="00334843"/>
    <w:rsid w:val="003355EF"/>
    <w:rsid w:val="003357F4"/>
    <w:rsid w:val="00343B77"/>
    <w:rsid w:val="0034411F"/>
    <w:rsid w:val="00346041"/>
    <w:rsid w:val="0034736B"/>
    <w:rsid w:val="003620E3"/>
    <w:rsid w:val="00365E95"/>
    <w:rsid w:val="00367CD9"/>
    <w:rsid w:val="003746E0"/>
    <w:rsid w:val="00380F53"/>
    <w:rsid w:val="003865BB"/>
    <w:rsid w:val="00397B29"/>
    <w:rsid w:val="003B036B"/>
    <w:rsid w:val="003B0F66"/>
    <w:rsid w:val="003B34D3"/>
    <w:rsid w:val="003C2AFE"/>
    <w:rsid w:val="003C454A"/>
    <w:rsid w:val="003D4963"/>
    <w:rsid w:val="003E1831"/>
    <w:rsid w:val="003F253D"/>
    <w:rsid w:val="003F3135"/>
    <w:rsid w:val="004006A2"/>
    <w:rsid w:val="004026DF"/>
    <w:rsid w:val="0041083A"/>
    <w:rsid w:val="0041665E"/>
    <w:rsid w:val="0042483C"/>
    <w:rsid w:val="00426912"/>
    <w:rsid w:val="004326A1"/>
    <w:rsid w:val="00433677"/>
    <w:rsid w:val="004454D7"/>
    <w:rsid w:val="00446828"/>
    <w:rsid w:val="00447B94"/>
    <w:rsid w:val="0045024C"/>
    <w:rsid w:val="00455692"/>
    <w:rsid w:val="00470EA4"/>
    <w:rsid w:val="004713F6"/>
    <w:rsid w:val="00472271"/>
    <w:rsid w:val="00473088"/>
    <w:rsid w:val="00475E4E"/>
    <w:rsid w:val="004809A7"/>
    <w:rsid w:val="0048230F"/>
    <w:rsid w:val="00482CF8"/>
    <w:rsid w:val="00485CA8"/>
    <w:rsid w:val="00493889"/>
    <w:rsid w:val="004A320E"/>
    <w:rsid w:val="004B14DD"/>
    <w:rsid w:val="004B6410"/>
    <w:rsid w:val="004B72C5"/>
    <w:rsid w:val="004C0C5A"/>
    <w:rsid w:val="004C5A6F"/>
    <w:rsid w:val="004D6552"/>
    <w:rsid w:val="004E0D92"/>
    <w:rsid w:val="004E15D2"/>
    <w:rsid w:val="004E6DDE"/>
    <w:rsid w:val="004F0CF7"/>
    <w:rsid w:val="00510A0A"/>
    <w:rsid w:val="005112D7"/>
    <w:rsid w:val="00513A53"/>
    <w:rsid w:val="00516560"/>
    <w:rsid w:val="0052336E"/>
    <w:rsid w:val="00523BF1"/>
    <w:rsid w:val="00540E6D"/>
    <w:rsid w:val="00563831"/>
    <w:rsid w:val="005648B1"/>
    <w:rsid w:val="00577B6C"/>
    <w:rsid w:val="005828EF"/>
    <w:rsid w:val="005836D9"/>
    <w:rsid w:val="00591179"/>
    <w:rsid w:val="00596FFC"/>
    <w:rsid w:val="005A05DC"/>
    <w:rsid w:val="005A7E87"/>
    <w:rsid w:val="005B0003"/>
    <w:rsid w:val="006008C4"/>
    <w:rsid w:val="00611263"/>
    <w:rsid w:val="00620B34"/>
    <w:rsid w:val="00621349"/>
    <w:rsid w:val="00634B91"/>
    <w:rsid w:val="00635844"/>
    <w:rsid w:val="0064629C"/>
    <w:rsid w:val="00661C8F"/>
    <w:rsid w:val="0066206E"/>
    <w:rsid w:val="006645DC"/>
    <w:rsid w:val="00676DA7"/>
    <w:rsid w:val="00683B17"/>
    <w:rsid w:val="006B416A"/>
    <w:rsid w:val="006B53C9"/>
    <w:rsid w:val="006C6508"/>
    <w:rsid w:val="006D2FDF"/>
    <w:rsid w:val="006D67B9"/>
    <w:rsid w:val="006D74D0"/>
    <w:rsid w:val="006E0AD0"/>
    <w:rsid w:val="006F3048"/>
    <w:rsid w:val="006F4DEA"/>
    <w:rsid w:val="007125FC"/>
    <w:rsid w:val="0071666B"/>
    <w:rsid w:val="0072040B"/>
    <w:rsid w:val="00720B36"/>
    <w:rsid w:val="007223EE"/>
    <w:rsid w:val="00731953"/>
    <w:rsid w:val="00732CE1"/>
    <w:rsid w:val="007343A6"/>
    <w:rsid w:val="00736200"/>
    <w:rsid w:val="007420D2"/>
    <w:rsid w:val="00743EBD"/>
    <w:rsid w:val="00767C79"/>
    <w:rsid w:val="007859B9"/>
    <w:rsid w:val="007873C3"/>
    <w:rsid w:val="007958DC"/>
    <w:rsid w:val="007979E7"/>
    <w:rsid w:val="007A4539"/>
    <w:rsid w:val="007A4AA6"/>
    <w:rsid w:val="007C2372"/>
    <w:rsid w:val="007C29E9"/>
    <w:rsid w:val="007C6DE8"/>
    <w:rsid w:val="007E42CE"/>
    <w:rsid w:val="00814CA1"/>
    <w:rsid w:val="0082668F"/>
    <w:rsid w:val="00831EC7"/>
    <w:rsid w:val="008420F8"/>
    <w:rsid w:val="0084293C"/>
    <w:rsid w:val="00857BBF"/>
    <w:rsid w:val="0086045A"/>
    <w:rsid w:val="00861001"/>
    <w:rsid w:val="0086552D"/>
    <w:rsid w:val="00871E55"/>
    <w:rsid w:val="00874266"/>
    <w:rsid w:val="00875049"/>
    <w:rsid w:val="008766D5"/>
    <w:rsid w:val="008911AA"/>
    <w:rsid w:val="00897372"/>
    <w:rsid w:val="008A29FD"/>
    <w:rsid w:val="008C7039"/>
    <w:rsid w:val="008C7E8F"/>
    <w:rsid w:val="008D58D9"/>
    <w:rsid w:val="008D7300"/>
    <w:rsid w:val="008F63E8"/>
    <w:rsid w:val="00905159"/>
    <w:rsid w:val="009145CE"/>
    <w:rsid w:val="00914FFD"/>
    <w:rsid w:val="0091531B"/>
    <w:rsid w:val="00915471"/>
    <w:rsid w:val="00921065"/>
    <w:rsid w:val="00921E84"/>
    <w:rsid w:val="00931026"/>
    <w:rsid w:val="00932468"/>
    <w:rsid w:val="009339A1"/>
    <w:rsid w:val="00936E4A"/>
    <w:rsid w:val="00936F12"/>
    <w:rsid w:val="00957EAE"/>
    <w:rsid w:val="00963F5A"/>
    <w:rsid w:val="0097253B"/>
    <w:rsid w:val="00980765"/>
    <w:rsid w:val="00983462"/>
    <w:rsid w:val="0099343E"/>
    <w:rsid w:val="009A6D22"/>
    <w:rsid w:val="009C3605"/>
    <w:rsid w:val="009D19E0"/>
    <w:rsid w:val="009D3B4C"/>
    <w:rsid w:val="009E263F"/>
    <w:rsid w:val="009E367B"/>
    <w:rsid w:val="00A0401F"/>
    <w:rsid w:val="00A207E5"/>
    <w:rsid w:val="00A25184"/>
    <w:rsid w:val="00A30AEF"/>
    <w:rsid w:val="00A32E29"/>
    <w:rsid w:val="00A47EE0"/>
    <w:rsid w:val="00A51329"/>
    <w:rsid w:val="00A77037"/>
    <w:rsid w:val="00A8002B"/>
    <w:rsid w:val="00A901AE"/>
    <w:rsid w:val="00A926F2"/>
    <w:rsid w:val="00AA2081"/>
    <w:rsid w:val="00AB1F84"/>
    <w:rsid w:val="00AC598F"/>
    <w:rsid w:val="00AC75E8"/>
    <w:rsid w:val="00AE4187"/>
    <w:rsid w:val="00AF6294"/>
    <w:rsid w:val="00B0774C"/>
    <w:rsid w:val="00B15312"/>
    <w:rsid w:val="00B211FB"/>
    <w:rsid w:val="00B22E66"/>
    <w:rsid w:val="00B2656A"/>
    <w:rsid w:val="00B35D2D"/>
    <w:rsid w:val="00B4031C"/>
    <w:rsid w:val="00B518B8"/>
    <w:rsid w:val="00B70945"/>
    <w:rsid w:val="00B74C60"/>
    <w:rsid w:val="00B812AF"/>
    <w:rsid w:val="00B869FB"/>
    <w:rsid w:val="00B974DD"/>
    <w:rsid w:val="00BA4394"/>
    <w:rsid w:val="00BB41E3"/>
    <w:rsid w:val="00BC7D92"/>
    <w:rsid w:val="00BD1E40"/>
    <w:rsid w:val="00BE0871"/>
    <w:rsid w:val="00BE5268"/>
    <w:rsid w:val="00BF49C2"/>
    <w:rsid w:val="00C03AF0"/>
    <w:rsid w:val="00C12EB3"/>
    <w:rsid w:val="00C2349B"/>
    <w:rsid w:val="00C34997"/>
    <w:rsid w:val="00C35E1D"/>
    <w:rsid w:val="00C50D91"/>
    <w:rsid w:val="00C70B77"/>
    <w:rsid w:val="00C74231"/>
    <w:rsid w:val="00C90DB2"/>
    <w:rsid w:val="00C94451"/>
    <w:rsid w:val="00CB17F0"/>
    <w:rsid w:val="00CC2373"/>
    <w:rsid w:val="00CD562C"/>
    <w:rsid w:val="00CF0564"/>
    <w:rsid w:val="00CF3A5C"/>
    <w:rsid w:val="00CF478C"/>
    <w:rsid w:val="00CF7B61"/>
    <w:rsid w:val="00D069BB"/>
    <w:rsid w:val="00D413B8"/>
    <w:rsid w:val="00D6226C"/>
    <w:rsid w:val="00D81166"/>
    <w:rsid w:val="00D8527E"/>
    <w:rsid w:val="00DA6ACA"/>
    <w:rsid w:val="00DB0B5A"/>
    <w:rsid w:val="00DC36DC"/>
    <w:rsid w:val="00DC5EA1"/>
    <w:rsid w:val="00DD53CF"/>
    <w:rsid w:val="00DE50CB"/>
    <w:rsid w:val="00DF1AEE"/>
    <w:rsid w:val="00DF2472"/>
    <w:rsid w:val="00DF35E9"/>
    <w:rsid w:val="00DF6295"/>
    <w:rsid w:val="00E00FFC"/>
    <w:rsid w:val="00E02FC8"/>
    <w:rsid w:val="00E042BA"/>
    <w:rsid w:val="00E053C6"/>
    <w:rsid w:val="00E1356F"/>
    <w:rsid w:val="00E136AD"/>
    <w:rsid w:val="00E15F18"/>
    <w:rsid w:val="00E32ABB"/>
    <w:rsid w:val="00E43F12"/>
    <w:rsid w:val="00E4413A"/>
    <w:rsid w:val="00E4632A"/>
    <w:rsid w:val="00E54B49"/>
    <w:rsid w:val="00E6122D"/>
    <w:rsid w:val="00E61669"/>
    <w:rsid w:val="00E6520A"/>
    <w:rsid w:val="00E97B24"/>
    <w:rsid w:val="00EA22A3"/>
    <w:rsid w:val="00EA509F"/>
    <w:rsid w:val="00EA6F78"/>
    <w:rsid w:val="00EB2F4A"/>
    <w:rsid w:val="00EE2EBB"/>
    <w:rsid w:val="00F02C02"/>
    <w:rsid w:val="00F02E5B"/>
    <w:rsid w:val="00F03CDD"/>
    <w:rsid w:val="00F12C6F"/>
    <w:rsid w:val="00F16369"/>
    <w:rsid w:val="00F1758E"/>
    <w:rsid w:val="00F23E41"/>
    <w:rsid w:val="00F25FB7"/>
    <w:rsid w:val="00F27D66"/>
    <w:rsid w:val="00F31F03"/>
    <w:rsid w:val="00F361C1"/>
    <w:rsid w:val="00F643D1"/>
    <w:rsid w:val="00F6579D"/>
    <w:rsid w:val="00F732ED"/>
    <w:rsid w:val="00F74A50"/>
    <w:rsid w:val="00F8290A"/>
    <w:rsid w:val="00F92CEA"/>
    <w:rsid w:val="00F97037"/>
    <w:rsid w:val="00F97E61"/>
    <w:rsid w:val="00FA425A"/>
    <w:rsid w:val="00FA612C"/>
    <w:rsid w:val="00FD49F6"/>
    <w:rsid w:val="00FD5F25"/>
    <w:rsid w:val="00FD7817"/>
    <w:rsid w:val="00FE2D71"/>
    <w:rsid w:val="00FF1E6F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AADC"/>
  <w15:chartTrackingRefBased/>
  <w15:docId w15:val="{A008245E-8349-4CD8-A4C1-365AA74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F02C02"/>
    <w:pPr>
      <w:keepNext/>
      <w:numPr>
        <w:numId w:val="6"/>
      </w:numP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hAnsi="Calibri"/>
      <w:b/>
      <w:bCs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F02C02"/>
    <w:pPr>
      <w:keepNext/>
      <w:numPr>
        <w:ilvl w:val="1"/>
        <w:numId w:val="6"/>
      </w:numPr>
      <w:jc w:val="both"/>
      <w:outlineLvl w:val="1"/>
    </w:pPr>
    <w:rPr>
      <w:rFonts w:asciiTheme="minorHAnsi" w:hAnsiTheme="minorHAnsi" w:cs="Arial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02C02"/>
    <w:pPr>
      <w:keepNext/>
      <w:keepLines/>
      <w:numPr>
        <w:ilvl w:val="2"/>
        <w:numId w:val="6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C02"/>
    <w:pPr>
      <w:keepNext/>
      <w:keepLines/>
      <w:numPr>
        <w:ilvl w:val="3"/>
        <w:numId w:val="6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C02"/>
    <w:pPr>
      <w:keepNext/>
      <w:keepLines/>
      <w:numPr>
        <w:ilvl w:val="4"/>
        <w:numId w:val="6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val="cs-CZ"/>
    </w:rPr>
  </w:style>
  <w:style w:type="paragraph" w:styleId="Nadpis6">
    <w:name w:val="heading 6"/>
    <w:basedOn w:val="Normln"/>
    <w:next w:val="Normln"/>
    <w:link w:val="Nadpis6Char"/>
    <w:qFormat/>
    <w:rsid w:val="00F02C02"/>
    <w:pPr>
      <w:keepNext/>
      <w:numPr>
        <w:ilvl w:val="5"/>
        <w:numId w:val="6"/>
      </w:numPr>
      <w:spacing w:before="120"/>
      <w:jc w:val="center"/>
      <w:outlineLvl w:val="5"/>
    </w:pPr>
    <w:rPr>
      <w:rFonts w:ascii="Calibri" w:hAnsi="Calibri"/>
      <w:b/>
      <w:bCs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C02"/>
    <w:pPr>
      <w:keepNext/>
      <w:keepLines/>
      <w:numPr>
        <w:ilvl w:val="6"/>
        <w:numId w:val="6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C02"/>
    <w:pPr>
      <w:keepNext/>
      <w:keepLines/>
      <w:numPr>
        <w:ilvl w:val="7"/>
        <w:numId w:val="6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C02"/>
    <w:pPr>
      <w:keepNext/>
      <w:keepLines/>
      <w:numPr>
        <w:ilvl w:val="8"/>
        <w:numId w:val="6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32A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2AE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33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332A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2A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32AEA"/>
    <w:rPr>
      <w:vertAlign w:val="superscript"/>
    </w:rPr>
  </w:style>
  <w:style w:type="paragraph" w:styleId="Odstavecseseznamem">
    <w:name w:val="List Paragraph"/>
    <w:aliases w:val="odrážky,Nadpis pro KZ"/>
    <w:basedOn w:val="Normln"/>
    <w:link w:val="OdstavecseseznamemChar"/>
    <w:uiPriority w:val="34"/>
    <w:qFormat/>
    <w:rsid w:val="00332AEA"/>
    <w:pPr>
      <w:ind w:left="720"/>
      <w:contextualSpacing/>
    </w:pPr>
  </w:style>
  <w:style w:type="character" w:customStyle="1" w:styleId="OdstavecseseznamemChar">
    <w:name w:val="Odstavec se seznamem Char"/>
    <w:aliases w:val="odrážky Char,Nadpis pro KZ Char"/>
    <w:link w:val="Odstavecseseznamem"/>
    <w:uiPriority w:val="34"/>
    <w:rsid w:val="001437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rsid w:val="00F02C02"/>
    <w:rPr>
      <w:rFonts w:ascii="Calibri" w:eastAsia="Times New Roman" w:hAnsi="Calibri" w:cs="Times New Roman"/>
      <w:b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02C02"/>
    <w:rPr>
      <w:rFonts w:eastAsia="Times New Roman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02C0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C0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F02C02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C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173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F3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5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5E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5E9"/>
    <w:rPr>
      <w:rFonts w:ascii="Segoe UI" w:eastAsia="Times New Roman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8D58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8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F1758E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D3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nitor.statnipokladna.cz" TargetMode="External"/><Relationship Id="rId18" Type="http://schemas.openxmlformats.org/officeDocument/2006/relationships/hyperlink" Target="http://www.bundeshaushalt-info.de" TargetMode="Externa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hyperlink" Target="http://www.bundeshaushalt-info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data/database" TargetMode="External"/><Relationship Id="rId17" Type="http://schemas.openxmlformats.org/officeDocument/2006/relationships/hyperlink" Target="http://www.bundesrechnungshof.de/en/veroeffentlichungen/bemerkungen-jahresberichte-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uswaertiges-amt.de" TargetMode="External"/><Relationship Id="rId20" Type="http://schemas.openxmlformats.org/officeDocument/2006/relationships/hyperlink" Target="http://www.bundesrechnungshof.de/en/veroeffentlichungen/bemerkungen-jahresberichte-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ndeshaushalt-info.de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4.xml"/><Relationship Id="rId10" Type="http://schemas.openxmlformats.org/officeDocument/2006/relationships/chart" Target="charts/chart2.xml"/><Relationship Id="rId19" Type="http://schemas.openxmlformats.org/officeDocument/2006/relationships/hyperlink" Target="http://www.bmeia.gv.at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rozpocet.sk" TargetMode="External"/><Relationship Id="rId22" Type="http://schemas.openxmlformats.org/officeDocument/2006/relationships/hyperlink" Target="http://www.cnb.cz" TargetMode="External"/><Relationship Id="rId27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1\BIEDERMANNOV\KA%2015-25%20MZV\Kontroln&#237;%20z&#225;v&#283;r\Kopie%20-%20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sers\BIEDERMANNOV\AppData\Local\Microsoft\Windows\Temporary%20Internet%20Files\Content.Outlook\OKKTMGB0\grafy_v&#253;daje%20na%20S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sers\BIEDERMANNOV\AppData\Local\Microsoft\Windows\Temporary%20Internet%20Files\Content.Outlook\OKKTMGB0\grafy_v&#253;daje%20na%20S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54545350573935"/>
          <c:y val="0.12454000827351676"/>
          <c:w val="0.75447583586522937"/>
          <c:h val="0.73241989068752056"/>
        </c:manualLayout>
      </c:layout>
      <c:lineChart>
        <c:grouping val="standard"/>
        <c:varyColors val="0"/>
        <c:ser>
          <c:idx val="0"/>
          <c:order val="0"/>
          <c:tx>
            <c:strRef>
              <c:f>List2!$C$9</c:f>
              <c:strCache>
                <c:ptCount val="1"/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</c:spPr>
          </c:marker>
          <c:dPt>
            <c:idx val="1"/>
            <c:marker>
              <c:symbol val="circle"/>
              <c:size val="8"/>
              <c:spPr>
                <a:solidFill>
                  <a:schemeClr val="accent6">
                    <a:lumMod val="75000"/>
                  </a:schemeClr>
                </a:solidFill>
                <a:ln>
                  <a:solidFill>
                    <a:schemeClr val="accent6">
                      <a:lumMod val="75000"/>
                    </a:schemeClr>
                  </a:solidFill>
                </a:ln>
                <a:effectLst/>
              </c:spPr>
            </c:marker>
            <c:bubble3D val="0"/>
            <c:spPr>
              <a:ln w="38100" cap="rnd">
                <a:solidFill>
                  <a:schemeClr val="accent6">
                    <a:lumMod val="75000"/>
                  </a:schemeClr>
                </a:solidFill>
                <a:round/>
              </a:ln>
              <a:effectLst/>
            </c:spPr>
          </c:dPt>
          <c:dPt>
            <c:idx val="2"/>
            <c:marker>
              <c:symbol val="circle"/>
              <c:size val="8"/>
              <c:spPr>
                <a:solidFill>
                  <a:schemeClr val="accent6">
                    <a:lumMod val="75000"/>
                  </a:schemeClr>
                </a:solidFill>
                <a:ln>
                  <a:solidFill>
                    <a:schemeClr val="accent6">
                      <a:lumMod val="75000"/>
                    </a:schemeClr>
                  </a:solidFill>
                </a:ln>
                <a:effectLst/>
              </c:spPr>
            </c:marker>
            <c:bubble3D val="0"/>
            <c:spPr>
              <a:ln w="38100" cap="rnd">
                <a:solidFill>
                  <a:schemeClr val="accent6">
                    <a:lumMod val="75000"/>
                  </a:schemeClr>
                </a:solidFill>
                <a:round/>
              </a:ln>
              <a:effectLst/>
            </c:spPr>
          </c:dPt>
          <c:dPt>
            <c:idx val="3"/>
            <c:marker>
              <c:symbol val="circle"/>
              <c:size val="8"/>
              <c:spPr>
                <a:solidFill>
                  <a:schemeClr val="accent6">
                    <a:lumMod val="75000"/>
                  </a:schemeClr>
                </a:solidFill>
                <a:ln>
                  <a:solidFill>
                    <a:schemeClr val="accent6">
                      <a:lumMod val="75000"/>
                    </a:schemeClr>
                  </a:solidFill>
                </a:ln>
                <a:effectLst/>
              </c:spPr>
            </c:marker>
            <c:bubble3D val="0"/>
            <c:spPr>
              <a:ln w="38100" cap="rnd">
                <a:solidFill>
                  <a:schemeClr val="accent6">
                    <a:lumMod val="75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-0.10787521234152345"/>
                  <c:y val="-6.84747653976342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70,5 mil. Kč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5780428589451848"/>
                  <c:y val="-1.4313083620970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81,5 mil. Kč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623432925811544"/>
                  <c:y val="-7.941121059010172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97,7 mil. Kč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5071771702974551"/>
                  <c:y val="-7.94112105901014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102 mil. Kč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List2!$A$10:$A$13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List2!$C$10:$C$13</c:f>
              <c:numCache>
                <c:formatCode>0</c:formatCode>
                <c:ptCount val="4"/>
                <c:pt idx="0">
                  <c:v>100</c:v>
                </c:pt>
                <c:pt idx="1">
                  <c:v>115.59374445856443</c:v>
                </c:pt>
                <c:pt idx="2">
                  <c:v>138.63064726919191</c:v>
                </c:pt>
                <c:pt idx="3">
                  <c:v>144.84514518589592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List2!$E$9</c:f>
              <c:strCache>
                <c:ptCount val="1"/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9.190916697075624E-2"/>
                  <c:y val="-2.70570087448914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191 dětí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7441086731125325E-2"/>
                  <c:y val="1.616822783930512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 dětí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474605329794576E-2"/>
                  <c:y val="3.6662616874712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238 dětí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0218483478551929E-2"/>
                  <c:y val="3.347663559373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242 dětí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List2!$A$10:$A$13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List2!$E$10:$E$13</c:f>
              <c:numCache>
                <c:formatCode>0</c:formatCode>
                <c:ptCount val="4"/>
                <c:pt idx="0">
                  <c:v>100</c:v>
                </c:pt>
                <c:pt idx="1">
                  <c:v>105.75916230366491</c:v>
                </c:pt>
                <c:pt idx="2">
                  <c:v>124.60732984293195</c:v>
                </c:pt>
                <c:pt idx="3">
                  <c:v>126.70157068062827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647456"/>
        <c:axId val="177756064"/>
      </c:lineChart>
      <c:catAx>
        <c:axId val="176647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100" b="1" cap="none" baseline="0">
                    <a:latin typeface="+mn-lt"/>
                  </a:rPr>
                  <a:t>Období</a:t>
                </a:r>
              </a:p>
            </c:rich>
          </c:tx>
          <c:layout>
            <c:manualLayout>
              <c:xMode val="edge"/>
              <c:yMode val="edge"/>
              <c:x val="0.42457189482799845"/>
              <c:y val="0.9260177681396012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7756064"/>
        <c:crossesAt val="0"/>
        <c:auto val="1"/>
        <c:lblAlgn val="ctr"/>
        <c:lblOffset val="100"/>
        <c:noMultiLvlLbl val="0"/>
      </c:catAx>
      <c:valAx>
        <c:axId val="177756064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647456"/>
        <c:crosses val="autoZero"/>
        <c:crossBetween val="between"/>
        <c:majorUnit val="10"/>
        <c:minorUnit val="1"/>
        <c:dispUnits>
          <c:builtInUnit val="hundre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039370078740162E-2"/>
          <c:y val="0.29671296296296296"/>
          <c:w val="0.75700438607964704"/>
          <c:h val="0.51718394575678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List1!$A$29</c:f>
              <c:strCache>
                <c:ptCount val="1"/>
                <c:pt idx="0">
                  <c:v>ČR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3147880741854533E-17"/>
                  <c:y val="8.346373172259283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295761483709066E-17"/>
                  <c:y val="1.2519559758388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1.2519559758388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List1!$B$28:$D$28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List1!$B$29:$D$29</c:f>
              <c:numCache>
                <c:formatCode>#,##0.00</c:formatCode>
                <c:ptCount val="3"/>
                <c:pt idx="0">
                  <c:v>0.5</c:v>
                </c:pt>
                <c:pt idx="1">
                  <c:v>0.52</c:v>
                </c:pt>
                <c:pt idx="2">
                  <c:v>0.5</c:v>
                </c:pt>
              </c:numCache>
            </c:numRef>
          </c:val>
        </c:ser>
        <c:ser>
          <c:idx val="1"/>
          <c:order val="1"/>
          <c:tx>
            <c:strRef>
              <c:f>List1!$A$30</c:f>
              <c:strCache>
                <c:ptCount val="1"/>
                <c:pt idx="0">
                  <c:v>Slovensko</c:v>
                </c:pt>
              </c:strCache>
            </c:strRef>
          </c:tx>
          <c:spPr>
            <a:solidFill>
              <a:srgbClr val="9E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2519559758388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2519559758388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1.2519559758388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List1!$B$28:$D$28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List1!$B$30:$D$30</c:f>
              <c:numCache>
                <c:formatCode>#,##0.00</c:formatCode>
                <c:ptCount val="3"/>
                <c:pt idx="0">
                  <c:v>0.93</c:v>
                </c:pt>
                <c:pt idx="1">
                  <c:v>1.06</c:v>
                </c:pt>
                <c:pt idx="2">
                  <c:v>0.89</c:v>
                </c:pt>
              </c:numCache>
            </c:numRef>
          </c:val>
        </c:ser>
        <c:ser>
          <c:idx val="2"/>
          <c:order val="2"/>
          <c:tx>
            <c:strRef>
              <c:f>List1!$A$31</c:f>
              <c:strCache>
                <c:ptCount val="1"/>
                <c:pt idx="0">
                  <c:v>Německo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1,07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1,23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List1!$B$28:$D$28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List1!$B$31:$D$31</c:f>
              <c:numCache>
                <c:formatCode>#,##0.00</c:formatCode>
                <c:ptCount val="3"/>
                <c:pt idx="0">
                  <c:v>1.07</c:v>
                </c:pt>
                <c:pt idx="1">
                  <c:v>1.1200000000000001</c:v>
                </c:pt>
                <c:pt idx="2">
                  <c:v>1.23</c:v>
                </c:pt>
              </c:numCache>
            </c:numRef>
          </c:val>
        </c:ser>
        <c:ser>
          <c:idx val="3"/>
          <c:order val="3"/>
          <c:tx>
            <c:strRef>
              <c:f>List1!$A$32</c:f>
              <c:strCache>
                <c:ptCount val="1"/>
                <c:pt idx="0">
                  <c:v>Polsko</c:v>
                </c:pt>
              </c:strCache>
            </c:strRef>
          </c:tx>
          <c:spPr>
            <a:solidFill>
              <a:srgbClr val="00964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6295761483709066E-17"/>
                  <c:y val="1.2519559758388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0,58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List1!$B$28:$D$28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List1!$B$32:$D$32</c:f>
              <c:numCache>
                <c:formatCode>#,##0.00</c:formatCode>
                <c:ptCount val="3"/>
                <c:pt idx="0">
                  <c:v>0.55000000000000004</c:v>
                </c:pt>
                <c:pt idx="1">
                  <c:v>0.55000000000000004</c:v>
                </c:pt>
                <c:pt idx="2">
                  <c:v>0.57999999999999996</c:v>
                </c:pt>
              </c:numCache>
            </c:numRef>
          </c:val>
        </c:ser>
        <c:ser>
          <c:idx val="4"/>
          <c:order val="4"/>
          <c:tx>
            <c:strRef>
              <c:f>List1!$A$33</c:f>
              <c:strCache>
                <c:ptCount val="1"/>
                <c:pt idx="0">
                  <c:v>Rakousko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8.346373172259283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1.2519559758388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List1!$B$28:$D$28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List1!$B$33:$D$33</c:f>
              <c:numCache>
                <c:formatCode>#,##0.00</c:formatCode>
                <c:ptCount val="3"/>
                <c:pt idx="0">
                  <c:v>0.56000000000000005</c:v>
                </c:pt>
                <c:pt idx="1">
                  <c:v>0.54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727784"/>
        <c:axId val="177728168"/>
      </c:barChart>
      <c:catAx>
        <c:axId val="177727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b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100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2238173716657512"/>
              <c:y val="0.902777923836315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b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7728168"/>
        <c:crosses val="autoZero"/>
        <c:auto val="1"/>
        <c:lblAlgn val="ctr"/>
        <c:lblOffset val="100"/>
        <c:noMultiLvlLbl val="0"/>
      </c:catAx>
      <c:valAx>
        <c:axId val="177728168"/>
        <c:scaling>
          <c:orientation val="minMax"/>
          <c:max val="1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7727784"/>
        <c:crosses val="autoZero"/>
        <c:crossBetween val="between"/>
        <c:majorUnit val="0.5"/>
        <c:dispUnits>
          <c:builtInUnit val="hundred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65527496738508E-2"/>
          <c:y val="0.26430555555555557"/>
          <c:w val="0.75775807434395437"/>
          <c:h val="0.53107283464566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List1!$A$52</c:f>
              <c:strCache>
                <c:ptCount val="1"/>
                <c:pt idx="0">
                  <c:v>ČR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0,14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List1!$B$51:$D$51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List1!$B$52:$D$52</c:f>
              <c:numCache>
                <c:formatCode>#,##0.00</c:formatCode>
                <c:ptCount val="3"/>
                <c:pt idx="0">
                  <c:v>0.14000000000000001</c:v>
                </c:pt>
                <c:pt idx="1">
                  <c:v>0.15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List1!$A$53</c:f>
              <c:strCache>
                <c:ptCount val="1"/>
                <c:pt idx="0">
                  <c:v>Slovensko</c:v>
                </c:pt>
              </c:strCache>
            </c:strRef>
          </c:tx>
          <c:spPr>
            <a:solidFill>
              <a:srgbClr val="9E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0,18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0,16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List1!$B$51:$D$51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List1!$B$53:$D$53</c:f>
              <c:numCache>
                <c:formatCode>#,##0.00</c:formatCode>
                <c:ptCount val="3"/>
                <c:pt idx="0">
                  <c:v>0.17</c:v>
                </c:pt>
                <c:pt idx="1">
                  <c:v>0.18</c:v>
                </c:pt>
                <c:pt idx="2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List1!$A$54</c:f>
              <c:strCache>
                <c:ptCount val="1"/>
                <c:pt idx="0">
                  <c:v>Německo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List1!$B$51:$D$51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List1!$B$54:$D$54</c:f>
              <c:numCache>
                <c:formatCode>#,##0.00</c:formatCode>
                <c:ptCount val="3"/>
                <c:pt idx="0">
                  <c:v>0.12</c:v>
                </c:pt>
                <c:pt idx="1">
                  <c:v>0.12</c:v>
                </c:pt>
                <c:pt idx="2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List1!$A$55</c:f>
              <c:strCache>
                <c:ptCount val="1"/>
                <c:pt idx="0">
                  <c:v>Polsko</c:v>
                </c:pt>
              </c:strCache>
            </c:strRef>
          </c:tx>
          <c:spPr>
            <a:solidFill>
              <a:srgbClr val="00964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9.259259259259173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9.259259259259173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287982984178116E-17"/>
                  <c:y val="9.259259259259173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List1!$B$51:$D$51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List1!$B$55:$D$55</c:f>
              <c:numCache>
                <c:formatCode>#,##0.00</c:formatCode>
                <c:ptCount val="3"/>
                <c:pt idx="0">
                  <c:v>0.11</c:v>
                </c:pt>
                <c:pt idx="1">
                  <c:v>0.11</c:v>
                </c:pt>
                <c:pt idx="2">
                  <c:v>0.11</c:v>
                </c:pt>
              </c:numCache>
            </c:numRef>
          </c:val>
        </c:ser>
        <c:ser>
          <c:idx val="4"/>
          <c:order val="4"/>
          <c:tx>
            <c:strRef>
              <c:f>List1!$A$56</c:f>
              <c:strCache>
                <c:ptCount val="1"/>
                <c:pt idx="0">
                  <c:v>Rakousko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0,13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0,12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0,13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List1!$B$51:$D$51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List1!$B$56:$D$56</c:f>
              <c:numCache>
                <c:formatCode>#,##0.00</c:formatCode>
                <c:ptCount val="3"/>
                <c:pt idx="0">
                  <c:v>0.13</c:v>
                </c:pt>
                <c:pt idx="1">
                  <c:v>0.12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427272"/>
        <c:axId val="178119168"/>
      </c:barChart>
      <c:catAx>
        <c:axId val="177427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100" b="1"/>
                  <a:t>Období</a:t>
                </a:r>
              </a:p>
            </c:rich>
          </c:tx>
          <c:layout>
            <c:manualLayout>
              <c:xMode val="edge"/>
              <c:yMode val="edge"/>
              <c:x val="0.42714659005021843"/>
              <c:y val="0.879629629629629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8119168"/>
        <c:crosses val="autoZero"/>
        <c:auto val="1"/>
        <c:lblAlgn val="ctr"/>
        <c:lblOffset val="100"/>
        <c:noMultiLvlLbl val="0"/>
      </c:catAx>
      <c:valAx>
        <c:axId val="17811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7427272"/>
        <c:crosses val="autoZero"/>
        <c:crossBetween val="between"/>
        <c:majorUnit val="5.000000000000001E-2"/>
        <c:dispUnits>
          <c:builtInUnit val="hundreds"/>
        </c:dispUnits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F0B62-7858-4DB2-8761-B5D53E7BBE29}"/>
</file>

<file path=customXml/itemProps2.xml><?xml version="1.0" encoding="utf-8"?>
<ds:datastoreItem xmlns:ds="http://schemas.openxmlformats.org/officeDocument/2006/customXml" ds:itemID="{D83571B3-1D05-4D72-9787-3AE04EBDD63B}"/>
</file>

<file path=customXml/itemProps3.xml><?xml version="1.0" encoding="utf-8"?>
<ds:datastoreItem xmlns:ds="http://schemas.openxmlformats.org/officeDocument/2006/customXml" ds:itemID="{A85E9951-5866-4961-AF9B-1707E49B16B2}"/>
</file>

<file path=customXml/itemProps4.xml><?xml version="1.0" encoding="utf-8"?>
<ds:datastoreItem xmlns:ds="http://schemas.openxmlformats.org/officeDocument/2006/customXml" ds:itemID="{DFBCE92A-D0FB-4246-8C22-BD9D96EE63CD}"/>
</file>

<file path=docProps/app.xml><?xml version="1.0" encoding="utf-8"?>
<Properties xmlns="http://schemas.openxmlformats.org/officeDocument/2006/extended-properties" xmlns:vt="http://schemas.openxmlformats.org/officeDocument/2006/docPropsVTypes">
  <Template>AD59929D.dotm</Template>
  <TotalTime>0</TotalTime>
  <Pages>15</Pages>
  <Words>4877</Words>
  <Characters>28779</Characters>
  <Application>Microsoft Office Word</Application>
  <DocSecurity>4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15/25 - Majetek a peněžní prostředky státu, se kterými je příslušné hospodařit Ministerstvo zahraničních věcí</dc:title>
  <dc:subject/>
  <dc:creator>Nejvyšší kontrolní úřad</dc:creator>
  <cp:keywords>kontrolní závěr, MZV, ministerstvo zahraničních věcí</cp:keywords>
  <dc:description/>
  <cp:lastModifiedBy>KOKRDA Daniel</cp:lastModifiedBy>
  <cp:revision>2</cp:revision>
  <cp:lastPrinted>2016-04-28T12:07:00Z</cp:lastPrinted>
  <dcterms:created xsi:type="dcterms:W3CDTF">2016-05-06T10:29:00Z</dcterms:created>
  <dcterms:modified xsi:type="dcterms:W3CDTF">2016-05-06T10:29:00Z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