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6B921" w14:textId="77777777" w:rsidR="00FB00A9" w:rsidRDefault="00F256A9" w:rsidP="002652ED">
      <w:pPr>
        <w:jc w:val="center"/>
      </w:pPr>
      <w:r w:rsidRPr="00391416">
        <w:rPr>
          <w:rFonts w:cstheme="minorHAnsi"/>
          <w:noProof/>
          <w:lang w:eastAsia="cs-CZ"/>
        </w:rPr>
        <w:drawing>
          <wp:inline distT="0" distB="0" distL="0" distR="0" wp14:anchorId="5A2130D8" wp14:editId="4FB00610">
            <wp:extent cx="790575" cy="558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58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92251" w14:textId="77777777" w:rsidR="00FB00A9" w:rsidRDefault="00FB00A9" w:rsidP="007002F5">
      <w:pPr>
        <w:keepNext/>
      </w:pPr>
    </w:p>
    <w:p w14:paraId="0257A075" w14:textId="77777777" w:rsidR="002652ED" w:rsidRDefault="002652ED" w:rsidP="007002F5">
      <w:pPr>
        <w:keepNext/>
      </w:pPr>
    </w:p>
    <w:p w14:paraId="6D067D07" w14:textId="77777777" w:rsidR="00D37C53" w:rsidRDefault="007002F5" w:rsidP="007002F5">
      <w:pPr>
        <w:pStyle w:val="Normlnweb"/>
        <w:keepNext/>
        <w:tabs>
          <w:tab w:val="left" w:pos="5400"/>
        </w:tabs>
        <w:spacing w:line="360" w:lineRule="auto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GoBack"/>
      <w:r w:rsidRPr="00314EDF">
        <w:rPr>
          <w:rFonts w:asciiTheme="minorHAnsi" w:hAnsiTheme="minorHAnsi" w:cs="Calibri"/>
          <w:b/>
          <w:sz w:val="28"/>
          <w:szCs w:val="28"/>
        </w:rPr>
        <w:t xml:space="preserve">Kontrolní závěr z kontrolní akce </w:t>
      </w:r>
    </w:p>
    <w:p w14:paraId="2CF75C32" w14:textId="77777777" w:rsidR="007002F5" w:rsidRPr="00314EDF" w:rsidRDefault="007002F5" w:rsidP="007002F5">
      <w:pPr>
        <w:pStyle w:val="Normlnweb"/>
        <w:keepNext/>
        <w:tabs>
          <w:tab w:val="left" w:pos="5400"/>
        </w:tabs>
        <w:spacing w:line="360" w:lineRule="auto"/>
        <w:jc w:val="center"/>
        <w:rPr>
          <w:rFonts w:asciiTheme="minorHAnsi" w:hAnsiTheme="minorHAnsi" w:cs="Calibri"/>
          <w:b/>
          <w:sz w:val="28"/>
          <w:szCs w:val="28"/>
        </w:rPr>
      </w:pPr>
      <w:r w:rsidRPr="00314EDF">
        <w:rPr>
          <w:rFonts w:asciiTheme="minorHAnsi" w:hAnsiTheme="minorHAnsi" w:cs="Calibri"/>
          <w:b/>
          <w:sz w:val="28"/>
          <w:szCs w:val="28"/>
        </w:rPr>
        <w:t>1</w:t>
      </w:r>
      <w:r>
        <w:rPr>
          <w:rFonts w:asciiTheme="minorHAnsi" w:hAnsiTheme="minorHAnsi" w:cs="Calibri"/>
          <w:b/>
          <w:sz w:val="28"/>
          <w:szCs w:val="28"/>
        </w:rPr>
        <w:t>5</w:t>
      </w:r>
      <w:r w:rsidRPr="00314EDF">
        <w:rPr>
          <w:rFonts w:asciiTheme="minorHAnsi" w:hAnsiTheme="minorHAnsi" w:cs="Calibri"/>
          <w:b/>
          <w:sz w:val="28"/>
          <w:szCs w:val="28"/>
        </w:rPr>
        <w:t>/1</w:t>
      </w:r>
      <w:r>
        <w:rPr>
          <w:rFonts w:asciiTheme="minorHAnsi" w:hAnsiTheme="minorHAnsi" w:cs="Calibri"/>
          <w:b/>
          <w:sz w:val="28"/>
          <w:szCs w:val="28"/>
        </w:rPr>
        <w:t>5</w:t>
      </w:r>
    </w:p>
    <w:p w14:paraId="2898BE4F" w14:textId="77777777" w:rsidR="00FB00A9" w:rsidRPr="007002F5" w:rsidRDefault="007002F5" w:rsidP="007002F5">
      <w:pPr>
        <w:pStyle w:val="Normlnweb"/>
        <w:keepNext/>
        <w:tabs>
          <w:tab w:val="left" w:pos="5400"/>
        </w:tabs>
        <w:spacing w:line="360" w:lineRule="auto"/>
        <w:jc w:val="center"/>
        <w:rPr>
          <w:rFonts w:asciiTheme="minorHAnsi" w:hAnsiTheme="minorHAnsi" w:cs="Calibri"/>
          <w:b/>
          <w:bCs/>
          <w:iCs/>
          <w:sz w:val="28"/>
          <w:szCs w:val="28"/>
        </w:rPr>
      </w:pPr>
      <w:r>
        <w:rPr>
          <w:rFonts w:asciiTheme="minorHAnsi" w:hAnsiTheme="minorHAnsi" w:cs="Calibri"/>
          <w:b/>
          <w:bCs/>
          <w:iCs/>
          <w:sz w:val="28"/>
          <w:szCs w:val="28"/>
        </w:rPr>
        <w:t>Zdaňování nemovitostí, převodu nemovitos</w:t>
      </w:r>
      <w:r w:rsidR="00201D98">
        <w:rPr>
          <w:rFonts w:asciiTheme="minorHAnsi" w:hAnsiTheme="minorHAnsi" w:cs="Calibri"/>
          <w:b/>
          <w:bCs/>
          <w:iCs/>
          <w:sz w:val="28"/>
          <w:szCs w:val="28"/>
        </w:rPr>
        <w:t>tí a majetku nabytého děděním a </w:t>
      </w:r>
      <w:r>
        <w:rPr>
          <w:rFonts w:asciiTheme="minorHAnsi" w:hAnsiTheme="minorHAnsi" w:cs="Calibri"/>
          <w:b/>
          <w:bCs/>
          <w:iCs/>
          <w:sz w:val="28"/>
          <w:szCs w:val="28"/>
        </w:rPr>
        <w:t>darováním</w:t>
      </w:r>
    </w:p>
    <w:bookmarkEnd w:id="0"/>
    <w:p w14:paraId="69AE7DBB" w14:textId="77777777" w:rsidR="00D96A65" w:rsidRDefault="00D96A65" w:rsidP="00310B6F">
      <w:pPr>
        <w:spacing w:after="240" w:line="264" w:lineRule="auto"/>
        <w:rPr>
          <w:rFonts w:cstheme="minorHAnsi"/>
          <w:szCs w:val="24"/>
        </w:rPr>
      </w:pPr>
    </w:p>
    <w:p w14:paraId="0352BEF9" w14:textId="3B9D15C8" w:rsidR="00F256A9" w:rsidRDefault="00F256A9" w:rsidP="00310B6F">
      <w:pPr>
        <w:spacing w:after="240" w:line="264" w:lineRule="auto"/>
        <w:rPr>
          <w:rFonts w:cstheme="minorHAnsi"/>
          <w:szCs w:val="24"/>
        </w:rPr>
      </w:pPr>
      <w:r w:rsidRPr="00B96308">
        <w:rPr>
          <w:rFonts w:cstheme="minorHAnsi"/>
          <w:szCs w:val="24"/>
        </w:rPr>
        <w:t>Kontrolní akce byla zařazena do plánu kontrolní činnosti Nejvyššího kontrolního úř</w:t>
      </w:r>
      <w:r>
        <w:rPr>
          <w:rFonts w:cstheme="minorHAnsi"/>
          <w:szCs w:val="24"/>
        </w:rPr>
        <w:t xml:space="preserve">adu (dále </w:t>
      </w:r>
      <w:r w:rsidR="00B00A92">
        <w:rPr>
          <w:rFonts w:cstheme="minorHAnsi"/>
          <w:szCs w:val="24"/>
        </w:rPr>
        <w:t>také</w:t>
      </w:r>
      <w:r>
        <w:rPr>
          <w:rFonts w:cstheme="minorHAnsi"/>
          <w:szCs w:val="24"/>
        </w:rPr>
        <w:t xml:space="preserve"> „NKÚ“) na rok 2015 pod číslem 15/15</w:t>
      </w:r>
      <w:r w:rsidRPr="00B96308">
        <w:rPr>
          <w:rFonts w:cstheme="minorHAnsi"/>
          <w:szCs w:val="24"/>
        </w:rPr>
        <w:t>. Kontrolní akci řídila a</w:t>
      </w:r>
      <w:r>
        <w:rPr>
          <w:rFonts w:cstheme="minorHAnsi"/>
          <w:szCs w:val="24"/>
        </w:rPr>
        <w:t xml:space="preserve"> </w:t>
      </w:r>
      <w:r w:rsidRPr="00B96308">
        <w:rPr>
          <w:rFonts w:cstheme="minorHAnsi"/>
          <w:szCs w:val="24"/>
        </w:rPr>
        <w:t>kontrolní závěr vypracovala členka</w:t>
      </w:r>
      <w:r>
        <w:rPr>
          <w:rFonts w:cstheme="minorHAnsi"/>
          <w:szCs w:val="24"/>
        </w:rPr>
        <w:t xml:space="preserve"> </w:t>
      </w:r>
      <w:r w:rsidRPr="00B96308">
        <w:rPr>
          <w:rFonts w:cstheme="minorHAnsi"/>
          <w:szCs w:val="24"/>
        </w:rPr>
        <w:t xml:space="preserve">NKÚ Mgr. Zdeňka </w:t>
      </w:r>
      <w:proofErr w:type="spellStart"/>
      <w:r w:rsidRPr="00B96308">
        <w:rPr>
          <w:rFonts w:cstheme="minorHAnsi"/>
          <w:szCs w:val="24"/>
        </w:rPr>
        <w:t>Profeldová</w:t>
      </w:r>
      <w:proofErr w:type="spellEnd"/>
      <w:r w:rsidRPr="00B96308">
        <w:rPr>
          <w:rFonts w:cstheme="minorHAnsi"/>
          <w:szCs w:val="24"/>
        </w:rPr>
        <w:t>.</w:t>
      </w:r>
    </w:p>
    <w:p w14:paraId="18750836" w14:textId="77777777" w:rsidR="00F256A9" w:rsidRPr="00F256A9" w:rsidRDefault="00F256A9" w:rsidP="00310B6F">
      <w:pPr>
        <w:spacing w:after="240"/>
        <w:rPr>
          <w:rFonts w:cstheme="minorHAnsi"/>
          <w:noProof/>
          <w:color w:val="000000"/>
          <w:szCs w:val="24"/>
        </w:rPr>
      </w:pPr>
      <w:r w:rsidRPr="00F256A9">
        <w:rPr>
          <w:rFonts w:cstheme="minorHAnsi"/>
          <w:szCs w:val="24"/>
        </w:rPr>
        <w:t>Cílem kontroly bylo p</w:t>
      </w:r>
      <w:r w:rsidRPr="00F256A9">
        <w:rPr>
          <w:rFonts w:cstheme="minorHAnsi"/>
          <w:noProof/>
          <w:color w:val="000000"/>
          <w:szCs w:val="24"/>
        </w:rPr>
        <w:t xml:space="preserve">rověřit postup finančních orgánů při správě tzv. majetkových </w:t>
      </w:r>
      <w:r>
        <w:rPr>
          <w:rFonts w:cstheme="minorHAnsi"/>
          <w:noProof/>
          <w:color w:val="000000"/>
          <w:szCs w:val="24"/>
        </w:rPr>
        <w:t>daní, tj. </w:t>
      </w:r>
      <w:r w:rsidRPr="00F256A9">
        <w:rPr>
          <w:rFonts w:cstheme="minorHAnsi"/>
          <w:noProof/>
          <w:color w:val="000000"/>
          <w:szCs w:val="24"/>
        </w:rPr>
        <w:t>daně z nemovitostí (od 1. 1. 2014 daně z nemovitých věcí), daně z převodu nemovitostí (od 1. 1. 2014 daně z nabytí nemovitých věcí), daně dědické a daně darovací (od 1. 1. 2014 daní z příjmů); prověřit dopady legislativních změn na příjmy státního rozpočtu</w:t>
      </w:r>
      <w:r>
        <w:rPr>
          <w:rFonts w:cstheme="minorHAnsi"/>
          <w:noProof/>
          <w:color w:val="000000"/>
          <w:szCs w:val="24"/>
        </w:rPr>
        <w:t>.</w:t>
      </w:r>
    </w:p>
    <w:p w14:paraId="5CC8CA79" w14:textId="77777777" w:rsidR="00F256A9" w:rsidRDefault="00F256A9" w:rsidP="00310B6F">
      <w:pPr>
        <w:spacing w:after="240" w:line="264" w:lineRule="auto"/>
        <w:rPr>
          <w:szCs w:val="24"/>
        </w:rPr>
      </w:pPr>
      <w:r w:rsidRPr="00B96308">
        <w:rPr>
          <w:rFonts w:cstheme="minorHAnsi"/>
          <w:szCs w:val="24"/>
        </w:rPr>
        <w:t>Kontrolovaným obdobím byl</w:t>
      </w:r>
      <w:r>
        <w:rPr>
          <w:rFonts w:cstheme="minorHAnsi"/>
          <w:szCs w:val="24"/>
        </w:rPr>
        <w:t>y</w:t>
      </w:r>
      <w:r w:rsidRPr="00B96308">
        <w:rPr>
          <w:rFonts w:cstheme="minorHAnsi"/>
          <w:szCs w:val="24"/>
        </w:rPr>
        <w:t xml:space="preserve"> rok</w:t>
      </w:r>
      <w:r>
        <w:rPr>
          <w:rFonts w:cstheme="minorHAnsi"/>
          <w:szCs w:val="24"/>
        </w:rPr>
        <w:t>y</w:t>
      </w:r>
      <w:r w:rsidRPr="00B96308">
        <w:rPr>
          <w:rFonts w:cstheme="minorHAnsi"/>
          <w:szCs w:val="24"/>
        </w:rPr>
        <w:t xml:space="preserve"> </w:t>
      </w:r>
      <w:r w:rsidRPr="002B4F49">
        <w:rPr>
          <w:rFonts w:cstheme="minorHAnsi"/>
          <w:szCs w:val="24"/>
        </w:rPr>
        <w:t>2012</w:t>
      </w:r>
      <w:r w:rsidRPr="002B4F49">
        <w:rPr>
          <w:rFonts w:cstheme="minorHAnsi"/>
          <w:szCs w:val="24"/>
          <w:rtl/>
          <w:lang w:bidi="he-IL"/>
        </w:rPr>
        <w:t>–</w:t>
      </w:r>
      <w:r w:rsidRPr="002B4F49">
        <w:rPr>
          <w:rFonts w:cstheme="minorHAnsi"/>
          <w:szCs w:val="24"/>
        </w:rPr>
        <w:t>2014</w:t>
      </w:r>
      <w:r w:rsidRPr="00B96308">
        <w:rPr>
          <w:rFonts w:cstheme="minorHAnsi"/>
          <w:szCs w:val="24"/>
        </w:rPr>
        <w:t xml:space="preserve">, </w:t>
      </w:r>
      <w:r>
        <w:rPr>
          <w:szCs w:val="24"/>
        </w:rPr>
        <w:t>v případě věcných souvislostí také období předcházející a následující.</w:t>
      </w:r>
    </w:p>
    <w:p w14:paraId="1E0C600C" w14:textId="77777777" w:rsidR="00F256A9" w:rsidRDefault="00F256A9" w:rsidP="00310B6F">
      <w:pPr>
        <w:spacing w:after="240"/>
        <w:rPr>
          <w:rFonts w:cstheme="minorHAnsi"/>
        </w:rPr>
      </w:pPr>
      <w:r w:rsidRPr="00391416">
        <w:rPr>
          <w:rFonts w:cstheme="minorHAnsi"/>
        </w:rPr>
        <w:t xml:space="preserve">Kontrola byla prováděna </w:t>
      </w:r>
      <w:r>
        <w:rPr>
          <w:rFonts w:cstheme="minorHAnsi"/>
        </w:rPr>
        <w:t>u kontrolovaných</w:t>
      </w:r>
      <w:r w:rsidR="00787673">
        <w:rPr>
          <w:rFonts w:cstheme="minorHAnsi"/>
        </w:rPr>
        <w:t xml:space="preserve"> osob</w:t>
      </w:r>
      <w:r w:rsidRPr="00391416">
        <w:rPr>
          <w:rFonts w:cstheme="minorHAnsi"/>
        </w:rPr>
        <w:t xml:space="preserve"> v době od </w:t>
      </w:r>
      <w:r>
        <w:rPr>
          <w:rFonts w:cstheme="minorHAnsi"/>
        </w:rPr>
        <w:t xml:space="preserve">dubna 2015 </w:t>
      </w:r>
      <w:r w:rsidR="00787673">
        <w:rPr>
          <w:rFonts w:cstheme="minorHAnsi"/>
        </w:rPr>
        <w:t>do prosince 2015.</w:t>
      </w:r>
    </w:p>
    <w:p w14:paraId="5BCD68E6" w14:textId="77777777" w:rsidR="00201D98" w:rsidRPr="00EC7D16" w:rsidRDefault="00201D98" w:rsidP="00201D98">
      <w:pPr>
        <w:spacing w:after="0"/>
        <w:rPr>
          <w:b/>
          <w:szCs w:val="24"/>
        </w:rPr>
      </w:pPr>
      <w:r w:rsidRPr="00EC7D16">
        <w:rPr>
          <w:rFonts w:cstheme="minorHAnsi"/>
          <w:b/>
        </w:rPr>
        <w:t>Kontrolované osoby:</w:t>
      </w:r>
      <w:r w:rsidRPr="00EC7D16">
        <w:rPr>
          <w:b/>
          <w:szCs w:val="24"/>
        </w:rPr>
        <w:t xml:space="preserve"> </w:t>
      </w:r>
    </w:p>
    <w:p w14:paraId="723E36C3" w14:textId="08B18ED9" w:rsidR="00201D98" w:rsidRDefault="00201D98" w:rsidP="00201D98">
      <w:pPr>
        <w:spacing w:after="0"/>
        <w:rPr>
          <w:rFonts w:cstheme="minorHAnsi"/>
        </w:rPr>
      </w:pPr>
      <w:r w:rsidRPr="007002F5">
        <w:rPr>
          <w:szCs w:val="24"/>
        </w:rPr>
        <w:t>Generální finanční ředitelství (dále jen „GFŘ“)</w:t>
      </w:r>
      <w:r w:rsidRPr="00201D98">
        <w:rPr>
          <w:szCs w:val="24"/>
        </w:rPr>
        <w:t xml:space="preserve"> </w:t>
      </w:r>
      <w:r w:rsidR="00B00A92">
        <w:rPr>
          <w:szCs w:val="24"/>
        </w:rPr>
        <w:t xml:space="preserve">a vybrané finanční úřady (dále také „FÚ“): </w:t>
      </w:r>
      <w:r w:rsidRPr="007002F5">
        <w:rPr>
          <w:szCs w:val="24"/>
        </w:rPr>
        <w:t>Finanční úřad pro Středočeský kraj,</w:t>
      </w:r>
      <w:r w:rsidRPr="00201D98">
        <w:rPr>
          <w:szCs w:val="24"/>
        </w:rPr>
        <w:t xml:space="preserve"> </w:t>
      </w:r>
      <w:r w:rsidRPr="007002F5">
        <w:rPr>
          <w:szCs w:val="24"/>
        </w:rPr>
        <w:t>Finanční úřad pro Jihočeský kraj,</w:t>
      </w:r>
      <w:r w:rsidRPr="00201D98">
        <w:rPr>
          <w:szCs w:val="24"/>
        </w:rPr>
        <w:t xml:space="preserve"> </w:t>
      </w:r>
      <w:r w:rsidRPr="007002F5">
        <w:rPr>
          <w:szCs w:val="24"/>
        </w:rPr>
        <w:t>Finanční úřad pro Ústecký kraj,</w:t>
      </w:r>
      <w:r w:rsidRPr="00201D98">
        <w:rPr>
          <w:szCs w:val="24"/>
        </w:rPr>
        <w:t xml:space="preserve"> </w:t>
      </w:r>
      <w:r w:rsidRPr="007002F5">
        <w:rPr>
          <w:szCs w:val="24"/>
        </w:rPr>
        <w:t>Finanční úřad pro Jihomoravský kraj,</w:t>
      </w:r>
      <w:r w:rsidRPr="00201D98">
        <w:rPr>
          <w:szCs w:val="24"/>
        </w:rPr>
        <w:t xml:space="preserve"> </w:t>
      </w:r>
      <w:r w:rsidRPr="007002F5">
        <w:rPr>
          <w:szCs w:val="24"/>
        </w:rPr>
        <w:t>Finanční úřad pro Moravskoslezský kraj,</w:t>
      </w:r>
      <w:r w:rsidRPr="00201D98">
        <w:rPr>
          <w:szCs w:val="24"/>
        </w:rPr>
        <w:t xml:space="preserve"> </w:t>
      </w:r>
      <w:r w:rsidRPr="007002F5">
        <w:rPr>
          <w:szCs w:val="24"/>
        </w:rPr>
        <w:t>Finanční úřad pro Plzeňský k</w:t>
      </w:r>
      <w:r>
        <w:rPr>
          <w:szCs w:val="24"/>
        </w:rPr>
        <w:t>raj.</w:t>
      </w:r>
    </w:p>
    <w:p w14:paraId="57C7D6AB" w14:textId="77777777" w:rsidR="00201D98" w:rsidRDefault="00201D98" w:rsidP="00F256A9">
      <w:pPr>
        <w:rPr>
          <w:rFonts w:cstheme="minorHAnsi"/>
        </w:rPr>
      </w:pPr>
    </w:p>
    <w:p w14:paraId="28833377" w14:textId="77777777" w:rsidR="00310B6F" w:rsidRPr="00391416" w:rsidRDefault="00310B6F" w:rsidP="00F256A9">
      <w:pPr>
        <w:rPr>
          <w:rFonts w:cstheme="minorHAnsi"/>
        </w:rPr>
      </w:pPr>
    </w:p>
    <w:p w14:paraId="4C5A31CC" w14:textId="5DD4C81B" w:rsidR="007002F5" w:rsidRPr="00B96308" w:rsidRDefault="007002F5" w:rsidP="007002F5">
      <w:pPr>
        <w:keepNext/>
        <w:rPr>
          <w:rFonts w:cs="Calibri"/>
          <w:szCs w:val="24"/>
        </w:rPr>
      </w:pPr>
      <w:r w:rsidRPr="00B96308">
        <w:rPr>
          <w:rFonts w:cs="Calibri"/>
          <w:szCs w:val="24"/>
        </w:rPr>
        <w:t>Námitky proti kontrolnímu protokolu, které podal</w:t>
      </w:r>
      <w:r w:rsidR="00B00A92">
        <w:rPr>
          <w:rFonts w:cs="Calibri"/>
          <w:szCs w:val="24"/>
        </w:rPr>
        <w:t>y</w:t>
      </w:r>
      <w:r w:rsidRPr="009B526E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GFŘ a FÚ pro Středočeský kraj</w:t>
      </w:r>
      <w:r w:rsidRPr="00B96308">
        <w:rPr>
          <w:rFonts w:cs="Calibri"/>
          <w:szCs w:val="24"/>
        </w:rPr>
        <w:t xml:space="preserve">, </w:t>
      </w:r>
      <w:r w:rsidR="00B00A92">
        <w:rPr>
          <w:rFonts w:cs="Calibri"/>
          <w:szCs w:val="24"/>
        </w:rPr>
        <w:t xml:space="preserve">byly </w:t>
      </w:r>
      <w:r w:rsidRPr="00B96308">
        <w:rPr>
          <w:rFonts w:cs="Calibri"/>
          <w:szCs w:val="24"/>
        </w:rPr>
        <w:t>vypořád</w:t>
      </w:r>
      <w:r w:rsidR="00B00A92">
        <w:rPr>
          <w:rFonts w:cs="Calibri"/>
          <w:szCs w:val="24"/>
        </w:rPr>
        <w:t>ány</w:t>
      </w:r>
      <w:r>
        <w:rPr>
          <w:rFonts w:cs="Calibri"/>
          <w:szCs w:val="24"/>
        </w:rPr>
        <w:t xml:space="preserve"> vedoucí</w:t>
      </w:r>
      <w:r w:rsidR="00B00A92">
        <w:rPr>
          <w:rFonts w:cs="Calibri"/>
          <w:szCs w:val="24"/>
        </w:rPr>
        <w:t>mi</w:t>
      </w:r>
      <w:r>
        <w:rPr>
          <w:rFonts w:cs="Calibri"/>
          <w:szCs w:val="24"/>
        </w:rPr>
        <w:t xml:space="preserve"> skupin</w:t>
      </w:r>
      <w:r w:rsidRPr="00B96308">
        <w:rPr>
          <w:rFonts w:cs="Calibri"/>
          <w:szCs w:val="24"/>
        </w:rPr>
        <w:t xml:space="preserve"> kontrolujících rozhodnutím</w:t>
      </w:r>
      <w:r>
        <w:rPr>
          <w:rFonts w:cs="Calibri"/>
          <w:szCs w:val="24"/>
        </w:rPr>
        <w:t>i</w:t>
      </w:r>
      <w:r w:rsidRPr="00B96308">
        <w:rPr>
          <w:rFonts w:cs="Calibri"/>
          <w:szCs w:val="24"/>
        </w:rPr>
        <w:t xml:space="preserve"> o námitkách. </w:t>
      </w:r>
    </w:p>
    <w:p w14:paraId="3B354995" w14:textId="77777777" w:rsidR="007002F5" w:rsidRPr="00B96308" w:rsidRDefault="007002F5" w:rsidP="007002F5">
      <w:pPr>
        <w:rPr>
          <w:rFonts w:cs="Calibri"/>
          <w:szCs w:val="24"/>
        </w:rPr>
      </w:pPr>
    </w:p>
    <w:p w14:paraId="0654B73E" w14:textId="470D95E4" w:rsidR="007002F5" w:rsidRPr="00B96308" w:rsidRDefault="007002F5" w:rsidP="007002F5">
      <w:pPr>
        <w:rPr>
          <w:rFonts w:cs="Calibri"/>
          <w:szCs w:val="24"/>
        </w:rPr>
      </w:pPr>
      <w:r>
        <w:rPr>
          <w:rFonts w:cs="Calibri"/>
          <w:b/>
          <w:bCs/>
          <w:i/>
          <w:iCs/>
          <w:spacing w:val="20"/>
          <w:szCs w:val="24"/>
        </w:rPr>
        <w:t>Kolegium NK</w:t>
      </w:r>
      <w:r w:rsidRPr="000A3B01">
        <w:rPr>
          <w:rFonts w:cs="Calibri"/>
          <w:b/>
          <w:bCs/>
          <w:i/>
          <w:iCs/>
          <w:spacing w:val="20"/>
          <w:szCs w:val="24"/>
        </w:rPr>
        <w:t>Ú</w:t>
      </w:r>
      <w:r w:rsidRPr="00B96308">
        <w:rPr>
          <w:rFonts w:cs="Calibri"/>
          <w:szCs w:val="24"/>
        </w:rPr>
        <w:t xml:space="preserve"> na svém</w:t>
      </w:r>
      <w:r>
        <w:rPr>
          <w:rFonts w:cs="Calibri"/>
          <w:szCs w:val="24"/>
        </w:rPr>
        <w:t xml:space="preserve"> </w:t>
      </w:r>
      <w:r w:rsidR="00912EC7">
        <w:rPr>
          <w:rFonts w:cs="Calibri"/>
          <w:szCs w:val="24"/>
        </w:rPr>
        <w:t>III</w:t>
      </w:r>
      <w:r w:rsidR="00143B59">
        <w:rPr>
          <w:rFonts w:cs="Calibri"/>
          <w:szCs w:val="24"/>
        </w:rPr>
        <w:t xml:space="preserve">. </w:t>
      </w:r>
      <w:r>
        <w:rPr>
          <w:rFonts w:cs="Calibri"/>
          <w:szCs w:val="24"/>
        </w:rPr>
        <w:t>jednání</w:t>
      </w:r>
      <w:r w:rsidRPr="00B96308">
        <w:rPr>
          <w:rFonts w:cs="Calibri"/>
          <w:szCs w:val="24"/>
        </w:rPr>
        <w:t>, k</w:t>
      </w:r>
      <w:r w:rsidR="008C3A3E">
        <w:rPr>
          <w:rFonts w:cs="Calibri"/>
          <w:szCs w:val="24"/>
        </w:rPr>
        <w:t xml:space="preserve">teré se konalo </w:t>
      </w:r>
      <w:r w:rsidRPr="00B96308">
        <w:rPr>
          <w:rFonts w:cs="Calibri"/>
          <w:szCs w:val="24"/>
        </w:rPr>
        <w:t>dne</w:t>
      </w:r>
      <w:r w:rsidR="00912EC7">
        <w:rPr>
          <w:rFonts w:cs="Calibri"/>
          <w:szCs w:val="24"/>
        </w:rPr>
        <w:t xml:space="preserve"> 7. března 2016</w:t>
      </w:r>
      <w:r w:rsidR="00B00A92">
        <w:rPr>
          <w:rFonts w:cs="Calibri"/>
          <w:szCs w:val="24"/>
        </w:rPr>
        <w:t>,</w:t>
      </w:r>
    </w:p>
    <w:p w14:paraId="7B067E64" w14:textId="6F3C1CC0" w:rsidR="007002F5" w:rsidRPr="00B96308" w:rsidRDefault="007002F5" w:rsidP="007002F5">
      <w:pPr>
        <w:rPr>
          <w:rFonts w:cs="Calibri"/>
          <w:szCs w:val="24"/>
        </w:rPr>
      </w:pPr>
      <w:r w:rsidRPr="000A3B01">
        <w:rPr>
          <w:rFonts w:cs="Calibri"/>
          <w:b/>
          <w:bCs/>
          <w:i/>
          <w:iCs/>
          <w:spacing w:val="20"/>
          <w:szCs w:val="24"/>
        </w:rPr>
        <w:t>schválilo</w:t>
      </w:r>
      <w:r w:rsidRPr="00B96308">
        <w:rPr>
          <w:rFonts w:cs="Calibri"/>
          <w:szCs w:val="24"/>
        </w:rPr>
        <w:t xml:space="preserve"> usnesením č.</w:t>
      </w:r>
      <w:r>
        <w:rPr>
          <w:rFonts w:cs="Calibri"/>
          <w:szCs w:val="24"/>
        </w:rPr>
        <w:t xml:space="preserve"> </w:t>
      </w:r>
      <w:r w:rsidR="00A020D6">
        <w:rPr>
          <w:rFonts w:cs="Calibri"/>
          <w:szCs w:val="24"/>
        </w:rPr>
        <w:t>9</w:t>
      </w:r>
      <w:r w:rsidR="008C3A3E">
        <w:rPr>
          <w:rFonts w:cs="Calibri"/>
          <w:szCs w:val="24"/>
        </w:rPr>
        <w:t>/III/2016</w:t>
      </w:r>
    </w:p>
    <w:p w14:paraId="432BBD5C" w14:textId="77777777" w:rsidR="007002F5" w:rsidRDefault="007002F5" w:rsidP="007002F5">
      <w:pPr>
        <w:rPr>
          <w:rFonts w:cs="Calibri"/>
          <w:szCs w:val="24"/>
        </w:rPr>
      </w:pPr>
      <w:r w:rsidRPr="000A3B01">
        <w:rPr>
          <w:rFonts w:cs="Calibri"/>
          <w:b/>
          <w:bCs/>
          <w:i/>
          <w:iCs/>
          <w:spacing w:val="20"/>
          <w:szCs w:val="24"/>
        </w:rPr>
        <w:t>kontrolní závěr</w:t>
      </w:r>
      <w:r w:rsidRPr="00B96308">
        <w:rPr>
          <w:rFonts w:cs="Calibri"/>
          <w:szCs w:val="24"/>
        </w:rPr>
        <w:t xml:space="preserve"> v tomto znění:</w:t>
      </w:r>
    </w:p>
    <w:p w14:paraId="000C5628" w14:textId="77777777" w:rsidR="007002F5" w:rsidRDefault="00201D98" w:rsidP="00201D98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7451E6F0" w14:textId="77777777" w:rsidR="00FB00A9" w:rsidRPr="00510DD2" w:rsidRDefault="00210531" w:rsidP="00510DD2">
      <w:pPr>
        <w:pStyle w:val="Odstavecseseznamem"/>
        <w:numPr>
          <w:ilvl w:val="0"/>
          <w:numId w:val="7"/>
        </w:numPr>
        <w:ind w:left="284" w:hanging="284"/>
        <w:rPr>
          <w:b/>
          <w:sz w:val="28"/>
          <w:szCs w:val="28"/>
          <w:u w:val="single"/>
        </w:rPr>
      </w:pPr>
      <w:r w:rsidRPr="00510DD2">
        <w:rPr>
          <w:b/>
          <w:sz w:val="28"/>
          <w:szCs w:val="28"/>
          <w:u w:val="single"/>
        </w:rPr>
        <w:lastRenderedPageBreak/>
        <w:t>Úvod</w:t>
      </w:r>
      <w:r w:rsidR="00FB00A9" w:rsidRPr="00510DD2">
        <w:rPr>
          <w:b/>
          <w:sz w:val="28"/>
          <w:szCs w:val="28"/>
          <w:u w:val="single"/>
        </w:rPr>
        <w:t xml:space="preserve"> a hlavní </w:t>
      </w:r>
      <w:r w:rsidR="00D812B2" w:rsidRPr="00510DD2">
        <w:rPr>
          <w:b/>
          <w:sz w:val="28"/>
          <w:szCs w:val="28"/>
          <w:u w:val="single"/>
        </w:rPr>
        <w:t>kontrolní</w:t>
      </w:r>
      <w:r w:rsidR="00FB00A9" w:rsidRPr="00510DD2">
        <w:rPr>
          <w:b/>
          <w:sz w:val="28"/>
          <w:szCs w:val="28"/>
          <w:u w:val="single"/>
        </w:rPr>
        <w:t xml:space="preserve"> otázky</w:t>
      </w:r>
    </w:p>
    <w:p w14:paraId="05157E0D" w14:textId="77777777" w:rsidR="00210531" w:rsidRPr="00EC7D16" w:rsidRDefault="00210531" w:rsidP="002A31CA">
      <w:pPr>
        <w:spacing w:line="276" w:lineRule="auto"/>
      </w:pPr>
    </w:p>
    <w:p w14:paraId="24917963" w14:textId="77777777" w:rsidR="00854CC9" w:rsidRPr="00854CC9" w:rsidRDefault="00854CC9" w:rsidP="002A31CA">
      <w:pPr>
        <w:spacing w:line="276" w:lineRule="auto"/>
        <w:rPr>
          <w:b/>
        </w:rPr>
      </w:pPr>
      <w:r>
        <w:rPr>
          <w:b/>
        </w:rPr>
        <w:t>Úvod</w:t>
      </w:r>
    </w:p>
    <w:p w14:paraId="7BEA9B6F" w14:textId="77777777" w:rsidR="00FB00A9" w:rsidRPr="00854CC9" w:rsidRDefault="00FB00A9" w:rsidP="002A31CA">
      <w:pPr>
        <w:spacing w:line="276" w:lineRule="auto"/>
        <w:rPr>
          <w:rFonts w:cstheme="minorHAnsi"/>
        </w:rPr>
      </w:pPr>
      <w:r w:rsidRPr="00854CC9">
        <w:rPr>
          <w:b/>
        </w:rPr>
        <w:t>Daň z nemovitostí</w:t>
      </w:r>
      <w:r w:rsidRPr="00854CC9">
        <w:t xml:space="preserve"> byla upravena zákonem č. 338/1992 Sb., který byl od 1. 1. 2014 </w:t>
      </w:r>
      <w:r w:rsidRPr="00854CC9">
        <w:rPr>
          <w:rFonts w:cstheme="minorHAnsi"/>
        </w:rPr>
        <w:t>novelizován zákonným opatřením Senátu č. 344/2013 Sb., které mj. přizpůsobilo pojmosloví novému občanskému zákoníku</w:t>
      </w:r>
      <w:r w:rsidRPr="00854CC9">
        <w:rPr>
          <w:rStyle w:val="Znakapoznpodarou"/>
        </w:rPr>
        <w:footnoteReference w:id="1"/>
      </w:r>
      <w:r w:rsidRPr="00854CC9">
        <w:rPr>
          <w:rFonts w:cstheme="minorHAnsi"/>
        </w:rPr>
        <w:t xml:space="preserve"> a změnilo název daně na </w:t>
      </w:r>
      <w:r w:rsidR="00790167">
        <w:rPr>
          <w:rFonts w:cstheme="minorHAnsi"/>
          <w:b/>
          <w:szCs w:val="24"/>
        </w:rPr>
        <w:t>daň z nemovitých věcí.</w:t>
      </w:r>
    </w:p>
    <w:p w14:paraId="7259F4AC" w14:textId="7027D22E" w:rsidR="00FB00A9" w:rsidRPr="00854CC9" w:rsidRDefault="00FB00A9" w:rsidP="002A31CA">
      <w:pPr>
        <w:pStyle w:val="Vchoz"/>
        <w:spacing w:after="200"/>
        <w:jc w:val="both"/>
        <w:rPr>
          <w:rFonts w:asciiTheme="minorHAnsi" w:hAnsiTheme="minorHAnsi"/>
          <w:sz w:val="24"/>
        </w:rPr>
      </w:pPr>
      <w:r w:rsidRPr="00854CC9">
        <w:rPr>
          <w:rFonts w:asciiTheme="minorHAnsi" w:hAnsiTheme="minorHAnsi" w:cstheme="minorHAnsi"/>
          <w:b/>
          <w:sz w:val="24"/>
        </w:rPr>
        <w:t>Daň z převodu nemovitostí, daň dědická a daň darovací</w:t>
      </w:r>
      <w:r w:rsidRPr="00854CC9">
        <w:rPr>
          <w:rFonts w:asciiTheme="minorHAnsi" w:hAnsiTheme="minorHAnsi" w:cstheme="minorHAnsi"/>
          <w:sz w:val="24"/>
        </w:rPr>
        <w:t xml:space="preserve"> byly upraveny zákonem č.</w:t>
      </w:r>
      <w:r w:rsidR="00E7046C" w:rsidRPr="00854CC9">
        <w:rPr>
          <w:rFonts w:asciiTheme="minorHAnsi" w:hAnsiTheme="minorHAnsi" w:cstheme="minorHAnsi"/>
          <w:sz w:val="24"/>
        </w:rPr>
        <w:t> </w:t>
      </w:r>
      <w:r w:rsidRPr="00854CC9">
        <w:rPr>
          <w:rFonts w:asciiTheme="minorHAnsi" w:hAnsiTheme="minorHAnsi" w:cstheme="minorHAnsi"/>
          <w:sz w:val="24"/>
        </w:rPr>
        <w:t>357/1992</w:t>
      </w:r>
      <w:r w:rsidR="00E7046C" w:rsidRPr="00854CC9">
        <w:rPr>
          <w:rFonts w:asciiTheme="minorHAnsi" w:hAnsiTheme="minorHAnsi" w:cstheme="minorHAnsi"/>
          <w:sz w:val="24"/>
        </w:rPr>
        <w:t> </w:t>
      </w:r>
      <w:r w:rsidRPr="00854CC9">
        <w:rPr>
          <w:rFonts w:asciiTheme="minorHAnsi" w:hAnsiTheme="minorHAnsi" w:cstheme="minorHAnsi"/>
          <w:sz w:val="24"/>
        </w:rPr>
        <w:t>Sb., který byl k 31. 12. 2013 zrušen</w:t>
      </w:r>
      <w:r w:rsidRPr="00854CC9">
        <w:rPr>
          <w:rStyle w:val="Znakapoznpodarou"/>
          <w:rFonts w:asciiTheme="minorHAnsi" w:hAnsiTheme="minorHAnsi"/>
        </w:rPr>
        <w:footnoteReference w:id="2"/>
      </w:r>
      <w:r w:rsidRPr="00854CC9">
        <w:rPr>
          <w:rFonts w:asciiTheme="minorHAnsi" w:hAnsiTheme="minorHAnsi" w:cstheme="minorHAnsi"/>
          <w:sz w:val="24"/>
        </w:rPr>
        <w:t xml:space="preserve">. </w:t>
      </w:r>
      <w:r w:rsidR="00DA1B3F" w:rsidRPr="00854CC9">
        <w:rPr>
          <w:rFonts w:asciiTheme="minorHAnsi" w:hAnsiTheme="minorHAnsi" w:cstheme="minorHAnsi"/>
          <w:sz w:val="24"/>
        </w:rPr>
        <w:t>Zákonným opatřením</w:t>
      </w:r>
      <w:r w:rsidRPr="00854CC9">
        <w:rPr>
          <w:rFonts w:asciiTheme="minorHAnsi" w:hAnsiTheme="minorHAnsi" w:cstheme="minorHAnsi"/>
          <w:sz w:val="24"/>
        </w:rPr>
        <w:t xml:space="preserve"> Senátu č.</w:t>
      </w:r>
      <w:r w:rsidR="00E7046C" w:rsidRPr="00854CC9">
        <w:rPr>
          <w:rFonts w:asciiTheme="minorHAnsi" w:hAnsiTheme="minorHAnsi" w:cstheme="minorHAnsi"/>
          <w:sz w:val="24"/>
        </w:rPr>
        <w:t> </w:t>
      </w:r>
      <w:r w:rsidRPr="00854CC9">
        <w:rPr>
          <w:rFonts w:asciiTheme="minorHAnsi" w:hAnsiTheme="minorHAnsi" w:cstheme="minorHAnsi"/>
          <w:sz w:val="24"/>
        </w:rPr>
        <w:t>340/2013</w:t>
      </w:r>
      <w:r w:rsidR="00E7046C" w:rsidRPr="00854CC9">
        <w:rPr>
          <w:rFonts w:asciiTheme="minorHAnsi" w:hAnsiTheme="minorHAnsi" w:cstheme="minorHAnsi"/>
          <w:sz w:val="24"/>
        </w:rPr>
        <w:t> </w:t>
      </w:r>
      <w:r w:rsidRPr="00854CC9">
        <w:rPr>
          <w:rFonts w:asciiTheme="minorHAnsi" w:hAnsiTheme="minorHAnsi" w:cstheme="minorHAnsi"/>
          <w:sz w:val="24"/>
        </w:rPr>
        <w:t xml:space="preserve">Sb. </w:t>
      </w:r>
      <w:r w:rsidR="00DA1B3F" w:rsidRPr="00854CC9">
        <w:rPr>
          <w:rFonts w:asciiTheme="minorHAnsi" w:hAnsiTheme="minorHAnsi" w:cstheme="minorHAnsi"/>
          <w:sz w:val="24"/>
        </w:rPr>
        <w:t xml:space="preserve">byla s účinností </w:t>
      </w:r>
      <w:r w:rsidRPr="00854CC9">
        <w:rPr>
          <w:rFonts w:asciiTheme="minorHAnsi" w:hAnsiTheme="minorHAnsi" w:cstheme="minorHAnsi"/>
          <w:sz w:val="24"/>
        </w:rPr>
        <w:t xml:space="preserve">od 1. 1. 2014 zavedena </w:t>
      </w:r>
      <w:r w:rsidRPr="00854CC9">
        <w:rPr>
          <w:rFonts w:asciiTheme="minorHAnsi" w:hAnsiTheme="minorHAnsi" w:cstheme="minorHAnsi"/>
          <w:b/>
          <w:sz w:val="24"/>
        </w:rPr>
        <w:t>daň z nabytí</w:t>
      </w:r>
      <w:r w:rsidRPr="00854CC9">
        <w:rPr>
          <w:rFonts w:asciiTheme="minorHAnsi" w:hAnsiTheme="minorHAnsi" w:cstheme="minorHAnsi"/>
          <w:sz w:val="24"/>
        </w:rPr>
        <w:t xml:space="preserve"> </w:t>
      </w:r>
      <w:r w:rsidRPr="00854CC9">
        <w:rPr>
          <w:rFonts w:asciiTheme="minorHAnsi" w:hAnsiTheme="minorHAnsi" w:cstheme="minorHAnsi"/>
          <w:b/>
          <w:sz w:val="24"/>
        </w:rPr>
        <w:t>nemovitých věcí</w:t>
      </w:r>
      <w:r w:rsidR="005750B1" w:rsidRPr="00EC7D16">
        <w:rPr>
          <w:rFonts w:asciiTheme="minorHAnsi" w:hAnsiTheme="minorHAnsi" w:cstheme="minorHAnsi"/>
          <w:b/>
          <w:sz w:val="24"/>
        </w:rPr>
        <w:t>.</w:t>
      </w:r>
      <w:r w:rsidR="005750B1" w:rsidRPr="00854CC9">
        <w:rPr>
          <w:rFonts w:asciiTheme="minorHAnsi" w:hAnsiTheme="minorHAnsi" w:cstheme="minorHAnsi"/>
          <w:sz w:val="24"/>
        </w:rPr>
        <w:t xml:space="preserve"> Z</w:t>
      </w:r>
      <w:r w:rsidRPr="00854CC9">
        <w:rPr>
          <w:rFonts w:asciiTheme="minorHAnsi" w:hAnsiTheme="minorHAnsi" w:cstheme="minorHAnsi"/>
          <w:sz w:val="24"/>
        </w:rPr>
        <w:t>daňování majetku nabytého děděním a darováním b</w:t>
      </w:r>
      <w:r w:rsidR="005012BD">
        <w:rPr>
          <w:rFonts w:asciiTheme="minorHAnsi" w:hAnsiTheme="minorHAnsi" w:cstheme="minorHAnsi"/>
          <w:sz w:val="24"/>
        </w:rPr>
        <w:t>ylo implementováno do zákona č. </w:t>
      </w:r>
      <w:r w:rsidRPr="00854CC9">
        <w:rPr>
          <w:rFonts w:asciiTheme="minorHAnsi" w:hAnsiTheme="minorHAnsi" w:cstheme="minorHAnsi"/>
          <w:sz w:val="24"/>
        </w:rPr>
        <w:t xml:space="preserve">586/1992 Sb. a </w:t>
      </w:r>
      <w:r w:rsidR="00BA22E2" w:rsidRPr="008E5F7C">
        <w:rPr>
          <w:rFonts w:asciiTheme="minorHAnsi" w:hAnsiTheme="minorHAnsi" w:cstheme="minorHAnsi"/>
          <w:color w:val="auto"/>
          <w:sz w:val="24"/>
        </w:rPr>
        <w:t xml:space="preserve">nabytí tohoto majetku </w:t>
      </w:r>
      <w:r w:rsidRPr="008E5F7C">
        <w:rPr>
          <w:rFonts w:asciiTheme="minorHAnsi" w:hAnsiTheme="minorHAnsi" w:cstheme="minorHAnsi"/>
          <w:color w:val="auto"/>
          <w:sz w:val="24"/>
        </w:rPr>
        <w:t xml:space="preserve">podléhá </w:t>
      </w:r>
      <w:r w:rsidR="005750B1" w:rsidRPr="008E5F7C">
        <w:rPr>
          <w:rFonts w:asciiTheme="minorHAnsi" w:hAnsiTheme="minorHAnsi" w:cstheme="minorHAnsi"/>
          <w:b/>
          <w:color w:val="auto"/>
          <w:sz w:val="24"/>
        </w:rPr>
        <w:t>da</w:t>
      </w:r>
      <w:r w:rsidRPr="008E5F7C">
        <w:rPr>
          <w:rFonts w:asciiTheme="minorHAnsi" w:hAnsiTheme="minorHAnsi" w:cstheme="minorHAnsi"/>
          <w:b/>
          <w:color w:val="auto"/>
          <w:sz w:val="24"/>
        </w:rPr>
        <w:t xml:space="preserve">ni </w:t>
      </w:r>
      <w:r w:rsidRPr="00854CC9">
        <w:rPr>
          <w:rFonts w:asciiTheme="minorHAnsi" w:hAnsiTheme="minorHAnsi" w:cstheme="minorHAnsi"/>
          <w:b/>
          <w:sz w:val="24"/>
        </w:rPr>
        <w:t>z příjmů.</w:t>
      </w:r>
    </w:p>
    <w:p w14:paraId="000C545D" w14:textId="77777777" w:rsidR="00FB00A9" w:rsidRPr="00854CC9" w:rsidRDefault="00FB00A9" w:rsidP="002A31CA">
      <w:pPr>
        <w:spacing w:line="276" w:lineRule="auto"/>
        <w:rPr>
          <w:rFonts w:cstheme="minorHAnsi"/>
          <w:szCs w:val="24"/>
        </w:rPr>
      </w:pPr>
      <w:r w:rsidRPr="00854CC9">
        <w:rPr>
          <w:rFonts w:cstheme="minorHAnsi"/>
          <w:szCs w:val="24"/>
        </w:rPr>
        <w:t xml:space="preserve">Správu majetkových daní vykonávají </w:t>
      </w:r>
      <w:r w:rsidR="00C31E14" w:rsidRPr="00854CC9">
        <w:rPr>
          <w:rFonts w:cstheme="minorHAnsi"/>
          <w:szCs w:val="24"/>
        </w:rPr>
        <w:t xml:space="preserve">orgány </w:t>
      </w:r>
      <w:r w:rsidRPr="00854CC9">
        <w:rPr>
          <w:rFonts w:cstheme="minorHAnsi"/>
          <w:szCs w:val="24"/>
        </w:rPr>
        <w:t xml:space="preserve">finanční </w:t>
      </w:r>
      <w:r w:rsidR="00C31E14" w:rsidRPr="00854CC9">
        <w:rPr>
          <w:rFonts w:cstheme="minorHAnsi"/>
          <w:szCs w:val="24"/>
        </w:rPr>
        <w:t>správy</w:t>
      </w:r>
      <w:r w:rsidRPr="00854CC9">
        <w:rPr>
          <w:rFonts w:cstheme="minorHAnsi"/>
          <w:szCs w:val="24"/>
        </w:rPr>
        <w:t xml:space="preserve">. Inkaso daně z převodu nemovitostí, daně z nabytí nemovitých věcí, daně dědické a daně darovací je příjmem státního rozpočtu. Inkaso daně z nemovitých věcí je příjmem obcí. </w:t>
      </w:r>
    </w:p>
    <w:p w14:paraId="740D1A38" w14:textId="074227C3" w:rsidR="00FB00A9" w:rsidRPr="00790167" w:rsidRDefault="00FB00A9" w:rsidP="002A31CA">
      <w:pPr>
        <w:spacing w:line="276" w:lineRule="auto"/>
        <w:rPr>
          <w:rFonts w:cstheme="minorHAnsi"/>
        </w:rPr>
      </w:pPr>
      <w:r w:rsidRPr="00854CC9">
        <w:rPr>
          <w:rFonts w:cstheme="minorHAnsi"/>
          <w:szCs w:val="24"/>
        </w:rPr>
        <w:t xml:space="preserve">Pro účely tohoto kontrolního závěru se </w:t>
      </w:r>
      <w:r w:rsidRPr="00EC7D16">
        <w:rPr>
          <w:rFonts w:cstheme="minorHAnsi"/>
          <w:b/>
          <w:szCs w:val="24"/>
        </w:rPr>
        <w:t>majetkovými daněmi</w:t>
      </w:r>
      <w:r w:rsidRPr="00854CC9">
        <w:rPr>
          <w:rFonts w:cstheme="minorHAnsi"/>
          <w:szCs w:val="24"/>
        </w:rPr>
        <w:t xml:space="preserve"> rozumí daň z</w:t>
      </w:r>
      <w:r w:rsidR="00790167">
        <w:rPr>
          <w:rFonts w:cstheme="minorHAnsi"/>
          <w:szCs w:val="24"/>
        </w:rPr>
        <w:t xml:space="preserve"> nemovitostí, resp. daň </w:t>
      </w:r>
      <w:r w:rsidR="00510DD2">
        <w:rPr>
          <w:rFonts w:cstheme="minorHAnsi"/>
          <w:szCs w:val="24"/>
        </w:rPr>
        <w:t>z </w:t>
      </w:r>
      <w:r w:rsidRPr="00854CC9">
        <w:rPr>
          <w:rFonts w:cstheme="minorHAnsi"/>
          <w:szCs w:val="24"/>
        </w:rPr>
        <w:t>nemovitých věcí</w:t>
      </w:r>
      <w:r w:rsidR="00790167">
        <w:rPr>
          <w:rFonts w:cstheme="minorHAnsi"/>
          <w:szCs w:val="24"/>
        </w:rPr>
        <w:t xml:space="preserve"> </w:t>
      </w:r>
      <w:r w:rsidR="00790167" w:rsidRPr="00854CC9">
        <w:rPr>
          <w:rFonts w:cstheme="minorHAnsi"/>
          <w:szCs w:val="24"/>
        </w:rPr>
        <w:t>(dále také</w:t>
      </w:r>
      <w:r w:rsidR="00790167">
        <w:rPr>
          <w:rFonts w:cstheme="minorHAnsi"/>
          <w:szCs w:val="24"/>
        </w:rPr>
        <w:t xml:space="preserve"> „daň z nemovitých věcí“)</w:t>
      </w:r>
      <w:r w:rsidRPr="00854CC9">
        <w:rPr>
          <w:rFonts w:cstheme="minorHAnsi"/>
          <w:szCs w:val="24"/>
        </w:rPr>
        <w:t>, daň z převodu nemovitostí</w:t>
      </w:r>
      <w:r w:rsidR="00BA22E2" w:rsidRPr="00EC7D16">
        <w:rPr>
          <w:rFonts w:cstheme="minorHAnsi"/>
          <w:szCs w:val="24"/>
        </w:rPr>
        <w:t>,</w:t>
      </w:r>
      <w:r w:rsidRPr="00510DD2">
        <w:rPr>
          <w:rFonts w:cstheme="minorHAnsi"/>
          <w:szCs w:val="24"/>
        </w:rPr>
        <w:t xml:space="preserve"> </w:t>
      </w:r>
      <w:r w:rsidRPr="00854CC9">
        <w:rPr>
          <w:rFonts w:cstheme="minorHAnsi"/>
          <w:szCs w:val="24"/>
        </w:rPr>
        <w:t>resp.</w:t>
      </w:r>
      <w:r w:rsidR="00510DD2">
        <w:rPr>
          <w:rFonts w:cstheme="minorHAnsi"/>
          <w:szCs w:val="24"/>
        </w:rPr>
        <w:t> </w:t>
      </w:r>
      <w:r w:rsidRPr="00854CC9">
        <w:rPr>
          <w:rFonts w:cstheme="minorHAnsi"/>
          <w:szCs w:val="24"/>
        </w:rPr>
        <w:t>daň z nabytí nemovitých věcí</w:t>
      </w:r>
      <w:r w:rsidR="001E2C71" w:rsidRPr="00854CC9">
        <w:rPr>
          <w:rFonts w:cstheme="minorHAnsi"/>
          <w:szCs w:val="24"/>
        </w:rPr>
        <w:t xml:space="preserve"> </w:t>
      </w:r>
      <w:r w:rsidR="001E2C71" w:rsidRPr="00854CC9">
        <w:rPr>
          <w:rFonts w:cstheme="minorHAnsi"/>
        </w:rPr>
        <w:t>(dále také „daň z nabytí nemovitých věcí“)</w:t>
      </w:r>
      <w:r w:rsidRPr="00854CC9">
        <w:rPr>
          <w:rFonts w:cstheme="minorHAnsi"/>
          <w:szCs w:val="24"/>
        </w:rPr>
        <w:t>, daň dědická a</w:t>
      </w:r>
      <w:r w:rsidR="00510DD2">
        <w:rPr>
          <w:rFonts w:cstheme="minorHAnsi"/>
          <w:szCs w:val="24"/>
        </w:rPr>
        <w:t> </w:t>
      </w:r>
      <w:r w:rsidRPr="00854CC9">
        <w:rPr>
          <w:rFonts w:cstheme="minorHAnsi"/>
          <w:szCs w:val="24"/>
        </w:rPr>
        <w:t>daň darovací.</w:t>
      </w:r>
    </w:p>
    <w:p w14:paraId="35B3DD84" w14:textId="6065EE16" w:rsidR="00FB00A9" w:rsidRPr="00854CC9" w:rsidRDefault="00FB00A9" w:rsidP="002A31CA">
      <w:pPr>
        <w:spacing w:line="276" w:lineRule="auto"/>
        <w:rPr>
          <w:rFonts w:cstheme="minorHAnsi"/>
          <w:szCs w:val="24"/>
        </w:rPr>
      </w:pPr>
      <w:r w:rsidRPr="00854CC9">
        <w:rPr>
          <w:rFonts w:cstheme="minorHAnsi"/>
          <w:szCs w:val="24"/>
        </w:rPr>
        <w:t xml:space="preserve">Kontrolní vzorky </w:t>
      </w:r>
      <w:r w:rsidR="003F727D">
        <w:rPr>
          <w:rFonts w:cstheme="minorHAnsi"/>
          <w:szCs w:val="24"/>
        </w:rPr>
        <w:t xml:space="preserve">Nejvyšší kontrolní úřad </w:t>
      </w:r>
      <w:r w:rsidRPr="00854CC9">
        <w:rPr>
          <w:rFonts w:cstheme="minorHAnsi"/>
          <w:szCs w:val="24"/>
        </w:rPr>
        <w:t xml:space="preserve">vybral na jedenácti územních pracovištích </w:t>
      </w:r>
      <w:r w:rsidR="001A3AEE" w:rsidRPr="00854CC9">
        <w:rPr>
          <w:rFonts w:cstheme="minorHAnsi"/>
          <w:szCs w:val="24"/>
        </w:rPr>
        <w:t xml:space="preserve">(dále </w:t>
      </w:r>
      <w:r w:rsidR="001E2C71" w:rsidRPr="00854CC9">
        <w:rPr>
          <w:rFonts w:cstheme="minorHAnsi"/>
          <w:szCs w:val="24"/>
        </w:rPr>
        <w:t>také</w:t>
      </w:r>
      <w:r w:rsidR="001A3AEE" w:rsidRPr="00854CC9">
        <w:rPr>
          <w:rFonts w:cstheme="minorHAnsi"/>
          <w:szCs w:val="24"/>
        </w:rPr>
        <w:t xml:space="preserve"> „ÚP“) </w:t>
      </w:r>
      <w:r w:rsidRPr="00854CC9">
        <w:rPr>
          <w:rFonts w:cstheme="minorHAnsi"/>
          <w:szCs w:val="24"/>
        </w:rPr>
        <w:t xml:space="preserve">kontrolovaných </w:t>
      </w:r>
      <w:r w:rsidR="00510DD2">
        <w:rPr>
          <w:rFonts w:cstheme="minorHAnsi"/>
          <w:szCs w:val="24"/>
        </w:rPr>
        <w:t>finančních úřadů</w:t>
      </w:r>
      <w:r w:rsidRPr="00854CC9">
        <w:rPr>
          <w:rFonts w:cstheme="minorHAnsi"/>
          <w:szCs w:val="24"/>
        </w:rPr>
        <w:t>.</w:t>
      </w:r>
      <w:r w:rsidRPr="00854CC9">
        <w:rPr>
          <w:rFonts w:cstheme="minorHAnsi"/>
          <w:color w:val="00B050"/>
          <w:szCs w:val="24"/>
        </w:rPr>
        <w:t xml:space="preserve"> </w:t>
      </w:r>
    </w:p>
    <w:p w14:paraId="5045EC4A" w14:textId="77777777" w:rsidR="00854CC9" w:rsidRDefault="00854CC9" w:rsidP="00EC7D16">
      <w:pPr>
        <w:spacing w:after="0" w:line="276" w:lineRule="auto"/>
        <w:rPr>
          <w:rFonts w:cstheme="minorHAnsi"/>
          <w:b/>
          <w:szCs w:val="24"/>
        </w:rPr>
      </w:pPr>
    </w:p>
    <w:p w14:paraId="2586BCD5" w14:textId="77777777" w:rsidR="00FB00A9" w:rsidRDefault="00FB00A9" w:rsidP="002A31CA">
      <w:pPr>
        <w:spacing w:line="276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Hlavní </w:t>
      </w:r>
      <w:r w:rsidR="00D812B2">
        <w:rPr>
          <w:rFonts w:cstheme="minorHAnsi"/>
          <w:b/>
          <w:szCs w:val="24"/>
        </w:rPr>
        <w:t>kontrolní</w:t>
      </w:r>
      <w:r>
        <w:rPr>
          <w:rFonts w:cstheme="minorHAnsi"/>
          <w:b/>
          <w:szCs w:val="24"/>
        </w:rPr>
        <w:t xml:space="preserve"> otázky</w:t>
      </w:r>
      <w:r>
        <w:rPr>
          <w:rFonts w:cstheme="minorHAnsi"/>
          <w:szCs w:val="24"/>
        </w:rPr>
        <w:t xml:space="preserve"> </w:t>
      </w:r>
    </w:p>
    <w:p w14:paraId="3D070B13" w14:textId="77777777" w:rsidR="0083286F" w:rsidRPr="00D812B2" w:rsidRDefault="00FB00A9" w:rsidP="0083286F">
      <w:pPr>
        <w:pStyle w:val="Odstavecseseznamem"/>
        <w:numPr>
          <w:ilvl w:val="0"/>
          <w:numId w:val="6"/>
        </w:numPr>
        <w:spacing w:line="276" w:lineRule="auto"/>
        <w:rPr>
          <w:rFonts w:cstheme="minorHAnsi"/>
          <w:b/>
          <w:szCs w:val="24"/>
        </w:rPr>
      </w:pPr>
      <w:r w:rsidRPr="00D812B2">
        <w:rPr>
          <w:rFonts w:cstheme="minorHAnsi"/>
          <w:b/>
          <w:szCs w:val="24"/>
        </w:rPr>
        <w:t xml:space="preserve">Postupují </w:t>
      </w:r>
      <w:r w:rsidR="00DA417E" w:rsidRPr="00D812B2">
        <w:rPr>
          <w:rFonts w:cstheme="minorHAnsi"/>
          <w:b/>
          <w:szCs w:val="24"/>
        </w:rPr>
        <w:t xml:space="preserve">orgány finanční správy při správě majetkových daní v souladu s právní úpravou? </w:t>
      </w:r>
      <w:r w:rsidR="0083286F" w:rsidRPr="00D812B2">
        <w:rPr>
          <w:rFonts w:cstheme="minorHAnsi"/>
          <w:b/>
          <w:szCs w:val="24"/>
        </w:rPr>
        <w:t xml:space="preserve">Má finanční správa pro </w:t>
      </w:r>
      <w:r w:rsidR="00DA417E" w:rsidRPr="00D812B2">
        <w:rPr>
          <w:rFonts w:cstheme="minorHAnsi"/>
          <w:b/>
          <w:szCs w:val="24"/>
        </w:rPr>
        <w:t xml:space="preserve">správu majetkových daní </w:t>
      </w:r>
      <w:r w:rsidR="0083286F" w:rsidRPr="00D812B2">
        <w:rPr>
          <w:rFonts w:cstheme="minorHAnsi"/>
          <w:b/>
          <w:szCs w:val="24"/>
        </w:rPr>
        <w:t>vytvořeny potřebné podmínky?</w:t>
      </w:r>
    </w:p>
    <w:p w14:paraId="5240AD9F" w14:textId="416BA1AD" w:rsidR="0083286F" w:rsidRPr="00D812B2" w:rsidRDefault="00B31113" w:rsidP="007A58DF">
      <w:pPr>
        <w:pStyle w:val="Odstavecseseznamem"/>
        <w:numPr>
          <w:ilvl w:val="0"/>
          <w:numId w:val="6"/>
        </w:numPr>
        <w:spacing w:line="276" w:lineRule="auto"/>
        <w:rPr>
          <w:rFonts w:cstheme="minorHAnsi"/>
          <w:b/>
          <w:szCs w:val="24"/>
        </w:rPr>
      </w:pPr>
      <w:r w:rsidRPr="00D812B2">
        <w:rPr>
          <w:rFonts w:cstheme="minorHAnsi"/>
          <w:b/>
          <w:szCs w:val="24"/>
        </w:rPr>
        <w:t>Jaká j</w:t>
      </w:r>
      <w:r w:rsidR="00FB00A9" w:rsidRPr="00D812B2">
        <w:rPr>
          <w:rFonts w:cstheme="minorHAnsi"/>
          <w:b/>
          <w:szCs w:val="24"/>
        </w:rPr>
        <w:t xml:space="preserve">e </w:t>
      </w:r>
      <w:r w:rsidRPr="00D812B2">
        <w:rPr>
          <w:rFonts w:cstheme="minorHAnsi"/>
          <w:b/>
          <w:szCs w:val="24"/>
        </w:rPr>
        <w:t>efektivnost správy</w:t>
      </w:r>
      <w:r w:rsidR="00FB00A9" w:rsidRPr="00D812B2">
        <w:rPr>
          <w:rFonts w:cstheme="minorHAnsi"/>
          <w:b/>
          <w:szCs w:val="24"/>
        </w:rPr>
        <w:t xml:space="preserve"> </w:t>
      </w:r>
      <w:r w:rsidR="00DA1B3F" w:rsidRPr="00D812B2">
        <w:rPr>
          <w:rFonts w:cstheme="minorHAnsi"/>
          <w:b/>
          <w:szCs w:val="24"/>
        </w:rPr>
        <w:t>majetkových</w:t>
      </w:r>
      <w:r w:rsidR="00FB00A9" w:rsidRPr="00D812B2">
        <w:rPr>
          <w:rFonts w:cstheme="minorHAnsi"/>
          <w:b/>
          <w:szCs w:val="24"/>
        </w:rPr>
        <w:t xml:space="preserve"> daní </w:t>
      </w:r>
      <w:r w:rsidRPr="00D812B2">
        <w:rPr>
          <w:rFonts w:cstheme="minorHAnsi"/>
          <w:b/>
          <w:szCs w:val="24"/>
        </w:rPr>
        <w:t xml:space="preserve">ve vztahu k efektivnosti správy </w:t>
      </w:r>
      <w:r w:rsidR="00045A39">
        <w:rPr>
          <w:rFonts w:cstheme="minorHAnsi"/>
          <w:b/>
          <w:szCs w:val="24"/>
        </w:rPr>
        <w:t xml:space="preserve">všech </w:t>
      </w:r>
      <w:r w:rsidRPr="00D812B2">
        <w:rPr>
          <w:rFonts w:cstheme="minorHAnsi"/>
          <w:b/>
          <w:szCs w:val="24"/>
        </w:rPr>
        <w:t xml:space="preserve">daní vybíraných </w:t>
      </w:r>
      <w:r w:rsidR="003B693F" w:rsidRPr="00856FE0">
        <w:rPr>
          <w:rFonts w:cstheme="minorHAnsi"/>
          <w:b/>
          <w:szCs w:val="24"/>
        </w:rPr>
        <w:t xml:space="preserve">finančními úřady </w:t>
      </w:r>
      <w:r w:rsidR="003B693F">
        <w:rPr>
          <w:rFonts w:cstheme="minorHAnsi"/>
          <w:b/>
          <w:szCs w:val="24"/>
        </w:rPr>
        <w:t>z pohledu příjmů</w:t>
      </w:r>
      <w:r w:rsidR="00FB00A9" w:rsidRPr="00D812B2">
        <w:rPr>
          <w:rFonts w:cstheme="minorHAnsi"/>
          <w:b/>
          <w:szCs w:val="24"/>
        </w:rPr>
        <w:t xml:space="preserve"> a jaké </w:t>
      </w:r>
      <w:r w:rsidR="008E5F7C">
        <w:rPr>
          <w:rFonts w:cstheme="minorHAnsi"/>
          <w:b/>
          <w:szCs w:val="24"/>
        </w:rPr>
        <w:t xml:space="preserve">jsou </w:t>
      </w:r>
      <w:r w:rsidR="00FB00A9" w:rsidRPr="00D812B2">
        <w:rPr>
          <w:rFonts w:cstheme="minorHAnsi"/>
          <w:b/>
          <w:szCs w:val="24"/>
        </w:rPr>
        <w:t>náklady</w:t>
      </w:r>
      <w:r w:rsidR="004F2157">
        <w:rPr>
          <w:rFonts w:cstheme="minorHAnsi"/>
          <w:b/>
          <w:szCs w:val="24"/>
        </w:rPr>
        <w:t xml:space="preserve"> </w:t>
      </w:r>
      <w:r w:rsidR="008E5F7C">
        <w:rPr>
          <w:rFonts w:cstheme="minorHAnsi"/>
          <w:b/>
          <w:szCs w:val="24"/>
        </w:rPr>
        <w:t>na správu</w:t>
      </w:r>
      <w:r w:rsidR="004F2157">
        <w:rPr>
          <w:rFonts w:cstheme="minorHAnsi"/>
          <w:b/>
          <w:szCs w:val="24"/>
        </w:rPr>
        <w:t xml:space="preserve"> majetkových daní</w:t>
      </w:r>
      <w:r w:rsidR="00FB00A9" w:rsidRPr="00D812B2">
        <w:rPr>
          <w:rFonts w:cstheme="minorHAnsi"/>
          <w:b/>
          <w:szCs w:val="24"/>
        </w:rPr>
        <w:t xml:space="preserve">? </w:t>
      </w:r>
    </w:p>
    <w:p w14:paraId="16517ED0" w14:textId="592641F6" w:rsidR="00FB00A9" w:rsidRPr="00854CC9" w:rsidRDefault="00FB00A9" w:rsidP="007A58DF">
      <w:pPr>
        <w:pStyle w:val="Odstavecseseznamem"/>
        <w:numPr>
          <w:ilvl w:val="0"/>
          <w:numId w:val="6"/>
        </w:numPr>
        <w:spacing w:line="276" w:lineRule="auto"/>
        <w:rPr>
          <w:rFonts w:cstheme="minorHAnsi"/>
          <w:b/>
          <w:szCs w:val="24"/>
        </w:rPr>
      </w:pPr>
      <w:r w:rsidRPr="00854CC9">
        <w:rPr>
          <w:rFonts w:cstheme="minorHAnsi"/>
          <w:b/>
          <w:szCs w:val="24"/>
        </w:rPr>
        <w:t>Projevily</w:t>
      </w:r>
      <w:r w:rsidR="00DA1B3F" w:rsidRPr="00EC7D16">
        <w:rPr>
          <w:rFonts w:cstheme="minorHAnsi"/>
          <w:b/>
          <w:szCs w:val="24"/>
        </w:rPr>
        <w:t xml:space="preserve"> </w:t>
      </w:r>
      <w:r w:rsidR="00DA1B3F" w:rsidRPr="00854CC9">
        <w:rPr>
          <w:rFonts w:cstheme="minorHAnsi"/>
          <w:b/>
          <w:szCs w:val="24"/>
        </w:rPr>
        <w:t>s</w:t>
      </w:r>
      <w:r w:rsidR="00DA35FC">
        <w:rPr>
          <w:rFonts w:cstheme="minorHAnsi"/>
          <w:b/>
          <w:szCs w:val="24"/>
        </w:rPr>
        <w:t>e na</w:t>
      </w:r>
      <w:r w:rsidRPr="00854CC9">
        <w:rPr>
          <w:rFonts w:cstheme="minorHAnsi"/>
          <w:b/>
          <w:szCs w:val="24"/>
        </w:rPr>
        <w:t xml:space="preserve"> </w:t>
      </w:r>
      <w:r w:rsidR="00262001">
        <w:rPr>
          <w:rFonts w:cstheme="minorHAnsi"/>
          <w:b/>
          <w:szCs w:val="24"/>
        </w:rPr>
        <w:t>inkasu</w:t>
      </w:r>
      <w:r w:rsidR="00024243">
        <w:rPr>
          <w:rFonts w:cstheme="minorHAnsi"/>
          <w:b/>
          <w:szCs w:val="24"/>
        </w:rPr>
        <w:t xml:space="preserve"> a</w:t>
      </w:r>
      <w:r w:rsidRPr="00854CC9">
        <w:rPr>
          <w:rFonts w:cstheme="minorHAnsi"/>
          <w:b/>
          <w:szCs w:val="24"/>
        </w:rPr>
        <w:t xml:space="preserve"> </w:t>
      </w:r>
      <w:r w:rsidR="00DA35FC">
        <w:rPr>
          <w:rFonts w:cstheme="minorHAnsi"/>
          <w:b/>
          <w:szCs w:val="24"/>
        </w:rPr>
        <w:t xml:space="preserve">na </w:t>
      </w:r>
      <w:r w:rsidR="00DA35FC" w:rsidRPr="00854CC9">
        <w:rPr>
          <w:rFonts w:cstheme="minorHAnsi"/>
          <w:b/>
          <w:szCs w:val="24"/>
        </w:rPr>
        <w:t xml:space="preserve">správě </w:t>
      </w:r>
      <w:r w:rsidR="00854CC9" w:rsidRPr="00854CC9">
        <w:rPr>
          <w:rFonts w:cstheme="minorHAnsi"/>
          <w:b/>
          <w:szCs w:val="24"/>
        </w:rPr>
        <w:t>majetkových</w:t>
      </w:r>
      <w:r w:rsidRPr="00854CC9">
        <w:rPr>
          <w:rFonts w:cstheme="minorHAnsi"/>
          <w:b/>
          <w:szCs w:val="24"/>
        </w:rPr>
        <w:t xml:space="preserve"> daní legislativní změny? Případně jakým způsobem</w:t>
      </w:r>
      <w:r w:rsidR="00510DD2">
        <w:rPr>
          <w:rFonts w:cstheme="minorHAnsi"/>
          <w:b/>
          <w:szCs w:val="24"/>
        </w:rPr>
        <w:t xml:space="preserve"> se projevily?</w:t>
      </w:r>
    </w:p>
    <w:p w14:paraId="4F7AA111" w14:textId="77777777" w:rsidR="00306E3F" w:rsidRDefault="00306E3F" w:rsidP="00306E3F">
      <w:pPr>
        <w:spacing w:line="276" w:lineRule="auto"/>
        <w:rPr>
          <w:rFonts w:cstheme="minorHAnsi"/>
          <w:sz w:val="20"/>
          <w:szCs w:val="20"/>
        </w:rPr>
      </w:pPr>
    </w:p>
    <w:p w14:paraId="2E81E929" w14:textId="2BBD6B96" w:rsidR="00306E3F" w:rsidRPr="00306E3F" w:rsidRDefault="00306E3F" w:rsidP="00EC7D16">
      <w:pPr>
        <w:spacing w:after="0" w:line="276" w:lineRule="auto"/>
        <w:rPr>
          <w:rFonts w:cstheme="minorHAnsi"/>
          <w:sz w:val="20"/>
          <w:szCs w:val="20"/>
        </w:rPr>
      </w:pPr>
      <w:r w:rsidRPr="00EC7D16">
        <w:rPr>
          <w:rFonts w:cstheme="minorHAnsi"/>
          <w:b/>
          <w:sz w:val="20"/>
          <w:szCs w:val="20"/>
        </w:rPr>
        <w:t>Pozn.:</w:t>
      </w:r>
      <w:r w:rsidRPr="00306E3F">
        <w:rPr>
          <w:rFonts w:cstheme="minorHAnsi"/>
          <w:sz w:val="20"/>
          <w:szCs w:val="20"/>
        </w:rPr>
        <w:t xml:space="preserve"> Právní předpisy jsou </w:t>
      </w:r>
      <w:r w:rsidR="00442D14">
        <w:rPr>
          <w:rFonts w:cstheme="minorHAnsi"/>
          <w:sz w:val="20"/>
          <w:szCs w:val="20"/>
        </w:rPr>
        <w:t xml:space="preserve">v tomto kontrolním závěru </w:t>
      </w:r>
      <w:r w:rsidR="00510DD2">
        <w:rPr>
          <w:rFonts w:cstheme="minorHAnsi"/>
          <w:sz w:val="20"/>
          <w:szCs w:val="20"/>
        </w:rPr>
        <w:t>aplikovány</w:t>
      </w:r>
      <w:r w:rsidRPr="00306E3F">
        <w:rPr>
          <w:rFonts w:cstheme="minorHAnsi"/>
          <w:sz w:val="20"/>
          <w:szCs w:val="20"/>
        </w:rPr>
        <w:t xml:space="preserve"> ve znění účinném pro kontrolované období.</w:t>
      </w:r>
    </w:p>
    <w:p w14:paraId="48DA9785" w14:textId="77777777" w:rsidR="009033F0" w:rsidRDefault="009033F0">
      <w:pPr>
        <w:spacing w:after="160" w:line="259" w:lineRule="auto"/>
        <w:jc w:val="left"/>
        <w:rPr>
          <w:rFonts w:eastAsia="Times New Roman" w:cs="Times New Roman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4F3AA0E" w14:textId="700F30C2" w:rsidR="00FB00A9" w:rsidRPr="0018069A" w:rsidRDefault="00FB00A9" w:rsidP="00510DD2">
      <w:pPr>
        <w:pStyle w:val="Odstavecseseznamem"/>
        <w:numPr>
          <w:ilvl w:val="0"/>
          <w:numId w:val="7"/>
        </w:numPr>
        <w:spacing w:line="276" w:lineRule="auto"/>
        <w:ind w:left="426" w:hanging="426"/>
        <w:rPr>
          <w:b/>
          <w:sz w:val="28"/>
          <w:szCs w:val="28"/>
        </w:rPr>
      </w:pPr>
      <w:r w:rsidRPr="0018069A">
        <w:rPr>
          <w:b/>
          <w:sz w:val="28"/>
          <w:szCs w:val="28"/>
          <w:u w:val="single"/>
        </w:rPr>
        <w:lastRenderedPageBreak/>
        <w:t xml:space="preserve">Shrnutí </w:t>
      </w:r>
      <w:r w:rsidR="0002253C" w:rsidRPr="0018069A">
        <w:rPr>
          <w:b/>
          <w:sz w:val="28"/>
          <w:szCs w:val="28"/>
          <w:u w:val="single"/>
        </w:rPr>
        <w:t xml:space="preserve">a vyhodnocení </w:t>
      </w:r>
      <w:r w:rsidRPr="0018069A">
        <w:rPr>
          <w:b/>
          <w:sz w:val="28"/>
          <w:szCs w:val="28"/>
          <w:u w:val="single"/>
        </w:rPr>
        <w:t>zjištěných skutečností</w:t>
      </w:r>
    </w:p>
    <w:p w14:paraId="12CF7B4F" w14:textId="77777777" w:rsidR="00FB00A9" w:rsidRDefault="00FB00A9" w:rsidP="002A31CA">
      <w:pPr>
        <w:spacing w:line="276" w:lineRule="auto"/>
        <w:rPr>
          <w:b/>
        </w:rPr>
      </w:pPr>
      <w:r>
        <w:rPr>
          <w:b/>
        </w:rPr>
        <w:t>K otázce č. 1</w:t>
      </w:r>
    </w:p>
    <w:p w14:paraId="3CBA3D39" w14:textId="77777777" w:rsidR="007C6707" w:rsidRDefault="00684157" w:rsidP="0083286F">
      <w:pPr>
        <w:spacing w:line="276" w:lineRule="auto"/>
        <w:rPr>
          <w:rStyle w:val="Siln"/>
          <w:szCs w:val="24"/>
        </w:rPr>
      </w:pPr>
      <w:r w:rsidRPr="001A2C45">
        <w:rPr>
          <w:b/>
        </w:rPr>
        <w:t xml:space="preserve">NKÚ </w:t>
      </w:r>
      <w:r w:rsidR="00813842" w:rsidRPr="001A2C45">
        <w:rPr>
          <w:b/>
        </w:rPr>
        <w:t>v</w:t>
      </w:r>
      <w:r w:rsidRPr="001A2C45">
        <w:rPr>
          <w:b/>
        </w:rPr>
        <w:t xml:space="preserve"> postupu orgánů finanční správy </w:t>
      </w:r>
      <w:r w:rsidR="00FC66A6" w:rsidRPr="001A2C45">
        <w:rPr>
          <w:b/>
        </w:rPr>
        <w:t xml:space="preserve">při správě majetkových daní </w:t>
      </w:r>
      <w:r w:rsidR="00856FE0">
        <w:rPr>
          <w:b/>
        </w:rPr>
        <w:t>ne</w:t>
      </w:r>
      <w:r w:rsidR="00813842" w:rsidRPr="001A2C45">
        <w:rPr>
          <w:b/>
        </w:rPr>
        <w:t>zjistil</w:t>
      </w:r>
      <w:r w:rsidR="00FC66A6" w:rsidRPr="001A2C45">
        <w:rPr>
          <w:b/>
        </w:rPr>
        <w:t xml:space="preserve"> </w:t>
      </w:r>
      <w:r w:rsidR="00856FE0">
        <w:rPr>
          <w:b/>
        </w:rPr>
        <w:t>žádná zásadní pochybení.</w:t>
      </w:r>
      <w:r w:rsidRPr="00813842">
        <w:rPr>
          <w:b/>
        </w:rPr>
        <w:t xml:space="preserve"> </w:t>
      </w:r>
      <w:r w:rsidRPr="00813842">
        <w:rPr>
          <w:rStyle w:val="Siln"/>
          <w:szCs w:val="24"/>
        </w:rPr>
        <w:t xml:space="preserve">Podmínky pro správu </w:t>
      </w:r>
      <w:r w:rsidR="003C61B9">
        <w:rPr>
          <w:rStyle w:val="Siln"/>
          <w:szCs w:val="24"/>
        </w:rPr>
        <w:t xml:space="preserve">majetkových daní </w:t>
      </w:r>
      <w:r w:rsidRPr="00813842">
        <w:rPr>
          <w:rStyle w:val="Siln"/>
          <w:szCs w:val="24"/>
        </w:rPr>
        <w:t xml:space="preserve">se výrazně zlepšily zavedením automatizované výměny informací mezi finanční správou a katastrálními úřady. </w:t>
      </w:r>
      <w:r w:rsidR="003654F8" w:rsidRPr="00813842">
        <w:rPr>
          <w:b/>
        </w:rPr>
        <w:t>Největší</w:t>
      </w:r>
      <w:r w:rsidR="007A4AE5" w:rsidRPr="00813842">
        <w:rPr>
          <w:b/>
        </w:rPr>
        <w:t xml:space="preserve"> </w:t>
      </w:r>
      <w:r w:rsidR="003654F8" w:rsidRPr="00813842">
        <w:rPr>
          <w:b/>
        </w:rPr>
        <w:t>problém</w:t>
      </w:r>
      <w:r w:rsidR="00356AB9" w:rsidRPr="00813842">
        <w:rPr>
          <w:b/>
        </w:rPr>
        <w:t xml:space="preserve"> </w:t>
      </w:r>
      <w:r w:rsidR="003C61B9">
        <w:rPr>
          <w:b/>
        </w:rPr>
        <w:t xml:space="preserve">majetkových daní </w:t>
      </w:r>
      <w:r w:rsidR="003654F8" w:rsidRPr="00813842">
        <w:rPr>
          <w:b/>
        </w:rPr>
        <w:t>spatřuje</w:t>
      </w:r>
      <w:r w:rsidR="007A4AE5" w:rsidRPr="00813842">
        <w:rPr>
          <w:b/>
        </w:rPr>
        <w:t xml:space="preserve"> </w:t>
      </w:r>
      <w:r w:rsidR="003654F8" w:rsidRPr="00813842">
        <w:rPr>
          <w:b/>
        </w:rPr>
        <w:t xml:space="preserve">NKÚ </w:t>
      </w:r>
      <w:r w:rsidR="00813842">
        <w:rPr>
          <w:b/>
        </w:rPr>
        <w:t>v objemu</w:t>
      </w:r>
      <w:r w:rsidR="00356AB9" w:rsidRPr="00813842">
        <w:rPr>
          <w:b/>
        </w:rPr>
        <w:t xml:space="preserve"> nedoplatků</w:t>
      </w:r>
      <w:r w:rsidR="003C61B9">
        <w:rPr>
          <w:b/>
        </w:rPr>
        <w:t>.</w:t>
      </w:r>
    </w:p>
    <w:p w14:paraId="4FCB7E09" w14:textId="77777777" w:rsidR="0002253C" w:rsidRDefault="001E2C71" w:rsidP="0002253C">
      <w:pPr>
        <w:spacing w:line="276" w:lineRule="auto"/>
      </w:pPr>
      <w:r>
        <w:t>V letech 2012–2014 inkasovaly orgány finanční správy</w:t>
      </w:r>
      <w:r w:rsidR="0002253C" w:rsidRPr="0018069A">
        <w:t xml:space="preserve"> z majetkových daní celkem </w:t>
      </w:r>
      <w:r w:rsidR="00307D13">
        <w:br/>
      </w:r>
      <w:r w:rsidR="0002253C" w:rsidRPr="0018069A">
        <w:t xml:space="preserve">58 894 mil. Kč, z toho příjmy v roce 2014 činily 19 329 mil. Kč. </w:t>
      </w:r>
      <w:r w:rsidR="00216445">
        <w:t>Finanční správa ČR</w:t>
      </w:r>
      <w:r w:rsidR="00AE0BA2" w:rsidRPr="0018069A">
        <w:t xml:space="preserve"> </w:t>
      </w:r>
      <w:r w:rsidR="00216445">
        <w:t xml:space="preserve">(dále také „FS ČR“) </w:t>
      </w:r>
      <w:r w:rsidR="00AE0BA2" w:rsidRPr="0018069A">
        <w:t>evidovala k 31. 12. 2014 nedoplatky na majetkových daních ve výši 3 391 mil. Kč.</w:t>
      </w:r>
    </w:p>
    <w:p w14:paraId="4CAF004D" w14:textId="08678F77" w:rsidR="00AE0BA2" w:rsidRPr="00856FE0" w:rsidRDefault="00510DD2" w:rsidP="00AE0BA2">
      <w:pPr>
        <w:spacing w:line="276" w:lineRule="auto"/>
      </w:pPr>
      <w:r>
        <w:t>Na v</w:t>
      </w:r>
      <w:r w:rsidR="00535E7A">
        <w:t xml:space="preserve">ymáhání nedoplatků </w:t>
      </w:r>
      <w:r>
        <w:t xml:space="preserve">má </w:t>
      </w:r>
      <w:r w:rsidR="00535E7A">
        <w:t>významn</w:t>
      </w:r>
      <w:r>
        <w:t>ý</w:t>
      </w:r>
      <w:r w:rsidR="00535E7A">
        <w:t xml:space="preserve"> </w:t>
      </w:r>
      <w:r>
        <w:t>vliv</w:t>
      </w:r>
      <w:r w:rsidR="00535E7A">
        <w:t xml:space="preserve"> počet bagatelních nedoplatků do 5 000 Kč. Na kontrolovaných FÚ zjistil NKÚ 105 037 nedoplatků k 31. 12. 2014, z nichž 76,25</w:t>
      </w:r>
      <w:r>
        <w:t> </w:t>
      </w:r>
      <w:r w:rsidR="00535E7A">
        <w:t xml:space="preserve">% představovaly </w:t>
      </w:r>
      <w:r w:rsidR="00750ACA">
        <w:t xml:space="preserve">právě </w:t>
      </w:r>
      <w:r w:rsidR="00535E7A">
        <w:t xml:space="preserve">bagatelní nedoplatky. Z celkové částky </w:t>
      </w:r>
      <w:r>
        <w:t xml:space="preserve">nedoplatků ve výši </w:t>
      </w:r>
      <w:r w:rsidR="00535E7A">
        <w:t>1 704 mil. Kč ale bagatelní nedoplatky činily pouze 4 %.</w:t>
      </w:r>
      <w:r w:rsidR="00856FE0">
        <w:t xml:space="preserve"> Od listopadu 2015 </w:t>
      </w:r>
      <w:r w:rsidR="005012BD">
        <w:t>prodloužilo</w:t>
      </w:r>
      <w:r w:rsidR="003B693F" w:rsidRPr="0020428D">
        <w:t xml:space="preserve"> </w:t>
      </w:r>
      <w:r w:rsidR="003B693F" w:rsidRPr="00856FE0">
        <w:t xml:space="preserve">GFŘ </w:t>
      </w:r>
      <w:r w:rsidR="00856FE0">
        <w:t xml:space="preserve">lhůtu </w:t>
      </w:r>
      <w:r w:rsidR="003B693F" w:rsidRPr="00856FE0">
        <w:t>pro zahájení jejich vymáhání až</w:t>
      </w:r>
      <w:r w:rsidR="00856FE0">
        <w:t xml:space="preserve"> na</w:t>
      </w:r>
      <w:r w:rsidR="003B693F" w:rsidRPr="00856FE0">
        <w:t xml:space="preserve"> 33 měsíců od vzniku nedoplatku.</w:t>
      </w:r>
    </w:p>
    <w:p w14:paraId="70AB6C6D" w14:textId="0122E4D8" w:rsidR="005B631A" w:rsidRPr="005B631A" w:rsidRDefault="005B631A" w:rsidP="005B631A">
      <w:pPr>
        <w:pStyle w:val="Odstavecseseznamem"/>
        <w:numPr>
          <w:ilvl w:val="0"/>
          <w:numId w:val="0"/>
        </w:numPr>
        <w:spacing w:line="276" w:lineRule="auto"/>
        <w:rPr>
          <w:rFonts w:cstheme="minorHAnsi"/>
          <w:szCs w:val="24"/>
        </w:rPr>
      </w:pPr>
      <w:r w:rsidRPr="0083286F">
        <w:rPr>
          <w:rFonts w:cstheme="minorHAnsi"/>
          <w:szCs w:val="24"/>
        </w:rPr>
        <w:t>Nastavení</w:t>
      </w:r>
      <w:r w:rsidR="00510DD2">
        <w:rPr>
          <w:rFonts w:cstheme="minorHAnsi"/>
          <w:szCs w:val="24"/>
        </w:rPr>
        <w:t>m</w:t>
      </w:r>
      <w:r w:rsidRPr="0083286F">
        <w:rPr>
          <w:rFonts w:cstheme="minorHAnsi"/>
          <w:szCs w:val="24"/>
        </w:rPr>
        <w:t xml:space="preserve"> systému předávání dat o řízeních mezi FÚ</w:t>
      </w:r>
      <w:r>
        <w:rPr>
          <w:rFonts w:cstheme="minorHAnsi"/>
          <w:szCs w:val="24"/>
        </w:rPr>
        <w:t>,</w:t>
      </w:r>
      <w:r w:rsidRPr="0083286F">
        <w:rPr>
          <w:rFonts w:cstheme="minorHAnsi"/>
          <w:szCs w:val="24"/>
        </w:rPr>
        <w:t xml:space="preserve"> resp. ÚP</w:t>
      </w:r>
      <w:r w:rsidR="00510DD2">
        <w:rPr>
          <w:rFonts w:cstheme="minorHAnsi"/>
          <w:szCs w:val="24"/>
        </w:rPr>
        <w:t>,</w:t>
      </w:r>
      <w:r w:rsidRPr="0083286F">
        <w:rPr>
          <w:rFonts w:cstheme="minorHAnsi"/>
          <w:szCs w:val="24"/>
        </w:rPr>
        <w:t xml:space="preserve"> a katastrálními úřady a</w:t>
      </w:r>
      <w:r>
        <w:rPr>
          <w:rFonts w:cstheme="minorHAnsi"/>
          <w:szCs w:val="24"/>
        </w:rPr>
        <w:t> </w:t>
      </w:r>
      <w:r w:rsidRPr="0083286F">
        <w:rPr>
          <w:rFonts w:cstheme="minorHAnsi"/>
          <w:szCs w:val="24"/>
        </w:rPr>
        <w:t>z</w:t>
      </w:r>
      <w:r w:rsidRPr="0083286F">
        <w:t>avedení</w:t>
      </w:r>
      <w:r w:rsidR="00510DD2">
        <w:t>m</w:t>
      </w:r>
      <w:r w:rsidRPr="0083286F">
        <w:t xml:space="preserve"> kontrolních mechanismů do ADIS</w:t>
      </w:r>
      <w:r w:rsidR="00AF44BD">
        <w:rPr>
          <w:rStyle w:val="Znakapoznpodarou"/>
        </w:rPr>
        <w:footnoteReference w:id="3"/>
      </w:r>
      <w:r>
        <w:t>, které spočívají</w:t>
      </w:r>
      <w:r w:rsidRPr="0083286F">
        <w:t xml:space="preserve"> v automatizovaném porovn</w:t>
      </w:r>
      <w:r w:rsidR="00950942">
        <w:t>ání údajů v daňových přiznáních</w:t>
      </w:r>
      <w:r w:rsidRPr="0083286F">
        <w:t xml:space="preserve"> a dat z katastru nemovitostí</w:t>
      </w:r>
      <w:r w:rsidR="00950942">
        <w:t>,</w:t>
      </w:r>
      <w:r w:rsidRPr="0083286F">
        <w:t xml:space="preserve"> </w:t>
      </w:r>
      <w:r w:rsidR="00510DD2">
        <w:t>získala</w:t>
      </w:r>
      <w:r w:rsidRPr="0083286F">
        <w:rPr>
          <w:rFonts w:cstheme="minorHAnsi"/>
          <w:szCs w:val="24"/>
        </w:rPr>
        <w:t xml:space="preserve"> finanční správ</w:t>
      </w:r>
      <w:r w:rsidR="00510DD2">
        <w:rPr>
          <w:rFonts w:cstheme="minorHAnsi"/>
          <w:szCs w:val="24"/>
        </w:rPr>
        <w:t>a</w:t>
      </w:r>
      <w:r w:rsidRPr="0083286F">
        <w:rPr>
          <w:rFonts w:cstheme="minorHAnsi"/>
          <w:szCs w:val="24"/>
        </w:rPr>
        <w:t xml:space="preserve"> efektivní nástroj</w:t>
      </w:r>
      <w:r w:rsidR="00510DD2">
        <w:rPr>
          <w:rFonts w:cstheme="minorHAnsi"/>
          <w:szCs w:val="24"/>
        </w:rPr>
        <w:t>e</w:t>
      </w:r>
      <w:r w:rsidRPr="0083286F">
        <w:rPr>
          <w:rFonts w:cstheme="minorHAnsi"/>
          <w:szCs w:val="24"/>
        </w:rPr>
        <w:t xml:space="preserve"> pro kontrolu daňových povinností </w:t>
      </w:r>
      <w:r w:rsidR="00510DD2">
        <w:rPr>
          <w:rFonts w:cstheme="minorHAnsi"/>
          <w:szCs w:val="24"/>
        </w:rPr>
        <w:t xml:space="preserve">daňových </w:t>
      </w:r>
      <w:r w:rsidRPr="0083286F">
        <w:rPr>
          <w:rFonts w:cstheme="minorHAnsi"/>
          <w:szCs w:val="24"/>
        </w:rPr>
        <w:t xml:space="preserve">subjektů. </w:t>
      </w:r>
    </w:p>
    <w:p w14:paraId="7B6B855C" w14:textId="77777777" w:rsidR="00FB00A9" w:rsidRDefault="00FB00A9" w:rsidP="002A31CA">
      <w:pPr>
        <w:spacing w:line="276" w:lineRule="auto"/>
        <w:rPr>
          <w:b/>
        </w:rPr>
      </w:pPr>
      <w:r>
        <w:rPr>
          <w:b/>
        </w:rPr>
        <w:t>Daň z nemovitých věcí</w:t>
      </w:r>
    </w:p>
    <w:p w14:paraId="66E80CAF" w14:textId="77777777" w:rsidR="00FB00A9" w:rsidRPr="003C11BF" w:rsidRDefault="00FB00A9" w:rsidP="002A31CA">
      <w:pPr>
        <w:spacing w:line="276" w:lineRule="auto"/>
      </w:pPr>
      <w:r>
        <w:t xml:space="preserve">Roční výnos daně byl </w:t>
      </w:r>
      <w:r w:rsidR="00FE515C">
        <w:t>9 910</w:t>
      </w:r>
      <w:r w:rsidR="006C6DFA">
        <w:t xml:space="preserve"> </w:t>
      </w:r>
      <w:r>
        <w:t>m</w:t>
      </w:r>
      <w:r w:rsidR="006C6DFA">
        <w:t>il</w:t>
      </w:r>
      <w:r w:rsidR="00D17ED4">
        <w:t>.</w:t>
      </w:r>
      <w:r>
        <w:t xml:space="preserve"> Kč. </w:t>
      </w:r>
      <w:r w:rsidRPr="00B611B9">
        <w:t>K 31. 12. 2014 činily nedoplatky na dani z</w:t>
      </w:r>
      <w:r w:rsidR="00FE7E8A">
        <w:t> </w:t>
      </w:r>
      <w:r w:rsidRPr="00B611B9">
        <w:t xml:space="preserve">nemovitých věcí celkem 913 mil. Kč, </w:t>
      </w:r>
      <w:r w:rsidR="00123809">
        <w:t>o které byly příjmy obcí sníženy</w:t>
      </w:r>
      <w:r>
        <w:t>.</w:t>
      </w:r>
      <w:r w:rsidRPr="00B611B9">
        <w:t xml:space="preserve"> </w:t>
      </w:r>
    </w:p>
    <w:p w14:paraId="6F3B95EC" w14:textId="77777777" w:rsidR="00FB00A9" w:rsidRDefault="00FB00A9" w:rsidP="002A31CA">
      <w:pPr>
        <w:spacing w:line="276" w:lineRule="auto"/>
        <w:rPr>
          <w:b/>
        </w:rPr>
      </w:pPr>
      <w:r>
        <w:rPr>
          <w:b/>
        </w:rPr>
        <w:t>Daň z nabytí nemovitých věcí</w:t>
      </w:r>
    </w:p>
    <w:p w14:paraId="5BF384B4" w14:textId="32B1E2A6" w:rsidR="00FB00A9" w:rsidRDefault="00FB00A9" w:rsidP="002A31CA">
      <w:pPr>
        <w:spacing w:line="276" w:lineRule="auto"/>
      </w:pPr>
      <w:r w:rsidRPr="00597D8B">
        <w:t>Název daně ne</w:t>
      </w:r>
      <w:r>
        <w:t>koresponduje s</w:t>
      </w:r>
      <w:r w:rsidRPr="00597D8B">
        <w:t xml:space="preserve"> realit</w:t>
      </w:r>
      <w:r>
        <w:t>ou</w:t>
      </w:r>
      <w:r w:rsidRPr="00597D8B">
        <w:t>, neboť poplatníkem je stále převodce</w:t>
      </w:r>
      <w:r w:rsidR="00510DD2">
        <w:t>,</w:t>
      </w:r>
      <w:r w:rsidRPr="00597D8B">
        <w:t xml:space="preserve"> nikoli nabyvatel nemovitých věcí, který je ručitelem daně.</w:t>
      </w:r>
      <w:r>
        <w:t xml:space="preserve"> Inkaso </w:t>
      </w:r>
      <w:r w:rsidRPr="0047754A">
        <w:t>daně z převodu nemovitostí a</w:t>
      </w:r>
      <w:r w:rsidR="00510DD2">
        <w:t> </w:t>
      </w:r>
      <w:r w:rsidRPr="0047754A">
        <w:t>daně z nabytí nemovitých věcí dosáhlo</w:t>
      </w:r>
      <w:r w:rsidR="006C6DFA">
        <w:t xml:space="preserve"> v roce 2014 výše 9 </w:t>
      </w:r>
      <w:r w:rsidR="0058359C">
        <w:t>286</w:t>
      </w:r>
      <w:r>
        <w:t xml:space="preserve"> </w:t>
      </w:r>
      <w:r w:rsidR="006C6DFA">
        <w:t>mil</w:t>
      </w:r>
      <w:r w:rsidR="00D17ED4">
        <w:t>.</w:t>
      </w:r>
      <w:r>
        <w:t xml:space="preserve"> Kč. </w:t>
      </w:r>
    </w:p>
    <w:p w14:paraId="2836E4E7" w14:textId="77777777" w:rsidR="00FB00A9" w:rsidRDefault="005012BD" w:rsidP="002A31CA">
      <w:pPr>
        <w:spacing w:line="276" w:lineRule="auto"/>
      </w:pPr>
      <w:r>
        <w:t>U</w:t>
      </w:r>
      <w:r w:rsidR="00FB00A9" w:rsidRPr="0047754A">
        <w:t xml:space="preserve"> této daně NKÚ konstatuje vysok</w:t>
      </w:r>
      <w:r w:rsidR="00FB00A9">
        <w:t>ý</w:t>
      </w:r>
      <w:r w:rsidR="00FB00A9" w:rsidRPr="0047754A">
        <w:t xml:space="preserve"> </w:t>
      </w:r>
      <w:r w:rsidR="00FB00A9">
        <w:t>objem</w:t>
      </w:r>
      <w:r w:rsidR="00FB00A9" w:rsidRPr="0047754A">
        <w:t xml:space="preserve"> </w:t>
      </w:r>
      <w:r w:rsidR="007C6707" w:rsidRPr="0047754A">
        <w:t xml:space="preserve">daňových nedoplatků k 31. 12. 2014 </w:t>
      </w:r>
      <w:r w:rsidR="00FB00A9" w:rsidRPr="0047754A">
        <w:t xml:space="preserve">ve výši </w:t>
      </w:r>
      <w:r w:rsidR="00802513">
        <w:br/>
      </w:r>
      <w:r w:rsidR="00FB00A9" w:rsidRPr="0047754A">
        <w:t>2</w:t>
      </w:r>
      <w:r w:rsidR="006C6DFA">
        <w:t xml:space="preserve"> </w:t>
      </w:r>
      <w:r w:rsidR="00FB00A9" w:rsidRPr="0047754A">
        <w:t>3</w:t>
      </w:r>
      <w:r w:rsidR="006C6DFA">
        <w:t>52</w:t>
      </w:r>
      <w:r w:rsidR="00FB00A9" w:rsidRPr="0047754A">
        <w:t xml:space="preserve"> </w:t>
      </w:r>
      <w:r w:rsidR="006C6DFA">
        <w:t>mil</w:t>
      </w:r>
      <w:r w:rsidR="00D17ED4">
        <w:t>.</w:t>
      </w:r>
      <w:r w:rsidR="00FB00A9" w:rsidRPr="0047754A">
        <w:t xml:space="preserve"> Kč.</w:t>
      </w:r>
      <w:r w:rsidR="00FB00A9" w:rsidRPr="000A432A">
        <w:t xml:space="preserve"> </w:t>
      </w:r>
    </w:p>
    <w:p w14:paraId="5CF840E4" w14:textId="77777777" w:rsidR="00FB00A9" w:rsidRPr="004C7AD1" w:rsidRDefault="00FB00A9" w:rsidP="002A31CA">
      <w:pPr>
        <w:spacing w:line="276" w:lineRule="auto"/>
      </w:pPr>
      <w:r>
        <w:rPr>
          <w:b/>
        </w:rPr>
        <w:t>Daň dědická a daň darovací</w:t>
      </w:r>
    </w:p>
    <w:p w14:paraId="3ADE55E7" w14:textId="77777777" w:rsidR="00FB00A9" w:rsidRDefault="00FB00A9" w:rsidP="002A31CA">
      <w:pPr>
        <w:spacing w:line="276" w:lineRule="auto"/>
      </w:pPr>
      <w:r>
        <w:t>Inkaso daně dědické, které se v letech 2012 a 2013 pohybovalo okolo 70 mil</w:t>
      </w:r>
      <w:r w:rsidR="00163302">
        <w:t>.</w:t>
      </w:r>
      <w:r>
        <w:t xml:space="preserve"> Kč, kleslo v roce 2014 na 59 mil</w:t>
      </w:r>
      <w:r w:rsidR="00163302">
        <w:t>.</w:t>
      </w:r>
      <w:r w:rsidR="005012BD">
        <w:t xml:space="preserve"> Kč (vý</w:t>
      </w:r>
      <w:r>
        <w:t>bě</w:t>
      </w:r>
      <w:r w:rsidR="005012BD">
        <w:t>r</w:t>
      </w:r>
      <w:r>
        <w:t xml:space="preserve"> daně vyměře</w:t>
      </w:r>
      <w:r w:rsidR="007C6707">
        <w:t>né za období do 31. 12. 2013). Kumulované n</w:t>
      </w:r>
      <w:r>
        <w:t>edoplatky k 31. 12. 2014 evidovala</w:t>
      </w:r>
      <w:r w:rsidR="008A5E7F">
        <w:t xml:space="preserve"> finanční správa ve výši 10 mil.</w:t>
      </w:r>
      <w:r>
        <w:t xml:space="preserve"> Kč. </w:t>
      </w:r>
    </w:p>
    <w:p w14:paraId="7E92480B" w14:textId="77777777" w:rsidR="00FB00A9" w:rsidRDefault="00FB00A9" w:rsidP="002A31CA">
      <w:pPr>
        <w:spacing w:line="276" w:lineRule="auto"/>
      </w:pPr>
      <w:r>
        <w:t>Inkaso daně darovací v roce 2014 činilo 74 mil</w:t>
      </w:r>
      <w:r w:rsidR="00163302">
        <w:t>.</w:t>
      </w:r>
      <w:r>
        <w:t xml:space="preserve"> Kč </w:t>
      </w:r>
      <w:r w:rsidRPr="0047754A">
        <w:t>(</w:t>
      </w:r>
      <w:r w:rsidR="005012BD">
        <w:t>výběr</w:t>
      </w:r>
      <w:r w:rsidRPr="0047754A">
        <w:t xml:space="preserve"> daně vyměřené za období </w:t>
      </w:r>
      <w:r w:rsidR="00802513">
        <w:br/>
      </w:r>
      <w:r w:rsidRPr="0047754A">
        <w:t xml:space="preserve">do 31. 12. 2013). </w:t>
      </w:r>
      <w:r>
        <w:t xml:space="preserve">Kumulované nedoplatky k 31. 12. 2014 </w:t>
      </w:r>
      <w:r w:rsidRPr="0047754A">
        <w:t xml:space="preserve">převýšily </w:t>
      </w:r>
      <w:r>
        <w:t>inkaso roku 2014</w:t>
      </w:r>
      <w:r w:rsidRPr="0047754A">
        <w:t xml:space="preserve"> a byly</w:t>
      </w:r>
      <w:r>
        <w:t xml:space="preserve"> ve výši 116 mil</w:t>
      </w:r>
      <w:r w:rsidR="00163302">
        <w:t>.</w:t>
      </w:r>
      <w:r>
        <w:t xml:space="preserve"> Kč. </w:t>
      </w:r>
    </w:p>
    <w:p w14:paraId="4CE2D8FD" w14:textId="77777777" w:rsidR="00FB00A9" w:rsidRPr="0047754A" w:rsidRDefault="00FB00A9" w:rsidP="002A31CA">
      <w:pPr>
        <w:spacing w:line="276" w:lineRule="auto"/>
      </w:pPr>
      <w:r w:rsidRPr="0047754A">
        <w:rPr>
          <w:rFonts w:cs="Calibri"/>
        </w:rPr>
        <w:lastRenderedPageBreak/>
        <w:t xml:space="preserve">Od 1. 1. 2014 byly daň dědická a daň darovací </w:t>
      </w:r>
      <w:r w:rsidR="00B63346" w:rsidRPr="00856FE0">
        <w:rPr>
          <w:rFonts w:cs="Calibri"/>
        </w:rPr>
        <w:t xml:space="preserve">zrušeny a bezúplatné nabytí majetku </w:t>
      </w:r>
      <w:r w:rsidR="001A2C45" w:rsidRPr="00856FE0">
        <w:rPr>
          <w:rFonts w:cs="Calibri"/>
        </w:rPr>
        <w:t>děd</w:t>
      </w:r>
      <w:r w:rsidR="00856FE0">
        <w:rPr>
          <w:rFonts w:cs="Calibri"/>
        </w:rPr>
        <w:t>ěním</w:t>
      </w:r>
      <w:r w:rsidR="001A2C45" w:rsidRPr="00856FE0">
        <w:rPr>
          <w:rFonts w:cs="Calibri"/>
        </w:rPr>
        <w:t xml:space="preserve"> a </w:t>
      </w:r>
      <w:r w:rsidR="00B63346" w:rsidRPr="00856FE0">
        <w:rPr>
          <w:rFonts w:cs="Calibri"/>
        </w:rPr>
        <w:t>darováním podléhá dani z příjmu.</w:t>
      </w:r>
      <w:r w:rsidRPr="0047754A">
        <w:rPr>
          <w:rFonts w:cs="Calibri"/>
        </w:rPr>
        <w:t xml:space="preserve"> </w:t>
      </w:r>
      <w:r w:rsidR="001A2C45">
        <w:rPr>
          <w:rFonts w:cs="Calibri"/>
        </w:rPr>
        <w:t>V</w:t>
      </w:r>
      <w:r w:rsidR="001A2C45" w:rsidRPr="0047754A">
        <w:rPr>
          <w:rFonts w:cs="Calibri"/>
        </w:rPr>
        <w:t xml:space="preserve">eškeré příjmy </w:t>
      </w:r>
      <w:r w:rsidRPr="0047754A">
        <w:t>fyzických a právnických osob z dědění nebo odkazu</w:t>
      </w:r>
      <w:r w:rsidR="001A2C45" w:rsidRPr="00867A90">
        <w:rPr>
          <w:rFonts w:cs="Calibri"/>
        </w:rPr>
        <w:t xml:space="preserve"> </w:t>
      </w:r>
      <w:r w:rsidR="001A2C45" w:rsidRPr="001A2C45">
        <w:rPr>
          <w:rFonts w:cs="Calibri"/>
        </w:rPr>
        <w:t xml:space="preserve">jsou </w:t>
      </w:r>
      <w:r w:rsidR="001A2C45">
        <w:rPr>
          <w:rFonts w:cs="Calibri"/>
        </w:rPr>
        <w:t>o</w:t>
      </w:r>
      <w:r w:rsidR="001A2C45" w:rsidRPr="001A2C45">
        <w:rPr>
          <w:rFonts w:cs="Calibri"/>
        </w:rPr>
        <w:t xml:space="preserve">d stejného data </w:t>
      </w:r>
      <w:r w:rsidRPr="0047754A">
        <w:t xml:space="preserve">od daní z příjmů osvobozeny. </w:t>
      </w:r>
    </w:p>
    <w:p w14:paraId="35AB39A7" w14:textId="1B7FC420" w:rsidR="00FB00A9" w:rsidRDefault="00FB00A9" w:rsidP="002A31CA">
      <w:pPr>
        <w:spacing w:line="276" w:lineRule="auto"/>
        <w:rPr>
          <w:b/>
        </w:rPr>
      </w:pPr>
      <w:r w:rsidRPr="00DF1369">
        <w:t xml:space="preserve">Některé příjmy nabyté darováním </w:t>
      </w:r>
      <w:r w:rsidRPr="004F2157">
        <w:t xml:space="preserve">jsou u fyzických </w:t>
      </w:r>
      <w:r w:rsidR="00FB15E7" w:rsidRPr="004F2157">
        <w:t xml:space="preserve">a právnických </w:t>
      </w:r>
      <w:r w:rsidRPr="004F2157">
        <w:t>osob od daně osvobozeny</w:t>
      </w:r>
      <w:r w:rsidR="003C11BF" w:rsidRPr="004F2157">
        <w:t>.</w:t>
      </w:r>
      <w:r w:rsidRPr="004F2157">
        <w:t xml:space="preserve"> Neosvobozené příjmy nabyté darováním jsou součástí základu daně z příjmů fyzických, </w:t>
      </w:r>
      <w:r w:rsidR="00E61DB3">
        <w:br/>
      </w:r>
      <w:r w:rsidRPr="004F2157">
        <w:t>resp. právnických osob a nejsou v ADIS evidovány samostatně. Finanční správa nemá k</w:t>
      </w:r>
      <w:r w:rsidR="00E61DB3">
        <w:t> </w:t>
      </w:r>
      <w:r w:rsidRPr="004F2157">
        <w:t>dispozici údaje o</w:t>
      </w:r>
      <w:r w:rsidR="00FE7E8A" w:rsidRPr="004F2157">
        <w:t> </w:t>
      </w:r>
      <w:r w:rsidRPr="004F2157">
        <w:t xml:space="preserve">celkových příjmech nabytých </w:t>
      </w:r>
      <w:r w:rsidRPr="00DF1369">
        <w:t>darováním</w:t>
      </w:r>
      <w:r w:rsidR="00802513">
        <w:t>.</w:t>
      </w:r>
    </w:p>
    <w:p w14:paraId="04CF8A0C" w14:textId="77777777" w:rsidR="00341B8E" w:rsidRDefault="00FB00A9" w:rsidP="002A31CA">
      <w:pPr>
        <w:spacing w:line="276" w:lineRule="auto"/>
        <w:rPr>
          <w:b/>
        </w:rPr>
      </w:pPr>
      <w:r>
        <w:rPr>
          <w:b/>
        </w:rPr>
        <w:t>K otázce č. 2</w:t>
      </w:r>
    </w:p>
    <w:p w14:paraId="28EFA1B0" w14:textId="77777777" w:rsidR="0083286F" w:rsidRPr="00856FE0" w:rsidRDefault="003B693F" w:rsidP="002A31CA">
      <w:pPr>
        <w:spacing w:line="276" w:lineRule="auto"/>
        <w:rPr>
          <w:rStyle w:val="Siln"/>
          <w:szCs w:val="24"/>
        </w:rPr>
      </w:pPr>
      <w:r w:rsidRPr="00856FE0">
        <w:rPr>
          <w:b/>
          <w:szCs w:val="24"/>
        </w:rPr>
        <w:t>Z pohledu příjmů je e</w:t>
      </w:r>
      <w:r w:rsidR="00FB00A9" w:rsidRPr="00856FE0">
        <w:rPr>
          <w:b/>
          <w:szCs w:val="24"/>
        </w:rPr>
        <w:t xml:space="preserve">fektivnost </w:t>
      </w:r>
      <w:r w:rsidR="00B31113" w:rsidRPr="00856FE0">
        <w:rPr>
          <w:b/>
          <w:szCs w:val="24"/>
        </w:rPr>
        <w:t>správy</w:t>
      </w:r>
      <w:r w:rsidR="00FB00A9" w:rsidRPr="00856FE0">
        <w:rPr>
          <w:b/>
          <w:szCs w:val="24"/>
        </w:rPr>
        <w:t xml:space="preserve"> majetkových daní v poměru k efektivnosti </w:t>
      </w:r>
      <w:r w:rsidR="00A5698B" w:rsidRPr="00856FE0">
        <w:rPr>
          <w:b/>
          <w:szCs w:val="24"/>
        </w:rPr>
        <w:t>správy</w:t>
      </w:r>
      <w:r w:rsidR="00FB00A9" w:rsidRPr="00856FE0">
        <w:rPr>
          <w:b/>
          <w:szCs w:val="24"/>
        </w:rPr>
        <w:t xml:space="preserve"> všech daní třikrát nižší</w:t>
      </w:r>
      <w:r w:rsidRPr="00856FE0">
        <w:rPr>
          <w:b/>
          <w:szCs w:val="24"/>
        </w:rPr>
        <w:t xml:space="preserve">. </w:t>
      </w:r>
      <w:r w:rsidR="00BE4179">
        <w:rPr>
          <w:b/>
          <w:szCs w:val="24"/>
        </w:rPr>
        <w:t>Výdaje</w:t>
      </w:r>
      <w:r w:rsidR="00B31113" w:rsidRPr="00856FE0">
        <w:rPr>
          <w:rStyle w:val="Siln"/>
          <w:szCs w:val="24"/>
        </w:rPr>
        <w:t xml:space="preserve"> na správu majetkových </w:t>
      </w:r>
      <w:r w:rsidR="00A5698B" w:rsidRPr="00856FE0">
        <w:rPr>
          <w:rStyle w:val="Siln"/>
          <w:szCs w:val="24"/>
        </w:rPr>
        <w:t>daní činily</w:t>
      </w:r>
      <w:r w:rsidRPr="00856FE0">
        <w:rPr>
          <w:rStyle w:val="Siln"/>
          <w:szCs w:val="24"/>
        </w:rPr>
        <w:t xml:space="preserve"> v roce 2014 celkem </w:t>
      </w:r>
      <w:r w:rsidR="00307D13">
        <w:rPr>
          <w:rStyle w:val="Siln"/>
          <w:szCs w:val="24"/>
        </w:rPr>
        <w:br/>
      </w:r>
      <w:r w:rsidRPr="00856FE0">
        <w:rPr>
          <w:rStyle w:val="Siln"/>
          <w:szCs w:val="24"/>
        </w:rPr>
        <w:t xml:space="preserve">776 mil. Kč </w:t>
      </w:r>
      <w:r w:rsidR="001A2C45" w:rsidRPr="00856FE0">
        <w:rPr>
          <w:rStyle w:val="Siln"/>
          <w:szCs w:val="24"/>
        </w:rPr>
        <w:t>z celkových 8 320 mil. Kč vynaložených na činnost finanční správy.</w:t>
      </w:r>
    </w:p>
    <w:p w14:paraId="0C1AA0AD" w14:textId="77777777" w:rsidR="00FB00A9" w:rsidRDefault="00FB00A9" w:rsidP="002A31CA">
      <w:pPr>
        <w:spacing w:line="276" w:lineRule="auto"/>
      </w:pPr>
      <w:r>
        <w:t xml:space="preserve">Zatímco v roce 2014 </w:t>
      </w:r>
      <w:r w:rsidRPr="006137A4">
        <w:t xml:space="preserve">příjmy ze všech daní </w:t>
      </w:r>
      <w:r w:rsidRPr="00D96B41">
        <w:t xml:space="preserve">spravovaných finanční správou byly na 1 Kč </w:t>
      </w:r>
      <w:r w:rsidR="00F77060" w:rsidRPr="00D96B41">
        <w:t>výdajů ve</w:t>
      </w:r>
      <w:r w:rsidRPr="00D96B41">
        <w:t xml:space="preserve"> výši </w:t>
      </w:r>
      <w:r w:rsidR="00F244D1" w:rsidRPr="00D96B41">
        <w:t>76</w:t>
      </w:r>
      <w:r w:rsidRPr="00D96B41">
        <w:t xml:space="preserve">,86 Kč, u majetkových daní byly tyto příjmy ve výši </w:t>
      </w:r>
      <w:r w:rsidR="00D96B41" w:rsidRPr="00D96B41">
        <w:t>24,91</w:t>
      </w:r>
      <w:r w:rsidRPr="00D96B41">
        <w:t xml:space="preserve"> Kč. Příjmy </w:t>
      </w:r>
      <w:r w:rsidR="00E51152" w:rsidRPr="00D96B41">
        <w:t xml:space="preserve">ze všech daní spravovaných finanční správou </w:t>
      </w:r>
      <w:r w:rsidRPr="00D96B41">
        <w:t>na jednoho zaměstnan</w:t>
      </w:r>
      <w:r w:rsidR="001A1CD3" w:rsidRPr="00D96B41">
        <w:t xml:space="preserve">ce </w:t>
      </w:r>
      <w:r w:rsidR="001A2C45">
        <w:t xml:space="preserve">finanční správy </w:t>
      </w:r>
      <w:r w:rsidR="001A1CD3" w:rsidRPr="00D96B41">
        <w:t>činily 42,6 mil</w:t>
      </w:r>
      <w:r w:rsidR="008A5E7F">
        <w:t xml:space="preserve">. </w:t>
      </w:r>
      <w:r w:rsidR="001A1CD3" w:rsidRPr="00D96B41">
        <w:t>Kč. P</w:t>
      </w:r>
      <w:r w:rsidRPr="00D96B41">
        <w:t xml:space="preserve">říjmy </w:t>
      </w:r>
      <w:r w:rsidR="001A1CD3" w:rsidRPr="00D96B41">
        <w:t xml:space="preserve">z majetkových daní </w:t>
      </w:r>
      <w:r w:rsidRPr="00D96B41">
        <w:t xml:space="preserve">na jednoho zaměstnance spravujícího </w:t>
      </w:r>
      <w:r w:rsidR="001A1CD3" w:rsidRPr="00D96B41">
        <w:t>tyto</w:t>
      </w:r>
      <w:r w:rsidRPr="00D96B41">
        <w:t xml:space="preserve"> daně byly 1</w:t>
      </w:r>
      <w:r w:rsidR="00D96B41" w:rsidRPr="00D96B41">
        <w:t>3,3</w:t>
      </w:r>
      <w:r w:rsidRPr="00D96B41">
        <w:t xml:space="preserve"> mil</w:t>
      </w:r>
      <w:r w:rsidR="00163302">
        <w:t>.</w:t>
      </w:r>
      <w:r>
        <w:t xml:space="preserve"> Kč.</w:t>
      </w:r>
    </w:p>
    <w:p w14:paraId="7492C81D" w14:textId="77777777" w:rsidR="007C6965" w:rsidRPr="00A20FBC" w:rsidRDefault="00802513" w:rsidP="002A31CA">
      <w:pPr>
        <w:spacing w:line="276" w:lineRule="auto"/>
      </w:pPr>
      <w:r w:rsidRPr="00A20FBC">
        <w:t>Faktorem nejvíce ovlivňujícím n</w:t>
      </w:r>
      <w:r w:rsidR="007C6965" w:rsidRPr="00A20FBC">
        <w:t>ižší efektivnost a vyšší nákladovost vý</w:t>
      </w:r>
      <w:r w:rsidRPr="00A20FBC">
        <w:t>běru majetkových daní byl</w:t>
      </w:r>
      <w:r w:rsidR="007C6965" w:rsidRPr="00A20FBC">
        <w:t xml:space="preserve"> nastavený systém zdanění (výše daně, míra osvobození od daně, sazby daně). </w:t>
      </w:r>
    </w:p>
    <w:p w14:paraId="3E13F460" w14:textId="77777777" w:rsidR="00D22B6B" w:rsidRPr="005C79EC" w:rsidRDefault="00D22B6B" w:rsidP="00D22B6B">
      <w:pPr>
        <w:spacing w:line="276" w:lineRule="auto"/>
      </w:pPr>
      <w:r>
        <w:t>Podle dat OECD</w:t>
      </w:r>
      <w:r w:rsidR="007A598A">
        <w:rPr>
          <w:rStyle w:val="Znakapoznpodarou"/>
        </w:rPr>
        <w:footnoteReference w:id="4"/>
      </w:r>
      <w:r>
        <w:t xml:space="preserve"> z vybraných 21 států Evropské unie </w:t>
      </w:r>
      <w:r w:rsidR="00FD6A49">
        <w:t xml:space="preserve">(dále také „EU“) </w:t>
      </w:r>
      <w:r>
        <w:t>měla v roce 2013 Česká republika druhý nejnižší podíl příjmů z majetkových daní na celkových daňových příjmech.</w:t>
      </w:r>
      <w:r w:rsidR="001A2C45">
        <w:t xml:space="preserve"> </w:t>
      </w:r>
    </w:p>
    <w:p w14:paraId="1E92D9D3" w14:textId="77777777" w:rsidR="00287D76" w:rsidRDefault="00287D76" w:rsidP="002A31CA">
      <w:pPr>
        <w:spacing w:line="276" w:lineRule="auto"/>
        <w:rPr>
          <w:b/>
        </w:rPr>
      </w:pPr>
    </w:p>
    <w:p w14:paraId="02BB2A0E" w14:textId="77777777" w:rsidR="00FB00A9" w:rsidRDefault="00FB00A9" w:rsidP="002A31CA">
      <w:pPr>
        <w:spacing w:line="276" w:lineRule="auto"/>
        <w:rPr>
          <w:b/>
        </w:rPr>
      </w:pPr>
      <w:r>
        <w:rPr>
          <w:b/>
        </w:rPr>
        <w:t>K otázce č. 3</w:t>
      </w:r>
    </w:p>
    <w:p w14:paraId="6149099D" w14:textId="77777777" w:rsidR="00496F0B" w:rsidRDefault="001A7581" w:rsidP="002A72A1">
      <w:pPr>
        <w:spacing w:after="160" w:line="276" w:lineRule="auto"/>
        <w:rPr>
          <w:b/>
        </w:rPr>
      </w:pPr>
      <w:r>
        <w:rPr>
          <w:b/>
        </w:rPr>
        <w:t xml:space="preserve">Příjmy státu z majetkových daní se </w:t>
      </w:r>
      <w:r w:rsidRPr="00EC6D1A">
        <w:rPr>
          <w:b/>
        </w:rPr>
        <w:t>p</w:t>
      </w:r>
      <w:r w:rsidR="00584C97" w:rsidRPr="00EC6D1A">
        <w:rPr>
          <w:b/>
        </w:rPr>
        <w:t>o zavedení l</w:t>
      </w:r>
      <w:r w:rsidR="009C0C4B" w:rsidRPr="00EC6D1A">
        <w:rPr>
          <w:b/>
        </w:rPr>
        <w:t>egislativní</w:t>
      </w:r>
      <w:r w:rsidR="00584C97" w:rsidRPr="00EC6D1A">
        <w:rPr>
          <w:b/>
        </w:rPr>
        <w:t xml:space="preserve">ch </w:t>
      </w:r>
      <w:r w:rsidR="00584C97">
        <w:rPr>
          <w:b/>
        </w:rPr>
        <w:t>změn účinných</w:t>
      </w:r>
      <w:r w:rsidR="009C0C4B" w:rsidRPr="00B07A74">
        <w:rPr>
          <w:b/>
        </w:rPr>
        <w:t xml:space="preserve"> od 1. 1. 2014 </w:t>
      </w:r>
      <w:r w:rsidR="00EC6D1A">
        <w:rPr>
          <w:b/>
        </w:rPr>
        <w:t xml:space="preserve">významně </w:t>
      </w:r>
      <w:r w:rsidR="00584C97" w:rsidRPr="00EC6D1A">
        <w:rPr>
          <w:b/>
        </w:rPr>
        <w:t>nezměnily.</w:t>
      </w:r>
      <w:r w:rsidR="00584C97">
        <w:rPr>
          <w:b/>
        </w:rPr>
        <w:t xml:space="preserve"> </w:t>
      </w:r>
      <w:r w:rsidR="00496F0B" w:rsidRPr="00496F0B">
        <w:rPr>
          <w:b/>
        </w:rPr>
        <w:t>V</w:t>
      </w:r>
      <w:r w:rsidR="00584C97" w:rsidRPr="00496F0B">
        <w:rPr>
          <w:b/>
        </w:rPr>
        <w:t>ý</w:t>
      </w:r>
      <w:r w:rsidR="00584C97">
        <w:rPr>
          <w:b/>
        </w:rPr>
        <w:t xml:space="preserve">ši příjmů </w:t>
      </w:r>
      <w:r w:rsidR="004F2157" w:rsidRPr="00EC6D1A">
        <w:rPr>
          <w:b/>
        </w:rPr>
        <w:t>pozitivně</w:t>
      </w:r>
      <w:r w:rsidR="004F2157" w:rsidRPr="005C79EC">
        <w:rPr>
          <w:b/>
        </w:rPr>
        <w:t xml:space="preserve"> </w:t>
      </w:r>
      <w:r w:rsidR="00584C97">
        <w:rPr>
          <w:b/>
        </w:rPr>
        <w:t>ovlivnil</w:t>
      </w:r>
      <w:r w:rsidR="00496F0B">
        <w:rPr>
          <w:b/>
        </w:rPr>
        <w:t>y platby</w:t>
      </w:r>
      <w:r w:rsidR="00584C97">
        <w:rPr>
          <w:b/>
        </w:rPr>
        <w:t xml:space="preserve"> majetkových daní vyměřených podle právní úpravy účinné do konce roku 2013</w:t>
      </w:r>
      <w:r w:rsidR="00496F0B">
        <w:rPr>
          <w:b/>
        </w:rPr>
        <w:t>.</w:t>
      </w:r>
      <w:r>
        <w:rPr>
          <w:b/>
        </w:rPr>
        <w:t xml:space="preserve"> </w:t>
      </w:r>
    </w:p>
    <w:p w14:paraId="4A02C486" w14:textId="77777777" w:rsidR="00B63346" w:rsidRDefault="00B63346" w:rsidP="00E47D94">
      <w:pPr>
        <w:spacing w:line="276" w:lineRule="auto"/>
      </w:pPr>
      <w:r w:rsidRPr="00B63346">
        <w:t xml:space="preserve">Zavedení nového způsobu </w:t>
      </w:r>
      <w:r w:rsidR="005012BD">
        <w:t xml:space="preserve">stanovení </w:t>
      </w:r>
      <w:r w:rsidRPr="00B63346">
        <w:t xml:space="preserve">základu daně z nabytí nemovitých věcí – srovnávací daňové hodnoty s použitím směrné hodnoty </w:t>
      </w:r>
      <w:r w:rsidR="00510DD2">
        <w:t xml:space="preserve">– </w:t>
      </w:r>
      <w:r w:rsidRPr="00B63346">
        <w:t xml:space="preserve">zvýšilo administrativní náročnost správy daně, neboť průměrná délka vyměřovacího řízení se v roce 2014 oproti délce vyměřovacího řízení daně z převodu nemovitostí v roce 2013 výrazně prodloužila (ze 75 dní na 114 dní). </w:t>
      </w:r>
      <w:r w:rsidRPr="0012185A">
        <w:t>O</w:t>
      </w:r>
      <w:r w:rsidR="00510DD2">
        <w:t> </w:t>
      </w:r>
      <w:r w:rsidRPr="0012185A">
        <w:t>vyměření daně z </w:t>
      </w:r>
      <w:r w:rsidRPr="00B07A74">
        <w:t>nového</w:t>
      </w:r>
      <w:r w:rsidRPr="0012185A">
        <w:t xml:space="preserve"> daňového základu </w:t>
      </w:r>
      <w:r>
        <w:t>požádali poplatníci</w:t>
      </w:r>
      <w:r w:rsidRPr="00EA4A03">
        <w:t xml:space="preserve"> pouze </w:t>
      </w:r>
      <w:r>
        <w:t>ve</w:t>
      </w:r>
      <w:r w:rsidRPr="00EA4A03">
        <w:t xml:space="preserve"> 24,2 % </w:t>
      </w:r>
      <w:r>
        <w:t xml:space="preserve">ze všech </w:t>
      </w:r>
      <w:r w:rsidRPr="005012BD">
        <w:t xml:space="preserve">podaných daňových přiznání. </w:t>
      </w:r>
    </w:p>
    <w:p w14:paraId="673A1627" w14:textId="20EC187A" w:rsidR="00B63346" w:rsidRDefault="00510DD2" w:rsidP="00B63346">
      <w:pPr>
        <w:spacing w:line="276" w:lineRule="auto"/>
      </w:pPr>
      <w:r>
        <w:t>Vinou</w:t>
      </w:r>
      <w:r w:rsidR="00B63346" w:rsidRPr="0012185A">
        <w:t xml:space="preserve"> krátk</w:t>
      </w:r>
      <w:r>
        <w:t>é</w:t>
      </w:r>
      <w:r w:rsidR="00B63346" w:rsidRPr="0012185A">
        <w:t xml:space="preserve"> lhůt</w:t>
      </w:r>
      <w:r>
        <w:t>y</w:t>
      </w:r>
      <w:r w:rsidR="00B63346" w:rsidRPr="0012185A">
        <w:t xml:space="preserve"> mezi </w:t>
      </w:r>
      <w:r w:rsidR="00B63346">
        <w:t>platností a účinností</w:t>
      </w:r>
      <w:r w:rsidR="00B63346" w:rsidRPr="0012185A">
        <w:t xml:space="preserve"> nové právní úpravy daně z nabytí nemovitých věcí byla plná technická podpora pro vyměřování daně zav</w:t>
      </w:r>
      <w:r w:rsidR="00B63346">
        <w:t>edena v ADIS až počátkem června </w:t>
      </w:r>
      <w:r w:rsidR="00B63346" w:rsidRPr="0012185A">
        <w:t>2014. Důsledkem této skutečnosti bylo, že v roce 2014 finanční správa vyměřila pouze 46,7 % z  podaných daňových přiznání</w:t>
      </w:r>
      <w:r w:rsidR="00B63346">
        <w:t>, což ale nemělo vliv na inkaso dan</w:t>
      </w:r>
      <w:r w:rsidR="00B63346" w:rsidRPr="004B3F18">
        <w:t>ě</w:t>
      </w:r>
      <w:r w:rsidR="00AF44BD" w:rsidRPr="004B3F18">
        <w:t>,</w:t>
      </w:r>
      <w:r w:rsidR="00B63346" w:rsidRPr="004B3F18">
        <w:t xml:space="preserve"> </w:t>
      </w:r>
      <w:r w:rsidR="00B63346">
        <w:t>neboť daň, případně záloha na daň</w:t>
      </w:r>
      <w:r>
        <w:t>,</w:t>
      </w:r>
      <w:r w:rsidR="00B63346">
        <w:t xml:space="preserve"> se platí ve lhůtě pro podání daňového přiznání</w:t>
      </w:r>
      <w:r w:rsidR="00B63346" w:rsidRPr="0012185A">
        <w:t xml:space="preserve">. </w:t>
      </w:r>
    </w:p>
    <w:p w14:paraId="3A70CF54" w14:textId="77777777" w:rsidR="00B63346" w:rsidRPr="009A61CD" w:rsidRDefault="00B63346" w:rsidP="00B63346">
      <w:pPr>
        <w:spacing w:line="276" w:lineRule="auto"/>
      </w:pPr>
      <w:r>
        <w:lastRenderedPageBreak/>
        <w:t xml:space="preserve">Do ukončení kontroly NKÚ </w:t>
      </w:r>
      <w:r w:rsidRPr="009A61CD">
        <w:t>nemělo</w:t>
      </w:r>
      <w:r w:rsidRPr="005C79EC">
        <w:t xml:space="preserve"> </w:t>
      </w:r>
      <w:r w:rsidRPr="004B47A2">
        <w:t xml:space="preserve">GFŘ </w:t>
      </w:r>
      <w:r w:rsidRPr="009A61CD">
        <w:t>mechanismy, které by umožnily sledovat a</w:t>
      </w:r>
      <w:r>
        <w:t> </w:t>
      </w:r>
      <w:r w:rsidRPr="009A61CD">
        <w:t xml:space="preserve">vyhodnocovat dopady zavedení </w:t>
      </w:r>
      <w:r w:rsidRPr="00B07A74">
        <w:t>nového</w:t>
      </w:r>
      <w:r w:rsidRPr="005C79EC">
        <w:t xml:space="preserve"> </w:t>
      </w:r>
      <w:r w:rsidRPr="009A61CD">
        <w:t>způsobu stanovení základu daně</w:t>
      </w:r>
      <w:r>
        <w:t xml:space="preserve"> z nabytí nemovitých věcí. </w:t>
      </w:r>
    </w:p>
    <w:p w14:paraId="14CE9858" w14:textId="77777777" w:rsidR="00B63346" w:rsidRPr="009A61CD" w:rsidRDefault="00B63346" w:rsidP="00B63346">
      <w:pPr>
        <w:spacing w:line="276" w:lineRule="auto"/>
      </w:pPr>
      <w:r>
        <w:t xml:space="preserve">Ačkoli změna způsobu stanovení základu daně </w:t>
      </w:r>
      <w:r w:rsidRPr="009A61CD">
        <w:t>z nabytí nemovitých věcí</w:t>
      </w:r>
      <w:r>
        <w:t xml:space="preserve"> měla být podle důvodové zprávy k návrhu zákonného opatření Senátu </w:t>
      </w:r>
      <w:r w:rsidR="00306E3F">
        <w:t xml:space="preserve">č. </w:t>
      </w:r>
      <w:r>
        <w:t xml:space="preserve">340/2013 Sb. personálně neutrální, </w:t>
      </w:r>
      <w:r w:rsidRPr="009A61CD">
        <w:t xml:space="preserve">došlo </w:t>
      </w:r>
      <w:r>
        <w:t xml:space="preserve">podle údajů GFŘ </w:t>
      </w:r>
      <w:r w:rsidRPr="009A61CD">
        <w:t xml:space="preserve">v odděleních majetkových daní k nárůstu systemizovaných míst o 130. </w:t>
      </w:r>
    </w:p>
    <w:p w14:paraId="54B71EBE" w14:textId="1C73C70E" w:rsidR="00EE1FC8" w:rsidRPr="00856FE0" w:rsidRDefault="00EE1FC8" w:rsidP="00EE1FC8">
      <w:pPr>
        <w:spacing w:line="276" w:lineRule="auto"/>
      </w:pPr>
      <w:r w:rsidRPr="00856FE0">
        <w:t xml:space="preserve">Dopad zrušení daně darovací a daně dědické nelze zjistit, protože </w:t>
      </w:r>
      <w:r w:rsidR="00AF2DB2">
        <w:t xml:space="preserve">od </w:t>
      </w:r>
      <w:r w:rsidR="00B63346" w:rsidRPr="00856FE0">
        <w:t xml:space="preserve">daně z příjmů nejsou oddělitelné části </w:t>
      </w:r>
      <w:r w:rsidR="00856FE0">
        <w:t xml:space="preserve">daně </w:t>
      </w:r>
      <w:r w:rsidR="00B63346" w:rsidRPr="00856FE0">
        <w:t>týkající se bezúplatného nabytí majetku.</w:t>
      </w:r>
    </w:p>
    <w:p w14:paraId="10233066" w14:textId="77777777" w:rsidR="00FB00A9" w:rsidRPr="001A71D3" w:rsidRDefault="0002253C" w:rsidP="00AF2DB2">
      <w:pPr>
        <w:pStyle w:val="Nadpis1"/>
        <w:numPr>
          <w:ilvl w:val="0"/>
          <w:numId w:val="7"/>
        </w:numPr>
        <w:spacing w:line="276" w:lineRule="auto"/>
        <w:ind w:left="426" w:hanging="426"/>
        <w:rPr>
          <w:sz w:val="28"/>
          <w:u w:val="single"/>
        </w:rPr>
      </w:pPr>
      <w:r w:rsidRPr="001A71D3">
        <w:rPr>
          <w:sz w:val="28"/>
          <w:u w:val="single"/>
        </w:rPr>
        <w:t>Doporučení</w:t>
      </w:r>
    </w:p>
    <w:p w14:paraId="31047692" w14:textId="77777777" w:rsidR="0002253C" w:rsidRPr="0018069A" w:rsidRDefault="0002253C" w:rsidP="002A31CA">
      <w:pPr>
        <w:spacing w:line="276" w:lineRule="auto"/>
      </w:pPr>
      <w:r w:rsidRPr="0018069A">
        <w:t>NKÚ doporučuje:</w:t>
      </w:r>
    </w:p>
    <w:p w14:paraId="13459DC0" w14:textId="6E4EA1F2" w:rsidR="00E94E10" w:rsidRPr="0018069A" w:rsidRDefault="0002253C" w:rsidP="0002253C">
      <w:pPr>
        <w:pStyle w:val="Odstavecseseznamem"/>
        <w:numPr>
          <w:ilvl w:val="0"/>
          <w:numId w:val="9"/>
        </w:numPr>
        <w:spacing w:line="276" w:lineRule="auto"/>
      </w:pPr>
      <w:r w:rsidRPr="0018069A">
        <w:t xml:space="preserve">schvalovat změny </w:t>
      </w:r>
      <w:r w:rsidR="00E94E10" w:rsidRPr="0018069A">
        <w:t xml:space="preserve">daňových </w:t>
      </w:r>
      <w:r w:rsidRPr="0018069A">
        <w:t>zákonů</w:t>
      </w:r>
      <w:r w:rsidR="00E94E10" w:rsidRPr="0018069A">
        <w:t xml:space="preserve"> tak, aby </w:t>
      </w:r>
      <w:proofErr w:type="spellStart"/>
      <w:r w:rsidR="00E94E10" w:rsidRPr="0018069A">
        <w:t>legisvakanční</w:t>
      </w:r>
      <w:proofErr w:type="spellEnd"/>
      <w:r w:rsidR="00E94E10" w:rsidRPr="0018069A">
        <w:t xml:space="preserve"> lhůty </w:t>
      </w:r>
      <w:r w:rsidR="008D1302">
        <w:t>poskytly</w:t>
      </w:r>
      <w:r w:rsidR="00E94E10" w:rsidRPr="0018069A">
        <w:t xml:space="preserve"> finanční správě</w:t>
      </w:r>
      <w:r w:rsidRPr="0018069A">
        <w:t xml:space="preserve"> </w:t>
      </w:r>
      <w:r w:rsidR="00E94E10" w:rsidRPr="0018069A">
        <w:t>dostate</w:t>
      </w:r>
      <w:r w:rsidR="00AF2DB2">
        <w:t>k</w:t>
      </w:r>
      <w:r w:rsidR="00E94E10" w:rsidRPr="0018069A">
        <w:t xml:space="preserve"> </w:t>
      </w:r>
      <w:r w:rsidR="00AF2DB2">
        <w:t>času</w:t>
      </w:r>
      <w:r w:rsidR="00E94E10" w:rsidRPr="0018069A">
        <w:t xml:space="preserve"> pro metodickou a technickou přípravu</w:t>
      </w:r>
      <w:r w:rsidR="0088376D">
        <w:rPr>
          <w:rStyle w:val="Znakapoznpodarou"/>
        </w:rPr>
        <w:footnoteReference w:id="5"/>
      </w:r>
      <w:r w:rsidR="001A71D3">
        <w:t>;</w:t>
      </w:r>
      <w:r w:rsidRPr="0018069A">
        <w:t xml:space="preserve"> </w:t>
      </w:r>
    </w:p>
    <w:p w14:paraId="70C19900" w14:textId="77777777" w:rsidR="0002253C" w:rsidRPr="00710051" w:rsidRDefault="008D1302" w:rsidP="0002253C">
      <w:pPr>
        <w:pStyle w:val="Odstavecseseznamem"/>
        <w:numPr>
          <w:ilvl w:val="0"/>
          <w:numId w:val="9"/>
        </w:numPr>
        <w:spacing w:line="276" w:lineRule="auto"/>
      </w:pPr>
      <w:r w:rsidRPr="00710051">
        <w:t>zabývat se otázkou zdaňování majetku v ČR, protože</w:t>
      </w:r>
      <w:r w:rsidR="00500F08" w:rsidRPr="00710051">
        <w:t xml:space="preserve"> </w:t>
      </w:r>
    </w:p>
    <w:p w14:paraId="4E17956D" w14:textId="77777777" w:rsidR="0021614D" w:rsidRPr="00710051" w:rsidRDefault="0021614D" w:rsidP="008D1302">
      <w:pPr>
        <w:pStyle w:val="Odstavecseseznamem"/>
        <w:numPr>
          <w:ilvl w:val="0"/>
          <w:numId w:val="12"/>
        </w:numPr>
        <w:spacing w:line="276" w:lineRule="auto"/>
      </w:pPr>
      <w:r w:rsidRPr="00710051">
        <w:t>efektivnost správy majetkových daní je vzhledem k efektivnosti správy ostatních daní nízká,</w:t>
      </w:r>
    </w:p>
    <w:p w14:paraId="79CC5D52" w14:textId="77777777" w:rsidR="008D1302" w:rsidRPr="00710051" w:rsidRDefault="008D1302" w:rsidP="008D1302">
      <w:pPr>
        <w:pStyle w:val="Odstavecseseznamem"/>
        <w:numPr>
          <w:ilvl w:val="0"/>
          <w:numId w:val="12"/>
        </w:numPr>
        <w:spacing w:line="276" w:lineRule="auto"/>
      </w:pPr>
      <w:r w:rsidRPr="00710051">
        <w:t xml:space="preserve">bezúplatné příjmy z nabytí dědictví nebo odkazu jsou od daně z příjmů zcela osvobozeny, </w:t>
      </w:r>
    </w:p>
    <w:p w14:paraId="3025141E" w14:textId="59A7A2B2" w:rsidR="008D1302" w:rsidRPr="00710051" w:rsidRDefault="008D1302" w:rsidP="008D1302">
      <w:pPr>
        <w:pStyle w:val="Odstavecseseznamem"/>
        <w:numPr>
          <w:ilvl w:val="0"/>
          <w:numId w:val="12"/>
        </w:numPr>
        <w:spacing w:line="276" w:lineRule="auto"/>
      </w:pPr>
      <w:r w:rsidRPr="00710051">
        <w:t>bezúplatné příjmy nabyté darováním jsou vzhledem k</w:t>
      </w:r>
      <w:r w:rsidR="00AF2DB2">
        <w:t>e svému</w:t>
      </w:r>
      <w:r w:rsidRPr="00710051">
        <w:t xml:space="preserve"> začlenění do daně z </w:t>
      </w:r>
      <w:r w:rsidRPr="00856FE0">
        <w:t xml:space="preserve">příjmů </w:t>
      </w:r>
      <w:r w:rsidR="00710051" w:rsidRPr="00856FE0">
        <w:t>téměř ne</w:t>
      </w:r>
      <w:r w:rsidRPr="00856FE0">
        <w:t>kontrolovatelné</w:t>
      </w:r>
      <w:r w:rsidRPr="00710051">
        <w:t>,</w:t>
      </w:r>
    </w:p>
    <w:p w14:paraId="19818A28" w14:textId="77777777" w:rsidR="006874A9" w:rsidRPr="00710051" w:rsidRDefault="008D1302" w:rsidP="006874A9">
      <w:pPr>
        <w:pStyle w:val="Odstavecseseznamem"/>
        <w:numPr>
          <w:ilvl w:val="0"/>
          <w:numId w:val="12"/>
        </w:numPr>
        <w:spacing w:line="276" w:lineRule="auto"/>
      </w:pPr>
      <w:r w:rsidRPr="00710051">
        <w:t xml:space="preserve">správa daně z nabytí nemovitých věcí je po zavedení nového způsobu stanovení základu </w:t>
      </w:r>
      <w:r w:rsidR="006874A9" w:rsidRPr="00710051">
        <w:t>daně administrativně náročnější,</w:t>
      </w:r>
    </w:p>
    <w:p w14:paraId="199DF068" w14:textId="77777777" w:rsidR="00470D7D" w:rsidRPr="00856FE0" w:rsidRDefault="00470D7D" w:rsidP="00470D7D">
      <w:pPr>
        <w:pStyle w:val="Odstavecseseznamem"/>
        <w:numPr>
          <w:ilvl w:val="0"/>
          <w:numId w:val="12"/>
        </w:numPr>
        <w:spacing w:line="276" w:lineRule="auto"/>
      </w:pPr>
      <w:r w:rsidRPr="00856FE0">
        <w:t xml:space="preserve">není řešena problematika daně z nabytí nemovitých věcí při změně vlastníků </w:t>
      </w:r>
      <w:r w:rsidR="00856FE0">
        <w:t>obchodních společností, které vlastní nemovitost,</w:t>
      </w:r>
    </w:p>
    <w:p w14:paraId="5B1C9162" w14:textId="77777777" w:rsidR="00C614A7" w:rsidRPr="00E11EA8" w:rsidRDefault="006874A9" w:rsidP="006874A9">
      <w:pPr>
        <w:pStyle w:val="Odstavecseseznamem"/>
        <w:numPr>
          <w:ilvl w:val="0"/>
          <w:numId w:val="12"/>
        </w:numPr>
        <w:spacing w:line="276" w:lineRule="auto"/>
      </w:pPr>
      <w:r w:rsidRPr="00E11EA8">
        <w:t xml:space="preserve">vymáhání nedoplatků na dani z nemovitých věcí </w:t>
      </w:r>
      <w:r w:rsidR="00EE61E7">
        <w:t>ovlivňuje vysoký počet bagatelních nedoplatků</w:t>
      </w:r>
      <w:r w:rsidR="00470D7D" w:rsidRPr="00E11EA8">
        <w:t>.</w:t>
      </w:r>
    </w:p>
    <w:p w14:paraId="72024101" w14:textId="77777777" w:rsidR="00407BCD" w:rsidRDefault="00407BCD">
      <w:pPr>
        <w:spacing w:after="160" w:line="259" w:lineRule="auto"/>
        <w:jc w:val="left"/>
        <w:rPr>
          <w:rFonts w:eastAsiaTheme="majorEastAsia" w:cstheme="majorBidi"/>
          <w:b/>
          <w:bCs/>
          <w:sz w:val="28"/>
          <w:szCs w:val="28"/>
          <w:u w:val="single"/>
        </w:rPr>
      </w:pPr>
      <w:r>
        <w:rPr>
          <w:sz w:val="28"/>
          <w:u w:val="single"/>
        </w:rPr>
        <w:br w:type="page"/>
      </w:r>
    </w:p>
    <w:p w14:paraId="5B84AC7C" w14:textId="77777777" w:rsidR="00FB00A9" w:rsidRPr="00306E3F" w:rsidRDefault="00FB00A9" w:rsidP="00080509">
      <w:pPr>
        <w:pStyle w:val="Nadpis1"/>
        <w:numPr>
          <w:ilvl w:val="0"/>
          <w:numId w:val="7"/>
        </w:numPr>
        <w:spacing w:line="276" w:lineRule="auto"/>
        <w:ind w:left="426" w:hanging="426"/>
        <w:rPr>
          <w:sz w:val="28"/>
          <w:u w:val="single"/>
        </w:rPr>
      </w:pPr>
      <w:r w:rsidRPr="00306E3F">
        <w:rPr>
          <w:sz w:val="28"/>
          <w:u w:val="single"/>
        </w:rPr>
        <w:lastRenderedPageBreak/>
        <w:t>Podrobné informace ke skutečnostem zjištěným při kontrole</w:t>
      </w:r>
    </w:p>
    <w:p w14:paraId="0BDA0B42" w14:textId="77777777" w:rsidR="00FB00A9" w:rsidRDefault="00FB00A9" w:rsidP="00307D13">
      <w:pPr>
        <w:spacing w:after="0"/>
      </w:pPr>
    </w:p>
    <w:p w14:paraId="46EEA045" w14:textId="77777777" w:rsidR="00AA3616" w:rsidRPr="00AA3616" w:rsidRDefault="00AA3616" w:rsidP="00FB00A9">
      <w:pPr>
        <w:rPr>
          <w:b/>
          <w:sz w:val="28"/>
          <w:szCs w:val="28"/>
        </w:rPr>
      </w:pPr>
      <w:r>
        <w:rPr>
          <w:b/>
          <w:sz w:val="28"/>
          <w:szCs w:val="28"/>
        </w:rPr>
        <w:t>K otázce č. 1</w:t>
      </w:r>
    </w:p>
    <w:p w14:paraId="4B8740DF" w14:textId="77777777" w:rsidR="00FB00A9" w:rsidRDefault="00FB00A9" w:rsidP="00FB00A9">
      <w:pPr>
        <w:pStyle w:val="Nadpis2"/>
        <w:numPr>
          <w:ilvl w:val="0"/>
          <w:numId w:val="2"/>
        </w:numPr>
        <w:shd w:val="clear" w:color="auto" w:fill="E3EBF3"/>
        <w:ind w:left="426" w:hanging="426"/>
      </w:pPr>
      <w:r>
        <w:t>Daň z nemovitých věcí</w:t>
      </w:r>
    </w:p>
    <w:p w14:paraId="1ED081A2" w14:textId="77777777" w:rsidR="00FB00A9" w:rsidRDefault="00FB00A9" w:rsidP="00520C36">
      <w:pPr>
        <w:pStyle w:val="Protokol"/>
        <w:spacing w:after="20"/>
        <w:rPr>
          <w:b/>
        </w:rPr>
      </w:pPr>
      <w:r>
        <w:rPr>
          <w:b/>
        </w:rPr>
        <w:t>Tabulka č. 1 –</w:t>
      </w:r>
      <w:r w:rsidRPr="00B01C4E">
        <w:rPr>
          <w:b/>
        </w:rPr>
        <w:t xml:space="preserve"> </w:t>
      </w:r>
      <w:r>
        <w:rPr>
          <w:b/>
        </w:rPr>
        <w:t xml:space="preserve">Statistické údaje k 31. 12. </w:t>
      </w:r>
      <w:r w:rsidRPr="00856FE0">
        <w:rPr>
          <w:b/>
        </w:rPr>
        <w:t>(FS ČR)</w:t>
      </w:r>
    </w:p>
    <w:bookmarkStart w:id="1" w:name="_MON_1513598333"/>
    <w:bookmarkStart w:id="2" w:name="_MON_1514098253"/>
    <w:bookmarkStart w:id="3" w:name="_MON_1513514586"/>
    <w:bookmarkStart w:id="4" w:name="_MON_1513514935"/>
    <w:bookmarkStart w:id="5" w:name="_MON_1513515586"/>
    <w:bookmarkStart w:id="6" w:name="_MON_1514970945"/>
    <w:bookmarkStart w:id="7" w:name="_MON_1514971153"/>
    <w:bookmarkStart w:id="8" w:name="_MON_1514971179"/>
    <w:bookmarkStart w:id="9" w:name="_MON_1513514377"/>
    <w:bookmarkStart w:id="10" w:name="_MON_1513577268"/>
    <w:bookmarkStart w:id="11" w:name="_MON_1513577430"/>
    <w:bookmarkStart w:id="12" w:name="_MON_1514009990"/>
    <w:bookmarkStart w:id="13" w:name="_MON_151359515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517637542"/>
    <w:bookmarkEnd w:id="14"/>
    <w:p w14:paraId="4009D66E" w14:textId="77777777" w:rsidR="00FB00A9" w:rsidRPr="00DB760A" w:rsidRDefault="00E40CFA" w:rsidP="00E40CFA">
      <w:pPr>
        <w:pStyle w:val="Protokol"/>
        <w:spacing w:after="20"/>
        <w:rPr>
          <w:b/>
        </w:rPr>
      </w:pPr>
      <w:r w:rsidRPr="003B7097">
        <w:rPr>
          <w:b/>
        </w:rPr>
        <w:object w:dxaOrig="8231" w:dyaOrig="2064" w14:anchorId="561CB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101.25pt" o:ole="" o:bordertopcolor="this" o:borderleftcolor="this">
            <v:imagedata r:id="rId9" o:title=""/>
            <w10:bordertop type="single" width="8"/>
            <w10:borderleft type="single" width="8"/>
          </v:shape>
          <o:OLEObject Type="Embed" ProgID="Excel.Sheet.12" ShapeID="_x0000_i1025" DrawAspect="Content" ObjectID="_1519634010" r:id="rId10"/>
        </w:object>
      </w:r>
    </w:p>
    <w:p w14:paraId="547404BD" w14:textId="77777777" w:rsidR="00941B6C" w:rsidRPr="00520C36" w:rsidRDefault="00941B6C" w:rsidP="00520C36">
      <w:pPr>
        <w:pStyle w:val="Protokol"/>
        <w:spacing w:after="0"/>
        <w:rPr>
          <w:sz w:val="20"/>
        </w:rPr>
      </w:pPr>
      <w:r w:rsidRPr="00520C36">
        <w:rPr>
          <w:b/>
          <w:sz w:val="20"/>
        </w:rPr>
        <w:t>Zdroj:</w:t>
      </w:r>
      <w:r w:rsidRPr="00520C36">
        <w:rPr>
          <w:sz w:val="20"/>
        </w:rPr>
        <w:t xml:space="preserve"> GFŘ a vlastní zpracování NKÚ.</w:t>
      </w:r>
    </w:p>
    <w:p w14:paraId="01E6AB25" w14:textId="4F3E63B3" w:rsidR="00FB00A9" w:rsidRPr="00520C36" w:rsidRDefault="00FB00A9" w:rsidP="00146DD3">
      <w:pPr>
        <w:pStyle w:val="Protokol"/>
        <w:spacing w:after="0" w:line="240" w:lineRule="auto"/>
        <w:ind w:left="284" w:hanging="284"/>
        <w:rPr>
          <w:sz w:val="20"/>
          <w:szCs w:val="20"/>
        </w:rPr>
      </w:pPr>
      <w:r w:rsidRPr="00520C36">
        <w:rPr>
          <w:sz w:val="20"/>
          <w:szCs w:val="20"/>
        </w:rPr>
        <w:t>*</w:t>
      </w:r>
      <w:r w:rsidR="00146DD3">
        <w:rPr>
          <w:sz w:val="20"/>
          <w:szCs w:val="20"/>
        </w:rPr>
        <w:tab/>
      </w:r>
      <w:r w:rsidRPr="00520C36">
        <w:rPr>
          <w:sz w:val="20"/>
          <w:szCs w:val="20"/>
        </w:rPr>
        <w:t>Jedná se o počet osobních daňových účtů, na kterých lze vytvořit předpis, přijmout platbu atd.</w:t>
      </w:r>
    </w:p>
    <w:p w14:paraId="09404DD0" w14:textId="77777777" w:rsidR="00FB00A9" w:rsidRPr="00520C36" w:rsidRDefault="00FB00A9" w:rsidP="00146DD3">
      <w:pPr>
        <w:pStyle w:val="Protokol"/>
        <w:spacing w:after="0" w:line="240" w:lineRule="auto"/>
        <w:ind w:left="284" w:hanging="284"/>
        <w:rPr>
          <w:sz w:val="20"/>
          <w:szCs w:val="20"/>
        </w:rPr>
      </w:pPr>
      <w:r w:rsidRPr="00520C36">
        <w:rPr>
          <w:sz w:val="20"/>
          <w:szCs w:val="20"/>
        </w:rPr>
        <w:t xml:space="preserve">** </w:t>
      </w:r>
      <w:r w:rsidR="00146DD3">
        <w:rPr>
          <w:sz w:val="20"/>
          <w:szCs w:val="20"/>
        </w:rPr>
        <w:tab/>
      </w:r>
      <w:r w:rsidRPr="00520C36">
        <w:rPr>
          <w:sz w:val="20"/>
          <w:szCs w:val="20"/>
        </w:rPr>
        <w:t>Jedná se o počet osobních daňových účtů s</w:t>
      </w:r>
      <w:r w:rsidR="00B02C00" w:rsidRPr="00520C36">
        <w:rPr>
          <w:sz w:val="20"/>
          <w:szCs w:val="20"/>
        </w:rPr>
        <w:t> </w:t>
      </w:r>
      <w:r w:rsidRPr="00520C36">
        <w:rPr>
          <w:sz w:val="20"/>
          <w:szCs w:val="20"/>
        </w:rPr>
        <w:t>nedoplatkem</w:t>
      </w:r>
      <w:r w:rsidR="00B02C00" w:rsidRPr="00520C36">
        <w:rPr>
          <w:sz w:val="20"/>
          <w:szCs w:val="20"/>
        </w:rPr>
        <w:t>.</w:t>
      </w:r>
    </w:p>
    <w:p w14:paraId="2AE6F1E3" w14:textId="77777777" w:rsidR="000B5AA1" w:rsidRDefault="00FB00A9" w:rsidP="00520C36">
      <w:pPr>
        <w:spacing w:before="120" w:line="276" w:lineRule="auto"/>
        <w:rPr>
          <w:rFonts w:cstheme="minorHAnsi"/>
          <w:szCs w:val="24"/>
        </w:rPr>
      </w:pPr>
      <w:r w:rsidRPr="00BA0532">
        <w:rPr>
          <w:rFonts w:cstheme="minorHAnsi"/>
          <w:szCs w:val="24"/>
        </w:rPr>
        <w:t>Inkaso daně z nemovitých věcí je ze 100</w:t>
      </w:r>
      <w:r w:rsidR="002E3881" w:rsidRPr="00BA0532">
        <w:rPr>
          <w:rFonts w:cstheme="minorHAnsi"/>
          <w:szCs w:val="24"/>
        </w:rPr>
        <w:t xml:space="preserve"> </w:t>
      </w:r>
      <w:r w:rsidRPr="00BA0532">
        <w:rPr>
          <w:rFonts w:cstheme="minorHAnsi"/>
          <w:szCs w:val="24"/>
        </w:rPr>
        <w:t>% příjmem obcí. Z údajů vedených v</w:t>
      </w:r>
      <w:r w:rsidR="008B0386" w:rsidRPr="00BA0532">
        <w:rPr>
          <w:rFonts w:cstheme="minorHAnsi"/>
          <w:szCs w:val="24"/>
        </w:rPr>
        <w:t> monitoru státní pokladny</w:t>
      </w:r>
      <w:r w:rsidRPr="00BA0532">
        <w:rPr>
          <w:rFonts w:cstheme="minorHAnsi"/>
          <w:szCs w:val="24"/>
        </w:rPr>
        <w:t xml:space="preserve"> NKÚ zjistil, že příjmy obcí v letech 2012–</w:t>
      </w:r>
      <w:r w:rsidR="006A2CA9" w:rsidRPr="00BA0532">
        <w:rPr>
          <w:rFonts w:cstheme="minorHAnsi"/>
          <w:szCs w:val="24"/>
        </w:rPr>
        <w:t>2014 činily</w:t>
      </w:r>
      <w:r w:rsidRPr="00BA0532">
        <w:rPr>
          <w:rFonts w:cstheme="minorHAnsi"/>
          <w:szCs w:val="24"/>
        </w:rPr>
        <w:t xml:space="preserve"> </w:t>
      </w:r>
      <w:r w:rsidR="00CB7E0A" w:rsidRPr="00BA0532">
        <w:rPr>
          <w:rFonts w:cstheme="minorHAnsi"/>
          <w:szCs w:val="24"/>
        </w:rPr>
        <w:t>770</w:t>
      </w:r>
      <w:r w:rsidR="006874A9" w:rsidRPr="00BA0532">
        <w:rPr>
          <w:rFonts w:cstheme="minorHAnsi"/>
          <w:szCs w:val="24"/>
        </w:rPr>
        <w:t> </w:t>
      </w:r>
      <w:r w:rsidR="00CB7E0A" w:rsidRPr="00BA0532">
        <w:rPr>
          <w:rFonts w:cstheme="minorHAnsi"/>
          <w:szCs w:val="24"/>
        </w:rPr>
        <w:t>159</w:t>
      </w:r>
      <w:r w:rsidR="006874A9" w:rsidRPr="00BA0532">
        <w:rPr>
          <w:rFonts w:cstheme="minorHAnsi"/>
          <w:szCs w:val="24"/>
        </w:rPr>
        <w:t xml:space="preserve"> mil.</w:t>
      </w:r>
      <w:r w:rsidRPr="00BA0532">
        <w:rPr>
          <w:rFonts w:cstheme="minorHAnsi"/>
          <w:szCs w:val="24"/>
        </w:rPr>
        <w:t xml:space="preserve"> Kč. Ve stejném období byl výnos daně z nemovitých věcí ve výši 29 298 mil. Kč. </w:t>
      </w:r>
    </w:p>
    <w:p w14:paraId="78DA69E8" w14:textId="150585FE" w:rsidR="00307D13" w:rsidRDefault="00FB00A9" w:rsidP="001352AC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NKÚ porovnal podíl</w:t>
      </w:r>
      <w:r w:rsidR="00DE49D6" w:rsidRPr="00B96171">
        <w:rPr>
          <w:rFonts w:cstheme="minorHAnsi"/>
          <w:szCs w:val="24"/>
        </w:rPr>
        <w:t>y</w:t>
      </w:r>
      <w:r>
        <w:rPr>
          <w:rFonts w:cstheme="minorHAnsi"/>
          <w:szCs w:val="24"/>
        </w:rPr>
        <w:t xml:space="preserve"> příjmů z daně z</w:t>
      </w:r>
      <w:r w:rsidR="00163302">
        <w:rPr>
          <w:rFonts w:cstheme="minorHAnsi"/>
          <w:szCs w:val="24"/>
        </w:rPr>
        <w:t> </w:t>
      </w:r>
      <w:r w:rsidR="00B96171">
        <w:rPr>
          <w:rFonts w:cstheme="minorHAnsi"/>
          <w:szCs w:val="24"/>
        </w:rPr>
        <w:t>nemovit</w:t>
      </w:r>
      <w:r w:rsidR="00163302" w:rsidRPr="00B96171">
        <w:rPr>
          <w:rFonts w:cstheme="minorHAnsi"/>
          <w:szCs w:val="24"/>
        </w:rPr>
        <w:t xml:space="preserve">ých </w:t>
      </w:r>
      <w:r w:rsidR="00163302" w:rsidRPr="005012BD">
        <w:rPr>
          <w:rFonts w:cstheme="minorHAnsi"/>
          <w:szCs w:val="24"/>
        </w:rPr>
        <w:t>věcí</w:t>
      </w:r>
      <w:r w:rsidRPr="005012BD">
        <w:rPr>
          <w:rFonts w:cstheme="minorHAnsi"/>
          <w:szCs w:val="24"/>
        </w:rPr>
        <w:t xml:space="preserve"> na celko</w:t>
      </w:r>
      <w:r w:rsidR="006A2CA9" w:rsidRPr="005012BD">
        <w:rPr>
          <w:rFonts w:cstheme="minorHAnsi"/>
          <w:szCs w:val="24"/>
        </w:rPr>
        <w:t xml:space="preserve">vých příjmech vybraných </w:t>
      </w:r>
      <w:r w:rsidRPr="005012BD">
        <w:rPr>
          <w:rFonts w:cstheme="minorHAnsi"/>
          <w:szCs w:val="24"/>
        </w:rPr>
        <w:t>největších a nejmenších obcí</w:t>
      </w:r>
      <w:r w:rsidR="00B96171" w:rsidRPr="005012BD">
        <w:rPr>
          <w:rFonts w:cstheme="minorHAnsi"/>
          <w:szCs w:val="24"/>
        </w:rPr>
        <w:t xml:space="preserve"> podle počtu obyvatel.</w:t>
      </w:r>
    </w:p>
    <w:p w14:paraId="6E1DEE6D" w14:textId="77777777" w:rsidR="00307D13" w:rsidRPr="005012BD" w:rsidRDefault="00307D13" w:rsidP="001352AC">
      <w:pPr>
        <w:spacing w:line="276" w:lineRule="auto"/>
        <w:rPr>
          <w:rFonts w:cstheme="minorHAnsi"/>
          <w:szCs w:val="24"/>
        </w:rPr>
      </w:pPr>
    </w:p>
    <w:p w14:paraId="0D50C343" w14:textId="77777777" w:rsidR="00FB00A9" w:rsidRPr="007A1E93" w:rsidRDefault="005948E9" w:rsidP="00520C36">
      <w:pPr>
        <w:spacing w:after="20" w:line="276" w:lineRule="auto"/>
        <w:ind w:left="1418" w:hanging="1418"/>
        <w:jc w:val="left"/>
        <w:rPr>
          <w:b/>
        </w:rPr>
      </w:pPr>
      <w:r>
        <w:rPr>
          <w:b/>
        </w:rPr>
        <w:t>Tabulka č. 2</w:t>
      </w:r>
      <w:r w:rsidR="00FB00A9" w:rsidRPr="007A1E93">
        <w:rPr>
          <w:b/>
        </w:rPr>
        <w:t xml:space="preserve"> – Největší města</w:t>
      </w:r>
      <w:r w:rsidR="00FB00A9">
        <w:rPr>
          <w:b/>
        </w:rPr>
        <w:t xml:space="preserve"> podle počtu obyvatel</w:t>
      </w:r>
      <w:r w:rsidR="00FB00A9" w:rsidRPr="007A1E93">
        <w:rPr>
          <w:b/>
        </w:rPr>
        <w:t xml:space="preserve"> </w:t>
      </w:r>
      <w:r w:rsidR="002E3881">
        <w:rPr>
          <w:b/>
        </w:rPr>
        <w:t>–</w:t>
      </w:r>
      <w:r w:rsidR="00FB00A9" w:rsidRPr="007A1E93">
        <w:rPr>
          <w:b/>
        </w:rPr>
        <w:t xml:space="preserve"> celkové příjmy, příjmy z daně z nemovitých věcí a jejich podíl na celkových příjmech</w:t>
      </w:r>
      <w:r w:rsidR="00B96171">
        <w:rPr>
          <w:b/>
        </w:rPr>
        <w:t xml:space="preserve"> </w:t>
      </w:r>
    </w:p>
    <w:bookmarkStart w:id="15" w:name="_MON_1515306958"/>
    <w:bookmarkStart w:id="16" w:name="_MON_1517383405"/>
    <w:bookmarkStart w:id="17" w:name="_MON_1517396226"/>
    <w:bookmarkEnd w:id="15"/>
    <w:bookmarkEnd w:id="16"/>
    <w:bookmarkEnd w:id="17"/>
    <w:bookmarkStart w:id="18" w:name="_MON_1515307738"/>
    <w:bookmarkEnd w:id="18"/>
    <w:p w14:paraId="6E5F97F6" w14:textId="3365548D" w:rsidR="00FB00A9" w:rsidRDefault="00CE64AA" w:rsidP="00646C0B">
      <w:pPr>
        <w:spacing w:after="20" w:line="276" w:lineRule="auto"/>
        <w:ind w:left="142"/>
        <w:rPr>
          <w:rFonts w:cstheme="minorHAnsi"/>
          <w:szCs w:val="24"/>
        </w:rPr>
      </w:pPr>
      <w:r w:rsidRPr="009B5954">
        <w:rPr>
          <w:rFonts w:cstheme="minorHAnsi"/>
          <w:szCs w:val="24"/>
        </w:rPr>
        <w:object w:dxaOrig="8652" w:dyaOrig="4412" w14:anchorId="27E94D9C">
          <v:shape id="_x0000_i1026" type="#_x0000_t75" style="width:432.75pt;height:223.5pt" o:ole="" o:bordertopcolor="this" o:borderleftcolor="this">
            <v:imagedata r:id="rId11" o:title=""/>
            <w10:bordertop type="single" width="8"/>
            <w10:borderleft type="single" width="8"/>
          </v:shape>
          <o:OLEObject Type="Embed" ProgID="Excel.Sheet.12" ShapeID="_x0000_i1026" DrawAspect="Content" ObjectID="_1519634011" r:id="rId12"/>
        </w:object>
      </w:r>
    </w:p>
    <w:p w14:paraId="6455A22A" w14:textId="61189A5A" w:rsidR="00FB00A9" w:rsidRPr="00520C36" w:rsidRDefault="00FB00A9" w:rsidP="00307D13">
      <w:pPr>
        <w:spacing w:after="0" w:line="276" w:lineRule="auto"/>
        <w:ind w:left="142"/>
        <w:rPr>
          <w:rFonts w:cstheme="minorHAnsi"/>
          <w:sz w:val="20"/>
          <w:szCs w:val="24"/>
        </w:rPr>
      </w:pPr>
      <w:r w:rsidRPr="00520C36">
        <w:rPr>
          <w:rFonts w:cstheme="minorHAnsi"/>
          <w:b/>
          <w:sz w:val="20"/>
          <w:szCs w:val="24"/>
        </w:rPr>
        <w:t>Zdroj:</w:t>
      </w:r>
      <w:r w:rsidR="005B6249" w:rsidRPr="0056673D">
        <w:t xml:space="preserve"> </w:t>
      </w:r>
      <w:r w:rsidR="00023FB8">
        <w:rPr>
          <w:rFonts w:cstheme="minorHAnsi"/>
          <w:sz w:val="20"/>
          <w:szCs w:val="24"/>
        </w:rPr>
        <w:t>m</w:t>
      </w:r>
      <w:r w:rsidR="008B0386" w:rsidRPr="00520C36">
        <w:rPr>
          <w:rFonts w:cstheme="minorHAnsi"/>
          <w:sz w:val="20"/>
          <w:szCs w:val="24"/>
        </w:rPr>
        <w:t>onitor státní pokladny</w:t>
      </w:r>
      <w:r w:rsidR="005B6249" w:rsidRPr="00520C36">
        <w:rPr>
          <w:rFonts w:cstheme="minorHAnsi"/>
          <w:sz w:val="20"/>
          <w:szCs w:val="24"/>
        </w:rPr>
        <w:t>,</w:t>
      </w:r>
      <w:r w:rsidRPr="00520C36">
        <w:rPr>
          <w:rFonts w:cstheme="minorHAnsi"/>
          <w:sz w:val="20"/>
          <w:szCs w:val="24"/>
        </w:rPr>
        <w:t xml:space="preserve"> Český statistický úřad</w:t>
      </w:r>
      <w:r w:rsidR="00B02C00" w:rsidRPr="00520C36">
        <w:rPr>
          <w:rFonts w:cstheme="minorHAnsi"/>
          <w:sz w:val="20"/>
          <w:szCs w:val="24"/>
        </w:rPr>
        <w:t>.</w:t>
      </w:r>
    </w:p>
    <w:p w14:paraId="443B1161" w14:textId="77777777" w:rsidR="0068212B" w:rsidRDefault="0068212B" w:rsidP="00307D13">
      <w:pPr>
        <w:spacing w:after="0" w:line="276" w:lineRule="auto"/>
        <w:ind w:left="142"/>
        <w:rPr>
          <w:rFonts w:cstheme="minorHAnsi"/>
          <w:szCs w:val="24"/>
        </w:rPr>
      </w:pPr>
    </w:p>
    <w:p w14:paraId="29169433" w14:textId="07E64803" w:rsidR="00FB00A9" w:rsidRPr="007A1E93" w:rsidRDefault="005948E9" w:rsidP="00520C36">
      <w:pPr>
        <w:keepNext/>
        <w:spacing w:after="20" w:line="276" w:lineRule="auto"/>
        <w:ind w:left="1418" w:hanging="1418"/>
        <w:jc w:val="left"/>
        <w:rPr>
          <w:b/>
        </w:rPr>
      </w:pPr>
      <w:r>
        <w:rPr>
          <w:b/>
        </w:rPr>
        <w:lastRenderedPageBreak/>
        <w:t>Tabulka č. 3</w:t>
      </w:r>
      <w:r w:rsidR="00FB00A9" w:rsidRPr="007A1E93">
        <w:rPr>
          <w:b/>
        </w:rPr>
        <w:t xml:space="preserve"> – </w:t>
      </w:r>
      <w:r w:rsidR="00FB00A9">
        <w:rPr>
          <w:b/>
        </w:rPr>
        <w:t>Nejmenší</w:t>
      </w:r>
      <w:r w:rsidR="00FB00A9" w:rsidRPr="007A1E93">
        <w:rPr>
          <w:b/>
        </w:rPr>
        <w:t xml:space="preserve"> </w:t>
      </w:r>
      <w:r w:rsidR="00FB00A9">
        <w:rPr>
          <w:b/>
        </w:rPr>
        <w:t>obce podle počtu obyvatel</w:t>
      </w:r>
      <w:r w:rsidR="00FB00A9" w:rsidRPr="007A1E93">
        <w:rPr>
          <w:b/>
        </w:rPr>
        <w:t xml:space="preserve"> </w:t>
      </w:r>
      <w:r w:rsidR="001A71D3">
        <w:rPr>
          <w:b/>
        </w:rPr>
        <w:t>–</w:t>
      </w:r>
      <w:r w:rsidR="00FB00A9" w:rsidRPr="007A1E93">
        <w:rPr>
          <w:b/>
        </w:rPr>
        <w:t xml:space="preserve"> celkové příjmy, příjmy z daně z nemovitých věcí a podíl </w:t>
      </w:r>
      <w:r w:rsidR="0086117E">
        <w:rPr>
          <w:b/>
        </w:rPr>
        <w:t xml:space="preserve">těchto daňových příjmů </w:t>
      </w:r>
      <w:r w:rsidR="00FB00A9" w:rsidRPr="007A1E93">
        <w:rPr>
          <w:b/>
        </w:rPr>
        <w:t>na celkových příjmech</w:t>
      </w:r>
    </w:p>
    <w:bookmarkStart w:id="19" w:name="_MON_1517383138"/>
    <w:bookmarkStart w:id="20" w:name="_MON_1518329306"/>
    <w:bookmarkStart w:id="21" w:name="_MON_1517396194"/>
    <w:bookmarkEnd w:id="19"/>
    <w:bookmarkEnd w:id="20"/>
    <w:bookmarkEnd w:id="21"/>
    <w:bookmarkStart w:id="22" w:name="_MON_1517037802"/>
    <w:bookmarkEnd w:id="22"/>
    <w:p w14:paraId="624039D3" w14:textId="1A0B338E" w:rsidR="00FB00A9" w:rsidRPr="00520C36" w:rsidRDefault="00CE64AA" w:rsidP="0086117E">
      <w:pPr>
        <w:keepNext/>
        <w:spacing w:after="20" w:line="276" w:lineRule="auto"/>
        <w:rPr>
          <w:rFonts w:cstheme="minorHAnsi"/>
          <w:sz w:val="20"/>
          <w:szCs w:val="24"/>
        </w:rPr>
      </w:pPr>
      <w:r w:rsidRPr="009B5954">
        <w:rPr>
          <w:rFonts w:cstheme="minorHAnsi"/>
          <w:szCs w:val="24"/>
        </w:rPr>
        <w:object w:dxaOrig="8329" w:dyaOrig="4122" w14:anchorId="3C53214E">
          <v:shape id="_x0000_i1027" type="#_x0000_t75" style="width:416.25pt;height:208.5pt" o:ole="" o:bordertopcolor="this" o:borderleftcolor="this">
            <v:imagedata r:id="rId13" o:title=""/>
            <w10:bordertop type="single" width="8"/>
            <w10:borderleft type="single" width="8"/>
          </v:shape>
          <o:OLEObject Type="Embed" ProgID="Excel.Sheet.12" ShapeID="_x0000_i1027" DrawAspect="Content" ObjectID="_1519634012" r:id="rId14"/>
        </w:object>
      </w:r>
      <w:r w:rsidR="00FB00A9" w:rsidRPr="007A1E93">
        <w:rPr>
          <w:rFonts w:cstheme="minorHAnsi"/>
          <w:i/>
          <w:sz w:val="20"/>
          <w:szCs w:val="24"/>
        </w:rPr>
        <w:t xml:space="preserve"> </w:t>
      </w:r>
    </w:p>
    <w:p w14:paraId="54F73090" w14:textId="28656259" w:rsidR="00AB126A" w:rsidRPr="00520C36" w:rsidRDefault="00FB00A9" w:rsidP="00AB126A">
      <w:pPr>
        <w:keepNext/>
        <w:spacing w:after="0" w:line="276" w:lineRule="auto"/>
        <w:rPr>
          <w:rFonts w:cstheme="minorHAnsi"/>
          <w:sz w:val="20"/>
          <w:szCs w:val="24"/>
        </w:rPr>
      </w:pPr>
      <w:r w:rsidRPr="00520C36">
        <w:rPr>
          <w:rFonts w:cstheme="minorHAnsi"/>
          <w:b/>
          <w:sz w:val="20"/>
          <w:szCs w:val="24"/>
        </w:rPr>
        <w:t>Zdroj:</w:t>
      </w:r>
      <w:r w:rsidRPr="00520C36">
        <w:rPr>
          <w:rFonts w:cstheme="minorHAnsi"/>
          <w:sz w:val="20"/>
          <w:szCs w:val="24"/>
        </w:rPr>
        <w:t xml:space="preserve"> </w:t>
      </w:r>
      <w:r w:rsidR="00930D76">
        <w:rPr>
          <w:rFonts w:cstheme="minorHAnsi"/>
          <w:sz w:val="20"/>
          <w:szCs w:val="24"/>
        </w:rPr>
        <w:t>m</w:t>
      </w:r>
      <w:r w:rsidR="008B0386" w:rsidRPr="00520C36">
        <w:rPr>
          <w:rFonts w:cstheme="minorHAnsi"/>
          <w:sz w:val="20"/>
          <w:szCs w:val="24"/>
        </w:rPr>
        <w:t>onitor státní pokladny</w:t>
      </w:r>
      <w:r w:rsidR="005B6249" w:rsidRPr="00520C36">
        <w:rPr>
          <w:rFonts w:cstheme="minorHAnsi"/>
          <w:sz w:val="20"/>
          <w:szCs w:val="24"/>
        </w:rPr>
        <w:t>,</w:t>
      </w:r>
      <w:r w:rsidRPr="00520C36">
        <w:rPr>
          <w:rFonts w:cstheme="minorHAnsi"/>
          <w:sz w:val="20"/>
          <w:szCs w:val="24"/>
        </w:rPr>
        <w:t xml:space="preserve"> Český statistický úřad</w:t>
      </w:r>
      <w:r w:rsidR="00DB641D" w:rsidRPr="00520C36">
        <w:rPr>
          <w:rFonts w:cstheme="minorHAnsi"/>
          <w:sz w:val="20"/>
          <w:szCs w:val="24"/>
        </w:rPr>
        <w:t>.</w:t>
      </w:r>
    </w:p>
    <w:p w14:paraId="2A0EE725" w14:textId="77777777" w:rsidR="00051565" w:rsidRPr="00520C36" w:rsidRDefault="00051565" w:rsidP="00051565">
      <w:pPr>
        <w:keepNext/>
        <w:spacing w:after="0" w:line="276" w:lineRule="auto"/>
        <w:rPr>
          <w:rFonts w:cstheme="minorHAnsi"/>
          <w:sz w:val="20"/>
          <w:szCs w:val="24"/>
        </w:rPr>
      </w:pPr>
    </w:p>
    <w:p w14:paraId="18C64053" w14:textId="77777777" w:rsidR="008B0386" w:rsidRDefault="005012BD" w:rsidP="001352AC">
      <w:pPr>
        <w:pStyle w:val="Protokol"/>
      </w:pPr>
      <w:bookmarkStart w:id="23" w:name="_MON_1506858395"/>
      <w:bookmarkStart w:id="24" w:name="_MON_1506858397"/>
      <w:bookmarkStart w:id="25" w:name="_MON_1506858657"/>
      <w:bookmarkStart w:id="26" w:name="_MON_1506858670"/>
      <w:bookmarkStart w:id="27" w:name="_MON_1506858684"/>
      <w:bookmarkStart w:id="28" w:name="_MON_1506858689"/>
      <w:bookmarkStart w:id="29" w:name="_MON_1506858713"/>
      <w:bookmarkStart w:id="30" w:name="_MON_1506858865"/>
      <w:bookmarkStart w:id="31" w:name="_MON_1506777694"/>
      <w:bookmarkStart w:id="32" w:name="_MON_1506778123"/>
      <w:bookmarkStart w:id="33" w:name="_MON_1506778130"/>
      <w:bookmarkStart w:id="34" w:name="_MON_1506778183"/>
      <w:bookmarkStart w:id="35" w:name="_MON_1509435972"/>
      <w:bookmarkStart w:id="36" w:name="_MON_1509436250"/>
      <w:bookmarkStart w:id="37" w:name="_MON_1509436350"/>
      <w:bookmarkStart w:id="38" w:name="_MON_1509436401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t xml:space="preserve">Příjem obcí z daně z nemovitých věcí ovlivňuje </w:t>
      </w:r>
      <w:r w:rsidR="00FB00A9" w:rsidRPr="000803C9">
        <w:t xml:space="preserve">místní koeficient stanovený danou obcí. </w:t>
      </w:r>
    </w:p>
    <w:p w14:paraId="089E6761" w14:textId="77777777" w:rsidR="002D4C12" w:rsidRPr="00803639" w:rsidRDefault="002D4C12" w:rsidP="001352AC">
      <w:pPr>
        <w:pStyle w:val="Protokol"/>
      </w:pPr>
    </w:p>
    <w:p w14:paraId="3FF0A2B2" w14:textId="77777777" w:rsidR="00FB00A9" w:rsidRDefault="00FB00A9" w:rsidP="005012BD">
      <w:pPr>
        <w:pStyle w:val="Protokol"/>
        <w:keepNext/>
        <w:rPr>
          <w:b/>
        </w:rPr>
      </w:pPr>
      <w:r>
        <w:rPr>
          <w:b/>
        </w:rPr>
        <w:t>Kontrolní mechanismy</w:t>
      </w:r>
    </w:p>
    <w:p w14:paraId="0D9E51D2" w14:textId="77777777" w:rsidR="00FB00A9" w:rsidRDefault="00FB00A9" w:rsidP="005012BD">
      <w:pPr>
        <w:pStyle w:val="Protokol"/>
        <w:keepNext/>
      </w:pPr>
      <w:r>
        <w:t>GFŘ každý měsíc automatizovaně přebírá data z katastru nemovitostí, která aktualizují informace o stavech nemovitých věcí</w:t>
      </w:r>
      <w:r w:rsidR="00DE49D6">
        <w:t xml:space="preserve"> </w:t>
      </w:r>
      <w:r w:rsidR="00DE49D6" w:rsidRPr="000779A8">
        <w:t>evidované v ADIS</w:t>
      </w:r>
      <w:r w:rsidR="006A2CA9" w:rsidRPr="000779A8">
        <w:t>.</w:t>
      </w:r>
    </w:p>
    <w:p w14:paraId="0DB59FE3" w14:textId="77777777" w:rsidR="00FB00A9" w:rsidRDefault="00FB00A9" w:rsidP="001352AC">
      <w:pPr>
        <w:spacing w:line="276" w:lineRule="auto"/>
        <w:rPr>
          <w:rFonts w:cstheme="minorHAnsi"/>
          <w:szCs w:val="24"/>
        </w:rPr>
      </w:pPr>
      <w:r w:rsidRPr="006275FE">
        <w:rPr>
          <w:rFonts w:cstheme="minorHAnsi"/>
          <w:szCs w:val="24"/>
        </w:rPr>
        <w:t xml:space="preserve">Od roku 2014 </w:t>
      </w:r>
      <w:r>
        <w:rPr>
          <w:rFonts w:cstheme="minorHAnsi"/>
          <w:szCs w:val="24"/>
        </w:rPr>
        <w:t>mají správci daně k dispozici</w:t>
      </w:r>
      <w:r w:rsidR="00C768B1">
        <w:rPr>
          <w:rFonts w:cstheme="minorHAnsi"/>
          <w:szCs w:val="24"/>
        </w:rPr>
        <w:t xml:space="preserve"> novou úloh</w:t>
      </w:r>
      <w:r w:rsidRPr="006275FE">
        <w:rPr>
          <w:rFonts w:cstheme="minorHAnsi"/>
          <w:szCs w:val="24"/>
        </w:rPr>
        <w:t>u</w:t>
      </w:r>
      <w:r>
        <w:rPr>
          <w:rFonts w:cstheme="minorHAnsi"/>
          <w:szCs w:val="24"/>
        </w:rPr>
        <w:t xml:space="preserve"> ADIS</w:t>
      </w:r>
      <w:r w:rsidRPr="006275FE">
        <w:rPr>
          <w:rFonts w:cstheme="minorHAnsi"/>
          <w:szCs w:val="24"/>
        </w:rPr>
        <w:t>, která</w:t>
      </w:r>
      <w:r>
        <w:rPr>
          <w:rFonts w:cstheme="minorHAnsi"/>
          <w:szCs w:val="24"/>
        </w:rPr>
        <w:t xml:space="preserve"> umožňuje automatizovanou kontrolu správnosti údajů u</w:t>
      </w:r>
      <w:r w:rsidR="00F71FB8">
        <w:rPr>
          <w:rFonts w:cstheme="minorHAnsi"/>
          <w:szCs w:val="24"/>
        </w:rPr>
        <w:t>vedených v daňových přiznáních</w:t>
      </w:r>
      <w:r w:rsidR="00C22ECC">
        <w:rPr>
          <w:rFonts w:cstheme="minorHAnsi"/>
          <w:szCs w:val="24"/>
        </w:rPr>
        <w:t>,</w:t>
      </w:r>
      <w:r w:rsidR="00F71FB8">
        <w:rPr>
          <w:rFonts w:cstheme="minorHAnsi"/>
          <w:szCs w:val="24"/>
        </w:rPr>
        <w:t xml:space="preserve"> a </w:t>
      </w:r>
      <w:r w:rsidRPr="0089152F">
        <w:rPr>
          <w:rFonts w:cstheme="minorHAnsi"/>
          <w:szCs w:val="24"/>
        </w:rPr>
        <w:t xml:space="preserve">to i zpětně za </w:t>
      </w:r>
      <w:r w:rsidR="00803639" w:rsidRPr="005012BD">
        <w:rPr>
          <w:rFonts w:cstheme="minorHAnsi"/>
          <w:szCs w:val="24"/>
        </w:rPr>
        <w:t xml:space="preserve">uplynulá </w:t>
      </w:r>
      <w:r w:rsidRPr="0089152F">
        <w:rPr>
          <w:rFonts w:cstheme="minorHAnsi"/>
          <w:szCs w:val="24"/>
        </w:rPr>
        <w:t>zdaňovací období. V rámci této kontroly se porovnávají údaje</w:t>
      </w:r>
      <w:r w:rsidRPr="006275FE">
        <w:rPr>
          <w:rFonts w:cstheme="minorHAnsi"/>
          <w:szCs w:val="24"/>
        </w:rPr>
        <w:t xml:space="preserve"> uvedené poplatníkem v</w:t>
      </w:r>
      <w:r w:rsidR="00737742">
        <w:rPr>
          <w:rFonts w:cstheme="minorHAnsi"/>
          <w:szCs w:val="24"/>
        </w:rPr>
        <w:t> daňovém přiznání</w:t>
      </w:r>
      <w:r w:rsidRPr="006275FE">
        <w:rPr>
          <w:rFonts w:cstheme="minorHAnsi"/>
          <w:szCs w:val="24"/>
        </w:rPr>
        <w:t xml:space="preserve"> s údaji uvedenými v katastru nemovitostí. </w:t>
      </w:r>
    </w:p>
    <w:p w14:paraId="0BC37C98" w14:textId="77777777" w:rsidR="008E580E" w:rsidRPr="00803639" w:rsidRDefault="00BA0532" w:rsidP="001352AC">
      <w:pPr>
        <w:spacing w:line="276" w:lineRule="auto"/>
        <w:rPr>
          <w:rFonts w:cstheme="minorHAnsi"/>
          <w:szCs w:val="24"/>
        </w:rPr>
      </w:pPr>
      <w:r w:rsidRPr="00803639">
        <w:rPr>
          <w:rFonts w:cstheme="minorHAnsi"/>
          <w:szCs w:val="24"/>
        </w:rPr>
        <w:t xml:space="preserve">NKÚ u kontrolovaných </w:t>
      </w:r>
      <w:r w:rsidR="002178CF">
        <w:rPr>
          <w:rFonts w:cstheme="minorHAnsi"/>
          <w:szCs w:val="24"/>
        </w:rPr>
        <w:t xml:space="preserve">11 </w:t>
      </w:r>
      <w:r w:rsidRPr="00803639">
        <w:rPr>
          <w:rFonts w:cstheme="minorHAnsi"/>
          <w:szCs w:val="24"/>
        </w:rPr>
        <w:t xml:space="preserve">ÚP zjistil, že v letech 2013 a 2014 bylo podáno celkem 84 317 daňových přiznání k dani z nemovitých věcí a u 34 135 z nich, tj. cca u 40 %, byl v ADIS vygenerován rozdíl oproti údajům v katastru nemovitostí. V době kontroly NKÚ správci daně ještě neprověřili 26 833 daňových přiznání s rozdílem, tj. cca 79 %. Nejčastějšími důvody rozdílů byly formální chyby v daňových přiznáních nebo chybné údaje v katastru nemovitostí. </w:t>
      </w:r>
    </w:p>
    <w:p w14:paraId="658F7E60" w14:textId="547AC034" w:rsidR="00BA0532" w:rsidRPr="00BA0532" w:rsidRDefault="00BA0532" w:rsidP="001352AC">
      <w:pPr>
        <w:spacing w:line="276" w:lineRule="auto"/>
        <w:rPr>
          <w:rFonts w:cstheme="minorHAnsi"/>
          <w:szCs w:val="24"/>
        </w:rPr>
      </w:pPr>
      <w:r w:rsidRPr="00BA0532">
        <w:rPr>
          <w:rFonts w:cstheme="minorHAnsi"/>
          <w:szCs w:val="24"/>
        </w:rPr>
        <w:t>Orgány FS ČR provedl</w:t>
      </w:r>
      <w:r w:rsidR="00803639">
        <w:rPr>
          <w:rFonts w:cstheme="minorHAnsi"/>
          <w:szCs w:val="24"/>
        </w:rPr>
        <w:t>y</w:t>
      </w:r>
      <w:r w:rsidRPr="00BA0532">
        <w:rPr>
          <w:rFonts w:cstheme="minorHAnsi"/>
          <w:szCs w:val="24"/>
        </w:rPr>
        <w:t xml:space="preserve"> v roce 2014 celkem 3 452 daňových kontrol a místních šetření, což </w:t>
      </w:r>
      <w:r w:rsidR="00930D76">
        <w:rPr>
          <w:rFonts w:cstheme="minorHAnsi"/>
          <w:szCs w:val="24"/>
        </w:rPr>
        <w:t>bylo</w:t>
      </w:r>
      <w:r w:rsidRPr="00BA0532">
        <w:rPr>
          <w:rFonts w:cstheme="minorHAnsi"/>
          <w:szCs w:val="24"/>
        </w:rPr>
        <w:t xml:space="preserve"> o 1 270 daňových řízení více než v roce 2013. Zavedené kontrolní mechanismy umožnily správcům daně cíleně zaměřit kontrolní činnost na problémy identifikované kontrolou elektronicky dostupných dat. </w:t>
      </w:r>
    </w:p>
    <w:p w14:paraId="4CF01AB1" w14:textId="6623E37D" w:rsidR="00FB00A9" w:rsidRDefault="00FB00A9" w:rsidP="001352AC">
      <w:pPr>
        <w:spacing w:line="276" w:lineRule="auto"/>
      </w:pPr>
      <w:bookmarkStart w:id="39" w:name="_MON_1514095973"/>
      <w:bookmarkStart w:id="40" w:name="_MON_1514012551"/>
      <w:bookmarkStart w:id="41" w:name="_MON_1514972989"/>
      <w:bookmarkStart w:id="42" w:name="_MON_1514095205"/>
      <w:bookmarkEnd w:id="39"/>
      <w:bookmarkEnd w:id="40"/>
      <w:bookmarkEnd w:id="41"/>
      <w:bookmarkEnd w:id="42"/>
      <w:r w:rsidRPr="00003371">
        <w:rPr>
          <w:rFonts w:cstheme="minorHAnsi"/>
          <w:szCs w:val="24"/>
        </w:rPr>
        <w:t xml:space="preserve">Na kontrolním vzorku </w:t>
      </w:r>
      <w:r>
        <w:rPr>
          <w:rFonts w:cstheme="minorHAnsi"/>
          <w:szCs w:val="24"/>
        </w:rPr>
        <w:t>50</w:t>
      </w:r>
      <w:r w:rsidRPr="00003371">
        <w:rPr>
          <w:rFonts w:cstheme="minorHAnsi"/>
          <w:szCs w:val="24"/>
        </w:rPr>
        <w:t xml:space="preserve"> daňových subjektů prověřil NKÚ postup správců daně v případech, kdy vlastník </w:t>
      </w:r>
      <w:r w:rsidRPr="0089152F">
        <w:rPr>
          <w:rFonts w:cstheme="minorHAnsi"/>
          <w:szCs w:val="24"/>
        </w:rPr>
        <w:t>nepodal daňové přiznání</w:t>
      </w:r>
      <w:r w:rsidR="00737742">
        <w:rPr>
          <w:rFonts w:cstheme="minorHAnsi"/>
          <w:szCs w:val="24"/>
        </w:rPr>
        <w:t>,</w:t>
      </w:r>
      <w:r w:rsidRPr="00520C36">
        <w:rPr>
          <w:rFonts w:cstheme="minorHAnsi"/>
          <w:szCs w:val="24"/>
        </w:rPr>
        <w:t xml:space="preserve"> </w:t>
      </w:r>
      <w:r w:rsidRPr="00A033F9">
        <w:rPr>
          <w:rFonts w:cstheme="minorHAnsi"/>
          <w:szCs w:val="24"/>
        </w:rPr>
        <w:t>případně</w:t>
      </w:r>
      <w:r w:rsidRPr="00520C36">
        <w:rPr>
          <w:rFonts w:cstheme="minorHAnsi"/>
          <w:szCs w:val="24"/>
        </w:rPr>
        <w:t xml:space="preserve"> </w:t>
      </w:r>
      <w:r w:rsidRPr="00A033F9">
        <w:rPr>
          <w:rFonts w:cstheme="minorHAnsi"/>
          <w:szCs w:val="24"/>
        </w:rPr>
        <w:t xml:space="preserve">v podaném </w:t>
      </w:r>
      <w:r w:rsidR="00D94838" w:rsidRPr="00C768B1">
        <w:rPr>
          <w:rFonts w:cstheme="minorHAnsi"/>
          <w:szCs w:val="24"/>
        </w:rPr>
        <w:t>daňovém přiznán</w:t>
      </w:r>
      <w:r w:rsidR="00D94838" w:rsidRPr="00B74D3C">
        <w:rPr>
          <w:rFonts w:cstheme="minorHAnsi"/>
          <w:szCs w:val="24"/>
        </w:rPr>
        <w:t>í</w:t>
      </w:r>
      <w:r w:rsidR="00D94838" w:rsidRPr="00520C36">
        <w:rPr>
          <w:rFonts w:cstheme="minorHAnsi"/>
          <w:szCs w:val="24"/>
        </w:rPr>
        <w:t xml:space="preserve"> </w:t>
      </w:r>
      <w:r w:rsidRPr="00A033F9">
        <w:rPr>
          <w:rFonts w:cstheme="minorHAnsi"/>
          <w:szCs w:val="24"/>
        </w:rPr>
        <w:t>nemovitou věc neuvedl</w:t>
      </w:r>
      <w:r>
        <w:rPr>
          <w:rFonts w:cstheme="minorHAnsi"/>
          <w:szCs w:val="24"/>
        </w:rPr>
        <w:t>.</w:t>
      </w:r>
      <w:r w:rsidRPr="00003371">
        <w:rPr>
          <w:rFonts w:cstheme="minorHAnsi"/>
          <w:szCs w:val="24"/>
        </w:rPr>
        <w:t xml:space="preserve"> V</w:t>
      </w:r>
      <w:r>
        <w:rPr>
          <w:rFonts w:cstheme="minorHAnsi"/>
          <w:szCs w:val="24"/>
        </w:rPr>
        <w:t xml:space="preserve">e 26 případech nebyla nemovitá věc přiznána z důvodu neukončeného dědického řízení nebo ji přiznal druhý z manželů. </w:t>
      </w:r>
      <w:r w:rsidR="0081168F" w:rsidRPr="0081168F">
        <w:rPr>
          <w:rFonts w:cstheme="minorHAnsi"/>
          <w:szCs w:val="24"/>
        </w:rPr>
        <w:t>Zbývajících</w:t>
      </w:r>
      <w:r w:rsidRPr="0081168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24</w:t>
      </w:r>
      <w:r w:rsidRPr="00003371">
        <w:rPr>
          <w:rFonts w:cstheme="minorHAnsi"/>
          <w:szCs w:val="24"/>
        </w:rPr>
        <w:t xml:space="preserve"> daňových subjektů </w:t>
      </w:r>
      <w:r>
        <w:rPr>
          <w:rFonts w:cstheme="minorHAnsi"/>
          <w:szCs w:val="24"/>
        </w:rPr>
        <w:t>s</w:t>
      </w:r>
      <w:r w:rsidRPr="00003371">
        <w:rPr>
          <w:rFonts w:cstheme="minorHAnsi"/>
          <w:szCs w:val="24"/>
        </w:rPr>
        <w:t xml:space="preserve">právce daně vyzval </w:t>
      </w:r>
      <w:r w:rsidRPr="00003371">
        <w:rPr>
          <w:rFonts w:cstheme="minorHAnsi"/>
          <w:szCs w:val="24"/>
        </w:rPr>
        <w:lastRenderedPageBreak/>
        <w:t xml:space="preserve">k podání daňového přiznání k dani </w:t>
      </w:r>
      <w:r w:rsidR="00930D76">
        <w:rPr>
          <w:rFonts w:cstheme="minorHAnsi"/>
          <w:szCs w:val="24"/>
        </w:rPr>
        <w:t>z </w:t>
      </w:r>
      <w:r w:rsidRPr="00003371">
        <w:rPr>
          <w:rFonts w:cstheme="minorHAnsi"/>
          <w:szCs w:val="24"/>
        </w:rPr>
        <w:t>nemovitých věcí</w:t>
      </w:r>
      <w:r>
        <w:rPr>
          <w:rFonts w:cstheme="minorHAnsi"/>
          <w:szCs w:val="24"/>
        </w:rPr>
        <w:t>.</w:t>
      </w:r>
      <w:r w:rsidRPr="00003371">
        <w:rPr>
          <w:rFonts w:cstheme="minorHAnsi"/>
          <w:szCs w:val="24"/>
        </w:rPr>
        <w:t xml:space="preserve"> Z toho pět daňových subjektů vyzvaly dva kontrolované FÚ k podání daňového přiznání až</w:t>
      </w:r>
      <w:r>
        <w:rPr>
          <w:rFonts w:cstheme="minorHAnsi"/>
          <w:szCs w:val="24"/>
        </w:rPr>
        <w:t xml:space="preserve"> po uplynutí prekluzivní lhůty pro stanovení </w:t>
      </w:r>
      <w:r w:rsidRPr="00003371">
        <w:rPr>
          <w:rFonts w:cstheme="minorHAnsi"/>
          <w:szCs w:val="24"/>
        </w:rPr>
        <w:t>daňové povinnosti za roky 2007</w:t>
      </w:r>
      <w:r w:rsidR="002E3881">
        <w:rPr>
          <w:rFonts w:cstheme="minorHAnsi"/>
          <w:szCs w:val="24"/>
        </w:rPr>
        <w:t>–</w:t>
      </w:r>
      <w:r w:rsidRPr="00003371">
        <w:rPr>
          <w:rFonts w:cstheme="minorHAnsi"/>
          <w:szCs w:val="24"/>
        </w:rPr>
        <w:t xml:space="preserve">2012. </w:t>
      </w:r>
      <w:r w:rsidR="0081168F">
        <w:rPr>
          <w:rFonts w:cstheme="minorHAnsi"/>
          <w:szCs w:val="24"/>
        </w:rPr>
        <w:t>K</w:t>
      </w:r>
      <w:r>
        <w:rPr>
          <w:rFonts w:cstheme="minorHAnsi"/>
          <w:szCs w:val="24"/>
        </w:rPr>
        <w:t xml:space="preserve">ontrolní mechanismy </w:t>
      </w:r>
      <w:r w:rsidR="00CD718A">
        <w:rPr>
          <w:rFonts w:cstheme="minorHAnsi"/>
          <w:szCs w:val="24"/>
        </w:rPr>
        <w:t xml:space="preserve">zavedené v roce 2014 </w:t>
      </w:r>
      <w:r w:rsidR="00930D76">
        <w:rPr>
          <w:rFonts w:cstheme="minorHAnsi"/>
          <w:szCs w:val="24"/>
        </w:rPr>
        <w:t xml:space="preserve">již </w:t>
      </w:r>
      <w:r>
        <w:rPr>
          <w:rFonts w:cstheme="minorHAnsi"/>
          <w:szCs w:val="24"/>
        </w:rPr>
        <w:t xml:space="preserve">správcům daně </w:t>
      </w:r>
      <w:r w:rsidR="00930D76">
        <w:rPr>
          <w:rFonts w:cstheme="minorHAnsi"/>
          <w:szCs w:val="24"/>
        </w:rPr>
        <w:t xml:space="preserve">umožňují </w:t>
      </w:r>
      <w:r>
        <w:rPr>
          <w:rFonts w:cstheme="minorHAnsi"/>
          <w:szCs w:val="24"/>
        </w:rPr>
        <w:t xml:space="preserve">riziko prekluze minimalizovat. </w:t>
      </w:r>
    </w:p>
    <w:p w14:paraId="323CCEC5" w14:textId="77777777" w:rsidR="00FB00A9" w:rsidRPr="008D6012" w:rsidRDefault="00FB00A9" w:rsidP="001352AC">
      <w:pPr>
        <w:pStyle w:val="Protokol"/>
        <w:rPr>
          <w:b/>
        </w:rPr>
      </w:pPr>
      <w:r w:rsidRPr="008D6012">
        <w:rPr>
          <w:b/>
        </w:rPr>
        <w:t>Nedoplatky</w:t>
      </w:r>
    </w:p>
    <w:p w14:paraId="61D52691" w14:textId="09DB2C8C" w:rsidR="00FB00A9" w:rsidRDefault="00FB00A9" w:rsidP="001352AC">
      <w:pPr>
        <w:pStyle w:val="Protokol"/>
      </w:pPr>
      <w:r w:rsidRPr="004E6F66">
        <w:t>K 31. 12. 201</w:t>
      </w:r>
      <w:r>
        <w:t>4</w:t>
      </w:r>
      <w:r w:rsidRPr="004E6F66">
        <w:t xml:space="preserve"> činily nedoplatky na dani z nemovitých věcí celkem 913 mil. Kč</w:t>
      </w:r>
      <w:r>
        <w:t xml:space="preserve">, o tuto částku byly </w:t>
      </w:r>
      <w:r w:rsidR="00E40CFA">
        <w:t xml:space="preserve">sníženy </w:t>
      </w:r>
      <w:r>
        <w:t xml:space="preserve">příjmy obcí. </w:t>
      </w:r>
    </w:p>
    <w:p w14:paraId="4935820F" w14:textId="3848AD2F" w:rsidR="00FB00A9" w:rsidRPr="000779A8" w:rsidRDefault="00FB00A9" w:rsidP="001352AC">
      <w:pPr>
        <w:pStyle w:val="Protokol"/>
      </w:pPr>
      <w:r w:rsidRPr="00BA0532">
        <w:t xml:space="preserve">Na kontrolovaných FÚ dosáhly nedoplatky </w:t>
      </w:r>
      <w:r w:rsidR="0081168F" w:rsidRPr="00BA0532">
        <w:t xml:space="preserve">na dani z nemovitých věcí </w:t>
      </w:r>
      <w:r w:rsidR="00856FE0" w:rsidRPr="00BA0532">
        <w:t xml:space="preserve">evidované </w:t>
      </w:r>
      <w:r w:rsidR="00DB641D">
        <w:t>na 75 135 </w:t>
      </w:r>
      <w:r w:rsidR="0081168F" w:rsidRPr="00BA0532">
        <w:t xml:space="preserve">osobních daňových účtech </w:t>
      </w:r>
      <w:r w:rsidRPr="00BA0532">
        <w:t>výše</w:t>
      </w:r>
      <w:r>
        <w:t xml:space="preserve"> 520 mil. Kč. Z tohoto počtu byly na 65 609 osobních daňových účtech evidovány tzv. bagatelní daňové nedoplatky (do 5 000 Kč) v celkové výši 55,7 mil. Kč. Tzv. ostatní nedoplatky (5 001 </w:t>
      </w:r>
      <w:r w:rsidR="00E40CFA">
        <w:t>až</w:t>
      </w:r>
      <w:r>
        <w:t xml:space="preserve"> 499 999 Kč) byly evidovány na 9 394 osobních účtech ve výši 295 mil. Kč a tzv. zvláštní nedoplatky (od 500 tis. Kč) </w:t>
      </w:r>
      <w:r w:rsidR="00D94838" w:rsidRPr="000779A8">
        <w:t xml:space="preserve">byly vykázány na </w:t>
      </w:r>
      <w:r w:rsidR="00DB641D">
        <w:t>132 </w:t>
      </w:r>
      <w:r w:rsidRPr="000779A8">
        <w:t>osobních daňových účt</w:t>
      </w:r>
      <w:r w:rsidR="00242133" w:rsidRPr="000779A8">
        <w:t>ech</w:t>
      </w:r>
      <w:r w:rsidRPr="000779A8">
        <w:t xml:space="preserve"> ve výši 169 mil. Kč. </w:t>
      </w:r>
    </w:p>
    <w:p w14:paraId="24CB5D2E" w14:textId="5728B200" w:rsidR="00FB00A9" w:rsidRPr="008A4FC6" w:rsidRDefault="00FB00A9" w:rsidP="001352AC">
      <w:pPr>
        <w:pStyle w:val="Protokol"/>
      </w:pPr>
      <w:r w:rsidRPr="007E65BD">
        <w:t>Místně příslušným správcem daně z nemovitých věcí je FÚ</w:t>
      </w:r>
      <w:r>
        <w:t>,</w:t>
      </w:r>
      <w:r w:rsidRPr="007E65BD">
        <w:t xml:space="preserve"> </w:t>
      </w:r>
      <w:r>
        <w:t xml:space="preserve">na jehož území </w:t>
      </w:r>
      <w:r w:rsidRPr="007E65BD">
        <w:t xml:space="preserve">se nemovitost nachází. Daňové povinnosti poplatníka za </w:t>
      </w:r>
      <w:r>
        <w:t xml:space="preserve">více </w:t>
      </w:r>
      <w:r w:rsidRPr="007E65BD">
        <w:t>nemovitos</w:t>
      </w:r>
      <w:r w:rsidRPr="00861323">
        <w:t>t</w:t>
      </w:r>
      <w:r w:rsidR="00242133" w:rsidRPr="00861323">
        <w:t>í</w:t>
      </w:r>
      <w:r>
        <w:t xml:space="preserve"> na území téhož kraje</w:t>
      </w:r>
      <w:r w:rsidRPr="007E65BD">
        <w:t xml:space="preserve"> spravuje jedno tzv. spravující ÚP. </w:t>
      </w:r>
      <w:r w:rsidR="00737742">
        <w:t>Daňové povinnosti poplatníka s nemovitostmi na území více krajů spravují různé FÚ</w:t>
      </w:r>
      <w:r w:rsidRPr="007E65BD">
        <w:t xml:space="preserve">. </w:t>
      </w:r>
      <w:r w:rsidRPr="000779A8">
        <w:t xml:space="preserve">V  </w:t>
      </w:r>
      <w:r w:rsidR="00D94838" w:rsidRPr="000779A8">
        <w:t xml:space="preserve">tomto </w:t>
      </w:r>
      <w:r w:rsidRPr="000779A8">
        <w:t>případ</w:t>
      </w:r>
      <w:r w:rsidR="00D94838" w:rsidRPr="000779A8">
        <w:t>ě</w:t>
      </w:r>
      <w:r w:rsidRPr="000779A8">
        <w:t xml:space="preserve"> </w:t>
      </w:r>
      <w:r w:rsidRPr="008A4FC6">
        <w:t xml:space="preserve">zákon neumožňuje sloučení </w:t>
      </w:r>
      <w:r>
        <w:t xml:space="preserve">nedoplatků </w:t>
      </w:r>
      <w:r w:rsidRPr="008A4FC6">
        <w:t>k</w:t>
      </w:r>
      <w:r>
        <w:t> </w:t>
      </w:r>
      <w:r w:rsidRPr="008A4FC6">
        <w:t>vymáhání</w:t>
      </w:r>
      <w:r>
        <w:t xml:space="preserve"> u</w:t>
      </w:r>
      <w:r w:rsidR="00E40CFA">
        <w:t> </w:t>
      </w:r>
      <w:r>
        <w:t>jednoho FÚ.</w:t>
      </w:r>
      <w:r w:rsidRPr="008A4FC6">
        <w:t xml:space="preserve"> </w:t>
      </w:r>
    </w:p>
    <w:p w14:paraId="28C27E7C" w14:textId="315ABD11" w:rsidR="00FB00A9" w:rsidRDefault="00FB00A9" w:rsidP="001352AC">
      <w:pPr>
        <w:pStyle w:val="Protokol"/>
      </w:pPr>
      <w:r>
        <w:t xml:space="preserve">Vymáhání bagatelních nedoplatků není pro finanční správu </w:t>
      </w:r>
      <w:r w:rsidRPr="00F25976">
        <w:t>prioritou</w:t>
      </w:r>
      <w:r>
        <w:t xml:space="preserve"> a lze očekávat, že </w:t>
      </w:r>
      <w:r w:rsidR="003F3F92">
        <w:t xml:space="preserve">se </w:t>
      </w:r>
      <w:r>
        <w:t xml:space="preserve">vymahatelnost </w:t>
      </w:r>
      <w:r w:rsidR="003F3F92">
        <w:t xml:space="preserve">ještě </w:t>
      </w:r>
      <w:r>
        <w:t xml:space="preserve">zhorší, neboť od listopadu roku 2015 prodloužilo GFŘ lhůtu pro předání těchto nedoplatků </w:t>
      </w:r>
      <w:r w:rsidR="00861323">
        <w:t>k</w:t>
      </w:r>
      <w:r>
        <w:t xml:space="preserve"> vymáhání </w:t>
      </w:r>
      <w:r w:rsidR="003302BF">
        <w:t xml:space="preserve">z šesti </w:t>
      </w:r>
      <w:r>
        <w:t xml:space="preserve">na 24 měsíců od vzniku nedoplatku a lhůtu pro zahájení vymáhání </w:t>
      </w:r>
      <w:r w:rsidR="003302BF">
        <w:t xml:space="preserve">ze tří </w:t>
      </w:r>
      <w:r w:rsidR="003411CE" w:rsidRPr="00BC7FF7">
        <w:t>na devět</w:t>
      </w:r>
      <w:r w:rsidRPr="00BC7FF7">
        <w:t xml:space="preserve"> měsíců</w:t>
      </w:r>
      <w:r w:rsidR="00D94838" w:rsidRPr="00BC7FF7">
        <w:t xml:space="preserve"> </w:t>
      </w:r>
      <w:r w:rsidR="00D94838" w:rsidRPr="003302BF">
        <w:t xml:space="preserve">od předání </w:t>
      </w:r>
      <w:r w:rsidR="003F3F92">
        <w:t>k</w:t>
      </w:r>
      <w:r w:rsidR="00D94838" w:rsidRPr="003302BF">
        <w:t xml:space="preserve"> vymáhání</w:t>
      </w:r>
      <w:r w:rsidR="003302BF" w:rsidRPr="003302BF">
        <w:t>.</w:t>
      </w:r>
      <w:r w:rsidRPr="003302BF">
        <w:t xml:space="preserve"> </w:t>
      </w:r>
      <w:r w:rsidR="003302BF" w:rsidRPr="003302BF">
        <w:t>V</w:t>
      </w:r>
      <w:r w:rsidR="003F3F92">
        <w:t> nejdelší variantě</w:t>
      </w:r>
      <w:r w:rsidRPr="003302BF">
        <w:t xml:space="preserve"> může být vymáhání zahájeno až </w:t>
      </w:r>
      <w:r w:rsidR="00684B43" w:rsidRPr="003302BF">
        <w:t>za</w:t>
      </w:r>
      <w:r w:rsidRPr="003302BF">
        <w:t xml:space="preserve"> 33 měsíců od vzniku nedoplatku</w:t>
      </w:r>
      <w:r w:rsidR="003302BF" w:rsidRPr="003302BF">
        <w:t xml:space="preserve"> místo</w:t>
      </w:r>
      <w:r w:rsidR="003302BF">
        <w:t xml:space="preserve"> </w:t>
      </w:r>
      <w:r w:rsidR="003302BF" w:rsidRPr="00BC7FF7">
        <w:t xml:space="preserve">původních </w:t>
      </w:r>
      <w:r w:rsidR="003411CE" w:rsidRPr="00BC7FF7">
        <w:t>devíti</w:t>
      </w:r>
      <w:r w:rsidR="003302BF" w:rsidRPr="00BC7FF7">
        <w:t xml:space="preserve"> </w:t>
      </w:r>
      <w:r w:rsidR="003302BF">
        <w:t>měsíců</w:t>
      </w:r>
      <w:r>
        <w:t>.</w:t>
      </w:r>
    </w:p>
    <w:p w14:paraId="487B2D8B" w14:textId="01141084" w:rsidR="00FB00A9" w:rsidRPr="005012BD" w:rsidRDefault="00FB00A9" w:rsidP="001352AC">
      <w:pPr>
        <w:pStyle w:val="Protokol"/>
      </w:pPr>
      <w:r>
        <w:t>Na Slovensku je rozdílná právní úprava</w:t>
      </w:r>
      <w:r w:rsidR="00F46FA2">
        <w:rPr>
          <w:rStyle w:val="Znakapoznpodarou"/>
        </w:rPr>
        <w:footnoteReference w:id="6"/>
      </w:r>
      <w:r w:rsidR="00737742">
        <w:t xml:space="preserve"> správy daně z nemovitostí</w:t>
      </w:r>
      <w:r>
        <w:t>. Obce jsou nejen příjemcem, ale i správcem daně z nemovitost</w:t>
      </w:r>
      <w:r w:rsidR="00BC7FF7">
        <w:t>í</w:t>
      </w:r>
      <w:r>
        <w:t>. Podíl příjmů z daně z nemovitostí na celkových daňových příjmech je na Slovensku přibližně stejný jako v České republice, tj.</w:t>
      </w:r>
      <w:r w:rsidR="002E3881">
        <w:t> </w:t>
      </w:r>
      <w:r>
        <w:t>1,5</w:t>
      </w:r>
      <w:r w:rsidR="002E3881">
        <w:t> </w:t>
      </w:r>
      <w:r>
        <w:t xml:space="preserve">%. </w:t>
      </w:r>
    </w:p>
    <w:p w14:paraId="388F06D0" w14:textId="5C8D8C4C" w:rsidR="00CE5710" w:rsidRDefault="008B3FA1" w:rsidP="00CE5710">
      <w:pPr>
        <w:pStyle w:val="Protokol"/>
      </w:pPr>
      <w:r>
        <w:t>Výši nedoplatků na dani z nemovitostí na Slovensku</w:t>
      </w:r>
      <w:r w:rsidR="00CE5710" w:rsidRPr="005012BD">
        <w:t xml:space="preserve"> </w:t>
      </w:r>
      <w:r>
        <w:t xml:space="preserve">neměl NKÚ k dispozici, </w:t>
      </w:r>
      <w:r w:rsidR="00CE5710" w:rsidRPr="005012BD">
        <w:t>nemohl</w:t>
      </w:r>
      <w:r w:rsidR="003F3F92">
        <w:t xml:space="preserve"> proto</w:t>
      </w:r>
      <w:r w:rsidR="00CE5710" w:rsidRPr="005012BD">
        <w:t xml:space="preserve"> posoudit, zda </w:t>
      </w:r>
      <w:r w:rsidR="003F3F92" w:rsidRPr="005012BD">
        <w:t xml:space="preserve">je </w:t>
      </w:r>
      <w:r w:rsidR="00CE5710" w:rsidRPr="005012BD">
        <w:t xml:space="preserve">z pohledu objemu nedoplatků efektivnější, spravují-li daň přímo její příjemci, tedy obce, nebo jako v případě </w:t>
      </w:r>
      <w:r w:rsidR="003F3F92">
        <w:t xml:space="preserve">České republiky </w:t>
      </w:r>
      <w:r w:rsidR="00CE5710" w:rsidRPr="005012BD">
        <w:t>finanční správa</w:t>
      </w:r>
      <w:r w:rsidR="008D1169">
        <w:t>.</w:t>
      </w:r>
    </w:p>
    <w:p w14:paraId="620520D1" w14:textId="77777777" w:rsidR="008D1169" w:rsidRDefault="008D1169" w:rsidP="00CE5710">
      <w:pPr>
        <w:pStyle w:val="Protokol"/>
      </w:pPr>
    </w:p>
    <w:p w14:paraId="79C8E829" w14:textId="77777777" w:rsidR="007E527B" w:rsidRDefault="007E527B">
      <w:pPr>
        <w:spacing w:after="160" w:line="259" w:lineRule="auto"/>
        <w:jc w:val="left"/>
        <w:rPr>
          <w:rFonts w:eastAsiaTheme="majorEastAsia" w:cstheme="majorBidi"/>
          <w:b/>
          <w:bCs/>
          <w:sz w:val="28"/>
          <w:szCs w:val="26"/>
        </w:rPr>
      </w:pPr>
      <w:r>
        <w:br w:type="page"/>
      </w:r>
    </w:p>
    <w:p w14:paraId="2B7F5EDD" w14:textId="3CBC5B14" w:rsidR="008D1169" w:rsidRPr="00990B20" w:rsidRDefault="008D1169" w:rsidP="00990B20">
      <w:pPr>
        <w:pStyle w:val="Nadpis2"/>
        <w:numPr>
          <w:ilvl w:val="0"/>
          <w:numId w:val="2"/>
        </w:numPr>
        <w:shd w:val="clear" w:color="auto" w:fill="E3EBF3"/>
        <w:ind w:left="426" w:hanging="426"/>
      </w:pPr>
      <w:r w:rsidRPr="00990B20">
        <w:lastRenderedPageBreak/>
        <w:t>Daň z nabytí nemovitých věcí</w:t>
      </w:r>
    </w:p>
    <w:p w14:paraId="50670266" w14:textId="77777777" w:rsidR="00FB00A9" w:rsidRPr="00466EB8" w:rsidRDefault="005948E9" w:rsidP="001352AC">
      <w:pPr>
        <w:pStyle w:val="Protokol"/>
        <w:rPr>
          <w:b/>
        </w:rPr>
      </w:pPr>
      <w:r>
        <w:rPr>
          <w:b/>
        </w:rPr>
        <w:t xml:space="preserve">Tabulka č. </w:t>
      </w:r>
      <w:r w:rsidR="001667E8">
        <w:rPr>
          <w:b/>
        </w:rPr>
        <w:t>4</w:t>
      </w:r>
      <w:r w:rsidR="00FB00A9">
        <w:rPr>
          <w:b/>
        </w:rPr>
        <w:t xml:space="preserve"> </w:t>
      </w:r>
      <w:r w:rsidR="002E3881">
        <w:rPr>
          <w:b/>
        </w:rPr>
        <w:t>–</w:t>
      </w:r>
      <w:r w:rsidR="00FB00A9">
        <w:rPr>
          <w:b/>
        </w:rPr>
        <w:t xml:space="preserve"> </w:t>
      </w:r>
      <w:r w:rsidR="00FB00A9" w:rsidRPr="00466EB8">
        <w:rPr>
          <w:b/>
        </w:rPr>
        <w:t xml:space="preserve">Statistické údaje </w:t>
      </w:r>
      <w:r w:rsidR="00FB00A9">
        <w:rPr>
          <w:b/>
        </w:rPr>
        <w:t>k</w:t>
      </w:r>
      <w:r w:rsidR="00975CC0">
        <w:rPr>
          <w:b/>
        </w:rPr>
        <w:t> </w:t>
      </w:r>
      <w:r w:rsidR="00FB00A9">
        <w:rPr>
          <w:b/>
        </w:rPr>
        <w:t>31</w:t>
      </w:r>
      <w:r w:rsidR="00975CC0">
        <w:rPr>
          <w:b/>
        </w:rPr>
        <w:t>.</w:t>
      </w:r>
      <w:r w:rsidR="00FB00A9">
        <w:rPr>
          <w:b/>
        </w:rPr>
        <w:t xml:space="preserve"> 12. (FS ČR)</w:t>
      </w:r>
    </w:p>
    <w:bookmarkStart w:id="43" w:name="_MON_1514014806"/>
    <w:bookmarkStart w:id="44" w:name="_MON_1513514906"/>
    <w:bookmarkStart w:id="45" w:name="_MON_1513604960"/>
    <w:bookmarkEnd w:id="43"/>
    <w:bookmarkEnd w:id="44"/>
    <w:bookmarkEnd w:id="45"/>
    <w:bookmarkStart w:id="46" w:name="_MON_1514098262"/>
    <w:bookmarkEnd w:id="46"/>
    <w:p w14:paraId="1AD3F326" w14:textId="77777777" w:rsidR="00174833" w:rsidRPr="00D379E3" w:rsidRDefault="00685E76" w:rsidP="00174833">
      <w:pPr>
        <w:pStyle w:val="Protokol"/>
        <w:spacing w:after="0"/>
        <w:rPr>
          <w:sz w:val="20"/>
        </w:rPr>
      </w:pPr>
      <w:r w:rsidRPr="00466EB8">
        <w:rPr>
          <w:b/>
        </w:rPr>
        <w:object w:dxaOrig="9888" w:dyaOrig="2976" w14:anchorId="5C3179B0">
          <v:shape id="_x0000_i1028" type="#_x0000_t75" style="width:489.75pt;height:150.75pt" o:ole="" o:bordertopcolor="this" o:borderleftcolor="this">
            <v:imagedata r:id="rId15" o:title=""/>
            <w10:bordertop type="single" width="8"/>
            <w10:borderleft type="single" width="8"/>
          </v:shape>
          <o:OLEObject Type="Embed" ProgID="Excel.Sheet.12" ShapeID="_x0000_i1028" DrawAspect="Content" ObjectID="_1519634013" r:id="rId16"/>
        </w:object>
      </w:r>
      <w:bookmarkStart w:id="47" w:name="_MON_1513514447"/>
      <w:bookmarkEnd w:id="47"/>
      <w:r w:rsidR="00174833" w:rsidRPr="00D379E3">
        <w:rPr>
          <w:b/>
          <w:sz w:val="20"/>
        </w:rPr>
        <w:t>Zdroj:</w:t>
      </w:r>
      <w:r w:rsidR="00174833" w:rsidRPr="00D379E3">
        <w:rPr>
          <w:sz w:val="20"/>
        </w:rPr>
        <w:t xml:space="preserve"> GFŘ a vlastní zpracování NKÚ.</w:t>
      </w:r>
    </w:p>
    <w:p w14:paraId="5023C874" w14:textId="6DE767CE" w:rsidR="00FB00A9" w:rsidRPr="00D379E3" w:rsidRDefault="00FB00A9" w:rsidP="002924B7">
      <w:pPr>
        <w:pStyle w:val="Protokol"/>
        <w:spacing w:after="0"/>
        <w:ind w:left="284" w:hanging="284"/>
        <w:rPr>
          <w:sz w:val="20"/>
          <w:szCs w:val="20"/>
        </w:rPr>
      </w:pPr>
      <w:r w:rsidRPr="00D379E3">
        <w:rPr>
          <w:sz w:val="20"/>
          <w:szCs w:val="20"/>
        </w:rPr>
        <w:t>*</w:t>
      </w:r>
      <w:r w:rsidR="00174833" w:rsidRPr="00D379E3">
        <w:rPr>
          <w:sz w:val="20"/>
          <w:szCs w:val="20"/>
        </w:rPr>
        <w:t xml:space="preserve"> </w:t>
      </w:r>
      <w:r w:rsidR="002924B7">
        <w:rPr>
          <w:sz w:val="20"/>
          <w:szCs w:val="20"/>
        </w:rPr>
        <w:tab/>
      </w:r>
      <w:r w:rsidRPr="00D379E3">
        <w:rPr>
          <w:sz w:val="20"/>
          <w:szCs w:val="20"/>
        </w:rPr>
        <w:t>Jedná se o počet osobních daňových účtů, na kterých lze vytvořit předpis, přijmout platbu atd.</w:t>
      </w:r>
    </w:p>
    <w:p w14:paraId="07CDE735" w14:textId="77777777" w:rsidR="00FB00A9" w:rsidRPr="00D379E3" w:rsidRDefault="00FB00A9" w:rsidP="002924B7">
      <w:pPr>
        <w:pStyle w:val="Protokol"/>
        <w:spacing w:after="0"/>
        <w:ind w:left="284" w:hanging="284"/>
        <w:rPr>
          <w:sz w:val="20"/>
          <w:szCs w:val="20"/>
        </w:rPr>
      </w:pPr>
      <w:r w:rsidRPr="00D379E3">
        <w:rPr>
          <w:sz w:val="20"/>
          <w:szCs w:val="20"/>
        </w:rPr>
        <w:t xml:space="preserve">** </w:t>
      </w:r>
      <w:r w:rsidR="002924B7">
        <w:rPr>
          <w:sz w:val="20"/>
          <w:szCs w:val="20"/>
        </w:rPr>
        <w:tab/>
      </w:r>
      <w:r w:rsidRPr="00D379E3">
        <w:rPr>
          <w:sz w:val="20"/>
          <w:szCs w:val="20"/>
        </w:rPr>
        <w:t>Jedná se o počet osobních daňových účtů s</w:t>
      </w:r>
      <w:r w:rsidR="00A53E05" w:rsidRPr="00D379E3">
        <w:rPr>
          <w:sz w:val="20"/>
          <w:szCs w:val="20"/>
        </w:rPr>
        <w:t> </w:t>
      </w:r>
      <w:r w:rsidRPr="00D379E3">
        <w:rPr>
          <w:sz w:val="20"/>
          <w:szCs w:val="20"/>
        </w:rPr>
        <w:t>nedoplatkem</w:t>
      </w:r>
      <w:r w:rsidR="00A53E05" w:rsidRPr="00D379E3">
        <w:rPr>
          <w:sz w:val="20"/>
          <w:szCs w:val="20"/>
        </w:rPr>
        <w:t>.</w:t>
      </w:r>
    </w:p>
    <w:p w14:paraId="7CE5A53E" w14:textId="77777777" w:rsidR="00FB00A9" w:rsidRDefault="00FB00A9" w:rsidP="001352AC">
      <w:pPr>
        <w:pStyle w:val="Protokol"/>
        <w:spacing w:after="0"/>
        <w:rPr>
          <w:sz w:val="20"/>
        </w:rPr>
      </w:pPr>
    </w:p>
    <w:p w14:paraId="1101403A" w14:textId="77777777" w:rsidR="00FB00A9" w:rsidRDefault="00C63BDC" w:rsidP="00754071">
      <w:pPr>
        <w:pStyle w:val="Protokol"/>
      </w:pPr>
      <w:r>
        <w:t>Údaje uvedené v tabulce u daně z převodu nemovitostí za rok 20</w:t>
      </w:r>
      <w:r w:rsidRPr="00BA0532">
        <w:t xml:space="preserve">14 </w:t>
      </w:r>
      <w:r w:rsidR="00BA0532" w:rsidRPr="00BA0532">
        <w:t>představují</w:t>
      </w:r>
      <w:r>
        <w:t xml:space="preserve"> doběh daňových povinností vyměřených podle právní úpravy </w:t>
      </w:r>
      <w:r w:rsidR="005012BD">
        <w:t>účinné</w:t>
      </w:r>
      <w:r>
        <w:t xml:space="preserve"> do 31. 12. 2013. </w:t>
      </w:r>
      <w:bookmarkStart w:id="48" w:name="_MON_1513515559"/>
      <w:bookmarkEnd w:id="48"/>
      <w:r w:rsidR="00673E64" w:rsidRPr="008910ED">
        <w:t>Důvodem rozdílu mezi inkasem a daňovou povinností</w:t>
      </w:r>
      <w:r w:rsidR="00673E64">
        <w:t xml:space="preserve"> daně z nabytí nemovitých věcí </w:t>
      </w:r>
      <w:r w:rsidR="00BA0532">
        <w:t>ve výši cca 2 mld. </w:t>
      </w:r>
      <w:r w:rsidR="00673E64" w:rsidRPr="008910ED">
        <w:t>Kč byl v roce 2014 vysoký podíl nevyměřených podaných daňových přiznání a</w:t>
      </w:r>
      <w:r w:rsidR="00673E64">
        <w:t> </w:t>
      </w:r>
      <w:r w:rsidR="00673E64" w:rsidRPr="008910ED">
        <w:t xml:space="preserve">zálohové placení </w:t>
      </w:r>
      <w:r w:rsidR="00DC1E4E">
        <w:t xml:space="preserve">daně </w:t>
      </w:r>
      <w:r w:rsidR="00673E64" w:rsidRPr="008910ED">
        <w:t xml:space="preserve">při použití směrné hodnoty pro stanovení základu daně.  </w:t>
      </w:r>
    </w:p>
    <w:p w14:paraId="7809A418" w14:textId="77777777" w:rsidR="00CF67A3" w:rsidRPr="00121B81" w:rsidRDefault="00861323" w:rsidP="00754071">
      <w:pPr>
        <w:spacing w:line="276" w:lineRule="auto"/>
        <w:rPr>
          <w:rFonts w:cstheme="minorHAnsi"/>
          <w:szCs w:val="24"/>
        </w:rPr>
      </w:pPr>
      <w:bookmarkStart w:id="49" w:name="_MON_1514019485"/>
      <w:bookmarkEnd w:id="49"/>
      <w:r w:rsidRPr="00861323">
        <w:rPr>
          <w:rFonts w:cstheme="minorHAnsi"/>
          <w:szCs w:val="24"/>
        </w:rPr>
        <w:t>Podle právní úpravy účinné do 31. 12. 2013 byla základem daně cena zjištěná podle znaleckého posudku nebo cena sjednaná, pokud převyšovala cenu zjištěnou</w:t>
      </w:r>
      <w:r w:rsidR="00CF67A3" w:rsidRPr="00737742">
        <w:rPr>
          <w:rFonts w:cstheme="minorHAnsi"/>
          <w:szCs w:val="24"/>
        </w:rPr>
        <w:t>. Od 1. 1. 2014 je základem daně nabývací hodnota snížená</w:t>
      </w:r>
      <w:r w:rsidR="00CF67A3" w:rsidRPr="00121B81">
        <w:rPr>
          <w:rFonts w:cstheme="minorHAnsi"/>
          <w:szCs w:val="24"/>
        </w:rPr>
        <w:t xml:space="preserve"> o uznatelný výdaj.</w:t>
      </w:r>
      <w:r w:rsidR="00CF67A3">
        <w:rPr>
          <w:rFonts w:cstheme="minorHAnsi"/>
          <w:szCs w:val="24"/>
        </w:rPr>
        <w:t xml:space="preserve"> Nabývací hodnotou může být </w:t>
      </w:r>
      <w:r w:rsidR="00CF67A3" w:rsidRPr="008151A6">
        <w:rPr>
          <w:rFonts w:cstheme="minorHAnsi"/>
          <w:szCs w:val="24"/>
        </w:rPr>
        <w:t>sjednaná cena,</w:t>
      </w:r>
      <w:r w:rsidR="00CF67A3">
        <w:rPr>
          <w:rFonts w:cstheme="minorHAnsi"/>
          <w:szCs w:val="24"/>
        </w:rPr>
        <w:t xml:space="preserve"> </w:t>
      </w:r>
      <w:r w:rsidR="00737742">
        <w:rPr>
          <w:rFonts w:cstheme="minorHAnsi"/>
          <w:szCs w:val="24"/>
        </w:rPr>
        <w:t>zjištěná cena,</w:t>
      </w:r>
      <w:r w:rsidR="00CF67A3" w:rsidRPr="008151A6">
        <w:rPr>
          <w:rFonts w:cstheme="minorHAnsi"/>
          <w:szCs w:val="24"/>
        </w:rPr>
        <w:t xml:space="preserve"> zvláštní cena</w:t>
      </w:r>
      <w:r w:rsidR="00737742" w:rsidRPr="00737742">
        <w:rPr>
          <w:rFonts w:cstheme="minorHAnsi"/>
          <w:szCs w:val="24"/>
        </w:rPr>
        <w:t xml:space="preserve"> </w:t>
      </w:r>
      <w:r w:rsidR="00737742">
        <w:rPr>
          <w:rFonts w:cstheme="minorHAnsi"/>
          <w:szCs w:val="24"/>
        </w:rPr>
        <w:t xml:space="preserve">nebo </w:t>
      </w:r>
      <w:r w:rsidR="00737742" w:rsidRPr="008151A6">
        <w:rPr>
          <w:rFonts w:cstheme="minorHAnsi"/>
          <w:szCs w:val="24"/>
        </w:rPr>
        <w:t>srovnávací daňová hodnota</w:t>
      </w:r>
      <w:r w:rsidR="00CF67A3" w:rsidRPr="008151A6">
        <w:rPr>
          <w:rFonts w:cstheme="minorHAnsi"/>
          <w:szCs w:val="24"/>
        </w:rPr>
        <w:t>.</w:t>
      </w:r>
    </w:p>
    <w:p w14:paraId="24E9214F" w14:textId="510B406E" w:rsidR="00737742" w:rsidRDefault="00FB00A9" w:rsidP="001352AC">
      <w:pPr>
        <w:spacing w:line="276" w:lineRule="auto"/>
        <w:rPr>
          <w:rFonts w:cstheme="minorHAnsi"/>
          <w:szCs w:val="24"/>
        </w:rPr>
      </w:pPr>
      <w:r w:rsidRPr="008151A6">
        <w:rPr>
          <w:rFonts w:cstheme="minorHAnsi"/>
          <w:b/>
          <w:szCs w:val="24"/>
        </w:rPr>
        <w:t>Sjednaná cena</w:t>
      </w:r>
      <w:r>
        <w:rPr>
          <w:rFonts w:cstheme="minorHAnsi"/>
          <w:b/>
          <w:szCs w:val="24"/>
        </w:rPr>
        <w:t xml:space="preserve"> </w:t>
      </w:r>
      <w:r w:rsidRPr="002E3881">
        <w:rPr>
          <w:rFonts w:cstheme="minorHAnsi"/>
          <w:szCs w:val="24"/>
        </w:rPr>
        <w:t>–</w:t>
      </w:r>
      <w:r>
        <w:rPr>
          <w:rFonts w:cstheme="minorHAnsi"/>
          <w:szCs w:val="24"/>
        </w:rPr>
        <w:t xml:space="preserve"> </w:t>
      </w:r>
      <w:r w:rsidRPr="008151A6">
        <w:rPr>
          <w:rFonts w:cstheme="minorHAnsi"/>
          <w:szCs w:val="24"/>
        </w:rPr>
        <w:t>úplata za nabytí vlastnického práva k nemovité věci.</w:t>
      </w:r>
      <w:r>
        <w:rPr>
          <w:rFonts w:cstheme="minorHAnsi"/>
          <w:szCs w:val="24"/>
        </w:rPr>
        <w:t xml:space="preserve"> Sjednaná cena je základem daně, pokud je vyšší nebo rovna srovnávací daňové hodnotě, nebo</w:t>
      </w:r>
      <w:r w:rsidR="003D7F0D">
        <w:rPr>
          <w:rFonts w:cstheme="minorHAnsi"/>
          <w:szCs w:val="24"/>
        </w:rPr>
        <w:t xml:space="preserve"> </w:t>
      </w:r>
      <w:r w:rsidR="003D7F0D" w:rsidRPr="00BA0532">
        <w:rPr>
          <w:rFonts w:cstheme="minorHAnsi"/>
          <w:szCs w:val="24"/>
        </w:rPr>
        <w:t>v případech stanovených</w:t>
      </w:r>
      <w:r w:rsidRPr="00BA0532">
        <w:rPr>
          <w:rFonts w:cstheme="minorHAnsi"/>
          <w:szCs w:val="24"/>
        </w:rPr>
        <w:t xml:space="preserve"> zákonným opatřením č. 340/2013 Sb. (např. nabytí vlastnic</w:t>
      </w:r>
      <w:r>
        <w:rPr>
          <w:rFonts w:cstheme="minorHAnsi"/>
          <w:szCs w:val="24"/>
        </w:rPr>
        <w:t xml:space="preserve">kého práva k nemovité věci územním samosprávným celkem). </w:t>
      </w:r>
    </w:p>
    <w:p w14:paraId="1EAF9F74" w14:textId="37B3A011" w:rsidR="00737742" w:rsidRDefault="00737742" w:rsidP="001352AC">
      <w:pPr>
        <w:spacing w:line="276" w:lineRule="auto"/>
        <w:rPr>
          <w:rFonts w:cstheme="minorHAnsi"/>
          <w:szCs w:val="24"/>
        </w:rPr>
      </w:pPr>
      <w:r w:rsidRPr="008151A6">
        <w:rPr>
          <w:rFonts w:cstheme="minorHAnsi"/>
          <w:b/>
          <w:szCs w:val="24"/>
        </w:rPr>
        <w:t>Zjištěná cena</w:t>
      </w:r>
      <w:r>
        <w:rPr>
          <w:rFonts w:cstheme="minorHAnsi"/>
          <w:b/>
          <w:szCs w:val="24"/>
        </w:rPr>
        <w:t xml:space="preserve"> </w:t>
      </w:r>
      <w:r w:rsidRPr="002E3881">
        <w:rPr>
          <w:rFonts w:cstheme="minorHAnsi"/>
          <w:szCs w:val="24"/>
        </w:rPr>
        <w:t>–</w:t>
      </w:r>
      <w:r w:rsidRPr="008151A6">
        <w:rPr>
          <w:rFonts w:cstheme="minorHAnsi"/>
          <w:szCs w:val="24"/>
        </w:rPr>
        <w:t xml:space="preserve"> cena zjištěná podle zákona upravujícího oceňování majetku.</w:t>
      </w:r>
      <w:r>
        <w:rPr>
          <w:rFonts w:cstheme="minorHAnsi"/>
          <w:szCs w:val="24"/>
        </w:rPr>
        <w:t xml:space="preserve"> </w:t>
      </w:r>
      <w:r>
        <w:rPr>
          <w:szCs w:val="24"/>
        </w:rPr>
        <w:t xml:space="preserve">Užije se v případech, kdy </w:t>
      </w:r>
      <w:r w:rsidRPr="00CA1E1E">
        <w:rPr>
          <w:szCs w:val="24"/>
        </w:rPr>
        <w:t>nelze cenu nemovité věci stanovit jiným způsobem</w:t>
      </w:r>
      <w:r w:rsidR="00BA0532">
        <w:rPr>
          <w:szCs w:val="24"/>
        </w:rPr>
        <w:t>,</w:t>
      </w:r>
      <w:r w:rsidRPr="00CA1E1E">
        <w:rPr>
          <w:szCs w:val="24"/>
        </w:rPr>
        <w:t xml:space="preserve"> nebo </w:t>
      </w:r>
      <w:r w:rsidR="003D7F0D" w:rsidRPr="00BA0532">
        <w:rPr>
          <w:rFonts w:cstheme="minorHAnsi"/>
          <w:szCs w:val="24"/>
        </w:rPr>
        <w:t>v případech stanovených</w:t>
      </w:r>
      <w:r w:rsidR="003D7F0D" w:rsidRPr="00BA0532">
        <w:rPr>
          <w:szCs w:val="24"/>
        </w:rPr>
        <w:t xml:space="preserve"> </w:t>
      </w:r>
      <w:r w:rsidRPr="00BA0532">
        <w:rPr>
          <w:szCs w:val="24"/>
        </w:rPr>
        <w:t>zákonn</w:t>
      </w:r>
      <w:r w:rsidR="003D7F0D" w:rsidRPr="00BA0532">
        <w:rPr>
          <w:szCs w:val="24"/>
        </w:rPr>
        <w:t>ým</w:t>
      </w:r>
      <w:r w:rsidRPr="00BA0532">
        <w:rPr>
          <w:szCs w:val="24"/>
        </w:rPr>
        <w:t xml:space="preserve"> opatření</w:t>
      </w:r>
      <w:r w:rsidR="003D7F0D" w:rsidRPr="00BA0532">
        <w:rPr>
          <w:szCs w:val="24"/>
        </w:rPr>
        <w:t>m</w:t>
      </w:r>
      <w:r w:rsidRPr="00BA0532">
        <w:rPr>
          <w:szCs w:val="24"/>
        </w:rPr>
        <w:t xml:space="preserve"> </w:t>
      </w:r>
      <w:r w:rsidR="003D7F0D" w:rsidRPr="00BA0532">
        <w:rPr>
          <w:szCs w:val="24"/>
        </w:rPr>
        <w:t xml:space="preserve">č. 340/2013 Sb. </w:t>
      </w:r>
      <w:r>
        <w:rPr>
          <w:szCs w:val="24"/>
        </w:rPr>
        <w:t>(např. u finančního leasingu, nabytí vlastnického práva k obchodnímu závodu nebo části).</w:t>
      </w:r>
    </w:p>
    <w:p w14:paraId="5284F11E" w14:textId="0110796E" w:rsidR="00737742" w:rsidRPr="008151A6" w:rsidRDefault="00737742" w:rsidP="001352AC">
      <w:pPr>
        <w:spacing w:line="276" w:lineRule="auto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Zvláštní cena </w:t>
      </w:r>
      <w:r w:rsidRPr="002E3881">
        <w:rPr>
          <w:rFonts w:cstheme="minorHAnsi"/>
          <w:szCs w:val="24"/>
        </w:rPr>
        <w:t>–</w:t>
      </w:r>
      <w:r>
        <w:rPr>
          <w:rFonts w:cstheme="minorHAnsi"/>
          <w:b/>
          <w:szCs w:val="24"/>
        </w:rPr>
        <w:t xml:space="preserve"> </w:t>
      </w:r>
      <w:r w:rsidRPr="008151A6">
        <w:rPr>
          <w:rFonts w:cstheme="minorHAnsi"/>
          <w:szCs w:val="24"/>
        </w:rPr>
        <w:t xml:space="preserve">cena dosažená vydražením nebo </w:t>
      </w:r>
      <w:proofErr w:type="spellStart"/>
      <w:r w:rsidRPr="008151A6">
        <w:rPr>
          <w:rFonts w:cstheme="minorHAnsi"/>
          <w:szCs w:val="24"/>
        </w:rPr>
        <w:t>předražkem</w:t>
      </w:r>
      <w:proofErr w:type="spellEnd"/>
      <w:r w:rsidRPr="008151A6">
        <w:rPr>
          <w:rFonts w:cstheme="minorHAnsi"/>
          <w:szCs w:val="24"/>
        </w:rPr>
        <w:t xml:space="preserve"> při</w:t>
      </w:r>
      <w:r>
        <w:rPr>
          <w:rFonts w:cstheme="minorHAnsi"/>
          <w:szCs w:val="24"/>
        </w:rPr>
        <w:t xml:space="preserve"> </w:t>
      </w:r>
      <w:r w:rsidRPr="008151A6">
        <w:rPr>
          <w:rFonts w:cstheme="minorHAnsi"/>
          <w:szCs w:val="24"/>
        </w:rPr>
        <w:t>výkonu rozhodnutí prodejem nemovité věci podle občanského soudního řádu, exekuc</w:t>
      </w:r>
      <w:r w:rsidR="004E498B">
        <w:rPr>
          <w:rFonts w:cstheme="minorHAnsi"/>
          <w:szCs w:val="24"/>
        </w:rPr>
        <w:t>í</w:t>
      </w:r>
      <w:r w:rsidRPr="008151A6">
        <w:rPr>
          <w:rFonts w:cstheme="minorHAnsi"/>
          <w:szCs w:val="24"/>
        </w:rPr>
        <w:t xml:space="preserve"> prodejem nemovité věci podle exekučního řádu, </w:t>
      </w:r>
      <w:r w:rsidR="00685E76">
        <w:rPr>
          <w:rFonts w:cstheme="minorHAnsi"/>
          <w:szCs w:val="24"/>
        </w:rPr>
        <w:t xml:space="preserve">cena dosažená při </w:t>
      </w:r>
      <w:r w:rsidRPr="008151A6">
        <w:rPr>
          <w:rFonts w:cstheme="minorHAnsi"/>
          <w:szCs w:val="24"/>
        </w:rPr>
        <w:t>daňové exekuci prodejem nemovité věc</w:t>
      </w:r>
      <w:r>
        <w:rPr>
          <w:rFonts w:cstheme="minorHAnsi"/>
          <w:szCs w:val="24"/>
        </w:rPr>
        <w:t>i podle daňového řádu nebo</w:t>
      </w:r>
      <w:r w:rsidRPr="008151A6">
        <w:rPr>
          <w:rFonts w:cstheme="minorHAnsi"/>
          <w:szCs w:val="24"/>
        </w:rPr>
        <w:t xml:space="preserve"> </w:t>
      </w:r>
      <w:r w:rsidR="00685E76">
        <w:rPr>
          <w:rFonts w:cstheme="minorHAnsi"/>
          <w:szCs w:val="24"/>
        </w:rPr>
        <w:t xml:space="preserve">při </w:t>
      </w:r>
      <w:r w:rsidRPr="008151A6">
        <w:rPr>
          <w:rFonts w:cstheme="minorHAnsi"/>
          <w:szCs w:val="24"/>
        </w:rPr>
        <w:t>prodeji nemovité věci ve veřejné dražbě podle zákona upravujícího veřejné dražby.</w:t>
      </w:r>
    </w:p>
    <w:p w14:paraId="5122ECC8" w14:textId="77777777" w:rsidR="00737742" w:rsidRDefault="00737742" w:rsidP="001352AC">
      <w:pPr>
        <w:spacing w:line="276" w:lineRule="auto"/>
        <w:rPr>
          <w:rFonts w:cstheme="minorHAnsi"/>
          <w:szCs w:val="24"/>
        </w:rPr>
      </w:pPr>
      <w:r w:rsidRPr="00DD51A4">
        <w:rPr>
          <w:rFonts w:cstheme="minorHAnsi"/>
          <w:b/>
          <w:szCs w:val="24"/>
        </w:rPr>
        <w:t>Srovnávací daňová hodnota</w:t>
      </w:r>
      <w:r>
        <w:rPr>
          <w:rFonts w:cstheme="minorHAnsi"/>
          <w:b/>
          <w:szCs w:val="24"/>
        </w:rPr>
        <w:t xml:space="preserve"> </w:t>
      </w:r>
      <w:r w:rsidR="002E3881">
        <w:rPr>
          <w:rFonts w:cstheme="minorHAnsi"/>
          <w:szCs w:val="24"/>
        </w:rPr>
        <w:t>–</w:t>
      </w:r>
      <w:r>
        <w:rPr>
          <w:rFonts w:cstheme="minorHAnsi"/>
          <w:b/>
          <w:szCs w:val="24"/>
        </w:rPr>
        <w:t xml:space="preserve"> </w:t>
      </w:r>
      <w:r w:rsidRPr="00DD51A4">
        <w:rPr>
          <w:rFonts w:cstheme="minorHAnsi"/>
          <w:szCs w:val="24"/>
        </w:rPr>
        <w:t>částka odpovídající 75 %</w:t>
      </w:r>
      <w:r>
        <w:rPr>
          <w:rFonts w:cstheme="minorHAnsi"/>
          <w:szCs w:val="24"/>
        </w:rPr>
        <w:t xml:space="preserve"> </w:t>
      </w:r>
      <w:r w:rsidRPr="00DD51A4">
        <w:rPr>
          <w:rFonts w:cstheme="minorHAnsi"/>
          <w:szCs w:val="24"/>
        </w:rPr>
        <w:t xml:space="preserve">směrné hodnoty nebo </w:t>
      </w:r>
      <w:r w:rsidRPr="008910ED">
        <w:rPr>
          <w:rFonts w:cstheme="minorHAnsi"/>
          <w:szCs w:val="24"/>
        </w:rPr>
        <w:t>75 %</w:t>
      </w:r>
      <w:r>
        <w:rPr>
          <w:rFonts w:cstheme="minorHAnsi"/>
          <w:szCs w:val="24"/>
        </w:rPr>
        <w:t xml:space="preserve"> </w:t>
      </w:r>
      <w:r w:rsidRPr="00DD51A4">
        <w:rPr>
          <w:rFonts w:cstheme="minorHAnsi"/>
          <w:szCs w:val="24"/>
        </w:rPr>
        <w:t>zjištěné ceny.</w:t>
      </w:r>
      <w:r>
        <w:rPr>
          <w:rFonts w:cstheme="minorHAnsi"/>
          <w:szCs w:val="24"/>
        </w:rPr>
        <w:t xml:space="preserve"> </w:t>
      </w:r>
      <w:r w:rsidRPr="005012BD">
        <w:rPr>
          <w:rFonts w:cstheme="minorHAnsi"/>
          <w:szCs w:val="24"/>
        </w:rPr>
        <w:t xml:space="preserve">Poplatník daně z nabytí nemovitých věcí si může zvolit, kterou hodnotu (zda směrnou </w:t>
      </w:r>
      <w:r w:rsidRPr="005012BD">
        <w:rPr>
          <w:rFonts w:cstheme="minorHAnsi"/>
          <w:szCs w:val="24"/>
        </w:rPr>
        <w:lastRenderedPageBreak/>
        <w:t>hodnotu</w:t>
      </w:r>
      <w:r w:rsidR="00685E76">
        <w:rPr>
          <w:rFonts w:cstheme="minorHAnsi"/>
          <w:szCs w:val="24"/>
        </w:rPr>
        <w:t>,</w:t>
      </w:r>
      <w:r w:rsidRPr="005012BD">
        <w:rPr>
          <w:rFonts w:cstheme="minorHAnsi"/>
          <w:szCs w:val="24"/>
        </w:rPr>
        <w:t xml:space="preserve"> nebo cenu zjištěnou) použije k jejímu stanovení.</w:t>
      </w:r>
      <w:r w:rsidR="005012BD" w:rsidRPr="005012BD">
        <w:rPr>
          <w:rFonts w:cstheme="minorHAnsi"/>
          <w:szCs w:val="24"/>
        </w:rPr>
        <w:t xml:space="preserve"> </w:t>
      </w:r>
      <w:r w:rsidRPr="005012BD">
        <w:rPr>
          <w:rFonts w:cstheme="minorHAnsi"/>
          <w:szCs w:val="24"/>
        </w:rPr>
        <w:t>Srovnávací</w:t>
      </w:r>
      <w:r>
        <w:rPr>
          <w:rFonts w:cstheme="minorHAnsi"/>
          <w:szCs w:val="24"/>
        </w:rPr>
        <w:t xml:space="preserve"> daňová hodnota se porovná se sjednanou cenou, základem daně je vyšší z hodnot. </w:t>
      </w:r>
    </w:p>
    <w:p w14:paraId="43E2892D" w14:textId="11853C63" w:rsidR="00CF67A3" w:rsidRDefault="00CF67A3" w:rsidP="001352AC">
      <w:pPr>
        <w:spacing w:line="276" w:lineRule="auto"/>
        <w:rPr>
          <w:szCs w:val="24"/>
        </w:rPr>
      </w:pPr>
      <w:r w:rsidRPr="00861CF7">
        <w:rPr>
          <w:rFonts w:cstheme="minorHAnsi"/>
          <w:b/>
          <w:szCs w:val="24"/>
        </w:rPr>
        <w:t xml:space="preserve">Směrná hodnota </w:t>
      </w:r>
      <w:r w:rsidRPr="00E15A53">
        <w:rPr>
          <w:szCs w:val="24"/>
        </w:rPr>
        <w:t>vychází z cen nemovitých věcí v místě nemovit</w:t>
      </w:r>
      <w:r>
        <w:rPr>
          <w:szCs w:val="24"/>
        </w:rPr>
        <w:t>é</w:t>
      </w:r>
      <w:r w:rsidRPr="00E15A53">
        <w:rPr>
          <w:szCs w:val="24"/>
        </w:rPr>
        <w:t xml:space="preserve"> věc</w:t>
      </w:r>
      <w:r>
        <w:rPr>
          <w:szCs w:val="24"/>
        </w:rPr>
        <w:t>i</w:t>
      </w:r>
      <w:r w:rsidRPr="00E15A53">
        <w:rPr>
          <w:szCs w:val="24"/>
        </w:rPr>
        <w:t xml:space="preserve">, ve srovnatelném časovém období </w:t>
      </w:r>
      <w:r>
        <w:rPr>
          <w:szCs w:val="24"/>
        </w:rPr>
        <w:t>a</w:t>
      </w:r>
      <w:r w:rsidRPr="00E15A53">
        <w:rPr>
          <w:szCs w:val="24"/>
        </w:rPr>
        <w:t xml:space="preserve"> zohledňuje druh, poloh</w:t>
      </w:r>
      <w:r>
        <w:rPr>
          <w:szCs w:val="24"/>
        </w:rPr>
        <w:t>u</w:t>
      </w:r>
      <w:r w:rsidRPr="00E15A53">
        <w:rPr>
          <w:szCs w:val="24"/>
        </w:rPr>
        <w:t>, účel, stav, stáří, vybavení a stavebně technické parametry nemovité věci.</w:t>
      </w:r>
      <w:r>
        <w:rPr>
          <w:szCs w:val="24"/>
        </w:rPr>
        <w:t xml:space="preserve"> </w:t>
      </w:r>
      <w:r w:rsidRPr="00CA1E1E">
        <w:rPr>
          <w:szCs w:val="24"/>
        </w:rPr>
        <w:t>Směrnou hodnotu si poplatník sám nevypočítává, pouze v</w:t>
      </w:r>
      <w:r w:rsidR="00EF7262">
        <w:rPr>
          <w:szCs w:val="24"/>
        </w:rPr>
        <w:t> </w:t>
      </w:r>
      <w:r w:rsidRPr="00CA1E1E">
        <w:rPr>
          <w:szCs w:val="24"/>
        </w:rPr>
        <w:t>daňovém přiznání uvádí údaje nezbytné pro její výpočet provedený správcem daně.</w:t>
      </w:r>
      <w:r>
        <w:rPr>
          <w:szCs w:val="24"/>
        </w:rPr>
        <w:t xml:space="preserve"> Postup k určení směrné hodnoty</w:t>
      </w:r>
      <w:r w:rsidRPr="00071D0E">
        <w:rPr>
          <w:szCs w:val="24"/>
        </w:rPr>
        <w:t xml:space="preserve"> upravuje vyhláška Ministerstva financí </w:t>
      </w:r>
      <w:r>
        <w:rPr>
          <w:szCs w:val="24"/>
        </w:rPr>
        <w:t>č. </w:t>
      </w:r>
      <w:r w:rsidRPr="00071D0E">
        <w:rPr>
          <w:szCs w:val="24"/>
        </w:rPr>
        <w:t>419/2013 Sb</w:t>
      </w:r>
      <w:r w:rsidR="00BB26E9">
        <w:rPr>
          <w:szCs w:val="24"/>
        </w:rPr>
        <w:t>.</w:t>
      </w:r>
      <w:r>
        <w:rPr>
          <w:szCs w:val="24"/>
        </w:rPr>
        <w:t xml:space="preserve"> </w:t>
      </w:r>
    </w:p>
    <w:p w14:paraId="64B558FD" w14:textId="77777777" w:rsidR="00FB00A9" w:rsidRDefault="00FB00A9" w:rsidP="001352AC">
      <w:pPr>
        <w:pStyle w:val="Protokol"/>
      </w:pPr>
      <w:r w:rsidRPr="000F7CAA">
        <w:t>Zavedení směrné hodnoty</w:t>
      </w:r>
      <w:r w:rsidR="000F7CAA">
        <w:t xml:space="preserve"> představuje v</w:t>
      </w:r>
      <w:r w:rsidRPr="00466EB8">
        <w:t>ýznamnou změnu ve stanovení základu daně</w:t>
      </w:r>
      <w:r w:rsidR="000F7CAA">
        <w:t>.</w:t>
      </w:r>
      <w:r w:rsidRPr="00466EB8">
        <w:t xml:space="preserve"> Ve většině členských států EU je základem daně či poplatku tržní hodnota nebo </w:t>
      </w:r>
      <w:r w:rsidRPr="00BA0532">
        <w:t>kupní</w:t>
      </w:r>
      <w:r w:rsidRPr="00466EB8">
        <w:t xml:space="preserve"> cena převáděné nemovitosti. Obecně se v zemích EU předložení znaleckého posudku požaduje pouze ve vybraných případech, např. při převodech státního majetku (např. v Maďarsku a</w:t>
      </w:r>
      <w:r w:rsidR="00EF7262">
        <w:t> </w:t>
      </w:r>
      <w:r w:rsidRPr="00466EB8">
        <w:t xml:space="preserve">Polsku). </w:t>
      </w:r>
    </w:p>
    <w:p w14:paraId="1C23D35B" w14:textId="77777777" w:rsidR="00FB00A9" w:rsidRPr="00466EB8" w:rsidRDefault="00162AFB" w:rsidP="00D379E3">
      <w:pPr>
        <w:pStyle w:val="Protokol"/>
        <w:keepNext/>
        <w:spacing w:after="20"/>
        <w:ind w:left="1418" w:hanging="1418"/>
        <w:jc w:val="left"/>
        <w:rPr>
          <w:b/>
        </w:rPr>
      </w:pPr>
      <w:r>
        <w:rPr>
          <w:b/>
        </w:rPr>
        <w:t xml:space="preserve">Tabulka č. </w:t>
      </w:r>
      <w:r w:rsidR="001667E8">
        <w:rPr>
          <w:b/>
        </w:rPr>
        <w:t>5</w:t>
      </w:r>
      <w:r w:rsidR="00FB00A9" w:rsidRPr="00466EB8">
        <w:rPr>
          <w:b/>
        </w:rPr>
        <w:t xml:space="preserve"> – Počet daňových přiznání</w:t>
      </w:r>
      <w:r w:rsidR="00BA0532">
        <w:rPr>
          <w:b/>
        </w:rPr>
        <w:t xml:space="preserve"> k dani z nabytí nemovitých věcí</w:t>
      </w:r>
      <w:r w:rsidR="00FB00A9" w:rsidRPr="00466EB8">
        <w:rPr>
          <w:b/>
        </w:rPr>
        <w:t xml:space="preserve"> s použitím směrné hodnoty</w:t>
      </w:r>
      <w:r w:rsidR="00D67EF3">
        <w:rPr>
          <w:b/>
        </w:rPr>
        <w:t xml:space="preserve"> v roce 2014</w:t>
      </w:r>
      <w:r w:rsidR="00FB00A9" w:rsidRPr="00466EB8">
        <w:rPr>
          <w:b/>
        </w:rPr>
        <w:t xml:space="preserve"> (FS ČR)</w:t>
      </w:r>
    </w:p>
    <w:bookmarkStart w:id="50" w:name="_MON_1517643146"/>
    <w:bookmarkStart w:id="51" w:name="_MON_1517643209"/>
    <w:bookmarkStart w:id="52" w:name="_MON_1517643239"/>
    <w:bookmarkEnd w:id="50"/>
    <w:bookmarkEnd w:id="51"/>
    <w:bookmarkEnd w:id="52"/>
    <w:bookmarkStart w:id="53" w:name="_MON_1517643252"/>
    <w:bookmarkEnd w:id="53"/>
    <w:p w14:paraId="256FFDB0" w14:textId="4B5304D5" w:rsidR="00FB00A9" w:rsidRPr="00D379E3" w:rsidRDefault="00DF4C38" w:rsidP="00685E76">
      <w:pPr>
        <w:pStyle w:val="Protokol"/>
        <w:keepNext/>
        <w:spacing w:after="0"/>
        <w:rPr>
          <w:sz w:val="20"/>
          <w:szCs w:val="20"/>
        </w:rPr>
      </w:pPr>
      <w:r w:rsidRPr="00466EB8">
        <w:object w:dxaOrig="9768" w:dyaOrig="5586" w14:anchorId="7116324C">
          <v:shape id="_x0000_i1029" type="#_x0000_t75" style="width:488.25pt;height:279pt" o:ole="" o:bordertopcolor="this" o:borderleftcolor="this">
            <v:imagedata r:id="rId17" o:title=""/>
            <w10:bordertop type="single" width="8"/>
            <w10:borderleft type="single" width="8"/>
          </v:shape>
          <o:OLEObject Type="Embed" ProgID="Excel.Sheet.12" ShapeID="_x0000_i1029" DrawAspect="Content" ObjectID="_1519634014" r:id="rId18"/>
        </w:object>
      </w:r>
      <w:r w:rsidR="00FB00A9" w:rsidRPr="00D379E3">
        <w:rPr>
          <w:b/>
          <w:sz w:val="20"/>
          <w:szCs w:val="20"/>
        </w:rPr>
        <w:t>Zdroj:</w:t>
      </w:r>
      <w:r w:rsidR="00FB00A9" w:rsidRPr="00D379E3">
        <w:rPr>
          <w:sz w:val="20"/>
          <w:szCs w:val="20"/>
        </w:rPr>
        <w:t xml:space="preserve"> GFŘ a vlastní zpracování NKÚ</w:t>
      </w:r>
      <w:r w:rsidR="00A53E05" w:rsidRPr="00D379E3">
        <w:rPr>
          <w:sz w:val="20"/>
          <w:szCs w:val="20"/>
        </w:rPr>
        <w:t>.</w:t>
      </w:r>
    </w:p>
    <w:p w14:paraId="5464022F" w14:textId="77777777" w:rsidR="00BA0532" w:rsidRPr="00D379E3" w:rsidRDefault="00BA0532" w:rsidP="00BA0532">
      <w:pPr>
        <w:pStyle w:val="Protokol"/>
        <w:keepNext/>
        <w:spacing w:after="0"/>
        <w:rPr>
          <w:sz w:val="20"/>
          <w:szCs w:val="20"/>
        </w:rPr>
      </w:pPr>
      <w:r w:rsidRPr="00D379E3">
        <w:rPr>
          <w:b/>
          <w:sz w:val="20"/>
          <w:szCs w:val="20"/>
        </w:rPr>
        <w:t>Pozn.:</w:t>
      </w:r>
      <w:r w:rsidRPr="00D379E3">
        <w:rPr>
          <w:sz w:val="20"/>
          <w:szCs w:val="20"/>
        </w:rPr>
        <w:t xml:space="preserve"> DAP – daňové přiznání</w:t>
      </w:r>
      <w:r w:rsidR="00A53E05" w:rsidRPr="00D379E3">
        <w:rPr>
          <w:sz w:val="20"/>
          <w:szCs w:val="20"/>
        </w:rPr>
        <w:t>.</w:t>
      </w:r>
    </w:p>
    <w:p w14:paraId="1BB49639" w14:textId="77777777" w:rsidR="00BA0532" w:rsidRPr="00D379E3" w:rsidRDefault="00BA0532" w:rsidP="00BA0532">
      <w:pPr>
        <w:pStyle w:val="Protokol"/>
        <w:keepNext/>
        <w:spacing w:after="0"/>
      </w:pPr>
      <w:r>
        <w:rPr>
          <w:i/>
          <w:sz w:val="20"/>
          <w:szCs w:val="20"/>
        </w:rPr>
        <w:t xml:space="preserve"> </w:t>
      </w:r>
    </w:p>
    <w:p w14:paraId="79F3D7AE" w14:textId="6F6D89ED" w:rsidR="00FB00A9" w:rsidRPr="00466EB8" w:rsidRDefault="00FB00A9" w:rsidP="00FB00A9">
      <w:pPr>
        <w:pStyle w:val="Protokol"/>
      </w:pPr>
      <w:r w:rsidRPr="00466EB8">
        <w:t xml:space="preserve">V roce 2014 </w:t>
      </w:r>
      <w:r w:rsidR="009F4FA6" w:rsidRPr="00466EB8">
        <w:t>z</w:t>
      </w:r>
      <w:r w:rsidR="009F4FA6">
        <w:t> </w:t>
      </w:r>
      <w:r w:rsidR="009F4FA6" w:rsidRPr="00466EB8">
        <w:t>celkového počtu</w:t>
      </w:r>
      <w:r w:rsidR="00685E76">
        <w:t xml:space="preserve"> </w:t>
      </w:r>
      <w:r w:rsidR="009F4FA6" w:rsidRPr="00466EB8">
        <w:t>183</w:t>
      </w:r>
      <w:r w:rsidR="009F4FA6">
        <w:t xml:space="preserve"> 698 podaných daňových přiznání </w:t>
      </w:r>
      <w:r w:rsidRPr="00466EB8">
        <w:t xml:space="preserve">vyměřila </w:t>
      </w:r>
      <w:r w:rsidR="005948E9">
        <w:t>finanční správa</w:t>
      </w:r>
      <w:r w:rsidRPr="00466EB8">
        <w:t xml:space="preserve"> daň z nabytí nemovitých věcí pouze </w:t>
      </w:r>
      <w:r w:rsidR="00685E76">
        <w:t>u</w:t>
      </w:r>
      <w:r w:rsidRPr="00466EB8">
        <w:t xml:space="preserve"> 46,7 % </w:t>
      </w:r>
      <w:r w:rsidR="00685E76">
        <w:t xml:space="preserve">DAP, a to </w:t>
      </w:r>
      <w:r w:rsidR="00893851">
        <w:t>z důvodu</w:t>
      </w:r>
      <w:r w:rsidR="00FD5628">
        <w:t xml:space="preserve"> nepřipravenosti </w:t>
      </w:r>
      <w:r w:rsidRPr="00466EB8">
        <w:t>ADIS</w:t>
      </w:r>
      <w:r w:rsidR="00FD5628">
        <w:t>.</w:t>
      </w:r>
      <w:r>
        <w:t xml:space="preserve"> </w:t>
      </w:r>
      <w:r w:rsidRPr="00466EB8">
        <w:t xml:space="preserve">Celá úloha byla funkční v základních parametrech až počátkem června 2014. </w:t>
      </w:r>
    </w:p>
    <w:p w14:paraId="1AA61949" w14:textId="77777777" w:rsidR="00FB00A9" w:rsidRPr="00162AFB" w:rsidRDefault="00FB00A9" w:rsidP="00FB00A9">
      <w:pPr>
        <w:pStyle w:val="Protokol"/>
      </w:pPr>
      <w:r w:rsidRPr="00FD5628">
        <w:t xml:space="preserve">Počet podaných daňových přiznání, ve kterých byla pro určení srovnávací daňové hodnoty použita směrná hodnota, činil pouze 24,2 % z celkového počtu podaných </w:t>
      </w:r>
      <w:r w:rsidR="00392165">
        <w:t>daňových přiznání</w:t>
      </w:r>
      <w:r w:rsidRPr="00162AFB">
        <w:t xml:space="preserve">. </w:t>
      </w:r>
    </w:p>
    <w:p w14:paraId="7124CEB9" w14:textId="70C232B7" w:rsidR="00FB00A9" w:rsidRPr="00466EB8" w:rsidRDefault="00FD5628" w:rsidP="00FB00A9">
      <w:pPr>
        <w:pStyle w:val="Protokol"/>
      </w:pPr>
      <w:r>
        <w:lastRenderedPageBreak/>
        <w:t>N</w:t>
      </w:r>
      <w:r w:rsidR="00FB00A9" w:rsidRPr="00466EB8">
        <w:t xml:space="preserve">a </w:t>
      </w:r>
      <w:r>
        <w:t xml:space="preserve">11 </w:t>
      </w:r>
      <w:r w:rsidR="00F378AF">
        <w:t>ÚP</w:t>
      </w:r>
      <w:r w:rsidRPr="00466EB8">
        <w:t xml:space="preserve"> </w:t>
      </w:r>
      <w:r>
        <w:t xml:space="preserve">kontrolovaných </w:t>
      </w:r>
      <w:r w:rsidR="00685E76">
        <w:t>finančních úřadů</w:t>
      </w:r>
      <w:r>
        <w:t xml:space="preserve"> </w:t>
      </w:r>
      <w:r w:rsidR="00FB00A9" w:rsidRPr="00466EB8">
        <w:t>zjistil</w:t>
      </w:r>
      <w:r>
        <w:t xml:space="preserve"> NKÚ</w:t>
      </w:r>
      <w:r w:rsidR="00FB00A9" w:rsidRPr="00466EB8">
        <w:t xml:space="preserve">, že </w:t>
      </w:r>
      <w:r w:rsidR="00893851">
        <w:t>zatím</w:t>
      </w:r>
      <w:r>
        <w:t xml:space="preserve">co </w:t>
      </w:r>
      <w:r w:rsidR="00FB00A9" w:rsidRPr="00466EB8">
        <w:t xml:space="preserve">vyměření daně z převodu nemovitostí </w:t>
      </w:r>
      <w:r w:rsidR="00685E76" w:rsidRPr="00466EB8">
        <w:t xml:space="preserve">trvalo </w:t>
      </w:r>
      <w:r w:rsidR="00FB00A9" w:rsidRPr="00466EB8">
        <w:t xml:space="preserve">v letech 2012–2014 </w:t>
      </w:r>
      <w:r w:rsidR="00685E76" w:rsidRPr="00466EB8">
        <w:t xml:space="preserve">průměrně </w:t>
      </w:r>
      <w:r w:rsidR="00FB00A9" w:rsidRPr="00EE1FC8">
        <w:t xml:space="preserve">cca </w:t>
      </w:r>
      <w:r w:rsidR="00D94838" w:rsidRPr="00EE1FC8">
        <w:t>75</w:t>
      </w:r>
      <w:r w:rsidR="00FB00A9" w:rsidRPr="00EE1FC8">
        <w:t xml:space="preserve"> dní, na vyměření daně z nabytí nemovitostí potřebova</w:t>
      </w:r>
      <w:r w:rsidR="00EE1FC8">
        <w:t xml:space="preserve">li správci daně v roce 2014 cca </w:t>
      </w:r>
      <w:r w:rsidR="00D94838" w:rsidRPr="00EE1FC8">
        <w:t xml:space="preserve">114 </w:t>
      </w:r>
      <w:r w:rsidR="00FB00A9" w:rsidRPr="00EE1FC8">
        <w:t>dní.</w:t>
      </w:r>
    </w:p>
    <w:p w14:paraId="35430462" w14:textId="75BC2CAE" w:rsidR="00392165" w:rsidRPr="00987FCF" w:rsidRDefault="00FB00A9" w:rsidP="00FB00A9">
      <w:pPr>
        <w:pStyle w:val="Protokol"/>
      </w:pPr>
      <w:r w:rsidRPr="00893851">
        <w:t>Na délku vyměřovacího řízení měl</w:t>
      </w:r>
      <w:r w:rsidR="00670C5F">
        <w:t>a</w:t>
      </w:r>
      <w:r w:rsidRPr="00893851">
        <w:t xml:space="preserve"> </w:t>
      </w:r>
      <w:r w:rsidR="00893851">
        <w:t xml:space="preserve">vliv </w:t>
      </w:r>
      <w:r w:rsidR="00FD5628" w:rsidRPr="00893851">
        <w:t>vedle</w:t>
      </w:r>
      <w:r w:rsidRPr="00893851">
        <w:t xml:space="preserve"> postupné</w:t>
      </w:r>
      <w:r w:rsidR="00FD5628" w:rsidRPr="00893851">
        <w:t>ho</w:t>
      </w:r>
      <w:r w:rsidRPr="00893851">
        <w:t xml:space="preserve"> doplňování úlohy v ADIS </w:t>
      </w:r>
      <w:r w:rsidR="00FD5628" w:rsidRPr="00893851">
        <w:t>i</w:t>
      </w:r>
      <w:r w:rsidRPr="00893851">
        <w:t xml:space="preserve"> </w:t>
      </w:r>
      <w:r w:rsidR="00670C5F">
        <w:t>větší</w:t>
      </w:r>
      <w:r w:rsidRPr="00893851">
        <w:t xml:space="preserve"> pracnost vyměřovacího řízení</w:t>
      </w:r>
      <w:r w:rsidR="007D66CE" w:rsidRPr="00893851">
        <w:t>.</w:t>
      </w:r>
      <w:r w:rsidR="00F36993" w:rsidRPr="00893851">
        <w:t xml:space="preserve"> Určování směrné hodnoty na základě poměrně složitých stavebně technických parametrů zvyšuje nároky na dodatečná šetření správců daně. </w:t>
      </w:r>
      <w:r w:rsidR="00D94838" w:rsidRPr="00893851">
        <w:t xml:space="preserve">Zvýšení </w:t>
      </w:r>
      <w:r w:rsidR="00D94838" w:rsidRPr="000779A8">
        <w:t>administrativní náročnosti v důsledku zavedení směrné hodnoty předpokládala</w:t>
      </w:r>
      <w:r w:rsidR="00CC5B77" w:rsidRPr="000779A8">
        <w:t xml:space="preserve"> </w:t>
      </w:r>
      <w:r w:rsidR="00D94838" w:rsidRPr="000779A8">
        <w:t xml:space="preserve">i </w:t>
      </w:r>
      <w:r w:rsidR="00CC5B77" w:rsidRPr="000779A8">
        <w:t>d</w:t>
      </w:r>
      <w:r w:rsidRPr="000779A8">
        <w:t>ůvodová zpráva k</w:t>
      </w:r>
      <w:r w:rsidR="00F378AF" w:rsidRPr="000779A8">
        <w:t xml:space="preserve"> návrhu </w:t>
      </w:r>
      <w:r w:rsidRPr="000779A8">
        <w:t>zákonné</w:t>
      </w:r>
      <w:r w:rsidR="00F378AF" w:rsidRPr="000779A8">
        <w:t>ho</w:t>
      </w:r>
      <w:r w:rsidRPr="000779A8">
        <w:t xml:space="preserve"> opatření Senátu č. 340/2013 Sb. </w:t>
      </w:r>
      <w:r w:rsidR="00F378AF" w:rsidRPr="00861323">
        <w:t xml:space="preserve">Podle této zprávy měla být zvýšená </w:t>
      </w:r>
      <w:r w:rsidRPr="00861323">
        <w:t xml:space="preserve">administrativní zátěž správců daně související se zavedením směrné hodnoty </w:t>
      </w:r>
      <w:r w:rsidR="00F378AF" w:rsidRPr="00861323">
        <w:t>kompenzována</w:t>
      </w:r>
      <w:r w:rsidRPr="00861323">
        <w:t xml:space="preserve"> z vlastních zdrojů, protože tato zátěž </w:t>
      </w:r>
      <w:r w:rsidR="00A6101F">
        <w:t>měla být</w:t>
      </w:r>
      <w:r w:rsidRPr="00861323">
        <w:t xml:space="preserve"> vyvážena jinými změnami, mj.</w:t>
      </w:r>
      <w:r w:rsidR="006947AB">
        <w:t> </w:t>
      </w:r>
      <w:r w:rsidRPr="00466EB8">
        <w:t>zrušením institutu ručitele</w:t>
      </w:r>
      <w:r w:rsidRPr="00394DFB">
        <w:t xml:space="preserve"> </w:t>
      </w:r>
      <w:r w:rsidR="00CC5B77" w:rsidRPr="00394DFB">
        <w:t xml:space="preserve">(k tomu nedošlo) </w:t>
      </w:r>
      <w:r w:rsidRPr="00466EB8">
        <w:t>a</w:t>
      </w:r>
      <w:r w:rsidR="00EF7262">
        <w:t> </w:t>
      </w:r>
      <w:r w:rsidRPr="00466EB8">
        <w:t xml:space="preserve">zrušením daně dědické a daně darovací. </w:t>
      </w:r>
      <w:r w:rsidR="005948E9" w:rsidRPr="00893851">
        <w:t xml:space="preserve">Ve skutečnosti v roce 2014 </w:t>
      </w:r>
      <w:r w:rsidR="00893851" w:rsidRPr="00893851">
        <w:t>došlo</w:t>
      </w:r>
      <w:r w:rsidR="005948E9" w:rsidRPr="00893851">
        <w:t xml:space="preserve"> </w:t>
      </w:r>
      <w:r w:rsidR="00893851" w:rsidRPr="00893851">
        <w:t xml:space="preserve">v odděleních majetkových daní </w:t>
      </w:r>
      <w:r w:rsidR="005948E9" w:rsidRPr="00893851">
        <w:t>k </w:t>
      </w:r>
      <w:r w:rsidR="00893851" w:rsidRPr="00893851">
        <w:t>nárůstu systemizovaných</w:t>
      </w:r>
      <w:r w:rsidR="003411CE" w:rsidRPr="00893851">
        <w:t xml:space="preserve"> míst </w:t>
      </w:r>
      <w:r w:rsidR="00893851" w:rsidRPr="00893851">
        <w:t>o 130.</w:t>
      </w:r>
    </w:p>
    <w:p w14:paraId="670BEB61" w14:textId="4F0B169B" w:rsidR="00FB00A9" w:rsidRPr="005D25A4" w:rsidRDefault="00FB00A9" w:rsidP="00D379E3">
      <w:pPr>
        <w:pStyle w:val="Protokol"/>
        <w:spacing w:after="20"/>
        <w:rPr>
          <w:b/>
        </w:rPr>
      </w:pPr>
      <w:r w:rsidRPr="005D25A4">
        <w:rPr>
          <w:b/>
        </w:rPr>
        <w:t xml:space="preserve">Tabulka č. </w:t>
      </w:r>
      <w:r w:rsidR="001667E8">
        <w:rPr>
          <w:b/>
        </w:rPr>
        <w:t>6</w:t>
      </w:r>
      <w:r w:rsidRPr="005D25A4">
        <w:rPr>
          <w:b/>
        </w:rPr>
        <w:t xml:space="preserve"> – Počet systemizovaných míst </w:t>
      </w:r>
      <w:r w:rsidR="006947AB">
        <w:rPr>
          <w:b/>
        </w:rPr>
        <w:t>(SM)</w:t>
      </w:r>
      <w:r w:rsidRPr="005D25A4">
        <w:rPr>
          <w:b/>
        </w:rPr>
        <w:t xml:space="preserve"> </w:t>
      </w:r>
      <w:r w:rsidR="006947AB">
        <w:rPr>
          <w:b/>
        </w:rPr>
        <w:t>v </w:t>
      </w:r>
      <w:r w:rsidRPr="005D25A4">
        <w:rPr>
          <w:b/>
        </w:rPr>
        <w:t>oddělení</w:t>
      </w:r>
      <w:r w:rsidR="006947AB">
        <w:rPr>
          <w:b/>
        </w:rPr>
        <w:t>ch</w:t>
      </w:r>
      <w:r w:rsidRPr="005D25A4">
        <w:rPr>
          <w:b/>
        </w:rPr>
        <w:t xml:space="preserve"> majetkových daní</w:t>
      </w:r>
    </w:p>
    <w:p w14:paraId="4F51E8E4" w14:textId="77777777" w:rsidR="00FB00A9" w:rsidRDefault="00FB00A9" w:rsidP="00FB00A9">
      <w:pPr>
        <w:pStyle w:val="Protokol"/>
        <w:spacing w:after="0"/>
        <w:rPr>
          <w:b/>
        </w:rPr>
      </w:pPr>
      <w:r w:rsidRPr="00601A0A">
        <w:rPr>
          <w:b/>
        </w:rPr>
        <w:object w:dxaOrig="5286" w:dyaOrig="1208" w14:anchorId="7B9473E2">
          <v:shape id="_x0000_i1030" type="#_x0000_t75" style="width:267pt;height:57.75pt" o:ole="" o:bordertopcolor="this" o:borderleftcolor="this">
            <v:imagedata r:id="rId19" o:title=""/>
            <w10:bordertop type="single" width="8"/>
            <w10:borderleft type="single" width="8"/>
          </v:shape>
          <o:OLEObject Type="Embed" ProgID="Excel.Sheet.12" ShapeID="_x0000_i1030" DrawAspect="Content" ObjectID="_1519634015" r:id="rId20"/>
        </w:object>
      </w:r>
    </w:p>
    <w:p w14:paraId="146047F3" w14:textId="77777777" w:rsidR="00FB00A9" w:rsidRPr="00D379E3" w:rsidRDefault="00FB00A9" w:rsidP="00FB00A9">
      <w:pPr>
        <w:pStyle w:val="Protokol"/>
        <w:spacing w:after="0"/>
        <w:rPr>
          <w:sz w:val="20"/>
          <w:szCs w:val="20"/>
        </w:rPr>
      </w:pPr>
      <w:r w:rsidRPr="00D379E3">
        <w:rPr>
          <w:b/>
          <w:sz w:val="20"/>
          <w:szCs w:val="20"/>
        </w:rPr>
        <w:t>Zdroj:</w:t>
      </w:r>
      <w:r w:rsidRPr="00D379E3">
        <w:rPr>
          <w:sz w:val="20"/>
          <w:szCs w:val="20"/>
        </w:rPr>
        <w:t xml:space="preserve"> GFŘ</w:t>
      </w:r>
      <w:r w:rsidR="00A53E05" w:rsidRPr="00D379E3">
        <w:rPr>
          <w:sz w:val="20"/>
          <w:szCs w:val="20"/>
        </w:rPr>
        <w:t>.</w:t>
      </w:r>
    </w:p>
    <w:p w14:paraId="4CB4F5F1" w14:textId="77777777" w:rsidR="005F7336" w:rsidRDefault="005F7336" w:rsidP="005F7336">
      <w:pPr>
        <w:spacing w:after="0" w:line="276" w:lineRule="auto"/>
        <w:rPr>
          <w:rFonts w:eastAsia="Times New Roman" w:cstheme="minorHAnsi"/>
          <w:b/>
          <w:szCs w:val="24"/>
        </w:rPr>
      </w:pPr>
      <w:bookmarkStart w:id="54" w:name="_MON_1500707963"/>
      <w:bookmarkStart w:id="55" w:name="_MON_1500708169"/>
      <w:bookmarkStart w:id="56" w:name="_MON_1495612782"/>
      <w:bookmarkStart w:id="57" w:name="_MON_1497956520"/>
      <w:bookmarkStart w:id="58" w:name="_MON_1495613586"/>
      <w:bookmarkStart w:id="59" w:name="_MON_1495612204"/>
      <w:bookmarkStart w:id="60" w:name="_MON_1508563602"/>
      <w:bookmarkStart w:id="61" w:name="_MON_1495612550"/>
      <w:bookmarkStart w:id="62" w:name="_MON_1495612582"/>
      <w:bookmarkStart w:id="63" w:name="_MON_1496226033"/>
      <w:bookmarkStart w:id="64" w:name="_MON_1496226121"/>
      <w:bookmarkStart w:id="65" w:name="_MON_1496226131"/>
      <w:bookmarkStart w:id="66" w:name="_MON_1496226138"/>
      <w:bookmarkStart w:id="67" w:name="_MON_1495612743"/>
      <w:bookmarkStart w:id="68" w:name="_MON_1496488438"/>
      <w:bookmarkStart w:id="69" w:name="_MON_1508847162"/>
      <w:bookmarkStart w:id="70" w:name="_MON_1508847246"/>
      <w:bookmarkStart w:id="71" w:name="_MON_1508682982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14:paraId="554BEF06" w14:textId="77777777" w:rsidR="00FB00A9" w:rsidRDefault="00FB00A9" w:rsidP="005F7336">
      <w:pPr>
        <w:spacing w:after="0" w:line="276" w:lineRule="auto"/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Cs w:val="24"/>
        </w:rPr>
        <w:t>Kontrolní mechanismy</w:t>
      </w:r>
    </w:p>
    <w:p w14:paraId="5D1D962A" w14:textId="776F1AD6" w:rsidR="00FB00A9" w:rsidRDefault="00FB00A9" w:rsidP="00FB00A9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Obsahem dat přebíraných GFŘ z</w:t>
      </w:r>
      <w:r w:rsidRPr="001B4BF0">
        <w:rPr>
          <w:rFonts w:cstheme="minorHAnsi"/>
          <w:szCs w:val="24"/>
        </w:rPr>
        <w:t xml:space="preserve"> katastru nemovitostí</w:t>
      </w:r>
      <w:r>
        <w:rPr>
          <w:rFonts w:cstheme="minorHAnsi"/>
          <w:szCs w:val="24"/>
        </w:rPr>
        <w:t xml:space="preserve"> jsou i </w:t>
      </w:r>
      <w:r w:rsidR="00387EA5">
        <w:rPr>
          <w:rFonts w:cstheme="minorHAnsi"/>
          <w:szCs w:val="24"/>
        </w:rPr>
        <w:t>informace</w:t>
      </w:r>
      <w:r>
        <w:rPr>
          <w:rFonts w:cstheme="minorHAnsi"/>
          <w:szCs w:val="24"/>
        </w:rPr>
        <w:t xml:space="preserve"> </w:t>
      </w:r>
      <w:r w:rsidR="00A53E05">
        <w:rPr>
          <w:rFonts w:cstheme="minorHAnsi"/>
          <w:szCs w:val="24"/>
        </w:rPr>
        <w:t>o účastnících řízení a </w:t>
      </w:r>
      <w:r w:rsidRPr="00691034">
        <w:rPr>
          <w:rFonts w:cstheme="minorHAnsi"/>
          <w:szCs w:val="24"/>
        </w:rPr>
        <w:t>listinách, na</w:t>
      </w:r>
      <w:r w:rsidR="006947AB">
        <w:rPr>
          <w:rFonts w:cstheme="minorHAnsi"/>
          <w:szCs w:val="24"/>
        </w:rPr>
        <w:t xml:space="preserve"> jejichž</w:t>
      </w:r>
      <w:r w:rsidRPr="00691034">
        <w:rPr>
          <w:rFonts w:cstheme="minorHAnsi"/>
          <w:szCs w:val="24"/>
        </w:rPr>
        <w:t xml:space="preserve"> základě došlo ke změně vlastnického práva</w:t>
      </w:r>
      <w:r>
        <w:rPr>
          <w:rFonts w:cstheme="minorHAnsi"/>
          <w:szCs w:val="24"/>
        </w:rPr>
        <w:t>.</w:t>
      </w:r>
    </w:p>
    <w:p w14:paraId="5316B30E" w14:textId="7C657E79" w:rsidR="00FB00A9" w:rsidRDefault="00FB00A9" w:rsidP="00FB00A9">
      <w:pPr>
        <w:spacing w:line="276" w:lineRule="auto"/>
        <w:rPr>
          <w:rFonts w:cstheme="minorHAnsi"/>
          <w:szCs w:val="24"/>
        </w:rPr>
      </w:pPr>
      <w:r w:rsidRPr="00691034">
        <w:rPr>
          <w:rFonts w:cstheme="minorHAnsi"/>
          <w:szCs w:val="24"/>
        </w:rPr>
        <w:t>Údaje o řízení se</w:t>
      </w:r>
      <w:r>
        <w:rPr>
          <w:rFonts w:cstheme="minorHAnsi"/>
          <w:szCs w:val="24"/>
        </w:rPr>
        <w:t xml:space="preserve"> na FÚ automatizovaně prováž</w:t>
      </w:r>
      <w:r w:rsidR="002A460F">
        <w:rPr>
          <w:rFonts w:cstheme="minorHAnsi"/>
          <w:szCs w:val="24"/>
        </w:rPr>
        <w:t>ou</w:t>
      </w:r>
      <w:r w:rsidRPr="00691034">
        <w:rPr>
          <w:rFonts w:cstheme="minorHAnsi"/>
          <w:szCs w:val="24"/>
        </w:rPr>
        <w:t xml:space="preserve"> s</w:t>
      </w:r>
      <w:r>
        <w:rPr>
          <w:rFonts w:cstheme="minorHAnsi"/>
          <w:szCs w:val="24"/>
        </w:rPr>
        <w:t xml:space="preserve"> daňovým </w:t>
      </w:r>
      <w:r w:rsidRPr="00691034">
        <w:rPr>
          <w:rFonts w:cstheme="minorHAnsi"/>
          <w:szCs w:val="24"/>
        </w:rPr>
        <w:t xml:space="preserve">spisem </w:t>
      </w:r>
      <w:r>
        <w:rPr>
          <w:rFonts w:cstheme="minorHAnsi"/>
          <w:szCs w:val="24"/>
        </w:rPr>
        <w:t xml:space="preserve">poplatníka </w:t>
      </w:r>
      <w:r w:rsidRPr="00691034">
        <w:rPr>
          <w:rFonts w:cstheme="minorHAnsi"/>
          <w:szCs w:val="24"/>
        </w:rPr>
        <w:t>daně</w:t>
      </w:r>
      <w:r>
        <w:rPr>
          <w:rFonts w:cstheme="minorHAnsi"/>
          <w:szCs w:val="24"/>
        </w:rPr>
        <w:t xml:space="preserve"> z nabytí nemovitých věcí</w:t>
      </w:r>
      <w:r w:rsidRPr="00691034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 xml:space="preserve">Mezi neprovázanými řízeními správce daně ověřuje, zda mezi nimi nejsou řízení zakládající daňovou povinnost. </w:t>
      </w:r>
    </w:p>
    <w:p w14:paraId="28E00C36" w14:textId="77777777" w:rsidR="00FB00A9" w:rsidRDefault="00F455F3" w:rsidP="00FB00A9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NKÚ</w:t>
      </w:r>
      <w:r w:rsidR="00D94838" w:rsidRPr="0013417F">
        <w:rPr>
          <w:rFonts w:cstheme="minorHAnsi"/>
          <w:szCs w:val="24"/>
        </w:rPr>
        <w:t xml:space="preserve"> </w:t>
      </w:r>
      <w:r w:rsidR="00D94838" w:rsidRPr="00392165">
        <w:rPr>
          <w:rFonts w:cstheme="minorHAnsi"/>
          <w:szCs w:val="24"/>
        </w:rPr>
        <w:t>zjistil</w:t>
      </w:r>
      <w:r w:rsidR="00FB00A9" w:rsidRPr="00392165">
        <w:rPr>
          <w:rFonts w:cstheme="minorHAnsi"/>
          <w:szCs w:val="24"/>
        </w:rPr>
        <w:t xml:space="preserve">, že za roky 2012–2014 obdržely </w:t>
      </w:r>
      <w:r w:rsidR="00D94838" w:rsidRPr="00392165">
        <w:rPr>
          <w:rFonts w:cstheme="minorHAnsi"/>
          <w:szCs w:val="24"/>
        </w:rPr>
        <w:t xml:space="preserve">kontrolované FÚ z katastru nemovitostí </w:t>
      </w:r>
      <w:r w:rsidR="00D24931">
        <w:rPr>
          <w:rFonts w:cstheme="minorHAnsi"/>
          <w:szCs w:val="24"/>
        </w:rPr>
        <w:t xml:space="preserve">informace o </w:t>
      </w:r>
      <w:r w:rsidR="00FB00A9">
        <w:rPr>
          <w:rFonts w:cstheme="minorHAnsi"/>
          <w:szCs w:val="24"/>
        </w:rPr>
        <w:t>celkem 480 891 řízení</w:t>
      </w:r>
      <w:r w:rsidR="00D24931">
        <w:rPr>
          <w:rFonts w:cstheme="minorHAnsi"/>
          <w:szCs w:val="24"/>
        </w:rPr>
        <w:t>ch</w:t>
      </w:r>
      <w:r w:rsidR="00FB00A9">
        <w:rPr>
          <w:rFonts w:cstheme="minorHAnsi"/>
          <w:szCs w:val="24"/>
        </w:rPr>
        <w:t>. Do konce října 2015 nebyl</w:t>
      </w:r>
      <w:r w:rsidR="00A53E05">
        <w:rPr>
          <w:rFonts w:cstheme="minorHAnsi"/>
          <w:szCs w:val="24"/>
        </w:rPr>
        <w:t>o provázáno se spisem pouze 512 </w:t>
      </w:r>
      <w:r w:rsidR="00FB00A9">
        <w:rPr>
          <w:rFonts w:cstheme="minorHAnsi"/>
          <w:szCs w:val="24"/>
        </w:rPr>
        <w:t xml:space="preserve">řízení.  </w:t>
      </w:r>
    </w:p>
    <w:p w14:paraId="36412B37" w14:textId="4A95B0E9" w:rsidR="00FB00A9" w:rsidRPr="00D379E3" w:rsidRDefault="002A460F" w:rsidP="00FB00A9">
      <w:pPr>
        <w:spacing w:line="276" w:lineRule="auto"/>
        <w:rPr>
          <w:rFonts w:cstheme="minorHAnsi"/>
          <w:szCs w:val="24"/>
        </w:rPr>
      </w:pPr>
      <w:bookmarkStart w:id="72" w:name="_MON_1506605552"/>
      <w:bookmarkStart w:id="73" w:name="_MON_1511334370"/>
      <w:bookmarkStart w:id="74" w:name="_MON_1511334387"/>
      <w:bookmarkStart w:id="75" w:name="_MON_1511334398"/>
      <w:bookmarkStart w:id="76" w:name="_MON_1511334414"/>
      <w:bookmarkStart w:id="77" w:name="_MON_1511334540"/>
      <w:bookmarkStart w:id="78" w:name="_MON_1506616524"/>
      <w:bookmarkStart w:id="79" w:name="_MON_1508090073"/>
      <w:bookmarkStart w:id="80" w:name="_MON_1508090146"/>
      <w:bookmarkStart w:id="81" w:name="_MON_1505550254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rPr>
          <w:rFonts w:cstheme="minorHAnsi"/>
          <w:szCs w:val="24"/>
        </w:rPr>
        <w:t>U</w:t>
      </w:r>
      <w:r w:rsidR="00A6101F">
        <w:rPr>
          <w:rFonts w:cstheme="minorHAnsi"/>
          <w:szCs w:val="24"/>
        </w:rPr>
        <w:t xml:space="preserve"> čtyř</w:t>
      </w:r>
      <w:r w:rsidR="00FB00A9">
        <w:rPr>
          <w:rFonts w:cstheme="minorHAnsi"/>
          <w:szCs w:val="24"/>
        </w:rPr>
        <w:t xml:space="preserve"> kontrolovaných FÚ na kontrolním vzorku 132 neprovázaných řízení z období </w:t>
      </w:r>
      <w:r w:rsidR="0016457F">
        <w:rPr>
          <w:rFonts w:cstheme="minorHAnsi"/>
          <w:szCs w:val="24"/>
        </w:rPr>
        <w:br/>
      </w:r>
      <w:r w:rsidR="00FB00A9">
        <w:rPr>
          <w:rFonts w:cstheme="minorHAnsi"/>
          <w:szCs w:val="24"/>
        </w:rPr>
        <w:t xml:space="preserve">2012–2014 NKÚ zjistil, že správci daně neprovázaná řízení prověřovali, např. v 58 případech vydali výzvy k podání daňových přiznání nebo výzvy k součinnosti katastru nemovitostí, </w:t>
      </w:r>
      <w:r>
        <w:rPr>
          <w:rFonts w:cstheme="minorHAnsi"/>
          <w:szCs w:val="24"/>
        </w:rPr>
        <w:t>příp.</w:t>
      </w:r>
      <w:r w:rsidR="00472EEB">
        <w:rPr>
          <w:rFonts w:cstheme="minorHAnsi"/>
          <w:szCs w:val="24"/>
        </w:rPr>
        <w:t> </w:t>
      </w:r>
      <w:r w:rsidR="00FB00A9">
        <w:rPr>
          <w:rFonts w:cstheme="minorHAnsi"/>
          <w:szCs w:val="24"/>
        </w:rPr>
        <w:t>zjistili, že 26</w:t>
      </w:r>
      <w:r w:rsidR="00EF7262">
        <w:rPr>
          <w:rFonts w:cstheme="minorHAnsi"/>
          <w:szCs w:val="24"/>
        </w:rPr>
        <w:t> </w:t>
      </w:r>
      <w:r w:rsidR="00FB00A9">
        <w:rPr>
          <w:rFonts w:cstheme="minorHAnsi"/>
          <w:szCs w:val="24"/>
        </w:rPr>
        <w:t xml:space="preserve">řízení z kontrolního vzorku nezakládalo daňovou povinnost. </w:t>
      </w:r>
    </w:p>
    <w:p w14:paraId="7D23AE46" w14:textId="302E1CC9" w:rsidR="00FB00A9" w:rsidRPr="00394DFB" w:rsidRDefault="00FB00A9" w:rsidP="00FB00A9">
      <w:pPr>
        <w:spacing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U dvou kontrolovaných FÚ (FÚ pro Moravskoslezský kraj a FÚ pro Jihomoravský kraj), které si nastavily interně pravidla pro minimalizaci počtu</w:t>
      </w:r>
      <w:r w:rsidR="0016457F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neprovázaných řízení, nezjistil NKÚ žádná neprovázaná řízení.</w:t>
      </w:r>
    </w:p>
    <w:p w14:paraId="5CE1B6B4" w14:textId="1D0F8262" w:rsidR="00FB00A9" w:rsidRPr="00394DFB" w:rsidRDefault="00F455F3" w:rsidP="00FB00A9">
      <w:pPr>
        <w:pStyle w:val="Protokol"/>
      </w:pPr>
      <w:r w:rsidRPr="00394DFB">
        <w:t>V</w:t>
      </w:r>
      <w:r w:rsidR="00FB00A9" w:rsidRPr="00394DFB">
        <w:t xml:space="preserve"> letech 2012–2014 </w:t>
      </w:r>
      <w:r w:rsidRPr="00394DFB">
        <w:t>vyměř</w:t>
      </w:r>
      <w:r w:rsidR="00DE165E" w:rsidRPr="00394DFB">
        <w:t>ili</w:t>
      </w:r>
      <w:r w:rsidRPr="00394DFB">
        <w:t xml:space="preserve"> </w:t>
      </w:r>
      <w:r w:rsidR="00DE165E" w:rsidRPr="00394DFB">
        <w:t xml:space="preserve">správci daně </w:t>
      </w:r>
      <w:r w:rsidRPr="00394DFB">
        <w:t xml:space="preserve">celkem 956 178 </w:t>
      </w:r>
      <w:r w:rsidR="00DE165E" w:rsidRPr="00394DFB">
        <w:t>daňových přiznání a</w:t>
      </w:r>
      <w:r w:rsidR="00242133" w:rsidRPr="00394DFB">
        <w:t xml:space="preserve"> cca u 1</w:t>
      </w:r>
      <w:r w:rsidR="00F36993">
        <w:t> </w:t>
      </w:r>
      <w:r w:rsidR="00242133" w:rsidRPr="00394DFB">
        <w:t>% podaných daňových přiznání vydali</w:t>
      </w:r>
      <w:r w:rsidR="00D41794" w:rsidRPr="00394DFB">
        <w:t xml:space="preserve"> výzvy k odstranění pochybností. Ve stejném období</w:t>
      </w:r>
      <w:r w:rsidRPr="00394DFB">
        <w:t xml:space="preserve"> </w:t>
      </w:r>
      <w:r w:rsidR="00FB00A9" w:rsidRPr="00394DFB">
        <w:lastRenderedPageBreak/>
        <w:t>provedli celkem 19 daňových kontrol a 4 884 místních šetření</w:t>
      </w:r>
      <w:r w:rsidR="00E04CD0" w:rsidRPr="00394DFB">
        <w:t xml:space="preserve">, při kterých </w:t>
      </w:r>
      <w:r w:rsidR="00DE165E" w:rsidRPr="00394DFB">
        <w:t>ověřovali stav nemovitost</w:t>
      </w:r>
      <w:r w:rsidR="002A460F">
        <w:t>í</w:t>
      </w:r>
      <w:r w:rsidR="00DE165E" w:rsidRPr="00394DFB">
        <w:t xml:space="preserve"> a získávali podklady pro ocenění nemovitost</w:t>
      </w:r>
      <w:r w:rsidR="002A460F">
        <w:t>í</w:t>
      </w:r>
      <w:r w:rsidR="00DE165E" w:rsidRPr="00394DFB">
        <w:t xml:space="preserve"> apod.</w:t>
      </w:r>
    </w:p>
    <w:p w14:paraId="5A2AFA38" w14:textId="77777777" w:rsidR="00DE165E" w:rsidRPr="00F36993" w:rsidRDefault="00FB00A9" w:rsidP="00FB00A9">
      <w:pPr>
        <w:pStyle w:val="Protokol"/>
      </w:pPr>
      <w:r w:rsidRPr="00394DFB">
        <w:t xml:space="preserve">NKÚ na kontrolním vzorku 129 místních šetření zjistil, že na jejich základě správci daně doměřili </w:t>
      </w:r>
      <w:r w:rsidR="00F770ED">
        <w:t xml:space="preserve">daň </w:t>
      </w:r>
      <w:r w:rsidRPr="00394DFB">
        <w:t xml:space="preserve">minimálně </w:t>
      </w:r>
      <w:r w:rsidR="00F770ED">
        <w:t xml:space="preserve">ve výši </w:t>
      </w:r>
      <w:r w:rsidRPr="00394DFB">
        <w:t>897 953 Kč.</w:t>
      </w:r>
      <w:r w:rsidR="0051638D" w:rsidRPr="00D379E3">
        <w:t xml:space="preserve"> </w:t>
      </w:r>
    </w:p>
    <w:p w14:paraId="3DCE2696" w14:textId="46A81C44" w:rsidR="00FB00A9" w:rsidRPr="009B562B" w:rsidRDefault="009B562B" w:rsidP="00FB00A9">
      <w:pPr>
        <w:pStyle w:val="Protokol"/>
      </w:pPr>
      <w:r w:rsidRPr="009B562B">
        <w:t>K</w:t>
      </w:r>
      <w:r w:rsidR="00FB00A9" w:rsidRPr="009B562B">
        <w:t>ontrolní mechanism</w:t>
      </w:r>
      <w:r w:rsidR="00F770ED">
        <w:t>us</w:t>
      </w:r>
      <w:r w:rsidR="00FB00A9" w:rsidRPr="009B562B">
        <w:t xml:space="preserve"> spočívající v porovnání údajů v</w:t>
      </w:r>
      <w:r>
        <w:t> daňových přiznáních</w:t>
      </w:r>
      <w:r w:rsidR="00FB00A9" w:rsidRPr="009B562B">
        <w:t xml:space="preserve"> a dat z katastru nemovitostí měl </w:t>
      </w:r>
      <w:r w:rsidR="00E04CD0">
        <w:t>nesporně</w:t>
      </w:r>
      <w:r>
        <w:t xml:space="preserve"> kladný </w:t>
      </w:r>
      <w:r w:rsidR="00FB00A9" w:rsidRPr="009B562B">
        <w:t>vliv na činnosti správců daně.</w:t>
      </w:r>
    </w:p>
    <w:p w14:paraId="28AB2614" w14:textId="77777777" w:rsidR="006763FA" w:rsidRPr="006763FA" w:rsidRDefault="006763FA" w:rsidP="006763FA">
      <w:pPr>
        <w:pStyle w:val="Protokol"/>
        <w:rPr>
          <w:b/>
        </w:rPr>
      </w:pPr>
      <w:r>
        <w:rPr>
          <w:b/>
        </w:rPr>
        <w:t>Nedoplatky</w:t>
      </w:r>
    </w:p>
    <w:p w14:paraId="48E0A216" w14:textId="58334957" w:rsidR="00D06943" w:rsidRDefault="006763FA" w:rsidP="006763FA">
      <w:pPr>
        <w:pStyle w:val="Protokol"/>
      </w:pPr>
      <w:r w:rsidRPr="009B562B">
        <w:t xml:space="preserve">Nedoplatky </w:t>
      </w:r>
      <w:r w:rsidRPr="00ED528E">
        <w:t>na</w:t>
      </w:r>
      <w:r w:rsidR="008A2BF7" w:rsidRPr="00ED528E">
        <w:t xml:space="preserve"> dani z převodu nemovitostí a na</w:t>
      </w:r>
      <w:r w:rsidRPr="009B562B">
        <w:t xml:space="preserve"> dan</w:t>
      </w:r>
      <w:r>
        <w:t xml:space="preserve">i z nabytí nemovitých věcí činily </w:t>
      </w:r>
      <w:r w:rsidR="00987FCF">
        <w:br/>
      </w:r>
      <w:r>
        <w:t>k 31</w:t>
      </w:r>
      <w:r w:rsidR="00ED528E">
        <w:t xml:space="preserve">. 12. 2014 celkem 2 352 mil. Kč. </w:t>
      </w:r>
      <w:r w:rsidR="00475941">
        <w:t>Vymáhání nedoplatků od ručitelů komplikuje skutečnost, že v</w:t>
      </w:r>
      <w:r w:rsidR="00475941" w:rsidRPr="002152C3">
        <w:t>ýzv</w:t>
      </w:r>
      <w:r w:rsidR="00F770ED">
        <w:t>u</w:t>
      </w:r>
      <w:r w:rsidR="00475941" w:rsidRPr="002152C3">
        <w:t xml:space="preserve"> k úhradě nedoplatku ručitelem je možn</w:t>
      </w:r>
      <w:r w:rsidR="00F770ED">
        <w:t>é</w:t>
      </w:r>
      <w:r w:rsidR="00475941" w:rsidRPr="002152C3">
        <w:t xml:space="preserve"> vydat až po marném vymáhání nedoplatku na dlužníkovi. Teprve poté má správce daně možnost zřídit zástavní právo k nemovitosti nabyté ručitelem.</w:t>
      </w:r>
      <w:r w:rsidR="00475941">
        <w:t xml:space="preserve"> </w:t>
      </w:r>
    </w:p>
    <w:p w14:paraId="6CB6F125" w14:textId="77777777" w:rsidR="00D06943" w:rsidRDefault="006763FA" w:rsidP="006763FA">
      <w:pPr>
        <w:pStyle w:val="Protokol"/>
      </w:pPr>
      <w:r w:rsidRPr="00466EB8">
        <w:t xml:space="preserve">V letech 2012–2014 vydali správci daně celkem 5 415 výzev </w:t>
      </w:r>
      <w:r w:rsidR="008A2BF7" w:rsidRPr="00ED528E">
        <w:t xml:space="preserve">ručiteli </w:t>
      </w:r>
      <w:r w:rsidRPr="00ED528E">
        <w:t>k úhradě</w:t>
      </w:r>
      <w:r w:rsidRPr="00466EB8">
        <w:t xml:space="preserve"> nedoplatku na dani </w:t>
      </w:r>
      <w:r>
        <w:t>na</w:t>
      </w:r>
      <w:r w:rsidRPr="00466EB8">
        <w:t> celkov</w:t>
      </w:r>
      <w:r>
        <w:t>ou</w:t>
      </w:r>
      <w:r w:rsidRPr="00466EB8">
        <w:t xml:space="preserve"> částk</w:t>
      </w:r>
      <w:r>
        <w:t>u</w:t>
      </w:r>
      <w:r w:rsidRPr="00466EB8">
        <w:t xml:space="preserve"> 255</w:t>
      </w:r>
      <w:r w:rsidR="00EF7262">
        <w:t> </w:t>
      </w:r>
      <w:r w:rsidRPr="00466EB8">
        <w:t>mil.</w:t>
      </w:r>
      <w:r w:rsidR="00EF7262">
        <w:t> </w:t>
      </w:r>
      <w:r w:rsidRPr="00466EB8">
        <w:t>Kč</w:t>
      </w:r>
      <w:r>
        <w:t>. R</w:t>
      </w:r>
      <w:r w:rsidRPr="00466EB8">
        <w:t>učitel</w:t>
      </w:r>
      <w:r>
        <w:t>é</w:t>
      </w:r>
      <w:r w:rsidRPr="00466EB8">
        <w:t xml:space="preserve"> uhra</w:t>
      </w:r>
      <w:r>
        <w:t xml:space="preserve">dili </w:t>
      </w:r>
      <w:r w:rsidRPr="00466EB8">
        <w:t xml:space="preserve">nebo </w:t>
      </w:r>
      <w:r>
        <w:t>od</w:t>
      </w:r>
      <w:r w:rsidRPr="00466EB8">
        <w:t xml:space="preserve"> </w:t>
      </w:r>
      <w:r>
        <w:t>nich bylo</w:t>
      </w:r>
      <w:r w:rsidRPr="00466EB8">
        <w:t xml:space="preserve"> </w:t>
      </w:r>
      <w:r>
        <w:t>vymožen</w:t>
      </w:r>
      <w:r w:rsidR="00EF7262">
        <w:t>o</w:t>
      </w:r>
      <w:r>
        <w:t xml:space="preserve"> </w:t>
      </w:r>
      <w:r w:rsidRPr="00466EB8">
        <w:t>93 mil. Kč</w:t>
      </w:r>
      <w:r>
        <w:t>.</w:t>
      </w:r>
    </w:p>
    <w:p w14:paraId="414DF966" w14:textId="77777777" w:rsidR="009F37D0" w:rsidRPr="00F36993" w:rsidRDefault="009F37D0" w:rsidP="006763FA">
      <w:pPr>
        <w:pStyle w:val="Protokol"/>
      </w:pPr>
      <w:r w:rsidRPr="002152C3">
        <w:t>Změna</w:t>
      </w:r>
      <w:r w:rsidRPr="00D379E3">
        <w:t xml:space="preserve"> </w:t>
      </w:r>
      <w:r w:rsidRPr="002152C3">
        <w:t xml:space="preserve">v osobě poplatníka </w:t>
      </w:r>
      <w:r w:rsidR="002B2CFD">
        <w:t>by umožnila</w:t>
      </w:r>
      <w:r w:rsidRPr="002152C3">
        <w:t xml:space="preserve"> správci daně zajistit nedoplatek </w:t>
      </w:r>
      <w:r w:rsidR="00500F08" w:rsidRPr="002152C3">
        <w:t xml:space="preserve">zástavním právem </w:t>
      </w:r>
      <w:r w:rsidRPr="002152C3">
        <w:t xml:space="preserve">podstatně dříve. Bez ohledu na osobu poplatníka je </w:t>
      </w:r>
      <w:r w:rsidR="008051F9" w:rsidRPr="002152C3">
        <w:t xml:space="preserve">však </w:t>
      </w:r>
      <w:r w:rsidRPr="002152C3">
        <w:t xml:space="preserve">základním předpokladem úspěšného </w:t>
      </w:r>
      <w:r w:rsidR="008051F9" w:rsidRPr="002152C3">
        <w:t>vymožení nedoplatku rychlý postup správce daně v průběhu vymáhacího procesu.</w:t>
      </w:r>
      <w:r w:rsidR="00086BFF">
        <w:t xml:space="preserve"> </w:t>
      </w:r>
      <w:r w:rsidR="00C33D4C" w:rsidRPr="00F36993">
        <w:t>V současné době projednává Parlament ČR novelu zákonného opatření Senátu</w:t>
      </w:r>
      <w:r w:rsidR="00D06943">
        <w:t xml:space="preserve"> </w:t>
      </w:r>
      <w:r w:rsidR="00D06943">
        <w:br/>
        <w:t>č. 340/2013 Sb.</w:t>
      </w:r>
      <w:r w:rsidR="00C33D4C" w:rsidRPr="00F36993">
        <w:t>, která by mimo jiné měla přinést změnu v osobě poplatníka a zrušit institut ruč</w:t>
      </w:r>
      <w:r w:rsidR="00CA2F6F">
        <w:t>ení.</w:t>
      </w:r>
    </w:p>
    <w:p w14:paraId="676599B1" w14:textId="77777777" w:rsidR="00FB00A9" w:rsidRDefault="00FB00A9" w:rsidP="00FB00A9">
      <w:pPr>
        <w:pStyle w:val="Nadpis2"/>
        <w:numPr>
          <w:ilvl w:val="0"/>
          <w:numId w:val="2"/>
        </w:numPr>
        <w:shd w:val="clear" w:color="auto" w:fill="E3EBF3"/>
        <w:ind w:left="426" w:hanging="426"/>
      </w:pPr>
      <w:r>
        <w:t>Daň dědická a daň darovací</w:t>
      </w:r>
    </w:p>
    <w:p w14:paraId="3FC5FAC2" w14:textId="77777777" w:rsidR="00FB00A9" w:rsidRDefault="00162AFB" w:rsidP="00D379E3">
      <w:pPr>
        <w:spacing w:after="2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Tabulka č. </w:t>
      </w:r>
      <w:r w:rsidR="001667E8">
        <w:rPr>
          <w:rFonts w:cstheme="minorHAnsi"/>
          <w:b/>
          <w:szCs w:val="24"/>
        </w:rPr>
        <w:t>7</w:t>
      </w:r>
      <w:r w:rsidR="00FB00A9">
        <w:rPr>
          <w:rFonts w:cstheme="minorHAnsi"/>
          <w:b/>
          <w:szCs w:val="24"/>
        </w:rPr>
        <w:t xml:space="preserve"> </w:t>
      </w:r>
      <w:r w:rsidR="00EF7262">
        <w:rPr>
          <w:rFonts w:cstheme="minorHAnsi"/>
          <w:b/>
          <w:szCs w:val="24"/>
        </w:rPr>
        <w:t>–</w:t>
      </w:r>
      <w:r w:rsidR="00FB00A9">
        <w:rPr>
          <w:rFonts w:cstheme="minorHAnsi"/>
          <w:b/>
          <w:szCs w:val="24"/>
        </w:rPr>
        <w:t xml:space="preserve"> Statistické údaje </w:t>
      </w:r>
      <w:r w:rsidR="00E04CD0">
        <w:rPr>
          <w:rFonts w:cstheme="minorHAnsi"/>
          <w:b/>
          <w:szCs w:val="24"/>
        </w:rPr>
        <w:t>k 31. 12. (FS ČR</w:t>
      </w:r>
      <w:r w:rsidR="00FB00A9">
        <w:rPr>
          <w:rFonts w:cstheme="minorHAnsi"/>
          <w:b/>
          <w:szCs w:val="24"/>
        </w:rPr>
        <w:t>)</w:t>
      </w:r>
    </w:p>
    <w:bookmarkStart w:id="82" w:name="_MON_1514022207"/>
    <w:bookmarkEnd w:id="82"/>
    <w:bookmarkStart w:id="83" w:name="_MON_1514098271"/>
    <w:bookmarkEnd w:id="83"/>
    <w:p w14:paraId="2931CE0D" w14:textId="57999316" w:rsidR="00DA66E0" w:rsidRPr="00216F5D" w:rsidRDefault="00A52E36" w:rsidP="00DA6073">
      <w:pPr>
        <w:pStyle w:val="Protokol"/>
        <w:spacing w:after="0"/>
        <w:rPr>
          <w:sz w:val="20"/>
        </w:rPr>
      </w:pPr>
      <w:r w:rsidRPr="00601A0A">
        <w:rPr>
          <w:i/>
          <w:sz w:val="20"/>
          <w:szCs w:val="20"/>
        </w:rPr>
        <w:object w:dxaOrig="9134" w:dyaOrig="2802" w14:anchorId="092EA30F">
          <v:shape id="_x0000_i1031" type="#_x0000_t75" style="width:453.75pt;height:2in" o:ole="" o:bordertopcolor="this" o:borderleftcolor="this">
            <v:imagedata r:id="rId21" o:title=""/>
            <w10:bordertop type="single" width="8"/>
            <w10:borderleft type="single" width="8"/>
          </v:shape>
          <o:OLEObject Type="Embed" ProgID="Excel.Sheet.12" ShapeID="_x0000_i1031" DrawAspect="Content" ObjectID="_1519634016" r:id="rId22"/>
        </w:object>
      </w:r>
      <w:r w:rsidR="00DA66E0" w:rsidRPr="00216F5D">
        <w:rPr>
          <w:b/>
          <w:sz w:val="20"/>
        </w:rPr>
        <w:t>Zdroj:</w:t>
      </w:r>
      <w:r w:rsidR="00DA66E0" w:rsidRPr="00216F5D">
        <w:rPr>
          <w:sz w:val="20"/>
        </w:rPr>
        <w:t xml:space="preserve"> GFŘ a vlastní zpracování NKÚ.</w:t>
      </w:r>
    </w:p>
    <w:p w14:paraId="76BA9FF0" w14:textId="61045C34" w:rsidR="00FB00A9" w:rsidRPr="00D379E3" w:rsidRDefault="00FB00A9" w:rsidP="009F3E99">
      <w:pPr>
        <w:pStyle w:val="Protokol"/>
        <w:spacing w:after="0" w:line="240" w:lineRule="auto"/>
        <w:ind w:left="284" w:hanging="284"/>
        <w:rPr>
          <w:sz w:val="20"/>
          <w:szCs w:val="20"/>
        </w:rPr>
      </w:pPr>
      <w:r w:rsidRPr="00D379E3">
        <w:rPr>
          <w:sz w:val="20"/>
          <w:szCs w:val="20"/>
        </w:rPr>
        <w:t>*</w:t>
      </w:r>
      <w:r w:rsidR="00DA66E0">
        <w:rPr>
          <w:sz w:val="20"/>
          <w:szCs w:val="20"/>
        </w:rPr>
        <w:t xml:space="preserve"> </w:t>
      </w:r>
      <w:r w:rsidR="00DA66E0">
        <w:rPr>
          <w:sz w:val="20"/>
          <w:szCs w:val="20"/>
        </w:rPr>
        <w:tab/>
      </w:r>
      <w:r w:rsidRPr="00D379E3">
        <w:rPr>
          <w:sz w:val="20"/>
          <w:szCs w:val="20"/>
        </w:rPr>
        <w:t>Jedná se o počet osobních daňových účtů, na kterých lze vytvořit předpis, přijmout platbu atd.</w:t>
      </w:r>
    </w:p>
    <w:p w14:paraId="7096A482" w14:textId="77777777" w:rsidR="00FB00A9" w:rsidRPr="00D379E3" w:rsidRDefault="00FB00A9" w:rsidP="009F3E99">
      <w:pPr>
        <w:pStyle w:val="Protokol"/>
        <w:spacing w:after="0" w:line="240" w:lineRule="auto"/>
        <w:ind w:left="284" w:hanging="284"/>
        <w:rPr>
          <w:sz w:val="20"/>
          <w:szCs w:val="20"/>
        </w:rPr>
      </w:pPr>
      <w:r w:rsidRPr="00D379E3">
        <w:rPr>
          <w:sz w:val="20"/>
          <w:szCs w:val="20"/>
        </w:rPr>
        <w:t xml:space="preserve">** </w:t>
      </w:r>
      <w:r w:rsidR="00DA66E0">
        <w:rPr>
          <w:sz w:val="20"/>
          <w:szCs w:val="20"/>
        </w:rPr>
        <w:tab/>
      </w:r>
      <w:r w:rsidRPr="00D379E3">
        <w:rPr>
          <w:sz w:val="20"/>
          <w:szCs w:val="20"/>
        </w:rPr>
        <w:t>Jedná se o počet osobních daňových účtů s</w:t>
      </w:r>
      <w:r w:rsidR="00A53E05" w:rsidRPr="00D379E3">
        <w:rPr>
          <w:sz w:val="20"/>
          <w:szCs w:val="20"/>
        </w:rPr>
        <w:t> </w:t>
      </w:r>
      <w:r w:rsidRPr="00D379E3">
        <w:rPr>
          <w:sz w:val="20"/>
          <w:szCs w:val="20"/>
        </w:rPr>
        <w:t>nedoplatkem</w:t>
      </w:r>
      <w:r w:rsidR="00A53E05" w:rsidRPr="00D379E3">
        <w:rPr>
          <w:sz w:val="20"/>
          <w:szCs w:val="20"/>
        </w:rPr>
        <w:t>.</w:t>
      </w:r>
    </w:p>
    <w:p w14:paraId="5E3205D6" w14:textId="77777777" w:rsidR="009F3E99" w:rsidRDefault="009F3E99" w:rsidP="00D379E3">
      <w:pPr>
        <w:pStyle w:val="Vchoz"/>
        <w:spacing w:after="0"/>
        <w:jc w:val="both"/>
        <w:rPr>
          <w:b/>
          <w:sz w:val="20"/>
        </w:rPr>
      </w:pPr>
    </w:p>
    <w:p w14:paraId="4666CE1B" w14:textId="008146A1" w:rsidR="00FB00A9" w:rsidRPr="000457E1" w:rsidRDefault="00FB00A9" w:rsidP="00FB00A9">
      <w:pPr>
        <w:pStyle w:val="Vchoz"/>
        <w:spacing w:after="200"/>
        <w:jc w:val="both"/>
        <w:rPr>
          <w:rFonts w:asciiTheme="minorHAnsi" w:hAnsiTheme="minorHAnsi" w:cstheme="minorHAnsi"/>
          <w:sz w:val="24"/>
        </w:rPr>
      </w:pPr>
      <w:r w:rsidRPr="000457E1">
        <w:rPr>
          <w:rFonts w:asciiTheme="minorHAnsi" w:hAnsiTheme="minorHAnsi" w:cstheme="minorHAnsi"/>
          <w:sz w:val="24"/>
        </w:rPr>
        <w:t>Výši daňové povinnosti a inkasa daně darovací</w:t>
      </w:r>
      <w:r w:rsidR="00DA66E0">
        <w:rPr>
          <w:rFonts w:asciiTheme="minorHAnsi" w:hAnsiTheme="minorHAnsi" w:cstheme="minorHAnsi"/>
          <w:sz w:val="24"/>
        </w:rPr>
        <w:t xml:space="preserve"> </w:t>
      </w:r>
      <w:r w:rsidRPr="000457E1">
        <w:rPr>
          <w:rFonts w:asciiTheme="minorHAnsi" w:hAnsiTheme="minorHAnsi" w:cstheme="minorHAnsi"/>
          <w:sz w:val="24"/>
        </w:rPr>
        <w:t xml:space="preserve">ovlivnilo </w:t>
      </w:r>
      <w:r>
        <w:rPr>
          <w:rFonts w:asciiTheme="minorHAnsi" w:hAnsiTheme="minorHAnsi" w:cstheme="minorHAnsi"/>
          <w:sz w:val="24"/>
        </w:rPr>
        <w:t xml:space="preserve">zdanění </w:t>
      </w:r>
      <w:r w:rsidRPr="000457E1">
        <w:rPr>
          <w:rFonts w:asciiTheme="minorHAnsi" w:hAnsiTheme="minorHAnsi" w:cstheme="minorHAnsi"/>
          <w:sz w:val="24"/>
        </w:rPr>
        <w:t>bezúplatného nabytí emisních povolenek v letech 2011 a 2012</w:t>
      </w:r>
      <w:r>
        <w:rPr>
          <w:rFonts w:asciiTheme="minorHAnsi" w:hAnsiTheme="minorHAnsi" w:cstheme="minorHAnsi"/>
          <w:sz w:val="24"/>
        </w:rPr>
        <w:t xml:space="preserve"> sazbou </w:t>
      </w:r>
      <w:r w:rsidRPr="000457E1">
        <w:rPr>
          <w:rFonts w:asciiTheme="minorHAnsi" w:hAnsiTheme="minorHAnsi" w:cstheme="minorHAnsi"/>
          <w:sz w:val="24"/>
        </w:rPr>
        <w:t xml:space="preserve">32 %. Nejvyšší správní soud v červenci </w:t>
      </w:r>
      <w:r w:rsidRPr="000457E1">
        <w:rPr>
          <w:rFonts w:asciiTheme="minorHAnsi" w:hAnsiTheme="minorHAnsi" w:cstheme="minorHAnsi"/>
          <w:sz w:val="24"/>
        </w:rPr>
        <w:lastRenderedPageBreak/>
        <w:t>2015</w:t>
      </w:r>
      <w:r w:rsidRPr="000457E1">
        <w:rPr>
          <w:rStyle w:val="Znakapoznpodarou"/>
          <w:rFonts w:asciiTheme="minorHAnsi" w:hAnsiTheme="minorHAnsi"/>
        </w:rPr>
        <w:footnoteReference w:id="7"/>
      </w:r>
      <w:r w:rsidRPr="000457E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na základě rozsudku Soudního dvora EU </w:t>
      </w:r>
      <w:r w:rsidRPr="000457E1">
        <w:rPr>
          <w:rFonts w:asciiTheme="minorHAnsi" w:hAnsiTheme="minorHAnsi" w:cstheme="minorHAnsi"/>
          <w:sz w:val="24"/>
        </w:rPr>
        <w:t>rozhodl, že dani darovací má být podrobeno pouze 10 % počtu emisních povolenek v odvětví</w:t>
      </w:r>
      <w:r w:rsidRPr="000457E1">
        <w:rPr>
          <w:rFonts w:asciiTheme="minorHAnsi" w:hAnsiTheme="minorHAnsi" w:cstheme="minorHAnsi"/>
          <w:sz w:val="24"/>
          <w:vertAlign w:val="superscript"/>
        </w:rPr>
        <w:footnoteReference w:id="8"/>
      </w:r>
      <w:r w:rsidRPr="000457E1">
        <w:rPr>
          <w:rFonts w:asciiTheme="minorHAnsi" w:hAnsiTheme="minorHAnsi" w:cstheme="minorHAnsi"/>
          <w:sz w:val="24"/>
        </w:rPr>
        <w:t xml:space="preserve">. Na základě tohoto rozsudku provádí Odvolací finanční ředitelství propočty pro ostatní odvětví, podle kterých bude postupovat </w:t>
      </w:r>
      <w:r>
        <w:rPr>
          <w:rFonts w:asciiTheme="minorHAnsi" w:hAnsiTheme="minorHAnsi" w:cstheme="minorHAnsi"/>
          <w:sz w:val="24"/>
        </w:rPr>
        <w:t xml:space="preserve">v odvolacích řízeních proti vyměření daně darovací z bezúplatně nabytých emisních povolenek. </w:t>
      </w:r>
    </w:p>
    <w:p w14:paraId="70FDC8AF" w14:textId="77777777" w:rsidR="008A2BF7" w:rsidRPr="00D379E3" w:rsidRDefault="00FB00A9" w:rsidP="00FB00A9">
      <w:pPr>
        <w:spacing w:line="276" w:lineRule="auto"/>
      </w:pPr>
      <w:r>
        <w:rPr>
          <w:rFonts w:cs="Calibri"/>
        </w:rPr>
        <w:t xml:space="preserve">Od 1. 1. 2014 jsou veškeré příjmy </w:t>
      </w:r>
      <w:r>
        <w:t xml:space="preserve">fyzických a právnických osob z dědění nebo odkazu od daní z příjmů osvobozeny. </w:t>
      </w:r>
    </w:p>
    <w:p w14:paraId="5308CA79" w14:textId="77777777" w:rsidR="00FB00A9" w:rsidRDefault="00394DFB" w:rsidP="00FB00A9">
      <w:pPr>
        <w:spacing w:line="276" w:lineRule="auto"/>
      </w:pPr>
      <w:r>
        <w:t xml:space="preserve">Po splnění zákonných podmínek jsou u </w:t>
      </w:r>
      <w:r w:rsidR="00150D31">
        <w:t>fyzických a právnických</w:t>
      </w:r>
      <w:r>
        <w:t xml:space="preserve"> osob některé příjmy nabyté darováním osvobozeny</w:t>
      </w:r>
      <w:r w:rsidR="009F3E99">
        <w:t xml:space="preserve"> od daně</w:t>
      </w:r>
      <w:r>
        <w:t xml:space="preserve">. </w:t>
      </w:r>
      <w:r w:rsidR="00FB00A9" w:rsidRPr="00392165">
        <w:t xml:space="preserve">Neosvobozené příjmy z darování jsou </w:t>
      </w:r>
      <w:r w:rsidR="00AF6DAB" w:rsidRPr="00392165">
        <w:t xml:space="preserve">v daňovém přiznání vykazovány </w:t>
      </w:r>
      <w:r w:rsidR="00FB00A9" w:rsidRPr="00392165">
        <w:t xml:space="preserve">jako součást příjmů </w:t>
      </w:r>
      <w:r w:rsidR="00162AFB" w:rsidRPr="00392165">
        <w:t>podle</w:t>
      </w:r>
      <w:r>
        <w:t xml:space="preserve"> zákona č. </w:t>
      </w:r>
      <w:r w:rsidR="00AF6DAB" w:rsidRPr="00392165">
        <w:t xml:space="preserve">586/1992 Sb. </w:t>
      </w:r>
      <w:r w:rsidR="00A87B64" w:rsidRPr="00392165">
        <w:t>a jako tyto příjmy jsou zdaňovány.</w:t>
      </w:r>
      <w:r w:rsidR="00FB00A9" w:rsidRPr="00392165">
        <w:t xml:space="preserve"> Bezúplatné příjmy nabyté darováním jsou u právnických </w:t>
      </w:r>
      <w:r w:rsidR="00FB00A9">
        <w:t xml:space="preserve">osob vykázány podle způsobu účtování ve výsledku hospodaření. </w:t>
      </w:r>
    </w:p>
    <w:p w14:paraId="134C6930" w14:textId="7A7F45B5" w:rsidR="00FB00A9" w:rsidRPr="00A87B64" w:rsidRDefault="00FB00A9" w:rsidP="00FB00A9">
      <w:pPr>
        <w:spacing w:line="276" w:lineRule="auto"/>
      </w:pPr>
      <w:r w:rsidRPr="00A87B64">
        <w:t xml:space="preserve">Údaje o konkrétních příjmech z bezúplatného nabytí majetku nejsou od 1. 1. 2014 v ADIS evidovány samostatně, ale </w:t>
      </w:r>
      <w:r w:rsidR="00AF6DAB" w:rsidRPr="00392165">
        <w:t>jsou</w:t>
      </w:r>
      <w:r w:rsidRPr="00392165">
        <w:t xml:space="preserve"> </w:t>
      </w:r>
      <w:r w:rsidRPr="00A87B64">
        <w:t>součástí celkového základu daně z příjmů fyzických, resp.</w:t>
      </w:r>
      <w:r w:rsidR="001913EB">
        <w:t> </w:t>
      </w:r>
      <w:r w:rsidRPr="00A87B64">
        <w:t xml:space="preserve">právnických osob. </w:t>
      </w:r>
    </w:p>
    <w:p w14:paraId="756C191F" w14:textId="77777777" w:rsidR="006763FA" w:rsidRDefault="006763FA" w:rsidP="005F7336">
      <w:pPr>
        <w:pStyle w:val="Protokol"/>
        <w:spacing w:after="0"/>
        <w:rPr>
          <w:b/>
        </w:rPr>
      </w:pPr>
      <w:r>
        <w:rPr>
          <w:b/>
        </w:rPr>
        <w:t>Nedoplatky</w:t>
      </w:r>
    </w:p>
    <w:p w14:paraId="4F0CAD6D" w14:textId="7FA22BEF" w:rsidR="00FC12DA" w:rsidRDefault="00B32EB6" w:rsidP="00D379E3">
      <w:pPr>
        <w:pStyle w:val="Protokol"/>
        <w:spacing w:after="0"/>
      </w:pPr>
      <w:r>
        <w:t>K 31. 12. 2014</w:t>
      </w:r>
      <w:r w:rsidR="00086849">
        <w:t xml:space="preserve"> činily</w:t>
      </w:r>
      <w:r w:rsidR="006763FA">
        <w:t xml:space="preserve"> nedoplatky na dan</w:t>
      </w:r>
      <w:r w:rsidR="009F3E99">
        <w:t>i</w:t>
      </w:r>
      <w:r w:rsidR="006763FA">
        <w:t xml:space="preserve"> dědické a darovací téměř </w:t>
      </w:r>
      <w:r>
        <w:t>126</w:t>
      </w:r>
      <w:r w:rsidR="006763FA">
        <w:t xml:space="preserve"> mil. Kč. </w:t>
      </w:r>
    </w:p>
    <w:p w14:paraId="34660F7B" w14:textId="77777777" w:rsidR="00FD45EE" w:rsidRDefault="00FD45EE" w:rsidP="00FD45EE">
      <w:pPr>
        <w:pStyle w:val="Protokol"/>
        <w:spacing w:after="0"/>
        <w:rPr>
          <w:strike/>
        </w:rPr>
      </w:pPr>
    </w:p>
    <w:p w14:paraId="4A6CB634" w14:textId="77777777" w:rsidR="00AA3616" w:rsidRPr="00FC12DA" w:rsidRDefault="00FC12DA" w:rsidP="006763FA">
      <w:pPr>
        <w:pStyle w:val="Protokol"/>
        <w:rPr>
          <w:rFonts w:eastAsiaTheme="minorHAnsi"/>
          <w:b/>
          <w:bCs/>
          <w:sz w:val="28"/>
          <w:szCs w:val="28"/>
        </w:rPr>
      </w:pPr>
      <w:r w:rsidRPr="00FC12DA">
        <w:rPr>
          <w:b/>
          <w:sz w:val="28"/>
          <w:szCs w:val="28"/>
        </w:rPr>
        <w:t>K</w:t>
      </w:r>
      <w:r w:rsidR="00AA3616" w:rsidRPr="00FC12DA">
        <w:rPr>
          <w:rFonts w:eastAsiaTheme="minorHAnsi"/>
          <w:b/>
          <w:bCs/>
          <w:sz w:val="28"/>
          <w:szCs w:val="28"/>
        </w:rPr>
        <w:t> otázce č. 2</w:t>
      </w:r>
    </w:p>
    <w:p w14:paraId="4796BE89" w14:textId="77777777" w:rsidR="00FB00A9" w:rsidRDefault="00FB00A9" w:rsidP="007F23D5">
      <w:pPr>
        <w:pStyle w:val="Nadpis2"/>
        <w:numPr>
          <w:ilvl w:val="0"/>
          <w:numId w:val="2"/>
        </w:numPr>
        <w:shd w:val="clear" w:color="auto" w:fill="E3EBF3"/>
        <w:ind w:left="426" w:hanging="426"/>
      </w:pPr>
      <w:r>
        <w:t xml:space="preserve">Efektivnost a nákladovost </w:t>
      </w:r>
      <w:r w:rsidR="009F3E99">
        <w:t xml:space="preserve">správy </w:t>
      </w:r>
      <w:r>
        <w:t>příjmů z majetkových daní</w:t>
      </w:r>
    </w:p>
    <w:p w14:paraId="7D1858D8" w14:textId="77777777" w:rsidR="00FB00A9" w:rsidRDefault="00FB00A9" w:rsidP="00FB00A9">
      <w:pPr>
        <w:pStyle w:val="Protokol"/>
      </w:pPr>
      <w:r>
        <w:t xml:space="preserve">Výkonnost finanční správy je možné sledovat z několika hledisek, jedním z nich je měření </w:t>
      </w:r>
      <w:r w:rsidR="00C33D4C">
        <w:t>náklad</w:t>
      </w:r>
      <w:r w:rsidR="00B9122A">
        <w:t>ovosti spojené</w:t>
      </w:r>
      <w:r>
        <w:t xml:space="preserve"> s výběrem daní </w:t>
      </w:r>
      <w:r w:rsidR="005456BF">
        <w:t>finanční správ</w:t>
      </w:r>
      <w:r w:rsidR="00C33D4C">
        <w:t>ou</w:t>
      </w:r>
      <w:r>
        <w:t xml:space="preserve">. </w:t>
      </w:r>
    </w:p>
    <w:p w14:paraId="2A1556D3" w14:textId="0B7C6CE2" w:rsidR="002152C3" w:rsidRPr="00B07A74" w:rsidRDefault="00FB00A9" w:rsidP="002152C3">
      <w:pPr>
        <w:pStyle w:val="Protokol"/>
      </w:pPr>
      <w:r>
        <w:t xml:space="preserve">Výpočet efektivnosti a nákladovosti </w:t>
      </w:r>
      <w:r w:rsidR="009F3E99">
        <w:t xml:space="preserve">správy </w:t>
      </w:r>
      <w:r>
        <w:t>daní</w:t>
      </w:r>
      <w:r w:rsidR="00E64106">
        <w:t xml:space="preserve"> </w:t>
      </w:r>
      <w:r w:rsidR="009F3E99">
        <w:t>u</w:t>
      </w:r>
      <w:r w:rsidR="00E64106">
        <w:t xml:space="preserve"> FS ČR</w:t>
      </w:r>
      <w:r>
        <w:t xml:space="preserve"> vychází z ú</w:t>
      </w:r>
      <w:r w:rsidR="005456BF">
        <w:t xml:space="preserve">dajů uvedených v tabulkách č. </w:t>
      </w:r>
      <w:r w:rsidR="001667E8">
        <w:t>8</w:t>
      </w:r>
      <w:r w:rsidR="00567A01">
        <w:t xml:space="preserve"> a </w:t>
      </w:r>
      <w:r w:rsidR="001667E8">
        <w:t>9</w:t>
      </w:r>
      <w:r>
        <w:t>.</w:t>
      </w:r>
      <w:r w:rsidR="00AA3616">
        <w:t xml:space="preserve"> </w:t>
      </w:r>
    </w:p>
    <w:p w14:paraId="0FB095FA" w14:textId="77777777" w:rsidR="009F3E99" w:rsidRDefault="009F3E99" w:rsidP="00754071">
      <w:pPr>
        <w:pStyle w:val="Protokol"/>
        <w:spacing w:line="240" w:lineRule="auto"/>
        <w:contextualSpacing/>
        <w:rPr>
          <w:rFonts w:cs="Calibri"/>
          <w:b/>
        </w:rPr>
      </w:pPr>
    </w:p>
    <w:p w14:paraId="04764994" w14:textId="7370ACC8" w:rsidR="002152C3" w:rsidRDefault="002152C3" w:rsidP="00A62B47">
      <w:pPr>
        <w:pStyle w:val="Protokol"/>
        <w:keepNext/>
        <w:spacing w:line="240" w:lineRule="auto"/>
        <w:contextualSpacing/>
      </w:pPr>
      <w:r w:rsidRPr="00CD2981">
        <w:rPr>
          <w:rFonts w:cs="Calibri"/>
          <w:b/>
        </w:rPr>
        <w:lastRenderedPageBreak/>
        <w:t xml:space="preserve">Tabulka č. </w:t>
      </w:r>
      <w:r w:rsidR="001667E8">
        <w:rPr>
          <w:rFonts w:cs="Calibri"/>
          <w:b/>
        </w:rPr>
        <w:t>8</w:t>
      </w:r>
      <w:r w:rsidRPr="00CD2981">
        <w:rPr>
          <w:rFonts w:cs="Calibri"/>
          <w:b/>
        </w:rPr>
        <w:t xml:space="preserve"> – </w:t>
      </w:r>
      <w:r>
        <w:rPr>
          <w:rFonts w:cs="Calibri"/>
          <w:b/>
        </w:rPr>
        <w:t>Celkové údaje o příjmech, výdajích a počtu zaměstnanců FS ČR</w:t>
      </w:r>
    </w:p>
    <w:bookmarkStart w:id="84" w:name="_MON_1514119227"/>
    <w:bookmarkStart w:id="85" w:name="_MON_1514119412"/>
    <w:bookmarkStart w:id="86" w:name="_MON_1514118940"/>
    <w:bookmarkStart w:id="87" w:name="_MON_1514119127"/>
    <w:bookmarkStart w:id="88" w:name="_MON_1518330458"/>
    <w:bookmarkEnd w:id="84"/>
    <w:bookmarkEnd w:id="85"/>
    <w:bookmarkEnd w:id="86"/>
    <w:bookmarkEnd w:id="87"/>
    <w:bookmarkEnd w:id="88"/>
    <w:bookmarkStart w:id="89" w:name="_MON_1518330538"/>
    <w:bookmarkEnd w:id="89"/>
    <w:p w14:paraId="48F15741" w14:textId="3E26F1DD" w:rsidR="002152C3" w:rsidRDefault="00E12128" w:rsidP="00A62B47">
      <w:pPr>
        <w:pStyle w:val="Protokol"/>
        <w:spacing w:after="0" w:line="240" w:lineRule="auto"/>
        <w:rPr>
          <w:sz w:val="20"/>
          <w:szCs w:val="20"/>
        </w:rPr>
      </w:pPr>
      <w:r w:rsidRPr="00601A0A">
        <w:rPr>
          <w:rFonts w:cs="Calibri"/>
          <w:b/>
        </w:rPr>
        <w:object w:dxaOrig="8861" w:dyaOrig="2411" w14:anchorId="5D3236F6">
          <v:shape id="_x0000_i1032" type="#_x0000_t75" style="width:443.25pt;height:123pt" o:ole="" o:bordertopcolor="this" o:borderleftcolor="this">
            <v:imagedata r:id="rId23" o:title=""/>
            <w10:bordertop type="single" width="8"/>
            <w10:borderleft type="single" width="8"/>
          </v:shape>
          <o:OLEObject Type="Embed" ProgID="Excel.Sheet.12" ShapeID="_x0000_i1032" DrawAspect="Content" ObjectID="_1519634017" r:id="rId24"/>
        </w:object>
      </w:r>
      <w:r w:rsidR="002152C3" w:rsidRPr="00A62B47">
        <w:rPr>
          <w:b/>
          <w:sz w:val="20"/>
          <w:szCs w:val="20"/>
        </w:rPr>
        <w:t>Zdroj:</w:t>
      </w:r>
      <w:r w:rsidR="002152C3" w:rsidRPr="00A62B47">
        <w:rPr>
          <w:sz w:val="20"/>
          <w:szCs w:val="20"/>
        </w:rPr>
        <w:t xml:space="preserve"> vlastní výpočet NKÚ na základě dat GFŘ</w:t>
      </w:r>
      <w:r w:rsidR="00A53E05" w:rsidRPr="00A62B47">
        <w:rPr>
          <w:sz w:val="20"/>
          <w:szCs w:val="20"/>
        </w:rPr>
        <w:t>.</w:t>
      </w:r>
    </w:p>
    <w:p w14:paraId="5073C2D1" w14:textId="691053E8" w:rsidR="00DB48AA" w:rsidRPr="00A62B47" w:rsidRDefault="00DB48AA" w:rsidP="00A62B47">
      <w:pPr>
        <w:pStyle w:val="Protokol"/>
        <w:spacing w:after="0" w:line="240" w:lineRule="auto"/>
        <w:rPr>
          <w:sz w:val="20"/>
          <w:szCs w:val="20"/>
        </w:rPr>
      </w:pPr>
      <w:r w:rsidRPr="00A62B47">
        <w:rPr>
          <w:b/>
          <w:sz w:val="20"/>
          <w:szCs w:val="20"/>
        </w:rPr>
        <w:t>Pozn.:</w:t>
      </w:r>
      <w:r w:rsidRPr="00A62B47">
        <w:rPr>
          <w:sz w:val="20"/>
          <w:szCs w:val="20"/>
        </w:rPr>
        <w:t xml:space="preserve"> FS</w:t>
      </w:r>
      <w:r>
        <w:rPr>
          <w:sz w:val="20"/>
          <w:szCs w:val="20"/>
        </w:rPr>
        <w:t xml:space="preserve"> – Finanční správa ČR.</w:t>
      </w:r>
    </w:p>
    <w:p w14:paraId="2B18DF6C" w14:textId="15A07E12" w:rsidR="00FB00A9" w:rsidRPr="00877BF0" w:rsidRDefault="00FB00A9" w:rsidP="00A62B47">
      <w:pPr>
        <w:pStyle w:val="Protokol"/>
        <w:keepNext/>
        <w:spacing w:before="240" w:after="20"/>
        <w:ind w:left="1701" w:hanging="1701"/>
      </w:pPr>
      <w:r w:rsidRPr="00CD2981">
        <w:rPr>
          <w:rFonts w:cs="Calibri"/>
          <w:b/>
        </w:rPr>
        <w:t xml:space="preserve">Tabulka č. </w:t>
      </w:r>
      <w:r w:rsidR="001667E8">
        <w:rPr>
          <w:rFonts w:cs="Calibri"/>
          <w:b/>
        </w:rPr>
        <w:t>9</w:t>
      </w:r>
      <w:r w:rsidRPr="00CD2981">
        <w:rPr>
          <w:rFonts w:cs="Calibri"/>
          <w:b/>
        </w:rPr>
        <w:t xml:space="preserve"> –</w:t>
      </w:r>
      <w:r w:rsidR="00414061">
        <w:rPr>
          <w:rFonts w:cs="Calibri"/>
          <w:b/>
        </w:rPr>
        <w:t xml:space="preserve"> </w:t>
      </w:r>
      <w:r w:rsidRPr="00CD2981">
        <w:rPr>
          <w:rFonts w:cs="Calibri"/>
          <w:b/>
        </w:rPr>
        <w:t xml:space="preserve">Efektivnost a nákladovost </w:t>
      </w:r>
      <w:r w:rsidR="005456BF">
        <w:rPr>
          <w:rFonts w:cs="Calibri"/>
          <w:b/>
        </w:rPr>
        <w:t>správy</w:t>
      </w:r>
      <w:r w:rsidRPr="00CD2981">
        <w:rPr>
          <w:rFonts w:cs="Calibri"/>
          <w:b/>
        </w:rPr>
        <w:t xml:space="preserve"> </w:t>
      </w:r>
      <w:r w:rsidR="0071438B">
        <w:rPr>
          <w:rFonts w:cs="Calibri"/>
          <w:b/>
        </w:rPr>
        <w:t>všech druhů</w:t>
      </w:r>
      <w:r>
        <w:rPr>
          <w:rFonts w:cs="Calibri"/>
          <w:b/>
        </w:rPr>
        <w:t xml:space="preserve"> příjmů</w:t>
      </w:r>
      <w:r w:rsidR="005456BF">
        <w:rPr>
          <w:rFonts w:cs="Calibri"/>
          <w:b/>
        </w:rPr>
        <w:t xml:space="preserve"> </w:t>
      </w:r>
      <w:r w:rsidR="00987FCF">
        <w:rPr>
          <w:rFonts w:cs="Calibri"/>
          <w:b/>
        </w:rPr>
        <w:t xml:space="preserve">za </w:t>
      </w:r>
      <w:r w:rsidR="00E61BE2" w:rsidRPr="00392165">
        <w:rPr>
          <w:rFonts w:cs="Calibri"/>
          <w:b/>
        </w:rPr>
        <w:t>FS</w:t>
      </w:r>
      <w:r w:rsidR="00414061">
        <w:rPr>
          <w:rFonts w:cs="Calibri"/>
          <w:b/>
        </w:rPr>
        <w:t xml:space="preserve"> </w:t>
      </w:r>
      <w:r w:rsidR="0071438B">
        <w:rPr>
          <w:rFonts w:cs="Calibri"/>
          <w:b/>
        </w:rPr>
        <w:t xml:space="preserve">ČR </w:t>
      </w:r>
      <w:r w:rsidR="00414061">
        <w:rPr>
          <w:rFonts w:cs="Calibri"/>
          <w:b/>
        </w:rPr>
        <w:t>(v </w:t>
      </w:r>
      <w:r w:rsidR="005456BF" w:rsidRPr="00CD2981">
        <w:rPr>
          <w:rFonts w:cs="Calibri"/>
          <w:b/>
        </w:rPr>
        <w:t>Kč)</w:t>
      </w:r>
    </w:p>
    <w:bookmarkStart w:id="90" w:name="_MON_1507105395"/>
    <w:bookmarkStart w:id="91" w:name="_MON_1507104132"/>
    <w:bookmarkStart w:id="92" w:name="_MON_1514096264"/>
    <w:bookmarkStart w:id="93" w:name="_MON_1508589604"/>
    <w:bookmarkStart w:id="94" w:name="_MON_1508838234"/>
    <w:bookmarkStart w:id="95" w:name="_MON_1508838327"/>
    <w:bookmarkEnd w:id="90"/>
    <w:bookmarkEnd w:id="91"/>
    <w:bookmarkEnd w:id="92"/>
    <w:bookmarkEnd w:id="93"/>
    <w:bookmarkEnd w:id="94"/>
    <w:bookmarkEnd w:id="95"/>
    <w:bookmarkStart w:id="96" w:name="_MON_1508840310"/>
    <w:bookmarkEnd w:id="96"/>
    <w:p w14:paraId="74400254" w14:textId="6865FD0F" w:rsidR="00FB00A9" w:rsidRDefault="00BF4586" w:rsidP="00754071">
      <w:pPr>
        <w:keepNext/>
        <w:spacing w:after="0"/>
      </w:pPr>
      <w:r>
        <w:object w:dxaOrig="7482" w:dyaOrig="2121" w14:anchorId="6A736444">
          <v:shape id="_x0000_i1033" type="#_x0000_t75" style="width:374.25pt;height:108.75pt" o:ole="" o:bordertopcolor="this" o:borderleftcolor="this">
            <v:imagedata r:id="rId25" o:title=""/>
            <w10:bordertop type="single" width="8"/>
            <w10:borderleft type="single" width="8"/>
          </v:shape>
          <o:OLEObject Type="Embed" ProgID="Excel.Sheet.12" ShapeID="_x0000_i1033" DrawAspect="Content" ObjectID="_1519634018" r:id="rId26"/>
        </w:object>
      </w:r>
    </w:p>
    <w:p w14:paraId="56A65763" w14:textId="77777777" w:rsidR="00FB00A9" w:rsidRPr="00821EC5" w:rsidRDefault="00FB00A9" w:rsidP="00754071">
      <w:pPr>
        <w:pStyle w:val="Protokol"/>
        <w:keepNext/>
      </w:pPr>
      <w:r w:rsidRPr="00A62B47">
        <w:rPr>
          <w:b/>
          <w:sz w:val="20"/>
          <w:szCs w:val="20"/>
        </w:rPr>
        <w:t>Zdroj:</w:t>
      </w:r>
      <w:r w:rsidRPr="00A62B47">
        <w:rPr>
          <w:sz w:val="20"/>
          <w:szCs w:val="20"/>
        </w:rPr>
        <w:t xml:space="preserve"> vlastní výpočet NKÚ na základě dat GFŘ</w:t>
      </w:r>
      <w:r w:rsidR="00A53E05" w:rsidRPr="00A62B47">
        <w:rPr>
          <w:sz w:val="20"/>
          <w:szCs w:val="20"/>
        </w:rPr>
        <w:t>.</w:t>
      </w:r>
    </w:p>
    <w:p w14:paraId="46734901" w14:textId="77777777" w:rsidR="00FB00A9" w:rsidRDefault="00FB00A9" w:rsidP="00FB00A9">
      <w:pPr>
        <w:pStyle w:val="Protokol"/>
      </w:pPr>
      <w:r>
        <w:t>GFŘ sleduje a zveřejňuje informace o efektivnosti a nákladovosti správy daní za</w:t>
      </w:r>
      <w:r w:rsidR="007057F5">
        <w:t xml:space="preserve"> všechny daňové příjmy</w:t>
      </w:r>
      <w:r w:rsidR="00394DFB">
        <w:t>,</w:t>
      </w:r>
      <w:r w:rsidR="007057F5">
        <w:t xml:space="preserve"> nikoli </w:t>
      </w:r>
      <w:r>
        <w:t xml:space="preserve">za jednotlivé druhy daní. </w:t>
      </w:r>
    </w:p>
    <w:p w14:paraId="4FC4959C" w14:textId="2F867E33" w:rsidR="00424B19" w:rsidRDefault="00FB00A9" w:rsidP="00FB00A9">
      <w:pPr>
        <w:pStyle w:val="Protokol"/>
      </w:pPr>
      <w:r>
        <w:t>Personální</w:t>
      </w:r>
      <w:r w:rsidR="00290DAE">
        <w:t xml:space="preserve"> informační systém GFŘ neumožňoval</w:t>
      </w:r>
      <w:r>
        <w:t xml:space="preserve"> získat údaje o rozdělení pracovníků dle náplně jejich činnost</w:t>
      </w:r>
      <w:r w:rsidR="00BF4586">
        <w:t>i</w:t>
      </w:r>
      <w:r>
        <w:t xml:space="preserve"> nebo dle jejich funkčního zařazení (správce daně, kontrolor, vedoucí atd.) pro výpočet náklad</w:t>
      </w:r>
      <w:r w:rsidR="00290DAE">
        <w:t xml:space="preserve">ovosti </w:t>
      </w:r>
      <w:r>
        <w:t xml:space="preserve">na výběr jednotlivých majetkových daní. NKÚ získal pouze konkrétní mzdové </w:t>
      </w:r>
      <w:r w:rsidR="002B4C92">
        <w:t>výdaje</w:t>
      </w:r>
      <w:r>
        <w:t xml:space="preserve"> v členění za jednotlivá oddělení a evidenční, resp. přepočtený evidenční počet pracovníků oddělení majetkových daní, kterým byly tyto mzdové </w:t>
      </w:r>
      <w:r w:rsidR="00FF6BCA">
        <w:t>prostředky</w:t>
      </w:r>
      <w:r>
        <w:t xml:space="preserve"> vyplaceny. </w:t>
      </w:r>
      <w:r w:rsidR="00424B19" w:rsidRPr="00394DFB">
        <w:t>Pro nedostatek údajů provedl NKÚ</w:t>
      </w:r>
      <w:r w:rsidR="00394DFB" w:rsidRPr="00394DFB">
        <w:t xml:space="preserve"> výpočet</w:t>
      </w:r>
      <w:r w:rsidR="00424B19" w:rsidRPr="00394DFB">
        <w:t xml:space="preserve"> p</w:t>
      </w:r>
      <w:r w:rsidRPr="00394DFB">
        <w:t>ro stanovení celk</w:t>
      </w:r>
      <w:r w:rsidR="00424B19" w:rsidRPr="00394DFB">
        <w:t xml:space="preserve">ových </w:t>
      </w:r>
      <w:r w:rsidR="00EE1817">
        <w:t>výdajů</w:t>
      </w:r>
      <w:r w:rsidR="00424B19" w:rsidRPr="00394DFB">
        <w:t xml:space="preserve"> na </w:t>
      </w:r>
      <w:r w:rsidR="00BF4586">
        <w:t xml:space="preserve">správu </w:t>
      </w:r>
      <w:r w:rsidR="00424B19" w:rsidRPr="00394DFB">
        <w:t>majetk</w:t>
      </w:r>
      <w:r w:rsidR="00394DFB" w:rsidRPr="00394DFB">
        <w:t>ov</w:t>
      </w:r>
      <w:r w:rsidR="00BF4586">
        <w:t>ých</w:t>
      </w:r>
      <w:r w:rsidR="00394DFB" w:rsidRPr="00394DFB">
        <w:t xml:space="preserve"> dan</w:t>
      </w:r>
      <w:r w:rsidR="00BF4586">
        <w:t>í</w:t>
      </w:r>
      <w:r w:rsidR="00394DFB" w:rsidRPr="00394DFB">
        <w:t xml:space="preserve"> tak, že </w:t>
      </w:r>
      <w:r w:rsidRPr="00394DFB">
        <w:t xml:space="preserve">přepočetl investiční a </w:t>
      </w:r>
      <w:r w:rsidR="000832D8">
        <w:t>ostatní</w:t>
      </w:r>
      <w:r w:rsidRPr="00394DFB">
        <w:t xml:space="preserve"> </w:t>
      </w:r>
      <w:r w:rsidR="00EE1817">
        <w:t>výdaje</w:t>
      </w:r>
      <w:r w:rsidRPr="00394DFB">
        <w:t xml:space="preserve"> podílem zaměstnanců oddělení majetkových daní na celkovém počtu zaměstnanců </w:t>
      </w:r>
      <w:r w:rsidR="005456BF">
        <w:t>finanční správy</w:t>
      </w:r>
      <w:r w:rsidRPr="007B118E">
        <w:t>.</w:t>
      </w:r>
      <w:r>
        <w:t xml:space="preserve"> </w:t>
      </w:r>
    </w:p>
    <w:p w14:paraId="43AC713D" w14:textId="44D6730D" w:rsidR="00FB00A9" w:rsidRDefault="00FB00A9" w:rsidP="00FB00A9">
      <w:pPr>
        <w:pStyle w:val="Protokol"/>
      </w:pPr>
      <w:r>
        <w:t xml:space="preserve">Výpočet efektivnosti a nákladovosti </w:t>
      </w:r>
      <w:r w:rsidR="00BF4586">
        <w:t xml:space="preserve">u </w:t>
      </w:r>
      <w:r>
        <w:t xml:space="preserve">majetkových daní vychází z údajů uvedených v tabulkách č. </w:t>
      </w:r>
      <w:r w:rsidR="001667E8">
        <w:t>10 a 11</w:t>
      </w:r>
      <w:r>
        <w:t>.</w:t>
      </w:r>
    </w:p>
    <w:p w14:paraId="49811CC2" w14:textId="575207F8" w:rsidR="00FB00A9" w:rsidRPr="00CD2981" w:rsidRDefault="00FB00A9" w:rsidP="007661D4">
      <w:pPr>
        <w:keepNext/>
        <w:spacing w:after="20"/>
        <w:rPr>
          <w:rFonts w:cs="Calibri"/>
          <w:b/>
        </w:rPr>
      </w:pPr>
      <w:r w:rsidRPr="00CD2981">
        <w:rPr>
          <w:rFonts w:cs="Calibri"/>
          <w:b/>
        </w:rPr>
        <w:t xml:space="preserve">Tabulka č. </w:t>
      </w:r>
      <w:r w:rsidR="00162AFB">
        <w:rPr>
          <w:rFonts w:cs="Calibri"/>
          <w:b/>
        </w:rPr>
        <w:t>1</w:t>
      </w:r>
      <w:r w:rsidR="001667E8">
        <w:rPr>
          <w:rFonts w:cs="Calibri"/>
          <w:b/>
        </w:rPr>
        <w:t>0</w:t>
      </w:r>
      <w:r w:rsidRPr="00CD2981">
        <w:rPr>
          <w:rFonts w:cs="Calibri"/>
          <w:b/>
        </w:rPr>
        <w:t xml:space="preserve"> – Přepočet </w:t>
      </w:r>
      <w:r w:rsidR="00FB5252">
        <w:rPr>
          <w:rFonts w:cs="Calibri"/>
          <w:b/>
        </w:rPr>
        <w:t>výdajů</w:t>
      </w:r>
      <w:r w:rsidRPr="00CD2981">
        <w:rPr>
          <w:rFonts w:cs="Calibri"/>
          <w:b/>
        </w:rPr>
        <w:t xml:space="preserve"> na majetkové daně</w:t>
      </w:r>
    </w:p>
    <w:bookmarkStart w:id="97" w:name="_MON_1515939012"/>
    <w:bookmarkEnd w:id="97"/>
    <w:bookmarkStart w:id="98" w:name="_MON_1518330630"/>
    <w:bookmarkEnd w:id="98"/>
    <w:p w14:paraId="79391205" w14:textId="329305E9" w:rsidR="00FB00A9" w:rsidRPr="00215F6A" w:rsidRDefault="002E37F1" w:rsidP="00056246">
      <w:pPr>
        <w:keepNext/>
        <w:spacing w:after="0"/>
        <w:rPr>
          <w:rFonts w:cs="Calibri"/>
          <w:sz w:val="20"/>
          <w:szCs w:val="20"/>
        </w:rPr>
      </w:pPr>
      <w:r>
        <w:object w:dxaOrig="9086" w:dyaOrig="2064" w14:anchorId="67DA69EE">
          <v:shape id="_x0000_i1034" type="#_x0000_t75" style="width:454.5pt;height:99.75pt" o:ole="" o:bordertopcolor="this" o:borderleftcolor="this">
            <v:imagedata r:id="rId27" o:title=""/>
            <w10:bordertop type="single" width="8"/>
            <w10:borderleft type="single" width="8"/>
          </v:shape>
          <o:OLEObject Type="Embed" ProgID="Excel.Sheet.12" ShapeID="_x0000_i1034" DrawAspect="Content" ObjectID="_1519634019" r:id="rId28"/>
        </w:object>
      </w:r>
      <w:r w:rsidR="00FB00A9" w:rsidRPr="00215F6A">
        <w:rPr>
          <w:rFonts w:cs="Calibri"/>
          <w:b/>
          <w:sz w:val="20"/>
          <w:szCs w:val="20"/>
        </w:rPr>
        <w:t>Zdroj:</w:t>
      </w:r>
      <w:r w:rsidR="00FB00A9" w:rsidRPr="00215F6A">
        <w:rPr>
          <w:rFonts w:cs="Calibri"/>
          <w:sz w:val="20"/>
          <w:szCs w:val="20"/>
        </w:rPr>
        <w:t xml:space="preserve"> GFŘ</w:t>
      </w:r>
      <w:r w:rsidR="00A53E05" w:rsidRPr="00215F6A">
        <w:rPr>
          <w:rFonts w:cs="Calibri"/>
          <w:sz w:val="20"/>
          <w:szCs w:val="20"/>
        </w:rPr>
        <w:t>.</w:t>
      </w:r>
    </w:p>
    <w:p w14:paraId="1D7537F7" w14:textId="4B5267F1" w:rsidR="00FB00A9" w:rsidRPr="00215F6A" w:rsidRDefault="00FB00A9" w:rsidP="00056246">
      <w:pPr>
        <w:spacing w:after="0"/>
        <w:ind w:left="567" w:hanging="567"/>
        <w:rPr>
          <w:rFonts w:cs="Calibri"/>
          <w:sz w:val="20"/>
          <w:szCs w:val="20"/>
        </w:rPr>
      </w:pPr>
      <w:r w:rsidRPr="00215F6A">
        <w:rPr>
          <w:rFonts w:cs="Calibri"/>
          <w:b/>
          <w:sz w:val="20"/>
          <w:szCs w:val="20"/>
        </w:rPr>
        <w:t>Pozn.:</w:t>
      </w:r>
      <w:r w:rsidR="00FB5252" w:rsidRPr="00215F6A">
        <w:rPr>
          <w:rFonts w:cs="Calibri"/>
          <w:sz w:val="20"/>
          <w:szCs w:val="20"/>
        </w:rPr>
        <w:t xml:space="preserve"> </w:t>
      </w:r>
      <w:r w:rsidR="00BF4586">
        <w:rPr>
          <w:rFonts w:cs="Calibri"/>
          <w:sz w:val="20"/>
          <w:szCs w:val="20"/>
        </w:rPr>
        <w:tab/>
      </w:r>
      <w:r w:rsidR="00FB5252" w:rsidRPr="00215F6A">
        <w:rPr>
          <w:rFonts w:cs="Calibri"/>
          <w:sz w:val="20"/>
          <w:szCs w:val="20"/>
        </w:rPr>
        <w:t>MV</w:t>
      </w:r>
      <w:r w:rsidRPr="00215F6A">
        <w:rPr>
          <w:rFonts w:cs="Calibri"/>
          <w:sz w:val="20"/>
          <w:szCs w:val="20"/>
        </w:rPr>
        <w:t xml:space="preserve"> – mzdové </w:t>
      </w:r>
      <w:r w:rsidR="00FB5252" w:rsidRPr="00215F6A">
        <w:rPr>
          <w:rFonts w:cs="Calibri"/>
          <w:sz w:val="20"/>
          <w:szCs w:val="20"/>
        </w:rPr>
        <w:t>výdaje</w:t>
      </w:r>
      <w:r w:rsidRPr="00215F6A">
        <w:rPr>
          <w:rFonts w:cs="Calibri"/>
          <w:sz w:val="20"/>
          <w:szCs w:val="20"/>
        </w:rPr>
        <w:t>, MD – majetkové daně</w:t>
      </w:r>
      <w:r w:rsidR="00A53E05" w:rsidRPr="00215F6A">
        <w:rPr>
          <w:rFonts w:cs="Calibri"/>
          <w:sz w:val="20"/>
          <w:szCs w:val="20"/>
        </w:rPr>
        <w:t>.</w:t>
      </w:r>
    </w:p>
    <w:p w14:paraId="34F0B2CE" w14:textId="7EA24662" w:rsidR="004D45C5" w:rsidRPr="00215F6A" w:rsidRDefault="00BF4586" w:rsidP="00056246">
      <w:pPr>
        <w:spacing w:after="0"/>
        <w:ind w:left="567" w:hanging="56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R</w:t>
      </w:r>
      <w:r w:rsidR="00AD7A82" w:rsidRPr="00215F6A">
        <w:rPr>
          <w:rFonts w:cs="Calibri"/>
          <w:sz w:val="20"/>
          <w:szCs w:val="20"/>
        </w:rPr>
        <w:t>ozdíly v přepočtených hodnotách byly způsobeny zaokrouhlením</w:t>
      </w:r>
      <w:r w:rsidR="00A53E05" w:rsidRPr="00215F6A">
        <w:rPr>
          <w:rFonts w:cs="Calibri"/>
          <w:sz w:val="20"/>
          <w:szCs w:val="20"/>
        </w:rPr>
        <w:t>.</w:t>
      </w:r>
    </w:p>
    <w:p w14:paraId="11086BE5" w14:textId="77777777" w:rsidR="004D45C5" w:rsidRPr="00D95E6F" w:rsidRDefault="004D45C5" w:rsidP="004D45C5">
      <w:pPr>
        <w:spacing w:after="0"/>
        <w:rPr>
          <w:rFonts w:cs="Calibri"/>
          <w:szCs w:val="24"/>
        </w:rPr>
      </w:pPr>
    </w:p>
    <w:p w14:paraId="0B1FE89E" w14:textId="025F5888" w:rsidR="00AD7A82" w:rsidRDefault="00FB00A9" w:rsidP="004D45C5">
      <w:pPr>
        <w:spacing w:after="0"/>
        <w:jc w:val="left"/>
        <w:rPr>
          <w:rFonts w:cs="Calibri"/>
          <w:sz w:val="20"/>
          <w:szCs w:val="20"/>
        </w:rPr>
      </w:pPr>
      <w:r w:rsidRPr="00CD2981">
        <w:rPr>
          <w:b/>
        </w:rPr>
        <w:t xml:space="preserve">Tabulka č. </w:t>
      </w:r>
      <w:r w:rsidR="00162AFB">
        <w:rPr>
          <w:b/>
        </w:rPr>
        <w:t>1</w:t>
      </w:r>
      <w:r w:rsidR="001667E8">
        <w:rPr>
          <w:b/>
        </w:rPr>
        <w:t>1</w:t>
      </w:r>
      <w:r w:rsidRPr="00CD2981">
        <w:rPr>
          <w:b/>
        </w:rPr>
        <w:t xml:space="preserve"> – </w:t>
      </w:r>
      <w:r>
        <w:rPr>
          <w:b/>
        </w:rPr>
        <w:t>E</w:t>
      </w:r>
      <w:r w:rsidRPr="00CD2981">
        <w:rPr>
          <w:b/>
        </w:rPr>
        <w:t>fektivnost</w:t>
      </w:r>
      <w:r>
        <w:rPr>
          <w:b/>
        </w:rPr>
        <w:t xml:space="preserve"> a nákladovost</w:t>
      </w:r>
      <w:r w:rsidRPr="00CD2981">
        <w:rPr>
          <w:b/>
        </w:rPr>
        <w:t xml:space="preserve"> </w:t>
      </w:r>
      <w:r w:rsidR="005456BF">
        <w:rPr>
          <w:b/>
        </w:rPr>
        <w:t xml:space="preserve">správy </w:t>
      </w:r>
      <w:r w:rsidRPr="00CD2981">
        <w:rPr>
          <w:b/>
        </w:rPr>
        <w:t>majetkových daní</w:t>
      </w:r>
      <w:bookmarkStart w:id="99" w:name="_MON_1508589802"/>
      <w:bookmarkStart w:id="100" w:name="_MON_1508589889"/>
      <w:bookmarkStart w:id="101" w:name="_MON_1508589726"/>
      <w:bookmarkStart w:id="102" w:name="_MON_1508840325"/>
      <w:bookmarkStart w:id="103" w:name="_MON_1514096271"/>
      <w:bookmarkStart w:id="104" w:name="_MON_1508843990"/>
      <w:bookmarkStart w:id="105" w:name="_MON_1508589738"/>
      <w:bookmarkStart w:id="106" w:name="_MON_1515939073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Start w:id="107" w:name="_MON_1508589744"/>
      <w:bookmarkEnd w:id="107"/>
      <w:r w:rsidR="00750A13">
        <w:object w:dxaOrig="9086" w:dyaOrig="3005" w14:anchorId="411EB883">
          <v:shape id="_x0000_i1035" type="#_x0000_t75" style="width:459.75pt;height:150pt" o:ole="" o:bordertopcolor="this" o:borderleftcolor="this">
            <v:imagedata r:id="rId29" o:title=""/>
            <w10:bordertop type="single" width="8"/>
            <w10:borderleft type="single" width="8"/>
          </v:shape>
          <o:OLEObject Type="Embed" ProgID="Excel.Sheet.12" ShapeID="_x0000_i1035" DrawAspect="Content" ObjectID="_1519634020" r:id="rId30"/>
        </w:object>
      </w:r>
      <w:r w:rsidRPr="00144F61">
        <w:rPr>
          <w:rFonts w:cs="Calibri"/>
          <w:b/>
          <w:sz w:val="20"/>
          <w:szCs w:val="20"/>
        </w:rPr>
        <w:t>Zdroj:</w:t>
      </w:r>
      <w:r w:rsidRPr="00144F61">
        <w:rPr>
          <w:rFonts w:cs="Calibri"/>
          <w:sz w:val="20"/>
          <w:szCs w:val="20"/>
        </w:rPr>
        <w:t xml:space="preserve"> vlastní výpočet NKÚ</w:t>
      </w:r>
      <w:r w:rsidR="00056246">
        <w:rPr>
          <w:rFonts w:cs="Calibri"/>
          <w:sz w:val="20"/>
          <w:szCs w:val="20"/>
        </w:rPr>
        <w:t xml:space="preserve"> dle dat GFŘ</w:t>
      </w:r>
      <w:r w:rsidR="00A53E05" w:rsidRPr="00144F61">
        <w:rPr>
          <w:rFonts w:cs="Calibri"/>
          <w:sz w:val="20"/>
          <w:szCs w:val="20"/>
        </w:rPr>
        <w:t>.</w:t>
      </w:r>
    </w:p>
    <w:p w14:paraId="79D538C7" w14:textId="1D029D16" w:rsidR="00056246" w:rsidRPr="009B21E4" w:rsidRDefault="00056246" w:rsidP="00056246">
      <w:pPr>
        <w:spacing w:after="0"/>
        <w:ind w:left="567" w:hanging="567"/>
        <w:rPr>
          <w:rFonts w:cs="Calibri"/>
          <w:sz w:val="20"/>
          <w:szCs w:val="20"/>
        </w:rPr>
      </w:pPr>
      <w:r w:rsidRPr="009B21E4">
        <w:rPr>
          <w:rFonts w:cs="Calibri"/>
          <w:b/>
          <w:sz w:val="20"/>
          <w:szCs w:val="20"/>
        </w:rPr>
        <w:t>Pozn.:</w:t>
      </w:r>
      <w:r w:rsidRPr="009B21E4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9B21E4">
        <w:rPr>
          <w:rFonts w:cs="Calibri"/>
          <w:sz w:val="20"/>
          <w:szCs w:val="20"/>
        </w:rPr>
        <w:t>MD – majetkové daně</w:t>
      </w:r>
      <w:r>
        <w:rPr>
          <w:rFonts w:cs="Calibri"/>
          <w:sz w:val="20"/>
          <w:szCs w:val="20"/>
        </w:rPr>
        <w:t>;</w:t>
      </w:r>
      <w:r w:rsidRPr="009B21E4">
        <w:rPr>
          <w:rFonts w:cs="Calibri"/>
          <w:sz w:val="20"/>
          <w:szCs w:val="20"/>
        </w:rPr>
        <w:t xml:space="preserve"> MV – mzdové výdaje.</w:t>
      </w:r>
    </w:p>
    <w:p w14:paraId="7CAC5210" w14:textId="77777777" w:rsidR="00056246" w:rsidRPr="00144F61" w:rsidRDefault="00056246" w:rsidP="004D45C5">
      <w:pPr>
        <w:spacing w:after="0"/>
        <w:jc w:val="left"/>
        <w:rPr>
          <w:rFonts w:cs="Calibri"/>
          <w:szCs w:val="24"/>
        </w:rPr>
      </w:pPr>
    </w:p>
    <w:p w14:paraId="622BA041" w14:textId="77777777" w:rsidR="0072223C" w:rsidRPr="00144F61" w:rsidRDefault="0072223C" w:rsidP="004D45C5">
      <w:pPr>
        <w:spacing w:after="0"/>
        <w:jc w:val="left"/>
        <w:rPr>
          <w:rFonts w:cs="Calibri"/>
          <w:szCs w:val="24"/>
        </w:rPr>
      </w:pPr>
    </w:p>
    <w:p w14:paraId="3EAFD9EB" w14:textId="77777777" w:rsidR="00FB00A9" w:rsidRPr="007B7B3F" w:rsidRDefault="00FB00A9" w:rsidP="00144F61">
      <w:pPr>
        <w:pStyle w:val="Protokol"/>
        <w:keepNext/>
        <w:ind w:left="1134" w:hanging="1134"/>
        <w:jc w:val="left"/>
        <w:rPr>
          <w:b/>
        </w:rPr>
      </w:pPr>
      <w:r w:rsidRPr="007B7B3F">
        <w:rPr>
          <w:b/>
        </w:rPr>
        <w:t xml:space="preserve">Graf č. </w:t>
      </w:r>
      <w:r w:rsidR="00E04CD0">
        <w:rPr>
          <w:b/>
        </w:rPr>
        <w:t>1</w:t>
      </w:r>
      <w:r>
        <w:rPr>
          <w:b/>
        </w:rPr>
        <w:t xml:space="preserve"> –</w:t>
      </w:r>
      <w:r w:rsidR="00EF7262">
        <w:rPr>
          <w:b/>
        </w:rPr>
        <w:tab/>
      </w:r>
      <w:r>
        <w:rPr>
          <w:b/>
        </w:rPr>
        <w:t>Příjmy a výdaje na 1 zaměstnance FS ČR a na 1 zaměstnance oddělení majetkových daní (v tis. Kč)</w:t>
      </w:r>
    </w:p>
    <w:p w14:paraId="7B47F352" w14:textId="77777777" w:rsidR="00FB00A9" w:rsidRDefault="0018069A" w:rsidP="00FB00A9">
      <w:pPr>
        <w:pStyle w:val="Protokol"/>
        <w:keepNext/>
      </w:pPr>
      <w:r>
        <w:rPr>
          <w:noProof/>
          <w:lang w:eastAsia="cs-CZ"/>
        </w:rPr>
        <w:drawing>
          <wp:inline distT="0" distB="0" distL="0" distR="0" wp14:anchorId="52994664" wp14:editId="5D2E4B22">
            <wp:extent cx="5709237" cy="2896880"/>
            <wp:effectExtent l="0" t="0" r="6350" b="0"/>
            <wp:docPr id="3" name="Obrázek 3" descr="F:\Users\PROFELDOVA\AppData\Local\Microsoft\Windows\Temporary Internet Files\Content.Word\Příjmy a výdaj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Users\PROFELDOVA\AppData\Local\Microsoft\Windows\Temporary Internet Files\Content.Word\Příjmy a výdaje_3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37" cy="289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E80A9" w14:textId="05350110" w:rsidR="00FB00A9" w:rsidRDefault="00FB00A9" w:rsidP="00144F61">
      <w:pPr>
        <w:pStyle w:val="Protokol"/>
        <w:spacing w:after="0"/>
        <w:rPr>
          <w:sz w:val="20"/>
          <w:szCs w:val="20"/>
        </w:rPr>
      </w:pPr>
      <w:r w:rsidRPr="00144F61">
        <w:rPr>
          <w:b/>
          <w:sz w:val="20"/>
          <w:szCs w:val="20"/>
        </w:rPr>
        <w:t>Zdroj:</w:t>
      </w:r>
      <w:r w:rsidRPr="00144F61">
        <w:rPr>
          <w:sz w:val="20"/>
          <w:szCs w:val="20"/>
        </w:rPr>
        <w:t xml:space="preserve"> vlastní zpracování NKÚ</w:t>
      </w:r>
      <w:r w:rsidR="00A53E05" w:rsidRPr="00144F61">
        <w:rPr>
          <w:sz w:val="20"/>
          <w:szCs w:val="20"/>
        </w:rPr>
        <w:t>.</w:t>
      </w:r>
    </w:p>
    <w:p w14:paraId="79D027F7" w14:textId="150B2727" w:rsidR="00401CA2" w:rsidRPr="00144F61" w:rsidRDefault="00401CA2" w:rsidP="00401CA2">
      <w:pPr>
        <w:pStyle w:val="Protokol"/>
        <w:rPr>
          <w:sz w:val="20"/>
          <w:szCs w:val="20"/>
        </w:rPr>
      </w:pPr>
      <w:r w:rsidRPr="00144F61">
        <w:rPr>
          <w:b/>
          <w:sz w:val="20"/>
          <w:szCs w:val="20"/>
        </w:rPr>
        <w:t>Pozn.:</w:t>
      </w:r>
      <w:r>
        <w:rPr>
          <w:sz w:val="20"/>
          <w:szCs w:val="20"/>
        </w:rPr>
        <w:t xml:space="preserve"> FS ČR – Finanční správa ČR; MD – majetkové daně.</w:t>
      </w:r>
    </w:p>
    <w:p w14:paraId="68AA8E36" w14:textId="1FAAFBA8" w:rsidR="00FB00A9" w:rsidRPr="008C5D16" w:rsidRDefault="00FB00A9" w:rsidP="009E033F">
      <w:pPr>
        <w:pStyle w:val="Protokol"/>
      </w:pPr>
      <w:r>
        <w:t xml:space="preserve">Výdaje na jednoho </w:t>
      </w:r>
      <w:r w:rsidRPr="004D45C5">
        <w:t xml:space="preserve">zaměstnance </w:t>
      </w:r>
      <w:r w:rsidR="00AF6DAB" w:rsidRPr="004D45C5">
        <w:t xml:space="preserve">oddělení </w:t>
      </w:r>
      <w:r w:rsidRPr="004D45C5">
        <w:t>majetkových daní dosahovaly v letech 2012</w:t>
      </w:r>
      <w:r w:rsidR="00EF7262" w:rsidRPr="004D45C5">
        <w:t>–</w:t>
      </w:r>
      <w:r w:rsidRPr="004D45C5">
        <w:t xml:space="preserve">2014 téměř </w:t>
      </w:r>
      <w:r w:rsidRPr="00394DFB">
        <w:t>stejných hodnot</w:t>
      </w:r>
      <w:r w:rsidR="0051638D" w:rsidRPr="00394DFB">
        <w:t xml:space="preserve"> jako výdaje na jednoho zaměstnance finanční správy</w:t>
      </w:r>
      <w:r w:rsidRPr="00394DFB">
        <w:t>, oproti tomu příjmy na zaměstnance</w:t>
      </w:r>
      <w:r w:rsidR="00D31D83" w:rsidRPr="00394DFB">
        <w:t xml:space="preserve"> oddělení majetkových daní</w:t>
      </w:r>
      <w:r w:rsidRPr="00394DFB">
        <w:t xml:space="preserve"> z inkasa majetkových daní byly třikrát </w:t>
      </w:r>
      <w:r>
        <w:t xml:space="preserve">nižší než příjmy z inkasa daní na jednoho zaměstnance </w:t>
      </w:r>
      <w:r w:rsidR="005456BF">
        <w:t>finanční správy</w:t>
      </w:r>
      <w:r w:rsidR="005B126E">
        <w:t>.</w:t>
      </w:r>
    </w:p>
    <w:p w14:paraId="721E9E02" w14:textId="77777777" w:rsidR="00754071" w:rsidRDefault="00FB00A9" w:rsidP="00F63F7D">
      <w:pPr>
        <w:pStyle w:val="Protokol"/>
        <w:keepNext/>
        <w:rPr>
          <w:b/>
        </w:rPr>
      </w:pPr>
      <w:r w:rsidRPr="007B7B3F">
        <w:rPr>
          <w:b/>
        </w:rPr>
        <w:lastRenderedPageBreak/>
        <w:t xml:space="preserve">Graf č. </w:t>
      </w:r>
      <w:r w:rsidR="00E04CD0">
        <w:rPr>
          <w:b/>
        </w:rPr>
        <w:t>2</w:t>
      </w:r>
      <w:r>
        <w:rPr>
          <w:b/>
        </w:rPr>
        <w:t xml:space="preserve"> – </w:t>
      </w:r>
      <w:r w:rsidR="0011616D">
        <w:rPr>
          <w:b/>
        </w:rPr>
        <w:t>E</w:t>
      </w:r>
      <w:r>
        <w:rPr>
          <w:b/>
        </w:rPr>
        <w:t>fektivnost</w:t>
      </w:r>
      <w:r w:rsidR="0011616D">
        <w:rPr>
          <w:b/>
        </w:rPr>
        <w:t xml:space="preserve"> a nákladovost</w:t>
      </w:r>
      <w:r>
        <w:rPr>
          <w:b/>
        </w:rPr>
        <w:t xml:space="preserve"> výběru daní FS ČR a výběru majetkových daní</w:t>
      </w:r>
      <w:r w:rsidR="00314C20">
        <w:rPr>
          <w:b/>
        </w:rPr>
        <w:t xml:space="preserve"> (v Kč)</w:t>
      </w:r>
      <w:r w:rsidR="00FB79E2">
        <w:rPr>
          <w:noProof/>
          <w:lang w:eastAsia="cs-CZ"/>
        </w:rPr>
        <w:drawing>
          <wp:inline distT="0" distB="0" distL="0" distR="0" wp14:anchorId="54054B44" wp14:editId="6A254977">
            <wp:extent cx="6038490" cy="2264927"/>
            <wp:effectExtent l="0" t="0" r="635" b="2540"/>
            <wp:docPr id="5" name="Obrázek 5" descr="C:\Users\JERABKOVA\AppData\Local\Microsoft\Windows\Temporary Internet Files\Content.Word\Nákladovost + efektivnost_finál_bez osy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ERABKOVA\AppData\Local\Microsoft\Windows\Temporary Internet Files\Content.Word\Nákladovost + efektivnost_finál_bez osy_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82" cy="226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09E40" w14:textId="77777777" w:rsidR="00FB00A9" w:rsidRPr="009D7EFA" w:rsidRDefault="00FB00A9" w:rsidP="009D7EFA">
      <w:pPr>
        <w:pStyle w:val="Protokol"/>
        <w:keepNext/>
        <w:spacing w:after="0"/>
        <w:rPr>
          <w:sz w:val="20"/>
          <w:szCs w:val="20"/>
        </w:rPr>
      </w:pPr>
      <w:r w:rsidRPr="009D7EFA">
        <w:rPr>
          <w:b/>
          <w:sz w:val="20"/>
          <w:szCs w:val="20"/>
        </w:rPr>
        <w:t>Zdroj:</w:t>
      </w:r>
      <w:r w:rsidRPr="009D7EFA">
        <w:rPr>
          <w:sz w:val="20"/>
          <w:szCs w:val="20"/>
        </w:rPr>
        <w:t xml:space="preserve"> vlastní zpracování NKÚ</w:t>
      </w:r>
      <w:r w:rsidR="00A53E05" w:rsidRPr="009D7EFA">
        <w:rPr>
          <w:sz w:val="20"/>
          <w:szCs w:val="20"/>
        </w:rPr>
        <w:t>.</w:t>
      </w:r>
    </w:p>
    <w:p w14:paraId="30AFB4BE" w14:textId="77777777" w:rsidR="00750A13" w:rsidRPr="00750A13" w:rsidRDefault="00750A13" w:rsidP="00750A13">
      <w:pPr>
        <w:pStyle w:val="Protokol"/>
        <w:rPr>
          <w:sz w:val="20"/>
          <w:szCs w:val="20"/>
        </w:rPr>
      </w:pPr>
      <w:r w:rsidRPr="009D7EFA">
        <w:rPr>
          <w:b/>
          <w:sz w:val="20"/>
          <w:szCs w:val="20"/>
        </w:rPr>
        <w:t>Pozn.:</w:t>
      </w:r>
      <w:r w:rsidRPr="00750A13">
        <w:rPr>
          <w:sz w:val="20"/>
          <w:szCs w:val="20"/>
        </w:rPr>
        <w:t xml:space="preserve"> FS ČR – Finanční správa ČR; MD – majetkové daně.</w:t>
      </w:r>
    </w:p>
    <w:p w14:paraId="3C19466E" w14:textId="77777777" w:rsidR="00750A13" w:rsidRPr="00270EB9" w:rsidRDefault="00750A13" w:rsidP="00F63F7D">
      <w:pPr>
        <w:pStyle w:val="Protokol"/>
        <w:keepNext/>
        <w:rPr>
          <w:i/>
          <w:sz w:val="20"/>
          <w:szCs w:val="20"/>
        </w:rPr>
      </w:pPr>
    </w:p>
    <w:p w14:paraId="7BE3C9E6" w14:textId="77777777" w:rsidR="00D6506B" w:rsidRDefault="00D6506B" w:rsidP="00FB00A9">
      <w:pPr>
        <w:pStyle w:val="Protokol"/>
      </w:pPr>
    </w:p>
    <w:p w14:paraId="6CC575C9" w14:textId="4C13C8E8" w:rsidR="00FB00A9" w:rsidRDefault="00FB00A9" w:rsidP="00FB00A9">
      <w:pPr>
        <w:pStyle w:val="Protokol"/>
      </w:pPr>
      <w:r>
        <w:t>Efektivnost výběru majetkových daní</w:t>
      </w:r>
      <w:r w:rsidR="00750A13">
        <w:t xml:space="preserve">, </w:t>
      </w:r>
      <w:r>
        <w:t>tj. hodnota příjmů na 1 Kč výdajů</w:t>
      </w:r>
      <w:r w:rsidR="00750A13">
        <w:t>,</w:t>
      </w:r>
      <w:r>
        <w:t xml:space="preserve"> má mírně rostoucí tendenci. V poměru k efektivnosti výběru všech daní byla efektivnost výběru majetkových daní v letech 2012–2014 cca třikrát nižší.</w:t>
      </w:r>
    </w:p>
    <w:p w14:paraId="6E449C53" w14:textId="380FD316" w:rsidR="00FB00A9" w:rsidRDefault="00FB00A9" w:rsidP="00FB00A9">
      <w:pPr>
        <w:pStyle w:val="Protokol"/>
      </w:pPr>
      <w:r>
        <w:t>Nákladovost správy majetkových daní</w:t>
      </w:r>
      <w:r w:rsidR="00750A13">
        <w:t>,</w:t>
      </w:r>
      <w:r>
        <w:t xml:space="preserve"> tj. hodnota výdajů na 100 Kč příjmů</w:t>
      </w:r>
      <w:r w:rsidR="00750A13">
        <w:t>,</w:t>
      </w:r>
      <w:r>
        <w:t xml:space="preserve"> má naopak mírně klesající tendenci a je v poměru k nákladovosti správy všech daní třikrát vyšší. </w:t>
      </w:r>
    </w:p>
    <w:p w14:paraId="592E032D" w14:textId="77777777" w:rsidR="00EC3E0D" w:rsidRDefault="00FB00A9" w:rsidP="00754071">
      <w:pPr>
        <w:pStyle w:val="Protokol"/>
      </w:pPr>
      <w:r>
        <w:t xml:space="preserve">Podle dat </w:t>
      </w:r>
      <w:r w:rsidR="00111C93">
        <w:t>OECD</w:t>
      </w:r>
      <w:r>
        <w:t xml:space="preserve"> tvoří příjmy z majetkových daní v ČR cca 1,38 % celkových daňových příjmů. V mezinárodním srovnání vybraných zemí je podíl příjmů z majetkových daní na celkových daňových příjmech v ČR druhý nejnižší.</w:t>
      </w:r>
    </w:p>
    <w:p w14:paraId="553CCC42" w14:textId="77777777" w:rsidR="000E0CA2" w:rsidRPr="000E0CA2" w:rsidRDefault="00162AFB" w:rsidP="00754071">
      <w:pPr>
        <w:keepNext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lastRenderedPageBreak/>
        <w:t>Tabulka č. 1</w:t>
      </w:r>
      <w:r w:rsidR="001667E8">
        <w:rPr>
          <w:rFonts w:cstheme="minorHAnsi"/>
          <w:b/>
          <w:szCs w:val="24"/>
        </w:rPr>
        <w:t>2</w:t>
      </w:r>
      <w:r w:rsidR="000E0CA2" w:rsidRPr="000E0CA2">
        <w:rPr>
          <w:rFonts w:cstheme="minorHAnsi"/>
          <w:b/>
          <w:szCs w:val="24"/>
        </w:rPr>
        <w:t xml:space="preserve"> </w:t>
      </w:r>
      <w:r w:rsidR="00EF7262">
        <w:rPr>
          <w:rFonts w:cstheme="minorHAnsi"/>
          <w:b/>
          <w:szCs w:val="24"/>
        </w:rPr>
        <w:t>–</w:t>
      </w:r>
      <w:r w:rsidR="000E0CA2" w:rsidRPr="000E0CA2">
        <w:rPr>
          <w:rFonts w:cstheme="minorHAnsi"/>
          <w:b/>
          <w:szCs w:val="24"/>
        </w:rPr>
        <w:t xml:space="preserve"> Podíl příjmů z majetkových daní</w:t>
      </w:r>
      <w:r w:rsidR="00B247E9">
        <w:rPr>
          <w:rFonts w:cstheme="minorHAnsi"/>
          <w:b/>
          <w:szCs w:val="24"/>
        </w:rPr>
        <w:t xml:space="preserve"> na celkových daňových příjmech</w:t>
      </w:r>
    </w:p>
    <w:bookmarkStart w:id="108" w:name="_MON_1517038823"/>
    <w:bookmarkEnd w:id="108"/>
    <w:p w14:paraId="1874E3EF" w14:textId="7F7CF690" w:rsidR="00FB00A9" w:rsidRDefault="004334FF" w:rsidP="00754071">
      <w:pPr>
        <w:pStyle w:val="Protokol"/>
        <w:keepNext/>
      </w:pPr>
      <w:r>
        <w:object w:dxaOrig="6936" w:dyaOrig="6413" w14:anchorId="33804B4C">
          <v:shape id="_x0000_i1036" type="#_x0000_t75" style="width:346.5pt;height:324pt" o:ole="" o:bordertopcolor="this" o:borderleftcolor="this">
            <v:imagedata r:id="rId33" o:title=""/>
            <w10:bordertop type="single" width="8"/>
            <w10:borderleft type="single" width="8"/>
          </v:shape>
          <o:OLEObject Type="Embed" ProgID="Excel.Sheet.12" ShapeID="_x0000_i1036" DrawAspect="Content" ObjectID="_1519634021" r:id="rId34"/>
        </w:object>
      </w:r>
    </w:p>
    <w:p w14:paraId="57590723" w14:textId="77777777" w:rsidR="00FB00A9" w:rsidRPr="001863F3" w:rsidRDefault="00FB00A9" w:rsidP="00754071">
      <w:pPr>
        <w:pStyle w:val="Protokol"/>
        <w:keepNext/>
        <w:spacing w:after="0"/>
        <w:rPr>
          <w:sz w:val="20"/>
          <w:szCs w:val="20"/>
        </w:rPr>
      </w:pPr>
      <w:r w:rsidRPr="001863F3">
        <w:rPr>
          <w:b/>
          <w:sz w:val="20"/>
          <w:szCs w:val="20"/>
        </w:rPr>
        <w:t>Zdroj:</w:t>
      </w:r>
      <w:r w:rsidRPr="001863F3">
        <w:rPr>
          <w:sz w:val="20"/>
          <w:szCs w:val="20"/>
        </w:rPr>
        <w:t xml:space="preserve"> OECD, </w:t>
      </w:r>
      <w:hyperlink r:id="rId35" w:history="1">
        <w:r w:rsidRPr="001863F3">
          <w:rPr>
            <w:sz w:val="20"/>
            <w:szCs w:val="20"/>
          </w:rPr>
          <w:t>https://data.oecd.org/tax/tax-on-property.htm</w:t>
        </w:r>
      </w:hyperlink>
      <w:r w:rsidRPr="001863F3">
        <w:rPr>
          <w:sz w:val="20"/>
          <w:szCs w:val="20"/>
        </w:rPr>
        <w:t>, 16. 10. 2015</w:t>
      </w:r>
      <w:r w:rsidR="00A53E05" w:rsidRPr="001863F3">
        <w:rPr>
          <w:sz w:val="20"/>
          <w:szCs w:val="20"/>
        </w:rPr>
        <w:t>.</w:t>
      </w:r>
    </w:p>
    <w:p w14:paraId="0D73B637" w14:textId="35E50A98" w:rsidR="00FB00A9" w:rsidRPr="001863F3" w:rsidRDefault="00FB00A9" w:rsidP="004334FF">
      <w:pPr>
        <w:pStyle w:val="Protokol"/>
        <w:keepNext/>
        <w:spacing w:after="0"/>
        <w:ind w:left="567" w:hanging="567"/>
        <w:rPr>
          <w:sz w:val="20"/>
          <w:szCs w:val="20"/>
        </w:rPr>
      </w:pPr>
      <w:r w:rsidRPr="001863F3">
        <w:rPr>
          <w:b/>
          <w:sz w:val="20"/>
          <w:szCs w:val="20"/>
        </w:rPr>
        <w:t>Pozn.:</w:t>
      </w:r>
      <w:r w:rsidRPr="001863F3">
        <w:rPr>
          <w:sz w:val="20"/>
          <w:szCs w:val="20"/>
        </w:rPr>
        <w:t xml:space="preserve"> </w:t>
      </w:r>
      <w:r w:rsidR="004334FF">
        <w:rPr>
          <w:sz w:val="20"/>
          <w:szCs w:val="20"/>
        </w:rPr>
        <w:tab/>
      </w:r>
      <w:r w:rsidRPr="001863F3">
        <w:rPr>
          <w:sz w:val="20"/>
          <w:szCs w:val="20"/>
        </w:rPr>
        <w:t>x – data pro Polsko a Nizozem</w:t>
      </w:r>
      <w:r w:rsidR="004334FF" w:rsidRPr="001863F3">
        <w:rPr>
          <w:sz w:val="20"/>
          <w:szCs w:val="20"/>
        </w:rPr>
        <w:t>sko</w:t>
      </w:r>
      <w:r w:rsidRPr="001863F3">
        <w:rPr>
          <w:sz w:val="20"/>
          <w:szCs w:val="20"/>
        </w:rPr>
        <w:t xml:space="preserve"> nebyla k</w:t>
      </w:r>
      <w:r w:rsidR="00A53E05" w:rsidRPr="001863F3">
        <w:rPr>
          <w:sz w:val="20"/>
          <w:szCs w:val="20"/>
        </w:rPr>
        <w:t> </w:t>
      </w:r>
      <w:r w:rsidRPr="001863F3">
        <w:rPr>
          <w:sz w:val="20"/>
          <w:szCs w:val="20"/>
        </w:rPr>
        <w:t>dispozici</w:t>
      </w:r>
      <w:r w:rsidR="00A53E05" w:rsidRPr="001863F3">
        <w:rPr>
          <w:sz w:val="20"/>
          <w:szCs w:val="20"/>
        </w:rPr>
        <w:t>.</w:t>
      </w:r>
    </w:p>
    <w:p w14:paraId="2B22100F" w14:textId="2A566C3E" w:rsidR="00314C20" w:rsidRPr="001863F3" w:rsidRDefault="004334FF" w:rsidP="00A53E05">
      <w:pPr>
        <w:pStyle w:val="Protokol"/>
        <w:keepNext/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Pr="001863F3">
        <w:rPr>
          <w:sz w:val="20"/>
          <w:szCs w:val="20"/>
        </w:rPr>
        <w:t>D</w:t>
      </w:r>
      <w:r w:rsidR="00B247E9" w:rsidRPr="001863F3">
        <w:rPr>
          <w:sz w:val="20"/>
          <w:szCs w:val="20"/>
        </w:rPr>
        <w:t>o celkových daňových příjmů byly zahrnuty i příjmy vybírané celní správou</w:t>
      </w:r>
      <w:r w:rsidR="00CF39CB" w:rsidRPr="001863F3">
        <w:rPr>
          <w:sz w:val="20"/>
          <w:szCs w:val="20"/>
        </w:rPr>
        <w:t xml:space="preserve"> </w:t>
      </w:r>
      <w:r w:rsidR="00EC3E0D" w:rsidRPr="001863F3">
        <w:rPr>
          <w:sz w:val="20"/>
          <w:szCs w:val="20"/>
        </w:rPr>
        <w:t>a příspěvky na sociální zabezpečení</w:t>
      </w:r>
      <w:r w:rsidR="00A53E05" w:rsidRPr="001863F3">
        <w:rPr>
          <w:sz w:val="20"/>
          <w:szCs w:val="20"/>
        </w:rPr>
        <w:t>.</w:t>
      </w:r>
    </w:p>
    <w:p w14:paraId="54CECC24" w14:textId="77777777" w:rsidR="00FB00A9" w:rsidRDefault="00FB00A9" w:rsidP="00FB00A9">
      <w:pPr>
        <w:pStyle w:val="Protokol"/>
      </w:pPr>
    </w:p>
    <w:p w14:paraId="1C7A5FDD" w14:textId="77777777" w:rsidR="00131D03" w:rsidRDefault="00131D03" w:rsidP="00FB00A9">
      <w:pPr>
        <w:pStyle w:val="Protokol"/>
        <w:rPr>
          <w:b/>
          <w:sz w:val="28"/>
          <w:szCs w:val="28"/>
        </w:rPr>
      </w:pPr>
      <w:r>
        <w:rPr>
          <w:b/>
          <w:sz w:val="28"/>
          <w:szCs w:val="28"/>
        </w:rPr>
        <w:t>K otázce č. 3</w:t>
      </w:r>
    </w:p>
    <w:p w14:paraId="1DBC7283" w14:textId="77777777" w:rsidR="00131D03" w:rsidRPr="00C614A7" w:rsidRDefault="00131D03" w:rsidP="00C614A7">
      <w:pPr>
        <w:pStyle w:val="Nadpis2"/>
        <w:numPr>
          <w:ilvl w:val="0"/>
          <w:numId w:val="2"/>
        </w:numPr>
        <w:shd w:val="clear" w:color="auto" w:fill="E3EBF3"/>
        <w:ind w:left="426" w:hanging="426"/>
      </w:pPr>
      <w:r>
        <w:t>Dopady legislativních změn</w:t>
      </w:r>
    </w:p>
    <w:p w14:paraId="6181BB2B" w14:textId="77777777" w:rsidR="00131D03" w:rsidRDefault="00131D03" w:rsidP="00FB00A9">
      <w:pPr>
        <w:pStyle w:val="Protokol"/>
      </w:pPr>
      <w:r>
        <w:t>Legislativní změny neměly vliv na inkaso daně z nemovitých věcí. Kladně se na inkasu projevila analytická činnost GFŘ, na základě které byly v roce 2014 do ADIS zavedeny elektronické kontrolní mechanismy.</w:t>
      </w:r>
    </w:p>
    <w:p w14:paraId="48F64793" w14:textId="77777777" w:rsidR="00446AAE" w:rsidRPr="00466EB8" w:rsidRDefault="00BF2C57" w:rsidP="00446AAE">
      <w:pPr>
        <w:pStyle w:val="Protokol"/>
        <w:rPr>
          <w:b/>
        </w:rPr>
      </w:pPr>
      <w:r>
        <w:t>Finanční d</w:t>
      </w:r>
      <w:r w:rsidR="00446AAE">
        <w:t xml:space="preserve">opad zavedení srovnávací daňové hodnoty jako základu daně </w:t>
      </w:r>
      <w:r w:rsidR="00BB6868">
        <w:t xml:space="preserve">z nabytí nemovitých věcí </w:t>
      </w:r>
      <w:r w:rsidR="00446AAE">
        <w:t>na příjmy státu nelze</w:t>
      </w:r>
      <w:r w:rsidR="00446AAE" w:rsidRPr="00466EB8">
        <w:t xml:space="preserve"> </w:t>
      </w:r>
      <w:r>
        <w:t xml:space="preserve">z ADIS </w:t>
      </w:r>
      <w:r w:rsidR="00446AAE" w:rsidRPr="00466EB8">
        <w:t>zjistit</w:t>
      </w:r>
      <w:r>
        <w:t xml:space="preserve">. </w:t>
      </w:r>
    </w:p>
    <w:p w14:paraId="2B249BE9" w14:textId="50834025" w:rsidR="001E57A6" w:rsidRPr="00A4624D" w:rsidRDefault="001E57A6" w:rsidP="001E57A6">
      <w:pPr>
        <w:pStyle w:val="Protokol"/>
      </w:pPr>
      <w:r w:rsidRPr="00A4624D">
        <w:t xml:space="preserve">Dopad zdaňování bezúplatných příjmů z dědictví a darování </w:t>
      </w:r>
      <w:r w:rsidR="007A58DF">
        <w:t>v rámci</w:t>
      </w:r>
      <w:r w:rsidRPr="00A4624D">
        <w:t xml:space="preserve"> inkasa daně z příjmů nelze vzhledem k zahrnutí těchto příjmů do celkového základu daně zjistit.</w:t>
      </w:r>
    </w:p>
    <w:p w14:paraId="367DF464" w14:textId="073D01E9" w:rsidR="00FB00A9" w:rsidRDefault="00FB00A9" w:rsidP="00FB00A9">
      <w:pPr>
        <w:pStyle w:val="Protokol"/>
      </w:pPr>
      <w:r>
        <w:t xml:space="preserve">GFŘ pro správu majetkových daní navrhlo celkem 84 změn úloh ADIS, realizováno bylo </w:t>
      </w:r>
      <w:r w:rsidRPr="00446AAE">
        <w:t>43</w:t>
      </w:r>
      <w:r w:rsidR="00A941B6" w:rsidRPr="00446AAE">
        <w:t> </w:t>
      </w:r>
      <w:r>
        <w:t xml:space="preserve">z navržených změn. Nerealizovaly se například úlohy pro </w:t>
      </w:r>
      <w:r w:rsidR="007A58DF">
        <w:t>v</w:t>
      </w:r>
      <w:r>
        <w:t xml:space="preserve">ýpisy dat pro GFŘ </w:t>
      </w:r>
      <w:r w:rsidR="007A58DF">
        <w:t>(</w:t>
      </w:r>
      <w:r>
        <w:t xml:space="preserve">statistiky </w:t>
      </w:r>
      <w:r w:rsidR="00A62689">
        <w:t>daně z nabytí nemovitých věcí</w:t>
      </w:r>
      <w:r w:rsidR="007A58DF">
        <w:t>)</w:t>
      </w:r>
      <w:r w:rsidR="00A62689">
        <w:t xml:space="preserve"> </w:t>
      </w:r>
      <w:r>
        <w:t xml:space="preserve">a </w:t>
      </w:r>
      <w:r w:rsidR="007A58DF">
        <w:t>z</w:t>
      </w:r>
      <w:r>
        <w:t xml:space="preserve">pracování dat pro GFŘ </w:t>
      </w:r>
      <w:r w:rsidR="007A58DF">
        <w:t>(</w:t>
      </w:r>
      <w:r>
        <w:t xml:space="preserve">statistiky </w:t>
      </w:r>
      <w:r w:rsidR="00A62689">
        <w:t>stejné daně</w:t>
      </w:r>
      <w:r w:rsidR="007A58DF">
        <w:t>)</w:t>
      </w:r>
      <w:r>
        <w:t xml:space="preserve">. </w:t>
      </w:r>
    </w:p>
    <w:p w14:paraId="19156364" w14:textId="77777777" w:rsidR="00455C8F" w:rsidRDefault="00455C8F" w:rsidP="00FB00A9">
      <w:pPr>
        <w:pStyle w:val="Protokol"/>
        <w:spacing w:after="0"/>
      </w:pPr>
    </w:p>
    <w:p w14:paraId="6492BC9B" w14:textId="77777777" w:rsidR="00FB00A9" w:rsidRDefault="00FB00A9" w:rsidP="00FB00A9">
      <w:pPr>
        <w:pStyle w:val="Protokol"/>
        <w:spacing w:after="0"/>
      </w:pPr>
      <w:r>
        <w:t xml:space="preserve">GFŘ nemělo a nemá k dispozici údaje o: </w:t>
      </w:r>
    </w:p>
    <w:p w14:paraId="6C5A78DF" w14:textId="0751A4F6" w:rsidR="00FB00A9" w:rsidRDefault="00FB00A9" w:rsidP="001863F3">
      <w:pPr>
        <w:pStyle w:val="Protokol"/>
        <w:numPr>
          <w:ilvl w:val="1"/>
          <w:numId w:val="23"/>
        </w:numPr>
        <w:spacing w:after="0"/>
        <w:ind w:left="284" w:hanging="284"/>
      </w:pPr>
      <w:r>
        <w:t xml:space="preserve">hodnotě základu daně z nabytí nemovitých věcí dle způsobu stanovení nabývací hodnoty, </w:t>
      </w:r>
    </w:p>
    <w:p w14:paraId="65DBF8CC" w14:textId="36693EE9" w:rsidR="00FB00A9" w:rsidRDefault="00FB00A9" w:rsidP="001863F3">
      <w:pPr>
        <w:pStyle w:val="Protokol"/>
        <w:numPr>
          <w:ilvl w:val="1"/>
          <w:numId w:val="23"/>
        </w:numPr>
        <w:spacing w:after="0"/>
        <w:ind w:left="284" w:hanging="284"/>
      </w:pPr>
      <w:r>
        <w:t>četnosti způsobu stanovení nabývací hodnoty</w:t>
      </w:r>
      <w:r w:rsidR="00A4624D">
        <w:t>,</w:t>
      </w:r>
      <w:r>
        <w:t xml:space="preserve"> </w:t>
      </w:r>
    </w:p>
    <w:p w14:paraId="42E498A1" w14:textId="4143D9D9" w:rsidR="00FB00A9" w:rsidRDefault="00FB00A9" w:rsidP="001863F3">
      <w:pPr>
        <w:pStyle w:val="Protokol"/>
        <w:numPr>
          <w:ilvl w:val="1"/>
          <w:numId w:val="23"/>
        </w:numPr>
        <w:spacing w:after="0"/>
        <w:ind w:left="284" w:hanging="284"/>
      </w:pPr>
      <w:r>
        <w:t>počtu daňových subjektů, které vykázaly bezúplatný příjem v daňových přiznáních k</w:t>
      </w:r>
      <w:r w:rsidR="00A941B6">
        <w:t> </w:t>
      </w:r>
      <w:r>
        <w:t>daním z příjmů fyzických i právnických osob,</w:t>
      </w:r>
    </w:p>
    <w:p w14:paraId="56C02F41" w14:textId="70F97735" w:rsidR="00FB00A9" w:rsidRDefault="00FB00A9" w:rsidP="001863F3">
      <w:pPr>
        <w:pStyle w:val="Protokol"/>
        <w:numPr>
          <w:ilvl w:val="1"/>
          <w:numId w:val="23"/>
        </w:numPr>
        <w:spacing w:after="0"/>
        <w:ind w:left="284" w:hanging="284"/>
      </w:pPr>
      <w:r>
        <w:t>celkové hodnotě bezúplatných příjmů, kterou daňové subjekty vykázaly v daňových přiznáních k daním z příjmů fyzických i právnických osob.</w:t>
      </w:r>
    </w:p>
    <w:p w14:paraId="25E1B77E" w14:textId="77777777" w:rsidR="00FB00A9" w:rsidRDefault="00FB00A9" w:rsidP="00FB00A9">
      <w:pPr>
        <w:pStyle w:val="Protokol"/>
        <w:spacing w:after="0"/>
        <w:ind w:left="720"/>
      </w:pPr>
    </w:p>
    <w:p w14:paraId="5F491F4F" w14:textId="77777777" w:rsidR="00FB00A9" w:rsidRDefault="00FB00A9" w:rsidP="00FB00A9">
      <w:pPr>
        <w:pStyle w:val="Protokol"/>
      </w:pPr>
      <w:r>
        <w:t xml:space="preserve">Důvodem pro absenci výstupů a statistik pro daň z nabytí nemovitých věcí a pro bezúplatné příjmy implementované do daní z příjmů byl podle GFŘ nedostatek finančních prostředků. GFŘ v roce 2014 prioritně realizovalo v ADIS úlohy, které správci daně potřebovali k vyměření daní. </w:t>
      </w:r>
    </w:p>
    <w:p w14:paraId="1342FEEE" w14:textId="2D5F2B42" w:rsidR="00FB00A9" w:rsidRPr="001667E8" w:rsidRDefault="00EC3E0D" w:rsidP="009660E1">
      <w:pPr>
        <w:spacing w:line="276" w:lineRule="auto"/>
        <w:rPr>
          <w:rFonts w:cs="Calibri"/>
          <w:szCs w:val="24"/>
        </w:rPr>
      </w:pPr>
      <w:r w:rsidRPr="001E57A6">
        <w:rPr>
          <w:rFonts w:cs="Calibri"/>
          <w:szCs w:val="24"/>
        </w:rPr>
        <w:t>Náklady na úpravy ADIS, které si vyžádaly zm</w:t>
      </w:r>
      <w:r w:rsidR="00701C31">
        <w:rPr>
          <w:rFonts w:cs="Calibri"/>
          <w:szCs w:val="24"/>
        </w:rPr>
        <w:t>ěny právní úpravy v letech 2012–</w:t>
      </w:r>
      <w:r w:rsidRPr="001E57A6">
        <w:rPr>
          <w:rFonts w:cs="Calibri"/>
          <w:szCs w:val="24"/>
        </w:rPr>
        <w:t>2014, činily u</w:t>
      </w:r>
      <w:r w:rsidR="007A58DF">
        <w:rPr>
          <w:rFonts w:cs="Calibri"/>
          <w:szCs w:val="24"/>
        </w:rPr>
        <w:t> </w:t>
      </w:r>
      <w:r w:rsidRPr="001667E8">
        <w:rPr>
          <w:rFonts w:cs="Calibri"/>
          <w:szCs w:val="24"/>
        </w:rPr>
        <w:t xml:space="preserve">majetkových daní celkem 38,6 mil. Kč. Další změny, </w:t>
      </w:r>
      <w:r w:rsidR="007A58DF">
        <w:rPr>
          <w:rFonts w:cs="Calibri"/>
          <w:szCs w:val="24"/>
        </w:rPr>
        <w:t>které vycházejí</w:t>
      </w:r>
      <w:r w:rsidRPr="001667E8">
        <w:rPr>
          <w:rFonts w:cs="Calibri"/>
          <w:szCs w:val="24"/>
        </w:rPr>
        <w:t xml:space="preserve"> z původních návrhů na </w:t>
      </w:r>
      <w:r w:rsidR="00674BC8" w:rsidRPr="001667E8">
        <w:rPr>
          <w:rFonts w:cs="Calibri"/>
          <w:szCs w:val="24"/>
        </w:rPr>
        <w:t xml:space="preserve">změny </w:t>
      </w:r>
      <w:r w:rsidRPr="001667E8">
        <w:rPr>
          <w:rFonts w:cs="Calibri"/>
          <w:szCs w:val="24"/>
        </w:rPr>
        <w:t xml:space="preserve">zdaňování majetku, např. změna poplatníka, by měly být schváleny v průběhu roku 2016, což vyvolá další požadavky na </w:t>
      </w:r>
      <w:r w:rsidR="00674BC8" w:rsidRPr="001667E8">
        <w:rPr>
          <w:rFonts w:cs="Calibri"/>
          <w:szCs w:val="24"/>
        </w:rPr>
        <w:t xml:space="preserve">úpravy </w:t>
      </w:r>
      <w:r w:rsidRPr="001667E8">
        <w:rPr>
          <w:rFonts w:cs="Calibri"/>
          <w:szCs w:val="24"/>
        </w:rPr>
        <w:t xml:space="preserve">ADIS. Koncepčnost a celistvost přijímaných </w:t>
      </w:r>
      <w:r w:rsidR="0070788E" w:rsidRPr="001667E8">
        <w:rPr>
          <w:rFonts w:cs="Calibri"/>
          <w:szCs w:val="24"/>
        </w:rPr>
        <w:t xml:space="preserve">legislativních </w:t>
      </w:r>
      <w:r w:rsidRPr="001667E8">
        <w:rPr>
          <w:rFonts w:cs="Calibri"/>
          <w:szCs w:val="24"/>
        </w:rPr>
        <w:t xml:space="preserve">změn </w:t>
      </w:r>
      <w:r w:rsidR="0070788E" w:rsidRPr="001667E8">
        <w:rPr>
          <w:rFonts w:cs="Calibri"/>
          <w:szCs w:val="24"/>
        </w:rPr>
        <w:t>mohou pozitivně ovlivnit jak efektivnost, tak nákladovost systému zdanění.</w:t>
      </w:r>
    </w:p>
    <w:p w14:paraId="0C3AB327" w14:textId="77777777" w:rsidR="00392165" w:rsidRPr="0045258D" w:rsidRDefault="00392165" w:rsidP="00392165">
      <w:pPr>
        <w:rPr>
          <w:rFonts w:cstheme="minorHAnsi"/>
          <w:b/>
          <w:szCs w:val="24"/>
        </w:rPr>
      </w:pPr>
      <w:bookmarkStart w:id="109" w:name="_MON_1504517536"/>
      <w:bookmarkStart w:id="110" w:name="_MON_1504507805"/>
      <w:bookmarkStart w:id="111" w:name="_MON_1504589095"/>
      <w:bookmarkStart w:id="112" w:name="_MON_1504589138"/>
      <w:bookmarkStart w:id="113" w:name="_MON_1504589165"/>
      <w:bookmarkStart w:id="114" w:name="_MON_1504589179"/>
      <w:bookmarkStart w:id="115" w:name="_MON_1504507841"/>
      <w:bookmarkStart w:id="116" w:name="_MON_1504512085"/>
      <w:bookmarkStart w:id="117" w:name="_MON_1505725802"/>
      <w:bookmarkStart w:id="118" w:name="_MON_1505111204"/>
      <w:bookmarkStart w:id="119" w:name="_MON_1508243457"/>
      <w:bookmarkStart w:id="120" w:name="_MON_1513666629"/>
      <w:bookmarkStart w:id="121" w:name="_MON_1513517168"/>
      <w:bookmarkStart w:id="122" w:name="_MON_1513517193"/>
      <w:bookmarkStart w:id="123" w:name="_MON_1513666677"/>
      <w:bookmarkStart w:id="124" w:name="_MON_1508757843"/>
      <w:bookmarkStart w:id="125" w:name="_MON_1508757848"/>
      <w:bookmarkStart w:id="126" w:name="_MON_1506511083"/>
      <w:bookmarkStart w:id="127" w:name="_MON_1506515407"/>
      <w:bookmarkStart w:id="128" w:name="_MON_1506511027"/>
      <w:bookmarkStart w:id="129" w:name="_MON_1507104721"/>
      <w:bookmarkStart w:id="130" w:name="_MON_1506930967"/>
      <w:bookmarkStart w:id="131" w:name="_MON_1506943116"/>
      <w:bookmarkStart w:id="132" w:name="_MON_1506930902"/>
      <w:bookmarkStart w:id="133" w:name="_MON_1507102013"/>
      <w:bookmarkStart w:id="134" w:name="_MON_1508589582"/>
      <w:bookmarkStart w:id="135" w:name="_MON_1507103107"/>
      <w:bookmarkStart w:id="136" w:name="_MON_1508829378"/>
      <w:bookmarkStart w:id="137" w:name="_MON_1508829384"/>
      <w:bookmarkStart w:id="138" w:name="_MON_1508837630"/>
      <w:bookmarkStart w:id="139" w:name="_MON_1508837735"/>
      <w:bookmarkStart w:id="140" w:name="_MON_1508837742"/>
      <w:bookmarkStart w:id="141" w:name="_MON_1508838026"/>
      <w:bookmarkStart w:id="142" w:name="_MON_1510037117"/>
      <w:bookmarkStart w:id="143" w:name="_MON_1508838790"/>
      <w:bookmarkStart w:id="144" w:name="_MON_1508589500"/>
      <w:bookmarkStart w:id="145" w:name="_MON_1508589527"/>
      <w:bookmarkStart w:id="146" w:name="_MON_1510137777"/>
      <w:bookmarkStart w:id="147" w:name="_MON_1510137953"/>
      <w:bookmarkStart w:id="148" w:name="_MON_1508589687"/>
      <w:bookmarkStart w:id="149" w:name="_MON_1508589790"/>
      <w:bookmarkStart w:id="150" w:name="_MON_1510137943"/>
      <w:bookmarkStart w:id="151" w:name="_MON_151013796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>
        <w:rPr>
          <w:rFonts w:cstheme="minorHAnsi"/>
          <w:b/>
          <w:szCs w:val="24"/>
        </w:rPr>
        <w:t>Nepřijaté návrhy změn právní úpravy</w:t>
      </w:r>
    </w:p>
    <w:p w14:paraId="42F7859B" w14:textId="77777777" w:rsidR="00392165" w:rsidRPr="00466EB8" w:rsidRDefault="00392165" w:rsidP="00392165">
      <w:pPr>
        <w:pStyle w:val="Protokol"/>
      </w:pPr>
      <w:r w:rsidRPr="00466EB8">
        <w:t>Právní úprava účinná od 1. 1. 2014 neobsahuje původně navrhovanou změnu v osobě poplatníka daně, kterým měl být ve všech případech nabyvatel, přičemž současně mělo dojít ke zrušení institutu ručení</w:t>
      </w:r>
      <w:r>
        <w:t>.</w:t>
      </w:r>
      <w:r w:rsidRPr="00466EB8">
        <w:t xml:space="preserve"> Cílem sjednocení osoby poplatníka a nabyvatele bylo zkrácení daňového řízení a snížení jeho administrativní náročnosti v souvislosti se zánikem institutu zákonného ručení. </w:t>
      </w:r>
      <w:r w:rsidR="00A4624D">
        <w:t>V současné době je změna v osobě poplatníka součástí novely zákonného opatření Senátu</w:t>
      </w:r>
      <w:r w:rsidR="00D6506B">
        <w:t xml:space="preserve"> č. 340/2013 Sb.</w:t>
      </w:r>
      <w:r w:rsidR="00A4624D">
        <w:t xml:space="preserve"> projednávané v Parlamentu ČR.</w:t>
      </w:r>
    </w:p>
    <w:p w14:paraId="2CCD6C1E" w14:textId="6DB4E887" w:rsidR="00392165" w:rsidRPr="00466EB8" w:rsidRDefault="00392165" w:rsidP="00392165">
      <w:pPr>
        <w:pStyle w:val="Protokol"/>
      </w:pPr>
      <w:r w:rsidRPr="00466EB8">
        <w:t xml:space="preserve">Navrhovaná </w:t>
      </w:r>
      <w:r>
        <w:t>právní úprava by</w:t>
      </w:r>
      <w:r w:rsidRPr="00466EB8">
        <w:t xml:space="preserve"> korespondovala s právní</w:t>
      </w:r>
      <w:r w:rsidR="007A58DF">
        <w:t>mi</w:t>
      </w:r>
      <w:r w:rsidRPr="00466EB8">
        <w:t xml:space="preserve"> úprav</w:t>
      </w:r>
      <w:r w:rsidR="007A58DF">
        <w:t>ami</w:t>
      </w:r>
      <w:r w:rsidRPr="00466EB8">
        <w:t xml:space="preserve"> v řadě států </w:t>
      </w:r>
      <w:r w:rsidR="00311DFC">
        <w:t>EU</w:t>
      </w:r>
      <w:r w:rsidRPr="00466EB8">
        <w:t>. Podle důvodové zprávy k vládnímu návrhu zákona v 16 z 20 členských států EU, které zdaňují úplatné převody nemovitostí, je poplatníkem nabyvatel.</w:t>
      </w:r>
    </w:p>
    <w:p w14:paraId="5FB98873" w14:textId="595FFA81" w:rsidR="00392165" w:rsidRPr="001769D7" w:rsidRDefault="00392165" w:rsidP="00392165">
      <w:pPr>
        <w:pStyle w:val="Protokol"/>
      </w:pPr>
      <w:r>
        <w:t xml:space="preserve">Vládní návrh zákona o dani z nabytí nemovitých věcí původně předpokládal také zavedení zdaňování vkladů </w:t>
      </w:r>
      <w:r w:rsidR="007A58DF">
        <w:t xml:space="preserve">nemovitostí do obchodních společností </w:t>
      </w:r>
      <w:r>
        <w:t xml:space="preserve">a </w:t>
      </w:r>
      <w:r w:rsidR="007A58DF">
        <w:t xml:space="preserve">zdaňování </w:t>
      </w:r>
      <w:r>
        <w:t>převodů účastí v obchodních korporacích.</w:t>
      </w:r>
    </w:p>
    <w:p w14:paraId="6BB47D8A" w14:textId="6EFF40F3" w:rsidR="00392165" w:rsidRDefault="00392165" w:rsidP="00392165">
      <w:pPr>
        <w:pStyle w:val="Protokol"/>
      </w:pPr>
      <w:r>
        <w:t xml:space="preserve">Zákon </w:t>
      </w:r>
      <w:r w:rsidRPr="001C03AF">
        <w:t>č. 357/1992 Sb</w:t>
      </w:r>
      <w:r>
        <w:t>. obsahoval do 31. 12. 2013</w:t>
      </w:r>
      <w:r w:rsidRPr="001C03AF">
        <w:t xml:space="preserve"> </w:t>
      </w:r>
      <w:r w:rsidR="007A58DF">
        <w:t xml:space="preserve">daňové </w:t>
      </w:r>
      <w:r w:rsidRPr="001C03AF">
        <w:t>osvobození vklad</w:t>
      </w:r>
      <w:r>
        <w:t>ů nemovitostí</w:t>
      </w:r>
      <w:r w:rsidRPr="001C03AF">
        <w:t xml:space="preserve"> do obcho</w:t>
      </w:r>
      <w:r>
        <w:t xml:space="preserve">dních společností nebo družstev při splnění časového testu pěti let. Ověřování splnění podmínek pro přiznání osvobození </w:t>
      </w:r>
      <w:r w:rsidR="007A58DF">
        <w:t xml:space="preserve">od daně </w:t>
      </w:r>
      <w:r>
        <w:t xml:space="preserve">bylo pro správce daně administrativně náročné. Zákonné opatření Senátu č. 340/2013 Sb. s účinností od 1. 1. 2014 osvobození vkladů nemovitých věcí do základního kapitálu obchodních korporací až na výjimky zrušilo. </w:t>
      </w:r>
    </w:p>
    <w:p w14:paraId="06410834" w14:textId="3310DF64" w:rsidR="00392165" w:rsidRDefault="00392165" w:rsidP="00392165">
      <w:pPr>
        <w:pStyle w:val="Protokol"/>
      </w:pPr>
      <w:r>
        <w:t xml:space="preserve">Převody obchodních podílů ve společnostech s ručením omezeným </w:t>
      </w:r>
      <w:r w:rsidR="007A58DF">
        <w:t>ani</w:t>
      </w:r>
      <w:r>
        <w:t xml:space="preserve"> převod</w:t>
      </w:r>
      <w:r w:rsidR="007A58DF">
        <w:t>y</w:t>
      </w:r>
      <w:r>
        <w:t xml:space="preserve"> akcií emitovaných akciovými společnostmi, které vlastní nemovité věci, nepodléhají dani z nabytí </w:t>
      </w:r>
      <w:r>
        <w:lastRenderedPageBreak/>
        <w:t>nemovitých věcí</w:t>
      </w:r>
      <w:r w:rsidR="007A58DF">
        <w:t>,</w:t>
      </w:r>
      <w:r>
        <w:t xml:space="preserve"> a to ani v případě, kdy je převáděno 100 % obchodního podílu nebo akcií. </w:t>
      </w:r>
      <w:r w:rsidRPr="001E57A6">
        <w:t xml:space="preserve">Dochází tak k situacím, kdy </w:t>
      </w:r>
      <w:r w:rsidR="00194DB2" w:rsidRPr="001E57A6">
        <w:t xml:space="preserve">jsou </w:t>
      </w:r>
      <w:r w:rsidRPr="001E57A6">
        <w:t>společnosti založeny pouze za účelem vlastnictví nemovitost</w:t>
      </w:r>
      <w:r w:rsidR="004B79AE" w:rsidRPr="001E57A6">
        <w:t xml:space="preserve">i, </w:t>
      </w:r>
      <w:r w:rsidR="001E57A6" w:rsidRPr="001E57A6">
        <w:t>která</w:t>
      </w:r>
      <w:r w:rsidR="004B79AE" w:rsidRPr="001E57A6">
        <w:t xml:space="preserve"> je jediným </w:t>
      </w:r>
      <w:r w:rsidR="004B5833">
        <w:t>majetkem</w:t>
      </w:r>
      <w:r w:rsidR="004B79AE" w:rsidRPr="001E57A6">
        <w:t xml:space="preserve"> společnosti</w:t>
      </w:r>
      <w:r w:rsidR="004B5833">
        <w:t>,</w:t>
      </w:r>
      <w:r w:rsidRPr="001E57A6">
        <w:t xml:space="preserve"> a převod</w:t>
      </w:r>
      <w:r w:rsidR="004B79AE" w:rsidRPr="001E57A6">
        <w:t xml:space="preserve"> 100%</w:t>
      </w:r>
      <w:r w:rsidRPr="001E57A6">
        <w:t xml:space="preserve"> podílu nebo akcií společnosti</w:t>
      </w:r>
      <w:r w:rsidR="004B79AE" w:rsidRPr="001E57A6">
        <w:t xml:space="preserve"> zakrývá faktickou změnu vlastnictví nemovitosti.</w:t>
      </w:r>
      <w:r w:rsidRPr="001E57A6">
        <w:t xml:space="preserve"> </w:t>
      </w:r>
    </w:p>
    <w:p w14:paraId="07E46A1E" w14:textId="08FDD235" w:rsidR="00890D00" w:rsidRPr="00043664" w:rsidRDefault="00392165" w:rsidP="00043664">
      <w:pPr>
        <w:pStyle w:val="Protokol"/>
      </w:pPr>
      <w:r>
        <w:t xml:space="preserve">V osmi členských státech EU </w:t>
      </w:r>
      <w:r w:rsidRPr="00162AFB">
        <w:t xml:space="preserve">podléhají </w:t>
      </w:r>
      <w:r>
        <w:t>převody podílů v obchodních korporacích da</w:t>
      </w:r>
      <w:r w:rsidRPr="00162AFB">
        <w:t xml:space="preserve">ni </w:t>
      </w:r>
      <w:r>
        <w:t xml:space="preserve">z nabytí nemovitých věcí, z toho v šesti státech EU se jedná o zdanění převodů podílů </w:t>
      </w:r>
      <w:r w:rsidR="00194DB2">
        <w:t xml:space="preserve">v obchodních </w:t>
      </w:r>
      <w:r>
        <w:t>společnost</w:t>
      </w:r>
      <w:r w:rsidR="00194DB2">
        <w:t>ech</w:t>
      </w:r>
      <w:r>
        <w:t>, které ve svém předmětu činnosti mají nakládání s nemovitostmi, výstavbu apod. Naproti tomu v pěti členských státech EU převody podílů zdanění nepodléhají.</w:t>
      </w:r>
    </w:p>
    <w:p w14:paraId="60C7AF5A" w14:textId="77777777" w:rsidR="00306E3F" w:rsidRPr="00043664" w:rsidRDefault="00FC0FD2" w:rsidP="00194DB2">
      <w:pPr>
        <w:pStyle w:val="Nadpis1"/>
        <w:numPr>
          <w:ilvl w:val="0"/>
          <w:numId w:val="7"/>
        </w:numPr>
        <w:spacing w:line="276" w:lineRule="auto"/>
        <w:ind w:left="426" w:hanging="426"/>
        <w:rPr>
          <w:sz w:val="28"/>
          <w:u w:val="single"/>
        </w:rPr>
      </w:pPr>
      <w:r w:rsidRPr="00043664">
        <w:rPr>
          <w:sz w:val="28"/>
          <w:u w:val="single"/>
        </w:rPr>
        <w:t>Základní právní předpisy</w:t>
      </w:r>
    </w:p>
    <w:p w14:paraId="679F0136" w14:textId="77777777" w:rsidR="00306E3F" w:rsidRPr="00194DB2" w:rsidRDefault="00306E3F" w:rsidP="001863F3">
      <w:pPr>
        <w:pStyle w:val="Odstavecseseznamem"/>
        <w:numPr>
          <w:ilvl w:val="0"/>
          <w:numId w:val="21"/>
        </w:numPr>
        <w:spacing w:after="60" w:line="276" w:lineRule="auto"/>
        <w:ind w:left="284" w:hanging="284"/>
        <w:jc w:val="left"/>
        <w:rPr>
          <w:rFonts w:cstheme="minorHAnsi"/>
          <w:szCs w:val="24"/>
        </w:rPr>
      </w:pPr>
      <w:r w:rsidRPr="00194DB2">
        <w:rPr>
          <w:rFonts w:cstheme="minorHAnsi"/>
          <w:szCs w:val="24"/>
        </w:rPr>
        <w:t>zákon č. 338/1992 Sb., o dani z nemovitých věcí,</w:t>
      </w:r>
    </w:p>
    <w:p w14:paraId="59FE5593" w14:textId="77777777" w:rsidR="00306E3F" w:rsidRPr="00194DB2" w:rsidRDefault="00306E3F" w:rsidP="001863F3">
      <w:pPr>
        <w:pStyle w:val="Odstavecseseznamem"/>
        <w:numPr>
          <w:ilvl w:val="0"/>
          <w:numId w:val="21"/>
        </w:numPr>
        <w:spacing w:after="60" w:line="276" w:lineRule="auto"/>
        <w:ind w:left="284" w:hanging="284"/>
        <w:jc w:val="left"/>
        <w:rPr>
          <w:rFonts w:cstheme="minorHAnsi"/>
          <w:bCs/>
          <w:szCs w:val="24"/>
        </w:rPr>
      </w:pPr>
      <w:r w:rsidRPr="00194DB2">
        <w:rPr>
          <w:rFonts w:cstheme="minorHAnsi"/>
          <w:bCs/>
          <w:szCs w:val="24"/>
        </w:rPr>
        <w:t>zákon č. 357/1992 Sb., o dani dědické, dani darovací a dani z převodu nemovitostí,</w:t>
      </w:r>
    </w:p>
    <w:p w14:paraId="0D25C3E5" w14:textId="77777777" w:rsidR="00306E3F" w:rsidRPr="00F01E3F" w:rsidRDefault="00306E3F" w:rsidP="001863F3">
      <w:pPr>
        <w:pStyle w:val="Odstavecseseznamem"/>
        <w:numPr>
          <w:ilvl w:val="0"/>
          <w:numId w:val="21"/>
        </w:numPr>
        <w:spacing w:after="60" w:line="276" w:lineRule="auto"/>
        <w:ind w:left="284" w:hanging="284"/>
        <w:jc w:val="left"/>
        <w:rPr>
          <w:rFonts w:cstheme="minorHAnsi"/>
          <w:bCs/>
          <w:szCs w:val="24"/>
        </w:rPr>
      </w:pPr>
      <w:r w:rsidRPr="00F01E3F">
        <w:rPr>
          <w:rFonts w:cstheme="minorHAnsi"/>
          <w:bCs/>
          <w:szCs w:val="24"/>
        </w:rPr>
        <w:t>zákon č. 586/1992 Sb., o daních z příjmů,</w:t>
      </w:r>
    </w:p>
    <w:p w14:paraId="7CD8D359" w14:textId="77777777" w:rsidR="00306E3F" w:rsidRPr="00442D14" w:rsidRDefault="00306E3F" w:rsidP="001863F3">
      <w:pPr>
        <w:pStyle w:val="Odstavecseseznamem"/>
        <w:numPr>
          <w:ilvl w:val="0"/>
          <w:numId w:val="21"/>
        </w:numPr>
        <w:spacing w:after="60" w:line="276" w:lineRule="auto"/>
        <w:ind w:left="284" w:hanging="284"/>
        <w:jc w:val="left"/>
        <w:rPr>
          <w:rFonts w:cstheme="minorHAnsi"/>
          <w:szCs w:val="24"/>
        </w:rPr>
      </w:pPr>
      <w:r w:rsidRPr="00442D14">
        <w:rPr>
          <w:rFonts w:cstheme="minorHAnsi"/>
          <w:szCs w:val="24"/>
        </w:rPr>
        <w:t xml:space="preserve">zákonné opatření Senátu č. 340/2013 Sb., o dani z nabytí nemovitých věcí, </w:t>
      </w:r>
    </w:p>
    <w:p w14:paraId="2530EF26" w14:textId="77777777" w:rsidR="00306E3F" w:rsidRPr="00652652" w:rsidRDefault="00306E3F" w:rsidP="001863F3">
      <w:pPr>
        <w:pStyle w:val="Odstavecseseznamem"/>
        <w:numPr>
          <w:ilvl w:val="0"/>
          <w:numId w:val="21"/>
        </w:numPr>
        <w:spacing w:after="60" w:line="276" w:lineRule="auto"/>
        <w:ind w:left="284" w:hanging="284"/>
        <w:jc w:val="left"/>
        <w:rPr>
          <w:rFonts w:cstheme="minorHAnsi"/>
          <w:szCs w:val="24"/>
        </w:rPr>
      </w:pPr>
      <w:r w:rsidRPr="008F2C71">
        <w:rPr>
          <w:rFonts w:cstheme="minorHAnsi"/>
          <w:szCs w:val="24"/>
        </w:rPr>
        <w:t>zákonné opatření Senátu č. 344/2013 Sb., o změně daňových zákonů v souvislosti s rekodifikací soukromého práva a o změně některých zákonů,</w:t>
      </w:r>
    </w:p>
    <w:p w14:paraId="61535B58" w14:textId="77777777" w:rsidR="00306E3F" w:rsidRPr="009449A8" w:rsidRDefault="00306E3F" w:rsidP="001863F3">
      <w:pPr>
        <w:pStyle w:val="Odstavecseseznamem"/>
        <w:numPr>
          <w:ilvl w:val="0"/>
          <w:numId w:val="21"/>
        </w:numPr>
        <w:spacing w:after="60" w:line="276" w:lineRule="auto"/>
        <w:ind w:left="284" w:hanging="284"/>
        <w:jc w:val="left"/>
        <w:rPr>
          <w:rFonts w:cstheme="minorHAnsi"/>
          <w:bCs/>
          <w:szCs w:val="24"/>
        </w:rPr>
      </w:pPr>
      <w:r w:rsidRPr="00E61DB3">
        <w:rPr>
          <w:rFonts w:cstheme="minorHAnsi"/>
          <w:bCs/>
          <w:szCs w:val="24"/>
        </w:rPr>
        <w:t>zákon č. 280/2009 Sb., daňový řád,</w:t>
      </w:r>
    </w:p>
    <w:p w14:paraId="55E4374D" w14:textId="77777777" w:rsidR="00306E3F" w:rsidRPr="001539D7" w:rsidRDefault="00306E3F" w:rsidP="001863F3">
      <w:pPr>
        <w:pStyle w:val="Odstavecseseznamem"/>
        <w:numPr>
          <w:ilvl w:val="0"/>
          <w:numId w:val="21"/>
        </w:numPr>
        <w:spacing w:after="60" w:line="276" w:lineRule="auto"/>
        <w:ind w:left="284" w:hanging="284"/>
        <w:jc w:val="left"/>
        <w:rPr>
          <w:rFonts w:cstheme="minorHAnsi"/>
          <w:szCs w:val="24"/>
        </w:rPr>
      </w:pPr>
      <w:r w:rsidRPr="00B74D3C">
        <w:rPr>
          <w:rFonts w:cstheme="minorHAnsi"/>
          <w:szCs w:val="24"/>
        </w:rPr>
        <w:t>zákon č. 456/2011 Sb., o Finanční správě České republiky,</w:t>
      </w:r>
    </w:p>
    <w:p w14:paraId="2F2A7A3D" w14:textId="0C75E332" w:rsidR="00306E3F" w:rsidRPr="00DA6073" w:rsidRDefault="00306E3F" w:rsidP="001863F3">
      <w:pPr>
        <w:pStyle w:val="Odstavecseseznamem"/>
        <w:numPr>
          <w:ilvl w:val="0"/>
          <w:numId w:val="21"/>
        </w:numPr>
        <w:spacing w:after="60" w:line="276" w:lineRule="auto"/>
        <w:ind w:left="284" w:hanging="284"/>
        <w:jc w:val="left"/>
        <w:rPr>
          <w:rFonts w:cstheme="minorHAnsi"/>
          <w:bCs/>
          <w:szCs w:val="24"/>
        </w:rPr>
      </w:pPr>
      <w:r w:rsidRPr="00091A95">
        <w:rPr>
          <w:rFonts w:cstheme="minorHAnsi"/>
          <w:szCs w:val="24"/>
        </w:rPr>
        <w:t xml:space="preserve">vyhláška č. 419/2013 Sb., k provedení zákonného opatření Senátu </w:t>
      </w:r>
      <w:r w:rsidRPr="00EE3697">
        <w:rPr>
          <w:rFonts w:cstheme="minorHAnsi"/>
          <w:szCs w:val="24"/>
        </w:rPr>
        <w:t>o dani z nabytí nemovitých věcí</w:t>
      </w:r>
      <w:r w:rsidR="00194DB2" w:rsidRPr="00DA6073">
        <w:rPr>
          <w:rFonts w:cstheme="minorHAnsi"/>
          <w:szCs w:val="24"/>
        </w:rPr>
        <w:t>.</w:t>
      </w:r>
    </w:p>
    <w:p w14:paraId="0BA033E8" w14:textId="77777777" w:rsidR="00FB00A9" w:rsidRDefault="00FB00A9" w:rsidP="00FB00A9">
      <w:pPr>
        <w:rPr>
          <w:rFonts w:cstheme="minorHAnsi"/>
          <w:szCs w:val="24"/>
        </w:rPr>
      </w:pPr>
    </w:p>
    <w:p w14:paraId="1BF3F22C" w14:textId="77777777" w:rsidR="00FB00A9" w:rsidRDefault="00FB00A9" w:rsidP="00FB00A9"/>
    <w:p w14:paraId="789E3FDF" w14:textId="77777777" w:rsidR="00FB00A9" w:rsidRDefault="00FB00A9" w:rsidP="00FB00A9"/>
    <w:p w14:paraId="6A054F8F" w14:textId="77777777" w:rsidR="00FB00A9" w:rsidRDefault="00FB00A9" w:rsidP="00FB00A9"/>
    <w:p w14:paraId="68CA2366" w14:textId="77777777" w:rsidR="00787DE0" w:rsidRDefault="00787DE0"/>
    <w:sectPr w:rsidR="00787DE0" w:rsidSect="00310B6F">
      <w:footerReference w:type="default" r:id="rId36"/>
      <w:headerReference w:type="first" r:id="rId37"/>
      <w:footerReference w:type="first" r:id="rId3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D35C2" w14:textId="77777777" w:rsidR="007A58DF" w:rsidRDefault="007A58DF" w:rsidP="00FB00A9">
      <w:pPr>
        <w:spacing w:after="0"/>
      </w:pPr>
      <w:r>
        <w:separator/>
      </w:r>
    </w:p>
  </w:endnote>
  <w:endnote w:type="continuationSeparator" w:id="0">
    <w:p w14:paraId="0F3F3BAF" w14:textId="77777777" w:rsidR="007A58DF" w:rsidRDefault="007A58DF" w:rsidP="00FB00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346825"/>
      <w:docPartObj>
        <w:docPartGallery w:val="Page Numbers (Bottom of Page)"/>
        <w:docPartUnique/>
      </w:docPartObj>
    </w:sdtPr>
    <w:sdtEndPr/>
    <w:sdtContent>
      <w:p w14:paraId="6D9A991D" w14:textId="77777777" w:rsidR="007A58DF" w:rsidRDefault="007A58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5B4">
          <w:rPr>
            <w:noProof/>
          </w:rPr>
          <w:t>19</w:t>
        </w:r>
        <w:r>
          <w:fldChar w:fldCharType="end"/>
        </w:r>
      </w:p>
    </w:sdtContent>
  </w:sdt>
  <w:p w14:paraId="5EF0E066" w14:textId="77777777" w:rsidR="007A58DF" w:rsidRDefault="007A58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679599"/>
      <w:docPartObj>
        <w:docPartGallery w:val="Page Numbers (Bottom of Page)"/>
        <w:docPartUnique/>
      </w:docPartObj>
    </w:sdtPr>
    <w:sdtEndPr/>
    <w:sdtContent>
      <w:p w14:paraId="73FB2AFF" w14:textId="77777777" w:rsidR="007A58DF" w:rsidRDefault="007A58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5AD771F" w14:textId="77777777" w:rsidR="007A58DF" w:rsidRDefault="007A58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29354" w14:textId="77777777" w:rsidR="007A58DF" w:rsidRDefault="007A58DF" w:rsidP="00FB00A9">
      <w:pPr>
        <w:spacing w:after="0"/>
      </w:pPr>
      <w:r>
        <w:separator/>
      </w:r>
    </w:p>
  </w:footnote>
  <w:footnote w:type="continuationSeparator" w:id="0">
    <w:p w14:paraId="7995F00F" w14:textId="77777777" w:rsidR="007A58DF" w:rsidRDefault="007A58DF" w:rsidP="00FB00A9">
      <w:pPr>
        <w:spacing w:after="0"/>
      </w:pPr>
      <w:r>
        <w:continuationSeparator/>
      </w:r>
    </w:p>
  </w:footnote>
  <w:footnote w:id="1">
    <w:p w14:paraId="5A525B22" w14:textId="77777777" w:rsidR="007A58DF" w:rsidRDefault="007A58DF" w:rsidP="00FE7E8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89/2012 Sb., občanský zákoník.</w:t>
      </w:r>
    </w:p>
  </w:footnote>
  <w:footnote w:id="2">
    <w:p w14:paraId="247F1DBE" w14:textId="1CD51E94" w:rsidR="007A58DF" w:rsidRDefault="007A58DF" w:rsidP="00FE7E8A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</w:r>
      <w:r w:rsidRPr="00145989">
        <w:t>P</w:t>
      </w:r>
      <w:r>
        <w:t>odle § 57 zákonného opatření Senátu č. 340/2013 Sb. se p</w:t>
      </w:r>
      <w:r w:rsidRPr="00145989">
        <w:t>ro daňové povinnosti u daně dědické, daně darovac</w:t>
      </w:r>
      <w:r>
        <w:t xml:space="preserve">í a daně z převodu nemovitostí </w:t>
      </w:r>
      <w:r w:rsidRPr="00145989">
        <w:t>vzniklé před</w:t>
      </w:r>
      <w:r>
        <w:t xml:space="preserve"> 1. 1. 2014 </w:t>
      </w:r>
      <w:r w:rsidRPr="00145989">
        <w:t xml:space="preserve">použije zákon č. 357/1992 Sb., ve znění </w:t>
      </w:r>
      <w:r w:rsidRPr="001A2C45">
        <w:t>účinném přede dnem nabytí účinnosti zákonného opatření Senátu č. 340/2013 Sb.</w:t>
      </w:r>
    </w:p>
  </w:footnote>
  <w:footnote w:id="3">
    <w:p w14:paraId="3BA4B533" w14:textId="77777777" w:rsidR="007A58DF" w:rsidRDefault="007A58DF" w:rsidP="00510DD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0428D">
        <w:rPr>
          <w:i/>
        </w:rPr>
        <w:t>Automatizovaný daňový informační systém</w:t>
      </w:r>
      <w:r>
        <w:t>.</w:t>
      </w:r>
    </w:p>
  </w:footnote>
  <w:footnote w:id="4">
    <w:p w14:paraId="38C841B1" w14:textId="77777777" w:rsidR="007A58DF" w:rsidRDefault="007A58DF" w:rsidP="00510DD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Organizace pro hospodářskou spolupráci a rozvoj.</w:t>
      </w:r>
    </w:p>
  </w:footnote>
  <w:footnote w:id="5">
    <w:p w14:paraId="758CE6CF" w14:textId="5BD743B0" w:rsidR="007A58DF" w:rsidRDefault="007A58DF" w:rsidP="00510DD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Stejné vyhodnocení obsahoval také kontrolní závěr z kontrolní akce č. 14/17.</w:t>
      </w:r>
    </w:p>
  </w:footnote>
  <w:footnote w:id="6">
    <w:p w14:paraId="397F864A" w14:textId="77777777" w:rsidR="007A58DF" w:rsidRDefault="007A58DF" w:rsidP="00510DD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</w:t>
      </w:r>
      <w:proofErr w:type="gramStart"/>
      <w:r>
        <w:t xml:space="preserve">582/2004 Z. z., o </w:t>
      </w:r>
      <w:r w:rsidRPr="002034CB">
        <w:rPr>
          <w:lang w:val="sk-SK"/>
        </w:rPr>
        <w:t>miestnych</w:t>
      </w:r>
      <w:proofErr w:type="gramEnd"/>
      <w:r>
        <w:rPr>
          <w:lang w:val="sk-SK"/>
        </w:rPr>
        <w:t xml:space="preserve"> daniach a miestnom poplatku za komunálne odpady a drobné stavebné odpady.</w:t>
      </w:r>
      <w:r>
        <w:t xml:space="preserve"> </w:t>
      </w:r>
    </w:p>
  </w:footnote>
  <w:footnote w:id="7">
    <w:p w14:paraId="6C4F9EB8" w14:textId="77777777" w:rsidR="007A58DF" w:rsidRDefault="007A58DF" w:rsidP="00EF726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R</w:t>
      </w:r>
      <w:r w:rsidRPr="00542D3D">
        <w:t>ozsud</w:t>
      </w:r>
      <w:r>
        <w:t>e</w:t>
      </w:r>
      <w:r w:rsidRPr="00542D3D">
        <w:t xml:space="preserve">k </w:t>
      </w:r>
      <w:r>
        <w:t xml:space="preserve">Nejvyššího správního soudu </w:t>
      </w:r>
      <w:proofErr w:type="spellStart"/>
      <w:r>
        <w:t>sp</w:t>
      </w:r>
      <w:proofErr w:type="spellEnd"/>
      <w:r>
        <w:t xml:space="preserve">. zn. </w:t>
      </w:r>
      <w:r w:rsidRPr="00542D3D">
        <w:t xml:space="preserve">1 </w:t>
      </w:r>
      <w:proofErr w:type="spellStart"/>
      <w:r w:rsidRPr="00542D3D">
        <w:t>Afs</w:t>
      </w:r>
      <w:proofErr w:type="spellEnd"/>
      <w:r w:rsidRPr="00542D3D">
        <w:t xml:space="preserve"> 6/2013-184</w:t>
      </w:r>
      <w:r>
        <w:t xml:space="preserve"> ze dne 9. července 2015.</w:t>
      </w:r>
    </w:p>
  </w:footnote>
  <w:footnote w:id="8">
    <w:p w14:paraId="4588F0E1" w14:textId="77777777" w:rsidR="007A58DF" w:rsidRDefault="007A58DF" w:rsidP="00EF726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Odvětví stanoví směrnice Evropského parlamentu a Rady 2003/87/ES ze dne 13. října 2003, o vytvoření systému pro obchodování s povolenkami na emise skleníkových plynů ve Společenství a o změně směrnice Rady 96/61/ES.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3FE9A" w14:textId="77777777" w:rsidR="007A58DF" w:rsidRDefault="007A58DF">
    <w:pPr>
      <w:pStyle w:val="Zhlav"/>
    </w:pPr>
  </w:p>
  <w:p w14:paraId="5C9B2E17" w14:textId="77777777" w:rsidR="007A58DF" w:rsidRDefault="007A58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69B"/>
    <w:multiLevelType w:val="hybridMultilevel"/>
    <w:tmpl w:val="7EBA2E82"/>
    <w:lvl w:ilvl="0" w:tplc="1C5E9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5E90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4A94"/>
    <w:multiLevelType w:val="hybridMultilevel"/>
    <w:tmpl w:val="757C9102"/>
    <w:lvl w:ilvl="0" w:tplc="A1024E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4328B"/>
    <w:multiLevelType w:val="hybridMultilevel"/>
    <w:tmpl w:val="5DB67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A42AE"/>
    <w:multiLevelType w:val="hybridMultilevel"/>
    <w:tmpl w:val="65CA4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577CC"/>
    <w:multiLevelType w:val="hybridMultilevel"/>
    <w:tmpl w:val="191C9694"/>
    <w:lvl w:ilvl="0" w:tplc="1C5E9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C3D79"/>
    <w:multiLevelType w:val="hybridMultilevel"/>
    <w:tmpl w:val="084A5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C466A"/>
    <w:multiLevelType w:val="hybridMultilevel"/>
    <w:tmpl w:val="9796F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23A8B"/>
    <w:multiLevelType w:val="hybridMultilevel"/>
    <w:tmpl w:val="6E6A67C6"/>
    <w:lvl w:ilvl="0" w:tplc="1C5E9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56700"/>
    <w:multiLevelType w:val="hybridMultilevel"/>
    <w:tmpl w:val="3C8C5184"/>
    <w:lvl w:ilvl="0" w:tplc="FB884D3A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AF5C05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C030D"/>
    <w:multiLevelType w:val="hybridMultilevel"/>
    <w:tmpl w:val="74D81CE0"/>
    <w:lvl w:ilvl="0" w:tplc="1F9E5B82">
      <w:start w:val="1"/>
      <w:numFmt w:val="bullet"/>
      <w:pStyle w:val="Odstavecseseznamem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C2D0F"/>
    <w:multiLevelType w:val="hybridMultilevel"/>
    <w:tmpl w:val="A0683172"/>
    <w:lvl w:ilvl="0" w:tplc="E8688A3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3C3E89C0">
      <w:numFmt w:val="bullet"/>
      <w:lvlText w:val="-"/>
      <w:lvlJc w:val="left"/>
      <w:pPr>
        <w:ind w:left="1650" w:hanging="57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7056C"/>
    <w:multiLevelType w:val="hybridMultilevel"/>
    <w:tmpl w:val="734E17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5646DCA"/>
    <w:multiLevelType w:val="hybridMultilevel"/>
    <w:tmpl w:val="3D88130E"/>
    <w:lvl w:ilvl="0" w:tplc="F3E2E63A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32C35"/>
    <w:multiLevelType w:val="multilevel"/>
    <w:tmpl w:val="775CA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2"/>
  </w:num>
  <w:num w:numId="19">
    <w:abstractNumId w:val="8"/>
  </w:num>
  <w:num w:numId="20">
    <w:abstractNumId w:val="12"/>
  </w:num>
  <w:num w:numId="21">
    <w:abstractNumId w:val="7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A9"/>
    <w:rsid w:val="0002253C"/>
    <w:rsid w:val="00023FB8"/>
    <w:rsid w:val="00024243"/>
    <w:rsid w:val="00025FE6"/>
    <w:rsid w:val="00040408"/>
    <w:rsid w:val="00043664"/>
    <w:rsid w:val="00045A39"/>
    <w:rsid w:val="00051565"/>
    <w:rsid w:val="00056246"/>
    <w:rsid w:val="00060D4A"/>
    <w:rsid w:val="000779A8"/>
    <w:rsid w:val="000803C9"/>
    <w:rsid w:val="00080509"/>
    <w:rsid w:val="000832D8"/>
    <w:rsid w:val="00086849"/>
    <w:rsid w:val="00086BFF"/>
    <w:rsid w:val="00091A95"/>
    <w:rsid w:val="000A63D1"/>
    <w:rsid w:val="000B5AA1"/>
    <w:rsid w:val="000E0CA2"/>
    <w:rsid w:val="000E6A2E"/>
    <w:rsid w:val="000F08A7"/>
    <w:rsid w:val="000F7CAA"/>
    <w:rsid w:val="00103F5F"/>
    <w:rsid w:val="001060B0"/>
    <w:rsid w:val="0010620C"/>
    <w:rsid w:val="00106E03"/>
    <w:rsid w:val="00111C93"/>
    <w:rsid w:val="0011616D"/>
    <w:rsid w:val="0012185A"/>
    <w:rsid w:val="00123809"/>
    <w:rsid w:val="001265AC"/>
    <w:rsid w:val="0013012A"/>
    <w:rsid w:val="00131D03"/>
    <w:rsid w:val="0013417F"/>
    <w:rsid w:val="00134D66"/>
    <w:rsid w:val="001352AC"/>
    <w:rsid w:val="00137EB4"/>
    <w:rsid w:val="00143B59"/>
    <w:rsid w:val="00144F61"/>
    <w:rsid w:val="00146900"/>
    <w:rsid w:val="00146DD3"/>
    <w:rsid w:val="00150D31"/>
    <w:rsid w:val="001539D7"/>
    <w:rsid w:val="00162AFB"/>
    <w:rsid w:val="00163302"/>
    <w:rsid w:val="0016457F"/>
    <w:rsid w:val="001667E8"/>
    <w:rsid w:val="00174833"/>
    <w:rsid w:val="001757C0"/>
    <w:rsid w:val="0018069A"/>
    <w:rsid w:val="001863F3"/>
    <w:rsid w:val="001913EB"/>
    <w:rsid w:val="00194DB2"/>
    <w:rsid w:val="001A1CD3"/>
    <w:rsid w:val="001A2C45"/>
    <w:rsid w:val="001A3AEE"/>
    <w:rsid w:val="001A71D3"/>
    <w:rsid w:val="001A7581"/>
    <w:rsid w:val="001B0C5F"/>
    <w:rsid w:val="001B0EAB"/>
    <w:rsid w:val="001C64B6"/>
    <w:rsid w:val="001E1519"/>
    <w:rsid w:val="001E2C71"/>
    <w:rsid w:val="001E57A6"/>
    <w:rsid w:val="001E7CDA"/>
    <w:rsid w:val="001E7D49"/>
    <w:rsid w:val="001F00D9"/>
    <w:rsid w:val="00201D98"/>
    <w:rsid w:val="002034CB"/>
    <w:rsid w:val="0020428D"/>
    <w:rsid w:val="00210531"/>
    <w:rsid w:val="002126A4"/>
    <w:rsid w:val="00213226"/>
    <w:rsid w:val="002152C3"/>
    <w:rsid w:val="00215F6A"/>
    <w:rsid w:val="0021614D"/>
    <w:rsid w:val="00216445"/>
    <w:rsid w:val="002178CF"/>
    <w:rsid w:val="00220FEE"/>
    <w:rsid w:val="00242133"/>
    <w:rsid w:val="00245256"/>
    <w:rsid w:val="002535F6"/>
    <w:rsid w:val="00262001"/>
    <w:rsid w:val="002652ED"/>
    <w:rsid w:val="00271620"/>
    <w:rsid w:val="00287D76"/>
    <w:rsid w:val="00290DAE"/>
    <w:rsid w:val="002924B7"/>
    <w:rsid w:val="002A31CA"/>
    <w:rsid w:val="002A460F"/>
    <w:rsid w:val="002A4A49"/>
    <w:rsid w:val="002A72A1"/>
    <w:rsid w:val="002B2CFD"/>
    <w:rsid w:val="002B4C92"/>
    <w:rsid w:val="002D4C12"/>
    <w:rsid w:val="002E37F1"/>
    <w:rsid w:val="002E3881"/>
    <w:rsid w:val="00306E3F"/>
    <w:rsid w:val="00307D13"/>
    <w:rsid w:val="00310B6F"/>
    <w:rsid w:val="00311DFC"/>
    <w:rsid w:val="00314C20"/>
    <w:rsid w:val="003165D9"/>
    <w:rsid w:val="003302BF"/>
    <w:rsid w:val="0034115E"/>
    <w:rsid w:val="003411CE"/>
    <w:rsid w:val="00341B8E"/>
    <w:rsid w:val="00342D68"/>
    <w:rsid w:val="00356AB9"/>
    <w:rsid w:val="003654F8"/>
    <w:rsid w:val="0037526D"/>
    <w:rsid w:val="00387EA5"/>
    <w:rsid w:val="00392165"/>
    <w:rsid w:val="00394DFB"/>
    <w:rsid w:val="00395E39"/>
    <w:rsid w:val="003A1F3D"/>
    <w:rsid w:val="003B139E"/>
    <w:rsid w:val="003B693F"/>
    <w:rsid w:val="003C11BF"/>
    <w:rsid w:val="003C61B9"/>
    <w:rsid w:val="003D7F0D"/>
    <w:rsid w:val="003F3F92"/>
    <w:rsid w:val="003F46E9"/>
    <w:rsid w:val="003F52E9"/>
    <w:rsid w:val="003F727D"/>
    <w:rsid w:val="00401CA2"/>
    <w:rsid w:val="004047D3"/>
    <w:rsid w:val="00405BAB"/>
    <w:rsid w:val="00407BCD"/>
    <w:rsid w:val="00411D14"/>
    <w:rsid w:val="00414061"/>
    <w:rsid w:val="00424B19"/>
    <w:rsid w:val="00424F37"/>
    <w:rsid w:val="004334FF"/>
    <w:rsid w:val="00442D14"/>
    <w:rsid w:val="00446AAE"/>
    <w:rsid w:val="00455C8F"/>
    <w:rsid w:val="00461B77"/>
    <w:rsid w:val="00462FEC"/>
    <w:rsid w:val="00470D7D"/>
    <w:rsid w:val="00472EEB"/>
    <w:rsid w:val="00475941"/>
    <w:rsid w:val="00491971"/>
    <w:rsid w:val="00494764"/>
    <w:rsid w:val="00496F0B"/>
    <w:rsid w:val="004A1986"/>
    <w:rsid w:val="004A6FAA"/>
    <w:rsid w:val="004B14B5"/>
    <w:rsid w:val="004B1CD6"/>
    <w:rsid w:val="004B3F18"/>
    <w:rsid w:val="004B47A2"/>
    <w:rsid w:val="004B5833"/>
    <w:rsid w:val="004B719B"/>
    <w:rsid w:val="004B79AE"/>
    <w:rsid w:val="004D45C5"/>
    <w:rsid w:val="004E276C"/>
    <w:rsid w:val="004E4214"/>
    <w:rsid w:val="004E498B"/>
    <w:rsid w:val="004E6537"/>
    <w:rsid w:val="004F2157"/>
    <w:rsid w:val="00500F08"/>
    <w:rsid w:val="005012BD"/>
    <w:rsid w:val="005018E8"/>
    <w:rsid w:val="00501B7D"/>
    <w:rsid w:val="00502ADF"/>
    <w:rsid w:val="00506819"/>
    <w:rsid w:val="00510DD2"/>
    <w:rsid w:val="005132B7"/>
    <w:rsid w:val="0051638D"/>
    <w:rsid w:val="00520C36"/>
    <w:rsid w:val="00535E7A"/>
    <w:rsid w:val="005456BF"/>
    <w:rsid w:val="0055152E"/>
    <w:rsid w:val="0055448E"/>
    <w:rsid w:val="00555A2E"/>
    <w:rsid w:val="0056673D"/>
    <w:rsid w:val="00567A01"/>
    <w:rsid w:val="005750B1"/>
    <w:rsid w:val="00575436"/>
    <w:rsid w:val="00581C62"/>
    <w:rsid w:val="0058250E"/>
    <w:rsid w:val="0058359C"/>
    <w:rsid w:val="00584C97"/>
    <w:rsid w:val="0059190B"/>
    <w:rsid w:val="005948E9"/>
    <w:rsid w:val="005955BD"/>
    <w:rsid w:val="005A6EF7"/>
    <w:rsid w:val="005B126E"/>
    <w:rsid w:val="005B6249"/>
    <w:rsid w:val="005B631A"/>
    <w:rsid w:val="005C79EC"/>
    <w:rsid w:val="005D33D9"/>
    <w:rsid w:val="005E0877"/>
    <w:rsid w:val="005E7547"/>
    <w:rsid w:val="005F3B39"/>
    <w:rsid w:val="005F7336"/>
    <w:rsid w:val="00630FAC"/>
    <w:rsid w:val="006402A7"/>
    <w:rsid w:val="00641311"/>
    <w:rsid w:val="00646C0B"/>
    <w:rsid w:val="00652652"/>
    <w:rsid w:val="00670C5F"/>
    <w:rsid w:val="00673E64"/>
    <w:rsid w:val="00673EB5"/>
    <w:rsid w:val="00674BC8"/>
    <w:rsid w:val="00675DF7"/>
    <w:rsid w:val="006763FA"/>
    <w:rsid w:val="0068212B"/>
    <w:rsid w:val="0068215F"/>
    <w:rsid w:val="00684157"/>
    <w:rsid w:val="00684B43"/>
    <w:rsid w:val="00685E76"/>
    <w:rsid w:val="006874A9"/>
    <w:rsid w:val="006947AB"/>
    <w:rsid w:val="006A1647"/>
    <w:rsid w:val="006A2CA9"/>
    <w:rsid w:val="006B56DA"/>
    <w:rsid w:val="006B7271"/>
    <w:rsid w:val="006C375E"/>
    <w:rsid w:val="006C6DFA"/>
    <w:rsid w:val="006D23C5"/>
    <w:rsid w:val="006D7490"/>
    <w:rsid w:val="007002F5"/>
    <w:rsid w:val="00701C31"/>
    <w:rsid w:val="007057F5"/>
    <w:rsid w:val="0070788E"/>
    <w:rsid w:val="00710051"/>
    <w:rsid w:val="0071438B"/>
    <w:rsid w:val="00715E3B"/>
    <w:rsid w:val="0072223C"/>
    <w:rsid w:val="00724621"/>
    <w:rsid w:val="00737742"/>
    <w:rsid w:val="00742D80"/>
    <w:rsid w:val="007439B6"/>
    <w:rsid w:val="007476CA"/>
    <w:rsid w:val="00750A13"/>
    <w:rsid w:val="00750ACA"/>
    <w:rsid w:val="00754071"/>
    <w:rsid w:val="007661D4"/>
    <w:rsid w:val="007665C9"/>
    <w:rsid w:val="00773890"/>
    <w:rsid w:val="00787673"/>
    <w:rsid w:val="00787DE0"/>
    <w:rsid w:val="00790167"/>
    <w:rsid w:val="007A4AE5"/>
    <w:rsid w:val="007A58DF"/>
    <w:rsid w:val="007A598A"/>
    <w:rsid w:val="007B0197"/>
    <w:rsid w:val="007B5C2E"/>
    <w:rsid w:val="007C6707"/>
    <w:rsid w:val="007C6965"/>
    <w:rsid w:val="007C79AD"/>
    <w:rsid w:val="007D10CB"/>
    <w:rsid w:val="007D66CE"/>
    <w:rsid w:val="007D6C34"/>
    <w:rsid w:val="007E20F3"/>
    <w:rsid w:val="007E527B"/>
    <w:rsid w:val="007F23D5"/>
    <w:rsid w:val="00802513"/>
    <w:rsid w:val="00802FC0"/>
    <w:rsid w:val="00803639"/>
    <w:rsid w:val="008051F9"/>
    <w:rsid w:val="00807367"/>
    <w:rsid w:val="00807655"/>
    <w:rsid w:val="0081168F"/>
    <w:rsid w:val="00813842"/>
    <w:rsid w:val="00815107"/>
    <w:rsid w:val="00816709"/>
    <w:rsid w:val="00821EC5"/>
    <w:rsid w:val="00827D59"/>
    <w:rsid w:val="0083286F"/>
    <w:rsid w:val="008365B4"/>
    <w:rsid w:val="00854CC9"/>
    <w:rsid w:val="00856FE0"/>
    <w:rsid w:val="0086117E"/>
    <w:rsid w:val="00861323"/>
    <w:rsid w:val="00862A6F"/>
    <w:rsid w:val="00867451"/>
    <w:rsid w:val="00867A90"/>
    <w:rsid w:val="00883436"/>
    <w:rsid w:val="0088376D"/>
    <w:rsid w:val="00890D00"/>
    <w:rsid w:val="008910ED"/>
    <w:rsid w:val="00893851"/>
    <w:rsid w:val="00896A49"/>
    <w:rsid w:val="008A2BF7"/>
    <w:rsid w:val="008A5E7F"/>
    <w:rsid w:val="008B023A"/>
    <w:rsid w:val="008B0386"/>
    <w:rsid w:val="008B3FA1"/>
    <w:rsid w:val="008C3A3E"/>
    <w:rsid w:val="008D1169"/>
    <w:rsid w:val="008D1302"/>
    <w:rsid w:val="008D3C49"/>
    <w:rsid w:val="008D476C"/>
    <w:rsid w:val="008E580E"/>
    <w:rsid w:val="008E5F7C"/>
    <w:rsid w:val="008F2C71"/>
    <w:rsid w:val="008F380B"/>
    <w:rsid w:val="009033F0"/>
    <w:rsid w:val="00912EC7"/>
    <w:rsid w:val="00917B9C"/>
    <w:rsid w:val="00930D76"/>
    <w:rsid w:val="00931B0C"/>
    <w:rsid w:val="00941B6C"/>
    <w:rsid w:val="009449A8"/>
    <w:rsid w:val="00950942"/>
    <w:rsid w:val="009660E1"/>
    <w:rsid w:val="00975CC0"/>
    <w:rsid w:val="00976850"/>
    <w:rsid w:val="00980656"/>
    <w:rsid w:val="00987FCF"/>
    <w:rsid w:val="00990B20"/>
    <w:rsid w:val="009B562B"/>
    <w:rsid w:val="009B5954"/>
    <w:rsid w:val="009C0C4B"/>
    <w:rsid w:val="009D7EFA"/>
    <w:rsid w:val="009E033F"/>
    <w:rsid w:val="009F0114"/>
    <w:rsid w:val="009F37D0"/>
    <w:rsid w:val="009F3E99"/>
    <w:rsid w:val="009F4FA6"/>
    <w:rsid w:val="009F53AD"/>
    <w:rsid w:val="00A020D6"/>
    <w:rsid w:val="00A11A2D"/>
    <w:rsid w:val="00A20FBC"/>
    <w:rsid w:val="00A27B36"/>
    <w:rsid w:val="00A33A83"/>
    <w:rsid w:val="00A453BE"/>
    <w:rsid w:val="00A4624D"/>
    <w:rsid w:val="00A46651"/>
    <w:rsid w:val="00A52E36"/>
    <w:rsid w:val="00A53E05"/>
    <w:rsid w:val="00A5698B"/>
    <w:rsid w:val="00A6101F"/>
    <w:rsid w:val="00A62689"/>
    <w:rsid w:val="00A62B47"/>
    <w:rsid w:val="00A70CA7"/>
    <w:rsid w:val="00A768C6"/>
    <w:rsid w:val="00A865AC"/>
    <w:rsid w:val="00A87B64"/>
    <w:rsid w:val="00A92A25"/>
    <w:rsid w:val="00A941B6"/>
    <w:rsid w:val="00AA3616"/>
    <w:rsid w:val="00AB126A"/>
    <w:rsid w:val="00AD29A0"/>
    <w:rsid w:val="00AD7A82"/>
    <w:rsid w:val="00AE0BA2"/>
    <w:rsid w:val="00AF2DB2"/>
    <w:rsid w:val="00AF44BD"/>
    <w:rsid w:val="00AF4625"/>
    <w:rsid w:val="00AF6DAB"/>
    <w:rsid w:val="00B00A92"/>
    <w:rsid w:val="00B02C00"/>
    <w:rsid w:val="00B07A74"/>
    <w:rsid w:val="00B247E9"/>
    <w:rsid w:val="00B31113"/>
    <w:rsid w:val="00B32EB6"/>
    <w:rsid w:val="00B36593"/>
    <w:rsid w:val="00B54D2B"/>
    <w:rsid w:val="00B61262"/>
    <w:rsid w:val="00B63346"/>
    <w:rsid w:val="00B63726"/>
    <w:rsid w:val="00B74D3C"/>
    <w:rsid w:val="00B9122A"/>
    <w:rsid w:val="00B96171"/>
    <w:rsid w:val="00BA0532"/>
    <w:rsid w:val="00BA22E2"/>
    <w:rsid w:val="00BA2437"/>
    <w:rsid w:val="00BA4455"/>
    <w:rsid w:val="00BB1974"/>
    <w:rsid w:val="00BB26E9"/>
    <w:rsid w:val="00BB3229"/>
    <w:rsid w:val="00BB449F"/>
    <w:rsid w:val="00BB6868"/>
    <w:rsid w:val="00BC7FF7"/>
    <w:rsid w:val="00BD275B"/>
    <w:rsid w:val="00BE4179"/>
    <w:rsid w:val="00BF2C57"/>
    <w:rsid w:val="00BF4586"/>
    <w:rsid w:val="00C11873"/>
    <w:rsid w:val="00C22ECC"/>
    <w:rsid w:val="00C31E14"/>
    <w:rsid w:val="00C33D4C"/>
    <w:rsid w:val="00C44422"/>
    <w:rsid w:val="00C522DA"/>
    <w:rsid w:val="00C614A7"/>
    <w:rsid w:val="00C63BDC"/>
    <w:rsid w:val="00C6746F"/>
    <w:rsid w:val="00C75E0D"/>
    <w:rsid w:val="00C768B1"/>
    <w:rsid w:val="00C910EB"/>
    <w:rsid w:val="00C932DF"/>
    <w:rsid w:val="00C9699E"/>
    <w:rsid w:val="00CA2F6F"/>
    <w:rsid w:val="00CA3C3C"/>
    <w:rsid w:val="00CB6E3B"/>
    <w:rsid w:val="00CB7E0A"/>
    <w:rsid w:val="00CC5B77"/>
    <w:rsid w:val="00CD1E74"/>
    <w:rsid w:val="00CD718A"/>
    <w:rsid w:val="00CE5710"/>
    <w:rsid w:val="00CE64AA"/>
    <w:rsid w:val="00CF3454"/>
    <w:rsid w:val="00CF39CB"/>
    <w:rsid w:val="00CF67A3"/>
    <w:rsid w:val="00D04ECE"/>
    <w:rsid w:val="00D06943"/>
    <w:rsid w:val="00D14BBC"/>
    <w:rsid w:val="00D17ED4"/>
    <w:rsid w:val="00D22B6B"/>
    <w:rsid w:val="00D22B9E"/>
    <w:rsid w:val="00D2343F"/>
    <w:rsid w:val="00D24931"/>
    <w:rsid w:val="00D31D83"/>
    <w:rsid w:val="00D36B21"/>
    <w:rsid w:val="00D379E3"/>
    <w:rsid w:val="00D37C53"/>
    <w:rsid w:val="00D41794"/>
    <w:rsid w:val="00D42089"/>
    <w:rsid w:val="00D56BC7"/>
    <w:rsid w:val="00D6506B"/>
    <w:rsid w:val="00D67EF3"/>
    <w:rsid w:val="00D812B2"/>
    <w:rsid w:val="00D91DB8"/>
    <w:rsid w:val="00D94838"/>
    <w:rsid w:val="00D95E6F"/>
    <w:rsid w:val="00D96A65"/>
    <w:rsid w:val="00D96B41"/>
    <w:rsid w:val="00D97397"/>
    <w:rsid w:val="00DA1B3F"/>
    <w:rsid w:val="00DA35FC"/>
    <w:rsid w:val="00DA417E"/>
    <w:rsid w:val="00DA6073"/>
    <w:rsid w:val="00DA66E0"/>
    <w:rsid w:val="00DB48AA"/>
    <w:rsid w:val="00DB641D"/>
    <w:rsid w:val="00DB7E61"/>
    <w:rsid w:val="00DC1E4E"/>
    <w:rsid w:val="00DD4F44"/>
    <w:rsid w:val="00DD69C3"/>
    <w:rsid w:val="00DD7ACB"/>
    <w:rsid w:val="00DE165E"/>
    <w:rsid w:val="00DE21F3"/>
    <w:rsid w:val="00DE248C"/>
    <w:rsid w:val="00DE49D6"/>
    <w:rsid w:val="00DF1369"/>
    <w:rsid w:val="00DF136B"/>
    <w:rsid w:val="00DF4C38"/>
    <w:rsid w:val="00DF5F5A"/>
    <w:rsid w:val="00E04CD0"/>
    <w:rsid w:val="00E11EA8"/>
    <w:rsid w:val="00E12128"/>
    <w:rsid w:val="00E26C8C"/>
    <w:rsid w:val="00E304A7"/>
    <w:rsid w:val="00E32AF2"/>
    <w:rsid w:val="00E40CFA"/>
    <w:rsid w:val="00E47D94"/>
    <w:rsid w:val="00E51152"/>
    <w:rsid w:val="00E5144D"/>
    <w:rsid w:val="00E600C2"/>
    <w:rsid w:val="00E61BE2"/>
    <w:rsid w:val="00E61DB3"/>
    <w:rsid w:val="00E64106"/>
    <w:rsid w:val="00E7046C"/>
    <w:rsid w:val="00E93274"/>
    <w:rsid w:val="00E94E10"/>
    <w:rsid w:val="00EC3E0D"/>
    <w:rsid w:val="00EC521F"/>
    <w:rsid w:val="00EC6D1A"/>
    <w:rsid w:val="00EC7D16"/>
    <w:rsid w:val="00ED528E"/>
    <w:rsid w:val="00ED630D"/>
    <w:rsid w:val="00EE1817"/>
    <w:rsid w:val="00EE1FC8"/>
    <w:rsid w:val="00EE3697"/>
    <w:rsid w:val="00EE61E7"/>
    <w:rsid w:val="00EF7262"/>
    <w:rsid w:val="00F01E3F"/>
    <w:rsid w:val="00F03BF1"/>
    <w:rsid w:val="00F054FA"/>
    <w:rsid w:val="00F056AF"/>
    <w:rsid w:val="00F244D1"/>
    <w:rsid w:val="00F256A9"/>
    <w:rsid w:val="00F351D4"/>
    <w:rsid w:val="00F36993"/>
    <w:rsid w:val="00F378AF"/>
    <w:rsid w:val="00F3792E"/>
    <w:rsid w:val="00F41699"/>
    <w:rsid w:val="00F42573"/>
    <w:rsid w:val="00F455F3"/>
    <w:rsid w:val="00F46FA2"/>
    <w:rsid w:val="00F63F7D"/>
    <w:rsid w:val="00F71FB8"/>
    <w:rsid w:val="00F737CF"/>
    <w:rsid w:val="00F77060"/>
    <w:rsid w:val="00F770ED"/>
    <w:rsid w:val="00F80640"/>
    <w:rsid w:val="00F83B0D"/>
    <w:rsid w:val="00F86649"/>
    <w:rsid w:val="00FA3FBF"/>
    <w:rsid w:val="00FB00A9"/>
    <w:rsid w:val="00FB15E7"/>
    <w:rsid w:val="00FB5252"/>
    <w:rsid w:val="00FB79E2"/>
    <w:rsid w:val="00FC0FD2"/>
    <w:rsid w:val="00FC12DA"/>
    <w:rsid w:val="00FC201B"/>
    <w:rsid w:val="00FC66A6"/>
    <w:rsid w:val="00FD45EE"/>
    <w:rsid w:val="00FD5628"/>
    <w:rsid w:val="00FD5B9D"/>
    <w:rsid w:val="00FD6A49"/>
    <w:rsid w:val="00FE515C"/>
    <w:rsid w:val="00FE7E8A"/>
    <w:rsid w:val="00FF01CB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E5E2683"/>
  <w15:docId w15:val="{3BE800CD-9D7C-4596-9385-BDFDEADC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KZ"/>
    <w:qFormat/>
    <w:rsid w:val="00FB00A9"/>
    <w:pPr>
      <w:spacing w:after="12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00A9"/>
    <w:pPr>
      <w:keepNext/>
      <w:keepLines/>
      <w:numPr>
        <w:numId w:val="1"/>
      </w:numPr>
      <w:spacing w:before="60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00A9"/>
    <w:pPr>
      <w:keepNext/>
      <w:keepLines/>
      <w:numPr>
        <w:numId w:val="3"/>
      </w:numPr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00A9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B00A9"/>
    <w:rPr>
      <w:rFonts w:eastAsiaTheme="majorEastAsia" w:cstheme="majorBidi"/>
      <w:b/>
      <w:bCs/>
      <w:sz w:val="28"/>
      <w:szCs w:val="26"/>
    </w:rPr>
  </w:style>
  <w:style w:type="paragraph" w:styleId="Zhlav">
    <w:name w:val="header"/>
    <w:basedOn w:val="Normln"/>
    <w:link w:val="ZhlavChar"/>
    <w:uiPriority w:val="99"/>
    <w:unhideWhenUsed/>
    <w:rsid w:val="00FB00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B00A9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B00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B00A9"/>
    <w:rPr>
      <w:sz w:val="24"/>
    </w:rPr>
  </w:style>
  <w:style w:type="paragraph" w:styleId="Normlnweb">
    <w:name w:val="Normal (Web)"/>
    <w:basedOn w:val="Normln"/>
    <w:uiPriority w:val="99"/>
    <w:semiHidden/>
    <w:rsid w:val="00FB00A9"/>
    <w:pPr>
      <w:spacing w:after="0"/>
    </w:pPr>
    <w:rPr>
      <w:rFonts w:ascii="Times New Roman" w:eastAsia="Times New Roman" w:hAnsi="Times New Roman" w:cs="Times New Roman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FB00A9"/>
    <w:pPr>
      <w:numPr>
        <w:numId w:val="4"/>
      </w:numPr>
      <w:ind w:left="426" w:hanging="426"/>
      <w:contextualSpacing/>
    </w:pPr>
    <w:rPr>
      <w:rFonts w:eastAsia="Times New Roman" w:cs="Times New Roman"/>
    </w:rPr>
  </w:style>
  <w:style w:type="character" w:customStyle="1" w:styleId="OdstavecseseznamemChar">
    <w:name w:val="Odstavec se seznamem Char"/>
    <w:aliases w:val="odrážky Char"/>
    <w:link w:val="Odstavecseseznamem"/>
    <w:uiPriority w:val="34"/>
    <w:locked/>
    <w:rsid w:val="00FB00A9"/>
    <w:rPr>
      <w:rFonts w:eastAsia="Times New Roman" w:cs="Times New Roman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FB00A9"/>
    <w:pPr>
      <w:spacing w:after="0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00A9"/>
    <w:rPr>
      <w:rFonts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B00A9"/>
    <w:rPr>
      <w:vertAlign w:val="superscript"/>
    </w:rPr>
  </w:style>
  <w:style w:type="paragraph" w:customStyle="1" w:styleId="Vchoz">
    <w:name w:val="Výchozí"/>
    <w:rsid w:val="00FB00A9"/>
    <w:pPr>
      <w:tabs>
        <w:tab w:val="left" w:pos="720"/>
      </w:tabs>
      <w:suppressAutoHyphens/>
      <w:spacing w:after="120" w:line="276" w:lineRule="auto"/>
    </w:pPr>
    <w:rPr>
      <w:rFonts w:ascii="Arial" w:eastAsia="SimSun" w:hAnsi="Arial" w:cs="Mangal"/>
      <w:color w:val="000000"/>
      <w:szCs w:val="24"/>
      <w:lang w:bidi="hi-IN"/>
    </w:rPr>
  </w:style>
  <w:style w:type="paragraph" w:customStyle="1" w:styleId="Protokol">
    <w:name w:val="Protokol"/>
    <w:basedOn w:val="Normln"/>
    <w:link w:val="ProtokolChar"/>
    <w:qFormat/>
    <w:rsid w:val="00FB00A9"/>
    <w:pPr>
      <w:spacing w:line="276" w:lineRule="auto"/>
    </w:pPr>
    <w:rPr>
      <w:rFonts w:eastAsia="Times New Roman" w:cstheme="minorHAnsi"/>
      <w:szCs w:val="24"/>
    </w:rPr>
  </w:style>
  <w:style w:type="character" w:customStyle="1" w:styleId="ProtokolChar">
    <w:name w:val="Protokol Char"/>
    <w:basedOn w:val="Standardnpsmoodstavce"/>
    <w:link w:val="Protokol"/>
    <w:rsid w:val="00FB00A9"/>
    <w:rPr>
      <w:rFonts w:eastAsia="Times New Roman" w:cs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FB00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0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0B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02F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dpisobsahu">
    <w:name w:val="TOC Heading"/>
    <w:basedOn w:val="Nadpis1"/>
    <w:next w:val="Normln"/>
    <w:uiPriority w:val="39"/>
    <w:unhideWhenUsed/>
    <w:qFormat/>
    <w:rsid w:val="00F256A9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256A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256A9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F256A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21E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1E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1E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E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package" Target="embeddings/List_aplikace_Microsoft_Excel5.xlsx"/><Relationship Id="rId26" Type="http://schemas.openxmlformats.org/officeDocument/2006/relationships/package" Target="embeddings/List_aplikace_Microsoft_Excel9.xlsx"/><Relationship Id="rId39" Type="http://schemas.openxmlformats.org/officeDocument/2006/relationships/fontTable" Target="fontTable.xml"/><Relationship Id="rId21" Type="http://schemas.openxmlformats.org/officeDocument/2006/relationships/image" Target="media/image8.emf"/><Relationship Id="rId34" Type="http://schemas.openxmlformats.org/officeDocument/2006/relationships/package" Target="embeddings/List_aplikace_Microsoft_Excel12.xlsx"/><Relationship Id="rId42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package" Target="embeddings/List_aplikace_Microsoft_Excel4.xlsx"/><Relationship Id="rId20" Type="http://schemas.openxmlformats.org/officeDocument/2006/relationships/package" Target="embeddings/List_aplikace_Microsoft_Excel6.xlsx"/><Relationship Id="rId29" Type="http://schemas.openxmlformats.org/officeDocument/2006/relationships/image" Target="media/image12.emf"/><Relationship Id="rId4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package" Target="embeddings/List_aplikace_Microsoft_Excel8.xlsx"/><Relationship Id="rId32" Type="http://schemas.openxmlformats.org/officeDocument/2006/relationships/image" Target="media/image14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List_aplikace_Microsoft_Excel10.xlsx"/><Relationship Id="rId36" Type="http://schemas.openxmlformats.org/officeDocument/2006/relationships/footer" Target="footer1.xml"/><Relationship Id="rId10" Type="http://schemas.openxmlformats.org/officeDocument/2006/relationships/package" Target="embeddings/List_aplikace_Microsoft_Excel1.xlsx"/><Relationship Id="rId19" Type="http://schemas.openxmlformats.org/officeDocument/2006/relationships/image" Target="media/image7.emf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List_aplikace_Microsoft_Excel3.xlsx"/><Relationship Id="rId22" Type="http://schemas.openxmlformats.org/officeDocument/2006/relationships/package" Target="embeddings/List_aplikace_Microsoft_Excel7.xlsx"/><Relationship Id="rId27" Type="http://schemas.openxmlformats.org/officeDocument/2006/relationships/image" Target="media/image11.emf"/><Relationship Id="rId30" Type="http://schemas.openxmlformats.org/officeDocument/2006/relationships/package" Target="embeddings/List_aplikace_Microsoft_Excel11.xlsx"/><Relationship Id="rId35" Type="http://schemas.openxmlformats.org/officeDocument/2006/relationships/hyperlink" Target="https://data.oecd.org/tax/tax-on-property.htm" TargetMode="External"/><Relationship Id="rId43" Type="http://schemas.openxmlformats.org/officeDocument/2006/relationships/customXml" Target="../customXml/item4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package" Target="embeddings/List_aplikace_Microsoft_Excel2.xls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5.emf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8D872-EB58-410A-83F6-B37E184C1DFD}"/>
</file>

<file path=customXml/itemProps2.xml><?xml version="1.0" encoding="utf-8"?>
<ds:datastoreItem xmlns:ds="http://schemas.openxmlformats.org/officeDocument/2006/customXml" ds:itemID="{890F97B6-ED24-482D-B136-B8D4AC162E70}"/>
</file>

<file path=customXml/itemProps3.xml><?xml version="1.0" encoding="utf-8"?>
<ds:datastoreItem xmlns:ds="http://schemas.openxmlformats.org/officeDocument/2006/customXml" ds:itemID="{A8F507AC-79C4-4D00-931F-0C323AB634D4}"/>
</file>

<file path=customXml/itemProps4.xml><?xml version="1.0" encoding="utf-8"?>
<ds:datastoreItem xmlns:ds="http://schemas.openxmlformats.org/officeDocument/2006/customXml" ds:itemID="{8EE686F0-FD91-4FC5-97ED-1FCD10C60BD8}"/>
</file>

<file path=docProps/app.xml><?xml version="1.0" encoding="utf-8"?>
<Properties xmlns="http://schemas.openxmlformats.org/officeDocument/2006/extended-properties" xmlns:vt="http://schemas.openxmlformats.org/officeDocument/2006/docPropsVTypes">
  <Template>2D8042E2.dotm</Template>
  <TotalTime>15</TotalTime>
  <Pages>19</Pages>
  <Words>4749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15/15 - Zdaňování nemovitostí, převodu nemovitostí a majetku nabytého děděním a darováním</dc:title>
  <dc:subject>Kontrolní závěr z kontrolní akce NKÚ č. 15/15 - Zdaňování nemovitostí, převodu nemovitostí a majetku nabytého děděním a darováním</dc:subject>
  <dc:creator>Nejvyšší kontrolní úřad</dc:creator>
  <cp:keywords>kontrolní závěr, daně, nemovitosti, majetkové daně</cp:keywords>
  <dc:description/>
  <cp:lastModifiedBy>KOKRDA Daniel</cp:lastModifiedBy>
  <cp:revision>5</cp:revision>
  <cp:lastPrinted>2016-03-16T10:46:00Z</cp:lastPrinted>
  <dcterms:created xsi:type="dcterms:W3CDTF">2016-03-16T10:31:00Z</dcterms:created>
  <dcterms:modified xsi:type="dcterms:W3CDTF">2016-03-16T10:47:00Z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