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4A" w:rsidRPr="00562443" w:rsidRDefault="00FE2A50" w:rsidP="0000796C">
      <w:pPr>
        <w:jc w:val="center"/>
        <w:rPr>
          <w:rFonts w:ascii="Calibri" w:hAnsi="Calibri" w:cs="Calibri"/>
          <w:lang w:val="cs-CZ"/>
        </w:rPr>
      </w:pPr>
      <w:r w:rsidRPr="00562443">
        <w:rPr>
          <w:rFonts w:ascii="Calibri" w:hAnsi="Calibri" w:cs="Calibr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F3DB06D" wp14:editId="4CA5FF4B">
            <wp:simplePos x="0" y="0"/>
            <wp:positionH relativeFrom="margin">
              <wp:posOffset>2512695</wp:posOffset>
            </wp:positionH>
            <wp:positionV relativeFrom="paragraph">
              <wp:posOffset>-263525</wp:posOffset>
            </wp:positionV>
            <wp:extent cx="713740" cy="504190"/>
            <wp:effectExtent l="0" t="0" r="0" b="0"/>
            <wp:wrapTopAndBottom/>
            <wp:docPr id="4" name="obrázek 4" descr="http://rozcestnik/intranet/utvary/odborKomunikace/jednotVizualStylNKU/documents/LOGO/LOGO bez textu/NKU_logo-transp-rgb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ozcestnik/intranet/utvary/odborKomunikace/jednotVizualStylNKU/documents/LOGO/LOGO bez textu/NKU_logo-transp-rgb300dp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4C" w:rsidRDefault="00DF094C" w:rsidP="0000796C">
      <w:pPr>
        <w:jc w:val="center"/>
        <w:rPr>
          <w:rFonts w:ascii="Calibri" w:hAnsi="Calibri" w:cs="Calibri"/>
          <w:b/>
          <w:color w:val="000000"/>
          <w:lang w:val="cs-CZ"/>
        </w:rPr>
      </w:pPr>
    </w:p>
    <w:p w:rsidR="00562443" w:rsidRPr="00562443" w:rsidRDefault="00562443" w:rsidP="0000796C">
      <w:pPr>
        <w:jc w:val="center"/>
        <w:rPr>
          <w:rFonts w:ascii="Calibri" w:hAnsi="Calibri" w:cs="Calibri"/>
          <w:b/>
          <w:color w:val="000000"/>
          <w:lang w:val="cs-CZ"/>
        </w:rPr>
      </w:pPr>
    </w:p>
    <w:p w:rsidR="005E3F4A" w:rsidRPr="00DF094C" w:rsidRDefault="005E3F4A" w:rsidP="0000796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Kontrolní závěr z kontrolní </w:t>
      </w:r>
      <w:bookmarkStart w:id="0" w:name="_GoBack"/>
      <w:r w:rsidR="00FC2455"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akc</w:t>
      </w:r>
      <w:bookmarkEnd w:id="0"/>
      <w:r w:rsidR="00FC2455"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e</w:t>
      </w:r>
    </w:p>
    <w:p w:rsidR="005E3F4A" w:rsidRPr="00562443" w:rsidRDefault="005E3F4A" w:rsidP="0000796C">
      <w:pPr>
        <w:jc w:val="center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FF4A27" w:rsidP="0000796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14/41</w:t>
      </w:r>
    </w:p>
    <w:p w:rsidR="005E3F4A" w:rsidRPr="00562443" w:rsidRDefault="005E3F4A" w:rsidP="0000796C">
      <w:pPr>
        <w:jc w:val="center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0C63AA" w:rsidP="0000796C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Peněžní prostředky vynakládané </w:t>
      </w:r>
      <w:r w:rsidR="00FF4A27"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Ministerstvem obrany </w:t>
      </w:r>
      <w:r w:rsidR="00562443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br/>
      </w:r>
      <w:r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na </w:t>
      </w:r>
      <w:r w:rsidR="00FF4A27" w:rsidRPr="00DF094C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zajištění úkolů biologické ochrany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Kontrolní akce byla zařazena do plánu kontrolní činnosti Nejvyššího kontrolního</w:t>
      </w:r>
      <w:r w:rsidR="00C936C4" w:rsidRPr="00DF094C">
        <w:rPr>
          <w:rFonts w:asciiTheme="minorHAnsi" w:hAnsiTheme="minorHAnsi" w:cstheme="minorHAnsi"/>
          <w:color w:val="000000"/>
          <w:lang w:val="cs-CZ"/>
        </w:rPr>
        <w:t xml:space="preserve"> úřadu (dále jen „NKÚ“) na rok 2014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pod číslem </w:t>
      </w:r>
      <w:r w:rsidR="00C936C4" w:rsidRPr="00DF094C">
        <w:rPr>
          <w:rFonts w:asciiTheme="minorHAnsi" w:hAnsiTheme="minorHAnsi" w:cstheme="minorHAnsi"/>
          <w:color w:val="000000"/>
          <w:lang w:val="cs-CZ"/>
        </w:rPr>
        <w:t>14/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41</w:t>
      </w:r>
      <w:r w:rsidRPr="00DF094C">
        <w:rPr>
          <w:rFonts w:asciiTheme="minorHAnsi" w:hAnsiTheme="minorHAnsi" w:cstheme="minorHAnsi"/>
          <w:color w:val="000000"/>
          <w:lang w:val="cs-CZ"/>
        </w:rPr>
        <w:t>. Kontrolní akci řídil a kontrolní závěr vypracoval</w:t>
      </w:r>
      <w:r w:rsidR="00C936C4" w:rsidRPr="00DF094C">
        <w:rPr>
          <w:rFonts w:asciiTheme="minorHAnsi" w:hAnsiTheme="minorHAnsi" w:cstheme="minorHAnsi"/>
          <w:color w:val="000000"/>
          <w:lang w:val="cs-CZ"/>
        </w:rPr>
        <w:t xml:space="preserve"> člen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NKÚ 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Ing. Josef Kubíček</w:t>
      </w:r>
      <w:r w:rsidR="00C936C4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Cílem kontroly bylo </w:t>
      </w:r>
      <w:r w:rsidR="0020289C" w:rsidRPr="00DF094C">
        <w:rPr>
          <w:rFonts w:asciiTheme="minorHAnsi" w:hAnsiTheme="minorHAnsi" w:cstheme="minorHAnsi"/>
          <w:color w:val="000000"/>
          <w:lang w:val="cs-CZ"/>
        </w:rPr>
        <w:t>prověřit hospod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árnost a účelnost výdajů státního rozpočtu na zajištění úkolů Ministerstva obrany v oblasti biologické ochrany</w:t>
      </w:r>
      <w:r w:rsidR="0020289C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Kontrola byla </w:t>
      </w:r>
      <w:r w:rsidR="002B699D">
        <w:rPr>
          <w:rFonts w:asciiTheme="minorHAnsi" w:hAnsiTheme="minorHAnsi" w:cstheme="minorHAnsi"/>
          <w:color w:val="000000"/>
          <w:lang w:val="cs-CZ"/>
        </w:rPr>
        <w:t xml:space="preserve">u kontrolovaných osob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prováděna od 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 xml:space="preserve">listopadu 2014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do 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května</w:t>
      </w:r>
      <w:r w:rsidR="00995106" w:rsidRPr="00DF094C">
        <w:rPr>
          <w:rFonts w:asciiTheme="minorHAnsi" w:hAnsiTheme="minorHAnsi" w:cstheme="minorHAnsi"/>
          <w:color w:val="000000"/>
          <w:lang w:val="cs-CZ"/>
        </w:rPr>
        <w:t xml:space="preserve"> 201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5</w:t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4A5D36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Kontrolováno bylo období let 200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2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až 2014</w:t>
      </w:r>
      <w:r w:rsidR="00A354B6" w:rsidRPr="00DF094C">
        <w:rPr>
          <w:rFonts w:asciiTheme="minorHAnsi" w:hAnsiTheme="minorHAnsi" w:cstheme="minorHAnsi"/>
          <w:color w:val="000000"/>
          <w:lang w:val="cs-CZ"/>
        </w:rPr>
        <w:t xml:space="preserve">, 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>v případě věcných souvi</w:t>
      </w:r>
      <w:r w:rsidRPr="00DF094C">
        <w:rPr>
          <w:rFonts w:asciiTheme="minorHAnsi" w:hAnsiTheme="minorHAnsi" w:cstheme="minorHAnsi"/>
          <w:color w:val="000000"/>
          <w:lang w:val="cs-CZ"/>
        </w:rPr>
        <w:t>slostí i období předcházející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 xml:space="preserve"> a období až do ukončení kontroly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351482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Kontrolované osoby:</w:t>
      </w:r>
      <w:r w:rsidRPr="00DF094C">
        <w:rPr>
          <w:rFonts w:asciiTheme="minorHAnsi" w:hAnsiTheme="minorHAnsi" w:cstheme="minorHAnsi"/>
          <w:color w:val="000000"/>
          <w:lang w:val="cs-CZ"/>
        </w:rPr>
        <w:cr/>
      </w:r>
      <w:r w:rsidR="004A5D36" w:rsidRPr="00DF094C">
        <w:rPr>
          <w:rFonts w:asciiTheme="minorHAnsi" w:hAnsiTheme="minorHAnsi" w:cstheme="minorHAnsi"/>
          <w:color w:val="000000"/>
          <w:lang w:val="cs-CZ"/>
        </w:rPr>
        <w:t xml:space="preserve">Ministerstvo 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obrany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 xml:space="preserve"> (dále </w:t>
      </w:r>
      <w:r w:rsidR="0095566B" w:rsidRPr="00DF094C">
        <w:rPr>
          <w:rFonts w:asciiTheme="minorHAnsi" w:hAnsiTheme="minorHAnsi" w:cstheme="minorHAnsi"/>
          <w:color w:val="000000"/>
          <w:lang w:val="cs-CZ"/>
        </w:rPr>
        <w:t>jen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 xml:space="preserve"> „M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O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>“)</w:t>
      </w:r>
      <w:r w:rsidR="004A5D36" w:rsidRPr="00DF094C">
        <w:rPr>
          <w:rFonts w:asciiTheme="minorHAnsi" w:hAnsiTheme="minorHAnsi" w:cstheme="minorHAnsi"/>
          <w:color w:val="000000"/>
          <w:lang w:val="cs-CZ"/>
        </w:rPr>
        <w:t xml:space="preserve">; </w:t>
      </w:r>
    </w:p>
    <w:p w:rsidR="005E3F4A" w:rsidRPr="00DF094C" w:rsidRDefault="00FF4A27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Armádní Servisní, příspěvková organizace</w:t>
      </w:r>
      <w:r w:rsidR="002B699D">
        <w:rPr>
          <w:rFonts w:asciiTheme="minorHAnsi" w:hAnsiTheme="minorHAnsi" w:cstheme="minorHAnsi"/>
          <w:color w:val="000000"/>
          <w:lang w:val="cs-CZ"/>
        </w:rPr>
        <w:t>, Praha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 xml:space="preserve"> (dále </w:t>
      </w:r>
      <w:r w:rsidR="0095566B" w:rsidRPr="00DF094C">
        <w:rPr>
          <w:rFonts w:asciiTheme="minorHAnsi" w:hAnsiTheme="minorHAnsi" w:cstheme="minorHAnsi"/>
          <w:color w:val="000000"/>
          <w:lang w:val="cs-CZ"/>
        </w:rPr>
        <w:t>jen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 xml:space="preserve"> „</w:t>
      </w:r>
      <w:r w:rsidRPr="00DF094C">
        <w:rPr>
          <w:rFonts w:asciiTheme="minorHAnsi" w:hAnsiTheme="minorHAnsi" w:cstheme="minorHAnsi"/>
          <w:color w:val="000000"/>
          <w:lang w:val="cs-CZ"/>
        </w:rPr>
        <w:t>ASPO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>“)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Námitky</w:t>
      </w:r>
      <w:r w:rsidR="004A5D36" w:rsidRPr="00DF094C">
        <w:rPr>
          <w:rFonts w:asciiTheme="minorHAnsi" w:hAnsiTheme="minorHAnsi" w:cstheme="minorHAnsi"/>
          <w:color w:val="000000"/>
          <w:lang w:val="cs-CZ"/>
        </w:rPr>
        <w:t>, které proti kontrolním protokolům podaly M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 xml:space="preserve">O </w:t>
      </w:r>
      <w:r w:rsidR="004A5D36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ASPO</w:t>
      </w:r>
      <w:r w:rsidR="004A5D36" w:rsidRPr="00DF094C">
        <w:rPr>
          <w:rFonts w:asciiTheme="minorHAnsi" w:hAnsiTheme="minorHAnsi" w:cstheme="minorHAnsi"/>
          <w:color w:val="000000"/>
          <w:lang w:val="cs-CZ"/>
        </w:rPr>
        <w:t>, byly vypořádány vedoucím</w:t>
      </w:r>
      <w:r w:rsidR="003D7285" w:rsidRPr="00DF094C">
        <w:rPr>
          <w:rFonts w:asciiTheme="minorHAnsi" w:hAnsiTheme="minorHAnsi" w:cstheme="minorHAnsi"/>
          <w:color w:val="000000"/>
          <w:lang w:val="cs-CZ"/>
        </w:rPr>
        <w:t>i</w:t>
      </w:r>
      <w:r w:rsidR="004A5D36" w:rsidRPr="00DF094C">
        <w:rPr>
          <w:rFonts w:asciiTheme="minorHAnsi" w:hAnsiTheme="minorHAnsi" w:cstheme="minorHAnsi"/>
          <w:color w:val="000000"/>
          <w:lang w:val="cs-CZ"/>
        </w:rPr>
        <w:t xml:space="preserve"> skupin kontrolujících rozhodnutími o námitkách</w:t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  <w:r w:rsidR="0046178C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>Odvolání</w:t>
      </w:r>
      <w:r w:rsidR="00B375ED" w:rsidRPr="00DF094C">
        <w:rPr>
          <w:rFonts w:asciiTheme="minorHAnsi" w:hAnsiTheme="minorHAnsi" w:cstheme="minorHAnsi"/>
          <w:color w:val="000000"/>
          <w:lang w:val="cs-CZ"/>
        </w:rPr>
        <w:t>, kter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é</w:t>
      </w:r>
      <w:r w:rsidR="00B375ED" w:rsidRPr="00DF094C">
        <w:rPr>
          <w:rFonts w:asciiTheme="minorHAnsi" w:hAnsiTheme="minorHAnsi" w:cstheme="minorHAnsi"/>
          <w:color w:val="000000"/>
          <w:lang w:val="cs-CZ"/>
        </w:rPr>
        <w:t xml:space="preserve"> p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 xml:space="preserve">roti rozhodnutí o námitkách </w:t>
      </w:r>
      <w:r w:rsidR="004B32B3" w:rsidRPr="00DF094C">
        <w:rPr>
          <w:rFonts w:asciiTheme="minorHAnsi" w:hAnsiTheme="minorHAnsi" w:cstheme="minorHAnsi"/>
          <w:color w:val="000000"/>
          <w:lang w:val="cs-CZ"/>
        </w:rPr>
        <w:t>podal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 xml:space="preserve">o </w:t>
      </w:r>
      <w:r w:rsidR="00B375ED" w:rsidRPr="00DF094C">
        <w:rPr>
          <w:rFonts w:asciiTheme="minorHAnsi" w:hAnsiTheme="minorHAnsi" w:cstheme="minorHAnsi"/>
          <w:color w:val="000000"/>
          <w:lang w:val="cs-CZ"/>
        </w:rPr>
        <w:t xml:space="preserve">MO, 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>byl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o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 xml:space="preserve"> vypořádán</w:t>
      </w:r>
      <w:r w:rsidR="00FF4A27" w:rsidRPr="00DF094C">
        <w:rPr>
          <w:rFonts w:asciiTheme="minorHAnsi" w:hAnsiTheme="minorHAnsi" w:cstheme="minorHAnsi"/>
          <w:color w:val="000000"/>
          <w:lang w:val="cs-CZ"/>
        </w:rPr>
        <w:t>o</w:t>
      </w:r>
      <w:r w:rsidR="0089162C" w:rsidRPr="00DF094C">
        <w:rPr>
          <w:rFonts w:asciiTheme="minorHAnsi" w:hAnsiTheme="minorHAnsi" w:cstheme="minorHAnsi"/>
          <w:color w:val="000000"/>
          <w:lang w:val="cs-CZ"/>
        </w:rPr>
        <w:t xml:space="preserve"> usnesením Kolegia NKÚ.</w:t>
      </w:r>
    </w:p>
    <w:p w:rsidR="005E3F4A" w:rsidRDefault="005E3F4A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950689" w:rsidRPr="00DF094C" w:rsidRDefault="00950689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E3F4A" w:rsidRPr="00DF094C" w:rsidRDefault="00C40637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Kolegium</w:t>
      </w:r>
      <w:r w:rsidR="001A3337" w:rsidRP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5E3F4A" w:rsidRP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FC769D" w:rsidRP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5E3F4A" w:rsidRPr="00DF094C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NKÚ</w:t>
      </w:r>
      <w:r w:rsidR="001A3337" w:rsidRP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 </w:t>
      </w:r>
      <w:r w:rsidR="00FC769D" w:rsidRP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 xml:space="preserve">na svém </w:t>
      </w:r>
      <w:r w:rsidR="00A90E5F">
        <w:rPr>
          <w:rFonts w:asciiTheme="minorHAnsi" w:hAnsiTheme="minorHAnsi" w:cstheme="minorHAnsi"/>
          <w:color w:val="000000"/>
          <w:lang w:val="cs-CZ"/>
        </w:rPr>
        <w:t>XII</w:t>
      </w:r>
      <w:r w:rsidR="00DF094C" w:rsidRPr="00DF094C">
        <w:rPr>
          <w:rFonts w:asciiTheme="minorHAnsi" w:hAnsiTheme="minorHAnsi" w:cstheme="minorHAnsi"/>
          <w:color w:val="000000"/>
          <w:lang w:val="cs-CZ"/>
        </w:rPr>
        <w:t xml:space="preserve">.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jednání, </w:t>
      </w:r>
      <w:r w:rsidR="00B117EB" w:rsidRPr="00DF094C">
        <w:rPr>
          <w:rFonts w:asciiTheme="minorHAnsi" w:hAnsiTheme="minorHAnsi" w:cstheme="minorHAnsi"/>
          <w:color w:val="000000"/>
          <w:lang w:val="cs-CZ"/>
        </w:rPr>
        <w:t>které se konalo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 xml:space="preserve"> dne</w:t>
      </w:r>
      <w:r w:rsidR="00DF094C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228FC">
        <w:rPr>
          <w:rFonts w:asciiTheme="minorHAnsi" w:hAnsiTheme="minorHAnsi" w:cstheme="minorHAnsi"/>
          <w:color w:val="000000"/>
          <w:lang w:val="cs-CZ"/>
        </w:rPr>
        <w:t>31. srpna 2015</w:t>
      </w:r>
      <w:r w:rsidR="005E3F4A" w:rsidRPr="00DF094C">
        <w:rPr>
          <w:rFonts w:asciiTheme="minorHAnsi" w:hAnsiTheme="minorHAnsi" w:cstheme="minorHAnsi"/>
          <w:color w:val="000000"/>
          <w:lang w:val="cs-CZ"/>
        </w:rPr>
        <w:t>,</w:t>
      </w:r>
    </w:p>
    <w:p w:rsidR="005E3F4A" w:rsidRPr="00DF094C" w:rsidRDefault="00FC245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schválilo</w:t>
      </w:r>
      <w:r w:rsidRPr="00DF094C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1A3337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b/>
          <w:i/>
          <w:color w:val="000000"/>
          <w:lang w:val="cs-CZ"/>
        </w:rPr>
        <w:t xml:space="preserve"> </w:t>
      </w:r>
      <w:r w:rsidR="003B5FEB" w:rsidRPr="00DF094C">
        <w:rPr>
          <w:rFonts w:asciiTheme="minorHAnsi" w:hAnsiTheme="minorHAnsi" w:cstheme="minorHAnsi"/>
          <w:color w:val="000000"/>
          <w:lang w:val="cs-CZ"/>
        </w:rPr>
        <w:t>usnesením č. </w:t>
      </w:r>
      <w:r w:rsidR="00CF04D3">
        <w:rPr>
          <w:rFonts w:asciiTheme="minorHAnsi" w:hAnsiTheme="minorHAnsi" w:cstheme="minorHAnsi"/>
          <w:color w:val="000000"/>
          <w:lang w:val="cs-CZ"/>
        </w:rPr>
        <w:t>8</w:t>
      </w:r>
      <w:r w:rsidR="003B5FEB" w:rsidRPr="00DF094C">
        <w:rPr>
          <w:rFonts w:asciiTheme="minorHAnsi" w:hAnsiTheme="minorHAnsi" w:cstheme="minorHAnsi"/>
          <w:color w:val="000000"/>
          <w:lang w:val="cs-CZ"/>
        </w:rPr>
        <w:t>/</w:t>
      </w:r>
      <w:r w:rsidR="00A90E5F">
        <w:rPr>
          <w:rFonts w:asciiTheme="minorHAnsi" w:hAnsiTheme="minorHAnsi" w:cstheme="minorHAnsi"/>
          <w:color w:val="000000"/>
          <w:lang w:val="cs-CZ"/>
        </w:rPr>
        <w:t>XII</w:t>
      </w:r>
      <w:r w:rsidR="003B5FEB" w:rsidRPr="00DF094C">
        <w:rPr>
          <w:rFonts w:asciiTheme="minorHAnsi" w:hAnsiTheme="minorHAnsi" w:cstheme="minorHAnsi"/>
          <w:color w:val="000000"/>
          <w:lang w:val="cs-CZ"/>
        </w:rPr>
        <w:t>/2015</w:t>
      </w:r>
    </w:p>
    <w:p w:rsidR="00346FCA" w:rsidRPr="00DF094C" w:rsidRDefault="00FC245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kontrolní</w:t>
      </w:r>
      <w:r w:rsidRPr="00DF094C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DF094C">
        <w:rPr>
          <w:rFonts w:asciiTheme="minorHAnsi" w:hAnsiTheme="minorHAnsi" w:cstheme="minorHAnsi"/>
          <w:b/>
          <w:i/>
          <w:color w:val="000000"/>
          <w:spacing w:val="40"/>
          <w:lang w:val="cs-CZ"/>
        </w:rPr>
        <w:t>závěr</w:t>
      </w:r>
      <w:r w:rsidRPr="00DF094C">
        <w:rPr>
          <w:rFonts w:asciiTheme="minorHAnsi" w:hAnsiTheme="minorHAnsi" w:cstheme="minorHAnsi"/>
          <w:b/>
          <w:i/>
          <w:color w:val="000000"/>
          <w:lang w:val="cs-CZ"/>
        </w:rPr>
        <w:t xml:space="preserve">   </w:t>
      </w:r>
      <w:r w:rsidRPr="00DF094C">
        <w:rPr>
          <w:rFonts w:asciiTheme="minorHAnsi" w:hAnsiTheme="minorHAnsi" w:cstheme="minorHAnsi"/>
          <w:color w:val="000000"/>
          <w:lang w:val="cs-CZ"/>
        </w:rPr>
        <w:t>v tomto znění:</w:t>
      </w:r>
    </w:p>
    <w:p w:rsidR="00346FCA" w:rsidRPr="00DF094C" w:rsidRDefault="00346FCA" w:rsidP="0000796C">
      <w:pPr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br w:type="page"/>
      </w:r>
    </w:p>
    <w:p w:rsidR="005E3F4A" w:rsidRPr="00950689" w:rsidRDefault="00950689" w:rsidP="00950689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lastRenderedPageBreak/>
        <w:t xml:space="preserve">I. </w:t>
      </w:r>
      <w:r w:rsidR="005E3F4A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Úvod</w:t>
      </w:r>
    </w:p>
    <w:p w:rsidR="00AD6CC5" w:rsidRPr="001A3337" w:rsidRDefault="00AD6CC5" w:rsidP="001A3337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3F3E83" w:rsidRPr="00DF094C" w:rsidRDefault="00B21B36" w:rsidP="0000796C">
      <w:pPr>
        <w:pStyle w:val="Odstavecseseznamem"/>
        <w:ind w:left="0"/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M</w:t>
      </w:r>
      <w:r w:rsidR="00547A80">
        <w:rPr>
          <w:rFonts w:asciiTheme="minorHAnsi" w:hAnsiTheme="minorHAnsi" w:cstheme="minorHAnsi"/>
          <w:color w:val="000000"/>
          <w:lang w:val="cs-CZ"/>
        </w:rPr>
        <w:t>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je ú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středním orgánem státní správy, který </w:t>
      </w:r>
      <w:r w:rsidRPr="00DF094C">
        <w:rPr>
          <w:rFonts w:asciiTheme="minorHAnsi" w:hAnsiTheme="minorHAnsi" w:cstheme="minorHAnsi"/>
          <w:color w:val="000000"/>
          <w:lang w:val="cs-CZ"/>
        </w:rPr>
        <w:t>mimo jin</w:t>
      </w:r>
      <w:r w:rsidR="00547A80">
        <w:rPr>
          <w:rFonts w:asciiTheme="minorHAnsi" w:hAnsiTheme="minorHAnsi" w:cstheme="minorHAnsi"/>
          <w:color w:val="000000"/>
          <w:lang w:val="cs-CZ"/>
        </w:rPr>
        <w:t>é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zabezpečuje obranu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České republiky (dále </w:t>
      </w:r>
      <w:r w:rsidR="00FF23F0">
        <w:rPr>
          <w:rFonts w:asciiTheme="minorHAnsi" w:hAnsiTheme="minorHAnsi" w:cstheme="minorHAnsi"/>
          <w:color w:val="000000"/>
          <w:lang w:val="cs-CZ"/>
        </w:rPr>
        <w:t>také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„ČR“) a ří</w:t>
      </w:r>
      <w:r w:rsidRPr="00DF094C">
        <w:rPr>
          <w:rFonts w:asciiTheme="minorHAnsi" w:hAnsiTheme="minorHAnsi" w:cstheme="minorHAnsi"/>
          <w:color w:val="000000"/>
          <w:lang w:val="cs-CZ"/>
        </w:rPr>
        <w:t>dí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Armád</w:t>
      </w:r>
      <w:r w:rsidRPr="00DF094C">
        <w:rPr>
          <w:rFonts w:asciiTheme="minorHAnsi" w:hAnsiTheme="minorHAnsi" w:cstheme="minorHAnsi"/>
          <w:color w:val="000000"/>
          <w:lang w:val="cs-CZ"/>
        </w:rPr>
        <w:t>u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České republiky (dále jen „A</w:t>
      </w:r>
      <w:r w:rsidR="00FB34C3" w:rsidRPr="00DF094C">
        <w:rPr>
          <w:rFonts w:asciiTheme="minorHAnsi" w:hAnsiTheme="minorHAnsi" w:cstheme="minorHAnsi"/>
          <w:color w:val="000000"/>
          <w:lang w:val="cs-CZ"/>
        </w:rPr>
        <w:t>ČR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“). Biologickou, radiační, chemickou a nukleární ochranu </w:t>
      </w:r>
      <w:r w:rsidRPr="00DF094C">
        <w:rPr>
          <w:rFonts w:asciiTheme="minorHAnsi" w:hAnsiTheme="minorHAnsi" w:cstheme="minorHAnsi"/>
          <w:color w:val="000000"/>
          <w:lang w:val="cs-CZ"/>
        </w:rPr>
        <w:t>ČR z</w:t>
      </w:r>
      <w:r w:rsidR="003468C4" w:rsidRPr="00DF094C">
        <w:rPr>
          <w:rFonts w:asciiTheme="minorHAnsi" w:hAnsiTheme="minorHAnsi" w:cstheme="minorHAnsi"/>
          <w:color w:val="000000"/>
          <w:lang w:val="cs-CZ"/>
        </w:rPr>
        <w:t>a</w:t>
      </w:r>
      <w:r w:rsidRPr="00DF094C">
        <w:rPr>
          <w:rFonts w:asciiTheme="minorHAnsi" w:hAnsiTheme="minorHAnsi" w:cstheme="minorHAnsi"/>
          <w:color w:val="000000"/>
          <w:lang w:val="cs-CZ"/>
        </w:rPr>
        <w:t>jišťuje</w:t>
      </w:r>
      <w:r w:rsidR="003468C4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238F4" w:rsidRPr="00DF094C">
        <w:rPr>
          <w:rFonts w:asciiTheme="minorHAnsi" w:hAnsiTheme="minorHAnsi" w:cstheme="minorHAnsi"/>
          <w:color w:val="000000"/>
          <w:lang w:val="cs-CZ"/>
        </w:rPr>
        <w:t xml:space="preserve">MO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prostřednictvím </w:t>
      </w:r>
      <w:r w:rsidR="008D6663">
        <w:rPr>
          <w:rFonts w:asciiTheme="minorHAnsi" w:hAnsiTheme="minorHAnsi" w:cstheme="minorHAnsi"/>
          <w:color w:val="000000"/>
          <w:lang w:val="cs-CZ"/>
        </w:rPr>
        <w:t>AČR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. Budování systému biologické ochrany vychází ze zákona č.</w:t>
      </w:r>
      <w:r w:rsidR="0062398B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258/2000 Sb.</w:t>
      </w:r>
      <w:r w:rsidR="003F3E83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2"/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, který vymezuje povinnosti MO jako orgánu ochrany veřejného zdraví při výkonu státní správy a státního zdravotního dozoru v ozbrojených silách. </w:t>
      </w:r>
      <w:r w:rsidR="008D5362">
        <w:rPr>
          <w:rFonts w:asciiTheme="minorHAnsi" w:hAnsiTheme="minorHAnsi" w:cstheme="minorHAnsi"/>
          <w:color w:val="000000"/>
          <w:lang w:val="cs-CZ"/>
        </w:rPr>
        <w:t>Součástí AČR je c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hemické vojsko</w:t>
      </w:r>
      <w:r w:rsidR="008D5362">
        <w:rPr>
          <w:rFonts w:asciiTheme="minorHAnsi" w:hAnsiTheme="minorHAnsi" w:cstheme="minorHAnsi"/>
          <w:color w:val="000000"/>
          <w:lang w:val="cs-CZ"/>
        </w:rPr>
        <w:t xml:space="preserve">, které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je tvořeno jednotkami radiační, chemické a biologické ochrany, radiačního a</w:t>
      </w:r>
      <w:r w:rsidR="0062398B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chemického průzkumu a jednotkami dekontaminace.</w:t>
      </w:r>
    </w:p>
    <w:p w:rsidR="0000796C" w:rsidRPr="00DF094C" w:rsidRDefault="0000796C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3F3E83" w:rsidRPr="00DF094C" w:rsidRDefault="007B358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Jedním z </w:t>
      </w:r>
      <w:r w:rsidR="00547A80">
        <w:rPr>
          <w:rFonts w:asciiTheme="minorHAnsi" w:hAnsiTheme="minorHAnsi" w:cstheme="minorHAnsi"/>
          <w:color w:val="000000"/>
          <w:lang w:val="cs-CZ"/>
        </w:rPr>
        <w:t>důvodů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budování systému biologické ochrany v ČR byly teroristické útoky z 11.</w:t>
      </w:r>
      <w:r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0A59C1" w:rsidRPr="00DF094C">
        <w:rPr>
          <w:rFonts w:asciiTheme="minorHAnsi" w:hAnsiTheme="minorHAnsi" w:cstheme="minorHAnsi"/>
          <w:color w:val="000000"/>
          <w:lang w:val="cs-CZ"/>
        </w:rPr>
        <w:t>z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áří</w:t>
      </w:r>
      <w:r w:rsidR="000A59C1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2001 v</w:t>
      </w:r>
      <w:r w:rsidR="00547A80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USA. </w:t>
      </w:r>
      <w:r w:rsidR="001A3874" w:rsidRPr="00DF094C">
        <w:rPr>
          <w:rFonts w:asciiTheme="minorHAnsi" w:hAnsiTheme="minorHAnsi" w:cstheme="minorHAnsi"/>
          <w:lang w:val="cs-CZ"/>
        </w:rPr>
        <w:t>V současném světě</w:t>
      </w:r>
      <w:r w:rsidR="008D6663">
        <w:rPr>
          <w:rFonts w:asciiTheme="minorHAnsi" w:hAnsiTheme="minorHAnsi" w:cstheme="minorHAnsi"/>
          <w:lang w:val="cs-CZ"/>
        </w:rPr>
        <w:t xml:space="preserve"> je reálné </w:t>
      </w:r>
      <w:r w:rsidR="001A3874" w:rsidRPr="00DF094C">
        <w:rPr>
          <w:rFonts w:asciiTheme="minorHAnsi" w:hAnsiTheme="minorHAnsi" w:cstheme="minorHAnsi"/>
          <w:lang w:val="cs-CZ"/>
        </w:rPr>
        <w:t xml:space="preserve">velmi vysoké riziko nejen bioterorismu, </w:t>
      </w:r>
      <w:r w:rsidR="008D6663">
        <w:rPr>
          <w:rFonts w:asciiTheme="minorHAnsi" w:hAnsiTheme="minorHAnsi" w:cstheme="minorHAnsi"/>
          <w:lang w:val="cs-CZ"/>
        </w:rPr>
        <w:t xml:space="preserve">zavlečení či zneužití vysoce nebezpečných biologických prostředků </w:t>
      </w:r>
      <w:r w:rsidR="00F213D2">
        <w:rPr>
          <w:rFonts w:asciiTheme="minorHAnsi" w:hAnsiTheme="minorHAnsi" w:cstheme="minorHAnsi"/>
          <w:lang w:val="cs-CZ"/>
        </w:rPr>
        <w:t>–</w:t>
      </w:r>
      <w:r w:rsidR="008D6663">
        <w:rPr>
          <w:rFonts w:asciiTheme="minorHAnsi" w:hAnsiTheme="minorHAnsi" w:cstheme="minorHAnsi"/>
          <w:lang w:val="cs-CZ"/>
        </w:rPr>
        <w:t xml:space="preserve"> </w:t>
      </w:r>
      <w:r w:rsidR="008D6663" w:rsidRPr="00DF094C">
        <w:rPr>
          <w:rFonts w:asciiTheme="minorHAnsi" w:hAnsiTheme="minorHAnsi" w:cstheme="minorHAnsi"/>
          <w:color w:val="000000"/>
          <w:lang w:val="cs-CZ"/>
        </w:rPr>
        <w:t>agens</w:t>
      </w:r>
      <w:r w:rsidR="008D6663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3"/>
      </w:r>
      <w:r w:rsidR="008D6663">
        <w:rPr>
          <w:rFonts w:asciiTheme="minorHAnsi" w:hAnsiTheme="minorHAnsi" w:cstheme="minorHAnsi"/>
          <w:color w:val="000000"/>
          <w:lang w:val="cs-CZ"/>
        </w:rPr>
        <w:t xml:space="preserve">, </w:t>
      </w:r>
      <w:r w:rsidR="001A3874" w:rsidRPr="00DF094C">
        <w:rPr>
          <w:rFonts w:asciiTheme="minorHAnsi" w:hAnsiTheme="minorHAnsi" w:cstheme="minorHAnsi"/>
          <w:lang w:val="cs-CZ"/>
        </w:rPr>
        <w:t>ale i</w:t>
      </w:r>
      <w:r w:rsidR="000A59C1" w:rsidRPr="00DF094C">
        <w:rPr>
          <w:rFonts w:asciiTheme="minorHAnsi" w:hAnsiTheme="minorHAnsi" w:cstheme="minorHAnsi"/>
          <w:lang w:val="cs-CZ"/>
        </w:rPr>
        <w:t> </w:t>
      </w:r>
      <w:r w:rsidR="001A3874" w:rsidRPr="00DF094C">
        <w:rPr>
          <w:rFonts w:asciiTheme="minorHAnsi" w:hAnsiTheme="minorHAnsi" w:cstheme="minorHAnsi"/>
          <w:lang w:val="cs-CZ"/>
        </w:rPr>
        <w:t>rychle se šířících vysoce nakažlivých nemocí</w:t>
      </w:r>
      <w:r w:rsidR="00114692" w:rsidRPr="00DF094C">
        <w:rPr>
          <w:rStyle w:val="Znakapoznpodarou"/>
          <w:rFonts w:asciiTheme="minorHAnsi" w:hAnsiTheme="minorHAnsi" w:cstheme="minorHAnsi"/>
          <w:lang w:val="cs-CZ"/>
        </w:rPr>
        <w:footnoteReference w:id="4"/>
      </w:r>
      <w:r w:rsidR="008D6663">
        <w:rPr>
          <w:rFonts w:asciiTheme="minorHAnsi" w:hAnsiTheme="minorHAnsi" w:cstheme="minorHAnsi"/>
          <w:lang w:val="cs-CZ"/>
        </w:rPr>
        <w:t xml:space="preserve"> a</w:t>
      </w:r>
      <w:r w:rsidR="001A3874" w:rsidRPr="00DF094C">
        <w:rPr>
          <w:rFonts w:asciiTheme="minorHAnsi" w:hAnsiTheme="minorHAnsi" w:cstheme="minorHAnsi"/>
          <w:lang w:val="cs-CZ"/>
        </w:rPr>
        <w:t xml:space="preserve"> je žádoucí existence plně funkčního zařízení deklarovaného jako vrcholný prvek systému biologické ochrany s nejvyšším stupněm biologického zabezpečení BSL-4 </w:t>
      </w:r>
      <w:r w:rsidR="001A3874" w:rsidRPr="00DF094C">
        <w:rPr>
          <w:rFonts w:asciiTheme="minorHAnsi" w:hAnsiTheme="minorHAnsi" w:cstheme="minorHAnsi"/>
          <w:color w:val="000000"/>
          <w:lang w:val="cs-CZ"/>
        </w:rPr>
        <w:t>(</w:t>
      </w:r>
      <w:r w:rsidR="00CE6904">
        <w:rPr>
          <w:rFonts w:asciiTheme="minorHAnsi" w:hAnsiTheme="minorHAnsi" w:cstheme="minorHAnsi"/>
          <w:color w:val="000000"/>
          <w:lang w:val="cs-CZ"/>
        </w:rPr>
        <w:t>z </w:t>
      </w:r>
      <w:r w:rsidR="001A3874" w:rsidRPr="00DF094C">
        <w:rPr>
          <w:rFonts w:asciiTheme="minorHAnsi" w:hAnsiTheme="minorHAnsi" w:cstheme="minorHAnsi"/>
          <w:color w:val="000000"/>
          <w:lang w:val="cs-CZ"/>
        </w:rPr>
        <w:t xml:space="preserve">angl. </w:t>
      </w:r>
      <w:r w:rsidR="001A3874" w:rsidRPr="001C67DF">
        <w:rPr>
          <w:rFonts w:asciiTheme="minorHAnsi" w:hAnsiTheme="minorHAnsi" w:cstheme="minorHAnsi"/>
          <w:i/>
          <w:color w:val="000000"/>
          <w:lang w:val="cs-CZ"/>
        </w:rPr>
        <w:t>Biosafety Level</w:t>
      </w:r>
      <w:r w:rsidR="001A3874" w:rsidRPr="00DF094C">
        <w:rPr>
          <w:rFonts w:asciiTheme="minorHAnsi" w:hAnsiTheme="minorHAnsi" w:cstheme="minorHAnsi"/>
          <w:color w:val="000000"/>
          <w:lang w:val="cs-CZ"/>
        </w:rPr>
        <w:t>)</w:t>
      </w:r>
      <w:r w:rsidR="00BC3E24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5"/>
      </w:r>
      <w:r w:rsidR="001A3874" w:rsidRPr="00DF094C">
        <w:rPr>
          <w:rFonts w:asciiTheme="minorHAnsi" w:hAnsiTheme="minorHAnsi" w:cstheme="minorHAnsi"/>
          <w:lang w:val="cs-CZ"/>
        </w:rPr>
        <w:t xml:space="preserve">.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Ochrana před biologickými agens se tak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>za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řadila </w:t>
      </w:r>
      <w:r w:rsidR="00430C8D" w:rsidRPr="00DF094C">
        <w:rPr>
          <w:rFonts w:asciiTheme="minorHAnsi" w:hAnsiTheme="minorHAnsi" w:cstheme="minorHAnsi"/>
          <w:color w:val="000000"/>
          <w:lang w:val="cs-CZ"/>
        </w:rPr>
        <w:t>mezi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úkol</w:t>
      </w:r>
      <w:r w:rsidR="00430C8D" w:rsidRPr="00DF094C">
        <w:rPr>
          <w:rFonts w:asciiTheme="minorHAnsi" w:hAnsiTheme="minorHAnsi" w:cstheme="minorHAnsi"/>
          <w:color w:val="000000"/>
          <w:lang w:val="cs-CZ"/>
        </w:rPr>
        <w:t>y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s vysokou prioritou. </w:t>
      </w:r>
    </w:p>
    <w:p w:rsidR="0000796C" w:rsidRPr="00DF094C" w:rsidRDefault="0000796C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F46CA7" w:rsidRPr="00DF094C" w:rsidRDefault="00597A12" w:rsidP="00F46CA7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V rámci </w:t>
      </w:r>
      <w:r w:rsidRPr="001C67DF">
        <w:rPr>
          <w:rFonts w:asciiTheme="minorHAnsi" w:hAnsiTheme="minorHAnsi" w:cstheme="minorHAnsi"/>
          <w:i/>
          <w:color w:val="000000"/>
          <w:lang w:val="cs-CZ"/>
        </w:rPr>
        <w:t>Pražské iniciativy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přijaté na pražském summitu </w:t>
      </w:r>
      <w:r w:rsidR="00AD6CC5" w:rsidRPr="00DF094C">
        <w:rPr>
          <w:rFonts w:asciiTheme="minorHAnsi" w:hAnsiTheme="minorHAnsi" w:cstheme="minorHAnsi"/>
          <w:color w:val="000000"/>
          <w:lang w:val="cs-CZ"/>
        </w:rPr>
        <w:t xml:space="preserve">Severoatlantické aliance (dále jen „NATO“)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z roku 2002 </w:t>
      </w:r>
      <w:r w:rsidR="00F46CA7" w:rsidRPr="00DF094C">
        <w:rPr>
          <w:rFonts w:asciiTheme="minorHAnsi" w:hAnsiTheme="minorHAnsi" w:cstheme="minorHAnsi"/>
          <w:color w:val="000000"/>
          <w:lang w:val="cs-CZ"/>
        </w:rPr>
        <w:t xml:space="preserve">vybudovala </w:t>
      </w:r>
      <w:r w:rsidRPr="00DF094C">
        <w:rPr>
          <w:rFonts w:asciiTheme="minorHAnsi" w:hAnsiTheme="minorHAnsi" w:cstheme="minorHAnsi"/>
          <w:color w:val="000000"/>
          <w:lang w:val="cs-CZ"/>
        </w:rPr>
        <w:t>ČR</w:t>
      </w:r>
      <w:r w:rsidR="002C0C14" w:rsidRPr="002C0C14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2C0C14" w:rsidRPr="00DF094C">
        <w:rPr>
          <w:rFonts w:asciiTheme="minorHAnsi" w:hAnsiTheme="minorHAnsi" w:cstheme="minorHAnsi"/>
          <w:color w:val="000000"/>
          <w:lang w:val="cs-CZ"/>
        </w:rPr>
        <w:t>ve Vyškově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46CA7" w:rsidRPr="001C67DF">
        <w:rPr>
          <w:rFonts w:asciiTheme="minorHAnsi" w:hAnsiTheme="minorHAnsi" w:cstheme="minorHAnsi"/>
          <w:i/>
          <w:color w:val="000000"/>
          <w:lang w:val="cs-CZ"/>
        </w:rPr>
        <w:t>Joint Chemical Biological Radiological and Nuclear Defence Centre of Excellence</w:t>
      </w:r>
      <w:r w:rsidR="00F46CA7" w:rsidRPr="00DF094C">
        <w:rPr>
          <w:rFonts w:asciiTheme="minorHAnsi" w:hAnsiTheme="minorHAnsi" w:cstheme="minorHAnsi"/>
          <w:color w:val="000000"/>
          <w:lang w:val="cs-CZ"/>
        </w:rPr>
        <w:t xml:space="preserve"> (dále jen „JCBRND COE“). Jeho úkolem je zejména vývoj a zdokonalování výcvikových metod, vývoj a tvorba doktrín a standardů, výcvik specialistů a instruktorů a zvyšování znalostí a dovedností příslušníků armád ČR, NATO i</w:t>
      </w:r>
      <w:r w:rsidR="00AF0DFD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F46CA7" w:rsidRPr="00DF094C">
        <w:rPr>
          <w:rFonts w:asciiTheme="minorHAnsi" w:hAnsiTheme="minorHAnsi" w:cstheme="minorHAnsi"/>
          <w:color w:val="000000"/>
          <w:lang w:val="cs-CZ"/>
        </w:rPr>
        <w:t>odborníků ostatních armád, a to v oblasti chemické, biologické, radiologické a jaderné ochrany. JCBRND COE</w:t>
      </w:r>
      <w:r w:rsidR="00363B72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6"/>
      </w:r>
      <w:r w:rsidR="00F46CA7" w:rsidRPr="00DF094C">
        <w:rPr>
          <w:rFonts w:asciiTheme="minorHAnsi" w:hAnsiTheme="minorHAnsi" w:cstheme="minorHAnsi"/>
          <w:color w:val="000000"/>
          <w:lang w:val="cs-CZ"/>
        </w:rPr>
        <w:t xml:space="preserve"> je součástí Centra ochrany proti zbraním hromadného ničení a na jeho činnosti se podílí ČR jako hostující země spolu s dalšími 11 přispívajícími členskými zeměmi NATO. </w:t>
      </w:r>
    </w:p>
    <w:p w:rsidR="00F46CA7" w:rsidRPr="00DF094C" w:rsidRDefault="00F46CA7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50685" w:rsidRPr="00DF094C" w:rsidRDefault="00EC4E13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ČR jako členská země </w:t>
      </w:r>
      <w:r w:rsidR="00AD6CC5" w:rsidRPr="00DF094C">
        <w:rPr>
          <w:rFonts w:asciiTheme="minorHAnsi" w:hAnsiTheme="minorHAnsi" w:cstheme="minorHAnsi"/>
          <w:color w:val="000000"/>
          <w:lang w:val="cs-CZ"/>
        </w:rPr>
        <w:t xml:space="preserve">NATO </w:t>
      </w:r>
      <w:r w:rsidRPr="00DF094C">
        <w:rPr>
          <w:rFonts w:asciiTheme="minorHAnsi" w:hAnsiTheme="minorHAnsi" w:cstheme="minorHAnsi"/>
          <w:color w:val="000000"/>
          <w:lang w:val="cs-CZ"/>
        </w:rPr>
        <w:t>plní mezinárodní závazky</w:t>
      </w:r>
      <w:r w:rsidR="00AD6CC5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7"/>
      </w:r>
      <w:r w:rsidRPr="00DF094C">
        <w:rPr>
          <w:rFonts w:asciiTheme="minorHAnsi" w:hAnsiTheme="minorHAnsi" w:cstheme="minorHAnsi"/>
          <w:color w:val="000000"/>
          <w:lang w:val="cs-CZ"/>
        </w:rPr>
        <w:t>, ke kterým se zavázala v rámci pražského summitu NATO</w:t>
      </w:r>
      <w:r w:rsidR="000A59C1" w:rsidRPr="00DF094C">
        <w:rPr>
          <w:rFonts w:asciiTheme="minorHAnsi" w:hAnsiTheme="minorHAnsi" w:cstheme="minorHAnsi"/>
          <w:color w:val="000000"/>
          <w:lang w:val="cs-CZ"/>
        </w:rPr>
        <w:t>.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0A59C1" w:rsidRPr="00DF094C">
        <w:rPr>
          <w:rFonts w:asciiTheme="minorHAnsi" w:hAnsiTheme="minorHAnsi" w:cstheme="minorHAnsi"/>
          <w:color w:val="000000"/>
          <w:lang w:val="cs-CZ"/>
        </w:rPr>
        <w:t>Po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dle vyjádření </w:t>
      </w:r>
      <w:r w:rsidR="00416815" w:rsidRPr="00DF094C">
        <w:rPr>
          <w:rFonts w:asciiTheme="minorHAnsi" w:hAnsiTheme="minorHAnsi" w:cstheme="minorHAnsi"/>
          <w:color w:val="000000"/>
          <w:lang w:val="cs-CZ"/>
        </w:rPr>
        <w:t xml:space="preserve">velvyslance ČR při NATO </w:t>
      </w:r>
      <w:r w:rsidRPr="00DF094C">
        <w:rPr>
          <w:rFonts w:asciiTheme="minorHAnsi" w:hAnsiTheme="minorHAnsi" w:cstheme="minorHAnsi"/>
          <w:color w:val="000000"/>
          <w:lang w:val="cs-CZ"/>
        </w:rPr>
        <w:t>Jiřího Šedivého</w:t>
      </w:r>
      <w:r w:rsidR="00D17C5E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8"/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C67DF">
        <w:rPr>
          <w:rFonts w:asciiTheme="minorHAnsi" w:hAnsiTheme="minorHAnsi" w:cstheme="minorHAnsi"/>
          <w:color w:val="000000"/>
          <w:lang w:val="cs-CZ"/>
        </w:rPr>
        <w:t>„</w:t>
      </w:r>
      <w:r w:rsidR="007937EA" w:rsidRPr="00DF094C">
        <w:rPr>
          <w:rFonts w:asciiTheme="minorHAnsi" w:hAnsiTheme="minorHAnsi" w:cstheme="minorHAnsi"/>
          <w:i/>
          <w:color w:val="000000"/>
          <w:lang w:val="cs-CZ"/>
        </w:rPr>
        <w:t>…</w:t>
      </w:r>
      <w:r w:rsidR="00950689">
        <w:rPr>
          <w:rFonts w:asciiTheme="minorHAnsi" w:hAnsiTheme="minorHAnsi" w:cstheme="minorHAnsi"/>
          <w:i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i/>
          <w:color w:val="000000"/>
          <w:lang w:val="cs-CZ"/>
        </w:rPr>
        <w:t>neformální expertní názor aliančních odborníků je takový, že úroveň biologické ochrany AČR je v rámci členských států NATO na nadprůměrné úrovni.</w:t>
      </w:r>
      <w:r w:rsidRPr="001C67DF">
        <w:rPr>
          <w:rFonts w:asciiTheme="minorHAnsi" w:hAnsiTheme="minorHAnsi" w:cstheme="minorHAnsi"/>
          <w:color w:val="000000"/>
          <w:lang w:val="cs-CZ"/>
        </w:rPr>
        <w:t>“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550685" w:rsidRPr="00DF094C" w:rsidRDefault="0055068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F46CA7" w:rsidRPr="00DF094C" w:rsidRDefault="00F46CA7" w:rsidP="00F46CA7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lastRenderedPageBreak/>
        <w:t>AČR neodděluje biologickou ochranu jako samostatnou oblast, avšak zabývá se jí v rámci celku biologické, radiační, chemické a nukleární ochrany. V této proklamované mezinárodní specializaci zajišťuje zejména:</w:t>
      </w:r>
    </w:p>
    <w:p w:rsidR="00F46CA7" w:rsidRPr="00DF094C" w:rsidRDefault="00F46CA7" w:rsidP="001A3337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monitorování radiační, chemické a biologické situace při odstraňování následků napadení zbraněmi hromadného ničení, radiačních a chemických havárií, při ochraně v prostorách kontaminovaných radioaktivními, bojovými chem</w:t>
      </w:r>
      <w:r w:rsidR="001A3337">
        <w:rPr>
          <w:rFonts w:asciiTheme="minorHAnsi" w:hAnsiTheme="minorHAnsi" w:cstheme="minorHAnsi"/>
          <w:lang w:val="cs-CZ"/>
        </w:rPr>
        <w:t>ickými a biologickými látkami a </w:t>
      </w:r>
      <w:r w:rsidRPr="00DF094C">
        <w:rPr>
          <w:rFonts w:asciiTheme="minorHAnsi" w:hAnsiTheme="minorHAnsi" w:cstheme="minorHAnsi"/>
          <w:lang w:val="cs-CZ"/>
        </w:rPr>
        <w:t>nebezpečnými průmyslovými látkami;</w:t>
      </w:r>
    </w:p>
    <w:p w:rsidR="00F46CA7" w:rsidRPr="00DF094C" w:rsidRDefault="00F46CA7" w:rsidP="001A3337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ochranu osob a materiálů před účinky radioaktivních, bojových chemických a biologických a nebezpečných průmyslových látek;</w:t>
      </w:r>
    </w:p>
    <w:p w:rsidR="00F46CA7" w:rsidRPr="00DF094C" w:rsidRDefault="00F46CA7" w:rsidP="001A3337">
      <w:pPr>
        <w:pStyle w:val="Odstavecseseznamem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lang w:val="fr-FR"/>
        </w:rPr>
      </w:pPr>
      <w:r w:rsidRPr="00DF094C">
        <w:rPr>
          <w:rFonts w:asciiTheme="minorHAnsi" w:hAnsiTheme="minorHAnsi" w:cstheme="minorHAnsi"/>
          <w:lang w:val="fr-FR"/>
        </w:rPr>
        <w:t>dekontaminaci osob, výzbroje, techniky a materiálů, terénů, cest a objektů.</w:t>
      </w:r>
    </w:p>
    <w:p w:rsidR="003C4BA0" w:rsidRPr="00DF094C" w:rsidRDefault="003C4BA0" w:rsidP="007A12D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7A12DC" w:rsidRPr="00DF094C" w:rsidRDefault="007A12DC" w:rsidP="007A12D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Oblast biologické ochrany v působnosti MO zabezpečují tři základní prvky AČR:</w:t>
      </w:r>
    </w:p>
    <w:p w:rsidR="007A12DC" w:rsidRPr="00DF094C" w:rsidRDefault="002C0C14" w:rsidP="001A3337">
      <w:pPr>
        <w:pStyle w:val="Odstavecseseznamem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o</w:t>
      </w:r>
      <w:r w:rsidR="007A12DC" w:rsidRPr="00DF094C">
        <w:rPr>
          <w:rFonts w:asciiTheme="minorHAnsi" w:hAnsiTheme="minorHAnsi" w:cstheme="minorHAnsi"/>
          <w:color w:val="000000"/>
          <w:lang w:val="cs-CZ"/>
        </w:rPr>
        <w:t>dbor biologické ochrany</w:t>
      </w:r>
      <w:r w:rsidR="007A12DC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9"/>
      </w:r>
      <w:r w:rsidR="007A12DC" w:rsidRPr="00DF094C">
        <w:rPr>
          <w:rFonts w:asciiTheme="minorHAnsi" w:hAnsiTheme="minorHAnsi" w:cstheme="minorHAnsi"/>
          <w:color w:val="000000"/>
          <w:lang w:val="cs-CZ"/>
        </w:rPr>
        <w:t xml:space="preserve"> v Těchoníně,</w:t>
      </w:r>
    </w:p>
    <w:p w:rsidR="007A12DC" w:rsidRPr="00DF094C" w:rsidRDefault="00416815" w:rsidP="001A3337">
      <w:pPr>
        <w:pStyle w:val="Odstavecseseznamem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c</w:t>
      </w:r>
      <w:r w:rsidR="007A12DC" w:rsidRPr="00DF094C">
        <w:rPr>
          <w:rFonts w:asciiTheme="minorHAnsi" w:hAnsiTheme="minorHAnsi" w:cstheme="minorHAnsi"/>
          <w:color w:val="000000"/>
          <w:lang w:val="cs-CZ"/>
        </w:rPr>
        <w:t>entrum ochrany proti zbraním hromadného ničení, jehož součástí je JCBRND COE ve Vyškově,</w:t>
      </w:r>
    </w:p>
    <w:p w:rsidR="007A12DC" w:rsidRPr="00DF094C" w:rsidRDefault="007A12DC" w:rsidP="001A3337">
      <w:pPr>
        <w:pStyle w:val="Odstavecseseznamem"/>
        <w:numPr>
          <w:ilvl w:val="0"/>
          <w:numId w:val="47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31. pluk radiační, chemické a biologické ochrany v Liberci</w:t>
      </w:r>
      <w:r w:rsidR="008D5362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0"/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F46CA7" w:rsidRPr="00DF094C" w:rsidRDefault="00F46CA7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00796C" w:rsidRPr="00DF094C" w:rsidRDefault="00EF1E9F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Centr</w:t>
      </w:r>
      <w:r w:rsidR="00B21B36" w:rsidRPr="00DF094C">
        <w:rPr>
          <w:rFonts w:asciiTheme="minorHAnsi" w:hAnsiTheme="minorHAnsi" w:cstheme="minorHAnsi"/>
          <w:color w:val="000000"/>
          <w:lang w:val="cs-CZ"/>
        </w:rPr>
        <w:t>um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biologické ochrany Těchonín (dále jen „CBO Těchonín“)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je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vysoce specializovan</w:t>
      </w:r>
      <w:r w:rsidR="00BD44BF">
        <w:rPr>
          <w:rFonts w:asciiTheme="minorHAnsi" w:hAnsiTheme="minorHAnsi" w:cstheme="minorHAnsi"/>
          <w:color w:val="000000"/>
          <w:lang w:val="cs-CZ"/>
        </w:rPr>
        <w:t>é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zdravotnick</w:t>
      </w:r>
      <w:r w:rsidR="00BD44BF">
        <w:rPr>
          <w:rFonts w:asciiTheme="minorHAnsi" w:hAnsiTheme="minorHAnsi" w:cstheme="minorHAnsi"/>
          <w:color w:val="000000"/>
          <w:lang w:val="cs-CZ"/>
        </w:rPr>
        <w:t>é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vojensk</w:t>
      </w:r>
      <w:r w:rsidR="00BD44BF">
        <w:rPr>
          <w:rFonts w:asciiTheme="minorHAnsi" w:hAnsiTheme="minorHAnsi" w:cstheme="minorHAnsi"/>
          <w:color w:val="000000"/>
          <w:lang w:val="cs-CZ"/>
        </w:rPr>
        <w:t>é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zařízení, které od roku 1971 fungovalo jako utajované speciální pracoviště s výzkumnými mikrobiologickými laboratořemi pro potřeby bývalé Československé lidové armády a armád států Varšavské smlouvy. V roce 1990 byly práce v</w:t>
      </w:r>
      <w:r w:rsidR="00AF0DFD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hlavní části zařízení zastaveny a proběhla likvidace výzkumných infekčních a testovacích materiálů. Význam tohoto zařízení vzrostl až v souvislosti s teroristickými útoky v USA a</w:t>
      </w:r>
      <w:r w:rsidR="00AF0DFD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pražským summitem NATO. Stěžejní součástí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CBO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Těchonín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je </w:t>
      </w:r>
      <w:r w:rsidR="002C0C14">
        <w:rPr>
          <w:rFonts w:asciiTheme="minorHAnsi" w:hAnsiTheme="minorHAnsi" w:cstheme="minorHAnsi"/>
          <w:color w:val="000000"/>
          <w:lang w:val="cs-CZ"/>
        </w:rPr>
        <w:t>s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pecializovaná infekční nemocnice (dále jen „SIN“).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Mezi </w:t>
      </w:r>
      <w:r w:rsidR="00547A80">
        <w:rPr>
          <w:rFonts w:asciiTheme="minorHAnsi" w:hAnsiTheme="minorHAnsi" w:cstheme="minorHAnsi"/>
          <w:color w:val="000000"/>
          <w:lang w:val="cs-CZ"/>
        </w:rPr>
        <w:t>její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úkoly patří zajištění izolace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 xml:space="preserve"> pacient</w:t>
      </w:r>
      <w:r w:rsidR="00416815">
        <w:rPr>
          <w:rFonts w:asciiTheme="minorHAnsi" w:hAnsiTheme="minorHAnsi" w:cstheme="minorHAnsi"/>
          <w:color w:val="000000"/>
          <w:lang w:val="cs-CZ"/>
        </w:rPr>
        <w:t>ů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 xml:space="preserve"> se zvláště nebezpečnými a exotickými infekcemi až na stupni zabezpečení BSL-4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>, hospitalizace a léčb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nemocných </w:t>
      </w:r>
      <w:r w:rsidR="00197C27">
        <w:rPr>
          <w:rFonts w:asciiTheme="minorHAnsi" w:hAnsiTheme="minorHAnsi" w:cstheme="minorHAnsi"/>
          <w:color w:val="000000"/>
          <w:lang w:val="cs-CZ"/>
        </w:rPr>
        <w:t xml:space="preserve">s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nebezpečnou nákazou a zamezení následného šíření nákazy v ostatní populaci. </w:t>
      </w:r>
      <w:r w:rsidR="006A5085" w:rsidRPr="00DF094C">
        <w:rPr>
          <w:rFonts w:asciiTheme="minorHAnsi" w:hAnsiTheme="minorHAnsi" w:cstheme="minorHAnsi"/>
          <w:color w:val="000000"/>
          <w:lang w:val="cs-CZ"/>
        </w:rPr>
        <w:t>Z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6A5085" w:rsidRPr="00DF094C">
        <w:rPr>
          <w:rFonts w:asciiTheme="minorHAnsi" w:hAnsiTheme="minorHAnsi" w:cstheme="minorHAnsi"/>
          <w:color w:val="000000"/>
          <w:lang w:val="cs-CZ"/>
        </w:rPr>
        <w:t>řízení j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e 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 xml:space="preserve">také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využíváno </w:t>
      </w:r>
      <w:r w:rsidR="00BD44BF">
        <w:rPr>
          <w:rFonts w:asciiTheme="minorHAnsi" w:hAnsiTheme="minorHAnsi" w:cstheme="minorHAnsi"/>
          <w:color w:val="000000"/>
          <w:lang w:val="cs-CZ"/>
        </w:rPr>
        <w:t>při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karanténních vyšetření</w:t>
      </w:r>
      <w:r w:rsidR="00BD44BF">
        <w:rPr>
          <w:rFonts w:asciiTheme="minorHAnsi" w:hAnsiTheme="minorHAnsi" w:cstheme="minorHAnsi"/>
          <w:color w:val="000000"/>
          <w:lang w:val="cs-CZ"/>
        </w:rPr>
        <w:t>ch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jednotek A</w:t>
      </w:r>
      <w:r w:rsidR="00916EF9" w:rsidRPr="00DF094C">
        <w:rPr>
          <w:rFonts w:asciiTheme="minorHAnsi" w:hAnsiTheme="minorHAnsi" w:cstheme="minorHAnsi"/>
          <w:color w:val="000000"/>
          <w:lang w:val="cs-CZ"/>
        </w:rPr>
        <w:t>ČR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 po jejich návratu z epidemiologicky rizikových oblastí. </w:t>
      </w:r>
    </w:p>
    <w:p w:rsidR="009C1C01" w:rsidRPr="00DF094C" w:rsidRDefault="009C1C01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3F3E83" w:rsidRPr="00DF094C" w:rsidRDefault="0000796C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S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oučástí CBO 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 xml:space="preserve">Těchonín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jsou dále podpůrné objekty (karanténní kapacity, laboratoře, ubytovací kapacity, sklady, garáže, logistické zabezpečení atd.), které plní další funkce. </w:t>
      </w:r>
      <w:r w:rsidR="007937EA" w:rsidRPr="00DF094C">
        <w:rPr>
          <w:rFonts w:asciiTheme="minorHAnsi" w:hAnsiTheme="minorHAnsi" w:cstheme="minorHAnsi"/>
          <w:color w:val="000000"/>
          <w:lang w:val="cs-CZ"/>
        </w:rPr>
        <w:t>Statutární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D85041">
        <w:rPr>
          <w:rFonts w:asciiTheme="minorHAnsi" w:hAnsiTheme="minorHAnsi" w:cstheme="minorHAnsi"/>
          <w:color w:val="000000"/>
          <w:lang w:val="cs-CZ"/>
        </w:rPr>
        <w:t>(</w:t>
      </w:r>
      <w:r w:rsidR="00322A87">
        <w:rPr>
          <w:rFonts w:asciiTheme="minorHAnsi" w:hAnsiTheme="minorHAnsi" w:cstheme="minorHAnsi"/>
          <w:color w:val="000000"/>
          <w:lang w:val="cs-CZ"/>
        </w:rPr>
        <w:t xml:space="preserve">tzv. </w:t>
      </w:r>
      <w:r w:rsidR="00D85041">
        <w:rPr>
          <w:rFonts w:asciiTheme="minorHAnsi" w:hAnsiTheme="minorHAnsi" w:cstheme="minorHAnsi"/>
          <w:color w:val="000000"/>
          <w:lang w:val="cs-CZ"/>
        </w:rPr>
        <w:t xml:space="preserve">jedinečné)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funkce </w:t>
      </w:r>
      <w:r w:rsidR="00962D11" w:rsidRPr="00DF094C">
        <w:rPr>
          <w:rFonts w:asciiTheme="minorHAnsi" w:hAnsiTheme="minorHAnsi" w:cstheme="minorHAnsi"/>
          <w:color w:val="000000"/>
          <w:lang w:val="cs-CZ"/>
        </w:rPr>
        <w:t xml:space="preserve">CBO Těchonín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vyplývají ze statutů dřívějšího Ústředního vojenského zdravotního ústavu</w:t>
      </w:r>
      <w:r w:rsidR="00A524CC" w:rsidRPr="00DF094C">
        <w:rPr>
          <w:rFonts w:asciiTheme="minorHAnsi" w:hAnsiTheme="minorHAnsi" w:cstheme="minorHAnsi"/>
          <w:color w:val="000000"/>
          <w:lang w:val="cs-CZ"/>
        </w:rPr>
        <w:t xml:space="preserve"> (dále jen „ÚVZÚ“)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i</w:t>
      </w:r>
      <w:r w:rsidR="00595ED4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stávajícího Vojenského zdravotního ústavu</w:t>
      </w:r>
      <w:r w:rsidR="00A524CC" w:rsidRPr="00DF094C">
        <w:rPr>
          <w:rFonts w:asciiTheme="minorHAnsi" w:hAnsiTheme="minorHAnsi" w:cstheme="minorHAnsi"/>
          <w:color w:val="000000"/>
          <w:lang w:val="cs-CZ"/>
        </w:rPr>
        <w:t xml:space="preserve"> (dále jen „VZÚ“)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, který je </w:t>
      </w:r>
      <w:r w:rsidR="00322A87">
        <w:rPr>
          <w:rFonts w:asciiTheme="minorHAnsi" w:hAnsiTheme="minorHAnsi" w:cstheme="minorHAnsi"/>
          <w:color w:val="000000"/>
          <w:lang w:val="cs-CZ"/>
        </w:rPr>
        <w:t xml:space="preserve">v současnosti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nadř</w:t>
      </w:r>
      <w:r w:rsidR="00FF2D87" w:rsidRPr="00DF094C">
        <w:rPr>
          <w:rFonts w:asciiTheme="minorHAnsi" w:hAnsiTheme="minorHAnsi" w:cstheme="minorHAnsi"/>
          <w:color w:val="000000"/>
          <w:lang w:val="cs-CZ"/>
        </w:rPr>
        <w:t>íze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ným útvarem</w:t>
      </w:r>
      <w:r w:rsidR="00D85041">
        <w:rPr>
          <w:rFonts w:asciiTheme="minorHAnsi" w:hAnsiTheme="minorHAnsi" w:cstheme="minorHAnsi"/>
          <w:color w:val="000000"/>
          <w:lang w:val="cs-CZ"/>
        </w:rPr>
        <w:t xml:space="preserve"> CBO Těchonín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. Mezi tyto funkce patří: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ř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ízení specifického obranného systému v boji proti bioterorismu a při ochraně vojsk před biologickými zbraněmi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g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arance specializace A</w:t>
      </w:r>
      <w:r w:rsidR="00916EF9" w:rsidRPr="00DF094C">
        <w:rPr>
          <w:rFonts w:asciiTheme="minorHAnsi" w:hAnsiTheme="minorHAnsi" w:cstheme="minorHAnsi"/>
          <w:color w:val="000000"/>
          <w:lang w:val="cs-CZ"/>
        </w:rPr>
        <w:t>ČR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v </w:t>
      </w:r>
      <w:r w:rsidR="00416815">
        <w:rPr>
          <w:rFonts w:asciiTheme="minorHAnsi" w:hAnsiTheme="minorHAnsi" w:cstheme="minorHAnsi"/>
          <w:color w:val="000000"/>
          <w:lang w:val="cs-CZ"/>
        </w:rPr>
        <w:t xml:space="preserve">rámci </w:t>
      </w:r>
      <w:r w:rsidR="00D85041">
        <w:rPr>
          <w:rFonts w:asciiTheme="minorHAnsi" w:hAnsiTheme="minorHAnsi" w:cstheme="minorHAnsi"/>
          <w:color w:val="000000"/>
          <w:lang w:val="cs-CZ"/>
        </w:rPr>
        <w:t>N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D85041">
        <w:rPr>
          <w:rFonts w:asciiTheme="minorHAnsi" w:hAnsiTheme="minorHAnsi" w:cstheme="minorHAnsi"/>
          <w:color w:val="000000"/>
          <w:lang w:val="cs-CZ"/>
        </w:rPr>
        <w:t>TO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na </w:t>
      </w:r>
      <w:r w:rsidR="00D85041">
        <w:rPr>
          <w:rFonts w:asciiTheme="minorHAnsi" w:hAnsiTheme="minorHAnsi" w:cstheme="minorHAnsi"/>
          <w:color w:val="000000"/>
          <w:lang w:val="cs-CZ"/>
        </w:rPr>
        <w:t>ochranu proti zbraním hromadného ničení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v oblasti biologické ochrany, současně podpora JCBRND COE v této oblasti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š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kolení a výcvik specialistů vojenské zdravotnické služby pro plnění úkolů biologické ochrany na národní i mezinárodní úrovni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lastRenderedPageBreak/>
        <w:t>ř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ešení úkolů v</w:t>
      </w:r>
      <w:r w:rsidR="000E7781" w:rsidRPr="00DF094C">
        <w:rPr>
          <w:rFonts w:asciiTheme="minorHAnsi" w:hAnsiTheme="minorHAnsi" w:cstheme="minorHAnsi"/>
          <w:color w:val="000000"/>
          <w:lang w:val="cs-CZ"/>
        </w:rPr>
        <w:t>e</w:t>
      </w:r>
      <w:r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prospěch </w:t>
      </w:r>
      <w:r w:rsidR="00F213D2">
        <w:rPr>
          <w:rFonts w:asciiTheme="minorHAnsi" w:hAnsiTheme="minorHAnsi" w:cstheme="minorHAnsi"/>
          <w:color w:val="000000"/>
          <w:lang w:val="cs-CZ"/>
        </w:rPr>
        <w:t>i</w:t>
      </w:r>
      <w:r w:rsidR="00F96E36" w:rsidRPr="00DF094C">
        <w:rPr>
          <w:rFonts w:asciiTheme="minorHAnsi" w:hAnsiTheme="minorHAnsi" w:cstheme="minorHAnsi"/>
          <w:color w:val="000000"/>
          <w:lang w:val="cs-CZ"/>
        </w:rPr>
        <w:t>ntegrovaného záchranného systému</w:t>
      </w:r>
      <w:r w:rsidR="00932467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932467" w:rsidRPr="00DF094C">
        <w:rPr>
          <w:rFonts w:asciiTheme="minorHAnsi" w:hAnsiTheme="minorHAnsi" w:cstheme="minorHAnsi"/>
          <w:lang w:val="cs-CZ"/>
        </w:rPr>
        <w:t>ČR (dále jen „IZS“)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u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ložení vojenské a specializované zdravotnické techniky pro mobilní biologické týmy, mobilní hospitalizační jednotku a mobilní polní mikrobiologickou laboratoř</w:t>
      </w:r>
      <w:r>
        <w:rPr>
          <w:rFonts w:asciiTheme="minorHAnsi" w:hAnsiTheme="minorHAnsi" w:cstheme="minorHAnsi"/>
          <w:color w:val="000000"/>
          <w:lang w:val="cs-CZ"/>
        </w:rPr>
        <w:t>;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>
        <w:rPr>
          <w:rFonts w:asciiTheme="minorHAnsi" w:hAnsiTheme="minorHAnsi" w:cstheme="minorHAnsi"/>
          <w:color w:val="000000"/>
          <w:lang w:val="cs-CZ"/>
        </w:rPr>
        <w:t>s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oučasně zajištění výcviku </w:t>
      </w:r>
      <w:r w:rsidR="00ED6E3D">
        <w:rPr>
          <w:rFonts w:asciiTheme="minorHAnsi" w:hAnsiTheme="minorHAnsi" w:cstheme="minorHAnsi"/>
          <w:color w:val="000000"/>
          <w:lang w:val="cs-CZ"/>
        </w:rPr>
        <w:t>pro nasazení těchto prvků do misí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p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rovádění karanténních opatření u jednotek A</w:t>
      </w:r>
      <w:r w:rsidR="00916EF9" w:rsidRPr="00DF094C">
        <w:rPr>
          <w:rFonts w:asciiTheme="minorHAnsi" w:hAnsiTheme="minorHAnsi" w:cstheme="minorHAnsi"/>
          <w:color w:val="000000"/>
          <w:lang w:val="cs-CZ"/>
        </w:rPr>
        <w:t>ČR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 vracejících se z epidemiologicky rizikových oblastí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b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iologický obranný výzkum A</w:t>
      </w:r>
      <w:r w:rsidR="00916EF9" w:rsidRPr="00DF094C">
        <w:rPr>
          <w:rFonts w:asciiTheme="minorHAnsi" w:hAnsiTheme="minorHAnsi" w:cstheme="minorHAnsi"/>
          <w:color w:val="000000"/>
          <w:lang w:val="cs-CZ"/>
        </w:rPr>
        <w:t>ČR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l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aboratorní diagnostika biologických agens zneužitelných k bioterorismu nebo k přípravě biologické zbraně</w:t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3F3E83" w:rsidRPr="00DF094C" w:rsidRDefault="002C0C14" w:rsidP="001A3337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i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zolace a hospitalizace osob s vysoce nebezpečnými nákazami (při vyhlášení krizového stavu a v souladu s právními předpisy vztahujícími se k poskytování zdravotních služeb).</w:t>
      </w:r>
    </w:p>
    <w:p w:rsidR="0000796C" w:rsidRPr="00DF094C" w:rsidRDefault="0000796C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3F3E83" w:rsidRPr="00DF094C" w:rsidRDefault="00B21B36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R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ealizace výstavby zařízení CBO </w:t>
      </w:r>
      <w:r w:rsidR="00AC16B8" w:rsidRPr="00DF094C">
        <w:rPr>
          <w:rFonts w:asciiTheme="minorHAnsi" w:hAnsiTheme="minorHAnsi" w:cstheme="minorHAnsi"/>
          <w:color w:val="000000"/>
          <w:lang w:val="cs-CZ"/>
        </w:rPr>
        <w:t xml:space="preserve">Těchonín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byla schválena až usnesením vlády </w:t>
      </w:r>
      <w:r w:rsidR="006863DA" w:rsidRPr="00DF094C">
        <w:rPr>
          <w:rFonts w:asciiTheme="minorHAnsi" w:hAnsiTheme="minorHAnsi" w:cstheme="minorHAnsi"/>
          <w:color w:val="000000"/>
          <w:lang w:val="cs-CZ"/>
        </w:rPr>
        <w:t>č. 724</w:t>
      </w:r>
      <w:r w:rsidR="006863DA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ze dne 16. července 2003, </w:t>
      </w:r>
      <w:r w:rsidR="00F96E36" w:rsidRPr="00DF094C">
        <w:rPr>
          <w:rFonts w:asciiTheme="minorHAnsi" w:hAnsiTheme="minorHAnsi" w:cstheme="minorHAnsi"/>
          <w:color w:val="000000"/>
          <w:lang w:val="cs-CZ"/>
        </w:rPr>
        <w:t>samotná</w:t>
      </w:r>
      <w:r w:rsidR="00416815" w:rsidRPr="00416815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16815" w:rsidRPr="00DF094C">
        <w:rPr>
          <w:rFonts w:asciiTheme="minorHAnsi" w:hAnsiTheme="minorHAnsi" w:cstheme="minorHAnsi"/>
          <w:color w:val="000000"/>
          <w:lang w:val="cs-CZ"/>
        </w:rPr>
        <w:t>výstavba</w:t>
      </w:r>
      <w:r w:rsidR="00F96E36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však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začala již v roce 2001. </w:t>
      </w:r>
      <w:r w:rsidR="000F64CC" w:rsidRPr="00DF094C">
        <w:rPr>
          <w:rFonts w:asciiTheme="minorHAnsi" w:hAnsiTheme="minorHAnsi" w:cstheme="minorHAnsi"/>
          <w:lang w:val="cs-CZ"/>
        </w:rPr>
        <w:t xml:space="preserve">Pod pojmem výstavba </w:t>
      </w:r>
      <w:r w:rsidR="00322A87">
        <w:rPr>
          <w:rFonts w:asciiTheme="minorHAnsi" w:hAnsiTheme="minorHAnsi" w:cstheme="minorHAnsi"/>
          <w:lang w:val="cs-CZ"/>
        </w:rPr>
        <w:t>se rozumí</w:t>
      </w:r>
      <w:r w:rsidR="000F64CC" w:rsidRPr="00DF094C">
        <w:rPr>
          <w:rFonts w:asciiTheme="minorHAnsi" w:hAnsiTheme="minorHAnsi" w:cstheme="minorHAnsi"/>
          <w:lang w:val="cs-CZ"/>
        </w:rPr>
        <w:t xml:space="preserve"> rekonstrukce stávajících objektů vč</w:t>
      </w:r>
      <w:r w:rsidR="002C0C14">
        <w:rPr>
          <w:rFonts w:asciiTheme="minorHAnsi" w:hAnsiTheme="minorHAnsi" w:cstheme="minorHAnsi"/>
          <w:lang w:val="cs-CZ"/>
        </w:rPr>
        <w:t>etně</w:t>
      </w:r>
      <w:r w:rsidR="000F64CC" w:rsidRPr="00DF094C">
        <w:rPr>
          <w:rFonts w:asciiTheme="minorHAnsi" w:hAnsiTheme="minorHAnsi" w:cstheme="minorHAnsi"/>
          <w:lang w:val="cs-CZ"/>
        </w:rPr>
        <w:t xml:space="preserve"> nákupu vybavení a</w:t>
      </w:r>
      <w:r w:rsidR="0062398B" w:rsidRPr="00DF094C">
        <w:rPr>
          <w:rFonts w:asciiTheme="minorHAnsi" w:hAnsiTheme="minorHAnsi" w:cstheme="minorHAnsi"/>
          <w:lang w:val="cs-CZ"/>
        </w:rPr>
        <w:t> </w:t>
      </w:r>
      <w:r w:rsidR="000F64CC" w:rsidRPr="00DF094C">
        <w:rPr>
          <w:rFonts w:asciiTheme="minorHAnsi" w:hAnsiTheme="minorHAnsi" w:cstheme="minorHAnsi"/>
          <w:lang w:val="cs-CZ"/>
        </w:rPr>
        <w:t>výstavba nových objektů od roku 2001</w:t>
      </w:r>
      <w:r w:rsidR="00547A80">
        <w:rPr>
          <w:rFonts w:asciiTheme="minorHAnsi" w:hAnsiTheme="minorHAnsi" w:cstheme="minorHAnsi"/>
          <w:lang w:val="cs-CZ"/>
        </w:rPr>
        <w:t>, která m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ěla probíhat v etapách s plánovaným dokončením v roce 2005. </w:t>
      </w:r>
      <w:r w:rsidR="005E2B57" w:rsidRPr="00DF094C">
        <w:rPr>
          <w:rFonts w:asciiTheme="minorHAnsi" w:hAnsiTheme="minorHAnsi" w:cstheme="minorHAnsi"/>
          <w:color w:val="000000"/>
          <w:lang w:val="cs-CZ"/>
        </w:rPr>
        <w:t xml:space="preserve">V letech </w:t>
      </w:r>
      <w:r w:rsidR="000F64CC" w:rsidRPr="00DF094C">
        <w:rPr>
          <w:rFonts w:asciiTheme="minorHAnsi" w:hAnsiTheme="minorHAnsi" w:cstheme="minorHAnsi"/>
          <w:lang w:val="cs-CZ"/>
        </w:rPr>
        <w:t xml:space="preserve">2001 </w:t>
      </w:r>
      <w:r w:rsidR="005E2B57" w:rsidRPr="00DF094C">
        <w:rPr>
          <w:rFonts w:asciiTheme="minorHAnsi" w:hAnsiTheme="minorHAnsi" w:cstheme="minorHAnsi"/>
          <w:lang w:val="cs-CZ"/>
        </w:rPr>
        <w:t>až 2014 byl</w:t>
      </w:r>
      <w:r w:rsidR="000F64CC" w:rsidRPr="00DF094C">
        <w:rPr>
          <w:rFonts w:asciiTheme="minorHAnsi" w:hAnsiTheme="minorHAnsi" w:cstheme="minorHAnsi"/>
          <w:lang w:val="cs-CZ"/>
        </w:rPr>
        <w:t xml:space="preserve">o </w:t>
      </w:r>
      <w:r w:rsidR="00EF1E9F" w:rsidRPr="00DF094C">
        <w:rPr>
          <w:rFonts w:asciiTheme="minorHAnsi" w:hAnsiTheme="minorHAnsi" w:cstheme="minorHAnsi"/>
          <w:lang w:val="cs-CZ"/>
        </w:rPr>
        <w:t>na</w:t>
      </w:r>
      <w:r w:rsidR="000F64CC" w:rsidRPr="00DF094C">
        <w:rPr>
          <w:rFonts w:asciiTheme="minorHAnsi" w:hAnsiTheme="minorHAnsi" w:cstheme="minorHAnsi"/>
          <w:lang w:val="cs-CZ"/>
        </w:rPr>
        <w:t xml:space="preserve"> CBO Těchonín </w:t>
      </w:r>
      <w:r w:rsidR="00EF1E9F" w:rsidRPr="00DF094C">
        <w:rPr>
          <w:rFonts w:asciiTheme="minorHAnsi" w:hAnsiTheme="minorHAnsi" w:cstheme="minorHAnsi"/>
          <w:lang w:val="cs-CZ"/>
        </w:rPr>
        <w:t>vynaloženo</w:t>
      </w:r>
      <w:r w:rsidR="000F64CC" w:rsidRPr="00DF094C">
        <w:rPr>
          <w:rFonts w:asciiTheme="minorHAnsi" w:hAnsiTheme="minorHAnsi" w:cstheme="minorHAnsi"/>
          <w:lang w:val="cs-CZ"/>
        </w:rPr>
        <w:t xml:space="preserve"> nejméně </w:t>
      </w:r>
      <w:r w:rsidR="000F64CC" w:rsidRPr="00DF094C">
        <w:rPr>
          <w:rFonts w:asciiTheme="minorHAnsi" w:hAnsiTheme="minorHAnsi" w:cstheme="minorHAnsi"/>
          <w:bCs/>
          <w:color w:val="000000"/>
          <w:lang w:val="cs-CZ"/>
        </w:rPr>
        <w:t>2,932</w:t>
      </w:r>
      <w:r w:rsidR="00416815">
        <w:rPr>
          <w:rFonts w:asciiTheme="minorHAnsi" w:hAnsiTheme="minorHAnsi" w:cstheme="minorHAnsi"/>
          <w:bCs/>
          <w:color w:val="000000"/>
          <w:lang w:val="cs-CZ"/>
        </w:rPr>
        <w:t> mld. </w:t>
      </w:r>
      <w:r w:rsidR="000F64CC" w:rsidRPr="00DF094C">
        <w:rPr>
          <w:rFonts w:asciiTheme="minorHAnsi" w:hAnsiTheme="minorHAnsi" w:cstheme="minorHAnsi"/>
          <w:bCs/>
          <w:color w:val="000000"/>
          <w:lang w:val="cs-CZ"/>
        </w:rPr>
        <w:t>Kč</w:t>
      </w:r>
      <w:r w:rsidR="005E2B57" w:rsidRPr="00DF094C">
        <w:rPr>
          <w:rFonts w:asciiTheme="minorHAnsi" w:hAnsiTheme="minorHAnsi" w:cstheme="minorHAnsi"/>
          <w:bCs/>
          <w:color w:val="000000"/>
          <w:lang w:val="cs-CZ"/>
        </w:rPr>
        <w:t>, z toho n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a výstavbu 1 870 060</w:t>
      </w:r>
      <w:r w:rsidR="00416815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190</w:t>
      </w:r>
      <w:r w:rsidR="00416815">
        <w:rPr>
          <w:rFonts w:asciiTheme="minorHAnsi" w:hAnsiTheme="minorHAnsi" w:cstheme="minorHAnsi"/>
          <w:color w:val="000000"/>
          <w:lang w:val="cs-CZ"/>
        </w:rPr>
        <w:t> 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Kč (viz tabulka č. 1)</w:t>
      </w:r>
      <w:r w:rsidR="005E2B57" w:rsidRPr="00DF094C">
        <w:rPr>
          <w:rFonts w:asciiTheme="minorHAnsi" w:hAnsiTheme="minorHAnsi" w:cstheme="minorHAnsi"/>
          <w:color w:val="000000"/>
          <w:lang w:val="cs-CZ"/>
        </w:rPr>
        <w:t>. Z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 xml:space="preserve">drojem financování </w:t>
      </w:r>
      <w:r w:rsidR="005E2B57" w:rsidRPr="00DF094C">
        <w:rPr>
          <w:rFonts w:asciiTheme="minorHAnsi" w:hAnsiTheme="minorHAnsi" w:cstheme="minorHAnsi"/>
          <w:color w:val="000000"/>
          <w:lang w:val="cs-CZ"/>
        </w:rPr>
        <w:t xml:space="preserve">výstavby </w:t>
      </w:r>
      <w:r w:rsidR="003F3E83" w:rsidRPr="00DF094C">
        <w:rPr>
          <w:rFonts w:asciiTheme="minorHAnsi" w:hAnsiTheme="minorHAnsi" w:cstheme="minorHAnsi"/>
          <w:color w:val="000000"/>
          <w:lang w:val="cs-CZ"/>
        </w:rPr>
        <w:t>byly:</w:t>
      </w:r>
    </w:p>
    <w:p w:rsidR="003F3E83" w:rsidRPr="00DF094C" w:rsidRDefault="004468D0" w:rsidP="001A3337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rozpočet MO – 1 217 217 525 Kč,</w:t>
      </w:r>
    </w:p>
    <w:p w:rsidR="004468D0" w:rsidRPr="00DF094C" w:rsidRDefault="004468D0" w:rsidP="001A3337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zakrytá část rozpočtu MO – 532 842 665 Kč,</w:t>
      </w:r>
    </w:p>
    <w:p w:rsidR="007310A3" w:rsidRPr="00DF094C" w:rsidRDefault="007310A3" w:rsidP="001A3337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americká finanční pomoc </w:t>
      </w:r>
      <w:r w:rsidRPr="001C67DF">
        <w:rPr>
          <w:rFonts w:asciiTheme="minorHAnsi" w:hAnsiTheme="minorHAnsi" w:cstheme="minorHAnsi"/>
          <w:i/>
          <w:color w:val="000000"/>
          <w:lang w:val="en-GB"/>
        </w:rPr>
        <w:t>Foreign Military Financing</w:t>
      </w:r>
      <w:r w:rsidR="00EF1E9F" w:rsidRPr="00DF094C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1"/>
      </w:r>
      <w:r w:rsidR="00EF1E9F" w:rsidRPr="00DF094C">
        <w:rPr>
          <w:rFonts w:asciiTheme="minorHAnsi" w:hAnsiTheme="minorHAnsi" w:cstheme="minorHAnsi"/>
          <w:color w:val="000000"/>
          <w:lang w:val="cs-CZ"/>
        </w:rPr>
        <w:t xml:space="preserve"> (dále jen „</w:t>
      </w:r>
      <w:r w:rsidR="00EF1E9F" w:rsidRPr="00DF094C">
        <w:rPr>
          <w:rFonts w:asciiTheme="minorHAnsi" w:hAnsiTheme="minorHAnsi" w:cstheme="minorHAnsi"/>
          <w:lang w:val="cs-CZ"/>
        </w:rPr>
        <w:t>FMF“)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– přibližně 120 000 000 K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č.</w:t>
      </w:r>
    </w:p>
    <w:p w:rsidR="0000796C" w:rsidRPr="00DF094C" w:rsidRDefault="0000796C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EF1E9F" w:rsidRDefault="00EF1E9F" w:rsidP="00EF1E9F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Kontrol</w:t>
      </w:r>
      <w:r w:rsidR="00F3708C">
        <w:rPr>
          <w:rFonts w:asciiTheme="minorHAnsi" w:hAnsiTheme="minorHAnsi" w:cstheme="minorHAnsi"/>
          <w:color w:val="000000"/>
          <w:lang w:val="cs-CZ"/>
        </w:rPr>
        <w:t>ou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byly </w:t>
      </w:r>
      <w:r w:rsidR="00F3708C">
        <w:rPr>
          <w:rFonts w:asciiTheme="minorHAnsi" w:hAnsiTheme="minorHAnsi" w:cstheme="minorHAnsi"/>
          <w:color w:val="000000"/>
          <w:lang w:val="cs-CZ"/>
        </w:rPr>
        <w:t>zmapovány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výdaje státního rozpočtu na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budování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národní</w:t>
      </w:r>
      <w:r w:rsidR="00BD44BF">
        <w:rPr>
          <w:rFonts w:asciiTheme="minorHAnsi" w:hAnsiTheme="minorHAnsi" w:cstheme="minorHAnsi"/>
          <w:color w:val="000000"/>
          <w:lang w:val="cs-CZ"/>
        </w:rPr>
        <w:t>ho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systém</w:t>
      </w:r>
      <w:r w:rsidR="00BD44BF">
        <w:rPr>
          <w:rFonts w:asciiTheme="minorHAnsi" w:hAnsiTheme="minorHAnsi" w:cstheme="minorHAnsi"/>
          <w:color w:val="000000"/>
          <w:lang w:val="cs-CZ"/>
        </w:rPr>
        <w:t>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biologické ochrany včetně zajištění úkolů biologické ochrany v souvislosti se spojeneckými závazky. U</w:t>
      </w:r>
      <w:r w:rsidR="00AF0DFD" w:rsidRPr="00DF094C">
        <w:rPr>
          <w:rFonts w:asciiTheme="minorHAnsi" w:hAnsiTheme="minorHAnsi" w:cstheme="minorHAnsi"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CBO Těchonín byla prověřena výše výdajů na jeho výstavbu a následný provoz, které byly posouzeny </w:t>
      </w:r>
      <w:r w:rsidR="00416815">
        <w:rPr>
          <w:rFonts w:asciiTheme="minorHAnsi" w:hAnsiTheme="minorHAnsi" w:cstheme="minorHAnsi"/>
          <w:color w:val="000000"/>
          <w:lang w:val="cs-CZ"/>
        </w:rPr>
        <w:t>ve vztahu k účelnosti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vynaložených prostředků. NKÚ prověřil, zda personální zabezpečení a aktivity realizované v CBO Těchonín vedly k plnění jeho základních úkolů vycházejících z výše uvedených statutárních funkcí. Hodnocena byla problematika rozvoje tohoto zařízení s ohledem na usnesení vlády </w:t>
      </w:r>
      <w:r w:rsidR="006863DA" w:rsidRPr="00DF094C">
        <w:rPr>
          <w:rFonts w:asciiTheme="minorHAnsi" w:hAnsiTheme="minorHAnsi" w:cstheme="minorHAnsi"/>
          <w:color w:val="000000"/>
          <w:lang w:val="cs-CZ"/>
        </w:rPr>
        <w:t xml:space="preserve">č. 369 </w:t>
      </w:r>
      <w:r w:rsidRPr="00DF094C">
        <w:rPr>
          <w:rFonts w:asciiTheme="minorHAnsi" w:hAnsiTheme="minorHAnsi" w:cstheme="minorHAnsi"/>
          <w:color w:val="000000"/>
          <w:lang w:val="cs-CZ"/>
        </w:rPr>
        <w:t>ze dne 18. května 2011</w:t>
      </w:r>
      <w:r w:rsidR="002C0C14">
        <w:rPr>
          <w:rFonts w:asciiTheme="minorHAnsi" w:hAnsiTheme="minorHAnsi" w:cstheme="minorHAnsi"/>
          <w:color w:val="000000"/>
          <w:lang w:val="cs-CZ"/>
        </w:rPr>
        <w:t>,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1C67DF">
        <w:rPr>
          <w:rFonts w:asciiTheme="minorHAnsi" w:hAnsiTheme="minorHAnsi" w:cstheme="minorHAnsi"/>
          <w:i/>
          <w:color w:val="000000"/>
          <w:lang w:val="cs-CZ"/>
        </w:rPr>
        <w:t>o Bílé knize o obraně</w:t>
      </w:r>
      <w:r w:rsidR="002C0C14">
        <w:rPr>
          <w:rFonts w:asciiTheme="minorHAnsi" w:hAnsiTheme="minorHAnsi" w:cstheme="minorHAnsi"/>
          <w:color w:val="000000"/>
          <w:lang w:val="cs-CZ"/>
        </w:rPr>
        <w:t>,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a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 s ohledem na </w:t>
      </w:r>
      <w:r w:rsidR="00322A87">
        <w:rPr>
          <w:rFonts w:asciiTheme="minorHAnsi" w:hAnsiTheme="minorHAnsi" w:cstheme="minorHAnsi"/>
          <w:color w:val="000000"/>
          <w:lang w:val="cs-CZ"/>
        </w:rPr>
        <w:t xml:space="preserve">výsledky </w:t>
      </w:r>
      <w:r w:rsidRPr="00DF094C">
        <w:rPr>
          <w:rFonts w:asciiTheme="minorHAnsi" w:hAnsiTheme="minorHAnsi" w:cstheme="minorHAnsi"/>
          <w:color w:val="000000"/>
          <w:lang w:val="cs-CZ"/>
        </w:rPr>
        <w:t>jednání Bezpečnostní rady státu o dalším využití CBO Těchonín.</w:t>
      </w:r>
      <w:r w:rsidR="00F3708C">
        <w:rPr>
          <w:rFonts w:asciiTheme="minorHAnsi" w:hAnsiTheme="minorHAnsi" w:cstheme="minorHAnsi"/>
          <w:color w:val="000000"/>
          <w:lang w:val="cs-CZ"/>
        </w:rPr>
        <w:t xml:space="preserve"> Hospodárnost byla prověřována zejmé</w:t>
      </w:r>
      <w:r w:rsidR="00B1333A">
        <w:rPr>
          <w:rFonts w:asciiTheme="minorHAnsi" w:hAnsiTheme="minorHAnsi" w:cstheme="minorHAnsi"/>
          <w:color w:val="000000"/>
          <w:lang w:val="cs-CZ"/>
        </w:rPr>
        <w:t>na u části provozních nákladů a </w:t>
      </w:r>
      <w:r w:rsidR="00F3708C">
        <w:rPr>
          <w:rFonts w:asciiTheme="minorHAnsi" w:hAnsiTheme="minorHAnsi" w:cstheme="minorHAnsi"/>
          <w:color w:val="000000"/>
          <w:lang w:val="cs-CZ"/>
        </w:rPr>
        <w:t xml:space="preserve">nákladů </w:t>
      </w:r>
      <w:r w:rsidR="00BD44BF">
        <w:rPr>
          <w:rFonts w:asciiTheme="minorHAnsi" w:hAnsiTheme="minorHAnsi" w:cstheme="minorHAnsi"/>
          <w:color w:val="000000"/>
          <w:lang w:val="cs-CZ"/>
        </w:rPr>
        <w:t>souvisejících s údržbou</w:t>
      </w:r>
      <w:r w:rsidR="00F3708C">
        <w:rPr>
          <w:rFonts w:asciiTheme="minorHAnsi" w:hAnsiTheme="minorHAnsi" w:cstheme="minorHAnsi"/>
          <w:color w:val="000000"/>
          <w:lang w:val="cs-CZ"/>
        </w:rPr>
        <w:t>, dále také u nákupu vybraného majetku.</w:t>
      </w:r>
    </w:p>
    <w:p w:rsidR="00547A80" w:rsidRDefault="00547A80" w:rsidP="00EF1E9F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CE28D9" w:rsidRPr="00DF094C" w:rsidRDefault="00CE28D9" w:rsidP="00CE28D9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Kontrolovaný objem finančních prostředků činil 274,5 mil. Kč; systémový kontrolovaný objem</w:t>
      </w:r>
      <w:r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2"/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byl ve výši 2,108 mld. Kč.</w:t>
      </w:r>
    </w:p>
    <w:p w:rsidR="00CE28D9" w:rsidRPr="00DF094C" w:rsidRDefault="00CE28D9" w:rsidP="00CE28D9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47A80" w:rsidRPr="00547A80" w:rsidRDefault="00547A80" w:rsidP="00B1333A">
      <w:pPr>
        <w:ind w:left="584" w:hanging="584"/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B1333A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Pozn</w:t>
      </w:r>
      <w:r w:rsidR="00B1333A" w:rsidRPr="00B1333A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.</w:t>
      </w:r>
      <w:r w:rsidRPr="00B1333A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: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Právní předpisy uvedené v tomto kontrolním závěru jsou aplikovány ve znění účinném </w:t>
      </w:r>
      <w:r w:rsidR="00416815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pro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kontrolované období.</w:t>
      </w:r>
    </w:p>
    <w:p w:rsidR="00AD6CC5" w:rsidRDefault="00AD6CC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C05F7" w:rsidRDefault="001C05F7">
      <w:pPr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br w:type="page"/>
      </w:r>
    </w:p>
    <w:p w:rsidR="001957E6" w:rsidRPr="00950689" w:rsidRDefault="00950689" w:rsidP="00950689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lastRenderedPageBreak/>
        <w:t xml:space="preserve">II. </w:t>
      </w:r>
      <w:r w:rsidR="00367769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Shrnutí</w:t>
      </w:r>
      <w:r w:rsidR="003A7D17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 skutečností zjištěných při kontrole</w:t>
      </w:r>
    </w:p>
    <w:p w:rsidR="00F13ED2" w:rsidRPr="00DF094C" w:rsidRDefault="00F13ED2" w:rsidP="001C05F7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BA32D2" w:rsidRDefault="00BA32D2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MO </w:t>
      </w:r>
      <w:r w:rsidR="002464D7" w:rsidRPr="00DF094C">
        <w:rPr>
          <w:rFonts w:asciiTheme="minorHAnsi" w:hAnsiTheme="minorHAnsi" w:cstheme="minorHAnsi"/>
          <w:b/>
          <w:color w:val="000000"/>
          <w:lang w:val="cs-CZ"/>
        </w:rPr>
        <w:t xml:space="preserve">v kontrolovaném období 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provedlo </w:t>
      </w:r>
      <w:r w:rsidR="00BD44BF">
        <w:rPr>
          <w:rFonts w:asciiTheme="minorHAnsi" w:hAnsiTheme="minorHAnsi" w:cstheme="minorHAnsi"/>
          <w:b/>
          <w:color w:val="000000"/>
          <w:lang w:val="cs-CZ"/>
        </w:rPr>
        <w:t>velký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 počet organizačních změn, </w:t>
      </w:r>
      <w:r w:rsidR="00480D23" w:rsidRPr="00DF094C">
        <w:rPr>
          <w:rFonts w:asciiTheme="minorHAnsi" w:hAnsiTheme="minorHAnsi" w:cstheme="minorHAnsi"/>
          <w:b/>
          <w:color w:val="000000"/>
          <w:lang w:val="cs-CZ"/>
        </w:rPr>
        <w:t>což nepodporuje efektivní a koncepční fungování resortu MO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2C0C14" w:rsidRDefault="002C0C14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843272" w:rsidRPr="00DF094C" w:rsidRDefault="00843272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Od roku 2004 </w:t>
      </w:r>
      <w:r w:rsidR="00BD44BF">
        <w:rPr>
          <w:rFonts w:asciiTheme="minorHAnsi" w:hAnsiTheme="minorHAnsi" w:cstheme="minorHAnsi"/>
          <w:color w:val="000000"/>
          <w:lang w:val="cs-CZ"/>
        </w:rPr>
        <w:t>schválilo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MO</w:t>
      </w:r>
      <w:r w:rsidR="00A524CC" w:rsidRPr="00DF094C">
        <w:rPr>
          <w:rFonts w:asciiTheme="minorHAnsi" w:hAnsiTheme="minorHAnsi" w:cstheme="minorHAnsi"/>
          <w:color w:val="000000"/>
          <w:lang w:val="cs-CZ"/>
        </w:rPr>
        <w:t xml:space="preserve"> průměrně</w:t>
      </w:r>
      <w:r w:rsidR="007937EA" w:rsidRPr="00DF094C">
        <w:rPr>
          <w:rFonts w:asciiTheme="minorHAnsi" w:hAnsiTheme="minorHAnsi" w:cstheme="minorHAnsi"/>
          <w:color w:val="000000"/>
          <w:lang w:val="cs-CZ"/>
        </w:rPr>
        <w:t xml:space="preserve"> čtyři</w:t>
      </w:r>
      <w:r w:rsidR="00A524CC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7937EA" w:rsidRPr="00DF094C">
        <w:rPr>
          <w:rFonts w:asciiTheme="minorHAnsi" w:hAnsiTheme="minorHAnsi" w:cstheme="minorHAnsi"/>
          <w:color w:val="000000"/>
          <w:lang w:val="cs-CZ"/>
        </w:rPr>
        <w:t>až</w:t>
      </w:r>
      <w:r w:rsidR="00A524CC" w:rsidRPr="00DF094C">
        <w:rPr>
          <w:rFonts w:asciiTheme="minorHAnsi" w:hAnsiTheme="minorHAnsi" w:cstheme="minorHAnsi"/>
          <w:color w:val="000000"/>
          <w:lang w:val="cs-CZ"/>
        </w:rPr>
        <w:t xml:space="preserve"> pět změn organizačního řádu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ročně. </w:t>
      </w:r>
      <w:r w:rsidR="007937EA" w:rsidRPr="00DF094C">
        <w:rPr>
          <w:rFonts w:asciiTheme="minorHAnsi" w:hAnsiTheme="minorHAnsi" w:cstheme="minorHAnsi"/>
          <w:color w:val="000000"/>
          <w:lang w:val="cs-CZ"/>
        </w:rPr>
        <w:t>Z</w:t>
      </w:r>
      <w:r w:rsidR="009D0CA5" w:rsidRPr="00DF094C">
        <w:rPr>
          <w:rFonts w:asciiTheme="minorHAnsi" w:hAnsiTheme="minorHAnsi" w:cstheme="minorHAnsi"/>
          <w:color w:val="000000"/>
          <w:lang w:val="cs-CZ"/>
        </w:rPr>
        <w:t>trácí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806D8" w:rsidRPr="00DF094C">
        <w:rPr>
          <w:rFonts w:asciiTheme="minorHAnsi" w:hAnsiTheme="minorHAnsi" w:cstheme="minorHAnsi"/>
          <w:color w:val="000000"/>
          <w:lang w:val="cs-CZ"/>
        </w:rPr>
        <w:t xml:space="preserve">se </w:t>
      </w:r>
      <w:r w:rsidRPr="00DF094C">
        <w:rPr>
          <w:rFonts w:asciiTheme="minorHAnsi" w:hAnsiTheme="minorHAnsi" w:cstheme="minorHAnsi"/>
          <w:color w:val="000000"/>
          <w:lang w:val="cs-CZ"/>
        </w:rPr>
        <w:t>tak přehled o rozdělení působnost</w:t>
      </w:r>
      <w:r w:rsidR="00BD44BF">
        <w:rPr>
          <w:rFonts w:asciiTheme="minorHAnsi" w:hAnsiTheme="minorHAnsi" w:cstheme="minorHAnsi"/>
          <w:color w:val="000000"/>
          <w:lang w:val="cs-CZ"/>
        </w:rPr>
        <w:t>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a činnost</w:t>
      </w:r>
      <w:r w:rsidR="00BD44BF">
        <w:rPr>
          <w:rFonts w:asciiTheme="minorHAnsi" w:hAnsiTheme="minorHAnsi" w:cstheme="minorHAnsi"/>
          <w:color w:val="000000"/>
          <w:lang w:val="cs-CZ"/>
        </w:rPr>
        <w:t>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v oblastech </w:t>
      </w:r>
      <w:r w:rsidR="00C303B6">
        <w:rPr>
          <w:rFonts w:asciiTheme="minorHAnsi" w:hAnsiTheme="minorHAnsi" w:cstheme="minorHAnsi"/>
          <w:color w:val="000000"/>
          <w:lang w:val="cs-CZ"/>
        </w:rPr>
        <w:t xml:space="preserve">svěřených </w:t>
      </w:r>
      <w:r w:rsidRPr="00DF094C">
        <w:rPr>
          <w:rFonts w:asciiTheme="minorHAnsi" w:hAnsiTheme="minorHAnsi" w:cstheme="minorHAnsi"/>
          <w:color w:val="000000"/>
          <w:lang w:val="cs-CZ"/>
        </w:rPr>
        <w:t>jednotlivý</w:t>
      </w:r>
      <w:r w:rsidR="00C303B6">
        <w:rPr>
          <w:rFonts w:asciiTheme="minorHAnsi" w:hAnsiTheme="minorHAnsi" w:cstheme="minorHAnsi"/>
          <w:color w:val="000000"/>
          <w:lang w:val="cs-CZ"/>
        </w:rPr>
        <w:t>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oddělení</w:t>
      </w:r>
      <w:r w:rsidR="00C303B6">
        <w:rPr>
          <w:rFonts w:asciiTheme="minorHAnsi" w:hAnsiTheme="minorHAnsi" w:cstheme="minorHAnsi"/>
          <w:color w:val="000000"/>
          <w:lang w:val="cs-CZ"/>
        </w:rPr>
        <w:t>m</w:t>
      </w:r>
      <w:r w:rsidRPr="00DF094C">
        <w:rPr>
          <w:rFonts w:asciiTheme="minorHAnsi" w:hAnsiTheme="minorHAnsi" w:cstheme="minorHAnsi"/>
          <w:color w:val="000000"/>
          <w:lang w:val="cs-CZ"/>
        </w:rPr>
        <w:t>, odborů</w:t>
      </w:r>
      <w:r w:rsidR="00C303B6">
        <w:rPr>
          <w:rFonts w:asciiTheme="minorHAnsi" w:hAnsiTheme="minorHAnsi" w:cstheme="minorHAnsi"/>
          <w:color w:val="000000"/>
          <w:lang w:val="cs-CZ"/>
        </w:rPr>
        <w:t>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a sekcí</w:t>
      </w:r>
      <w:r w:rsidR="00C303B6">
        <w:rPr>
          <w:rFonts w:asciiTheme="minorHAnsi" w:hAnsiTheme="minorHAnsi" w:cstheme="minorHAnsi"/>
          <w:color w:val="000000"/>
          <w:lang w:val="cs-CZ"/>
        </w:rPr>
        <w:t>m</w:t>
      </w:r>
      <w:r w:rsidR="00B21B36" w:rsidRPr="00DF094C">
        <w:rPr>
          <w:rFonts w:asciiTheme="minorHAnsi" w:hAnsiTheme="minorHAnsi" w:cstheme="minorHAnsi"/>
          <w:color w:val="000000"/>
          <w:lang w:val="cs-CZ"/>
        </w:rPr>
        <w:t>, dochází k personálním přesunům</w:t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  <w:r w:rsidR="003C2699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EB7813">
        <w:rPr>
          <w:rFonts w:asciiTheme="minorHAnsi" w:hAnsiTheme="minorHAnsi" w:cstheme="minorHAnsi"/>
          <w:color w:val="000000"/>
          <w:lang w:val="cs-CZ"/>
        </w:rPr>
        <w:t>R</w:t>
      </w:r>
      <w:r w:rsidR="00F806D8" w:rsidRPr="00DF094C">
        <w:rPr>
          <w:rFonts w:asciiTheme="minorHAnsi" w:hAnsiTheme="minorHAnsi" w:cstheme="minorHAnsi"/>
          <w:color w:val="000000"/>
          <w:lang w:val="cs-CZ"/>
        </w:rPr>
        <w:t xml:space="preserve">ychlost a četnost přijímaných změn </w:t>
      </w:r>
      <w:r w:rsidR="00ED6E3D">
        <w:rPr>
          <w:rFonts w:asciiTheme="minorHAnsi" w:hAnsiTheme="minorHAnsi" w:cstheme="minorHAnsi"/>
          <w:color w:val="000000"/>
          <w:lang w:val="cs-CZ"/>
        </w:rPr>
        <w:t>v</w:t>
      </w:r>
      <w:r w:rsidR="00C303B6">
        <w:rPr>
          <w:rFonts w:asciiTheme="minorHAnsi" w:hAnsiTheme="minorHAnsi" w:cstheme="minorHAnsi"/>
          <w:color w:val="000000"/>
          <w:lang w:val="cs-CZ"/>
        </w:rPr>
        <w:t> </w:t>
      </w:r>
      <w:r w:rsidR="00ED6E3D">
        <w:rPr>
          <w:rFonts w:asciiTheme="minorHAnsi" w:hAnsiTheme="minorHAnsi" w:cstheme="minorHAnsi"/>
          <w:color w:val="000000"/>
          <w:lang w:val="cs-CZ"/>
        </w:rPr>
        <w:t xml:space="preserve">oblastech svěřených jednotlivým oddělením odborům a sekcím </w:t>
      </w:r>
      <w:r w:rsidR="00F806D8" w:rsidRPr="00DF094C">
        <w:rPr>
          <w:rFonts w:asciiTheme="minorHAnsi" w:hAnsiTheme="minorHAnsi" w:cstheme="minorHAnsi"/>
          <w:color w:val="000000"/>
          <w:lang w:val="cs-CZ"/>
        </w:rPr>
        <w:t>neumožň</w:t>
      </w:r>
      <w:r w:rsidR="00926413">
        <w:rPr>
          <w:rFonts w:asciiTheme="minorHAnsi" w:hAnsiTheme="minorHAnsi" w:cstheme="minorHAnsi"/>
          <w:color w:val="000000"/>
          <w:lang w:val="cs-CZ"/>
        </w:rPr>
        <w:t>oval</w:t>
      </w:r>
      <w:r w:rsidR="00197C27">
        <w:rPr>
          <w:rFonts w:asciiTheme="minorHAnsi" w:hAnsiTheme="minorHAnsi" w:cstheme="minorHAnsi"/>
          <w:color w:val="000000"/>
          <w:lang w:val="cs-CZ"/>
        </w:rPr>
        <w:t>y</w:t>
      </w:r>
      <w:r w:rsidR="00926413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ED6E3D">
        <w:rPr>
          <w:rFonts w:asciiTheme="minorHAnsi" w:hAnsiTheme="minorHAnsi" w:cstheme="minorHAnsi"/>
          <w:color w:val="000000"/>
          <w:lang w:val="cs-CZ"/>
        </w:rPr>
        <w:t xml:space="preserve">ministerstvu </w:t>
      </w:r>
      <w:r w:rsidR="00F806D8" w:rsidRPr="00DF094C">
        <w:rPr>
          <w:rFonts w:asciiTheme="minorHAnsi" w:hAnsiTheme="minorHAnsi" w:cstheme="minorHAnsi"/>
          <w:color w:val="000000"/>
          <w:lang w:val="cs-CZ"/>
        </w:rPr>
        <w:t xml:space="preserve">vyhodnotit dopad změn </w:t>
      </w:r>
      <w:r w:rsidR="00BD44BF">
        <w:rPr>
          <w:rFonts w:asciiTheme="minorHAnsi" w:hAnsiTheme="minorHAnsi" w:cstheme="minorHAnsi"/>
          <w:color w:val="000000"/>
          <w:lang w:val="cs-CZ"/>
        </w:rPr>
        <w:t>předchozích</w:t>
      </w:r>
      <w:r w:rsidR="00F806D8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A53515" w:rsidRPr="00DF094C" w:rsidRDefault="00A53515" w:rsidP="00A53515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BA32D2" w:rsidRDefault="00BA32D2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MO kompletně nedokončilo výstavbu CBO Těchonín.</w:t>
      </w:r>
    </w:p>
    <w:p w:rsidR="002C0C14" w:rsidRDefault="002C0C14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AA2396" w:rsidRPr="00DF094C" w:rsidRDefault="003C2699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Výstavba CBO Těchonín začala v roce 2001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a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MO </w:t>
      </w:r>
      <w:r w:rsidR="00BD44BF">
        <w:rPr>
          <w:rFonts w:asciiTheme="minorHAnsi" w:hAnsiTheme="minorHAnsi" w:cstheme="minorHAnsi"/>
          <w:color w:val="000000"/>
          <w:lang w:val="cs-CZ"/>
        </w:rPr>
        <w:t>stanovilo jako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termín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jeho dokončení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rok 2005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, </w:t>
      </w:r>
      <w:r w:rsidR="00BD44BF">
        <w:rPr>
          <w:rFonts w:asciiTheme="minorHAnsi" w:hAnsiTheme="minorHAnsi" w:cstheme="minorHAnsi"/>
          <w:color w:val="000000"/>
          <w:lang w:val="cs-CZ"/>
        </w:rPr>
        <w:t>ten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ED6E3D">
        <w:rPr>
          <w:rFonts w:asciiTheme="minorHAnsi" w:hAnsiTheme="minorHAnsi" w:cstheme="minorHAnsi"/>
          <w:color w:val="000000"/>
          <w:lang w:val="cs-CZ"/>
        </w:rPr>
        <w:t xml:space="preserve">však 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>nebyl dodržen</w:t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  <w:r w:rsidR="00A500D5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MO tedy </w:t>
      </w:r>
      <w:r w:rsidR="007E1DB0">
        <w:rPr>
          <w:rFonts w:asciiTheme="minorHAnsi" w:hAnsiTheme="minorHAnsi" w:cstheme="minorHAnsi"/>
          <w:color w:val="000000"/>
          <w:lang w:val="cs-CZ"/>
        </w:rPr>
        <w:t xml:space="preserve">pro dokončení 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stanovilo minimální variantu investičních akcí za účelem </w:t>
      </w:r>
      <w:r w:rsidR="00BD44BF">
        <w:rPr>
          <w:rFonts w:asciiTheme="minorHAnsi" w:hAnsiTheme="minorHAnsi" w:cstheme="minorHAnsi"/>
          <w:color w:val="000000"/>
          <w:lang w:val="cs-CZ"/>
        </w:rPr>
        <w:t>zprovoznění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 CBO Těchonín a plnění </w:t>
      </w:r>
      <w:r w:rsidR="00954F83">
        <w:rPr>
          <w:rFonts w:asciiTheme="minorHAnsi" w:hAnsiTheme="minorHAnsi" w:cstheme="minorHAnsi"/>
          <w:color w:val="000000"/>
          <w:lang w:val="cs-CZ"/>
        </w:rPr>
        <w:t xml:space="preserve">jeho 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 xml:space="preserve">hlavních úkolů. Jednalo se o rekonstrukci vodního hospodářství, rekonstrukci objektů pro vědu a výzkum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>(poslední známá</w:t>
      </w:r>
      <w:r w:rsidR="007E1DB0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>výše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předpokládané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 xml:space="preserve"> investice 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byla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 xml:space="preserve">ve výši 120 mil. Kč) 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BD44BF">
        <w:rPr>
          <w:rFonts w:asciiTheme="minorHAnsi" w:hAnsiTheme="minorHAnsi" w:cstheme="minorHAnsi"/>
          <w:color w:val="000000"/>
          <w:lang w:val="cs-CZ"/>
        </w:rPr>
        <w:t> </w:t>
      </w:r>
      <w:r w:rsidR="008A1EF2" w:rsidRPr="00DF094C">
        <w:rPr>
          <w:rFonts w:asciiTheme="minorHAnsi" w:hAnsiTheme="minorHAnsi" w:cstheme="minorHAnsi"/>
          <w:color w:val="000000"/>
          <w:lang w:val="cs-CZ"/>
        </w:rPr>
        <w:t>výstavbu temperovaných garáží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DD3E2D" w:rsidRPr="00DF094C">
        <w:rPr>
          <w:rFonts w:asciiTheme="minorHAnsi" w:hAnsiTheme="minorHAnsi" w:cstheme="minorHAnsi"/>
          <w:color w:val="000000"/>
          <w:lang w:val="cs-CZ"/>
        </w:rPr>
        <w:t>pro uložení mobilní techniky a</w:t>
      </w:r>
      <w:r w:rsidR="00AF0DFD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DD3E2D" w:rsidRPr="00DF094C">
        <w:rPr>
          <w:rFonts w:asciiTheme="minorHAnsi" w:hAnsiTheme="minorHAnsi" w:cstheme="minorHAnsi"/>
          <w:color w:val="000000"/>
          <w:lang w:val="cs-CZ"/>
        </w:rPr>
        <w:t xml:space="preserve">zařízení systému biologické ochrany odpovídajícím způsobem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 xml:space="preserve">(poslední známá </w:t>
      </w:r>
      <w:r w:rsidR="007E1DB0">
        <w:rPr>
          <w:rFonts w:asciiTheme="minorHAnsi" w:hAnsiTheme="minorHAnsi" w:cstheme="minorHAnsi"/>
          <w:color w:val="000000"/>
          <w:lang w:val="cs-CZ"/>
        </w:rPr>
        <w:t xml:space="preserve">výše 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předpokládané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 xml:space="preserve">investice 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byla 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>ve výši 27,5</w:t>
      </w:r>
      <w:r w:rsidR="00BD44BF">
        <w:rPr>
          <w:rFonts w:asciiTheme="minorHAnsi" w:hAnsiTheme="minorHAnsi" w:cstheme="minorHAnsi"/>
          <w:color w:val="000000"/>
          <w:lang w:val="cs-CZ"/>
        </w:rPr>
        <w:t> mil. </w:t>
      </w:r>
      <w:r w:rsidR="00BC489A" w:rsidRPr="00DF094C">
        <w:rPr>
          <w:rFonts w:asciiTheme="minorHAnsi" w:hAnsiTheme="minorHAnsi" w:cstheme="minorHAnsi"/>
          <w:color w:val="000000"/>
          <w:lang w:val="cs-CZ"/>
        </w:rPr>
        <w:t>Kč)</w:t>
      </w:r>
      <w:r w:rsidR="001F2FD1" w:rsidRPr="00DF094C">
        <w:rPr>
          <w:rFonts w:asciiTheme="minorHAnsi" w:hAnsiTheme="minorHAnsi" w:cstheme="minorHAnsi"/>
          <w:color w:val="000000"/>
          <w:lang w:val="cs-CZ"/>
        </w:rPr>
        <w:t xml:space="preserve">. Kromě rekonstrukce vodního hospodářství MO </w:t>
      </w:r>
      <w:r w:rsidR="004821F3" w:rsidRPr="00DF094C">
        <w:rPr>
          <w:rFonts w:asciiTheme="minorHAnsi" w:hAnsiTheme="minorHAnsi" w:cstheme="minorHAnsi"/>
          <w:color w:val="000000"/>
          <w:lang w:val="cs-CZ"/>
        </w:rPr>
        <w:t>rekonstrukci</w:t>
      </w:r>
      <w:r w:rsidR="0021468D" w:rsidRPr="00DF094C">
        <w:rPr>
          <w:rFonts w:asciiTheme="minorHAnsi" w:hAnsiTheme="minorHAnsi" w:cstheme="minorHAnsi"/>
          <w:color w:val="000000"/>
          <w:lang w:val="cs-CZ"/>
        </w:rPr>
        <w:t xml:space="preserve"> a výstavbu dalších prioritních objektů </w:t>
      </w:r>
      <w:r w:rsidR="001F2FD1" w:rsidRPr="00DF094C">
        <w:rPr>
          <w:rFonts w:asciiTheme="minorHAnsi" w:hAnsiTheme="minorHAnsi" w:cstheme="minorHAnsi"/>
          <w:color w:val="000000"/>
          <w:lang w:val="cs-CZ"/>
        </w:rPr>
        <w:t>nerealizovalo</w:t>
      </w:r>
      <w:r w:rsidR="000E21E7" w:rsidRPr="00DF094C">
        <w:rPr>
          <w:rFonts w:asciiTheme="minorHAnsi" w:hAnsiTheme="minorHAnsi" w:cstheme="minorHAnsi"/>
          <w:color w:val="000000"/>
          <w:lang w:val="cs-CZ"/>
        </w:rPr>
        <w:t xml:space="preserve"> a</w:t>
      </w:r>
      <w:r w:rsidR="001F1E10">
        <w:rPr>
          <w:rFonts w:asciiTheme="minorHAnsi" w:hAnsiTheme="minorHAnsi" w:cstheme="minorHAnsi"/>
          <w:color w:val="000000"/>
          <w:lang w:val="cs-CZ"/>
        </w:rPr>
        <w:t> </w:t>
      </w:r>
      <w:r w:rsidR="00ED6E3D">
        <w:rPr>
          <w:rFonts w:asciiTheme="minorHAnsi" w:hAnsiTheme="minorHAnsi" w:cstheme="minorHAnsi"/>
          <w:color w:val="000000"/>
          <w:lang w:val="cs-CZ"/>
        </w:rPr>
        <w:t xml:space="preserve">v době ukončení kontroly 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přinejmenším do roku 2016 </w:t>
      </w:r>
      <w:r w:rsidR="00AA2396" w:rsidRPr="00DF094C">
        <w:rPr>
          <w:rFonts w:asciiTheme="minorHAnsi" w:hAnsiTheme="minorHAnsi" w:cstheme="minorHAnsi"/>
          <w:color w:val="000000"/>
          <w:lang w:val="cs-CZ"/>
        </w:rPr>
        <w:t>MO s investicemi do objekt</w:t>
      </w:r>
      <w:r w:rsidR="009C1C01" w:rsidRPr="00DF094C">
        <w:rPr>
          <w:rFonts w:asciiTheme="minorHAnsi" w:hAnsiTheme="minorHAnsi" w:cstheme="minorHAnsi"/>
          <w:color w:val="000000"/>
          <w:lang w:val="cs-CZ"/>
        </w:rPr>
        <w:t>ů</w:t>
      </w:r>
      <w:r w:rsidR="00AA2396" w:rsidRPr="00DF094C">
        <w:rPr>
          <w:rFonts w:asciiTheme="minorHAnsi" w:hAnsiTheme="minorHAnsi" w:cstheme="minorHAnsi"/>
          <w:color w:val="000000"/>
          <w:lang w:val="cs-CZ"/>
        </w:rPr>
        <w:t xml:space="preserve"> nepočít</w:t>
      </w:r>
      <w:r w:rsidR="007E1DB0">
        <w:rPr>
          <w:rFonts w:asciiTheme="minorHAnsi" w:hAnsiTheme="minorHAnsi" w:cstheme="minorHAnsi"/>
          <w:color w:val="000000"/>
          <w:lang w:val="cs-CZ"/>
        </w:rPr>
        <w:t>alo.</w:t>
      </w:r>
    </w:p>
    <w:p w:rsidR="00D53036" w:rsidRPr="00DF094C" w:rsidRDefault="00D53036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950689" w:rsidRPr="00950689" w:rsidRDefault="000A4A36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950689">
        <w:rPr>
          <w:rFonts w:asciiTheme="minorHAnsi" w:hAnsiTheme="minorHAnsi" w:cstheme="minorHAnsi"/>
          <w:b/>
          <w:color w:val="000000"/>
          <w:lang w:val="cs-CZ"/>
        </w:rPr>
        <w:t xml:space="preserve">CBO Těchonín </w:t>
      </w:r>
      <w:r w:rsidR="00437464" w:rsidRPr="00950689">
        <w:rPr>
          <w:rFonts w:asciiTheme="minorHAnsi" w:hAnsiTheme="minorHAnsi" w:cstheme="minorHAnsi"/>
          <w:b/>
          <w:color w:val="000000"/>
          <w:lang w:val="cs-CZ"/>
        </w:rPr>
        <w:t>pln</w:t>
      </w:r>
      <w:r w:rsidR="007937EA" w:rsidRPr="00950689">
        <w:rPr>
          <w:rFonts w:asciiTheme="minorHAnsi" w:hAnsiTheme="minorHAnsi" w:cstheme="minorHAnsi"/>
          <w:b/>
          <w:color w:val="000000"/>
          <w:lang w:val="cs-CZ"/>
        </w:rPr>
        <w:t xml:space="preserve">ilo </w:t>
      </w:r>
      <w:r w:rsidR="00846CA8">
        <w:rPr>
          <w:rFonts w:asciiTheme="minorHAnsi" w:hAnsiTheme="minorHAnsi" w:cstheme="minorHAnsi"/>
          <w:b/>
          <w:color w:val="000000"/>
          <w:lang w:val="cs-CZ"/>
        </w:rPr>
        <w:t>určené</w:t>
      </w:r>
      <w:r w:rsidR="00437464" w:rsidRPr="00950689">
        <w:rPr>
          <w:rFonts w:asciiTheme="minorHAnsi" w:hAnsiTheme="minorHAnsi" w:cstheme="minorHAnsi"/>
          <w:b/>
          <w:color w:val="000000"/>
          <w:lang w:val="cs-CZ"/>
        </w:rPr>
        <w:t xml:space="preserve"> úkol</w:t>
      </w:r>
      <w:r w:rsidR="007937EA" w:rsidRPr="00950689">
        <w:rPr>
          <w:rFonts w:asciiTheme="minorHAnsi" w:hAnsiTheme="minorHAnsi" w:cstheme="minorHAnsi"/>
          <w:b/>
          <w:color w:val="000000"/>
          <w:lang w:val="cs-CZ"/>
        </w:rPr>
        <w:t>y</w:t>
      </w:r>
      <w:r w:rsidR="00DF696B" w:rsidRPr="00950689">
        <w:rPr>
          <w:rFonts w:asciiTheme="minorHAnsi" w:hAnsiTheme="minorHAnsi" w:cstheme="minorHAnsi"/>
          <w:b/>
          <w:color w:val="000000"/>
          <w:lang w:val="cs-CZ"/>
        </w:rPr>
        <w:t xml:space="preserve"> v omezené míře</w:t>
      </w:r>
      <w:r w:rsidR="00950689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2C0C14" w:rsidRDefault="002C0C14" w:rsidP="00F13ED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2935D2" w:rsidRPr="00DF094C" w:rsidRDefault="00897711" w:rsidP="00F13ED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MO stanovilo hlavní úkoly CBO Těchonín </w:t>
      </w:r>
      <w:r w:rsidR="00962D11" w:rsidRPr="00DF094C">
        <w:rPr>
          <w:rFonts w:asciiTheme="minorHAnsi" w:hAnsiTheme="minorHAnsi" w:cstheme="minorHAnsi"/>
          <w:color w:val="000000"/>
          <w:lang w:val="cs-CZ"/>
        </w:rPr>
        <w:t xml:space="preserve">formou statutárních funkcí </w:t>
      </w:r>
      <w:r w:rsidRPr="00DF094C">
        <w:rPr>
          <w:rFonts w:asciiTheme="minorHAnsi" w:hAnsiTheme="minorHAnsi" w:cstheme="minorHAnsi"/>
          <w:color w:val="000000"/>
          <w:lang w:val="cs-CZ"/>
        </w:rPr>
        <w:t>již na počátku jeho budování v roce 2001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. CBO Těchonín 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však 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>nebylo do doby ukončení kontroly</w:t>
      </w:r>
      <w:r w:rsidR="003A2A8E" w:rsidRPr="00DF094C">
        <w:rPr>
          <w:rFonts w:asciiTheme="minorHAnsi" w:hAnsiTheme="minorHAnsi" w:cstheme="minorHAnsi"/>
          <w:color w:val="000000"/>
          <w:lang w:val="cs-CZ"/>
        </w:rPr>
        <w:t xml:space="preserve"> NKÚ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 vybudováno tak, aby mohlo plnit vy</w:t>
      </w:r>
      <w:r w:rsidR="00F034F5" w:rsidRPr="00DF094C">
        <w:rPr>
          <w:rFonts w:asciiTheme="minorHAnsi" w:hAnsiTheme="minorHAnsi" w:cstheme="minorHAnsi"/>
          <w:color w:val="000000"/>
          <w:lang w:val="cs-CZ"/>
        </w:rPr>
        <w:t>mezené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 úkoly</w:t>
      </w:r>
      <w:r w:rsidR="002C0C14">
        <w:rPr>
          <w:rFonts w:asciiTheme="minorHAnsi" w:hAnsiTheme="minorHAnsi" w:cstheme="minorHAnsi"/>
          <w:color w:val="000000"/>
          <w:lang w:val="cs-CZ"/>
        </w:rPr>
        <w:t>,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 a nedisponovalo </w:t>
      </w:r>
      <w:r w:rsidR="002C0C14">
        <w:rPr>
          <w:rFonts w:asciiTheme="minorHAnsi" w:hAnsiTheme="minorHAnsi" w:cstheme="minorHAnsi"/>
          <w:color w:val="000000"/>
          <w:lang w:val="cs-CZ"/>
        </w:rPr>
        <w:t>tudíž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 v plném rozsahu původně p</w:t>
      </w:r>
      <w:r w:rsidR="00846CA8">
        <w:rPr>
          <w:rFonts w:asciiTheme="minorHAnsi" w:hAnsiTheme="minorHAnsi" w:cstheme="minorHAnsi"/>
          <w:color w:val="000000"/>
          <w:lang w:val="cs-CZ"/>
        </w:rPr>
        <w:t>lánovanými</w:t>
      </w:r>
      <w:r w:rsidR="00D53681" w:rsidRPr="00DF094C">
        <w:rPr>
          <w:rFonts w:asciiTheme="minorHAnsi" w:hAnsiTheme="minorHAnsi" w:cstheme="minorHAnsi"/>
          <w:color w:val="000000"/>
          <w:lang w:val="cs-CZ"/>
        </w:rPr>
        <w:t xml:space="preserve"> schopnostmi.</w:t>
      </w:r>
      <w:r w:rsidR="00DE54C5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2935D2" w:rsidRPr="00DF094C" w:rsidRDefault="002935D2" w:rsidP="00F13ED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7937EA" w:rsidRPr="00DF094C" w:rsidRDefault="00DE54C5" w:rsidP="00F13ED2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>Vědeckovýzkumná činnost mohla být prováděna</w:t>
      </w:r>
      <w:r w:rsidR="00B52A87" w:rsidRPr="00DF094C">
        <w:rPr>
          <w:rFonts w:asciiTheme="minorHAnsi" w:hAnsiTheme="minorHAnsi" w:cstheme="minorHAnsi"/>
          <w:color w:val="000000"/>
          <w:lang w:val="cs-CZ"/>
        </w:rPr>
        <w:t xml:space="preserve"> pouze v omezeném měřítku, což negativně ovlivnilo rozvoj spolupráce s ostatními subjekty na národní a mezinárodní úrovni.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D44BF" w:rsidRPr="00DF094C">
        <w:rPr>
          <w:rFonts w:asciiTheme="minorHAnsi" w:hAnsiTheme="minorHAnsi" w:cstheme="minorHAnsi"/>
          <w:color w:val="000000"/>
          <w:lang w:val="cs-CZ"/>
        </w:rPr>
        <w:t>CBO</w:t>
      </w:r>
      <w:r w:rsidR="00BD44BF">
        <w:rPr>
          <w:rFonts w:asciiTheme="minorHAnsi" w:hAnsiTheme="minorHAnsi" w:cstheme="minorHAnsi"/>
          <w:color w:val="000000"/>
          <w:lang w:val="cs-CZ"/>
        </w:rPr>
        <w:t> </w:t>
      </w:r>
      <w:r w:rsidR="00BD44BF" w:rsidRPr="00DF094C">
        <w:rPr>
          <w:rFonts w:asciiTheme="minorHAnsi" w:hAnsiTheme="minorHAnsi" w:cstheme="minorHAnsi"/>
          <w:color w:val="000000"/>
          <w:lang w:val="cs-CZ"/>
        </w:rPr>
        <w:t xml:space="preserve">Těchonín </w:t>
      </w:r>
      <w:r w:rsidR="00BD44BF">
        <w:rPr>
          <w:rFonts w:asciiTheme="minorHAnsi" w:hAnsiTheme="minorHAnsi" w:cstheme="minorHAnsi"/>
          <w:color w:val="000000"/>
          <w:lang w:val="cs-CZ"/>
        </w:rPr>
        <w:t>nebyl</w:t>
      </w:r>
      <w:r w:rsidR="00600DF6">
        <w:rPr>
          <w:rFonts w:asciiTheme="minorHAnsi" w:hAnsiTheme="minorHAnsi" w:cstheme="minorHAnsi"/>
          <w:color w:val="000000"/>
          <w:lang w:val="cs-CZ"/>
        </w:rPr>
        <w:t>o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využíván</w:t>
      </w:r>
      <w:r w:rsidR="00600DF6">
        <w:rPr>
          <w:rFonts w:asciiTheme="minorHAnsi" w:hAnsiTheme="minorHAnsi" w:cstheme="minorHAnsi"/>
          <w:color w:val="000000"/>
          <w:lang w:val="cs-CZ"/>
        </w:rPr>
        <w:t>o</w:t>
      </w:r>
      <w:r w:rsidR="00BD44BF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D44BF" w:rsidRPr="00DF094C">
        <w:rPr>
          <w:rFonts w:asciiTheme="minorHAnsi" w:hAnsiTheme="minorHAnsi" w:cstheme="minorHAnsi"/>
          <w:color w:val="000000"/>
          <w:lang w:val="cs-CZ"/>
        </w:rPr>
        <w:t>dle plánovaných záměrů</w:t>
      </w:r>
      <w:r w:rsidR="00600DF6">
        <w:rPr>
          <w:rFonts w:asciiTheme="minorHAnsi" w:hAnsiTheme="minorHAnsi" w:cstheme="minorHAnsi"/>
          <w:color w:val="000000"/>
          <w:lang w:val="cs-CZ"/>
        </w:rPr>
        <w:t>, o čemž svědčí</w:t>
      </w:r>
      <w:r w:rsidR="00BD44BF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00DF6">
        <w:rPr>
          <w:rFonts w:asciiTheme="minorHAnsi" w:hAnsiTheme="minorHAnsi" w:cstheme="minorHAnsi"/>
          <w:color w:val="000000"/>
          <w:lang w:val="cs-CZ"/>
        </w:rPr>
        <w:t>o</w:t>
      </w:r>
      <w:r w:rsidR="00846CA8" w:rsidRPr="00DF094C">
        <w:rPr>
          <w:rFonts w:asciiTheme="minorHAnsi" w:hAnsiTheme="minorHAnsi" w:cstheme="minorHAnsi"/>
          <w:color w:val="000000"/>
          <w:lang w:val="cs-CZ"/>
        </w:rPr>
        <w:t xml:space="preserve">mezený počet kurzů a výcviků na národní úrovni a pouze jeden realizovaný kurz na mezinárodní úrovni. 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>V CBO Těchonín ne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byl</w:t>
      </w:r>
      <w:r w:rsidR="00846CA8">
        <w:rPr>
          <w:rFonts w:asciiTheme="minorHAnsi" w:hAnsiTheme="minorHAnsi" w:cstheme="minorHAnsi"/>
          <w:color w:val="000000"/>
          <w:lang w:val="cs-CZ"/>
        </w:rPr>
        <w:t>y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>zajištěn</w:t>
      </w:r>
      <w:r w:rsidR="00846CA8">
        <w:rPr>
          <w:rFonts w:asciiTheme="minorHAnsi" w:hAnsiTheme="minorHAnsi" w:cstheme="minorHAnsi"/>
          <w:color w:val="000000"/>
          <w:lang w:val="cs-CZ"/>
        </w:rPr>
        <w:t>y podmínky pro</w:t>
      </w:r>
      <w:r w:rsidR="005E5039" w:rsidRPr="00DF094C">
        <w:rPr>
          <w:rFonts w:asciiTheme="minorHAnsi" w:hAnsiTheme="minorHAnsi" w:cstheme="minorHAnsi"/>
          <w:color w:val="000000"/>
          <w:lang w:val="cs-CZ"/>
        </w:rPr>
        <w:t xml:space="preserve"> nepřetržitý plný</w:t>
      </w:r>
      <w:r w:rsidR="00846CA8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3"/>
      </w:r>
      <w:r w:rsidR="005E5039" w:rsidRPr="00DF094C">
        <w:rPr>
          <w:rFonts w:asciiTheme="minorHAnsi" w:hAnsiTheme="minorHAnsi" w:cstheme="minorHAnsi"/>
          <w:color w:val="000000"/>
          <w:lang w:val="cs-CZ"/>
        </w:rPr>
        <w:t xml:space="preserve"> provoz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D419C0" w:rsidRPr="00DF094C">
        <w:rPr>
          <w:rFonts w:asciiTheme="minorHAnsi" w:hAnsiTheme="minorHAnsi" w:cstheme="minorHAnsi"/>
          <w:color w:val="000000"/>
          <w:lang w:val="cs-CZ"/>
        </w:rPr>
        <w:t>izolac</w:t>
      </w:r>
      <w:r w:rsidR="00FB62DC">
        <w:rPr>
          <w:rFonts w:asciiTheme="minorHAnsi" w:hAnsiTheme="minorHAnsi" w:cstheme="minorHAnsi"/>
          <w:color w:val="000000"/>
          <w:lang w:val="cs-CZ"/>
        </w:rPr>
        <w:t>e</w:t>
      </w:r>
      <w:r w:rsidR="00D419C0" w:rsidRPr="00DF094C">
        <w:rPr>
          <w:rFonts w:asciiTheme="minorHAnsi" w:hAnsiTheme="minorHAnsi" w:cstheme="minorHAnsi"/>
          <w:color w:val="000000"/>
          <w:lang w:val="cs-CZ"/>
        </w:rPr>
        <w:t xml:space="preserve"> a</w:t>
      </w:r>
      <w:r w:rsidR="001C67DF">
        <w:rPr>
          <w:rFonts w:asciiTheme="minorHAnsi" w:hAnsiTheme="minorHAnsi" w:cstheme="minorHAnsi"/>
          <w:color w:val="000000"/>
          <w:lang w:val="cs-CZ"/>
        </w:rPr>
        <w:t> </w:t>
      </w:r>
      <w:r w:rsidR="00D419C0" w:rsidRPr="00DF094C">
        <w:rPr>
          <w:rFonts w:asciiTheme="minorHAnsi" w:hAnsiTheme="minorHAnsi" w:cstheme="minorHAnsi"/>
          <w:color w:val="000000"/>
          <w:lang w:val="cs-CZ"/>
        </w:rPr>
        <w:t>hospitalizac</w:t>
      </w:r>
      <w:r w:rsidR="00FB62DC">
        <w:rPr>
          <w:rFonts w:asciiTheme="minorHAnsi" w:hAnsiTheme="minorHAnsi" w:cstheme="minorHAnsi"/>
          <w:color w:val="000000"/>
          <w:lang w:val="cs-CZ"/>
        </w:rPr>
        <w:t>e</w:t>
      </w:r>
      <w:r w:rsidR="005E5039" w:rsidRPr="00DF094C">
        <w:rPr>
          <w:rFonts w:asciiTheme="minorHAnsi" w:hAnsiTheme="minorHAnsi" w:cstheme="minorHAnsi"/>
          <w:color w:val="000000"/>
          <w:lang w:val="cs-CZ"/>
        </w:rPr>
        <w:t>, k je</w:t>
      </w:r>
      <w:r w:rsidR="005B278A" w:rsidRPr="00DF094C">
        <w:rPr>
          <w:rFonts w:asciiTheme="minorHAnsi" w:hAnsiTheme="minorHAnsi" w:cstheme="minorHAnsi"/>
          <w:color w:val="000000"/>
          <w:lang w:val="cs-CZ"/>
        </w:rPr>
        <w:t>jichž</w:t>
      </w:r>
      <w:r w:rsidR="005E5039" w:rsidRPr="00DF094C">
        <w:rPr>
          <w:rFonts w:asciiTheme="minorHAnsi" w:hAnsiTheme="minorHAnsi" w:cstheme="minorHAnsi"/>
          <w:color w:val="000000"/>
          <w:lang w:val="cs-CZ"/>
        </w:rPr>
        <w:t xml:space="preserve"> účel</w:t>
      </w:r>
      <w:r w:rsidR="00FB62DC">
        <w:rPr>
          <w:rFonts w:asciiTheme="minorHAnsi" w:hAnsiTheme="minorHAnsi" w:cstheme="minorHAnsi"/>
          <w:color w:val="000000"/>
          <w:lang w:val="cs-CZ"/>
        </w:rPr>
        <w:t>ům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 xml:space="preserve"> slouží </w:t>
      </w:r>
      <w:r w:rsidR="00D419C0" w:rsidRPr="00DF094C">
        <w:rPr>
          <w:rFonts w:asciiTheme="minorHAnsi" w:hAnsiTheme="minorHAnsi" w:cstheme="minorHAnsi"/>
          <w:color w:val="000000"/>
          <w:lang w:val="cs-CZ"/>
        </w:rPr>
        <w:t>SIN.</w:t>
      </w:r>
      <w:r w:rsidR="009538FE" w:rsidRPr="00DF094C">
        <w:rPr>
          <w:rFonts w:asciiTheme="minorHAnsi" w:hAnsiTheme="minorHAnsi" w:cstheme="minorHAnsi"/>
          <w:color w:val="000000"/>
          <w:lang w:val="cs-CZ"/>
        </w:rPr>
        <w:t xml:space="preserve"> CBO 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Těchonín </w:t>
      </w:r>
      <w:r w:rsidR="009538FE" w:rsidRPr="00DF094C">
        <w:rPr>
          <w:rFonts w:asciiTheme="minorHAnsi" w:hAnsiTheme="minorHAnsi" w:cstheme="minorHAnsi"/>
          <w:color w:val="000000"/>
          <w:lang w:val="cs-CZ"/>
        </w:rPr>
        <w:t>ne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bylo</w:t>
      </w:r>
      <w:r w:rsidR="009538FE" w:rsidRPr="00DF094C">
        <w:rPr>
          <w:rFonts w:asciiTheme="minorHAnsi" w:hAnsiTheme="minorHAnsi" w:cstheme="minorHAnsi"/>
          <w:color w:val="000000"/>
          <w:lang w:val="cs-CZ"/>
        </w:rPr>
        <w:t xml:space="preserve"> schopno provádět diagnostiku vysoce nakažlivých nemocí.</w:t>
      </w:r>
      <w:r w:rsidR="00D419C0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>P</w:t>
      </w:r>
      <w:r w:rsidR="005524B6" w:rsidRPr="00DF094C">
        <w:rPr>
          <w:rFonts w:asciiTheme="minorHAnsi" w:hAnsiTheme="minorHAnsi" w:cstheme="minorHAnsi"/>
          <w:color w:val="000000"/>
          <w:lang w:val="cs-CZ"/>
        </w:rPr>
        <w:t xml:space="preserve">ři provádění 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>karanténní</w:t>
      </w:r>
      <w:r w:rsidR="005524B6" w:rsidRPr="00DF094C">
        <w:rPr>
          <w:rFonts w:asciiTheme="minorHAnsi" w:hAnsiTheme="minorHAnsi" w:cstheme="minorHAnsi"/>
          <w:color w:val="000000"/>
          <w:lang w:val="cs-CZ"/>
        </w:rPr>
        <w:t>ch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 xml:space="preserve"> opatření u jednotek AČR vracejících se z epidemiologicky rizikových oblastí</w:t>
      </w:r>
      <w:r w:rsidR="005524B6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bylo CBO Těchonín </w:t>
      </w:r>
      <w:r w:rsidR="005524B6" w:rsidRPr="00DF094C">
        <w:rPr>
          <w:rFonts w:asciiTheme="minorHAnsi" w:hAnsiTheme="minorHAnsi" w:cstheme="minorHAnsi"/>
          <w:color w:val="000000"/>
          <w:lang w:val="cs-CZ"/>
        </w:rPr>
        <w:t>závislé na specialistech</w:t>
      </w:r>
      <w:r w:rsidR="00D32E1B" w:rsidRPr="00DF094C">
        <w:rPr>
          <w:rFonts w:asciiTheme="minorHAnsi" w:hAnsiTheme="minorHAnsi" w:cstheme="minorHAnsi"/>
          <w:color w:val="000000"/>
          <w:lang w:val="cs-CZ"/>
        </w:rPr>
        <w:t xml:space="preserve"> dalších složek v rámci </w:t>
      </w:r>
      <w:r w:rsidR="00E61350" w:rsidRPr="00DF094C">
        <w:rPr>
          <w:rFonts w:asciiTheme="minorHAnsi" w:hAnsiTheme="minorHAnsi" w:cstheme="minorHAnsi"/>
          <w:color w:val="000000"/>
          <w:lang w:val="cs-CZ"/>
        </w:rPr>
        <w:t>AČR</w:t>
      </w:r>
      <w:r w:rsidR="00D32E1B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2E2482" w:rsidRPr="00DF094C">
        <w:rPr>
          <w:rFonts w:asciiTheme="minorHAnsi" w:hAnsiTheme="minorHAnsi" w:cstheme="minorHAnsi"/>
          <w:color w:val="000000"/>
          <w:lang w:val="cs-CZ"/>
        </w:rPr>
        <w:t>i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D32E1B" w:rsidRPr="00DF094C">
        <w:rPr>
          <w:rFonts w:asciiTheme="minorHAnsi" w:hAnsiTheme="minorHAnsi" w:cstheme="minorHAnsi"/>
          <w:color w:val="000000"/>
          <w:lang w:val="cs-CZ"/>
        </w:rPr>
        <w:t>mimo ni.</w:t>
      </w:r>
      <w:r w:rsidR="004C1972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00796C" w:rsidRPr="00DF094C" w:rsidRDefault="0000796C" w:rsidP="00F13ED2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830046" w:rsidRPr="00DF094C" w:rsidRDefault="005D542E" w:rsidP="00830046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MO </w:t>
      </w:r>
      <w:r w:rsidR="00ED4282" w:rsidRPr="00DF094C">
        <w:rPr>
          <w:rFonts w:asciiTheme="minorHAnsi" w:hAnsiTheme="minorHAnsi" w:cstheme="minorHAnsi"/>
          <w:color w:val="000000"/>
          <w:lang w:val="cs-CZ"/>
        </w:rPr>
        <w:t>bylo obeznámeno s</w:t>
      </w:r>
      <w:r w:rsidR="00F13ED2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/>
          <w:lang w:val="cs-CZ"/>
        </w:rPr>
        <w:t>přetrvávající</w:t>
      </w:r>
      <w:r w:rsidR="00ED4282" w:rsidRPr="00DF094C">
        <w:rPr>
          <w:rFonts w:asciiTheme="minorHAnsi" w:hAnsiTheme="minorHAnsi" w:cstheme="minorHAnsi"/>
          <w:color w:val="000000"/>
          <w:lang w:val="cs-CZ"/>
        </w:rPr>
        <w:t>mi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nedostatk</w:t>
      </w:r>
      <w:r w:rsidR="00ED4282" w:rsidRPr="00DF094C">
        <w:rPr>
          <w:rFonts w:asciiTheme="minorHAnsi" w:hAnsiTheme="minorHAnsi" w:cstheme="minorHAnsi"/>
          <w:color w:val="000000"/>
          <w:lang w:val="cs-CZ"/>
        </w:rPr>
        <w:t>y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minimálně od roku 2009</w:t>
      </w:r>
      <w:r w:rsidR="001F2FD1" w:rsidRPr="00DF094C">
        <w:rPr>
          <w:rFonts w:asciiTheme="minorHAnsi" w:hAnsiTheme="minorHAnsi" w:cstheme="minorHAnsi"/>
          <w:color w:val="000000"/>
          <w:lang w:val="cs-CZ"/>
        </w:rPr>
        <w:t xml:space="preserve"> (</w:t>
      </w:r>
      <w:r w:rsidRPr="00DF094C">
        <w:rPr>
          <w:rFonts w:asciiTheme="minorHAnsi" w:hAnsiTheme="minorHAnsi" w:cstheme="minorHAnsi"/>
          <w:color w:val="000000"/>
          <w:lang w:val="cs-CZ"/>
        </w:rPr>
        <w:t>dob</w:t>
      </w:r>
      <w:r w:rsidR="001F2FD1" w:rsidRPr="00DF094C">
        <w:rPr>
          <w:rFonts w:asciiTheme="minorHAnsi" w:hAnsiTheme="minorHAnsi" w:cstheme="minorHAnsi"/>
          <w:color w:val="000000"/>
          <w:lang w:val="cs-CZ"/>
        </w:rPr>
        <w:t>a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kolaudace SIN</w:t>
      </w:r>
      <w:r w:rsidR="001F2FD1" w:rsidRPr="00DF094C">
        <w:rPr>
          <w:rFonts w:asciiTheme="minorHAnsi" w:hAnsiTheme="minorHAnsi" w:cstheme="minorHAnsi"/>
          <w:color w:val="000000"/>
          <w:lang w:val="cs-CZ"/>
        </w:rPr>
        <w:t>),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vč</w:t>
      </w:r>
      <w:r w:rsidR="000F3620">
        <w:rPr>
          <w:rFonts w:asciiTheme="minorHAnsi" w:hAnsiTheme="minorHAnsi" w:cstheme="minorHAnsi"/>
          <w:color w:val="000000"/>
          <w:lang w:val="cs-CZ"/>
        </w:rPr>
        <w:t>etně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omezení plnohodnotného využití CBO Těchonín pro plnění statutárních funkcí.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lastRenderedPageBreak/>
        <w:t>Po</w:t>
      </w:r>
      <w:r w:rsidR="000F3620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převzetí správy a provozu objektu </w:t>
      </w:r>
      <w:r w:rsidR="00FB62DC" w:rsidRPr="00DF094C">
        <w:rPr>
          <w:rFonts w:asciiTheme="minorHAnsi" w:hAnsiTheme="minorHAnsi" w:cstheme="minorHAnsi"/>
          <w:color w:val="000000"/>
          <w:lang w:val="cs-CZ"/>
        </w:rPr>
        <w:t>zji</w:t>
      </w:r>
      <w:r w:rsidR="00FB62DC">
        <w:rPr>
          <w:rFonts w:asciiTheme="minorHAnsi" w:hAnsiTheme="minorHAnsi" w:cstheme="minorHAnsi"/>
          <w:color w:val="000000"/>
          <w:lang w:val="cs-CZ"/>
        </w:rPr>
        <w:t>stil</w:t>
      </w:r>
      <w:r w:rsidR="00600DF6">
        <w:rPr>
          <w:rFonts w:asciiTheme="minorHAnsi" w:hAnsiTheme="minorHAnsi" w:cstheme="minorHAnsi"/>
          <w:color w:val="000000"/>
          <w:lang w:val="cs-CZ"/>
        </w:rPr>
        <w:t>a</w:t>
      </w:r>
      <w:r w:rsidR="00FB62DC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ASPO nedostatky, které do doby ukončení kontroly </w:t>
      </w:r>
      <w:r w:rsidR="003A2A8E" w:rsidRPr="00DF094C">
        <w:rPr>
          <w:rFonts w:asciiTheme="minorHAnsi" w:hAnsiTheme="minorHAnsi" w:cstheme="minorHAnsi"/>
          <w:color w:val="000000"/>
          <w:lang w:val="cs-CZ"/>
        </w:rPr>
        <w:t xml:space="preserve">NKÚ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nebyly odstraněny. </w:t>
      </w:r>
      <w:r w:rsidR="00C40AC1">
        <w:rPr>
          <w:rFonts w:asciiTheme="minorHAnsi" w:hAnsiTheme="minorHAnsi" w:cstheme="minorHAnsi"/>
          <w:color w:val="000000"/>
          <w:lang w:val="cs-CZ"/>
        </w:rPr>
        <w:t>P</w:t>
      </w:r>
      <w:r w:rsidR="00EF2CB1">
        <w:rPr>
          <w:rFonts w:asciiTheme="minorHAnsi" w:hAnsiTheme="minorHAnsi" w:cstheme="minorHAnsi"/>
          <w:color w:val="000000"/>
          <w:lang w:val="cs-CZ"/>
        </w:rPr>
        <w:t xml:space="preserve">o převzetí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CBO Těchonín </w:t>
      </w:r>
      <w:r w:rsidR="00C40AC1">
        <w:rPr>
          <w:rFonts w:asciiTheme="minorHAnsi" w:hAnsiTheme="minorHAnsi" w:cstheme="minorHAnsi"/>
          <w:color w:val="000000"/>
          <w:lang w:val="cs-CZ"/>
        </w:rPr>
        <w:t xml:space="preserve">v roce 2013 ze strany ASPO specializované zařízení </w:t>
      </w:r>
      <w:r w:rsidR="00EB7813">
        <w:rPr>
          <w:rFonts w:asciiTheme="minorHAnsi" w:hAnsiTheme="minorHAnsi" w:cstheme="minorHAnsi"/>
          <w:color w:val="000000"/>
          <w:lang w:val="cs-CZ"/>
        </w:rPr>
        <w:t xml:space="preserve">nadále </w:t>
      </w:r>
      <w:r w:rsidR="00ED6E3D">
        <w:rPr>
          <w:rFonts w:asciiTheme="minorHAnsi" w:hAnsiTheme="minorHAnsi" w:cstheme="minorHAnsi"/>
          <w:color w:val="000000"/>
          <w:lang w:val="cs-CZ"/>
        </w:rPr>
        <w:t xml:space="preserve">zcela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neplnilo </w:t>
      </w:r>
      <w:r w:rsidR="00600DF6">
        <w:rPr>
          <w:rFonts w:asciiTheme="minorHAnsi" w:hAnsiTheme="minorHAnsi" w:cstheme="minorHAnsi"/>
          <w:color w:val="000000"/>
          <w:lang w:val="cs-CZ"/>
        </w:rPr>
        <w:t xml:space="preserve">některé 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>stanovené funkce</w:t>
      </w:r>
      <w:r w:rsidR="00C40AC1">
        <w:rPr>
          <w:rFonts w:asciiTheme="minorHAnsi" w:hAnsiTheme="minorHAnsi" w:cstheme="minorHAnsi"/>
          <w:color w:val="000000"/>
          <w:lang w:val="cs-CZ"/>
        </w:rPr>
        <w:t>, a to</w:t>
      </w:r>
      <w:r w:rsidR="00830046" w:rsidRPr="00DF094C">
        <w:rPr>
          <w:rFonts w:asciiTheme="minorHAnsi" w:hAnsiTheme="minorHAnsi" w:cstheme="minorHAnsi"/>
          <w:color w:val="000000"/>
          <w:lang w:val="cs-CZ"/>
        </w:rPr>
        <w:t xml:space="preserve"> ani v pohotovostním režimu.</w:t>
      </w:r>
    </w:p>
    <w:p w:rsidR="00962D11" w:rsidRPr="00DF094C" w:rsidRDefault="00962D11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843272" w:rsidRPr="00DF094C" w:rsidRDefault="00843272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MO zabezpečovalo od září roku 2013 správu a provoz CBO Těchonín na základě smluvního vztahu s nedostatečnými specifikacemi </w:t>
      </w:r>
      <w:r w:rsidR="00ED4282" w:rsidRPr="00DF094C">
        <w:rPr>
          <w:rFonts w:asciiTheme="minorHAnsi" w:hAnsiTheme="minorHAnsi" w:cstheme="minorHAnsi"/>
          <w:b/>
          <w:color w:val="000000"/>
          <w:lang w:val="cs-CZ"/>
        </w:rPr>
        <w:t>služeb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AC4AD8" w:rsidRDefault="00AC4AD8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962D11" w:rsidRPr="00DF094C" w:rsidRDefault="00962D11" w:rsidP="0018037F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Pro zajištění provozu CBO Těchonín byla dne 30. srpna 2013 uzavřena 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Pr="00DF094C">
        <w:rPr>
          <w:rFonts w:asciiTheme="minorHAnsi" w:hAnsiTheme="minorHAnsi" w:cstheme="minorHAnsi"/>
          <w:color w:val="000000"/>
          <w:lang w:val="cs-CZ"/>
        </w:rPr>
        <w:t>mlouva o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souběžném používání majetku </w:t>
      </w:r>
      <w:r w:rsidR="007A31BA" w:rsidRPr="00DF094C">
        <w:rPr>
          <w:rFonts w:asciiTheme="minorHAnsi" w:hAnsiTheme="minorHAnsi" w:cstheme="minorHAnsi"/>
          <w:color w:val="000000"/>
          <w:lang w:val="cs-CZ"/>
        </w:rPr>
        <w:t>(dále jen „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="007A31BA" w:rsidRPr="00DF094C">
        <w:rPr>
          <w:rFonts w:asciiTheme="minorHAnsi" w:hAnsiTheme="minorHAnsi" w:cstheme="minorHAnsi"/>
          <w:color w:val="000000"/>
          <w:lang w:val="cs-CZ"/>
        </w:rPr>
        <w:t xml:space="preserve">mlouva o SPM“)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mezi MO 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a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ASPO. </w:t>
      </w:r>
      <w:r w:rsidR="00B525C0">
        <w:rPr>
          <w:rFonts w:asciiTheme="minorHAnsi" w:hAnsiTheme="minorHAnsi" w:cstheme="minorHAnsi"/>
          <w:color w:val="000000"/>
          <w:lang w:val="cs-CZ"/>
        </w:rPr>
        <w:t>F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aktickému účelu uzavření 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mlouvy o SPM – </w:t>
      </w:r>
      <w:r w:rsidR="00FB62DC">
        <w:rPr>
          <w:rFonts w:asciiTheme="minorHAnsi" w:hAnsiTheme="minorHAnsi" w:cstheme="minorHAnsi"/>
          <w:color w:val="000000"/>
          <w:lang w:val="cs-CZ"/>
        </w:rPr>
        <w:t xml:space="preserve">zajištění 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>správ</w:t>
      </w:r>
      <w:r w:rsidR="00FB62DC">
        <w:rPr>
          <w:rFonts w:asciiTheme="minorHAnsi" w:hAnsiTheme="minorHAnsi" w:cstheme="minorHAnsi"/>
          <w:color w:val="000000"/>
          <w:lang w:val="cs-CZ"/>
        </w:rPr>
        <w:t>y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 a provoz</w:t>
      </w:r>
      <w:r w:rsidR="00FB62DC">
        <w:rPr>
          <w:rFonts w:asciiTheme="minorHAnsi" w:hAnsiTheme="minorHAnsi" w:cstheme="minorHAnsi"/>
          <w:color w:val="000000"/>
          <w:lang w:val="cs-CZ"/>
        </w:rPr>
        <w:t>u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 CBO Těchonín</w:t>
      </w:r>
      <w:r w:rsidR="00AC4AD8">
        <w:rPr>
          <w:rFonts w:asciiTheme="minorHAnsi" w:hAnsiTheme="minorHAnsi" w:cstheme="minorHAnsi"/>
          <w:color w:val="000000"/>
          <w:lang w:val="cs-CZ"/>
        </w:rPr>
        <w:t> –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525C0">
        <w:rPr>
          <w:rFonts w:asciiTheme="minorHAnsi" w:hAnsiTheme="minorHAnsi" w:cstheme="minorHAnsi"/>
          <w:color w:val="000000"/>
          <w:lang w:val="cs-CZ"/>
        </w:rPr>
        <w:t xml:space="preserve">neodpovídal </w:t>
      </w:r>
      <w:r w:rsidRPr="00DF094C">
        <w:rPr>
          <w:rFonts w:asciiTheme="minorHAnsi" w:hAnsiTheme="minorHAnsi" w:cstheme="minorHAnsi"/>
          <w:color w:val="000000"/>
          <w:lang w:val="cs-CZ"/>
        </w:rPr>
        <w:t>zvolený předmět</w:t>
      </w:r>
      <w:r w:rsidR="00AC4AD8">
        <w:rPr>
          <w:rFonts w:asciiTheme="minorHAnsi" w:hAnsiTheme="minorHAnsi" w:cstheme="minorHAnsi"/>
          <w:color w:val="000000"/>
          <w:lang w:val="cs-CZ"/>
        </w:rPr>
        <w:t>, a to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souběžné používání majetku. Dále ve 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Pr="00DF094C">
        <w:rPr>
          <w:rFonts w:asciiTheme="minorHAnsi" w:hAnsiTheme="minorHAnsi" w:cstheme="minorHAnsi"/>
          <w:color w:val="000000"/>
          <w:lang w:val="cs-CZ"/>
        </w:rPr>
        <w:t>mlouvě</w:t>
      </w:r>
      <w:r w:rsidR="007A31BA" w:rsidRPr="00DF094C">
        <w:rPr>
          <w:rFonts w:asciiTheme="minorHAnsi" w:hAnsiTheme="minorHAnsi" w:cstheme="minorHAnsi"/>
          <w:color w:val="000000"/>
          <w:lang w:val="cs-CZ"/>
        </w:rPr>
        <w:t xml:space="preserve"> o SPM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nebyly specifikovány činnosti smluvních stran vč</w:t>
      </w:r>
      <w:r w:rsidR="00AC4AD8">
        <w:rPr>
          <w:rFonts w:asciiTheme="minorHAnsi" w:hAnsiTheme="minorHAnsi" w:cstheme="minorHAnsi"/>
          <w:color w:val="000000"/>
          <w:lang w:val="cs-CZ"/>
        </w:rPr>
        <w:t>etně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jejich frekvencí, čímž nebyl</w:t>
      </w:r>
      <w:r w:rsidR="00600DF6">
        <w:rPr>
          <w:rFonts w:asciiTheme="minorHAnsi" w:hAnsiTheme="minorHAnsi" w:cstheme="minorHAnsi"/>
          <w:color w:val="000000"/>
          <w:lang w:val="cs-CZ"/>
        </w:rPr>
        <w:t>a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ASPO dostatečně zavázán</w:t>
      </w:r>
      <w:r w:rsidR="00600DF6">
        <w:rPr>
          <w:rFonts w:asciiTheme="minorHAnsi" w:hAnsiTheme="minorHAnsi" w:cstheme="minorHAnsi"/>
          <w:color w:val="000000"/>
          <w:lang w:val="cs-CZ"/>
        </w:rPr>
        <w:t>a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k zajištění správy a provozu CBO Těchonín. Uvedená 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Pr="00DF094C">
        <w:rPr>
          <w:rFonts w:asciiTheme="minorHAnsi" w:hAnsiTheme="minorHAnsi" w:cstheme="minorHAnsi"/>
          <w:color w:val="000000"/>
          <w:lang w:val="cs-CZ"/>
        </w:rPr>
        <w:t>mlouva</w:t>
      </w:r>
      <w:r w:rsidR="007A31BA" w:rsidRPr="00DF094C">
        <w:rPr>
          <w:rFonts w:asciiTheme="minorHAnsi" w:hAnsiTheme="minorHAnsi" w:cstheme="minorHAnsi"/>
          <w:color w:val="000000"/>
          <w:lang w:val="cs-CZ"/>
        </w:rPr>
        <w:t xml:space="preserve"> o SPM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nenahradila</w:t>
      </w:r>
      <w:r w:rsidR="00600DF6" w:rsidRPr="00600DF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00DF6" w:rsidRPr="00DF094C">
        <w:rPr>
          <w:rFonts w:asciiTheme="minorHAnsi" w:hAnsiTheme="minorHAnsi" w:cstheme="minorHAnsi"/>
          <w:color w:val="000000"/>
          <w:lang w:val="cs-CZ"/>
        </w:rPr>
        <w:t>zcela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rozsah činností původního provozovatele, nerozlišovala pohotovostní a</w:t>
      </w:r>
      <w:r w:rsidR="0018037F" w:rsidRPr="00DF094C">
        <w:rPr>
          <w:rFonts w:asciiTheme="minorHAnsi" w:hAnsiTheme="minorHAnsi" w:cstheme="minorHAnsi"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color w:val="000000"/>
          <w:lang w:val="cs-CZ"/>
        </w:rPr>
        <w:t>plný provoz a nespecifikovala</w:t>
      </w:r>
      <w:r w:rsidR="00600DF6" w:rsidRPr="00600DF6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00DF6" w:rsidRPr="00DF094C">
        <w:rPr>
          <w:rFonts w:asciiTheme="minorHAnsi" w:hAnsiTheme="minorHAnsi" w:cstheme="minorHAnsi"/>
          <w:color w:val="000000"/>
          <w:lang w:val="cs-CZ"/>
        </w:rPr>
        <w:t>ani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nutný rozsah činností v případě aktivace CBO Těchonín. </w:t>
      </w:r>
      <w:r w:rsidR="00B525C0">
        <w:rPr>
          <w:rFonts w:asciiTheme="minorHAnsi" w:hAnsiTheme="minorHAnsi" w:cstheme="minorHAnsi"/>
          <w:color w:val="000000"/>
          <w:lang w:val="cs-CZ"/>
        </w:rPr>
        <w:t xml:space="preserve">Na základě </w:t>
      </w:r>
      <w:r w:rsidR="00AC4AD8">
        <w:rPr>
          <w:rFonts w:asciiTheme="minorHAnsi" w:hAnsiTheme="minorHAnsi" w:cstheme="minorHAnsi"/>
          <w:color w:val="000000"/>
          <w:lang w:val="cs-CZ"/>
        </w:rPr>
        <w:t>s</w:t>
      </w:r>
      <w:r w:rsidRPr="00DF094C">
        <w:rPr>
          <w:rFonts w:asciiTheme="minorHAnsi" w:hAnsiTheme="minorHAnsi" w:cstheme="minorHAnsi"/>
          <w:color w:val="000000"/>
          <w:lang w:val="cs-CZ"/>
        </w:rPr>
        <w:t>mlouv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y</w:t>
      </w:r>
      <w:r w:rsidR="007A31BA" w:rsidRPr="00DF094C">
        <w:rPr>
          <w:rFonts w:asciiTheme="minorHAnsi" w:hAnsiTheme="minorHAnsi" w:cstheme="minorHAnsi"/>
          <w:color w:val="000000"/>
          <w:lang w:val="cs-CZ"/>
        </w:rPr>
        <w:t xml:space="preserve"> o SPM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6C4D78" w:rsidRPr="00DF094C">
        <w:rPr>
          <w:rFonts w:asciiTheme="minorHAnsi" w:hAnsiTheme="minorHAnsi" w:cstheme="minorHAnsi"/>
          <w:color w:val="000000"/>
          <w:lang w:val="cs-CZ"/>
        </w:rPr>
        <w:t xml:space="preserve">tak nebylo možno specifikovat </w:t>
      </w:r>
      <w:r w:rsidRPr="00DF094C">
        <w:rPr>
          <w:rFonts w:asciiTheme="minorHAnsi" w:hAnsiTheme="minorHAnsi" w:cstheme="minorHAnsi"/>
          <w:color w:val="000000"/>
          <w:lang w:val="cs-CZ"/>
        </w:rPr>
        <w:t>výš</w:t>
      </w:r>
      <w:r w:rsidR="006C4D78" w:rsidRPr="00DF094C">
        <w:rPr>
          <w:rFonts w:asciiTheme="minorHAnsi" w:hAnsiTheme="minorHAnsi" w:cstheme="minorHAnsi"/>
          <w:color w:val="000000"/>
          <w:lang w:val="cs-CZ"/>
        </w:rPr>
        <w:t>i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příspěvku pro ASPO.</w:t>
      </w:r>
    </w:p>
    <w:p w:rsidR="00830046" w:rsidRPr="00DF094C" w:rsidRDefault="00830046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0A4A36" w:rsidRPr="00DF094C" w:rsidRDefault="000A4A36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MO nezajistilo personální </w:t>
      </w:r>
      <w:r w:rsidR="005B1063" w:rsidRPr="00DF094C">
        <w:rPr>
          <w:rFonts w:asciiTheme="minorHAnsi" w:hAnsiTheme="minorHAnsi" w:cstheme="minorHAnsi"/>
          <w:b/>
          <w:color w:val="000000"/>
          <w:lang w:val="cs-CZ"/>
        </w:rPr>
        <w:t>kapacity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 pro </w:t>
      </w:r>
      <w:r w:rsidR="00DF696B" w:rsidRPr="00DF094C">
        <w:rPr>
          <w:rFonts w:asciiTheme="minorHAnsi" w:hAnsiTheme="minorHAnsi" w:cstheme="minorHAnsi"/>
          <w:b/>
          <w:color w:val="000000"/>
          <w:lang w:val="cs-CZ"/>
        </w:rPr>
        <w:t xml:space="preserve">pohotovostní ani pro 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plný </w:t>
      </w:r>
      <w:r w:rsidR="00BD1DB5" w:rsidRPr="00DF094C">
        <w:rPr>
          <w:rFonts w:asciiTheme="minorHAnsi" w:hAnsiTheme="minorHAnsi" w:cstheme="minorHAnsi"/>
          <w:b/>
          <w:color w:val="000000"/>
          <w:lang w:val="cs-CZ"/>
        </w:rPr>
        <w:t>provoz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 CBO Těchonín</w:t>
      </w:r>
      <w:r w:rsidR="00C221D8" w:rsidRPr="00DF094C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AC4AD8" w:rsidRDefault="00AC4AD8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A409B4" w:rsidRPr="00DF094C" w:rsidRDefault="00A409B4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Potřebný počet zdravotnického personálu </w:t>
      </w:r>
      <w:r w:rsidR="00FB62DC">
        <w:rPr>
          <w:rFonts w:asciiTheme="minorHAnsi" w:hAnsiTheme="minorHAnsi" w:cstheme="minorHAnsi"/>
          <w:color w:val="000000"/>
          <w:lang w:val="cs-CZ"/>
        </w:rPr>
        <w:t>a osob zajišťujících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logistick</w:t>
      </w:r>
      <w:r w:rsidR="00FB62DC">
        <w:rPr>
          <w:rFonts w:asciiTheme="minorHAnsi" w:hAnsiTheme="minorHAnsi" w:cstheme="minorHAnsi"/>
          <w:color w:val="000000"/>
          <w:lang w:val="cs-CZ"/>
        </w:rPr>
        <w:t>ou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podpor</w:t>
      </w:r>
      <w:r w:rsidR="00FB62DC">
        <w:rPr>
          <w:rFonts w:asciiTheme="minorHAnsi" w:hAnsiTheme="minorHAnsi" w:cstheme="minorHAnsi"/>
          <w:color w:val="000000"/>
          <w:lang w:val="cs-CZ"/>
        </w:rPr>
        <w:t>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na zajištění základních úkolů CBO Těchonín pro pohotovostní provoz odpovídal počtu systemizovaných míst nadřízeného útvaru (tehdejší ÚVZÚ) z konce roku 2009. V letech 2010 až 2013 docházelo k personálním restrikcím, u CBO Těchonín na 47,7 % z původn</w:t>
      </w:r>
      <w:r w:rsidR="00AC4AD8">
        <w:rPr>
          <w:rFonts w:asciiTheme="minorHAnsi" w:hAnsiTheme="minorHAnsi" w:cstheme="minorHAnsi"/>
          <w:color w:val="000000"/>
          <w:lang w:val="cs-CZ"/>
        </w:rPr>
        <w:t>ě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potřebné</w:t>
      </w:r>
      <w:r w:rsidR="00AC4AD8">
        <w:rPr>
          <w:rFonts w:asciiTheme="minorHAnsi" w:hAnsiTheme="minorHAnsi" w:cstheme="minorHAnsi"/>
          <w:color w:val="000000"/>
          <w:lang w:val="cs-CZ"/>
        </w:rPr>
        <w:t>ho počtu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z roku 2009</w:t>
      </w:r>
      <w:r w:rsidR="00954F83">
        <w:rPr>
          <w:rFonts w:asciiTheme="minorHAnsi" w:hAnsiTheme="minorHAnsi" w:cstheme="minorHAnsi"/>
          <w:color w:val="000000"/>
          <w:lang w:val="cs-CZ"/>
        </w:rPr>
        <w:t>, přičemž r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ozsah úkolů zůstal </w:t>
      </w:r>
      <w:r w:rsidR="00600DF6">
        <w:rPr>
          <w:rFonts w:asciiTheme="minorHAnsi" w:hAnsiTheme="minorHAnsi" w:cstheme="minorHAnsi"/>
          <w:color w:val="000000"/>
          <w:lang w:val="cs-CZ"/>
        </w:rPr>
        <w:t>nezměněn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. </w:t>
      </w:r>
      <w:r w:rsidRPr="00DF094C">
        <w:rPr>
          <w:rFonts w:asciiTheme="minorHAnsi" w:hAnsiTheme="minorHAnsi" w:cstheme="minorHAnsi"/>
          <w:lang w:val="cs-CZ"/>
        </w:rPr>
        <w:t>Omezené personální kapacity se týkaly pohotovostního i</w:t>
      </w:r>
      <w:r w:rsidR="00B93C0F" w:rsidRPr="00DF094C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plného provozu.</w:t>
      </w:r>
      <w:r w:rsidR="009D4E37" w:rsidRPr="00DF094C">
        <w:rPr>
          <w:rFonts w:asciiTheme="minorHAnsi" w:hAnsiTheme="minorHAnsi" w:cstheme="minorHAnsi"/>
          <w:color w:val="000000"/>
          <w:lang w:val="cs-CZ"/>
        </w:rPr>
        <w:t xml:space="preserve"> Nedostatečné personální zabezpečení tak bylo </w:t>
      </w:r>
      <w:r w:rsidR="00EB41A7" w:rsidRPr="00DF094C">
        <w:rPr>
          <w:rFonts w:asciiTheme="minorHAnsi" w:hAnsiTheme="minorHAnsi" w:cstheme="minorHAnsi"/>
          <w:color w:val="000000"/>
          <w:lang w:val="cs-CZ"/>
        </w:rPr>
        <w:t>jedním z</w:t>
      </w:r>
      <w:r w:rsidR="00AC4AD8">
        <w:rPr>
          <w:rFonts w:asciiTheme="minorHAnsi" w:hAnsiTheme="minorHAnsi" w:cstheme="minorHAnsi"/>
          <w:color w:val="000000"/>
          <w:lang w:val="cs-CZ"/>
        </w:rPr>
        <w:t> </w:t>
      </w:r>
      <w:r w:rsidR="009D4E37" w:rsidRPr="00DF094C">
        <w:rPr>
          <w:rFonts w:asciiTheme="minorHAnsi" w:hAnsiTheme="minorHAnsi" w:cstheme="minorHAnsi"/>
          <w:color w:val="000000"/>
          <w:lang w:val="cs-CZ"/>
        </w:rPr>
        <w:t>limitující</w:t>
      </w:r>
      <w:r w:rsidR="00EB41A7" w:rsidRPr="00DF094C">
        <w:rPr>
          <w:rFonts w:asciiTheme="minorHAnsi" w:hAnsiTheme="minorHAnsi" w:cstheme="minorHAnsi"/>
          <w:color w:val="000000"/>
          <w:lang w:val="cs-CZ"/>
        </w:rPr>
        <w:t>ch</w:t>
      </w:r>
      <w:r w:rsidR="009D4E37" w:rsidRPr="00DF094C">
        <w:rPr>
          <w:rFonts w:asciiTheme="minorHAnsi" w:hAnsiTheme="minorHAnsi" w:cstheme="minorHAnsi"/>
          <w:color w:val="000000"/>
          <w:lang w:val="cs-CZ"/>
        </w:rPr>
        <w:t xml:space="preserve"> faktor</w:t>
      </w:r>
      <w:r w:rsidR="00EB41A7" w:rsidRPr="00DF094C">
        <w:rPr>
          <w:rFonts w:asciiTheme="minorHAnsi" w:hAnsiTheme="minorHAnsi" w:cstheme="minorHAnsi"/>
          <w:color w:val="000000"/>
          <w:lang w:val="cs-CZ"/>
        </w:rPr>
        <w:t>ů</w:t>
      </w:r>
      <w:r w:rsidR="009D4E37" w:rsidRPr="00DF094C">
        <w:rPr>
          <w:rFonts w:asciiTheme="minorHAnsi" w:hAnsiTheme="minorHAnsi" w:cstheme="minorHAnsi"/>
          <w:color w:val="000000"/>
          <w:lang w:val="cs-CZ"/>
        </w:rPr>
        <w:t xml:space="preserve"> pro rozvoj aktivit a plnění úkolů biologické ochrany.</w:t>
      </w:r>
    </w:p>
    <w:p w:rsidR="00A53515" w:rsidRPr="00DF094C" w:rsidRDefault="00A53515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C71FC5" w:rsidRPr="00DF094C" w:rsidRDefault="0059189B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MO v rámci specializace sil AČR neplnilo v plném rozsahu deklarované schopnosti v oblasti úkolů biologické ochrany</w:t>
      </w:r>
      <w:r w:rsidR="00E20891" w:rsidRPr="00DF094C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AC4AD8" w:rsidRDefault="00AC4AD8" w:rsidP="006C4D7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6C4D78" w:rsidRPr="00DF094C" w:rsidRDefault="002C6617" w:rsidP="006C4D78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MO v materiálech pro usnesení vlády </w:t>
      </w:r>
      <w:r w:rsidR="006863DA" w:rsidRPr="00DF094C">
        <w:rPr>
          <w:rFonts w:asciiTheme="minorHAnsi" w:hAnsiTheme="minorHAnsi" w:cstheme="minorHAnsi"/>
          <w:color w:val="000000"/>
          <w:lang w:val="cs-CZ"/>
        </w:rPr>
        <w:t xml:space="preserve">č. 640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ze dne 11. června 2007 uvedlo, že </w:t>
      </w:r>
      <w:r w:rsidR="0055087B">
        <w:rPr>
          <w:rFonts w:asciiTheme="minorHAnsi" w:hAnsiTheme="minorHAnsi" w:cstheme="minorHAnsi"/>
          <w:color w:val="000000"/>
          <w:lang w:val="cs-CZ"/>
        </w:rPr>
        <w:t>p</w:t>
      </w:r>
      <w:r w:rsidRPr="0055087B">
        <w:rPr>
          <w:rFonts w:asciiTheme="minorHAnsi" w:hAnsiTheme="minorHAnsi" w:cstheme="minorHAnsi"/>
          <w:color w:val="000000"/>
          <w:lang w:val="cs-CZ"/>
        </w:rPr>
        <w:t>ražský závazek ke schopnostem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(</w:t>
      </w:r>
      <w:r w:rsidR="00AC4AD8">
        <w:rPr>
          <w:rFonts w:asciiTheme="minorHAnsi" w:hAnsiTheme="minorHAnsi" w:cstheme="minorHAnsi"/>
          <w:color w:val="000000"/>
          <w:lang w:val="cs-CZ"/>
        </w:rPr>
        <w:t xml:space="preserve">vybudování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SIN) byl splněn, </w:t>
      </w:r>
      <w:r w:rsidR="00600DF6">
        <w:rPr>
          <w:rFonts w:asciiTheme="minorHAnsi" w:hAnsiTheme="minorHAnsi" w:cstheme="minorHAnsi"/>
          <w:color w:val="000000"/>
          <w:lang w:val="cs-CZ"/>
        </w:rPr>
        <w:t>přitom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k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>e kolaudaci SIN došlo až v roce 2009</w:t>
      </w:r>
      <w:r w:rsidRPr="00DF094C">
        <w:rPr>
          <w:rFonts w:asciiTheme="minorHAnsi" w:hAnsiTheme="minorHAnsi" w:cstheme="minorHAnsi"/>
          <w:color w:val="000000"/>
          <w:lang w:val="cs-CZ"/>
        </w:rPr>
        <w:t>.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 Vzhledem k </w:t>
      </w:r>
      <w:r w:rsidR="00B525C0" w:rsidRPr="00DF094C">
        <w:rPr>
          <w:rFonts w:asciiTheme="minorHAnsi" w:hAnsiTheme="minorHAnsi" w:cstheme="minorHAnsi"/>
          <w:color w:val="000000"/>
          <w:lang w:val="cs-CZ"/>
        </w:rPr>
        <w:t xml:space="preserve">nedostatkům 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zjištěným </w:t>
      </w:r>
      <w:r w:rsidR="00B525C0">
        <w:rPr>
          <w:rFonts w:asciiTheme="minorHAnsi" w:hAnsiTheme="minorHAnsi" w:cstheme="minorHAnsi"/>
          <w:color w:val="000000"/>
          <w:lang w:val="cs-CZ"/>
        </w:rPr>
        <w:t xml:space="preserve">do doby ukončení kontroly </w:t>
      </w:r>
      <w:r w:rsidR="00442D8E">
        <w:rPr>
          <w:rFonts w:asciiTheme="minorHAnsi" w:hAnsiTheme="minorHAnsi" w:cstheme="minorHAnsi"/>
          <w:color w:val="000000"/>
          <w:lang w:val="cs-CZ"/>
        </w:rPr>
        <w:t xml:space="preserve">NKÚ 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(například </w:t>
      </w:r>
      <w:r w:rsidR="00600DF6">
        <w:rPr>
          <w:rFonts w:asciiTheme="minorHAnsi" w:hAnsiTheme="minorHAnsi" w:cstheme="minorHAnsi"/>
          <w:color w:val="000000"/>
          <w:lang w:val="cs-CZ"/>
        </w:rPr>
        <w:t>nedostateč</w:t>
      </w:r>
      <w:r w:rsidR="00FB62DC">
        <w:rPr>
          <w:rFonts w:asciiTheme="minorHAnsi" w:hAnsiTheme="minorHAnsi" w:cstheme="minorHAnsi"/>
          <w:color w:val="000000"/>
          <w:lang w:val="cs-CZ"/>
        </w:rPr>
        <w:t xml:space="preserve">né 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personální zabezpečení, </w:t>
      </w:r>
      <w:r w:rsidR="00FB62DC">
        <w:rPr>
          <w:rFonts w:asciiTheme="minorHAnsi" w:hAnsiTheme="minorHAnsi" w:cstheme="minorHAnsi"/>
          <w:color w:val="000000"/>
          <w:lang w:val="cs-CZ"/>
        </w:rPr>
        <w:t xml:space="preserve">externě zabezpečovaná 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>diagnostik</w:t>
      </w:r>
      <w:r w:rsidR="002A7D0A" w:rsidRPr="00DF094C">
        <w:rPr>
          <w:rFonts w:asciiTheme="minorHAnsi" w:hAnsiTheme="minorHAnsi" w:cstheme="minorHAnsi"/>
          <w:color w:val="000000"/>
          <w:lang w:val="cs-CZ"/>
        </w:rPr>
        <w:t>a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 vysoce nakažlivých nemocí</w:t>
      </w:r>
      <w:r w:rsidR="002935D2" w:rsidRPr="00DF094C">
        <w:rPr>
          <w:rFonts w:asciiTheme="minorHAnsi" w:hAnsiTheme="minorHAnsi" w:cstheme="minorHAnsi"/>
          <w:color w:val="000000"/>
          <w:lang w:val="cs-CZ"/>
        </w:rPr>
        <w:t>, nedostatky při převzetí správy a</w:t>
      </w:r>
      <w:r w:rsidR="001F1E10">
        <w:rPr>
          <w:rFonts w:asciiTheme="minorHAnsi" w:hAnsiTheme="minorHAnsi" w:cstheme="minorHAnsi"/>
          <w:color w:val="000000"/>
          <w:lang w:val="cs-CZ"/>
        </w:rPr>
        <w:t> </w:t>
      </w:r>
      <w:r w:rsidR="002935D2" w:rsidRPr="00DF094C">
        <w:rPr>
          <w:rFonts w:asciiTheme="minorHAnsi" w:hAnsiTheme="minorHAnsi" w:cstheme="minorHAnsi"/>
          <w:color w:val="000000"/>
          <w:lang w:val="cs-CZ"/>
        </w:rPr>
        <w:t>provozu CBO Těchonín ASPO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>) však NKÚ konstatuje, že SIN ne</w:t>
      </w:r>
      <w:r w:rsidR="00713D2D" w:rsidRPr="00DF094C">
        <w:rPr>
          <w:rFonts w:asciiTheme="minorHAnsi" w:hAnsiTheme="minorHAnsi" w:cstheme="minorHAnsi"/>
          <w:color w:val="000000"/>
          <w:lang w:val="cs-CZ"/>
        </w:rPr>
        <w:t>byla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 plně funkční</w:t>
      </w:r>
      <w:r w:rsidR="00AC4AD8">
        <w:rPr>
          <w:rFonts w:asciiTheme="minorHAnsi" w:hAnsiTheme="minorHAnsi" w:cstheme="minorHAnsi"/>
          <w:color w:val="000000"/>
          <w:lang w:val="cs-CZ"/>
        </w:rPr>
        <w:t>,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 xml:space="preserve"> a závazek vůči NATO z tohoto důvodu </w:t>
      </w:r>
      <w:r w:rsidR="00274C47" w:rsidRPr="00DF094C">
        <w:rPr>
          <w:rFonts w:asciiTheme="minorHAnsi" w:hAnsiTheme="minorHAnsi" w:cstheme="minorHAnsi"/>
          <w:color w:val="000000"/>
          <w:lang w:val="cs-CZ"/>
        </w:rPr>
        <w:t>nebyl plněn v deklarovaném rozsahu</w:t>
      </w:r>
      <w:r w:rsidR="00C71FC5" w:rsidRPr="00DF094C">
        <w:rPr>
          <w:rFonts w:asciiTheme="minorHAnsi" w:hAnsiTheme="minorHAnsi" w:cstheme="minorHAnsi"/>
          <w:color w:val="000000"/>
          <w:lang w:val="cs-CZ"/>
        </w:rPr>
        <w:t>.</w:t>
      </w:r>
    </w:p>
    <w:p w:rsidR="006C4D78" w:rsidRPr="00DF094C" w:rsidRDefault="006C4D78" w:rsidP="006C4D78">
      <w:pPr>
        <w:ind w:left="720"/>
        <w:jc w:val="both"/>
        <w:rPr>
          <w:rFonts w:asciiTheme="minorHAnsi" w:hAnsiTheme="minorHAnsi" w:cstheme="minorHAnsi"/>
          <w:color w:val="000000"/>
          <w:lang w:val="cs-CZ"/>
        </w:rPr>
      </w:pPr>
    </w:p>
    <w:p w:rsidR="00C221D8" w:rsidRPr="00DF094C" w:rsidRDefault="00C221D8" w:rsidP="002C0C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 xml:space="preserve">MO </w:t>
      </w:r>
      <w:r w:rsidR="00EE320B" w:rsidRPr="00DF094C">
        <w:rPr>
          <w:rFonts w:asciiTheme="minorHAnsi" w:hAnsiTheme="minorHAnsi" w:cstheme="minorHAnsi"/>
          <w:b/>
          <w:color w:val="000000"/>
          <w:lang w:val="cs-CZ"/>
        </w:rPr>
        <w:t xml:space="preserve">koncepčně nevyřešilo </w:t>
      </w:r>
      <w:r w:rsidR="00956011" w:rsidRPr="00DF094C">
        <w:rPr>
          <w:rFonts w:asciiTheme="minorHAnsi" w:hAnsiTheme="minorHAnsi" w:cstheme="minorHAnsi"/>
          <w:b/>
          <w:color w:val="000000"/>
          <w:lang w:val="cs-CZ"/>
        </w:rPr>
        <w:t>rozvoj</w:t>
      </w:r>
      <w:r w:rsidR="00EE320B" w:rsidRPr="00DF094C">
        <w:rPr>
          <w:rFonts w:asciiTheme="minorHAnsi" w:hAnsiTheme="minorHAnsi" w:cstheme="minorHAnsi"/>
          <w:b/>
          <w:color w:val="000000"/>
          <w:lang w:val="cs-CZ"/>
        </w:rPr>
        <w:t xml:space="preserve"> a </w:t>
      </w:r>
      <w:r w:rsidR="00956011" w:rsidRPr="00DF094C">
        <w:rPr>
          <w:rFonts w:asciiTheme="minorHAnsi" w:hAnsiTheme="minorHAnsi" w:cstheme="minorHAnsi"/>
          <w:b/>
          <w:color w:val="000000"/>
          <w:lang w:val="cs-CZ"/>
        </w:rPr>
        <w:t>efektivní využití objektu CBO Těchonín</w:t>
      </w:r>
      <w:r w:rsidR="00BD1DB5" w:rsidRPr="00DF094C">
        <w:rPr>
          <w:rFonts w:asciiTheme="minorHAnsi" w:hAnsiTheme="minorHAnsi" w:cstheme="minorHAnsi"/>
          <w:b/>
          <w:color w:val="000000"/>
          <w:lang w:val="cs-CZ"/>
        </w:rPr>
        <w:t>.</w:t>
      </w:r>
    </w:p>
    <w:p w:rsidR="00AC4AD8" w:rsidRDefault="00AC4AD8" w:rsidP="006C4D7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BD1DB5" w:rsidRPr="00DF094C" w:rsidRDefault="00954F83" w:rsidP="006C4D78">
      <w:pPr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P</w:t>
      </w:r>
      <w:r w:rsidR="00EC32C9" w:rsidRPr="00DF094C">
        <w:rPr>
          <w:rFonts w:asciiTheme="minorHAnsi" w:hAnsiTheme="minorHAnsi" w:cstheme="minorHAnsi"/>
          <w:color w:val="000000"/>
          <w:lang w:val="cs-CZ"/>
        </w:rPr>
        <w:t>ro konzistentní využití CBO Těchonín</w:t>
      </w:r>
      <w:r w:rsidRPr="00954F83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/>
          <w:lang w:val="cs-CZ"/>
        </w:rPr>
        <w:t>nemělo</w:t>
      </w:r>
      <w:r w:rsidR="00AC4AD8" w:rsidRPr="00AC4AD8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AC4AD8" w:rsidRPr="00DF094C">
        <w:rPr>
          <w:rFonts w:asciiTheme="minorHAnsi" w:hAnsiTheme="minorHAnsi" w:cstheme="minorHAnsi"/>
          <w:color w:val="000000"/>
          <w:lang w:val="cs-CZ"/>
        </w:rPr>
        <w:t>MO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vytvořenu koncepci</w:t>
      </w:r>
      <w:r w:rsidR="00EC32C9" w:rsidRPr="00DF094C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V roce 2011 </w:t>
      </w:r>
      <w:r w:rsidR="003B7D94" w:rsidRPr="00DF094C">
        <w:rPr>
          <w:rFonts w:asciiTheme="minorHAnsi" w:hAnsiTheme="minorHAnsi" w:cstheme="minorHAnsi"/>
          <w:color w:val="000000"/>
          <w:lang w:val="cs-CZ"/>
        </w:rPr>
        <w:t xml:space="preserve">byla 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přijata </w:t>
      </w:r>
      <w:r w:rsidR="00BD1DB5" w:rsidRPr="001C67DF">
        <w:rPr>
          <w:rFonts w:asciiTheme="minorHAnsi" w:hAnsiTheme="minorHAnsi" w:cstheme="minorHAnsi"/>
          <w:i/>
          <w:color w:val="000000"/>
          <w:lang w:val="cs-CZ"/>
        </w:rPr>
        <w:t>Bílá kniha o obraně</w:t>
      </w:r>
      <w:r w:rsidR="00AC4AD8">
        <w:rPr>
          <w:rFonts w:asciiTheme="minorHAnsi" w:hAnsiTheme="minorHAnsi" w:cstheme="minorHAnsi"/>
          <w:i/>
          <w:color w:val="000000"/>
          <w:lang w:val="cs-CZ"/>
        </w:rPr>
        <w:t xml:space="preserve"> </w:t>
      </w:r>
      <w:r w:rsidR="00AC4AD8" w:rsidRPr="00DF094C">
        <w:rPr>
          <w:rFonts w:asciiTheme="minorHAnsi" w:hAnsiTheme="minorHAnsi" w:cstheme="minorHAnsi"/>
          <w:color w:val="000000"/>
          <w:lang w:val="cs-CZ"/>
        </w:rPr>
        <w:t>(dále jen „Bílá kniha“)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, v níž byl </w:t>
      </w:r>
      <w:r w:rsidR="00FB62DC">
        <w:rPr>
          <w:rFonts w:asciiTheme="minorHAnsi" w:hAnsiTheme="minorHAnsi" w:cstheme="minorHAnsi"/>
          <w:color w:val="000000"/>
          <w:lang w:val="cs-CZ"/>
        </w:rPr>
        <w:t>stanoven požadavek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 nalézt do poloviny roku 2012 využití pro CBO Těchonín, nebo jeho provoz zastavit</w:t>
      </w:r>
      <w:r w:rsidR="00EC32C9" w:rsidRPr="00DF094C">
        <w:rPr>
          <w:rFonts w:asciiTheme="minorHAnsi" w:hAnsiTheme="minorHAnsi" w:cstheme="minorHAnsi"/>
          <w:color w:val="000000"/>
          <w:lang w:val="cs-CZ"/>
        </w:rPr>
        <w:t>.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B17770" w:rsidRPr="00DF094C">
        <w:rPr>
          <w:rFonts w:asciiTheme="minorHAnsi" w:hAnsiTheme="minorHAnsi" w:cstheme="minorHAnsi"/>
          <w:color w:val="000000"/>
          <w:lang w:val="cs-CZ"/>
        </w:rPr>
        <w:t>MO d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>o doby ukončení kontroly</w:t>
      </w:r>
      <w:r w:rsidR="003A2A8E" w:rsidRPr="00DF094C">
        <w:rPr>
          <w:rFonts w:asciiTheme="minorHAnsi" w:hAnsiTheme="minorHAnsi" w:cstheme="minorHAnsi"/>
          <w:color w:val="000000"/>
          <w:lang w:val="cs-CZ"/>
        </w:rPr>
        <w:t xml:space="preserve"> NKÚ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 opatření Bílé knihy nesplnilo a o dalším využití CBO Těchonín, případně o zastavení </w:t>
      </w:r>
      <w:r w:rsidR="001E6411" w:rsidRPr="00DF094C">
        <w:rPr>
          <w:rFonts w:asciiTheme="minorHAnsi" w:hAnsiTheme="minorHAnsi" w:cstheme="minorHAnsi"/>
          <w:color w:val="000000"/>
          <w:lang w:val="cs-CZ"/>
        </w:rPr>
        <w:t xml:space="preserve">jeho 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>provozu</w:t>
      </w:r>
      <w:r w:rsidR="0094047F" w:rsidRPr="00DF094C">
        <w:rPr>
          <w:rFonts w:asciiTheme="minorHAnsi" w:hAnsiTheme="minorHAnsi" w:cstheme="minorHAnsi"/>
          <w:color w:val="000000"/>
          <w:lang w:val="cs-CZ"/>
        </w:rPr>
        <w:t>,</w:t>
      </w:r>
      <w:r w:rsidR="00BD1DB5" w:rsidRPr="00DF094C">
        <w:rPr>
          <w:rFonts w:asciiTheme="minorHAnsi" w:hAnsiTheme="minorHAnsi" w:cstheme="minorHAnsi"/>
          <w:color w:val="000000"/>
          <w:lang w:val="cs-CZ"/>
        </w:rPr>
        <w:t xml:space="preserve"> nerozhodlo.</w:t>
      </w:r>
    </w:p>
    <w:p w:rsidR="0056710B" w:rsidRPr="00DF094C" w:rsidRDefault="0056710B" w:rsidP="006C4D78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56710B" w:rsidRPr="00DF094C" w:rsidRDefault="0056710B" w:rsidP="0056710B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lastRenderedPageBreak/>
        <w:t xml:space="preserve">Součástí SIN jsou stacionární laboratoře (BSL-4), které </w:t>
      </w:r>
      <w:r w:rsidR="00AC4AD8" w:rsidRPr="00DF094C">
        <w:rPr>
          <w:rFonts w:asciiTheme="minorHAnsi" w:hAnsiTheme="minorHAnsi" w:cstheme="minorHAnsi"/>
          <w:color w:val="000000"/>
          <w:lang w:val="cs-CZ"/>
        </w:rPr>
        <w:t xml:space="preserve">byly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minimálně v roce 2011 pro laboratorní diagnostiku technicky, materiálně i personálně připraveny k identifikaci potenciálně zneužitelných biologických agens. Přesto </w:t>
      </w:r>
      <w:r w:rsidR="00AC4AD8">
        <w:rPr>
          <w:rFonts w:asciiTheme="minorHAnsi" w:hAnsiTheme="minorHAnsi" w:cstheme="minorHAnsi"/>
          <w:color w:val="000000"/>
          <w:lang w:val="cs-CZ"/>
        </w:rPr>
        <w:t xml:space="preserve">byla </w:t>
      </w:r>
      <w:r w:rsidRPr="00DF094C">
        <w:rPr>
          <w:rFonts w:asciiTheme="minorHAnsi" w:hAnsiTheme="minorHAnsi" w:cstheme="minorHAnsi"/>
          <w:color w:val="000000"/>
          <w:lang w:val="cs-CZ"/>
        </w:rPr>
        <w:t>diagnostika biologických vzorků vysoce nakažlivých nemocí zajišťována externím zařízením. Využití laboratoří a</w:t>
      </w:r>
      <w:r w:rsidR="00AC4AD8">
        <w:rPr>
          <w:rFonts w:asciiTheme="minorHAnsi" w:hAnsiTheme="minorHAnsi" w:cstheme="minorHAnsi"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color w:val="000000"/>
          <w:lang w:val="cs-CZ"/>
        </w:rPr>
        <w:t>zabezpečení jejich provozu vycházelo z aktuálních potřeb řešení výzkumných projektů</w:t>
      </w:r>
      <w:r w:rsidR="00D916C4" w:rsidRPr="00DF094C">
        <w:rPr>
          <w:rFonts w:asciiTheme="minorHAnsi" w:hAnsiTheme="minorHAnsi" w:cstheme="minorHAnsi"/>
          <w:color w:val="000000"/>
          <w:lang w:val="cs-CZ"/>
        </w:rPr>
        <w:t xml:space="preserve"> a</w:t>
      </w:r>
      <w:r w:rsidR="00AC4AD8">
        <w:rPr>
          <w:rFonts w:asciiTheme="minorHAnsi" w:hAnsiTheme="minorHAnsi" w:cstheme="minorHAnsi"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byly využívány zejména pro vědeckovýzkumnou činnost, která měla být zajišťována v doposud nevybudovaném objektu pro vědu a výzkum. </w:t>
      </w:r>
    </w:p>
    <w:p w:rsidR="00555DC2" w:rsidRDefault="00555DC2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C05F7" w:rsidRDefault="001C05F7">
      <w:pPr>
        <w:rPr>
          <w:rFonts w:asciiTheme="minorHAnsi" w:hAnsiTheme="minorHAnsi" w:cstheme="minorHAnsi"/>
          <w:color w:val="000000"/>
          <w:lang w:val="cs-CZ"/>
        </w:rPr>
      </w:pPr>
    </w:p>
    <w:p w:rsidR="00D24BDA" w:rsidRPr="00950689" w:rsidRDefault="00950689" w:rsidP="00950689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III.</w:t>
      </w:r>
      <w:r w:rsidR="00A95295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 Vyhodnocení</w:t>
      </w:r>
      <w:r w:rsidR="001E7F9A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 xml:space="preserve"> a doporučení</w:t>
      </w:r>
    </w:p>
    <w:p w:rsidR="006C4D78" w:rsidRPr="00DF094C" w:rsidRDefault="006C4D78" w:rsidP="0000796C">
      <w:pPr>
        <w:jc w:val="both"/>
        <w:rPr>
          <w:rFonts w:asciiTheme="minorHAnsi" w:hAnsiTheme="minorHAnsi" w:cstheme="minorHAnsi"/>
          <w:lang w:val="cs-CZ"/>
        </w:rPr>
      </w:pPr>
    </w:p>
    <w:p w:rsidR="00456AD5" w:rsidRPr="00DF094C" w:rsidRDefault="005E3921" w:rsidP="0000796C">
      <w:pPr>
        <w:jc w:val="both"/>
        <w:rPr>
          <w:rFonts w:asciiTheme="minorHAnsi" w:hAnsiTheme="minorHAnsi" w:cstheme="minorHAnsi"/>
          <w:bCs/>
          <w:color w:val="000000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O</w:t>
      </w:r>
      <w:r w:rsidR="00D21A74" w:rsidRPr="00DF094C">
        <w:rPr>
          <w:rFonts w:asciiTheme="minorHAnsi" w:hAnsiTheme="minorHAnsi" w:cstheme="minorHAnsi"/>
          <w:lang w:val="cs-CZ"/>
        </w:rPr>
        <w:t xml:space="preserve">d roku 2001 bylo </w:t>
      </w:r>
      <w:r w:rsidRPr="00DF094C">
        <w:rPr>
          <w:rFonts w:asciiTheme="minorHAnsi" w:hAnsiTheme="minorHAnsi" w:cstheme="minorHAnsi"/>
          <w:lang w:val="cs-CZ"/>
        </w:rPr>
        <w:t xml:space="preserve">na </w:t>
      </w:r>
      <w:r w:rsidR="00D21A74" w:rsidRPr="00DF094C">
        <w:rPr>
          <w:rFonts w:asciiTheme="minorHAnsi" w:hAnsiTheme="minorHAnsi" w:cstheme="minorHAnsi"/>
          <w:lang w:val="cs-CZ"/>
        </w:rPr>
        <w:t xml:space="preserve">CBO Těchonín </w:t>
      </w:r>
      <w:r w:rsidRPr="00DF094C">
        <w:rPr>
          <w:rFonts w:asciiTheme="minorHAnsi" w:hAnsiTheme="minorHAnsi" w:cstheme="minorHAnsi"/>
          <w:lang w:val="cs-CZ"/>
        </w:rPr>
        <w:t>vynaloženo</w:t>
      </w:r>
      <w:r w:rsidR="00D21A74" w:rsidRPr="00DF094C">
        <w:rPr>
          <w:rFonts w:asciiTheme="minorHAnsi" w:hAnsiTheme="minorHAnsi" w:cstheme="minorHAnsi"/>
          <w:lang w:val="cs-CZ"/>
        </w:rPr>
        <w:t xml:space="preserve"> nejméně </w:t>
      </w:r>
      <w:r w:rsidR="00D21A74" w:rsidRPr="00DF094C">
        <w:rPr>
          <w:rFonts w:asciiTheme="minorHAnsi" w:hAnsiTheme="minorHAnsi" w:cstheme="minorHAnsi"/>
          <w:bCs/>
          <w:color w:val="000000"/>
          <w:lang w:val="cs-CZ"/>
        </w:rPr>
        <w:t xml:space="preserve">2,932 mld. Kč, a to jak </w:t>
      </w:r>
      <w:r w:rsidR="00D21A74" w:rsidRPr="00DF094C">
        <w:rPr>
          <w:rFonts w:asciiTheme="minorHAnsi" w:hAnsiTheme="minorHAnsi" w:cstheme="minorHAnsi"/>
          <w:lang w:val="cs-CZ"/>
        </w:rPr>
        <w:t>z prostředků kapitoly MO, tak z</w:t>
      </w:r>
      <w:r w:rsidR="00C27BF5">
        <w:rPr>
          <w:rFonts w:asciiTheme="minorHAnsi" w:hAnsiTheme="minorHAnsi" w:cstheme="minorHAnsi"/>
          <w:lang w:val="cs-CZ"/>
        </w:rPr>
        <w:t>e zahraničních</w:t>
      </w:r>
      <w:r w:rsidR="00D21A74" w:rsidRPr="00DF094C">
        <w:rPr>
          <w:rFonts w:asciiTheme="minorHAnsi" w:hAnsiTheme="minorHAnsi" w:cstheme="minorHAnsi"/>
          <w:lang w:val="cs-CZ"/>
        </w:rPr>
        <w:t xml:space="preserve"> prostředků pomoci FMF.</w:t>
      </w:r>
      <w:r w:rsidR="009D5EA3" w:rsidRPr="00DF094C">
        <w:rPr>
          <w:rFonts w:asciiTheme="minorHAnsi" w:hAnsiTheme="minorHAnsi" w:cstheme="minorHAnsi"/>
          <w:lang w:val="cs-CZ"/>
        </w:rPr>
        <w:t xml:space="preserve"> Přesto do doby ukončení kontroly</w:t>
      </w:r>
      <w:r w:rsidR="003A2A8E" w:rsidRPr="00DF094C">
        <w:rPr>
          <w:rFonts w:asciiTheme="minorHAnsi" w:hAnsiTheme="minorHAnsi" w:cstheme="minorHAnsi"/>
          <w:lang w:val="cs-CZ"/>
        </w:rPr>
        <w:t xml:space="preserve"> NKÚ</w:t>
      </w:r>
      <w:r w:rsidR="009D5EA3" w:rsidRPr="00DF094C">
        <w:rPr>
          <w:rFonts w:asciiTheme="minorHAnsi" w:hAnsiTheme="minorHAnsi" w:cstheme="minorHAnsi"/>
          <w:lang w:val="cs-CZ"/>
        </w:rPr>
        <w:t xml:space="preserve"> nebyl</w:t>
      </w:r>
      <w:r w:rsidR="005871F2" w:rsidRPr="00DF094C">
        <w:rPr>
          <w:rFonts w:asciiTheme="minorHAnsi" w:hAnsiTheme="minorHAnsi" w:cstheme="minorHAnsi"/>
          <w:lang w:val="cs-CZ"/>
        </w:rPr>
        <w:t>o</w:t>
      </w:r>
      <w:r w:rsidR="00AC4AD8" w:rsidRPr="00AC4AD8">
        <w:rPr>
          <w:rFonts w:asciiTheme="minorHAnsi" w:hAnsiTheme="minorHAnsi" w:cstheme="minorHAnsi"/>
          <w:lang w:val="cs-CZ"/>
        </w:rPr>
        <w:t xml:space="preserve"> </w:t>
      </w:r>
      <w:r w:rsidR="00AC4AD8" w:rsidRPr="00DF094C">
        <w:rPr>
          <w:rFonts w:asciiTheme="minorHAnsi" w:hAnsiTheme="minorHAnsi" w:cstheme="minorHAnsi"/>
          <w:lang w:val="cs-CZ"/>
        </w:rPr>
        <w:t>dosaženo</w:t>
      </w:r>
      <w:r w:rsidR="009D5EA3" w:rsidRPr="00DF094C">
        <w:rPr>
          <w:rFonts w:asciiTheme="minorHAnsi" w:hAnsiTheme="minorHAnsi" w:cstheme="minorHAnsi"/>
          <w:lang w:val="cs-CZ"/>
        </w:rPr>
        <w:t xml:space="preserve"> </w:t>
      </w:r>
      <w:r w:rsidR="001B4255" w:rsidRPr="00DF094C">
        <w:rPr>
          <w:rFonts w:asciiTheme="minorHAnsi" w:hAnsiTheme="minorHAnsi" w:cstheme="minorHAnsi"/>
          <w:lang w:val="cs-CZ"/>
        </w:rPr>
        <w:t xml:space="preserve">původně </w:t>
      </w:r>
      <w:r w:rsidR="005871F2" w:rsidRPr="00DF094C">
        <w:rPr>
          <w:rFonts w:asciiTheme="minorHAnsi" w:hAnsiTheme="minorHAnsi" w:cstheme="minorHAnsi"/>
          <w:lang w:val="cs-CZ"/>
        </w:rPr>
        <w:t>plánovaných schopností</w:t>
      </w:r>
      <w:r w:rsidR="009D5EA3" w:rsidRPr="00DF094C">
        <w:rPr>
          <w:rFonts w:asciiTheme="minorHAnsi" w:hAnsiTheme="minorHAnsi" w:cstheme="minorHAnsi"/>
          <w:lang w:val="cs-CZ"/>
        </w:rPr>
        <w:t xml:space="preserve">. </w:t>
      </w:r>
      <w:r w:rsidR="00C27BF5">
        <w:rPr>
          <w:rFonts w:asciiTheme="minorHAnsi" w:hAnsiTheme="minorHAnsi" w:cstheme="minorHAnsi"/>
          <w:bCs/>
          <w:color w:val="000000"/>
          <w:lang w:val="cs-CZ"/>
        </w:rPr>
        <w:t>Na základě zjištěných a</w:t>
      </w:r>
      <w:r w:rsidR="001F1E10">
        <w:rPr>
          <w:rFonts w:asciiTheme="minorHAnsi" w:hAnsiTheme="minorHAnsi" w:cstheme="minorHAnsi"/>
          <w:bCs/>
          <w:color w:val="000000"/>
          <w:lang w:val="cs-CZ"/>
        </w:rPr>
        <w:t> </w:t>
      </w:r>
      <w:r w:rsidR="00C27BF5">
        <w:rPr>
          <w:rFonts w:asciiTheme="minorHAnsi" w:hAnsiTheme="minorHAnsi" w:cstheme="minorHAnsi"/>
          <w:bCs/>
          <w:color w:val="000000"/>
          <w:lang w:val="cs-CZ"/>
        </w:rPr>
        <w:t>v kontrolním závěru popsaných skutečností lze vyhodnotit vysoké riziko nehospodárného vynakládání finančních prostředků, a to zejména vzhledem k tomu, že výstavba CBO Těchonín není doposud dokončena</w:t>
      </w:r>
      <w:r w:rsidR="00AC4AD8">
        <w:rPr>
          <w:rFonts w:asciiTheme="minorHAnsi" w:hAnsiTheme="minorHAnsi" w:cstheme="minorHAnsi"/>
          <w:bCs/>
          <w:color w:val="000000"/>
          <w:lang w:val="cs-CZ"/>
        </w:rPr>
        <w:t>,</w:t>
      </w:r>
      <w:r w:rsidR="00C27BF5">
        <w:rPr>
          <w:rFonts w:asciiTheme="minorHAnsi" w:hAnsiTheme="minorHAnsi" w:cstheme="minorHAnsi"/>
          <w:bCs/>
          <w:color w:val="000000"/>
          <w:lang w:val="cs-CZ"/>
        </w:rPr>
        <w:t xml:space="preserve"> a zařízení </w:t>
      </w:r>
      <w:r w:rsidR="00AC4AD8">
        <w:rPr>
          <w:rFonts w:asciiTheme="minorHAnsi" w:hAnsiTheme="minorHAnsi" w:cstheme="minorHAnsi"/>
          <w:bCs/>
          <w:color w:val="000000"/>
          <w:lang w:val="cs-CZ"/>
        </w:rPr>
        <w:t>tudíž</w:t>
      </w:r>
      <w:r w:rsidR="00C27BF5">
        <w:rPr>
          <w:rFonts w:asciiTheme="minorHAnsi" w:hAnsiTheme="minorHAnsi" w:cstheme="minorHAnsi"/>
          <w:bCs/>
          <w:color w:val="000000"/>
          <w:lang w:val="cs-CZ"/>
        </w:rPr>
        <w:t xml:space="preserve"> není schopno zabezpeč</w:t>
      </w:r>
      <w:r w:rsidR="007D6D72">
        <w:rPr>
          <w:rFonts w:asciiTheme="minorHAnsi" w:hAnsiTheme="minorHAnsi" w:cstheme="minorHAnsi"/>
          <w:bCs/>
          <w:color w:val="000000"/>
          <w:lang w:val="cs-CZ"/>
        </w:rPr>
        <w:t>ovat</w:t>
      </w:r>
      <w:r w:rsidR="00C27BF5">
        <w:rPr>
          <w:rFonts w:asciiTheme="minorHAnsi" w:hAnsiTheme="minorHAnsi" w:cstheme="minorHAnsi"/>
          <w:bCs/>
          <w:color w:val="000000"/>
          <w:lang w:val="cs-CZ"/>
        </w:rPr>
        <w:t xml:space="preserve"> </w:t>
      </w:r>
      <w:r w:rsidR="00CF04D3">
        <w:rPr>
          <w:rFonts w:asciiTheme="minorHAnsi" w:hAnsiTheme="minorHAnsi" w:cstheme="minorHAnsi"/>
          <w:bCs/>
          <w:color w:val="000000"/>
          <w:lang w:val="cs-CZ"/>
        </w:rPr>
        <w:t xml:space="preserve">úkoly vyplývající ze statutárních funkcí v plném rozsahu. </w:t>
      </w:r>
    </w:p>
    <w:p w:rsidR="006C4D78" w:rsidRPr="00DF094C" w:rsidRDefault="006C4D78" w:rsidP="00D809F9">
      <w:pPr>
        <w:jc w:val="both"/>
        <w:rPr>
          <w:rFonts w:asciiTheme="minorHAnsi" w:hAnsiTheme="minorHAnsi" w:cstheme="minorHAnsi"/>
          <w:lang w:val="cs-CZ"/>
        </w:rPr>
      </w:pPr>
    </w:p>
    <w:p w:rsidR="00D809F9" w:rsidRPr="00DF094C" w:rsidRDefault="00D809F9" w:rsidP="00D809F9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MO od doby, kdy se rozhodlo vybudovat takto unikátní </w:t>
      </w:r>
      <w:r w:rsidR="00681DDB" w:rsidRPr="00DF094C">
        <w:rPr>
          <w:rFonts w:asciiTheme="minorHAnsi" w:hAnsiTheme="minorHAnsi" w:cstheme="minorHAnsi"/>
          <w:lang w:val="cs-CZ"/>
        </w:rPr>
        <w:t xml:space="preserve">zařízení v oblasti biologické ochrany, </w:t>
      </w:r>
      <w:r w:rsidR="00EC78E7">
        <w:rPr>
          <w:rFonts w:asciiTheme="minorHAnsi" w:hAnsiTheme="minorHAnsi" w:cstheme="minorHAnsi"/>
          <w:lang w:val="cs-CZ"/>
        </w:rPr>
        <w:t>nevypracovalo</w:t>
      </w:r>
      <w:r w:rsidR="00681DDB" w:rsidRPr="00DF094C">
        <w:rPr>
          <w:rFonts w:asciiTheme="minorHAnsi" w:hAnsiTheme="minorHAnsi" w:cstheme="minorHAnsi"/>
          <w:lang w:val="cs-CZ"/>
        </w:rPr>
        <w:t xml:space="preserve"> koncepci, která by řešila zásadní otázky provozu a</w:t>
      </w:r>
      <w:r w:rsidR="00EC78E7">
        <w:rPr>
          <w:rFonts w:asciiTheme="minorHAnsi" w:hAnsiTheme="minorHAnsi" w:cstheme="minorHAnsi"/>
          <w:lang w:val="cs-CZ"/>
        </w:rPr>
        <w:t> </w:t>
      </w:r>
      <w:r w:rsidR="00681DDB" w:rsidRPr="00DF094C">
        <w:rPr>
          <w:rFonts w:asciiTheme="minorHAnsi" w:hAnsiTheme="minorHAnsi" w:cstheme="minorHAnsi"/>
          <w:lang w:val="cs-CZ"/>
        </w:rPr>
        <w:t>rozvoje</w:t>
      </w:r>
      <w:r w:rsidR="00C324A1" w:rsidRPr="00DF094C">
        <w:rPr>
          <w:rFonts w:asciiTheme="minorHAnsi" w:hAnsiTheme="minorHAnsi" w:cstheme="minorHAnsi"/>
          <w:lang w:val="cs-CZ"/>
        </w:rPr>
        <w:t xml:space="preserve"> </w:t>
      </w:r>
      <w:r w:rsidR="007D6D72">
        <w:rPr>
          <w:rFonts w:asciiTheme="minorHAnsi" w:hAnsiTheme="minorHAnsi" w:cstheme="minorHAnsi"/>
          <w:lang w:val="cs-CZ"/>
        </w:rPr>
        <w:t xml:space="preserve">tohoto zařízení </w:t>
      </w:r>
      <w:r w:rsidR="004B372D" w:rsidRPr="00DF094C">
        <w:rPr>
          <w:rFonts w:asciiTheme="minorHAnsi" w:hAnsiTheme="minorHAnsi" w:cstheme="minorHAnsi"/>
          <w:lang w:val="cs-CZ"/>
        </w:rPr>
        <w:t>v rámci specializace sil AČR v oblastech s vyšší přidanou hodnotou</w:t>
      </w:r>
      <w:r w:rsidR="00DF54B4" w:rsidRPr="00DF094C">
        <w:rPr>
          <w:rFonts w:asciiTheme="minorHAnsi" w:hAnsiTheme="minorHAnsi" w:cstheme="minorHAnsi"/>
          <w:lang w:val="cs-CZ"/>
        </w:rPr>
        <w:t xml:space="preserve"> </w:t>
      </w:r>
      <w:r w:rsidR="00235D83">
        <w:rPr>
          <w:rFonts w:asciiTheme="minorHAnsi" w:hAnsiTheme="minorHAnsi" w:cstheme="minorHAnsi"/>
          <w:lang w:val="cs-CZ"/>
        </w:rPr>
        <w:t xml:space="preserve">(chemické vojsko) </w:t>
      </w:r>
      <w:r w:rsidR="00DF54B4" w:rsidRPr="00DF094C">
        <w:rPr>
          <w:rFonts w:asciiTheme="minorHAnsi" w:hAnsiTheme="minorHAnsi" w:cstheme="minorHAnsi"/>
          <w:lang w:val="cs-CZ"/>
        </w:rPr>
        <w:t>a</w:t>
      </w:r>
      <w:r w:rsidR="002479C2">
        <w:rPr>
          <w:rFonts w:asciiTheme="minorHAnsi" w:hAnsiTheme="minorHAnsi" w:cstheme="minorHAnsi"/>
          <w:lang w:val="cs-CZ"/>
        </w:rPr>
        <w:t> </w:t>
      </w:r>
      <w:r w:rsidR="00765F7B">
        <w:rPr>
          <w:rFonts w:asciiTheme="minorHAnsi" w:hAnsiTheme="minorHAnsi" w:cstheme="minorHAnsi"/>
          <w:lang w:val="cs-CZ"/>
        </w:rPr>
        <w:t>spolupráce s </w:t>
      </w:r>
      <w:r w:rsidR="00DF54B4" w:rsidRPr="00DF094C">
        <w:rPr>
          <w:rFonts w:asciiTheme="minorHAnsi" w:hAnsiTheme="minorHAnsi" w:cstheme="minorHAnsi"/>
          <w:lang w:val="cs-CZ"/>
        </w:rPr>
        <w:t>ostatní</w:t>
      </w:r>
      <w:r w:rsidR="00235D83">
        <w:rPr>
          <w:rFonts w:asciiTheme="minorHAnsi" w:hAnsiTheme="minorHAnsi" w:cstheme="minorHAnsi"/>
          <w:lang w:val="cs-CZ"/>
        </w:rPr>
        <w:t>mi</w:t>
      </w:r>
      <w:r w:rsidR="00DF54B4" w:rsidRPr="00DF094C">
        <w:rPr>
          <w:rFonts w:asciiTheme="minorHAnsi" w:hAnsiTheme="minorHAnsi" w:cstheme="minorHAnsi"/>
          <w:lang w:val="cs-CZ"/>
        </w:rPr>
        <w:t xml:space="preserve"> složk</w:t>
      </w:r>
      <w:r w:rsidR="00235D83">
        <w:rPr>
          <w:rFonts w:asciiTheme="minorHAnsi" w:hAnsiTheme="minorHAnsi" w:cstheme="minorHAnsi"/>
          <w:lang w:val="cs-CZ"/>
        </w:rPr>
        <w:t>ami</w:t>
      </w:r>
      <w:r w:rsidR="00DF54B4" w:rsidRPr="00DF094C">
        <w:rPr>
          <w:rFonts w:asciiTheme="minorHAnsi" w:hAnsiTheme="minorHAnsi" w:cstheme="minorHAnsi"/>
          <w:lang w:val="cs-CZ"/>
        </w:rPr>
        <w:t xml:space="preserve"> </w:t>
      </w:r>
      <w:r w:rsidR="00932467" w:rsidRPr="00DF094C">
        <w:rPr>
          <w:rFonts w:asciiTheme="minorHAnsi" w:hAnsiTheme="minorHAnsi" w:cstheme="minorHAnsi"/>
          <w:lang w:val="cs-CZ"/>
        </w:rPr>
        <w:t>IZS</w:t>
      </w:r>
      <w:r w:rsidR="00DF54B4" w:rsidRPr="00DF094C">
        <w:rPr>
          <w:rStyle w:val="Znakapoznpodarou"/>
          <w:rFonts w:asciiTheme="minorHAnsi" w:hAnsiTheme="minorHAnsi" w:cstheme="minorHAnsi"/>
          <w:lang w:val="cs-CZ"/>
        </w:rPr>
        <w:footnoteReference w:id="14"/>
      </w:r>
      <w:r w:rsidR="004B372D" w:rsidRPr="00DF094C">
        <w:rPr>
          <w:rFonts w:asciiTheme="minorHAnsi" w:hAnsiTheme="minorHAnsi" w:cstheme="minorHAnsi"/>
          <w:lang w:val="cs-CZ"/>
        </w:rPr>
        <w:t>.</w:t>
      </w:r>
    </w:p>
    <w:p w:rsidR="00B52A7B" w:rsidRPr="00DF094C" w:rsidRDefault="00B52A7B" w:rsidP="0000796C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B272BF" w:rsidRPr="00DF094C" w:rsidRDefault="001F6FAB" w:rsidP="00B272BF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S ohledem na zjištěné </w:t>
      </w:r>
      <w:r w:rsidR="00527A2C" w:rsidRPr="00DF094C">
        <w:rPr>
          <w:rFonts w:asciiTheme="minorHAnsi" w:hAnsiTheme="minorHAnsi" w:cstheme="minorHAnsi"/>
          <w:color w:val="000000"/>
          <w:lang w:val="cs-CZ"/>
        </w:rPr>
        <w:t xml:space="preserve">skutečnosti </w:t>
      </w:r>
      <w:r w:rsidRPr="00DF094C">
        <w:rPr>
          <w:rFonts w:asciiTheme="minorHAnsi" w:hAnsiTheme="minorHAnsi" w:cstheme="minorHAnsi"/>
          <w:color w:val="000000"/>
          <w:lang w:val="cs-CZ"/>
        </w:rPr>
        <w:t>NKÚ doporučuje:</w:t>
      </w:r>
    </w:p>
    <w:p w:rsidR="00B272BF" w:rsidRPr="00DF094C" w:rsidRDefault="00AC4AD8" w:rsidP="001A3337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z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>ajistit účinnou komunikaci a nastavit spolupráci mezi orgány zapojenými do IZS tak, aby CBO Těchonín bylo využíváno účelně i externími subjekty a složkami IZS</w:t>
      </w:r>
      <w:r>
        <w:rPr>
          <w:rFonts w:asciiTheme="minorHAnsi" w:hAnsiTheme="minorHAnsi" w:cstheme="minorHAnsi"/>
          <w:color w:val="000000"/>
          <w:lang w:val="cs-CZ"/>
        </w:rPr>
        <w:t>;</w:t>
      </w:r>
      <w:r w:rsidR="00B272BF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B272BF" w:rsidRPr="00DF094C" w:rsidRDefault="00A44CB7" w:rsidP="001A3337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d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>okončit výstavbu CBO Těchonín, zajistit technologie a vybavení a nastavit systém jejich následné obnovy tak, aby AČR udržovala přední postavení v rámci své specializace a</w:t>
      </w:r>
      <w:r w:rsidR="00C87359" w:rsidRPr="00DF094C">
        <w:rPr>
          <w:rFonts w:asciiTheme="minorHAnsi" w:hAnsiTheme="minorHAnsi" w:cstheme="minorHAnsi"/>
          <w:color w:val="000000"/>
          <w:lang w:val="cs-CZ"/>
        </w:rPr>
        <w:t> </w:t>
      </w:r>
      <w:r w:rsidR="00235D83">
        <w:rPr>
          <w:rFonts w:asciiTheme="minorHAnsi" w:hAnsiTheme="minorHAnsi" w:cstheme="minorHAnsi"/>
          <w:color w:val="000000"/>
          <w:lang w:val="cs-CZ"/>
        </w:rPr>
        <w:t xml:space="preserve">plnění 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>spojeneckých závazků</w:t>
      </w:r>
      <w:r>
        <w:rPr>
          <w:rFonts w:asciiTheme="minorHAnsi" w:hAnsiTheme="minorHAnsi" w:cstheme="minorHAnsi"/>
          <w:color w:val="000000"/>
          <w:lang w:val="cs-CZ"/>
        </w:rPr>
        <w:t>;</w:t>
      </w:r>
      <w:r w:rsidR="00B272BF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</w:p>
    <w:p w:rsidR="00B272BF" w:rsidRPr="00DF094C" w:rsidRDefault="00A44CB7" w:rsidP="001A3337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="00C33336">
        <w:rPr>
          <w:rFonts w:asciiTheme="minorHAnsi" w:hAnsiTheme="minorHAnsi" w:cstheme="minorHAnsi"/>
          <w:lang w:val="cs-CZ"/>
        </w:rPr>
        <w:t xml:space="preserve">roškolovat </w:t>
      </w:r>
      <w:r w:rsidR="00FA33F0" w:rsidRPr="00DF094C">
        <w:rPr>
          <w:rFonts w:asciiTheme="minorHAnsi" w:hAnsiTheme="minorHAnsi" w:cstheme="minorHAnsi"/>
          <w:lang w:val="cs-CZ"/>
        </w:rPr>
        <w:t>dostatečné množství personálu pro zabezpečení pohotovostního a</w:t>
      </w:r>
      <w:r w:rsidR="00C87359" w:rsidRPr="00DF094C">
        <w:rPr>
          <w:rFonts w:asciiTheme="minorHAnsi" w:hAnsiTheme="minorHAnsi" w:cstheme="minorHAnsi"/>
          <w:lang w:val="cs-CZ"/>
        </w:rPr>
        <w:t> </w:t>
      </w:r>
      <w:r w:rsidR="00FA33F0" w:rsidRPr="00DF094C">
        <w:rPr>
          <w:rFonts w:asciiTheme="minorHAnsi" w:hAnsiTheme="minorHAnsi" w:cstheme="minorHAnsi"/>
          <w:lang w:val="cs-CZ"/>
        </w:rPr>
        <w:t>plného provozu CBO Těchonín, aby v případě krizové situace mohlo CBO Těchonín plnit své úkoly bez omezení</w:t>
      </w:r>
      <w:r w:rsidR="00C33336">
        <w:rPr>
          <w:rFonts w:asciiTheme="minorHAnsi" w:hAnsiTheme="minorHAnsi" w:cstheme="minorHAnsi"/>
          <w:lang w:val="cs-CZ"/>
        </w:rPr>
        <w:t>, a to ve spolupráci s ostatními složkami IZS</w:t>
      </w:r>
      <w:r>
        <w:rPr>
          <w:rFonts w:asciiTheme="minorHAnsi" w:hAnsiTheme="minorHAnsi" w:cstheme="minorHAnsi"/>
          <w:lang w:val="cs-CZ"/>
        </w:rPr>
        <w:t>;</w:t>
      </w:r>
    </w:p>
    <w:p w:rsidR="00B272BF" w:rsidRPr="00DF094C" w:rsidRDefault="00A44CB7" w:rsidP="001A3337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p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>ro dlouhodobou udržitelnost a optimální rozvoj CBO Těchonín zapojit toto unikátní zařízení do systému veřejného zdravotnictví a specializovaných vědeckých pracovišť ČR</w:t>
      </w:r>
      <w:r w:rsidR="008D4C7F">
        <w:rPr>
          <w:rStyle w:val="Znakapoznpodarou"/>
          <w:rFonts w:asciiTheme="minorHAnsi" w:hAnsiTheme="minorHAnsi" w:cstheme="minorHAnsi"/>
          <w:color w:val="000000"/>
          <w:lang w:val="cs-CZ"/>
        </w:rPr>
        <w:footnoteReference w:id="15"/>
      </w:r>
      <w:r>
        <w:rPr>
          <w:rFonts w:asciiTheme="minorHAnsi" w:hAnsiTheme="minorHAnsi" w:cstheme="minorHAnsi"/>
          <w:color w:val="000000"/>
          <w:lang w:val="cs-CZ"/>
        </w:rPr>
        <w:t>;</w:t>
      </w:r>
    </w:p>
    <w:p w:rsidR="00FA33F0" w:rsidRPr="00DF094C" w:rsidRDefault="00A44CB7" w:rsidP="001A3337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t>z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 xml:space="preserve">ajistit </w:t>
      </w:r>
      <w:r w:rsidR="00235D83">
        <w:rPr>
          <w:rFonts w:asciiTheme="minorHAnsi" w:hAnsiTheme="minorHAnsi" w:cstheme="minorHAnsi"/>
          <w:color w:val="000000"/>
          <w:lang w:val="cs-CZ"/>
        </w:rPr>
        <w:t xml:space="preserve">úpravu smluvních podmínek ve 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>smlouv</w:t>
      </w:r>
      <w:r w:rsidR="00235D83">
        <w:rPr>
          <w:rFonts w:asciiTheme="minorHAnsi" w:hAnsiTheme="minorHAnsi" w:cstheme="minorHAnsi"/>
          <w:color w:val="000000"/>
          <w:lang w:val="cs-CZ"/>
        </w:rPr>
        <w:t>ě</w:t>
      </w:r>
      <w:r w:rsidR="00FA33F0" w:rsidRPr="00DF094C">
        <w:rPr>
          <w:rFonts w:asciiTheme="minorHAnsi" w:hAnsiTheme="minorHAnsi" w:cstheme="minorHAnsi"/>
          <w:color w:val="000000"/>
          <w:lang w:val="cs-CZ"/>
        </w:rPr>
        <w:t xml:space="preserve"> s ASPO za účelem správy a provozu CBO Těchonín tak, aby věcně odpovídala faktickému účelu, </w:t>
      </w:r>
      <w:r w:rsidR="00B272BF" w:rsidRPr="00DF094C">
        <w:rPr>
          <w:rFonts w:asciiTheme="minorHAnsi" w:hAnsiTheme="minorHAnsi" w:cstheme="minorHAnsi"/>
          <w:color w:val="000000"/>
          <w:lang w:val="cs-CZ"/>
        </w:rPr>
        <w:t>popř. provoz řešit jiným způsobem.</w:t>
      </w:r>
    </w:p>
    <w:p w:rsidR="00950689" w:rsidRDefault="00950689" w:rsidP="00D916C4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1C05F7" w:rsidRDefault="001C05F7">
      <w:pPr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  <w:lang w:val="cs-CZ"/>
        </w:rPr>
        <w:br w:type="page"/>
      </w:r>
    </w:p>
    <w:p w:rsidR="00EC32C9" w:rsidRPr="00950689" w:rsidRDefault="00950689" w:rsidP="00950689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lastRenderedPageBreak/>
        <w:t xml:space="preserve">IV. </w:t>
      </w:r>
      <w:r w:rsidR="00EC32C9" w:rsidRPr="00950689">
        <w:rPr>
          <w:rFonts w:asciiTheme="minorHAnsi" w:hAnsiTheme="minorHAnsi" w:cstheme="minorHAnsi"/>
          <w:b/>
          <w:color w:val="000000"/>
          <w:sz w:val="28"/>
          <w:szCs w:val="28"/>
          <w:lang w:val="cs-CZ"/>
        </w:rPr>
        <w:t>Informace ke zjištěným skutečnostem</w:t>
      </w:r>
    </w:p>
    <w:p w:rsidR="00EC32C9" w:rsidRPr="00155C8C" w:rsidRDefault="00EC32C9" w:rsidP="00EC32C9">
      <w:pPr>
        <w:rPr>
          <w:rFonts w:asciiTheme="minorHAnsi" w:hAnsiTheme="minorHAnsi" w:cstheme="minorHAnsi"/>
          <w:lang w:val="cs-CZ"/>
        </w:rPr>
      </w:pPr>
    </w:p>
    <w:p w:rsidR="00EC32C9" w:rsidRPr="00DF094C" w:rsidRDefault="00BA28DC" w:rsidP="00EC78E7">
      <w:pPr>
        <w:spacing w:after="40"/>
        <w:rPr>
          <w:rFonts w:asciiTheme="minorHAnsi" w:hAnsiTheme="minorHAnsi" w:cstheme="minorHAnsi"/>
          <w:b/>
          <w:lang w:val="cs-CZ"/>
        </w:rPr>
      </w:pPr>
      <w:r>
        <w:rPr>
          <w:rFonts w:asciiTheme="minorHAnsi" w:hAnsiTheme="minorHAnsi" w:cstheme="minorHAnsi"/>
          <w:b/>
          <w:lang w:val="cs-CZ"/>
        </w:rPr>
        <w:t>Schéma</w:t>
      </w:r>
      <w:r w:rsidR="00A44CB7">
        <w:rPr>
          <w:rFonts w:asciiTheme="minorHAnsi" w:hAnsiTheme="minorHAnsi" w:cstheme="minorHAnsi"/>
          <w:b/>
          <w:lang w:val="cs-CZ"/>
        </w:rPr>
        <w:t xml:space="preserve"> č. 1 – </w:t>
      </w:r>
      <w:r w:rsidR="00EC32C9" w:rsidRPr="00DF094C">
        <w:rPr>
          <w:rFonts w:asciiTheme="minorHAnsi" w:hAnsiTheme="minorHAnsi" w:cstheme="minorHAnsi"/>
          <w:b/>
          <w:lang w:val="cs-CZ"/>
        </w:rPr>
        <w:t>Milníky</w:t>
      </w:r>
      <w:r w:rsidR="00C33336">
        <w:rPr>
          <w:rStyle w:val="Znakapoznpodarou"/>
          <w:rFonts w:asciiTheme="minorHAnsi" w:hAnsiTheme="minorHAnsi" w:cstheme="minorHAnsi"/>
          <w:b/>
          <w:lang w:val="cs-CZ"/>
        </w:rPr>
        <w:footnoteReference w:id="16"/>
      </w:r>
      <w:r w:rsidR="00EC32C9" w:rsidRPr="00DF094C">
        <w:rPr>
          <w:rFonts w:asciiTheme="minorHAnsi" w:hAnsiTheme="minorHAnsi" w:cstheme="minorHAnsi"/>
          <w:b/>
          <w:lang w:val="cs-CZ"/>
        </w:rPr>
        <w:t xml:space="preserve"> související s plněním úkolů biologické ochrany ČR</w:t>
      </w:r>
    </w:p>
    <w:p w:rsidR="00D916C4" w:rsidRPr="00DF094C" w:rsidRDefault="00D916C4" w:rsidP="007D6D72">
      <w:pPr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2F223495" wp14:editId="4E47F5A5">
            <wp:simplePos x="0" y="0"/>
            <wp:positionH relativeFrom="column">
              <wp:posOffset>37465</wp:posOffset>
            </wp:positionH>
            <wp:positionV relativeFrom="paragraph">
              <wp:posOffset>41275</wp:posOffset>
            </wp:positionV>
            <wp:extent cx="4198620" cy="3635375"/>
            <wp:effectExtent l="38100" t="38100" r="68580" b="41275"/>
            <wp:wrapTopAndBottom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B1D" w:rsidRPr="00DF094C" w:rsidRDefault="00C71B1D" w:rsidP="0000796C">
      <w:pPr>
        <w:jc w:val="both"/>
        <w:rPr>
          <w:rFonts w:asciiTheme="minorHAnsi" w:hAnsiTheme="minorHAnsi" w:cstheme="minorHAnsi"/>
          <w:b/>
          <w:lang w:val="cs-CZ"/>
        </w:rPr>
      </w:pPr>
      <w:r w:rsidRPr="00DF094C">
        <w:rPr>
          <w:rFonts w:asciiTheme="minorHAnsi" w:hAnsiTheme="minorHAnsi" w:cstheme="minorHAnsi"/>
          <w:b/>
          <w:lang w:val="cs-CZ"/>
        </w:rPr>
        <w:t>K</w:t>
      </w:r>
      <w:r w:rsidR="007802C7" w:rsidRPr="00DF094C">
        <w:rPr>
          <w:rFonts w:asciiTheme="minorHAnsi" w:hAnsiTheme="minorHAnsi" w:cstheme="minorHAnsi"/>
          <w:b/>
          <w:lang w:val="cs-CZ"/>
        </w:rPr>
        <w:t> </w:t>
      </w:r>
      <w:r w:rsidRPr="00DF094C">
        <w:rPr>
          <w:rFonts w:asciiTheme="minorHAnsi" w:hAnsiTheme="minorHAnsi" w:cstheme="minorHAnsi"/>
          <w:b/>
          <w:lang w:val="cs-CZ"/>
        </w:rPr>
        <w:t>bodu</w:t>
      </w:r>
      <w:r w:rsidR="007802C7" w:rsidRPr="00DF094C">
        <w:rPr>
          <w:rFonts w:asciiTheme="minorHAnsi" w:hAnsiTheme="minorHAnsi" w:cstheme="minorHAnsi"/>
          <w:b/>
          <w:lang w:val="cs-CZ"/>
        </w:rPr>
        <w:t xml:space="preserve"> 1 části II</w:t>
      </w:r>
      <w:r w:rsidR="00B0466B" w:rsidRPr="00DF094C">
        <w:rPr>
          <w:rFonts w:asciiTheme="minorHAnsi" w:hAnsiTheme="minorHAnsi" w:cstheme="minorHAnsi"/>
          <w:b/>
          <w:lang w:val="cs-CZ"/>
        </w:rPr>
        <w:t>.</w:t>
      </w:r>
      <w:r w:rsidR="00930265" w:rsidRPr="00DF094C">
        <w:rPr>
          <w:rFonts w:asciiTheme="minorHAnsi" w:hAnsiTheme="minorHAnsi" w:cstheme="minorHAnsi"/>
          <w:b/>
          <w:lang w:val="cs-CZ"/>
        </w:rPr>
        <w:t>:</w:t>
      </w:r>
      <w:r w:rsidRPr="00DF094C">
        <w:rPr>
          <w:rFonts w:asciiTheme="minorHAnsi" w:hAnsiTheme="minorHAnsi" w:cstheme="minorHAnsi"/>
          <w:b/>
          <w:lang w:val="cs-CZ"/>
        </w:rPr>
        <w:t xml:space="preserve"> </w:t>
      </w:r>
      <w:r w:rsidR="007802C7" w:rsidRPr="00DF094C">
        <w:rPr>
          <w:rFonts w:asciiTheme="minorHAnsi" w:hAnsiTheme="minorHAnsi" w:cstheme="minorHAnsi"/>
          <w:b/>
          <w:lang w:val="cs-CZ"/>
        </w:rPr>
        <w:t>O</w:t>
      </w:r>
      <w:r w:rsidR="00930265" w:rsidRPr="00DF094C">
        <w:rPr>
          <w:rFonts w:asciiTheme="minorHAnsi" w:hAnsiTheme="minorHAnsi" w:cstheme="minorHAnsi"/>
          <w:b/>
          <w:lang w:val="cs-CZ"/>
        </w:rPr>
        <w:t>rganizační změn</w:t>
      </w:r>
      <w:r w:rsidR="007802C7" w:rsidRPr="00DF094C">
        <w:rPr>
          <w:rFonts w:asciiTheme="minorHAnsi" w:hAnsiTheme="minorHAnsi" w:cstheme="minorHAnsi"/>
          <w:b/>
          <w:lang w:val="cs-CZ"/>
        </w:rPr>
        <w:t>y</w:t>
      </w:r>
    </w:p>
    <w:p w:rsidR="00A44CB7" w:rsidRDefault="00A44CB7" w:rsidP="0000796C">
      <w:pPr>
        <w:jc w:val="both"/>
        <w:rPr>
          <w:rFonts w:asciiTheme="minorHAnsi" w:hAnsiTheme="minorHAnsi" w:cstheme="minorHAnsi"/>
          <w:lang w:val="cs-CZ"/>
        </w:rPr>
      </w:pPr>
    </w:p>
    <w:p w:rsidR="008E5C65" w:rsidRPr="00DF094C" w:rsidRDefault="006863DA" w:rsidP="0000796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 kontrolovaném období byly </w:t>
      </w:r>
      <w:r w:rsidR="00EC78E7" w:rsidRPr="00DF094C">
        <w:rPr>
          <w:rFonts w:asciiTheme="minorHAnsi" w:hAnsiTheme="minorHAnsi" w:cstheme="minorHAnsi"/>
          <w:lang w:val="cs-CZ"/>
        </w:rPr>
        <w:t xml:space="preserve">schváleny </w:t>
      </w:r>
      <w:r>
        <w:rPr>
          <w:rFonts w:asciiTheme="minorHAnsi" w:hAnsiTheme="minorHAnsi" w:cstheme="minorHAnsi"/>
          <w:lang w:val="cs-CZ"/>
        </w:rPr>
        <w:t xml:space="preserve">celkem </w:t>
      </w:r>
      <w:r w:rsidR="00C71B1D" w:rsidRPr="00DF094C">
        <w:rPr>
          <w:rFonts w:asciiTheme="minorHAnsi" w:hAnsiTheme="minorHAnsi" w:cstheme="minorHAnsi"/>
          <w:lang w:val="cs-CZ"/>
        </w:rPr>
        <w:t xml:space="preserve">tři </w:t>
      </w:r>
      <w:r w:rsidR="00A44CB7">
        <w:rPr>
          <w:rFonts w:asciiTheme="minorHAnsi" w:hAnsiTheme="minorHAnsi" w:cstheme="minorHAnsi"/>
          <w:lang w:val="cs-CZ"/>
        </w:rPr>
        <w:t>o</w:t>
      </w:r>
      <w:r w:rsidR="00C71B1D" w:rsidRPr="00DF094C">
        <w:rPr>
          <w:rFonts w:asciiTheme="minorHAnsi" w:hAnsiTheme="minorHAnsi" w:cstheme="minorHAnsi"/>
          <w:lang w:val="cs-CZ"/>
        </w:rPr>
        <w:t>rganizační řády M</w:t>
      </w:r>
      <w:r w:rsidR="0095566B" w:rsidRPr="00DF094C">
        <w:rPr>
          <w:rFonts w:asciiTheme="minorHAnsi" w:hAnsiTheme="minorHAnsi" w:cstheme="minorHAnsi"/>
          <w:lang w:val="cs-CZ"/>
        </w:rPr>
        <w:t>O, kter</w:t>
      </w:r>
      <w:r w:rsidR="00C71B1D" w:rsidRPr="00DF094C">
        <w:rPr>
          <w:rFonts w:asciiTheme="minorHAnsi" w:hAnsiTheme="minorHAnsi" w:cstheme="minorHAnsi"/>
          <w:lang w:val="cs-CZ"/>
        </w:rPr>
        <w:t>é byly pozměněny 54 doplňky a dodatky. Oblastí, které jsou spjaty s biologickou ochranou, se týkalo celkem 25 doplňků a dodatků.</w:t>
      </w:r>
      <w:r w:rsidR="008E5C65" w:rsidRPr="00DF094C">
        <w:rPr>
          <w:rFonts w:asciiTheme="minorHAnsi" w:hAnsiTheme="minorHAnsi" w:cstheme="minorHAnsi"/>
          <w:lang w:val="cs-CZ"/>
        </w:rPr>
        <w:t xml:space="preserve"> D</w:t>
      </w:r>
      <w:r w:rsidR="00C71B1D" w:rsidRPr="00DF094C">
        <w:rPr>
          <w:rFonts w:asciiTheme="minorHAnsi" w:hAnsiTheme="minorHAnsi" w:cstheme="minorHAnsi"/>
          <w:lang w:val="cs-CZ"/>
        </w:rPr>
        <w:t xml:space="preserve">ochází ke ztrátě „institucionální paměti“ </w:t>
      </w:r>
      <w:r w:rsidR="008E5C65" w:rsidRPr="00DF094C">
        <w:rPr>
          <w:rFonts w:asciiTheme="minorHAnsi" w:hAnsiTheme="minorHAnsi" w:cstheme="minorHAnsi"/>
          <w:lang w:val="cs-CZ"/>
        </w:rPr>
        <w:t xml:space="preserve">v souvislosti </w:t>
      </w:r>
      <w:r w:rsidR="00EC78E7">
        <w:rPr>
          <w:rFonts w:asciiTheme="minorHAnsi" w:hAnsiTheme="minorHAnsi" w:cstheme="minorHAnsi"/>
          <w:lang w:val="cs-CZ"/>
        </w:rPr>
        <w:t xml:space="preserve">se svěřováním </w:t>
      </w:r>
      <w:r w:rsidR="00ED6E3D">
        <w:rPr>
          <w:rFonts w:asciiTheme="minorHAnsi" w:hAnsiTheme="minorHAnsi" w:cstheme="minorHAnsi"/>
          <w:lang w:val="cs-CZ"/>
        </w:rPr>
        <w:t xml:space="preserve">různých </w:t>
      </w:r>
      <w:r w:rsidR="00EC78E7">
        <w:rPr>
          <w:rFonts w:asciiTheme="minorHAnsi" w:hAnsiTheme="minorHAnsi" w:cstheme="minorHAnsi"/>
          <w:lang w:val="cs-CZ"/>
        </w:rPr>
        <w:t>oblastí</w:t>
      </w:r>
      <w:r w:rsidR="008E5C65" w:rsidRPr="00DF094C">
        <w:rPr>
          <w:rFonts w:asciiTheme="minorHAnsi" w:hAnsiTheme="minorHAnsi" w:cstheme="minorHAnsi"/>
          <w:lang w:val="cs-CZ"/>
        </w:rPr>
        <w:t xml:space="preserve"> zaměstnancům MO</w:t>
      </w:r>
      <w:r>
        <w:rPr>
          <w:rFonts w:asciiTheme="minorHAnsi" w:hAnsiTheme="minorHAnsi" w:cstheme="minorHAnsi"/>
          <w:lang w:val="cs-CZ"/>
        </w:rPr>
        <w:t>,</w:t>
      </w:r>
      <w:r w:rsidR="00261F74" w:rsidRPr="00DF094C">
        <w:rPr>
          <w:rFonts w:asciiTheme="minorHAnsi" w:hAnsiTheme="minorHAnsi" w:cstheme="minorHAnsi"/>
          <w:lang w:val="cs-CZ"/>
        </w:rPr>
        <w:t xml:space="preserve"> a </w:t>
      </w:r>
      <w:r w:rsidR="0083266F" w:rsidRPr="00DF094C">
        <w:rPr>
          <w:rFonts w:asciiTheme="minorHAnsi" w:hAnsiTheme="minorHAnsi" w:cstheme="minorHAnsi"/>
          <w:lang w:val="cs-CZ"/>
        </w:rPr>
        <w:t>t</w:t>
      </w:r>
      <w:r>
        <w:rPr>
          <w:rFonts w:asciiTheme="minorHAnsi" w:hAnsiTheme="minorHAnsi" w:cstheme="minorHAnsi"/>
          <w:lang w:val="cs-CZ"/>
        </w:rPr>
        <w:t xml:space="preserve">ím </w:t>
      </w:r>
      <w:r w:rsidR="0083266F" w:rsidRPr="00DF094C">
        <w:rPr>
          <w:rFonts w:asciiTheme="minorHAnsi" w:hAnsiTheme="minorHAnsi" w:cstheme="minorHAnsi"/>
          <w:lang w:val="cs-CZ"/>
        </w:rPr>
        <w:t>k</w:t>
      </w:r>
      <w:r w:rsidR="009F36F7" w:rsidRPr="00DF094C">
        <w:rPr>
          <w:rFonts w:asciiTheme="minorHAnsi" w:hAnsiTheme="minorHAnsi" w:cstheme="minorHAnsi"/>
          <w:lang w:val="cs-CZ"/>
        </w:rPr>
        <w:t>e ztrátě</w:t>
      </w:r>
      <w:r w:rsidR="0083266F" w:rsidRPr="00DF094C">
        <w:rPr>
          <w:rFonts w:asciiTheme="minorHAnsi" w:hAnsiTheme="minorHAnsi" w:cstheme="minorHAnsi"/>
          <w:lang w:val="cs-CZ"/>
        </w:rPr>
        <w:t xml:space="preserve"> </w:t>
      </w:r>
      <w:r w:rsidR="008E5C65" w:rsidRPr="00DF094C">
        <w:rPr>
          <w:rFonts w:asciiTheme="minorHAnsi" w:hAnsiTheme="minorHAnsi" w:cstheme="minorHAnsi"/>
          <w:lang w:val="cs-CZ"/>
        </w:rPr>
        <w:t>orient</w:t>
      </w:r>
      <w:r w:rsidR="00261F74" w:rsidRPr="00DF094C">
        <w:rPr>
          <w:rFonts w:asciiTheme="minorHAnsi" w:hAnsiTheme="minorHAnsi" w:cstheme="minorHAnsi"/>
          <w:lang w:val="cs-CZ"/>
        </w:rPr>
        <w:t>ac</w:t>
      </w:r>
      <w:r w:rsidR="009F36F7" w:rsidRPr="00DF094C">
        <w:rPr>
          <w:rFonts w:asciiTheme="minorHAnsi" w:hAnsiTheme="minorHAnsi" w:cstheme="minorHAnsi"/>
          <w:lang w:val="cs-CZ"/>
        </w:rPr>
        <w:t>e</w:t>
      </w:r>
      <w:r w:rsidR="00261F74" w:rsidRPr="00DF094C">
        <w:rPr>
          <w:rFonts w:asciiTheme="minorHAnsi" w:hAnsiTheme="minorHAnsi" w:cstheme="minorHAnsi"/>
          <w:lang w:val="cs-CZ"/>
        </w:rPr>
        <w:t xml:space="preserve"> ve svěřené oblasti</w:t>
      </w:r>
      <w:r w:rsidR="008E5C65" w:rsidRPr="00DF094C">
        <w:rPr>
          <w:rFonts w:asciiTheme="minorHAnsi" w:hAnsiTheme="minorHAnsi" w:cstheme="minorHAnsi"/>
          <w:lang w:val="cs-CZ"/>
        </w:rPr>
        <w:t xml:space="preserve">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b/>
          <w:lang w:val="cs-CZ"/>
        </w:rPr>
      </w:pPr>
    </w:p>
    <w:p w:rsidR="00D15B9A" w:rsidRPr="00DF094C" w:rsidRDefault="00D15B9A" w:rsidP="0000796C">
      <w:pPr>
        <w:jc w:val="both"/>
        <w:rPr>
          <w:rFonts w:asciiTheme="minorHAnsi" w:hAnsiTheme="minorHAnsi" w:cstheme="minorHAnsi"/>
          <w:b/>
          <w:lang w:val="cs-CZ"/>
        </w:rPr>
      </w:pPr>
      <w:r w:rsidRPr="00DF094C">
        <w:rPr>
          <w:rFonts w:asciiTheme="minorHAnsi" w:hAnsiTheme="minorHAnsi" w:cstheme="minorHAnsi"/>
          <w:b/>
          <w:lang w:val="cs-CZ"/>
        </w:rPr>
        <w:t>K</w:t>
      </w:r>
      <w:r w:rsidR="00930265" w:rsidRPr="00DF094C">
        <w:rPr>
          <w:rFonts w:asciiTheme="minorHAnsi" w:hAnsiTheme="minorHAnsi" w:cstheme="minorHAnsi"/>
          <w:b/>
          <w:lang w:val="cs-CZ"/>
        </w:rPr>
        <w:t> </w:t>
      </w:r>
      <w:r w:rsidRPr="00DF094C">
        <w:rPr>
          <w:rFonts w:asciiTheme="minorHAnsi" w:hAnsiTheme="minorHAnsi" w:cstheme="minorHAnsi"/>
          <w:b/>
          <w:lang w:val="cs-CZ"/>
        </w:rPr>
        <w:t>bodu</w:t>
      </w:r>
      <w:r w:rsidR="00E73011" w:rsidRPr="00DF094C">
        <w:rPr>
          <w:rFonts w:asciiTheme="minorHAnsi" w:hAnsiTheme="minorHAnsi" w:cstheme="minorHAnsi"/>
          <w:b/>
          <w:lang w:val="cs-CZ"/>
        </w:rPr>
        <w:t xml:space="preserve"> 2 části II</w:t>
      </w:r>
      <w:r w:rsidR="00B0466B" w:rsidRPr="00DF094C">
        <w:rPr>
          <w:rFonts w:asciiTheme="minorHAnsi" w:hAnsiTheme="minorHAnsi" w:cstheme="minorHAnsi"/>
          <w:b/>
          <w:lang w:val="cs-CZ"/>
        </w:rPr>
        <w:t>.:</w:t>
      </w:r>
      <w:r w:rsidR="007802C7" w:rsidRPr="00DF094C">
        <w:rPr>
          <w:rFonts w:asciiTheme="minorHAnsi" w:hAnsiTheme="minorHAnsi" w:cstheme="minorHAnsi"/>
          <w:b/>
          <w:lang w:val="cs-CZ"/>
        </w:rPr>
        <w:t xml:space="preserve"> </w:t>
      </w:r>
      <w:r w:rsidR="0018037F" w:rsidRPr="00DF094C">
        <w:rPr>
          <w:rFonts w:asciiTheme="minorHAnsi" w:hAnsiTheme="minorHAnsi" w:cstheme="minorHAnsi"/>
          <w:b/>
          <w:lang w:val="cs-CZ"/>
        </w:rPr>
        <w:t>V</w:t>
      </w:r>
      <w:r w:rsidR="00930265" w:rsidRPr="00DF094C">
        <w:rPr>
          <w:rFonts w:asciiTheme="minorHAnsi" w:hAnsiTheme="minorHAnsi" w:cstheme="minorHAnsi"/>
          <w:b/>
          <w:lang w:val="cs-CZ"/>
        </w:rPr>
        <w:t>ýstavb</w:t>
      </w:r>
      <w:r w:rsidR="007802C7" w:rsidRPr="00DF094C">
        <w:rPr>
          <w:rFonts w:asciiTheme="minorHAnsi" w:hAnsiTheme="minorHAnsi" w:cstheme="minorHAnsi"/>
          <w:b/>
          <w:lang w:val="cs-CZ"/>
        </w:rPr>
        <w:t>a</w:t>
      </w:r>
      <w:r w:rsidR="0018037F" w:rsidRPr="00DF094C">
        <w:rPr>
          <w:rFonts w:asciiTheme="minorHAnsi" w:hAnsiTheme="minorHAnsi" w:cstheme="minorHAnsi"/>
          <w:b/>
          <w:lang w:val="cs-CZ"/>
        </w:rPr>
        <w:t xml:space="preserve"> CBO Těchonín</w:t>
      </w:r>
    </w:p>
    <w:p w:rsidR="00A44CB7" w:rsidRDefault="00A44CB7" w:rsidP="00E35857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:rsidR="00E35857" w:rsidRPr="00DF094C" w:rsidRDefault="00E35857" w:rsidP="00E35857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V roce 2001 vydal ministr obrany opatření v oblasti ochrany proti biologickému napadení a následně byly na první etapu výstavby CBO Těchonín podepsány dvě smlouvy o dílo. Financování bylo </w:t>
      </w:r>
      <w:r w:rsidR="00EC78E7">
        <w:rPr>
          <w:rFonts w:asciiTheme="minorHAnsi" w:hAnsiTheme="minorHAnsi" w:cstheme="minorHAnsi"/>
          <w:color w:val="000000" w:themeColor="text1"/>
          <w:lang w:val="cs-CZ"/>
        </w:rPr>
        <w:t>zajišťováno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ze zakryté části rozpočtu MO a náklady na první etapu činily </w:t>
      </w:r>
      <w:r w:rsidRPr="00DF094C">
        <w:rPr>
          <w:rFonts w:asciiTheme="minorHAnsi" w:hAnsiTheme="minorHAnsi" w:cstheme="minorHAnsi"/>
          <w:b/>
          <w:color w:val="000000" w:themeColor="text1"/>
          <w:lang w:val="cs-CZ"/>
        </w:rPr>
        <w:t>532 842 665 Kč.</w:t>
      </w:r>
    </w:p>
    <w:p w:rsidR="00E35857" w:rsidRPr="00DF094C" w:rsidRDefault="00E35857" w:rsidP="00E35857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:rsidR="00E35857" w:rsidRPr="00DF094C" w:rsidRDefault="00E35857" w:rsidP="00E35857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V roce 2002 bylo vydáno nařízení k realizaci druhé a třetí etapy </w:t>
      </w:r>
      <w:r w:rsidR="00EC78E7" w:rsidRPr="00DF094C">
        <w:rPr>
          <w:rFonts w:asciiTheme="minorHAnsi" w:hAnsiTheme="minorHAnsi" w:cstheme="minorHAnsi"/>
          <w:color w:val="000000" w:themeColor="text1"/>
          <w:lang w:val="cs-CZ"/>
        </w:rPr>
        <w:t xml:space="preserve">výstavby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CBO</w:t>
      </w:r>
      <w:r w:rsidR="00EC78E7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Těchonín, </w:t>
      </w:r>
      <w:r w:rsidR="007D6D72">
        <w:rPr>
          <w:rFonts w:asciiTheme="minorHAnsi" w:hAnsiTheme="minorHAnsi" w:cstheme="minorHAnsi"/>
          <w:color w:val="000000" w:themeColor="text1"/>
          <w:lang w:val="cs-CZ"/>
        </w:rPr>
        <w:t>tyto etapy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již vycházely ze zpracované a schválené dokumentace programu I</w:t>
      </w:r>
      <w:r w:rsidR="00D20362" w:rsidRPr="00DF094C">
        <w:rPr>
          <w:rFonts w:asciiTheme="minorHAnsi" w:hAnsiTheme="minorHAnsi" w:cstheme="minorHAnsi"/>
          <w:color w:val="000000" w:themeColor="text1"/>
          <w:lang w:val="cs-CZ"/>
        </w:rPr>
        <w:t>SPROFIN</w:t>
      </w:r>
      <w:r w:rsidR="00203F78" w:rsidRPr="00DF094C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Základním cílem bylo vybudovat jednotky specializovaných sil a vytvořit podmínky pro jejich předurčení v podmínkách plně specializované AČR. V rámci </w:t>
      </w:r>
      <w:r w:rsidR="00492CAD" w:rsidRPr="00DF094C">
        <w:rPr>
          <w:rFonts w:asciiTheme="minorHAnsi" w:hAnsiTheme="minorHAnsi" w:cstheme="minorHAnsi"/>
          <w:color w:val="000000" w:themeColor="text1"/>
          <w:lang w:val="cs-CZ"/>
        </w:rPr>
        <w:t>druhé a třetí etap</w:t>
      </w:r>
      <w:r w:rsidR="00492CAD">
        <w:rPr>
          <w:rFonts w:asciiTheme="minorHAnsi" w:hAnsiTheme="minorHAnsi" w:cstheme="minorHAnsi"/>
          <w:color w:val="000000" w:themeColor="text1"/>
          <w:lang w:val="cs-CZ"/>
        </w:rPr>
        <w:t>y</w:t>
      </w:r>
      <w:r w:rsidR="00492CAD" w:rsidRPr="00DF094C">
        <w:rPr>
          <w:rFonts w:asciiTheme="minorHAnsi" w:hAnsiTheme="minorHAnsi" w:cstheme="minorHAnsi"/>
          <w:color w:val="000000" w:themeColor="text1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výstavby a</w:t>
      </w:r>
      <w:r w:rsidR="00EC78E7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rekonstrukce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lastRenderedPageBreak/>
        <w:t xml:space="preserve">CBO Těchonín byly podepsány tři smlouvy o dílo. Náklady na druhou a třetí etapu činily </w:t>
      </w:r>
      <w:r w:rsidRPr="00DF094C">
        <w:rPr>
          <w:rFonts w:asciiTheme="minorHAnsi" w:hAnsiTheme="minorHAnsi" w:cstheme="minorHAnsi"/>
          <w:b/>
          <w:color w:val="000000" w:themeColor="text1"/>
          <w:lang w:val="cs-CZ"/>
        </w:rPr>
        <w:t>1 191 170 489 Kč</w:t>
      </w:r>
      <w:r w:rsidRPr="001C67DF">
        <w:rPr>
          <w:rFonts w:asciiTheme="minorHAnsi" w:hAnsiTheme="minorHAnsi" w:cstheme="minorHAnsi"/>
          <w:b/>
          <w:color w:val="000000" w:themeColor="text1"/>
          <w:lang w:val="cs-CZ"/>
        </w:rPr>
        <w:t>.</w:t>
      </w:r>
    </w:p>
    <w:p w:rsidR="00E35857" w:rsidRDefault="00E35857" w:rsidP="00E35857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</w:p>
    <w:p w:rsidR="00E35857" w:rsidRPr="00DF094C" w:rsidRDefault="00E35857" w:rsidP="00E35857">
      <w:pPr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V roce 2006 </w:t>
      </w:r>
      <w:r w:rsidR="00EC78E7">
        <w:rPr>
          <w:rFonts w:asciiTheme="minorHAnsi" w:hAnsiTheme="minorHAnsi" w:cstheme="minorHAnsi"/>
          <w:color w:val="000000" w:themeColor="text1"/>
          <w:lang w:val="cs-CZ"/>
        </w:rPr>
        <w:t>byla vybudována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hlavní část CBO Těchonín – SIN (akce programu I</w:t>
      </w:r>
      <w:r w:rsidR="00A87F06" w:rsidRPr="00DF094C">
        <w:rPr>
          <w:rFonts w:asciiTheme="minorHAnsi" w:hAnsiTheme="minorHAnsi" w:cstheme="minorHAnsi"/>
          <w:color w:val="000000" w:themeColor="text1"/>
          <w:lang w:val="cs-CZ"/>
        </w:rPr>
        <w:t>SPROFIN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270</w:t>
      </w:r>
      <w:r w:rsidR="007228FC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180</w:t>
      </w:r>
      <w:r w:rsidR="007228FC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1802)</w:t>
      </w:r>
      <w:r w:rsidR="00EE0F9E">
        <w:rPr>
          <w:rFonts w:asciiTheme="minorHAnsi" w:hAnsiTheme="minorHAnsi" w:cstheme="minorHAnsi"/>
          <w:color w:val="000000" w:themeColor="text1"/>
          <w:lang w:val="cs-CZ"/>
        </w:rPr>
        <w:t> –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a byl zahájen následný zkušební provoz s předpokládaným ukončením ve 3. čtvrtletí 2007. V letech 2005 a 2006 bylo v rámci akce programu I</w:t>
      </w:r>
      <w:r w:rsidR="00A87F06" w:rsidRPr="00DF094C">
        <w:rPr>
          <w:rFonts w:asciiTheme="minorHAnsi" w:hAnsiTheme="minorHAnsi" w:cstheme="minorHAnsi"/>
          <w:color w:val="000000" w:themeColor="text1"/>
          <w:lang w:val="cs-CZ"/>
        </w:rPr>
        <w:t>SPROFIN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270</w:t>
      </w:r>
      <w:r w:rsidR="007228FC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180</w:t>
      </w:r>
      <w:r w:rsidR="007228FC">
        <w:rPr>
          <w:rFonts w:asciiTheme="minorHAnsi" w:hAnsiTheme="minorHAnsi" w:cstheme="minorHAnsi"/>
          <w:color w:val="000000" w:themeColor="text1"/>
          <w:lang w:val="cs-CZ"/>
        </w:rPr>
        <w:t> 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1832 vybudováno </w:t>
      </w:r>
      <w:r w:rsidR="00342291" w:rsidRPr="00DF094C">
        <w:rPr>
          <w:rFonts w:asciiTheme="minorHAnsi" w:hAnsiTheme="minorHAnsi" w:cstheme="minorHAnsi"/>
          <w:color w:val="000000" w:themeColor="text1"/>
          <w:lang w:val="cs-CZ"/>
        </w:rPr>
        <w:t xml:space="preserve">také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školicí zařízení vč</w:t>
      </w:r>
      <w:r w:rsidR="00A44CB7">
        <w:rPr>
          <w:rFonts w:asciiTheme="minorHAnsi" w:hAnsiTheme="minorHAnsi" w:cstheme="minorHAnsi"/>
          <w:color w:val="000000" w:themeColor="text1"/>
          <w:lang w:val="cs-CZ"/>
        </w:rPr>
        <w:t>etně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 hřiště. </w:t>
      </w:r>
    </w:p>
    <w:p w:rsidR="00E35857" w:rsidRPr="00DF094C" w:rsidRDefault="00E35857" w:rsidP="00E35857">
      <w:pPr>
        <w:jc w:val="both"/>
        <w:rPr>
          <w:rFonts w:asciiTheme="minorHAnsi" w:hAnsiTheme="minorHAnsi" w:cstheme="minorHAnsi"/>
          <w:lang w:val="cs-CZ"/>
        </w:rPr>
      </w:pPr>
    </w:p>
    <w:p w:rsidR="00E35857" w:rsidRPr="00DF094C" w:rsidRDefault="00201AD1" w:rsidP="00E35857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N</w:t>
      </w:r>
      <w:r w:rsidR="00E35857" w:rsidRPr="00DF094C">
        <w:rPr>
          <w:rFonts w:asciiTheme="minorHAnsi" w:hAnsiTheme="minorHAnsi" w:cstheme="minorHAnsi"/>
          <w:lang w:val="cs-CZ"/>
        </w:rPr>
        <w:t xml:space="preserve">ebyl splněn původní termín dostavby celého areálu CBO Těchonín určený na rok 2005. </w:t>
      </w:r>
      <w:r>
        <w:rPr>
          <w:rFonts w:asciiTheme="minorHAnsi" w:hAnsiTheme="minorHAnsi" w:cstheme="minorHAnsi"/>
          <w:lang w:val="cs-CZ"/>
        </w:rPr>
        <w:t>P</w:t>
      </w:r>
      <w:r w:rsidR="00E35857" w:rsidRPr="00DF094C">
        <w:rPr>
          <w:rFonts w:asciiTheme="minorHAnsi" w:hAnsiTheme="minorHAnsi" w:cstheme="minorHAnsi"/>
          <w:lang w:val="cs-CZ"/>
        </w:rPr>
        <w:t>lnění hlavních úkolů CBO Těchonín bylo omezeno vzhledem k nedokončeným investičním akcím</w:t>
      </w:r>
      <w:r w:rsidR="00442D8E">
        <w:rPr>
          <w:rFonts w:asciiTheme="minorHAnsi" w:hAnsiTheme="minorHAnsi" w:cstheme="minorHAnsi"/>
          <w:lang w:val="cs-CZ"/>
        </w:rPr>
        <w:t>,</w:t>
      </w:r>
      <w:r w:rsidR="00442D8E" w:rsidRPr="00442D8E">
        <w:rPr>
          <w:rFonts w:asciiTheme="minorHAnsi" w:hAnsiTheme="minorHAnsi" w:cstheme="minorHAnsi"/>
          <w:lang w:val="cs-CZ"/>
        </w:rPr>
        <w:t xml:space="preserve"> </w:t>
      </w:r>
      <w:r w:rsidR="00442D8E">
        <w:rPr>
          <w:rFonts w:asciiTheme="minorHAnsi" w:hAnsiTheme="minorHAnsi" w:cstheme="minorHAnsi"/>
          <w:lang w:val="cs-CZ"/>
        </w:rPr>
        <w:t xml:space="preserve">což MO </w:t>
      </w:r>
      <w:r w:rsidR="00A44CB7">
        <w:rPr>
          <w:rFonts w:asciiTheme="minorHAnsi" w:hAnsiTheme="minorHAnsi" w:cstheme="minorHAnsi"/>
          <w:lang w:val="cs-CZ"/>
        </w:rPr>
        <w:t>konstatovalo</w:t>
      </w:r>
      <w:r w:rsidR="00442D8E">
        <w:rPr>
          <w:rFonts w:asciiTheme="minorHAnsi" w:hAnsiTheme="minorHAnsi" w:cstheme="minorHAnsi"/>
          <w:lang w:val="cs-CZ"/>
        </w:rPr>
        <w:t xml:space="preserve"> již v roce 2008</w:t>
      </w:r>
      <w:r w:rsidR="00E35857" w:rsidRPr="00DF094C">
        <w:rPr>
          <w:rFonts w:asciiTheme="minorHAnsi" w:hAnsiTheme="minorHAnsi" w:cstheme="minorHAnsi"/>
          <w:lang w:val="cs-CZ"/>
        </w:rPr>
        <w:t xml:space="preserve">. Realizace těchto investičních akcí měla vést k plnění základních cílů a úkolů MO a k plnění mezinárodních závazků </w:t>
      </w:r>
      <w:r w:rsidR="00E35857" w:rsidRPr="001C67DF">
        <w:rPr>
          <w:rFonts w:asciiTheme="minorHAnsi" w:hAnsiTheme="minorHAnsi" w:cstheme="minorHAnsi"/>
          <w:i/>
          <w:lang w:val="cs-CZ"/>
        </w:rPr>
        <w:t>Pražské iniciativy</w:t>
      </w:r>
      <w:r w:rsidR="00E35857" w:rsidRPr="00DF094C">
        <w:rPr>
          <w:rFonts w:asciiTheme="minorHAnsi" w:hAnsiTheme="minorHAnsi" w:cstheme="minorHAnsi"/>
          <w:lang w:val="cs-CZ"/>
        </w:rPr>
        <w:t xml:space="preserve"> a národního závazku</w:t>
      </w:r>
      <w:r w:rsidR="00ED6E3D">
        <w:rPr>
          <w:rFonts w:asciiTheme="minorHAnsi" w:hAnsiTheme="minorHAnsi" w:cstheme="minorHAnsi"/>
          <w:lang w:val="cs-CZ"/>
        </w:rPr>
        <w:t xml:space="preserve"> vyplývajícího </w:t>
      </w:r>
      <w:r w:rsidR="00F76D41">
        <w:rPr>
          <w:rFonts w:asciiTheme="minorHAnsi" w:hAnsiTheme="minorHAnsi" w:cstheme="minorHAnsi"/>
          <w:lang w:val="cs-CZ"/>
        </w:rPr>
        <w:t>z </w:t>
      </w:r>
      <w:r w:rsidR="00E35857" w:rsidRPr="001C67DF">
        <w:rPr>
          <w:rFonts w:asciiTheme="minorHAnsi" w:hAnsiTheme="minorHAnsi" w:cstheme="minorHAnsi"/>
          <w:i/>
          <w:lang w:val="cs-CZ"/>
        </w:rPr>
        <w:t>Pražský</w:t>
      </w:r>
      <w:r w:rsidR="00EC78E7">
        <w:rPr>
          <w:rFonts w:asciiTheme="minorHAnsi" w:hAnsiTheme="minorHAnsi" w:cstheme="minorHAnsi"/>
          <w:i/>
          <w:lang w:val="cs-CZ"/>
        </w:rPr>
        <w:t>ch</w:t>
      </w:r>
      <w:r w:rsidR="00E35857" w:rsidRPr="001C67DF">
        <w:rPr>
          <w:rFonts w:asciiTheme="minorHAnsi" w:hAnsiTheme="minorHAnsi" w:cstheme="minorHAnsi"/>
          <w:i/>
          <w:lang w:val="cs-CZ"/>
        </w:rPr>
        <w:t xml:space="preserve"> závazků ke schopnostem</w:t>
      </w:r>
      <w:r w:rsidR="00E35857" w:rsidRPr="00DF094C">
        <w:rPr>
          <w:rFonts w:asciiTheme="minorHAnsi" w:hAnsiTheme="minorHAnsi" w:cstheme="minorHAnsi"/>
          <w:lang w:val="cs-CZ"/>
        </w:rPr>
        <w:t xml:space="preserve"> přijatý</w:t>
      </w:r>
      <w:r w:rsidR="00EC78E7">
        <w:rPr>
          <w:rFonts w:asciiTheme="minorHAnsi" w:hAnsiTheme="minorHAnsi" w:cstheme="minorHAnsi"/>
          <w:lang w:val="cs-CZ"/>
        </w:rPr>
        <w:t>ch</w:t>
      </w:r>
      <w:r w:rsidR="00E35857" w:rsidRPr="00DF094C">
        <w:rPr>
          <w:rFonts w:asciiTheme="minorHAnsi" w:hAnsiTheme="minorHAnsi" w:cstheme="minorHAnsi"/>
          <w:lang w:val="cs-CZ"/>
        </w:rPr>
        <w:t xml:space="preserve"> v rámci summitu NATO v</w:t>
      </w:r>
      <w:r>
        <w:rPr>
          <w:rFonts w:asciiTheme="minorHAnsi" w:hAnsiTheme="minorHAnsi" w:cstheme="minorHAnsi"/>
          <w:lang w:val="cs-CZ"/>
        </w:rPr>
        <w:t> </w:t>
      </w:r>
      <w:r w:rsidR="00E35857" w:rsidRPr="00DF094C">
        <w:rPr>
          <w:rFonts w:asciiTheme="minorHAnsi" w:hAnsiTheme="minorHAnsi" w:cstheme="minorHAnsi"/>
          <w:lang w:val="cs-CZ"/>
        </w:rPr>
        <w:t>Praze</w:t>
      </w:r>
      <w:r>
        <w:rPr>
          <w:rFonts w:asciiTheme="minorHAnsi" w:hAnsiTheme="minorHAnsi" w:cstheme="minorHAnsi"/>
          <w:lang w:val="cs-CZ"/>
        </w:rPr>
        <w:t>.</w:t>
      </w:r>
    </w:p>
    <w:p w:rsidR="001F1E10" w:rsidRPr="00DF094C" w:rsidRDefault="001F1E10" w:rsidP="00B272BF">
      <w:pPr>
        <w:rPr>
          <w:rFonts w:asciiTheme="minorHAnsi" w:hAnsiTheme="minorHAnsi" w:cstheme="minorHAnsi"/>
          <w:lang w:val="cs-CZ"/>
        </w:rPr>
      </w:pPr>
    </w:p>
    <w:p w:rsidR="00EC4E13" w:rsidRPr="00DF094C" w:rsidRDefault="00EC4E13" w:rsidP="004715B3">
      <w:pPr>
        <w:pStyle w:val="Titulek"/>
        <w:tabs>
          <w:tab w:val="right" w:pos="9072"/>
        </w:tabs>
        <w:ind w:left="1418" w:hanging="1418"/>
        <w:rPr>
          <w:rFonts w:cstheme="minorHAnsi"/>
          <w:b w:val="0"/>
          <w:u w:val="single"/>
        </w:rPr>
      </w:pPr>
      <w:r w:rsidRPr="00DF094C">
        <w:rPr>
          <w:rFonts w:cstheme="minorHAnsi"/>
        </w:rPr>
        <w:t>Tabulka</w:t>
      </w:r>
      <w:r w:rsidR="004B505A" w:rsidRPr="00DF094C">
        <w:rPr>
          <w:rFonts w:cstheme="minorHAnsi"/>
        </w:rPr>
        <w:t xml:space="preserve"> č.</w:t>
      </w:r>
      <w:r w:rsidRPr="00DF094C">
        <w:rPr>
          <w:rFonts w:cstheme="minorHAnsi"/>
        </w:rPr>
        <w:t xml:space="preserve"> </w:t>
      </w:r>
      <w:r w:rsidR="008B1CC9" w:rsidRPr="00DF094C">
        <w:rPr>
          <w:rFonts w:cstheme="minorHAnsi"/>
        </w:rPr>
        <w:fldChar w:fldCharType="begin"/>
      </w:r>
      <w:r w:rsidR="008B1CC9" w:rsidRPr="00DF094C">
        <w:rPr>
          <w:rFonts w:cstheme="minorHAnsi"/>
        </w:rPr>
        <w:instrText xml:space="preserve"> SEQ Tabulka \* ARABIC </w:instrText>
      </w:r>
      <w:r w:rsidR="008B1CC9" w:rsidRPr="00DF094C">
        <w:rPr>
          <w:rFonts w:cstheme="minorHAnsi"/>
        </w:rPr>
        <w:fldChar w:fldCharType="separate"/>
      </w:r>
      <w:r w:rsidR="00F57FE6">
        <w:rPr>
          <w:rFonts w:cstheme="minorHAnsi"/>
          <w:noProof/>
        </w:rPr>
        <w:t>1</w:t>
      </w:r>
      <w:r w:rsidR="008B1CC9" w:rsidRPr="00DF094C">
        <w:rPr>
          <w:rFonts w:cstheme="minorHAnsi"/>
          <w:noProof/>
        </w:rPr>
        <w:fldChar w:fldCharType="end"/>
      </w:r>
      <w:r w:rsidR="004715B3">
        <w:rPr>
          <w:rFonts w:cstheme="minorHAnsi"/>
        </w:rPr>
        <w:t xml:space="preserve"> – </w:t>
      </w:r>
      <w:r w:rsidRPr="00DF094C">
        <w:rPr>
          <w:rFonts w:cstheme="minorHAnsi"/>
        </w:rPr>
        <w:t>Kapitálové výdaje na výstavbu a vybavení a provozní výdaje CBO Těchonín v letech 2001</w:t>
      </w:r>
      <w:r w:rsidR="007228FC">
        <w:rPr>
          <w:rFonts w:cstheme="minorHAnsi"/>
        </w:rPr>
        <w:t xml:space="preserve"> až </w:t>
      </w:r>
      <w:r w:rsidRPr="00DF094C">
        <w:rPr>
          <w:rFonts w:cstheme="minorHAnsi"/>
        </w:rPr>
        <w:t xml:space="preserve">2014 </w:t>
      </w:r>
      <w:r w:rsidR="007228FC">
        <w:rPr>
          <w:rFonts w:cstheme="minorHAnsi"/>
        </w:rPr>
        <w:tab/>
      </w:r>
      <w:r w:rsidRPr="00DF094C">
        <w:rPr>
          <w:rFonts w:cstheme="minorHAnsi"/>
        </w:rPr>
        <w:t>(v Kč)</w:t>
      </w:r>
    </w:p>
    <w:tbl>
      <w:tblPr>
        <w:tblW w:w="903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4063"/>
        <w:gridCol w:w="4064"/>
      </w:tblGrid>
      <w:tr w:rsidR="00EC4E13" w:rsidRPr="00155C8C" w:rsidTr="00155C8C">
        <w:trPr>
          <w:trHeight w:val="26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Rok</w:t>
            </w:r>
          </w:p>
        </w:tc>
        <w:tc>
          <w:tcPr>
            <w:tcW w:w="4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Kapitálové výdaje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Provozní výdaje</w:t>
            </w:r>
          </w:p>
        </w:tc>
      </w:tr>
      <w:tr w:rsidR="00EC4E13" w:rsidRPr="00155C8C" w:rsidTr="00155C8C">
        <w:trPr>
          <w:trHeight w:val="28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28 954 865,00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- 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503 887 800,00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2003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1 078 473 380,00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2004</w:t>
            </w: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64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2005</w:t>
            </w: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95 626 000,00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2006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17 071 109,00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64 746 898,76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2007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490 280,00</w:t>
            </w: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115 886 143,81</w:t>
            </w:r>
          </w:p>
        </w:tc>
      </w:tr>
      <w:tr w:rsidR="00EC4E13" w:rsidRPr="00155C8C" w:rsidTr="00155C8C">
        <w:trPr>
          <w:trHeight w:val="284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120 000 000,00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64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2008</w:t>
            </w: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138 368 445,40</w:t>
            </w:r>
          </w:p>
        </w:tc>
      </w:tr>
      <w:tr w:rsidR="00EC4E13" w:rsidRPr="00155C8C" w:rsidTr="00155C8C">
        <w:trPr>
          <w:trHeight w:val="284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64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2009</w:t>
            </w:r>
          </w:p>
        </w:tc>
        <w:tc>
          <w:tcPr>
            <w:tcW w:w="4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151 444 680,78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751 000,00</w:t>
            </w:r>
          </w:p>
        </w:tc>
        <w:tc>
          <w:tcPr>
            <w:tcW w:w="4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2010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-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148 934 228,48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2011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24 805 756,00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152 222 914,62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2012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-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128 444 805,25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2013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-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98 832 159,79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/>
              </w:rPr>
              <w:t>2014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- 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63 436 342,86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1 870 060 190,00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ind w:right="111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1 062 316 619,75</w:t>
            </w:r>
          </w:p>
        </w:tc>
      </w:tr>
      <w:tr w:rsidR="00EC4E13" w:rsidRPr="00155C8C" w:rsidTr="00155C8C">
        <w:trPr>
          <w:trHeight w:val="227"/>
          <w:jc w:val="center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13" w:rsidRPr="00155C8C" w:rsidRDefault="00EC4E1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2 932 376 809,75</w:t>
            </w:r>
          </w:p>
        </w:tc>
      </w:tr>
    </w:tbl>
    <w:p w:rsidR="00902F2F" w:rsidRPr="00F14341" w:rsidRDefault="002661D9" w:rsidP="0000796C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cs-CZ"/>
        </w:rPr>
      </w:pPr>
      <w:r w:rsidRPr="00765F7B">
        <w:rPr>
          <w:rFonts w:asciiTheme="minorHAnsi" w:hAnsiTheme="minorHAnsi" w:cstheme="minorHAnsi"/>
          <w:b/>
          <w:color w:val="000000"/>
          <w:sz w:val="20"/>
          <w:szCs w:val="20"/>
          <w:lang w:val="cs-CZ"/>
        </w:rPr>
        <w:t>Zdroj:</w:t>
      </w:r>
      <w:r w:rsidRPr="00F14341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 </w:t>
      </w:r>
      <w:r w:rsidR="00CF04D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zpracováno NKÚ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z informací </w:t>
      </w:r>
      <w:r w:rsidR="00235D83">
        <w:rPr>
          <w:rFonts w:asciiTheme="minorHAnsi" w:hAnsiTheme="minorHAnsi" w:cstheme="minorHAnsi"/>
          <w:color w:val="000000"/>
          <w:sz w:val="20"/>
          <w:szCs w:val="20"/>
          <w:lang w:val="cs-CZ"/>
        </w:rPr>
        <w:t xml:space="preserve">a dokladů </w:t>
      </w:r>
      <w:r>
        <w:rPr>
          <w:rFonts w:asciiTheme="minorHAnsi" w:hAnsiTheme="minorHAnsi" w:cstheme="minorHAnsi"/>
          <w:color w:val="000000"/>
          <w:sz w:val="20"/>
          <w:szCs w:val="20"/>
          <w:lang w:val="cs-CZ"/>
        </w:rPr>
        <w:t>MO</w:t>
      </w:r>
      <w:r w:rsidR="00235D83">
        <w:rPr>
          <w:rFonts w:asciiTheme="minorHAnsi" w:hAnsiTheme="minorHAnsi" w:cstheme="minorHAnsi"/>
          <w:color w:val="000000"/>
          <w:sz w:val="20"/>
          <w:szCs w:val="20"/>
          <w:lang w:val="cs-CZ"/>
        </w:rPr>
        <w:t>.</w:t>
      </w:r>
    </w:p>
    <w:p w:rsidR="002661D9" w:rsidRDefault="002661D9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D15B9A" w:rsidRPr="00DF094C" w:rsidRDefault="00D15B9A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K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>bodu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3 části II</w:t>
      </w:r>
      <w:r w:rsidR="00B0466B" w:rsidRPr="00DF094C">
        <w:rPr>
          <w:rFonts w:asciiTheme="minorHAnsi" w:hAnsiTheme="minorHAnsi" w:cstheme="minorHAnsi"/>
          <w:b/>
          <w:color w:val="000000"/>
          <w:lang w:val="cs-CZ"/>
        </w:rPr>
        <w:t xml:space="preserve">.: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Neplnění 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vymezen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ých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 xml:space="preserve"> úkol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ů</w:t>
      </w:r>
    </w:p>
    <w:p w:rsidR="00A44CB7" w:rsidRDefault="00A44CB7" w:rsidP="0000796C">
      <w:pPr>
        <w:jc w:val="both"/>
        <w:rPr>
          <w:rFonts w:asciiTheme="minorHAnsi" w:hAnsiTheme="minorHAnsi" w:cstheme="minorHAnsi"/>
          <w:lang w:val="cs-CZ"/>
        </w:rPr>
      </w:pPr>
    </w:p>
    <w:p w:rsidR="00F00223" w:rsidRPr="00DF094C" w:rsidRDefault="003A7EC1" w:rsidP="0000796C">
      <w:pPr>
        <w:jc w:val="both"/>
        <w:rPr>
          <w:rFonts w:asciiTheme="minorHAnsi" w:hAnsiTheme="minorHAnsi" w:cstheme="minorHAnsi"/>
          <w:color w:val="000000" w:themeColor="text1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MO nenastavilo </w:t>
      </w:r>
      <w:r w:rsidR="006863DA">
        <w:rPr>
          <w:rFonts w:asciiTheme="minorHAnsi" w:hAnsiTheme="minorHAnsi" w:cstheme="minorHAnsi"/>
          <w:lang w:val="cs-CZ"/>
        </w:rPr>
        <w:t xml:space="preserve">u CBO Těchonín </w:t>
      </w:r>
      <w:r w:rsidRPr="00DF094C">
        <w:rPr>
          <w:rFonts w:asciiTheme="minorHAnsi" w:hAnsiTheme="minorHAnsi" w:cstheme="minorHAnsi"/>
          <w:lang w:val="cs-CZ"/>
        </w:rPr>
        <w:t xml:space="preserve">kritéria </w:t>
      </w:r>
      <w:r w:rsidR="00261F74" w:rsidRPr="00DF094C">
        <w:rPr>
          <w:rFonts w:asciiTheme="minorHAnsi" w:hAnsiTheme="minorHAnsi" w:cstheme="minorHAnsi"/>
          <w:lang w:val="cs-CZ"/>
        </w:rPr>
        <w:t xml:space="preserve">pro </w:t>
      </w:r>
      <w:r w:rsidRPr="00DF094C">
        <w:rPr>
          <w:rFonts w:asciiTheme="minorHAnsi" w:hAnsiTheme="minorHAnsi" w:cstheme="minorHAnsi"/>
          <w:lang w:val="cs-CZ"/>
        </w:rPr>
        <w:t>hodnocení plnění statutárních funkcí</w:t>
      </w:r>
      <w:r w:rsidR="006863DA">
        <w:rPr>
          <w:rFonts w:asciiTheme="minorHAnsi" w:hAnsiTheme="minorHAnsi" w:cstheme="minorHAnsi"/>
          <w:lang w:val="cs-CZ"/>
        </w:rPr>
        <w:t xml:space="preserve"> a </w:t>
      </w:r>
      <w:r w:rsidRPr="00DF094C">
        <w:rPr>
          <w:rFonts w:asciiTheme="minorHAnsi" w:hAnsiTheme="minorHAnsi" w:cstheme="minorHAnsi"/>
          <w:lang w:val="cs-CZ"/>
        </w:rPr>
        <w:t xml:space="preserve">většinu stanovených úkolů </w:t>
      </w:r>
      <w:r w:rsidR="00CC1EB4" w:rsidRPr="00DF094C">
        <w:rPr>
          <w:rFonts w:asciiTheme="minorHAnsi" w:hAnsiTheme="minorHAnsi" w:cstheme="minorHAnsi"/>
          <w:lang w:val="cs-CZ"/>
        </w:rPr>
        <w:t>plnilo</w:t>
      </w:r>
      <w:r w:rsidRPr="00DF094C">
        <w:rPr>
          <w:rFonts w:asciiTheme="minorHAnsi" w:hAnsiTheme="minorHAnsi" w:cstheme="minorHAnsi"/>
          <w:lang w:val="cs-CZ"/>
        </w:rPr>
        <w:t xml:space="preserve"> pouze v omezené míře</w:t>
      </w:r>
      <w:r w:rsidR="006863DA">
        <w:rPr>
          <w:rFonts w:asciiTheme="minorHAnsi" w:hAnsiTheme="minorHAnsi" w:cstheme="minorHAnsi"/>
          <w:lang w:val="cs-CZ"/>
        </w:rPr>
        <w:t>, čímž</w:t>
      </w:r>
      <w:r w:rsidR="00342291" w:rsidRPr="00DF094C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nedosáhlo</w:t>
      </w:r>
      <w:r w:rsidR="00342291" w:rsidRPr="00DF094C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>plných schopností</w:t>
      </w:r>
      <w:r w:rsidRPr="00DF094C">
        <w:rPr>
          <w:rFonts w:asciiTheme="minorHAnsi" w:hAnsiTheme="minorHAnsi" w:cstheme="minorHAnsi"/>
          <w:lang w:val="cs-CZ"/>
        </w:rPr>
        <w:t xml:space="preserve"> v</w:t>
      </w:r>
      <w:r w:rsidR="001F1E10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plnění svých statutárních funkcí</w:t>
      </w:r>
      <w:r w:rsidRPr="00DF094C">
        <w:rPr>
          <w:rFonts w:asciiTheme="minorHAnsi" w:hAnsiTheme="minorHAnsi" w:cstheme="minorHAnsi"/>
          <w:color w:val="000000" w:themeColor="text1"/>
          <w:lang w:val="cs-CZ"/>
        </w:rPr>
        <w:t xml:space="preserve">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342291" w:rsidRPr="00DF094C" w:rsidRDefault="00342291" w:rsidP="00342291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lastRenderedPageBreak/>
        <w:t xml:space="preserve">Ačkoliv </w:t>
      </w:r>
      <w:r w:rsidR="00EC78E7" w:rsidRPr="00DF094C">
        <w:rPr>
          <w:rFonts w:asciiTheme="minorHAnsi" w:hAnsiTheme="minorHAnsi" w:cstheme="minorHAnsi"/>
          <w:lang w:val="cs-CZ"/>
        </w:rPr>
        <w:t xml:space="preserve">bylo </w:t>
      </w:r>
      <w:r w:rsidRPr="00DF094C">
        <w:rPr>
          <w:rFonts w:asciiTheme="minorHAnsi" w:hAnsiTheme="minorHAnsi" w:cstheme="minorHAnsi"/>
          <w:lang w:val="cs-CZ"/>
        </w:rPr>
        <w:t>CBO Těchonín schopno plnit úkol</w:t>
      </w:r>
      <w:r w:rsidR="00C85BF7">
        <w:rPr>
          <w:rFonts w:asciiTheme="minorHAnsi" w:hAnsiTheme="minorHAnsi" w:cstheme="minorHAnsi"/>
          <w:lang w:val="cs-CZ"/>
        </w:rPr>
        <w:t>y</w:t>
      </w:r>
      <w:r w:rsidRPr="00DF094C">
        <w:rPr>
          <w:rFonts w:asciiTheme="minorHAnsi" w:hAnsiTheme="minorHAnsi" w:cstheme="minorHAnsi"/>
          <w:lang w:val="cs-CZ"/>
        </w:rPr>
        <w:t xml:space="preserve"> izolace a hospitalizace vlastními silami, nemohl být plný provoz zajišťován nepřetržit</w:t>
      </w:r>
      <w:r w:rsidR="00EC78E7">
        <w:rPr>
          <w:rFonts w:asciiTheme="minorHAnsi" w:hAnsiTheme="minorHAnsi" w:cstheme="minorHAnsi"/>
          <w:lang w:val="cs-CZ"/>
        </w:rPr>
        <w:t>ě</w:t>
      </w:r>
      <w:r w:rsidRPr="00DF094C">
        <w:rPr>
          <w:rFonts w:asciiTheme="minorHAnsi" w:hAnsiTheme="minorHAnsi" w:cstheme="minorHAnsi"/>
          <w:lang w:val="cs-CZ"/>
        </w:rPr>
        <w:t>. Nařízená izolace proběhla pouze v jednom případě. CBO Těchonín bylo v roce 2014 dle právních předpisů personálně zabezpečeno a</w:t>
      </w:r>
      <w:r w:rsidR="002479C2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 xml:space="preserve">registrováno jako zdravotnické zařízení k poskytování </w:t>
      </w:r>
      <w:r w:rsidR="00EC78E7" w:rsidRPr="00DF094C">
        <w:rPr>
          <w:rFonts w:asciiTheme="minorHAnsi" w:hAnsiTheme="minorHAnsi" w:cstheme="minorHAnsi"/>
          <w:lang w:val="cs-CZ"/>
        </w:rPr>
        <w:t xml:space="preserve">standardní </w:t>
      </w:r>
      <w:r w:rsidRPr="00DF094C">
        <w:rPr>
          <w:rFonts w:asciiTheme="minorHAnsi" w:hAnsiTheme="minorHAnsi" w:cstheme="minorHAnsi"/>
          <w:lang w:val="cs-CZ"/>
        </w:rPr>
        <w:t>akutní lůžkové péče. V </w:t>
      </w:r>
      <w:r w:rsidR="00A44CB7">
        <w:rPr>
          <w:rFonts w:asciiTheme="minorHAnsi" w:hAnsiTheme="minorHAnsi" w:cstheme="minorHAnsi"/>
          <w:lang w:val="cs-CZ"/>
        </w:rPr>
        <w:t>p</w:t>
      </w:r>
      <w:r w:rsidRPr="00DF094C">
        <w:rPr>
          <w:rFonts w:asciiTheme="minorHAnsi" w:hAnsiTheme="minorHAnsi" w:cstheme="minorHAnsi"/>
          <w:lang w:val="cs-CZ"/>
        </w:rPr>
        <w:t xml:space="preserve">lánu aktivace CBO Těchonín byly pro dosažení plných operačních schopností kapacity SIN nastaveny tyto počty: karanténa do 100 osob s nízkým rizikem nákazy, akutní lůžková péče standardního typu do 20 pacientů a nepřetržitá intenzivní péče do 8 pacientů. CBO Těchonín registraci pro poskytování zdravotnických služeb </w:t>
      </w:r>
      <w:r w:rsidR="00C85BF7" w:rsidRPr="00DF094C">
        <w:rPr>
          <w:rFonts w:asciiTheme="minorHAnsi" w:hAnsiTheme="minorHAnsi" w:cstheme="minorHAnsi"/>
          <w:lang w:val="cs-CZ"/>
        </w:rPr>
        <w:t xml:space="preserve">intenzivní </w:t>
      </w:r>
      <w:r w:rsidRPr="00DF094C">
        <w:rPr>
          <w:rFonts w:asciiTheme="minorHAnsi" w:hAnsiTheme="minorHAnsi" w:cstheme="minorHAnsi"/>
          <w:lang w:val="cs-CZ"/>
        </w:rPr>
        <w:t xml:space="preserve">akutní lůžkové péče, pro kterou bylo v SIN vymezeno 8 lůžek, do doby ukončení kontroly NKÚ nezískalo. </w:t>
      </w:r>
    </w:p>
    <w:p w:rsidR="00342291" w:rsidRPr="00DF094C" w:rsidRDefault="00342291" w:rsidP="0000796C">
      <w:pPr>
        <w:jc w:val="both"/>
        <w:rPr>
          <w:rFonts w:asciiTheme="minorHAnsi" w:hAnsiTheme="minorHAnsi" w:cstheme="minorHAnsi"/>
          <w:lang w:val="cs-CZ"/>
        </w:rPr>
      </w:pPr>
    </w:p>
    <w:p w:rsidR="00342291" w:rsidRPr="00DF094C" w:rsidRDefault="00342291" w:rsidP="00342291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Ačkoliv CBO Těchonín disponuje laboratořemi na </w:t>
      </w:r>
      <w:r w:rsidR="00713D2D" w:rsidRPr="00DF094C">
        <w:rPr>
          <w:rFonts w:asciiTheme="minorHAnsi" w:hAnsiTheme="minorHAnsi" w:cstheme="minorHAnsi"/>
          <w:lang w:val="cs-CZ"/>
        </w:rPr>
        <w:t>stupni b</w:t>
      </w:r>
      <w:r w:rsidRPr="00DF094C">
        <w:rPr>
          <w:rFonts w:asciiTheme="minorHAnsi" w:hAnsiTheme="minorHAnsi" w:cstheme="minorHAnsi"/>
          <w:lang w:val="cs-CZ"/>
        </w:rPr>
        <w:t>iologického zabezpečení BSL-4, nezajišťuje diagnostiku vysoce nakažlivých nemocí vlastními kapacitami</w:t>
      </w:r>
      <w:r w:rsidR="00461D5B">
        <w:rPr>
          <w:rFonts w:asciiTheme="minorHAnsi" w:hAnsiTheme="minorHAnsi" w:cstheme="minorHAnsi"/>
          <w:lang w:val="cs-CZ"/>
        </w:rPr>
        <w:t>,</w:t>
      </w:r>
      <w:r w:rsidRPr="00DF094C">
        <w:rPr>
          <w:rFonts w:asciiTheme="minorHAnsi" w:hAnsiTheme="minorHAnsi" w:cstheme="minorHAnsi"/>
          <w:lang w:val="cs-CZ"/>
        </w:rPr>
        <w:t xml:space="preserve"> a netvoří </w:t>
      </w:r>
      <w:r w:rsidR="00EE0F9E">
        <w:rPr>
          <w:rFonts w:asciiTheme="minorHAnsi" w:hAnsiTheme="minorHAnsi" w:cstheme="minorHAnsi"/>
          <w:lang w:val="cs-CZ"/>
        </w:rPr>
        <w:t>tedy</w:t>
      </w:r>
      <w:r w:rsidR="006863DA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funkční celek zdravotnického zařízení na t</w:t>
      </w:r>
      <w:r w:rsidR="00713D2D" w:rsidRPr="00DF094C">
        <w:rPr>
          <w:rFonts w:asciiTheme="minorHAnsi" w:hAnsiTheme="minorHAnsi" w:cstheme="minorHAnsi"/>
          <w:lang w:val="cs-CZ"/>
        </w:rPr>
        <w:t>omto stupni</w:t>
      </w:r>
      <w:r w:rsidRPr="00DF094C">
        <w:rPr>
          <w:rFonts w:asciiTheme="minorHAnsi" w:hAnsiTheme="minorHAnsi" w:cstheme="minorHAnsi"/>
          <w:lang w:val="cs-CZ"/>
        </w:rPr>
        <w:t xml:space="preserve">. Karanténní opatření v CBO Těchonín nebyla zajišťována soběstačně vlastními specialisty nezávisle na ostatních subjektech, případně </w:t>
      </w:r>
      <w:r w:rsidR="00461D5B">
        <w:rPr>
          <w:rFonts w:asciiTheme="minorHAnsi" w:hAnsiTheme="minorHAnsi" w:cstheme="minorHAnsi"/>
          <w:lang w:val="cs-CZ"/>
        </w:rPr>
        <w:t xml:space="preserve">nezávisle na </w:t>
      </w:r>
      <w:r w:rsidRPr="00DF094C">
        <w:rPr>
          <w:rFonts w:asciiTheme="minorHAnsi" w:hAnsiTheme="minorHAnsi" w:cstheme="minorHAnsi"/>
          <w:lang w:val="cs-CZ"/>
        </w:rPr>
        <w:t>složkách AČR. Diagnostika biologických vzorků u vysoce nakažlivých nemocí byla smluvně zajištěna externím zařízením Robert Koch Institut v Berlíně.</w:t>
      </w:r>
    </w:p>
    <w:p w:rsidR="00342291" w:rsidRPr="00DF094C" w:rsidRDefault="00342291" w:rsidP="0000796C">
      <w:pPr>
        <w:jc w:val="both"/>
        <w:rPr>
          <w:rFonts w:asciiTheme="minorHAnsi" w:hAnsiTheme="minorHAnsi" w:cstheme="minorHAnsi"/>
          <w:lang w:val="cs-CZ"/>
        </w:rPr>
      </w:pPr>
    </w:p>
    <w:p w:rsidR="00765593" w:rsidRPr="00DF094C" w:rsidRDefault="001028BF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Přestože CBO Těchonín slouží jako základna pro mobilní prvky systému biologické ochrany, které vyžadují speciální skladovací podmínky, nebyla d</w:t>
      </w:r>
      <w:r w:rsidR="003A7EC1" w:rsidRPr="00DF094C">
        <w:rPr>
          <w:rFonts w:asciiTheme="minorHAnsi" w:hAnsiTheme="minorHAnsi" w:cstheme="minorHAnsi"/>
          <w:lang w:val="cs-CZ"/>
        </w:rPr>
        <w:t>oposud realizována výstavb</w:t>
      </w:r>
      <w:r w:rsidRPr="00DF094C">
        <w:rPr>
          <w:rFonts w:asciiTheme="minorHAnsi" w:hAnsiTheme="minorHAnsi" w:cstheme="minorHAnsi"/>
          <w:lang w:val="cs-CZ"/>
        </w:rPr>
        <w:t>a</w:t>
      </w:r>
      <w:r w:rsidR="003A7EC1" w:rsidRPr="00DF094C">
        <w:rPr>
          <w:rFonts w:asciiTheme="minorHAnsi" w:hAnsiTheme="minorHAnsi" w:cstheme="minorHAnsi"/>
          <w:lang w:val="cs-CZ"/>
        </w:rPr>
        <w:t xml:space="preserve"> temperovaných garáží</w:t>
      </w:r>
      <w:r w:rsidRPr="00DF094C">
        <w:rPr>
          <w:rFonts w:asciiTheme="minorHAnsi" w:hAnsiTheme="minorHAnsi" w:cstheme="minorHAnsi"/>
          <w:lang w:val="cs-CZ"/>
        </w:rPr>
        <w:t>. B</w:t>
      </w:r>
      <w:r w:rsidR="003A7EC1" w:rsidRPr="00DF094C">
        <w:rPr>
          <w:rFonts w:asciiTheme="minorHAnsi" w:hAnsiTheme="minorHAnsi" w:cstheme="minorHAnsi"/>
          <w:lang w:val="cs-CZ"/>
        </w:rPr>
        <w:t>iologický obranný výzkum probíhal v omezené míře</w:t>
      </w:r>
      <w:r w:rsidR="00765593" w:rsidRPr="00DF094C">
        <w:rPr>
          <w:rFonts w:asciiTheme="minorHAnsi" w:hAnsiTheme="minorHAnsi" w:cstheme="minorHAnsi"/>
          <w:lang w:val="cs-CZ"/>
        </w:rPr>
        <w:t xml:space="preserve">. </w:t>
      </w:r>
    </w:p>
    <w:p w:rsidR="001028BF" w:rsidRPr="00DF094C" w:rsidRDefault="001028BF" w:rsidP="0000796C">
      <w:pPr>
        <w:jc w:val="both"/>
        <w:rPr>
          <w:rFonts w:asciiTheme="minorHAnsi" w:hAnsiTheme="minorHAnsi" w:cstheme="minorHAnsi"/>
          <w:lang w:val="cs-CZ"/>
        </w:rPr>
      </w:pPr>
    </w:p>
    <w:p w:rsidR="00456AD5" w:rsidRPr="00DF094C" w:rsidRDefault="003A7EC1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MO nevyužívalo objekt CBO </w:t>
      </w:r>
      <w:r w:rsidR="00765593" w:rsidRPr="00DF094C">
        <w:rPr>
          <w:rFonts w:asciiTheme="minorHAnsi" w:hAnsiTheme="minorHAnsi" w:cstheme="minorHAnsi"/>
          <w:lang w:val="cs-CZ"/>
        </w:rPr>
        <w:t xml:space="preserve">Těchonín </w:t>
      </w:r>
      <w:r w:rsidR="006C55BA">
        <w:rPr>
          <w:rFonts w:asciiTheme="minorHAnsi" w:hAnsiTheme="minorHAnsi" w:cstheme="minorHAnsi"/>
          <w:lang w:val="cs-CZ"/>
        </w:rPr>
        <w:t>způsobe</w:t>
      </w:r>
      <w:r w:rsidR="00F14341">
        <w:rPr>
          <w:rFonts w:asciiTheme="minorHAnsi" w:hAnsiTheme="minorHAnsi" w:cstheme="minorHAnsi"/>
          <w:lang w:val="cs-CZ"/>
        </w:rPr>
        <w:t>m</w:t>
      </w:r>
      <w:r w:rsidR="006C55BA">
        <w:rPr>
          <w:rFonts w:asciiTheme="minorHAnsi" w:hAnsiTheme="minorHAnsi" w:cstheme="minorHAnsi"/>
          <w:lang w:val="cs-CZ"/>
        </w:rPr>
        <w:t>, který by</w:t>
      </w:r>
      <w:r w:rsidRPr="00DF094C">
        <w:rPr>
          <w:rFonts w:asciiTheme="minorHAnsi" w:hAnsiTheme="minorHAnsi" w:cstheme="minorHAnsi"/>
          <w:lang w:val="cs-CZ"/>
        </w:rPr>
        <w:t xml:space="preserve"> odpovídal využití </w:t>
      </w:r>
      <w:r w:rsidR="00F14341">
        <w:rPr>
          <w:rFonts w:asciiTheme="minorHAnsi" w:hAnsiTheme="minorHAnsi" w:cstheme="minorHAnsi"/>
          <w:lang w:val="cs-CZ"/>
        </w:rPr>
        <w:t xml:space="preserve">schválenému </w:t>
      </w:r>
      <w:r w:rsidRPr="00DF094C">
        <w:rPr>
          <w:rFonts w:asciiTheme="minorHAnsi" w:hAnsiTheme="minorHAnsi" w:cstheme="minorHAnsi"/>
          <w:lang w:val="cs-CZ"/>
        </w:rPr>
        <w:t>usnesení</w:t>
      </w:r>
      <w:r w:rsidR="00197C27">
        <w:rPr>
          <w:rFonts w:asciiTheme="minorHAnsi" w:hAnsiTheme="minorHAnsi" w:cstheme="minorHAnsi"/>
          <w:lang w:val="cs-CZ"/>
        </w:rPr>
        <w:t>m</w:t>
      </w:r>
      <w:r w:rsidRPr="00DF094C">
        <w:rPr>
          <w:rFonts w:asciiTheme="minorHAnsi" w:hAnsiTheme="minorHAnsi" w:cstheme="minorHAnsi"/>
          <w:lang w:val="cs-CZ"/>
        </w:rPr>
        <w:t xml:space="preserve"> vlády č. 724 ze dne 6. července 2003, a to v oblasti </w:t>
      </w:r>
      <w:r w:rsidRPr="001C67DF">
        <w:rPr>
          <w:rFonts w:asciiTheme="minorHAnsi" w:hAnsiTheme="minorHAnsi" w:cstheme="minorHAnsi"/>
          <w:lang w:val="cs-CZ"/>
        </w:rPr>
        <w:t>„</w:t>
      </w:r>
      <w:r w:rsidRPr="00DF094C">
        <w:rPr>
          <w:rFonts w:asciiTheme="minorHAnsi" w:hAnsiTheme="minorHAnsi" w:cstheme="minorHAnsi"/>
          <w:i/>
          <w:lang w:val="cs-CZ"/>
        </w:rPr>
        <w:t>provádění školení a výcviku specialistů ČR i aliančních zemí NATO</w:t>
      </w:r>
      <w:r w:rsidRPr="001C67DF">
        <w:rPr>
          <w:rFonts w:asciiTheme="minorHAnsi" w:hAnsiTheme="minorHAnsi" w:cstheme="minorHAnsi"/>
          <w:lang w:val="cs-CZ"/>
        </w:rPr>
        <w:t>“.</w:t>
      </w:r>
      <w:r w:rsidRPr="00DF094C">
        <w:rPr>
          <w:rFonts w:asciiTheme="minorHAnsi" w:hAnsiTheme="minorHAnsi" w:cstheme="minorHAnsi"/>
          <w:i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Počet školení a výcviků specialistů ČR i na</w:t>
      </w:r>
      <w:r w:rsidR="00765593" w:rsidRPr="00DF094C">
        <w:rPr>
          <w:rFonts w:asciiTheme="minorHAnsi" w:hAnsiTheme="minorHAnsi" w:cstheme="minorHAnsi"/>
          <w:lang w:val="cs-CZ"/>
        </w:rPr>
        <w:t xml:space="preserve"> mezinárodní úrovni byl omezený,</w:t>
      </w:r>
      <w:r w:rsidR="00342291" w:rsidRPr="00DF094C">
        <w:rPr>
          <w:rFonts w:asciiTheme="minorHAnsi" w:hAnsiTheme="minorHAnsi" w:cstheme="minorHAnsi"/>
          <w:lang w:val="cs-CZ"/>
        </w:rPr>
        <w:t xml:space="preserve"> viz </w:t>
      </w:r>
      <w:r w:rsidR="00765593" w:rsidRPr="00DF094C">
        <w:rPr>
          <w:rFonts w:asciiTheme="minorHAnsi" w:hAnsiTheme="minorHAnsi" w:cstheme="minorHAnsi"/>
          <w:lang w:val="cs-CZ"/>
        </w:rPr>
        <w:t>následující tabul</w:t>
      </w:r>
      <w:r w:rsidR="00342291" w:rsidRPr="00DF094C">
        <w:rPr>
          <w:rFonts w:asciiTheme="minorHAnsi" w:hAnsiTheme="minorHAnsi" w:cstheme="minorHAnsi"/>
          <w:lang w:val="cs-CZ"/>
        </w:rPr>
        <w:t>ka</w:t>
      </w:r>
      <w:r w:rsidR="00765593" w:rsidRPr="00DF094C">
        <w:rPr>
          <w:rFonts w:asciiTheme="minorHAnsi" w:hAnsiTheme="minorHAnsi" w:cstheme="minorHAnsi"/>
          <w:lang w:val="cs-CZ"/>
        </w:rPr>
        <w:t>:</w:t>
      </w:r>
      <w:bookmarkStart w:id="1" w:name="_Toc418596333"/>
    </w:p>
    <w:p w:rsidR="00F14341" w:rsidRPr="00DF094C" w:rsidRDefault="00F14341" w:rsidP="0000796C">
      <w:pPr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</w:p>
    <w:p w:rsidR="00765593" w:rsidRPr="00DF094C" w:rsidRDefault="00765593" w:rsidP="004715B3">
      <w:pPr>
        <w:ind w:left="1560" w:hanging="1560"/>
        <w:jc w:val="both"/>
        <w:rPr>
          <w:rFonts w:asciiTheme="minorHAnsi" w:hAnsiTheme="minorHAnsi" w:cstheme="minorHAnsi"/>
          <w:b/>
          <w:bCs/>
          <w:color w:val="000000" w:themeColor="text1"/>
          <w:lang w:val="cs-CZ"/>
        </w:rPr>
      </w:pPr>
      <w:r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>Tabulka</w:t>
      </w:r>
      <w:r w:rsidR="004B505A"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č.</w:t>
      </w:r>
      <w:r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</w:t>
      </w:r>
      <w:r w:rsidR="004B505A"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>2</w:t>
      </w:r>
      <w:r w:rsidR="004715B3">
        <w:rPr>
          <w:rFonts w:asciiTheme="minorHAnsi" w:hAnsiTheme="minorHAnsi" w:cstheme="minorHAnsi"/>
          <w:b/>
          <w:bCs/>
          <w:color w:val="000000" w:themeColor="text1"/>
          <w:lang w:val="cs-CZ"/>
        </w:rPr>
        <w:t> –</w:t>
      </w:r>
      <w:r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 Počet realizovaných akcí (školení, výcvik) v CBO </w:t>
      </w:r>
      <w:r w:rsidR="002E4A76"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 xml:space="preserve">Těchonín </w:t>
      </w:r>
      <w:r w:rsidRPr="00DF094C">
        <w:rPr>
          <w:rFonts w:asciiTheme="minorHAnsi" w:hAnsiTheme="minorHAnsi" w:cstheme="minorHAnsi"/>
          <w:b/>
          <w:bCs/>
          <w:color w:val="000000" w:themeColor="text1"/>
          <w:lang w:val="cs-CZ"/>
        </w:rPr>
        <w:t>v letech 2012 až 2014</w:t>
      </w:r>
      <w:bookmarkEnd w:id="1"/>
    </w:p>
    <w:tbl>
      <w:tblPr>
        <w:tblW w:w="9006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079"/>
        <w:gridCol w:w="2079"/>
        <w:gridCol w:w="3828"/>
      </w:tblGrid>
      <w:tr w:rsidR="00765593" w:rsidRPr="00155C8C" w:rsidTr="00155C8C">
        <w:trPr>
          <w:trHeight w:val="227"/>
          <w:jc w:val="center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Rok</w:t>
            </w:r>
          </w:p>
        </w:tc>
        <w:tc>
          <w:tcPr>
            <w:tcW w:w="41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Počet akcí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C6D9F1" w:themeFill="text2" w:themeFillTint="33"/>
                <w:lang w:val="cs-CZ" w:eastAsia="cs-CZ"/>
              </w:rPr>
              <w:t>Celkový</w:t>
            </w: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 xml:space="preserve"> počet dnů</w:t>
            </w:r>
          </w:p>
        </w:tc>
      </w:tr>
      <w:tr w:rsidR="00765593" w:rsidRPr="00155C8C" w:rsidTr="00155C8C">
        <w:trPr>
          <w:trHeight w:val="227"/>
          <w:jc w:val="center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AČR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765593" w:rsidRPr="00155C8C" w:rsidRDefault="00461D5B" w:rsidP="00155C8C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O</w:t>
            </w:r>
            <w:r w:rsidR="00765593" w:rsidRPr="00155C8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statní subjekty</w:t>
            </w: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65593" w:rsidRPr="00155C8C" w:rsidTr="00155C8C">
        <w:trPr>
          <w:trHeight w:val="22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left="57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2012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7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27</w:t>
            </w:r>
          </w:p>
        </w:tc>
      </w:tr>
      <w:tr w:rsidR="00765593" w:rsidRPr="00155C8C" w:rsidTr="00155C8C">
        <w:trPr>
          <w:trHeight w:val="22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left="57"/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2013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7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45</w:t>
            </w:r>
          </w:p>
        </w:tc>
      </w:tr>
      <w:tr w:rsidR="00765593" w:rsidRPr="00155C8C" w:rsidTr="00155C8C">
        <w:trPr>
          <w:trHeight w:val="227"/>
          <w:jc w:val="center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461D5B">
            <w:pPr>
              <w:spacing w:before="20" w:after="20"/>
              <w:ind w:left="57"/>
              <w:rPr>
                <w:rFonts w:ascii="Calibri" w:hAnsi="Calibri" w:cs="Calibri"/>
                <w:bCs/>
                <w:color w:val="000000"/>
                <w:sz w:val="20"/>
                <w:szCs w:val="20"/>
                <w:vertAlign w:val="superscript"/>
                <w:lang w:val="cs-CZ" w:eastAsia="cs-CZ"/>
              </w:rPr>
            </w:pPr>
            <w:r w:rsidRPr="00155C8C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2014</w:t>
            </w:r>
            <w:r w:rsidRPr="001C67DF">
              <w:rPr>
                <w:rFonts w:ascii="Calibri" w:hAnsi="Calibri" w:cs="Calibri"/>
                <w:bCs/>
                <w:color w:val="000000"/>
                <w:sz w:val="20"/>
                <w:szCs w:val="20"/>
                <w:lang w:val="cs-CZ" w:eastAsia="cs-CZ"/>
              </w:rPr>
              <w:t>*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17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82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593" w:rsidRPr="00155C8C" w:rsidRDefault="00765593" w:rsidP="00155C8C">
            <w:pPr>
              <w:spacing w:before="20" w:after="20"/>
              <w:ind w:right="7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</w:pPr>
            <w:r w:rsidRPr="00155C8C">
              <w:rPr>
                <w:rFonts w:ascii="Calibri" w:hAnsi="Calibri" w:cs="Calibri"/>
                <w:color w:val="000000"/>
                <w:sz w:val="20"/>
                <w:szCs w:val="20"/>
                <w:lang w:val="cs-CZ" w:eastAsia="cs-CZ"/>
              </w:rPr>
              <w:t>77</w:t>
            </w:r>
          </w:p>
        </w:tc>
      </w:tr>
    </w:tbl>
    <w:p w:rsidR="00765593" w:rsidRDefault="00765593" w:rsidP="0000796C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C67DF">
        <w:rPr>
          <w:rFonts w:asciiTheme="minorHAnsi" w:hAnsiTheme="minorHAnsi" w:cstheme="minorHAnsi"/>
          <w:sz w:val="20"/>
          <w:szCs w:val="20"/>
          <w:lang w:val="cs-CZ"/>
        </w:rPr>
        <w:t>*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 xml:space="preserve"> Zvýšený počet kurzů v roce 2014 byl mj. způsoben celosvětovou epidemií </w:t>
      </w:r>
      <w:r w:rsidR="00461D5B">
        <w:rPr>
          <w:rFonts w:asciiTheme="minorHAnsi" w:hAnsiTheme="minorHAnsi" w:cstheme="minorHAnsi"/>
          <w:sz w:val="20"/>
          <w:szCs w:val="20"/>
          <w:lang w:val="cs-CZ"/>
        </w:rPr>
        <w:t>e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>boly.</w:t>
      </w:r>
    </w:p>
    <w:p w:rsidR="006C55BA" w:rsidRPr="006C55BA" w:rsidRDefault="006C55BA" w:rsidP="0000796C">
      <w:pPr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D1B48">
        <w:rPr>
          <w:rFonts w:asciiTheme="minorHAnsi" w:hAnsiTheme="minorHAnsi" w:cstheme="minorHAnsi"/>
          <w:b/>
          <w:sz w:val="20"/>
          <w:szCs w:val="20"/>
          <w:lang w:val="cs-CZ"/>
        </w:rPr>
        <w:t>Zdroj: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 zpracován</w:t>
      </w:r>
      <w:r w:rsidR="00CF04D3">
        <w:rPr>
          <w:rFonts w:asciiTheme="minorHAnsi" w:hAnsiTheme="minorHAnsi" w:cstheme="minorHAnsi"/>
          <w:sz w:val="20"/>
          <w:szCs w:val="20"/>
          <w:lang w:val="cs-CZ"/>
        </w:rPr>
        <w:t xml:space="preserve">o NKÚ </w:t>
      </w:r>
      <w:r>
        <w:rPr>
          <w:rFonts w:asciiTheme="minorHAnsi" w:hAnsiTheme="minorHAnsi" w:cstheme="minorHAnsi"/>
          <w:sz w:val="20"/>
          <w:szCs w:val="20"/>
          <w:lang w:val="cs-CZ"/>
        </w:rPr>
        <w:t>na základě informací z</w:t>
      </w:r>
      <w:r w:rsidR="000D1B48">
        <w:rPr>
          <w:rFonts w:asciiTheme="minorHAnsi" w:hAnsiTheme="minorHAnsi" w:cstheme="minorHAnsi"/>
          <w:sz w:val="20"/>
          <w:szCs w:val="20"/>
          <w:lang w:val="cs-CZ"/>
        </w:rPr>
        <w:t> </w:t>
      </w:r>
      <w:r>
        <w:rPr>
          <w:rFonts w:asciiTheme="minorHAnsi" w:hAnsiTheme="minorHAnsi" w:cstheme="minorHAnsi"/>
          <w:sz w:val="20"/>
          <w:szCs w:val="20"/>
          <w:lang w:val="cs-CZ"/>
        </w:rPr>
        <w:t>MO</w:t>
      </w:r>
      <w:r w:rsidR="000D1B48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765593" w:rsidRPr="00DF094C" w:rsidRDefault="00765593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V rámci karanténních opatření u příslušníků A</w:t>
      </w:r>
      <w:r w:rsidR="00E22CBD" w:rsidRPr="00DF094C">
        <w:rPr>
          <w:rFonts w:asciiTheme="minorHAnsi" w:hAnsiTheme="minorHAnsi" w:cstheme="minorHAnsi"/>
          <w:lang w:val="cs-CZ"/>
        </w:rPr>
        <w:t>ČR</w:t>
      </w:r>
      <w:r w:rsidRPr="00DF094C">
        <w:rPr>
          <w:rFonts w:asciiTheme="minorHAnsi" w:hAnsiTheme="minorHAnsi" w:cstheme="minorHAnsi"/>
          <w:lang w:val="cs-CZ"/>
        </w:rPr>
        <w:t xml:space="preserve"> po návratu z epidemiologicky rizikových oblastí v zahraničí poskytovalo CBO Těchonín ubytování a stravování</w:t>
      </w:r>
      <w:r w:rsidR="00C27BF5">
        <w:rPr>
          <w:rFonts w:asciiTheme="minorHAnsi" w:hAnsiTheme="minorHAnsi" w:cstheme="minorHAnsi"/>
          <w:lang w:val="cs-CZ"/>
        </w:rPr>
        <w:t xml:space="preserve">, </w:t>
      </w:r>
      <w:r w:rsidR="008105FF">
        <w:rPr>
          <w:rFonts w:asciiTheme="minorHAnsi" w:hAnsiTheme="minorHAnsi" w:cstheme="minorHAnsi"/>
          <w:lang w:val="cs-CZ"/>
        </w:rPr>
        <w:t xml:space="preserve">zatímco </w:t>
      </w:r>
      <w:r w:rsidR="00C27BF5">
        <w:rPr>
          <w:rFonts w:asciiTheme="minorHAnsi" w:hAnsiTheme="minorHAnsi" w:cstheme="minorHAnsi"/>
          <w:lang w:val="cs-CZ"/>
        </w:rPr>
        <w:t>k</w:t>
      </w:r>
      <w:r w:rsidRPr="00DF094C">
        <w:rPr>
          <w:rFonts w:asciiTheme="minorHAnsi" w:hAnsiTheme="minorHAnsi" w:cstheme="minorHAnsi"/>
          <w:lang w:val="cs-CZ"/>
        </w:rPr>
        <w:t>linick</w:t>
      </w:r>
      <w:r w:rsidR="00F0448A">
        <w:rPr>
          <w:rFonts w:asciiTheme="minorHAnsi" w:hAnsiTheme="minorHAnsi" w:cstheme="minorHAnsi"/>
          <w:lang w:val="cs-CZ"/>
        </w:rPr>
        <w:t>á</w:t>
      </w:r>
      <w:r w:rsidRPr="00DF094C">
        <w:rPr>
          <w:rFonts w:asciiTheme="minorHAnsi" w:hAnsiTheme="minorHAnsi" w:cstheme="minorHAnsi"/>
          <w:lang w:val="cs-CZ"/>
        </w:rPr>
        <w:t xml:space="preserve"> vyšetření a</w:t>
      </w:r>
      <w:r w:rsidR="00044BF7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odběr</w:t>
      </w:r>
      <w:r w:rsidR="00C27BF5">
        <w:rPr>
          <w:rFonts w:asciiTheme="minorHAnsi" w:hAnsiTheme="minorHAnsi" w:cstheme="minorHAnsi"/>
          <w:lang w:val="cs-CZ"/>
        </w:rPr>
        <w:t>y</w:t>
      </w:r>
      <w:r w:rsidRPr="00DF094C">
        <w:rPr>
          <w:rFonts w:asciiTheme="minorHAnsi" w:hAnsiTheme="minorHAnsi" w:cstheme="minorHAnsi"/>
          <w:lang w:val="cs-CZ"/>
        </w:rPr>
        <w:t xml:space="preserve"> vzorků biologického materiálu byly</w:t>
      </w:r>
      <w:r w:rsidR="00F43ACF" w:rsidRPr="00DF094C">
        <w:rPr>
          <w:rFonts w:asciiTheme="minorHAnsi" w:hAnsiTheme="minorHAnsi" w:cstheme="minorHAnsi"/>
          <w:lang w:val="cs-CZ"/>
        </w:rPr>
        <w:t xml:space="preserve"> prováděny</w:t>
      </w:r>
      <w:r w:rsidRPr="00DF094C">
        <w:rPr>
          <w:rFonts w:asciiTheme="minorHAnsi" w:hAnsiTheme="minorHAnsi" w:cstheme="minorHAnsi"/>
          <w:lang w:val="cs-CZ"/>
        </w:rPr>
        <w:t xml:space="preserve"> ve spolupráci s pracovníky Ú</w:t>
      </w:r>
      <w:r w:rsidR="00A01B4E" w:rsidRPr="00DF094C">
        <w:rPr>
          <w:rFonts w:asciiTheme="minorHAnsi" w:hAnsiTheme="minorHAnsi" w:cstheme="minorHAnsi"/>
          <w:lang w:val="cs-CZ"/>
        </w:rPr>
        <w:t xml:space="preserve">střední vojenské nemocnice </w:t>
      </w:r>
      <w:r w:rsidR="00C27BF5">
        <w:rPr>
          <w:rFonts w:asciiTheme="minorHAnsi" w:hAnsiTheme="minorHAnsi" w:cstheme="minorHAnsi"/>
          <w:lang w:val="cs-CZ"/>
        </w:rPr>
        <w:t>– Vojensk</w:t>
      </w:r>
      <w:r w:rsidR="00461D5B">
        <w:rPr>
          <w:rFonts w:asciiTheme="minorHAnsi" w:hAnsiTheme="minorHAnsi" w:cstheme="minorHAnsi"/>
          <w:lang w:val="cs-CZ"/>
        </w:rPr>
        <w:t>é</w:t>
      </w:r>
      <w:r w:rsidR="00C27BF5">
        <w:rPr>
          <w:rFonts w:asciiTheme="minorHAnsi" w:hAnsiTheme="minorHAnsi" w:cstheme="minorHAnsi"/>
          <w:lang w:val="cs-CZ"/>
        </w:rPr>
        <w:t xml:space="preserve"> fakultní nemocnice Praha </w:t>
      </w:r>
      <w:r w:rsidR="00A01B4E" w:rsidRPr="00DF094C">
        <w:rPr>
          <w:rFonts w:asciiTheme="minorHAnsi" w:hAnsiTheme="minorHAnsi" w:cstheme="minorHAnsi"/>
          <w:lang w:val="cs-CZ"/>
        </w:rPr>
        <w:t xml:space="preserve">(dále jen „ÚVN Praha“) </w:t>
      </w:r>
      <w:r w:rsidRPr="00DF094C">
        <w:rPr>
          <w:rFonts w:asciiTheme="minorHAnsi" w:hAnsiTheme="minorHAnsi" w:cstheme="minorHAnsi"/>
          <w:lang w:val="cs-CZ"/>
        </w:rPr>
        <w:t>a</w:t>
      </w:r>
      <w:r w:rsidR="00AF0DFD" w:rsidRPr="00DF094C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Nemocniční základ</w:t>
      </w:r>
      <w:r w:rsidR="00C27BF5">
        <w:rPr>
          <w:rFonts w:asciiTheme="minorHAnsi" w:hAnsiTheme="minorHAnsi" w:cstheme="minorHAnsi"/>
          <w:lang w:val="cs-CZ"/>
        </w:rPr>
        <w:t>n</w:t>
      </w:r>
      <w:r w:rsidRPr="00DF094C">
        <w:rPr>
          <w:rFonts w:asciiTheme="minorHAnsi" w:hAnsiTheme="minorHAnsi" w:cstheme="minorHAnsi"/>
          <w:lang w:val="cs-CZ"/>
        </w:rPr>
        <w:t>y Hradec Králové.</w:t>
      </w:r>
      <w:r w:rsidR="00B0663D" w:rsidRPr="00DF094C">
        <w:rPr>
          <w:rFonts w:asciiTheme="minorHAnsi" w:hAnsiTheme="minorHAnsi" w:cstheme="minorHAnsi"/>
          <w:lang w:val="cs-CZ"/>
        </w:rPr>
        <w:t xml:space="preserve"> Biologické vzorky a</w:t>
      </w:r>
      <w:r w:rsidR="00781F5C" w:rsidRPr="00DF094C">
        <w:rPr>
          <w:rFonts w:asciiTheme="minorHAnsi" w:hAnsiTheme="minorHAnsi" w:cstheme="minorHAnsi"/>
          <w:lang w:val="cs-CZ"/>
        </w:rPr>
        <w:t> </w:t>
      </w:r>
      <w:r w:rsidR="00B0663D" w:rsidRPr="00DF094C">
        <w:rPr>
          <w:rFonts w:asciiTheme="minorHAnsi" w:hAnsiTheme="minorHAnsi" w:cstheme="minorHAnsi"/>
          <w:lang w:val="cs-CZ"/>
        </w:rPr>
        <w:t>výsledky vyšetření byly zpracovávány v ÚVN Praha a krevní vzorky v Sérové bance A</w:t>
      </w:r>
      <w:r w:rsidR="00916EF9" w:rsidRPr="00DF094C">
        <w:rPr>
          <w:rFonts w:asciiTheme="minorHAnsi" w:hAnsiTheme="minorHAnsi" w:cstheme="minorHAnsi"/>
          <w:lang w:val="cs-CZ"/>
        </w:rPr>
        <w:t>ČR</w:t>
      </w:r>
      <w:r w:rsidR="00B0663D" w:rsidRPr="00DF094C">
        <w:rPr>
          <w:rFonts w:asciiTheme="minorHAnsi" w:hAnsiTheme="minorHAnsi" w:cstheme="minorHAnsi"/>
          <w:lang w:val="cs-CZ"/>
        </w:rPr>
        <w:t>.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C71B1D" w:rsidRPr="00DF094C" w:rsidRDefault="00B0663D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K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> </w:t>
      </w:r>
      <w:r w:rsidR="00794A7C" w:rsidRPr="00DF094C">
        <w:rPr>
          <w:rFonts w:asciiTheme="minorHAnsi" w:hAnsiTheme="minorHAnsi" w:cstheme="minorHAnsi"/>
          <w:b/>
          <w:color w:val="000000"/>
          <w:lang w:val="cs-CZ"/>
        </w:rPr>
        <w:t>bodu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4 části II</w:t>
      </w:r>
      <w:r w:rsidR="00B0466B" w:rsidRPr="00DF094C">
        <w:rPr>
          <w:rFonts w:asciiTheme="minorHAnsi" w:hAnsiTheme="minorHAnsi" w:cstheme="minorHAnsi"/>
          <w:b/>
          <w:color w:val="000000"/>
          <w:lang w:val="cs-CZ"/>
        </w:rPr>
        <w:t>.: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18037F" w:rsidRPr="00DF094C">
        <w:rPr>
          <w:rFonts w:asciiTheme="minorHAnsi" w:hAnsiTheme="minorHAnsi" w:cstheme="minorHAnsi"/>
          <w:b/>
          <w:color w:val="000000"/>
          <w:lang w:val="cs-CZ"/>
        </w:rPr>
        <w:t>Úprava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 smluvní</w:t>
      </w:r>
      <w:r w:rsidR="0018037F" w:rsidRPr="00DF094C">
        <w:rPr>
          <w:rFonts w:asciiTheme="minorHAnsi" w:hAnsiTheme="minorHAnsi" w:cstheme="minorHAnsi"/>
          <w:b/>
          <w:color w:val="000000"/>
          <w:lang w:val="cs-CZ"/>
        </w:rPr>
        <w:t>ho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 vztah</w:t>
      </w:r>
      <w:r w:rsidR="0018037F" w:rsidRPr="00DF094C">
        <w:rPr>
          <w:rFonts w:asciiTheme="minorHAnsi" w:hAnsiTheme="minorHAnsi" w:cstheme="minorHAnsi"/>
          <w:b/>
          <w:color w:val="000000"/>
          <w:lang w:val="cs-CZ"/>
        </w:rPr>
        <w:t>u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</w:p>
    <w:p w:rsidR="00461D5B" w:rsidRDefault="00461D5B" w:rsidP="00A9684A">
      <w:pPr>
        <w:jc w:val="both"/>
        <w:rPr>
          <w:rFonts w:asciiTheme="minorHAnsi" w:hAnsiTheme="minorHAnsi" w:cstheme="minorHAnsi"/>
          <w:color w:val="000000"/>
          <w:lang w:val="cs-CZ"/>
        </w:rPr>
      </w:pPr>
    </w:p>
    <w:p w:rsidR="00A9684A" w:rsidRPr="00DF094C" w:rsidRDefault="00A9684A" w:rsidP="00A9684A">
      <w:pPr>
        <w:jc w:val="both"/>
        <w:rPr>
          <w:rFonts w:asciiTheme="minorHAnsi" w:hAnsiTheme="minorHAnsi" w:cstheme="minorHAnsi"/>
          <w:color w:val="000000"/>
          <w:lang w:val="cs-CZ"/>
        </w:rPr>
      </w:pPr>
      <w:r w:rsidRPr="00DF094C">
        <w:rPr>
          <w:rFonts w:asciiTheme="minorHAnsi" w:hAnsiTheme="minorHAnsi" w:cstheme="minorHAnsi"/>
          <w:color w:val="000000"/>
          <w:lang w:val="cs-CZ"/>
        </w:rPr>
        <w:t xml:space="preserve">Provoz CBO Těchonín byl od 12. července 2006 </w:t>
      </w:r>
      <w:r w:rsidR="008105FF">
        <w:rPr>
          <w:rFonts w:asciiTheme="minorHAnsi" w:hAnsiTheme="minorHAnsi" w:cstheme="minorHAnsi"/>
          <w:color w:val="000000"/>
          <w:lang w:val="cs-CZ"/>
        </w:rPr>
        <w:t>zajištěn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čtyřmi na sebe navazujícími smluvními vztahy </w:t>
      </w:r>
      <w:r w:rsidR="00000C5E">
        <w:rPr>
          <w:rFonts w:asciiTheme="minorHAnsi" w:hAnsiTheme="minorHAnsi" w:cstheme="minorHAnsi"/>
          <w:color w:val="000000"/>
          <w:lang w:val="cs-CZ"/>
        </w:rPr>
        <w:t xml:space="preserve">akciovou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společností, která zabezpečovala správu a provoz nemovité </w:t>
      </w:r>
      <w:r w:rsidRPr="00DF094C">
        <w:rPr>
          <w:rFonts w:asciiTheme="minorHAnsi" w:hAnsiTheme="minorHAnsi" w:cstheme="minorHAnsi"/>
          <w:color w:val="000000"/>
          <w:lang w:val="cs-CZ"/>
        </w:rPr>
        <w:lastRenderedPageBreak/>
        <w:t xml:space="preserve">infrastruktury. </w:t>
      </w:r>
      <w:r w:rsidR="006863DA" w:rsidRPr="00DF094C">
        <w:rPr>
          <w:rFonts w:asciiTheme="minorHAnsi" w:hAnsiTheme="minorHAnsi" w:cstheme="minorHAnsi"/>
          <w:color w:val="000000"/>
          <w:lang w:val="cs-CZ"/>
        </w:rPr>
        <w:t xml:space="preserve">Z důvodu ukončení platnosti </w:t>
      </w:r>
      <w:r w:rsidR="006863DA">
        <w:rPr>
          <w:rFonts w:asciiTheme="minorHAnsi" w:hAnsiTheme="minorHAnsi" w:cstheme="minorHAnsi"/>
          <w:color w:val="000000"/>
          <w:lang w:val="cs-CZ"/>
        </w:rPr>
        <w:t>p</w:t>
      </w:r>
      <w:r w:rsidRPr="00DF094C">
        <w:rPr>
          <w:rFonts w:asciiTheme="minorHAnsi" w:hAnsiTheme="minorHAnsi" w:cstheme="minorHAnsi"/>
          <w:color w:val="000000"/>
          <w:lang w:val="cs-CZ"/>
        </w:rPr>
        <w:t>oslední smlouv</w:t>
      </w:r>
      <w:r w:rsidR="006863DA">
        <w:rPr>
          <w:rFonts w:asciiTheme="minorHAnsi" w:hAnsiTheme="minorHAnsi" w:cstheme="minorHAnsi"/>
          <w:color w:val="000000"/>
          <w:lang w:val="cs-CZ"/>
        </w:rPr>
        <w:t>y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="00461D5B">
        <w:rPr>
          <w:rFonts w:asciiTheme="minorHAnsi" w:hAnsiTheme="minorHAnsi" w:cstheme="minorHAnsi"/>
          <w:color w:val="000000"/>
          <w:lang w:val="cs-CZ"/>
        </w:rPr>
        <w:t xml:space="preserve">ke dni </w:t>
      </w:r>
      <w:r w:rsidRPr="00DF094C">
        <w:rPr>
          <w:rFonts w:asciiTheme="minorHAnsi" w:hAnsiTheme="minorHAnsi" w:cstheme="minorHAnsi"/>
          <w:color w:val="000000"/>
          <w:lang w:val="cs-CZ"/>
        </w:rPr>
        <w:t>31. srpna 2013</w:t>
      </w:r>
      <w:r w:rsidR="006863DA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zahájilo MO dne 25. července 2012 přípravu zadání </w:t>
      </w:r>
      <w:r w:rsidR="00900759" w:rsidRPr="00DF094C">
        <w:rPr>
          <w:rFonts w:asciiTheme="minorHAnsi" w:hAnsiTheme="minorHAnsi" w:cstheme="minorHAnsi"/>
          <w:color w:val="000000"/>
          <w:lang w:val="cs-CZ"/>
        </w:rPr>
        <w:t>veřejné zakázky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, která </w:t>
      </w:r>
      <w:r w:rsidR="004715B3">
        <w:rPr>
          <w:rFonts w:asciiTheme="minorHAnsi" w:hAnsiTheme="minorHAnsi" w:cstheme="minorHAnsi"/>
          <w:color w:val="000000"/>
          <w:lang w:val="cs-CZ"/>
        </w:rPr>
        <w:t xml:space="preserve">však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byla během </w:t>
      </w:r>
      <w:r w:rsidR="006863DA">
        <w:rPr>
          <w:rFonts w:asciiTheme="minorHAnsi" w:hAnsiTheme="minorHAnsi" w:cstheme="minorHAnsi"/>
          <w:color w:val="000000"/>
          <w:lang w:val="cs-CZ"/>
        </w:rPr>
        <w:t xml:space="preserve">zadávacího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řízení zrušena. MO dne 17. dubna 2013 vyhlásilo novou </w:t>
      </w:r>
      <w:r w:rsidR="00E52581" w:rsidRPr="00DF094C">
        <w:rPr>
          <w:rFonts w:asciiTheme="minorHAnsi" w:hAnsiTheme="minorHAnsi" w:cstheme="minorHAnsi"/>
          <w:color w:val="000000"/>
          <w:lang w:val="cs-CZ"/>
        </w:rPr>
        <w:t>veřejnou zakázku</w:t>
      </w:r>
      <w:r w:rsidR="006863DA">
        <w:rPr>
          <w:rFonts w:asciiTheme="minorHAnsi" w:hAnsiTheme="minorHAnsi" w:cstheme="minorHAnsi"/>
          <w:color w:val="000000"/>
          <w:lang w:val="cs-CZ"/>
        </w:rPr>
        <w:t>,</w:t>
      </w:r>
      <w:r w:rsidR="00342291" w:rsidRPr="00DF094C">
        <w:rPr>
          <w:rFonts w:asciiTheme="minorHAnsi" w:hAnsiTheme="minorHAnsi" w:cstheme="minorHAnsi"/>
          <w:color w:val="000000"/>
          <w:lang w:val="cs-CZ"/>
        </w:rPr>
        <w:t xml:space="preserve">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v srpnu 2013 </w:t>
      </w:r>
      <w:r w:rsidR="00342291" w:rsidRPr="00DF094C">
        <w:rPr>
          <w:rFonts w:asciiTheme="minorHAnsi" w:hAnsiTheme="minorHAnsi" w:cstheme="minorHAnsi"/>
          <w:color w:val="000000"/>
          <w:lang w:val="cs-CZ"/>
        </w:rPr>
        <w:t xml:space="preserve">se 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ocitlo v časové tísni a hrozilo, že od 1. září 2013 nebude schopno zabezpečit </w:t>
      </w:r>
      <w:r w:rsidR="00342291" w:rsidRPr="00DF094C">
        <w:rPr>
          <w:rFonts w:asciiTheme="minorHAnsi" w:hAnsiTheme="minorHAnsi" w:cstheme="minorHAnsi"/>
          <w:color w:val="000000"/>
          <w:lang w:val="cs-CZ"/>
        </w:rPr>
        <w:t>správu a provoz</w:t>
      </w:r>
      <w:r w:rsidRPr="00DF094C">
        <w:rPr>
          <w:rFonts w:asciiTheme="minorHAnsi" w:hAnsiTheme="minorHAnsi" w:cstheme="minorHAnsi"/>
          <w:color w:val="000000"/>
          <w:lang w:val="cs-CZ"/>
        </w:rPr>
        <w:t xml:space="preserve"> objektů v areálu CBO Těchonín. </w:t>
      </w:r>
      <w:r w:rsidRPr="00DF094C">
        <w:rPr>
          <w:rFonts w:asciiTheme="minorHAnsi" w:hAnsiTheme="minorHAnsi" w:cstheme="minorHAnsi"/>
          <w:lang w:val="cs-CZ"/>
        </w:rPr>
        <w:t>Z</w:t>
      </w:r>
      <w:r w:rsidR="00900759" w:rsidRPr="00DF094C">
        <w:rPr>
          <w:rFonts w:asciiTheme="minorHAnsi" w:hAnsiTheme="minorHAnsi" w:cstheme="minorHAnsi"/>
          <w:lang w:val="cs-CZ"/>
        </w:rPr>
        <w:t> toho</w:t>
      </w:r>
      <w:r w:rsidR="00461D5B">
        <w:rPr>
          <w:rFonts w:asciiTheme="minorHAnsi" w:hAnsiTheme="minorHAnsi" w:cstheme="minorHAnsi"/>
          <w:lang w:val="cs-CZ"/>
        </w:rPr>
        <w:t>to</w:t>
      </w:r>
      <w:r w:rsidR="00900759" w:rsidRPr="00DF094C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důvodu ministr obrany rozhodl zabezpečit provoz SIN prostřednictvím ASPO</w:t>
      </w:r>
      <w:r w:rsidR="00F0448A">
        <w:rPr>
          <w:rFonts w:asciiTheme="minorHAnsi" w:hAnsiTheme="minorHAnsi" w:cstheme="minorHAnsi"/>
          <w:lang w:val="cs-CZ"/>
        </w:rPr>
        <w:t>.</w:t>
      </w:r>
      <w:r w:rsidR="005E1E4B">
        <w:rPr>
          <w:rFonts w:asciiTheme="minorHAnsi" w:hAnsiTheme="minorHAnsi" w:cstheme="minorHAnsi"/>
          <w:lang w:val="cs-CZ"/>
        </w:rPr>
        <w:t xml:space="preserve"> MO zadávací řízení zrušilo </w:t>
      </w:r>
      <w:r w:rsidRPr="00DF094C">
        <w:rPr>
          <w:rFonts w:asciiTheme="minorHAnsi" w:hAnsiTheme="minorHAnsi" w:cstheme="minorHAnsi"/>
          <w:lang w:val="cs-CZ"/>
        </w:rPr>
        <w:t xml:space="preserve">a zabezpečení provozu CBO Těchonín řešilo </w:t>
      </w:r>
      <w:r w:rsidR="005E1E4B" w:rsidRPr="00DF094C">
        <w:rPr>
          <w:rFonts w:asciiTheme="minorHAnsi" w:hAnsiTheme="minorHAnsi" w:cstheme="minorHAnsi"/>
          <w:lang w:val="cs-CZ"/>
        </w:rPr>
        <w:t>dne 30. srpna 2013</w:t>
      </w:r>
      <w:r w:rsidR="00442D8E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 xml:space="preserve">podpisem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 xml:space="preserve">mlouvy o SPM s ASPO. MO za tímto účelem poskytovalo ASPO příspěvek na činnost,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>mlouv</w:t>
      </w:r>
      <w:r w:rsidR="00342291" w:rsidRPr="00DF094C">
        <w:rPr>
          <w:rFonts w:asciiTheme="minorHAnsi" w:hAnsiTheme="minorHAnsi" w:cstheme="minorHAnsi"/>
          <w:lang w:val="cs-CZ"/>
        </w:rPr>
        <w:t>a</w:t>
      </w:r>
      <w:r w:rsidRPr="00DF094C">
        <w:rPr>
          <w:rFonts w:asciiTheme="minorHAnsi" w:hAnsiTheme="minorHAnsi" w:cstheme="minorHAnsi"/>
          <w:lang w:val="cs-CZ"/>
        </w:rPr>
        <w:t xml:space="preserve"> o SPM </w:t>
      </w:r>
      <w:r w:rsidR="00342291" w:rsidRPr="00DF094C">
        <w:rPr>
          <w:rFonts w:asciiTheme="minorHAnsi" w:hAnsiTheme="minorHAnsi" w:cstheme="minorHAnsi"/>
          <w:lang w:val="cs-CZ"/>
        </w:rPr>
        <w:t>však</w:t>
      </w:r>
      <w:r w:rsidRPr="00DF094C">
        <w:rPr>
          <w:rFonts w:asciiTheme="minorHAnsi" w:hAnsiTheme="minorHAnsi" w:cstheme="minorHAnsi"/>
          <w:lang w:val="cs-CZ"/>
        </w:rPr>
        <w:t xml:space="preserve"> neobsahovala vyčíslení finančních prostředků u</w:t>
      </w:r>
      <w:r w:rsidR="00AF0DFD" w:rsidRPr="00DF094C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činností pro stanovení rozpočtu.</w:t>
      </w: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Převzetí technologických souborů a zařízení CBO Těchonín proběhlo na základě protokolu o</w:t>
      </w:r>
      <w:r w:rsidR="00AF0DFD" w:rsidRPr="00DF094C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 xml:space="preserve">předání a převzetí. Soupis poruch obsahoval popis trvalých nedostatků </w:t>
      </w:r>
      <w:r w:rsidR="00F0448A">
        <w:rPr>
          <w:rFonts w:asciiTheme="minorHAnsi" w:hAnsiTheme="minorHAnsi" w:cstheme="minorHAnsi"/>
          <w:lang w:val="cs-CZ"/>
        </w:rPr>
        <w:t>(</w:t>
      </w:r>
      <w:r w:rsidRPr="00DF094C">
        <w:rPr>
          <w:rFonts w:asciiTheme="minorHAnsi" w:hAnsiTheme="minorHAnsi" w:cstheme="minorHAnsi"/>
          <w:lang w:val="cs-CZ"/>
        </w:rPr>
        <w:t>z důvodu ukončení životnosti některých technologií</w:t>
      </w:r>
      <w:r w:rsidR="00F0448A">
        <w:rPr>
          <w:rFonts w:asciiTheme="minorHAnsi" w:hAnsiTheme="minorHAnsi" w:cstheme="minorHAnsi"/>
          <w:lang w:val="cs-CZ"/>
        </w:rPr>
        <w:t>)</w:t>
      </w:r>
      <w:r w:rsidRPr="00DF094C">
        <w:rPr>
          <w:rFonts w:asciiTheme="minorHAnsi" w:hAnsiTheme="minorHAnsi" w:cstheme="minorHAnsi"/>
          <w:lang w:val="cs-CZ"/>
        </w:rPr>
        <w:t>, které by mohly ovlivnit bezpečný provoz. MO svým rozhodnutím v srpnu 2013 neumožnilo dostatečnou přípravu na převzetí provozu CBO</w:t>
      </w:r>
      <w:r w:rsidR="003A115A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 xml:space="preserve">Těchonín, </w:t>
      </w:r>
      <w:r w:rsidR="00F0448A">
        <w:rPr>
          <w:rFonts w:asciiTheme="minorHAnsi" w:hAnsiTheme="minorHAnsi" w:cstheme="minorHAnsi"/>
          <w:lang w:val="cs-CZ"/>
        </w:rPr>
        <w:t>přitom</w:t>
      </w:r>
      <w:r w:rsidRPr="00DF094C">
        <w:rPr>
          <w:rFonts w:asciiTheme="minorHAnsi" w:hAnsiTheme="minorHAnsi" w:cstheme="minorHAnsi"/>
          <w:lang w:val="cs-CZ"/>
        </w:rPr>
        <w:t xml:space="preserve"> je</w:t>
      </w:r>
      <w:r w:rsidR="00F0448A">
        <w:rPr>
          <w:rFonts w:asciiTheme="minorHAnsi" w:hAnsiTheme="minorHAnsi" w:cstheme="minorHAnsi"/>
          <w:lang w:val="cs-CZ"/>
        </w:rPr>
        <w:t xml:space="preserve"> tento provoz</w:t>
      </w:r>
      <w:r w:rsidRPr="00DF094C">
        <w:rPr>
          <w:rFonts w:asciiTheme="minorHAnsi" w:hAnsiTheme="minorHAnsi" w:cstheme="minorHAnsi"/>
          <w:lang w:val="cs-CZ"/>
        </w:rPr>
        <w:t xml:space="preserve"> odborně náročný a prováděné činnosti specifické až ojedinělé. ASPO proto nepřevzala CBO Těchonín s dostatečným časovým předstihem tak, aby bylo zajištěno řádné předání CBO Těchonín od původního provozovatele. V uzavřené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>mlouvě o SPM nebyly uvedeny všechny specifikace činností původního provozovatele a</w:t>
      </w:r>
      <w:r w:rsidR="00F0448A">
        <w:rPr>
          <w:rFonts w:asciiTheme="minorHAnsi" w:hAnsiTheme="minorHAnsi" w:cstheme="minorHAnsi"/>
          <w:lang w:val="cs-CZ"/>
        </w:rPr>
        <w:t>ni</w:t>
      </w:r>
      <w:r w:rsidRPr="00DF094C">
        <w:rPr>
          <w:rFonts w:asciiTheme="minorHAnsi" w:hAnsiTheme="minorHAnsi" w:cstheme="minorHAnsi"/>
          <w:lang w:val="cs-CZ"/>
        </w:rPr>
        <w:t xml:space="preserve"> jejich dosavadní smluvní zajištění, které byly důležité pro zajištění kontinuity provozu technologií, </w:t>
      </w:r>
      <w:r w:rsidR="00F0448A">
        <w:rPr>
          <w:rFonts w:asciiTheme="minorHAnsi" w:hAnsiTheme="minorHAnsi" w:cstheme="minorHAnsi"/>
          <w:lang w:val="cs-CZ"/>
        </w:rPr>
        <w:t xml:space="preserve">a smlouva neobsahovala </w:t>
      </w:r>
      <w:r w:rsidRPr="00DF094C">
        <w:rPr>
          <w:rFonts w:asciiTheme="minorHAnsi" w:hAnsiTheme="minorHAnsi" w:cstheme="minorHAnsi"/>
          <w:lang w:val="cs-CZ"/>
        </w:rPr>
        <w:t>ani personální zajištění provozu ze strany ASPO, AHNM a</w:t>
      </w:r>
      <w:r w:rsidR="00F0448A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dalších složek AČR.</w:t>
      </w: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Specifikace činností smluvních stran ve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 xml:space="preserve">mlouvě o SPM </w:t>
      </w:r>
      <w:r w:rsidR="00F0448A">
        <w:rPr>
          <w:rFonts w:asciiTheme="minorHAnsi" w:hAnsiTheme="minorHAnsi" w:cstheme="minorHAnsi"/>
          <w:lang w:val="cs-CZ"/>
        </w:rPr>
        <w:t xml:space="preserve">byly </w:t>
      </w:r>
      <w:r w:rsidRPr="00DF094C">
        <w:rPr>
          <w:rFonts w:asciiTheme="minorHAnsi" w:hAnsiTheme="minorHAnsi" w:cstheme="minorHAnsi"/>
          <w:lang w:val="cs-CZ"/>
        </w:rPr>
        <w:t>vymezeny obecně</w:t>
      </w:r>
      <w:r w:rsidR="005E1E4B">
        <w:rPr>
          <w:rFonts w:asciiTheme="minorHAnsi" w:hAnsiTheme="minorHAnsi" w:cstheme="minorHAnsi"/>
          <w:lang w:val="cs-CZ"/>
        </w:rPr>
        <w:t xml:space="preserve"> a</w:t>
      </w:r>
      <w:r w:rsidRPr="00DF094C">
        <w:rPr>
          <w:rFonts w:asciiTheme="minorHAnsi" w:hAnsiTheme="minorHAnsi" w:cstheme="minorHAnsi"/>
          <w:lang w:val="cs-CZ"/>
        </w:rPr>
        <w:t xml:space="preserve">ž dodatkem ke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>mlouvě o SPM uzavřeným dne 10. prosince 2013</w:t>
      </w:r>
      <w:r w:rsidR="005E1E4B">
        <w:rPr>
          <w:rFonts w:asciiTheme="minorHAnsi" w:hAnsiTheme="minorHAnsi" w:cstheme="minorHAnsi"/>
          <w:lang w:val="cs-CZ"/>
        </w:rPr>
        <w:t>. S</w:t>
      </w:r>
      <w:r w:rsidRPr="00DF094C">
        <w:rPr>
          <w:rFonts w:asciiTheme="minorHAnsi" w:hAnsiTheme="minorHAnsi" w:cstheme="minorHAnsi"/>
          <w:lang w:val="cs-CZ"/>
        </w:rPr>
        <w:t>oučást</w:t>
      </w:r>
      <w:r w:rsidR="005E1E4B">
        <w:rPr>
          <w:rFonts w:asciiTheme="minorHAnsi" w:hAnsiTheme="minorHAnsi" w:cstheme="minorHAnsi"/>
          <w:lang w:val="cs-CZ"/>
        </w:rPr>
        <w:t xml:space="preserve">í </w:t>
      </w:r>
      <w:r w:rsidR="001C67DF">
        <w:rPr>
          <w:rFonts w:asciiTheme="minorHAnsi" w:hAnsiTheme="minorHAnsi" w:cstheme="minorHAnsi"/>
          <w:lang w:val="cs-CZ"/>
        </w:rPr>
        <w:t xml:space="preserve">tohoto dodatku </w:t>
      </w:r>
      <w:r w:rsidR="003A115A">
        <w:rPr>
          <w:rFonts w:asciiTheme="minorHAnsi" w:hAnsiTheme="minorHAnsi" w:cstheme="minorHAnsi"/>
          <w:lang w:val="cs-CZ"/>
        </w:rPr>
        <w:t>o SPM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5E1E4B">
        <w:rPr>
          <w:rFonts w:asciiTheme="minorHAnsi" w:hAnsiTheme="minorHAnsi" w:cstheme="minorHAnsi"/>
          <w:lang w:val="cs-CZ"/>
        </w:rPr>
        <w:t>byl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461D5B">
        <w:rPr>
          <w:rFonts w:asciiTheme="minorHAnsi" w:hAnsiTheme="minorHAnsi" w:cstheme="minorHAnsi"/>
          <w:lang w:val="cs-CZ"/>
        </w:rPr>
        <w:t>h</w:t>
      </w:r>
      <w:r w:rsidRPr="00DF094C">
        <w:rPr>
          <w:rFonts w:asciiTheme="minorHAnsi" w:hAnsiTheme="minorHAnsi" w:cstheme="minorHAnsi"/>
          <w:lang w:val="cs-CZ"/>
        </w:rPr>
        <w:t>armonogram činností správy CBO Těchonín, který však nespecifikoval všechny činnosti. MO tak smluvně ne</w:t>
      </w:r>
      <w:r w:rsidR="005E1E4B">
        <w:rPr>
          <w:rFonts w:asciiTheme="minorHAnsi" w:hAnsiTheme="minorHAnsi" w:cstheme="minorHAnsi"/>
          <w:lang w:val="cs-CZ"/>
        </w:rPr>
        <w:t>upravilo</w:t>
      </w:r>
      <w:r w:rsidRPr="00DF094C">
        <w:rPr>
          <w:rFonts w:asciiTheme="minorHAnsi" w:hAnsiTheme="minorHAnsi" w:cstheme="minorHAnsi"/>
          <w:lang w:val="cs-CZ"/>
        </w:rPr>
        <w:t xml:space="preserve"> činnosti a četnost prováděných prohlídek technologií </w:t>
      </w:r>
      <w:r w:rsidR="00F0448A">
        <w:rPr>
          <w:rFonts w:asciiTheme="minorHAnsi" w:hAnsiTheme="minorHAnsi" w:cstheme="minorHAnsi"/>
          <w:lang w:val="cs-CZ"/>
        </w:rPr>
        <w:t>(</w:t>
      </w:r>
      <w:r w:rsidRPr="00DF094C">
        <w:rPr>
          <w:rFonts w:asciiTheme="minorHAnsi" w:hAnsiTheme="minorHAnsi" w:cstheme="minorHAnsi"/>
          <w:lang w:val="cs-CZ"/>
        </w:rPr>
        <w:t>které představovaly řádné užívání CBO Těchonín</w:t>
      </w:r>
      <w:r w:rsidR="00F0448A">
        <w:rPr>
          <w:rFonts w:asciiTheme="minorHAnsi" w:hAnsiTheme="minorHAnsi" w:cstheme="minorHAnsi"/>
          <w:lang w:val="cs-CZ"/>
        </w:rPr>
        <w:t>)</w:t>
      </w:r>
      <w:r w:rsidRPr="00DF094C">
        <w:rPr>
          <w:rFonts w:asciiTheme="minorHAnsi" w:hAnsiTheme="minorHAnsi" w:cstheme="minorHAnsi"/>
          <w:lang w:val="cs-CZ"/>
        </w:rPr>
        <w:t xml:space="preserve"> ze strany ASPO, a</w:t>
      </w:r>
      <w:r w:rsidR="003A115A">
        <w:rPr>
          <w:rFonts w:asciiTheme="minorHAnsi" w:hAnsiTheme="minorHAnsi" w:cstheme="minorHAnsi"/>
          <w:lang w:val="cs-CZ"/>
        </w:rPr>
        <w:t> t</w:t>
      </w:r>
      <w:r w:rsidR="00CE28D9">
        <w:rPr>
          <w:rFonts w:asciiTheme="minorHAnsi" w:hAnsiTheme="minorHAnsi" w:cstheme="minorHAnsi"/>
          <w:lang w:val="cs-CZ"/>
        </w:rPr>
        <w:t>udíž</w:t>
      </w:r>
      <w:r w:rsidRPr="00DF094C">
        <w:rPr>
          <w:rFonts w:asciiTheme="minorHAnsi" w:hAnsiTheme="minorHAnsi" w:cstheme="minorHAnsi"/>
          <w:lang w:val="cs-CZ"/>
        </w:rPr>
        <w:t xml:space="preserve"> nedostatečně smluvně zavázalo ASPO k zajištění správy a provozu CBO Těchonín. </w:t>
      </w: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</w:p>
    <w:p w:rsidR="00A9684A" w:rsidRPr="00DF094C" w:rsidRDefault="00A9684A" w:rsidP="00A9684A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MO ve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>mlouvě o SPM</w:t>
      </w:r>
      <w:r w:rsidR="005E1E4B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nerozlišovalo specifikace činností pro pohotovostní a plný provoz v případě aktivace CBO Těchonín včetně SIN. Ačkoliv si</w:t>
      </w:r>
      <w:r w:rsidR="003A115A">
        <w:rPr>
          <w:rFonts w:asciiTheme="minorHAnsi" w:hAnsiTheme="minorHAnsi" w:cstheme="minorHAnsi"/>
          <w:lang w:val="cs-CZ"/>
        </w:rPr>
        <w:t xml:space="preserve"> MO</w:t>
      </w:r>
      <w:r w:rsidRPr="00DF094C">
        <w:rPr>
          <w:rFonts w:asciiTheme="minorHAnsi" w:hAnsiTheme="minorHAnsi" w:cstheme="minorHAnsi"/>
          <w:lang w:val="cs-CZ"/>
        </w:rPr>
        <w:t xml:space="preserve"> bylo vědomo potřeby </w:t>
      </w:r>
      <w:r w:rsidR="00461D5B">
        <w:rPr>
          <w:rFonts w:asciiTheme="minorHAnsi" w:hAnsiTheme="minorHAnsi" w:cstheme="minorHAnsi"/>
          <w:lang w:val="cs-CZ"/>
        </w:rPr>
        <w:t>aktualizace stávajícího</w:t>
      </w:r>
      <w:r w:rsidRPr="00DF094C">
        <w:rPr>
          <w:rFonts w:asciiTheme="minorHAnsi" w:hAnsiTheme="minorHAnsi" w:cstheme="minorHAnsi"/>
          <w:lang w:val="cs-CZ"/>
        </w:rPr>
        <w:t xml:space="preserve"> znění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 xml:space="preserve">mlouvy o SPM, výše uvedený stav přetrval do doby ukončení kontroly NKÚ.  </w:t>
      </w:r>
    </w:p>
    <w:p w:rsidR="00066CB1" w:rsidRPr="00DF094C" w:rsidRDefault="00066CB1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794A7C" w:rsidRPr="00DF094C" w:rsidRDefault="00794A7C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K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>bodu</w:t>
      </w:r>
      <w:r w:rsidR="00561B67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5 části II</w:t>
      </w:r>
      <w:r w:rsidR="00B0466B" w:rsidRPr="00DF094C">
        <w:rPr>
          <w:rFonts w:asciiTheme="minorHAnsi" w:hAnsiTheme="minorHAnsi" w:cstheme="minorHAnsi"/>
          <w:b/>
          <w:color w:val="000000"/>
          <w:lang w:val="cs-CZ"/>
        </w:rPr>
        <w:t xml:space="preserve">.: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P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 xml:space="preserve">ersonální zabezpečení </w:t>
      </w:r>
    </w:p>
    <w:p w:rsidR="00461D5B" w:rsidRDefault="00461D5B" w:rsidP="0000796C">
      <w:pPr>
        <w:jc w:val="both"/>
        <w:rPr>
          <w:rFonts w:asciiTheme="minorHAnsi" w:hAnsiTheme="minorHAnsi" w:cstheme="minorHAnsi"/>
          <w:u w:val="single"/>
          <w:lang w:val="cs-CZ"/>
        </w:rPr>
      </w:pPr>
    </w:p>
    <w:p w:rsidR="00653530" w:rsidRPr="001C67DF" w:rsidRDefault="00653530" w:rsidP="001C67DF">
      <w:pPr>
        <w:pStyle w:val="Odstavecseseznamem"/>
        <w:numPr>
          <w:ilvl w:val="0"/>
          <w:numId w:val="50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1C67DF">
        <w:rPr>
          <w:rFonts w:asciiTheme="minorHAnsi" w:hAnsiTheme="minorHAnsi" w:cstheme="minorHAnsi"/>
          <w:b/>
          <w:lang w:val="cs-CZ"/>
        </w:rPr>
        <w:t xml:space="preserve">Personální zabezpečení pro pohotovostní provoz </w:t>
      </w:r>
    </w:p>
    <w:p w:rsidR="00461D5B" w:rsidRDefault="00461D5B" w:rsidP="0000796C">
      <w:pPr>
        <w:jc w:val="both"/>
        <w:rPr>
          <w:rFonts w:asciiTheme="minorHAnsi" w:hAnsiTheme="minorHAnsi" w:cstheme="minorHAnsi"/>
          <w:lang w:val="cs-CZ"/>
        </w:rPr>
      </w:pPr>
    </w:p>
    <w:p w:rsidR="00653530" w:rsidRPr="00DF094C" w:rsidRDefault="00653530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Personální zabezpečení CBO Těchonín pro pohotovostní provoz vycházelo z tabulkových počtů pracovních míst </w:t>
      </w:r>
      <w:r w:rsidR="00943568" w:rsidRPr="00DF094C">
        <w:rPr>
          <w:rFonts w:asciiTheme="minorHAnsi" w:hAnsiTheme="minorHAnsi" w:cstheme="minorHAnsi"/>
          <w:lang w:val="cs-CZ"/>
        </w:rPr>
        <w:t>z roku 2009</w:t>
      </w:r>
      <w:r w:rsidRPr="00DF094C">
        <w:rPr>
          <w:rFonts w:asciiTheme="minorHAnsi" w:hAnsiTheme="minorHAnsi" w:cstheme="minorHAnsi"/>
          <w:lang w:val="cs-CZ"/>
        </w:rPr>
        <w:t xml:space="preserve">. </w:t>
      </w:r>
      <w:r w:rsidR="00943568" w:rsidRPr="00DF094C">
        <w:rPr>
          <w:rFonts w:asciiTheme="minorHAnsi" w:hAnsiTheme="minorHAnsi" w:cstheme="minorHAnsi"/>
          <w:lang w:val="cs-CZ"/>
        </w:rPr>
        <w:t>Přestože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073CFA" w:rsidRPr="00DF094C">
        <w:rPr>
          <w:rFonts w:asciiTheme="minorHAnsi" w:hAnsiTheme="minorHAnsi" w:cstheme="minorHAnsi"/>
          <w:lang w:val="cs-CZ"/>
        </w:rPr>
        <w:t xml:space="preserve">v letech 2010 až 2013 byly </w:t>
      </w:r>
      <w:r w:rsidRPr="00DF094C">
        <w:rPr>
          <w:rFonts w:asciiTheme="minorHAnsi" w:hAnsiTheme="minorHAnsi" w:cstheme="minorHAnsi"/>
          <w:lang w:val="cs-CZ"/>
        </w:rPr>
        <w:t>počty personálu snižovány, otázky plnění jak odborných</w:t>
      </w:r>
      <w:r w:rsidR="00461D5B">
        <w:rPr>
          <w:rFonts w:asciiTheme="minorHAnsi" w:hAnsiTheme="minorHAnsi" w:cstheme="minorHAnsi"/>
          <w:lang w:val="cs-CZ"/>
        </w:rPr>
        <w:t>,</w:t>
      </w:r>
      <w:r w:rsidRPr="00DF094C">
        <w:rPr>
          <w:rFonts w:asciiTheme="minorHAnsi" w:hAnsiTheme="minorHAnsi" w:cstheme="minorHAnsi"/>
          <w:lang w:val="cs-CZ"/>
        </w:rPr>
        <w:t xml:space="preserve"> tak vojenských úkolů zůstaly ne</w:t>
      </w:r>
      <w:r w:rsidR="00943568" w:rsidRPr="00DF094C">
        <w:rPr>
          <w:rFonts w:asciiTheme="minorHAnsi" w:hAnsiTheme="minorHAnsi" w:cstheme="minorHAnsi"/>
          <w:lang w:val="cs-CZ"/>
        </w:rPr>
        <w:t xml:space="preserve">změněny </w:t>
      </w:r>
      <w:r w:rsidRPr="00DF094C">
        <w:rPr>
          <w:rFonts w:asciiTheme="minorHAnsi" w:hAnsiTheme="minorHAnsi" w:cstheme="minorHAnsi"/>
          <w:lang w:val="cs-CZ"/>
        </w:rPr>
        <w:t xml:space="preserve">a v plné výši. Cíle stanovené </w:t>
      </w:r>
      <w:r w:rsidR="009E6B9D" w:rsidRPr="00DF094C">
        <w:rPr>
          <w:rFonts w:asciiTheme="minorHAnsi" w:hAnsiTheme="minorHAnsi" w:cstheme="minorHAnsi"/>
          <w:lang w:val="cs-CZ"/>
        </w:rPr>
        <w:t>MO</w:t>
      </w:r>
      <w:r w:rsidRPr="00DF094C">
        <w:rPr>
          <w:rFonts w:asciiTheme="minorHAnsi" w:hAnsiTheme="minorHAnsi" w:cstheme="minorHAnsi"/>
          <w:lang w:val="cs-CZ"/>
        </w:rPr>
        <w:t xml:space="preserve"> pro CBO Těchonín byly plněny podle finančních a personálních možností tohoto specializovaného vojenského zdravotnického zařízení. Některé aktivity tak byly zrušeny, jiné odloženy do rozhodnutí o budoucnosti CBO Těchonín.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456AD5" w:rsidRPr="00DF094C" w:rsidRDefault="00653530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Stav potřebných specializací CBO Těchonín nebyl vzhledem k četnosti a rozsahu úkolů uspokojivý. Personální zajištění v oblasti vědy a výzkumu bylo značně omezeno a většina </w:t>
      </w:r>
      <w:r w:rsidRPr="00DF094C">
        <w:rPr>
          <w:rFonts w:asciiTheme="minorHAnsi" w:hAnsiTheme="minorHAnsi" w:cstheme="minorHAnsi"/>
          <w:lang w:val="cs-CZ"/>
        </w:rPr>
        <w:lastRenderedPageBreak/>
        <w:t>projektů byla řešena ve spolupráci s dalšími vojenskými i civilními zařízeními. Pro zabezpečení výcviku a přípravy zejména v cizím jazyce byl personál ÚVZÚ značně poddimenzován. Personální zabezpečení CBO Těchonín tak</w:t>
      </w:r>
      <w:r w:rsidR="00461D5B" w:rsidRPr="00461D5B">
        <w:rPr>
          <w:rFonts w:asciiTheme="minorHAnsi" w:hAnsiTheme="minorHAnsi" w:cstheme="minorHAnsi"/>
          <w:lang w:val="cs-CZ"/>
        </w:rPr>
        <w:t xml:space="preserve"> </w:t>
      </w:r>
      <w:r w:rsidR="00461D5B" w:rsidRPr="00DF094C">
        <w:rPr>
          <w:rFonts w:asciiTheme="minorHAnsi" w:hAnsiTheme="minorHAnsi" w:cstheme="minorHAnsi"/>
          <w:lang w:val="cs-CZ"/>
        </w:rPr>
        <w:t>nebylo</w:t>
      </w:r>
      <w:r w:rsidRPr="00DF094C">
        <w:rPr>
          <w:rFonts w:asciiTheme="minorHAnsi" w:hAnsiTheme="minorHAnsi" w:cstheme="minorHAnsi"/>
          <w:lang w:val="cs-CZ"/>
        </w:rPr>
        <w:t xml:space="preserve"> pro pohotovostní provoz dostatečné</w:t>
      </w:r>
      <w:r w:rsidR="008105FF">
        <w:rPr>
          <w:rFonts w:asciiTheme="minorHAnsi" w:hAnsiTheme="minorHAnsi" w:cstheme="minorHAnsi"/>
          <w:lang w:val="cs-CZ"/>
        </w:rPr>
        <w:t>, což</w:t>
      </w:r>
      <w:r w:rsidRPr="00DF094C">
        <w:rPr>
          <w:rFonts w:asciiTheme="minorHAnsi" w:hAnsiTheme="minorHAnsi" w:cstheme="minorHAnsi"/>
          <w:lang w:val="cs-CZ"/>
        </w:rPr>
        <w:t xml:space="preserve"> bylo limitujícím faktorem pro rozvoj aktivit a plnění úkolů biologické ochrany.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653530" w:rsidRPr="001C67DF" w:rsidRDefault="00653530" w:rsidP="001C67DF">
      <w:pPr>
        <w:pStyle w:val="Odstavecseseznamem"/>
        <w:numPr>
          <w:ilvl w:val="0"/>
          <w:numId w:val="51"/>
        </w:numPr>
        <w:ind w:left="284" w:hanging="284"/>
        <w:jc w:val="both"/>
        <w:rPr>
          <w:rFonts w:asciiTheme="minorHAnsi" w:hAnsiTheme="minorHAnsi" w:cstheme="minorHAnsi"/>
          <w:b/>
          <w:lang w:val="cs-CZ"/>
        </w:rPr>
      </w:pPr>
      <w:r w:rsidRPr="001C67DF">
        <w:rPr>
          <w:rFonts w:asciiTheme="minorHAnsi" w:hAnsiTheme="minorHAnsi" w:cstheme="minorHAnsi"/>
          <w:b/>
          <w:lang w:val="cs-CZ"/>
        </w:rPr>
        <w:t>Personální zabezpečení pro plný provoz (po aktivaci CBO</w:t>
      </w:r>
      <w:r w:rsidR="002E4A76" w:rsidRPr="001C67DF">
        <w:rPr>
          <w:rFonts w:asciiTheme="minorHAnsi" w:hAnsiTheme="minorHAnsi" w:cstheme="minorHAnsi"/>
          <w:b/>
          <w:lang w:val="cs-CZ"/>
        </w:rPr>
        <w:t xml:space="preserve"> Těchonín</w:t>
      </w:r>
      <w:r w:rsidRPr="001C67DF">
        <w:rPr>
          <w:rFonts w:asciiTheme="minorHAnsi" w:hAnsiTheme="minorHAnsi" w:cstheme="minorHAnsi"/>
          <w:b/>
          <w:lang w:val="cs-CZ"/>
        </w:rPr>
        <w:t>)</w:t>
      </w:r>
    </w:p>
    <w:p w:rsidR="00461D5B" w:rsidRDefault="00461D5B" w:rsidP="0000796C">
      <w:pPr>
        <w:jc w:val="both"/>
        <w:rPr>
          <w:rFonts w:asciiTheme="minorHAnsi" w:hAnsiTheme="minorHAnsi" w:cstheme="minorHAnsi"/>
          <w:lang w:val="cs-CZ"/>
        </w:rPr>
      </w:pPr>
    </w:p>
    <w:p w:rsidR="00653530" w:rsidRPr="00DF094C" w:rsidRDefault="00653530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Personální obsazení pro plný provoz CBO Těchonín bylo zabezpečováno dle aktuální </w:t>
      </w:r>
      <w:r w:rsidR="00073CFA" w:rsidRPr="00DF094C">
        <w:rPr>
          <w:rFonts w:asciiTheme="minorHAnsi" w:hAnsiTheme="minorHAnsi" w:cstheme="minorHAnsi"/>
          <w:lang w:val="cs-CZ"/>
        </w:rPr>
        <w:t>kapacity</w:t>
      </w:r>
      <w:r w:rsidRPr="00DF094C">
        <w:rPr>
          <w:rFonts w:asciiTheme="minorHAnsi" w:hAnsiTheme="minorHAnsi" w:cstheme="minorHAnsi"/>
          <w:lang w:val="cs-CZ"/>
        </w:rPr>
        <w:t xml:space="preserve">, avšak pro dlouhodobý provoz při větších počtech hospitalizovaných osob nebylo zabezpečení dostačující. Základní výcvik personálu v rámci zkušebního provozu SIN probíhaly v letech 2007 až 2009. Až při </w:t>
      </w:r>
      <w:r w:rsidR="00943568" w:rsidRPr="00DF094C">
        <w:rPr>
          <w:rFonts w:asciiTheme="minorHAnsi" w:hAnsiTheme="minorHAnsi" w:cstheme="minorHAnsi"/>
          <w:lang w:val="cs-CZ"/>
        </w:rPr>
        <w:t xml:space="preserve">samotném </w:t>
      </w:r>
      <w:r w:rsidRPr="00DF094C">
        <w:rPr>
          <w:rFonts w:asciiTheme="minorHAnsi" w:hAnsiTheme="minorHAnsi" w:cstheme="minorHAnsi"/>
          <w:lang w:val="cs-CZ"/>
        </w:rPr>
        <w:t>výcviku byl zjištěn nedostatek personálu</w:t>
      </w:r>
      <w:r w:rsidR="00943568" w:rsidRPr="00DF094C">
        <w:rPr>
          <w:rFonts w:asciiTheme="minorHAnsi" w:hAnsiTheme="minorHAnsi" w:cstheme="minorHAnsi"/>
          <w:lang w:val="cs-CZ"/>
        </w:rPr>
        <w:t xml:space="preserve">, který by </w:t>
      </w:r>
      <w:r w:rsidRPr="00DF094C">
        <w:rPr>
          <w:rFonts w:asciiTheme="minorHAnsi" w:hAnsiTheme="minorHAnsi" w:cstheme="minorHAnsi"/>
          <w:lang w:val="cs-CZ"/>
        </w:rPr>
        <w:t>disponoval kvalifikací v oboru lékařská biochemie</w:t>
      </w:r>
      <w:r w:rsidR="005E1E4B">
        <w:rPr>
          <w:rFonts w:asciiTheme="minorHAnsi" w:hAnsiTheme="minorHAnsi" w:cstheme="minorHAnsi"/>
          <w:lang w:val="cs-CZ"/>
        </w:rPr>
        <w:t xml:space="preserve"> a</w:t>
      </w:r>
      <w:r w:rsidRPr="00DF094C">
        <w:rPr>
          <w:rFonts w:asciiTheme="minorHAnsi" w:hAnsiTheme="minorHAnsi" w:cstheme="minorHAnsi"/>
          <w:lang w:val="cs-CZ"/>
        </w:rPr>
        <w:t xml:space="preserve"> lékařská hematologie. Dále MO prověřovalo připravenost CBO Těchonín k aktivaci</w:t>
      </w:r>
      <w:r w:rsidR="00461D5B">
        <w:rPr>
          <w:rFonts w:asciiTheme="minorHAnsi" w:hAnsiTheme="minorHAnsi" w:cstheme="minorHAnsi"/>
          <w:lang w:val="cs-CZ"/>
        </w:rPr>
        <w:t xml:space="preserve"> vyhlášením cvičných aktivací v </w:t>
      </w:r>
      <w:r w:rsidRPr="00DF094C">
        <w:rPr>
          <w:rFonts w:asciiTheme="minorHAnsi" w:hAnsiTheme="minorHAnsi" w:cstheme="minorHAnsi"/>
          <w:lang w:val="cs-CZ"/>
        </w:rPr>
        <w:t>letech</w:t>
      </w:r>
      <w:r w:rsidR="00461D5B">
        <w:rPr>
          <w:rFonts w:asciiTheme="minorHAnsi" w:hAnsiTheme="minorHAnsi" w:cstheme="minorHAnsi"/>
          <w:lang w:val="cs-CZ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>2010 a</w:t>
      </w:r>
      <w:r w:rsidR="00461D5B">
        <w:rPr>
          <w:rFonts w:asciiTheme="minorHAnsi" w:hAnsiTheme="minorHAnsi" w:cstheme="minorHAnsi"/>
          <w:lang w:val="cs-CZ"/>
        </w:rPr>
        <w:t>ž</w:t>
      </w:r>
      <w:r w:rsidRPr="00DF094C">
        <w:rPr>
          <w:rFonts w:asciiTheme="minorHAnsi" w:hAnsiTheme="minorHAnsi" w:cstheme="minorHAnsi"/>
          <w:lang w:val="cs-CZ"/>
        </w:rPr>
        <w:t xml:space="preserve"> 2014. V roce 2010 byl zjištěn nedostatek zdravotnického a ostatního odborného personálu pro zabezpečení provozu hospitalizační jednotky. V roce 2014 </w:t>
      </w:r>
      <w:r w:rsidR="00A04AE7" w:rsidRPr="00DF094C">
        <w:rPr>
          <w:rFonts w:asciiTheme="minorHAnsi" w:hAnsiTheme="minorHAnsi" w:cstheme="minorHAnsi"/>
          <w:lang w:val="cs-CZ"/>
        </w:rPr>
        <w:t xml:space="preserve">byl </w:t>
      </w:r>
      <w:r w:rsidRPr="00DF094C">
        <w:rPr>
          <w:rFonts w:asciiTheme="minorHAnsi" w:hAnsiTheme="minorHAnsi" w:cstheme="minorHAnsi"/>
          <w:lang w:val="cs-CZ"/>
        </w:rPr>
        <w:t>jedním z</w:t>
      </w:r>
      <w:r w:rsidR="00461D5B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hlavních zjištění opětovně kritický nedostatek odborného personálu – infektolog + ARO, biochemik, patolog.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653530" w:rsidRPr="00DF094C" w:rsidRDefault="00653530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>Přestože SIN byla zkolaudována v květnu 2009, až dne 14. listopadu 2014 schválil náčelník G</w:t>
      </w:r>
      <w:r w:rsidR="002133EB" w:rsidRPr="00DF094C">
        <w:rPr>
          <w:rFonts w:asciiTheme="minorHAnsi" w:hAnsiTheme="minorHAnsi" w:cstheme="minorHAnsi"/>
          <w:lang w:val="cs-CZ"/>
        </w:rPr>
        <w:t>enerálního štábu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461D5B">
        <w:rPr>
          <w:rFonts w:asciiTheme="minorHAnsi" w:hAnsiTheme="minorHAnsi" w:cstheme="minorHAnsi"/>
          <w:lang w:val="cs-CZ"/>
        </w:rPr>
        <w:t>p</w:t>
      </w:r>
      <w:r w:rsidRPr="00DF094C">
        <w:rPr>
          <w:rFonts w:asciiTheme="minorHAnsi" w:hAnsiTheme="minorHAnsi" w:cstheme="minorHAnsi"/>
          <w:lang w:val="cs-CZ"/>
        </w:rPr>
        <w:t xml:space="preserve">lán aktivace CBO Těchonín, který vymezil požadavky mj. na personální zabezpečení pro plný provoz CBO Těchonín. </w:t>
      </w:r>
      <w:r w:rsidRPr="00DF094C">
        <w:rPr>
          <w:rFonts w:asciiTheme="minorHAnsi" w:hAnsiTheme="minorHAnsi" w:cstheme="minorHAnsi"/>
          <w:lang w:val="cs-CZ" w:eastAsia="ar-SA"/>
        </w:rPr>
        <w:t>Celkový počet zdravotnického personálu pro zabezpečení karantény osob</w:t>
      </w:r>
      <w:r w:rsidR="005E1E4B">
        <w:rPr>
          <w:rFonts w:asciiTheme="minorHAnsi" w:hAnsiTheme="minorHAnsi" w:cstheme="minorHAnsi"/>
          <w:lang w:val="cs-CZ" w:eastAsia="ar-SA"/>
        </w:rPr>
        <w:t>,</w:t>
      </w:r>
      <w:r w:rsidRPr="00DF094C">
        <w:rPr>
          <w:rFonts w:asciiTheme="minorHAnsi" w:hAnsiTheme="minorHAnsi" w:cstheme="minorHAnsi"/>
          <w:lang w:val="cs-CZ" w:eastAsia="ar-SA"/>
        </w:rPr>
        <w:t xml:space="preserve"> </w:t>
      </w:r>
      <w:r w:rsidR="005E1E4B">
        <w:rPr>
          <w:rFonts w:asciiTheme="minorHAnsi" w:hAnsiTheme="minorHAnsi" w:cstheme="minorHAnsi"/>
          <w:lang w:val="cs-CZ" w:eastAsia="ar-SA"/>
        </w:rPr>
        <w:t>jejich</w:t>
      </w:r>
      <w:r w:rsidRPr="00DF094C">
        <w:rPr>
          <w:rFonts w:asciiTheme="minorHAnsi" w:hAnsiTheme="minorHAnsi" w:cstheme="minorHAnsi"/>
          <w:lang w:val="cs-CZ" w:eastAsia="ar-SA"/>
        </w:rPr>
        <w:t xml:space="preserve"> izolace a hospitalizace včetně laboratorního zajištění představuje 115 osob. Další část personálu </w:t>
      </w:r>
      <w:r w:rsidR="00F0448A">
        <w:rPr>
          <w:rFonts w:asciiTheme="minorHAnsi" w:hAnsiTheme="minorHAnsi" w:cstheme="minorHAnsi"/>
          <w:lang w:val="cs-CZ" w:eastAsia="ar-SA"/>
        </w:rPr>
        <w:t xml:space="preserve">v počtu </w:t>
      </w:r>
      <w:r w:rsidR="005E1E4B" w:rsidRPr="00DF094C">
        <w:rPr>
          <w:rFonts w:asciiTheme="minorHAnsi" w:hAnsiTheme="minorHAnsi" w:cstheme="minorHAnsi"/>
          <w:lang w:val="cs-CZ" w:eastAsia="ar-SA"/>
        </w:rPr>
        <w:t>140</w:t>
      </w:r>
      <w:r w:rsidR="005E1E4B">
        <w:rPr>
          <w:rFonts w:asciiTheme="minorHAnsi" w:hAnsiTheme="minorHAnsi" w:cstheme="minorHAnsi"/>
          <w:lang w:val="cs-CZ" w:eastAsia="ar-SA"/>
        </w:rPr>
        <w:t> </w:t>
      </w:r>
      <w:r w:rsidR="005E1E4B" w:rsidRPr="00DF094C">
        <w:rPr>
          <w:rFonts w:asciiTheme="minorHAnsi" w:hAnsiTheme="minorHAnsi" w:cstheme="minorHAnsi"/>
          <w:lang w:val="cs-CZ" w:eastAsia="ar-SA"/>
        </w:rPr>
        <w:t xml:space="preserve">osob </w:t>
      </w:r>
      <w:r w:rsidRPr="00DF094C">
        <w:rPr>
          <w:rFonts w:asciiTheme="minorHAnsi" w:hAnsiTheme="minorHAnsi" w:cstheme="minorHAnsi"/>
          <w:lang w:val="cs-CZ" w:eastAsia="ar-SA"/>
        </w:rPr>
        <w:t>představuje</w:t>
      </w:r>
      <w:r w:rsidR="008105FF">
        <w:rPr>
          <w:rFonts w:asciiTheme="minorHAnsi" w:hAnsiTheme="minorHAnsi" w:cstheme="minorHAnsi"/>
          <w:lang w:val="cs-CZ" w:eastAsia="ar-SA"/>
        </w:rPr>
        <w:t xml:space="preserve"> vlastní velení a </w:t>
      </w:r>
      <w:r w:rsidRPr="00DF094C">
        <w:rPr>
          <w:rFonts w:asciiTheme="minorHAnsi" w:hAnsiTheme="minorHAnsi" w:cstheme="minorHAnsi"/>
          <w:lang w:val="cs-CZ" w:eastAsia="ar-SA"/>
        </w:rPr>
        <w:t>štáb účelového uskupení, skupin</w:t>
      </w:r>
      <w:r w:rsidR="005E1E4B">
        <w:rPr>
          <w:rFonts w:asciiTheme="minorHAnsi" w:hAnsiTheme="minorHAnsi" w:cstheme="minorHAnsi"/>
          <w:lang w:val="cs-CZ" w:eastAsia="ar-SA"/>
        </w:rPr>
        <w:t>u</w:t>
      </w:r>
      <w:r w:rsidRPr="00DF094C">
        <w:rPr>
          <w:rFonts w:asciiTheme="minorHAnsi" w:hAnsiTheme="minorHAnsi" w:cstheme="minorHAnsi"/>
          <w:lang w:val="cs-CZ" w:eastAsia="ar-SA"/>
        </w:rPr>
        <w:t xml:space="preserve"> zabezpečení, oddělení technické podpory a skupin</w:t>
      </w:r>
      <w:r w:rsidR="005E1E4B">
        <w:rPr>
          <w:rFonts w:asciiTheme="minorHAnsi" w:hAnsiTheme="minorHAnsi" w:cstheme="minorHAnsi"/>
          <w:lang w:val="cs-CZ" w:eastAsia="ar-SA"/>
        </w:rPr>
        <w:t>u</w:t>
      </w:r>
      <w:r w:rsidRPr="00DF094C">
        <w:rPr>
          <w:rFonts w:asciiTheme="minorHAnsi" w:hAnsiTheme="minorHAnsi" w:cstheme="minorHAnsi"/>
          <w:lang w:val="cs-CZ" w:eastAsia="ar-SA"/>
        </w:rPr>
        <w:t xml:space="preserve"> vojenské polic</w:t>
      </w:r>
      <w:r w:rsidR="00197C27">
        <w:rPr>
          <w:rFonts w:asciiTheme="minorHAnsi" w:hAnsiTheme="minorHAnsi" w:cstheme="minorHAnsi"/>
          <w:lang w:val="cs-CZ" w:eastAsia="ar-SA"/>
        </w:rPr>
        <w:t>i</w:t>
      </w:r>
      <w:r w:rsidRPr="00DF094C">
        <w:rPr>
          <w:rFonts w:asciiTheme="minorHAnsi" w:hAnsiTheme="minorHAnsi" w:cstheme="minorHAnsi"/>
          <w:lang w:val="cs-CZ" w:eastAsia="ar-SA"/>
        </w:rPr>
        <w:t>e</w:t>
      </w:r>
      <w:r w:rsidR="005E1E4B">
        <w:rPr>
          <w:rFonts w:asciiTheme="minorHAnsi" w:hAnsiTheme="minorHAnsi" w:cstheme="minorHAnsi"/>
          <w:lang w:val="cs-CZ" w:eastAsia="ar-SA"/>
        </w:rPr>
        <w:t>.</w:t>
      </w:r>
      <w:r w:rsidRPr="00DF094C">
        <w:rPr>
          <w:rFonts w:asciiTheme="minorHAnsi" w:hAnsiTheme="minorHAnsi" w:cstheme="minorHAnsi"/>
          <w:lang w:val="cs-CZ" w:eastAsia="ar-SA"/>
        </w:rPr>
        <w:t xml:space="preserve"> </w:t>
      </w:r>
      <w:r w:rsidRPr="00DF094C">
        <w:rPr>
          <w:rFonts w:asciiTheme="minorHAnsi" w:hAnsiTheme="minorHAnsi" w:cstheme="minorHAnsi"/>
          <w:lang w:val="cs-CZ"/>
        </w:rPr>
        <w:t xml:space="preserve">Zabezpečení příslušníků ÚVN </w:t>
      </w:r>
      <w:r w:rsidR="00A01B4E" w:rsidRPr="00DF094C">
        <w:rPr>
          <w:rFonts w:asciiTheme="minorHAnsi" w:hAnsiTheme="minorHAnsi" w:cstheme="minorHAnsi"/>
          <w:lang w:val="cs-CZ"/>
        </w:rPr>
        <w:t xml:space="preserve">Praha </w:t>
      </w:r>
      <w:r w:rsidRPr="00DF094C">
        <w:rPr>
          <w:rFonts w:asciiTheme="minorHAnsi" w:hAnsiTheme="minorHAnsi" w:cstheme="minorHAnsi"/>
          <w:lang w:val="cs-CZ"/>
        </w:rPr>
        <w:t xml:space="preserve">a civilních zdravotnických zařízení mělo být realizováno </w:t>
      </w:r>
      <w:r w:rsidR="00461D5B">
        <w:rPr>
          <w:rFonts w:asciiTheme="minorHAnsi" w:hAnsiTheme="minorHAnsi" w:cstheme="minorHAnsi"/>
          <w:lang w:val="cs-CZ"/>
        </w:rPr>
        <w:t>s</w:t>
      </w:r>
      <w:r w:rsidRPr="00DF094C">
        <w:rPr>
          <w:rFonts w:asciiTheme="minorHAnsi" w:hAnsiTheme="minorHAnsi" w:cstheme="minorHAnsi"/>
          <w:lang w:val="cs-CZ"/>
        </w:rPr>
        <w:t xml:space="preserve">měrnicí pro vyčlenění osob mimo působnost AVZ </w:t>
      </w:r>
      <w:r w:rsidR="005E1E4B">
        <w:rPr>
          <w:rFonts w:asciiTheme="minorHAnsi" w:hAnsiTheme="minorHAnsi" w:cstheme="minorHAnsi"/>
          <w:lang w:val="cs-CZ"/>
        </w:rPr>
        <w:t xml:space="preserve">tvořící </w:t>
      </w:r>
      <w:r w:rsidRPr="00DF094C">
        <w:rPr>
          <w:rFonts w:asciiTheme="minorHAnsi" w:hAnsiTheme="minorHAnsi" w:cstheme="minorHAnsi"/>
          <w:lang w:val="cs-CZ"/>
        </w:rPr>
        <w:t xml:space="preserve">přílohu </w:t>
      </w:r>
      <w:r w:rsidR="00461D5B">
        <w:rPr>
          <w:rFonts w:asciiTheme="minorHAnsi" w:hAnsiTheme="minorHAnsi" w:cstheme="minorHAnsi"/>
          <w:lang w:val="cs-CZ"/>
        </w:rPr>
        <w:t>p</w:t>
      </w:r>
      <w:r w:rsidRPr="00DF094C">
        <w:rPr>
          <w:rFonts w:asciiTheme="minorHAnsi" w:hAnsiTheme="minorHAnsi" w:cstheme="minorHAnsi"/>
          <w:lang w:val="cs-CZ"/>
        </w:rPr>
        <w:t>lánu aktivace CBO Těchonín</w:t>
      </w:r>
      <w:r w:rsidR="005E1E4B">
        <w:rPr>
          <w:rFonts w:asciiTheme="minorHAnsi" w:hAnsiTheme="minorHAnsi" w:cstheme="minorHAnsi"/>
          <w:lang w:val="cs-CZ"/>
        </w:rPr>
        <w:t xml:space="preserve">, ve které </w:t>
      </w:r>
      <w:r w:rsidRPr="00DF094C">
        <w:rPr>
          <w:rFonts w:asciiTheme="minorHAnsi" w:hAnsiTheme="minorHAnsi" w:cstheme="minorHAnsi"/>
          <w:lang w:val="cs-CZ"/>
        </w:rPr>
        <w:t xml:space="preserve">však vyčlenění personálu z civilního sektoru není </w:t>
      </w:r>
      <w:r w:rsidR="00943568" w:rsidRPr="00DF094C">
        <w:rPr>
          <w:rFonts w:asciiTheme="minorHAnsi" w:hAnsiTheme="minorHAnsi" w:cstheme="minorHAnsi"/>
          <w:lang w:val="cs-CZ"/>
        </w:rPr>
        <w:t>žádným způsobem</w:t>
      </w:r>
      <w:r w:rsidRPr="00DF094C">
        <w:rPr>
          <w:rFonts w:asciiTheme="minorHAnsi" w:hAnsiTheme="minorHAnsi" w:cstheme="minorHAnsi"/>
          <w:lang w:val="cs-CZ"/>
        </w:rPr>
        <w:t xml:space="preserve"> řešeno.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653530" w:rsidRPr="00DF094C" w:rsidRDefault="00653530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V roce 2015 probíhal nácvik aktivace CBO Těchonín, jehož cílem bylo </w:t>
      </w:r>
      <w:r w:rsidR="008105FF">
        <w:rPr>
          <w:rFonts w:asciiTheme="minorHAnsi" w:hAnsiTheme="minorHAnsi" w:cstheme="minorHAnsi"/>
          <w:lang w:val="cs-CZ"/>
        </w:rPr>
        <w:t>ověřit reálnost</w:t>
      </w:r>
      <w:r w:rsidRPr="00DF094C">
        <w:rPr>
          <w:rFonts w:asciiTheme="minorHAnsi" w:hAnsiTheme="minorHAnsi" w:cstheme="minorHAnsi"/>
          <w:lang w:val="cs-CZ"/>
        </w:rPr>
        <w:t xml:space="preserve"> zpracovaného </w:t>
      </w:r>
      <w:r w:rsidR="00461D5B">
        <w:rPr>
          <w:rFonts w:asciiTheme="minorHAnsi" w:hAnsiTheme="minorHAnsi" w:cstheme="minorHAnsi"/>
          <w:lang w:val="cs-CZ"/>
        </w:rPr>
        <w:t>p</w:t>
      </w:r>
      <w:r w:rsidRPr="00DF094C">
        <w:rPr>
          <w:rFonts w:asciiTheme="minorHAnsi" w:hAnsiTheme="minorHAnsi" w:cstheme="minorHAnsi"/>
          <w:lang w:val="cs-CZ"/>
        </w:rPr>
        <w:t xml:space="preserve">lánu aktivace k dosažení plných operačních schopností. </w:t>
      </w:r>
      <w:r w:rsidR="008105FF">
        <w:rPr>
          <w:rFonts w:asciiTheme="minorHAnsi" w:hAnsiTheme="minorHAnsi" w:cstheme="minorHAnsi"/>
          <w:lang w:val="cs-CZ"/>
        </w:rPr>
        <w:t xml:space="preserve">Ve </w:t>
      </w:r>
      <w:r w:rsidR="009E6B9D" w:rsidRPr="00DF094C">
        <w:rPr>
          <w:rFonts w:asciiTheme="minorHAnsi" w:hAnsiTheme="minorHAnsi" w:cstheme="minorHAnsi"/>
          <w:lang w:val="cs-CZ"/>
        </w:rPr>
        <w:t>v</w:t>
      </w:r>
      <w:r w:rsidRPr="00DF094C">
        <w:rPr>
          <w:rFonts w:asciiTheme="minorHAnsi" w:hAnsiTheme="minorHAnsi" w:cstheme="minorHAnsi"/>
          <w:lang w:val="cs-CZ"/>
        </w:rPr>
        <w:t xml:space="preserve">yhodnocení </w:t>
      </w:r>
      <w:r w:rsidR="008105FF">
        <w:rPr>
          <w:rFonts w:asciiTheme="minorHAnsi" w:hAnsiTheme="minorHAnsi" w:cstheme="minorHAnsi"/>
          <w:lang w:val="cs-CZ"/>
        </w:rPr>
        <w:t>byly</w:t>
      </w:r>
      <w:r w:rsidR="00943568" w:rsidRPr="00DF094C">
        <w:rPr>
          <w:rFonts w:asciiTheme="minorHAnsi" w:hAnsiTheme="minorHAnsi" w:cstheme="minorHAnsi"/>
          <w:lang w:val="cs-CZ"/>
        </w:rPr>
        <w:t xml:space="preserve"> mj.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1C67DF">
        <w:rPr>
          <w:rFonts w:asciiTheme="minorHAnsi" w:hAnsiTheme="minorHAnsi" w:cstheme="minorHAnsi"/>
          <w:lang w:val="cs-CZ"/>
        </w:rPr>
        <w:t xml:space="preserve">uvedeny </w:t>
      </w:r>
      <w:r w:rsidRPr="00DF094C">
        <w:rPr>
          <w:rFonts w:asciiTheme="minorHAnsi" w:hAnsiTheme="minorHAnsi" w:cstheme="minorHAnsi"/>
          <w:lang w:val="cs-CZ"/>
        </w:rPr>
        <w:t>nedostatky v oblasti personálního zabezpečení. Při pohybu mezi „čistou</w:t>
      </w:r>
      <w:r w:rsidR="00461D5B">
        <w:rPr>
          <w:rFonts w:asciiTheme="minorHAnsi" w:hAnsiTheme="minorHAnsi" w:cstheme="minorHAnsi"/>
          <w:lang w:val="cs-CZ"/>
        </w:rPr>
        <w:t>“</w:t>
      </w:r>
      <w:r w:rsidRPr="00DF094C">
        <w:rPr>
          <w:rFonts w:asciiTheme="minorHAnsi" w:hAnsiTheme="minorHAnsi" w:cstheme="minorHAnsi"/>
          <w:lang w:val="cs-CZ"/>
        </w:rPr>
        <w:t xml:space="preserve"> a</w:t>
      </w:r>
      <w:r w:rsidR="00461D5B">
        <w:rPr>
          <w:rFonts w:asciiTheme="minorHAnsi" w:hAnsiTheme="minorHAnsi" w:cstheme="minorHAnsi"/>
          <w:lang w:val="cs-CZ"/>
        </w:rPr>
        <w:t> „</w:t>
      </w:r>
      <w:r w:rsidRPr="00DF094C">
        <w:rPr>
          <w:rFonts w:asciiTheme="minorHAnsi" w:hAnsiTheme="minorHAnsi" w:cstheme="minorHAnsi"/>
          <w:lang w:val="cs-CZ"/>
        </w:rPr>
        <w:t xml:space="preserve">infekční“ zónou docházelo k neúměrnému </w:t>
      </w:r>
      <w:r w:rsidR="00F0448A">
        <w:rPr>
          <w:rFonts w:asciiTheme="minorHAnsi" w:hAnsiTheme="minorHAnsi" w:cstheme="minorHAnsi"/>
          <w:lang w:val="cs-CZ"/>
        </w:rPr>
        <w:t>prodlužování</w:t>
      </w:r>
      <w:r w:rsidRPr="00DF094C">
        <w:rPr>
          <w:rFonts w:asciiTheme="minorHAnsi" w:hAnsiTheme="minorHAnsi" w:cstheme="minorHAnsi"/>
          <w:lang w:val="cs-CZ"/>
        </w:rPr>
        <w:t xml:space="preserve"> doby převozu zdravotnického materiálu a vzorků do laboratoří. Nebyl proškolen dostatečný počet zdravotnických pracovníků pro zacházení se sterilizátorem při dekontaminaci materiálu. </w:t>
      </w:r>
      <w:r w:rsidR="0018037F" w:rsidRPr="00DF094C">
        <w:rPr>
          <w:rFonts w:asciiTheme="minorHAnsi" w:hAnsiTheme="minorHAnsi" w:cstheme="minorHAnsi"/>
          <w:lang w:val="cs-CZ"/>
        </w:rPr>
        <w:t>Personál záložních týmů neměl dostatečnou znalost pravidel procesů očisty/sterilizace p</w:t>
      </w:r>
      <w:r w:rsidRPr="00DF094C">
        <w:rPr>
          <w:rFonts w:asciiTheme="minorHAnsi" w:hAnsiTheme="minorHAnsi" w:cstheme="minorHAnsi"/>
          <w:lang w:val="cs-CZ"/>
        </w:rPr>
        <w:t>ři p</w:t>
      </w:r>
      <w:r w:rsidR="0018037F" w:rsidRPr="00DF094C">
        <w:rPr>
          <w:rFonts w:asciiTheme="minorHAnsi" w:hAnsiTheme="minorHAnsi" w:cstheme="minorHAnsi"/>
          <w:lang w:val="cs-CZ"/>
        </w:rPr>
        <w:t xml:space="preserve">ředávání </w:t>
      </w:r>
      <w:r w:rsidRPr="00DF094C">
        <w:rPr>
          <w:rFonts w:asciiTheme="minorHAnsi" w:hAnsiTheme="minorHAnsi" w:cstheme="minorHAnsi"/>
          <w:lang w:val="cs-CZ"/>
        </w:rPr>
        <w:t>s</w:t>
      </w:r>
      <w:r w:rsidR="0018037F" w:rsidRPr="00DF094C">
        <w:rPr>
          <w:rFonts w:asciiTheme="minorHAnsi" w:hAnsiTheme="minorHAnsi" w:cstheme="minorHAnsi"/>
          <w:lang w:val="cs-CZ"/>
        </w:rPr>
        <w:t>travy a</w:t>
      </w:r>
      <w:r w:rsidR="00461D5B">
        <w:rPr>
          <w:rFonts w:asciiTheme="minorHAnsi" w:hAnsiTheme="minorHAnsi" w:cstheme="minorHAnsi"/>
          <w:lang w:val="cs-CZ"/>
        </w:rPr>
        <w:t> </w:t>
      </w:r>
      <w:r w:rsidR="0018037F" w:rsidRPr="00DF094C">
        <w:rPr>
          <w:rFonts w:asciiTheme="minorHAnsi" w:hAnsiTheme="minorHAnsi" w:cstheme="minorHAnsi"/>
          <w:lang w:val="cs-CZ"/>
        </w:rPr>
        <w:t>dalšího materiálu</w:t>
      </w:r>
      <w:r w:rsidRPr="00DF094C">
        <w:rPr>
          <w:rFonts w:asciiTheme="minorHAnsi" w:hAnsiTheme="minorHAnsi" w:cstheme="minorHAnsi"/>
          <w:lang w:val="cs-CZ"/>
        </w:rPr>
        <w:t>.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</w:p>
    <w:p w:rsidR="00794A7C" w:rsidRPr="00DF094C" w:rsidRDefault="00794A7C" w:rsidP="0000796C">
      <w:pPr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DF094C">
        <w:rPr>
          <w:rFonts w:asciiTheme="minorHAnsi" w:hAnsiTheme="minorHAnsi" w:cstheme="minorHAnsi"/>
          <w:b/>
          <w:color w:val="000000"/>
          <w:lang w:val="cs-CZ"/>
        </w:rPr>
        <w:t>K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 </w:t>
      </w:r>
      <w:r w:rsidRPr="00DF094C">
        <w:rPr>
          <w:rFonts w:asciiTheme="minorHAnsi" w:hAnsiTheme="minorHAnsi" w:cstheme="minorHAnsi"/>
          <w:b/>
          <w:color w:val="000000"/>
          <w:lang w:val="cs-CZ"/>
        </w:rPr>
        <w:t>bod</w:t>
      </w:r>
      <w:r w:rsidR="00442D8E">
        <w:rPr>
          <w:rFonts w:asciiTheme="minorHAnsi" w:hAnsiTheme="minorHAnsi" w:cstheme="minorHAnsi"/>
          <w:b/>
          <w:color w:val="000000"/>
          <w:lang w:val="cs-CZ"/>
        </w:rPr>
        <w:t>ům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 6</w:t>
      </w:r>
      <w:r w:rsidR="006E5DE0">
        <w:rPr>
          <w:rFonts w:asciiTheme="minorHAnsi" w:hAnsiTheme="minorHAnsi" w:cstheme="minorHAnsi"/>
          <w:b/>
          <w:color w:val="000000"/>
          <w:lang w:val="cs-CZ"/>
        </w:rPr>
        <w:t xml:space="preserve"> a 7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 části II</w:t>
      </w:r>
      <w:r w:rsidR="00B0466B" w:rsidRPr="00DF094C">
        <w:rPr>
          <w:rFonts w:asciiTheme="minorHAnsi" w:hAnsiTheme="minorHAnsi" w:cstheme="minorHAnsi"/>
          <w:b/>
          <w:color w:val="000000"/>
          <w:lang w:val="cs-CZ"/>
        </w:rPr>
        <w:t xml:space="preserve">.: </w:t>
      </w:r>
      <w:r w:rsidR="006E5DE0">
        <w:rPr>
          <w:rFonts w:asciiTheme="minorHAnsi" w:hAnsiTheme="minorHAnsi" w:cstheme="minorHAnsi"/>
          <w:b/>
          <w:color w:val="000000"/>
          <w:lang w:val="cs-CZ"/>
        </w:rPr>
        <w:t>Deklarované schopnosti, k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oncepc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e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 xml:space="preserve">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ro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zvoj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>e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 xml:space="preserve">, řízení </w:t>
      </w:r>
      <w:r w:rsidR="007802C7" w:rsidRPr="00DF094C">
        <w:rPr>
          <w:rFonts w:asciiTheme="minorHAnsi" w:hAnsiTheme="minorHAnsi" w:cstheme="minorHAnsi"/>
          <w:b/>
          <w:color w:val="000000"/>
          <w:lang w:val="cs-CZ"/>
        </w:rPr>
        <w:t xml:space="preserve">a 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využití CBO</w:t>
      </w:r>
      <w:r w:rsidR="00F0448A">
        <w:rPr>
          <w:rFonts w:asciiTheme="minorHAnsi" w:hAnsiTheme="minorHAnsi" w:cstheme="minorHAnsi"/>
          <w:b/>
          <w:color w:val="000000"/>
          <w:lang w:val="cs-CZ"/>
        </w:rPr>
        <w:t> </w:t>
      </w:r>
      <w:r w:rsidR="00930265" w:rsidRPr="00DF094C">
        <w:rPr>
          <w:rFonts w:asciiTheme="minorHAnsi" w:hAnsiTheme="minorHAnsi" w:cstheme="minorHAnsi"/>
          <w:b/>
          <w:color w:val="000000"/>
          <w:lang w:val="cs-CZ"/>
        </w:rPr>
        <w:t>Těchonín</w:t>
      </w:r>
    </w:p>
    <w:p w:rsidR="00461D5B" w:rsidRDefault="00461D5B" w:rsidP="0000796C">
      <w:pPr>
        <w:jc w:val="both"/>
        <w:rPr>
          <w:rFonts w:asciiTheme="minorHAnsi" w:hAnsiTheme="minorHAnsi" w:cstheme="minorHAnsi"/>
          <w:lang w:val="cs-CZ"/>
        </w:rPr>
      </w:pPr>
    </w:p>
    <w:p w:rsidR="000F6695" w:rsidRDefault="000F6695" w:rsidP="0000796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Mezi nejdůležitější mezinárodní závazky patřil závazek </w:t>
      </w:r>
      <w:r w:rsidR="008105FF">
        <w:rPr>
          <w:rFonts w:asciiTheme="minorHAnsi" w:hAnsiTheme="minorHAnsi" w:cstheme="minorHAnsi"/>
          <w:lang w:val="cs-CZ"/>
        </w:rPr>
        <w:t>vybudovat</w:t>
      </w:r>
      <w:r>
        <w:rPr>
          <w:rFonts w:asciiTheme="minorHAnsi" w:hAnsiTheme="minorHAnsi" w:cstheme="minorHAnsi"/>
          <w:lang w:val="cs-CZ"/>
        </w:rPr>
        <w:t xml:space="preserve"> SIN, která byla </w:t>
      </w:r>
      <w:r w:rsidRPr="00F14341">
        <w:rPr>
          <w:rFonts w:asciiTheme="minorHAnsi" w:hAnsiTheme="minorHAnsi" w:cstheme="minorHAnsi"/>
          <w:lang w:val="cs-CZ"/>
        </w:rPr>
        <w:t xml:space="preserve">zkolaudována v květnu 2009 pro BSL-4. V důsledku nedokončení všech fází investiční výstavby byly některé podsystémy ve stavu, který </w:t>
      </w:r>
      <w:r w:rsidR="00F0448A">
        <w:rPr>
          <w:rFonts w:asciiTheme="minorHAnsi" w:hAnsiTheme="minorHAnsi" w:cstheme="minorHAnsi"/>
          <w:lang w:val="cs-CZ"/>
        </w:rPr>
        <w:t>neumožňuje</w:t>
      </w:r>
      <w:r w:rsidRPr="00F14341">
        <w:rPr>
          <w:rFonts w:asciiTheme="minorHAnsi" w:hAnsiTheme="minorHAnsi" w:cstheme="minorHAnsi"/>
          <w:lang w:val="cs-CZ"/>
        </w:rPr>
        <w:t xml:space="preserve"> plnohodnotnou funkčnost tohoto zařízení</w:t>
      </w:r>
      <w:r>
        <w:rPr>
          <w:rFonts w:asciiTheme="minorHAnsi" w:hAnsiTheme="minorHAnsi" w:cstheme="minorHAnsi"/>
          <w:lang w:val="cs-CZ"/>
        </w:rPr>
        <w:t>.</w:t>
      </w:r>
    </w:p>
    <w:p w:rsidR="000F6695" w:rsidRDefault="000F6695" w:rsidP="0000796C">
      <w:pPr>
        <w:jc w:val="both"/>
        <w:rPr>
          <w:rFonts w:asciiTheme="minorHAnsi" w:hAnsiTheme="minorHAnsi" w:cstheme="minorHAnsi"/>
          <w:lang w:val="cs-CZ"/>
        </w:rPr>
      </w:pPr>
    </w:p>
    <w:p w:rsidR="00794A7C" w:rsidRPr="00DF094C" w:rsidRDefault="00794A7C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lastRenderedPageBreak/>
        <w:t>V červn</w:t>
      </w:r>
      <w:r w:rsidR="00A31E40" w:rsidRPr="00DF094C">
        <w:rPr>
          <w:rFonts w:asciiTheme="minorHAnsi" w:hAnsiTheme="minorHAnsi" w:cstheme="minorHAnsi"/>
          <w:lang w:val="cs-CZ"/>
        </w:rPr>
        <w:t>u</w:t>
      </w:r>
      <w:r w:rsidRPr="00DF094C">
        <w:rPr>
          <w:rFonts w:asciiTheme="minorHAnsi" w:hAnsiTheme="minorHAnsi" w:cstheme="minorHAnsi"/>
          <w:lang w:val="cs-CZ"/>
        </w:rPr>
        <w:t xml:space="preserve"> 2011 vydal náčelník </w:t>
      </w:r>
      <w:r w:rsidR="00A31E40" w:rsidRPr="00DF094C">
        <w:rPr>
          <w:rFonts w:asciiTheme="minorHAnsi" w:hAnsiTheme="minorHAnsi" w:cstheme="minorHAnsi"/>
          <w:lang w:val="cs-CZ"/>
        </w:rPr>
        <w:t>Generálního štábu ú</w:t>
      </w:r>
      <w:r w:rsidRPr="00DF094C">
        <w:rPr>
          <w:rFonts w:asciiTheme="minorHAnsi" w:hAnsiTheme="minorHAnsi" w:cstheme="minorHAnsi"/>
          <w:lang w:val="cs-CZ"/>
        </w:rPr>
        <w:t>kol</w:t>
      </w:r>
      <w:r w:rsidR="00A31E40" w:rsidRPr="00DF094C">
        <w:rPr>
          <w:rFonts w:asciiTheme="minorHAnsi" w:hAnsiTheme="minorHAnsi" w:cstheme="minorHAnsi"/>
          <w:lang w:val="cs-CZ"/>
        </w:rPr>
        <w:t xml:space="preserve"> </w:t>
      </w:r>
      <w:r w:rsidR="00461D5B">
        <w:rPr>
          <w:rFonts w:asciiTheme="minorHAnsi" w:hAnsiTheme="minorHAnsi" w:cstheme="minorHAnsi"/>
          <w:lang w:val="cs-CZ"/>
        </w:rPr>
        <w:t>u</w:t>
      </w:r>
      <w:r w:rsidRPr="00DF094C">
        <w:rPr>
          <w:rFonts w:asciiTheme="minorHAnsi" w:hAnsiTheme="minorHAnsi" w:cstheme="minorHAnsi"/>
          <w:lang w:val="cs-CZ"/>
        </w:rPr>
        <w:t>drže</w:t>
      </w:r>
      <w:r w:rsidR="00F0448A">
        <w:rPr>
          <w:rFonts w:asciiTheme="minorHAnsi" w:hAnsiTheme="minorHAnsi" w:cstheme="minorHAnsi"/>
          <w:lang w:val="cs-CZ"/>
        </w:rPr>
        <w:t>t</w:t>
      </w:r>
      <w:r w:rsidRPr="00DF094C">
        <w:rPr>
          <w:rFonts w:asciiTheme="minorHAnsi" w:hAnsiTheme="minorHAnsi" w:cstheme="minorHAnsi"/>
          <w:lang w:val="cs-CZ"/>
        </w:rPr>
        <w:t xml:space="preserve"> schopnost</w:t>
      </w:r>
      <w:r w:rsidR="00F0448A">
        <w:rPr>
          <w:rFonts w:asciiTheme="minorHAnsi" w:hAnsiTheme="minorHAnsi" w:cstheme="minorHAnsi"/>
          <w:lang w:val="cs-CZ"/>
        </w:rPr>
        <w:t>i</w:t>
      </w:r>
      <w:r w:rsidRPr="00DF094C">
        <w:rPr>
          <w:rFonts w:asciiTheme="minorHAnsi" w:hAnsiTheme="minorHAnsi" w:cstheme="minorHAnsi"/>
          <w:lang w:val="cs-CZ"/>
        </w:rPr>
        <w:t xml:space="preserve"> A</w:t>
      </w:r>
      <w:r w:rsidR="00916EF9" w:rsidRPr="00DF094C">
        <w:rPr>
          <w:rFonts w:asciiTheme="minorHAnsi" w:hAnsiTheme="minorHAnsi" w:cstheme="minorHAnsi"/>
          <w:lang w:val="cs-CZ"/>
        </w:rPr>
        <w:t>ČR</w:t>
      </w:r>
      <w:r w:rsidRPr="00DF094C">
        <w:rPr>
          <w:rFonts w:asciiTheme="minorHAnsi" w:hAnsiTheme="minorHAnsi" w:cstheme="minorHAnsi"/>
          <w:lang w:val="cs-CZ"/>
        </w:rPr>
        <w:t xml:space="preserve"> v oblasti </w:t>
      </w:r>
      <w:r w:rsidR="00A31E40" w:rsidRPr="00DF094C">
        <w:rPr>
          <w:rFonts w:asciiTheme="minorHAnsi" w:hAnsiTheme="minorHAnsi" w:cstheme="minorHAnsi"/>
          <w:lang w:val="cs-CZ"/>
        </w:rPr>
        <w:t xml:space="preserve">ochrany proti zbraním hromadného ničení a také </w:t>
      </w:r>
      <w:r w:rsidR="00F0448A">
        <w:rPr>
          <w:rFonts w:asciiTheme="minorHAnsi" w:hAnsiTheme="minorHAnsi" w:cstheme="minorHAnsi"/>
          <w:lang w:val="cs-CZ"/>
        </w:rPr>
        <w:t>využít kapacity CBO </w:t>
      </w:r>
      <w:r w:rsidRPr="00DF094C">
        <w:rPr>
          <w:rFonts w:asciiTheme="minorHAnsi" w:hAnsiTheme="minorHAnsi" w:cstheme="minorHAnsi"/>
          <w:lang w:val="cs-CZ"/>
        </w:rPr>
        <w:t xml:space="preserve">Těchonín. </w:t>
      </w:r>
      <w:r w:rsidR="00A31E40" w:rsidRPr="00DF094C">
        <w:rPr>
          <w:rFonts w:asciiTheme="minorHAnsi" w:hAnsiTheme="minorHAnsi" w:cstheme="minorHAnsi"/>
          <w:lang w:val="cs-CZ"/>
        </w:rPr>
        <w:t>B</w:t>
      </w:r>
      <w:r w:rsidRPr="00DF094C">
        <w:rPr>
          <w:rFonts w:asciiTheme="minorHAnsi" w:hAnsiTheme="minorHAnsi" w:cstheme="minorHAnsi"/>
          <w:lang w:val="cs-CZ"/>
        </w:rPr>
        <w:t xml:space="preserve">yla započata jednání s potenciálními partnery na národní i mezinárodní úrovni. </w:t>
      </w:r>
      <w:r w:rsidR="00A31E40" w:rsidRPr="00DF094C">
        <w:rPr>
          <w:rFonts w:asciiTheme="minorHAnsi" w:hAnsiTheme="minorHAnsi" w:cstheme="minorHAnsi"/>
          <w:lang w:val="cs-CZ"/>
        </w:rPr>
        <w:t>P</w:t>
      </w:r>
      <w:r w:rsidRPr="00DF094C">
        <w:rPr>
          <w:rFonts w:asciiTheme="minorHAnsi" w:hAnsiTheme="minorHAnsi" w:cstheme="minorHAnsi"/>
          <w:lang w:val="cs-CZ"/>
        </w:rPr>
        <w:t>roběhl</w:t>
      </w:r>
      <w:r w:rsidR="00A31E40" w:rsidRPr="00DF094C">
        <w:rPr>
          <w:rFonts w:asciiTheme="minorHAnsi" w:hAnsiTheme="minorHAnsi" w:cstheme="minorHAnsi"/>
          <w:lang w:val="cs-CZ"/>
        </w:rPr>
        <w:t>a</w:t>
      </w:r>
      <w:r w:rsidRPr="00DF094C">
        <w:rPr>
          <w:rFonts w:asciiTheme="minorHAnsi" w:hAnsiTheme="minorHAnsi" w:cstheme="minorHAnsi"/>
          <w:lang w:val="cs-CZ"/>
        </w:rPr>
        <w:t xml:space="preserve"> meziresortní jednání se zástupci Ministerstv</w:t>
      </w:r>
      <w:r w:rsidR="00943568" w:rsidRPr="00DF094C">
        <w:rPr>
          <w:rFonts w:asciiTheme="minorHAnsi" w:hAnsiTheme="minorHAnsi" w:cstheme="minorHAnsi"/>
          <w:lang w:val="cs-CZ"/>
        </w:rPr>
        <w:t>a</w:t>
      </w:r>
      <w:r w:rsidRPr="00DF094C">
        <w:rPr>
          <w:rFonts w:asciiTheme="minorHAnsi" w:hAnsiTheme="minorHAnsi" w:cstheme="minorHAnsi"/>
          <w:lang w:val="cs-CZ"/>
        </w:rPr>
        <w:t xml:space="preserve"> zahraničních věcí</w:t>
      </w:r>
      <w:r w:rsidR="00FB34C3" w:rsidRPr="00DF094C">
        <w:rPr>
          <w:rFonts w:asciiTheme="minorHAnsi" w:hAnsiTheme="minorHAnsi" w:cstheme="minorHAnsi"/>
          <w:lang w:val="cs-CZ"/>
        </w:rPr>
        <w:t xml:space="preserve"> (dále jen „MZV“)</w:t>
      </w:r>
      <w:r w:rsidR="00A31E40" w:rsidRPr="00DF094C">
        <w:rPr>
          <w:rFonts w:asciiTheme="minorHAnsi" w:hAnsiTheme="minorHAnsi" w:cstheme="minorHAnsi"/>
          <w:lang w:val="cs-CZ"/>
        </w:rPr>
        <w:t>, Ministerstva zdravotnictví</w:t>
      </w:r>
      <w:r w:rsidR="00FB34C3" w:rsidRPr="00DF094C">
        <w:rPr>
          <w:rFonts w:asciiTheme="minorHAnsi" w:hAnsiTheme="minorHAnsi" w:cstheme="minorHAnsi"/>
          <w:lang w:val="cs-CZ"/>
        </w:rPr>
        <w:t xml:space="preserve"> (dále jen „MZ</w:t>
      </w:r>
      <w:r w:rsidR="00F43ACF" w:rsidRPr="00DF094C">
        <w:rPr>
          <w:rFonts w:asciiTheme="minorHAnsi" w:hAnsiTheme="minorHAnsi" w:cstheme="minorHAnsi"/>
          <w:lang w:val="cs-CZ"/>
        </w:rPr>
        <w:t>d</w:t>
      </w:r>
      <w:r w:rsidR="00FB34C3" w:rsidRPr="00DF094C">
        <w:rPr>
          <w:rFonts w:asciiTheme="minorHAnsi" w:hAnsiTheme="minorHAnsi" w:cstheme="minorHAnsi"/>
          <w:lang w:val="cs-CZ"/>
        </w:rPr>
        <w:t>“)</w:t>
      </w:r>
      <w:r w:rsidR="00A31E40" w:rsidRPr="00DF094C">
        <w:rPr>
          <w:rFonts w:asciiTheme="minorHAnsi" w:hAnsiTheme="minorHAnsi" w:cstheme="minorHAnsi"/>
          <w:lang w:val="cs-CZ"/>
        </w:rPr>
        <w:t xml:space="preserve">, </w:t>
      </w:r>
      <w:r w:rsidR="008752DD" w:rsidRPr="00DF094C">
        <w:rPr>
          <w:rFonts w:asciiTheme="minorHAnsi" w:hAnsiTheme="minorHAnsi" w:cstheme="minorHAnsi"/>
          <w:lang w:val="cs-CZ"/>
        </w:rPr>
        <w:t xml:space="preserve">Ministerstva školství, mládeže a tělovýchovy, </w:t>
      </w:r>
      <w:r w:rsidR="00A31E40" w:rsidRPr="00DF094C">
        <w:rPr>
          <w:rFonts w:asciiTheme="minorHAnsi" w:hAnsiTheme="minorHAnsi" w:cstheme="minorHAnsi"/>
          <w:lang w:val="cs-CZ"/>
        </w:rPr>
        <w:t>Ministerstva vnitra vč</w:t>
      </w:r>
      <w:r w:rsidR="00461D5B">
        <w:rPr>
          <w:rFonts w:asciiTheme="minorHAnsi" w:hAnsiTheme="minorHAnsi" w:cstheme="minorHAnsi"/>
          <w:lang w:val="cs-CZ"/>
        </w:rPr>
        <w:t>etně</w:t>
      </w:r>
      <w:r w:rsidR="00A31E40" w:rsidRPr="00DF094C">
        <w:rPr>
          <w:rFonts w:asciiTheme="minorHAnsi" w:hAnsiTheme="minorHAnsi" w:cstheme="minorHAnsi"/>
          <w:lang w:val="cs-CZ"/>
        </w:rPr>
        <w:t xml:space="preserve"> Generálního ředitelství hasičského záchranného sboru</w:t>
      </w:r>
      <w:r w:rsidR="008752DD" w:rsidRPr="00DF094C">
        <w:rPr>
          <w:rFonts w:asciiTheme="minorHAnsi" w:hAnsiTheme="minorHAnsi" w:cstheme="minorHAnsi"/>
          <w:lang w:val="cs-CZ"/>
        </w:rPr>
        <w:t>,</w:t>
      </w:r>
      <w:r w:rsidRPr="00DF094C">
        <w:rPr>
          <w:rFonts w:asciiTheme="minorHAnsi" w:hAnsiTheme="minorHAnsi" w:cstheme="minorHAnsi"/>
          <w:lang w:val="cs-CZ"/>
        </w:rPr>
        <w:t xml:space="preserve"> S</w:t>
      </w:r>
      <w:r w:rsidR="00A31E40" w:rsidRPr="00DF094C">
        <w:rPr>
          <w:rFonts w:asciiTheme="minorHAnsi" w:hAnsiTheme="minorHAnsi" w:cstheme="minorHAnsi"/>
          <w:lang w:val="cs-CZ"/>
        </w:rPr>
        <w:t>tátního úřadu pro jadernou bezpečnost</w:t>
      </w:r>
      <w:r w:rsidR="008752DD" w:rsidRPr="00DF094C">
        <w:rPr>
          <w:rFonts w:asciiTheme="minorHAnsi" w:hAnsiTheme="minorHAnsi" w:cstheme="minorHAnsi"/>
          <w:lang w:val="cs-CZ"/>
        </w:rPr>
        <w:t xml:space="preserve"> </w:t>
      </w:r>
      <w:r w:rsidR="00FB34C3" w:rsidRPr="00DF094C">
        <w:rPr>
          <w:rFonts w:asciiTheme="minorHAnsi" w:hAnsiTheme="minorHAnsi" w:cstheme="minorHAnsi"/>
          <w:lang w:val="cs-CZ"/>
        </w:rPr>
        <w:t xml:space="preserve">(dále jen „SÚJB“) </w:t>
      </w:r>
      <w:r w:rsidR="008752DD" w:rsidRPr="00DF094C">
        <w:rPr>
          <w:rFonts w:asciiTheme="minorHAnsi" w:hAnsiTheme="minorHAnsi" w:cstheme="minorHAnsi"/>
          <w:lang w:val="cs-CZ"/>
        </w:rPr>
        <w:t>a Akademi</w:t>
      </w:r>
      <w:r w:rsidR="00943568" w:rsidRPr="00DF094C">
        <w:rPr>
          <w:rFonts w:asciiTheme="minorHAnsi" w:hAnsiTheme="minorHAnsi" w:cstheme="minorHAnsi"/>
          <w:lang w:val="cs-CZ"/>
        </w:rPr>
        <w:t>e</w:t>
      </w:r>
      <w:r w:rsidR="008752DD" w:rsidRPr="00DF094C">
        <w:rPr>
          <w:rFonts w:asciiTheme="minorHAnsi" w:hAnsiTheme="minorHAnsi" w:cstheme="minorHAnsi"/>
          <w:lang w:val="cs-CZ"/>
        </w:rPr>
        <w:t xml:space="preserve"> věd</w:t>
      </w:r>
      <w:r w:rsidR="00FB34C3" w:rsidRPr="00DF094C">
        <w:rPr>
          <w:rFonts w:asciiTheme="minorHAnsi" w:hAnsiTheme="minorHAnsi" w:cstheme="minorHAnsi"/>
          <w:lang w:val="cs-CZ"/>
        </w:rPr>
        <w:t xml:space="preserve"> České republiky (dále jen „AV ČR“)</w:t>
      </w:r>
      <w:r w:rsidR="00461D5B">
        <w:rPr>
          <w:rFonts w:asciiTheme="minorHAnsi" w:hAnsiTheme="minorHAnsi" w:cstheme="minorHAnsi"/>
          <w:lang w:val="cs-CZ"/>
        </w:rPr>
        <w:t>,</w:t>
      </w:r>
      <w:r w:rsidR="005E1E4B">
        <w:rPr>
          <w:rFonts w:asciiTheme="minorHAnsi" w:hAnsiTheme="minorHAnsi" w:cstheme="minorHAnsi"/>
          <w:lang w:val="cs-CZ"/>
        </w:rPr>
        <w:t xml:space="preserve"> v </w:t>
      </w:r>
      <w:r w:rsidR="00461D5B">
        <w:rPr>
          <w:rFonts w:asciiTheme="minorHAnsi" w:hAnsiTheme="minorHAnsi" w:cstheme="minorHAnsi"/>
          <w:lang w:val="cs-CZ"/>
        </w:rPr>
        <w:t xml:space="preserve">jejichž </w:t>
      </w:r>
      <w:r w:rsidR="005E1E4B">
        <w:rPr>
          <w:rFonts w:asciiTheme="minorHAnsi" w:hAnsiTheme="minorHAnsi" w:cstheme="minorHAnsi"/>
          <w:lang w:val="cs-CZ"/>
        </w:rPr>
        <w:t>rámci b</w:t>
      </w:r>
      <w:r w:rsidR="008752DD" w:rsidRPr="00DF094C">
        <w:rPr>
          <w:rFonts w:asciiTheme="minorHAnsi" w:hAnsiTheme="minorHAnsi" w:cstheme="minorHAnsi"/>
          <w:lang w:val="cs-CZ"/>
        </w:rPr>
        <w:t xml:space="preserve">yla vyzdvižena jedinečnost CBO </w:t>
      </w:r>
      <w:r w:rsidR="00943568" w:rsidRPr="00DF094C">
        <w:rPr>
          <w:rFonts w:asciiTheme="minorHAnsi" w:hAnsiTheme="minorHAnsi" w:cstheme="minorHAnsi"/>
          <w:lang w:val="cs-CZ"/>
        </w:rPr>
        <w:t>Těchonín</w:t>
      </w:r>
      <w:r w:rsidR="00B27C18">
        <w:rPr>
          <w:rFonts w:asciiTheme="minorHAnsi" w:hAnsiTheme="minorHAnsi" w:cstheme="minorHAnsi"/>
          <w:lang w:val="cs-CZ"/>
        </w:rPr>
        <w:t xml:space="preserve"> a</w:t>
      </w:r>
      <w:r w:rsidR="00943568" w:rsidRPr="00DF094C">
        <w:rPr>
          <w:rFonts w:asciiTheme="minorHAnsi" w:hAnsiTheme="minorHAnsi" w:cstheme="minorHAnsi"/>
          <w:lang w:val="cs-CZ"/>
        </w:rPr>
        <w:t xml:space="preserve"> </w:t>
      </w:r>
      <w:r w:rsidR="008752DD" w:rsidRPr="00DF094C">
        <w:rPr>
          <w:rFonts w:asciiTheme="minorHAnsi" w:hAnsiTheme="minorHAnsi" w:cstheme="minorHAnsi"/>
          <w:lang w:val="cs-CZ"/>
        </w:rPr>
        <w:t xml:space="preserve">zájem </w:t>
      </w:r>
      <w:r w:rsidR="00B27C18">
        <w:rPr>
          <w:rFonts w:asciiTheme="minorHAnsi" w:hAnsiTheme="minorHAnsi" w:cstheme="minorHAnsi"/>
          <w:lang w:val="cs-CZ"/>
        </w:rPr>
        <w:t>o</w:t>
      </w:r>
      <w:r w:rsidR="00461D5B">
        <w:rPr>
          <w:rFonts w:asciiTheme="minorHAnsi" w:hAnsiTheme="minorHAnsi" w:cstheme="minorHAnsi"/>
          <w:lang w:val="cs-CZ"/>
        </w:rPr>
        <w:t> </w:t>
      </w:r>
      <w:r w:rsidR="008752DD" w:rsidRPr="00DF094C">
        <w:rPr>
          <w:rFonts w:asciiTheme="minorHAnsi" w:hAnsiTheme="minorHAnsi" w:cstheme="minorHAnsi"/>
          <w:lang w:val="cs-CZ"/>
        </w:rPr>
        <w:t>spolupráci</w:t>
      </w:r>
      <w:r w:rsidR="00B27C18">
        <w:rPr>
          <w:rFonts w:asciiTheme="minorHAnsi" w:hAnsiTheme="minorHAnsi" w:cstheme="minorHAnsi"/>
          <w:lang w:val="cs-CZ"/>
        </w:rPr>
        <w:t>, o</w:t>
      </w:r>
      <w:r w:rsidR="008752DD" w:rsidRPr="00DF094C">
        <w:rPr>
          <w:rFonts w:asciiTheme="minorHAnsi" w:hAnsiTheme="minorHAnsi" w:cstheme="minorHAnsi"/>
          <w:lang w:val="cs-CZ"/>
        </w:rPr>
        <w:t xml:space="preserve">všem ochota spolufinancovat </w:t>
      </w:r>
      <w:r w:rsidR="00943568" w:rsidRPr="00DF094C">
        <w:rPr>
          <w:rFonts w:asciiTheme="minorHAnsi" w:hAnsiTheme="minorHAnsi" w:cstheme="minorHAnsi"/>
          <w:lang w:val="cs-CZ"/>
        </w:rPr>
        <w:t xml:space="preserve">chod </w:t>
      </w:r>
      <w:r w:rsidR="008752DD" w:rsidRPr="00DF094C">
        <w:rPr>
          <w:rFonts w:asciiTheme="minorHAnsi" w:hAnsiTheme="minorHAnsi" w:cstheme="minorHAnsi"/>
          <w:lang w:val="cs-CZ"/>
        </w:rPr>
        <w:t xml:space="preserve">CBO </w:t>
      </w:r>
      <w:r w:rsidR="00943568" w:rsidRPr="00DF094C">
        <w:rPr>
          <w:rFonts w:asciiTheme="minorHAnsi" w:hAnsiTheme="minorHAnsi" w:cstheme="minorHAnsi"/>
          <w:lang w:val="cs-CZ"/>
        </w:rPr>
        <w:t xml:space="preserve">Těchonín </w:t>
      </w:r>
      <w:r w:rsidR="008752DD" w:rsidRPr="00DF094C">
        <w:rPr>
          <w:rFonts w:asciiTheme="minorHAnsi" w:hAnsiTheme="minorHAnsi" w:cstheme="minorHAnsi"/>
          <w:lang w:val="cs-CZ"/>
        </w:rPr>
        <w:t>sdílena nebyla.</w:t>
      </w:r>
    </w:p>
    <w:p w:rsidR="00902F2F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794A7C" w:rsidRPr="00DF094C" w:rsidRDefault="00794A7C" w:rsidP="0000796C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Následně </w:t>
      </w:r>
      <w:r w:rsidR="005E1E4B">
        <w:rPr>
          <w:rFonts w:asciiTheme="minorHAnsi" w:hAnsiTheme="minorHAnsi" w:cstheme="minorHAnsi"/>
          <w:lang w:val="cs-CZ"/>
        </w:rPr>
        <w:t xml:space="preserve">se uskutečnila </w:t>
      </w:r>
      <w:r w:rsidRPr="00DF094C">
        <w:rPr>
          <w:rFonts w:asciiTheme="minorHAnsi" w:hAnsiTheme="minorHAnsi" w:cstheme="minorHAnsi"/>
          <w:lang w:val="cs-CZ"/>
        </w:rPr>
        <w:t>bilaterální jednání s MZV, MZd a SÚJB. Ve spolupráci s MZV byl stanoven postup pro oslovení relevantních mezinárodních organizací</w:t>
      </w:r>
      <w:r w:rsidR="00561D3B">
        <w:rPr>
          <w:rFonts w:asciiTheme="minorHAnsi" w:hAnsiTheme="minorHAnsi" w:cstheme="minorHAnsi"/>
          <w:lang w:val="cs-CZ"/>
        </w:rPr>
        <w:t xml:space="preserve"> jako např.</w:t>
      </w:r>
      <w:r w:rsidRPr="00DF094C">
        <w:rPr>
          <w:rFonts w:asciiTheme="minorHAnsi" w:hAnsiTheme="minorHAnsi" w:cstheme="minorHAnsi"/>
          <w:lang w:val="cs-CZ"/>
        </w:rPr>
        <w:t xml:space="preserve"> O</w:t>
      </w:r>
      <w:r w:rsidR="00FB34C3" w:rsidRPr="00DF094C">
        <w:rPr>
          <w:rFonts w:asciiTheme="minorHAnsi" w:hAnsiTheme="minorHAnsi" w:cstheme="minorHAnsi"/>
          <w:lang w:val="cs-CZ"/>
        </w:rPr>
        <w:t xml:space="preserve">rganizace spojených národů </w:t>
      </w:r>
      <w:r w:rsidRPr="00DF094C">
        <w:rPr>
          <w:rFonts w:asciiTheme="minorHAnsi" w:hAnsiTheme="minorHAnsi" w:cstheme="minorHAnsi"/>
          <w:lang w:val="cs-CZ"/>
        </w:rPr>
        <w:t>a E</w:t>
      </w:r>
      <w:r w:rsidR="00FB34C3" w:rsidRPr="00DF094C">
        <w:rPr>
          <w:rFonts w:asciiTheme="minorHAnsi" w:hAnsiTheme="minorHAnsi" w:cstheme="minorHAnsi"/>
          <w:lang w:val="cs-CZ"/>
        </w:rPr>
        <w:t>vropsk</w:t>
      </w:r>
      <w:r w:rsidR="00561D3B">
        <w:rPr>
          <w:rFonts w:asciiTheme="minorHAnsi" w:hAnsiTheme="minorHAnsi" w:cstheme="minorHAnsi"/>
          <w:lang w:val="cs-CZ"/>
        </w:rPr>
        <w:t>á</w:t>
      </w:r>
      <w:r w:rsidR="00FB34C3" w:rsidRPr="00DF094C">
        <w:rPr>
          <w:rFonts w:asciiTheme="minorHAnsi" w:hAnsiTheme="minorHAnsi" w:cstheme="minorHAnsi"/>
          <w:lang w:val="cs-CZ"/>
        </w:rPr>
        <w:t xml:space="preserve"> unie</w:t>
      </w:r>
      <w:r w:rsidRPr="00DF094C">
        <w:rPr>
          <w:rFonts w:asciiTheme="minorHAnsi" w:hAnsiTheme="minorHAnsi" w:cstheme="minorHAnsi"/>
          <w:lang w:val="cs-CZ"/>
        </w:rPr>
        <w:t xml:space="preserve">. MZd počítalo se začleněním CBO </w:t>
      </w:r>
      <w:r w:rsidR="00943568" w:rsidRPr="00DF094C">
        <w:rPr>
          <w:rFonts w:asciiTheme="minorHAnsi" w:hAnsiTheme="minorHAnsi" w:cstheme="minorHAnsi"/>
          <w:lang w:val="cs-CZ"/>
        </w:rPr>
        <w:t xml:space="preserve">Těchonín </w:t>
      </w:r>
      <w:r w:rsidRPr="00DF094C">
        <w:rPr>
          <w:rFonts w:asciiTheme="minorHAnsi" w:hAnsiTheme="minorHAnsi" w:cstheme="minorHAnsi"/>
          <w:lang w:val="cs-CZ"/>
        </w:rPr>
        <w:t>do celostátního systému s využitím jeho hospitalizačních a laboratorních kapacit. Mikrobiologický ústav AV ČR projevil zájem o</w:t>
      </w:r>
      <w:r w:rsidR="00781F5C" w:rsidRPr="00DF094C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pronájem laboratorních a personálních kapacit CBO</w:t>
      </w:r>
      <w:r w:rsidR="00943568" w:rsidRPr="00DF094C">
        <w:rPr>
          <w:rFonts w:asciiTheme="minorHAnsi" w:hAnsiTheme="minorHAnsi" w:cstheme="minorHAnsi"/>
          <w:lang w:val="cs-CZ"/>
        </w:rPr>
        <w:t xml:space="preserve"> Těchonín</w:t>
      </w:r>
      <w:r w:rsidRPr="00DF094C">
        <w:rPr>
          <w:rFonts w:asciiTheme="minorHAnsi" w:hAnsiTheme="minorHAnsi" w:cstheme="minorHAnsi"/>
          <w:lang w:val="cs-CZ"/>
        </w:rPr>
        <w:t xml:space="preserve">. </w:t>
      </w:r>
    </w:p>
    <w:p w:rsidR="00902F2F" w:rsidRPr="00DF094C" w:rsidRDefault="00902F2F" w:rsidP="0000796C">
      <w:pPr>
        <w:jc w:val="both"/>
        <w:rPr>
          <w:rFonts w:asciiTheme="minorHAnsi" w:hAnsiTheme="minorHAnsi" w:cstheme="minorHAnsi"/>
          <w:lang w:val="cs-CZ"/>
        </w:rPr>
      </w:pPr>
    </w:p>
    <w:p w:rsidR="00442D8E" w:rsidRPr="00DF094C" w:rsidRDefault="00794A7C" w:rsidP="00442D8E">
      <w:pPr>
        <w:jc w:val="both"/>
        <w:rPr>
          <w:rFonts w:asciiTheme="minorHAnsi" w:hAnsiTheme="minorHAnsi" w:cstheme="minorHAnsi"/>
          <w:lang w:val="cs-CZ"/>
        </w:rPr>
      </w:pPr>
      <w:r w:rsidRPr="00DF094C">
        <w:rPr>
          <w:rFonts w:asciiTheme="minorHAnsi" w:hAnsiTheme="minorHAnsi" w:cstheme="minorHAnsi"/>
          <w:lang w:val="cs-CZ"/>
        </w:rPr>
        <w:t xml:space="preserve">Na mezinárodní úrovni mělo CBO Těchonín perspektivu </w:t>
      </w:r>
      <w:r w:rsidR="00B0782D">
        <w:rPr>
          <w:rFonts w:asciiTheme="minorHAnsi" w:hAnsiTheme="minorHAnsi" w:cstheme="minorHAnsi"/>
          <w:lang w:val="cs-CZ"/>
        </w:rPr>
        <w:t>pořádat kurzy a semináře</w:t>
      </w:r>
      <w:r w:rsidRPr="00DF094C">
        <w:rPr>
          <w:rFonts w:asciiTheme="minorHAnsi" w:hAnsiTheme="minorHAnsi" w:cstheme="minorHAnsi"/>
          <w:lang w:val="cs-CZ"/>
        </w:rPr>
        <w:t xml:space="preserve"> v rámci Evropské rady a O</w:t>
      </w:r>
      <w:r w:rsidR="00FB34C3" w:rsidRPr="00DF094C">
        <w:rPr>
          <w:rFonts w:asciiTheme="minorHAnsi" w:hAnsiTheme="minorHAnsi" w:cstheme="minorHAnsi"/>
          <w:lang w:val="cs-CZ"/>
        </w:rPr>
        <w:t>rganizace spojených národů</w:t>
      </w:r>
      <w:r w:rsidRPr="00DF094C">
        <w:rPr>
          <w:rFonts w:asciiTheme="minorHAnsi" w:hAnsiTheme="minorHAnsi" w:cstheme="minorHAnsi"/>
          <w:lang w:val="cs-CZ"/>
        </w:rPr>
        <w:t xml:space="preserve">. Bilaterální jednání </w:t>
      </w:r>
      <w:r w:rsidR="00B0782D">
        <w:rPr>
          <w:rFonts w:asciiTheme="minorHAnsi" w:hAnsiTheme="minorHAnsi" w:cstheme="minorHAnsi"/>
          <w:lang w:val="cs-CZ"/>
        </w:rPr>
        <w:t>byla vedena</w:t>
      </w:r>
      <w:r w:rsidR="005E1E4B">
        <w:rPr>
          <w:rFonts w:asciiTheme="minorHAnsi" w:hAnsiTheme="minorHAnsi" w:cstheme="minorHAnsi"/>
          <w:lang w:val="cs-CZ"/>
        </w:rPr>
        <w:t xml:space="preserve"> </w:t>
      </w:r>
      <w:r w:rsidR="00461D5B">
        <w:rPr>
          <w:rFonts w:asciiTheme="minorHAnsi" w:hAnsiTheme="minorHAnsi" w:cstheme="minorHAnsi"/>
          <w:lang w:val="cs-CZ"/>
        </w:rPr>
        <w:t>(</w:t>
      </w:r>
      <w:r w:rsidRPr="00DF094C">
        <w:rPr>
          <w:rFonts w:asciiTheme="minorHAnsi" w:hAnsiTheme="minorHAnsi" w:cstheme="minorHAnsi"/>
          <w:lang w:val="cs-CZ"/>
        </w:rPr>
        <w:t>např. s Francií, Velkou Británií, Polskem, Maďarskem</w:t>
      </w:r>
      <w:r w:rsidR="00C82FF0">
        <w:rPr>
          <w:rFonts w:asciiTheme="minorHAnsi" w:hAnsiTheme="minorHAnsi" w:cstheme="minorHAnsi"/>
          <w:lang w:val="cs-CZ"/>
        </w:rPr>
        <w:t xml:space="preserve"> nebo</w:t>
      </w:r>
      <w:r w:rsidRPr="00DF094C">
        <w:rPr>
          <w:rFonts w:asciiTheme="minorHAnsi" w:hAnsiTheme="minorHAnsi" w:cstheme="minorHAnsi"/>
          <w:lang w:val="cs-CZ"/>
        </w:rPr>
        <w:t xml:space="preserve"> Srbskem</w:t>
      </w:r>
      <w:r w:rsidR="00461D5B">
        <w:rPr>
          <w:rFonts w:asciiTheme="minorHAnsi" w:hAnsiTheme="minorHAnsi" w:cstheme="minorHAnsi"/>
          <w:lang w:val="cs-CZ"/>
        </w:rPr>
        <w:t>)</w:t>
      </w:r>
      <w:r w:rsidR="00C82FF0">
        <w:rPr>
          <w:rFonts w:asciiTheme="minorHAnsi" w:hAnsiTheme="minorHAnsi" w:cstheme="minorHAnsi"/>
          <w:lang w:val="cs-CZ"/>
        </w:rPr>
        <w:t>, a to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="00AC4F76" w:rsidRPr="00DF094C">
        <w:rPr>
          <w:rFonts w:asciiTheme="minorHAnsi" w:hAnsiTheme="minorHAnsi" w:cstheme="minorHAnsi"/>
          <w:lang w:val="cs-CZ"/>
        </w:rPr>
        <w:t>zejm</w:t>
      </w:r>
      <w:r w:rsidR="005E1E4B">
        <w:rPr>
          <w:rFonts w:asciiTheme="minorHAnsi" w:hAnsiTheme="minorHAnsi" w:cstheme="minorHAnsi"/>
          <w:lang w:val="cs-CZ"/>
        </w:rPr>
        <w:t>éna</w:t>
      </w:r>
      <w:r w:rsidRPr="00DF094C">
        <w:rPr>
          <w:rFonts w:asciiTheme="minorHAnsi" w:hAnsiTheme="minorHAnsi" w:cstheme="minorHAnsi"/>
          <w:lang w:val="cs-CZ"/>
        </w:rPr>
        <w:t xml:space="preserve"> za účelem výzkumu, vývoje a</w:t>
      </w:r>
      <w:r w:rsidR="001F1E10">
        <w:rPr>
          <w:rFonts w:asciiTheme="minorHAnsi" w:hAnsiTheme="minorHAnsi" w:cstheme="minorHAnsi"/>
          <w:lang w:val="cs-CZ"/>
        </w:rPr>
        <w:t> </w:t>
      </w:r>
      <w:r w:rsidRPr="00DF094C">
        <w:rPr>
          <w:rFonts w:asciiTheme="minorHAnsi" w:hAnsiTheme="minorHAnsi" w:cstheme="minorHAnsi"/>
          <w:lang w:val="cs-CZ"/>
        </w:rPr>
        <w:t>výcviku.</w:t>
      </w:r>
      <w:r w:rsidR="00943568" w:rsidRPr="00DF094C">
        <w:rPr>
          <w:rFonts w:asciiTheme="minorHAnsi" w:hAnsiTheme="minorHAnsi" w:cstheme="minorHAnsi"/>
          <w:lang w:val="cs-CZ"/>
        </w:rPr>
        <w:t xml:space="preserve"> V</w:t>
      </w:r>
      <w:r w:rsidRPr="00DF094C">
        <w:rPr>
          <w:rFonts w:asciiTheme="minorHAnsi" w:hAnsiTheme="minorHAnsi" w:cstheme="minorHAnsi"/>
          <w:lang w:val="cs-CZ"/>
        </w:rPr>
        <w:t> letech 2012 až 2014</w:t>
      </w:r>
      <w:r w:rsidR="00943568" w:rsidRPr="00DF094C">
        <w:rPr>
          <w:rFonts w:asciiTheme="minorHAnsi" w:hAnsiTheme="minorHAnsi" w:cstheme="minorHAnsi"/>
          <w:lang w:val="cs-CZ"/>
        </w:rPr>
        <w:t xml:space="preserve"> </w:t>
      </w:r>
      <w:r w:rsidR="005E1E4B">
        <w:rPr>
          <w:rFonts w:asciiTheme="minorHAnsi" w:hAnsiTheme="minorHAnsi" w:cstheme="minorHAnsi"/>
          <w:lang w:val="cs-CZ"/>
        </w:rPr>
        <w:t>se neuskutečnil</w:t>
      </w:r>
      <w:r w:rsidRPr="00DF094C">
        <w:rPr>
          <w:rFonts w:asciiTheme="minorHAnsi" w:hAnsiTheme="minorHAnsi" w:cstheme="minorHAnsi"/>
          <w:lang w:val="cs-CZ"/>
        </w:rPr>
        <w:t xml:space="preserve"> ani jeden výcvik či školení na mezinárodní úrovni</w:t>
      </w:r>
      <w:r w:rsidR="005E1E4B">
        <w:rPr>
          <w:rFonts w:asciiTheme="minorHAnsi" w:hAnsiTheme="minorHAnsi" w:cstheme="minorHAnsi"/>
          <w:lang w:val="cs-CZ"/>
        </w:rPr>
        <w:t>, p</w:t>
      </w:r>
      <w:r w:rsidRPr="00DF094C">
        <w:rPr>
          <w:rFonts w:asciiTheme="minorHAnsi" w:hAnsiTheme="minorHAnsi" w:cstheme="minorHAnsi"/>
          <w:lang w:val="cs-CZ"/>
        </w:rPr>
        <w:t xml:space="preserve">ouze v roce 2007 proběhl v rámci spolupráce JCBRND COE Vyškov s CBO </w:t>
      </w:r>
      <w:r w:rsidR="00943568" w:rsidRPr="00DF094C">
        <w:rPr>
          <w:rFonts w:asciiTheme="minorHAnsi" w:hAnsiTheme="minorHAnsi" w:cstheme="minorHAnsi"/>
          <w:lang w:val="cs-CZ"/>
        </w:rPr>
        <w:t xml:space="preserve">Těchonín </w:t>
      </w:r>
      <w:r w:rsidRPr="00DF094C">
        <w:rPr>
          <w:rFonts w:asciiTheme="minorHAnsi" w:hAnsiTheme="minorHAnsi" w:cstheme="minorHAnsi"/>
          <w:lang w:val="cs-CZ"/>
        </w:rPr>
        <w:t>pilotní kurz</w:t>
      </w:r>
      <w:r w:rsidR="00461D5B">
        <w:rPr>
          <w:rFonts w:asciiTheme="minorHAnsi" w:hAnsiTheme="minorHAnsi" w:cstheme="minorHAnsi"/>
          <w:lang w:val="cs-CZ"/>
        </w:rPr>
        <w:t xml:space="preserve"> s názvem</w:t>
      </w:r>
      <w:r w:rsidRPr="00DF094C">
        <w:rPr>
          <w:rFonts w:asciiTheme="minorHAnsi" w:hAnsiTheme="minorHAnsi" w:cstheme="minorHAnsi"/>
          <w:lang w:val="cs-CZ"/>
        </w:rPr>
        <w:t xml:space="preserve"> </w:t>
      </w:r>
      <w:r w:rsidRPr="001C67DF">
        <w:rPr>
          <w:rFonts w:asciiTheme="minorHAnsi" w:hAnsiTheme="minorHAnsi" w:cstheme="minorHAnsi"/>
          <w:i/>
          <w:lang w:val="cs-CZ"/>
        </w:rPr>
        <w:t>Terrain Epidemiology Course</w:t>
      </w:r>
      <w:r w:rsidRPr="00DF094C">
        <w:rPr>
          <w:rFonts w:asciiTheme="minorHAnsi" w:hAnsiTheme="minorHAnsi" w:cstheme="minorHAnsi"/>
          <w:lang w:val="cs-CZ"/>
        </w:rPr>
        <w:t>.</w:t>
      </w:r>
      <w:r w:rsidR="001C67DF">
        <w:rPr>
          <w:rFonts w:asciiTheme="minorHAnsi" w:hAnsiTheme="minorHAnsi" w:cstheme="minorHAnsi"/>
          <w:lang w:val="cs-CZ"/>
        </w:rPr>
        <w:t xml:space="preserve"> </w:t>
      </w:r>
      <w:r w:rsidR="00442D8E" w:rsidRPr="00DF094C">
        <w:rPr>
          <w:rFonts w:asciiTheme="minorHAnsi" w:hAnsiTheme="minorHAnsi" w:cstheme="minorHAnsi"/>
          <w:lang w:val="cs-CZ"/>
        </w:rPr>
        <w:t>Vzhledem k nevyjasněné budoucnosti CBO Těchonín nebyly do doby ukončení kontroly NKÚ</w:t>
      </w:r>
      <w:r w:rsidR="00B0782D" w:rsidRPr="00B0782D">
        <w:rPr>
          <w:rFonts w:asciiTheme="minorHAnsi" w:hAnsiTheme="minorHAnsi" w:cstheme="minorHAnsi"/>
          <w:lang w:val="cs-CZ"/>
        </w:rPr>
        <w:t xml:space="preserve"> </w:t>
      </w:r>
      <w:r w:rsidR="00B0782D">
        <w:rPr>
          <w:rFonts w:asciiTheme="minorHAnsi" w:hAnsiTheme="minorHAnsi" w:cstheme="minorHAnsi"/>
          <w:lang w:val="cs-CZ"/>
        </w:rPr>
        <w:t>uzavřeny</w:t>
      </w:r>
      <w:r w:rsidR="00442D8E" w:rsidRPr="00DF094C">
        <w:rPr>
          <w:rFonts w:asciiTheme="minorHAnsi" w:hAnsiTheme="minorHAnsi" w:cstheme="minorHAnsi"/>
          <w:lang w:val="cs-CZ"/>
        </w:rPr>
        <w:t xml:space="preserve"> smluvní vztahy. Další omezení spočívají v nevybudované forenzní a</w:t>
      </w:r>
      <w:r w:rsidR="00343063">
        <w:rPr>
          <w:rFonts w:asciiTheme="minorHAnsi" w:hAnsiTheme="minorHAnsi" w:cstheme="minorHAnsi"/>
          <w:lang w:val="cs-CZ"/>
        </w:rPr>
        <w:t> </w:t>
      </w:r>
      <w:r w:rsidR="00442D8E" w:rsidRPr="00DF094C">
        <w:rPr>
          <w:rFonts w:asciiTheme="minorHAnsi" w:hAnsiTheme="minorHAnsi" w:cstheme="minorHAnsi"/>
          <w:lang w:val="cs-CZ"/>
        </w:rPr>
        <w:t xml:space="preserve">výzkumné laboratoři (především </w:t>
      </w:r>
      <w:r w:rsidR="00C82FF0">
        <w:rPr>
          <w:rFonts w:asciiTheme="minorHAnsi" w:hAnsiTheme="minorHAnsi" w:cstheme="minorHAnsi"/>
          <w:lang w:val="cs-CZ"/>
        </w:rPr>
        <w:t>pro</w:t>
      </w:r>
      <w:r w:rsidR="00442D8E" w:rsidRPr="00DF094C">
        <w:rPr>
          <w:rFonts w:asciiTheme="minorHAnsi" w:hAnsiTheme="minorHAnsi" w:cstheme="minorHAnsi"/>
          <w:lang w:val="cs-CZ"/>
        </w:rPr>
        <w:t xml:space="preserve"> projekty obranného výzkumu USA, Velké Británie, Francie).</w:t>
      </w:r>
    </w:p>
    <w:p w:rsidR="00442D8E" w:rsidRDefault="00442D8E" w:rsidP="0000796C">
      <w:pPr>
        <w:jc w:val="both"/>
        <w:rPr>
          <w:rFonts w:asciiTheme="minorHAnsi" w:hAnsiTheme="minorHAnsi" w:cstheme="minorHAnsi"/>
          <w:lang w:val="cs-CZ"/>
        </w:rPr>
      </w:pPr>
    </w:p>
    <w:p w:rsidR="000F6007" w:rsidRDefault="000F6007" w:rsidP="0000796C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roce 2013</w:t>
      </w:r>
      <w:r w:rsidR="00B27C18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přijala Bezpečnostní rada státu usnesení č. 14 </w:t>
      </w:r>
      <w:r w:rsidRPr="00561D3B">
        <w:rPr>
          <w:rFonts w:asciiTheme="minorHAnsi" w:hAnsiTheme="minorHAnsi" w:cstheme="minorHAnsi"/>
          <w:lang w:val="cs-CZ"/>
        </w:rPr>
        <w:t>k </w:t>
      </w:r>
      <w:r w:rsidR="00343063" w:rsidRPr="00561D3B">
        <w:rPr>
          <w:rFonts w:asciiTheme="minorHAnsi" w:hAnsiTheme="minorHAnsi" w:cstheme="minorHAnsi"/>
          <w:lang w:val="cs-CZ"/>
        </w:rPr>
        <w:t>d</w:t>
      </w:r>
      <w:r w:rsidRPr="00561D3B">
        <w:rPr>
          <w:rFonts w:asciiTheme="minorHAnsi" w:hAnsiTheme="minorHAnsi" w:cstheme="minorHAnsi"/>
          <w:lang w:val="cs-CZ"/>
        </w:rPr>
        <w:t>alšímu využití centra biologické ochrany</w:t>
      </w:r>
      <w:r w:rsidR="00C82FF0">
        <w:rPr>
          <w:rFonts w:asciiTheme="minorHAnsi" w:hAnsiTheme="minorHAnsi" w:cstheme="minorHAnsi"/>
          <w:lang w:val="cs-CZ"/>
        </w:rPr>
        <w:t>,</w:t>
      </w:r>
      <w:r>
        <w:rPr>
          <w:rFonts w:asciiTheme="minorHAnsi" w:hAnsiTheme="minorHAnsi" w:cstheme="minorHAnsi"/>
          <w:lang w:val="cs-CZ"/>
        </w:rPr>
        <w:t xml:space="preserve"> tento materiál </w:t>
      </w:r>
      <w:r w:rsidR="00C82FF0">
        <w:rPr>
          <w:rFonts w:asciiTheme="minorHAnsi" w:hAnsiTheme="minorHAnsi" w:cstheme="minorHAnsi"/>
          <w:lang w:val="cs-CZ"/>
        </w:rPr>
        <w:t xml:space="preserve">týkající se </w:t>
      </w:r>
      <w:r>
        <w:rPr>
          <w:rFonts w:asciiTheme="minorHAnsi" w:hAnsiTheme="minorHAnsi" w:cstheme="minorHAnsi"/>
          <w:lang w:val="cs-CZ"/>
        </w:rPr>
        <w:t>koncep</w:t>
      </w:r>
      <w:r w:rsidR="005E1E4B">
        <w:rPr>
          <w:rFonts w:asciiTheme="minorHAnsi" w:hAnsiTheme="minorHAnsi" w:cstheme="minorHAnsi"/>
          <w:lang w:val="cs-CZ"/>
        </w:rPr>
        <w:t>c</w:t>
      </w:r>
      <w:r w:rsidR="00C82FF0">
        <w:rPr>
          <w:rFonts w:asciiTheme="minorHAnsi" w:hAnsiTheme="minorHAnsi" w:cstheme="minorHAnsi"/>
          <w:lang w:val="cs-CZ"/>
        </w:rPr>
        <w:t>e</w:t>
      </w:r>
      <w:r w:rsidR="008404D2">
        <w:rPr>
          <w:rFonts w:asciiTheme="minorHAnsi" w:hAnsiTheme="minorHAnsi" w:cstheme="minorHAnsi"/>
          <w:lang w:val="cs-CZ"/>
        </w:rPr>
        <w:t xml:space="preserve"> rozvoje měl být </w:t>
      </w:r>
      <w:r w:rsidR="00343063">
        <w:rPr>
          <w:rFonts w:asciiTheme="minorHAnsi" w:hAnsiTheme="minorHAnsi" w:cstheme="minorHAnsi"/>
          <w:lang w:val="cs-CZ"/>
        </w:rPr>
        <w:t>dále dopracován a </w:t>
      </w:r>
      <w:r>
        <w:rPr>
          <w:rFonts w:asciiTheme="minorHAnsi" w:hAnsiTheme="minorHAnsi" w:cstheme="minorHAnsi"/>
          <w:lang w:val="cs-CZ"/>
        </w:rPr>
        <w:t>předložen na schůzi vlády ČR.</w:t>
      </w:r>
    </w:p>
    <w:p w:rsidR="001F1E10" w:rsidRDefault="001F1E10">
      <w:pPr>
        <w:rPr>
          <w:rFonts w:asciiTheme="minorHAnsi" w:hAnsiTheme="minorHAnsi" w:cstheme="minorHAnsi"/>
          <w:color w:val="000000"/>
          <w:lang w:val="cs-CZ" w:eastAsia="cs-CZ"/>
        </w:rPr>
      </w:pPr>
    </w:p>
    <w:p w:rsidR="00CF04D3" w:rsidRDefault="00CF04D3">
      <w:pPr>
        <w:rPr>
          <w:rFonts w:asciiTheme="minorHAnsi" w:hAnsiTheme="minorHAnsi" w:cstheme="minorHAnsi"/>
          <w:color w:val="000000"/>
          <w:lang w:val="cs-CZ" w:eastAsia="cs-CZ"/>
        </w:rPr>
      </w:pPr>
      <w:r>
        <w:rPr>
          <w:rFonts w:asciiTheme="minorHAnsi" w:hAnsiTheme="minorHAnsi" w:cstheme="minorHAnsi"/>
          <w:color w:val="000000"/>
          <w:lang w:val="cs-CZ" w:eastAsia="cs-CZ"/>
        </w:rPr>
        <w:br w:type="page"/>
      </w:r>
    </w:p>
    <w:p w:rsidR="008D42C3" w:rsidRDefault="008D42C3" w:rsidP="008D42C3">
      <w:pPr>
        <w:rPr>
          <w:rFonts w:asciiTheme="minorHAnsi" w:hAnsiTheme="minorHAnsi" w:cstheme="minorHAnsi"/>
          <w:b/>
          <w:lang w:val="cs-CZ"/>
        </w:rPr>
      </w:pPr>
      <w:r w:rsidRPr="00DF094C">
        <w:rPr>
          <w:rFonts w:asciiTheme="minorHAnsi" w:hAnsiTheme="minorHAnsi" w:cstheme="minorHAnsi"/>
          <w:b/>
          <w:lang w:val="cs-CZ"/>
        </w:rPr>
        <w:lastRenderedPageBreak/>
        <w:t>Seznam zkratek</w:t>
      </w:r>
    </w:p>
    <w:p w:rsidR="008B1CC9" w:rsidRPr="00DF094C" w:rsidRDefault="008B1CC9" w:rsidP="008D42C3">
      <w:pPr>
        <w:rPr>
          <w:rFonts w:asciiTheme="minorHAnsi" w:hAnsiTheme="minorHAnsi" w:cstheme="minorHAnsi"/>
          <w:b/>
          <w:lang w:val="cs-CZ"/>
        </w:rPr>
      </w:pP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AČR</w:t>
      </w:r>
      <w:r w:rsidRPr="004212F8">
        <w:rPr>
          <w:rFonts w:asciiTheme="minorHAnsi" w:hAnsiTheme="minorHAnsi" w:cstheme="minorHAnsi"/>
          <w:lang w:val="cs-CZ"/>
        </w:rPr>
        <w:tab/>
        <w:t>Armáda České republiky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right="-2590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AHNM</w:t>
      </w:r>
      <w:r w:rsidRPr="004212F8">
        <w:rPr>
          <w:rFonts w:asciiTheme="minorHAnsi" w:hAnsiTheme="minorHAnsi" w:cstheme="minorHAnsi"/>
          <w:lang w:val="cs-CZ"/>
        </w:rPr>
        <w:tab/>
        <w:t>Agentura pro hospodaření s nemovitým majetkem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ASPO</w:t>
      </w:r>
      <w:r w:rsidRPr="004212F8">
        <w:rPr>
          <w:rFonts w:asciiTheme="minorHAnsi" w:hAnsiTheme="minorHAnsi" w:cstheme="minorHAnsi"/>
          <w:lang w:val="cs-CZ"/>
        </w:rPr>
        <w:tab/>
        <w:t>Armádní Servisní, příspěvková organizace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AV ČR</w:t>
      </w:r>
      <w:r w:rsidRPr="004212F8">
        <w:rPr>
          <w:rFonts w:asciiTheme="minorHAnsi" w:hAnsiTheme="minorHAnsi" w:cstheme="minorHAnsi"/>
          <w:lang w:val="cs-CZ"/>
        </w:rPr>
        <w:tab/>
        <w:t>Akademie věd České republiky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AVZ</w:t>
      </w:r>
      <w:r w:rsidRPr="004212F8">
        <w:rPr>
          <w:rFonts w:asciiTheme="minorHAnsi" w:hAnsiTheme="minorHAnsi" w:cstheme="minorHAnsi"/>
          <w:lang w:val="cs-CZ"/>
        </w:rPr>
        <w:tab/>
        <w:t>Agentura vojenského zdravotnictví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Bílá kniha</w:t>
      </w:r>
      <w:r w:rsidRPr="004212F8">
        <w:rPr>
          <w:rFonts w:asciiTheme="minorHAnsi" w:hAnsiTheme="minorHAnsi" w:cstheme="minorHAnsi"/>
          <w:lang w:val="cs-CZ"/>
        </w:rPr>
        <w:tab/>
      </w:r>
      <w:r w:rsidRPr="001C67DF">
        <w:rPr>
          <w:rFonts w:asciiTheme="minorHAnsi" w:hAnsiTheme="minorHAnsi" w:cstheme="minorHAnsi"/>
          <w:i/>
          <w:lang w:val="cs-CZ"/>
        </w:rPr>
        <w:t>Bílá kniha o obraně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BSL</w:t>
      </w:r>
      <w:r w:rsidRPr="004212F8">
        <w:rPr>
          <w:rFonts w:asciiTheme="minorHAnsi" w:hAnsiTheme="minorHAnsi" w:cstheme="minorHAnsi"/>
          <w:lang w:val="cs-CZ"/>
        </w:rPr>
        <w:tab/>
      </w:r>
      <w:r w:rsidR="001A3337">
        <w:rPr>
          <w:rFonts w:asciiTheme="minorHAnsi" w:hAnsiTheme="minorHAnsi" w:cstheme="minorHAnsi"/>
          <w:lang w:val="cs-CZ"/>
        </w:rPr>
        <w:t>z </w:t>
      </w:r>
      <w:r w:rsidRPr="004212F8">
        <w:rPr>
          <w:rFonts w:asciiTheme="minorHAnsi" w:hAnsiTheme="minorHAnsi" w:cstheme="minorHAnsi"/>
          <w:lang w:val="cs-CZ"/>
        </w:rPr>
        <w:t xml:space="preserve">angl. </w:t>
      </w:r>
      <w:r w:rsidRPr="001C67DF">
        <w:rPr>
          <w:rFonts w:asciiTheme="minorHAnsi" w:hAnsiTheme="minorHAnsi" w:cstheme="minorHAnsi"/>
          <w:i/>
          <w:lang w:val="cs-CZ"/>
        </w:rPr>
        <w:t>Biosafety Level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CBO Těchonín</w:t>
      </w:r>
      <w:r w:rsidRPr="004212F8">
        <w:rPr>
          <w:rFonts w:asciiTheme="minorHAnsi" w:hAnsiTheme="minorHAnsi" w:cstheme="minorHAnsi"/>
          <w:lang w:val="cs-CZ"/>
        </w:rPr>
        <w:tab/>
        <w:t>Centrum biologické ochrany Těchonín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ČR</w:t>
      </w:r>
      <w:r w:rsidRPr="004212F8">
        <w:rPr>
          <w:rFonts w:asciiTheme="minorHAnsi" w:hAnsiTheme="minorHAnsi" w:cstheme="minorHAnsi"/>
          <w:lang w:val="cs-CZ"/>
        </w:rPr>
        <w:tab/>
        <w:t>Česká republika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FMF</w:t>
      </w:r>
      <w:r w:rsidRPr="004212F8">
        <w:rPr>
          <w:rFonts w:asciiTheme="minorHAnsi" w:hAnsiTheme="minorHAnsi" w:cstheme="minorHAnsi"/>
          <w:lang w:val="cs-CZ"/>
        </w:rPr>
        <w:tab/>
      </w:r>
      <w:r w:rsidR="00877929">
        <w:rPr>
          <w:rFonts w:asciiTheme="minorHAnsi" w:hAnsiTheme="minorHAnsi" w:cstheme="minorHAnsi"/>
          <w:lang w:val="cs-CZ"/>
        </w:rPr>
        <w:t xml:space="preserve">z angl. </w:t>
      </w:r>
      <w:r w:rsidRPr="001C67DF">
        <w:rPr>
          <w:rFonts w:asciiTheme="minorHAnsi" w:hAnsiTheme="minorHAnsi" w:cstheme="minorHAnsi"/>
          <w:i/>
          <w:color w:val="000000" w:themeColor="text1"/>
          <w:lang w:val="cs-CZ"/>
        </w:rPr>
        <w:t>Foreign Military Financing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color w:val="000000" w:themeColor="text1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IZS</w:t>
      </w:r>
      <w:r w:rsidRPr="004212F8">
        <w:rPr>
          <w:rFonts w:asciiTheme="minorHAnsi" w:hAnsiTheme="minorHAnsi" w:cstheme="minorHAnsi"/>
          <w:lang w:val="cs-CZ"/>
        </w:rPr>
        <w:tab/>
      </w:r>
      <w:r w:rsidR="007E125F">
        <w:rPr>
          <w:rFonts w:asciiTheme="minorHAnsi" w:hAnsiTheme="minorHAnsi" w:cstheme="minorHAnsi"/>
          <w:color w:val="000000" w:themeColor="text1"/>
          <w:lang w:val="cs-CZ"/>
        </w:rPr>
        <w:t>i</w:t>
      </w:r>
      <w:r w:rsidRPr="004212F8">
        <w:rPr>
          <w:rFonts w:asciiTheme="minorHAnsi" w:hAnsiTheme="minorHAnsi" w:cstheme="minorHAnsi"/>
          <w:color w:val="000000" w:themeColor="text1"/>
          <w:lang w:val="cs-CZ"/>
        </w:rPr>
        <w:t>ntegrovaný záchranný systém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JCBRND COE</w:t>
      </w:r>
      <w:r w:rsidRPr="004212F8">
        <w:rPr>
          <w:rFonts w:asciiTheme="minorHAnsi" w:hAnsiTheme="minorHAnsi" w:cstheme="minorHAnsi"/>
          <w:lang w:val="cs-CZ"/>
        </w:rPr>
        <w:tab/>
      </w:r>
      <w:r w:rsidR="001A3337">
        <w:rPr>
          <w:rFonts w:asciiTheme="minorHAnsi" w:hAnsiTheme="minorHAnsi" w:cstheme="minorHAnsi"/>
          <w:lang w:val="cs-CZ"/>
        </w:rPr>
        <w:t>z </w:t>
      </w:r>
      <w:r w:rsidRPr="004212F8">
        <w:rPr>
          <w:rFonts w:asciiTheme="minorHAnsi" w:hAnsiTheme="minorHAnsi" w:cstheme="minorHAnsi"/>
          <w:lang w:val="cs-CZ"/>
        </w:rPr>
        <w:t xml:space="preserve">angl. </w:t>
      </w:r>
      <w:r w:rsidRPr="001C67DF">
        <w:rPr>
          <w:rFonts w:asciiTheme="minorHAnsi" w:hAnsiTheme="minorHAnsi" w:cstheme="minorHAnsi"/>
          <w:i/>
          <w:lang w:val="cs-CZ"/>
        </w:rPr>
        <w:t>Joint Chemical Biological Radiological and Nucleare Defence Centre of Excellence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MO</w:t>
      </w:r>
      <w:r w:rsidRPr="004212F8">
        <w:rPr>
          <w:rFonts w:asciiTheme="minorHAnsi" w:hAnsiTheme="minorHAnsi" w:cstheme="minorHAnsi"/>
          <w:lang w:val="cs-CZ"/>
        </w:rPr>
        <w:tab/>
        <w:t>Ministerstvo obrany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MZd</w:t>
      </w:r>
      <w:r w:rsidRPr="004212F8">
        <w:rPr>
          <w:rFonts w:asciiTheme="minorHAnsi" w:hAnsiTheme="minorHAnsi" w:cstheme="minorHAnsi"/>
          <w:lang w:val="cs-CZ"/>
        </w:rPr>
        <w:tab/>
        <w:t>Ministerstvo zdravotnictví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MZV</w:t>
      </w:r>
      <w:r w:rsidRPr="004212F8">
        <w:rPr>
          <w:rFonts w:asciiTheme="minorHAnsi" w:hAnsiTheme="minorHAnsi" w:cstheme="minorHAnsi"/>
          <w:lang w:val="cs-CZ"/>
        </w:rPr>
        <w:tab/>
        <w:t>Ministerstvo zahraničních věcí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NATO</w:t>
      </w:r>
      <w:r w:rsidRPr="004212F8">
        <w:rPr>
          <w:rFonts w:asciiTheme="minorHAnsi" w:hAnsiTheme="minorHAnsi" w:cstheme="minorHAnsi"/>
          <w:lang w:val="cs-CZ"/>
        </w:rPr>
        <w:tab/>
        <w:t>Severoatlantická aliance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NKÚ</w:t>
      </w:r>
      <w:r w:rsidRPr="004212F8">
        <w:rPr>
          <w:rFonts w:asciiTheme="minorHAnsi" w:hAnsiTheme="minorHAnsi" w:cstheme="minorHAnsi"/>
          <w:lang w:val="cs-CZ"/>
        </w:rPr>
        <w:tab/>
        <w:t>Nejvyšší kontrolní úřad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SIN</w:t>
      </w:r>
      <w:r w:rsidRPr="004212F8">
        <w:rPr>
          <w:rFonts w:asciiTheme="minorHAnsi" w:hAnsiTheme="minorHAnsi" w:cstheme="minorHAnsi"/>
          <w:lang w:val="cs-CZ"/>
        </w:rPr>
        <w:tab/>
      </w:r>
      <w:r w:rsidR="00561D3B">
        <w:rPr>
          <w:rFonts w:asciiTheme="minorHAnsi" w:hAnsiTheme="minorHAnsi" w:cstheme="minorHAnsi"/>
          <w:lang w:val="cs-CZ"/>
        </w:rPr>
        <w:t>s</w:t>
      </w:r>
      <w:r w:rsidRPr="004212F8">
        <w:rPr>
          <w:rFonts w:asciiTheme="minorHAnsi" w:hAnsiTheme="minorHAnsi" w:cstheme="minorHAnsi"/>
          <w:lang w:val="cs-CZ"/>
        </w:rPr>
        <w:t>pecializovaná infekční nemocnice</w:t>
      </w:r>
    </w:p>
    <w:p w:rsidR="004212F8" w:rsidRPr="004212F8" w:rsidRDefault="00DD1981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</w:t>
      </w:r>
      <w:r w:rsidR="004212F8" w:rsidRPr="004212F8">
        <w:rPr>
          <w:rFonts w:asciiTheme="minorHAnsi" w:hAnsiTheme="minorHAnsi" w:cstheme="minorHAnsi"/>
          <w:lang w:val="cs-CZ"/>
        </w:rPr>
        <w:t>mlouva o SPM</w:t>
      </w:r>
      <w:r w:rsidR="004212F8" w:rsidRPr="004212F8">
        <w:rPr>
          <w:rFonts w:asciiTheme="minorHAnsi" w:hAnsiTheme="minorHAnsi" w:cstheme="minorHAnsi"/>
          <w:lang w:val="cs-CZ"/>
        </w:rPr>
        <w:tab/>
      </w:r>
      <w:r w:rsidR="007E125F">
        <w:rPr>
          <w:rFonts w:asciiTheme="minorHAnsi" w:hAnsiTheme="minorHAnsi" w:cstheme="minorHAnsi"/>
          <w:lang w:val="cs-CZ"/>
        </w:rPr>
        <w:t>s</w:t>
      </w:r>
      <w:r w:rsidR="004212F8" w:rsidRPr="004212F8">
        <w:rPr>
          <w:rFonts w:asciiTheme="minorHAnsi" w:hAnsiTheme="minorHAnsi" w:cstheme="minorHAnsi"/>
          <w:lang w:val="cs-CZ"/>
        </w:rPr>
        <w:t>mlouva o souběžném používání majetku</w:t>
      </w:r>
      <w:r w:rsidR="00C82FF0">
        <w:rPr>
          <w:rFonts w:asciiTheme="minorHAnsi" w:hAnsiTheme="minorHAnsi" w:cstheme="minorHAnsi"/>
          <w:lang w:val="cs-CZ"/>
        </w:rPr>
        <w:t xml:space="preserve"> uzavřená mezi MO a ASPO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SÚJB</w:t>
      </w:r>
      <w:r w:rsidRPr="004212F8">
        <w:rPr>
          <w:rFonts w:asciiTheme="minorHAnsi" w:hAnsiTheme="minorHAnsi" w:cstheme="minorHAnsi"/>
          <w:lang w:val="cs-CZ"/>
        </w:rPr>
        <w:tab/>
        <w:t>Státní úřad pro jadernou bezpečnost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ÚVN Praha</w:t>
      </w:r>
      <w:r w:rsidRPr="004212F8">
        <w:rPr>
          <w:rFonts w:asciiTheme="minorHAnsi" w:hAnsiTheme="minorHAnsi" w:cstheme="minorHAnsi"/>
          <w:lang w:val="cs-CZ"/>
        </w:rPr>
        <w:tab/>
        <w:t>Ústřední vojenská nemocnice Praha</w:t>
      </w:r>
    </w:p>
    <w:p w:rsidR="004212F8" w:rsidRPr="004212F8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ÚVZÚ</w:t>
      </w:r>
      <w:r w:rsidRPr="004212F8">
        <w:rPr>
          <w:rFonts w:asciiTheme="minorHAnsi" w:hAnsiTheme="minorHAnsi" w:cstheme="minorHAnsi"/>
          <w:lang w:val="cs-CZ"/>
        </w:rPr>
        <w:tab/>
        <w:t>Ústřední vojenský zdravotní ústav</w:t>
      </w:r>
    </w:p>
    <w:p w:rsidR="004212F8" w:rsidRPr="00DF094C" w:rsidRDefault="004212F8" w:rsidP="001A3337">
      <w:pPr>
        <w:framePr w:hSpace="141" w:wrap="around" w:vAnchor="text" w:hAnchor="text" w:y="1"/>
        <w:tabs>
          <w:tab w:val="left" w:pos="1985"/>
        </w:tabs>
        <w:ind w:left="1985" w:hanging="1985"/>
        <w:suppressOverlap/>
        <w:rPr>
          <w:rFonts w:asciiTheme="minorHAnsi" w:hAnsiTheme="minorHAnsi" w:cstheme="minorHAnsi"/>
          <w:lang w:val="cs-CZ"/>
        </w:rPr>
      </w:pPr>
      <w:r w:rsidRPr="004212F8">
        <w:rPr>
          <w:rFonts w:asciiTheme="minorHAnsi" w:hAnsiTheme="minorHAnsi" w:cstheme="minorHAnsi"/>
          <w:lang w:val="cs-CZ"/>
        </w:rPr>
        <w:t>VZÚ</w:t>
      </w:r>
      <w:r w:rsidRPr="004212F8">
        <w:rPr>
          <w:rFonts w:asciiTheme="minorHAnsi" w:hAnsiTheme="minorHAnsi" w:cstheme="minorHAnsi"/>
          <w:lang w:val="cs-CZ"/>
        </w:rPr>
        <w:tab/>
        <w:t>Vojenský zdravotní ústav</w:t>
      </w:r>
    </w:p>
    <w:p w:rsidR="00CF04D3" w:rsidRDefault="00CF04D3" w:rsidP="0000796C">
      <w:pPr>
        <w:contextualSpacing/>
        <w:jc w:val="both"/>
        <w:rPr>
          <w:rFonts w:asciiTheme="minorHAnsi" w:hAnsiTheme="minorHAnsi" w:cstheme="minorHAnsi"/>
          <w:color w:val="000000"/>
          <w:lang w:val="cs-CZ"/>
        </w:rPr>
      </w:pPr>
    </w:p>
    <w:p w:rsidR="00CF04D3" w:rsidRPr="00CF04D3" w:rsidRDefault="00CF04D3" w:rsidP="00CF04D3">
      <w:pPr>
        <w:rPr>
          <w:rFonts w:asciiTheme="minorHAnsi" w:hAnsiTheme="minorHAnsi" w:cstheme="minorHAnsi"/>
          <w:lang w:val="cs-CZ"/>
        </w:rPr>
      </w:pPr>
    </w:p>
    <w:p w:rsidR="00CF04D3" w:rsidRPr="00CF04D3" w:rsidRDefault="00CF04D3" w:rsidP="00CF04D3">
      <w:pPr>
        <w:rPr>
          <w:rFonts w:asciiTheme="minorHAnsi" w:hAnsiTheme="minorHAnsi" w:cstheme="minorHAnsi"/>
          <w:lang w:val="cs-CZ"/>
        </w:rPr>
      </w:pPr>
    </w:p>
    <w:p w:rsidR="00CF04D3" w:rsidRDefault="00CF04D3" w:rsidP="00CF04D3">
      <w:pPr>
        <w:rPr>
          <w:rFonts w:asciiTheme="minorHAnsi" w:hAnsiTheme="minorHAnsi" w:cstheme="minorHAnsi"/>
          <w:lang w:val="cs-CZ"/>
        </w:rPr>
        <w:sectPr w:rsidR="00CF04D3" w:rsidSect="001A3337"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174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567"/>
        <w:gridCol w:w="3685"/>
        <w:gridCol w:w="1418"/>
        <w:gridCol w:w="8504"/>
      </w:tblGrid>
      <w:tr w:rsidR="00CF04D3" w:rsidRPr="001C05F7" w:rsidTr="001C05F7">
        <w:trPr>
          <w:trHeight w:val="315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4D3" w:rsidRPr="001C05F7" w:rsidRDefault="00CF04D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4D3" w:rsidRPr="001C05F7" w:rsidRDefault="00CF04D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4D3" w:rsidRPr="001C05F7" w:rsidRDefault="00CF04D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04D3" w:rsidRPr="00562443" w:rsidRDefault="00764CA7" w:rsidP="00764CA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6244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  <w:t>Příloha č. 1</w:t>
            </w:r>
          </w:p>
          <w:p w:rsidR="00CF04D3" w:rsidRPr="00562443" w:rsidRDefault="00CF04D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</w:tr>
      <w:tr w:rsidR="00704A53" w:rsidRPr="001C05F7" w:rsidTr="001C05F7">
        <w:trPr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Rok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Předmět výstavby </w:t>
            </w:r>
            <w:r w:rsidR="007E12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– </w:t>
            </w: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CBO</w:t>
            </w:r>
            <w:r w:rsidR="00F43ACF"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7E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Provozovatel CBO</w:t>
            </w:r>
            <w:r w:rsidR="007E12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Těchonín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Přehled důležitých událostí</w:t>
            </w:r>
          </w:p>
        </w:tc>
      </w:tr>
      <w:tr w:rsidR="00704A53" w:rsidRPr="001C05F7" w:rsidTr="001C05F7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6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Dodávka a montáž hospitalizační jednotky: zdravotnická technologie, vzduchotechnika, rozvody médií, stavební úpravy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bez provozu,</w:t>
            </w:r>
          </w:p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areál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byl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budován a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rekonstruován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8F3D05" w:rsidP="008A012C">
            <w:pPr>
              <w:pStyle w:val="Odstavecseseznamem"/>
              <w:numPr>
                <w:ilvl w:val="0"/>
                <w:numId w:val="27"/>
              </w:numPr>
              <w:tabs>
                <w:tab w:val="left" w:pos="198"/>
              </w:tabs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ú</w:t>
            </w:r>
            <w:r w:rsidR="00E276F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kolový list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ministra obrany 642/2001-8764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započaty dodávky materiálu a staveb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ních prací v posádce Těchonín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7"/>
              </w:numPr>
              <w:tabs>
                <w:tab w:val="left" w:pos="198"/>
              </w:tabs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přijato usnesení vlády č. 1039 ze dne 10. října, které vedlo k vytvoření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ákladní</w:t>
            </w:r>
            <w:r w:rsidR="008A012C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ho systému ochrany občanů České r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epubliky před vysoce rizikovými a rizikovými</w:t>
            </w:r>
            <w:r w:rsidR="008A012C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biologickými agens a toxiny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A012C">
            <w:pPr>
              <w:pStyle w:val="Odstavecseseznamem"/>
              <w:numPr>
                <w:ilvl w:val="0"/>
                <w:numId w:val="27"/>
              </w:numPr>
              <w:tabs>
                <w:tab w:val="left" w:pos="198"/>
              </w:tabs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stanoveny jedinečné funkce/úkoly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15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1A3337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Zpracování projektové dokumentace, realizace stavebních úprav, dodávky a instalace zdravotnické a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další technologie, vnitřní vybavení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;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objekty výstavby: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dministrativní a ubytovací objekt,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bjekt pro výz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kum a hospitalizační jednotka s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heliportem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SIN,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l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ikvidace infekčních vod,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udova pro výzkum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vivárium,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istribuce a výroba stravy pacientů a personálu,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ud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ova izolace a 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následné péče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21. a 22. listopadu konání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summitu NATO v Praze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21. listopadu schváleny Pražské závazky ke schopnostem (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Prague Capabilities Commitments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)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dokume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nt Prague Summit Declaration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ČR přijala 14 závazků, z toho 6 souvisí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přímo s biologickou ochranou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A012C">
            <w:pPr>
              <w:pStyle w:val="Odstavecseseznamem"/>
              <w:numPr>
                <w:ilvl w:val="0"/>
                <w:numId w:val="28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výstavba CBO 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probíhala doposud nestandardním způsobem ze zakryté části rozpočtu MO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15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8F3D05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Dokončení výstavby CBO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zhotovení a vybudování prioritních objektů, oplocení, elektrické přípojky, rozvody kanalizace, díl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ny, spalovací pec, komunikace a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plochy, plynovodní síť, venkovní osvětlení, požární zajištění staveb aj.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;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prioritní objekty: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dministrativní a ubytovací objekt,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bjekt pro výz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kum a hospitalizační jednotka s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heliportem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SIN,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l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ikvidace infekčních vod,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udova mikrobiologie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částečná rekonstrukce,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udova pro výzkum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vivárium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částečná rekonstr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ukce objektu,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nergocentrum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právní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a 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technickoprovozní budova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ud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ova izolace a 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následné péče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započaty další etapy výstavby CBO 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již v rámci programu reprodukce majetku 207 180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Specializace sil AČR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které trvaly do rok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 2006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rámci těchto etap výstavby měly být dobudovány prioritní objekty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mezi kte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ré mj. patřil objekt pro vědu a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výzkum, který se řadil mezi prioritní objekty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do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doby ukončení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kontroly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NKÚ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nebyl vybudován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přijato usnesení vlády č. 724 ze dne 16. července, kterým vláda vzala na vědomí rozhodnutí MO k vybudování pracoviště CBO Těchonín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a projekt prohlásila za strategicky důležitý, varian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tní řešení nebyla zpracována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986E45" w:rsidP="008A012C">
            <w:pPr>
              <w:pStyle w:val="Odstavecseseznamem"/>
              <w:numPr>
                <w:ilvl w:val="0"/>
                <w:numId w:val="29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usnesení vlády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č. 724 dále vymezilo nákupy majetku pro úkoly biologické ochrany, peněžní prostředky na obnovu majetku MO plně nezajistilo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6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2004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přijato usnesení vlády č. 1276 ze dne 15. prosince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o dalším postupu při zabezpečování zjišťování, předávání, vyhodnocování a</w:t>
            </w:r>
            <w:r w:rsidR="00BF7824"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 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využívání údajů o radiační, chemické a biologické situaci za stavu ohrožen</w:t>
            </w:r>
            <w:r w:rsidR="008A012C"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í státu nebo válečného stavu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A012C">
            <w:pPr>
              <w:pStyle w:val="Odstavecseseznamem"/>
              <w:numPr>
                <w:ilvl w:val="0"/>
                <w:numId w:val="30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realizace výstavby mikrobiologické laboratoře v ÚVN Praha na úrovni BSL-2+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19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2005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31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měla být dokončena dostavba celého areálu CBO </w:t>
            </w:r>
            <w:r w:rsidR="00A01B4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(původní termín), dostavb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 v termínu dokončena nebyla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2479C2">
            <w:pPr>
              <w:pStyle w:val="Odstavecseseznamem"/>
              <w:numPr>
                <w:ilvl w:val="0"/>
                <w:numId w:val="31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zahájena výstavba výcvikového a škol</w:t>
            </w:r>
            <w:r w:rsidR="005F37D8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cího zařízení, v rámci které byl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vybudován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mj.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řiště, jehož výstavba byla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rozporu s</w:t>
            </w:r>
            <w:r w:rsidR="002479C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cíli programu reprodukce majetku 207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180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63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8F3D05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výcvikové a škol</w:t>
            </w:r>
            <w:r w:rsidR="005F37D8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cí zařízení: budova ochrany objektu - vrátnice,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š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kol</w:t>
            </w:r>
            <w:r w:rsidR="005F37D8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i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cí a ubytovací centrum,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g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aráže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,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h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řiště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tenisové kurty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43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Komunikace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výstavba komunikací a ploch u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vybraných objektů, vzduchotechnika, prvky počítačové sítě, napojení skafandrů aj.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3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přijato usnesení vlády č. 471 ze dne 26. dubna 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ke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právě o plnění opatření dalšího postupu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(zpráva byla přijata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usnesením vlády č.</w:t>
            </w:r>
            <w:r w:rsidR="00681FB6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</w:t>
            </w:r>
            <w:r w:rsidR="008A012C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276 ze dne 15. prosince 2004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3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říjnu zahájilo činnost Centrum ochrany proti zbraním hromadnéh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 ničení ve Vyškově (COPZHN)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3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21. listopadu proběhl akviziční průzkum v posádce Těchonín a byl posouzen stav objektů a jejich zabezpečení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MO si bylo vědomo, že dofinancováním celého projektu výstavby je možno zabezpečit splnění stanovených úkolů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dále z</w:t>
            </w:r>
            <w:r w:rsidR="00681FB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průzkumu vyplynuly nedostatky v CBO 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přičemž některé přetr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vávaly až do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doby ukončení kontroly NKÚ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F3D05">
            <w:pPr>
              <w:pStyle w:val="Odstavecseseznamem"/>
              <w:numPr>
                <w:ilvl w:val="0"/>
                <w:numId w:val="3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došlo k vybudování hlavní části CBO </w:t>
            </w:r>
            <w:r w:rsidR="00A01B4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(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SIN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)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a byl zahájen následný zkušební provoz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1C05F7" w:rsidTr="001C05F7">
        <w:trPr>
          <w:trHeight w:val="11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E84028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původní provozovatel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12. 7. 2006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do 29. 2. 2008 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704A53" w:rsidRPr="00B55F65" w:rsidTr="001C05F7">
        <w:trPr>
          <w:trHeight w:val="7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Projektová dokumentace pro rekonstrukci objektu budov</w:t>
            </w:r>
            <w:r w:rsidR="002133EB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y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pro vědu a výzkum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přijato usnesení vlády č. 640 ze dne 11. června 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ke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právě o stavu reformy ozbrojených sil </w:t>
            </w:r>
            <w:r w:rsidR="001A3337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České republiky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hodnoceny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byly 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mj. 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Pražské závazky ke schopnostem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, 6 závazků pro biologickou ochranu bylo dle zprávy splněno, i když např. SIN byla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zkolaudována až v květnu 2009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7C0133">
            <w:pPr>
              <w:pStyle w:val="Odstavecseseznamem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přijato usnesení vlády č. 1194 ze dne 22. října 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o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ransformaci resortu Ministerstva obrany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;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dle tohoto dokumentu měla být do roku 2010 mj. provedena analýza další využitelnosti specializovaného pracoviště Těchonín, zejména s ohledem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jeho pořizovací a provozní náklad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y</w:t>
            </w:r>
            <w:r w:rsidR="008F3D05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7C0133" w:rsidTr="001C05F7">
        <w:trPr>
          <w:trHeight w:val="79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7C0133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Zejména v letech 2007 a 2009 docházelo k nákupům zboží (převážně zařízení a přístroj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ů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pro biologickou ochranu) americ</w:t>
            </w:r>
            <w:r w:rsidR="002479C2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ké pomoci FMF v hodnotě cca 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120 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mil.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Kč ve prospěch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1C05F7" w:rsidTr="001C05F7">
        <w:trPr>
          <w:trHeight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lastRenderedPageBreak/>
              <w:t>Rok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Předmět výstavby </w:t>
            </w:r>
            <w:r w:rsidR="007E12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– </w:t>
            </w: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CBO</w:t>
            </w:r>
            <w:r w:rsidR="00F43ACF"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7E12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Provozovatel CBO</w:t>
            </w:r>
            <w:r w:rsidR="007E12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Těchonín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04A53" w:rsidRPr="001C05F7" w:rsidRDefault="00704A53" w:rsidP="000079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Přehled důležitých událostí</w:t>
            </w:r>
          </w:p>
        </w:tc>
      </w:tr>
      <w:tr w:rsidR="00704A53" w:rsidRPr="00B55F65" w:rsidTr="001C05F7">
        <w:trPr>
          <w:trHeight w:val="56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1A3337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Zejména v letech 2007 a 2009 docházelo k nákupům zboží (převážně zařízení a přístroje pro biologickou ochranu) americ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ké pomoci FMF v hodnotě cca 120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mil.</w:t>
            </w:r>
            <w:r w:rsidR="001A333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Kč ve prospěch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E84028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původní provozovatel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12. 7. 2006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do 29. 2. 2008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přijato usnesení vlády č. 165 ze dne 25. února 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yhodnocení stavu realizace Koncepce ochrany obyvatelstva do roku 2006 s</w:t>
            </w:r>
            <w:r w:rsidR="00BF7824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výhledem do roku 2015 a o Koncepci ochrany obyvatelstva do ro</w:t>
            </w:r>
            <w:r w:rsidR="008A012C" w:rsidRP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ku 2013 s výhledem do roku 2020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17CD4">
            <w:pPr>
              <w:pStyle w:val="Odstavecseseznamem"/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stanovena minimální varianta investičních akcí pro existenci CBO 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(vodní hospodářství, objekty pro vědu a výzkum, temperované garáže)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kromě vodního hospodářství k realizaci investičních akcí do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doby ukončení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kontroly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NKÚ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nedošlo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1C05F7" w:rsidTr="001C05F7">
        <w:trPr>
          <w:trHeight w:val="1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E84028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původní provozovatel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1. 3. 2008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do 28. 2. 2009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43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2009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květnu proběhla kolaudace SIN pro BSL-4, nebyla však zajištěna její plnohodnotná funkčnost z důvodu nedokončení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všech fází investiční výstavby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A012C">
            <w:pPr>
              <w:pStyle w:val="Odstavecseseznamem"/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počet systemizovaných míst CBO 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 tomto roce odpovídal počtu potřebného zdravotnického a dalšího personálu pro zabezpečení provozu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v následujících letech docházelo k redukci tohoto personálu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a to až na 47,7 % v letech 2013 a 2014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1C05F7" w:rsidTr="001C05F7">
        <w:trPr>
          <w:trHeight w:val="25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Zpracování dokumentace k rekonstrukci vodního hospodářství v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E84028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původní provozovatel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1. 3. 2009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do 29. 2. 2012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mírové počty personálu pro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byly naplněny,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ale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k zabezpečení SIN chyběl lékařský a s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třední zdravotnický personál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986E45" w:rsidP="007C0133">
            <w:pPr>
              <w:pStyle w:val="Odstavecseseznamem"/>
              <w:numPr>
                <w:ilvl w:val="0"/>
                <w:numId w:val="22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stále nebyl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proveden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rekonstrukce objektů pro vědu a výzkum a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ni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provozně technického zázemí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7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Rekonstrukce vodního hospodářství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přijato usnesení vlády č. 369 ze dne 18. května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Pr="001C67DF">
              <w:rPr>
                <w:rFonts w:ascii="Calibri" w:hAnsi="Calibri" w:cs="Calibri"/>
                <w:i/>
                <w:color w:val="000000"/>
                <w:sz w:val="16"/>
                <w:szCs w:val="16"/>
                <w:lang w:val="cs-CZ" w:eastAsia="cs-CZ"/>
              </w:rPr>
              <w:t>o Bílé knize o obraně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které požadovalo do poloviny roku 2012 nalézt využití pro CBO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anebo jeho provoz zastavit; stano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vené opatření nebylo splněno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započala jednání s potenciálními partnery CBO 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na národní a me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zinárodní úrovni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A012C">
            <w:pPr>
              <w:pStyle w:val="Odstavecseseznamem"/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jednání pokračovala do roku 2013, zejména resorty státní správy ČR měly zájem spolupracovat s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CBO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avšak ochota spolufinancovat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již sdílena nebyla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B55F65" w:rsidTr="001C05F7">
        <w:trPr>
          <w:trHeight w:val="26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zpracována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t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echnická zpráva CBO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, ve které byly vyčísleny varianty zakonzervování částí CBO </w:t>
            </w:r>
            <w:r w:rsidR="00986E45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následnou dekonzervac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í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v říjnu proběhla nařízená izolace vojenského pozorovatele vracejícího se z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Demokratické republiky Kongo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17CD4">
            <w:pPr>
              <w:pStyle w:val="Odstavecseseznamem"/>
              <w:numPr>
                <w:ilvl w:val="0"/>
                <w:numId w:val="24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25. července zahájila V</w:t>
            </w:r>
            <w:r w:rsidR="001F4618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ojensk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á</w:t>
            </w:r>
            <w:r w:rsidR="001F4618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ubytovací a stavební správa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Pardubice přípravu zadání </w:t>
            </w:r>
            <w:r w:rsidR="00E52581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veřejné zakázky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na zabezpečení provozu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1C05F7" w:rsidTr="001C05F7">
        <w:trPr>
          <w:trHeight w:val="48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E84028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Cs/>
                <w:color w:val="000000"/>
                <w:sz w:val="16"/>
                <w:szCs w:val="16"/>
                <w:lang w:val="cs-CZ" w:eastAsia="cs-CZ"/>
              </w:rPr>
              <w:t>původní provozovatel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1. 3. 2012 </w:t>
            </w:r>
            <w:r w:rsidR="00704A5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do 31. 8. 2013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197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usnesení vlády č. 37 ze dne 16. ledna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vláda schválila návrh úsporných opatření v oblasti zjednodušení agend a zrušení duplicit ve státní správě pro rok 2014, jedn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variant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bylo mj. zrušení CBO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a převedení jeho statutárních funkcí na jiné orgány státní správy s úsporou 50 mil. Kč, druhá varianta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navrhovala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úplné zrušení CBO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 úsporou 100 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mil.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 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Kč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usnesení z jednání Bezpečnostní rady státu ze dne 16. října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bylo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projednáno mj. další využití CBO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a to variant</w:t>
            </w:r>
            <w:r w:rsidR="007C013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příspěvkov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é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organizace a varianta zrušení, varianta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zachování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stávajícího stavu chyběla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MO nebylo schopno zabezpečit provoz CBO 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od září 2013, a proto </w:t>
            </w:r>
            <w:r w:rsidR="007C013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po předchozím provozovateli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převzala </w:t>
            </w:r>
            <w:r w:rsidR="007C0133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správu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ASPO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30. srpna v časové tísni podepsána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mlouva o souběžném používání majetku (MO s ASPO), která nedostatečně smluvně zavázala ASPO k zabezpečení správy a provoz</w:t>
            </w:r>
            <w:r w:rsidR="00E41A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ování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nespecifikovala činnosti pr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 plný a pohotovostní provoz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EB7813">
            <w:pPr>
              <w:pStyle w:val="Odstavecseseznamem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26. září konstatovány nedostatky, některé existovaly již </w:t>
            </w:r>
            <w:r w:rsidR="00E41A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v 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období zabezpečování provozu CBO 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předchozím provozovatelem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např.: vzduchotechnik</w:t>
            </w:r>
            <w:r w:rsidR="00EB7813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a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 chlazení, kamerový systém, spalovna, skafandry, dávkování persterilu, chybějící hasicí systém na heliportu, 1,5 roku nefunkční výtah na heliport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</w:p>
        </w:tc>
      </w:tr>
      <w:tr w:rsidR="00704A53" w:rsidRPr="001C05F7" w:rsidTr="001C05F7">
        <w:trPr>
          <w:trHeight w:val="1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ASPO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 xml:space="preserve">od 1. 9. 2013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br/>
              <w:t>na dobu neurčitou</w:t>
            </w: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</w:tr>
      <w:tr w:rsidR="00704A53" w:rsidRPr="00B55F65" w:rsidTr="001C05F7">
        <w:trPr>
          <w:trHeight w:val="14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A53" w:rsidRPr="001C05F7" w:rsidRDefault="00704A53" w:rsidP="008B1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cs-CZ" w:eastAsia="cs-CZ"/>
              </w:rPr>
              <w:t>2014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A53" w:rsidRPr="001C05F7" w:rsidRDefault="00704A53" w:rsidP="0000796C">
            <w:p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2C" w:rsidRPr="001C05F7" w:rsidRDefault="00704A53" w:rsidP="008A012C">
            <w:pPr>
              <w:pStyle w:val="Odstavecseseznamem"/>
              <w:numPr>
                <w:ilvl w:val="0"/>
                <w:numId w:val="26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jedn</w:t>
            </w:r>
            <w:r w:rsidR="002133EB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ání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o aktivaci CBO</w:t>
            </w:r>
            <w:r w:rsidR="00F43ACF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Těchonín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v souvislos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ti s propuknutím epidemie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bol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y,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6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29. října bylo vydáno rozhodnutí o rozšíření oprávnění k poskytování zdravotních služeb, a to o formu zdravotní péče (lůžková péče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–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akutní lůžková péče standardní v oboru infekční lékařství, 20 lůžek) a o obor zdravotní péče (lékařská mikrobiologie)</w:t>
            </w:r>
            <w:r w:rsidR="00E41A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;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CBO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Těchonín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oprávnění pro intenzivní péči pro 8 lůžek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do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doby ukončení 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kontroly </w:t>
            </w:r>
            <w:r w:rsidR="00442D8E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NKÚ nezí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skalo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8A012C" w:rsidRPr="001C05F7" w:rsidRDefault="00704A53" w:rsidP="008A012C">
            <w:pPr>
              <w:pStyle w:val="Odstavecseseznamem"/>
              <w:numPr>
                <w:ilvl w:val="0"/>
                <w:numId w:val="26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24. července proběhlo jednání na MO mj. o vybudování vědeckovýzkumného komplexu, kromě varianty dobudování objektu </w:t>
            </w:r>
            <w:r w:rsidR="002E4A76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pro vědu a výzkum 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byla vytvořena varianta vybudování kom</w:t>
            </w:r>
            <w:r w:rsidR="008A012C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plexu v SIN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,</w:t>
            </w:r>
          </w:p>
          <w:p w:rsidR="00704A53" w:rsidRPr="001C05F7" w:rsidRDefault="00704A53" w:rsidP="00817CD4">
            <w:pPr>
              <w:pStyle w:val="Odstavecseseznamem"/>
              <w:numPr>
                <w:ilvl w:val="0"/>
                <w:numId w:val="26"/>
              </w:numPr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</w:pP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14. listopadu náčelník G</w:t>
            </w:r>
            <w:r w:rsidR="002133EB"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enerálního štábu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schválil 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p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lán aktivace CBO Těchonín</w:t>
            </w:r>
            <w:r w:rsidR="00817CD4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>.</w:t>
            </w:r>
            <w:r w:rsidRPr="001C05F7">
              <w:rPr>
                <w:rFonts w:ascii="Calibri" w:hAnsi="Calibri" w:cs="Calibri"/>
                <w:color w:val="000000"/>
                <w:sz w:val="16"/>
                <w:szCs w:val="16"/>
                <w:lang w:val="cs-CZ" w:eastAsia="cs-CZ"/>
              </w:rPr>
              <w:t xml:space="preserve"> </w:t>
            </w:r>
          </w:p>
        </w:tc>
      </w:tr>
    </w:tbl>
    <w:p w:rsidR="00704A53" w:rsidRPr="00CF04D3" w:rsidRDefault="008404D2" w:rsidP="00745BD8">
      <w:pPr>
        <w:rPr>
          <w:rFonts w:asciiTheme="minorHAnsi" w:hAnsiTheme="minorHAnsi" w:cstheme="minorHAnsi"/>
          <w:sz w:val="20"/>
          <w:szCs w:val="20"/>
          <w:lang w:val="cs-CZ"/>
        </w:rPr>
      </w:pPr>
      <w:r w:rsidRPr="00CF04D3">
        <w:rPr>
          <w:rFonts w:asciiTheme="minorHAnsi" w:hAnsiTheme="minorHAnsi" w:cstheme="minorHAnsi"/>
          <w:b/>
          <w:sz w:val="20"/>
          <w:szCs w:val="20"/>
          <w:lang w:val="cs-CZ"/>
        </w:rPr>
        <w:t>Zdroj:</w:t>
      </w:r>
      <w:r w:rsidRPr="00CF04D3">
        <w:rPr>
          <w:rFonts w:asciiTheme="minorHAnsi" w:hAnsiTheme="minorHAnsi" w:cstheme="minorHAnsi"/>
          <w:sz w:val="20"/>
          <w:szCs w:val="20"/>
          <w:lang w:val="cs-CZ"/>
        </w:rPr>
        <w:t xml:space="preserve"> zpracován</w:t>
      </w:r>
      <w:r w:rsidR="00CF04D3" w:rsidRPr="00CF04D3">
        <w:rPr>
          <w:rFonts w:asciiTheme="minorHAnsi" w:hAnsiTheme="minorHAnsi" w:cstheme="minorHAnsi"/>
          <w:sz w:val="20"/>
          <w:szCs w:val="20"/>
          <w:lang w:val="cs-CZ"/>
        </w:rPr>
        <w:t xml:space="preserve">o NKÚ </w:t>
      </w:r>
      <w:r w:rsidR="007E125F">
        <w:rPr>
          <w:rFonts w:asciiTheme="minorHAnsi" w:hAnsiTheme="minorHAnsi" w:cstheme="minorHAnsi"/>
          <w:sz w:val="20"/>
          <w:szCs w:val="20"/>
          <w:lang w:val="cs-CZ"/>
        </w:rPr>
        <w:t xml:space="preserve">na základě dat </w:t>
      </w:r>
      <w:r w:rsidR="00CF04D3" w:rsidRPr="00CF04D3">
        <w:rPr>
          <w:rFonts w:asciiTheme="minorHAnsi" w:hAnsiTheme="minorHAnsi" w:cstheme="minorHAnsi"/>
          <w:sz w:val="20"/>
          <w:szCs w:val="20"/>
          <w:lang w:val="cs-CZ"/>
        </w:rPr>
        <w:t>z veřejných</w:t>
      </w:r>
      <w:r w:rsidRPr="00CF04D3">
        <w:rPr>
          <w:rFonts w:asciiTheme="minorHAnsi" w:hAnsiTheme="minorHAnsi" w:cstheme="minorHAnsi"/>
          <w:sz w:val="20"/>
          <w:szCs w:val="20"/>
          <w:lang w:val="cs-CZ"/>
        </w:rPr>
        <w:t xml:space="preserve"> zd</w:t>
      </w:r>
      <w:r w:rsidR="00F14341" w:rsidRPr="00CF04D3">
        <w:rPr>
          <w:rFonts w:asciiTheme="minorHAnsi" w:hAnsiTheme="minorHAnsi" w:cstheme="minorHAnsi"/>
          <w:sz w:val="20"/>
          <w:szCs w:val="20"/>
          <w:lang w:val="cs-CZ"/>
        </w:rPr>
        <w:t>r</w:t>
      </w:r>
      <w:r w:rsidRPr="00CF04D3">
        <w:rPr>
          <w:rFonts w:asciiTheme="minorHAnsi" w:hAnsiTheme="minorHAnsi" w:cstheme="minorHAnsi"/>
          <w:sz w:val="20"/>
          <w:szCs w:val="20"/>
          <w:lang w:val="cs-CZ"/>
        </w:rPr>
        <w:t>ojů a informací MO</w:t>
      </w:r>
      <w:r w:rsidR="000D1B48" w:rsidRPr="00CF04D3">
        <w:rPr>
          <w:rFonts w:asciiTheme="minorHAnsi" w:hAnsiTheme="minorHAnsi" w:cstheme="minorHAnsi"/>
          <w:sz w:val="20"/>
          <w:szCs w:val="20"/>
          <w:lang w:val="cs-CZ"/>
        </w:rPr>
        <w:t>.</w:t>
      </w:r>
    </w:p>
    <w:sectPr w:rsidR="00704A53" w:rsidRPr="00CF04D3" w:rsidSect="001A3337">
      <w:footerReference w:type="default" r:id="rId24"/>
      <w:footerReference w:type="first" r:id="rId25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13" w:rsidRDefault="00EB7813" w:rsidP="005E3F4A">
      <w:r>
        <w:separator/>
      </w:r>
    </w:p>
  </w:endnote>
  <w:endnote w:type="continuationSeparator" w:id="0">
    <w:p w:rsidR="00EB7813" w:rsidRDefault="00EB7813" w:rsidP="005E3F4A">
      <w:r>
        <w:continuationSeparator/>
      </w:r>
    </w:p>
  </w:endnote>
  <w:endnote w:type="continuationNotice" w:id="1">
    <w:p w:rsidR="00EB7813" w:rsidRDefault="00EB7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3" w:rsidRDefault="00EB781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B7813" w:rsidRDefault="00EB78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56475"/>
      <w:docPartObj>
        <w:docPartGallery w:val="Page Numbers (Bottom of Page)"/>
        <w:docPartUnique/>
      </w:docPartObj>
    </w:sdtPr>
    <w:sdtEndPr/>
    <w:sdtContent>
      <w:p w:rsidR="00EB7813" w:rsidRDefault="00EB7813" w:rsidP="001C05F7">
        <w:pPr>
          <w:pStyle w:val="Zpat"/>
          <w:jc w:val="center"/>
        </w:pPr>
        <w:r w:rsidRPr="00CF04D3">
          <w:rPr>
            <w:rFonts w:ascii="Calibri" w:hAnsi="Calibri" w:cs="Calibri"/>
          </w:rPr>
          <w:fldChar w:fldCharType="begin"/>
        </w:r>
        <w:r w:rsidRPr="00CF04D3">
          <w:rPr>
            <w:rFonts w:ascii="Calibri" w:hAnsi="Calibri" w:cs="Calibri"/>
          </w:rPr>
          <w:instrText>PAGE   \* MERGEFORMAT</w:instrText>
        </w:r>
        <w:r w:rsidRPr="00CF04D3">
          <w:rPr>
            <w:rFonts w:ascii="Calibri" w:hAnsi="Calibri" w:cs="Calibri"/>
          </w:rPr>
          <w:fldChar w:fldCharType="separate"/>
        </w:r>
        <w:r w:rsidR="00F57FE6" w:rsidRPr="00F57FE6">
          <w:rPr>
            <w:rFonts w:ascii="Calibri" w:hAnsi="Calibri" w:cs="Calibri"/>
            <w:noProof/>
            <w:lang w:val="cs-CZ"/>
          </w:rPr>
          <w:t>10</w:t>
        </w:r>
        <w:r w:rsidRPr="00CF04D3">
          <w:rPr>
            <w:rFonts w:ascii="Calibri" w:hAnsi="Calibri" w:cs="Calibr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3" w:rsidRPr="001C05F7" w:rsidRDefault="00EB7813" w:rsidP="001C05F7">
    <w:pPr>
      <w:pStyle w:val="Zpat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546628"/>
      <w:docPartObj>
        <w:docPartGallery w:val="Page Numbers (Bottom of Page)"/>
        <w:docPartUnique/>
      </w:docPartObj>
    </w:sdtPr>
    <w:sdtEndPr/>
    <w:sdtContent>
      <w:p w:rsidR="00EB7813" w:rsidRDefault="00EB7813" w:rsidP="001C05F7">
        <w:pPr>
          <w:pStyle w:val="Zpat"/>
          <w:jc w:val="center"/>
        </w:pPr>
        <w:r w:rsidRPr="00CF04D3">
          <w:rPr>
            <w:rFonts w:ascii="Calibri" w:hAnsi="Calibri" w:cs="Calibri"/>
          </w:rPr>
          <w:fldChar w:fldCharType="begin"/>
        </w:r>
        <w:r w:rsidRPr="00CF04D3">
          <w:rPr>
            <w:rFonts w:ascii="Calibri" w:hAnsi="Calibri" w:cs="Calibri"/>
          </w:rPr>
          <w:instrText>PAGE   \* MERGEFORMAT</w:instrText>
        </w:r>
        <w:r w:rsidRPr="00CF04D3">
          <w:rPr>
            <w:rFonts w:ascii="Calibri" w:hAnsi="Calibri" w:cs="Calibri"/>
          </w:rPr>
          <w:fldChar w:fldCharType="separate"/>
        </w:r>
        <w:r w:rsidR="00F57FE6" w:rsidRPr="00F57FE6">
          <w:rPr>
            <w:rFonts w:ascii="Calibri" w:hAnsi="Calibri" w:cs="Calibri"/>
            <w:noProof/>
            <w:lang w:val="cs-CZ"/>
          </w:rPr>
          <w:t>16</w:t>
        </w:r>
        <w:r w:rsidRPr="00CF04D3">
          <w:rPr>
            <w:rFonts w:ascii="Calibri" w:hAnsi="Calibri" w:cs="Calibri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3" w:rsidRPr="001C05F7" w:rsidRDefault="00EB7813" w:rsidP="001C05F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13" w:rsidRDefault="00EB7813" w:rsidP="005E3F4A">
      <w:r>
        <w:separator/>
      </w:r>
    </w:p>
  </w:footnote>
  <w:footnote w:type="continuationSeparator" w:id="0">
    <w:p w:rsidR="00EB7813" w:rsidRDefault="00EB7813" w:rsidP="005E3F4A">
      <w:r>
        <w:continuationSeparator/>
      </w:r>
    </w:p>
  </w:footnote>
  <w:footnote w:type="continuationNotice" w:id="1">
    <w:p w:rsidR="00EB7813" w:rsidRDefault="00EB7813"/>
  </w:footnote>
  <w:footnote w:id="2">
    <w:p w:rsidR="00EB7813" w:rsidRPr="00DF094C" w:rsidRDefault="00EB7813" w:rsidP="00DF094C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DF094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DF094C">
        <w:rPr>
          <w:rFonts w:asciiTheme="minorHAnsi" w:hAnsiTheme="minorHAnsi" w:cstheme="minorHAnsi"/>
          <w:lang w:val="cs-CZ"/>
        </w:rPr>
        <w:t>Zákon č. 258/2000 Sb., o ochraně veřejného zdraví a o změně některých souvisejících zákonů</w:t>
      </w:r>
      <w:r>
        <w:rPr>
          <w:rFonts w:asciiTheme="minorHAnsi" w:hAnsiTheme="minorHAnsi" w:cstheme="minorHAnsi"/>
          <w:lang w:val="cs-CZ"/>
        </w:rPr>
        <w:t>.</w:t>
      </w:r>
    </w:p>
  </w:footnote>
  <w:footnote w:id="3">
    <w:p w:rsidR="00EB7813" w:rsidRPr="00DF094C" w:rsidRDefault="00EB7813" w:rsidP="008D6663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DF094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DF094C">
        <w:rPr>
          <w:rFonts w:asciiTheme="minorHAnsi" w:hAnsiTheme="minorHAnsi" w:cstheme="minorHAnsi"/>
          <w:lang w:val="cs-CZ"/>
        </w:rPr>
        <w:t>Příčina, původce nemoci, činitel</w:t>
      </w:r>
      <w:r>
        <w:rPr>
          <w:rFonts w:asciiTheme="minorHAnsi" w:hAnsiTheme="minorHAnsi" w:cstheme="minorHAnsi"/>
          <w:lang w:val="cs-CZ"/>
        </w:rPr>
        <w:t>.</w:t>
      </w:r>
    </w:p>
  </w:footnote>
  <w:footnote w:id="4">
    <w:p w:rsidR="00EB7813" w:rsidRPr="00DF094C" w:rsidRDefault="00EB7813" w:rsidP="00DF094C">
      <w:pPr>
        <w:ind w:left="284" w:hanging="28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F094C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 xml:space="preserve">Od roku 2012 do července 2015 se ve světě vyskytlo 624 případů onemocnění </w:t>
      </w:r>
      <w:r>
        <w:rPr>
          <w:rFonts w:asciiTheme="minorHAnsi" w:hAnsiTheme="minorHAnsi" w:cstheme="minorHAnsi"/>
          <w:sz w:val="20"/>
          <w:szCs w:val="20"/>
          <w:lang w:val="cs-CZ"/>
        </w:rPr>
        <w:t>l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>ass</w:t>
      </w:r>
      <w:r>
        <w:rPr>
          <w:rFonts w:asciiTheme="minorHAnsi" w:hAnsiTheme="minorHAnsi" w:cstheme="minorHAnsi"/>
          <w:sz w:val="20"/>
          <w:szCs w:val="20"/>
          <w:lang w:val="cs-CZ"/>
        </w:rPr>
        <w:t>ou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 xml:space="preserve"> (70 úmrtí – 11,2% úmrtnost), 1 368 případů onemocnění MERS (490 úmrtí – 35,8% úmrtnost), a 27 740 případů onemocnění </w:t>
      </w:r>
      <w:r>
        <w:rPr>
          <w:rFonts w:asciiTheme="minorHAnsi" w:hAnsiTheme="minorHAnsi" w:cstheme="minorHAnsi"/>
          <w:sz w:val="20"/>
          <w:szCs w:val="20"/>
          <w:lang w:val="cs-CZ"/>
        </w:rPr>
        <w:t>e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>bol</w:t>
      </w:r>
      <w:r>
        <w:rPr>
          <w:rFonts w:asciiTheme="minorHAnsi" w:hAnsiTheme="minorHAnsi" w:cstheme="minorHAnsi"/>
          <w:sz w:val="20"/>
          <w:szCs w:val="20"/>
          <w:lang w:val="cs-CZ"/>
        </w:rPr>
        <w:t>ou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 xml:space="preserve"> (11 314 úmrtí – 40,8% úmrtnost); zdroj: Světová zdravotnická organizace, </w:t>
      </w:r>
      <w:r w:rsidRPr="00CE6904">
        <w:rPr>
          <w:rFonts w:asciiTheme="minorHAnsi" w:hAnsiTheme="minorHAnsi" w:cstheme="minorHAnsi"/>
          <w:color w:val="0070C0"/>
          <w:sz w:val="20"/>
          <w:szCs w:val="20"/>
          <w:lang w:val="cs-CZ"/>
        </w:rPr>
        <w:t>http://www.who.int</w:t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>.</w:t>
      </w:r>
    </w:p>
  </w:footnote>
  <w:footnote w:id="5">
    <w:p w:rsidR="00EB7813" w:rsidRPr="00F14341" w:rsidRDefault="00EB7813" w:rsidP="00F14341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1434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>BSL-4 je m</w:t>
      </w:r>
      <w:r w:rsidRPr="00F14341">
        <w:rPr>
          <w:rFonts w:asciiTheme="minorHAnsi" w:hAnsiTheme="minorHAnsi" w:cstheme="minorHAnsi"/>
          <w:lang w:val="cs-CZ"/>
        </w:rPr>
        <w:t>eziná</w:t>
      </w:r>
      <w:r>
        <w:rPr>
          <w:rFonts w:asciiTheme="minorHAnsi" w:hAnsiTheme="minorHAnsi" w:cstheme="minorHAnsi"/>
          <w:lang w:val="cs-CZ"/>
        </w:rPr>
        <w:t>rodně používaný termín pro úroveň technického zabezpečení v oblasti biologické bezpečnosti, který označuje úroveň n</w:t>
      </w:r>
      <w:r w:rsidRPr="00BC3E24">
        <w:rPr>
          <w:rFonts w:asciiTheme="minorHAnsi" w:hAnsiTheme="minorHAnsi" w:cstheme="minorHAnsi"/>
          <w:lang w:val="cs-CZ"/>
        </w:rPr>
        <w:t>ejvyšší</w:t>
      </w:r>
      <w:r>
        <w:rPr>
          <w:rFonts w:asciiTheme="minorHAnsi" w:hAnsiTheme="minorHAnsi" w:cstheme="minorHAnsi"/>
          <w:lang w:val="cs-CZ"/>
        </w:rPr>
        <w:t>ho</w:t>
      </w:r>
      <w:r w:rsidRPr="00BC3E24">
        <w:rPr>
          <w:rFonts w:asciiTheme="minorHAnsi" w:hAnsiTheme="minorHAnsi" w:cstheme="minorHAnsi"/>
          <w:lang w:val="cs-CZ"/>
        </w:rPr>
        <w:t xml:space="preserve"> rizik</w:t>
      </w:r>
      <w:r>
        <w:rPr>
          <w:rFonts w:asciiTheme="minorHAnsi" w:hAnsiTheme="minorHAnsi" w:cstheme="minorHAnsi"/>
          <w:lang w:val="cs-CZ"/>
        </w:rPr>
        <w:t>a (</w:t>
      </w:r>
      <w:r w:rsidRPr="00BC3E24">
        <w:rPr>
          <w:rFonts w:asciiTheme="minorHAnsi" w:hAnsiTheme="minorHAnsi" w:cstheme="minorHAnsi"/>
          <w:lang w:val="cs-CZ"/>
        </w:rPr>
        <w:t>závažn</w:t>
      </w:r>
      <w:r>
        <w:rPr>
          <w:rFonts w:asciiTheme="minorHAnsi" w:hAnsiTheme="minorHAnsi" w:cstheme="minorHAnsi"/>
          <w:lang w:val="cs-CZ"/>
        </w:rPr>
        <w:t>á</w:t>
      </w:r>
      <w:r w:rsidRPr="00BC3E24">
        <w:rPr>
          <w:rFonts w:asciiTheme="minorHAnsi" w:hAnsiTheme="minorHAnsi" w:cstheme="minorHAnsi"/>
          <w:lang w:val="cs-CZ"/>
        </w:rPr>
        <w:t xml:space="preserve"> onemocnění s vysokou pravděpodobností šíření bez dostupné profylaxe či léčby)</w:t>
      </w:r>
      <w:r>
        <w:rPr>
          <w:rFonts w:asciiTheme="minorHAnsi" w:hAnsiTheme="minorHAnsi" w:cstheme="minorHAnsi"/>
          <w:lang w:val="cs-CZ"/>
        </w:rPr>
        <w:t>.</w:t>
      </w:r>
    </w:p>
  </w:footnote>
  <w:footnote w:id="6">
    <w:p w:rsidR="00EB7813" w:rsidRPr="00DF094C" w:rsidRDefault="00EB7813" w:rsidP="00DF094C">
      <w:pPr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F094C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  <w:lang w:val="cs-CZ"/>
        </w:rPr>
        <w:tab/>
      </w:r>
      <w:r w:rsidRPr="00DF094C">
        <w:rPr>
          <w:rFonts w:asciiTheme="minorHAnsi" w:hAnsiTheme="minorHAnsi" w:cstheme="minorHAnsi"/>
          <w:sz w:val="20"/>
          <w:szCs w:val="20"/>
          <w:lang w:val="cs-CZ"/>
        </w:rPr>
        <w:t>JCBRND COE je samostatnou právnickou osobou a součástí organizační struktury mezinárodní vojenské organizace.</w:t>
      </w:r>
    </w:p>
  </w:footnote>
  <w:footnote w:id="7">
    <w:p w:rsidR="00EB7813" w:rsidRPr="00DF094C" w:rsidRDefault="00EB7813" w:rsidP="00DF094C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DF094C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DF094C">
        <w:rPr>
          <w:rFonts w:asciiTheme="minorHAnsi" w:hAnsiTheme="minorHAnsi" w:cstheme="minorHAnsi"/>
          <w:lang w:val="cs-CZ"/>
        </w:rPr>
        <w:t xml:space="preserve">Plní zejména </w:t>
      </w:r>
      <w:r w:rsidRPr="001C67DF">
        <w:rPr>
          <w:rFonts w:asciiTheme="minorHAnsi" w:hAnsiTheme="minorHAnsi" w:cstheme="minorHAnsi"/>
          <w:i/>
          <w:lang w:val="cs-CZ"/>
        </w:rPr>
        <w:t>Pražské závazky ke schopnostem</w:t>
      </w:r>
      <w:r w:rsidRPr="00DF094C">
        <w:rPr>
          <w:rFonts w:asciiTheme="minorHAnsi" w:hAnsiTheme="minorHAnsi" w:cstheme="minorHAnsi"/>
          <w:lang w:val="cs-CZ"/>
        </w:rPr>
        <w:t>, které představují deklaraci spojeneckých států ke zlepšování svých schopností ve vymezených oblastech.</w:t>
      </w:r>
    </w:p>
  </w:footnote>
  <w:footnote w:id="8">
    <w:p w:rsidR="00EB7813" w:rsidRPr="00F14341" w:rsidRDefault="00EB7813" w:rsidP="00F14341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14341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F14341">
        <w:rPr>
          <w:rFonts w:asciiTheme="minorHAnsi" w:hAnsiTheme="minorHAnsi" w:cstheme="minorHAnsi"/>
          <w:lang w:val="cs-CZ"/>
        </w:rPr>
        <w:t xml:space="preserve">Zdroj: </w:t>
      </w:r>
      <w:r>
        <w:rPr>
          <w:rFonts w:asciiTheme="minorHAnsi" w:hAnsiTheme="minorHAnsi" w:cstheme="minorHAnsi"/>
          <w:lang w:val="cs-CZ"/>
        </w:rPr>
        <w:t>dopis ze dne 18. 5. 2015, čj. 23/2015-NATO.</w:t>
      </w:r>
    </w:p>
  </w:footnote>
  <w:footnote w:id="9">
    <w:p w:rsidR="00EB7813" w:rsidRPr="008D5362" w:rsidRDefault="00EB7813" w:rsidP="00DF094C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F13ED2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F13ED2">
        <w:rPr>
          <w:rFonts w:asciiTheme="minorHAnsi" w:hAnsiTheme="minorHAnsi" w:cstheme="minorHAnsi"/>
          <w:lang w:val="cs-CZ"/>
        </w:rPr>
        <w:t xml:space="preserve">Centrum biologické ochrany Těchonín bylo organizační změnou ze dne 1. července 2013 přejmenováno na </w:t>
      </w:r>
      <w:r>
        <w:rPr>
          <w:rFonts w:asciiTheme="minorHAnsi" w:hAnsiTheme="minorHAnsi" w:cstheme="minorHAnsi"/>
          <w:lang w:val="cs-CZ"/>
        </w:rPr>
        <w:t>o</w:t>
      </w:r>
      <w:r w:rsidRPr="008D5362">
        <w:rPr>
          <w:rFonts w:asciiTheme="minorHAnsi" w:hAnsiTheme="minorHAnsi" w:cstheme="minorHAnsi"/>
          <w:lang w:val="cs-CZ"/>
        </w:rPr>
        <w:t>dbor biologické ochrany Těchonín, pro účely kontroly NKÚ je používána ustálená zkratka CBO Těchonín.</w:t>
      </w:r>
    </w:p>
  </w:footnote>
  <w:footnote w:id="10">
    <w:p w:rsidR="00EB7813" w:rsidRPr="008D5362" w:rsidRDefault="00EB7813" w:rsidP="008D5362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8D5362">
        <w:rPr>
          <w:rStyle w:val="Znakapoznpodarou"/>
          <w:rFonts w:asciiTheme="minorHAnsi" w:hAnsiTheme="minorHAnsi" w:cstheme="minorHAnsi"/>
        </w:rPr>
        <w:footnoteRef/>
      </w:r>
      <w:r w:rsidRPr="008D5362">
        <w:rPr>
          <w:rFonts w:asciiTheme="minorHAnsi" w:hAnsiTheme="minorHAnsi" w:cstheme="minorHAnsi"/>
          <w:lang w:val="cs-CZ"/>
        </w:rPr>
        <w:tab/>
        <w:t xml:space="preserve">Dne 1. </w:t>
      </w:r>
      <w:r>
        <w:rPr>
          <w:rFonts w:asciiTheme="minorHAnsi" w:hAnsiTheme="minorHAnsi" w:cstheme="minorHAnsi"/>
          <w:lang w:val="cs-CZ"/>
        </w:rPr>
        <w:t>č</w:t>
      </w:r>
      <w:r w:rsidRPr="008D5362">
        <w:rPr>
          <w:rFonts w:asciiTheme="minorHAnsi" w:hAnsiTheme="minorHAnsi" w:cstheme="minorHAnsi"/>
          <w:lang w:val="cs-CZ"/>
        </w:rPr>
        <w:t>ervence</w:t>
      </w:r>
      <w:r>
        <w:rPr>
          <w:rFonts w:asciiTheme="minorHAnsi" w:hAnsiTheme="minorHAnsi" w:cstheme="minorHAnsi"/>
          <w:lang w:val="cs-CZ"/>
        </w:rPr>
        <w:t xml:space="preserve"> 2005 vznikla 31. brigáda radiační, chemické a biologické ochrany sídlící v Liberci, která byla k 1. prosinci 2013 reorganizována na menší útvar o velikosti pluku.</w:t>
      </w:r>
    </w:p>
  </w:footnote>
  <w:footnote w:id="11">
    <w:p w:rsidR="00EB7813" w:rsidRPr="000866A1" w:rsidRDefault="00EB7813" w:rsidP="00DF094C">
      <w:pPr>
        <w:pStyle w:val="Textpoznpodarou"/>
        <w:ind w:left="284" w:hanging="284"/>
        <w:jc w:val="both"/>
        <w:rPr>
          <w:lang w:val="cs-CZ"/>
        </w:rPr>
      </w:pPr>
      <w:r w:rsidRPr="000866A1">
        <w:rPr>
          <w:rStyle w:val="Znakapoznpodarou"/>
          <w:rFonts w:asciiTheme="minorHAnsi" w:hAnsiTheme="minorHAnsi" w:cstheme="minorHAnsi"/>
          <w:lang w:val="cs-CZ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0866A1">
        <w:rPr>
          <w:rFonts w:asciiTheme="minorHAnsi" w:hAnsiTheme="minorHAnsi" w:cstheme="minorHAnsi"/>
          <w:lang w:val="cs-CZ"/>
        </w:rPr>
        <w:t>Do programu americké vojenské pomoci (</w:t>
      </w:r>
      <w:r w:rsidRPr="001C67DF">
        <w:rPr>
          <w:rFonts w:asciiTheme="minorHAnsi" w:hAnsiTheme="minorHAnsi" w:cstheme="minorHAnsi"/>
          <w:i/>
          <w:lang w:val="cs-CZ"/>
        </w:rPr>
        <w:t>Foreign Military Financing</w:t>
      </w:r>
      <w:r w:rsidRPr="000866A1">
        <w:rPr>
          <w:rFonts w:asciiTheme="minorHAnsi" w:hAnsiTheme="minorHAnsi" w:cstheme="minorHAnsi"/>
          <w:lang w:val="cs-CZ"/>
        </w:rPr>
        <w:t>) je ČR zapojena od roku 1996. Vláda USA na otevřený účet každého spřáteleného státu ročně poukazuje finanční prostředky v závislosti na přínos</w:t>
      </w:r>
      <w:r>
        <w:rPr>
          <w:rFonts w:asciiTheme="minorHAnsi" w:hAnsiTheme="minorHAnsi" w:cstheme="minorHAnsi"/>
          <w:lang w:val="cs-CZ"/>
        </w:rPr>
        <w:t>u</w:t>
      </w:r>
      <w:r w:rsidRPr="000866A1">
        <w:rPr>
          <w:rFonts w:asciiTheme="minorHAnsi" w:hAnsiTheme="minorHAnsi" w:cstheme="minorHAnsi"/>
          <w:lang w:val="cs-CZ"/>
        </w:rPr>
        <w:t xml:space="preserve"> aktivit pro USA. Podmínkou je nákup materiálu, techniky a služeb u americké společnosti. MO hradí pouze clo a</w:t>
      </w:r>
      <w:r>
        <w:rPr>
          <w:rFonts w:asciiTheme="minorHAnsi" w:hAnsiTheme="minorHAnsi" w:cstheme="minorHAnsi"/>
          <w:lang w:val="cs-CZ"/>
        </w:rPr>
        <w:t> </w:t>
      </w:r>
      <w:r w:rsidRPr="000866A1">
        <w:rPr>
          <w:rFonts w:asciiTheme="minorHAnsi" w:hAnsiTheme="minorHAnsi" w:cstheme="minorHAnsi"/>
          <w:lang w:val="cs-CZ"/>
        </w:rPr>
        <w:t>DPH.</w:t>
      </w:r>
      <w:r w:rsidRPr="00F34B9B">
        <w:rPr>
          <w:lang w:val="cs-CZ"/>
        </w:rPr>
        <w:t xml:space="preserve">  </w:t>
      </w:r>
    </w:p>
  </w:footnote>
  <w:footnote w:id="12">
    <w:p w:rsidR="00EB7813" w:rsidRPr="00F14341" w:rsidRDefault="00EB7813" w:rsidP="00CE28D9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14341">
        <w:rPr>
          <w:rStyle w:val="Znakapoznpodarou"/>
          <w:rFonts w:asciiTheme="minorHAnsi" w:hAnsiTheme="minorHAnsi" w:cstheme="minorHAnsi"/>
          <w:lang w:val="cs-CZ"/>
        </w:rPr>
        <w:footnoteRef/>
      </w:r>
      <w:r>
        <w:rPr>
          <w:rFonts w:asciiTheme="minorHAnsi" w:hAnsiTheme="minorHAnsi" w:cstheme="minorHAnsi"/>
          <w:lang w:val="cs-CZ"/>
        </w:rPr>
        <w:tab/>
        <w:t>T</w:t>
      </w:r>
      <w:r w:rsidRPr="00F14341">
        <w:rPr>
          <w:rFonts w:asciiTheme="minorHAnsi" w:hAnsiTheme="minorHAnsi" w:cstheme="minorHAnsi"/>
          <w:lang w:val="cs-CZ"/>
        </w:rPr>
        <w:t>j.</w:t>
      </w:r>
      <w:r w:rsidRPr="00F14341">
        <w:rPr>
          <w:rFonts w:asciiTheme="minorHAnsi" w:hAnsiTheme="minorHAnsi" w:cstheme="minorHAnsi"/>
          <w:color w:val="000000" w:themeColor="text1"/>
          <w:lang w:val="cs-CZ"/>
        </w:rPr>
        <w:t xml:space="preserve"> c</w:t>
      </w:r>
      <w:r w:rsidRPr="00F14341">
        <w:rPr>
          <w:rFonts w:asciiTheme="minorHAnsi" w:hAnsiTheme="minorHAnsi" w:cstheme="minorHAnsi"/>
          <w:lang w:val="cs-CZ"/>
        </w:rPr>
        <w:t>elková pořizovací hodnota CBO Těchonín vč</w:t>
      </w:r>
      <w:r>
        <w:rPr>
          <w:rFonts w:asciiTheme="minorHAnsi" w:hAnsiTheme="minorHAnsi" w:cstheme="minorHAnsi"/>
          <w:lang w:val="cs-CZ"/>
        </w:rPr>
        <w:t>etně</w:t>
      </w:r>
      <w:r w:rsidRPr="00F14341">
        <w:rPr>
          <w:rFonts w:asciiTheme="minorHAnsi" w:hAnsiTheme="minorHAnsi" w:cstheme="minorHAnsi"/>
          <w:lang w:val="cs-CZ"/>
        </w:rPr>
        <w:t xml:space="preserve"> pořízené techniky a materiálu</w:t>
      </w:r>
      <w:r>
        <w:rPr>
          <w:rFonts w:asciiTheme="minorHAnsi" w:hAnsiTheme="minorHAnsi" w:cstheme="minorHAnsi"/>
          <w:lang w:val="cs-CZ"/>
        </w:rPr>
        <w:t>.</w:t>
      </w:r>
    </w:p>
  </w:footnote>
  <w:footnote w:id="13">
    <w:p w:rsidR="00EB7813" w:rsidRPr="00846CA8" w:rsidRDefault="00EB7813" w:rsidP="00846CA8">
      <w:pPr>
        <w:pStyle w:val="Textpoznpodarou"/>
        <w:ind w:left="284" w:hanging="284"/>
        <w:jc w:val="both"/>
        <w:rPr>
          <w:lang w:val="cs-CZ"/>
        </w:rPr>
      </w:pPr>
      <w:r w:rsidRPr="00600DF6">
        <w:rPr>
          <w:rStyle w:val="Znakapoznpodarou"/>
          <w:rFonts w:ascii="Calibri" w:hAnsi="Calibri" w:cs="Calibri"/>
        </w:rPr>
        <w:footnoteRef/>
      </w:r>
      <w:r w:rsidRPr="00600DF6">
        <w:rPr>
          <w:rFonts w:ascii="Calibri" w:hAnsi="Calibri" w:cs="Calibri"/>
          <w:lang w:val="cs-CZ"/>
        </w:rPr>
        <w:tab/>
      </w:r>
      <w:r w:rsidRPr="00F14341">
        <w:rPr>
          <w:rFonts w:asciiTheme="minorHAnsi" w:hAnsiTheme="minorHAnsi" w:cstheme="minorHAnsi"/>
          <w:color w:val="000000"/>
          <w:lang w:val="cs-CZ"/>
        </w:rPr>
        <w:t>V CBO Těchonín je třeba rozlišovat dva provozy, a to pohotovostní provoz (jedná se o běžný režim) a plný provoz (období aktivace, kdy CBO Těchonín dosahuje plných operačních schop</w:t>
      </w:r>
      <w:r>
        <w:rPr>
          <w:rFonts w:asciiTheme="minorHAnsi" w:hAnsiTheme="minorHAnsi" w:cstheme="minorHAnsi"/>
          <w:color w:val="000000"/>
          <w:lang w:val="cs-CZ"/>
        </w:rPr>
        <w:t>ností – především při izolaci a </w:t>
      </w:r>
      <w:r w:rsidRPr="00F14341">
        <w:rPr>
          <w:rFonts w:asciiTheme="minorHAnsi" w:hAnsiTheme="minorHAnsi" w:cstheme="minorHAnsi"/>
          <w:color w:val="000000"/>
          <w:lang w:val="cs-CZ"/>
        </w:rPr>
        <w:t>léčbě pacient</w:t>
      </w:r>
      <w:r>
        <w:rPr>
          <w:rFonts w:asciiTheme="minorHAnsi" w:hAnsiTheme="minorHAnsi" w:cstheme="minorHAnsi"/>
          <w:color w:val="000000"/>
          <w:lang w:val="cs-CZ"/>
        </w:rPr>
        <w:t>ů</w:t>
      </w:r>
      <w:r w:rsidRPr="00F14341">
        <w:rPr>
          <w:rFonts w:asciiTheme="minorHAnsi" w:hAnsiTheme="minorHAnsi" w:cstheme="minorHAnsi"/>
          <w:color w:val="000000"/>
          <w:lang w:val="cs-CZ"/>
        </w:rPr>
        <w:t xml:space="preserve"> s vysoce nakažlivou nemocí).</w:t>
      </w:r>
    </w:p>
  </w:footnote>
  <w:footnote w:id="14">
    <w:p w:rsidR="00EB7813" w:rsidRPr="002935D2" w:rsidRDefault="00EB7813" w:rsidP="00DF094C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935D2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  <w:t xml:space="preserve">Ustanovení </w:t>
      </w:r>
      <w:r w:rsidRPr="002935D2">
        <w:rPr>
          <w:rFonts w:asciiTheme="minorHAnsi" w:hAnsiTheme="minorHAnsi" w:cstheme="minorHAnsi"/>
          <w:lang w:val="cs-CZ"/>
        </w:rPr>
        <w:t xml:space="preserve">§ 4 </w:t>
      </w:r>
      <w:r>
        <w:rPr>
          <w:rFonts w:asciiTheme="minorHAnsi" w:hAnsiTheme="minorHAnsi" w:cstheme="minorHAnsi"/>
          <w:lang w:val="cs-CZ"/>
        </w:rPr>
        <w:t>o</w:t>
      </w:r>
      <w:r w:rsidRPr="002935D2">
        <w:rPr>
          <w:rFonts w:asciiTheme="minorHAnsi" w:hAnsiTheme="minorHAnsi" w:cstheme="minorHAnsi"/>
          <w:lang w:val="cs-CZ"/>
        </w:rPr>
        <w:t>dst. 2</w:t>
      </w:r>
      <w:r>
        <w:rPr>
          <w:rFonts w:asciiTheme="minorHAnsi" w:hAnsiTheme="minorHAnsi" w:cstheme="minorHAnsi"/>
          <w:lang w:val="cs-CZ"/>
        </w:rPr>
        <w:t xml:space="preserve"> zákona č. </w:t>
      </w:r>
      <w:r w:rsidRPr="002935D2">
        <w:rPr>
          <w:rFonts w:asciiTheme="minorHAnsi" w:hAnsiTheme="minorHAnsi" w:cstheme="minorHAnsi"/>
          <w:lang w:val="cs-CZ"/>
        </w:rPr>
        <w:t>239/2000 Sb., o integrovaném záchranném systému a o změně některých zákonů</w:t>
      </w:r>
      <w:r>
        <w:rPr>
          <w:rFonts w:asciiTheme="minorHAnsi" w:hAnsiTheme="minorHAnsi" w:cstheme="minorHAnsi"/>
          <w:lang w:val="cs-CZ"/>
        </w:rPr>
        <w:t>.</w:t>
      </w:r>
    </w:p>
  </w:footnote>
  <w:footnote w:id="15">
    <w:p w:rsidR="00EB7813" w:rsidRPr="00CF04D3" w:rsidRDefault="00EB7813" w:rsidP="00CF04D3">
      <w:pPr>
        <w:pStyle w:val="Textpoznpodarou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CF04D3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cs-CZ"/>
        </w:rPr>
        <w:tab/>
      </w:r>
      <w:r w:rsidRPr="00CF04D3">
        <w:rPr>
          <w:rFonts w:asciiTheme="minorHAnsi" w:hAnsiTheme="minorHAnsi" w:cstheme="minorHAnsi"/>
          <w:lang w:val="cs-CZ"/>
        </w:rPr>
        <w:t xml:space="preserve">Dne 1. 7. 2015, tj. </w:t>
      </w:r>
      <w:r>
        <w:rPr>
          <w:rFonts w:asciiTheme="minorHAnsi" w:hAnsiTheme="minorHAnsi" w:cstheme="minorHAnsi"/>
          <w:lang w:val="cs-CZ"/>
        </w:rPr>
        <w:t xml:space="preserve">až </w:t>
      </w:r>
      <w:r w:rsidRPr="00CF04D3">
        <w:rPr>
          <w:rFonts w:asciiTheme="minorHAnsi" w:hAnsiTheme="minorHAnsi" w:cstheme="minorHAnsi"/>
          <w:lang w:val="cs-CZ"/>
        </w:rPr>
        <w:t>po předání kontrolního protokolu, vstoupila v účinnost vyhláška č. 156/2015 Sb., o podmínkách poskytování zdravotních služeb vojenskými poskytovateli, oborech ambulantní péče, u</w:t>
      </w:r>
      <w:r>
        <w:rPr>
          <w:rFonts w:asciiTheme="minorHAnsi" w:hAnsiTheme="minorHAnsi" w:cstheme="minorHAnsi"/>
          <w:lang w:val="cs-CZ"/>
        </w:rPr>
        <w:t> </w:t>
      </w:r>
      <w:r w:rsidRPr="00CF04D3">
        <w:rPr>
          <w:rFonts w:asciiTheme="minorHAnsi" w:hAnsiTheme="minorHAnsi" w:cstheme="minorHAnsi"/>
          <w:lang w:val="cs-CZ"/>
        </w:rPr>
        <w:t>kterých voják z povolání může uplatnit svobodnou volbu poskytovatele zdravotních služeb, a podmínkách organizace plnění úkolů vojenských fakultních nemocnic (o podmínkách poskytování zdravotních služeb vojenskými poskytovateli).</w:t>
      </w:r>
    </w:p>
  </w:footnote>
  <w:footnote w:id="16">
    <w:p w:rsidR="00EB7813" w:rsidRPr="00F14341" w:rsidRDefault="00EB7813" w:rsidP="00F14341">
      <w:pPr>
        <w:pStyle w:val="Textpoznpodarou"/>
        <w:ind w:left="284" w:hanging="284"/>
        <w:rPr>
          <w:rFonts w:asciiTheme="minorHAnsi" w:hAnsiTheme="minorHAnsi" w:cstheme="minorHAnsi"/>
          <w:lang w:val="cs-CZ"/>
        </w:rPr>
      </w:pPr>
      <w:r w:rsidRPr="00F14341">
        <w:rPr>
          <w:rStyle w:val="Znakapoznpodarou"/>
          <w:rFonts w:asciiTheme="minorHAnsi" w:hAnsiTheme="minorHAnsi" w:cstheme="minorHAnsi"/>
        </w:rPr>
        <w:footnoteRef/>
      </w:r>
      <w:r w:rsidRPr="00F14341">
        <w:rPr>
          <w:rFonts w:asciiTheme="minorHAnsi" w:hAnsiTheme="minorHAnsi" w:cstheme="minorHAnsi"/>
          <w:lang w:val="cs-CZ"/>
        </w:rPr>
        <w:tab/>
      </w:r>
      <w:r w:rsidRPr="00C33336">
        <w:rPr>
          <w:rFonts w:asciiTheme="minorHAnsi" w:hAnsiTheme="minorHAnsi" w:cstheme="minorHAnsi"/>
          <w:lang w:val="cs-CZ"/>
        </w:rPr>
        <w:t>Zpracov</w:t>
      </w:r>
      <w:r>
        <w:rPr>
          <w:rFonts w:asciiTheme="minorHAnsi" w:hAnsiTheme="minorHAnsi" w:cstheme="minorHAnsi"/>
          <w:lang w:val="cs-CZ"/>
        </w:rPr>
        <w:t>áno NKÚ na základě dat z veřejných zdrojů a z informací MO. Podrobněji viz příloha č.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813" w:rsidRDefault="00EB78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C69"/>
    <w:multiLevelType w:val="hybridMultilevel"/>
    <w:tmpl w:val="950A30E4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1873"/>
    <w:multiLevelType w:val="hybridMultilevel"/>
    <w:tmpl w:val="6ACEC40C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4814"/>
    <w:multiLevelType w:val="hybridMultilevel"/>
    <w:tmpl w:val="B46AF38E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C3DB2"/>
    <w:multiLevelType w:val="hybridMultilevel"/>
    <w:tmpl w:val="1708E3D6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5A9A"/>
    <w:multiLevelType w:val="hybridMultilevel"/>
    <w:tmpl w:val="E7125AE2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4642"/>
    <w:multiLevelType w:val="hybridMultilevel"/>
    <w:tmpl w:val="1A34B91E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1BB64814"/>
    <w:multiLevelType w:val="hybridMultilevel"/>
    <w:tmpl w:val="D612208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007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9C43AB"/>
    <w:multiLevelType w:val="hybridMultilevel"/>
    <w:tmpl w:val="5DBC55B0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417EB"/>
    <w:multiLevelType w:val="hybridMultilevel"/>
    <w:tmpl w:val="A5320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54E38"/>
    <w:multiLevelType w:val="hybridMultilevel"/>
    <w:tmpl w:val="1704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02CA6"/>
    <w:multiLevelType w:val="hybridMultilevel"/>
    <w:tmpl w:val="3EB28E0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28366022"/>
    <w:multiLevelType w:val="hybridMultilevel"/>
    <w:tmpl w:val="9632ABEE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80A06"/>
    <w:multiLevelType w:val="hybridMultilevel"/>
    <w:tmpl w:val="97F4D6EC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31F4B"/>
    <w:multiLevelType w:val="hybridMultilevel"/>
    <w:tmpl w:val="592080E0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52407"/>
    <w:multiLevelType w:val="hybridMultilevel"/>
    <w:tmpl w:val="95A42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D2B8E"/>
    <w:multiLevelType w:val="hybridMultilevel"/>
    <w:tmpl w:val="56A8CEA0"/>
    <w:lvl w:ilvl="0" w:tplc="9C8E93E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366D3E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965515"/>
    <w:multiLevelType w:val="hybridMultilevel"/>
    <w:tmpl w:val="A2C02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16CCB"/>
    <w:multiLevelType w:val="hybridMultilevel"/>
    <w:tmpl w:val="463CE912"/>
    <w:lvl w:ilvl="0" w:tplc="6F3CC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A1144"/>
    <w:multiLevelType w:val="hybridMultilevel"/>
    <w:tmpl w:val="B952098C"/>
    <w:lvl w:ilvl="0" w:tplc="05B8CF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7E00D0"/>
    <w:multiLevelType w:val="hybridMultilevel"/>
    <w:tmpl w:val="D468255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C1E0AFE"/>
    <w:multiLevelType w:val="hybridMultilevel"/>
    <w:tmpl w:val="E7903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43763"/>
    <w:multiLevelType w:val="hybridMultilevel"/>
    <w:tmpl w:val="3534699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238C"/>
    <w:multiLevelType w:val="hybridMultilevel"/>
    <w:tmpl w:val="F9FAAED8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47C81217"/>
    <w:multiLevelType w:val="multilevel"/>
    <w:tmpl w:val="2BFEF670"/>
    <w:lvl w:ilvl="0">
      <w:start w:val="1"/>
      <w:numFmt w:val="decimal"/>
      <w:lvlText w:val="%1."/>
      <w:lvlJc w:val="left"/>
      <w:pPr>
        <w:ind w:left="760" w:hanging="400"/>
      </w:pPr>
      <w:rPr>
        <w:rFonts w:ascii="Calibri" w:eastAsia="Times New Roman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6."/>
      <w:lvlJc w:val="left"/>
      <w:pPr>
        <w:ind w:left="4320" w:hanging="1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9."/>
      <w:lvlJc w:val="left"/>
      <w:pPr>
        <w:ind w:left="6480" w:hanging="180"/>
      </w:pPr>
      <w:rPr>
        <w:rFonts w:ascii="Calibri" w:eastAsia="Times New Roman" w:hAnsi="Calibri" w:cs="Times New Roman" w:hint="default"/>
        <w:sz w:val="24"/>
      </w:rPr>
    </w:lvl>
  </w:abstractNum>
  <w:abstractNum w:abstractNumId="26">
    <w:nsid w:val="481B0987"/>
    <w:multiLevelType w:val="hybridMultilevel"/>
    <w:tmpl w:val="4D005F20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65B6D"/>
    <w:multiLevelType w:val="hybridMultilevel"/>
    <w:tmpl w:val="6D64FE2A"/>
    <w:lvl w:ilvl="0" w:tplc="8B54A806">
      <w:start w:val="1"/>
      <w:numFmt w:val="bullet"/>
      <w:lvlText w:val=""/>
      <w:lvlJc w:val="left"/>
      <w:pPr>
        <w:ind w:left="11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F2342"/>
    <w:multiLevelType w:val="hybridMultilevel"/>
    <w:tmpl w:val="8C8690E6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43413"/>
    <w:multiLevelType w:val="hybridMultilevel"/>
    <w:tmpl w:val="0F0A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B2ED7"/>
    <w:multiLevelType w:val="hybridMultilevel"/>
    <w:tmpl w:val="5DC25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338D5"/>
    <w:multiLevelType w:val="hybridMultilevel"/>
    <w:tmpl w:val="DC8EDAB0"/>
    <w:lvl w:ilvl="0" w:tplc="C5862E5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56FEA"/>
    <w:multiLevelType w:val="hybridMultilevel"/>
    <w:tmpl w:val="6D4A351C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4737F0"/>
    <w:multiLevelType w:val="hybridMultilevel"/>
    <w:tmpl w:val="7AEAD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B3860"/>
    <w:multiLevelType w:val="hybridMultilevel"/>
    <w:tmpl w:val="B18A7F2E"/>
    <w:lvl w:ilvl="0" w:tplc="73A040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F2F2D"/>
    <w:multiLevelType w:val="hybridMultilevel"/>
    <w:tmpl w:val="050A8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9655A"/>
    <w:multiLevelType w:val="hybridMultilevel"/>
    <w:tmpl w:val="08D40AC8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B15A1"/>
    <w:multiLevelType w:val="hybridMultilevel"/>
    <w:tmpl w:val="FBE89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920A8D"/>
    <w:multiLevelType w:val="hybridMultilevel"/>
    <w:tmpl w:val="DA34A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40B51"/>
    <w:multiLevelType w:val="hybridMultilevel"/>
    <w:tmpl w:val="8E165F88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AA3B42"/>
    <w:multiLevelType w:val="hybridMultilevel"/>
    <w:tmpl w:val="03D8D560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7969B2"/>
    <w:multiLevelType w:val="hybridMultilevel"/>
    <w:tmpl w:val="40AE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8A7247"/>
    <w:multiLevelType w:val="hybridMultilevel"/>
    <w:tmpl w:val="A2C2717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613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F1D08C0"/>
    <w:multiLevelType w:val="hybridMultilevel"/>
    <w:tmpl w:val="DBA84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C236C"/>
    <w:multiLevelType w:val="hybridMultilevel"/>
    <w:tmpl w:val="3C62FFCC"/>
    <w:lvl w:ilvl="0" w:tplc="E806C820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4D163F"/>
    <w:multiLevelType w:val="hybridMultilevel"/>
    <w:tmpl w:val="262A65D6"/>
    <w:lvl w:ilvl="0" w:tplc="C5862E5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E4CB6"/>
    <w:multiLevelType w:val="hybridMultilevel"/>
    <w:tmpl w:val="AFC2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6B4098"/>
    <w:multiLevelType w:val="hybridMultilevel"/>
    <w:tmpl w:val="93FA434E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>
    <w:nsid w:val="7A277841"/>
    <w:multiLevelType w:val="multilevel"/>
    <w:tmpl w:val="2BFEF670"/>
    <w:lvl w:ilvl="0">
      <w:start w:val="1"/>
      <w:numFmt w:val="decimal"/>
      <w:lvlText w:val="%1."/>
      <w:lvlJc w:val="left"/>
      <w:pPr>
        <w:ind w:left="400" w:hanging="400"/>
      </w:pPr>
      <w:rPr>
        <w:rFonts w:ascii="Calibri" w:eastAsia="Times New Roman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3."/>
      <w:lvlJc w:val="left"/>
      <w:pPr>
        <w:ind w:left="1800" w:hanging="18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6."/>
      <w:lvlJc w:val="left"/>
      <w:pPr>
        <w:ind w:left="3960" w:hanging="1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9."/>
      <w:lvlJc w:val="left"/>
      <w:pPr>
        <w:ind w:left="6120" w:hanging="180"/>
      </w:pPr>
      <w:rPr>
        <w:rFonts w:ascii="Calibri" w:eastAsia="Times New Roman" w:hAnsi="Calibri" w:cs="Times New Roman" w:hint="default"/>
        <w:sz w:val="24"/>
      </w:rPr>
    </w:lvl>
  </w:abstractNum>
  <w:abstractNum w:abstractNumId="50">
    <w:nsid w:val="7EB40288"/>
    <w:multiLevelType w:val="hybridMultilevel"/>
    <w:tmpl w:val="85767050"/>
    <w:lvl w:ilvl="0" w:tplc="48A0B20A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0"/>
  </w:num>
  <w:num w:numId="5">
    <w:abstractNumId w:val="20"/>
  </w:num>
  <w:num w:numId="6">
    <w:abstractNumId w:val="49"/>
  </w:num>
  <w:num w:numId="7">
    <w:abstractNumId w:val="34"/>
  </w:num>
  <w:num w:numId="8">
    <w:abstractNumId w:val="30"/>
  </w:num>
  <w:num w:numId="9">
    <w:abstractNumId w:val="18"/>
  </w:num>
  <w:num w:numId="10">
    <w:abstractNumId w:val="35"/>
  </w:num>
  <w:num w:numId="11">
    <w:abstractNumId w:val="47"/>
  </w:num>
  <w:num w:numId="12">
    <w:abstractNumId w:val="31"/>
  </w:num>
  <w:num w:numId="13">
    <w:abstractNumId w:val="46"/>
  </w:num>
  <w:num w:numId="14">
    <w:abstractNumId w:val="7"/>
  </w:num>
  <w:num w:numId="15">
    <w:abstractNumId w:val="44"/>
  </w:num>
  <w:num w:numId="16">
    <w:abstractNumId w:val="17"/>
  </w:num>
  <w:num w:numId="17">
    <w:abstractNumId w:val="43"/>
  </w:num>
  <w:num w:numId="18">
    <w:abstractNumId w:val="27"/>
  </w:num>
  <w:num w:numId="19">
    <w:abstractNumId w:val="38"/>
  </w:num>
  <w:num w:numId="20">
    <w:abstractNumId w:val="4"/>
  </w:num>
  <w:num w:numId="21">
    <w:abstractNumId w:val="13"/>
  </w:num>
  <w:num w:numId="22">
    <w:abstractNumId w:val="1"/>
  </w:num>
  <w:num w:numId="23">
    <w:abstractNumId w:val="14"/>
  </w:num>
  <w:num w:numId="24">
    <w:abstractNumId w:val="2"/>
  </w:num>
  <w:num w:numId="25">
    <w:abstractNumId w:val="39"/>
  </w:num>
  <w:num w:numId="26">
    <w:abstractNumId w:val="8"/>
  </w:num>
  <w:num w:numId="27">
    <w:abstractNumId w:val="12"/>
  </w:num>
  <w:num w:numId="28">
    <w:abstractNumId w:val="0"/>
  </w:num>
  <w:num w:numId="29">
    <w:abstractNumId w:val="45"/>
  </w:num>
  <w:num w:numId="30">
    <w:abstractNumId w:val="3"/>
  </w:num>
  <w:num w:numId="31">
    <w:abstractNumId w:val="26"/>
  </w:num>
  <w:num w:numId="32">
    <w:abstractNumId w:val="32"/>
  </w:num>
  <w:num w:numId="33">
    <w:abstractNumId w:val="36"/>
  </w:num>
  <w:num w:numId="34">
    <w:abstractNumId w:val="21"/>
  </w:num>
  <w:num w:numId="35">
    <w:abstractNumId w:val="22"/>
  </w:num>
  <w:num w:numId="36">
    <w:abstractNumId w:val="48"/>
  </w:num>
  <w:num w:numId="37">
    <w:abstractNumId w:val="33"/>
  </w:num>
  <w:num w:numId="38">
    <w:abstractNumId w:val="29"/>
  </w:num>
  <w:num w:numId="39">
    <w:abstractNumId w:val="24"/>
  </w:num>
  <w:num w:numId="40">
    <w:abstractNumId w:val="11"/>
  </w:num>
  <w:num w:numId="41">
    <w:abstractNumId w:val="15"/>
  </w:num>
  <w:num w:numId="42">
    <w:abstractNumId w:val="9"/>
  </w:num>
  <w:num w:numId="43">
    <w:abstractNumId w:val="42"/>
  </w:num>
  <w:num w:numId="44">
    <w:abstractNumId w:val="50"/>
  </w:num>
  <w:num w:numId="45">
    <w:abstractNumId w:val="6"/>
  </w:num>
  <w:num w:numId="46">
    <w:abstractNumId w:val="28"/>
  </w:num>
  <w:num w:numId="47">
    <w:abstractNumId w:val="40"/>
  </w:num>
  <w:num w:numId="48">
    <w:abstractNumId w:val="16"/>
  </w:num>
  <w:num w:numId="49">
    <w:abstractNumId w:val="23"/>
  </w:num>
  <w:num w:numId="50">
    <w:abstractNumId w:val="37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4A"/>
    <w:rsid w:val="00000C5E"/>
    <w:rsid w:val="000048CC"/>
    <w:rsid w:val="00005C5A"/>
    <w:rsid w:val="000060A4"/>
    <w:rsid w:val="00006A40"/>
    <w:rsid w:val="0000796C"/>
    <w:rsid w:val="00007A61"/>
    <w:rsid w:val="000115AB"/>
    <w:rsid w:val="00011861"/>
    <w:rsid w:val="00011C9B"/>
    <w:rsid w:val="00012332"/>
    <w:rsid w:val="000151C8"/>
    <w:rsid w:val="0001520F"/>
    <w:rsid w:val="00015FD0"/>
    <w:rsid w:val="000173E8"/>
    <w:rsid w:val="000178D5"/>
    <w:rsid w:val="00020C89"/>
    <w:rsid w:val="000230A9"/>
    <w:rsid w:val="000258BA"/>
    <w:rsid w:val="00025C4E"/>
    <w:rsid w:val="000339EE"/>
    <w:rsid w:val="00035454"/>
    <w:rsid w:val="000405FF"/>
    <w:rsid w:val="0004070E"/>
    <w:rsid w:val="0004096A"/>
    <w:rsid w:val="000411E0"/>
    <w:rsid w:val="00041924"/>
    <w:rsid w:val="000440CA"/>
    <w:rsid w:val="00044AFB"/>
    <w:rsid w:val="00044BF7"/>
    <w:rsid w:val="00046BC9"/>
    <w:rsid w:val="0005003F"/>
    <w:rsid w:val="00050A33"/>
    <w:rsid w:val="000546D5"/>
    <w:rsid w:val="000549D0"/>
    <w:rsid w:val="000550E9"/>
    <w:rsid w:val="00057E60"/>
    <w:rsid w:val="00063A12"/>
    <w:rsid w:val="00066CB1"/>
    <w:rsid w:val="00066DA2"/>
    <w:rsid w:val="0006788C"/>
    <w:rsid w:val="0007045A"/>
    <w:rsid w:val="0007159B"/>
    <w:rsid w:val="000734A0"/>
    <w:rsid w:val="00073CFA"/>
    <w:rsid w:val="00074A5F"/>
    <w:rsid w:val="00076E2D"/>
    <w:rsid w:val="00080BA3"/>
    <w:rsid w:val="00081EB8"/>
    <w:rsid w:val="0008292E"/>
    <w:rsid w:val="000866A1"/>
    <w:rsid w:val="00087806"/>
    <w:rsid w:val="00090276"/>
    <w:rsid w:val="000943BD"/>
    <w:rsid w:val="000A00B1"/>
    <w:rsid w:val="000A4355"/>
    <w:rsid w:val="000A4A36"/>
    <w:rsid w:val="000A59C1"/>
    <w:rsid w:val="000B0A55"/>
    <w:rsid w:val="000B0ED6"/>
    <w:rsid w:val="000B12B2"/>
    <w:rsid w:val="000B1974"/>
    <w:rsid w:val="000B77BB"/>
    <w:rsid w:val="000C021D"/>
    <w:rsid w:val="000C13D8"/>
    <w:rsid w:val="000C1F4E"/>
    <w:rsid w:val="000C26B0"/>
    <w:rsid w:val="000C2F38"/>
    <w:rsid w:val="000C63AA"/>
    <w:rsid w:val="000C6A22"/>
    <w:rsid w:val="000D0607"/>
    <w:rsid w:val="000D19AB"/>
    <w:rsid w:val="000D1B48"/>
    <w:rsid w:val="000D1D96"/>
    <w:rsid w:val="000D1EC3"/>
    <w:rsid w:val="000D48B8"/>
    <w:rsid w:val="000D60F6"/>
    <w:rsid w:val="000D724A"/>
    <w:rsid w:val="000E0CF7"/>
    <w:rsid w:val="000E10DC"/>
    <w:rsid w:val="000E163F"/>
    <w:rsid w:val="000E21E7"/>
    <w:rsid w:val="000E533F"/>
    <w:rsid w:val="000E63CE"/>
    <w:rsid w:val="000E7781"/>
    <w:rsid w:val="000F2B6A"/>
    <w:rsid w:val="000F313A"/>
    <w:rsid w:val="000F35DB"/>
    <w:rsid w:val="000F3620"/>
    <w:rsid w:val="000F3C59"/>
    <w:rsid w:val="000F5258"/>
    <w:rsid w:val="000F6007"/>
    <w:rsid w:val="000F64CC"/>
    <w:rsid w:val="000F6695"/>
    <w:rsid w:val="000F6932"/>
    <w:rsid w:val="000F6FE8"/>
    <w:rsid w:val="001017E6"/>
    <w:rsid w:val="001028BF"/>
    <w:rsid w:val="00104F1C"/>
    <w:rsid w:val="00105318"/>
    <w:rsid w:val="00112764"/>
    <w:rsid w:val="001134D3"/>
    <w:rsid w:val="00114139"/>
    <w:rsid w:val="0011456B"/>
    <w:rsid w:val="00114692"/>
    <w:rsid w:val="001146AF"/>
    <w:rsid w:val="00115031"/>
    <w:rsid w:val="001158EF"/>
    <w:rsid w:val="0011655F"/>
    <w:rsid w:val="0012164A"/>
    <w:rsid w:val="00122C91"/>
    <w:rsid w:val="00122F10"/>
    <w:rsid w:val="001236C3"/>
    <w:rsid w:val="001237A6"/>
    <w:rsid w:val="0012478E"/>
    <w:rsid w:val="00124B0A"/>
    <w:rsid w:val="00127C75"/>
    <w:rsid w:val="001325B6"/>
    <w:rsid w:val="00134156"/>
    <w:rsid w:val="001369C4"/>
    <w:rsid w:val="00137867"/>
    <w:rsid w:val="00137AE7"/>
    <w:rsid w:val="00142695"/>
    <w:rsid w:val="001429D0"/>
    <w:rsid w:val="00142E50"/>
    <w:rsid w:val="00144120"/>
    <w:rsid w:val="001441E2"/>
    <w:rsid w:val="0014462F"/>
    <w:rsid w:val="00146719"/>
    <w:rsid w:val="00146BEA"/>
    <w:rsid w:val="00147885"/>
    <w:rsid w:val="00150131"/>
    <w:rsid w:val="00151D0B"/>
    <w:rsid w:val="00152056"/>
    <w:rsid w:val="00152905"/>
    <w:rsid w:val="00152C16"/>
    <w:rsid w:val="00153335"/>
    <w:rsid w:val="00154A12"/>
    <w:rsid w:val="00154D6D"/>
    <w:rsid w:val="00155C8C"/>
    <w:rsid w:val="00156AED"/>
    <w:rsid w:val="00157741"/>
    <w:rsid w:val="001609ED"/>
    <w:rsid w:val="00161D9D"/>
    <w:rsid w:val="0016425B"/>
    <w:rsid w:val="001647D7"/>
    <w:rsid w:val="00166912"/>
    <w:rsid w:val="0016734C"/>
    <w:rsid w:val="00167A39"/>
    <w:rsid w:val="00167C80"/>
    <w:rsid w:val="00170CFE"/>
    <w:rsid w:val="00173DB0"/>
    <w:rsid w:val="00175009"/>
    <w:rsid w:val="0017552D"/>
    <w:rsid w:val="00177593"/>
    <w:rsid w:val="0018037F"/>
    <w:rsid w:val="00180E50"/>
    <w:rsid w:val="00182DC6"/>
    <w:rsid w:val="00182FE1"/>
    <w:rsid w:val="0018465F"/>
    <w:rsid w:val="0018548C"/>
    <w:rsid w:val="00187146"/>
    <w:rsid w:val="00190237"/>
    <w:rsid w:val="00190D4A"/>
    <w:rsid w:val="00190F62"/>
    <w:rsid w:val="001912D4"/>
    <w:rsid w:val="00195137"/>
    <w:rsid w:val="00195335"/>
    <w:rsid w:val="00195403"/>
    <w:rsid w:val="00195531"/>
    <w:rsid w:val="001957E6"/>
    <w:rsid w:val="00196299"/>
    <w:rsid w:val="00196680"/>
    <w:rsid w:val="00197C27"/>
    <w:rsid w:val="001A016B"/>
    <w:rsid w:val="001A018E"/>
    <w:rsid w:val="001A2A45"/>
    <w:rsid w:val="001A3337"/>
    <w:rsid w:val="001A3874"/>
    <w:rsid w:val="001A45BA"/>
    <w:rsid w:val="001A5D52"/>
    <w:rsid w:val="001A64E8"/>
    <w:rsid w:val="001A6A32"/>
    <w:rsid w:val="001B1F5D"/>
    <w:rsid w:val="001B4255"/>
    <w:rsid w:val="001B6FA9"/>
    <w:rsid w:val="001B7936"/>
    <w:rsid w:val="001C03A8"/>
    <w:rsid w:val="001C05F7"/>
    <w:rsid w:val="001C202D"/>
    <w:rsid w:val="001C27C4"/>
    <w:rsid w:val="001C30CC"/>
    <w:rsid w:val="001C51EB"/>
    <w:rsid w:val="001C656C"/>
    <w:rsid w:val="001C67DF"/>
    <w:rsid w:val="001C7366"/>
    <w:rsid w:val="001C7734"/>
    <w:rsid w:val="001D04DB"/>
    <w:rsid w:val="001D0A05"/>
    <w:rsid w:val="001D0B73"/>
    <w:rsid w:val="001D0CB4"/>
    <w:rsid w:val="001D1E04"/>
    <w:rsid w:val="001D1E44"/>
    <w:rsid w:val="001D60E0"/>
    <w:rsid w:val="001E0A95"/>
    <w:rsid w:val="001E28AC"/>
    <w:rsid w:val="001E327E"/>
    <w:rsid w:val="001E6411"/>
    <w:rsid w:val="001E7F9A"/>
    <w:rsid w:val="001F1E10"/>
    <w:rsid w:val="001F2424"/>
    <w:rsid w:val="001F2607"/>
    <w:rsid w:val="001F2A9E"/>
    <w:rsid w:val="001F2FD1"/>
    <w:rsid w:val="001F3D39"/>
    <w:rsid w:val="001F4618"/>
    <w:rsid w:val="001F6FAB"/>
    <w:rsid w:val="001F700F"/>
    <w:rsid w:val="001F7A8E"/>
    <w:rsid w:val="00200955"/>
    <w:rsid w:val="00201AD1"/>
    <w:rsid w:val="00202443"/>
    <w:rsid w:val="0020289C"/>
    <w:rsid w:val="00203F78"/>
    <w:rsid w:val="00206981"/>
    <w:rsid w:val="00207501"/>
    <w:rsid w:val="00207A24"/>
    <w:rsid w:val="00207B13"/>
    <w:rsid w:val="0021027F"/>
    <w:rsid w:val="002118B9"/>
    <w:rsid w:val="002133EB"/>
    <w:rsid w:val="0021468D"/>
    <w:rsid w:val="0021582F"/>
    <w:rsid w:val="00215D21"/>
    <w:rsid w:val="00217D28"/>
    <w:rsid w:val="00222061"/>
    <w:rsid w:val="002222AF"/>
    <w:rsid w:val="002264FE"/>
    <w:rsid w:val="00226626"/>
    <w:rsid w:val="002307D8"/>
    <w:rsid w:val="00231971"/>
    <w:rsid w:val="00232628"/>
    <w:rsid w:val="00233428"/>
    <w:rsid w:val="00235D83"/>
    <w:rsid w:val="002375EF"/>
    <w:rsid w:val="0024355B"/>
    <w:rsid w:val="002464D7"/>
    <w:rsid w:val="002464F0"/>
    <w:rsid w:val="0024771B"/>
    <w:rsid w:val="002479C2"/>
    <w:rsid w:val="002519E4"/>
    <w:rsid w:val="002522B8"/>
    <w:rsid w:val="0025349D"/>
    <w:rsid w:val="00253B4F"/>
    <w:rsid w:val="002604F1"/>
    <w:rsid w:val="00260D61"/>
    <w:rsid w:val="00261B9F"/>
    <w:rsid w:val="00261F74"/>
    <w:rsid w:val="00262991"/>
    <w:rsid w:val="00262B97"/>
    <w:rsid w:val="002661D9"/>
    <w:rsid w:val="002709E0"/>
    <w:rsid w:val="00274C47"/>
    <w:rsid w:val="0027511A"/>
    <w:rsid w:val="0028175E"/>
    <w:rsid w:val="0028400A"/>
    <w:rsid w:val="00284780"/>
    <w:rsid w:val="002847AD"/>
    <w:rsid w:val="002854E1"/>
    <w:rsid w:val="00285B66"/>
    <w:rsid w:val="00287FE3"/>
    <w:rsid w:val="00292541"/>
    <w:rsid w:val="0029257E"/>
    <w:rsid w:val="00292AE2"/>
    <w:rsid w:val="002935D2"/>
    <w:rsid w:val="00296303"/>
    <w:rsid w:val="00296849"/>
    <w:rsid w:val="0029705B"/>
    <w:rsid w:val="00297836"/>
    <w:rsid w:val="002A12E7"/>
    <w:rsid w:val="002A1FB0"/>
    <w:rsid w:val="002A445D"/>
    <w:rsid w:val="002A49C7"/>
    <w:rsid w:val="002A4F23"/>
    <w:rsid w:val="002A4FCC"/>
    <w:rsid w:val="002A5F53"/>
    <w:rsid w:val="002A7D0A"/>
    <w:rsid w:val="002A7F4F"/>
    <w:rsid w:val="002B1849"/>
    <w:rsid w:val="002B1CD2"/>
    <w:rsid w:val="002B31B7"/>
    <w:rsid w:val="002B49C5"/>
    <w:rsid w:val="002B4D37"/>
    <w:rsid w:val="002B699D"/>
    <w:rsid w:val="002B79E9"/>
    <w:rsid w:val="002C0C14"/>
    <w:rsid w:val="002C1D18"/>
    <w:rsid w:val="002C26E0"/>
    <w:rsid w:val="002C3D6B"/>
    <w:rsid w:val="002C45BE"/>
    <w:rsid w:val="002C4E48"/>
    <w:rsid w:val="002C602C"/>
    <w:rsid w:val="002C6617"/>
    <w:rsid w:val="002D1F99"/>
    <w:rsid w:val="002D3350"/>
    <w:rsid w:val="002D5E36"/>
    <w:rsid w:val="002D61A3"/>
    <w:rsid w:val="002D64DC"/>
    <w:rsid w:val="002D6927"/>
    <w:rsid w:val="002E138D"/>
    <w:rsid w:val="002E1D0E"/>
    <w:rsid w:val="002E1D90"/>
    <w:rsid w:val="002E1DCB"/>
    <w:rsid w:val="002E2042"/>
    <w:rsid w:val="002E2482"/>
    <w:rsid w:val="002E4A76"/>
    <w:rsid w:val="002E6448"/>
    <w:rsid w:val="002F0C87"/>
    <w:rsid w:val="002F20DA"/>
    <w:rsid w:val="002F2811"/>
    <w:rsid w:val="002F2EC5"/>
    <w:rsid w:val="002F37DF"/>
    <w:rsid w:val="002F60FD"/>
    <w:rsid w:val="002F6AD0"/>
    <w:rsid w:val="002F7A17"/>
    <w:rsid w:val="003003DE"/>
    <w:rsid w:val="00300CD9"/>
    <w:rsid w:val="00302D95"/>
    <w:rsid w:val="00304350"/>
    <w:rsid w:val="00306504"/>
    <w:rsid w:val="00306986"/>
    <w:rsid w:val="00307AB7"/>
    <w:rsid w:val="0031459B"/>
    <w:rsid w:val="003160BB"/>
    <w:rsid w:val="003228CC"/>
    <w:rsid w:val="00322A87"/>
    <w:rsid w:val="00323D44"/>
    <w:rsid w:val="00324AA4"/>
    <w:rsid w:val="003254C3"/>
    <w:rsid w:val="003257A2"/>
    <w:rsid w:val="003259D7"/>
    <w:rsid w:val="00325E70"/>
    <w:rsid w:val="003302CB"/>
    <w:rsid w:val="00330552"/>
    <w:rsid w:val="00332863"/>
    <w:rsid w:val="003366FA"/>
    <w:rsid w:val="003375D5"/>
    <w:rsid w:val="0033779D"/>
    <w:rsid w:val="00337B2F"/>
    <w:rsid w:val="00341044"/>
    <w:rsid w:val="0034176D"/>
    <w:rsid w:val="003419D3"/>
    <w:rsid w:val="00341E00"/>
    <w:rsid w:val="00342291"/>
    <w:rsid w:val="00343063"/>
    <w:rsid w:val="0034614C"/>
    <w:rsid w:val="00346664"/>
    <w:rsid w:val="003468C4"/>
    <w:rsid w:val="00346D55"/>
    <w:rsid w:val="00346FCA"/>
    <w:rsid w:val="00350737"/>
    <w:rsid w:val="00351482"/>
    <w:rsid w:val="00351AF4"/>
    <w:rsid w:val="00352476"/>
    <w:rsid w:val="00352E9C"/>
    <w:rsid w:val="00354AE2"/>
    <w:rsid w:val="00355B20"/>
    <w:rsid w:val="00356699"/>
    <w:rsid w:val="00356DB3"/>
    <w:rsid w:val="00360282"/>
    <w:rsid w:val="00360A1F"/>
    <w:rsid w:val="00361497"/>
    <w:rsid w:val="00363309"/>
    <w:rsid w:val="003636AA"/>
    <w:rsid w:val="00363B72"/>
    <w:rsid w:val="0036666F"/>
    <w:rsid w:val="00367769"/>
    <w:rsid w:val="00370204"/>
    <w:rsid w:val="0037299C"/>
    <w:rsid w:val="00375EB5"/>
    <w:rsid w:val="00376E3E"/>
    <w:rsid w:val="003772F2"/>
    <w:rsid w:val="00377850"/>
    <w:rsid w:val="00377E99"/>
    <w:rsid w:val="00380C6A"/>
    <w:rsid w:val="00381ACA"/>
    <w:rsid w:val="00383C95"/>
    <w:rsid w:val="00385341"/>
    <w:rsid w:val="00385CA6"/>
    <w:rsid w:val="0039133D"/>
    <w:rsid w:val="003918CB"/>
    <w:rsid w:val="00392C49"/>
    <w:rsid w:val="00393AB1"/>
    <w:rsid w:val="00393CA5"/>
    <w:rsid w:val="00395546"/>
    <w:rsid w:val="00396B46"/>
    <w:rsid w:val="003973FF"/>
    <w:rsid w:val="0039795E"/>
    <w:rsid w:val="003A115A"/>
    <w:rsid w:val="003A1929"/>
    <w:rsid w:val="003A2A8E"/>
    <w:rsid w:val="003A2E54"/>
    <w:rsid w:val="003A46B5"/>
    <w:rsid w:val="003A6592"/>
    <w:rsid w:val="003A74C3"/>
    <w:rsid w:val="003A7D17"/>
    <w:rsid w:val="003A7EC1"/>
    <w:rsid w:val="003B0D5C"/>
    <w:rsid w:val="003B4035"/>
    <w:rsid w:val="003B4D05"/>
    <w:rsid w:val="003B5FEB"/>
    <w:rsid w:val="003B702C"/>
    <w:rsid w:val="003B74F5"/>
    <w:rsid w:val="003B7821"/>
    <w:rsid w:val="003B7D94"/>
    <w:rsid w:val="003C0C94"/>
    <w:rsid w:val="003C2699"/>
    <w:rsid w:val="003C2A25"/>
    <w:rsid w:val="003C405C"/>
    <w:rsid w:val="003C4BA0"/>
    <w:rsid w:val="003C6F05"/>
    <w:rsid w:val="003D1010"/>
    <w:rsid w:val="003D31B3"/>
    <w:rsid w:val="003D629E"/>
    <w:rsid w:val="003D6D59"/>
    <w:rsid w:val="003D7285"/>
    <w:rsid w:val="003E01FE"/>
    <w:rsid w:val="003E03E9"/>
    <w:rsid w:val="003E0538"/>
    <w:rsid w:val="003E3192"/>
    <w:rsid w:val="003E4029"/>
    <w:rsid w:val="003E675D"/>
    <w:rsid w:val="003E7474"/>
    <w:rsid w:val="003E7E96"/>
    <w:rsid w:val="003F2ADE"/>
    <w:rsid w:val="003F332F"/>
    <w:rsid w:val="003F39AB"/>
    <w:rsid w:val="003F3AA6"/>
    <w:rsid w:val="003F3E83"/>
    <w:rsid w:val="003F7139"/>
    <w:rsid w:val="003F78BB"/>
    <w:rsid w:val="00400499"/>
    <w:rsid w:val="00400FC8"/>
    <w:rsid w:val="00402908"/>
    <w:rsid w:val="00402A56"/>
    <w:rsid w:val="004056C5"/>
    <w:rsid w:val="00406A81"/>
    <w:rsid w:val="00406C4E"/>
    <w:rsid w:val="0040752B"/>
    <w:rsid w:val="00407D68"/>
    <w:rsid w:val="004106F3"/>
    <w:rsid w:val="00413328"/>
    <w:rsid w:val="00413EA6"/>
    <w:rsid w:val="004148F4"/>
    <w:rsid w:val="00414DD6"/>
    <w:rsid w:val="00414E99"/>
    <w:rsid w:val="00415984"/>
    <w:rsid w:val="00415A4C"/>
    <w:rsid w:val="004162DC"/>
    <w:rsid w:val="00416343"/>
    <w:rsid w:val="00416697"/>
    <w:rsid w:val="00416815"/>
    <w:rsid w:val="004212F8"/>
    <w:rsid w:val="00422A88"/>
    <w:rsid w:val="004243C8"/>
    <w:rsid w:val="00424F79"/>
    <w:rsid w:val="00427696"/>
    <w:rsid w:val="00430C8D"/>
    <w:rsid w:val="00430D90"/>
    <w:rsid w:val="004330C1"/>
    <w:rsid w:val="004337F0"/>
    <w:rsid w:val="00437464"/>
    <w:rsid w:val="00437964"/>
    <w:rsid w:val="0044183E"/>
    <w:rsid w:val="004422D1"/>
    <w:rsid w:val="004422F2"/>
    <w:rsid w:val="00442B97"/>
    <w:rsid w:val="00442D8E"/>
    <w:rsid w:val="00443687"/>
    <w:rsid w:val="00444921"/>
    <w:rsid w:val="0044501F"/>
    <w:rsid w:val="00445651"/>
    <w:rsid w:val="00445653"/>
    <w:rsid w:val="00445DA1"/>
    <w:rsid w:val="004461DC"/>
    <w:rsid w:val="004468D0"/>
    <w:rsid w:val="00450F36"/>
    <w:rsid w:val="004525F2"/>
    <w:rsid w:val="00452CD3"/>
    <w:rsid w:val="004545BE"/>
    <w:rsid w:val="00456AD5"/>
    <w:rsid w:val="00456BCF"/>
    <w:rsid w:val="0046178C"/>
    <w:rsid w:val="00461B17"/>
    <w:rsid w:val="00461B21"/>
    <w:rsid w:val="00461D5B"/>
    <w:rsid w:val="004626F9"/>
    <w:rsid w:val="00462D47"/>
    <w:rsid w:val="00467279"/>
    <w:rsid w:val="004672EE"/>
    <w:rsid w:val="004715B3"/>
    <w:rsid w:val="00471FDC"/>
    <w:rsid w:val="00472316"/>
    <w:rsid w:val="004724B6"/>
    <w:rsid w:val="004757CF"/>
    <w:rsid w:val="00476C49"/>
    <w:rsid w:val="00477BF2"/>
    <w:rsid w:val="004804E0"/>
    <w:rsid w:val="00480D23"/>
    <w:rsid w:val="00480EFE"/>
    <w:rsid w:val="00481F4F"/>
    <w:rsid w:val="004821F3"/>
    <w:rsid w:val="00482C59"/>
    <w:rsid w:val="00485C39"/>
    <w:rsid w:val="00486200"/>
    <w:rsid w:val="0049042D"/>
    <w:rsid w:val="0049061A"/>
    <w:rsid w:val="00492CAD"/>
    <w:rsid w:val="00494E7E"/>
    <w:rsid w:val="00494F3A"/>
    <w:rsid w:val="004951D3"/>
    <w:rsid w:val="004955AB"/>
    <w:rsid w:val="00495983"/>
    <w:rsid w:val="004959E6"/>
    <w:rsid w:val="004966E2"/>
    <w:rsid w:val="004A22AD"/>
    <w:rsid w:val="004A269D"/>
    <w:rsid w:val="004A40D8"/>
    <w:rsid w:val="004A5D36"/>
    <w:rsid w:val="004A74D3"/>
    <w:rsid w:val="004A7AD0"/>
    <w:rsid w:val="004B32B3"/>
    <w:rsid w:val="004B372D"/>
    <w:rsid w:val="004B503B"/>
    <w:rsid w:val="004B505A"/>
    <w:rsid w:val="004B770C"/>
    <w:rsid w:val="004C01CD"/>
    <w:rsid w:val="004C0725"/>
    <w:rsid w:val="004C0736"/>
    <w:rsid w:val="004C0CF2"/>
    <w:rsid w:val="004C13FC"/>
    <w:rsid w:val="004C1972"/>
    <w:rsid w:val="004C3BA1"/>
    <w:rsid w:val="004C56F9"/>
    <w:rsid w:val="004C6272"/>
    <w:rsid w:val="004C712C"/>
    <w:rsid w:val="004C7F50"/>
    <w:rsid w:val="004D044D"/>
    <w:rsid w:val="004D1007"/>
    <w:rsid w:val="004D24F4"/>
    <w:rsid w:val="004D4E19"/>
    <w:rsid w:val="004D5518"/>
    <w:rsid w:val="004D552B"/>
    <w:rsid w:val="004D5889"/>
    <w:rsid w:val="004D7C68"/>
    <w:rsid w:val="004E262C"/>
    <w:rsid w:val="004E34C5"/>
    <w:rsid w:val="004E41E8"/>
    <w:rsid w:val="004E4799"/>
    <w:rsid w:val="004E5A45"/>
    <w:rsid w:val="004E63A3"/>
    <w:rsid w:val="004E7E74"/>
    <w:rsid w:val="004F1C84"/>
    <w:rsid w:val="004F2C3B"/>
    <w:rsid w:val="004F314D"/>
    <w:rsid w:val="004F4429"/>
    <w:rsid w:val="00501257"/>
    <w:rsid w:val="0050196C"/>
    <w:rsid w:val="00504C97"/>
    <w:rsid w:val="00505B7C"/>
    <w:rsid w:val="005064CC"/>
    <w:rsid w:val="005079EF"/>
    <w:rsid w:val="00510AB2"/>
    <w:rsid w:val="00512054"/>
    <w:rsid w:val="00512BC9"/>
    <w:rsid w:val="005175AD"/>
    <w:rsid w:val="0051766D"/>
    <w:rsid w:val="00520450"/>
    <w:rsid w:val="0052312D"/>
    <w:rsid w:val="00525402"/>
    <w:rsid w:val="00526747"/>
    <w:rsid w:val="0052769B"/>
    <w:rsid w:val="00527A2C"/>
    <w:rsid w:val="00531541"/>
    <w:rsid w:val="005326EF"/>
    <w:rsid w:val="0053327B"/>
    <w:rsid w:val="005334E2"/>
    <w:rsid w:val="00533817"/>
    <w:rsid w:val="0053482C"/>
    <w:rsid w:val="00534C47"/>
    <w:rsid w:val="00542041"/>
    <w:rsid w:val="00542F53"/>
    <w:rsid w:val="00543D6E"/>
    <w:rsid w:val="0054491F"/>
    <w:rsid w:val="00544ADA"/>
    <w:rsid w:val="00547A80"/>
    <w:rsid w:val="00550685"/>
    <w:rsid w:val="0055087B"/>
    <w:rsid w:val="0055153E"/>
    <w:rsid w:val="005522BD"/>
    <w:rsid w:val="00552420"/>
    <w:rsid w:val="005524B6"/>
    <w:rsid w:val="00554B9D"/>
    <w:rsid w:val="00555027"/>
    <w:rsid w:val="00555DC2"/>
    <w:rsid w:val="00556AD2"/>
    <w:rsid w:val="00557F9D"/>
    <w:rsid w:val="0056067A"/>
    <w:rsid w:val="00561B67"/>
    <w:rsid w:val="00561D3B"/>
    <w:rsid w:val="00561E13"/>
    <w:rsid w:val="00562443"/>
    <w:rsid w:val="005628BB"/>
    <w:rsid w:val="00562B16"/>
    <w:rsid w:val="00562CD7"/>
    <w:rsid w:val="0056356D"/>
    <w:rsid w:val="0056412E"/>
    <w:rsid w:val="005656B2"/>
    <w:rsid w:val="0056710B"/>
    <w:rsid w:val="00567AD7"/>
    <w:rsid w:val="00567E7A"/>
    <w:rsid w:val="00570EEC"/>
    <w:rsid w:val="00571757"/>
    <w:rsid w:val="00572588"/>
    <w:rsid w:val="0057272E"/>
    <w:rsid w:val="00572BD5"/>
    <w:rsid w:val="005731FD"/>
    <w:rsid w:val="0057621A"/>
    <w:rsid w:val="005767C7"/>
    <w:rsid w:val="00576894"/>
    <w:rsid w:val="0058155C"/>
    <w:rsid w:val="00581F51"/>
    <w:rsid w:val="0058414A"/>
    <w:rsid w:val="00586FDA"/>
    <w:rsid w:val="005871F2"/>
    <w:rsid w:val="00590A3F"/>
    <w:rsid w:val="00591578"/>
    <w:rsid w:val="0059189B"/>
    <w:rsid w:val="0059276E"/>
    <w:rsid w:val="00593A5C"/>
    <w:rsid w:val="00595ED4"/>
    <w:rsid w:val="00596966"/>
    <w:rsid w:val="00597A12"/>
    <w:rsid w:val="005A4613"/>
    <w:rsid w:val="005A5D14"/>
    <w:rsid w:val="005A62F1"/>
    <w:rsid w:val="005A6914"/>
    <w:rsid w:val="005B1063"/>
    <w:rsid w:val="005B10A3"/>
    <w:rsid w:val="005B13F7"/>
    <w:rsid w:val="005B278A"/>
    <w:rsid w:val="005B2E67"/>
    <w:rsid w:val="005C159E"/>
    <w:rsid w:val="005C3C5D"/>
    <w:rsid w:val="005C3D05"/>
    <w:rsid w:val="005C3DE5"/>
    <w:rsid w:val="005D150B"/>
    <w:rsid w:val="005D2A05"/>
    <w:rsid w:val="005D542E"/>
    <w:rsid w:val="005D62C2"/>
    <w:rsid w:val="005E013C"/>
    <w:rsid w:val="005E0198"/>
    <w:rsid w:val="005E0D76"/>
    <w:rsid w:val="005E144B"/>
    <w:rsid w:val="005E1E4B"/>
    <w:rsid w:val="005E1F81"/>
    <w:rsid w:val="005E2B57"/>
    <w:rsid w:val="005E3921"/>
    <w:rsid w:val="005E3F4A"/>
    <w:rsid w:val="005E44C0"/>
    <w:rsid w:val="005E5039"/>
    <w:rsid w:val="005E6151"/>
    <w:rsid w:val="005E69C2"/>
    <w:rsid w:val="005F0BDE"/>
    <w:rsid w:val="005F1F29"/>
    <w:rsid w:val="005F37D8"/>
    <w:rsid w:val="005F4F7B"/>
    <w:rsid w:val="005F5421"/>
    <w:rsid w:val="005F5CC7"/>
    <w:rsid w:val="005F5F01"/>
    <w:rsid w:val="005F6491"/>
    <w:rsid w:val="005F6B2E"/>
    <w:rsid w:val="0060001F"/>
    <w:rsid w:val="00600DF6"/>
    <w:rsid w:val="00603A90"/>
    <w:rsid w:val="0060609D"/>
    <w:rsid w:val="00606B67"/>
    <w:rsid w:val="006106A4"/>
    <w:rsid w:val="00611F33"/>
    <w:rsid w:val="00612867"/>
    <w:rsid w:val="00612EDD"/>
    <w:rsid w:val="0061498F"/>
    <w:rsid w:val="00614CAF"/>
    <w:rsid w:val="006165E7"/>
    <w:rsid w:val="00617CD2"/>
    <w:rsid w:val="00620FCB"/>
    <w:rsid w:val="00623139"/>
    <w:rsid w:val="006235FB"/>
    <w:rsid w:val="0062398B"/>
    <w:rsid w:val="00626382"/>
    <w:rsid w:val="00626966"/>
    <w:rsid w:val="006335D8"/>
    <w:rsid w:val="00640518"/>
    <w:rsid w:val="006432C4"/>
    <w:rsid w:val="00645C7D"/>
    <w:rsid w:val="00650F77"/>
    <w:rsid w:val="00652619"/>
    <w:rsid w:val="00653530"/>
    <w:rsid w:val="00654224"/>
    <w:rsid w:val="00654C4C"/>
    <w:rsid w:val="00654EAF"/>
    <w:rsid w:val="00656408"/>
    <w:rsid w:val="006566F1"/>
    <w:rsid w:val="00657E75"/>
    <w:rsid w:val="00661410"/>
    <w:rsid w:val="00662FD8"/>
    <w:rsid w:val="00665C25"/>
    <w:rsid w:val="00670167"/>
    <w:rsid w:val="006729F0"/>
    <w:rsid w:val="006732CB"/>
    <w:rsid w:val="00673B99"/>
    <w:rsid w:val="00675532"/>
    <w:rsid w:val="00677167"/>
    <w:rsid w:val="006774DB"/>
    <w:rsid w:val="00677ECB"/>
    <w:rsid w:val="00681DDB"/>
    <w:rsid w:val="00681FB6"/>
    <w:rsid w:val="00682E91"/>
    <w:rsid w:val="006831B4"/>
    <w:rsid w:val="006833A3"/>
    <w:rsid w:val="00683662"/>
    <w:rsid w:val="00684CD3"/>
    <w:rsid w:val="00684DFC"/>
    <w:rsid w:val="006850B5"/>
    <w:rsid w:val="00685894"/>
    <w:rsid w:val="00685E7A"/>
    <w:rsid w:val="006863DA"/>
    <w:rsid w:val="00686A05"/>
    <w:rsid w:val="00686E4C"/>
    <w:rsid w:val="0068708F"/>
    <w:rsid w:val="00687A3A"/>
    <w:rsid w:val="0069017C"/>
    <w:rsid w:val="006902EE"/>
    <w:rsid w:val="006914E3"/>
    <w:rsid w:val="00692D3A"/>
    <w:rsid w:val="0069632C"/>
    <w:rsid w:val="006964E2"/>
    <w:rsid w:val="006971B9"/>
    <w:rsid w:val="00697DD8"/>
    <w:rsid w:val="006A1004"/>
    <w:rsid w:val="006A2DD3"/>
    <w:rsid w:val="006A4459"/>
    <w:rsid w:val="006A5085"/>
    <w:rsid w:val="006A665D"/>
    <w:rsid w:val="006A6F08"/>
    <w:rsid w:val="006A7E7E"/>
    <w:rsid w:val="006B11DA"/>
    <w:rsid w:val="006B1C58"/>
    <w:rsid w:val="006B258F"/>
    <w:rsid w:val="006B43FC"/>
    <w:rsid w:val="006B4C9D"/>
    <w:rsid w:val="006B6924"/>
    <w:rsid w:val="006B73CA"/>
    <w:rsid w:val="006B77E2"/>
    <w:rsid w:val="006C1F3B"/>
    <w:rsid w:val="006C444C"/>
    <w:rsid w:val="006C491F"/>
    <w:rsid w:val="006C4D78"/>
    <w:rsid w:val="006C55BA"/>
    <w:rsid w:val="006D23FC"/>
    <w:rsid w:val="006D31F5"/>
    <w:rsid w:val="006D402E"/>
    <w:rsid w:val="006D5591"/>
    <w:rsid w:val="006E0B07"/>
    <w:rsid w:val="006E2192"/>
    <w:rsid w:val="006E3583"/>
    <w:rsid w:val="006E49E8"/>
    <w:rsid w:val="006E5DE0"/>
    <w:rsid w:val="006E676C"/>
    <w:rsid w:val="006F0550"/>
    <w:rsid w:val="006F0BCE"/>
    <w:rsid w:val="006F1376"/>
    <w:rsid w:val="006F1CC0"/>
    <w:rsid w:val="006F3617"/>
    <w:rsid w:val="006F3D72"/>
    <w:rsid w:val="006F41DF"/>
    <w:rsid w:val="006F4CCD"/>
    <w:rsid w:val="006F5086"/>
    <w:rsid w:val="006F55AD"/>
    <w:rsid w:val="006F7DB0"/>
    <w:rsid w:val="00702D0B"/>
    <w:rsid w:val="00702EF3"/>
    <w:rsid w:val="00703E0B"/>
    <w:rsid w:val="00704A53"/>
    <w:rsid w:val="00707EAD"/>
    <w:rsid w:val="00711AEE"/>
    <w:rsid w:val="00712E2C"/>
    <w:rsid w:val="00713335"/>
    <w:rsid w:val="007139FE"/>
    <w:rsid w:val="00713D2D"/>
    <w:rsid w:val="0071488E"/>
    <w:rsid w:val="00715040"/>
    <w:rsid w:val="00716F51"/>
    <w:rsid w:val="007178D8"/>
    <w:rsid w:val="007208B7"/>
    <w:rsid w:val="00720BF8"/>
    <w:rsid w:val="00720CCE"/>
    <w:rsid w:val="007228AD"/>
    <w:rsid w:val="007228FC"/>
    <w:rsid w:val="007251F8"/>
    <w:rsid w:val="007310A3"/>
    <w:rsid w:val="00731647"/>
    <w:rsid w:val="007318F6"/>
    <w:rsid w:val="00731BAC"/>
    <w:rsid w:val="00733998"/>
    <w:rsid w:val="0073538E"/>
    <w:rsid w:val="0073577B"/>
    <w:rsid w:val="007358C1"/>
    <w:rsid w:val="00736D74"/>
    <w:rsid w:val="00737F7D"/>
    <w:rsid w:val="00740078"/>
    <w:rsid w:val="00740AE3"/>
    <w:rsid w:val="00740CF5"/>
    <w:rsid w:val="0074212A"/>
    <w:rsid w:val="00743C6A"/>
    <w:rsid w:val="0074519E"/>
    <w:rsid w:val="00745BD8"/>
    <w:rsid w:val="00746B9B"/>
    <w:rsid w:val="00750A60"/>
    <w:rsid w:val="00751A81"/>
    <w:rsid w:val="00752721"/>
    <w:rsid w:val="0075285D"/>
    <w:rsid w:val="00753E0A"/>
    <w:rsid w:val="0075562B"/>
    <w:rsid w:val="00756401"/>
    <w:rsid w:val="00756923"/>
    <w:rsid w:val="00756F9D"/>
    <w:rsid w:val="00761232"/>
    <w:rsid w:val="00764AC6"/>
    <w:rsid w:val="00764CA7"/>
    <w:rsid w:val="00765593"/>
    <w:rsid w:val="00765F7B"/>
    <w:rsid w:val="00767DF9"/>
    <w:rsid w:val="0077056E"/>
    <w:rsid w:val="0077171D"/>
    <w:rsid w:val="007722FE"/>
    <w:rsid w:val="00772D52"/>
    <w:rsid w:val="00773E82"/>
    <w:rsid w:val="00773EEC"/>
    <w:rsid w:val="00774D5A"/>
    <w:rsid w:val="007751FB"/>
    <w:rsid w:val="00775B2D"/>
    <w:rsid w:val="007802C7"/>
    <w:rsid w:val="00781F5C"/>
    <w:rsid w:val="007822BF"/>
    <w:rsid w:val="0078430A"/>
    <w:rsid w:val="00790F6B"/>
    <w:rsid w:val="007928D3"/>
    <w:rsid w:val="007937EA"/>
    <w:rsid w:val="0079401F"/>
    <w:rsid w:val="00794482"/>
    <w:rsid w:val="007944FB"/>
    <w:rsid w:val="00794A7C"/>
    <w:rsid w:val="00797039"/>
    <w:rsid w:val="00797375"/>
    <w:rsid w:val="007A0354"/>
    <w:rsid w:val="007A0C15"/>
    <w:rsid w:val="007A0F33"/>
    <w:rsid w:val="007A12DC"/>
    <w:rsid w:val="007A1F6B"/>
    <w:rsid w:val="007A1FFC"/>
    <w:rsid w:val="007A21A5"/>
    <w:rsid w:val="007A31BA"/>
    <w:rsid w:val="007A360D"/>
    <w:rsid w:val="007A3FC2"/>
    <w:rsid w:val="007A74AB"/>
    <w:rsid w:val="007A7555"/>
    <w:rsid w:val="007B0930"/>
    <w:rsid w:val="007B2673"/>
    <w:rsid w:val="007B3585"/>
    <w:rsid w:val="007B3F10"/>
    <w:rsid w:val="007B68CC"/>
    <w:rsid w:val="007C0133"/>
    <w:rsid w:val="007C1C05"/>
    <w:rsid w:val="007C4923"/>
    <w:rsid w:val="007C5F94"/>
    <w:rsid w:val="007D635F"/>
    <w:rsid w:val="007D6D72"/>
    <w:rsid w:val="007D7758"/>
    <w:rsid w:val="007D7E5D"/>
    <w:rsid w:val="007E01E8"/>
    <w:rsid w:val="007E125F"/>
    <w:rsid w:val="007E1DB0"/>
    <w:rsid w:val="007E2114"/>
    <w:rsid w:val="007E2218"/>
    <w:rsid w:val="007E22F1"/>
    <w:rsid w:val="007E443A"/>
    <w:rsid w:val="007E6A99"/>
    <w:rsid w:val="007F2B29"/>
    <w:rsid w:val="007F2CF6"/>
    <w:rsid w:val="007F3019"/>
    <w:rsid w:val="007F4124"/>
    <w:rsid w:val="007F4174"/>
    <w:rsid w:val="007F4736"/>
    <w:rsid w:val="007F523C"/>
    <w:rsid w:val="007F5257"/>
    <w:rsid w:val="007F5345"/>
    <w:rsid w:val="007F5D7F"/>
    <w:rsid w:val="00802A25"/>
    <w:rsid w:val="008036C5"/>
    <w:rsid w:val="0080483C"/>
    <w:rsid w:val="008059A1"/>
    <w:rsid w:val="00807EB2"/>
    <w:rsid w:val="008105FF"/>
    <w:rsid w:val="00810EF4"/>
    <w:rsid w:val="0081258D"/>
    <w:rsid w:val="00812744"/>
    <w:rsid w:val="00812AA7"/>
    <w:rsid w:val="00813264"/>
    <w:rsid w:val="00813F4D"/>
    <w:rsid w:val="00816E4F"/>
    <w:rsid w:val="0081721C"/>
    <w:rsid w:val="00817CD4"/>
    <w:rsid w:val="008202B0"/>
    <w:rsid w:val="0082245C"/>
    <w:rsid w:val="00823C63"/>
    <w:rsid w:val="0082458E"/>
    <w:rsid w:val="0082562F"/>
    <w:rsid w:val="00826B75"/>
    <w:rsid w:val="00830046"/>
    <w:rsid w:val="0083266F"/>
    <w:rsid w:val="00832962"/>
    <w:rsid w:val="00834124"/>
    <w:rsid w:val="00836835"/>
    <w:rsid w:val="008372CF"/>
    <w:rsid w:val="008373F3"/>
    <w:rsid w:val="008404D2"/>
    <w:rsid w:val="00842DE6"/>
    <w:rsid w:val="00843272"/>
    <w:rsid w:val="00844863"/>
    <w:rsid w:val="008451B0"/>
    <w:rsid w:val="00846903"/>
    <w:rsid w:val="00846CA8"/>
    <w:rsid w:val="0084717A"/>
    <w:rsid w:val="00850796"/>
    <w:rsid w:val="00850DB6"/>
    <w:rsid w:val="008520A5"/>
    <w:rsid w:val="00856155"/>
    <w:rsid w:val="008628AE"/>
    <w:rsid w:val="00863266"/>
    <w:rsid w:val="00863824"/>
    <w:rsid w:val="008639CE"/>
    <w:rsid w:val="00863A48"/>
    <w:rsid w:val="00863B12"/>
    <w:rsid w:val="008650D5"/>
    <w:rsid w:val="00866088"/>
    <w:rsid w:val="00872AE0"/>
    <w:rsid w:val="008740C7"/>
    <w:rsid w:val="00874B20"/>
    <w:rsid w:val="00874DC8"/>
    <w:rsid w:val="008752DD"/>
    <w:rsid w:val="00875D84"/>
    <w:rsid w:val="00877929"/>
    <w:rsid w:val="008812B0"/>
    <w:rsid w:val="008816A1"/>
    <w:rsid w:val="00881A94"/>
    <w:rsid w:val="00881ECF"/>
    <w:rsid w:val="0088485D"/>
    <w:rsid w:val="008848E0"/>
    <w:rsid w:val="00884DAB"/>
    <w:rsid w:val="00885046"/>
    <w:rsid w:val="00885F75"/>
    <w:rsid w:val="00886C5E"/>
    <w:rsid w:val="00886E5D"/>
    <w:rsid w:val="00890C06"/>
    <w:rsid w:val="008911B8"/>
    <w:rsid w:val="008911F3"/>
    <w:rsid w:val="008913C6"/>
    <w:rsid w:val="0089162C"/>
    <w:rsid w:val="00893003"/>
    <w:rsid w:val="0089444B"/>
    <w:rsid w:val="0089456F"/>
    <w:rsid w:val="00896C76"/>
    <w:rsid w:val="00897257"/>
    <w:rsid w:val="00897711"/>
    <w:rsid w:val="008A012C"/>
    <w:rsid w:val="008A1EF2"/>
    <w:rsid w:val="008A2A7D"/>
    <w:rsid w:val="008A4688"/>
    <w:rsid w:val="008A541C"/>
    <w:rsid w:val="008A5B6D"/>
    <w:rsid w:val="008B0760"/>
    <w:rsid w:val="008B1369"/>
    <w:rsid w:val="008B1CC9"/>
    <w:rsid w:val="008B292E"/>
    <w:rsid w:val="008B330E"/>
    <w:rsid w:val="008B3D2B"/>
    <w:rsid w:val="008B6EBD"/>
    <w:rsid w:val="008B71E2"/>
    <w:rsid w:val="008C00CA"/>
    <w:rsid w:val="008C0254"/>
    <w:rsid w:val="008C1ABC"/>
    <w:rsid w:val="008C2A7C"/>
    <w:rsid w:val="008C3CE2"/>
    <w:rsid w:val="008C62A6"/>
    <w:rsid w:val="008C68AE"/>
    <w:rsid w:val="008C6C9E"/>
    <w:rsid w:val="008D2C04"/>
    <w:rsid w:val="008D39C5"/>
    <w:rsid w:val="008D42C3"/>
    <w:rsid w:val="008D444F"/>
    <w:rsid w:val="008D460B"/>
    <w:rsid w:val="008D4B8C"/>
    <w:rsid w:val="008D4C7F"/>
    <w:rsid w:val="008D5362"/>
    <w:rsid w:val="008D5E8E"/>
    <w:rsid w:val="008D6663"/>
    <w:rsid w:val="008D66B1"/>
    <w:rsid w:val="008D6FF2"/>
    <w:rsid w:val="008E418D"/>
    <w:rsid w:val="008E5C65"/>
    <w:rsid w:val="008E7187"/>
    <w:rsid w:val="008F0391"/>
    <w:rsid w:val="008F0C44"/>
    <w:rsid w:val="008F10B2"/>
    <w:rsid w:val="008F14EE"/>
    <w:rsid w:val="008F3C97"/>
    <w:rsid w:val="008F3D05"/>
    <w:rsid w:val="008F3E19"/>
    <w:rsid w:val="008F6A47"/>
    <w:rsid w:val="008F6D12"/>
    <w:rsid w:val="008F6D29"/>
    <w:rsid w:val="008F6E3C"/>
    <w:rsid w:val="00900759"/>
    <w:rsid w:val="009020B5"/>
    <w:rsid w:val="00902143"/>
    <w:rsid w:val="00902F2F"/>
    <w:rsid w:val="00904D80"/>
    <w:rsid w:val="00905D30"/>
    <w:rsid w:val="00907046"/>
    <w:rsid w:val="00907B07"/>
    <w:rsid w:val="00912C5A"/>
    <w:rsid w:val="00916399"/>
    <w:rsid w:val="00916EF9"/>
    <w:rsid w:val="009238F4"/>
    <w:rsid w:val="00926011"/>
    <w:rsid w:val="00926301"/>
    <w:rsid w:val="00926413"/>
    <w:rsid w:val="00930265"/>
    <w:rsid w:val="00930FB6"/>
    <w:rsid w:val="009319EE"/>
    <w:rsid w:val="00931A4D"/>
    <w:rsid w:val="00931B5C"/>
    <w:rsid w:val="00932467"/>
    <w:rsid w:val="00935C24"/>
    <w:rsid w:val="0094047F"/>
    <w:rsid w:val="00940E0C"/>
    <w:rsid w:val="009422F8"/>
    <w:rsid w:val="00942E75"/>
    <w:rsid w:val="00943568"/>
    <w:rsid w:val="009472D8"/>
    <w:rsid w:val="009505FE"/>
    <w:rsid w:val="00950689"/>
    <w:rsid w:val="00952D48"/>
    <w:rsid w:val="009531DF"/>
    <w:rsid w:val="0095364D"/>
    <w:rsid w:val="009538FE"/>
    <w:rsid w:val="00953B37"/>
    <w:rsid w:val="00953B69"/>
    <w:rsid w:val="00953E56"/>
    <w:rsid w:val="00954994"/>
    <w:rsid w:val="00954F83"/>
    <w:rsid w:val="00955578"/>
    <w:rsid w:val="0095566B"/>
    <w:rsid w:val="00956011"/>
    <w:rsid w:val="009564F6"/>
    <w:rsid w:val="00957BEB"/>
    <w:rsid w:val="009600F5"/>
    <w:rsid w:val="00962D11"/>
    <w:rsid w:val="009630CD"/>
    <w:rsid w:val="00963F8B"/>
    <w:rsid w:val="009645E1"/>
    <w:rsid w:val="00964A18"/>
    <w:rsid w:val="0096507B"/>
    <w:rsid w:val="009654F4"/>
    <w:rsid w:val="00966DAD"/>
    <w:rsid w:val="009675DE"/>
    <w:rsid w:val="00973174"/>
    <w:rsid w:val="00973466"/>
    <w:rsid w:val="009754C3"/>
    <w:rsid w:val="00975A16"/>
    <w:rsid w:val="009772C3"/>
    <w:rsid w:val="00984B3E"/>
    <w:rsid w:val="00985824"/>
    <w:rsid w:val="00985F5B"/>
    <w:rsid w:val="00985F71"/>
    <w:rsid w:val="00986218"/>
    <w:rsid w:val="00986E45"/>
    <w:rsid w:val="00987355"/>
    <w:rsid w:val="00987BB6"/>
    <w:rsid w:val="009913D2"/>
    <w:rsid w:val="00995106"/>
    <w:rsid w:val="00995C74"/>
    <w:rsid w:val="00995FF8"/>
    <w:rsid w:val="009A057E"/>
    <w:rsid w:val="009A0A4E"/>
    <w:rsid w:val="009A1AF7"/>
    <w:rsid w:val="009A2B1E"/>
    <w:rsid w:val="009A2DE9"/>
    <w:rsid w:val="009A304C"/>
    <w:rsid w:val="009A38EF"/>
    <w:rsid w:val="009A636F"/>
    <w:rsid w:val="009B4ABA"/>
    <w:rsid w:val="009B521E"/>
    <w:rsid w:val="009B5352"/>
    <w:rsid w:val="009B5E6D"/>
    <w:rsid w:val="009B604A"/>
    <w:rsid w:val="009C1B36"/>
    <w:rsid w:val="009C1B7A"/>
    <w:rsid w:val="009C1C01"/>
    <w:rsid w:val="009C1C1D"/>
    <w:rsid w:val="009C2020"/>
    <w:rsid w:val="009C2A41"/>
    <w:rsid w:val="009C2F6F"/>
    <w:rsid w:val="009C4CAC"/>
    <w:rsid w:val="009C76F5"/>
    <w:rsid w:val="009D0CA5"/>
    <w:rsid w:val="009D11FA"/>
    <w:rsid w:val="009D35F8"/>
    <w:rsid w:val="009D4E37"/>
    <w:rsid w:val="009D5EA3"/>
    <w:rsid w:val="009D62F2"/>
    <w:rsid w:val="009D65CD"/>
    <w:rsid w:val="009D6A83"/>
    <w:rsid w:val="009D6DED"/>
    <w:rsid w:val="009E139F"/>
    <w:rsid w:val="009E5361"/>
    <w:rsid w:val="009E6B9D"/>
    <w:rsid w:val="009E6C6D"/>
    <w:rsid w:val="009F199A"/>
    <w:rsid w:val="009F19E7"/>
    <w:rsid w:val="009F2191"/>
    <w:rsid w:val="009F36F7"/>
    <w:rsid w:val="009F4766"/>
    <w:rsid w:val="009F5956"/>
    <w:rsid w:val="009F6DCD"/>
    <w:rsid w:val="009F7DF0"/>
    <w:rsid w:val="00A0085B"/>
    <w:rsid w:val="00A01B4E"/>
    <w:rsid w:val="00A04AE7"/>
    <w:rsid w:val="00A055FA"/>
    <w:rsid w:val="00A0624B"/>
    <w:rsid w:val="00A06393"/>
    <w:rsid w:val="00A07C88"/>
    <w:rsid w:val="00A07D9A"/>
    <w:rsid w:val="00A10B7F"/>
    <w:rsid w:val="00A1476B"/>
    <w:rsid w:val="00A150D0"/>
    <w:rsid w:val="00A164AC"/>
    <w:rsid w:val="00A17160"/>
    <w:rsid w:val="00A17E44"/>
    <w:rsid w:val="00A17E83"/>
    <w:rsid w:val="00A20028"/>
    <w:rsid w:val="00A23BDE"/>
    <w:rsid w:val="00A23E57"/>
    <w:rsid w:val="00A25CF6"/>
    <w:rsid w:val="00A26EFF"/>
    <w:rsid w:val="00A26FE8"/>
    <w:rsid w:val="00A27C31"/>
    <w:rsid w:val="00A30713"/>
    <w:rsid w:val="00A30938"/>
    <w:rsid w:val="00A31BD2"/>
    <w:rsid w:val="00A31E40"/>
    <w:rsid w:val="00A352B3"/>
    <w:rsid w:val="00A354B6"/>
    <w:rsid w:val="00A35930"/>
    <w:rsid w:val="00A35A3B"/>
    <w:rsid w:val="00A37EA9"/>
    <w:rsid w:val="00A409B4"/>
    <w:rsid w:val="00A40D15"/>
    <w:rsid w:val="00A41D2C"/>
    <w:rsid w:val="00A42910"/>
    <w:rsid w:val="00A42C13"/>
    <w:rsid w:val="00A442A0"/>
    <w:rsid w:val="00A44CB7"/>
    <w:rsid w:val="00A44D65"/>
    <w:rsid w:val="00A46644"/>
    <w:rsid w:val="00A46908"/>
    <w:rsid w:val="00A500D5"/>
    <w:rsid w:val="00A50311"/>
    <w:rsid w:val="00A50D12"/>
    <w:rsid w:val="00A524CC"/>
    <w:rsid w:val="00A52622"/>
    <w:rsid w:val="00A52774"/>
    <w:rsid w:val="00A53515"/>
    <w:rsid w:val="00A55A67"/>
    <w:rsid w:val="00A57A9C"/>
    <w:rsid w:val="00A57CE8"/>
    <w:rsid w:val="00A61F1E"/>
    <w:rsid w:val="00A625D8"/>
    <w:rsid w:val="00A63951"/>
    <w:rsid w:val="00A64266"/>
    <w:rsid w:val="00A659B0"/>
    <w:rsid w:val="00A662BE"/>
    <w:rsid w:val="00A664BD"/>
    <w:rsid w:val="00A673C4"/>
    <w:rsid w:val="00A71073"/>
    <w:rsid w:val="00A71285"/>
    <w:rsid w:val="00A75B12"/>
    <w:rsid w:val="00A768C5"/>
    <w:rsid w:val="00A779C7"/>
    <w:rsid w:val="00A77B2A"/>
    <w:rsid w:val="00A77F29"/>
    <w:rsid w:val="00A81B73"/>
    <w:rsid w:val="00A82DB6"/>
    <w:rsid w:val="00A830B3"/>
    <w:rsid w:val="00A834B7"/>
    <w:rsid w:val="00A83C6C"/>
    <w:rsid w:val="00A84D52"/>
    <w:rsid w:val="00A87F06"/>
    <w:rsid w:val="00A90CF1"/>
    <w:rsid w:val="00A90E5F"/>
    <w:rsid w:val="00A914B2"/>
    <w:rsid w:val="00A92A5D"/>
    <w:rsid w:val="00A94F3E"/>
    <w:rsid w:val="00A95295"/>
    <w:rsid w:val="00A95525"/>
    <w:rsid w:val="00A9665F"/>
    <w:rsid w:val="00A9684A"/>
    <w:rsid w:val="00AA0ACF"/>
    <w:rsid w:val="00AA149E"/>
    <w:rsid w:val="00AA2396"/>
    <w:rsid w:val="00AA248B"/>
    <w:rsid w:val="00AA31FF"/>
    <w:rsid w:val="00AA3E2D"/>
    <w:rsid w:val="00AA4546"/>
    <w:rsid w:val="00AA79C5"/>
    <w:rsid w:val="00AA7C6E"/>
    <w:rsid w:val="00AB29BC"/>
    <w:rsid w:val="00AB398B"/>
    <w:rsid w:val="00AB4F5B"/>
    <w:rsid w:val="00AC0095"/>
    <w:rsid w:val="00AC0B91"/>
    <w:rsid w:val="00AC16B8"/>
    <w:rsid w:val="00AC17C0"/>
    <w:rsid w:val="00AC1A1D"/>
    <w:rsid w:val="00AC1CA2"/>
    <w:rsid w:val="00AC28D7"/>
    <w:rsid w:val="00AC3038"/>
    <w:rsid w:val="00AC3420"/>
    <w:rsid w:val="00AC3EC2"/>
    <w:rsid w:val="00AC4AD8"/>
    <w:rsid w:val="00AC4F76"/>
    <w:rsid w:val="00AC6FB0"/>
    <w:rsid w:val="00AC764B"/>
    <w:rsid w:val="00AC7A6B"/>
    <w:rsid w:val="00AC7DA3"/>
    <w:rsid w:val="00AD0449"/>
    <w:rsid w:val="00AD07EC"/>
    <w:rsid w:val="00AD0CFB"/>
    <w:rsid w:val="00AD2B7A"/>
    <w:rsid w:val="00AD5D36"/>
    <w:rsid w:val="00AD5DFA"/>
    <w:rsid w:val="00AD6CC5"/>
    <w:rsid w:val="00AD6FCC"/>
    <w:rsid w:val="00AE34B0"/>
    <w:rsid w:val="00AE3729"/>
    <w:rsid w:val="00AE476A"/>
    <w:rsid w:val="00AE4DBD"/>
    <w:rsid w:val="00AE6CB3"/>
    <w:rsid w:val="00AF044D"/>
    <w:rsid w:val="00AF09FC"/>
    <w:rsid w:val="00AF0DFD"/>
    <w:rsid w:val="00AF1B86"/>
    <w:rsid w:val="00B00143"/>
    <w:rsid w:val="00B00948"/>
    <w:rsid w:val="00B01D4D"/>
    <w:rsid w:val="00B044BB"/>
    <w:rsid w:val="00B0466B"/>
    <w:rsid w:val="00B04B14"/>
    <w:rsid w:val="00B04EF5"/>
    <w:rsid w:val="00B057AB"/>
    <w:rsid w:val="00B05A94"/>
    <w:rsid w:val="00B05C75"/>
    <w:rsid w:val="00B05FCB"/>
    <w:rsid w:val="00B0663D"/>
    <w:rsid w:val="00B06AAE"/>
    <w:rsid w:val="00B0782D"/>
    <w:rsid w:val="00B10ABF"/>
    <w:rsid w:val="00B11156"/>
    <w:rsid w:val="00B117EB"/>
    <w:rsid w:val="00B12625"/>
    <w:rsid w:val="00B1307B"/>
    <w:rsid w:val="00B1333A"/>
    <w:rsid w:val="00B14F09"/>
    <w:rsid w:val="00B156F7"/>
    <w:rsid w:val="00B163C6"/>
    <w:rsid w:val="00B16CFE"/>
    <w:rsid w:val="00B17770"/>
    <w:rsid w:val="00B20DB3"/>
    <w:rsid w:val="00B20E18"/>
    <w:rsid w:val="00B20F73"/>
    <w:rsid w:val="00B216EF"/>
    <w:rsid w:val="00B21B36"/>
    <w:rsid w:val="00B24483"/>
    <w:rsid w:val="00B24D81"/>
    <w:rsid w:val="00B272BF"/>
    <w:rsid w:val="00B27C18"/>
    <w:rsid w:val="00B3297D"/>
    <w:rsid w:val="00B33BE6"/>
    <w:rsid w:val="00B33FA9"/>
    <w:rsid w:val="00B34E8A"/>
    <w:rsid w:val="00B375ED"/>
    <w:rsid w:val="00B37A69"/>
    <w:rsid w:val="00B37FFC"/>
    <w:rsid w:val="00B40F4B"/>
    <w:rsid w:val="00B41736"/>
    <w:rsid w:val="00B420E6"/>
    <w:rsid w:val="00B42D5D"/>
    <w:rsid w:val="00B433B5"/>
    <w:rsid w:val="00B45D27"/>
    <w:rsid w:val="00B46C4D"/>
    <w:rsid w:val="00B510FB"/>
    <w:rsid w:val="00B51595"/>
    <w:rsid w:val="00B52239"/>
    <w:rsid w:val="00B525C0"/>
    <w:rsid w:val="00B52A7B"/>
    <w:rsid w:val="00B52A87"/>
    <w:rsid w:val="00B52C21"/>
    <w:rsid w:val="00B52C99"/>
    <w:rsid w:val="00B5555A"/>
    <w:rsid w:val="00B55F65"/>
    <w:rsid w:val="00B5695C"/>
    <w:rsid w:val="00B5701F"/>
    <w:rsid w:val="00B61D6A"/>
    <w:rsid w:val="00B621B2"/>
    <w:rsid w:val="00B62659"/>
    <w:rsid w:val="00B62C08"/>
    <w:rsid w:val="00B631F9"/>
    <w:rsid w:val="00B6617A"/>
    <w:rsid w:val="00B66325"/>
    <w:rsid w:val="00B70796"/>
    <w:rsid w:val="00B70A62"/>
    <w:rsid w:val="00B71EEB"/>
    <w:rsid w:val="00B8298F"/>
    <w:rsid w:val="00B82EC8"/>
    <w:rsid w:val="00B830EF"/>
    <w:rsid w:val="00B83E47"/>
    <w:rsid w:val="00B8440F"/>
    <w:rsid w:val="00B84490"/>
    <w:rsid w:val="00B84891"/>
    <w:rsid w:val="00B84FAF"/>
    <w:rsid w:val="00B853C5"/>
    <w:rsid w:val="00B936B5"/>
    <w:rsid w:val="00B939BC"/>
    <w:rsid w:val="00B93C0F"/>
    <w:rsid w:val="00B9796B"/>
    <w:rsid w:val="00BA04FB"/>
    <w:rsid w:val="00BA28DC"/>
    <w:rsid w:val="00BA32D2"/>
    <w:rsid w:val="00BA331A"/>
    <w:rsid w:val="00BA4446"/>
    <w:rsid w:val="00BA5125"/>
    <w:rsid w:val="00BA6127"/>
    <w:rsid w:val="00BA6546"/>
    <w:rsid w:val="00BA7A2C"/>
    <w:rsid w:val="00BB0781"/>
    <w:rsid w:val="00BB1ABE"/>
    <w:rsid w:val="00BB2F90"/>
    <w:rsid w:val="00BB7C09"/>
    <w:rsid w:val="00BC096E"/>
    <w:rsid w:val="00BC2B25"/>
    <w:rsid w:val="00BC3C2A"/>
    <w:rsid w:val="00BC3E24"/>
    <w:rsid w:val="00BC43AA"/>
    <w:rsid w:val="00BC489A"/>
    <w:rsid w:val="00BC514D"/>
    <w:rsid w:val="00BC6636"/>
    <w:rsid w:val="00BD014E"/>
    <w:rsid w:val="00BD1DB5"/>
    <w:rsid w:val="00BD1E94"/>
    <w:rsid w:val="00BD44BF"/>
    <w:rsid w:val="00BD781E"/>
    <w:rsid w:val="00BE6D53"/>
    <w:rsid w:val="00BE77F7"/>
    <w:rsid w:val="00BF6790"/>
    <w:rsid w:val="00BF7824"/>
    <w:rsid w:val="00C0003D"/>
    <w:rsid w:val="00C020A2"/>
    <w:rsid w:val="00C02104"/>
    <w:rsid w:val="00C021EE"/>
    <w:rsid w:val="00C03D1B"/>
    <w:rsid w:val="00C043BE"/>
    <w:rsid w:val="00C05269"/>
    <w:rsid w:val="00C0536E"/>
    <w:rsid w:val="00C07E86"/>
    <w:rsid w:val="00C10C60"/>
    <w:rsid w:val="00C1124A"/>
    <w:rsid w:val="00C13668"/>
    <w:rsid w:val="00C13A6E"/>
    <w:rsid w:val="00C152CD"/>
    <w:rsid w:val="00C20536"/>
    <w:rsid w:val="00C221D8"/>
    <w:rsid w:val="00C2359A"/>
    <w:rsid w:val="00C24D99"/>
    <w:rsid w:val="00C259AC"/>
    <w:rsid w:val="00C27BF5"/>
    <w:rsid w:val="00C27F78"/>
    <w:rsid w:val="00C303B6"/>
    <w:rsid w:val="00C308FE"/>
    <w:rsid w:val="00C30E93"/>
    <w:rsid w:val="00C31D64"/>
    <w:rsid w:val="00C31E40"/>
    <w:rsid w:val="00C31F30"/>
    <w:rsid w:val="00C324A1"/>
    <w:rsid w:val="00C33336"/>
    <w:rsid w:val="00C35EC5"/>
    <w:rsid w:val="00C3617F"/>
    <w:rsid w:val="00C36AF8"/>
    <w:rsid w:val="00C37B06"/>
    <w:rsid w:val="00C37C7D"/>
    <w:rsid w:val="00C40637"/>
    <w:rsid w:val="00C40AC1"/>
    <w:rsid w:val="00C40FD3"/>
    <w:rsid w:val="00C415C2"/>
    <w:rsid w:val="00C420E5"/>
    <w:rsid w:val="00C420E9"/>
    <w:rsid w:val="00C42DBA"/>
    <w:rsid w:val="00C42F35"/>
    <w:rsid w:val="00C432BF"/>
    <w:rsid w:val="00C44FD5"/>
    <w:rsid w:val="00C45035"/>
    <w:rsid w:val="00C45881"/>
    <w:rsid w:val="00C45C68"/>
    <w:rsid w:val="00C47629"/>
    <w:rsid w:val="00C47BD2"/>
    <w:rsid w:val="00C511F5"/>
    <w:rsid w:val="00C537B3"/>
    <w:rsid w:val="00C54B1D"/>
    <w:rsid w:val="00C612EB"/>
    <w:rsid w:val="00C6251A"/>
    <w:rsid w:val="00C669AB"/>
    <w:rsid w:val="00C66C56"/>
    <w:rsid w:val="00C67C6B"/>
    <w:rsid w:val="00C702A0"/>
    <w:rsid w:val="00C70370"/>
    <w:rsid w:val="00C70723"/>
    <w:rsid w:val="00C7120C"/>
    <w:rsid w:val="00C71B1D"/>
    <w:rsid w:val="00C71FC5"/>
    <w:rsid w:val="00C7304D"/>
    <w:rsid w:val="00C731F0"/>
    <w:rsid w:val="00C73970"/>
    <w:rsid w:val="00C74942"/>
    <w:rsid w:val="00C7549C"/>
    <w:rsid w:val="00C779C7"/>
    <w:rsid w:val="00C81F04"/>
    <w:rsid w:val="00C81F3E"/>
    <w:rsid w:val="00C8296F"/>
    <w:rsid w:val="00C82FF0"/>
    <w:rsid w:val="00C85AFF"/>
    <w:rsid w:val="00C85BF7"/>
    <w:rsid w:val="00C867E2"/>
    <w:rsid w:val="00C87359"/>
    <w:rsid w:val="00C92CBC"/>
    <w:rsid w:val="00C936C4"/>
    <w:rsid w:val="00C936E3"/>
    <w:rsid w:val="00C9391B"/>
    <w:rsid w:val="00C94BEF"/>
    <w:rsid w:val="00CA0848"/>
    <w:rsid w:val="00CA16AD"/>
    <w:rsid w:val="00CA57BE"/>
    <w:rsid w:val="00CA5E64"/>
    <w:rsid w:val="00CA5F4A"/>
    <w:rsid w:val="00CA7A1B"/>
    <w:rsid w:val="00CB2D45"/>
    <w:rsid w:val="00CB4D26"/>
    <w:rsid w:val="00CB77D3"/>
    <w:rsid w:val="00CB7EFA"/>
    <w:rsid w:val="00CC1379"/>
    <w:rsid w:val="00CC142F"/>
    <w:rsid w:val="00CC1A38"/>
    <w:rsid w:val="00CC1EB4"/>
    <w:rsid w:val="00CC2B0E"/>
    <w:rsid w:val="00CC3182"/>
    <w:rsid w:val="00CC3999"/>
    <w:rsid w:val="00CC40EB"/>
    <w:rsid w:val="00CC6666"/>
    <w:rsid w:val="00CD02E4"/>
    <w:rsid w:val="00CD09B5"/>
    <w:rsid w:val="00CD0A18"/>
    <w:rsid w:val="00CD242F"/>
    <w:rsid w:val="00CD24E8"/>
    <w:rsid w:val="00CD3C84"/>
    <w:rsid w:val="00CD6EF1"/>
    <w:rsid w:val="00CE28D9"/>
    <w:rsid w:val="00CE3A0F"/>
    <w:rsid w:val="00CE6904"/>
    <w:rsid w:val="00CF04D3"/>
    <w:rsid w:val="00CF0CEE"/>
    <w:rsid w:val="00CF1BBB"/>
    <w:rsid w:val="00D00E24"/>
    <w:rsid w:val="00D020F1"/>
    <w:rsid w:val="00D037B9"/>
    <w:rsid w:val="00D03E1C"/>
    <w:rsid w:val="00D05204"/>
    <w:rsid w:val="00D11197"/>
    <w:rsid w:val="00D11C23"/>
    <w:rsid w:val="00D13094"/>
    <w:rsid w:val="00D131FB"/>
    <w:rsid w:val="00D1409D"/>
    <w:rsid w:val="00D15413"/>
    <w:rsid w:val="00D159FE"/>
    <w:rsid w:val="00D15B9A"/>
    <w:rsid w:val="00D17C5E"/>
    <w:rsid w:val="00D20362"/>
    <w:rsid w:val="00D21A74"/>
    <w:rsid w:val="00D2362C"/>
    <w:rsid w:val="00D244DD"/>
    <w:rsid w:val="00D24BDA"/>
    <w:rsid w:val="00D250BE"/>
    <w:rsid w:val="00D27632"/>
    <w:rsid w:val="00D30263"/>
    <w:rsid w:val="00D3255E"/>
    <w:rsid w:val="00D32E1B"/>
    <w:rsid w:val="00D33CC0"/>
    <w:rsid w:val="00D366F8"/>
    <w:rsid w:val="00D36D62"/>
    <w:rsid w:val="00D40637"/>
    <w:rsid w:val="00D41740"/>
    <w:rsid w:val="00D419C0"/>
    <w:rsid w:val="00D42B23"/>
    <w:rsid w:val="00D434F6"/>
    <w:rsid w:val="00D43A0B"/>
    <w:rsid w:val="00D44E9B"/>
    <w:rsid w:val="00D450A0"/>
    <w:rsid w:val="00D5177E"/>
    <w:rsid w:val="00D53036"/>
    <w:rsid w:val="00D53681"/>
    <w:rsid w:val="00D5398F"/>
    <w:rsid w:val="00D53F93"/>
    <w:rsid w:val="00D5528C"/>
    <w:rsid w:val="00D5559B"/>
    <w:rsid w:val="00D60ACB"/>
    <w:rsid w:val="00D61AE5"/>
    <w:rsid w:val="00D6210A"/>
    <w:rsid w:val="00D64E89"/>
    <w:rsid w:val="00D65FBD"/>
    <w:rsid w:val="00D66738"/>
    <w:rsid w:val="00D66B9F"/>
    <w:rsid w:val="00D66BA8"/>
    <w:rsid w:val="00D67EEB"/>
    <w:rsid w:val="00D70B64"/>
    <w:rsid w:val="00D72F9D"/>
    <w:rsid w:val="00D731D1"/>
    <w:rsid w:val="00D75F04"/>
    <w:rsid w:val="00D7614F"/>
    <w:rsid w:val="00D76FC4"/>
    <w:rsid w:val="00D809F9"/>
    <w:rsid w:val="00D8107C"/>
    <w:rsid w:val="00D821C2"/>
    <w:rsid w:val="00D82F31"/>
    <w:rsid w:val="00D84DE6"/>
    <w:rsid w:val="00D85041"/>
    <w:rsid w:val="00D865E7"/>
    <w:rsid w:val="00D916C4"/>
    <w:rsid w:val="00D94F32"/>
    <w:rsid w:val="00D96A4A"/>
    <w:rsid w:val="00D96A72"/>
    <w:rsid w:val="00D97AE1"/>
    <w:rsid w:val="00DA0D8B"/>
    <w:rsid w:val="00DA1A92"/>
    <w:rsid w:val="00DA2619"/>
    <w:rsid w:val="00DA5960"/>
    <w:rsid w:val="00DA6CEF"/>
    <w:rsid w:val="00DA6E14"/>
    <w:rsid w:val="00DB15C4"/>
    <w:rsid w:val="00DB193F"/>
    <w:rsid w:val="00DB24AF"/>
    <w:rsid w:val="00DB3155"/>
    <w:rsid w:val="00DB3AA6"/>
    <w:rsid w:val="00DB44E7"/>
    <w:rsid w:val="00DB66C5"/>
    <w:rsid w:val="00DB7BDC"/>
    <w:rsid w:val="00DC093A"/>
    <w:rsid w:val="00DC0C69"/>
    <w:rsid w:val="00DC1364"/>
    <w:rsid w:val="00DC3165"/>
    <w:rsid w:val="00DC43D5"/>
    <w:rsid w:val="00DC4570"/>
    <w:rsid w:val="00DC512B"/>
    <w:rsid w:val="00DC7B78"/>
    <w:rsid w:val="00DD1130"/>
    <w:rsid w:val="00DD12CA"/>
    <w:rsid w:val="00DD1455"/>
    <w:rsid w:val="00DD1711"/>
    <w:rsid w:val="00DD1981"/>
    <w:rsid w:val="00DD33BA"/>
    <w:rsid w:val="00DD3E2D"/>
    <w:rsid w:val="00DD4489"/>
    <w:rsid w:val="00DE0944"/>
    <w:rsid w:val="00DE0E15"/>
    <w:rsid w:val="00DE4AC9"/>
    <w:rsid w:val="00DE54C5"/>
    <w:rsid w:val="00DE62C6"/>
    <w:rsid w:val="00DE7AF0"/>
    <w:rsid w:val="00DF0664"/>
    <w:rsid w:val="00DF094C"/>
    <w:rsid w:val="00DF1DF8"/>
    <w:rsid w:val="00DF3ACA"/>
    <w:rsid w:val="00DF3FF1"/>
    <w:rsid w:val="00DF54B4"/>
    <w:rsid w:val="00DF667E"/>
    <w:rsid w:val="00DF696B"/>
    <w:rsid w:val="00DF7C0B"/>
    <w:rsid w:val="00DF7CA4"/>
    <w:rsid w:val="00DF7EA5"/>
    <w:rsid w:val="00E00178"/>
    <w:rsid w:val="00E016CC"/>
    <w:rsid w:val="00E04628"/>
    <w:rsid w:val="00E05320"/>
    <w:rsid w:val="00E05D16"/>
    <w:rsid w:val="00E06B77"/>
    <w:rsid w:val="00E10C4E"/>
    <w:rsid w:val="00E119BA"/>
    <w:rsid w:val="00E148B1"/>
    <w:rsid w:val="00E149C3"/>
    <w:rsid w:val="00E20891"/>
    <w:rsid w:val="00E22B39"/>
    <w:rsid w:val="00E22CBD"/>
    <w:rsid w:val="00E23ACE"/>
    <w:rsid w:val="00E276F5"/>
    <w:rsid w:val="00E30637"/>
    <w:rsid w:val="00E309AD"/>
    <w:rsid w:val="00E32253"/>
    <w:rsid w:val="00E33282"/>
    <w:rsid w:val="00E3354B"/>
    <w:rsid w:val="00E353EC"/>
    <w:rsid w:val="00E35857"/>
    <w:rsid w:val="00E364B5"/>
    <w:rsid w:val="00E37EBC"/>
    <w:rsid w:val="00E41AD4"/>
    <w:rsid w:val="00E41CD8"/>
    <w:rsid w:val="00E429CB"/>
    <w:rsid w:val="00E4545C"/>
    <w:rsid w:val="00E50435"/>
    <w:rsid w:val="00E50FEE"/>
    <w:rsid w:val="00E51C85"/>
    <w:rsid w:val="00E52581"/>
    <w:rsid w:val="00E53FF6"/>
    <w:rsid w:val="00E54C43"/>
    <w:rsid w:val="00E54F21"/>
    <w:rsid w:val="00E55599"/>
    <w:rsid w:val="00E564A1"/>
    <w:rsid w:val="00E579B4"/>
    <w:rsid w:val="00E60481"/>
    <w:rsid w:val="00E61350"/>
    <w:rsid w:val="00E64D57"/>
    <w:rsid w:val="00E66F4F"/>
    <w:rsid w:val="00E67106"/>
    <w:rsid w:val="00E71C46"/>
    <w:rsid w:val="00E72DE3"/>
    <w:rsid w:val="00E73011"/>
    <w:rsid w:val="00E737C4"/>
    <w:rsid w:val="00E738D8"/>
    <w:rsid w:val="00E7472E"/>
    <w:rsid w:val="00E74EB1"/>
    <w:rsid w:val="00E74F18"/>
    <w:rsid w:val="00E75E7C"/>
    <w:rsid w:val="00E76D89"/>
    <w:rsid w:val="00E77788"/>
    <w:rsid w:val="00E77F99"/>
    <w:rsid w:val="00E819F5"/>
    <w:rsid w:val="00E82057"/>
    <w:rsid w:val="00E8222E"/>
    <w:rsid w:val="00E82AFB"/>
    <w:rsid w:val="00E833BC"/>
    <w:rsid w:val="00E84028"/>
    <w:rsid w:val="00E866B4"/>
    <w:rsid w:val="00E943CD"/>
    <w:rsid w:val="00E945DA"/>
    <w:rsid w:val="00E9638C"/>
    <w:rsid w:val="00E96627"/>
    <w:rsid w:val="00E97464"/>
    <w:rsid w:val="00EA01F2"/>
    <w:rsid w:val="00EA2BDD"/>
    <w:rsid w:val="00EA34E6"/>
    <w:rsid w:val="00EA7491"/>
    <w:rsid w:val="00EB12FB"/>
    <w:rsid w:val="00EB1508"/>
    <w:rsid w:val="00EB1A92"/>
    <w:rsid w:val="00EB25CA"/>
    <w:rsid w:val="00EB2F77"/>
    <w:rsid w:val="00EB41A7"/>
    <w:rsid w:val="00EB4A66"/>
    <w:rsid w:val="00EB4D63"/>
    <w:rsid w:val="00EB6610"/>
    <w:rsid w:val="00EB66A2"/>
    <w:rsid w:val="00EB6AB7"/>
    <w:rsid w:val="00EB7479"/>
    <w:rsid w:val="00EB7813"/>
    <w:rsid w:val="00EC259D"/>
    <w:rsid w:val="00EC2ECD"/>
    <w:rsid w:val="00EC32C9"/>
    <w:rsid w:val="00EC4E13"/>
    <w:rsid w:val="00EC551D"/>
    <w:rsid w:val="00EC5E44"/>
    <w:rsid w:val="00EC78E7"/>
    <w:rsid w:val="00ED12A3"/>
    <w:rsid w:val="00ED13B8"/>
    <w:rsid w:val="00ED1735"/>
    <w:rsid w:val="00ED1B70"/>
    <w:rsid w:val="00ED2A15"/>
    <w:rsid w:val="00ED320D"/>
    <w:rsid w:val="00ED3ED9"/>
    <w:rsid w:val="00ED4282"/>
    <w:rsid w:val="00ED488C"/>
    <w:rsid w:val="00ED4E72"/>
    <w:rsid w:val="00ED5C42"/>
    <w:rsid w:val="00ED68D3"/>
    <w:rsid w:val="00ED6E3D"/>
    <w:rsid w:val="00ED7FE4"/>
    <w:rsid w:val="00EE0C69"/>
    <w:rsid w:val="00EE0F9E"/>
    <w:rsid w:val="00EE320B"/>
    <w:rsid w:val="00EE665C"/>
    <w:rsid w:val="00EF139E"/>
    <w:rsid w:val="00EF193C"/>
    <w:rsid w:val="00EF1E9F"/>
    <w:rsid w:val="00EF2CB1"/>
    <w:rsid w:val="00EF3F35"/>
    <w:rsid w:val="00EF4EDB"/>
    <w:rsid w:val="00EF4EE4"/>
    <w:rsid w:val="00EF526A"/>
    <w:rsid w:val="00EF5817"/>
    <w:rsid w:val="00EF7D0B"/>
    <w:rsid w:val="00F00223"/>
    <w:rsid w:val="00F0227C"/>
    <w:rsid w:val="00F02FA1"/>
    <w:rsid w:val="00F034F5"/>
    <w:rsid w:val="00F0448A"/>
    <w:rsid w:val="00F04964"/>
    <w:rsid w:val="00F049E7"/>
    <w:rsid w:val="00F0525F"/>
    <w:rsid w:val="00F05840"/>
    <w:rsid w:val="00F06645"/>
    <w:rsid w:val="00F073E3"/>
    <w:rsid w:val="00F07888"/>
    <w:rsid w:val="00F113D4"/>
    <w:rsid w:val="00F12041"/>
    <w:rsid w:val="00F12B66"/>
    <w:rsid w:val="00F1380D"/>
    <w:rsid w:val="00F13ED2"/>
    <w:rsid w:val="00F14341"/>
    <w:rsid w:val="00F15F92"/>
    <w:rsid w:val="00F15F95"/>
    <w:rsid w:val="00F20191"/>
    <w:rsid w:val="00F213D2"/>
    <w:rsid w:val="00F2166A"/>
    <w:rsid w:val="00F21CF3"/>
    <w:rsid w:val="00F2204A"/>
    <w:rsid w:val="00F22EE6"/>
    <w:rsid w:val="00F255F5"/>
    <w:rsid w:val="00F27E87"/>
    <w:rsid w:val="00F300DA"/>
    <w:rsid w:val="00F3080D"/>
    <w:rsid w:val="00F3149B"/>
    <w:rsid w:val="00F32320"/>
    <w:rsid w:val="00F3262D"/>
    <w:rsid w:val="00F33339"/>
    <w:rsid w:val="00F333EC"/>
    <w:rsid w:val="00F33DC3"/>
    <w:rsid w:val="00F33FE6"/>
    <w:rsid w:val="00F366DD"/>
    <w:rsid w:val="00F3708C"/>
    <w:rsid w:val="00F373B2"/>
    <w:rsid w:val="00F37CCE"/>
    <w:rsid w:val="00F37E9A"/>
    <w:rsid w:val="00F37EA4"/>
    <w:rsid w:val="00F410E0"/>
    <w:rsid w:val="00F416BE"/>
    <w:rsid w:val="00F423A7"/>
    <w:rsid w:val="00F429F1"/>
    <w:rsid w:val="00F43ACF"/>
    <w:rsid w:val="00F46CA7"/>
    <w:rsid w:val="00F50F67"/>
    <w:rsid w:val="00F5168B"/>
    <w:rsid w:val="00F524B3"/>
    <w:rsid w:val="00F52AE9"/>
    <w:rsid w:val="00F531A7"/>
    <w:rsid w:val="00F533AF"/>
    <w:rsid w:val="00F5476B"/>
    <w:rsid w:val="00F55E9E"/>
    <w:rsid w:val="00F57FE6"/>
    <w:rsid w:val="00F61A48"/>
    <w:rsid w:val="00F6296B"/>
    <w:rsid w:val="00F63AE2"/>
    <w:rsid w:val="00F64C52"/>
    <w:rsid w:val="00F66073"/>
    <w:rsid w:val="00F67990"/>
    <w:rsid w:val="00F71307"/>
    <w:rsid w:val="00F715CE"/>
    <w:rsid w:val="00F71849"/>
    <w:rsid w:val="00F73303"/>
    <w:rsid w:val="00F7690F"/>
    <w:rsid w:val="00F76D41"/>
    <w:rsid w:val="00F804D1"/>
    <w:rsid w:val="00F806D8"/>
    <w:rsid w:val="00F80CCA"/>
    <w:rsid w:val="00F8175F"/>
    <w:rsid w:val="00F81A25"/>
    <w:rsid w:val="00F8492A"/>
    <w:rsid w:val="00F87473"/>
    <w:rsid w:val="00F90359"/>
    <w:rsid w:val="00F90C47"/>
    <w:rsid w:val="00F9259E"/>
    <w:rsid w:val="00F9357D"/>
    <w:rsid w:val="00F935FD"/>
    <w:rsid w:val="00F96E36"/>
    <w:rsid w:val="00F973E7"/>
    <w:rsid w:val="00FA13D6"/>
    <w:rsid w:val="00FA20B9"/>
    <w:rsid w:val="00FA230F"/>
    <w:rsid w:val="00FA33F0"/>
    <w:rsid w:val="00FA3B7D"/>
    <w:rsid w:val="00FA41DA"/>
    <w:rsid w:val="00FA529A"/>
    <w:rsid w:val="00FA795D"/>
    <w:rsid w:val="00FA7E34"/>
    <w:rsid w:val="00FB1689"/>
    <w:rsid w:val="00FB3012"/>
    <w:rsid w:val="00FB34C3"/>
    <w:rsid w:val="00FB39E6"/>
    <w:rsid w:val="00FB3D67"/>
    <w:rsid w:val="00FB3F1B"/>
    <w:rsid w:val="00FB62DC"/>
    <w:rsid w:val="00FB668A"/>
    <w:rsid w:val="00FB7CAC"/>
    <w:rsid w:val="00FC1012"/>
    <w:rsid w:val="00FC2455"/>
    <w:rsid w:val="00FC2894"/>
    <w:rsid w:val="00FC4622"/>
    <w:rsid w:val="00FC6257"/>
    <w:rsid w:val="00FC6914"/>
    <w:rsid w:val="00FC769D"/>
    <w:rsid w:val="00FD1A4F"/>
    <w:rsid w:val="00FD1CDE"/>
    <w:rsid w:val="00FD2A67"/>
    <w:rsid w:val="00FD47A5"/>
    <w:rsid w:val="00FD4942"/>
    <w:rsid w:val="00FD5CBC"/>
    <w:rsid w:val="00FD6C7A"/>
    <w:rsid w:val="00FD70A5"/>
    <w:rsid w:val="00FE002D"/>
    <w:rsid w:val="00FE2065"/>
    <w:rsid w:val="00FE2A50"/>
    <w:rsid w:val="00FE3325"/>
    <w:rsid w:val="00FE363C"/>
    <w:rsid w:val="00FE3AAE"/>
    <w:rsid w:val="00FE4786"/>
    <w:rsid w:val="00FE67D4"/>
    <w:rsid w:val="00FE79D0"/>
    <w:rsid w:val="00FF00EF"/>
    <w:rsid w:val="00FF09B9"/>
    <w:rsid w:val="00FF154F"/>
    <w:rsid w:val="00FF23F0"/>
    <w:rsid w:val="00FF2D87"/>
    <w:rsid w:val="00FF4458"/>
    <w:rsid w:val="00FF4A27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D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link w:val="Nadpis2Char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uiPriority w:val="35"/>
    <w:qFormat/>
    <w:rsid w:val="00F04964"/>
    <w:pPr>
      <w:jc w:val="both"/>
    </w:pPr>
    <w:rPr>
      <w:rFonts w:asciiTheme="minorHAnsi" w:hAnsiTheme="minorHAnsi" w:cs="Arial"/>
      <w:b/>
      <w:iCs/>
      <w:color w:val="000000" w:themeColor="text1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96B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A5B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B6D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A5B6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A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31A4D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A4D"/>
    <w:rPr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341E00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71757"/>
    <w:rPr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794A7C"/>
    <w:pPr>
      <w:contextualSpacing/>
      <w:jc w:val="both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EC32C9"/>
    <w:rPr>
      <w:rFonts w:eastAsia="SimSun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1A3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FDA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link w:val="Nadpis2Char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val="cs-CZ"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  <w:lang w:val="cs-CZ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  <w:lang w:val="cs-CZ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val="cs-CZ"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val="cs-CZ"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  <w:lang w:val="cs-CZ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  <w:lang w:val="cs-CZ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val="cs-CZ"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val="cs-CZ"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  <w:rPr>
      <w:lang w:val="cs-CZ"/>
    </w:r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  <w:lang w:val="cs-CZ"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val="cs-CZ" w:eastAsia="cs-CZ"/>
    </w:rPr>
  </w:style>
  <w:style w:type="paragraph" w:styleId="Titulek">
    <w:name w:val="caption"/>
    <w:basedOn w:val="Normln"/>
    <w:next w:val="Normln"/>
    <w:uiPriority w:val="35"/>
    <w:qFormat/>
    <w:rsid w:val="00F04964"/>
    <w:pPr>
      <w:jc w:val="both"/>
    </w:pPr>
    <w:rPr>
      <w:rFonts w:asciiTheme="minorHAnsi" w:hAnsiTheme="minorHAnsi" w:cs="Arial"/>
      <w:b/>
      <w:iCs/>
      <w:color w:val="000000" w:themeColor="text1"/>
      <w:lang w:val="cs-CZ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96B4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A5B6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B6D"/>
    <w:rPr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A5B6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ED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1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A4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31A4D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A4D"/>
    <w:rPr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341E00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71757"/>
    <w:rPr>
      <w:sz w:val="24"/>
      <w:szCs w:val="24"/>
      <w:lang w:val="en-US" w:eastAsia="en-US"/>
    </w:rPr>
  </w:style>
  <w:style w:type="paragraph" w:styleId="Bezmezer">
    <w:name w:val="No Spacing"/>
    <w:uiPriority w:val="1"/>
    <w:qFormat/>
    <w:rsid w:val="00794A7C"/>
    <w:pPr>
      <w:contextualSpacing/>
      <w:jc w:val="both"/>
    </w:pPr>
    <w:rPr>
      <w:rFonts w:asciiTheme="minorHAnsi" w:hAnsiTheme="minorHAnsi"/>
      <w:color w:val="000000" w:themeColor="text1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sid w:val="00EC32C9"/>
    <w:rPr>
      <w:rFonts w:eastAsia="SimSun"/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1A3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diagramQuickStyle" Target="diagrams/quickStyle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6AE5EC-EE3C-4B22-A8A0-B969BE6C43D2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A6255F9-0E52-40B6-8033-CDD8EFF599A3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2001</a:t>
          </a:r>
        </a:p>
      </dgm:t>
    </dgm:pt>
    <dgm:pt modelId="{2E409C61-997B-477F-861A-50CB213269C8}" type="parTrans" cxnId="{F7722EFE-2478-4869-8E6A-E7616C82DB32}">
      <dgm:prSet/>
      <dgm:spPr/>
      <dgm:t>
        <a:bodyPr/>
        <a:lstStyle/>
        <a:p>
          <a:endParaRPr lang="cs-CZ" sz="1200"/>
        </a:p>
      </dgm:t>
    </dgm:pt>
    <dgm:pt modelId="{64FD7D72-D150-424E-B45A-0F28D8A94E16}" type="sibTrans" cxnId="{F7722EFE-2478-4869-8E6A-E7616C82DB32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E2A66070-1BF4-4014-B3C6-72F16EC73EB8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2002</a:t>
          </a:r>
        </a:p>
      </dgm:t>
    </dgm:pt>
    <dgm:pt modelId="{A25065AA-41CD-4BB3-97FF-3D3C02D3BE13}" type="parTrans" cxnId="{70AE7624-FB44-41AA-94DF-FBB08D1B9CDA}">
      <dgm:prSet/>
      <dgm:spPr/>
      <dgm:t>
        <a:bodyPr/>
        <a:lstStyle/>
        <a:p>
          <a:endParaRPr lang="cs-CZ" sz="1200"/>
        </a:p>
      </dgm:t>
    </dgm:pt>
    <dgm:pt modelId="{196174CD-7A77-44FF-AF7E-61E6805976E0}" type="sibTrans" cxnId="{70AE7624-FB44-41AA-94DF-FBB08D1B9CDA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F8D4C6BF-75E0-4DDE-9EDF-84FF39909CFB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2003</a:t>
          </a:r>
        </a:p>
      </dgm:t>
    </dgm:pt>
    <dgm:pt modelId="{3DF135C0-170A-4E75-9ABF-479E5C23A111}" type="parTrans" cxnId="{88DFA3D1-865D-4D99-A55A-6A6F11DA0479}">
      <dgm:prSet/>
      <dgm:spPr/>
      <dgm:t>
        <a:bodyPr/>
        <a:lstStyle/>
        <a:p>
          <a:endParaRPr lang="cs-CZ" sz="1200"/>
        </a:p>
      </dgm:t>
    </dgm:pt>
    <dgm:pt modelId="{BF0AFF15-0644-445F-8566-90F5BA330E53}" type="sibTrans" cxnId="{88DFA3D1-865D-4D99-A55A-6A6F11DA0479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390490B9-C1E1-4C07-A5A6-EA6286402C1A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2006</a:t>
          </a:r>
        </a:p>
      </dgm:t>
    </dgm:pt>
    <dgm:pt modelId="{A3810B90-7A4E-4FE7-8DB4-EC4603BD0B58}" type="parTrans" cxnId="{4B00017B-4F6E-498F-95C9-587EC9A61460}">
      <dgm:prSet/>
      <dgm:spPr/>
      <dgm:t>
        <a:bodyPr/>
        <a:lstStyle/>
        <a:p>
          <a:endParaRPr lang="cs-CZ" sz="1200"/>
        </a:p>
      </dgm:t>
    </dgm:pt>
    <dgm:pt modelId="{2EB68FCF-F980-4676-AAA5-5EC142B55D7F}" type="sibTrans" cxnId="{4B00017B-4F6E-498F-95C9-587EC9A61460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8B13F162-86AA-4FFE-B909-B9E69F7ED658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2007</a:t>
          </a:r>
        </a:p>
      </dgm:t>
    </dgm:pt>
    <dgm:pt modelId="{A13F2E7C-A1C8-4C41-B6BB-A5C20010AC77}" type="parTrans" cxnId="{28524BC8-1807-4D36-9C75-6B7574043BB3}">
      <dgm:prSet/>
      <dgm:spPr/>
      <dgm:t>
        <a:bodyPr/>
        <a:lstStyle/>
        <a:p>
          <a:endParaRPr lang="cs-CZ" sz="1200"/>
        </a:p>
      </dgm:t>
    </dgm:pt>
    <dgm:pt modelId="{4D6BA68B-0BAF-41C3-930A-648373A2EA10}" type="sibTrans" cxnId="{28524BC8-1807-4D36-9C75-6B7574043BB3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D595E196-D62F-4CF7-9200-F550928C265D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2009</a:t>
          </a:r>
        </a:p>
      </dgm:t>
    </dgm:pt>
    <dgm:pt modelId="{7933C63C-D9EB-4F44-85A0-3CA173F3C938}" type="parTrans" cxnId="{48429BA6-B9E0-4D33-9EA5-6A5F9C8E3741}">
      <dgm:prSet/>
      <dgm:spPr/>
      <dgm:t>
        <a:bodyPr/>
        <a:lstStyle/>
        <a:p>
          <a:endParaRPr lang="cs-CZ" sz="1200"/>
        </a:p>
      </dgm:t>
    </dgm:pt>
    <dgm:pt modelId="{96396B30-2C12-4102-8BC3-01529A51A675}" type="sibTrans" cxnId="{48429BA6-B9E0-4D33-9EA5-6A5F9C8E3741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8F636409-18B9-44D2-81F4-70746D654120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2011</a:t>
          </a:r>
        </a:p>
      </dgm:t>
    </dgm:pt>
    <dgm:pt modelId="{AF6A5081-BAF8-4A74-A3C7-588BC55F09CB}" type="parTrans" cxnId="{9E8ED402-43F0-45CB-A620-43309A107D0E}">
      <dgm:prSet/>
      <dgm:spPr/>
      <dgm:t>
        <a:bodyPr/>
        <a:lstStyle/>
        <a:p>
          <a:endParaRPr lang="cs-CZ" sz="1200"/>
        </a:p>
      </dgm:t>
    </dgm:pt>
    <dgm:pt modelId="{16F7EFC6-B2FC-40B3-B251-A5A30E75F0D4}" type="sibTrans" cxnId="{9E8ED402-43F0-45CB-A620-43309A107D0E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6788657F-9513-47BB-95D3-46D6B3E4CB09}">
      <dgm:prSet phldrT="[Text]" custT="1"/>
      <dgm:spPr>
        <a:solidFill>
          <a:srgbClr val="004594"/>
        </a:solidFill>
        <a:ln w="9525">
          <a:solidFill>
            <a:srgbClr val="BC2A33"/>
          </a:solidFill>
        </a:ln>
      </dgm:spPr>
      <dgm:t>
        <a:bodyPr/>
        <a:lstStyle/>
        <a:p>
          <a:r>
            <a:rPr lang="cs-CZ" sz="1000" b="0" i="0"/>
            <a:t>2013</a:t>
          </a:r>
        </a:p>
      </dgm:t>
    </dgm:pt>
    <dgm:pt modelId="{7E92BCB1-2029-4606-8B6D-361A349F0739}" type="parTrans" cxnId="{B1462C5B-64B8-474A-9FB7-DFF7D1211C7A}">
      <dgm:prSet/>
      <dgm:spPr/>
      <dgm:t>
        <a:bodyPr/>
        <a:lstStyle/>
        <a:p>
          <a:endParaRPr lang="cs-CZ" sz="1200"/>
        </a:p>
      </dgm:t>
    </dgm:pt>
    <dgm:pt modelId="{2CCF00F4-8E29-482A-ABBB-EF3D9FC1811B}" type="sibTrans" cxnId="{B1462C5B-64B8-474A-9FB7-DFF7D1211C7A}">
      <dgm:prSet/>
      <dgm:spPr>
        <a:solidFill>
          <a:srgbClr val="BC2A33"/>
        </a:solidFill>
      </dgm:spPr>
      <dgm:t>
        <a:bodyPr/>
        <a:lstStyle/>
        <a:p>
          <a:endParaRPr lang="cs-CZ" sz="1200"/>
        </a:p>
      </dgm:t>
    </dgm:pt>
    <dgm:pt modelId="{A93C3784-9D34-462E-B74C-798DA91E9605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teroristické útoky v USA</a:t>
          </a:r>
          <a:endParaRPr lang="cs-CZ" sz="1000" b="0">
            <a:solidFill>
              <a:schemeClr val="tx2"/>
            </a:solidFill>
          </a:endParaRPr>
        </a:p>
      </dgm:t>
    </dgm:pt>
    <dgm:pt modelId="{CFD5E189-CC05-4BAD-8E4E-21193BDBD25A}" type="parTrans" cxnId="{D3D8B6BF-EECA-4FF3-9F5C-82A2F24C0502}">
      <dgm:prSet/>
      <dgm:spPr/>
      <dgm:t>
        <a:bodyPr/>
        <a:lstStyle/>
        <a:p>
          <a:endParaRPr lang="cs-CZ" sz="1200"/>
        </a:p>
      </dgm:t>
    </dgm:pt>
    <dgm:pt modelId="{87BCFE85-698B-48AD-A42D-0E8379DBB748}" type="sibTrans" cxnId="{D3D8B6BF-EECA-4FF3-9F5C-82A2F24C0502}">
      <dgm:prSet/>
      <dgm:spPr/>
      <dgm:t>
        <a:bodyPr/>
        <a:lstStyle/>
        <a:p>
          <a:endParaRPr lang="cs-CZ" sz="1200"/>
        </a:p>
      </dgm:t>
    </dgm:pt>
    <dgm:pt modelId="{CABFB840-0E2A-450A-BE5A-6257D7329A59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rgbClr val="004594"/>
              </a:solidFill>
            </a:rPr>
            <a:t> summit NATO v Praze, přijetí </a:t>
          </a:r>
          <a:r>
            <a:rPr lang="cs-CZ" sz="1000" b="0" i="1">
              <a:solidFill>
                <a:srgbClr val="004594"/>
              </a:solidFill>
            </a:rPr>
            <a:t>Pražských závazků ke schopnostem</a:t>
          </a:r>
        </a:p>
      </dgm:t>
    </dgm:pt>
    <dgm:pt modelId="{C20ED9E4-F209-4E43-8D68-82DEECA02D70}" type="parTrans" cxnId="{16CF117E-A8B6-4B4F-9BD5-657097B91490}">
      <dgm:prSet/>
      <dgm:spPr/>
      <dgm:t>
        <a:bodyPr/>
        <a:lstStyle/>
        <a:p>
          <a:endParaRPr lang="cs-CZ" sz="1200"/>
        </a:p>
      </dgm:t>
    </dgm:pt>
    <dgm:pt modelId="{CD0F2BF3-692D-41EC-B3C7-96322B090A12}" type="sibTrans" cxnId="{16CF117E-A8B6-4B4F-9BD5-657097B91490}">
      <dgm:prSet/>
      <dgm:spPr/>
      <dgm:t>
        <a:bodyPr/>
        <a:lstStyle/>
        <a:p>
          <a:endParaRPr lang="cs-CZ" sz="1200"/>
        </a:p>
      </dgm:t>
    </dgm:pt>
    <dgm:pt modelId="{601DDE09-84E6-4301-B8DD-9686EBAD424D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usnesení vlády č. 724 ze dne 16. července 2003 – CBO Těchonín prohlášeno za strategicky důležitou zakázku</a:t>
          </a:r>
          <a:endParaRPr lang="cs-CZ" sz="1000" b="0">
            <a:solidFill>
              <a:schemeClr val="tx2"/>
            </a:solidFill>
          </a:endParaRPr>
        </a:p>
      </dgm:t>
    </dgm:pt>
    <dgm:pt modelId="{69F6FBEC-29A1-4545-990E-65A15082F2E3}" type="parTrans" cxnId="{20BDAD2B-5B31-4004-A3D1-2BB349670DEE}">
      <dgm:prSet/>
      <dgm:spPr/>
      <dgm:t>
        <a:bodyPr/>
        <a:lstStyle/>
        <a:p>
          <a:endParaRPr lang="cs-CZ" sz="1200"/>
        </a:p>
      </dgm:t>
    </dgm:pt>
    <dgm:pt modelId="{27AC8919-D490-4D90-AAC2-55660D559D36}" type="sibTrans" cxnId="{20BDAD2B-5B31-4004-A3D1-2BB349670DEE}">
      <dgm:prSet/>
      <dgm:spPr/>
      <dgm:t>
        <a:bodyPr/>
        <a:lstStyle/>
        <a:p>
          <a:endParaRPr lang="cs-CZ" sz="1200"/>
        </a:p>
      </dgm:t>
    </dgm:pt>
    <dgm:pt modelId="{DBD3EECB-C1C3-4A91-B8D4-789874AFB4F3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JCBRND COE Vyškov zahájilo činnost</a:t>
          </a:r>
          <a:endParaRPr lang="cs-CZ" sz="1000" b="0">
            <a:solidFill>
              <a:schemeClr val="tx2"/>
            </a:solidFill>
          </a:endParaRPr>
        </a:p>
      </dgm:t>
    </dgm:pt>
    <dgm:pt modelId="{32DDF2DD-9F30-48D9-AD84-D5E4BB41A369}" type="parTrans" cxnId="{3CCEA499-07CC-4432-88C3-4CC750B4BD32}">
      <dgm:prSet/>
      <dgm:spPr/>
      <dgm:t>
        <a:bodyPr/>
        <a:lstStyle/>
        <a:p>
          <a:endParaRPr lang="cs-CZ" sz="1200"/>
        </a:p>
      </dgm:t>
    </dgm:pt>
    <dgm:pt modelId="{784D7E42-7151-45BC-A097-115C19D72792}" type="sibTrans" cxnId="{3CCEA499-07CC-4432-88C3-4CC750B4BD32}">
      <dgm:prSet/>
      <dgm:spPr/>
      <dgm:t>
        <a:bodyPr/>
        <a:lstStyle/>
        <a:p>
          <a:endParaRPr lang="cs-CZ" sz="1200"/>
        </a:p>
      </dgm:t>
    </dgm:pt>
    <dgm:pt modelId="{43042E4B-CDEC-41CF-A6DC-A29B22CD5A4F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MO hodnotí </a:t>
          </a:r>
          <a:r>
            <a:rPr lang="cs-CZ" sz="1000" b="0" i="1">
              <a:solidFill>
                <a:schemeClr val="tx2"/>
              </a:solidFill>
            </a:rPr>
            <a:t>Pražské závazky ke schopnostem</a:t>
          </a:r>
          <a:r>
            <a:rPr lang="cs-CZ" sz="1000" b="0" i="0">
              <a:solidFill>
                <a:schemeClr val="tx2"/>
              </a:solidFill>
            </a:rPr>
            <a:t> – v rámci biologické ochrany měly být všechny závazky splněny, včetně výstavby SIN</a:t>
          </a:r>
          <a:endParaRPr lang="cs-CZ" sz="1000" b="0">
            <a:solidFill>
              <a:schemeClr val="tx2"/>
            </a:solidFill>
          </a:endParaRPr>
        </a:p>
      </dgm:t>
    </dgm:pt>
    <dgm:pt modelId="{2C5C2CBB-EFF2-498B-85EE-70E55A591616}" type="parTrans" cxnId="{16D4A461-21FD-4A52-99AD-06063B449362}">
      <dgm:prSet/>
      <dgm:spPr/>
      <dgm:t>
        <a:bodyPr/>
        <a:lstStyle/>
        <a:p>
          <a:endParaRPr lang="cs-CZ" sz="1200"/>
        </a:p>
      </dgm:t>
    </dgm:pt>
    <dgm:pt modelId="{D3015093-1318-470F-B101-4E8F2AFA0A02}" type="sibTrans" cxnId="{16D4A461-21FD-4A52-99AD-06063B449362}">
      <dgm:prSet/>
      <dgm:spPr/>
      <dgm:t>
        <a:bodyPr/>
        <a:lstStyle/>
        <a:p>
          <a:endParaRPr lang="cs-CZ" sz="1200"/>
        </a:p>
      </dgm:t>
    </dgm:pt>
    <dgm:pt modelId="{DB510082-3498-42B8-B0E9-5BD75D3F173F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v květnu proběhla kolaudace SIN</a:t>
          </a:r>
          <a:endParaRPr lang="cs-CZ" sz="1000" b="0">
            <a:solidFill>
              <a:schemeClr val="tx2"/>
            </a:solidFill>
          </a:endParaRPr>
        </a:p>
      </dgm:t>
    </dgm:pt>
    <dgm:pt modelId="{46B2201F-7F37-4F79-B687-B02C29F1F27F}" type="parTrans" cxnId="{DA4F2481-F14B-412F-9670-B0C2E23B8455}">
      <dgm:prSet/>
      <dgm:spPr/>
      <dgm:t>
        <a:bodyPr/>
        <a:lstStyle/>
        <a:p>
          <a:endParaRPr lang="cs-CZ" sz="1200"/>
        </a:p>
      </dgm:t>
    </dgm:pt>
    <dgm:pt modelId="{12A20E71-5B7B-4888-B950-75225C55FF48}" type="sibTrans" cxnId="{DA4F2481-F14B-412F-9670-B0C2E23B8455}">
      <dgm:prSet/>
      <dgm:spPr/>
      <dgm:t>
        <a:bodyPr/>
        <a:lstStyle/>
        <a:p>
          <a:endParaRPr lang="cs-CZ" sz="1200"/>
        </a:p>
      </dgm:t>
    </dgm:pt>
    <dgm:pt modelId="{72AE95BC-1511-4CCF-BA4D-1282BCE93F0B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schválena Bílá kniha s úkolem najít využití CBO Těchonín, nebo jeho provoz zastavit</a:t>
          </a:r>
          <a:endParaRPr lang="cs-CZ" sz="1000" b="0">
            <a:solidFill>
              <a:schemeClr val="tx2"/>
            </a:solidFill>
          </a:endParaRPr>
        </a:p>
      </dgm:t>
    </dgm:pt>
    <dgm:pt modelId="{81311508-BEA6-47EB-850E-199583D7A918}" type="parTrans" cxnId="{D1FF130C-1284-4C91-9824-63F2FF09989E}">
      <dgm:prSet/>
      <dgm:spPr/>
      <dgm:t>
        <a:bodyPr/>
        <a:lstStyle/>
        <a:p>
          <a:endParaRPr lang="cs-CZ" sz="1200"/>
        </a:p>
      </dgm:t>
    </dgm:pt>
    <dgm:pt modelId="{04D273B7-FDCF-495F-9B9C-D86F4C50D950}" type="sibTrans" cxnId="{D1FF130C-1284-4C91-9824-63F2FF09989E}">
      <dgm:prSet/>
      <dgm:spPr/>
      <dgm:t>
        <a:bodyPr/>
        <a:lstStyle/>
        <a:p>
          <a:endParaRPr lang="cs-CZ" sz="1200"/>
        </a:p>
      </dgm:t>
    </dgm:pt>
    <dgm:pt modelId="{0ACFB6AA-B9A2-41E8-B1E0-F1D82A9C2BCB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další využití CBO Těchonín projednala Bezpečnostní rada státu</a:t>
          </a:r>
          <a:endParaRPr lang="cs-CZ" sz="1000" b="0">
            <a:solidFill>
              <a:schemeClr val="tx2"/>
            </a:solidFill>
          </a:endParaRPr>
        </a:p>
      </dgm:t>
    </dgm:pt>
    <dgm:pt modelId="{0DBFD1EA-8042-4190-8301-BAAF7AA9312A}" type="parTrans" cxnId="{3386761B-92BB-4F3F-B3BD-DBF8D796D3F7}">
      <dgm:prSet/>
      <dgm:spPr/>
      <dgm:t>
        <a:bodyPr/>
        <a:lstStyle/>
        <a:p>
          <a:endParaRPr lang="cs-CZ" sz="1200"/>
        </a:p>
      </dgm:t>
    </dgm:pt>
    <dgm:pt modelId="{D3CEF06A-E8EA-4BB9-B35B-15E11C90A323}" type="sibTrans" cxnId="{3386761B-92BB-4F3F-B3BD-DBF8D796D3F7}">
      <dgm:prSet/>
      <dgm:spPr/>
      <dgm:t>
        <a:bodyPr/>
        <a:lstStyle/>
        <a:p>
          <a:endParaRPr lang="cs-CZ" sz="1200"/>
        </a:p>
      </dgm:t>
    </dgm:pt>
    <dgm:pt modelId="{87D4C2E3-1F9D-4F10-970E-34CC582124F0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počátek výstavby CBO Těchonín</a:t>
          </a:r>
          <a:endParaRPr lang="cs-CZ" sz="1000" b="0">
            <a:solidFill>
              <a:schemeClr val="tx2"/>
            </a:solidFill>
          </a:endParaRPr>
        </a:p>
      </dgm:t>
    </dgm:pt>
    <dgm:pt modelId="{BA0776E7-4C4B-4683-B6EC-963D2C274250}" type="parTrans" cxnId="{9FC45A58-FFB4-407E-9899-6158E6C591B2}">
      <dgm:prSet/>
      <dgm:spPr/>
      <dgm:t>
        <a:bodyPr/>
        <a:lstStyle/>
        <a:p>
          <a:endParaRPr lang="cs-CZ"/>
        </a:p>
      </dgm:t>
    </dgm:pt>
    <dgm:pt modelId="{6DE28880-9298-405C-940D-4FFA76271E78}" type="sibTrans" cxnId="{9FC45A58-FFB4-407E-9899-6158E6C591B2}">
      <dgm:prSet/>
      <dgm:spPr/>
      <dgm:t>
        <a:bodyPr/>
        <a:lstStyle/>
        <a:p>
          <a:endParaRPr lang="cs-CZ"/>
        </a:p>
      </dgm:t>
    </dgm:pt>
    <dgm:pt modelId="{985B9175-F4A1-4D41-8424-1CAC35685572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zahájen zkušební provoz CBO Těchonín soukromou společností</a:t>
          </a:r>
          <a:endParaRPr lang="cs-CZ" sz="1000" b="0">
            <a:solidFill>
              <a:schemeClr val="tx2"/>
            </a:solidFill>
          </a:endParaRPr>
        </a:p>
      </dgm:t>
    </dgm:pt>
    <dgm:pt modelId="{167560FB-F8DF-4AD4-8172-E9D278BEE0B8}" type="parTrans" cxnId="{9E616183-9356-4409-B96A-AFCF9B656E59}">
      <dgm:prSet/>
      <dgm:spPr/>
      <dgm:t>
        <a:bodyPr/>
        <a:lstStyle/>
        <a:p>
          <a:endParaRPr lang="cs-CZ"/>
        </a:p>
      </dgm:t>
    </dgm:pt>
    <dgm:pt modelId="{927D0AFF-4D79-41D7-A7E9-3E1158933234}" type="sibTrans" cxnId="{9E616183-9356-4409-B96A-AFCF9B656E59}">
      <dgm:prSet/>
      <dgm:spPr/>
      <dgm:t>
        <a:bodyPr/>
        <a:lstStyle/>
        <a:p>
          <a:endParaRPr lang="cs-CZ"/>
        </a:p>
      </dgm:t>
    </dgm:pt>
    <dgm:pt modelId="{DE70DBB7-DA5A-4E19-AF12-2AA4045101AE}">
      <dgm:prSet custT="1"/>
      <dgm:spPr>
        <a:ln w="6350">
          <a:solidFill>
            <a:srgbClr val="BC2A33"/>
          </a:solidFill>
        </a:ln>
      </dgm:spPr>
      <dgm:t>
        <a:bodyPr/>
        <a:lstStyle/>
        <a:p>
          <a:pPr algn="just"/>
          <a:r>
            <a:rPr lang="cs-CZ" sz="1000" b="0" i="0">
              <a:solidFill>
                <a:schemeClr val="tx2"/>
              </a:solidFill>
            </a:rPr>
            <a:t> správu a provoz CBO Těchonín převzala ASPO</a:t>
          </a:r>
          <a:endParaRPr lang="cs-CZ" sz="1000" b="0">
            <a:solidFill>
              <a:schemeClr val="tx2"/>
            </a:solidFill>
          </a:endParaRPr>
        </a:p>
      </dgm:t>
    </dgm:pt>
    <dgm:pt modelId="{22D4D0E4-CA94-49FD-ACB4-83D9C41D931D}" type="parTrans" cxnId="{B9C3FA16-E5D0-49D1-AB31-F9B80AD95347}">
      <dgm:prSet/>
      <dgm:spPr/>
      <dgm:t>
        <a:bodyPr/>
        <a:lstStyle/>
        <a:p>
          <a:endParaRPr lang="cs-CZ"/>
        </a:p>
      </dgm:t>
    </dgm:pt>
    <dgm:pt modelId="{7CF51092-7A29-4773-9410-7E7E4BE70E5B}" type="sibTrans" cxnId="{B9C3FA16-E5D0-49D1-AB31-F9B80AD95347}">
      <dgm:prSet/>
      <dgm:spPr/>
      <dgm:t>
        <a:bodyPr/>
        <a:lstStyle/>
        <a:p>
          <a:endParaRPr lang="cs-CZ"/>
        </a:p>
      </dgm:t>
    </dgm:pt>
    <dgm:pt modelId="{6215DA3F-4838-490F-B750-461457938447}" type="pres">
      <dgm:prSet presAssocID="{786AE5EC-EE3C-4B22-A8A0-B969BE6C43D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4F86CDDF-16F4-40C6-9BCD-BA72BE4D99B7}" type="pres">
      <dgm:prSet presAssocID="{FA6255F9-0E52-40B6-8033-CDD8EFF599A3}" presName="composite" presStyleCnt="0"/>
      <dgm:spPr/>
    </dgm:pt>
    <dgm:pt modelId="{D41A0052-A091-4C6F-9818-74D6A2433BB9}" type="pres">
      <dgm:prSet presAssocID="{FA6255F9-0E52-40B6-8033-CDD8EFF599A3}" presName="parentText" presStyleLbl="align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6AF931-5E06-4258-AA87-B3061398A39E}" type="pres">
      <dgm:prSet presAssocID="{FA6255F9-0E52-40B6-8033-CDD8EFF599A3}" presName="descendantText" presStyleLbl="alignAcc1" presStyleIdx="0" presStyleCnt="8" custScaleX="100019" custScaleY="9998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47F0FCE-8105-43B8-AE51-A0F9A468DE9F}" type="pres">
      <dgm:prSet presAssocID="{64FD7D72-D150-424E-B45A-0F28D8A94E16}" presName="sp" presStyleCnt="0"/>
      <dgm:spPr/>
    </dgm:pt>
    <dgm:pt modelId="{F59E2CE7-CD40-4257-828B-7051A33BDCF0}" type="pres">
      <dgm:prSet presAssocID="{E2A66070-1BF4-4014-B3C6-72F16EC73EB8}" presName="composite" presStyleCnt="0"/>
      <dgm:spPr/>
    </dgm:pt>
    <dgm:pt modelId="{BFE4D11C-4D3E-4851-8A0F-2390A4E514F8}" type="pres">
      <dgm:prSet presAssocID="{E2A66070-1BF4-4014-B3C6-72F16EC73EB8}" presName="parentText" presStyleLbl="align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70F8609-D83C-4D28-899F-01D00EAE9ECF}" type="pres">
      <dgm:prSet presAssocID="{E2A66070-1BF4-4014-B3C6-72F16EC73EB8}" presName="descendantText" presStyleLbl="alignAcc1" presStyleIdx="1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A7FAE2C-387F-47EE-9F58-1173F1B99A1E}" type="pres">
      <dgm:prSet presAssocID="{196174CD-7A77-44FF-AF7E-61E6805976E0}" presName="sp" presStyleCnt="0"/>
      <dgm:spPr/>
    </dgm:pt>
    <dgm:pt modelId="{0BEB3511-842D-4B01-9BB3-C757EF5591A6}" type="pres">
      <dgm:prSet presAssocID="{F8D4C6BF-75E0-4DDE-9EDF-84FF39909CFB}" presName="composite" presStyleCnt="0"/>
      <dgm:spPr/>
    </dgm:pt>
    <dgm:pt modelId="{B881D0C9-CD63-47B0-A7AC-615BBAB497F6}" type="pres">
      <dgm:prSet presAssocID="{F8D4C6BF-75E0-4DDE-9EDF-84FF39909CFB}" presName="parentText" presStyleLbl="align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B7892E4-CA1D-4CA9-9670-31DE141E8EA5}" type="pres">
      <dgm:prSet presAssocID="{F8D4C6BF-75E0-4DDE-9EDF-84FF39909CFB}" presName="descendantText" presStyleLbl="alignAcc1" presStyleIdx="2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FED057C-C493-4D51-8AB1-E142E1990E08}" type="pres">
      <dgm:prSet presAssocID="{BF0AFF15-0644-445F-8566-90F5BA330E53}" presName="sp" presStyleCnt="0"/>
      <dgm:spPr/>
    </dgm:pt>
    <dgm:pt modelId="{41C31445-DC42-4819-B649-E4C0FC791D5F}" type="pres">
      <dgm:prSet presAssocID="{390490B9-C1E1-4C07-A5A6-EA6286402C1A}" presName="composite" presStyleCnt="0"/>
      <dgm:spPr/>
    </dgm:pt>
    <dgm:pt modelId="{B4281283-F467-418B-AB7F-62288F6F95DE}" type="pres">
      <dgm:prSet presAssocID="{390490B9-C1E1-4C07-A5A6-EA6286402C1A}" presName="parentText" presStyleLbl="align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F92BEC2-D07B-4296-9C12-7ADE173C8860}" type="pres">
      <dgm:prSet presAssocID="{390490B9-C1E1-4C07-A5A6-EA6286402C1A}" presName="descendantText" presStyleLbl="alignAcc1" presStyleIdx="3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EEA1EF2-2BE2-457D-BC04-2D41EEEA4EA0}" type="pres">
      <dgm:prSet presAssocID="{2EB68FCF-F980-4676-AAA5-5EC142B55D7F}" presName="sp" presStyleCnt="0"/>
      <dgm:spPr/>
    </dgm:pt>
    <dgm:pt modelId="{C61FFD7E-40FB-44B9-B3EE-A8CC4CCCB1FE}" type="pres">
      <dgm:prSet presAssocID="{8B13F162-86AA-4FFE-B909-B9E69F7ED658}" presName="composite" presStyleCnt="0"/>
      <dgm:spPr/>
    </dgm:pt>
    <dgm:pt modelId="{63DE1E02-C873-4DB0-A81F-3B1EA158C375}" type="pres">
      <dgm:prSet presAssocID="{8B13F162-86AA-4FFE-B909-B9E69F7ED658}" presName="parentText" presStyleLbl="align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1E4D18B-8DC8-4EB0-975E-596BBCE4C983}" type="pres">
      <dgm:prSet presAssocID="{8B13F162-86AA-4FFE-B909-B9E69F7ED658}" presName="descendantText" presStyleLbl="alignAcc1" presStyleIdx="4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49A789F-6BBC-4483-9883-A428CBFE21E7}" type="pres">
      <dgm:prSet presAssocID="{4D6BA68B-0BAF-41C3-930A-648373A2EA10}" presName="sp" presStyleCnt="0"/>
      <dgm:spPr/>
    </dgm:pt>
    <dgm:pt modelId="{8D5BD512-25E2-4CC6-8AC9-2A14B543B427}" type="pres">
      <dgm:prSet presAssocID="{D595E196-D62F-4CF7-9200-F550928C265D}" presName="composite" presStyleCnt="0"/>
      <dgm:spPr/>
    </dgm:pt>
    <dgm:pt modelId="{6444E096-88D8-4148-B450-529447600BE2}" type="pres">
      <dgm:prSet presAssocID="{D595E196-D62F-4CF7-9200-F550928C265D}" presName="parentText" presStyleLbl="align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42FD17C-85B3-488B-B3F5-17FD02DBE16B}" type="pres">
      <dgm:prSet presAssocID="{D595E196-D62F-4CF7-9200-F550928C265D}" presName="descendantText" presStyleLbl="alignAcc1" presStyleIdx="5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5C44D79-829C-4569-97AF-99ED157C630D}" type="pres">
      <dgm:prSet presAssocID="{96396B30-2C12-4102-8BC3-01529A51A675}" presName="sp" presStyleCnt="0"/>
      <dgm:spPr/>
    </dgm:pt>
    <dgm:pt modelId="{13E583DF-4288-4D8F-B7D9-D148484E7AED}" type="pres">
      <dgm:prSet presAssocID="{8F636409-18B9-44D2-81F4-70746D654120}" presName="composite" presStyleCnt="0"/>
      <dgm:spPr/>
    </dgm:pt>
    <dgm:pt modelId="{3F49BFAF-4301-4035-96F8-A9E192B46078}" type="pres">
      <dgm:prSet presAssocID="{8F636409-18B9-44D2-81F4-70746D654120}" presName="parentText" presStyleLbl="align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AEA20E9-B4B8-45A5-AE1D-FF272B8F5FF1}" type="pres">
      <dgm:prSet presAssocID="{8F636409-18B9-44D2-81F4-70746D654120}" presName="descendantText" presStyleLbl="alignAcc1" presStyleIdx="6" presStyleCnt="8" custLinFactNeighborY="-7019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3B80115-E6A2-468E-8CBE-19BBFF8E95F1}" type="pres">
      <dgm:prSet presAssocID="{16F7EFC6-B2FC-40B3-B251-A5A30E75F0D4}" presName="sp" presStyleCnt="0"/>
      <dgm:spPr/>
    </dgm:pt>
    <dgm:pt modelId="{64406809-3D64-49CD-8BE2-8D372CBCBBD4}" type="pres">
      <dgm:prSet presAssocID="{6788657F-9513-47BB-95D3-46D6B3E4CB09}" presName="composite" presStyleCnt="0"/>
      <dgm:spPr/>
    </dgm:pt>
    <dgm:pt modelId="{A5762347-2B81-4289-B629-C256A53B96BF}" type="pres">
      <dgm:prSet presAssocID="{6788657F-9513-47BB-95D3-46D6B3E4CB09}" presName="parentText" presStyleLbl="align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12ABD03-6C2F-4080-ABAA-6414A1B1A6F8}" type="pres">
      <dgm:prSet presAssocID="{6788657F-9513-47BB-95D3-46D6B3E4CB09}" presName="descendantText" presStyleLbl="alignAcc1" presStyleIdx="7" presStyleCnt="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04F0AE8-CD67-401C-9333-181A7302D511}" type="presOf" srcId="{985B9175-F4A1-4D41-8424-1CAC35685572}" destId="{FF92BEC2-D07B-4296-9C12-7ADE173C8860}" srcOrd="0" destOrd="1" presId="urn:microsoft.com/office/officeart/2005/8/layout/chevron2"/>
    <dgm:cxn modelId="{48429BA6-B9E0-4D33-9EA5-6A5F9C8E3741}" srcId="{786AE5EC-EE3C-4B22-A8A0-B969BE6C43D2}" destId="{D595E196-D62F-4CF7-9200-F550928C265D}" srcOrd="5" destOrd="0" parTransId="{7933C63C-D9EB-4F44-85A0-3CA173F3C938}" sibTransId="{96396B30-2C12-4102-8BC3-01529A51A675}"/>
    <dgm:cxn modelId="{479AD677-E0AB-4AC8-9FA0-6CECE1DD41E1}" type="presOf" srcId="{87D4C2E3-1F9D-4F10-970E-34CC582124F0}" destId="{336AF931-5E06-4258-AA87-B3061398A39E}" srcOrd="0" destOrd="1" presId="urn:microsoft.com/office/officeart/2005/8/layout/chevron2"/>
    <dgm:cxn modelId="{B9C3FA16-E5D0-49D1-AB31-F9B80AD95347}" srcId="{6788657F-9513-47BB-95D3-46D6B3E4CB09}" destId="{DE70DBB7-DA5A-4E19-AF12-2AA4045101AE}" srcOrd="1" destOrd="0" parTransId="{22D4D0E4-CA94-49FD-ACB4-83D9C41D931D}" sibTransId="{7CF51092-7A29-4773-9410-7E7E4BE70E5B}"/>
    <dgm:cxn modelId="{9E8ED402-43F0-45CB-A620-43309A107D0E}" srcId="{786AE5EC-EE3C-4B22-A8A0-B969BE6C43D2}" destId="{8F636409-18B9-44D2-81F4-70746D654120}" srcOrd="6" destOrd="0" parTransId="{AF6A5081-BAF8-4A74-A3C7-588BC55F09CB}" sibTransId="{16F7EFC6-B2FC-40B3-B251-A5A30E75F0D4}"/>
    <dgm:cxn modelId="{88DFA3D1-865D-4D99-A55A-6A6F11DA0479}" srcId="{786AE5EC-EE3C-4B22-A8A0-B969BE6C43D2}" destId="{F8D4C6BF-75E0-4DDE-9EDF-84FF39909CFB}" srcOrd="2" destOrd="0" parTransId="{3DF135C0-170A-4E75-9ABF-479E5C23A111}" sibTransId="{BF0AFF15-0644-445F-8566-90F5BA330E53}"/>
    <dgm:cxn modelId="{4F414C24-84A4-4904-A415-CDD1ADF5D0DB}" type="presOf" srcId="{D595E196-D62F-4CF7-9200-F550928C265D}" destId="{6444E096-88D8-4148-B450-529447600BE2}" srcOrd="0" destOrd="0" presId="urn:microsoft.com/office/officeart/2005/8/layout/chevron2"/>
    <dgm:cxn modelId="{00CEAD18-C776-4DDE-9E46-EC815040DAAA}" type="presOf" srcId="{FA6255F9-0E52-40B6-8033-CDD8EFF599A3}" destId="{D41A0052-A091-4C6F-9818-74D6A2433BB9}" srcOrd="0" destOrd="0" presId="urn:microsoft.com/office/officeart/2005/8/layout/chevron2"/>
    <dgm:cxn modelId="{70AE7624-FB44-41AA-94DF-FBB08D1B9CDA}" srcId="{786AE5EC-EE3C-4B22-A8A0-B969BE6C43D2}" destId="{E2A66070-1BF4-4014-B3C6-72F16EC73EB8}" srcOrd="1" destOrd="0" parTransId="{A25065AA-41CD-4BB3-97FF-3D3C02D3BE13}" sibTransId="{196174CD-7A77-44FF-AF7E-61E6805976E0}"/>
    <dgm:cxn modelId="{5425ADC6-7F6D-4D09-9655-0E5E9ED2F0AA}" type="presOf" srcId="{DE70DBB7-DA5A-4E19-AF12-2AA4045101AE}" destId="{B12ABD03-6C2F-4080-ABAA-6414A1B1A6F8}" srcOrd="0" destOrd="1" presId="urn:microsoft.com/office/officeart/2005/8/layout/chevron2"/>
    <dgm:cxn modelId="{B1AD002E-2600-4059-BA6B-64306A6DB3AD}" type="presOf" srcId="{43042E4B-CDEC-41CF-A6DC-A29B22CD5A4F}" destId="{41E4D18B-8DC8-4EB0-975E-596BBCE4C983}" srcOrd="0" destOrd="0" presId="urn:microsoft.com/office/officeart/2005/8/layout/chevron2"/>
    <dgm:cxn modelId="{CD8C3794-15DB-43CE-A17A-E3CA9EE8899C}" type="presOf" srcId="{F8D4C6BF-75E0-4DDE-9EDF-84FF39909CFB}" destId="{B881D0C9-CD63-47B0-A7AC-615BBAB497F6}" srcOrd="0" destOrd="0" presId="urn:microsoft.com/office/officeart/2005/8/layout/chevron2"/>
    <dgm:cxn modelId="{83C376FD-18A5-4356-ACE8-6BC44AC3BE95}" type="presOf" srcId="{72AE95BC-1511-4CCF-BA4D-1282BCE93F0B}" destId="{1AEA20E9-B4B8-45A5-AE1D-FF272B8F5FF1}" srcOrd="0" destOrd="0" presId="urn:microsoft.com/office/officeart/2005/8/layout/chevron2"/>
    <dgm:cxn modelId="{20BDAD2B-5B31-4004-A3D1-2BB349670DEE}" srcId="{F8D4C6BF-75E0-4DDE-9EDF-84FF39909CFB}" destId="{601DDE09-84E6-4301-B8DD-9686EBAD424D}" srcOrd="0" destOrd="0" parTransId="{69F6FBEC-29A1-4545-990E-65A15082F2E3}" sibTransId="{27AC8919-D490-4D90-AAC2-55660D559D36}"/>
    <dgm:cxn modelId="{16D4A461-21FD-4A52-99AD-06063B449362}" srcId="{8B13F162-86AA-4FFE-B909-B9E69F7ED658}" destId="{43042E4B-CDEC-41CF-A6DC-A29B22CD5A4F}" srcOrd="0" destOrd="0" parTransId="{2C5C2CBB-EFF2-498B-85EE-70E55A591616}" sibTransId="{D3015093-1318-470F-B101-4E8F2AFA0A02}"/>
    <dgm:cxn modelId="{DA4F2481-F14B-412F-9670-B0C2E23B8455}" srcId="{D595E196-D62F-4CF7-9200-F550928C265D}" destId="{DB510082-3498-42B8-B0E9-5BD75D3F173F}" srcOrd="0" destOrd="0" parTransId="{46B2201F-7F37-4F79-B687-B02C29F1F27F}" sibTransId="{12A20E71-5B7B-4888-B950-75225C55FF48}"/>
    <dgm:cxn modelId="{4B00017B-4F6E-498F-95C9-587EC9A61460}" srcId="{786AE5EC-EE3C-4B22-A8A0-B969BE6C43D2}" destId="{390490B9-C1E1-4C07-A5A6-EA6286402C1A}" srcOrd="3" destOrd="0" parTransId="{A3810B90-7A4E-4FE7-8DB4-EC4603BD0B58}" sibTransId="{2EB68FCF-F980-4676-AAA5-5EC142B55D7F}"/>
    <dgm:cxn modelId="{F7722EFE-2478-4869-8E6A-E7616C82DB32}" srcId="{786AE5EC-EE3C-4B22-A8A0-B969BE6C43D2}" destId="{FA6255F9-0E52-40B6-8033-CDD8EFF599A3}" srcOrd="0" destOrd="0" parTransId="{2E409C61-997B-477F-861A-50CB213269C8}" sibTransId="{64FD7D72-D150-424E-B45A-0F28D8A94E16}"/>
    <dgm:cxn modelId="{9E616183-9356-4409-B96A-AFCF9B656E59}" srcId="{390490B9-C1E1-4C07-A5A6-EA6286402C1A}" destId="{985B9175-F4A1-4D41-8424-1CAC35685572}" srcOrd="1" destOrd="0" parTransId="{167560FB-F8DF-4AD4-8172-E9D278BEE0B8}" sibTransId="{927D0AFF-4D79-41D7-A7E9-3E1158933234}"/>
    <dgm:cxn modelId="{8DCCFA13-4651-4E79-9F62-3C3C5F18AF2E}" type="presOf" srcId="{DBD3EECB-C1C3-4A91-B8D4-789874AFB4F3}" destId="{FF92BEC2-D07B-4296-9C12-7ADE173C8860}" srcOrd="0" destOrd="0" presId="urn:microsoft.com/office/officeart/2005/8/layout/chevron2"/>
    <dgm:cxn modelId="{D79C68FF-5D7B-4370-ABD7-724EEFAF785B}" type="presOf" srcId="{0ACFB6AA-B9A2-41E8-B1E0-F1D82A9C2BCB}" destId="{B12ABD03-6C2F-4080-ABAA-6414A1B1A6F8}" srcOrd="0" destOrd="0" presId="urn:microsoft.com/office/officeart/2005/8/layout/chevron2"/>
    <dgm:cxn modelId="{D1FF130C-1284-4C91-9824-63F2FF09989E}" srcId="{8F636409-18B9-44D2-81F4-70746D654120}" destId="{72AE95BC-1511-4CCF-BA4D-1282BCE93F0B}" srcOrd="0" destOrd="0" parTransId="{81311508-BEA6-47EB-850E-199583D7A918}" sibTransId="{04D273B7-FDCF-495F-9B9C-D86F4C50D950}"/>
    <dgm:cxn modelId="{87825F9D-EC21-4E6D-BE30-E4212F2C3ACE}" type="presOf" srcId="{8B13F162-86AA-4FFE-B909-B9E69F7ED658}" destId="{63DE1E02-C873-4DB0-A81F-3B1EA158C375}" srcOrd="0" destOrd="0" presId="urn:microsoft.com/office/officeart/2005/8/layout/chevron2"/>
    <dgm:cxn modelId="{4F352A4E-D772-46B4-839E-0EDBC944516A}" type="presOf" srcId="{E2A66070-1BF4-4014-B3C6-72F16EC73EB8}" destId="{BFE4D11C-4D3E-4851-8A0F-2390A4E514F8}" srcOrd="0" destOrd="0" presId="urn:microsoft.com/office/officeart/2005/8/layout/chevron2"/>
    <dgm:cxn modelId="{16CF117E-A8B6-4B4F-9BD5-657097B91490}" srcId="{E2A66070-1BF4-4014-B3C6-72F16EC73EB8}" destId="{CABFB840-0E2A-450A-BE5A-6257D7329A59}" srcOrd="0" destOrd="0" parTransId="{C20ED9E4-F209-4E43-8D68-82DEECA02D70}" sibTransId="{CD0F2BF3-692D-41EC-B3C7-96322B090A12}"/>
    <dgm:cxn modelId="{33793B3D-5EFE-4ED6-8361-FFB51DA28AB7}" type="presOf" srcId="{CABFB840-0E2A-450A-BE5A-6257D7329A59}" destId="{470F8609-D83C-4D28-899F-01D00EAE9ECF}" srcOrd="0" destOrd="0" presId="urn:microsoft.com/office/officeart/2005/8/layout/chevron2"/>
    <dgm:cxn modelId="{3CCEA499-07CC-4432-88C3-4CC750B4BD32}" srcId="{390490B9-C1E1-4C07-A5A6-EA6286402C1A}" destId="{DBD3EECB-C1C3-4A91-B8D4-789874AFB4F3}" srcOrd="0" destOrd="0" parTransId="{32DDF2DD-9F30-48D9-AD84-D5E4BB41A369}" sibTransId="{784D7E42-7151-45BC-A097-115C19D72792}"/>
    <dgm:cxn modelId="{801C6047-7CEE-46B4-99A4-D9FBD9FA8389}" type="presOf" srcId="{DB510082-3498-42B8-B0E9-5BD75D3F173F}" destId="{F42FD17C-85B3-488B-B3F5-17FD02DBE16B}" srcOrd="0" destOrd="0" presId="urn:microsoft.com/office/officeart/2005/8/layout/chevron2"/>
    <dgm:cxn modelId="{28524BC8-1807-4D36-9C75-6B7574043BB3}" srcId="{786AE5EC-EE3C-4B22-A8A0-B969BE6C43D2}" destId="{8B13F162-86AA-4FFE-B909-B9E69F7ED658}" srcOrd="4" destOrd="0" parTransId="{A13F2E7C-A1C8-4C41-B6BB-A5C20010AC77}" sibTransId="{4D6BA68B-0BAF-41C3-930A-648373A2EA10}"/>
    <dgm:cxn modelId="{3386761B-92BB-4F3F-B3BD-DBF8D796D3F7}" srcId="{6788657F-9513-47BB-95D3-46D6B3E4CB09}" destId="{0ACFB6AA-B9A2-41E8-B1E0-F1D82A9C2BCB}" srcOrd="0" destOrd="0" parTransId="{0DBFD1EA-8042-4190-8301-BAAF7AA9312A}" sibTransId="{D3CEF06A-E8EA-4BB9-B35B-15E11C90A323}"/>
    <dgm:cxn modelId="{089BB069-A98A-4CFC-A0E6-D0BB8DD82B33}" type="presOf" srcId="{6788657F-9513-47BB-95D3-46D6B3E4CB09}" destId="{A5762347-2B81-4289-B629-C256A53B96BF}" srcOrd="0" destOrd="0" presId="urn:microsoft.com/office/officeart/2005/8/layout/chevron2"/>
    <dgm:cxn modelId="{64115B45-CABF-4036-9CF6-5CE7AB313359}" type="presOf" srcId="{8F636409-18B9-44D2-81F4-70746D654120}" destId="{3F49BFAF-4301-4035-96F8-A9E192B46078}" srcOrd="0" destOrd="0" presId="urn:microsoft.com/office/officeart/2005/8/layout/chevron2"/>
    <dgm:cxn modelId="{9FC45A58-FFB4-407E-9899-6158E6C591B2}" srcId="{FA6255F9-0E52-40B6-8033-CDD8EFF599A3}" destId="{87D4C2E3-1F9D-4F10-970E-34CC582124F0}" srcOrd="1" destOrd="0" parTransId="{BA0776E7-4C4B-4683-B6EC-963D2C274250}" sibTransId="{6DE28880-9298-405C-940D-4FFA76271E78}"/>
    <dgm:cxn modelId="{4389845C-2221-460E-9AA8-5E1C3E25AFEB}" type="presOf" srcId="{786AE5EC-EE3C-4B22-A8A0-B969BE6C43D2}" destId="{6215DA3F-4838-490F-B750-461457938447}" srcOrd="0" destOrd="0" presId="urn:microsoft.com/office/officeart/2005/8/layout/chevron2"/>
    <dgm:cxn modelId="{49CDC3B3-2BF5-4E78-8877-9ECCF919D365}" type="presOf" srcId="{601DDE09-84E6-4301-B8DD-9686EBAD424D}" destId="{CB7892E4-CA1D-4CA9-9670-31DE141E8EA5}" srcOrd="0" destOrd="0" presId="urn:microsoft.com/office/officeart/2005/8/layout/chevron2"/>
    <dgm:cxn modelId="{87F24DA2-1C55-431D-8A2D-CE1D25AEB356}" type="presOf" srcId="{A93C3784-9D34-462E-B74C-798DA91E9605}" destId="{336AF931-5E06-4258-AA87-B3061398A39E}" srcOrd="0" destOrd="0" presId="urn:microsoft.com/office/officeart/2005/8/layout/chevron2"/>
    <dgm:cxn modelId="{79406D1B-8BDB-43EF-8C09-094102D9390E}" type="presOf" srcId="{390490B9-C1E1-4C07-A5A6-EA6286402C1A}" destId="{B4281283-F467-418B-AB7F-62288F6F95DE}" srcOrd="0" destOrd="0" presId="urn:microsoft.com/office/officeart/2005/8/layout/chevron2"/>
    <dgm:cxn modelId="{B1462C5B-64B8-474A-9FB7-DFF7D1211C7A}" srcId="{786AE5EC-EE3C-4B22-A8A0-B969BE6C43D2}" destId="{6788657F-9513-47BB-95D3-46D6B3E4CB09}" srcOrd="7" destOrd="0" parTransId="{7E92BCB1-2029-4606-8B6D-361A349F0739}" sibTransId="{2CCF00F4-8E29-482A-ABBB-EF3D9FC1811B}"/>
    <dgm:cxn modelId="{D3D8B6BF-EECA-4FF3-9F5C-82A2F24C0502}" srcId="{FA6255F9-0E52-40B6-8033-CDD8EFF599A3}" destId="{A93C3784-9D34-462E-B74C-798DA91E9605}" srcOrd="0" destOrd="0" parTransId="{CFD5E189-CC05-4BAD-8E4E-21193BDBD25A}" sibTransId="{87BCFE85-698B-48AD-A42D-0E8379DBB748}"/>
    <dgm:cxn modelId="{45478201-B0E6-4253-8B3F-46862B191C0B}" type="presParOf" srcId="{6215DA3F-4838-490F-B750-461457938447}" destId="{4F86CDDF-16F4-40C6-9BCD-BA72BE4D99B7}" srcOrd="0" destOrd="0" presId="urn:microsoft.com/office/officeart/2005/8/layout/chevron2"/>
    <dgm:cxn modelId="{085756CD-4453-4BC6-A4E2-58237DE70DCB}" type="presParOf" srcId="{4F86CDDF-16F4-40C6-9BCD-BA72BE4D99B7}" destId="{D41A0052-A091-4C6F-9818-74D6A2433BB9}" srcOrd="0" destOrd="0" presId="urn:microsoft.com/office/officeart/2005/8/layout/chevron2"/>
    <dgm:cxn modelId="{6FDE3A18-F622-4C2E-BEFB-8DC7113CCE7B}" type="presParOf" srcId="{4F86CDDF-16F4-40C6-9BCD-BA72BE4D99B7}" destId="{336AF931-5E06-4258-AA87-B3061398A39E}" srcOrd="1" destOrd="0" presId="urn:microsoft.com/office/officeart/2005/8/layout/chevron2"/>
    <dgm:cxn modelId="{468682E8-7763-4957-B3FB-DC190043DD94}" type="presParOf" srcId="{6215DA3F-4838-490F-B750-461457938447}" destId="{947F0FCE-8105-43B8-AE51-A0F9A468DE9F}" srcOrd="1" destOrd="0" presId="urn:microsoft.com/office/officeart/2005/8/layout/chevron2"/>
    <dgm:cxn modelId="{C7D7ED2A-BBED-449F-9FB4-86873A5F9144}" type="presParOf" srcId="{6215DA3F-4838-490F-B750-461457938447}" destId="{F59E2CE7-CD40-4257-828B-7051A33BDCF0}" srcOrd="2" destOrd="0" presId="urn:microsoft.com/office/officeart/2005/8/layout/chevron2"/>
    <dgm:cxn modelId="{710655DF-FEED-4A6C-B749-51FAF7E22714}" type="presParOf" srcId="{F59E2CE7-CD40-4257-828B-7051A33BDCF0}" destId="{BFE4D11C-4D3E-4851-8A0F-2390A4E514F8}" srcOrd="0" destOrd="0" presId="urn:microsoft.com/office/officeart/2005/8/layout/chevron2"/>
    <dgm:cxn modelId="{7899C694-7168-40AC-A10D-6899956C8423}" type="presParOf" srcId="{F59E2CE7-CD40-4257-828B-7051A33BDCF0}" destId="{470F8609-D83C-4D28-899F-01D00EAE9ECF}" srcOrd="1" destOrd="0" presId="urn:microsoft.com/office/officeart/2005/8/layout/chevron2"/>
    <dgm:cxn modelId="{DBD6A0E4-7C2A-4DA3-AF80-45ED038BBF3C}" type="presParOf" srcId="{6215DA3F-4838-490F-B750-461457938447}" destId="{0A7FAE2C-387F-47EE-9F58-1173F1B99A1E}" srcOrd="3" destOrd="0" presId="urn:microsoft.com/office/officeart/2005/8/layout/chevron2"/>
    <dgm:cxn modelId="{5FAFFEF6-BCCC-4CFE-B430-18F3FE1927C6}" type="presParOf" srcId="{6215DA3F-4838-490F-B750-461457938447}" destId="{0BEB3511-842D-4B01-9BB3-C757EF5591A6}" srcOrd="4" destOrd="0" presId="urn:microsoft.com/office/officeart/2005/8/layout/chevron2"/>
    <dgm:cxn modelId="{CB769507-E12F-455F-87F6-29AA0AB26EC8}" type="presParOf" srcId="{0BEB3511-842D-4B01-9BB3-C757EF5591A6}" destId="{B881D0C9-CD63-47B0-A7AC-615BBAB497F6}" srcOrd="0" destOrd="0" presId="urn:microsoft.com/office/officeart/2005/8/layout/chevron2"/>
    <dgm:cxn modelId="{5BEE3F6E-FE3B-4E2A-B416-2B068CF9B536}" type="presParOf" srcId="{0BEB3511-842D-4B01-9BB3-C757EF5591A6}" destId="{CB7892E4-CA1D-4CA9-9670-31DE141E8EA5}" srcOrd="1" destOrd="0" presId="urn:microsoft.com/office/officeart/2005/8/layout/chevron2"/>
    <dgm:cxn modelId="{98A85139-D8D3-40B3-9458-D3974108F4FF}" type="presParOf" srcId="{6215DA3F-4838-490F-B750-461457938447}" destId="{CFED057C-C493-4D51-8AB1-E142E1990E08}" srcOrd="5" destOrd="0" presId="urn:microsoft.com/office/officeart/2005/8/layout/chevron2"/>
    <dgm:cxn modelId="{08AD4002-1532-4D62-8714-D700D87B2963}" type="presParOf" srcId="{6215DA3F-4838-490F-B750-461457938447}" destId="{41C31445-DC42-4819-B649-E4C0FC791D5F}" srcOrd="6" destOrd="0" presId="urn:microsoft.com/office/officeart/2005/8/layout/chevron2"/>
    <dgm:cxn modelId="{50BC9495-FD41-483E-A4DA-B29FE83ECD47}" type="presParOf" srcId="{41C31445-DC42-4819-B649-E4C0FC791D5F}" destId="{B4281283-F467-418B-AB7F-62288F6F95DE}" srcOrd="0" destOrd="0" presId="urn:microsoft.com/office/officeart/2005/8/layout/chevron2"/>
    <dgm:cxn modelId="{635B0C1A-DD79-4F17-B913-2A47BA19FAB5}" type="presParOf" srcId="{41C31445-DC42-4819-B649-E4C0FC791D5F}" destId="{FF92BEC2-D07B-4296-9C12-7ADE173C8860}" srcOrd="1" destOrd="0" presId="urn:microsoft.com/office/officeart/2005/8/layout/chevron2"/>
    <dgm:cxn modelId="{F63DBB84-0DED-4B98-8DFA-15A2E6544ED8}" type="presParOf" srcId="{6215DA3F-4838-490F-B750-461457938447}" destId="{AEEA1EF2-2BE2-457D-BC04-2D41EEEA4EA0}" srcOrd="7" destOrd="0" presId="urn:microsoft.com/office/officeart/2005/8/layout/chevron2"/>
    <dgm:cxn modelId="{B8F78526-8EE3-4EDE-97F5-06A2D48BAE05}" type="presParOf" srcId="{6215DA3F-4838-490F-B750-461457938447}" destId="{C61FFD7E-40FB-44B9-B3EE-A8CC4CCCB1FE}" srcOrd="8" destOrd="0" presId="urn:microsoft.com/office/officeart/2005/8/layout/chevron2"/>
    <dgm:cxn modelId="{AEF2D42B-882D-4C45-A8B8-B25665387C15}" type="presParOf" srcId="{C61FFD7E-40FB-44B9-B3EE-A8CC4CCCB1FE}" destId="{63DE1E02-C873-4DB0-A81F-3B1EA158C375}" srcOrd="0" destOrd="0" presId="urn:microsoft.com/office/officeart/2005/8/layout/chevron2"/>
    <dgm:cxn modelId="{B8500022-C640-4829-9DBB-2807C52C8DFC}" type="presParOf" srcId="{C61FFD7E-40FB-44B9-B3EE-A8CC4CCCB1FE}" destId="{41E4D18B-8DC8-4EB0-975E-596BBCE4C983}" srcOrd="1" destOrd="0" presId="urn:microsoft.com/office/officeart/2005/8/layout/chevron2"/>
    <dgm:cxn modelId="{5C710486-007D-4230-B395-CAD7394A9668}" type="presParOf" srcId="{6215DA3F-4838-490F-B750-461457938447}" destId="{049A789F-6BBC-4483-9883-A428CBFE21E7}" srcOrd="9" destOrd="0" presId="urn:microsoft.com/office/officeart/2005/8/layout/chevron2"/>
    <dgm:cxn modelId="{C67DD260-A1B7-44FF-89A6-F51211FFCF5F}" type="presParOf" srcId="{6215DA3F-4838-490F-B750-461457938447}" destId="{8D5BD512-25E2-4CC6-8AC9-2A14B543B427}" srcOrd="10" destOrd="0" presId="urn:microsoft.com/office/officeart/2005/8/layout/chevron2"/>
    <dgm:cxn modelId="{965E490A-C823-4A55-94BC-4E8F150B00B0}" type="presParOf" srcId="{8D5BD512-25E2-4CC6-8AC9-2A14B543B427}" destId="{6444E096-88D8-4148-B450-529447600BE2}" srcOrd="0" destOrd="0" presId="urn:microsoft.com/office/officeart/2005/8/layout/chevron2"/>
    <dgm:cxn modelId="{F68811B5-7F8E-4119-8258-1C95BB1C9B75}" type="presParOf" srcId="{8D5BD512-25E2-4CC6-8AC9-2A14B543B427}" destId="{F42FD17C-85B3-488B-B3F5-17FD02DBE16B}" srcOrd="1" destOrd="0" presId="urn:microsoft.com/office/officeart/2005/8/layout/chevron2"/>
    <dgm:cxn modelId="{A72EEE5E-21F0-4B02-9869-6E9005E285A6}" type="presParOf" srcId="{6215DA3F-4838-490F-B750-461457938447}" destId="{F5C44D79-829C-4569-97AF-99ED157C630D}" srcOrd="11" destOrd="0" presId="urn:microsoft.com/office/officeart/2005/8/layout/chevron2"/>
    <dgm:cxn modelId="{D002B4D6-1954-4934-8369-D590B9C06E4B}" type="presParOf" srcId="{6215DA3F-4838-490F-B750-461457938447}" destId="{13E583DF-4288-4D8F-B7D9-D148484E7AED}" srcOrd="12" destOrd="0" presId="urn:microsoft.com/office/officeart/2005/8/layout/chevron2"/>
    <dgm:cxn modelId="{106727FF-A9EF-4737-961B-AE6F36A1E357}" type="presParOf" srcId="{13E583DF-4288-4D8F-B7D9-D148484E7AED}" destId="{3F49BFAF-4301-4035-96F8-A9E192B46078}" srcOrd="0" destOrd="0" presId="urn:microsoft.com/office/officeart/2005/8/layout/chevron2"/>
    <dgm:cxn modelId="{7AD829B7-C9D9-4642-9C6E-361601F1217C}" type="presParOf" srcId="{13E583DF-4288-4D8F-B7D9-D148484E7AED}" destId="{1AEA20E9-B4B8-45A5-AE1D-FF272B8F5FF1}" srcOrd="1" destOrd="0" presId="urn:microsoft.com/office/officeart/2005/8/layout/chevron2"/>
    <dgm:cxn modelId="{E6DDE8DF-2D91-4F30-BF35-805B7E4BB549}" type="presParOf" srcId="{6215DA3F-4838-490F-B750-461457938447}" destId="{73B80115-E6A2-468E-8CBE-19BBFF8E95F1}" srcOrd="13" destOrd="0" presId="urn:microsoft.com/office/officeart/2005/8/layout/chevron2"/>
    <dgm:cxn modelId="{79E0F9E7-8B40-40D1-8EB5-69655E43AF84}" type="presParOf" srcId="{6215DA3F-4838-490F-B750-461457938447}" destId="{64406809-3D64-49CD-8BE2-8D372CBCBBD4}" srcOrd="14" destOrd="0" presId="urn:microsoft.com/office/officeart/2005/8/layout/chevron2"/>
    <dgm:cxn modelId="{9B0E2297-88A1-47E2-A78B-FBBCA72379AC}" type="presParOf" srcId="{64406809-3D64-49CD-8BE2-8D372CBCBBD4}" destId="{A5762347-2B81-4289-B629-C256A53B96BF}" srcOrd="0" destOrd="0" presId="urn:microsoft.com/office/officeart/2005/8/layout/chevron2"/>
    <dgm:cxn modelId="{76E4D771-D43B-46F1-8626-40641CDD04FE}" type="presParOf" srcId="{64406809-3D64-49CD-8BE2-8D372CBCBBD4}" destId="{B12ABD03-6C2F-4080-ABAA-6414A1B1A6F8}" srcOrd="1" destOrd="0" presId="urn:microsoft.com/office/officeart/2005/8/layout/chevron2"/>
  </dgm:cxnLst>
  <dgm:bg>
    <a:noFill/>
  </dgm:bg>
  <dgm:whole>
    <a:ln w="3175"/>
  </dgm:whole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1A0052-A091-4C6F-9818-74D6A2433BB9}">
      <dsp:nvSpPr>
        <dsp:cNvPr id="0" name=""/>
        <dsp:cNvSpPr/>
      </dsp:nvSpPr>
      <dsp:spPr>
        <a:xfrm rot="5400000">
          <a:off x="-78253" y="82271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2001</a:t>
          </a:r>
        </a:p>
      </dsp:txBody>
      <dsp:txXfrm rot="-5400000">
        <a:off x="-181" y="186368"/>
        <a:ext cx="364335" cy="156143"/>
      </dsp:txXfrm>
    </dsp:sp>
    <dsp:sp modelId="{336AF931-5E06-4258-AA87-B3061398A39E}">
      <dsp:nvSpPr>
        <dsp:cNvPr id="0" name=""/>
        <dsp:cNvSpPr/>
      </dsp:nvSpPr>
      <dsp:spPr>
        <a:xfrm rot="5400000">
          <a:off x="2112165" y="-1744151"/>
          <a:ext cx="338260" cy="383501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teroristické útoky v USA</a:t>
          </a:r>
          <a:endParaRPr lang="cs-CZ" sz="1000" b="0" kern="1200">
            <a:solidFill>
              <a:schemeClr val="tx2"/>
            </a:solidFill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počátek výstavby CBO Těchonín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3789" y="20737"/>
        <a:ext cx="3818501" cy="305236"/>
      </dsp:txXfrm>
    </dsp:sp>
    <dsp:sp modelId="{BFE4D11C-4D3E-4851-8A0F-2390A4E514F8}">
      <dsp:nvSpPr>
        <dsp:cNvPr id="0" name=""/>
        <dsp:cNvSpPr/>
      </dsp:nvSpPr>
      <dsp:spPr>
        <a:xfrm rot="5400000">
          <a:off x="-78253" y="526056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2002</a:t>
          </a:r>
        </a:p>
      </dsp:txBody>
      <dsp:txXfrm rot="-5400000">
        <a:off x="-181" y="630153"/>
        <a:ext cx="364335" cy="156143"/>
      </dsp:txXfrm>
    </dsp:sp>
    <dsp:sp modelId="{470F8609-D83C-4D28-899F-01D00EAE9ECF}">
      <dsp:nvSpPr>
        <dsp:cNvPr id="0" name=""/>
        <dsp:cNvSpPr/>
      </dsp:nvSpPr>
      <dsp:spPr>
        <a:xfrm rot="5400000">
          <a:off x="2112139" y="-1300001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rgbClr val="004594"/>
              </a:solidFill>
            </a:rPr>
            <a:t> summit NATO v Praze, přijetí </a:t>
          </a:r>
          <a:r>
            <a:rPr lang="cs-CZ" sz="1000" b="0" i="1" kern="1200">
              <a:solidFill>
                <a:srgbClr val="004594"/>
              </a:solidFill>
            </a:rPr>
            <a:t>Pražských závazků ke schopnostem</a:t>
          </a:r>
        </a:p>
      </dsp:txBody>
      <dsp:txXfrm rot="-5400000">
        <a:off x="364153" y="464500"/>
        <a:ext cx="3817769" cy="305281"/>
      </dsp:txXfrm>
    </dsp:sp>
    <dsp:sp modelId="{B881D0C9-CD63-47B0-A7AC-615BBAB497F6}">
      <dsp:nvSpPr>
        <dsp:cNvPr id="0" name=""/>
        <dsp:cNvSpPr/>
      </dsp:nvSpPr>
      <dsp:spPr>
        <a:xfrm rot="5400000">
          <a:off x="-78253" y="969842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2003</a:t>
          </a:r>
        </a:p>
      </dsp:txBody>
      <dsp:txXfrm rot="-5400000">
        <a:off x="-181" y="1073939"/>
        <a:ext cx="364335" cy="156143"/>
      </dsp:txXfrm>
    </dsp:sp>
    <dsp:sp modelId="{CB7892E4-CA1D-4CA9-9670-31DE141E8EA5}">
      <dsp:nvSpPr>
        <dsp:cNvPr id="0" name=""/>
        <dsp:cNvSpPr/>
      </dsp:nvSpPr>
      <dsp:spPr>
        <a:xfrm rot="5400000">
          <a:off x="2112139" y="-856216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usnesení vlády č. 724 ze dne 16. července 2003 – CBO Těchonín prohlášeno za strategicky důležitou zakázku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908285"/>
        <a:ext cx="3817769" cy="305281"/>
      </dsp:txXfrm>
    </dsp:sp>
    <dsp:sp modelId="{B4281283-F467-418B-AB7F-62288F6F95DE}">
      <dsp:nvSpPr>
        <dsp:cNvPr id="0" name=""/>
        <dsp:cNvSpPr/>
      </dsp:nvSpPr>
      <dsp:spPr>
        <a:xfrm rot="5400000">
          <a:off x="-78253" y="1413627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2006</a:t>
          </a:r>
        </a:p>
      </dsp:txBody>
      <dsp:txXfrm rot="-5400000">
        <a:off x="-181" y="1517724"/>
        <a:ext cx="364335" cy="156143"/>
      </dsp:txXfrm>
    </dsp:sp>
    <dsp:sp modelId="{FF92BEC2-D07B-4296-9C12-7ADE173C8860}">
      <dsp:nvSpPr>
        <dsp:cNvPr id="0" name=""/>
        <dsp:cNvSpPr/>
      </dsp:nvSpPr>
      <dsp:spPr>
        <a:xfrm rot="5400000">
          <a:off x="2112139" y="-412431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JCBRND COE Vyškov zahájilo činnost</a:t>
          </a:r>
          <a:endParaRPr lang="cs-CZ" sz="1000" b="0" kern="1200">
            <a:solidFill>
              <a:schemeClr val="tx2"/>
            </a:solidFill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zahájen zkušební provoz CBO Těchonín soukromou společností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1352070"/>
        <a:ext cx="3817769" cy="305281"/>
      </dsp:txXfrm>
    </dsp:sp>
    <dsp:sp modelId="{63DE1E02-C873-4DB0-A81F-3B1EA158C375}">
      <dsp:nvSpPr>
        <dsp:cNvPr id="0" name=""/>
        <dsp:cNvSpPr/>
      </dsp:nvSpPr>
      <dsp:spPr>
        <a:xfrm rot="5400000">
          <a:off x="-78253" y="1857412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2007</a:t>
          </a:r>
        </a:p>
      </dsp:txBody>
      <dsp:txXfrm rot="-5400000">
        <a:off x="-181" y="1961509"/>
        <a:ext cx="364335" cy="156143"/>
      </dsp:txXfrm>
    </dsp:sp>
    <dsp:sp modelId="{41E4D18B-8DC8-4EB0-975E-596BBCE4C983}">
      <dsp:nvSpPr>
        <dsp:cNvPr id="0" name=""/>
        <dsp:cNvSpPr/>
      </dsp:nvSpPr>
      <dsp:spPr>
        <a:xfrm rot="5400000">
          <a:off x="2112139" y="31353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MO hodnotí </a:t>
          </a:r>
          <a:r>
            <a:rPr lang="cs-CZ" sz="1000" b="0" i="1" kern="1200">
              <a:solidFill>
                <a:schemeClr val="tx2"/>
              </a:solidFill>
            </a:rPr>
            <a:t>Pražské závazky ke schopnostem</a:t>
          </a:r>
          <a:r>
            <a:rPr lang="cs-CZ" sz="1000" b="0" i="0" kern="1200">
              <a:solidFill>
                <a:schemeClr val="tx2"/>
              </a:solidFill>
            </a:rPr>
            <a:t> – v rámci biologické ochrany měly být všechny závazky splněny, včetně výstavby SIN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1795855"/>
        <a:ext cx="3817769" cy="305281"/>
      </dsp:txXfrm>
    </dsp:sp>
    <dsp:sp modelId="{6444E096-88D8-4148-B450-529447600BE2}">
      <dsp:nvSpPr>
        <dsp:cNvPr id="0" name=""/>
        <dsp:cNvSpPr/>
      </dsp:nvSpPr>
      <dsp:spPr>
        <a:xfrm rot="5400000">
          <a:off x="-78253" y="2301197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2009</a:t>
          </a:r>
        </a:p>
      </dsp:txBody>
      <dsp:txXfrm rot="-5400000">
        <a:off x="-181" y="2405294"/>
        <a:ext cx="364335" cy="156143"/>
      </dsp:txXfrm>
    </dsp:sp>
    <dsp:sp modelId="{F42FD17C-85B3-488B-B3F5-17FD02DBE16B}">
      <dsp:nvSpPr>
        <dsp:cNvPr id="0" name=""/>
        <dsp:cNvSpPr/>
      </dsp:nvSpPr>
      <dsp:spPr>
        <a:xfrm rot="5400000">
          <a:off x="2112139" y="475139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v květnu proběhla kolaudace SIN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2239641"/>
        <a:ext cx="3817769" cy="305281"/>
      </dsp:txXfrm>
    </dsp:sp>
    <dsp:sp modelId="{3F49BFAF-4301-4035-96F8-A9E192B46078}">
      <dsp:nvSpPr>
        <dsp:cNvPr id="0" name=""/>
        <dsp:cNvSpPr/>
      </dsp:nvSpPr>
      <dsp:spPr>
        <a:xfrm rot="5400000">
          <a:off x="-78253" y="2744982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2011</a:t>
          </a:r>
        </a:p>
      </dsp:txBody>
      <dsp:txXfrm rot="-5400000">
        <a:off x="-181" y="2849079"/>
        <a:ext cx="364335" cy="156143"/>
      </dsp:txXfrm>
    </dsp:sp>
    <dsp:sp modelId="{1AEA20E9-B4B8-45A5-AE1D-FF272B8F5FF1}">
      <dsp:nvSpPr>
        <dsp:cNvPr id="0" name=""/>
        <dsp:cNvSpPr/>
      </dsp:nvSpPr>
      <dsp:spPr>
        <a:xfrm rot="5400000">
          <a:off x="2112139" y="895178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schválena Bílá kniha s úkolem najít využití CBO Těchonín, nebo jeho provoz zastavit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2659680"/>
        <a:ext cx="3817769" cy="305281"/>
      </dsp:txXfrm>
    </dsp:sp>
    <dsp:sp modelId="{A5762347-2B81-4289-B629-C256A53B96BF}">
      <dsp:nvSpPr>
        <dsp:cNvPr id="0" name=""/>
        <dsp:cNvSpPr/>
      </dsp:nvSpPr>
      <dsp:spPr>
        <a:xfrm rot="5400000">
          <a:off x="-78253" y="3188768"/>
          <a:ext cx="520478" cy="364335"/>
        </a:xfrm>
        <a:prstGeom prst="chevron">
          <a:avLst/>
        </a:prstGeom>
        <a:solidFill>
          <a:srgbClr val="004594"/>
        </a:solidFill>
        <a:ln w="9525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i="0" kern="1200"/>
            <a:t>2013</a:t>
          </a:r>
        </a:p>
      </dsp:txBody>
      <dsp:txXfrm rot="-5400000">
        <a:off x="-181" y="3292865"/>
        <a:ext cx="364335" cy="156143"/>
      </dsp:txXfrm>
    </dsp:sp>
    <dsp:sp modelId="{B12ABD03-6C2F-4080-ABAA-6414A1B1A6F8}">
      <dsp:nvSpPr>
        <dsp:cNvPr id="0" name=""/>
        <dsp:cNvSpPr/>
      </dsp:nvSpPr>
      <dsp:spPr>
        <a:xfrm rot="5400000">
          <a:off x="2112139" y="1362709"/>
          <a:ext cx="338311" cy="383428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rgbClr val="BC2A3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další využití CBO Těchonín projednala Bezpečnostní rada státu</a:t>
          </a:r>
          <a:endParaRPr lang="cs-CZ" sz="1000" b="0" kern="1200">
            <a:solidFill>
              <a:schemeClr val="tx2"/>
            </a:solidFill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000" b="0" i="0" kern="1200">
              <a:solidFill>
                <a:schemeClr val="tx2"/>
              </a:solidFill>
            </a:rPr>
            <a:t> správu a provoz CBO Těchonín převzala ASPO</a:t>
          </a:r>
          <a:endParaRPr lang="cs-CZ" sz="1000" b="0" kern="1200">
            <a:solidFill>
              <a:schemeClr val="tx2"/>
            </a:solidFill>
          </a:endParaRPr>
        </a:p>
      </dsp:txBody>
      <dsp:txXfrm rot="-5400000">
        <a:off x="364153" y="3127211"/>
        <a:ext cx="3817769" cy="3052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643B-3EBA-42FE-8397-6C4E0D21FD90}"/>
</file>

<file path=customXml/itemProps2.xml><?xml version="1.0" encoding="utf-8"?>
<ds:datastoreItem xmlns:ds="http://schemas.openxmlformats.org/officeDocument/2006/customXml" ds:itemID="{2660B1BE-EA1C-46FD-BB66-B96F883C311A}"/>
</file>

<file path=customXml/itemProps3.xml><?xml version="1.0" encoding="utf-8"?>
<ds:datastoreItem xmlns:ds="http://schemas.openxmlformats.org/officeDocument/2006/customXml" ds:itemID="{FA2638AC-E15C-40C1-BF5F-6ACB054EEECC}"/>
</file>

<file path=customXml/itemProps4.xml><?xml version="1.0" encoding="utf-8"?>
<ds:datastoreItem xmlns:ds="http://schemas.openxmlformats.org/officeDocument/2006/customXml" ds:itemID="{67E7A3DF-4E09-48E3-A5BA-ECFC6AC1FD47}"/>
</file>

<file path=customXml/itemProps5.xml><?xml version="1.0" encoding="utf-8"?>
<ds:datastoreItem xmlns:ds="http://schemas.openxmlformats.org/officeDocument/2006/customXml" ds:itemID="{30BEEBC8-6C84-4482-819F-9B61FE15D75C}"/>
</file>

<file path=customXml/itemProps6.xml><?xml version="1.0" encoding="utf-8"?>
<ds:datastoreItem xmlns:ds="http://schemas.openxmlformats.org/officeDocument/2006/customXml" ds:itemID="{8A0D25B0-1351-452C-B404-35A6423903B0}"/>
</file>

<file path=docProps/app.xml><?xml version="1.0" encoding="utf-8"?>
<Properties xmlns="http://schemas.openxmlformats.org/officeDocument/2006/extended-properties" xmlns:vt="http://schemas.openxmlformats.org/officeDocument/2006/docPropsVTypes">
  <Template>6C431152.dotm</Template>
  <TotalTime>9</TotalTime>
  <Pages>16</Pages>
  <Words>5940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Kontrolní závěr</vt:lpstr>
    </vt:vector>
  </TitlesOfParts>
  <Company>NKU</Company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14/41</dc:title>
  <dc:creator>Nejvyšší kontrolní úřad</dc:creator>
  <cp:lastModifiedBy>KOKRDA Daniel</cp:lastModifiedBy>
  <cp:revision>3</cp:revision>
  <cp:lastPrinted>2015-09-08T12:24:00Z</cp:lastPrinted>
  <dcterms:created xsi:type="dcterms:W3CDTF">2015-09-08T12:24:00Z</dcterms:created>
  <dcterms:modified xsi:type="dcterms:W3CDTF">2015-09-08T12:32:00Z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  <property fmtid="{D5CDD505-2E9C-101B-9397-08002B2CF9AE}" pid="4" name="CJ">
    <vt:lpwstr>14/15-NKU30/470/15</vt:lpwstr>
  </property>
  <property fmtid="{D5CDD505-2E9C-101B-9397-08002B2CF9AE}" pid="5" name="Contact_PostaOdes_All">
    <vt:lpwstr>ROZDĚLOVNÍK...</vt:lpwstr>
  </property>
  <property fmtid="{D5CDD505-2E9C-101B-9397-08002B2CF9AE}" pid="6" name="SZ_Spis_Pisemnost">
    <vt:lpwstr>14/15</vt:lpwstr>
  </property>
  <property fmtid="{D5CDD505-2E9C-101B-9397-08002B2CF9AE}" pid="7" name="DisplayName_SpisovyUzel_PoziceZodpo_Pisemnost">
    <vt:lpwstr>30</vt:lpwstr>
  </property>
  <property fmtid="{D5CDD505-2E9C-101B-9397-08002B2CF9AE}" pid="8" name="Zkratka_SpisovyUzel_PoziceZodpo_Pisemnost">
    <vt:lpwstr>30</vt:lpwstr>
  </property>
  <property fmtid="{D5CDD505-2E9C-101B-9397-08002B2CF9AE}" pid="9" name="Key_BarCode_Pisemnost">
    <vt:lpwstr>*B000234580*</vt:lpwstr>
  </property>
  <property fmtid="{D5CDD505-2E9C-101B-9397-08002B2CF9AE}" pid="10" name="EC_Pisemnost">
    <vt:lpwstr>15-6854/NKU</vt:lpwstr>
  </property>
  <property fmtid="{D5CDD505-2E9C-101B-9397-08002B2CF9AE}" pid="11" name="Odkaz">
    <vt:lpwstr>ODKAZ</vt:lpwstr>
  </property>
  <property fmtid="{D5CDD505-2E9C-101B-9397-08002B2CF9AE}" pid="12" name="SkartacniZnakLhuta_PisemnostZnak">
    <vt:lpwstr>?/?</vt:lpwstr>
  </property>
  <property fmtid="{D5CDD505-2E9C-101B-9397-08002B2CF9AE}" pid="13" name="CJ_Spis_Pisemnost">
    <vt:lpwstr>CJ/SPIS/ROK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1/0</vt:lpwstr>
  </property>
  <property fmtid="{D5CDD505-2E9C-101B-9397-08002B2CF9AE}" pid="19" name="Vec_Pisemnost">
    <vt:lpwstr>Návrh KZ 14/15 do připomínek</vt:lpwstr>
  </property>
  <property fmtid="{D5CDD505-2E9C-101B-9397-08002B2CF9AE}" pid="20" name="DatumPoriz_Pisemnost">
    <vt:lpwstr>28.4.2015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