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3CF2D" w14:textId="7112F1B4" w:rsidR="003109A8" w:rsidRPr="00920634" w:rsidRDefault="00F67757" w:rsidP="00114439">
      <w:pPr>
        <w:jc w:val="center"/>
        <w:rPr>
          <w:rFonts w:asciiTheme="minorHAnsi" w:hAnsiTheme="minorHAnsi" w:cstheme="minorHAnsi"/>
          <w:b/>
        </w:rPr>
      </w:pPr>
      <w:r w:rsidRPr="00BE55B9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CF6D90" wp14:editId="216242AF">
            <wp:simplePos x="0" y="0"/>
            <wp:positionH relativeFrom="margin">
              <wp:posOffset>2539365</wp:posOffset>
            </wp:positionH>
            <wp:positionV relativeFrom="paragraph">
              <wp:posOffset>203200</wp:posOffset>
            </wp:positionV>
            <wp:extent cx="713740" cy="504190"/>
            <wp:effectExtent l="0" t="0" r="0" b="0"/>
            <wp:wrapTopAndBottom/>
            <wp:docPr id="1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B9C3D" w14:textId="77777777" w:rsidR="00635440" w:rsidRPr="00920634" w:rsidRDefault="00635440" w:rsidP="00114439">
      <w:pPr>
        <w:jc w:val="center"/>
        <w:rPr>
          <w:rFonts w:asciiTheme="minorHAnsi" w:hAnsiTheme="minorHAnsi" w:cstheme="minorHAnsi"/>
          <w:b/>
          <w:highlight w:val="lightGray"/>
        </w:rPr>
      </w:pPr>
    </w:p>
    <w:p w14:paraId="187D36C7" w14:textId="77777777" w:rsidR="00A407DE" w:rsidRPr="00920634" w:rsidRDefault="00A407DE" w:rsidP="00114439">
      <w:pPr>
        <w:rPr>
          <w:rFonts w:asciiTheme="minorHAnsi" w:hAnsiTheme="minorHAnsi" w:cstheme="minorHAnsi"/>
          <w:b/>
          <w:highlight w:val="lightGray"/>
        </w:rPr>
      </w:pPr>
    </w:p>
    <w:p w14:paraId="18D3CF30" w14:textId="77777777" w:rsidR="00282721" w:rsidRPr="00920634" w:rsidRDefault="00282721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16AB2EA3" w14:textId="77777777" w:rsidR="00A407DE" w:rsidRPr="00920634" w:rsidRDefault="00A407DE" w:rsidP="00114439">
      <w:pPr>
        <w:jc w:val="center"/>
        <w:rPr>
          <w:rFonts w:asciiTheme="minorHAnsi" w:hAnsiTheme="minorHAnsi" w:cstheme="minorHAnsi"/>
          <w:b/>
          <w:sz w:val="28"/>
          <w:szCs w:val="28"/>
          <w:highlight w:val="lightGray"/>
        </w:rPr>
      </w:pPr>
    </w:p>
    <w:p w14:paraId="18D3CF32" w14:textId="0BFEDBD8" w:rsidR="00282721" w:rsidRPr="00920634" w:rsidRDefault="00507F3F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>1</w:t>
      </w:r>
      <w:r w:rsidR="00EB4A70" w:rsidRPr="00920634">
        <w:rPr>
          <w:rFonts w:asciiTheme="minorHAnsi" w:hAnsiTheme="minorHAnsi" w:cstheme="minorHAnsi"/>
          <w:b/>
          <w:sz w:val="28"/>
          <w:szCs w:val="28"/>
        </w:rPr>
        <w:t>4</w:t>
      </w:r>
      <w:r w:rsidRPr="00920634">
        <w:rPr>
          <w:rFonts w:asciiTheme="minorHAnsi" w:hAnsiTheme="minorHAnsi" w:cstheme="minorHAnsi"/>
          <w:b/>
          <w:sz w:val="28"/>
          <w:szCs w:val="28"/>
        </w:rPr>
        <w:t>/</w:t>
      </w:r>
      <w:r w:rsidR="00711408" w:rsidRPr="00920634">
        <w:rPr>
          <w:rFonts w:asciiTheme="minorHAnsi" w:hAnsiTheme="minorHAnsi" w:cstheme="minorHAnsi"/>
          <w:b/>
          <w:sz w:val="28"/>
          <w:szCs w:val="28"/>
        </w:rPr>
        <w:t>37</w:t>
      </w:r>
    </w:p>
    <w:p w14:paraId="2424426F" w14:textId="77777777" w:rsidR="00711408" w:rsidRPr="00920634" w:rsidRDefault="00711408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609115" w14:textId="77777777" w:rsidR="00920634" w:rsidRPr="00920634" w:rsidRDefault="00711408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 xml:space="preserve">Peněžní prostředky státního rozpočtu, rozpočtu Evropské unie </w:t>
      </w:r>
    </w:p>
    <w:p w14:paraId="18D3CF34" w14:textId="55AA9F6E" w:rsidR="00282721" w:rsidRPr="00920634" w:rsidRDefault="00711408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>a jiné peněžní prostředky přijaté ze zahraničí</w:t>
      </w:r>
    </w:p>
    <w:p w14:paraId="18D3CF36" w14:textId="77064A18" w:rsidR="00282721" w:rsidRPr="00920634" w:rsidRDefault="00282721" w:rsidP="00114439">
      <w:pPr>
        <w:jc w:val="both"/>
        <w:rPr>
          <w:rFonts w:asciiTheme="minorHAnsi" w:hAnsiTheme="minorHAnsi" w:cstheme="minorHAnsi"/>
          <w:highlight w:val="green"/>
        </w:rPr>
      </w:pPr>
    </w:p>
    <w:p w14:paraId="208ED74F" w14:textId="77777777" w:rsidR="00973CA2" w:rsidRPr="00920634" w:rsidRDefault="00973CA2" w:rsidP="00114439">
      <w:pPr>
        <w:jc w:val="both"/>
        <w:rPr>
          <w:rFonts w:asciiTheme="minorHAnsi" w:hAnsiTheme="minorHAnsi" w:cstheme="minorHAnsi"/>
          <w:highlight w:val="green"/>
        </w:rPr>
      </w:pPr>
    </w:p>
    <w:p w14:paraId="18D3CF37" w14:textId="117A297D" w:rsidR="00282721" w:rsidRPr="00920634" w:rsidRDefault="0028272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Kontrolní akce byla zařazena do plánu kontrolní činnosti Nejvyššího kontrolního úřadu (dále </w:t>
      </w:r>
      <w:r w:rsidR="00D54AFF">
        <w:rPr>
          <w:rFonts w:asciiTheme="minorHAnsi" w:hAnsiTheme="minorHAnsi" w:cstheme="minorHAnsi"/>
        </w:rPr>
        <w:t xml:space="preserve">jen </w:t>
      </w:r>
      <w:r w:rsidRPr="00920634">
        <w:rPr>
          <w:rFonts w:asciiTheme="minorHAnsi" w:hAnsiTheme="minorHAnsi" w:cstheme="minorHAnsi"/>
        </w:rPr>
        <w:t>„NKÚ“) na rok 20</w:t>
      </w:r>
      <w:r w:rsidR="00507F3F" w:rsidRPr="00920634">
        <w:rPr>
          <w:rFonts w:asciiTheme="minorHAnsi" w:hAnsiTheme="minorHAnsi" w:cstheme="minorHAnsi"/>
        </w:rPr>
        <w:t>1</w:t>
      </w:r>
      <w:r w:rsidR="00EB4A70" w:rsidRPr="00920634">
        <w:rPr>
          <w:rFonts w:asciiTheme="minorHAnsi" w:hAnsiTheme="minorHAnsi" w:cstheme="minorHAnsi"/>
        </w:rPr>
        <w:t>4</w:t>
      </w:r>
      <w:r w:rsidRPr="00920634">
        <w:rPr>
          <w:rFonts w:asciiTheme="minorHAnsi" w:hAnsiTheme="minorHAnsi" w:cstheme="minorHAnsi"/>
        </w:rPr>
        <w:t xml:space="preserve"> pod číslem </w:t>
      </w:r>
      <w:r w:rsidR="00507F3F" w:rsidRPr="00920634">
        <w:rPr>
          <w:rFonts w:asciiTheme="minorHAnsi" w:hAnsiTheme="minorHAnsi" w:cstheme="minorHAnsi"/>
        </w:rPr>
        <w:t>1</w:t>
      </w:r>
      <w:r w:rsidR="00EB4A70" w:rsidRPr="00920634">
        <w:rPr>
          <w:rFonts w:asciiTheme="minorHAnsi" w:hAnsiTheme="minorHAnsi" w:cstheme="minorHAnsi"/>
        </w:rPr>
        <w:t>4</w:t>
      </w:r>
      <w:r w:rsidR="00507F3F" w:rsidRPr="00920634">
        <w:rPr>
          <w:rFonts w:asciiTheme="minorHAnsi" w:hAnsiTheme="minorHAnsi" w:cstheme="minorHAnsi"/>
        </w:rPr>
        <w:t>/</w:t>
      </w:r>
      <w:r w:rsidR="00830E55" w:rsidRPr="00920634">
        <w:rPr>
          <w:rFonts w:asciiTheme="minorHAnsi" w:hAnsiTheme="minorHAnsi" w:cstheme="minorHAnsi"/>
        </w:rPr>
        <w:t>37</w:t>
      </w:r>
      <w:r w:rsidRPr="00920634">
        <w:rPr>
          <w:rFonts w:asciiTheme="minorHAnsi" w:hAnsiTheme="minorHAnsi" w:cstheme="minorHAnsi"/>
        </w:rPr>
        <w:t>. Kontrolní akci řídil</w:t>
      </w:r>
      <w:r w:rsidR="00830E55" w:rsidRPr="00920634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a kontrolní závěr vypracoval</w:t>
      </w:r>
      <w:r w:rsidR="00830E55" w:rsidRPr="00920634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člen</w:t>
      </w:r>
      <w:r w:rsidR="00830E55" w:rsidRPr="00920634">
        <w:rPr>
          <w:rFonts w:asciiTheme="minorHAnsi" w:hAnsiTheme="minorHAnsi" w:cstheme="minorHAnsi"/>
        </w:rPr>
        <w:t>ka</w:t>
      </w:r>
      <w:r w:rsidRPr="00920634">
        <w:rPr>
          <w:rFonts w:asciiTheme="minorHAnsi" w:hAnsiTheme="minorHAnsi" w:cstheme="minorHAnsi"/>
        </w:rPr>
        <w:t xml:space="preserve"> NKÚ Ing. </w:t>
      </w:r>
      <w:r w:rsidR="00830E55" w:rsidRPr="00920634">
        <w:rPr>
          <w:rFonts w:asciiTheme="minorHAnsi" w:hAnsiTheme="minorHAnsi" w:cstheme="minorHAnsi"/>
        </w:rPr>
        <w:t>Jaromíra Steidlová</w:t>
      </w:r>
      <w:r w:rsidRPr="00920634">
        <w:rPr>
          <w:rFonts w:asciiTheme="minorHAnsi" w:hAnsiTheme="minorHAnsi" w:cstheme="minorHAnsi"/>
        </w:rPr>
        <w:t>.</w:t>
      </w:r>
    </w:p>
    <w:p w14:paraId="18D3CF38" w14:textId="77777777" w:rsidR="00282721" w:rsidRPr="00920634" w:rsidRDefault="00282721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39" w14:textId="629C10F9" w:rsidR="00EB4A70" w:rsidRPr="00920634" w:rsidRDefault="00EB4A70" w:rsidP="00114439">
      <w:pPr>
        <w:jc w:val="both"/>
        <w:rPr>
          <w:rFonts w:asciiTheme="minorHAnsi" w:hAnsiTheme="minorHAnsi" w:cstheme="minorHAnsi"/>
          <w:highlight w:val="yellow"/>
        </w:rPr>
      </w:pPr>
      <w:r w:rsidRPr="00920634">
        <w:rPr>
          <w:rFonts w:asciiTheme="minorHAnsi" w:hAnsiTheme="minorHAnsi" w:cstheme="minorHAnsi"/>
        </w:rPr>
        <w:t>Cílem kontroly bylo</w:t>
      </w:r>
      <w:r w:rsidR="00830E55" w:rsidRPr="00920634">
        <w:rPr>
          <w:rFonts w:asciiTheme="minorHAnsi" w:hAnsiTheme="minorHAnsi" w:cstheme="minorHAnsi"/>
        </w:rPr>
        <w:t xml:space="preserve"> </w:t>
      </w:r>
      <w:r w:rsidR="00106AD1">
        <w:rPr>
          <w:rFonts w:asciiTheme="minorHAnsi" w:hAnsiTheme="minorHAnsi" w:cstheme="minorHAnsi"/>
        </w:rPr>
        <w:t xml:space="preserve">u vybraných účetních jednotek </w:t>
      </w:r>
      <w:r w:rsidR="00830E55" w:rsidRPr="00920634">
        <w:rPr>
          <w:rFonts w:asciiTheme="minorHAnsi" w:hAnsiTheme="minorHAnsi" w:cstheme="minorHAnsi"/>
        </w:rPr>
        <w:t>prověřit plnění povinností při vedení účetnictví o peněžních prostředcích státního rozpočtu, rozpočtu Evropské unie</w:t>
      </w:r>
      <w:r w:rsidR="00D20490" w:rsidRPr="00920634">
        <w:rPr>
          <w:rFonts w:asciiTheme="minorHAnsi" w:hAnsiTheme="minorHAnsi" w:cstheme="minorHAnsi"/>
        </w:rPr>
        <w:t xml:space="preserve"> </w:t>
      </w:r>
      <w:r w:rsidR="00830E55" w:rsidRPr="00920634">
        <w:rPr>
          <w:rFonts w:asciiTheme="minorHAnsi" w:hAnsiTheme="minorHAnsi" w:cstheme="minorHAnsi"/>
        </w:rPr>
        <w:t>a jiných peněžních prostředcích přijatých ze zahraničí; prověřit jejich vykázání v účetních závěrkách a</w:t>
      </w:r>
      <w:r w:rsidR="004D428D">
        <w:rPr>
          <w:rFonts w:asciiTheme="minorHAnsi" w:hAnsiTheme="minorHAnsi" w:cstheme="minorHAnsi"/>
        </w:rPr>
        <w:t> </w:t>
      </w:r>
      <w:r w:rsidR="00830E55" w:rsidRPr="00920634">
        <w:rPr>
          <w:rFonts w:asciiTheme="minorHAnsi" w:hAnsiTheme="minorHAnsi" w:cstheme="minorHAnsi"/>
        </w:rPr>
        <w:t>promítnutí do údajů předkládaných pro hodnocení plně</w:t>
      </w:r>
      <w:r w:rsidR="002D3E76" w:rsidRPr="00920634">
        <w:rPr>
          <w:rFonts w:asciiTheme="minorHAnsi" w:hAnsiTheme="minorHAnsi" w:cstheme="minorHAnsi"/>
        </w:rPr>
        <w:t>ní státního rozpočtu</w:t>
      </w:r>
      <w:r w:rsidR="00106AD1">
        <w:rPr>
          <w:rFonts w:asciiTheme="minorHAnsi" w:hAnsiTheme="minorHAnsi" w:cstheme="minorHAnsi"/>
        </w:rPr>
        <w:t>;</w:t>
      </w:r>
      <w:r w:rsidR="002D3E76" w:rsidRPr="00920634">
        <w:rPr>
          <w:rFonts w:asciiTheme="minorHAnsi" w:hAnsiTheme="minorHAnsi" w:cstheme="minorHAnsi"/>
        </w:rPr>
        <w:t xml:space="preserve"> </w:t>
      </w:r>
      <w:r w:rsidR="00830E55" w:rsidRPr="00920634">
        <w:rPr>
          <w:rFonts w:asciiTheme="minorHAnsi" w:hAnsiTheme="minorHAnsi" w:cstheme="minorHAnsi"/>
        </w:rPr>
        <w:t>prověř</w:t>
      </w:r>
      <w:r w:rsidR="002D6682" w:rsidRPr="00920634">
        <w:rPr>
          <w:rFonts w:asciiTheme="minorHAnsi" w:hAnsiTheme="minorHAnsi" w:cstheme="minorHAnsi"/>
        </w:rPr>
        <w:t>it</w:t>
      </w:r>
      <w:r w:rsidR="00830E55" w:rsidRPr="00920634">
        <w:rPr>
          <w:rFonts w:asciiTheme="minorHAnsi" w:hAnsiTheme="minorHAnsi" w:cstheme="minorHAnsi"/>
        </w:rPr>
        <w:t xml:space="preserve"> údaj</w:t>
      </w:r>
      <w:r w:rsidR="002D6682" w:rsidRPr="00920634">
        <w:rPr>
          <w:rFonts w:asciiTheme="minorHAnsi" w:hAnsiTheme="minorHAnsi" w:cstheme="minorHAnsi"/>
        </w:rPr>
        <w:t>e</w:t>
      </w:r>
      <w:r w:rsidR="00830E55" w:rsidRPr="00920634">
        <w:rPr>
          <w:rFonts w:asciiTheme="minorHAnsi" w:hAnsiTheme="minorHAnsi" w:cstheme="minorHAnsi"/>
        </w:rPr>
        <w:t xml:space="preserve"> uváděn</w:t>
      </w:r>
      <w:r w:rsidR="002D6682" w:rsidRPr="00920634">
        <w:rPr>
          <w:rFonts w:asciiTheme="minorHAnsi" w:hAnsiTheme="minorHAnsi" w:cstheme="minorHAnsi"/>
        </w:rPr>
        <w:t>é</w:t>
      </w:r>
      <w:r w:rsidR="00830E55" w:rsidRPr="00920634">
        <w:rPr>
          <w:rFonts w:asciiTheme="minorHAnsi" w:hAnsiTheme="minorHAnsi" w:cstheme="minorHAnsi"/>
        </w:rPr>
        <w:t xml:space="preserve"> o ni</w:t>
      </w:r>
      <w:r w:rsidR="00A8138A" w:rsidRPr="00920634">
        <w:rPr>
          <w:rFonts w:asciiTheme="minorHAnsi" w:hAnsiTheme="minorHAnsi" w:cstheme="minorHAnsi"/>
        </w:rPr>
        <w:t>ch v závěrečných účtech kapitol</w:t>
      </w:r>
      <w:r w:rsidR="00830E55" w:rsidRPr="00920634">
        <w:rPr>
          <w:rFonts w:asciiTheme="minorHAnsi" w:hAnsiTheme="minorHAnsi" w:cstheme="minorHAnsi"/>
        </w:rPr>
        <w:t xml:space="preserve"> státního rozpočtu za rok 2014.</w:t>
      </w:r>
    </w:p>
    <w:p w14:paraId="18D3CF3A" w14:textId="77777777" w:rsidR="00EB4A70" w:rsidRPr="00920634" w:rsidRDefault="00EB4A70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277F2A5A" w14:textId="6304BFFE" w:rsidR="00D54AFF" w:rsidRDefault="00830E55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Kontrolovan</w:t>
      </w:r>
      <w:r w:rsidR="00D54AFF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osob</w:t>
      </w:r>
      <w:r w:rsidR="00D54AFF">
        <w:rPr>
          <w:rFonts w:asciiTheme="minorHAnsi" w:hAnsiTheme="minorHAnsi" w:cstheme="minorHAnsi"/>
        </w:rPr>
        <w:t>y:</w:t>
      </w:r>
      <w:r w:rsidRPr="00920634">
        <w:rPr>
          <w:rFonts w:asciiTheme="minorHAnsi" w:hAnsiTheme="minorHAnsi" w:cstheme="minorHAnsi"/>
        </w:rPr>
        <w:t xml:space="preserve"> </w:t>
      </w:r>
    </w:p>
    <w:p w14:paraId="60E9598E" w14:textId="48465EA5" w:rsidR="00D54AFF" w:rsidRDefault="007E4EC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Ministerstvo školství</w:t>
      </w:r>
      <w:r w:rsidR="00F06698" w:rsidRPr="00920634">
        <w:rPr>
          <w:rFonts w:asciiTheme="minorHAnsi" w:hAnsiTheme="minorHAnsi" w:cstheme="minorHAnsi"/>
        </w:rPr>
        <w:t>,</w:t>
      </w:r>
      <w:r w:rsidR="00032D06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mládeže a tělovýchovy (dále také „MŠMT“)</w:t>
      </w:r>
      <w:r w:rsidR="00D54AFF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</w:t>
      </w:r>
    </w:p>
    <w:p w14:paraId="18D3CF3B" w14:textId="731D8748" w:rsidR="00282721" w:rsidRPr="00920634" w:rsidRDefault="007E4EC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Ministerstvo zemědělství (dále také „MZe“).</w:t>
      </w:r>
    </w:p>
    <w:p w14:paraId="18D3CF3C" w14:textId="77777777" w:rsidR="00214027" w:rsidRPr="00920634" w:rsidRDefault="00214027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3D" w14:textId="21704FC5" w:rsidR="00282721" w:rsidRPr="00920634" w:rsidRDefault="0028272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</w:t>
      </w:r>
      <w:r w:rsidR="0025640B" w:rsidRPr="00920634">
        <w:rPr>
          <w:rFonts w:asciiTheme="minorHAnsi" w:hAnsiTheme="minorHAnsi" w:cstheme="minorHAnsi"/>
        </w:rPr>
        <w:t>ntrolo</w:t>
      </w:r>
      <w:r w:rsidR="00C132EB" w:rsidRPr="00920634">
        <w:rPr>
          <w:rFonts w:asciiTheme="minorHAnsi" w:hAnsiTheme="minorHAnsi" w:cstheme="minorHAnsi"/>
        </w:rPr>
        <w:t>váno bylo</w:t>
      </w:r>
      <w:r w:rsidR="0025640B" w:rsidRPr="00920634">
        <w:rPr>
          <w:rFonts w:asciiTheme="minorHAnsi" w:hAnsiTheme="minorHAnsi" w:cstheme="minorHAnsi"/>
        </w:rPr>
        <w:t xml:space="preserve"> </w:t>
      </w:r>
      <w:r w:rsidR="007E4EC8" w:rsidRPr="00920634">
        <w:rPr>
          <w:rFonts w:asciiTheme="minorHAnsi" w:hAnsiTheme="minorHAnsi" w:cstheme="minorHAnsi"/>
        </w:rPr>
        <w:t xml:space="preserve">zejména </w:t>
      </w:r>
      <w:r w:rsidR="0025640B" w:rsidRPr="00920634">
        <w:rPr>
          <w:rFonts w:asciiTheme="minorHAnsi" w:hAnsiTheme="minorHAnsi" w:cstheme="minorHAnsi"/>
        </w:rPr>
        <w:t>období rok</w:t>
      </w:r>
      <w:r w:rsidR="00C132EB" w:rsidRPr="00920634">
        <w:rPr>
          <w:rFonts w:asciiTheme="minorHAnsi" w:hAnsiTheme="minorHAnsi" w:cstheme="minorHAnsi"/>
        </w:rPr>
        <w:t>u</w:t>
      </w:r>
      <w:r w:rsidR="0025640B" w:rsidRPr="00920634">
        <w:rPr>
          <w:rFonts w:asciiTheme="minorHAnsi" w:hAnsiTheme="minorHAnsi" w:cstheme="minorHAnsi"/>
        </w:rPr>
        <w:t xml:space="preserve"> 20</w:t>
      </w:r>
      <w:r w:rsidR="00507F3F" w:rsidRPr="00920634">
        <w:rPr>
          <w:rFonts w:asciiTheme="minorHAnsi" w:hAnsiTheme="minorHAnsi" w:cstheme="minorHAnsi"/>
        </w:rPr>
        <w:t>1</w:t>
      </w:r>
      <w:r w:rsidR="007E4EC8" w:rsidRPr="00920634">
        <w:rPr>
          <w:rFonts w:asciiTheme="minorHAnsi" w:hAnsiTheme="minorHAnsi" w:cstheme="minorHAnsi"/>
        </w:rPr>
        <w:t>4 a 1. čtvrtletí roku 2015</w:t>
      </w:r>
      <w:r w:rsidRPr="00920634">
        <w:rPr>
          <w:rFonts w:asciiTheme="minorHAnsi" w:hAnsiTheme="minorHAnsi" w:cstheme="minorHAnsi"/>
        </w:rPr>
        <w:t xml:space="preserve"> včetně související</w:t>
      </w:r>
      <w:r w:rsidR="0025640B" w:rsidRPr="00920634">
        <w:rPr>
          <w:rFonts w:asciiTheme="minorHAnsi" w:hAnsiTheme="minorHAnsi" w:cstheme="minorHAnsi"/>
        </w:rPr>
        <w:t>c</w:t>
      </w:r>
      <w:r w:rsidRPr="00920634">
        <w:rPr>
          <w:rFonts w:asciiTheme="minorHAnsi" w:hAnsiTheme="minorHAnsi" w:cstheme="minorHAnsi"/>
        </w:rPr>
        <w:t xml:space="preserve">h </w:t>
      </w:r>
      <w:r w:rsidR="00BF1A59" w:rsidRPr="00920634">
        <w:rPr>
          <w:rFonts w:asciiTheme="minorHAnsi" w:hAnsiTheme="minorHAnsi" w:cstheme="minorHAnsi"/>
        </w:rPr>
        <w:t xml:space="preserve">skutečností </w:t>
      </w:r>
      <w:r w:rsidR="008D073A">
        <w:rPr>
          <w:rFonts w:asciiTheme="minorHAnsi" w:hAnsiTheme="minorHAnsi" w:cstheme="minorHAnsi"/>
          <w:spacing w:val="-2"/>
        </w:rPr>
        <w:t>z </w:t>
      </w:r>
      <w:r w:rsidR="00BF1A59" w:rsidRPr="00920634">
        <w:rPr>
          <w:rFonts w:asciiTheme="minorHAnsi" w:hAnsiTheme="minorHAnsi" w:cstheme="minorHAnsi"/>
          <w:spacing w:val="-2"/>
        </w:rPr>
        <w:t>let předchozích</w:t>
      </w:r>
      <w:r w:rsidRPr="00920634">
        <w:rPr>
          <w:rFonts w:asciiTheme="minorHAnsi" w:hAnsiTheme="minorHAnsi" w:cstheme="minorHAnsi"/>
        </w:rPr>
        <w:t>.</w:t>
      </w:r>
    </w:p>
    <w:p w14:paraId="18D3CF3E" w14:textId="77777777" w:rsidR="00214027" w:rsidRPr="00920634" w:rsidRDefault="00214027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3F" w14:textId="04655F4F" w:rsidR="00282721" w:rsidRPr="00920634" w:rsidRDefault="0068594D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Kontrola byla prov</w:t>
      </w:r>
      <w:r w:rsidR="00E03ADC" w:rsidRPr="00920634">
        <w:rPr>
          <w:rFonts w:asciiTheme="minorHAnsi" w:hAnsiTheme="minorHAnsi" w:cstheme="minorHAnsi"/>
        </w:rPr>
        <w:t>ádě</w:t>
      </w:r>
      <w:r w:rsidRPr="00920634">
        <w:rPr>
          <w:rFonts w:asciiTheme="minorHAnsi" w:hAnsiTheme="minorHAnsi" w:cstheme="minorHAnsi"/>
        </w:rPr>
        <w:t xml:space="preserve">na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 xml:space="preserve">době od </w:t>
      </w:r>
      <w:r w:rsidR="007E4EC8" w:rsidRPr="00920634">
        <w:rPr>
          <w:rFonts w:asciiTheme="minorHAnsi" w:hAnsiTheme="minorHAnsi" w:cstheme="minorHAnsi"/>
        </w:rPr>
        <w:t>listopadu 2014</w:t>
      </w:r>
      <w:r w:rsidR="00507F3F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do </w:t>
      </w:r>
      <w:r w:rsidR="007E4EC8" w:rsidRPr="00920634">
        <w:rPr>
          <w:rFonts w:asciiTheme="minorHAnsi" w:hAnsiTheme="minorHAnsi" w:cstheme="minorHAnsi"/>
        </w:rPr>
        <w:t>května</w:t>
      </w:r>
      <w:r w:rsidRPr="00920634">
        <w:rPr>
          <w:rFonts w:asciiTheme="minorHAnsi" w:hAnsiTheme="minorHAnsi" w:cstheme="minorHAnsi"/>
        </w:rPr>
        <w:t xml:space="preserve"> 20</w:t>
      </w:r>
      <w:r w:rsidR="00507F3F" w:rsidRPr="00920634">
        <w:rPr>
          <w:rFonts w:asciiTheme="minorHAnsi" w:hAnsiTheme="minorHAnsi" w:cstheme="minorHAnsi"/>
        </w:rPr>
        <w:t>1</w:t>
      </w:r>
      <w:r w:rsidR="007E4EC8" w:rsidRPr="00920634">
        <w:rPr>
          <w:rFonts w:asciiTheme="minorHAnsi" w:hAnsiTheme="minorHAnsi" w:cstheme="minorHAnsi"/>
        </w:rPr>
        <w:t>5</w:t>
      </w:r>
      <w:r w:rsidRPr="00920634">
        <w:rPr>
          <w:rFonts w:asciiTheme="minorHAnsi" w:hAnsiTheme="minorHAnsi" w:cstheme="minorHAnsi"/>
        </w:rPr>
        <w:t>.</w:t>
      </w:r>
    </w:p>
    <w:p w14:paraId="18D3CF40" w14:textId="77777777" w:rsidR="00214027" w:rsidRPr="00920634" w:rsidRDefault="00214027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073F3A7B" w14:textId="4EA9C4F2" w:rsidR="007E4EC8" w:rsidRPr="00920634" w:rsidRDefault="00395973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Námitky proti kontrolním protokolům</w:t>
      </w:r>
      <w:r w:rsidR="007E4EC8" w:rsidRPr="00920634">
        <w:rPr>
          <w:rFonts w:asciiTheme="minorHAnsi" w:hAnsiTheme="minorHAnsi" w:cstheme="minorHAnsi"/>
        </w:rPr>
        <w:t xml:space="preserve"> </w:t>
      </w:r>
      <w:r w:rsidR="007B76CB" w:rsidRPr="00920634">
        <w:rPr>
          <w:rFonts w:asciiTheme="minorHAnsi" w:hAnsiTheme="minorHAnsi" w:cstheme="minorHAnsi"/>
        </w:rPr>
        <w:t>nebyly</w:t>
      </w:r>
      <w:r w:rsidR="00693D7F" w:rsidRPr="00920634">
        <w:rPr>
          <w:rFonts w:asciiTheme="minorHAnsi" w:hAnsiTheme="minorHAnsi" w:cstheme="minorHAnsi"/>
        </w:rPr>
        <w:t xml:space="preserve"> </w:t>
      </w:r>
      <w:r w:rsidR="00D54AFF">
        <w:rPr>
          <w:rFonts w:asciiTheme="minorHAnsi" w:hAnsiTheme="minorHAnsi" w:cstheme="minorHAnsi"/>
        </w:rPr>
        <w:t>ze strany kontrolovaných ministerstev</w:t>
      </w:r>
      <w:r w:rsidR="007B76CB" w:rsidRPr="00920634">
        <w:rPr>
          <w:rFonts w:asciiTheme="minorHAnsi" w:hAnsiTheme="minorHAnsi" w:cstheme="minorHAnsi"/>
        </w:rPr>
        <w:t xml:space="preserve"> podány. </w:t>
      </w:r>
    </w:p>
    <w:p w14:paraId="18D3CF42" w14:textId="77777777" w:rsidR="00FF2F5D" w:rsidRPr="00920634" w:rsidRDefault="00FF2F5D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51FF327A" w14:textId="77777777" w:rsidR="00395973" w:rsidRPr="00920634" w:rsidRDefault="00395973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43" w14:textId="6997ADCC" w:rsidR="00282721" w:rsidRPr="00920634" w:rsidRDefault="0028272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  <w:bCs/>
          <w:i/>
          <w:iCs/>
          <w:spacing w:val="60"/>
        </w:rPr>
        <w:t>Kolegium</w:t>
      </w:r>
      <w:r w:rsidRPr="00920634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Pr="00920634">
        <w:rPr>
          <w:rFonts w:asciiTheme="minorHAnsi" w:hAnsiTheme="minorHAnsi" w:cstheme="minorHAnsi"/>
          <w:b/>
          <w:bCs/>
          <w:i/>
          <w:iCs/>
          <w:spacing w:val="60"/>
        </w:rPr>
        <w:t>NKÚ</w:t>
      </w:r>
      <w:r w:rsidRPr="00920634">
        <w:rPr>
          <w:rFonts w:asciiTheme="minorHAnsi" w:hAnsiTheme="minorHAnsi" w:cstheme="minorHAnsi"/>
        </w:rPr>
        <w:t xml:space="preserve"> </w:t>
      </w:r>
      <w:r w:rsidR="00BE519D" w:rsidRPr="00920634">
        <w:rPr>
          <w:rFonts w:asciiTheme="minorHAnsi" w:hAnsiTheme="minorHAnsi" w:cstheme="minorHAnsi"/>
        </w:rPr>
        <w:t xml:space="preserve">  </w:t>
      </w:r>
      <w:r w:rsidRPr="00920634">
        <w:rPr>
          <w:rFonts w:asciiTheme="minorHAnsi" w:hAnsiTheme="minorHAnsi" w:cstheme="minorHAnsi"/>
        </w:rPr>
        <w:t>na svém</w:t>
      </w:r>
      <w:r w:rsidR="00920634" w:rsidRPr="00920634">
        <w:rPr>
          <w:rFonts w:asciiTheme="minorHAnsi" w:hAnsiTheme="minorHAnsi" w:cstheme="minorHAnsi"/>
        </w:rPr>
        <w:t xml:space="preserve"> </w:t>
      </w:r>
      <w:r w:rsidR="00223334">
        <w:rPr>
          <w:rFonts w:asciiTheme="minorHAnsi" w:hAnsiTheme="minorHAnsi" w:cstheme="minorHAnsi"/>
        </w:rPr>
        <w:t>XII</w:t>
      </w:r>
      <w:r w:rsidR="00920634" w:rsidRPr="00920634">
        <w:rPr>
          <w:rFonts w:asciiTheme="minorHAnsi" w:hAnsiTheme="minorHAnsi" w:cstheme="minorHAnsi"/>
        </w:rPr>
        <w:t xml:space="preserve">. </w:t>
      </w:r>
      <w:r w:rsidR="00401863" w:rsidRPr="00920634">
        <w:rPr>
          <w:rFonts w:asciiTheme="minorHAnsi" w:hAnsiTheme="minorHAnsi" w:cstheme="minorHAnsi"/>
        </w:rPr>
        <w:t>jednání</w:t>
      </w:r>
      <w:r w:rsidRPr="00920634">
        <w:rPr>
          <w:rFonts w:asciiTheme="minorHAnsi" w:hAnsiTheme="minorHAnsi" w:cstheme="minorHAnsi"/>
        </w:rPr>
        <w:t xml:space="preserve">, </w:t>
      </w:r>
      <w:r w:rsidR="00401863" w:rsidRPr="00920634">
        <w:rPr>
          <w:rFonts w:asciiTheme="minorHAnsi" w:hAnsiTheme="minorHAnsi" w:cstheme="minorHAnsi"/>
        </w:rPr>
        <w:t xml:space="preserve">které se konalo </w:t>
      </w:r>
      <w:r w:rsidRPr="00920634">
        <w:rPr>
          <w:rFonts w:asciiTheme="minorHAnsi" w:hAnsiTheme="minorHAnsi" w:cstheme="minorHAnsi"/>
        </w:rPr>
        <w:t xml:space="preserve">dne </w:t>
      </w:r>
      <w:r w:rsidR="00223334">
        <w:rPr>
          <w:rFonts w:asciiTheme="minorHAnsi" w:hAnsiTheme="minorHAnsi" w:cstheme="minorHAnsi"/>
        </w:rPr>
        <w:t>31. srpna</w:t>
      </w:r>
      <w:r w:rsidR="00920634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20</w:t>
      </w:r>
      <w:r w:rsidR="00C44AD1" w:rsidRPr="00920634">
        <w:rPr>
          <w:rFonts w:asciiTheme="minorHAnsi" w:hAnsiTheme="minorHAnsi" w:cstheme="minorHAnsi"/>
        </w:rPr>
        <w:t>1</w:t>
      </w:r>
      <w:r w:rsidR="007B76CB" w:rsidRPr="00920634">
        <w:rPr>
          <w:rFonts w:asciiTheme="minorHAnsi" w:hAnsiTheme="minorHAnsi" w:cstheme="minorHAnsi"/>
        </w:rPr>
        <w:t>5</w:t>
      </w:r>
      <w:r w:rsidRPr="00920634">
        <w:rPr>
          <w:rFonts w:asciiTheme="minorHAnsi" w:hAnsiTheme="minorHAnsi" w:cstheme="minorHAnsi"/>
        </w:rPr>
        <w:t>,</w:t>
      </w:r>
    </w:p>
    <w:p w14:paraId="18D3CF44" w14:textId="4B275DFD" w:rsidR="0039592C" w:rsidRPr="00920634" w:rsidRDefault="0028272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  <w:bCs/>
          <w:i/>
          <w:iCs/>
          <w:spacing w:val="60"/>
        </w:rPr>
        <w:t>schválilo</w:t>
      </w:r>
      <w:r w:rsidRPr="00920634">
        <w:rPr>
          <w:rFonts w:asciiTheme="minorHAnsi" w:hAnsiTheme="minorHAnsi" w:cstheme="minorHAnsi"/>
        </w:rPr>
        <w:t xml:space="preserve">   usnesením</w:t>
      </w:r>
      <w:r w:rsidR="0001331E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č. </w:t>
      </w:r>
      <w:r w:rsidR="00F67757">
        <w:rPr>
          <w:rFonts w:asciiTheme="minorHAnsi" w:hAnsiTheme="minorHAnsi" w:cstheme="minorHAnsi"/>
        </w:rPr>
        <w:t>7</w:t>
      </w:r>
      <w:r w:rsidR="00920634" w:rsidRPr="00920634">
        <w:rPr>
          <w:rFonts w:asciiTheme="minorHAnsi" w:hAnsiTheme="minorHAnsi" w:cstheme="minorHAnsi"/>
        </w:rPr>
        <w:t>/</w:t>
      </w:r>
      <w:r w:rsidR="00223334">
        <w:rPr>
          <w:rFonts w:asciiTheme="minorHAnsi" w:hAnsiTheme="minorHAnsi" w:cstheme="minorHAnsi"/>
        </w:rPr>
        <w:t>XII</w:t>
      </w:r>
      <w:r w:rsidR="00920634" w:rsidRPr="00920634">
        <w:rPr>
          <w:rFonts w:asciiTheme="minorHAnsi" w:hAnsiTheme="minorHAnsi" w:cstheme="minorHAnsi"/>
        </w:rPr>
        <w:t>/2015</w:t>
      </w:r>
    </w:p>
    <w:p w14:paraId="0CEBDE48" w14:textId="41F53760" w:rsidR="00635440" w:rsidRPr="00920634" w:rsidRDefault="00282721" w:rsidP="00114439">
      <w:pPr>
        <w:jc w:val="both"/>
        <w:rPr>
          <w:rFonts w:asciiTheme="minorHAnsi" w:hAnsiTheme="minorHAnsi" w:cstheme="minorHAnsi"/>
          <w:highlight w:val="yellow"/>
        </w:rPr>
      </w:pPr>
      <w:r w:rsidRPr="00920634">
        <w:rPr>
          <w:rFonts w:asciiTheme="minorHAnsi" w:hAnsiTheme="minorHAnsi" w:cstheme="minorHAnsi"/>
          <w:b/>
          <w:bCs/>
          <w:i/>
          <w:iCs/>
          <w:spacing w:val="60"/>
        </w:rPr>
        <w:t>kontrolní</w:t>
      </w:r>
      <w:r w:rsidRPr="00920634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Pr="00920634">
        <w:rPr>
          <w:rFonts w:asciiTheme="minorHAnsi" w:hAnsiTheme="minorHAnsi" w:cstheme="minorHAnsi"/>
          <w:b/>
          <w:bCs/>
          <w:i/>
          <w:iCs/>
          <w:spacing w:val="60"/>
        </w:rPr>
        <w:t>závěr</w:t>
      </w:r>
      <w:r w:rsidRPr="00920634">
        <w:rPr>
          <w:rFonts w:asciiTheme="minorHAnsi" w:hAnsiTheme="minorHAnsi" w:cstheme="minorHAnsi"/>
        </w:rPr>
        <w:t xml:space="preserve">  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tomto znění:</w:t>
      </w:r>
    </w:p>
    <w:p w14:paraId="089F605E" w14:textId="77777777" w:rsidR="00635440" w:rsidRPr="00920634" w:rsidRDefault="00635440" w:rsidP="00114439">
      <w:pPr>
        <w:rPr>
          <w:rFonts w:asciiTheme="minorHAnsi" w:hAnsiTheme="minorHAnsi" w:cstheme="minorHAnsi"/>
          <w:b/>
          <w:sz w:val="28"/>
          <w:szCs w:val="28"/>
        </w:rPr>
      </w:pPr>
    </w:p>
    <w:p w14:paraId="2DE552D3" w14:textId="77777777" w:rsidR="00920634" w:rsidRPr="00920634" w:rsidRDefault="00920634" w:rsidP="008D4CD3">
      <w:pPr>
        <w:rPr>
          <w:rFonts w:asciiTheme="minorHAnsi" w:hAnsiTheme="minorHAnsi" w:cstheme="minorHAnsi"/>
          <w:b/>
          <w:sz w:val="28"/>
          <w:szCs w:val="28"/>
        </w:rPr>
      </w:pPr>
    </w:p>
    <w:p w14:paraId="18D3CF48" w14:textId="77777777" w:rsidR="00282721" w:rsidRPr="00920634" w:rsidRDefault="00282721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>I. Úvod</w:t>
      </w:r>
    </w:p>
    <w:p w14:paraId="18D3CF49" w14:textId="77777777" w:rsidR="00282721" w:rsidRPr="00920634" w:rsidRDefault="00282721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4A" w14:textId="5B41CCF5" w:rsidR="00634575" w:rsidRPr="00920634" w:rsidRDefault="007E4EC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MŠMT a MZe</w:t>
      </w:r>
      <w:r w:rsidR="00634575" w:rsidRPr="00920634">
        <w:rPr>
          <w:rFonts w:asciiTheme="minorHAnsi" w:hAnsiTheme="minorHAnsi" w:cstheme="minorHAnsi"/>
        </w:rPr>
        <w:t xml:space="preserve"> byl</w:t>
      </w:r>
      <w:r w:rsidRPr="00920634">
        <w:rPr>
          <w:rFonts w:asciiTheme="minorHAnsi" w:hAnsiTheme="minorHAnsi" w:cstheme="minorHAnsi"/>
        </w:rPr>
        <w:t>y</w:t>
      </w:r>
      <w:r w:rsidR="00634575" w:rsidRPr="00920634">
        <w:rPr>
          <w:rFonts w:asciiTheme="minorHAnsi" w:hAnsiTheme="minorHAnsi" w:cstheme="minorHAnsi"/>
        </w:rPr>
        <w:t xml:space="preserve"> zřízen</w:t>
      </w:r>
      <w:r w:rsidRPr="00920634">
        <w:rPr>
          <w:rFonts w:asciiTheme="minorHAnsi" w:hAnsiTheme="minorHAnsi" w:cstheme="minorHAnsi"/>
        </w:rPr>
        <w:t>y</w:t>
      </w:r>
      <w:r w:rsidR="00634575" w:rsidRPr="00920634">
        <w:rPr>
          <w:rFonts w:asciiTheme="minorHAnsi" w:hAnsiTheme="minorHAnsi" w:cstheme="minorHAnsi"/>
        </w:rPr>
        <w:t xml:space="preserve"> zákonem č. </w:t>
      </w:r>
      <w:r w:rsidRPr="00920634">
        <w:rPr>
          <w:rFonts w:asciiTheme="minorHAnsi" w:hAnsiTheme="minorHAnsi" w:cstheme="minorHAnsi"/>
        </w:rPr>
        <w:t>2/1969 Sb., o zřízení ministerstev a jiných ústředních orgánů státní správy České republiky</w:t>
      </w:r>
      <w:r w:rsidR="004916FD">
        <w:rPr>
          <w:rFonts w:asciiTheme="minorHAnsi" w:hAnsiTheme="minorHAnsi" w:cstheme="minorHAnsi"/>
        </w:rPr>
        <w:t>.</w:t>
      </w:r>
      <w:r w:rsidR="00634575" w:rsidRPr="00920634">
        <w:rPr>
          <w:rFonts w:asciiTheme="minorHAnsi" w:hAnsiTheme="minorHAnsi" w:cstheme="minorHAnsi"/>
        </w:rPr>
        <w:t xml:space="preserve"> </w:t>
      </w:r>
      <w:r w:rsidR="004916FD">
        <w:rPr>
          <w:rFonts w:asciiTheme="minorHAnsi" w:hAnsiTheme="minorHAnsi" w:cstheme="minorHAnsi"/>
        </w:rPr>
        <w:t>Tento zákon také</w:t>
      </w:r>
      <w:r w:rsidR="00FF6DF4" w:rsidRPr="00920634">
        <w:rPr>
          <w:rFonts w:asciiTheme="minorHAnsi" w:hAnsiTheme="minorHAnsi" w:cstheme="minorHAnsi"/>
        </w:rPr>
        <w:t xml:space="preserve"> </w:t>
      </w:r>
      <w:r w:rsidR="00634575" w:rsidRPr="00920634">
        <w:rPr>
          <w:rFonts w:asciiTheme="minorHAnsi" w:hAnsiTheme="minorHAnsi" w:cstheme="minorHAnsi"/>
        </w:rPr>
        <w:t>vymez</w:t>
      </w:r>
      <w:r w:rsidR="004916FD">
        <w:rPr>
          <w:rFonts w:asciiTheme="minorHAnsi" w:hAnsiTheme="minorHAnsi" w:cstheme="minorHAnsi"/>
        </w:rPr>
        <w:t>il</w:t>
      </w:r>
      <w:r w:rsidR="00634575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jejich</w:t>
      </w:r>
      <w:r w:rsidR="00634575" w:rsidRPr="00920634">
        <w:rPr>
          <w:rFonts w:asciiTheme="minorHAnsi" w:hAnsiTheme="minorHAnsi" w:cstheme="minorHAnsi"/>
        </w:rPr>
        <w:t xml:space="preserve"> působnost.</w:t>
      </w:r>
      <w:r w:rsidR="00CB3701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MŠMT a</w:t>
      </w:r>
      <w:r w:rsidR="004916FD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MZe</w:t>
      </w:r>
      <w:r w:rsidR="00634575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jsou ústředními orgány státní správy,</w:t>
      </w:r>
      <w:r w:rsidR="00634575" w:rsidRPr="00920634">
        <w:rPr>
          <w:rFonts w:asciiTheme="minorHAnsi" w:hAnsiTheme="minorHAnsi" w:cstheme="minorHAnsi"/>
        </w:rPr>
        <w:t xml:space="preserve"> organizační</w:t>
      </w:r>
      <w:r w:rsidRPr="00920634">
        <w:rPr>
          <w:rFonts w:asciiTheme="minorHAnsi" w:hAnsiTheme="minorHAnsi" w:cstheme="minorHAnsi"/>
        </w:rPr>
        <w:t>mi složkami</w:t>
      </w:r>
      <w:r w:rsidR="00634575" w:rsidRPr="00920634">
        <w:rPr>
          <w:rFonts w:asciiTheme="minorHAnsi" w:hAnsiTheme="minorHAnsi" w:cstheme="minorHAnsi"/>
        </w:rPr>
        <w:t xml:space="preserve"> státu </w:t>
      </w:r>
      <w:r w:rsidR="0086654E" w:rsidRPr="00920634">
        <w:rPr>
          <w:rFonts w:asciiTheme="minorHAnsi" w:hAnsiTheme="minorHAnsi" w:cstheme="minorHAnsi"/>
        </w:rPr>
        <w:t>(dále</w:t>
      </w:r>
      <w:r w:rsidR="007F76AB" w:rsidRPr="00920634">
        <w:rPr>
          <w:rFonts w:asciiTheme="minorHAnsi" w:hAnsiTheme="minorHAnsi" w:cstheme="minorHAnsi"/>
        </w:rPr>
        <w:t xml:space="preserve"> také</w:t>
      </w:r>
      <w:r w:rsidR="0086654E" w:rsidRPr="00920634">
        <w:rPr>
          <w:rFonts w:asciiTheme="minorHAnsi" w:hAnsiTheme="minorHAnsi" w:cstheme="minorHAnsi"/>
        </w:rPr>
        <w:t xml:space="preserve"> „OSS“)</w:t>
      </w:r>
      <w:r w:rsidRPr="00920634">
        <w:rPr>
          <w:rFonts w:asciiTheme="minorHAnsi" w:hAnsiTheme="minorHAnsi" w:cstheme="minorHAnsi"/>
        </w:rPr>
        <w:t xml:space="preserve">, </w:t>
      </w:r>
      <w:r w:rsidRPr="00920634">
        <w:rPr>
          <w:rFonts w:asciiTheme="minorHAnsi" w:hAnsiTheme="minorHAnsi" w:cstheme="minorHAnsi"/>
        </w:rPr>
        <w:lastRenderedPageBreak/>
        <w:t xml:space="preserve">správci rozpočtových kapitol 333 </w:t>
      </w:r>
      <w:r w:rsidR="004916FD">
        <w:rPr>
          <w:rFonts w:asciiTheme="minorHAnsi" w:hAnsiTheme="minorHAnsi" w:cstheme="minorHAnsi"/>
        </w:rPr>
        <w:t xml:space="preserve">– </w:t>
      </w:r>
      <w:r w:rsidR="004916FD" w:rsidRPr="008D4CD3">
        <w:rPr>
          <w:rFonts w:asciiTheme="minorHAnsi" w:hAnsiTheme="minorHAnsi" w:cstheme="minorHAnsi"/>
          <w:i/>
        </w:rPr>
        <w:t>Ministerstvo školství, mládeže a tělovýchovy</w:t>
      </w:r>
      <w:r w:rsidR="004916FD">
        <w:rPr>
          <w:rFonts w:asciiTheme="minorHAnsi" w:hAnsiTheme="minorHAnsi" w:cstheme="minorHAnsi"/>
          <w:i/>
        </w:rPr>
        <w:t xml:space="preserve"> </w:t>
      </w:r>
      <w:r w:rsidR="004916FD">
        <w:rPr>
          <w:rFonts w:asciiTheme="minorHAnsi" w:hAnsiTheme="minorHAnsi" w:cstheme="minorHAnsi"/>
        </w:rPr>
        <w:t>(dále jen „333 </w:t>
      </w:r>
      <w:r w:rsidRPr="00920634">
        <w:rPr>
          <w:rFonts w:asciiTheme="minorHAnsi" w:hAnsiTheme="minorHAnsi" w:cstheme="minorHAnsi"/>
        </w:rPr>
        <w:t>MŠMT</w:t>
      </w:r>
      <w:r w:rsidR="004916FD">
        <w:rPr>
          <w:rFonts w:asciiTheme="minorHAnsi" w:hAnsiTheme="minorHAnsi" w:cstheme="minorHAnsi"/>
        </w:rPr>
        <w:t>“)</w:t>
      </w:r>
      <w:r w:rsidRPr="00920634">
        <w:rPr>
          <w:rFonts w:asciiTheme="minorHAnsi" w:hAnsiTheme="minorHAnsi" w:cstheme="minorHAnsi"/>
        </w:rPr>
        <w:t xml:space="preserve"> a 329 </w:t>
      </w:r>
      <w:r w:rsidR="004916FD">
        <w:rPr>
          <w:rFonts w:asciiTheme="minorHAnsi" w:hAnsiTheme="minorHAnsi" w:cstheme="minorHAnsi"/>
        </w:rPr>
        <w:t xml:space="preserve">– </w:t>
      </w:r>
      <w:r w:rsidR="004916FD" w:rsidRPr="008D4CD3">
        <w:rPr>
          <w:rFonts w:asciiTheme="minorHAnsi" w:hAnsiTheme="minorHAnsi" w:cstheme="minorHAnsi"/>
          <w:i/>
        </w:rPr>
        <w:t>Ministerstvo zemědělství</w:t>
      </w:r>
      <w:r w:rsidR="004916FD">
        <w:rPr>
          <w:rFonts w:asciiTheme="minorHAnsi" w:hAnsiTheme="minorHAnsi" w:cstheme="minorHAnsi"/>
        </w:rPr>
        <w:t xml:space="preserve"> (dále jen 329 </w:t>
      </w:r>
      <w:r w:rsidRPr="00920634">
        <w:rPr>
          <w:rFonts w:asciiTheme="minorHAnsi" w:hAnsiTheme="minorHAnsi" w:cstheme="minorHAnsi"/>
        </w:rPr>
        <w:t>MZe</w:t>
      </w:r>
      <w:r w:rsidR="004916FD">
        <w:rPr>
          <w:rFonts w:asciiTheme="minorHAnsi" w:hAnsiTheme="minorHAnsi" w:cstheme="minorHAnsi"/>
        </w:rPr>
        <w:t>)</w:t>
      </w:r>
      <w:r w:rsidRPr="00920634">
        <w:rPr>
          <w:rFonts w:asciiTheme="minorHAnsi" w:hAnsiTheme="minorHAnsi" w:cstheme="minorHAnsi"/>
        </w:rPr>
        <w:t xml:space="preserve"> a </w:t>
      </w:r>
      <w:r w:rsidR="004916FD">
        <w:rPr>
          <w:rFonts w:asciiTheme="minorHAnsi" w:hAnsiTheme="minorHAnsi" w:cstheme="minorHAnsi"/>
        </w:rPr>
        <w:t xml:space="preserve">zároveň jsou takzvanými </w:t>
      </w:r>
      <w:r w:rsidRPr="00920634">
        <w:rPr>
          <w:rFonts w:asciiTheme="minorHAnsi" w:hAnsiTheme="minorHAnsi" w:cstheme="minorHAnsi"/>
        </w:rPr>
        <w:t>vybranými účetními jednotkami</w:t>
      </w:r>
      <w:r w:rsidR="00634575" w:rsidRPr="00920634">
        <w:rPr>
          <w:rFonts w:asciiTheme="minorHAnsi" w:hAnsiTheme="minorHAnsi" w:cstheme="minorHAnsi"/>
        </w:rPr>
        <w:t xml:space="preserve">. </w:t>
      </w:r>
    </w:p>
    <w:p w14:paraId="590F6913" w14:textId="77777777" w:rsidR="007E4EC8" w:rsidRPr="00920634" w:rsidRDefault="007E4EC8" w:rsidP="00114439">
      <w:pPr>
        <w:jc w:val="both"/>
        <w:rPr>
          <w:rFonts w:asciiTheme="minorHAnsi" w:hAnsiTheme="minorHAnsi" w:cstheme="minorHAnsi"/>
        </w:rPr>
      </w:pPr>
    </w:p>
    <w:p w14:paraId="321AAB28" w14:textId="0660C439" w:rsidR="000C04E7" w:rsidRPr="00920634" w:rsidRDefault="00506FD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i MZe </w:t>
      </w:r>
      <w:r w:rsidR="00F06698" w:rsidRPr="00920634">
        <w:rPr>
          <w:rFonts w:asciiTheme="minorHAnsi" w:hAnsiTheme="minorHAnsi" w:cstheme="minorHAnsi"/>
        </w:rPr>
        <w:t>při výkonu své působnosti</w:t>
      </w:r>
      <w:r w:rsidR="003A702E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poskytují a přijímají prostředky se vztahem </w:t>
      </w:r>
      <w:r w:rsidR="00597370" w:rsidRPr="00920634">
        <w:rPr>
          <w:rFonts w:asciiTheme="minorHAnsi" w:hAnsiTheme="minorHAnsi" w:cstheme="minorHAnsi"/>
        </w:rPr>
        <w:t>ke zdrojům v</w:t>
      </w:r>
      <w:r w:rsidRPr="00920634">
        <w:rPr>
          <w:rFonts w:asciiTheme="minorHAnsi" w:hAnsiTheme="minorHAnsi" w:cstheme="minorHAnsi"/>
        </w:rPr>
        <w:t xml:space="preserve"> zahraničí. </w:t>
      </w:r>
      <w:r w:rsidR="00597370" w:rsidRPr="00920634">
        <w:rPr>
          <w:rFonts w:asciiTheme="minorHAnsi" w:hAnsiTheme="minorHAnsi" w:cstheme="minorHAnsi"/>
        </w:rPr>
        <w:t>Tyto p</w:t>
      </w:r>
      <w:r w:rsidR="00C531FD" w:rsidRPr="00920634">
        <w:rPr>
          <w:rFonts w:asciiTheme="minorHAnsi" w:hAnsiTheme="minorHAnsi" w:cstheme="minorHAnsi"/>
        </w:rPr>
        <w:t>rostředky souvisí zejména s</w:t>
      </w:r>
      <w:r w:rsidR="00D0557B" w:rsidRPr="00920634">
        <w:rPr>
          <w:rFonts w:asciiTheme="minorHAnsi" w:hAnsiTheme="minorHAnsi" w:cstheme="minorHAnsi"/>
        </w:rPr>
        <w:t> </w:t>
      </w:r>
      <w:r w:rsidR="00C531FD" w:rsidRPr="00920634">
        <w:rPr>
          <w:rFonts w:asciiTheme="minorHAnsi" w:hAnsiTheme="minorHAnsi" w:cstheme="minorHAnsi"/>
        </w:rPr>
        <w:t>politikami</w:t>
      </w:r>
      <w:r w:rsidR="00D0557B" w:rsidRPr="00920634">
        <w:rPr>
          <w:rFonts w:asciiTheme="minorHAnsi" w:hAnsiTheme="minorHAnsi" w:cstheme="minorHAnsi"/>
        </w:rPr>
        <w:t xml:space="preserve"> </w:t>
      </w:r>
      <w:r w:rsidR="00C52353" w:rsidRPr="00920634">
        <w:rPr>
          <w:rFonts w:asciiTheme="minorHAnsi" w:hAnsiTheme="minorHAnsi" w:cstheme="minorHAnsi"/>
        </w:rPr>
        <w:t>E</w:t>
      </w:r>
      <w:r w:rsidR="00F06698" w:rsidRPr="00920634">
        <w:rPr>
          <w:rFonts w:asciiTheme="minorHAnsi" w:hAnsiTheme="minorHAnsi" w:cstheme="minorHAnsi"/>
        </w:rPr>
        <w:t>vropské unie (dále</w:t>
      </w:r>
      <w:r w:rsidR="00001DB9" w:rsidRPr="00920634">
        <w:rPr>
          <w:rFonts w:asciiTheme="minorHAnsi" w:hAnsiTheme="minorHAnsi" w:cstheme="minorHAnsi"/>
        </w:rPr>
        <w:t xml:space="preserve"> </w:t>
      </w:r>
      <w:r w:rsidR="00D21A58">
        <w:rPr>
          <w:rFonts w:asciiTheme="minorHAnsi" w:hAnsiTheme="minorHAnsi" w:cstheme="minorHAnsi"/>
        </w:rPr>
        <w:t>také „</w:t>
      </w:r>
      <w:r w:rsidR="00F06698" w:rsidRPr="00920634">
        <w:rPr>
          <w:rFonts w:asciiTheme="minorHAnsi" w:hAnsiTheme="minorHAnsi" w:cstheme="minorHAnsi"/>
        </w:rPr>
        <w:t>EU“)</w:t>
      </w:r>
      <w:r w:rsidR="00D0557B" w:rsidRPr="00920634">
        <w:rPr>
          <w:rFonts w:asciiTheme="minorHAnsi" w:hAnsiTheme="minorHAnsi" w:cstheme="minorHAnsi"/>
        </w:rPr>
        <w:t xml:space="preserve"> </w:t>
      </w:r>
      <w:r w:rsidR="008B18E8" w:rsidRPr="00920634">
        <w:rPr>
          <w:rFonts w:asciiTheme="minorHAnsi" w:hAnsiTheme="minorHAnsi" w:cstheme="minorHAnsi"/>
        </w:rPr>
        <w:t>či jinými zahraničními programy</w:t>
      </w:r>
      <w:r w:rsidR="005F2588" w:rsidRPr="00920634">
        <w:rPr>
          <w:rFonts w:asciiTheme="minorHAnsi" w:hAnsiTheme="minorHAnsi" w:cstheme="minorHAnsi"/>
        </w:rPr>
        <w:t>.</w:t>
      </w:r>
      <w:r w:rsidR="00596F3F" w:rsidRPr="00920634">
        <w:rPr>
          <w:rFonts w:asciiTheme="minorHAnsi" w:hAnsiTheme="minorHAnsi" w:cstheme="minorHAnsi"/>
        </w:rPr>
        <w:t xml:space="preserve"> </w:t>
      </w:r>
      <w:r w:rsidR="006103CF" w:rsidRPr="00920634">
        <w:rPr>
          <w:rFonts w:asciiTheme="minorHAnsi" w:hAnsiTheme="minorHAnsi" w:cstheme="minorHAnsi"/>
        </w:rPr>
        <w:t>Předmětem kontroly byly prostředky, které mají vztah k těmto politikám a programů</w:t>
      </w:r>
      <w:r w:rsidR="00610B14" w:rsidRPr="00920634">
        <w:rPr>
          <w:rFonts w:asciiTheme="minorHAnsi" w:hAnsiTheme="minorHAnsi" w:cstheme="minorHAnsi"/>
        </w:rPr>
        <w:t>m</w:t>
      </w:r>
      <w:r w:rsidR="006103CF" w:rsidRPr="00920634">
        <w:rPr>
          <w:rFonts w:asciiTheme="minorHAnsi" w:hAnsiTheme="minorHAnsi" w:cstheme="minorHAnsi"/>
        </w:rPr>
        <w:t xml:space="preserve">. </w:t>
      </w:r>
    </w:p>
    <w:p w14:paraId="5652EA4A" w14:textId="0DF901B1" w:rsidR="000C04E7" w:rsidRPr="00920634" w:rsidRDefault="000C04E7" w:rsidP="00114439">
      <w:pPr>
        <w:jc w:val="both"/>
        <w:rPr>
          <w:rFonts w:asciiTheme="minorHAnsi" w:hAnsiTheme="minorHAnsi" w:cstheme="minorHAnsi"/>
        </w:rPr>
      </w:pPr>
    </w:p>
    <w:p w14:paraId="73D0A94C" w14:textId="533C23C8" w:rsidR="000622FC" w:rsidRPr="00920634" w:rsidRDefault="00F0669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</w:t>
      </w:r>
      <w:r w:rsidR="00B418EB" w:rsidRPr="00920634">
        <w:rPr>
          <w:rFonts w:asciiTheme="minorHAnsi" w:hAnsiTheme="minorHAnsi" w:cstheme="minorHAnsi"/>
        </w:rPr>
        <w:t>rostředky ze zahraničí mají obvykle podobu dotací či jiných forem poskytnutí</w:t>
      </w:r>
      <w:r w:rsidR="000E4BFA">
        <w:rPr>
          <w:rFonts w:asciiTheme="minorHAnsi" w:hAnsiTheme="minorHAnsi" w:cstheme="minorHAnsi"/>
        </w:rPr>
        <w:t xml:space="preserve"> prostředků</w:t>
      </w:r>
      <w:r w:rsidR="00B418EB" w:rsidRPr="00920634">
        <w:rPr>
          <w:rFonts w:asciiTheme="minorHAnsi" w:hAnsiTheme="minorHAnsi" w:cstheme="minorHAnsi"/>
        </w:rPr>
        <w:t xml:space="preserve">, jejich společným znakem je </w:t>
      </w:r>
      <w:r w:rsidRPr="00920634">
        <w:rPr>
          <w:rFonts w:asciiTheme="minorHAnsi" w:hAnsiTheme="minorHAnsi" w:cstheme="minorHAnsi"/>
        </w:rPr>
        <w:t>chybějící</w:t>
      </w:r>
      <w:r w:rsidR="00B418EB" w:rsidRPr="00920634">
        <w:rPr>
          <w:rFonts w:asciiTheme="minorHAnsi" w:hAnsiTheme="minorHAnsi" w:cstheme="minorHAnsi"/>
        </w:rPr>
        <w:t xml:space="preserve"> „protihodnota“ (protiplnění)</w:t>
      </w:r>
      <w:r w:rsidRPr="00920634">
        <w:rPr>
          <w:rFonts w:asciiTheme="minorHAnsi" w:hAnsiTheme="minorHAnsi" w:cstheme="minorHAnsi"/>
        </w:rPr>
        <w:t>. Tyto</w:t>
      </w:r>
      <w:r w:rsidR="00B418EB" w:rsidRPr="00920634">
        <w:rPr>
          <w:rFonts w:asciiTheme="minorHAnsi" w:hAnsiTheme="minorHAnsi" w:cstheme="minorHAnsi"/>
        </w:rPr>
        <w:t xml:space="preserve"> prostředky</w:t>
      </w:r>
      <w:r w:rsidRPr="00920634">
        <w:rPr>
          <w:rFonts w:asciiTheme="minorHAnsi" w:hAnsiTheme="minorHAnsi" w:cstheme="minorHAnsi"/>
        </w:rPr>
        <w:t xml:space="preserve"> jsou</w:t>
      </w:r>
      <w:r w:rsidR="00B418EB" w:rsidRPr="00920634">
        <w:rPr>
          <w:rFonts w:asciiTheme="minorHAnsi" w:hAnsiTheme="minorHAnsi" w:cstheme="minorHAnsi"/>
        </w:rPr>
        <w:t xml:space="preserve"> označovány pojmem </w:t>
      </w:r>
      <w:r w:rsidR="00B418EB" w:rsidRPr="00920634">
        <w:rPr>
          <w:rFonts w:asciiTheme="minorHAnsi" w:hAnsiTheme="minorHAnsi" w:cstheme="minorHAnsi"/>
          <w:b/>
        </w:rPr>
        <w:t>transfery</w:t>
      </w:r>
      <w:r w:rsidR="00B418EB" w:rsidRPr="00920634">
        <w:rPr>
          <w:rFonts w:asciiTheme="minorHAnsi" w:hAnsiTheme="minorHAnsi" w:cstheme="minorHAnsi"/>
        </w:rPr>
        <w:t xml:space="preserve">, a to v souladu </w:t>
      </w:r>
      <w:r w:rsidR="008D073A">
        <w:rPr>
          <w:rFonts w:asciiTheme="minorHAnsi" w:hAnsiTheme="minorHAnsi" w:cstheme="minorHAnsi"/>
        </w:rPr>
        <w:t>s </w:t>
      </w:r>
      <w:r w:rsidR="00B418EB" w:rsidRPr="00920634">
        <w:rPr>
          <w:rFonts w:asciiTheme="minorHAnsi" w:hAnsiTheme="minorHAnsi" w:cstheme="minorHAnsi"/>
        </w:rPr>
        <w:t>jejich</w:t>
      </w:r>
      <w:r w:rsidR="008D073A">
        <w:rPr>
          <w:rFonts w:asciiTheme="minorHAnsi" w:hAnsiTheme="minorHAnsi" w:cstheme="minorHAnsi"/>
        </w:rPr>
        <w:t xml:space="preserve"> </w:t>
      </w:r>
      <w:r w:rsidR="0082764D" w:rsidRPr="00920634">
        <w:rPr>
          <w:rFonts w:asciiTheme="minorHAnsi" w:hAnsiTheme="minorHAnsi" w:cstheme="minorHAnsi"/>
        </w:rPr>
        <w:t>rozpočtovým,</w:t>
      </w:r>
      <w:r w:rsidR="004A0A21" w:rsidRPr="00920634">
        <w:rPr>
          <w:rFonts w:asciiTheme="minorHAnsi" w:hAnsiTheme="minorHAnsi" w:cstheme="minorHAnsi"/>
        </w:rPr>
        <w:t xml:space="preserve"> </w:t>
      </w:r>
      <w:r w:rsidR="00B418EB" w:rsidRPr="00920634">
        <w:rPr>
          <w:rFonts w:asciiTheme="minorHAnsi" w:hAnsiTheme="minorHAnsi" w:cstheme="minorHAnsi"/>
        </w:rPr>
        <w:t xml:space="preserve">účetním i statistickým vymezením. </w:t>
      </w:r>
      <w:r w:rsidR="00D21A58">
        <w:rPr>
          <w:rFonts w:asciiTheme="minorHAnsi" w:hAnsiTheme="minorHAnsi" w:cstheme="minorHAnsi"/>
        </w:rPr>
        <w:t>Mezi t</w:t>
      </w:r>
      <w:r w:rsidR="00B418EB" w:rsidRPr="00920634">
        <w:rPr>
          <w:rFonts w:asciiTheme="minorHAnsi" w:hAnsiTheme="minorHAnsi" w:cstheme="minorHAnsi"/>
        </w:rPr>
        <w:t xml:space="preserve">ransfery </w:t>
      </w:r>
      <w:r w:rsidR="00D21A58">
        <w:rPr>
          <w:rFonts w:asciiTheme="minorHAnsi" w:hAnsiTheme="minorHAnsi" w:cstheme="minorHAnsi"/>
        </w:rPr>
        <w:t>patří</w:t>
      </w:r>
      <w:r w:rsidR="00B418EB" w:rsidRPr="00920634">
        <w:rPr>
          <w:rFonts w:asciiTheme="minorHAnsi" w:hAnsiTheme="minorHAnsi" w:cstheme="minorHAnsi"/>
        </w:rPr>
        <w:t xml:space="preserve"> i prostředky poskytované a přijímané MŠMT a MZe z</w:t>
      </w:r>
      <w:r w:rsidR="000622FC" w:rsidRPr="00920634">
        <w:rPr>
          <w:rFonts w:asciiTheme="minorHAnsi" w:hAnsiTheme="minorHAnsi" w:cstheme="minorHAnsi"/>
        </w:rPr>
        <w:t> </w:t>
      </w:r>
      <w:r w:rsidR="000622FC" w:rsidRPr="008D4CD3">
        <w:rPr>
          <w:rFonts w:asciiTheme="minorHAnsi" w:hAnsiTheme="minorHAnsi" w:cstheme="minorHAnsi"/>
          <w:i/>
        </w:rPr>
        <w:t>Evropského sociálního fondu</w:t>
      </w:r>
      <w:r w:rsidR="000622FC" w:rsidRPr="00920634">
        <w:rPr>
          <w:rFonts w:asciiTheme="minorHAnsi" w:hAnsiTheme="minorHAnsi" w:cstheme="minorHAnsi"/>
        </w:rPr>
        <w:t xml:space="preserve"> (dále</w:t>
      </w:r>
      <w:r w:rsidR="00B418EB" w:rsidRPr="00920634">
        <w:rPr>
          <w:rFonts w:asciiTheme="minorHAnsi" w:hAnsiTheme="minorHAnsi" w:cstheme="minorHAnsi"/>
        </w:rPr>
        <w:t xml:space="preserve"> </w:t>
      </w:r>
      <w:r w:rsidR="00D21A58">
        <w:rPr>
          <w:rFonts w:asciiTheme="minorHAnsi" w:hAnsiTheme="minorHAnsi" w:cstheme="minorHAnsi"/>
        </w:rPr>
        <w:t xml:space="preserve">také </w:t>
      </w:r>
      <w:r w:rsidR="000622FC" w:rsidRPr="00920634">
        <w:rPr>
          <w:rFonts w:asciiTheme="minorHAnsi" w:hAnsiTheme="minorHAnsi" w:cstheme="minorHAnsi"/>
        </w:rPr>
        <w:t>„</w:t>
      </w:r>
      <w:r w:rsidR="00B418EB" w:rsidRPr="00920634">
        <w:rPr>
          <w:rFonts w:asciiTheme="minorHAnsi" w:hAnsiTheme="minorHAnsi" w:cstheme="minorHAnsi"/>
        </w:rPr>
        <w:t>ESF</w:t>
      </w:r>
      <w:r w:rsidR="000622FC" w:rsidRPr="00920634">
        <w:rPr>
          <w:rFonts w:asciiTheme="minorHAnsi" w:hAnsiTheme="minorHAnsi" w:cstheme="minorHAnsi"/>
        </w:rPr>
        <w:t>“)</w:t>
      </w:r>
      <w:r w:rsidR="00B418EB" w:rsidRPr="00920634">
        <w:rPr>
          <w:rFonts w:asciiTheme="minorHAnsi" w:hAnsiTheme="minorHAnsi" w:cstheme="minorHAnsi"/>
        </w:rPr>
        <w:t xml:space="preserve">, </w:t>
      </w:r>
      <w:r w:rsidR="000622FC" w:rsidRPr="008D4CD3">
        <w:rPr>
          <w:rFonts w:asciiTheme="minorHAnsi" w:hAnsiTheme="minorHAnsi" w:cstheme="minorHAnsi"/>
          <w:i/>
        </w:rPr>
        <w:t>Evropského fondu pro regionální rozvoj</w:t>
      </w:r>
      <w:r w:rsidR="000622FC" w:rsidRPr="00920634">
        <w:rPr>
          <w:rFonts w:asciiTheme="minorHAnsi" w:hAnsiTheme="minorHAnsi" w:cstheme="minorHAnsi"/>
        </w:rPr>
        <w:t xml:space="preserve"> (dále </w:t>
      </w:r>
      <w:r w:rsidR="00D21A58">
        <w:rPr>
          <w:rFonts w:asciiTheme="minorHAnsi" w:hAnsiTheme="minorHAnsi" w:cstheme="minorHAnsi"/>
        </w:rPr>
        <w:t xml:space="preserve">také </w:t>
      </w:r>
      <w:r w:rsidR="000622FC" w:rsidRPr="00920634">
        <w:rPr>
          <w:rFonts w:asciiTheme="minorHAnsi" w:hAnsiTheme="minorHAnsi" w:cstheme="minorHAnsi"/>
        </w:rPr>
        <w:t>„</w:t>
      </w:r>
      <w:r w:rsidR="00B418EB" w:rsidRPr="00920634">
        <w:rPr>
          <w:rFonts w:asciiTheme="minorHAnsi" w:hAnsiTheme="minorHAnsi" w:cstheme="minorHAnsi"/>
        </w:rPr>
        <w:t>EFRR</w:t>
      </w:r>
      <w:r w:rsidR="000622FC" w:rsidRPr="00920634">
        <w:rPr>
          <w:rFonts w:asciiTheme="minorHAnsi" w:hAnsiTheme="minorHAnsi" w:cstheme="minorHAnsi"/>
        </w:rPr>
        <w:t>“)</w:t>
      </w:r>
      <w:r w:rsidR="00B418EB" w:rsidRPr="00920634">
        <w:rPr>
          <w:rFonts w:asciiTheme="minorHAnsi" w:hAnsiTheme="minorHAnsi" w:cstheme="minorHAnsi"/>
        </w:rPr>
        <w:t xml:space="preserve">, </w:t>
      </w:r>
      <w:r w:rsidR="000622FC" w:rsidRPr="008D4CD3">
        <w:rPr>
          <w:rFonts w:asciiTheme="minorHAnsi" w:hAnsiTheme="minorHAnsi" w:cstheme="minorHAnsi"/>
          <w:i/>
        </w:rPr>
        <w:t>Evropského zemědělského záručního fondu</w:t>
      </w:r>
      <w:r w:rsidR="000622FC" w:rsidRPr="00920634">
        <w:rPr>
          <w:rFonts w:asciiTheme="minorHAnsi" w:hAnsiTheme="minorHAnsi" w:cstheme="minorHAnsi"/>
        </w:rPr>
        <w:t xml:space="preserve"> (dále </w:t>
      </w:r>
      <w:r w:rsidR="00D21A58">
        <w:rPr>
          <w:rFonts w:asciiTheme="minorHAnsi" w:hAnsiTheme="minorHAnsi" w:cstheme="minorHAnsi"/>
        </w:rPr>
        <w:t xml:space="preserve">také </w:t>
      </w:r>
      <w:r w:rsidR="000622FC" w:rsidRPr="00920634">
        <w:rPr>
          <w:rFonts w:asciiTheme="minorHAnsi" w:hAnsiTheme="minorHAnsi" w:cstheme="minorHAnsi"/>
        </w:rPr>
        <w:t>„</w:t>
      </w:r>
      <w:r w:rsidR="00B418EB" w:rsidRPr="00920634">
        <w:rPr>
          <w:rFonts w:asciiTheme="minorHAnsi" w:hAnsiTheme="minorHAnsi" w:cstheme="minorHAnsi"/>
        </w:rPr>
        <w:t>EZZF</w:t>
      </w:r>
      <w:r w:rsidR="000622FC" w:rsidRPr="00920634">
        <w:rPr>
          <w:rFonts w:asciiTheme="minorHAnsi" w:hAnsiTheme="minorHAnsi" w:cstheme="minorHAnsi"/>
        </w:rPr>
        <w:t>“)</w:t>
      </w:r>
      <w:r w:rsidR="00B418EB" w:rsidRPr="00920634">
        <w:rPr>
          <w:rFonts w:asciiTheme="minorHAnsi" w:hAnsiTheme="minorHAnsi" w:cstheme="minorHAnsi"/>
        </w:rPr>
        <w:t xml:space="preserve">, </w:t>
      </w:r>
      <w:r w:rsidR="000622FC" w:rsidRPr="008D4CD3">
        <w:rPr>
          <w:rFonts w:asciiTheme="minorHAnsi" w:hAnsiTheme="minorHAnsi" w:cstheme="minorHAnsi"/>
          <w:i/>
        </w:rPr>
        <w:t>Evropského zemědělského fondu pro rozvoj venkova</w:t>
      </w:r>
      <w:r w:rsidR="000622FC" w:rsidRPr="00920634">
        <w:rPr>
          <w:rFonts w:asciiTheme="minorHAnsi" w:hAnsiTheme="minorHAnsi" w:cstheme="minorHAnsi"/>
        </w:rPr>
        <w:t xml:space="preserve"> (dále </w:t>
      </w:r>
      <w:r w:rsidR="00D21A58">
        <w:rPr>
          <w:rFonts w:asciiTheme="minorHAnsi" w:hAnsiTheme="minorHAnsi" w:cstheme="minorHAnsi"/>
        </w:rPr>
        <w:t xml:space="preserve">také </w:t>
      </w:r>
      <w:r w:rsidR="000622FC" w:rsidRPr="00920634">
        <w:rPr>
          <w:rFonts w:asciiTheme="minorHAnsi" w:hAnsiTheme="minorHAnsi" w:cstheme="minorHAnsi"/>
        </w:rPr>
        <w:t>„</w:t>
      </w:r>
      <w:r w:rsidR="00B418EB" w:rsidRPr="00920634">
        <w:rPr>
          <w:rFonts w:asciiTheme="minorHAnsi" w:hAnsiTheme="minorHAnsi" w:cstheme="minorHAnsi"/>
        </w:rPr>
        <w:t>EZFRV</w:t>
      </w:r>
      <w:r w:rsidR="000622FC" w:rsidRPr="00920634">
        <w:rPr>
          <w:rFonts w:asciiTheme="minorHAnsi" w:hAnsiTheme="minorHAnsi" w:cstheme="minorHAnsi"/>
        </w:rPr>
        <w:t>“)</w:t>
      </w:r>
      <w:r w:rsidR="00B418EB" w:rsidRPr="00920634">
        <w:rPr>
          <w:rFonts w:asciiTheme="minorHAnsi" w:hAnsiTheme="minorHAnsi" w:cstheme="minorHAnsi"/>
        </w:rPr>
        <w:t xml:space="preserve"> a </w:t>
      </w:r>
      <w:r w:rsidR="000622FC" w:rsidRPr="008D4CD3">
        <w:rPr>
          <w:rFonts w:asciiTheme="minorHAnsi" w:hAnsiTheme="minorHAnsi" w:cstheme="minorHAnsi"/>
          <w:i/>
        </w:rPr>
        <w:t>Evropského rybářského fondu</w:t>
      </w:r>
      <w:r w:rsidR="000622FC" w:rsidRPr="00920634">
        <w:rPr>
          <w:rFonts w:asciiTheme="minorHAnsi" w:hAnsiTheme="minorHAnsi" w:cstheme="minorHAnsi"/>
        </w:rPr>
        <w:t xml:space="preserve"> (dále </w:t>
      </w:r>
      <w:r w:rsidR="00D21A58">
        <w:rPr>
          <w:rFonts w:asciiTheme="minorHAnsi" w:hAnsiTheme="minorHAnsi" w:cstheme="minorHAnsi"/>
        </w:rPr>
        <w:t xml:space="preserve">také </w:t>
      </w:r>
      <w:r w:rsidR="000622FC" w:rsidRPr="00920634">
        <w:rPr>
          <w:rFonts w:asciiTheme="minorHAnsi" w:hAnsiTheme="minorHAnsi" w:cstheme="minorHAnsi"/>
        </w:rPr>
        <w:t>„</w:t>
      </w:r>
      <w:r w:rsidR="00B418EB" w:rsidRPr="00920634">
        <w:rPr>
          <w:rFonts w:asciiTheme="minorHAnsi" w:hAnsiTheme="minorHAnsi" w:cstheme="minorHAnsi"/>
        </w:rPr>
        <w:t>ERF</w:t>
      </w:r>
      <w:r w:rsidR="000622FC" w:rsidRPr="00920634">
        <w:rPr>
          <w:rFonts w:asciiTheme="minorHAnsi" w:hAnsiTheme="minorHAnsi" w:cstheme="minorHAnsi"/>
        </w:rPr>
        <w:t>“)</w:t>
      </w:r>
      <w:r w:rsidR="00B418EB" w:rsidRPr="00920634">
        <w:rPr>
          <w:rFonts w:asciiTheme="minorHAnsi" w:hAnsiTheme="minorHAnsi" w:cstheme="minorHAnsi"/>
        </w:rPr>
        <w:t>.</w:t>
      </w:r>
      <w:r w:rsidR="000622FC" w:rsidRPr="00920634">
        <w:rPr>
          <w:rFonts w:asciiTheme="minorHAnsi" w:hAnsiTheme="minorHAnsi" w:cstheme="minorHAnsi"/>
        </w:rPr>
        <w:t xml:space="preserve"> </w:t>
      </w:r>
    </w:p>
    <w:p w14:paraId="1BEA3348" w14:textId="24C29A00" w:rsidR="00B418EB" w:rsidRPr="00920634" w:rsidRDefault="00B418EB" w:rsidP="00114439">
      <w:pPr>
        <w:jc w:val="both"/>
        <w:rPr>
          <w:rFonts w:asciiTheme="minorHAnsi" w:hAnsiTheme="minorHAnsi" w:cstheme="minorHAnsi"/>
        </w:rPr>
      </w:pPr>
    </w:p>
    <w:p w14:paraId="0ACEAB55" w14:textId="45359988" w:rsidR="00B418EB" w:rsidRPr="00920634" w:rsidRDefault="00B418EB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Kontrol</w:t>
      </w:r>
      <w:r w:rsidR="00ED614F" w:rsidRPr="00920634">
        <w:rPr>
          <w:rFonts w:asciiTheme="minorHAnsi" w:hAnsiTheme="minorHAnsi" w:cstheme="minorHAnsi"/>
        </w:rPr>
        <w:t>a</w:t>
      </w:r>
      <w:r w:rsidR="0041145D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byla systémového charakteru</w:t>
      </w:r>
      <w:r w:rsidR="00994D9F" w:rsidRPr="00920634">
        <w:rPr>
          <w:rFonts w:asciiTheme="minorHAnsi" w:hAnsiTheme="minorHAnsi" w:cstheme="minorHAnsi"/>
        </w:rPr>
        <w:t xml:space="preserve"> a byla</w:t>
      </w:r>
      <w:r w:rsidRPr="00920634">
        <w:rPr>
          <w:rFonts w:asciiTheme="minorHAnsi" w:hAnsiTheme="minorHAnsi" w:cstheme="minorHAnsi"/>
        </w:rPr>
        <w:t xml:space="preserve"> zaměřen</w:t>
      </w:r>
      <w:r w:rsidR="00D21A58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zejména na</w:t>
      </w:r>
      <w:r w:rsidR="00F06698" w:rsidRPr="00920634">
        <w:rPr>
          <w:rFonts w:asciiTheme="minorHAnsi" w:hAnsiTheme="minorHAnsi" w:cstheme="minorHAnsi"/>
        </w:rPr>
        <w:t xml:space="preserve"> prověření</w:t>
      </w:r>
      <w:r w:rsidRPr="00920634">
        <w:rPr>
          <w:rFonts w:asciiTheme="minorHAnsi" w:hAnsiTheme="minorHAnsi" w:cstheme="minorHAnsi"/>
        </w:rPr>
        <w:t>:</w:t>
      </w:r>
    </w:p>
    <w:p w14:paraId="76AEFFD3" w14:textId="1AD1ECB2" w:rsidR="00B418EB" w:rsidRPr="00920634" w:rsidRDefault="00F06698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existence případných</w:t>
      </w:r>
      <w:r w:rsidR="00F57B94" w:rsidRPr="00920634">
        <w:rPr>
          <w:rFonts w:asciiTheme="minorHAnsi" w:hAnsiTheme="minorHAnsi" w:cstheme="minorHAnsi"/>
        </w:rPr>
        <w:t xml:space="preserve"> přetrvávajících</w:t>
      </w:r>
      <w:r w:rsidR="00B418EB" w:rsidRPr="00920634">
        <w:rPr>
          <w:rFonts w:asciiTheme="minorHAnsi" w:hAnsiTheme="minorHAnsi" w:cstheme="minorHAnsi"/>
        </w:rPr>
        <w:t xml:space="preserve"> nejasností</w:t>
      </w:r>
      <w:r w:rsidRPr="00920634">
        <w:rPr>
          <w:rFonts w:asciiTheme="minorHAnsi" w:hAnsiTheme="minorHAnsi" w:cstheme="minorHAnsi"/>
        </w:rPr>
        <w:t xml:space="preserve"> a nejednoznačností</w:t>
      </w:r>
      <w:r w:rsidR="00B418EB" w:rsidRPr="00920634">
        <w:rPr>
          <w:rFonts w:asciiTheme="minorHAnsi" w:hAnsiTheme="minorHAnsi" w:cstheme="minorHAnsi"/>
        </w:rPr>
        <w:t xml:space="preserve"> účetní </w:t>
      </w:r>
      <w:r w:rsidRPr="00920634">
        <w:rPr>
          <w:rFonts w:asciiTheme="minorHAnsi" w:hAnsiTheme="minorHAnsi" w:cstheme="minorHAnsi"/>
        </w:rPr>
        <w:t>regulac</w:t>
      </w:r>
      <w:r w:rsidR="00F57B94" w:rsidRPr="00920634">
        <w:rPr>
          <w:rFonts w:asciiTheme="minorHAnsi" w:hAnsiTheme="minorHAnsi" w:cstheme="minorHAnsi"/>
        </w:rPr>
        <w:t>e</w:t>
      </w:r>
      <w:r w:rsidR="00994D9F" w:rsidRPr="00920634">
        <w:rPr>
          <w:rFonts w:asciiTheme="minorHAnsi" w:hAnsiTheme="minorHAnsi" w:cstheme="minorHAnsi"/>
        </w:rPr>
        <w:t xml:space="preserve"> platné</w:t>
      </w:r>
      <w:r w:rsidR="002F1DF9" w:rsidRPr="00920634">
        <w:rPr>
          <w:rFonts w:asciiTheme="minorHAnsi" w:hAnsiTheme="minorHAnsi" w:cstheme="minorHAnsi"/>
        </w:rPr>
        <w:t xml:space="preserve"> pro rok 2015</w:t>
      </w:r>
      <w:r w:rsidR="0041145D" w:rsidRPr="00920634">
        <w:rPr>
          <w:rFonts w:asciiTheme="minorHAnsi" w:hAnsiTheme="minorHAnsi" w:cstheme="minorHAnsi"/>
        </w:rPr>
        <w:t xml:space="preserve"> </w:t>
      </w:r>
      <w:r w:rsidR="00B418EB" w:rsidRPr="00920634">
        <w:rPr>
          <w:rFonts w:asciiTheme="minorHAnsi" w:hAnsiTheme="minorHAnsi" w:cstheme="minorHAnsi"/>
        </w:rPr>
        <w:t xml:space="preserve">v oblasti transferů spolufinancovaných ze zahraničí, </w:t>
      </w:r>
    </w:p>
    <w:p w14:paraId="28B6FEA0" w14:textId="4C083A1C" w:rsidR="00994D9F" w:rsidRPr="00920634" w:rsidRDefault="00994D9F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komplexnosti </w:t>
      </w:r>
      <w:r w:rsidR="002F1DF9" w:rsidRPr="00920634">
        <w:rPr>
          <w:rFonts w:asciiTheme="minorHAnsi" w:hAnsiTheme="minorHAnsi" w:cstheme="minorHAnsi"/>
        </w:rPr>
        <w:t>zobrazování skutečnosti související</w:t>
      </w:r>
      <w:r w:rsidRPr="00920634">
        <w:rPr>
          <w:rFonts w:asciiTheme="minorHAnsi" w:hAnsiTheme="minorHAnsi" w:cstheme="minorHAnsi"/>
        </w:rPr>
        <w:t xml:space="preserve"> s peněžními toky typu transferů spolufinancovaných ze zahraničí</w:t>
      </w:r>
      <w:r w:rsidR="002F1DF9" w:rsidRPr="00920634">
        <w:rPr>
          <w:rFonts w:asciiTheme="minorHAnsi" w:hAnsiTheme="minorHAnsi" w:cstheme="minorHAnsi"/>
        </w:rPr>
        <w:t xml:space="preserve"> v</w:t>
      </w:r>
      <w:r w:rsidR="00F62ECC">
        <w:rPr>
          <w:rFonts w:asciiTheme="minorHAnsi" w:hAnsiTheme="minorHAnsi" w:cstheme="minorHAnsi"/>
        </w:rPr>
        <w:t> </w:t>
      </w:r>
      <w:r w:rsidR="002F1DF9" w:rsidRPr="00920634">
        <w:rPr>
          <w:rFonts w:asciiTheme="minorHAnsi" w:hAnsiTheme="minorHAnsi" w:cstheme="minorHAnsi"/>
        </w:rPr>
        <w:t>účetnictví</w:t>
      </w:r>
      <w:r w:rsidR="00F62ECC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to za účelem identifikace a hodnocení systémových rizik, </w:t>
      </w:r>
    </w:p>
    <w:p w14:paraId="21D2EA1F" w14:textId="5D6C8B87" w:rsidR="0041145D" w:rsidRPr="00920634" w:rsidRDefault="002F1DF9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rizik srovnatelnosti vykázaných rozpočtových a účetních údajů v rámci časových řad a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mezi účetními jednotkami, </w:t>
      </w:r>
    </w:p>
    <w:p w14:paraId="329933D8" w14:textId="79B3718E" w:rsidR="00B418EB" w:rsidRPr="00920634" w:rsidRDefault="00F06698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vzájemné propojenosti</w:t>
      </w:r>
      <w:r w:rsidR="00B418EB" w:rsidRPr="00920634">
        <w:rPr>
          <w:rFonts w:asciiTheme="minorHAnsi" w:hAnsiTheme="minorHAnsi" w:cstheme="minorHAnsi"/>
        </w:rPr>
        <w:t xml:space="preserve"> účetních, rozpočtových a </w:t>
      </w:r>
      <w:r w:rsidRPr="00920634">
        <w:rPr>
          <w:rFonts w:asciiTheme="minorHAnsi" w:hAnsiTheme="minorHAnsi" w:cstheme="minorHAnsi"/>
        </w:rPr>
        <w:t xml:space="preserve">monitorovacích </w:t>
      </w:r>
      <w:r w:rsidR="00D21A58" w:rsidRPr="00920634">
        <w:rPr>
          <w:rFonts w:asciiTheme="minorHAnsi" w:hAnsiTheme="minorHAnsi" w:cstheme="minorHAnsi"/>
        </w:rPr>
        <w:t>údajů vedených v informačních systémech</w:t>
      </w:r>
      <w:r w:rsidR="00B418EB" w:rsidRPr="00920634">
        <w:rPr>
          <w:rFonts w:asciiTheme="minorHAnsi" w:hAnsiTheme="minorHAnsi" w:cstheme="minorHAnsi"/>
        </w:rPr>
        <w:t>.</w:t>
      </w:r>
    </w:p>
    <w:p w14:paraId="3A66B86A" w14:textId="589ABC67" w:rsidR="00B418EB" w:rsidRPr="00920634" w:rsidRDefault="00B418EB" w:rsidP="00114439">
      <w:pPr>
        <w:jc w:val="both"/>
        <w:rPr>
          <w:rFonts w:asciiTheme="minorHAnsi" w:hAnsiTheme="minorHAnsi" w:cstheme="minorHAnsi"/>
        </w:rPr>
      </w:pPr>
    </w:p>
    <w:p w14:paraId="11BD9746" w14:textId="237FFED5" w:rsidR="00B418EB" w:rsidRDefault="00994D9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Ke kontrole byly</w:t>
      </w:r>
      <w:r w:rsidR="00B418EB" w:rsidRPr="00920634">
        <w:rPr>
          <w:rFonts w:asciiTheme="minorHAnsi" w:hAnsiTheme="minorHAnsi" w:cstheme="minorHAnsi"/>
        </w:rPr>
        <w:t xml:space="preserve"> vybrány </w:t>
      </w:r>
      <w:r w:rsidR="0024344A">
        <w:rPr>
          <w:rFonts w:asciiTheme="minorHAnsi" w:hAnsiTheme="minorHAnsi" w:cstheme="minorHAnsi"/>
        </w:rPr>
        <w:t xml:space="preserve">zejména </w:t>
      </w:r>
      <w:r w:rsidR="00B418EB" w:rsidRPr="00920634">
        <w:rPr>
          <w:rFonts w:asciiTheme="minorHAnsi" w:hAnsiTheme="minorHAnsi" w:cstheme="minorHAnsi"/>
        </w:rPr>
        <w:t>kvantitativně i kvalitativně významné transfery</w:t>
      </w:r>
      <w:r w:rsidR="000E4BFA">
        <w:rPr>
          <w:rFonts w:asciiTheme="minorHAnsi" w:hAnsiTheme="minorHAnsi" w:cstheme="minorHAnsi"/>
        </w:rPr>
        <w:t xml:space="preserve"> – blíže </w:t>
      </w:r>
      <w:r w:rsidR="00900F54">
        <w:rPr>
          <w:rFonts w:asciiTheme="minorHAnsi" w:hAnsiTheme="minorHAnsi" w:cstheme="minorHAnsi"/>
        </w:rPr>
        <w:t xml:space="preserve">je </w:t>
      </w:r>
      <w:r w:rsidR="000E4BFA">
        <w:rPr>
          <w:rFonts w:asciiTheme="minorHAnsi" w:hAnsiTheme="minorHAnsi" w:cstheme="minorHAnsi"/>
        </w:rPr>
        <w:t xml:space="preserve">uvádí tabulka č. 1. </w:t>
      </w:r>
      <w:r w:rsidR="00B418EB" w:rsidRPr="00920634">
        <w:rPr>
          <w:rFonts w:asciiTheme="minorHAnsi" w:hAnsiTheme="minorHAnsi" w:cstheme="minorHAnsi"/>
        </w:rPr>
        <w:t xml:space="preserve"> </w:t>
      </w:r>
    </w:p>
    <w:p w14:paraId="5A2BEB31" w14:textId="77777777" w:rsidR="0047587D" w:rsidRPr="00920634" w:rsidRDefault="0047587D" w:rsidP="00114439">
      <w:pPr>
        <w:jc w:val="both"/>
        <w:rPr>
          <w:rFonts w:asciiTheme="minorHAnsi" w:hAnsiTheme="minorHAnsi" w:cstheme="minorHAnsi"/>
        </w:rPr>
      </w:pPr>
    </w:p>
    <w:p w14:paraId="316106F6" w14:textId="741846B3" w:rsidR="00B418EB" w:rsidRPr="00920634" w:rsidRDefault="00B418EB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Tabulka č. 1 – 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Přehled kontrolovaných prostředků </w:t>
      </w:r>
      <w:r w:rsidR="009A6008">
        <w:rPr>
          <w:rFonts w:asciiTheme="minorHAnsi" w:hAnsiTheme="minorHAnsi" w:cstheme="minorHAnsi"/>
          <w:b/>
          <w:color w:val="000000"/>
          <w:lang w:eastAsia="cs-CZ"/>
        </w:rPr>
        <w:t>u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 MŠMT a MZe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078"/>
      </w:tblGrid>
      <w:tr w:rsidR="00B418EB" w:rsidRPr="00920634" w14:paraId="74EB09D2" w14:textId="77777777" w:rsidTr="007D7C01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54DD7C" w14:textId="77777777" w:rsidR="00B418EB" w:rsidRPr="00920634" w:rsidRDefault="00B418EB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MŠMT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C1E13F" w14:textId="77777777" w:rsidR="00B418EB" w:rsidRPr="00920634" w:rsidRDefault="00B418EB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MZe</w:t>
            </w:r>
          </w:p>
        </w:tc>
      </w:tr>
      <w:tr w:rsidR="00B418EB" w:rsidRPr="00920634" w14:paraId="2F7477FD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4B89E" w14:textId="77777777" w:rsidR="00B418EB" w:rsidRPr="00920634" w:rsidRDefault="00B418EB" w:rsidP="00114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Operační programy: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B84DB" w14:textId="77777777" w:rsidR="00B418EB" w:rsidRPr="00920634" w:rsidRDefault="00B418EB" w:rsidP="00114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Operační programy:</w:t>
            </w:r>
          </w:p>
        </w:tc>
      </w:tr>
      <w:tr w:rsidR="00B418EB" w:rsidRPr="00920634" w14:paraId="42413DF0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E1C1" w14:textId="6F5FC67F" w:rsidR="00B418EB" w:rsidRPr="008D4CD3" w:rsidRDefault="00FB76C8" w:rsidP="008D4CD3">
            <w:pPr>
              <w:ind w:lef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Vzdělávání pro konkurenceschopnost</w:t>
            </w:r>
          </w:p>
        </w:tc>
        <w:tc>
          <w:tcPr>
            <w:tcW w:w="4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6F7A" w14:textId="7AD77F94" w:rsidR="00B418EB" w:rsidRPr="008D4CD3" w:rsidRDefault="00B418EB" w:rsidP="008D4CD3">
            <w:pPr>
              <w:ind w:left="1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Rybářství</w:t>
            </w:r>
            <w:r w:rsidR="009A6008"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2007–2013</w:t>
            </w:r>
          </w:p>
        </w:tc>
      </w:tr>
      <w:tr w:rsidR="00B418EB" w:rsidRPr="00920634" w14:paraId="4314A7F6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F6E1" w14:textId="7172A14A" w:rsidR="00B418EB" w:rsidRPr="008D4CD3" w:rsidRDefault="00FB76C8" w:rsidP="008D4CD3">
            <w:pPr>
              <w:ind w:lef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Výzkum a vývoj pro inovace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F5A5" w14:textId="77777777" w:rsidR="00B418EB" w:rsidRPr="00920634" w:rsidRDefault="00B418EB" w:rsidP="008D4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8EB" w:rsidRPr="00920634" w14:paraId="753F014D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6D4D" w14:textId="3C2F46E9" w:rsidR="00B418EB" w:rsidRPr="00920634" w:rsidRDefault="00B418EB" w:rsidP="008D4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Komunitární programy: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9C9C9" w14:textId="77777777" w:rsidR="00B418EB" w:rsidRPr="00920634" w:rsidRDefault="00B418EB" w:rsidP="008D4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Společná zemědělská politika:</w:t>
            </w:r>
          </w:p>
        </w:tc>
      </w:tr>
      <w:tr w:rsidR="00FB76C8" w:rsidRPr="00920634" w14:paraId="3E7C6353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3753" w14:textId="7C28D73C" w:rsidR="00FB76C8" w:rsidRPr="00920634" w:rsidRDefault="00FB76C8" w:rsidP="00114439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Study Visits for Education Specialists</w:t>
            </w: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 xml:space="preserve"> (SVES)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625C" w14:textId="3C4AAC5C" w:rsidR="00FB76C8" w:rsidRPr="00920634" w:rsidRDefault="00FB76C8" w:rsidP="00114439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Přímé platby</w:t>
            </w:r>
          </w:p>
        </w:tc>
      </w:tr>
      <w:tr w:rsidR="00B418EB" w:rsidRPr="00920634" w14:paraId="7AC67A39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ECA6" w14:textId="59FD9DD1" w:rsidR="00B418EB" w:rsidRPr="008D4CD3" w:rsidRDefault="00FB76C8" w:rsidP="00114439">
            <w:pPr>
              <w:ind w:lef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Erasmus+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5194" w14:textId="38F7446B" w:rsidR="00B418EB" w:rsidRPr="00920634" w:rsidRDefault="00FB76C8" w:rsidP="00114439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Společná organizace trhu</w:t>
            </w:r>
          </w:p>
        </w:tc>
      </w:tr>
      <w:tr w:rsidR="00B418EB" w:rsidRPr="00920634" w14:paraId="1E45F9B5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C648" w14:textId="4B9803D5" w:rsidR="00B418EB" w:rsidRPr="00920634" w:rsidRDefault="00FB76C8" w:rsidP="008D4CD3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EUROSTARS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8F73" w14:textId="304F8817" w:rsidR="00B418EB" w:rsidRPr="009D6B22" w:rsidRDefault="00FB76C8" w:rsidP="008D4CD3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9D6B22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="009D6B22" w:rsidRPr="009D6B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D6B22">
              <w:rPr>
                <w:rFonts w:asciiTheme="minorHAnsi" w:hAnsiTheme="minorHAnsi" w:cstheme="minorHAnsi"/>
                <w:sz w:val="20"/>
                <w:szCs w:val="20"/>
              </w:rPr>
              <w:t xml:space="preserve"> rozvoje venkova</w:t>
            </w:r>
          </w:p>
        </w:tc>
      </w:tr>
      <w:tr w:rsidR="00B418EB" w:rsidRPr="00920634" w14:paraId="362838AC" w14:textId="77777777" w:rsidTr="008D4CD3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2B191" w14:textId="17301B74" w:rsidR="00B418EB" w:rsidRPr="00920634" w:rsidRDefault="00B418EB" w:rsidP="008D4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Finanční mechanismy:</w:t>
            </w:r>
          </w:p>
          <w:p w14:paraId="79BF1013" w14:textId="72ADFF27" w:rsidR="00FB76C8" w:rsidRPr="008D4CD3" w:rsidRDefault="00FB76C8" w:rsidP="008D4CD3">
            <w:pPr>
              <w:ind w:lef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D3">
              <w:rPr>
                <w:rFonts w:asciiTheme="minorHAnsi" w:hAnsiTheme="minorHAnsi" w:cstheme="minorHAnsi"/>
                <w:i/>
                <w:sz w:val="20"/>
                <w:szCs w:val="20"/>
              </w:rPr>
              <w:t>Program švýcarsko-české spolupráce</w:t>
            </w:r>
          </w:p>
          <w:p w14:paraId="10B17F43" w14:textId="06363F0E" w:rsidR="00FB76C8" w:rsidRPr="00920634" w:rsidRDefault="009A6008" w:rsidP="008D4CD3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Finanční </w:t>
            </w:r>
            <w:r w:rsidR="000E4BFA">
              <w:rPr>
                <w:rFonts w:asciiTheme="minorHAnsi" w:hAnsiTheme="minorHAnsi" w:cstheme="minorHAnsi"/>
                <w:sz w:val="20"/>
                <w:szCs w:val="20"/>
              </w:rPr>
              <w:t xml:space="preserve">mechanismy </w:t>
            </w:r>
            <w:r w:rsidR="00FB76C8" w:rsidRPr="00920634">
              <w:rPr>
                <w:rFonts w:asciiTheme="minorHAnsi" w:hAnsiTheme="minorHAnsi" w:cstheme="minorHAnsi"/>
                <w:sz w:val="20"/>
                <w:szCs w:val="20"/>
              </w:rPr>
              <w:t>Evropského hospodářského prostoru a Norska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6BF4E6" w14:textId="77777777" w:rsidR="00B418EB" w:rsidRPr="00920634" w:rsidRDefault="00B418EB" w:rsidP="008D4CD3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 xml:space="preserve">Jiné prostředky ze zahraničí </w:t>
            </w:r>
          </w:p>
          <w:p w14:paraId="3C9EE0F0" w14:textId="1BC28CBA" w:rsidR="00B418EB" w:rsidRPr="00920634" w:rsidRDefault="00B418EB" w:rsidP="008D4CD3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1324F0" w14:textId="629D49A6" w:rsidR="00B418EB" w:rsidRPr="008D4CD3" w:rsidRDefault="00B418EB" w:rsidP="00114439">
      <w:pPr>
        <w:jc w:val="both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vlastní</w:t>
      </w:r>
      <w:r w:rsidR="00D7082D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14C95500" w14:textId="7A8D8C2E" w:rsidR="00B418EB" w:rsidRPr="00920634" w:rsidRDefault="00B418EB" w:rsidP="00114439">
      <w:pPr>
        <w:jc w:val="both"/>
        <w:rPr>
          <w:rFonts w:asciiTheme="minorHAnsi" w:hAnsiTheme="minorHAnsi" w:cstheme="minorHAnsi"/>
        </w:rPr>
      </w:pPr>
    </w:p>
    <w:p w14:paraId="09C8CCD5" w14:textId="0046D141" w:rsidR="00B418EB" w:rsidRPr="00920634" w:rsidRDefault="00C570A9" w:rsidP="0011443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920634">
        <w:rPr>
          <w:rFonts w:asciiTheme="minorHAnsi" w:hAnsiTheme="minorHAnsi" w:cstheme="minorHAnsi"/>
        </w:rPr>
        <w:lastRenderedPageBreak/>
        <w:t>Následující schéma zobraz</w:t>
      </w:r>
      <w:r w:rsidR="001B503D" w:rsidRPr="00920634">
        <w:rPr>
          <w:rFonts w:asciiTheme="minorHAnsi" w:hAnsiTheme="minorHAnsi" w:cstheme="minorHAnsi"/>
        </w:rPr>
        <w:t xml:space="preserve">uje </w:t>
      </w:r>
      <w:r w:rsidR="00B418EB" w:rsidRPr="00920634">
        <w:rPr>
          <w:rFonts w:asciiTheme="minorHAnsi" w:hAnsiTheme="minorHAnsi" w:cstheme="minorHAnsi"/>
        </w:rPr>
        <w:t>kontrolované druhy transferů</w:t>
      </w:r>
      <w:r w:rsidR="001B503D" w:rsidRPr="00920634">
        <w:rPr>
          <w:rFonts w:asciiTheme="minorHAnsi" w:hAnsiTheme="minorHAnsi" w:cstheme="minorHAnsi"/>
        </w:rPr>
        <w:t xml:space="preserve">, které se </w:t>
      </w:r>
      <w:r w:rsidRPr="00920634">
        <w:rPr>
          <w:rFonts w:asciiTheme="minorHAnsi" w:hAnsiTheme="minorHAnsi" w:cstheme="minorHAnsi"/>
        </w:rPr>
        <w:t>promítají do účetnictví MŠMT a MZe</w:t>
      </w:r>
      <w:r w:rsidR="00B418EB" w:rsidRPr="00920634">
        <w:rPr>
          <w:rFonts w:asciiTheme="minorHAnsi" w:hAnsiTheme="minorHAnsi" w:cstheme="minorHAnsi"/>
        </w:rPr>
        <w:t xml:space="preserve">, </w:t>
      </w:r>
      <w:r w:rsidR="00D16D38">
        <w:rPr>
          <w:rFonts w:asciiTheme="minorHAnsi" w:hAnsiTheme="minorHAnsi" w:cstheme="minorHAnsi"/>
        </w:rPr>
        <w:t xml:space="preserve">a uvádí rovněž </w:t>
      </w:r>
      <w:r w:rsidR="00452E44" w:rsidRPr="00920634">
        <w:rPr>
          <w:rFonts w:asciiTheme="minorHAnsi" w:hAnsiTheme="minorHAnsi" w:cstheme="minorHAnsi"/>
        </w:rPr>
        <w:t>politik</w:t>
      </w:r>
      <w:r w:rsidR="00D16D38">
        <w:rPr>
          <w:rFonts w:asciiTheme="minorHAnsi" w:hAnsiTheme="minorHAnsi" w:cstheme="minorHAnsi"/>
        </w:rPr>
        <w:t>y</w:t>
      </w:r>
      <w:r w:rsidR="00452E44" w:rsidRPr="00920634">
        <w:rPr>
          <w:rFonts w:asciiTheme="minorHAnsi" w:hAnsiTheme="minorHAnsi" w:cstheme="minorHAnsi"/>
        </w:rPr>
        <w:t xml:space="preserve"> </w:t>
      </w:r>
      <w:r w:rsidR="00B418EB" w:rsidRPr="00920634">
        <w:rPr>
          <w:rFonts w:asciiTheme="minorHAnsi" w:hAnsiTheme="minorHAnsi" w:cstheme="minorHAnsi"/>
        </w:rPr>
        <w:t>a zahraniční fond</w:t>
      </w:r>
      <w:r w:rsidR="00D16D38">
        <w:rPr>
          <w:rFonts w:asciiTheme="minorHAnsi" w:hAnsiTheme="minorHAnsi" w:cstheme="minorHAnsi"/>
        </w:rPr>
        <w:t>y</w:t>
      </w:r>
      <w:r w:rsidR="00B418EB" w:rsidRPr="00920634">
        <w:rPr>
          <w:rFonts w:asciiTheme="minorHAnsi" w:hAnsiTheme="minorHAnsi" w:cstheme="minorHAnsi"/>
        </w:rPr>
        <w:t xml:space="preserve"> (zdroj</w:t>
      </w:r>
      <w:r w:rsidR="00D16D38">
        <w:rPr>
          <w:rFonts w:asciiTheme="minorHAnsi" w:hAnsiTheme="minorHAnsi" w:cstheme="minorHAnsi"/>
        </w:rPr>
        <w:t>e</w:t>
      </w:r>
      <w:r w:rsidR="00B418EB" w:rsidRPr="00920634">
        <w:rPr>
          <w:rFonts w:asciiTheme="minorHAnsi" w:hAnsiTheme="minorHAnsi" w:cstheme="minorHAnsi"/>
        </w:rPr>
        <w:t xml:space="preserve">), ze kterých jsou </w:t>
      </w:r>
      <w:r w:rsidR="00D16D38">
        <w:rPr>
          <w:rFonts w:asciiTheme="minorHAnsi" w:hAnsiTheme="minorHAnsi" w:cstheme="minorHAnsi"/>
        </w:rPr>
        <w:t xml:space="preserve">tyto transfery </w:t>
      </w:r>
      <w:r w:rsidR="00B418EB" w:rsidRPr="00920634">
        <w:rPr>
          <w:rFonts w:asciiTheme="minorHAnsi" w:hAnsiTheme="minorHAnsi" w:cstheme="minorHAnsi"/>
        </w:rPr>
        <w:t>financován</w:t>
      </w:r>
      <w:r w:rsidR="00F57B94" w:rsidRPr="00920634">
        <w:rPr>
          <w:rFonts w:asciiTheme="minorHAnsi" w:hAnsiTheme="minorHAnsi" w:cstheme="minorHAnsi"/>
        </w:rPr>
        <w:t>y</w:t>
      </w:r>
      <w:r w:rsidR="00001DB9" w:rsidRPr="00920634">
        <w:rPr>
          <w:rFonts w:asciiTheme="minorHAnsi" w:hAnsiTheme="minorHAnsi" w:cstheme="minorHAnsi"/>
        </w:rPr>
        <w:t>.</w:t>
      </w:r>
    </w:p>
    <w:p w14:paraId="7766AC9D" w14:textId="77777777" w:rsidR="00B418EB" w:rsidRPr="00920634" w:rsidRDefault="00B418EB" w:rsidP="0011443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24B1B3BB" w14:textId="3357E763" w:rsidR="00E43C88" w:rsidRDefault="00C570A9" w:rsidP="008D4CD3">
      <w:pPr>
        <w:ind w:left="1400" w:hanging="1400"/>
        <w:rPr>
          <w:rFonts w:asciiTheme="minorHAnsi" w:hAnsiTheme="minorHAnsi" w:cstheme="minorHAnsi"/>
          <w:b/>
          <w:color w:val="000000"/>
          <w:lang w:eastAsia="cs-CZ"/>
        </w:rPr>
      </w:pP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Schéma č. 1 </w:t>
      </w:r>
      <w:r w:rsidR="00920634">
        <w:rPr>
          <w:rFonts w:asciiTheme="minorHAnsi" w:hAnsiTheme="minorHAnsi" w:cstheme="minorHAnsi"/>
          <w:b/>
          <w:color w:val="000000"/>
          <w:lang w:eastAsia="cs-CZ"/>
        </w:rPr>
        <w:t>–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 </w:t>
      </w:r>
      <w:r w:rsidR="00D16D38">
        <w:rPr>
          <w:rFonts w:asciiTheme="minorHAnsi" w:hAnsiTheme="minorHAnsi" w:cstheme="minorHAnsi"/>
          <w:b/>
          <w:color w:val="000000"/>
          <w:lang w:eastAsia="cs-CZ"/>
        </w:rPr>
        <w:t xml:space="preserve">Přehled zahraničních finančních 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>zdroj</w:t>
      </w:r>
      <w:r w:rsidR="00D16D38">
        <w:rPr>
          <w:rFonts w:asciiTheme="minorHAnsi" w:hAnsiTheme="minorHAnsi" w:cstheme="minorHAnsi"/>
          <w:b/>
          <w:color w:val="000000"/>
          <w:lang w:eastAsia="cs-CZ"/>
        </w:rPr>
        <w:t>ů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 promítající</w:t>
      </w:r>
      <w:r w:rsidR="00D16D38">
        <w:rPr>
          <w:rFonts w:asciiTheme="minorHAnsi" w:hAnsiTheme="minorHAnsi" w:cstheme="minorHAnsi"/>
          <w:b/>
          <w:color w:val="000000"/>
          <w:lang w:eastAsia="cs-CZ"/>
        </w:rPr>
        <w:t>ch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 xml:space="preserve"> se do účetnictví a</w:t>
      </w:r>
      <w:r w:rsidR="00920634" w:rsidRPr="00920634">
        <w:rPr>
          <w:rFonts w:asciiTheme="minorHAnsi" w:hAnsiTheme="minorHAnsi" w:cstheme="minorHAnsi"/>
          <w:b/>
          <w:color w:val="000000"/>
          <w:lang w:eastAsia="cs-CZ"/>
        </w:rPr>
        <w:t> </w:t>
      </w:r>
      <w:r w:rsidRPr="00920634">
        <w:rPr>
          <w:rFonts w:asciiTheme="minorHAnsi" w:hAnsiTheme="minorHAnsi" w:cstheme="minorHAnsi"/>
          <w:b/>
          <w:color w:val="000000"/>
          <w:lang w:eastAsia="cs-CZ"/>
        </w:rPr>
        <w:t>rozpočtu MŠMT a MZe</w:t>
      </w:r>
      <w:r w:rsidR="00E43C88" w:rsidRPr="00920634">
        <w:rPr>
          <w:rFonts w:asciiTheme="minorHAnsi" w:hAnsiTheme="minorHAnsi" w:cstheme="minorHAnsi"/>
          <w:b/>
          <w:color w:val="000000"/>
          <w:lang w:eastAsia="cs-CZ"/>
        </w:rPr>
        <w:t xml:space="preserve"> (kontrolované druhy transferů)</w:t>
      </w:r>
    </w:p>
    <w:p w14:paraId="7C0DDE43" w14:textId="77777777" w:rsidR="001A33FB" w:rsidRPr="00920634" w:rsidRDefault="001A33FB" w:rsidP="001A33FB">
      <w:pPr>
        <w:ind w:left="1400" w:hanging="1400"/>
        <w:rPr>
          <w:rFonts w:asciiTheme="minorHAnsi" w:hAnsiTheme="minorHAnsi" w:cstheme="minorHAnsi"/>
          <w:b/>
        </w:rPr>
      </w:pPr>
    </w:p>
    <w:p w14:paraId="55F5E239" w14:textId="77777777" w:rsidR="00C570A9" w:rsidRPr="00E90273" w:rsidRDefault="00C570A9" w:rsidP="00114439">
      <w:pPr>
        <w:jc w:val="both"/>
        <w:rPr>
          <w:rFonts w:asciiTheme="minorHAnsi" w:hAnsiTheme="minorHAnsi" w:cstheme="minorHAnsi"/>
          <w:b/>
        </w:rPr>
      </w:pPr>
    </w:p>
    <w:p w14:paraId="54F48849" w14:textId="7439C4BD" w:rsidR="00C570A9" w:rsidRPr="00920634" w:rsidRDefault="001A33FB" w:rsidP="00114439">
      <w:pPr>
        <w:jc w:val="both"/>
        <w:rPr>
          <w:rFonts w:asciiTheme="minorHAnsi" w:hAnsiTheme="minorHAnsi" w:cstheme="minorHAnsi"/>
        </w:rPr>
        <w:sectPr w:rsidR="00C570A9" w:rsidRPr="00920634" w:rsidSect="00920634">
          <w:footerReference w:type="even" r:id="rId13"/>
          <w:footerReference w:type="default" r:id="rId14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920634">
        <w:rPr>
          <w:rFonts w:cstheme="minorHAnsi"/>
          <w:noProof/>
          <w:lang w:eastAsia="cs-CZ"/>
        </w:rPr>
        <mc:AlternateContent>
          <mc:Choice Requires="wpc">
            <w:drawing>
              <wp:inline distT="0" distB="0" distL="0" distR="0" wp14:anchorId="673D8D87" wp14:editId="0CBB6524">
                <wp:extent cx="5760720" cy="3579495"/>
                <wp:effectExtent l="0" t="0" r="87630" b="20955"/>
                <wp:docPr id="152" name="Plátn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95082" y="0"/>
                            <a:ext cx="1845761" cy="21542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656885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 xml:space="preserve">E v r o p s k á   u n i e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22" name="Line 5"/>
                        <wps:cNvCnPr/>
                        <wps:spPr bwMode="auto">
                          <a:xfrm flipV="1">
                            <a:off x="3355491" y="377942"/>
                            <a:ext cx="11332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/>
                        <wps:spPr bwMode="auto">
                          <a:xfrm flipH="1">
                            <a:off x="3049620" y="636997"/>
                            <a:ext cx="622" cy="89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69079" y="727458"/>
                            <a:ext cx="1015680" cy="2177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57675EA0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Politika soudržnosti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0" name="Line 8"/>
                        <wps:cNvCnPr/>
                        <wps:spPr bwMode="auto">
                          <a:xfrm>
                            <a:off x="4482460" y="377948"/>
                            <a:ext cx="6311" cy="348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2396" y="1268565"/>
                            <a:ext cx="835581" cy="40901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A615B0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Komunitární programy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6804" y="1380312"/>
                            <a:ext cx="521028" cy="4997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59ADA8E" w14:textId="77777777" w:rsidR="005810E6" w:rsidRPr="00D41EEB" w:rsidRDefault="005810E6" w:rsidP="009D6B22">
                              <w:pPr>
                                <w:ind w:left="-113" w:right="-113"/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 xml:space="preserve">Evropský sociální fond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57832" y="2221721"/>
                            <a:ext cx="754456" cy="357837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0BF365B" w14:textId="77777777" w:rsidR="005810E6" w:rsidRPr="00C55F8D" w:rsidRDefault="005810E6" w:rsidP="001A33FB">
                              <w:pPr>
                                <w:spacing w:before="100" w:beforeAutospacing="1"/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C55F8D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OP </w:t>
                              </w: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Rybářství 2007–2013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76578" y="2319852"/>
                            <a:ext cx="606547" cy="63601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2950072" w14:textId="77777777" w:rsidR="005810E6" w:rsidRPr="00D41EEB" w:rsidRDefault="005810E6" w:rsidP="001A33FB">
                              <w:pPr>
                                <w:spacing w:before="60"/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Program rozvoje venkova ČR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31721" y="1384736"/>
                            <a:ext cx="526211" cy="49561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93F08E2" w14:textId="77777777" w:rsidR="005810E6" w:rsidRPr="00D41EEB" w:rsidRDefault="005810E6" w:rsidP="001A33FB">
                              <w:pPr>
                                <w:spacing w:before="60"/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Evropský rybářský fond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40843" y="1372064"/>
                            <a:ext cx="728525" cy="74361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244760E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 xml:space="preserve">Evropský zemědělský fond pro rozvoj venkova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3917817" y="1065664"/>
                            <a:ext cx="0" cy="30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"/>
                        <wps:cNvCnPr/>
                        <wps:spPr bwMode="auto">
                          <a:xfrm>
                            <a:off x="2847121" y="935449"/>
                            <a:ext cx="1244" cy="444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"/>
                        <wps:cNvCnPr/>
                        <wps:spPr bwMode="auto">
                          <a:xfrm flipH="1">
                            <a:off x="3223058" y="935453"/>
                            <a:ext cx="1275" cy="442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8"/>
                        <wps:cNvCnPr/>
                        <wps:spPr bwMode="auto">
                          <a:xfrm>
                            <a:off x="2829868" y="1830352"/>
                            <a:ext cx="0" cy="264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"/>
                        <wps:cNvCnPr/>
                        <wps:spPr bwMode="auto">
                          <a:xfrm>
                            <a:off x="3236880" y="1880062"/>
                            <a:ext cx="0" cy="215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8"/>
                        <wps:cNvCnPr/>
                        <wps:spPr bwMode="auto">
                          <a:xfrm>
                            <a:off x="5794827" y="15230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0"/>
                        <wps:cNvCnPr/>
                        <wps:spPr bwMode="auto">
                          <a:xfrm>
                            <a:off x="3042879" y="216084"/>
                            <a:ext cx="6119" cy="445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695" y="2663314"/>
                            <a:ext cx="1391646" cy="26877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771DA85" w14:textId="77777777" w:rsidR="005810E6" w:rsidRPr="00E81267" w:rsidRDefault="005810E6" w:rsidP="001A33FB">
                              <w:pPr>
                                <w:widowControl w:val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Te</w:t>
                              </w:r>
                              <w:r w:rsidRPr="00E81267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matické operační programy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00" name="Line 55"/>
                        <wps:cNvCnPr/>
                        <wps:spPr bwMode="auto">
                          <a:xfrm>
                            <a:off x="4630275" y="29564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6"/>
                        <wps:cNvCnPr/>
                        <wps:spPr bwMode="auto">
                          <a:xfrm>
                            <a:off x="4719841" y="29564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036182" y="3339629"/>
                            <a:ext cx="1931596" cy="241771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5D8D537" w14:textId="77777777" w:rsidR="005810E6" w:rsidRPr="00E81267" w:rsidRDefault="005810E6" w:rsidP="001A33FB">
                              <w:pPr>
                                <w:spacing w:before="60"/>
                                <w:jc w:val="center"/>
                                <w:rPr>
                                  <w:rFonts w:cs="Calibri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72F8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OP </w:t>
                              </w: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Výzkum a vývoj pro inovace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0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36803" y="3050279"/>
                            <a:ext cx="1930975" cy="27760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7881F5" w14:textId="77777777" w:rsidR="005810E6" w:rsidRPr="00C72F85" w:rsidRDefault="005810E6" w:rsidP="001A33FB">
                              <w:pPr>
                                <w:spacing w:before="60"/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C72F8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OP </w:t>
                              </w: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Vzdělávání pro konkurenceschopnost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07" name="Line 73"/>
                        <wps:cNvCnPr/>
                        <wps:spPr bwMode="auto">
                          <a:xfrm>
                            <a:off x="2543596" y="2932138"/>
                            <a:ext cx="0" cy="5458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8"/>
                        <wps:cNvCnPr/>
                        <wps:spPr bwMode="auto">
                          <a:xfrm>
                            <a:off x="2540851" y="3478033"/>
                            <a:ext cx="508147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9"/>
                        <wps:cNvCnPr/>
                        <wps:spPr bwMode="auto">
                          <a:xfrm>
                            <a:off x="3896879" y="1880647"/>
                            <a:ext cx="0" cy="32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"/>
                        <wps:cNvCnPr>
                          <a:stCxn id="39" idx="2"/>
                        </wps:cNvCnPr>
                        <wps:spPr bwMode="auto">
                          <a:xfrm>
                            <a:off x="4605106" y="2115675"/>
                            <a:ext cx="8116" cy="201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1"/>
                        <wps:cNvCnPr/>
                        <wps:spPr bwMode="auto">
                          <a:xfrm>
                            <a:off x="8392698" y="985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2"/>
                        <wps:cNvCnPr/>
                        <wps:spPr bwMode="auto">
                          <a:xfrm>
                            <a:off x="4620729" y="1214908"/>
                            <a:ext cx="0" cy="157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3"/>
                        <wps:cNvCnPr/>
                        <wps:spPr bwMode="auto">
                          <a:xfrm>
                            <a:off x="2648309" y="3159976"/>
                            <a:ext cx="388496" cy="8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4"/>
                        <wps:cNvCnPr/>
                        <wps:spPr bwMode="auto">
                          <a:xfrm flipV="1">
                            <a:off x="2648309" y="2932112"/>
                            <a:ext cx="0" cy="240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2266047" y="377947"/>
                            <a:ext cx="6534" cy="159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8365" y="224255"/>
                            <a:ext cx="620" cy="1536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2581" y="377947"/>
                            <a:ext cx="5757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43700" y="537543"/>
                            <a:ext cx="904609" cy="41558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7C1E922E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Ostatní nástroje (politiky) EU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1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47334" y="1825592"/>
                            <a:ext cx="800643" cy="669958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DAEA6B" w14:textId="77777777" w:rsidR="005810E6" w:rsidRPr="00E27DFE" w:rsidRDefault="005810E6" w:rsidP="001A33FB">
                              <w:pPr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7. rámcový program pro výzkum a vývoj</w:t>
                              </w:r>
                              <w:r w:rsidRPr="00C72F8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Eurostars</w:t>
                              </w:r>
                              <w:r w:rsidRPr="00E27DF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47021" y="2581605"/>
                            <a:ext cx="800956" cy="472146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85FE083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Program celoživotního učení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21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4815" y="1431119"/>
                            <a:ext cx="14314" cy="1313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169955" y="2030670"/>
                            <a:ext cx="1951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9129" y="2744759"/>
                            <a:ext cx="195971" cy="4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1668" y="1206999"/>
                            <a:ext cx="1367867" cy="80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5439535" y="1214908"/>
                            <a:ext cx="0" cy="157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069357" y="1379658"/>
                            <a:ext cx="676734" cy="5004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134F307" w14:textId="77777777" w:rsidR="005810E6" w:rsidRPr="00D41EEB" w:rsidRDefault="005810E6" w:rsidP="001A33FB">
                              <w:pPr>
                                <w:spacing w:before="60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Evropský zemědělský záruční fond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27" name="Line 140"/>
                        <wps:cNvCnPr/>
                        <wps:spPr bwMode="auto">
                          <a:xfrm>
                            <a:off x="5440295" y="1830735"/>
                            <a:ext cx="0" cy="196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242346" y="2027571"/>
                            <a:ext cx="438149" cy="376429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5C53E6" w14:textId="77777777" w:rsidR="005810E6" w:rsidRPr="00C55F8D" w:rsidRDefault="005810E6" w:rsidP="001A33FB">
                              <w:pPr>
                                <w:spacing w:before="6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C55F8D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Přímé platby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29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1668" y="1066160"/>
                            <a:ext cx="0" cy="1408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50219" y="215457"/>
                            <a:ext cx="5272" cy="162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231324" y="1385167"/>
                            <a:ext cx="740475" cy="4948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0B57E0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 xml:space="preserve">Evropský fond pro regionální rozvoj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32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161855" y="1431579"/>
                            <a:ext cx="150540" cy="1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841749" y="964080"/>
                            <a:ext cx="0" cy="290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836361" y="727458"/>
                            <a:ext cx="1926084" cy="33820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37047D" w14:textId="77777777" w:rsidR="005810E6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Společná zemědělská politika</w:t>
                              </w:r>
                            </w:p>
                            <w:p w14:paraId="5BB420A0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a společná rybářská politika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3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" y="582106"/>
                            <a:ext cx="1044411" cy="48405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28548593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Finanční nástroje EHP/Norsk</w:t>
                              </w:r>
                              <w:r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  <w:p w14:paraId="4D951E03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Švýcarsk</w:t>
                              </w:r>
                              <w:r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36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485593" y="260001"/>
                            <a:ext cx="0" cy="304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3437" y="582089"/>
                            <a:ext cx="486955" cy="3439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6CAD291C" w14:textId="77777777" w:rsidR="005810E6" w:rsidRPr="00E81267" w:rsidRDefault="005810E6" w:rsidP="001A33FB">
                              <w:pPr>
                                <w:jc w:val="center"/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Jiné zdroje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38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358676" y="232686"/>
                            <a:ext cx="6424" cy="332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2087" y="1254173"/>
                            <a:ext cx="821709" cy="507952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A0F1713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Program švýcarsko-české spolupráce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4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22076" y="1830988"/>
                            <a:ext cx="821720" cy="485974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FF51024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C72F8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Programy norských fondů a fondů EHP 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41" name="AutoShap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883" y="1066160"/>
                            <a:ext cx="4575" cy="1513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80882" y="1380526"/>
                            <a:ext cx="141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58" y="2027539"/>
                            <a:ext cx="1411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2705" y="2404000"/>
                            <a:ext cx="821709" cy="463025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78FF8F" w14:textId="77777777" w:rsidR="005810E6" w:rsidRPr="00D41EEB" w:rsidRDefault="005810E6" w:rsidP="001A33FB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41EEB">
                                <w:rPr>
                                  <w:rFonts w:cs="Calibri"/>
                                  <w:i/>
                                  <w:sz w:val="16"/>
                                  <w:szCs w:val="16"/>
                                </w:rPr>
                                <w:t>Česko-norský výzkumný program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45" name="AutoShap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507" y="2579960"/>
                            <a:ext cx="141212" cy="1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67695" y="2115675"/>
                            <a:ext cx="876134" cy="33224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F0D98E" w14:textId="77777777" w:rsidR="005810E6" w:rsidRDefault="005810E6" w:rsidP="001A33FB">
                              <w:pP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 xml:space="preserve">Cíl 1: </w:t>
                              </w:r>
                            </w:p>
                            <w:p w14:paraId="2DD6F6CD" w14:textId="77777777" w:rsidR="005810E6" w:rsidRPr="00E81267" w:rsidRDefault="005810E6" w:rsidP="009D6B22">
                              <w:pPr>
                                <w:ind w:left="-57" w:right="-125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E81267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KONVERGENCE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4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059832" y="2447543"/>
                            <a:ext cx="702613" cy="508028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AC6E4A0" w14:textId="77777777" w:rsidR="005810E6" w:rsidRPr="00C55F8D" w:rsidRDefault="005810E6" w:rsidP="001A33FB">
                              <w:pPr>
                                <w:pStyle w:val="Normlnweb"/>
                                <w:spacing w:before="60"/>
                                <w:jc w:val="center"/>
                              </w:pPr>
                              <w:r w:rsidRPr="00C55F8D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Společná organizace trhu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48" name="Line 100"/>
                        <wps:cNvCnPr/>
                        <wps:spPr bwMode="auto">
                          <a:xfrm>
                            <a:off x="5141344" y="1880647"/>
                            <a:ext cx="0" cy="566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179996"/>
                            <a:ext cx="1398634" cy="2171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shade val="100000"/>
                                  <a:satMod val="115000"/>
                                </a:sys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2B3D92E9" w14:textId="77777777" w:rsidR="005810E6" w:rsidRDefault="005810E6" w:rsidP="001A33FB">
                              <w:pPr>
                                <w:pStyle w:val="Normlnweb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Jiné zdroje ze zahraničí</w:t>
                              </w:r>
                            </w:p>
                          </w:txbxContent>
                        </wps:txbx>
                        <wps:bodyPr rot="0" vert="horz" wrap="square" lIns="71544" tIns="35773" rIns="71544" bIns="35773" anchor="t" anchorCtr="0" upright="1">
                          <a:noAutofit/>
                        </wps:bodyPr>
                      </wps:wsp>
                      <wps:wsp>
                        <wps:cNvPr id="150" name="Line 28"/>
                        <wps:cNvCnPr/>
                        <wps:spPr bwMode="auto">
                          <a:xfrm>
                            <a:off x="2847121" y="2442688"/>
                            <a:ext cx="0" cy="217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3"/>
                        <wps:cNvCnPr/>
                        <wps:spPr bwMode="auto">
                          <a:xfrm>
                            <a:off x="3243462" y="2442825"/>
                            <a:ext cx="1275" cy="217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2" o:spid="_x0000_s1026" editas="canvas" style="width:453.6pt;height:281.85pt;mso-position-horizontal-relative:char;mso-position-vertical-relative:line" coordsize="57607,3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5794;visibility:visible;mso-wrap-style:square">
                  <v:fill o:detectmouseclick="t"/>
                  <v:path o:connecttype="none"/>
                </v:shape>
                <v:rect id="Rectangle 4" o:spid="_x0000_s1028" style="position:absolute;left:23950;width:18458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rNcIA&#10;AADbAAAADwAAAGRycy9kb3ducmV2LnhtbERPTWvCQBC9F/wPyxS86aZFqkQ3QcSqeGhpLNTjkB2T&#10;YHY27K6a/nu3IPQ2j/c5i7w3rbiS841lBS/jBARxaXXDlYLvw/toBsIHZI2tZVLwSx7ybPC0wFTb&#10;G3/RtQiViCHsU1RQh9ClUvqyJoN+bDviyJ2sMxgidJXUDm8x3LTyNUnepMGGY0ONHa1qKs/FxSj4&#10;2Gwnul1+Onk6Tne2+Fnv15OzUsPnfjkHEagP/+KHe6fj/Cn8/R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as1wgAAANsAAAAPAAAAAAAAAAAAAAAAAJgCAABkcnMvZG93&#10;bnJldi54bWxQSwUGAAAAAAQABAD1AAAAhwMAAAAA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12656885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 xml:space="preserve">E v r o p s k á   u n i e </w:t>
                        </w:r>
                      </w:p>
                    </w:txbxContent>
                  </v:textbox>
                </v:rect>
                <v:line id="Line 5" o:spid="_x0000_s1029" style="position:absolute;flip:y;visibility:visible;mso-wrap-style:square" from="33554,3779" to="44887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6" o:spid="_x0000_s1030" style="position:absolute;flip:x;visibility:visible;mso-wrap-style:square" from="30496,6369" to="30502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7690;top:7274;width:10157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tm8EA&#10;AADbAAAADwAAAGRycy9kb3ducmV2LnhtbERPy2oCMRTdF/yHcAV3NVMXakejVFFQKIivhbvb5HYy&#10;OLkZJlHHv28WQpeH857OW1eJOzWh9Kzgo5+BINbelFwoOB3X72MQISIbrDyTgicFmM86b1PMjX/w&#10;nu6HWIgUwiFHBTbGOpcyaEsOQ9/XxIn79Y3DmGBTSNPgI4W7Sg6ybCgdlpwaLNa0tKSvh5tTsLP6&#10;80dfntd2e3Y7831a6NFqr1Sv235NQERq47/45d4YBYM0Nn1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jrZvBAAAA2wAAAA8AAAAAAAAAAAAAAAAAmAIAAGRycy9kb3du&#10;cmV2LnhtbFBLBQYAAAAABAAEAPUAAACGAwAAAAA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57675EA0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Politika soudržnosti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4824,3779" to="4488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shape id="Text Box 9" o:spid="_x0000_s1033" type="#_x0000_t202" style="position:absolute;left:13123;top:12685;width:8356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S28QA&#10;AADbAAAADwAAAGRycy9kb3ducmV2LnhtbESPQWsCMRSE74X+h/AK3mrWFrSuRtFSQUEQrR68vSav&#10;m8XNy7KJuv57IxR6HGbmG2Y8bV0lLtSE0rOCXjcDQay9KblQsP9evH6ACBHZYOWZFNwowHTy/DTG&#10;3Pgrb+myi4VIEA45KrAx1rmUQVtyGLq+Jk7er28cxiSbQpoGrwnuKvmWZX3psOS0YLGmT0v6tDs7&#10;BRurhz/6eDu1q4PbmPV+rgdfW6U6L+1sBCJSG//Df+2lUfDeg8eX9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ktvEAAAA2wAAAA8AAAAAAAAAAAAAAAAAmAIAAGRycy9k&#10;b3ducmV2LnhtbFBLBQYAAAAABAAEAPUAAACJAwAAAAA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33A615B0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sz w:val="16"/>
                            <w:szCs w:val="16"/>
                          </w:rPr>
                          <w:t>Komunitární programy</w:t>
                        </w:r>
                      </w:p>
                    </w:txbxContent>
                  </v:textbox>
                </v:shape>
                <v:shape id="Text Box 10" o:spid="_x0000_s1034" type="#_x0000_t202" style="position:absolute;left:30368;top:13803;width:5210;height: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MrMUA&#10;AADbAAAADwAAAGRycy9kb3ducmV2LnhtbESPQWsCMRSE7wX/Q3gFbzVbC7WuRrGlggVB3OrB22vy&#10;ulncvCybqOu/bwqCx2FmvmGm887V4kxtqDwreB5kIIi1NxWXCnbfy6c3ECEiG6w9k4IrBZjPeg9T&#10;zI2/8JbORSxFgnDIUYGNscmlDNqSwzDwDXHyfn3rMCbZltK0eElwV8thlr1KhxWnBYsNfVjSx+Lk&#10;FGysHv/ow/XYfe3dxqx373r0uVWq/9gtJiAidfEevrVXRsHLEP6/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gysxQAAANsAAAAPAAAAAAAAAAAAAAAAAJgCAABkcnMv&#10;ZG93bnJldi54bWxQSwUGAAAAAAQABAD1AAAAigMAAAAA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059ADA8E" w14:textId="77777777" w:rsidR="005810E6" w:rsidRPr="00D41EEB" w:rsidRDefault="005810E6" w:rsidP="009D6B22">
                        <w:pPr>
                          <w:ind w:left="-113" w:right="-113"/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 xml:space="preserve">Evropský sociální fond </w:t>
                        </w:r>
                      </w:p>
                    </w:txbxContent>
                  </v:textbox>
                </v:shape>
                <v:shape id="Text Box 12" o:spid="_x0000_s1035" type="#_x0000_t202" style="position:absolute;left:35578;top:22217;width:7544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SMEA&#10;AADbAAAADwAAAGRycy9kb3ducmV2LnhtbESPT2sCMRDF74V+hzCF3mpWKypboxSh0EsP6nofNtPN&#10;djeTJZnq9ts3guDx8f78eOvt6Ht1ppjawAamkwIUcR1sy42B6vjxsgKVBNliH5gM/FGC7ebxYY2l&#10;DRfe0/kgjcojnEo04ESGUutUO/KYJmEgzt53iB4ly9hoG/GSx32vZ0Wx0B5bzgSHA+0c1d3h12eu&#10;HJGHxeqr66rlfrqUeHI/0Zjnp/H9DZTQKPfwrf1pDbzO4fol/wC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yEjBAAAA2wAAAA8AAAAAAAAAAAAAAAAAmAIAAGRycy9kb3du&#10;cmV2LnhtbFBLBQYAAAAABAAEAPUAAACGAwAAAAA=&#10;" fillcolor="#f2dcdb" strokecolor="windowText" strokeweight=".25pt">
                  <v:textbox inset="1.98733mm,.99369mm,1.98733mm,.99369mm">
                    <w:txbxContent>
                      <w:p w14:paraId="20BF365B" w14:textId="77777777" w:rsidR="005810E6" w:rsidRPr="00C55F8D" w:rsidRDefault="005810E6" w:rsidP="001A33FB">
                        <w:pPr>
                          <w:spacing w:before="100" w:beforeAutospacing="1"/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C55F8D">
                          <w:rPr>
                            <w:rFonts w:cs="Calibri"/>
                            <w:sz w:val="16"/>
                            <w:szCs w:val="16"/>
                          </w:rPr>
                          <w:t xml:space="preserve">OP </w:t>
                        </w: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Rybářství 2007–2013</w:t>
                        </w:r>
                      </w:p>
                    </w:txbxContent>
                  </v:textbox>
                </v:shape>
                <v:shape id="Text Box 13" o:spid="_x0000_s1036" type="#_x0000_t202" style="position:absolute;left:43765;top:23198;width:6066;height:6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WP8EA&#10;AADbAAAADwAAAGRycy9kb3ducmV2LnhtbESPy2rDMBBF94X+g5hCdo2cBuLgRgmlUOimi7z2gzWx&#10;XFsjI00T9++jQCDLy30c7moz+l6dKaY2sIHZtABFXAfbcmPgsP96XYJKgmyxD0wG/inBZv38tMLK&#10;hgtv6byTRuURThUacCJDpXWqHXlM0zAQZ+8UokfJMjbaRrzkcd/rt6JYaI8tZ4LDgT4d1d3uz2eu&#10;7JGHxfKn6w7ldlZKPLrfaMzkZfx4ByU0yiN8b39bA/MSbl/yD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4Vj/BAAAA2wAAAA8AAAAAAAAAAAAAAAAAmAIAAGRycy9kb3du&#10;cmV2LnhtbFBLBQYAAAAABAAEAPUAAACGAwAAAAA=&#10;" fillcolor="#f2dcdb" strokecolor="windowText" strokeweight=".25pt">
                  <v:textbox inset="1.98733mm,.99369mm,1.98733mm,.99369mm">
                    <w:txbxContent>
                      <w:p w14:paraId="62950072" w14:textId="77777777" w:rsidR="005810E6" w:rsidRPr="00D41EEB" w:rsidRDefault="005810E6" w:rsidP="001A33FB">
                        <w:pPr>
                          <w:spacing w:before="60"/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Program rozvoje venkova ČR</w:t>
                        </w:r>
                      </w:p>
                    </w:txbxContent>
                  </v:textbox>
                </v:shape>
                <v:shape id="Text Box 14" o:spid="_x0000_s1037" type="#_x0000_t202" style="position:absolute;left:36317;top:13847;width:5262;height:4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7RsIA&#10;AADbAAAADwAAAGRycy9kb3ducmV2LnhtbERPy2oCMRTdC/5DuEJ3mqkFrdPJSCstVCiIr4W72+R2&#10;Mji5GSapjn/fLIQuD+ddLHvXiAt1ofas4HGSgSDW3tRcKTjsP8bPIEJENth4JgU3CrAsh4MCc+Ov&#10;vKXLLlYihXDIUYGNsc2lDNqSwzDxLXHifnznMCbYVdJ0eE3hrpHTLJtJhzWnBostrSzp8+7XKdhY&#10;vfjWp9u5Xx/dxnwd3vT8favUw6h/fQERqY//4rv70yh4SmPT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jtGwgAAANsAAAAPAAAAAAAAAAAAAAAAAJgCAABkcnMvZG93&#10;bnJldi54bWxQSwUGAAAAAAQABAD1AAAAhwMAAAAA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093F08E2" w14:textId="77777777" w:rsidR="005810E6" w:rsidRPr="00D41EEB" w:rsidRDefault="005810E6" w:rsidP="001A33FB">
                        <w:pPr>
                          <w:spacing w:before="60"/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Evropský rybářský fond</w:t>
                        </w:r>
                      </w:p>
                    </w:txbxContent>
                  </v:textbox>
                </v:shape>
                <v:shape id="Text Box 15" o:spid="_x0000_s1038" type="#_x0000_t202" style="position:absolute;left:42408;top:13720;width:7285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e3cQA&#10;AADbAAAADwAAAGRycy9kb3ducmV2LnhtbESPQWsCMRSE74X+h/AK3mq2FbSuRmmLgoIgWj14eyav&#10;m8XNy7KJuv57IxR6HGbmG2Y8bV0lLtSE0rOCt24Gglh7U3KhYPczf/0AESKywcozKbhRgOnk+WmM&#10;ufFX3tBlGwuRIBxyVGBjrHMpg7bkMHR9TZy8X984jEk2hTQNXhPcVfI9y/rSYclpwWJN35b0aXt2&#10;CtZWD4/6cDu1y71bm9XuSw9mG6U6L+3nCESkNv6H/9oLo6A3hMeX9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nt3EAAAA2wAAAA8AAAAAAAAAAAAAAAAAmAIAAGRycy9k&#10;b3ducmV2LnhtbFBLBQYAAAAABAAEAPUAAACJAwAAAAA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5244760E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 xml:space="preserve">Evropský zemědělský fond pro rozvoj venkova </w:t>
                        </w:r>
                      </w:p>
                    </w:txbxContent>
                  </v:textbox>
                </v:shape>
                <v:line id="Line 16" o:spid="_x0000_s1039" style="position:absolute;visibility:visible;mso-wrap-style:square" from="39178,10656" to="39178,1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KFkMIAAADbAAAADwAAAGRycy9kb3ducmV2LnhtbERPTU/CQBC9m/gfNmPiTbYaY0hhIUAi&#10;UQmHIgeOk+7QFruzdXel5d8zBxKPL+97Oh9cq84UYuPZwPMoA0VcettwZWD//f40BhUTssXWMxm4&#10;UIT57P5uirn1PRd03qVKSQjHHA3UKXW51rGsyWEc+Y5YuKMPDpPAUGkbsJdw1+qXLHvTDhuWhho7&#10;WtVU/uz+nPSut/129XmIvzZulqevcRHWy8KYx4dhMQGVaEj/4pv7wxp4lfXyRX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KFkMIAAADbAAAADwAAAAAAAAAAAAAA&#10;AAChAgAAZHJzL2Rvd25yZXYueG1sUEsFBgAAAAAEAAQA+QAAAJADAAAAAA==&#10;" strokecolor="windowText">
                  <v:stroke endarrow="block"/>
                </v:line>
                <v:line id="Line 18" o:spid="_x0000_s1040" style="position:absolute;visibility:visible;mso-wrap-style:square" from="28471,9354" to="28483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4gC8QAAADbAAAADwAAAGRycy9kb3ducmV2LnhtbESPS2vCQBSF9wX/w3CF7upEKUWiYzCC&#10;0gcuoi5cXjLXJJq5k85MTfrvO4VCl4fz+DjLbDCtuJPzjWUF00kCgri0uuFKwem4fZqD8AFZY2uZ&#10;FHyTh2w1elhiqm3PBd0PoRJxhH2KCuoQulRKX9Zk0E9sRxy9i3UGQ5SuktphH8dNK2dJ8iINNhwJ&#10;NXa0qam8Hb5M5O72/X7zdvaf2n/k1/d54XZ5odTjeFgvQAQawn/4r/2qFTxP4f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iALxAAAANsAAAAPAAAAAAAAAAAA&#10;AAAAAKECAABkcnMvZG93bnJldi54bWxQSwUGAAAAAAQABAD5AAAAkgMAAAAA&#10;" strokecolor="windowText">
                  <v:stroke endarrow="block"/>
                </v:line>
                <v:line id="Line 21" o:spid="_x0000_s1041" style="position:absolute;flip:x;visibility:visible;mso-wrap-style:square" from="32230,9354" to="32243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ojMQAAADbAAAADwAAAGRycy9kb3ducmV2LnhtbESPwWrDMBBE74H+g9hCb4nsNCnBjWJM&#10;aKnpIRA3H7BYG9vUWhlJtd2/rwKBHoeZecPs89n0YiTnO8sK0lUCgri2uuNGweXrfbkD4QOyxt4y&#10;KfglD/nhYbHHTNuJzzRWoRERwj5DBW0IQyalr1sy6Fd2II7e1TqDIUrXSO1winDTy3WSvEiDHceF&#10;Fgc6tlR/Vz9GwfGUfvYFf8h0urryWe/e6vX2otTT41y8ggg0h//wvV1qBZsN3L7EHyA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iiMxAAAANsAAAAPAAAAAAAAAAAA&#10;AAAAAKECAABkcnMvZG93bnJldi54bWxQSwUGAAAAAAQABAD5AAAAkgMAAAAA&#10;" strokecolor="windowText">
                  <v:stroke endarrow="block"/>
                </v:line>
                <v:line id="Line 28" o:spid="_x0000_s1042" style="position:absolute;visibility:visible;mso-wrap-style:square" from="28298,18303" to="28298,2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LkH8MAAADbAAAADwAAAGRycy9kb3ducmV2LnhtbESPS4vCMBSF9wP+h3CF2Y2psyhSjaKC&#10;Mg9cVF24vDTXttrcdJKM7fz7iSC4PJzHx5ktetOIGzlfW1YwHiUgiAuray4VHA+btwkIH5A1NpZJ&#10;wR95WMwHLzPMtO04p9s+lCKOsM9QQRVCm0npi4oM+pFtiaN3ts5giNKVUjvs4rhp5HuSpNJgzZFQ&#10;YUvriorr/tdE7nbX7dafJ/+j/ffq8jXJ3XaVK/U67JdTEIH68Aw/2h9aQZrC/U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i5B/DAAAA2wAAAA8AAAAAAAAAAAAA&#10;AAAAoQIAAGRycy9kb3ducmV2LnhtbFBLBQYAAAAABAAEAPkAAACRAwAAAAA=&#10;" strokecolor="windowText">
                  <v:stroke endarrow="block"/>
                </v:line>
                <v:line id="Line 33" o:spid="_x0000_s1043" style="position:absolute;visibility:visible;mso-wrap-style:square" from="32368,18800" to="32368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nstcQAAADbAAAADwAAAGRycy9kb3ducmV2LnhtbESPS2vCQBSF9wX/w3CF7upEoW2IjqJC&#10;pQ9cRF24vGSuSTRzJ52ZmvTfdwqCy8N5fJzZojeNuJLztWUF41ECgriwuuZSwWH/9pSC8AFZY2OZ&#10;FPySh8V88DDDTNuOc7ruQiniCPsMFVQhtJmUvqjIoB/Zljh6J+sMhihdKbXDLo6bRk6S5EUarDkS&#10;KmxpXVFx2f2YyN1su+364+i/tf9anT/T3G1WuVKPw345BRGoD/fwrf2uFbw+w/+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Key1xAAAANsAAAAPAAAAAAAAAAAA&#10;AAAAAKECAABkcnMvZG93bnJldi54bWxQSwUGAAAAAAQABAD5AAAAkgMAAAAA&#10;" strokecolor="windowText">
                  <v:stroke endarrow="block"/>
                </v:line>
                <v:line id="Line 38" o:spid="_x0000_s1044" style="position:absolute;visibility:visible;mso-wrap-style:square" from="57948,15230" to="57948,1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40" o:spid="_x0000_s1045" style="position:absolute;visibility:visible;mso-wrap-style:square" from="30428,2160" to="30489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pTQsQAAADbAAAADwAAAGRycy9kb3ducmV2LnhtbESPT4vCMBTE7wt+h/AEL4umivinGkVE&#10;weNuFfH4aJ5ttXmpTdS6n36zIOxxmJnfMPNlY0rxoNoVlhX0exEI4tTqgjMFh/22OwHhPLLG0jIp&#10;eJGD5aL1McdY2yd/0yPxmQgQdjEqyL2vYildmpNB17MVcfDOtjbog6wzqWt8Brgp5SCKRtJgwWEh&#10;x4rWOaXX5G4UZOvL5+2UXH6GfrSZ2O3w63g8r5TqtJvVDISnxv+H3+2dVjCewt+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lNCxAAAANsAAAAPAAAAAAAAAAAA&#10;AAAAAKECAABkcnMvZG93bnJldi54bWxQSwUGAAAAAAQABAD5AAAAkgMAAAAA&#10;" strokecolor="windowText"/>
                <v:shape id="Text Box 42" o:spid="_x0000_s1046" type="#_x0000_t202" style="position:absolute;left:24676;top:26633;width:13917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9VlcUA&#10;AADbAAAADwAAAGRycy9kb3ducmV2LnhtbESPQWsCMRSE74X+h/AK3mpWD1ZXs4stCi0IorUHb6/J&#10;62Zx87JsUl3/vREKPQ4z8w2zKHvXiDN1ofasYDTMQBBrb2quFBw+189TECEiG2w8k4IrBSiLx4cF&#10;5sZfeEfnfaxEgnDIUYGNsc2lDNqSwzD0LXHyfnznMCbZVdJ0eElw18hxlk2kw5rTgsWW3izp0/7X&#10;KdhaPfvWx+up//hyW7M5vOqX1U6pwVO/nIOI1Mf/8F/73SiYTeD+Jf0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1WVxQAAANsAAAAPAAAAAAAAAAAAAAAAAJgCAABkcnMv&#10;ZG93bnJldi54bWxQSwUGAAAAAAQABAD1AAAAigMAAAAA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2771DA85" w14:textId="77777777" w:rsidR="005810E6" w:rsidRPr="00E81267" w:rsidRDefault="005810E6" w:rsidP="001A33FB">
                        <w:pPr>
                          <w:widowControl w:val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>Te</w:t>
                        </w:r>
                        <w:r w:rsidRPr="00E81267">
                          <w:rPr>
                            <w:rFonts w:cs="Calibri"/>
                            <w:sz w:val="16"/>
                            <w:szCs w:val="16"/>
                          </w:rPr>
                          <w:t>matické operační programy</w:t>
                        </w:r>
                      </w:p>
                    </w:txbxContent>
                  </v:textbox>
                </v:shape>
                <v:line id="Line 55" o:spid="_x0000_s1047" style="position:absolute;visibility:visible;mso-wrap-style:square" from="46302,29564" to="46302,2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56" o:spid="_x0000_s1048" style="position:absolute;visibility:visible;mso-wrap-style:square" from="47198,29564" to="47198,2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shape id="Text Box 70" o:spid="_x0000_s1049" type="#_x0000_t202" style="position:absolute;left:30361;top:33396;width:1931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Sg8IA&#10;AADcAAAADwAAAGRycy9kb3ducmV2LnhtbESPT2sCMRDF70K/Q5iCN81aQWVrlFIQeunBf/dhM262&#10;u5ksyajbb98UBG8zvDfv92a9HXynbhRTE9jAbFqAIq6Cbbg2cDruJitQSZAtdoHJwC8l2G5eRmss&#10;bbjznm4HqVUO4VSiASfSl1qnypHHNA09cdYuIXqUvMZa24j3HO47/VYUC+2x4Uxw2NOno6o9XH3m&#10;yhG5X6y+2/a03M+WEs/uJxozfh0+3kEJDfI0P66/bK5fzOH/mTyB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VKDwgAAANwAAAAPAAAAAAAAAAAAAAAAAJgCAABkcnMvZG93&#10;bnJldi54bWxQSwUGAAAAAAQABAD1AAAAhwMAAAAA&#10;" fillcolor="#f2dcdb" strokecolor="windowText" strokeweight=".25pt">
                  <v:textbox inset="1.98733mm,.99369mm,1.98733mm,.99369mm">
                    <w:txbxContent>
                      <w:p w14:paraId="55D8D537" w14:textId="77777777" w:rsidR="005810E6" w:rsidRPr="00E81267" w:rsidRDefault="005810E6" w:rsidP="001A33FB">
                        <w:pPr>
                          <w:spacing w:before="60"/>
                          <w:jc w:val="center"/>
                          <w:rPr>
                            <w:rFonts w:cs="Calibri"/>
                            <w:color w:val="FF0000"/>
                            <w:sz w:val="16"/>
                            <w:szCs w:val="16"/>
                          </w:rPr>
                        </w:pPr>
                        <w:r w:rsidRPr="00C72F85">
                          <w:rPr>
                            <w:rFonts w:cs="Calibri"/>
                            <w:sz w:val="16"/>
                            <w:szCs w:val="16"/>
                          </w:rPr>
                          <w:t xml:space="preserve">OP </w:t>
                        </w: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Výzkum a vývoj pro inovace</w:t>
                        </w:r>
                      </w:p>
                    </w:txbxContent>
                  </v:textbox>
                </v:shape>
                <v:shape id="Text Box 71" o:spid="_x0000_s1050" type="#_x0000_t202" style="position:absolute;left:30368;top:30502;width:19309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K98IA&#10;AADcAAAADwAAAGRycy9kb3ducmV2LnhtbESPT2sCMRDF70K/Q5iCN81aRGVrlFIQeunBf/dhM262&#10;u5ksyajbb98UBG8zvDfv92a9HXynbhRTE9jAbFqAIq6Cbbg2cDruJitQSZAtdoHJwC8l2G5eRmss&#10;bbjznm4HqVUO4VSiASfSl1qnypHHNA09cdYuIXqUvMZa24j3HO47/VYUC+2x4Uxw2NOno6o9XH3m&#10;yhG5X6y+2/a03M+WEs/uJxozfh0+3kEJDfI0P66/bK5fzOH/mTyB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Mr3wgAAANwAAAAPAAAAAAAAAAAAAAAAAJgCAABkcnMvZG93&#10;bnJldi54bWxQSwUGAAAAAAQABAD1AAAAhwMAAAAA&#10;" fillcolor="#f2dcdb" strokecolor="windowText" strokeweight=".25pt">
                  <v:textbox inset="1.98733mm,.99369mm,1.98733mm,.99369mm">
                    <w:txbxContent>
                      <w:p w14:paraId="7A7881F5" w14:textId="77777777" w:rsidR="005810E6" w:rsidRPr="00C72F85" w:rsidRDefault="005810E6" w:rsidP="001A33FB">
                        <w:pPr>
                          <w:spacing w:before="60"/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C72F85">
                          <w:rPr>
                            <w:rFonts w:cs="Calibri"/>
                            <w:sz w:val="16"/>
                            <w:szCs w:val="16"/>
                          </w:rPr>
                          <w:t xml:space="preserve">OP </w:t>
                        </w: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Vzdělávání pro konkurenceschopnost</w:t>
                        </w:r>
                      </w:p>
                    </w:txbxContent>
                  </v:textbox>
                </v:shape>
                <v:line id="Line 73" o:spid="_x0000_s1051" style="position:absolute;visibility:visible;mso-wrap-style:square" from="25435,29321" to="25435,3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  <v:line id="Line 78" o:spid="_x0000_s1052" style="position:absolute;visibility:visible;mso-wrap-style:square" from="25408,34780" to="30489,3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EHPMQAAADcAAAADwAAAGRycy9kb3ducmV2LnhtbESPTW/CMAyG75P2HyJP4jbS7YBQISBA&#10;GhqbOBQ47Gg1XlvWOF0SaPfv5wMSN1t+Px7Pl4Nr1ZVCbDwbeBlnoIhLbxuuDJyOb89TUDEhW2w9&#10;k4E/irBcPD7MMbe+54Kuh1QpCeGYo4E6pS7XOpY1OYxj3xHL7dsHh0nWUGkbsJdw1+rXLJtohw1L&#10;Q40dbWoqfw4XJ73bfb/f7L7ir42f6/PHtAjbdWHM6GlYzUAlGtJdfHO/W8HPhFa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Qc8xAAAANwAAAAPAAAAAAAAAAAA&#10;AAAAAKECAABkcnMvZG93bnJldi54bWxQSwUGAAAAAAQABAD5AAAAkgMAAAAA&#10;" strokecolor="windowText">
                  <v:stroke endarrow="block"/>
                </v:line>
                <v:line id="Line 99" o:spid="_x0000_s1053" style="position:absolute;visibility:visible;mso-wrap-style:square" from="38968,18806" to="38968,22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2ip8YAAADcAAAADwAAAGRycy9kb3ducmV2LnhtbESPzW7CMBCE70h9B2srcQOnHBCkGFSQ&#10;QPyIQ2gPPa7ibZI2XgfbkPD2GAmpt13N7Hyzs0VnanEl5yvLCt6GCQji3OqKCwVfn+vBBIQPyBpr&#10;y6TgRh4W85feDFNtW87oegqFiCHsU1RQhtCkUvq8JIN+aBviqP1YZzDE1RVSO2xjuKnlKEnG0mDF&#10;kVBiQ6uS8r/TxUTu5tgeV7tvf9b+sPzdTzK3WWZK9V+7j3cQgbrwb35eb3Wsn0zh8Uyc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toqfGAAAA3AAAAA8AAAAAAAAA&#10;AAAAAAAAoQIAAGRycy9kb3ducmV2LnhtbFBLBQYAAAAABAAEAPkAAACUAwAAAAA=&#10;" strokecolor="windowText">
                  <v:stroke endarrow="block"/>
                </v:line>
                <v:line id="Line 100" o:spid="_x0000_s1054" style="position:absolute;visibility:visible;mso-wrap-style:square" from="46051,21156" to="46132,2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6d58UAAADcAAAADwAAAGRycy9kb3ducmV2LnhtbESPTW/CMAyG75P2HyJP2m2kcJhQR0CA&#10;BIJNHMp22NFqTFtonJIE2v37+TBpN1t+Px7PFoNr1Z1CbDwbGI8yUMSltw1XBr4+Ny9TUDEhW2w9&#10;k4EfirCYPz7MMLe+54Lux1QpCeGYo4E6pS7XOpY1OYwj3xHL7eSDwyRrqLQN2Eu4a/Uky161w4al&#10;ocaO1jWVl+PNSe/20B/W++94tfFjdX6fFmG7Kox5fhqWb6ASDelf/OfeWcEfC748IxPo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6d58UAAADcAAAADwAAAAAAAAAA&#10;AAAAAAChAgAAZHJzL2Rvd25yZXYueG1sUEsFBgAAAAAEAAQA+QAAAJMDAAAAAA==&#10;" strokecolor="windowText">
                  <v:stroke endarrow="block"/>
                </v:line>
                <v:line id="Line 101" o:spid="_x0000_s1055" style="position:absolute;visibility:visible;mso-wrap-style:square" from="83926,9854" to="83926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line id="Line 122" o:spid="_x0000_s1056" style="position:absolute;visibility:visible;mso-wrap-style:square" from="46207,12149" to="46207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CmC8YAAADcAAAADwAAAGRycy9kb3ducmV2LnhtbESPQW/CMAyF70j7D5EncaNpOSDUEaqB&#10;NARMHMp22NFqvLZb45Qk0PLvl0mTdrP1nt/3vCpG04kbOd9aVpAlKQjiyuqWawXvby+zJQgfkDV2&#10;lknBnTwU64fJCnNtBy7pdg61iCHsc1TQhNDnUvqqIYM+sT1x1D6tMxji6mqpHQ4x3HRynqYLabDl&#10;SGiwp21D1ff5aiJ3dxpO28OHv2j/uvk6Lku325RKTR/H5ycQgcbwb/673utYP5vD7zNxAr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QpgvGAAAA3AAAAA8AAAAAAAAA&#10;AAAAAAAAoQIAAGRycy9kb3ducmV2LnhtbFBLBQYAAAAABAAEAPkAAACUAwAAAAA=&#10;" strokecolor="windowText">
                  <v:stroke endarrow="block"/>
                </v:line>
                <v:line id="Line 123" o:spid="_x0000_s1057" style="position:absolute;visibility:visible;mso-wrap-style:square" from="26483,31599" to="30368,31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wDkMYAAADcAAAADwAAAGRycy9kb3ducmV2LnhtbESPT2vCQBDF70K/wzIFb7qxgkjqKlWo&#10;+AcPsT30OGSnSdrsbNxdTfz2riB4m+G9eb83s0VnanEh5yvLCkbDBARxbnXFhYLvr8/BFIQPyBpr&#10;y6TgSh4W85feDFNtW87ocgyFiCHsU1RQhtCkUvq8JIN+aBviqP1aZzDE1RVSO2xjuKnlW5JMpMGK&#10;I6HEhlYl5f/Hs4nc9aE9rLY//qT9fvm3m2ZuvcyU6r92H+8gAnXhaX5cb3SsPxrD/Zk4gZ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cA5DGAAAA3AAAAA8AAAAAAAAA&#10;AAAAAAAAoQIAAGRycy9kb3ducmV2LnhtbFBLBQYAAAAABAAEAPkAAACUAwAAAAA=&#10;" strokecolor="windowText">
                  <v:stroke endarrow="block"/>
                </v:line>
                <v:line id="Line 124" o:spid="_x0000_s1058" style="position:absolute;flip:y;visibility:visible;mso-wrap-style:square" from="26483,29321" to="26483,3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Gr8QAAADcAAAADwAAAGRycy9kb3ducmV2LnhtbERPS2vCQBC+F/wPywi91U2kSEldpWoL&#10;Pfmql9zG7JhNk50N2a2m/fWuUPA2H99zpvPeNuJMna8cK0hHCQjiwumKSwWHr4+nFxA+IGtsHJOC&#10;X/Iwnw0epphpd+EdnfehFDGEfYYKTAhtJqUvDFn0I9cSR+7kOoshwq6UusNLDLeNHCfJRFqsODYY&#10;bGlpqKj3P1bB6m9br/M8H9fNxhzS90X7vTrmSj0O+7dXEIH6cBf/uz91nJ8+w+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cavxAAAANwAAAAPAAAAAAAAAAAA&#10;AAAAAKECAABkcnMvZG93bnJldi54bWxQSwUGAAAAAAQABAD5AAAAkgMAAAAA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7" o:spid="_x0000_s1059" type="#_x0000_t32" style="position:absolute;left:22660;top:3779;width:65;height:1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  <v:stroke endarrow="block"/>
                </v:shape>
                <v:shape id="AutoShape 128" o:spid="_x0000_s1060" type="#_x0000_t32" style="position:absolute;left:28483;top:2242;width:6;height:15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pms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P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amawQAAANwAAAAPAAAAAAAAAAAAAAAA&#10;AKECAABkcnMvZG93bnJldi54bWxQSwUGAAAAAAQABAD5AAAAjwMAAAAA&#10;"/>
                <v:shape id="AutoShape 129" o:spid="_x0000_s1061" type="#_x0000_t32" style="position:absolute;left:22725;top:3779;width:57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MAc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n5J/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kMAcIAAADcAAAADwAAAAAAAAAAAAAA&#10;AAChAgAAZHJzL2Rvd25yZXYueG1sUEsFBgAAAAAEAAQA+QAAAJADAAAAAA==&#10;"/>
                <v:rect id="Rectangle 130" o:spid="_x0000_s1062" style="position:absolute;left:17437;top:5375;width:9046;height:4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c/8YA&#10;AADcAAAADwAAAGRycy9kb3ducmV2LnhtbESPQWvCQBCF7wX/wzKF3nRjES3RVURsKz1UGgV7HLJj&#10;EszOht2txn/fORR6m+G9ee+bxap3rbpSiI1nA+NRBoq49LbhysDx8Dp8ARUTssXWMxm4U4TVcvCw&#10;wNz6G3/RtUiVkhCOORqoU+pyrWNZk8M48h2xaGcfHCZZQ6VtwJuEu1Y/Z9lUO2xYGmrsaFNTeSl+&#10;nIHPt/eJbdf7oM/fs50vTtuP7eRizNNjv56DStSnf/Pf9c4K/lh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Nc/8YAAADcAAAADwAAAAAAAAAAAAAAAACYAgAAZHJz&#10;L2Rvd25yZXYueG1sUEsFBgAAAAAEAAQA9QAAAIs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7C1E922E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Ostatní nástroje (politiky) EU</w:t>
                        </w:r>
                      </w:p>
                    </w:txbxContent>
                  </v:textbox>
                </v:rect>
                <v:rect id="Rectangle 131" o:spid="_x0000_s1063" style="position:absolute;left:13473;top:18255;width:8006;height: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gT8AA&#10;AADcAAAADwAAAGRycy9kb3ducmV2LnhtbERPS4vCMBC+C/6HMII3TbsHcatRRBD3IOILxdvQjE2x&#10;mZQmav33ZmFhb/PxPWc6b20lntT40rGCdJiAIM6dLrlQcDquBmMQPiBrrByTgjd5mM+6nSlm2r14&#10;T89DKEQMYZ+hAhNCnUnpc0MW/dDVxJG7ucZiiLAppG7wFcNtJb+SZCQtlhwbDNa0NJTfDw+rYKP1&#10;bpuay3p1voZa8qbdkzZK9XvtYgIiUBv+xX/uHx3np9/w+0y8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PgT8AAAADcAAAADwAAAAAAAAAAAAAAAACYAgAAZHJzL2Rvd25y&#10;ZXYueG1sUEsFBgAAAAAEAAQA9QAAAIUDAAAAAA==&#10;" fillcolor="#f2dcdb" strokecolor="windowText" strokeweight=".25pt">
                  <v:textbox inset="1.98733mm,.99369mm,1.98733mm,.99369mm">
                    <w:txbxContent>
                      <w:p w14:paraId="3BDAEA6B" w14:textId="77777777" w:rsidR="005810E6" w:rsidRPr="00E27DFE" w:rsidRDefault="005810E6" w:rsidP="001A33FB">
                        <w:pPr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7. rámcový program pro výzkum a vývoj</w:t>
                        </w:r>
                        <w:r w:rsidRPr="00C72F85">
                          <w:rPr>
                            <w:rFonts w:cs="Calibri"/>
                            <w:sz w:val="16"/>
                            <w:szCs w:val="16"/>
                          </w:rPr>
                          <w:t xml:space="preserve"> (</w:t>
                        </w: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Eurostars</w:t>
                        </w:r>
                        <w:r w:rsidRPr="00E27DFE">
                          <w:rPr>
                            <w:rFonts w:cs="Calibri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32" o:spid="_x0000_s1064" style="position:absolute;left:13470;top:25816;width:8009;height:4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Db8QA&#10;AADcAAAADwAAAGRycy9kb3ducmV2LnhtbESPQWvDMAyF74P+B6NCb6vTHsrI6pZSKN2hlCUbG7uJ&#10;WItDYznEXpL+++kw2E3iPb33abuffKsG6mMT2MBqmYEiroJtuDbw/nZ6fAIVE7LFNjAZuFOE/W72&#10;sMXchpELGspUKwnhmKMBl1KXax0rRx7jMnTEon2H3mOSta+17XGUcN/qdZZttMeGpcFhR0dH1a38&#10;8QYu1r5eV+7zfPr4Sp3my1SQdcYs5tPhGVSiKf2b/65frOCvBV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lg2/EAAAA3AAAAA8AAAAAAAAAAAAAAAAAmAIAAGRycy9k&#10;b3ducmV2LnhtbFBLBQYAAAAABAAEAPUAAACJAwAAAAA=&#10;" fillcolor="#f2dcdb" strokecolor="windowText" strokeweight=".25pt">
                  <v:textbox inset="1.98733mm,.99369mm,1.98733mm,.99369mm">
                    <w:txbxContent>
                      <w:p w14:paraId="585FE083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Program celoživotního učení</w:t>
                        </w:r>
                      </w:p>
                    </w:txbxContent>
                  </v:textbox>
                </v:rect>
                <v:shape id="AutoShape 133" o:spid="_x0000_s1065" type="#_x0000_t32" style="position:absolute;left:11548;top:14311;width:143;height:131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2rMQAAADcAAAADwAAAGRycy9kb3ducmV2LnhtbERPTWvCQBC9F/oflin0UpqNglJiVgkW&#10;oQRKNC3kOmTHJDU7G7Krpv/eLRS8zeN9TrqZTC8uNLrOsoJZFIMgrq3uuFHw/bV7fQPhPLLG3jIp&#10;+CUHm/XjQ4qJtlc+0KX0jQgh7BJU0Ho/JFK6uiWDLrIDceCOdjToAxwbqUe8hnDTy3kcL6XBjkND&#10;iwNtW6pP5dko8J8v+eLnUBRZyfye7fPqlG0rpZ6fpmwFwtPk7+J/94cO8+cz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QbasxAAAANwAAAAPAAAAAAAAAAAA&#10;AAAAAKECAABkcnMvZG93bnJldi54bWxQSwUGAAAAAAQABAD5AAAAkgMAAAAA&#10;"/>
                <v:shape id="AutoShape 134" o:spid="_x0000_s1066" type="#_x0000_t32" style="position:absolute;left:11699;top:20306;width:1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JGMQAAADcAAAADwAAAGRycy9kb3ducmV2LnhtbERPTWvCQBC9C/0PyxR6M5vkUGrqGqTQ&#10;Uiw9VCXU25Adk2B2NuyuGvvru4LgbR7vc+blaHpxIuc7ywqyJAVBXFvdcaNgu3mfvoDwAVljb5kU&#10;XMhDuXiYzLHQ9sw/dFqHRsQQ9gUqaEMYCil93ZJBn9iBOHJ76wyGCF0jtcNzDDe9zNP0WRrsODa0&#10;ONBbS/VhfTQKfr9mx+pSfdOqymarHTrj/zYfSj09jstXEIHGcBff3J86zs9zuD4TL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EkYxAAAANwAAAAPAAAAAAAAAAAA&#10;AAAAAKECAABkcnMvZG93bnJldi54bWxQSwUGAAAAAAQABAD5AAAAkgMAAAAA&#10;">
                  <v:stroke endarrow="block"/>
                </v:shape>
                <v:shape id="AutoShape 135" o:spid="_x0000_s1067" type="#_x0000_t32" style="position:absolute;left:11691;top:27447;width:1960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mnwMEAAADcAAAADwAAAGRycy9kb3ducmV2LnhtbERP32vCMBB+F/Y/hBv4pqmVyeiMxQmC&#10;+CJzg+3xaM422FxKkzX1vzeDgW/38f28dTnaVgzUe+NYwWKegSCunDZcK/j63M9eQfiArLF1TApu&#10;5KHcPE3WWGgX+YOGc6hFCmFfoIImhK6Q0lcNWfRz1xEn7uJ6iyHBvpa6x5jCbSvzLFtJi4ZTQ4Md&#10;7Rqqrudfq8DEkxm6wy6+H79/vI5kbi/OKDV9HrdvIAKN4SH+dx90mp8v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yafAwQAAANwAAAAPAAAAAAAAAAAAAAAA&#10;AKECAABkcnMvZG93bnJldi54bWxQSwUGAAAAAAQABAD5AAAAjwMAAAAA&#10;">
                  <v:stroke endarrow="block"/>
                </v:shape>
                <v:shape id="AutoShape 137" o:spid="_x0000_s1068" type="#_x0000_t32" style="position:absolute;left:40716;top:12069;width:13679;height: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TE8UAAADcAAAADwAAAGRycy9kb3ducmV2LnhtbERPTWvCQBC9F/wPywi9iG4MoWjqGmJB&#10;KYWUanvocciOSTA7G7KrSf99tyD0No/3OZtsNK24Ue8aywqWiwgEcWl1w5WCr8/9fAXCeWSNrWVS&#10;8EMOsu3kYYOptgMf6XbylQgh7FJUUHvfpVK6siaDbmE74sCdbW/QB9hXUvc4hHDTyjiKnqTBhkND&#10;jR291FReTlejoHyfve0OxXo/ftjkO1o16ySPC6Uep2P+DMLT6P/Fd/erDvPjBP6eCR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oTE8UAAADcAAAADwAAAAAAAAAA&#10;AAAAAAChAgAAZHJzL2Rvd25yZXYueG1sUEsFBgAAAAAEAAQA+QAAAJMDAAAAAA==&#10;" strokecolor="windowText"/>
                <v:shape id="AutoShape 138" o:spid="_x0000_s1069" type="#_x0000_t32" style="position:absolute;left:54395;top:12149;width:0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RbM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0WzDAAAA3AAAAA8AAAAAAAAAAAAA&#10;AAAAoQIAAGRycy9kb3ducmV2LnhtbFBLBQYAAAAABAAEAPkAAACRAwAAAAA=&#10;">
                  <v:stroke endarrow="block"/>
                </v:shape>
                <v:rect id="Rectangle 139" o:spid="_x0000_s1070" style="position:absolute;left:50693;top:13796;width:6767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ynq8MA&#10;AADcAAAADwAAAGRycy9kb3ducmV2LnhtbERPS4vCMBC+L+x/CLPgbU1XRJdqFBFfeFC2Cu5xaMa2&#10;2ExKErX+eyMs7G0+vueMp62pxY2crywr+OomIIhzqysuFBwPy89vED4ga6wtk4IHeZhO3t/GmGp7&#10;5x+6ZaEQMYR9igrKEJpUSp+XZNB3bUMcubN1BkOErpDa4T2Gm1r2kmQgDVYcG0psaF5SfsmuRsFu&#10;te7rerZ38vw73NjstNgu+helOh/tbAQiUBv+xX/ujY7zewN4PRMv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ynq8MAAADcAAAADwAAAAAAAAAAAAAAAACYAgAAZHJzL2Rv&#10;d25yZXYueG1sUEsFBgAAAAAEAAQA9QAAAIg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7134F307" w14:textId="77777777" w:rsidR="005810E6" w:rsidRPr="00D41EEB" w:rsidRDefault="005810E6" w:rsidP="001A33FB">
                        <w:pPr>
                          <w:spacing w:before="60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Evropský zemědělský záruční fond</w:t>
                        </w:r>
                      </w:p>
                    </w:txbxContent>
                  </v:textbox>
                </v:rect>
                <v:line id="Line 140" o:spid="_x0000_s1071" style="position:absolute;visibility:visible;mso-wrap-style:square" from="54402,18307" to="54402,2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PLsYAAADcAAAADwAAAGRycy9kb3ducmV2LnhtbESPzW7CMBCE75V4B2uReisOHFoUMBFB&#10;AvVHHAIcOK7iJQnE69R2Sfr2daVKve1qZuebXWaDacWdnG8sK5hOEhDEpdUNVwpOx+3THIQPyBpb&#10;y6Tgmzxkq9HDElNtey7ofgiViCHsU1RQh9ClUvqyJoN+YjviqF2sMxji6iqpHfYx3LRyliTP0mDD&#10;kVBjR5uaytvhy0Tubt/vN29n/6n9R359nxdulxdKPY6H9QJEoCH8m/+uX3WsP3uB32fiB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Lzy7GAAAA3AAAAA8AAAAAAAAA&#10;AAAAAAAAoQIAAGRycy9kb3ducmV2LnhtbFBLBQYAAAAABAAEAPkAAACUAwAAAAA=&#10;" strokecolor="windowText">
                  <v:stroke endarrow="block"/>
                </v:line>
                <v:rect id="Rectangle 141" o:spid="_x0000_s1072" style="position:absolute;left:52423;top:20275;width:4381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PacQA&#10;AADcAAAADwAAAGRycy9kb3ducmV2LnhtbESPQWvDMAyF74P+B6NCb6vTHsrI6pZSKN2hlCUbG7uJ&#10;WItDYznEXpL+++kw2E3iPb33abuffKsG6mMT2MBqmYEiroJtuDbw/nZ6fAIVE7LFNjAZuFOE/W72&#10;sMXchpELGspUKwnhmKMBl1KXax0rRx7jMnTEon2H3mOSta+17XGUcN/qdZZttMeGpcFhR0dH1a38&#10;8QYu1r5eV+7zfPr4Sp3my1SQdcYs5tPhGVSiKf2b/65frOCvhV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j2nEAAAA3AAAAA8AAAAAAAAAAAAAAAAAmAIAAGRycy9k&#10;b3ducmV2LnhtbFBLBQYAAAAABAAEAPUAAACJAwAAAAA=&#10;" fillcolor="#f2dcdb" strokecolor="windowText" strokeweight=".25pt">
                  <v:textbox inset="1.98733mm,.99369mm,1.98733mm,.99369mm">
                    <w:txbxContent>
                      <w:p w14:paraId="175C53E6" w14:textId="77777777" w:rsidR="005810E6" w:rsidRPr="00C55F8D" w:rsidRDefault="005810E6" w:rsidP="001A33FB">
                        <w:pPr>
                          <w:spacing w:before="6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C55F8D">
                          <w:rPr>
                            <w:rFonts w:cs="Calibri"/>
                            <w:sz w:val="16"/>
                            <w:szCs w:val="16"/>
                          </w:rPr>
                          <w:t xml:space="preserve">Přímé platby </w:t>
                        </w:r>
                      </w:p>
                    </w:txbxContent>
                  </v:textbox>
                </v:rect>
                <v:shape id="AutoShape 142" o:spid="_x0000_s1073" type="#_x0000_t32" style="position:absolute;left:40716;top:10661;width:0;height:1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b3VcMAAADcAAAADwAAAGRycy9kb3ducmV2LnhtbERPPWvDMBDdC/kP4gJdSiM7Q0ndyCYE&#10;CiVDoYkHj4d0tU2skyOpjvPvo0Kh2z3e522r2Q5iIh96xwryVQaCWDvTc6ugPr0/b0CEiGxwcEwK&#10;bhSgKhcPWyyMu/IXTcfYihTCoUAFXYxjIWXQHVkMKzcSJ+7beYsxQd9K4/Gawu0g11n2Ii32nBo6&#10;HGnfkT4ff6yC/lB/1tPTJXq9OeSNz8OpGbRSj8t59wYi0hz/xX/uD5Pmr1/h95l0gS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G91XDAAAA3AAAAA8AAAAAAAAAAAAA&#10;AAAAoQIAAGRycy9kb3ducmV2LnhtbFBLBQYAAAAABAAEAPkAAACRAwAAAAA=&#10;"/>
                <v:shape id="AutoShape 143" o:spid="_x0000_s1074" type="#_x0000_t32" style="position:absolute;left:33502;top:2154;width:52;height:16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SF6sYAAADcAAAADwAAAGRycy9kb3ducmV2LnhtbESPQWvCQBCF7wX/wzJCL6VubKmU1FWC&#10;UiiCqLHgdciOSTQ7G7Jbjf/eOQi9zfDevPfNdN67Rl2oC7VnA+NRAoq48Lbm0sDv/vv1E1SIyBYb&#10;z2TgRgHms8HTFFPrr7yjSx5LJSEcUjRQxdimWoeiIodh5Fti0Y6+cxhl7UptO7xKuGv0W5JMtMOa&#10;paHClhYVFef8zxmI65fVx2m32WQ58zLbrg7nbHEw5nnYZ1+gIvXx3/y4/rGC/y74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UherGAAAA3AAAAA8AAAAAAAAA&#10;AAAAAAAAoQIAAGRycy9kb3ducmV2LnhtbFBLBQYAAAAABAAEAPkAAACUAwAAAAA=&#10;"/>
                <v:shape id="Text Box 144" o:spid="_x0000_s1075" type="#_x0000_t202" style="position:absolute;left:22313;top:13851;width:7404;height: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EwcMA&#10;AADcAAAADwAAAGRycy9kb3ducmV2LnhtbERPTWsCMRC9C/6HMEJvmlWhtVujtGKhhYK42kNvYzJu&#10;FjeTZZPq+u+bguBtHu9z5svO1eJMbag8KxiPMhDE2puKSwX73ftwBiJEZIO1Z1JwpQDLRb83x9z4&#10;C2/pXMRSpBAOOSqwMTa5lEFbchhGviFO3NG3DmOCbSlNi5cU7mo5ybJH6bDi1GCxoZUlfSp+nYKN&#10;1c8H/XM9dZ/fbmO+9m/6ab1V6mHQvb6AiNTFu/jm/jBp/nQM/8+k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EwcMAAADcAAAADwAAAAAAAAAAAAAAAACYAgAAZHJzL2Rv&#10;d25yZXYueG1sUEsFBgAAAAAEAAQA9QAAAIg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4C0B57E0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 xml:space="preserve">Evropský fond pro regionální rozvoj </w:t>
                        </w:r>
                      </w:p>
                    </w:txbxContent>
                  </v:textbox>
                </v:shape>
                <v:shape id="AutoShape 147" o:spid="_x0000_s1076" type="#_x0000_t32" style="position:absolute;left:11618;top:14315;width:1505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<v:shape id="AutoShape 148" o:spid="_x0000_s1077" type="#_x0000_t32" style="position:absolute;left:18417;top:9640;width:0;height:29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    <v:stroke endarrow="block"/>
                </v:shape>
                <v:rect id="Rectangle 152" o:spid="_x0000_s1078" style="position:absolute;left:38363;top:7274;width:19261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KmsMA&#10;AADcAAAADwAAAGRycy9kb3ducmV2LnhtbERPTWvCQBC9F/wPywje6sYaqkRXEbFWemgxCnocsmMS&#10;zM6G3VXTf98tFHqbx/uc+bIzjbiT87VlBaNhAoK4sLrmUsHx8PY8BeEDssbGMin4Jg/LRe9pjpm2&#10;D97TPQ+liCHsM1RQhdBmUvqiIoN+aFviyF2sMxgidKXUDh8x3DTyJUlepcGaY0OFLa0rKq75zSj4&#10;3L6null9OXk5T3Y2P20+NulVqUG/W81ABOrCv/jPvdNx/jiF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sKmsMAAADcAAAADwAAAAAAAAAAAAAAAACYAgAAZHJzL2Rv&#10;d25yZXYueG1sUEsFBgAAAAAEAAQA9QAAAIg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6A37047D" w14:textId="77777777" w:rsidR="005810E6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Společná zemědělská politika</w:t>
                        </w:r>
                      </w:p>
                      <w:p w14:paraId="5BB420A0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a společná rybářská politika</w:t>
                        </w:r>
                      </w:p>
                    </w:txbxContent>
                  </v:textbox>
                </v:rect>
                <v:rect id="Rectangle 153" o:spid="_x0000_s1079" style="position:absolute;top:5821;width:10444;height:4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vAcQA&#10;AADcAAAADwAAAGRycy9kb3ducmV2LnhtbERPTWvCQBC9C/0PyxR6M5taq5K6ioi24sHSKLTHITsm&#10;wexs2F01/ffdguBtHu9zpvPONOJCzteWFTwnKQjiwuqaSwWH/bo/AeEDssbGMin4JQ/z2UNvipm2&#10;V/6iSx5KEUPYZ6igCqHNpPRFRQZ9YlviyB2tMxgidKXUDq8x3DRykKYjabDm2FBhS8uKilN+Ngp2&#10;7x9D3Sw+nTz+jDc2/15tV8OTUk+P3eINRKAu3MU390bH+S+v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rwHEAAAA3AAAAA8AAAAAAAAAAAAAAAAAmAIAAGRycy9k&#10;b3ducmV2LnhtbFBLBQYAAAAABAAEAPUAAACJAwAAAAA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28548593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Finanční nástroje EHP/Norsk</w:t>
                        </w:r>
                        <w:r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/</w:t>
                        </w:r>
                      </w:p>
                      <w:p w14:paraId="4D951E03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/</w:t>
                        </w: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Švýcarsk</w:t>
                        </w:r>
                        <w:r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shape id="AutoShape 154" o:spid="_x0000_s1080" type="#_x0000_t32" style="position:absolute;left:4855;top:2600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Zxs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22cbDAAAA3AAAAA8AAAAAAAAAAAAA&#10;AAAAoQIAAGRycy9kb3ducmV2LnhtbFBLBQYAAAAABAAEAPkAAACRAwAAAAA=&#10;">
                  <v:stroke endarrow="block"/>
                </v:shape>
                <v:rect id="Rectangle 155" o:spid="_x0000_s1081" style="position:absolute;left:11434;top:5820;width:4869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U7cMA&#10;AADcAAAADwAAAGRycy9kb3ducmV2LnhtbERPTWsCMRC9C/6HMII3zWqlymoUEduKB8VtoT0Om3F3&#10;cTNZkqjbf98IBW/zeJ+zWLWmFjdyvrKsYDRMQBDnVldcKPj6fBvMQPiArLG2TAp+ycNq2e0sMNX2&#10;zie6ZaEQMYR9igrKEJpUSp+XZNAPbUMcubN1BkOErpDa4T2Gm1qOk+RVGqw4NpTY0Kak/JJdjYLD&#10;+8dE1+ujk+ef6c5m39v9dnJRqt9r13MQgdrwFP+7dzrOf5nC4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mU7cMAAADcAAAADwAAAAAAAAAAAAAAAACYAgAAZHJzL2Rv&#10;d25yZXYueG1sUEsFBgAAAAAEAAQA9QAAAIg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6CAD291C" w14:textId="77777777" w:rsidR="005810E6" w:rsidRPr="00E81267" w:rsidRDefault="005810E6" w:rsidP="001A33FB">
                        <w:pPr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Jiné zdroje</w:t>
                        </w:r>
                      </w:p>
                    </w:txbxContent>
                  </v:textbox>
                </v:rect>
                <v:shape id="AutoShape 156" o:spid="_x0000_s1082" type="#_x0000_t32" style="position:absolute;left:13586;top:2326;width:65;height:3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oL8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l6C/GAAAA3AAAAA8AAAAAAAAA&#10;AAAAAAAAoQIAAGRycy9kb3ducmV2LnhtbFBLBQYAAAAABAAEAPkAAACUAwAAAAA=&#10;">
                  <v:stroke endarrow="block"/>
                </v:shape>
                <v:rect id="Rectangle 157" o:spid="_x0000_s1083" style="position:absolute;left:2220;top:12541;width:8217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8L8IA&#10;AADcAAAADwAAAGRycy9kb3ducmV2LnhtbERPTWsCMRC9C/6HMAVvmrVCqVujFEHag4i7Sktvw2bc&#10;LG4myybV+O8boeBtHu9zFqtoW3Gh3jeOFUwnGQjiyumGawXHw2b8CsIHZI2tY1JwIw+r5XCwwFy7&#10;Kxd0KUMtUgj7HBWYELpcSl8ZsugnriNO3Mn1FkOCfS11j9cUblv5nGUv0mLDqcFgR2tD1bn8tQq2&#10;Wu93U/P9sfn6CZ3kbSxIG6VGT/H9DUSgGB7if/enTvNnc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rwvwgAAANwAAAAPAAAAAAAAAAAAAAAAAJgCAABkcnMvZG93&#10;bnJldi54bWxQSwUGAAAAAAQABAD1AAAAhwMAAAAA&#10;" fillcolor="#f2dcdb" strokecolor="windowText" strokeweight=".25pt">
                  <v:textbox inset="1.98733mm,.99369mm,1.98733mm,.99369mm">
                    <w:txbxContent>
                      <w:p w14:paraId="4A0F1713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Program švýcarsko-české spolupráce</w:t>
                        </w:r>
                      </w:p>
                    </w:txbxContent>
                  </v:textbox>
                </v:rect>
                <v:rect id="Rectangle 158" o:spid="_x0000_s1084" style="position:absolute;left:2220;top:18309;width:8217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mz8QA&#10;AADcAAAADwAAAGRycy9kb3ducmV2LnhtbESPT2vCQBDF74LfYRnBm9koUkp0FRHEHqT4jxZvQ3aa&#10;Dc3OhuxW02/vHAq9zfDevPeb5br3jbpTF+vABqZZDoq4DLbmysD1spu8gooJ2WITmAz8UoT1ajhY&#10;YmHDg090P6dKSQjHAg24lNpC61g68hiz0BKL9hU6j0nWrtK2w4eE+0bP8vxFe6xZGhy2tHVUfp9/&#10;vIGDtcf3qfvc7z5uqdV86E9knTHjUb9ZgErUp3/z3/WbFfy54MszMoF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6Zs/EAAAA3AAAAA8AAAAAAAAAAAAAAAAAmAIAAGRycy9k&#10;b3ducmV2LnhtbFBLBQYAAAAABAAEAPUAAACJAwAAAAA=&#10;" fillcolor="#f2dcdb" strokecolor="windowText" strokeweight=".25pt">
                  <v:textbox inset="1.98733mm,.99369mm,1.98733mm,.99369mm">
                    <w:txbxContent>
                      <w:p w14:paraId="3FF51024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C72F85">
                          <w:rPr>
                            <w:rFonts w:cs="Calibri"/>
                            <w:sz w:val="16"/>
                            <w:szCs w:val="16"/>
                          </w:rPr>
                          <w:t xml:space="preserve">Programy norských fondů a fondů EHP </w:t>
                        </w:r>
                      </w:p>
                    </w:txbxContent>
                  </v:textbox>
                </v:rect>
                <v:shape id="AutoShape 159" o:spid="_x0000_s1085" type="#_x0000_t32" style="position:absolute;left:808;top:10661;width:46;height:15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  <v:shape id="AutoShape 160" o:spid="_x0000_s1086" type="#_x0000_t32" style="position:absolute;left:808;top:13805;width:1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suMMAAADc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LrLjDAAAA3AAAAA8AAAAAAAAAAAAA&#10;AAAAoQIAAGRycy9kb3ducmV2LnhtbFBLBQYAAAAABAAEAPkAAACRAwAAAAA=&#10;">
                  <v:stroke endarrow="block"/>
                </v:shape>
                <v:shape id="AutoShape 161" o:spid="_x0000_s1087" type="#_x0000_t32" style="position:absolute;left:854;top:20275;width:141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CYM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W8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kJgwQAAANwAAAAPAAAAAAAAAAAAAAAA&#10;AKECAABkcnMvZG93bnJldi54bWxQSwUGAAAAAAQABAD5AAAAjwMAAAAA&#10;">
                  <v:stroke endarrow="block"/>
                </v:shape>
                <v:rect id="Rectangle 162" o:spid="_x0000_s1088" style="position:absolute;left:2227;top:24040;width:8217;height:4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gzMIA&#10;AADcAAAADwAAAGRycy9kb3ducmV2LnhtbERPTWvCQBC9C/0PyxR6MxtFiqTZhFIQPUhpoii9Ddlp&#10;NjQ7G7Krpv++Wyh4m8f7nLycbC+uNPrOsYJFkoIgbpzuuFVwPGzmaxA+IGvsHZOCH/JQFg+zHDPt&#10;blzRtQ6tiCHsM1RgQhgyKX1jyKJP3EAcuS83WgwRjq3UI95iuO3lMk2fpcWOY4PBgd4MNd/1xSrY&#10;a/3xvjDn7eb0GQbJ+6kibZR6epxeX0AEmsJd/O/e6Th/tYK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WDMwgAAANwAAAAPAAAAAAAAAAAAAAAAAJgCAABkcnMvZG93&#10;bnJldi54bWxQSwUGAAAAAAQABAD1AAAAhwMAAAAA&#10;" fillcolor="#f2dcdb" strokecolor="windowText" strokeweight=".25pt">
                  <v:textbox inset="1.98733mm,.99369mm,1.98733mm,.99369mm">
                    <w:txbxContent>
                      <w:p w14:paraId="3778FF8F" w14:textId="77777777" w:rsidR="005810E6" w:rsidRPr="00D41EEB" w:rsidRDefault="005810E6" w:rsidP="001A33FB">
                        <w:pPr>
                          <w:jc w:val="center"/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</w:pPr>
                        <w:r w:rsidRPr="00D41EEB">
                          <w:rPr>
                            <w:rFonts w:cs="Calibri"/>
                            <w:i/>
                            <w:sz w:val="16"/>
                            <w:szCs w:val="16"/>
                          </w:rPr>
                          <w:t>Česko-norský výzkumný program</w:t>
                        </w:r>
                      </w:p>
                    </w:txbxContent>
                  </v:textbox>
                </v:rect>
                <v:shape id="AutoShape 163" o:spid="_x0000_s1089" type="#_x0000_t32" style="position:absolute;left:815;top:25799;width:141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N/j8EAAADcAAAADwAAAGRycy9kb3ducmV2LnhtbERP32vCMBB+H+x/CDfwbU0dOk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3+PwQAAANwAAAAPAAAAAAAAAAAAAAAA&#10;AKECAABkcnMvZG93bnJldi54bWxQSwUGAAAAAAQABAD5AAAAjwMAAAAA&#10;">
                  <v:stroke endarrow="block"/>
                </v:shape>
                <v:shape id="Text Box 25" o:spid="_x0000_s1090" type="#_x0000_t202" style="position:absolute;left:24676;top:21156;width:8762;height:3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wvsIA&#10;AADcAAAADwAAAGRycy9kb3ducmV2LnhtbERP24rCMBB9X/Afwgj7smiqiEo1iorLuj4IXj5gaMa2&#10;2kxKkrX1783Cwr7N4VxnvmxNJR7kfGlZwaCfgCDOrC45V3A5f/amIHxA1lhZJgVP8rBcdN7mmGrb&#10;8JEep5CLGMI+RQVFCHUqpc8KMuj7tiaO3NU6gyFCl0vtsInhppLDJBlLgyXHhgJr2hSU3U8/RsH3&#10;dFAxNeuv7GNi3d7etsmhvCv13m1XMxCB2vAv/nPvdJw/GsP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/C+wgAAANwAAAAPAAAAAAAAAAAAAAAAAJgCAABkcnMvZG93&#10;bnJldi54bWxQSwUGAAAAAAQABAD1AAAAhwMAAAAA&#10;" fillcolor="#959595" strokecolor="windowText" strokeweight=".25pt">
                  <v:fill rotate="t" colors="0 #959595;.5 #d6d6d6;1 white" focus="100%" type="gradientRadial"/>
                  <v:textbox inset="1.98733mm,.99369mm,1.98733mm,.99369mm">
                    <w:txbxContent>
                      <w:p w14:paraId="37F0D98E" w14:textId="77777777" w:rsidR="005810E6" w:rsidRDefault="005810E6" w:rsidP="001A33FB">
                        <w:pPr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 xml:space="preserve">Cíl 1: </w:t>
                        </w:r>
                      </w:p>
                      <w:p w14:paraId="2DD6F6CD" w14:textId="77777777" w:rsidR="005810E6" w:rsidRPr="00E81267" w:rsidRDefault="005810E6" w:rsidP="009D6B22">
                        <w:pPr>
                          <w:ind w:left="-57" w:right="-125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81267">
                          <w:rPr>
                            <w:rFonts w:cs="Calibri"/>
                            <w:sz w:val="16"/>
                            <w:szCs w:val="16"/>
                          </w:rPr>
                          <w:t>KONVERGENCE</w:t>
                        </w:r>
                      </w:p>
                    </w:txbxContent>
                  </v:textbox>
                </v:shape>
                <v:rect id="Rectangle 141" o:spid="_x0000_s1091" style="position:absolute;left:50598;top:24475;width:7026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+u8IA&#10;AADcAAAADwAAAGRycy9kb3ducmV2LnhtbERPTWsCMRC9C/6HMAVvmrVIK1ujFEHag4i7Sktvw2bc&#10;LG4myybV+O8boeBtHu9zFqtoW3Gh3jeOFUwnGQjiyumGawXHw2Y8B+EDssbWMSm4kYfVcjhYYK7d&#10;lQu6lKEWKYR9jgpMCF0upa8MWfQT1xEn7uR6iyHBvpa6x2sKt618zrIXabHh1GCwo7Wh6lz+WgVb&#10;rfe7qfn+2Hz9hE7yNhakjVKjp/j+BiJQDA/xv/tTp/mzV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/67wgAAANwAAAAPAAAAAAAAAAAAAAAAAJgCAABkcnMvZG93&#10;bnJldi54bWxQSwUGAAAAAAQABAD1AAAAhwMAAAAA&#10;" fillcolor="#f2dcdb" strokecolor="windowText" strokeweight=".25pt">
                  <v:textbox inset="1.98733mm,.99369mm,1.98733mm,.99369mm">
                    <w:txbxContent>
                      <w:p w14:paraId="2AC6E4A0" w14:textId="77777777" w:rsidR="005810E6" w:rsidRPr="00C55F8D" w:rsidRDefault="005810E6" w:rsidP="001A33FB">
                        <w:pPr>
                          <w:pStyle w:val="Normlnweb"/>
                          <w:spacing w:before="60"/>
                          <w:jc w:val="center"/>
                        </w:pPr>
                        <w:r w:rsidRPr="00C55F8D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Společná organizace trhu</w:t>
                        </w:r>
                      </w:p>
                    </w:txbxContent>
                  </v:textbox>
                </v:rect>
                <v:line id="Line 100" o:spid="_x0000_s1092" style="position:absolute;visibility:visible;mso-wrap-style:square" from="51413,18806" to="51413,2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+/MUAAADcAAAADwAAAGRycy9kb3ducmV2LnhtbESPTW/CMAyG75P2HyJP2m2km6YJFQIC&#10;pKFtiEMZB45WY9qyxumSjJZ/jw9Iu9ny+/F4Oh9cq84UYuPZwPMoA0VcettwZWD//f40BhUTssXW&#10;Mxm4UIT57P5uirn1PRd03qVKSQjHHA3UKXW51rGsyWEc+Y5YbkcfHCZZQ6VtwF7CXatfsuxNO2xY&#10;GmrsaFVT+bP7c9K73vbb1ech/tq4WZ6+xkVYLwtjHh+GxQRUoiH9i2/uDyv4r0Irz8gEe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u+/MUAAADcAAAADwAAAAAAAAAA&#10;AAAAAAChAgAAZHJzL2Rvd25yZXYueG1sUEsFBgAAAAAEAAQA+QAAAJMDAAAAAA==&#10;" strokecolor="windowText">
                  <v:stroke endarrow="block"/>
                </v:line>
                <v:shape id="Text Box 7" o:spid="_x0000_s1093" type="#_x0000_t202" style="position:absolute;left:1800;top:1799;width:13986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7usMA&#10;AADcAAAADwAAAGRycy9kb3ducmV2LnhtbERPTWsCMRC9C/6HMEJvmlVKq1ujqLTQQkFc7aG3aTJu&#10;FjeTZZPq+u+bguBtHu9z5svO1eJMbag8KxiPMhDE2puKSwWH/dtwCiJEZIO1Z1JwpQDLRb83x9z4&#10;C+/oXMRSpBAOOSqwMTa5lEFbchhGviFO3NG3DmOCbSlNi5cU7mo5ybIn6bDi1GCxoY0lfSp+nYKt&#10;1bMf/X09dR9fbms+D2v9/LpT6mHQrV5AROriXXxzv5s0/3EG/8+k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q7usMAAADcAAAADwAAAAAAAAAAAAAAAACYAgAAZHJzL2Rv&#10;d25yZXYueG1sUEsFBgAAAAAEAAQA9QAAAIgDAAAAAA==&#10;" fillcolor="#959595" strokecolor="windowText" strokeweight=".25pt">
                  <v:fill rotate="t" focusposition=",1" focussize="" colors="0 #959595;.5 #d6d6d6;1 white" focus="100%" type="gradientRadial"/>
                  <v:textbox inset="1.98733mm,.99369mm,1.98733mm,.99369mm">
                    <w:txbxContent>
                      <w:p w14:paraId="2B3D92E9" w14:textId="77777777" w:rsidR="005810E6" w:rsidRDefault="005810E6" w:rsidP="001A33FB">
                        <w:pPr>
                          <w:pStyle w:val="Normlnweb"/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Jiné zdroje ze zahraničí</w:t>
                        </w:r>
                      </w:p>
                    </w:txbxContent>
                  </v:textbox>
                </v:shape>
                <v:line id="Line 28" o:spid="_x0000_s1094" style="position:absolute;visibility:visible;mso-wrap-style:square" from="28471,24426" to="28471,2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QkJ8UAAADcAAAADwAAAGRycy9kb3ducmV2LnhtbESPTW/CMAyG75P2HyJP2m2km7QJFQIC&#10;pKFtiEMZB45WY9qyxumSjJZ/jw9Iu9ny+/F4Oh9cq84UYuPZwPMoA0VcettwZWD//f40BhUTssXW&#10;Mxm4UIT57P5uirn1PRd03qVKSQjHHA3UKXW51rGsyWEc+Y5YbkcfHCZZQ6VtwF7CXatfsuxNO2xY&#10;GmrsaFVT+bP7c9K73vbb1ech/tq4WZ6+xkVYLwtjHh+GxQRUoiH9i2/uDyv4r4Ivz8gEe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QkJ8UAAADcAAAADwAAAAAAAAAA&#10;AAAAAAChAgAAZHJzL2Rvd25yZXYueG1sUEsFBgAAAAAEAAQA+QAAAJMDAAAAAA==&#10;" strokecolor="windowText">
                  <v:stroke endarrow="block"/>
                </v:line>
                <v:line id="Line 33" o:spid="_x0000_s1095" style="position:absolute;visibility:visible;mso-wrap-style:square" from="32434,24428" to="32447,2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BvMYAAADcAAAADwAAAGRycy9kb3ducmV2LnhtbESPT2vCQBDF70K/wzIFb7qxoEjqKlWo&#10;+AcPsT30OGSnSdrsbNxdTfz2riB4m+G9eb83s0VnanEh5yvLCkbDBARxbnXFhYLvr8/BFIQPyBpr&#10;y6TgSh4W85feDFNtW87ocgyFiCHsU1RQhtCkUvq8JIN+aBviqP1aZzDE1RVSO2xjuKnlW5JMpMGK&#10;I6HEhlYl5f/Hs4nc9aE9rLY//qT9fvm3m2ZuvcyU6r92H+8gAnXhaX5cb3SsPx7B/Zk4gZ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ogbzGAAAA3AAAAA8AAAAAAAAA&#10;AAAAAAAAoQIAAGRycy9kb3ducmV2LnhtbFBLBQYAAAAABAAEAPkAAACUAwAAAAA=&#10;" strokecolor="windowText">
                  <v:stroke endarrow="block"/>
                </v:line>
                <w10:anchorlock/>
              </v:group>
            </w:pict>
          </mc:Fallback>
        </mc:AlternateContent>
      </w:r>
    </w:p>
    <w:p w14:paraId="7811F051" w14:textId="77777777" w:rsidR="00445F18" w:rsidRDefault="00445F18" w:rsidP="0011443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2FE900D" w14:textId="471F5A6B" w:rsidR="00880AA5" w:rsidRPr="00920634" w:rsidRDefault="00880AA5" w:rsidP="0011443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7082D">
        <w:rPr>
          <w:rFonts w:asciiTheme="minorHAnsi" w:hAnsiTheme="minorHAnsi" w:cstheme="minorHAnsi"/>
          <w:b/>
          <w:i/>
          <w:sz w:val="20"/>
          <w:szCs w:val="20"/>
        </w:rPr>
        <w:t>Zdroj:</w:t>
      </w:r>
      <w:r w:rsidRPr="00920634">
        <w:rPr>
          <w:rFonts w:asciiTheme="minorHAnsi" w:hAnsiTheme="minorHAnsi" w:cstheme="minorHAnsi"/>
          <w:i/>
          <w:sz w:val="20"/>
          <w:szCs w:val="20"/>
        </w:rPr>
        <w:t xml:space="preserve"> vlastní</w:t>
      </w:r>
      <w:r w:rsidR="00D7082D">
        <w:rPr>
          <w:rFonts w:asciiTheme="minorHAnsi" w:hAnsiTheme="minorHAnsi" w:cstheme="minorHAnsi"/>
          <w:i/>
          <w:sz w:val="20"/>
          <w:szCs w:val="20"/>
        </w:rPr>
        <w:t>.</w:t>
      </w:r>
    </w:p>
    <w:p w14:paraId="6D47CA3D" w14:textId="77777777" w:rsidR="00880AA5" w:rsidRPr="00E90273" w:rsidRDefault="00880AA5" w:rsidP="00114439">
      <w:pPr>
        <w:jc w:val="both"/>
        <w:rPr>
          <w:rFonts w:asciiTheme="minorHAnsi" w:hAnsiTheme="minorHAnsi" w:cstheme="minorHAnsi"/>
        </w:rPr>
      </w:pPr>
    </w:p>
    <w:p w14:paraId="1F7A1F64" w14:textId="0D1AC778" w:rsidR="0074698D" w:rsidRPr="00920634" w:rsidRDefault="0004794E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 případě MŠMT jsou hlavními druhy zahraničních prostředků ty, které souvisejí se strukturálními</w:t>
      </w:r>
      <w:r w:rsidR="00AB3963">
        <w:rPr>
          <w:rFonts w:asciiTheme="minorHAnsi" w:hAnsiTheme="minorHAnsi" w:cstheme="minorHAnsi"/>
        </w:rPr>
        <w:t xml:space="preserve"> </w:t>
      </w:r>
      <w:r w:rsidR="00F207F3" w:rsidRPr="00920634">
        <w:rPr>
          <w:rFonts w:asciiTheme="minorHAnsi" w:hAnsiTheme="minorHAnsi" w:cstheme="minorHAnsi"/>
        </w:rPr>
        <w:t xml:space="preserve">fondy </w:t>
      </w:r>
      <w:r w:rsidR="000F5998" w:rsidRPr="00920634">
        <w:rPr>
          <w:rFonts w:asciiTheme="minorHAnsi" w:hAnsiTheme="minorHAnsi" w:cstheme="minorHAnsi"/>
        </w:rPr>
        <w:t>EU</w:t>
      </w:r>
      <w:r w:rsidR="00AB3963">
        <w:rPr>
          <w:rFonts w:asciiTheme="minorHAnsi" w:hAnsiTheme="minorHAnsi" w:cstheme="minorHAnsi"/>
        </w:rPr>
        <w:t>, tj.</w:t>
      </w:r>
      <w:r w:rsidRPr="00920634">
        <w:rPr>
          <w:rFonts w:asciiTheme="minorHAnsi" w:hAnsiTheme="minorHAnsi" w:cstheme="minorHAnsi"/>
        </w:rPr>
        <w:t xml:space="preserve"> </w:t>
      </w:r>
      <w:r w:rsidR="00F207F3" w:rsidRPr="00920634">
        <w:rPr>
          <w:rFonts w:asciiTheme="minorHAnsi" w:hAnsiTheme="minorHAnsi" w:cstheme="minorHAnsi"/>
        </w:rPr>
        <w:t>ES</w:t>
      </w:r>
      <w:r w:rsidR="008F0E76" w:rsidRPr="00920634">
        <w:rPr>
          <w:rFonts w:asciiTheme="minorHAnsi" w:hAnsiTheme="minorHAnsi" w:cstheme="minorHAnsi"/>
        </w:rPr>
        <w:t xml:space="preserve">F a </w:t>
      </w:r>
      <w:r w:rsidRPr="00920634">
        <w:rPr>
          <w:rFonts w:asciiTheme="minorHAnsi" w:hAnsiTheme="minorHAnsi" w:cstheme="minorHAnsi"/>
        </w:rPr>
        <w:t>E</w:t>
      </w:r>
      <w:r w:rsidR="00D04BBF" w:rsidRPr="00920634">
        <w:rPr>
          <w:rFonts w:asciiTheme="minorHAnsi" w:hAnsiTheme="minorHAnsi" w:cstheme="minorHAnsi"/>
        </w:rPr>
        <w:t>FR</w:t>
      </w:r>
      <w:r w:rsidR="008F0E76" w:rsidRPr="00920634">
        <w:rPr>
          <w:rFonts w:asciiTheme="minorHAnsi" w:hAnsiTheme="minorHAnsi" w:cstheme="minorHAnsi"/>
        </w:rPr>
        <w:t>R</w:t>
      </w:r>
      <w:r w:rsidR="00651971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  <w:r w:rsidR="00651971" w:rsidRPr="00920634">
        <w:rPr>
          <w:rFonts w:asciiTheme="minorHAnsi" w:hAnsiTheme="minorHAnsi" w:cstheme="minorHAnsi"/>
        </w:rPr>
        <w:t>T</w:t>
      </w:r>
      <w:r w:rsidRPr="00920634">
        <w:rPr>
          <w:rFonts w:asciiTheme="minorHAnsi" w:hAnsiTheme="minorHAnsi" w:cstheme="minorHAnsi"/>
        </w:rPr>
        <w:t>yto fondy soustřeďují spolu s </w:t>
      </w:r>
      <w:r w:rsidRPr="008D4CD3">
        <w:rPr>
          <w:rFonts w:asciiTheme="minorHAnsi" w:hAnsiTheme="minorHAnsi" w:cstheme="minorHAnsi"/>
          <w:i/>
        </w:rPr>
        <w:t>Fondem soudržnosti</w:t>
      </w:r>
      <w:r w:rsidRPr="00920634">
        <w:rPr>
          <w:rFonts w:asciiTheme="minorHAnsi" w:hAnsiTheme="minorHAnsi" w:cstheme="minorHAnsi"/>
        </w:rPr>
        <w:t xml:space="preserve"> prostředky pro financování</w:t>
      </w:r>
      <w:r w:rsidR="00AB3963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politiky soudržnosti. V případě MZe jsou hlavními druhy zahraničních prostředků ty, které souvisejí s</w:t>
      </w:r>
      <w:r w:rsidR="008F0E76" w:rsidRPr="00920634">
        <w:rPr>
          <w:rFonts w:asciiTheme="minorHAnsi" w:hAnsiTheme="minorHAnsi" w:cstheme="minorHAnsi"/>
        </w:rPr>
        <w:t> EZZF,</w:t>
      </w:r>
      <w:r w:rsidR="00651971" w:rsidRPr="00920634">
        <w:rPr>
          <w:rFonts w:asciiTheme="minorHAnsi" w:hAnsiTheme="minorHAnsi" w:cstheme="minorHAnsi"/>
        </w:rPr>
        <w:t xml:space="preserve"> </w:t>
      </w:r>
      <w:r w:rsidR="008F0E76" w:rsidRPr="00920634">
        <w:rPr>
          <w:rFonts w:asciiTheme="minorHAnsi" w:hAnsiTheme="minorHAnsi" w:cstheme="minorHAnsi"/>
        </w:rPr>
        <w:t>EZFRV</w:t>
      </w:r>
      <w:r w:rsidR="00651971" w:rsidRPr="00920634">
        <w:rPr>
          <w:rFonts w:asciiTheme="minorHAnsi" w:hAnsiTheme="minorHAnsi" w:cstheme="minorHAnsi"/>
        </w:rPr>
        <w:t xml:space="preserve"> a </w:t>
      </w:r>
      <w:r w:rsidR="008F0E76" w:rsidRPr="00920634">
        <w:rPr>
          <w:rFonts w:asciiTheme="minorHAnsi" w:hAnsiTheme="minorHAnsi" w:cstheme="minorHAnsi"/>
        </w:rPr>
        <w:t xml:space="preserve">ERF. </w:t>
      </w:r>
      <w:r w:rsidR="00F207F3" w:rsidRPr="00920634">
        <w:rPr>
          <w:rFonts w:asciiTheme="minorHAnsi" w:hAnsiTheme="minorHAnsi" w:cstheme="minorHAnsi"/>
        </w:rPr>
        <w:t>T</w:t>
      </w:r>
      <w:r w:rsidRPr="00920634">
        <w:rPr>
          <w:rFonts w:asciiTheme="minorHAnsi" w:hAnsiTheme="minorHAnsi" w:cstheme="minorHAnsi"/>
        </w:rPr>
        <w:t xml:space="preserve">yto fondy soustřeďují prostředky pro financování </w:t>
      </w:r>
      <w:r w:rsidR="00AB3963">
        <w:rPr>
          <w:rFonts w:asciiTheme="minorHAnsi" w:hAnsiTheme="minorHAnsi" w:cstheme="minorHAnsi"/>
        </w:rPr>
        <w:t>s</w:t>
      </w:r>
      <w:r w:rsidRPr="00920634">
        <w:rPr>
          <w:rFonts w:asciiTheme="minorHAnsi" w:hAnsiTheme="minorHAnsi" w:cstheme="minorHAnsi"/>
        </w:rPr>
        <w:t>polečné zemědělské</w:t>
      </w:r>
      <w:r w:rsidR="008028DA" w:rsidRPr="00920634">
        <w:rPr>
          <w:rFonts w:asciiTheme="minorHAnsi" w:hAnsiTheme="minorHAnsi" w:cstheme="minorHAnsi"/>
        </w:rPr>
        <w:t xml:space="preserve"> politiky (dále také „SZP“)</w:t>
      </w:r>
      <w:r w:rsidRPr="00920634">
        <w:rPr>
          <w:rFonts w:asciiTheme="minorHAnsi" w:hAnsiTheme="minorHAnsi" w:cstheme="minorHAnsi"/>
        </w:rPr>
        <w:t xml:space="preserve"> a </w:t>
      </w:r>
      <w:r w:rsidR="00AB3963">
        <w:rPr>
          <w:rFonts w:asciiTheme="minorHAnsi" w:hAnsiTheme="minorHAnsi" w:cstheme="minorHAnsi"/>
        </w:rPr>
        <w:t xml:space="preserve">společné </w:t>
      </w:r>
      <w:r w:rsidRPr="00920634">
        <w:rPr>
          <w:rFonts w:asciiTheme="minorHAnsi" w:hAnsiTheme="minorHAnsi" w:cstheme="minorHAnsi"/>
        </w:rPr>
        <w:t>rybářské politiky.</w:t>
      </w:r>
    </w:p>
    <w:p w14:paraId="33B75375" w14:textId="77777777" w:rsidR="00597370" w:rsidRPr="00920634" w:rsidRDefault="00597370" w:rsidP="00114439">
      <w:pPr>
        <w:jc w:val="both"/>
        <w:rPr>
          <w:rFonts w:asciiTheme="minorHAnsi" w:hAnsiTheme="minorHAnsi" w:cstheme="minorHAnsi"/>
        </w:rPr>
      </w:pPr>
    </w:p>
    <w:p w14:paraId="1B6F50D8" w14:textId="46DAE579" w:rsidR="00A407DE" w:rsidRPr="00920634" w:rsidRDefault="00676F94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Zahraniční prostředky poskytované v</w:t>
      </w:r>
      <w:r w:rsidR="000C04E7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Č</w:t>
      </w:r>
      <w:r w:rsidR="000C04E7" w:rsidRPr="00920634">
        <w:rPr>
          <w:rFonts w:asciiTheme="minorHAnsi" w:hAnsiTheme="minorHAnsi" w:cstheme="minorHAnsi"/>
        </w:rPr>
        <w:t xml:space="preserve">eské republice (dále </w:t>
      </w:r>
      <w:r w:rsidR="00AB3963">
        <w:rPr>
          <w:rFonts w:asciiTheme="minorHAnsi" w:hAnsiTheme="minorHAnsi" w:cstheme="minorHAnsi"/>
        </w:rPr>
        <w:t xml:space="preserve">také </w:t>
      </w:r>
      <w:r w:rsidR="000C04E7" w:rsidRPr="00920634">
        <w:rPr>
          <w:rFonts w:asciiTheme="minorHAnsi" w:hAnsiTheme="minorHAnsi" w:cstheme="minorHAnsi"/>
        </w:rPr>
        <w:t>„ČR“)</w:t>
      </w:r>
      <w:r w:rsidRPr="00920634">
        <w:rPr>
          <w:rFonts w:asciiTheme="minorHAnsi" w:hAnsiTheme="minorHAnsi" w:cstheme="minorHAnsi"/>
        </w:rPr>
        <w:t xml:space="preserve"> </w:t>
      </w:r>
      <w:r w:rsidR="00904013" w:rsidRPr="00920634">
        <w:rPr>
          <w:rFonts w:asciiTheme="minorHAnsi" w:hAnsiTheme="minorHAnsi" w:cstheme="minorHAnsi"/>
        </w:rPr>
        <w:t xml:space="preserve">prostřednictvím </w:t>
      </w:r>
      <w:r w:rsidR="00304546" w:rsidRPr="00920634">
        <w:rPr>
          <w:rFonts w:asciiTheme="minorHAnsi" w:hAnsiTheme="minorHAnsi" w:cstheme="minorHAnsi"/>
        </w:rPr>
        <w:t xml:space="preserve">ministerstev </w:t>
      </w:r>
      <w:r w:rsidRPr="00920634">
        <w:rPr>
          <w:rFonts w:asciiTheme="minorHAnsi" w:hAnsiTheme="minorHAnsi" w:cstheme="minorHAnsi"/>
        </w:rPr>
        <w:t xml:space="preserve">jsou </w:t>
      </w:r>
      <w:r w:rsidR="00304546" w:rsidRPr="00920634">
        <w:rPr>
          <w:rFonts w:asciiTheme="minorHAnsi" w:hAnsiTheme="minorHAnsi" w:cstheme="minorHAnsi"/>
        </w:rPr>
        <w:t>obvykle</w:t>
      </w:r>
      <w:r w:rsidR="00E32BC7" w:rsidRPr="00920634">
        <w:rPr>
          <w:rFonts w:asciiTheme="minorHAnsi" w:hAnsiTheme="minorHAnsi" w:cstheme="minorHAnsi"/>
        </w:rPr>
        <w:t>:</w:t>
      </w:r>
      <w:r w:rsidR="00307241" w:rsidRPr="00920634" w:rsidDel="00307241">
        <w:rPr>
          <w:rFonts w:asciiTheme="minorHAnsi" w:hAnsiTheme="minorHAnsi" w:cstheme="minorHAnsi"/>
        </w:rPr>
        <w:t xml:space="preserve"> </w:t>
      </w:r>
    </w:p>
    <w:p w14:paraId="175A5B3C" w14:textId="276CD783" w:rsidR="00E32BC7" w:rsidRPr="00920634" w:rsidRDefault="00676F94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poskytovány </w:t>
      </w:r>
      <w:r w:rsidR="00DA5254" w:rsidRPr="00920634">
        <w:rPr>
          <w:rFonts w:asciiTheme="minorHAnsi" w:hAnsiTheme="minorHAnsi" w:cstheme="minorHAnsi"/>
        </w:rPr>
        <w:t xml:space="preserve">dalším subjektům </w:t>
      </w:r>
      <w:r w:rsidRPr="00920634">
        <w:rPr>
          <w:rFonts w:asciiTheme="minorHAnsi" w:hAnsiTheme="minorHAnsi" w:cstheme="minorHAnsi"/>
        </w:rPr>
        <w:t xml:space="preserve">na stanovený účel </w:t>
      </w:r>
      <w:r w:rsidR="00904013" w:rsidRPr="00920634">
        <w:rPr>
          <w:rFonts w:asciiTheme="minorHAnsi" w:hAnsiTheme="minorHAnsi" w:cstheme="minorHAnsi"/>
        </w:rPr>
        <w:t>bez získání protihodnoty</w:t>
      </w:r>
      <w:r w:rsidR="00DA5254" w:rsidRPr="00920634">
        <w:rPr>
          <w:rFonts w:asciiTheme="minorHAnsi" w:hAnsiTheme="minorHAnsi" w:cstheme="minorHAnsi"/>
        </w:rPr>
        <w:t>,</w:t>
      </w:r>
      <w:r w:rsidR="00AB3963">
        <w:rPr>
          <w:rFonts w:asciiTheme="minorHAnsi" w:hAnsiTheme="minorHAnsi" w:cstheme="minorHAnsi"/>
        </w:rPr>
        <w:t xml:space="preserve"> a to</w:t>
      </w:r>
      <w:r w:rsidR="00904013" w:rsidRPr="00920634">
        <w:rPr>
          <w:rFonts w:asciiTheme="minorHAnsi" w:hAnsiTheme="minorHAnsi" w:cstheme="minorHAnsi"/>
        </w:rPr>
        <w:t xml:space="preserve"> </w:t>
      </w:r>
      <w:r w:rsidR="00805076" w:rsidRPr="00920634">
        <w:rPr>
          <w:rFonts w:asciiTheme="minorHAnsi" w:hAnsiTheme="minorHAnsi" w:cstheme="minorHAnsi"/>
        </w:rPr>
        <w:t>zejména</w:t>
      </w:r>
      <w:r w:rsidR="00304546" w:rsidRPr="00920634">
        <w:rPr>
          <w:rFonts w:asciiTheme="minorHAnsi" w:hAnsiTheme="minorHAnsi" w:cstheme="minorHAnsi"/>
        </w:rPr>
        <w:t xml:space="preserve"> formou dotac</w:t>
      </w:r>
      <w:r w:rsidR="00E32BC7" w:rsidRPr="00920634">
        <w:rPr>
          <w:rFonts w:asciiTheme="minorHAnsi" w:hAnsiTheme="minorHAnsi" w:cstheme="minorHAnsi"/>
        </w:rPr>
        <w:t>e,</w:t>
      </w:r>
    </w:p>
    <w:p w14:paraId="0379E0FD" w14:textId="0DDAD6CA" w:rsidR="00E32BC7" w:rsidRPr="00920634" w:rsidRDefault="00E32BC7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získávány </w:t>
      </w:r>
      <w:r w:rsidR="00676F94" w:rsidRPr="00920634">
        <w:rPr>
          <w:rFonts w:asciiTheme="minorHAnsi" w:hAnsiTheme="minorHAnsi" w:cstheme="minorHAnsi"/>
        </w:rPr>
        <w:t>prostřednictvím Národního fondu Ministerstva financí</w:t>
      </w:r>
      <w:r w:rsidR="0021279B">
        <w:rPr>
          <w:rFonts w:asciiTheme="minorHAnsi" w:hAnsiTheme="minorHAnsi" w:cstheme="minorHAnsi"/>
        </w:rPr>
        <w:t xml:space="preserve"> nebo přímo ze zahraničí</w:t>
      </w:r>
      <w:r w:rsidR="008614CB">
        <w:rPr>
          <w:rFonts w:asciiTheme="minorHAnsi" w:hAnsiTheme="minorHAnsi" w:cstheme="minorHAnsi"/>
        </w:rPr>
        <w:t xml:space="preserve"> </w:t>
      </w:r>
      <w:r w:rsidR="00304546" w:rsidRPr="00920634">
        <w:rPr>
          <w:rFonts w:asciiTheme="minorHAnsi" w:hAnsiTheme="minorHAnsi" w:cstheme="minorHAnsi"/>
        </w:rPr>
        <w:t>bez</w:t>
      </w:r>
      <w:r w:rsidR="00CB4D76">
        <w:rPr>
          <w:rFonts w:asciiTheme="minorHAnsi" w:hAnsiTheme="minorHAnsi" w:cstheme="minorHAnsi"/>
        </w:rPr>
        <w:t xml:space="preserve"> </w:t>
      </w:r>
      <w:r w:rsidR="00304546" w:rsidRPr="00920634">
        <w:rPr>
          <w:rFonts w:asciiTheme="minorHAnsi" w:hAnsiTheme="minorHAnsi" w:cstheme="minorHAnsi"/>
        </w:rPr>
        <w:t>toho, aby za ně musel</w:t>
      </w:r>
      <w:r w:rsidR="003726C6" w:rsidRPr="00920634">
        <w:rPr>
          <w:rFonts w:asciiTheme="minorHAnsi" w:hAnsiTheme="minorHAnsi" w:cstheme="minorHAnsi"/>
        </w:rPr>
        <w:t>o být</w:t>
      </w:r>
      <w:r w:rsidR="00304546" w:rsidRPr="00920634">
        <w:rPr>
          <w:rFonts w:asciiTheme="minorHAnsi" w:hAnsiTheme="minorHAnsi" w:cstheme="minorHAnsi"/>
        </w:rPr>
        <w:t xml:space="preserve"> </w:t>
      </w:r>
      <w:r w:rsidR="006A3754" w:rsidRPr="00920634">
        <w:rPr>
          <w:rFonts w:asciiTheme="minorHAnsi" w:hAnsiTheme="minorHAnsi" w:cstheme="minorHAnsi"/>
        </w:rPr>
        <w:t>příslušnému subjektu poskytnut</w:t>
      </w:r>
      <w:r w:rsidR="003726C6" w:rsidRPr="00920634">
        <w:rPr>
          <w:rFonts w:asciiTheme="minorHAnsi" w:hAnsiTheme="minorHAnsi" w:cstheme="minorHAnsi"/>
        </w:rPr>
        <w:t>o</w:t>
      </w:r>
      <w:r w:rsidR="006A3754" w:rsidRPr="00920634">
        <w:rPr>
          <w:rFonts w:asciiTheme="minorHAnsi" w:hAnsiTheme="minorHAnsi" w:cstheme="minorHAnsi"/>
        </w:rPr>
        <w:t xml:space="preserve"> protiplnění. </w:t>
      </w:r>
    </w:p>
    <w:p w14:paraId="1E695E6B" w14:textId="77777777" w:rsidR="00B267DC" w:rsidRDefault="00B267DC" w:rsidP="00114439">
      <w:pPr>
        <w:jc w:val="both"/>
        <w:rPr>
          <w:rFonts w:asciiTheme="minorHAnsi" w:hAnsiTheme="minorHAnsi" w:cstheme="minorHAnsi"/>
          <w:b/>
        </w:rPr>
      </w:pPr>
    </w:p>
    <w:p w14:paraId="633D4145" w14:textId="77777777" w:rsidR="00445F18" w:rsidRDefault="00445F18" w:rsidP="00114439">
      <w:pPr>
        <w:jc w:val="both"/>
        <w:rPr>
          <w:rFonts w:asciiTheme="minorHAnsi" w:hAnsiTheme="minorHAnsi" w:cstheme="minorHAnsi"/>
          <w:b/>
        </w:rPr>
      </w:pPr>
    </w:p>
    <w:p w14:paraId="3FFDD8D8" w14:textId="77777777" w:rsidR="00445F18" w:rsidRDefault="00445F18" w:rsidP="00114439">
      <w:pPr>
        <w:jc w:val="both"/>
        <w:rPr>
          <w:rFonts w:asciiTheme="minorHAnsi" w:hAnsiTheme="minorHAnsi" w:cstheme="minorHAnsi"/>
          <w:b/>
        </w:rPr>
      </w:pPr>
    </w:p>
    <w:p w14:paraId="1EE9E6C1" w14:textId="3B1B6332" w:rsidR="006D4F95" w:rsidRPr="00920634" w:rsidRDefault="00FB76C8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920634">
        <w:rPr>
          <w:rFonts w:asciiTheme="minorHAnsi" w:hAnsiTheme="minorHAnsi" w:cstheme="minorHAnsi"/>
          <w:color w:val="000000"/>
        </w:rPr>
        <w:lastRenderedPageBreak/>
        <w:t>Př</w:t>
      </w:r>
      <w:r w:rsidR="006D4F95" w:rsidRPr="00920634">
        <w:rPr>
          <w:rFonts w:asciiTheme="minorHAnsi" w:hAnsiTheme="minorHAnsi" w:cstheme="minorHAnsi"/>
          <w:color w:val="000000"/>
        </w:rPr>
        <w:t>i realizaci programů či projektů spolufinancovaných Evropskou unií</w:t>
      </w:r>
      <w:r w:rsidR="003726C6" w:rsidRPr="00920634">
        <w:rPr>
          <w:rFonts w:asciiTheme="minorHAnsi" w:hAnsiTheme="minorHAnsi" w:cstheme="minorHAnsi"/>
          <w:color w:val="000000"/>
        </w:rPr>
        <w:t xml:space="preserve"> a také </w:t>
      </w:r>
      <w:r w:rsidR="006D4F95" w:rsidRPr="00920634">
        <w:rPr>
          <w:rFonts w:asciiTheme="minorHAnsi" w:hAnsiTheme="minorHAnsi" w:cstheme="minorHAnsi"/>
          <w:color w:val="000000"/>
        </w:rPr>
        <w:t>programů a</w:t>
      </w:r>
      <w:r w:rsidR="00920634" w:rsidRPr="00920634">
        <w:rPr>
          <w:rFonts w:asciiTheme="minorHAnsi" w:hAnsiTheme="minorHAnsi" w:cstheme="minorHAnsi"/>
          <w:color w:val="000000"/>
        </w:rPr>
        <w:t> </w:t>
      </w:r>
      <w:r w:rsidR="006D4F95" w:rsidRPr="00920634">
        <w:rPr>
          <w:rFonts w:asciiTheme="minorHAnsi" w:hAnsiTheme="minorHAnsi" w:cstheme="minorHAnsi"/>
          <w:color w:val="000000"/>
        </w:rPr>
        <w:t xml:space="preserve">projektů spolufinancovaných od jiných zahraničních subjektů (zejména </w:t>
      </w:r>
      <w:r w:rsidR="008D073A">
        <w:rPr>
          <w:rFonts w:asciiTheme="minorHAnsi" w:hAnsiTheme="minorHAnsi" w:cstheme="minorHAnsi"/>
          <w:color w:val="000000"/>
        </w:rPr>
        <w:t>z </w:t>
      </w:r>
      <w:r w:rsidR="006D4F95" w:rsidRPr="00920634">
        <w:rPr>
          <w:rFonts w:asciiTheme="minorHAnsi" w:hAnsiTheme="minorHAnsi" w:cstheme="minorHAnsi"/>
          <w:color w:val="000000"/>
        </w:rPr>
        <w:t>finančních mechanismů)</w:t>
      </w:r>
      <w:r w:rsidRPr="00920634">
        <w:rPr>
          <w:rFonts w:asciiTheme="minorHAnsi" w:hAnsiTheme="minorHAnsi" w:cstheme="minorHAnsi"/>
          <w:color w:val="000000"/>
        </w:rPr>
        <w:t xml:space="preserve"> postupuje Česká republika</w:t>
      </w:r>
      <w:r w:rsidR="006D4F95" w:rsidRPr="00920634">
        <w:rPr>
          <w:rFonts w:asciiTheme="minorHAnsi" w:hAnsiTheme="minorHAnsi" w:cstheme="minorHAnsi"/>
          <w:color w:val="000000"/>
        </w:rPr>
        <w:t xml:space="preserve"> tak, že používá systém tzv. </w:t>
      </w:r>
      <w:r w:rsidR="006D4F95" w:rsidRPr="00920634">
        <w:rPr>
          <w:rFonts w:asciiTheme="minorHAnsi" w:hAnsiTheme="minorHAnsi" w:cstheme="minorHAnsi"/>
          <w:b/>
          <w:color w:val="000000"/>
        </w:rPr>
        <w:t>předfinancování</w:t>
      </w:r>
      <w:r w:rsidR="006D4F95" w:rsidRPr="008D4CD3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="006D4F95" w:rsidRPr="00C97C99">
        <w:rPr>
          <w:rFonts w:asciiTheme="minorHAnsi" w:hAnsiTheme="minorHAnsi" w:cstheme="minorHAnsi"/>
          <w:color w:val="000000"/>
        </w:rPr>
        <w:t>.</w:t>
      </w:r>
      <w:r w:rsidR="006D4F95" w:rsidRPr="00920634">
        <w:rPr>
          <w:rFonts w:asciiTheme="minorHAnsi" w:hAnsiTheme="minorHAnsi" w:cstheme="minorHAnsi"/>
          <w:color w:val="000000"/>
        </w:rPr>
        <w:t xml:space="preserve"> V případě MŠMT</w:t>
      </w:r>
      <w:r w:rsidR="00031EC0" w:rsidRPr="00920634">
        <w:rPr>
          <w:rStyle w:val="Znakapoznpodarou"/>
          <w:rFonts w:asciiTheme="minorHAnsi" w:hAnsiTheme="minorHAnsi" w:cstheme="minorHAnsi"/>
          <w:color w:val="000000"/>
        </w:rPr>
        <w:footnoteReference w:id="2"/>
      </w:r>
      <w:r w:rsidR="006D4F95" w:rsidRPr="00920634">
        <w:rPr>
          <w:rFonts w:asciiTheme="minorHAnsi" w:hAnsiTheme="minorHAnsi" w:cstheme="minorHAnsi"/>
          <w:color w:val="000000"/>
        </w:rPr>
        <w:t xml:space="preserve"> a MZe</w:t>
      </w:r>
      <w:r w:rsidR="00031EC0" w:rsidRPr="00920634">
        <w:rPr>
          <w:rStyle w:val="Znakapoznpodarou"/>
          <w:rFonts w:asciiTheme="minorHAnsi" w:hAnsiTheme="minorHAnsi" w:cstheme="minorHAnsi"/>
          <w:color w:val="000000"/>
        </w:rPr>
        <w:footnoteReference w:id="3"/>
      </w:r>
      <w:r w:rsidR="006D4F95" w:rsidRPr="00920634">
        <w:rPr>
          <w:rFonts w:asciiTheme="minorHAnsi" w:hAnsiTheme="minorHAnsi" w:cstheme="minorHAnsi"/>
          <w:color w:val="000000"/>
        </w:rPr>
        <w:t xml:space="preserve"> </w:t>
      </w:r>
      <w:r w:rsidR="00D833AC" w:rsidRPr="00920634">
        <w:rPr>
          <w:rFonts w:asciiTheme="minorHAnsi" w:hAnsiTheme="minorHAnsi" w:cstheme="minorHAnsi"/>
          <w:color w:val="000000"/>
        </w:rPr>
        <w:t>vymezuje pojem</w:t>
      </w:r>
      <w:r w:rsidR="006D4F95" w:rsidRPr="00920634">
        <w:rPr>
          <w:rFonts w:asciiTheme="minorHAnsi" w:hAnsiTheme="minorHAnsi" w:cstheme="minorHAnsi"/>
          <w:color w:val="000000"/>
        </w:rPr>
        <w:t xml:space="preserve"> „</w:t>
      </w:r>
      <w:r w:rsidR="006D4F95" w:rsidRPr="00920634">
        <w:rPr>
          <w:rFonts w:asciiTheme="minorHAnsi" w:hAnsiTheme="minorHAnsi" w:cstheme="minorHAnsi"/>
          <w:lang w:eastAsia="cs-CZ"/>
        </w:rPr>
        <w:t xml:space="preserve">předfinancování“ pro operační programy </w:t>
      </w:r>
      <w:r w:rsidR="006D4F95" w:rsidRPr="00920634">
        <w:rPr>
          <w:rFonts w:asciiTheme="minorHAnsi" w:hAnsiTheme="minorHAnsi" w:cstheme="minorHAnsi"/>
          <w:i/>
        </w:rPr>
        <w:t>Metodika finančních toků a kontroly programů spolufinancovaných ze strukturálních fondů, Fondu soudržnosti a Evropského rybářského fondu na programové období 2007</w:t>
      </w:r>
      <w:r w:rsidR="00920634">
        <w:rPr>
          <w:rFonts w:asciiTheme="minorHAnsi" w:hAnsiTheme="minorHAnsi" w:cstheme="minorHAnsi"/>
          <w:i/>
        </w:rPr>
        <w:t>–</w:t>
      </w:r>
      <w:r w:rsidR="006D4F95" w:rsidRPr="00920634">
        <w:rPr>
          <w:rFonts w:asciiTheme="minorHAnsi" w:hAnsiTheme="minorHAnsi" w:cstheme="minorHAnsi"/>
          <w:i/>
        </w:rPr>
        <w:t>2013</w:t>
      </w:r>
      <w:r w:rsidR="006D4F95" w:rsidRPr="00920634">
        <w:rPr>
          <w:rFonts w:asciiTheme="minorHAnsi" w:hAnsiTheme="minorHAnsi" w:cstheme="minorHAnsi"/>
          <w:lang w:eastAsia="cs-CZ"/>
        </w:rPr>
        <w:t xml:space="preserve"> (dále</w:t>
      </w:r>
      <w:r w:rsidR="00DE4BC7">
        <w:rPr>
          <w:rFonts w:asciiTheme="minorHAnsi" w:hAnsiTheme="minorHAnsi" w:cstheme="minorHAnsi"/>
          <w:lang w:eastAsia="cs-CZ"/>
        </w:rPr>
        <w:t> </w:t>
      </w:r>
      <w:r w:rsidR="006D4F95" w:rsidRPr="00920634">
        <w:rPr>
          <w:rFonts w:asciiTheme="minorHAnsi" w:hAnsiTheme="minorHAnsi" w:cstheme="minorHAnsi"/>
          <w:lang w:eastAsia="cs-CZ"/>
        </w:rPr>
        <w:t>také „MFTK 2007</w:t>
      </w:r>
      <w:r w:rsidR="007E28AF">
        <w:rPr>
          <w:rFonts w:asciiTheme="minorHAnsi" w:hAnsiTheme="minorHAnsi" w:cstheme="minorHAnsi"/>
          <w:lang w:eastAsia="cs-CZ"/>
        </w:rPr>
        <w:t>–</w:t>
      </w:r>
      <w:r w:rsidR="006D4F95" w:rsidRPr="00920634">
        <w:rPr>
          <w:rFonts w:asciiTheme="minorHAnsi" w:hAnsiTheme="minorHAnsi" w:cstheme="minorHAnsi"/>
          <w:lang w:eastAsia="cs-CZ"/>
        </w:rPr>
        <w:t>2013“)</w:t>
      </w:r>
      <w:r w:rsidR="00C97C99">
        <w:rPr>
          <w:rFonts w:asciiTheme="minorHAnsi" w:hAnsiTheme="minorHAnsi" w:cstheme="minorHAnsi"/>
          <w:lang w:eastAsia="cs-CZ"/>
        </w:rPr>
        <w:t>.</w:t>
      </w:r>
      <w:r w:rsidR="003C3D4D" w:rsidRPr="00920634">
        <w:rPr>
          <w:rFonts w:asciiTheme="minorHAnsi" w:hAnsiTheme="minorHAnsi" w:cstheme="minorHAnsi"/>
          <w:lang w:eastAsia="cs-CZ"/>
        </w:rPr>
        <w:t xml:space="preserve"> </w:t>
      </w:r>
      <w:r w:rsidR="00C97C99">
        <w:rPr>
          <w:rFonts w:asciiTheme="minorHAnsi" w:hAnsiTheme="minorHAnsi" w:cstheme="minorHAnsi"/>
          <w:lang w:eastAsia="cs-CZ"/>
        </w:rPr>
        <w:t>V této metodice je uvedeno, že předfinancováním se rozumí:</w:t>
      </w:r>
      <w:r w:rsidR="00DC4B81" w:rsidRPr="00920634">
        <w:rPr>
          <w:rFonts w:asciiTheme="minorHAnsi" w:hAnsiTheme="minorHAnsi" w:cstheme="minorHAnsi"/>
          <w:lang w:eastAsia="cs-CZ"/>
        </w:rPr>
        <w:t xml:space="preserve"> </w:t>
      </w:r>
      <w:r w:rsidR="006D4F95" w:rsidRPr="00920634">
        <w:rPr>
          <w:rFonts w:asciiTheme="minorHAnsi" w:hAnsiTheme="minorHAnsi" w:cstheme="minorHAnsi"/>
          <w:lang w:eastAsia="cs-CZ"/>
        </w:rPr>
        <w:t>„</w:t>
      </w:r>
      <w:r w:rsidR="00C97C99" w:rsidRPr="00D61C74">
        <w:rPr>
          <w:rFonts w:asciiTheme="minorHAnsi" w:hAnsiTheme="minorHAnsi" w:cstheme="minorHAnsi"/>
          <w:i/>
          <w:lang w:eastAsia="cs-CZ"/>
        </w:rPr>
        <w:t>…</w:t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 předfinancování výdajů, které mají být kryty prostředky </w:t>
      </w:r>
      <w:r w:rsidR="008D073A">
        <w:rPr>
          <w:rFonts w:asciiTheme="minorHAnsi" w:hAnsiTheme="minorHAnsi" w:cstheme="minorHAnsi"/>
          <w:i/>
          <w:lang w:eastAsia="cs-CZ"/>
        </w:rPr>
        <w:t>z </w:t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rozpočtu EU, prostředky SR. </w:t>
      </w:r>
      <w:r w:rsidR="008D073A">
        <w:rPr>
          <w:rFonts w:asciiTheme="minorHAnsi" w:hAnsiTheme="minorHAnsi" w:cstheme="minorHAnsi"/>
          <w:i/>
          <w:lang w:eastAsia="cs-CZ"/>
        </w:rPr>
        <w:t>V </w:t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praxi to znamená, že příjemci obdrží prostředky SR, které mají být kryty prostředky </w:t>
      </w:r>
      <w:r w:rsidR="008D073A">
        <w:rPr>
          <w:rFonts w:asciiTheme="minorHAnsi" w:hAnsiTheme="minorHAnsi" w:cstheme="minorHAnsi"/>
          <w:i/>
          <w:lang w:eastAsia="cs-CZ"/>
        </w:rPr>
        <w:t>z </w:t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rozpočtu EU, a po vynaložení tohoto výdaje ze SR jsou prostředky </w:t>
      </w:r>
      <w:r w:rsidR="008D073A">
        <w:rPr>
          <w:rFonts w:asciiTheme="minorHAnsi" w:hAnsiTheme="minorHAnsi" w:cstheme="minorHAnsi"/>
          <w:i/>
          <w:lang w:eastAsia="cs-CZ"/>
        </w:rPr>
        <w:t>z </w:t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rozpočtu EU převedeny </w:t>
      </w:r>
      <w:r w:rsidR="008D073A">
        <w:rPr>
          <w:rFonts w:asciiTheme="minorHAnsi" w:hAnsiTheme="minorHAnsi" w:cstheme="minorHAnsi"/>
          <w:i/>
          <w:lang w:eastAsia="cs-CZ"/>
        </w:rPr>
        <w:t>z </w:t>
      </w:r>
      <w:r w:rsidR="006D4F95" w:rsidRPr="00920634">
        <w:rPr>
          <w:rFonts w:asciiTheme="minorHAnsi" w:hAnsiTheme="minorHAnsi" w:cstheme="minorHAnsi"/>
          <w:i/>
          <w:lang w:eastAsia="cs-CZ"/>
        </w:rPr>
        <w:t>účtu PCO</w:t>
      </w:r>
      <w:r w:rsidR="006D4F95" w:rsidRPr="008D4CD3">
        <w:rPr>
          <w:rStyle w:val="Znakapoznpodarou"/>
          <w:rFonts w:asciiTheme="minorHAnsi" w:hAnsiTheme="minorHAnsi" w:cstheme="minorHAnsi"/>
          <w:lang w:eastAsia="cs-CZ"/>
        </w:rPr>
        <w:footnoteReference w:id="4"/>
      </w:r>
      <w:r w:rsidR="006D4F95" w:rsidRPr="00920634">
        <w:rPr>
          <w:rFonts w:asciiTheme="minorHAnsi" w:hAnsiTheme="minorHAnsi" w:cstheme="minorHAnsi"/>
          <w:i/>
          <w:lang w:eastAsia="cs-CZ"/>
        </w:rPr>
        <w:t xml:space="preserve"> na příjmový účet OSS.</w:t>
      </w:r>
      <w:r w:rsidR="006D4F95" w:rsidRPr="00920634">
        <w:rPr>
          <w:rFonts w:asciiTheme="minorHAnsi" w:hAnsiTheme="minorHAnsi" w:cstheme="minorHAnsi"/>
          <w:lang w:eastAsia="cs-CZ"/>
        </w:rPr>
        <w:t xml:space="preserve">“ </w:t>
      </w:r>
    </w:p>
    <w:p w14:paraId="4B151803" w14:textId="77777777" w:rsidR="00FB76C8" w:rsidRPr="00920634" w:rsidRDefault="00FB76C8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14:paraId="0E462F17" w14:textId="24B95A9E" w:rsidR="006D4F95" w:rsidRPr="00920634" w:rsidRDefault="006D4F95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20634">
        <w:rPr>
          <w:rFonts w:asciiTheme="minorHAnsi" w:hAnsiTheme="minorHAnsi" w:cstheme="minorHAnsi"/>
          <w:color w:val="000000"/>
        </w:rPr>
        <w:t>To</w:t>
      </w:r>
      <w:r w:rsidR="00FB76C8" w:rsidRPr="00920634">
        <w:rPr>
          <w:rFonts w:asciiTheme="minorHAnsi" w:hAnsiTheme="minorHAnsi" w:cstheme="minorHAnsi"/>
          <w:color w:val="000000"/>
        </w:rPr>
        <w:t xml:space="preserve"> </w:t>
      </w:r>
      <w:r w:rsidRPr="00920634">
        <w:rPr>
          <w:rFonts w:asciiTheme="minorHAnsi" w:hAnsiTheme="minorHAnsi" w:cstheme="minorHAnsi"/>
          <w:color w:val="000000"/>
        </w:rPr>
        <w:t>znamená, že OSS ze svého rozpočtového</w:t>
      </w:r>
      <w:r w:rsidR="00FB76C8" w:rsidRPr="00920634">
        <w:rPr>
          <w:rFonts w:asciiTheme="minorHAnsi" w:hAnsiTheme="minorHAnsi" w:cstheme="minorHAnsi"/>
          <w:color w:val="000000"/>
        </w:rPr>
        <w:t xml:space="preserve"> výdajového</w:t>
      </w:r>
      <w:r w:rsidRPr="00920634">
        <w:rPr>
          <w:rFonts w:asciiTheme="minorHAnsi" w:hAnsiTheme="minorHAnsi" w:cstheme="minorHAnsi"/>
          <w:color w:val="000000"/>
        </w:rPr>
        <w:t xml:space="preserve"> účtu poskytnou příjemcům prostředky státního rozpočtu a ty jsou jim následně, při splnění podmínek, refundovány na jejich příjmový účet přímo ze zahraničí nebo z Národního fondu Ministerstva financí</w:t>
      </w:r>
      <w:r w:rsidR="00E8798C" w:rsidRPr="00920634">
        <w:rPr>
          <w:rStyle w:val="Znakapoznpodarou"/>
          <w:rFonts w:asciiTheme="minorHAnsi" w:hAnsiTheme="minorHAnsi" w:cstheme="minorHAnsi"/>
          <w:color w:val="000000"/>
        </w:rPr>
        <w:footnoteReference w:id="5"/>
      </w:r>
      <w:r w:rsidRPr="00920634">
        <w:rPr>
          <w:rFonts w:asciiTheme="minorHAnsi" w:hAnsiTheme="minorHAnsi" w:cstheme="minorHAnsi"/>
          <w:color w:val="000000"/>
        </w:rPr>
        <w:t>.</w:t>
      </w:r>
      <w:r w:rsidR="008D073A">
        <w:rPr>
          <w:rFonts w:asciiTheme="minorHAnsi" w:hAnsiTheme="minorHAnsi" w:cstheme="minorHAnsi"/>
          <w:color w:val="000000"/>
        </w:rPr>
        <w:t xml:space="preserve"> </w:t>
      </w:r>
      <w:r w:rsidRPr="00920634">
        <w:rPr>
          <w:rFonts w:asciiTheme="minorHAnsi" w:hAnsiTheme="minorHAnsi" w:cstheme="minorHAnsi"/>
          <w:color w:val="000000"/>
        </w:rPr>
        <w:t>V případě OSS může dojít i k situaci, kdy je tato jednotka říd</w:t>
      </w:r>
      <w:r w:rsidR="00DE4BC7">
        <w:rPr>
          <w:rFonts w:asciiTheme="minorHAnsi" w:hAnsiTheme="minorHAnsi" w:cstheme="minorHAnsi"/>
          <w:color w:val="000000"/>
        </w:rPr>
        <w:t>i</w:t>
      </w:r>
      <w:r w:rsidRPr="00920634">
        <w:rPr>
          <w:rFonts w:asciiTheme="minorHAnsi" w:hAnsiTheme="minorHAnsi" w:cstheme="minorHAnsi"/>
          <w:color w:val="000000"/>
        </w:rPr>
        <w:t>cím orgánem</w:t>
      </w:r>
      <w:r w:rsidR="00DC4B81" w:rsidRPr="00920634">
        <w:rPr>
          <w:rStyle w:val="Znakapoznpodarou"/>
          <w:rFonts w:asciiTheme="minorHAnsi" w:hAnsiTheme="minorHAnsi" w:cstheme="minorHAnsi"/>
          <w:color w:val="000000"/>
        </w:rPr>
        <w:footnoteReference w:id="6"/>
      </w:r>
      <w:r w:rsidRPr="00920634">
        <w:rPr>
          <w:rFonts w:asciiTheme="minorHAnsi" w:hAnsiTheme="minorHAnsi" w:cstheme="minorHAnsi"/>
          <w:color w:val="000000"/>
        </w:rPr>
        <w:t xml:space="preserve"> rozhodujícím o poskytnutí prostředků </w:t>
      </w:r>
      <w:r w:rsidR="00717326" w:rsidRPr="00920634">
        <w:rPr>
          <w:rFonts w:asciiTheme="minorHAnsi" w:hAnsiTheme="minorHAnsi" w:cstheme="minorHAnsi"/>
          <w:color w:val="000000"/>
        </w:rPr>
        <w:t>(</w:t>
      </w:r>
      <w:r w:rsidRPr="00920634">
        <w:rPr>
          <w:rFonts w:asciiTheme="minorHAnsi" w:hAnsiTheme="minorHAnsi" w:cstheme="minorHAnsi"/>
          <w:color w:val="000000"/>
        </w:rPr>
        <w:t>např. z fondů EU</w:t>
      </w:r>
      <w:r w:rsidR="00717326" w:rsidRPr="00920634">
        <w:rPr>
          <w:rFonts w:asciiTheme="minorHAnsi" w:hAnsiTheme="minorHAnsi" w:cstheme="minorHAnsi"/>
          <w:color w:val="000000"/>
        </w:rPr>
        <w:t>)</w:t>
      </w:r>
      <w:r w:rsidRPr="00920634">
        <w:rPr>
          <w:rFonts w:asciiTheme="minorHAnsi" w:hAnsiTheme="minorHAnsi" w:cstheme="minorHAnsi"/>
          <w:color w:val="000000"/>
        </w:rPr>
        <w:t xml:space="preserve"> a</w:t>
      </w:r>
      <w:r w:rsidR="00717326" w:rsidRPr="00920634">
        <w:rPr>
          <w:rFonts w:asciiTheme="minorHAnsi" w:hAnsiTheme="minorHAnsi" w:cstheme="minorHAnsi"/>
          <w:color w:val="000000"/>
        </w:rPr>
        <w:t xml:space="preserve"> současně i</w:t>
      </w:r>
      <w:r w:rsidRPr="00920634">
        <w:rPr>
          <w:rFonts w:asciiTheme="minorHAnsi" w:hAnsiTheme="minorHAnsi" w:cstheme="minorHAnsi"/>
          <w:color w:val="000000"/>
        </w:rPr>
        <w:t xml:space="preserve"> </w:t>
      </w:r>
      <w:r w:rsidR="00DC4B81" w:rsidRPr="00920634">
        <w:rPr>
          <w:rFonts w:asciiTheme="minorHAnsi" w:hAnsiTheme="minorHAnsi" w:cstheme="minorHAnsi"/>
          <w:color w:val="000000"/>
        </w:rPr>
        <w:t>v některých případech</w:t>
      </w:r>
      <w:r w:rsidR="00717326" w:rsidRPr="00920634">
        <w:rPr>
          <w:rFonts w:asciiTheme="minorHAnsi" w:hAnsiTheme="minorHAnsi" w:cstheme="minorHAnsi"/>
          <w:color w:val="000000"/>
        </w:rPr>
        <w:t xml:space="preserve"> </w:t>
      </w:r>
      <w:r w:rsidRPr="00920634">
        <w:rPr>
          <w:rFonts w:asciiTheme="minorHAnsi" w:hAnsiTheme="minorHAnsi" w:cstheme="minorHAnsi"/>
          <w:color w:val="000000"/>
        </w:rPr>
        <w:t xml:space="preserve">jejich </w:t>
      </w:r>
      <w:r w:rsidR="00DC4B81" w:rsidRPr="00920634">
        <w:rPr>
          <w:rFonts w:asciiTheme="minorHAnsi" w:hAnsiTheme="minorHAnsi" w:cstheme="minorHAnsi"/>
          <w:color w:val="000000"/>
        </w:rPr>
        <w:t xml:space="preserve">konečným </w:t>
      </w:r>
      <w:r w:rsidRPr="00920634">
        <w:rPr>
          <w:rFonts w:asciiTheme="minorHAnsi" w:hAnsiTheme="minorHAnsi" w:cstheme="minorHAnsi"/>
          <w:color w:val="000000"/>
        </w:rPr>
        <w:t>příjemcem</w:t>
      </w:r>
      <w:r w:rsidR="002D029F" w:rsidRPr="00920634">
        <w:rPr>
          <w:rFonts w:asciiTheme="minorHAnsi" w:hAnsiTheme="minorHAnsi" w:cstheme="minorHAnsi"/>
          <w:color w:val="000000"/>
        </w:rPr>
        <w:t xml:space="preserve"> </w:t>
      </w:r>
      <w:r w:rsidR="00717326" w:rsidRPr="00920634">
        <w:rPr>
          <w:rFonts w:asciiTheme="minorHAnsi" w:hAnsiTheme="minorHAnsi" w:cstheme="minorHAnsi"/>
          <w:color w:val="000000"/>
        </w:rPr>
        <w:t>(</w:t>
      </w:r>
      <w:r w:rsidRPr="00920634">
        <w:rPr>
          <w:rFonts w:asciiTheme="minorHAnsi" w:hAnsiTheme="minorHAnsi" w:cstheme="minorHAnsi"/>
          <w:color w:val="000000"/>
        </w:rPr>
        <w:t>např. v případě technické pomoci či individuálních</w:t>
      </w:r>
      <w:r w:rsidR="00717326" w:rsidRPr="00920634">
        <w:rPr>
          <w:rFonts w:asciiTheme="minorHAnsi" w:hAnsiTheme="minorHAnsi" w:cstheme="minorHAnsi"/>
          <w:color w:val="000000"/>
        </w:rPr>
        <w:t xml:space="preserve"> </w:t>
      </w:r>
      <w:r w:rsidR="000E4BFA">
        <w:rPr>
          <w:rFonts w:asciiTheme="minorHAnsi" w:hAnsiTheme="minorHAnsi" w:cstheme="minorHAnsi"/>
          <w:color w:val="000000"/>
        </w:rPr>
        <w:t xml:space="preserve">projektů </w:t>
      </w:r>
      <w:r w:rsidR="00717326" w:rsidRPr="00920634">
        <w:rPr>
          <w:rFonts w:asciiTheme="minorHAnsi" w:hAnsiTheme="minorHAnsi" w:cstheme="minorHAnsi"/>
          <w:color w:val="000000"/>
        </w:rPr>
        <w:t>národních)</w:t>
      </w:r>
      <w:r w:rsidRPr="00920634">
        <w:rPr>
          <w:rFonts w:asciiTheme="minorHAnsi" w:hAnsiTheme="minorHAnsi" w:cstheme="minorHAnsi"/>
          <w:color w:val="000000"/>
        </w:rPr>
        <w:t>.</w:t>
      </w:r>
    </w:p>
    <w:p w14:paraId="203EDD62" w14:textId="77777777" w:rsidR="006D4F95" w:rsidRPr="00920634" w:rsidRDefault="006D4F95" w:rsidP="00114439">
      <w:pPr>
        <w:jc w:val="both"/>
        <w:rPr>
          <w:rFonts w:asciiTheme="minorHAnsi" w:hAnsiTheme="minorHAnsi" w:cstheme="minorHAnsi"/>
          <w:b/>
        </w:rPr>
      </w:pPr>
    </w:p>
    <w:p w14:paraId="5E2FF5DA" w14:textId="068CFCCD" w:rsidR="002D029F" w:rsidRPr="00920634" w:rsidRDefault="00880AA5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Transfery v rozpočtovém vymezení</w:t>
      </w:r>
    </w:p>
    <w:p w14:paraId="13E7AFAC" w14:textId="6F41DC14" w:rsidR="003436FD" w:rsidRPr="00920634" w:rsidRDefault="0080672D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</w:t>
      </w:r>
      <w:r w:rsidR="005B5A09" w:rsidRPr="00920634">
        <w:rPr>
          <w:rFonts w:asciiTheme="minorHAnsi" w:hAnsiTheme="minorHAnsi" w:cstheme="minorHAnsi"/>
        </w:rPr>
        <w:t>ákon č. 218/200</w:t>
      </w:r>
      <w:r w:rsidR="00864FB4" w:rsidRPr="00920634">
        <w:rPr>
          <w:rFonts w:asciiTheme="minorHAnsi" w:hAnsiTheme="minorHAnsi" w:cstheme="minorHAnsi"/>
        </w:rPr>
        <w:t>0</w:t>
      </w:r>
      <w:r w:rsidR="005B5A09" w:rsidRPr="00920634">
        <w:rPr>
          <w:rFonts w:asciiTheme="minorHAnsi" w:hAnsiTheme="minorHAnsi" w:cstheme="minorHAnsi"/>
        </w:rPr>
        <w:t xml:space="preserve"> Sb., o rozpočtových pravidlech a o změně některých souvisejících zákonů (rozpočtová pravidla)</w:t>
      </w:r>
      <w:r w:rsidR="000B37C2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upravuje</w:t>
      </w:r>
      <w:r w:rsidR="00880AA5" w:rsidRPr="00920634">
        <w:rPr>
          <w:rFonts w:asciiTheme="minorHAnsi" w:hAnsiTheme="minorHAnsi" w:cstheme="minorHAnsi"/>
        </w:rPr>
        <w:t xml:space="preserve"> kromě jiného </w:t>
      </w:r>
      <w:r w:rsidR="00717326" w:rsidRPr="00920634">
        <w:rPr>
          <w:rFonts w:asciiTheme="minorHAnsi" w:hAnsiTheme="minorHAnsi" w:cstheme="minorHAnsi"/>
        </w:rPr>
        <w:t>i</w:t>
      </w:r>
      <w:r w:rsidR="00714BDE" w:rsidRPr="00920634">
        <w:rPr>
          <w:rFonts w:asciiTheme="minorHAnsi" w:hAnsiTheme="minorHAnsi" w:cstheme="minorHAnsi"/>
        </w:rPr>
        <w:t xml:space="preserve"> </w:t>
      </w:r>
      <w:r w:rsidR="003436FD" w:rsidRPr="00920634">
        <w:rPr>
          <w:rFonts w:asciiTheme="minorHAnsi" w:hAnsiTheme="minorHAnsi" w:cstheme="minorHAnsi"/>
        </w:rPr>
        <w:t>pravidl</w:t>
      </w:r>
      <w:r w:rsidRPr="00920634">
        <w:rPr>
          <w:rFonts w:asciiTheme="minorHAnsi" w:hAnsiTheme="minorHAnsi" w:cstheme="minorHAnsi"/>
        </w:rPr>
        <w:t>a</w:t>
      </w:r>
      <w:r w:rsidR="003436FD" w:rsidRPr="00920634">
        <w:rPr>
          <w:rFonts w:asciiTheme="minorHAnsi" w:hAnsiTheme="minorHAnsi" w:cstheme="minorHAnsi"/>
        </w:rPr>
        <w:t xml:space="preserve"> poskytování </w:t>
      </w:r>
      <w:r w:rsidR="00880AA5" w:rsidRPr="00920634">
        <w:rPr>
          <w:rFonts w:asciiTheme="minorHAnsi" w:hAnsiTheme="minorHAnsi" w:cstheme="minorHAnsi"/>
        </w:rPr>
        <w:t>dotací jako</w:t>
      </w:r>
      <w:r w:rsidR="003436FD" w:rsidRPr="00920634">
        <w:rPr>
          <w:rFonts w:asciiTheme="minorHAnsi" w:hAnsiTheme="minorHAnsi" w:cstheme="minorHAnsi"/>
        </w:rPr>
        <w:t xml:space="preserve"> jedné z nejběžnějších forem transferu</w:t>
      </w:r>
      <w:r w:rsidR="00880AA5" w:rsidRPr="00920634">
        <w:rPr>
          <w:rFonts w:asciiTheme="minorHAnsi" w:hAnsiTheme="minorHAnsi" w:cstheme="minorHAnsi"/>
        </w:rPr>
        <w:t>.</w:t>
      </w:r>
      <w:r w:rsidR="003436FD" w:rsidRPr="00920634">
        <w:rPr>
          <w:rFonts w:asciiTheme="minorHAnsi" w:hAnsiTheme="minorHAnsi" w:cstheme="minorHAnsi"/>
        </w:rPr>
        <w:t xml:space="preserve"> </w:t>
      </w:r>
    </w:p>
    <w:p w14:paraId="17021479" w14:textId="77777777" w:rsidR="00DC4B81" w:rsidRPr="00920634" w:rsidRDefault="00DC4B81" w:rsidP="00114439">
      <w:pPr>
        <w:jc w:val="both"/>
        <w:rPr>
          <w:rFonts w:asciiTheme="minorHAnsi" w:hAnsiTheme="minorHAnsi" w:cstheme="minorHAnsi"/>
        </w:rPr>
      </w:pPr>
    </w:p>
    <w:p w14:paraId="18BEF59E" w14:textId="37D66EB8" w:rsidR="008A34BE" w:rsidRPr="00920634" w:rsidRDefault="0080672D" w:rsidP="008D4CD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Samotný pojem </w:t>
      </w:r>
      <w:r w:rsidR="003436FD" w:rsidRPr="00920634">
        <w:rPr>
          <w:rFonts w:asciiTheme="minorHAnsi" w:hAnsiTheme="minorHAnsi" w:cstheme="minorHAnsi"/>
        </w:rPr>
        <w:t>„transfer“</w:t>
      </w:r>
      <w:r w:rsidRPr="00920634">
        <w:rPr>
          <w:rFonts w:asciiTheme="minorHAnsi" w:hAnsiTheme="minorHAnsi" w:cstheme="minorHAnsi"/>
        </w:rPr>
        <w:t xml:space="preserve"> je vymezen</w:t>
      </w:r>
      <w:r w:rsidR="003436FD" w:rsidRPr="00920634">
        <w:rPr>
          <w:rFonts w:asciiTheme="minorHAnsi" w:hAnsiTheme="minorHAnsi" w:cstheme="minorHAnsi"/>
        </w:rPr>
        <w:t xml:space="preserve"> prováděcí vyhlášk</w:t>
      </w:r>
      <w:r w:rsidRPr="00920634">
        <w:rPr>
          <w:rFonts w:asciiTheme="minorHAnsi" w:hAnsiTheme="minorHAnsi" w:cstheme="minorHAnsi"/>
        </w:rPr>
        <w:t>ou</w:t>
      </w:r>
      <w:r w:rsidR="003436FD" w:rsidRPr="00920634">
        <w:rPr>
          <w:rFonts w:asciiTheme="minorHAnsi" w:hAnsiTheme="minorHAnsi" w:cstheme="minorHAnsi"/>
        </w:rPr>
        <w:t xml:space="preserve"> k rozpočtovým pravidlům, </w:t>
      </w:r>
      <w:r w:rsidR="00DE4BC7">
        <w:rPr>
          <w:rFonts w:asciiTheme="minorHAnsi" w:hAnsiTheme="minorHAnsi" w:cstheme="minorHAnsi"/>
        </w:rPr>
        <w:t>tj.</w:t>
      </w:r>
      <w:r w:rsidR="006F6E89">
        <w:rPr>
          <w:rFonts w:asciiTheme="minorHAnsi" w:hAnsiTheme="minorHAnsi" w:cstheme="minorHAnsi"/>
        </w:rPr>
        <w:t> </w:t>
      </w:r>
      <w:r w:rsidR="003436FD" w:rsidRPr="00920634">
        <w:rPr>
          <w:rFonts w:asciiTheme="minorHAnsi" w:hAnsiTheme="minorHAnsi" w:cstheme="minorHAnsi"/>
        </w:rPr>
        <w:t>v</w:t>
      </w:r>
      <w:r w:rsidR="005B5A09" w:rsidRPr="00920634">
        <w:rPr>
          <w:rFonts w:asciiTheme="minorHAnsi" w:hAnsiTheme="minorHAnsi" w:cstheme="minorHAnsi"/>
        </w:rPr>
        <w:t>yhlášk</w:t>
      </w:r>
      <w:r w:rsidR="00864FB4" w:rsidRPr="00920634">
        <w:rPr>
          <w:rFonts w:asciiTheme="minorHAnsi" w:hAnsiTheme="minorHAnsi" w:cstheme="minorHAnsi"/>
        </w:rPr>
        <w:t>ou</w:t>
      </w:r>
      <w:r w:rsidR="005B5A09" w:rsidRPr="00920634">
        <w:rPr>
          <w:rFonts w:asciiTheme="minorHAnsi" w:hAnsiTheme="minorHAnsi" w:cstheme="minorHAnsi"/>
        </w:rPr>
        <w:t xml:space="preserve"> č. 323/2002 Sb., o rozpočtové skladbě</w:t>
      </w:r>
      <w:r w:rsidR="00DE4BC7">
        <w:rPr>
          <w:rFonts w:asciiTheme="minorHAnsi" w:hAnsiTheme="minorHAnsi" w:cstheme="minorHAnsi"/>
        </w:rPr>
        <w:t>.</w:t>
      </w:r>
      <w:r w:rsidR="00880AA5" w:rsidRPr="00920634">
        <w:rPr>
          <w:rFonts w:asciiTheme="minorHAnsi" w:hAnsiTheme="minorHAnsi" w:cstheme="minorHAnsi"/>
        </w:rPr>
        <w:t xml:space="preserve"> </w:t>
      </w:r>
      <w:r w:rsidR="00DE4BC7">
        <w:rPr>
          <w:rFonts w:asciiTheme="minorHAnsi" w:hAnsiTheme="minorHAnsi" w:cstheme="minorHAnsi"/>
        </w:rPr>
        <w:t>Tato vyhláška</w:t>
      </w:r>
      <w:r w:rsidR="00880AA5"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 </w:t>
      </w:r>
      <w:r w:rsidR="005B5A09" w:rsidRPr="00920634">
        <w:rPr>
          <w:rFonts w:asciiTheme="minorHAnsi" w:hAnsiTheme="minorHAnsi" w:cstheme="minorHAnsi"/>
        </w:rPr>
        <w:t>§</w:t>
      </w:r>
      <w:r w:rsidR="006F6E89">
        <w:rPr>
          <w:rFonts w:asciiTheme="minorHAnsi" w:hAnsiTheme="minorHAnsi" w:cstheme="minorHAnsi"/>
        </w:rPr>
        <w:t> </w:t>
      </w:r>
      <w:r w:rsidR="005B5A09" w:rsidRPr="00920634">
        <w:rPr>
          <w:rFonts w:asciiTheme="minorHAnsi" w:hAnsiTheme="minorHAnsi" w:cstheme="minorHAnsi"/>
        </w:rPr>
        <w:t>2 odst.</w:t>
      </w:r>
      <w:r w:rsidR="006F6E89">
        <w:rPr>
          <w:rFonts w:asciiTheme="minorHAnsi" w:hAnsiTheme="minorHAnsi" w:cstheme="minorHAnsi"/>
        </w:rPr>
        <w:t> </w:t>
      </w:r>
      <w:r w:rsidR="005B5A09" w:rsidRPr="00920634">
        <w:rPr>
          <w:rFonts w:asciiTheme="minorHAnsi" w:hAnsiTheme="minorHAnsi" w:cstheme="minorHAnsi"/>
        </w:rPr>
        <w:t>2</w:t>
      </w:r>
      <w:r w:rsidR="00880AA5" w:rsidRPr="00920634">
        <w:rPr>
          <w:rFonts w:asciiTheme="minorHAnsi" w:hAnsiTheme="minorHAnsi" w:cstheme="minorHAnsi"/>
        </w:rPr>
        <w:t xml:space="preserve"> stanoví, že jde o </w:t>
      </w:r>
      <w:r w:rsidR="005B5A09" w:rsidRPr="00920634">
        <w:rPr>
          <w:rFonts w:asciiTheme="minorHAnsi" w:hAnsiTheme="minorHAnsi" w:cstheme="minorHAnsi"/>
        </w:rPr>
        <w:t>„</w:t>
      </w:r>
      <w:r w:rsidR="00042C30">
        <w:rPr>
          <w:rFonts w:asciiTheme="minorHAnsi" w:hAnsiTheme="minorHAnsi" w:cstheme="minorHAnsi"/>
        </w:rPr>
        <w:t xml:space="preserve">… </w:t>
      </w:r>
      <w:r w:rsidR="005B5A09" w:rsidRPr="00920634">
        <w:rPr>
          <w:rFonts w:asciiTheme="minorHAnsi" w:hAnsiTheme="minorHAnsi" w:cstheme="minorHAnsi"/>
          <w:i/>
        </w:rPr>
        <w:t>výdaje, proti kterým přímá protihodnota nestojí</w:t>
      </w:r>
      <w:r w:rsidR="008A34BE" w:rsidRPr="00920634">
        <w:rPr>
          <w:rFonts w:asciiTheme="minorHAnsi" w:hAnsiTheme="minorHAnsi" w:cstheme="minorHAnsi"/>
        </w:rPr>
        <w:t>.</w:t>
      </w:r>
      <w:r w:rsidR="005B5A09" w:rsidRPr="00920634">
        <w:rPr>
          <w:rFonts w:asciiTheme="minorHAnsi" w:hAnsiTheme="minorHAnsi" w:cstheme="minorHAnsi"/>
        </w:rPr>
        <w:t>“</w:t>
      </w:r>
      <w:r w:rsidR="00A332D9" w:rsidRPr="00920634">
        <w:rPr>
          <w:rStyle w:val="Znakapoznpodarou"/>
          <w:rFonts w:asciiTheme="minorHAnsi" w:hAnsiTheme="minorHAnsi" w:cstheme="minorHAnsi"/>
        </w:rPr>
        <w:footnoteReference w:id="7"/>
      </w:r>
    </w:p>
    <w:p w14:paraId="7BDECF05" w14:textId="77777777" w:rsidR="006F6E89" w:rsidRDefault="006F6E8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7D849F3" w14:textId="428FC8A6" w:rsidR="00A332D9" w:rsidRPr="00920634" w:rsidRDefault="005B5A0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lastRenderedPageBreak/>
        <w:t xml:space="preserve">V příloze vyhlášky </w:t>
      </w:r>
      <w:r w:rsidR="006F6E89" w:rsidRPr="00920634">
        <w:rPr>
          <w:rFonts w:asciiTheme="minorHAnsi" w:hAnsiTheme="minorHAnsi" w:cstheme="minorHAnsi"/>
        </w:rPr>
        <w:t>č. 323/2002 Sb.</w:t>
      </w:r>
      <w:r w:rsidR="006F6E89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je </w:t>
      </w:r>
      <w:r w:rsidR="005365D8" w:rsidRPr="00920634">
        <w:rPr>
          <w:rFonts w:asciiTheme="minorHAnsi" w:hAnsiTheme="minorHAnsi" w:cstheme="minorHAnsi"/>
        </w:rPr>
        <w:t xml:space="preserve">pak </w:t>
      </w:r>
      <w:r w:rsidRPr="00920634">
        <w:rPr>
          <w:rFonts w:asciiTheme="minorHAnsi" w:hAnsiTheme="minorHAnsi" w:cstheme="minorHAnsi"/>
        </w:rPr>
        <w:t>uvedeno</w:t>
      </w:r>
      <w:r w:rsidR="006F6E89" w:rsidRPr="00920634">
        <w:rPr>
          <w:rStyle w:val="Znakapoznpodarou"/>
          <w:rFonts w:asciiTheme="minorHAnsi" w:hAnsiTheme="minorHAnsi" w:cstheme="minorHAnsi"/>
        </w:rPr>
        <w:footnoteReference w:id="8"/>
      </w:r>
      <w:r w:rsidRPr="00920634">
        <w:rPr>
          <w:rFonts w:asciiTheme="minorHAnsi" w:hAnsiTheme="minorHAnsi" w:cstheme="minorHAnsi"/>
        </w:rPr>
        <w:t xml:space="preserve">, že dotace </w:t>
      </w:r>
      <w:r w:rsidR="00647006" w:rsidRPr="00920634">
        <w:rPr>
          <w:rFonts w:asciiTheme="minorHAnsi" w:hAnsiTheme="minorHAnsi" w:cstheme="minorHAnsi"/>
        </w:rPr>
        <w:t xml:space="preserve">je transferem. </w:t>
      </w:r>
      <w:r w:rsidRPr="00920634">
        <w:rPr>
          <w:rFonts w:asciiTheme="minorHAnsi" w:hAnsiTheme="minorHAnsi" w:cstheme="minorHAnsi"/>
        </w:rPr>
        <w:t>Z</w:t>
      </w:r>
      <w:r w:rsidR="00647006" w:rsidRPr="00920634">
        <w:rPr>
          <w:rFonts w:asciiTheme="minorHAnsi" w:hAnsiTheme="minorHAnsi" w:cstheme="minorHAnsi"/>
        </w:rPr>
        <w:t> názvu a</w:t>
      </w:r>
      <w:r w:rsidR="005534FA">
        <w:rPr>
          <w:rFonts w:asciiTheme="minorHAnsi" w:hAnsiTheme="minorHAnsi" w:cstheme="minorHAnsi"/>
        </w:rPr>
        <w:t> </w:t>
      </w:r>
      <w:r w:rsidR="00647006" w:rsidRPr="00920634">
        <w:rPr>
          <w:rFonts w:asciiTheme="minorHAnsi" w:hAnsiTheme="minorHAnsi" w:cstheme="minorHAnsi"/>
        </w:rPr>
        <w:t xml:space="preserve">obsahových vymezení položek </w:t>
      </w:r>
      <w:r w:rsidRPr="00920634">
        <w:rPr>
          <w:rFonts w:asciiTheme="minorHAnsi" w:hAnsiTheme="minorHAnsi" w:cstheme="minorHAnsi"/>
        </w:rPr>
        <w:t xml:space="preserve">rozpočtové skladby </w:t>
      </w:r>
      <w:r w:rsidR="0080672D" w:rsidRPr="00920634">
        <w:rPr>
          <w:rFonts w:asciiTheme="minorHAnsi" w:hAnsiTheme="minorHAnsi" w:cstheme="minorHAnsi"/>
        </w:rPr>
        <w:t xml:space="preserve">však </w:t>
      </w:r>
      <w:r w:rsidRPr="00920634">
        <w:rPr>
          <w:rFonts w:asciiTheme="minorHAnsi" w:hAnsiTheme="minorHAnsi" w:cstheme="minorHAnsi"/>
        </w:rPr>
        <w:t xml:space="preserve">vyplývá, že transferem jsou myšleny </w:t>
      </w:r>
      <w:r w:rsidR="006F6E89">
        <w:rPr>
          <w:rFonts w:asciiTheme="minorHAnsi" w:hAnsiTheme="minorHAnsi" w:cstheme="minorHAnsi"/>
        </w:rPr>
        <w:t>nejen</w:t>
      </w:r>
      <w:r w:rsidRPr="00920634">
        <w:rPr>
          <w:rFonts w:asciiTheme="minorHAnsi" w:hAnsiTheme="minorHAnsi" w:cstheme="minorHAnsi"/>
        </w:rPr>
        <w:t xml:space="preserve"> dotace, ale také poskytnuté příspěvky, sociální dávky, převody z Národního fondu</w:t>
      </w:r>
      <w:r w:rsidR="00643E1A" w:rsidRPr="00920634">
        <w:rPr>
          <w:rFonts w:asciiTheme="minorHAnsi" w:hAnsiTheme="minorHAnsi" w:cstheme="minorHAnsi"/>
        </w:rPr>
        <w:t xml:space="preserve"> Ministerstva financí</w:t>
      </w:r>
      <w:r w:rsidR="00BC5D19" w:rsidRPr="00920634">
        <w:rPr>
          <w:rStyle w:val="Znakapoznpodarou"/>
          <w:rFonts w:asciiTheme="minorHAnsi" w:hAnsiTheme="minorHAnsi" w:cstheme="minorHAnsi"/>
        </w:rPr>
        <w:footnoteReference w:id="9"/>
      </w:r>
      <w:r w:rsidRPr="00920634">
        <w:rPr>
          <w:rFonts w:asciiTheme="minorHAnsi" w:hAnsiTheme="minorHAnsi" w:cstheme="minorHAnsi"/>
        </w:rPr>
        <w:t xml:space="preserve"> a jiné druhy prostředků určených na určitý účel.</w:t>
      </w:r>
    </w:p>
    <w:p w14:paraId="06ABDBD5" w14:textId="77777777" w:rsidR="004D428D" w:rsidRDefault="004D428D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F553144" w14:textId="5C9AEB0E" w:rsidR="007F76AB" w:rsidRPr="00920634" w:rsidRDefault="007F76AB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Rozpočtová skladba označuje za transfery i prostředky poskytnuté návratně (půjčené prostředky), jsou-li poskytovány jako akt rozpočtové politiky</w:t>
      </w:r>
      <w:r w:rsidR="004212F3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nikoliv jako nástroj řízení likvidity.</w:t>
      </w:r>
    </w:p>
    <w:p w14:paraId="3F37D388" w14:textId="77777777" w:rsidR="00BE03F0" w:rsidRPr="00920634" w:rsidRDefault="00BE03F0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05A02B" w14:textId="154D7C06" w:rsidR="00A332D9" w:rsidRPr="00920634" w:rsidRDefault="00A332D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Další prováděcí vyhláška k rozpočtovým pravidlům, </w:t>
      </w:r>
      <w:r w:rsidR="0031288F" w:rsidRPr="00920634">
        <w:rPr>
          <w:rFonts w:asciiTheme="minorHAnsi" w:hAnsiTheme="minorHAnsi" w:cstheme="minorHAnsi"/>
        </w:rPr>
        <w:t xml:space="preserve">tj. </w:t>
      </w:r>
      <w:r w:rsidRPr="00920634">
        <w:rPr>
          <w:rFonts w:asciiTheme="minorHAnsi" w:hAnsiTheme="minorHAnsi" w:cstheme="minorHAnsi"/>
        </w:rPr>
        <w:t>vyhláška č. 286/2007 Sb., o centrální evidenci dotací</w:t>
      </w:r>
      <w:r w:rsidR="000B37C2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</w:t>
      </w:r>
      <w:r w:rsidRPr="00427016">
        <w:rPr>
          <w:rFonts w:asciiTheme="minorHAnsi" w:hAnsiTheme="minorHAnsi" w:cstheme="minorHAnsi"/>
        </w:rPr>
        <w:t>v</w:t>
      </w:r>
      <w:r w:rsidR="009D2E70" w:rsidRPr="00427016">
        <w:rPr>
          <w:rFonts w:asciiTheme="minorHAnsi" w:hAnsiTheme="minorHAnsi" w:cstheme="minorHAnsi"/>
        </w:rPr>
        <w:t> ustanovení</w:t>
      </w:r>
      <w:r w:rsidR="009D2E70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§ 1 o</w:t>
      </w:r>
      <w:r w:rsidR="00767FCB" w:rsidRPr="00920634">
        <w:rPr>
          <w:rFonts w:asciiTheme="minorHAnsi" w:hAnsiTheme="minorHAnsi" w:cstheme="minorHAnsi"/>
        </w:rPr>
        <w:t>z</w:t>
      </w:r>
      <w:r w:rsidRPr="00920634">
        <w:rPr>
          <w:rFonts w:asciiTheme="minorHAnsi" w:hAnsiTheme="minorHAnsi" w:cstheme="minorHAnsi"/>
        </w:rPr>
        <w:t>načuje „dotace“ a „další obdobné tra</w:t>
      </w:r>
      <w:r w:rsidR="00767FCB" w:rsidRPr="00920634">
        <w:rPr>
          <w:rFonts w:asciiTheme="minorHAnsi" w:hAnsiTheme="minorHAnsi" w:cstheme="minorHAnsi"/>
        </w:rPr>
        <w:t>n</w:t>
      </w:r>
      <w:r w:rsidRPr="00920634">
        <w:rPr>
          <w:rFonts w:asciiTheme="minorHAnsi" w:hAnsiTheme="minorHAnsi" w:cstheme="minorHAnsi"/>
        </w:rPr>
        <w:t xml:space="preserve">sfery“ </w:t>
      </w:r>
      <w:r w:rsidR="00767FCB" w:rsidRPr="00920634">
        <w:rPr>
          <w:rFonts w:asciiTheme="minorHAnsi" w:hAnsiTheme="minorHAnsi" w:cstheme="minorHAnsi"/>
        </w:rPr>
        <w:t xml:space="preserve">spolu s návratnými finančními výpomocemi souhrnně </w:t>
      </w:r>
      <w:r w:rsidRPr="00920634">
        <w:rPr>
          <w:rFonts w:asciiTheme="minorHAnsi" w:hAnsiTheme="minorHAnsi" w:cstheme="minorHAnsi"/>
        </w:rPr>
        <w:t>pojmem „účelově poskytnuté prostředky“</w:t>
      </w:r>
      <w:r w:rsidR="00767FCB" w:rsidRPr="00920634">
        <w:rPr>
          <w:rFonts w:asciiTheme="minorHAnsi" w:hAnsiTheme="minorHAnsi" w:cstheme="minorHAnsi"/>
        </w:rPr>
        <w:t>.</w:t>
      </w:r>
    </w:p>
    <w:p w14:paraId="435D6552" w14:textId="77777777" w:rsidR="00BE03F0" w:rsidRPr="00920634" w:rsidRDefault="00BE03F0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821B245" w14:textId="6FA9FCB9" w:rsidR="00940959" w:rsidRPr="00920634" w:rsidRDefault="007F76AB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 hlediska předpisů EU se jedná o příjmy a výdaje, kter</w:t>
      </w:r>
      <w:r w:rsidR="00A567BE" w:rsidRPr="00920634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se týkají příslušných fondů EU.</w:t>
      </w:r>
      <w:r w:rsidR="00E43C88" w:rsidRPr="00920634">
        <w:rPr>
          <w:rFonts w:asciiTheme="minorHAnsi" w:hAnsiTheme="minorHAnsi" w:cstheme="minorHAnsi"/>
        </w:rPr>
        <w:t xml:space="preserve"> </w:t>
      </w:r>
    </w:p>
    <w:p w14:paraId="2F20D4AA" w14:textId="77777777" w:rsidR="002D029F" w:rsidRPr="00920634" w:rsidRDefault="002D029F" w:rsidP="00114439">
      <w:pPr>
        <w:jc w:val="both"/>
        <w:rPr>
          <w:rFonts w:asciiTheme="minorHAnsi" w:hAnsiTheme="minorHAnsi" w:cstheme="minorHAnsi"/>
        </w:rPr>
      </w:pPr>
    </w:p>
    <w:p w14:paraId="0C05298C" w14:textId="29623364" w:rsidR="007E26FD" w:rsidRPr="00920634" w:rsidRDefault="00D833AC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Realizované </w:t>
      </w:r>
      <w:r w:rsidR="00E43C88" w:rsidRPr="00920634">
        <w:rPr>
          <w:rFonts w:asciiTheme="minorHAnsi" w:hAnsiTheme="minorHAnsi" w:cstheme="minorHAnsi"/>
        </w:rPr>
        <w:t>příjmy a výdaje přímo ovlivňují výši salda státního rozpočtu</w:t>
      </w:r>
      <w:r w:rsidR="007F76AB" w:rsidRPr="00920634">
        <w:rPr>
          <w:rFonts w:asciiTheme="minorHAnsi" w:hAnsiTheme="minorHAnsi" w:cstheme="minorHAnsi"/>
        </w:rPr>
        <w:t xml:space="preserve"> ČR</w:t>
      </w:r>
      <w:r w:rsidR="00940959" w:rsidRPr="00920634">
        <w:rPr>
          <w:rFonts w:asciiTheme="minorHAnsi" w:hAnsiTheme="minorHAnsi" w:cstheme="minorHAnsi"/>
        </w:rPr>
        <w:t>, které je výsledkem rozpočtového hospodaření a zobrazuje se v rozpočtovém účetnictví</w:t>
      </w:r>
      <w:r w:rsidR="006A5409">
        <w:rPr>
          <w:rStyle w:val="Znakapoznpodarou"/>
          <w:rFonts w:asciiTheme="minorHAnsi" w:hAnsiTheme="minorHAnsi" w:cstheme="minorHAnsi"/>
        </w:rPr>
        <w:footnoteReference w:id="10"/>
      </w:r>
      <w:r w:rsidR="00E43C88" w:rsidRPr="00920634">
        <w:rPr>
          <w:rFonts w:asciiTheme="minorHAnsi" w:hAnsiTheme="minorHAnsi" w:cstheme="minorHAnsi"/>
        </w:rPr>
        <w:t>.</w:t>
      </w:r>
    </w:p>
    <w:p w14:paraId="52465134" w14:textId="77777777" w:rsidR="007E26FD" w:rsidRPr="00920634" w:rsidRDefault="007E26FD" w:rsidP="00114439">
      <w:pPr>
        <w:jc w:val="both"/>
        <w:rPr>
          <w:rFonts w:asciiTheme="minorHAnsi" w:hAnsiTheme="minorHAnsi" w:cstheme="minorHAnsi"/>
          <w:b/>
        </w:rPr>
      </w:pPr>
    </w:p>
    <w:p w14:paraId="45D81F47" w14:textId="17FBBA25" w:rsidR="00DC4B81" w:rsidRPr="00920634" w:rsidRDefault="00767FCB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Transfery </w:t>
      </w:r>
      <w:r w:rsidR="00880AA5" w:rsidRPr="00920634">
        <w:rPr>
          <w:rFonts w:asciiTheme="minorHAnsi" w:hAnsiTheme="minorHAnsi" w:cstheme="minorHAnsi"/>
          <w:b/>
        </w:rPr>
        <w:t>v</w:t>
      </w:r>
      <w:r w:rsidRPr="00920634">
        <w:rPr>
          <w:rFonts w:asciiTheme="minorHAnsi" w:hAnsiTheme="minorHAnsi" w:cstheme="minorHAnsi"/>
          <w:b/>
        </w:rPr>
        <w:t xml:space="preserve"> účetním </w:t>
      </w:r>
      <w:r w:rsidR="00880AA5" w:rsidRPr="00920634">
        <w:rPr>
          <w:rFonts w:asciiTheme="minorHAnsi" w:hAnsiTheme="minorHAnsi" w:cstheme="minorHAnsi"/>
          <w:b/>
        </w:rPr>
        <w:t>vymezení</w:t>
      </w:r>
    </w:p>
    <w:p w14:paraId="0F5DE1AA" w14:textId="31F07E24" w:rsidR="00767FCB" w:rsidRPr="00920634" w:rsidRDefault="00767FCB" w:rsidP="008D4CD3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Pojem transfer je pro potřeby</w:t>
      </w:r>
      <w:r w:rsidR="00940959" w:rsidRPr="00920634">
        <w:rPr>
          <w:rFonts w:asciiTheme="minorHAnsi" w:hAnsiTheme="minorHAnsi" w:cstheme="minorHAnsi"/>
        </w:rPr>
        <w:t xml:space="preserve"> finančního</w:t>
      </w:r>
      <w:r w:rsidRPr="00920634">
        <w:rPr>
          <w:rFonts w:asciiTheme="minorHAnsi" w:hAnsiTheme="minorHAnsi" w:cstheme="minorHAnsi"/>
        </w:rPr>
        <w:t xml:space="preserve"> účetnictví v případě organizačních složek státu vymezen </w:t>
      </w:r>
      <w:r w:rsidRPr="008D4CD3">
        <w:rPr>
          <w:rFonts w:asciiTheme="minorHAnsi" w:hAnsiTheme="minorHAnsi" w:cstheme="minorHAnsi"/>
          <w:i/>
        </w:rPr>
        <w:t>Českým účetním standardem pro některé vybrané účetní jednotky</w:t>
      </w:r>
      <w:r w:rsidR="001069B6" w:rsidRPr="008D4CD3">
        <w:rPr>
          <w:rFonts w:asciiTheme="minorHAnsi" w:hAnsiTheme="minorHAnsi" w:cstheme="minorHAnsi"/>
          <w:i/>
        </w:rPr>
        <w:t xml:space="preserve"> </w:t>
      </w:r>
      <w:r w:rsidR="001069B6" w:rsidRPr="008D4CD3">
        <w:rPr>
          <w:rFonts w:asciiTheme="minorHAnsi" w:hAnsiTheme="minorHAnsi" w:cstheme="minorHAnsi"/>
          <w:i/>
        </w:rPr>
        <w:br/>
      </w:r>
      <w:r w:rsidRPr="008D4CD3">
        <w:rPr>
          <w:rFonts w:asciiTheme="minorHAnsi" w:hAnsiTheme="minorHAnsi" w:cstheme="minorHAnsi"/>
          <w:i/>
        </w:rPr>
        <w:t>č. 703 – Transfery</w:t>
      </w:r>
      <w:r w:rsidRPr="00920634">
        <w:rPr>
          <w:rFonts w:asciiTheme="minorHAnsi" w:hAnsiTheme="minorHAnsi" w:cstheme="minorHAnsi"/>
        </w:rPr>
        <w:t xml:space="preserve"> (dále jen „Č</w:t>
      </w:r>
      <w:r w:rsidR="001F6D00" w:rsidRPr="00920634">
        <w:rPr>
          <w:rFonts w:asciiTheme="minorHAnsi" w:hAnsiTheme="minorHAnsi" w:cstheme="minorHAnsi"/>
        </w:rPr>
        <w:t>Ú</w:t>
      </w:r>
      <w:r w:rsidRPr="00920634">
        <w:rPr>
          <w:rFonts w:asciiTheme="minorHAnsi" w:hAnsiTheme="minorHAnsi" w:cstheme="minorHAnsi"/>
        </w:rPr>
        <w:t xml:space="preserve">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>“)</w:t>
      </w:r>
      <w:r w:rsidRPr="00920634">
        <w:rPr>
          <w:rStyle w:val="Znakapoznpodarou"/>
          <w:rFonts w:asciiTheme="minorHAnsi" w:hAnsiTheme="minorHAnsi" w:cstheme="minorHAnsi"/>
        </w:rPr>
        <w:footnoteReference w:id="11"/>
      </w:r>
      <w:r w:rsidR="000F71C6" w:rsidRPr="00920634">
        <w:rPr>
          <w:rFonts w:asciiTheme="minorHAnsi" w:hAnsiTheme="minorHAnsi" w:cstheme="minorHAnsi"/>
        </w:rPr>
        <w:t xml:space="preserve"> jako: „</w:t>
      </w:r>
      <w:r w:rsidRPr="00920634">
        <w:rPr>
          <w:rFonts w:asciiTheme="minorHAnsi" w:hAnsiTheme="minorHAnsi" w:cstheme="minorHAnsi"/>
          <w:b/>
          <w:i/>
        </w:rPr>
        <w:t>poskytnutí peněžních prostředků z veřejných rozpočtů i</w:t>
      </w:r>
      <w:r w:rsidR="00BE03F0" w:rsidRPr="00920634">
        <w:rPr>
          <w:rFonts w:asciiTheme="minorHAnsi" w:hAnsiTheme="minorHAnsi" w:cstheme="minorHAnsi"/>
          <w:b/>
          <w:i/>
        </w:rPr>
        <w:t> </w:t>
      </w:r>
      <w:r w:rsidRPr="00920634">
        <w:rPr>
          <w:rFonts w:asciiTheme="minorHAnsi" w:hAnsiTheme="minorHAnsi" w:cstheme="minorHAnsi"/>
          <w:b/>
          <w:i/>
        </w:rPr>
        <w:t>přijetí</w:t>
      </w:r>
      <w:r w:rsidRPr="00920634">
        <w:rPr>
          <w:rFonts w:asciiTheme="minorHAnsi" w:hAnsiTheme="minorHAnsi" w:cstheme="minorHAnsi"/>
          <w:i/>
        </w:rPr>
        <w:t xml:space="preserve"> peněžních prostředků veřejnými rozpočty, </w:t>
      </w:r>
      <w:r w:rsidRPr="00920634">
        <w:rPr>
          <w:rFonts w:asciiTheme="minorHAnsi" w:hAnsiTheme="minorHAnsi" w:cstheme="minorHAnsi"/>
          <w:b/>
          <w:i/>
        </w:rPr>
        <w:t>včetně prostředků ze zahraničí</w:t>
      </w:r>
      <w:r w:rsidRPr="008D4CD3">
        <w:rPr>
          <w:rFonts w:asciiTheme="minorHAnsi" w:hAnsiTheme="minorHAnsi" w:cstheme="minorHAnsi"/>
          <w:b/>
          <w:i/>
        </w:rPr>
        <w:t>,</w:t>
      </w:r>
      <w:r w:rsidRPr="00920634">
        <w:rPr>
          <w:rFonts w:asciiTheme="minorHAnsi" w:hAnsiTheme="minorHAnsi" w:cstheme="minorHAnsi"/>
          <w:i/>
        </w:rPr>
        <w:t xml:space="preserve"> zejména v případě státního rozpočtu, rozpočtů územních samospráv či státních fondů, tedy </w:t>
      </w:r>
      <w:r w:rsidRPr="00920634">
        <w:rPr>
          <w:rFonts w:asciiTheme="minorHAnsi" w:hAnsiTheme="minorHAnsi" w:cstheme="minorHAnsi"/>
          <w:b/>
          <w:i/>
        </w:rPr>
        <w:t>zejména dotace</w:t>
      </w:r>
      <w:r w:rsidRPr="008D4CD3">
        <w:rPr>
          <w:rFonts w:asciiTheme="minorHAnsi" w:hAnsiTheme="minorHAnsi" w:cstheme="minorHAnsi"/>
          <w:b/>
          <w:i/>
        </w:rPr>
        <w:t>,</w:t>
      </w:r>
      <w:r w:rsidRPr="00920634">
        <w:rPr>
          <w:rFonts w:asciiTheme="minorHAnsi" w:hAnsiTheme="minorHAnsi" w:cstheme="minorHAnsi"/>
          <w:i/>
        </w:rPr>
        <w:t xml:space="preserve"> granty, příspěvky, subvence, dávky, nenávratné finanční výpomoci, podpory či peněžní dary</w:t>
      </w:r>
      <w:r w:rsidR="000F71C6" w:rsidRPr="00920634">
        <w:rPr>
          <w:rFonts w:asciiTheme="minorHAnsi" w:hAnsiTheme="minorHAnsi" w:cstheme="minorHAnsi"/>
          <w:i/>
        </w:rPr>
        <w:t>“</w:t>
      </w:r>
      <w:r w:rsidR="000F71C6" w:rsidRPr="00920634">
        <w:rPr>
          <w:rFonts w:asciiTheme="minorHAnsi" w:hAnsiTheme="minorHAnsi" w:cstheme="minorHAnsi"/>
        </w:rPr>
        <w:t>.</w:t>
      </w:r>
      <w:r w:rsidR="004212F3">
        <w:rPr>
          <w:rFonts w:asciiTheme="minorHAnsi" w:hAnsiTheme="minorHAnsi" w:cstheme="minorHAnsi"/>
        </w:rPr>
        <w:t xml:space="preserve"> </w:t>
      </w:r>
      <w:r w:rsidR="00817431" w:rsidRPr="00920634">
        <w:rPr>
          <w:rFonts w:asciiTheme="minorHAnsi" w:hAnsiTheme="minorHAnsi" w:cstheme="minorHAnsi"/>
        </w:rPr>
        <w:t>Pro potřeb</w:t>
      </w:r>
      <w:r w:rsidR="00864FB4" w:rsidRPr="00920634">
        <w:rPr>
          <w:rFonts w:asciiTheme="minorHAnsi" w:hAnsiTheme="minorHAnsi" w:cstheme="minorHAnsi"/>
        </w:rPr>
        <w:t>y</w:t>
      </w:r>
      <w:r w:rsidR="00817431" w:rsidRPr="00920634">
        <w:rPr>
          <w:rFonts w:asciiTheme="minorHAnsi" w:hAnsiTheme="minorHAnsi" w:cstheme="minorHAnsi"/>
        </w:rPr>
        <w:t xml:space="preserve"> účetnictví není „transfer“ vymezen </w:t>
      </w:r>
      <w:r w:rsidR="0080672D" w:rsidRPr="00920634">
        <w:rPr>
          <w:rFonts w:asciiTheme="minorHAnsi" w:hAnsiTheme="minorHAnsi" w:cstheme="minorHAnsi"/>
        </w:rPr>
        <w:t>koncepčně, ale pouze</w:t>
      </w:r>
      <w:r w:rsidR="0082764D" w:rsidRPr="00920634">
        <w:rPr>
          <w:rFonts w:asciiTheme="minorHAnsi" w:hAnsiTheme="minorHAnsi" w:cstheme="minorHAnsi"/>
        </w:rPr>
        <w:t xml:space="preserve"> </w:t>
      </w:r>
      <w:r w:rsidR="004212F3">
        <w:rPr>
          <w:rFonts w:asciiTheme="minorHAnsi" w:hAnsiTheme="minorHAnsi" w:cstheme="minorHAnsi"/>
        </w:rPr>
        <w:t xml:space="preserve">demonstrativním </w:t>
      </w:r>
      <w:r w:rsidR="0080672D" w:rsidRPr="00920634">
        <w:rPr>
          <w:rFonts w:asciiTheme="minorHAnsi" w:hAnsiTheme="minorHAnsi" w:cstheme="minorHAnsi"/>
        </w:rPr>
        <w:t>výčtem případů, z</w:t>
      </w:r>
      <w:r w:rsidR="007F76AB" w:rsidRPr="00920634">
        <w:rPr>
          <w:rFonts w:asciiTheme="minorHAnsi" w:hAnsiTheme="minorHAnsi" w:cstheme="minorHAnsi"/>
        </w:rPr>
        <w:t>e</w:t>
      </w:r>
      <w:r w:rsidR="008C2F56">
        <w:rPr>
          <w:rFonts w:asciiTheme="minorHAnsi" w:hAnsiTheme="minorHAnsi" w:cstheme="minorHAnsi"/>
        </w:rPr>
        <w:t xml:space="preserve"> </w:t>
      </w:r>
      <w:r w:rsidR="0080672D" w:rsidRPr="00920634">
        <w:rPr>
          <w:rFonts w:asciiTheme="minorHAnsi" w:hAnsiTheme="minorHAnsi" w:cstheme="minorHAnsi"/>
        </w:rPr>
        <w:t>kterých</w:t>
      </w:r>
      <w:r w:rsidR="007F76AB" w:rsidRPr="00920634">
        <w:rPr>
          <w:rFonts w:asciiTheme="minorHAnsi" w:hAnsiTheme="minorHAnsi" w:cstheme="minorHAnsi"/>
        </w:rPr>
        <w:t xml:space="preserve"> však</w:t>
      </w:r>
      <w:r w:rsidR="0080672D" w:rsidRPr="00920634">
        <w:rPr>
          <w:rFonts w:asciiTheme="minorHAnsi" w:hAnsiTheme="minorHAnsi" w:cstheme="minorHAnsi"/>
        </w:rPr>
        <w:t xml:space="preserve"> lze odvodit, že se jedná o účelov</w:t>
      </w:r>
      <w:r w:rsidR="007F76AB" w:rsidRPr="00920634">
        <w:rPr>
          <w:rFonts w:asciiTheme="minorHAnsi" w:hAnsiTheme="minorHAnsi" w:cstheme="minorHAnsi"/>
        </w:rPr>
        <w:t>ě</w:t>
      </w:r>
      <w:r w:rsidR="0080672D" w:rsidRPr="00920634">
        <w:rPr>
          <w:rFonts w:asciiTheme="minorHAnsi" w:hAnsiTheme="minorHAnsi" w:cstheme="minorHAnsi"/>
        </w:rPr>
        <w:t xml:space="preserve"> poskytnut</w:t>
      </w:r>
      <w:r w:rsidR="007F76AB" w:rsidRPr="00920634">
        <w:rPr>
          <w:rFonts w:asciiTheme="minorHAnsi" w:hAnsiTheme="minorHAnsi" w:cstheme="minorHAnsi"/>
        </w:rPr>
        <w:t>é</w:t>
      </w:r>
      <w:r w:rsidR="0080672D" w:rsidRPr="00920634">
        <w:rPr>
          <w:rFonts w:asciiTheme="minorHAnsi" w:hAnsiTheme="minorHAnsi" w:cstheme="minorHAnsi"/>
        </w:rPr>
        <w:t xml:space="preserve"> prostředk</w:t>
      </w:r>
      <w:r w:rsidR="007F76AB" w:rsidRPr="00920634">
        <w:rPr>
          <w:rFonts w:asciiTheme="minorHAnsi" w:hAnsiTheme="minorHAnsi" w:cstheme="minorHAnsi"/>
        </w:rPr>
        <w:t>y</w:t>
      </w:r>
      <w:r w:rsidR="0080672D" w:rsidRPr="00920634">
        <w:rPr>
          <w:rFonts w:asciiTheme="minorHAnsi" w:hAnsiTheme="minorHAnsi" w:cstheme="minorHAnsi"/>
        </w:rPr>
        <w:t xml:space="preserve"> bez získání protihodnoty. ČÚS č. 703 – </w:t>
      </w:r>
      <w:r w:rsidR="0080672D" w:rsidRPr="008D4CD3">
        <w:rPr>
          <w:rFonts w:asciiTheme="minorHAnsi" w:hAnsiTheme="minorHAnsi" w:cstheme="minorHAnsi"/>
          <w:i/>
        </w:rPr>
        <w:t>Transfery</w:t>
      </w:r>
      <w:r w:rsidR="0080672D" w:rsidRPr="00920634">
        <w:rPr>
          <w:rFonts w:asciiTheme="minorHAnsi" w:hAnsiTheme="minorHAnsi" w:cstheme="minorHAnsi"/>
        </w:rPr>
        <w:t xml:space="preserve"> dále </w:t>
      </w:r>
      <w:r w:rsidR="00EB39BE">
        <w:rPr>
          <w:rFonts w:asciiTheme="minorHAnsi" w:hAnsiTheme="minorHAnsi" w:cstheme="minorHAnsi"/>
        </w:rPr>
        <w:t>obsahuje negativní vymezení transferu</w:t>
      </w:r>
      <w:r w:rsidR="0080672D" w:rsidRPr="00920634">
        <w:rPr>
          <w:rFonts w:asciiTheme="minorHAnsi" w:hAnsiTheme="minorHAnsi" w:cstheme="minorHAnsi"/>
        </w:rPr>
        <w:t xml:space="preserve"> (např. </w:t>
      </w:r>
      <w:r w:rsidRPr="00920634">
        <w:rPr>
          <w:rFonts w:asciiTheme="minorHAnsi" w:hAnsiTheme="minorHAnsi" w:cstheme="minorHAnsi"/>
        </w:rPr>
        <w:t>daně, obdobné poplatky a dávky, pokuty, penále, odvody sankčního charakteru</w:t>
      </w:r>
      <w:r w:rsidR="0080672D" w:rsidRPr="00920634">
        <w:rPr>
          <w:rFonts w:asciiTheme="minorHAnsi" w:hAnsiTheme="minorHAnsi" w:cstheme="minorHAnsi"/>
        </w:rPr>
        <w:t>)</w:t>
      </w:r>
      <w:r w:rsidR="007C7FCE" w:rsidRPr="00920634">
        <w:rPr>
          <w:rFonts w:asciiTheme="minorHAnsi" w:hAnsiTheme="minorHAnsi" w:cstheme="minorHAnsi"/>
        </w:rPr>
        <w:t>.</w:t>
      </w:r>
    </w:p>
    <w:p w14:paraId="63187E96" w14:textId="77777777" w:rsidR="00767FCB" w:rsidRPr="00920634" w:rsidRDefault="00767FCB" w:rsidP="0011443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4BD168" w14:textId="67D55FF5" w:rsidR="00805076" w:rsidRPr="00920634" w:rsidRDefault="00805076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 účetního hlediska jsou tedy dotace týkající se prostředků ze zahraničí transferem; za transfer jsou považovány i prostředky </w:t>
      </w:r>
      <w:r w:rsidR="008C2F56" w:rsidRPr="00920634">
        <w:rPr>
          <w:rFonts w:asciiTheme="minorHAnsi" w:hAnsiTheme="minorHAnsi" w:cstheme="minorHAnsi"/>
        </w:rPr>
        <w:t xml:space="preserve">přijaté </w:t>
      </w:r>
      <w:r w:rsidRPr="00920634">
        <w:rPr>
          <w:rFonts w:asciiTheme="minorHAnsi" w:hAnsiTheme="minorHAnsi" w:cstheme="minorHAnsi"/>
        </w:rPr>
        <w:t xml:space="preserve">ze zahraničí, </w:t>
      </w:r>
      <w:r w:rsidR="008C2F56">
        <w:rPr>
          <w:rFonts w:asciiTheme="minorHAnsi" w:hAnsiTheme="minorHAnsi" w:cstheme="minorHAnsi"/>
        </w:rPr>
        <w:t xml:space="preserve">a to jak </w:t>
      </w:r>
      <w:r w:rsidRPr="00920634">
        <w:rPr>
          <w:rFonts w:asciiTheme="minorHAnsi" w:hAnsiTheme="minorHAnsi" w:cstheme="minorHAnsi"/>
        </w:rPr>
        <w:t>přímo</w:t>
      </w:r>
      <w:r w:rsidR="008C2F56">
        <w:rPr>
          <w:rFonts w:asciiTheme="minorHAnsi" w:hAnsiTheme="minorHAnsi" w:cstheme="minorHAnsi"/>
        </w:rPr>
        <w:t>, tak</w:t>
      </w:r>
      <w:r w:rsidRPr="00920634">
        <w:rPr>
          <w:rFonts w:asciiTheme="minorHAnsi" w:hAnsiTheme="minorHAnsi" w:cstheme="minorHAnsi"/>
        </w:rPr>
        <w:t xml:space="preserve"> prostřednictvím Národního fondu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. </w:t>
      </w:r>
    </w:p>
    <w:p w14:paraId="139C2062" w14:textId="77777777" w:rsidR="00DC4B81" w:rsidRPr="00920634" w:rsidRDefault="00DC4B8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EB78F8" w14:textId="2C8BAF17" w:rsidR="009266F0" w:rsidRPr="00920634" w:rsidRDefault="003E2267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</w:t>
      </w:r>
      <w:r w:rsidR="009266F0" w:rsidRPr="00920634">
        <w:rPr>
          <w:rFonts w:asciiTheme="minorHAnsi" w:hAnsiTheme="minorHAnsi" w:cstheme="minorHAnsi"/>
        </w:rPr>
        <w:t xml:space="preserve">ezinárodní účetní standard pro veřejný sektor (IPSAS) č. 23 – </w:t>
      </w:r>
      <w:r w:rsidR="009266F0" w:rsidRPr="00920634">
        <w:rPr>
          <w:rFonts w:asciiTheme="minorHAnsi" w:hAnsiTheme="minorHAnsi" w:cstheme="minorHAnsi"/>
          <w:i/>
        </w:rPr>
        <w:t>Výnosy z nesměnných transakcí (daně a transfery)</w:t>
      </w:r>
      <w:r w:rsidRPr="00920634">
        <w:rPr>
          <w:rFonts w:asciiTheme="minorHAnsi" w:hAnsiTheme="minorHAnsi" w:cstheme="minorHAnsi"/>
        </w:rPr>
        <w:t xml:space="preserve"> </w:t>
      </w:r>
      <w:r w:rsidR="00747B92" w:rsidRPr="00920634">
        <w:rPr>
          <w:rStyle w:val="Znakapoznpodarou"/>
          <w:rFonts w:asciiTheme="minorHAnsi" w:hAnsiTheme="minorHAnsi" w:cstheme="minorHAnsi"/>
        </w:rPr>
        <w:footnoteReference w:id="12"/>
      </w:r>
      <w:r w:rsidR="005C3040" w:rsidRPr="00920634">
        <w:rPr>
          <w:rFonts w:asciiTheme="minorHAnsi" w:hAnsiTheme="minorHAnsi" w:cstheme="minorHAnsi"/>
        </w:rPr>
        <w:t xml:space="preserve"> </w:t>
      </w:r>
      <w:r w:rsidR="00725D7C" w:rsidRPr="00920634">
        <w:rPr>
          <w:rFonts w:asciiTheme="minorHAnsi" w:hAnsiTheme="minorHAnsi" w:cstheme="minorHAnsi"/>
        </w:rPr>
        <w:t>označuje v článku 77 dotace jako „transfer“, neboť představují transakci, při které jednotka získává od jiné jednotky hodnoty, aniž by jí poskytla přibližně stejnou hodnotu</w:t>
      </w:r>
      <w:r w:rsidR="009266F0" w:rsidRPr="00920634">
        <w:rPr>
          <w:rFonts w:asciiTheme="minorHAnsi" w:hAnsiTheme="minorHAnsi" w:cstheme="minorHAnsi"/>
        </w:rPr>
        <w:t>.</w:t>
      </w:r>
    </w:p>
    <w:p w14:paraId="5FFC0BAA" w14:textId="77777777" w:rsidR="00C531FD" w:rsidRPr="00920634" w:rsidRDefault="00C531FD" w:rsidP="00114439">
      <w:pPr>
        <w:jc w:val="both"/>
        <w:rPr>
          <w:rFonts w:asciiTheme="minorHAnsi" w:hAnsiTheme="minorHAnsi" w:cstheme="minorHAnsi"/>
          <w:b/>
        </w:rPr>
      </w:pPr>
    </w:p>
    <w:p w14:paraId="227514C0" w14:textId="4BED5571" w:rsidR="00E43C88" w:rsidRPr="00920634" w:rsidRDefault="000F70DC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lastRenderedPageBreak/>
        <w:t xml:space="preserve">Transfery mají </w:t>
      </w:r>
      <w:r w:rsidR="00E43C88" w:rsidRPr="00920634">
        <w:rPr>
          <w:rFonts w:asciiTheme="minorHAnsi" w:hAnsiTheme="minorHAnsi" w:cstheme="minorHAnsi"/>
        </w:rPr>
        <w:t>přímý vliv na dosažený výsledek hospodaření OSS</w:t>
      </w:r>
      <w:r w:rsidRPr="00920634">
        <w:rPr>
          <w:rFonts w:asciiTheme="minorHAnsi" w:hAnsiTheme="minorHAnsi" w:cstheme="minorHAnsi"/>
        </w:rPr>
        <w:t xml:space="preserve"> a</w:t>
      </w:r>
      <w:r w:rsidR="00E33C7D" w:rsidRPr="00920634">
        <w:rPr>
          <w:rFonts w:asciiTheme="minorHAnsi" w:hAnsiTheme="minorHAnsi" w:cstheme="minorHAnsi"/>
        </w:rPr>
        <w:t xml:space="preserve"> na</w:t>
      </w:r>
      <w:r w:rsidR="00E43C88" w:rsidRPr="00920634">
        <w:rPr>
          <w:rFonts w:asciiTheme="minorHAnsi" w:hAnsiTheme="minorHAnsi" w:cstheme="minorHAnsi"/>
        </w:rPr>
        <w:t xml:space="preserve"> </w:t>
      </w:r>
      <w:r w:rsidR="0082764D" w:rsidRPr="00920634">
        <w:rPr>
          <w:rFonts w:asciiTheme="minorHAnsi" w:hAnsiTheme="minorHAnsi" w:cstheme="minorHAnsi"/>
        </w:rPr>
        <w:t>její</w:t>
      </w:r>
      <w:r w:rsidR="00E43C88" w:rsidRPr="00920634">
        <w:rPr>
          <w:rFonts w:asciiTheme="minorHAnsi" w:hAnsiTheme="minorHAnsi" w:cstheme="minorHAnsi"/>
        </w:rPr>
        <w:t xml:space="preserve"> finanční situac</w:t>
      </w:r>
      <w:r w:rsidR="0082764D" w:rsidRPr="00920634">
        <w:rPr>
          <w:rFonts w:asciiTheme="minorHAnsi" w:hAnsiTheme="minorHAnsi" w:cstheme="minorHAnsi"/>
        </w:rPr>
        <w:t>i zobrazenou</w:t>
      </w:r>
      <w:r w:rsidRPr="00920634">
        <w:rPr>
          <w:rFonts w:asciiTheme="minorHAnsi" w:hAnsiTheme="minorHAnsi" w:cstheme="minorHAnsi"/>
        </w:rPr>
        <w:t xml:space="preserve"> v účetní závěrce. Od roku 2015</w:t>
      </w:r>
      <w:r w:rsidR="00E33C7D" w:rsidRPr="00920634">
        <w:rPr>
          <w:rStyle w:val="Znakapoznpodarou"/>
          <w:rFonts w:asciiTheme="minorHAnsi" w:hAnsiTheme="minorHAnsi" w:cstheme="minorHAnsi"/>
        </w:rPr>
        <w:footnoteReference w:id="13"/>
      </w:r>
      <w:r w:rsidRPr="00920634">
        <w:rPr>
          <w:rFonts w:asciiTheme="minorHAnsi" w:hAnsiTheme="minorHAnsi" w:cstheme="minorHAnsi"/>
        </w:rPr>
        <w:t xml:space="preserve"> </w:t>
      </w:r>
      <w:r w:rsidR="00B00257">
        <w:rPr>
          <w:rFonts w:asciiTheme="minorHAnsi" w:hAnsiTheme="minorHAnsi" w:cstheme="minorHAnsi"/>
        </w:rPr>
        <w:t>mají vliv</w:t>
      </w:r>
      <w:r w:rsidR="007F76AB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i na vyk</w:t>
      </w:r>
      <w:r w:rsidR="005062F4">
        <w:rPr>
          <w:rFonts w:asciiTheme="minorHAnsi" w:hAnsiTheme="minorHAnsi" w:cstheme="minorHAnsi"/>
        </w:rPr>
        <w:t>azování</w:t>
      </w:r>
      <w:r w:rsidRPr="00920634">
        <w:rPr>
          <w:rFonts w:asciiTheme="minorHAnsi" w:hAnsiTheme="minorHAnsi" w:cstheme="minorHAnsi"/>
        </w:rPr>
        <w:t xml:space="preserve"> údajů</w:t>
      </w:r>
      <w:r w:rsidR="00E43C88" w:rsidRPr="00920634">
        <w:rPr>
          <w:rFonts w:asciiTheme="minorHAnsi" w:hAnsiTheme="minorHAnsi" w:cstheme="minorHAnsi"/>
        </w:rPr>
        <w:t xml:space="preserve"> v souhrnných </w:t>
      </w:r>
      <w:r w:rsidRPr="00920634">
        <w:rPr>
          <w:rFonts w:asciiTheme="minorHAnsi" w:hAnsiTheme="minorHAnsi" w:cstheme="minorHAnsi"/>
        </w:rPr>
        <w:t xml:space="preserve">účetních </w:t>
      </w:r>
      <w:r w:rsidR="00E43C88" w:rsidRPr="00920634">
        <w:rPr>
          <w:rFonts w:asciiTheme="minorHAnsi" w:hAnsiTheme="minorHAnsi" w:cstheme="minorHAnsi"/>
        </w:rPr>
        <w:t>výkazech za ČR</w:t>
      </w:r>
      <w:r w:rsidRPr="00920634">
        <w:rPr>
          <w:rStyle w:val="Znakapoznpodarou"/>
          <w:rFonts w:asciiTheme="minorHAnsi" w:hAnsiTheme="minorHAnsi" w:cstheme="minorHAnsi"/>
        </w:rPr>
        <w:footnoteReference w:id="14"/>
      </w:r>
      <w:r w:rsidRPr="00920634">
        <w:rPr>
          <w:rFonts w:asciiTheme="minorHAnsi" w:hAnsiTheme="minorHAnsi" w:cstheme="minorHAnsi"/>
        </w:rPr>
        <w:t>.</w:t>
      </w:r>
    </w:p>
    <w:p w14:paraId="19DA75C2" w14:textId="77777777" w:rsidR="007E28AF" w:rsidRPr="00920634" w:rsidRDefault="007E28AF" w:rsidP="00114439">
      <w:pPr>
        <w:jc w:val="both"/>
        <w:rPr>
          <w:rFonts w:asciiTheme="minorHAnsi" w:hAnsiTheme="minorHAnsi" w:cstheme="minorHAnsi"/>
          <w:b/>
        </w:rPr>
      </w:pPr>
    </w:p>
    <w:p w14:paraId="67931C40" w14:textId="3FF01DA7" w:rsidR="00DC4B81" w:rsidRPr="00920634" w:rsidRDefault="00C531FD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Transfery v</w:t>
      </w:r>
      <w:r w:rsidR="00880AA5" w:rsidRPr="00920634">
        <w:rPr>
          <w:rFonts w:asciiTheme="minorHAnsi" w:hAnsiTheme="minorHAnsi" w:cstheme="minorHAnsi"/>
          <w:b/>
        </w:rPr>
        <w:t>e</w:t>
      </w:r>
      <w:r w:rsidRPr="00920634">
        <w:rPr>
          <w:rFonts w:asciiTheme="minorHAnsi" w:hAnsiTheme="minorHAnsi" w:cstheme="minorHAnsi"/>
          <w:b/>
        </w:rPr>
        <w:t> </w:t>
      </w:r>
      <w:r w:rsidR="00880AA5" w:rsidRPr="00920634">
        <w:rPr>
          <w:rFonts w:asciiTheme="minorHAnsi" w:hAnsiTheme="minorHAnsi" w:cstheme="minorHAnsi"/>
          <w:b/>
        </w:rPr>
        <w:t>statistickém vymezení</w:t>
      </w:r>
    </w:p>
    <w:p w14:paraId="4AC585DE" w14:textId="6AF3B9EC" w:rsidR="0001135F" w:rsidRDefault="0001135F" w:rsidP="00114439">
      <w:pPr>
        <w:pStyle w:val="CM11"/>
        <w:jc w:val="both"/>
        <w:rPr>
          <w:rFonts w:asciiTheme="minorHAnsi" w:hAnsiTheme="minorHAnsi" w:cstheme="minorHAnsi"/>
          <w:lang w:eastAsia="en-US"/>
        </w:rPr>
      </w:pPr>
      <w:r w:rsidRPr="00920634">
        <w:rPr>
          <w:rFonts w:asciiTheme="minorHAnsi" w:hAnsiTheme="minorHAnsi" w:cstheme="minorHAnsi"/>
          <w:lang w:eastAsia="en-US"/>
        </w:rPr>
        <w:t xml:space="preserve">Prostředky </w:t>
      </w:r>
      <w:r w:rsidR="000B2614" w:rsidRPr="00920634">
        <w:rPr>
          <w:rFonts w:asciiTheme="minorHAnsi" w:hAnsiTheme="minorHAnsi" w:cstheme="minorHAnsi"/>
          <w:lang w:eastAsia="en-US"/>
        </w:rPr>
        <w:t xml:space="preserve">se vztahem ke zdrojům </w:t>
      </w:r>
      <w:r w:rsidR="00940959" w:rsidRPr="00920634">
        <w:rPr>
          <w:rFonts w:asciiTheme="minorHAnsi" w:hAnsiTheme="minorHAnsi" w:cstheme="minorHAnsi"/>
          <w:lang w:eastAsia="en-US"/>
        </w:rPr>
        <w:t>ze</w:t>
      </w:r>
      <w:r w:rsidR="000B2614" w:rsidRPr="00920634">
        <w:rPr>
          <w:rFonts w:asciiTheme="minorHAnsi" w:hAnsiTheme="minorHAnsi" w:cstheme="minorHAnsi"/>
          <w:lang w:eastAsia="en-US"/>
        </w:rPr>
        <w:t xml:space="preserve"> zahraničí, které se projevují v rozpočtu MŠMT a MZe</w:t>
      </w:r>
      <w:r w:rsidR="00B54F52" w:rsidRPr="00920634">
        <w:rPr>
          <w:rFonts w:asciiTheme="minorHAnsi" w:hAnsiTheme="minorHAnsi" w:cstheme="minorHAnsi"/>
          <w:lang w:eastAsia="en-US"/>
        </w:rPr>
        <w:t xml:space="preserve"> formou dotace a jsou přijímány přímo ze zahraničí či prostřednictvím </w:t>
      </w:r>
      <w:r w:rsidR="00826817" w:rsidRPr="00920634">
        <w:rPr>
          <w:rFonts w:asciiTheme="minorHAnsi" w:hAnsiTheme="minorHAnsi" w:cstheme="minorHAnsi"/>
          <w:lang w:eastAsia="en-US"/>
        </w:rPr>
        <w:t>N</w:t>
      </w:r>
      <w:r w:rsidR="00B54F52" w:rsidRPr="00920634">
        <w:rPr>
          <w:rFonts w:asciiTheme="minorHAnsi" w:hAnsiTheme="minorHAnsi" w:cstheme="minorHAnsi"/>
          <w:lang w:eastAsia="en-US"/>
        </w:rPr>
        <w:t>árodního fondu</w:t>
      </w:r>
      <w:r w:rsidR="00F1580D" w:rsidRPr="00920634">
        <w:rPr>
          <w:rFonts w:asciiTheme="minorHAnsi" w:hAnsiTheme="minorHAnsi" w:cstheme="minorHAnsi"/>
          <w:lang w:eastAsia="en-US"/>
        </w:rPr>
        <w:t xml:space="preserve"> Ministerstva financí</w:t>
      </w:r>
      <w:r w:rsidR="000B2614" w:rsidRPr="00920634">
        <w:rPr>
          <w:rFonts w:asciiTheme="minorHAnsi" w:hAnsiTheme="minorHAnsi" w:cstheme="minorHAnsi"/>
          <w:lang w:eastAsia="en-US"/>
        </w:rPr>
        <w:t>, jsou „transf</w:t>
      </w:r>
      <w:r w:rsidR="004E567D" w:rsidRPr="00920634">
        <w:rPr>
          <w:rFonts w:asciiTheme="minorHAnsi" w:hAnsiTheme="minorHAnsi" w:cstheme="minorHAnsi"/>
          <w:lang w:eastAsia="en-US"/>
        </w:rPr>
        <w:t xml:space="preserve">ery“ i z pohledu statistického, neboť se jedná o </w:t>
      </w:r>
      <w:r w:rsidR="000B2614" w:rsidRPr="00920634">
        <w:rPr>
          <w:rFonts w:asciiTheme="minorHAnsi" w:hAnsiTheme="minorHAnsi" w:cstheme="minorHAnsi"/>
          <w:lang w:eastAsia="en-US"/>
        </w:rPr>
        <w:t xml:space="preserve">transakce bez protiplnění </w:t>
      </w:r>
      <w:r w:rsidR="004E567D" w:rsidRPr="00920634">
        <w:rPr>
          <w:rFonts w:asciiTheme="minorHAnsi" w:hAnsiTheme="minorHAnsi" w:cstheme="minorHAnsi"/>
          <w:lang w:eastAsia="en-US"/>
        </w:rPr>
        <w:t>(</w:t>
      </w:r>
      <w:r w:rsidR="000B2614" w:rsidRPr="00920634">
        <w:rPr>
          <w:rFonts w:asciiTheme="minorHAnsi" w:hAnsiTheme="minorHAnsi" w:cstheme="minorHAnsi"/>
          <w:lang w:eastAsia="en-US"/>
        </w:rPr>
        <w:t>zejména dotace</w:t>
      </w:r>
      <w:r w:rsidR="004E567D" w:rsidRPr="00920634">
        <w:rPr>
          <w:rFonts w:asciiTheme="minorHAnsi" w:hAnsiTheme="minorHAnsi" w:cstheme="minorHAnsi"/>
          <w:lang w:eastAsia="en-US"/>
        </w:rPr>
        <w:t>)</w:t>
      </w:r>
      <w:r w:rsidR="000B2614" w:rsidRPr="00920634">
        <w:rPr>
          <w:rFonts w:asciiTheme="minorHAnsi" w:hAnsiTheme="minorHAnsi" w:cstheme="minorHAnsi"/>
          <w:lang w:eastAsia="en-US"/>
        </w:rPr>
        <w:t xml:space="preserve">. </w:t>
      </w:r>
      <w:r w:rsidR="000F70DC" w:rsidRPr="00920634">
        <w:rPr>
          <w:rFonts w:asciiTheme="minorHAnsi" w:hAnsiTheme="minorHAnsi" w:cstheme="minorHAnsi"/>
          <w:lang w:eastAsia="en-US"/>
        </w:rPr>
        <w:t>Tyto transakce jsou d</w:t>
      </w:r>
      <w:r w:rsidR="000B2614" w:rsidRPr="00920634">
        <w:rPr>
          <w:rFonts w:asciiTheme="minorHAnsi" w:hAnsiTheme="minorHAnsi" w:cstheme="minorHAnsi"/>
          <w:lang w:eastAsia="en-US"/>
        </w:rPr>
        <w:t xml:space="preserve">le článku 1.71 </w:t>
      </w:r>
      <w:r w:rsidR="009E1FBA">
        <w:rPr>
          <w:rFonts w:asciiTheme="minorHAnsi" w:hAnsiTheme="minorHAnsi" w:cstheme="minorHAnsi"/>
          <w:lang w:eastAsia="en-US"/>
        </w:rPr>
        <w:t>n</w:t>
      </w:r>
      <w:r w:rsidRPr="00920634">
        <w:rPr>
          <w:rFonts w:asciiTheme="minorHAnsi" w:hAnsiTheme="minorHAnsi" w:cstheme="minorHAnsi"/>
          <w:lang w:eastAsia="en-US"/>
        </w:rPr>
        <w:t>ařízení Evropského parlamentu a Rady (EU) č. 549/2013 ze dne 21.</w:t>
      </w:r>
      <w:r w:rsidR="008E156C" w:rsidRPr="00920634">
        <w:rPr>
          <w:rFonts w:asciiTheme="minorHAnsi" w:hAnsiTheme="minorHAnsi" w:cstheme="minorHAnsi"/>
          <w:lang w:eastAsia="en-US"/>
        </w:rPr>
        <w:t> </w:t>
      </w:r>
      <w:r w:rsidRPr="00920634">
        <w:rPr>
          <w:rFonts w:asciiTheme="minorHAnsi" w:hAnsiTheme="minorHAnsi" w:cstheme="minorHAnsi"/>
          <w:lang w:eastAsia="en-US"/>
        </w:rPr>
        <w:t>května 2013</w:t>
      </w:r>
      <w:r w:rsidR="009E1FBA">
        <w:rPr>
          <w:rFonts w:asciiTheme="minorHAnsi" w:hAnsiTheme="minorHAnsi" w:cstheme="minorHAnsi"/>
          <w:lang w:eastAsia="en-US"/>
        </w:rPr>
        <w:t>,</w:t>
      </w:r>
      <w:r w:rsidR="004E567D" w:rsidRPr="00920634">
        <w:rPr>
          <w:rFonts w:asciiTheme="minorHAnsi" w:hAnsiTheme="minorHAnsi" w:cstheme="minorHAnsi"/>
          <w:lang w:eastAsia="en-US"/>
        </w:rPr>
        <w:t xml:space="preserve"> </w:t>
      </w:r>
      <w:r w:rsidRPr="00920634">
        <w:rPr>
          <w:rFonts w:asciiTheme="minorHAnsi" w:hAnsiTheme="minorHAnsi" w:cstheme="minorHAnsi"/>
          <w:lang w:eastAsia="en-US"/>
        </w:rPr>
        <w:t xml:space="preserve">o Evropském systému národních a regionálních účtů </w:t>
      </w:r>
      <w:r w:rsidR="008D073A">
        <w:rPr>
          <w:rFonts w:asciiTheme="minorHAnsi" w:hAnsiTheme="minorHAnsi" w:cstheme="minorHAnsi"/>
          <w:lang w:eastAsia="en-US"/>
        </w:rPr>
        <w:t>v </w:t>
      </w:r>
      <w:r w:rsidRPr="00920634">
        <w:rPr>
          <w:rFonts w:asciiTheme="minorHAnsi" w:hAnsiTheme="minorHAnsi" w:cstheme="minorHAnsi"/>
          <w:lang w:eastAsia="en-US"/>
        </w:rPr>
        <w:t>Evropské unii</w:t>
      </w:r>
      <w:r w:rsidR="009E1FBA">
        <w:rPr>
          <w:rFonts w:asciiTheme="minorHAnsi" w:hAnsiTheme="minorHAnsi" w:cstheme="minorHAnsi"/>
          <w:lang w:eastAsia="en-US"/>
        </w:rPr>
        <w:t>,</w:t>
      </w:r>
      <w:r w:rsidR="000B2614" w:rsidRPr="00920634">
        <w:rPr>
          <w:rFonts w:asciiTheme="minorHAnsi" w:hAnsiTheme="minorHAnsi" w:cstheme="minorHAnsi"/>
          <w:lang w:eastAsia="en-US"/>
        </w:rPr>
        <w:t xml:space="preserve"> </w:t>
      </w:r>
      <w:r w:rsidR="000F70DC" w:rsidRPr="00920634">
        <w:rPr>
          <w:rFonts w:asciiTheme="minorHAnsi" w:hAnsiTheme="minorHAnsi" w:cstheme="minorHAnsi"/>
          <w:lang w:eastAsia="en-US"/>
        </w:rPr>
        <w:t>označovány za</w:t>
      </w:r>
      <w:r w:rsidR="000B2614" w:rsidRPr="00920634">
        <w:rPr>
          <w:rFonts w:asciiTheme="minorHAnsi" w:hAnsiTheme="minorHAnsi" w:cstheme="minorHAnsi"/>
          <w:lang w:eastAsia="en-US"/>
        </w:rPr>
        <w:t xml:space="preserve"> transfery.</w:t>
      </w:r>
    </w:p>
    <w:p w14:paraId="1EDBBF75" w14:textId="77777777" w:rsidR="009E1FBA" w:rsidRPr="009E1FBA" w:rsidRDefault="009E1FBA" w:rsidP="008D4CD3">
      <w:pPr>
        <w:rPr>
          <w:rFonts w:asciiTheme="minorHAnsi" w:hAnsiTheme="minorHAnsi" w:cstheme="minorHAnsi"/>
        </w:rPr>
      </w:pPr>
    </w:p>
    <w:p w14:paraId="26FA9592" w14:textId="3404AA81" w:rsidR="0004794E" w:rsidRPr="00920634" w:rsidRDefault="004E567D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Transfery týkající se prostředků z rozpočtu </w:t>
      </w:r>
      <w:r w:rsidR="00835399" w:rsidRPr="00920634">
        <w:rPr>
          <w:rFonts w:asciiTheme="minorHAnsi" w:hAnsiTheme="minorHAnsi" w:cstheme="minorHAnsi"/>
        </w:rPr>
        <w:t>EU mají zvláštní pravidla pro způsob</w:t>
      </w:r>
      <w:r w:rsidRPr="00920634">
        <w:rPr>
          <w:rFonts w:asciiTheme="minorHAnsi" w:hAnsiTheme="minorHAnsi" w:cstheme="minorHAnsi"/>
        </w:rPr>
        <w:t xml:space="preserve"> zachycení</w:t>
      </w:r>
      <w:r w:rsidR="00835399" w:rsidRPr="00920634">
        <w:rPr>
          <w:rFonts w:asciiTheme="minorHAnsi" w:hAnsiTheme="minorHAnsi" w:cstheme="minorHAnsi"/>
        </w:rPr>
        <w:t xml:space="preserve"> v národní</w:t>
      </w:r>
      <w:r w:rsidR="00940959" w:rsidRPr="00920634">
        <w:rPr>
          <w:rFonts w:asciiTheme="minorHAnsi" w:hAnsiTheme="minorHAnsi" w:cstheme="minorHAnsi"/>
        </w:rPr>
        <w:t>m účetnictví</w:t>
      </w:r>
      <w:r w:rsidR="00835399" w:rsidRPr="00920634">
        <w:rPr>
          <w:rFonts w:asciiTheme="minorHAnsi" w:hAnsiTheme="minorHAnsi" w:cstheme="minorHAnsi"/>
        </w:rPr>
        <w:t xml:space="preserve">, což </w:t>
      </w:r>
      <w:r w:rsidR="002130AF">
        <w:rPr>
          <w:rFonts w:asciiTheme="minorHAnsi" w:hAnsiTheme="minorHAnsi" w:cstheme="minorHAnsi"/>
        </w:rPr>
        <w:t>vyvolává</w:t>
      </w:r>
      <w:r w:rsidR="002130AF" w:rsidRPr="00920634">
        <w:rPr>
          <w:rFonts w:asciiTheme="minorHAnsi" w:hAnsiTheme="minorHAnsi" w:cstheme="minorHAnsi"/>
        </w:rPr>
        <w:t xml:space="preserve"> </w:t>
      </w:r>
      <w:r w:rsidR="00835399" w:rsidRPr="00920634">
        <w:rPr>
          <w:rFonts w:asciiTheme="minorHAnsi" w:hAnsiTheme="minorHAnsi" w:cstheme="minorHAnsi"/>
        </w:rPr>
        <w:t>potřeb</w:t>
      </w:r>
      <w:r w:rsidR="008A34BE" w:rsidRPr="00920634">
        <w:rPr>
          <w:rFonts w:asciiTheme="minorHAnsi" w:hAnsiTheme="minorHAnsi" w:cstheme="minorHAnsi"/>
        </w:rPr>
        <w:t>u</w:t>
      </w:r>
      <w:r w:rsidR="00835399" w:rsidRPr="00920634">
        <w:rPr>
          <w:rFonts w:asciiTheme="minorHAnsi" w:hAnsiTheme="minorHAnsi" w:cstheme="minorHAnsi"/>
        </w:rPr>
        <w:t xml:space="preserve"> tyto transfery odlišit od transferů jiných</w:t>
      </w:r>
      <w:r w:rsidR="00835399" w:rsidRPr="00920634">
        <w:rPr>
          <w:rStyle w:val="Znakapoznpodarou"/>
          <w:rFonts w:asciiTheme="minorHAnsi" w:hAnsiTheme="minorHAnsi" w:cstheme="minorHAnsi"/>
        </w:rPr>
        <w:footnoteReference w:id="15"/>
      </w:r>
      <w:r w:rsidR="00835399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</w:p>
    <w:p w14:paraId="11AFBC7D" w14:textId="77777777" w:rsidR="00DC4B81" w:rsidRPr="00920634" w:rsidRDefault="00DC4B81" w:rsidP="00114439">
      <w:pPr>
        <w:jc w:val="both"/>
        <w:rPr>
          <w:rFonts w:asciiTheme="minorHAnsi" w:hAnsiTheme="minorHAnsi" w:cstheme="minorHAnsi"/>
        </w:rPr>
      </w:pPr>
    </w:p>
    <w:p w14:paraId="7E7172BA" w14:textId="4260B872" w:rsidR="00CE008C" w:rsidRPr="00920634" w:rsidRDefault="00CE008C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Ze statistického hlediska je třeba rozlišit i předfinancované transfery, resp. výši, která je</w:t>
      </w:r>
      <w:r w:rsidR="007A6F1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kryta prostředky ze zahraničí. V případě národních účtů</w:t>
      </w:r>
      <w:r w:rsidR="002D029F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dochází k tzv. neutralizačním operacím</w:t>
      </w:r>
      <w:r w:rsidRPr="00920634">
        <w:rPr>
          <w:rStyle w:val="Znakapoznpodarou"/>
          <w:rFonts w:asciiTheme="minorHAnsi" w:hAnsiTheme="minorHAnsi" w:cstheme="minorHAnsi"/>
        </w:rPr>
        <w:footnoteReference w:id="16"/>
      </w:r>
      <w:r w:rsidRPr="00920634">
        <w:rPr>
          <w:rFonts w:asciiTheme="minorHAnsi" w:hAnsiTheme="minorHAnsi" w:cstheme="minorHAnsi"/>
        </w:rPr>
        <w:t>, který</w:t>
      </w:r>
      <w:r w:rsidR="009E1FBA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se již při poskytnutí předfinancování eliminuje dopad těchto výdajů na výši deficitu (schodku) a dluhu sektoru vládních institucí</w:t>
      </w:r>
      <w:r w:rsidR="009E1FBA">
        <w:rPr>
          <w:rFonts w:asciiTheme="minorHAnsi" w:hAnsiTheme="minorHAnsi" w:cstheme="minorHAnsi"/>
        </w:rPr>
        <w:t>.</w:t>
      </w:r>
      <w:r w:rsidRPr="00920634">
        <w:rPr>
          <w:rStyle w:val="Znakapoznpodarou"/>
          <w:rFonts w:asciiTheme="minorHAnsi" w:hAnsiTheme="minorHAnsi" w:cstheme="minorHAnsi"/>
        </w:rPr>
        <w:footnoteReference w:id="17"/>
      </w:r>
      <w:r w:rsidRPr="00920634">
        <w:rPr>
          <w:rFonts w:asciiTheme="minorHAnsi" w:hAnsiTheme="minorHAnsi" w:cstheme="minorHAnsi"/>
        </w:rPr>
        <w:t xml:space="preserve"> Výdaje předfinancované ministerstvy nepředstavují dle metodiky Evropského systému účtů (ESA 2010)</w:t>
      </w:r>
      <w:r w:rsidR="000F70DC" w:rsidRPr="00920634">
        <w:rPr>
          <w:rFonts w:asciiTheme="minorHAnsi" w:hAnsiTheme="minorHAnsi" w:cstheme="minorHAnsi"/>
        </w:rPr>
        <w:t xml:space="preserve"> prohloubení deficitu</w:t>
      </w:r>
      <w:r w:rsidRPr="00920634">
        <w:rPr>
          <w:rFonts w:asciiTheme="minorHAnsi" w:hAnsiTheme="minorHAnsi" w:cstheme="minorHAnsi"/>
        </w:rPr>
        <w:t xml:space="preserve">, ale vznik určitého druhu pohledávky na prostředky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rozpočtu EU.</w:t>
      </w:r>
    </w:p>
    <w:p w14:paraId="48ECAB4C" w14:textId="77777777" w:rsidR="003468CF" w:rsidRPr="00920634" w:rsidRDefault="003468CF" w:rsidP="00114439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43437656" w14:textId="572991C4" w:rsidR="00BE03F0" w:rsidRPr="00920634" w:rsidRDefault="00214027" w:rsidP="00114439">
      <w:pPr>
        <w:ind w:left="567" w:hanging="567"/>
        <w:jc w:val="both"/>
        <w:rPr>
          <w:rFonts w:asciiTheme="minorHAnsi" w:hAnsiTheme="minorHAnsi" w:cstheme="minorHAnsi"/>
          <w:highlight w:val="yellow"/>
        </w:rPr>
      </w:pPr>
      <w:r w:rsidRPr="00920634">
        <w:rPr>
          <w:rFonts w:asciiTheme="minorHAnsi" w:hAnsiTheme="minorHAnsi" w:cstheme="minorHAnsi"/>
          <w:b/>
          <w:iCs/>
          <w:sz w:val="20"/>
          <w:szCs w:val="20"/>
        </w:rPr>
        <w:t>Pozn</w:t>
      </w:r>
      <w:r w:rsidR="00982E0F" w:rsidRPr="0092063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Pr="0092063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E9228F" w:rsidRPr="00920634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20634">
        <w:rPr>
          <w:rFonts w:asciiTheme="minorHAnsi" w:hAnsiTheme="minorHAnsi" w:cstheme="minorHAnsi"/>
          <w:iCs/>
          <w:sz w:val="20"/>
          <w:szCs w:val="20"/>
        </w:rPr>
        <w:t xml:space="preserve">Všechny právní předpisy </w:t>
      </w:r>
      <w:r w:rsidR="00C132EB" w:rsidRPr="00920634">
        <w:rPr>
          <w:rFonts w:asciiTheme="minorHAnsi" w:hAnsiTheme="minorHAnsi" w:cstheme="minorHAnsi"/>
          <w:iCs/>
          <w:sz w:val="20"/>
          <w:szCs w:val="20"/>
        </w:rPr>
        <w:t>uvedené</w:t>
      </w:r>
      <w:r w:rsidRPr="0092063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D073A">
        <w:rPr>
          <w:rFonts w:asciiTheme="minorHAnsi" w:hAnsiTheme="minorHAnsi" w:cstheme="minorHAnsi"/>
          <w:iCs/>
          <w:sz w:val="20"/>
          <w:szCs w:val="20"/>
        </w:rPr>
        <w:t>v </w:t>
      </w:r>
      <w:r w:rsidRPr="00920634">
        <w:rPr>
          <w:rFonts w:asciiTheme="minorHAnsi" w:hAnsiTheme="minorHAnsi" w:cstheme="minorHAnsi"/>
          <w:iCs/>
          <w:sz w:val="20"/>
          <w:szCs w:val="20"/>
        </w:rPr>
        <w:t>tomto kontrolním závěru jsou aplikovány ve znění účinném pro</w:t>
      </w:r>
      <w:r w:rsidR="003D092B" w:rsidRPr="0092063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20634">
        <w:rPr>
          <w:rFonts w:asciiTheme="minorHAnsi" w:hAnsiTheme="minorHAnsi" w:cstheme="minorHAnsi"/>
          <w:iCs/>
          <w:sz w:val="20"/>
          <w:szCs w:val="20"/>
        </w:rPr>
        <w:t>kontrolované období.</w:t>
      </w:r>
    </w:p>
    <w:p w14:paraId="7B2DE05D" w14:textId="77777777" w:rsidR="00826817" w:rsidRPr="00920634" w:rsidRDefault="00826817" w:rsidP="00114439">
      <w:pPr>
        <w:ind w:left="567" w:hanging="567"/>
        <w:jc w:val="both"/>
        <w:rPr>
          <w:rFonts w:asciiTheme="minorHAnsi" w:hAnsiTheme="minorHAnsi" w:cstheme="minorHAnsi"/>
          <w:highlight w:val="yellow"/>
        </w:rPr>
      </w:pPr>
    </w:p>
    <w:p w14:paraId="453255D5" w14:textId="77777777" w:rsidR="00E0629C" w:rsidRPr="00920634" w:rsidRDefault="00E0629C" w:rsidP="00114439">
      <w:pPr>
        <w:ind w:left="567" w:hanging="567"/>
        <w:jc w:val="both"/>
        <w:rPr>
          <w:rFonts w:asciiTheme="minorHAnsi" w:hAnsiTheme="minorHAnsi" w:cstheme="minorHAnsi"/>
          <w:highlight w:val="yellow"/>
        </w:rPr>
      </w:pPr>
    </w:p>
    <w:p w14:paraId="4E4DACD1" w14:textId="77777777" w:rsidR="009E1FBA" w:rsidRDefault="009E1FBA" w:rsidP="0011443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8D3CF7D" w14:textId="15508D69" w:rsidR="00282721" w:rsidRPr="00920634" w:rsidRDefault="00282721" w:rsidP="001144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lastRenderedPageBreak/>
        <w:t>II. Skutečnosti zjištěné při kontrole</w:t>
      </w:r>
    </w:p>
    <w:p w14:paraId="18D3CF7E" w14:textId="77777777" w:rsidR="00FB3A39" w:rsidRPr="00920634" w:rsidRDefault="00FB3A39" w:rsidP="00114439">
      <w:pPr>
        <w:jc w:val="both"/>
        <w:rPr>
          <w:rFonts w:asciiTheme="minorHAnsi" w:hAnsiTheme="minorHAnsi" w:cstheme="minorHAnsi"/>
          <w:highlight w:val="yellow"/>
        </w:rPr>
      </w:pPr>
    </w:p>
    <w:p w14:paraId="18D3CF7F" w14:textId="57CD8549" w:rsidR="00C369C1" w:rsidRPr="00920634" w:rsidRDefault="00E379CA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1. </w:t>
      </w:r>
      <w:r w:rsidR="00D56228" w:rsidRPr="00920634">
        <w:rPr>
          <w:rFonts w:asciiTheme="minorHAnsi" w:hAnsiTheme="minorHAnsi" w:cstheme="minorHAnsi"/>
          <w:b/>
        </w:rPr>
        <w:t>Prostředky se vztahem ke zdrojům v zahraničí na MŠMT a MZe</w:t>
      </w:r>
    </w:p>
    <w:p w14:paraId="18D3CF80" w14:textId="77777777" w:rsidR="00213CFB" w:rsidRPr="00920634" w:rsidRDefault="00213CFB" w:rsidP="00114439">
      <w:pPr>
        <w:jc w:val="both"/>
        <w:rPr>
          <w:rFonts w:asciiTheme="minorHAnsi" w:hAnsiTheme="minorHAnsi" w:cstheme="minorHAnsi"/>
        </w:rPr>
      </w:pPr>
    </w:p>
    <w:p w14:paraId="56AC7B49" w14:textId="1390C6CE" w:rsidR="002D029F" w:rsidRPr="004240F2" w:rsidRDefault="00477573" w:rsidP="00114439">
      <w:pPr>
        <w:jc w:val="both"/>
        <w:rPr>
          <w:rFonts w:asciiTheme="minorHAnsi" w:hAnsiTheme="minorHAnsi" w:cstheme="minorHAnsi"/>
        </w:rPr>
      </w:pPr>
      <w:r w:rsidRPr="004240F2" w:rsidDel="008B18E8">
        <w:rPr>
          <w:rFonts w:asciiTheme="minorHAnsi" w:hAnsiTheme="minorHAnsi" w:cstheme="minorHAnsi"/>
        </w:rPr>
        <w:t>Za prostředky se</w:t>
      </w:r>
      <w:r w:rsidRPr="004240F2">
        <w:rPr>
          <w:rFonts w:asciiTheme="minorHAnsi" w:hAnsiTheme="minorHAnsi" w:cstheme="minorHAnsi"/>
        </w:rPr>
        <w:t xml:space="preserve"> vztahem ke zdrojům v zahraničí byly považovány </w:t>
      </w:r>
      <w:r w:rsidRPr="004240F2" w:rsidDel="008B18E8">
        <w:rPr>
          <w:rFonts w:asciiTheme="minorHAnsi" w:hAnsiTheme="minorHAnsi" w:cstheme="minorHAnsi"/>
        </w:rPr>
        <w:t>všechny prostředky</w:t>
      </w:r>
      <w:r>
        <w:rPr>
          <w:rStyle w:val="Znakapoznpodarou"/>
          <w:rFonts w:asciiTheme="minorHAnsi" w:hAnsiTheme="minorHAnsi" w:cstheme="minorHAnsi"/>
        </w:rPr>
        <w:footnoteReference w:id="18"/>
      </w:r>
      <w:r w:rsidRPr="004240F2" w:rsidDel="008B18E8">
        <w:rPr>
          <w:rFonts w:asciiTheme="minorHAnsi" w:hAnsiTheme="minorHAnsi" w:cstheme="minorHAnsi"/>
        </w:rPr>
        <w:t xml:space="preserve">, které MŠMT a MZe </w:t>
      </w:r>
      <w:r w:rsidRPr="004240F2">
        <w:rPr>
          <w:rFonts w:asciiTheme="minorHAnsi" w:hAnsiTheme="minorHAnsi" w:cstheme="minorHAnsi"/>
        </w:rPr>
        <w:t xml:space="preserve">označily či měly označit </w:t>
      </w:r>
      <w:r w:rsidRPr="004240F2" w:rsidDel="008B18E8">
        <w:rPr>
          <w:rFonts w:asciiTheme="minorHAnsi" w:hAnsiTheme="minorHAnsi" w:cstheme="minorHAnsi"/>
        </w:rPr>
        <w:t>v rámci rozpočtové skladby</w:t>
      </w:r>
      <w:r w:rsidRPr="004240F2">
        <w:rPr>
          <w:rFonts w:asciiTheme="minorHAnsi" w:hAnsiTheme="minorHAnsi" w:cstheme="minorHAnsi"/>
        </w:rPr>
        <w:t xml:space="preserve"> nenulovým kódem </w:t>
      </w:r>
      <w:r w:rsidRPr="004240F2" w:rsidDel="008B18E8">
        <w:rPr>
          <w:rFonts w:asciiTheme="minorHAnsi" w:hAnsiTheme="minorHAnsi" w:cstheme="minorHAnsi"/>
        </w:rPr>
        <w:t>nástroj</w:t>
      </w:r>
      <w:r w:rsidRPr="004240F2">
        <w:rPr>
          <w:rFonts w:asciiTheme="minorHAnsi" w:hAnsiTheme="minorHAnsi" w:cstheme="minorHAnsi"/>
        </w:rPr>
        <w:t>e</w:t>
      </w:r>
      <w:r w:rsidRPr="004240F2" w:rsidDel="008B18E8">
        <w:rPr>
          <w:rFonts w:asciiTheme="minorHAnsi" w:hAnsiTheme="minorHAnsi" w:cstheme="minorHAnsi"/>
        </w:rPr>
        <w:t xml:space="preserve"> podle </w:t>
      </w:r>
      <w:r w:rsidR="009D2E70" w:rsidRPr="00750951">
        <w:rPr>
          <w:rFonts w:asciiTheme="minorHAnsi" w:hAnsiTheme="minorHAnsi" w:cstheme="minorHAnsi"/>
        </w:rPr>
        <w:t>ustanovení</w:t>
      </w:r>
      <w:r w:rsidR="009D2E70">
        <w:rPr>
          <w:rFonts w:asciiTheme="minorHAnsi" w:hAnsiTheme="minorHAnsi" w:cstheme="minorHAnsi"/>
        </w:rPr>
        <w:t xml:space="preserve"> </w:t>
      </w:r>
      <w:r w:rsidRPr="004240F2" w:rsidDel="008B18E8">
        <w:rPr>
          <w:rFonts w:asciiTheme="minorHAnsi" w:hAnsiTheme="minorHAnsi" w:cstheme="minorHAnsi"/>
        </w:rPr>
        <w:t>§ 1a odst. 2 vyhlášky č.</w:t>
      </w:r>
      <w:r w:rsidRPr="004240F2">
        <w:rPr>
          <w:rFonts w:asciiTheme="minorHAnsi" w:hAnsiTheme="minorHAnsi" w:cstheme="minorHAnsi"/>
        </w:rPr>
        <w:t> </w:t>
      </w:r>
      <w:r w:rsidRPr="004240F2" w:rsidDel="008B18E8">
        <w:rPr>
          <w:rFonts w:asciiTheme="minorHAnsi" w:hAnsiTheme="minorHAnsi" w:cstheme="minorHAnsi"/>
        </w:rPr>
        <w:t>323/2002</w:t>
      </w:r>
      <w:r w:rsidRPr="004240F2">
        <w:rPr>
          <w:rFonts w:asciiTheme="minorHAnsi" w:hAnsiTheme="minorHAnsi" w:cstheme="minorHAnsi"/>
        </w:rPr>
        <w:t> </w:t>
      </w:r>
      <w:r w:rsidRPr="004240F2" w:rsidDel="008B18E8">
        <w:rPr>
          <w:rFonts w:asciiTheme="minorHAnsi" w:hAnsiTheme="minorHAnsi" w:cstheme="minorHAnsi"/>
        </w:rPr>
        <w:t>Sb.</w:t>
      </w:r>
      <w:r w:rsidR="008614CB">
        <w:rPr>
          <w:rFonts w:asciiTheme="minorHAnsi" w:hAnsiTheme="minorHAnsi" w:cstheme="minorHAnsi"/>
        </w:rPr>
        <w:t xml:space="preserve"> </w:t>
      </w:r>
      <w:r w:rsidRPr="004240F2">
        <w:rPr>
          <w:rFonts w:asciiTheme="minorHAnsi" w:hAnsiTheme="minorHAnsi" w:cstheme="minorHAnsi"/>
        </w:rPr>
        <w:t>a</w:t>
      </w:r>
      <w:r w:rsidR="002A5FE3" w:rsidRPr="004240F2">
        <w:rPr>
          <w:rFonts w:asciiTheme="minorHAnsi" w:hAnsiTheme="minorHAnsi" w:cstheme="minorHAnsi"/>
        </w:rPr>
        <w:t>:</w:t>
      </w:r>
    </w:p>
    <w:p w14:paraId="02F74238" w14:textId="6E748090" w:rsidR="00431EC6" w:rsidRPr="00920634" w:rsidRDefault="002A5FE3" w:rsidP="00114439">
      <w:pPr>
        <w:pStyle w:val="Odstavecseseznamem"/>
        <w:numPr>
          <w:ilvl w:val="0"/>
          <w:numId w:val="52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vykázaly (měly vykázat) </w:t>
      </w:r>
      <w:r w:rsidR="00A47D95" w:rsidRPr="00920634">
        <w:rPr>
          <w:rFonts w:asciiTheme="minorHAnsi" w:hAnsiTheme="minorHAnsi" w:cstheme="minorHAnsi"/>
        </w:rPr>
        <w:t>ve</w:t>
      </w:r>
      <w:r w:rsidR="008D073A">
        <w:rPr>
          <w:rFonts w:asciiTheme="minorHAnsi" w:hAnsiTheme="minorHAnsi" w:cstheme="minorHAnsi"/>
        </w:rPr>
        <w:t xml:space="preserve"> </w:t>
      </w:r>
      <w:r w:rsidR="004E1FD6">
        <w:rPr>
          <w:rFonts w:asciiTheme="minorHAnsi" w:hAnsiTheme="minorHAnsi" w:cstheme="minorHAnsi"/>
        </w:rPr>
        <w:t>v</w:t>
      </w:r>
      <w:r w:rsidR="00431EC6" w:rsidRPr="00920634">
        <w:rPr>
          <w:rFonts w:asciiTheme="minorHAnsi" w:hAnsiTheme="minorHAnsi" w:cstheme="minorHAnsi"/>
        </w:rPr>
        <w:t xml:space="preserve">ýkazu pro hodnocení plnění rozpočtu správců kapitol, jimi zřízených organizačních složek státu a státních fondů (dále </w:t>
      </w:r>
      <w:r w:rsidR="004E1FD6">
        <w:rPr>
          <w:rFonts w:asciiTheme="minorHAnsi" w:hAnsiTheme="minorHAnsi" w:cstheme="minorHAnsi"/>
        </w:rPr>
        <w:t xml:space="preserve">jen </w:t>
      </w:r>
      <w:r w:rsidR="00431EC6" w:rsidRPr="00920634">
        <w:rPr>
          <w:rFonts w:asciiTheme="minorHAnsi" w:hAnsiTheme="minorHAnsi" w:cstheme="minorHAnsi"/>
        </w:rPr>
        <w:t>„</w:t>
      </w:r>
      <w:r w:rsidR="00276D49">
        <w:rPr>
          <w:rFonts w:asciiTheme="minorHAnsi" w:hAnsiTheme="minorHAnsi" w:cstheme="minorHAnsi"/>
        </w:rPr>
        <w:t>v</w:t>
      </w:r>
      <w:r w:rsidR="00431EC6" w:rsidRPr="00920634">
        <w:rPr>
          <w:rFonts w:asciiTheme="minorHAnsi" w:hAnsiTheme="minorHAnsi" w:cstheme="minorHAnsi"/>
        </w:rPr>
        <w:t>ýkaz pro hodnocení plnění rozpočtu“)</w:t>
      </w:r>
      <w:r w:rsidR="00193FE8" w:rsidRPr="00920634">
        <w:rPr>
          <w:rStyle w:val="Znakapoznpodarou"/>
          <w:rFonts w:asciiTheme="minorHAnsi" w:hAnsiTheme="minorHAnsi" w:cstheme="minorHAnsi"/>
        </w:rPr>
        <w:footnoteReference w:id="19"/>
      </w:r>
      <w:r w:rsidR="00C6241F">
        <w:rPr>
          <w:rFonts w:asciiTheme="minorHAnsi" w:hAnsiTheme="minorHAnsi" w:cstheme="minorHAnsi"/>
        </w:rPr>
        <w:t>,</w:t>
      </w:r>
    </w:p>
    <w:p w14:paraId="2266CF5E" w14:textId="696F8732" w:rsidR="001F5AC4" w:rsidRPr="00920634" w:rsidRDefault="00193FE8" w:rsidP="00114439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</w:t>
      </w:r>
      <w:r w:rsidR="002A5FE3" w:rsidRPr="00920634">
        <w:rPr>
          <w:rFonts w:asciiTheme="minorHAnsi" w:hAnsiTheme="minorHAnsi" w:cstheme="minorHAnsi"/>
        </w:rPr>
        <w:t>edly (měly vést)</w:t>
      </w:r>
      <w:r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 </w:t>
      </w:r>
      <w:r w:rsidR="00182B27" w:rsidRPr="00920634">
        <w:rPr>
          <w:rFonts w:asciiTheme="minorHAnsi" w:hAnsiTheme="minorHAnsi" w:cstheme="minorHAnsi"/>
        </w:rPr>
        <w:t xml:space="preserve">rozpočtovém informačním systému </w:t>
      </w:r>
      <w:r w:rsidR="004E1FD6" w:rsidRPr="00920634">
        <w:rPr>
          <w:rFonts w:asciiTheme="minorHAnsi" w:hAnsiTheme="minorHAnsi" w:cstheme="minorHAnsi"/>
        </w:rPr>
        <w:t xml:space="preserve">(dále </w:t>
      </w:r>
      <w:r w:rsidR="004E1FD6">
        <w:rPr>
          <w:rFonts w:asciiTheme="minorHAnsi" w:hAnsiTheme="minorHAnsi" w:cstheme="minorHAnsi"/>
        </w:rPr>
        <w:t xml:space="preserve">také </w:t>
      </w:r>
      <w:r w:rsidR="004E1FD6" w:rsidRPr="00920634">
        <w:rPr>
          <w:rFonts w:asciiTheme="minorHAnsi" w:hAnsiTheme="minorHAnsi" w:cstheme="minorHAnsi"/>
        </w:rPr>
        <w:t>„RIS“)</w:t>
      </w:r>
      <w:r w:rsidR="004E1FD6">
        <w:rPr>
          <w:rFonts w:asciiTheme="minorHAnsi" w:hAnsiTheme="minorHAnsi" w:cstheme="minorHAnsi"/>
        </w:rPr>
        <w:t xml:space="preserve"> v </w:t>
      </w:r>
      <w:r w:rsidR="004E1FD6" w:rsidRPr="00920634">
        <w:rPr>
          <w:rFonts w:asciiTheme="minorHAnsi" w:hAnsiTheme="minorHAnsi" w:cstheme="minorHAnsi"/>
        </w:rPr>
        <w:t xml:space="preserve">modulu </w:t>
      </w:r>
      <w:r w:rsidR="004E1FD6" w:rsidRPr="008D4CD3">
        <w:rPr>
          <w:rFonts w:asciiTheme="minorHAnsi" w:hAnsiTheme="minorHAnsi" w:cstheme="minorHAnsi"/>
          <w:i/>
        </w:rPr>
        <w:t>Realizace rozpočtu</w:t>
      </w:r>
      <w:r w:rsidR="004E1FD6"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 </w:t>
      </w:r>
      <w:r w:rsidR="00C60C8F" w:rsidRPr="00920634">
        <w:rPr>
          <w:rFonts w:asciiTheme="minorHAnsi" w:hAnsiTheme="minorHAnsi" w:cstheme="minorHAnsi"/>
        </w:rPr>
        <w:t>rámci</w:t>
      </w:r>
      <w:r w:rsidR="00762C7E" w:rsidRPr="00920634">
        <w:rPr>
          <w:rFonts w:asciiTheme="minorHAnsi" w:hAnsiTheme="minorHAnsi" w:cstheme="minorHAnsi"/>
        </w:rPr>
        <w:t xml:space="preserve"> </w:t>
      </w:r>
      <w:r w:rsidR="00431EC6" w:rsidRPr="008D4CD3">
        <w:rPr>
          <w:rFonts w:asciiTheme="minorHAnsi" w:hAnsiTheme="minorHAnsi" w:cstheme="minorHAnsi"/>
          <w:i/>
        </w:rPr>
        <w:t>Integrované</w:t>
      </w:r>
      <w:r w:rsidR="00C60C8F" w:rsidRPr="008D4CD3">
        <w:rPr>
          <w:rFonts w:asciiTheme="minorHAnsi" w:hAnsiTheme="minorHAnsi" w:cstheme="minorHAnsi"/>
          <w:i/>
        </w:rPr>
        <w:t>ho</w:t>
      </w:r>
      <w:r w:rsidR="00431EC6" w:rsidRPr="008D4CD3">
        <w:rPr>
          <w:rFonts w:asciiTheme="minorHAnsi" w:hAnsiTheme="minorHAnsi" w:cstheme="minorHAnsi"/>
          <w:i/>
        </w:rPr>
        <w:t xml:space="preserve"> informační</w:t>
      </w:r>
      <w:r w:rsidR="00C60C8F" w:rsidRPr="008D4CD3">
        <w:rPr>
          <w:rFonts w:asciiTheme="minorHAnsi" w:hAnsiTheme="minorHAnsi" w:cstheme="minorHAnsi"/>
          <w:i/>
        </w:rPr>
        <w:t xml:space="preserve">ho </w:t>
      </w:r>
      <w:r w:rsidR="00431EC6" w:rsidRPr="008D4CD3">
        <w:rPr>
          <w:rFonts w:asciiTheme="minorHAnsi" w:hAnsiTheme="minorHAnsi" w:cstheme="minorHAnsi"/>
          <w:i/>
        </w:rPr>
        <w:t>systému Státní pokladny</w:t>
      </w:r>
      <w:r w:rsidR="004E1FD6">
        <w:rPr>
          <w:rFonts w:asciiTheme="minorHAnsi" w:hAnsiTheme="minorHAnsi" w:cstheme="minorHAnsi"/>
        </w:rPr>
        <w:t>.</w:t>
      </w:r>
      <w:r w:rsidRPr="00920634">
        <w:rPr>
          <w:rStyle w:val="Znakapoznpodarou"/>
          <w:rFonts w:asciiTheme="minorHAnsi" w:hAnsiTheme="minorHAnsi" w:cstheme="minorHAnsi"/>
        </w:rPr>
        <w:footnoteReference w:id="20"/>
      </w:r>
    </w:p>
    <w:p w14:paraId="7FF1BB5E" w14:textId="77777777" w:rsidR="00E90273" w:rsidRDefault="00E90273" w:rsidP="00114439">
      <w:pPr>
        <w:jc w:val="both"/>
        <w:rPr>
          <w:rFonts w:asciiTheme="minorHAnsi" w:hAnsiTheme="minorHAnsi" w:cstheme="minorHAnsi"/>
        </w:rPr>
      </w:pPr>
    </w:p>
    <w:p w14:paraId="67EF649D" w14:textId="76A28983" w:rsidR="00D56228" w:rsidRPr="00920634" w:rsidRDefault="00D5622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Přehled základních </w:t>
      </w:r>
      <w:r w:rsidR="00C570A9" w:rsidRPr="00920634">
        <w:rPr>
          <w:rFonts w:asciiTheme="minorHAnsi" w:hAnsiTheme="minorHAnsi" w:cstheme="minorHAnsi"/>
        </w:rPr>
        <w:t xml:space="preserve">finančních </w:t>
      </w:r>
      <w:r w:rsidRPr="00920634">
        <w:rPr>
          <w:rFonts w:asciiTheme="minorHAnsi" w:hAnsiTheme="minorHAnsi" w:cstheme="minorHAnsi"/>
        </w:rPr>
        <w:t xml:space="preserve">údajů o prostředcích </w:t>
      </w:r>
      <w:r w:rsidR="00431EC6" w:rsidRPr="00920634">
        <w:rPr>
          <w:rFonts w:asciiTheme="minorHAnsi" w:hAnsiTheme="minorHAnsi" w:cstheme="minorHAnsi"/>
        </w:rPr>
        <w:t xml:space="preserve">MŠMT a MZe k 31. </w:t>
      </w:r>
      <w:r w:rsidR="00DC4B81" w:rsidRPr="00920634">
        <w:rPr>
          <w:rFonts w:asciiTheme="minorHAnsi" w:hAnsiTheme="minorHAnsi" w:cstheme="minorHAnsi"/>
        </w:rPr>
        <w:t>prosinci</w:t>
      </w:r>
      <w:r w:rsidR="00431EC6" w:rsidRPr="00920634">
        <w:rPr>
          <w:rFonts w:asciiTheme="minorHAnsi" w:hAnsiTheme="minorHAnsi" w:cstheme="minorHAnsi"/>
        </w:rPr>
        <w:t xml:space="preserve"> 2014 </w:t>
      </w:r>
      <w:r w:rsidRPr="00920634">
        <w:rPr>
          <w:rFonts w:asciiTheme="minorHAnsi" w:hAnsiTheme="minorHAnsi" w:cstheme="minorHAnsi"/>
        </w:rPr>
        <w:t>se vztahem</w:t>
      </w:r>
      <w:r w:rsidR="0032552D" w:rsidRPr="00920634">
        <w:rPr>
          <w:rFonts w:asciiTheme="minorHAnsi" w:hAnsiTheme="minorHAnsi" w:cstheme="minorHAnsi"/>
        </w:rPr>
        <w:t xml:space="preserve"> ke zdrojům v zahraničí </w:t>
      </w:r>
      <w:r w:rsidRPr="00920634">
        <w:rPr>
          <w:rFonts w:asciiTheme="minorHAnsi" w:hAnsiTheme="minorHAnsi" w:cstheme="minorHAnsi"/>
        </w:rPr>
        <w:t>je uveden v</w:t>
      </w:r>
      <w:r w:rsidR="00EA5E6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následující</w:t>
      </w:r>
      <w:r w:rsidR="00AB334E" w:rsidRPr="00920634">
        <w:rPr>
          <w:rFonts w:asciiTheme="minorHAnsi" w:hAnsiTheme="minorHAnsi" w:cstheme="minorHAnsi"/>
        </w:rPr>
        <w:t>m</w:t>
      </w:r>
      <w:r w:rsidR="00EA5E66" w:rsidRPr="00920634">
        <w:rPr>
          <w:rFonts w:asciiTheme="minorHAnsi" w:hAnsiTheme="minorHAnsi" w:cstheme="minorHAnsi"/>
        </w:rPr>
        <w:t xml:space="preserve"> graf</w:t>
      </w:r>
      <w:r w:rsidR="00AB334E" w:rsidRPr="00920634">
        <w:rPr>
          <w:rFonts w:asciiTheme="minorHAnsi" w:hAnsiTheme="minorHAnsi" w:cstheme="minorHAnsi"/>
        </w:rPr>
        <w:t>u</w:t>
      </w:r>
      <w:r w:rsidR="00EA5E66" w:rsidRPr="00920634">
        <w:rPr>
          <w:rFonts w:asciiTheme="minorHAnsi" w:hAnsiTheme="minorHAnsi" w:cstheme="minorHAnsi"/>
        </w:rPr>
        <w:t xml:space="preserve"> a </w:t>
      </w:r>
      <w:r w:rsidR="00AB334E" w:rsidRPr="00920634">
        <w:rPr>
          <w:rFonts w:asciiTheme="minorHAnsi" w:hAnsiTheme="minorHAnsi" w:cstheme="minorHAnsi"/>
        </w:rPr>
        <w:t xml:space="preserve">jeho zdrojové </w:t>
      </w:r>
      <w:r w:rsidR="00EA5E66" w:rsidRPr="00920634">
        <w:rPr>
          <w:rFonts w:asciiTheme="minorHAnsi" w:hAnsiTheme="minorHAnsi" w:cstheme="minorHAnsi"/>
        </w:rPr>
        <w:t>tabulce</w:t>
      </w:r>
      <w:r w:rsidR="00F7178C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</w:p>
    <w:p w14:paraId="65152131" w14:textId="77777777" w:rsidR="00C25706" w:rsidRPr="00920634" w:rsidRDefault="00C25706" w:rsidP="0011443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D4CCB9" w14:textId="404CD086" w:rsidR="00EA5E66" w:rsidRDefault="00EA5E66" w:rsidP="008D4CD3">
      <w:pPr>
        <w:ind w:left="1049" w:hanging="1049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Graf č. 1 – Poměr příjmů a výdajů se vztahem ke zdrojům v zahraničí </w:t>
      </w:r>
      <w:r w:rsidR="00CF4427">
        <w:rPr>
          <w:rFonts w:asciiTheme="minorHAnsi" w:hAnsiTheme="minorHAnsi" w:cstheme="minorHAnsi"/>
          <w:b/>
        </w:rPr>
        <w:t>vůči</w:t>
      </w:r>
      <w:r w:rsidRPr="00920634">
        <w:rPr>
          <w:rFonts w:asciiTheme="minorHAnsi" w:hAnsiTheme="minorHAnsi" w:cstheme="minorHAnsi"/>
          <w:b/>
        </w:rPr>
        <w:t xml:space="preserve"> celkový</w:t>
      </w:r>
      <w:r w:rsidR="00CF4427">
        <w:rPr>
          <w:rFonts w:asciiTheme="minorHAnsi" w:hAnsiTheme="minorHAnsi" w:cstheme="minorHAnsi"/>
          <w:b/>
        </w:rPr>
        <w:t>m</w:t>
      </w:r>
      <w:r w:rsidRPr="00920634">
        <w:rPr>
          <w:rFonts w:asciiTheme="minorHAnsi" w:hAnsiTheme="minorHAnsi" w:cstheme="minorHAnsi"/>
          <w:b/>
        </w:rPr>
        <w:t xml:space="preserve"> příjm</w:t>
      </w:r>
      <w:r w:rsidR="00CF4427">
        <w:rPr>
          <w:rFonts w:asciiTheme="minorHAnsi" w:hAnsiTheme="minorHAnsi" w:cstheme="minorHAnsi"/>
          <w:b/>
        </w:rPr>
        <w:t>ům</w:t>
      </w:r>
      <w:r w:rsidRPr="00920634">
        <w:rPr>
          <w:rFonts w:asciiTheme="minorHAnsi" w:hAnsiTheme="minorHAnsi" w:cstheme="minorHAnsi"/>
          <w:b/>
        </w:rPr>
        <w:t xml:space="preserve"> a výdaj</w:t>
      </w:r>
      <w:r w:rsidR="00CF4427">
        <w:rPr>
          <w:rFonts w:asciiTheme="minorHAnsi" w:hAnsiTheme="minorHAnsi" w:cstheme="minorHAnsi"/>
          <w:b/>
        </w:rPr>
        <w:t>ům</w:t>
      </w:r>
      <w:r w:rsidRPr="00920634">
        <w:rPr>
          <w:rFonts w:asciiTheme="minorHAnsi" w:hAnsiTheme="minorHAnsi" w:cstheme="minorHAnsi"/>
          <w:b/>
        </w:rPr>
        <w:t xml:space="preserve"> k 31.</w:t>
      </w:r>
      <w:r w:rsidR="00C7740E" w:rsidRPr="00920634">
        <w:rPr>
          <w:rFonts w:asciiTheme="minorHAnsi" w:hAnsiTheme="minorHAnsi" w:cstheme="minorHAnsi"/>
          <w:b/>
        </w:rPr>
        <w:t> </w:t>
      </w:r>
      <w:r w:rsidR="00DC4B81" w:rsidRPr="00920634">
        <w:rPr>
          <w:rFonts w:asciiTheme="minorHAnsi" w:hAnsiTheme="minorHAnsi" w:cstheme="minorHAnsi"/>
          <w:b/>
        </w:rPr>
        <w:t>prosinci</w:t>
      </w:r>
      <w:r w:rsidRPr="00920634">
        <w:rPr>
          <w:rFonts w:asciiTheme="minorHAnsi" w:hAnsiTheme="minorHAnsi" w:cstheme="minorHAnsi"/>
          <w:b/>
        </w:rPr>
        <w:t xml:space="preserve"> 2014 (</w:t>
      </w:r>
      <w:r w:rsidR="008D073A">
        <w:rPr>
          <w:rFonts w:asciiTheme="minorHAnsi" w:hAnsiTheme="minorHAnsi" w:cstheme="minorHAnsi"/>
          <w:b/>
        </w:rPr>
        <w:t>v </w:t>
      </w:r>
      <w:r w:rsidRPr="00920634">
        <w:rPr>
          <w:rFonts w:asciiTheme="minorHAnsi" w:hAnsiTheme="minorHAnsi" w:cstheme="minorHAnsi"/>
          <w:b/>
        </w:rPr>
        <w:t>mld. Kč</w:t>
      </w:r>
      <w:r w:rsidR="008726EC" w:rsidRPr="00920634">
        <w:rPr>
          <w:rFonts w:asciiTheme="minorHAnsi" w:hAnsiTheme="minorHAnsi" w:cstheme="minorHAnsi"/>
          <w:b/>
        </w:rPr>
        <w:t xml:space="preserve">); </w:t>
      </w:r>
      <w:r w:rsidR="0017745A">
        <w:rPr>
          <w:rFonts w:asciiTheme="minorHAnsi" w:hAnsiTheme="minorHAnsi" w:cstheme="minorHAnsi"/>
          <w:b/>
        </w:rPr>
        <w:t>doplněno o zdrojovou tabulku údajů</w:t>
      </w:r>
    </w:p>
    <w:p w14:paraId="2FBED137" w14:textId="3DAC0193" w:rsidR="00EA5E66" w:rsidRDefault="001A33FB" w:rsidP="00114439">
      <w:pPr>
        <w:jc w:val="both"/>
        <w:rPr>
          <w:noProof/>
          <w:lang w:eastAsia="cs-CZ"/>
        </w:rPr>
      </w:pPr>
      <w:r w:rsidRPr="00613376">
        <w:rPr>
          <w:noProof/>
          <w:lang w:eastAsia="cs-CZ"/>
        </w:rPr>
        <w:drawing>
          <wp:inline distT="0" distB="0" distL="0" distR="0" wp14:anchorId="0118C68E" wp14:editId="6FA5491D">
            <wp:extent cx="5760720" cy="19964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116" w:rsidRPr="00813116">
        <w:rPr>
          <w:noProof/>
          <w:lang w:eastAsia="cs-CZ"/>
        </w:rPr>
        <w:t xml:space="preserve"> </w:t>
      </w:r>
    </w:p>
    <w:p w14:paraId="207C7E00" w14:textId="77777777" w:rsidR="001A33FB" w:rsidRDefault="001A33FB" w:rsidP="00114439">
      <w:pPr>
        <w:jc w:val="both"/>
        <w:rPr>
          <w:noProof/>
          <w:lang w:eastAsia="cs-CZ"/>
        </w:rPr>
      </w:pPr>
    </w:p>
    <w:p w14:paraId="5CACB8AD" w14:textId="77777777" w:rsidR="001A33FB" w:rsidRPr="00920634" w:rsidRDefault="001A33FB" w:rsidP="0011443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Ind w:w="-28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536"/>
        <w:gridCol w:w="2202"/>
        <w:gridCol w:w="2194"/>
        <w:gridCol w:w="1522"/>
      </w:tblGrid>
      <w:tr w:rsidR="00EA5E66" w:rsidRPr="00920634" w14:paraId="01E106BA" w14:textId="77777777" w:rsidTr="008D4CD3">
        <w:trPr>
          <w:trHeight w:val="374"/>
          <w:jc w:val="center"/>
        </w:trPr>
        <w:tc>
          <w:tcPr>
            <w:tcW w:w="1522" w:type="dxa"/>
            <w:shd w:val="clear" w:color="auto" w:fill="D9D9D9" w:themeFill="background1" w:themeFillShade="D9"/>
            <w:noWrap/>
            <w:vAlign w:val="center"/>
            <w:hideMark/>
          </w:tcPr>
          <w:p w14:paraId="2F99C05A" w14:textId="77777777" w:rsidR="00CF4427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Účetní jednotka</w:t>
            </w:r>
            <w:r w:rsidR="00CF442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/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66CF60F" w14:textId="0AC53D6C" w:rsidR="00EA5E66" w:rsidRPr="00920634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/ukazatel</w:t>
            </w:r>
          </w:p>
        </w:tc>
        <w:tc>
          <w:tcPr>
            <w:tcW w:w="1536" w:type="dxa"/>
            <w:shd w:val="clear" w:color="auto" w:fill="D9D9D9" w:themeFill="background1" w:themeFillShade="D9"/>
            <w:noWrap/>
            <w:vAlign w:val="center"/>
            <w:hideMark/>
          </w:tcPr>
          <w:p w14:paraId="5D287770" w14:textId="216FCCE9" w:rsidR="00EA5E66" w:rsidRPr="00920634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Celkem (</w:t>
            </w:r>
            <w:r w:rsidR="008D07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Kč)</w:t>
            </w:r>
          </w:p>
        </w:tc>
        <w:tc>
          <w:tcPr>
            <w:tcW w:w="2202" w:type="dxa"/>
            <w:shd w:val="clear" w:color="auto" w:fill="D9D9D9" w:themeFill="background1" w:themeFillShade="D9"/>
            <w:noWrap/>
            <w:vAlign w:val="center"/>
            <w:hideMark/>
          </w:tcPr>
          <w:p w14:paraId="747AE34B" w14:textId="4006935E" w:rsidR="00EA5E66" w:rsidRPr="00920634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Prostředky </w:t>
            </w:r>
            <w:r w:rsidR="002C0B39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bez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vztahu ke zdrojům v zahraničí*</w:t>
            </w:r>
            <w:r w:rsidR="008D07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8D07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Kč)</w:t>
            </w:r>
          </w:p>
        </w:tc>
        <w:tc>
          <w:tcPr>
            <w:tcW w:w="2194" w:type="dxa"/>
            <w:shd w:val="clear" w:color="auto" w:fill="D9D9D9" w:themeFill="background1" w:themeFillShade="D9"/>
            <w:noWrap/>
            <w:vAlign w:val="center"/>
            <w:hideMark/>
          </w:tcPr>
          <w:p w14:paraId="296EABC2" w14:textId="3F2BE4D5" w:rsidR="00EA5E66" w:rsidRPr="00920634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Prostředky </w:t>
            </w:r>
            <w:r w:rsidR="002C0B39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se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vztahem ke zdrojům v zahraničí**</w:t>
            </w:r>
            <w:r w:rsidR="008D07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8D07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Kč)</w:t>
            </w:r>
          </w:p>
        </w:tc>
        <w:tc>
          <w:tcPr>
            <w:tcW w:w="1522" w:type="dxa"/>
            <w:shd w:val="clear" w:color="auto" w:fill="D9D9D9" w:themeFill="background1" w:themeFillShade="D9"/>
            <w:noWrap/>
            <w:vAlign w:val="center"/>
            <w:hideMark/>
          </w:tcPr>
          <w:p w14:paraId="15C00087" w14:textId="77777777" w:rsidR="00EA5E66" w:rsidRPr="00920634" w:rsidRDefault="00EA5E66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Podíl prostředků se vztahem ke zdrojům v zahraničí </w:t>
            </w:r>
          </w:p>
        </w:tc>
      </w:tr>
      <w:tr w:rsidR="00EA5E66" w:rsidRPr="00920634" w14:paraId="4362035F" w14:textId="77777777" w:rsidTr="008D4CD3">
        <w:trPr>
          <w:trHeight w:val="223"/>
          <w:jc w:val="center"/>
        </w:trPr>
        <w:tc>
          <w:tcPr>
            <w:tcW w:w="1522" w:type="dxa"/>
            <w:noWrap/>
            <w:vAlign w:val="bottom"/>
          </w:tcPr>
          <w:p w14:paraId="30CBAC38" w14:textId="77777777" w:rsidR="00EA5E66" w:rsidRPr="00920634" w:rsidRDefault="00EA5E66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MŠMT</w:t>
            </w:r>
          </w:p>
        </w:tc>
        <w:tc>
          <w:tcPr>
            <w:tcW w:w="1536" w:type="dxa"/>
            <w:noWrap/>
            <w:vAlign w:val="bottom"/>
          </w:tcPr>
          <w:p w14:paraId="109A9EFD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noWrap/>
            <w:vAlign w:val="bottom"/>
          </w:tcPr>
          <w:p w14:paraId="16D214B2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noWrap/>
            <w:vAlign w:val="bottom"/>
          </w:tcPr>
          <w:p w14:paraId="1470C0C4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noWrap/>
            <w:vAlign w:val="bottom"/>
          </w:tcPr>
          <w:p w14:paraId="449FD959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A5E66" w:rsidRPr="00920634" w14:paraId="1A8345D7" w14:textId="77777777" w:rsidTr="008D4CD3">
        <w:trPr>
          <w:trHeight w:val="126"/>
          <w:jc w:val="center"/>
        </w:trPr>
        <w:tc>
          <w:tcPr>
            <w:tcW w:w="1522" w:type="dxa"/>
            <w:noWrap/>
            <w:vAlign w:val="bottom"/>
            <w:hideMark/>
          </w:tcPr>
          <w:p w14:paraId="22283DC3" w14:textId="77777777" w:rsidR="00EA5E66" w:rsidRPr="00920634" w:rsidRDefault="00EA5E66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Příjmy</w:t>
            </w:r>
          </w:p>
        </w:tc>
        <w:tc>
          <w:tcPr>
            <w:tcW w:w="1536" w:type="dxa"/>
            <w:noWrap/>
            <w:vAlign w:val="bottom"/>
          </w:tcPr>
          <w:p w14:paraId="7CD62B0B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23 355 685 793,39</w:t>
            </w:r>
          </w:p>
        </w:tc>
        <w:tc>
          <w:tcPr>
            <w:tcW w:w="2202" w:type="dxa"/>
            <w:noWrap/>
            <w:vAlign w:val="bottom"/>
          </w:tcPr>
          <w:p w14:paraId="3F3E3098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122 001 710,08</w:t>
            </w:r>
          </w:p>
        </w:tc>
        <w:tc>
          <w:tcPr>
            <w:tcW w:w="2194" w:type="dxa"/>
            <w:noWrap/>
            <w:vAlign w:val="bottom"/>
          </w:tcPr>
          <w:p w14:paraId="4FDB0AC3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23 233 684 083,31</w:t>
            </w:r>
          </w:p>
        </w:tc>
        <w:tc>
          <w:tcPr>
            <w:tcW w:w="1522" w:type="dxa"/>
            <w:noWrap/>
            <w:vAlign w:val="bottom"/>
          </w:tcPr>
          <w:p w14:paraId="2138C8FD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99 %</w:t>
            </w:r>
          </w:p>
        </w:tc>
      </w:tr>
      <w:tr w:rsidR="00EA5E66" w:rsidRPr="00920634" w14:paraId="3DF0BFD7" w14:textId="77777777" w:rsidTr="008D4CD3">
        <w:trPr>
          <w:trHeight w:val="186"/>
          <w:jc w:val="center"/>
        </w:trPr>
        <w:tc>
          <w:tcPr>
            <w:tcW w:w="1522" w:type="dxa"/>
            <w:noWrap/>
            <w:vAlign w:val="bottom"/>
            <w:hideMark/>
          </w:tcPr>
          <w:p w14:paraId="391AF7DD" w14:textId="77777777" w:rsidR="00EA5E66" w:rsidRPr="00920634" w:rsidRDefault="00EA5E66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Výdaje</w:t>
            </w:r>
          </w:p>
        </w:tc>
        <w:tc>
          <w:tcPr>
            <w:tcW w:w="1536" w:type="dxa"/>
            <w:noWrap/>
            <w:vAlign w:val="bottom"/>
          </w:tcPr>
          <w:p w14:paraId="5AA399F2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139 563 849 012,33</w:t>
            </w:r>
          </w:p>
        </w:tc>
        <w:tc>
          <w:tcPr>
            <w:tcW w:w="2202" w:type="dxa"/>
            <w:noWrap/>
            <w:vAlign w:val="bottom"/>
          </w:tcPr>
          <w:p w14:paraId="5155CFC0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121 626 816 426,78</w:t>
            </w:r>
          </w:p>
        </w:tc>
        <w:tc>
          <w:tcPr>
            <w:tcW w:w="2194" w:type="dxa"/>
            <w:noWrap/>
            <w:vAlign w:val="bottom"/>
          </w:tcPr>
          <w:p w14:paraId="640FD5BC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17 937 032 585,55</w:t>
            </w:r>
          </w:p>
        </w:tc>
        <w:tc>
          <w:tcPr>
            <w:tcW w:w="1522" w:type="dxa"/>
            <w:noWrap/>
            <w:vAlign w:val="bottom"/>
          </w:tcPr>
          <w:p w14:paraId="4E877718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13 %</w:t>
            </w:r>
          </w:p>
        </w:tc>
      </w:tr>
      <w:tr w:rsidR="00EA5E66" w:rsidRPr="00920634" w14:paraId="346D30C5" w14:textId="77777777" w:rsidTr="008D4CD3">
        <w:trPr>
          <w:trHeight w:val="76"/>
          <w:jc w:val="center"/>
        </w:trPr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57FC7910" w14:textId="77777777" w:rsidR="00EA5E66" w:rsidRPr="00920634" w:rsidRDefault="00EA5E66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MZe</w:t>
            </w:r>
          </w:p>
        </w:tc>
        <w:tc>
          <w:tcPr>
            <w:tcW w:w="1536" w:type="dxa"/>
            <w:shd w:val="clear" w:color="auto" w:fill="FFFFFF" w:themeFill="background1"/>
            <w:noWrap/>
            <w:vAlign w:val="bottom"/>
          </w:tcPr>
          <w:p w14:paraId="0BBD527A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FFFFFF" w:themeFill="background1"/>
            <w:noWrap/>
            <w:vAlign w:val="bottom"/>
          </w:tcPr>
          <w:p w14:paraId="7911C8DD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FFFFFF" w:themeFill="background1"/>
            <w:noWrap/>
            <w:vAlign w:val="bottom"/>
          </w:tcPr>
          <w:p w14:paraId="3A53CF7B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3C4B6BA3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A5E66" w:rsidRPr="00920634" w14:paraId="274475B4" w14:textId="77777777" w:rsidTr="008D4CD3">
        <w:trPr>
          <w:trHeight w:val="136"/>
          <w:jc w:val="center"/>
        </w:trPr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5BF4C643" w14:textId="77777777" w:rsidR="00EA5E66" w:rsidRPr="00920634" w:rsidRDefault="00EA5E66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Příjmy</w:t>
            </w:r>
          </w:p>
        </w:tc>
        <w:tc>
          <w:tcPr>
            <w:tcW w:w="1536" w:type="dxa"/>
            <w:shd w:val="clear" w:color="auto" w:fill="FFFFFF" w:themeFill="background1"/>
            <w:noWrap/>
            <w:vAlign w:val="bottom"/>
          </w:tcPr>
          <w:p w14:paraId="5866EA3B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39 753 839 586,03</w:t>
            </w:r>
          </w:p>
        </w:tc>
        <w:tc>
          <w:tcPr>
            <w:tcW w:w="2202" w:type="dxa"/>
            <w:shd w:val="clear" w:color="auto" w:fill="FFFFFF" w:themeFill="background1"/>
            <w:noWrap/>
            <w:vAlign w:val="bottom"/>
          </w:tcPr>
          <w:p w14:paraId="7F34B6DE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7 358 512 425,89</w:t>
            </w:r>
          </w:p>
        </w:tc>
        <w:tc>
          <w:tcPr>
            <w:tcW w:w="2194" w:type="dxa"/>
            <w:shd w:val="clear" w:color="auto" w:fill="FFFFFF" w:themeFill="background1"/>
            <w:noWrap/>
            <w:vAlign w:val="bottom"/>
          </w:tcPr>
          <w:p w14:paraId="24584FE5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32 395 327 160,14</w:t>
            </w:r>
          </w:p>
        </w:tc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6AFDD796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81 %</w:t>
            </w:r>
          </w:p>
        </w:tc>
      </w:tr>
      <w:tr w:rsidR="00EA5E66" w:rsidRPr="00920634" w14:paraId="0D03C4C1" w14:textId="77777777" w:rsidTr="008D4CD3">
        <w:trPr>
          <w:trHeight w:val="197"/>
          <w:jc w:val="center"/>
        </w:trPr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08643690" w14:textId="77777777" w:rsidR="00EA5E66" w:rsidRPr="00920634" w:rsidRDefault="00EA5E66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Výdaje</w:t>
            </w:r>
          </w:p>
        </w:tc>
        <w:tc>
          <w:tcPr>
            <w:tcW w:w="1536" w:type="dxa"/>
            <w:shd w:val="clear" w:color="auto" w:fill="FFFFFF" w:themeFill="background1"/>
            <w:noWrap/>
            <w:vAlign w:val="bottom"/>
          </w:tcPr>
          <w:p w14:paraId="078DE052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43 266 361 917,60</w:t>
            </w:r>
          </w:p>
        </w:tc>
        <w:tc>
          <w:tcPr>
            <w:tcW w:w="2202" w:type="dxa"/>
            <w:shd w:val="clear" w:color="auto" w:fill="FFFFFF" w:themeFill="background1"/>
            <w:noWrap/>
            <w:vAlign w:val="bottom"/>
          </w:tcPr>
          <w:p w14:paraId="68E3717E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9 632 029 328,36</w:t>
            </w:r>
          </w:p>
        </w:tc>
        <w:tc>
          <w:tcPr>
            <w:tcW w:w="2194" w:type="dxa"/>
            <w:shd w:val="clear" w:color="auto" w:fill="FFFFFF" w:themeFill="background1"/>
            <w:noWrap/>
            <w:vAlign w:val="bottom"/>
          </w:tcPr>
          <w:p w14:paraId="7885E874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33 634 332 589,24</w:t>
            </w:r>
          </w:p>
        </w:tc>
        <w:tc>
          <w:tcPr>
            <w:tcW w:w="1522" w:type="dxa"/>
            <w:shd w:val="clear" w:color="auto" w:fill="FFFFFF" w:themeFill="background1"/>
            <w:noWrap/>
            <w:vAlign w:val="bottom"/>
          </w:tcPr>
          <w:p w14:paraId="4433A9BE" w14:textId="77777777" w:rsidR="00EA5E66" w:rsidRPr="00920634" w:rsidRDefault="00EA5E66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78 %</w:t>
            </w:r>
          </w:p>
        </w:tc>
      </w:tr>
    </w:tbl>
    <w:p w14:paraId="649FD4B6" w14:textId="357A7095" w:rsidR="00EA5E66" w:rsidRPr="00CF4427" w:rsidRDefault="00EA5E66" w:rsidP="00114439">
      <w:pPr>
        <w:jc w:val="both"/>
        <w:rPr>
          <w:rFonts w:asciiTheme="minorHAnsi" w:hAnsiTheme="minorHAnsi" w:cstheme="minorHAnsi"/>
          <w:highlight w:val="yellow"/>
        </w:rPr>
      </w:pPr>
      <w:r w:rsidRPr="008D4CD3">
        <w:rPr>
          <w:rFonts w:asciiTheme="minorHAnsi" w:hAnsiTheme="minorHAnsi" w:cstheme="minorHAnsi"/>
          <w:b/>
          <w:color w:val="000000"/>
          <w:sz w:val="20"/>
          <w:szCs w:val="20"/>
          <w:lang w:eastAsia="cs-CZ"/>
        </w:rPr>
        <w:t>Zdroj:</w:t>
      </w:r>
      <w:r w:rsidRPr="008D4CD3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RIS k 31.</w:t>
      </w:r>
      <w:r w:rsidR="00DC4B81" w:rsidRPr="008D4CD3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prosinci</w:t>
      </w:r>
      <w:r w:rsidRPr="008D4CD3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2014</w:t>
      </w:r>
      <w:r w:rsidR="00CF4427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;</w:t>
      </w:r>
      <w:r w:rsidRPr="008D4CD3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CF4427">
        <w:rPr>
          <w:rFonts w:asciiTheme="minorHAnsi" w:hAnsiTheme="minorHAnsi" w:cstheme="minorHAnsi"/>
          <w:sz w:val="20"/>
          <w:szCs w:val="20"/>
        </w:rPr>
        <w:t>v</w:t>
      </w:r>
      <w:r w:rsidRPr="008D4CD3">
        <w:rPr>
          <w:rFonts w:asciiTheme="minorHAnsi" w:hAnsiTheme="minorHAnsi" w:cstheme="minorHAnsi"/>
          <w:sz w:val="20"/>
          <w:szCs w:val="20"/>
        </w:rPr>
        <w:t>ýkaz</w:t>
      </w:r>
      <w:r w:rsidR="00CF4427">
        <w:rPr>
          <w:rFonts w:asciiTheme="minorHAnsi" w:hAnsiTheme="minorHAnsi" w:cstheme="minorHAnsi"/>
          <w:sz w:val="20"/>
          <w:szCs w:val="20"/>
        </w:rPr>
        <w:t>y</w:t>
      </w:r>
      <w:r w:rsidRPr="008D4CD3">
        <w:rPr>
          <w:rFonts w:asciiTheme="minorHAnsi" w:hAnsiTheme="minorHAnsi" w:cstheme="minorHAnsi"/>
          <w:sz w:val="20"/>
          <w:szCs w:val="20"/>
        </w:rPr>
        <w:t xml:space="preserve"> pro hodnocení plnění </w:t>
      </w:r>
      <w:r w:rsidR="000559E1" w:rsidRPr="008D4CD3">
        <w:rPr>
          <w:rFonts w:asciiTheme="minorHAnsi" w:hAnsiTheme="minorHAnsi" w:cstheme="minorHAnsi"/>
          <w:sz w:val="20"/>
          <w:szCs w:val="20"/>
        </w:rPr>
        <w:t xml:space="preserve">rozpočtu </w:t>
      </w:r>
      <w:r w:rsidRPr="008D4CD3">
        <w:rPr>
          <w:rFonts w:asciiTheme="minorHAnsi" w:hAnsiTheme="minorHAnsi" w:cstheme="minorHAnsi"/>
          <w:sz w:val="20"/>
          <w:szCs w:val="20"/>
        </w:rPr>
        <w:t xml:space="preserve">MŠMT a MZe k 31. </w:t>
      </w:r>
      <w:r w:rsidR="00DC4B81" w:rsidRPr="008D4CD3">
        <w:rPr>
          <w:rFonts w:asciiTheme="minorHAnsi" w:hAnsiTheme="minorHAnsi" w:cstheme="minorHAnsi"/>
          <w:sz w:val="20"/>
          <w:szCs w:val="20"/>
        </w:rPr>
        <w:t xml:space="preserve">prosinci </w:t>
      </w:r>
      <w:r w:rsidRPr="008D4CD3">
        <w:rPr>
          <w:rFonts w:asciiTheme="minorHAnsi" w:hAnsiTheme="minorHAnsi" w:cstheme="minorHAnsi"/>
          <w:sz w:val="20"/>
          <w:szCs w:val="20"/>
        </w:rPr>
        <w:t>2014</w:t>
      </w:r>
      <w:r w:rsidR="00F20624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62B03796" w14:textId="353DD042" w:rsidR="00EA5E66" w:rsidRPr="00CF4427" w:rsidRDefault="00EA5E66" w:rsidP="008D4CD3">
      <w:pPr>
        <w:ind w:left="284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*</w:t>
      </w:r>
      <w:r w:rsidR="00CF4427">
        <w:rPr>
          <w:rFonts w:asciiTheme="minorHAnsi" w:hAnsiTheme="minorHAnsi" w:cstheme="minorHAnsi"/>
          <w:bCs/>
          <w:color w:val="000000"/>
          <w:sz w:val="20"/>
          <w:szCs w:val="20"/>
        </w:rPr>
        <w:tab/>
        <w:t>Ú</w:t>
      </w: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daje </w:t>
      </w:r>
      <w:r w:rsidR="008D073A"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s </w:t>
      </w: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nulovým kódem nástroje třídění rozpočtové </w:t>
      </w:r>
      <w:r w:rsidR="000559E1"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skladby</w:t>
      </w:r>
      <w:r w:rsidR="00F20624"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13E205A8" w14:textId="1F6B3C6F" w:rsidR="0006230D" w:rsidRPr="008D4CD3" w:rsidRDefault="00EA5E66" w:rsidP="008D4CD3">
      <w:pPr>
        <w:ind w:left="284" w:hanging="284"/>
        <w:rPr>
          <w:rFonts w:asciiTheme="minorHAnsi" w:hAnsiTheme="minorHAnsi" w:cstheme="minorHAnsi"/>
          <w:color w:val="000000"/>
          <w:sz w:val="20"/>
          <w:szCs w:val="20"/>
          <w:lang w:eastAsia="cs-CZ"/>
        </w:rPr>
      </w:pP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**</w:t>
      </w:r>
      <w:r w:rsidR="00CF4427">
        <w:rPr>
          <w:rFonts w:asciiTheme="minorHAnsi" w:hAnsiTheme="minorHAnsi" w:cstheme="minorHAnsi"/>
          <w:bCs/>
          <w:color w:val="000000"/>
          <w:sz w:val="20"/>
          <w:szCs w:val="20"/>
        </w:rPr>
        <w:tab/>
        <w:t>Ú</w:t>
      </w: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daje </w:t>
      </w:r>
      <w:r w:rsidR="008D073A"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s </w:t>
      </w:r>
      <w:r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nenulovým kódem nástroje třídění rozpočtové skladby</w:t>
      </w:r>
      <w:r w:rsidR="00F20624" w:rsidRPr="00CF442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D56228" w:rsidRPr="008D4CD3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</w:t>
      </w:r>
    </w:p>
    <w:p w14:paraId="639B468C" w14:textId="09549338" w:rsidR="003E5BD6" w:rsidRPr="00920634" w:rsidRDefault="003E5BD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lastRenderedPageBreak/>
        <w:t>Z</w:t>
      </w:r>
      <w:r w:rsidR="00C25706" w:rsidRPr="00920634">
        <w:rPr>
          <w:rFonts w:asciiTheme="minorHAnsi" w:hAnsiTheme="minorHAnsi" w:cstheme="minorHAnsi"/>
        </w:rPr>
        <w:t> graf</w:t>
      </w:r>
      <w:r w:rsidR="00AB334E" w:rsidRPr="00920634">
        <w:rPr>
          <w:rFonts w:asciiTheme="minorHAnsi" w:hAnsiTheme="minorHAnsi" w:cstheme="minorHAnsi"/>
        </w:rPr>
        <w:t>u</w:t>
      </w:r>
      <w:r w:rsidR="00C25706" w:rsidRPr="00920634">
        <w:rPr>
          <w:rFonts w:asciiTheme="minorHAnsi" w:hAnsiTheme="minorHAnsi" w:cstheme="minorHAnsi"/>
        </w:rPr>
        <w:t xml:space="preserve"> </w:t>
      </w:r>
      <w:r w:rsidR="00AB334E" w:rsidRPr="00920634">
        <w:rPr>
          <w:rFonts w:asciiTheme="minorHAnsi" w:hAnsiTheme="minorHAnsi" w:cstheme="minorHAnsi"/>
        </w:rPr>
        <w:t xml:space="preserve">č. </w:t>
      </w:r>
      <w:r w:rsidR="00C25706" w:rsidRPr="00920634">
        <w:rPr>
          <w:rFonts w:asciiTheme="minorHAnsi" w:hAnsiTheme="minorHAnsi" w:cstheme="minorHAnsi"/>
        </w:rPr>
        <w:t>1</w:t>
      </w:r>
      <w:r w:rsidR="00AB334E" w:rsidRPr="00920634">
        <w:rPr>
          <w:rFonts w:asciiTheme="minorHAnsi" w:hAnsiTheme="minorHAnsi" w:cstheme="minorHAnsi"/>
        </w:rPr>
        <w:t xml:space="preserve"> </w:t>
      </w:r>
      <w:r w:rsidR="00C25706" w:rsidRPr="00920634">
        <w:rPr>
          <w:rFonts w:asciiTheme="minorHAnsi" w:hAnsiTheme="minorHAnsi" w:cstheme="minorHAnsi"/>
        </w:rPr>
        <w:t>a zdrojové tabulky</w:t>
      </w:r>
      <w:r w:rsidRPr="00920634">
        <w:rPr>
          <w:rFonts w:asciiTheme="minorHAnsi" w:hAnsiTheme="minorHAnsi" w:cstheme="minorHAnsi"/>
        </w:rPr>
        <w:t xml:space="preserve"> vyplývá, že údaje o prostředcích se vztahem ke zdrojům v zahraničí </w:t>
      </w:r>
      <w:r w:rsidR="00D115E6" w:rsidRPr="00920634">
        <w:rPr>
          <w:rFonts w:asciiTheme="minorHAnsi" w:hAnsiTheme="minorHAnsi" w:cstheme="minorHAnsi"/>
        </w:rPr>
        <w:t>představovaly</w:t>
      </w:r>
      <w:r w:rsidRPr="00920634">
        <w:rPr>
          <w:rFonts w:asciiTheme="minorHAnsi" w:hAnsiTheme="minorHAnsi" w:cstheme="minorHAnsi"/>
        </w:rPr>
        <w:t xml:space="preserve"> </w:t>
      </w:r>
      <w:r w:rsidR="006C323D" w:rsidRPr="00920634">
        <w:rPr>
          <w:rFonts w:asciiTheme="minorHAnsi" w:hAnsiTheme="minorHAnsi" w:cstheme="minorHAnsi"/>
        </w:rPr>
        <w:t xml:space="preserve">v roce 2014 </w:t>
      </w:r>
      <w:r w:rsidRPr="00920634">
        <w:rPr>
          <w:rFonts w:asciiTheme="minorHAnsi" w:hAnsiTheme="minorHAnsi" w:cstheme="minorHAnsi"/>
        </w:rPr>
        <w:t>kvantitativně významné údaje vzhledem k celkovým údajům MŠMT a MZe. Jedná se o zásadní část příjmů MŠMT</w:t>
      </w:r>
      <w:r w:rsidR="0006230D" w:rsidRPr="00920634">
        <w:rPr>
          <w:rFonts w:asciiTheme="minorHAnsi" w:hAnsiTheme="minorHAnsi" w:cstheme="minorHAnsi"/>
        </w:rPr>
        <w:t xml:space="preserve"> (99 %)</w:t>
      </w:r>
      <w:r w:rsidRPr="00920634">
        <w:rPr>
          <w:rFonts w:asciiTheme="minorHAnsi" w:hAnsiTheme="minorHAnsi" w:cstheme="minorHAnsi"/>
        </w:rPr>
        <w:t xml:space="preserve"> a MZe</w:t>
      </w:r>
      <w:r w:rsidR="0006230D" w:rsidRPr="00920634">
        <w:rPr>
          <w:rFonts w:asciiTheme="minorHAnsi" w:hAnsiTheme="minorHAnsi" w:cstheme="minorHAnsi"/>
        </w:rPr>
        <w:t xml:space="preserve"> (81 %)</w:t>
      </w:r>
      <w:r w:rsidRPr="00920634">
        <w:rPr>
          <w:rFonts w:asciiTheme="minorHAnsi" w:hAnsiTheme="minorHAnsi" w:cstheme="minorHAnsi"/>
        </w:rPr>
        <w:t>, v případě MZe i o zásadní část výdajů</w:t>
      </w:r>
      <w:r w:rsidR="0006230D" w:rsidRPr="00920634">
        <w:rPr>
          <w:rFonts w:asciiTheme="minorHAnsi" w:hAnsiTheme="minorHAnsi" w:cstheme="minorHAnsi"/>
        </w:rPr>
        <w:t xml:space="preserve"> (78 %)</w:t>
      </w:r>
      <w:r w:rsidRPr="00920634">
        <w:rPr>
          <w:rFonts w:asciiTheme="minorHAnsi" w:hAnsiTheme="minorHAnsi" w:cstheme="minorHAnsi"/>
        </w:rPr>
        <w:t>.</w:t>
      </w:r>
      <w:r w:rsidR="00D17544" w:rsidRPr="00920634">
        <w:rPr>
          <w:rFonts w:asciiTheme="minorHAnsi" w:hAnsiTheme="minorHAnsi" w:cstheme="minorHAnsi"/>
        </w:rPr>
        <w:t xml:space="preserve"> Tyto příjmy a výdaje mají z hlediska rozpočtové s</w:t>
      </w:r>
      <w:r w:rsidR="00935EBE" w:rsidRPr="00920634">
        <w:rPr>
          <w:rFonts w:asciiTheme="minorHAnsi" w:hAnsiTheme="minorHAnsi" w:cstheme="minorHAnsi"/>
        </w:rPr>
        <w:t>kladby povahu zejména transferů</w:t>
      </w:r>
      <w:r w:rsidR="00D17544" w:rsidRPr="00920634">
        <w:rPr>
          <w:rFonts w:asciiTheme="minorHAnsi" w:hAnsiTheme="minorHAnsi" w:cstheme="minorHAnsi"/>
        </w:rPr>
        <w:t>. V</w:t>
      </w:r>
      <w:r w:rsidR="006C323D" w:rsidRPr="00920634">
        <w:rPr>
          <w:rFonts w:asciiTheme="minorHAnsi" w:hAnsiTheme="minorHAnsi" w:cstheme="minorHAnsi"/>
        </w:rPr>
        <w:t>ýdaje uskutečněné na politiky EU a jiné programy a politiky ze zahraničí jsou především kryty zdroji ze zahraničí, v menší části ze zdrojů tuzemských.</w:t>
      </w:r>
    </w:p>
    <w:p w14:paraId="14C4CE06" w14:textId="77777777" w:rsidR="00C25706" w:rsidRPr="00920634" w:rsidRDefault="00C25706" w:rsidP="00114439">
      <w:pPr>
        <w:jc w:val="both"/>
        <w:rPr>
          <w:rFonts w:asciiTheme="minorHAnsi" w:hAnsiTheme="minorHAnsi" w:cstheme="minorHAnsi"/>
        </w:rPr>
      </w:pPr>
    </w:p>
    <w:p w14:paraId="3E606EB1" w14:textId="6FFA3A99" w:rsidR="00C96BAE" w:rsidRPr="00920634" w:rsidRDefault="00C2570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Detailní přehled příjmů a výdajů vykázaných ve </w:t>
      </w:r>
      <w:r w:rsidR="00276D49">
        <w:rPr>
          <w:rFonts w:asciiTheme="minorHAnsi" w:hAnsiTheme="minorHAnsi" w:cstheme="minorHAnsi"/>
        </w:rPr>
        <w:t>v</w:t>
      </w:r>
      <w:r w:rsidRPr="00920634">
        <w:rPr>
          <w:rFonts w:asciiTheme="minorHAnsi" w:hAnsiTheme="minorHAnsi" w:cstheme="minorHAnsi"/>
        </w:rPr>
        <w:t xml:space="preserve">ýkazech pro hodnocení plnění rozpočtu MŠMT a MZe k 31. </w:t>
      </w:r>
      <w:r w:rsidR="00DC4B81" w:rsidRPr="00920634">
        <w:rPr>
          <w:rFonts w:asciiTheme="minorHAnsi" w:hAnsiTheme="minorHAnsi" w:cstheme="minorHAnsi"/>
        </w:rPr>
        <w:t xml:space="preserve">prosinci </w:t>
      </w:r>
      <w:r w:rsidRPr="00920634">
        <w:rPr>
          <w:rFonts w:asciiTheme="minorHAnsi" w:hAnsiTheme="minorHAnsi" w:cstheme="minorHAnsi"/>
        </w:rPr>
        <w:t xml:space="preserve">2014 </w:t>
      </w:r>
      <w:r w:rsidR="00276D49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>zachycených příslušným kódem nástroje třídění rozpočtové skladby je uveden v </w:t>
      </w:r>
      <w:r w:rsidRPr="00920634">
        <w:rPr>
          <w:rFonts w:asciiTheme="minorHAnsi" w:hAnsiTheme="minorHAnsi" w:cstheme="minorHAnsi"/>
          <w:b/>
        </w:rPr>
        <w:t xml:space="preserve">příloze č. 1 </w:t>
      </w:r>
      <w:r w:rsidR="00276D49" w:rsidRPr="00276D49">
        <w:rPr>
          <w:rFonts w:asciiTheme="minorHAnsi" w:hAnsiTheme="minorHAnsi" w:cstheme="minorHAnsi"/>
        </w:rPr>
        <w:t>tohoto</w:t>
      </w:r>
      <w:r w:rsidR="00276D49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</w:rPr>
        <w:t>kontrolního závěru.</w:t>
      </w:r>
    </w:p>
    <w:p w14:paraId="37EC1FAE" w14:textId="77777777" w:rsidR="00C25706" w:rsidRPr="00421ECF" w:rsidRDefault="00C25706" w:rsidP="00114439">
      <w:pPr>
        <w:jc w:val="both"/>
        <w:rPr>
          <w:rFonts w:asciiTheme="minorHAnsi" w:hAnsiTheme="minorHAnsi" w:cstheme="minorHAnsi"/>
          <w:b/>
        </w:rPr>
      </w:pPr>
    </w:p>
    <w:p w14:paraId="0C3755FA" w14:textId="2C1D9FAB" w:rsidR="00294B5C" w:rsidRPr="00920634" w:rsidRDefault="00294B5C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Údaje o prostředcích se vztahem k programům </w:t>
      </w:r>
      <w:r w:rsidR="0099483F" w:rsidRPr="00920634">
        <w:rPr>
          <w:rFonts w:asciiTheme="minorHAnsi" w:hAnsiTheme="minorHAnsi" w:cstheme="minorHAnsi"/>
        </w:rPr>
        <w:t>spolu</w:t>
      </w:r>
      <w:r w:rsidRPr="00920634">
        <w:rPr>
          <w:rFonts w:asciiTheme="minorHAnsi" w:hAnsiTheme="minorHAnsi" w:cstheme="minorHAnsi"/>
        </w:rPr>
        <w:t xml:space="preserve">financovaným ze zahraničí </w:t>
      </w:r>
      <w:r w:rsidR="0099483F" w:rsidRPr="00920634">
        <w:rPr>
          <w:rFonts w:asciiTheme="minorHAnsi" w:hAnsiTheme="minorHAnsi" w:cstheme="minorHAnsi"/>
        </w:rPr>
        <w:t>jsou významné</w:t>
      </w:r>
      <w:r w:rsidR="002C0B39" w:rsidRPr="00920634">
        <w:rPr>
          <w:rFonts w:asciiTheme="minorHAnsi" w:hAnsiTheme="minorHAnsi" w:cstheme="minorHAnsi"/>
        </w:rPr>
        <w:t xml:space="preserve"> i</w:t>
      </w:r>
      <w:r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účetnictví</w:t>
      </w:r>
      <w:r w:rsidR="002D7510" w:rsidRPr="00920634">
        <w:rPr>
          <w:rFonts w:asciiTheme="minorHAnsi" w:hAnsiTheme="minorHAnsi" w:cstheme="minorHAnsi"/>
        </w:rPr>
        <w:t xml:space="preserve">. </w:t>
      </w:r>
      <w:r w:rsidR="002D7510" w:rsidRPr="00920634">
        <w:rPr>
          <w:rFonts w:asciiTheme="minorHAnsi" w:hAnsiTheme="minorHAnsi" w:cstheme="minorHAnsi"/>
          <w:b/>
        </w:rPr>
        <w:t xml:space="preserve">Příloha č. 2 </w:t>
      </w:r>
      <w:r w:rsidR="00276D49" w:rsidRPr="00276D49">
        <w:rPr>
          <w:rFonts w:asciiTheme="minorHAnsi" w:hAnsiTheme="minorHAnsi" w:cstheme="minorHAnsi"/>
        </w:rPr>
        <w:t>tohoto</w:t>
      </w:r>
      <w:r w:rsidR="00276D49">
        <w:rPr>
          <w:rFonts w:asciiTheme="minorHAnsi" w:hAnsiTheme="minorHAnsi" w:cstheme="minorHAnsi"/>
          <w:b/>
        </w:rPr>
        <w:t xml:space="preserve"> </w:t>
      </w:r>
      <w:r w:rsidR="002D7510" w:rsidRPr="00920634">
        <w:rPr>
          <w:rFonts w:asciiTheme="minorHAnsi" w:hAnsiTheme="minorHAnsi" w:cstheme="minorHAnsi"/>
        </w:rPr>
        <w:t xml:space="preserve">kontrolního závěru </w:t>
      </w:r>
      <w:r w:rsidRPr="00920634">
        <w:rPr>
          <w:rFonts w:asciiTheme="minorHAnsi" w:hAnsiTheme="minorHAnsi" w:cstheme="minorHAnsi"/>
        </w:rPr>
        <w:t>poskytuje informac</w:t>
      </w:r>
      <w:r w:rsidR="00276D49">
        <w:rPr>
          <w:rFonts w:asciiTheme="minorHAnsi" w:hAnsiTheme="minorHAnsi" w:cstheme="minorHAnsi"/>
        </w:rPr>
        <w:t>e</w:t>
      </w:r>
      <w:r w:rsidRPr="00920634">
        <w:rPr>
          <w:rFonts w:asciiTheme="minorHAnsi" w:hAnsiTheme="minorHAnsi" w:cstheme="minorHAnsi"/>
        </w:rPr>
        <w:t xml:space="preserve"> o</w:t>
      </w:r>
      <w:r w:rsidR="00276D49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rozsahu</w:t>
      </w:r>
      <w:r w:rsidR="002C0B39" w:rsidRPr="00920634">
        <w:rPr>
          <w:rFonts w:asciiTheme="minorHAnsi" w:hAnsiTheme="minorHAnsi" w:cstheme="minorHAnsi"/>
        </w:rPr>
        <w:t xml:space="preserve"> a</w:t>
      </w:r>
      <w:r w:rsidR="00920634" w:rsidRPr="00920634">
        <w:rPr>
          <w:rFonts w:asciiTheme="minorHAnsi" w:hAnsiTheme="minorHAnsi" w:cstheme="minorHAnsi"/>
        </w:rPr>
        <w:t> </w:t>
      </w:r>
      <w:r w:rsidR="002C0B39" w:rsidRPr="00920634">
        <w:rPr>
          <w:rFonts w:asciiTheme="minorHAnsi" w:hAnsiTheme="minorHAnsi" w:cstheme="minorHAnsi"/>
        </w:rPr>
        <w:t>významu</w:t>
      </w:r>
      <w:r w:rsidRPr="00920634">
        <w:rPr>
          <w:rFonts w:asciiTheme="minorHAnsi" w:hAnsiTheme="minorHAnsi" w:cstheme="minorHAnsi"/>
        </w:rPr>
        <w:t xml:space="preserve"> těchto údajů v účetních závěrkách MŠMT a MZe sestavených k 31.</w:t>
      </w:r>
      <w:r w:rsidR="00276D49">
        <w:rPr>
          <w:rFonts w:asciiTheme="minorHAnsi" w:hAnsiTheme="minorHAnsi" w:cstheme="minorHAnsi"/>
        </w:rPr>
        <w:t> </w:t>
      </w:r>
      <w:r w:rsidR="00DC4B81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2014.</w:t>
      </w:r>
    </w:p>
    <w:p w14:paraId="4F97BC3F" w14:textId="18BDA5CB" w:rsidR="007F0369" w:rsidRPr="00920634" w:rsidRDefault="007F036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568B6CD" w14:textId="3E4C54E7" w:rsidR="002D029F" w:rsidRPr="00920634" w:rsidRDefault="00882D7C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>2.</w:t>
      </w:r>
      <w:r w:rsidR="008D073A">
        <w:rPr>
          <w:rFonts w:asciiTheme="minorHAnsi" w:hAnsiTheme="minorHAnsi" w:cstheme="minorHAnsi"/>
          <w:b/>
          <w:sz w:val="24"/>
        </w:rPr>
        <w:t xml:space="preserve"> </w:t>
      </w:r>
      <w:r w:rsidR="005D20F2" w:rsidRPr="00920634">
        <w:rPr>
          <w:rFonts w:asciiTheme="minorHAnsi" w:hAnsiTheme="minorHAnsi" w:cstheme="minorHAnsi"/>
          <w:b/>
          <w:sz w:val="24"/>
        </w:rPr>
        <w:t>Jednotlivé druhy transferů</w:t>
      </w:r>
      <w:r w:rsidR="00D30D81" w:rsidRPr="00920634">
        <w:rPr>
          <w:rFonts w:asciiTheme="minorHAnsi" w:hAnsiTheme="minorHAnsi" w:cstheme="minorHAnsi"/>
          <w:b/>
          <w:sz w:val="24"/>
        </w:rPr>
        <w:t xml:space="preserve"> se vztahem </w:t>
      </w:r>
      <w:r w:rsidR="0099483F" w:rsidRPr="00920634">
        <w:rPr>
          <w:rFonts w:asciiTheme="minorHAnsi" w:hAnsiTheme="minorHAnsi" w:cstheme="minorHAnsi"/>
          <w:b/>
          <w:sz w:val="24"/>
        </w:rPr>
        <w:t xml:space="preserve">ke zdrojům </w:t>
      </w:r>
      <w:r w:rsidR="008D073A">
        <w:rPr>
          <w:rFonts w:asciiTheme="minorHAnsi" w:hAnsiTheme="minorHAnsi" w:cstheme="minorHAnsi"/>
          <w:b/>
          <w:sz w:val="24"/>
        </w:rPr>
        <w:t>v </w:t>
      </w:r>
      <w:r w:rsidR="00D30D81" w:rsidRPr="00920634">
        <w:rPr>
          <w:rFonts w:asciiTheme="minorHAnsi" w:hAnsiTheme="minorHAnsi" w:cstheme="minorHAnsi"/>
          <w:b/>
          <w:sz w:val="24"/>
        </w:rPr>
        <w:t>zahraničí</w:t>
      </w:r>
      <w:r w:rsidR="005D20F2" w:rsidRPr="00920634">
        <w:rPr>
          <w:rFonts w:asciiTheme="minorHAnsi" w:hAnsiTheme="minorHAnsi" w:cstheme="minorHAnsi"/>
          <w:b/>
          <w:sz w:val="24"/>
        </w:rPr>
        <w:t xml:space="preserve"> na MŠMT a MZe</w:t>
      </w:r>
    </w:p>
    <w:p w14:paraId="1A13B464" w14:textId="77777777" w:rsidR="002D029F" w:rsidRPr="00920634" w:rsidRDefault="002D029F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7E6B0AC5" w14:textId="2D39B64F" w:rsidR="00D56228" w:rsidRPr="008D4CD3" w:rsidRDefault="003976E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8D4CD3">
        <w:rPr>
          <w:rFonts w:asciiTheme="minorHAnsi" w:hAnsiTheme="minorHAnsi" w:cstheme="minorHAnsi"/>
          <w:b/>
          <w:sz w:val="24"/>
        </w:rPr>
        <w:t xml:space="preserve">2.1 </w:t>
      </w:r>
      <w:r w:rsidR="004A4D48" w:rsidRPr="008D4CD3">
        <w:rPr>
          <w:rFonts w:asciiTheme="minorHAnsi" w:hAnsiTheme="minorHAnsi" w:cstheme="minorHAnsi"/>
          <w:b/>
          <w:sz w:val="24"/>
        </w:rPr>
        <w:t>Operační programy</w:t>
      </w:r>
    </w:p>
    <w:p w14:paraId="5F9A0D54" w14:textId="51AEE60B" w:rsidR="00B0204B" w:rsidRDefault="00FF27FB" w:rsidP="0011443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920634">
        <w:rPr>
          <w:rFonts w:asciiTheme="minorHAnsi" w:hAnsiTheme="minorHAnsi" w:cstheme="minorHAnsi"/>
        </w:rPr>
        <w:t>Operační programy jsou součástí souhrnného rozpočtu E</w:t>
      </w:r>
      <w:r w:rsidR="00A9125E">
        <w:rPr>
          <w:rFonts w:asciiTheme="minorHAnsi" w:hAnsiTheme="minorHAnsi" w:cstheme="minorHAnsi"/>
        </w:rPr>
        <w:t>U</w:t>
      </w:r>
      <w:r w:rsidRPr="00920634">
        <w:rPr>
          <w:rFonts w:asciiTheme="minorHAnsi" w:hAnsiTheme="minorHAnsi" w:cstheme="minorHAnsi"/>
        </w:rPr>
        <w:t xml:space="preserve"> a vztahují se na ně pravidla stanovená </w:t>
      </w:r>
      <w:r w:rsidRPr="00920634">
        <w:rPr>
          <w:rFonts w:asciiTheme="minorHAnsi" w:hAnsiTheme="minorHAnsi" w:cstheme="minorHAnsi"/>
          <w:bCs/>
          <w:iCs/>
        </w:rPr>
        <w:t>nařízením Rady (ES, EURATOM) č. 1605/2002 ze dne 25. 6. 2002, kterým se stanoví finanční nařízení o souhrnném rozpočtu Evropských společenství.</w:t>
      </w:r>
      <w:r w:rsidRPr="00920634">
        <w:rPr>
          <w:rFonts w:asciiTheme="minorHAnsi" w:hAnsiTheme="minorHAnsi" w:cstheme="minorHAnsi"/>
        </w:rPr>
        <w:t xml:space="preserve"> </w:t>
      </w:r>
      <w:r w:rsidR="000A5209" w:rsidRPr="00920634">
        <w:rPr>
          <w:rFonts w:asciiTheme="minorHAnsi" w:hAnsiTheme="minorHAnsi" w:cstheme="minorHAnsi"/>
        </w:rPr>
        <w:t>Operační programy</w:t>
      </w:r>
      <w:r w:rsidR="000559E1" w:rsidRPr="00920634">
        <w:rPr>
          <w:rFonts w:asciiTheme="minorHAnsi" w:hAnsiTheme="minorHAnsi" w:cstheme="minorHAnsi"/>
        </w:rPr>
        <w:t xml:space="preserve"> (dále </w:t>
      </w:r>
      <w:r w:rsidR="00A9125E">
        <w:rPr>
          <w:rFonts w:asciiTheme="minorHAnsi" w:hAnsiTheme="minorHAnsi" w:cstheme="minorHAnsi"/>
        </w:rPr>
        <w:t xml:space="preserve">také </w:t>
      </w:r>
      <w:r w:rsidR="000559E1" w:rsidRPr="00920634">
        <w:rPr>
          <w:rFonts w:asciiTheme="minorHAnsi" w:hAnsiTheme="minorHAnsi" w:cstheme="minorHAnsi"/>
        </w:rPr>
        <w:t>„OP“)</w:t>
      </w:r>
      <w:r w:rsidR="000A5209" w:rsidRPr="00920634">
        <w:rPr>
          <w:rFonts w:asciiTheme="minorHAnsi" w:hAnsiTheme="minorHAnsi" w:cstheme="minorHAnsi"/>
        </w:rPr>
        <w:t xml:space="preserve"> </w:t>
      </w:r>
      <w:r w:rsidR="003A5E11" w:rsidRPr="008D4CD3">
        <w:rPr>
          <w:rFonts w:asciiTheme="minorHAnsi" w:hAnsiTheme="minorHAnsi" w:cstheme="minorHAnsi"/>
          <w:i/>
        </w:rPr>
        <w:t>Vzdělávání pro konkurenceschopnost</w:t>
      </w:r>
      <w:r w:rsidR="003A5E11" w:rsidRPr="00920634">
        <w:rPr>
          <w:rFonts w:asciiTheme="minorHAnsi" w:hAnsiTheme="minorHAnsi" w:cstheme="minorHAnsi"/>
        </w:rPr>
        <w:t xml:space="preserve"> (dále </w:t>
      </w:r>
      <w:r w:rsidR="00A9125E">
        <w:rPr>
          <w:rFonts w:asciiTheme="minorHAnsi" w:hAnsiTheme="minorHAnsi" w:cstheme="minorHAnsi"/>
        </w:rPr>
        <w:t xml:space="preserve">také </w:t>
      </w:r>
      <w:r w:rsidR="003A5E11" w:rsidRPr="00920634">
        <w:rPr>
          <w:rFonts w:asciiTheme="minorHAnsi" w:hAnsiTheme="minorHAnsi" w:cstheme="minorHAnsi"/>
        </w:rPr>
        <w:t>„VK“)</w:t>
      </w:r>
      <w:r w:rsidR="007F58AD" w:rsidRPr="00920634">
        <w:rPr>
          <w:rFonts w:asciiTheme="minorHAnsi" w:hAnsiTheme="minorHAnsi" w:cstheme="minorHAnsi"/>
        </w:rPr>
        <w:t xml:space="preserve">, </w:t>
      </w:r>
      <w:r w:rsidR="003A5E11" w:rsidRPr="008D4CD3">
        <w:rPr>
          <w:rFonts w:asciiTheme="minorHAnsi" w:hAnsiTheme="minorHAnsi" w:cstheme="minorHAnsi"/>
          <w:i/>
        </w:rPr>
        <w:t>Výzkum a</w:t>
      </w:r>
      <w:r w:rsidR="00920634" w:rsidRPr="008D4CD3">
        <w:rPr>
          <w:rFonts w:asciiTheme="minorHAnsi" w:hAnsiTheme="minorHAnsi" w:cstheme="minorHAnsi"/>
          <w:i/>
        </w:rPr>
        <w:t> </w:t>
      </w:r>
      <w:r w:rsidR="003A5E11" w:rsidRPr="008D4CD3">
        <w:rPr>
          <w:rFonts w:asciiTheme="minorHAnsi" w:hAnsiTheme="minorHAnsi" w:cstheme="minorHAnsi"/>
          <w:i/>
        </w:rPr>
        <w:t>vývoj pro inovace</w:t>
      </w:r>
      <w:r w:rsidR="003A5E11" w:rsidRPr="00920634">
        <w:rPr>
          <w:rFonts w:asciiTheme="minorHAnsi" w:hAnsiTheme="minorHAnsi" w:cstheme="minorHAnsi"/>
        </w:rPr>
        <w:t xml:space="preserve"> (dále </w:t>
      </w:r>
      <w:r w:rsidR="00A9125E">
        <w:rPr>
          <w:rFonts w:asciiTheme="minorHAnsi" w:hAnsiTheme="minorHAnsi" w:cstheme="minorHAnsi"/>
        </w:rPr>
        <w:t xml:space="preserve">také </w:t>
      </w:r>
      <w:r w:rsidR="003A5E11" w:rsidRPr="00920634">
        <w:rPr>
          <w:rFonts w:asciiTheme="minorHAnsi" w:hAnsiTheme="minorHAnsi" w:cstheme="minorHAnsi"/>
        </w:rPr>
        <w:t>„</w:t>
      </w:r>
      <w:r w:rsidR="000A5209" w:rsidRPr="00920634">
        <w:rPr>
          <w:rFonts w:asciiTheme="minorHAnsi" w:hAnsiTheme="minorHAnsi" w:cstheme="minorHAnsi"/>
        </w:rPr>
        <w:t>VaVpI</w:t>
      </w:r>
      <w:r w:rsidR="003A5E11" w:rsidRPr="00920634">
        <w:rPr>
          <w:rFonts w:asciiTheme="minorHAnsi" w:hAnsiTheme="minorHAnsi" w:cstheme="minorHAnsi"/>
        </w:rPr>
        <w:t>“)</w:t>
      </w:r>
      <w:r w:rsidR="007F58AD" w:rsidRPr="00920634">
        <w:rPr>
          <w:rFonts w:asciiTheme="minorHAnsi" w:hAnsiTheme="minorHAnsi" w:cstheme="minorHAnsi"/>
        </w:rPr>
        <w:t xml:space="preserve"> a </w:t>
      </w:r>
      <w:r w:rsidR="001E3C3E">
        <w:rPr>
          <w:rFonts w:asciiTheme="minorHAnsi" w:hAnsiTheme="minorHAnsi" w:cstheme="minorHAnsi"/>
        </w:rPr>
        <w:t xml:space="preserve">operační program </w:t>
      </w:r>
      <w:r w:rsidR="007F58AD" w:rsidRPr="008D4CD3">
        <w:rPr>
          <w:rFonts w:asciiTheme="minorHAnsi" w:hAnsiTheme="minorHAnsi" w:cstheme="minorHAnsi"/>
          <w:i/>
        </w:rPr>
        <w:t>Rybářství</w:t>
      </w:r>
      <w:r w:rsidR="000A5209" w:rsidRPr="008D4CD3">
        <w:rPr>
          <w:rFonts w:asciiTheme="minorHAnsi" w:hAnsiTheme="minorHAnsi" w:cstheme="minorHAnsi"/>
          <w:i/>
        </w:rPr>
        <w:t xml:space="preserve"> </w:t>
      </w:r>
      <w:r w:rsidR="009C3FBF" w:rsidRPr="008D4CD3">
        <w:rPr>
          <w:rFonts w:asciiTheme="minorHAnsi" w:hAnsiTheme="minorHAnsi" w:cstheme="minorHAnsi"/>
          <w:i/>
        </w:rPr>
        <w:t>2007–2013</w:t>
      </w:r>
      <w:r w:rsidR="009C3FBF" w:rsidRPr="00920634">
        <w:rPr>
          <w:rFonts w:asciiTheme="minorHAnsi" w:hAnsiTheme="minorHAnsi" w:cstheme="minorHAnsi"/>
        </w:rPr>
        <w:t xml:space="preserve"> </w:t>
      </w:r>
      <w:r w:rsidR="00A9125E">
        <w:rPr>
          <w:rFonts w:asciiTheme="minorHAnsi" w:hAnsiTheme="minorHAnsi" w:cstheme="minorHAnsi"/>
        </w:rPr>
        <w:t xml:space="preserve">(dále také „OPR“) </w:t>
      </w:r>
      <w:r w:rsidR="000A5209" w:rsidRPr="00920634">
        <w:rPr>
          <w:rFonts w:asciiTheme="minorHAnsi" w:hAnsiTheme="minorHAnsi" w:cstheme="minorHAnsi"/>
        </w:rPr>
        <w:t xml:space="preserve">jsou realizovány </w:t>
      </w:r>
      <w:r w:rsidR="009C3FBF" w:rsidRPr="00920634">
        <w:rPr>
          <w:rFonts w:asciiTheme="minorHAnsi" w:hAnsiTheme="minorHAnsi" w:cstheme="minorHAnsi"/>
        </w:rPr>
        <w:t xml:space="preserve">zejména </w:t>
      </w:r>
      <w:r w:rsidR="000A5209" w:rsidRPr="00920634">
        <w:rPr>
          <w:rFonts w:asciiTheme="minorHAnsi" w:hAnsiTheme="minorHAnsi" w:cstheme="minorHAnsi"/>
        </w:rPr>
        <w:t>na základě</w:t>
      </w:r>
      <w:r w:rsidR="007F58AD" w:rsidRPr="00920634">
        <w:rPr>
          <w:rFonts w:asciiTheme="minorHAnsi" w:hAnsiTheme="minorHAnsi" w:cstheme="minorHAnsi"/>
        </w:rPr>
        <w:t xml:space="preserve"> evropských </w:t>
      </w:r>
      <w:r w:rsidR="0045008C" w:rsidRPr="00920634">
        <w:rPr>
          <w:rFonts w:asciiTheme="minorHAnsi" w:hAnsiTheme="minorHAnsi" w:cstheme="minorHAnsi"/>
        </w:rPr>
        <w:t>předpisů</w:t>
      </w:r>
      <w:r w:rsidR="007F58AD" w:rsidRPr="00920634">
        <w:rPr>
          <w:rFonts w:asciiTheme="minorHAnsi" w:hAnsiTheme="minorHAnsi" w:cstheme="minorHAnsi"/>
        </w:rPr>
        <w:t>. Řízení a nastavení finančních toků prostředků z operačních programů upravují metodické dokumenty schválené usneseními vlády ČR.</w:t>
      </w:r>
      <w:r w:rsidR="007F58AD" w:rsidRPr="00920634">
        <w:rPr>
          <w:rFonts w:asciiTheme="minorHAnsi" w:hAnsiTheme="minorHAnsi" w:cstheme="minorHAnsi"/>
          <w:bCs/>
          <w:iCs/>
        </w:rPr>
        <w:t xml:space="preserve"> </w:t>
      </w:r>
    </w:p>
    <w:p w14:paraId="39C53DFF" w14:textId="77777777" w:rsidR="00421ECF" w:rsidRPr="00920634" w:rsidRDefault="00421ECF" w:rsidP="00114439">
      <w:pPr>
        <w:pStyle w:val="Normlnweb"/>
        <w:jc w:val="both"/>
        <w:rPr>
          <w:rFonts w:asciiTheme="minorHAnsi" w:hAnsiTheme="minorHAnsi" w:cstheme="minorHAnsi"/>
          <w:bCs/>
          <w:iCs/>
        </w:rPr>
      </w:pPr>
    </w:p>
    <w:p w14:paraId="74AA37A0" w14:textId="5091CB1A" w:rsidR="004A4D48" w:rsidRPr="008D4CD3" w:rsidRDefault="003976E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8D4CD3">
        <w:rPr>
          <w:rFonts w:asciiTheme="minorHAnsi" w:hAnsiTheme="minorHAnsi" w:cstheme="minorHAnsi"/>
          <w:b/>
          <w:sz w:val="24"/>
        </w:rPr>
        <w:t xml:space="preserve">2.2 </w:t>
      </w:r>
      <w:r w:rsidR="004A4D48" w:rsidRPr="008D4CD3">
        <w:rPr>
          <w:rFonts w:asciiTheme="minorHAnsi" w:hAnsiTheme="minorHAnsi" w:cstheme="minorHAnsi"/>
          <w:b/>
          <w:sz w:val="24"/>
        </w:rPr>
        <w:t>Společná zemědělská politika</w:t>
      </w:r>
    </w:p>
    <w:p w14:paraId="4148A37E" w14:textId="3CEDDE7D" w:rsidR="00975B20" w:rsidRDefault="00465D2B" w:rsidP="0011443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920634">
        <w:rPr>
          <w:rFonts w:asciiTheme="minorHAnsi" w:hAnsiTheme="minorHAnsi" w:cstheme="minorHAnsi"/>
          <w:szCs w:val="20"/>
          <w:lang w:eastAsia="cs-CZ"/>
        </w:rPr>
        <w:t xml:space="preserve">SZP zahrnuje </w:t>
      </w:r>
      <w:r w:rsidR="006450B3">
        <w:rPr>
          <w:rFonts w:asciiTheme="minorHAnsi" w:hAnsiTheme="minorHAnsi" w:cstheme="minorHAnsi"/>
          <w:szCs w:val="20"/>
          <w:lang w:eastAsia="cs-CZ"/>
        </w:rPr>
        <w:t>p</w:t>
      </w:r>
      <w:r w:rsidRPr="00920634">
        <w:rPr>
          <w:rFonts w:asciiTheme="minorHAnsi" w:hAnsiTheme="minorHAnsi" w:cstheme="minorHAnsi"/>
          <w:szCs w:val="20"/>
          <w:lang w:eastAsia="cs-CZ"/>
        </w:rPr>
        <w:t xml:space="preserve">římé platby (dále </w:t>
      </w:r>
      <w:r w:rsidR="006450B3">
        <w:rPr>
          <w:rFonts w:asciiTheme="minorHAnsi" w:hAnsiTheme="minorHAnsi" w:cstheme="minorHAnsi"/>
          <w:szCs w:val="20"/>
          <w:lang w:eastAsia="cs-CZ"/>
        </w:rPr>
        <w:t xml:space="preserve">také </w:t>
      </w:r>
      <w:r w:rsidRPr="00920634">
        <w:rPr>
          <w:rFonts w:asciiTheme="minorHAnsi" w:hAnsiTheme="minorHAnsi" w:cstheme="minorHAnsi"/>
          <w:szCs w:val="20"/>
          <w:lang w:eastAsia="cs-CZ"/>
        </w:rPr>
        <w:t xml:space="preserve">„PP“), </w:t>
      </w:r>
      <w:r w:rsidR="006450B3">
        <w:rPr>
          <w:rFonts w:asciiTheme="minorHAnsi" w:hAnsiTheme="minorHAnsi" w:cstheme="minorHAnsi"/>
          <w:szCs w:val="20"/>
          <w:lang w:eastAsia="cs-CZ"/>
        </w:rPr>
        <w:t>s</w:t>
      </w:r>
      <w:r w:rsidRPr="00920634">
        <w:rPr>
          <w:rFonts w:asciiTheme="minorHAnsi" w:hAnsiTheme="minorHAnsi" w:cstheme="minorHAnsi"/>
          <w:szCs w:val="20"/>
          <w:lang w:eastAsia="cs-CZ"/>
        </w:rPr>
        <w:t xml:space="preserve">polečnou organizaci trhu (dále </w:t>
      </w:r>
      <w:r w:rsidR="006450B3">
        <w:rPr>
          <w:rFonts w:asciiTheme="minorHAnsi" w:hAnsiTheme="minorHAnsi" w:cstheme="minorHAnsi"/>
          <w:szCs w:val="20"/>
          <w:lang w:eastAsia="cs-CZ"/>
        </w:rPr>
        <w:t xml:space="preserve">také </w:t>
      </w:r>
      <w:r w:rsidRPr="00920634">
        <w:rPr>
          <w:rFonts w:asciiTheme="minorHAnsi" w:hAnsiTheme="minorHAnsi" w:cstheme="minorHAnsi"/>
          <w:szCs w:val="20"/>
          <w:lang w:eastAsia="cs-CZ"/>
        </w:rPr>
        <w:t>„SOT“) a</w:t>
      </w:r>
      <w:r w:rsidR="006450B3">
        <w:rPr>
          <w:rFonts w:asciiTheme="minorHAnsi" w:hAnsiTheme="minorHAnsi" w:cstheme="minorHAnsi"/>
          <w:szCs w:val="20"/>
          <w:lang w:eastAsia="cs-CZ"/>
        </w:rPr>
        <w:t> p</w:t>
      </w:r>
      <w:r w:rsidRPr="00920634">
        <w:rPr>
          <w:rFonts w:asciiTheme="minorHAnsi" w:hAnsiTheme="minorHAnsi" w:cstheme="minorHAnsi"/>
          <w:szCs w:val="20"/>
          <w:lang w:eastAsia="cs-CZ"/>
        </w:rPr>
        <w:t>rogram</w:t>
      </w:r>
      <w:r w:rsidR="006450B3">
        <w:rPr>
          <w:rFonts w:asciiTheme="minorHAnsi" w:hAnsiTheme="minorHAnsi" w:cstheme="minorHAnsi"/>
          <w:szCs w:val="20"/>
          <w:lang w:eastAsia="cs-CZ"/>
        </w:rPr>
        <w:t>y</w:t>
      </w:r>
      <w:r w:rsidRPr="00920634">
        <w:rPr>
          <w:rFonts w:asciiTheme="minorHAnsi" w:hAnsiTheme="minorHAnsi" w:cstheme="minorHAnsi"/>
          <w:szCs w:val="20"/>
          <w:lang w:eastAsia="cs-CZ"/>
        </w:rPr>
        <w:t xml:space="preserve"> rozvoje venkova (dále </w:t>
      </w:r>
      <w:r w:rsidR="006450B3">
        <w:rPr>
          <w:rFonts w:asciiTheme="minorHAnsi" w:hAnsiTheme="minorHAnsi" w:cstheme="minorHAnsi"/>
          <w:szCs w:val="20"/>
          <w:lang w:eastAsia="cs-CZ"/>
        </w:rPr>
        <w:t xml:space="preserve">také </w:t>
      </w:r>
      <w:r w:rsidRPr="00920634">
        <w:rPr>
          <w:rFonts w:asciiTheme="minorHAnsi" w:hAnsiTheme="minorHAnsi" w:cstheme="minorHAnsi"/>
          <w:szCs w:val="20"/>
          <w:lang w:eastAsia="cs-CZ"/>
        </w:rPr>
        <w:t xml:space="preserve">„PRV“). </w:t>
      </w:r>
      <w:r w:rsidR="006450B3">
        <w:rPr>
          <w:rFonts w:asciiTheme="minorHAnsi" w:hAnsiTheme="minorHAnsi" w:cstheme="minorHAnsi"/>
          <w:szCs w:val="20"/>
        </w:rPr>
        <w:t>N</w:t>
      </w:r>
      <w:r w:rsidR="0063519E" w:rsidRPr="00920634">
        <w:rPr>
          <w:rFonts w:asciiTheme="minorHAnsi" w:hAnsiTheme="minorHAnsi" w:cstheme="minorHAnsi"/>
          <w:szCs w:val="20"/>
        </w:rPr>
        <w:t xml:space="preserve">astavení </w:t>
      </w:r>
      <w:r w:rsidR="006450B3">
        <w:rPr>
          <w:rFonts w:asciiTheme="minorHAnsi" w:hAnsiTheme="minorHAnsi" w:cstheme="minorHAnsi"/>
          <w:szCs w:val="20"/>
        </w:rPr>
        <w:t>s</w:t>
      </w:r>
      <w:r w:rsidR="006450B3" w:rsidRPr="00920634">
        <w:rPr>
          <w:rFonts w:asciiTheme="minorHAnsi" w:hAnsiTheme="minorHAnsi" w:cstheme="minorHAnsi"/>
          <w:szCs w:val="20"/>
        </w:rPr>
        <w:t>ystém</w:t>
      </w:r>
      <w:r w:rsidR="006450B3">
        <w:rPr>
          <w:rFonts w:asciiTheme="minorHAnsi" w:hAnsiTheme="minorHAnsi" w:cstheme="minorHAnsi"/>
          <w:szCs w:val="20"/>
        </w:rPr>
        <w:t>u</w:t>
      </w:r>
      <w:r w:rsidR="006450B3" w:rsidRPr="00920634">
        <w:rPr>
          <w:rFonts w:asciiTheme="minorHAnsi" w:hAnsiTheme="minorHAnsi" w:cstheme="minorHAnsi"/>
          <w:szCs w:val="20"/>
        </w:rPr>
        <w:t xml:space="preserve"> </w:t>
      </w:r>
      <w:r w:rsidR="0063519E" w:rsidRPr="00920634">
        <w:rPr>
          <w:rFonts w:asciiTheme="minorHAnsi" w:hAnsiTheme="minorHAnsi" w:cstheme="minorHAnsi"/>
          <w:szCs w:val="20"/>
        </w:rPr>
        <w:t xml:space="preserve">finančních toků </w:t>
      </w:r>
      <w:r w:rsidR="008028DA" w:rsidRPr="00920634">
        <w:rPr>
          <w:rFonts w:asciiTheme="minorHAnsi" w:hAnsiTheme="minorHAnsi" w:cstheme="minorHAnsi"/>
        </w:rPr>
        <w:t>SZP</w:t>
      </w:r>
      <w:r w:rsidR="001E39C6" w:rsidRPr="00920634">
        <w:rPr>
          <w:rFonts w:asciiTheme="minorHAnsi" w:hAnsiTheme="minorHAnsi" w:cstheme="minorHAnsi"/>
        </w:rPr>
        <w:t xml:space="preserve"> </w:t>
      </w:r>
      <w:r w:rsidR="006450B3">
        <w:rPr>
          <w:rFonts w:asciiTheme="minorHAnsi" w:hAnsiTheme="minorHAnsi" w:cstheme="minorHAnsi"/>
        </w:rPr>
        <w:t>s</w:t>
      </w:r>
      <w:r w:rsidR="0063519E" w:rsidRPr="00920634">
        <w:rPr>
          <w:rFonts w:asciiTheme="minorHAnsi" w:hAnsiTheme="minorHAnsi" w:cstheme="minorHAnsi"/>
        </w:rPr>
        <w:t xml:space="preserve">e </w:t>
      </w:r>
      <w:r w:rsidR="006450B3">
        <w:rPr>
          <w:rFonts w:asciiTheme="minorHAnsi" w:hAnsiTheme="minorHAnsi" w:cstheme="minorHAnsi"/>
        </w:rPr>
        <w:t>řídí</w:t>
      </w:r>
      <w:r w:rsidR="00B0204B" w:rsidRPr="00920634">
        <w:rPr>
          <w:rFonts w:asciiTheme="minorHAnsi" w:hAnsiTheme="minorHAnsi" w:cstheme="minorHAnsi"/>
        </w:rPr>
        <w:t xml:space="preserve"> zejména evropský</w:t>
      </w:r>
      <w:r w:rsidR="006450B3">
        <w:rPr>
          <w:rFonts w:asciiTheme="minorHAnsi" w:hAnsiTheme="minorHAnsi" w:cstheme="minorHAnsi"/>
        </w:rPr>
        <w:t>mi</w:t>
      </w:r>
      <w:r w:rsidR="00B0204B" w:rsidRPr="00920634">
        <w:rPr>
          <w:rFonts w:asciiTheme="minorHAnsi" w:hAnsiTheme="minorHAnsi" w:cstheme="minorHAnsi"/>
        </w:rPr>
        <w:t xml:space="preserve"> nařízení</w:t>
      </w:r>
      <w:r w:rsidR="006450B3">
        <w:rPr>
          <w:rFonts w:asciiTheme="minorHAnsi" w:hAnsiTheme="minorHAnsi" w:cstheme="minorHAnsi"/>
        </w:rPr>
        <w:t>mi</w:t>
      </w:r>
      <w:r w:rsidR="00B0204B" w:rsidRPr="00920634">
        <w:rPr>
          <w:rFonts w:asciiTheme="minorHAnsi" w:hAnsiTheme="minorHAnsi" w:cstheme="minorHAnsi"/>
        </w:rPr>
        <w:t xml:space="preserve">. Řízení </w:t>
      </w:r>
      <w:r w:rsidR="006450B3">
        <w:rPr>
          <w:rFonts w:asciiTheme="minorHAnsi" w:hAnsiTheme="minorHAnsi" w:cstheme="minorHAnsi"/>
        </w:rPr>
        <w:t>i</w:t>
      </w:r>
      <w:r w:rsidR="00B0204B" w:rsidRPr="00920634">
        <w:rPr>
          <w:rFonts w:asciiTheme="minorHAnsi" w:hAnsiTheme="minorHAnsi" w:cstheme="minorHAnsi"/>
        </w:rPr>
        <w:t xml:space="preserve"> nastavení finančních toků SZP j</w:t>
      </w:r>
      <w:r w:rsidR="006450B3">
        <w:rPr>
          <w:rFonts w:asciiTheme="minorHAnsi" w:hAnsiTheme="minorHAnsi" w:cstheme="minorHAnsi"/>
        </w:rPr>
        <w:t>sou</w:t>
      </w:r>
      <w:r w:rsidR="00B0204B" w:rsidRPr="00920634">
        <w:rPr>
          <w:rFonts w:asciiTheme="minorHAnsi" w:hAnsiTheme="minorHAnsi" w:cstheme="minorHAnsi"/>
        </w:rPr>
        <w:t xml:space="preserve"> upraven</w:t>
      </w:r>
      <w:r w:rsidR="006450B3">
        <w:rPr>
          <w:rFonts w:asciiTheme="minorHAnsi" w:hAnsiTheme="minorHAnsi" w:cstheme="minorHAnsi"/>
        </w:rPr>
        <w:t>y</w:t>
      </w:r>
      <w:r w:rsidR="00B0204B" w:rsidRPr="00920634">
        <w:rPr>
          <w:rFonts w:asciiTheme="minorHAnsi" w:hAnsiTheme="minorHAnsi" w:cstheme="minorHAnsi"/>
        </w:rPr>
        <w:t xml:space="preserve"> </w:t>
      </w:r>
      <w:r w:rsidR="0045008C" w:rsidRPr="00920634">
        <w:rPr>
          <w:rFonts w:asciiTheme="minorHAnsi" w:hAnsiTheme="minorHAnsi" w:cstheme="minorHAnsi"/>
        </w:rPr>
        <w:t>příslušným</w:t>
      </w:r>
      <w:r w:rsidR="006450B3">
        <w:rPr>
          <w:rFonts w:asciiTheme="minorHAnsi" w:hAnsiTheme="minorHAnsi" w:cstheme="minorHAnsi"/>
        </w:rPr>
        <w:t>i</w:t>
      </w:r>
      <w:r w:rsidR="0045008C" w:rsidRPr="00920634">
        <w:rPr>
          <w:rFonts w:asciiTheme="minorHAnsi" w:hAnsiTheme="minorHAnsi" w:cstheme="minorHAnsi"/>
        </w:rPr>
        <w:t xml:space="preserve"> </w:t>
      </w:r>
      <w:r w:rsidR="00B0204B" w:rsidRPr="00920634">
        <w:rPr>
          <w:rFonts w:asciiTheme="minorHAnsi" w:hAnsiTheme="minorHAnsi" w:cstheme="minorHAnsi"/>
        </w:rPr>
        <w:t>usnesením</w:t>
      </w:r>
      <w:r w:rsidR="006450B3">
        <w:rPr>
          <w:rFonts w:asciiTheme="minorHAnsi" w:hAnsiTheme="minorHAnsi" w:cstheme="minorHAnsi"/>
        </w:rPr>
        <w:t>i</w:t>
      </w:r>
      <w:r w:rsidR="00B0204B" w:rsidRPr="00920634">
        <w:rPr>
          <w:rFonts w:asciiTheme="minorHAnsi" w:hAnsiTheme="minorHAnsi" w:cstheme="minorHAnsi"/>
        </w:rPr>
        <w:t xml:space="preserve"> vlády ČR.</w:t>
      </w:r>
      <w:r w:rsidR="00B0204B" w:rsidRPr="00920634">
        <w:rPr>
          <w:rFonts w:asciiTheme="minorHAnsi" w:hAnsiTheme="minorHAnsi" w:cstheme="minorHAnsi"/>
          <w:bCs/>
          <w:iCs/>
        </w:rPr>
        <w:t xml:space="preserve"> Evropská nařízení a</w:t>
      </w:r>
      <w:r w:rsidR="007E28AF">
        <w:rPr>
          <w:rFonts w:asciiTheme="minorHAnsi" w:hAnsiTheme="minorHAnsi" w:cstheme="minorHAnsi"/>
          <w:bCs/>
          <w:iCs/>
        </w:rPr>
        <w:t> </w:t>
      </w:r>
      <w:r w:rsidR="00B0204B" w:rsidRPr="00920634">
        <w:rPr>
          <w:rFonts w:asciiTheme="minorHAnsi" w:hAnsiTheme="minorHAnsi" w:cstheme="minorHAnsi"/>
          <w:bCs/>
          <w:iCs/>
        </w:rPr>
        <w:t xml:space="preserve">usnesení vlády ČR jsou doplněna interními </w:t>
      </w:r>
      <w:r w:rsidR="00E609AE" w:rsidRPr="00920634">
        <w:rPr>
          <w:rFonts w:asciiTheme="minorHAnsi" w:hAnsiTheme="minorHAnsi" w:cstheme="minorHAnsi"/>
          <w:bCs/>
          <w:iCs/>
        </w:rPr>
        <w:t xml:space="preserve">postupy pro poskytování dotací. </w:t>
      </w:r>
    </w:p>
    <w:p w14:paraId="5EE843D1" w14:textId="77777777" w:rsidR="00421ECF" w:rsidRPr="00920634" w:rsidRDefault="00421ECF" w:rsidP="00114439">
      <w:pPr>
        <w:pStyle w:val="Normlnweb"/>
        <w:jc w:val="both"/>
        <w:rPr>
          <w:rFonts w:asciiTheme="minorHAnsi" w:hAnsiTheme="minorHAnsi" w:cstheme="minorHAnsi"/>
          <w:bCs/>
          <w:iCs/>
        </w:rPr>
      </w:pPr>
    </w:p>
    <w:p w14:paraId="04298C00" w14:textId="77777777" w:rsidR="003976E9" w:rsidRPr="008D4CD3" w:rsidRDefault="003976E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8D4CD3">
        <w:rPr>
          <w:rFonts w:asciiTheme="minorHAnsi" w:hAnsiTheme="minorHAnsi" w:cstheme="minorHAnsi"/>
          <w:b/>
          <w:sz w:val="24"/>
        </w:rPr>
        <w:t>2.3 Komunitární programy</w:t>
      </w:r>
    </w:p>
    <w:p w14:paraId="5B2D08E1" w14:textId="79B430E0" w:rsidR="00001C3F" w:rsidRPr="00920634" w:rsidRDefault="003976E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Usnesením vlády ČR </w:t>
      </w:r>
      <w:r w:rsidR="006450B3" w:rsidRPr="00920634">
        <w:rPr>
          <w:rFonts w:asciiTheme="minorHAnsi" w:hAnsiTheme="minorHAnsi" w:cstheme="minorHAnsi"/>
          <w:sz w:val="24"/>
        </w:rPr>
        <w:t xml:space="preserve">ze dne 1. února 2006 </w:t>
      </w:r>
      <w:r w:rsidRPr="00920634">
        <w:rPr>
          <w:rFonts w:asciiTheme="minorHAnsi" w:hAnsiTheme="minorHAnsi" w:cstheme="minorHAnsi"/>
          <w:sz w:val="24"/>
        </w:rPr>
        <w:t>č. 104</w:t>
      </w:r>
      <w:r w:rsidR="006450B3">
        <w:rPr>
          <w:rFonts w:asciiTheme="minorHAnsi" w:hAnsiTheme="minorHAnsi" w:cstheme="minorHAnsi"/>
          <w:sz w:val="24"/>
        </w:rPr>
        <w:t>,</w:t>
      </w:r>
      <w:r w:rsidRPr="00920634">
        <w:rPr>
          <w:rFonts w:asciiTheme="minorHAnsi" w:hAnsiTheme="minorHAnsi" w:cstheme="minorHAnsi"/>
          <w:sz w:val="24"/>
        </w:rPr>
        <w:t xml:space="preserve"> </w:t>
      </w:r>
      <w:r w:rsidRPr="008D4CD3">
        <w:rPr>
          <w:rFonts w:asciiTheme="minorHAnsi" w:hAnsiTheme="minorHAnsi" w:cstheme="minorHAnsi"/>
          <w:i/>
          <w:sz w:val="24"/>
        </w:rPr>
        <w:t xml:space="preserve">o Obecných zásadách pro hospodaření s finančními prostředky </w:t>
      </w:r>
      <w:r w:rsidR="006450B3" w:rsidRPr="008D4CD3">
        <w:rPr>
          <w:rFonts w:asciiTheme="minorHAnsi" w:hAnsiTheme="minorHAnsi" w:cstheme="minorHAnsi"/>
          <w:i/>
          <w:sz w:val="24"/>
        </w:rPr>
        <w:t>Evropské unie při realizaci komunitárních programů</w:t>
      </w:r>
      <w:r w:rsidR="006450B3">
        <w:rPr>
          <w:rFonts w:asciiTheme="minorHAnsi" w:hAnsiTheme="minorHAnsi" w:cstheme="minorHAnsi"/>
          <w:sz w:val="24"/>
        </w:rPr>
        <w:t xml:space="preserve">, </w:t>
      </w:r>
      <w:r w:rsidRPr="00920634">
        <w:rPr>
          <w:rFonts w:asciiTheme="minorHAnsi" w:hAnsiTheme="minorHAnsi" w:cstheme="minorHAnsi"/>
          <w:sz w:val="24"/>
        </w:rPr>
        <w:t>byl vládou schválen dokument upravující hospodaření s prostředky komunitárních programů. Podle předkládací zprávy bylo hlavním cílem těchto zásad „</w:t>
      </w:r>
      <w:r w:rsidRPr="00920634">
        <w:rPr>
          <w:rFonts w:asciiTheme="minorHAnsi" w:hAnsiTheme="minorHAnsi" w:cstheme="minorHAnsi"/>
          <w:i/>
          <w:sz w:val="24"/>
        </w:rPr>
        <w:t>poskytnout metodické vodítko pro všechny subjekty, které zodpovídají za řádnou realizaci komunitárních programů</w:t>
      </w:r>
      <w:r w:rsidR="006450B3">
        <w:rPr>
          <w:rFonts w:asciiTheme="minorHAnsi" w:hAnsiTheme="minorHAnsi" w:cstheme="minorHAnsi"/>
          <w:i/>
          <w:sz w:val="24"/>
        </w:rPr>
        <w:t>,</w:t>
      </w:r>
      <w:r w:rsidRPr="00920634">
        <w:rPr>
          <w:rFonts w:asciiTheme="minorHAnsi" w:hAnsiTheme="minorHAnsi" w:cstheme="minorHAnsi"/>
          <w:i/>
          <w:sz w:val="24"/>
        </w:rPr>
        <w:t xml:space="preserve"> a stanovit společné podmínky, které je nutné při jejich realizaci splnit</w:t>
      </w:r>
      <w:r w:rsidRPr="008D4CD3">
        <w:rPr>
          <w:rFonts w:asciiTheme="minorHAnsi" w:hAnsiTheme="minorHAnsi" w:cstheme="minorHAnsi"/>
          <w:sz w:val="24"/>
        </w:rPr>
        <w:t>“.</w:t>
      </w:r>
      <w:r w:rsidRPr="00920634">
        <w:rPr>
          <w:rFonts w:asciiTheme="minorHAnsi" w:hAnsiTheme="minorHAnsi" w:cstheme="minorHAnsi"/>
          <w:i/>
          <w:sz w:val="24"/>
        </w:rPr>
        <w:t xml:space="preserve"> </w:t>
      </w:r>
      <w:r w:rsidRPr="00920634">
        <w:rPr>
          <w:rFonts w:asciiTheme="minorHAnsi" w:hAnsiTheme="minorHAnsi" w:cstheme="minorHAnsi"/>
          <w:sz w:val="24"/>
        </w:rPr>
        <w:t xml:space="preserve">Tento dokument byl </w:t>
      </w:r>
      <w:r w:rsidR="006450B3">
        <w:rPr>
          <w:rFonts w:asciiTheme="minorHAnsi" w:hAnsiTheme="minorHAnsi" w:cstheme="minorHAnsi"/>
          <w:sz w:val="24"/>
        </w:rPr>
        <w:t>vy</w:t>
      </w:r>
      <w:r w:rsidRPr="00920634">
        <w:rPr>
          <w:rFonts w:asciiTheme="minorHAnsi" w:hAnsiTheme="minorHAnsi" w:cstheme="minorHAnsi"/>
          <w:sz w:val="24"/>
        </w:rPr>
        <w:t>pracován</w:t>
      </w:r>
      <w:r w:rsidR="002D5FED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především pro potřeby řízení komunitárních programů Evropské komise na období 2007</w:t>
      </w:r>
      <w:r w:rsidR="007E28AF">
        <w:rPr>
          <w:rFonts w:asciiTheme="minorHAnsi" w:hAnsiTheme="minorHAnsi" w:cstheme="minorHAnsi"/>
          <w:sz w:val="24"/>
        </w:rPr>
        <w:t>–</w:t>
      </w:r>
      <w:r w:rsidRPr="00920634">
        <w:rPr>
          <w:rFonts w:asciiTheme="minorHAnsi" w:hAnsiTheme="minorHAnsi" w:cstheme="minorHAnsi"/>
          <w:sz w:val="24"/>
        </w:rPr>
        <w:t>2013.</w:t>
      </w:r>
    </w:p>
    <w:p w14:paraId="63D53D62" w14:textId="77777777" w:rsidR="002D029F" w:rsidRDefault="002D029F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0874BC13" w14:textId="77777777" w:rsidR="00445F18" w:rsidRDefault="00445F18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015FE412" w14:textId="77777777" w:rsidR="00445F18" w:rsidRPr="00421ECF" w:rsidRDefault="00445F18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15045A25" w14:textId="74D38C5D" w:rsidR="003976E9" w:rsidRPr="00920634" w:rsidRDefault="003976E9" w:rsidP="00114439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HAnsi"/>
          <w:i/>
          <w:lang w:eastAsia="cs-CZ"/>
        </w:rPr>
      </w:pPr>
      <w:r w:rsidRPr="00920634">
        <w:rPr>
          <w:rFonts w:asciiTheme="minorHAnsi" w:hAnsiTheme="minorHAnsi" w:cstheme="minorHAnsi"/>
          <w:b/>
          <w:i/>
        </w:rPr>
        <w:lastRenderedPageBreak/>
        <w:t xml:space="preserve">Komunitární program SVES – </w:t>
      </w:r>
      <w:r w:rsidRPr="00920634">
        <w:rPr>
          <w:rFonts w:asciiTheme="minorHAnsi" w:hAnsiTheme="minorHAnsi" w:cstheme="minorHAnsi"/>
          <w:b/>
          <w:bCs/>
          <w:i/>
          <w:lang w:eastAsia="cs-CZ"/>
        </w:rPr>
        <w:t xml:space="preserve">Studijní návštěvy pro experty </w:t>
      </w:r>
      <w:r w:rsidR="008D073A">
        <w:rPr>
          <w:rFonts w:asciiTheme="minorHAnsi" w:hAnsiTheme="minorHAnsi" w:cstheme="minorHAnsi"/>
          <w:b/>
          <w:bCs/>
          <w:i/>
          <w:lang w:eastAsia="cs-CZ"/>
        </w:rPr>
        <w:t>v </w:t>
      </w:r>
      <w:r w:rsidRPr="00920634">
        <w:rPr>
          <w:rFonts w:asciiTheme="minorHAnsi" w:hAnsiTheme="minorHAnsi" w:cstheme="minorHAnsi"/>
          <w:b/>
          <w:bCs/>
          <w:i/>
          <w:lang w:eastAsia="cs-CZ"/>
        </w:rPr>
        <w:t>oblasti vzdělávání</w:t>
      </w:r>
      <w:r w:rsidR="008D073A">
        <w:rPr>
          <w:rFonts w:asciiTheme="minorHAnsi" w:hAnsiTheme="minorHAnsi" w:cstheme="minorHAnsi"/>
          <w:b/>
          <w:bCs/>
          <w:i/>
          <w:lang w:eastAsia="cs-CZ"/>
        </w:rPr>
        <w:t xml:space="preserve"> </w:t>
      </w:r>
    </w:p>
    <w:p w14:paraId="630306F2" w14:textId="64EA1D01" w:rsidR="003976E9" w:rsidRPr="00920634" w:rsidRDefault="007E28AF" w:rsidP="00114439">
      <w:pPr>
        <w:jc w:val="both"/>
        <w:rPr>
          <w:rFonts w:asciiTheme="minorHAnsi" w:hAnsiTheme="minorHAnsi" w:cstheme="minorHAnsi"/>
          <w:i/>
          <w:lang w:eastAsia="cs-CZ"/>
        </w:rPr>
      </w:pPr>
      <w:r>
        <w:rPr>
          <w:rFonts w:asciiTheme="minorHAnsi" w:hAnsiTheme="minorHAnsi" w:cstheme="minorHAnsi"/>
          <w:b/>
          <w:i/>
        </w:rPr>
        <w:tab/>
      </w:r>
      <w:r w:rsidR="003976E9" w:rsidRPr="00920634">
        <w:rPr>
          <w:rFonts w:asciiTheme="minorHAnsi" w:hAnsiTheme="minorHAnsi" w:cstheme="minorHAnsi"/>
          <w:b/>
          <w:i/>
        </w:rPr>
        <w:t>(Study Visits for Education Specialists)</w:t>
      </w:r>
    </w:p>
    <w:p w14:paraId="79538AE5" w14:textId="54109A4C" w:rsidR="003976E9" w:rsidRDefault="003976E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Program SVES je program zaměřený na podporu evropské spolupráce prostřednictvím studijních návštěv, jejichž cílem je výměna zkušeností, získ</w:t>
      </w:r>
      <w:r w:rsidR="00751B6B" w:rsidRPr="00920634">
        <w:rPr>
          <w:rFonts w:asciiTheme="minorHAnsi" w:hAnsiTheme="minorHAnsi" w:cstheme="minorHAnsi"/>
        </w:rPr>
        <w:t>ávání</w:t>
      </w:r>
      <w:r w:rsidRPr="00920634">
        <w:rPr>
          <w:rFonts w:asciiTheme="minorHAnsi" w:hAnsiTheme="minorHAnsi" w:cstheme="minorHAnsi"/>
        </w:rPr>
        <w:t xml:space="preserve"> nových informací a</w:t>
      </w:r>
      <w:r w:rsidR="00FD0715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nav</w:t>
      </w:r>
      <w:r w:rsidR="00FD0715">
        <w:rPr>
          <w:rFonts w:asciiTheme="minorHAnsi" w:hAnsiTheme="minorHAnsi" w:cstheme="minorHAnsi"/>
        </w:rPr>
        <w:t>azování</w:t>
      </w:r>
      <w:r w:rsidRPr="00920634">
        <w:rPr>
          <w:rFonts w:asciiTheme="minorHAnsi" w:hAnsiTheme="minorHAnsi" w:cstheme="minorHAnsi"/>
        </w:rPr>
        <w:t xml:space="preserve"> přímých kontaktů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 xml:space="preserve">oblasti všeobecného a odborného vzdělávání. Program SVES zahrnuje </w:t>
      </w:r>
      <w:r w:rsidR="00FD0715">
        <w:rPr>
          <w:rFonts w:asciiTheme="minorHAnsi" w:hAnsiTheme="minorHAnsi" w:cstheme="minorHAnsi"/>
        </w:rPr>
        <w:t xml:space="preserve">dvě </w:t>
      </w:r>
      <w:r w:rsidRPr="00920634">
        <w:rPr>
          <w:rFonts w:asciiTheme="minorHAnsi" w:hAnsiTheme="minorHAnsi" w:cstheme="minorHAnsi"/>
        </w:rPr>
        <w:t>aktivity: SVES 1 – účast na studijní návštěvě</w:t>
      </w:r>
      <w:r w:rsidR="00FD0715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SVES 2 – organizace studijní návštěvy v České republice</w:t>
      </w:r>
      <w:r w:rsidRPr="00920634">
        <w:rPr>
          <w:rStyle w:val="Znakapoznpodarou"/>
          <w:rFonts w:asciiTheme="minorHAnsi" w:hAnsiTheme="minorHAnsi" w:cstheme="minorHAnsi"/>
        </w:rPr>
        <w:footnoteReference w:id="21"/>
      </w:r>
      <w:r w:rsidRPr="00920634">
        <w:rPr>
          <w:rFonts w:asciiTheme="minorHAnsi" w:hAnsiTheme="minorHAnsi" w:cstheme="minorHAnsi"/>
        </w:rPr>
        <w:t>; kontrolovány b</w:t>
      </w:r>
      <w:r w:rsidR="002D029F" w:rsidRPr="00920634">
        <w:rPr>
          <w:rFonts w:asciiTheme="minorHAnsi" w:hAnsiTheme="minorHAnsi" w:cstheme="minorHAnsi"/>
        </w:rPr>
        <w:t xml:space="preserve">yly prostředky </w:t>
      </w:r>
      <w:r w:rsidR="00FD0715">
        <w:rPr>
          <w:rFonts w:asciiTheme="minorHAnsi" w:hAnsiTheme="minorHAnsi" w:cstheme="minorHAnsi"/>
        </w:rPr>
        <w:t>vynaložené v oblasti</w:t>
      </w:r>
      <w:r w:rsidR="002D029F" w:rsidRPr="00920634">
        <w:rPr>
          <w:rFonts w:asciiTheme="minorHAnsi" w:hAnsiTheme="minorHAnsi" w:cstheme="minorHAnsi"/>
        </w:rPr>
        <w:t xml:space="preserve"> SVES 2.</w:t>
      </w:r>
    </w:p>
    <w:p w14:paraId="0F7E889D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341E7A2F" w14:textId="5951B944" w:rsidR="00001C3F" w:rsidRPr="00920634" w:rsidRDefault="00465D2B" w:rsidP="00114439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</w:rPr>
        <w:t xml:space="preserve">Komunitární program </w:t>
      </w:r>
      <w:r w:rsidR="00001C3F" w:rsidRPr="00920634">
        <w:rPr>
          <w:rFonts w:asciiTheme="minorHAnsi" w:hAnsiTheme="minorHAnsi" w:cstheme="minorHAnsi"/>
          <w:b/>
          <w:i/>
        </w:rPr>
        <w:t>Erasmus+</w:t>
      </w:r>
    </w:p>
    <w:p w14:paraId="152EF1F0" w14:textId="351C94FB" w:rsidR="00001C3F" w:rsidRDefault="00001C3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Program </w:t>
      </w:r>
      <w:r w:rsidRPr="008D4CD3">
        <w:rPr>
          <w:rFonts w:asciiTheme="minorHAnsi" w:hAnsiTheme="minorHAnsi" w:cstheme="minorHAnsi"/>
          <w:i/>
        </w:rPr>
        <w:t>Erasmus+</w:t>
      </w:r>
      <w:r w:rsidRPr="00920634">
        <w:rPr>
          <w:rFonts w:asciiTheme="minorHAnsi" w:hAnsiTheme="minorHAnsi" w:cstheme="minorHAnsi"/>
        </w:rPr>
        <w:t xml:space="preserve"> </w:t>
      </w:r>
      <w:r w:rsidR="002E21C0">
        <w:rPr>
          <w:rFonts w:asciiTheme="minorHAnsi" w:hAnsiTheme="minorHAnsi" w:cstheme="minorHAnsi"/>
        </w:rPr>
        <w:t>připravený</w:t>
      </w:r>
      <w:r w:rsidRPr="00920634">
        <w:rPr>
          <w:rFonts w:asciiTheme="minorHAnsi" w:hAnsiTheme="minorHAnsi" w:cstheme="minorHAnsi"/>
        </w:rPr>
        <w:t xml:space="preserve"> Evropskou komisí pro období 2014–2020 je rámcový program zaměřený na podporu vzdělávání a </w:t>
      </w:r>
      <w:r w:rsidR="002E21C0">
        <w:rPr>
          <w:rFonts w:asciiTheme="minorHAnsi" w:hAnsiTheme="minorHAnsi" w:cstheme="minorHAnsi"/>
        </w:rPr>
        <w:t xml:space="preserve">podporu </w:t>
      </w:r>
      <w:r w:rsidRPr="00920634">
        <w:rPr>
          <w:rFonts w:asciiTheme="minorHAnsi" w:hAnsiTheme="minorHAnsi" w:cstheme="minorHAnsi"/>
        </w:rPr>
        <w:t>mezinárodní spolupráce, zaveden</w:t>
      </w:r>
      <w:r w:rsidR="002E21C0">
        <w:rPr>
          <w:rFonts w:asciiTheme="minorHAnsi" w:hAnsiTheme="minorHAnsi" w:cstheme="minorHAnsi"/>
        </w:rPr>
        <w:t xml:space="preserve"> byl</w:t>
      </w:r>
      <w:r w:rsidRPr="00920634">
        <w:rPr>
          <w:rFonts w:asciiTheme="minorHAnsi" w:hAnsiTheme="minorHAnsi" w:cstheme="minorHAnsi"/>
        </w:rPr>
        <w:t xml:space="preserve"> nařízením Evropského parlamentu a Rady</w:t>
      </w:r>
      <w:r w:rsidR="0043179C" w:rsidRPr="00920634">
        <w:rPr>
          <w:rStyle w:val="Znakapoznpodarou"/>
          <w:rFonts w:asciiTheme="minorHAnsi" w:hAnsiTheme="minorHAnsi" w:cstheme="minorHAnsi"/>
        </w:rPr>
        <w:footnoteReference w:id="22"/>
      </w:r>
      <w:r w:rsidRPr="00920634">
        <w:rPr>
          <w:rFonts w:asciiTheme="minorHAnsi" w:hAnsiTheme="minorHAnsi" w:cstheme="minorHAnsi"/>
        </w:rPr>
        <w:t xml:space="preserve">. </w:t>
      </w:r>
      <w:r w:rsidR="0043179C" w:rsidRPr="00920634">
        <w:rPr>
          <w:rFonts w:asciiTheme="minorHAnsi" w:hAnsiTheme="minorHAnsi" w:cstheme="minorHAnsi"/>
        </w:rPr>
        <w:t>MŠMT v rámci programu</w:t>
      </w:r>
      <w:r w:rsidR="0043179C" w:rsidRPr="00920634">
        <w:rPr>
          <w:rFonts w:asciiTheme="minorHAnsi" w:hAnsiTheme="minorHAnsi" w:cstheme="minorHAnsi"/>
          <w:b/>
          <w:i/>
        </w:rPr>
        <w:t xml:space="preserve"> </w:t>
      </w:r>
      <w:r w:rsidR="0043179C" w:rsidRPr="00920634">
        <w:rPr>
          <w:rFonts w:asciiTheme="minorHAnsi" w:hAnsiTheme="minorHAnsi" w:cstheme="minorHAnsi"/>
          <w:i/>
        </w:rPr>
        <w:t>Erasmus+</w:t>
      </w:r>
      <w:r w:rsidR="0043179C" w:rsidRPr="00920634">
        <w:rPr>
          <w:rFonts w:asciiTheme="minorHAnsi" w:hAnsiTheme="minorHAnsi" w:cstheme="minorHAnsi"/>
        </w:rPr>
        <w:t xml:space="preserve"> vystupuje v roli zodpovědného vnitrostátního orgánu, který zasílá národní agentuře</w:t>
      </w:r>
      <w:r w:rsidR="0043179C" w:rsidRPr="00920634">
        <w:rPr>
          <w:rStyle w:val="Znakapoznpodarou"/>
          <w:rFonts w:asciiTheme="minorHAnsi" w:hAnsiTheme="minorHAnsi" w:cstheme="minorHAnsi"/>
        </w:rPr>
        <w:footnoteReference w:id="23"/>
      </w:r>
      <w:r w:rsidR="0043179C" w:rsidRPr="00920634">
        <w:rPr>
          <w:rFonts w:asciiTheme="minorHAnsi" w:hAnsiTheme="minorHAnsi" w:cstheme="minorHAnsi"/>
        </w:rPr>
        <w:t xml:space="preserve"> </w:t>
      </w:r>
      <w:r w:rsidR="002E21C0" w:rsidRPr="00920634">
        <w:rPr>
          <w:rFonts w:asciiTheme="minorHAnsi" w:hAnsiTheme="minorHAnsi" w:cstheme="minorHAnsi"/>
        </w:rPr>
        <w:t xml:space="preserve">formou příspěvku </w:t>
      </w:r>
      <w:r w:rsidR="0043179C" w:rsidRPr="00920634">
        <w:rPr>
          <w:rFonts w:asciiTheme="minorHAnsi" w:hAnsiTheme="minorHAnsi" w:cstheme="minorHAnsi"/>
        </w:rPr>
        <w:t>peněžní prostředky na administraci programu. Podíl ČR na administraci programu je 50 % a</w:t>
      </w:r>
      <w:r w:rsidR="00445F18">
        <w:rPr>
          <w:rFonts w:asciiTheme="minorHAnsi" w:hAnsiTheme="minorHAnsi" w:cstheme="minorHAnsi"/>
        </w:rPr>
        <w:t> </w:t>
      </w:r>
      <w:r w:rsidR="0043179C" w:rsidRPr="00920634">
        <w:rPr>
          <w:rFonts w:asciiTheme="minorHAnsi" w:hAnsiTheme="minorHAnsi" w:cstheme="minorHAnsi"/>
        </w:rPr>
        <w:t>tento podíl hradí MŠMT. Finanční prostředky na samotné grantové účely jsou zasílány Evropskou komisí přímo na účet národní agentury.</w:t>
      </w:r>
      <w:r w:rsidR="002E21C0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Program </w:t>
      </w:r>
      <w:r w:rsidRPr="008D4CD3">
        <w:rPr>
          <w:rFonts w:asciiTheme="minorHAnsi" w:hAnsiTheme="minorHAnsi" w:cstheme="minorHAnsi"/>
          <w:i/>
        </w:rPr>
        <w:t>Erasmus+</w:t>
      </w:r>
      <w:r w:rsidRPr="00920634">
        <w:rPr>
          <w:rFonts w:asciiTheme="minorHAnsi" w:hAnsiTheme="minorHAnsi" w:cstheme="minorHAnsi"/>
        </w:rPr>
        <w:t xml:space="preserve"> a jeho finanční toky </w:t>
      </w:r>
      <w:r w:rsidR="002E21C0">
        <w:rPr>
          <w:rFonts w:asciiTheme="minorHAnsi" w:hAnsiTheme="minorHAnsi" w:cstheme="minorHAnsi"/>
        </w:rPr>
        <w:t xml:space="preserve">jsou </w:t>
      </w:r>
      <w:r w:rsidRPr="00920634">
        <w:rPr>
          <w:rFonts w:asciiTheme="minorHAnsi" w:hAnsiTheme="minorHAnsi" w:cstheme="minorHAnsi"/>
        </w:rPr>
        <w:t>specificky uprav</w:t>
      </w:r>
      <w:r w:rsidR="002E21C0">
        <w:rPr>
          <w:rFonts w:asciiTheme="minorHAnsi" w:hAnsiTheme="minorHAnsi" w:cstheme="minorHAnsi"/>
        </w:rPr>
        <w:t>eny</w:t>
      </w:r>
      <w:r w:rsidRPr="00920634">
        <w:rPr>
          <w:rFonts w:asciiTheme="minorHAnsi" w:hAnsiTheme="minorHAnsi" w:cstheme="minorHAnsi"/>
        </w:rPr>
        <w:t xml:space="preserve"> právní</w:t>
      </w:r>
      <w:r w:rsidR="002E21C0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předpisy EU</w:t>
      </w:r>
      <w:r w:rsidR="0043179C" w:rsidRPr="00920634">
        <w:rPr>
          <w:rFonts w:asciiTheme="minorHAnsi" w:hAnsiTheme="minorHAnsi" w:cstheme="minorHAnsi"/>
        </w:rPr>
        <w:t>.</w:t>
      </w:r>
    </w:p>
    <w:p w14:paraId="082BD398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4ACFAAAB" w14:textId="77777777" w:rsidR="003976E9" w:rsidRPr="00920634" w:rsidRDefault="003976E9" w:rsidP="00114439">
      <w:pPr>
        <w:pStyle w:val="NormlnKZ"/>
        <w:numPr>
          <w:ilvl w:val="0"/>
          <w:numId w:val="48"/>
        </w:numPr>
        <w:spacing w:after="0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  <w:sz w:val="24"/>
        </w:rPr>
        <w:t>Komunitární program EUROSTARS</w:t>
      </w:r>
    </w:p>
    <w:p w14:paraId="080F3778" w14:textId="6618DA34" w:rsidR="003976E9" w:rsidRDefault="003976E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Program EUROSTARS je určen </w:t>
      </w:r>
      <w:r w:rsidR="003D0C33">
        <w:rPr>
          <w:rFonts w:asciiTheme="minorHAnsi" w:hAnsiTheme="minorHAnsi" w:cstheme="minorHAnsi"/>
        </w:rPr>
        <w:t>k</w:t>
      </w:r>
      <w:r w:rsidRPr="00920634">
        <w:rPr>
          <w:rFonts w:asciiTheme="minorHAnsi" w:hAnsiTheme="minorHAnsi" w:cstheme="minorHAnsi"/>
        </w:rPr>
        <w:t xml:space="preserve"> podpo</w:t>
      </w:r>
      <w:r w:rsidR="003D0C33">
        <w:rPr>
          <w:rFonts w:asciiTheme="minorHAnsi" w:hAnsiTheme="minorHAnsi" w:cstheme="minorHAnsi"/>
        </w:rPr>
        <w:t>ře</w:t>
      </w:r>
      <w:r w:rsidRPr="00920634">
        <w:rPr>
          <w:rFonts w:asciiTheme="minorHAnsi" w:hAnsiTheme="minorHAnsi" w:cstheme="minorHAnsi"/>
        </w:rPr>
        <w:t xml:space="preserve"> </w:t>
      </w:r>
      <w:r w:rsidR="002130AF">
        <w:rPr>
          <w:rFonts w:asciiTheme="minorHAnsi" w:hAnsiTheme="minorHAnsi" w:cstheme="minorHAnsi"/>
        </w:rPr>
        <w:t>spolupráce</w:t>
      </w:r>
      <w:r w:rsidRPr="00920634">
        <w:rPr>
          <w:rFonts w:asciiTheme="minorHAnsi" w:hAnsiTheme="minorHAnsi" w:cstheme="minorHAnsi"/>
        </w:rPr>
        <w:t xml:space="preserve"> mal</w:t>
      </w:r>
      <w:r w:rsidR="002130AF">
        <w:rPr>
          <w:rFonts w:asciiTheme="minorHAnsi" w:hAnsiTheme="minorHAnsi" w:cstheme="minorHAnsi"/>
        </w:rPr>
        <w:t>ých</w:t>
      </w:r>
      <w:r w:rsidRPr="00920634">
        <w:rPr>
          <w:rFonts w:asciiTheme="minorHAnsi" w:hAnsiTheme="minorHAnsi" w:cstheme="minorHAnsi"/>
        </w:rPr>
        <w:t xml:space="preserve"> a střední</w:t>
      </w:r>
      <w:r w:rsidR="002130AF">
        <w:rPr>
          <w:rFonts w:asciiTheme="minorHAnsi" w:hAnsiTheme="minorHAnsi" w:cstheme="minorHAnsi"/>
        </w:rPr>
        <w:t>ch</w:t>
      </w:r>
      <w:r w:rsidRPr="00920634">
        <w:rPr>
          <w:rFonts w:asciiTheme="minorHAnsi" w:hAnsiTheme="minorHAnsi" w:cstheme="minorHAnsi"/>
        </w:rPr>
        <w:t xml:space="preserve"> podnik</w:t>
      </w:r>
      <w:r w:rsidR="002130AF">
        <w:rPr>
          <w:rFonts w:asciiTheme="minorHAnsi" w:hAnsiTheme="minorHAnsi" w:cstheme="minorHAnsi"/>
        </w:rPr>
        <w:t>ů</w:t>
      </w:r>
      <w:r w:rsidRPr="00920634">
        <w:rPr>
          <w:rFonts w:asciiTheme="minorHAnsi" w:hAnsiTheme="minorHAnsi" w:cstheme="minorHAnsi"/>
        </w:rPr>
        <w:t xml:space="preserve"> provádějící</w:t>
      </w:r>
      <w:r w:rsidR="002130AF">
        <w:rPr>
          <w:rFonts w:asciiTheme="minorHAnsi" w:hAnsiTheme="minorHAnsi" w:cstheme="minorHAnsi"/>
        </w:rPr>
        <w:t>ch</w:t>
      </w:r>
      <w:r w:rsidRPr="00920634">
        <w:rPr>
          <w:rFonts w:asciiTheme="minorHAnsi" w:hAnsiTheme="minorHAnsi" w:cstheme="minorHAnsi"/>
        </w:rPr>
        <w:t xml:space="preserve"> výzkum a vývoj</w:t>
      </w:r>
      <w:r w:rsidR="003D0C33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  <w:r w:rsidR="00027F59">
        <w:rPr>
          <w:rFonts w:asciiTheme="minorHAnsi" w:hAnsiTheme="minorHAnsi" w:cstheme="minorHAnsi"/>
        </w:rPr>
        <w:t>P</w:t>
      </w:r>
      <w:r w:rsidRPr="00920634">
        <w:rPr>
          <w:rFonts w:asciiTheme="minorHAnsi" w:hAnsiTheme="minorHAnsi" w:cstheme="minorHAnsi"/>
        </w:rPr>
        <w:t>robíhal v programovém období 2009–2013 a pokračuje i v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programovém období 2014–2020. Program EUROSTARS a jeho finanční toky </w:t>
      </w:r>
      <w:r w:rsidR="00C531B6">
        <w:rPr>
          <w:rFonts w:asciiTheme="minorHAnsi" w:hAnsiTheme="minorHAnsi" w:cstheme="minorHAnsi"/>
        </w:rPr>
        <w:t xml:space="preserve">jsou </w:t>
      </w:r>
      <w:r w:rsidRPr="00920634">
        <w:rPr>
          <w:rFonts w:asciiTheme="minorHAnsi" w:hAnsiTheme="minorHAnsi" w:cstheme="minorHAnsi"/>
        </w:rPr>
        <w:t>specificky uprav</w:t>
      </w:r>
      <w:r w:rsidR="00C531B6">
        <w:rPr>
          <w:rFonts w:asciiTheme="minorHAnsi" w:hAnsiTheme="minorHAnsi" w:cstheme="minorHAnsi"/>
        </w:rPr>
        <w:t>eny</w:t>
      </w:r>
      <w:r w:rsidRPr="00920634">
        <w:rPr>
          <w:rFonts w:asciiTheme="minorHAnsi" w:hAnsiTheme="minorHAnsi" w:cstheme="minorHAnsi"/>
        </w:rPr>
        <w:t xml:space="preserve"> předpisy EU, dohod</w:t>
      </w:r>
      <w:r w:rsidR="00C531B6">
        <w:rPr>
          <w:rFonts w:asciiTheme="minorHAnsi" w:hAnsiTheme="minorHAnsi" w:cstheme="minorHAnsi"/>
        </w:rPr>
        <w:t>ami</w:t>
      </w:r>
      <w:r w:rsidRPr="00920634">
        <w:rPr>
          <w:rFonts w:asciiTheme="minorHAnsi" w:hAnsiTheme="minorHAnsi" w:cstheme="minorHAnsi"/>
        </w:rPr>
        <w:t xml:space="preserve"> se </w:t>
      </w:r>
      <w:r w:rsidR="00C531B6">
        <w:rPr>
          <w:rFonts w:asciiTheme="minorHAnsi" w:hAnsiTheme="minorHAnsi" w:cstheme="minorHAnsi"/>
        </w:rPr>
        <w:t>s</w:t>
      </w:r>
      <w:r w:rsidRPr="00920634">
        <w:rPr>
          <w:rFonts w:asciiTheme="minorHAnsi" w:hAnsiTheme="minorHAnsi" w:cstheme="minorHAnsi"/>
        </w:rPr>
        <w:t>ekretariátem EUREKA</w:t>
      </w:r>
      <w:r w:rsidR="00833C35" w:rsidRPr="00920634">
        <w:rPr>
          <w:rStyle w:val="Znakapoznpodarou"/>
          <w:rFonts w:asciiTheme="minorHAnsi" w:hAnsiTheme="minorHAnsi" w:cstheme="minorHAnsi"/>
        </w:rPr>
        <w:footnoteReference w:id="24"/>
      </w:r>
      <w:r w:rsidRPr="00920634">
        <w:rPr>
          <w:rFonts w:asciiTheme="minorHAnsi" w:hAnsiTheme="minorHAnsi" w:cstheme="minorHAnsi"/>
        </w:rPr>
        <w:t xml:space="preserve"> a</w:t>
      </w:r>
      <w:r w:rsidR="00445F18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usnesení</w:t>
      </w:r>
      <w:r w:rsidR="00C531B6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vlády</w:t>
      </w:r>
      <w:r w:rsidR="00DF18E9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ČR.</w:t>
      </w:r>
    </w:p>
    <w:p w14:paraId="14611303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479D5FAE" w14:textId="4E39893A" w:rsidR="003976E9" w:rsidRPr="008D4CD3" w:rsidRDefault="002D029F" w:rsidP="00114439">
      <w:pPr>
        <w:rPr>
          <w:rFonts w:asciiTheme="minorHAnsi" w:hAnsiTheme="minorHAnsi" w:cstheme="minorHAnsi"/>
          <w:b/>
        </w:rPr>
      </w:pPr>
      <w:r w:rsidRPr="008D4CD3">
        <w:rPr>
          <w:rFonts w:asciiTheme="minorHAnsi" w:hAnsiTheme="minorHAnsi" w:cstheme="minorHAnsi"/>
          <w:b/>
        </w:rPr>
        <w:t>2.4 Finanční mechanismy</w:t>
      </w:r>
    </w:p>
    <w:p w14:paraId="45749B41" w14:textId="19CBC2DA" w:rsidR="003976E9" w:rsidRDefault="003976E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Finanční mechanismy </w:t>
      </w:r>
      <w:r w:rsidR="00C531B6">
        <w:rPr>
          <w:rFonts w:asciiTheme="minorHAnsi" w:hAnsiTheme="minorHAnsi" w:cstheme="minorHAnsi"/>
          <w:sz w:val="24"/>
        </w:rPr>
        <w:t>nepatří mezi</w:t>
      </w:r>
      <w:r w:rsidRPr="00920634">
        <w:rPr>
          <w:rFonts w:asciiTheme="minorHAnsi" w:hAnsiTheme="minorHAnsi" w:cstheme="minorHAnsi"/>
          <w:sz w:val="24"/>
        </w:rPr>
        <w:t xml:space="preserve"> fond</w:t>
      </w:r>
      <w:r w:rsidR="00C531B6">
        <w:rPr>
          <w:rFonts w:asciiTheme="minorHAnsi" w:hAnsiTheme="minorHAnsi" w:cstheme="minorHAnsi"/>
          <w:sz w:val="24"/>
        </w:rPr>
        <w:t>y</w:t>
      </w:r>
      <w:r w:rsidRPr="00920634">
        <w:rPr>
          <w:rFonts w:asciiTheme="minorHAnsi" w:hAnsiTheme="minorHAnsi" w:cstheme="minorHAnsi"/>
          <w:sz w:val="24"/>
        </w:rPr>
        <w:t xml:space="preserve"> EU, jedná se však </w:t>
      </w:r>
      <w:r w:rsidR="00C531B6">
        <w:rPr>
          <w:rFonts w:asciiTheme="minorHAnsi" w:hAnsiTheme="minorHAnsi" w:cstheme="minorHAnsi"/>
          <w:sz w:val="24"/>
        </w:rPr>
        <w:t xml:space="preserve">rovněž </w:t>
      </w:r>
      <w:r w:rsidRPr="00920634">
        <w:rPr>
          <w:rFonts w:asciiTheme="minorHAnsi" w:hAnsiTheme="minorHAnsi" w:cstheme="minorHAnsi"/>
          <w:sz w:val="24"/>
        </w:rPr>
        <w:t>o prostředky ze zahraničí (charakteru transferů). Finanční mechanismy a jejich finanční toky</w:t>
      </w:r>
      <w:r w:rsidR="00923D7F">
        <w:rPr>
          <w:rFonts w:asciiTheme="minorHAnsi" w:hAnsiTheme="minorHAnsi" w:cstheme="minorHAnsi"/>
          <w:sz w:val="24"/>
        </w:rPr>
        <w:t xml:space="preserve"> jsou</w:t>
      </w:r>
      <w:r w:rsidRPr="00920634">
        <w:rPr>
          <w:rFonts w:asciiTheme="minorHAnsi" w:hAnsiTheme="minorHAnsi" w:cstheme="minorHAnsi"/>
          <w:sz w:val="24"/>
        </w:rPr>
        <w:t xml:space="preserve"> uprav</w:t>
      </w:r>
      <w:r w:rsidR="00923D7F">
        <w:rPr>
          <w:rFonts w:asciiTheme="minorHAnsi" w:hAnsiTheme="minorHAnsi" w:cstheme="minorHAnsi"/>
          <w:sz w:val="24"/>
        </w:rPr>
        <w:t>eny</w:t>
      </w:r>
      <w:r w:rsidRPr="00920634">
        <w:rPr>
          <w:rFonts w:asciiTheme="minorHAnsi" w:hAnsiTheme="minorHAnsi" w:cstheme="minorHAnsi"/>
          <w:sz w:val="24"/>
        </w:rPr>
        <w:t xml:space="preserve"> mezinárodní</w:t>
      </w:r>
      <w:r w:rsidR="00923D7F">
        <w:rPr>
          <w:rFonts w:asciiTheme="minorHAnsi" w:hAnsiTheme="minorHAnsi" w:cstheme="minorHAnsi"/>
          <w:sz w:val="24"/>
        </w:rPr>
        <w:t>mi</w:t>
      </w:r>
      <w:r w:rsidRPr="00920634">
        <w:rPr>
          <w:rFonts w:asciiTheme="minorHAnsi" w:hAnsiTheme="minorHAnsi" w:cstheme="minorHAnsi"/>
          <w:sz w:val="24"/>
        </w:rPr>
        <w:t xml:space="preserve"> smlouv</w:t>
      </w:r>
      <w:r w:rsidR="00923D7F">
        <w:rPr>
          <w:rFonts w:asciiTheme="minorHAnsi" w:hAnsiTheme="minorHAnsi" w:cstheme="minorHAnsi"/>
          <w:sz w:val="24"/>
        </w:rPr>
        <w:t>ami</w:t>
      </w:r>
      <w:r w:rsidRPr="00920634">
        <w:rPr>
          <w:rFonts w:asciiTheme="minorHAnsi" w:hAnsiTheme="minorHAnsi" w:cstheme="minorHAnsi"/>
          <w:sz w:val="24"/>
        </w:rPr>
        <w:t xml:space="preserve"> a jejich prováděcí</w:t>
      </w:r>
      <w:r w:rsidR="00923D7F">
        <w:rPr>
          <w:rFonts w:asciiTheme="minorHAnsi" w:hAnsiTheme="minorHAnsi" w:cstheme="minorHAnsi"/>
          <w:sz w:val="24"/>
        </w:rPr>
        <w:t>mi</w:t>
      </w:r>
      <w:r w:rsidRPr="00920634">
        <w:rPr>
          <w:rFonts w:asciiTheme="minorHAnsi" w:hAnsiTheme="minorHAnsi" w:cstheme="minorHAnsi"/>
          <w:sz w:val="24"/>
        </w:rPr>
        <w:t xml:space="preserve"> dokumenty, usnesení</w:t>
      </w:r>
      <w:r w:rsidR="00923D7F">
        <w:rPr>
          <w:rFonts w:asciiTheme="minorHAnsi" w:hAnsiTheme="minorHAnsi" w:cstheme="minorHAnsi"/>
          <w:sz w:val="24"/>
        </w:rPr>
        <w:t>mi</w:t>
      </w:r>
      <w:r w:rsidRPr="00920634">
        <w:rPr>
          <w:rFonts w:asciiTheme="minorHAnsi" w:hAnsiTheme="minorHAnsi" w:cstheme="minorHAnsi"/>
          <w:sz w:val="24"/>
        </w:rPr>
        <w:t xml:space="preserve"> vlády ČR a předpisy vydávan</w:t>
      </w:r>
      <w:r w:rsidR="00923D7F">
        <w:rPr>
          <w:rFonts w:asciiTheme="minorHAnsi" w:hAnsiTheme="minorHAnsi" w:cstheme="minorHAnsi"/>
          <w:sz w:val="24"/>
        </w:rPr>
        <w:t>ými</w:t>
      </w:r>
      <w:r w:rsidRPr="00920634">
        <w:rPr>
          <w:rFonts w:asciiTheme="minorHAnsi" w:hAnsiTheme="minorHAnsi" w:cstheme="minorHAnsi"/>
          <w:sz w:val="24"/>
        </w:rPr>
        <w:t xml:space="preserve"> zejména na úrovni ministerstev.</w:t>
      </w:r>
    </w:p>
    <w:p w14:paraId="6B2314AE" w14:textId="77777777" w:rsidR="00421ECF" w:rsidRPr="00920634" w:rsidRDefault="00421ECF" w:rsidP="00114439">
      <w:pPr>
        <w:pStyle w:val="NormlnKZ"/>
        <w:spacing w:after="0"/>
        <w:ind w:firstLine="0"/>
        <w:rPr>
          <w:rFonts w:asciiTheme="minorHAnsi" w:hAnsiTheme="minorHAnsi" w:cstheme="minorHAnsi"/>
        </w:rPr>
      </w:pPr>
    </w:p>
    <w:p w14:paraId="1B6FF46D" w14:textId="77777777" w:rsidR="00001C3F" w:rsidRPr="00920634" w:rsidRDefault="00001C3F" w:rsidP="00114439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</w:rPr>
        <w:t>Finanční mechanismus Program švýcarsko-české spolupráce</w:t>
      </w:r>
    </w:p>
    <w:p w14:paraId="32F57990" w14:textId="649C1262" w:rsidR="00890597" w:rsidRDefault="00001C3F" w:rsidP="00114439">
      <w:pPr>
        <w:pStyle w:val="Normlnweb"/>
        <w:spacing w:line="270" w:lineRule="atLeast"/>
        <w:jc w:val="both"/>
        <w:textAlignment w:val="top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Cílem programu pro období let 2009–2016 je snížení sociáln</w:t>
      </w:r>
      <w:r w:rsidR="00F20624">
        <w:rPr>
          <w:rFonts w:asciiTheme="minorHAnsi" w:hAnsiTheme="minorHAnsi" w:cstheme="minorHAnsi"/>
        </w:rPr>
        <w:t xml:space="preserve">ích a ekonomických </w:t>
      </w:r>
      <w:r w:rsidR="00923D7F">
        <w:rPr>
          <w:rFonts w:asciiTheme="minorHAnsi" w:hAnsiTheme="minorHAnsi" w:cstheme="minorHAnsi"/>
        </w:rPr>
        <w:t>rozdílů</w:t>
      </w:r>
      <w:r w:rsidR="00F20624">
        <w:rPr>
          <w:rFonts w:asciiTheme="minorHAnsi" w:hAnsiTheme="minorHAnsi" w:cstheme="minorHAnsi"/>
        </w:rPr>
        <w:t xml:space="preserve"> v </w:t>
      </w:r>
      <w:r w:rsidRPr="00920634">
        <w:rPr>
          <w:rFonts w:asciiTheme="minorHAnsi" w:hAnsiTheme="minorHAnsi" w:cstheme="minorHAnsi"/>
        </w:rPr>
        <w:t xml:space="preserve">rozšířené </w:t>
      </w:r>
      <w:r w:rsidR="000559E1" w:rsidRPr="00920634">
        <w:rPr>
          <w:rFonts w:asciiTheme="minorHAnsi" w:hAnsiTheme="minorHAnsi" w:cstheme="minorHAnsi"/>
        </w:rPr>
        <w:t>EU</w:t>
      </w:r>
      <w:r w:rsidRPr="00920634">
        <w:rPr>
          <w:rFonts w:asciiTheme="minorHAnsi" w:hAnsiTheme="minorHAnsi" w:cstheme="minorHAnsi"/>
        </w:rPr>
        <w:t xml:space="preserve"> pomocí posilování vědeckých kapacit a posilování spolupráce ve vědě</w:t>
      </w:r>
      <w:r w:rsidR="000E4BFA">
        <w:rPr>
          <w:rFonts w:asciiTheme="minorHAnsi" w:hAnsiTheme="minorHAnsi" w:cstheme="minorHAnsi"/>
        </w:rPr>
        <w:t xml:space="preserve">. </w:t>
      </w:r>
      <w:r w:rsidR="00833C35" w:rsidRPr="00920634">
        <w:rPr>
          <w:rFonts w:asciiTheme="minorHAnsi" w:hAnsiTheme="minorHAnsi" w:cstheme="minorHAnsi"/>
        </w:rPr>
        <w:t xml:space="preserve">MŠMT v rámci tohoto programu zajišťuje </w:t>
      </w:r>
      <w:r w:rsidR="00F73CFE">
        <w:rPr>
          <w:rFonts w:asciiTheme="minorHAnsi" w:hAnsiTheme="minorHAnsi" w:cstheme="minorHAnsi"/>
        </w:rPr>
        <w:t>financování</w:t>
      </w:r>
      <w:r w:rsidR="000E4BFA">
        <w:rPr>
          <w:rFonts w:asciiTheme="minorHAnsi" w:hAnsiTheme="minorHAnsi" w:cstheme="minorHAnsi"/>
        </w:rPr>
        <w:t xml:space="preserve"> administrac</w:t>
      </w:r>
      <w:r w:rsidR="00F73CFE">
        <w:rPr>
          <w:rFonts w:asciiTheme="minorHAnsi" w:hAnsiTheme="minorHAnsi" w:cstheme="minorHAnsi"/>
        </w:rPr>
        <w:t>e</w:t>
      </w:r>
      <w:r w:rsidR="000E4BFA">
        <w:rPr>
          <w:rFonts w:asciiTheme="minorHAnsi" w:hAnsiTheme="minorHAnsi" w:cstheme="minorHAnsi"/>
        </w:rPr>
        <w:t xml:space="preserve"> </w:t>
      </w:r>
      <w:r w:rsidR="00833C35" w:rsidRPr="008D4CD3">
        <w:rPr>
          <w:rFonts w:asciiTheme="minorHAnsi" w:hAnsiTheme="minorHAnsi" w:cstheme="minorHAnsi"/>
          <w:i/>
        </w:rPr>
        <w:t>Fond</w:t>
      </w:r>
      <w:r w:rsidR="000E4BFA">
        <w:rPr>
          <w:rFonts w:asciiTheme="minorHAnsi" w:hAnsiTheme="minorHAnsi" w:cstheme="minorHAnsi"/>
          <w:i/>
        </w:rPr>
        <w:t>u</w:t>
      </w:r>
      <w:r w:rsidR="00833C35" w:rsidRPr="008D4CD3">
        <w:rPr>
          <w:rFonts w:asciiTheme="minorHAnsi" w:hAnsiTheme="minorHAnsi" w:cstheme="minorHAnsi"/>
          <w:i/>
        </w:rPr>
        <w:t xml:space="preserve"> na stipendia</w:t>
      </w:r>
      <w:r w:rsidR="00583FCF" w:rsidRPr="00583FCF">
        <w:rPr>
          <w:rFonts w:asciiTheme="minorHAnsi" w:hAnsiTheme="minorHAnsi" w:cstheme="minorHAnsi"/>
        </w:rPr>
        <w:t xml:space="preserve">, </w:t>
      </w:r>
      <w:r w:rsidR="00583FCF">
        <w:rPr>
          <w:rFonts w:asciiTheme="minorHAnsi" w:hAnsiTheme="minorHAnsi" w:cstheme="minorHAnsi"/>
        </w:rPr>
        <w:t xml:space="preserve">její </w:t>
      </w:r>
      <w:r w:rsidR="00583FCF" w:rsidRPr="00583FCF">
        <w:rPr>
          <w:rFonts w:asciiTheme="minorHAnsi" w:hAnsiTheme="minorHAnsi" w:cstheme="minorHAnsi"/>
        </w:rPr>
        <w:t>f</w:t>
      </w:r>
      <w:r w:rsidRPr="00583FCF">
        <w:rPr>
          <w:rFonts w:asciiTheme="minorHAnsi" w:hAnsiTheme="minorHAnsi" w:cstheme="minorHAnsi"/>
        </w:rPr>
        <w:t>inancování</w:t>
      </w:r>
      <w:r w:rsidRPr="00920634">
        <w:rPr>
          <w:rFonts w:asciiTheme="minorHAnsi" w:hAnsiTheme="minorHAnsi" w:cstheme="minorHAnsi"/>
        </w:rPr>
        <w:t xml:space="preserve"> je plně na české straně </w:t>
      </w:r>
      <w:r w:rsidR="00890597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 xml:space="preserve">probíhá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rozpočtu kapitoly MŠMT</w:t>
      </w:r>
      <w:r w:rsidR="00583FCF">
        <w:rPr>
          <w:rFonts w:asciiTheme="minorHAnsi" w:hAnsiTheme="minorHAnsi" w:cstheme="minorHAnsi"/>
        </w:rPr>
        <w:t xml:space="preserve"> na základě </w:t>
      </w:r>
      <w:r w:rsidR="00890597">
        <w:rPr>
          <w:rFonts w:asciiTheme="minorHAnsi" w:hAnsiTheme="minorHAnsi" w:cstheme="minorHAnsi"/>
        </w:rPr>
        <w:t xml:space="preserve">vydaných </w:t>
      </w:r>
      <w:r w:rsidR="00583FCF">
        <w:rPr>
          <w:rFonts w:asciiTheme="minorHAnsi" w:hAnsiTheme="minorHAnsi" w:cstheme="minorHAnsi"/>
        </w:rPr>
        <w:t>rozhodnutí</w:t>
      </w:r>
      <w:r w:rsidRPr="00920634">
        <w:rPr>
          <w:rFonts w:asciiTheme="minorHAnsi" w:hAnsiTheme="minorHAnsi" w:cstheme="minorHAnsi"/>
        </w:rPr>
        <w:t xml:space="preserve"> o</w:t>
      </w:r>
      <w:r w:rsidR="00445F18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poskytnutí dotace</w:t>
      </w:r>
      <w:r w:rsidR="00890597">
        <w:rPr>
          <w:rFonts w:asciiTheme="minorHAnsi" w:hAnsiTheme="minorHAnsi" w:cstheme="minorHAnsi"/>
        </w:rPr>
        <w:t>, jimiž jsou prostředky poskytovány</w:t>
      </w:r>
      <w:r w:rsidR="00B3211E">
        <w:rPr>
          <w:rFonts w:asciiTheme="minorHAnsi" w:hAnsiTheme="minorHAnsi" w:cstheme="minorHAnsi"/>
        </w:rPr>
        <w:t xml:space="preserve"> příspěvkov</w:t>
      </w:r>
      <w:r w:rsidR="00890597">
        <w:rPr>
          <w:rFonts w:asciiTheme="minorHAnsi" w:hAnsiTheme="minorHAnsi" w:cstheme="minorHAnsi"/>
        </w:rPr>
        <w:t>é</w:t>
      </w:r>
      <w:r w:rsidR="00B3211E">
        <w:rPr>
          <w:rFonts w:asciiTheme="minorHAnsi" w:hAnsiTheme="minorHAnsi" w:cstheme="minorHAnsi"/>
        </w:rPr>
        <w:t xml:space="preserve"> organizaci</w:t>
      </w:r>
      <w:r w:rsidR="00890597">
        <w:rPr>
          <w:rFonts w:asciiTheme="minorHAnsi" w:hAnsiTheme="minorHAnsi" w:cstheme="minorHAnsi"/>
        </w:rPr>
        <w:t xml:space="preserve"> </w:t>
      </w:r>
      <w:r w:rsidR="00890597" w:rsidRPr="00920634">
        <w:rPr>
          <w:rFonts w:asciiTheme="minorHAnsi" w:hAnsiTheme="minorHAnsi" w:cstheme="minorHAnsi"/>
        </w:rPr>
        <w:lastRenderedPageBreak/>
        <w:t>MŠMT</w:t>
      </w:r>
      <w:r w:rsidR="00B3211E">
        <w:rPr>
          <w:rFonts w:asciiTheme="minorHAnsi" w:hAnsiTheme="minorHAnsi" w:cstheme="minorHAnsi"/>
        </w:rPr>
        <w:t xml:space="preserve">. </w:t>
      </w:r>
      <w:r w:rsidR="00890597">
        <w:rPr>
          <w:rFonts w:asciiTheme="minorHAnsi" w:hAnsiTheme="minorHAnsi" w:cstheme="minorHAnsi"/>
        </w:rPr>
        <w:t xml:space="preserve">Ministerstvo školství, mládeže a tělovýchovy </w:t>
      </w:r>
      <w:r w:rsidRPr="00920634">
        <w:rPr>
          <w:rFonts w:asciiTheme="minorHAnsi" w:hAnsiTheme="minorHAnsi" w:cstheme="minorHAnsi"/>
        </w:rPr>
        <w:t>neposkytuje prostředky kryté ze zahraničí a</w:t>
      </w:r>
      <w:r w:rsidR="00C87F10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nezískává příjmy ze zahraničí (ani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Národního fondu</w:t>
      </w:r>
      <w:r w:rsidR="00465D2B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). </w:t>
      </w:r>
    </w:p>
    <w:p w14:paraId="12DAB04E" w14:textId="77777777" w:rsidR="00890597" w:rsidRDefault="00890597" w:rsidP="00114439">
      <w:pPr>
        <w:pStyle w:val="Normlnweb"/>
        <w:spacing w:line="270" w:lineRule="atLeast"/>
        <w:jc w:val="both"/>
        <w:textAlignment w:val="top"/>
        <w:rPr>
          <w:rFonts w:asciiTheme="minorHAnsi" w:hAnsiTheme="minorHAnsi" w:cstheme="minorHAnsi"/>
        </w:rPr>
      </w:pPr>
    </w:p>
    <w:p w14:paraId="02D37971" w14:textId="49F85674" w:rsidR="003976E9" w:rsidRPr="00920634" w:rsidRDefault="003976E9" w:rsidP="008D4CD3">
      <w:pPr>
        <w:pStyle w:val="Odstavecseseznamem"/>
        <w:keepNext/>
        <w:numPr>
          <w:ilvl w:val="0"/>
          <w:numId w:val="48"/>
        </w:numPr>
        <w:ind w:left="714" w:right="-142" w:hanging="357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</w:rPr>
        <w:t>Finanční mechanismy Evropského hospodářského prostoru</w:t>
      </w:r>
      <w:r w:rsidR="00F57B94" w:rsidRPr="00920634">
        <w:rPr>
          <w:rFonts w:asciiTheme="minorHAnsi" w:hAnsiTheme="minorHAnsi" w:cstheme="minorHAnsi"/>
          <w:b/>
          <w:i/>
        </w:rPr>
        <w:t xml:space="preserve"> </w:t>
      </w:r>
      <w:r w:rsidRPr="00920634">
        <w:rPr>
          <w:rFonts w:asciiTheme="minorHAnsi" w:hAnsiTheme="minorHAnsi" w:cstheme="minorHAnsi"/>
          <w:b/>
          <w:i/>
        </w:rPr>
        <w:t>a</w:t>
      </w:r>
      <w:r w:rsidR="00920634" w:rsidRPr="00920634">
        <w:rPr>
          <w:rFonts w:asciiTheme="minorHAnsi" w:hAnsiTheme="minorHAnsi" w:cstheme="minorHAnsi"/>
          <w:b/>
          <w:i/>
        </w:rPr>
        <w:t> </w:t>
      </w:r>
      <w:r w:rsidRPr="00920634">
        <w:rPr>
          <w:rFonts w:asciiTheme="minorHAnsi" w:hAnsiTheme="minorHAnsi" w:cstheme="minorHAnsi"/>
          <w:b/>
          <w:i/>
        </w:rPr>
        <w:t>Norska</w:t>
      </w:r>
    </w:p>
    <w:p w14:paraId="72FD21C1" w14:textId="37130A7D" w:rsidR="00833C35" w:rsidRDefault="003976E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Cílem </w:t>
      </w:r>
      <w:r w:rsidR="00BD1731">
        <w:rPr>
          <w:rFonts w:asciiTheme="minorHAnsi" w:hAnsiTheme="minorHAnsi" w:cstheme="minorHAnsi"/>
        </w:rPr>
        <w:t>těchto mechanismů</w:t>
      </w:r>
      <w:r w:rsidRPr="00920634">
        <w:rPr>
          <w:rFonts w:asciiTheme="minorHAnsi" w:hAnsiTheme="minorHAnsi" w:cstheme="minorHAnsi"/>
        </w:rPr>
        <w:t xml:space="preserve"> je přispívat ke snižování ekonomických a sociálních rozdílů v Evropském hospodářském prostoru </w:t>
      </w:r>
      <w:r w:rsidR="00BD1731" w:rsidRPr="008D4CD3">
        <w:rPr>
          <w:rFonts w:asciiTheme="minorHAnsi" w:hAnsiTheme="minorHAnsi" w:cstheme="minorHAnsi"/>
        </w:rPr>
        <w:t>(dále jen „EHP“)</w:t>
      </w:r>
      <w:r w:rsidR="00BD1731" w:rsidRPr="00920634">
        <w:rPr>
          <w:rFonts w:asciiTheme="minorHAnsi" w:hAnsiTheme="minorHAnsi" w:cstheme="minorHAnsi"/>
          <w:b/>
          <w:i/>
        </w:rPr>
        <w:t xml:space="preserve"> </w:t>
      </w:r>
      <w:r w:rsidRPr="00920634">
        <w:rPr>
          <w:rFonts w:asciiTheme="minorHAnsi" w:hAnsiTheme="minorHAnsi" w:cstheme="minorHAnsi"/>
        </w:rPr>
        <w:t>a k posilování spolupráce a kontaktů na bilaterální úrovni a zvýšit vědeckovýzkumnou spolupráci mezi českými a norskými subjekty a finančně podpořit projekt</w:t>
      </w:r>
      <w:r w:rsidR="00116247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základního a aplikovaného výzkumu a</w:t>
      </w:r>
      <w:r w:rsidR="005534FA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experimentálního vývoje. MŠMT prostřednictvím svého rozpočtu poskytuje prostředky na </w:t>
      </w:r>
      <w:r w:rsidR="00116247" w:rsidRPr="008D4CD3">
        <w:rPr>
          <w:rFonts w:asciiTheme="minorHAnsi" w:hAnsiTheme="minorHAnsi" w:cstheme="minorHAnsi"/>
        </w:rPr>
        <w:t>p</w:t>
      </w:r>
      <w:r w:rsidRPr="008D4CD3">
        <w:rPr>
          <w:rFonts w:asciiTheme="minorHAnsi" w:hAnsiTheme="minorHAnsi" w:cstheme="minorHAnsi"/>
        </w:rPr>
        <w:t>rogram CZ07</w:t>
      </w:r>
      <w:r w:rsidRPr="00920634">
        <w:rPr>
          <w:rFonts w:asciiTheme="minorHAnsi" w:hAnsiTheme="minorHAnsi" w:cstheme="minorHAnsi"/>
          <w:i/>
        </w:rPr>
        <w:t xml:space="preserve"> Spolupráce škol a stipendia</w:t>
      </w:r>
      <w:r w:rsidRPr="00920634">
        <w:rPr>
          <w:rFonts w:asciiTheme="minorHAnsi" w:hAnsiTheme="minorHAnsi" w:cstheme="minorHAnsi"/>
        </w:rPr>
        <w:t xml:space="preserve"> a </w:t>
      </w:r>
      <w:r w:rsidR="00116247" w:rsidRPr="008D4CD3">
        <w:rPr>
          <w:rFonts w:asciiTheme="minorHAnsi" w:hAnsiTheme="minorHAnsi" w:cstheme="minorHAnsi"/>
        </w:rPr>
        <w:t>p</w:t>
      </w:r>
      <w:r w:rsidRPr="008D4CD3">
        <w:rPr>
          <w:rFonts w:asciiTheme="minorHAnsi" w:hAnsiTheme="minorHAnsi" w:cstheme="minorHAnsi"/>
        </w:rPr>
        <w:t>rogram CZ09</w:t>
      </w:r>
      <w:r w:rsidRPr="00920634">
        <w:rPr>
          <w:rFonts w:asciiTheme="minorHAnsi" w:hAnsiTheme="minorHAnsi" w:cstheme="minorHAnsi"/>
          <w:i/>
        </w:rPr>
        <w:t xml:space="preserve"> Česko-norský výzkumný program</w:t>
      </w:r>
      <w:r w:rsidRPr="00920634">
        <w:rPr>
          <w:rFonts w:asciiTheme="minorHAnsi" w:hAnsiTheme="minorHAnsi" w:cstheme="minorHAnsi"/>
        </w:rPr>
        <w:t>.</w:t>
      </w:r>
    </w:p>
    <w:p w14:paraId="35AE8C69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09418BA4" w14:textId="19B777E7" w:rsidR="00DC4B81" w:rsidRPr="007E28AF" w:rsidRDefault="00DC4B81" w:rsidP="008D4CD3">
      <w:pPr>
        <w:ind w:left="1418" w:hanging="1418"/>
        <w:rPr>
          <w:rFonts w:asciiTheme="minorHAnsi" w:hAnsiTheme="minorHAnsi" w:cstheme="minorHAnsi"/>
          <w:b/>
        </w:rPr>
      </w:pPr>
      <w:r w:rsidRPr="007E28AF">
        <w:rPr>
          <w:rFonts w:asciiTheme="minorHAnsi" w:hAnsiTheme="minorHAnsi" w:cstheme="minorHAnsi"/>
          <w:b/>
        </w:rPr>
        <w:t>Tabulka č. 2 – Jednotlivé druhy transferů z pohledu finančních toků a účetnictví MŠMT a</w:t>
      </w:r>
      <w:r w:rsidR="007E28AF">
        <w:rPr>
          <w:rFonts w:asciiTheme="minorHAnsi" w:hAnsiTheme="minorHAnsi" w:cstheme="minorHAnsi"/>
          <w:b/>
        </w:rPr>
        <w:t> </w:t>
      </w:r>
      <w:r w:rsidRPr="007E28AF">
        <w:rPr>
          <w:rFonts w:asciiTheme="minorHAnsi" w:hAnsiTheme="minorHAnsi" w:cstheme="minorHAnsi"/>
          <w:b/>
        </w:rPr>
        <w:t>MZe za rok 2014</w:t>
      </w:r>
    </w:p>
    <w:tbl>
      <w:tblPr>
        <w:tblW w:w="91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9"/>
        <w:gridCol w:w="829"/>
        <w:gridCol w:w="730"/>
        <w:gridCol w:w="993"/>
        <w:gridCol w:w="992"/>
        <w:gridCol w:w="815"/>
        <w:gridCol w:w="878"/>
        <w:gridCol w:w="1390"/>
      </w:tblGrid>
      <w:tr w:rsidR="00DC4B81" w:rsidRPr="00920634" w14:paraId="325C7185" w14:textId="77777777" w:rsidTr="00B3211E">
        <w:trPr>
          <w:trHeight w:val="141"/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96C8FA" w14:textId="011AAFC0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  <w:hideMark/>
          </w:tcPr>
          <w:p w14:paraId="5DA8F3B6" w14:textId="7086306E" w:rsidR="00DC4B81" w:rsidRPr="00920634" w:rsidRDefault="00DC4B81" w:rsidP="0011443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Prostředky</w:t>
            </w:r>
            <w:r w:rsidR="006A795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/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75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/programy 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EU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9A859A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Kontrolovaná osoba: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0441C9" w14:textId="1C4A49CD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Společn</w:t>
            </w:r>
            <w:r w:rsidR="00F57B94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dokument</w:t>
            </w:r>
            <w:r w:rsidR="00F57B94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upravující finanční toky***</w:t>
            </w:r>
          </w:p>
        </w:tc>
      </w:tr>
      <w:tr w:rsidR="00DC4B81" w:rsidRPr="00920634" w14:paraId="066110F4" w14:textId="77777777" w:rsidTr="004240F2">
        <w:trPr>
          <w:trHeight w:val="545"/>
          <w:tblHeader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7BC952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E705A2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D0168E" w14:textId="0289E7D6" w:rsidR="00DC4B81" w:rsidRPr="00920634" w:rsidRDefault="006A795E" w:rsidP="008D4CD3">
            <w:pPr>
              <w:ind w:left="119" w:hanging="119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="00DC4B81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poskytuje předfinancování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FE256C" w14:textId="4159B948" w:rsidR="00DC4B81" w:rsidRPr="00920634" w:rsidRDefault="00747270" w:rsidP="008D4CD3">
            <w:pPr>
              <w:ind w:left="142" w:hanging="142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="00DC4B81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přijímá prostředky ze zahraničí nebo z Národního fondu (NF)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EE5FED" w14:textId="66FCCFB0" w:rsidR="00DC4B81" w:rsidRPr="00920634" w:rsidRDefault="00747270" w:rsidP="008D4CD3">
            <w:pPr>
              <w:ind w:left="142" w:hanging="142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="00DC4B81"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přijímá a vydává prostředky z rezervního fondu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E2C9B6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B81" w:rsidRPr="00920634" w14:paraId="627A2DAF" w14:textId="77777777" w:rsidTr="004240F2">
        <w:trPr>
          <w:trHeight w:val="227"/>
          <w:tblHeader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41F34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E016E" w14:textId="77777777" w:rsidR="00DC4B81" w:rsidRPr="00920634" w:rsidRDefault="00DC4B81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49B63F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MŠMT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E16E33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4D4FCD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MŠMT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FB4AEE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MZe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8767609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MŠMT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9B0E7D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MZe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7955E" w14:textId="77777777" w:rsidR="00DC4B81" w:rsidRPr="00920634" w:rsidRDefault="00DC4B81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B81" w:rsidRPr="00920634" w14:paraId="6B883633" w14:textId="77777777" w:rsidTr="004240F2">
        <w:trPr>
          <w:trHeight w:val="179"/>
        </w:trPr>
        <w:tc>
          <w:tcPr>
            <w:tcW w:w="78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A0E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Operační programy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5218A4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C4B81" w:rsidRPr="00920634" w14:paraId="3475161A" w14:textId="77777777" w:rsidTr="004240F2">
        <w:trPr>
          <w:trHeight w:val="96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2E92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 VK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B9465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C1D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5AB5" w14:textId="0BB88A2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B81B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NF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24B" w14:textId="4198AD45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2F6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76F" w14:textId="193C0543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4FC0C69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029D3408" w14:textId="77777777" w:rsidTr="004240F2">
        <w:trPr>
          <w:trHeight w:val="5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A3E3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 VaVpI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4F708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D742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C149" w14:textId="2EA2A2F9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0435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344E" w14:textId="3052F6CF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6003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3E77" w14:textId="79D3408F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D9119F2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5E17977E" w14:textId="77777777" w:rsidTr="004240F2">
        <w:trPr>
          <w:trHeight w:val="8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1C596" w14:textId="74C36A2C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OP </w:t>
            </w: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Rybářství</w:t>
            </w:r>
            <w:r w:rsidR="006A795E"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 2007–2013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5EB8D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0A6BD2" w14:textId="3860943A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D72AD6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931B86" w14:textId="6C234CA9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93BDF7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EBA836" w14:textId="2140D633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A106A5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B869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02AF3BC0" w14:textId="77777777" w:rsidTr="004240F2">
        <w:trPr>
          <w:trHeight w:val="148"/>
        </w:trPr>
        <w:tc>
          <w:tcPr>
            <w:tcW w:w="78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6A6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Společná zemědělská politika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1D4FB09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C4B81" w:rsidRPr="00920634" w14:paraId="55DFF0DD" w14:textId="77777777" w:rsidTr="004240F2">
        <w:trPr>
          <w:trHeight w:val="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010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PRV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778D8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B555" w14:textId="4F661E18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066EE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543" w14:textId="1B9D6812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A3C27" w14:textId="00AE3CDB" w:rsidR="00DC4B81" w:rsidRPr="00920634" w:rsidRDefault="00747270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="00DC4B81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římo ze zahraničí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4B5C" w14:textId="37614785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BD4" w14:textId="77777777" w:rsidR="00DC4B81" w:rsidRPr="00920634" w:rsidRDefault="00DC4B81" w:rsidP="008D4CD3">
            <w:pPr>
              <w:ind w:left="-318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  <w:r w:rsidRPr="008D4CD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A7F6F5D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4297DCE0" w14:textId="77777777" w:rsidTr="004240F2">
        <w:trPr>
          <w:trHeight w:val="15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354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B965B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D450" w14:textId="2A01885E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4BDD5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53C4" w14:textId="17D9554B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179AB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6B70" w14:textId="07A9DB3E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78B1E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300D92A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16B4CDE9" w14:textId="77777777" w:rsidTr="004240F2">
        <w:trPr>
          <w:trHeight w:val="86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15531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E0E24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E17703" w14:textId="1A4C8775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F7233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CECA4" w14:textId="04F5543F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F0874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33F872" w14:textId="52ADA5F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F10FE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BD4F0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3D961979" w14:textId="77777777" w:rsidTr="004240F2">
        <w:trPr>
          <w:trHeight w:val="130"/>
        </w:trPr>
        <w:tc>
          <w:tcPr>
            <w:tcW w:w="78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2B81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Komunitární programy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2DAEC2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Obecné zásady pro hospodaření</w:t>
            </w:r>
          </w:p>
        </w:tc>
      </w:tr>
      <w:tr w:rsidR="00DC4B81" w:rsidRPr="00920634" w14:paraId="57373A55" w14:textId="77777777" w:rsidTr="004240F2">
        <w:trPr>
          <w:trHeight w:val="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1E5C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SVES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57C5F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3741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49" w14:textId="6AC4CD98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5F09" w14:textId="1B102A65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9FEE" w14:textId="56372700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4820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C539" w14:textId="1CE021B0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CB7EE21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394B4678" w14:textId="77777777" w:rsidTr="004240F2">
        <w:trPr>
          <w:trHeight w:val="136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C09E" w14:textId="77777777" w:rsidR="00DC4B81" w:rsidRPr="008D4CD3" w:rsidRDefault="00DC4B81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Erasmus+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B6343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D08B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7BE" w14:textId="5D792BFC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D84" w14:textId="0C99549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6C8" w14:textId="714EE9DD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2ABA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F3C5" w14:textId="7B6EA849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6D08A01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7562255E" w14:textId="77777777" w:rsidTr="004240F2">
        <w:trPr>
          <w:trHeight w:val="196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DB380C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EUROSTARS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1DEA7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C792A5" w14:textId="77777777" w:rsidR="00DC4B81" w:rsidRPr="008D4CD3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4C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1A5F2" w14:textId="5F3AF30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58253B" w14:textId="738A2CC8" w:rsidR="00DC4B81" w:rsidRPr="00920634" w:rsidRDefault="00747270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="00DC4B81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římo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992D11" w14:textId="16E4DB50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2968F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3693F6" w14:textId="64BE39B1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7298F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7013C757" w14:textId="77777777" w:rsidTr="004240F2">
        <w:trPr>
          <w:trHeight w:val="160"/>
        </w:trPr>
        <w:tc>
          <w:tcPr>
            <w:tcW w:w="78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FDB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Finanční mechanismy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275E660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C4B81" w:rsidRPr="00920634" w14:paraId="002B656C" w14:textId="77777777" w:rsidTr="004240F2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45F9" w14:textId="77777777" w:rsidR="00DC4B81" w:rsidRPr="008D4CD3" w:rsidRDefault="00DC4B81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Program švýcarsko-české spolupráce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0348D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EFEC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FD63" w14:textId="70B82CE4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91D6" w14:textId="649F0EC0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489" w14:textId="4505D98E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324C8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04C3" w14:textId="0C77F574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3AEB390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C4B81" w:rsidRPr="00920634" w14:paraId="79249785" w14:textId="77777777" w:rsidTr="004240F2">
        <w:trPr>
          <w:trHeight w:val="24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DE8600" w14:textId="711026F3" w:rsidR="00DC4B81" w:rsidRPr="00920634" w:rsidRDefault="006A795E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Finanční mechanismy </w:t>
            </w:r>
            <w:r w:rsidR="00DC4B81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EHP a Norsk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77675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8412A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88E038" w14:textId="13B320E1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0E96D7" w14:textId="77777777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BD8F6B" w14:textId="5A012118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3E97D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9156B8" w14:textId="785F68E3" w:rsidR="00DC4B81" w:rsidRPr="00920634" w:rsidRDefault="00DC4B81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47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8C9DB" w14:textId="77777777" w:rsidR="00DC4B81" w:rsidRPr="00920634" w:rsidRDefault="00DC4B81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0A70743" w14:textId="7ED1F53B" w:rsidR="00DC4B81" w:rsidRPr="008D4CD3" w:rsidRDefault="00DC4B81" w:rsidP="00114439">
      <w:pPr>
        <w:pStyle w:val="NormlnKZ"/>
        <w:spacing w:after="0"/>
        <w:ind w:firstLine="0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vlastní</w:t>
      </w:r>
      <w:r w:rsidR="00444E49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42CE5A46" w14:textId="4E4D785F" w:rsidR="00DC4B81" w:rsidRPr="008D4CD3" w:rsidRDefault="00DC4B81" w:rsidP="00114439">
      <w:pPr>
        <w:pStyle w:val="NormlnKZ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sz w:val="20"/>
          <w:szCs w:val="20"/>
        </w:rPr>
        <w:t xml:space="preserve">* </w:t>
      </w:r>
      <w:r w:rsidR="00E978FD">
        <w:rPr>
          <w:rFonts w:asciiTheme="minorHAnsi" w:hAnsiTheme="minorHAnsi" w:cstheme="minorHAnsi"/>
          <w:sz w:val="20"/>
          <w:szCs w:val="20"/>
        </w:rPr>
        <w:tab/>
      </w:r>
      <w:r w:rsidRPr="008D4CD3">
        <w:rPr>
          <w:rFonts w:asciiTheme="minorHAnsi" w:hAnsiTheme="minorHAnsi" w:cstheme="minorHAnsi"/>
          <w:sz w:val="20"/>
          <w:szCs w:val="20"/>
        </w:rPr>
        <w:t xml:space="preserve">Financování </w:t>
      </w:r>
      <w:r w:rsidR="008D073A" w:rsidRPr="008D4CD3">
        <w:rPr>
          <w:rFonts w:asciiTheme="minorHAnsi" w:hAnsiTheme="minorHAnsi" w:cstheme="minorHAnsi"/>
          <w:sz w:val="20"/>
          <w:szCs w:val="20"/>
        </w:rPr>
        <w:t>s </w:t>
      </w:r>
      <w:r w:rsidRPr="008D4CD3">
        <w:rPr>
          <w:rFonts w:asciiTheme="minorHAnsi" w:hAnsiTheme="minorHAnsi" w:cstheme="minorHAnsi"/>
          <w:sz w:val="20"/>
          <w:szCs w:val="20"/>
        </w:rPr>
        <w:t>využitím rezervního fondu</w:t>
      </w:r>
      <w:r w:rsidR="00444E49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016A0D78" w14:textId="0E8341E7" w:rsidR="00DC4B81" w:rsidRPr="008D4CD3" w:rsidRDefault="00DC4B81" w:rsidP="00114439">
      <w:pPr>
        <w:pStyle w:val="NormlnKZ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sz w:val="20"/>
          <w:szCs w:val="20"/>
        </w:rPr>
        <w:t xml:space="preserve">** </w:t>
      </w:r>
      <w:r w:rsidR="00E978FD">
        <w:rPr>
          <w:rFonts w:asciiTheme="minorHAnsi" w:hAnsiTheme="minorHAnsi" w:cstheme="minorHAnsi"/>
          <w:sz w:val="20"/>
          <w:szCs w:val="20"/>
        </w:rPr>
        <w:tab/>
      </w:r>
      <w:r w:rsidRPr="008D4CD3">
        <w:rPr>
          <w:rFonts w:asciiTheme="minorHAnsi" w:hAnsiTheme="minorHAnsi" w:cstheme="minorHAnsi"/>
          <w:sz w:val="20"/>
          <w:szCs w:val="20"/>
        </w:rPr>
        <w:t xml:space="preserve">Rezervní fond byl zapojen pouze </w:t>
      </w:r>
      <w:r w:rsidR="008D073A" w:rsidRPr="008D4CD3">
        <w:rPr>
          <w:rFonts w:asciiTheme="minorHAnsi" w:hAnsiTheme="minorHAnsi" w:cstheme="minorHAnsi"/>
          <w:sz w:val="20"/>
          <w:szCs w:val="20"/>
        </w:rPr>
        <w:t>v </w:t>
      </w:r>
      <w:r w:rsidRPr="008D4CD3">
        <w:rPr>
          <w:rFonts w:asciiTheme="minorHAnsi" w:hAnsiTheme="minorHAnsi" w:cstheme="minorHAnsi"/>
          <w:sz w:val="20"/>
          <w:szCs w:val="20"/>
        </w:rPr>
        <w:t xml:space="preserve">roce 2007 </w:t>
      </w:r>
      <w:r w:rsidR="008D073A" w:rsidRPr="008D4CD3">
        <w:rPr>
          <w:rFonts w:asciiTheme="minorHAnsi" w:hAnsiTheme="minorHAnsi" w:cstheme="minorHAnsi"/>
          <w:sz w:val="20"/>
          <w:szCs w:val="20"/>
        </w:rPr>
        <w:t>v </w:t>
      </w:r>
      <w:r w:rsidRPr="008D4CD3">
        <w:rPr>
          <w:rFonts w:asciiTheme="minorHAnsi" w:hAnsiTheme="minorHAnsi" w:cstheme="minorHAnsi"/>
          <w:sz w:val="20"/>
          <w:szCs w:val="20"/>
        </w:rPr>
        <w:t xml:space="preserve">souvislosti </w:t>
      </w:r>
      <w:r w:rsidR="008D073A" w:rsidRPr="008D4CD3">
        <w:rPr>
          <w:rFonts w:asciiTheme="minorHAnsi" w:hAnsiTheme="minorHAnsi" w:cstheme="minorHAnsi"/>
          <w:sz w:val="20"/>
          <w:szCs w:val="20"/>
        </w:rPr>
        <w:t>s </w:t>
      </w:r>
      <w:r w:rsidRPr="008D4CD3">
        <w:rPr>
          <w:rFonts w:asciiTheme="minorHAnsi" w:hAnsiTheme="minorHAnsi" w:cstheme="minorHAnsi"/>
          <w:sz w:val="20"/>
          <w:szCs w:val="20"/>
        </w:rPr>
        <w:t>přijetím platby předběžného financování u</w:t>
      </w:r>
      <w:r w:rsidR="00E978FD">
        <w:rPr>
          <w:rFonts w:asciiTheme="minorHAnsi" w:hAnsiTheme="minorHAnsi" w:cstheme="minorHAnsi"/>
          <w:sz w:val="20"/>
          <w:szCs w:val="20"/>
        </w:rPr>
        <w:t> </w:t>
      </w:r>
      <w:r w:rsidRPr="008D4CD3">
        <w:rPr>
          <w:rFonts w:asciiTheme="minorHAnsi" w:hAnsiTheme="minorHAnsi" w:cstheme="minorHAnsi"/>
          <w:sz w:val="20"/>
          <w:szCs w:val="20"/>
        </w:rPr>
        <w:t>PRV</w:t>
      </w:r>
      <w:r w:rsidR="00444E49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5C93667F" w14:textId="1D17224B" w:rsidR="00DC4B81" w:rsidRPr="008D4CD3" w:rsidRDefault="00DC4B81" w:rsidP="00114439">
      <w:pPr>
        <w:pStyle w:val="NormlnKZ"/>
        <w:spacing w:after="0"/>
        <w:ind w:left="426" w:hanging="426"/>
        <w:rPr>
          <w:rFonts w:asciiTheme="minorHAnsi" w:hAnsiTheme="minorHAnsi" w:cstheme="minorHAnsi"/>
          <w:sz w:val="20"/>
          <w:szCs w:val="20"/>
          <w:highlight w:val="green"/>
        </w:rPr>
      </w:pPr>
      <w:r w:rsidRPr="008D4CD3">
        <w:rPr>
          <w:rFonts w:asciiTheme="minorHAnsi" w:hAnsiTheme="minorHAnsi" w:cstheme="minorHAnsi"/>
          <w:sz w:val="20"/>
          <w:szCs w:val="20"/>
        </w:rPr>
        <w:t xml:space="preserve">*** </w:t>
      </w:r>
      <w:r w:rsidR="00E978FD">
        <w:rPr>
          <w:rFonts w:asciiTheme="minorHAnsi" w:hAnsiTheme="minorHAnsi" w:cstheme="minorHAnsi"/>
          <w:sz w:val="20"/>
          <w:szCs w:val="20"/>
        </w:rPr>
        <w:tab/>
      </w:r>
      <w:r w:rsidRPr="008D4CD3">
        <w:rPr>
          <w:rFonts w:asciiTheme="minorHAnsi" w:hAnsiTheme="minorHAnsi" w:cstheme="minorHAnsi"/>
          <w:sz w:val="20"/>
          <w:szCs w:val="20"/>
        </w:rPr>
        <w:t>Zejména metodiky finančních toků a obdobné dokumenty schválené usneseními vlády ČR</w:t>
      </w:r>
      <w:r w:rsidR="00444E49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6F0B01D7" w14:textId="77777777" w:rsidR="0049303C" w:rsidRDefault="0049303C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68FDF451" w14:textId="3281D50D" w:rsidR="00F57B94" w:rsidRPr="004240F2" w:rsidRDefault="005529F3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4240F2">
        <w:rPr>
          <w:rFonts w:asciiTheme="minorHAnsi" w:hAnsiTheme="minorHAnsi" w:cstheme="minorHAnsi"/>
          <w:sz w:val="24"/>
        </w:rPr>
        <w:t>Z tabulky č. 2 je zřejmé, že</w:t>
      </w:r>
      <w:r w:rsidR="009A65FE" w:rsidRPr="004240F2">
        <w:rPr>
          <w:rFonts w:asciiTheme="minorHAnsi" w:hAnsiTheme="minorHAnsi" w:cstheme="minorHAnsi"/>
          <w:sz w:val="24"/>
        </w:rPr>
        <w:t xml:space="preserve"> na MŠMT a MZe</w:t>
      </w:r>
      <w:r w:rsidR="00F57B94" w:rsidRPr="004240F2">
        <w:rPr>
          <w:rFonts w:asciiTheme="minorHAnsi" w:hAnsiTheme="minorHAnsi" w:cstheme="minorHAnsi"/>
          <w:sz w:val="24"/>
        </w:rPr>
        <w:t>:</w:t>
      </w:r>
    </w:p>
    <w:p w14:paraId="3F3BA30B" w14:textId="7F901925" w:rsidR="00C4424A" w:rsidRPr="004240F2" w:rsidRDefault="00C4424A" w:rsidP="00114439">
      <w:pPr>
        <w:pStyle w:val="NormlnKZ"/>
        <w:numPr>
          <w:ilvl w:val="0"/>
          <w:numId w:val="38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4240F2">
        <w:rPr>
          <w:rFonts w:asciiTheme="minorHAnsi" w:hAnsiTheme="minorHAnsi" w:cstheme="minorHAnsi"/>
          <w:sz w:val="24"/>
        </w:rPr>
        <w:t>jsou transfery různorodé</w:t>
      </w:r>
      <w:r w:rsidR="00066758" w:rsidRPr="004240F2">
        <w:rPr>
          <w:rFonts w:asciiTheme="minorHAnsi" w:hAnsiTheme="minorHAnsi" w:cstheme="minorHAnsi"/>
          <w:sz w:val="24"/>
        </w:rPr>
        <w:t>;</w:t>
      </w:r>
      <w:r w:rsidRPr="004240F2">
        <w:rPr>
          <w:rFonts w:asciiTheme="minorHAnsi" w:hAnsiTheme="minorHAnsi" w:cstheme="minorHAnsi"/>
          <w:sz w:val="24"/>
        </w:rPr>
        <w:t xml:space="preserve"> z hlediska finančních toků je lze zatřídit do skupin podle společného dokumentu upravujícíh</w:t>
      </w:r>
      <w:r w:rsidR="00ED5E31" w:rsidRPr="004240F2">
        <w:rPr>
          <w:rFonts w:asciiTheme="minorHAnsi" w:hAnsiTheme="minorHAnsi" w:cstheme="minorHAnsi"/>
          <w:sz w:val="24"/>
        </w:rPr>
        <w:t>o</w:t>
      </w:r>
      <w:r w:rsidRPr="004240F2">
        <w:rPr>
          <w:rFonts w:asciiTheme="minorHAnsi" w:hAnsiTheme="minorHAnsi" w:cstheme="minorHAnsi"/>
          <w:sz w:val="24"/>
        </w:rPr>
        <w:t xml:space="preserve"> finanční toky a identifikovat dle něj typizované účetní případy</w:t>
      </w:r>
      <w:r w:rsidR="00F57B94" w:rsidRPr="004240F2">
        <w:rPr>
          <w:rFonts w:asciiTheme="minorHAnsi" w:hAnsiTheme="minorHAnsi" w:cstheme="minorHAnsi"/>
          <w:sz w:val="24"/>
        </w:rPr>
        <w:t>;</w:t>
      </w:r>
      <w:r w:rsidRPr="004240F2">
        <w:rPr>
          <w:rFonts w:asciiTheme="minorHAnsi" w:hAnsiTheme="minorHAnsi" w:cstheme="minorHAnsi"/>
          <w:sz w:val="24"/>
        </w:rPr>
        <w:t xml:space="preserve"> </w:t>
      </w:r>
    </w:p>
    <w:p w14:paraId="60DF5CA1" w14:textId="15EA8019" w:rsidR="00C4424A" w:rsidRPr="00144D8E" w:rsidRDefault="00F57B94" w:rsidP="00114439">
      <w:pPr>
        <w:pStyle w:val="NormlnKZ"/>
        <w:numPr>
          <w:ilvl w:val="0"/>
          <w:numId w:val="38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4240F2">
        <w:rPr>
          <w:rFonts w:asciiTheme="minorHAnsi" w:hAnsiTheme="minorHAnsi" w:cstheme="minorHAnsi"/>
          <w:sz w:val="24"/>
        </w:rPr>
        <w:t>v</w:t>
      </w:r>
      <w:r w:rsidR="00C4424A" w:rsidRPr="004240F2">
        <w:rPr>
          <w:rFonts w:asciiTheme="minorHAnsi" w:hAnsiTheme="minorHAnsi" w:cstheme="minorHAnsi"/>
          <w:sz w:val="24"/>
        </w:rPr>
        <w:t> některých případech</w:t>
      </w:r>
      <w:r w:rsidR="009A65FE" w:rsidRPr="004240F2">
        <w:rPr>
          <w:rFonts w:asciiTheme="minorHAnsi" w:hAnsiTheme="minorHAnsi" w:cstheme="minorHAnsi"/>
          <w:sz w:val="24"/>
        </w:rPr>
        <w:t xml:space="preserve"> </w:t>
      </w:r>
      <w:r w:rsidR="00066758" w:rsidRPr="004240F2">
        <w:rPr>
          <w:rFonts w:asciiTheme="minorHAnsi" w:hAnsiTheme="minorHAnsi" w:cstheme="minorHAnsi"/>
          <w:sz w:val="24"/>
        </w:rPr>
        <w:t xml:space="preserve">dochází </w:t>
      </w:r>
      <w:r w:rsidR="008D073A">
        <w:rPr>
          <w:rFonts w:asciiTheme="minorHAnsi" w:hAnsiTheme="minorHAnsi" w:cstheme="minorHAnsi"/>
          <w:sz w:val="24"/>
        </w:rPr>
        <w:t>k </w:t>
      </w:r>
      <w:r w:rsidR="00066758" w:rsidRPr="004240F2">
        <w:rPr>
          <w:rFonts w:asciiTheme="minorHAnsi" w:hAnsiTheme="minorHAnsi" w:cstheme="minorHAnsi"/>
          <w:sz w:val="24"/>
        </w:rPr>
        <w:t>předfinancování</w:t>
      </w:r>
      <w:r w:rsidR="00C4424A" w:rsidRPr="004240F2">
        <w:rPr>
          <w:rFonts w:asciiTheme="minorHAnsi" w:hAnsiTheme="minorHAnsi" w:cstheme="minorHAnsi"/>
          <w:sz w:val="24"/>
        </w:rPr>
        <w:t xml:space="preserve"> ze státního rozpočtu </w:t>
      </w:r>
      <w:r w:rsidR="008D073A">
        <w:rPr>
          <w:rFonts w:asciiTheme="minorHAnsi" w:hAnsiTheme="minorHAnsi" w:cstheme="minorHAnsi"/>
          <w:sz w:val="24"/>
        </w:rPr>
        <w:t>s </w:t>
      </w:r>
      <w:r w:rsidR="00C4424A" w:rsidRPr="004240F2">
        <w:rPr>
          <w:rFonts w:asciiTheme="minorHAnsi" w:hAnsiTheme="minorHAnsi" w:cstheme="minorHAnsi"/>
          <w:sz w:val="24"/>
        </w:rPr>
        <w:t xml:space="preserve">nárokem na refundaci ze zahraničí </w:t>
      </w:r>
      <w:r w:rsidR="00C4424A" w:rsidRPr="00106AD1">
        <w:rPr>
          <w:rFonts w:asciiTheme="minorHAnsi" w:hAnsiTheme="minorHAnsi" w:cstheme="minorHAnsi"/>
          <w:sz w:val="24"/>
        </w:rPr>
        <w:t>(nárok za Národním fondem Ministerstva financí nebo přímo za zahraničním subjektem)</w:t>
      </w:r>
      <w:r w:rsidRPr="00511E12">
        <w:rPr>
          <w:rFonts w:asciiTheme="minorHAnsi" w:hAnsiTheme="minorHAnsi" w:cstheme="minorHAnsi"/>
          <w:sz w:val="24"/>
        </w:rPr>
        <w:t>;</w:t>
      </w:r>
    </w:p>
    <w:p w14:paraId="0F067528" w14:textId="59A705D5" w:rsidR="00C4424A" w:rsidRPr="002130AF" w:rsidRDefault="008D073A" w:rsidP="00114439">
      <w:pPr>
        <w:pStyle w:val="NormlnKZ"/>
        <w:numPr>
          <w:ilvl w:val="0"/>
          <w:numId w:val="38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</w:t>
      </w:r>
      <w:r w:rsidR="00C4424A" w:rsidRPr="004240F2">
        <w:rPr>
          <w:rFonts w:asciiTheme="minorHAnsi" w:hAnsiTheme="minorHAnsi" w:cstheme="minorHAnsi"/>
          <w:sz w:val="24"/>
        </w:rPr>
        <w:t>některých případech jsou poskytovány pouze prostředky státního rozpočtu bez možnosti nároku na refundaci</w:t>
      </w:r>
      <w:r w:rsidR="00C4424A" w:rsidRPr="00106AD1">
        <w:rPr>
          <w:rFonts w:asciiTheme="minorHAnsi" w:hAnsiTheme="minorHAnsi" w:cstheme="minorHAnsi"/>
          <w:sz w:val="24"/>
        </w:rPr>
        <w:t xml:space="preserve"> (</w:t>
      </w:r>
      <w:r w:rsidR="00C4424A" w:rsidRPr="008D4CD3">
        <w:rPr>
          <w:rFonts w:asciiTheme="minorHAnsi" w:hAnsiTheme="minorHAnsi" w:cstheme="minorHAnsi"/>
          <w:spacing w:val="-2"/>
          <w:sz w:val="24"/>
        </w:rPr>
        <w:t>komunitární programy</w:t>
      </w:r>
      <w:r w:rsidR="00066758" w:rsidRPr="008D4CD3">
        <w:rPr>
          <w:rFonts w:asciiTheme="minorHAnsi" w:hAnsiTheme="minorHAnsi" w:cstheme="minorHAnsi"/>
          <w:spacing w:val="-2"/>
          <w:sz w:val="24"/>
        </w:rPr>
        <w:t xml:space="preserve"> SVES</w:t>
      </w:r>
      <w:r w:rsidR="005B70C1" w:rsidRPr="008D4CD3">
        <w:rPr>
          <w:rFonts w:asciiTheme="minorHAnsi" w:hAnsiTheme="minorHAnsi" w:cstheme="minorHAnsi"/>
          <w:spacing w:val="-2"/>
          <w:sz w:val="24"/>
        </w:rPr>
        <w:t> </w:t>
      </w:r>
      <w:r w:rsidR="00066758" w:rsidRPr="008D4CD3">
        <w:rPr>
          <w:rFonts w:asciiTheme="minorHAnsi" w:hAnsiTheme="minorHAnsi" w:cstheme="minorHAnsi"/>
          <w:spacing w:val="-2"/>
          <w:sz w:val="24"/>
        </w:rPr>
        <w:t>2 a</w:t>
      </w:r>
      <w:r w:rsidR="005B70C1" w:rsidRPr="008D4CD3">
        <w:rPr>
          <w:rFonts w:asciiTheme="minorHAnsi" w:hAnsiTheme="minorHAnsi" w:cstheme="minorHAnsi"/>
          <w:spacing w:val="-2"/>
          <w:sz w:val="24"/>
        </w:rPr>
        <w:t> </w:t>
      </w:r>
      <w:r w:rsidR="00066758" w:rsidRPr="008D4CD3">
        <w:rPr>
          <w:rFonts w:asciiTheme="minorHAnsi" w:hAnsiTheme="minorHAnsi" w:cstheme="minorHAnsi"/>
          <w:i/>
          <w:spacing w:val="-2"/>
          <w:sz w:val="24"/>
        </w:rPr>
        <w:t>Erasmus+</w:t>
      </w:r>
      <w:r w:rsidR="00C4424A" w:rsidRPr="00144D8E">
        <w:rPr>
          <w:rFonts w:asciiTheme="minorHAnsi" w:hAnsiTheme="minorHAnsi" w:cstheme="minorHAnsi"/>
          <w:sz w:val="24"/>
        </w:rPr>
        <w:t>)</w:t>
      </w:r>
      <w:r w:rsidR="00F57B94" w:rsidRPr="00EB39BE">
        <w:rPr>
          <w:rFonts w:asciiTheme="minorHAnsi" w:hAnsiTheme="minorHAnsi" w:cstheme="minorHAnsi"/>
          <w:sz w:val="24"/>
        </w:rPr>
        <w:t>;</w:t>
      </w:r>
    </w:p>
    <w:p w14:paraId="13745CDE" w14:textId="7DF68974" w:rsidR="00C4424A" w:rsidRPr="00106AD1" w:rsidRDefault="00F57B94" w:rsidP="00EE638D">
      <w:pPr>
        <w:pStyle w:val="NormlnKZ"/>
        <w:numPr>
          <w:ilvl w:val="0"/>
          <w:numId w:val="38"/>
        </w:numPr>
        <w:ind w:left="567" w:hanging="283"/>
        <w:rPr>
          <w:rFonts w:asciiTheme="minorHAnsi" w:hAnsiTheme="minorHAnsi" w:cstheme="minorHAnsi"/>
          <w:sz w:val="24"/>
        </w:rPr>
      </w:pPr>
      <w:r w:rsidRPr="004240F2">
        <w:rPr>
          <w:rFonts w:asciiTheme="minorHAnsi" w:hAnsiTheme="minorHAnsi" w:cstheme="minorHAnsi"/>
          <w:sz w:val="24"/>
        </w:rPr>
        <w:t>v</w:t>
      </w:r>
      <w:r w:rsidR="00C4424A" w:rsidRPr="004240F2">
        <w:rPr>
          <w:rFonts w:asciiTheme="minorHAnsi" w:hAnsiTheme="minorHAnsi" w:cstheme="minorHAnsi"/>
          <w:sz w:val="24"/>
        </w:rPr>
        <w:t xml:space="preserve"> některých případech jsou prostředky ze zdrojů </w:t>
      </w:r>
      <w:r w:rsidR="008D073A">
        <w:rPr>
          <w:rFonts w:asciiTheme="minorHAnsi" w:hAnsiTheme="minorHAnsi" w:cstheme="minorHAnsi"/>
          <w:sz w:val="24"/>
        </w:rPr>
        <w:t>v </w:t>
      </w:r>
      <w:r w:rsidR="00C4424A" w:rsidRPr="004240F2">
        <w:rPr>
          <w:rFonts w:asciiTheme="minorHAnsi" w:hAnsiTheme="minorHAnsi" w:cstheme="minorHAnsi"/>
          <w:sz w:val="24"/>
        </w:rPr>
        <w:t>zahraničí</w:t>
      </w:r>
      <w:r w:rsidR="00C4424A" w:rsidRPr="00106AD1">
        <w:rPr>
          <w:rFonts w:asciiTheme="minorHAnsi" w:hAnsiTheme="minorHAnsi" w:cstheme="minorHAnsi"/>
          <w:sz w:val="24"/>
        </w:rPr>
        <w:t xml:space="preserve"> </w:t>
      </w:r>
      <w:r w:rsidR="00C4424A" w:rsidRPr="004240F2">
        <w:rPr>
          <w:rFonts w:asciiTheme="minorHAnsi" w:hAnsiTheme="minorHAnsi" w:cstheme="minorHAnsi"/>
          <w:sz w:val="24"/>
        </w:rPr>
        <w:t>součástí tvorby a</w:t>
      </w:r>
      <w:r w:rsidR="007E28AF" w:rsidRPr="004240F2">
        <w:rPr>
          <w:rFonts w:asciiTheme="minorHAnsi" w:hAnsiTheme="minorHAnsi" w:cstheme="minorHAnsi"/>
          <w:sz w:val="24"/>
        </w:rPr>
        <w:t> </w:t>
      </w:r>
      <w:r w:rsidR="00C4424A" w:rsidRPr="004240F2">
        <w:rPr>
          <w:rFonts w:asciiTheme="minorHAnsi" w:hAnsiTheme="minorHAnsi" w:cstheme="minorHAnsi"/>
          <w:sz w:val="24"/>
        </w:rPr>
        <w:t>použití rezervního fondu</w:t>
      </w:r>
      <w:r w:rsidR="00C4424A" w:rsidRPr="00106AD1">
        <w:rPr>
          <w:rFonts w:asciiTheme="minorHAnsi" w:hAnsiTheme="minorHAnsi" w:cstheme="minorHAnsi"/>
          <w:sz w:val="24"/>
        </w:rPr>
        <w:t xml:space="preserve"> (komunitární program EUROSTARS, pře</w:t>
      </w:r>
      <w:r w:rsidR="00C4424A" w:rsidRPr="00511E12">
        <w:rPr>
          <w:rFonts w:asciiTheme="minorHAnsi" w:hAnsiTheme="minorHAnsi" w:cstheme="minorHAnsi"/>
          <w:sz w:val="24"/>
        </w:rPr>
        <w:t>dběžné platby u</w:t>
      </w:r>
      <w:r w:rsidR="007E28AF" w:rsidRPr="00144D8E">
        <w:rPr>
          <w:rFonts w:asciiTheme="minorHAnsi" w:hAnsiTheme="minorHAnsi" w:cstheme="minorHAnsi"/>
          <w:sz w:val="24"/>
        </w:rPr>
        <w:t> </w:t>
      </w:r>
      <w:r w:rsidR="00C4424A" w:rsidRPr="00EB39BE">
        <w:rPr>
          <w:rFonts w:asciiTheme="minorHAnsi" w:hAnsiTheme="minorHAnsi" w:cstheme="minorHAnsi"/>
          <w:sz w:val="24"/>
        </w:rPr>
        <w:t>prostředků nespravov</w:t>
      </w:r>
      <w:r w:rsidR="00C4424A" w:rsidRPr="00106AD1">
        <w:rPr>
          <w:rFonts w:asciiTheme="minorHAnsi" w:hAnsiTheme="minorHAnsi" w:cstheme="minorHAnsi"/>
          <w:sz w:val="24"/>
        </w:rPr>
        <w:t xml:space="preserve">aných Národním fondem Ministerstva financí). </w:t>
      </w:r>
    </w:p>
    <w:p w14:paraId="42B385EE" w14:textId="4BDD97AF" w:rsidR="0082314F" w:rsidRPr="00920634" w:rsidRDefault="001E39C6" w:rsidP="008D4CD3">
      <w:pPr>
        <w:pStyle w:val="NormlnKZ"/>
        <w:keepNext/>
        <w:spacing w:after="0"/>
        <w:ind w:left="284" w:hanging="284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4A4D48" w:rsidRPr="00920634">
        <w:rPr>
          <w:rFonts w:asciiTheme="minorHAnsi" w:hAnsiTheme="minorHAnsi" w:cstheme="minorHAnsi"/>
          <w:b/>
          <w:sz w:val="24"/>
        </w:rPr>
        <w:t xml:space="preserve">Vývoj účetního </w:t>
      </w:r>
      <w:r w:rsidR="00732B97" w:rsidRPr="00920634">
        <w:rPr>
          <w:rFonts w:asciiTheme="minorHAnsi" w:hAnsiTheme="minorHAnsi" w:cstheme="minorHAnsi"/>
          <w:b/>
          <w:sz w:val="24"/>
        </w:rPr>
        <w:t>vymezení</w:t>
      </w:r>
      <w:r w:rsidR="00C06EAE" w:rsidRPr="00920634">
        <w:rPr>
          <w:rFonts w:asciiTheme="minorHAnsi" w:hAnsiTheme="minorHAnsi" w:cstheme="minorHAnsi"/>
          <w:b/>
          <w:sz w:val="24"/>
        </w:rPr>
        <w:t xml:space="preserve"> transferů se vztahem k prostředkům ze zahraničí v letech 2010</w:t>
      </w:r>
      <w:r w:rsidR="007E28AF">
        <w:rPr>
          <w:rFonts w:asciiTheme="minorHAnsi" w:hAnsiTheme="minorHAnsi" w:cstheme="minorHAnsi"/>
          <w:b/>
          <w:sz w:val="24"/>
        </w:rPr>
        <w:t>–</w:t>
      </w:r>
      <w:r w:rsidR="00C06EAE" w:rsidRPr="00920634">
        <w:rPr>
          <w:rFonts w:asciiTheme="minorHAnsi" w:hAnsiTheme="minorHAnsi" w:cstheme="minorHAnsi"/>
          <w:b/>
          <w:sz w:val="24"/>
        </w:rPr>
        <w:t xml:space="preserve">2015 </w:t>
      </w:r>
      <w:r w:rsidR="004A4D48" w:rsidRPr="00920634">
        <w:rPr>
          <w:rFonts w:asciiTheme="minorHAnsi" w:hAnsiTheme="minorHAnsi" w:cstheme="minorHAnsi"/>
          <w:b/>
          <w:sz w:val="24"/>
        </w:rPr>
        <w:t>a vl</w:t>
      </w:r>
      <w:r w:rsidR="00E609AE" w:rsidRPr="00920634">
        <w:rPr>
          <w:rFonts w:asciiTheme="minorHAnsi" w:hAnsiTheme="minorHAnsi" w:cstheme="minorHAnsi"/>
          <w:b/>
          <w:sz w:val="24"/>
        </w:rPr>
        <w:t xml:space="preserve">iv na údaje vykázané </w:t>
      </w:r>
      <w:r w:rsidR="005B70C1">
        <w:rPr>
          <w:rFonts w:asciiTheme="minorHAnsi" w:hAnsiTheme="minorHAnsi" w:cstheme="minorHAnsi"/>
          <w:b/>
          <w:sz w:val="24"/>
        </w:rPr>
        <w:t>kontrolovanými ministerstvy</w:t>
      </w:r>
    </w:p>
    <w:p w14:paraId="4C8ED834" w14:textId="77777777" w:rsidR="00E609AE" w:rsidRPr="00920634" w:rsidRDefault="00E609AE" w:rsidP="008D4CD3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375E40D5" w14:textId="0F10E0EE" w:rsidR="00E609AE" w:rsidRPr="00920634" w:rsidRDefault="00C16E24" w:rsidP="008D4CD3">
      <w:pPr>
        <w:keepNext/>
        <w:spacing w:after="120"/>
        <w:jc w:val="both"/>
        <w:rPr>
          <w:rFonts w:asciiTheme="minorHAnsi" w:hAnsiTheme="minorHAnsi" w:cstheme="minorHAnsi"/>
          <w:b/>
          <w:bCs/>
        </w:rPr>
      </w:pPr>
      <w:r w:rsidRPr="00920634">
        <w:rPr>
          <w:rFonts w:asciiTheme="minorHAnsi" w:hAnsiTheme="minorHAnsi" w:cstheme="minorHAnsi"/>
          <w:b/>
          <w:bCs/>
        </w:rPr>
        <w:t xml:space="preserve">3.1 </w:t>
      </w:r>
      <w:r w:rsidR="00E609AE" w:rsidRPr="00920634">
        <w:rPr>
          <w:rFonts w:asciiTheme="minorHAnsi" w:hAnsiTheme="minorHAnsi" w:cstheme="minorHAnsi"/>
          <w:b/>
          <w:bCs/>
        </w:rPr>
        <w:t>Reforma účetnictví státu</w:t>
      </w:r>
    </w:p>
    <w:p w14:paraId="351479A4" w14:textId="62366140" w:rsidR="00C06EAE" w:rsidRDefault="00C06EAE" w:rsidP="00114439">
      <w:pPr>
        <w:jc w:val="both"/>
        <w:rPr>
          <w:rFonts w:asciiTheme="minorHAnsi" w:hAnsiTheme="minorHAnsi" w:cstheme="minorHAnsi"/>
          <w:bCs/>
        </w:rPr>
      </w:pPr>
      <w:r w:rsidRPr="00920634">
        <w:rPr>
          <w:rFonts w:asciiTheme="minorHAnsi" w:hAnsiTheme="minorHAnsi" w:cstheme="minorHAnsi"/>
          <w:bCs/>
        </w:rPr>
        <w:t>S účinnost</w:t>
      </w:r>
      <w:r w:rsidR="000559E1" w:rsidRPr="00920634">
        <w:rPr>
          <w:rFonts w:asciiTheme="minorHAnsi" w:hAnsiTheme="minorHAnsi" w:cstheme="minorHAnsi"/>
          <w:bCs/>
        </w:rPr>
        <w:t>í</w:t>
      </w:r>
      <w:r w:rsidRPr="00920634">
        <w:rPr>
          <w:rFonts w:asciiTheme="minorHAnsi" w:hAnsiTheme="minorHAnsi" w:cstheme="minorHAnsi"/>
          <w:bCs/>
        </w:rPr>
        <w:t xml:space="preserve"> od 1. </w:t>
      </w:r>
      <w:r w:rsidR="007A6F17" w:rsidRPr="00920634">
        <w:rPr>
          <w:rFonts w:asciiTheme="minorHAnsi" w:hAnsiTheme="minorHAnsi" w:cstheme="minorHAnsi"/>
          <w:bCs/>
        </w:rPr>
        <w:t>ledna</w:t>
      </w:r>
      <w:r w:rsidRPr="00920634">
        <w:rPr>
          <w:rFonts w:asciiTheme="minorHAnsi" w:hAnsiTheme="minorHAnsi" w:cstheme="minorHAnsi"/>
          <w:bCs/>
        </w:rPr>
        <w:t xml:space="preserve"> 2010 </w:t>
      </w:r>
      <w:r w:rsidR="006B6661" w:rsidRPr="00920634">
        <w:rPr>
          <w:rFonts w:asciiTheme="minorHAnsi" w:hAnsiTheme="minorHAnsi" w:cstheme="minorHAnsi"/>
          <w:bCs/>
        </w:rPr>
        <w:t>byly</w:t>
      </w:r>
      <w:r w:rsidRPr="00920634">
        <w:rPr>
          <w:rFonts w:asciiTheme="minorHAnsi" w:hAnsiTheme="minorHAnsi" w:cstheme="minorHAnsi"/>
          <w:bCs/>
        </w:rPr>
        <w:t xml:space="preserve"> novelizov</w:t>
      </w:r>
      <w:r w:rsidR="006B6661" w:rsidRPr="00920634">
        <w:rPr>
          <w:rFonts w:asciiTheme="minorHAnsi" w:hAnsiTheme="minorHAnsi" w:cstheme="minorHAnsi"/>
          <w:bCs/>
        </w:rPr>
        <w:t>ány</w:t>
      </w:r>
      <w:r w:rsidRPr="00920634">
        <w:rPr>
          <w:rFonts w:asciiTheme="minorHAnsi" w:hAnsiTheme="minorHAnsi" w:cstheme="minorHAnsi"/>
          <w:bCs/>
        </w:rPr>
        <w:t xml:space="preserve"> a nově vyd</w:t>
      </w:r>
      <w:r w:rsidR="006B6661" w:rsidRPr="00920634">
        <w:rPr>
          <w:rFonts w:asciiTheme="minorHAnsi" w:hAnsiTheme="minorHAnsi" w:cstheme="minorHAnsi"/>
          <w:bCs/>
        </w:rPr>
        <w:t>ány</w:t>
      </w:r>
      <w:r w:rsidRPr="00920634">
        <w:rPr>
          <w:rFonts w:asciiTheme="minorHAnsi" w:hAnsiTheme="minorHAnsi" w:cstheme="minorHAnsi"/>
          <w:bCs/>
        </w:rPr>
        <w:t xml:space="preserve"> účetní předpisy</w:t>
      </w:r>
      <w:r w:rsidR="00CD2B98" w:rsidRPr="00920634">
        <w:rPr>
          <w:rFonts w:asciiTheme="minorHAnsi" w:hAnsiTheme="minorHAnsi" w:cstheme="minorHAnsi"/>
          <w:bCs/>
        </w:rPr>
        <w:t xml:space="preserve"> a účetní standardy</w:t>
      </w:r>
      <w:r w:rsidRPr="00920634">
        <w:rPr>
          <w:rFonts w:asciiTheme="minorHAnsi" w:hAnsiTheme="minorHAnsi" w:cstheme="minorHAnsi"/>
          <w:bCs/>
        </w:rPr>
        <w:t>, účel</w:t>
      </w:r>
      <w:r w:rsidR="005B70C1">
        <w:rPr>
          <w:rFonts w:asciiTheme="minorHAnsi" w:hAnsiTheme="minorHAnsi" w:cstheme="minorHAnsi"/>
          <w:bCs/>
        </w:rPr>
        <w:t>em bylo</w:t>
      </w:r>
      <w:r w:rsidRPr="00920634">
        <w:rPr>
          <w:rFonts w:asciiTheme="minorHAnsi" w:hAnsiTheme="minorHAnsi" w:cstheme="minorHAnsi"/>
          <w:bCs/>
        </w:rPr>
        <w:t xml:space="preserve"> zejména posílit akruální principy v případě účetních jednotek spadajících do sektoru vládních institucí a zkvalitn</w:t>
      </w:r>
      <w:r w:rsidR="00465D2B" w:rsidRPr="00920634">
        <w:rPr>
          <w:rFonts w:asciiTheme="minorHAnsi" w:hAnsiTheme="minorHAnsi" w:cstheme="minorHAnsi"/>
          <w:bCs/>
        </w:rPr>
        <w:t>it</w:t>
      </w:r>
      <w:r w:rsidRPr="00920634">
        <w:rPr>
          <w:rFonts w:asciiTheme="minorHAnsi" w:hAnsiTheme="minorHAnsi" w:cstheme="minorHAnsi"/>
          <w:bCs/>
        </w:rPr>
        <w:t xml:space="preserve"> </w:t>
      </w:r>
      <w:r w:rsidR="005B70C1" w:rsidRPr="00920634">
        <w:rPr>
          <w:rFonts w:asciiTheme="minorHAnsi" w:hAnsiTheme="minorHAnsi" w:cstheme="minorHAnsi"/>
          <w:bCs/>
        </w:rPr>
        <w:t xml:space="preserve">tím </w:t>
      </w:r>
      <w:r w:rsidRPr="00920634">
        <w:rPr>
          <w:rFonts w:asciiTheme="minorHAnsi" w:hAnsiTheme="minorHAnsi" w:cstheme="minorHAnsi"/>
          <w:bCs/>
        </w:rPr>
        <w:t xml:space="preserve">vypovídací schopnost údajů účetnictví a </w:t>
      </w:r>
      <w:r w:rsidR="005B70C1">
        <w:rPr>
          <w:rFonts w:asciiTheme="minorHAnsi" w:hAnsiTheme="minorHAnsi" w:cstheme="minorHAnsi"/>
          <w:bCs/>
        </w:rPr>
        <w:t xml:space="preserve">rozšířit </w:t>
      </w:r>
      <w:r w:rsidRPr="00920634">
        <w:rPr>
          <w:rFonts w:asciiTheme="minorHAnsi" w:hAnsiTheme="minorHAnsi" w:cstheme="minorHAnsi"/>
          <w:bCs/>
        </w:rPr>
        <w:t>možnost</w:t>
      </w:r>
      <w:r w:rsidR="00EE638D">
        <w:rPr>
          <w:rFonts w:asciiTheme="minorHAnsi" w:hAnsiTheme="minorHAnsi" w:cstheme="minorHAnsi"/>
          <w:bCs/>
        </w:rPr>
        <w:t>i</w:t>
      </w:r>
      <w:r w:rsidRPr="00920634">
        <w:rPr>
          <w:rFonts w:asciiTheme="minorHAnsi" w:hAnsiTheme="minorHAnsi" w:cstheme="minorHAnsi"/>
          <w:bCs/>
        </w:rPr>
        <w:t xml:space="preserve"> jejich využití. Tento proces bývá označován </w:t>
      </w:r>
      <w:r w:rsidR="0040145D" w:rsidRPr="00920634">
        <w:rPr>
          <w:rFonts w:asciiTheme="minorHAnsi" w:hAnsiTheme="minorHAnsi" w:cstheme="minorHAnsi"/>
          <w:bCs/>
        </w:rPr>
        <w:t xml:space="preserve">jako reforma účetnictví státu. </w:t>
      </w:r>
      <w:r w:rsidRPr="00920634">
        <w:rPr>
          <w:rFonts w:asciiTheme="minorHAnsi" w:hAnsiTheme="minorHAnsi" w:cstheme="minorHAnsi"/>
          <w:bCs/>
        </w:rPr>
        <w:t>V rámci této reformy došlo k významné změně právě v oblasti účtování a</w:t>
      </w:r>
      <w:r w:rsidR="005534FA">
        <w:rPr>
          <w:rFonts w:asciiTheme="minorHAnsi" w:hAnsiTheme="minorHAnsi" w:cstheme="minorHAnsi"/>
          <w:bCs/>
        </w:rPr>
        <w:t> </w:t>
      </w:r>
      <w:r w:rsidRPr="00920634">
        <w:rPr>
          <w:rFonts w:asciiTheme="minorHAnsi" w:hAnsiTheme="minorHAnsi" w:cstheme="minorHAnsi"/>
          <w:bCs/>
        </w:rPr>
        <w:t xml:space="preserve">vykazování transferů. </w:t>
      </w:r>
    </w:p>
    <w:p w14:paraId="339B3600" w14:textId="77777777" w:rsidR="00421ECF" w:rsidRPr="00920634" w:rsidRDefault="00421ECF" w:rsidP="00114439">
      <w:pPr>
        <w:jc w:val="both"/>
        <w:rPr>
          <w:rFonts w:asciiTheme="minorHAnsi" w:hAnsiTheme="minorHAnsi" w:cstheme="minorHAnsi"/>
          <w:b/>
          <w:bCs/>
        </w:rPr>
      </w:pPr>
    </w:p>
    <w:p w14:paraId="6D8B69E8" w14:textId="4FE86FF8" w:rsidR="00C06EAE" w:rsidRPr="00920634" w:rsidRDefault="00C06EAE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Postupy účtování pro transfery byly v letech 2010</w:t>
      </w:r>
      <w:r w:rsidR="00920634" w:rsidRPr="00920634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2015 </w:t>
      </w:r>
      <w:r w:rsidR="007B4FDD" w:rsidRPr="00920634">
        <w:rPr>
          <w:rFonts w:asciiTheme="minorHAnsi" w:hAnsiTheme="minorHAnsi" w:cstheme="minorHAnsi"/>
        </w:rPr>
        <w:t>založeny</w:t>
      </w:r>
      <w:r w:rsidRPr="00920634">
        <w:rPr>
          <w:rFonts w:asciiTheme="minorHAnsi" w:hAnsiTheme="minorHAnsi" w:cstheme="minorHAnsi"/>
        </w:rPr>
        <w:t xml:space="preserve"> zejména na postupech uvedených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 xml:space="preserve">ČÚS č. 703 – </w:t>
      </w:r>
      <w:r w:rsidRPr="008D4CD3">
        <w:rPr>
          <w:rFonts w:asciiTheme="minorHAnsi" w:hAnsiTheme="minorHAnsi" w:cstheme="minorHAnsi"/>
          <w:i/>
        </w:rPr>
        <w:t>Transfery</w:t>
      </w:r>
      <w:r w:rsidR="007B4FDD" w:rsidRPr="00920634">
        <w:rPr>
          <w:rFonts w:asciiTheme="minorHAnsi" w:hAnsiTheme="minorHAnsi" w:cstheme="minorHAnsi"/>
        </w:rPr>
        <w:t xml:space="preserve"> a vymezení položek účetní závěrky dle </w:t>
      </w:r>
      <w:r w:rsidRPr="00920634">
        <w:rPr>
          <w:rFonts w:asciiTheme="minorHAnsi" w:hAnsiTheme="minorHAnsi" w:cstheme="minorHAnsi"/>
        </w:rPr>
        <w:t>vyhlášk</w:t>
      </w:r>
      <w:r w:rsidR="007B4FDD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č.</w:t>
      </w:r>
      <w:r w:rsidR="00BE03F0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410/2009 Sb.</w:t>
      </w:r>
      <w:r w:rsidR="00B77D40" w:rsidRPr="00920634">
        <w:rPr>
          <w:rStyle w:val="Znakapoznpodarou"/>
          <w:rFonts w:asciiTheme="minorHAnsi" w:hAnsiTheme="minorHAnsi" w:cstheme="minorHAnsi"/>
        </w:rPr>
        <w:footnoteReference w:id="25"/>
      </w:r>
      <w:r w:rsidR="005B70C1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je významný zejména proto, že vymezil:</w:t>
      </w:r>
    </w:p>
    <w:p w14:paraId="58442EF3" w14:textId="30AB54CC" w:rsidR="00C06EAE" w:rsidRPr="00920634" w:rsidRDefault="00C06EAE" w:rsidP="00114439">
      <w:pPr>
        <w:pStyle w:val="Odstavecseseznamem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co je transfer, co jsou zálohy na transfery a jaké jsou základní druhy transferů (s</w:t>
      </w:r>
      <w:r w:rsidR="00BE03F0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vypořádáním, bez vypořádání, investiční, zahraniční, na pořízení zásob aj.)</w:t>
      </w:r>
      <w:r w:rsidR="00C55283">
        <w:rPr>
          <w:rFonts w:asciiTheme="minorHAnsi" w:hAnsiTheme="minorHAnsi" w:cstheme="minorHAnsi"/>
        </w:rPr>
        <w:t>;</w:t>
      </w:r>
    </w:p>
    <w:p w14:paraId="3B98345B" w14:textId="1052C4F4" w:rsidR="00C06EAE" w:rsidRPr="00920634" w:rsidRDefault="00C06EAE" w:rsidP="00114439">
      <w:pPr>
        <w:pStyle w:val="Odstavecseseznamem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</w:t>
      </w:r>
      <w:r w:rsidR="005B1CE4" w:rsidRPr="00920634">
        <w:rPr>
          <w:rFonts w:asciiTheme="minorHAnsi" w:hAnsiTheme="minorHAnsi" w:cstheme="minorHAnsi"/>
        </w:rPr>
        <w:t>e</w:t>
      </w:r>
      <w:r w:rsidRPr="00920634">
        <w:rPr>
          <w:rFonts w:asciiTheme="minorHAnsi" w:hAnsiTheme="minorHAnsi" w:cstheme="minorHAnsi"/>
        </w:rPr>
        <w:t xml:space="preserve"> kterých případech vystupuje vybraná účetní jednotka v rol</w:t>
      </w:r>
      <w:r w:rsidR="005578CD" w:rsidRPr="00920634">
        <w:rPr>
          <w:rFonts w:asciiTheme="minorHAnsi" w:hAnsiTheme="minorHAnsi" w:cstheme="minorHAnsi"/>
        </w:rPr>
        <w:t>ích</w:t>
      </w:r>
      <w:r w:rsidRPr="00920634">
        <w:rPr>
          <w:rFonts w:asciiTheme="minorHAnsi" w:hAnsiTheme="minorHAnsi" w:cstheme="minorHAnsi"/>
        </w:rPr>
        <w:t xml:space="preserve"> tzv.</w:t>
      </w:r>
      <w:r w:rsidR="005B1CE4" w:rsidRPr="00920634">
        <w:rPr>
          <w:rFonts w:asciiTheme="minorHAnsi" w:hAnsiTheme="minorHAnsi" w:cstheme="minorHAnsi"/>
        </w:rPr>
        <w:t xml:space="preserve"> poskytovatele, zprostředkovatele a příjemce transferu</w:t>
      </w:r>
      <w:r w:rsidR="00C55283">
        <w:rPr>
          <w:rFonts w:asciiTheme="minorHAnsi" w:hAnsiTheme="minorHAnsi" w:cstheme="minorHAnsi"/>
        </w:rPr>
        <w:t xml:space="preserve"> a</w:t>
      </w:r>
      <w:r w:rsidR="002D029F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jaké </w:t>
      </w:r>
      <w:r w:rsidR="00C55283" w:rsidRPr="00920634">
        <w:rPr>
          <w:rFonts w:asciiTheme="minorHAnsi" w:hAnsiTheme="minorHAnsi" w:cstheme="minorHAnsi"/>
        </w:rPr>
        <w:t xml:space="preserve">konkrétní postupy účtování </w:t>
      </w:r>
      <w:r w:rsidR="002D3AA2">
        <w:rPr>
          <w:rFonts w:asciiTheme="minorHAnsi" w:hAnsiTheme="minorHAnsi" w:cstheme="minorHAnsi"/>
        </w:rPr>
        <w:t xml:space="preserve">je třeba v těchto jednotlivých rolích </w:t>
      </w:r>
      <w:r w:rsidR="002D3AA2" w:rsidRPr="00920634">
        <w:rPr>
          <w:rFonts w:asciiTheme="minorHAnsi" w:hAnsiTheme="minorHAnsi" w:cstheme="minorHAnsi"/>
        </w:rPr>
        <w:t>aplikovat</w:t>
      </w:r>
      <w:r w:rsidRPr="00920634">
        <w:rPr>
          <w:rFonts w:asciiTheme="minorHAnsi" w:hAnsiTheme="minorHAnsi" w:cstheme="minorHAnsi"/>
        </w:rPr>
        <w:t>.</w:t>
      </w:r>
    </w:p>
    <w:p w14:paraId="28C454B8" w14:textId="77777777" w:rsidR="00841229" w:rsidRPr="00920634" w:rsidRDefault="00841229" w:rsidP="00114439">
      <w:pPr>
        <w:jc w:val="both"/>
        <w:rPr>
          <w:rFonts w:asciiTheme="minorHAnsi" w:hAnsiTheme="minorHAnsi" w:cstheme="minorHAnsi"/>
        </w:rPr>
      </w:pPr>
    </w:p>
    <w:p w14:paraId="0EF2DEDA" w14:textId="26D0F6C2" w:rsidR="00841229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Reforma účetnictví státu se do roku 2014 týkala pouze účetních závěrek sestavovaných na úrovni jednotlivých účetních jednotek. Od 1. </w:t>
      </w:r>
      <w:r w:rsidR="00C4424A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 </w:t>
      </w:r>
      <w:r w:rsidR="000F70DC" w:rsidRPr="00920634">
        <w:rPr>
          <w:rFonts w:asciiTheme="minorHAnsi" w:hAnsiTheme="minorHAnsi" w:cstheme="minorHAnsi"/>
        </w:rPr>
        <w:t>je v účinnosti vyhláška</w:t>
      </w:r>
      <w:r w:rsidRPr="00920634">
        <w:rPr>
          <w:rFonts w:asciiTheme="minorHAnsi" w:hAnsiTheme="minorHAnsi" w:cstheme="minorHAnsi"/>
        </w:rPr>
        <w:t xml:space="preserve"> pro sestavení účetních výkazů za </w:t>
      </w:r>
      <w:r w:rsidR="00DC732F" w:rsidRPr="00920634">
        <w:rPr>
          <w:rFonts w:asciiTheme="minorHAnsi" w:hAnsiTheme="minorHAnsi" w:cstheme="minorHAnsi"/>
        </w:rPr>
        <w:t>ČR</w:t>
      </w:r>
      <w:r w:rsidRPr="00920634">
        <w:rPr>
          <w:rFonts w:asciiTheme="minorHAnsi" w:hAnsiTheme="minorHAnsi" w:cstheme="minorHAnsi"/>
        </w:rPr>
        <w:t xml:space="preserve">, tj. pro provedení konsolidace na úrovni státu; první konsolidované výkazy mají být sestaveny za období roku 2015.  </w:t>
      </w:r>
    </w:p>
    <w:p w14:paraId="6473699A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591D4E8A" w14:textId="4C8E083A" w:rsidR="00C06EAE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Aby mohly být údaje o transferech použitelné pro konsolidaci, je třeba zajistit jejich potřebnou kvalitu, zejména</w:t>
      </w:r>
      <w:r w:rsidR="00012754" w:rsidRPr="00920634">
        <w:rPr>
          <w:rFonts w:asciiTheme="minorHAnsi" w:hAnsiTheme="minorHAnsi" w:cstheme="minorHAnsi"/>
        </w:rPr>
        <w:t xml:space="preserve"> </w:t>
      </w:r>
      <w:r w:rsidR="007A6F17" w:rsidRPr="00920634">
        <w:rPr>
          <w:rFonts w:asciiTheme="minorHAnsi" w:hAnsiTheme="minorHAnsi" w:cstheme="minorHAnsi"/>
        </w:rPr>
        <w:t>obsahovou stejnorodost</w:t>
      </w:r>
      <w:r w:rsidR="00AC2604" w:rsidRPr="00920634">
        <w:rPr>
          <w:rFonts w:asciiTheme="minorHAnsi" w:hAnsiTheme="minorHAnsi" w:cstheme="minorHAnsi"/>
        </w:rPr>
        <w:t xml:space="preserve">, </w:t>
      </w:r>
      <w:r w:rsidR="00E00858">
        <w:rPr>
          <w:rFonts w:asciiTheme="minorHAnsi" w:hAnsiTheme="minorHAnsi" w:cstheme="minorHAnsi"/>
        </w:rPr>
        <w:t>která je</w:t>
      </w:r>
      <w:r w:rsidR="00AC2604" w:rsidRPr="00920634">
        <w:rPr>
          <w:rFonts w:asciiTheme="minorHAnsi" w:hAnsiTheme="minorHAnsi" w:cstheme="minorHAnsi"/>
        </w:rPr>
        <w:t xml:space="preserve"> základ</w:t>
      </w:r>
      <w:r w:rsidR="00E00858">
        <w:rPr>
          <w:rFonts w:asciiTheme="minorHAnsi" w:hAnsiTheme="minorHAnsi" w:cstheme="minorHAnsi"/>
        </w:rPr>
        <w:t>em</w:t>
      </w:r>
      <w:r w:rsidR="00AC2604" w:rsidRPr="00920634">
        <w:rPr>
          <w:rFonts w:asciiTheme="minorHAnsi" w:hAnsiTheme="minorHAnsi" w:cstheme="minorHAnsi"/>
        </w:rPr>
        <w:t xml:space="preserve"> pro možnost přiřazovat k sobě </w:t>
      </w:r>
      <w:r w:rsidR="00012754" w:rsidRPr="00920634">
        <w:rPr>
          <w:rFonts w:asciiTheme="minorHAnsi" w:hAnsiTheme="minorHAnsi" w:cstheme="minorHAnsi"/>
        </w:rPr>
        <w:t>při konsolidačních operací</w:t>
      </w:r>
      <w:r w:rsidR="00E00858">
        <w:rPr>
          <w:rFonts w:asciiTheme="minorHAnsi" w:hAnsiTheme="minorHAnsi" w:cstheme="minorHAnsi"/>
        </w:rPr>
        <w:t>ch</w:t>
      </w:r>
      <w:r w:rsidR="00012754" w:rsidRPr="00920634">
        <w:rPr>
          <w:rFonts w:asciiTheme="minorHAnsi" w:hAnsiTheme="minorHAnsi" w:cstheme="minorHAnsi"/>
        </w:rPr>
        <w:t xml:space="preserve"> </w:t>
      </w:r>
      <w:r w:rsidR="00AC2604" w:rsidRPr="00920634">
        <w:rPr>
          <w:rFonts w:asciiTheme="minorHAnsi" w:hAnsiTheme="minorHAnsi" w:cstheme="minorHAnsi"/>
        </w:rPr>
        <w:t>sourodé položky a sčítat je</w:t>
      </w:r>
      <w:r w:rsidR="007A6F17" w:rsidRPr="00920634">
        <w:rPr>
          <w:rStyle w:val="Znakapoznpodarou"/>
          <w:rFonts w:asciiTheme="minorHAnsi" w:hAnsiTheme="minorHAnsi" w:cstheme="minorHAnsi"/>
        </w:rPr>
        <w:footnoteReference w:id="26"/>
      </w:r>
      <w:r w:rsidR="007A6F17" w:rsidRPr="00920634">
        <w:rPr>
          <w:rFonts w:asciiTheme="minorHAnsi" w:hAnsiTheme="minorHAnsi" w:cstheme="minorHAnsi"/>
        </w:rPr>
        <w:t>.</w:t>
      </w:r>
    </w:p>
    <w:p w14:paraId="20C23A74" w14:textId="77777777" w:rsidR="000B37C2" w:rsidRPr="00920634" w:rsidRDefault="000B37C2" w:rsidP="00114439">
      <w:pPr>
        <w:jc w:val="both"/>
        <w:rPr>
          <w:rFonts w:asciiTheme="minorHAnsi" w:hAnsiTheme="minorHAnsi" w:cstheme="minorHAnsi"/>
        </w:rPr>
      </w:pPr>
    </w:p>
    <w:p w14:paraId="545AE8E9" w14:textId="7FDE8364" w:rsidR="00C06EAE" w:rsidRPr="00920634" w:rsidRDefault="00C16E24" w:rsidP="00C610F6">
      <w:pPr>
        <w:spacing w:after="12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3.2 </w:t>
      </w:r>
      <w:r w:rsidR="00C06EAE" w:rsidRPr="00920634">
        <w:rPr>
          <w:rFonts w:asciiTheme="minorHAnsi" w:hAnsiTheme="minorHAnsi" w:cstheme="minorHAnsi"/>
          <w:b/>
        </w:rPr>
        <w:t>Nejasnost a nejednoznačnost účetní</w:t>
      </w:r>
      <w:r w:rsidR="002D029F" w:rsidRPr="00920634">
        <w:rPr>
          <w:rFonts w:asciiTheme="minorHAnsi" w:hAnsiTheme="minorHAnsi" w:cstheme="minorHAnsi"/>
          <w:b/>
        </w:rPr>
        <w:t xml:space="preserve"> </w:t>
      </w:r>
      <w:r w:rsidR="00994D9F" w:rsidRPr="00920634">
        <w:rPr>
          <w:rFonts w:asciiTheme="minorHAnsi" w:hAnsiTheme="minorHAnsi" w:cstheme="minorHAnsi"/>
          <w:b/>
        </w:rPr>
        <w:t>regulace</w:t>
      </w:r>
    </w:p>
    <w:p w14:paraId="0B0E25F9" w14:textId="6104F319" w:rsidR="0082314F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Jako </w:t>
      </w:r>
      <w:r w:rsidRPr="00920634">
        <w:rPr>
          <w:rFonts w:asciiTheme="minorHAnsi" w:hAnsiTheme="minorHAnsi" w:cstheme="minorHAnsi"/>
          <w:b/>
        </w:rPr>
        <w:t xml:space="preserve">zásadní účetní problém </w:t>
      </w:r>
      <w:r w:rsidR="002351F9" w:rsidRPr="00920634">
        <w:rPr>
          <w:rFonts w:asciiTheme="minorHAnsi" w:hAnsiTheme="minorHAnsi" w:cstheme="minorHAnsi"/>
          <w:b/>
        </w:rPr>
        <w:t>OSS</w:t>
      </w:r>
      <w:r w:rsidR="00643E1A" w:rsidRPr="00920634">
        <w:rPr>
          <w:rFonts w:asciiTheme="minorHAnsi" w:hAnsiTheme="minorHAnsi" w:cstheme="minorHAnsi"/>
          <w:b/>
        </w:rPr>
        <w:t xml:space="preserve"> poskytujících transfery spolufinancované ze zahraničí</w:t>
      </w:r>
      <w:r w:rsidRPr="00920634">
        <w:rPr>
          <w:rFonts w:asciiTheme="minorHAnsi" w:hAnsiTheme="minorHAnsi" w:cstheme="minorHAnsi"/>
          <w:b/>
        </w:rPr>
        <w:t xml:space="preserve"> se v letech 2010–2014 ukázala záležitost volby role při poskytnutí transferu</w:t>
      </w:r>
      <w:r w:rsidRPr="00920634">
        <w:rPr>
          <w:rFonts w:asciiTheme="minorHAnsi" w:hAnsiTheme="minorHAnsi" w:cstheme="minorHAnsi"/>
        </w:rPr>
        <w:t xml:space="preserve"> dle ČÚS </w:t>
      </w:r>
      <w:r w:rsidR="00F20624">
        <w:rPr>
          <w:rFonts w:asciiTheme="minorHAnsi" w:hAnsiTheme="minorHAnsi" w:cstheme="minorHAnsi"/>
        </w:rPr>
        <w:br/>
      </w:r>
      <w:r w:rsidRPr="00920634">
        <w:rPr>
          <w:rFonts w:asciiTheme="minorHAnsi" w:hAnsiTheme="minorHAnsi" w:cstheme="minorHAnsi"/>
        </w:rPr>
        <w:t xml:space="preserve">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>, a tím i konkrétní</w:t>
      </w:r>
      <w:r w:rsidR="00643E1A" w:rsidRPr="00920634">
        <w:rPr>
          <w:rFonts w:asciiTheme="minorHAnsi" w:hAnsiTheme="minorHAnsi" w:cstheme="minorHAnsi"/>
        </w:rPr>
        <w:t>ch</w:t>
      </w:r>
      <w:r w:rsidRPr="00920634">
        <w:rPr>
          <w:rFonts w:asciiTheme="minorHAnsi" w:hAnsiTheme="minorHAnsi" w:cstheme="minorHAnsi"/>
        </w:rPr>
        <w:t xml:space="preserve"> postup</w:t>
      </w:r>
      <w:r w:rsidR="00643E1A" w:rsidRPr="00920634">
        <w:rPr>
          <w:rFonts w:asciiTheme="minorHAnsi" w:hAnsiTheme="minorHAnsi" w:cstheme="minorHAnsi"/>
        </w:rPr>
        <w:t>ů</w:t>
      </w:r>
      <w:r w:rsidRPr="00920634">
        <w:rPr>
          <w:rFonts w:asciiTheme="minorHAnsi" w:hAnsiTheme="minorHAnsi" w:cstheme="minorHAnsi"/>
        </w:rPr>
        <w:t xml:space="preserve"> účtování, které má účetní jednotka dle </w:t>
      </w:r>
      <w:r w:rsidR="00F20624" w:rsidRPr="0027770A">
        <w:rPr>
          <w:rFonts w:asciiTheme="minorHAnsi" w:hAnsiTheme="minorHAnsi" w:cstheme="minorHAnsi"/>
        </w:rPr>
        <w:t>ustanovení</w:t>
      </w:r>
      <w:r w:rsidR="00F2062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§ 36 odst. 1 zákona č. 563/1991 Sb., o účetnictví</w:t>
      </w:r>
      <w:r w:rsidR="00E00858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dodržovat. Kontrol</w:t>
      </w:r>
      <w:r w:rsidR="00732B97" w:rsidRPr="00920634">
        <w:rPr>
          <w:rFonts w:asciiTheme="minorHAnsi" w:hAnsiTheme="minorHAnsi" w:cstheme="minorHAnsi"/>
        </w:rPr>
        <w:t xml:space="preserve">y </w:t>
      </w:r>
      <w:r w:rsidRPr="00920634">
        <w:rPr>
          <w:rFonts w:asciiTheme="minorHAnsi" w:hAnsiTheme="minorHAnsi" w:cstheme="minorHAnsi"/>
        </w:rPr>
        <w:t xml:space="preserve">provedené za období let 2010–2014 prokázaly, že různé účetní jednotky se identifikovaly </w:t>
      </w:r>
      <w:r w:rsidR="00E00858">
        <w:rPr>
          <w:rFonts w:asciiTheme="minorHAnsi" w:hAnsiTheme="minorHAnsi" w:cstheme="minorHAnsi"/>
        </w:rPr>
        <w:t>s</w:t>
      </w:r>
      <w:r w:rsidRPr="00920634">
        <w:rPr>
          <w:rFonts w:asciiTheme="minorHAnsi" w:hAnsiTheme="minorHAnsi" w:cstheme="minorHAnsi"/>
        </w:rPr>
        <w:t xml:space="preserve"> různý</w:t>
      </w:r>
      <w:r w:rsidR="00E00858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rol</w:t>
      </w:r>
      <w:r w:rsidR="00E00858">
        <w:rPr>
          <w:rFonts w:asciiTheme="minorHAnsi" w:hAnsiTheme="minorHAnsi" w:cstheme="minorHAnsi"/>
        </w:rPr>
        <w:t>emi</w:t>
      </w:r>
      <w:r w:rsidRPr="00920634">
        <w:rPr>
          <w:rFonts w:asciiTheme="minorHAnsi" w:hAnsiTheme="minorHAnsi" w:cstheme="minorHAnsi"/>
        </w:rPr>
        <w:t xml:space="preserve">, </w:t>
      </w:r>
      <w:r w:rsidR="00E00858">
        <w:rPr>
          <w:rFonts w:asciiTheme="minorHAnsi" w:hAnsiTheme="minorHAnsi" w:cstheme="minorHAnsi"/>
        </w:rPr>
        <w:t>v důsledku toho</w:t>
      </w:r>
      <w:r w:rsidRPr="00920634">
        <w:rPr>
          <w:rFonts w:asciiTheme="minorHAnsi" w:hAnsiTheme="minorHAnsi" w:cstheme="minorHAnsi"/>
        </w:rPr>
        <w:t xml:space="preserve"> volily i jiné postupy účtování a vykazovaly vzájemně nesrovnatelné údaje ve svých účetních závěrkách.</w:t>
      </w:r>
      <w:r w:rsidRPr="00920634">
        <w:rPr>
          <w:rStyle w:val="Znakapoznpodarou"/>
          <w:rFonts w:asciiTheme="minorHAnsi" w:hAnsiTheme="minorHAnsi" w:cstheme="minorHAnsi"/>
        </w:rPr>
        <w:footnoteReference w:id="27"/>
      </w:r>
      <w:r w:rsidRPr="00920634">
        <w:rPr>
          <w:rFonts w:asciiTheme="minorHAnsi" w:hAnsiTheme="minorHAnsi" w:cstheme="minorHAnsi"/>
        </w:rPr>
        <w:t xml:space="preserve"> </w:t>
      </w:r>
    </w:p>
    <w:p w14:paraId="5B3DC5C4" w14:textId="77777777" w:rsidR="00EE638D" w:rsidRDefault="00EE638D" w:rsidP="00114439">
      <w:pPr>
        <w:jc w:val="both"/>
        <w:rPr>
          <w:rFonts w:asciiTheme="minorHAnsi" w:hAnsiTheme="minorHAnsi" w:cstheme="minorHAnsi"/>
        </w:rPr>
      </w:pPr>
    </w:p>
    <w:p w14:paraId="24D1F422" w14:textId="56DE7125" w:rsidR="0082314F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Problém nejasnosti při určení role se týkal zejména transferů, které byly předfinancovány, tj.</w:t>
      </w:r>
      <w:r w:rsidR="00A00C13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z části nebo zcela financovány z prostředků krytých zdroji ze zahraničí.</w:t>
      </w:r>
      <w:r w:rsidR="003D3021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Tyto prostředky mohly být dle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označeny za tzv. zahraniční transfer a</w:t>
      </w:r>
      <w:r w:rsidR="00920634" w:rsidRPr="00920634">
        <w:rPr>
          <w:rFonts w:asciiTheme="minorHAnsi" w:hAnsiTheme="minorHAnsi" w:cstheme="minorHAnsi"/>
        </w:rPr>
        <w:t> </w:t>
      </w:r>
      <w:r w:rsidR="006B6661" w:rsidRPr="00920634">
        <w:rPr>
          <w:rFonts w:asciiTheme="minorHAnsi" w:hAnsiTheme="minorHAnsi" w:cstheme="minorHAnsi"/>
        </w:rPr>
        <w:t>OSS</w:t>
      </w:r>
      <w:r w:rsidRPr="00920634">
        <w:rPr>
          <w:rFonts w:asciiTheme="minorHAnsi" w:hAnsiTheme="minorHAnsi" w:cstheme="minorHAnsi"/>
        </w:rPr>
        <w:t xml:space="preserve"> </w:t>
      </w:r>
      <w:r w:rsidR="005C7498">
        <w:rPr>
          <w:rFonts w:asciiTheme="minorHAnsi" w:hAnsiTheme="minorHAnsi" w:cstheme="minorHAnsi"/>
        </w:rPr>
        <w:t>pak mohla vystupovat v roli</w:t>
      </w:r>
      <w:r w:rsidRPr="00920634">
        <w:rPr>
          <w:rFonts w:asciiTheme="minorHAnsi" w:hAnsiTheme="minorHAnsi" w:cstheme="minorHAnsi"/>
        </w:rPr>
        <w:t xml:space="preserve"> „zprostředkovatele zahraničního transferu“. Protože však </w:t>
      </w:r>
      <w:r w:rsidR="00551A6D">
        <w:rPr>
          <w:rFonts w:asciiTheme="minorHAnsi" w:hAnsiTheme="minorHAnsi" w:cstheme="minorHAnsi"/>
        </w:rPr>
        <w:t xml:space="preserve">organizační složka státu </w:t>
      </w:r>
      <w:r w:rsidRPr="00920634">
        <w:rPr>
          <w:rFonts w:asciiTheme="minorHAnsi" w:hAnsiTheme="minorHAnsi" w:cstheme="minorHAnsi"/>
        </w:rPr>
        <w:t>rozhodovala i o příjemci takového transferu a část</w:t>
      </w:r>
      <w:r w:rsidR="002351F9" w:rsidRPr="00920634">
        <w:rPr>
          <w:rFonts w:asciiTheme="minorHAnsi" w:hAnsiTheme="minorHAnsi" w:cstheme="minorHAnsi"/>
        </w:rPr>
        <w:t>ce</w:t>
      </w:r>
      <w:r w:rsidRPr="00920634">
        <w:rPr>
          <w:rFonts w:asciiTheme="minorHAnsi" w:hAnsiTheme="minorHAnsi" w:cstheme="minorHAnsi"/>
        </w:rPr>
        <w:t xml:space="preserve"> jemu poskytnuté, mohla se identifikovat dle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i </w:t>
      </w:r>
      <w:r w:rsidR="00551A6D">
        <w:rPr>
          <w:rFonts w:asciiTheme="minorHAnsi" w:hAnsiTheme="minorHAnsi" w:cstheme="minorHAnsi"/>
        </w:rPr>
        <w:t>s</w:t>
      </w:r>
      <w:r w:rsidRPr="00920634">
        <w:rPr>
          <w:rFonts w:asciiTheme="minorHAnsi" w:hAnsiTheme="minorHAnsi" w:cstheme="minorHAnsi"/>
        </w:rPr>
        <w:t xml:space="preserve"> rol</w:t>
      </w:r>
      <w:r w:rsidR="00551A6D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„poskytovatele transferu“.</w:t>
      </w:r>
    </w:p>
    <w:p w14:paraId="3AD0CE1E" w14:textId="77777777" w:rsidR="00421ECF" w:rsidRPr="00920634" w:rsidRDefault="00421ECF" w:rsidP="00114439">
      <w:pPr>
        <w:jc w:val="both"/>
        <w:rPr>
          <w:rFonts w:asciiTheme="minorHAnsi" w:hAnsiTheme="minorHAnsi" w:cstheme="minorHAnsi"/>
        </w:rPr>
      </w:pPr>
    </w:p>
    <w:p w14:paraId="692D89DB" w14:textId="0973ACB8" w:rsidR="00C06EAE" w:rsidRDefault="00C06EAE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Dopad volby role účetní jednotky na údaje účetní závěrky je přitom zásadní, jak zobrazuje následující tabulka č. </w:t>
      </w:r>
      <w:r w:rsidR="004266D0" w:rsidRPr="00920634">
        <w:rPr>
          <w:rFonts w:asciiTheme="minorHAnsi" w:hAnsiTheme="minorHAnsi" w:cstheme="minorHAnsi"/>
        </w:rPr>
        <w:t>3</w:t>
      </w:r>
      <w:r w:rsidR="00B77D40" w:rsidRPr="00920634">
        <w:rPr>
          <w:rFonts w:asciiTheme="minorHAnsi" w:hAnsiTheme="minorHAnsi" w:cstheme="minorHAnsi"/>
        </w:rPr>
        <w:t>.</w:t>
      </w:r>
    </w:p>
    <w:p w14:paraId="2380B6D2" w14:textId="77777777" w:rsidR="000B37C2" w:rsidRDefault="000B37C2" w:rsidP="00114439">
      <w:pPr>
        <w:jc w:val="both"/>
        <w:rPr>
          <w:rFonts w:asciiTheme="minorHAnsi" w:hAnsiTheme="minorHAnsi" w:cstheme="minorHAnsi"/>
        </w:rPr>
      </w:pPr>
    </w:p>
    <w:p w14:paraId="2D427BFC" w14:textId="555AB6D6" w:rsidR="00C06EAE" w:rsidRPr="00920634" w:rsidRDefault="00C06EAE" w:rsidP="008D4CD3">
      <w:pPr>
        <w:ind w:left="1446" w:hanging="1446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Tabulka č. </w:t>
      </w:r>
      <w:r w:rsidR="004266D0" w:rsidRPr="00920634">
        <w:rPr>
          <w:rFonts w:asciiTheme="minorHAnsi" w:hAnsiTheme="minorHAnsi" w:cstheme="minorHAnsi"/>
          <w:b/>
        </w:rPr>
        <w:t>3</w:t>
      </w:r>
      <w:r w:rsidRPr="00920634">
        <w:rPr>
          <w:rFonts w:asciiTheme="minorHAnsi" w:hAnsiTheme="minorHAnsi" w:cstheme="minorHAnsi"/>
          <w:b/>
        </w:rPr>
        <w:t xml:space="preserve"> – Vliv </w:t>
      </w:r>
      <w:r w:rsidR="00643CE7">
        <w:rPr>
          <w:rFonts w:asciiTheme="minorHAnsi" w:hAnsiTheme="minorHAnsi" w:cstheme="minorHAnsi"/>
          <w:b/>
        </w:rPr>
        <w:t>výběru</w:t>
      </w:r>
      <w:r w:rsidRPr="00920634">
        <w:rPr>
          <w:rFonts w:asciiTheme="minorHAnsi" w:hAnsiTheme="minorHAnsi" w:cstheme="minorHAnsi"/>
          <w:b/>
        </w:rPr>
        <w:t xml:space="preserve"> role účetní jednotky při poskytování transferu na údaje vykázané v rozvaze a výkazu zisku a ztráty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551"/>
        <w:gridCol w:w="2552"/>
      </w:tblGrid>
      <w:tr w:rsidR="00C06EAE" w:rsidRPr="00920634" w14:paraId="2522B6C5" w14:textId="77777777" w:rsidTr="00A00C13">
        <w:trPr>
          <w:tblHeader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3930523C" w14:textId="13BCA2F3" w:rsidR="00F30E07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účetní jednotky </w:t>
            </w:r>
            <w:r w:rsidR="00643CE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OSS</w:t>
            </w:r>
            <w:r w:rsidR="00643CE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6A9B427E" w14:textId="0DCF8D55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při poskytování transferu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52D4B5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Výkaz rozvaha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B70409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Výkaz zisku a ztráty</w:t>
            </w:r>
          </w:p>
        </w:tc>
      </w:tr>
      <w:tr w:rsidR="00C06EAE" w:rsidRPr="00920634" w14:paraId="5DAAD4AD" w14:textId="77777777" w:rsidTr="00A00C13">
        <w:trPr>
          <w:tblHeader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3FCA73D1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C9E101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Účtováno pouze rozvahově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C9D986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b/>
                <w:sz w:val="20"/>
                <w:szCs w:val="20"/>
              </w:rPr>
              <w:t>Vykázání nákladů a výnosů</w:t>
            </w:r>
          </w:p>
        </w:tc>
      </w:tr>
      <w:tr w:rsidR="00C06EAE" w:rsidRPr="00920634" w14:paraId="666918C7" w14:textId="77777777" w:rsidTr="00A00C13">
        <w:tc>
          <w:tcPr>
            <w:tcW w:w="3969" w:type="dxa"/>
          </w:tcPr>
          <w:p w14:paraId="7DADD95F" w14:textId="77777777" w:rsidR="00C06EAE" w:rsidRPr="00920634" w:rsidRDefault="00C06EAE" w:rsidP="00114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Poskytovatel a příjemce</w:t>
            </w:r>
          </w:p>
        </w:tc>
        <w:tc>
          <w:tcPr>
            <w:tcW w:w="2551" w:type="dxa"/>
            <w:vAlign w:val="center"/>
          </w:tcPr>
          <w:p w14:paraId="1178FA44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  <w:tc>
          <w:tcPr>
            <w:tcW w:w="2552" w:type="dxa"/>
            <w:vAlign w:val="center"/>
          </w:tcPr>
          <w:p w14:paraId="6925B3A1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C06EAE" w:rsidRPr="00920634" w14:paraId="4ABE82C5" w14:textId="77777777" w:rsidTr="00A00C13">
        <w:tc>
          <w:tcPr>
            <w:tcW w:w="3969" w:type="dxa"/>
          </w:tcPr>
          <w:p w14:paraId="68E87CB5" w14:textId="77777777" w:rsidR="00C06EAE" w:rsidRPr="00920634" w:rsidRDefault="00C06EAE" w:rsidP="00114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Zprostředkovatel zahraničního transferu</w:t>
            </w:r>
          </w:p>
        </w:tc>
        <w:tc>
          <w:tcPr>
            <w:tcW w:w="2551" w:type="dxa"/>
            <w:vAlign w:val="center"/>
          </w:tcPr>
          <w:p w14:paraId="3A05139B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2552" w:type="dxa"/>
            <w:vAlign w:val="center"/>
          </w:tcPr>
          <w:p w14:paraId="6FCDF1B4" w14:textId="77777777" w:rsidR="00C06EAE" w:rsidRPr="00920634" w:rsidRDefault="00C06EAE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09ABAD7D" w14:textId="79006887" w:rsidR="00C06EAE" w:rsidRPr="00920634" w:rsidRDefault="00C06EAE" w:rsidP="0011443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Č</w:t>
      </w:r>
      <w:r w:rsidR="001F6D00" w:rsidRPr="008D4CD3">
        <w:rPr>
          <w:rFonts w:asciiTheme="minorHAnsi" w:hAnsiTheme="minorHAnsi" w:cstheme="minorHAnsi"/>
          <w:sz w:val="20"/>
          <w:szCs w:val="20"/>
        </w:rPr>
        <w:t>Ú</w:t>
      </w:r>
      <w:r w:rsidRPr="008D4CD3">
        <w:rPr>
          <w:rFonts w:asciiTheme="minorHAnsi" w:hAnsiTheme="minorHAnsi" w:cstheme="minorHAnsi"/>
          <w:sz w:val="20"/>
          <w:szCs w:val="20"/>
        </w:rPr>
        <w:t xml:space="preserve">S č. 703 </w:t>
      </w:r>
      <w:r w:rsidR="00E0629C" w:rsidRPr="008D4CD3">
        <w:rPr>
          <w:rFonts w:asciiTheme="minorHAnsi" w:hAnsiTheme="minorHAnsi" w:cstheme="minorHAnsi"/>
          <w:sz w:val="20"/>
          <w:szCs w:val="20"/>
        </w:rPr>
        <w:t>–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  <w:r w:rsidRPr="00643CE7">
        <w:rPr>
          <w:rFonts w:asciiTheme="minorHAnsi" w:hAnsiTheme="minorHAnsi" w:cstheme="minorHAnsi"/>
          <w:i/>
          <w:sz w:val="20"/>
          <w:szCs w:val="20"/>
        </w:rPr>
        <w:t>Transfery</w:t>
      </w:r>
      <w:r w:rsidR="00D6747F">
        <w:rPr>
          <w:rFonts w:asciiTheme="minorHAnsi" w:hAnsiTheme="minorHAnsi" w:cstheme="minorHAnsi"/>
          <w:i/>
          <w:sz w:val="20"/>
          <w:szCs w:val="20"/>
        </w:rPr>
        <w:t>.</w:t>
      </w:r>
    </w:p>
    <w:p w14:paraId="5E4203BA" w14:textId="77777777" w:rsidR="00421ECF" w:rsidRDefault="00421ECF" w:rsidP="00114439">
      <w:pPr>
        <w:spacing w:line="23" w:lineRule="atLeast"/>
        <w:jc w:val="both"/>
        <w:rPr>
          <w:rFonts w:asciiTheme="minorHAnsi" w:hAnsiTheme="minorHAnsi" w:cstheme="minorHAnsi"/>
          <w:b/>
        </w:rPr>
      </w:pPr>
    </w:p>
    <w:p w14:paraId="01293986" w14:textId="1EA8E285" w:rsidR="0082314F" w:rsidRDefault="00643CE7" w:rsidP="00114439">
      <w:pPr>
        <w:spacing w:line="23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Oblast ú</w:t>
      </w:r>
      <w:r w:rsidR="00C06EAE" w:rsidRPr="00920634">
        <w:rPr>
          <w:rFonts w:asciiTheme="minorHAnsi" w:hAnsiTheme="minorHAnsi" w:cstheme="minorHAnsi"/>
          <w:b/>
        </w:rPr>
        <w:t>čtování a vykazování účetních případů týkajících se poskytování peněžních prostředků státního rozpočtu na předfinancování výdajů, které mají být kryty prostředky z rozpočtu EU, byl</w:t>
      </w:r>
      <w:r>
        <w:rPr>
          <w:rFonts w:asciiTheme="minorHAnsi" w:hAnsiTheme="minorHAnsi" w:cstheme="minorHAnsi"/>
          <w:b/>
        </w:rPr>
        <w:t>a</w:t>
      </w:r>
      <w:r w:rsidR="00C06EAE" w:rsidRPr="00920634">
        <w:rPr>
          <w:rFonts w:asciiTheme="minorHAnsi" w:hAnsiTheme="minorHAnsi" w:cstheme="minorHAnsi"/>
          <w:b/>
        </w:rPr>
        <w:t xml:space="preserve"> v letech 2010–2014 zatížen</w:t>
      </w:r>
      <w:r>
        <w:rPr>
          <w:rFonts w:asciiTheme="minorHAnsi" w:hAnsiTheme="minorHAnsi" w:cstheme="minorHAnsi"/>
          <w:b/>
        </w:rPr>
        <w:t>a</w:t>
      </w:r>
      <w:r w:rsidR="00C06EAE" w:rsidRPr="00920634">
        <w:rPr>
          <w:rFonts w:asciiTheme="minorHAnsi" w:hAnsiTheme="minorHAnsi" w:cstheme="minorHAnsi"/>
          <w:b/>
        </w:rPr>
        <w:t xml:space="preserve"> nejasnostmi souvisejícími s nejednoznačnostmi při aplikaci Č</w:t>
      </w:r>
      <w:r w:rsidR="001F6D00" w:rsidRPr="00920634">
        <w:rPr>
          <w:rFonts w:asciiTheme="minorHAnsi" w:hAnsiTheme="minorHAnsi" w:cstheme="minorHAnsi"/>
          <w:b/>
        </w:rPr>
        <w:t>Ú</w:t>
      </w:r>
      <w:r w:rsidR="00C06EAE" w:rsidRPr="00920634">
        <w:rPr>
          <w:rFonts w:asciiTheme="minorHAnsi" w:hAnsiTheme="minorHAnsi" w:cstheme="minorHAnsi"/>
          <w:b/>
        </w:rPr>
        <w:t xml:space="preserve">S č. 703 – </w:t>
      </w:r>
      <w:r w:rsidR="00C06EAE" w:rsidRPr="008D4CD3">
        <w:rPr>
          <w:rFonts w:asciiTheme="minorHAnsi" w:hAnsiTheme="minorHAnsi" w:cstheme="minorHAnsi"/>
          <w:b/>
          <w:i/>
        </w:rPr>
        <w:t>Transfery</w:t>
      </w:r>
      <w:r w:rsidR="00C06EAE" w:rsidRPr="00920634">
        <w:rPr>
          <w:rFonts w:asciiTheme="minorHAnsi" w:hAnsiTheme="minorHAnsi" w:cstheme="minorHAnsi"/>
          <w:b/>
        </w:rPr>
        <w:t xml:space="preserve">. </w:t>
      </w:r>
      <w:r w:rsidR="0082314F" w:rsidRPr="00920634">
        <w:rPr>
          <w:rFonts w:asciiTheme="minorHAnsi" w:hAnsiTheme="minorHAnsi" w:cstheme="minorHAnsi"/>
          <w:b/>
        </w:rPr>
        <w:t xml:space="preserve">Postupy účtování pro případ předfinancování transferů nebyly pro potřeby účetnictví pro období let 2010–2014 explicitně vymezeny. </w:t>
      </w:r>
    </w:p>
    <w:p w14:paraId="2595DCED" w14:textId="77777777" w:rsidR="00421ECF" w:rsidRPr="00920634" w:rsidRDefault="00421ECF" w:rsidP="00114439">
      <w:pPr>
        <w:spacing w:line="23" w:lineRule="atLeast"/>
        <w:jc w:val="both"/>
        <w:rPr>
          <w:rFonts w:asciiTheme="minorHAnsi" w:hAnsiTheme="minorHAnsi" w:cstheme="minorHAnsi"/>
          <w:b/>
        </w:rPr>
      </w:pPr>
    </w:p>
    <w:p w14:paraId="4D9F6536" w14:textId="5006CD53" w:rsidR="00C06EAE" w:rsidRDefault="00C06EAE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S</w:t>
      </w:r>
      <w:r w:rsidR="00643CE7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 xml:space="preserve">účinností od 1. </w:t>
      </w:r>
      <w:r w:rsidR="00877208" w:rsidRPr="00920634">
        <w:rPr>
          <w:rFonts w:asciiTheme="minorHAnsi" w:hAnsiTheme="minorHAnsi" w:cstheme="minorHAnsi"/>
          <w:b/>
        </w:rPr>
        <w:t>ledna</w:t>
      </w:r>
      <w:r w:rsidRPr="00920634">
        <w:rPr>
          <w:rFonts w:asciiTheme="minorHAnsi" w:hAnsiTheme="minorHAnsi" w:cstheme="minorHAnsi"/>
          <w:b/>
        </w:rPr>
        <w:t xml:space="preserve"> 2015 byla novelizována vyhláška č. 410/2009 Sb. a ČÚS</w:t>
      </w:r>
      <w:r w:rsidR="00D6747F">
        <w:rPr>
          <w:rFonts w:asciiTheme="minorHAnsi" w:hAnsiTheme="minorHAnsi" w:cstheme="minorHAnsi"/>
          <w:b/>
        </w:rPr>
        <w:br/>
      </w:r>
      <w:r w:rsidRPr="00920634">
        <w:rPr>
          <w:rFonts w:asciiTheme="minorHAnsi" w:hAnsiTheme="minorHAnsi" w:cstheme="minorHAnsi"/>
          <w:b/>
        </w:rPr>
        <w:t xml:space="preserve">č. 703 – </w:t>
      </w:r>
      <w:r w:rsidRPr="008D4CD3">
        <w:rPr>
          <w:rFonts w:asciiTheme="minorHAnsi" w:hAnsiTheme="minorHAnsi" w:cstheme="minorHAnsi"/>
          <w:b/>
          <w:i/>
        </w:rPr>
        <w:t>Transfe</w:t>
      </w:r>
      <w:r w:rsidR="007A5904" w:rsidRPr="008D4CD3">
        <w:rPr>
          <w:rFonts w:asciiTheme="minorHAnsi" w:hAnsiTheme="minorHAnsi" w:cstheme="minorHAnsi"/>
          <w:b/>
          <w:i/>
        </w:rPr>
        <w:t>r</w:t>
      </w:r>
      <w:r w:rsidRPr="008D4CD3">
        <w:rPr>
          <w:rFonts w:asciiTheme="minorHAnsi" w:hAnsiTheme="minorHAnsi" w:cstheme="minorHAnsi"/>
          <w:b/>
          <w:i/>
        </w:rPr>
        <w:t>y</w:t>
      </w:r>
      <w:r w:rsidR="00265469" w:rsidRPr="00920634">
        <w:rPr>
          <w:rFonts w:asciiTheme="minorHAnsi" w:hAnsiTheme="minorHAnsi" w:cstheme="minorHAnsi"/>
          <w:b/>
        </w:rPr>
        <w:t>. T</w:t>
      </w:r>
      <w:r w:rsidRPr="00920634">
        <w:rPr>
          <w:rFonts w:asciiTheme="minorHAnsi" w:hAnsiTheme="minorHAnsi" w:cstheme="minorHAnsi"/>
          <w:b/>
        </w:rPr>
        <w:t xml:space="preserve">yto novely podle názoru NKÚ odstranily základní nejednoznačnost ohledně role, kterou OSS při poskytování a přijímání prostředků spolufinancovaných ze zahraničí v letech 2010–2014 </w:t>
      </w:r>
      <w:r w:rsidR="00643CE7">
        <w:rPr>
          <w:rFonts w:asciiTheme="minorHAnsi" w:hAnsiTheme="minorHAnsi" w:cstheme="minorHAnsi"/>
          <w:b/>
        </w:rPr>
        <w:t>plnily</w:t>
      </w:r>
      <w:r w:rsidRPr="00920634">
        <w:rPr>
          <w:rFonts w:asciiTheme="minorHAnsi" w:hAnsiTheme="minorHAnsi" w:cstheme="minorHAnsi"/>
          <w:b/>
        </w:rPr>
        <w:t xml:space="preserve">, zejména </w:t>
      </w:r>
      <w:r w:rsidR="008D073A">
        <w:rPr>
          <w:rFonts w:asciiTheme="minorHAnsi" w:hAnsiTheme="minorHAnsi" w:cstheme="minorHAnsi"/>
          <w:b/>
        </w:rPr>
        <w:t>v </w:t>
      </w:r>
      <w:r w:rsidRPr="00920634">
        <w:rPr>
          <w:rFonts w:asciiTheme="minorHAnsi" w:hAnsiTheme="minorHAnsi" w:cstheme="minorHAnsi"/>
          <w:b/>
        </w:rPr>
        <w:t>případě prostředků předfinancovaných ze státního rozpočtu.</w:t>
      </w:r>
      <w:r w:rsidR="002D029F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 xml:space="preserve">Od 1. </w:t>
      </w:r>
      <w:r w:rsidR="00997B4D" w:rsidRPr="00920634">
        <w:rPr>
          <w:rFonts w:asciiTheme="minorHAnsi" w:hAnsiTheme="minorHAnsi" w:cstheme="minorHAnsi"/>
          <w:b/>
        </w:rPr>
        <w:t>ledna</w:t>
      </w:r>
      <w:r w:rsidRPr="00920634">
        <w:rPr>
          <w:rFonts w:asciiTheme="minorHAnsi" w:hAnsiTheme="minorHAnsi" w:cstheme="minorHAnsi"/>
          <w:b/>
        </w:rPr>
        <w:t xml:space="preserve"> 2015 je zřejmé, že OSS předfinancované prostředky poskytují v roli poskytovatele ve smyslu Č</w:t>
      </w:r>
      <w:r w:rsidR="001F6D00" w:rsidRPr="00920634">
        <w:rPr>
          <w:rFonts w:asciiTheme="minorHAnsi" w:hAnsiTheme="minorHAnsi" w:cstheme="minorHAnsi"/>
          <w:b/>
        </w:rPr>
        <w:t>Ú</w:t>
      </w:r>
      <w:r w:rsidRPr="00920634">
        <w:rPr>
          <w:rFonts w:asciiTheme="minorHAnsi" w:hAnsiTheme="minorHAnsi" w:cstheme="minorHAnsi"/>
          <w:b/>
        </w:rPr>
        <w:t xml:space="preserve">S č. 703 </w:t>
      </w:r>
      <w:r w:rsidR="000B37C2">
        <w:rPr>
          <w:rFonts w:asciiTheme="minorHAnsi" w:hAnsiTheme="minorHAnsi" w:cstheme="minorHAnsi"/>
          <w:b/>
        </w:rPr>
        <w:t>–</w:t>
      </w:r>
      <w:r w:rsidRPr="00920634">
        <w:rPr>
          <w:rFonts w:asciiTheme="minorHAnsi" w:hAnsiTheme="minorHAnsi" w:cstheme="minorHAnsi"/>
          <w:b/>
        </w:rPr>
        <w:t xml:space="preserve"> </w:t>
      </w:r>
      <w:r w:rsidRPr="008D4CD3">
        <w:rPr>
          <w:rFonts w:asciiTheme="minorHAnsi" w:hAnsiTheme="minorHAnsi" w:cstheme="minorHAnsi"/>
          <w:b/>
          <w:i/>
        </w:rPr>
        <w:t>Transfery</w:t>
      </w:r>
      <w:r w:rsidRPr="00920634">
        <w:rPr>
          <w:rFonts w:asciiTheme="minorHAnsi" w:hAnsiTheme="minorHAnsi" w:cstheme="minorHAnsi"/>
          <w:b/>
        </w:rPr>
        <w:t xml:space="preserve">. </w:t>
      </w:r>
    </w:p>
    <w:p w14:paraId="01492839" w14:textId="77777777" w:rsidR="00421ECF" w:rsidRPr="00920634" w:rsidRDefault="00421ECF" w:rsidP="00114439">
      <w:pPr>
        <w:jc w:val="both"/>
        <w:rPr>
          <w:rFonts w:asciiTheme="minorHAnsi" w:hAnsiTheme="minorHAnsi" w:cstheme="minorHAnsi"/>
          <w:b/>
        </w:rPr>
      </w:pPr>
    </w:p>
    <w:p w14:paraId="09C3E255" w14:textId="7917CE02" w:rsidR="00C06EAE" w:rsidRDefault="00C06EAE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Následující tabulka zobrazuje, </w:t>
      </w:r>
      <w:r w:rsidR="00643CE7">
        <w:rPr>
          <w:rFonts w:asciiTheme="minorHAnsi" w:hAnsiTheme="minorHAnsi" w:cstheme="minorHAnsi"/>
        </w:rPr>
        <w:t xml:space="preserve">s jakou </w:t>
      </w:r>
      <w:r w:rsidRPr="00920634">
        <w:rPr>
          <w:rFonts w:asciiTheme="minorHAnsi" w:hAnsiTheme="minorHAnsi" w:cstheme="minorHAnsi"/>
        </w:rPr>
        <w:t>rol</w:t>
      </w:r>
      <w:r w:rsidR="00643CE7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se při poskytování předfinancované výše transferu a</w:t>
      </w:r>
      <w:r w:rsidR="00643CE7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přijímání refundace od Národního fondu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 či ze zahraničí MŠMT a MZe identifikovaly v letech 2010–2015, tj. v období účinnosti Č</w:t>
      </w:r>
      <w:r w:rsidR="001F6D00" w:rsidRPr="00920634">
        <w:rPr>
          <w:rFonts w:asciiTheme="minorHAnsi" w:hAnsiTheme="minorHAnsi" w:cstheme="minorHAnsi"/>
        </w:rPr>
        <w:t>Ú</w:t>
      </w:r>
      <w:r w:rsidRPr="00920634">
        <w:rPr>
          <w:rFonts w:asciiTheme="minorHAnsi" w:hAnsiTheme="minorHAnsi" w:cstheme="minorHAnsi"/>
        </w:rPr>
        <w:t xml:space="preserve">S č. 703 – </w:t>
      </w:r>
      <w:r w:rsidRPr="008D4CD3">
        <w:rPr>
          <w:rFonts w:asciiTheme="minorHAnsi" w:hAnsiTheme="minorHAnsi" w:cstheme="minorHAnsi"/>
          <w:i/>
        </w:rPr>
        <w:t>Transfery</w:t>
      </w:r>
      <w:r w:rsidR="00327309" w:rsidRPr="00920634">
        <w:rPr>
          <w:rFonts w:asciiTheme="minorHAnsi" w:hAnsiTheme="minorHAnsi" w:cstheme="minorHAnsi"/>
        </w:rPr>
        <w:t>.</w:t>
      </w:r>
    </w:p>
    <w:p w14:paraId="02726CBA" w14:textId="77777777" w:rsidR="007E28AF" w:rsidRDefault="007E28AF" w:rsidP="00114439">
      <w:pPr>
        <w:jc w:val="both"/>
        <w:rPr>
          <w:rFonts w:asciiTheme="minorHAnsi" w:hAnsiTheme="minorHAnsi" w:cstheme="minorHAnsi"/>
        </w:rPr>
      </w:pPr>
    </w:p>
    <w:p w14:paraId="55F77376" w14:textId="345D4981" w:rsidR="00C06EAE" w:rsidRPr="00421ECF" w:rsidRDefault="004F3F95" w:rsidP="008D4CD3">
      <w:pPr>
        <w:tabs>
          <w:tab w:val="left" w:pos="1712"/>
        </w:tabs>
        <w:spacing w:after="40"/>
        <w:ind w:left="1418" w:hanging="1418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Tabulka č. </w:t>
      </w:r>
      <w:r w:rsidR="00132087" w:rsidRPr="00920634">
        <w:rPr>
          <w:rFonts w:asciiTheme="minorHAnsi" w:hAnsiTheme="minorHAnsi" w:cstheme="minorHAnsi"/>
          <w:b/>
        </w:rPr>
        <w:t>4</w:t>
      </w:r>
      <w:r w:rsidRPr="00920634">
        <w:rPr>
          <w:rFonts w:asciiTheme="minorHAnsi" w:hAnsiTheme="minorHAnsi" w:cstheme="minorHAnsi"/>
          <w:b/>
        </w:rPr>
        <w:t xml:space="preserve"> – Role</w:t>
      </w:r>
      <w:r w:rsidR="00DD4F73">
        <w:rPr>
          <w:rFonts w:asciiTheme="minorHAnsi" w:hAnsiTheme="minorHAnsi" w:cstheme="minorHAnsi"/>
          <w:b/>
        </w:rPr>
        <w:t>, s nimiž se</w:t>
      </w:r>
      <w:r w:rsidRPr="00920634">
        <w:rPr>
          <w:rFonts w:asciiTheme="minorHAnsi" w:hAnsiTheme="minorHAnsi" w:cstheme="minorHAnsi"/>
          <w:b/>
        </w:rPr>
        <w:t xml:space="preserve"> </w:t>
      </w:r>
      <w:r w:rsidR="00DD4F73" w:rsidRPr="00920634">
        <w:rPr>
          <w:rFonts w:asciiTheme="minorHAnsi" w:hAnsiTheme="minorHAnsi" w:cstheme="minorHAnsi"/>
          <w:b/>
        </w:rPr>
        <w:t>v letech 2010–2015 identifikovaly MŠMT a MZe</w:t>
      </w:r>
      <w:r w:rsidR="00DD4F73" w:rsidRPr="00920634" w:rsidDel="004F3F95">
        <w:rPr>
          <w:rFonts w:asciiTheme="minorHAnsi" w:hAnsiTheme="minorHAnsi" w:cstheme="minorHAnsi"/>
          <w:i/>
        </w:rPr>
        <w:t xml:space="preserve"> </w:t>
      </w:r>
      <w:r w:rsidRPr="00920634">
        <w:rPr>
          <w:rFonts w:asciiTheme="minorHAnsi" w:hAnsiTheme="minorHAnsi" w:cstheme="minorHAnsi"/>
          <w:b/>
        </w:rPr>
        <w:t>při poskytování</w:t>
      </w:r>
      <w:r w:rsidRPr="00920634">
        <w:rPr>
          <w:rFonts w:asciiTheme="minorHAnsi" w:hAnsiTheme="minorHAnsi" w:cstheme="minorHAnsi"/>
          <w:i/>
        </w:rPr>
        <w:t xml:space="preserve"> </w:t>
      </w:r>
      <w:r w:rsidRPr="00920634">
        <w:rPr>
          <w:rFonts w:asciiTheme="minorHAnsi" w:hAnsiTheme="minorHAnsi" w:cstheme="minorHAnsi"/>
          <w:b/>
        </w:rPr>
        <w:t>předfinancované výše transfer</w:t>
      </w:r>
      <w:r w:rsidR="00DD4F73">
        <w:rPr>
          <w:rFonts w:asciiTheme="minorHAnsi" w:hAnsiTheme="minorHAnsi" w:cstheme="minorHAnsi"/>
          <w:b/>
        </w:rPr>
        <w:t>ů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850"/>
        <w:gridCol w:w="851"/>
        <w:gridCol w:w="850"/>
        <w:gridCol w:w="851"/>
        <w:gridCol w:w="850"/>
        <w:gridCol w:w="851"/>
      </w:tblGrid>
      <w:tr w:rsidR="004F3F95" w:rsidRPr="00920634" w14:paraId="471258B4" w14:textId="77777777" w:rsidTr="008D4CD3">
        <w:tc>
          <w:tcPr>
            <w:tcW w:w="1418" w:type="dxa"/>
            <w:shd w:val="clear" w:color="auto" w:fill="D9D9D9" w:themeFill="background1" w:themeFillShade="D9"/>
          </w:tcPr>
          <w:p w14:paraId="55EB6883" w14:textId="0034F435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Účetní jednotka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3154022" w14:textId="75ECED9B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  <w:r w:rsidR="008121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dle ČÚS č. 703 – </w:t>
            </w:r>
            <w:r w:rsidR="0081214F" w:rsidRPr="008D4CD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Transfery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4A2A53" w14:textId="5EC128DC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46810E" w14:textId="334965FA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D1B3D3" w14:textId="21D9EA6F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3EC9944" w14:textId="40036A28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C0AA08" w14:textId="5E0C6575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47D711" w14:textId="1C9D2D0C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sz w:val="18"/>
                <w:szCs w:val="18"/>
              </w:rPr>
              <w:t>2015</w:t>
            </w:r>
          </w:p>
        </w:tc>
      </w:tr>
      <w:tr w:rsidR="004F3F95" w:rsidRPr="00920634" w14:paraId="3501FBDC" w14:textId="77777777" w:rsidTr="008D4CD3">
        <w:tc>
          <w:tcPr>
            <w:tcW w:w="1418" w:type="dxa"/>
            <w:vMerge w:val="restart"/>
            <w:vAlign w:val="center"/>
          </w:tcPr>
          <w:p w14:paraId="25E1CDB4" w14:textId="2B709577" w:rsidR="004F3F95" w:rsidRPr="00920634" w:rsidRDefault="004F3F95" w:rsidP="008D4C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>MŠMT</w:t>
            </w:r>
          </w:p>
        </w:tc>
        <w:tc>
          <w:tcPr>
            <w:tcW w:w="2551" w:type="dxa"/>
          </w:tcPr>
          <w:p w14:paraId="629D43D6" w14:textId="0A21E1B9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 xml:space="preserve">Poskytovatel a příjemce </w:t>
            </w:r>
          </w:p>
        </w:tc>
        <w:tc>
          <w:tcPr>
            <w:tcW w:w="850" w:type="dxa"/>
          </w:tcPr>
          <w:p w14:paraId="46405397" w14:textId="5C8BA4E9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</w:tcPr>
          <w:p w14:paraId="2CD3A272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0BBA0B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ED0E8A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53961B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B258B5" w14:textId="74134A26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</w:tr>
      <w:tr w:rsidR="004F3F95" w:rsidRPr="00920634" w14:paraId="56F8493A" w14:textId="77777777" w:rsidTr="008D4CD3">
        <w:tc>
          <w:tcPr>
            <w:tcW w:w="1418" w:type="dxa"/>
            <w:vMerge/>
            <w:vAlign w:val="center"/>
          </w:tcPr>
          <w:p w14:paraId="2827F42D" w14:textId="77777777" w:rsidR="004F3F95" w:rsidRPr="00920634" w:rsidRDefault="004F3F95" w:rsidP="008D4C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CF203E" w14:textId="50DD2C61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>Zprostředkovatel</w:t>
            </w:r>
          </w:p>
        </w:tc>
        <w:tc>
          <w:tcPr>
            <w:tcW w:w="850" w:type="dxa"/>
          </w:tcPr>
          <w:p w14:paraId="68149F59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31F557" w14:textId="63B7F0EA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0" w:type="dxa"/>
          </w:tcPr>
          <w:p w14:paraId="699E0CE7" w14:textId="3ED06574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</w:tcPr>
          <w:p w14:paraId="6F61F553" w14:textId="1905EFAD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0" w:type="dxa"/>
          </w:tcPr>
          <w:p w14:paraId="1C0D5137" w14:textId="387D4A90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</w:tcPr>
          <w:p w14:paraId="45F15936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F95" w:rsidRPr="00920634" w14:paraId="2D0611AD" w14:textId="77777777" w:rsidTr="008D4CD3"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E1E2365" w14:textId="1922D1DF" w:rsidR="004F3F95" w:rsidRPr="00920634" w:rsidRDefault="004F3F95" w:rsidP="008D4C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>MZe</w:t>
            </w:r>
          </w:p>
        </w:tc>
        <w:tc>
          <w:tcPr>
            <w:tcW w:w="2551" w:type="dxa"/>
            <w:shd w:val="clear" w:color="auto" w:fill="FFFFFF" w:themeFill="background1"/>
          </w:tcPr>
          <w:p w14:paraId="35408DB1" w14:textId="170B78A7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 xml:space="preserve">Poskytovatel a příjemce </w:t>
            </w:r>
          </w:p>
        </w:tc>
        <w:tc>
          <w:tcPr>
            <w:tcW w:w="850" w:type="dxa"/>
            <w:shd w:val="clear" w:color="auto" w:fill="FFFFFF" w:themeFill="background1"/>
          </w:tcPr>
          <w:p w14:paraId="08889B64" w14:textId="55A58FC2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  <w:shd w:val="clear" w:color="auto" w:fill="FFFFFF" w:themeFill="background1"/>
          </w:tcPr>
          <w:p w14:paraId="7BBE07DE" w14:textId="3F708991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0" w:type="dxa"/>
            <w:shd w:val="clear" w:color="auto" w:fill="FFFFFF" w:themeFill="background1"/>
          </w:tcPr>
          <w:p w14:paraId="4440C6DC" w14:textId="64E8A749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  <w:shd w:val="clear" w:color="auto" w:fill="FFFFFF" w:themeFill="background1"/>
          </w:tcPr>
          <w:p w14:paraId="0419BF77" w14:textId="3A22B1D8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0" w:type="dxa"/>
            <w:shd w:val="clear" w:color="auto" w:fill="FFFFFF" w:themeFill="background1"/>
          </w:tcPr>
          <w:p w14:paraId="6AD2EE07" w14:textId="632CD646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  <w:tc>
          <w:tcPr>
            <w:tcW w:w="851" w:type="dxa"/>
            <w:shd w:val="clear" w:color="auto" w:fill="FFFFFF" w:themeFill="background1"/>
          </w:tcPr>
          <w:p w14:paraId="39026C6B" w14:textId="0E7D0DFD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="MS Gothic" w:eastAsia="MS Gothic" w:hAnsi="MS Gothic" w:cs="MS Gothic" w:hint="eastAsia"/>
                <w:sz w:val="18"/>
                <w:szCs w:val="18"/>
              </w:rPr>
              <w:t>✓</w:t>
            </w:r>
          </w:p>
        </w:tc>
      </w:tr>
      <w:tr w:rsidR="004F3F95" w:rsidRPr="00920634" w14:paraId="3B8AD2B6" w14:textId="77777777" w:rsidTr="008D4CD3">
        <w:tc>
          <w:tcPr>
            <w:tcW w:w="1418" w:type="dxa"/>
            <w:vMerge/>
            <w:shd w:val="clear" w:color="auto" w:fill="FFFFFF" w:themeFill="background1"/>
          </w:tcPr>
          <w:p w14:paraId="5CE0D44A" w14:textId="77777777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3D0ECC" w14:textId="2E204FE6" w:rsidR="004F3F95" w:rsidRPr="00920634" w:rsidRDefault="004F3F95" w:rsidP="001144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sz w:val="18"/>
                <w:szCs w:val="18"/>
              </w:rPr>
              <w:t>Zprostředkovatel</w:t>
            </w:r>
          </w:p>
        </w:tc>
        <w:tc>
          <w:tcPr>
            <w:tcW w:w="850" w:type="dxa"/>
            <w:shd w:val="clear" w:color="auto" w:fill="FFFFFF" w:themeFill="background1"/>
          </w:tcPr>
          <w:p w14:paraId="196D81E0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1C3915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AC691C6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4D24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B4353CA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F253F0" w14:textId="77777777" w:rsidR="004F3F95" w:rsidRPr="00920634" w:rsidRDefault="004F3F95" w:rsidP="001144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154A77" w14:textId="340F6DFC" w:rsidR="00C06EAE" w:rsidRPr="00F210BF" w:rsidRDefault="004F3F95" w:rsidP="00114439">
      <w:pPr>
        <w:jc w:val="both"/>
        <w:rPr>
          <w:rFonts w:asciiTheme="minorHAnsi" w:hAnsiTheme="minorHAnsi" w:cstheme="minorHAnsi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zjištění z</w:t>
      </w:r>
      <w:r w:rsidR="00D6747F" w:rsidRPr="008D4CD3">
        <w:rPr>
          <w:rFonts w:asciiTheme="minorHAnsi" w:hAnsiTheme="minorHAnsi" w:cstheme="minorHAnsi"/>
          <w:sz w:val="20"/>
          <w:szCs w:val="20"/>
        </w:rPr>
        <w:t> </w:t>
      </w:r>
      <w:r w:rsidRPr="008D4CD3">
        <w:rPr>
          <w:rFonts w:asciiTheme="minorHAnsi" w:hAnsiTheme="minorHAnsi" w:cstheme="minorHAnsi"/>
          <w:sz w:val="20"/>
          <w:szCs w:val="20"/>
        </w:rPr>
        <w:t>kontrol</w:t>
      </w:r>
      <w:r w:rsidR="00794C4D" w:rsidRPr="008D4CD3">
        <w:rPr>
          <w:rFonts w:asciiTheme="minorHAnsi" w:hAnsiTheme="minorHAnsi" w:cstheme="minorHAnsi"/>
          <w:sz w:val="20"/>
          <w:szCs w:val="20"/>
        </w:rPr>
        <w:t>y</w:t>
      </w:r>
      <w:r w:rsidR="00D6747F" w:rsidRPr="008D4CD3">
        <w:rPr>
          <w:rFonts w:asciiTheme="minorHAnsi" w:hAnsiTheme="minorHAnsi" w:cstheme="minorHAnsi"/>
          <w:sz w:val="20"/>
          <w:szCs w:val="20"/>
        </w:rPr>
        <w:t>.</w:t>
      </w:r>
    </w:p>
    <w:p w14:paraId="4EFB217C" w14:textId="77777777" w:rsidR="00421ECF" w:rsidRDefault="00421ECF" w:rsidP="00114439">
      <w:pPr>
        <w:jc w:val="both"/>
        <w:rPr>
          <w:rFonts w:asciiTheme="minorHAnsi" w:hAnsiTheme="minorHAnsi" w:cstheme="minorHAnsi"/>
          <w:b/>
        </w:rPr>
      </w:pPr>
    </w:p>
    <w:p w14:paraId="78D66D7A" w14:textId="79D9A2EA" w:rsidR="00C06EAE" w:rsidRPr="00920634" w:rsidRDefault="00C06EAE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>Z kontrol</w:t>
      </w:r>
      <w:r w:rsidR="00D833AC" w:rsidRPr="00920634">
        <w:rPr>
          <w:rFonts w:asciiTheme="minorHAnsi" w:hAnsiTheme="minorHAnsi" w:cstheme="minorHAnsi"/>
          <w:b/>
        </w:rPr>
        <w:t>y</w:t>
      </w:r>
      <w:r w:rsidRPr="00920634">
        <w:rPr>
          <w:rFonts w:asciiTheme="minorHAnsi" w:hAnsiTheme="minorHAnsi" w:cstheme="minorHAnsi"/>
          <w:b/>
        </w:rPr>
        <w:t xml:space="preserve"> nevyplynuly věcné důvody pro to, aby MŠMT a MZe o předfinancovaných transferech účtoval</w:t>
      </w:r>
      <w:r w:rsidR="00E4496E" w:rsidRPr="00920634">
        <w:rPr>
          <w:rFonts w:asciiTheme="minorHAnsi" w:hAnsiTheme="minorHAnsi" w:cstheme="minorHAnsi"/>
          <w:b/>
        </w:rPr>
        <w:t>y</w:t>
      </w:r>
      <w:r w:rsidRPr="00920634">
        <w:rPr>
          <w:rFonts w:asciiTheme="minorHAnsi" w:hAnsiTheme="minorHAnsi" w:cstheme="minorHAnsi"/>
          <w:b/>
        </w:rPr>
        <w:t xml:space="preserve"> v jiné roli</w:t>
      </w:r>
      <w:r w:rsidR="00F210BF">
        <w:rPr>
          <w:rFonts w:asciiTheme="minorHAnsi" w:hAnsiTheme="minorHAnsi" w:cstheme="minorHAnsi"/>
          <w:b/>
        </w:rPr>
        <w:t>,</w:t>
      </w:r>
      <w:r w:rsidRPr="00920634">
        <w:rPr>
          <w:rFonts w:asciiTheme="minorHAnsi" w:hAnsiTheme="minorHAnsi" w:cstheme="minorHAnsi"/>
          <w:b/>
        </w:rPr>
        <w:t xml:space="preserve"> a </w:t>
      </w:r>
      <w:r w:rsidR="00F210BF">
        <w:rPr>
          <w:rFonts w:asciiTheme="minorHAnsi" w:hAnsiTheme="minorHAnsi" w:cstheme="minorHAnsi"/>
          <w:b/>
        </w:rPr>
        <w:t>tedy</w:t>
      </w:r>
      <w:r w:rsidRPr="00920634">
        <w:rPr>
          <w:rFonts w:asciiTheme="minorHAnsi" w:hAnsiTheme="minorHAnsi" w:cstheme="minorHAnsi"/>
          <w:b/>
        </w:rPr>
        <w:t xml:space="preserve"> i zásadně odlišně; důvodem pro rozdílný postup při </w:t>
      </w:r>
      <w:r w:rsidR="00505444" w:rsidRPr="00920634">
        <w:rPr>
          <w:rFonts w:asciiTheme="minorHAnsi" w:hAnsiTheme="minorHAnsi" w:cstheme="minorHAnsi"/>
          <w:b/>
        </w:rPr>
        <w:t>zobrazování</w:t>
      </w:r>
      <w:r w:rsidRPr="00920634">
        <w:rPr>
          <w:rFonts w:asciiTheme="minorHAnsi" w:hAnsiTheme="minorHAnsi" w:cstheme="minorHAnsi"/>
          <w:b/>
        </w:rPr>
        <w:t xml:space="preserve"> zahraničních transferů </w:t>
      </w:r>
      <w:r w:rsidR="00505444" w:rsidRPr="00920634">
        <w:rPr>
          <w:rFonts w:asciiTheme="minorHAnsi" w:hAnsiTheme="minorHAnsi" w:cstheme="minorHAnsi"/>
          <w:b/>
        </w:rPr>
        <w:t xml:space="preserve">v účetnictví </w:t>
      </w:r>
      <w:r w:rsidRPr="00920634">
        <w:rPr>
          <w:rFonts w:asciiTheme="minorHAnsi" w:hAnsiTheme="minorHAnsi" w:cstheme="minorHAnsi"/>
          <w:b/>
        </w:rPr>
        <w:t xml:space="preserve">v letech 2011–2014 byla nejednoznačná </w:t>
      </w:r>
      <w:r w:rsidRPr="00920634">
        <w:rPr>
          <w:rFonts w:asciiTheme="minorHAnsi" w:hAnsiTheme="minorHAnsi" w:cstheme="minorHAnsi"/>
          <w:b/>
        </w:rPr>
        <w:lastRenderedPageBreak/>
        <w:t xml:space="preserve">ustanovení ČÚS č. 703 – </w:t>
      </w:r>
      <w:r w:rsidRPr="008D4CD3">
        <w:rPr>
          <w:rFonts w:asciiTheme="minorHAnsi" w:hAnsiTheme="minorHAnsi" w:cstheme="minorHAnsi"/>
          <w:b/>
          <w:i/>
        </w:rPr>
        <w:t>Transfery</w:t>
      </w:r>
      <w:r w:rsidRPr="00920634">
        <w:rPr>
          <w:rFonts w:asciiTheme="minorHAnsi" w:hAnsiTheme="minorHAnsi" w:cstheme="minorHAnsi"/>
        </w:rPr>
        <w:t xml:space="preserve"> vymezující role účetní jednotky při poskytování transferu, tj. systémový problém při aplikac</w:t>
      </w:r>
      <w:r w:rsidR="000559E1" w:rsidRPr="00920634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 účetní</w:t>
      </w:r>
      <w:r w:rsidR="006F296C">
        <w:rPr>
          <w:rFonts w:asciiTheme="minorHAnsi" w:hAnsiTheme="minorHAnsi" w:cstheme="minorHAnsi"/>
        </w:rPr>
        <w:t xml:space="preserve"> regulace</w:t>
      </w:r>
      <w:r w:rsidRPr="00920634">
        <w:rPr>
          <w:rFonts w:asciiTheme="minorHAnsi" w:hAnsiTheme="minorHAnsi" w:cstheme="minorHAnsi"/>
        </w:rPr>
        <w:t xml:space="preserve">. I když se obě ministerstva rozcházela v chápání rolí při poskytování transferů, </w:t>
      </w:r>
      <w:r w:rsidR="00B361FF" w:rsidRPr="00920634">
        <w:rPr>
          <w:rFonts w:asciiTheme="minorHAnsi" w:hAnsiTheme="minorHAnsi" w:cstheme="minorHAnsi"/>
        </w:rPr>
        <w:t xml:space="preserve">nelze s ohledem na nejasnost a nejednoznačnost ustanovení ČÚS č. 703 – </w:t>
      </w:r>
      <w:r w:rsidR="00B361FF" w:rsidRPr="008D4CD3">
        <w:rPr>
          <w:rFonts w:asciiTheme="minorHAnsi" w:hAnsiTheme="minorHAnsi" w:cstheme="minorHAnsi"/>
          <w:i/>
        </w:rPr>
        <w:t>Transfery</w:t>
      </w:r>
      <w:r w:rsidR="00B361FF" w:rsidRPr="00920634">
        <w:rPr>
          <w:rFonts w:asciiTheme="minorHAnsi" w:hAnsiTheme="minorHAnsi" w:cstheme="minorHAnsi"/>
        </w:rPr>
        <w:t xml:space="preserve"> některý z těchto přístupů v letech </w:t>
      </w:r>
      <w:r w:rsidRPr="00920634">
        <w:rPr>
          <w:rFonts w:asciiTheme="minorHAnsi" w:hAnsiTheme="minorHAnsi" w:cstheme="minorHAnsi"/>
        </w:rPr>
        <w:t xml:space="preserve">2010–2014 </w:t>
      </w:r>
      <w:r w:rsidR="00B361FF" w:rsidRPr="00920634">
        <w:rPr>
          <w:rFonts w:asciiTheme="minorHAnsi" w:hAnsiTheme="minorHAnsi" w:cstheme="minorHAnsi"/>
        </w:rPr>
        <w:t>označit za nesprávný</w:t>
      </w:r>
      <w:r w:rsidRPr="00920634">
        <w:rPr>
          <w:rFonts w:asciiTheme="minorHAnsi" w:hAnsiTheme="minorHAnsi" w:cstheme="minorHAnsi"/>
        </w:rPr>
        <w:t>.</w:t>
      </w:r>
      <w:r w:rsidR="00817ADD" w:rsidRPr="00920634">
        <w:rPr>
          <w:rFonts w:asciiTheme="minorHAnsi" w:hAnsiTheme="minorHAnsi" w:cstheme="minorHAnsi"/>
        </w:rPr>
        <w:t xml:space="preserve"> Rozdílný výklad však přirozeně vede k zásadní ne</w:t>
      </w:r>
      <w:r w:rsidRPr="00920634">
        <w:rPr>
          <w:rFonts w:asciiTheme="minorHAnsi" w:hAnsiTheme="minorHAnsi" w:cstheme="minorHAnsi"/>
        </w:rPr>
        <w:t>srovnatelnost</w:t>
      </w:r>
      <w:r w:rsidR="00DF2913" w:rsidRPr="00920634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 údajů</w:t>
      </w:r>
      <w:r w:rsidR="00817ADD" w:rsidRPr="00920634">
        <w:rPr>
          <w:rFonts w:asciiTheme="minorHAnsi" w:hAnsiTheme="minorHAnsi" w:cstheme="minorHAnsi"/>
        </w:rPr>
        <w:t xml:space="preserve"> o</w:t>
      </w:r>
      <w:r w:rsidR="00BE03F0" w:rsidRPr="00920634">
        <w:rPr>
          <w:rFonts w:asciiTheme="minorHAnsi" w:hAnsiTheme="minorHAnsi" w:cstheme="minorHAnsi"/>
        </w:rPr>
        <w:t> </w:t>
      </w:r>
      <w:r w:rsidR="00817ADD" w:rsidRPr="00920634">
        <w:rPr>
          <w:rFonts w:asciiTheme="minorHAnsi" w:hAnsiTheme="minorHAnsi" w:cstheme="minorHAnsi"/>
        </w:rPr>
        <w:t>předfinancovaných transferech mezi</w:t>
      </w:r>
      <w:r w:rsidRPr="00920634">
        <w:rPr>
          <w:rFonts w:asciiTheme="minorHAnsi" w:hAnsiTheme="minorHAnsi" w:cstheme="minorHAnsi"/>
        </w:rPr>
        <w:t xml:space="preserve"> těmito účetními jednotkami</w:t>
      </w:r>
      <w:r w:rsidR="00817ADD" w:rsidRPr="00920634">
        <w:rPr>
          <w:rFonts w:asciiTheme="minorHAnsi" w:hAnsiTheme="minorHAnsi" w:cstheme="minorHAnsi"/>
        </w:rPr>
        <w:t xml:space="preserve">, což </w:t>
      </w:r>
      <w:r w:rsidR="00265469" w:rsidRPr="00920634">
        <w:rPr>
          <w:rFonts w:asciiTheme="minorHAnsi" w:hAnsiTheme="minorHAnsi" w:cstheme="minorHAnsi"/>
        </w:rPr>
        <w:t xml:space="preserve">jim </w:t>
      </w:r>
      <w:r w:rsidR="00817ADD" w:rsidRPr="00920634">
        <w:rPr>
          <w:rFonts w:asciiTheme="minorHAnsi" w:hAnsiTheme="minorHAnsi" w:cstheme="minorHAnsi"/>
        </w:rPr>
        <w:t>však</w:t>
      </w:r>
      <w:r w:rsidRPr="00920634">
        <w:rPr>
          <w:rFonts w:asciiTheme="minorHAnsi" w:hAnsiTheme="minorHAnsi" w:cstheme="minorHAnsi"/>
        </w:rPr>
        <w:t xml:space="preserve"> nelze dávat k tíži.</w:t>
      </w:r>
    </w:p>
    <w:p w14:paraId="00F2CA1E" w14:textId="77777777" w:rsidR="0050336D" w:rsidRPr="00920634" w:rsidRDefault="0050336D" w:rsidP="00114439">
      <w:pPr>
        <w:jc w:val="both"/>
        <w:rPr>
          <w:rFonts w:asciiTheme="minorHAnsi" w:hAnsiTheme="minorHAnsi" w:cstheme="minorHAnsi"/>
        </w:rPr>
      </w:pPr>
    </w:p>
    <w:p w14:paraId="2BFB9FFE" w14:textId="551DE1B1" w:rsidR="0082314F" w:rsidRPr="00920634" w:rsidRDefault="0082314F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Z kontrol</w:t>
      </w:r>
      <w:r w:rsidR="00D833AC" w:rsidRPr="00920634">
        <w:rPr>
          <w:rFonts w:asciiTheme="minorHAnsi" w:hAnsiTheme="minorHAnsi" w:cstheme="minorHAnsi"/>
          <w:sz w:val="24"/>
        </w:rPr>
        <w:t>y</w:t>
      </w:r>
      <w:r w:rsidRPr="00920634">
        <w:rPr>
          <w:rFonts w:asciiTheme="minorHAnsi" w:hAnsiTheme="minorHAnsi" w:cstheme="minorHAnsi"/>
          <w:sz w:val="24"/>
        </w:rPr>
        <w:t xml:space="preserve"> vyplynulo, že pokud by MŠMT v roce 2014 přistupovalo k aplikaci Č</w:t>
      </w:r>
      <w:r w:rsidR="000559E1" w:rsidRPr="00920634">
        <w:rPr>
          <w:rFonts w:asciiTheme="minorHAnsi" w:hAnsiTheme="minorHAnsi" w:cstheme="minorHAnsi"/>
          <w:sz w:val="24"/>
        </w:rPr>
        <w:t>Ú</w:t>
      </w:r>
      <w:r w:rsidRPr="00920634">
        <w:rPr>
          <w:rFonts w:asciiTheme="minorHAnsi" w:hAnsiTheme="minorHAnsi" w:cstheme="minorHAnsi"/>
          <w:sz w:val="24"/>
        </w:rPr>
        <w:t xml:space="preserve">S </w:t>
      </w:r>
      <w:r w:rsidR="00F210BF">
        <w:rPr>
          <w:rFonts w:asciiTheme="minorHAnsi" w:hAnsiTheme="minorHAnsi" w:cstheme="minorHAnsi"/>
          <w:sz w:val="24"/>
        </w:rPr>
        <w:br/>
      </w:r>
      <w:r w:rsidRPr="00920634">
        <w:rPr>
          <w:rFonts w:asciiTheme="minorHAnsi" w:hAnsiTheme="minorHAnsi" w:cstheme="minorHAnsi"/>
          <w:sz w:val="24"/>
        </w:rPr>
        <w:t xml:space="preserve">č. 703 – </w:t>
      </w:r>
      <w:r w:rsidRPr="008D4CD3">
        <w:rPr>
          <w:rFonts w:asciiTheme="minorHAnsi" w:hAnsiTheme="minorHAnsi" w:cstheme="minorHAnsi"/>
          <w:i/>
          <w:sz w:val="24"/>
        </w:rPr>
        <w:t>Transfery</w:t>
      </w:r>
      <w:r w:rsidRPr="00920634">
        <w:rPr>
          <w:rFonts w:asciiTheme="minorHAnsi" w:hAnsiTheme="minorHAnsi" w:cstheme="minorHAnsi"/>
          <w:sz w:val="24"/>
        </w:rPr>
        <w:t xml:space="preserve"> i v případě předfinancované výše transferu jako poskytovatel a příjemce, a</w:t>
      </w:r>
      <w:r w:rsidR="00F210BF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 xml:space="preserve">nikoliv jako zprostředkovatel, pak by k 31. </w:t>
      </w:r>
      <w:r w:rsidR="00794C4D" w:rsidRPr="00920634">
        <w:rPr>
          <w:rFonts w:asciiTheme="minorHAnsi" w:hAnsiTheme="minorHAnsi" w:cstheme="minorHAnsi"/>
          <w:sz w:val="24"/>
        </w:rPr>
        <w:t>prosinci</w:t>
      </w:r>
      <w:r w:rsidRPr="00920634">
        <w:rPr>
          <w:rFonts w:asciiTheme="minorHAnsi" w:hAnsiTheme="minorHAnsi" w:cstheme="minorHAnsi"/>
          <w:sz w:val="24"/>
        </w:rPr>
        <w:t xml:space="preserve"> 2014 ve své účetní závěrce vykázalo údaj</w:t>
      </w:r>
      <w:r w:rsidR="007D7C01" w:rsidRPr="00920634">
        <w:rPr>
          <w:rFonts w:asciiTheme="minorHAnsi" w:hAnsiTheme="minorHAnsi" w:cstheme="minorHAnsi"/>
          <w:sz w:val="24"/>
        </w:rPr>
        <w:t>e o</w:t>
      </w:r>
      <w:r w:rsidR="00920634" w:rsidRPr="00920634">
        <w:rPr>
          <w:rFonts w:asciiTheme="minorHAnsi" w:hAnsiTheme="minorHAnsi" w:cstheme="minorHAnsi"/>
          <w:sz w:val="24"/>
        </w:rPr>
        <w:t> </w:t>
      </w:r>
      <w:r w:rsidR="007D7C01" w:rsidRPr="00920634">
        <w:rPr>
          <w:rFonts w:asciiTheme="minorHAnsi" w:hAnsiTheme="minorHAnsi" w:cstheme="minorHAnsi"/>
          <w:sz w:val="24"/>
        </w:rPr>
        <w:t xml:space="preserve">transferech spolufinancovaných ze zahraničí </w:t>
      </w:r>
      <w:r w:rsidRPr="00920634">
        <w:rPr>
          <w:rFonts w:asciiTheme="minorHAnsi" w:hAnsiTheme="minorHAnsi" w:cstheme="minorHAnsi"/>
          <w:sz w:val="24"/>
        </w:rPr>
        <w:t>dle následující</w:t>
      </w:r>
      <w:r w:rsidR="00635440" w:rsidRPr="00920634">
        <w:rPr>
          <w:rFonts w:asciiTheme="minorHAnsi" w:hAnsiTheme="minorHAnsi" w:cstheme="minorHAnsi"/>
          <w:sz w:val="24"/>
        </w:rPr>
        <w:t>h</w:t>
      </w:r>
      <w:r w:rsidR="004266D0" w:rsidRPr="00920634">
        <w:rPr>
          <w:rFonts w:asciiTheme="minorHAnsi" w:hAnsiTheme="minorHAnsi" w:cstheme="minorHAnsi"/>
          <w:sz w:val="24"/>
        </w:rPr>
        <w:t>o</w:t>
      </w:r>
      <w:r w:rsidR="00635440" w:rsidRPr="00920634">
        <w:rPr>
          <w:rFonts w:asciiTheme="minorHAnsi" w:hAnsiTheme="minorHAnsi" w:cstheme="minorHAnsi"/>
          <w:sz w:val="24"/>
        </w:rPr>
        <w:t xml:space="preserve"> graf</w:t>
      </w:r>
      <w:r w:rsidR="004266D0" w:rsidRPr="00920634">
        <w:rPr>
          <w:rFonts w:asciiTheme="minorHAnsi" w:hAnsiTheme="minorHAnsi" w:cstheme="minorHAnsi"/>
          <w:sz w:val="24"/>
        </w:rPr>
        <w:t>u</w:t>
      </w:r>
      <w:r w:rsidR="00635440" w:rsidRPr="00920634">
        <w:rPr>
          <w:rFonts w:asciiTheme="minorHAnsi" w:hAnsiTheme="minorHAnsi" w:cstheme="minorHAnsi"/>
          <w:sz w:val="24"/>
        </w:rPr>
        <w:t xml:space="preserve"> a zdrojové</w:t>
      </w:r>
      <w:r w:rsidRPr="00920634">
        <w:rPr>
          <w:rFonts w:asciiTheme="minorHAnsi" w:hAnsiTheme="minorHAnsi" w:cstheme="minorHAnsi"/>
          <w:sz w:val="24"/>
        </w:rPr>
        <w:t xml:space="preserve"> tabulky</w:t>
      </w:r>
      <w:r w:rsidR="00F210BF">
        <w:rPr>
          <w:rFonts w:asciiTheme="minorHAnsi" w:hAnsiTheme="minorHAnsi" w:cstheme="minorHAnsi"/>
          <w:sz w:val="24"/>
        </w:rPr>
        <w:t>.</w:t>
      </w:r>
    </w:p>
    <w:p w14:paraId="5AF2F4E9" w14:textId="77777777" w:rsidR="008A2314" w:rsidRPr="00920634" w:rsidRDefault="008A2314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20783F38" w14:textId="5A170F00" w:rsidR="00E0629C" w:rsidRPr="00920634" w:rsidRDefault="00F30E07" w:rsidP="008D4CD3">
      <w:pPr>
        <w:ind w:left="981" w:hanging="981"/>
        <w:rPr>
          <w:rFonts w:asciiTheme="minorHAnsi" w:hAnsiTheme="minorHAnsi" w:cstheme="minorHAnsi"/>
          <w:b/>
          <w:sz w:val="22"/>
          <w:szCs w:val="22"/>
        </w:rPr>
      </w:pPr>
      <w:r w:rsidRPr="00920634">
        <w:rPr>
          <w:rFonts w:asciiTheme="minorHAnsi" w:hAnsiTheme="minorHAnsi" w:cstheme="minorHAnsi"/>
          <w:b/>
          <w:sz w:val="22"/>
          <w:szCs w:val="22"/>
        </w:rPr>
        <w:t xml:space="preserve">Graf č. </w:t>
      </w:r>
      <w:r w:rsidR="004266D0" w:rsidRPr="00920634">
        <w:rPr>
          <w:rFonts w:asciiTheme="minorHAnsi" w:hAnsiTheme="minorHAnsi" w:cstheme="minorHAnsi"/>
          <w:b/>
          <w:sz w:val="22"/>
          <w:szCs w:val="22"/>
        </w:rPr>
        <w:t>2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– Srovnání vybraných údajů</w:t>
      </w:r>
      <w:r w:rsidR="00F210BF">
        <w:rPr>
          <w:rFonts w:asciiTheme="minorHAnsi" w:hAnsiTheme="minorHAnsi" w:cstheme="minorHAnsi"/>
          <w:b/>
          <w:sz w:val="22"/>
          <w:szCs w:val="22"/>
        </w:rPr>
        <w:t>, které MŠMT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CF1" w:rsidRPr="00920634">
        <w:rPr>
          <w:rFonts w:asciiTheme="minorHAnsi" w:hAnsiTheme="minorHAnsi" w:cstheme="minorHAnsi"/>
          <w:b/>
          <w:sz w:val="22"/>
          <w:szCs w:val="22"/>
        </w:rPr>
        <w:t>vykáza</w:t>
      </w:r>
      <w:r w:rsidR="00F210BF">
        <w:rPr>
          <w:rFonts w:asciiTheme="minorHAnsi" w:hAnsiTheme="minorHAnsi" w:cstheme="minorHAnsi"/>
          <w:b/>
          <w:sz w:val="22"/>
          <w:szCs w:val="22"/>
        </w:rPr>
        <w:t>lo</w:t>
      </w:r>
      <w:r w:rsidR="007A1CF1" w:rsidRPr="00920634">
        <w:rPr>
          <w:rFonts w:asciiTheme="minorHAnsi" w:hAnsiTheme="minorHAnsi" w:cstheme="minorHAnsi"/>
          <w:b/>
          <w:sz w:val="22"/>
          <w:szCs w:val="22"/>
        </w:rPr>
        <w:t xml:space="preserve"> o spolufinancovaných transferech v rámci 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účetní závěrky k 31. </w:t>
      </w:r>
      <w:r w:rsidR="00997B4D" w:rsidRPr="00920634">
        <w:rPr>
          <w:rFonts w:asciiTheme="minorHAnsi" w:hAnsiTheme="minorHAnsi" w:cstheme="minorHAnsi"/>
          <w:b/>
          <w:sz w:val="22"/>
          <w:szCs w:val="22"/>
        </w:rPr>
        <w:t>prosinci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2014 v roli zprostředkovatele</w:t>
      </w:r>
      <w:r w:rsidR="00F210BF">
        <w:rPr>
          <w:rFonts w:asciiTheme="minorHAnsi" w:hAnsiTheme="minorHAnsi" w:cstheme="minorHAnsi"/>
          <w:b/>
          <w:sz w:val="22"/>
          <w:szCs w:val="22"/>
        </w:rPr>
        <w:t>, a údajů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, které by MŠMT </w:t>
      </w:r>
      <w:r w:rsidR="007A1CF1" w:rsidRPr="00920634">
        <w:rPr>
          <w:rFonts w:asciiTheme="minorHAnsi" w:hAnsiTheme="minorHAnsi" w:cstheme="minorHAnsi"/>
          <w:b/>
          <w:sz w:val="22"/>
          <w:szCs w:val="22"/>
        </w:rPr>
        <w:t xml:space="preserve">o spolufinancovaných transferech 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vykázalo v roli </w:t>
      </w:r>
      <w:r w:rsidR="007A1CF1" w:rsidRPr="00920634">
        <w:rPr>
          <w:rFonts w:asciiTheme="minorHAnsi" w:hAnsiTheme="minorHAnsi" w:cstheme="minorHAnsi"/>
          <w:b/>
          <w:sz w:val="22"/>
          <w:szCs w:val="22"/>
        </w:rPr>
        <w:t xml:space="preserve">poskytovatele a příjemce </w:t>
      </w:r>
      <w:r w:rsidRPr="00920634">
        <w:rPr>
          <w:rFonts w:asciiTheme="minorHAnsi" w:hAnsiTheme="minorHAnsi" w:cstheme="minorHAnsi"/>
          <w:b/>
          <w:sz w:val="22"/>
          <w:szCs w:val="22"/>
        </w:rPr>
        <w:t>transfer</w:t>
      </w:r>
      <w:r w:rsidR="00F210BF">
        <w:rPr>
          <w:rFonts w:asciiTheme="minorHAnsi" w:hAnsiTheme="minorHAnsi" w:cstheme="minorHAnsi"/>
          <w:b/>
          <w:sz w:val="22"/>
          <w:szCs w:val="22"/>
        </w:rPr>
        <w:t>ů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(v </w:t>
      </w:r>
      <w:r w:rsidR="00163249" w:rsidRPr="00920634">
        <w:rPr>
          <w:rFonts w:asciiTheme="minorHAnsi" w:hAnsiTheme="minorHAnsi" w:cstheme="minorHAnsi"/>
          <w:b/>
          <w:sz w:val="22"/>
          <w:szCs w:val="22"/>
        </w:rPr>
        <w:t xml:space="preserve">mld. </w:t>
      </w:r>
      <w:r w:rsidRPr="00920634">
        <w:rPr>
          <w:rFonts w:asciiTheme="minorHAnsi" w:hAnsiTheme="minorHAnsi" w:cstheme="minorHAnsi"/>
          <w:b/>
          <w:sz w:val="22"/>
          <w:szCs w:val="22"/>
        </w:rPr>
        <w:t>Kč</w:t>
      </w:r>
      <w:r w:rsidR="00163249" w:rsidRPr="00920634">
        <w:rPr>
          <w:rFonts w:asciiTheme="minorHAnsi" w:hAnsiTheme="minorHAnsi" w:cstheme="minorHAnsi"/>
          <w:b/>
          <w:sz w:val="22"/>
          <w:szCs w:val="22"/>
        </w:rPr>
        <w:t>)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="00F210BF">
        <w:rPr>
          <w:rFonts w:asciiTheme="minorHAnsi" w:hAnsiTheme="minorHAnsi" w:cstheme="minorHAnsi"/>
          <w:b/>
          <w:sz w:val="22"/>
          <w:szCs w:val="22"/>
        </w:rPr>
        <w:t xml:space="preserve">doplněno o </w:t>
      </w:r>
      <w:r w:rsidRPr="00920634">
        <w:rPr>
          <w:rFonts w:asciiTheme="minorHAnsi" w:hAnsiTheme="minorHAnsi" w:cstheme="minorHAnsi"/>
          <w:b/>
          <w:sz w:val="22"/>
          <w:szCs w:val="22"/>
        </w:rPr>
        <w:t>zdrojov</w:t>
      </w:r>
      <w:r w:rsidR="00F210BF">
        <w:rPr>
          <w:rFonts w:asciiTheme="minorHAnsi" w:hAnsiTheme="minorHAnsi" w:cstheme="minorHAnsi"/>
          <w:b/>
          <w:sz w:val="22"/>
          <w:szCs w:val="22"/>
        </w:rPr>
        <w:t>ou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tabulk</w:t>
      </w:r>
      <w:r w:rsidR="00F210BF">
        <w:rPr>
          <w:rFonts w:asciiTheme="minorHAnsi" w:hAnsiTheme="minorHAnsi" w:cstheme="minorHAnsi"/>
          <w:b/>
          <w:sz w:val="22"/>
          <w:szCs w:val="22"/>
        </w:rPr>
        <w:t>u</w:t>
      </w:r>
      <w:r w:rsidRPr="00920634">
        <w:rPr>
          <w:rFonts w:asciiTheme="minorHAnsi" w:hAnsiTheme="minorHAnsi" w:cstheme="minorHAnsi"/>
          <w:b/>
          <w:sz w:val="22"/>
          <w:szCs w:val="22"/>
        </w:rPr>
        <w:t xml:space="preserve"> údajů</w:t>
      </w:r>
    </w:p>
    <w:p w14:paraId="72093FB4" w14:textId="7927CF05" w:rsidR="00F30E07" w:rsidRDefault="00F30E07" w:rsidP="00114439">
      <w:pPr>
        <w:jc w:val="both"/>
        <w:rPr>
          <w:rFonts w:asciiTheme="minorHAnsi" w:hAnsiTheme="minorHAnsi" w:cstheme="minorHAnsi"/>
          <w:noProof/>
          <w:lang w:eastAsia="cs-CZ"/>
        </w:rPr>
      </w:pPr>
    </w:p>
    <w:p w14:paraId="54C8C514" w14:textId="4BC2B2E0" w:rsidR="001A33FB" w:rsidRDefault="001A33FB" w:rsidP="00114439">
      <w:pPr>
        <w:jc w:val="both"/>
        <w:rPr>
          <w:rFonts w:asciiTheme="minorHAnsi" w:hAnsiTheme="minorHAnsi" w:cstheme="minorHAnsi"/>
          <w:noProof/>
          <w:lang w:eastAsia="cs-CZ"/>
        </w:rPr>
      </w:pPr>
      <w:r w:rsidRPr="00D41EEB">
        <w:rPr>
          <w:noProof/>
          <w:lang w:eastAsia="cs-CZ"/>
        </w:rPr>
        <w:drawing>
          <wp:inline distT="0" distB="0" distL="0" distR="0" wp14:anchorId="6F1601D1" wp14:editId="57B386B5">
            <wp:extent cx="5760720" cy="189526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223"/>
        <w:gridCol w:w="2045"/>
        <w:gridCol w:w="1559"/>
        <w:gridCol w:w="790"/>
      </w:tblGrid>
      <w:tr w:rsidR="007A1CF1" w:rsidRPr="00920634" w14:paraId="023F2B48" w14:textId="77777777" w:rsidTr="0039481B">
        <w:trPr>
          <w:trHeight w:val="332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114F5791" w14:textId="77777777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Položka účetní závěrky</w:t>
            </w:r>
          </w:p>
          <w:p w14:paraId="4192CCD7" w14:textId="77777777" w:rsidR="007A1CF1" w:rsidRPr="00920634" w:rsidRDefault="007A1CF1" w:rsidP="00114439">
            <w:pPr>
              <w:pStyle w:val="NormlnKZ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shd w:val="clear" w:color="auto" w:fill="D9D9D9" w:themeFill="background1" w:themeFillShade="D9"/>
            <w:vAlign w:val="center"/>
          </w:tcPr>
          <w:p w14:paraId="3C2B0C21" w14:textId="28DEB5E7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Část týkající se transferů spolufinancovaných ze zahraničí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A7D25CE" w14:textId="0465B3B7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Rozdíl (</w:t>
            </w:r>
            <w:r w:rsidR="008D073A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Kč)</w:t>
            </w:r>
          </w:p>
        </w:tc>
        <w:tc>
          <w:tcPr>
            <w:tcW w:w="790" w:type="dxa"/>
            <w:vMerge w:val="restart"/>
            <w:shd w:val="clear" w:color="auto" w:fill="D9D9D9" w:themeFill="background1" w:themeFillShade="D9"/>
            <w:vAlign w:val="center"/>
          </w:tcPr>
          <w:p w14:paraId="0E20252F" w14:textId="3C2475A2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Změna</w:t>
            </w:r>
          </w:p>
        </w:tc>
      </w:tr>
      <w:tr w:rsidR="007A1CF1" w:rsidRPr="00920634" w14:paraId="69C7EE0F" w14:textId="77777777" w:rsidTr="00D17957">
        <w:trPr>
          <w:trHeight w:val="761"/>
        </w:trPr>
        <w:tc>
          <w:tcPr>
            <w:tcW w:w="2563" w:type="dxa"/>
            <w:vMerge/>
            <w:shd w:val="clear" w:color="auto" w:fill="D9D9D9" w:themeFill="background1" w:themeFillShade="D9"/>
            <w:vAlign w:val="center"/>
          </w:tcPr>
          <w:p w14:paraId="67DDD21A" w14:textId="5CDE48FB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43D21712" w14:textId="04482C34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Zůstatek skutečně vykázaný (</w:t>
            </w:r>
            <w:r w:rsidR="008D073A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Kč)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DCBEF65" w14:textId="21C5B05F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Zůstatek, který by byl vykázán </w:t>
            </w:r>
            <w:r w:rsidR="00F210B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při použití </w:t>
            </w: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  <w:r w:rsidR="00F210BF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poskytovatele a příjemce transferu (</w:t>
            </w:r>
            <w:r w:rsidR="008D073A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>Kč)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3ABD813" w14:textId="4CD966EA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0" w:type="dxa"/>
            <w:vMerge/>
            <w:shd w:val="clear" w:color="auto" w:fill="D9D9D9" w:themeFill="background1" w:themeFillShade="D9"/>
            <w:vAlign w:val="center"/>
          </w:tcPr>
          <w:p w14:paraId="328D1769" w14:textId="03BB1BC1" w:rsidR="007A1CF1" w:rsidRPr="00920634" w:rsidRDefault="007A1CF1" w:rsidP="00114439">
            <w:pPr>
              <w:pStyle w:val="NormlnKZ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30E07" w:rsidRPr="00920634" w14:paraId="252F74B9" w14:textId="77777777" w:rsidTr="0039481B">
        <w:tc>
          <w:tcPr>
            <w:tcW w:w="2563" w:type="dxa"/>
          </w:tcPr>
          <w:p w14:paraId="3604AA43" w14:textId="77777777" w:rsidR="00F30E07" w:rsidRPr="00920634" w:rsidRDefault="00F30E07" w:rsidP="008D4CD3">
            <w:pPr>
              <w:pStyle w:val="NormlnKZ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AKTIVA: 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 xml:space="preserve">účet 471 – </w:t>
            </w:r>
            <w:r w:rsidRPr="00920634">
              <w:rPr>
                <w:rFonts w:asciiTheme="minorHAnsi" w:hAnsiTheme="minorHAnsi" w:cstheme="minorHAnsi"/>
                <w:i/>
                <w:sz w:val="16"/>
                <w:szCs w:val="16"/>
              </w:rPr>
              <w:t>Dlouhodobé poskytnuté zálohy na transfery</w:t>
            </w:r>
          </w:p>
        </w:tc>
        <w:tc>
          <w:tcPr>
            <w:tcW w:w="2223" w:type="dxa"/>
            <w:vAlign w:val="center"/>
          </w:tcPr>
          <w:p w14:paraId="6C04ACFF" w14:textId="4FFB30EB" w:rsidR="00F30E07" w:rsidRPr="00920634" w:rsidRDefault="00377EC2" w:rsidP="008D4CD3">
            <w:pPr>
              <w:pStyle w:val="NormlnKZ"/>
              <w:spacing w:after="0"/>
              <w:ind w:right="57" w:hanging="3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22 922 499 889,35</w:t>
            </w:r>
          </w:p>
        </w:tc>
        <w:tc>
          <w:tcPr>
            <w:tcW w:w="2045" w:type="dxa"/>
            <w:vAlign w:val="center"/>
          </w:tcPr>
          <w:p w14:paraId="0A6D989E" w14:textId="72908794" w:rsidR="00F30E07" w:rsidRPr="00920634" w:rsidRDefault="00377EC2" w:rsidP="008D4CD3">
            <w:pPr>
              <w:pStyle w:val="NormlnKZ"/>
              <w:spacing w:after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77 811 348 037,69</w:t>
            </w:r>
          </w:p>
        </w:tc>
        <w:tc>
          <w:tcPr>
            <w:tcW w:w="1559" w:type="dxa"/>
            <w:vAlign w:val="center"/>
          </w:tcPr>
          <w:p w14:paraId="2984A11E" w14:textId="0B5A070F" w:rsidR="00F30E07" w:rsidRPr="00920634" w:rsidRDefault="00F30E07" w:rsidP="008D4CD3">
            <w:pPr>
              <w:pStyle w:val="NormlnKZ"/>
              <w:spacing w:after="0"/>
              <w:ind w:right="57" w:firstLine="34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54 888 848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,34</w:t>
            </w:r>
          </w:p>
        </w:tc>
        <w:tc>
          <w:tcPr>
            <w:tcW w:w="790" w:type="dxa"/>
            <w:vAlign w:val="center"/>
          </w:tcPr>
          <w:p w14:paraId="6025CCD2" w14:textId="380BF245" w:rsidR="00F30E07" w:rsidRPr="00920634" w:rsidRDefault="00F30E07" w:rsidP="00114439">
            <w:pPr>
              <w:pStyle w:val="NormlnKZ"/>
              <w:spacing w:after="0"/>
              <w:ind w:firstLine="2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+23</w:t>
            </w:r>
            <w:r w:rsidR="009C2A2A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F30E07" w:rsidRPr="00920634" w14:paraId="2936A710" w14:textId="77777777" w:rsidTr="0039481B">
        <w:tc>
          <w:tcPr>
            <w:tcW w:w="2563" w:type="dxa"/>
          </w:tcPr>
          <w:p w14:paraId="289DAE48" w14:textId="77777777" w:rsidR="00F30E07" w:rsidRPr="00920634" w:rsidRDefault="00F30E07" w:rsidP="008D4CD3">
            <w:pPr>
              <w:pStyle w:val="NormlnKZ"/>
              <w:spacing w:after="0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PASIVA: 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 xml:space="preserve">účet 389 – </w:t>
            </w:r>
            <w:r w:rsidRPr="00920634">
              <w:rPr>
                <w:rFonts w:asciiTheme="minorHAnsi" w:hAnsiTheme="minorHAnsi" w:cstheme="minorHAnsi"/>
                <w:i/>
                <w:sz w:val="16"/>
                <w:szCs w:val="16"/>
              </w:rPr>
              <w:t>Dohadné účty pasivní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14:paraId="4433C82A" w14:textId="3D5A1F07" w:rsidR="00F30E07" w:rsidRPr="00920634" w:rsidRDefault="00F30E07" w:rsidP="008D4CD3">
            <w:pPr>
              <w:pStyle w:val="NormlnKZ"/>
              <w:spacing w:after="0"/>
              <w:ind w:right="57" w:firstLine="3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</w:t>
            </w:r>
            <w:r w:rsidR="00377EC2"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640 374 256</w:t>
            </w:r>
            <w:r w:rsidR="00F210B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</w:t>
            </w:r>
            <w:r w:rsidR="00377EC2" w:rsidRPr="0092063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45" w:type="dxa"/>
            <w:vAlign w:val="center"/>
          </w:tcPr>
          <w:p w14:paraId="1192BC17" w14:textId="527E2B04" w:rsidR="00F30E07" w:rsidRPr="00920634" w:rsidRDefault="00F30E07" w:rsidP="008D4CD3">
            <w:pPr>
              <w:pStyle w:val="NormlnKZ"/>
              <w:spacing w:after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77 810 950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284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,96</w:t>
            </w:r>
          </w:p>
        </w:tc>
        <w:tc>
          <w:tcPr>
            <w:tcW w:w="1559" w:type="dxa"/>
            <w:vAlign w:val="center"/>
          </w:tcPr>
          <w:p w14:paraId="4546871C" w14:textId="4D451E35" w:rsidR="00F30E07" w:rsidRPr="00920634" w:rsidRDefault="00F30E07" w:rsidP="008D4CD3">
            <w:pPr>
              <w:pStyle w:val="NormlnKZ"/>
              <w:spacing w:after="0"/>
              <w:ind w:right="57" w:hanging="10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65 170 576</w:t>
            </w:r>
            <w:r w:rsidR="008A3158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  <w:r w:rsidR="008A3158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,40</w:t>
            </w:r>
          </w:p>
        </w:tc>
        <w:tc>
          <w:tcPr>
            <w:tcW w:w="790" w:type="dxa"/>
            <w:vAlign w:val="center"/>
          </w:tcPr>
          <w:p w14:paraId="3DBA2553" w14:textId="456520D7" w:rsidR="00F30E07" w:rsidRPr="00920634" w:rsidRDefault="00F30E07" w:rsidP="00114439">
            <w:pPr>
              <w:pStyle w:val="NormlnKZ"/>
              <w:spacing w:after="0"/>
              <w:ind w:firstLine="25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+515 %</w:t>
            </w:r>
          </w:p>
        </w:tc>
      </w:tr>
      <w:tr w:rsidR="00F30E07" w:rsidRPr="00920634" w14:paraId="54801055" w14:textId="77777777" w:rsidTr="0039481B">
        <w:tc>
          <w:tcPr>
            <w:tcW w:w="2563" w:type="dxa"/>
          </w:tcPr>
          <w:p w14:paraId="30B3D659" w14:textId="77777777" w:rsidR="00F30E07" w:rsidRPr="00920634" w:rsidRDefault="00F30E07" w:rsidP="008D4CD3">
            <w:pPr>
              <w:pStyle w:val="NormlnKZ"/>
              <w:spacing w:after="0"/>
              <w:ind w:firstLine="0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NÁKLADY: 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 xml:space="preserve">účet 571 – </w:t>
            </w:r>
            <w:r w:rsidRPr="00920634">
              <w:rPr>
                <w:rFonts w:asciiTheme="minorHAnsi" w:hAnsiTheme="minorHAnsi" w:cstheme="minorHAnsi"/>
                <w:i/>
                <w:sz w:val="16"/>
                <w:szCs w:val="16"/>
              </w:rPr>
              <w:t>Náklady vybraných ústředních vládních institucí na transfery</w:t>
            </w:r>
          </w:p>
        </w:tc>
        <w:tc>
          <w:tcPr>
            <w:tcW w:w="2223" w:type="dxa"/>
            <w:vAlign w:val="center"/>
          </w:tcPr>
          <w:p w14:paraId="7E32DD62" w14:textId="6FA4A45A" w:rsidR="00F30E07" w:rsidRPr="00920634" w:rsidRDefault="00F30E07" w:rsidP="008D4CD3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3 489 084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965</w:t>
            </w:r>
            <w:r w:rsidR="00377EC2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,20</w:t>
            </w:r>
          </w:p>
        </w:tc>
        <w:tc>
          <w:tcPr>
            <w:tcW w:w="2045" w:type="dxa"/>
            <w:vAlign w:val="center"/>
          </w:tcPr>
          <w:p w14:paraId="0063FCA1" w14:textId="1A420D61" w:rsidR="00F30E07" w:rsidRPr="00920634" w:rsidRDefault="00F30E07" w:rsidP="008D4CD3">
            <w:pPr>
              <w:pStyle w:val="NormlnKZ"/>
              <w:spacing w:after="0"/>
              <w:ind w:right="-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>18 071 387</w:t>
            </w:r>
            <w:r w:rsidR="008A3158" w:rsidRPr="0092063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>961</w:t>
            </w:r>
            <w:r w:rsidR="008A3158" w:rsidRPr="00920634">
              <w:rPr>
                <w:rFonts w:asciiTheme="minorHAnsi" w:hAnsiTheme="minorHAnsi" w:cstheme="minorHAnsi"/>
                <w:sz w:val="16"/>
                <w:szCs w:val="16"/>
              </w:rPr>
              <w:t>,80</w:t>
            </w: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16DF61EA" w14:textId="7307FF4D" w:rsidR="00F30E07" w:rsidRPr="00920634" w:rsidRDefault="00F30E07" w:rsidP="008D4CD3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14 582 302</w:t>
            </w:r>
            <w:r w:rsidR="008A3158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996</w:t>
            </w:r>
            <w:r w:rsidR="008A3158"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,60</w:t>
            </w:r>
          </w:p>
        </w:tc>
        <w:tc>
          <w:tcPr>
            <w:tcW w:w="790" w:type="dxa"/>
            <w:vAlign w:val="center"/>
          </w:tcPr>
          <w:p w14:paraId="12BC150B" w14:textId="53A9B504" w:rsidR="00F30E07" w:rsidRPr="00920634" w:rsidRDefault="00F30E07" w:rsidP="00114439">
            <w:pPr>
              <w:pStyle w:val="NormlnKZ"/>
              <w:spacing w:after="0"/>
              <w:ind w:firstLine="25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20634">
              <w:rPr>
                <w:rFonts w:asciiTheme="minorHAnsi" w:hAnsiTheme="minorHAnsi" w:cstheme="minorHAnsi"/>
                <w:sz w:val="16"/>
                <w:szCs w:val="16"/>
              </w:rPr>
              <w:t>+417 %</w:t>
            </w:r>
          </w:p>
        </w:tc>
      </w:tr>
    </w:tbl>
    <w:p w14:paraId="782E39BA" w14:textId="77777777" w:rsidR="00445F18" w:rsidRDefault="00445F18" w:rsidP="008D4CD3">
      <w:pPr>
        <w:pStyle w:val="NormlnKZ"/>
        <w:spacing w:after="0"/>
        <w:ind w:left="567" w:hanging="567"/>
        <w:rPr>
          <w:rFonts w:asciiTheme="minorHAnsi" w:hAnsiTheme="minorHAnsi" w:cstheme="minorHAnsi"/>
          <w:b/>
          <w:sz w:val="20"/>
          <w:szCs w:val="20"/>
        </w:rPr>
      </w:pPr>
    </w:p>
    <w:p w14:paraId="00C39C7B" w14:textId="7545E365" w:rsidR="009D0C80" w:rsidRDefault="009D0C80" w:rsidP="008D4CD3">
      <w:pPr>
        <w:pStyle w:val="NormlnKZ"/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716682">
        <w:rPr>
          <w:rFonts w:asciiTheme="minorHAnsi" w:hAnsiTheme="minorHAnsi" w:cstheme="minorHAnsi"/>
          <w:b/>
          <w:sz w:val="20"/>
          <w:szCs w:val="20"/>
        </w:rPr>
        <w:t>Zdroj:</w:t>
      </w:r>
      <w:r w:rsidRPr="00920634">
        <w:rPr>
          <w:rFonts w:asciiTheme="minorHAnsi" w:hAnsiTheme="minorHAnsi" w:cstheme="minorHAnsi"/>
          <w:sz w:val="20"/>
          <w:szCs w:val="20"/>
        </w:rPr>
        <w:t xml:space="preserve"> účetní deník MŠMT za rok 2014, informace od MŠMT k zůstatku účtu 471, účetní doklady roku 2015 o přeúčtování zůstatků účtů 471 a 389 z titulu změny role při poskytování transfer</w:t>
      </w:r>
      <w:r>
        <w:rPr>
          <w:rFonts w:asciiTheme="minorHAnsi" w:hAnsiTheme="minorHAnsi" w:cstheme="minorHAnsi"/>
          <w:sz w:val="20"/>
          <w:szCs w:val="20"/>
        </w:rPr>
        <w:t>ů</w:t>
      </w:r>
      <w:r w:rsidRPr="00920634">
        <w:rPr>
          <w:rFonts w:asciiTheme="minorHAnsi" w:hAnsiTheme="minorHAnsi" w:cstheme="minorHAnsi"/>
          <w:sz w:val="20"/>
          <w:szCs w:val="20"/>
        </w:rPr>
        <w:t>.</w:t>
      </w:r>
    </w:p>
    <w:p w14:paraId="4FFF67E6" w14:textId="528E6292" w:rsidR="00F30E07" w:rsidRPr="007E28AF" w:rsidRDefault="00F30E07" w:rsidP="008D4CD3">
      <w:pPr>
        <w:pStyle w:val="NormlnKZ"/>
        <w:spacing w:after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E28AF">
        <w:rPr>
          <w:rFonts w:asciiTheme="minorHAnsi" w:hAnsiTheme="minorHAnsi" w:cstheme="minorHAnsi"/>
          <w:sz w:val="20"/>
          <w:szCs w:val="20"/>
        </w:rPr>
        <w:t xml:space="preserve">* </w:t>
      </w:r>
      <w:r w:rsidR="00F210BF">
        <w:rPr>
          <w:rFonts w:asciiTheme="minorHAnsi" w:hAnsiTheme="minorHAnsi" w:cstheme="minorHAnsi"/>
          <w:sz w:val="20"/>
          <w:szCs w:val="20"/>
        </w:rPr>
        <w:tab/>
        <w:t>S</w:t>
      </w:r>
      <w:r w:rsidRPr="007E28AF">
        <w:rPr>
          <w:rFonts w:asciiTheme="minorHAnsi" w:hAnsiTheme="minorHAnsi" w:cstheme="minorHAnsi"/>
          <w:sz w:val="20"/>
          <w:szCs w:val="20"/>
        </w:rPr>
        <w:t xml:space="preserve">oučet částky 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9D0C8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489</w:t>
      </w:r>
      <w:r w:rsidR="009D0C8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084</w:t>
      </w:r>
      <w:r w:rsidR="00377EC2" w:rsidRPr="007E28A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965</w:t>
      </w:r>
      <w:r w:rsidR="00377EC2" w:rsidRPr="007E28AF">
        <w:rPr>
          <w:rFonts w:asciiTheme="minorHAnsi" w:hAnsiTheme="minorHAnsi" w:cstheme="minorHAnsi"/>
          <w:color w:val="000000"/>
          <w:sz w:val="20"/>
          <w:szCs w:val="20"/>
        </w:rPr>
        <w:t>,20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D0C80">
        <w:rPr>
          <w:rFonts w:asciiTheme="minorHAnsi" w:hAnsiTheme="minorHAnsi" w:cstheme="minorHAnsi"/>
          <w:color w:val="000000"/>
          <w:sz w:val="20"/>
          <w:szCs w:val="20"/>
        </w:rPr>
        <w:t xml:space="preserve">Kč 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(zůstatek </w:t>
      </w:r>
      <w:r w:rsidR="009D0C80"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vykázaný 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k 31. </w:t>
      </w:r>
      <w:r w:rsidR="00997B4D" w:rsidRPr="007E28AF">
        <w:rPr>
          <w:rFonts w:asciiTheme="minorHAnsi" w:hAnsiTheme="minorHAnsi" w:cstheme="minorHAnsi"/>
          <w:color w:val="000000"/>
          <w:sz w:val="20"/>
          <w:szCs w:val="20"/>
        </w:rPr>
        <w:t>prosinci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 2014 ve vztahu k prostředkům ze zahraničí) a</w:t>
      </w:r>
      <w:r w:rsidR="007E28AF" w:rsidRPr="007E28A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14</w:t>
      </w:r>
      <w:r w:rsidR="008A3158" w:rsidRPr="007E28A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582</w:t>
      </w:r>
      <w:r w:rsidR="008A3158" w:rsidRPr="007E28A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302</w:t>
      </w:r>
      <w:r w:rsidR="008A3158" w:rsidRPr="007E28A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996</w:t>
      </w:r>
      <w:r w:rsidR="008A3158" w:rsidRPr="007E28AF">
        <w:rPr>
          <w:rFonts w:asciiTheme="minorHAnsi" w:hAnsiTheme="minorHAnsi" w:cstheme="minorHAnsi"/>
          <w:color w:val="000000"/>
          <w:sz w:val="20"/>
          <w:szCs w:val="20"/>
        </w:rPr>
        <w:t>,60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 Kč (transferové výdaje MŠMT </w:t>
      </w:r>
      <w:r w:rsidR="008D073A">
        <w:rPr>
          <w:rFonts w:asciiTheme="minorHAnsi" w:hAnsiTheme="minorHAnsi" w:cstheme="minorHAnsi"/>
          <w:color w:val="000000"/>
          <w:sz w:val="20"/>
          <w:szCs w:val="20"/>
        </w:rPr>
        <w:t>s 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>nenulovým kódem nástroje za rok 2014 zatříděné rozpočtovou skladbou jako „výdaje ze zahraničních zdrojů“; o těchto výdajích účtovalo MŠMT bez zachycení nákladů, tj. jako zprostředkovatel)</w:t>
      </w:r>
      <w:r w:rsidR="0071668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E28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2EEB95" w14:textId="30923D49" w:rsidR="00AD561D" w:rsidRDefault="00AD561D" w:rsidP="001144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A3C5D3" w14:textId="77777777" w:rsidR="00E52642" w:rsidRPr="00920634" w:rsidRDefault="00E52642" w:rsidP="001144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8AE286" w14:textId="7AE28443" w:rsidR="00ED7468" w:rsidRDefault="004266D0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 grafu </w:t>
      </w:r>
      <w:r w:rsidR="00AD561D" w:rsidRPr="00920634">
        <w:rPr>
          <w:rFonts w:asciiTheme="minorHAnsi" w:hAnsiTheme="minorHAnsi" w:cstheme="minorHAnsi"/>
        </w:rPr>
        <w:t xml:space="preserve">vyplývá, že různá volba role při poskytování transferu dle ČÚS č. 703 – </w:t>
      </w:r>
      <w:r w:rsidR="00AD561D" w:rsidRPr="008D4CD3">
        <w:rPr>
          <w:rFonts w:asciiTheme="minorHAnsi" w:hAnsiTheme="minorHAnsi" w:cstheme="minorHAnsi"/>
          <w:i/>
        </w:rPr>
        <w:t>Transfery</w:t>
      </w:r>
      <w:r w:rsidR="00AD561D" w:rsidRPr="00920634">
        <w:rPr>
          <w:rFonts w:asciiTheme="minorHAnsi" w:hAnsiTheme="minorHAnsi" w:cstheme="minorHAnsi"/>
        </w:rPr>
        <w:t xml:space="preserve"> vede</w:t>
      </w:r>
      <w:r w:rsidR="00E52642">
        <w:rPr>
          <w:rFonts w:asciiTheme="minorHAnsi" w:hAnsiTheme="minorHAnsi" w:cstheme="minorHAnsi"/>
        </w:rPr>
        <w:t xml:space="preserve"> </w:t>
      </w:r>
      <w:r w:rsidR="00AD561D" w:rsidRPr="00920634">
        <w:rPr>
          <w:rFonts w:asciiTheme="minorHAnsi" w:hAnsiTheme="minorHAnsi" w:cstheme="minorHAnsi"/>
        </w:rPr>
        <w:t>k</w:t>
      </w:r>
      <w:r w:rsidR="00E52642">
        <w:rPr>
          <w:rFonts w:asciiTheme="minorHAnsi" w:hAnsiTheme="minorHAnsi" w:cstheme="minorHAnsi"/>
        </w:rPr>
        <w:t> </w:t>
      </w:r>
      <w:r w:rsidR="00AD561D" w:rsidRPr="00920634">
        <w:rPr>
          <w:rFonts w:asciiTheme="minorHAnsi" w:hAnsiTheme="minorHAnsi" w:cstheme="minorHAnsi"/>
        </w:rPr>
        <w:t xml:space="preserve">zásadně odlišnému dopadu na vykázané údaje účetní závěrky. Obraz o hospodaření se </w:t>
      </w:r>
      <w:r w:rsidR="00AD561D" w:rsidRPr="00920634">
        <w:rPr>
          <w:rFonts w:asciiTheme="minorHAnsi" w:hAnsiTheme="minorHAnsi" w:cstheme="minorHAnsi"/>
        </w:rPr>
        <w:lastRenderedPageBreak/>
        <w:t>spolufinancovanými transfery</w:t>
      </w:r>
      <w:r w:rsidR="009D0C80">
        <w:rPr>
          <w:rFonts w:asciiTheme="minorHAnsi" w:hAnsiTheme="minorHAnsi" w:cstheme="minorHAnsi"/>
        </w:rPr>
        <w:t>, jak ho podává účetní závěrka,</w:t>
      </w:r>
      <w:r w:rsidR="00AD561D" w:rsidRPr="00920634">
        <w:rPr>
          <w:rFonts w:asciiTheme="minorHAnsi" w:hAnsiTheme="minorHAnsi" w:cstheme="minorHAnsi"/>
        </w:rPr>
        <w:t xml:space="preserve"> je tak mimořádně citlivý na to, </w:t>
      </w:r>
      <w:r w:rsidR="009D0C80">
        <w:rPr>
          <w:rFonts w:asciiTheme="minorHAnsi" w:hAnsiTheme="minorHAnsi" w:cstheme="minorHAnsi"/>
        </w:rPr>
        <w:t>s </w:t>
      </w:r>
      <w:r w:rsidR="00AD561D" w:rsidRPr="00920634">
        <w:rPr>
          <w:rFonts w:asciiTheme="minorHAnsi" w:hAnsiTheme="minorHAnsi" w:cstheme="minorHAnsi"/>
        </w:rPr>
        <w:t>jak</w:t>
      </w:r>
      <w:r w:rsidR="009D0C80">
        <w:rPr>
          <w:rFonts w:asciiTheme="minorHAnsi" w:hAnsiTheme="minorHAnsi" w:cstheme="minorHAnsi"/>
        </w:rPr>
        <w:t>ou</w:t>
      </w:r>
      <w:r w:rsidR="00AD561D" w:rsidRPr="00920634">
        <w:rPr>
          <w:rFonts w:asciiTheme="minorHAnsi" w:hAnsiTheme="minorHAnsi" w:cstheme="minorHAnsi"/>
        </w:rPr>
        <w:t xml:space="preserve"> rol</w:t>
      </w:r>
      <w:r w:rsidR="009D0C80">
        <w:rPr>
          <w:rFonts w:asciiTheme="minorHAnsi" w:hAnsiTheme="minorHAnsi" w:cstheme="minorHAnsi"/>
        </w:rPr>
        <w:t>í</w:t>
      </w:r>
      <w:r w:rsidR="00AD561D" w:rsidRPr="00920634">
        <w:rPr>
          <w:rFonts w:asciiTheme="minorHAnsi" w:hAnsiTheme="minorHAnsi" w:cstheme="minorHAnsi"/>
        </w:rPr>
        <w:t xml:space="preserve"> se </w:t>
      </w:r>
      <w:r w:rsidR="000559E1" w:rsidRPr="00920634">
        <w:rPr>
          <w:rFonts w:asciiTheme="minorHAnsi" w:hAnsiTheme="minorHAnsi" w:cstheme="minorHAnsi"/>
        </w:rPr>
        <w:t>OSS</w:t>
      </w:r>
      <w:r w:rsidR="00AD561D" w:rsidRPr="00920634">
        <w:rPr>
          <w:rFonts w:asciiTheme="minorHAnsi" w:hAnsiTheme="minorHAnsi" w:cstheme="minorHAnsi"/>
        </w:rPr>
        <w:t xml:space="preserve"> při poskytování transferu identifikuje.</w:t>
      </w:r>
      <w:r w:rsidR="009D0C80">
        <w:rPr>
          <w:rFonts w:asciiTheme="minorHAnsi" w:hAnsiTheme="minorHAnsi" w:cstheme="minorHAnsi"/>
        </w:rPr>
        <w:t xml:space="preserve"> </w:t>
      </w:r>
      <w:r w:rsidR="00AD561D" w:rsidRPr="00920634">
        <w:rPr>
          <w:rFonts w:asciiTheme="minorHAnsi" w:hAnsiTheme="minorHAnsi" w:cstheme="minorHAnsi"/>
        </w:rPr>
        <w:t>P</w:t>
      </w:r>
      <w:r w:rsidR="00ED7468" w:rsidRPr="00920634">
        <w:rPr>
          <w:rFonts w:asciiTheme="minorHAnsi" w:hAnsiTheme="minorHAnsi" w:cstheme="minorHAnsi"/>
        </w:rPr>
        <w:t xml:space="preserve">okud by MŠMT </w:t>
      </w:r>
      <w:r w:rsidR="00AD561D" w:rsidRPr="00920634">
        <w:rPr>
          <w:rFonts w:asciiTheme="minorHAnsi" w:hAnsiTheme="minorHAnsi" w:cstheme="minorHAnsi"/>
        </w:rPr>
        <w:t xml:space="preserve">např. </w:t>
      </w:r>
      <w:r w:rsidR="008D073A">
        <w:rPr>
          <w:rFonts w:asciiTheme="minorHAnsi" w:hAnsiTheme="minorHAnsi" w:cstheme="minorHAnsi"/>
        </w:rPr>
        <w:t>v </w:t>
      </w:r>
      <w:r w:rsidR="00ED7468" w:rsidRPr="00920634">
        <w:rPr>
          <w:rFonts w:asciiTheme="minorHAnsi" w:hAnsiTheme="minorHAnsi" w:cstheme="minorHAnsi"/>
        </w:rPr>
        <w:t>roce 2014 účtovalo o podílu spolufinancované</w:t>
      </w:r>
      <w:r w:rsidR="00B3211E">
        <w:rPr>
          <w:rFonts w:asciiTheme="minorHAnsi" w:hAnsiTheme="minorHAnsi" w:cstheme="minorHAnsi"/>
        </w:rPr>
        <w:t>m</w:t>
      </w:r>
      <w:r w:rsidR="00ED7468" w:rsidRPr="00920634">
        <w:rPr>
          <w:rFonts w:asciiTheme="minorHAnsi" w:hAnsiTheme="minorHAnsi" w:cstheme="minorHAnsi"/>
        </w:rPr>
        <w:t xml:space="preserve"> ze zahraničí (předfinancovaném transferu) nikoliv jako zprostředkovatel, ale jako poskytovatel dle ČÚS č. 703 – </w:t>
      </w:r>
      <w:r w:rsidR="00ED7468" w:rsidRPr="008D4CD3">
        <w:rPr>
          <w:rFonts w:asciiTheme="minorHAnsi" w:hAnsiTheme="minorHAnsi" w:cstheme="minorHAnsi"/>
          <w:i/>
        </w:rPr>
        <w:t>Transfery</w:t>
      </w:r>
      <w:r w:rsidR="00ED7468" w:rsidRPr="00920634">
        <w:rPr>
          <w:rFonts w:asciiTheme="minorHAnsi" w:hAnsiTheme="minorHAnsi" w:cstheme="minorHAnsi"/>
        </w:rPr>
        <w:t>, pak by k 31.</w:t>
      </w:r>
      <w:r w:rsidR="009C5125">
        <w:rPr>
          <w:rFonts w:asciiTheme="minorHAnsi" w:hAnsiTheme="minorHAnsi" w:cstheme="minorHAnsi"/>
        </w:rPr>
        <w:t> </w:t>
      </w:r>
      <w:r w:rsidR="00997B4D" w:rsidRPr="00920634">
        <w:rPr>
          <w:rFonts w:asciiTheme="minorHAnsi" w:hAnsiTheme="minorHAnsi" w:cstheme="minorHAnsi"/>
        </w:rPr>
        <w:t>prosinc</w:t>
      </w:r>
      <w:r w:rsidR="00B62358" w:rsidRPr="00920634">
        <w:rPr>
          <w:rFonts w:asciiTheme="minorHAnsi" w:hAnsiTheme="minorHAnsi" w:cstheme="minorHAnsi"/>
        </w:rPr>
        <w:t>i</w:t>
      </w:r>
      <w:r w:rsidR="00ED7468" w:rsidRPr="00920634">
        <w:rPr>
          <w:rFonts w:asciiTheme="minorHAnsi" w:hAnsiTheme="minorHAnsi" w:cstheme="minorHAnsi"/>
        </w:rPr>
        <w:t xml:space="preserve"> 2014</w:t>
      </w:r>
      <w:r w:rsidRPr="00920634">
        <w:rPr>
          <w:rFonts w:asciiTheme="minorHAnsi" w:hAnsiTheme="minorHAnsi" w:cstheme="minorHAnsi"/>
        </w:rPr>
        <w:t xml:space="preserve"> </w:t>
      </w:r>
      <w:r w:rsidR="008818E5" w:rsidRPr="00920634">
        <w:rPr>
          <w:rFonts w:asciiTheme="minorHAnsi" w:hAnsiTheme="minorHAnsi" w:cstheme="minorHAnsi"/>
        </w:rPr>
        <w:t>v</w:t>
      </w:r>
      <w:r w:rsidR="002130AF">
        <w:rPr>
          <w:rFonts w:asciiTheme="minorHAnsi" w:hAnsiTheme="minorHAnsi" w:cstheme="minorHAnsi"/>
        </w:rPr>
        <w:t> </w:t>
      </w:r>
      <w:r w:rsidR="00ED7468" w:rsidRPr="00920634">
        <w:rPr>
          <w:rFonts w:asciiTheme="minorHAnsi" w:hAnsiTheme="minorHAnsi" w:cstheme="minorHAnsi"/>
        </w:rPr>
        <w:t>aktivech</w:t>
      </w:r>
      <w:r w:rsidR="002130AF">
        <w:rPr>
          <w:rFonts w:asciiTheme="minorHAnsi" w:hAnsiTheme="minorHAnsi" w:cstheme="minorHAnsi"/>
        </w:rPr>
        <w:t xml:space="preserve"> rozvahy</w:t>
      </w:r>
      <w:r w:rsidR="00ED7468" w:rsidRPr="00920634">
        <w:rPr>
          <w:rFonts w:asciiTheme="minorHAnsi" w:hAnsiTheme="minorHAnsi" w:cstheme="minorHAnsi"/>
        </w:rPr>
        <w:t xml:space="preserve"> vykázalo o</w:t>
      </w:r>
      <w:r w:rsidR="00BE03F0" w:rsidRPr="00920634">
        <w:rPr>
          <w:rFonts w:asciiTheme="minorHAnsi" w:hAnsiTheme="minorHAnsi" w:cstheme="minorHAnsi"/>
        </w:rPr>
        <w:t> </w:t>
      </w:r>
      <w:r w:rsidR="002130AF">
        <w:rPr>
          <w:rFonts w:asciiTheme="minorHAnsi" w:hAnsiTheme="minorHAnsi" w:cstheme="minorHAnsi"/>
        </w:rPr>
        <w:t>cca</w:t>
      </w:r>
      <w:r w:rsidR="00ED7468" w:rsidRPr="00920634">
        <w:rPr>
          <w:rFonts w:asciiTheme="minorHAnsi" w:hAnsiTheme="minorHAnsi" w:cstheme="minorHAnsi"/>
        </w:rPr>
        <w:t xml:space="preserve"> 54 mld. Kč </w:t>
      </w:r>
      <w:r w:rsidR="002130AF">
        <w:rPr>
          <w:rFonts w:asciiTheme="minorHAnsi" w:hAnsiTheme="minorHAnsi" w:cstheme="minorHAnsi"/>
        </w:rPr>
        <w:t>vyšší</w:t>
      </w:r>
      <w:r w:rsidR="002130AF" w:rsidRPr="00920634">
        <w:rPr>
          <w:rFonts w:asciiTheme="minorHAnsi" w:hAnsiTheme="minorHAnsi" w:cstheme="minorHAnsi"/>
        </w:rPr>
        <w:t xml:space="preserve"> </w:t>
      </w:r>
      <w:r w:rsidR="00ED7468" w:rsidRPr="00920634">
        <w:rPr>
          <w:rFonts w:asciiTheme="minorHAnsi" w:hAnsiTheme="minorHAnsi" w:cstheme="minorHAnsi"/>
        </w:rPr>
        <w:t>záloh</w:t>
      </w:r>
      <w:r w:rsidR="002130AF">
        <w:rPr>
          <w:rFonts w:asciiTheme="minorHAnsi" w:hAnsiTheme="minorHAnsi" w:cstheme="minorHAnsi"/>
        </w:rPr>
        <w:t>y</w:t>
      </w:r>
      <w:r w:rsidR="00ED7468" w:rsidRPr="00920634">
        <w:rPr>
          <w:rFonts w:asciiTheme="minorHAnsi" w:hAnsiTheme="minorHAnsi" w:cstheme="minorHAnsi"/>
        </w:rPr>
        <w:t>, což by představovalo</w:t>
      </w:r>
      <w:r w:rsidRPr="00920634">
        <w:rPr>
          <w:rFonts w:asciiTheme="minorHAnsi" w:hAnsiTheme="minorHAnsi" w:cstheme="minorHAnsi"/>
        </w:rPr>
        <w:t xml:space="preserve"> </w:t>
      </w:r>
      <w:r w:rsidR="00ED7468" w:rsidRPr="00920634">
        <w:rPr>
          <w:rFonts w:asciiTheme="minorHAnsi" w:hAnsiTheme="minorHAnsi" w:cstheme="minorHAnsi"/>
        </w:rPr>
        <w:t xml:space="preserve">nárůst zůstatku </w:t>
      </w:r>
      <w:r w:rsidR="009D0C80">
        <w:rPr>
          <w:rFonts w:asciiTheme="minorHAnsi" w:hAnsiTheme="minorHAnsi" w:cstheme="minorHAnsi"/>
        </w:rPr>
        <w:t>příslušného</w:t>
      </w:r>
      <w:r w:rsidRPr="00920634">
        <w:rPr>
          <w:rFonts w:asciiTheme="minorHAnsi" w:hAnsiTheme="minorHAnsi" w:cstheme="minorHAnsi"/>
        </w:rPr>
        <w:t xml:space="preserve"> </w:t>
      </w:r>
      <w:r w:rsidR="00ED7468" w:rsidRPr="00920634">
        <w:rPr>
          <w:rFonts w:asciiTheme="minorHAnsi" w:hAnsiTheme="minorHAnsi" w:cstheme="minorHAnsi"/>
        </w:rPr>
        <w:t>účtu záloh o</w:t>
      </w:r>
      <w:r w:rsidR="00BE03F0" w:rsidRPr="00920634">
        <w:rPr>
          <w:rFonts w:asciiTheme="minorHAnsi" w:hAnsiTheme="minorHAnsi" w:cstheme="minorHAnsi"/>
        </w:rPr>
        <w:t> </w:t>
      </w:r>
      <w:r w:rsidR="00ED7468" w:rsidRPr="00920634">
        <w:rPr>
          <w:rFonts w:asciiTheme="minorHAnsi" w:hAnsiTheme="minorHAnsi" w:cstheme="minorHAnsi"/>
        </w:rPr>
        <w:t>23</w:t>
      </w:r>
      <w:r w:rsidR="003A1C3B" w:rsidRPr="00920634">
        <w:rPr>
          <w:rFonts w:asciiTheme="minorHAnsi" w:hAnsiTheme="minorHAnsi" w:cstheme="minorHAnsi"/>
        </w:rPr>
        <w:t>4</w:t>
      </w:r>
      <w:r w:rsidR="00ED7468" w:rsidRPr="00920634">
        <w:rPr>
          <w:rFonts w:asciiTheme="minorHAnsi" w:hAnsiTheme="minorHAnsi" w:cstheme="minorHAnsi"/>
        </w:rPr>
        <w:t xml:space="preserve"> %</w:t>
      </w:r>
      <w:r w:rsidR="00F03F01" w:rsidRPr="00920634">
        <w:rPr>
          <w:rStyle w:val="Znakapoznpodarou"/>
          <w:rFonts w:asciiTheme="minorHAnsi" w:hAnsiTheme="minorHAnsi" w:cstheme="minorHAnsi"/>
        </w:rPr>
        <w:footnoteReference w:id="28"/>
      </w:r>
      <w:r w:rsidR="00ED7468" w:rsidRPr="00920634">
        <w:rPr>
          <w:rFonts w:asciiTheme="minorHAnsi" w:hAnsiTheme="minorHAnsi" w:cstheme="minorHAnsi"/>
        </w:rPr>
        <w:t>, a t</w:t>
      </w:r>
      <w:r w:rsidR="009D0C80">
        <w:rPr>
          <w:rFonts w:asciiTheme="minorHAnsi" w:hAnsiTheme="minorHAnsi" w:cstheme="minorHAnsi"/>
        </w:rPr>
        <w:t>edy</w:t>
      </w:r>
      <w:r w:rsidR="00ED7468" w:rsidRPr="00920634">
        <w:rPr>
          <w:rFonts w:asciiTheme="minorHAnsi" w:hAnsiTheme="minorHAnsi" w:cstheme="minorHAnsi"/>
        </w:rPr>
        <w:t xml:space="preserve"> nárůst </w:t>
      </w:r>
      <w:r w:rsidRPr="00920634">
        <w:rPr>
          <w:rFonts w:asciiTheme="minorHAnsi" w:hAnsiTheme="minorHAnsi" w:cstheme="minorHAnsi"/>
        </w:rPr>
        <w:t xml:space="preserve">celkových </w:t>
      </w:r>
      <w:r w:rsidR="00ED7468" w:rsidRPr="00920634">
        <w:rPr>
          <w:rFonts w:asciiTheme="minorHAnsi" w:hAnsiTheme="minorHAnsi" w:cstheme="minorHAnsi"/>
        </w:rPr>
        <w:t>aktiv</w:t>
      </w:r>
      <w:r w:rsidRPr="00920634">
        <w:rPr>
          <w:rFonts w:asciiTheme="minorHAnsi" w:hAnsiTheme="minorHAnsi" w:cstheme="minorHAnsi"/>
        </w:rPr>
        <w:t xml:space="preserve"> MŠMT</w:t>
      </w:r>
      <w:r w:rsidR="00ED7468" w:rsidRPr="00920634">
        <w:rPr>
          <w:rFonts w:asciiTheme="minorHAnsi" w:hAnsiTheme="minorHAnsi" w:cstheme="minorHAnsi"/>
        </w:rPr>
        <w:t xml:space="preserve"> o více než 34</w:t>
      </w:r>
      <w:r w:rsidR="009D0C80">
        <w:rPr>
          <w:rFonts w:asciiTheme="minorHAnsi" w:hAnsiTheme="minorHAnsi" w:cstheme="minorHAnsi"/>
        </w:rPr>
        <w:t> </w:t>
      </w:r>
      <w:r w:rsidR="00ED7468" w:rsidRPr="00920634">
        <w:rPr>
          <w:rFonts w:asciiTheme="minorHAnsi" w:hAnsiTheme="minorHAnsi" w:cstheme="minorHAnsi"/>
        </w:rPr>
        <w:t>%</w:t>
      </w:r>
      <w:r w:rsidRPr="00920634">
        <w:rPr>
          <w:rFonts w:asciiTheme="minorHAnsi" w:hAnsiTheme="minorHAnsi" w:cstheme="minorHAnsi"/>
        </w:rPr>
        <w:t>.</w:t>
      </w:r>
    </w:p>
    <w:p w14:paraId="79E91D0B" w14:textId="77777777" w:rsidR="00E52642" w:rsidRPr="00920634" w:rsidRDefault="00E52642" w:rsidP="00114439">
      <w:pPr>
        <w:jc w:val="both"/>
        <w:rPr>
          <w:rFonts w:asciiTheme="minorHAnsi" w:hAnsiTheme="minorHAnsi" w:cstheme="minorHAnsi"/>
        </w:rPr>
      </w:pPr>
    </w:p>
    <w:p w14:paraId="52765C44" w14:textId="32929EAA" w:rsidR="004266D0" w:rsidRDefault="00ED746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Změny by se týkaly i jiných položek účetní závěrky</w:t>
      </w:r>
      <w:r w:rsidR="004266D0" w:rsidRPr="00920634">
        <w:rPr>
          <w:rFonts w:asciiTheme="minorHAnsi" w:hAnsiTheme="minorHAnsi" w:cstheme="minorHAnsi"/>
        </w:rPr>
        <w:t xml:space="preserve"> než aktiv, pasiv a nákladů</w:t>
      </w:r>
      <w:r w:rsidR="00AD561D" w:rsidRPr="00920634">
        <w:rPr>
          <w:rFonts w:asciiTheme="minorHAnsi" w:hAnsiTheme="minorHAnsi" w:cstheme="minorHAnsi"/>
        </w:rPr>
        <w:t xml:space="preserve"> (viz graf č. 2)</w:t>
      </w:r>
      <w:r w:rsidR="004266D0" w:rsidRPr="00920634">
        <w:rPr>
          <w:rFonts w:asciiTheme="minorHAnsi" w:hAnsiTheme="minorHAnsi" w:cstheme="minorHAnsi"/>
        </w:rPr>
        <w:t>; týkaly by se</w:t>
      </w:r>
      <w:r w:rsidRPr="00920634">
        <w:rPr>
          <w:rFonts w:asciiTheme="minorHAnsi" w:hAnsiTheme="minorHAnsi" w:cstheme="minorHAnsi"/>
        </w:rPr>
        <w:t xml:space="preserve"> např. </w:t>
      </w:r>
      <w:r w:rsidR="004266D0" w:rsidRPr="00920634">
        <w:rPr>
          <w:rFonts w:asciiTheme="minorHAnsi" w:hAnsiTheme="minorHAnsi" w:cstheme="minorHAnsi"/>
        </w:rPr>
        <w:t xml:space="preserve">i </w:t>
      </w:r>
      <w:r w:rsidRPr="00920634">
        <w:rPr>
          <w:rFonts w:asciiTheme="minorHAnsi" w:hAnsiTheme="minorHAnsi" w:cstheme="minorHAnsi"/>
        </w:rPr>
        <w:t xml:space="preserve">výnosů z transferů </w:t>
      </w:r>
      <w:r w:rsidR="004266D0" w:rsidRPr="00920634">
        <w:rPr>
          <w:rFonts w:asciiTheme="minorHAnsi" w:hAnsiTheme="minorHAnsi" w:cstheme="minorHAnsi"/>
        </w:rPr>
        <w:t xml:space="preserve">ve </w:t>
      </w:r>
      <w:r w:rsidRPr="00920634">
        <w:rPr>
          <w:rFonts w:asciiTheme="minorHAnsi" w:hAnsiTheme="minorHAnsi" w:cstheme="minorHAnsi"/>
        </w:rPr>
        <w:t>výkazu zisku a ztráty a vzhledem k</w:t>
      </w:r>
      <w:r w:rsidR="00505444" w:rsidRPr="00920634">
        <w:rPr>
          <w:rFonts w:asciiTheme="minorHAnsi" w:hAnsiTheme="minorHAnsi" w:cstheme="minorHAnsi"/>
        </w:rPr>
        <w:t> vzájemné návaznosti</w:t>
      </w:r>
      <w:r w:rsidRPr="00920634">
        <w:rPr>
          <w:rFonts w:asciiTheme="minorHAnsi" w:hAnsiTheme="minorHAnsi" w:cstheme="minorHAnsi"/>
        </w:rPr>
        <w:t xml:space="preserve"> i</w:t>
      </w:r>
      <w:r w:rsidR="008818E5" w:rsidRPr="00920634">
        <w:rPr>
          <w:rFonts w:asciiTheme="minorHAnsi" w:hAnsiTheme="minorHAnsi" w:cstheme="minorHAnsi"/>
        </w:rPr>
        <w:t xml:space="preserve"> </w:t>
      </w:r>
      <w:r w:rsidR="006F296C">
        <w:rPr>
          <w:rFonts w:asciiTheme="minorHAnsi" w:hAnsiTheme="minorHAnsi" w:cstheme="minorHAnsi"/>
        </w:rPr>
        <w:t xml:space="preserve">údajů </w:t>
      </w:r>
      <w:r w:rsidR="008D073A">
        <w:rPr>
          <w:rFonts w:asciiTheme="minorHAnsi" w:hAnsiTheme="minorHAnsi" w:cstheme="minorHAnsi"/>
        </w:rPr>
        <w:t>v </w:t>
      </w:r>
      <w:r w:rsidR="008818E5" w:rsidRPr="00920634">
        <w:rPr>
          <w:rFonts w:asciiTheme="minorHAnsi" w:hAnsiTheme="minorHAnsi" w:cstheme="minorHAnsi"/>
        </w:rPr>
        <w:t>přehledu</w:t>
      </w:r>
      <w:r w:rsidRPr="00920634">
        <w:rPr>
          <w:rFonts w:asciiTheme="minorHAnsi" w:hAnsiTheme="minorHAnsi" w:cstheme="minorHAnsi"/>
        </w:rPr>
        <w:t xml:space="preserve"> o změnách vlastní</w:t>
      </w:r>
      <w:r w:rsidR="008818E5" w:rsidRPr="00920634">
        <w:rPr>
          <w:rFonts w:asciiTheme="minorHAnsi" w:hAnsiTheme="minorHAnsi" w:cstheme="minorHAnsi"/>
        </w:rPr>
        <w:t xml:space="preserve">ho </w:t>
      </w:r>
      <w:r w:rsidRPr="00920634">
        <w:rPr>
          <w:rFonts w:asciiTheme="minorHAnsi" w:hAnsiTheme="minorHAnsi" w:cstheme="minorHAnsi"/>
        </w:rPr>
        <w:t>kapitálu.</w:t>
      </w:r>
    </w:p>
    <w:p w14:paraId="108B3755" w14:textId="77777777" w:rsidR="00E52642" w:rsidRPr="00920634" w:rsidRDefault="00E52642" w:rsidP="00114439">
      <w:pPr>
        <w:jc w:val="both"/>
        <w:rPr>
          <w:rFonts w:asciiTheme="minorHAnsi" w:hAnsiTheme="minorHAnsi" w:cstheme="minorHAnsi"/>
        </w:rPr>
      </w:pPr>
    </w:p>
    <w:p w14:paraId="5429839B" w14:textId="5EF8E511" w:rsidR="0082314F" w:rsidRDefault="0082314F" w:rsidP="00114439">
      <w:pPr>
        <w:spacing w:line="23" w:lineRule="atLeast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Různá volba role v případě MŠMT a MZe vedla k vykazování zásadně odlišných údajů v účetní závěrce a tím i jejich nesrovnatelnosti</w:t>
      </w:r>
      <w:r w:rsidR="00114439">
        <w:rPr>
          <w:rFonts w:asciiTheme="minorHAnsi" w:hAnsiTheme="minorHAnsi" w:cstheme="minorHAnsi"/>
          <w:b/>
        </w:rPr>
        <w:t>,</w:t>
      </w:r>
      <w:r w:rsidRPr="00920634">
        <w:rPr>
          <w:rFonts w:asciiTheme="minorHAnsi" w:hAnsiTheme="minorHAnsi" w:cstheme="minorHAnsi"/>
          <w:b/>
        </w:rPr>
        <w:t xml:space="preserve"> a tedy nepoužitelnosti pro vzájemné porovnání a </w:t>
      </w:r>
      <w:r w:rsidR="00114439">
        <w:rPr>
          <w:rFonts w:asciiTheme="minorHAnsi" w:hAnsiTheme="minorHAnsi" w:cstheme="minorHAnsi"/>
          <w:b/>
        </w:rPr>
        <w:t xml:space="preserve">pro </w:t>
      </w:r>
      <w:r w:rsidRPr="00920634">
        <w:rPr>
          <w:rFonts w:asciiTheme="minorHAnsi" w:hAnsiTheme="minorHAnsi" w:cstheme="minorHAnsi"/>
          <w:b/>
        </w:rPr>
        <w:t>agregac</w:t>
      </w:r>
      <w:r w:rsidR="00114439">
        <w:rPr>
          <w:rFonts w:asciiTheme="minorHAnsi" w:hAnsiTheme="minorHAnsi" w:cstheme="minorHAnsi"/>
          <w:b/>
        </w:rPr>
        <w:t>i</w:t>
      </w:r>
      <w:r w:rsidRPr="00920634">
        <w:rPr>
          <w:rFonts w:asciiTheme="minorHAnsi" w:hAnsiTheme="minorHAnsi" w:cstheme="minorHAnsi"/>
          <w:b/>
        </w:rPr>
        <w:t xml:space="preserve"> takových údajů. </w:t>
      </w:r>
    </w:p>
    <w:p w14:paraId="47D6656F" w14:textId="77777777" w:rsidR="00E52642" w:rsidRPr="00920634" w:rsidRDefault="00E52642" w:rsidP="00114439">
      <w:pPr>
        <w:spacing w:line="23" w:lineRule="atLeast"/>
        <w:jc w:val="both"/>
        <w:rPr>
          <w:rFonts w:asciiTheme="minorHAnsi" w:hAnsiTheme="minorHAnsi" w:cstheme="minorHAnsi"/>
          <w:b/>
        </w:rPr>
      </w:pPr>
    </w:p>
    <w:p w14:paraId="015CEB9B" w14:textId="0D789838" w:rsidR="000F70DC" w:rsidRPr="00920634" w:rsidRDefault="0082314F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Ta</w:t>
      </w:r>
      <w:r w:rsidR="00114439">
        <w:rPr>
          <w:rFonts w:asciiTheme="minorHAnsi" w:hAnsiTheme="minorHAnsi" w:cstheme="minorHAnsi"/>
          <w:b/>
        </w:rPr>
        <w:t>to</w:t>
      </w:r>
      <w:r w:rsidRPr="00920634">
        <w:rPr>
          <w:rFonts w:asciiTheme="minorHAnsi" w:hAnsiTheme="minorHAnsi" w:cstheme="minorHAnsi"/>
          <w:b/>
        </w:rPr>
        <w:t xml:space="preserve"> skutečnost </w:t>
      </w:r>
      <w:r w:rsidR="008818E5" w:rsidRPr="00920634">
        <w:rPr>
          <w:rFonts w:asciiTheme="minorHAnsi" w:hAnsiTheme="minorHAnsi" w:cstheme="minorHAnsi"/>
          <w:b/>
        </w:rPr>
        <w:t>je</w:t>
      </w:r>
      <w:r w:rsidR="00652A4B" w:rsidRPr="00920634">
        <w:rPr>
          <w:rFonts w:asciiTheme="minorHAnsi" w:hAnsiTheme="minorHAnsi" w:cstheme="minorHAnsi"/>
          <w:b/>
        </w:rPr>
        <w:t xml:space="preserve"> limitující</w:t>
      </w:r>
      <w:r w:rsidR="00114439">
        <w:rPr>
          <w:rFonts w:asciiTheme="minorHAnsi" w:hAnsiTheme="minorHAnsi" w:cstheme="minorHAnsi"/>
          <w:b/>
        </w:rPr>
        <w:t>m</w:t>
      </w:r>
      <w:r w:rsidR="00652A4B" w:rsidRPr="00920634">
        <w:rPr>
          <w:rFonts w:asciiTheme="minorHAnsi" w:hAnsiTheme="minorHAnsi" w:cstheme="minorHAnsi"/>
          <w:b/>
        </w:rPr>
        <w:t xml:space="preserve"> </w:t>
      </w:r>
      <w:r w:rsidR="00114439">
        <w:rPr>
          <w:rFonts w:asciiTheme="minorHAnsi" w:hAnsiTheme="minorHAnsi" w:cstheme="minorHAnsi"/>
          <w:b/>
        </w:rPr>
        <w:t xml:space="preserve">faktorem </w:t>
      </w:r>
      <w:r w:rsidR="00652A4B" w:rsidRPr="00920634">
        <w:rPr>
          <w:rFonts w:asciiTheme="minorHAnsi" w:hAnsiTheme="minorHAnsi" w:cstheme="minorHAnsi"/>
          <w:b/>
        </w:rPr>
        <w:t>pro záměr</w:t>
      </w:r>
      <w:r w:rsidR="00794C4D" w:rsidRPr="00920634">
        <w:rPr>
          <w:rFonts w:asciiTheme="minorHAnsi" w:hAnsiTheme="minorHAnsi" w:cstheme="minorHAnsi"/>
          <w:b/>
        </w:rPr>
        <w:t xml:space="preserve"> použít</w:t>
      </w:r>
      <w:r w:rsidRPr="00920634">
        <w:rPr>
          <w:rFonts w:asciiTheme="minorHAnsi" w:hAnsiTheme="minorHAnsi" w:cstheme="minorHAnsi"/>
          <w:b/>
        </w:rPr>
        <w:t xml:space="preserve"> údaj</w:t>
      </w:r>
      <w:r w:rsidR="00794C4D" w:rsidRPr="00920634">
        <w:rPr>
          <w:rFonts w:asciiTheme="minorHAnsi" w:hAnsiTheme="minorHAnsi" w:cstheme="minorHAnsi"/>
          <w:b/>
        </w:rPr>
        <w:t>e</w:t>
      </w:r>
      <w:r w:rsidRPr="00920634">
        <w:rPr>
          <w:rFonts w:asciiTheme="minorHAnsi" w:hAnsiTheme="minorHAnsi" w:cstheme="minorHAnsi"/>
          <w:b/>
        </w:rPr>
        <w:t xml:space="preserve"> z účetnictví pro potřeby</w:t>
      </w:r>
      <w:r w:rsidR="00656E8F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>národní</w:t>
      </w:r>
      <w:r w:rsidR="00F00F78">
        <w:rPr>
          <w:rFonts w:asciiTheme="minorHAnsi" w:hAnsiTheme="minorHAnsi" w:cstheme="minorHAnsi"/>
          <w:b/>
        </w:rPr>
        <w:t>ho</w:t>
      </w:r>
      <w:r w:rsidRPr="00920634">
        <w:rPr>
          <w:rFonts w:asciiTheme="minorHAnsi" w:hAnsiTheme="minorHAnsi" w:cstheme="minorHAnsi"/>
          <w:b/>
        </w:rPr>
        <w:t xml:space="preserve"> </w:t>
      </w:r>
      <w:r w:rsidR="00F00F78">
        <w:rPr>
          <w:rFonts w:asciiTheme="minorHAnsi" w:hAnsiTheme="minorHAnsi" w:cstheme="minorHAnsi"/>
          <w:b/>
        </w:rPr>
        <w:t>účetnictví</w:t>
      </w:r>
      <w:r w:rsidRPr="00920634">
        <w:rPr>
          <w:rFonts w:asciiTheme="minorHAnsi" w:hAnsiTheme="minorHAnsi" w:cstheme="minorHAnsi"/>
          <w:b/>
        </w:rPr>
        <w:t>.</w:t>
      </w:r>
    </w:p>
    <w:p w14:paraId="71177380" w14:textId="77777777" w:rsidR="002D029F" w:rsidRPr="00920634" w:rsidRDefault="002D029F" w:rsidP="00114439">
      <w:pPr>
        <w:jc w:val="both"/>
        <w:rPr>
          <w:rFonts w:asciiTheme="minorHAnsi" w:hAnsiTheme="minorHAnsi" w:cstheme="minorHAnsi"/>
          <w:b/>
        </w:rPr>
      </w:pPr>
    </w:p>
    <w:p w14:paraId="3E7F9DA2" w14:textId="6674440E" w:rsidR="0082314F" w:rsidRPr="00920634" w:rsidRDefault="00C16E24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3.3 </w:t>
      </w:r>
      <w:r w:rsidR="0082314F" w:rsidRPr="00920634">
        <w:rPr>
          <w:rFonts w:asciiTheme="minorHAnsi" w:hAnsiTheme="minorHAnsi" w:cstheme="minorHAnsi"/>
          <w:b/>
        </w:rPr>
        <w:t>Změny účetní</w:t>
      </w:r>
      <w:r w:rsidR="00B62358" w:rsidRPr="00920634">
        <w:rPr>
          <w:rFonts w:asciiTheme="minorHAnsi" w:hAnsiTheme="minorHAnsi" w:cstheme="minorHAnsi"/>
          <w:b/>
        </w:rPr>
        <w:t xml:space="preserve"> </w:t>
      </w:r>
      <w:r w:rsidR="00732B97" w:rsidRPr="00920634">
        <w:rPr>
          <w:rFonts w:asciiTheme="minorHAnsi" w:hAnsiTheme="minorHAnsi" w:cstheme="minorHAnsi"/>
          <w:b/>
        </w:rPr>
        <w:t>regulace</w:t>
      </w:r>
      <w:r w:rsidR="0082314F" w:rsidRPr="00920634">
        <w:rPr>
          <w:rFonts w:asciiTheme="minorHAnsi" w:hAnsiTheme="minorHAnsi" w:cstheme="minorHAnsi"/>
          <w:b/>
        </w:rPr>
        <w:t xml:space="preserve"> v oblasti transferů</w:t>
      </w:r>
    </w:p>
    <w:p w14:paraId="41835A77" w14:textId="77777777" w:rsidR="00353BC9" w:rsidRDefault="00353BC9" w:rsidP="00114439">
      <w:pPr>
        <w:spacing w:line="23" w:lineRule="atLeast"/>
        <w:jc w:val="both"/>
        <w:rPr>
          <w:rFonts w:asciiTheme="minorHAnsi" w:hAnsiTheme="minorHAnsi" w:cstheme="minorHAnsi"/>
        </w:rPr>
      </w:pPr>
    </w:p>
    <w:p w14:paraId="7773BB31" w14:textId="2C9451ED" w:rsidR="0082314F" w:rsidRDefault="0082314F" w:rsidP="00114439">
      <w:pPr>
        <w:spacing w:line="23" w:lineRule="atLeast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Mezi účetními obdobími 2010–2015 docházelo v rámci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a vyhlášky č.</w:t>
      </w:r>
      <w:r w:rsidR="00BE03F0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410/2009 Sb. ke změnám </w:t>
      </w:r>
      <w:r w:rsidR="008D073A">
        <w:rPr>
          <w:rFonts w:asciiTheme="minorHAnsi" w:hAnsiTheme="minorHAnsi" w:cstheme="minorHAnsi"/>
        </w:rPr>
        <w:t>v</w:t>
      </w:r>
      <w:r w:rsidR="002B0E1C">
        <w:rPr>
          <w:rFonts w:asciiTheme="minorHAnsi" w:hAnsiTheme="minorHAnsi" w:cstheme="minorHAnsi"/>
        </w:rPr>
        <w:t> </w:t>
      </w:r>
      <w:r w:rsidR="008932A3" w:rsidRPr="00920634">
        <w:rPr>
          <w:rFonts w:asciiTheme="minorHAnsi" w:hAnsiTheme="minorHAnsi" w:cstheme="minorHAnsi"/>
        </w:rPr>
        <w:t>jejich</w:t>
      </w:r>
      <w:r w:rsidR="002B0E1C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ustanovení</w:t>
      </w:r>
      <w:r w:rsidR="00114439">
        <w:rPr>
          <w:rFonts w:asciiTheme="minorHAnsi" w:hAnsiTheme="minorHAnsi" w:cstheme="minorHAnsi"/>
        </w:rPr>
        <w:t>ch,</w:t>
      </w:r>
      <w:r w:rsidRPr="00920634">
        <w:rPr>
          <w:rFonts w:asciiTheme="minorHAnsi" w:hAnsiTheme="minorHAnsi" w:cstheme="minorHAnsi"/>
        </w:rPr>
        <w:t xml:space="preserve"> </w:t>
      </w:r>
      <w:r w:rsidR="008932A3" w:rsidRPr="00920634">
        <w:rPr>
          <w:rFonts w:asciiTheme="minorHAnsi" w:hAnsiTheme="minorHAnsi" w:cstheme="minorHAnsi"/>
        </w:rPr>
        <w:t>a to</w:t>
      </w:r>
      <w:r w:rsidRPr="00920634">
        <w:rPr>
          <w:rFonts w:asciiTheme="minorHAnsi" w:hAnsiTheme="minorHAnsi" w:cstheme="minorHAnsi"/>
        </w:rPr>
        <w:t xml:space="preserve"> s významným dopadem na vyk</w:t>
      </w:r>
      <w:r w:rsidR="008932A3" w:rsidRPr="00920634">
        <w:rPr>
          <w:rFonts w:asciiTheme="minorHAnsi" w:hAnsiTheme="minorHAnsi" w:cstheme="minorHAnsi"/>
        </w:rPr>
        <w:t>azování</w:t>
      </w:r>
      <w:r w:rsidRPr="00920634">
        <w:rPr>
          <w:rFonts w:asciiTheme="minorHAnsi" w:hAnsiTheme="minorHAnsi" w:cstheme="minorHAnsi"/>
        </w:rPr>
        <w:t xml:space="preserve"> údajů o transferech</w:t>
      </w:r>
      <w:r w:rsidR="00A1412B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</w:p>
    <w:p w14:paraId="67325348" w14:textId="77777777" w:rsidR="00353BC9" w:rsidRPr="00E52642" w:rsidRDefault="00353BC9" w:rsidP="00114439">
      <w:pPr>
        <w:spacing w:line="23" w:lineRule="atLeast"/>
        <w:jc w:val="both"/>
        <w:rPr>
          <w:rFonts w:asciiTheme="minorHAnsi" w:hAnsiTheme="minorHAnsi" w:cstheme="minorHAnsi"/>
        </w:rPr>
      </w:pPr>
    </w:p>
    <w:p w14:paraId="3736FA0F" w14:textId="47FCD27F" w:rsidR="0082314F" w:rsidRPr="00920634" w:rsidRDefault="00A26B9C" w:rsidP="008D4CD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Úpravy </w:t>
      </w:r>
      <w:r w:rsidR="0082314F" w:rsidRPr="00920634">
        <w:rPr>
          <w:rFonts w:asciiTheme="minorHAnsi" w:hAnsiTheme="minorHAnsi" w:cstheme="minorHAnsi"/>
        </w:rPr>
        <w:t>vedly ke změnám v</w:t>
      </w:r>
      <w:r w:rsidR="008818E5" w:rsidRPr="00920634">
        <w:rPr>
          <w:rFonts w:asciiTheme="minorHAnsi" w:hAnsiTheme="minorHAnsi" w:cstheme="minorHAnsi"/>
        </w:rPr>
        <w:t>e vykazování některých</w:t>
      </w:r>
      <w:r w:rsidR="0082314F" w:rsidRPr="00920634">
        <w:rPr>
          <w:rFonts w:asciiTheme="minorHAnsi" w:hAnsiTheme="minorHAnsi" w:cstheme="minorHAnsi"/>
        </w:rPr>
        <w:t xml:space="preserve"> položek účetní závěrky</w:t>
      </w:r>
      <w:r w:rsidR="008818E5" w:rsidRPr="00920634">
        <w:rPr>
          <w:rStyle w:val="Znakapoznpodarou"/>
          <w:rFonts w:asciiTheme="minorHAnsi" w:hAnsiTheme="minorHAnsi" w:cstheme="minorHAnsi"/>
        </w:rPr>
        <w:footnoteReference w:id="29"/>
      </w:r>
      <w:r w:rsidR="0082314F" w:rsidRPr="00920634">
        <w:rPr>
          <w:rFonts w:asciiTheme="minorHAnsi" w:hAnsiTheme="minorHAnsi" w:cstheme="minorHAnsi"/>
        </w:rPr>
        <w:t xml:space="preserve"> </w:t>
      </w:r>
      <w:r w:rsidR="008818E5" w:rsidRPr="00920634">
        <w:rPr>
          <w:rFonts w:asciiTheme="minorHAnsi" w:hAnsiTheme="minorHAnsi" w:cstheme="minorHAnsi"/>
        </w:rPr>
        <w:t xml:space="preserve">a v některých případech ke změnám </w:t>
      </w:r>
      <w:r w:rsidR="0082314F" w:rsidRPr="00920634">
        <w:rPr>
          <w:rFonts w:asciiTheme="minorHAnsi" w:hAnsiTheme="minorHAnsi" w:cstheme="minorHAnsi"/>
        </w:rPr>
        <w:t>jejich obsahové</w:t>
      </w:r>
      <w:r w:rsidR="008818E5" w:rsidRPr="00920634">
        <w:rPr>
          <w:rFonts w:asciiTheme="minorHAnsi" w:hAnsiTheme="minorHAnsi" w:cstheme="minorHAnsi"/>
        </w:rPr>
        <w:t>ho</w:t>
      </w:r>
      <w:r w:rsidR="0082314F" w:rsidRPr="00920634">
        <w:rPr>
          <w:rFonts w:asciiTheme="minorHAnsi" w:hAnsiTheme="minorHAnsi" w:cstheme="minorHAnsi"/>
        </w:rPr>
        <w:t xml:space="preserve"> vymezení</w:t>
      </w:r>
      <w:r w:rsidR="008818E5" w:rsidRPr="00920634">
        <w:rPr>
          <w:rStyle w:val="Znakapoznpodarou"/>
          <w:rFonts w:asciiTheme="minorHAnsi" w:hAnsiTheme="minorHAnsi" w:cstheme="minorHAnsi"/>
        </w:rPr>
        <w:footnoteReference w:id="30"/>
      </w:r>
      <w:r w:rsidR="0082314F" w:rsidRPr="00920634">
        <w:rPr>
          <w:rFonts w:asciiTheme="minorHAnsi" w:hAnsiTheme="minorHAnsi" w:cstheme="minorHAnsi"/>
        </w:rPr>
        <w:t xml:space="preserve"> mezi jednotlivými roky. Opakované </w:t>
      </w:r>
      <w:r w:rsidR="0082314F" w:rsidRPr="00920634">
        <w:rPr>
          <w:rFonts w:asciiTheme="minorHAnsi" w:hAnsiTheme="minorHAnsi" w:cstheme="minorHAnsi"/>
        </w:rPr>
        <w:lastRenderedPageBreak/>
        <w:t xml:space="preserve">změny </w:t>
      </w:r>
      <w:r w:rsidR="004E7B24" w:rsidRPr="00920634">
        <w:rPr>
          <w:rFonts w:asciiTheme="minorHAnsi" w:hAnsiTheme="minorHAnsi" w:cstheme="minorHAnsi"/>
        </w:rPr>
        <w:t>v účetní regulaci</w:t>
      </w:r>
      <w:r w:rsidR="000E67B0">
        <w:rPr>
          <w:rFonts w:asciiTheme="minorHAnsi" w:hAnsiTheme="minorHAnsi" w:cstheme="minorHAnsi"/>
        </w:rPr>
        <w:t>,</w:t>
      </w:r>
      <w:r w:rsidR="008818E5" w:rsidRPr="00920634">
        <w:rPr>
          <w:rFonts w:asciiTheme="minorHAnsi" w:hAnsiTheme="minorHAnsi" w:cstheme="minorHAnsi"/>
        </w:rPr>
        <w:t xml:space="preserve"> </w:t>
      </w:r>
      <w:r w:rsidR="0082314F" w:rsidRPr="00920634">
        <w:rPr>
          <w:rFonts w:asciiTheme="minorHAnsi" w:hAnsiTheme="minorHAnsi" w:cstheme="minorHAnsi"/>
        </w:rPr>
        <w:t xml:space="preserve">často </w:t>
      </w:r>
      <w:r w:rsidR="008D073A">
        <w:rPr>
          <w:rFonts w:asciiTheme="minorHAnsi" w:hAnsiTheme="minorHAnsi" w:cstheme="minorHAnsi"/>
        </w:rPr>
        <w:t>s </w:t>
      </w:r>
      <w:r w:rsidR="0082314F" w:rsidRPr="00920634">
        <w:rPr>
          <w:rFonts w:asciiTheme="minorHAnsi" w:hAnsiTheme="minorHAnsi" w:cstheme="minorHAnsi"/>
        </w:rPr>
        <w:t>velmi krátkou</w:t>
      </w:r>
      <w:r w:rsidR="002130AF">
        <w:rPr>
          <w:rFonts w:asciiTheme="minorHAnsi" w:hAnsiTheme="minorHAnsi" w:cstheme="minorHAnsi"/>
        </w:rPr>
        <w:t xml:space="preserve"> legisvakanční</w:t>
      </w:r>
      <w:r w:rsidR="0082314F" w:rsidRPr="00920634">
        <w:rPr>
          <w:rFonts w:asciiTheme="minorHAnsi" w:hAnsiTheme="minorHAnsi" w:cstheme="minorHAnsi"/>
        </w:rPr>
        <w:t xml:space="preserve"> lhůtou</w:t>
      </w:r>
      <w:r w:rsidR="008818E5" w:rsidRPr="00920634">
        <w:rPr>
          <w:rStyle w:val="Znakapoznpodarou"/>
          <w:rFonts w:asciiTheme="minorHAnsi" w:hAnsiTheme="minorHAnsi" w:cstheme="minorHAnsi"/>
        </w:rPr>
        <w:footnoteReference w:id="31"/>
      </w:r>
      <w:r w:rsidR="0082314F" w:rsidRPr="00920634">
        <w:rPr>
          <w:rFonts w:asciiTheme="minorHAnsi" w:hAnsiTheme="minorHAnsi" w:cstheme="minorHAnsi"/>
        </w:rPr>
        <w:t xml:space="preserve">, jsou přirozeně faktorem limitujícím správné fungování </w:t>
      </w:r>
      <w:r w:rsidR="008818E5" w:rsidRPr="00920634">
        <w:rPr>
          <w:rFonts w:asciiTheme="minorHAnsi" w:hAnsiTheme="minorHAnsi" w:cstheme="minorHAnsi"/>
        </w:rPr>
        <w:t>informačního systému, kterým účetnictví je.</w:t>
      </w:r>
      <w:r w:rsidR="008818E5" w:rsidRPr="00920634">
        <w:rPr>
          <w:rStyle w:val="Znakapoznpodarou"/>
          <w:rFonts w:asciiTheme="minorHAnsi" w:hAnsiTheme="minorHAnsi" w:cstheme="minorHAnsi"/>
        </w:rPr>
        <w:footnoteReference w:id="32"/>
      </w:r>
    </w:p>
    <w:p w14:paraId="2A541EC8" w14:textId="77777777" w:rsidR="00B62358" w:rsidRPr="00920634" w:rsidRDefault="00B62358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D325842" w14:textId="5407AE94" w:rsidR="0082314F" w:rsidRPr="00920634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Změny v</w:t>
      </w:r>
      <w:r w:rsidR="00B62358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účetní</w:t>
      </w:r>
      <w:r w:rsidR="00B62358" w:rsidRPr="00920634">
        <w:rPr>
          <w:rFonts w:asciiTheme="minorHAnsi" w:hAnsiTheme="minorHAnsi" w:cstheme="minorHAnsi"/>
        </w:rPr>
        <w:t xml:space="preserve"> </w:t>
      </w:r>
      <w:r w:rsidR="00505444" w:rsidRPr="00920634">
        <w:rPr>
          <w:rFonts w:asciiTheme="minorHAnsi" w:hAnsiTheme="minorHAnsi" w:cstheme="minorHAnsi"/>
        </w:rPr>
        <w:t>regulaci</w:t>
      </w:r>
      <w:r w:rsidRPr="00920634">
        <w:rPr>
          <w:rFonts w:asciiTheme="minorHAnsi" w:hAnsiTheme="minorHAnsi" w:cstheme="minorHAnsi"/>
        </w:rPr>
        <w:t xml:space="preserve"> a nejasnosti </w:t>
      </w:r>
      <w:r w:rsidR="003A1BDC">
        <w:rPr>
          <w:rFonts w:asciiTheme="minorHAnsi" w:hAnsiTheme="minorHAnsi" w:cstheme="minorHAnsi"/>
        </w:rPr>
        <w:t>ohledně výběru</w:t>
      </w:r>
      <w:r w:rsidRPr="00920634">
        <w:rPr>
          <w:rFonts w:asciiTheme="minorHAnsi" w:hAnsiTheme="minorHAnsi" w:cstheme="minorHAnsi"/>
        </w:rPr>
        <w:t xml:space="preserve"> role neměly v případě MZe na informace </w:t>
      </w:r>
      <w:r w:rsidR="003A1BDC">
        <w:rPr>
          <w:rFonts w:asciiTheme="minorHAnsi" w:hAnsiTheme="minorHAnsi" w:cstheme="minorHAnsi"/>
        </w:rPr>
        <w:t>uvedené v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jeho</w:t>
      </w:r>
      <w:r w:rsidR="003A1BDC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účetních závěr</w:t>
      </w:r>
      <w:r w:rsidR="003A1BDC">
        <w:rPr>
          <w:rFonts w:asciiTheme="minorHAnsi" w:hAnsiTheme="minorHAnsi" w:cstheme="minorHAnsi"/>
        </w:rPr>
        <w:t>kách</w:t>
      </w:r>
      <w:r w:rsidRPr="00920634">
        <w:rPr>
          <w:rFonts w:asciiTheme="minorHAnsi" w:hAnsiTheme="minorHAnsi" w:cstheme="minorHAnsi"/>
        </w:rPr>
        <w:t xml:space="preserve"> </w:t>
      </w:r>
      <w:r w:rsidR="003A1BDC">
        <w:rPr>
          <w:rFonts w:asciiTheme="minorHAnsi" w:hAnsiTheme="minorHAnsi" w:cstheme="minorHAnsi"/>
        </w:rPr>
        <w:t>tak</w:t>
      </w:r>
      <w:r w:rsidRPr="00920634">
        <w:rPr>
          <w:rFonts w:asciiTheme="minorHAnsi" w:hAnsiTheme="minorHAnsi" w:cstheme="minorHAnsi"/>
        </w:rPr>
        <w:t xml:space="preserve"> významný vliv</w:t>
      </w:r>
      <w:r w:rsidR="003A1BDC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jako </w:t>
      </w:r>
      <w:r w:rsidR="003A1BDC">
        <w:rPr>
          <w:rFonts w:asciiTheme="minorHAnsi" w:hAnsiTheme="minorHAnsi" w:cstheme="minorHAnsi"/>
        </w:rPr>
        <w:t xml:space="preserve">tomu bylo </w:t>
      </w:r>
      <w:r w:rsidRPr="00920634">
        <w:rPr>
          <w:rFonts w:asciiTheme="minorHAnsi" w:hAnsiTheme="minorHAnsi" w:cstheme="minorHAnsi"/>
        </w:rPr>
        <w:t>v případě MŠMT</w:t>
      </w:r>
      <w:r w:rsidR="00AD561D" w:rsidRPr="00920634">
        <w:rPr>
          <w:rFonts w:asciiTheme="minorHAnsi" w:hAnsiTheme="minorHAnsi" w:cstheme="minorHAnsi"/>
        </w:rPr>
        <w:t>, které na rozdíl od MZe</w:t>
      </w:r>
      <w:r w:rsidR="008D073A">
        <w:rPr>
          <w:rFonts w:asciiTheme="minorHAnsi" w:hAnsiTheme="minorHAnsi" w:cstheme="minorHAnsi"/>
        </w:rPr>
        <w:t xml:space="preserve"> </w:t>
      </w:r>
      <w:r w:rsidR="00AD561D" w:rsidRPr="00920634">
        <w:rPr>
          <w:rFonts w:asciiTheme="minorHAnsi" w:hAnsiTheme="minorHAnsi" w:cstheme="minorHAnsi"/>
        </w:rPr>
        <w:t xml:space="preserve">poskytuje transfery </w:t>
      </w:r>
      <w:r w:rsidR="00A06B57" w:rsidRPr="00920634">
        <w:rPr>
          <w:rFonts w:asciiTheme="minorHAnsi" w:hAnsiTheme="minorHAnsi" w:cstheme="minorHAnsi"/>
        </w:rPr>
        <w:t xml:space="preserve">zejména </w:t>
      </w:r>
      <w:r w:rsidR="00AD561D" w:rsidRPr="00920634">
        <w:rPr>
          <w:rFonts w:asciiTheme="minorHAnsi" w:hAnsiTheme="minorHAnsi" w:cstheme="minorHAnsi"/>
        </w:rPr>
        <w:t>formou záloh.</w:t>
      </w:r>
      <w:r w:rsidR="00A06B5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MŠMT z důvodu změn </w:t>
      </w:r>
      <w:r w:rsidR="00505444" w:rsidRPr="00920634">
        <w:rPr>
          <w:rFonts w:asciiTheme="minorHAnsi" w:hAnsiTheme="minorHAnsi" w:cstheme="minorHAnsi"/>
        </w:rPr>
        <w:t xml:space="preserve">účetní regulace </w:t>
      </w:r>
      <w:r w:rsidRPr="00920634">
        <w:rPr>
          <w:rFonts w:asciiTheme="minorHAnsi" w:hAnsiTheme="minorHAnsi" w:cstheme="minorHAnsi"/>
        </w:rPr>
        <w:t xml:space="preserve">měnilo postupy účtování v oblasti zahraničních transferů a bylo nuceno </w:t>
      </w:r>
      <w:r w:rsidR="004E2A9D" w:rsidRPr="00920634">
        <w:rPr>
          <w:rFonts w:asciiTheme="minorHAnsi" w:hAnsiTheme="minorHAnsi" w:cstheme="minorHAnsi"/>
        </w:rPr>
        <w:t xml:space="preserve">dvakrát </w:t>
      </w:r>
      <w:r w:rsidRPr="00920634">
        <w:rPr>
          <w:rFonts w:asciiTheme="minorHAnsi" w:hAnsiTheme="minorHAnsi" w:cstheme="minorHAnsi"/>
        </w:rPr>
        <w:t>identifikovat nové položky rozvahových pohledávek a závazků</w:t>
      </w:r>
      <w:r w:rsidR="003A1BDC">
        <w:rPr>
          <w:rFonts w:asciiTheme="minorHAnsi" w:hAnsiTheme="minorHAnsi" w:cstheme="minorHAnsi"/>
        </w:rPr>
        <w:t>,</w:t>
      </w:r>
      <w:r w:rsidR="00B62358" w:rsidRPr="00920634">
        <w:rPr>
          <w:rFonts w:asciiTheme="minorHAnsi" w:hAnsiTheme="minorHAnsi" w:cstheme="minorHAnsi"/>
        </w:rPr>
        <w:t xml:space="preserve"> </w:t>
      </w:r>
      <w:r w:rsidR="00505444" w:rsidRPr="00920634">
        <w:rPr>
          <w:rFonts w:asciiTheme="minorHAnsi" w:hAnsiTheme="minorHAnsi" w:cstheme="minorHAnsi"/>
        </w:rPr>
        <w:t xml:space="preserve">a to </w:t>
      </w:r>
      <w:r w:rsidRPr="00920634">
        <w:rPr>
          <w:rFonts w:asciiTheme="minorHAnsi" w:hAnsiTheme="minorHAnsi" w:cstheme="minorHAnsi"/>
        </w:rPr>
        <w:t>i za několik let zp</w:t>
      </w:r>
      <w:r w:rsidR="003A1BDC">
        <w:rPr>
          <w:rFonts w:asciiTheme="minorHAnsi" w:hAnsiTheme="minorHAnsi" w:cstheme="minorHAnsi"/>
        </w:rPr>
        <w:t>átky</w:t>
      </w:r>
      <w:r w:rsidRPr="00920634">
        <w:rPr>
          <w:rFonts w:asciiTheme="minorHAnsi" w:hAnsiTheme="minorHAnsi" w:cstheme="minorHAnsi"/>
        </w:rPr>
        <w:t xml:space="preserve">. </w:t>
      </w:r>
    </w:p>
    <w:p w14:paraId="2B5A479C" w14:textId="77777777" w:rsidR="00B62358" w:rsidRPr="00920634" w:rsidRDefault="00B62358" w:rsidP="00114439">
      <w:pPr>
        <w:jc w:val="both"/>
        <w:rPr>
          <w:rFonts w:asciiTheme="minorHAnsi" w:hAnsiTheme="minorHAnsi" w:cstheme="minorHAnsi"/>
        </w:rPr>
      </w:pPr>
    </w:p>
    <w:p w14:paraId="040565BC" w14:textId="2C90CEEE" w:rsidR="00A06B57" w:rsidRPr="0016697F" w:rsidRDefault="0082314F" w:rsidP="00114439">
      <w:pPr>
        <w:jc w:val="both"/>
        <w:rPr>
          <w:rFonts w:asciiTheme="minorHAnsi" w:hAnsiTheme="minorHAnsi" w:cstheme="minorHAnsi"/>
        </w:rPr>
      </w:pPr>
      <w:r w:rsidRPr="004240F2">
        <w:rPr>
          <w:rFonts w:asciiTheme="minorHAnsi" w:hAnsiTheme="minorHAnsi" w:cstheme="minorHAnsi"/>
        </w:rPr>
        <w:t xml:space="preserve">Aktuální změna účetních předpisů s účinností od 1. </w:t>
      </w:r>
      <w:r w:rsidR="00997B4D" w:rsidRPr="004240F2">
        <w:rPr>
          <w:rFonts w:asciiTheme="minorHAnsi" w:hAnsiTheme="minorHAnsi" w:cstheme="minorHAnsi"/>
        </w:rPr>
        <w:t>ledna</w:t>
      </w:r>
      <w:r w:rsidRPr="004240F2">
        <w:rPr>
          <w:rFonts w:asciiTheme="minorHAnsi" w:hAnsiTheme="minorHAnsi" w:cstheme="minorHAnsi"/>
        </w:rPr>
        <w:t xml:space="preserve"> 2015 v oblasti transferů představuje další náročný proces v oblasti účetnictví, a to zejména pro ty účetní jednotky typu </w:t>
      </w:r>
      <w:r w:rsidR="002131A3" w:rsidRPr="004240F2">
        <w:rPr>
          <w:rFonts w:asciiTheme="minorHAnsi" w:hAnsiTheme="minorHAnsi" w:cstheme="minorHAnsi"/>
        </w:rPr>
        <w:t>OSS</w:t>
      </w:r>
      <w:r w:rsidRPr="004240F2">
        <w:rPr>
          <w:rFonts w:asciiTheme="minorHAnsi" w:hAnsiTheme="minorHAnsi" w:cstheme="minorHAnsi"/>
        </w:rPr>
        <w:t xml:space="preserve">, které </w:t>
      </w:r>
      <w:r w:rsidR="00E2665D">
        <w:rPr>
          <w:rFonts w:asciiTheme="minorHAnsi" w:hAnsiTheme="minorHAnsi" w:cstheme="minorHAnsi"/>
        </w:rPr>
        <w:t xml:space="preserve">o </w:t>
      </w:r>
      <w:r w:rsidR="00E2665D" w:rsidRPr="004240F2">
        <w:rPr>
          <w:rFonts w:asciiTheme="minorHAnsi" w:hAnsiTheme="minorHAnsi" w:cstheme="minorHAnsi"/>
        </w:rPr>
        <w:t>předfinancovaných transfer</w:t>
      </w:r>
      <w:r w:rsidR="00E2665D">
        <w:rPr>
          <w:rFonts w:asciiTheme="minorHAnsi" w:hAnsiTheme="minorHAnsi" w:cstheme="minorHAnsi"/>
        </w:rPr>
        <w:t>ech</w:t>
      </w:r>
      <w:r w:rsidR="00E2665D" w:rsidRPr="004240F2">
        <w:rPr>
          <w:rFonts w:asciiTheme="minorHAnsi" w:hAnsiTheme="minorHAnsi" w:cstheme="minorHAnsi"/>
        </w:rPr>
        <w:t xml:space="preserve"> </w:t>
      </w:r>
      <w:r w:rsidR="00E2665D">
        <w:rPr>
          <w:rFonts w:asciiTheme="minorHAnsi" w:hAnsiTheme="minorHAnsi" w:cstheme="minorHAnsi"/>
        </w:rPr>
        <w:t>účtovaly</w:t>
      </w:r>
      <w:r w:rsidRPr="004240F2">
        <w:rPr>
          <w:rFonts w:asciiTheme="minorHAnsi" w:hAnsiTheme="minorHAnsi" w:cstheme="minorHAnsi"/>
        </w:rPr>
        <w:t xml:space="preserve"> do roku 2014 </w:t>
      </w:r>
      <w:r w:rsidR="00E2665D">
        <w:rPr>
          <w:rFonts w:asciiTheme="minorHAnsi" w:hAnsiTheme="minorHAnsi" w:cstheme="minorHAnsi"/>
        </w:rPr>
        <w:t>(</w:t>
      </w:r>
      <w:r w:rsidRPr="004240F2">
        <w:rPr>
          <w:rFonts w:asciiTheme="minorHAnsi" w:hAnsiTheme="minorHAnsi" w:cstheme="minorHAnsi"/>
        </w:rPr>
        <w:t>obdobně jako MŠMT</w:t>
      </w:r>
      <w:r w:rsidR="00E2665D">
        <w:rPr>
          <w:rFonts w:asciiTheme="minorHAnsi" w:hAnsiTheme="minorHAnsi" w:cstheme="minorHAnsi"/>
        </w:rPr>
        <w:t>) v roli</w:t>
      </w:r>
      <w:r w:rsidRPr="004240F2">
        <w:rPr>
          <w:rFonts w:asciiTheme="minorHAnsi" w:hAnsiTheme="minorHAnsi" w:cstheme="minorHAnsi"/>
        </w:rPr>
        <w:t xml:space="preserve"> </w:t>
      </w:r>
      <w:r w:rsidR="00E2665D" w:rsidRPr="004240F2">
        <w:rPr>
          <w:rFonts w:asciiTheme="minorHAnsi" w:hAnsiTheme="minorHAnsi" w:cstheme="minorHAnsi"/>
        </w:rPr>
        <w:t>zprostředkovatele</w:t>
      </w:r>
      <w:r w:rsidRPr="004240F2">
        <w:rPr>
          <w:rFonts w:asciiTheme="minorHAnsi" w:hAnsiTheme="minorHAnsi" w:cstheme="minorHAnsi"/>
        </w:rPr>
        <w:t>.</w:t>
      </w:r>
      <w:r w:rsidRPr="0016697F">
        <w:rPr>
          <w:rFonts w:asciiTheme="minorHAnsi" w:hAnsiTheme="minorHAnsi" w:cstheme="minorHAnsi"/>
        </w:rPr>
        <w:t xml:space="preserve">   </w:t>
      </w:r>
    </w:p>
    <w:p w14:paraId="4179F03B" w14:textId="77777777" w:rsidR="00B62358" w:rsidRPr="00920634" w:rsidRDefault="00B62358" w:rsidP="00114439">
      <w:pPr>
        <w:jc w:val="both"/>
        <w:rPr>
          <w:rFonts w:asciiTheme="minorHAnsi" w:hAnsiTheme="minorHAnsi" w:cstheme="minorHAnsi"/>
        </w:rPr>
      </w:pPr>
    </w:p>
    <w:p w14:paraId="4488673E" w14:textId="0BF93310" w:rsidR="0082314F" w:rsidRPr="00920634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Významnější rozsah práce a zároveň riziko </w:t>
      </w:r>
      <w:r w:rsidR="0016697F">
        <w:rPr>
          <w:rFonts w:asciiTheme="minorHAnsi" w:hAnsiTheme="minorHAnsi" w:cstheme="minorHAnsi"/>
          <w:b/>
        </w:rPr>
        <w:t>ne</w:t>
      </w:r>
      <w:r w:rsidRPr="00920634">
        <w:rPr>
          <w:rFonts w:asciiTheme="minorHAnsi" w:hAnsiTheme="minorHAnsi" w:cstheme="minorHAnsi"/>
          <w:b/>
        </w:rPr>
        <w:t>správn</w:t>
      </w:r>
      <w:r w:rsidR="007129D5">
        <w:rPr>
          <w:rFonts w:asciiTheme="minorHAnsi" w:hAnsiTheme="minorHAnsi" w:cstheme="minorHAnsi"/>
          <w:b/>
        </w:rPr>
        <w:t>ého</w:t>
      </w:r>
      <w:r w:rsidRPr="00920634">
        <w:rPr>
          <w:rFonts w:asciiTheme="minorHAnsi" w:hAnsiTheme="minorHAnsi" w:cstheme="minorHAnsi"/>
          <w:b/>
        </w:rPr>
        <w:t xml:space="preserve"> </w:t>
      </w:r>
      <w:r w:rsidR="007129D5">
        <w:rPr>
          <w:rFonts w:asciiTheme="minorHAnsi" w:hAnsiTheme="minorHAnsi" w:cstheme="minorHAnsi"/>
          <w:b/>
        </w:rPr>
        <w:t>či</w:t>
      </w:r>
      <w:r w:rsidRPr="00920634">
        <w:rPr>
          <w:rFonts w:asciiTheme="minorHAnsi" w:hAnsiTheme="minorHAnsi" w:cstheme="minorHAnsi"/>
          <w:b/>
        </w:rPr>
        <w:t xml:space="preserve"> </w:t>
      </w:r>
      <w:r w:rsidR="0016697F">
        <w:rPr>
          <w:rFonts w:asciiTheme="minorHAnsi" w:hAnsiTheme="minorHAnsi" w:cstheme="minorHAnsi"/>
          <w:b/>
        </w:rPr>
        <w:t>ne</w:t>
      </w:r>
      <w:r w:rsidRPr="00920634">
        <w:rPr>
          <w:rFonts w:asciiTheme="minorHAnsi" w:hAnsiTheme="minorHAnsi" w:cstheme="minorHAnsi"/>
          <w:b/>
        </w:rPr>
        <w:t>úpln</w:t>
      </w:r>
      <w:r w:rsidR="007129D5">
        <w:rPr>
          <w:rFonts w:asciiTheme="minorHAnsi" w:hAnsiTheme="minorHAnsi" w:cstheme="minorHAnsi"/>
          <w:b/>
        </w:rPr>
        <w:t>ého</w:t>
      </w:r>
      <w:r w:rsidRPr="00920634">
        <w:rPr>
          <w:rFonts w:asciiTheme="minorHAnsi" w:hAnsiTheme="minorHAnsi" w:cstheme="minorHAnsi"/>
          <w:b/>
        </w:rPr>
        <w:t xml:space="preserve"> vykáz</w:t>
      </w:r>
      <w:r w:rsidR="007129D5">
        <w:rPr>
          <w:rFonts w:asciiTheme="minorHAnsi" w:hAnsiTheme="minorHAnsi" w:cstheme="minorHAnsi"/>
          <w:b/>
        </w:rPr>
        <w:t>ání</w:t>
      </w:r>
      <w:r w:rsidRPr="00920634">
        <w:rPr>
          <w:rFonts w:asciiTheme="minorHAnsi" w:hAnsiTheme="minorHAnsi" w:cstheme="minorHAnsi"/>
          <w:b/>
        </w:rPr>
        <w:t xml:space="preserve"> údajů představuje v souvislosti se změnou </w:t>
      </w:r>
      <w:r w:rsidR="00505444" w:rsidRPr="00920634">
        <w:rPr>
          <w:rFonts w:asciiTheme="minorHAnsi" w:hAnsiTheme="minorHAnsi" w:cstheme="minorHAnsi"/>
          <w:b/>
        </w:rPr>
        <w:t>účetní regulace</w:t>
      </w:r>
      <w:r w:rsidRPr="00920634">
        <w:rPr>
          <w:rFonts w:asciiTheme="minorHAnsi" w:hAnsiTheme="minorHAnsi" w:cstheme="minorHAnsi"/>
          <w:b/>
        </w:rPr>
        <w:t xml:space="preserve"> od 1. </w:t>
      </w:r>
      <w:r w:rsidR="00997B4D" w:rsidRPr="00920634">
        <w:rPr>
          <w:rFonts w:asciiTheme="minorHAnsi" w:hAnsiTheme="minorHAnsi" w:cstheme="minorHAnsi"/>
          <w:b/>
        </w:rPr>
        <w:t>ledna</w:t>
      </w:r>
      <w:r w:rsidRPr="00920634">
        <w:rPr>
          <w:rFonts w:asciiTheme="minorHAnsi" w:hAnsiTheme="minorHAnsi" w:cstheme="minorHAnsi"/>
          <w:b/>
        </w:rPr>
        <w:t xml:space="preserve"> 2015 účtování a</w:t>
      </w:r>
      <w:r w:rsidR="00445F18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>vyk</w:t>
      </w:r>
      <w:r w:rsidR="007129D5">
        <w:rPr>
          <w:rFonts w:asciiTheme="minorHAnsi" w:hAnsiTheme="minorHAnsi" w:cstheme="minorHAnsi"/>
          <w:b/>
        </w:rPr>
        <w:t>azování</w:t>
      </w:r>
      <w:r w:rsidRPr="00920634">
        <w:rPr>
          <w:rFonts w:asciiTheme="minorHAnsi" w:hAnsiTheme="minorHAnsi" w:cstheme="minorHAnsi"/>
          <w:b/>
        </w:rPr>
        <w:t xml:space="preserve"> podmíněných pohledávek z předfinancování transferů; MŠMT, MZe, ale i jiné OSS musí zpětně identif</w:t>
      </w:r>
      <w:r w:rsidR="007129D5">
        <w:rPr>
          <w:rFonts w:asciiTheme="minorHAnsi" w:hAnsiTheme="minorHAnsi" w:cstheme="minorHAnsi"/>
          <w:b/>
        </w:rPr>
        <w:t>i</w:t>
      </w:r>
      <w:r w:rsidRPr="00920634">
        <w:rPr>
          <w:rFonts w:asciiTheme="minorHAnsi" w:hAnsiTheme="minorHAnsi" w:cstheme="minorHAnsi"/>
          <w:b/>
        </w:rPr>
        <w:t>kovat výši předfinancovaných výdajů a ty vykázat jako podmíněné pohledávky z předfinancování transferů</w:t>
      </w:r>
      <w:r w:rsidRPr="008D4CD3">
        <w:rPr>
          <w:rFonts w:asciiTheme="minorHAnsi" w:hAnsiTheme="minorHAnsi" w:cstheme="minorHAnsi"/>
          <w:b/>
        </w:rPr>
        <w:t>.</w:t>
      </w:r>
      <w:r w:rsidRPr="00920634">
        <w:rPr>
          <w:rFonts w:asciiTheme="minorHAnsi" w:hAnsiTheme="minorHAnsi" w:cstheme="minorHAnsi"/>
        </w:rPr>
        <w:t xml:space="preserve"> </w:t>
      </w:r>
    </w:p>
    <w:p w14:paraId="5E1C9352" w14:textId="77777777" w:rsidR="00A06B57" w:rsidRPr="00920634" w:rsidRDefault="00A06B57" w:rsidP="00114439">
      <w:pPr>
        <w:jc w:val="both"/>
        <w:rPr>
          <w:rFonts w:asciiTheme="minorHAnsi" w:hAnsiTheme="minorHAnsi" w:cstheme="minorHAnsi"/>
          <w:b/>
        </w:rPr>
      </w:pPr>
    </w:p>
    <w:p w14:paraId="155A2EB7" w14:textId="2CFF60CF" w:rsidR="0082314F" w:rsidRPr="00920634" w:rsidRDefault="00C16E24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3.4 </w:t>
      </w:r>
      <w:r w:rsidR="0082314F" w:rsidRPr="00920634">
        <w:rPr>
          <w:rFonts w:asciiTheme="minorHAnsi" w:hAnsiTheme="minorHAnsi" w:cstheme="minorHAnsi"/>
          <w:b/>
        </w:rPr>
        <w:t>Porovnatelnost údajů</w:t>
      </w:r>
    </w:p>
    <w:p w14:paraId="10B1D903" w14:textId="77777777" w:rsidR="00353BC9" w:rsidRDefault="00353BC9" w:rsidP="00114439">
      <w:pPr>
        <w:jc w:val="both"/>
        <w:rPr>
          <w:rFonts w:asciiTheme="minorHAnsi" w:hAnsiTheme="minorHAnsi" w:cstheme="minorHAnsi"/>
        </w:rPr>
      </w:pPr>
    </w:p>
    <w:p w14:paraId="3FBECE17" w14:textId="7C8167F3" w:rsidR="0082314F" w:rsidRPr="00920634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 kontrol</w:t>
      </w:r>
      <w:r w:rsidR="00626C77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vyplynulo, že časov</w:t>
      </w:r>
      <w:r w:rsidR="007B7CAD" w:rsidRPr="00920634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řad</w:t>
      </w:r>
      <w:r w:rsidR="007B7CAD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údajů o předfinancovaných transferech vykázaných v účetních závěrkách </w:t>
      </w:r>
      <w:r w:rsidR="002E2488" w:rsidRPr="00920634">
        <w:rPr>
          <w:rFonts w:asciiTheme="minorHAnsi" w:hAnsiTheme="minorHAnsi" w:cstheme="minorHAnsi"/>
        </w:rPr>
        <w:t>OSS</w:t>
      </w:r>
      <w:r w:rsidRPr="00920634">
        <w:rPr>
          <w:rFonts w:asciiTheme="minorHAnsi" w:hAnsiTheme="minorHAnsi" w:cstheme="minorHAnsi"/>
        </w:rPr>
        <w:t>, v rozvah</w:t>
      </w:r>
      <w:r w:rsidR="00A11C4A">
        <w:rPr>
          <w:rFonts w:asciiTheme="minorHAnsi" w:hAnsiTheme="minorHAnsi" w:cstheme="minorHAnsi"/>
        </w:rPr>
        <w:t>ách</w:t>
      </w:r>
      <w:r w:rsidRPr="00920634">
        <w:rPr>
          <w:rFonts w:asciiTheme="minorHAnsi" w:hAnsiTheme="minorHAnsi" w:cstheme="minorHAnsi"/>
        </w:rPr>
        <w:t xml:space="preserve"> a výkazech zisku a ztráty jsou:</w:t>
      </w:r>
    </w:p>
    <w:p w14:paraId="15F51742" w14:textId="4E565FF1" w:rsidR="0082314F" w:rsidRPr="00920634" w:rsidRDefault="0082314F" w:rsidP="00114439">
      <w:pPr>
        <w:pStyle w:val="Odstavecseseznamem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za roky 2010–2014 zatíženy rizikem nesrovnatelnosti z důvodu nejasnosti účetních předpisů a</w:t>
      </w:r>
      <w:r w:rsidRPr="00920634">
        <w:rPr>
          <w:rFonts w:asciiTheme="minorHAnsi" w:hAnsiTheme="minorHAnsi" w:cstheme="minorHAnsi"/>
          <w:bCs/>
        </w:rPr>
        <w:t xml:space="preserve"> neporovnatelnosti údajů z důvodu změn účetní</w:t>
      </w:r>
      <w:r w:rsidR="006A02B7" w:rsidRPr="00920634">
        <w:rPr>
          <w:rFonts w:asciiTheme="minorHAnsi" w:hAnsiTheme="minorHAnsi" w:cstheme="minorHAnsi"/>
          <w:bCs/>
        </w:rPr>
        <w:t xml:space="preserve"> </w:t>
      </w:r>
      <w:r w:rsidR="00505444" w:rsidRPr="00920634">
        <w:rPr>
          <w:rFonts w:asciiTheme="minorHAnsi" w:hAnsiTheme="minorHAnsi" w:cstheme="minorHAnsi"/>
          <w:bCs/>
        </w:rPr>
        <w:t>regulace</w:t>
      </w:r>
      <w:r w:rsidRPr="00920634">
        <w:rPr>
          <w:rFonts w:asciiTheme="minorHAnsi" w:hAnsiTheme="minorHAnsi" w:cstheme="minorHAnsi"/>
          <w:bCs/>
        </w:rPr>
        <w:t>,</w:t>
      </w:r>
    </w:p>
    <w:p w14:paraId="7689FCB7" w14:textId="509DAF71" w:rsidR="0082314F" w:rsidRPr="00920634" w:rsidRDefault="0082314F" w:rsidP="00114439">
      <w:pPr>
        <w:pStyle w:val="Odstavecseseznamem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za roky 2009–2015 fakticky neporovnatelné </w:t>
      </w:r>
      <w:r w:rsidR="008D073A">
        <w:rPr>
          <w:rFonts w:asciiTheme="minorHAnsi" w:hAnsiTheme="minorHAnsi" w:cstheme="minorHAnsi"/>
          <w:bCs/>
        </w:rPr>
        <w:t>z </w:t>
      </w:r>
      <w:r w:rsidRPr="00920634">
        <w:rPr>
          <w:rFonts w:asciiTheme="minorHAnsi" w:hAnsiTheme="minorHAnsi" w:cstheme="minorHAnsi"/>
          <w:bCs/>
        </w:rPr>
        <w:t>důvodu čast</w:t>
      </w:r>
      <w:r w:rsidR="00A11C4A">
        <w:rPr>
          <w:rFonts w:asciiTheme="minorHAnsi" w:hAnsiTheme="minorHAnsi" w:cstheme="minorHAnsi"/>
          <w:bCs/>
        </w:rPr>
        <w:t>ých</w:t>
      </w:r>
      <w:r w:rsidRPr="00920634">
        <w:rPr>
          <w:rFonts w:asciiTheme="minorHAnsi" w:hAnsiTheme="minorHAnsi" w:cstheme="minorHAnsi"/>
          <w:bCs/>
        </w:rPr>
        <w:t xml:space="preserve"> a významn</w:t>
      </w:r>
      <w:r w:rsidR="00A11C4A">
        <w:rPr>
          <w:rFonts w:asciiTheme="minorHAnsi" w:hAnsiTheme="minorHAnsi" w:cstheme="minorHAnsi"/>
          <w:bCs/>
        </w:rPr>
        <w:t>ých</w:t>
      </w:r>
      <w:r w:rsidRPr="00920634">
        <w:rPr>
          <w:rFonts w:asciiTheme="minorHAnsi" w:hAnsiTheme="minorHAnsi" w:cstheme="minorHAnsi"/>
          <w:bCs/>
        </w:rPr>
        <w:t xml:space="preserve"> změn účetní</w:t>
      </w:r>
      <w:r w:rsidR="006A02B7" w:rsidRPr="00920634">
        <w:rPr>
          <w:rFonts w:asciiTheme="minorHAnsi" w:hAnsiTheme="minorHAnsi" w:cstheme="minorHAnsi"/>
          <w:bCs/>
        </w:rPr>
        <w:t xml:space="preserve"> </w:t>
      </w:r>
      <w:r w:rsidR="00505444" w:rsidRPr="00920634">
        <w:rPr>
          <w:rFonts w:asciiTheme="minorHAnsi" w:hAnsiTheme="minorHAnsi" w:cstheme="minorHAnsi"/>
          <w:bCs/>
        </w:rPr>
        <w:t>regulace</w:t>
      </w:r>
      <w:r w:rsidRPr="00920634">
        <w:rPr>
          <w:rFonts w:asciiTheme="minorHAnsi" w:hAnsiTheme="minorHAnsi" w:cstheme="minorHAnsi"/>
        </w:rPr>
        <w:t>.</w:t>
      </w:r>
    </w:p>
    <w:p w14:paraId="65EFE123" w14:textId="77777777" w:rsidR="00D833AC" w:rsidRPr="00920634" w:rsidRDefault="00D833AC" w:rsidP="00114439">
      <w:pPr>
        <w:pStyle w:val="Odstavecseseznamem"/>
        <w:ind w:left="0"/>
        <w:rPr>
          <w:rFonts w:asciiTheme="minorHAnsi" w:hAnsiTheme="minorHAnsi" w:cstheme="minorHAnsi"/>
        </w:rPr>
      </w:pPr>
    </w:p>
    <w:p w14:paraId="26B0EC19" w14:textId="6E7D207B" w:rsidR="0082314F" w:rsidRPr="00920634" w:rsidRDefault="0082314F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Přehled základních faktorů relevantních pro porovnatelnost údajů o spolufinancovaných transferech v období let 2009–2015 a základní důvody neporovnatelnosti</w:t>
      </w:r>
      <w:r w:rsidR="00DD3478">
        <w:rPr>
          <w:rFonts w:asciiTheme="minorHAnsi" w:hAnsiTheme="minorHAnsi" w:cstheme="minorHAnsi"/>
        </w:rPr>
        <w:t xml:space="preserve"> těchto údajů </w:t>
      </w:r>
      <w:r w:rsidRPr="00920634">
        <w:rPr>
          <w:rFonts w:asciiTheme="minorHAnsi" w:hAnsiTheme="minorHAnsi" w:cstheme="minorHAnsi"/>
        </w:rPr>
        <w:t>ilustruje následující schéma</w:t>
      </w:r>
      <w:r w:rsidR="000B37C2">
        <w:rPr>
          <w:rFonts w:asciiTheme="minorHAnsi" w:hAnsiTheme="minorHAnsi" w:cstheme="minorHAnsi"/>
        </w:rPr>
        <w:t>.</w:t>
      </w:r>
    </w:p>
    <w:p w14:paraId="413E6CFD" w14:textId="77777777" w:rsidR="00813116" w:rsidRDefault="00813116" w:rsidP="00114439">
      <w:pPr>
        <w:jc w:val="both"/>
        <w:rPr>
          <w:rFonts w:asciiTheme="minorHAnsi" w:hAnsiTheme="minorHAnsi" w:cstheme="minorHAnsi"/>
          <w:b/>
        </w:rPr>
      </w:pPr>
    </w:p>
    <w:p w14:paraId="77E22EE4" w14:textId="1058C352" w:rsidR="00B33BB9" w:rsidRPr="00353BC9" w:rsidRDefault="0082314F" w:rsidP="008D4CD3">
      <w:pPr>
        <w:keepNext/>
        <w:ind w:left="1418" w:hanging="1418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lastRenderedPageBreak/>
        <w:t xml:space="preserve">Schéma č. </w:t>
      </w:r>
      <w:r w:rsidR="00A1412B" w:rsidRPr="00920634">
        <w:rPr>
          <w:rFonts w:asciiTheme="minorHAnsi" w:hAnsiTheme="minorHAnsi" w:cstheme="minorHAnsi"/>
          <w:b/>
        </w:rPr>
        <w:t>2</w:t>
      </w:r>
      <w:r w:rsidRPr="00920634">
        <w:rPr>
          <w:rFonts w:asciiTheme="minorHAnsi" w:hAnsiTheme="minorHAnsi" w:cstheme="minorHAnsi"/>
          <w:b/>
        </w:rPr>
        <w:t xml:space="preserve"> –</w:t>
      </w:r>
      <w:r w:rsidR="003C2FC2" w:rsidRPr="00920634">
        <w:rPr>
          <w:rFonts w:asciiTheme="minorHAnsi" w:hAnsiTheme="minorHAnsi" w:cstheme="minorHAnsi"/>
          <w:b/>
        </w:rPr>
        <w:t xml:space="preserve"> </w:t>
      </w:r>
      <w:r w:rsidR="0049303C">
        <w:rPr>
          <w:rFonts w:asciiTheme="minorHAnsi" w:hAnsiTheme="minorHAnsi" w:cstheme="minorHAnsi"/>
          <w:b/>
        </w:rPr>
        <w:t xml:space="preserve">Informace </w:t>
      </w:r>
      <w:r w:rsidR="008D073A">
        <w:rPr>
          <w:rFonts w:asciiTheme="minorHAnsi" w:hAnsiTheme="minorHAnsi" w:cstheme="minorHAnsi"/>
          <w:b/>
        </w:rPr>
        <w:t>k </w:t>
      </w:r>
      <w:r w:rsidR="0049303C">
        <w:rPr>
          <w:rFonts w:asciiTheme="minorHAnsi" w:hAnsiTheme="minorHAnsi" w:cstheme="minorHAnsi"/>
          <w:b/>
        </w:rPr>
        <w:t>p</w:t>
      </w:r>
      <w:r w:rsidR="003C2FC2" w:rsidRPr="00920634">
        <w:rPr>
          <w:rFonts w:asciiTheme="minorHAnsi" w:hAnsiTheme="minorHAnsi" w:cstheme="minorHAnsi"/>
          <w:b/>
        </w:rPr>
        <w:t>o</w:t>
      </w:r>
      <w:r w:rsidRPr="00920634">
        <w:rPr>
          <w:rFonts w:asciiTheme="minorHAnsi" w:hAnsiTheme="minorHAnsi" w:cstheme="minorHAnsi"/>
          <w:b/>
        </w:rPr>
        <w:t>rovnatelnost</w:t>
      </w:r>
      <w:r w:rsidR="0049303C">
        <w:rPr>
          <w:rFonts w:asciiTheme="minorHAnsi" w:hAnsiTheme="minorHAnsi" w:cstheme="minorHAnsi"/>
          <w:b/>
        </w:rPr>
        <w:t>i</w:t>
      </w:r>
      <w:r w:rsidRPr="00920634">
        <w:rPr>
          <w:rFonts w:asciiTheme="minorHAnsi" w:hAnsiTheme="minorHAnsi" w:cstheme="minorHAnsi"/>
          <w:b/>
        </w:rPr>
        <w:t xml:space="preserve"> údajů účetních závěrek </w:t>
      </w:r>
      <w:r w:rsidR="000559E1" w:rsidRPr="00920634">
        <w:rPr>
          <w:rFonts w:asciiTheme="minorHAnsi" w:hAnsiTheme="minorHAnsi" w:cstheme="minorHAnsi"/>
          <w:b/>
        </w:rPr>
        <w:t>OSS</w:t>
      </w:r>
      <w:r w:rsidRPr="00920634">
        <w:rPr>
          <w:rFonts w:asciiTheme="minorHAnsi" w:hAnsiTheme="minorHAnsi" w:cstheme="minorHAnsi"/>
          <w:b/>
        </w:rPr>
        <w:t xml:space="preserve"> v oblasti spolufinancovaných transferů v letech 200</w:t>
      </w:r>
      <w:r w:rsidR="000559E1" w:rsidRPr="00920634">
        <w:rPr>
          <w:rFonts w:asciiTheme="minorHAnsi" w:hAnsiTheme="minorHAnsi" w:cstheme="minorHAnsi"/>
          <w:b/>
        </w:rPr>
        <w:t>9</w:t>
      </w:r>
      <w:r w:rsidRPr="00920634">
        <w:rPr>
          <w:rFonts w:asciiTheme="minorHAnsi" w:hAnsiTheme="minorHAnsi" w:cstheme="minorHAnsi"/>
          <w:b/>
        </w:rPr>
        <w:t xml:space="preserve">–2015 </w:t>
      </w:r>
      <w:r w:rsidR="001F5AC4" w:rsidRPr="00920634">
        <w:rPr>
          <w:rFonts w:asciiTheme="minorHAnsi" w:hAnsiTheme="minorHAnsi" w:cstheme="minorHAnsi"/>
          <w:b/>
        </w:rPr>
        <w:t>(předfinancované části)</w:t>
      </w:r>
    </w:p>
    <w:p w14:paraId="3B2DD019" w14:textId="694A60A0" w:rsidR="00B33BB9" w:rsidRDefault="00B33BB9" w:rsidP="00114439">
      <w:pPr>
        <w:rPr>
          <w:noProof/>
          <w:lang w:eastAsia="cs-CZ"/>
        </w:rPr>
      </w:pPr>
    </w:p>
    <w:p w14:paraId="6569D6BB" w14:textId="18EEF791" w:rsidR="001A33FB" w:rsidRDefault="001A33FB" w:rsidP="00114439">
      <w:pPr>
        <w:rPr>
          <w:noProof/>
          <w:lang w:eastAsia="cs-CZ"/>
        </w:rPr>
      </w:pPr>
      <w:r w:rsidRPr="00D41EEB">
        <w:rPr>
          <w:noProof/>
          <w:lang w:eastAsia="cs-CZ"/>
        </w:rPr>
        <w:drawing>
          <wp:inline distT="0" distB="0" distL="0" distR="0" wp14:anchorId="229C3943" wp14:editId="27D578E0">
            <wp:extent cx="5760720" cy="31286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B8DA" w14:textId="51540B83" w:rsidR="0082314F" w:rsidRPr="008D4CD3" w:rsidRDefault="0082314F" w:rsidP="001642D3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  <w:r w:rsidR="00DD3478">
        <w:rPr>
          <w:rFonts w:asciiTheme="minorHAnsi" w:hAnsiTheme="minorHAnsi" w:cstheme="minorHAnsi"/>
          <w:sz w:val="20"/>
          <w:szCs w:val="20"/>
        </w:rPr>
        <w:t>v</w:t>
      </w:r>
      <w:r w:rsidRPr="008D4CD3">
        <w:rPr>
          <w:rFonts w:asciiTheme="minorHAnsi" w:hAnsiTheme="minorHAnsi" w:cstheme="minorHAnsi"/>
          <w:sz w:val="20"/>
          <w:szCs w:val="20"/>
        </w:rPr>
        <w:t xml:space="preserve">lastní vyhodnocení vyhlášky č. 410/2009 Sb. a ČÚS č. 703 </w:t>
      </w:r>
      <w:r w:rsidR="00532824" w:rsidRPr="008D4CD3">
        <w:rPr>
          <w:rFonts w:asciiTheme="minorHAnsi" w:hAnsiTheme="minorHAnsi" w:cstheme="minorHAnsi"/>
          <w:sz w:val="20"/>
          <w:szCs w:val="20"/>
        </w:rPr>
        <w:t>–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  <w:r w:rsidRPr="00DD3478">
        <w:rPr>
          <w:rFonts w:asciiTheme="minorHAnsi" w:hAnsiTheme="minorHAnsi" w:cstheme="minorHAnsi"/>
          <w:i/>
          <w:sz w:val="20"/>
          <w:szCs w:val="20"/>
        </w:rPr>
        <w:t>Transfery</w:t>
      </w:r>
      <w:r w:rsidR="00997B4D" w:rsidRPr="008D4CD3">
        <w:rPr>
          <w:rFonts w:asciiTheme="minorHAnsi" w:hAnsiTheme="minorHAnsi" w:cstheme="minorHAnsi"/>
          <w:sz w:val="20"/>
          <w:szCs w:val="20"/>
        </w:rPr>
        <w:t>.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1BF6EE" w14:textId="3C3E661C" w:rsidR="00505444" w:rsidRPr="00920634" w:rsidRDefault="00505444" w:rsidP="00114439">
      <w:pPr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Legenda:</w:t>
      </w:r>
      <w:r w:rsidRPr="008D4CD3">
        <w:rPr>
          <w:rFonts w:asciiTheme="minorHAnsi" w:hAnsiTheme="minorHAnsi" w:cstheme="minorHAnsi"/>
          <w:sz w:val="20"/>
          <w:szCs w:val="20"/>
        </w:rPr>
        <w:t xml:space="preserve"> N/A znamená </w:t>
      </w:r>
      <w:r w:rsidR="0037568B" w:rsidRPr="008D4CD3">
        <w:rPr>
          <w:rFonts w:asciiTheme="minorHAnsi" w:hAnsiTheme="minorHAnsi" w:cstheme="minorHAnsi"/>
          <w:sz w:val="20"/>
          <w:szCs w:val="20"/>
        </w:rPr>
        <w:t>„</w:t>
      </w:r>
      <w:r w:rsidRPr="008D4CD3">
        <w:rPr>
          <w:rFonts w:asciiTheme="minorHAnsi" w:hAnsiTheme="minorHAnsi" w:cstheme="minorHAnsi"/>
          <w:sz w:val="20"/>
          <w:szCs w:val="20"/>
        </w:rPr>
        <w:t>nemá význam</w:t>
      </w:r>
      <w:r w:rsidR="0037568B" w:rsidRPr="008D4CD3">
        <w:rPr>
          <w:rFonts w:asciiTheme="minorHAnsi" w:hAnsiTheme="minorHAnsi" w:cstheme="minorHAnsi"/>
          <w:sz w:val="20"/>
          <w:szCs w:val="20"/>
        </w:rPr>
        <w:t>“</w:t>
      </w:r>
      <w:r w:rsidRPr="008D4CD3">
        <w:rPr>
          <w:rFonts w:asciiTheme="minorHAnsi" w:hAnsiTheme="minorHAnsi" w:cstheme="minorHAnsi"/>
          <w:sz w:val="20"/>
          <w:szCs w:val="20"/>
        </w:rPr>
        <w:t>, neboť o těchto skutečnostech se v roce 2009 neúčtovalo</w:t>
      </w:r>
      <w:r w:rsidRPr="00DD3478">
        <w:rPr>
          <w:rFonts w:asciiTheme="minorHAnsi" w:hAnsiTheme="minorHAnsi" w:cstheme="minorHAnsi"/>
          <w:sz w:val="20"/>
          <w:szCs w:val="20"/>
        </w:rPr>
        <w:t>.</w:t>
      </w:r>
    </w:p>
    <w:p w14:paraId="346134A4" w14:textId="77777777" w:rsidR="007E28AF" w:rsidRDefault="007E28AF" w:rsidP="00114439">
      <w:pPr>
        <w:spacing w:line="23" w:lineRule="atLeast"/>
        <w:jc w:val="both"/>
        <w:rPr>
          <w:rFonts w:asciiTheme="minorHAnsi" w:hAnsiTheme="minorHAnsi" w:cstheme="minorHAnsi"/>
        </w:rPr>
      </w:pPr>
    </w:p>
    <w:p w14:paraId="27ACEBFB" w14:textId="6E023354" w:rsidR="00D2113B" w:rsidRPr="00920634" w:rsidRDefault="001F5AC4" w:rsidP="00114439">
      <w:pPr>
        <w:spacing w:line="23" w:lineRule="atLeast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Ú</w:t>
      </w:r>
      <w:r w:rsidR="0082314F" w:rsidRPr="00920634">
        <w:rPr>
          <w:rFonts w:asciiTheme="minorHAnsi" w:hAnsiTheme="minorHAnsi" w:cstheme="minorHAnsi"/>
        </w:rPr>
        <w:t xml:space="preserve">četní </w:t>
      </w:r>
      <w:r w:rsidR="00505444" w:rsidRPr="00920634">
        <w:rPr>
          <w:rFonts w:asciiTheme="minorHAnsi" w:hAnsiTheme="minorHAnsi" w:cstheme="minorHAnsi"/>
        </w:rPr>
        <w:t>regulace platná</w:t>
      </w:r>
      <w:r w:rsidR="0082314F" w:rsidRPr="00920634">
        <w:rPr>
          <w:rFonts w:asciiTheme="minorHAnsi" w:hAnsiTheme="minorHAnsi" w:cstheme="minorHAnsi"/>
        </w:rPr>
        <w:t xml:space="preserve"> pro </w:t>
      </w:r>
      <w:r w:rsidR="00163249" w:rsidRPr="00920634">
        <w:rPr>
          <w:rFonts w:asciiTheme="minorHAnsi" w:hAnsiTheme="minorHAnsi" w:cstheme="minorHAnsi"/>
        </w:rPr>
        <w:t>OSS</w:t>
      </w:r>
      <w:r w:rsidR="0082314F" w:rsidRPr="00920634">
        <w:rPr>
          <w:rFonts w:asciiTheme="minorHAnsi" w:hAnsiTheme="minorHAnsi" w:cstheme="minorHAnsi"/>
        </w:rPr>
        <w:t xml:space="preserve"> v průběhu let 2009–2015 postupně měnil</w:t>
      </w:r>
      <w:r w:rsidR="00505444" w:rsidRPr="00920634">
        <w:rPr>
          <w:rFonts w:asciiTheme="minorHAnsi" w:hAnsiTheme="minorHAnsi" w:cstheme="minorHAnsi"/>
        </w:rPr>
        <w:t>a</w:t>
      </w:r>
      <w:r w:rsidR="0082314F" w:rsidRPr="00920634">
        <w:rPr>
          <w:rFonts w:asciiTheme="minorHAnsi" w:hAnsiTheme="minorHAnsi" w:cstheme="minorHAnsi"/>
        </w:rPr>
        <w:t xml:space="preserve"> požadavky na zobrazení údajů o spolufinancovaných transferech a odstraňoval</w:t>
      </w:r>
      <w:r w:rsidR="00505444" w:rsidRPr="00920634">
        <w:rPr>
          <w:rFonts w:asciiTheme="minorHAnsi" w:hAnsiTheme="minorHAnsi" w:cstheme="minorHAnsi"/>
        </w:rPr>
        <w:t>a</w:t>
      </w:r>
      <w:r w:rsidR="0082314F" w:rsidRPr="00920634">
        <w:rPr>
          <w:rFonts w:asciiTheme="minorHAnsi" w:hAnsiTheme="minorHAnsi" w:cstheme="minorHAnsi"/>
        </w:rPr>
        <w:t xml:space="preserve"> nejasnosti, které vznikly na začátku účetní reformy</w:t>
      </w:r>
      <w:r w:rsidRPr="00920634">
        <w:rPr>
          <w:rFonts w:asciiTheme="minorHAnsi" w:hAnsiTheme="minorHAnsi" w:cstheme="minorHAnsi"/>
        </w:rPr>
        <w:t>;</w:t>
      </w:r>
      <w:r w:rsidR="008D073A">
        <w:rPr>
          <w:rFonts w:asciiTheme="minorHAnsi" w:hAnsiTheme="minorHAnsi" w:cstheme="minorHAnsi"/>
        </w:rPr>
        <w:t xml:space="preserve"> </w:t>
      </w:r>
      <w:r w:rsidR="00163249" w:rsidRPr="00920634">
        <w:rPr>
          <w:rFonts w:asciiTheme="minorHAnsi" w:hAnsiTheme="minorHAnsi" w:cstheme="minorHAnsi"/>
        </w:rPr>
        <w:t xml:space="preserve">postupně se </w:t>
      </w:r>
      <w:r w:rsidR="001940F3" w:rsidRPr="00920634">
        <w:rPr>
          <w:rFonts w:asciiTheme="minorHAnsi" w:hAnsiTheme="minorHAnsi" w:cstheme="minorHAnsi"/>
        </w:rPr>
        <w:t xml:space="preserve">tak </w:t>
      </w:r>
      <w:r w:rsidR="00163249" w:rsidRPr="00920634">
        <w:rPr>
          <w:rFonts w:asciiTheme="minorHAnsi" w:hAnsiTheme="minorHAnsi" w:cstheme="minorHAnsi"/>
        </w:rPr>
        <w:t>vytvářel</w:t>
      </w:r>
      <w:r w:rsidR="001940F3" w:rsidRPr="00920634">
        <w:rPr>
          <w:rFonts w:asciiTheme="minorHAnsi" w:hAnsiTheme="minorHAnsi" w:cstheme="minorHAnsi"/>
        </w:rPr>
        <w:t>y</w:t>
      </w:r>
      <w:r w:rsidR="00163249" w:rsidRPr="00920634">
        <w:rPr>
          <w:rFonts w:asciiTheme="minorHAnsi" w:hAnsiTheme="minorHAnsi" w:cstheme="minorHAnsi"/>
        </w:rPr>
        <w:t xml:space="preserve"> </w:t>
      </w:r>
      <w:r w:rsidR="001940F3" w:rsidRPr="00920634">
        <w:rPr>
          <w:rFonts w:asciiTheme="minorHAnsi" w:hAnsiTheme="minorHAnsi" w:cstheme="minorHAnsi"/>
        </w:rPr>
        <w:t xml:space="preserve">podmínky </w:t>
      </w:r>
      <w:r w:rsidR="0082314F" w:rsidRPr="00920634">
        <w:rPr>
          <w:rFonts w:asciiTheme="minorHAnsi" w:hAnsiTheme="minorHAnsi" w:cstheme="minorHAnsi"/>
        </w:rPr>
        <w:t xml:space="preserve">pro </w:t>
      </w:r>
      <w:r w:rsidRPr="00920634">
        <w:rPr>
          <w:rFonts w:asciiTheme="minorHAnsi" w:hAnsiTheme="minorHAnsi" w:cstheme="minorHAnsi"/>
        </w:rPr>
        <w:t>jasn</w:t>
      </w:r>
      <w:r w:rsidR="001940F3" w:rsidRPr="00920634">
        <w:rPr>
          <w:rFonts w:asciiTheme="minorHAnsi" w:hAnsiTheme="minorHAnsi" w:cstheme="minorHAnsi"/>
        </w:rPr>
        <w:t>ější, srovnatelnější</w:t>
      </w:r>
      <w:r w:rsidRPr="00920634">
        <w:rPr>
          <w:rFonts w:asciiTheme="minorHAnsi" w:hAnsiTheme="minorHAnsi" w:cstheme="minorHAnsi"/>
        </w:rPr>
        <w:t xml:space="preserve"> a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srozumitelné </w:t>
      </w:r>
      <w:r w:rsidR="008D1C0C">
        <w:rPr>
          <w:rFonts w:asciiTheme="minorHAnsi" w:hAnsiTheme="minorHAnsi" w:cstheme="minorHAnsi"/>
        </w:rPr>
        <w:t>údaje o</w:t>
      </w:r>
      <w:r w:rsidR="0082314F" w:rsidRPr="00920634">
        <w:rPr>
          <w:rFonts w:asciiTheme="minorHAnsi" w:hAnsiTheme="minorHAnsi" w:cstheme="minorHAnsi"/>
        </w:rPr>
        <w:t xml:space="preserve"> transfer</w:t>
      </w:r>
      <w:r w:rsidR="008D1C0C">
        <w:rPr>
          <w:rFonts w:asciiTheme="minorHAnsi" w:hAnsiTheme="minorHAnsi" w:cstheme="minorHAnsi"/>
        </w:rPr>
        <w:t>ech</w:t>
      </w:r>
      <w:r w:rsidR="0082314F" w:rsidRPr="00920634">
        <w:rPr>
          <w:rFonts w:asciiTheme="minorHAnsi" w:hAnsiTheme="minorHAnsi" w:cstheme="minorHAnsi"/>
        </w:rPr>
        <w:t>, zejména těch spolufinancovaných</w:t>
      </w:r>
      <w:r w:rsidR="009B006A">
        <w:rPr>
          <w:rFonts w:asciiTheme="minorHAnsi" w:hAnsiTheme="minorHAnsi" w:cstheme="minorHAnsi"/>
        </w:rPr>
        <w:t>.</w:t>
      </w:r>
    </w:p>
    <w:p w14:paraId="7088CB0B" w14:textId="77777777" w:rsidR="00350806" w:rsidRPr="00920634" w:rsidRDefault="00350806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11FB6515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>4. Skutečnosti zjištěné kontrolou u MŠMT a MZe</w:t>
      </w:r>
    </w:p>
    <w:p w14:paraId="74618B00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75D1E1C2" w14:textId="6D21C4E8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>4.1 Komplexn</w:t>
      </w:r>
      <w:r w:rsidR="00994D9F" w:rsidRPr="00920634">
        <w:rPr>
          <w:rFonts w:asciiTheme="minorHAnsi" w:hAnsiTheme="minorHAnsi" w:cstheme="minorHAnsi"/>
          <w:b/>
          <w:sz w:val="24"/>
        </w:rPr>
        <w:t>ost</w:t>
      </w:r>
      <w:r w:rsidRPr="00920634">
        <w:rPr>
          <w:rFonts w:asciiTheme="minorHAnsi" w:hAnsiTheme="minorHAnsi" w:cstheme="minorHAnsi"/>
          <w:b/>
          <w:sz w:val="24"/>
        </w:rPr>
        <w:t xml:space="preserve"> </w:t>
      </w:r>
      <w:r w:rsidR="002F1DF9" w:rsidRPr="00920634">
        <w:rPr>
          <w:rFonts w:asciiTheme="minorHAnsi" w:hAnsiTheme="minorHAnsi" w:cstheme="minorHAnsi"/>
          <w:b/>
          <w:sz w:val="24"/>
        </w:rPr>
        <w:t>zobrazování skutečnosti v</w:t>
      </w:r>
      <w:r w:rsidR="006A02B7" w:rsidRPr="00920634">
        <w:rPr>
          <w:rFonts w:asciiTheme="minorHAnsi" w:hAnsiTheme="minorHAnsi" w:cstheme="minorHAnsi"/>
          <w:b/>
          <w:sz w:val="24"/>
        </w:rPr>
        <w:t> </w:t>
      </w:r>
      <w:r w:rsidR="002F1DF9" w:rsidRPr="00920634">
        <w:rPr>
          <w:rFonts w:asciiTheme="minorHAnsi" w:hAnsiTheme="minorHAnsi" w:cstheme="minorHAnsi"/>
          <w:b/>
          <w:sz w:val="24"/>
        </w:rPr>
        <w:t>účetnictví</w:t>
      </w:r>
      <w:r w:rsidR="006A02B7" w:rsidRPr="00920634">
        <w:rPr>
          <w:rFonts w:asciiTheme="minorHAnsi" w:hAnsiTheme="minorHAnsi" w:cstheme="minorHAnsi"/>
          <w:b/>
          <w:sz w:val="24"/>
        </w:rPr>
        <w:t xml:space="preserve"> a účetní závěrce</w:t>
      </w:r>
    </w:p>
    <w:p w14:paraId="0FCEC890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0AF1042C" w14:textId="438BEF6B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MŠMT i MZe zavedly komplexní systémy pro </w:t>
      </w:r>
      <w:r w:rsidR="00505444" w:rsidRPr="00920634">
        <w:rPr>
          <w:rFonts w:asciiTheme="minorHAnsi" w:hAnsiTheme="minorHAnsi" w:cstheme="minorHAnsi"/>
          <w:sz w:val="24"/>
        </w:rPr>
        <w:t xml:space="preserve">vedení informací a účtování </w:t>
      </w:r>
      <w:r w:rsidRPr="00920634">
        <w:rPr>
          <w:rFonts w:asciiTheme="minorHAnsi" w:hAnsiTheme="minorHAnsi" w:cstheme="minorHAnsi"/>
          <w:sz w:val="24"/>
        </w:rPr>
        <w:t>účetních případů týkajících se transferů spolufinancovaných ze zahraničí. Kontrolované osoby účtovaly o</w:t>
      </w:r>
      <w:r w:rsidR="00350806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vzniku podmíněných závazků z titulu transferů poskytovaných příjemcům, o</w:t>
      </w:r>
      <w:r w:rsidR="00920634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podmíněných pohledávkách z titulu nároků na refundaci prostředků (MŠMT účtovalo i</w:t>
      </w:r>
      <w:r w:rsidR="00920634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o</w:t>
      </w:r>
      <w:r w:rsidR="00920634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 xml:space="preserve">pohledávkách rozvahových), v relevantních případech o poskytnutých </w:t>
      </w:r>
      <w:r w:rsidR="00617064">
        <w:rPr>
          <w:rFonts w:asciiTheme="minorHAnsi" w:hAnsiTheme="minorHAnsi" w:cstheme="minorHAnsi"/>
          <w:sz w:val="24"/>
        </w:rPr>
        <w:t>zálohách (týká se pouze MŠMT) a </w:t>
      </w:r>
      <w:r w:rsidRPr="00920634">
        <w:rPr>
          <w:rFonts w:asciiTheme="minorHAnsi" w:hAnsiTheme="minorHAnsi" w:cstheme="minorHAnsi"/>
          <w:sz w:val="24"/>
        </w:rPr>
        <w:t>v návaznosti na svou roli při poskytování transfer</w:t>
      </w:r>
      <w:r w:rsidR="00B33805">
        <w:rPr>
          <w:rFonts w:asciiTheme="minorHAnsi" w:hAnsiTheme="minorHAnsi" w:cstheme="minorHAnsi"/>
          <w:sz w:val="24"/>
        </w:rPr>
        <w:t>ů</w:t>
      </w:r>
      <w:r w:rsidRPr="00920634">
        <w:rPr>
          <w:rFonts w:asciiTheme="minorHAnsi" w:hAnsiTheme="minorHAnsi" w:cstheme="minorHAnsi"/>
          <w:sz w:val="24"/>
        </w:rPr>
        <w:t xml:space="preserve"> také o nákladech z poskytnutí, </w:t>
      </w:r>
      <w:r w:rsidR="00617064">
        <w:rPr>
          <w:rFonts w:asciiTheme="minorHAnsi" w:hAnsiTheme="minorHAnsi" w:cstheme="minorHAnsi"/>
          <w:sz w:val="24"/>
        </w:rPr>
        <w:t>o </w:t>
      </w:r>
      <w:r w:rsidRPr="00920634">
        <w:rPr>
          <w:rFonts w:asciiTheme="minorHAnsi" w:hAnsiTheme="minorHAnsi" w:cstheme="minorHAnsi"/>
          <w:sz w:val="24"/>
        </w:rPr>
        <w:t>dohadných účt</w:t>
      </w:r>
      <w:r w:rsidR="004E2A9D" w:rsidRPr="00920634">
        <w:rPr>
          <w:rFonts w:asciiTheme="minorHAnsi" w:hAnsiTheme="minorHAnsi" w:cstheme="minorHAnsi"/>
          <w:sz w:val="24"/>
        </w:rPr>
        <w:t>ech</w:t>
      </w:r>
      <w:r w:rsidRPr="00920634">
        <w:rPr>
          <w:rFonts w:asciiTheme="minorHAnsi" w:hAnsiTheme="minorHAnsi" w:cstheme="minorHAnsi"/>
          <w:sz w:val="24"/>
        </w:rPr>
        <w:t xml:space="preserve"> pasivních (týká se pouze MŠMT) a výnosech z refundací.</w:t>
      </w:r>
    </w:p>
    <w:p w14:paraId="5B39C6E0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8A72CFA" w14:textId="7B2BED9F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sz w:val="24"/>
        </w:rPr>
        <w:t>Některé skutečnosti související s řízením programů nejsou účetními případy MŠMT ani MZe, ale jiných účetních jednotek. Jedná se zejména o pohledávky a závazky vymáhané orgány finanční správy či financování projektů z prostředků jiných kapitol státního rozpočtu</w:t>
      </w:r>
      <w:r w:rsidR="00A06B57" w:rsidRPr="00920634">
        <w:rPr>
          <w:rFonts w:asciiTheme="minorHAnsi" w:hAnsiTheme="minorHAnsi" w:cstheme="minorHAnsi"/>
          <w:sz w:val="24"/>
        </w:rPr>
        <w:t xml:space="preserve">, </w:t>
      </w:r>
      <w:r w:rsidR="00B33805">
        <w:rPr>
          <w:rFonts w:asciiTheme="minorHAnsi" w:hAnsiTheme="minorHAnsi" w:cstheme="minorHAnsi"/>
          <w:sz w:val="24"/>
        </w:rPr>
        <w:t>tyto prostředky</w:t>
      </w:r>
      <w:r w:rsidR="00A06B57" w:rsidRPr="00920634">
        <w:rPr>
          <w:rFonts w:asciiTheme="minorHAnsi" w:hAnsiTheme="minorHAnsi" w:cstheme="minorHAnsi"/>
          <w:sz w:val="24"/>
        </w:rPr>
        <w:t xml:space="preserve"> </w:t>
      </w:r>
      <w:r w:rsidR="00B33805">
        <w:rPr>
          <w:rFonts w:asciiTheme="minorHAnsi" w:hAnsiTheme="minorHAnsi" w:cstheme="minorHAnsi"/>
          <w:sz w:val="24"/>
        </w:rPr>
        <w:t>organizační složka státu</w:t>
      </w:r>
      <w:r w:rsidR="00A06B57" w:rsidRPr="00920634">
        <w:rPr>
          <w:rFonts w:asciiTheme="minorHAnsi" w:hAnsiTheme="minorHAnsi" w:cstheme="minorHAnsi"/>
          <w:sz w:val="24"/>
        </w:rPr>
        <w:t xml:space="preserve"> v pozici říd</w:t>
      </w:r>
      <w:r w:rsidR="00B33805">
        <w:rPr>
          <w:rFonts w:asciiTheme="minorHAnsi" w:hAnsiTheme="minorHAnsi" w:cstheme="minorHAnsi"/>
          <w:sz w:val="24"/>
        </w:rPr>
        <w:t>i</w:t>
      </w:r>
      <w:r w:rsidR="00A06B57" w:rsidRPr="00920634">
        <w:rPr>
          <w:rFonts w:asciiTheme="minorHAnsi" w:hAnsiTheme="minorHAnsi" w:cstheme="minorHAnsi"/>
          <w:sz w:val="24"/>
        </w:rPr>
        <w:t xml:space="preserve">cího orgánu sleduje v monitorovacích systémech, </w:t>
      </w:r>
      <w:r w:rsidR="00B33805">
        <w:rPr>
          <w:rFonts w:asciiTheme="minorHAnsi" w:hAnsiTheme="minorHAnsi" w:cstheme="minorHAnsi"/>
          <w:sz w:val="24"/>
        </w:rPr>
        <w:t xml:space="preserve">ale </w:t>
      </w:r>
      <w:r w:rsidR="00A06B57" w:rsidRPr="00920634">
        <w:rPr>
          <w:rFonts w:asciiTheme="minorHAnsi" w:hAnsiTheme="minorHAnsi" w:cstheme="minorHAnsi"/>
          <w:sz w:val="24"/>
        </w:rPr>
        <w:t>nepromítá je do svého účetnictví</w:t>
      </w:r>
      <w:r w:rsidR="00701A1A" w:rsidRPr="00920634">
        <w:rPr>
          <w:rFonts w:asciiTheme="minorHAnsi" w:hAnsiTheme="minorHAnsi" w:cstheme="minorHAnsi"/>
          <w:sz w:val="24"/>
        </w:rPr>
        <w:t>.</w:t>
      </w:r>
      <w:r w:rsidRPr="00920634">
        <w:rPr>
          <w:rFonts w:asciiTheme="minorHAnsi" w:hAnsiTheme="minorHAnsi" w:cstheme="minorHAnsi"/>
          <w:sz w:val="24"/>
        </w:rPr>
        <w:t xml:space="preserve"> Některé skutečnosti přímo související s prostředky ze zahraničí nebyly </w:t>
      </w:r>
      <w:r w:rsidR="00B33805">
        <w:rPr>
          <w:rFonts w:asciiTheme="minorHAnsi" w:hAnsiTheme="minorHAnsi" w:cstheme="minorHAnsi"/>
          <w:sz w:val="24"/>
        </w:rPr>
        <w:t>kontrolovanými ministerstvy</w:t>
      </w:r>
      <w:r w:rsidRPr="00920634">
        <w:rPr>
          <w:rFonts w:asciiTheme="minorHAnsi" w:hAnsiTheme="minorHAnsi" w:cstheme="minorHAnsi"/>
          <w:sz w:val="24"/>
        </w:rPr>
        <w:t xml:space="preserve"> v roce 2014 ani 2015 </w:t>
      </w:r>
      <w:r w:rsidRPr="00920634">
        <w:rPr>
          <w:rFonts w:asciiTheme="minorHAnsi" w:hAnsiTheme="minorHAnsi" w:cstheme="minorHAnsi"/>
          <w:sz w:val="24"/>
        </w:rPr>
        <w:lastRenderedPageBreak/>
        <w:t>považovány za účetní případy</w:t>
      </w:r>
      <w:r w:rsidR="00B33805">
        <w:rPr>
          <w:rFonts w:asciiTheme="minorHAnsi" w:hAnsiTheme="minorHAnsi" w:cstheme="minorHAnsi"/>
          <w:sz w:val="24"/>
        </w:rPr>
        <w:t>,</w:t>
      </w:r>
      <w:r w:rsidRPr="00920634">
        <w:rPr>
          <w:rFonts w:asciiTheme="minorHAnsi" w:hAnsiTheme="minorHAnsi" w:cstheme="minorHAnsi"/>
          <w:sz w:val="24"/>
        </w:rPr>
        <w:t xml:space="preserve"> a nebyly </w:t>
      </w:r>
      <w:r w:rsidR="00B33805">
        <w:rPr>
          <w:rFonts w:asciiTheme="minorHAnsi" w:hAnsiTheme="minorHAnsi" w:cstheme="minorHAnsi"/>
          <w:sz w:val="24"/>
        </w:rPr>
        <w:t>proto</w:t>
      </w:r>
      <w:r w:rsidRPr="00920634">
        <w:rPr>
          <w:rFonts w:asciiTheme="minorHAnsi" w:hAnsiTheme="minorHAnsi" w:cstheme="minorHAnsi"/>
          <w:sz w:val="24"/>
        </w:rPr>
        <w:t xml:space="preserve"> v účetnictví zachyceny </w:t>
      </w:r>
      <w:r w:rsidR="00701A1A" w:rsidRPr="00920634">
        <w:rPr>
          <w:rFonts w:asciiTheme="minorHAnsi" w:hAnsiTheme="minorHAnsi" w:cstheme="minorHAnsi"/>
          <w:sz w:val="24"/>
        </w:rPr>
        <w:t>(</w:t>
      </w:r>
      <w:r w:rsidRPr="00920634">
        <w:rPr>
          <w:rFonts w:asciiTheme="minorHAnsi" w:hAnsiTheme="minorHAnsi" w:cstheme="minorHAnsi"/>
          <w:sz w:val="24"/>
        </w:rPr>
        <w:t xml:space="preserve">např. </w:t>
      </w:r>
      <w:r w:rsidR="00B33805">
        <w:rPr>
          <w:rFonts w:asciiTheme="minorHAnsi" w:hAnsiTheme="minorHAnsi" w:cstheme="minorHAnsi"/>
          <w:sz w:val="24"/>
        </w:rPr>
        <w:t xml:space="preserve">finanční </w:t>
      </w:r>
      <w:r w:rsidRPr="00920634">
        <w:rPr>
          <w:rFonts w:asciiTheme="minorHAnsi" w:hAnsiTheme="minorHAnsi" w:cstheme="minorHAnsi"/>
          <w:sz w:val="24"/>
        </w:rPr>
        <w:t xml:space="preserve">alokace </w:t>
      </w:r>
      <w:r w:rsidR="00B33805">
        <w:rPr>
          <w:rFonts w:asciiTheme="minorHAnsi" w:hAnsiTheme="minorHAnsi" w:cstheme="minorHAnsi"/>
          <w:sz w:val="24"/>
        </w:rPr>
        <w:t>pro</w:t>
      </w:r>
      <w:r w:rsidRPr="00920634">
        <w:rPr>
          <w:rFonts w:asciiTheme="minorHAnsi" w:hAnsiTheme="minorHAnsi" w:cstheme="minorHAnsi"/>
          <w:sz w:val="24"/>
        </w:rPr>
        <w:t xml:space="preserve"> daný program, tj. rám</w:t>
      </w:r>
      <w:r w:rsidR="006E3A48">
        <w:rPr>
          <w:rFonts w:asciiTheme="minorHAnsi" w:hAnsiTheme="minorHAnsi" w:cstheme="minorHAnsi"/>
          <w:sz w:val="24"/>
        </w:rPr>
        <w:t>e</w:t>
      </w:r>
      <w:r w:rsidRPr="00920634">
        <w:rPr>
          <w:rFonts w:asciiTheme="minorHAnsi" w:hAnsiTheme="minorHAnsi" w:cstheme="minorHAnsi"/>
          <w:sz w:val="24"/>
        </w:rPr>
        <w:t>c možného nároku členského státu na prostředky EU</w:t>
      </w:r>
      <w:r w:rsidR="005578CD" w:rsidRPr="00920634">
        <w:rPr>
          <w:rFonts w:asciiTheme="minorHAnsi" w:hAnsiTheme="minorHAnsi" w:cstheme="minorHAnsi"/>
          <w:sz w:val="24"/>
        </w:rPr>
        <w:t>)</w:t>
      </w:r>
      <w:r w:rsidRPr="00920634">
        <w:rPr>
          <w:rFonts w:asciiTheme="minorHAnsi" w:hAnsiTheme="minorHAnsi" w:cstheme="minorHAnsi"/>
          <w:sz w:val="24"/>
        </w:rPr>
        <w:t xml:space="preserve">. </w:t>
      </w:r>
    </w:p>
    <w:p w14:paraId="22DB36B0" w14:textId="77777777" w:rsidR="00B33805" w:rsidRDefault="00B33805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22CBCFC" w14:textId="770C978F" w:rsidR="00FB7DC9" w:rsidRPr="008D4CD3" w:rsidRDefault="00B33805" w:rsidP="008D4CD3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8D4CD3">
        <w:rPr>
          <w:rFonts w:asciiTheme="minorHAnsi" w:hAnsiTheme="minorHAnsi" w:cstheme="minorHAnsi"/>
          <w:b/>
          <w:sz w:val="24"/>
        </w:rPr>
        <w:t>Kontrol</w:t>
      </w:r>
      <w:r w:rsidR="00B3211E">
        <w:rPr>
          <w:rFonts w:asciiTheme="minorHAnsi" w:hAnsiTheme="minorHAnsi" w:cstheme="minorHAnsi"/>
          <w:b/>
          <w:sz w:val="24"/>
        </w:rPr>
        <w:t xml:space="preserve">a </w:t>
      </w:r>
      <w:r w:rsidRPr="008D4CD3">
        <w:rPr>
          <w:rFonts w:asciiTheme="minorHAnsi" w:hAnsiTheme="minorHAnsi" w:cstheme="minorHAnsi"/>
          <w:b/>
          <w:sz w:val="24"/>
        </w:rPr>
        <w:t xml:space="preserve">NKÚ zjistila tyto </w:t>
      </w:r>
      <w:r w:rsidR="00997B4D" w:rsidRPr="008D4CD3">
        <w:rPr>
          <w:rFonts w:asciiTheme="minorHAnsi" w:hAnsiTheme="minorHAnsi" w:cstheme="minorHAnsi"/>
          <w:b/>
          <w:sz w:val="24"/>
        </w:rPr>
        <w:t>s</w:t>
      </w:r>
      <w:r w:rsidR="00FB7DC9" w:rsidRPr="008D4CD3">
        <w:rPr>
          <w:rFonts w:asciiTheme="minorHAnsi" w:hAnsiTheme="minorHAnsi" w:cstheme="minorHAnsi"/>
          <w:b/>
          <w:sz w:val="24"/>
        </w:rPr>
        <w:t xml:space="preserve">ystémové nedostatky </w:t>
      </w:r>
      <w:r w:rsidR="00997B4D" w:rsidRPr="008D4CD3">
        <w:rPr>
          <w:rFonts w:asciiTheme="minorHAnsi" w:hAnsiTheme="minorHAnsi" w:cstheme="minorHAnsi"/>
          <w:b/>
          <w:sz w:val="24"/>
        </w:rPr>
        <w:t>a</w:t>
      </w:r>
      <w:r w:rsidR="00FB7DC9" w:rsidRPr="008D4CD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tato </w:t>
      </w:r>
      <w:r w:rsidR="00FB7DC9" w:rsidRPr="008D4CD3">
        <w:rPr>
          <w:rFonts w:asciiTheme="minorHAnsi" w:hAnsiTheme="minorHAnsi" w:cstheme="minorHAnsi"/>
          <w:b/>
          <w:sz w:val="24"/>
        </w:rPr>
        <w:t>rizika</w:t>
      </w:r>
      <w:r w:rsidR="002F1DF9" w:rsidRPr="008D4CD3">
        <w:rPr>
          <w:rFonts w:asciiTheme="minorHAnsi" w:hAnsiTheme="minorHAnsi" w:cstheme="minorHAnsi"/>
          <w:b/>
          <w:sz w:val="24"/>
        </w:rPr>
        <w:t>:</w:t>
      </w:r>
    </w:p>
    <w:p w14:paraId="4479DA9F" w14:textId="77777777" w:rsidR="006A02B7" w:rsidRPr="00920634" w:rsidRDefault="006A02B7" w:rsidP="008D4CD3">
      <w:pPr>
        <w:pStyle w:val="NormlnKZ"/>
        <w:keepNext/>
        <w:spacing w:after="0"/>
        <w:ind w:firstLine="0"/>
        <w:rPr>
          <w:rFonts w:asciiTheme="minorHAnsi" w:hAnsiTheme="minorHAnsi" w:cstheme="minorHAnsi"/>
          <w:sz w:val="24"/>
        </w:rPr>
      </w:pPr>
    </w:p>
    <w:p w14:paraId="10D227F2" w14:textId="13B54D8A" w:rsidR="00FB7DC9" w:rsidRPr="00353BC9" w:rsidRDefault="00997B4D" w:rsidP="008D4CD3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>.1</w:t>
      </w:r>
      <w:r w:rsidR="00FB7DC9" w:rsidRPr="00920634">
        <w:rPr>
          <w:rFonts w:asciiTheme="minorHAnsi" w:hAnsiTheme="minorHAnsi" w:cstheme="minorHAnsi"/>
          <w:b/>
          <w:i/>
          <w:sz w:val="24"/>
        </w:rPr>
        <w:t xml:space="preserve"> Finanční opravy</w:t>
      </w:r>
      <w:r w:rsidR="004E2A9D" w:rsidRPr="00920634">
        <w:rPr>
          <w:rFonts w:asciiTheme="minorHAnsi" w:hAnsiTheme="minorHAnsi" w:cstheme="minorHAnsi"/>
          <w:b/>
          <w:i/>
          <w:sz w:val="24"/>
        </w:rPr>
        <w:t xml:space="preserve"> (korekce)</w:t>
      </w:r>
    </w:p>
    <w:p w14:paraId="6B51B88F" w14:textId="391F4EB2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rámci programů a projektů realizovaných na základě politik EU, např. v případě operačních programů, </w:t>
      </w:r>
      <w:r w:rsidR="00DA203B" w:rsidRPr="00920634">
        <w:rPr>
          <w:rFonts w:asciiTheme="minorHAnsi" w:hAnsiTheme="minorHAnsi" w:cstheme="minorHAnsi"/>
        </w:rPr>
        <w:t>dochází</w:t>
      </w:r>
      <w:r w:rsidRPr="00920634">
        <w:rPr>
          <w:rFonts w:asciiTheme="minorHAnsi" w:hAnsiTheme="minorHAnsi" w:cstheme="minorHAnsi"/>
        </w:rPr>
        <w:t xml:space="preserve"> k situacím, které představují „</w:t>
      </w:r>
      <w:r w:rsidRPr="00920634">
        <w:rPr>
          <w:rFonts w:asciiTheme="minorHAnsi" w:hAnsiTheme="minorHAnsi" w:cstheme="minorHAnsi"/>
          <w:i/>
        </w:rPr>
        <w:t>porušení právních předpisů Společenství v</w:t>
      </w:r>
      <w:r w:rsidR="00920634" w:rsidRPr="00920634">
        <w:rPr>
          <w:rFonts w:asciiTheme="minorHAnsi" w:hAnsiTheme="minorHAnsi" w:cstheme="minorHAnsi"/>
          <w:i/>
        </w:rPr>
        <w:t> </w:t>
      </w:r>
      <w:r w:rsidRPr="00920634">
        <w:rPr>
          <w:rFonts w:asciiTheme="minorHAnsi" w:hAnsiTheme="minorHAnsi" w:cstheme="minorHAnsi"/>
          <w:i/>
        </w:rPr>
        <w:t xml:space="preserve">důsledku jednání nebo opomenutí hospodářského subjektu, které vede nebo by mohlo vést ke ztrátě </w:t>
      </w:r>
      <w:r w:rsidR="008D073A">
        <w:rPr>
          <w:rFonts w:asciiTheme="minorHAnsi" w:hAnsiTheme="minorHAnsi" w:cstheme="minorHAnsi"/>
          <w:i/>
        </w:rPr>
        <w:t>v </w:t>
      </w:r>
      <w:r w:rsidRPr="00920634">
        <w:rPr>
          <w:rFonts w:asciiTheme="minorHAnsi" w:hAnsiTheme="minorHAnsi" w:cstheme="minorHAnsi"/>
          <w:i/>
        </w:rPr>
        <w:t>souhrnném rozpočtu Evropské unie, a to započtením neoprávněného výdaje do souhrnného rozpočtu</w:t>
      </w:r>
      <w:r w:rsidRPr="00920634">
        <w:rPr>
          <w:rFonts w:asciiTheme="minorHAnsi" w:hAnsiTheme="minorHAnsi" w:cstheme="minorHAnsi"/>
        </w:rPr>
        <w:t xml:space="preserve">“. Tyto případy označuje článek 2 odst. 7 </w:t>
      </w:r>
      <w:r w:rsidR="00F6168C">
        <w:rPr>
          <w:rFonts w:asciiTheme="minorHAnsi" w:hAnsiTheme="minorHAnsi" w:cstheme="minorHAnsi"/>
        </w:rPr>
        <w:t>takzvaného o</w:t>
      </w:r>
      <w:r w:rsidRPr="00920634">
        <w:rPr>
          <w:rFonts w:asciiTheme="minorHAnsi" w:hAnsiTheme="minorHAnsi" w:cstheme="minorHAnsi"/>
        </w:rPr>
        <w:t>becného nařízení</w:t>
      </w:r>
      <w:r w:rsidRPr="00920634">
        <w:rPr>
          <w:rStyle w:val="Znakapoznpodarou"/>
          <w:rFonts w:asciiTheme="minorHAnsi" w:hAnsiTheme="minorHAnsi" w:cstheme="minorHAnsi"/>
        </w:rPr>
        <w:footnoteReference w:id="33"/>
      </w:r>
      <w:r w:rsidRPr="00920634">
        <w:rPr>
          <w:rFonts w:asciiTheme="minorHAnsi" w:hAnsiTheme="minorHAnsi" w:cstheme="minorHAnsi"/>
        </w:rPr>
        <w:t xml:space="preserve"> jako </w:t>
      </w:r>
      <w:r w:rsidRPr="008D4CD3">
        <w:rPr>
          <w:rFonts w:asciiTheme="minorHAnsi" w:hAnsiTheme="minorHAnsi" w:cstheme="minorHAnsi"/>
          <w:b/>
        </w:rPr>
        <w:t>„</w:t>
      </w:r>
      <w:r w:rsidRPr="00920634">
        <w:rPr>
          <w:rFonts w:asciiTheme="minorHAnsi" w:hAnsiTheme="minorHAnsi" w:cstheme="minorHAnsi"/>
          <w:b/>
        </w:rPr>
        <w:t>nesrovnalost</w:t>
      </w:r>
      <w:r w:rsidRPr="008D4CD3">
        <w:rPr>
          <w:rFonts w:asciiTheme="minorHAnsi" w:hAnsiTheme="minorHAnsi" w:cstheme="minorHAnsi"/>
          <w:b/>
        </w:rPr>
        <w:t>“.</w:t>
      </w:r>
      <w:r w:rsidRPr="00920634">
        <w:rPr>
          <w:rFonts w:asciiTheme="minorHAnsi" w:hAnsiTheme="minorHAnsi" w:cstheme="minorHAnsi"/>
        </w:rPr>
        <w:t xml:space="preserve"> Nesrovnalosti mohou mít povahu individuální nebo systémovou.</w:t>
      </w:r>
    </w:p>
    <w:p w14:paraId="39223704" w14:textId="77777777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A57209" w14:textId="6A27B0FD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ČR má odpovědnost za šetření nesrovnalostí vyplývajících z programů a projektů spolufinancovaných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 xml:space="preserve">EU, což je spojeno se specifickými nástroji používanými pro zajištění ochrany rozpočtu </w:t>
      </w:r>
      <w:r w:rsidR="0083442D" w:rsidRPr="00920634">
        <w:rPr>
          <w:rFonts w:asciiTheme="minorHAnsi" w:hAnsiTheme="minorHAnsi" w:cstheme="minorHAnsi"/>
        </w:rPr>
        <w:t>EU</w:t>
      </w:r>
      <w:r w:rsidRPr="00920634">
        <w:rPr>
          <w:rFonts w:asciiTheme="minorHAnsi" w:hAnsiTheme="minorHAnsi" w:cstheme="minorHAnsi"/>
        </w:rPr>
        <w:t xml:space="preserve">. Tyto nástroje </w:t>
      </w:r>
      <w:r w:rsidRPr="00920634">
        <w:rPr>
          <w:rFonts w:asciiTheme="minorHAnsi" w:hAnsiTheme="minorHAnsi" w:cstheme="minorHAnsi"/>
          <w:b/>
        </w:rPr>
        <w:t xml:space="preserve">mají přímý či nepřímý vliv na finanční toky prostředků programů spolufinancovaných </w:t>
      </w:r>
      <w:r w:rsidR="008D073A">
        <w:rPr>
          <w:rFonts w:asciiTheme="minorHAnsi" w:hAnsiTheme="minorHAnsi" w:cstheme="minorHAnsi"/>
          <w:b/>
        </w:rPr>
        <w:t>z </w:t>
      </w:r>
      <w:r w:rsidRPr="00920634">
        <w:rPr>
          <w:rFonts w:asciiTheme="minorHAnsi" w:hAnsiTheme="minorHAnsi" w:cstheme="minorHAnsi"/>
          <w:b/>
        </w:rPr>
        <w:t>EU, a tím i</w:t>
      </w:r>
      <w:r w:rsidR="005578CD" w:rsidRPr="00920634">
        <w:rPr>
          <w:rFonts w:asciiTheme="minorHAnsi" w:hAnsiTheme="minorHAnsi" w:cstheme="minorHAnsi"/>
          <w:b/>
        </w:rPr>
        <w:t xml:space="preserve"> na</w:t>
      </w:r>
      <w:r w:rsidRPr="00920634">
        <w:rPr>
          <w:rFonts w:asciiTheme="minorHAnsi" w:hAnsiTheme="minorHAnsi" w:cstheme="minorHAnsi"/>
          <w:b/>
        </w:rPr>
        <w:t xml:space="preserve"> účetní případy na úrovni MŠMT či MZe</w:t>
      </w:r>
      <w:r w:rsidRPr="008D4CD3">
        <w:rPr>
          <w:rFonts w:asciiTheme="minorHAnsi" w:hAnsiTheme="minorHAnsi" w:cstheme="minorHAnsi"/>
          <w:b/>
        </w:rPr>
        <w:t>.</w:t>
      </w:r>
      <w:r w:rsidRPr="00920634">
        <w:rPr>
          <w:rFonts w:asciiTheme="minorHAnsi" w:hAnsiTheme="minorHAnsi" w:cstheme="minorHAnsi"/>
        </w:rPr>
        <w:t xml:space="preserve"> Jedná se např. o možnost pozastavit vyplácení plateb nebo uplatnění tzv</w:t>
      </w:r>
      <w:r w:rsidRPr="00920634">
        <w:rPr>
          <w:rFonts w:asciiTheme="minorHAnsi" w:hAnsiTheme="minorHAnsi" w:cstheme="minorHAnsi"/>
          <w:b/>
        </w:rPr>
        <w:t>. finančních oprav</w:t>
      </w:r>
      <w:r w:rsidRPr="008D4CD3">
        <w:rPr>
          <w:rFonts w:asciiTheme="minorHAnsi" w:hAnsiTheme="minorHAnsi" w:cstheme="minorHAnsi"/>
          <w:b/>
        </w:rPr>
        <w:t>.</w:t>
      </w:r>
    </w:p>
    <w:p w14:paraId="1614BE74" w14:textId="77777777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7535C3" w14:textId="050EF4AA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Finanční opravy, označované jako korekce</w:t>
      </w:r>
      <w:r w:rsidR="00656E8F" w:rsidRPr="00920634">
        <w:rPr>
          <w:rStyle w:val="Znakapoznpodarou"/>
          <w:rFonts w:asciiTheme="minorHAnsi" w:hAnsiTheme="minorHAnsi" w:cstheme="minorHAnsi"/>
        </w:rPr>
        <w:footnoteReference w:id="34"/>
      </w:r>
      <w:r w:rsidRPr="00920634">
        <w:rPr>
          <w:rFonts w:asciiTheme="minorHAnsi" w:hAnsiTheme="minorHAnsi" w:cstheme="minorHAnsi"/>
        </w:rPr>
        <w:t xml:space="preserve"> (plošné nebo individuální), jsou specifické operace, které mají vliv na finanční toky v podobě peněžních nebo nepeněžních operací (např. zápočty pohledávek a závazků) a jsou realizov</w:t>
      </w:r>
      <w:r w:rsidR="0073502A">
        <w:rPr>
          <w:rFonts w:asciiTheme="minorHAnsi" w:hAnsiTheme="minorHAnsi" w:cstheme="minorHAnsi"/>
        </w:rPr>
        <w:t>ány</w:t>
      </w:r>
      <w:r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</w:t>
      </w:r>
      <w:r w:rsidR="0073502A">
        <w:rPr>
          <w:rFonts w:asciiTheme="minorHAnsi" w:hAnsiTheme="minorHAnsi" w:cstheme="minorHAnsi"/>
        </w:rPr>
        <w:t> reakci na výskyt</w:t>
      </w:r>
      <w:r w:rsidRPr="00920634">
        <w:rPr>
          <w:rFonts w:asciiTheme="minorHAnsi" w:hAnsiTheme="minorHAnsi" w:cstheme="minorHAnsi"/>
        </w:rPr>
        <w:t xml:space="preserve"> tzv. potvrzených nesrovnalostí</w:t>
      </w:r>
      <w:r w:rsidR="0073502A">
        <w:rPr>
          <w:rFonts w:asciiTheme="minorHAnsi" w:hAnsiTheme="minorHAnsi" w:cstheme="minorHAnsi"/>
        </w:rPr>
        <w:t xml:space="preserve"> či</w:t>
      </w:r>
      <w:r w:rsidRPr="00920634">
        <w:rPr>
          <w:rFonts w:asciiTheme="minorHAnsi" w:hAnsiTheme="minorHAnsi" w:cstheme="minorHAnsi"/>
        </w:rPr>
        <w:t xml:space="preserve"> </w:t>
      </w:r>
      <w:r w:rsidR="0073502A">
        <w:rPr>
          <w:rFonts w:asciiTheme="minorHAnsi" w:hAnsiTheme="minorHAnsi" w:cstheme="minorHAnsi"/>
        </w:rPr>
        <w:t xml:space="preserve">v důsledku </w:t>
      </w:r>
      <w:r w:rsidRPr="00920634">
        <w:rPr>
          <w:rFonts w:asciiTheme="minorHAnsi" w:hAnsiTheme="minorHAnsi" w:cstheme="minorHAnsi"/>
        </w:rPr>
        <w:t xml:space="preserve">porušení rozpočtové kázně. Jejich smyslem je zrušení celého příspěvku na operační program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veřejných zdrojů nebo jeho části.</w:t>
      </w:r>
      <w:r w:rsidR="006A02B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Korekce provádějí</w:t>
      </w:r>
      <w:r w:rsidR="006A02B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členské státy v rámci své odpovědnosti nebo Evropská komise</w:t>
      </w:r>
      <w:r w:rsidR="00481C68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  <w:b/>
        </w:rPr>
        <w:t xml:space="preserve"> </w:t>
      </w:r>
    </w:p>
    <w:p w14:paraId="6AA93605" w14:textId="77777777" w:rsidR="00D833AC" w:rsidRPr="00920634" w:rsidRDefault="00D833AC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B6170F1" w14:textId="00024AE8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Nesrovnalost se může týkat konkrétního projektu realizovaného v rámci programu.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t</w:t>
      </w:r>
      <w:r w:rsidR="0073502A">
        <w:rPr>
          <w:rFonts w:asciiTheme="minorHAnsi" w:hAnsiTheme="minorHAnsi" w:cstheme="minorHAnsi"/>
        </w:rPr>
        <w:t>akovém</w:t>
      </w:r>
      <w:r w:rsidRPr="00920634">
        <w:rPr>
          <w:rFonts w:asciiTheme="minorHAnsi" w:hAnsiTheme="minorHAnsi" w:cstheme="minorHAnsi"/>
        </w:rPr>
        <w:t xml:space="preserve"> případě je související finanční oprava </w:t>
      </w:r>
      <w:r w:rsidRPr="00920634">
        <w:rPr>
          <w:rFonts w:asciiTheme="minorHAnsi" w:hAnsiTheme="minorHAnsi" w:cstheme="minorHAnsi"/>
          <w:b/>
        </w:rPr>
        <w:t>individuální</w:t>
      </w:r>
      <w:r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  <w:b/>
        </w:rPr>
        <w:t xml:space="preserve">korekcí </w:t>
      </w:r>
      <w:r w:rsidRPr="00920634">
        <w:rPr>
          <w:rFonts w:asciiTheme="minorHAnsi" w:hAnsiTheme="minorHAnsi" w:cstheme="minorHAnsi"/>
        </w:rPr>
        <w:t xml:space="preserve">a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 xml:space="preserve">konečném důsledku </w:t>
      </w:r>
      <w:r w:rsidRPr="00920634">
        <w:rPr>
          <w:rFonts w:asciiTheme="minorHAnsi" w:hAnsiTheme="minorHAnsi" w:cstheme="minorHAnsi"/>
          <w:b/>
        </w:rPr>
        <w:t xml:space="preserve">postihuje </w:t>
      </w:r>
      <w:r w:rsidR="00D64BD0" w:rsidRPr="006E3A48">
        <w:rPr>
          <w:rFonts w:asciiTheme="minorHAnsi" w:hAnsiTheme="minorHAnsi" w:cstheme="minorHAnsi"/>
        </w:rPr>
        <w:t>(</w:t>
      </w:r>
      <w:r w:rsidRPr="008D4CD3">
        <w:rPr>
          <w:rFonts w:asciiTheme="minorHAnsi" w:hAnsiTheme="minorHAnsi" w:cstheme="minorHAnsi"/>
        </w:rPr>
        <w:t>resp. má postihnout</w:t>
      </w:r>
      <w:r w:rsidR="00D64BD0" w:rsidRPr="006E3A48">
        <w:rPr>
          <w:rFonts w:asciiTheme="minorHAnsi" w:hAnsiTheme="minorHAnsi" w:cstheme="minorHAnsi"/>
        </w:rPr>
        <w:t>)</w:t>
      </w:r>
      <w:r w:rsidRPr="00920634">
        <w:rPr>
          <w:rFonts w:asciiTheme="minorHAnsi" w:hAnsiTheme="minorHAnsi" w:cstheme="minorHAnsi"/>
          <w:b/>
        </w:rPr>
        <w:t xml:space="preserve"> příjemce</w:t>
      </w:r>
      <w:r w:rsidRPr="00920634">
        <w:rPr>
          <w:rFonts w:asciiTheme="minorHAnsi" w:hAnsiTheme="minorHAnsi" w:cstheme="minorHAnsi"/>
        </w:rPr>
        <w:t xml:space="preserve"> transferu (dotace). Nesrovnalost se však může týkat i více projektů zároveň</w:t>
      </w:r>
      <w:r w:rsidR="00D64BD0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zejména </w:t>
      </w:r>
      <w:r w:rsidR="00D64BD0">
        <w:rPr>
          <w:rFonts w:asciiTheme="minorHAnsi" w:hAnsiTheme="minorHAnsi" w:cstheme="minorHAnsi"/>
        </w:rPr>
        <w:t>selže-li</w:t>
      </w:r>
      <w:r w:rsidRPr="00920634">
        <w:rPr>
          <w:rFonts w:asciiTheme="minorHAnsi" w:hAnsiTheme="minorHAnsi" w:cstheme="minorHAnsi"/>
        </w:rPr>
        <w:t xml:space="preserve"> řídicí a kontrolní systém.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t</w:t>
      </w:r>
      <w:r w:rsidR="0003190F">
        <w:rPr>
          <w:rFonts w:asciiTheme="minorHAnsi" w:hAnsiTheme="minorHAnsi" w:cstheme="minorHAnsi"/>
        </w:rPr>
        <w:t>akovém</w:t>
      </w:r>
      <w:r w:rsidRPr="00920634">
        <w:rPr>
          <w:rFonts w:asciiTheme="minorHAnsi" w:hAnsiTheme="minorHAnsi" w:cstheme="minorHAnsi"/>
        </w:rPr>
        <w:t xml:space="preserve"> případě se jedná o nesrovnalost systémovou a související finanční oprava se v praxi označuje jako </w:t>
      </w:r>
      <w:r w:rsidRPr="00920634">
        <w:rPr>
          <w:rFonts w:asciiTheme="minorHAnsi" w:hAnsiTheme="minorHAnsi" w:cstheme="minorHAnsi"/>
          <w:b/>
        </w:rPr>
        <w:t xml:space="preserve">plošná korekce. </w:t>
      </w:r>
      <w:r w:rsidRPr="00920634">
        <w:rPr>
          <w:rFonts w:asciiTheme="minorHAnsi" w:hAnsiTheme="minorHAnsi" w:cstheme="minorHAnsi"/>
        </w:rPr>
        <w:t xml:space="preserve">Finanční oprava typu plošné korekce nemá </w:t>
      </w:r>
      <w:r w:rsidR="0003190F">
        <w:rPr>
          <w:rFonts w:asciiTheme="minorHAnsi" w:hAnsiTheme="minorHAnsi" w:cstheme="minorHAnsi"/>
        </w:rPr>
        <w:t>nebo</w:t>
      </w:r>
      <w:r w:rsidRPr="00920634">
        <w:rPr>
          <w:rFonts w:asciiTheme="minorHAnsi" w:hAnsiTheme="minorHAnsi" w:cstheme="minorHAnsi"/>
        </w:rPr>
        <w:t xml:space="preserve"> nemusí mít dopad na výši alokace </w:t>
      </w:r>
      <w:r w:rsidR="0003190F">
        <w:rPr>
          <w:rFonts w:asciiTheme="minorHAnsi" w:hAnsiTheme="minorHAnsi" w:cstheme="minorHAnsi"/>
        </w:rPr>
        <w:t>programu</w:t>
      </w:r>
      <w:r w:rsidRPr="00920634">
        <w:rPr>
          <w:rFonts w:asciiTheme="minorHAnsi" w:hAnsiTheme="minorHAnsi" w:cstheme="minorHAnsi"/>
        </w:rPr>
        <w:t>, neboť členský stát má právo – popř. možnost dohody (u korekcí provedených Evropskou komisí) – zdroje uvolněné po finanční opravě znovu určitým způsobem použít pro dotyčný operační program</w:t>
      </w:r>
      <w:r w:rsidRPr="00920634">
        <w:rPr>
          <w:rStyle w:val="Znakapoznpodarou"/>
          <w:rFonts w:asciiTheme="minorHAnsi" w:hAnsiTheme="minorHAnsi" w:cstheme="minorHAnsi"/>
        </w:rPr>
        <w:footnoteReference w:id="35"/>
      </w:r>
      <w:r w:rsidRPr="00920634">
        <w:rPr>
          <w:rFonts w:asciiTheme="minorHAnsi" w:hAnsiTheme="minorHAnsi" w:cstheme="minorHAnsi"/>
        </w:rPr>
        <w:t>. Využije-li se však tato možnost financovat po provedené finanční opravě jiné operace z prostředků EU, pak tím ČR sice získává možnost využít nezmenšeného rámce možného nároku členského státu na prostředky EU (alokace), ale původní výdaje postižené korekcí zůstávají nerefundov</w:t>
      </w:r>
      <w:r w:rsidR="004338D8" w:rsidRPr="00920634">
        <w:rPr>
          <w:rFonts w:asciiTheme="minorHAnsi" w:hAnsiTheme="minorHAnsi" w:cstheme="minorHAnsi"/>
        </w:rPr>
        <w:t>ané</w:t>
      </w:r>
      <w:r w:rsidRPr="00920634">
        <w:rPr>
          <w:rFonts w:asciiTheme="minorHAnsi" w:hAnsiTheme="minorHAnsi" w:cstheme="minorHAnsi"/>
        </w:rPr>
        <w:t xml:space="preserve"> pro státní rozpočet. </w:t>
      </w:r>
    </w:p>
    <w:p w14:paraId="0474E2D1" w14:textId="22BA4FDC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lastRenderedPageBreak/>
        <w:t xml:space="preserve">Důsledkem plošné korekce je proto zatížení státního rozpočtu o výdaje, které měly být financovány z rozpočtu </w:t>
      </w:r>
      <w:r w:rsidR="0042389B" w:rsidRPr="00920634">
        <w:rPr>
          <w:rFonts w:asciiTheme="minorHAnsi" w:hAnsiTheme="minorHAnsi" w:cstheme="minorHAnsi"/>
          <w:b/>
        </w:rPr>
        <w:t>EU,</w:t>
      </w:r>
      <w:r w:rsidRPr="00920634">
        <w:rPr>
          <w:rFonts w:asciiTheme="minorHAnsi" w:hAnsiTheme="minorHAnsi" w:cstheme="minorHAnsi"/>
          <w:b/>
        </w:rPr>
        <w:t xml:space="preserve"> a</w:t>
      </w:r>
      <w:r w:rsidR="0042389B" w:rsidRPr="00920634">
        <w:rPr>
          <w:rFonts w:asciiTheme="minorHAnsi" w:hAnsiTheme="minorHAnsi" w:cstheme="minorHAnsi"/>
          <w:b/>
        </w:rPr>
        <w:t>le</w:t>
      </w:r>
      <w:r w:rsidRPr="00920634">
        <w:rPr>
          <w:rFonts w:asciiTheme="minorHAnsi" w:hAnsiTheme="minorHAnsi" w:cstheme="minorHAnsi"/>
          <w:b/>
        </w:rPr>
        <w:t xml:space="preserve"> již nebudou, neboť Evropská komise z důvodu systémové </w:t>
      </w:r>
      <w:r w:rsidR="00A06B57" w:rsidRPr="00920634">
        <w:rPr>
          <w:rFonts w:asciiTheme="minorHAnsi" w:hAnsiTheme="minorHAnsi" w:cstheme="minorHAnsi"/>
          <w:b/>
        </w:rPr>
        <w:t>nesrovnalosti</w:t>
      </w:r>
      <w:r w:rsidRPr="00920634">
        <w:rPr>
          <w:rFonts w:asciiTheme="minorHAnsi" w:hAnsiTheme="minorHAnsi" w:cstheme="minorHAnsi"/>
          <w:b/>
        </w:rPr>
        <w:t xml:space="preserve"> neprovede refundaci prostředků vynaložených členským státem. </w:t>
      </w:r>
    </w:p>
    <w:p w14:paraId="3121E13E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32E1E95" w14:textId="453B42DF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ČR </w:t>
      </w:r>
      <w:r w:rsidR="00B3211E">
        <w:rPr>
          <w:rFonts w:asciiTheme="minorHAnsi" w:hAnsiTheme="minorHAnsi" w:cstheme="minorHAnsi"/>
          <w:b/>
        </w:rPr>
        <w:t xml:space="preserve">je </w:t>
      </w:r>
      <w:r w:rsidRPr="00920634">
        <w:rPr>
          <w:rFonts w:asciiTheme="minorHAnsi" w:hAnsiTheme="minorHAnsi" w:cstheme="minorHAnsi"/>
          <w:b/>
        </w:rPr>
        <w:t xml:space="preserve">v případě </w:t>
      </w:r>
      <w:r w:rsidR="00B3211E">
        <w:rPr>
          <w:rFonts w:asciiTheme="minorHAnsi" w:hAnsiTheme="minorHAnsi" w:cstheme="minorHAnsi"/>
          <w:b/>
        </w:rPr>
        <w:t xml:space="preserve">uplatnění </w:t>
      </w:r>
      <w:r w:rsidRPr="00920634">
        <w:rPr>
          <w:rFonts w:asciiTheme="minorHAnsi" w:hAnsiTheme="minorHAnsi" w:cstheme="minorHAnsi"/>
          <w:b/>
        </w:rPr>
        <w:t xml:space="preserve">plošných korekcí nucena financovat větší část spolufinancovaných transferů ze svého rozpočtu, ačkoli s tím státní rozpočet původně nepočítal. </w:t>
      </w:r>
    </w:p>
    <w:p w14:paraId="7BCACABB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B57E583" w14:textId="445E8FC7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Finančně, a t</w:t>
      </w:r>
      <w:r w:rsidR="00D93582">
        <w:rPr>
          <w:rFonts w:asciiTheme="minorHAnsi" w:hAnsiTheme="minorHAnsi" w:cstheme="minorHAnsi"/>
        </w:rPr>
        <w:t>edy</w:t>
      </w:r>
      <w:r w:rsidRPr="00920634">
        <w:rPr>
          <w:rFonts w:asciiTheme="minorHAnsi" w:hAnsiTheme="minorHAnsi" w:cstheme="minorHAnsi"/>
        </w:rPr>
        <w:t xml:space="preserve"> i účetně dopadá </w:t>
      </w:r>
      <w:r w:rsidR="006E47AD" w:rsidRPr="00920634">
        <w:rPr>
          <w:rFonts w:asciiTheme="minorHAnsi" w:hAnsiTheme="minorHAnsi" w:cstheme="minorHAnsi"/>
        </w:rPr>
        <w:t xml:space="preserve">u operačních programů </w:t>
      </w:r>
      <w:r w:rsidRPr="00920634">
        <w:rPr>
          <w:rFonts w:asciiTheme="minorHAnsi" w:hAnsiTheme="minorHAnsi" w:cstheme="minorHAnsi"/>
        </w:rPr>
        <w:t>plošná korekce i na říd</w:t>
      </w:r>
      <w:r w:rsidR="00D93582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cí orgány těchto programů; dle bodu 3.10.5 </w:t>
      </w:r>
      <w:r w:rsidR="006E47AD" w:rsidRPr="00920634">
        <w:rPr>
          <w:rFonts w:asciiTheme="minorHAnsi" w:hAnsiTheme="minorHAnsi" w:cstheme="minorHAnsi"/>
          <w:lang w:eastAsia="cs-CZ"/>
        </w:rPr>
        <w:t>MFTK 2007</w:t>
      </w:r>
      <w:r w:rsidR="000559E1" w:rsidRPr="00920634">
        <w:rPr>
          <w:rFonts w:asciiTheme="minorHAnsi" w:hAnsiTheme="minorHAnsi" w:cstheme="minorHAnsi"/>
          <w:lang w:eastAsia="cs-CZ"/>
        </w:rPr>
        <w:t>–</w:t>
      </w:r>
      <w:r w:rsidR="006E47AD" w:rsidRPr="00920634">
        <w:rPr>
          <w:rFonts w:asciiTheme="minorHAnsi" w:hAnsiTheme="minorHAnsi" w:cstheme="minorHAnsi"/>
          <w:lang w:eastAsia="cs-CZ"/>
        </w:rPr>
        <w:t>2013</w:t>
      </w:r>
      <w:r w:rsidR="000559E1" w:rsidRPr="00920634">
        <w:rPr>
          <w:rFonts w:asciiTheme="minorHAnsi" w:hAnsiTheme="minorHAnsi" w:cstheme="minorHAnsi"/>
          <w:lang w:eastAsia="cs-CZ"/>
        </w:rPr>
        <w:t xml:space="preserve"> </w:t>
      </w:r>
      <w:r w:rsidRPr="00920634">
        <w:rPr>
          <w:rFonts w:asciiTheme="minorHAnsi" w:hAnsiTheme="minorHAnsi" w:cstheme="minorHAnsi"/>
        </w:rPr>
        <w:t>např. platí, že prostředky z rozpočtu EU říd</w:t>
      </w:r>
      <w:r w:rsidR="00D93582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>cí orgán nezíská na svůj příjmový účet v rámci refundace od Národního fondu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, </w:t>
      </w:r>
      <w:r w:rsidR="00D93582">
        <w:rPr>
          <w:rFonts w:asciiTheme="minorHAnsi" w:hAnsiTheme="minorHAnsi" w:cstheme="minorHAnsi"/>
        </w:rPr>
        <w:t>případně</w:t>
      </w:r>
      <w:r w:rsidRPr="00920634">
        <w:rPr>
          <w:rFonts w:asciiTheme="minorHAnsi" w:hAnsiTheme="minorHAnsi" w:cstheme="minorHAnsi"/>
        </w:rPr>
        <w:t xml:space="preserve"> tyto prostředky </w:t>
      </w:r>
      <w:r w:rsidR="00D93582">
        <w:rPr>
          <w:rFonts w:asciiTheme="minorHAnsi" w:hAnsiTheme="minorHAnsi" w:cstheme="minorHAnsi"/>
        </w:rPr>
        <w:t xml:space="preserve">(pokud je již získal) </w:t>
      </w:r>
      <w:r w:rsidRPr="00920634">
        <w:rPr>
          <w:rFonts w:asciiTheme="minorHAnsi" w:hAnsiTheme="minorHAnsi" w:cstheme="minorHAnsi"/>
        </w:rPr>
        <w:t>na účet Národního fondu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 vrátí.</w:t>
      </w:r>
    </w:p>
    <w:p w14:paraId="2DD06584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0BBCB63" w14:textId="7E72C6F1" w:rsidR="00734831" w:rsidRPr="00920634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U MŠMT i MZe byly kontrolou identifikovány případy finančních oprav. V případě MŠMT byly zjištěny finanční opravy typu plošných korekcí u OP VK a OP VaVpI a v případě MZe v rámci SZP a OPR. </w:t>
      </w:r>
      <w:r w:rsidRPr="00920634">
        <w:rPr>
          <w:rFonts w:asciiTheme="minorHAnsi" w:hAnsiTheme="minorHAnsi" w:cstheme="minorHAnsi"/>
          <w:b/>
        </w:rPr>
        <w:t>Účetní jednotky k jejich zaúčtování přistoupily odlišně.</w:t>
      </w:r>
    </w:p>
    <w:p w14:paraId="1F76879C" w14:textId="77777777" w:rsidR="00734831" w:rsidRPr="00920634" w:rsidRDefault="00734831" w:rsidP="00114439">
      <w:pPr>
        <w:jc w:val="both"/>
        <w:rPr>
          <w:rFonts w:asciiTheme="minorHAnsi" w:hAnsiTheme="minorHAnsi" w:cstheme="minorHAnsi"/>
        </w:rPr>
      </w:pPr>
    </w:p>
    <w:p w14:paraId="213D1BB4" w14:textId="19458F49" w:rsidR="00734831" w:rsidRPr="00920634" w:rsidRDefault="00734831" w:rsidP="00114439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Finanční opravy u MŠMT</w:t>
      </w:r>
    </w:p>
    <w:p w14:paraId="405C8C6D" w14:textId="0427422E" w:rsidR="00734831" w:rsidRDefault="0073483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MŠMT v roce 2014 účtovalo o plošné korekci OP VK v roli zprostředkovatele transferu ve smyslu Č</w:t>
      </w:r>
      <w:r w:rsidR="001F6D00" w:rsidRPr="00920634">
        <w:rPr>
          <w:rFonts w:asciiTheme="minorHAnsi" w:hAnsiTheme="minorHAnsi" w:cstheme="minorHAnsi"/>
        </w:rPr>
        <w:t>Ú</w:t>
      </w:r>
      <w:r w:rsidRPr="00920634">
        <w:rPr>
          <w:rFonts w:asciiTheme="minorHAnsi" w:hAnsiTheme="minorHAnsi" w:cstheme="minorHAnsi"/>
        </w:rPr>
        <w:t xml:space="preserve">S č. 703 </w:t>
      </w:r>
      <w:r w:rsidR="004338D8" w:rsidRPr="00920634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>. Jednalo se o korekci aplikovanou členským státem dle</w:t>
      </w:r>
      <w:r w:rsidR="00353BC9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článku 98 </w:t>
      </w:r>
      <w:r w:rsidR="00D93582">
        <w:rPr>
          <w:rFonts w:asciiTheme="minorHAnsi" w:hAnsiTheme="minorHAnsi" w:cstheme="minorHAnsi"/>
        </w:rPr>
        <w:t>o</w:t>
      </w:r>
      <w:r w:rsidRPr="00920634">
        <w:rPr>
          <w:rFonts w:asciiTheme="minorHAnsi" w:hAnsiTheme="minorHAnsi" w:cstheme="minorHAnsi"/>
        </w:rPr>
        <w:t>becného nařízení</w:t>
      </w:r>
      <w:r w:rsidRPr="00920634">
        <w:rPr>
          <w:rFonts w:asciiTheme="minorHAnsi" w:hAnsiTheme="minorHAnsi" w:cstheme="minorHAnsi"/>
          <w:vertAlign w:val="superscript"/>
        </w:rPr>
        <w:footnoteReference w:id="36"/>
      </w:r>
      <w:r w:rsidRPr="00920634">
        <w:rPr>
          <w:rFonts w:asciiTheme="minorHAnsi" w:hAnsiTheme="minorHAnsi" w:cstheme="minorHAnsi"/>
        </w:rPr>
        <w:t xml:space="preserve">. Částka této plošné korekce není konečná,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 xml:space="preserve">jejímu vyčíslení dochází postupně, neboť se týká i výdajů, které budou </w:t>
      </w:r>
      <w:r w:rsidR="004338D8" w:rsidRPr="00920634">
        <w:rPr>
          <w:rFonts w:asciiTheme="minorHAnsi" w:hAnsiTheme="minorHAnsi" w:cstheme="minorHAnsi"/>
        </w:rPr>
        <w:t>teprve uskutečněny</w:t>
      </w:r>
      <w:r w:rsidRPr="00920634">
        <w:rPr>
          <w:rFonts w:asciiTheme="minorHAnsi" w:hAnsiTheme="minorHAnsi" w:cstheme="minorHAnsi"/>
        </w:rPr>
        <w:t xml:space="preserve">. </w:t>
      </w:r>
    </w:p>
    <w:p w14:paraId="1204A531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19501E05" w14:textId="7B9111A7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Korekce byla říd</w:t>
      </w:r>
      <w:r w:rsidR="00D93582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cím orgánem OP VK vyměřena ve výši 1 209 878 975,90 Kč a dle sdělení MŠMT byla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 xml:space="preserve">„technických“ důvodů rozložena mezi množství vybraných projektů OP VK. Dle </w:t>
      </w:r>
      <w:r w:rsidR="00D93582">
        <w:rPr>
          <w:rFonts w:asciiTheme="minorHAnsi" w:hAnsiTheme="minorHAnsi" w:cstheme="minorHAnsi"/>
        </w:rPr>
        <w:t>informace</w:t>
      </w:r>
      <w:r w:rsidRPr="00920634">
        <w:rPr>
          <w:rFonts w:asciiTheme="minorHAnsi" w:hAnsiTheme="minorHAnsi" w:cstheme="minorHAnsi"/>
        </w:rPr>
        <w:t xml:space="preserve"> MŠMT bylo důvodem pro zvolení daného postupu snížení administrativní zátěže. Projekty, k nimž byla tato plošná korekce přiřazena, byly vybrány </w:t>
      </w:r>
      <w:r w:rsidR="00DA203B" w:rsidRPr="00920634">
        <w:rPr>
          <w:rFonts w:asciiTheme="minorHAnsi" w:hAnsiTheme="minorHAnsi" w:cstheme="minorHAnsi"/>
        </w:rPr>
        <w:t>náhodně</w:t>
      </w:r>
      <w:r w:rsidRPr="00920634">
        <w:rPr>
          <w:rFonts w:asciiTheme="minorHAnsi" w:hAnsiTheme="minorHAnsi" w:cstheme="minorHAnsi"/>
        </w:rPr>
        <w:t xml:space="preserve"> a ve skutečnosti </w:t>
      </w:r>
      <w:r w:rsidR="00B3211E">
        <w:rPr>
          <w:rFonts w:asciiTheme="minorHAnsi" w:hAnsiTheme="minorHAnsi" w:cstheme="minorHAnsi"/>
        </w:rPr>
        <w:t>nejsou</w:t>
      </w:r>
      <w:r w:rsidR="00F73CFE">
        <w:rPr>
          <w:rFonts w:asciiTheme="minorHAnsi" w:hAnsiTheme="minorHAnsi" w:cstheme="minorHAnsi"/>
        </w:rPr>
        <w:t xml:space="preserve"> takovéto projekty</w:t>
      </w:r>
      <w:r w:rsidR="00B3211E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touto plošnou korekcí </w:t>
      </w:r>
      <w:r w:rsidR="00D93582" w:rsidRPr="00920634">
        <w:rPr>
          <w:rFonts w:asciiTheme="minorHAnsi" w:hAnsiTheme="minorHAnsi" w:cstheme="minorHAnsi"/>
        </w:rPr>
        <w:t xml:space="preserve">nijak </w:t>
      </w:r>
      <w:r w:rsidRPr="00920634">
        <w:rPr>
          <w:rFonts w:asciiTheme="minorHAnsi" w:hAnsiTheme="minorHAnsi" w:cstheme="minorHAnsi"/>
        </w:rPr>
        <w:t>finančně postižen</w:t>
      </w:r>
      <w:r w:rsidR="00F73CFE">
        <w:rPr>
          <w:rFonts w:asciiTheme="minorHAnsi" w:hAnsiTheme="minorHAnsi" w:cstheme="minorHAnsi"/>
        </w:rPr>
        <w:t>y, a tedy ani koneční příjemci</w:t>
      </w:r>
      <w:r w:rsidRPr="00920634">
        <w:rPr>
          <w:rFonts w:asciiTheme="minorHAnsi" w:hAnsiTheme="minorHAnsi" w:cstheme="minorHAnsi"/>
        </w:rPr>
        <w:t xml:space="preserve">. </w:t>
      </w:r>
    </w:p>
    <w:p w14:paraId="5741F66E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545AD7D" w14:textId="69260F91" w:rsidR="00734831" w:rsidRDefault="0073483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v roce 2014 do nákladů, na účet 571 </w:t>
      </w:r>
      <w:r w:rsidR="00ED3BE6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  <w:i/>
        </w:rPr>
        <w:t xml:space="preserve"> Náklady vybraných ústředních vládních institucí na transfery</w:t>
      </w:r>
      <w:r w:rsidRPr="00920634">
        <w:rPr>
          <w:rFonts w:asciiTheme="minorHAnsi" w:hAnsiTheme="minorHAnsi" w:cstheme="minorHAnsi"/>
        </w:rPr>
        <w:t>, zaúčtovalo částku plošné korekce, neboť jako zprostředkovatel transferu</w:t>
      </w:r>
      <w:r w:rsidR="00D833AC" w:rsidRPr="00920634">
        <w:rPr>
          <w:rFonts w:asciiTheme="minorHAnsi" w:hAnsiTheme="minorHAnsi" w:cstheme="minorHAnsi"/>
        </w:rPr>
        <w:t xml:space="preserve"> ji </w:t>
      </w:r>
      <w:r w:rsidR="00395C5C">
        <w:rPr>
          <w:rFonts w:asciiTheme="minorHAnsi" w:hAnsiTheme="minorHAnsi" w:cstheme="minorHAnsi"/>
        </w:rPr>
        <w:t xml:space="preserve">do té doby </w:t>
      </w:r>
      <w:r w:rsidR="00D833AC" w:rsidRPr="00920634">
        <w:rPr>
          <w:rFonts w:asciiTheme="minorHAnsi" w:hAnsiTheme="minorHAnsi" w:cstheme="minorHAnsi"/>
        </w:rPr>
        <w:t>nemělo v</w:t>
      </w:r>
      <w:r w:rsidR="006A02B7" w:rsidRPr="00920634">
        <w:rPr>
          <w:rFonts w:asciiTheme="minorHAnsi" w:hAnsiTheme="minorHAnsi" w:cstheme="minorHAnsi"/>
        </w:rPr>
        <w:t> </w:t>
      </w:r>
      <w:r w:rsidR="00D833AC" w:rsidRPr="00920634">
        <w:rPr>
          <w:rFonts w:asciiTheme="minorHAnsi" w:hAnsiTheme="minorHAnsi" w:cstheme="minorHAnsi"/>
        </w:rPr>
        <w:t>souladu</w:t>
      </w:r>
      <w:r w:rsidR="006A02B7"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s </w:t>
      </w:r>
      <w:r w:rsidRPr="00920634">
        <w:rPr>
          <w:rFonts w:asciiTheme="minorHAnsi" w:hAnsiTheme="minorHAnsi" w:cstheme="minorHAnsi"/>
        </w:rPr>
        <w:t>Č</w:t>
      </w:r>
      <w:r w:rsidR="000559E1" w:rsidRPr="00920634">
        <w:rPr>
          <w:rFonts w:asciiTheme="minorHAnsi" w:hAnsiTheme="minorHAnsi" w:cstheme="minorHAnsi"/>
        </w:rPr>
        <w:t>Ú</w:t>
      </w:r>
      <w:r w:rsidRPr="00920634">
        <w:rPr>
          <w:rFonts w:asciiTheme="minorHAnsi" w:hAnsiTheme="minorHAnsi" w:cstheme="minorHAnsi"/>
        </w:rPr>
        <w:t xml:space="preserve">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zaúčtov</w:t>
      </w:r>
      <w:r w:rsidR="00AA7405" w:rsidRPr="00920634">
        <w:rPr>
          <w:rFonts w:asciiTheme="minorHAnsi" w:hAnsiTheme="minorHAnsi" w:cstheme="minorHAnsi"/>
        </w:rPr>
        <w:t>anou</w:t>
      </w:r>
      <w:r w:rsidRPr="00920634">
        <w:rPr>
          <w:rFonts w:asciiTheme="minorHAnsi" w:hAnsiTheme="minorHAnsi" w:cstheme="minorHAnsi"/>
        </w:rPr>
        <w:t xml:space="preserve"> v</w:t>
      </w:r>
      <w:r w:rsidR="00D833AC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nákladech</w:t>
      </w:r>
      <w:r w:rsidR="00D833AC" w:rsidRPr="00920634">
        <w:rPr>
          <w:rFonts w:asciiTheme="minorHAnsi" w:hAnsiTheme="minorHAnsi" w:cstheme="minorHAnsi"/>
        </w:rPr>
        <w:t>.</w:t>
      </w:r>
      <w:r w:rsidR="006A02B7" w:rsidRPr="00920634">
        <w:rPr>
          <w:rFonts w:asciiTheme="minorHAnsi" w:hAnsiTheme="minorHAnsi" w:cstheme="minorHAnsi"/>
        </w:rPr>
        <w:t xml:space="preserve"> </w:t>
      </w:r>
      <w:r w:rsidR="00D833AC" w:rsidRPr="00920634">
        <w:rPr>
          <w:rFonts w:asciiTheme="minorHAnsi" w:hAnsiTheme="minorHAnsi" w:cstheme="minorHAnsi"/>
        </w:rPr>
        <w:t>P</w:t>
      </w:r>
      <w:r w:rsidRPr="00920634">
        <w:rPr>
          <w:rFonts w:asciiTheme="minorHAnsi" w:hAnsiTheme="minorHAnsi" w:cstheme="minorHAnsi"/>
        </w:rPr>
        <w:t xml:space="preserve">lošná korekce vede k tomu, </w:t>
      </w:r>
      <w:r w:rsidR="00AA7405" w:rsidRPr="00920634">
        <w:rPr>
          <w:rFonts w:asciiTheme="minorHAnsi" w:hAnsiTheme="minorHAnsi" w:cstheme="minorHAnsi"/>
        </w:rPr>
        <w:t>že</w:t>
      </w:r>
      <w:r w:rsidRPr="00920634">
        <w:rPr>
          <w:rFonts w:asciiTheme="minorHAnsi" w:hAnsiTheme="minorHAnsi" w:cstheme="minorHAnsi"/>
        </w:rPr>
        <w:t xml:space="preserve"> MŠMT refundaci neobdrží a státní rozpočet ponese plně náklad ze spolufinancovaných transferů ve výši plošné korekce.</w:t>
      </w:r>
    </w:p>
    <w:p w14:paraId="1897CB8E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1CBF6310" w14:textId="743029AE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Volba projektu, k němuž byla </w:t>
      </w:r>
      <w:r w:rsidR="008D073A">
        <w:rPr>
          <w:rFonts w:asciiTheme="minorHAnsi" w:hAnsiTheme="minorHAnsi" w:cstheme="minorHAnsi"/>
          <w:b/>
        </w:rPr>
        <w:t>z </w:t>
      </w:r>
      <w:r w:rsidRPr="00920634">
        <w:rPr>
          <w:rFonts w:asciiTheme="minorHAnsi" w:hAnsiTheme="minorHAnsi" w:cstheme="minorHAnsi"/>
          <w:b/>
        </w:rPr>
        <w:t xml:space="preserve">„technických“ důvodů přiřazena plošná korekce, měla významné dopady na údaje účetní závěrky. </w:t>
      </w:r>
    </w:p>
    <w:p w14:paraId="1268C827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B185C5C" w14:textId="377D7170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případě, kdy se jednalo o projekt, u kterého MŠMT předpokládalo, že o nákladech účtovalo v minulosti jako </w:t>
      </w:r>
      <w:r w:rsidR="005578CD" w:rsidRPr="00920634">
        <w:rPr>
          <w:rFonts w:asciiTheme="minorHAnsi" w:hAnsiTheme="minorHAnsi" w:cstheme="minorHAnsi"/>
        </w:rPr>
        <w:t xml:space="preserve">poskytovatel či </w:t>
      </w:r>
      <w:r w:rsidRPr="00920634">
        <w:rPr>
          <w:rFonts w:asciiTheme="minorHAnsi" w:hAnsiTheme="minorHAnsi" w:cstheme="minorHAnsi"/>
        </w:rPr>
        <w:t xml:space="preserve">příjemce transferu (a nikoliv jako zprostředkovatel), </w:t>
      </w:r>
      <w:r w:rsidR="00395C5C">
        <w:rPr>
          <w:rFonts w:asciiTheme="minorHAnsi" w:hAnsiTheme="minorHAnsi" w:cstheme="minorHAnsi"/>
        </w:rPr>
        <w:t>neúčtovalo již</w:t>
      </w:r>
      <w:r w:rsidRPr="00920634">
        <w:rPr>
          <w:rFonts w:asciiTheme="minorHAnsi" w:hAnsiTheme="minorHAnsi" w:cstheme="minorHAnsi"/>
        </w:rPr>
        <w:t xml:space="preserve"> o těchto nákladech v rámci </w:t>
      </w:r>
      <w:r w:rsidR="00395C5C">
        <w:rPr>
          <w:rFonts w:asciiTheme="minorHAnsi" w:hAnsiTheme="minorHAnsi" w:cstheme="minorHAnsi"/>
        </w:rPr>
        <w:t xml:space="preserve">účtování </w:t>
      </w:r>
      <w:r w:rsidRPr="00920634">
        <w:rPr>
          <w:rFonts w:asciiTheme="minorHAnsi" w:hAnsiTheme="minorHAnsi" w:cstheme="minorHAnsi"/>
        </w:rPr>
        <w:t>korekce</w:t>
      </w:r>
      <w:r w:rsidR="00395C5C">
        <w:rPr>
          <w:rFonts w:asciiTheme="minorHAnsi" w:hAnsiTheme="minorHAnsi" w:cstheme="minorHAnsi"/>
        </w:rPr>
        <w:t>;</w:t>
      </w:r>
      <w:r w:rsidRPr="00920634">
        <w:rPr>
          <w:rStyle w:val="Znakapoznpodarou"/>
          <w:rFonts w:asciiTheme="minorHAnsi" w:hAnsiTheme="minorHAnsi" w:cstheme="minorHAnsi"/>
        </w:rPr>
        <w:footnoteReference w:id="37"/>
      </w:r>
      <w:r w:rsidRPr="00920634">
        <w:rPr>
          <w:rFonts w:asciiTheme="minorHAnsi" w:hAnsiTheme="minorHAnsi" w:cstheme="minorHAnsi"/>
        </w:rPr>
        <w:t xml:space="preserve"> jednalo se o částku 289 118 797,29 Kč.</w:t>
      </w:r>
      <w:r w:rsidR="008D073A">
        <w:rPr>
          <w:rFonts w:asciiTheme="minorHAnsi" w:hAnsiTheme="minorHAnsi" w:cstheme="minorHAnsi"/>
        </w:rPr>
        <w:t xml:space="preserve"> </w:t>
      </w:r>
      <w:r w:rsidR="00D833AC" w:rsidRPr="00920634">
        <w:rPr>
          <w:rFonts w:asciiTheme="minorHAnsi" w:hAnsiTheme="minorHAnsi" w:cstheme="minorHAnsi"/>
        </w:rPr>
        <w:t>U případů, kdy</w:t>
      </w:r>
      <w:r w:rsidRPr="00920634">
        <w:rPr>
          <w:rFonts w:asciiTheme="minorHAnsi" w:hAnsiTheme="minorHAnsi" w:cstheme="minorHAnsi"/>
        </w:rPr>
        <w:t xml:space="preserve"> MŠMT předpokládalo, že o nákladech </w:t>
      </w:r>
      <w:r w:rsidR="00DA203B" w:rsidRPr="00920634">
        <w:rPr>
          <w:rFonts w:asciiTheme="minorHAnsi" w:hAnsiTheme="minorHAnsi" w:cstheme="minorHAnsi"/>
        </w:rPr>
        <w:t>u těchto</w:t>
      </w:r>
      <w:r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 xml:space="preserve">náhodně </w:t>
      </w:r>
      <w:r w:rsidRPr="00920634">
        <w:rPr>
          <w:rFonts w:asciiTheme="minorHAnsi" w:hAnsiTheme="minorHAnsi" w:cstheme="minorHAnsi"/>
        </w:rPr>
        <w:lastRenderedPageBreak/>
        <w:t xml:space="preserve">vybraných projektů v minulosti neúčtovalo, zaúčtovalo náklady z plošné korekce, </w:t>
      </w:r>
      <w:r w:rsidR="00DA203B" w:rsidRPr="00920634">
        <w:rPr>
          <w:rFonts w:asciiTheme="minorHAnsi" w:hAnsiTheme="minorHAnsi" w:cstheme="minorHAnsi"/>
        </w:rPr>
        <w:t xml:space="preserve">zaúčtovalo </w:t>
      </w:r>
      <w:r w:rsidRPr="00920634">
        <w:rPr>
          <w:rFonts w:asciiTheme="minorHAnsi" w:hAnsiTheme="minorHAnsi" w:cstheme="minorHAnsi"/>
        </w:rPr>
        <w:t xml:space="preserve">dohadné účty pasivní a v rámci účtu 471 – </w:t>
      </w:r>
      <w:r w:rsidRPr="00920634">
        <w:rPr>
          <w:rFonts w:asciiTheme="minorHAnsi" w:hAnsiTheme="minorHAnsi" w:cstheme="minorHAnsi"/>
          <w:i/>
        </w:rPr>
        <w:t xml:space="preserve">Dlouhodobé poskytnuté zálohy na transfery </w:t>
      </w:r>
      <w:r w:rsidRPr="00920634">
        <w:rPr>
          <w:rFonts w:asciiTheme="minorHAnsi" w:hAnsiTheme="minorHAnsi" w:cstheme="minorHAnsi"/>
        </w:rPr>
        <w:t>přeúčtovalo podíl EU (předfinancování) na podíl ČR; jednalo se o částku 920 760 178,61 Kč.</w:t>
      </w:r>
    </w:p>
    <w:p w14:paraId="58D3312B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149A953" w14:textId="1841CE65" w:rsidR="00734831" w:rsidRPr="00920634" w:rsidRDefault="00DA203B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Náhodná</w:t>
      </w:r>
      <w:r w:rsidR="00734831" w:rsidRPr="00920634">
        <w:rPr>
          <w:rFonts w:asciiTheme="minorHAnsi" w:hAnsiTheme="minorHAnsi" w:cstheme="minorHAnsi"/>
        </w:rPr>
        <w:t xml:space="preserve"> volba projektů k promítnutí plošné korekce však mohla proběhnout i jiným způsobem a vybráno mohlo být více projektů</w:t>
      </w:r>
      <w:r w:rsidR="001940F3" w:rsidRPr="00920634">
        <w:rPr>
          <w:rFonts w:asciiTheme="minorHAnsi" w:hAnsiTheme="minorHAnsi" w:cstheme="minorHAnsi"/>
        </w:rPr>
        <w:t xml:space="preserve"> zaúčtovaných </w:t>
      </w:r>
      <w:r w:rsidR="008D073A">
        <w:rPr>
          <w:rFonts w:asciiTheme="minorHAnsi" w:hAnsiTheme="minorHAnsi" w:cstheme="minorHAnsi"/>
        </w:rPr>
        <w:t>v </w:t>
      </w:r>
      <w:r w:rsidR="001940F3" w:rsidRPr="00920634">
        <w:rPr>
          <w:rFonts w:asciiTheme="minorHAnsi" w:hAnsiTheme="minorHAnsi" w:cstheme="minorHAnsi"/>
        </w:rPr>
        <w:t>roli zprostředkovatele</w:t>
      </w:r>
      <w:r w:rsidR="00734831" w:rsidRPr="00920634">
        <w:rPr>
          <w:rFonts w:asciiTheme="minorHAnsi" w:hAnsiTheme="minorHAnsi" w:cstheme="minorHAnsi"/>
        </w:rPr>
        <w:t xml:space="preserve"> nebo naopak </w:t>
      </w:r>
      <w:r w:rsidR="00B3211E">
        <w:rPr>
          <w:rFonts w:asciiTheme="minorHAnsi" w:hAnsiTheme="minorHAnsi" w:cstheme="minorHAnsi"/>
        </w:rPr>
        <w:t xml:space="preserve">v roli </w:t>
      </w:r>
      <w:r w:rsidR="005578CD" w:rsidRPr="00920634">
        <w:rPr>
          <w:rFonts w:asciiTheme="minorHAnsi" w:hAnsiTheme="minorHAnsi" w:cstheme="minorHAnsi"/>
        </w:rPr>
        <w:t xml:space="preserve">poskytovatele </w:t>
      </w:r>
      <w:r w:rsidR="00395C5C">
        <w:rPr>
          <w:rFonts w:asciiTheme="minorHAnsi" w:hAnsiTheme="minorHAnsi" w:cstheme="minorHAnsi"/>
        </w:rPr>
        <w:t>a</w:t>
      </w:r>
      <w:r w:rsidR="00734831" w:rsidRPr="00920634">
        <w:rPr>
          <w:rFonts w:asciiTheme="minorHAnsi" w:hAnsiTheme="minorHAnsi" w:cstheme="minorHAnsi"/>
        </w:rPr>
        <w:t xml:space="preserve"> příjemce dle ČÚS č. 703 – </w:t>
      </w:r>
      <w:r w:rsidR="00734831" w:rsidRPr="008D4CD3">
        <w:rPr>
          <w:rFonts w:asciiTheme="minorHAnsi" w:hAnsiTheme="minorHAnsi" w:cstheme="minorHAnsi"/>
          <w:i/>
        </w:rPr>
        <w:t>Transfery</w:t>
      </w:r>
      <w:r w:rsidR="00734831" w:rsidRPr="00920634">
        <w:rPr>
          <w:rFonts w:asciiTheme="minorHAnsi" w:hAnsiTheme="minorHAnsi" w:cstheme="minorHAnsi"/>
        </w:rPr>
        <w:t>. Výsledně tak MŠMT v roce 2014 mohlo:</w:t>
      </w:r>
    </w:p>
    <w:p w14:paraId="21F1A76D" w14:textId="4D5A7528" w:rsidR="00734831" w:rsidRPr="00920634" w:rsidRDefault="00734831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zaúčtovat náklady ve výši 1 209 878 975,90 Kč, </w:t>
      </w:r>
      <w:r w:rsidR="004338D8" w:rsidRPr="00920634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 xml:space="preserve">to v případě, </w:t>
      </w:r>
      <w:r w:rsidR="00395C5C">
        <w:rPr>
          <w:rFonts w:asciiTheme="minorHAnsi" w:hAnsiTheme="minorHAnsi" w:cstheme="minorHAnsi"/>
        </w:rPr>
        <w:t xml:space="preserve">že </w:t>
      </w:r>
      <w:r w:rsidRPr="00920634">
        <w:rPr>
          <w:rFonts w:asciiTheme="minorHAnsi" w:hAnsiTheme="minorHAnsi" w:cstheme="minorHAnsi"/>
        </w:rPr>
        <w:t>by byly vybrány</w:t>
      </w:r>
      <w:r w:rsidR="00DA203B" w:rsidRPr="00920634">
        <w:rPr>
          <w:rFonts w:asciiTheme="minorHAnsi" w:hAnsiTheme="minorHAnsi" w:cstheme="minorHAnsi"/>
        </w:rPr>
        <w:t xml:space="preserve"> pouze</w:t>
      </w:r>
      <w:r w:rsidRPr="00920634">
        <w:rPr>
          <w:rFonts w:asciiTheme="minorHAnsi" w:hAnsiTheme="minorHAnsi" w:cstheme="minorHAnsi"/>
        </w:rPr>
        <w:t xml:space="preserve"> projekty, u kterých bylo MŠMT v </w:t>
      </w:r>
      <w:r w:rsidR="00B3211E">
        <w:rPr>
          <w:rFonts w:asciiTheme="minorHAnsi" w:hAnsiTheme="minorHAnsi" w:cstheme="minorHAnsi"/>
        </w:rPr>
        <w:t xml:space="preserve">roli </w:t>
      </w:r>
      <w:r w:rsidRPr="00920634">
        <w:rPr>
          <w:rFonts w:asciiTheme="minorHAnsi" w:hAnsiTheme="minorHAnsi" w:cstheme="minorHAnsi"/>
        </w:rPr>
        <w:t>zprostředkovatele</w:t>
      </w:r>
      <w:r w:rsidR="004338D8" w:rsidRPr="00920634">
        <w:rPr>
          <w:rFonts w:asciiTheme="minorHAnsi" w:hAnsiTheme="minorHAnsi" w:cstheme="minorHAnsi"/>
        </w:rPr>
        <w:t>;</w:t>
      </w:r>
    </w:p>
    <w:p w14:paraId="4EB0C502" w14:textId="0C5EE3B4" w:rsidR="00734831" w:rsidRPr="00920634" w:rsidRDefault="00734831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zaúčtovat náklady ve výši 0 Kč</w:t>
      </w:r>
      <w:r w:rsidR="004338D8" w:rsidRPr="00920634">
        <w:rPr>
          <w:rFonts w:asciiTheme="minorHAnsi" w:hAnsiTheme="minorHAnsi" w:cstheme="minorHAnsi"/>
        </w:rPr>
        <w:t>, a</w:t>
      </w:r>
      <w:r w:rsidRPr="00920634">
        <w:rPr>
          <w:rFonts w:asciiTheme="minorHAnsi" w:hAnsiTheme="minorHAnsi" w:cstheme="minorHAnsi"/>
        </w:rPr>
        <w:t xml:space="preserve"> to v případě, </w:t>
      </w:r>
      <w:r w:rsidR="00395C5C">
        <w:rPr>
          <w:rFonts w:asciiTheme="minorHAnsi" w:hAnsiTheme="minorHAnsi" w:cstheme="minorHAnsi"/>
        </w:rPr>
        <w:t xml:space="preserve">že </w:t>
      </w:r>
      <w:r w:rsidRPr="00920634">
        <w:rPr>
          <w:rFonts w:asciiTheme="minorHAnsi" w:hAnsiTheme="minorHAnsi" w:cstheme="minorHAnsi"/>
        </w:rPr>
        <w:t>by byly vybrány</w:t>
      </w:r>
      <w:r w:rsidR="00DA203B" w:rsidRPr="00920634">
        <w:rPr>
          <w:rFonts w:asciiTheme="minorHAnsi" w:hAnsiTheme="minorHAnsi" w:cstheme="minorHAnsi"/>
        </w:rPr>
        <w:t xml:space="preserve"> pouze</w:t>
      </w:r>
      <w:r w:rsidRPr="00920634">
        <w:rPr>
          <w:rFonts w:asciiTheme="minorHAnsi" w:hAnsiTheme="minorHAnsi" w:cstheme="minorHAnsi"/>
        </w:rPr>
        <w:t xml:space="preserve"> projekty, u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kterých bylo MŠMT v</w:t>
      </w:r>
      <w:r w:rsidR="005578CD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roli</w:t>
      </w:r>
      <w:r w:rsidR="005578CD" w:rsidRPr="00920634">
        <w:rPr>
          <w:rFonts w:asciiTheme="minorHAnsi" w:hAnsiTheme="minorHAnsi" w:cstheme="minorHAnsi"/>
        </w:rPr>
        <w:t xml:space="preserve"> poskytovatele </w:t>
      </w:r>
      <w:r w:rsidR="00395C5C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příjemce transferu.</w:t>
      </w:r>
    </w:p>
    <w:p w14:paraId="391236E2" w14:textId="77777777" w:rsidR="00353BC9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DA7215" w14:textId="2F5233E7" w:rsidR="00734831" w:rsidRDefault="00734831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 kontroly tak vyplynula vysoká citlivost údajů účetní závěrky na výběr projekt</w:t>
      </w:r>
      <w:r w:rsidR="00395C5C">
        <w:rPr>
          <w:rFonts w:asciiTheme="minorHAnsi" w:hAnsiTheme="minorHAnsi" w:cstheme="minorHAnsi"/>
        </w:rPr>
        <w:t>ů</w:t>
      </w:r>
      <w:r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 xml:space="preserve">při technickém přístupu </w:t>
      </w:r>
      <w:r w:rsidR="008D073A">
        <w:rPr>
          <w:rFonts w:asciiTheme="minorHAnsi" w:hAnsiTheme="minorHAnsi" w:cstheme="minorHAnsi"/>
        </w:rPr>
        <w:t>k </w:t>
      </w:r>
      <w:r w:rsidR="00DA203B" w:rsidRPr="00920634">
        <w:rPr>
          <w:rFonts w:asciiTheme="minorHAnsi" w:hAnsiTheme="minorHAnsi" w:cstheme="minorHAnsi"/>
        </w:rPr>
        <w:t>přiřazení</w:t>
      </w:r>
      <w:r w:rsidRPr="00920634">
        <w:rPr>
          <w:rFonts w:asciiTheme="minorHAnsi" w:hAnsiTheme="minorHAnsi" w:cstheme="minorHAnsi"/>
        </w:rPr>
        <w:t xml:space="preserve"> plošné korekce. </w:t>
      </w:r>
    </w:p>
    <w:p w14:paraId="0AD04409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EBF87A" w14:textId="31648966" w:rsidR="00734831" w:rsidRDefault="00734831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Z</w:t>
      </w:r>
      <w:r w:rsidR="000C7730">
        <w:rPr>
          <w:rFonts w:asciiTheme="minorHAnsi" w:hAnsiTheme="minorHAnsi" w:cstheme="minorHAnsi"/>
        </w:rPr>
        <w:t> výše popsaného</w:t>
      </w:r>
      <w:r w:rsidRPr="00920634">
        <w:rPr>
          <w:rFonts w:asciiTheme="minorHAnsi" w:hAnsiTheme="minorHAnsi" w:cstheme="minorHAnsi"/>
        </w:rPr>
        <w:t xml:space="preserve"> </w:t>
      </w:r>
      <w:r w:rsidR="000C7730">
        <w:rPr>
          <w:rFonts w:asciiTheme="minorHAnsi" w:hAnsiTheme="minorHAnsi" w:cstheme="minorHAnsi"/>
        </w:rPr>
        <w:t>způsobu</w:t>
      </w:r>
      <w:r w:rsidRPr="00920634">
        <w:rPr>
          <w:rFonts w:asciiTheme="minorHAnsi" w:hAnsiTheme="minorHAnsi" w:cstheme="minorHAnsi"/>
        </w:rPr>
        <w:t xml:space="preserve"> zachycení plošn</w:t>
      </w:r>
      <w:r w:rsidR="00863CC1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korekc</w:t>
      </w:r>
      <w:r w:rsidR="00863CC1">
        <w:rPr>
          <w:rFonts w:asciiTheme="minorHAnsi" w:hAnsiTheme="minorHAnsi" w:cstheme="minorHAnsi"/>
        </w:rPr>
        <w:t>e</w:t>
      </w:r>
      <w:r w:rsidRPr="00920634">
        <w:rPr>
          <w:rFonts w:asciiTheme="minorHAnsi" w:hAnsiTheme="minorHAnsi" w:cstheme="minorHAnsi"/>
        </w:rPr>
        <w:t xml:space="preserve"> je zřejmé, že </w:t>
      </w:r>
      <w:r w:rsidRPr="00920634">
        <w:rPr>
          <w:rFonts w:asciiTheme="minorHAnsi" w:hAnsiTheme="minorHAnsi" w:cstheme="minorHAnsi"/>
          <w:b/>
        </w:rPr>
        <w:t>postup zvolený MŠMT</w:t>
      </w:r>
      <w:r w:rsidRPr="00920634">
        <w:rPr>
          <w:rFonts w:asciiTheme="minorHAnsi" w:hAnsiTheme="minorHAnsi" w:cstheme="minorHAnsi"/>
        </w:rPr>
        <w:t xml:space="preserve"> umožňoval </w:t>
      </w:r>
      <w:r w:rsidRPr="00920634">
        <w:rPr>
          <w:rFonts w:asciiTheme="minorHAnsi" w:hAnsiTheme="minorHAnsi" w:cstheme="minorHAnsi"/>
          <w:b/>
        </w:rPr>
        <w:t>v roce 2014</w:t>
      </w:r>
      <w:r w:rsidRPr="00920634">
        <w:rPr>
          <w:rFonts w:asciiTheme="minorHAnsi" w:hAnsiTheme="minorHAnsi" w:cstheme="minorHAnsi"/>
        </w:rPr>
        <w:t xml:space="preserve"> zobrazit</w:t>
      </w:r>
      <w:r w:rsidR="006A02B7"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>skutečnost</w:t>
      </w:r>
      <w:r w:rsidR="006A02B7"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>v účetních výkazech</w:t>
      </w:r>
      <w:r w:rsidRPr="00920634">
        <w:rPr>
          <w:rFonts w:asciiTheme="minorHAnsi" w:hAnsiTheme="minorHAnsi" w:cstheme="minorHAnsi"/>
        </w:rPr>
        <w:t xml:space="preserve"> různě</w:t>
      </w:r>
      <w:r w:rsidR="00EA2922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</w:t>
      </w:r>
      <w:r w:rsidR="00EA2922">
        <w:rPr>
          <w:rFonts w:asciiTheme="minorHAnsi" w:hAnsiTheme="minorHAnsi" w:cstheme="minorHAnsi"/>
        </w:rPr>
        <w:t xml:space="preserve">navíc </w:t>
      </w:r>
      <w:r w:rsidRPr="00920634">
        <w:rPr>
          <w:rFonts w:asciiTheme="minorHAnsi" w:hAnsiTheme="minorHAnsi" w:cstheme="minorHAnsi"/>
        </w:rPr>
        <w:t xml:space="preserve">významně odlišně, což </w:t>
      </w:r>
      <w:r w:rsidRPr="00920634">
        <w:rPr>
          <w:rFonts w:asciiTheme="minorHAnsi" w:hAnsiTheme="minorHAnsi" w:cstheme="minorHAnsi"/>
          <w:b/>
        </w:rPr>
        <w:t xml:space="preserve">snižuje využitelnost takových informací pro uživatele účetní závěrky. </w:t>
      </w:r>
    </w:p>
    <w:p w14:paraId="72CECF21" w14:textId="77777777" w:rsidR="00353BC9" w:rsidRPr="00920634" w:rsidRDefault="00353BC9" w:rsidP="00114439">
      <w:pPr>
        <w:jc w:val="both"/>
        <w:rPr>
          <w:rFonts w:asciiTheme="minorHAnsi" w:hAnsiTheme="minorHAnsi" w:cstheme="minorHAnsi"/>
          <w:b/>
        </w:rPr>
      </w:pPr>
    </w:p>
    <w:p w14:paraId="4AE10136" w14:textId="626435D6" w:rsidR="00734831" w:rsidRDefault="00BA7950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Z</w:t>
      </w:r>
      <w:r w:rsidR="00734831" w:rsidRPr="00920634">
        <w:rPr>
          <w:rFonts w:asciiTheme="minorHAnsi" w:hAnsiTheme="minorHAnsi" w:cstheme="minorHAnsi"/>
          <w:b/>
        </w:rPr>
        <w:t>působ zachyc</w:t>
      </w:r>
      <w:r w:rsidR="000C7730">
        <w:rPr>
          <w:rFonts w:asciiTheme="minorHAnsi" w:hAnsiTheme="minorHAnsi" w:cstheme="minorHAnsi"/>
          <w:b/>
        </w:rPr>
        <w:t>ování</w:t>
      </w:r>
      <w:r w:rsidR="00734831" w:rsidRPr="00920634">
        <w:rPr>
          <w:rFonts w:asciiTheme="minorHAnsi" w:hAnsiTheme="minorHAnsi" w:cstheme="minorHAnsi"/>
          <w:b/>
        </w:rPr>
        <w:t xml:space="preserve"> plošných korekcí </w:t>
      </w:r>
      <w:r w:rsidR="00863CC1">
        <w:rPr>
          <w:rFonts w:asciiTheme="minorHAnsi" w:hAnsiTheme="minorHAnsi" w:cstheme="minorHAnsi"/>
          <w:b/>
        </w:rPr>
        <w:t xml:space="preserve">by </w:t>
      </w:r>
      <w:r w:rsidR="00734831" w:rsidRPr="00920634">
        <w:rPr>
          <w:rFonts w:asciiTheme="minorHAnsi" w:hAnsiTheme="minorHAnsi" w:cstheme="minorHAnsi"/>
          <w:b/>
        </w:rPr>
        <w:t xml:space="preserve">měl </w:t>
      </w:r>
      <w:r w:rsidR="004338D8" w:rsidRPr="00920634">
        <w:rPr>
          <w:rFonts w:asciiTheme="minorHAnsi" w:hAnsiTheme="minorHAnsi" w:cstheme="minorHAnsi"/>
          <w:b/>
        </w:rPr>
        <w:t xml:space="preserve">dle názoru NKÚ </w:t>
      </w:r>
      <w:r w:rsidR="00734831" w:rsidRPr="00920634">
        <w:rPr>
          <w:rFonts w:asciiTheme="minorHAnsi" w:hAnsiTheme="minorHAnsi" w:cstheme="minorHAnsi"/>
          <w:b/>
        </w:rPr>
        <w:t xml:space="preserve">vést ke spolehlivějšímu </w:t>
      </w:r>
      <w:r w:rsidR="00DA203B" w:rsidRPr="00920634">
        <w:rPr>
          <w:rFonts w:asciiTheme="minorHAnsi" w:hAnsiTheme="minorHAnsi" w:cstheme="minorHAnsi"/>
          <w:b/>
        </w:rPr>
        <w:t>zobrazení</w:t>
      </w:r>
      <w:r w:rsidR="00734831" w:rsidRPr="00920634">
        <w:rPr>
          <w:rFonts w:asciiTheme="minorHAnsi" w:hAnsiTheme="minorHAnsi" w:cstheme="minorHAnsi"/>
          <w:b/>
        </w:rPr>
        <w:t xml:space="preserve"> skutečnosti týkající se dosaženého výsledku hospodaření</w:t>
      </w:r>
      <w:r w:rsidR="00863CC1">
        <w:rPr>
          <w:rFonts w:asciiTheme="minorHAnsi" w:hAnsiTheme="minorHAnsi" w:cstheme="minorHAnsi"/>
          <w:b/>
        </w:rPr>
        <w:t xml:space="preserve"> a neměl by být </w:t>
      </w:r>
      <w:r w:rsidR="00DA203B" w:rsidRPr="00920634">
        <w:rPr>
          <w:rFonts w:asciiTheme="minorHAnsi" w:hAnsiTheme="minorHAnsi" w:cstheme="minorHAnsi"/>
          <w:b/>
        </w:rPr>
        <w:t>v takové míře</w:t>
      </w:r>
      <w:r w:rsidR="00734831" w:rsidRPr="00920634">
        <w:rPr>
          <w:rFonts w:asciiTheme="minorHAnsi" w:hAnsiTheme="minorHAnsi" w:cstheme="minorHAnsi"/>
          <w:b/>
        </w:rPr>
        <w:t xml:space="preserve"> </w:t>
      </w:r>
      <w:r w:rsidR="00863CC1">
        <w:rPr>
          <w:rFonts w:asciiTheme="minorHAnsi" w:hAnsiTheme="minorHAnsi" w:cstheme="minorHAnsi"/>
          <w:b/>
        </w:rPr>
        <w:t xml:space="preserve">ovlivněn </w:t>
      </w:r>
      <w:r w:rsidR="00DA203B" w:rsidRPr="00920634">
        <w:rPr>
          <w:rFonts w:asciiTheme="minorHAnsi" w:hAnsiTheme="minorHAnsi" w:cstheme="minorHAnsi"/>
          <w:b/>
        </w:rPr>
        <w:t>technickým přístupem</w:t>
      </w:r>
      <w:r w:rsidR="00863CC1">
        <w:rPr>
          <w:rFonts w:asciiTheme="minorHAnsi" w:hAnsiTheme="minorHAnsi" w:cstheme="minorHAnsi"/>
          <w:b/>
        </w:rPr>
        <w:t xml:space="preserve">, resp. </w:t>
      </w:r>
      <w:r w:rsidR="00DA203B" w:rsidRPr="00920634">
        <w:rPr>
          <w:rFonts w:asciiTheme="minorHAnsi" w:hAnsiTheme="minorHAnsi" w:cstheme="minorHAnsi"/>
          <w:b/>
        </w:rPr>
        <w:t xml:space="preserve">náhodným výběrem </w:t>
      </w:r>
      <w:r w:rsidR="00734831" w:rsidRPr="00920634">
        <w:rPr>
          <w:rFonts w:asciiTheme="minorHAnsi" w:hAnsiTheme="minorHAnsi" w:cstheme="minorHAnsi"/>
          <w:b/>
        </w:rPr>
        <w:t>projektů.</w:t>
      </w:r>
    </w:p>
    <w:p w14:paraId="02ED183B" w14:textId="77777777" w:rsidR="00353BC9" w:rsidRPr="00920634" w:rsidRDefault="00353BC9" w:rsidP="00114439">
      <w:pPr>
        <w:jc w:val="both"/>
        <w:rPr>
          <w:rFonts w:asciiTheme="minorHAnsi" w:hAnsiTheme="minorHAnsi" w:cstheme="minorHAnsi"/>
          <w:b/>
        </w:rPr>
      </w:pPr>
    </w:p>
    <w:p w14:paraId="2E81CD8D" w14:textId="4DA034F3" w:rsidR="00734831" w:rsidRDefault="0073483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Postupy účtování ve vztahu k plošným korekcím aplikované MŠMT v roce 2014 v roli zprostředkovatele dle ČÚS č. 703 </w:t>
      </w:r>
      <w:r w:rsidR="00973BFF" w:rsidRPr="00920634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>nezobrazují</w:t>
      </w:r>
      <w:r w:rsidRPr="00920634">
        <w:rPr>
          <w:rFonts w:asciiTheme="minorHAnsi" w:hAnsiTheme="minorHAnsi" w:cstheme="minorHAnsi"/>
        </w:rPr>
        <w:t xml:space="preserve"> v roce 2015 </w:t>
      </w:r>
      <w:r w:rsidR="00DA203B" w:rsidRPr="00920634">
        <w:rPr>
          <w:rFonts w:asciiTheme="minorHAnsi" w:hAnsiTheme="minorHAnsi" w:cstheme="minorHAnsi"/>
        </w:rPr>
        <w:t>správně a úplně</w:t>
      </w:r>
      <w:r w:rsidRPr="00920634">
        <w:rPr>
          <w:rFonts w:asciiTheme="minorHAnsi" w:hAnsiTheme="minorHAnsi" w:cstheme="minorHAnsi"/>
        </w:rPr>
        <w:t xml:space="preserve"> finanční pozici MŠMT. V roce 2015, kdy MŠMT změnilo roli dle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a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vystupuje jako poskytovatel a příjemce předfinancované části transferu, je </w:t>
      </w:r>
      <w:r w:rsidR="00DA203B" w:rsidRPr="00920634">
        <w:rPr>
          <w:rFonts w:asciiTheme="minorHAnsi" w:hAnsiTheme="minorHAnsi" w:cstheme="minorHAnsi"/>
        </w:rPr>
        <w:t>nezbytné vykázat</w:t>
      </w:r>
      <w:r w:rsidRPr="00920634">
        <w:rPr>
          <w:rFonts w:asciiTheme="minorHAnsi" w:hAnsiTheme="minorHAnsi" w:cstheme="minorHAnsi"/>
        </w:rPr>
        <w:t xml:space="preserve"> povinnost vrácení prostředků či jejich započtení proti jiným nárokům vůči Národnímu fondu Ministerstva financí. Tyto informace a skutečnosti se však v roce 2015 do</w:t>
      </w:r>
      <w:r w:rsidR="00EE1D9C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účetnictví MŠMT</w:t>
      </w:r>
      <w:r w:rsidR="00DA203B" w:rsidRPr="00920634">
        <w:rPr>
          <w:rFonts w:asciiTheme="minorHAnsi" w:hAnsiTheme="minorHAnsi" w:cstheme="minorHAnsi"/>
        </w:rPr>
        <w:t xml:space="preserve"> k datu ukončení kontroly</w:t>
      </w:r>
      <w:r w:rsidRPr="00920634">
        <w:rPr>
          <w:rFonts w:asciiTheme="minorHAnsi" w:hAnsiTheme="minorHAnsi" w:cstheme="minorHAnsi"/>
        </w:rPr>
        <w:t xml:space="preserve"> nepromítly</w:t>
      </w:r>
      <w:r w:rsidR="00863CC1">
        <w:rPr>
          <w:rFonts w:asciiTheme="minorHAnsi" w:hAnsiTheme="minorHAnsi" w:cstheme="minorHAnsi"/>
        </w:rPr>
        <w:t xml:space="preserve">, </w:t>
      </w:r>
      <w:r w:rsidRPr="00920634">
        <w:rPr>
          <w:rFonts w:asciiTheme="minorHAnsi" w:hAnsiTheme="minorHAnsi" w:cstheme="minorHAnsi"/>
        </w:rPr>
        <w:t>a</w:t>
      </w:r>
      <w:r w:rsidR="00863CC1">
        <w:rPr>
          <w:rFonts w:asciiTheme="minorHAnsi" w:hAnsiTheme="minorHAnsi" w:cstheme="minorHAnsi"/>
        </w:rPr>
        <w:t xml:space="preserve"> neprojevily se tedy</w:t>
      </w:r>
      <w:r w:rsidR="00DA203B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ani </w:t>
      </w:r>
      <w:r w:rsidR="00863CC1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tzv.</w:t>
      </w:r>
      <w:r w:rsidR="005D7FF6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mezitímní účetní závěr</w:t>
      </w:r>
      <w:r w:rsidR="004A064E">
        <w:rPr>
          <w:rFonts w:asciiTheme="minorHAnsi" w:hAnsiTheme="minorHAnsi" w:cstheme="minorHAnsi"/>
        </w:rPr>
        <w:t>ce</w:t>
      </w:r>
      <w:r w:rsidRPr="00920634">
        <w:rPr>
          <w:rFonts w:asciiTheme="minorHAnsi" w:hAnsiTheme="minorHAnsi" w:cstheme="minorHAnsi"/>
        </w:rPr>
        <w:t xml:space="preserve"> MŠMT k 31. </w:t>
      </w:r>
      <w:r w:rsidR="0021557A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2015.</w:t>
      </w:r>
    </w:p>
    <w:p w14:paraId="5CC750D8" w14:textId="77777777" w:rsidR="00353BC9" w:rsidRPr="00920634" w:rsidRDefault="00353BC9" w:rsidP="00114439">
      <w:pPr>
        <w:jc w:val="both"/>
        <w:rPr>
          <w:rFonts w:asciiTheme="minorHAnsi" w:hAnsiTheme="minorHAnsi" w:cstheme="minorHAnsi"/>
          <w:bCs/>
        </w:rPr>
      </w:pPr>
    </w:p>
    <w:p w14:paraId="1C969B1E" w14:textId="023F0382" w:rsidR="00734831" w:rsidRPr="00920634" w:rsidRDefault="00734831" w:rsidP="00114439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Finanční opravy u MZe</w:t>
      </w:r>
    </w:p>
    <w:p w14:paraId="4C4E4299" w14:textId="445C5CA4" w:rsidR="00734831" w:rsidRPr="00920634" w:rsidRDefault="0073483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 případě MZe</w:t>
      </w:r>
      <w:r w:rsidR="0021557A" w:rsidRPr="00920634">
        <w:rPr>
          <w:rFonts w:asciiTheme="minorHAnsi" w:hAnsiTheme="minorHAnsi" w:cstheme="minorHAnsi"/>
        </w:rPr>
        <w:t xml:space="preserve"> aktuálně</w:t>
      </w:r>
      <w:r w:rsidRPr="00920634">
        <w:rPr>
          <w:rFonts w:asciiTheme="minorHAnsi" w:hAnsiTheme="minorHAnsi" w:cstheme="minorHAnsi"/>
        </w:rPr>
        <w:t xml:space="preserve"> probíhá proces </w:t>
      </w:r>
      <w:r w:rsidR="004338D8" w:rsidRPr="00920634">
        <w:rPr>
          <w:rFonts w:asciiTheme="minorHAnsi" w:hAnsiTheme="minorHAnsi" w:cstheme="minorHAnsi"/>
        </w:rPr>
        <w:t>vyměř</w:t>
      </w:r>
      <w:r w:rsidR="00EE1D9C">
        <w:rPr>
          <w:rFonts w:asciiTheme="minorHAnsi" w:hAnsiTheme="minorHAnsi" w:cstheme="minorHAnsi"/>
        </w:rPr>
        <w:t>ování</w:t>
      </w:r>
      <w:r w:rsidR="004338D8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některých finančních oprav</w:t>
      </w:r>
      <w:r w:rsidR="0021557A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MZe však s navrhovanými finančními opravami nesouhlasí a v současné době není jisté, zda ČR bude o</w:t>
      </w:r>
      <w:r w:rsidR="00920634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tyto prostředky z EU krácena</w:t>
      </w:r>
      <w:r w:rsidR="002043C0" w:rsidRPr="00920634">
        <w:rPr>
          <w:rStyle w:val="Znakapoznpodarou"/>
          <w:rFonts w:asciiTheme="minorHAnsi" w:hAnsiTheme="minorHAnsi" w:cstheme="minorHAnsi"/>
        </w:rPr>
        <w:footnoteReference w:id="38"/>
      </w:r>
      <w:r w:rsidRPr="00920634">
        <w:rPr>
          <w:rFonts w:asciiTheme="minorHAnsi" w:hAnsiTheme="minorHAnsi" w:cstheme="minorHAnsi"/>
        </w:rPr>
        <w:t xml:space="preserve">. </w:t>
      </w:r>
    </w:p>
    <w:p w14:paraId="7FC6EB90" w14:textId="77777777" w:rsidR="00EE1D9C" w:rsidRDefault="00EE1D9C" w:rsidP="00114439">
      <w:pPr>
        <w:jc w:val="both"/>
        <w:rPr>
          <w:rFonts w:asciiTheme="minorHAnsi" w:hAnsiTheme="minorHAnsi" w:cstheme="minorHAnsi"/>
        </w:rPr>
      </w:pPr>
    </w:p>
    <w:p w14:paraId="715DBD72" w14:textId="3D34F971" w:rsidR="00734831" w:rsidRPr="00920634" w:rsidRDefault="00734831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MZe</w:t>
      </w:r>
      <w:r w:rsidR="00DA203B" w:rsidRPr="00920634">
        <w:rPr>
          <w:rFonts w:asciiTheme="minorHAnsi" w:hAnsiTheme="minorHAnsi" w:cstheme="minorHAnsi"/>
        </w:rPr>
        <w:t xml:space="preserve"> </w:t>
      </w:r>
      <w:r w:rsidR="00EE1D9C">
        <w:rPr>
          <w:rFonts w:asciiTheme="minorHAnsi" w:hAnsiTheme="minorHAnsi" w:cstheme="minorHAnsi"/>
        </w:rPr>
        <w:t>s ohledem na tyto skutečnosti</w:t>
      </w:r>
      <w:r w:rsidRPr="00920634">
        <w:rPr>
          <w:rFonts w:asciiTheme="minorHAnsi" w:hAnsiTheme="minorHAnsi" w:cstheme="minorHAnsi"/>
        </w:rPr>
        <w:t xml:space="preserve"> </w:t>
      </w:r>
      <w:r w:rsidR="00DA203B" w:rsidRPr="00920634">
        <w:rPr>
          <w:rFonts w:asciiTheme="minorHAnsi" w:hAnsiTheme="minorHAnsi" w:cstheme="minorHAnsi"/>
        </w:rPr>
        <w:t>účtovalo</w:t>
      </w:r>
      <w:r w:rsidRPr="00920634">
        <w:rPr>
          <w:rFonts w:asciiTheme="minorHAnsi" w:hAnsiTheme="minorHAnsi" w:cstheme="minorHAnsi"/>
        </w:rPr>
        <w:t xml:space="preserve"> finanční opravy ve svém účetnictví odlišným způsobem než MŠMT</w:t>
      </w:r>
      <w:r w:rsidR="00EE1D9C">
        <w:rPr>
          <w:rFonts w:asciiTheme="minorHAnsi" w:hAnsiTheme="minorHAnsi" w:cstheme="minorHAnsi"/>
        </w:rPr>
        <w:t>,</w:t>
      </w:r>
      <w:r w:rsidR="005C5786" w:rsidRPr="00920634">
        <w:rPr>
          <w:rFonts w:asciiTheme="minorHAnsi" w:hAnsiTheme="minorHAnsi" w:cstheme="minorHAnsi"/>
        </w:rPr>
        <w:t xml:space="preserve"> </w:t>
      </w:r>
      <w:r w:rsidR="0021557A" w:rsidRPr="00920634">
        <w:rPr>
          <w:rFonts w:asciiTheme="minorHAnsi" w:hAnsiTheme="minorHAnsi" w:cstheme="minorHAnsi"/>
        </w:rPr>
        <w:t>a to</w:t>
      </w:r>
      <w:r w:rsidRPr="00920634">
        <w:rPr>
          <w:rFonts w:asciiTheme="minorHAnsi" w:hAnsiTheme="minorHAnsi" w:cstheme="minorHAnsi"/>
        </w:rPr>
        <w:t xml:space="preserve"> prostřednictvím podrozvahových účtů podmíněných závazků</w:t>
      </w:r>
      <w:r w:rsidR="00EE1D9C">
        <w:rPr>
          <w:rFonts w:asciiTheme="minorHAnsi" w:hAnsiTheme="minorHAnsi" w:cstheme="minorHAnsi"/>
        </w:rPr>
        <w:t>,</w:t>
      </w:r>
      <w:r w:rsidR="0021557A" w:rsidRPr="00920634">
        <w:rPr>
          <w:rFonts w:asciiTheme="minorHAnsi" w:hAnsiTheme="minorHAnsi" w:cstheme="minorHAnsi"/>
        </w:rPr>
        <w:t xml:space="preserve"> </w:t>
      </w:r>
      <w:r w:rsidR="0021557A" w:rsidRPr="00920634">
        <w:rPr>
          <w:rFonts w:asciiTheme="minorHAnsi" w:hAnsiTheme="minorHAnsi" w:cstheme="minorHAnsi"/>
        </w:rPr>
        <w:lastRenderedPageBreak/>
        <w:t>tzn.</w:t>
      </w:r>
      <w:r w:rsidR="005D7FF6">
        <w:rPr>
          <w:rFonts w:asciiTheme="minorHAnsi" w:hAnsiTheme="minorHAnsi" w:cstheme="minorHAnsi"/>
        </w:rPr>
        <w:t> </w:t>
      </w:r>
      <w:r w:rsidR="0021557A" w:rsidRPr="00920634">
        <w:rPr>
          <w:rFonts w:asciiTheme="minorHAnsi" w:hAnsiTheme="minorHAnsi" w:cstheme="minorHAnsi"/>
        </w:rPr>
        <w:t>na</w:t>
      </w:r>
      <w:r w:rsidRPr="00920634">
        <w:rPr>
          <w:rFonts w:asciiTheme="minorHAnsi" w:hAnsiTheme="minorHAnsi" w:cstheme="minorHAnsi"/>
        </w:rPr>
        <w:t xml:space="preserve"> účtu 912 – </w:t>
      </w:r>
      <w:r w:rsidRPr="00920634">
        <w:rPr>
          <w:rFonts w:asciiTheme="minorHAnsi" w:hAnsiTheme="minorHAnsi" w:cstheme="minorHAnsi"/>
          <w:i/>
        </w:rPr>
        <w:t xml:space="preserve">Krátkodobé podmíněné závazky </w:t>
      </w:r>
      <w:r w:rsidR="008D073A">
        <w:rPr>
          <w:rFonts w:asciiTheme="minorHAnsi" w:hAnsiTheme="minorHAnsi" w:cstheme="minorHAnsi"/>
          <w:i/>
        </w:rPr>
        <w:t>z </w:t>
      </w:r>
      <w:r w:rsidRPr="00920634">
        <w:rPr>
          <w:rFonts w:asciiTheme="minorHAnsi" w:hAnsiTheme="minorHAnsi" w:cstheme="minorHAnsi"/>
          <w:i/>
        </w:rPr>
        <w:t>předfinancování transferů</w:t>
      </w:r>
      <w:r w:rsidR="00AA7405" w:rsidRPr="00920634">
        <w:rPr>
          <w:rFonts w:asciiTheme="minorHAnsi" w:hAnsiTheme="minorHAnsi" w:cstheme="minorHAnsi"/>
        </w:rPr>
        <w:t xml:space="preserve"> a</w:t>
      </w:r>
      <w:r w:rsidR="0021557A" w:rsidRPr="00920634">
        <w:rPr>
          <w:rFonts w:asciiTheme="minorHAnsi" w:hAnsiTheme="minorHAnsi" w:cstheme="minorHAnsi"/>
        </w:rPr>
        <w:t xml:space="preserve"> na</w:t>
      </w:r>
      <w:r w:rsidR="00AA7405" w:rsidRPr="00920634">
        <w:rPr>
          <w:rFonts w:asciiTheme="minorHAnsi" w:hAnsiTheme="minorHAnsi" w:cstheme="minorHAnsi"/>
        </w:rPr>
        <w:t xml:space="preserve"> účtu </w:t>
      </w:r>
      <w:r w:rsidR="005D7FF6">
        <w:rPr>
          <w:rFonts w:asciiTheme="minorHAnsi" w:hAnsiTheme="minorHAnsi" w:cstheme="minorHAnsi"/>
        </w:rPr>
        <w:br/>
      </w:r>
      <w:r w:rsidR="00AA7405" w:rsidRPr="00920634">
        <w:rPr>
          <w:rFonts w:asciiTheme="minorHAnsi" w:hAnsiTheme="minorHAnsi" w:cstheme="minorHAnsi"/>
        </w:rPr>
        <w:t xml:space="preserve">952 </w:t>
      </w:r>
      <w:r w:rsidR="007E28AF">
        <w:rPr>
          <w:rFonts w:asciiTheme="minorHAnsi" w:hAnsiTheme="minorHAnsi" w:cstheme="minorHAnsi"/>
        </w:rPr>
        <w:t>–</w:t>
      </w:r>
      <w:r w:rsidR="00AA7405" w:rsidRPr="00920634">
        <w:rPr>
          <w:rFonts w:asciiTheme="minorHAnsi" w:hAnsiTheme="minorHAnsi" w:cstheme="minorHAnsi"/>
        </w:rPr>
        <w:t xml:space="preserve"> </w:t>
      </w:r>
      <w:r w:rsidR="00AA7405" w:rsidRPr="00920634">
        <w:rPr>
          <w:rFonts w:asciiTheme="minorHAnsi" w:hAnsiTheme="minorHAnsi" w:cstheme="minorHAnsi"/>
          <w:i/>
        </w:rPr>
        <w:t xml:space="preserve">Dlouhodobé podmíněné závazky </w:t>
      </w:r>
      <w:r w:rsidR="008D073A">
        <w:rPr>
          <w:rFonts w:asciiTheme="minorHAnsi" w:hAnsiTheme="minorHAnsi" w:cstheme="minorHAnsi"/>
          <w:i/>
        </w:rPr>
        <w:t>z </w:t>
      </w:r>
      <w:r w:rsidR="00AA7405" w:rsidRPr="00920634">
        <w:rPr>
          <w:rFonts w:asciiTheme="minorHAnsi" w:hAnsiTheme="minorHAnsi" w:cstheme="minorHAnsi"/>
          <w:i/>
        </w:rPr>
        <w:t>předfinancování transferů</w:t>
      </w:r>
      <w:r w:rsidRPr="00920634">
        <w:rPr>
          <w:rFonts w:asciiTheme="minorHAnsi" w:hAnsiTheme="minorHAnsi" w:cstheme="minorHAnsi"/>
          <w:i/>
        </w:rPr>
        <w:t>.</w:t>
      </w:r>
      <w:r w:rsidR="008D073A">
        <w:rPr>
          <w:rFonts w:asciiTheme="minorHAnsi" w:hAnsiTheme="minorHAnsi" w:cstheme="minorHAnsi"/>
          <w:i/>
        </w:rPr>
        <w:t xml:space="preserve"> </w:t>
      </w:r>
    </w:p>
    <w:p w14:paraId="7A2FD4D6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180513ED" w14:textId="2CE04294" w:rsidR="00FB7DC9" w:rsidRPr="00920634" w:rsidRDefault="00997B4D" w:rsidP="00114439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 xml:space="preserve">.2 </w:t>
      </w:r>
      <w:r w:rsidR="00FB7DC9" w:rsidRPr="00920634">
        <w:rPr>
          <w:rFonts w:asciiTheme="minorHAnsi" w:hAnsiTheme="minorHAnsi" w:cstheme="minorHAnsi"/>
          <w:b/>
          <w:i/>
          <w:sz w:val="24"/>
        </w:rPr>
        <w:t>Pohledávky z předfinancování</w:t>
      </w:r>
    </w:p>
    <w:p w14:paraId="6B2746D5" w14:textId="03E6CB7B" w:rsidR="00FB7DC9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Od 1. </w:t>
      </w:r>
      <w:r w:rsidR="00626C77" w:rsidRPr="00920634">
        <w:rPr>
          <w:rFonts w:asciiTheme="minorHAnsi" w:hAnsiTheme="minorHAnsi" w:cstheme="minorHAnsi"/>
          <w:sz w:val="24"/>
        </w:rPr>
        <w:t>ledna</w:t>
      </w:r>
      <w:r w:rsidRPr="00920634">
        <w:rPr>
          <w:rFonts w:asciiTheme="minorHAnsi" w:hAnsiTheme="minorHAnsi" w:cstheme="minorHAnsi"/>
          <w:sz w:val="24"/>
        </w:rPr>
        <w:t xml:space="preserve"> 2015 došlo k významné změně v oblasti </w:t>
      </w:r>
      <w:r w:rsidR="004338D8" w:rsidRPr="00920634">
        <w:rPr>
          <w:rFonts w:asciiTheme="minorHAnsi" w:hAnsiTheme="minorHAnsi" w:cstheme="minorHAnsi"/>
          <w:sz w:val="24"/>
        </w:rPr>
        <w:t xml:space="preserve">zachycování </w:t>
      </w:r>
      <w:r w:rsidRPr="00920634">
        <w:rPr>
          <w:rFonts w:asciiTheme="minorHAnsi" w:hAnsiTheme="minorHAnsi" w:cstheme="minorHAnsi"/>
          <w:sz w:val="24"/>
        </w:rPr>
        <w:t>pohledávek OSS z titulu předfinancování. Dle ustanovení bodu 4.15 Č</w:t>
      </w:r>
      <w:r w:rsidR="001F6D00" w:rsidRPr="00920634">
        <w:rPr>
          <w:rFonts w:asciiTheme="minorHAnsi" w:hAnsiTheme="minorHAnsi" w:cstheme="minorHAnsi"/>
          <w:sz w:val="24"/>
        </w:rPr>
        <w:t>Ú</w:t>
      </w:r>
      <w:r w:rsidRPr="00920634">
        <w:rPr>
          <w:rFonts w:asciiTheme="minorHAnsi" w:hAnsiTheme="minorHAnsi" w:cstheme="minorHAnsi"/>
          <w:sz w:val="24"/>
        </w:rPr>
        <w:t xml:space="preserve">S č. 703 – </w:t>
      </w:r>
      <w:r w:rsidRPr="008D4CD3">
        <w:rPr>
          <w:rFonts w:asciiTheme="minorHAnsi" w:hAnsiTheme="minorHAnsi" w:cstheme="minorHAnsi"/>
          <w:i/>
          <w:sz w:val="24"/>
        </w:rPr>
        <w:t>Transfery</w:t>
      </w:r>
      <w:r w:rsidRPr="00920634">
        <w:rPr>
          <w:rFonts w:asciiTheme="minorHAnsi" w:hAnsiTheme="minorHAnsi" w:cstheme="minorHAnsi"/>
          <w:sz w:val="24"/>
        </w:rPr>
        <w:t xml:space="preserve"> se účtuje o podmíněné pohledávce z předfinancování již v okamžiku poskytnutí předfinancování transferu (jeho výplaty), tj. na rozdíl od předchozích období ještě před podáním žádosti o refundaci. </w:t>
      </w:r>
    </w:p>
    <w:p w14:paraId="70A8C402" w14:textId="77777777" w:rsidR="00353BC9" w:rsidRPr="00920634" w:rsidRDefault="00353B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CD543DA" w14:textId="7E9C66E4" w:rsidR="00FB7DC9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Dojde-li ke ztrátě refundovatelnosti</w:t>
      </w:r>
      <w:r w:rsidR="004338D8" w:rsidRPr="00920634">
        <w:rPr>
          <w:rFonts w:asciiTheme="minorHAnsi" w:hAnsiTheme="minorHAnsi" w:cstheme="minorHAnsi"/>
        </w:rPr>
        <w:t xml:space="preserve"> části</w:t>
      </w:r>
      <w:r w:rsidRPr="00920634">
        <w:rPr>
          <w:rFonts w:asciiTheme="minorHAnsi" w:hAnsiTheme="minorHAnsi" w:cstheme="minorHAnsi"/>
        </w:rPr>
        <w:t xml:space="preserve"> předfinancovaných prostředků</w:t>
      </w:r>
      <w:r w:rsidR="00E81F54" w:rsidRPr="00920634">
        <w:rPr>
          <w:rFonts w:asciiTheme="minorHAnsi" w:hAnsiTheme="minorHAnsi" w:cstheme="minorHAnsi"/>
        </w:rPr>
        <w:t>, a to</w:t>
      </w:r>
      <w:r w:rsidRPr="00920634">
        <w:rPr>
          <w:rFonts w:asciiTheme="minorHAnsi" w:hAnsiTheme="minorHAnsi" w:cstheme="minorHAnsi"/>
        </w:rPr>
        <w:t xml:space="preserve"> z jakýchkoliv důvodů, je </w:t>
      </w:r>
      <w:r w:rsidR="005161BD" w:rsidRPr="00920634">
        <w:rPr>
          <w:rFonts w:asciiTheme="minorHAnsi" w:hAnsiTheme="minorHAnsi" w:cstheme="minorHAnsi"/>
        </w:rPr>
        <w:t>nutné</w:t>
      </w:r>
      <w:r w:rsidRPr="00920634">
        <w:rPr>
          <w:rFonts w:asciiTheme="minorHAnsi" w:hAnsiTheme="minorHAnsi" w:cstheme="minorHAnsi"/>
        </w:rPr>
        <w:t xml:space="preserve">, aby OSS </w:t>
      </w:r>
      <w:r w:rsidR="004338D8" w:rsidRPr="00920634">
        <w:rPr>
          <w:rFonts w:asciiTheme="minorHAnsi" w:hAnsiTheme="minorHAnsi" w:cstheme="minorHAnsi"/>
        </w:rPr>
        <w:t xml:space="preserve">o tuto </w:t>
      </w:r>
      <w:r w:rsidR="00BA37BE">
        <w:rPr>
          <w:rFonts w:asciiTheme="minorHAnsi" w:hAnsiTheme="minorHAnsi" w:cstheme="minorHAnsi"/>
        </w:rPr>
        <w:t>část</w:t>
      </w:r>
      <w:r w:rsidR="004338D8" w:rsidRPr="00920634">
        <w:rPr>
          <w:rFonts w:asciiTheme="minorHAnsi" w:hAnsiTheme="minorHAnsi" w:cstheme="minorHAnsi"/>
        </w:rPr>
        <w:t xml:space="preserve"> </w:t>
      </w:r>
      <w:r w:rsidR="00BA37BE" w:rsidRPr="00920634">
        <w:rPr>
          <w:rFonts w:asciiTheme="minorHAnsi" w:hAnsiTheme="minorHAnsi" w:cstheme="minorHAnsi"/>
        </w:rPr>
        <w:t>snížila</w:t>
      </w:r>
      <w:r w:rsidR="00BA37BE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ocenění podmíněné pohledávky. </w:t>
      </w:r>
    </w:p>
    <w:p w14:paraId="1574717F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0FE4CF72" w14:textId="58A14F2D" w:rsidR="00FB7DC9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 případě transferů SZP</w:t>
      </w:r>
      <w:r w:rsidRPr="00920634">
        <w:rPr>
          <w:rStyle w:val="Znakapoznpodarou"/>
          <w:rFonts w:asciiTheme="minorHAnsi" w:hAnsiTheme="minorHAnsi" w:cstheme="minorHAnsi"/>
        </w:rPr>
        <w:footnoteReference w:id="39"/>
      </w:r>
      <w:r w:rsidRPr="00920634">
        <w:rPr>
          <w:rFonts w:asciiTheme="minorHAnsi" w:hAnsiTheme="minorHAnsi" w:cstheme="minorHAnsi"/>
        </w:rPr>
        <w:t xml:space="preserve"> u MZe a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 xml:space="preserve">případě některých transferů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finančních mechanismů</w:t>
      </w:r>
      <w:r w:rsidRPr="00920634">
        <w:rPr>
          <w:rStyle w:val="Znakapoznpodarou"/>
          <w:rFonts w:asciiTheme="minorHAnsi" w:hAnsiTheme="minorHAnsi" w:cstheme="minorHAnsi"/>
        </w:rPr>
        <w:footnoteReference w:id="40"/>
      </w:r>
      <w:r w:rsidRPr="00920634">
        <w:rPr>
          <w:rFonts w:asciiTheme="minorHAnsi" w:hAnsiTheme="minorHAnsi" w:cstheme="minorHAnsi"/>
        </w:rPr>
        <w:t xml:space="preserve"> u MŠMT dochází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 xml:space="preserve">oddělování finančních toků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refundací předfinancovaných výdajů od uplatňování nároku</w:t>
      </w:r>
      <w:r w:rsidR="004338D8" w:rsidRPr="00920634">
        <w:rPr>
          <w:rFonts w:asciiTheme="minorHAnsi" w:hAnsiTheme="minorHAnsi" w:cstheme="minorHAnsi"/>
        </w:rPr>
        <w:t>. U MZe</w:t>
      </w:r>
      <w:r w:rsidRPr="00920634">
        <w:rPr>
          <w:rFonts w:asciiTheme="minorHAnsi" w:hAnsiTheme="minorHAnsi" w:cstheme="minorHAnsi"/>
        </w:rPr>
        <w:t xml:space="preserve"> jiný subjekt o prostředky ze zdrojů v zahraničí žádá (S</w:t>
      </w:r>
      <w:r w:rsidR="008372CF" w:rsidRPr="00920634">
        <w:rPr>
          <w:rFonts w:asciiTheme="minorHAnsi" w:hAnsiTheme="minorHAnsi" w:cstheme="minorHAnsi"/>
        </w:rPr>
        <w:t>tátní zemědělský intervenční fond, dále také „SZIF“</w:t>
      </w:r>
      <w:r w:rsidRPr="00920634">
        <w:rPr>
          <w:rFonts w:asciiTheme="minorHAnsi" w:hAnsiTheme="minorHAnsi" w:cstheme="minorHAnsi"/>
        </w:rPr>
        <w:t>) a jiný je inkasuje (M</w:t>
      </w:r>
      <w:r w:rsidR="0012439E" w:rsidRPr="00920634">
        <w:rPr>
          <w:rFonts w:asciiTheme="minorHAnsi" w:hAnsiTheme="minorHAnsi" w:cstheme="minorHAnsi"/>
        </w:rPr>
        <w:t>Ze</w:t>
      </w:r>
      <w:r w:rsidRPr="00920634">
        <w:rPr>
          <w:rFonts w:asciiTheme="minorHAnsi" w:hAnsiTheme="minorHAnsi" w:cstheme="minorHAnsi"/>
        </w:rPr>
        <w:t>). Obdobný případ nastává u MŠMT v případě některých transferů</w:t>
      </w:r>
      <w:r w:rsidR="005161BD"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finančních mechanismů</w:t>
      </w:r>
      <w:r w:rsidR="00DC5B28" w:rsidRPr="00920634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</w:t>
      </w:r>
      <w:r w:rsidR="005161BD" w:rsidRPr="00920634">
        <w:rPr>
          <w:rFonts w:asciiTheme="minorHAnsi" w:hAnsiTheme="minorHAnsi" w:cstheme="minorHAnsi"/>
        </w:rPr>
        <w:t>Příspěvková organizace MŠMT</w:t>
      </w:r>
      <w:r w:rsidRPr="00920634">
        <w:rPr>
          <w:rFonts w:asciiTheme="minorHAnsi" w:hAnsiTheme="minorHAnsi" w:cstheme="minorHAnsi"/>
        </w:rPr>
        <w:t xml:space="preserve"> přijímá od MŠMT předfinancování</w:t>
      </w:r>
      <w:r w:rsidR="005161BD" w:rsidRPr="00920634">
        <w:rPr>
          <w:rFonts w:asciiTheme="minorHAnsi" w:hAnsiTheme="minorHAnsi" w:cstheme="minorHAnsi"/>
        </w:rPr>
        <w:t xml:space="preserve"> </w:t>
      </w:r>
      <w:r w:rsidR="00982D05">
        <w:rPr>
          <w:rFonts w:asciiTheme="minorHAnsi" w:hAnsiTheme="minorHAnsi" w:cstheme="minorHAnsi"/>
        </w:rPr>
        <w:t xml:space="preserve">a </w:t>
      </w:r>
      <w:r w:rsidR="005161BD" w:rsidRPr="00920634">
        <w:rPr>
          <w:rFonts w:asciiTheme="minorHAnsi" w:hAnsiTheme="minorHAnsi" w:cstheme="minorHAnsi"/>
        </w:rPr>
        <w:t>následně sama</w:t>
      </w:r>
      <w:r w:rsidRPr="00920634">
        <w:rPr>
          <w:rFonts w:asciiTheme="minorHAnsi" w:hAnsiTheme="minorHAnsi" w:cstheme="minorHAnsi"/>
        </w:rPr>
        <w:t xml:space="preserve"> žádá </w:t>
      </w:r>
      <w:r w:rsidR="00982D05">
        <w:rPr>
          <w:rFonts w:asciiTheme="minorHAnsi" w:hAnsiTheme="minorHAnsi" w:cstheme="minorHAnsi"/>
        </w:rPr>
        <w:t>Ministerstvo financí</w:t>
      </w:r>
      <w:r w:rsidR="00982D05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o refundaci ve prospěch </w:t>
      </w:r>
      <w:r w:rsidR="005161BD" w:rsidRPr="00920634">
        <w:rPr>
          <w:rFonts w:asciiTheme="minorHAnsi" w:hAnsiTheme="minorHAnsi" w:cstheme="minorHAnsi"/>
        </w:rPr>
        <w:t xml:space="preserve">příjmového </w:t>
      </w:r>
      <w:r w:rsidRPr="00920634">
        <w:rPr>
          <w:rFonts w:asciiTheme="minorHAnsi" w:hAnsiTheme="minorHAnsi" w:cstheme="minorHAnsi"/>
        </w:rPr>
        <w:t>účtu MŠMT.</w:t>
      </w:r>
    </w:p>
    <w:p w14:paraId="6680D25C" w14:textId="77777777" w:rsidR="00982D05" w:rsidRPr="00920634" w:rsidRDefault="00982D05" w:rsidP="00114439">
      <w:pPr>
        <w:jc w:val="both"/>
        <w:rPr>
          <w:rFonts w:asciiTheme="minorHAnsi" w:hAnsiTheme="minorHAnsi" w:cstheme="minorHAnsi"/>
        </w:rPr>
      </w:pPr>
    </w:p>
    <w:p w14:paraId="57F6F299" w14:textId="3F67602B" w:rsidR="00FB7DC9" w:rsidRDefault="008D073A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FB7DC9" w:rsidRPr="00920634">
        <w:rPr>
          <w:rFonts w:asciiTheme="minorHAnsi" w:hAnsiTheme="minorHAnsi" w:cstheme="minorHAnsi"/>
        </w:rPr>
        <w:t>případě MZe navíc dochází i k dopadu na ocenění podmíněných pohledávek z</w:t>
      </w:r>
      <w:r w:rsidR="00982D05">
        <w:rPr>
          <w:rFonts w:asciiTheme="minorHAnsi" w:hAnsiTheme="minorHAnsi" w:cstheme="minorHAnsi"/>
        </w:rPr>
        <w:t> </w:t>
      </w:r>
      <w:r w:rsidR="00FB7DC9" w:rsidRPr="00920634">
        <w:rPr>
          <w:rFonts w:asciiTheme="minorHAnsi" w:hAnsiTheme="minorHAnsi" w:cstheme="minorHAnsi"/>
        </w:rPr>
        <w:t>předfinancování</w:t>
      </w:r>
      <w:r w:rsidR="00982D05">
        <w:rPr>
          <w:rFonts w:asciiTheme="minorHAnsi" w:hAnsiTheme="minorHAnsi" w:cstheme="minorHAnsi"/>
        </w:rPr>
        <w:t>, a to</w:t>
      </w:r>
      <w:r w:rsidR="00FB7DC9" w:rsidRPr="00920634">
        <w:rPr>
          <w:rFonts w:asciiTheme="minorHAnsi" w:hAnsiTheme="minorHAnsi" w:cstheme="minorHAnsi"/>
        </w:rPr>
        <w:t xml:space="preserve"> vlivem kurzových změn; platba předfinancování probíhá v českých korunách, avšak </w:t>
      </w:r>
      <w:r w:rsidR="004338D8" w:rsidRPr="00920634">
        <w:rPr>
          <w:rFonts w:asciiTheme="minorHAnsi" w:hAnsiTheme="minorHAnsi" w:cstheme="minorHAnsi"/>
        </w:rPr>
        <w:t>v</w:t>
      </w:r>
      <w:r w:rsidR="00FB7DC9" w:rsidRPr="00920634">
        <w:rPr>
          <w:rFonts w:asciiTheme="minorHAnsi" w:hAnsiTheme="minorHAnsi" w:cstheme="minorHAnsi"/>
        </w:rPr>
        <w:t>ýkazy o platbu z rozpočtu EU podává SZIF v eurech, tyto platby inkasuje</w:t>
      </w:r>
      <w:r w:rsidR="004338D8" w:rsidRPr="00920634">
        <w:rPr>
          <w:rFonts w:asciiTheme="minorHAnsi" w:hAnsiTheme="minorHAnsi" w:cstheme="minorHAnsi"/>
        </w:rPr>
        <w:t xml:space="preserve"> MZe</w:t>
      </w:r>
      <w:r w:rsidR="00FB7DC9" w:rsidRPr="00920634">
        <w:rPr>
          <w:rFonts w:asciiTheme="minorHAnsi" w:hAnsiTheme="minorHAnsi" w:cstheme="minorHAnsi"/>
        </w:rPr>
        <w:t xml:space="preserve">. </w:t>
      </w:r>
    </w:p>
    <w:p w14:paraId="14E56F85" w14:textId="77777777" w:rsidR="00982D05" w:rsidRPr="00920634" w:rsidRDefault="00982D05" w:rsidP="00114439">
      <w:pPr>
        <w:jc w:val="both"/>
        <w:rPr>
          <w:rFonts w:asciiTheme="minorHAnsi" w:hAnsiTheme="minorHAnsi" w:cstheme="minorHAnsi"/>
        </w:rPr>
      </w:pPr>
    </w:p>
    <w:p w14:paraId="37C5BB8A" w14:textId="0A18B82C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U podmíněných pohledávek z předfinancování transferů</w:t>
      </w:r>
      <w:r w:rsidRPr="00920634">
        <w:rPr>
          <w:rStyle w:val="Znakapoznpodarou"/>
          <w:rFonts w:asciiTheme="minorHAnsi" w:hAnsiTheme="minorHAnsi" w:cstheme="minorHAnsi"/>
        </w:rPr>
        <w:footnoteReference w:id="41"/>
      </w:r>
      <w:r w:rsidRPr="00920634">
        <w:rPr>
          <w:rFonts w:asciiTheme="minorHAnsi" w:hAnsiTheme="minorHAnsi" w:cstheme="minorHAnsi"/>
        </w:rPr>
        <w:t xml:space="preserve"> tak dochází u OSS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 xml:space="preserve">tomu, že je </w:t>
      </w:r>
      <w:r w:rsidR="00982D05">
        <w:rPr>
          <w:rFonts w:asciiTheme="minorHAnsi" w:hAnsiTheme="minorHAnsi" w:cstheme="minorHAnsi"/>
        </w:rPr>
        <w:t xml:space="preserve">dán </w:t>
      </w:r>
      <w:r w:rsidRPr="00920634">
        <w:rPr>
          <w:rFonts w:asciiTheme="minorHAnsi" w:hAnsiTheme="minorHAnsi" w:cstheme="minorHAnsi"/>
        </w:rPr>
        <w:t>jistý</w:t>
      </w:r>
      <w:r w:rsidR="005161BD" w:rsidRPr="00920634">
        <w:rPr>
          <w:rFonts w:asciiTheme="minorHAnsi" w:hAnsiTheme="minorHAnsi" w:cstheme="minorHAnsi"/>
        </w:rPr>
        <w:t xml:space="preserve"> účetní</w:t>
      </w:r>
      <w:r w:rsidRPr="00920634">
        <w:rPr>
          <w:rFonts w:asciiTheme="minorHAnsi" w:hAnsiTheme="minorHAnsi" w:cstheme="minorHAnsi"/>
        </w:rPr>
        <w:t xml:space="preserve"> případ </w:t>
      </w:r>
      <w:r w:rsidR="00BD276A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 okamžik vzniku pohledávky, avšak okamžik jejího snížení závisí či může záviset do značné míry na informacích od </w:t>
      </w:r>
      <w:r w:rsidR="0012439E" w:rsidRPr="00920634">
        <w:rPr>
          <w:rFonts w:asciiTheme="minorHAnsi" w:hAnsiTheme="minorHAnsi" w:cstheme="minorHAnsi"/>
        </w:rPr>
        <w:t>jiného</w:t>
      </w:r>
      <w:r w:rsidRPr="00920634">
        <w:rPr>
          <w:rFonts w:asciiTheme="minorHAnsi" w:hAnsiTheme="minorHAnsi" w:cstheme="minorHAnsi"/>
        </w:rPr>
        <w:t xml:space="preserve"> subjektu. OSS proto potřebují disponovat informacemi </w:t>
      </w:r>
      <w:r w:rsidR="00BD276A">
        <w:rPr>
          <w:rFonts w:asciiTheme="minorHAnsi" w:hAnsiTheme="minorHAnsi" w:cstheme="minorHAnsi"/>
        </w:rPr>
        <w:t>o relacích mezi</w:t>
      </w:r>
      <w:r w:rsidRPr="00920634">
        <w:rPr>
          <w:rFonts w:asciiTheme="minorHAnsi" w:hAnsiTheme="minorHAnsi" w:cstheme="minorHAnsi"/>
        </w:rPr>
        <w:t xml:space="preserve"> vyplacený</w:t>
      </w:r>
      <w:r w:rsidR="00BD276A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část</w:t>
      </w:r>
      <w:r w:rsidR="00BD276A">
        <w:rPr>
          <w:rFonts w:asciiTheme="minorHAnsi" w:hAnsiTheme="minorHAnsi" w:cstheme="minorHAnsi"/>
        </w:rPr>
        <w:t>kami</w:t>
      </w:r>
      <w:r w:rsidRPr="00920634">
        <w:rPr>
          <w:rFonts w:asciiTheme="minorHAnsi" w:hAnsiTheme="minorHAnsi" w:cstheme="minorHAnsi"/>
        </w:rPr>
        <w:t xml:space="preserve"> předfinancování </w:t>
      </w:r>
      <w:r w:rsidR="00BD276A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>jejich refundac</w:t>
      </w:r>
      <w:r w:rsidR="00BD276A">
        <w:rPr>
          <w:rFonts w:asciiTheme="minorHAnsi" w:hAnsiTheme="minorHAnsi" w:cstheme="minorHAnsi"/>
        </w:rPr>
        <w:t>emi,</w:t>
      </w:r>
      <w:r w:rsidRPr="00920634">
        <w:rPr>
          <w:rFonts w:asciiTheme="minorHAnsi" w:hAnsiTheme="minorHAnsi" w:cstheme="minorHAnsi"/>
        </w:rPr>
        <w:t xml:space="preserve"> a</w:t>
      </w:r>
      <w:r w:rsidR="00BD276A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zajistit tak </w:t>
      </w:r>
      <w:r w:rsidR="007B7881" w:rsidRPr="00920634">
        <w:rPr>
          <w:rFonts w:asciiTheme="minorHAnsi" w:hAnsiTheme="minorHAnsi" w:cstheme="minorHAnsi"/>
        </w:rPr>
        <w:t xml:space="preserve">jejich správné odúčtování, </w:t>
      </w:r>
      <w:r w:rsidR="00BD276A">
        <w:rPr>
          <w:rFonts w:asciiTheme="minorHAnsi" w:hAnsiTheme="minorHAnsi" w:cstheme="minorHAnsi"/>
        </w:rPr>
        <w:t>příp.</w:t>
      </w:r>
      <w:r w:rsidR="007B7881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úpravu pohledávek o případy zejména ztráty refundovatelnosti či kurzových dopadů.</w:t>
      </w:r>
    </w:p>
    <w:p w14:paraId="37B85C73" w14:textId="77777777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</w:p>
    <w:p w14:paraId="36BF6DE9" w14:textId="459ACF5C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MZe nemá v případě SZP k dispozici dostate</w:t>
      </w:r>
      <w:r w:rsidR="00BD276A">
        <w:rPr>
          <w:rFonts w:asciiTheme="minorHAnsi" w:hAnsiTheme="minorHAnsi" w:cstheme="minorHAnsi"/>
          <w:b/>
        </w:rPr>
        <w:t>k</w:t>
      </w:r>
      <w:r w:rsidRPr="00920634">
        <w:rPr>
          <w:rFonts w:asciiTheme="minorHAnsi" w:hAnsiTheme="minorHAnsi" w:cstheme="minorHAnsi"/>
          <w:b/>
        </w:rPr>
        <w:t xml:space="preserve"> informac</w:t>
      </w:r>
      <w:r w:rsidR="00BD276A">
        <w:rPr>
          <w:rFonts w:asciiTheme="minorHAnsi" w:hAnsiTheme="minorHAnsi" w:cstheme="minorHAnsi"/>
          <w:b/>
        </w:rPr>
        <w:t>í</w:t>
      </w:r>
      <w:r w:rsidRPr="00920634">
        <w:rPr>
          <w:rFonts w:asciiTheme="minorHAnsi" w:hAnsiTheme="minorHAnsi" w:cstheme="minorHAnsi"/>
          <w:b/>
        </w:rPr>
        <w:t xml:space="preserve"> potřebn</w:t>
      </w:r>
      <w:r w:rsidR="00BD276A">
        <w:rPr>
          <w:rFonts w:asciiTheme="minorHAnsi" w:hAnsiTheme="minorHAnsi" w:cstheme="minorHAnsi"/>
          <w:b/>
        </w:rPr>
        <w:t>ých</w:t>
      </w:r>
      <w:r w:rsidRPr="00920634">
        <w:rPr>
          <w:rFonts w:asciiTheme="minorHAnsi" w:hAnsiTheme="minorHAnsi" w:cstheme="minorHAnsi"/>
          <w:b/>
        </w:rPr>
        <w:t xml:space="preserve"> k jednoznačnému přiřazení částek přijatých z rozpočtu EU (refundace) k</w:t>
      </w:r>
      <w:r w:rsidR="00AC4243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>částkám</w:t>
      </w:r>
      <w:r w:rsidR="00AC4243">
        <w:rPr>
          <w:rFonts w:asciiTheme="minorHAnsi" w:hAnsiTheme="minorHAnsi" w:cstheme="minorHAnsi"/>
          <w:b/>
        </w:rPr>
        <w:t>, které</w:t>
      </w:r>
      <w:r w:rsidRPr="00920634">
        <w:rPr>
          <w:rFonts w:asciiTheme="minorHAnsi" w:hAnsiTheme="minorHAnsi" w:cstheme="minorHAnsi"/>
          <w:b/>
        </w:rPr>
        <w:t xml:space="preserve"> poukáza</w:t>
      </w:r>
      <w:r w:rsidR="00AC4243">
        <w:rPr>
          <w:rFonts w:asciiTheme="minorHAnsi" w:hAnsiTheme="minorHAnsi" w:cstheme="minorHAnsi"/>
          <w:b/>
        </w:rPr>
        <w:t>lo</w:t>
      </w:r>
      <w:r w:rsidR="0012439E" w:rsidRPr="00920634">
        <w:rPr>
          <w:rFonts w:asciiTheme="minorHAnsi" w:hAnsiTheme="minorHAnsi" w:cstheme="minorHAnsi"/>
          <w:b/>
        </w:rPr>
        <w:t xml:space="preserve"> </w:t>
      </w:r>
      <w:r w:rsidR="00C922D6" w:rsidRPr="00920634">
        <w:rPr>
          <w:rFonts w:asciiTheme="minorHAnsi" w:hAnsiTheme="minorHAnsi" w:cstheme="minorHAnsi"/>
          <w:b/>
        </w:rPr>
        <w:t>Státnímu zemědělskému intervenčnímu fondu</w:t>
      </w:r>
      <w:r w:rsidRPr="00920634">
        <w:rPr>
          <w:rFonts w:asciiTheme="minorHAnsi" w:hAnsiTheme="minorHAnsi" w:cstheme="minorHAnsi"/>
          <w:b/>
        </w:rPr>
        <w:t xml:space="preserve"> v rámci předfinancování. Nedostatek informací může v</w:t>
      </w:r>
      <w:r w:rsidR="001A776C" w:rsidRPr="00920634">
        <w:rPr>
          <w:rFonts w:asciiTheme="minorHAnsi" w:hAnsiTheme="minorHAnsi" w:cstheme="minorHAnsi"/>
          <w:b/>
        </w:rPr>
        <w:t>e svém</w:t>
      </w:r>
      <w:r w:rsidR="008D073A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>důsledku vést k</w:t>
      </w:r>
      <w:r w:rsidR="001A776C" w:rsidRPr="00920634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>nepr</w:t>
      </w:r>
      <w:r w:rsidR="004338D8" w:rsidRPr="00920634">
        <w:rPr>
          <w:rFonts w:asciiTheme="minorHAnsi" w:hAnsiTheme="minorHAnsi" w:cstheme="minorHAnsi"/>
          <w:b/>
        </w:rPr>
        <w:t>ůkaz</w:t>
      </w:r>
      <w:r w:rsidRPr="00920634">
        <w:rPr>
          <w:rFonts w:asciiTheme="minorHAnsi" w:hAnsiTheme="minorHAnsi" w:cstheme="minorHAnsi"/>
          <w:b/>
        </w:rPr>
        <w:t>nosti</w:t>
      </w:r>
      <w:r w:rsidR="001A776C" w:rsidRPr="00920634">
        <w:rPr>
          <w:rFonts w:asciiTheme="minorHAnsi" w:hAnsiTheme="minorHAnsi" w:cstheme="minorHAnsi"/>
          <w:b/>
        </w:rPr>
        <w:t xml:space="preserve"> vykázané</w:t>
      </w:r>
      <w:r w:rsidRPr="00920634">
        <w:rPr>
          <w:rFonts w:asciiTheme="minorHAnsi" w:hAnsiTheme="minorHAnsi" w:cstheme="minorHAnsi"/>
          <w:b/>
        </w:rPr>
        <w:t xml:space="preserve"> výše podmíněných pohledávek z předfinancování.</w:t>
      </w:r>
    </w:p>
    <w:p w14:paraId="68E85E15" w14:textId="77777777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</w:p>
    <w:p w14:paraId="356E2EAF" w14:textId="2D2C7A01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MŠMT systém zjiš</w:t>
      </w:r>
      <w:r w:rsidR="00652B52">
        <w:rPr>
          <w:rFonts w:asciiTheme="minorHAnsi" w:hAnsiTheme="minorHAnsi" w:cstheme="minorHAnsi"/>
        </w:rPr>
        <w:t>ťování</w:t>
      </w:r>
      <w:r w:rsidRPr="00920634">
        <w:rPr>
          <w:rFonts w:asciiTheme="minorHAnsi" w:hAnsiTheme="minorHAnsi" w:cstheme="minorHAnsi"/>
        </w:rPr>
        <w:t xml:space="preserve"> informací pro odúčtování výše podmíněné pohledávky s účinností od 1. </w:t>
      </w:r>
      <w:r w:rsidR="00626C77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 nastavilo vnitřními předpisy</w:t>
      </w:r>
      <w:r w:rsidR="00652B52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má t</w:t>
      </w:r>
      <w:r w:rsidR="00652B52">
        <w:rPr>
          <w:rFonts w:asciiTheme="minorHAnsi" w:hAnsiTheme="minorHAnsi" w:cstheme="minorHAnsi"/>
        </w:rPr>
        <w:t>edy</w:t>
      </w:r>
      <w:r w:rsidRPr="00920634">
        <w:rPr>
          <w:rFonts w:asciiTheme="minorHAnsi" w:hAnsiTheme="minorHAnsi" w:cstheme="minorHAnsi"/>
        </w:rPr>
        <w:t xml:space="preserve"> vhodně pokryt sběr informací týkajících se podmíněných pohledávek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předfinancování, zejména údaje o OP</w:t>
      </w:r>
      <w:r w:rsidR="00652B52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VK a</w:t>
      </w:r>
      <w:r w:rsidR="00652B52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OP</w:t>
      </w:r>
      <w:r w:rsidR="00652B52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VaVpI; </w:t>
      </w:r>
      <w:r w:rsidR="001A776C" w:rsidRPr="00920634">
        <w:rPr>
          <w:rFonts w:asciiTheme="minorHAnsi" w:hAnsiTheme="minorHAnsi" w:cstheme="minorHAnsi"/>
        </w:rPr>
        <w:t xml:space="preserve">sběr takových nezbytných informací je nutné zajistit i </w:t>
      </w:r>
      <w:r w:rsidRPr="00920634">
        <w:rPr>
          <w:rFonts w:asciiTheme="minorHAnsi" w:hAnsiTheme="minorHAnsi" w:cstheme="minorHAnsi"/>
        </w:rPr>
        <w:t xml:space="preserve">pro </w:t>
      </w:r>
      <w:r w:rsidR="001A776C" w:rsidRPr="00920634">
        <w:rPr>
          <w:rFonts w:asciiTheme="minorHAnsi" w:hAnsiTheme="minorHAnsi" w:cstheme="minorHAnsi"/>
        </w:rPr>
        <w:t xml:space="preserve">prostředky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finanční</w:t>
      </w:r>
      <w:r w:rsidR="001A776C" w:rsidRPr="00920634">
        <w:rPr>
          <w:rFonts w:asciiTheme="minorHAnsi" w:hAnsiTheme="minorHAnsi" w:cstheme="minorHAnsi"/>
        </w:rPr>
        <w:t>ch</w:t>
      </w:r>
      <w:r w:rsidRPr="00920634">
        <w:rPr>
          <w:rFonts w:asciiTheme="minorHAnsi" w:hAnsiTheme="minorHAnsi" w:cstheme="minorHAnsi"/>
        </w:rPr>
        <w:t xml:space="preserve"> mechanism</w:t>
      </w:r>
      <w:r w:rsidR="001A776C" w:rsidRPr="00920634">
        <w:rPr>
          <w:rFonts w:asciiTheme="minorHAnsi" w:hAnsiTheme="minorHAnsi" w:cstheme="minorHAnsi"/>
        </w:rPr>
        <w:t>ů</w:t>
      </w:r>
      <w:r w:rsidRPr="00920634">
        <w:rPr>
          <w:rFonts w:asciiTheme="minorHAnsi" w:hAnsiTheme="minorHAnsi" w:cstheme="minorHAnsi"/>
        </w:rPr>
        <w:t xml:space="preserve">. </w:t>
      </w:r>
    </w:p>
    <w:p w14:paraId="635670A4" w14:textId="5A656DDD" w:rsidR="00FB7DC9" w:rsidRPr="00920634" w:rsidRDefault="00997B4D" w:rsidP="00114439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lastRenderedPageBreak/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>.3</w:t>
      </w:r>
      <w:r w:rsidR="00E0629C" w:rsidRPr="00920634">
        <w:rPr>
          <w:rFonts w:asciiTheme="minorHAnsi" w:hAnsiTheme="minorHAnsi" w:cstheme="minorHAnsi"/>
          <w:b/>
          <w:i/>
          <w:sz w:val="24"/>
        </w:rPr>
        <w:t xml:space="preserve"> </w:t>
      </w:r>
      <w:r w:rsidR="00FB7DC9" w:rsidRPr="00920634">
        <w:rPr>
          <w:rFonts w:asciiTheme="minorHAnsi" w:hAnsiTheme="minorHAnsi" w:cstheme="minorHAnsi"/>
          <w:b/>
          <w:i/>
          <w:sz w:val="24"/>
        </w:rPr>
        <w:t>Podmíněné závazky</w:t>
      </w:r>
    </w:p>
    <w:p w14:paraId="39BDC7EB" w14:textId="0A0DF115" w:rsidR="00D61B92" w:rsidRPr="00920634" w:rsidRDefault="00FB7DC9" w:rsidP="00114439">
      <w:pPr>
        <w:pStyle w:val="Odstavecseseznamem"/>
        <w:keepNext/>
        <w:ind w:left="0"/>
        <w:contextualSpacing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Základem účtování o vzniku podmíněných závazků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titulu poskytnutí transferu příjemci je u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MŠMT i MZe vydání rozhodnutí o poskytnutí dotace. MZe o těchto podmíněných závazcích účtovalo</w:t>
      </w:r>
      <w:r w:rsidR="006A02B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v případě OPR, ne však v případě SZP; </w:t>
      </w:r>
      <w:r w:rsidR="006E2A08">
        <w:rPr>
          <w:rFonts w:asciiTheme="minorHAnsi" w:hAnsiTheme="minorHAnsi" w:cstheme="minorHAnsi"/>
        </w:rPr>
        <w:t>svůj postup v oblasti SZP zdůvodnilo MZe tím,</w:t>
      </w:r>
      <w:r w:rsidRPr="00920634">
        <w:rPr>
          <w:rFonts w:asciiTheme="minorHAnsi" w:hAnsiTheme="minorHAnsi" w:cstheme="minorHAnsi"/>
        </w:rPr>
        <w:t xml:space="preserve"> že mezi okamžikem vydání rozhodnutí o poskytnutí dotace a úhradou dotace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bankovního účtu byla velmi krátká doba, v řád</w:t>
      </w:r>
      <w:r w:rsidR="006E2A08">
        <w:rPr>
          <w:rFonts w:asciiTheme="minorHAnsi" w:hAnsiTheme="minorHAnsi" w:cstheme="minorHAnsi"/>
        </w:rPr>
        <w:t>u</w:t>
      </w:r>
      <w:r w:rsidRPr="00920634">
        <w:rPr>
          <w:rFonts w:asciiTheme="minorHAnsi" w:hAnsiTheme="minorHAnsi" w:cstheme="minorHAnsi"/>
        </w:rPr>
        <w:t xml:space="preserve"> několika dní.</w:t>
      </w:r>
      <w:r w:rsidR="006A02B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MŠMT průběžně účtovalo na základě vydaných rozhodnutí</w:t>
      </w:r>
      <w:r w:rsidR="00C922D6" w:rsidRPr="00920634">
        <w:rPr>
          <w:rFonts w:asciiTheme="minorHAnsi" w:hAnsiTheme="minorHAnsi" w:cstheme="minorHAnsi"/>
        </w:rPr>
        <w:t xml:space="preserve">.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kontroly však vyplynulo,</w:t>
      </w:r>
      <w:r w:rsidR="00C922D6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že</w:t>
      </w:r>
      <w:r w:rsidR="003553A3" w:rsidRPr="00920634">
        <w:rPr>
          <w:rFonts w:asciiTheme="minorHAnsi" w:hAnsiTheme="minorHAnsi" w:cstheme="minorHAnsi"/>
        </w:rPr>
        <w:t xml:space="preserve"> MŠMT</w:t>
      </w:r>
      <w:r w:rsidR="00C922D6" w:rsidRPr="00920634">
        <w:rPr>
          <w:rFonts w:asciiTheme="minorHAnsi" w:hAnsiTheme="minorHAnsi" w:cstheme="minorHAnsi"/>
        </w:rPr>
        <w:t>:</w:t>
      </w:r>
    </w:p>
    <w:p w14:paraId="53E91EBF" w14:textId="1BAF7203" w:rsidR="00FB7DC9" w:rsidRPr="00920634" w:rsidRDefault="00C922D6" w:rsidP="00114439">
      <w:pPr>
        <w:pStyle w:val="Odstavecseseznamem"/>
        <w:numPr>
          <w:ilvl w:val="0"/>
          <w:numId w:val="41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u </w:t>
      </w:r>
      <w:r w:rsidR="00FB7DC9" w:rsidRPr="00920634">
        <w:rPr>
          <w:rFonts w:asciiTheme="minorHAnsi" w:hAnsiTheme="minorHAnsi" w:cstheme="minorHAnsi"/>
        </w:rPr>
        <w:t>některých transferů účtovalo výši podmíněného závazku nikoliv dle vydaného rozhodnutí o poskytnutí dotace, ale</w:t>
      </w:r>
      <w:r w:rsidR="00623CB4" w:rsidRPr="00920634">
        <w:rPr>
          <w:rFonts w:asciiTheme="minorHAnsi" w:hAnsiTheme="minorHAnsi" w:cstheme="minorHAnsi"/>
        </w:rPr>
        <w:t xml:space="preserve"> </w:t>
      </w:r>
      <w:r w:rsidR="004240F2">
        <w:rPr>
          <w:rFonts w:asciiTheme="minorHAnsi" w:hAnsiTheme="minorHAnsi" w:cstheme="minorHAnsi"/>
        </w:rPr>
        <w:t>v</w:t>
      </w:r>
      <w:r w:rsidR="003C59BE">
        <w:rPr>
          <w:rFonts w:asciiTheme="minorHAnsi" w:hAnsiTheme="minorHAnsi" w:cstheme="minorHAnsi"/>
        </w:rPr>
        <w:t> </w:t>
      </w:r>
      <w:r w:rsidR="004240F2">
        <w:rPr>
          <w:rFonts w:asciiTheme="minorHAnsi" w:hAnsiTheme="minorHAnsi" w:cstheme="minorHAnsi"/>
        </w:rPr>
        <w:t>celkové</w:t>
      </w:r>
      <w:r w:rsidR="003C59BE">
        <w:rPr>
          <w:rFonts w:asciiTheme="minorHAnsi" w:hAnsiTheme="minorHAnsi" w:cstheme="minorHAnsi"/>
        </w:rPr>
        <w:t xml:space="preserve"> „plánované“</w:t>
      </w:r>
      <w:r w:rsidR="00680A75">
        <w:rPr>
          <w:rFonts w:asciiTheme="minorHAnsi" w:hAnsiTheme="minorHAnsi" w:cstheme="minorHAnsi"/>
        </w:rPr>
        <w:t xml:space="preserve"> </w:t>
      </w:r>
      <w:r w:rsidR="003C59BE">
        <w:rPr>
          <w:rFonts w:asciiTheme="minorHAnsi" w:hAnsiTheme="minorHAnsi" w:cstheme="minorHAnsi"/>
        </w:rPr>
        <w:t>v</w:t>
      </w:r>
      <w:r w:rsidR="00FB7DC9" w:rsidRPr="00920634">
        <w:rPr>
          <w:rFonts w:asciiTheme="minorHAnsi" w:hAnsiTheme="minorHAnsi" w:cstheme="minorHAnsi"/>
        </w:rPr>
        <w:t>ýši výdaje</w:t>
      </w:r>
      <w:r w:rsidR="003C59BE">
        <w:rPr>
          <w:rFonts w:asciiTheme="minorHAnsi" w:hAnsiTheme="minorHAnsi" w:cstheme="minorHAnsi"/>
        </w:rPr>
        <w:t xml:space="preserve"> </w:t>
      </w:r>
      <w:r w:rsidR="004240F2">
        <w:rPr>
          <w:rFonts w:asciiTheme="minorHAnsi" w:hAnsiTheme="minorHAnsi" w:cstheme="minorHAnsi"/>
        </w:rPr>
        <w:t>na daný účel</w:t>
      </w:r>
      <w:r w:rsidR="003C59BE">
        <w:rPr>
          <w:rFonts w:asciiTheme="minorHAnsi" w:hAnsiTheme="minorHAnsi" w:cstheme="minorHAnsi"/>
        </w:rPr>
        <w:t>; účtovaná a vykázaná částka podmíněného závazku tak byla</w:t>
      </w:r>
      <w:r w:rsidR="00623CB4" w:rsidRPr="00920634">
        <w:rPr>
          <w:rFonts w:asciiTheme="minorHAnsi" w:hAnsiTheme="minorHAnsi" w:cstheme="minorHAnsi"/>
        </w:rPr>
        <w:t xml:space="preserve"> </w:t>
      </w:r>
      <w:r w:rsidR="00680A75">
        <w:rPr>
          <w:rFonts w:asciiTheme="minorHAnsi" w:hAnsiTheme="minorHAnsi" w:cstheme="minorHAnsi"/>
        </w:rPr>
        <w:t>vyšší</w:t>
      </w:r>
      <w:r w:rsidR="00623CB4" w:rsidRPr="00920634">
        <w:rPr>
          <w:rFonts w:asciiTheme="minorHAnsi" w:hAnsiTheme="minorHAnsi" w:cstheme="minorHAnsi"/>
        </w:rPr>
        <w:t xml:space="preserve"> než částka na rozhodnutí</w:t>
      </w:r>
      <w:r w:rsidR="003C59BE">
        <w:rPr>
          <w:rFonts w:asciiTheme="minorHAnsi" w:hAnsiTheme="minorHAnsi" w:cstheme="minorHAnsi"/>
        </w:rPr>
        <w:t xml:space="preserve"> </w:t>
      </w:r>
      <w:r w:rsidR="00FB7DC9" w:rsidRPr="00920634">
        <w:rPr>
          <w:rFonts w:asciiTheme="minorHAnsi" w:hAnsiTheme="minorHAnsi" w:cstheme="minorHAnsi"/>
        </w:rPr>
        <w:t>o poskytnutí dotace</w:t>
      </w:r>
      <w:r w:rsidR="006E2A08">
        <w:rPr>
          <w:rFonts w:asciiTheme="minorHAnsi" w:hAnsiTheme="minorHAnsi" w:cstheme="minorHAnsi"/>
        </w:rPr>
        <w:t>;</w:t>
      </w:r>
    </w:p>
    <w:p w14:paraId="543ADEEF" w14:textId="34B5A59F" w:rsidR="009D1F4F" w:rsidRDefault="00C922D6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u některých </w:t>
      </w:r>
      <w:r w:rsidR="005161BD" w:rsidRPr="00920634">
        <w:rPr>
          <w:rFonts w:asciiTheme="minorHAnsi" w:hAnsiTheme="minorHAnsi" w:cstheme="minorHAnsi"/>
        </w:rPr>
        <w:t xml:space="preserve">transferů </w:t>
      </w:r>
      <w:r w:rsidR="005F4FEF">
        <w:rPr>
          <w:rFonts w:asciiTheme="minorHAnsi" w:hAnsiTheme="minorHAnsi" w:cstheme="minorHAnsi"/>
        </w:rPr>
        <w:t xml:space="preserve">neúčtovalo </w:t>
      </w:r>
      <w:r w:rsidR="003C59BE">
        <w:rPr>
          <w:rFonts w:asciiTheme="minorHAnsi" w:hAnsiTheme="minorHAnsi" w:cstheme="minorHAnsi"/>
        </w:rPr>
        <w:t>k datu vzniku účetního případu</w:t>
      </w:r>
      <w:r w:rsidR="005F4FEF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o vratkách a</w:t>
      </w:r>
      <w:r w:rsidR="007E28AF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odnětí dotací</w:t>
      </w:r>
      <w:r w:rsidR="00A102B3">
        <w:rPr>
          <w:rFonts w:asciiTheme="minorHAnsi" w:hAnsiTheme="minorHAnsi" w:cstheme="minorHAnsi"/>
        </w:rPr>
        <w:t>;</w:t>
      </w:r>
    </w:p>
    <w:p w14:paraId="314D54D0" w14:textId="464E6B7C" w:rsidR="00FB7DC9" w:rsidRPr="009D1F4F" w:rsidRDefault="00491263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D1F4F">
        <w:rPr>
          <w:rFonts w:asciiTheme="minorHAnsi" w:hAnsiTheme="minorHAnsi" w:cstheme="minorHAnsi"/>
        </w:rPr>
        <w:t xml:space="preserve">u prostředků </w:t>
      </w:r>
      <w:r w:rsidR="008D073A">
        <w:rPr>
          <w:rFonts w:asciiTheme="minorHAnsi" w:hAnsiTheme="minorHAnsi" w:cstheme="minorHAnsi"/>
        </w:rPr>
        <w:t>z </w:t>
      </w:r>
      <w:r w:rsidRPr="009D1F4F">
        <w:rPr>
          <w:rFonts w:asciiTheme="minorHAnsi" w:hAnsiTheme="minorHAnsi" w:cstheme="minorHAnsi"/>
        </w:rPr>
        <w:t xml:space="preserve">finančních mechanismů mělo v roce 2014 </w:t>
      </w:r>
      <w:r w:rsidR="005161BD" w:rsidRPr="009D1F4F">
        <w:rPr>
          <w:rFonts w:asciiTheme="minorHAnsi" w:hAnsiTheme="minorHAnsi" w:cstheme="minorHAnsi"/>
        </w:rPr>
        <w:t>z</w:t>
      </w:r>
      <w:r w:rsidR="00C922D6" w:rsidRPr="009D1F4F">
        <w:rPr>
          <w:rFonts w:asciiTheme="minorHAnsi" w:hAnsiTheme="minorHAnsi" w:cstheme="minorHAnsi"/>
        </w:rPr>
        <w:t xml:space="preserve">výšené riziko </w:t>
      </w:r>
      <w:r w:rsidR="003C59BE" w:rsidRPr="009D1F4F">
        <w:rPr>
          <w:rFonts w:asciiTheme="minorHAnsi" w:hAnsiTheme="minorHAnsi" w:cstheme="minorHAnsi"/>
        </w:rPr>
        <w:t>u účtování</w:t>
      </w:r>
      <w:r w:rsidR="00ED3BE6" w:rsidRPr="009D1F4F">
        <w:rPr>
          <w:rFonts w:asciiTheme="minorHAnsi" w:hAnsiTheme="minorHAnsi" w:cstheme="minorHAnsi"/>
        </w:rPr>
        <w:t xml:space="preserve"> a </w:t>
      </w:r>
      <w:r w:rsidRPr="009D1F4F">
        <w:rPr>
          <w:rFonts w:asciiTheme="minorHAnsi" w:hAnsiTheme="minorHAnsi" w:cstheme="minorHAnsi"/>
        </w:rPr>
        <w:t>vykazování</w:t>
      </w:r>
      <w:r w:rsidR="00C922D6" w:rsidRPr="009D1F4F">
        <w:rPr>
          <w:rFonts w:asciiTheme="minorHAnsi" w:hAnsiTheme="minorHAnsi" w:cstheme="minorHAnsi"/>
        </w:rPr>
        <w:t xml:space="preserve"> podmíněn</w:t>
      </w:r>
      <w:r w:rsidR="003C59BE" w:rsidRPr="009D1F4F">
        <w:rPr>
          <w:rFonts w:asciiTheme="minorHAnsi" w:hAnsiTheme="minorHAnsi" w:cstheme="minorHAnsi"/>
        </w:rPr>
        <w:t>ých</w:t>
      </w:r>
      <w:r w:rsidR="00C922D6" w:rsidRPr="009D1F4F">
        <w:rPr>
          <w:rFonts w:asciiTheme="minorHAnsi" w:hAnsiTheme="minorHAnsi" w:cstheme="minorHAnsi"/>
        </w:rPr>
        <w:t xml:space="preserve"> závazk</w:t>
      </w:r>
      <w:r w:rsidR="003C59BE" w:rsidRPr="009D1F4F">
        <w:rPr>
          <w:rFonts w:asciiTheme="minorHAnsi" w:hAnsiTheme="minorHAnsi" w:cstheme="minorHAnsi"/>
        </w:rPr>
        <w:t>ů</w:t>
      </w:r>
      <w:r w:rsidRPr="009D1F4F">
        <w:rPr>
          <w:rFonts w:asciiTheme="minorHAnsi" w:hAnsiTheme="minorHAnsi" w:cstheme="minorHAnsi"/>
        </w:rPr>
        <w:t xml:space="preserve"> </w:t>
      </w:r>
      <w:r w:rsidR="003C59BE" w:rsidRPr="009D1F4F">
        <w:rPr>
          <w:rFonts w:asciiTheme="minorHAnsi" w:hAnsiTheme="minorHAnsi" w:cstheme="minorHAnsi"/>
        </w:rPr>
        <w:t>(</w:t>
      </w:r>
      <w:r w:rsidR="008D073A">
        <w:rPr>
          <w:rFonts w:asciiTheme="minorHAnsi" w:hAnsiTheme="minorHAnsi" w:cstheme="minorHAnsi"/>
        </w:rPr>
        <w:t>z </w:t>
      </w:r>
      <w:r w:rsidR="003C59BE" w:rsidRPr="009D1F4F">
        <w:rPr>
          <w:rFonts w:asciiTheme="minorHAnsi" w:hAnsiTheme="minorHAnsi" w:cstheme="minorHAnsi"/>
        </w:rPr>
        <w:t>hlediska sběru podkladů nutných k zaúčtování účetních případů</w:t>
      </w:r>
      <w:r w:rsidR="00B07104" w:rsidRPr="009D1F4F">
        <w:rPr>
          <w:rFonts w:asciiTheme="minorHAnsi" w:hAnsiTheme="minorHAnsi" w:cstheme="minorHAnsi"/>
        </w:rPr>
        <w:t xml:space="preserve"> a</w:t>
      </w:r>
      <w:r w:rsidR="003C59BE" w:rsidRPr="009D1F4F">
        <w:rPr>
          <w:rFonts w:asciiTheme="minorHAnsi" w:hAnsiTheme="minorHAnsi" w:cstheme="minorHAnsi"/>
        </w:rPr>
        <w:t xml:space="preserve"> účtování k datu účetního případu)</w:t>
      </w:r>
      <w:r w:rsidR="00C922D6" w:rsidRPr="009D1F4F">
        <w:rPr>
          <w:rFonts w:asciiTheme="minorHAnsi" w:hAnsiTheme="minorHAnsi" w:cstheme="minorHAnsi"/>
        </w:rPr>
        <w:t>.</w:t>
      </w:r>
    </w:p>
    <w:p w14:paraId="6AE6DADF" w14:textId="77777777" w:rsidR="00D61B92" w:rsidRPr="00920634" w:rsidRDefault="00D61B92" w:rsidP="00114439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7EDE57D0" w14:textId="00975701" w:rsidR="00D61B92" w:rsidRDefault="00CE717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Současně je nutné konstatovat, že ú</w:t>
      </w:r>
      <w:r w:rsidR="00FB7DC9" w:rsidRPr="00920634">
        <w:rPr>
          <w:rFonts w:asciiTheme="minorHAnsi" w:hAnsiTheme="minorHAnsi" w:cstheme="minorHAnsi"/>
        </w:rPr>
        <w:t xml:space="preserve">četní předpisy nejsou natolik konkrétní, aby </w:t>
      </w:r>
      <w:r w:rsidRPr="00920634">
        <w:rPr>
          <w:rFonts w:asciiTheme="minorHAnsi" w:hAnsiTheme="minorHAnsi" w:cstheme="minorHAnsi"/>
        </w:rPr>
        <w:t xml:space="preserve">vylučovaly možnost </w:t>
      </w:r>
      <w:r w:rsidR="00FB7DC9" w:rsidRPr="00920634">
        <w:rPr>
          <w:rFonts w:asciiTheme="minorHAnsi" w:hAnsiTheme="minorHAnsi" w:cstheme="minorHAnsi"/>
        </w:rPr>
        <w:t>používání různých způsobů pro ocenění podmíněných závazků</w:t>
      </w:r>
      <w:r w:rsidRPr="00920634">
        <w:rPr>
          <w:rFonts w:asciiTheme="minorHAnsi" w:hAnsiTheme="minorHAnsi" w:cstheme="minorHAnsi"/>
        </w:rPr>
        <w:t>.</w:t>
      </w:r>
      <w:r w:rsidR="006A02B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  <w:b/>
        </w:rPr>
        <w:t>P</w:t>
      </w:r>
      <w:r w:rsidR="00FB7DC9" w:rsidRPr="00920634">
        <w:rPr>
          <w:rFonts w:asciiTheme="minorHAnsi" w:hAnsiTheme="minorHAnsi" w:cstheme="minorHAnsi"/>
          <w:b/>
        </w:rPr>
        <w:t xml:space="preserve">odle platných účetních předpisů </w:t>
      </w:r>
      <w:r w:rsidRPr="00920634">
        <w:rPr>
          <w:rFonts w:asciiTheme="minorHAnsi" w:hAnsiTheme="minorHAnsi" w:cstheme="minorHAnsi"/>
          <w:b/>
        </w:rPr>
        <w:t>je možné</w:t>
      </w:r>
      <w:r w:rsidR="00FB7DC9" w:rsidRPr="00920634">
        <w:rPr>
          <w:rFonts w:asciiTheme="minorHAnsi" w:hAnsiTheme="minorHAnsi" w:cstheme="minorHAnsi"/>
          <w:b/>
        </w:rPr>
        <w:t xml:space="preserve"> pro ocenění podmíněných závazků v účetní závěrce </w:t>
      </w:r>
      <w:r w:rsidRPr="00920634">
        <w:rPr>
          <w:rFonts w:asciiTheme="minorHAnsi" w:hAnsiTheme="minorHAnsi" w:cstheme="minorHAnsi"/>
          <w:b/>
        </w:rPr>
        <w:t xml:space="preserve">použít </w:t>
      </w:r>
      <w:r w:rsidR="00FB7DC9" w:rsidRPr="00920634">
        <w:rPr>
          <w:rFonts w:asciiTheme="minorHAnsi" w:hAnsiTheme="minorHAnsi" w:cstheme="minorHAnsi"/>
          <w:b/>
        </w:rPr>
        <w:t>různ</w:t>
      </w:r>
      <w:r w:rsidRPr="00920634">
        <w:rPr>
          <w:rFonts w:asciiTheme="minorHAnsi" w:hAnsiTheme="minorHAnsi" w:cstheme="minorHAnsi"/>
          <w:b/>
        </w:rPr>
        <w:t>é</w:t>
      </w:r>
      <w:r w:rsidR="00FB7DC9" w:rsidRPr="00920634">
        <w:rPr>
          <w:rFonts w:asciiTheme="minorHAnsi" w:hAnsiTheme="minorHAnsi" w:cstheme="minorHAnsi"/>
          <w:b/>
        </w:rPr>
        <w:t xml:space="preserve"> oceňovací technik</w:t>
      </w:r>
      <w:r w:rsidRPr="00920634">
        <w:rPr>
          <w:rFonts w:asciiTheme="minorHAnsi" w:hAnsiTheme="minorHAnsi" w:cstheme="minorHAnsi"/>
          <w:b/>
        </w:rPr>
        <w:t>y</w:t>
      </w:r>
      <w:r w:rsidR="004B3CD8" w:rsidRPr="00920634">
        <w:rPr>
          <w:rStyle w:val="Znakapoznpodarou"/>
          <w:rFonts w:asciiTheme="minorHAnsi" w:hAnsiTheme="minorHAnsi" w:cstheme="minorHAnsi"/>
          <w:b/>
        </w:rPr>
        <w:footnoteReference w:id="42"/>
      </w:r>
      <w:r w:rsidR="00FB7DC9" w:rsidRPr="00920634">
        <w:rPr>
          <w:rFonts w:asciiTheme="minorHAnsi" w:hAnsiTheme="minorHAnsi" w:cstheme="minorHAnsi"/>
          <w:b/>
        </w:rPr>
        <w:t xml:space="preserve"> a základní doklad</w:t>
      </w:r>
      <w:r w:rsidRPr="00920634">
        <w:rPr>
          <w:rFonts w:asciiTheme="minorHAnsi" w:hAnsiTheme="minorHAnsi" w:cstheme="minorHAnsi"/>
          <w:b/>
        </w:rPr>
        <w:t>y</w:t>
      </w:r>
      <w:r w:rsidR="004B3CD8" w:rsidRPr="00920634">
        <w:rPr>
          <w:rStyle w:val="Znakapoznpodarou"/>
          <w:rFonts w:asciiTheme="minorHAnsi" w:hAnsiTheme="minorHAnsi" w:cstheme="minorHAnsi"/>
          <w:b/>
        </w:rPr>
        <w:footnoteReference w:id="43"/>
      </w:r>
      <w:r w:rsidR="00FB7DC9" w:rsidRPr="00920634">
        <w:rPr>
          <w:rFonts w:asciiTheme="minorHAnsi" w:hAnsiTheme="minorHAnsi" w:cstheme="minorHAnsi"/>
          <w:b/>
        </w:rPr>
        <w:t>, tj. různě stanovit výši a okamžik vzniku podmíněného závazku. Takové údaje by mohly být následně obtížně použitelné pro případné agregace a konsolidaci, neboť by byly nesrovnatelné.</w:t>
      </w:r>
      <w:r w:rsidR="00FB7DC9" w:rsidRPr="00920634">
        <w:rPr>
          <w:rFonts w:asciiTheme="minorHAnsi" w:hAnsiTheme="minorHAnsi" w:cstheme="minorHAnsi"/>
        </w:rPr>
        <w:t xml:space="preserve"> </w:t>
      </w:r>
    </w:p>
    <w:p w14:paraId="1D0119FC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2973DB8D" w14:textId="48F15F69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případě MŠMT </w:t>
      </w:r>
      <w:r w:rsidR="00CE7176" w:rsidRPr="00920634">
        <w:rPr>
          <w:rFonts w:asciiTheme="minorHAnsi" w:hAnsiTheme="minorHAnsi" w:cstheme="minorHAnsi"/>
        </w:rPr>
        <w:t xml:space="preserve">nebyl kontrolou potvrzen předpoklad </w:t>
      </w:r>
      <w:r w:rsidRPr="00920634">
        <w:rPr>
          <w:rFonts w:asciiTheme="minorHAnsi" w:hAnsiTheme="minorHAnsi" w:cstheme="minorHAnsi"/>
        </w:rPr>
        <w:t>významn</w:t>
      </w:r>
      <w:r w:rsidR="00CE7176" w:rsidRPr="00920634">
        <w:rPr>
          <w:rFonts w:asciiTheme="minorHAnsi" w:hAnsiTheme="minorHAnsi" w:cstheme="minorHAnsi"/>
        </w:rPr>
        <w:t>ého</w:t>
      </w:r>
      <w:r w:rsidRPr="00920634">
        <w:rPr>
          <w:rFonts w:asciiTheme="minorHAnsi" w:hAnsiTheme="minorHAnsi" w:cstheme="minorHAnsi"/>
        </w:rPr>
        <w:t xml:space="preserve"> dopad</w:t>
      </w:r>
      <w:r w:rsidR="00CE7176" w:rsidRPr="00920634">
        <w:rPr>
          <w:rFonts w:asciiTheme="minorHAnsi" w:hAnsiTheme="minorHAnsi" w:cstheme="minorHAnsi"/>
        </w:rPr>
        <w:t>u</w:t>
      </w:r>
      <w:r w:rsidRPr="00920634">
        <w:rPr>
          <w:rFonts w:asciiTheme="minorHAnsi" w:hAnsiTheme="minorHAnsi" w:cstheme="minorHAnsi"/>
        </w:rPr>
        <w:t xml:space="preserve"> nesrovna</w:t>
      </w:r>
      <w:r w:rsidR="00B229FD">
        <w:rPr>
          <w:rFonts w:asciiTheme="minorHAnsi" w:hAnsiTheme="minorHAnsi" w:cstheme="minorHAnsi"/>
        </w:rPr>
        <w:t>te</w:t>
      </w:r>
      <w:r w:rsidRPr="00920634">
        <w:rPr>
          <w:rFonts w:asciiTheme="minorHAnsi" w:hAnsiTheme="minorHAnsi" w:cstheme="minorHAnsi"/>
        </w:rPr>
        <w:t>l</w:t>
      </w:r>
      <w:r w:rsidR="00B229FD">
        <w:rPr>
          <w:rFonts w:asciiTheme="minorHAnsi" w:hAnsiTheme="minorHAnsi" w:cstheme="minorHAnsi"/>
        </w:rPr>
        <w:t>n</w:t>
      </w:r>
      <w:r w:rsidRPr="00920634">
        <w:rPr>
          <w:rFonts w:asciiTheme="minorHAnsi" w:hAnsiTheme="minorHAnsi" w:cstheme="minorHAnsi"/>
        </w:rPr>
        <w:t xml:space="preserve">osti těchto údajů </w:t>
      </w:r>
      <w:r w:rsidR="004338D8" w:rsidRPr="00920634">
        <w:rPr>
          <w:rFonts w:asciiTheme="minorHAnsi" w:hAnsiTheme="minorHAnsi" w:cstheme="minorHAnsi"/>
        </w:rPr>
        <w:t xml:space="preserve">na </w:t>
      </w:r>
      <w:r w:rsidRPr="00920634">
        <w:rPr>
          <w:rFonts w:asciiTheme="minorHAnsi" w:hAnsiTheme="minorHAnsi" w:cstheme="minorHAnsi"/>
        </w:rPr>
        <w:t>účetní závěrku MŠMT, systémově však nelze vyloučit další rozdílné přístupy mezi OSS</w:t>
      </w:r>
      <w:r w:rsidR="009F2B4C" w:rsidRPr="00920634">
        <w:rPr>
          <w:rStyle w:val="Znakapoznpodarou"/>
          <w:rFonts w:asciiTheme="minorHAnsi" w:hAnsiTheme="minorHAnsi" w:cstheme="minorHAnsi"/>
        </w:rPr>
        <w:footnoteReference w:id="44"/>
      </w:r>
      <w:r w:rsidR="00B229FD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</w:t>
      </w:r>
      <w:r w:rsidR="00B229FD">
        <w:rPr>
          <w:rFonts w:asciiTheme="minorHAnsi" w:hAnsiTheme="minorHAnsi" w:cstheme="minorHAnsi"/>
        </w:rPr>
        <w:t>tedy</w:t>
      </w:r>
      <w:r w:rsidRPr="00920634">
        <w:rPr>
          <w:rFonts w:asciiTheme="minorHAnsi" w:hAnsiTheme="minorHAnsi" w:cstheme="minorHAnsi"/>
        </w:rPr>
        <w:t xml:space="preserve"> i vyšší významnost dopadu </w:t>
      </w:r>
      <w:r w:rsidR="00CE7176" w:rsidRPr="00920634">
        <w:rPr>
          <w:rFonts w:asciiTheme="minorHAnsi" w:hAnsiTheme="minorHAnsi" w:cstheme="minorHAnsi"/>
        </w:rPr>
        <w:t xml:space="preserve">takové </w:t>
      </w:r>
      <w:r w:rsidRPr="00920634">
        <w:rPr>
          <w:rFonts w:asciiTheme="minorHAnsi" w:hAnsiTheme="minorHAnsi" w:cstheme="minorHAnsi"/>
        </w:rPr>
        <w:t>možné nesrovna</w:t>
      </w:r>
      <w:r w:rsidR="00B229FD">
        <w:rPr>
          <w:rFonts w:asciiTheme="minorHAnsi" w:hAnsiTheme="minorHAnsi" w:cstheme="minorHAnsi"/>
        </w:rPr>
        <w:t>te</w:t>
      </w:r>
      <w:r w:rsidRPr="00920634">
        <w:rPr>
          <w:rFonts w:asciiTheme="minorHAnsi" w:hAnsiTheme="minorHAnsi" w:cstheme="minorHAnsi"/>
        </w:rPr>
        <w:t>l</w:t>
      </w:r>
      <w:r w:rsidR="00B229FD">
        <w:rPr>
          <w:rFonts w:asciiTheme="minorHAnsi" w:hAnsiTheme="minorHAnsi" w:cstheme="minorHAnsi"/>
        </w:rPr>
        <w:t>n</w:t>
      </w:r>
      <w:r w:rsidRPr="00920634">
        <w:rPr>
          <w:rFonts w:asciiTheme="minorHAnsi" w:hAnsiTheme="minorHAnsi" w:cstheme="minorHAnsi"/>
        </w:rPr>
        <w:t>osti.</w:t>
      </w:r>
    </w:p>
    <w:p w14:paraId="1E50DB9C" w14:textId="77777777" w:rsidR="00445F18" w:rsidRDefault="00445F18" w:rsidP="00C610F6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</w:p>
    <w:p w14:paraId="77D44193" w14:textId="0AFB887F" w:rsidR="00FB7DC9" w:rsidRPr="00920634" w:rsidRDefault="00997B4D" w:rsidP="00C610F6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 xml:space="preserve">.4 </w:t>
      </w:r>
      <w:r w:rsidR="00FB7DC9" w:rsidRPr="00920634">
        <w:rPr>
          <w:rFonts w:asciiTheme="minorHAnsi" w:hAnsiTheme="minorHAnsi" w:cstheme="minorHAnsi"/>
          <w:b/>
          <w:i/>
          <w:sz w:val="24"/>
        </w:rPr>
        <w:t>Platby předběžného financování</w:t>
      </w:r>
    </w:p>
    <w:p w14:paraId="7C61D8F8" w14:textId="19D7AE06" w:rsidR="004B3CD8" w:rsidRPr="00920634" w:rsidRDefault="00FB7DC9" w:rsidP="00C610F6">
      <w:pPr>
        <w:pStyle w:val="Bezmezer"/>
        <w:keepNext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 xml:space="preserve">V souladu </w:t>
      </w:r>
      <w:r w:rsidR="008D073A">
        <w:rPr>
          <w:rFonts w:asciiTheme="minorHAnsi" w:hAnsiTheme="minorHAnsi" w:cstheme="minorHAnsi"/>
          <w:sz w:val="24"/>
          <w:szCs w:val="24"/>
        </w:rPr>
        <w:t>s </w:t>
      </w:r>
      <w:r w:rsidRPr="00920634">
        <w:rPr>
          <w:rFonts w:asciiTheme="minorHAnsi" w:hAnsiTheme="minorHAnsi" w:cstheme="minorHAnsi"/>
          <w:sz w:val="24"/>
          <w:szCs w:val="24"/>
        </w:rPr>
        <w:t xml:space="preserve">nařízením Rady (ES) č. 1290/2005 ze dne 21. </w:t>
      </w:r>
      <w:r w:rsidR="00B0606A" w:rsidRPr="00920634">
        <w:rPr>
          <w:rFonts w:asciiTheme="minorHAnsi" w:hAnsiTheme="minorHAnsi" w:cstheme="minorHAnsi"/>
          <w:sz w:val="24"/>
          <w:szCs w:val="24"/>
        </w:rPr>
        <w:t>června</w:t>
      </w:r>
      <w:r w:rsidRPr="00920634">
        <w:rPr>
          <w:rFonts w:asciiTheme="minorHAnsi" w:hAnsiTheme="minorHAnsi" w:cstheme="minorHAnsi"/>
          <w:sz w:val="24"/>
          <w:szCs w:val="24"/>
        </w:rPr>
        <w:t xml:space="preserve"> 2005, o financování společné zemědělské politiky</w:t>
      </w:r>
      <w:r w:rsidR="00601583">
        <w:rPr>
          <w:rFonts w:asciiTheme="minorHAnsi" w:hAnsiTheme="minorHAnsi" w:cstheme="minorHAnsi"/>
          <w:sz w:val="24"/>
          <w:szCs w:val="24"/>
        </w:rPr>
        <w:t>,</w:t>
      </w:r>
      <w:r w:rsidRPr="00920634">
        <w:rPr>
          <w:rFonts w:asciiTheme="minorHAnsi" w:hAnsiTheme="minorHAnsi" w:cstheme="minorHAnsi"/>
          <w:sz w:val="24"/>
          <w:szCs w:val="24"/>
        </w:rPr>
        <w:t xml:space="preserve"> přijalo MZe v roce 2007 a 2010 předběžné platby </w:t>
      </w:r>
      <w:r w:rsidR="00601583">
        <w:rPr>
          <w:rFonts w:asciiTheme="minorHAnsi" w:hAnsiTheme="minorHAnsi" w:cstheme="minorHAnsi"/>
          <w:sz w:val="24"/>
          <w:szCs w:val="24"/>
        </w:rPr>
        <w:t xml:space="preserve">od </w:t>
      </w:r>
      <w:r w:rsidRPr="00920634">
        <w:rPr>
          <w:rFonts w:asciiTheme="minorHAnsi" w:hAnsiTheme="minorHAnsi" w:cstheme="minorHAnsi"/>
          <w:sz w:val="24"/>
          <w:szCs w:val="24"/>
        </w:rPr>
        <w:t xml:space="preserve">Evropské komise na </w:t>
      </w:r>
      <w:r w:rsidRPr="008D4CD3">
        <w:rPr>
          <w:rFonts w:asciiTheme="minorHAnsi" w:hAnsiTheme="minorHAnsi" w:cstheme="minorHAnsi"/>
          <w:i/>
          <w:sz w:val="24"/>
          <w:szCs w:val="24"/>
        </w:rPr>
        <w:t>Program rozvoje venkova</w:t>
      </w:r>
      <w:r w:rsidR="00601583" w:rsidRPr="008D4CD3">
        <w:rPr>
          <w:rFonts w:asciiTheme="minorHAnsi" w:hAnsiTheme="minorHAnsi" w:cstheme="minorHAnsi"/>
          <w:i/>
          <w:sz w:val="24"/>
          <w:szCs w:val="24"/>
        </w:rPr>
        <w:t xml:space="preserve"> České republiky</w:t>
      </w:r>
      <w:r w:rsidRPr="008D4CD3">
        <w:rPr>
          <w:rFonts w:asciiTheme="minorHAnsi" w:hAnsiTheme="minorHAnsi" w:cstheme="minorHAnsi"/>
          <w:i/>
          <w:sz w:val="24"/>
          <w:szCs w:val="24"/>
        </w:rPr>
        <w:t xml:space="preserve"> na období 2007–2013</w:t>
      </w:r>
      <w:r w:rsidRPr="00920634">
        <w:rPr>
          <w:rFonts w:asciiTheme="minorHAnsi" w:hAnsiTheme="minorHAnsi" w:cstheme="minorHAnsi"/>
          <w:sz w:val="24"/>
          <w:szCs w:val="24"/>
        </w:rPr>
        <w:t xml:space="preserve">. MZe je přijalo přímo od Evropské komise, </w:t>
      </w:r>
      <w:r w:rsidR="007B7881" w:rsidRPr="00920634">
        <w:rPr>
          <w:rFonts w:asciiTheme="minorHAnsi" w:hAnsiTheme="minorHAnsi" w:cstheme="minorHAnsi"/>
          <w:sz w:val="24"/>
          <w:szCs w:val="24"/>
        </w:rPr>
        <w:t xml:space="preserve">nikoliv </w:t>
      </w:r>
      <w:r w:rsidRPr="00920634">
        <w:rPr>
          <w:rFonts w:asciiTheme="minorHAnsi" w:hAnsiTheme="minorHAnsi" w:cstheme="minorHAnsi"/>
          <w:sz w:val="24"/>
          <w:szCs w:val="24"/>
        </w:rPr>
        <w:t>prostřednictví</w:t>
      </w:r>
      <w:r w:rsidR="007B7881" w:rsidRPr="00920634">
        <w:rPr>
          <w:rFonts w:asciiTheme="minorHAnsi" w:hAnsiTheme="minorHAnsi" w:cstheme="minorHAnsi"/>
          <w:sz w:val="24"/>
          <w:szCs w:val="24"/>
        </w:rPr>
        <w:t>m</w:t>
      </w:r>
      <w:r w:rsidRPr="00920634">
        <w:rPr>
          <w:rFonts w:asciiTheme="minorHAnsi" w:hAnsiTheme="minorHAnsi" w:cstheme="minorHAnsi"/>
          <w:sz w:val="24"/>
          <w:szCs w:val="24"/>
        </w:rPr>
        <w:t xml:space="preserve"> Národního fondu</w:t>
      </w:r>
      <w:r w:rsidR="00F1580D" w:rsidRPr="00920634">
        <w:rPr>
          <w:rFonts w:asciiTheme="minorHAnsi" w:hAnsiTheme="minorHAnsi" w:cstheme="minorHAnsi"/>
          <w:sz w:val="24"/>
          <w:szCs w:val="24"/>
        </w:rPr>
        <w:t xml:space="preserve"> Ministerstva financí</w:t>
      </w:r>
      <w:r w:rsidRPr="00920634">
        <w:rPr>
          <w:rFonts w:asciiTheme="minorHAnsi" w:hAnsiTheme="minorHAnsi" w:cstheme="minorHAnsi"/>
          <w:sz w:val="24"/>
          <w:szCs w:val="24"/>
        </w:rPr>
        <w:t xml:space="preserve"> či jiného subjektu, a to:</w:t>
      </w:r>
    </w:p>
    <w:p w14:paraId="50CD9781" w14:textId="2F566E9C" w:rsidR="004B3CD8" w:rsidRPr="00920634" w:rsidRDefault="00FB7DC9" w:rsidP="00C610F6">
      <w:pPr>
        <w:pStyle w:val="Bezmezer"/>
        <w:keepNext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 xml:space="preserve">v roce 2007 </w:t>
      </w:r>
      <w:r w:rsidR="00CE7176" w:rsidRPr="00920634">
        <w:rPr>
          <w:rFonts w:asciiTheme="minorHAnsi" w:hAnsiTheme="minorHAnsi" w:cstheme="minorHAnsi"/>
          <w:sz w:val="24"/>
          <w:szCs w:val="24"/>
        </w:rPr>
        <w:t>na účet</w:t>
      </w:r>
      <w:r w:rsidRPr="00920634">
        <w:rPr>
          <w:rFonts w:asciiTheme="minorHAnsi" w:hAnsiTheme="minorHAnsi" w:cstheme="minorHAnsi"/>
          <w:sz w:val="24"/>
          <w:szCs w:val="24"/>
        </w:rPr>
        <w:t xml:space="preserve"> rezervního fondu, </w:t>
      </w:r>
    </w:p>
    <w:p w14:paraId="7A3A21FA" w14:textId="60B2A3CB" w:rsidR="004B3CD8" w:rsidRPr="00920634" w:rsidRDefault="00FB7DC9" w:rsidP="00114439">
      <w:pPr>
        <w:pStyle w:val="Bezmezer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 xml:space="preserve">v roce 2010 </w:t>
      </w:r>
      <w:r w:rsidR="006A02B7" w:rsidRPr="00920634">
        <w:rPr>
          <w:rFonts w:asciiTheme="minorHAnsi" w:hAnsiTheme="minorHAnsi" w:cstheme="minorHAnsi"/>
          <w:sz w:val="24"/>
          <w:szCs w:val="24"/>
        </w:rPr>
        <w:t xml:space="preserve">na </w:t>
      </w:r>
      <w:r w:rsidRPr="00920634">
        <w:rPr>
          <w:rFonts w:asciiTheme="minorHAnsi" w:hAnsiTheme="minorHAnsi" w:cstheme="minorHAnsi"/>
          <w:sz w:val="24"/>
          <w:szCs w:val="24"/>
        </w:rPr>
        <w:t>příjm</w:t>
      </w:r>
      <w:r w:rsidR="00CE7176" w:rsidRPr="00920634">
        <w:rPr>
          <w:rFonts w:asciiTheme="minorHAnsi" w:hAnsiTheme="minorHAnsi" w:cstheme="minorHAnsi"/>
          <w:sz w:val="24"/>
          <w:szCs w:val="24"/>
        </w:rPr>
        <w:t>ový účet</w:t>
      </w:r>
      <w:r w:rsidR="006A02B7" w:rsidRPr="00920634">
        <w:rPr>
          <w:rFonts w:asciiTheme="minorHAnsi" w:hAnsiTheme="minorHAnsi" w:cstheme="minorHAnsi"/>
          <w:sz w:val="24"/>
          <w:szCs w:val="24"/>
        </w:rPr>
        <w:t xml:space="preserve"> MZe</w:t>
      </w:r>
      <w:r w:rsidR="00CE7176" w:rsidRPr="00920634">
        <w:rPr>
          <w:rFonts w:asciiTheme="minorHAnsi" w:hAnsiTheme="minorHAnsi" w:cstheme="minorHAnsi"/>
          <w:sz w:val="24"/>
          <w:szCs w:val="24"/>
        </w:rPr>
        <w:t>.</w:t>
      </w:r>
    </w:p>
    <w:p w14:paraId="10156360" w14:textId="77777777" w:rsidR="007E28AF" w:rsidRDefault="007E28AF" w:rsidP="00114439">
      <w:pPr>
        <w:pStyle w:val="Textkomente"/>
        <w:jc w:val="both"/>
        <w:rPr>
          <w:rFonts w:asciiTheme="minorHAnsi" w:hAnsiTheme="minorHAnsi" w:cstheme="minorHAnsi"/>
          <w:sz w:val="24"/>
          <w:szCs w:val="24"/>
        </w:rPr>
      </w:pPr>
    </w:p>
    <w:p w14:paraId="1AC57CE4" w14:textId="500E6AF2" w:rsidR="00D17957" w:rsidRPr="00920634" w:rsidRDefault="00FB7DC9" w:rsidP="00114439">
      <w:pPr>
        <w:pStyle w:val="Textkomente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sz w:val="24"/>
          <w:szCs w:val="24"/>
        </w:rPr>
        <w:t>Z finančních toků SZP vyplývá, že MZe ponese rozpočtové dopady z ukončení programu</w:t>
      </w:r>
      <w:r w:rsidR="00601583">
        <w:rPr>
          <w:rFonts w:asciiTheme="minorHAnsi" w:hAnsiTheme="minorHAnsi" w:cstheme="minorHAnsi"/>
          <w:sz w:val="24"/>
          <w:szCs w:val="24"/>
        </w:rPr>
        <w:t>,</w:t>
      </w:r>
      <w:r w:rsidRPr="00920634">
        <w:rPr>
          <w:rFonts w:asciiTheme="minorHAnsi" w:hAnsiTheme="minorHAnsi" w:cstheme="minorHAnsi"/>
          <w:sz w:val="24"/>
          <w:szCs w:val="24"/>
        </w:rPr>
        <w:t xml:space="preserve"> je proto nutné zajistit jasné prokázání vztahu k rozpočtu EU z titulu předběžných i průběžných plateb přijímaných MZe. </w:t>
      </w:r>
      <w:r w:rsidR="000F6AD8">
        <w:rPr>
          <w:rFonts w:asciiTheme="minorHAnsi" w:hAnsiTheme="minorHAnsi" w:cstheme="minorHAnsi"/>
          <w:b/>
          <w:sz w:val="24"/>
          <w:szCs w:val="24"/>
        </w:rPr>
        <w:t>Kontrola neměla u MZe k dispozici doklady prokazující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,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zda předběžné platby ze zahraničí,</w:t>
      </w:r>
      <w:r w:rsidR="006A02B7"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přijaté na bankovní účty M</w:t>
      </w:r>
      <w:r w:rsidR="003D1383" w:rsidRPr="00920634">
        <w:rPr>
          <w:rFonts w:asciiTheme="minorHAnsi" w:hAnsiTheme="minorHAnsi" w:cstheme="minorHAnsi"/>
          <w:b/>
          <w:sz w:val="24"/>
          <w:szCs w:val="24"/>
        </w:rPr>
        <w:t>Z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e, byly nebo nebyly </w:t>
      </w:r>
      <w:r w:rsidR="008D073A">
        <w:rPr>
          <w:rFonts w:asciiTheme="minorHAnsi" w:hAnsiTheme="minorHAnsi" w:cstheme="minorHAnsi"/>
          <w:b/>
          <w:sz w:val="24"/>
          <w:szCs w:val="24"/>
        </w:rPr>
        <w:t>s </w:t>
      </w:r>
      <w:r w:rsidRPr="00920634">
        <w:rPr>
          <w:rFonts w:asciiTheme="minorHAnsi" w:hAnsiTheme="minorHAnsi" w:cstheme="minorHAnsi"/>
          <w:b/>
          <w:sz w:val="24"/>
          <w:szCs w:val="24"/>
        </w:rPr>
        <w:t>Evropskou komisí</w:t>
      </w:r>
      <w:r w:rsidR="008D0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7104">
        <w:rPr>
          <w:rFonts w:asciiTheme="minorHAnsi" w:hAnsiTheme="minorHAnsi" w:cstheme="minorHAnsi"/>
          <w:b/>
          <w:sz w:val="24"/>
          <w:szCs w:val="24"/>
        </w:rPr>
        <w:t>finančně vypořádány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.</w:t>
      </w:r>
      <w:r w:rsidR="004B3CD8"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62CC" w:rsidRPr="00920634">
        <w:rPr>
          <w:rFonts w:asciiTheme="minorHAnsi" w:hAnsiTheme="minorHAnsi" w:cstheme="minorHAnsi"/>
          <w:b/>
          <w:sz w:val="24"/>
          <w:szCs w:val="24"/>
        </w:rPr>
        <w:t>MZe</w:t>
      </w:r>
      <w:r w:rsidR="00CA62CC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="004B3CD8" w:rsidRPr="00920634">
        <w:rPr>
          <w:rFonts w:asciiTheme="minorHAnsi" w:hAnsiTheme="minorHAnsi" w:cstheme="minorHAnsi"/>
          <w:b/>
          <w:sz w:val="24"/>
          <w:szCs w:val="24"/>
        </w:rPr>
        <w:t>ouze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9A0" w:rsidRPr="00920634">
        <w:rPr>
          <w:rFonts w:asciiTheme="minorHAnsi" w:hAnsiTheme="minorHAnsi" w:cstheme="minorHAnsi"/>
          <w:b/>
          <w:sz w:val="24"/>
          <w:szCs w:val="24"/>
        </w:rPr>
        <w:t>sdělilo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, že dle informace od SZIF byly předběžné platby s Evropskou komisí </w:t>
      </w:r>
      <w:r w:rsidR="004156BE">
        <w:rPr>
          <w:rFonts w:asciiTheme="minorHAnsi" w:hAnsiTheme="minorHAnsi" w:cstheme="minorHAnsi"/>
          <w:b/>
          <w:sz w:val="24"/>
          <w:szCs w:val="24"/>
        </w:rPr>
        <w:t>vypořádány</w:t>
      </w:r>
      <w:r w:rsidRPr="00920634">
        <w:rPr>
          <w:rFonts w:asciiTheme="minorHAnsi" w:hAnsiTheme="minorHAnsi" w:cstheme="minorHAnsi"/>
          <w:b/>
          <w:sz w:val="24"/>
          <w:szCs w:val="24"/>
        </w:rPr>
        <w:t>.</w:t>
      </w:r>
      <w:r w:rsidR="006A02B7"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7957" w:rsidRPr="00920634">
        <w:rPr>
          <w:rFonts w:asciiTheme="minorHAnsi" w:hAnsiTheme="minorHAnsi" w:cstheme="minorHAnsi"/>
          <w:b/>
          <w:sz w:val="24"/>
          <w:szCs w:val="24"/>
        </w:rPr>
        <w:t>NKÚ v </w:t>
      </w:r>
      <w:r w:rsidR="009F4195" w:rsidRPr="00920634">
        <w:rPr>
          <w:rFonts w:asciiTheme="minorHAnsi" w:hAnsiTheme="minorHAnsi" w:cstheme="minorHAnsi"/>
          <w:b/>
          <w:sz w:val="24"/>
          <w:szCs w:val="24"/>
        </w:rPr>
        <w:t xml:space="preserve">tomto </w:t>
      </w:r>
      <w:r w:rsidR="00D17957" w:rsidRPr="00920634">
        <w:rPr>
          <w:rFonts w:asciiTheme="minorHAnsi" w:hAnsiTheme="minorHAnsi" w:cstheme="minorHAnsi"/>
          <w:b/>
          <w:sz w:val="24"/>
          <w:szCs w:val="24"/>
        </w:rPr>
        <w:t>případě upozorňuje na rizik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a</w:t>
      </w:r>
      <w:r w:rsidR="00480457" w:rsidRPr="00920634">
        <w:rPr>
          <w:rFonts w:asciiTheme="minorHAnsi" w:hAnsiTheme="minorHAnsi" w:cstheme="minorHAnsi"/>
          <w:b/>
          <w:sz w:val="24"/>
          <w:szCs w:val="24"/>
        </w:rPr>
        <w:t xml:space="preserve"> u</w:t>
      </w:r>
      <w:r w:rsidR="00ED3BE6">
        <w:rPr>
          <w:rFonts w:asciiTheme="minorHAnsi" w:hAnsiTheme="minorHAnsi" w:cstheme="minorHAnsi"/>
          <w:b/>
          <w:sz w:val="24"/>
          <w:szCs w:val="24"/>
        </w:rPr>
        <w:t> </w:t>
      </w:r>
      <w:r w:rsidR="00D17957" w:rsidRPr="00920634">
        <w:rPr>
          <w:rFonts w:asciiTheme="minorHAnsi" w:hAnsiTheme="minorHAnsi" w:cstheme="minorHAnsi"/>
          <w:b/>
          <w:sz w:val="24"/>
          <w:szCs w:val="24"/>
        </w:rPr>
        <w:t>předběžných plateb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. Z rozpočtových pravidel ani z jiných právních předpisů </w:t>
      </w:r>
      <w:r w:rsidR="00CA62CC">
        <w:rPr>
          <w:rFonts w:asciiTheme="minorHAnsi" w:hAnsiTheme="minorHAnsi" w:cstheme="minorHAnsi"/>
          <w:b/>
          <w:sz w:val="24"/>
          <w:szCs w:val="24"/>
        </w:rPr>
        <w:t xml:space="preserve">či 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příslušných usnesení vlády ČR </w:t>
      </w:r>
      <w:r w:rsidR="00CA62CC" w:rsidRPr="00920634">
        <w:rPr>
          <w:rFonts w:asciiTheme="minorHAnsi" w:hAnsiTheme="minorHAnsi" w:cstheme="minorHAnsi"/>
          <w:b/>
          <w:sz w:val="24"/>
          <w:szCs w:val="24"/>
        </w:rPr>
        <w:t>nevyplývá</w:t>
      </w:r>
      <w:r w:rsidR="00CA62CC">
        <w:rPr>
          <w:rFonts w:asciiTheme="minorHAnsi" w:hAnsiTheme="minorHAnsi" w:cstheme="minorHAnsi"/>
          <w:b/>
          <w:sz w:val="24"/>
          <w:szCs w:val="24"/>
        </w:rPr>
        <w:t xml:space="preserve"> zcela 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jednoznačně, jak s nimi nakládat</w:t>
      </w:r>
      <w:r w:rsidR="00CA62CC">
        <w:rPr>
          <w:rFonts w:asciiTheme="minorHAnsi" w:hAnsiTheme="minorHAnsi" w:cstheme="minorHAnsi"/>
          <w:b/>
          <w:sz w:val="24"/>
          <w:szCs w:val="24"/>
        </w:rPr>
        <w:t>,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7E28AF">
        <w:rPr>
          <w:rFonts w:asciiTheme="minorHAnsi" w:hAnsiTheme="minorHAnsi" w:cstheme="minorHAnsi"/>
          <w:b/>
          <w:sz w:val="24"/>
          <w:szCs w:val="24"/>
        </w:rPr>
        <w:t> 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z</w:t>
      </w:r>
      <w:r w:rsidR="00CA62CC">
        <w:rPr>
          <w:rFonts w:asciiTheme="minorHAnsi" w:hAnsiTheme="minorHAnsi" w:cstheme="minorHAnsi"/>
          <w:b/>
          <w:sz w:val="24"/>
          <w:szCs w:val="24"/>
        </w:rPr>
        <w:t> </w:t>
      </w:r>
      <w:r w:rsidR="001C0412" w:rsidRPr="00920634">
        <w:rPr>
          <w:rFonts w:asciiTheme="minorHAnsi" w:hAnsiTheme="minorHAnsi" w:cstheme="minorHAnsi"/>
          <w:b/>
          <w:sz w:val="24"/>
          <w:szCs w:val="24"/>
        </w:rPr>
        <w:t>platné</w:t>
      </w:r>
      <w:r w:rsidR="00CA62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>účetní regulace ne</w:t>
      </w:r>
      <w:r w:rsidR="001C0412" w:rsidRPr="00920634">
        <w:rPr>
          <w:rFonts w:asciiTheme="minorHAnsi" w:hAnsiTheme="minorHAnsi" w:cstheme="minorHAnsi"/>
          <w:b/>
          <w:sz w:val="24"/>
          <w:szCs w:val="24"/>
        </w:rPr>
        <w:t>ní možné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 jednoznačně vyvodit</w:t>
      </w:r>
      <w:r w:rsidR="001C0412" w:rsidRPr="00920634">
        <w:rPr>
          <w:rFonts w:asciiTheme="minorHAnsi" w:hAnsiTheme="minorHAnsi" w:cstheme="minorHAnsi"/>
          <w:b/>
          <w:sz w:val="24"/>
          <w:szCs w:val="24"/>
        </w:rPr>
        <w:t xml:space="preserve"> způsob jejich vyk</w:t>
      </w:r>
      <w:r w:rsidR="00CA62CC">
        <w:rPr>
          <w:rFonts w:asciiTheme="minorHAnsi" w:hAnsiTheme="minorHAnsi" w:cstheme="minorHAnsi"/>
          <w:b/>
          <w:sz w:val="24"/>
          <w:szCs w:val="24"/>
        </w:rPr>
        <w:t>azování</w:t>
      </w:r>
      <w:r w:rsidR="00A90486" w:rsidRPr="00920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02B7" w:rsidRPr="00920634">
        <w:rPr>
          <w:rFonts w:asciiTheme="minorHAnsi" w:hAnsiTheme="minorHAnsi" w:cstheme="minorHAnsi"/>
          <w:b/>
          <w:sz w:val="24"/>
          <w:szCs w:val="24"/>
        </w:rPr>
        <w:t>v účetní</w:t>
      </w:r>
      <w:r w:rsidR="00CA62CC">
        <w:rPr>
          <w:rFonts w:asciiTheme="minorHAnsi" w:hAnsiTheme="minorHAnsi" w:cstheme="minorHAnsi"/>
          <w:b/>
          <w:sz w:val="24"/>
          <w:szCs w:val="24"/>
        </w:rPr>
        <w:t>ch</w:t>
      </w:r>
      <w:r w:rsidR="006A02B7" w:rsidRPr="00920634">
        <w:rPr>
          <w:rFonts w:asciiTheme="minorHAnsi" w:hAnsiTheme="minorHAnsi" w:cstheme="minorHAnsi"/>
          <w:b/>
          <w:sz w:val="24"/>
          <w:szCs w:val="24"/>
        </w:rPr>
        <w:t xml:space="preserve"> závěr</w:t>
      </w:r>
      <w:r w:rsidR="00CA62CC">
        <w:rPr>
          <w:rFonts w:asciiTheme="minorHAnsi" w:hAnsiTheme="minorHAnsi" w:cstheme="minorHAnsi"/>
          <w:b/>
          <w:sz w:val="24"/>
          <w:szCs w:val="24"/>
        </w:rPr>
        <w:t>kách</w:t>
      </w:r>
      <w:r w:rsidR="006A02B7" w:rsidRPr="00920634">
        <w:rPr>
          <w:rFonts w:asciiTheme="minorHAnsi" w:hAnsiTheme="minorHAnsi" w:cstheme="minorHAnsi"/>
          <w:b/>
          <w:sz w:val="24"/>
          <w:szCs w:val="24"/>
        </w:rPr>
        <w:t>.</w:t>
      </w:r>
    </w:p>
    <w:p w14:paraId="4E5F5F3B" w14:textId="77777777" w:rsidR="00601583" w:rsidRDefault="00601583" w:rsidP="00114439">
      <w:pPr>
        <w:pStyle w:val="Textkomente"/>
        <w:jc w:val="both"/>
        <w:rPr>
          <w:rFonts w:asciiTheme="minorHAnsi" w:hAnsiTheme="minorHAnsi" w:cstheme="minorHAnsi"/>
          <w:sz w:val="24"/>
          <w:szCs w:val="24"/>
        </w:rPr>
      </w:pPr>
    </w:p>
    <w:p w14:paraId="3295006B" w14:textId="5BB482DA" w:rsidR="00FB7DC9" w:rsidRPr="00920634" w:rsidRDefault="00FB7DC9" w:rsidP="00114439">
      <w:pPr>
        <w:pStyle w:val="Textkomente"/>
        <w:jc w:val="both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>S odkazem na čl. 35 nařízení Evropského parlamentu a Rady (EU) č. 1306/2013 ze dne 17.</w:t>
      </w:r>
      <w:r w:rsidR="00350806" w:rsidRPr="00920634">
        <w:rPr>
          <w:rFonts w:asciiTheme="minorHAnsi" w:hAnsiTheme="minorHAnsi" w:cstheme="minorHAnsi"/>
          <w:sz w:val="24"/>
          <w:szCs w:val="24"/>
        </w:rPr>
        <w:t> </w:t>
      </w:r>
      <w:r w:rsidR="00626C77" w:rsidRPr="00920634">
        <w:rPr>
          <w:rFonts w:asciiTheme="minorHAnsi" w:hAnsiTheme="minorHAnsi" w:cstheme="minorHAnsi"/>
          <w:sz w:val="24"/>
          <w:szCs w:val="24"/>
        </w:rPr>
        <w:t>prosince</w:t>
      </w:r>
      <w:r w:rsidR="00350806" w:rsidRPr="00920634">
        <w:rPr>
          <w:rFonts w:asciiTheme="minorHAnsi" w:hAnsiTheme="minorHAnsi" w:cstheme="minorHAnsi"/>
          <w:sz w:val="24"/>
          <w:szCs w:val="24"/>
        </w:rPr>
        <w:t> </w:t>
      </w:r>
      <w:r w:rsidRPr="00920634">
        <w:rPr>
          <w:rFonts w:asciiTheme="minorHAnsi" w:hAnsiTheme="minorHAnsi" w:cstheme="minorHAnsi"/>
          <w:sz w:val="24"/>
          <w:szCs w:val="24"/>
        </w:rPr>
        <w:t>2013, o financování, řízení a sledování společné zemědělské politiky a o zrušení nařízení Rady (EHS) č. 352/78, (ES) č. 165/94, (ES) č. 2799/98, (ES) č. 814/2000, (ES) č.</w:t>
      </w:r>
      <w:r w:rsidR="00350806" w:rsidRPr="00920634">
        <w:rPr>
          <w:rFonts w:asciiTheme="minorHAnsi" w:hAnsiTheme="minorHAnsi" w:cstheme="minorHAnsi"/>
          <w:sz w:val="24"/>
          <w:szCs w:val="24"/>
        </w:rPr>
        <w:t> </w:t>
      </w:r>
      <w:r w:rsidRPr="00920634">
        <w:rPr>
          <w:rFonts w:asciiTheme="minorHAnsi" w:hAnsiTheme="minorHAnsi" w:cstheme="minorHAnsi"/>
          <w:sz w:val="24"/>
          <w:szCs w:val="24"/>
        </w:rPr>
        <w:t>1290/2005 a (ES) č. 485/2008</w:t>
      </w:r>
      <w:r w:rsidR="00DD4CBD">
        <w:rPr>
          <w:rFonts w:asciiTheme="minorHAnsi" w:hAnsiTheme="minorHAnsi" w:cstheme="minorHAnsi"/>
          <w:sz w:val="24"/>
          <w:szCs w:val="24"/>
        </w:rPr>
        <w:t>,</w:t>
      </w:r>
      <w:r w:rsidRPr="00920634">
        <w:rPr>
          <w:rFonts w:asciiTheme="minorHAnsi" w:hAnsiTheme="minorHAnsi" w:cstheme="minorHAnsi"/>
          <w:sz w:val="24"/>
          <w:szCs w:val="24"/>
        </w:rPr>
        <w:t xml:space="preserve"> je zřejmé, že Ministerstvu zemědělství bude v následujících účetních obdobích poskytnuta </w:t>
      </w:r>
      <w:r w:rsidR="00DD4CBD">
        <w:rPr>
          <w:rFonts w:asciiTheme="minorHAnsi" w:hAnsiTheme="minorHAnsi" w:cstheme="minorHAnsi"/>
          <w:sz w:val="24"/>
          <w:szCs w:val="24"/>
        </w:rPr>
        <w:t xml:space="preserve">od </w:t>
      </w:r>
      <w:r w:rsidRPr="00920634">
        <w:rPr>
          <w:rFonts w:asciiTheme="minorHAnsi" w:hAnsiTheme="minorHAnsi" w:cstheme="minorHAnsi"/>
          <w:sz w:val="24"/>
          <w:szCs w:val="24"/>
        </w:rPr>
        <w:t xml:space="preserve">Evropské komise částka předběžného financování na </w:t>
      </w:r>
      <w:r w:rsidRPr="008D4CD3">
        <w:rPr>
          <w:rFonts w:asciiTheme="minorHAnsi" w:hAnsiTheme="minorHAnsi" w:cstheme="minorHAnsi"/>
          <w:i/>
          <w:sz w:val="24"/>
          <w:szCs w:val="24"/>
        </w:rPr>
        <w:t xml:space="preserve">Program rozvoje venkova </w:t>
      </w:r>
      <w:r w:rsidR="00DD4CBD" w:rsidRPr="00DD4CBD">
        <w:rPr>
          <w:rFonts w:asciiTheme="minorHAnsi" w:hAnsiTheme="minorHAnsi" w:cstheme="minorHAnsi"/>
          <w:i/>
          <w:sz w:val="24"/>
          <w:szCs w:val="24"/>
        </w:rPr>
        <w:t>České republiky</w:t>
      </w:r>
      <w:r w:rsidR="00DD4CBD" w:rsidRPr="00E73242">
        <w:rPr>
          <w:rFonts w:asciiTheme="minorHAnsi" w:hAnsiTheme="minorHAnsi" w:cstheme="minorHAnsi"/>
          <w:i/>
          <w:sz w:val="24"/>
          <w:szCs w:val="24"/>
        </w:rPr>
        <w:t xml:space="preserve"> na</w:t>
      </w:r>
      <w:r w:rsidRPr="008D4CD3">
        <w:rPr>
          <w:rFonts w:asciiTheme="minorHAnsi" w:hAnsiTheme="minorHAnsi" w:cstheme="minorHAnsi"/>
          <w:i/>
          <w:sz w:val="24"/>
          <w:szCs w:val="24"/>
        </w:rPr>
        <w:t xml:space="preserve"> období 2014–2020</w:t>
      </w:r>
      <w:r w:rsidRPr="00920634">
        <w:rPr>
          <w:rFonts w:asciiTheme="minorHAnsi" w:hAnsiTheme="minorHAnsi" w:cstheme="minorHAnsi"/>
          <w:sz w:val="24"/>
          <w:szCs w:val="24"/>
        </w:rPr>
        <w:t xml:space="preserve"> a jej</w:t>
      </w:r>
      <w:r w:rsidR="003F29A0" w:rsidRPr="00920634">
        <w:rPr>
          <w:rFonts w:asciiTheme="minorHAnsi" w:hAnsiTheme="minorHAnsi" w:cstheme="minorHAnsi"/>
          <w:sz w:val="24"/>
          <w:szCs w:val="24"/>
        </w:rPr>
        <w:t>í přijetí</w:t>
      </w:r>
      <w:r w:rsidRPr="00920634">
        <w:rPr>
          <w:rFonts w:asciiTheme="minorHAnsi" w:hAnsiTheme="minorHAnsi" w:cstheme="minorHAnsi"/>
          <w:sz w:val="24"/>
          <w:szCs w:val="24"/>
        </w:rPr>
        <w:t xml:space="preserve"> bude předmětem </w:t>
      </w:r>
      <w:r w:rsidR="004B3CD8" w:rsidRPr="00920634">
        <w:rPr>
          <w:rFonts w:asciiTheme="minorHAnsi" w:hAnsiTheme="minorHAnsi" w:cstheme="minorHAnsi"/>
          <w:sz w:val="24"/>
          <w:szCs w:val="24"/>
        </w:rPr>
        <w:t>účetnictví</w:t>
      </w:r>
      <w:r w:rsidRPr="00920634">
        <w:rPr>
          <w:rFonts w:asciiTheme="minorHAnsi" w:hAnsiTheme="minorHAnsi" w:cstheme="minorHAnsi"/>
          <w:sz w:val="24"/>
          <w:szCs w:val="24"/>
        </w:rPr>
        <w:t xml:space="preserve"> MZe. </w:t>
      </w:r>
    </w:p>
    <w:p w14:paraId="193DE51C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768B2DA6" w14:textId="53EE198E" w:rsidR="00FB7DC9" w:rsidRPr="00920634" w:rsidRDefault="00997B4D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>.5</w:t>
      </w:r>
      <w:r w:rsidR="00F22EB6" w:rsidRPr="00920634">
        <w:rPr>
          <w:rFonts w:asciiTheme="minorHAnsi" w:hAnsiTheme="minorHAnsi" w:cstheme="minorHAnsi"/>
          <w:b/>
          <w:i/>
          <w:sz w:val="24"/>
        </w:rPr>
        <w:t xml:space="preserve"> </w:t>
      </w:r>
      <w:r w:rsidR="00FB7DC9" w:rsidRPr="00920634">
        <w:rPr>
          <w:rFonts w:asciiTheme="minorHAnsi" w:hAnsiTheme="minorHAnsi" w:cstheme="minorHAnsi"/>
          <w:b/>
          <w:i/>
          <w:sz w:val="24"/>
        </w:rPr>
        <w:t>Účtování OSS v roli příjemce transferu</w:t>
      </w:r>
    </w:p>
    <w:p w14:paraId="2184612B" w14:textId="4E7469E9" w:rsidR="00FB7DC9" w:rsidRPr="00920634" w:rsidRDefault="00FB7DC9" w:rsidP="008D4CD3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szCs w:val="22"/>
        </w:rPr>
        <w:t>MŠMT a M</w:t>
      </w:r>
      <w:r w:rsidR="00970ACC" w:rsidRPr="00920634">
        <w:rPr>
          <w:rFonts w:asciiTheme="minorHAnsi" w:hAnsiTheme="minorHAnsi" w:cstheme="minorHAnsi"/>
          <w:szCs w:val="22"/>
        </w:rPr>
        <w:t>Z</w:t>
      </w:r>
      <w:r w:rsidRPr="00920634">
        <w:rPr>
          <w:rFonts w:asciiTheme="minorHAnsi" w:hAnsiTheme="minorHAnsi" w:cstheme="minorHAnsi"/>
          <w:szCs w:val="22"/>
        </w:rPr>
        <w:t xml:space="preserve">e se </w:t>
      </w:r>
      <w:r w:rsidR="00E73242">
        <w:rPr>
          <w:rFonts w:asciiTheme="minorHAnsi" w:hAnsiTheme="minorHAnsi" w:cstheme="minorHAnsi"/>
          <w:szCs w:val="22"/>
        </w:rPr>
        <w:t xml:space="preserve">v souvislosti </w:t>
      </w:r>
      <w:r w:rsidR="00B3211E">
        <w:rPr>
          <w:rFonts w:asciiTheme="minorHAnsi" w:hAnsiTheme="minorHAnsi" w:cstheme="minorHAnsi"/>
          <w:szCs w:val="22"/>
        </w:rPr>
        <w:t xml:space="preserve">s </w:t>
      </w:r>
      <w:r w:rsidRPr="00920634">
        <w:rPr>
          <w:rFonts w:asciiTheme="minorHAnsi" w:hAnsiTheme="minorHAnsi" w:cstheme="minorHAnsi"/>
          <w:szCs w:val="22"/>
        </w:rPr>
        <w:t>některý</w:t>
      </w:r>
      <w:r w:rsidR="00E73242">
        <w:rPr>
          <w:rFonts w:asciiTheme="minorHAnsi" w:hAnsiTheme="minorHAnsi" w:cstheme="minorHAnsi"/>
          <w:szCs w:val="22"/>
        </w:rPr>
        <w:t>mi</w:t>
      </w:r>
      <w:r w:rsidRPr="00920634">
        <w:rPr>
          <w:rFonts w:asciiTheme="minorHAnsi" w:hAnsiTheme="minorHAnsi" w:cstheme="minorHAnsi"/>
          <w:szCs w:val="22"/>
        </w:rPr>
        <w:t xml:space="preserve"> prostředk</w:t>
      </w:r>
      <w:r w:rsidR="00E73242">
        <w:rPr>
          <w:rFonts w:asciiTheme="minorHAnsi" w:hAnsiTheme="minorHAnsi" w:cstheme="minorHAnsi"/>
          <w:szCs w:val="22"/>
        </w:rPr>
        <w:t>y</w:t>
      </w:r>
      <w:r w:rsidRPr="00920634">
        <w:rPr>
          <w:rFonts w:asciiTheme="minorHAnsi" w:hAnsiTheme="minorHAnsi" w:cstheme="minorHAnsi"/>
          <w:szCs w:val="22"/>
        </w:rPr>
        <w:t xml:space="preserve"> ze zahraničí, např. OP</w:t>
      </w:r>
      <w:r w:rsidR="00E73242">
        <w:rPr>
          <w:rFonts w:asciiTheme="minorHAnsi" w:hAnsiTheme="minorHAnsi" w:cstheme="minorHAnsi"/>
          <w:szCs w:val="22"/>
        </w:rPr>
        <w:t> </w:t>
      </w:r>
      <w:r w:rsidRPr="00920634">
        <w:rPr>
          <w:rFonts w:asciiTheme="minorHAnsi" w:hAnsiTheme="minorHAnsi" w:cstheme="minorHAnsi"/>
          <w:szCs w:val="22"/>
        </w:rPr>
        <w:t>VaVpI, OP</w:t>
      </w:r>
      <w:r w:rsidR="00E73242">
        <w:rPr>
          <w:rFonts w:asciiTheme="minorHAnsi" w:hAnsiTheme="minorHAnsi" w:cstheme="minorHAnsi"/>
          <w:szCs w:val="22"/>
        </w:rPr>
        <w:t> </w:t>
      </w:r>
      <w:r w:rsidRPr="00920634">
        <w:rPr>
          <w:rFonts w:asciiTheme="minorHAnsi" w:hAnsiTheme="minorHAnsi" w:cstheme="minorHAnsi"/>
          <w:szCs w:val="22"/>
        </w:rPr>
        <w:t xml:space="preserve">VK nebo OPR, stávají i konečným příjemcem transferu; jedná se zejména o případy technické pomoci nebo </w:t>
      </w:r>
      <w:r w:rsidR="00E73242">
        <w:rPr>
          <w:rFonts w:asciiTheme="minorHAnsi" w:hAnsiTheme="minorHAnsi" w:cstheme="minorHAnsi"/>
          <w:szCs w:val="22"/>
        </w:rPr>
        <w:t xml:space="preserve">o </w:t>
      </w:r>
      <w:r w:rsidRPr="00920634">
        <w:rPr>
          <w:rFonts w:asciiTheme="minorHAnsi" w:hAnsiTheme="minorHAnsi" w:cstheme="minorHAnsi"/>
          <w:szCs w:val="22"/>
        </w:rPr>
        <w:t>individuální</w:t>
      </w:r>
      <w:r w:rsidR="009F2B4C" w:rsidRPr="00920634">
        <w:rPr>
          <w:rFonts w:asciiTheme="minorHAnsi" w:hAnsiTheme="minorHAnsi" w:cstheme="minorHAnsi"/>
          <w:szCs w:val="22"/>
        </w:rPr>
        <w:t xml:space="preserve"> </w:t>
      </w:r>
      <w:r w:rsidRPr="00920634">
        <w:rPr>
          <w:rFonts w:asciiTheme="minorHAnsi" w:hAnsiTheme="minorHAnsi" w:cstheme="minorHAnsi"/>
          <w:szCs w:val="22"/>
        </w:rPr>
        <w:t>projekt</w:t>
      </w:r>
      <w:r w:rsidR="00E73242">
        <w:rPr>
          <w:rFonts w:asciiTheme="minorHAnsi" w:hAnsiTheme="minorHAnsi" w:cstheme="minorHAnsi"/>
          <w:szCs w:val="22"/>
        </w:rPr>
        <w:t>y</w:t>
      </w:r>
      <w:r w:rsidR="001D48BF">
        <w:rPr>
          <w:rFonts w:asciiTheme="minorHAnsi" w:hAnsiTheme="minorHAnsi" w:cstheme="minorHAnsi"/>
          <w:szCs w:val="22"/>
        </w:rPr>
        <w:t xml:space="preserve"> národní</w:t>
      </w:r>
      <w:r w:rsidRPr="00920634">
        <w:rPr>
          <w:rFonts w:asciiTheme="minorHAnsi" w:hAnsiTheme="minorHAnsi" w:cstheme="minorHAnsi"/>
          <w:szCs w:val="22"/>
        </w:rPr>
        <w:t xml:space="preserve">. MŠMT </w:t>
      </w:r>
      <w:r w:rsidR="00970ACC" w:rsidRPr="00920634">
        <w:rPr>
          <w:rFonts w:asciiTheme="minorHAnsi" w:hAnsiTheme="minorHAnsi" w:cstheme="minorHAnsi"/>
          <w:szCs w:val="22"/>
        </w:rPr>
        <w:t>a MZe</w:t>
      </w:r>
      <w:r w:rsidR="008C5160" w:rsidRPr="00920634">
        <w:rPr>
          <w:rFonts w:asciiTheme="minorHAnsi" w:hAnsiTheme="minorHAnsi" w:cstheme="minorHAnsi"/>
          <w:szCs w:val="22"/>
        </w:rPr>
        <w:t xml:space="preserve"> </w:t>
      </w:r>
      <w:r w:rsidRPr="00920634">
        <w:rPr>
          <w:rFonts w:asciiTheme="minorHAnsi" w:hAnsiTheme="minorHAnsi" w:cstheme="minorHAnsi"/>
          <w:szCs w:val="22"/>
        </w:rPr>
        <w:t>v těchto případech</w:t>
      </w:r>
      <w:r w:rsidR="009F2B4C" w:rsidRPr="00920634">
        <w:rPr>
          <w:rFonts w:asciiTheme="minorHAnsi" w:hAnsiTheme="minorHAnsi" w:cstheme="minorHAnsi"/>
          <w:szCs w:val="22"/>
        </w:rPr>
        <w:t xml:space="preserve"> rozhodují</w:t>
      </w:r>
      <w:r w:rsidRPr="00920634">
        <w:rPr>
          <w:rFonts w:asciiTheme="minorHAnsi" w:hAnsiTheme="minorHAnsi" w:cstheme="minorHAnsi"/>
          <w:szCs w:val="22"/>
        </w:rPr>
        <w:t xml:space="preserve"> v pozici říd</w:t>
      </w:r>
      <w:r w:rsidR="00E73242">
        <w:rPr>
          <w:rFonts w:asciiTheme="minorHAnsi" w:hAnsiTheme="minorHAnsi" w:cstheme="minorHAnsi"/>
          <w:szCs w:val="22"/>
        </w:rPr>
        <w:t>i</w:t>
      </w:r>
      <w:r w:rsidRPr="00920634">
        <w:rPr>
          <w:rFonts w:asciiTheme="minorHAnsi" w:hAnsiTheme="minorHAnsi" w:cstheme="minorHAnsi"/>
          <w:szCs w:val="22"/>
        </w:rPr>
        <w:t xml:space="preserve">cího orgánu o přidělení prostředků z fondů EU fakticky </w:t>
      </w:r>
      <w:r w:rsidR="003F29A0" w:rsidRPr="00920634">
        <w:rPr>
          <w:rFonts w:asciiTheme="minorHAnsi" w:hAnsiTheme="minorHAnsi" w:cstheme="minorHAnsi"/>
          <w:szCs w:val="22"/>
        </w:rPr>
        <w:t>sam</w:t>
      </w:r>
      <w:r w:rsidR="009F2B4C" w:rsidRPr="00920634">
        <w:rPr>
          <w:rFonts w:asciiTheme="minorHAnsi" w:hAnsiTheme="minorHAnsi" w:cstheme="minorHAnsi"/>
          <w:szCs w:val="22"/>
        </w:rPr>
        <w:t>i</w:t>
      </w:r>
      <w:r w:rsidR="003F29A0" w:rsidRPr="00920634">
        <w:rPr>
          <w:rFonts w:asciiTheme="minorHAnsi" w:hAnsiTheme="minorHAnsi" w:cstheme="minorHAnsi"/>
          <w:szCs w:val="22"/>
        </w:rPr>
        <w:t xml:space="preserve"> </w:t>
      </w:r>
      <w:r w:rsidRPr="00920634">
        <w:rPr>
          <w:rFonts w:asciiTheme="minorHAnsi" w:hAnsiTheme="minorHAnsi" w:cstheme="minorHAnsi"/>
          <w:szCs w:val="22"/>
        </w:rPr>
        <w:t xml:space="preserve">sobě. </w:t>
      </w:r>
      <w:r w:rsidRPr="00920634">
        <w:rPr>
          <w:rFonts w:asciiTheme="minorHAnsi" w:hAnsiTheme="minorHAnsi" w:cstheme="minorHAnsi"/>
        </w:rPr>
        <w:t xml:space="preserve">V tomto případě dochází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>předfinancování věcných (netransferových) výdajů, nikoliv výdajů transferových, přičemž MŠMT i MZe v daném okamžiku mohou předpokládat, že příslušnou část uhrazených věcných výdajů obdrží v případě operačních programů</w:t>
      </w:r>
      <w:r w:rsidR="004B3CD8" w:rsidRPr="00920634">
        <w:rPr>
          <w:rFonts w:asciiTheme="minorHAnsi" w:hAnsiTheme="minorHAnsi" w:cstheme="minorHAnsi"/>
        </w:rPr>
        <w:t xml:space="preserve"> refundovanou</w:t>
      </w:r>
      <w:r w:rsidRPr="00920634">
        <w:rPr>
          <w:rFonts w:asciiTheme="minorHAnsi" w:hAnsiTheme="minorHAnsi" w:cstheme="minorHAnsi"/>
        </w:rPr>
        <w:t xml:space="preserve"> z Národního fondu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 w:rsidRPr="00920634">
        <w:rPr>
          <w:rFonts w:asciiTheme="minorHAnsi" w:hAnsiTheme="minorHAnsi" w:cstheme="minorHAnsi"/>
        </w:rPr>
        <w:t xml:space="preserve">. </w:t>
      </w:r>
      <w:r w:rsidR="00CE38E4">
        <w:rPr>
          <w:rFonts w:asciiTheme="minorHAnsi" w:hAnsiTheme="minorHAnsi" w:cstheme="minorHAnsi"/>
        </w:rPr>
        <w:t>Protože</w:t>
      </w:r>
      <w:r w:rsidRPr="00920634">
        <w:rPr>
          <w:rFonts w:asciiTheme="minorHAnsi" w:hAnsiTheme="minorHAnsi" w:cstheme="minorHAnsi"/>
        </w:rPr>
        <w:t xml:space="preserve"> se jedná o předfinancování</w:t>
      </w:r>
      <w:r w:rsidR="00144D8E">
        <w:rPr>
          <w:rFonts w:asciiTheme="minorHAnsi" w:hAnsiTheme="minorHAnsi" w:cstheme="minorHAnsi"/>
        </w:rPr>
        <w:t xml:space="preserve"> věcných výdajů</w:t>
      </w:r>
      <w:r w:rsidRPr="00920634">
        <w:rPr>
          <w:rFonts w:asciiTheme="minorHAnsi" w:hAnsiTheme="minorHAnsi" w:cstheme="minorHAnsi"/>
        </w:rPr>
        <w:t xml:space="preserve">, MŠMT ani MZe </w:t>
      </w:r>
      <w:r w:rsidR="006C7D82">
        <w:rPr>
          <w:rFonts w:asciiTheme="minorHAnsi" w:hAnsiTheme="minorHAnsi" w:cstheme="minorHAnsi"/>
        </w:rPr>
        <w:t>jej</w:t>
      </w:r>
      <w:r w:rsidRPr="00920634">
        <w:rPr>
          <w:rFonts w:asciiTheme="minorHAnsi" w:hAnsiTheme="minorHAnsi" w:cstheme="minorHAnsi"/>
        </w:rPr>
        <w:t xml:space="preserve"> </w:t>
      </w:r>
      <w:r w:rsidR="004B3CD8" w:rsidRPr="00920634">
        <w:rPr>
          <w:rFonts w:asciiTheme="minorHAnsi" w:hAnsiTheme="minorHAnsi" w:cstheme="minorHAnsi"/>
        </w:rPr>
        <w:t>neúčtují</w:t>
      </w:r>
      <w:r w:rsidRPr="00920634">
        <w:rPr>
          <w:rFonts w:asciiTheme="minorHAnsi" w:hAnsiTheme="minorHAnsi" w:cstheme="minorHAnsi"/>
        </w:rPr>
        <w:t xml:space="preserve"> na účtech výnosů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předfinancování transferů a</w:t>
      </w:r>
      <w:r w:rsidR="006C7D82">
        <w:rPr>
          <w:rFonts w:asciiTheme="minorHAnsi" w:hAnsiTheme="minorHAnsi" w:cstheme="minorHAnsi"/>
        </w:rPr>
        <w:t>ni</w:t>
      </w:r>
      <w:r w:rsidRPr="00920634">
        <w:rPr>
          <w:rFonts w:asciiTheme="minorHAnsi" w:hAnsiTheme="minorHAnsi" w:cstheme="minorHAnsi"/>
        </w:rPr>
        <w:t xml:space="preserve"> na </w:t>
      </w:r>
      <w:r w:rsidR="001D48BF">
        <w:rPr>
          <w:rFonts w:asciiTheme="minorHAnsi" w:hAnsiTheme="minorHAnsi" w:cstheme="minorHAnsi"/>
        </w:rPr>
        <w:t xml:space="preserve">účty </w:t>
      </w:r>
      <w:r w:rsidRPr="00920634">
        <w:rPr>
          <w:rFonts w:asciiTheme="minorHAnsi" w:hAnsiTheme="minorHAnsi" w:cstheme="minorHAnsi"/>
        </w:rPr>
        <w:t>podmíněných pohledáv</w:t>
      </w:r>
      <w:r w:rsidR="00B3211E">
        <w:rPr>
          <w:rFonts w:asciiTheme="minorHAnsi" w:hAnsiTheme="minorHAnsi" w:cstheme="minorHAnsi"/>
        </w:rPr>
        <w:t>e</w:t>
      </w:r>
      <w:r w:rsidRPr="00920634">
        <w:rPr>
          <w:rFonts w:asciiTheme="minorHAnsi" w:hAnsiTheme="minorHAnsi" w:cstheme="minorHAnsi"/>
        </w:rPr>
        <w:t xml:space="preserve">k z předfinancování transferů, ale na účtech 913 – </w:t>
      </w:r>
      <w:r w:rsidRPr="00920634">
        <w:rPr>
          <w:rFonts w:asciiTheme="minorHAnsi" w:hAnsiTheme="minorHAnsi" w:cstheme="minorHAnsi"/>
          <w:i/>
        </w:rPr>
        <w:t xml:space="preserve">Krátkodobé podmíněné pohledávky ze zahraničních transferů </w:t>
      </w:r>
      <w:r w:rsidRPr="00920634">
        <w:rPr>
          <w:rFonts w:asciiTheme="minorHAnsi" w:hAnsiTheme="minorHAnsi" w:cstheme="minorHAnsi"/>
        </w:rPr>
        <w:t xml:space="preserve">a 671 – </w:t>
      </w:r>
      <w:r w:rsidRPr="00920634">
        <w:rPr>
          <w:rFonts w:asciiTheme="minorHAnsi" w:hAnsiTheme="minorHAnsi" w:cstheme="minorHAnsi"/>
          <w:i/>
        </w:rPr>
        <w:t xml:space="preserve">Výnosy vybraných ústředních vládních institucí z transferů. </w:t>
      </w:r>
      <w:r w:rsidRPr="00920634">
        <w:rPr>
          <w:rFonts w:asciiTheme="minorHAnsi" w:hAnsiTheme="minorHAnsi" w:cstheme="minorHAnsi"/>
        </w:rPr>
        <w:t xml:space="preserve">Vzhledem k tomu, že toto předfinancování u technické pomoci a </w:t>
      </w:r>
      <w:r w:rsidR="003F29A0" w:rsidRPr="00920634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 xml:space="preserve">ndividuálních projektů </w:t>
      </w:r>
      <w:r w:rsidR="001D48BF">
        <w:rPr>
          <w:rFonts w:asciiTheme="minorHAnsi" w:hAnsiTheme="minorHAnsi" w:cstheme="minorHAnsi"/>
        </w:rPr>
        <w:t xml:space="preserve">národních </w:t>
      </w:r>
      <w:r w:rsidRPr="00920634">
        <w:rPr>
          <w:rFonts w:asciiTheme="minorHAnsi" w:hAnsiTheme="minorHAnsi" w:cstheme="minorHAnsi"/>
        </w:rPr>
        <w:t xml:space="preserve">nevede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 xml:space="preserve">refundaci poskytnutých transferů, ale věcných výdajů spotřebovaných ze strany OSS </w:t>
      </w:r>
      <w:r w:rsidR="006C7D82">
        <w:rPr>
          <w:rFonts w:asciiTheme="minorHAnsi" w:hAnsiTheme="minorHAnsi" w:cstheme="minorHAnsi"/>
        </w:rPr>
        <w:t>coby</w:t>
      </w:r>
      <w:r w:rsidRPr="00920634">
        <w:rPr>
          <w:rFonts w:asciiTheme="minorHAnsi" w:hAnsiTheme="minorHAnsi" w:cstheme="minorHAnsi"/>
        </w:rPr>
        <w:t xml:space="preserve"> konečný</w:t>
      </w:r>
      <w:r w:rsidR="006C7D82">
        <w:rPr>
          <w:rFonts w:asciiTheme="minorHAnsi" w:hAnsiTheme="minorHAnsi" w:cstheme="minorHAnsi"/>
        </w:rPr>
        <w:t>ch</w:t>
      </w:r>
      <w:r w:rsidRPr="00920634">
        <w:rPr>
          <w:rFonts w:asciiTheme="minorHAnsi" w:hAnsiTheme="minorHAnsi" w:cstheme="minorHAnsi"/>
        </w:rPr>
        <w:t xml:space="preserve"> příjemc</w:t>
      </w:r>
      <w:r w:rsidR="006C7D82">
        <w:rPr>
          <w:rFonts w:asciiTheme="minorHAnsi" w:hAnsiTheme="minorHAnsi" w:cstheme="minorHAnsi"/>
        </w:rPr>
        <w:t>ů</w:t>
      </w:r>
      <w:r w:rsidRPr="00920634">
        <w:rPr>
          <w:rFonts w:asciiTheme="minorHAnsi" w:hAnsiTheme="minorHAnsi" w:cstheme="minorHAnsi"/>
        </w:rPr>
        <w:t xml:space="preserve"> dle předpisů EU, je dle názoru NKÚ postup zvolený MŠMT a MZe v souladu s obsahovým vymezením účtů stanoveným ve vyhlášce č.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410/2009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Sb.</w:t>
      </w:r>
      <w:r w:rsidR="00440ADB" w:rsidRPr="00920634" w:rsidDel="00440ADB">
        <w:rPr>
          <w:rFonts w:asciiTheme="minorHAnsi" w:hAnsiTheme="minorHAnsi" w:cstheme="minorHAnsi"/>
          <w:b/>
        </w:rPr>
        <w:t xml:space="preserve"> </w:t>
      </w:r>
    </w:p>
    <w:p w14:paraId="59FD4097" w14:textId="77777777" w:rsidR="000559E1" w:rsidRPr="00920634" w:rsidRDefault="000559E1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6E90653E" w14:textId="09D075F2" w:rsidR="00FB7DC9" w:rsidRPr="00920634" w:rsidRDefault="00997B4D" w:rsidP="008D4CD3">
      <w:pPr>
        <w:keepNext/>
        <w:jc w:val="both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</w:rPr>
        <w:lastRenderedPageBreak/>
        <w:t>4.</w:t>
      </w:r>
      <w:r w:rsidR="00994D9F" w:rsidRPr="00920634">
        <w:rPr>
          <w:rFonts w:asciiTheme="minorHAnsi" w:hAnsiTheme="minorHAnsi" w:cstheme="minorHAnsi"/>
          <w:b/>
          <w:i/>
        </w:rPr>
        <w:t>1</w:t>
      </w:r>
      <w:r w:rsidRPr="00920634">
        <w:rPr>
          <w:rFonts w:asciiTheme="minorHAnsi" w:hAnsiTheme="minorHAnsi" w:cstheme="minorHAnsi"/>
          <w:b/>
          <w:i/>
        </w:rPr>
        <w:t>.6</w:t>
      </w:r>
      <w:r w:rsidR="00FB7DC9" w:rsidRPr="00920634">
        <w:rPr>
          <w:rFonts w:asciiTheme="minorHAnsi" w:hAnsiTheme="minorHAnsi" w:cstheme="minorHAnsi"/>
          <w:b/>
          <w:i/>
        </w:rPr>
        <w:t xml:space="preserve"> Inventarizace záloh na poskytnuté transfery</w:t>
      </w:r>
    </w:p>
    <w:p w14:paraId="02D266EA" w14:textId="5C91C447" w:rsidR="00FB7DC9" w:rsidRDefault="008D073A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9F2B4C" w:rsidRPr="00920634">
        <w:rPr>
          <w:rFonts w:asciiTheme="minorHAnsi" w:hAnsiTheme="minorHAnsi" w:cstheme="minorHAnsi"/>
        </w:rPr>
        <w:t>rámci kontroly byla prověřována</w:t>
      </w:r>
      <w:r w:rsidR="00FB7DC9" w:rsidRPr="00920634">
        <w:rPr>
          <w:rFonts w:asciiTheme="minorHAnsi" w:hAnsiTheme="minorHAnsi" w:cstheme="minorHAnsi"/>
        </w:rPr>
        <w:t xml:space="preserve"> průkaznost zůstatků účtů souvisejících s prostředky ze zahraničí v účetních závěrkách MŠMT a MZe sestavených k 31. </w:t>
      </w:r>
      <w:r w:rsidR="00626C77" w:rsidRPr="00920634">
        <w:rPr>
          <w:rFonts w:asciiTheme="minorHAnsi" w:hAnsiTheme="minorHAnsi" w:cstheme="minorHAnsi"/>
        </w:rPr>
        <w:t>prosinc</w:t>
      </w:r>
      <w:r w:rsidR="009F2B4C" w:rsidRPr="00920634">
        <w:rPr>
          <w:rFonts w:asciiTheme="minorHAnsi" w:hAnsiTheme="minorHAnsi" w:cstheme="minorHAnsi"/>
        </w:rPr>
        <w:t>i</w:t>
      </w:r>
      <w:r w:rsidR="00FB7DC9" w:rsidRPr="00920634">
        <w:rPr>
          <w:rFonts w:asciiTheme="minorHAnsi" w:hAnsiTheme="minorHAnsi" w:cstheme="minorHAnsi"/>
        </w:rPr>
        <w:t xml:space="preserve"> 2014</w:t>
      </w:r>
      <w:r w:rsidR="009F2B4C" w:rsidRPr="00920634">
        <w:rPr>
          <w:rFonts w:asciiTheme="minorHAnsi" w:hAnsiTheme="minorHAnsi" w:cstheme="minorHAnsi"/>
        </w:rPr>
        <w:t xml:space="preserve"> </w:t>
      </w:r>
      <w:r w:rsidR="00FB7DC9" w:rsidRPr="00920634">
        <w:rPr>
          <w:rFonts w:asciiTheme="minorHAnsi" w:hAnsiTheme="minorHAnsi" w:cstheme="minorHAnsi"/>
        </w:rPr>
        <w:t>z hlediska možnosti identifikovat přehled konkrétních pohledávek a závazků tvořících součást příslušných zůstatků účetní</w:t>
      </w:r>
      <w:r w:rsidR="006C7D82">
        <w:rPr>
          <w:rFonts w:asciiTheme="minorHAnsi" w:hAnsiTheme="minorHAnsi" w:cstheme="minorHAnsi"/>
        </w:rPr>
        <w:t>ch</w:t>
      </w:r>
      <w:r w:rsidR="00FB7DC9" w:rsidRPr="00920634">
        <w:rPr>
          <w:rFonts w:asciiTheme="minorHAnsi" w:hAnsiTheme="minorHAnsi" w:cstheme="minorHAnsi"/>
        </w:rPr>
        <w:t xml:space="preserve"> závěr</w:t>
      </w:r>
      <w:r w:rsidR="006C7D82">
        <w:rPr>
          <w:rFonts w:asciiTheme="minorHAnsi" w:hAnsiTheme="minorHAnsi" w:cstheme="minorHAnsi"/>
        </w:rPr>
        <w:t>e</w:t>
      </w:r>
      <w:r w:rsidR="00FB7DC9" w:rsidRPr="00920634">
        <w:rPr>
          <w:rFonts w:asciiTheme="minorHAnsi" w:hAnsiTheme="minorHAnsi" w:cstheme="minorHAnsi"/>
        </w:rPr>
        <w:t>k, zejména na základě inventurních soupisů</w:t>
      </w:r>
      <w:r w:rsidR="00353BC9">
        <w:rPr>
          <w:rFonts w:asciiTheme="minorHAnsi" w:hAnsiTheme="minorHAnsi" w:cstheme="minorHAnsi"/>
        </w:rPr>
        <w:t xml:space="preserve"> </w:t>
      </w:r>
      <w:r w:rsidR="00FB7DC9" w:rsidRPr="00920634">
        <w:rPr>
          <w:rFonts w:asciiTheme="minorHAnsi" w:hAnsiTheme="minorHAnsi" w:cstheme="minorHAnsi"/>
        </w:rPr>
        <w:t>k 31.</w:t>
      </w:r>
      <w:r w:rsidR="00353BC9">
        <w:rPr>
          <w:rFonts w:asciiTheme="minorHAnsi" w:hAnsiTheme="minorHAnsi" w:cstheme="minorHAnsi"/>
        </w:rPr>
        <w:t> </w:t>
      </w:r>
      <w:r w:rsidR="00626C77" w:rsidRPr="00920634">
        <w:rPr>
          <w:rFonts w:asciiTheme="minorHAnsi" w:hAnsiTheme="minorHAnsi" w:cstheme="minorHAnsi"/>
        </w:rPr>
        <w:t>prosinc</w:t>
      </w:r>
      <w:r w:rsidR="008C5160" w:rsidRPr="00920634">
        <w:rPr>
          <w:rFonts w:asciiTheme="minorHAnsi" w:hAnsiTheme="minorHAnsi" w:cstheme="minorHAnsi"/>
        </w:rPr>
        <w:t>i</w:t>
      </w:r>
      <w:r w:rsidR="00353BC9">
        <w:rPr>
          <w:rFonts w:asciiTheme="minorHAnsi" w:hAnsiTheme="minorHAnsi" w:cstheme="minorHAnsi"/>
        </w:rPr>
        <w:t> </w:t>
      </w:r>
      <w:r w:rsidR="00FB7DC9" w:rsidRPr="00920634">
        <w:rPr>
          <w:rFonts w:asciiTheme="minorHAnsi" w:hAnsiTheme="minorHAnsi" w:cstheme="minorHAnsi"/>
        </w:rPr>
        <w:t>2014.</w:t>
      </w:r>
    </w:p>
    <w:p w14:paraId="4E4EA293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16914BAA" w14:textId="7B5B83B6" w:rsidR="00FB7DC9" w:rsidRPr="00920634" w:rsidRDefault="00FB7DC9" w:rsidP="00114439">
      <w:pPr>
        <w:keepNext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případě MŠMT byly zjištěny </w:t>
      </w:r>
      <w:r w:rsidR="000F6AD8">
        <w:rPr>
          <w:rFonts w:asciiTheme="minorHAnsi" w:hAnsiTheme="minorHAnsi" w:cstheme="minorHAnsi"/>
        </w:rPr>
        <w:t>nedostatky</w:t>
      </w:r>
      <w:r w:rsidR="000F6AD8" w:rsidRPr="00920634">
        <w:rPr>
          <w:rFonts w:asciiTheme="minorHAnsi" w:hAnsiTheme="minorHAnsi" w:cstheme="minorHAnsi"/>
        </w:rPr>
        <w:t xml:space="preserve"> </w:t>
      </w:r>
      <w:r w:rsidR="00957794">
        <w:rPr>
          <w:rFonts w:asciiTheme="minorHAnsi" w:hAnsiTheme="minorHAnsi" w:cstheme="minorHAnsi"/>
        </w:rPr>
        <w:t>související s</w:t>
      </w:r>
      <w:r w:rsidRPr="00920634">
        <w:rPr>
          <w:rFonts w:asciiTheme="minorHAnsi" w:hAnsiTheme="minorHAnsi" w:cstheme="minorHAnsi"/>
        </w:rPr>
        <w:t> přehlednost</w:t>
      </w:r>
      <w:r w:rsidR="00957794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účetnictví o těchto transferech</w:t>
      </w:r>
      <w:r w:rsidR="00132087" w:rsidRPr="00920634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s prokazováním skutečnost</w:t>
      </w:r>
      <w:r w:rsidR="00957794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</w:t>
      </w:r>
      <w:r w:rsidR="0041506D" w:rsidRPr="00920634">
        <w:rPr>
          <w:rFonts w:asciiTheme="minorHAnsi" w:hAnsiTheme="minorHAnsi" w:cstheme="minorHAnsi"/>
        </w:rPr>
        <w:t>zobrazen</w:t>
      </w:r>
      <w:r w:rsidR="00957794">
        <w:rPr>
          <w:rFonts w:asciiTheme="minorHAnsi" w:hAnsiTheme="minorHAnsi" w:cstheme="minorHAnsi"/>
        </w:rPr>
        <w:t>ých</w:t>
      </w:r>
      <w:r w:rsidR="00F22EB6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v účetnictví a </w:t>
      </w:r>
      <w:r w:rsidR="008D073A">
        <w:rPr>
          <w:rFonts w:asciiTheme="minorHAnsi" w:hAnsiTheme="minorHAnsi" w:cstheme="minorHAnsi"/>
        </w:rPr>
        <w:t>s </w:t>
      </w:r>
      <w:r w:rsidRPr="00920634">
        <w:rPr>
          <w:rFonts w:asciiTheme="minorHAnsi" w:hAnsiTheme="minorHAnsi" w:cstheme="minorHAnsi"/>
        </w:rPr>
        <w:t>jejich prověřením v rámci inventarizace za rok 2014</w:t>
      </w:r>
      <w:r w:rsidR="000F6AD8">
        <w:rPr>
          <w:rFonts w:asciiTheme="minorHAnsi" w:hAnsiTheme="minorHAnsi" w:cstheme="minorHAnsi"/>
        </w:rPr>
        <w:t>, např.</w:t>
      </w:r>
      <w:r w:rsidRPr="00920634">
        <w:rPr>
          <w:rFonts w:asciiTheme="minorHAnsi" w:hAnsiTheme="minorHAnsi" w:cstheme="minorHAnsi"/>
        </w:rPr>
        <w:t>:</w:t>
      </w:r>
    </w:p>
    <w:p w14:paraId="5F106FE7" w14:textId="3BD8F13F" w:rsidR="00FB7DC9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projekt finančně vypořádaný a již vyúčtovaný byl v účetnictví stále </w:t>
      </w:r>
      <w:r w:rsidR="0041506D" w:rsidRPr="00920634">
        <w:rPr>
          <w:rFonts w:asciiTheme="minorHAnsi" w:hAnsiTheme="minorHAnsi" w:cstheme="minorHAnsi"/>
        </w:rPr>
        <w:t>veden</w:t>
      </w:r>
      <w:r w:rsidRPr="00920634">
        <w:rPr>
          <w:rFonts w:asciiTheme="minorHAnsi" w:hAnsiTheme="minorHAnsi" w:cstheme="minorHAnsi"/>
        </w:rPr>
        <w:t xml:space="preserve"> na účtu záloh z poskytnutých transferů,</w:t>
      </w:r>
    </w:p>
    <w:p w14:paraId="2E77BC61" w14:textId="61769AA6" w:rsidR="00132087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rámci finančních oprav byla částka plošné korekce OP VK přiřazena i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>projektu, který MŠMT nefinancovalo,</w:t>
      </w:r>
    </w:p>
    <w:p w14:paraId="21ACB0B9" w14:textId="619750FD" w:rsidR="00132087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konfirmaci </w:t>
      </w:r>
      <w:r w:rsidR="00957794" w:rsidRPr="00920634">
        <w:rPr>
          <w:rFonts w:asciiTheme="minorHAnsi" w:hAnsiTheme="minorHAnsi" w:cstheme="minorHAnsi"/>
        </w:rPr>
        <w:t xml:space="preserve">záloh </w:t>
      </w:r>
      <w:r w:rsidRPr="00920634">
        <w:rPr>
          <w:rFonts w:asciiTheme="minorHAnsi" w:hAnsiTheme="minorHAnsi" w:cstheme="minorHAnsi"/>
        </w:rPr>
        <w:t>poskytnutých protistran</w:t>
      </w:r>
      <w:r w:rsidR="00957794">
        <w:rPr>
          <w:rFonts w:asciiTheme="minorHAnsi" w:hAnsiTheme="minorHAnsi" w:cstheme="minorHAnsi"/>
        </w:rPr>
        <w:t>ám</w:t>
      </w:r>
      <w:r w:rsidRPr="00920634">
        <w:rPr>
          <w:rFonts w:asciiTheme="minorHAnsi" w:hAnsiTheme="minorHAnsi" w:cstheme="minorHAnsi"/>
        </w:rPr>
        <w:t xml:space="preserve"> provádělo MŠMT při inventarizaci na základě žádost</w:t>
      </w:r>
      <w:r w:rsidR="00957794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o odsouhlasení </w:t>
      </w:r>
      <w:r w:rsidR="00D26A4C" w:rsidRPr="00920634">
        <w:rPr>
          <w:rFonts w:asciiTheme="minorHAnsi" w:hAnsiTheme="minorHAnsi" w:cstheme="minorHAnsi"/>
        </w:rPr>
        <w:t>záloh</w:t>
      </w:r>
      <w:r w:rsidR="00D26A4C">
        <w:rPr>
          <w:rFonts w:asciiTheme="minorHAnsi" w:hAnsiTheme="minorHAnsi" w:cstheme="minorHAnsi"/>
        </w:rPr>
        <w:t xml:space="preserve">ových </w:t>
      </w:r>
      <w:r w:rsidR="00957794" w:rsidRPr="00920634">
        <w:rPr>
          <w:rFonts w:asciiTheme="minorHAnsi" w:hAnsiTheme="minorHAnsi" w:cstheme="minorHAnsi"/>
        </w:rPr>
        <w:t xml:space="preserve">plateb provedených </w:t>
      </w:r>
      <w:r w:rsidR="0041506D" w:rsidRPr="00920634">
        <w:rPr>
          <w:rFonts w:asciiTheme="minorHAnsi" w:hAnsiTheme="minorHAnsi" w:cstheme="minorHAnsi"/>
        </w:rPr>
        <w:t>v daném roce</w:t>
      </w:r>
      <w:r w:rsidRPr="00920634">
        <w:rPr>
          <w:rFonts w:asciiTheme="minorHAnsi" w:hAnsiTheme="minorHAnsi" w:cstheme="minorHAnsi"/>
        </w:rPr>
        <w:t xml:space="preserve">, nikoli </w:t>
      </w:r>
      <w:r w:rsidR="00957794">
        <w:rPr>
          <w:rFonts w:asciiTheme="minorHAnsi" w:hAnsiTheme="minorHAnsi" w:cstheme="minorHAnsi"/>
        </w:rPr>
        <w:t xml:space="preserve">na základě </w:t>
      </w:r>
      <w:r w:rsidRPr="00920634">
        <w:rPr>
          <w:rFonts w:asciiTheme="minorHAnsi" w:hAnsiTheme="minorHAnsi" w:cstheme="minorHAnsi"/>
        </w:rPr>
        <w:t>stavu záloh</w:t>
      </w:r>
      <w:r w:rsidR="0041506D" w:rsidRPr="00920634">
        <w:rPr>
          <w:rFonts w:asciiTheme="minorHAnsi" w:hAnsiTheme="minorHAnsi" w:cstheme="minorHAnsi"/>
        </w:rPr>
        <w:t xml:space="preserve"> k 31. prosinci 2014</w:t>
      </w:r>
      <w:r w:rsidRPr="00920634">
        <w:rPr>
          <w:rFonts w:asciiTheme="minorHAnsi" w:hAnsiTheme="minorHAnsi" w:cstheme="minorHAnsi"/>
        </w:rPr>
        <w:t>.</w:t>
      </w:r>
      <w:r w:rsidR="00132087" w:rsidRPr="00920634">
        <w:rPr>
          <w:rFonts w:asciiTheme="minorHAnsi" w:hAnsiTheme="minorHAnsi" w:cstheme="minorHAnsi"/>
        </w:rPr>
        <w:t xml:space="preserve"> </w:t>
      </w:r>
    </w:p>
    <w:p w14:paraId="2D290A38" w14:textId="77777777" w:rsidR="00353BC9" w:rsidRDefault="00353BC9" w:rsidP="00114439">
      <w:pPr>
        <w:jc w:val="both"/>
        <w:rPr>
          <w:rFonts w:asciiTheme="minorHAnsi" w:hAnsiTheme="minorHAnsi" w:cstheme="minorHAnsi"/>
          <w:b/>
        </w:rPr>
      </w:pPr>
    </w:p>
    <w:p w14:paraId="629208C3" w14:textId="74BB8FFE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Systém vedení účetnictví ve vztahu k zálohám </w:t>
      </w:r>
      <w:r w:rsidR="00E92382" w:rsidRPr="00920634">
        <w:rPr>
          <w:rFonts w:asciiTheme="minorHAnsi" w:hAnsiTheme="minorHAnsi" w:cstheme="minorHAnsi"/>
          <w:b/>
        </w:rPr>
        <w:t>vykázaným</w:t>
      </w:r>
      <w:r w:rsidRPr="00920634">
        <w:rPr>
          <w:rFonts w:asciiTheme="minorHAnsi" w:hAnsiTheme="minorHAnsi" w:cstheme="minorHAnsi"/>
          <w:b/>
        </w:rPr>
        <w:t xml:space="preserve"> v rámci zůstatku účtu</w:t>
      </w:r>
      <w:r w:rsidR="00ED3BE6">
        <w:rPr>
          <w:rFonts w:asciiTheme="minorHAnsi" w:hAnsiTheme="minorHAnsi" w:cstheme="minorHAnsi"/>
          <w:b/>
        </w:rPr>
        <w:br/>
      </w:r>
      <w:r w:rsidRPr="00920634">
        <w:rPr>
          <w:rFonts w:asciiTheme="minorHAnsi" w:hAnsiTheme="minorHAnsi" w:cstheme="minorHAnsi"/>
          <w:b/>
        </w:rPr>
        <w:t xml:space="preserve">471 – </w:t>
      </w:r>
      <w:r w:rsidRPr="00920634">
        <w:rPr>
          <w:rFonts w:asciiTheme="minorHAnsi" w:hAnsiTheme="minorHAnsi" w:cstheme="minorHAnsi"/>
          <w:b/>
          <w:i/>
        </w:rPr>
        <w:t>Dlouhodobé poskytnuté zálohy na transfery</w:t>
      </w:r>
      <w:r w:rsidRPr="00920634">
        <w:rPr>
          <w:rFonts w:asciiTheme="minorHAnsi" w:hAnsiTheme="minorHAnsi" w:cstheme="minorHAnsi"/>
          <w:b/>
        </w:rPr>
        <w:t xml:space="preserve"> nebyl na MŠMT nastaven přehledně</w:t>
      </w:r>
      <w:r w:rsidR="00F22EB6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>a</w:t>
      </w:r>
      <w:r w:rsidR="00920634" w:rsidRPr="00920634">
        <w:rPr>
          <w:rFonts w:asciiTheme="minorHAnsi" w:hAnsiTheme="minorHAnsi" w:cstheme="minorHAnsi"/>
          <w:b/>
        </w:rPr>
        <w:t> </w:t>
      </w:r>
      <w:r w:rsidR="00E92382" w:rsidRPr="00920634">
        <w:rPr>
          <w:rFonts w:asciiTheme="minorHAnsi" w:hAnsiTheme="minorHAnsi" w:cstheme="minorHAnsi"/>
          <w:b/>
        </w:rPr>
        <w:t>neobsahoval</w:t>
      </w:r>
      <w:r w:rsidRPr="00920634">
        <w:rPr>
          <w:rFonts w:asciiTheme="minorHAnsi" w:hAnsiTheme="minorHAnsi" w:cstheme="minorHAnsi"/>
          <w:b/>
        </w:rPr>
        <w:t xml:space="preserve"> </w:t>
      </w:r>
      <w:r w:rsidR="00804781">
        <w:rPr>
          <w:rFonts w:asciiTheme="minorHAnsi" w:hAnsiTheme="minorHAnsi" w:cstheme="minorHAnsi"/>
          <w:b/>
        </w:rPr>
        <w:t>vhodné</w:t>
      </w:r>
      <w:r w:rsidR="00804781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>kontrolní prvky</w:t>
      </w:r>
      <w:r w:rsidR="00E92382" w:rsidRPr="00920634">
        <w:rPr>
          <w:rFonts w:asciiTheme="minorHAnsi" w:hAnsiTheme="minorHAnsi" w:cstheme="minorHAnsi"/>
          <w:b/>
        </w:rPr>
        <w:t xml:space="preserve"> umožňující identifikovat</w:t>
      </w:r>
      <w:r w:rsidRPr="00920634">
        <w:rPr>
          <w:rFonts w:asciiTheme="minorHAnsi" w:hAnsiTheme="minorHAnsi" w:cstheme="minorHAnsi"/>
          <w:b/>
        </w:rPr>
        <w:t xml:space="preserve"> </w:t>
      </w:r>
      <w:r w:rsidR="00E92382" w:rsidRPr="00920634">
        <w:rPr>
          <w:rFonts w:asciiTheme="minorHAnsi" w:hAnsiTheme="minorHAnsi" w:cstheme="minorHAnsi"/>
          <w:b/>
        </w:rPr>
        <w:t>nesprávnost.</w:t>
      </w:r>
    </w:p>
    <w:p w14:paraId="668321AC" w14:textId="77777777" w:rsidR="00FB7DC9" w:rsidRPr="00920634" w:rsidRDefault="00FB7DC9" w:rsidP="00114439">
      <w:pPr>
        <w:spacing w:line="20" w:lineRule="atLeast"/>
        <w:jc w:val="both"/>
        <w:rPr>
          <w:rFonts w:asciiTheme="minorHAnsi" w:hAnsiTheme="minorHAnsi" w:cstheme="minorHAnsi"/>
          <w:b/>
        </w:rPr>
      </w:pPr>
    </w:p>
    <w:p w14:paraId="5E3FFC91" w14:textId="6AC3337C" w:rsidR="00FB7DC9" w:rsidRPr="00920634" w:rsidRDefault="00997B4D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</w:t>
      </w:r>
      <w:r w:rsidR="00994D9F" w:rsidRPr="00920634">
        <w:rPr>
          <w:rFonts w:asciiTheme="minorHAnsi" w:hAnsiTheme="minorHAnsi" w:cstheme="minorHAnsi"/>
          <w:b/>
          <w:i/>
          <w:sz w:val="24"/>
        </w:rPr>
        <w:t>1</w:t>
      </w:r>
      <w:r w:rsidRPr="00920634">
        <w:rPr>
          <w:rFonts w:asciiTheme="minorHAnsi" w:hAnsiTheme="minorHAnsi" w:cstheme="minorHAnsi"/>
          <w:b/>
          <w:i/>
          <w:sz w:val="24"/>
        </w:rPr>
        <w:t>.7</w:t>
      </w:r>
      <w:r w:rsidR="00F22EB6" w:rsidRPr="00920634">
        <w:rPr>
          <w:rFonts w:asciiTheme="minorHAnsi" w:hAnsiTheme="minorHAnsi" w:cstheme="minorHAnsi"/>
          <w:b/>
          <w:i/>
          <w:sz w:val="24"/>
        </w:rPr>
        <w:t xml:space="preserve"> </w:t>
      </w:r>
      <w:r w:rsidR="00FB7DC9" w:rsidRPr="00920634">
        <w:rPr>
          <w:rFonts w:asciiTheme="minorHAnsi" w:hAnsiTheme="minorHAnsi" w:cstheme="minorHAnsi"/>
          <w:b/>
          <w:i/>
          <w:sz w:val="24"/>
        </w:rPr>
        <w:t>Identifikace zůstatků pohledávek a závazků z titulu změny účetní</w:t>
      </w:r>
      <w:r w:rsidR="00F22EB6" w:rsidRPr="00920634">
        <w:rPr>
          <w:rFonts w:asciiTheme="minorHAnsi" w:hAnsiTheme="minorHAnsi" w:cstheme="minorHAnsi"/>
          <w:b/>
          <w:i/>
          <w:sz w:val="24"/>
        </w:rPr>
        <w:t xml:space="preserve"> </w:t>
      </w:r>
      <w:r w:rsidR="0041506D" w:rsidRPr="00920634">
        <w:rPr>
          <w:rFonts w:asciiTheme="minorHAnsi" w:hAnsiTheme="minorHAnsi" w:cstheme="minorHAnsi"/>
          <w:b/>
          <w:i/>
          <w:sz w:val="24"/>
        </w:rPr>
        <w:t>regulace</w:t>
      </w:r>
    </w:p>
    <w:p w14:paraId="5D5272B2" w14:textId="050AE536" w:rsidR="00FB7DC9" w:rsidRDefault="00FB7D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Z novely vyhlášky č. 410/2009 Sb. a 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s účinnost</w:t>
      </w:r>
      <w:r w:rsidR="00D26A4C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od 1. </w:t>
      </w:r>
      <w:r w:rsidR="00626C77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 vyplynula pro vybrané účetní jednotky povinnost převést k 1. </w:t>
      </w:r>
      <w:r w:rsidR="00626C77" w:rsidRPr="00920634">
        <w:rPr>
          <w:rFonts w:asciiTheme="minorHAnsi" w:hAnsiTheme="minorHAnsi" w:cstheme="minorHAnsi"/>
        </w:rPr>
        <w:t>lednu</w:t>
      </w:r>
      <w:r w:rsidRPr="00920634">
        <w:rPr>
          <w:rFonts w:asciiTheme="minorHAnsi" w:hAnsiTheme="minorHAnsi" w:cstheme="minorHAnsi"/>
        </w:rPr>
        <w:t xml:space="preserve"> 2015 zůstatky některých účtů vykázaných v účetní závěrce sestavené k 31. </w:t>
      </w:r>
      <w:r w:rsidR="00626C77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 na nové účty, neboť původní účty byly zrušeny, nahrazeny nebo účetní jednotka v souvislosti s úpravou ČÚS</w:t>
      </w:r>
      <w:r w:rsidR="006051DF">
        <w:rPr>
          <w:rFonts w:asciiTheme="minorHAnsi" w:hAnsiTheme="minorHAnsi" w:cstheme="minorHAnsi"/>
        </w:rPr>
        <w:br/>
      </w:r>
      <w:r w:rsidRPr="00920634">
        <w:rPr>
          <w:rFonts w:asciiTheme="minorHAnsi" w:hAnsiTheme="minorHAnsi" w:cstheme="minorHAnsi"/>
        </w:rPr>
        <w:t xml:space="preserve">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 xml:space="preserve"> změnila svou roli při poskytování transferů (případ MŠMT).</w:t>
      </w:r>
    </w:p>
    <w:p w14:paraId="1A79D057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C084B37" w14:textId="6C865D98" w:rsidR="00FB7DC9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MŠMT i MZe provedl</w:t>
      </w:r>
      <w:r w:rsidR="00D26A4C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</w:t>
      </w:r>
      <w:r w:rsidR="00457874" w:rsidRPr="00920634">
        <w:rPr>
          <w:rFonts w:asciiTheme="minorHAnsi" w:hAnsiTheme="minorHAnsi" w:cstheme="minorHAnsi"/>
        </w:rPr>
        <w:t>do</w:t>
      </w:r>
      <w:r w:rsidR="00D26A4C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dat</w:t>
      </w:r>
      <w:r w:rsidR="00457874" w:rsidRPr="00920634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sestavení tzv. mezitímní účetní závěrky k 31. </w:t>
      </w:r>
      <w:r w:rsidR="00626C77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 převod</w:t>
      </w:r>
      <w:r w:rsidR="00D26A4C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rozvahových i podrozvahových účtů, u nichž znal</w:t>
      </w:r>
      <w:r w:rsidR="00D26A4C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výši převáděného zůstatku k 31.</w:t>
      </w:r>
      <w:r w:rsidR="00920634" w:rsidRPr="00920634">
        <w:rPr>
          <w:rFonts w:asciiTheme="minorHAnsi" w:hAnsiTheme="minorHAnsi" w:cstheme="minorHAnsi"/>
        </w:rPr>
        <w:t> </w:t>
      </w:r>
      <w:r w:rsidR="00626C77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 i výši nového zůstatku k 1. </w:t>
      </w:r>
      <w:r w:rsidR="00626C77" w:rsidRPr="00920634">
        <w:rPr>
          <w:rFonts w:asciiTheme="minorHAnsi" w:hAnsiTheme="minorHAnsi" w:cstheme="minorHAnsi"/>
        </w:rPr>
        <w:t>ledn</w:t>
      </w:r>
      <w:r w:rsidR="00E92382" w:rsidRPr="00920634">
        <w:rPr>
          <w:rFonts w:asciiTheme="minorHAnsi" w:hAnsiTheme="minorHAnsi" w:cstheme="minorHAnsi"/>
        </w:rPr>
        <w:t>u</w:t>
      </w:r>
      <w:r w:rsidRPr="00920634">
        <w:rPr>
          <w:rFonts w:asciiTheme="minorHAnsi" w:hAnsiTheme="minorHAnsi" w:cstheme="minorHAnsi"/>
        </w:rPr>
        <w:t xml:space="preserve"> 2015, </w:t>
      </w:r>
      <w:r w:rsidR="00D26A4C">
        <w:rPr>
          <w:rFonts w:asciiTheme="minorHAnsi" w:hAnsiTheme="minorHAnsi" w:cstheme="minorHAnsi"/>
        </w:rPr>
        <w:t xml:space="preserve">a to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souladu s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ustanoveními vyhlášky č. 410/2009 Sb.</w:t>
      </w:r>
    </w:p>
    <w:p w14:paraId="4E3A4819" w14:textId="77777777" w:rsidR="00353BC9" w:rsidRPr="00920634" w:rsidRDefault="00353BC9" w:rsidP="00114439">
      <w:pPr>
        <w:jc w:val="both"/>
        <w:rPr>
          <w:rFonts w:asciiTheme="minorHAnsi" w:hAnsiTheme="minorHAnsi" w:cstheme="minorHAnsi"/>
        </w:rPr>
      </w:pPr>
    </w:p>
    <w:p w14:paraId="1464AA0D" w14:textId="7D127CB7" w:rsidR="00FB7DC9" w:rsidRDefault="00FB7D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Některé údaje se však v</w:t>
      </w:r>
      <w:r w:rsidR="006D5D76" w:rsidRPr="00920634">
        <w:rPr>
          <w:rFonts w:asciiTheme="minorHAnsi" w:hAnsiTheme="minorHAnsi" w:cstheme="minorHAnsi"/>
        </w:rPr>
        <w:t> tzv.</w:t>
      </w:r>
      <w:r w:rsidR="008D073A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mezitímní účetní závěrce sestavené k 31. </w:t>
      </w:r>
      <w:r w:rsidR="00626C77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 měly identifikovat a ve srovnání s účetní závěrkou </w:t>
      </w:r>
      <w:r w:rsidR="008D073A">
        <w:rPr>
          <w:rFonts w:asciiTheme="minorHAnsi" w:hAnsiTheme="minorHAnsi" w:cstheme="minorHAnsi"/>
        </w:rPr>
        <w:t>k </w:t>
      </w:r>
      <w:r w:rsidRPr="00920634">
        <w:rPr>
          <w:rFonts w:asciiTheme="minorHAnsi" w:hAnsiTheme="minorHAnsi" w:cstheme="minorHAnsi"/>
        </w:rPr>
        <w:t xml:space="preserve">31. </w:t>
      </w:r>
      <w:r w:rsidR="00626C77" w:rsidRPr="00920634">
        <w:rPr>
          <w:rFonts w:asciiTheme="minorHAnsi" w:hAnsiTheme="minorHAnsi" w:cstheme="minorHAnsi"/>
        </w:rPr>
        <w:t xml:space="preserve">prosinci </w:t>
      </w:r>
      <w:r w:rsidRPr="00920634">
        <w:rPr>
          <w:rFonts w:asciiTheme="minorHAnsi" w:hAnsiTheme="minorHAnsi" w:cstheme="minorHAnsi"/>
        </w:rPr>
        <w:t>2014 vykázat nově</w:t>
      </w:r>
      <w:r w:rsidR="00B05967" w:rsidRPr="00920634">
        <w:rPr>
          <w:rFonts w:asciiTheme="minorHAnsi" w:hAnsiTheme="minorHAnsi" w:cstheme="minorHAnsi"/>
        </w:rPr>
        <w:t>, neboť představují nové účetní případy</w:t>
      </w:r>
      <w:r w:rsidR="00343DDC">
        <w:rPr>
          <w:rFonts w:asciiTheme="minorHAnsi" w:hAnsiTheme="minorHAnsi" w:cstheme="minorHAnsi"/>
        </w:rPr>
        <w:t>, a to v souvislosti se změnou</w:t>
      </w:r>
      <w:r w:rsidR="00616515" w:rsidRPr="00920634">
        <w:rPr>
          <w:rFonts w:asciiTheme="minorHAnsi" w:hAnsiTheme="minorHAnsi" w:cstheme="minorHAnsi"/>
        </w:rPr>
        <w:t xml:space="preserve"> role účetní jednotky</w:t>
      </w:r>
      <w:r w:rsidRPr="00920634">
        <w:rPr>
          <w:rFonts w:asciiTheme="minorHAnsi" w:hAnsiTheme="minorHAnsi" w:cstheme="minorHAnsi"/>
        </w:rPr>
        <w:t>. MŠMT provedlo poměrně rozsáhlou identifikaci nových pohledávek a závazků</w:t>
      </w:r>
      <w:r w:rsidR="00132087" w:rsidRPr="00920634">
        <w:rPr>
          <w:rFonts w:asciiTheme="minorHAnsi" w:hAnsiTheme="minorHAnsi" w:cstheme="minorHAnsi"/>
        </w:rPr>
        <w:t xml:space="preserve"> </w:t>
      </w:r>
      <w:r w:rsidR="000559E1" w:rsidRPr="00920634">
        <w:rPr>
          <w:rFonts w:asciiTheme="minorHAnsi" w:hAnsiTheme="minorHAnsi" w:cstheme="minorHAnsi"/>
        </w:rPr>
        <w:t xml:space="preserve">a v roce 2015 </w:t>
      </w:r>
      <w:r w:rsidRPr="00920634">
        <w:rPr>
          <w:rFonts w:asciiTheme="minorHAnsi" w:hAnsiTheme="minorHAnsi" w:cstheme="minorHAnsi"/>
        </w:rPr>
        <w:t>z tohoto titulu</w:t>
      </w:r>
      <w:r w:rsidR="00EC4D5A" w:rsidRPr="00920634">
        <w:rPr>
          <w:rFonts w:asciiTheme="minorHAnsi" w:hAnsiTheme="minorHAnsi" w:cstheme="minorHAnsi"/>
        </w:rPr>
        <w:t xml:space="preserve"> </w:t>
      </w:r>
      <w:r w:rsidR="00616515" w:rsidRPr="00920634">
        <w:rPr>
          <w:rFonts w:asciiTheme="minorHAnsi" w:hAnsiTheme="minorHAnsi" w:cstheme="minorHAnsi"/>
        </w:rPr>
        <w:t>zaúčtovalo více než 54 mld. Kč</w:t>
      </w:r>
      <w:r w:rsidRPr="00920634">
        <w:rPr>
          <w:rFonts w:asciiTheme="minorHAnsi" w:hAnsiTheme="minorHAnsi" w:cstheme="minorHAnsi"/>
        </w:rPr>
        <w:t xml:space="preserve"> </w:t>
      </w:r>
      <w:r w:rsidR="00B05967" w:rsidRPr="00920634">
        <w:rPr>
          <w:rFonts w:asciiTheme="minorHAnsi" w:hAnsiTheme="minorHAnsi" w:cstheme="minorHAnsi"/>
        </w:rPr>
        <w:t xml:space="preserve">nově identifikovaných </w:t>
      </w:r>
      <w:r w:rsidRPr="00920634">
        <w:rPr>
          <w:rFonts w:asciiTheme="minorHAnsi" w:hAnsiTheme="minorHAnsi" w:cstheme="minorHAnsi"/>
        </w:rPr>
        <w:t>poskytnutých záloh na transfery a 65 mld. Kč závazků charakteru dohadných účtů pasivních.</w:t>
      </w:r>
    </w:p>
    <w:p w14:paraId="2CECC8E7" w14:textId="77777777" w:rsidR="00353BC9" w:rsidRPr="00920634" w:rsidRDefault="00353BC9" w:rsidP="001144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615C8A9" w14:textId="5D1E336B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však do data sestavení tzv. mezitímní účetní závěrky k 31. </w:t>
      </w:r>
      <w:r w:rsidR="00626C77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 </w:t>
      </w:r>
      <w:r w:rsidR="00EC4D5A" w:rsidRPr="00920634">
        <w:rPr>
          <w:rFonts w:asciiTheme="minorHAnsi" w:hAnsiTheme="minorHAnsi" w:cstheme="minorHAnsi"/>
        </w:rPr>
        <w:t>ne</w:t>
      </w:r>
      <w:r w:rsidRPr="00920634">
        <w:rPr>
          <w:rFonts w:asciiTheme="minorHAnsi" w:hAnsiTheme="minorHAnsi" w:cstheme="minorHAnsi"/>
        </w:rPr>
        <w:t>identifikova</w:t>
      </w:r>
      <w:r w:rsidR="00EC4D5A" w:rsidRPr="00920634">
        <w:rPr>
          <w:rFonts w:asciiTheme="minorHAnsi" w:hAnsiTheme="minorHAnsi" w:cstheme="minorHAnsi"/>
        </w:rPr>
        <w:t>lo</w:t>
      </w:r>
      <w:r w:rsidRPr="00920634">
        <w:rPr>
          <w:rFonts w:asciiTheme="minorHAnsi" w:hAnsiTheme="minorHAnsi" w:cstheme="minorHAnsi"/>
        </w:rPr>
        <w:t xml:space="preserve"> a účetně </w:t>
      </w:r>
      <w:r w:rsidR="00EC4D5A" w:rsidRPr="00920634">
        <w:rPr>
          <w:rFonts w:asciiTheme="minorHAnsi" w:hAnsiTheme="minorHAnsi" w:cstheme="minorHAnsi"/>
        </w:rPr>
        <w:t>ne</w:t>
      </w:r>
      <w:r w:rsidRPr="00920634">
        <w:rPr>
          <w:rFonts w:asciiTheme="minorHAnsi" w:hAnsiTheme="minorHAnsi" w:cstheme="minorHAnsi"/>
        </w:rPr>
        <w:t>zachyti</w:t>
      </w:r>
      <w:r w:rsidR="00EC4D5A" w:rsidRPr="00920634">
        <w:rPr>
          <w:rFonts w:asciiTheme="minorHAnsi" w:hAnsiTheme="minorHAnsi" w:cstheme="minorHAnsi"/>
        </w:rPr>
        <w:t>lo</w:t>
      </w:r>
      <w:r w:rsidRPr="00920634">
        <w:rPr>
          <w:rFonts w:asciiTheme="minorHAnsi" w:hAnsiTheme="minorHAnsi" w:cstheme="minorHAnsi"/>
        </w:rPr>
        <w:t xml:space="preserve"> všechny účetní případy</w:t>
      </w:r>
      <w:r w:rsidR="00EC4D5A" w:rsidRPr="00920634">
        <w:rPr>
          <w:rFonts w:asciiTheme="minorHAnsi" w:hAnsiTheme="minorHAnsi" w:cstheme="minorHAnsi"/>
        </w:rPr>
        <w:t>, a to</w:t>
      </w:r>
      <w:r w:rsidRPr="00920634">
        <w:rPr>
          <w:rFonts w:asciiTheme="minorHAnsi" w:hAnsiTheme="minorHAnsi" w:cstheme="minorHAnsi"/>
        </w:rPr>
        <w:t>:</w:t>
      </w:r>
    </w:p>
    <w:p w14:paraId="3A2A8767" w14:textId="7CA51AF6" w:rsidR="00EC4D5A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pohledávk</w:t>
      </w:r>
      <w:r w:rsidR="00EC4D5A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na účt</w:t>
      </w:r>
      <w:r w:rsidR="00EC4D5A" w:rsidRPr="00920634">
        <w:rPr>
          <w:rFonts w:asciiTheme="minorHAnsi" w:hAnsiTheme="minorHAnsi" w:cstheme="minorHAnsi"/>
        </w:rPr>
        <w:t xml:space="preserve">ech </w:t>
      </w:r>
      <w:r w:rsidRPr="00920634">
        <w:rPr>
          <w:rFonts w:asciiTheme="minorHAnsi" w:hAnsiTheme="minorHAnsi" w:cstheme="minorHAnsi"/>
        </w:rPr>
        <w:t xml:space="preserve">951 – </w:t>
      </w:r>
      <w:r w:rsidRPr="00920634">
        <w:rPr>
          <w:rFonts w:asciiTheme="minorHAnsi" w:hAnsiTheme="minorHAnsi" w:cstheme="minorHAnsi"/>
          <w:i/>
        </w:rPr>
        <w:t>Dlouhodobé podmíněné pohledávky z předfinancování transferů</w:t>
      </w:r>
      <w:r w:rsidR="00EC4D5A" w:rsidRPr="00920634">
        <w:rPr>
          <w:rFonts w:asciiTheme="minorHAnsi" w:hAnsiTheme="minorHAnsi" w:cstheme="minorHAnsi"/>
          <w:i/>
        </w:rPr>
        <w:t xml:space="preserve"> </w:t>
      </w:r>
      <w:r w:rsidR="00EC4D5A" w:rsidRPr="00920634">
        <w:rPr>
          <w:rFonts w:asciiTheme="minorHAnsi" w:hAnsiTheme="minorHAnsi" w:cstheme="minorHAnsi"/>
        </w:rPr>
        <w:t>a</w:t>
      </w:r>
      <w:r w:rsidR="00EC4D5A" w:rsidRPr="00920634">
        <w:rPr>
          <w:rFonts w:asciiTheme="minorHAnsi" w:hAnsiTheme="minorHAnsi" w:cstheme="minorHAnsi"/>
          <w:i/>
        </w:rPr>
        <w:t xml:space="preserve"> </w:t>
      </w:r>
      <w:r w:rsidRPr="00920634">
        <w:rPr>
          <w:rFonts w:asciiTheme="minorHAnsi" w:hAnsiTheme="minorHAnsi" w:cstheme="minorHAnsi"/>
        </w:rPr>
        <w:t xml:space="preserve">913 – </w:t>
      </w:r>
      <w:r w:rsidRPr="00920634">
        <w:rPr>
          <w:rFonts w:asciiTheme="minorHAnsi" w:hAnsiTheme="minorHAnsi" w:cstheme="minorHAnsi"/>
          <w:i/>
        </w:rPr>
        <w:t>Krátkodobé podmíněné pohledávky ze zahraničních transferů</w:t>
      </w:r>
      <w:r w:rsidR="00616515" w:rsidRPr="00920634">
        <w:rPr>
          <w:rFonts w:asciiTheme="minorHAnsi" w:hAnsiTheme="minorHAnsi" w:cstheme="minorHAnsi"/>
          <w:i/>
        </w:rPr>
        <w:t>,</w:t>
      </w:r>
    </w:p>
    <w:p w14:paraId="2330B32D" w14:textId="63703E62" w:rsidR="00FB7DC9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záloh</w:t>
      </w:r>
      <w:r w:rsidR="00EC4D5A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na účtu 471 – </w:t>
      </w:r>
      <w:r w:rsidRPr="00920634">
        <w:rPr>
          <w:rFonts w:asciiTheme="minorHAnsi" w:hAnsiTheme="minorHAnsi" w:cstheme="minorHAnsi"/>
          <w:i/>
        </w:rPr>
        <w:t>Dlouhodobé poskytnuté zálohy na transfery</w:t>
      </w:r>
      <w:r w:rsidRPr="00920634">
        <w:rPr>
          <w:rFonts w:asciiTheme="minorHAnsi" w:hAnsiTheme="minorHAnsi" w:cstheme="minorHAnsi"/>
        </w:rPr>
        <w:t xml:space="preserve">, </w:t>
      </w:r>
      <w:r w:rsidR="00646936">
        <w:rPr>
          <w:rFonts w:asciiTheme="minorHAnsi" w:hAnsiTheme="minorHAnsi" w:cstheme="minorHAnsi"/>
        </w:rPr>
        <w:t>jsou to</w:t>
      </w:r>
      <w:r w:rsidRPr="00920634">
        <w:rPr>
          <w:rFonts w:asciiTheme="minorHAnsi" w:hAnsiTheme="minorHAnsi" w:cstheme="minorHAnsi"/>
        </w:rPr>
        <w:t xml:space="preserve"> záloh</w:t>
      </w:r>
      <w:r w:rsidR="00EC4D5A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na transfery poskytnut</w:t>
      </w:r>
      <w:r w:rsidR="00EC4D5A" w:rsidRPr="00920634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příspěvkovým organizacím</w:t>
      </w:r>
      <w:r w:rsidR="00646936">
        <w:rPr>
          <w:rFonts w:asciiTheme="minorHAnsi" w:hAnsiTheme="minorHAnsi" w:cstheme="minorHAnsi"/>
        </w:rPr>
        <w:t xml:space="preserve"> a současně jde o</w:t>
      </w:r>
      <w:r w:rsidRPr="00920634">
        <w:rPr>
          <w:rFonts w:asciiTheme="minorHAnsi" w:hAnsiTheme="minorHAnsi" w:cstheme="minorHAnsi"/>
        </w:rPr>
        <w:t xml:space="preserve"> </w:t>
      </w:r>
      <w:r w:rsidR="00233502">
        <w:rPr>
          <w:rFonts w:asciiTheme="minorHAnsi" w:hAnsiTheme="minorHAnsi" w:cstheme="minorHAnsi"/>
        </w:rPr>
        <w:t xml:space="preserve">částky </w:t>
      </w:r>
      <w:r w:rsidRPr="00920634">
        <w:rPr>
          <w:rFonts w:asciiTheme="minorHAnsi" w:hAnsiTheme="minorHAnsi" w:cstheme="minorHAnsi"/>
        </w:rPr>
        <w:lastRenderedPageBreak/>
        <w:t>předfinancov</w:t>
      </w:r>
      <w:r w:rsidR="00233502">
        <w:rPr>
          <w:rFonts w:asciiTheme="minorHAnsi" w:hAnsiTheme="minorHAnsi" w:cstheme="minorHAnsi"/>
        </w:rPr>
        <w:t>ání</w:t>
      </w:r>
      <w:r w:rsidRPr="00920634">
        <w:rPr>
          <w:rFonts w:asciiTheme="minorHAnsi" w:hAnsiTheme="minorHAnsi" w:cstheme="minorHAnsi"/>
        </w:rPr>
        <w:t xml:space="preserve"> podíl</w:t>
      </w:r>
      <w:r w:rsidR="00233502">
        <w:rPr>
          <w:rFonts w:asciiTheme="minorHAnsi" w:hAnsiTheme="minorHAnsi" w:cstheme="minorHAnsi"/>
        </w:rPr>
        <w:t>u</w:t>
      </w:r>
      <w:r w:rsidRPr="00920634">
        <w:rPr>
          <w:rFonts w:asciiTheme="minorHAnsi" w:hAnsiTheme="minorHAnsi" w:cstheme="minorHAnsi"/>
        </w:rPr>
        <w:t xml:space="preserve"> EU schválen</w:t>
      </w:r>
      <w:r w:rsidR="00233502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</w:t>
      </w:r>
      <w:r w:rsidR="003009D1" w:rsidRPr="00920634">
        <w:rPr>
          <w:rFonts w:asciiTheme="minorHAnsi" w:hAnsiTheme="minorHAnsi" w:cstheme="minorHAnsi"/>
        </w:rPr>
        <w:t xml:space="preserve">již </w:t>
      </w:r>
      <w:r w:rsidRPr="00920634">
        <w:rPr>
          <w:rFonts w:asciiTheme="minorHAnsi" w:hAnsiTheme="minorHAnsi" w:cstheme="minorHAnsi"/>
        </w:rPr>
        <w:t>k refundaci z Národního fondu Ministerstva financí.</w:t>
      </w:r>
    </w:p>
    <w:p w14:paraId="6D7D6FF6" w14:textId="77777777" w:rsidR="00F22EB6" w:rsidRPr="00920634" w:rsidRDefault="00F22EB6" w:rsidP="00114439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66D41C54" w14:textId="641633EE" w:rsidR="00132087" w:rsidRPr="00920634" w:rsidRDefault="00FB7DC9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MŠMT identifik</w:t>
      </w:r>
      <w:r w:rsidR="00EC4D5A" w:rsidRPr="00920634">
        <w:rPr>
          <w:rFonts w:asciiTheme="minorHAnsi" w:hAnsiTheme="minorHAnsi" w:cstheme="minorHAnsi"/>
          <w:b/>
        </w:rPr>
        <w:t>uje nové případy pohledávek</w:t>
      </w:r>
      <w:r w:rsidRPr="00920634">
        <w:rPr>
          <w:rFonts w:asciiTheme="minorHAnsi" w:hAnsiTheme="minorHAnsi" w:cstheme="minorHAnsi"/>
          <w:b/>
        </w:rPr>
        <w:t xml:space="preserve"> postupně</w:t>
      </w:r>
      <w:r w:rsidR="00EC4D5A" w:rsidRPr="00920634">
        <w:rPr>
          <w:rFonts w:asciiTheme="minorHAnsi" w:hAnsiTheme="minorHAnsi" w:cstheme="minorHAnsi"/>
          <w:b/>
        </w:rPr>
        <w:t xml:space="preserve">, </w:t>
      </w:r>
      <w:r w:rsidRPr="00920634">
        <w:rPr>
          <w:rFonts w:asciiTheme="minorHAnsi" w:hAnsiTheme="minorHAnsi" w:cstheme="minorHAnsi"/>
          <w:b/>
        </w:rPr>
        <w:t xml:space="preserve">v průběhu roku 2015 tak může dojít i k zaúčtování </w:t>
      </w:r>
      <w:r w:rsidR="00616515" w:rsidRPr="00920634">
        <w:rPr>
          <w:rFonts w:asciiTheme="minorHAnsi" w:hAnsiTheme="minorHAnsi" w:cstheme="minorHAnsi"/>
          <w:b/>
        </w:rPr>
        <w:t>dosud chybějících účetních</w:t>
      </w:r>
      <w:r w:rsidR="00EC4D5A" w:rsidRPr="00920634">
        <w:rPr>
          <w:rFonts w:asciiTheme="minorHAnsi" w:hAnsiTheme="minorHAnsi" w:cstheme="minorHAnsi"/>
          <w:b/>
        </w:rPr>
        <w:t xml:space="preserve"> případů na účty </w:t>
      </w:r>
      <w:r w:rsidR="00F14971" w:rsidRPr="00920634">
        <w:rPr>
          <w:rFonts w:asciiTheme="minorHAnsi" w:hAnsiTheme="minorHAnsi" w:cstheme="minorHAnsi"/>
          <w:b/>
        </w:rPr>
        <w:t>471, 913 a 951</w:t>
      </w:r>
      <w:r w:rsidRPr="00920634">
        <w:rPr>
          <w:rFonts w:asciiTheme="minorHAnsi" w:hAnsiTheme="minorHAnsi" w:cstheme="minorHAnsi"/>
          <w:b/>
        </w:rPr>
        <w:t>. Údaje z</w:t>
      </w:r>
      <w:r w:rsidR="00F14971" w:rsidRPr="00920634">
        <w:rPr>
          <w:rFonts w:asciiTheme="minorHAnsi" w:hAnsiTheme="minorHAnsi" w:cstheme="minorHAnsi"/>
          <w:b/>
        </w:rPr>
        <w:t> tzv.</w:t>
      </w:r>
      <w:r w:rsidR="00C610F6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 xml:space="preserve">mezitímní účetní závěrky MŠMT </w:t>
      </w:r>
      <w:r w:rsidR="003009D1">
        <w:rPr>
          <w:rFonts w:asciiTheme="minorHAnsi" w:hAnsiTheme="minorHAnsi" w:cstheme="minorHAnsi"/>
          <w:b/>
        </w:rPr>
        <w:t xml:space="preserve">sestavené </w:t>
      </w:r>
      <w:r w:rsidRPr="00920634">
        <w:rPr>
          <w:rFonts w:asciiTheme="minorHAnsi" w:hAnsiTheme="minorHAnsi" w:cstheme="minorHAnsi"/>
          <w:b/>
        </w:rPr>
        <w:t>k 31.</w:t>
      </w:r>
      <w:r w:rsidR="004827C9" w:rsidRPr="00920634">
        <w:rPr>
          <w:rFonts w:asciiTheme="minorHAnsi" w:hAnsiTheme="minorHAnsi" w:cstheme="minorHAnsi"/>
          <w:b/>
        </w:rPr>
        <w:t xml:space="preserve"> </w:t>
      </w:r>
      <w:r w:rsidR="00997B4D" w:rsidRPr="00920634">
        <w:rPr>
          <w:rFonts w:asciiTheme="minorHAnsi" w:hAnsiTheme="minorHAnsi" w:cstheme="minorHAnsi"/>
          <w:b/>
        </w:rPr>
        <w:t>březn</w:t>
      </w:r>
      <w:r w:rsidR="004827C9" w:rsidRPr="00920634">
        <w:rPr>
          <w:rFonts w:asciiTheme="minorHAnsi" w:hAnsiTheme="minorHAnsi" w:cstheme="minorHAnsi"/>
          <w:b/>
        </w:rPr>
        <w:t>u</w:t>
      </w:r>
      <w:r w:rsidRPr="00920634">
        <w:rPr>
          <w:rFonts w:asciiTheme="minorHAnsi" w:hAnsiTheme="minorHAnsi" w:cstheme="minorHAnsi"/>
          <w:b/>
        </w:rPr>
        <w:t xml:space="preserve"> 2015 jsou však neúplné, přičemž MŠMT o</w:t>
      </w:r>
      <w:r w:rsidR="00920634" w:rsidRPr="00920634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>této neúplnosti v</w:t>
      </w:r>
      <w:r w:rsidR="00F14971" w:rsidRPr="00920634">
        <w:rPr>
          <w:rFonts w:asciiTheme="minorHAnsi" w:hAnsiTheme="minorHAnsi" w:cstheme="minorHAnsi"/>
          <w:b/>
        </w:rPr>
        <w:t> </w:t>
      </w:r>
      <w:r w:rsidRPr="00920634">
        <w:rPr>
          <w:rFonts w:asciiTheme="minorHAnsi" w:hAnsiTheme="minorHAnsi" w:cstheme="minorHAnsi"/>
          <w:b/>
        </w:rPr>
        <w:t>příloze</w:t>
      </w:r>
      <w:r w:rsidR="00F14971" w:rsidRPr="00920634">
        <w:rPr>
          <w:rFonts w:asciiTheme="minorHAnsi" w:hAnsiTheme="minorHAnsi" w:cstheme="minorHAnsi"/>
          <w:b/>
        </w:rPr>
        <w:t xml:space="preserve"> této</w:t>
      </w:r>
      <w:r w:rsidRPr="00920634">
        <w:rPr>
          <w:rFonts w:asciiTheme="minorHAnsi" w:hAnsiTheme="minorHAnsi" w:cstheme="minorHAnsi"/>
          <w:b/>
        </w:rPr>
        <w:t xml:space="preserve"> závěrky neinformovalo. </w:t>
      </w:r>
    </w:p>
    <w:p w14:paraId="003D1F57" w14:textId="77777777" w:rsidR="00F22EB6" w:rsidRPr="00920634" w:rsidRDefault="00F22EB6" w:rsidP="00114439">
      <w:pPr>
        <w:jc w:val="both"/>
        <w:rPr>
          <w:rFonts w:asciiTheme="minorHAnsi" w:hAnsiTheme="minorHAnsi" w:cstheme="minorHAnsi"/>
          <w:b/>
        </w:rPr>
      </w:pPr>
    </w:p>
    <w:p w14:paraId="1E568544" w14:textId="52FB638E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MŠMT má v případě identifikace a doúčtování nových případů a</w:t>
      </w:r>
      <w:r w:rsidR="00616515" w:rsidRPr="00920634">
        <w:rPr>
          <w:rFonts w:asciiTheme="minorHAnsi" w:hAnsiTheme="minorHAnsi" w:cstheme="minorHAnsi"/>
        </w:rPr>
        <w:t xml:space="preserve"> vykázání úplných</w:t>
      </w:r>
      <w:r w:rsidRPr="00920634">
        <w:rPr>
          <w:rFonts w:asciiTheme="minorHAnsi" w:hAnsiTheme="minorHAnsi" w:cstheme="minorHAnsi"/>
        </w:rPr>
        <w:t xml:space="preserve"> zůstatků</w:t>
      </w:r>
      <w:r w:rsidR="008D073A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obtížnější </w:t>
      </w:r>
      <w:r w:rsidR="00EC4D5A" w:rsidRPr="00920634">
        <w:rPr>
          <w:rFonts w:asciiTheme="minorHAnsi" w:hAnsiTheme="minorHAnsi" w:cstheme="minorHAnsi"/>
        </w:rPr>
        <w:t xml:space="preserve">pozici </w:t>
      </w:r>
      <w:r w:rsidRPr="00920634">
        <w:rPr>
          <w:rFonts w:asciiTheme="minorHAnsi" w:hAnsiTheme="minorHAnsi" w:cstheme="minorHAnsi"/>
        </w:rPr>
        <w:t>než MZe</w:t>
      </w:r>
      <w:r w:rsidR="000571B2" w:rsidRPr="00920634">
        <w:rPr>
          <w:rFonts w:asciiTheme="minorHAnsi" w:hAnsiTheme="minorHAnsi" w:cstheme="minorHAnsi"/>
        </w:rPr>
        <w:t>, neboť</w:t>
      </w:r>
      <w:r w:rsidRPr="00920634">
        <w:rPr>
          <w:rFonts w:asciiTheme="minorHAnsi" w:hAnsiTheme="minorHAnsi" w:cstheme="minorHAnsi"/>
        </w:rPr>
        <w:t xml:space="preserve"> účtuje o větším počtu skutečností (na rozdíl od MZe vykazuje</w:t>
      </w:r>
      <w:r w:rsidR="00616515" w:rsidRPr="00920634">
        <w:rPr>
          <w:rFonts w:asciiTheme="minorHAnsi" w:hAnsiTheme="minorHAnsi" w:cstheme="minorHAnsi"/>
        </w:rPr>
        <w:t xml:space="preserve"> </w:t>
      </w:r>
      <w:r w:rsidR="00FC3538" w:rsidRPr="00920634">
        <w:rPr>
          <w:rFonts w:asciiTheme="minorHAnsi" w:hAnsiTheme="minorHAnsi" w:cstheme="minorHAnsi"/>
        </w:rPr>
        <w:t>dohadné účty pasivní</w:t>
      </w:r>
      <w:r w:rsidR="00FC3538">
        <w:rPr>
          <w:rFonts w:asciiTheme="minorHAnsi" w:hAnsiTheme="minorHAnsi" w:cstheme="minorHAnsi"/>
        </w:rPr>
        <w:t xml:space="preserve"> a </w:t>
      </w:r>
      <w:r w:rsidR="00616515" w:rsidRPr="00920634">
        <w:rPr>
          <w:rFonts w:asciiTheme="minorHAnsi" w:hAnsiTheme="minorHAnsi" w:cstheme="minorHAnsi"/>
        </w:rPr>
        <w:t>v souladu s realizovanými finančními toky</w:t>
      </w:r>
      <w:r w:rsidRPr="00920634">
        <w:rPr>
          <w:rFonts w:asciiTheme="minorHAnsi" w:hAnsiTheme="minorHAnsi" w:cstheme="minorHAnsi"/>
        </w:rPr>
        <w:t xml:space="preserve"> </w:t>
      </w:r>
      <w:r w:rsidR="00FC3538">
        <w:rPr>
          <w:rFonts w:asciiTheme="minorHAnsi" w:hAnsiTheme="minorHAnsi" w:cstheme="minorHAnsi"/>
        </w:rPr>
        <w:t xml:space="preserve">vykazuje </w:t>
      </w:r>
      <w:r w:rsidRPr="00920634">
        <w:rPr>
          <w:rFonts w:asciiTheme="minorHAnsi" w:hAnsiTheme="minorHAnsi" w:cstheme="minorHAnsi"/>
        </w:rPr>
        <w:t>v aktivech zálohy z poskytnutých spolufinancovaných transferů) a musí</w:t>
      </w:r>
      <w:r w:rsidR="000571B2" w:rsidRPr="00920634">
        <w:rPr>
          <w:rFonts w:asciiTheme="minorHAnsi" w:hAnsiTheme="minorHAnsi" w:cstheme="minorHAnsi"/>
        </w:rPr>
        <w:t xml:space="preserve"> se současně</w:t>
      </w:r>
      <w:r w:rsidRPr="00920634">
        <w:rPr>
          <w:rFonts w:asciiTheme="minorHAnsi" w:hAnsiTheme="minorHAnsi" w:cstheme="minorHAnsi"/>
        </w:rPr>
        <w:t xml:space="preserve"> vypořádat i se</w:t>
      </w:r>
      <w:r w:rsidR="000571B2" w:rsidRPr="00920634">
        <w:rPr>
          <w:rFonts w:asciiTheme="minorHAnsi" w:hAnsiTheme="minorHAnsi" w:cstheme="minorHAnsi"/>
        </w:rPr>
        <w:t xml:space="preserve"> stanovenou</w:t>
      </w:r>
      <w:r w:rsidR="008D073A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změnou role při poskytování transferů.</w:t>
      </w:r>
    </w:p>
    <w:p w14:paraId="784332DA" w14:textId="77777777" w:rsidR="00FB7DC9" w:rsidRDefault="00FB7DC9" w:rsidP="00114439">
      <w:pPr>
        <w:jc w:val="both"/>
        <w:rPr>
          <w:rFonts w:asciiTheme="minorHAnsi" w:hAnsiTheme="minorHAnsi" w:cstheme="minorHAnsi"/>
          <w:b/>
        </w:rPr>
      </w:pPr>
    </w:p>
    <w:p w14:paraId="4502DB64" w14:textId="112715A8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 xml:space="preserve">4.2 </w:t>
      </w:r>
      <w:r w:rsidR="00994D9F" w:rsidRPr="00920634">
        <w:rPr>
          <w:rFonts w:asciiTheme="minorHAnsi" w:hAnsiTheme="minorHAnsi" w:cstheme="minorHAnsi"/>
          <w:b/>
          <w:sz w:val="24"/>
        </w:rPr>
        <w:t xml:space="preserve">Srovnatelnost vykázaných </w:t>
      </w:r>
      <w:r w:rsidRPr="00920634">
        <w:rPr>
          <w:rFonts w:asciiTheme="minorHAnsi" w:hAnsiTheme="minorHAnsi" w:cstheme="minorHAnsi"/>
          <w:b/>
          <w:sz w:val="24"/>
        </w:rPr>
        <w:t>údajů mezi MŠMT a MZe</w:t>
      </w:r>
    </w:p>
    <w:p w14:paraId="19A77175" w14:textId="77777777" w:rsidR="00FB7DC9" w:rsidRPr="007422EE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072490B5" w14:textId="5F849A61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Při kontrole byly zjištěny případy nesrovna</w:t>
      </w:r>
      <w:r w:rsidR="00FC3538">
        <w:rPr>
          <w:rFonts w:asciiTheme="minorHAnsi" w:hAnsiTheme="minorHAnsi" w:cstheme="minorHAnsi"/>
          <w:sz w:val="24"/>
        </w:rPr>
        <w:t>te</w:t>
      </w:r>
      <w:r w:rsidRPr="00920634">
        <w:rPr>
          <w:rFonts w:asciiTheme="minorHAnsi" w:hAnsiTheme="minorHAnsi" w:cstheme="minorHAnsi"/>
          <w:sz w:val="24"/>
        </w:rPr>
        <w:t>l</w:t>
      </w:r>
      <w:r w:rsidR="00FC3538">
        <w:rPr>
          <w:rFonts w:asciiTheme="minorHAnsi" w:hAnsiTheme="minorHAnsi" w:cstheme="minorHAnsi"/>
          <w:sz w:val="24"/>
        </w:rPr>
        <w:t>n</w:t>
      </w:r>
      <w:r w:rsidRPr="00920634">
        <w:rPr>
          <w:rFonts w:asciiTheme="minorHAnsi" w:hAnsiTheme="minorHAnsi" w:cstheme="minorHAnsi"/>
          <w:sz w:val="24"/>
        </w:rPr>
        <w:t>osti údajů účetních závěrek, a to z důvodu:</w:t>
      </w:r>
    </w:p>
    <w:p w14:paraId="6DD904B5" w14:textId="2E61863C" w:rsidR="00F14971" w:rsidRPr="00920634" w:rsidRDefault="00FB7DC9" w:rsidP="00114439">
      <w:pPr>
        <w:pStyle w:val="NormlnKZ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rozdílného postupu při posuzování povahy nároku na refundaci předfinancovaných výdajů</w:t>
      </w:r>
      <w:r w:rsidR="00647E04" w:rsidRPr="00920634">
        <w:rPr>
          <w:rFonts w:asciiTheme="minorHAnsi" w:hAnsiTheme="minorHAnsi" w:cstheme="minorHAnsi"/>
          <w:sz w:val="24"/>
        </w:rPr>
        <w:t>;</w:t>
      </w:r>
    </w:p>
    <w:p w14:paraId="6D9C2C51" w14:textId="44CED3BF" w:rsidR="00FB7DC9" w:rsidRPr="00920634" w:rsidRDefault="00FB7DC9" w:rsidP="00114439">
      <w:pPr>
        <w:pStyle w:val="NormlnKZ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rozdílného postupu při uvádění údajů v účetních závěrkách o období „minulém“ a</w:t>
      </w:r>
      <w:r w:rsidR="00920634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období „běžném“</w:t>
      </w:r>
      <w:r w:rsidR="00647E04" w:rsidRPr="00920634">
        <w:rPr>
          <w:rFonts w:asciiTheme="minorHAnsi" w:hAnsiTheme="minorHAnsi" w:cstheme="minorHAnsi"/>
          <w:sz w:val="24"/>
        </w:rPr>
        <w:t>.</w:t>
      </w:r>
    </w:p>
    <w:p w14:paraId="1B5D0E79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C00F2C6" w14:textId="77777777" w:rsidR="00FB7DC9" w:rsidRPr="00920634" w:rsidRDefault="00FB7DC9" w:rsidP="00114439">
      <w:pPr>
        <w:pStyle w:val="NormlnKZ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</w:rPr>
        <w:t xml:space="preserve">• </w:t>
      </w:r>
      <w:r w:rsidRPr="00920634">
        <w:rPr>
          <w:rFonts w:asciiTheme="minorHAnsi" w:hAnsiTheme="minorHAnsi" w:cstheme="minorHAnsi"/>
          <w:b/>
          <w:i/>
          <w:sz w:val="24"/>
        </w:rPr>
        <w:t>Povaha nároku na refundaci předfinancovaných výdajů</w:t>
      </w:r>
    </w:p>
    <w:p w14:paraId="4A23E350" w14:textId="24EAD332" w:rsidR="00FB7DC9" w:rsidRDefault="00FB7DC9" w:rsidP="00114439">
      <w:pPr>
        <w:jc w:val="both"/>
        <w:rPr>
          <w:rFonts w:asciiTheme="minorHAnsi" w:eastAsia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Postupy MŠMT a MZe se zásadně liší v otázce </w:t>
      </w:r>
      <w:r w:rsidR="00616515" w:rsidRPr="00920634">
        <w:rPr>
          <w:rFonts w:asciiTheme="minorHAnsi" w:hAnsiTheme="minorHAnsi" w:cstheme="minorHAnsi"/>
        </w:rPr>
        <w:t>zaúčtování</w:t>
      </w:r>
      <w:r w:rsidRPr="00920634">
        <w:rPr>
          <w:rFonts w:asciiTheme="minorHAnsi" w:hAnsiTheme="minorHAnsi" w:cstheme="minorHAnsi"/>
        </w:rPr>
        <w:t xml:space="preserve"> pohledávky </w:t>
      </w:r>
      <w:r w:rsidR="008F6E15">
        <w:rPr>
          <w:rFonts w:asciiTheme="minorHAnsi" w:hAnsiTheme="minorHAnsi" w:cstheme="minorHAnsi"/>
        </w:rPr>
        <w:t>(</w:t>
      </w:r>
      <w:r w:rsidRPr="00920634">
        <w:rPr>
          <w:rFonts w:asciiTheme="minorHAnsi" w:hAnsiTheme="minorHAnsi" w:cstheme="minorHAnsi"/>
        </w:rPr>
        <w:t>vznikající na základě podané souhrnné žádosti</w:t>
      </w:r>
      <w:r w:rsidR="008F6E15">
        <w:rPr>
          <w:rFonts w:asciiTheme="minorHAnsi" w:hAnsiTheme="minorHAnsi" w:cstheme="minorHAnsi"/>
        </w:rPr>
        <w:t>)</w:t>
      </w:r>
      <w:r w:rsidRPr="00920634">
        <w:rPr>
          <w:rFonts w:asciiTheme="minorHAnsi" w:hAnsiTheme="minorHAnsi" w:cstheme="minorHAnsi"/>
        </w:rPr>
        <w:t xml:space="preserve"> za Národním fondem Ministerstva financí v případě operačních programů. </w:t>
      </w:r>
      <w:r w:rsidR="006E47AD" w:rsidRPr="00920634">
        <w:rPr>
          <w:rFonts w:asciiTheme="minorHAnsi" w:hAnsiTheme="minorHAnsi" w:cstheme="minorHAnsi"/>
          <w:lang w:eastAsia="cs-CZ"/>
        </w:rPr>
        <w:t>MFTK 2007</w:t>
      </w:r>
      <w:r w:rsidR="00F14971" w:rsidRPr="00920634">
        <w:rPr>
          <w:rFonts w:asciiTheme="minorHAnsi" w:hAnsiTheme="minorHAnsi" w:cstheme="minorHAnsi"/>
          <w:lang w:eastAsia="cs-CZ"/>
        </w:rPr>
        <w:t>–</w:t>
      </w:r>
      <w:r w:rsidR="006E47AD" w:rsidRPr="00920634">
        <w:rPr>
          <w:rFonts w:asciiTheme="minorHAnsi" w:hAnsiTheme="minorHAnsi" w:cstheme="minorHAnsi"/>
          <w:lang w:eastAsia="cs-CZ"/>
        </w:rPr>
        <w:t>2013</w:t>
      </w:r>
      <w:r w:rsidR="00F14971" w:rsidRPr="00920634">
        <w:rPr>
          <w:rFonts w:asciiTheme="minorHAnsi" w:hAnsiTheme="minorHAnsi" w:cstheme="minorHAnsi"/>
          <w:lang w:eastAsia="cs-CZ"/>
        </w:rPr>
        <w:t xml:space="preserve"> </w:t>
      </w:r>
      <w:r w:rsidRPr="00920634">
        <w:rPr>
          <w:rFonts w:asciiTheme="minorHAnsi" w:hAnsiTheme="minorHAnsi" w:cstheme="minorHAnsi"/>
        </w:rPr>
        <w:t xml:space="preserve">ke schválení souhrnné žádosti </w:t>
      </w:r>
      <w:r w:rsidR="008F6E15">
        <w:rPr>
          <w:rFonts w:asciiTheme="minorHAnsi" w:hAnsiTheme="minorHAnsi" w:cstheme="minorHAnsi"/>
        </w:rPr>
        <w:t>podané v rámci</w:t>
      </w:r>
      <w:r w:rsidRPr="00920634">
        <w:rPr>
          <w:rFonts w:asciiTheme="minorHAnsi" w:hAnsiTheme="minorHAnsi" w:cstheme="minorHAnsi"/>
        </w:rPr>
        <w:t xml:space="preserve"> OP</w:t>
      </w:r>
      <w:r w:rsidR="008F6E15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VK, OP</w:t>
      </w:r>
      <w:r w:rsidR="008F6E15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VaVpI a OPR uvádí, že Národní fond Ministerstva financí podanou souhrnnou žádost posoudí, schválí a</w:t>
      </w:r>
      <w:r w:rsidR="007E28AF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zpravidla </w:t>
      </w:r>
      <w:r w:rsidRPr="00920634">
        <w:rPr>
          <w:rFonts w:asciiTheme="minorHAnsi" w:eastAsiaTheme="minorHAnsi" w:hAnsiTheme="minorHAnsi" w:cstheme="minorHAnsi"/>
        </w:rPr>
        <w:t xml:space="preserve">do 5 pracovních dnů provede platbu prostředků </w:t>
      </w:r>
      <w:r w:rsidR="008D073A">
        <w:rPr>
          <w:rFonts w:asciiTheme="minorHAnsi" w:eastAsiaTheme="minorHAnsi" w:hAnsiTheme="minorHAnsi" w:cstheme="minorHAnsi"/>
        </w:rPr>
        <w:t>z </w:t>
      </w:r>
      <w:r w:rsidRPr="00920634">
        <w:rPr>
          <w:rFonts w:asciiTheme="minorHAnsi" w:eastAsiaTheme="minorHAnsi" w:hAnsiTheme="minorHAnsi" w:cstheme="minorHAnsi"/>
        </w:rPr>
        <w:t>rozpočtu EU na příjmový účet příslušné OSS.</w:t>
      </w:r>
    </w:p>
    <w:p w14:paraId="61DA9D39" w14:textId="77777777" w:rsidR="008F6E15" w:rsidRPr="00920634" w:rsidRDefault="008F6E15" w:rsidP="00114439">
      <w:pPr>
        <w:jc w:val="both"/>
        <w:rPr>
          <w:rFonts w:asciiTheme="minorHAnsi" w:hAnsiTheme="minorHAnsi" w:cstheme="minorHAnsi"/>
        </w:rPr>
      </w:pPr>
    </w:p>
    <w:p w14:paraId="32C09F7B" w14:textId="71931F08" w:rsidR="00FB7DC9" w:rsidRDefault="008F6E15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</w:t>
      </w:r>
      <w:r w:rsidR="00FB7DC9" w:rsidRPr="00920634">
        <w:rPr>
          <w:rFonts w:asciiTheme="minorHAnsi" w:hAnsiTheme="minorHAnsi" w:cstheme="minorHAnsi"/>
        </w:rPr>
        <w:t>Národní fond</w:t>
      </w:r>
      <w:r w:rsidR="00F1580D" w:rsidRPr="00920634">
        <w:rPr>
          <w:rFonts w:asciiTheme="minorHAnsi" w:hAnsiTheme="minorHAnsi" w:cstheme="minorHAnsi"/>
        </w:rPr>
        <w:t xml:space="preserve"> Ministerstva financí</w:t>
      </w:r>
      <w:r>
        <w:rPr>
          <w:rFonts w:asciiTheme="minorHAnsi" w:hAnsiTheme="minorHAnsi" w:cstheme="minorHAnsi"/>
        </w:rPr>
        <w:t xml:space="preserve"> schválí souhrnnou žádost a informace o tom se objeví</w:t>
      </w:r>
      <w:r w:rsidR="00FB7DC9" w:rsidRPr="00920634">
        <w:rPr>
          <w:rFonts w:asciiTheme="minorHAnsi" w:hAnsiTheme="minorHAnsi" w:cstheme="minorHAnsi"/>
        </w:rPr>
        <w:t xml:space="preserve"> v informačním systému VIOLA</w:t>
      </w:r>
      <w:r w:rsidR="00FB7DC9" w:rsidRPr="00920634">
        <w:rPr>
          <w:rStyle w:val="Znakapoznpodarou"/>
          <w:rFonts w:asciiTheme="minorHAnsi" w:hAnsiTheme="minorHAnsi" w:cstheme="minorHAnsi"/>
        </w:rPr>
        <w:footnoteReference w:id="45"/>
      </w:r>
      <w:r w:rsidR="00FB7DC9" w:rsidRPr="00920634">
        <w:rPr>
          <w:rFonts w:asciiTheme="minorHAnsi" w:hAnsiTheme="minorHAnsi" w:cstheme="minorHAnsi"/>
        </w:rPr>
        <w:t xml:space="preserve"> a návazně v monitorovacím systému MSC2007</w:t>
      </w:r>
      <w:r w:rsidR="00B0606A" w:rsidRPr="00920634">
        <w:rPr>
          <w:rStyle w:val="Znakapoznpodarou"/>
          <w:rFonts w:asciiTheme="minorHAnsi" w:hAnsiTheme="minorHAnsi" w:cstheme="minorHAnsi"/>
        </w:rPr>
        <w:footnoteReference w:id="46"/>
      </w:r>
      <w:r w:rsidR="00B946FD">
        <w:rPr>
          <w:rFonts w:asciiTheme="minorHAnsi" w:hAnsiTheme="minorHAnsi" w:cstheme="minorHAnsi"/>
        </w:rPr>
        <w:t xml:space="preserve">, </w:t>
      </w:r>
      <w:r w:rsidR="004D6255" w:rsidRPr="00920634">
        <w:rPr>
          <w:rFonts w:asciiTheme="minorHAnsi" w:hAnsiTheme="minorHAnsi" w:cstheme="minorHAnsi"/>
        </w:rPr>
        <w:t>účtuje</w:t>
      </w:r>
      <w:r w:rsidR="00FB7DC9" w:rsidRPr="009206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MŠMT na základě této informace o schválení souhrnné žádosti </w:t>
      </w:r>
      <w:r w:rsidR="00FB7DC9" w:rsidRPr="00920634">
        <w:rPr>
          <w:rFonts w:asciiTheme="minorHAnsi" w:hAnsiTheme="minorHAnsi" w:cstheme="minorHAnsi"/>
        </w:rPr>
        <w:t>na rozvahové účty, resp. přeúčtovává tuto pohledávku z podrozvahové na rozvahovou; v ten okamžik účtuje v </w:t>
      </w:r>
      <w:r w:rsidR="00B3211E">
        <w:rPr>
          <w:rFonts w:asciiTheme="minorHAnsi" w:hAnsiTheme="minorHAnsi" w:cstheme="minorHAnsi"/>
        </w:rPr>
        <w:t xml:space="preserve">roli </w:t>
      </w:r>
      <w:r w:rsidR="00FB7DC9" w:rsidRPr="00920634">
        <w:rPr>
          <w:rFonts w:asciiTheme="minorHAnsi" w:hAnsiTheme="minorHAnsi" w:cstheme="minorHAnsi"/>
        </w:rPr>
        <w:t>příjemce transferu i o výnosu</w:t>
      </w:r>
      <w:r w:rsidR="00B946FD">
        <w:rPr>
          <w:rFonts w:asciiTheme="minorHAnsi" w:hAnsiTheme="minorHAnsi" w:cstheme="minorHAnsi"/>
        </w:rPr>
        <w:t>.</w:t>
      </w:r>
    </w:p>
    <w:p w14:paraId="1ACE8A65" w14:textId="77777777" w:rsidR="008F6E15" w:rsidRDefault="008F6E15" w:rsidP="00114439">
      <w:pPr>
        <w:jc w:val="both"/>
        <w:rPr>
          <w:rFonts w:asciiTheme="minorHAnsi" w:hAnsiTheme="minorHAnsi" w:cstheme="minorHAnsi"/>
        </w:rPr>
      </w:pPr>
    </w:p>
    <w:p w14:paraId="22B30B9A" w14:textId="6B88107A" w:rsidR="00FB7DC9" w:rsidRPr="004240F2" w:rsidRDefault="00FB7DC9" w:rsidP="00114439">
      <w:pPr>
        <w:jc w:val="both"/>
        <w:rPr>
          <w:rFonts w:asciiTheme="minorHAnsi" w:hAnsiTheme="minorHAnsi" w:cstheme="minorHAnsi"/>
        </w:rPr>
      </w:pPr>
      <w:r w:rsidRPr="004240F2">
        <w:rPr>
          <w:rFonts w:asciiTheme="minorHAnsi" w:hAnsiTheme="minorHAnsi" w:cstheme="minorHAnsi"/>
        </w:rPr>
        <w:t xml:space="preserve">MZe </w:t>
      </w:r>
      <w:r w:rsidR="00B946FD" w:rsidRPr="004240F2">
        <w:rPr>
          <w:rFonts w:asciiTheme="minorHAnsi" w:hAnsiTheme="minorHAnsi" w:cstheme="minorHAnsi"/>
        </w:rPr>
        <w:t xml:space="preserve">při </w:t>
      </w:r>
      <w:r w:rsidRPr="004240F2">
        <w:rPr>
          <w:rFonts w:asciiTheme="minorHAnsi" w:hAnsiTheme="minorHAnsi" w:cstheme="minorHAnsi"/>
        </w:rPr>
        <w:t xml:space="preserve">schválení souhrnné žádosti ze strany Národního fondu Ministerstva financí </w:t>
      </w:r>
      <w:r w:rsidR="00B946FD" w:rsidRPr="004240F2">
        <w:rPr>
          <w:rFonts w:asciiTheme="minorHAnsi" w:hAnsiTheme="minorHAnsi" w:cstheme="minorHAnsi"/>
        </w:rPr>
        <w:t>podrozvahovou pohledávku na pohledávku rozvahovou nepřeúčtovává;</w:t>
      </w:r>
      <w:r w:rsidR="004D6255" w:rsidRPr="004240F2">
        <w:rPr>
          <w:rFonts w:asciiTheme="minorHAnsi" w:hAnsiTheme="minorHAnsi" w:cstheme="minorHAnsi"/>
        </w:rPr>
        <w:t xml:space="preserve"> </w:t>
      </w:r>
      <w:r w:rsidR="00B946FD" w:rsidRPr="004240F2">
        <w:rPr>
          <w:rFonts w:asciiTheme="minorHAnsi" w:hAnsiTheme="minorHAnsi" w:cstheme="minorHAnsi"/>
        </w:rPr>
        <w:t>p</w:t>
      </w:r>
      <w:r w:rsidR="004D6255" w:rsidRPr="004240F2">
        <w:rPr>
          <w:rFonts w:asciiTheme="minorHAnsi" w:hAnsiTheme="minorHAnsi" w:cstheme="minorHAnsi"/>
        </w:rPr>
        <w:t xml:space="preserve">ohledávku </w:t>
      </w:r>
      <w:r w:rsidR="00B946FD" w:rsidRPr="004240F2">
        <w:rPr>
          <w:rFonts w:asciiTheme="minorHAnsi" w:hAnsiTheme="minorHAnsi" w:cstheme="minorHAnsi"/>
        </w:rPr>
        <w:t>nadále vykazuje</w:t>
      </w:r>
      <w:r w:rsidR="004D6255" w:rsidRPr="004240F2">
        <w:rPr>
          <w:rFonts w:asciiTheme="minorHAnsi" w:hAnsiTheme="minorHAnsi" w:cstheme="minorHAnsi"/>
        </w:rPr>
        <w:t xml:space="preserve"> </w:t>
      </w:r>
      <w:r w:rsidR="00B946FD" w:rsidRPr="004240F2">
        <w:rPr>
          <w:rFonts w:asciiTheme="minorHAnsi" w:hAnsiTheme="minorHAnsi" w:cstheme="minorHAnsi"/>
        </w:rPr>
        <w:t xml:space="preserve">jako </w:t>
      </w:r>
      <w:r w:rsidR="004D6255" w:rsidRPr="004240F2">
        <w:rPr>
          <w:rFonts w:asciiTheme="minorHAnsi" w:hAnsiTheme="minorHAnsi" w:cstheme="minorHAnsi"/>
        </w:rPr>
        <w:t>podrozvahovou.</w:t>
      </w:r>
    </w:p>
    <w:p w14:paraId="3F777825" w14:textId="77777777" w:rsidR="00626C77" w:rsidRPr="00920634" w:rsidRDefault="00626C77" w:rsidP="00114439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14:paraId="49D0C539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 informaci o schválení mají prostřednictvím systému MSC2007 přístup MŠMT i MZe.</w:t>
      </w:r>
    </w:p>
    <w:p w14:paraId="692AF0F9" w14:textId="77777777" w:rsidR="00FB7DC9" w:rsidRDefault="00FB7DC9" w:rsidP="00114439">
      <w:pPr>
        <w:jc w:val="both"/>
        <w:rPr>
          <w:rFonts w:asciiTheme="minorHAnsi" w:hAnsiTheme="minorHAnsi" w:cstheme="minorHAnsi"/>
        </w:rPr>
      </w:pPr>
    </w:p>
    <w:p w14:paraId="2F6B756C" w14:textId="341A695F" w:rsidR="00FB7DC9" w:rsidRPr="00EE52A7" w:rsidRDefault="00B33BB9" w:rsidP="00114439">
      <w:pPr>
        <w:jc w:val="both"/>
        <w:rPr>
          <w:rFonts w:asciiTheme="minorHAnsi" w:hAnsiTheme="minorHAnsi" w:cstheme="minorHAnsi"/>
          <w:b/>
        </w:rPr>
      </w:pPr>
      <w:r w:rsidRPr="004240F2">
        <w:rPr>
          <w:rFonts w:asciiTheme="minorHAnsi" w:hAnsiTheme="minorHAnsi" w:cstheme="minorHAnsi"/>
          <w:b/>
        </w:rPr>
        <w:lastRenderedPageBreak/>
        <w:t>Dle názoru NKÚ napomáhá přístup MŠMT</w:t>
      </w:r>
      <w:r w:rsidR="002906CD" w:rsidRPr="002906CD">
        <w:rPr>
          <w:rFonts w:asciiTheme="minorHAnsi" w:hAnsiTheme="minorHAnsi" w:cstheme="minorHAnsi"/>
          <w:b/>
        </w:rPr>
        <w:t xml:space="preserve"> věrněji zobrazit skutečnost, </w:t>
      </w:r>
      <w:r w:rsidR="002D35CF">
        <w:rPr>
          <w:rFonts w:asciiTheme="minorHAnsi" w:hAnsiTheme="minorHAnsi" w:cstheme="minorHAnsi"/>
          <w:b/>
        </w:rPr>
        <w:t xml:space="preserve">zároveň </w:t>
      </w:r>
      <w:r w:rsidR="008F6E15">
        <w:rPr>
          <w:rFonts w:asciiTheme="minorHAnsi" w:hAnsiTheme="minorHAnsi" w:cstheme="minorHAnsi"/>
          <w:b/>
        </w:rPr>
        <w:t xml:space="preserve">je </w:t>
      </w:r>
      <w:r w:rsidR="002D35CF">
        <w:rPr>
          <w:rFonts w:asciiTheme="minorHAnsi" w:hAnsiTheme="minorHAnsi" w:cstheme="minorHAnsi"/>
          <w:b/>
        </w:rPr>
        <w:t xml:space="preserve">však </w:t>
      </w:r>
      <w:r w:rsidR="008F6E15">
        <w:rPr>
          <w:rFonts w:asciiTheme="minorHAnsi" w:hAnsiTheme="minorHAnsi" w:cstheme="minorHAnsi"/>
          <w:b/>
        </w:rPr>
        <w:t>nutno</w:t>
      </w:r>
      <w:r w:rsidRPr="004240F2">
        <w:rPr>
          <w:rFonts w:asciiTheme="minorHAnsi" w:hAnsiTheme="minorHAnsi" w:cstheme="minorHAnsi"/>
          <w:b/>
        </w:rPr>
        <w:t xml:space="preserve"> konstatovat, že postup používaný MZe </w:t>
      </w:r>
      <w:r w:rsidR="002906CD">
        <w:rPr>
          <w:rFonts w:asciiTheme="minorHAnsi" w:hAnsiTheme="minorHAnsi" w:cstheme="minorHAnsi"/>
          <w:b/>
        </w:rPr>
        <w:t>ne</w:t>
      </w:r>
      <w:r w:rsidR="00AE3658">
        <w:rPr>
          <w:rFonts w:asciiTheme="minorHAnsi" w:hAnsiTheme="minorHAnsi" w:cstheme="minorHAnsi"/>
          <w:b/>
        </w:rPr>
        <w:t xml:space="preserve">byl </w:t>
      </w:r>
      <w:r w:rsidRPr="004240F2">
        <w:rPr>
          <w:rFonts w:asciiTheme="minorHAnsi" w:hAnsiTheme="minorHAnsi" w:cstheme="minorHAnsi"/>
          <w:b/>
        </w:rPr>
        <w:t>v rozporu s účetní regulací.</w:t>
      </w:r>
      <w:r w:rsidR="00EE52A7" w:rsidRPr="004240F2">
        <w:rPr>
          <w:rFonts w:asciiTheme="minorHAnsi" w:hAnsiTheme="minorHAnsi" w:cstheme="minorHAnsi"/>
          <w:b/>
        </w:rPr>
        <w:t xml:space="preserve"> Je třeba </w:t>
      </w:r>
      <w:r w:rsidR="00EE52A7">
        <w:rPr>
          <w:rFonts w:asciiTheme="minorHAnsi" w:hAnsiTheme="minorHAnsi" w:cstheme="minorHAnsi"/>
          <w:b/>
        </w:rPr>
        <w:t>upozornit</w:t>
      </w:r>
      <w:r w:rsidR="00EE52A7" w:rsidRPr="004240F2">
        <w:rPr>
          <w:rFonts w:asciiTheme="minorHAnsi" w:hAnsiTheme="minorHAnsi" w:cstheme="minorHAnsi"/>
          <w:b/>
        </w:rPr>
        <w:t>, že z</w:t>
      </w:r>
      <w:r w:rsidR="00E03DBC" w:rsidRPr="00EE52A7">
        <w:rPr>
          <w:rFonts w:asciiTheme="minorHAnsi" w:hAnsiTheme="minorHAnsi" w:cstheme="minorHAnsi"/>
          <w:b/>
        </w:rPr>
        <w:t> </w:t>
      </w:r>
      <w:r w:rsidR="00FB7DC9" w:rsidRPr="00EE52A7">
        <w:rPr>
          <w:rFonts w:asciiTheme="minorHAnsi" w:hAnsiTheme="minorHAnsi" w:cstheme="minorHAnsi"/>
          <w:b/>
        </w:rPr>
        <w:t>důvodu</w:t>
      </w:r>
      <w:r w:rsidR="00E03DBC" w:rsidRPr="00EE52A7">
        <w:rPr>
          <w:rFonts w:asciiTheme="minorHAnsi" w:hAnsiTheme="minorHAnsi" w:cstheme="minorHAnsi"/>
          <w:b/>
        </w:rPr>
        <w:t xml:space="preserve"> stanovení</w:t>
      </w:r>
      <w:r w:rsidR="00FB7DC9" w:rsidRPr="00EE52A7">
        <w:rPr>
          <w:rFonts w:asciiTheme="minorHAnsi" w:hAnsiTheme="minorHAnsi" w:cstheme="minorHAnsi"/>
          <w:b/>
        </w:rPr>
        <w:t xml:space="preserve"> rozdílného okamžiku odúčtování podmíněné pohledávky jsou vykázané údaje mezi účetními jednotkami </w:t>
      </w:r>
      <w:r w:rsidR="00B05967" w:rsidRPr="00EE52A7">
        <w:rPr>
          <w:rFonts w:asciiTheme="minorHAnsi" w:hAnsiTheme="minorHAnsi" w:cstheme="minorHAnsi"/>
          <w:b/>
        </w:rPr>
        <w:t xml:space="preserve">významně </w:t>
      </w:r>
      <w:r w:rsidR="00FB7DC9" w:rsidRPr="00EE52A7">
        <w:rPr>
          <w:rFonts w:asciiTheme="minorHAnsi" w:hAnsiTheme="minorHAnsi" w:cstheme="minorHAnsi"/>
          <w:b/>
        </w:rPr>
        <w:t xml:space="preserve">nesrovnatelné. </w:t>
      </w:r>
    </w:p>
    <w:p w14:paraId="1092E374" w14:textId="77777777" w:rsidR="0074225B" w:rsidRPr="00920634" w:rsidRDefault="0074225B" w:rsidP="00114439">
      <w:pPr>
        <w:jc w:val="both"/>
        <w:rPr>
          <w:rFonts w:asciiTheme="minorHAnsi" w:hAnsiTheme="minorHAnsi" w:cstheme="minorHAnsi"/>
          <w:b/>
        </w:rPr>
      </w:pPr>
    </w:p>
    <w:p w14:paraId="48847877" w14:textId="3A25D304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Pokud by MŠMT účtovalo stejným způsobem jako MZe, vykázalo by jen z tohoto důvodu ve své účetní závěrce k 31. </w:t>
      </w:r>
      <w:r w:rsidR="00626C77" w:rsidRPr="00920634">
        <w:rPr>
          <w:rFonts w:asciiTheme="minorHAnsi" w:hAnsiTheme="minorHAnsi" w:cstheme="minorHAnsi"/>
          <w:b/>
        </w:rPr>
        <w:t>prosinci</w:t>
      </w:r>
      <w:r w:rsidRPr="00920634">
        <w:rPr>
          <w:rFonts w:asciiTheme="minorHAnsi" w:hAnsiTheme="minorHAnsi" w:cstheme="minorHAnsi"/>
          <w:b/>
        </w:rPr>
        <w:t xml:space="preserve"> 2014 na účtu rozvahových pohledávek</w:t>
      </w:r>
      <w:r w:rsidRPr="00920634">
        <w:rPr>
          <w:rStyle w:val="Znakapoznpodarou"/>
          <w:rFonts w:asciiTheme="minorHAnsi" w:hAnsiTheme="minorHAnsi" w:cstheme="minorHAnsi"/>
          <w:b/>
        </w:rPr>
        <w:footnoteReference w:id="47"/>
      </w:r>
      <w:r w:rsidRPr="00920634">
        <w:rPr>
          <w:rFonts w:asciiTheme="minorHAnsi" w:hAnsiTheme="minorHAnsi" w:cstheme="minorHAnsi"/>
          <w:b/>
        </w:rPr>
        <w:t xml:space="preserve"> částku o 13 102 354 315,39 Kč nižší.</w:t>
      </w:r>
      <w:r w:rsidRPr="00920634">
        <w:rPr>
          <w:rFonts w:asciiTheme="minorHAnsi" w:hAnsiTheme="minorHAnsi" w:cstheme="minorHAnsi"/>
        </w:rPr>
        <w:t xml:space="preserve"> O tuto částku by vykázalo i nižší výsledek hospodaření.</w:t>
      </w:r>
    </w:p>
    <w:p w14:paraId="1D0E4AF8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485EC87C" w14:textId="2CDC3171" w:rsidR="00FB7DC9" w:rsidRPr="00920634" w:rsidRDefault="00FB7DC9" w:rsidP="00114439">
      <w:pPr>
        <w:pStyle w:val="NormlnKZ"/>
        <w:ind w:left="426" w:hanging="426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 xml:space="preserve">• </w:t>
      </w:r>
      <w:r w:rsidR="0012357A" w:rsidRPr="00920634">
        <w:rPr>
          <w:rFonts w:asciiTheme="minorHAnsi" w:hAnsiTheme="minorHAnsi" w:cstheme="minorHAnsi"/>
          <w:b/>
          <w:i/>
          <w:sz w:val="24"/>
        </w:rPr>
        <w:t xml:space="preserve">Údaje </w:t>
      </w:r>
      <w:r w:rsidR="00640493" w:rsidRPr="00920634">
        <w:rPr>
          <w:rFonts w:asciiTheme="minorHAnsi" w:hAnsiTheme="minorHAnsi" w:cstheme="minorHAnsi"/>
          <w:b/>
          <w:i/>
          <w:sz w:val="24"/>
        </w:rPr>
        <w:t>v účetních závěrkách o období „minulém“ a období „běžném“</w:t>
      </w:r>
    </w:p>
    <w:p w14:paraId="2650F97F" w14:textId="7FE166E4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a MZe aplikovaly výrazně odlišný přístup k vykázání údajů v tzv. mezitímní účetní závěrce k 31. </w:t>
      </w:r>
      <w:r w:rsidR="00626C77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</w:t>
      </w:r>
      <w:r w:rsidR="00D17957" w:rsidRPr="00920634">
        <w:rPr>
          <w:rFonts w:asciiTheme="minorHAnsi" w:hAnsiTheme="minorHAnsi" w:cstheme="minorHAnsi"/>
        </w:rPr>
        <w:t xml:space="preserve"> ve sloupcích za období minulé </w:t>
      </w:r>
      <w:r w:rsidRPr="00920634">
        <w:rPr>
          <w:rFonts w:asciiTheme="minorHAnsi" w:hAnsiTheme="minorHAnsi" w:cstheme="minorHAnsi"/>
        </w:rPr>
        <w:t xml:space="preserve">(tj. </w:t>
      </w:r>
      <w:r w:rsidR="00B05967" w:rsidRPr="00920634">
        <w:rPr>
          <w:rFonts w:asciiTheme="minorHAnsi" w:hAnsiTheme="minorHAnsi" w:cstheme="minorHAnsi"/>
        </w:rPr>
        <w:t>k</w:t>
      </w:r>
      <w:r w:rsidRPr="00920634">
        <w:rPr>
          <w:rFonts w:asciiTheme="minorHAnsi" w:hAnsiTheme="minorHAnsi" w:cstheme="minorHAnsi"/>
        </w:rPr>
        <w:t xml:space="preserve">e stavu k 31. </w:t>
      </w:r>
      <w:r w:rsidR="00626C77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2014) a</w:t>
      </w:r>
      <w:r w:rsidR="007E28AF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sloupcích údajů za období běžné (tj. </w:t>
      </w:r>
      <w:r w:rsidR="00B05967" w:rsidRPr="00920634">
        <w:rPr>
          <w:rFonts w:asciiTheme="minorHAnsi" w:hAnsiTheme="minorHAnsi" w:cstheme="minorHAnsi"/>
        </w:rPr>
        <w:t>k</w:t>
      </w:r>
      <w:r w:rsidRPr="00920634">
        <w:rPr>
          <w:rFonts w:asciiTheme="minorHAnsi" w:hAnsiTheme="minorHAnsi" w:cstheme="minorHAnsi"/>
        </w:rPr>
        <w:t xml:space="preserve">e stavu k 31. </w:t>
      </w:r>
      <w:r w:rsidR="00626C77" w:rsidRPr="00920634">
        <w:rPr>
          <w:rFonts w:asciiTheme="minorHAnsi" w:hAnsiTheme="minorHAnsi" w:cstheme="minorHAnsi"/>
        </w:rPr>
        <w:t>březnu</w:t>
      </w:r>
      <w:r w:rsidRPr="00920634">
        <w:rPr>
          <w:rFonts w:asciiTheme="minorHAnsi" w:hAnsiTheme="minorHAnsi" w:cstheme="minorHAnsi"/>
        </w:rPr>
        <w:t xml:space="preserve"> 2015). </w:t>
      </w:r>
    </w:p>
    <w:p w14:paraId="0B805196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54C68FCD" w14:textId="744937E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Zatímco MZe v případě účtů nákladů a výnosů z transferů promítlo do obou sloupců změnu obsahového vymezení účtů provedenou s účinnost</w:t>
      </w:r>
      <w:r w:rsidR="00AD6DE1">
        <w:rPr>
          <w:rFonts w:asciiTheme="minorHAnsi" w:hAnsiTheme="minorHAnsi" w:cstheme="minorHAnsi"/>
        </w:rPr>
        <w:t>í</w:t>
      </w:r>
      <w:r w:rsidRPr="00920634">
        <w:rPr>
          <w:rFonts w:asciiTheme="minorHAnsi" w:hAnsiTheme="minorHAnsi" w:cstheme="minorHAnsi"/>
        </w:rPr>
        <w:t xml:space="preserve"> od 1. </w:t>
      </w:r>
      <w:r w:rsidR="00626C77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2015, </w:t>
      </w:r>
      <w:r w:rsidR="00B05967" w:rsidRPr="00920634">
        <w:rPr>
          <w:rFonts w:asciiTheme="minorHAnsi" w:hAnsiTheme="minorHAnsi" w:cstheme="minorHAnsi"/>
        </w:rPr>
        <w:t xml:space="preserve">MŠMT </w:t>
      </w:r>
      <w:r w:rsidRPr="00920634">
        <w:rPr>
          <w:rFonts w:asciiTheme="minorHAnsi" w:hAnsiTheme="minorHAnsi" w:cstheme="minorHAnsi"/>
        </w:rPr>
        <w:t>tuto změnu, v tomto případě související i se změnou role MŠMT při poskytování transferů dle Č</w:t>
      </w:r>
      <w:r w:rsidR="000559E1" w:rsidRPr="00920634">
        <w:rPr>
          <w:rFonts w:asciiTheme="minorHAnsi" w:hAnsiTheme="minorHAnsi" w:cstheme="minorHAnsi"/>
        </w:rPr>
        <w:t>Ú</w:t>
      </w:r>
      <w:r w:rsidRPr="00920634">
        <w:rPr>
          <w:rFonts w:asciiTheme="minorHAnsi" w:hAnsiTheme="minorHAnsi" w:cstheme="minorHAnsi"/>
        </w:rPr>
        <w:t xml:space="preserve">S </w:t>
      </w:r>
      <w:r w:rsidR="00AD6DE1">
        <w:rPr>
          <w:rFonts w:asciiTheme="minorHAnsi" w:hAnsiTheme="minorHAnsi" w:cstheme="minorHAnsi"/>
        </w:rPr>
        <w:br/>
      </w:r>
      <w:r w:rsidRPr="00920634">
        <w:rPr>
          <w:rFonts w:asciiTheme="minorHAnsi" w:hAnsiTheme="minorHAnsi" w:cstheme="minorHAnsi"/>
        </w:rPr>
        <w:t xml:space="preserve">č. 703 – </w:t>
      </w:r>
      <w:r w:rsidRPr="008D4CD3">
        <w:rPr>
          <w:rFonts w:asciiTheme="minorHAnsi" w:hAnsiTheme="minorHAnsi" w:cstheme="minorHAnsi"/>
          <w:i/>
        </w:rPr>
        <w:t>Transfery</w:t>
      </w:r>
      <w:r w:rsidRPr="00920634">
        <w:rPr>
          <w:rFonts w:asciiTheme="minorHAnsi" w:hAnsiTheme="minorHAnsi" w:cstheme="minorHAnsi"/>
        </w:rPr>
        <w:t>, promítlo u těchto účtů jen do sloupce údajů za období běžné.</w:t>
      </w:r>
    </w:p>
    <w:p w14:paraId="6087A109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4E39AFE2" w14:textId="0F4624E5" w:rsidR="00FB7DC9" w:rsidRPr="00920634" w:rsidRDefault="00FB7DC9" w:rsidP="00114439">
      <w:pPr>
        <w:jc w:val="both"/>
        <w:rPr>
          <w:rFonts w:asciiTheme="minorHAnsi" w:hAnsiTheme="minorHAnsi" w:cstheme="minorHAnsi"/>
          <w:bCs/>
        </w:rPr>
      </w:pPr>
      <w:r w:rsidRPr="00920634">
        <w:rPr>
          <w:rFonts w:asciiTheme="minorHAnsi" w:hAnsiTheme="minorHAnsi" w:cstheme="minorHAnsi"/>
          <w:b/>
          <w:bCs/>
        </w:rPr>
        <w:t xml:space="preserve">Údaje o nákladech a výnosech z transferů jsou ve sloupcích za období běžné a za období minulé v tzv. mezitímní účetní závěrce MZe sestavené k 31. </w:t>
      </w:r>
      <w:r w:rsidR="00626C77" w:rsidRPr="00920634">
        <w:rPr>
          <w:rFonts w:asciiTheme="minorHAnsi" w:hAnsiTheme="minorHAnsi" w:cstheme="minorHAnsi"/>
          <w:b/>
          <w:bCs/>
        </w:rPr>
        <w:t>březnu</w:t>
      </w:r>
      <w:r w:rsidRPr="00920634">
        <w:rPr>
          <w:rFonts w:asciiTheme="minorHAnsi" w:hAnsiTheme="minorHAnsi" w:cstheme="minorHAnsi"/>
          <w:b/>
          <w:bCs/>
        </w:rPr>
        <w:t xml:space="preserve"> 2015 srovnatelné</w:t>
      </w:r>
      <w:r w:rsidR="00350806" w:rsidRPr="00920634">
        <w:rPr>
          <w:rFonts w:asciiTheme="minorHAnsi" w:hAnsiTheme="minorHAnsi" w:cstheme="minorHAnsi"/>
          <w:b/>
          <w:bCs/>
        </w:rPr>
        <w:t xml:space="preserve"> </w:t>
      </w:r>
      <w:r w:rsidR="007E28AF">
        <w:rPr>
          <w:rFonts w:asciiTheme="minorHAnsi" w:hAnsiTheme="minorHAnsi" w:cstheme="minorHAnsi"/>
          <w:bCs/>
        </w:rPr>
        <w:t xml:space="preserve">– </w:t>
      </w:r>
      <w:r w:rsidRPr="00920634">
        <w:rPr>
          <w:rFonts w:asciiTheme="minorHAnsi" w:hAnsiTheme="minorHAnsi" w:cstheme="minorHAnsi"/>
          <w:bCs/>
        </w:rPr>
        <w:t>viz následující tabulka</w:t>
      </w:r>
      <w:r w:rsidR="00532824">
        <w:rPr>
          <w:rFonts w:asciiTheme="minorHAnsi" w:hAnsiTheme="minorHAnsi" w:cstheme="minorHAnsi"/>
          <w:bCs/>
        </w:rPr>
        <w:t>.</w:t>
      </w:r>
    </w:p>
    <w:p w14:paraId="161D543C" w14:textId="4087687C" w:rsidR="00FB7DC9" w:rsidRPr="00920634" w:rsidRDefault="00FB7DC9" w:rsidP="001144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5412F" w14:textId="5D714B07" w:rsidR="00FB7DC9" w:rsidRPr="00920634" w:rsidRDefault="00FB7DC9" w:rsidP="00445F18">
      <w:pPr>
        <w:ind w:left="1418" w:hanging="1418"/>
        <w:rPr>
          <w:rFonts w:asciiTheme="minorHAnsi" w:hAnsiTheme="minorHAnsi" w:cstheme="minorHAnsi"/>
          <w:b/>
          <w:bCs/>
        </w:rPr>
      </w:pPr>
      <w:r w:rsidRPr="00920634">
        <w:rPr>
          <w:rFonts w:asciiTheme="minorHAnsi" w:hAnsiTheme="minorHAnsi" w:cstheme="minorHAnsi"/>
          <w:b/>
          <w:bCs/>
        </w:rPr>
        <w:t xml:space="preserve">Tabulka č. </w:t>
      </w:r>
      <w:r w:rsidR="00F97BAF" w:rsidRPr="00920634">
        <w:rPr>
          <w:rFonts w:asciiTheme="minorHAnsi" w:hAnsiTheme="minorHAnsi" w:cstheme="minorHAnsi"/>
          <w:b/>
          <w:bCs/>
        </w:rPr>
        <w:t>5</w:t>
      </w:r>
      <w:r w:rsidRPr="00920634">
        <w:rPr>
          <w:rFonts w:asciiTheme="minorHAnsi" w:hAnsiTheme="minorHAnsi" w:cstheme="minorHAnsi"/>
          <w:b/>
          <w:bCs/>
        </w:rPr>
        <w:t xml:space="preserve"> –</w:t>
      </w:r>
      <w:r w:rsidR="00F67757">
        <w:rPr>
          <w:rFonts w:asciiTheme="minorHAnsi" w:hAnsiTheme="minorHAnsi" w:cstheme="minorHAnsi"/>
          <w:b/>
          <w:bCs/>
        </w:rPr>
        <w:tab/>
      </w:r>
      <w:r w:rsidRPr="00920634">
        <w:rPr>
          <w:rFonts w:asciiTheme="minorHAnsi" w:hAnsiTheme="minorHAnsi" w:cstheme="minorHAnsi"/>
          <w:b/>
          <w:bCs/>
        </w:rPr>
        <w:t xml:space="preserve">Srovnání údajů vykázaných v účetní závěrce MZe sestavené </w:t>
      </w:r>
      <w:r w:rsidR="00625E11">
        <w:rPr>
          <w:rFonts w:asciiTheme="minorHAnsi" w:hAnsiTheme="minorHAnsi" w:cstheme="minorHAnsi"/>
          <w:b/>
          <w:bCs/>
        </w:rPr>
        <w:br/>
      </w:r>
      <w:r w:rsidRPr="00920634">
        <w:rPr>
          <w:rFonts w:asciiTheme="minorHAnsi" w:hAnsiTheme="minorHAnsi" w:cstheme="minorHAnsi"/>
          <w:b/>
          <w:bCs/>
        </w:rPr>
        <w:t>k 31.</w:t>
      </w:r>
      <w:r w:rsidR="00F67757">
        <w:rPr>
          <w:rFonts w:asciiTheme="minorHAnsi" w:hAnsiTheme="minorHAnsi" w:cstheme="minorHAnsi"/>
          <w:b/>
          <w:bCs/>
        </w:rPr>
        <w:t> </w:t>
      </w:r>
      <w:r w:rsidR="00626C77" w:rsidRPr="00920634">
        <w:rPr>
          <w:rFonts w:asciiTheme="minorHAnsi" w:hAnsiTheme="minorHAnsi" w:cstheme="minorHAnsi"/>
          <w:b/>
          <w:bCs/>
        </w:rPr>
        <w:t>prosinci</w:t>
      </w:r>
      <w:r w:rsidR="00625E11">
        <w:rPr>
          <w:rFonts w:asciiTheme="minorHAnsi" w:hAnsiTheme="minorHAnsi" w:cstheme="minorHAnsi"/>
          <w:b/>
          <w:bCs/>
        </w:rPr>
        <w:t xml:space="preserve"> </w:t>
      </w:r>
      <w:r w:rsidRPr="00920634">
        <w:rPr>
          <w:rFonts w:asciiTheme="minorHAnsi" w:hAnsiTheme="minorHAnsi" w:cstheme="minorHAnsi"/>
          <w:b/>
          <w:bCs/>
        </w:rPr>
        <w:t xml:space="preserve">2014 a </w:t>
      </w:r>
      <w:r w:rsidR="00625E11">
        <w:rPr>
          <w:rFonts w:asciiTheme="minorHAnsi" w:hAnsiTheme="minorHAnsi" w:cstheme="minorHAnsi"/>
          <w:b/>
          <w:bCs/>
        </w:rPr>
        <w:t xml:space="preserve">v </w:t>
      </w:r>
      <w:r w:rsidRPr="00920634">
        <w:rPr>
          <w:rFonts w:asciiTheme="minorHAnsi" w:hAnsiTheme="minorHAnsi" w:cstheme="minorHAnsi"/>
          <w:b/>
          <w:bCs/>
        </w:rPr>
        <w:t xml:space="preserve">tzv. mezitímní účetní závěrce </w:t>
      </w:r>
      <w:r w:rsidR="00625E11">
        <w:rPr>
          <w:rFonts w:asciiTheme="minorHAnsi" w:hAnsiTheme="minorHAnsi" w:cstheme="minorHAnsi"/>
          <w:b/>
          <w:bCs/>
        </w:rPr>
        <w:br/>
      </w:r>
      <w:r w:rsidRPr="00920634">
        <w:rPr>
          <w:rFonts w:asciiTheme="minorHAnsi" w:hAnsiTheme="minorHAnsi" w:cstheme="minorHAnsi"/>
          <w:b/>
          <w:bCs/>
        </w:rPr>
        <w:t xml:space="preserve">sestavené k 31. </w:t>
      </w:r>
      <w:r w:rsidR="00640493" w:rsidRPr="00920634">
        <w:rPr>
          <w:rFonts w:asciiTheme="minorHAnsi" w:hAnsiTheme="minorHAnsi" w:cstheme="minorHAnsi"/>
          <w:b/>
          <w:bCs/>
        </w:rPr>
        <w:t>březnu</w:t>
      </w:r>
      <w:r w:rsidRPr="00920634">
        <w:rPr>
          <w:rFonts w:asciiTheme="minorHAnsi" w:hAnsiTheme="minorHAnsi" w:cstheme="minorHAnsi"/>
          <w:b/>
          <w:bCs/>
        </w:rPr>
        <w:t xml:space="preserve"> 2015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1874"/>
      </w:tblGrid>
      <w:tr w:rsidR="00FB7DC9" w:rsidRPr="00920634" w14:paraId="3E218D23" w14:textId="5F396D07" w:rsidTr="008D4CD3">
        <w:trPr>
          <w:tblHeader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9B8A" w14:textId="5E584633" w:rsidR="00FB7DC9" w:rsidRPr="00920634" w:rsidRDefault="00FB7DC9" w:rsidP="00FF43C4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Syntetický účet vykázaný v ÚZ MZe sestavené k 31.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="00640493"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prosinci 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2014 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br/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(sloupec 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„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běžné období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“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D386" w14:textId="77C62F53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A615" w14:textId="7B89F9A0" w:rsidR="00FB7DC9" w:rsidRPr="00920634" w:rsidRDefault="00FB7DC9" w:rsidP="00FF43C4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Syntetický účet vykázaný v ÚZ MZe sestavené k 31.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="00640493"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březnu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2015 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br/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(sloupec 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„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minulé období</w:t>
            </w:r>
            <w:r w:rsidR="00FF43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“</w:t>
            </w: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2467" w14:textId="1E3B2CFB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Částka v Kč</w:t>
            </w:r>
          </w:p>
        </w:tc>
      </w:tr>
      <w:tr w:rsidR="00FB7DC9" w:rsidRPr="00920634" w14:paraId="3ED8C452" w14:textId="4A22F10B" w:rsidTr="00987632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4C03" w14:textId="39188933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571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Náklady vybraných ústředních vládních institucí na transfery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CFD4" w14:textId="7D543354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41 714 117 604,41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CF75" w14:textId="22421A80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571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Náklady vybraných ústředních vládních institucí na transfery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945E" w14:textId="5CFF5313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11 078 843 052,36</w:t>
            </w:r>
          </w:p>
        </w:tc>
      </w:tr>
      <w:tr w:rsidR="00FB7DC9" w:rsidRPr="00920634" w14:paraId="6A335BD4" w14:textId="48101BD6" w:rsidTr="00987632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06664" w14:textId="3986177A" w:rsidR="00FB7DC9" w:rsidRPr="00920634" w:rsidRDefault="00FB7DC9" w:rsidP="00114439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4D3AF" w14:textId="683F6D0C" w:rsidR="00FB7DC9" w:rsidRPr="00920634" w:rsidRDefault="00FB7DC9" w:rsidP="00114439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B3BE" w14:textId="20892893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575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Náklady vybraných ústředních vládních institucí na předfinancování transferů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71B0" w14:textId="48E659CE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30 635 274 552,05</w:t>
            </w:r>
          </w:p>
        </w:tc>
      </w:tr>
      <w:tr w:rsidR="00FB7DC9" w:rsidRPr="00920634" w14:paraId="71500FF1" w14:textId="15B3CB56" w:rsidTr="00987632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CDA0" w14:textId="5D6CAC0C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671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Výnosy vybraných ústředních vládních institucí z</w:t>
            </w:r>
            <w:r w:rsidR="00364C4F"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 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565" w14:textId="4397300B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32 288 666 335,05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E77" w14:textId="1A1ADE4E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671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Výnosy vybraných ústředních vládních institucí z transferů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8EDA" w14:textId="0A590F7C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102 442 993,87</w:t>
            </w:r>
          </w:p>
        </w:tc>
      </w:tr>
      <w:tr w:rsidR="00FB7DC9" w:rsidRPr="00920634" w14:paraId="665EEA42" w14:textId="19D6FD31" w:rsidTr="00987632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08D15" w14:textId="2D8C5A11" w:rsidR="00FB7DC9" w:rsidRPr="00920634" w:rsidRDefault="00FB7DC9" w:rsidP="00114439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3420" w14:textId="7C67FE03" w:rsidR="00FB7DC9" w:rsidRPr="00920634" w:rsidRDefault="00FB7DC9" w:rsidP="00114439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6CC4" w14:textId="3C88B000" w:rsidR="00FB7DC9" w:rsidRPr="00920634" w:rsidRDefault="00FB7DC9" w:rsidP="001144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675 – </w:t>
            </w:r>
            <w:r w:rsidRPr="008D4CD3">
              <w:rPr>
                <w:rFonts w:asciiTheme="minorHAnsi" w:hAnsiTheme="minorHAnsi" w:cstheme="minorHAnsi"/>
                <w:i/>
                <w:sz w:val="20"/>
                <w:szCs w:val="20"/>
                <w:lang w:eastAsia="cs-CZ"/>
              </w:rPr>
              <w:t>Výnosy vybraných ústředních vládních institucí z předfinancování transferů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7D6F" w14:textId="62D4D407" w:rsidR="00FB7DC9" w:rsidRPr="00920634" w:rsidRDefault="00FB7DC9" w:rsidP="0011443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2063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32 186 223 341,18</w:t>
            </w:r>
          </w:p>
        </w:tc>
      </w:tr>
    </w:tbl>
    <w:p w14:paraId="624DC522" w14:textId="773A6CED" w:rsidR="00FB7DC9" w:rsidRPr="008D4CD3" w:rsidRDefault="00FB7DC9" w:rsidP="008D4CD3">
      <w:pPr>
        <w:ind w:left="533" w:hanging="533"/>
        <w:rPr>
          <w:rFonts w:asciiTheme="minorHAnsi" w:hAnsiTheme="minorHAnsi" w:cstheme="minorHAnsi"/>
          <w:iCs/>
          <w:sz w:val="20"/>
          <w:szCs w:val="20"/>
        </w:rPr>
      </w:pPr>
      <w:r w:rsidRPr="008D4CD3">
        <w:rPr>
          <w:rFonts w:asciiTheme="minorHAnsi" w:hAnsiTheme="minorHAnsi" w:cstheme="minorHAnsi"/>
          <w:b/>
          <w:iCs/>
          <w:sz w:val="20"/>
          <w:szCs w:val="20"/>
        </w:rPr>
        <w:t>Zdroj:</w:t>
      </w:r>
      <w:r w:rsidRPr="008D4CD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F43C4">
        <w:rPr>
          <w:rFonts w:asciiTheme="minorHAnsi" w:hAnsiTheme="minorHAnsi" w:cstheme="minorHAnsi"/>
          <w:iCs/>
          <w:sz w:val="20"/>
          <w:szCs w:val="20"/>
        </w:rPr>
        <w:t>ú</w:t>
      </w:r>
      <w:r w:rsidRPr="008D4CD3">
        <w:rPr>
          <w:rFonts w:asciiTheme="minorHAnsi" w:hAnsiTheme="minorHAnsi" w:cstheme="minorHAnsi"/>
          <w:iCs/>
          <w:sz w:val="20"/>
          <w:szCs w:val="20"/>
        </w:rPr>
        <w:t xml:space="preserve">četní závěrka MZe sestavená k 31. </w:t>
      </w:r>
      <w:r w:rsidR="00626C77" w:rsidRPr="008D4CD3">
        <w:rPr>
          <w:rFonts w:asciiTheme="minorHAnsi" w:hAnsiTheme="minorHAnsi" w:cstheme="minorHAnsi"/>
          <w:iCs/>
          <w:sz w:val="20"/>
          <w:szCs w:val="20"/>
        </w:rPr>
        <w:t>prosinci</w:t>
      </w:r>
      <w:r w:rsidRPr="008D4CD3">
        <w:rPr>
          <w:rFonts w:asciiTheme="minorHAnsi" w:hAnsiTheme="minorHAnsi" w:cstheme="minorHAnsi"/>
          <w:iCs/>
          <w:sz w:val="20"/>
          <w:szCs w:val="20"/>
        </w:rPr>
        <w:t xml:space="preserve"> 2014 a tzv. mezitímní účetní závěrka MZe sestavená k 31.</w:t>
      </w:r>
      <w:r w:rsidR="00532824" w:rsidRPr="008D4CD3">
        <w:rPr>
          <w:rFonts w:asciiTheme="minorHAnsi" w:hAnsiTheme="minorHAnsi" w:cstheme="minorHAnsi"/>
          <w:iCs/>
          <w:sz w:val="20"/>
          <w:szCs w:val="20"/>
        </w:rPr>
        <w:t> </w:t>
      </w:r>
      <w:r w:rsidR="00626C77" w:rsidRPr="008D4CD3">
        <w:rPr>
          <w:rFonts w:asciiTheme="minorHAnsi" w:hAnsiTheme="minorHAnsi" w:cstheme="minorHAnsi"/>
          <w:iCs/>
          <w:sz w:val="20"/>
          <w:szCs w:val="20"/>
        </w:rPr>
        <w:t>březnu</w:t>
      </w:r>
      <w:r w:rsidRPr="008D4CD3">
        <w:rPr>
          <w:rFonts w:asciiTheme="minorHAnsi" w:hAnsiTheme="minorHAnsi" w:cstheme="minorHAnsi"/>
          <w:iCs/>
          <w:sz w:val="20"/>
          <w:szCs w:val="20"/>
        </w:rPr>
        <w:t xml:space="preserve"> 2015</w:t>
      </w:r>
      <w:r w:rsidR="008614CB" w:rsidRPr="008D4CD3">
        <w:rPr>
          <w:rFonts w:asciiTheme="minorHAnsi" w:hAnsiTheme="minorHAnsi" w:cstheme="minorHAnsi"/>
          <w:iCs/>
          <w:sz w:val="20"/>
          <w:szCs w:val="20"/>
        </w:rPr>
        <w:t>.</w:t>
      </w:r>
    </w:p>
    <w:p w14:paraId="5C909D6A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5D95EC9B" w14:textId="59460976" w:rsidR="00E0629C" w:rsidRPr="00920634" w:rsidRDefault="00FB7DC9" w:rsidP="00114439">
      <w:pPr>
        <w:jc w:val="both"/>
        <w:rPr>
          <w:rFonts w:asciiTheme="minorHAnsi" w:hAnsiTheme="minorHAnsi" w:cstheme="minorHAnsi"/>
          <w:b/>
          <w:bCs/>
        </w:rPr>
      </w:pPr>
      <w:r w:rsidRPr="00920634">
        <w:rPr>
          <w:rFonts w:asciiTheme="minorHAnsi" w:hAnsiTheme="minorHAnsi" w:cstheme="minorHAnsi"/>
          <w:bCs/>
        </w:rPr>
        <w:t>MŠMT nepostupovalo způsobem jako MZe a v tzv. mezitímní účetní závěrce k 31.</w:t>
      </w:r>
      <w:r w:rsidR="00445F18">
        <w:rPr>
          <w:rFonts w:asciiTheme="minorHAnsi" w:hAnsiTheme="minorHAnsi" w:cstheme="minorHAnsi"/>
          <w:bCs/>
        </w:rPr>
        <w:t> </w:t>
      </w:r>
      <w:r w:rsidR="00626C77" w:rsidRPr="00920634">
        <w:rPr>
          <w:rFonts w:asciiTheme="minorHAnsi" w:hAnsiTheme="minorHAnsi" w:cstheme="minorHAnsi"/>
          <w:bCs/>
        </w:rPr>
        <w:t>březnu</w:t>
      </w:r>
      <w:r w:rsidR="00445F18">
        <w:rPr>
          <w:rFonts w:asciiTheme="minorHAnsi" w:hAnsiTheme="minorHAnsi" w:cstheme="minorHAnsi"/>
          <w:bCs/>
        </w:rPr>
        <w:t> </w:t>
      </w:r>
      <w:r w:rsidRPr="00920634">
        <w:rPr>
          <w:rFonts w:asciiTheme="minorHAnsi" w:hAnsiTheme="minorHAnsi" w:cstheme="minorHAnsi"/>
          <w:bCs/>
        </w:rPr>
        <w:t>2015 ve sloupcích údajů za minulé období, podávajících informac</w:t>
      </w:r>
      <w:r w:rsidR="00EC7F34">
        <w:rPr>
          <w:rFonts w:asciiTheme="minorHAnsi" w:hAnsiTheme="minorHAnsi" w:cstheme="minorHAnsi"/>
          <w:bCs/>
        </w:rPr>
        <w:t>e</w:t>
      </w:r>
      <w:r w:rsidRPr="00920634">
        <w:rPr>
          <w:rFonts w:asciiTheme="minorHAnsi" w:hAnsiTheme="minorHAnsi" w:cstheme="minorHAnsi"/>
          <w:bCs/>
        </w:rPr>
        <w:t xml:space="preserve"> o stavu</w:t>
      </w:r>
      <w:r w:rsidR="007422EE">
        <w:rPr>
          <w:rFonts w:asciiTheme="minorHAnsi" w:hAnsiTheme="minorHAnsi" w:cstheme="minorHAnsi"/>
          <w:bCs/>
        </w:rPr>
        <w:t xml:space="preserve"> </w:t>
      </w:r>
      <w:r w:rsidRPr="00920634">
        <w:rPr>
          <w:rFonts w:asciiTheme="minorHAnsi" w:hAnsiTheme="minorHAnsi" w:cstheme="minorHAnsi"/>
          <w:bCs/>
        </w:rPr>
        <w:t>k 31.</w:t>
      </w:r>
      <w:r w:rsidR="00445F18">
        <w:rPr>
          <w:rFonts w:asciiTheme="minorHAnsi" w:hAnsiTheme="minorHAnsi" w:cstheme="minorHAnsi"/>
          <w:bCs/>
        </w:rPr>
        <w:t> </w:t>
      </w:r>
      <w:r w:rsidR="00626C77" w:rsidRPr="00920634">
        <w:rPr>
          <w:rFonts w:asciiTheme="minorHAnsi" w:hAnsiTheme="minorHAnsi" w:cstheme="minorHAnsi"/>
          <w:bCs/>
        </w:rPr>
        <w:t>prosinci</w:t>
      </w:r>
      <w:r w:rsidRPr="00920634">
        <w:rPr>
          <w:rFonts w:asciiTheme="minorHAnsi" w:hAnsiTheme="minorHAnsi" w:cstheme="minorHAnsi"/>
          <w:bCs/>
        </w:rPr>
        <w:t xml:space="preserve"> 2014, vykázalo údaje, do kterých se nepromítla změna role dle Č</w:t>
      </w:r>
      <w:r w:rsidR="001F6D00" w:rsidRPr="00920634">
        <w:rPr>
          <w:rFonts w:asciiTheme="minorHAnsi" w:hAnsiTheme="minorHAnsi" w:cstheme="minorHAnsi"/>
          <w:bCs/>
        </w:rPr>
        <w:t>Ú</w:t>
      </w:r>
      <w:r w:rsidRPr="00920634">
        <w:rPr>
          <w:rFonts w:asciiTheme="minorHAnsi" w:hAnsiTheme="minorHAnsi" w:cstheme="minorHAnsi"/>
          <w:bCs/>
        </w:rPr>
        <w:t>S</w:t>
      </w:r>
      <w:r w:rsidR="007422EE">
        <w:rPr>
          <w:rFonts w:asciiTheme="minorHAnsi" w:hAnsiTheme="minorHAnsi" w:cstheme="minorHAnsi"/>
          <w:bCs/>
        </w:rPr>
        <w:t xml:space="preserve"> </w:t>
      </w:r>
      <w:r w:rsidR="00CC674A">
        <w:rPr>
          <w:rFonts w:asciiTheme="minorHAnsi" w:hAnsiTheme="minorHAnsi" w:cstheme="minorHAnsi"/>
          <w:bCs/>
        </w:rPr>
        <w:t>č. 703 –</w:t>
      </w:r>
      <w:r w:rsidRPr="008D4CD3">
        <w:rPr>
          <w:rFonts w:asciiTheme="minorHAnsi" w:hAnsiTheme="minorHAnsi" w:cstheme="minorHAnsi"/>
          <w:bCs/>
          <w:i/>
        </w:rPr>
        <w:lastRenderedPageBreak/>
        <w:t>Transfery</w:t>
      </w:r>
      <w:r w:rsidRPr="00920634">
        <w:rPr>
          <w:rFonts w:asciiTheme="minorHAnsi" w:hAnsiTheme="minorHAnsi" w:cstheme="minorHAnsi"/>
          <w:bCs/>
        </w:rPr>
        <w:t xml:space="preserve"> a</w:t>
      </w:r>
      <w:r w:rsidR="00EC7F34">
        <w:rPr>
          <w:rFonts w:asciiTheme="minorHAnsi" w:hAnsiTheme="minorHAnsi" w:cstheme="minorHAnsi"/>
          <w:bCs/>
        </w:rPr>
        <w:t xml:space="preserve">ni </w:t>
      </w:r>
      <w:r w:rsidRPr="00920634">
        <w:rPr>
          <w:rFonts w:asciiTheme="minorHAnsi" w:hAnsiTheme="minorHAnsi" w:cstheme="minorHAnsi"/>
          <w:bCs/>
        </w:rPr>
        <w:t>změna obsahového vymezení položek účetní závěrky s</w:t>
      </w:r>
      <w:r w:rsidR="007422EE">
        <w:rPr>
          <w:rFonts w:asciiTheme="minorHAnsi" w:hAnsiTheme="minorHAnsi" w:cstheme="minorHAnsi"/>
          <w:bCs/>
        </w:rPr>
        <w:t> </w:t>
      </w:r>
      <w:r w:rsidRPr="00920634">
        <w:rPr>
          <w:rFonts w:asciiTheme="minorHAnsi" w:hAnsiTheme="minorHAnsi" w:cstheme="minorHAnsi"/>
          <w:bCs/>
        </w:rPr>
        <w:t>účinností</w:t>
      </w:r>
      <w:r w:rsidR="007422EE">
        <w:rPr>
          <w:rFonts w:asciiTheme="minorHAnsi" w:hAnsiTheme="minorHAnsi" w:cstheme="minorHAnsi"/>
          <w:bCs/>
        </w:rPr>
        <w:t xml:space="preserve"> </w:t>
      </w:r>
      <w:r w:rsidRPr="00920634">
        <w:rPr>
          <w:rFonts w:asciiTheme="minorHAnsi" w:hAnsiTheme="minorHAnsi" w:cstheme="minorHAnsi"/>
          <w:bCs/>
        </w:rPr>
        <w:t>od 1.</w:t>
      </w:r>
      <w:r w:rsidR="00445F18">
        <w:rPr>
          <w:rFonts w:asciiTheme="minorHAnsi" w:hAnsiTheme="minorHAnsi" w:cstheme="minorHAnsi"/>
          <w:bCs/>
        </w:rPr>
        <w:t> </w:t>
      </w:r>
      <w:r w:rsidR="00626C77" w:rsidRPr="00920634">
        <w:rPr>
          <w:rFonts w:asciiTheme="minorHAnsi" w:hAnsiTheme="minorHAnsi" w:cstheme="minorHAnsi"/>
          <w:bCs/>
        </w:rPr>
        <w:t>ledna</w:t>
      </w:r>
      <w:r w:rsidR="00445F18">
        <w:rPr>
          <w:rFonts w:asciiTheme="minorHAnsi" w:hAnsiTheme="minorHAnsi" w:cstheme="minorHAnsi"/>
          <w:bCs/>
        </w:rPr>
        <w:t> </w:t>
      </w:r>
      <w:r w:rsidRPr="00920634">
        <w:rPr>
          <w:rFonts w:asciiTheme="minorHAnsi" w:hAnsiTheme="minorHAnsi" w:cstheme="minorHAnsi"/>
          <w:bCs/>
        </w:rPr>
        <w:t xml:space="preserve">2015. </w:t>
      </w:r>
      <w:r w:rsidRPr="00920634">
        <w:rPr>
          <w:rFonts w:asciiTheme="minorHAnsi" w:hAnsiTheme="minorHAnsi" w:cstheme="minorHAnsi"/>
          <w:b/>
          <w:bCs/>
        </w:rPr>
        <w:t xml:space="preserve">Údaje ve sloupcích za období běžné a za období minulé </w:t>
      </w:r>
      <w:r w:rsidR="004E0BB6" w:rsidRPr="00920634">
        <w:rPr>
          <w:rFonts w:asciiTheme="minorHAnsi" w:hAnsiTheme="minorHAnsi" w:cstheme="minorHAnsi"/>
          <w:b/>
          <w:bCs/>
        </w:rPr>
        <w:t>v</w:t>
      </w:r>
      <w:r w:rsidRPr="00920634">
        <w:rPr>
          <w:rFonts w:asciiTheme="minorHAnsi" w:hAnsiTheme="minorHAnsi" w:cstheme="minorHAnsi"/>
          <w:b/>
          <w:bCs/>
        </w:rPr>
        <w:t xml:space="preserve"> tzv. mezitímní účetní závěrce MŠMT </w:t>
      </w:r>
      <w:r w:rsidR="00EC7F34">
        <w:rPr>
          <w:rFonts w:asciiTheme="minorHAnsi" w:hAnsiTheme="minorHAnsi" w:cstheme="minorHAnsi"/>
          <w:b/>
          <w:bCs/>
        </w:rPr>
        <w:t xml:space="preserve">sestavené </w:t>
      </w:r>
      <w:r w:rsidRPr="00920634">
        <w:rPr>
          <w:rFonts w:asciiTheme="minorHAnsi" w:hAnsiTheme="minorHAnsi" w:cstheme="minorHAnsi"/>
          <w:b/>
          <w:bCs/>
        </w:rPr>
        <w:t xml:space="preserve">k 31. </w:t>
      </w:r>
      <w:r w:rsidR="00626C77" w:rsidRPr="00920634">
        <w:rPr>
          <w:rFonts w:asciiTheme="minorHAnsi" w:hAnsiTheme="minorHAnsi" w:cstheme="minorHAnsi"/>
          <w:b/>
          <w:bCs/>
        </w:rPr>
        <w:t>březnu</w:t>
      </w:r>
      <w:r w:rsidRPr="00920634">
        <w:rPr>
          <w:rFonts w:asciiTheme="minorHAnsi" w:hAnsiTheme="minorHAnsi" w:cstheme="minorHAnsi"/>
          <w:b/>
          <w:bCs/>
        </w:rPr>
        <w:t xml:space="preserve"> 2015</w:t>
      </w:r>
      <w:r w:rsidR="00DF76D5" w:rsidRPr="00920634">
        <w:rPr>
          <w:rFonts w:asciiTheme="minorHAnsi" w:hAnsiTheme="minorHAnsi" w:cstheme="minorHAnsi"/>
          <w:b/>
          <w:bCs/>
        </w:rPr>
        <w:t xml:space="preserve"> tak </w:t>
      </w:r>
      <w:r w:rsidR="00A76AE4" w:rsidRPr="00920634">
        <w:rPr>
          <w:rFonts w:asciiTheme="minorHAnsi" w:hAnsiTheme="minorHAnsi" w:cstheme="minorHAnsi"/>
          <w:b/>
          <w:bCs/>
        </w:rPr>
        <w:t xml:space="preserve">podávají </w:t>
      </w:r>
      <w:r w:rsidR="00DF76D5" w:rsidRPr="00920634">
        <w:rPr>
          <w:rFonts w:asciiTheme="minorHAnsi" w:hAnsiTheme="minorHAnsi" w:cstheme="minorHAnsi"/>
          <w:b/>
          <w:bCs/>
        </w:rPr>
        <w:t>nesrovnatelné</w:t>
      </w:r>
      <w:r w:rsidR="0074225B" w:rsidRPr="00920634">
        <w:rPr>
          <w:rFonts w:asciiTheme="minorHAnsi" w:hAnsiTheme="minorHAnsi" w:cstheme="minorHAnsi"/>
          <w:b/>
          <w:bCs/>
        </w:rPr>
        <w:t xml:space="preserve"> </w:t>
      </w:r>
      <w:r w:rsidRPr="00920634">
        <w:rPr>
          <w:rFonts w:asciiTheme="minorHAnsi" w:hAnsiTheme="minorHAnsi" w:cstheme="minorHAnsi"/>
          <w:b/>
          <w:bCs/>
        </w:rPr>
        <w:t xml:space="preserve">informace vzniklé na základě </w:t>
      </w:r>
      <w:r w:rsidR="007F1D67">
        <w:rPr>
          <w:rFonts w:asciiTheme="minorHAnsi" w:hAnsiTheme="minorHAnsi" w:cstheme="minorHAnsi"/>
          <w:b/>
          <w:bCs/>
        </w:rPr>
        <w:t>rozdílně</w:t>
      </w:r>
      <w:r w:rsidRPr="00920634">
        <w:rPr>
          <w:rFonts w:asciiTheme="minorHAnsi" w:hAnsiTheme="minorHAnsi" w:cstheme="minorHAnsi"/>
          <w:b/>
          <w:bCs/>
        </w:rPr>
        <w:t xml:space="preserve"> identifikované role dle ČÚS č. 703 – </w:t>
      </w:r>
      <w:r w:rsidRPr="008D4CD3">
        <w:rPr>
          <w:rFonts w:asciiTheme="minorHAnsi" w:hAnsiTheme="minorHAnsi" w:cstheme="minorHAnsi"/>
          <w:b/>
          <w:bCs/>
          <w:i/>
        </w:rPr>
        <w:t>Transfery</w:t>
      </w:r>
      <w:r w:rsidR="00A76AE4" w:rsidRPr="00920634">
        <w:rPr>
          <w:rFonts w:asciiTheme="minorHAnsi" w:hAnsiTheme="minorHAnsi" w:cstheme="minorHAnsi"/>
          <w:b/>
          <w:bCs/>
        </w:rPr>
        <w:t>.</w:t>
      </w:r>
    </w:p>
    <w:p w14:paraId="73CF139A" w14:textId="3DFD094A" w:rsidR="00626C77" w:rsidRPr="00920634" w:rsidRDefault="0012357A" w:rsidP="00114439">
      <w:pPr>
        <w:jc w:val="both"/>
        <w:rPr>
          <w:rFonts w:asciiTheme="minorHAnsi" w:hAnsiTheme="minorHAnsi" w:cstheme="minorHAnsi"/>
          <w:b/>
          <w:bCs/>
        </w:rPr>
      </w:pPr>
      <w:r w:rsidRPr="00920634">
        <w:rPr>
          <w:rFonts w:asciiTheme="minorHAnsi" w:hAnsiTheme="minorHAnsi" w:cstheme="minorHAnsi"/>
          <w:bCs/>
        </w:rPr>
        <w:t>Identifikované r</w:t>
      </w:r>
      <w:r w:rsidR="00A76AE4" w:rsidRPr="00920634">
        <w:rPr>
          <w:rFonts w:asciiTheme="minorHAnsi" w:hAnsiTheme="minorHAnsi" w:cstheme="minorHAnsi"/>
          <w:bCs/>
        </w:rPr>
        <w:t xml:space="preserve">ozdíly </w:t>
      </w:r>
      <w:r w:rsidR="00F80CB9" w:rsidRPr="00920634">
        <w:rPr>
          <w:rFonts w:asciiTheme="minorHAnsi" w:hAnsiTheme="minorHAnsi" w:cstheme="minorHAnsi"/>
          <w:bCs/>
        </w:rPr>
        <w:t xml:space="preserve">vedou k neporovnatelnosti údajů a </w:t>
      </w:r>
      <w:r w:rsidR="00A76AE4" w:rsidRPr="00920634">
        <w:rPr>
          <w:rFonts w:asciiTheme="minorHAnsi" w:hAnsiTheme="minorHAnsi" w:cstheme="minorHAnsi"/>
          <w:bCs/>
        </w:rPr>
        <w:t>týkají</w:t>
      </w:r>
      <w:r w:rsidR="00F80CB9" w:rsidRPr="00920634">
        <w:rPr>
          <w:rFonts w:asciiTheme="minorHAnsi" w:hAnsiTheme="minorHAnsi" w:cstheme="minorHAnsi"/>
          <w:bCs/>
        </w:rPr>
        <w:t xml:space="preserve"> se</w:t>
      </w:r>
      <w:r w:rsidR="00FB7DC9" w:rsidRPr="00920634">
        <w:rPr>
          <w:rFonts w:asciiTheme="minorHAnsi" w:hAnsiTheme="minorHAnsi" w:cstheme="minorHAnsi"/>
          <w:bCs/>
        </w:rPr>
        <w:t xml:space="preserve"> účtů:</w:t>
      </w:r>
    </w:p>
    <w:p w14:paraId="0002504C" w14:textId="0BCBCC91" w:rsidR="00626C77" w:rsidRPr="00920634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920634">
        <w:rPr>
          <w:rFonts w:asciiTheme="minorHAnsi" w:hAnsiTheme="minorHAnsi" w:cstheme="minorHAnsi"/>
          <w:bCs/>
        </w:rPr>
        <w:t xml:space="preserve">571 – </w:t>
      </w:r>
      <w:r w:rsidRPr="00920634">
        <w:rPr>
          <w:rFonts w:asciiTheme="minorHAnsi" w:hAnsiTheme="minorHAnsi" w:cstheme="minorHAnsi"/>
          <w:bCs/>
          <w:i/>
          <w:iCs/>
        </w:rPr>
        <w:t>Náklady vybraných ústředních vládních institucí na transfery</w:t>
      </w:r>
      <w:r w:rsidRPr="00920634">
        <w:rPr>
          <w:rFonts w:asciiTheme="minorHAnsi" w:hAnsiTheme="minorHAnsi" w:cstheme="minorHAnsi"/>
          <w:bCs/>
        </w:rPr>
        <w:t xml:space="preserve"> a 575 – </w:t>
      </w:r>
      <w:r w:rsidRPr="00920634">
        <w:rPr>
          <w:rFonts w:asciiTheme="minorHAnsi" w:hAnsiTheme="minorHAnsi" w:cstheme="minorHAnsi"/>
          <w:bCs/>
          <w:i/>
          <w:iCs/>
        </w:rPr>
        <w:t xml:space="preserve">Náklady vybraných ústředních vládních institucí na předfinancování transferů </w:t>
      </w:r>
      <w:r w:rsidRPr="00920634">
        <w:rPr>
          <w:rFonts w:asciiTheme="minorHAnsi" w:hAnsiTheme="minorHAnsi" w:cstheme="minorHAnsi"/>
          <w:bCs/>
          <w:iCs/>
        </w:rPr>
        <w:t>(používá MŠMT i</w:t>
      </w:r>
      <w:r w:rsidR="00350806" w:rsidRPr="00920634">
        <w:rPr>
          <w:rFonts w:asciiTheme="minorHAnsi" w:hAnsiTheme="minorHAnsi" w:cstheme="minorHAnsi"/>
          <w:bCs/>
          <w:iCs/>
        </w:rPr>
        <w:t> </w:t>
      </w:r>
      <w:r w:rsidRPr="00920634">
        <w:rPr>
          <w:rFonts w:asciiTheme="minorHAnsi" w:hAnsiTheme="minorHAnsi" w:cstheme="minorHAnsi"/>
          <w:bCs/>
          <w:iCs/>
        </w:rPr>
        <w:t xml:space="preserve">MZe), </w:t>
      </w:r>
      <w:r w:rsidR="00EC7F34">
        <w:rPr>
          <w:rFonts w:asciiTheme="minorHAnsi" w:hAnsiTheme="minorHAnsi" w:cstheme="minorHAnsi"/>
          <w:bCs/>
          <w:iCs/>
        </w:rPr>
        <w:t xml:space="preserve">tyto účty jsou </w:t>
      </w:r>
      <w:r w:rsidRPr="00920634">
        <w:rPr>
          <w:rFonts w:asciiTheme="minorHAnsi" w:hAnsiTheme="minorHAnsi" w:cstheme="minorHAnsi"/>
          <w:bCs/>
          <w:iCs/>
        </w:rPr>
        <w:t>vykáz</w:t>
      </w:r>
      <w:r w:rsidR="00EC7F34">
        <w:rPr>
          <w:rFonts w:asciiTheme="minorHAnsi" w:hAnsiTheme="minorHAnsi" w:cstheme="minorHAnsi"/>
          <w:bCs/>
          <w:iCs/>
        </w:rPr>
        <w:t>ány</w:t>
      </w:r>
      <w:r w:rsidRPr="00920634">
        <w:rPr>
          <w:rFonts w:asciiTheme="minorHAnsi" w:hAnsiTheme="minorHAnsi" w:cstheme="minorHAnsi"/>
          <w:bCs/>
          <w:iCs/>
        </w:rPr>
        <w:t xml:space="preserve"> </w:t>
      </w:r>
      <w:r w:rsidRPr="00920634">
        <w:rPr>
          <w:rFonts w:asciiTheme="minorHAnsi" w:hAnsiTheme="minorHAnsi" w:cstheme="minorHAnsi"/>
        </w:rPr>
        <w:t>ve sloupci č. 3 výkazu zisku a ztráty</w:t>
      </w:r>
      <w:r w:rsidR="00341F56">
        <w:rPr>
          <w:rFonts w:asciiTheme="minorHAnsi" w:hAnsiTheme="minorHAnsi" w:cstheme="minorHAnsi"/>
        </w:rPr>
        <w:t>;</w:t>
      </w:r>
    </w:p>
    <w:p w14:paraId="479ADEB2" w14:textId="01815919" w:rsidR="00FB7DC9" w:rsidRPr="007E28AF" w:rsidRDefault="00FB7DC9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920634">
        <w:rPr>
          <w:rFonts w:asciiTheme="minorHAnsi" w:hAnsiTheme="minorHAnsi" w:cstheme="minorHAnsi"/>
          <w:bCs/>
        </w:rPr>
        <w:t xml:space="preserve">389 – </w:t>
      </w:r>
      <w:r w:rsidRPr="00920634">
        <w:rPr>
          <w:rFonts w:asciiTheme="minorHAnsi" w:hAnsiTheme="minorHAnsi" w:cstheme="minorHAnsi"/>
          <w:bCs/>
          <w:i/>
          <w:iCs/>
        </w:rPr>
        <w:t>Dohadné účty pasivní</w:t>
      </w:r>
      <w:r w:rsidRPr="00920634">
        <w:rPr>
          <w:rFonts w:asciiTheme="minorHAnsi" w:hAnsiTheme="minorHAnsi" w:cstheme="minorHAnsi"/>
          <w:bCs/>
        </w:rPr>
        <w:t xml:space="preserve">, 471 – </w:t>
      </w:r>
      <w:r w:rsidRPr="00920634">
        <w:rPr>
          <w:rFonts w:asciiTheme="minorHAnsi" w:hAnsiTheme="minorHAnsi" w:cstheme="minorHAnsi"/>
          <w:bCs/>
          <w:i/>
          <w:iCs/>
        </w:rPr>
        <w:t>Dlouhodobé poskytnuté zálohy na transfery</w:t>
      </w:r>
      <w:r w:rsidRPr="00920634">
        <w:rPr>
          <w:rFonts w:asciiTheme="minorHAnsi" w:hAnsiTheme="minorHAnsi" w:cstheme="minorHAnsi"/>
          <w:bCs/>
        </w:rPr>
        <w:t xml:space="preserve"> (MZe nepoužívá), </w:t>
      </w:r>
      <w:r w:rsidR="00EC7F34">
        <w:rPr>
          <w:rFonts w:asciiTheme="minorHAnsi" w:hAnsiTheme="minorHAnsi" w:cstheme="minorHAnsi"/>
          <w:bCs/>
          <w:iCs/>
        </w:rPr>
        <w:t xml:space="preserve">tyto účty jsou </w:t>
      </w:r>
      <w:r w:rsidR="00EC7F34" w:rsidRPr="00920634">
        <w:rPr>
          <w:rFonts w:asciiTheme="minorHAnsi" w:hAnsiTheme="minorHAnsi" w:cstheme="minorHAnsi"/>
          <w:bCs/>
          <w:iCs/>
        </w:rPr>
        <w:t>vykáz</w:t>
      </w:r>
      <w:r w:rsidR="00EC7F34">
        <w:rPr>
          <w:rFonts w:asciiTheme="minorHAnsi" w:hAnsiTheme="minorHAnsi" w:cstheme="minorHAnsi"/>
          <w:bCs/>
          <w:iCs/>
        </w:rPr>
        <w:t>ány</w:t>
      </w:r>
      <w:r w:rsidR="00DF76D5" w:rsidRPr="00920634">
        <w:rPr>
          <w:rFonts w:asciiTheme="minorHAnsi" w:hAnsiTheme="minorHAnsi" w:cstheme="minorHAnsi"/>
          <w:bCs/>
        </w:rPr>
        <w:t xml:space="preserve"> </w:t>
      </w:r>
      <w:r w:rsidRPr="00920634">
        <w:rPr>
          <w:rFonts w:asciiTheme="minorHAnsi" w:hAnsiTheme="minorHAnsi" w:cstheme="minorHAnsi"/>
        </w:rPr>
        <w:t xml:space="preserve">ve sloupci č. 4 </w:t>
      </w:r>
      <w:r w:rsidR="00EC7F34">
        <w:rPr>
          <w:rFonts w:asciiTheme="minorHAnsi" w:hAnsiTheme="minorHAnsi" w:cstheme="minorHAnsi"/>
        </w:rPr>
        <w:t xml:space="preserve">výkazu </w:t>
      </w:r>
      <w:r w:rsidRPr="00920634">
        <w:rPr>
          <w:rFonts w:asciiTheme="minorHAnsi" w:hAnsiTheme="minorHAnsi" w:cstheme="minorHAnsi"/>
        </w:rPr>
        <w:t>rozvah</w:t>
      </w:r>
      <w:r w:rsidR="00EC7F34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>.</w:t>
      </w:r>
    </w:p>
    <w:p w14:paraId="68CFE236" w14:textId="77777777" w:rsidR="007E28AF" w:rsidRPr="00532824" w:rsidRDefault="007E28AF" w:rsidP="00114439">
      <w:pPr>
        <w:jc w:val="both"/>
        <w:rPr>
          <w:rFonts w:asciiTheme="minorHAnsi" w:hAnsiTheme="minorHAnsi" w:cstheme="minorHAnsi"/>
          <w:bCs/>
        </w:rPr>
      </w:pPr>
    </w:p>
    <w:p w14:paraId="5F3C8593" w14:textId="76905C01" w:rsidR="00FB7DC9" w:rsidRPr="00920634" w:rsidRDefault="00FB7DC9" w:rsidP="00114439">
      <w:pPr>
        <w:spacing w:line="20" w:lineRule="atLeast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Účetní předpisy problematiku úpravy údajů</w:t>
      </w:r>
      <w:r w:rsidR="00491263">
        <w:rPr>
          <w:rFonts w:asciiTheme="minorHAnsi" w:hAnsiTheme="minorHAnsi" w:cstheme="minorHAnsi"/>
          <w:b/>
        </w:rPr>
        <w:t xml:space="preserve"> výkazů účetní závěrky</w:t>
      </w:r>
      <w:r w:rsidRPr="00920634">
        <w:rPr>
          <w:rFonts w:asciiTheme="minorHAnsi" w:hAnsiTheme="minorHAnsi" w:cstheme="minorHAnsi"/>
          <w:b/>
        </w:rPr>
        <w:t xml:space="preserve"> ve sloupcích za minulé období explicitně neupravují, což dle názoru NKÚ představuje systémové riziko pro</w:t>
      </w:r>
      <w:r w:rsidR="00DF76D5" w:rsidRPr="00920634">
        <w:rPr>
          <w:rFonts w:asciiTheme="minorHAnsi" w:hAnsiTheme="minorHAnsi" w:cstheme="minorHAnsi"/>
          <w:b/>
        </w:rPr>
        <w:t xml:space="preserve"> možnou</w:t>
      </w:r>
      <w:r w:rsidRPr="00920634">
        <w:rPr>
          <w:rFonts w:asciiTheme="minorHAnsi" w:hAnsiTheme="minorHAnsi" w:cstheme="minorHAnsi"/>
          <w:b/>
        </w:rPr>
        <w:t xml:space="preserve"> </w:t>
      </w:r>
      <w:r w:rsidR="00EC7F34">
        <w:rPr>
          <w:rFonts w:asciiTheme="minorHAnsi" w:hAnsiTheme="minorHAnsi" w:cstheme="minorHAnsi"/>
          <w:b/>
        </w:rPr>
        <w:t>porovnatelnost</w:t>
      </w:r>
      <w:r w:rsidRPr="00920634">
        <w:rPr>
          <w:rFonts w:asciiTheme="minorHAnsi" w:hAnsiTheme="minorHAnsi" w:cstheme="minorHAnsi"/>
          <w:b/>
        </w:rPr>
        <w:t xml:space="preserve"> údajů účetníc</w:t>
      </w:r>
      <w:r w:rsidR="005361B9">
        <w:rPr>
          <w:rFonts w:asciiTheme="minorHAnsi" w:hAnsiTheme="minorHAnsi" w:cstheme="minorHAnsi"/>
          <w:b/>
        </w:rPr>
        <w:t>h závěrek OSS a srozumitelnou a </w:t>
      </w:r>
      <w:r w:rsidRPr="00920634">
        <w:rPr>
          <w:rFonts w:asciiTheme="minorHAnsi" w:hAnsiTheme="minorHAnsi" w:cstheme="minorHAnsi"/>
          <w:b/>
        </w:rPr>
        <w:t>předvídatelnou aplikaci účetních předpisů.</w:t>
      </w:r>
      <w:r w:rsidR="00A76AE4" w:rsidRPr="00920634">
        <w:rPr>
          <w:rFonts w:asciiTheme="minorHAnsi" w:hAnsiTheme="minorHAnsi" w:cstheme="minorHAnsi"/>
          <w:b/>
        </w:rPr>
        <w:t xml:space="preserve"> V případě MZe jsou údaje</w:t>
      </w:r>
      <w:r w:rsidR="00EA038E" w:rsidRPr="00920634">
        <w:rPr>
          <w:rFonts w:asciiTheme="minorHAnsi" w:hAnsiTheme="minorHAnsi" w:cstheme="minorHAnsi"/>
          <w:b/>
        </w:rPr>
        <w:t xml:space="preserve"> před</w:t>
      </w:r>
      <w:r w:rsidR="00DF76D5" w:rsidRPr="00920634">
        <w:rPr>
          <w:rFonts w:asciiTheme="minorHAnsi" w:hAnsiTheme="minorHAnsi" w:cstheme="minorHAnsi"/>
          <w:b/>
        </w:rPr>
        <w:t>ané</w:t>
      </w:r>
      <w:r w:rsidR="00EC7F34">
        <w:rPr>
          <w:rFonts w:asciiTheme="minorHAnsi" w:hAnsiTheme="minorHAnsi" w:cstheme="minorHAnsi"/>
          <w:b/>
        </w:rPr>
        <w:t xml:space="preserve"> </w:t>
      </w:r>
      <w:r w:rsidR="00DF76D5" w:rsidRPr="00920634">
        <w:rPr>
          <w:rFonts w:asciiTheme="minorHAnsi" w:hAnsiTheme="minorHAnsi" w:cstheme="minorHAnsi"/>
          <w:b/>
        </w:rPr>
        <w:t>k 31. březnu 2015</w:t>
      </w:r>
      <w:r w:rsidR="00EA038E" w:rsidRPr="00920634">
        <w:rPr>
          <w:rFonts w:asciiTheme="minorHAnsi" w:hAnsiTheme="minorHAnsi" w:cstheme="minorHAnsi"/>
          <w:b/>
        </w:rPr>
        <w:t xml:space="preserve"> do </w:t>
      </w:r>
      <w:r w:rsidR="004C6E02" w:rsidRPr="00920634">
        <w:rPr>
          <w:rFonts w:asciiTheme="minorHAnsi" w:hAnsiTheme="minorHAnsi" w:cstheme="minorHAnsi"/>
          <w:b/>
        </w:rPr>
        <w:t>centrálního systému účetních informací státu</w:t>
      </w:r>
      <w:r w:rsidR="004C6E02" w:rsidRPr="00920634">
        <w:rPr>
          <w:rStyle w:val="Znakapoznpodarou"/>
          <w:rFonts w:asciiTheme="minorHAnsi" w:hAnsiTheme="minorHAnsi" w:cstheme="minorHAnsi"/>
          <w:b/>
        </w:rPr>
        <w:footnoteReference w:id="48"/>
      </w:r>
      <w:r w:rsidR="00EA038E" w:rsidRPr="00920634">
        <w:rPr>
          <w:rFonts w:asciiTheme="minorHAnsi" w:hAnsiTheme="minorHAnsi" w:cstheme="minorHAnsi"/>
          <w:b/>
        </w:rPr>
        <w:t xml:space="preserve"> již</w:t>
      </w:r>
      <w:r w:rsidR="00A76AE4" w:rsidRPr="00920634">
        <w:rPr>
          <w:rFonts w:asciiTheme="minorHAnsi" w:hAnsiTheme="minorHAnsi" w:cstheme="minorHAnsi"/>
          <w:b/>
        </w:rPr>
        <w:t xml:space="preserve"> srovnatelné</w:t>
      </w:r>
      <w:r w:rsidR="00B61D5B">
        <w:rPr>
          <w:rFonts w:asciiTheme="minorHAnsi" w:hAnsiTheme="minorHAnsi" w:cstheme="minorHAnsi"/>
          <w:b/>
        </w:rPr>
        <w:t>.</w:t>
      </w:r>
      <w:r w:rsidR="00EA038E" w:rsidRPr="00920634">
        <w:rPr>
          <w:rFonts w:asciiTheme="minorHAnsi" w:hAnsiTheme="minorHAnsi" w:cstheme="minorHAnsi"/>
          <w:b/>
        </w:rPr>
        <w:t xml:space="preserve"> </w:t>
      </w:r>
    </w:p>
    <w:p w14:paraId="2FDD3191" w14:textId="77777777" w:rsidR="00FB7DC9" w:rsidRPr="007422EE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53C3675C" w14:textId="1B269843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 xml:space="preserve">4.3 </w:t>
      </w:r>
      <w:r w:rsidR="00994D9F" w:rsidRPr="00920634">
        <w:rPr>
          <w:rFonts w:asciiTheme="minorHAnsi" w:hAnsiTheme="minorHAnsi" w:cstheme="minorHAnsi"/>
          <w:b/>
          <w:sz w:val="24"/>
        </w:rPr>
        <w:t xml:space="preserve">Vzájemná propojenost údajů </w:t>
      </w:r>
      <w:r w:rsidR="008D073A">
        <w:rPr>
          <w:rFonts w:asciiTheme="minorHAnsi" w:hAnsiTheme="minorHAnsi" w:cstheme="minorHAnsi"/>
          <w:b/>
          <w:sz w:val="24"/>
        </w:rPr>
        <w:t>v </w:t>
      </w:r>
      <w:r w:rsidRPr="00920634">
        <w:rPr>
          <w:rFonts w:asciiTheme="minorHAnsi" w:hAnsiTheme="minorHAnsi" w:cstheme="minorHAnsi"/>
          <w:b/>
          <w:sz w:val="24"/>
        </w:rPr>
        <w:t>informačních systém</w:t>
      </w:r>
      <w:r w:rsidR="00994D9F" w:rsidRPr="00920634">
        <w:rPr>
          <w:rFonts w:asciiTheme="minorHAnsi" w:hAnsiTheme="minorHAnsi" w:cstheme="minorHAnsi"/>
          <w:b/>
          <w:sz w:val="24"/>
        </w:rPr>
        <w:t>ech</w:t>
      </w:r>
    </w:p>
    <w:p w14:paraId="0A610C8B" w14:textId="77777777" w:rsidR="00FB7DC9" w:rsidRPr="007422EE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3FBA8EE9" w14:textId="03A98A89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 rámci kontroly byla prověř</w:t>
      </w:r>
      <w:r w:rsidR="00EC7F34">
        <w:rPr>
          <w:rFonts w:asciiTheme="minorHAnsi" w:hAnsiTheme="minorHAnsi" w:cstheme="minorHAnsi"/>
        </w:rPr>
        <w:t>ena</w:t>
      </w:r>
      <w:r w:rsidRPr="00920634">
        <w:rPr>
          <w:rFonts w:asciiTheme="minorHAnsi" w:hAnsiTheme="minorHAnsi" w:cstheme="minorHAnsi"/>
        </w:rPr>
        <w:t xml:space="preserve"> </w:t>
      </w:r>
      <w:r w:rsidR="0012357A" w:rsidRPr="00920634">
        <w:rPr>
          <w:rFonts w:asciiTheme="minorHAnsi" w:hAnsiTheme="minorHAnsi" w:cstheme="minorHAnsi"/>
        </w:rPr>
        <w:t>propojenost</w:t>
      </w:r>
      <w:r w:rsidRPr="00920634">
        <w:rPr>
          <w:rFonts w:asciiTheme="minorHAnsi" w:hAnsiTheme="minorHAnsi" w:cstheme="minorHAnsi"/>
        </w:rPr>
        <w:t xml:space="preserve"> údajů vedených v účetnictví </w:t>
      </w:r>
      <w:r w:rsidR="00EC7F34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 xml:space="preserve">vykázaných v účetních závěrkách MŠMT a MZe sestavených k 31. </w:t>
      </w:r>
      <w:r w:rsidR="00626C77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 a údajů </w:t>
      </w:r>
      <w:r w:rsidR="00492E7B" w:rsidRPr="00920634">
        <w:rPr>
          <w:rFonts w:asciiTheme="minorHAnsi" w:hAnsiTheme="minorHAnsi" w:cstheme="minorHAnsi"/>
        </w:rPr>
        <w:t>vedených</w:t>
      </w:r>
      <w:r w:rsidRPr="00920634">
        <w:rPr>
          <w:rFonts w:asciiTheme="minorHAnsi" w:hAnsiTheme="minorHAnsi" w:cstheme="minorHAnsi"/>
        </w:rPr>
        <w:t xml:space="preserve"> v rozpočtovém informačním systému k 31. </w:t>
      </w:r>
      <w:r w:rsidR="00626C77" w:rsidRPr="00920634">
        <w:rPr>
          <w:rFonts w:asciiTheme="minorHAnsi" w:hAnsiTheme="minorHAnsi" w:cstheme="minorHAnsi"/>
        </w:rPr>
        <w:t>prosinci</w:t>
      </w:r>
      <w:r w:rsidRPr="00920634">
        <w:rPr>
          <w:rFonts w:asciiTheme="minorHAnsi" w:hAnsiTheme="minorHAnsi" w:cstheme="minorHAnsi"/>
        </w:rPr>
        <w:t xml:space="preserve"> 2014 </w:t>
      </w:r>
      <w:r w:rsidR="00EC7F34">
        <w:rPr>
          <w:rFonts w:asciiTheme="minorHAnsi" w:hAnsiTheme="minorHAnsi" w:cstheme="minorHAnsi"/>
        </w:rPr>
        <w:t>ve vztahu k</w:t>
      </w:r>
      <w:r w:rsidRPr="00920634">
        <w:rPr>
          <w:rFonts w:asciiTheme="minorHAnsi" w:hAnsiTheme="minorHAnsi" w:cstheme="minorHAnsi"/>
        </w:rPr>
        <w:t> údaj</w:t>
      </w:r>
      <w:r w:rsidR="00EC7F34">
        <w:rPr>
          <w:rFonts w:asciiTheme="minorHAnsi" w:hAnsiTheme="minorHAnsi" w:cstheme="minorHAnsi"/>
        </w:rPr>
        <w:t>ům</w:t>
      </w:r>
      <w:r w:rsidRPr="00920634">
        <w:rPr>
          <w:rFonts w:asciiTheme="minorHAnsi" w:hAnsiTheme="minorHAnsi" w:cstheme="minorHAnsi"/>
        </w:rPr>
        <w:t xml:space="preserve"> </w:t>
      </w:r>
      <w:r w:rsidR="00492E7B" w:rsidRPr="00920634">
        <w:rPr>
          <w:rFonts w:asciiTheme="minorHAnsi" w:hAnsiTheme="minorHAnsi" w:cstheme="minorHAnsi"/>
        </w:rPr>
        <w:t>vedeným</w:t>
      </w:r>
      <w:r w:rsidRPr="00920634">
        <w:rPr>
          <w:rFonts w:asciiTheme="minorHAnsi" w:hAnsiTheme="minorHAnsi" w:cstheme="minorHAnsi"/>
        </w:rPr>
        <w:t xml:space="preserve"> v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informačních systémech, ve kterých jsou monitorovány údaje o</w:t>
      </w:r>
      <w:r w:rsidR="008D073A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prostředcích se vztahem ke zdrojům v zahraničí (</w:t>
      </w:r>
      <w:r w:rsidRPr="008D4CD3">
        <w:rPr>
          <w:rFonts w:asciiTheme="minorHAnsi" w:hAnsiTheme="minorHAnsi" w:cstheme="minorHAnsi"/>
          <w:i/>
        </w:rPr>
        <w:t>Monit7+</w:t>
      </w:r>
      <w:r w:rsidR="003E1077" w:rsidRPr="00920634">
        <w:rPr>
          <w:rStyle w:val="Znakapoznpodarou"/>
          <w:rFonts w:asciiTheme="minorHAnsi" w:hAnsiTheme="minorHAnsi" w:cstheme="minorHAnsi"/>
        </w:rPr>
        <w:footnoteReference w:id="49"/>
      </w:r>
      <w:r w:rsidRPr="00920634">
        <w:rPr>
          <w:rFonts w:asciiTheme="minorHAnsi" w:hAnsiTheme="minorHAnsi" w:cstheme="minorHAnsi"/>
        </w:rPr>
        <w:t>, MSC2007, IS</w:t>
      </w:r>
      <w:r w:rsidR="00EC7F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SAP</w:t>
      </w:r>
      <w:r w:rsidR="00EC7F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SZIF</w:t>
      </w:r>
      <w:r w:rsidR="003E1077" w:rsidRPr="00920634">
        <w:rPr>
          <w:rStyle w:val="Znakapoznpodarou"/>
          <w:rFonts w:asciiTheme="minorHAnsi" w:hAnsiTheme="minorHAnsi" w:cstheme="minorHAnsi"/>
        </w:rPr>
        <w:footnoteReference w:id="50"/>
      </w:r>
      <w:r w:rsidRPr="00920634">
        <w:rPr>
          <w:rFonts w:asciiTheme="minorHAnsi" w:hAnsiTheme="minorHAnsi" w:cstheme="minorHAnsi"/>
        </w:rPr>
        <w:t>)</w:t>
      </w:r>
      <w:r w:rsidR="00EC7F34">
        <w:rPr>
          <w:rFonts w:asciiTheme="minorHAnsi" w:hAnsiTheme="minorHAnsi" w:cstheme="minorHAnsi"/>
        </w:rPr>
        <w:t>.</w:t>
      </w:r>
      <w:r w:rsidRPr="00920634">
        <w:rPr>
          <w:rStyle w:val="Znakapoznpodarou"/>
          <w:rFonts w:asciiTheme="minorHAnsi" w:hAnsiTheme="minorHAnsi" w:cstheme="minorHAnsi"/>
        </w:rPr>
        <w:footnoteReference w:id="51"/>
      </w:r>
      <w:r w:rsidR="0074225B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V rámci kontrolovaného rozsahu údajů nebyly zjištěny případy, že by kontrolované údaje nebyly v požadovaném rozsahu</w:t>
      </w:r>
      <w:r w:rsidR="0082154E" w:rsidRPr="00920634">
        <w:rPr>
          <w:rFonts w:asciiTheme="minorHAnsi" w:hAnsiTheme="minorHAnsi" w:cstheme="minorHAnsi"/>
        </w:rPr>
        <w:t xml:space="preserve"> vedeny v těchto systémech</w:t>
      </w:r>
      <w:r w:rsidRPr="00920634">
        <w:rPr>
          <w:rFonts w:asciiTheme="minorHAnsi" w:hAnsiTheme="minorHAnsi" w:cstheme="minorHAnsi"/>
        </w:rPr>
        <w:t xml:space="preserve"> ve srovnání se systémem účetním a rozpočtovým. </w:t>
      </w:r>
      <w:r w:rsidR="0082154E" w:rsidRPr="00920634">
        <w:rPr>
          <w:rFonts w:asciiTheme="minorHAnsi" w:hAnsiTheme="minorHAnsi" w:cstheme="minorHAnsi"/>
        </w:rPr>
        <w:t>U</w:t>
      </w:r>
      <w:r w:rsidR="00920634" w:rsidRPr="00920634">
        <w:rPr>
          <w:rFonts w:asciiTheme="minorHAnsi" w:hAnsiTheme="minorHAnsi" w:cstheme="minorHAnsi"/>
        </w:rPr>
        <w:t> </w:t>
      </w:r>
      <w:r w:rsidR="0082154E" w:rsidRPr="00920634">
        <w:rPr>
          <w:rFonts w:asciiTheme="minorHAnsi" w:hAnsiTheme="minorHAnsi" w:cstheme="minorHAnsi"/>
        </w:rPr>
        <w:t>MŠMT v</w:t>
      </w:r>
      <w:r w:rsidRPr="00920634">
        <w:rPr>
          <w:rFonts w:asciiTheme="minorHAnsi" w:hAnsiTheme="minorHAnsi" w:cstheme="minorHAnsi"/>
        </w:rPr>
        <w:t> případě OP VK a OP VaVpI</w:t>
      </w:r>
      <w:r w:rsidR="00B05967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nebyl</w:t>
      </w:r>
      <w:r w:rsidR="0082154E" w:rsidRPr="00920634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údaje z</w:t>
      </w:r>
      <w:r w:rsidR="0082154E" w:rsidRPr="00920634">
        <w:rPr>
          <w:rFonts w:asciiTheme="minorHAnsi" w:hAnsiTheme="minorHAnsi" w:cstheme="minorHAnsi"/>
        </w:rPr>
        <w:t> informačního systému</w:t>
      </w:r>
      <w:r w:rsidRPr="00920634">
        <w:rPr>
          <w:rFonts w:asciiTheme="minorHAnsi" w:hAnsiTheme="minorHAnsi" w:cstheme="minorHAnsi"/>
        </w:rPr>
        <w:t xml:space="preserve"> </w:t>
      </w:r>
      <w:r w:rsidRPr="008D4CD3">
        <w:rPr>
          <w:rFonts w:asciiTheme="minorHAnsi" w:hAnsiTheme="minorHAnsi" w:cstheme="minorHAnsi"/>
          <w:i/>
        </w:rPr>
        <w:t>Monit7+</w:t>
      </w:r>
      <w:r w:rsidRPr="00920634">
        <w:rPr>
          <w:rFonts w:asciiTheme="minorHAnsi" w:hAnsiTheme="minorHAnsi" w:cstheme="minorHAnsi"/>
        </w:rPr>
        <w:t xml:space="preserve"> celkově použ</w:t>
      </w:r>
      <w:r w:rsidR="0082154E" w:rsidRPr="00920634">
        <w:rPr>
          <w:rFonts w:asciiTheme="minorHAnsi" w:hAnsiTheme="minorHAnsi" w:cstheme="minorHAnsi"/>
        </w:rPr>
        <w:t>ity</w:t>
      </w:r>
      <w:r w:rsidRPr="00920634">
        <w:rPr>
          <w:rFonts w:asciiTheme="minorHAnsi" w:hAnsiTheme="minorHAnsi" w:cstheme="minorHAnsi"/>
        </w:rPr>
        <w:t xml:space="preserve"> např. pro analytické ověření zůstatku poskytnutých záloh, </w:t>
      </w:r>
      <w:r w:rsidR="0082154E" w:rsidRPr="00920634">
        <w:rPr>
          <w:rFonts w:asciiTheme="minorHAnsi" w:hAnsiTheme="minorHAnsi" w:cstheme="minorHAnsi"/>
        </w:rPr>
        <w:t>vedených</w:t>
      </w:r>
      <w:r w:rsidRPr="00920634">
        <w:rPr>
          <w:rFonts w:asciiTheme="minorHAnsi" w:hAnsiTheme="minorHAnsi" w:cstheme="minorHAnsi"/>
        </w:rPr>
        <w:t xml:space="preserve"> v účetnictví</w:t>
      </w:r>
      <w:r w:rsidR="0082154E" w:rsidRPr="00920634">
        <w:rPr>
          <w:rFonts w:asciiTheme="minorHAnsi" w:hAnsiTheme="minorHAnsi" w:cstheme="minorHAnsi"/>
        </w:rPr>
        <w:t xml:space="preserve"> z důvodu nadměrné</w:t>
      </w:r>
      <w:r w:rsidRPr="00920634">
        <w:rPr>
          <w:rFonts w:asciiTheme="minorHAnsi" w:hAnsiTheme="minorHAnsi" w:cstheme="minorHAnsi"/>
        </w:rPr>
        <w:t xml:space="preserve"> náročn</w:t>
      </w:r>
      <w:r w:rsidR="00492E7B" w:rsidRPr="00920634">
        <w:rPr>
          <w:rFonts w:asciiTheme="minorHAnsi" w:hAnsiTheme="minorHAnsi" w:cstheme="minorHAnsi"/>
        </w:rPr>
        <w:t>osti</w:t>
      </w:r>
      <w:r w:rsidR="0082154E" w:rsidRPr="00920634">
        <w:rPr>
          <w:rFonts w:asciiTheme="minorHAnsi" w:hAnsiTheme="minorHAnsi" w:cstheme="minorHAnsi"/>
        </w:rPr>
        <w:t xml:space="preserve"> nutných</w:t>
      </w:r>
      <w:r w:rsidRPr="00920634">
        <w:rPr>
          <w:rFonts w:asciiTheme="minorHAnsi" w:hAnsiTheme="minorHAnsi" w:cstheme="minorHAnsi"/>
        </w:rPr>
        <w:t xml:space="preserve"> úprav dat</w:t>
      </w:r>
      <w:r w:rsidR="0074225B" w:rsidRPr="00920634">
        <w:rPr>
          <w:rFonts w:asciiTheme="minorHAnsi" w:hAnsiTheme="minorHAnsi" w:cstheme="minorHAnsi"/>
        </w:rPr>
        <w:t xml:space="preserve"> </w:t>
      </w:r>
      <w:r w:rsidR="0082154E" w:rsidRPr="00920634">
        <w:rPr>
          <w:rFonts w:asciiTheme="minorHAnsi" w:hAnsiTheme="minorHAnsi" w:cstheme="minorHAnsi"/>
        </w:rPr>
        <w:t>(n</w:t>
      </w:r>
      <w:r w:rsidR="00457874" w:rsidRPr="00920634">
        <w:rPr>
          <w:rFonts w:asciiTheme="minorHAnsi" w:hAnsiTheme="minorHAnsi" w:cstheme="minorHAnsi"/>
        </w:rPr>
        <w:t>apř. okamžik vypořádání projektu, používaný v účetnictví pro zúčtování záloh, je odlišný od obdoby tohoto údaje sledovaného v </w:t>
      </w:r>
      <w:r w:rsidR="00457874" w:rsidRPr="008D4CD3">
        <w:rPr>
          <w:rFonts w:asciiTheme="minorHAnsi" w:hAnsiTheme="minorHAnsi" w:cstheme="minorHAnsi"/>
          <w:i/>
        </w:rPr>
        <w:t>Monit7+</w:t>
      </w:r>
      <w:r w:rsidR="00457874" w:rsidRPr="00920634">
        <w:rPr>
          <w:rFonts w:asciiTheme="minorHAnsi" w:hAnsiTheme="minorHAnsi" w:cstheme="minorHAnsi"/>
        </w:rPr>
        <w:t>, tzv. okamžiku uzavření projektu říd</w:t>
      </w:r>
      <w:r w:rsidR="008E460C">
        <w:rPr>
          <w:rFonts w:asciiTheme="minorHAnsi" w:hAnsiTheme="minorHAnsi" w:cstheme="minorHAnsi"/>
        </w:rPr>
        <w:t>i</w:t>
      </w:r>
      <w:r w:rsidR="00457874" w:rsidRPr="00920634">
        <w:rPr>
          <w:rFonts w:asciiTheme="minorHAnsi" w:hAnsiTheme="minorHAnsi" w:cstheme="minorHAnsi"/>
        </w:rPr>
        <w:t>cím orgánem</w:t>
      </w:r>
      <w:r w:rsidR="0082154E" w:rsidRPr="00920634">
        <w:rPr>
          <w:rFonts w:asciiTheme="minorHAnsi" w:hAnsiTheme="minorHAnsi" w:cstheme="minorHAnsi"/>
        </w:rPr>
        <w:t>)</w:t>
      </w:r>
      <w:r w:rsidR="00457874" w:rsidRPr="00920634">
        <w:rPr>
          <w:rFonts w:asciiTheme="minorHAnsi" w:hAnsiTheme="minorHAnsi" w:cstheme="minorHAnsi"/>
        </w:rPr>
        <w:t>.</w:t>
      </w:r>
    </w:p>
    <w:p w14:paraId="50D1E9CE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20035DD4" w14:textId="1A346EB5" w:rsidR="00FB7DC9" w:rsidRPr="00920634" w:rsidRDefault="00FB7DC9" w:rsidP="00496B9F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>4.4 Rozpočtový informační systém a finanční výkazy</w:t>
      </w:r>
    </w:p>
    <w:p w14:paraId="3C334743" w14:textId="77777777" w:rsidR="00FB7DC9" w:rsidRPr="00496B9F" w:rsidRDefault="00FB7DC9" w:rsidP="00496B9F">
      <w:pPr>
        <w:pStyle w:val="NormlnKZ"/>
        <w:keepNext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1641A67D" w14:textId="5EE79D95" w:rsidR="00FB7DC9" w:rsidRPr="00920634" w:rsidRDefault="008E460C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Informace o p</w:t>
      </w:r>
      <w:r w:rsidR="00FB7DC9" w:rsidRPr="00920634">
        <w:rPr>
          <w:rFonts w:asciiTheme="minorHAnsi" w:hAnsiTheme="minorHAnsi" w:cstheme="minorHAnsi"/>
          <w:sz w:val="24"/>
        </w:rPr>
        <w:t>řijat</w:t>
      </w:r>
      <w:r>
        <w:rPr>
          <w:rFonts w:asciiTheme="minorHAnsi" w:hAnsiTheme="minorHAnsi" w:cstheme="minorHAnsi"/>
          <w:sz w:val="24"/>
        </w:rPr>
        <w:t>ých</w:t>
      </w:r>
      <w:r w:rsidR="00FB7DC9" w:rsidRPr="00920634">
        <w:rPr>
          <w:rFonts w:asciiTheme="minorHAnsi" w:hAnsiTheme="minorHAnsi" w:cstheme="minorHAnsi"/>
          <w:sz w:val="24"/>
        </w:rPr>
        <w:t xml:space="preserve"> a vydan</w:t>
      </w:r>
      <w:r>
        <w:rPr>
          <w:rFonts w:asciiTheme="minorHAnsi" w:hAnsiTheme="minorHAnsi" w:cstheme="minorHAnsi"/>
          <w:sz w:val="24"/>
        </w:rPr>
        <w:t>ých</w:t>
      </w:r>
      <w:r w:rsidR="00FB7DC9" w:rsidRPr="00920634">
        <w:rPr>
          <w:rFonts w:asciiTheme="minorHAnsi" w:hAnsiTheme="minorHAnsi" w:cstheme="minorHAnsi"/>
          <w:sz w:val="24"/>
        </w:rPr>
        <w:t xml:space="preserve"> prostřed</w:t>
      </w:r>
      <w:r>
        <w:rPr>
          <w:rFonts w:asciiTheme="minorHAnsi" w:hAnsiTheme="minorHAnsi" w:cstheme="minorHAnsi"/>
          <w:sz w:val="24"/>
        </w:rPr>
        <w:t>cích</w:t>
      </w:r>
      <w:r w:rsidR="00FB7DC9" w:rsidRPr="00920634">
        <w:rPr>
          <w:rFonts w:asciiTheme="minorHAnsi" w:hAnsiTheme="minorHAnsi" w:cstheme="minorHAnsi"/>
          <w:sz w:val="24"/>
        </w:rPr>
        <w:t xml:space="preserve"> se vztahem ke zdrojům v zahraničí představují </w:t>
      </w:r>
      <w:r>
        <w:rPr>
          <w:rFonts w:asciiTheme="minorHAnsi" w:hAnsiTheme="minorHAnsi" w:cstheme="minorHAnsi"/>
          <w:sz w:val="24"/>
        </w:rPr>
        <w:t>u</w:t>
      </w:r>
      <w:r w:rsidR="00FB7DC9" w:rsidRPr="00920634">
        <w:rPr>
          <w:rFonts w:asciiTheme="minorHAnsi" w:hAnsiTheme="minorHAnsi" w:cstheme="minorHAnsi"/>
          <w:sz w:val="24"/>
        </w:rPr>
        <w:t xml:space="preserve"> MŠMT i MZe významnou součást</w:t>
      </w:r>
      <w:r w:rsidR="0074225B" w:rsidRPr="00920634">
        <w:rPr>
          <w:rFonts w:asciiTheme="minorHAnsi" w:hAnsiTheme="minorHAnsi" w:cstheme="minorHAnsi"/>
          <w:sz w:val="24"/>
        </w:rPr>
        <w:t xml:space="preserve"> </w:t>
      </w:r>
      <w:r w:rsidR="00FB7DC9" w:rsidRPr="00920634">
        <w:rPr>
          <w:rFonts w:asciiTheme="minorHAnsi" w:hAnsiTheme="minorHAnsi" w:cstheme="minorHAnsi"/>
          <w:sz w:val="24"/>
        </w:rPr>
        <w:t>údajů</w:t>
      </w:r>
      <w:r w:rsidR="00492E7B" w:rsidRPr="00920634">
        <w:rPr>
          <w:rFonts w:asciiTheme="minorHAnsi" w:hAnsiTheme="minorHAnsi" w:cstheme="minorHAnsi"/>
          <w:sz w:val="24"/>
        </w:rPr>
        <w:t xml:space="preserve"> předávaných</w:t>
      </w:r>
      <w:r w:rsidR="00FB7DC9" w:rsidRPr="00920634">
        <w:rPr>
          <w:rFonts w:asciiTheme="minorHAnsi" w:hAnsiTheme="minorHAnsi" w:cstheme="minorHAnsi"/>
          <w:sz w:val="24"/>
        </w:rPr>
        <w:t xml:space="preserve"> pro hodnocení plnění rozpočtu</w:t>
      </w:r>
      <w:r>
        <w:rPr>
          <w:rFonts w:asciiTheme="minorHAnsi" w:hAnsiTheme="minorHAnsi" w:cstheme="minorHAnsi"/>
          <w:sz w:val="24"/>
        </w:rPr>
        <w:t>;</w:t>
      </w:r>
      <w:r w:rsidR="00FB7DC9" w:rsidRPr="0092063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tyto </w:t>
      </w:r>
      <w:r>
        <w:rPr>
          <w:rFonts w:asciiTheme="minorHAnsi" w:hAnsiTheme="minorHAnsi" w:cstheme="minorHAnsi"/>
          <w:sz w:val="24"/>
        </w:rPr>
        <w:lastRenderedPageBreak/>
        <w:t xml:space="preserve">údaje jsou </w:t>
      </w:r>
      <w:r w:rsidR="00492E7B" w:rsidRPr="00920634">
        <w:rPr>
          <w:rFonts w:asciiTheme="minorHAnsi" w:hAnsiTheme="minorHAnsi" w:cstheme="minorHAnsi"/>
          <w:sz w:val="24"/>
        </w:rPr>
        <w:t>veden</w:t>
      </w:r>
      <w:r>
        <w:rPr>
          <w:rFonts w:asciiTheme="minorHAnsi" w:hAnsiTheme="minorHAnsi" w:cstheme="minorHAnsi"/>
          <w:sz w:val="24"/>
        </w:rPr>
        <w:t>y</w:t>
      </w:r>
      <w:r w:rsidR="00FB7DC9" w:rsidRPr="00920634">
        <w:rPr>
          <w:rFonts w:asciiTheme="minorHAnsi" w:hAnsiTheme="minorHAnsi" w:cstheme="minorHAnsi"/>
          <w:sz w:val="24"/>
        </w:rPr>
        <w:t xml:space="preserve"> v rozpočtovém informačním systému a</w:t>
      </w:r>
      <w:r w:rsidR="00492E7B" w:rsidRPr="00920634">
        <w:rPr>
          <w:rFonts w:asciiTheme="minorHAnsi" w:hAnsiTheme="minorHAnsi" w:cstheme="minorHAnsi"/>
          <w:sz w:val="24"/>
        </w:rPr>
        <w:t xml:space="preserve"> vykazov</w:t>
      </w:r>
      <w:r>
        <w:rPr>
          <w:rFonts w:asciiTheme="minorHAnsi" w:hAnsiTheme="minorHAnsi" w:cstheme="minorHAnsi"/>
          <w:sz w:val="24"/>
        </w:rPr>
        <w:t>ány</w:t>
      </w:r>
      <w:r w:rsidR="00492E7B" w:rsidRPr="00920634">
        <w:rPr>
          <w:rFonts w:asciiTheme="minorHAnsi" w:hAnsiTheme="minorHAnsi" w:cstheme="minorHAnsi"/>
          <w:sz w:val="24"/>
        </w:rPr>
        <w:t xml:space="preserve"> ve</w:t>
      </w:r>
      <w:r w:rsidR="00FB7DC9" w:rsidRPr="00920634">
        <w:rPr>
          <w:rFonts w:asciiTheme="minorHAnsi" w:hAnsiTheme="minorHAnsi" w:cstheme="minorHAnsi"/>
          <w:sz w:val="24"/>
        </w:rPr>
        <w:t xml:space="preserve"> finančních výkazech, kde jsou tříděny </w:t>
      </w:r>
      <w:r>
        <w:rPr>
          <w:rFonts w:asciiTheme="minorHAnsi" w:hAnsiTheme="minorHAnsi" w:cstheme="minorHAnsi"/>
          <w:sz w:val="24"/>
        </w:rPr>
        <w:t>ve smyslu</w:t>
      </w:r>
      <w:r w:rsidR="00FB7DC9" w:rsidRPr="00920634">
        <w:rPr>
          <w:rFonts w:asciiTheme="minorHAnsi" w:hAnsiTheme="minorHAnsi" w:cstheme="minorHAnsi"/>
          <w:sz w:val="24"/>
        </w:rPr>
        <w:t xml:space="preserve"> vyhlášk</w:t>
      </w:r>
      <w:r>
        <w:rPr>
          <w:rFonts w:asciiTheme="minorHAnsi" w:hAnsiTheme="minorHAnsi" w:cstheme="minorHAnsi"/>
          <w:sz w:val="24"/>
        </w:rPr>
        <w:t>y</w:t>
      </w:r>
      <w:r w:rsidR="00FB7DC9" w:rsidRPr="00920634">
        <w:rPr>
          <w:rFonts w:asciiTheme="minorHAnsi" w:hAnsiTheme="minorHAnsi" w:cstheme="minorHAnsi"/>
          <w:sz w:val="24"/>
        </w:rPr>
        <w:t xml:space="preserve"> č. 323/2002 Sb.</w:t>
      </w:r>
      <w:r w:rsidR="00492E7B" w:rsidRPr="00920634">
        <w:rPr>
          <w:rFonts w:asciiTheme="minorHAnsi" w:hAnsiTheme="minorHAnsi" w:cstheme="minorHAnsi"/>
          <w:sz w:val="24"/>
        </w:rPr>
        <w:t xml:space="preserve"> dle</w:t>
      </w:r>
      <w:r w:rsidR="00FB7DC9" w:rsidRPr="00920634">
        <w:rPr>
          <w:rFonts w:asciiTheme="minorHAnsi" w:hAnsiTheme="minorHAnsi" w:cstheme="minorHAnsi"/>
          <w:sz w:val="24"/>
        </w:rPr>
        <w:t xml:space="preserve"> třinácti hledisek. </w:t>
      </w:r>
    </w:p>
    <w:p w14:paraId="6F9CD862" w14:textId="77777777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34251BB6" w14:textId="04844A67" w:rsidR="0074225B" w:rsidRPr="00920634" w:rsidRDefault="00FB7DC9" w:rsidP="00114439">
      <w:pPr>
        <w:pStyle w:val="NormlnKZ"/>
        <w:spacing w:after="0"/>
        <w:ind w:left="720" w:hanging="72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V rámci kontrol</w:t>
      </w:r>
      <w:r w:rsidR="00626C77" w:rsidRPr="00920634">
        <w:rPr>
          <w:rFonts w:asciiTheme="minorHAnsi" w:hAnsiTheme="minorHAnsi" w:cstheme="minorHAnsi"/>
          <w:sz w:val="24"/>
        </w:rPr>
        <w:t>y</w:t>
      </w:r>
      <w:r w:rsidR="0074225B" w:rsidRPr="00920634">
        <w:rPr>
          <w:rFonts w:asciiTheme="minorHAnsi" w:hAnsiTheme="minorHAnsi" w:cstheme="minorHAnsi"/>
          <w:sz w:val="24"/>
        </w:rPr>
        <w:t xml:space="preserve"> </w:t>
      </w:r>
      <w:r w:rsidRPr="00920634">
        <w:rPr>
          <w:rFonts w:asciiTheme="minorHAnsi" w:hAnsiTheme="minorHAnsi" w:cstheme="minorHAnsi"/>
          <w:sz w:val="24"/>
        </w:rPr>
        <w:t>bylo zjištěno</w:t>
      </w:r>
      <w:r w:rsidR="000F6AD8">
        <w:rPr>
          <w:rFonts w:asciiTheme="minorHAnsi" w:hAnsiTheme="minorHAnsi" w:cstheme="minorHAnsi"/>
          <w:sz w:val="24"/>
        </w:rPr>
        <w:t>, že</w:t>
      </w:r>
      <w:r w:rsidR="0074225B" w:rsidRPr="00920634">
        <w:rPr>
          <w:rFonts w:asciiTheme="minorHAnsi" w:hAnsiTheme="minorHAnsi" w:cstheme="minorHAnsi"/>
          <w:sz w:val="24"/>
        </w:rPr>
        <w:t>:</w:t>
      </w:r>
    </w:p>
    <w:p w14:paraId="05511E66" w14:textId="22F8E885" w:rsidR="00FB7DC9" w:rsidRPr="00920634" w:rsidRDefault="00B75579" w:rsidP="00114439">
      <w:pPr>
        <w:pStyle w:val="NormlnKZ"/>
        <w:numPr>
          <w:ilvl w:val="0"/>
          <w:numId w:val="48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nástroj</w:t>
      </w:r>
      <w:r>
        <w:rPr>
          <w:rFonts w:asciiTheme="minorHAnsi" w:hAnsiTheme="minorHAnsi" w:cstheme="minorHAnsi"/>
          <w:sz w:val="24"/>
        </w:rPr>
        <w:t xml:space="preserve">e třídění v </w:t>
      </w:r>
      <w:r w:rsidR="00F132A7" w:rsidRPr="00920634">
        <w:rPr>
          <w:rFonts w:asciiTheme="minorHAnsi" w:hAnsiTheme="minorHAnsi" w:cstheme="minorHAnsi"/>
          <w:sz w:val="24"/>
        </w:rPr>
        <w:t>rozpočtov</w:t>
      </w:r>
      <w:r>
        <w:rPr>
          <w:rFonts w:asciiTheme="minorHAnsi" w:hAnsiTheme="minorHAnsi" w:cstheme="minorHAnsi"/>
          <w:sz w:val="24"/>
        </w:rPr>
        <w:t>é</w:t>
      </w:r>
      <w:r w:rsidR="00F132A7" w:rsidRPr="00920634">
        <w:rPr>
          <w:rFonts w:asciiTheme="minorHAnsi" w:hAnsiTheme="minorHAnsi" w:cstheme="minorHAnsi"/>
          <w:sz w:val="24"/>
        </w:rPr>
        <w:t xml:space="preserve"> skladb</w:t>
      </w:r>
      <w:r>
        <w:rPr>
          <w:rFonts w:asciiTheme="minorHAnsi" w:hAnsiTheme="minorHAnsi" w:cstheme="minorHAnsi"/>
          <w:sz w:val="24"/>
        </w:rPr>
        <w:t>ě</w:t>
      </w:r>
      <w:r w:rsidR="00F132A7">
        <w:rPr>
          <w:rFonts w:asciiTheme="minorHAnsi" w:hAnsiTheme="minorHAnsi" w:cstheme="minorHAnsi"/>
          <w:sz w:val="24"/>
        </w:rPr>
        <w:t xml:space="preserve"> nem</w:t>
      </w:r>
      <w:r>
        <w:rPr>
          <w:rFonts w:asciiTheme="minorHAnsi" w:hAnsiTheme="minorHAnsi" w:cstheme="minorHAnsi"/>
          <w:sz w:val="24"/>
        </w:rPr>
        <w:t>ají</w:t>
      </w:r>
      <w:r w:rsidR="00F132A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</w:t>
      </w:r>
      <w:r w:rsidR="00F132A7">
        <w:rPr>
          <w:rFonts w:asciiTheme="minorHAnsi" w:hAnsiTheme="minorHAnsi" w:cstheme="minorHAnsi"/>
          <w:sz w:val="24"/>
        </w:rPr>
        <w:t xml:space="preserve"> některých </w:t>
      </w:r>
      <w:r>
        <w:rPr>
          <w:rFonts w:asciiTheme="minorHAnsi" w:hAnsiTheme="minorHAnsi" w:cstheme="minorHAnsi"/>
          <w:sz w:val="24"/>
        </w:rPr>
        <w:t>případech</w:t>
      </w:r>
      <w:r w:rsidR="00E1004F" w:rsidRPr="00920634">
        <w:rPr>
          <w:rFonts w:asciiTheme="minorHAnsi" w:hAnsiTheme="minorHAnsi" w:cstheme="minorHAnsi"/>
          <w:sz w:val="24"/>
        </w:rPr>
        <w:t xml:space="preserve"> jasně vymezenou či alespoň srozumitelně odvoditelnou obsahovou náplň,</w:t>
      </w:r>
    </w:p>
    <w:p w14:paraId="1407E335" w14:textId="41FCED2B" w:rsidR="00FB7DC9" w:rsidRPr="00920634" w:rsidRDefault="00FB7DC9" w:rsidP="00114439">
      <w:pPr>
        <w:pStyle w:val="NormlnKZ"/>
        <w:numPr>
          <w:ilvl w:val="0"/>
          <w:numId w:val="48"/>
        </w:numPr>
        <w:spacing w:after="0"/>
        <w:ind w:left="567" w:hanging="283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kontrolované osoby měly zaveden účinný systém pro zachycování příslušných příjmů a</w:t>
      </w:r>
      <w:r w:rsidR="0053282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 xml:space="preserve">výdajů a </w:t>
      </w:r>
      <w:r w:rsidR="008E460C">
        <w:rPr>
          <w:rFonts w:asciiTheme="minorHAnsi" w:hAnsiTheme="minorHAnsi" w:cstheme="minorHAnsi"/>
          <w:sz w:val="24"/>
        </w:rPr>
        <w:t xml:space="preserve">pro </w:t>
      </w:r>
      <w:r w:rsidRPr="00920634">
        <w:rPr>
          <w:rFonts w:asciiTheme="minorHAnsi" w:hAnsiTheme="minorHAnsi" w:cstheme="minorHAnsi"/>
          <w:sz w:val="24"/>
        </w:rPr>
        <w:t>jejich třídění</w:t>
      </w:r>
      <w:r w:rsidR="008E460C">
        <w:rPr>
          <w:rFonts w:asciiTheme="minorHAnsi" w:hAnsiTheme="minorHAnsi" w:cstheme="minorHAnsi"/>
          <w:sz w:val="24"/>
        </w:rPr>
        <w:t>, výjimkou bylo</w:t>
      </w:r>
      <w:r w:rsidRPr="00920634">
        <w:rPr>
          <w:rFonts w:asciiTheme="minorHAnsi" w:hAnsiTheme="minorHAnsi" w:cstheme="minorHAnsi"/>
          <w:sz w:val="24"/>
        </w:rPr>
        <w:t>:</w:t>
      </w:r>
    </w:p>
    <w:p w14:paraId="0DA42BEB" w14:textId="294B11A4" w:rsidR="00FB7DC9" w:rsidRPr="00920634" w:rsidRDefault="00B7479B" w:rsidP="00114439">
      <w:pPr>
        <w:pStyle w:val="NormlnKZ"/>
        <w:numPr>
          <w:ilvl w:val="1"/>
          <w:numId w:val="41"/>
        </w:numPr>
        <w:spacing w:after="0"/>
        <w:ind w:left="851" w:hanging="284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nerozlišování </w:t>
      </w:r>
      <w:r w:rsidR="00FB7DC9" w:rsidRPr="00920634">
        <w:rPr>
          <w:rFonts w:asciiTheme="minorHAnsi" w:hAnsiTheme="minorHAnsi" w:cstheme="minorHAnsi"/>
          <w:sz w:val="24"/>
        </w:rPr>
        <w:t>příjmů od Národního fondu</w:t>
      </w:r>
      <w:r w:rsidR="000622FC" w:rsidRPr="00920634">
        <w:rPr>
          <w:rFonts w:asciiTheme="minorHAnsi" w:hAnsiTheme="minorHAnsi" w:cstheme="minorHAnsi"/>
          <w:sz w:val="24"/>
        </w:rPr>
        <w:t xml:space="preserve"> Ministerstva financí </w:t>
      </w:r>
      <w:r w:rsidR="00FB7DC9" w:rsidRPr="00920634">
        <w:rPr>
          <w:rFonts w:asciiTheme="minorHAnsi" w:hAnsiTheme="minorHAnsi" w:cstheme="minorHAnsi"/>
          <w:sz w:val="24"/>
        </w:rPr>
        <w:t>na investiční a</w:t>
      </w:r>
      <w:r w:rsidR="007E28AF">
        <w:rPr>
          <w:rFonts w:asciiTheme="minorHAnsi" w:hAnsiTheme="minorHAnsi" w:cstheme="minorHAnsi"/>
          <w:sz w:val="24"/>
        </w:rPr>
        <w:t> </w:t>
      </w:r>
      <w:r w:rsidR="00FB7DC9" w:rsidRPr="00920634">
        <w:rPr>
          <w:rFonts w:asciiTheme="minorHAnsi" w:hAnsiTheme="minorHAnsi" w:cstheme="minorHAnsi"/>
          <w:sz w:val="24"/>
        </w:rPr>
        <w:t>neinvestiční</w:t>
      </w:r>
      <w:r w:rsidR="00457874" w:rsidRPr="00920634">
        <w:rPr>
          <w:rFonts w:asciiTheme="minorHAnsi" w:hAnsiTheme="minorHAnsi" w:cstheme="minorHAnsi"/>
          <w:sz w:val="24"/>
        </w:rPr>
        <w:t xml:space="preserve"> </w:t>
      </w:r>
      <w:r w:rsidR="00752E14">
        <w:rPr>
          <w:rFonts w:asciiTheme="minorHAnsi" w:hAnsiTheme="minorHAnsi" w:cstheme="minorHAnsi"/>
          <w:sz w:val="24"/>
        </w:rPr>
        <w:t xml:space="preserve">příjmy, přestože to vyžaduje </w:t>
      </w:r>
      <w:r w:rsidR="00457874" w:rsidRPr="00920634">
        <w:rPr>
          <w:rFonts w:asciiTheme="minorHAnsi" w:hAnsiTheme="minorHAnsi" w:cstheme="minorHAnsi"/>
          <w:sz w:val="24"/>
        </w:rPr>
        <w:t>vyhlášk</w:t>
      </w:r>
      <w:r w:rsidR="00752E14">
        <w:rPr>
          <w:rFonts w:asciiTheme="minorHAnsi" w:hAnsiTheme="minorHAnsi" w:cstheme="minorHAnsi"/>
          <w:sz w:val="24"/>
        </w:rPr>
        <w:t>a</w:t>
      </w:r>
      <w:r w:rsidR="00457874" w:rsidRPr="00920634">
        <w:rPr>
          <w:rFonts w:asciiTheme="minorHAnsi" w:hAnsiTheme="minorHAnsi" w:cstheme="minorHAnsi"/>
          <w:sz w:val="24"/>
        </w:rPr>
        <w:t xml:space="preserve"> č. 323/2002 Sb.</w:t>
      </w:r>
      <w:r w:rsidR="00FB7DC9" w:rsidRPr="00920634">
        <w:rPr>
          <w:rFonts w:asciiTheme="minorHAnsi" w:hAnsiTheme="minorHAnsi" w:cstheme="minorHAnsi"/>
          <w:sz w:val="24"/>
        </w:rPr>
        <w:t xml:space="preserve">, </w:t>
      </w:r>
    </w:p>
    <w:p w14:paraId="6E358AAB" w14:textId="0789E449" w:rsidR="00FB7DC9" w:rsidRPr="00920634" w:rsidRDefault="00B7479B" w:rsidP="00114439">
      <w:pPr>
        <w:pStyle w:val="NormlnKZ"/>
        <w:numPr>
          <w:ilvl w:val="1"/>
          <w:numId w:val="41"/>
        </w:numPr>
        <w:spacing w:after="0"/>
        <w:ind w:left="851" w:hanging="284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nesprávné zatřídění </w:t>
      </w:r>
      <w:r w:rsidR="00FB7DC9" w:rsidRPr="00920634">
        <w:rPr>
          <w:rFonts w:asciiTheme="minorHAnsi" w:hAnsiTheme="minorHAnsi" w:cstheme="minorHAnsi"/>
          <w:sz w:val="24"/>
        </w:rPr>
        <w:t xml:space="preserve">příjmů ze zahraničí </w:t>
      </w:r>
      <w:r w:rsidR="00B3211E">
        <w:rPr>
          <w:rFonts w:asciiTheme="minorHAnsi" w:hAnsiTheme="minorHAnsi" w:cstheme="minorHAnsi"/>
          <w:sz w:val="24"/>
        </w:rPr>
        <w:t xml:space="preserve">přijímaných </w:t>
      </w:r>
      <w:r w:rsidR="00FB7DC9" w:rsidRPr="00920634">
        <w:rPr>
          <w:rFonts w:asciiTheme="minorHAnsi" w:hAnsiTheme="minorHAnsi" w:cstheme="minorHAnsi"/>
          <w:sz w:val="24"/>
        </w:rPr>
        <w:t>prostřednictvím rezervního fondu,</w:t>
      </w:r>
    </w:p>
    <w:p w14:paraId="1715BA16" w14:textId="6E66F1DC" w:rsidR="00FB7DC9" w:rsidRDefault="00B7479B" w:rsidP="00114439">
      <w:pPr>
        <w:pStyle w:val="NormlnKZ"/>
        <w:numPr>
          <w:ilvl w:val="1"/>
          <w:numId w:val="41"/>
        </w:numPr>
        <w:spacing w:after="0"/>
        <w:ind w:left="851" w:hanging="284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nesprávné</w:t>
      </w:r>
      <w:r w:rsidR="00FB7DC9" w:rsidRPr="00920634">
        <w:rPr>
          <w:rFonts w:asciiTheme="minorHAnsi" w:hAnsiTheme="minorHAnsi" w:cstheme="minorHAnsi"/>
          <w:sz w:val="24"/>
        </w:rPr>
        <w:t xml:space="preserve"> zatří</w:t>
      </w:r>
      <w:r w:rsidR="00D9167F" w:rsidRPr="00920634">
        <w:rPr>
          <w:rFonts w:asciiTheme="minorHAnsi" w:hAnsiTheme="minorHAnsi" w:cstheme="minorHAnsi"/>
          <w:sz w:val="24"/>
        </w:rPr>
        <w:t>dě</w:t>
      </w:r>
      <w:r w:rsidR="00FB7DC9" w:rsidRPr="00920634">
        <w:rPr>
          <w:rFonts w:asciiTheme="minorHAnsi" w:hAnsiTheme="minorHAnsi" w:cstheme="minorHAnsi"/>
          <w:sz w:val="24"/>
        </w:rPr>
        <w:t>ní výdajů účelově určených na dofinancování komunitárního programu nástrojovým tříděním rozpočtové skladby.</w:t>
      </w:r>
    </w:p>
    <w:p w14:paraId="3F236704" w14:textId="77777777" w:rsidR="008614CB" w:rsidRPr="00920634" w:rsidRDefault="008614CB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B4FD2CE" w14:textId="16FA0DF6" w:rsidR="00FB7DC9" w:rsidRPr="00920634" w:rsidRDefault="00E1004F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</w:rPr>
        <w:t>4.4.1</w:t>
      </w:r>
      <w:r w:rsidR="0074225B" w:rsidRPr="00920634">
        <w:rPr>
          <w:rFonts w:asciiTheme="minorHAnsi" w:hAnsiTheme="minorHAnsi" w:cstheme="minorHAnsi"/>
          <w:b/>
          <w:i/>
        </w:rPr>
        <w:t xml:space="preserve"> </w:t>
      </w:r>
      <w:r w:rsidR="00FB7DC9" w:rsidRPr="00920634">
        <w:rPr>
          <w:rFonts w:asciiTheme="minorHAnsi" w:hAnsiTheme="minorHAnsi" w:cstheme="minorHAnsi"/>
          <w:b/>
          <w:i/>
          <w:sz w:val="24"/>
        </w:rPr>
        <w:t>Nejasná obsahová náplň některých nástrojů rozpočtové skladby</w:t>
      </w:r>
    </w:p>
    <w:p w14:paraId="19712445" w14:textId="4947711D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rámci rozpočtové skladby jsou příjmy i výdaje související s prostředky se vztahem ke zdrojům v zahraničí </w:t>
      </w:r>
      <w:r w:rsidR="00492E7B" w:rsidRPr="00920634">
        <w:rPr>
          <w:rFonts w:asciiTheme="minorHAnsi" w:hAnsiTheme="minorHAnsi" w:cstheme="minorHAnsi"/>
        </w:rPr>
        <w:t>tříděny dle ustanovení</w:t>
      </w:r>
      <w:r w:rsidRPr="00920634">
        <w:rPr>
          <w:rFonts w:asciiTheme="minorHAnsi" w:hAnsiTheme="minorHAnsi" w:cstheme="minorHAnsi"/>
        </w:rPr>
        <w:t xml:space="preserve"> § 1a odst. 2 vyhlášky č. 323/2002 Sb. </w:t>
      </w:r>
      <w:r w:rsidR="008D073A">
        <w:rPr>
          <w:rFonts w:asciiTheme="minorHAnsi" w:hAnsiTheme="minorHAnsi" w:cstheme="minorHAnsi"/>
        </w:rPr>
        <w:t>z </w:t>
      </w:r>
      <w:r w:rsidR="000F6AD8">
        <w:rPr>
          <w:rFonts w:asciiTheme="minorHAnsi" w:hAnsiTheme="minorHAnsi" w:cstheme="minorHAnsi"/>
        </w:rPr>
        <w:t>hlediska nástrojového</w:t>
      </w:r>
      <w:r w:rsidRPr="00920634">
        <w:rPr>
          <w:rFonts w:asciiTheme="minorHAnsi" w:hAnsiTheme="minorHAnsi" w:cstheme="minorHAnsi"/>
        </w:rPr>
        <w:t>. Obsahové vymezení</w:t>
      </w:r>
      <w:r w:rsidR="00B7479B" w:rsidRPr="00920634">
        <w:rPr>
          <w:rFonts w:asciiTheme="minorHAnsi" w:hAnsiTheme="minorHAnsi" w:cstheme="minorHAnsi"/>
        </w:rPr>
        <w:t xml:space="preserve"> nástrojů</w:t>
      </w:r>
      <w:r w:rsidR="002908B0" w:rsidRPr="00920634">
        <w:rPr>
          <w:rFonts w:asciiTheme="minorHAnsi" w:hAnsiTheme="minorHAnsi" w:cstheme="minorHAnsi"/>
        </w:rPr>
        <w:t xml:space="preserve"> není právními </w:t>
      </w:r>
      <w:r w:rsidR="00F13C87">
        <w:rPr>
          <w:rFonts w:asciiTheme="minorHAnsi" w:hAnsiTheme="minorHAnsi" w:cstheme="minorHAnsi"/>
        </w:rPr>
        <w:t>předpisy stanoveno. Vyhláška č. </w:t>
      </w:r>
      <w:r w:rsidR="002908B0" w:rsidRPr="00920634">
        <w:rPr>
          <w:rFonts w:asciiTheme="minorHAnsi" w:hAnsiTheme="minorHAnsi" w:cstheme="minorHAnsi"/>
        </w:rPr>
        <w:t>323/2002</w:t>
      </w:r>
      <w:r w:rsidR="002D119A">
        <w:rPr>
          <w:rFonts w:asciiTheme="minorHAnsi" w:hAnsiTheme="minorHAnsi" w:cstheme="minorHAnsi"/>
        </w:rPr>
        <w:t xml:space="preserve"> Sb.</w:t>
      </w:r>
      <w:r w:rsidR="002908B0" w:rsidRPr="00920634">
        <w:rPr>
          <w:rFonts w:asciiTheme="minorHAnsi" w:hAnsiTheme="minorHAnsi" w:cstheme="minorHAnsi"/>
        </w:rPr>
        <w:t xml:space="preserve"> pouze stanovuje způsob tvorby číselného kódu nástroje.</w:t>
      </w:r>
      <w:r w:rsidR="00B7479B" w:rsidRPr="00920634">
        <w:rPr>
          <w:rFonts w:asciiTheme="minorHAnsi" w:hAnsiTheme="minorHAnsi" w:cstheme="minorHAnsi"/>
        </w:rPr>
        <w:t xml:space="preserve"> </w:t>
      </w:r>
      <w:r w:rsidR="00F13C87">
        <w:rPr>
          <w:rFonts w:asciiTheme="minorHAnsi" w:hAnsiTheme="minorHAnsi" w:cstheme="minorHAnsi"/>
        </w:rPr>
        <w:t xml:space="preserve">MZe používalo </w:t>
      </w:r>
      <w:r w:rsidR="00C00F8D">
        <w:rPr>
          <w:rFonts w:asciiTheme="minorHAnsi" w:hAnsiTheme="minorHAnsi" w:cstheme="minorHAnsi"/>
        </w:rPr>
        <w:t xml:space="preserve">čtyři </w:t>
      </w:r>
      <w:r w:rsidRPr="00920634">
        <w:rPr>
          <w:rFonts w:asciiTheme="minorHAnsi" w:hAnsiTheme="minorHAnsi" w:cstheme="minorHAnsi"/>
        </w:rPr>
        <w:t>nástroje s označením „program rozvoje venkova“, přičemž dv</w:t>
      </w:r>
      <w:r w:rsidR="00C00F8D">
        <w:rPr>
          <w:rFonts w:asciiTheme="minorHAnsi" w:hAnsiTheme="minorHAnsi" w:cstheme="minorHAnsi"/>
        </w:rPr>
        <w:t>a</w:t>
      </w:r>
      <w:r w:rsidRPr="00920634">
        <w:rPr>
          <w:rFonts w:asciiTheme="minorHAnsi" w:hAnsiTheme="minorHAnsi" w:cstheme="minorHAnsi"/>
        </w:rPr>
        <w:t xml:space="preserve"> z nich </w:t>
      </w:r>
      <w:r w:rsidR="00C00F8D">
        <w:rPr>
          <w:rFonts w:asciiTheme="minorHAnsi" w:hAnsiTheme="minorHAnsi" w:cstheme="minorHAnsi"/>
        </w:rPr>
        <w:t>měly k tomuto označení připojeno pouze sousloví</w:t>
      </w:r>
      <w:r w:rsidRPr="00920634">
        <w:rPr>
          <w:rFonts w:asciiTheme="minorHAnsi" w:hAnsiTheme="minorHAnsi" w:cstheme="minorHAnsi"/>
        </w:rPr>
        <w:t xml:space="preserve"> „účetní operace“. MZe </w:t>
      </w:r>
      <w:r w:rsidR="00492E7B" w:rsidRPr="00920634">
        <w:rPr>
          <w:rFonts w:asciiTheme="minorHAnsi" w:hAnsiTheme="minorHAnsi" w:cstheme="minorHAnsi"/>
        </w:rPr>
        <w:t>označovalo</w:t>
      </w:r>
      <w:r w:rsidRPr="00920634">
        <w:rPr>
          <w:rFonts w:asciiTheme="minorHAnsi" w:hAnsiTheme="minorHAnsi" w:cstheme="minorHAnsi"/>
        </w:rPr>
        <w:t xml:space="preserve"> nástrojem </w:t>
      </w:r>
      <w:r w:rsidR="00D22E50" w:rsidRPr="00920634">
        <w:rPr>
          <w:rFonts w:asciiTheme="minorHAnsi" w:hAnsiTheme="minorHAnsi" w:cstheme="minorHAnsi"/>
        </w:rPr>
        <w:t>0</w:t>
      </w:r>
      <w:r w:rsidRPr="00920634">
        <w:rPr>
          <w:rFonts w:asciiTheme="minorHAnsi" w:hAnsiTheme="minorHAnsi" w:cstheme="minorHAnsi"/>
        </w:rPr>
        <w:t xml:space="preserve">87 </w:t>
      </w:r>
      <w:r w:rsidR="00532824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  <w:i/>
        </w:rPr>
        <w:t xml:space="preserve">Program rozvoje venkova </w:t>
      </w:r>
      <w:r w:rsidR="0057258D">
        <w:rPr>
          <w:rFonts w:asciiTheme="minorHAnsi" w:hAnsiTheme="minorHAnsi" w:cstheme="minorHAnsi"/>
          <w:i/>
        </w:rPr>
        <w:t>–</w:t>
      </w:r>
      <w:r w:rsidRPr="00920634">
        <w:rPr>
          <w:rFonts w:asciiTheme="minorHAnsi" w:hAnsiTheme="minorHAnsi" w:cstheme="minorHAnsi"/>
          <w:i/>
        </w:rPr>
        <w:t xml:space="preserve"> účetní operace</w:t>
      </w:r>
      <w:r w:rsidRPr="00920634">
        <w:rPr>
          <w:rFonts w:asciiTheme="minorHAnsi" w:hAnsiTheme="minorHAnsi" w:cstheme="minorHAnsi"/>
        </w:rPr>
        <w:t xml:space="preserve"> výdaje hrazené </w:t>
      </w:r>
      <w:r w:rsidR="00496B9F">
        <w:rPr>
          <w:rFonts w:asciiTheme="minorHAnsi" w:hAnsiTheme="minorHAnsi" w:cstheme="minorHAnsi"/>
        </w:rPr>
        <w:t>M</w:t>
      </w:r>
      <w:r w:rsidR="001A33FB">
        <w:rPr>
          <w:rFonts w:asciiTheme="minorHAnsi" w:hAnsiTheme="minorHAnsi" w:cstheme="minorHAnsi"/>
        </w:rPr>
        <w:t>inisterstvem</w:t>
      </w:r>
      <w:r w:rsidR="00496B9F">
        <w:rPr>
          <w:rFonts w:asciiTheme="minorHAnsi" w:hAnsiTheme="minorHAnsi" w:cstheme="minorHAnsi"/>
        </w:rPr>
        <w:t xml:space="preserve"> zemědělství</w:t>
      </w:r>
      <w:r w:rsidR="001A33FB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v rámci technické pomoci </w:t>
      </w:r>
      <w:r w:rsidRPr="008D4CD3">
        <w:rPr>
          <w:rFonts w:asciiTheme="minorHAnsi" w:hAnsiTheme="minorHAnsi" w:cstheme="minorHAnsi"/>
          <w:i/>
        </w:rPr>
        <w:t xml:space="preserve">Programu rozvoje venkova </w:t>
      </w:r>
      <w:r w:rsidR="0057258D" w:rsidRPr="008D4CD3">
        <w:rPr>
          <w:rFonts w:asciiTheme="minorHAnsi" w:hAnsiTheme="minorHAnsi" w:cstheme="minorHAnsi"/>
          <w:i/>
        </w:rPr>
        <w:t>České republiky na</w:t>
      </w:r>
      <w:r w:rsidRPr="008D4CD3">
        <w:rPr>
          <w:rFonts w:asciiTheme="minorHAnsi" w:hAnsiTheme="minorHAnsi" w:cstheme="minorHAnsi"/>
          <w:i/>
        </w:rPr>
        <w:t xml:space="preserve"> období 2007</w:t>
      </w:r>
      <w:r w:rsidR="00532824" w:rsidRPr="008D4CD3">
        <w:rPr>
          <w:rFonts w:asciiTheme="minorHAnsi" w:hAnsiTheme="minorHAnsi" w:cstheme="minorHAnsi"/>
          <w:i/>
        </w:rPr>
        <w:t>–</w:t>
      </w:r>
      <w:r w:rsidRPr="008D4CD3">
        <w:rPr>
          <w:rFonts w:asciiTheme="minorHAnsi" w:hAnsiTheme="minorHAnsi" w:cstheme="minorHAnsi"/>
          <w:i/>
        </w:rPr>
        <w:t>2013</w:t>
      </w:r>
      <w:r w:rsidRPr="00920634">
        <w:rPr>
          <w:rFonts w:asciiTheme="minorHAnsi" w:hAnsiTheme="minorHAnsi" w:cstheme="minorHAnsi"/>
        </w:rPr>
        <w:t>. Tyto výdaje jsou netransferové, jedná se o mzdové výdaje nebo výdaje hrazené dle dodavatelských faktur. Nástrojem</w:t>
      </w:r>
      <w:r w:rsidR="0057258D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187 </w:t>
      </w:r>
      <w:r w:rsidR="00532824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  <w:i/>
        </w:rPr>
        <w:t>Program rozvoje venkova 2014+ účetní operace</w:t>
      </w:r>
      <w:r w:rsidRPr="00920634">
        <w:rPr>
          <w:rFonts w:asciiTheme="minorHAnsi" w:hAnsiTheme="minorHAnsi" w:cstheme="minorHAnsi"/>
        </w:rPr>
        <w:t xml:space="preserve"> MZe </w:t>
      </w:r>
      <w:r w:rsidR="00492E7B" w:rsidRPr="00920634">
        <w:rPr>
          <w:rFonts w:asciiTheme="minorHAnsi" w:hAnsiTheme="minorHAnsi" w:cstheme="minorHAnsi"/>
        </w:rPr>
        <w:t>označovalo</w:t>
      </w:r>
      <w:r w:rsidRPr="00920634">
        <w:rPr>
          <w:rFonts w:asciiTheme="minorHAnsi" w:hAnsiTheme="minorHAnsi" w:cstheme="minorHAnsi"/>
        </w:rPr>
        <w:t xml:space="preserve"> příjmy od SZI</w:t>
      </w:r>
      <w:r w:rsidR="00A509A4" w:rsidRPr="00920634">
        <w:rPr>
          <w:rFonts w:asciiTheme="minorHAnsi" w:hAnsiTheme="minorHAnsi" w:cstheme="minorHAnsi"/>
        </w:rPr>
        <w:t>F</w:t>
      </w:r>
      <w:r w:rsidRPr="00920634">
        <w:rPr>
          <w:rFonts w:asciiTheme="minorHAnsi" w:hAnsiTheme="minorHAnsi" w:cstheme="minorHAnsi"/>
        </w:rPr>
        <w:t xml:space="preserve">, které MZe získává jako konečný příjemce v rámci technické pomoci </w:t>
      </w:r>
      <w:r w:rsidRPr="008D4CD3">
        <w:rPr>
          <w:rFonts w:asciiTheme="minorHAnsi" w:hAnsiTheme="minorHAnsi" w:cstheme="minorHAnsi"/>
          <w:i/>
        </w:rPr>
        <w:t xml:space="preserve">Programu rozvoje venkova </w:t>
      </w:r>
      <w:r w:rsidR="00291A32" w:rsidRPr="008D4CD3">
        <w:rPr>
          <w:rFonts w:asciiTheme="minorHAnsi" w:hAnsiTheme="minorHAnsi" w:cstheme="minorHAnsi"/>
          <w:i/>
        </w:rPr>
        <w:t>na období 2014–2020</w:t>
      </w:r>
      <w:r w:rsidR="00291A32">
        <w:rPr>
          <w:rFonts w:asciiTheme="minorHAnsi" w:hAnsiTheme="minorHAnsi" w:cstheme="minorHAnsi"/>
        </w:rPr>
        <w:t xml:space="preserve"> a které jsou určeny </w:t>
      </w:r>
      <w:r w:rsidRPr="00920634">
        <w:rPr>
          <w:rFonts w:asciiTheme="minorHAnsi" w:hAnsiTheme="minorHAnsi" w:cstheme="minorHAnsi"/>
        </w:rPr>
        <w:t xml:space="preserve">na následnou úhradu věcných výdajů </w:t>
      </w:r>
      <w:r w:rsidR="00291A32">
        <w:rPr>
          <w:rFonts w:asciiTheme="minorHAnsi" w:hAnsiTheme="minorHAnsi" w:cstheme="minorHAnsi"/>
        </w:rPr>
        <w:t xml:space="preserve">MZe, </w:t>
      </w:r>
      <w:r w:rsidRPr="00920634">
        <w:rPr>
          <w:rFonts w:asciiTheme="minorHAnsi" w:hAnsiTheme="minorHAnsi" w:cstheme="minorHAnsi"/>
        </w:rPr>
        <w:t xml:space="preserve">a dále </w:t>
      </w:r>
      <w:r w:rsidR="00291A32">
        <w:rPr>
          <w:rFonts w:asciiTheme="minorHAnsi" w:hAnsiTheme="minorHAnsi" w:cstheme="minorHAnsi"/>
        </w:rPr>
        <w:t xml:space="preserve">označovalo tímto nástrojem </w:t>
      </w:r>
      <w:r w:rsidRPr="00920634">
        <w:rPr>
          <w:rFonts w:asciiTheme="minorHAnsi" w:hAnsiTheme="minorHAnsi" w:cstheme="minorHAnsi"/>
        </w:rPr>
        <w:t>příjmy získané od SZIF v rámci pozemkových úprav. Ostatní příjmy a výdaje související s</w:t>
      </w:r>
      <w:r w:rsidR="00291A32">
        <w:rPr>
          <w:rFonts w:asciiTheme="minorHAnsi" w:hAnsiTheme="minorHAnsi" w:cstheme="minorHAnsi"/>
        </w:rPr>
        <w:t> oběma p</w:t>
      </w:r>
      <w:r w:rsidRPr="00920634">
        <w:rPr>
          <w:rFonts w:asciiTheme="minorHAnsi" w:hAnsiTheme="minorHAnsi" w:cstheme="minorHAnsi"/>
        </w:rPr>
        <w:t>rogram</w:t>
      </w:r>
      <w:r w:rsidR="00291A32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rozvoje venkova </w:t>
      </w:r>
      <w:r w:rsidR="00291A32">
        <w:rPr>
          <w:rFonts w:asciiTheme="minorHAnsi" w:hAnsiTheme="minorHAnsi" w:cstheme="minorHAnsi"/>
        </w:rPr>
        <w:t xml:space="preserve">označovalo </w:t>
      </w:r>
      <w:r w:rsidRPr="00920634">
        <w:rPr>
          <w:rFonts w:asciiTheme="minorHAnsi" w:hAnsiTheme="minorHAnsi" w:cstheme="minorHAnsi"/>
        </w:rPr>
        <w:t xml:space="preserve">MZe nástrojem </w:t>
      </w:r>
      <w:r w:rsidR="001F396B" w:rsidRPr="00920634">
        <w:rPr>
          <w:rFonts w:asciiTheme="minorHAnsi" w:hAnsiTheme="minorHAnsi" w:cstheme="minorHAnsi"/>
        </w:rPr>
        <w:t>0</w:t>
      </w:r>
      <w:r w:rsidRPr="00920634">
        <w:rPr>
          <w:rFonts w:asciiTheme="minorHAnsi" w:hAnsiTheme="minorHAnsi" w:cstheme="minorHAnsi"/>
        </w:rPr>
        <w:t xml:space="preserve">27 </w:t>
      </w:r>
      <w:r w:rsidR="007E28AF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8D4CD3">
        <w:rPr>
          <w:rFonts w:asciiTheme="minorHAnsi" w:hAnsiTheme="minorHAnsi" w:cstheme="minorHAnsi"/>
          <w:i/>
        </w:rPr>
        <w:t>Program rozvoje venkova</w:t>
      </w:r>
      <w:r w:rsidRPr="00920634">
        <w:rPr>
          <w:rFonts w:asciiTheme="minorHAnsi" w:hAnsiTheme="minorHAnsi" w:cstheme="minorHAnsi"/>
        </w:rPr>
        <w:t xml:space="preserve"> a 130 </w:t>
      </w:r>
      <w:r w:rsidR="007E28AF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 xml:space="preserve"> </w:t>
      </w:r>
      <w:r w:rsidRPr="008D4CD3">
        <w:rPr>
          <w:rFonts w:asciiTheme="minorHAnsi" w:hAnsiTheme="minorHAnsi" w:cstheme="minorHAnsi"/>
          <w:i/>
        </w:rPr>
        <w:t>Program rozvoje venkova 2014+</w:t>
      </w:r>
      <w:r w:rsidRPr="00920634">
        <w:rPr>
          <w:rFonts w:asciiTheme="minorHAnsi" w:hAnsiTheme="minorHAnsi" w:cstheme="minorHAnsi"/>
        </w:rPr>
        <w:t xml:space="preserve"> (bez </w:t>
      </w:r>
      <w:r w:rsidR="00492E7B" w:rsidRPr="00920634">
        <w:rPr>
          <w:rFonts w:asciiTheme="minorHAnsi" w:hAnsiTheme="minorHAnsi" w:cstheme="minorHAnsi"/>
        </w:rPr>
        <w:t>uvedení pojmu</w:t>
      </w:r>
      <w:r w:rsidRPr="00920634">
        <w:rPr>
          <w:rFonts w:asciiTheme="minorHAnsi" w:hAnsiTheme="minorHAnsi" w:cstheme="minorHAnsi"/>
        </w:rPr>
        <w:t xml:space="preserve"> „účetní operace“).</w:t>
      </w:r>
    </w:p>
    <w:p w14:paraId="24892DD4" w14:textId="77777777" w:rsidR="00FB7DC9" w:rsidRPr="007422EE" w:rsidRDefault="00FB7DC9" w:rsidP="00114439">
      <w:pPr>
        <w:jc w:val="both"/>
        <w:rPr>
          <w:rFonts w:asciiTheme="minorHAnsi" w:hAnsiTheme="minorHAnsi" w:cstheme="minorHAnsi"/>
          <w:b/>
          <w:lang w:eastAsia="cs-CZ"/>
        </w:rPr>
      </w:pPr>
    </w:p>
    <w:p w14:paraId="3DAFF1C9" w14:textId="5CDF6BE1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 xml:space="preserve">Obsahová náplň nástrojů </w:t>
      </w:r>
      <w:r w:rsidR="002908B0" w:rsidRPr="00920634">
        <w:rPr>
          <w:rFonts w:asciiTheme="minorHAnsi" w:hAnsiTheme="minorHAnsi" w:cstheme="minorHAnsi"/>
          <w:b/>
          <w:sz w:val="24"/>
        </w:rPr>
        <w:t>0</w:t>
      </w:r>
      <w:r w:rsidRPr="00920634">
        <w:rPr>
          <w:rFonts w:asciiTheme="minorHAnsi" w:hAnsiTheme="minorHAnsi" w:cstheme="minorHAnsi"/>
          <w:b/>
          <w:sz w:val="24"/>
        </w:rPr>
        <w:t>87 a 187 není stanovena</w:t>
      </w:r>
      <w:r w:rsidR="0074225B" w:rsidRPr="00920634">
        <w:rPr>
          <w:rFonts w:asciiTheme="minorHAnsi" w:hAnsiTheme="minorHAnsi" w:cstheme="minorHAnsi"/>
          <w:b/>
          <w:sz w:val="24"/>
        </w:rPr>
        <w:t xml:space="preserve"> </w:t>
      </w:r>
      <w:r w:rsidR="002908B0" w:rsidRPr="00920634">
        <w:rPr>
          <w:rFonts w:asciiTheme="minorHAnsi" w:hAnsiTheme="minorHAnsi" w:cstheme="minorHAnsi"/>
          <w:b/>
          <w:sz w:val="24"/>
        </w:rPr>
        <w:t>a</w:t>
      </w:r>
      <w:r w:rsidRPr="00920634">
        <w:rPr>
          <w:rFonts w:asciiTheme="minorHAnsi" w:hAnsiTheme="minorHAnsi" w:cstheme="minorHAnsi"/>
          <w:b/>
          <w:sz w:val="24"/>
        </w:rPr>
        <w:t xml:space="preserve"> není zřejmé, </w:t>
      </w:r>
      <w:r w:rsidR="002908B0" w:rsidRPr="00920634">
        <w:rPr>
          <w:rFonts w:asciiTheme="minorHAnsi" w:hAnsiTheme="minorHAnsi" w:cstheme="minorHAnsi"/>
          <w:b/>
          <w:sz w:val="24"/>
        </w:rPr>
        <w:t>o čem tyto dva nástroje vypovídají.</w:t>
      </w:r>
      <w:r w:rsidRPr="00920634">
        <w:rPr>
          <w:rFonts w:asciiTheme="minorHAnsi" w:hAnsiTheme="minorHAnsi" w:cstheme="minorHAnsi"/>
          <w:b/>
          <w:sz w:val="24"/>
        </w:rPr>
        <w:t xml:space="preserve"> </w:t>
      </w:r>
      <w:r w:rsidR="002908B0" w:rsidRPr="00920634">
        <w:rPr>
          <w:rFonts w:asciiTheme="minorHAnsi" w:hAnsiTheme="minorHAnsi" w:cstheme="minorHAnsi"/>
          <w:sz w:val="24"/>
        </w:rPr>
        <w:t>N</w:t>
      </w:r>
      <w:r w:rsidRPr="00920634">
        <w:rPr>
          <w:rFonts w:asciiTheme="minorHAnsi" w:hAnsiTheme="minorHAnsi" w:cstheme="minorHAnsi"/>
          <w:sz w:val="24"/>
        </w:rPr>
        <w:t>ejsou pro uživatele finančních výkazů a RIS srozumitelné a porozumění vyžaduje specifickou znalost, resp. informaci o</w:t>
      </w:r>
      <w:r w:rsidR="00350806" w:rsidRPr="00920634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konkrétním přístupu MZe.</w:t>
      </w:r>
    </w:p>
    <w:p w14:paraId="6B969AA0" w14:textId="77777777" w:rsidR="00A509A4" w:rsidRPr="00920634" w:rsidRDefault="00A509A4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644810F6" w14:textId="380A14EC" w:rsidR="00D718A5" w:rsidRPr="00920634" w:rsidRDefault="00626C77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4.4.2</w:t>
      </w:r>
      <w:r w:rsidR="00E0629C" w:rsidRPr="00920634">
        <w:rPr>
          <w:rFonts w:asciiTheme="minorHAnsi" w:hAnsiTheme="minorHAnsi" w:cstheme="minorHAnsi"/>
          <w:b/>
          <w:i/>
          <w:sz w:val="24"/>
        </w:rPr>
        <w:t xml:space="preserve"> </w:t>
      </w:r>
      <w:r w:rsidR="00291A32">
        <w:rPr>
          <w:rFonts w:asciiTheme="minorHAnsi" w:hAnsiTheme="minorHAnsi" w:cstheme="minorHAnsi"/>
          <w:b/>
          <w:i/>
          <w:sz w:val="24"/>
        </w:rPr>
        <w:t>N</w:t>
      </w:r>
      <w:r w:rsidR="00027F86" w:rsidRPr="00920634">
        <w:rPr>
          <w:rFonts w:asciiTheme="minorHAnsi" w:hAnsiTheme="minorHAnsi" w:cstheme="minorHAnsi"/>
          <w:b/>
          <w:i/>
          <w:sz w:val="24"/>
        </w:rPr>
        <w:t>edostatky v třídění příjmů a výdajů dle rozpočtové skladby</w:t>
      </w:r>
    </w:p>
    <w:p w14:paraId="79169218" w14:textId="77777777" w:rsidR="00D718A5" w:rsidRPr="00920634" w:rsidRDefault="00D718A5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i/>
          <w:sz w:val="24"/>
        </w:rPr>
      </w:pPr>
    </w:p>
    <w:p w14:paraId="21DB88B5" w14:textId="7A425AF8" w:rsidR="00FB7DC9" w:rsidRPr="00920634" w:rsidRDefault="00FB7DC9" w:rsidP="00114439">
      <w:pPr>
        <w:pStyle w:val="NormlnKZ"/>
        <w:spacing w:after="0"/>
        <w:ind w:left="720" w:firstLine="0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 xml:space="preserve">Druhové </w:t>
      </w:r>
      <w:r w:rsidR="00BC3FA3" w:rsidRPr="00920634">
        <w:rPr>
          <w:rFonts w:asciiTheme="minorHAnsi" w:hAnsiTheme="minorHAnsi" w:cstheme="minorHAnsi"/>
          <w:b/>
          <w:i/>
          <w:sz w:val="24"/>
        </w:rPr>
        <w:t>třídění</w:t>
      </w:r>
      <w:r w:rsidRPr="00920634">
        <w:rPr>
          <w:rFonts w:asciiTheme="minorHAnsi" w:hAnsiTheme="minorHAnsi" w:cstheme="minorHAnsi"/>
          <w:b/>
          <w:i/>
          <w:sz w:val="24"/>
        </w:rPr>
        <w:t xml:space="preserve"> příjmů z Národního fondu</w:t>
      </w:r>
      <w:r w:rsidR="00F1580D" w:rsidRPr="00920634">
        <w:rPr>
          <w:rFonts w:asciiTheme="minorHAnsi" w:hAnsiTheme="minorHAnsi" w:cstheme="minorHAnsi"/>
          <w:b/>
          <w:i/>
          <w:sz w:val="24"/>
        </w:rPr>
        <w:t xml:space="preserve"> Ministerstva financí</w:t>
      </w:r>
      <w:r w:rsidRPr="00920634">
        <w:rPr>
          <w:rFonts w:asciiTheme="minorHAnsi" w:hAnsiTheme="minorHAnsi" w:cstheme="minorHAnsi"/>
          <w:b/>
          <w:i/>
          <w:sz w:val="24"/>
        </w:rPr>
        <w:t xml:space="preserve"> na investiční a</w:t>
      </w:r>
      <w:r w:rsidR="00920634" w:rsidRPr="00920634">
        <w:rPr>
          <w:rFonts w:asciiTheme="minorHAnsi" w:hAnsiTheme="minorHAnsi" w:cstheme="minorHAnsi"/>
          <w:b/>
          <w:i/>
          <w:sz w:val="24"/>
        </w:rPr>
        <w:t> </w:t>
      </w:r>
      <w:r w:rsidRPr="00920634">
        <w:rPr>
          <w:rFonts w:asciiTheme="minorHAnsi" w:hAnsiTheme="minorHAnsi" w:cstheme="minorHAnsi"/>
          <w:b/>
          <w:i/>
          <w:sz w:val="24"/>
        </w:rPr>
        <w:t>neinvestiční</w:t>
      </w:r>
    </w:p>
    <w:p w14:paraId="7E1855AD" w14:textId="3A4BAC3E" w:rsidR="00FB7DC9" w:rsidRPr="00920634" w:rsidRDefault="00FB7DC9" w:rsidP="00114439">
      <w:pPr>
        <w:jc w:val="both"/>
        <w:rPr>
          <w:rFonts w:asciiTheme="minorHAnsi" w:hAnsiTheme="minorHAnsi" w:cstheme="minorHAnsi"/>
          <w:szCs w:val="22"/>
        </w:rPr>
      </w:pPr>
      <w:r w:rsidRPr="00920634">
        <w:rPr>
          <w:rFonts w:asciiTheme="minorHAnsi" w:hAnsiTheme="minorHAnsi" w:cstheme="minorHAnsi"/>
          <w:szCs w:val="22"/>
        </w:rPr>
        <w:t xml:space="preserve">MZe </w:t>
      </w:r>
      <w:r w:rsidR="00636970">
        <w:rPr>
          <w:rFonts w:asciiTheme="minorHAnsi" w:hAnsiTheme="minorHAnsi" w:cstheme="minorHAnsi"/>
          <w:szCs w:val="22"/>
        </w:rPr>
        <w:t>při</w:t>
      </w:r>
      <w:r w:rsidRPr="00920634">
        <w:rPr>
          <w:rFonts w:asciiTheme="minorHAnsi" w:hAnsiTheme="minorHAnsi" w:cstheme="minorHAnsi"/>
          <w:szCs w:val="22"/>
        </w:rPr>
        <w:t xml:space="preserve"> realizac</w:t>
      </w:r>
      <w:r w:rsidR="00636970">
        <w:rPr>
          <w:rFonts w:asciiTheme="minorHAnsi" w:hAnsiTheme="minorHAnsi" w:cstheme="minorHAnsi"/>
          <w:szCs w:val="22"/>
        </w:rPr>
        <w:t>i</w:t>
      </w:r>
      <w:r w:rsidRPr="00920634">
        <w:rPr>
          <w:rFonts w:asciiTheme="minorHAnsi" w:hAnsiTheme="minorHAnsi" w:cstheme="minorHAnsi"/>
          <w:szCs w:val="22"/>
        </w:rPr>
        <w:t xml:space="preserve"> projektů OPR </w:t>
      </w:r>
      <w:r w:rsidR="00636970">
        <w:rPr>
          <w:rFonts w:asciiTheme="minorHAnsi" w:hAnsiTheme="minorHAnsi" w:cstheme="minorHAnsi"/>
          <w:szCs w:val="22"/>
        </w:rPr>
        <w:t xml:space="preserve">nerozčleňovalo </w:t>
      </w:r>
      <w:r w:rsidRPr="00920634">
        <w:rPr>
          <w:rFonts w:asciiTheme="minorHAnsi" w:hAnsiTheme="minorHAnsi" w:cstheme="minorHAnsi"/>
          <w:szCs w:val="22"/>
        </w:rPr>
        <w:t xml:space="preserve">v rámci druhového třídění rozpočtovou skladbou </w:t>
      </w:r>
      <w:r w:rsidR="00636970">
        <w:rPr>
          <w:rFonts w:asciiTheme="minorHAnsi" w:hAnsiTheme="minorHAnsi" w:cstheme="minorHAnsi"/>
          <w:szCs w:val="22"/>
        </w:rPr>
        <w:t>prostředky</w:t>
      </w:r>
      <w:r w:rsidR="00636970" w:rsidRPr="00920634">
        <w:rPr>
          <w:rFonts w:asciiTheme="minorHAnsi" w:hAnsiTheme="minorHAnsi" w:cstheme="minorHAnsi"/>
          <w:szCs w:val="22"/>
        </w:rPr>
        <w:t xml:space="preserve"> </w:t>
      </w:r>
      <w:r w:rsidRPr="00920634">
        <w:rPr>
          <w:rFonts w:asciiTheme="minorHAnsi" w:hAnsiTheme="minorHAnsi" w:cstheme="minorHAnsi"/>
          <w:szCs w:val="22"/>
        </w:rPr>
        <w:t>refundovan</w:t>
      </w:r>
      <w:r w:rsidR="00636970">
        <w:rPr>
          <w:rFonts w:asciiTheme="minorHAnsi" w:hAnsiTheme="minorHAnsi" w:cstheme="minorHAnsi"/>
          <w:szCs w:val="22"/>
        </w:rPr>
        <w:t>é</w:t>
      </w:r>
      <w:r w:rsidRPr="00920634">
        <w:rPr>
          <w:rFonts w:asciiTheme="minorHAnsi" w:hAnsiTheme="minorHAnsi" w:cstheme="minorHAnsi"/>
          <w:szCs w:val="22"/>
        </w:rPr>
        <w:t xml:space="preserve"> z Národního fondu</w:t>
      </w:r>
      <w:r w:rsidR="000622FC" w:rsidRPr="00920634">
        <w:rPr>
          <w:rFonts w:asciiTheme="minorHAnsi" w:hAnsiTheme="minorHAnsi" w:cstheme="minorHAnsi"/>
          <w:szCs w:val="22"/>
        </w:rPr>
        <w:t xml:space="preserve"> Ministerstva financí</w:t>
      </w:r>
      <w:r w:rsidRPr="00920634">
        <w:rPr>
          <w:rFonts w:asciiTheme="minorHAnsi" w:hAnsiTheme="minorHAnsi" w:cstheme="minorHAnsi"/>
          <w:szCs w:val="22"/>
        </w:rPr>
        <w:t xml:space="preserve"> na investiční a</w:t>
      </w:r>
      <w:r w:rsidR="007556B2">
        <w:rPr>
          <w:rFonts w:asciiTheme="minorHAnsi" w:hAnsiTheme="minorHAnsi" w:cstheme="minorHAnsi"/>
          <w:szCs w:val="22"/>
        </w:rPr>
        <w:t> </w:t>
      </w:r>
      <w:r w:rsidRPr="00920634">
        <w:rPr>
          <w:rFonts w:asciiTheme="minorHAnsi" w:hAnsiTheme="minorHAnsi" w:cstheme="minorHAnsi"/>
          <w:szCs w:val="22"/>
        </w:rPr>
        <w:t>neinvestiční</w:t>
      </w:r>
      <w:r w:rsidR="00636970">
        <w:rPr>
          <w:rFonts w:asciiTheme="minorHAnsi" w:hAnsiTheme="minorHAnsi" w:cstheme="minorHAnsi"/>
          <w:szCs w:val="22"/>
        </w:rPr>
        <w:t xml:space="preserve"> příjmy.</w:t>
      </w:r>
      <w:r w:rsidR="009F6854" w:rsidRPr="00920634">
        <w:rPr>
          <w:rStyle w:val="Znakapoznpodarou"/>
          <w:rFonts w:asciiTheme="minorHAnsi" w:hAnsiTheme="minorHAnsi" w:cstheme="minorHAnsi"/>
          <w:szCs w:val="22"/>
        </w:rPr>
        <w:footnoteReference w:id="52"/>
      </w:r>
      <w:r w:rsidR="0074225B" w:rsidRPr="00920634">
        <w:rPr>
          <w:rFonts w:asciiTheme="minorHAnsi" w:hAnsiTheme="minorHAnsi" w:cstheme="minorHAnsi"/>
          <w:szCs w:val="22"/>
        </w:rPr>
        <w:t xml:space="preserve"> </w:t>
      </w:r>
      <w:r w:rsidR="00636970">
        <w:rPr>
          <w:rFonts w:asciiTheme="minorHAnsi" w:hAnsiTheme="minorHAnsi" w:cstheme="minorHAnsi"/>
          <w:szCs w:val="22"/>
        </w:rPr>
        <w:t>Z</w:t>
      </w:r>
      <w:r w:rsidRPr="00920634">
        <w:rPr>
          <w:rFonts w:asciiTheme="minorHAnsi" w:hAnsiTheme="minorHAnsi" w:cstheme="minorHAnsi"/>
          <w:szCs w:val="22"/>
        </w:rPr>
        <w:t xml:space="preserve">atřiďovalo </w:t>
      </w:r>
      <w:r w:rsidR="00636970">
        <w:rPr>
          <w:rFonts w:asciiTheme="minorHAnsi" w:hAnsiTheme="minorHAnsi" w:cstheme="minorHAnsi"/>
          <w:szCs w:val="22"/>
        </w:rPr>
        <w:t xml:space="preserve">je </w:t>
      </w:r>
      <w:r w:rsidRPr="00920634">
        <w:rPr>
          <w:rFonts w:asciiTheme="minorHAnsi" w:hAnsiTheme="minorHAnsi" w:cstheme="minorHAnsi"/>
          <w:szCs w:val="22"/>
        </w:rPr>
        <w:t xml:space="preserve">pouze na neinvestiční rozpočtovou položku 4118 – </w:t>
      </w:r>
      <w:r w:rsidRPr="00920634">
        <w:rPr>
          <w:rFonts w:asciiTheme="minorHAnsi" w:hAnsiTheme="minorHAnsi" w:cstheme="minorHAnsi"/>
          <w:i/>
          <w:szCs w:val="22"/>
        </w:rPr>
        <w:t>Neinvestiční převody z Národního fondu</w:t>
      </w:r>
      <w:r w:rsidRPr="00920634">
        <w:rPr>
          <w:rFonts w:asciiTheme="minorHAnsi" w:hAnsiTheme="minorHAnsi" w:cstheme="minorHAnsi"/>
          <w:szCs w:val="22"/>
        </w:rPr>
        <w:t xml:space="preserve">. </w:t>
      </w:r>
      <w:r w:rsidR="00636970">
        <w:rPr>
          <w:rFonts w:asciiTheme="minorHAnsi" w:hAnsiTheme="minorHAnsi" w:cstheme="minorHAnsi"/>
          <w:szCs w:val="22"/>
        </w:rPr>
        <w:t>P</w:t>
      </w:r>
      <w:r w:rsidRPr="00920634">
        <w:rPr>
          <w:rFonts w:asciiTheme="minorHAnsi" w:hAnsiTheme="minorHAnsi" w:cstheme="minorHAnsi"/>
          <w:szCs w:val="22"/>
        </w:rPr>
        <w:t xml:space="preserve">říjmy </w:t>
      </w:r>
      <w:r w:rsidR="00636970">
        <w:rPr>
          <w:rFonts w:asciiTheme="minorHAnsi" w:hAnsiTheme="minorHAnsi" w:cstheme="minorHAnsi"/>
          <w:szCs w:val="22"/>
        </w:rPr>
        <w:t xml:space="preserve">z refundací </w:t>
      </w:r>
      <w:r w:rsidRPr="00920634">
        <w:rPr>
          <w:rFonts w:asciiTheme="minorHAnsi" w:hAnsiTheme="minorHAnsi" w:cstheme="minorHAnsi"/>
          <w:szCs w:val="22"/>
        </w:rPr>
        <w:t xml:space="preserve">však </w:t>
      </w:r>
      <w:r w:rsidR="00FE56FB" w:rsidRPr="00920634">
        <w:rPr>
          <w:rFonts w:asciiTheme="minorHAnsi" w:hAnsiTheme="minorHAnsi" w:cstheme="minorHAnsi"/>
          <w:szCs w:val="22"/>
        </w:rPr>
        <w:t xml:space="preserve">byly </w:t>
      </w:r>
      <w:r w:rsidRPr="00920634">
        <w:rPr>
          <w:rFonts w:asciiTheme="minorHAnsi" w:hAnsiTheme="minorHAnsi" w:cstheme="minorHAnsi"/>
          <w:szCs w:val="22"/>
        </w:rPr>
        <w:t xml:space="preserve">tvořeny i prostředky </w:t>
      </w:r>
      <w:r w:rsidRPr="00920634">
        <w:rPr>
          <w:rFonts w:asciiTheme="minorHAnsi" w:hAnsiTheme="minorHAnsi" w:cstheme="minorHAnsi"/>
          <w:szCs w:val="22"/>
        </w:rPr>
        <w:lastRenderedPageBreak/>
        <w:t>investičními, přičemž MZe mělo možnost přijatou částku správně rozdělit na část investiční a</w:t>
      </w:r>
      <w:r w:rsidR="007556B2">
        <w:rPr>
          <w:rFonts w:asciiTheme="minorHAnsi" w:hAnsiTheme="minorHAnsi" w:cstheme="minorHAnsi"/>
          <w:szCs w:val="22"/>
        </w:rPr>
        <w:t> </w:t>
      </w:r>
      <w:r w:rsidRPr="00920634">
        <w:rPr>
          <w:rFonts w:asciiTheme="minorHAnsi" w:hAnsiTheme="minorHAnsi" w:cstheme="minorHAnsi"/>
          <w:szCs w:val="22"/>
        </w:rPr>
        <w:t>neinvestiční</w:t>
      </w:r>
      <w:r w:rsidRPr="00920634">
        <w:rPr>
          <w:rFonts w:asciiTheme="minorHAnsi" w:hAnsiTheme="minorHAnsi" w:cstheme="minorHAnsi"/>
        </w:rPr>
        <w:t xml:space="preserve"> na základě informací od říd</w:t>
      </w:r>
      <w:r w:rsidR="00636970">
        <w:rPr>
          <w:rFonts w:asciiTheme="minorHAnsi" w:hAnsiTheme="minorHAnsi" w:cstheme="minorHAnsi"/>
        </w:rPr>
        <w:t>i</w:t>
      </w:r>
      <w:r w:rsidRPr="00920634">
        <w:rPr>
          <w:rFonts w:asciiTheme="minorHAnsi" w:hAnsiTheme="minorHAnsi" w:cstheme="minorHAnsi"/>
        </w:rPr>
        <w:t>cího orgánu OPR.</w:t>
      </w:r>
      <w:r w:rsidRPr="00920634">
        <w:rPr>
          <w:rFonts w:asciiTheme="minorHAnsi" w:hAnsiTheme="minorHAnsi" w:cstheme="minorHAnsi"/>
          <w:szCs w:val="22"/>
        </w:rPr>
        <w:t xml:space="preserve"> </w:t>
      </w:r>
    </w:p>
    <w:p w14:paraId="069BCA75" w14:textId="77777777" w:rsidR="00FB7DC9" w:rsidRPr="00920634" w:rsidRDefault="00FB7DC9" w:rsidP="00114439">
      <w:pPr>
        <w:jc w:val="both"/>
        <w:rPr>
          <w:rFonts w:asciiTheme="minorHAnsi" w:hAnsiTheme="minorHAnsi" w:cstheme="minorHAnsi"/>
          <w:szCs w:val="22"/>
        </w:rPr>
      </w:pPr>
    </w:p>
    <w:p w14:paraId="5CCAF333" w14:textId="14649A14" w:rsidR="00FB7DC9" w:rsidRPr="00920634" w:rsidRDefault="00FB7DC9" w:rsidP="00114439">
      <w:pPr>
        <w:pStyle w:val="Odstavecseseznamem"/>
        <w:jc w:val="both"/>
        <w:rPr>
          <w:rFonts w:asciiTheme="minorHAnsi" w:hAnsiTheme="minorHAnsi" w:cstheme="minorHAnsi"/>
          <w:b/>
          <w:i/>
          <w:szCs w:val="22"/>
        </w:rPr>
      </w:pPr>
      <w:r w:rsidRPr="00920634">
        <w:rPr>
          <w:rFonts w:asciiTheme="minorHAnsi" w:hAnsiTheme="minorHAnsi" w:cstheme="minorHAnsi"/>
          <w:b/>
          <w:i/>
        </w:rPr>
        <w:t>Z</w:t>
      </w:r>
      <w:r w:rsidRPr="00920634">
        <w:rPr>
          <w:rFonts w:asciiTheme="minorHAnsi" w:hAnsiTheme="minorHAnsi" w:cstheme="minorHAnsi"/>
          <w:b/>
          <w:i/>
          <w:szCs w:val="22"/>
        </w:rPr>
        <w:t>drojové třídění rozpočtové skla</w:t>
      </w:r>
      <w:r w:rsidR="00E0629C" w:rsidRPr="00920634">
        <w:rPr>
          <w:rFonts w:asciiTheme="minorHAnsi" w:hAnsiTheme="minorHAnsi" w:cstheme="minorHAnsi"/>
          <w:b/>
          <w:i/>
          <w:szCs w:val="22"/>
        </w:rPr>
        <w:t>dby u převodů z rezervního fondu</w:t>
      </w:r>
    </w:p>
    <w:p w14:paraId="7AB2B0CC" w14:textId="3FFF2BFA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nesprávně zatřiďovalo příjmy státního rozpočtu plynoucí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komunitárního programu EUROSTARS pomocí kódu zdroje v rámci prostorového třídění rozpočtovou skladbou.</w:t>
      </w:r>
      <w:r w:rsidR="0037497F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MŠMT přijímalo prostředky programu přímo ze zahraničí na účet rezervního fondu, kde je evidovalo jako „</w:t>
      </w:r>
      <w:r w:rsidRPr="008D4CD3">
        <w:rPr>
          <w:rFonts w:asciiTheme="minorHAnsi" w:hAnsiTheme="minorHAnsi" w:cstheme="minorHAnsi"/>
          <w:i/>
        </w:rPr>
        <w:t>prostředky poskytnuté ze zahraničí – účelově</w:t>
      </w:r>
      <w:r w:rsidRPr="00920634">
        <w:rPr>
          <w:rFonts w:asciiTheme="minorHAnsi" w:hAnsiTheme="minorHAnsi" w:cstheme="minorHAnsi"/>
        </w:rPr>
        <w:t xml:space="preserve">“. Z rezervního fondu je následně převádělo do příjmů státního rozpočtu. Příjem státního rozpočtu však zachycovalo nesprávně jako příjem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tuzemských zdrojů</w:t>
      </w:r>
      <w:r w:rsidR="0037497F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a nikoliv jako příjem ze zahraničních zdrojů.</w:t>
      </w:r>
    </w:p>
    <w:p w14:paraId="34358EE7" w14:textId="77777777" w:rsidR="00FB7DC9" w:rsidRPr="00920634" w:rsidRDefault="00FB7DC9" w:rsidP="00114439">
      <w:pPr>
        <w:jc w:val="both"/>
        <w:rPr>
          <w:rFonts w:asciiTheme="minorHAnsi" w:hAnsiTheme="minorHAnsi" w:cstheme="minorHAnsi"/>
          <w:b/>
          <w:szCs w:val="22"/>
        </w:rPr>
      </w:pPr>
    </w:p>
    <w:p w14:paraId="05B7F316" w14:textId="687F3166" w:rsidR="00FB7DC9" w:rsidRPr="00920634" w:rsidRDefault="00FB7DC9" w:rsidP="00114439">
      <w:pPr>
        <w:pStyle w:val="Odstavecseseznamem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  <w:i/>
        </w:rPr>
        <w:t>Nástrojové třídění rozpočtové skladby u dofinancování komunitárních programů</w:t>
      </w:r>
    </w:p>
    <w:p w14:paraId="7CF54B2F" w14:textId="0B9FAABD" w:rsidR="00FB7DC9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MŠMT některé výdaje účelově vynaložené na komunitární program ERASMUS nezatřiďovalo pomocí </w:t>
      </w:r>
      <w:r w:rsidR="003244D3">
        <w:rPr>
          <w:rFonts w:asciiTheme="minorHAnsi" w:hAnsiTheme="minorHAnsi" w:cstheme="minorHAnsi"/>
          <w:sz w:val="24"/>
        </w:rPr>
        <w:t>příslušného</w:t>
      </w:r>
      <w:r w:rsidRPr="00920634">
        <w:rPr>
          <w:rFonts w:asciiTheme="minorHAnsi" w:hAnsiTheme="minorHAnsi" w:cstheme="minorHAnsi"/>
          <w:sz w:val="24"/>
        </w:rPr>
        <w:t xml:space="preserve"> nástroje rozpočtov</w:t>
      </w:r>
      <w:r w:rsidR="0037497F">
        <w:rPr>
          <w:rFonts w:asciiTheme="minorHAnsi" w:hAnsiTheme="minorHAnsi" w:cstheme="minorHAnsi"/>
          <w:sz w:val="24"/>
        </w:rPr>
        <w:t>é</w:t>
      </w:r>
      <w:r w:rsidRPr="00920634">
        <w:rPr>
          <w:rFonts w:asciiTheme="minorHAnsi" w:hAnsiTheme="minorHAnsi" w:cstheme="minorHAnsi"/>
          <w:sz w:val="24"/>
        </w:rPr>
        <w:t xml:space="preserve"> skladb</w:t>
      </w:r>
      <w:r w:rsidR="0037497F">
        <w:rPr>
          <w:rFonts w:asciiTheme="minorHAnsi" w:hAnsiTheme="minorHAnsi" w:cstheme="minorHAnsi"/>
          <w:sz w:val="24"/>
        </w:rPr>
        <w:t>y</w:t>
      </w:r>
      <w:r w:rsidR="007B4FFD">
        <w:rPr>
          <w:rFonts w:asciiTheme="minorHAnsi" w:hAnsiTheme="minorHAnsi" w:cstheme="minorHAnsi"/>
          <w:sz w:val="24"/>
        </w:rPr>
        <w:t>;</w:t>
      </w:r>
      <w:r w:rsidRPr="00920634">
        <w:rPr>
          <w:rFonts w:asciiTheme="minorHAnsi" w:hAnsiTheme="minorHAnsi" w:cstheme="minorHAnsi"/>
          <w:sz w:val="24"/>
        </w:rPr>
        <w:t xml:space="preserve"> </w:t>
      </w:r>
      <w:r w:rsidR="0037497F">
        <w:rPr>
          <w:rFonts w:asciiTheme="minorHAnsi" w:hAnsiTheme="minorHAnsi" w:cstheme="minorHAnsi"/>
          <w:sz w:val="24"/>
        </w:rPr>
        <w:t>jednalo se o</w:t>
      </w:r>
      <w:r w:rsidRPr="00920634">
        <w:rPr>
          <w:rFonts w:asciiTheme="minorHAnsi" w:hAnsiTheme="minorHAnsi" w:cstheme="minorHAnsi"/>
          <w:sz w:val="24"/>
        </w:rPr>
        <w:t xml:space="preserve"> dotace poskytované veřejným vysokým školám účelově na dofinancování komunitárního program</w:t>
      </w:r>
      <w:r w:rsidR="0037497F">
        <w:rPr>
          <w:rFonts w:asciiTheme="minorHAnsi" w:hAnsiTheme="minorHAnsi" w:cstheme="minorHAnsi"/>
          <w:sz w:val="24"/>
        </w:rPr>
        <w:t>u</w:t>
      </w:r>
      <w:r w:rsidRPr="00920634">
        <w:rPr>
          <w:rFonts w:asciiTheme="minorHAnsi" w:hAnsiTheme="minorHAnsi" w:cstheme="minorHAnsi"/>
          <w:sz w:val="24"/>
        </w:rPr>
        <w:t xml:space="preserve"> ERASMUS. V roce 2014 MŠMT nezatřídilo příslušným nástrojem výdaje ve výši </w:t>
      </w:r>
      <w:r w:rsidR="0037497F">
        <w:rPr>
          <w:rFonts w:asciiTheme="minorHAnsi" w:hAnsiTheme="minorHAnsi" w:cstheme="minorHAnsi"/>
          <w:sz w:val="24"/>
        </w:rPr>
        <w:t>přesahující</w:t>
      </w:r>
      <w:r w:rsidRPr="00920634">
        <w:rPr>
          <w:rFonts w:asciiTheme="minorHAnsi" w:hAnsiTheme="minorHAnsi" w:cstheme="minorHAnsi"/>
          <w:sz w:val="24"/>
        </w:rPr>
        <w:t xml:space="preserve"> 249</w:t>
      </w:r>
      <w:r w:rsidR="0037497F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mil.</w:t>
      </w:r>
      <w:r w:rsidR="0037497F">
        <w:rPr>
          <w:rFonts w:asciiTheme="minorHAnsi" w:hAnsiTheme="minorHAnsi" w:cstheme="minorHAnsi"/>
          <w:sz w:val="24"/>
        </w:rPr>
        <w:t> </w:t>
      </w:r>
      <w:r w:rsidRPr="00920634">
        <w:rPr>
          <w:rFonts w:asciiTheme="minorHAnsi" w:hAnsiTheme="minorHAnsi" w:cstheme="minorHAnsi"/>
          <w:sz w:val="24"/>
        </w:rPr>
        <w:t>Kč.</w:t>
      </w:r>
    </w:p>
    <w:p w14:paraId="20737364" w14:textId="77777777" w:rsidR="00491263" w:rsidRPr="008D4CD3" w:rsidRDefault="00491263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164B8848" w14:textId="00592C50" w:rsidR="00FB7DC9" w:rsidRPr="00920634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  <w:r w:rsidRPr="00920634">
        <w:rPr>
          <w:rFonts w:asciiTheme="minorHAnsi" w:hAnsiTheme="minorHAnsi" w:cstheme="minorHAnsi"/>
          <w:b/>
          <w:sz w:val="24"/>
        </w:rPr>
        <w:t>4.5 Závěrečné účty kapitol státního rozpočtu 333 MŠMT a 329 MZe</w:t>
      </w:r>
    </w:p>
    <w:p w14:paraId="6AB7F896" w14:textId="77777777" w:rsidR="00FB7DC9" w:rsidRPr="008D4CD3" w:rsidRDefault="00FB7DC9" w:rsidP="00114439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2EC888CE" w14:textId="2176ED58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V rámci kontroly byly prověřeny údaje</w:t>
      </w:r>
      <w:r w:rsidR="00EE6732">
        <w:rPr>
          <w:rFonts w:asciiTheme="minorHAnsi" w:hAnsiTheme="minorHAnsi" w:cstheme="minorHAnsi"/>
        </w:rPr>
        <w:t xml:space="preserve">, </w:t>
      </w:r>
      <w:r w:rsidR="00E57469" w:rsidRPr="00920634">
        <w:rPr>
          <w:rFonts w:asciiTheme="minorHAnsi" w:hAnsiTheme="minorHAnsi" w:cstheme="minorHAnsi"/>
        </w:rPr>
        <w:t>které se týkají prostředků ze zahraničí</w:t>
      </w:r>
      <w:r w:rsidR="00E57469">
        <w:rPr>
          <w:rFonts w:asciiTheme="minorHAnsi" w:hAnsiTheme="minorHAnsi" w:cstheme="minorHAnsi"/>
        </w:rPr>
        <w:t xml:space="preserve"> a</w:t>
      </w:r>
      <w:r w:rsidR="00EE6732">
        <w:rPr>
          <w:rFonts w:asciiTheme="minorHAnsi" w:hAnsiTheme="minorHAnsi" w:cstheme="minorHAnsi"/>
        </w:rPr>
        <w:t xml:space="preserve"> jsou</w:t>
      </w:r>
      <w:r w:rsidRPr="00920634">
        <w:rPr>
          <w:rFonts w:asciiTheme="minorHAnsi" w:hAnsiTheme="minorHAnsi" w:cstheme="minorHAnsi"/>
        </w:rPr>
        <w:t xml:space="preserve"> uveden</w:t>
      </w:r>
      <w:r w:rsidR="00EE6732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v závěrečných účtech kapitol státního rozpočtu 333 MŠMT a 329 MZe za rok 2014.</w:t>
      </w:r>
    </w:p>
    <w:p w14:paraId="5E351968" w14:textId="77777777" w:rsidR="00FB7DC9" w:rsidRPr="00920634" w:rsidRDefault="00FB7DC9" w:rsidP="00114439">
      <w:pPr>
        <w:jc w:val="both"/>
        <w:rPr>
          <w:rFonts w:asciiTheme="minorHAnsi" w:hAnsiTheme="minorHAnsi" w:cstheme="minorHAnsi"/>
          <w:b/>
        </w:rPr>
      </w:pPr>
    </w:p>
    <w:p w14:paraId="361C8B11" w14:textId="54B51512" w:rsidR="00FB7DC9" w:rsidRPr="00920634" w:rsidRDefault="00AC0897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Tyto ú</w:t>
      </w:r>
      <w:r w:rsidR="00FB7DC9" w:rsidRPr="00920634">
        <w:rPr>
          <w:rFonts w:asciiTheme="minorHAnsi" w:hAnsiTheme="minorHAnsi" w:cstheme="minorHAnsi"/>
        </w:rPr>
        <w:t xml:space="preserve">daje byly prověřeny a </w:t>
      </w:r>
      <w:r w:rsidR="00E57469">
        <w:rPr>
          <w:rFonts w:asciiTheme="minorHAnsi" w:hAnsiTheme="minorHAnsi" w:cstheme="minorHAnsi"/>
        </w:rPr>
        <w:t>porovnány</w:t>
      </w:r>
      <w:r w:rsidR="00FB7DC9" w:rsidRPr="00920634">
        <w:rPr>
          <w:rFonts w:asciiTheme="minorHAnsi" w:hAnsiTheme="minorHAnsi" w:cstheme="minorHAnsi"/>
        </w:rPr>
        <w:t xml:space="preserve"> </w:t>
      </w:r>
      <w:r w:rsidR="00E57469">
        <w:rPr>
          <w:rFonts w:asciiTheme="minorHAnsi" w:hAnsiTheme="minorHAnsi" w:cstheme="minorHAnsi"/>
        </w:rPr>
        <w:t>s </w:t>
      </w:r>
      <w:r w:rsidR="00FB7DC9" w:rsidRPr="00920634">
        <w:rPr>
          <w:rFonts w:asciiTheme="minorHAnsi" w:hAnsiTheme="minorHAnsi" w:cstheme="minorHAnsi"/>
        </w:rPr>
        <w:t>údaj</w:t>
      </w:r>
      <w:r w:rsidR="00E57469">
        <w:rPr>
          <w:rFonts w:asciiTheme="minorHAnsi" w:hAnsiTheme="minorHAnsi" w:cstheme="minorHAnsi"/>
        </w:rPr>
        <w:t>i</w:t>
      </w:r>
      <w:r w:rsidR="00FB7DC9" w:rsidRPr="00920634">
        <w:rPr>
          <w:rFonts w:asciiTheme="minorHAnsi" w:hAnsiTheme="minorHAnsi" w:cstheme="minorHAnsi"/>
        </w:rPr>
        <w:t xml:space="preserve"> vykázan</w:t>
      </w:r>
      <w:r w:rsidR="00E57469">
        <w:rPr>
          <w:rFonts w:asciiTheme="minorHAnsi" w:hAnsiTheme="minorHAnsi" w:cstheme="minorHAnsi"/>
        </w:rPr>
        <w:t>ými</w:t>
      </w:r>
      <w:r w:rsidR="00FB7DC9" w:rsidRPr="00920634">
        <w:rPr>
          <w:rFonts w:asciiTheme="minorHAnsi" w:hAnsiTheme="minorHAnsi" w:cstheme="minorHAnsi"/>
        </w:rPr>
        <w:t xml:space="preserve"> ve finančních a účetních výkazech, </w:t>
      </w:r>
      <w:r w:rsidR="00E57469">
        <w:rPr>
          <w:rFonts w:asciiTheme="minorHAnsi" w:hAnsiTheme="minorHAnsi" w:cstheme="minorHAnsi"/>
        </w:rPr>
        <w:t>s</w:t>
      </w:r>
      <w:r w:rsidR="00FB7DC9" w:rsidRPr="00920634">
        <w:rPr>
          <w:rFonts w:asciiTheme="minorHAnsi" w:hAnsiTheme="minorHAnsi" w:cstheme="minorHAnsi"/>
        </w:rPr>
        <w:t xml:space="preserve"> údaj</w:t>
      </w:r>
      <w:r w:rsidR="00E57469">
        <w:rPr>
          <w:rFonts w:asciiTheme="minorHAnsi" w:hAnsiTheme="minorHAnsi" w:cstheme="minorHAnsi"/>
        </w:rPr>
        <w:t>i</w:t>
      </w:r>
      <w:r w:rsidR="00FB7DC9" w:rsidRPr="00920634">
        <w:rPr>
          <w:rFonts w:asciiTheme="minorHAnsi" w:hAnsiTheme="minorHAnsi" w:cstheme="minorHAnsi"/>
        </w:rPr>
        <w:t xml:space="preserve"> rozpočtového informačního systému a </w:t>
      </w:r>
      <w:r w:rsidR="00E57469">
        <w:rPr>
          <w:rFonts w:asciiTheme="minorHAnsi" w:hAnsiTheme="minorHAnsi" w:cstheme="minorHAnsi"/>
        </w:rPr>
        <w:t>s </w:t>
      </w:r>
      <w:r w:rsidR="00FB7DC9" w:rsidRPr="00920634">
        <w:rPr>
          <w:rFonts w:asciiTheme="minorHAnsi" w:hAnsiTheme="minorHAnsi" w:cstheme="minorHAnsi"/>
        </w:rPr>
        <w:t>další</w:t>
      </w:r>
      <w:r w:rsidR="00E57469">
        <w:rPr>
          <w:rFonts w:asciiTheme="minorHAnsi" w:hAnsiTheme="minorHAnsi" w:cstheme="minorHAnsi"/>
        </w:rPr>
        <w:t>mi</w:t>
      </w:r>
      <w:r w:rsidR="00FB7DC9" w:rsidRPr="00920634">
        <w:rPr>
          <w:rFonts w:asciiTheme="minorHAnsi" w:hAnsiTheme="minorHAnsi" w:cstheme="minorHAnsi"/>
        </w:rPr>
        <w:t xml:space="preserve"> podpůrn</w:t>
      </w:r>
      <w:r w:rsidR="00E57469">
        <w:rPr>
          <w:rFonts w:asciiTheme="minorHAnsi" w:hAnsiTheme="minorHAnsi" w:cstheme="minorHAnsi"/>
        </w:rPr>
        <w:t>ými</w:t>
      </w:r>
      <w:r w:rsidR="00FB7DC9" w:rsidRPr="00920634">
        <w:rPr>
          <w:rFonts w:asciiTheme="minorHAnsi" w:hAnsiTheme="minorHAnsi" w:cstheme="minorHAnsi"/>
        </w:rPr>
        <w:t xml:space="preserve"> podklady. Kontrolou nebyl</w:t>
      </w:r>
      <w:r w:rsidR="0082154E" w:rsidRPr="00920634">
        <w:rPr>
          <w:rFonts w:asciiTheme="minorHAnsi" w:hAnsiTheme="minorHAnsi" w:cstheme="minorHAnsi"/>
        </w:rPr>
        <w:t>y</w:t>
      </w:r>
      <w:r w:rsidR="00FB7DC9" w:rsidRPr="00920634">
        <w:rPr>
          <w:rFonts w:asciiTheme="minorHAnsi" w:hAnsiTheme="minorHAnsi" w:cstheme="minorHAnsi"/>
        </w:rPr>
        <w:t xml:space="preserve"> zjištěn</w:t>
      </w:r>
      <w:r w:rsidR="00457874" w:rsidRPr="00920634">
        <w:rPr>
          <w:rFonts w:asciiTheme="minorHAnsi" w:hAnsiTheme="minorHAnsi" w:cstheme="minorHAnsi"/>
        </w:rPr>
        <w:t>y</w:t>
      </w:r>
      <w:r w:rsidR="00FB7DC9" w:rsidRPr="00920634">
        <w:rPr>
          <w:rFonts w:asciiTheme="minorHAnsi" w:hAnsiTheme="minorHAnsi" w:cstheme="minorHAnsi"/>
        </w:rPr>
        <w:t xml:space="preserve"> významn</w:t>
      </w:r>
      <w:r w:rsidR="00457874" w:rsidRPr="00920634">
        <w:rPr>
          <w:rFonts w:asciiTheme="minorHAnsi" w:hAnsiTheme="minorHAnsi" w:cstheme="minorHAnsi"/>
        </w:rPr>
        <w:t>é rozdíly</w:t>
      </w:r>
      <w:r w:rsidR="00FB7DC9" w:rsidRPr="00920634">
        <w:rPr>
          <w:rFonts w:asciiTheme="minorHAnsi" w:hAnsiTheme="minorHAnsi" w:cstheme="minorHAnsi"/>
        </w:rPr>
        <w:t>.</w:t>
      </w:r>
    </w:p>
    <w:p w14:paraId="000FCE51" w14:textId="77777777" w:rsidR="00FB7DC9" w:rsidRPr="00920634" w:rsidRDefault="00FB7DC9" w:rsidP="00114439">
      <w:pPr>
        <w:jc w:val="both"/>
        <w:rPr>
          <w:rFonts w:asciiTheme="minorHAnsi" w:hAnsiTheme="minorHAnsi" w:cstheme="minorHAnsi"/>
        </w:rPr>
      </w:pPr>
    </w:p>
    <w:p w14:paraId="796AA34F" w14:textId="54CB5075" w:rsidR="00FB7DC9" w:rsidRPr="00920634" w:rsidRDefault="00FB7DC9" w:rsidP="00114439">
      <w:pPr>
        <w:pStyle w:val="Bezmezer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 xml:space="preserve">Podkladem pro </w:t>
      </w:r>
      <w:r w:rsidR="00A05364">
        <w:rPr>
          <w:rFonts w:asciiTheme="minorHAnsi" w:hAnsiTheme="minorHAnsi" w:cstheme="minorHAnsi"/>
          <w:sz w:val="24"/>
          <w:szCs w:val="24"/>
        </w:rPr>
        <w:t>sestavení</w:t>
      </w:r>
      <w:r w:rsidRPr="00920634">
        <w:rPr>
          <w:rFonts w:asciiTheme="minorHAnsi" w:hAnsiTheme="minorHAnsi" w:cstheme="minorHAnsi"/>
          <w:sz w:val="24"/>
          <w:szCs w:val="24"/>
        </w:rPr>
        <w:t xml:space="preserve"> závěrečných účtů jsou dle vyhlášky č. 419/2001 Sb.</w:t>
      </w:r>
      <w:r w:rsidRPr="00920634">
        <w:rPr>
          <w:rStyle w:val="Znakapoznpodarou"/>
          <w:rFonts w:asciiTheme="minorHAnsi" w:hAnsiTheme="minorHAnsi" w:cstheme="minorHAnsi"/>
          <w:sz w:val="24"/>
          <w:szCs w:val="24"/>
        </w:rPr>
        <w:footnoteReference w:id="53"/>
      </w:r>
      <w:r w:rsidRPr="00920634">
        <w:rPr>
          <w:rFonts w:asciiTheme="minorHAnsi" w:hAnsiTheme="minorHAnsi" w:cstheme="minorHAnsi"/>
          <w:sz w:val="24"/>
          <w:szCs w:val="24"/>
        </w:rPr>
        <w:t xml:space="preserve"> účetní závěrky a finanční výkazy. 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Závěrečné účty </w:t>
      </w:r>
      <w:r w:rsidR="00875087">
        <w:rPr>
          <w:rFonts w:asciiTheme="minorHAnsi" w:hAnsiTheme="minorHAnsi" w:cstheme="minorHAnsi"/>
          <w:b/>
          <w:sz w:val="24"/>
          <w:szCs w:val="24"/>
        </w:rPr>
        <w:t>však v souladu s </w:t>
      </w:r>
      <w:r w:rsidRPr="00920634">
        <w:rPr>
          <w:rFonts w:asciiTheme="minorHAnsi" w:hAnsiTheme="minorHAnsi" w:cstheme="minorHAnsi"/>
          <w:b/>
          <w:sz w:val="24"/>
          <w:szCs w:val="24"/>
        </w:rPr>
        <w:t>vyhlášk</w:t>
      </w:r>
      <w:r w:rsidR="00875087">
        <w:rPr>
          <w:rFonts w:asciiTheme="minorHAnsi" w:hAnsiTheme="minorHAnsi" w:cstheme="minorHAnsi"/>
          <w:b/>
          <w:sz w:val="24"/>
          <w:szCs w:val="24"/>
        </w:rPr>
        <w:t>ou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350806" w:rsidRPr="00920634">
        <w:rPr>
          <w:rFonts w:asciiTheme="minorHAnsi" w:hAnsiTheme="minorHAnsi" w:cstheme="minorHAnsi"/>
          <w:b/>
          <w:sz w:val="24"/>
          <w:szCs w:val="24"/>
        </w:rPr>
        <w:t> </w:t>
      </w:r>
      <w:r w:rsidRPr="00920634">
        <w:rPr>
          <w:rFonts w:asciiTheme="minorHAnsi" w:hAnsiTheme="minorHAnsi" w:cstheme="minorHAnsi"/>
          <w:b/>
          <w:sz w:val="24"/>
          <w:szCs w:val="24"/>
        </w:rPr>
        <w:t>419/2001</w:t>
      </w:r>
      <w:r w:rsidR="00350806" w:rsidRPr="00920634">
        <w:rPr>
          <w:rFonts w:asciiTheme="minorHAnsi" w:hAnsiTheme="minorHAnsi" w:cstheme="minorHAnsi"/>
          <w:b/>
          <w:sz w:val="24"/>
          <w:szCs w:val="24"/>
        </w:rPr>
        <w:t> 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Sb. nejsou </w:t>
      </w:r>
      <w:r w:rsidR="00875087" w:rsidRPr="00920634">
        <w:rPr>
          <w:rFonts w:asciiTheme="minorHAnsi" w:hAnsiTheme="minorHAnsi" w:cstheme="minorHAnsi"/>
          <w:b/>
          <w:sz w:val="24"/>
          <w:szCs w:val="24"/>
        </w:rPr>
        <w:t xml:space="preserve">založeny </w:t>
      </w:r>
      <w:r w:rsidR="00E1004F" w:rsidRPr="00920634">
        <w:rPr>
          <w:rFonts w:asciiTheme="minorHAnsi" w:hAnsiTheme="minorHAnsi" w:cstheme="minorHAnsi"/>
          <w:b/>
          <w:sz w:val="24"/>
          <w:szCs w:val="24"/>
        </w:rPr>
        <w:t xml:space="preserve">především </w:t>
      </w:r>
      <w:r w:rsidRPr="00920634">
        <w:rPr>
          <w:rFonts w:asciiTheme="minorHAnsi" w:hAnsiTheme="minorHAnsi" w:cstheme="minorHAnsi"/>
          <w:b/>
          <w:sz w:val="24"/>
          <w:szCs w:val="24"/>
        </w:rPr>
        <w:t>na akruálních údajích z účetních závěrek</w:t>
      </w:r>
      <w:r w:rsidR="00E1004F" w:rsidRPr="00920634">
        <w:rPr>
          <w:rFonts w:asciiTheme="minorHAnsi" w:hAnsiTheme="minorHAnsi" w:cstheme="minorHAnsi"/>
          <w:b/>
          <w:sz w:val="24"/>
          <w:szCs w:val="24"/>
        </w:rPr>
        <w:t>.</w:t>
      </w:r>
      <w:r w:rsidR="0082154E" w:rsidRPr="00920634">
        <w:rPr>
          <w:rFonts w:asciiTheme="minorHAnsi" w:hAnsiTheme="minorHAnsi" w:cstheme="minorHAnsi"/>
          <w:sz w:val="24"/>
          <w:szCs w:val="24"/>
        </w:rPr>
        <w:t xml:space="preserve"> Základem pro informace</w:t>
      </w:r>
      <w:r w:rsidRPr="00920634">
        <w:rPr>
          <w:rFonts w:asciiTheme="minorHAnsi" w:hAnsiTheme="minorHAnsi" w:cstheme="minorHAnsi"/>
          <w:sz w:val="24"/>
          <w:szCs w:val="24"/>
        </w:rPr>
        <w:t xml:space="preserve"> jsou</w:t>
      </w:r>
      <w:r w:rsidR="0082154E" w:rsidRPr="00920634">
        <w:rPr>
          <w:rFonts w:asciiTheme="minorHAnsi" w:hAnsiTheme="minorHAnsi" w:cstheme="minorHAnsi"/>
          <w:sz w:val="24"/>
          <w:szCs w:val="24"/>
        </w:rPr>
        <w:t xml:space="preserve"> údaje</w:t>
      </w:r>
      <w:r w:rsidRPr="00920634">
        <w:rPr>
          <w:rFonts w:asciiTheme="minorHAnsi" w:hAnsiTheme="minorHAnsi" w:cstheme="minorHAnsi"/>
          <w:sz w:val="24"/>
          <w:szCs w:val="24"/>
        </w:rPr>
        <w:t xml:space="preserve"> o rozpočtu a pohybech peněžních prostředků. </w:t>
      </w:r>
      <w:r w:rsidRPr="00920634">
        <w:rPr>
          <w:rFonts w:asciiTheme="minorHAnsi" w:hAnsiTheme="minorHAnsi" w:cstheme="minorHAnsi"/>
          <w:b/>
          <w:sz w:val="24"/>
          <w:szCs w:val="24"/>
        </w:rPr>
        <w:t xml:space="preserve">V závěrečných účtech MŠMT a MZe tak v oblasti transferů není např. komentován finanční dopad 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>realizovaných a očekávaných</w:t>
      </w:r>
      <w:r w:rsidR="008750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0634">
        <w:rPr>
          <w:rFonts w:asciiTheme="minorHAnsi" w:hAnsiTheme="minorHAnsi" w:cstheme="minorHAnsi"/>
          <w:b/>
          <w:sz w:val="24"/>
          <w:szCs w:val="24"/>
        </w:rPr>
        <w:t>finančních oprav</w:t>
      </w:r>
      <w:r w:rsidR="0082154E" w:rsidRPr="00920634">
        <w:rPr>
          <w:rFonts w:asciiTheme="minorHAnsi" w:hAnsiTheme="minorHAnsi" w:cstheme="minorHAnsi"/>
          <w:b/>
          <w:sz w:val="24"/>
          <w:szCs w:val="24"/>
        </w:rPr>
        <w:t xml:space="preserve"> na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 xml:space="preserve"> čerpání </w:t>
      </w:r>
      <w:r w:rsidR="0082154E" w:rsidRPr="00920634">
        <w:rPr>
          <w:rFonts w:asciiTheme="minorHAnsi" w:hAnsiTheme="minorHAnsi" w:cstheme="minorHAnsi"/>
          <w:b/>
          <w:sz w:val="24"/>
          <w:szCs w:val="24"/>
        </w:rPr>
        <w:t>prostředk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>ů</w:t>
      </w:r>
      <w:r w:rsidR="0082154E" w:rsidRPr="00920634">
        <w:rPr>
          <w:rFonts w:asciiTheme="minorHAnsi" w:hAnsiTheme="minorHAnsi" w:cstheme="minorHAnsi"/>
          <w:b/>
          <w:sz w:val="24"/>
          <w:szCs w:val="24"/>
        </w:rPr>
        <w:t xml:space="preserve"> státního rozpočtu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 xml:space="preserve"> ČR</w:t>
      </w:r>
      <w:r w:rsidR="00875087">
        <w:rPr>
          <w:rFonts w:asciiTheme="minorHAnsi" w:hAnsiTheme="minorHAnsi" w:cstheme="minorHAnsi"/>
          <w:b/>
          <w:sz w:val="24"/>
          <w:szCs w:val="24"/>
        </w:rPr>
        <w:t xml:space="preserve"> v těch případech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>,</w:t>
      </w:r>
      <w:r w:rsidR="00875087">
        <w:rPr>
          <w:rFonts w:asciiTheme="minorHAnsi" w:hAnsiTheme="minorHAnsi" w:cstheme="minorHAnsi"/>
          <w:b/>
          <w:sz w:val="24"/>
          <w:szCs w:val="24"/>
        </w:rPr>
        <w:t xml:space="preserve"> kdy se původně předpokládalo </w:t>
      </w:r>
      <w:r w:rsidR="00875087" w:rsidRPr="00920634">
        <w:rPr>
          <w:rFonts w:asciiTheme="minorHAnsi" w:hAnsiTheme="minorHAnsi" w:cstheme="minorHAnsi"/>
          <w:b/>
          <w:sz w:val="24"/>
          <w:szCs w:val="24"/>
        </w:rPr>
        <w:t xml:space="preserve">čerpání </w:t>
      </w:r>
      <w:r w:rsidR="00875087">
        <w:rPr>
          <w:rFonts w:asciiTheme="minorHAnsi" w:hAnsiTheme="minorHAnsi" w:cstheme="minorHAnsi"/>
          <w:b/>
          <w:sz w:val="24"/>
          <w:szCs w:val="24"/>
        </w:rPr>
        <w:t xml:space="preserve">ze zdrojů </w:t>
      </w:r>
      <w:r w:rsidR="00875087" w:rsidRPr="00920634">
        <w:rPr>
          <w:rFonts w:asciiTheme="minorHAnsi" w:hAnsiTheme="minorHAnsi" w:cstheme="minorHAnsi"/>
          <w:b/>
          <w:sz w:val="24"/>
          <w:szCs w:val="24"/>
        </w:rPr>
        <w:t>EU</w:t>
      </w:r>
      <w:r w:rsidR="00BC3FA3" w:rsidRPr="00920634">
        <w:rPr>
          <w:rFonts w:asciiTheme="minorHAnsi" w:hAnsiTheme="minorHAnsi" w:cstheme="minorHAnsi"/>
          <w:b/>
          <w:sz w:val="24"/>
          <w:szCs w:val="24"/>
        </w:rPr>
        <w:t>.</w:t>
      </w:r>
      <w:r w:rsidRPr="00920634">
        <w:rPr>
          <w:rFonts w:asciiTheme="minorHAnsi" w:hAnsiTheme="minorHAnsi" w:cstheme="minorHAnsi"/>
          <w:sz w:val="24"/>
          <w:szCs w:val="24"/>
        </w:rPr>
        <w:t xml:space="preserve"> Přestože </w:t>
      </w:r>
      <w:r w:rsidRPr="005C19B6">
        <w:rPr>
          <w:rFonts w:asciiTheme="minorHAnsi" w:hAnsiTheme="minorHAnsi" w:cstheme="minorHAnsi"/>
          <w:sz w:val="24"/>
          <w:szCs w:val="24"/>
        </w:rPr>
        <w:t>akruálně</w:t>
      </w:r>
      <w:r w:rsidR="00F13C87">
        <w:rPr>
          <w:rFonts w:asciiTheme="minorHAnsi" w:hAnsiTheme="minorHAnsi" w:cstheme="minorHAnsi"/>
          <w:sz w:val="24"/>
          <w:szCs w:val="24"/>
        </w:rPr>
        <w:t xml:space="preserve"> </w:t>
      </w:r>
      <w:r w:rsidRPr="00920634">
        <w:rPr>
          <w:rFonts w:asciiTheme="minorHAnsi" w:hAnsiTheme="minorHAnsi" w:cstheme="minorHAnsi"/>
          <w:sz w:val="24"/>
          <w:szCs w:val="24"/>
        </w:rPr>
        <w:t>založené informace mají vysokou vypovídací schopnost, nejsou</w:t>
      </w:r>
      <w:r w:rsidR="00E1004F" w:rsidRPr="00920634">
        <w:rPr>
          <w:rFonts w:asciiTheme="minorHAnsi" w:hAnsiTheme="minorHAnsi" w:cstheme="minorHAnsi"/>
          <w:sz w:val="24"/>
          <w:szCs w:val="24"/>
        </w:rPr>
        <w:t xml:space="preserve"> jako nutné konkrétní údaje v průvodní zprávě dle</w:t>
      </w:r>
      <w:r w:rsidRPr="00920634">
        <w:rPr>
          <w:rFonts w:asciiTheme="minorHAnsi" w:hAnsiTheme="minorHAnsi" w:cstheme="minorHAnsi"/>
          <w:sz w:val="24"/>
          <w:szCs w:val="24"/>
        </w:rPr>
        <w:t xml:space="preserve"> vyhlášk</w:t>
      </w:r>
      <w:r w:rsidR="00E1004F" w:rsidRPr="00920634">
        <w:rPr>
          <w:rFonts w:asciiTheme="minorHAnsi" w:hAnsiTheme="minorHAnsi" w:cstheme="minorHAnsi"/>
          <w:sz w:val="24"/>
          <w:szCs w:val="24"/>
        </w:rPr>
        <w:t>y</w:t>
      </w:r>
      <w:r w:rsidRPr="00920634">
        <w:rPr>
          <w:rFonts w:asciiTheme="minorHAnsi" w:hAnsiTheme="minorHAnsi" w:cstheme="minorHAnsi"/>
          <w:sz w:val="24"/>
          <w:szCs w:val="24"/>
        </w:rPr>
        <w:t xml:space="preserve"> č. 419/2001 Sb. vyžadovány</w:t>
      </w:r>
      <w:r w:rsidR="00E1004F" w:rsidRPr="00920634">
        <w:rPr>
          <w:rFonts w:asciiTheme="minorHAnsi" w:hAnsiTheme="minorHAnsi" w:cstheme="minorHAnsi"/>
          <w:sz w:val="24"/>
          <w:szCs w:val="24"/>
        </w:rPr>
        <w:t>.</w:t>
      </w:r>
      <w:r w:rsidRPr="00920634">
        <w:rPr>
          <w:rFonts w:asciiTheme="minorHAnsi" w:hAnsiTheme="minorHAnsi" w:cstheme="minorHAnsi"/>
          <w:sz w:val="24"/>
          <w:szCs w:val="24"/>
        </w:rPr>
        <w:t xml:space="preserve"> Proto ani nejednoznačnost účetních předpisů v oblasti zahraničních transferů neměla faktický vliv na spolehlivos</w:t>
      </w:r>
      <w:r w:rsidR="00F13C87">
        <w:rPr>
          <w:rFonts w:asciiTheme="minorHAnsi" w:hAnsiTheme="minorHAnsi" w:cstheme="minorHAnsi"/>
          <w:sz w:val="24"/>
          <w:szCs w:val="24"/>
        </w:rPr>
        <w:t>t údajů závěrečných účtů MŠMT a </w:t>
      </w:r>
      <w:r w:rsidRPr="00920634">
        <w:rPr>
          <w:rFonts w:asciiTheme="minorHAnsi" w:hAnsiTheme="minorHAnsi" w:cstheme="minorHAnsi"/>
          <w:sz w:val="24"/>
          <w:szCs w:val="24"/>
        </w:rPr>
        <w:t>MZe za rok 2014.</w:t>
      </w:r>
    </w:p>
    <w:p w14:paraId="41A7EBA8" w14:textId="77777777" w:rsidR="00E0629C" w:rsidRPr="008D4CD3" w:rsidRDefault="00E0629C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62086173" w14:textId="77777777" w:rsidR="00E0629C" w:rsidRPr="008D4CD3" w:rsidRDefault="00E0629C" w:rsidP="00491B35">
      <w:pPr>
        <w:pStyle w:val="NormlnKZ"/>
        <w:keepNext/>
        <w:spacing w:after="0"/>
        <w:ind w:firstLine="0"/>
        <w:rPr>
          <w:rFonts w:asciiTheme="minorHAnsi" w:hAnsiTheme="minorHAnsi" w:cstheme="minorHAnsi"/>
          <w:sz w:val="24"/>
        </w:rPr>
      </w:pPr>
    </w:p>
    <w:p w14:paraId="48A28D61" w14:textId="1DE064D6" w:rsidR="00940959" w:rsidRPr="00920634" w:rsidRDefault="00FB7DC9" w:rsidP="00491B35">
      <w:pPr>
        <w:keepNext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634">
        <w:rPr>
          <w:rFonts w:asciiTheme="minorHAnsi" w:hAnsiTheme="minorHAnsi" w:cstheme="minorHAnsi"/>
          <w:b/>
          <w:sz w:val="28"/>
          <w:szCs w:val="28"/>
        </w:rPr>
        <w:t>III. Shrnutí a vyhodnocení</w:t>
      </w:r>
    </w:p>
    <w:p w14:paraId="2A0E4169" w14:textId="77777777" w:rsidR="0074225B" w:rsidRPr="00920634" w:rsidRDefault="0074225B" w:rsidP="00491B35">
      <w:pPr>
        <w:keepNext/>
        <w:jc w:val="both"/>
        <w:rPr>
          <w:rFonts w:asciiTheme="minorHAnsi" w:hAnsiTheme="minorHAnsi" w:cstheme="minorHAnsi"/>
        </w:rPr>
      </w:pPr>
    </w:p>
    <w:p w14:paraId="49131146" w14:textId="7A0D760E" w:rsidR="00BC0015" w:rsidRPr="00920634" w:rsidRDefault="00FB7DC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Cílem kontroly bylo u </w:t>
      </w:r>
      <w:r w:rsidRPr="00920634">
        <w:rPr>
          <w:rFonts w:asciiTheme="minorHAnsi" w:hAnsiTheme="minorHAnsi" w:cstheme="minorHAnsi"/>
          <w:bCs/>
        </w:rPr>
        <w:t xml:space="preserve">MŠMT a MZe </w:t>
      </w:r>
      <w:r w:rsidRPr="00920634">
        <w:rPr>
          <w:rFonts w:asciiTheme="minorHAnsi" w:hAnsiTheme="minorHAnsi" w:cstheme="minorHAnsi"/>
        </w:rPr>
        <w:t>prověřit plnění povinností při vedení účetnictví o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peněžních prostředcích státního rozpočtu, </w:t>
      </w:r>
      <w:r w:rsidR="0036681E" w:rsidRPr="00920634">
        <w:rPr>
          <w:rFonts w:asciiTheme="minorHAnsi" w:hAnsiTheme="minorHAnsi" w:cstheme="minorHAnsi"/>
        </w:rPr>
        <w:t xml:space="preserve">prostředcích </w:t>
      </w:r>
      <w:r w:rsidRPr="00920634">
        <w:rPr>
          <w:rFonts w:asciiTheme="minorHAnsi" w:hAnsiTheme="minorHAnsi" w:cstheme="minorHAnsi"/>
        </w:rPr>
        <w:t>rozpočtu EU a jiných peněžních prostředcích přijatých ze zahraničí</w:t>
      </w:r>
      <w:r w:rsidR="0036681E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prověřit jejich vykázání v účetních závěrkách a promítnutí </w:t>
      </w:r>
      <w:r w:rsidRPr="00920634">
        <w:rPr>
          <w:rFonts w:asciiTheme="minorHAnsi" w:hAnsiTheme="minorHAnsi" w:cstheme="minorHAnsi"/>
        </w:rPr>
        <w:lastRenderedPageBreak/>
        <w:t xml:space="preserve">do údajů předkládaných pro hodnocení plnění státního rozpočtu </w:t>
      </w:r>
      <w:r w:rsidR="008F5F38" w:rsidRPr="00920634">
        <w:rPr>
          <w:rFonts w:asciiTheme="minorHAnsi" w:hAnsiTheme="minorHAnsi" w:cstheme="minorHAnsi"/>
        </w:rPr>
        <w:t xml:space="preserve">a </w:t>
      </w:r>
      <w:r w:rsidRPr="00920634">
        <w:rPr>
          <w:rFonts w:asciiTheme="minorHAnsi" w:hAnsiTheme="minorHAnsi" w:cstheme="minorHAnsi"/>
        </w:rPr>
        <w:t>prověř</w:t>
      </w:r>
      <w:r w:rsidR="008F5F38" w:rsidRPr="00920634">
        <w:rPr>
          <w:rFonts w:asciiTheme="minorHAnsi" w:hAnsiTheme="minorHAnsi" w:cstheme="minorHAnsi"/>
        </w:rPr>
        <w:t>it</w:t>
      </w:r>
      <w:r w:rsidRPr="00920634">
        <w:rPr>
          <w:rFonts w:asciiTheme="minorHAnsi" w:hAnsiTheme="minorHAnsi" w:cstheme="minorHAnsi"/>
        </w:rPr>
        <w:t xml:space="preserve"> údaj</w:t>
      </w:r>
      <w:r w:rsidR="008F5F38" w:rsidRPr="00920634">
        <w:rPr>
          <w:rFonts w:asciiTheme="minorHAnsi" w:hAnsiTheme="minorHAnsi" w:cstheme="minorHAnsi"/>
        </w:rPr>
        <w:t>e</w:t>
      </w:r>
      <w:r w:rsidRPr="00920634">
        <w:rPr>
          <w:rFonts w:asciiTheme="minorHAnsi" w:hAnsiTheme="minorHAnsi" w:cstheme="minorHAnsi"/>
        </w:rPr>
        <w:t xml:space="preserve"> uváděn</w:t>
      </w:r>
      <w:r w:rsidR="00AC0897" w:rsidRPr="00920634">
        <w:rPr>
          <w:rFonts w:asciiTheme="minorHAnsi" w:hAnsiTheme="minorHAnsi" w:cstheme="minorHAnsi"/>
        </w:rPr>
        <w:t>é</w:t>
      </w:r>
      <w:r w:rsidRPr="00920634">
        <w:rPr>
          <w:rFonts w:asciiTheme="minorHAnsi" w:hAnsiTheme="minorHAnsi" w:cstheme="minorHAnsi"/>
        </w:rPr>
        <w:t xml:space="preserve"> o</w:t>
      </w:r>
      <w:r w:rsidR="003F2C06">
        <w:rPr>
          <w:rFonts w:asciiTheme="minorHAnsi" w:hAnsiTheme="minorHAnsi" w:cstheme="minorHAnsi"/>
        </w:rPr>
        <w:t> těchto prostředcích</w:t>
      </w:r>
      <w:r w:rsidRPr="00920634">
        <w:rPr>
          <w:rFonts w:asciiTheme="minorHAnsi" w:hAnsiTheme="minorHAnsi" w:cstheme="minorHAnsi"/>
        </w:rPr>
        <w:t xml:space="preserve"> v závěrečných účtech kapitol státního rozpočtu za rok 2014.</w:t>
      </w:r>
    </w:p>
    <w:p w14:paraId="3FC3D38C" w14:textId="77777777" w:rsidR="001E0584" w:rsidRPr="00920634" w:rsidRDefault="001E0584" w:rsidP="00114439">
      <w:pPr>
        <w:jc w:val="both"/>
        <w:rPr>
          <w:rFonts w:asciiTheme="minorHAnsi" w:hAnsiTheme="minorHAnsi" w:cstheme="minorHAnsi"/>
        </w:rPr>
      </w:pPr>
    </w:p>
    <w:p w14:paraId="1255C142" w14:textId="3CD4CA10" w:rsidR="00525EDF" w:rsidRPr="00920634" w:rsidRDefault="006C6E74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Kontrola se zaměřila na vykazování údajů o transferech</w:t>
      </w:r>
      <w:r w:rsidR="001B28DF" w:rsidRPr="00920634">
        <w:rPr>
          <w:rFonts w:asciiTheme="minorHAnsi" w:hAnsiTheme="minorHAnsi" w:cstheme="minorHAnsi"/>
        </w:rPr>
        <w:t xml:space="preserve"> týkajících se</w:t>
      </w:r>
      <w:r w:rsidRPr="00920634">
        <w:rPr>
          <w:rFonts w:asciiTheme="minorHAnsi" w:hAnsiTheme="minorHAnsi" w:cstheme="minorHAnsi"/>
        </w:rPr>
        <w:t xml:space="preserve"> prostředků spolufinancovaných ze zahraničí</w:t>
      </w:r>
      <w:r w:rsidR="003476A1" w:rsidRPr="00920634">
        <w:rPr>
          <w:rFonts w:asciiTheme="minorHAnsi" w:hAnsiTheme="minorHAnsi" w:cstheme="minorHAnsi"/>
        </w:rPr>
        <w:t>, které</w:t>
      </w:r>
      <w:r w:rsidRPr="00920634">
        <w:rPr>
          <w:rFonts w:asciiTheme="minorHAnsi" w:hAnsiTheme="minorHAnsi" w:cstheme="minorHAnsi"/>
        </w:rPr>
        <w:t xml:space="preserve"> jsou důležitou součástí hospodaření MŠMT i MZe.</w:t>
      </w:r>
    </w:p>
    <w:p w14:paraId="768F5550" w14:textId="77777777" w:rsidR="00E0629C" w:rsidRPr="00920634" w:rsidRDefault="00E0629C" w:rsidP="00114439">
      <w:pPr>
        <w:jc w:val="both"/>
        <w:rPr>
          <w:rFonts w:asciiTheme="minorHAnsi" w:hAnsiTheme="minorHAnsi" w:cstheme="minorHAnsi"/>
        </w:rPr>
      </w:pPr>
    </w:p>
    <w:p w14:paraId="03103AC7" w14:textId="2B729E10" w:rsidR="00D718A5" w:rsidRPr="00920634" w:rsidRDefault="00160577" w:rsidP="008D4CD3">
      <w:pPr>
        <w:ind w:left="255" w:hanging="255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1. </w:t>
      </w:r>
      <w:r w:rsidR="00B27AF2" w:rsidRPr="00920634">
        <w:rPr>
          <w:rFonts w:asciiTheme="minorHAnsi" w:hAnsiTheme="minorHAnsi" w:cstheme="minorHAnsi"/>
          <w:b/>
        </w:rPr>
        <w:t>Vypovídací schopnost p</w:t>
      </w:r>
      <w:r w:rsidR="006C6E74" w:rsidRPr="00920634">
        <w:rPr>
          <w:rFonts w:asciiTheme="minorHAnsi" w:hAnsiTheme="minorHAnsi" w:cstheme="minorHAnsi"/>
          <w:b/>
        </w:rPr>
        <w:t>rověřovan</w:t>
      </w:r>
      <w:r w:rsidR="00B27AF2" w:rsidRPr="00920634">
        <w:rPr>
          <w:rFonts w:asciiTheme="minorHAnsi" w:hAnsiTheme="minorHAnsi" w:cstheme="minorHAnsi"/>
          <w:b/>
        </w:rPr>
        <w:t>ých</w:t>
      </w:r>
      <w:r w:rsidR="006C6E74" w:rsidRPr="00920634">
        <w:rPr>
          <w:rFonts w:asciiTheme="minorHAnsi" w:hAnsiTheme="minorHAnsi" w:cstheme="minorHAnsi"/>
          <w:b/>
        </w:rPr>
        <w:t xml:space="preserve"> systém</w:t>
      </w:r>
      <w:r w:rsidR="00B27AF2" w:rsidRPr="00920634">
        <w:rPr>
          <w:rFonts w:asciiTheme="minorHAnsi" w:hAnsiTheme="minorHAnsi" w:cstheme="minorHAnsi"/>
          <w:b/>
        </w:rPr>
        <w:t>ů</w:t>
      </w:r>
      <w:r w:rsidR="006C6E74" w:rsidRPr="00920634">
        <w:rPr>
          <w:rFonts w:asciiTheme="minorHAnsi" w:hAnsiTheme="minorHAnsi" w:cstheme="minorHAnsi"/>
          <w:b/>
        </w:rPr>
        <w:t xml:space="preserve"> vykazování transferů </w:t>
      </w:r>
      <w:r w:rsidR="00716851">
        <w:rPr>
          <w:rFonts w:asciiTheme="minorHAnsi" w:hAnsiTheme="minorHAnsi" w:cstheme="minorHAnsi"/>
          <w:b/>
        </w:rPr>
        <w:t>spolufinancovaných ze zahraničí</w:t>
      </w:r>
    </w:p>
    <w:p w14:paraId="7823F4FD" w14:textId="77777777" w:rsidR="00E0629C" w:rsidRPr="00920634" w:rsidRDefault="00E0629C" w:rsidP="00114439">
      <w:pPr>
        <w:jc w:val="both"/>
        <w:rPr>
          <w:rFonts w:asciiTheme="minorHAnsi" w:hAnsiTheme="minorHAnsi" w:cstheme="minorHAnsi"/>
          <w:b/>
        </w:rPr>
      </w:pPr>
    </w:p>
    <w:p w14:paraId="343AE45E" w14:textId="7FF02E09" w:rsidR="00D718A5" w:rsidRPr="00920634" w:rsidRDefault="00C40AE7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Transfery prostředků spolufinancovaných</w:t>
      </w:r>
      <w:r w:rsidR="001B28DF" w:rsidRPr="00920634">
        <w:rPr>
          <w:rFonts w:asciiTheme="minorHAnsi" w:hAnsiTheme="minorHAnsi" w:cstheme="minorHAnsi"/>
        </w:rPr>
        <w:t xml:space="preserve"> ze zahraničí</w:t>
      </w:r>
      <w:r w:rsidRPr="00920634">
        <w:rPr>
          <w:rFonts w:asciiTheme="minorHAnsi" w:hAnsiTheme="minorHAnsi" w:cstheme="minorHAnsi"/>
        </w:rPr>
        <w:t xml:space="preserve"> se promítají do</w:t>
      </w:r>
      <w:r w:rsidR="004116F9" w:rsidRPr="00920634">
        <w:rPr>
          <w:rFonts w:asciiTheme="minorHAnsi" w:hAnsiTheme="minorHAnsi" w:cstheme="minorHAnsi"/>
        </w:rPr>
        <w:t>:</w:t>
      </w:r>
    </w:p>
    <w:p w14:paraId="09D334B4" w14:textId="645EB299" w:rsidR="003476A1" w:rsidRPr="00920634" w:rsidRDefault="00C40AE7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rozpočtového informačního systému</w:t>
      </w:r>
      <w:r w:rsidR="002226B7" w:rsidRPr="00920634">
        <w:rPr>
          <w:rFonts w:asciiTheme="minorHAnsi" w:hAnsiTheme="minorHAnsi" w:cstheme="minorHAnsi"/>
        </w:rPr>
        <w:t>,</w:t>
      </w:r>
      <w:r w:rsidRPr="00920634">
        <w:rPr>
          <w:rFonts w:asciiTheme="minorHAnsi" w:hAnsiTheme="minorHAnsi" w:cstheme="minorHAnsi"/>
        </w:rPr>
        <w:t xml:space="preserve"> </w:t>
      </w:r>
    </w:p>
    <w:p w14:paraId="2C194D0B" w14:textId="4210D9F0" w:rsidR="00C40AE7" w:rsidRPr="00920634" w:rsidRDefault="00C40AE7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finančních výkazů</w:t>
      </w:r>
      <w:r w:rsidR="00D718A5" w:rsidRPr="00920634">
        <w:rPr>
          <w:rFonts w:asciiTheme="minorHAnsi" w:hAnsiTheme="minorHAnsi" w:cstheme="minorHAnsi"/>
        </w:rPr>
        <w:t>,</w:t>
      </w:r>
    </w:p>
    <w:p w14:paraId="14BE6B57" w14:textId="25599596" w:rsidR="003476A1" w:rsidRPr="00491263" w:rsidRDefault="003476A1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>závěrečných účtů kapitol státního rozpočtu</w:t>
      </w:r>
      <w:r w:rsidR="00491263">
        <w:rPr>
          <w:rFonts w:asciiTheme="minorHAnsi" w:hAnsiTheme="minorHAnsi" w:cstheme="minorHAnsi"/>
        </w:rPr>
        <w:t>,</w:t>
      </w:r>
    </w:p>
    <w:p w14:paraId="17C2C057" w14:textId="4CDDB62B" w:rsidR="00491263" w:rsidRPr="00920634" w:rsidRDefault="00491263" w:rsidP="00114439">
      <w:pPr>
        <w:pStyle w:val="Odstavecseseznamem"/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účetnictví a účetních závěrek.</w:t>
      </w:r>
    </w:p>
    <w:p w14:paraId="5257C928" w14:textId="77777777" w:rsidR="00D718A5" w:rsidRPr="00920634" w:rsidRDefault="00D718A5" w:rsidP="00114439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14:paraId="7B37A3D3" w14:textId="2614C370" w:rsidR="00C21FE0" w:rsidRPr="00920634" w:rsidRDefault="00D400EC" w:rsidP="008D4CD3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Údaje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  <w:b/>
        </w:rPr>
        <w:t>rozpočtového informačního systému</w:t>
      </w:r>
      <w:r w:rsidR="00491263">
        <w:rPr>
          <w:rFonts w:asciiTheme="minorHAnsi" w:hAnsiTheme="minorHAnsi" w:cstheme="minorHAnsi"/>
          <w:b/>
        </w:rPr>
        <w:t>, finančních výkazů</w:t>
      </w:r>
      <w:r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</w:rPr>
        <w:t xml:space="preserve">a </w:t>
      </w:r>
      <w:r w:rsidR="005E3FA5" w:rsidRPr="00920634">
        <w:rPr>
          <w:rFonts w:asciiTheme="minorHAnsi" w:hAnsiTheme="minorHAnsi" w:cstheme="minorHAnsi"/>
        </w:rPr>
        <w:t xml:space="preserve">ze </w:t>
      </w:r>
      <w:r w:rsidRPr="00920634">
        <w:rPr>
          <w:rFonts w:asciiTheme="minorHAnsi" w:hAnsiTheme="minorHAnsi" w:cstheme="minorHAnsi"/>
          <w:b/>
        </w:rPr>
        <w:t xml:space="preserve">závěrečných účtů kapitol státního rozpočtu </w:t>
      </w:r>
      <w:r w:rsidRPr="00920634">
        <w:rPr>
          <w:rFonts w:asciiTheme="minorHAnsi" w:hAnsiTheme="minorHAnsi" w:cstheme="minorHAnsi"/>
        </w:rPr>
        <w:t xml:space="preserve">podávají </w:t>
      </w:r>
      <w:r w:rsidR="005E3FA5" w:rsidRPr="00920634">
        <w:rPr>
          <w:rFonts w:asciiTheme="minorHAnsi" w:hAnsiTheme="minorHAnsi" w:cstheme="minorHAnsi"/>
        </w:rPr>
        <w:t xml:space="preserve">detailní </w:t>
      </w:r>
      <w:r w:rsidRPr="00920634">
        <w:rPr>
          <w:rFonts w:asciiTheme="minorHAnsi" w:hAnsiTheme="minorHAnsi" w:cstheme="minorHAnsi"/>
        </w:rPr>
        <w:t xml:space="preserve">informace </w:t>
      </w:r>
      <w:r w:rsidR="00FC05FB" w:rsidRPr="00920634">
        <w:rPr>
          <w:rFonts w:asciiTheme="minorHAnsi" w:hAnsiTheme="minorHAnsi" w:cstheme="minorHAnsi"/>
        </w:rPr>
        <w:t xml:space="preserve">především </w:t>
      </w:r>
      <w:r w:rsidR="00341F56">
        <w:rPr>
          <w:rFonts w:asciiTheme="minorHAnsi" w:hAnsiTheme="minorHAnsi" w:cstheme="minorHAnsi"/>
          <w:b/>
        </w:rPr>
        <w:t xml:space="preserve">o </w:t>
      </w:r>
      <w:r w:rsidRPr="00920634">
        <w:rPr>
          <w:rFonts w:asciiTheme="minorHAnsi" w:hAnsiTheme="minorHAnsi" w:cstheme="minorHAnsi"/>
          <w:b/>
        </w:rPr>
        <w:t>pohybech</w:t>
      </w:r>
      <w:r w:rsidR="00491263">
        <w:rPr>
          <w:rFonts w:asciiTheme="minorHAnsi" w:hAnsiTheme="minorHAnsi" w:cstheme="minorHAnsi"/>
          <w:b/>
        </w:rPr>
        <w:t xml:space="preserve"> peněžních</w:t>
      </w:r>
      <w:r w:rsidRPr="00920634">
        <w:rPr>
          <w:rFonts w:asciiTheme="minorHAnsi" w:hAnsiTheme="minorHAnsi" w:cstheme="minorHAnsi"/>
          <w:b/>
        </w:rPr>
        <w:t xml:space="preserve"> prostředků</w:t>
      </w:r>
      <w:r w:rsidR="00C21FE0" w:rsidRPr="00920634">
        <w:rPr>
          <w:rFonts w:asciiTheme="minorHAnsi" w:hAnsiTheme="minorHAnsi" w:cstheme="minorHAnsi"/>
          <w:b/>
        </w:rPr>
        <w:t xml:space="preserve"> státního rozpočtu</w:t>
      </w:r>
      <w:r w:rsidR="0084325D" w:rsidRPr="00920634">
        <w:rPr>
          <w:rFonts w:asciiTheme="minorHAnsi" w:hAnsiTheme="minorHAnsi" w:cstheme="minorHAnsi"/>
        </w:rPr>
        <w:t xml:space="preserve"> (rozpočtové údaje)</w:t>
      </w:r>
      <w:r w:rsidRPr="00920634">
        <w:rPr>
          <w:rFonts w:asciiTheme="minorHAnsi" w:hAnsiTheme="minorHAnsi" w:cstheme="minorHAnsi"/>
        </w:rPr>
        <w:t>, tj. o inkasech (příjmech) a výdajích realizovaných na bankovních účtech</w:t>
      </w:r>
      <w:r w:rsidR="00A90A93" w:rsidRPr="00920634">
        <w:rPr>
          <w:rFonts w:asciiTheme="minorHAnsi" w:hAnsiTheme="minorHAnsi" w:cstheme="minorHAnsi"/>
        </w:rPr>
        <w:t xml:space="preserve"> státního rozpočtu</w:t>
      </w:r>
      <w:r w:rsidR="00A90A93" w:rsidRPr="00920634">
        <w:rPr>
          <w:rStyle w:val="Znakapoznpodarou"/>
          <w:rFonts w:asciiTheme="minorHAnsi" w:hAnsiTheme="minorHAnsi" w:cstheme="minorHAnsi"/>
        </w:rPr>
        <w:footnoteReference w:id="54"/>
      </w:r>
      <w:r w:rsidRPr="00920634">
        <w:rPr>
          <w:rFonts w:asciiTheme="minorHAnsi" w:hAnsiTheme="minorHAnsi" w:cstheme="minorHAnsi"/>
        </w:rPr>
        <w:t xml:space="preserve">; závěrečné účty </w:t>
      </w:r>
      <w:r w:rsidR="00EF3C64">
        <w:rPr>
          <w:rFonts w:asciiTheme="minorHAnsi" w:hAnsiTheme="minorHAnsi" w:cstheme="minorHAnsi"/>
        </w:rPr>
        <w:t>navíc</w:t>
      </w:r>
      <w:r w:rsidRPr="00920634">
        <w:rPr>
          <w:rFonts w:asciiTheme="minorHAnsi" w:hAnsiTheme="minorHAnsi" w:cstheme="minorHAnsi"/>
        </w:rPr>
        <w:t xml:space="preserve"> </w:t>
      </w:r>
      <w:r w:rsidR="00FC05FB" w:rsidRPr="00920634">
        <w:rPr>
          <w:rFonts w:asciiTheme="minorHAnsi" w:hAnsiTheme="minorHAnsi" w:cstheme="minorHAnsi"/>
        </w:rPr>
        <w:t>tyto informace slovně komentují</w:t>
      </w:r>
      <w:r w:rsidRPr="00920634">
        <w:rPr>
          <w:rFonts w:asciiTheme="minorHAnsi" w:hAnsiTheme="minorHAnsi" w:cstheme="minorHAnsi"/>
        </w:rPr>
        <w:t>.</w:t>
      </w:r>
      <w:r w:rsidR="00C21FE0" w:rsidRPr="00920634">
        <w:rPr>
          <w:rFonts w:asciiTheme="minorHAnsi" w:hAnsiTheme="minorHAnsi" w:cstheme="minorHAnsi"/>
        </w:rPr>
        <w:t xml:space="preserve"> </w:t>
      </w:r>
      <w:r w:rsidR="00EF3C64">
        <w:rPr>
          <w:rFonts w:asciiTheme="minorHAnsi" w:hAnsiTheme="minorHAnsi" w:cstheme="minorHAnsi"/>
        </w:rPr>
        <w:t>Z</w:t>
      </w:r>
      <w:r w:rsidR="00491263">
        <w:rPr>
          <w:rFonts w:asciiTheme="minorHAnsi" w:hAnsiTheme="minorHAnsi" w:cstheme="minorHAnsi"/>
        </w:rPr>
        <w:t>ákladním</w:t>
      </w:r>
      <w:r w:rsidR="00C21FE0" w:rsidRPr="00920634">
        <w:rPr>
          <w:rFonts w:asciiTheme="minorHAnsi" w:hAnsiTheme="minorHAnsi" w:cstheme="minorHAnsi"/>
        </w:rPr>
        <w:t xml:space="preserve"> přínosem </w:t>
      </w:r>
      <w:r w:rsidR="00EF3C64">
        <w:rPr>
          <w:rFonts w:asciiTheme="minorHAnsi" w:hAnsiTheme="minorHAnsi" w:cstheme="minorHAnsi"/>
        </w:rPr>
        <w:t xml:space="preserve">těchto údajů </w:t>
      </w:r>
      <w:r w:rsidR="00C21FE0" w:rsidRPr="00920634">
        <w:rPr>
          <w:rFonts w:asciiTheme="minorHAnsi" w:hAnsiTheme="minorHAnsi" w:cstheme="minorHAnsi"/>
        </w:rPr>
        <w:t xml:space="preserve">je, že umožňují sledovat plán neboli rozpočet očekávaných příjmů a </w:t>
      </w:r>
      <w:r w:rsidR="000F6AD8">
        <w:rPr>
          <w:rFonts w:asciiTheme="minorHAnsi" w:hAnsiTheme="minorHAnsi" w:cstheme="minorHAnsi"/>
        </w:rPr>
        <w:t xml:space="preserve">odhadovaných </w:t>
      </w:r>
      <w:r w:rsidR="00C21FE0" w:rsidRPr="00920634">
        <w:rPr>
          <w:rFonts w:asciiTheme="minorHAnsi" w:hAnsiTheme="minorHAnsi" w:cstheme="minorHAnsi"/>
        </w:rPr>
        <w:t>výdajů</w:t>
      </w:r>
      <w:r w:rsidR="00EF3C64">
        <w:rPr>
          <w:rFonts w:asciiTheme="minorHAnsi" w:hAnsiTheme="minorHAnsi" w:cstheme="minorHAnsi"/>
        </w:rPr>
        <w:t xml:space="preserve"> i</w:t>
      </w:r>
      <w:r w:rsidR="00C21FE0" w:rsidRPr="00920634">
        <w:rPr>
          <w:rFonts w:asciiTheme="minorHAnsi" w:hAnsiTheme="minorHAnsi" w:cstheme="minorHAnsi"/>
        </w:rPr>
        <w:t xml:space="preserve"> jeho skutečné plnění, tj.</w:t>
      </w:r>
      <w:r w:rsidR="005F2AA6">
        <w:rPr>
          <w:rFonts w:asciiTheme="minorHAnsi" w:hAnsiTheme="minorHAnsi" w:cstheme="minorHAnsi"/>
        </w:rPr>
        <w:t> </w:t>
      </w:r>
      <w:r w:rsidR="00C21FE0" w:rsidRPr="00920634">
        <w:rPr>
          <w:rFonts w:asciiTheme="minorHAnsi" w:hAnsiTheme="minorHAnsi" w:cstheme="minorHAnsi"/>
        </w:rPr>
        <w:t>skutečná inkasa a výdaje prostředků.</w:t>
      </w:r>
    </w:p>
    <w:p w14:paraId="5F9B36D5" w14:textId="77777777" w:rsidR="00D718A5" w:rsidRPr="00920634" w:rsidRDefault="00D718A5" w:rsidP="00114439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79D6B710" w14:textId="1029D941" w:rsidR="004A685C" w:rsidRPr="00920634" w:rsidRDefault="00491263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4325D" w:rsidRPr="00920634">
        <w:rPr>
          <w:rFonts w:asciiTheme="minorHAnsi" w:hAnsiTheme="minorHAnsi" w:cstheme="minorHAnsi"/>
        </w:rPr>
        <w:t> současné praxi</w:t>
      </w:r>
      <w:r>
        <w:rPr>
          <w:rFonts w:asciiTheme="minorHAnsi" w:hAnsiTheme="minorHAnsi" w:cstheme="minorHAnsi"/>
        </w:rPr>
        <w:t xml:space="preserve"> jsou</w:t>
      </w:r>
      <w:r w:rsidR="0084325D" w:rsidRPr="00920634">
        <w:rPr>
          <w:rFonts w:asciiTheme="minorHAnsi" w:hAnsiTheme="minorHAnsi" w:cstheme="minorHAnsi"/>
        </w:rPr>
        <w:t xml:space="preserve"> základním zdrojem informací pro skládání účtů v oblasti hospodaření státu. Sledovány jsou do poměrně vysoké míry detailu, </w:t>
      </w:r>
      <w:r w:rsidR="004A685C" w:rsidRPr="00920634">
        <w:rPr>
          <w:rFonts w:asciiTheme="minorHAnsi" w:hAnsiTheme="minorHAnsi" w:cstheme="minorHAnsi"/>
        </w:rPr>
        <w:t xml:space="preserve">systematicky </w:t>
      </w:r>
      <w:r w:rsidR="0084325D" w:rsidRPr="00920634">
        <w:rPr>
          <w:rFonts w:asciiTheme="minorHAnsi" w:hAnsiTheme="minorHAnsi" w:cstheme="minorHAnsi"/>
        </w:rPr>
        <w:t xml:space="preserve">tak lze </w:t>
      </w:r>
      <w:r w:rsidR="004A685C" w:rsidRPr="00920634">
        <w:rPr>
          <w:rFonts w:asciiTheme="minorHAnsi" w:hAnsiTheme="minorHAnsi" w:cstheme="minorHAnsi"/>
        </w:rPr>
        <w:t>získávat informac</w:t>
      </w:r>
      <w:r w:rsidR="004A27AC">
        <w:rPr>
          <w:rFonts w:asciiTheme="minorHAnsi" w:hAnsiTheme="minorHAnsi" w:cstheme="minorHAnsi"/>
        </w:rPr>
        <w:t>e</w:t>
      </w:r>
      <w:r w:rsidR="004A685C" w:rsidRPr="00920634">
        <w:rPr>
          <w:rFonts w:asciiTheme="minorHAnsi" w:hAnsiTheme="minorHAnsi" w:cstheme="minorHAnsi"/>
        </w:rPr>
        <w:t xml:space="preserve"> o výši transferů podle jednotlivých nástrojů (např. za konkrétní operační program), a to </w:t>
      </w:r>
      <w:r w:rsidR="008D073A">
        <w:rPr>
          <w:rFonts w:asciiTheme="minorHAnsi" w:hAnsiTheme="minorHAnsi" w:cstheme="minorHAnsi"/>
        </w:rPr>
        <w:t>v </w:t>
      </w:r>
      <w:r w:rsidR="004A685C" w:rsidRPr="00920634">
        <w:rPr>
          <w:rFonts w:asciiTheme="minorHAnsi" w:hAnsiTheme="minorHAnsi" w:cstheme="minorHAnsi"/>
        </w:rPr>
        <w:t xml:space="preserve">rozlišení na </w:t>
      </w:r>
      <w:r w:rsidR="005578CD" w:rsidRPr="00920634">
        <w:rPr>
          <w:rFonts w:asciiTheme="minorHAnsi" w:hAnsiTheme="minorHAnsi" w:cstheme="minorHAnsi"/>
        </w:rPr>
        <w:t xml:space="preserve">části </w:t>
      </w:r>
      <w:r w:rsidR="004A685C" w:rsidRPr="00920634">
        <w:rPr>
          <w:rFonts w:asciiTheme="minorHAnsi" w:hAnsiTheme="minorHAnsi" w:cstheme="minorHAnsi"/>
        </w:rPr>
        <w:t>spolufinancované ze zahraničí a části spolufinancované z tuzemských zdrojů.</w:t>
      </w:r>
      <w:r w:rsidR="004A685C" w:rsidRPr="00920634">
        <w:rPr>
          <w:rStyle w:val="Znakapoznpodarou"/>
          <w:rFonts w:asciiTheme="minorHAnsi" w:hAnsiTheme="minorHAnsi" w:cstheme="minorHAnsi"/>
        </w:rPr>
        <w:footnoteReference w:id="55"/>
      </w:r>
      <w:r w:rsidR="004A685C" w:rsidRPr="00920634">
        <w:rPr>
          <w:rFonts w:asciiTheme="minorHAnsi" w:hAnsiTheme="minorHAnsi" w:cstheme="minorHAnsi"/>
        </w:rPr>
        <w:t xml:space="preserve"> </w:t>
      </w:r>
    </w:p>
    <w:p w14:paraId="6C5767B3" w14:textId="77777777" w:rsidR="004A685C" w:rsidRPr="00920634" w:rsidRDefault="004A685C" w:rsidP="00114439">
      <w:pPr>
        <w:jc w:val="both"/>
        <w:rPr>
          <w:rFonts w:asciiTheme="minorHAnsi" w:hAnsiTheme="minorHAnsi" w:cstheme="minorHAnsi"/>
        </w:rPr>
      </w:pPr>
    </w:p>
    <w:p w14:paraId="243337EE" w14:textId="0C498A86" w:rsidR="007803C1" w:rsidRDefault="00B87787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="00D400EC" w:rsidRPr="00920634">
        <w:rPr>
          <w:rFonts w:asciiTheme="minorHAnsi" w:hAnsiTheme="minorHAnsi" w:cstheme="minorHAnsi"/>
        </w:rPr>
        <w:t xml:space="preserve">daje </w:t>
      </w:r>
      <w:r w:rsidR="008D073A">
        <w:rPr>
          <w:rFonts w:asciiTheme="minorHAnsi" w:hAnsiTheme="minorHAnsi" w:cstheme="minorHAnsi"/>
        </w:rPr>
        <w:t>z </w:t>
      </w:r>
      <w:r w:rsidR="00D400EC" w:rsidRPr="00920634">
        <w:rPr>
          <w:rFonts w:asciiTheme="minorHAnsi" w:hAnsiTheme="minorHAnsi" w:cstheme="minorHAnsi"/>
          <w:b/>
        </w:rPr>
        <w:t xml:space="preserve">účetnictví a účetních závěrek </w:t>
      </w:r>
      <w:r w:rsidR="00D400EC" w:rsidRPr="00920634">
        <w:rPr>
          <w:rFonts w:asciiTheme="minorHAnsi" w:hAnsiTheme="minorHAnsi" w:cstheme="minorHAnsi"/>
        </w:rPr>
        <w:t>OSS</w:t>
      </w:r>
      <w:r w:rsidR="004A685C" w:rsidRPr="00920634">
        <w:rPr>
          <w:rFonts w:asciiTheme="minorHAnsi" w:hAnsiTheme="minorHAnsi" w:cstheme="minorHAnsi"/>
        </w:rPr>
        <w:t xml:space="preserve"> </w:t>
      </w:r>
      <w:r w:rsidR="0084325D" w:rsidRPr="00920634">
        <w:rPr>
          <w:rFonts w:asciiTheme="minorHAnsi" w:hAnsiTheme="minorHAnsi" w:cstheme="minorHAnsi"/>
        </w:rPr>
        <w:t>jsou z</w:t>
      </w:r>
      <w:r>
        <w:rPr>
          <w:rFonts w:asciiTheme="minorHAnsi" w:hAnsiTheme="minorHAnsi" w:cstheme="minorHAnsi"/>
        </w:rPr>
        <w:t>aloženy</w:t>
      </w:r>
      <w:r w:rsidR="00944077" w:rsidRPr="00920634">
        <w:rPr>
          <w:rFonts w:asciiTheme="minorHAnsi" w:hAnsiTheme="minorHAnsi" w:cstheme="minorHAnsi"/>
        </w:rPr>
        <w:t xml:space="preserve"> </w:t>
      </w:r>
      <w:r w:rsidR="00944077" w:rsidRPr="005C19B6">
        <w:rPr>
          <w:rFonts w:asciiTheme="minorHAnsi" w:hAnsiTheme="minorHAnsi" w:cstheme="minorHAnsi"/>
        </w:rPr>
        <w:t>akruálně</w:t>
      </w:r>
      <w:r w:rsidR="004A27AC">
        <w:rPr>
          <w:rFonts w:asciiTheme="minorHAnsi" w:hAnsiTheme="minorHAnsi" w:cstheme="minorHAnsi"/>
        </w:rPr>
        <w:t>,</w:t>
      </w:r>
      <w:r w:rsidR="00944077" w:rsidRPr="00920634">
        <w:rPr>
          <w:rFonts w:asciiTheme="minorHAnsi" w:hAnsiTheme="minorHAnsi" w:cstheme="minorHAnsi"/>
        </w:rPr>
        <w:t xml:space="preserve"> </w:t>
      </w:r>
      <w:r w:rsidR="00D400EC" w:rsidRPr="00920634">
        <w:rPr>
          <w:rFonts w:asciiTheme="minorHAnsi" w:hAnsiTheme="minorHAnsi" w:cstheme="minorHAnsi"/>
        </w:rPr>
        <w:t>podávají</w:t>
      </w:r>
      <w:r w:rsidR="00944077" w:rsidRPr="00920634">
        <w:rPr>
          <w:rFonts w:asciiTheme="minorHAnsi" w:hAnsiTheme="minorHAnsi" w:cstheme="minorHAnsi"/>
        </w:rPr>
        <w:t xml:space="preserve"> t</w:t>
      </w:r>
      <w:r w:rsidR="004A27AC">
        <w:rPr>
          <w:rFonts w:asciiTheme="minorHAnsi" w:hAnsiTheme="minorHAnsi" w:cstheme="minorHAnsi"/>
        </w:rPr>
        <w:t>edy</w:t>
      </w:r>
      <w:r w:rsidR="004B5E8A">
        <w:rPr>
          <w:rFonts w:asciiTheme="minorHAnsi" w:hAnsiTheme="minorHAnsi" w:cstheme="minorHAnsi"/>
        </w:rPr>
        <w:t xml:space="preserve"> ve srovnání se systémy založenými pouze na </w:t>
      </w:r>
      <w:r w:rsidR="00480044">
        <w:rPr>
          <w:rFonts w:asciiTheme="minorHAnsi" w:hAnsiTheme="minorHAnsi" w:cstheme="minorHAnsi"/>
        </w:rPr>
        <w:t xml:space="preserve">zachycování </w:t>
      </w:r>
      <w:r w:rsidR="004B5E8A">
        <w:rPr>
          <w:rFonts w:asciiTheme="minorHAnsi" w:hAnsiTheme="minorHAnsi" w:cstheme="minorHAnsi"/>
        </w:rPr>
        <w:t>pohyb</w:t>
      </w:r>
      <w:r w:rsidR="00480044">
        <w:rPr>
          <w:rFonts w:asciiTheme="minorHAnsi" w:hAnsiTheme="minorHAnsi" w:cstheme="minorHAnsi"/>
        </w:rPr>
        <w:t>ů</w:t>
      </w:r>
      <w:r w:rsidR="004B5E8A">
        <w:rPr>
          <w:rFonts w:asciiTheme="minorHAnsi" w:hAnsiTheme="minorHAnsi" w:cstheme="minorHAnsi"/>
        </w:rPr>
        <w:t xml:space="preserve"> peněžních prostředků</w:t>
      </w:r>
      <w:r w:rsidR="005E3FA5" w:rsidRPr="00920634">
        <w:rPr>
          <w:rFonts w:asciiTheme="minorHAnsi" w:hAnsiTheme="minorHAnsi" w:cstheme="minorHAnsi"/>
        </w:rPr>
        <w:t xml:space="preserve"> </w:t>
      </w:r>
      <w:r w:rsidR="00480044">
        <w:rPr>
          <w:rFonts w:asciiTheme="minorHAnsi" w:hAnsiTheme="minorHAnsi" w:cstheme="minorHAnsi"/>
        </w:rPr>
        <w:t>mnohem</w:t>
      </w:r>
      <w:r w:rsidR="005E3FA5" w:rsidRPr="00920634">
        <w:rPr>
          <w:rFonts w:asciiTheme="minorHAnsi" w:hAnsiTheme="minorHAnsi" w:cstheme="minorHAnsi"/>
        </w:rPr>
        <w:t xml:space="preserve"> </w:t>
      </w:r>
      <w:r w:rsidR="00D400EC" w:rsidRPr="00920634">
        <w:rPr>
          <w:rFonts w:asciiTheme="minorHAnsi" w:hAnsiTheme="minorHAnsi" w:cstheme="minorHAnsi"/>
        </w:rPr>
        <w:t>komplexnější informace</w:t>
      </w:r>
      <w:r w:rsidR="004B5E8A">
        <w:rPr>
          <w:rFonts w:asciiTheme="minorHAnsi" w:hAnsiTheme="minorHAnsi" w:cstheme="minorHAnsi"/>
        </w:rPr>
        <w:t xml:space="preserve">. </w:t>
      </w:r>
      <w:r w:rsidR="00480044">
        <w:rPr>
          <w:rFonts w:asciiTheme="minorHAnsi" w:hAnsiTheme="minorHAnsi" w:cstheme="minorHAnsi"/>
        </w:rPr>
        <w:t>Vypovídají například o</w:t>
      </w:r>
      <w:r w:rsidR="00D400EC" w:rsidRPr="00920634">
        <w:rPr>
          <w:rFonts w:asciiTheme="minorHAnsi" w:hAnsiTheme="minorHAnsi" w:cstheme="minorHAnsi"/>
        </w:rPr>
        <w:t xml:space="preserve"> vznik</w:t>
      </w:r>
      <w:r w:rsidR="00FC05FB" w:rsidRPr="00920634">
        <w:rPr>
          <w:rFonts w:asciiTheme="minorHAnsi" w:hAnsiTheme="minorHAnsi" w:cstheme="minorHAnsi"/>
        </w:rPr>
        <w:t>l</w:t>
      </w:r>
      <w:r w:rsidR="00480044">
        <w:rPr>
          <w:rFonts w:asciiTheme="minorHAnsi" w:hAnsiTheme="minorHAnsi" w:cstheme="minorHAnsi"/>
        </w:rPr>
        <w:t>ých</w:t>
      </w:r>
      <w:r w:rsidR="00D400EC" w:rsidRPr="00920634">
        <w:rPr>
          <w:rFonts w:asciiTheme="minorHAnsi" w:hAnsiTheme="minorHAnsi" w:cstheme="minorHAnsi"/>
        </w:rPr>
        <w:t xml:space="preserve"> náro</w:t>
      </w:r>
      <w:r w:rsidR="00480044">
        <w:rPr>
          <w:rFonts w:asciiTheme="minorHAnsi" w:hAnsiTheme="minorHAnsi" w:cstheme="minorHAnsi"/>
        </w:rPr>
        <w:t>cích</w:t>
      </w:r>
      <w:r w:rsidR="00D400EC" w:rsidRPr="00920634">
        <w:rPr>
          <w:rFonts w:asciiTheme="minorHAnsi" w:hAnsiTheme="minorHAnsi" w:cstheme="minorHAnsi"/>
        </w:rPr>
        <w:t xml:space="preserve"> či</w:t>
      </w:r>
      <w:r w:rsidR="00FC05FB" w:rsidRPr="00920634">
        <w:rPr>
          <w:rFonts w:asciiTheme="minorHAnsi" w:hAnsiTheme="minorHAnsi" w:cstheme="minorHAnsi"/>
        </w:rPr>
        <w:t xml:space="preserve"> závaz</w:t>
      </w:r>
      <w:r w:rsidR="00480044">
        <w:rPr>
          <w:rFonts w:asciiTheme="minorHAnsi" w:hAnsiTheme="minorHAnsi" w:cstheme="minorHAnsi"/>
        </w:rPr>
        <w:t>cích</w:t>
      </w:r>
      <w:r w:rsidR="00D400EC" w:rsidRPr="00920634">
        <w:rPr>
          <w:rFonts w:asciiTheme="minorHAnsi" w:hAnsiTheme="minorHAnsi" w:cstheme="minorHAnsi"/>
        </w:rPr>
        <w:t xml:space="preserve"> z </w:t>
      </w:r>
      <w:r w:rsidR="004B5E8A">
        <w:rPr>
          <w:rFonts w:asciiTheme="minorHAnsi" w:hAnsiTheme="minorHAnsi" w:cstheme="minorHAnsi"/>
        </w:rPr>
        <w:t>t</w:t>
      </w:r>
      <w:r w:rsidR="00D400EC" w:rsidRPr="00920634">
        <w:rPr>
          <w:rFonts w:asciiTheme="minorHAnsi" w:hAnsiTheme="minorHAnsi" w:cstheme="minorHAnsi"/>
        </w:rPr>
        <w:t>ransferů</w:t>
      </w:r>
      <w:r w:rsidR="00FC05FB" w:rsidRPr="00920634">
        <w:rPr>
          <w:rFonts w:asciiTheme="minorHAnsi" w:hAnsiTheme="minorHAnsi" w:cstheme="minorHAnsi"/>
        </w:rPr>
        <w:t xml:space="preserve">, </w:t>
      </w:r>
      <w:r w:rsidR="00480044">
        <w:rPr>
          <w:rFonts w:asciiTheme="minorHAnsi" w:hAnsiTheme="minorHAnsi" w:cstheme="minorHAnsi"/>
        </w:rPr>
        <w:t>o </w:t>
      </w:r>
      <w:r w:rsidR="00FC05FB" w:rsidRPr="00920634">
        <w:rPr>
          <w:rFonts w:asciiTheme="minorHAnsi" w:hAnsiTheme="minorHAnsi" w:cstheme="minorHAnsi"/>
        </w:rPr>
        <w:t>jejich snížení (bez ohledu na způsob platby)</w:t>
      </w:r>
      <w:r w:rsidR="00944077" w:rsidRPr="00920634">
        <w:rPr>
          <w:rFonts w:asciiTheme="minorHAnsi" w:hAnsiTheme="minorHAnsi" w:cstheme="minorHAnsi"/>
        </w:rPr>
        <w:t>, náklad</w:t>
      </w:r>
      <w:r w:rsidR="00480044">
        <w:rPr>
          <w:rFonts w:asciiTheme="minorHAnsi" w:hAnsiTheme="minorHAnsi" w:cstheme="minorHAnsi"/>
        </w:rPr>
        <w:t>ech</w:t>
      </w:r>
      <w:r w:rsidR="00944077" w:rsidRPr="00920634">
        <w:rPr>
          <w:rFonts w:asciiTheme="minorHAnsi" w:hAnsiTheme="minorHAnsi" w:cstheme="minorHAnsi"/>
        </w:rPr>
        <w:t>, výnos</w:t>
      </w:r>
      <w:r w:rsidR="00480044">
        <w:rPr>
          <w:rFonts w:asciiTheme="minorHAnsi" w:hAnsiTheme="minorHAnsi" w:cstheme="minorHAnsi"/>
        </w:rPr>
        <w:t>ech</w:t>
      </w:r>
      <w:r w:rsidR="00944077" w:rsidRPr="00920634">
        <w:rPr>
          <w:rFonts w:asciiTheme="minorHAnsi" w:hAnsiTheme="minorHAnsi" w:cstheme="minorHAnsi"/>
        </w:rPr>
        <w:t xml:space="preserve"> </w:t>
      </w:r>
      <w:r w:rsidR="00D400EC" w:rsidRPr="00920634">
        <w:rPr>
          <w:rFonts w:asciiTheme="minorHAnsi" w:hAnsiTheme="minorHAnsi" w:cstheme="minorHAnsi"/>
        </w:rPr>
        <w:t>a jin</w:t>
      </w:r>
      <w:r w:rsidR="00480044">
        <w:rPr>
          <w:rFonts w:asciiTheme="minorHAnsi" w:hAnsiTheme="minorHAnsi" w:cstheme="minorHAnsi"/>
        </w:rPr>
        <w:t>ých</w:t>
      </w:r>
      <w:r w:rsidR="00D400EC" w:rsidRPr="00920634">
        <w:rPr>
          <w:rFonts w:asciiTheme="minorHAnsi" w:hAnsiTheme="minorHAnsi" w:cstheme="minorHAnsi"/>
        </w:rPr>
        <w:t xml:space="preserve"> skutečnost</w:t>
      </w:r>
      <w:r w:rsidR="00480044">
        <w:rPr>
          <w:rFonts w:asciiTheme="minorHAnsi" w:hAnsiTheme="minorHAnsi" w:cstheme="minorHAnsi"/>
        </w:rPr>
        <w:t>ech</w:t>
      </w:r>
      <w:r w:rsidR="00FC05FB" w:rsidRPr="00920634">
        <w:rPr>
          <w:rFonts w:asciiTheme="minorHAnsi" w:hAnsiTheme="minorHAnsi" w:cstheme="minorHAnsi"/>
        </w:rPr>
        <w:t>.</w:t>
      </w:r>
      <w:r w:rsidR="00A90A93" w:rsidRPr="00920634">
        <w:rPr>
          <w:rFonts w:asciiTheme="minorHAnsi" w:hAnsiTheme="minorHAnsi" w:cstheme="minorHAnsi"/>
        </w:rPr>
        <w:t xml:space="preserve"> </w:t>
      </w:r>
      <w:r w:rsidR="00E15D9E" w:rsidRPr="00920634">
        <w:rPr>
          <w:rFonts w:asciiTheme="minorHAnsi" w:hAnsiTheme="minorHAnsi" w:cstheme="minorHAnsi"/>
        </w:rPr>
        <w:t xml:space="preserve">Na rozdíl od finančních výkazů se tak v účetnictví </w:t>
      </w:r>
      <w:r w:rsidR="004B5E8A">
        <w:rPr>
          <w:rFonts w:asciiTheme="minorHAnsi" w:hAnsiTheme="minorHAnsi" w:cstheme="minorHAnsi"/>
        </w:rPr>
        <w:t>zobrazuje,</w:t>
      </w:r>
      <w:r w:rsidR="00E15D9E" w:rsidRPr="00920634">
        <w:rPr>
          <w:rFonts w:asciiTheme="minorHAnsi" w:hAnsiTheme="minorHAnsi" w:cstheme="minorHAnsi"/>
        </w:rPr>
        <w:t xml:space="preserve"> zda </w:t>
      </w:r>
      <w:r w:rsidR="00480044">
        <w:rPr>
          <w:rFonts w:asciiTheme="minorHAnsi" w:hAnsiTheme="minorHAnsi" w:cstheme="minorHAnsi"/>
        </w:rPr>
        <w:t xml:space="preserve">byl </w:t>
      </w:r>
      <w:r w:rsidR="00E15D9E" w:rsidRPr="00920634">
        <w:rPr>
          <w:rFonts w:asciiTheme="minorHAnsi" w:hAnsiTheme="minorHAnsi" w:cstheme="minorHAnsi"/>
        </w:rPr>
        <w:t>transfe</w:t>
      </w:r>
      <w:r w:rsidR="005C19B6">
        <w:rPr>
          <w:rFonts w:asciiTheme="minorHAnsi" w:hAnsiTheme="minorHAnsi" w:cstheme="minorHAnsi"/>
        </w:rPr>
        <w:t>r poskytnut formou zálohy a </w:t>
      </w:r>
      <w:r w:rsidR="00E15D9E" w:rsidRPr="00920634">
        <w:rPr>
          <w:rFonts w:asciiTheme="minorHAnsi" w:hAnsiTheme="minorHAnsi" w:cstheme="minorHAnsi"/>
        </w:rPr>
        <w:t xml:space="preserve">očekává se </w:t>
      </w:r>
      <w:r w:rsidR="00480044">
        <w:rPr>
          <w:rFonts w:asciiTheme="minorHAnsi" w:hAnsiTheme="minorHAnsi" w:cstheme="minorHAnsi"/>
        </w:rPr>
        <w:t>z tohoto důvodu</w:t>
      </w:r>
      <w:r w:rsidR="002A3FC3" w:rsidRPr="00920634">
        <w:rPr>
          <w:rFonts w:asciiTheme="minorHAnsi" w:hAnsiTheme="minorHAnsi" w:cstheme="minorHAnsi"/>
        </w:rPr>
        <w:t xml:space="preserve"> </w:t>
      </w:r>
      <w:r w:rsidR="00E15D9E" w:rsidRPr="00920634">
        <w:rPr>
          <w:rFonts w:asciiTheme="minorHAnsi" w:hAnsiTheme="minorHAnsi" w:cstheme="minorHAnsi"/>
        </w:rPr>
        <w:t>ještě</w:t>
      </w:r>
      <w:r w:rsidR="004B5E8A">
        <w:rPr>
          <w:rFonts w:asciiTheme="minorHAnsi" w:hAnsiTheme="minorHAnsi" w:cstheme="minorHAnsi"/>
        </w:rPr>
        <w:t xml:space="preserve"> jeho</w:t>
      </w:r>
      <w:r w:rsidR="00E15D9E" w:rsidRPr="00920634">
        <w:rPr>
          <w:rFonts w:asciiTheme="minorHAnsi" w:hAnsiTheme="minorHAnsi" w:cstheme="minorHAnsi"/>
        </w:rPr>
        <w:t xml:space="preserve"> vypořádání, zda náklad z něj je již jistý</w:t>
      </w:r>
      <w:r w:rsidR="007803C1" w:rsidRPr="00920634">
        <w:rPr>
          <w:rFonts w:asciiTheme="minorHAnsi" w:hAnsiTheme="minorHAnsi" w:cstheme="minorHAnsi"/>
        </w:rPr>
        <w:t xml:space="preserve"> či jde jen o odhad, zda OSS vznikl závazek uhradit transfer či závazek podmíněný, zda OSS vznikl nárok na refundaci </w:t>
      </w:r>
      <w:r w:rsidR="004B5E8A">
        <w:rPr>
          <w:rFonts w:asciiTheme="minorHAnsi" w:hAnsiTheme="minorHAnsi" w:cstheme="minorHAnsi"/>
        </w:rPr>
        <w:t>(</w:t>
      </w:r>
      <w:r w:rsidR="007803C1" w:rsidRPr="00920634">
        <w:rPr>
          <w:rFonts w:asciiTheme="minorHAnsi" w:hAnsiTheme="minorHAnsi" w:cstheme="minorHAnsi"/>
        </w:rPr>
        <w:t>např. z prostředků fondů EU</w:t>
      </w:r>
      <w:r w:rsidR="004B5E8A">
        <w:rPr>
          <w:rFonts w:asciiTheme="minorHAnsi" w:hAnsiTheme="minorHAnsi" w:cstheme="minorHAnsi"/>
        </w:rPr>
        <w:t>)</w:t>
      </w:r>
      <w:r w:rsidR="004E20EA">
        <w:rPr>
          <w:rFonts w:asciiTheme="minorHAnsi" w:hAnsiTheme="minorHAnsi" w:cstheme="minorHAnsi"/>
        </w:rPr>
        <w:t xml:space="preserve"> apod.</w:t>
      </w:r>
    </w:p>
    <w:p w14:paraId="53B7658D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3B9266B8" w14:textId="409C543D" w:rsidR="00D400EC" w:rsidRDefault="004E20EA" w:rsidP="001144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</w:t>
      </w:r>
      <w:r w:rsidR="007803C1" w:rsidRPr="00920634">
        <w:rPr>
          <w:rFonts w:asciiTheme="minorHAnsi" w:hAnsiTheme="minorHAnsi" w:cstheme="minorHAnsi"/>
        </w:rPr>
        <w:t>ávě tyto informace umožňují podat věrnější obraz o výsledku hospodaření OSS v daném roce, nezkreslený o</w:t>
      </w:r>
      <w:r w:rsidR="00350806" w:rsidRPr="00920634">
        <w:rPr>
          <w:rFonts w:asciiTheme="minorHAnsi" w:hAnsiTheme="minorHAnsi" w:cstheme="minorHAnsi"/>
        </w:rPr>
        <w:t> </w:t>
      </w:r>
      <w:r w:rsidR="007803C1" w:rsidRPr="00920634">
        <w:rPr>
          <w:rFonts w:asciiTheme="minorHAnsi" w:hAnsiTheme="minorHAnsi" w:cstheme="minorHAnsi"/>
        </w:rPr>
        <w:t>ekonomick</w:t>
      </w:r>
      <w:r w:rsidR="004116F9" w:rsidRPr="00920634">
        <w:rPr>
          <w:rFonts w:asciiTheme="minorHAnsi" w:hAnsiTheme="minorHAnsi" w:cstheme="minorHAnsi"/>
        </w:rPr>
        <w:t>é</w:t>
      </w:r>
      <w:r w:rsidR="007803C1" w:rsidRPr="00920634">
        <w:rPr>
          <w:rFonts w:asciiTheme="minorHAnsi" w:hAnsiTheme="minorHAnsi" w:cstheme="minorHAnsi"/>
        </w:rPr>
        <w:t xml:space="preserve"> dopad</w:t>
      </w:r>
      <w:r w:rsidR="004116F9" w:rsidRPr="00920634">
        <w:rPr>
          <w:rFonts w:asciiTheme="minorHAnsi" w:hAnsiTheme="minorHAnsi" w:cstheme="minorHAnsi"/>
        </w:rPr>
        <w:t>y</w:t>
      </w:r>
      <w:r w:rsidR="007803C1" w:rsidRPr="00920634">
        <w:rPr>
          <w:rFonts w:asciiTheme="minorHAnsi" w:hAnsiTheme="minorHAnsi" w:cstheme="minorHAnsi"/>
        </w:rPr>
        <w:t xml:space="preserve"> a zátěže </w:t>
      </w:r>
      <w:r w:rsidR="000524E1">
        <w:rPr>
          <w:rFonts w:asciiTheme="minorHAnsi" w:hAnsiTheme="minorHAnsi" w:cstheme="minorHAnsi"/>
        </w:rPr>
        <w:t>působící na jiná</w:t>
      </w:r>
      <w:r w:rsidR="007803C1" w:rsidRPr="00920634">
        <w:rPr>
          <w:rFonts w:asciiTheme="minorHAnsi" w:hAnsiTheme="minorHAnsi" w:cstheme="minorHAnsi"/>
        </w:rPr>
        <w:t xml:space="preserve"> období. </w:t>
      </w:r>
      <w:r w:rsidR="00A90A93" w:rsidRPr="00920634">
        <w:rPr>
          <w:rFonts w:asciiTheme="minorHAnsi" w:hAnsiTheme="minorHAnsi" w:cstheme="minorHAnsi"/>
        </w:rPr>
        <w:t xml:space="preserve">Zatímco </w:t>
      </w:r>
      <w:r w:rsidR="007803C1" w:rsidRPr="00920634">
        <w:rPr>
          <w:rFonts w:asciiTheme="minorHAnsi" w:hAnsiTheme="minorHAnsi" w:cstheme="minorHAnsi"/>
        </w:rPr>
        <w:t>např.</w:t>
      </w:r>
      <w:r w:rsidR="0073100E">
        <w:rPr>
          <w:rFonts w:asciiTheme="minorHAnsi" w:hAnsiTheme="minorHAnsi" w:cstheme="minorHAnsi"/>
        </w:rPr>
        <w:t> </w:t>
      </w:r>
      <w:r w:rsidR="00A90A93" w:rsidRPr="00920634">
        <w:rPr>
          <w:rFonts w:asciiTheme="minorHAnsi" w:hAnsiTheme="minorHAnsi" w:cstheme="minorHAnsi"/>
        </w:rPr>
        <w:t>odložení úhrady závazků vede</w:t>
      </w:r>
      <w:r w:rsidR="00E15D9E" w:rsidRPr="00920634">
        <w:rPr>
          <w:rFonts w:asciiTheme="minorHAnsi" w:hAnsiTheme="minorHAnsi" w:cstheme="minorHAnsi"/>
        </w:rPr>
        <w:t xml:space="preserve"> u peněžně založeného systému, tedy i v případě finančních výkazů, </w:t>
      </w:r>
      <w:r w:rsidR="00A90A93" w:rsidRPr="00920634">
        <w:rPr>
          <w:rFonts w:asciiTheme="minorHAnsi" w:hAnsiTheme="minorHAnsi" w:cstheme="minorHAnsi"/>
        </w:rPr>
        <w:t>k dosažení rozpočtově lepšího výsledku hospodaření, v</w:t>
      </w:r>
      <w:r w:rsidR="00E15D9E" w:rsidRPr="00920634">
        <w:rPr>
          <w:rFonts w:asciiTheme="minorHAnsi" w:hAnsiTheme="minorHAnsi" w:cstheme="minorHAnsi"/>
        </w:rPr>
        <w:t xml:space="preserve"> akruálně založeném </w:t>
      </w:r>
      <w:r w:rsidR="00A90A93" w:rsidRPr="00920634">
        <w:rPr>
          <w:rFonts w:asciiTheme="minorHAnsi" w:hAnsiTheme="minorHAnsi" w:cstheme="minorHAnsi"/>
        </w:rPr>
        <w:t>účetnictví taková situace k dosažení lepšího výsledku hospodaření</w:t>
      </w:r>
      <w:r w:rsidR="00E15D9E" w:rsidRPr="00920634">
        <w:rPr>
          <w:rFonts w:asciiTheme="minorHAnsi" w:hAnsiTheme="minorHAnsi" w:cstheme="minorHAnsi"/>
        </w:rPr>
        <w:t xml:space="preserve"> nevede</w:t>
      </w:r>
      <w:r w:rsidR="007803C1" w:rsidRPr="00920634">
        <w:rPr>
          <w:rFonts w:asciiTheme="minorHAnsi" w:hAnsiTheme="minorHAnsi" w:cstheme="minorHAnsi"/>
        </w:rPr>
        <w:t xml:space="preserve">. V účetnictví </w:t>
      </w:r>
      <w:r w:rsidR="00A90A93" w:rsidRPr="00920634">
        <w:rPr>
          <w:rFonts w:asciiTheme="minorHAnsi" w:hAnsiTheme="minorHAnsi" w:cstheme="minorHAnsi"/>
        </w:rPr>
        <w:t xml:space="preserve">nadále zůstává vykázán závazek a vzniklé náklady </w:t>
      </w:r>
      <w:r w:rsidR="00E15D9E" w:rsidRPr="00920634">
        <w:rPr>
          <w:rFonts w:asciiTheme="minorHAnsi" w:hAnsiTheme="minorHAnsi" w:cstheme="minorHAnsi"/>
        </w:rPr>
        <w:t>v</w:t>
      </w:r>
      <w:r w:rsidR="00A90A93" w:rsidRPr="00920634">
        <w:rPr>
          <w:rFonts w:asciiTheme="minorHAnsi" w:hAnsiTheme="minorHAnsi" w:cstheme="minorHAnsi"/>
        </w:rPr>
        <w:t>ýsled</w:t>
      </w:r>
      <w:r w:rsidR="00E15D9E" w:rsidRPr="00920634">
        <w:rPr>
          <w:rFonts w:asciiTheme="minorHAnsi" w:hAnsiTheme="minorHAnsi" w:cstheme="minorHAnsi"/>
        </w:rPr>
        <w:t>e</w:t>
      </w:r>
      <w:r w:rsidR="00A90A93" w:rsidRPr="00920634">
        <w:rPr>
          <w:rFonts w:asciiTheme="minorHAnsi" w:hAnsiTheme="minorHAnsi" w:cstheme="minorHAnsi"/>
        </w:rPr>
        <w:t xml:space="preserve">k hospodaření </w:t>
      </w:r>
      <w:r w:rsidR="00E15D9E" w:rsidRPr="00920634">
        <w:rPr>
          <w:rFonts w:asciiTheme="minorHAnsi" w:hAnsiTheme="minorHAnsi" w:cstheme="minorHAnsi"/>
        </w:rPr>
        <w:t xml:space="preserve">zatížily již při vzniku závazku, ne až v okamžiku jeho </w:t>
      </w:r>
      <w:r w:rsidR="000524E1">
        <w:rPr>
          <w:rFonts w:asciiTheme="minorHAnsi" w:hAnsiTheme="minorHAnsi" w:cstheme="minorHAnsi"/>
        </w:rPr>
        <w:t>úhrady</w:t>
      </w:r>
      <w:r w:rsidR="00E15D9E" w:rsidRPr="00920634">
        <w:rPr>
          <w:rFonts w:asciiTheme="minorHAnsi" w:hAnsiTheme="minorHAnsi" w:cstheme="minorHAnsi"/>
        </w:rPr>
        <w:t>.</w:t>
      </w:r>
      <w:r w:rsidR="00E15D9E" w:rsidRPr="00920634">
        <w:rPr>
          <w:rFonts w:asciiTheme="minorHAnsi" w:hAnsiTheme="minorHAnsi" w:cstheme="minorHAnsi"/>
          <w:b/>
        </w:rPr>
        <w:t xml:space="preserve"> </w:t>
      </w:r>
    </w:p>
    <w:p w14:paraId="2613486A" w14:textId="77777777" w:rsidR="00082316" w:rsidRDefault="00082316" w:rsidP="00114439">
      <w:pPr>
        <w:jc w:val="both"/>
        <w:rPr>
          <w:rFonts w:asciiTheme="minorHAnsi" w:hAnsiTheme="minorHAnsi" w:cstheme="minorHAnsi"/>
          <w:b/>
        </w:rPr>
      </w:pPr>
    </w:p>
    <w:p w14:paraId="200E7A20" w14:textId="2977D22B" w:rsidR="003C05B3" w:rsidRDefault="00752AFB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Stávající pojetí skládání účtů za hospodaření s</w:t>
      </w:r>
      <w:r w:rsidR="00E92927" w:rsidRPr="00920634">
        <w:rPr>
          <w:rFonts w:asciiTheme="minorHAnsi" w:hAnsiTheme="minorHAnsi" w:cstheme="minorHAnsi"/>
          <w:b/>
        </w:rPr>
        <w:t>e státními</w:t>
      </w:r>
      <w:r w:rsidRPr="00920634">
        <w:rPr>
          <w:rFonts w:asciiTheme="minorHAnsi" w:hAnsiTheme="minorHAnsi" w:cstheme="minorHAnsi"/>
          <w:b/>
        </w:rPr>
        <w:t xml:space="preserve"> prostředky na úrovni správců kapitol státního rozpočtu je založeno před</w:t>
      </w:r>
      <w:r w:rsidR="003C05B3" w:rsidRPr="00920634">
        <w:rPr>
          <w:rFonts w:asciiTheme="minorHAnsi" w:hAnsiTheme="minorHAnsi" w:cstheme="minorHAnsi"/>
          <w:b/>
        </w:rPr>
        <w:t>e</w:t>
      </w:r>
      <w:r w:rsidRPr="00920634">
        <w:rPr>
          <w:rFonts w:asciiTheme="minorHAnsi" w:hAnsiTheme="minorHAnsi" w:cstheme="minorHAnsi"/>
          <w:b/>
        </w:rPr>
        <w:t>vším</w:t>
      </w:r>
      <w:r w:rsidR="003C05B3" w:rsidRPr="00920634">
        <w:rPr>
          <w:rFonts w:asciiTheme="minorHAnsi" w:hAnsiTheme="minorHAnsi" w:cstheme="minorHAnsi"/>
          <w:b/>
        </w:rPr>
        <w:t xml:space="preserve"> na rozpočtových údajích z finančních výkazů, tj. </w:t>
      </w:r>
      <w:r w:rsidR="00E92927" w:rsidRPr="00920634">
        <w:rPr>
          <w:rFonts w:asciiTheme="minorHAnsi" w:hAnsiTheme="minorHAnsi" w:cstheme="minorHAnsi"/>
          <w:b/>
        </w:rPr>
        <w:t xml:space="preserve">na </w:t>
      </w:r>
      <w:r w:rsidR="003C05B3" w:rsidRPr="00920634">
        <w:rPr>
          <w:rFonts w:asciiTheme="minorHAnsi" w:hAnsiTheme="minorHAnsi" w:cstheme="minorHAnsi"/>
          <w:b/>
        </w:rPr>
        <w:t>údaj</w:t>
      </w:r>
      <w:r w:rsidR="00E92927" w:rsidRPr="00920634">
        <w:rPr>
          <w:rFonts w:asciiTheme="minorHAnsi" w:hAnsiTheme="minorHAnsi" w:cstheme="minorHAnsi"/>
          <w:b/>
        </w:rPr>
        <w:t>ích</w:t>
      </w:r>
      <w:r w:rsidR="003C05B3" w:rsidRPr="00920634">
        <w:rPr>
          <w:rFonts w:asciiTheme="minorHAnsi" w:hAnsiTheme="minorHAnsi" w:cstheme="minorHAnsi"/>
          <w:b/>
        </w:rPr>
        <w:t xml:space="preserve"> sestavovaných na peněžní (cash) báz</w:t>
      </w:r>
      <w:r w:rsidR="000559E1" w:rsidRPr="00920634">
        <w:rPr>
          <w:rFonts w:asciiTheme="minorHAnsi" w:hAnsiTheme="minorHAnsi" w:cstheme="minorHAnsi"/>
          <w:b/>
        </w:rPr>
        <w:t>i</w:t>
      </w:r>
      <w:r w:rsidR="003C05B3" w:rsidRPr="00920634">
        <w:rPr>
          <w:rFonts w:asciiTheme="minorHAnsi" w:hAnsiTheme="minorHAnsi" w:cstheme="minorHAnsi"/>
          <w:b/>
        </w:rPr>
        <w:t xml:space="preserve">. NKÚ upozorňuje, že obecně je vhodné založit princip skládání účtů za hospodaření s veřejnými prostředky </w:t>
      </w:r>
      <w:r w:rsidR="00F05937">
        <w:rPr>
          <w:rFonts w:asciiTheme="minorHAnsi" w:hAnsiTheme="minorHAnsi" w:cstheme="minorHAnsi"/>
          <w:b/>
        </w:rPr>
        <w:t xml:space="preserve">i </w:t>
      </w:r>
      <w:r w:rsidR="003C05B3" w:rsidRPr="00920634">
        <w:rPr>
          <w:rFonts w:asciiTheme="minorHAnsi" w:hAnsiTheme="minorHAnsi" w:cstheme="minorHAnsi"/>
          <w:b/>
        </w:rPr>
        <w:t>na akruálních údajích z účetnictví. Údaje z</w:t>
      </w:r>
      <w:r w:rsidR="00F05937">
        <w:rPr>
          <w:rFonts w:asciiTheme="minorHAnsi" w:hAnsiTheme="minorHAnsi" w:cstheme="minorHAnsi"/>
          <w:b/>
        </w:rPr>
        <w:t> akruálního účetnictví</w:t>
      </w:r>
      <w:r w:rsidR="003C05B3" w:rsidRPr="00920634">
        <w:rPr>
          <w:rFonts w:asciiTheme="minorHAnsi" w:hAnsiTheme="minorHAnsi" w:cstheme="minorHAnsi"/>
          <w:b/>
        </w:rPr>
        <w:t xml:space="preserve"> vypovídají o hospodaření OSS s veřejnými prostředky, včetně transferů, mnohem komplexněji</w:t>
      </w:r>
      <w:r w:rsidR="0073100E">
        <w:rPr>
          <w:rFonts w:asciiTheme="minorHAnsi" w:hAnsiTheme="minorHAnsi" w:cstheme="minorHAnsi"/>
          <w:b/>
        </w:rPr>
        <w:t>,</w:t>
      </w:r>
      <w:r w:rsidR="003C05B3" w:rsidRPr="00920634">
        <w:rPr>
          <w:rFonts w:asciiTheme="minorHAnsi" w:hAnsiTheme="minorHAnsi" w:cstheme="minorHAnsi"/>
          <w:b/>
        </w:rPr>
        <w:t xml:space="preserve"> </w:t>
      </w:r>
      <w:r w:rsidR="0073100E">
        <w:rPr>
          <w:rFonts w:asciiTheme="minorHAnsi" w:hAnsiTheme="minorHAnsi" w:cstheme="minorHAnsi"/>
          <w:b/>
        </w:rPr>
        <w:t>v důsledku čehož</w:t>
      </w:r>
      <w:r w:rsidR="003C05B3" w:rsidRPr="00920634">
        <w:rPr>
          <w:rFonts w:asciiTheme="minorHAnsi" w:hAnsiTheme="minorHAnsi" w:cstheme="minorHAnsi"/>
          <w:b/>
        </w:rPr>
        <w:t xml:space="preserve"> </w:t>
      </w:r>
      <w:r w:rsidR="002F1DF9" w:rsidRPr="00920634">
        <w:rPr>
          <w:rFonts w:asciiTheme="minorHAnsi" w:hAnsiTheme="minorHAnsi" w:cstheme="minorHAnsi"/>
          <w:b/>
        </w:rPr>
        <w:t xml:space="preserve">podávají </w:t>
      </w:r>
      <w:r w:rsidR="0073100E">
        <w:rPr>
          <w:rFonts w:asciiTheme="minorHAnsi" w:hAnsiTheme="minorHAnsi" w:cstheme="minorHAnsi"/>
          <w:b/>
        </w:rPr>
        <w:t xml:space="preserve">i </w:t>
      </w:r>
      <w:r w:rsidR="002F1DF9" w:rsidRPr="00920634">
        <w:rPr>
          <w:rFonts w:asciiTheme="minorHAnsi" w:hAnsiTheme="minorHAnsi" w:cstheme="minorHAnsi"/>
          <w:b/>
        </w:rPr>
        <w:t>věrnější obraz skutečnosti.</w:t>
      </w:r>
    </w:p>
    <w:p w14:paraId="7D0D956C" w14:textId="77777777" w:rsidR="007422EE" w:rsidRPr="00920634" w:rsidRDefault="007422EE" w:rsidP="00114439">
      <w:pPr>
        <w:jc w:val="both"/>
        <w:rPr>
          <w:rFonts w:asciiTheme="minorHAnsi" w:hAnsiTheme="minorHAnsi" w:cstheme="minorHAnsi"/>
          <w:b/>
        </w:rPr>
      </w:pPr>
    </w:p>
    <w:p w14:paraId="0AD4C822" w14:textId="64DB2C83" w:rsidR="003C05B3" w:rsidRDefault="004E20EA" w:rsidP="001144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Specifick</w:t>
      </w:r>
      <w:r w:rsidR="00A06E97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</w:t>
      </w:r>
      <w:r w:rsidR="00A06E97">
        <w:rPr>
          <w:rFonts w:asciiTheme="minorHAnsi" w:hAnsiTheme="minorHAnsi" w:cstheme="minorHAnsi"/>
        </w:rPr>
        <w:t>operací</w:t>
      </w:r>
      <w:r>
        <w:rPr>
          <w:rFonts w:asciiTheme="minorHAnsi" w:hAnsiTheme="minorHAnsi" w:cstheme="minorHAnsi"/>
        </w:rPr>
        <w:t xml:space="preserve"> v </w:t>
      </w:r>
      <w:r w:rsidR="00A06E97">
        <w:rPr>
          <w:rFonts w:asciiTheme="minorHAnsi" w:hAnsiTheme="minorHAnsi" w:cstheme="minorHAnsi"/>
        </w:rPr>
        <w:t>oblasti</w:t>
      </w:r>
      <w:r>
        <w:rPr>
          <w:rFonts w:asciiTheme="minorHAnsi" w:hAnsiTheme="minorHAnsi" w:cstheme="minorHAnsi"/>
        </w:rPr>
        <w:t xml:space="preserve"> transfer</w:t>
      </w:r>
      <w:r w:rsidR="00A06E97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jsou finanční opravy neboli korekce. V případě, že finanční oprava ještě nebyla provedena</w:t>
      </w:r>
      <w:r w:rsidR="00A06E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resp. uhrazena</w:t>
      </w:r>
      <w:r w:rsidR="003C05B3" w:rsidRPr="00920634">
        <w:rPr>
          <w:rFonts w:asciiTheme="minorHAnsi" w:hAnsiTheme="minorHAnsi" w:cstheme="minorHAnsi"/>
        </w:rPr>
        <w:t xml:space="preserve">, pak se </w:t>
      </w:r>
      <w:r w:rsidR="00021329" w:rsidRPr="00920634">
        <w:rPr>
          <w:rFonts w:asciiTheme="minorHAnsi" w:hAnsiTheme="minorHAnsi" w:cstheme="minorHAnsi"/>
        </w:rPr>
        <w:t xml:space="preserve">tato </w:t>
      </w:r>
      <w:r w:rsidR="003C05B3" w:rsidRPr="00920634">
        <w:rPr>
          <w:rFonts w:asciiTheme="minorHAnsi" w:hAnsiTheme="minorHAnsi" w:cstheme="minorHAnsi"/>
        </w:rPr>
        <w:t>informace do finančních výkazů v okamžiku vyměření a provedení korekce nepromítne</w:t>
      </w:r>
      <w:r w:rsidR="00BF11E6" w:rsidRPr="00920634">
        <w:rPr>
          <w:rFonts w:asciiTheme="minorHAnsi" w:hAnsiTheme="minorHAnsi" w:cstheme="minorHAnsi"/>
        </w:rPr>
        <w:t>. D</w:t>
      </w:r>
      <w:r w:rsidR="003C05B3" w:rsidRPr="00920634">
        <w:rPr>
          <w:rFonts w:asciiTheme="minorHAnsi" w:hAnsiTheme="minorHAnsi" w:cstheme="minorHAnsi"/>
        </w:rPr>
        <w:t xml:space="preserve">o účetnictví </w:t>
      </w:r>
      <w:r w:rsidR="000C6B60" w:rsidRPr="00920634">
        <w:rPr>
          <w:rFonts w:asciiTheme="minorHAnsi" w:hAnsiTheme="minorHAnsi" w:cstheme="minorHAnsi"/>
        </w:rPr>
        <w:t>by se však promít</w:t>
      </w:r>
      <w:r w:rsidR="00120D6A">
        <w:rPr>
          <w:rFonts w:asciiTheme="minorHAnsi" w:hAnsiTheme="minorHAnsi" w:cstheme="minorHAnsi"/>
        </w:rPr>
        <w:t>nout</w:t>
      </w:r>
      <w:r w:rsidR="000C6B60" w:rsidRPr="00920634">
        <w:rPr>
          <w:rFonts w:asciiTheme="minorHAnsi" w:hAnsiTheme="minorHAnsi" w:cstheme="minorHAnsi"/>
        </w:rPr>
        <w:t xml:space="preserve"> měla, zejména do výše vykázaných finančních vztahů (závazků)</w:t>
      </w:r>
      <w:r w:rsidR="003C05B3" w:rsidRPr="00920634">
        <w:rPr>
          <w:rFonts w:asciiTheme="minorHAnsi" w:hAnsiTheme="minorHAnsi" w:cstheme="minorHAnsi"/>
        </w:rPr>
        <w:t xml:space="preserve">. </w:t>
      </w:r>
      <w:r w:rsidR="000C6B60" w:rsidRPr="00920634">
        <w:rPr>
          <w:rFonts w:asciiTheme="minorHAnsi" w:hAnsiTheme="minorHAnsi" w:cstheme="minorHAnsi"/>
        </w:rPr>
        <w:t>Z plošné korekce vyplývá ztráta refundovatelnosti prostředků z fondů EU</w:t>
      </w:r>
      <w:r w:rsidR="00120D6A">
        <w:rPr>
          <w:rFonts w:asciiTheme="minorHAnsi" w:hAnsiTheme="minorHAnsi" w:cstheme="minorHAnsi"/>
        </w:rPr>
        <w:t>,</w:t>
      </w:r>
      <w:r w:rsidR="000C6B60" w:rsidRPr="00920634">
        <w:rPr>
          <w:rFonts w:asciiTheme="minorHAnsi" w:hAnsiTheme="minorHAnsi" w:cstheme="minorHAnsi"/>
        </w:rPr>
        <w:t xml:space="preserve"> a t</w:t>
      </w:r>
      <w:r w:rsidR="00120D6A">
        <w:rPr>
          <w:rFonts w:asciiTheme="minorHAnsi" w:hAnsiTheme="minorHAnsi" w:cstheme="minorHAnsi"/>
        </w:rPr>
        <w:t>edy</w:t>
      </w:r>
      <w:r w:rsidR="000C6B60" w:rsidRPr="00920634">
        <w:rPr>
          <w:rFonts w:asciiTheme="minorHAnsi" w:hAnsiTheme="minorHAnsi" w:cstheme="minorHAnsi"/>
        </w:rPr>
        <w:t xml:space="preserve"> snížení </w:t>
      </w:r>
      <w:r w:rsidR="003C05B3" w:rsidRPr="00920634">
        <w:rPr>
          <w:rFonts w:asciiTheme="minorHAnsi" w:hAnsiTheme="minorHAnsi" w:cstheme="minorHAnsi"/>
        </w:rPr>
        <w:t>čerpání prostředků z fondů EU Českou republikou oproti plánu</w:t>
      </w:r>
      <w:r w:rsidR="000C6B60" w:rsidRPr="00920634">
        <w:rPr>
          <w:rFonts w:asciiTheme="minorHAnsi" w:hAnsiTheme="minorHAnsi" w:cstheme="minorHAnsi"/>
        </w:rPr>
        <w:t>, zejména vinou pochybení na straně ČR</w:t>
      </w:r>
      <w:r w:rsidR="004719E9" w:rsidRPr="00920634">
        <w:rPr>
          <w:rFonts w:asciiTheme="minorHAnsi" w:hAnsiTheme="minorHAnsi" w:cstheme="minorHAnsi"/>
        </w:rPr>
        <w:t>. V</w:t>
      </w:r>
      <w:r w:rsidR="003C05B3" w:rsidRPr="00920634">
        <w:rPr>
          <w:rFonts w:asciiTheme="minorHAnsi" w:hAnsiTheme="minorHAnsi" w:cstheme="minorHAnsi"/>
        </w:rPr>
        <w:t xml:space="preserve"> případě MŠMT </w:t>
      </w:r>
      <w:r w:rsidR="004719E9" w:rsidRPr="00920634">
        <w:rPr>
          <w:rFonts w:asciiTheme="minorHAnsi" w:hAnsiTheme="minorHAnsi" w:cstheme="minorHAnsi"/>
        </w:rPr>
        <w:t xml:space="preserve">se </w:t>
      </w:r>
      <w:r w:rsidR="003C05B3" w:rsidRPr="00920634">
        <w:rPr>
          <w:rFonts w:asciiTheme="minorHAnsi" w:hAnsiTheme="minorHAnsi" w:cstheme="minorHAnsi"/>
        </w:rPr>
        <w:t>např.</w:t>
      </w:r>
      <w:r w:rsidR="008D073A">
        <w:rPr>
          <w:rFonts w:asciiTheme="minorHAnsi" w:hAnsiTheme="minorHAnsi" w:cstheme="minorHAnsi"/>
        </w:rPr>
        <w:t xml:space="preserve"> </w:t>
      </w:r>
      <w:r w:rsidR="00021329" w:rsidRPr="00920634">
        <w:rPr>
          <w:rFonts w:asciiTheme="minorHAnsi" w:hAnsiTheme="minorHAnsi" w:cstheme="minorHAnsi"/>
        </w:rPr>
        <w:t>u</w:t>
      </w:r>
      <w:r w:rsidR="004719E9" w:rsidRPr="00920634">
        <w:rPr>
          <w:rFonts w:asciiTheme="minorHAnsi" w:hAnsiTheme="minorHAnsi" w:cstheme="minorHAnsi"/>
        </w:rPr>
        <w:t xml:space="preserve"> OP VK jednalo </w:t>
      </w:r>
      <w:r w:rsidR="003C05B3" w:rsidRPr="00920634">
        <w:rPr>
          <w:rFonts w:asciiTheme="minorHAnsi" w:hAnsiTheme="minorHAnsi" w:cstheme="minorHAnsi"/>
        </w:rPr>
        <w:t xml:space="preserve">o </w:t>
      </w:r>
      <w:r w:rsidR="004719E9" w:rsidRPr="00920634">
        <w:rPr>
          <w:rFonts w:asciiTheme="minorHAnsi" w:hAnsiTheme="minorHAnsi" w:cstheme="minorHAnsi"/>
        </w:rPr>
        <w:t xml:space="preserve">plošnou korekci ve výši </w:t>
      </w:r>
      <w:r w:rsidR="00120D6A">
        <w:rPr>
          <w:rFonts w:asciiTheme="minorHAnsi" w:hAnsiTheme="minorHAnsi" w:cstheme="minorHAnsi"/>
        </w:rPr>
        <w:t>přesahující</w:t>
      </w:r>
      <w:r w:rsidR="003C05B3" w:rsidRPr="00920634">
        <w:rPr>
          <w:rFonts w:asciiTheme="minorHAnsi" w:hAnsiTheme="minorHAnsi" w:cstheme="minorHAnsi"/>
        </w:rPr>
        <w:t xml:space="preserve"> 1</w:t>
      </w:r>
      <w:r w:rsidR="000C6B60" w:rsidRPr="00920634">
        <w:rPr>
          <w:rFonts w:asciiTheme="minorHAnsi" w:hAnsiTheme="minorHAnsi" w:cstheme="minorHAnsi"/>
        </w:rPr>
        <w:t>,2</w:t>
      </w:r>
      <w:r w:rsidR="003C05B3" w:rsidRPr="00920634">
        <w:rPr>
          <w:rFonts w:asciiTheme="minorHAnsi" w:hAnsiTheme="minorHAnsi" w:cstheme="minorHAnsi"/>
        </w:rPr>
        <w:t xml:space="preserve"> mld. Kč</w:t>
      </w:r>
      <w:r w:rsidR="00D53676" w:rsidRPr="00920634">
        <w:rPr>
          <w:rStyle w:val="Znakapoznpodarou"/>
          <w:rFonts w:asciiTheme="minorHAnsi" w:hAnsiTheme="minorHAnsi" w:cstheme="minorHAnsi"/>
        </w:rPr>
        <w:footnoteReference w:id="56"/>
      </w:r>
      <w:r w:rsidR="004719E9" w:rsidRPr="00920634">
        <w:rPr>
          <w:rFonts w:asciiTheme="minorHAnsi" w:hAnsiTheme="minorHAnsi" w:cstheme="minorHAnsi"/>
        </w:rPr>
        <w:t>;</w:t>
      </w:r>
      <w:r w:rsidR="000C6B60" w:rsidRPr="00920634">
        <w:rPr>
          <w:rFonts w:asciiTheme="minorHAnsi" w:hAnsiTheme="minorHAnsi" w:cstheme="minorHAnsi"/>
        </w:rPr>
        <w:t xml:space="preserve"> údaj je</w:t>
      </w:r>
      <w:r w:rsidR="004719E9" w:rsidRPr="00920634">
        <w:rPr>
          <w:rFonts w:asciiTheme="minorHAnsi" w:hAnsiTheme="minorHAnsi" w:cstheme="minorHAnsi"/>
        </w:rPr>
        <w:t xml:space="preserve"> zjevně</w:t>
      </w:r>
      <w:r w:rsidR="000C6B60" w:rsidRPr="00920634">
        <w:rPr>
          <w:rFonts w:asciiTheme="minorHAnsi" w:hAnsiTheme="minorHAnsi" w:cstheme="minorHAnsi"/>
        </w:rPr>
        <w:t xml:space="preserve"> důležitý p</w:t>
      </w:r>
      <w:r w:rsidR="004719E9" w:rsidRPr="00920634">
        <w:rPr>
          <w:rFonts w:asciiTheme="minorHAnsi" w:hAnsiTheme="minorHAnsi" w:cstheme="minorHAnsi"/>
        </w:rPr>
        <w:t>ro hodnocení výsledku hospodaření a pro</w:t>
      </w:r>
      <w:r w:rsidR="000C6B60" w:rsidRPr="00920634">
        <w:rPr>
          <w:rFonts w:asciiTheme="minorHAnsi" w:hAnsiTheme="minorHAnsi" w:cstheme="minorHAnsi"/>
        </w:rPr>
        <w:t xml:space="preserve"> skládání</w:t>
      </w:r>
      <w:r w:rsidR="004719E9" w:rsidRPr="00920634">
        <w:rPr>
          <w:rFonts w:asciiTheme="minorHAnsi" w:hAnsiTheme="minorHAnsi" w:cstheme="minorHAnsi"/>
        </w:rPr>
        <w:t xml:space="preserve"> účtů</w:t>
      </w:r>
      <w:r w:rsidR="00BF11E6" w:rsidRPr="00920634">
        <w:rPr>
          <w:rFonts w:asciiTheme="minorHAnsi" w:hAnsiTheme="minorHAnsi" w:cstheme="minorHAnsi"/>
        </w:rPr>
        <w:t>. D</w:t>
      </w:r>
      <w:r w:rsidR="00475EF8">
        <w:rPr>
          <w:rFonts w:asciiTheme="minorHAnsi" w:hAnsiTheme="minorHAnsi" w:cstheme="minorHAnsi"/>
        </w:rPr>
        <w:t>o</w:t>
      </w:r>
      <w:r w:rsidR="004D3414">
        <w:rPr>
          <w:rFonts w:asciiTheme="minorHAnsi" w:hAnsiTheme="minorHAnsi" w:cstheme="minorHAnsi"/>
        </w:rPr>
        <w:t xml:space="preserve"> </w:t>
      </w:r>
      <w:r w:rsidR="004719E9" w:rsidRPr="00920634">
        <w:rPr>
          <w:rFonts w:asciiTheme="minorHAnsi" w:hAnsiTheme="minorHAnsi" w:cstheme="minorHAnsi"/>
        </w:rPr>
        <w:t xml:space="preserve">finančních výkazů ani závěrečného účtu za rok 2014 se však nepromítl a nebyl komentován, neboť ještě nedošlo k pohybu peněžních prostředků. </w:t>
      </w:r>
      <w:r w:rsidR="004D3414" w:rsidRPr="008D4CD3">
        <w:rPr>
          <w:rFonts w:asciiTheme="minorHAnsi" w:hAnsiTheme="minorHAnsi" w:cstheme="minorHAnsi"/>
          <w:b/>
        </w:rPr>
        <w:t>Takovýto</w:t>
      </w:r>
      <w:r w:rsidR="004719E9" w:rsidRPr="00920634">
        <w:rPr>
          <w:rFonts w:asciiTheme="minorHAnsi" w:hAnsiTheme="minorHAnsi" w:cstheme="minorHAnsi"/>
          <w:b/>
        </w:rPr>
        <w:t xml:space="preserve"> typ akruálního údaje by </w:t>
      </w:r>
      <w:r w:rsidR="004D3414" w:rsidRPr="00920634">
        <w:rPr>
          <w:rFonts w:asciiTheme="minorHAnsi" w:hAnsiTheme="minorHAnsi" w:cstheme="minorHAnsi"/>
          <w:b/>
        </w:rPr>
        <w:t xml:space="preserve">měl být </w:t>
      </w:r>
      <w:r w:rsidR="004719E9" w:rsidRPr="00920634">
        <w:rPr>
          <w:rFonts w:asciiTheme="minorHAnsi" w:hAnsiTheme="minorHAnsi" w:cstheme="minorHAnsi"/>
          <w:b/>
        </w:rPr>
        <w:t xml:space="preserve">podle názoru NKÚ </w:t>
      </w:r>
      <w:r w:rsidR="004D3414">
        <w:rPr>
          <w:rFonts w:asciiTheme="minorHAnsi" w:hAnsiTheme="minorHAnsi" w:cstheme="minorHAnsi"/>
          <w:b/>
        </w:rPr>
        <w:t xml:space="preserve">uveden a popsán </w:t>
      </w:r>
      <w:r w:rsidR="004719E9" w:rsidRPr="00920634">
        <w:rPr>
          <w:rFonts w:asciiTheme="minorHAnsi" w:hAnsiTheme="minorHAnsi" w:cstheme="minorHAnsi"/>
          <w:b/>
        </w:rPr>
        <w:t>i</w:t>
      </w:r>
      <w:r w:rsidR="00350806" w:rsidRPr="00920634">
        <w:rPr>
          <w:rFonts w:asciiTheme="minorHAnsi" w:hAnsiTheme="minorHAnsi" w:cstheme="minorHAnsi"/>
          <w:b/>
        </w:rPr>
        <w:t> </w:t>
      </w:r>
      <w:r w:rsidR="008D073A">
        <w:rPr>
          <w:rFonts w:asciiTheme="minorHAnsi" w:hAnsiTheme="minorHAnsi" w:cstheme="minorHAnsi"/>
          <w:b/>
        </w:rPr>
        <w:t>v </w:t>
      </w:r>
      <w:r w:rsidR="004719E9" w:rsidRPr="00920634">
        <w:rPr>
          <w:rFonts w:asciiTheme="minorHAnsi" w:hAnsiTheme="minorHAnsi" w:cstheme="minorHAnsi"/>
          <w:b/>
        </w:rPr>
        <w:t>závěrečné</w:t>
      </w:r>
      <w:r w:rsidR="00457874" w:rsidRPr="00920634">
        <w:rPr>
          <w:rFonts w:asciiTheme="minorHAnsi" w:hAnsiTheme="minorHAnsi" w:cstheme="minorHAnsi"/>
          <w:b/>
        </w:rPr>
        <w:t>m</w:t>
      </w:r>
      <w:r w:rsidR="004719E9" w:rsidRPr="00920634">
        <w:rPr>
          <w:rFonts w:asciiTheme="minorHAnsi" w:hAnsiTheme="minorHAnsi" w:cstheme="minorHAnsi"/>
          <w:b/>
        </w:rPr>
        <w:t xml:space="preserve"> účtu kapitoly státního rozpočtu</w:t>
      </w:r>
      <w:r w:rsidR="004D3414">
        <w:rPr>
          <w:rFonts w:asciiTheme="minorHAnsi" w:hAnsiTheme="minorHAnsi" w:cstheme="minorHAnsi"/>
          <w:b/>
        </w:rPr>
        <w:t>,</w:t>
      </w:r>
      <w:r w:rsidR="004719E9" w:rsidRPr="00920634">
        <w:rPr>
          <w:rFonts w:asciiTheme="minorHAnsi" w:hAnsiTheme="minorHAnsi" w:cstheme="minorHAnsi"/>
          <w:b/>
        </w:rPr>
        <w:t xml:space="preserve"> t</w:t>
      </w:r>
      <w:r w:rsidR="004D3414">
        <w:rPr>
          <w:rFonts w:asciiTheme="minorHAnsi" w:hAnsiTheme="minorHAnsi" w:cstheme="minorHAnsi"/>
          <w:b/>
        </w:rPr>
        <w:t>u</w:t>
      </w:r>
      <w:r w:rsidR="004719E9" w:rsidRPr="00920634">
        <w:rPr>
          <w:rFonts w:asciiTheme="minorHAnsi" w:hAnsiTheme="minorHAnsi" w:cstheme="minorHAnsi"/>
          <w:b/>
        </w:rPr>
        <w:t xml:space="preserve">to povinnost však právní předpisy </w:t>
      </w:r>
      <w:r w:rsidR="004D3414">
        <w:rPr>
          <w:rFonts w:asciiTheme="minorHAnsi" w:hAnsiTheme="minorHAnsi" w:cstheme="minorHAnsi"/>
          <w:b/>
        </w:rPr>
        <w:t>dosud ne</w:t>
      </w:r>
      <w:r w:rsidR="004719E9" w:rsidRPr="00920634">
        <w:rPr>
          <w:rFonts w:asciiTheme="minorHAnsi" w:hAnsiTheme="minorHAnsi" w:cstheme="minorHAnsi"/>
          <w:b/>
        </w:rPr>
        <w:t>stanov</w:t>
      </w:r>
      <w:r w:rsidR="004D3414">
        <w:rPr>
          <w:rFonts w:asciiTheme="minorHAnsi" w:hAnsiTheme="minorHAnsi" w:cstheme="minorHAnsi"/>
          <w:b/>
        </w:rPr>
        <w:t>ují</w:t>
      </w:r>
      <w:r w:rsidR="004719E9" w:rsidRPr="00920634">
        <w:rPr>
          <w:rFonts w:asciiTheme="minorHAnsi" w:hAnsiTheme="minorHAnsi" w:cstheme="minorHAnsi"/>
          <w:b/>
        </w:rPr>
        <w:t>.</w:t>
      </w:r>
    </w:p>
    <w:p w14:paraId="0D2A4114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173D8A0C" w14:textId="3B36BF3A" w:rsidR="00E0629C" w:rsidRPr="00920634" w:rsidRDefault="00AE3489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Význam akruálně založených údajů je patrný i pro potřeby sestavování národních účtů</w:t>
      </w:r>
      <w:r w:rsidR="009F6854" w:rsidRPr="00920634">
        <w:rPr>
          <w:rStyle w:val="Znakapoznpodarou"/>
          <w:rFonts w:asciiTheme="minorHAnsi" w:hAnsiTheme="minorHAnsi" w:cstheme="minorHAnsi"/>
        </w:rPr>
        <w:footnoteReference w:id="57"/>
      </w:r>
      <w:r w:rsidRPr="00920634">
        <w:rPr>
          <w:rFonts w:asciiTheme="minorHAnsi" w:hAnsiTheme="minorHAnsi" w:cstheme="minorHAnsi"/>
        </w:rPr>
        <w:t xml:space="preserve"> ze strany </w:t>
      </w:r>
      <w:r w:rsidR="00BA7950" w:rsidRPr="00920634">
        <w:rPr>
          <w:rFonts w:asciiTheme="minorHAnsi" w:hAnsiTheme="minorHAnsi" w:cstheme="minorHAnsi"/>
        </w:rPr>
        <w:t>Českého statistického úřadu; plošné korekce mají přímý vliv na vyčíslení tzv. neutralizačních operací prováděných za účelem eliminace dopad</w:t>
      </w:r>
      <w:r w:rsidR="00021329" w:rsidRPr="00920634">
        <w:rPr>
          <w:rFonts w:asciiTheme="minorHAnsi" w:hAnsiTheme="minorHAnsi" w:cstheme="minorHAnsi"/>
        </w:rPr>
        <w:t>u</w:t>
      </w:r>
      <w:r w:rsidR="00BA7950" w:rsidRPr="00920634">
        <w:rPr>
          <w:rFonts w:asciiTheme="minorHAnsi" w:hAnsiTheme="minorHAnsi" w:cstheme="minorHAnsi"/>
        </w:rPr>
        <w:t xml:space="preserve"> předfinancování prostředků EU na výši deficitu (schodku) a dluhu sektoru vládních institucí</w:t>
      </w:r>
      <w:r w:rsidR="00BA7950" w:rsidRPr="00920634">
        <w:rPr>
          <w:rStyle w:val="Znakapoznpodarou"/>
          <w:rFonts w:asciiTheme="minorHAnsi" w:hAnsiTheme="minorHAnsi" w:cstheme="minorHAnsi"/>
        </w:rPr>
        <w:footnoteReference w:id="58"/>
      </w:r>
      <w:r w:rsidR="00BA7950" w:rsidRPr="00920634">
        <w:rPr>
          <w:rFonts w:asciiTheme="minorHAnsi" w:hAnsiTheme="minorHAnsi" w:cstheme="minorHAnsi"/>
        </w:rPr>
        <w:t xml:space="preserve"> a tím vyčíslení pohledávky na prostředky z rozpočtu EU</w:t>
      </w:r>
      <w:r w:rsidR="00FE663C">
        <w:rPr>
          <w:rFonts w:asciiTheme="minorHAnsi" w:hAnsiTheme="minorHAnsi" w:cstheme="minorHAnsi"/>
        </w:rPr>
        <w:t>.</w:t>
      </w:r>
      <w:r w:rsidR="00BA7950" w:rsidRPr="00920634">
        <w:rPr>
          <w:rFonts w:asciiTheme="minorHAnsi" w:hAnsiTheme="minorHAnsi" w:cstheme="minorHAnsi"/>
        </w:rPr>
        <w:t xml:space="preserve"> Rozpočtové údaje nelze v principu použít jako administrativní zdroj dat pro tyto účely, neboť se v nich plošná korekce v příslušném období nepromítá.</w:t>
      </w:r>
    </w:p>
    <w:p w14:paraId="356AD0F8" w14:textId="77777777" w:rsidR="001C017E" w:rsidRPr="00920634" w:rsidRDefault="001C017E" w:rsidP="00114439">
      <w:pPr>
        <w:jc w:val="both"/>
        <w:rPr>
          <w:rFonts w:asciiTheme="minorHAnsi" w:hAnsiTheme="minorHAnsi" w:cstheme="minorHAnsi"/>
        </w:rPr>
      </w:pPr>
    </w:p>
    <w:p w14:paraId="650171A0" w14:textId="77777777" w:rsidR="00FA1DC2" w:rsidRPr="00920634" w:rsidRDefault="00B27AF2" w:rsidP="00FD00A3">
      <w:pPr>
        <w:keepNext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2. Srovnatelnost údajů </w:t>
      </w:r>
    </w:p>
    <w:p w14:paraId="32859ABA" w14:textId="77777777" w:rsidR="00FA1DC2" w:rsidRPr="00920634" w:rsidRDefault="00FA1DC2" w:rsidP="00FD00A3">
      <w:pPr>
        <w:keepNext/>
        <w:jc w:val="both"/>
        <w:rPr>
          <w:rFonts w:asciiTheme="minorHAnsi" w:hAnsiTheme="minorHAnsi" w:cstheme="minorHAnsi"/>
          <w:b/>
        </w:rPr>
      </w:pPr>
    </w:p>
    <w:p w14:paraId="2CEBF2C0" w14:textId="47479361" w:rsidR="00027F86" w:rsidRPr="00920634" w:rsidRDefault="00027F86" w:rsidP="00FD00A3">
      <w:pPr>
        <w:keepNext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>2.1 Srovnatelnost rozpočtových údajů</w:t>
      </w:r>
    </w:p>
    <w:p w14:paraId="290F64DF" w14:textId="77777777" w:rsidR="007422EE" w:rsidRDefault="007422EE" w:rsidP="00FD00A3">
      <w:pPr>
        <w:keepNext/>
        <w:jc w:val="both"/>
        <w:rPr>
          <w:rFonts w:asciiTheme="minorHAnsi" w:hAnsiTheme="minorHAnsi" w:cstheme="minorHAnsi"/>
        </w:rPr>
      </w:pPr>
    </w:p>
    <w:p w14:paraId="72CC89E3" w14:textId="1FEDB866" w:rsidR="00027F86" w:rsidRDefault="00027F8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V oblasti srovnatelnosti rozpočtových údajů </w:t>
      </w:r>
      <w:r w:rsidR="001A33FB">
        <w:rPr>
          <w:rFonts w:asciiTheme="minorHAnsi" w:hAnsiTheme="minorHAnsi" w:cstheme="minorHAnsi"/>
        </w:rPr>
        <w:t>(</w:t>
      </w:r>
      <w:r w:rsidRPr="00920634">
        <w:rPr>
          <w:rFonts w:asciiTheme="minorHAnsi" w:hAnsiTheme="minorHAnsi" w:cstheme="minorHAnsi"/>
        </w:rPr>
        <w:t xml:space="preserve">tj. </w:t>
      </w:r>
      <w:r w:rsidR="00A35D7D">
        <w:rPr>
          <w:rFonts w:asciiTheme="minorHAnsi" w:hAnsiTheme="minorHAnsi" w:cstheme="minorHAnsi"/>
        </w:rPr>
        <w:t xml:space="preserve">údajů </w:t>
      </w:r>
      <w:r w:rsidR="008D073A">
        <w:rPr>
          <w:rFonts w:asciiTheme="minorHAnsi" w:hAnsiTheme="minorHAnsi" w:cstheme="minorHAnsi"/>
        </w:rPr>
        <w:t>z </w:t>
      </w:r>
      <w:r w:rsidRPr="00920634">
        <w:rPr>
          <w:rFonts w:asciiTheme="minorHAnsi" w:hAnsiTheme="minorHAnsi" w:cstheme="minorHAnsi"/>
        </w:rPr>
        <w:t>finančních výkazů, rozpočtového informačního systému a závěrečného účtu</w:t>
      </w:r>
      <w:r w:rsidR="001A33FB">
        <w:rPr>
          <w:rFonts w:asciiTheme="minorHAnsi" w:hAnsiTheme="minorHAnsi" w:cstheme="minorHAnsi"/>
        </w:rPr>
        <w:t xml:space="preserve">) </w:t>
      </w:r>
      <w:r w:rsidRPr="00920634">
        <w:rPr>
          <w:rFonts w:asciiTheme="minorHAnsi" w:hAnsiTheme="minorHAnsi" w:cstheme="minorHAnsi"/>
        </w:rPr>
        <w:t>nebyly zjištěny</w:t>
      </w:r>
      <w:r w:rsidR="004E20EA">
        <w:rPr>
          <w:rFonts w:asciiTheme="minorHAnsi" w:hAnsiTheme="minorHAnsi" w:cstheme="minorHAnsi"/>
        </w:rPr>
        <w:t xml:space="preserve"> problémy ani</w:t>
      </w:r>
      <w:r w:rsidRPr="00920634">
        <w:rPr>
          <w:rFonts w:asciiTheme="minorHAnsi" w:hAnsiTheme="minorHAnsi" w:cstheme="minorHAnsi"/>
        </w:rPr>
        <w:t xml:space="preserve"> významné nedostatky. </w:t>
      </w:r>
    </w:p>
    <w:p w14:paraId="4E9D993A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2BD2B703" w14:textId="75BB5C61" w:rsidR="00027F86" w:rsidRPr="00920634" w:rsidRDefault="00027F8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NKÚ však upozorňuje, že za účelem zajištění srozumitelnosti údajů rozpočtového informačního systému a finančních výkazů by měla </w:t>
      </w:r>
      <w:r w:rsidR="00BF11E6" w:rsidRPr="00920634">
        <w:rPr>
          <w:rFonts w:asciiTheme="minorHAnsi" w:hAnsiTheme="minorHAnsi" w:cstheme="minorHAnsi"/>
        </w:rPr>
        <w:t xml:space="preserve">být </w:t>
      </w:r>
      <w:r w:rsidRPr="00920634">
        <w:rPr>
          <w:rFonts w:asciiTheme="minorHAnsi" w:hAnsiTheme="minorHAnsi" w:cstheme="minorHAnsi"/>
        </w:rPr>
        <w:t>jasně vymezena obsahová náplň těch nástrojů třídění rozpočtové skladby, které se týkají tzv. účetních operací.</w:t>
      </w:r>
      <w:r w:rsidRPr="00920634">
        <w:rPr>
          <w:rStyle w:val="Znakapoznpodarou"/>
          <w:rFonts w:asciiTheme="minorHAnsi" w:hAnsiTheme="minorHAnsi" w:cstheme="minorHAnsi"/>
        </w:rPr>
        <w:footnoteReference w:id="59"/>
      </w:r>
      <w:r w:rsidRPr="00920634">
        <w:rPr>
          <w:rFonts w:asciiTheme="minorHAnsi" w:hAnsiTheme="minorHAnsi" w:cstheme="minorHAnsi"/>
        </w:rPr>
        <w:t xml:space="preserve"> </w:t>
      </w:r>
    </w:p>
    <w:p w14:paraId="2850557A" w14:textId="77777777" w:rsidR="00027F86" w:rsidRPr="00920634" w:rsidRDefault="00027F86" w:rsidP="00114439">
      <w:pPr>
        <w:jc w:val="both"/>
        <w:rPr>
          <w:rFonts w:asciiTheme="minorHAnsi" w:hAnsiTheme="minorHAnsi" w:cstheme="minorHAnsi"/>
          <w:b/>
        </w:rPr>
      </w:pPr>
    </w:p>
    <w:p w14:paraId="443D3C3D" w14:textId="2FD3DE37" w:rsidR="00B27AF2" w:rsidRPr="00920634" w:rsidRDefault="00FA1DC2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2.</w:t>
      </w:r>
      <w:r w:rsidR="00027F86" w:rsidRPr="00920634">
        <w:rPr>
          <w:rFonts w:asciiTheme="minorHAnsi" w:hAnsiTheme="minorHAnsi" w:cstheme="minorHAnsi"/>
          <w:b/>
        </w:rPr>
        <w:t>2</w:t>
      </w:r>
      <w:r w:rsidR="00B27AF2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 xml:space="preserve">Srovnatelnost údajů </w:t>
      </w:r>
      <w:r w:rsidR="008D073A">
        <w:rPr>
          <w:rFonts w:asciiTheme="minorHAnsi" w:hAnsiTheme="minorHAnsi" w:cstheme="minorHAnsi"/>
          <w:b/>
        </w:rPr>
        <w:t>z </w:t>
      </w:r>
      <w:r w:rsidRPr="00920634">
        <w:rPr>
          <w:rFonts w:asciiTheme="minorHAnsi" w:hAnsiTheme="minorHAnsi" w:cstheme="minorHAnsi"/>
          <w:b/>
        </w:rPr>
        <w:t>ú</w:t>
      </w:r>
      <w:r w:rsidR="00B27AF2" w:rsidRPr="00920634">
        <w:rPr>
          <w:rFonts w:asciiTheme="minorHAnsi" w:hAnsiTheme="minorHAnsi" w:cstheme="minorHAnsi"/>
          <w:b/>
        </w:rPr>
        <w:t>četních závěrek</w:t>
      </w:r>
    </w:p>
    <w:p w14:paraId="776FE47D" w14:textId="77777777" w:rsidR="005E5FE4" w:rsidRPr="00920634" w:rsidRDefault="005E5FE4" w:rsidP="00114439">
      <w:pPr>
        <w:jc w:val="both"/>
        <w:rPr>
          <w:rFonts w:asciiTheme="minorHAnsi" w:hAnsiTheme="minorHAnsi" w:cstheme="minorHAnsi"/>
        </w:rPr>
      </w:pPr>
    </w:p>
    <w:p w14:paraId="6F789E07" w14:textId="159049FB" w:rsidR="00EF7DEF" w:rsidRDefault="00EF7DEF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Věcná rozmanitost a relativní složitost procesů souvisejících s toky prostředků </w:t>
      </w:r>
      <w:r w:rsidR="003476A1" w:rsidRPr="00920634">
        <w:rPr>
          <w:rFonts w:asciiTheme="minorHAnsi" w:hAnsiTheme="minorHAnsi" w:cstheme="minorHAnsi"/>
          <w:b/>
        </w:rPr>
        <w:t xml:space="preserve">ze </w:t>
      </w:r>
      <w:r w:rsidR="00944B89" w:rsidRPr="00920634">
        <w:rPr>
          <w:rFonts w:asciiTheme="minorHAnsi" w:hAnsiTheme="minorHAnsi" w:cstheme="minorHAnsi"/>
          <w:b/>
        </w:rPr>
        <w:t>zdrojů v</w:t>
      </w:r>
      <w:r w:rsidR="007E28AF">
        <w:rPr>
          <w:rFonts w:asciiTheme="minorHAnsi" w:hAnsiTheme="minorHAnsi" w:cstheme="minorHAnsi"/>
          <w:b/>
        </w:rPr>
        <w:t> </w:t>
      </w:r>
      <w:r w:rsidR="003476A1" w:rsidRPr="00920634">
        <w:rPr>
          <w:rFonts w:asciiTheme="minorHAnsi" w:hAnsiTheme="minorHAnsi" w:cstheme="minorHAnsi"/>
          <w:b/>
        </w:rPr>
        <w:t>zahraničí</w:t>
      </w:r>
      <w:r w:rsidRPr="00920634">
        <w:rPr>
          <w:rFonts w:asciiTheme="minorHAnsi" w:hAnsiTheme="minorHAnsi" w:cstheme="minorHAnsi"/>
          <w:b/>
        </w:rPr>
        <w:t xml:space="preserve"> </w:t>
      </w:r>
      <w:r w:rsidR="00A35D7D">
        <w:rPr>
          <w:rFonts w:asciiTheme="minorHAnsi" w:hAnsiTheme="minorHAnsi" w:cstheme="minorHAnsi"/>
          <w:b/>
        </w:rPr>
        <w:t>jsou</w:t>
      </w:r>
      <w:r w:rsidRPr="00920634">
        <w:rPr>
          <w:rFonts w:asciiTheme="minorHAnsi" w:hAnsiTheme="minorHAnsi" w:cstheme="minorHAnsi"/>
          <w:b/>
        </w:rPr>
        <w:t xml:space="preserve"> podle NKÚ přirozen</w:t>
      </w:r>
      <w:r w:rsidR="00A35D7D">
        <w:rPr>
          <w:rFonts w:asciiTheme="minorHAnsi" w:hAnsiTheme="minorHAnsi" w:cstheme="minorHAnsi"/>
          <w:b/>
        </w:rPr>
        <w:t>ým</w:t>
      </w:r>
      <w:r w:rsidRPr="00920634">
        <w:rPr>
          <w:rFonts w:asciiTheme="minorHAnsi" w:hAnsiTheme="minorHAnsi" w:cstheme="minorHAnsi"/>
          <w:b/>
        </w:rPr>
        <w:t xml:space="preserve"> rizik</w:t>
      </w:r>
      <w:r w:rsidR="00A35D7D">
        <w:rPr>
          <w:rFonts w:asciiTheme="minorHAnsi" w:hAnsiTheme="minorHAnsi" w:cstheme="minorHAnsi"/>
          <w:b/>
        </w:rPr>
        <w:t>em</w:t>
      </w:r>
      <w:r w:rsidRPr="00920634">
        <w:rPr>
          <w:rFonts w:asciiTheme="minorHAnsi" w:hAnsiTheme="minorHAnsi" w:cstheme="minorHAnsi"/>
          <w:b/>
        </w:rPr>
        <w:t xml:space="preserve"> </w:t>
      </w:r>
      <w:r w:rsidR="00944B89" w:rsidRPr="00920634">
        <w:rPr>
          <w:rFonts w:asciiTheme="minorHAnsi" w:hAnsiTheme="minorHAnsi" w:cstheme="minorHAnsi"/>
          <w:b/>
        </w:rPr>
        <w:t>p</w:t>
      </w:r>
      <w:r w:rsidR="00A35D7D">
        <w:rPr>
          <w:rFonts w:asciiTheme="minorHAnsi" w:hAnsiTheme="minorHAnsi" w:cstheme="minorHAnsi"/>
          <w:b/>
        </w:rPr>
        <w:t>ro</w:t>
      </w:r>
      <w:r w:rsidRPr="00920634">
        <w:rPr>
          <w:rFonts w:asciiTheme="minorHAnsi" w:hAnsiTheme="minorHAnsi" w:cstheme="minorHAnsi"/>
          <w:b/>
        </w:rPr>
        <w:t xml:space="preserve"> zajiš</w:t>
      </w:r>
      <w:r w:rsidR="003476A1" w:rsidRPr="00920634">
        <w:rPr>
          <w:rFonts w:asciiTheme="minorHAnsi" w:hAnsiTheme="minorHAnsi" w:cstheme="minorHAnsi"/>
          <w:b/>
        </w:rPr>
        <w:t>ťování</w:t>
      </w:r>
      <w:r w:rsidRPr="00920634">
        <w:rPr>
          <w:rFonts w:asciiTheme="minorHAnsi" w:hAnsiTheme="minorHAnsi" w:cstheme="minorHAnsi"/>
          <w:b/>
        </w:rPr>
        <w:t xml:space="preserve"> správného a úplného </w:t>
      </w:r>
      <w:r w:rsidR="003476A1" w:rsidRPr="00920634">
        <w:rPr>
          <w:rFonts w:asciiTheme="minorHAnsi" w:hAnsiTheme="minorHAnsi" w:cstheme="minorHAnsi"/>
          <w:b/>
        </w:rPr>
        <w:t>vedení a vykazování</w:t>
      </w:r>
      <w:r w:rsidRPr="00920634">
        <w:rPr>
          <w:rFonts w:asciiTheme="minorHAnsi" w:hAnsiTheme="minorHAnsi" w:cstheme="minorHAnsi"/>
          <w:b/>
        </w:rPr>
        <w:t xml:space="preserve"> údajů</w:t>
      </w:r>
      <w:r w:rsidR="003476A1" w:rsidRPr="00920634">
        <w:rPr>
          <w:rFonts w:asciiTheme="minorHAnsi" w:hAnsiTheme="minorHAnsi" w:cstheme="minorHAnsi"/>
          <w:b/>
        </w:rPr>
        <w:t xml:space="preserve"> o </w:t>
      </w:r>
      <w:r w:rsidR="00A35D7D">
        <w:rPr>
          <w:rFonts w:asciiTheme="minorHAnsi" w:hAnsiTheme="minorHAnsi" w:cstheme="minorHAnsi"/>
          <w:b/>
        </w:rPr>
        <w:t>těchto tocích</w:t>
      </w:r>
      <w:r w:rsidRPr="00920634">
        <w:rPr>
          <w:rFonts w:asciiTheme="minorHAnsi" w:hAnsiTheme="minorHAnsi" w:cstheme="minorHAnsi"/>
          <w:b/>
        </w:rPr>
        <w:t xml:space="preserve"> </w:t>
      </w:r>
      <w:r w:rsidR="00A35D7D">
        <w:rPr>
          <w:rFonts w:asciiTheme="minorHAnsi" w:hAnsiTheme="minorHAnsi" w:cstheme="minorHAnsi"/>
          <w:b/>
        </w:rPr>
        <w:t>i</w:t>
      </w:r>
      <w:r w:rsidRPr="00920634">
        <w:rPr>
          <w:rFonts w:asciiTheme="minorHAnsi" w:hAnsiTheme="minorHAnsi" w:cstheme="minorHAnsi"/>
          <w:b/>
        </w:rPr>
        <w:t xml:space="preserve"> </w:t>
      </w:r>
      <w:r w:rsidR="00A35D7D">
        <w:rPr>
          <w:rFonts w:asciiTheme="minorHAnsi" w:hAnsiTheme="minorHAnsi" w:cstheme="minorHAnsi"/>
          <w:b/>
        </w:rPr>
        <w:t xml:space="preserve">pro </w:t>
      </w:r>
      <w:r w:rsidRPr="00920634">
        <w:rPr>
          <w:rFonts w:asciiTheme="minorHAnsi" w:hAnsiTheme="minorHAnsi" w:cstheme="minorHAnsi"/>
          <w:b/>
        </w:rPr>
        <w:t>jejich srovnateln</w:t>
      </w:r>
      <w:r w:rsidR="00944B89" w:rsidRPr="00920634">
        <w:rPr>
          <w:rFonts w:asciiTheme="minorHAnsi" w:hAnsiTheme="minorHAnsi" w:cstheme="minorHAnsi"/>
          <w:b/>
        </w:rPr>
        <w:t>é vyk</w:t>
      </w:r>
      <w:r w:rsidR="00A35D7D">
        <w:rPr>
          <w:rFonts w:asciiTheme="minorHAnsi" w:hAnsiTheme="minorHAnsi" w:cstheme="minorHAnsi"/>
          <w:b/>
        </w:rPr>
        <w:t>azování</w:t>
      </w:r>
      <w:r w:rsidR="00944B89" w:rsidRPr="00920634">
        <w:rPr>
          <w:rFonts w:asciiTheme="minorHAnsi" w:hAnsiTheme="minorHAnsi" w:cstheme="minorHAnsi"/>
          <w:b/>
        </w:rPr>
        <w:t xml:space="preserve"> v účetních závěrkách.</w:t>
      </w:r>
    </w:p>
    <w:p w14:paraId="0F0C1439" w14:textId="77777777" w:rsidR="007422EE" w:rsidRPr="00920634" w:rsidRDefault="007422EE" w:rsidP="00114439">
      <w:pPr>
        <w:jc w:val="both"/>
        <w:rPr>
          <w:rFonts w:asciiTheme="minorHAnsi" w:hAnsiTheme="minorHAnsi" w:cstheme="minorHAnsi"/>
          <w:b/>
        </w:rPr>
      </w:pPr>
    </w:p>
    <w:p w14:paraId="7C3CD802" w14:textId="53377E03" w:rsidR="00B27AF2" w:rsidRDefault="00B27AF2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Jako zásadní účetní problém OSS se v letech 2010–2014 ukázala záležitost volby role při poskytnutí transferu dle ČÚS č. 703 – </w:t>
      </w:r>
      <w:r w:rsidRPr="008D4CD3">
        <w:rPr>
          <w:rFonts w:asciiTheme="minorHAnsi" w:hAnsiTheme="minorHAnsi" w:cstheme="minorHAnsi"/>
          <w:i/>
        </w:rPr>
        <w:t>Transfery</w:t>
      </w:r>
      <w:r w:rsidR="00FD00A3">
        <w:rPr>
          <w:rFonts w:asciiTheme="minorHAnsi" w:hAnsiTheme="minorHAnsi" w:cstheme="minorHAnsi"/>
        </w:rPr>
        <w:t>.</w:t>
      </w:r>
      <w:r w:rsidRPr="00920634">
        <w:rPr>
          <w:rFonts w:asciiTheme="minorHAnsi" w:hAnsiTheme="minorHAnsi" w:cstheme="minorHAnsi"/>
        </w:rPr>
        <w:t xml:space="preserve"> Kontrol</w:t>
      </w:r>
      <w:r w:rsidR="006F1518" w:rsidRPr="00920634">
        <w:rPr>
          <w:rFonts w:asciiTheme="minorHAnsi" w:hAnsiTheme="minorHAnsi" w:cstheme="minorHAnsi"/>
        </w:rPr>
        <w:t>ami</w:t>
      </w:r>
      <w:r w:rsidR="001A33FB" w:rsidRPr="00920634">
        <w:rPr>
          <w:rStyle w:val="Znakapoznpodarou"/>
          <w:rFonts w:asciiTheme="minorHAnsi" w:hAnsiTheme="minorHAnsi" w:cstheme="minorHAnsi"/>
        </w:rPr>
        <w:footnoteReference w:id="60"/>
      </w:r>
      <w:r w:rsidR="003476A1" w:rsidRPr="00920634">
        <w:rPr>
          <w:rFonts w:asciiTheme="minorHAnsi" w:hAnsiTheme="minorHAnsi" w:cstheme="minorHAnsi"/>
        </w:rPr>
        <w:t xml:space="preserve"> bylo prokázáno,</w:t>
      </w:r>
      <w:r w:rsidRPr="00920634">
        <w:rPr>
          <w:rFonts w:asciiTheme="minorHAnsi" w:hAnsiTheme="minorHAnsi" w:cstheme="minorHAnsi"/>
        </w:rPr>
        <w:t xml:space="preserve"> že MŠMT a</w:t>
      </w:r>
      <w:r w:rsidR="007E28AF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 xml:space="preserve">MZe se v letech 2011–2014 identifikovaly </w:t>
      </w:r>
      <w:r w:rsidR="00956D23">
        <w:rPr>
          <w:rFonts w:asciiTheme="minorHAnsi" w:hAnsiTheme="minorHAnsi" w:cstheme="minorHAnsi"/>
        </w:rPr>
        <w:t>s </w:t>
      </w:r>
      <w:r w:rsidRPr="00920634">
        <w:rPr>
          <w:rFonts w:asciiTheme="minorHAnsi" w:hAnsiTheme="minorHAnsi" w:cstheme="minorHAnsi"/>
        </w:rPr>
        <w:t>odlišný</w:t>
      </w:r>
      <w:r w:rsidR="00956D23">
        <w:rPr>
          <w:rFonts w:asciiTheme="minorHAnsi" w:hAnsiTheme="minorHAnsi" w:cstheme="minorHAnsi"/>
        </w:rPr>
        <w:t>mi</w:t>
      </w:r>
      <w:r w:rsidRPr="00920634">
        <w:rPr>
          <w:rFonts w:asciiTheme="minorHAnsi" w:hAnsiTheme="minorHAnsi" w:cstheme="minorHAnsi"/>
        </w:rPr>
        <w:t xml:space="preserve"> rol</w:t>
      </w:r>
      <w:r w:rsidR="00956D23">
        <w:rPr>
          <w:rFonts w:asciiTheme="minorHAnsi" w:hAnsiTheme="minorHAnsi" w:cstheme="minorHAnsi"/>
        </w:rPr>
        <w:t>emi, v důsledku čehož</w:t>
      </w:r>
      <w:r w:rsidRPr="00920634">
        <w:rPr>
          <w:rFonts w:asciiTheme="minorHAnsi" w:hAnsiTheme="minorHAnsi" w:cstheme="minorHAnsi"/>
        </w:rPr>
        <w:t xml:space="preserve"> volily i jiné postupy účtování a vyk</w:t>
      </w:r>
      <w:r w:rsidR="00956D23">
        <w:rPr>
          <w:rFonts w:asciiTheme="minorHAnsi" w:hAnsiTheme="minorHAnsi" w:cstheme="minorHAnsi"/>
        </w:rPr>
        <w:t>azování</w:t>
      </w:r>
      <w:r w:rsidRPr="00920634">
        <w:rPr>
          <w:rFonts w:asciiTheme="minorHAnsi" w:hAnsiTheme="minorHAnsi" w:cstheme="minorHAnsi"/>
        </w:rPr>
        <w:t xml:space="preserve"> účetních případů. </w:t>
      </w:r>
    </w:p>
    <w:p w14:paraId="5D70937D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7B7D7875" w14:textId="1387B218" w:rsidR="00B27AF2" w:rsidRDefault="00B27AF2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Údaje o předfinancovaných transferech vykázaných v účetních závěrkách MŠMT a MZe sestavených za roky 2011–2014 byly mezi těmito </w:t>
      </w:r>
      <w:r w:rsidR="006F1518" w:rsidRPr="00920634">
        <w:rPr>
          <w:rFonts w:asciiTheme="minorHAnsi" w:hAnsiTheme="minorHAnsi" w:cstheme="minorHAnsi"/>
          <w:b/>
        </w:rPr>
        <w:t xml:space="preserve">účetními </w:t>
      </w:r>
      <w:r w:rsidRPr="00920634">
        <w:rPr>
          <w:rFonts w:asciiTheme="minorHAnsi" w:hAnsiTheme="minorHAnsi" w:cstheme="minorHAnsi"/>
          <w:b/>
        </w:rPr>
        <w:t>jednotkami vzájemně nesrovnatelné</w:t>
      </w:r>
      <w:r w:rsidRPr="008D4CD3">
        <w:rPr>
          <w:rFonts w:asciiTheme="minorHAnsi" w:hAnsiTheme="minorHAnsi" w:cstheme="minorHAnsi"/>
          <w:b/>
        </w:rPr>
        <w:t>.</w:t>
      </w:r>
      <w:r w:rsidRPr="00920634">
        <w:rPr>
          <w:rFonts w:asciiTheme="minorHAnsi" w:hAnsiTheme="minorHAnsi" w:cstheme="minorHAnsi"/>
        </w:rPr>
        <w:t xml:space="preserve"> </w:t>
      </w:r>
    </w:p>
    <w:p w14:paraId="42D718DF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670A1058" w14:textId="5203CF23" w:rsidR="00164E10" w:rsidRDefault="008D073A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164E10" w:rsidRPr="00920634">
        <w:rPr>
          <w:rFonts w:asciiTheme="minorHAnsi" w:hAnsiTheme="minorHAnsi" w:cstheme="minorHAnsi"/>
        </w:rPr>
        <w:t>kontrol</w:t>
      </w:r>
      <w:r w:rsidR="003476A1" w:rsidRPr="00920634">
        <w:rPr>
          <w:rFonts w:asciiTheme="minorHAnsi" w:hAnsiTheme="minorHAnsi" w:cstheme="minorHAnsi"/>
        </w:rPr>
        <w:t>y</w:t>
      </w:r>
      <w:r w:rsidR="0074225B" w:rsidRPr="00920634">
        <w:rPr>
          <w:rFonts w:asciiTheme="minorHAnsi" w:hAnsiTheme="minorHAnsi" w:cstheme="minorHAnsi"/>
        </w:rPr>
        <w:t xml:space="preserve"> </w:t>
      </w:r>
      <w:r w:rsidR="00164E10" w:rsidRPr="00920634">
        <w:rPr>
          <w:rFonts w:asciiTheme="minorHAnsi" w:hAnsiTheme="minorHAnsi" w:cstheme="minorHAnsi"/>
        </w:rPr>
        <w:t xml:space="preserve">nevyplynuly věcné důvody pro to, aby </w:t>
      </w:r>
      <w:r w:rsidR="00956D23">
        <w:rPr>
          <w:rFonts w:asciiTheme="minorHAnsi" w:hAnsiTheme="minorHAnsi" w:cstheme="minorHAnsi"/>
        </w:rPr>
        <w:t>kontrolovaná ministerstva</w:t>
      </w:r>
      <w:r w:rsidR="00164E10" w:rsidRPr="00920634">
        <w:rPr>
          <w:rFonts w:asciiTheme="minorHAnsi" w:hAnsiTheme="minorHAnsi" w:cstheme="minorHAnsi"/>
        </w:rPr>
        <w:t xml:space="preserve"> o</w:t>
      </w:r>
      <w:r w:rsidR="00350806" w:rsidRPr="00920634">
        <w:rPr>
          <w:rFonts w:asciiTheme="minorHAnsi" w:hAnsiTheme="minorHAnsi" w:cstheme="minorHAnsi"/>
        </w:rPr>
        <w:t> </w:t>
      </w:r>
      <w:r w:rsidR="00164E10" w:rsidRPr="00920634">
        <w:rPr>
          <w:rFonts w:asciiTheme="minorHAnsi" w:hAnsiTheme="minorHAnsi" w:cstheme="minorHAnsi"/>
        </w:rPr>
        <w:t>předfinancovaných transferech účtoval</w:t>
      </w:r>
      <w:r w:rsidR="00956D23">
        <w:rPr>
          <w:rFonts w:asciiTheme="minorHAnsi" w:hAnsiTheme="minorHAnsi" w:cstheme="minorHAnsi"/>
        </w:rPr>
        <w:t>a</w:t>
      </w:r>
      <w:r w:rsidR="00164E10" w:rsidRPr="00920634">
        <w:rPr>
          <w:rFonts w:asciiTheme="minorHAnsi" w:hAnsiTheme="minorHAnsi" w:cstheme="minorHAnsi"/>
        </w:rPr>
        <w:t xml:space="preserve"> v</w:t>
      </w:r>
      <w:r w:rsidR="00956D23">
        <w:rPr>
          <w:rFonts w:asciiTheme="minorHAnsi" w:hAnsiTheme="minorHAnsi" w:cstheme="minorHAnsi"/>
        </w:rPr>
        <w:t> rozdílných rolích,</w:t>
      </w:r>
      <w:r w:rsidR="00164E10" w:rsidRPr="00920634">
        <w:rPr>
          <w:rFonts w:asciiTheme="minorHAnsi" w:hAnsiTheme="minorHAnsi" w:cstheme="minorHAnsi"/>
        </w:rPr>
        <w:t xml:space="preserve"> a </w:t>
      </w:r>
      <w:r w:rsidR="00956D23">
        <w:rPr>
          <w:rFonts w:asciiTheme="minorHAnsi" w:hAnsiTheme="minorHAnsi" w:cstheme="minorHAnsi"/>
        </w:rPr>
        <w:t>tedy</w:t>
      </w:r>
      <w:r w:rsidR="00164E10" w:rsidRPr="00920634">
        <w:rPr>
          <w:rFonts w:asciiTheme="minorHAnsi" w:hAnsiTheme="minorHAnsi" w:cstheme="minorHAnsi"/>
        </w:rPr>
        <w:t xml:space="preserve"> i zásadně odlišně; </w:t>
      </w:r>
      <w:r w:rsidR="00164E10" w:rsidRPr="00920634">
        <w:rPr>
          <w:rFonts w:asciiTheme="minorHAnsi" w:hAnsiTheme="minorHAnsi" w:cstheme="minorHAnsi"/>
          <w:b/>
        </w:rPr>
        <w:t>důvodem</w:t>
      </w:r>
      <w:r w:rsidR="00164E10" w:rsidRPr="00920634">
        <w:rPr>
          <w:rFonts w:asciiTheme="minorHAnsi" w:hAnsiTheme="minorHAnsi" w:cstheme="minorHAnsi"/>
        </w:rPr>
        <w:t xml:space="preserve"> pro rozdílný postup při</w:t>
      </w:r>
      <w:r w:rsidR="006F1518" w:rsidRPr="00920634">
        <w:rPr>
          <w:rFonts w:asciiTheme="minorHAnsi" w:hAnsiTheme="minorHAnsi" w:cstheme="minorHAnsi"/>
        </w:rPr>
        <w:t xml:space="preserve"> účtování</w:t>
      </w:r>
      <w:r w:rsidR="00164E10" w:rsidRPr="00920634">
        <w:rPr>
          <w:rFonts w:asciiTheme="minorHAnsi" w:hAnsiTheme="minorHAnsi" w:cstheme="minorHAnsi"/>
        </w:rPr>
        <w:t xml:space="preserve"> zahraničních transferů v letech 2011–2014 </w:t>
      </w:r>
      <w:r w:rsidR="00164E10" w:rsidRPr="00920634">
        <w:rPr>
          <w:rFonts w:asciiTheme="minorHAnsi" w:hAnsiTheme="minorHAnsi" w:cstheme="minorHAnsi"/>
          <w:b/>
        </w:rPr>
        <w:t>byla nejednoznačn</w:t>
      </w:r>
      <w:r w:rsidR="00956D23">
        <w:rPr>
          <w:rFonts w:asciiTheme="minorHAnsi" w:hAnsiTheme="minorHAnsi" w:cstheme="minorHAnsi"/>
          <w:b/>
        </w:rPr>
        <w:t>ost</w:t>
      </w:r>
      <w:r w:rsidR="00164E10" w:rsidRPr="00920634">
        <w:rPr>
          <w:rFonts w:asciiTheme="minorHAnsi" w:hAnsiTheme="minorHAnsi" w:cstheme="minorHAnsi"/>
          <w:b/>
        </w:rPr>
        <w:t xml:space="preserve"> </w:t>
      </w:r>
      <w:r w:rsidR="00956D23">
        <w:rPr>
          <w:rFonts w:asciiTheme="minorHAnsi" w:hAnsiTheme="minorHAnsi" w:cstheme="minorHAnsi"/>
          <w:b/>
        </w:rPr>
        <w:t>českého účetního standardu</w:t>
      </w:r>
      <w:r w:rsidR="00164E10" w:rsidRPr="00920634">
        <w:rPr>
          <w:rFonts w:asciiTheme="minorHAnsi" w:hAnsiTheme="minorHAnsi" w:cstheme="minorHAnsi"/>
          <w:b/>
        </w:rPr>
        <w:t xml:space="preserve"> č.</w:t>
      </w:r>
      <w:r w:rsidR="007E28AF">
        <w:rPr>
          <w:rFonts w:asciiTheme="minorHAnsi" w:hAnsiTheme="minorHAnsi" w:cstheme="minorHAnsi"/>
          <w:b/>
        </w:rPr>
        <w:t> </w:t>
      </w:r>
      <w:r w:rsidR="00164E10" w:rsidRPr="00920634">
        <w:rPr>
          <w:rFonts w:asciiTheme="minorHAnsi" w:hAnsiTheme="minorHAnsi" w:cstheme="minorHAnsi"/>
          <w:b/>
        </w:rPr>
        <w:t xml:space="preserve">703 – </w:t>
      </w:r>
      <w:r w:rsidR="00164E10" w:rsidRPr="008D4CD3">
        <w:rPr>
          <w:rFonts w:asciiTheme="minorHAnsi" w:hAnsiTheme="minorHAnsi" w:cstheme="minorHAnsi"/>
          <w:b/>
          <w:i/>
        </w:rPr>
        <w:t>Transfery</w:t>
      </w:r>
      <w:r w:rsidR="00164E10" w:rsidRPr="00920634">
        <w:rPr>
          <w:rFonts w:asciiTheme="minorHAnsi" w:hAnsiTheme="minorHAnsi" w:cstheme="minorHAnsi"/>
          <w:b/>
        </w:rPr>
        <w:t>, kter</w:t>
      </w:r>
      <w:r w:rsidR="00956D23">
        <w:rPr>
          <w:rFonts w:asciiTheme="minorHAnsi" w:hAnsiTheme="minorHAnsi" w:cstheme="minorHAnsi"/>
          <w:b/>
        </w:rPr>
        <w:t>ý</w:t>
      </w:r>
      <w:r w:rsidR="00164E10" w:rsidRPr="00920634">
        <w:rPr>
          <w:rFonts w:asciiTheme="minorHAnsi" w:hAnsiTheme="minorHAnsi" w:cstheme="minorHAnsi"/>
          <w:b/>
        </w:rPr>
        <w:t xml:space="preserve"> </w:t>
      </w:r>
      <w:r w:rsidR="00956D23">
        <w:rPr>
          <w:rFonts w:asciiTheme="minorHAnsi" w:hAnsiTheme="minorHAnsi" w:cstheme="minorHAnsi"/>
          <w:b/>
        </w:rPr>
        <w:t>organizačním složkám státu umožňoval</w:t>
      </w:r>
      <w:r w:rsidR="00164E10" w:rsidRPr="00920634">
        <w:rPr>
          <w:rFonts w:asciiTheme="minorHAnsi" w:hAnsiTheme="minorHAnsi" w:cstheme="minorHAnsi"/>
          <w:b/>
        </w:rPr>
        <w:t xml:space="preserve"> zásadně odlišn</w:t>
      </w:r>
      <w:r w:rsidR="00956D23">
        <w:rPr>
          <w:rFonts w:asciiTheme="minorHAnsi" w:hAnsiTheme="minorHAnsi" w:cstheme="minorHAnsi"/>
          <w:b/>
        </w:rPr>
        <w:t>ou</w:t>
      </w:r>
      <w:r w:rsidR="00164E10" w:rsidRPr="00920634">
        <w:rPr>
          <w:rFonts w:asciiTheme="minorHAnsi" w:hAnsiTheme="minorHAnsi" w:cstheme="minorHAnsi"/>
          <w:b/>
        </w:rPr>
        <w:t xml:space="preserve"> aplikaci </w:t>
      </w:r>
      <w:r w:rsidR="00956D23">
        <w:rPr>
          <w:rFonts w:asciiTheme="minorHAnsi" w:hAnsiTheme="minorHAnsi" w:cstheme="minorHAnsi"/>
          <w:b/>
        </w:rPr>
        <w:t>některých svých ustanovení.</w:t>
      </w:r>
      <w:r w:rsidR="00D5264D" w:rsidRPr="00920634">
        <w:rPr>
          <w:rStyle w:val="Znakapoznpodarou"/>
          <w:rFonts w:asciiTheme="minorHAnsi" w:hAnsiTheme="minorHAnsi" w:cstheme="minorHAnsi"/>
        </w:rPr>
        <w:footnoteReference w:id="61"/>
      </w:r>
    </w:p>
    <w:p w14:paraId="50E20385" w14:textId="77777777" w:rsidR="007422EE" w:rsidRPr="00920634" w:rsidRDefault="007422EE" w:rsidP="00114439">
      <w:pPr>
        <w:jc w:val="both"/>
        <w:rPr>
          <w:rFonts w:asciiTheme="minorHAnsi" w:hAnsiTheme="minorHAnsi" w:cstheme="minorHAnsi"/>
          <w:b/>
        </w:rPr>
      </w:pPr>
    </w:p>
    <w:p w14:paraId="061A58C4" w14:textId="4C71C80A" w:rsidR="00FD0B9F" w:rsidRDefault="006F151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U MŠMT byly tyto údaje současně </w:t>
      </w:r>
      <w:r w:rsidR="00164E10" w:rsidRPr="00920634">
        <w:rPr>
          <w:rFonts w:asciiTheme="minorHAnsi" w:hAnsiTheme="minorHAnsi" w:cstheme="minorHAnsi"/>
          <w:b/>
        </w:rPr>
        <w:t>ne</w:t>
      </w:r>
      <w:r w:rsidR="00FD0B9F" w:rsidRPr="00920634">
        <w:rPr>
          <w:rFonts w:asciiTheme="minorHAnsi" w:hAnsiTheme="minorHAnsi" w:cstheme="minorHAnsi"/>
          <w:b/>
        </w:rPr>
        <w:t>por</w:t>
      </w:r>
      <w:r w:rsidR="00164E10" w:rsidRPr="00920634">
        <w:rPr>
          <w:rFonts w:asciiTheme="minorHAnsi" w:hAnsiTheme="minorHAnsi" w:cstheme="minorHAnsi"/>
          <w:b/>
        </w:rPr>
        <w:t>ovnatelné</w:t>
      </w:r>
      <w:r w:rsidRPr="00920634">
        <w:rPr>
          <w:rFonts w:asciiTheme="minorHAnsi" w:hAnsiTheme="minorHAnsi" w:cstheme="minorHAnsi"/>
          <w:b/>
        </w:rPr>
        <w:t xml:space="preserve"> </w:t>
      </w:r>
      <w:r w:rsidR="008F18DC" w:rsidRPr="00920634">
        <w:rPr>
          <w:rFonts w:asciiTheme="minorHAnsi" w:hAnsiTheme="minorHAnsi" w:cstheme="minorHAnsi"/>
          <w:b/>
        </w:rPr>
        <w:t xml:space="preserve">i </w:t>
      </w:r>
      <w:r w:rsidR="008D073A">
        <w:rPr>
          <w:rFonts w:asciiTheme="minorHAnsi" w:hAnsiTheme="minorHAnsi" w:cstheme="minorHAnsi"/>
          <w:b/>
        </w:rPr>
        <w:t>v </w:t>
      </w:r>
      <w:r w:rsidRPr="00920634">
        <w:rPr>
          <w:rFonts w:asciiTheme="minorHAnsi" w:hAnsiTheme="minorHAnsi" w:cstheme="minorHAnsi"/>
          <w:b/>
        </w:rPr>
        <w:t>č</w:t>
      </w:r>
      <w:r w:rsidR="007A3486" w:rsidRPr="00920634">
        <w:rPr>
          <w:rFonts w:asciiTheme="minorHAnsi" w:hAnsiTheme="minorHAnsi" w:cstheme="minorHAnsi"/>
          <w:b/>
        </w:rPr>
        <w:t>asové řad</w:t>
      </w:r>
      <w:r w:rsidRPr="00920634">
        <w:rPr>
          <w:rFonts w:asciiTheme="minorHAnsi" w:hAnsiTheme="minorHAnsi" w:cstheme="minorHAnsi"/>
          <w:b/>
        </w:rPr>
        <w:t>ě</w:t>
      </w:r>
      <w:r w:rsidR="00FD0B9F" w:rsidRPr="00920634">
        <w:rPr>
          <w:rFonts w:asciiTheme="minorHAnsi" w:hAnsiTheme="minorHAnsi" w:cstheme="minorHAnsi"/>
          <w:b/>
        </w:rPr>
        <w:t xml:space="preserve"> let 2009–2015</w:t>
      </w:r>
      <w:r w:rsidR="00164E10" w:rsidRPr="008D4CD3">
        <w:rPr>
          <w:rFonts w:asciiTheme="minorHAnsi" w:hAnsiTheme="minorHAnsi" w:cstheme="minorHAnsi"/>
          <w:b/>
        </w:rPr>
        <w:t>.</w:t>
      </w:r>
      <w:r w:rsidR="00164E10" w:rsidRPr="00920634">
        <w:rPr>
          <w:rFonts w:asciiTheme="minorHAnsi" w:hAnsiTheme="minorHAnsi" w:cstheme="minorHAnsi"/>
        </w:rPr>
        <w:t xml:space="preserve"> </w:t>
      </w:r>
      <w:r w:rsidR="00FD0B9F" w:rsidRPr="00920634">
        <w:rPr>
          <w:rFonts w:asciiTheme="minorHAnsi" w:hAnsiTheme="minorHAnsi" w:cstheme="minorHAnsi"/>
        </w:rPr>
        <w:t xml:space="preserve">Důvodem </w:t>
      </w:r>
      <w:r w:rsidRPr="00920634">
        <w:rPr>
          <w:rFonts w:asciiTheme="minorHAnsi" w:hAnsiTheme="minorHAnsi" w:cstheme="minorHAnsi"/>
        </w:rPr>
        <w:t xml:space="preserve">bylo zejména to, </w:t>
      </w:r>
      <w:r w:rsidR="00FD0B9F" w:rsidRPr="00920634">
        <w:rPr>
          <w:rFonts w:asciiTheme="minorHAnsi" w:hAnsiTheme="minorHAnsi" w:cstheme="minorHAnsi"/>
        </w:rPr>
        <w:t xml:space="preserve">že MŠMT v daném období dvakrát zásadně </w:t>
      </w:r>
      <w:r w:rsidR="007A3486" w:rsidRPr="00920634">
        <w:rPr>
          <w:rFonts w:asciiTheme="minorHAnsi" w:hAnsiTheme="minorHAnsi" w:cstheme="minorHAnsi"/>
        </w:rPr>
        <w:t>z</w:t>
      </w:r>
      <w:r w:rsidR="00FD0B9F" w:rsidRPr="00920634">
        <w:rPr>
          <w:rFonts w:asciiTheme="minorHAnsi" w:hAnsiTheme="minorHAnsi" w:cstheme="minorHAnsi"/>
        </w:rPr>
        <w:t>měnilo svo</w:t>
      </w:r>
      <w:r w:rsidR="007A3486" w:rsidRPr="00920634">
        <w:rPr>
          <w:rFonts w:asciiTheme="minorHAnsi" w:hAnsiTheme="minorHAnsi" w:cstheme="minorHAnsi"/>
        </w:rPr>
        <w:t>ji</w:t>
      </w:r>
      <w:r w:rsidR="00FD0B9F" w:rsidRPr="00920634">
        <w:rPr>
          <w:rFonts w:asciiTheme="minorHAnsi" w:hAnsiTheme="minorHAnsi" w:cstheme="minorHAnsi"/>
        </w:rPr>
        <w:t xml:space="preserve"> roli při poskytování transfer</w:t>
      </w:r>
      <w:r w:rsidR="008F18DC">
        <w:rPr>
          <w:rFonts w:asciiTheme="minorHAnsi" w:hAnsiTheme="minorHAnsi" w:cstheme="minorHAnsi"/>
        </w:rPr>
        <w:t>ů</w:t>
      </w:r>
      <w:r w:rsidR="00FD0B9F" w:rsidRPr="00920634">
        <w:rPr>
          <w:rFonts w:asciiTheme="minorHAnsi" w:hAnsiTheme="minorHAnsi" w:cstheme="minorHAnsi"/>
        </w:rPr>
        <w:t xml:space="preserve"> spolufinancovan</w:t>
      </w:r>
      <w:r w:rsidR="008F18DC">
        <w:rPr>
          <w:rFonts w:asciiTheme="minorHAnsi" w:hAnsiTheme="minorHAnsi" w:cstheme="minorHAnsi"/>
        </w:rPr>
        <w:t>ých</w:t>
      </w:r>
      <w:r w:rsidR="00FD0B9F" w:rsidRPr="00920634">
        <w:rPr>
          <w:rFonts w:asciiTheme="minorHAnsi" w:hAnsiTheme="minorHAnsi" w:cstheme="minorHAnsi"/>
        </w:rPr>
        <w:t xml:space="preserve"> ze zahraničí (</w:t>
      </w:r>
      <w:r w:rsidR="007A3486" w:rsidRPr="00920634">
        <w:rPr>
          <w:rFonts w:asciiTheme="minorHAnsi" w:hAnsiTheme="minorHAnsi" w:cstheme="minorHAnsi"/>
        </w:rPr>
        <w:t xml:space="preserve">v roce </w:t>
      </w:r>
      <w:r w:rsidR="00FD0B9F" w:rsidRPr="00920634">
        <w:rPr>
          <w:rFonts w:asciiTheme="minorHAnsi" w:hAnsiTheme="minorHAnsi" w:cstheme="minorHAnsi"/>
        </w:rPr>
        <w:t>2011</w:t>
      </w:r>
      <w:r w:rsidR="007A3486" w:rsidRPr="00920634">
        <w:rPr>
          <w:rFonts w:asciiTheme="minorHAnsi" w:hAnsiTheme="minorHAnsi" w:cstheme="minorHAnsi"/>
        </w:rPr>
        <w:t xml:space="preserve"> a </w:t>
      </w:r>
      <w:r w:rsidR="008D073A">
        <w:rPr>
          <w:rFonts w:asciiTheme="minorHAnsi" w:hAnsiTheme="minorHAnsi" w:cstheme="minorHAnsi"/>
        </w:rPr>
        <w:t>v </w:t>
      </w:r>
      <w:r w:rsidR="007A3486" w:rsidRPr="00920634">
        <w:rPr>
          <w:rFonts w:asciiTheme="minorHAnsi" w:hAnsiTheme="minorHAnsi" w:cstheme="minorHAnsi"/>
        </w:rPr>
        <w:t>roce</w:t>
      </w:r>
      <w:r w:rsidR="00FD0B9F" w:rsidRPr="00920634">
        <w:rPr>
          <w:rFonts w:asciiTheme="minorHAnsi" w:hAnsiTheme="minorHAnsi" w:cstheme="minorHAnsi"/>
        </w:rPr>
        <w:t xml:space="preserve"> 2015)</w:t>
      </w:r>
      <w:r w:rsidR="008F18DC">
        <w:rPr>
          <w:rFonts w:asciiTheme="minorHAnsi" w:hAnsiTheme="minorHAnsi" w:cstheme="minorHAnsi"/>
        </w:rPr>
        <w:t>,</w:t>
      </w:r>
      <w:r w:rsidR="00FD0B9F" w:rsidRPr="00920634">
        <w:rPr>
          <w:rFonts w:asciiTheme="minorHAnsi" w:hAnsiTheme="minorHAnsi" w:cstheme="minorHAnsi"/>
        </w:rPr>
        <w:t xml:space="preserve"> </w:t>
      </w:r>
      <w:r w:rsidR="008F18DC">
        <w:rPr>
          <w:rFonts w:asciiTheme="minorHAnsi" w:hAnsiTheme="minorHAnsi" w:cstheme="minorHAnsi"/>
        </w:rPr>
        <w:t>což mělo vliv</w:t>
      </w:r>
      <w:r w:rsidR="00B27AF2" w:rsidRPr="00920634">
        <w:rPr>
          <w:rFonts w:asciiTheme="minorHAnsi" w:hAnsiTheme="minorHAnsi" w:cstheme="minorHAnsi"/>
        </w:rPr>
        <w:t xml:space="preserve"> </w:t>
      </w:r>
      <w:r w:rsidR="00FD0B9F" w:rsidRPr="00920634">
        <w:rPr>
          <w:rFonts w:asciiTheme="minorHAnsi" w:hAnsiTheme="minorHAnsi" w:cstheme="minorHAnsi"/>
        </w:rPr>
        <w:t>i</w:t>
      </w:r>
      <w:r w:rsidR="007E28AF">
        <w:rPr>
          <w:rFonts w:asciiTheme="minorHAnsi" w:hAnsiTheme="minorHAnsi" w:cstheme="minorHAnsi"/>
        </w:rPr>
        <w:t> </w:t>
      </w:r>
      <w:r w:rsidR="008F18DC">
        <w:rPr>
          <w:rFonts w:asciiTheme="minorHAnsi" w:hAnsiTheme="minorHAnsi" w:cstheme="minorHAnsi"/>
        </w:rPr>
        <w:t xml:space="preserve">na </w:t>
      </w:r>
      <w:r w:rsidR="00FD0B9F" w:rsidRPr="00920634">
        <w:rPr>
          <w:rFonts w:asciiTheme="minorHAnsi" w:hAnsiTheme="minorHAnsi" w:cstheme="minorHAnsi"/>
        </w:rPr>
        <w:t>údaje v</w:t>
      </w:r>
      <w:r w:rsidR="007A3486" w:rsidRPr="00920634">
        <w:rPr>
          <w:rFonts w:asciiTheme="minorHAnsi" w:hAnsiTheme="minorHAnsi" w:cstheme="minorHAnsi"/>
        </w:rPr>
        <w:t>ykázané v</w:t>
      </w:r>
      <w:r w:rsidR="00FD0B9F" w:rsidRPr="00920634">
        <w:rPr>
          <w:rFonts w:asciiTheme="minorHAnsi" w:hAnsiTheme="minorHAnsi" w:cstheme="minorHAnsi"/>
        </w:rPr>
        <w:t xml:space="preserve"> účetních závěrkách. </w:t>
      </w:r>
    </w:p>
    <w:p w14:paraId="6E11D64E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5323A5A5" w14:textId="13EDA943" w:rsidR="00E87033" w:rsidRPr="00920634" w:rsidRDefault="008D073A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</w:t>
      </w:r>
      <w:r w:rsidR="00F86276" w:rsidRPr="00920634">
        <w:rPr>
          <w:rFonts w:asciiTheme="minorHAnsi" w:hAnsiTheme="minorHAnsi" w:cstheme="minorHAnsi"/>
        </w:rPr>
        <w:t xml:space="preserve">účinností od 1. </w:t>
      </w:r>
      <w:r w:rsidR="00D718A5" w:rsidRPr="00920634">
        <w:rPr>
          <w:rFonts w:asciiTheme="minorHAnsi" w:hAnsiTheme="minorHAnsi" w:cstheme="minorHAnsi"/>
        </w:rPr>
        <w:t>ledna</w:t>
      </w:r>
      <w:r w:rsidR="00F86276" w:rsidRPr="00920634">
        <w:rPr>
          <w:rFonts w:asciiTheme="minorHAnsi" w:hAnsiTheme="minorHAnsi" w:cstheme="minorHAnsi"/>
        </w:rPr>
        <w:t xml:space="preserve"> 2015 byla novelizována vyhláška č. 410/2009 Sb. a ČÚS</w:t>
      </w:r>
      <w:r w:rsidR="007422EE">
        <w:rPr>
          <w:rFonts w:asciiTheme="minorHAnsi" w:hAnsiTheme="minorHAnsi" w:cstheme="minorHAnsi"/>
        </w:rPr>
        <w:t xml:space="preserve"> </w:t>
      </w:r>
      <w:r w:rsidR="007422EE">
        <w:rPr>
          <w:rFonts w:asciiTheme="minorHAnsi" w:hAnsiTheme="minorHAnsi" w:cstheme="minorHAnsi"/>
        </w:rPr>
        <w:br/>
      </w:r>
      <w:r w:rsidR="00F86276" w:rsidRPr="00920634">
        <w:rPr>
          <w:rFonts w:asciiTheme="minorHAnsi" w:hAnsiTheme="minorHAnsi" w:cstheme="minorHAnsi"/>
        </w:rPr>
        <w:t xml:space="preserve">č. 703 – </w:t>
      </w:r>
      <w:r w:rsidR="00F86276" w:rsidRPr="008D4CD3">
        <w:rPr>
          <w:rFonts w:asciiTheme="minorHAnsi" w:hAnsiTheme="minorHAnsi" w:cstheme="minorHAnsi"/>
          <w:i/>
        </w:rPr>
        <w:t>Transfery</w:t>
      </w:r>
      <w:r w:rsidR="00F86276" w:rsidRPr="00920634">
        <w:rPr>
          <w:rFonts w:asciiTheme="minorHAnsi" w:hAnsiTheme="minorHAnsi" w:cstheme="minorHAnsi"/>
        </w:rPr>
        <w:t>. Na základě výsledku kontrol</w:t>
      </w:r>
      <w:r w:rsidR="003476A1" w:rsidRPr="00920634">
        <w:rPr>
          <w:rFonts w:asciiTheme="minorHAnsi" w:hAnsiTheme="minorHAnsi" w:cstheme="minorHAnsi"/>
        </w:rPr>
        <w:t>y</w:t>
      </w:r>
      <w:r w:rsidR="00F86276" w:rsidRPr="00920634">
        <w:rPr>
          <w:rFonts w:asciiTheme="minorHAnsi" w:hAnsiTheme="minorHAnsi" w:cstheme="minorHAnsi"/>
        </w:rPr>
        <w:t xml:space="preserve"> zastává NKÚ názor, že novelou </w:t>
      </w:r>
      <w:r w:rsidR="003476A1" w:rsidRPr="00920634">
        <w:rPr>
          <w:rFonts w:asciiTheme="minorHAnsi" w:hAnsiTheme="minorHAnsi" w:cstheme="minorHAnsi"/>
        </w:rPr>
        <w:t>byla odstraněna</w:t>
      </w:r>
      <w:r w:rsidR="00F86276" w:rsidRPr="00920634">
        <w:rPr>
          <w:rFonts w:asciiTheme="minorHAnsi" w:hAnsiTheme="minorHAnsi" w:cstheme="minorHAnsi"/>
        </w:rPr>
        <w:t xml:space="preserve"> základní nejednoznačnost ohledně role, kterou </w:t>
      </w:r>
      <w:r w:rsidR="008F18DC" w:rsidRPr="00920634">
        <w:rPr>
          <w:rFonts w:asciiTheme="minorHAnsi" w:hAnsiTheme="minorHAnsi" w:cstheme="minorHAnsi"/>
        </w:rPr>
        <w:t xml:space="preserve">měly </w:t>
      </w:r>
      <w:r w:rsidR="00F86276" w:rsidRPr="00920634">
        <w:rPr>
          <w:rFonts w:asciiTheme="minorHAnsi" w:hAnsiTheme="minorHAnsi" w:cstheme="minorHAnsi"/>
        </w:rPr>
        <w:t xml:space="preserve">OSS </w:t>
      </w:r>
      <w:r w:rsidR="008F18DC" w:rsidRPr="00920634">
        <w:rPr>
          <w:rFonts w:asciiTheme="minorHAnsi" w:hAnsiTheme="minorHAnsi" w:cstheme="minorHAnsi"/>
        </w:rPr>
        <w:t xml:space="preserve">v letech 2010–2014 </w:t>
      </w:r>
      <w:r w:rsidR="00F86276" w:rsidRPr="00920634">
        <w:rPr>
          <w:rFonts w:asciiTheme="minorHAnsi" w:hAnsiTheme="minorHAnsi" w:cstheme="minorHAnsi"/>
        </w:rPr>
        <w:t xml:space="preserve">při poskytování a přijímání prostředků spolufinancovaných ze zahraničí </w:t>
      </w:r>
      <w:r>
        <w:rPr>
          <w:rFonts w:asciiTheme="minorHAnsi" w:hAnsiTheme="minorHAnsi" w:cstheme="minorHAnsi"/>
        </w:rPr>
        <w:t>v </w:t>
      </w:r>
      <w:r w:rsidR="00F86276" w:rsidRPr="00920634">
        <w:rPr>
          <w:rFonts w:asciiTheme="minorHAnsi" w:hAnsiTheme="minorHAnsi" w:cstheme="minorHAnsi"/>
        </w:rPr>
        <w:t>případě předfinancov</w:t>
      </w:r>
      <w:r w:rsidR="008F18DC">
        <w:rPr>
          <w:rFonts w:asciiTheme="minorHAnsi" w:hAnsiTheme="minorHAnsi" w:cstheme="minorHAnsi"/>
        </w:rPr>
        <w:t>ání těchto</w:t>
      </w:r>
      <w:r w:rsidR="00F86276" w:rsidRPr="00920634">
        <w:rPr>
          <w:rFonts w:asciiTheme="minorHAnsi" w:hAnsiTheme="minorHAnsi" w:cstheme="minorHAnsi"/>
        </w:rPr>
        <w:t xml:space="preserve"> </w:t>
      </w:r>
      <w:r w:rsidR="008F18DC" w:rsidRPr="00920634">
        <w:rPr>
          <w:rFonts w:asciiTheme="minorHAnsi" w:hAnsiTheme="minorHAnsi" w:cstheme="minorHAnsi"/>
        </w:rPr>
        <w:t xml:space="preserve">prostředků </w:t>
      </w:r>
      <w:r w:rsidR="00F86276" w:rsidRPr="00920634">
        <w:rPr>
          <w:rFonts w:asciiTheme="minorHAnsi" w:hAnsiTheme="minorHAnsi" w:cstheme="minorHAnsi"/>
        </w:rPr>
        <w:t xml:space="preserve">ze státního rozpočtu. </w:t>
      </w:r>
      <w:r w:rsidR="00E87033" w:rsidRPr="00920634">
        <w:rPr>
          <w:rFonts w:asciiTheme="minorHAnsi" w:hAnsiTheme="minorHAnsi" w:cstheme="minorHAnsi"/>
        </w:rPr>
        <w:t xml:space="preserve">I když lze nadále vést odborné diskuse o tom, zda prostředky z fondů EU poskytované </w:t>
      </w:r>
      <w:r w:rsidR="008F18DC">
        <w:rPr>
          <w:rFonts w:asciiTheme="minorHAnsi" w:hAnsiTheme="minorHAnsi" w:cstheme="minorHAnsi"/>
        </w:rPr>
        <w:t xml:space="preserve">organizační složkou státu </w:t>
      </w:r>
      <w:r w:rsidR="00E87033" w:rsidRPr="00920634">
        <w:rPr>
          <w:rFonts w:asciiTheme="minorHAnsi" w:hAnsiTheme="minorHAnsi" w:cstheme="minorHAnsi"/>
        </w:rPr>
        <w:t xml:space="preserve">v rámci sdílené odpovědnosti s Evropskou komisí je vhodnější </w:t>
      </w:r>
      <w:r w:rsidR="00DC4202" w:rsidRPr="00920634">
        <w:rPr>
          <w:rFonts w:asciiTheme="minorHAnsi" w:hAnsiTheme="minorHAnsi" w:cstheme="minorHAnsi"/>
        </w:rPr>
        <w:t>zobrazovat</w:t>
      </w:r>
      <w:r w:rsidR="00E87033" w:rsidRPr="00920634">
        <w:rPr>
          <w:rFonts w:asciiTheme="minorHAnsi" w:hAnsiTheme="minorHAnsi" w:cstheme="minorHAnsi"/>
        </w:rPr>
        <w:t xml:space="preserve"> v roli poskytovatele transferu nebo zprostředkovatele</w:t>
      </w:r>
      <w:r w:rsidR="007422EE">
        <w:rPr>
          <w:rFonts w:asciiTheme="minorHAnsi" w:hAnsiTheme="minorHAnsi" w:cstheme="minorHAnsi"/>
        </w:rPr>
        <w:t xml:space="preserve"> </w:t>
      </w:r>
      <w:r w:rsidR="00E87033" w:rsidRPr="00920634">
        <w:rPr>
          <w:rFonts w:asciiTheme="minorHAnsi" w:hAnsiTheme="minorHAnsi" w:cstheme="minorHAnsi"/>
        </w:rPr>
        <w:t>(tj.</w:t>
      </w:r>
      <w:r w:rsidR="007422EE">
        <w:rPr>
          <w:rFonts w:asciiTheme="minorHAnsi" w:hAnsiTheme="minorHAnsi" w:cstheme="minorHAnsi"/>
        </w:rPr>
        <w:t> </w:t>
      </w:r>
      <w:r w:rsidR="00FA1DC2" w:rsidRPr="00920634">
        <w:rPr>
          <w:rFonts w:asciiTheme="minorHAnsi" w:hAnsiTheme="minorHAnsi" w:cstheme="minorHAnsi"/>
        </w:rPr>
        <w:t xml:space="preserve">výsledkově nebo bez účtů nákladů a výnosů), </w:t>
      </w:r>
      <w:r w:rsidR="00FA1DC2" w:rsidRPr="00920634">
        <w:rPr>
          <w:rFonts w:asciiTheme="minorHAnsi" w:hAnsiTheme="minorHAnsi" w:cstheme="minorHAnsi"/>
          <w:b/>
        </w:rPr>
        <w:t>od</w:t>
      </w:r>
      <w:r w:rsidR="00F86276" w:rsidRPr="00920634">
        <w:rPr>
          <w:rFonts w:asciiTheme="minorHAnsi" w:hAnsiTheme="minorHAnsi" w:cstheme="minorHAnsi"/>
          <w:b/>
        </w:rPr>
        <w:t xml:space="preserve"> 1.</w:t>
      </w:r>
      <w:r w:rsidR="008F18DC">
        <w:rPr>
          <w:rFonts w:asciiTheme="minorHAnsi" w:hAnsiTheme="minorHAnsi" w:cstheme="minorHAnsi"/>
          <w:b/>
        </w:rPr>
        <w:t> </w:t>
      </w:r>
      <w:r w:rsidR="00D718A5" w:rsidRPr="00920634">
        <w:rPr>
          <w:rFonts w:asciiTheme="minorHAnsi" w:hAnsiTheme="minorHAnsi" w:cstheme="minorHAnsi"/>
          <w:b/>
        </w:rPr>
        <w:t>ledna</w:t>
      </w:r>
      <w:r w:rsidR="00F86276" w:rsidRPr="00920634">
        <w:rPr>
          <w:rFonts w:asciiTheme="minorHAnsi" w:hAnsiTheme="minorHAnsi" w:cstheme="minorHAnsi"/>
          <w:b/>
        </w:rPr>
        <w:t xml:space="preserve"> 2015 je zřejmé, že OSS předfinancované prostředky poskytují v roli poskytovatele ve smyslu Č</w:t>
      </w:r>
      <w:r w:rsidR="00021329" w:rsidRPr="00920634">
        <w:rPr>
          <w:rFonts w:asciiTheme="minorHAnsi" w:hAnsiTheme="minorHAnsi" w:cstheme="minorHAnsi"/>
          <w:b/>
        </w:rPr>
        <w:t>Ú</w:t>
      </w:r>
      <w:r w:rsidR="00F86276" w:rsidRPr="00920634">
        <w:rPr>
          <w:rFonts w:asciiTheme="minorHAnsi" w:hAnsiTheme="minorHAnsi" w:cstheme="minorHAnsi"/>
          <w:b/>
        </w:rPr>
        <w:t>S</w:t>
      </w:r>
      <w:r w:rsidR="007422EE">
        <w:rPr>
          <w:rFonts w:asciiTheme="minorHAnsi" w:hAnsiTheme="minorHAnsi" w:cstheme="minorHAnsi"/>
          <w:b/>
        </w:rPr>
        <w:t xml:space="preserve"> </w:t>
      </w:r>
      <w:r w:rsidR="00F86276" w:rsidRPr="00920634">
        <w:rPr>
          <w:rFonts w:asciiTheme="minorHAnsi" w:hAnsiTheme="minorHAnsi" w:cstheme="minorHAnsi"/>
          <w:b/>
        </w:rPr>
        <w:t xml:space="preserve">č. 703 – </w:t>
      </w:r>
      <w:r w:rsidR="00F86276" w:rsidRPr="008D4CD3">
        <w:rPr>
          <w:rFonts w:asciiTheme="minorHAnsi" w:hAnsiTheme="minorHAnsi" w:cstheme="minorHAnsi"/>
          <w:b/>
          <w:i/>
        </w:rPr>
        <w:t>Transfery</w:t>
      </w:r>
      <w:r w:rsidR="00F86276" w:rsidRPr="00920634">
        <w:rPr>
          <w:rFonts w:asciiTheme="minorHAnsi" w:hAnsiTheme="minorHAnsi" w:cstheme="minorHAnsi"/>
          <w:b/>
        </w:rPr>
        <w:t>.</w:t>
      </w:r>
    </w:p>
    <w:p w14:paraId="2C438E2F" w14:textId="77777777" w:rsidR="007422EE" w:rsidRDefault="007422EE" w:rsidP="00114439">
      <w:pPr>
        <w:jc w:val="both"/>
        <w:rPr>
          <w:rFonts w:asciiTheme="minorHAnsi" w:hAnsiTheme="minorHAnsi" w:cstheme="minorHAnsi"/>
        </w:rPr>
      </w:pPr>
    </w:p>
    <w:p w14:paraId="652F8A03" w14:textId="308EBBC7" w:rsidR="001C017E" w:rsidRDefault="00D5264D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Změna účetní</w:t>
      </w:r>
      <w:r w:rsidR="0074225B" w:rsidRPr="00920634">
        <w:rPr>
          <w:rFonts w:asciiTheme="minorHAnsi" w:hAnsiTheme="minorHAnsi" w:cstheme="minorHAnsi"/>
        </w:rPr>
        <w:t xml:space="preserve"> </w:t>
      </w:r>
      <w:r w:rsidR="003476A1" w:rsidRPr="00920634">
        <w:rPr>
          <w:rFonts w:asciiTheme="minorHAnsi" w:hAnsiTheme="minorHAnsi" w:cstheme="minorHAnsi"/>
        </w:rPr>
        <w:t xml:space="preserve">regulace </w:t>
      </w:r>
      <w:r w:rsidRPr="00920634">
        <w:rPr>
          <w:rFonts w:asciiTheme="minorHAnsi" w:hAnsiTheme="minorHAnsi" w:cstheme="minorHAnsi"/>
        </w:rPr>
        <w:t xml:space="preserve">od 1. </w:t>
      </w:r>
      <w:r w:rsidR="00D718A5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 </w:t>
      </w:r>
      <w:r w:rsidR="00457874" w:rsidRPr="00920634">
        <w:rPr>
          <w:rFonts w:asciiTheme="minorHAnsi" w:hAnsiTheme="minorHAnsi" w:cstheme="minorHAnsi"/>
        </w:rPr>
        <w:t xml:space="preserve">měla </w:t>
      </w:r>
      <w:r w:rsidRPr="00920634">
        <w:rPr>
          <w:rFonts w:asciiTheme="minorHAnsi" w:hAnsiTheme="minorHAnsi" w:cstheme="minorHAnsi"/>
        </w:rPr>
        <w:t>zásadní dopad zejména na údaje účetní závěrky MŠMT, které k tomuto datu – na rozdíl od MZe –</w:t>
      </w:r>
      <w:r w:rsidR="008D073A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muselo změnit svou roli. </w:t>
      </w:r>
      <w:r w:rsidR="006E07CE" w:rsidRPr="00920634">
        <w:rPr>
          <w:rFonts w:asciiTheme="minorHAnsi" w:hAnsiTheme="minorHAnsi" w:cstheme="minorHAnsi"/>
        </w:rPr>
        <w:t xml:space="preserve">MŠMT vlivem této změny navýšilo v roce 2015 ve srovnání s rokem 2014 skokově svá aktiva o více </w:t>
      </w:r>
      <w:r w:rsidR="006E07CE" w:rsidRPr="00920634">
        <w:rPr>
          <w:rFonts w:asciiTheme="minorHAnsi" w:hAnsiTheme="minorHAnsi" w:cstheme="minorHAnsi"/>
        </w:rPr>
        <w:lastRenderedPageBreak/>
        <w:t xml:space="preserve">než 54 mld. </w:t>
      </w:r>
      <w:r w:rsidR="00021329" w:rsidRPr="00920634">
        <w:rPr>
          <w:rFonts w:asciiTheme="minorHAnsi" w:hAnsiTheme="minorHAnsi" w:cstheme="minorHAnsi"/>
        </w:rPr>
        <w:t xml:space="preserve">Kč </w:t>
      </w:r>
      <w:r w:rsidR="006E07CE" w:rsidRPr="00920634">
        <w:rPr>
          <w:rFonts w:asciiTheme="minorHAnsi" w:hAnsiTheme="minorHAnsi" w:cstheme="minorHAnsi"/>
        </w:rPr>
        <w:t>z titulu vykázání záloh poskytnutých na transfery a o 65 mld. Kč navýšilo v pasivech závazky charakteru dohadných účtů pasivních</w:t>
      </w:r>
      <w:r w:rsidR="004E20EA">
        <w:rPr>
          <w:rStyle w:val="Znakapoznpodarou"/>
          <w:rFonts w:asciiTheme="minorHAnsi" w:hAnsiTheme="minorHAnsi" w:cstheme="minorHAnsi"/>
        </w:rPr>
        <w:footnoteReference w:id="62"/>
      </w:r>
      <w:r w:rsidR="00FF37E9">
        <w:rPr>
          <w:rFonts w:asciiTheme="minorHAnsi" w:hAnsiTheme="minorHAnsi" w:cstheme="minorHAnsi"/>
        </w:rPr>
        <w:t xml:space="preserve">. </w:t>
      </w:r>
    </w:p>
    <w:p w14:paraId="36B260B0" w14:textId="77777777" w:rsidR="007422EE" w:rsidRPr="00FF37E9" w:rsidRDefault="007422EE" w:rsidP="00114439">
      <w:pPr>
        <w:jc w:val="both"/>
        <w:rPr>
          <w:rFonts w:asciiTheme="minorHAnsi" w:hAnsiTheme="minorHAnsi" w:cstheme="minorHAnsi"/>
        </w:rPr>
      </w:pPr>
    </w:p>
    <w:p w14:paraId="028D2618" w14:textId="07DDDAF1" w:rsidR="007B3A50" w:rsidRDefault="00E1169C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</w:rPr>
        <w:t xml:space="preserve">Přetrvávajícím problémem v oblasti srovnatelnosti údajů je způsob vykázání údajů v případě </w:t>
      </w:r>
      <w:r w:rsidR="008E6C05" w:rsidRPr="00920634">
        <w:rPr>
          <w:rFonts w:asciiTheme="minorHAnsi" w:hAnsiTheme="minorHAnsi" w:cstheme="minorHAnsi"/>
        </w:rPr>
        <w:t>změny účetních předpisů, která má za následek významné změny údajů mezi obdobím</w:t>
      </w:r>
      <w:r w:rsidR="003A1C3B" w:rsidRPr="00920634">
        <w:rPr>
          <w:rFonts w:asciiTheme="minorHAnsi" w:hAnsiTheme="minorHAnsi" w:cstheme="minorHAnsi"/>
        </w:rPr>
        <w:t>i</w:t>
      </w:r>
      <w:r w:rsidR="008E6C05" w:rsidRPr="00920634">
        <w:rPr>
          <w:rFonts w:asciiTheme="minorHAnsi" w:hAnsiTheme="minorHAnsi" w:cstheme="minorHAnsi"/>
        </w:rPr>
        <w:t>.</w:t>
      </w:r>
      <w:r w:rsidR="008D073A">
        <w:rPr>
          <w:rFonts w:asciiTheme="minorHAnsi" w:hAnsiTheme="minorHAnsi" w:cstheme="minorHAnsi"/>
        </w:rPr>
        <w:t xml:space="preserve"> </w:t>
      </w:r>
      <w:r w:rsidR="00364C4F" w:rsidRPr="00920634">
        <w:rPr>
          <w:rFonts w:asciiTheme="minorHAnsi" w:hAnsiTheme="minorHAnsi" w:cstheme="minorHAnsi"/>
          <w:b/>
        </w:rPr>
        <w:t>Účetní předpisy totiž problematiku úpravy údajů</w:t>
      </w:r>
      <w:r w:rsidR="009D4AA1">
        <w:rPr>
          <w:rFonts w:asciiTheme="minorHAnsi" w:hAnsiTheme="minorHAnsi" w:cstheme="minorHAnsi"/>
          <w:b/>
        </w:rPr>
        <w:t xml:space="preserve"> výkazů účetní závěrky</w:t>
      </w:r>
      <w:r w:rsidR="00364C4F" w:rsidRPr="00920634">
        <w:rPr>
          <w:rFonts w:asciiTheme="minorHAnsi" w:hAnsiTheme="minorHAnsi" w:cstheme="minorHAnsi"/>
          <w:b/>
        </w:rPr>
        <w:t xml:space="preserve"> ve sloupcích za „minulé“ období explicitně neupravují, což dle názoru NKÚ představuje systémové riziko pro </w:t>
      </w:r>
      <w:r w:rsidR="008F18DC">
        <w:rPr>
          <w:rFonts w:asciiTheme="minorHAnsi" w:hAnsiTheme="minorHAnsi" w:cstheme="minorHAnsi"/>
          <w:b/>
        </w:rPr>
        <w:t>porovnatelnost</w:t>
      </w:r>
      <w:r w:rsidR="00AB49A8" w:rsidRPr="00920634">
        <w:rPr>
          <w:rFonts w:asciiTheme="minorHAnsi" w:hAnsiTheme="minorHAnsi" w:cstheme="minorHAnsi"/>
          <w:b/>
        </w:rPr>
        <w:t xml:space="preserve"> </w:t>
      </w:r>
      <w:r w:rsidR="00364C4F" w:rsidRPr="00920634">
        <w:rPr>
          <w:rFonts w:asciiTheme="minorHAnsi" w:hAnsiTheme="minorHAnsi" w:cstheme="minorHAnsi"/>
          <w:b/>
        </w:rPr>
        <w:t xml:space="preserve">údajů účetních závěrek OSS. </w:t>
      </w:r>
    </w:p>
    <w:p w14:paraId="2844D4A4" w14:textId="77777777" w:rsidR="00FF37E9" w:rsidRPr="00920634" w:rsidRDefault="00FF37E9" w:rsidP="00114439">
      <w:pPr>
        <w:jc w:val="both"/>
        <w:rPr>
          <w:rFonts w:asciiTheme="minorHAnsi" w:hAnsiTheme="minorHAnsi" w:cstheme="minorHAnsi"/>
          <w:b/>
        </w:rPr>
      </w:pPr>
    </w:p>
    <w:p w14:paraId="1AEC4203" w14:textId="4763ED4A" w:rsidR="003D0370" w:rsidRPr="00920634" w:rsidRDefault="007B3A50" w:rsidP="00445F18">
      <w:pPr>
        <w:ind w:left="255" w:right="-142" w:hanging="255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3</w:t>
      </w:r>
      <w:r w:rsidR="005E5FE4" w:rsidRPr="00920634">
        <w:rPr>
          <w:rFonts w:asciiTheme="minorHAnsi" w:hAnsiTheme="minorHAnsi" w:cstheme="minorHAnsi"/>
          <w:b/>
        </w:rPr>
        <w:t xml:space="preserve">. Systémová rizika </w:t>
      </w:r>
      <w:r w:rsidR="003D0370" w:rsidRPr="00920634">
        <w:rPr>
          <w:rFonts w:asciiTheme="minorHAnsi" w:hAnsiTheme="minorHAnsi" w:cstheme="minorHAnsi"/>
          <w:b/>
        </w:rPr>
        <w:t>a nedostatky týkající se výkaznictví</w:t>
      </w:r>
      <w:r w:rsidR="005E5FE4" w:rsidRPr="00920634">
        <w:rPr>
          <w:rFonts w:asciiTheme="minorHAnsi" w:hAnsiTheme="minorHAnsi" w:cstheme="minorHAnsi"/>
          <w:b/>
        </w:rPr>
        <w:t xml:space="preserve"> OSS v</w:t>
      </w:r>
      <w:r w:rsidR="0074225B" w:rsidRPr="00920634">
        <w:rPr>
          <w:rFonts w:asciiTheme="minorHAnsi" w:hAnsiTheme="minorHAnsi" w:cstheme="minorHAnsi"/>
          <w:b/>
        </w:rPr>
        <w:t> oblasti transferů pro rok</w:t>
      </w:r>
      <w:r w:rsidR="00445F18">
        <w:rPr>
          <w:rFonts w:asciiTheme="minorHAnsi" w:hAnsiTheme="minorHAnsi" w:cstheme="minorHAnsi"/>
          <w:b/>
        </w:rPr>
        <w:t xml:space="preserve"> </w:t>
      </w:r>
      <w:r w:rsidR="0074225B" w:rsidRPr="00920634">
        <w:rPr>
          <w:rFonts w:asciiTheme="minorHAnsi" w:hAnsiTheme="minorHAnsi" w:cstheme="minorHAnsi"/>
          <w:b/>
        </w:rPr>
        <w:t>2015</w:t>
      </w:r>
    </w:p>
    <w:p w14:paraId="07894B3E" w14:textId="77777777" w:rsidR="0074225B" w:rsidRPr="00920634" w:rsidRDefault="0074225B" w:rsidP="00114439">
      <w:pPr>
        <w:jc w:val="both"/>
        <w:rPr>
          <w:rFonts w:asciiTheme="minorHAnsi" w:hAnsiTheme="minorHAnsi" w:cstheme="minorHAnsi"/>
          <w:b/>
        </w:rPr>
      </w:pPr>
    </w:p>
    <w:p w14:paraId="6C872F5C" w14:textId="397B68CE" w:rsidR="0025368A" w:rsidRDefault="00FD5567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>V rámci kontroly byly u MŠMT a MZe identifikovány s</w:t>
      </w:r>
      <w:r w:rsidR="003D0370" w:rsidRPr="00920634">
        <w:rPr>
          <w:rFonts w:asciiTheme="minorHAnsi" w:hAnsiTheme="minorHAnsi" w:cstheme="minorHAnsi"/>
          <w:sz w:val="24"/>
        </w:rPr>
        <w:t xml:space="preserve">ystémové nedostatky </w:t>
      </w:r>
      <w:r w:rsidR="00DF1CC9" w:rsidRPr="00920634">
        <w:rPr>
          <w:rFonts w:asciiTheme="minorHAnsi" w:hAnsiTheme="minorHAnsi" w:cstheme="minorHAnsi"/>
          <w:sz w:val="24"/>
        </w:rPr>
        <w:t>a</w:t>
      </w:r>
      <w:r w:rsidR="003D0370" w:rsidRPr="00920634">
        <w:rPr>
          <w:rFonts w:asciiTheme="minorHAnsi" w:hAnsiTheme="minorHAnsi" w:cstheme="minorHAnsi"/>
          <w:sz w:val="24"/>
        </w:rPr>
        <w:t xml:space="preserve"> rizika</w:t>
      </w:r>
      <w:r w:rsidRPr="00920634">
        <w:rPr>
          <w:rFonts w:asciiTheme="minorHAnsi" w:hAnsiTheme="minorHAnsi" w:cstheme="minorHAnsi"/>
          <w:sz w:val="24"/>
        </w:rPr>
        <w:t xml:space="preserve"> s vlivem zejména pro rok 2015</w:t>
      </w:r>
      <w:r w:rsidR="00617F04" w:rsidRPr="00920634">
        <w:rPr>
          <w:rStyle w:val="Znakapoznpodarou"/>
          <w:rFonts w:asciiTheme="minorHAnsi" w:hAnsiTheme="minorHAnsi" w:cstheme="minorHAnsi"/>
          <w:sz w:val="24"/>
        </w:rPr>
        <w:footnoteReference w:id="63"/>
      </w:r>
      <w:r w:rsidR="001A1847" w:rsidRPr="00920634">
        <w:rPr>
          <w:rFonts w:asciiTheme="minorHAnsi" w:hAnsiTheme="minorHAnsi" w:cstheme="minorHAnsi"/>
          <w:sz w:val="24"/>
        </w:rPr>
        <w:t>:</w:t>
      </w:r>
      <w:r w:rsidR="00C700EC" w:rsidRPr="00920634">
        <w:rPr>
          <w:rFonts w:asciiTheme="minorHAnsi" w:hAnsiTheme="minorHAnsi" w:cstheme="minorHAnsi"/>
          <w:sz w:val="24"/>
        </w:rPr>
        <w:t xml:space="preserve"> </w:t>
      </w:r>
    </w:p>
    <w:p w14:paraId="743421F1" w14:textId="77777777" w:rsidR="007422EE" w:rsidRPr="00920634" w:rsidRDefault="007422EE" w:rsidP="00114439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6BF44448" w14:textId="4E7077AF" w:rsidR="003D0370" w:rsidRPr="00920634" w:rsidRDefault="005513CD" w:rsidP="00114439">
      <w:pPr>
        <w:pStyle w:val="NormlnKZ"/>
        <w:numPr>
          <w:ilvl w:val="0"/>
          <w:numId w:val="36"/>
        </w:numPr>
        <w:ind w:left="284" w:hanging="284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 xml:space="preserve">účtování </w:t>
      </w:r>
      <w:r w:rsidR="003D0370" w:rsidRPr="00920634">
        <w:rPr>
          <w:rFonts w:asciiTheme="minorHAnsi" w:hAnsiTheme="minorHAnsi" w:cstheme="minorHAnsi"/>
          <w:b/>
          <w:i/>
          <w:sz w:val="24"/>
        </w:rPr>
        <w:t>finančních oprav</w:t>
      </w:r>
      <w:r w:rsidR="001A1847" w:rsidRPr="00920634">
        <w:rPr>
          <w:rFonts w:asciiTheme="minorHAnsi" w:hAnsiTheme="minorHAnsi" w:cstheme="minorHAnsi"/>
          <w:b/>
          <w:i/>
          <w:sz w:val="24"/>
        </w:rPr>
        <w:t xml:space="preserve"> (korekcí)</w:t>
      </w:r>
    </w:p>
    <w:p w14:paraId="573A737C" w14:textId="4839680D" w:rsidR="005C3074" w:rsidRPr="005C3074" w:rsidRDefault="003D0370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Cs/>
        </w:rPr>
        <w:t xml:space="preserve">Účetní </w:t>
      </w:r>
      <w:r w:rsidR="005513CD" w:rsidRPr="00920634">
        <w:rPr>
          <w:rFonts w:asciiTheme="minorHAnsi" w:hAnsiTheme="minorHAnsi" w:cstheme="minorHAnsi"/>
          <w:bCs/>
        </w:rPr>
        <w:t>regulace</w:t>
      </w:r>
      <w:r w:rsidRPr="00920634">
        <w:rPr>
          <w:rFonts w:asciiTheme="minorHAnsi" w:hAnsiTheme="minorHAnsi" w:cstheme="minorHAnsi"/>
          <w:bCs/>
        </w:rPr>
        <w:t xml:space="preserve"> nestanov</w:t>
      </w:r>
      <w:r w:rsidR="00CE3BCE">
        <w:rPr>
          <w:rFonts w:asciiTheme="minorHAnsi" w:hAnsiTheme="minorHAnsi" w:cstheme="minorHAnsi"/>
          <w:bCs/>
        </w:rPr>
        <w:t>ila</w:t>
      </w:r>
      <w:r w:rsidRPr="00920634">
        <w:rPr>
          <w:rFonts w:asciiTheme="minorHAnsi" w:hAnsiTheme="minorHAnsi" w:cstheme="minorHAnsi"/>
          <w:bCs/>
        </w:rPr>
        <w:t xml:space="preserve"> pro rok 2014 ani 2015 žádné postupy pro účtování o finanční</w:t>
      </w:r>
      <w:r w:rsidR="00CE3BCE">
        <w:rPr>
          <w:rFonts w:asciiTheme="minorHAnsi" w:hAnsiTheme="minorHAnsi" w:cstheme="minorHAnsi"/>
          <w:bCs/>
        </w:rPr>
        <w:t>ch</w:t>
      </w:r>
      <w:r w:rsidRPr="00920634">
        <w:rPr>
          <w:rFonts w:asciiTheme="minorHAnsi" w:hAnsiTheme="minorHAnsi" w:cstheme="minorHAnsi"/>
          <w:bCs/>
        </w:rPr>
        <w:t xml:space="preserve"> oprav</w:t>
      </w:r>
      <w:r w:rsidR="00CE3BCE">
        <w:rPr>
          <w:rFonts w:asciiTheme="minorHAnsi" w:hAnsiTheme="minorHAnsi" w:cstheme="minorHAnsi"/>
          <w:bCs/>
        </w:rPr>
        <w:t>ách</w:t>
      </w:r>
      <w:r w:rsidRPr="00920634">
        <w:rPr>
          <w:rFonts w:asciiTheme="minorHAnsi" w:hAnsiTheme="minorHAnsi" w:cstheme="minorHAnsi"/>
          <w:bCs/>
        </w:rPr>
        <w:t xml:space="preserve"> typu plošné korekce</w:t>
      </w:r>
      <w:r w:rsidR="00506B26" w:rsidRPr="00920634">
        <w:rPr>
          <w:rFonts w:asciiTheme="minorHAnsi" w:hAnsiTheme="minorHAnsi" w:cstheme="minorHAnsi"/>
          <w:bCs/>
        </w:rPr>
        <w:t>, která jde k tíži ČR</w:t>
      </w:r>
      <w:r w:rsidR="001A1847" w:rsidRPr="00920634">
        <w:rPr>
          <w:rStyle w:val="Znakapoznpodarou"/>
          <w:rFonts w:asciiTheme="minorHAnsi" w:hAnsiTheme="minorHAnsi" w:cstheme="minorHAnsi"/>
          <w:bCs/>
        </w:rPr>
        <w:footnoteReference w:id="64"/>
      </w:r>
      <w:r w:rsidR="001A1847" w:rsidRPr="00920634">
        <w:rPr>
          <w:rFonts w:asciiTheme="minorHAnsi" w:hAnsiTheme="minorHAnsi" w:cstheme="minorHAnsi"/>
          <w:bCs/>
        </w:rPr>
        <w:t>.</w:t>
      </w:r>
      <w:r w:rsidRPr="00920634">
        <w:rPr>
          <w:rFonts w:asciiTheme="minorHAnsi" w:hAnsiTheme="minorHAnsi" w:cstheme="minorHAnsi"/>
          <w:bCs/>
        </w:rPr>
        <w:t xml:space="preserve"> </w:t>
      </w:r>
      <w:r w:rsidR="00457874" w:rsidRPr="00920634">
        <w:rPr>
          <w:rFonts w:asciiTheme="minorHAnsi" w:hAnsiTheme="minorHAnsi" w:cstheme="minorHAnsi"/>
          <w:bCs/>
        </w:rPr>
        <w:t>J</w:t>
      </w:r>
      <w:r w:rsidRPr="00920634">
        <w:rPr>
          <w:rFonts w:asciiTheme="minorHAnsi" w:hAnsiTheme="minorHAnsi" w:cstheme="minorHAnsi"/>
          <w:bCs/>
        </w:rPr>
        <w:t>ejich s</w:t>
      </w:r>
      <w:r w:rsidRPr="00920634">
        <w:rPr>
          <w:rFonts w:asciiTheme="minorHAnsi" w:hAnsiTheme="minorHAnsi" w:cstheme="minorHAnsi"/>
        </w:rPr>
        <w:t xml:space="preserve">amotná věcná podstata </w:t>
      </w:r>
      <w:r w:rsidR="005F6D2E" w:rsidRPr="00920634">
        <w:rPr>
          <w:rFonts w:asciiTheme="minorHAnsi" w:hAnsiTheme="minorHAnsi" w:cstheme="minorHAnsi"/>
        </w:rPr>
        <w:t xml:space="preserve">přitom </w:t>
      </w:r>
      <w:r w:rsidRPr="00920634">
        <w:rPr>
          <w:rFonts w:asciiTheme="minorHAnsi" w:hAnsiTheme="minorHAnsi" w:cstheme="minorHAnsi"/>
        </w:rPr>
        <w:t>může být interpretována</w:t>
      </w:r>
      <w:r w:rsidR="005C3074">
        <w:rPr>
          <w:rFonts w:asciiTheme="minorHAnsi" w:hAnsiTheme="minorHAnsi" w:cstheme="minorHAnsi"/>
        </w:rPr>
        <w:t xml:space="preserve"> různě</w:t>
      </w:r>
      <w:r w:rsidR="00CE3BCE">
        <w:rPr>
          <w:rFonts w:asciiTheme="minorHAnsi" w:hAnsiTheme="minorHAnsi" w:cstheme="minorHAnsi"/>
        </w:rPr>
        <w:t>,</w:t>
      </w:r>
      <w:r w:rsidR="005C3074">
        <w:rPr>
          <w:rFonts w:asciiTheme="minorHAnsi" w:hAnsiTheme="minorHAnsi" w:cstheme="minorHAnsi"/>
        </w:rPr>
        <w:t xml:space="preserve"> n</w:t>
      </w:r>
      <w:r w:rsidR="005C3074" w:rsidRPr="00920634">
        <w:rPr>
          <w:rFonts w:asciiTheme="minorHAnsi" w:hAnsiTheme="minorHAnsi" w:cstheme="minorHAnsi"/>
        </w:rPr>
        <w:t>apř.</w:t>
      </w:r>
      <w:r w:rsidR="00CE3BCE">
        <w:rPr>
          <w:rFonts w:asciiTheme="minorHAnsi" w:hAnsiTheme="minorHAnsi" w:cstheme="minorHAnsi"/>
        </w:rPr>
        <w:t xml:space="preserve"> tak</w:t>
      </w:r>
      <w:r w:rsidR="00454F42">
        <w:rPr>
          <w:rFonts w:asciiTheme="minorHAnsi" w:hAnsiTheme="minorHAnsi" w:cstheme="minorHAnsi"/>
        </w:rPr>
        <w:t>,</w:t>
      </w:r>
      <w:r w:rsidR="005C3074" w:rsidRPr="00920634">
        <w:rPr>
          <w:rFonts w:asciiTheme="minorHAnsi" w:hAnsiTheme="minorHAnsi" w:cstheme="minorHAnsi"/>
        </w:rPr>
        <w:t xml:space="preserve"> že se z předfinancované výše transferu stává výše transferu financovaná z tuzemských zdrojů (státního rozpočtu) nebo že jde o odvod sankčního charakteru </w:t>
      </w:r>
      <w:r w:rsidR="000B606C">
        <w:rPr>
          <w:rFonts w:asciiTheme="minorHAnsi" w:hAnsiTheme="minorHAnsi" w:cstheme="minorHAnsi"/>
        </w:rPr>
        <w:t xml:space="preserve">– </w:t>
      </w:r>
      <w:r w:rsidR="008D073A">
        <w:rPr>
          <w:rFonts w:asciiTheme="minorHAnsi" w:hAnsiTheme="minorHAnsi" w:cstheme="minorHAnsi"/>
        </w:rPr>
        <w:t>v </w:t>
      </w:r>
      <w:r w:rsidR="005C3074" w:rsidRPr="00920634">
        <w:rPr>
          <w:rFonts w:asciiTheme="minorHAnsi" w:hAnsiTheme="minorHAnsi" w:cstheme="minorHAnsi"/>
        </w:rPr>
        <w:t xml:space="preserve">takovém případě by se nejednalo o transfer. </w:t>
      </w:r>
      <w:r w:rsidR="005C3074" w:rsidRPr="005C3074">
        <w:rPr>
          <w:rFonts w:asciiTheme="minorHAnsi" w:hAnsiTheme="minorHAnsi" w:cstheme="minorHAnsi"/>
        </w:rPr>
        <w:t>Není proto zřejmé, jaký konkrétní výsledkový účet volit pro účtování plošných korekcí. Mezi účetními jednotkami tak může docházet k vyk</w:t>
      </w:r>
      <w:r w:rsidR="000B606C">
        <w:rPr>
          <w:rFonts w:asciiTheme="minorHAnsi" w:hAnsiTheme="minorHAnsi" w:cstheme="minorHAnsi"/>
        </w:rPr>
        <w:t>azování</w:t>
      </w:r>
      <w:r w:rsidR="005C3074" w:rsidRPr="005C3074">
        <w:rPr>
          <w:rFonts w:asciiTheme="minorHAnsi" w:hAnsiTheme="minorHAnsi" w:cstheme="minorHAnsi"/>
        </w:rPr>
        <w:t xml:space="preserve"> vzájemně nesrovnatelných údajů.</w:t>
      </w:r>
    </w:p>
    <w:p w14:paraId="6A644635" w14:textId="77777777" w:rsidR="005C3074" w:rsidRPr="00920634" w:rsidRDefault="005C3074" w:rsidP="00114439">
      <w:pPr>
        <w:jc w:val="both"/>
        <w:rPr>
          <w:rFonts w:asciiTheme="minorHAnsi" w:hAnsiTheme="minorHAnsi" w:cstheme="minorHAnsi"/>
        </w:rPr>
      </w:pPr>
    </w:p>
    <w:p w14:paraId="14825A6D" w14:textId="72033EB9" w:rsidR="003D0370" w:rsidRDefault="00A44936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>P</w:t>
      </w:r>
      <w:r w:rsidR="00600F3C" w:rsidRPr="00920634">
        <w:rPr>
          <w:rFonts w:asciiTheme="minorHAnsi" w:hAnsiTheme="minorHAnsi" w:cstheme="minorHAnsi"/>
          <w:b/>
        </w:rPr>
        <w:t xml:space="preserve">lošné korekce jsou v praxi významnou </w:t>
      </w:r>
      <w:r w:rsidR="00A371CA">
        <w:rPr>
          <w:rFonts w:asciiTheme="minorHAnsi" w:hAnsiTheme="minorHAnsi" w:cstheme="minorHAnsi"/>
          <w:b/>
        </w:rPr>
        <w:t>operací</w:t>
      </w:r>
      <w:r w:rsidR="00600F3C" w:rsidRPr="00920634">
        <w:rPr>
          <w:rFonts w:asciiTheme="minorHAnsi" w:hAnsiTheme="minorHAnsi" w:cstheme="minorHAnsi"/>
          <w:b/>
        </w:rPr>
        <w:t xml:space="preserve"> s dopadem na účetní závěrku, </w:t>
      </w:r>
      <w:r w:rsidRPr="00920634">
        <w:rPr>
          <w:rFonts w:asciiTheme="minorHAnsi" w:hAnsiTheme="minorHAnsi" w:cstheme="minorHAnsi"/>
          <w:b/>
        </w:rPr>
        <w:t xml:space="preserve">z účetní regulace však </w:t>
      </w:r>
      <w:r w:rsidR="00600F3C" w:rsidRPr="00920634">
        <w:rPr>
          <w:rFonts w:asciiTheme="minorHAnsi" w:hAnsiTheme="minorHAnsi" w:cstheme="minorHAnsi"/>
          <w:b/>
        </w:rPr>
        <w:t>ne</w:t>
      </w:r>
      <w:r w:rsidR="005F6D2E" w:rsidRPr="00920634">
        <w:rPr>
          <w:rFonts w:asciiTheme="minorHAnsi" w:hAnsiTheme="minorHAnsi" w:cstheme="minorHAnsi"/>
          <w:b/>
        </w:rPr>
        <w:t xml:space="preserve">ní </w:t>
      </w:r>
      <w:r w:rsidR="00600F3C" w:rsidRPr="00920634">
        <w:rPr>
          <w:rFonts w:asciiTheme="minorHAnsi" w:hAnsiTheme="minorHAnsi" w:cstheme="minorHAnsi"/>
          <w:b/>
        </w:rPr>
        <w:t>j</w:t>
      </w:r>
      <w:r w:rsidR="001A1847" w:rsidRPr="00920634">
        <w:rPr>
          <w:rFonts w:asciiTheme="minorHAnsi" w:hAnsiTheme="minorHAnsi" w:cstheme="minorHAnsi"/>
          <w:b/>
        </w:rPr>
        <w:t>ednoznačně identifikovatelné</w:t>
      </w:r>
      <w:r w:rsidR="005F6D2E" w:rsidRPr="00920634">
        <w:rPr>
          <w:rFonts w:asciiTheme="minorHAnsi" w:hAnsiTheme="minorHAnsi" w:cstheme="minorHAnsi"/>
          <w:b/>
        </w:rPr>
        <w:t xml:space="preserve">, jak je </w:t>
      </w:r>
      <w:r w:rsidR="0012357A" w:rsidRPr="00920634">
        <w:rPr>
          <w:rFonts w:asciiTheme="minorHAnsi" w:hAnsiTheme="minorHAnsi" w:cstheme="minorHAnsi"/>
          <w:b/>
        </w:rPr>
        <w:t>účtovat a vyk</w:t>
      </w:r>
      <w:r w:rsidR="00A371CA">
        <w:rPr>
          <w:rFonts w:asciiTheme="minorHAnsi" w:hAnsiTheme="minorHAnsi" w:cstheme="minorHAnsi"/>
          <w:b/>
        </w:rPr>
        <w:t>azovat</w:t>
      </w:r>
      <w:r w:rsidR="00600F3C" w:rsidRPr="00920634">
        <w:rPr>
          <w:rFonts w:asciiTheme="minorHAnsi" w:hAnsiTheme="minorHAnsi" w:cstheme="minorHAnsi"/>
          <w:b/>
        </w:rPr>
        <w:t>.</w:t>
      </w:r>
      <w:r w:rsidR="005C3074">
        <w:rPr>
          <w:rFonts w:asciiTheme="minorHAnsi" w:hAnsiTheme="minorHAnsi" w:cstheme="minorHAnsi"/>
          <w:b/>
        </w:rPr>
        <w:t xml:space="preserve"> </w:t>
      </w:r>
      <w:r w:rsidR="005C3074" w:rsidRPr="005C3074">
        <w:rPr>
          <w:rFonts w:asciiTheme="minorHAnsi" w:hAnsiTheme="minorHAnsi" w:cstheme="minorHAnsi"/>
          <w:b/>
        </w:rPr>
        <w:t>MŠMT i MZe přistupovaly k jejich zobrazení a vyk</w:t>
      </w:r>
      <w:r w:rsidR="00A371CA">
        <w:rPr>
          <w:rFonts w:asciiTheme="minorHAnsi" w:hAnsiTheme="minorHAnsi" w:cstheme="minorHAnsi"/>
          <w:b/>
        </w:rPr>
        <w:t>azování</w:t>
      </w:r>
      <w:r w:rsidR="005C3074" w:rsidRPr="005C3074">
        <w:rPr>
          <w:rFonts w:asciiTheme="minorHAnsi" w:hAnsiTheme="minorHAnsi" w:cstheme="minorHAnsi"/>
          <w:b/>
        </w:rPr>
        <w:t xml:space="preserve"> různě. Podle názoru NKÚ se proto</w:t>
      </w:r>
      <w:r w:rsidR="005C3074">
        <w:rPr>
          <w:rFonts w:asciiTheme="minorHAnsi" w:hAnsiTheme="minorHAnsi" w:cstheme="minorHAnsi"/>
          <w:b/>
        </w:rPr>
        <w:t xml:space="preserve"> v této oblasti ukazuje</w:t>
      </w:r>
      <w:r w:rsidR="005C3074" w:rsidRPr="005C3074">
        <w:rPr>
          <w:rFonts w:asciiTheme="minorHAnsi" w:hAnsiTheme="minorHAnsi" w:cstheme="minorHAnsi"/>
          <w:b/>
        </w:rPr>
        <w:t xml:space="preserve"> </w:t>
      </w:r>
      <w:r w:rsidR="004B7F12">
        <w:rPr>
          <w:rFonts w:asciiTheme="minorHAnsi" w:hAnsiTheme="minorHAnsi" w:cstheme="minorHAnsi"/>
          <w:b/>
        </w:rPr>
        <w:t xml:space="preserve">zavedení </w:t>
      </w:r>
      <w:r w:rsidR="005C3074" w:rsidRPr="005C3074">
        <w:rPr>
          <w:rFonts w:asciiTheme="minorHAnsi" w:hAnsiTheme="minorHAnsi" w:cstheme="minorHAnsi"/>
          <w:b/>
        </w:rPr>
        <w:t>sj</w:t>
      </w:r>
      <w:r w:rsidR="007266EA" w:rsidRPr="005C3074">
        <w:rPr>
          <w:rFonts w:asciiTheme="minorHAnsi" w:hAnsiTheme="minorHAnsi" w:cstheme="minorHAnsi"/>
          <w:b/>
        </w:rPr>
        <w:t xml:space="preserve">ednocující </w:t>
      </w:r>
      <w:r w:rsidR="005C3074">
        <w:rPr>
          <w:rFonts w:asciiTheme="minorHAnsi" w:hAnsiTheme="minorHAnsi" w:cstheme="minorHAnsi"/>
          <w:b/>
        </w:rPr>
        <w:t>účetní regulac</w:t>
      </w:r>
      <w:r w:rsidR="00A371CA">
        <w:rPr>
          <w:rFonts w:asciiTheme="minorHAnsi" w:hAnsiTheme="minorHAnsi" w:cstheme="minorHAnsi"/>
          <w:b/>
        </w:rPr>
        <w:t>e</w:t>
      </w:r>
      <w:r w:rsidR="005C3074">
        <w:rPr>
          <w:rFonts w:asciiTheme="minorHAnsi" w:hAnsiTheme="minorHAnsi" w:cstheme="minorHAnsi"/>
          <w:b/>
        </w:rPr>
        <w:t xml:space="preserve"> </w:t>
      </w:r>
      <w:r w:rsidR="00506B26" w:rsidRPr="005C3074">
        <w:rPr>
          <w:rFonts w:asciiTheme="minorHAnsi" w:hAnsiTheme="minorHAnsi" w:cstheme="minorHAnsi"/>
          <w:b/>
        </w:rPr>
        <w:t>jako potřebná systémová záležitost</w:t>
      </w:r>
      <w:r w:rsidR="00306C82" w:rsidRPr="005C3074">
        <w:rPr>
          <w:rFonts w:asciiTheme="minorHAnsi" w:hAnsiTheme="minorHAnsi" w:cstheme="minorHAnsi"/>
          <w:b/>
        </w:rPr>
        <w:t>.</w:t>
      </w:r>
    </w:p>
    <w:p w14:paraId="62607AB1" w14:textId="77777777" w:rsidR="007422EE" w:rsidRPr="005C3074" w:rsidRDefault="007422EE" w:rsidP="00114439">
      <w:pPr>
        <w:jc w:val="both"/>
        <w:rPr>
          <w:rFonts w:asciiTheme="minorHAnsi" w:hAnsiTheme="minorHAnsi" w:cstheme="minorHAnsi"/>
          <w:b/>
        </w:rPr>
      </w:pPr>
    </w:p>
    <w:p w14:paraId="7C718D91" w14:textId="36EEE2FA" w:rsidR="00944B89" w:rsidRPr="007422EE" w:rsidRDefault="00B0606A" w:rsidP="00114439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  <w:r w:rsidRPr="00920634">
        <w:rPr>
          <w:rFonts w:asciiTheme="minorHAnsi" w:hAnsiTheme="minorHAnsi" w:cstheme="minorHAnsi"/>
          <w:sz w:val="24"/>
          <w:szCs w:val="24"/>
        </w:rPr>
        <w:t>Jednoznačné vykazování</w:t>
      </w:r>
      <w:r w:rsidR="00440ADB" w:rsidRPr="00920634">
        <w:rPr>
          <w:rFonts w:asciiTheme="minorHAnsi" w:hAnsiTheme="minorHAnsi" w:cstheme="minorHAnsi"/>
          <w:sz w:val="24"/>
          <w:szCs w:val="24"/>
        </w:rPr>
        <w:t xml:space="preserve"> údajů o plošných korekcích je důležité i pro sestavení národních účtů, jež podávají informaci o výši ukazatelů používaných pro hodnocení plnění maastrichtských kritérií</w:t>
      </w:r>
      <w:r w:rsidR="005578CD" w:rsidRPr="00920634">
        <w:rPr>
          <w:rFonts w:asciiTheme="minorHAnsi" w:hAnsiTheme="minorHAnsi" w:cstheme="minorHAnsi"/>
          <w:sz w:val="24"/>
          <w:szCs w:val="24"/>
        </w:rPr>
        <w:t xml:space="preserve"> dle</w:t>
      </w:r>
      <w:r w:rsidR="00440ADB" w:rsidRPr="00920634">
        <w:rPr>
          <w:rFonts w:asciiTheme="minorHAnsi" w:hAnsiTheme="minorHAnsi" w:cstheme="minorHAnsi"/>
          <w:sz w:val="24"/>
          <w:szCs w:val="24"/>
        </w:rPr>
        <w:t xml:space="preserve"> metodiky ESA 2010.</w:t>
      </w:r>
      <w:r w:rsidR="00FC2981" w:rsidRPr="00920634">
        <w:rPr>
          <w:rFonts w:asciiTheme="minorHAnsi" w:hAnsiTheme="minorHAnsi" w:cstheme="minorHAnsi"/>
          <w:sz w:val="24"/>
          <w:szCs w:val="24"/>
        </w:rPr>
        <w:t xml:space="preserve"> </w:t>
      </w:r>
      <w:r w:rsidR="00244D9F" w:rsidRPr="00920634">
        <w:rPr>
          <w:rFonts w:asciiTheme="minorHAnsi" w:hAnsiTheme="minorHAnsi" w:cstheme="minorHAnsi"/>
          <w:sz w:val="24"/>
          <w:szCs w:val="24"/>
        </w:rPr>
        <w:t>Pro vyčíslení deficitu dle metodiky ESA 2010 jsou zatím využívány především informace založené na uskutečněných peněžních tocích. Ty ale nezobrazují všechny relevantní vztahy</w:t>
      </w:r>
      <w:r w:rsidR="00944B89" w:rsidRPr="00920634">
        <w:rPr>
          <w:rStyle w:val="Znakapoznpodarou"/>
          <w:rFonts w:asciiTheme="minorHAnsi" w:hAnsiTheme="minorHAnsi" w:cstheme="minorHAnsi"/>
          <w:sz w:val="24"/>
          <w:szCs w:val="24"/>
        </w:rPr>
        <w:footnoteReference w:id="65"/>
      </w:r>
      <w:r w:rsidR="00244D9F" w:rsidRPr="00920634">
        <w:rPr>
          <w:rFonts w:asciiTheme="minorHAnsi" w:hAnsiTheme="minorHAnsi" w:cstheme="minorHAnsi"/>
          <w:sz w:val="24"/>
          <w:szCs w:val="24"/>
        </w:rPr>
        <w:t xml:space="preserve"> vznikající v souvislosti s čerpáním prostředků ze zdrojů v</w:t>
      </w:r>
      <w:r w:rsidR="004B7F12">
        <w:rPr>
          <w:rFonts w:asciiTheme="minorHAnsi" w:hAnsiTheme="minorHAnsi" w:cstheme="minorHAnsi"/>
          <w:sz w:val="24"/>
          <w:szCs w:val="24"/>
        </w:rPr>
        <w:t> </w:t>
      </w:r>
      <w:r w:rsidR="00244D9F" w:rsidRPr="00920634">
        <w:rPr>
          <w:rFonts w:asciiTheme="minorHAnsi" w:hAnsiTheme="minorHAnsi" w:cstheme="minorHAnsi"/>
          <w:sz w:val="24"/>
          <w:szCs w:val="24"/>
        </w:rPr>
        <w:t>zahraničí</w:t>
      </w:r>
      <w:r w:rsidR="004B7F12">
        <w:rPr>
          <w:rFonts w:asciiTheme="minorHAnsi" w:hAnsiTheme="minorHAnsi" w:cstheme="minorHAnsi"/>
          <w:sz w:val="24"/>
          <w:szCs w:val="24"/>
        </w:rPr>
        <w:t>,</w:t>
      </w:r>
      <w:r w:rsidR="00244D9F" w:rsidRPr="00920634">
        <w:rPr>
          <w:rFonts w:asciiTheme="minorHAnsi" w:hAnsiTheme="minorHAnsi" w:cstheme="minorHAnsi"/>
          <w:sz w:val="24"/>
          <w:szCs w:val="24"/>
        </w:rPr>
        <w:t xml:space="preserve"> např. zpětné vyjmutí </w:t>
      </w:r>
      <w:r w:rsidR="004B7F12" w:rsidRPr="00920634">
        <w:rPr>
          <w:rFonts w:asciiTheme="minorHAnsi" w:hAnsiTheme="minorHAnsi" w:cstheme="minorHAnsi"/>
          <w:sz w:val="24"/>
          <w:szCs w:val="24"/>
        </w:rPr>
        <w:t xml:space="preserve">již </w:t>
      </w:r>
      <w:r w:rsidR="00244D9F" w:rsidRPr="00920634">
        <w:rPr>
          <w:rFonts w:asciiTheme="minorHAnsi" w:hAnsiTheme="minorHAnsi" w:cstheme="minorHAnsi"/>
          <w:sz w:val="24"/>
          <w:szCs w:val="24"/>
        </w:rPr>
        <w:t>předfinancovaných</w:t>
      </w:r>
      <w:r w:rsidR="004B7F12">
        <w:rPr>
          <w:rFonts w:asciiTheme="minorHAnsi" w:hAnsiTheme="minorHAnsi" w:cstheme="minorHAnsi"/>
          <w:sz w:val="24"/>
          <w:szCs w:val="24"/>
        </w:rPr>
        <w:t xml:space="preserve"> </w:t>
      </w:r>
      <w:r w:rsidR="004B7F12" w:rsidRPr="00920634">
        <w:rPr>
          <w:rFonts w:asciiTheme="minorHAnsi" w:hAnsiTheme="minorHAnsi" w:cstheme="minorHAnsi"/>
          <w:sz w:val="24"/>
          <w:szCs w:val="24"/>
        </w:rPr>
        <w:t>projektů</w:t>
      </w:r>
      <w:r w:rsidR="00244D9F" w:rsidRPr="00920634">
        <w:rPr>
          <w:rFonts w:asciiTheme="minorHAnsi" w:hAnsiTheme="minorHAnsi" w:cstheme="minorHAnsi"/>
          <w:sz w:val="24"/>
          <w:szCs w:val="24"/>
        </w:rPr>
        <w:t>, uplatnění finančních oprav nebo uvalení plošných korekcí</w:t>
      </w:r>
      <w:r w:rsidR="00027F86" w:rsidRPr="00920634">
        <w:rPr>
          <w:rFonts w:asciiTheme="minorHAnsi" w:hAnsiTheme="minorHAnsi" w:cstheme="minorHAnsi"/>
        </w:rPr>
        <w:t>.</w:t>
      </w:r>
    </w:p>
    <w:p w14:paraId="74A0C36E" w14:textId="77777777" w:rsidR="00027F86" w:rsidRPr="007422EE" w:rsidRDefault="00027F86" w:rsidP="00114439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</w:p>
    <w:p w14:paraId="309C2E05" w14:textId="41FDB1B3" w:rsidR="00600F3C" w:rsidRPr="00920634" w:rsidRDefault="003F57FB" w:rsidP="00114439">
      <w:pPr>
        <w:pStyle w:val="NormlnKZ"/>
        <w:numPr>
          <w:ilvl w:val="0"/>
          <w:numId w:val="36"/>
        </w:numPr>
        <w:ind w:left="284" w:hanging="284"/>
        <w:rPr>
          <w:rFonts w:asciiTheme="minorHAnsi" w:hAnsiTheme="minorHAnsi" w:cstheme="minorHAnsi"/>
          <w:b/>
          <w:i/>
          <w:sz w:val="24"/>
        </w:rPr>
      </w:pPr>
      <w:r w:rsidRPr="00920634">
        <w:rPr>
          <w:rFonts w:asciiTheme="minorHAnsi" w:hAnsiTheme="minorHAnsi" w:cstheme="minorHAnsi"/>
          <w:b/>
          <w:i/>
          <w:sz w:val="24"/>
        </w:rPr>
        <w:t>účtování</w:t>
      </w:r>
      <w:r w:rsidR="00600F3C" w:rsidRPr="00920634">
        <w:rPr>
          <w:rFonts w:asciiTheme="minorHAnsi" w:hAnsiTheme="minorHAnsi" w:cstheme="minorHAnsi"/>
          <w:b/>
          <w:i/>
          <w:sz w:val="24"/>
        </w:rPr>
        <w:t xml:space="preserve"> předběžných plateb</w:t>
      </w:r>
    </w:p>
    <w:p w14:paraId="35228543" w14:textId="3071AF4B" w:rsidR="00205DD5" w:rsidRDefault="00177E67" w:rsidP="00114439">
      <w:pPr>
        <w:shd w:val="clear" w:color="auto" w:fill="FFFFFF"/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MZe </w:t>
      </w:r>
      <w:r w:rsidR="005C3074">
        <w:rPr>
          <w:rFonts w:asciiTheme="minorHAnsi" w:hAnsiTheme="minorHAnsi" w:cstheme="minorHAnsi"/>
        </w:rPr>
        <w:t>v případě přijímání předběžných plateb</w:t>
      </w:r>
      <w:r w:rsidR="008D073A">
        <w:rPr>
          <w:rFonts w:asciiTheme="minorHAnsi" w:hAnsiTheme="minorHAnsi" w:cstheme="minorHAnsi"/>
        </w:rPr>
        <w:t xml:space="preserve"> </w:t>
      </w:r>
      <w:r w:rsidR="003F57FB" w:rsidRPr="00920634">
        <w:rPr>
          <w:rFonts w:asciiTheme="minorHAnsi" w:hAnsiTheme="minorHAnsi" w:cstheme="minorHAnsi"/>
        </w:rPr>
        <w:t>vystupuje v obdobné pozici</w:t>
      </w:r>
      <w:r w:rsidR="002D3966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>jako Národní fond Ministerstva financí</w:t>
      </w:r>
      <w:r w:rsidR="00D9167F" w:rsidRPr="00920634">
        <w:rPr>
          <w:rFonts w:asciiTheme="minorHAnsi" w:hAnsiTheme="minorHAnsi" w:cstheme="minorHAnsi"/>
        </w:rPr>
        <w:t>, neboť přijímá prostředky přímo ze zahraničí</w:t>
      </w:r>
      <w:r w:rsidRPr="00920634">
        <w:rPr>
          <w:rFonts w:asciiTheme="minorHAnsi" w:hAnsiTheme="minorHAnsi" w:cstheme="minorHAnsi"/>
        </w:rPr>
        <w:t xml:space="preserve">. </w:t>
      </w:r>
    </w:p>
    <w:p w14:paraId="33D28406" w14:textId="77777777" w:rsidR="007422EE" w:rsidRPr="00920634" w:rsidRDefault="007422EE" w:rsidP="00114439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4704D8E8" w14:textId="05865FF3" w:rsidR="00600F3C" w:rsidRDefault="00FC61A4" w:rsidP="00114439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lastRenderedPageBreak/>
        <w:t xml:space="preserve">NKÚ </w:t>
      </w:r>
      <w:r w:rsidR="008D073A">
        <w:rPr>
          <w:rFonts w:asciiTheme="minorHAnsi" w:hAnsiTheme="minorHAnsi" w:cstheme="minorHAnsi"/>
          <w:b/>
        </w:rPr>
        <w:t>v </w:t>
      </w:r>
      <w:r w:rsidR="003F57FB" w:rsidRPr="00920634">
        <w:rPr>
          <w:rFonts w:asciiTheme="minorHAnsi" w:hAnsiTheme="minorHAnsi" w:cstheme="minorHAnsi"/>
          <w:b/>
        </w:rPr>
        <w:t>tomto</w:t>
      </w:r>
      <w:r w:rsidRPr="00920634">
        <w:rPr>
          <w:rFonts w:asciiTheme="minorHAnsi" w:hAnsiTheme="minorHAnsi" w:cstheme="minorHAnsi"/>
          <w:b/>
        </w:rPr>
        <w:t xml:space="preserve"> případě upozorňuje na riziko, že způsob</w:t>
      </w:r>
      <w:r w:rsidR="005C3074">
        <w:rPr>
          <w:rFonts w:asciiTheme="minorHAnsi" w:hAnsiTheme="minorHAnsi" w:cstheme="minorHAnsi"/>
          <w:b/>
        </w:rPr>
        <w:t xml:space="preserve"> jejich</w:t>
      </w:r>
      <w:r w:rsidR="003F57FB" w:rsidRPr="00920634">
        <w:rPr>
          <w:rFonts w:asciiTheme="minorHAnsi" w:hAnsiTheme="minorHAnsi" w:cstheme="minorHAnsi"/>
          <w:b/>
        </w:rPr>
        <w:t xml:space="preserve"> účtování a</w:t>
      </w:r>
      <w:r w:rsidRPr="00920634">
        <w:rPr>
          <w:rFonts w:asciiTheme="minorHAnsi" w:hAnsiTheme="minorHAnsi" w:cstheme="minorHAnsi"/>
          <w:b/>
        </w:rPr>
        <w:t xml:space="preserve"> vyk</w:t>
      </w:r>
      <w:r w:rsidR="00F75BE2">
        <w:rPr>
          <w:rFonts w:asciiTheme="minorHAnsi" w:hAnsiTheme="minorHAnsi" w:cstheme="minorHAnsi"/>
          <w:b/>
        </w:rPr>
        <w:t>azování</w:t>
      </w:r>
      <w:r w:rsidRPr="00920634">
        <w:rPr>
          <w:rFonts w:asciiTheme="minorHAnsi" w:hAnsiTheme="minorHAnsi" w:cstheme="minorHAnsi"/>
          <w:b/>
        </w:rPr>
        <w:t xml:space="preserve"> ne</w:t>
      </w:r>
      <w:r w:rsidR="003F57FB" w:rsidRPr="00920634">
        <w:rPr>
          <w:rFonts w:asciiTheme="minorHAnsi" w:hAnsiTheme="minorHAnsi" w:cstheme="minorHAnsi"/>
          <w:b/>
        </w:rPr>
        <w:t>ní</w:t>
      </w:r>
      <w:r w:rsidRPr="00920634">
        <w:rPr>
          <w:rFonts w:asciiTheme="minorHAnsi" w:hAnsiTheme="minorHAnsi" w:cstheme="minorHAnsi"/>
          <w:b/>
        </w:rPr>
        <w:t xml:space="preserve"> možné jednoznačně vyvodit </w:t>
      </w:r>
      <w:r w:rsidR="005F6D2E" w:rsidRPr="00920634">
        <w:rPr>
          <w:rFonts w:asciiTheme="minorHAnsi" w:hAnsiTheme="minorHAnsi" w:cstheme="minorHAnsi"/>
          <w:b/>
        </w:rPr>
        <w:t>z</w:t>
      </w:r>
      <w:r w:rsidR="003F57FB" w:rsidRPr="00920634">
        <w:rPr>
          <w:rFonts w:asciiTheme="minorHAnsi" w:hAnsiTheme="minorHAnsi" w:cstheme="minorHAnsi"/>
          <w:b/>
        </w:rPr>
        <w:t> platné účetní regulace</w:t>
      </w:r>
      <w:r w:rsidR="007A3F81" w:rsidRPr="00920634">
        <w:rPr>
          <w:rFonts w:asciiTheme="minorHAnsi" w:hAnsiTheme="minorHAnsi" w:cstheme="minorHAnsi"/>
          <w:b/>
        </w:rPr>
        <w:t xml:space="preserve">. Tato skutečnost </w:t>
      </w:r>
      <w:r w:rsidR="005C3074">
        <w:rPr>
          <w:rFonts w:asciiTheme="minorHAnsi" w:hAnsiTheme="minorHAnsi" w:cstheme="minorHAnsi"/>
          <w:b/>
        </w:rPr>
        <w:t>může ovlivňovat</w:t>
      </w:r>
      <w:r w:rsidR="007A3F81" w:rsidRPr="00920634">
        <w:rPr>
          <w:rFonts w:asciiTheme="minorHAnsi" w:hAnsiTheme="minorHAnsi" w:cstheme="minorHAnsi"/>
          <w:b/>
        </w:rPr>
        <w:t xml:space="preserve"> splnění cíle sestavování souhrnných účetních výkazů za ČR.</w:t>
      </w:r>
      <w:r w:rsidR="007A3F81" w:rsidRPr="00920634">
        <w:rPr>
          <w:rStyle w:val="Znakapoznpodarou"/>
          <w:rFonts w:asciiTheme="minorHAnsi" w:hAnsiTheme="minorHAnsi" w:cstheme="minorHAnsi"/>
          <w:b/>
        </w:rPr>
        <w:footnoteReference w:id="66"/>
      </w:r>
    </w:p>
    <w:p w14:paraId="097EC58D" w14:textId="77777777" w:rsidR="005C3074" w:rsidRPr="00920634" w:rsidRDefault="005C3074" w:rsidP="0011443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A68A180" w14:textId="28A013F7" w:rsidR="00C700EC" w:rsidRPr="00920634" w:rsidRDefault="00D718A5" w:rsidP="00114439">
      <w:pPr>
        <w:pStyle w:val="Odstavecseseznamem"/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b/>
          <w:i/>
        </w:rPr>
      </w:pPr>
      <w:r w:rsidRPr="00920634">
        <w:rPr>
          <w:rFonts w:asciiTheme="minorHAnsi" w:hAnsiTheme="minorHAnsi" w:cstheme="minorHAnsi"/>
          <w:b/>
          <w:i/>
        </w:rPr>
        <w:t>účtování</w:t>
      </w:r>
      <w:r w:rsidR="0025368A" w:rsidRPr="00920634">
        <w:rPr>
          <w:rFonts w:asciiTheme="minorHAnsi" w:hAnsiTheme="minorHAnsi" w:cstheme="minorHAnsi"/>
          <w:b/>
          <w:i/>
        </w:rPr>
        <w:t xml:space="preserve"> </w:t>
      </w:r>
      <w:r w:rsidR="00C700EC" w:rsidRPr="00920634">
        <w:rPr>
          <w:rFonts w:asciiTheme="minorHAnsi" w:hAnsiTheme="minorHAnsi" w:cstheme="minorHAnsi"/>
          <w:b/>
          <w:i/>
        </w:rPr>
        <w:t>pohledáv</w:t>
      </w:r>
      <w:r w:rsidR="0025368A" w:rsidRPr="00920634">
        <w:rPr>
          <w:rFonts w:asciiTheme="minorHAnsi" w:hAnsiTheme="minorHAnsi" w:cstheme="minorHAnsi"/>
          <w:b/>
          <w:i/>
        </w:rPr>
        <w:t>e</w:t>
      </w:r>
      <w:r w:rsidR="00C700EC" w:rsidRPr="00920634">
        <w:rPr>
          <w:rFonts w:asciiTheme="minorHAnsi" w:hAnsiTheme="minorHAnsi" w:cstheme="minorHAnsi"/>
          <w:b/>
          <w:i/>
        </w:rPr>
        <w:t xml:space="preserve">k </w:t>
      </w:r>
      <w:r w:rsidR="008D073A">
        <w:rPr>
          <w:rFonts w:asciiTheme="minorHAnsi" w:hAnsiTheme="minorHAnsi" w:cstheme="minorHAnsi"/>
          <w:b/>
          <w:i/>
        </w:rPr>
        <w:t>z </w:t>
      </w:r>
      <w:r w:rsidR="00C700EC" w:rsidRPr="00920634">
        <w:rPr>
          <w:rFonts w:asciiTheme="minorHAnsi" w:hAnsiTheme="minorHAnsi" w:cstheme="minorHAnsi"/>
          <w:b/>
          <w:i/>
        </w:rPr>
        <w:t>předfinancování</w:t>
      </w:r>
    </w:p>
    <w:p w14:paraId="48AA7A63" w14:textId="48D52887" w:rsidR="00752AFB" w:rsidRDefault="00C700EC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MŠMT </w:t>
      </w:r>
      <w:r w:rsidR="00E1169C" w:rsidRPr="00920634">
        <w:rPr>
          <w:rFonts w:asciiTheme="minorHAnsi" w:hAnsiTheme="minorHAnsi" w:cstheme="minorHAnsi"/>
        </w:rPr>
        <w:t xml:space="preserve">i </w:t>
      </w:r>
      <w:r w:rsidRPr="00920634">
        <w:rPr>
          <w:rFonts w:asciiTheme="minorHAnsi" w:hAnsiTheme="minorHAnsi" w:cstheme="minorHAnsi"/>
        </w:rPr>
        <w:t>MZe</w:t>
      </w:r>
      <w:r w:rsidR="00E1169C" w:rsidRPr="00920634">
        <w:rPr>
          <w:rFonts w:asciiTheme="minorHAnsi" w:hAnsiTheme="minorHAnsi" w:cstheme="minorHAnsi"/>
        </w:rPr>
        <w:t xml:space="preserve"> se u některých prostředků spolufinancovaných ze zahraničí nacházejí v situaci, kdy jsou sice příjemci </w:t>
      </w:r>
      <w:r w:rsidR="001A03EC" w:rsidRPr="00920634">
        <w:rPr>
          <w:rFonts w:asciiTheme="minorHAnsi" w:hAnsiTheme="minorHAnsi" w:cstheme="minorHAnsi"/>
        </w:rPr>
        <w:t>peněžních prostředků</w:t>
      </w:r>
      <w:r w:rsidR="00E1169C" w:rsidRPr="00920634">
        <w:rPr>
          <w:rFonts w:asciiTheme="minorHAnsi" w:hAnsiTheme="minorHAnsi" w:cstheme="minorHAnsi"/>
        </w:rPr>
        <w:t>, ale žádost o tyto prostředky podává jiný subjekt</w:t>
      </w:r>
      <w:r w:rsidR="001A03EC" w:rsidRPr="00920634">
        <w:rPr>
          <w:rStyle w:val="Znakapoznpodarou"/>
          <w:rFonts w:asciiTheme="minorHAnsi" w:hAnsiTheme="minorHAnsi" w:cstheme="minorHAnsi"/>
        </w:rPr>
        <w:footnoteReference w:id="67"/>
      </w:r>
      <w:r w:rsidR="001A03EC" w:rsidRPr="00920634">
        <w:rPr>
          <w:rFonts w:asciiTheme="minorHAnsi" w:hAnsiTheme="minorHAnsi" w:cstheme="minorHAnsi"/>
        </w:rPr>
        <w:t>.</w:t>
      </w:r>
    </w:p>
    <w:p w14:paraId="2E1FA58F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6B08548F" w14:textId="27DF6FD8" w:rsidR="00C700EC" w:rsidRDefault="00437328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Od 1. </w:t>
      </w:r>
      <w:r w:rsidR="00D718A5" w:rsidRPr="00920634">
        <w:rPr>
          <w:rFonts w:asciiTheme="minorHAnsi" w:hAnsiTheme="minorHAnsi" w:cstheme="minorHAnsi"/>
        </w:rPr>
        <w:t>ledna</w:t>
      </w:r>
      <w:r w:rsidRPr="00920634">
        <w:rPr>
          <w:rFonts w:asciiTheme="minorHAnsi" w:hAnsiTheme="minorHAnsi" w:cstheme="minorHAnsi"/>
        </w:rPr>
        <w:t xml:space="preserve"> 2015 má dle účetní</w:t>
      </w:r>
      <w:r w:rsidR="002D3966" w:rsidRPr="00920634">
        <w:rPr>
          <w:rFonts w:asciiTheme="minorHAnsi" w:hAnsiTheme="minorHAnsi" w:cstheme="minorHAnsi"/>
        </w:rPr>
        <w:t xml:space="preserve"> </w:t>
      </w:r>
      <w:r w:rsidR="001A03EC" w:rsidRPr="00920634">
        <w:rPr>
          <w:rFonts w:asciiTheme="minorHAnsi" w:hAnsiTheme="minorHAnsi" w:cstheme="minorHAnsi"/>
        </w:rPr>
        <w:t>regulace</w:t>
      </w:r>
      <w:r w:rsidRPr="00920634">
        <w:rPr>
          <w:rFonts w:asciiTheme="minorHAnsi" w:hAnsiTheme="minorHAnsi" w:cstheme="minorHAnsi"/>
        </w:rPr>
        <w:t xml:space="preserve"> </w:t>
      </w:r>
      <w:r w:rsidR="008D05F4">
        <w:rPr>
          <w:rFonts w:asciiTheme="minorHAnsi" w:hAnsiTheme="minorHAnsi" w:cstheme="minorHAnsi"/>
        </w:rPr>
        <w:t>organizační složka státu</w:t>
      </w:r>
      <w:r w:rsidRPr="00920634">
        <w:rPr>
          <w:rFonts w:asciiTheme="minorHAnsi" w:hAnsiTheme="minorHAnsi" w:cstheme="minorHAnsi"/>
        </w:rPr>
        <w:t xml:space="preserve"> </w:t>
      </w:r>
      <w:r w:rsidR="008D073A">
        <w:rPr>
          <w:rFonts w:asciiTheme="minorHAnsi" w:hAnsiTheme="minorHAnsi" w:cstheme="minorHAnsi"/>
        </w:rPr>
        <w:t>v </w:t>
      </w:r>
      <w:r w:rsidRPr="00920634">
        <w:rPr>
          <w:rFonts w:asciiTheme="minorHAnsi" w:hAnsiTheme="minorHAnsi" w:cstheme="minorHAnsi"/>
        </w:rPr>
        <w:t>případě poskytnutí předfinancování účtovat o</w:t>
      </w:r>
      <w:r w:rsidR="00350806" w:rsidRPr="00920634">
        <w:rPr>
          <w:rFonts w:asciiTheme="minorHAnsi" w:hAnsiTheme="minorHAnsi" w:cstheme="minorHAnsi"/>
        </w:rPr>
        <w:t> </w:t>
      </w:r>
      <w:r w:rsidRPr="00920634">
        <w:rPr>
          <w:rFonts w:asciiTheme="minorHAnsi" w:hAnsiTheme="minorHAnsi" w:cstheme="minorHAnsi"/>
        </w:rPr>
        <w:t>vzniku podmíněné pohledávky bez ohledu na to, zda</w:t>
      </w:r>
      <w:r w:rsidR="001A03EC" w:rsidRPr="00920634">
        <w:rPr>
          <w:rFonts w:asciiTheme="minorHAnsi" w:hAnsiTheme="minorHAnsi" w:cstheme="minorHAnsi"/>
        </w:rPr>
        <w:t xml:space="preserve"> i touto účetní jednotkou</w:t>
      </w:r>
      <w:r w:rsidRPr="00920634">
        <w:rPr>
          <w:rFonts w:asciiTheme="minorHAnsi" w:hAnsiTheme="minorHAnsi" w:cstheme="minorHAnsi"/>
        </w:rPr>
        <w:t xml:space="preserve"> byla podána žádost o refundaci tohoto předfinancování. </w:t>
      </w:r>
      <w:r w:rsidR="008D073A">
        <w:rPr>
          <w:rFonts w:asciiTheme="minorHAnsi" w:hAnsiTheme="minorHAnsi" w:cstheme="minorHAnsi"/>
        </w:rPr>
        <w:t>Z </w:t>
      </w:r>
      <w:r w:rsidR="00C700EC" w:rsidRPr="00920634">
        <w:rPr>
          <w:rFonts w:asciiTheme="minorHAnsi" w:hAnsiTheme="minorHAnsi" w:cstheme="minorHAnsi"/>
        </w:rPr>
        <w:t xml:space="preserve">novely účetní </w:t>
      </w:r>
      <w:r w:rsidR="001A03EC" w:rsidRPr="00920634">
        <w:rPr>
          <w:rFonts w:asciiTheme="minorHAnsi" w:hAnsiTheme="minorHAnsi" w:cstheme="minorHAnsi"/>
        </w:rPr>
        <w:t>regulace</w:t>
      </w:r>
      <w:r w:rsidR="00C700EC" w:rsidRPr="00920634">
        <w:rPr>
          <w:rFonts w:asciiTheme="minorHAnsi" w:hAnsiTheme="minorHAnsi" w:cstheme="minorHAnsi"/>
        </w:rPr>
        <w:t xml:space="preserve"> </w:t>
      </w:r>
      <w:r w:rsidRPr="00920634">
        <w:rPr>
          <w:rFonts w:asciiTheme="minorHAnsi" w:hAnsiTheme="minorHAnsi" w:cstheme="minorHAnsi"/>
        </w:rPr>
        <w:t xml:space="preserve">tak </w:t>
      </w:r>
      <w:r w:rsidR="001A03EC" w:rsidRPr="00920634">
        <w:rPr>
          <w:rFonts w:asciiTheme="minorHAnsi" w:hAnsiTheme="minorHAnsi" w:cstheme="minorHAnsi"/>
        </w:rPr>
        <w:t xml:space="preserve">implicitně </w:t>
      </w:r>
      <w:r w:rsidR="00C700EC" w:rsidRPr="00920634">
        <w:rPr>
          <w:rFonts w:asciiTheme="minorHAnsi" w:hAnsiTheme="minorHAnsi" w:cstheme="minorHAnsi"/>
        </w:rPr>
        <w:t xml:space="preserve">vyplývá předpoklad, že </w:t>
      </w:r>
      <w:r w:rsidRPr="00920634">
        <w:rPr>
          <w:rFonts w:asciiTheme="minorHAnsi" w:hAnsiTheme="minorHAnsi" w:cstheme="minorHAnsi"/>
        </w:rPr>
        <w:t xml:space="preserve">OSS má dostatek informací pro posouzení </w:t>
      </w:r>
      <w:r w:rsidR="00855242" w:rsidRPr="00920634">
        <w:rPr>
          <w:rFonts w:asciiTheme="minorHAnsi" w:hAnsiTheme="minorHAnsi" w:cstheme="minorHAnsi"/>
        </w:rPr>
        <w:t xml:space="preserve">trvání důvodů pro vykázání takové pohledávky. </w:t>
      </w:r>
      <w:r w:rsidR="00855242" w:rsidRPr="00920634">
        <w:rPr>
          <w:rFonts w:asciiTheme="minorHAnsi" w:hAnsiTheme="minorHAnsi" w:cstheme="minorHAnsi"/>
          <w:b/>
        </w:rPr>
        <w:t>NKÚ upozorňuje, že v praxi může být naplnění tohoto předpokladu obtížn</w:t>
      </w:r>
      <w:r w:rsidR="005F6D2E" w:rsidRPr="00920634">
        <w:rPr>
          <w:rFonts w:asciiTheme="minorHAnsi" w:hAnsiTheme="minorHAnsi" w:cstheme="minorHAnsi"/>
          <w:b/>
        </w:rPr>
        <w:t>é</w:t>
      </w:r>
      <w:r w:rsidR="00855242" w:rsidRPr="00920634">
        <w:rPr>
          <w:rFonts w:asciiTheme="minorHAnsi" w:hAnsiTheme="minorHAnsi" w:cstheme="minorHAnsi"/>
          <w:b/>
        </w:rPr>
        <w:t>, neboť i když OSS přijímá prostředky, správa samotné</w:t>
      </w:r>
      <w:r w:rsidR="00357884" w:rsidRPr="00920634">
        <w:rPr>
          <w:rFonts w:asciiTheme="minorHAnsi" w:hAnsiTheme="minorHAnsi" w:cstheme="minorHAnsi"/>
          <w:b/>
        </w:rPr>
        <w:t>ho</w:t>
      </w:r>
      <w:r w:rsidR="00855242" w:rsidRPr="00920634">
        <w:rPr>
          <w:rFonts w:asciiTheme="minorHAnsi" w:hAnsiTheme="minorHAnsi" w:cstheme="minorHAnsi"/>
          <w:b/>
        </w:rPr>
        <w:t xml:space="preserve"> nároku </w:t>
      </w:r>
      <w:r w:rsidR="00357884" w:rsidRPr="00920634">
        <w:rPr>
          <w:rFonts w:asciiTheme="minorHAnsi" w:hAnsiTheme="minorHAnsi" w:cstheme="minorHAnsi"/>
          <w:b/>
        </w:rPr>
        <w:t>je</w:t>
      </w:r>
      <w:r w:rsidR="00855242" w:rsidRPr="00920634">
        <w:rPr>
          <w:rFonts w:asciiTheme="minorHAnsi" w:hAnsiTheme="minorHAnsi" w:cstheme="minorHAnsi"/>
          <w:b/>
        </w:rPr>
        <w:t> pod kontrolou jiného subjektu</w:t>
      </w:r>
      <w:r w:rsidR="001A03EC" w:rsidRPr="00920634">
        <w:rPr>
          <w:rFonts w:asciiTheme="minorHAnsi" w:hAnsiTheme="minorHAnsi" w:cstheme="minorHAnsi"/>
          <w:b/>
        </w:rPr>
        <w:t>. M</w:t>
      </w:r>
      <w:r w:rsidR="00855242" w:rsidRPr="00920634">
        <w:rPr>
          <w:rFonts w:asciiTheme="minorHAnsi" w:hAnsiTheme="minorHAnsi" w:cstheme="minorHAnsi"/>
          <w:b/>
        </w:rPr>
        <w:t xml:space="preserve">ohou tak vznikat rozdíly </w:t>
      </w:r>
      <w:r w:rsidR="008D05F4">
        <w:rPr>
          <w:rFonts w:asciiTheme="minorHAnsi" w:hAnsiTheme="minorHAnsi" w:cstheme="minorHAnsi"/>
          <w:b/>
        </w:rPr>
        <w:t>způsobené</w:t>
      </w:r>
      <w:r w:rsidR="00855242" w:rsidRPr="00920634">
        <w:rPr>
          <w:rFonts w:asciiTheme="minorHAnsi" w:hAnsiTheme="minorHAnsi" w:cstheme="minorHAnsi"/>
          <w:b/>
        </w:rPr>
        <w:t xml:space="preserve"> ztrát</w:t>
      </w:r>
      <w:r w:rsidR="008D05F4">
        <w:rPr>
          <w:rFonts w:asciiTheme="minorHAnsi" w:hAnsiTheme="minorHAnsi" w:cstheme="minorHAnsi"/>
          <w:b/>
        </w:rPr>
        <w:t>ou</w:t>
      </w:r>
      <w:r w:rsidR="00855242" w:rsidRPr="00920634">
        <w:rPr>
          <w:rFonts w:asciiTheme="minorHAnsi" w:hAnsiTheme="minorHAnsi" w:cstheme="minorHAnsi"/>
          <w:b/>
        </w:rPr>
        <w:t xml:space="preserve"> refundovatelnosti či </w:t>
      </w:r>
      <w:r w:rsidR="008D05F4">
        <w:rPr>
          <w:rFonts w:asciiTheme="minorHAnsi" w:hAnsiTheme="minorHAnsi" w:cstheme="minorHAnsi"/>
          <w:b/>
        </w:rPr>
        <w:t xml:space="preserve">v důsledku </w:t>
      </w:r>
      <w:r w:rsidR="00855242" w:rsidRPr="00920634">
        <w:rPr>
          <w:rFonts w:asciiTheme="minorHAnsi" w:hAnsiTheme="minorHAnsi" w:cstheme="minorHAnsi"/>
          <w:b/>
        </w:rPr>
        <w:t xml:space="preserve">kurzových dopadů, obtížně promítnutelných do výše ocenění pohledávky u OSS. </w:t>
      </w:r>
      <w:r w:rsidR="005C3074" w:rsidRPr="005C3074">
        <w:rPr>
          <w:rFonts w:asciiTheme="minorHAnsi" w:hAnsiTheme="minorHAnsi" w:cstheme="minorHAnsi"/>
        </w:rPr>
        <w:t>To klade zvýšené nároky na správné nastavení</w:t>
      </w:r>
      <w:r w:rsidR="001A03EC" w:rsidRPr="005C3074">
        <w:rPr>
          <w:rFonts w:asciiTheme="minorHAnsi" w:hAnsiTheme="minorHAnsi" w:cstheme="minorHAnsi"/>
        </w:rPr>
        <w:t xml:space="preserve"> </w:t>
      </w:r>
      <w:r w:rsidR="005C3074">
        <w:rPr>
          <w:rFonts w:asciiTheme="minorHAnsi" w:hAnsiTheme="minorHAnsi" w:cstheme="minorHAnsi"/>
        </w:rPr>
        <w:t xml:space="preserve">informačních toků </w:t>
      </w:r>
      <w:r w:rsidR="001A03EC" w:rsidRPr="005C3074">
        <w:rPr>
          <w:rFonts w:asciiTheme="minorHAnsi" w:hAnsiTheme="minorHAnsi" w:cstheme="minorHAnsi"/>
        </w:rPr>
        <w:t>s ohledem na tyto skutečnosti</w:t>
      </w:r>
      <w:r w:rsidR="005C3074">
        <w:rPr>
          <w:rFonts w:asciiTheme="minorHAnsi" w:hAnsiTheme="minorHAnsi" w:cstheme="minorHAnsi"/>
        </w:rPr>
        <w:t>. Jinak</w:t>
      </w:r>
      <w:r w:rsidR="00BA5965" w:rsidRPr="005C3074">
        <w:rPr>
          <w:rFonts w:asciiTheme="minorHAnsi" w:hAnsiTheme="minorHAnsi" w:cstheme="minorHAnsi"/>
        </w:rPr>
        <w:t xml:space="preserve"> vykázané údaje o</w:t>
      </w:r>
      <w:r w:rsidR="00920634" w:rsidRPr="005C3074">
        <w:rPr>
          <w:rFonts w:asciiTheme="minorHAnsi" w:hAnsiTheme="minorHAnsi" w:cstheme="minorHAnsi"/>
        </w:rPr>
        <w:t> </w:t>
      </w:r>
      <w:r w:rsidR="00BA5965" w:rsidRPr="005C3074">
        <w:rPr>
          <w:rFonts w:asciiTheme="minorHAnsi" w:hAnsiTheme="minorHAnsi" w:cstheme="minorHAnsi"/>
        </w:rPr>
        <w:t>výši</w:t>
      </w:r>
      <w:r w:rsidR="00BA5965" w:rsidRPr="00920634">
        <w:rPr>
          <w:rFonts w:asciiTheme="minorHAnsi" w:hAnsiTheme="minorHAnsi" w:cstheme="minorHAnsi"/>
        </w:rPr>
        <w:t xml:space="preserve"> podmíněných pohledávek z předfinancování mohou </w:t>
      </w:r>
      <w:r w:rsidR="005F6D2E" w:rsidRPr="00920634">
        <w:rPr>
          <w:rFonts w:asciiTheme="minorHAnsi" w:hAnsiTheme="minorHAnsi" w:cstheme="minorHAnsi"/>
        </w:rPr>
        <w:t xml:space="preserve">být </w:t>
      </w:r>
      <w:r w:rsidR="00244D9F" w:rsidRPr="00920634">
        <w:rPr>
          <w:rFonts w:asciiTheme="minorHAnsi" w:hAnsiTheme="minorHAnsi" w:cstheme="minorHAnsi"/>
        </w:rPr>
        <w:t>nesprávné.</w:t>
      </w:r>
    </w:p>
    <w:p w14:paraId="0F1F2E74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75CF9C62" w14:textId="7EE60C67" w:rsidR="009B0433" w:rsidRDefault="00855242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 xml:space="preserve">Kontrola dále identifikovala rozdíly v přístupu MZe a MŠMT k povaze nároku, který jim </w:t>
      </w:r>
      <w:r w:rsidR="00B61146">
        <w:rPr>
          <w:rFonts w:asciiTheme="minorHAnsi" w:hAnsiTheme="minorHAnsi" w:cstheme="minorHAnsi"/>
        </w:rPr>
        <w:t>vzniká</w:t>
      </w:r>
      <w:r w:rsidRPr="00920634">
        <w:rPr>
          <w:rFonts w:asciiTheme="minorHAnsi" w:hAnsiTheme="minorHAnsi" w:cstheme="minorHAnsi"/>
        </w:rPr>
        <w:t xml:space="preserve"> z titulu provedeného předfinancování. Zatímco MŠMT podmíněné pohledávky z předfinancování v okamžiku schválení ze strany Národního fondu Ministerstva financí přeúčtovává na pohledávky rozvahové, MZe tak nečiní</w:t>
      </w:r>
      <w:r w:rsidR="00B61146">
        <w:rPr>
          <w:rFonts w:asciiTheme="minorHAnsi" w:hAnsiTheme="minorHAnsi" w:cstheme="minorHAnsi"/>
        </w:rPr>
        <w:t>.</w:t>
      </w:r>
      <w:r w:rsidR="00027F86" w:rsidRPr="00920634">
        <w:rPr>
          <w:rStyle w:val="Znakapoznpodarou"/>
          <w:rFonts w:asciiTheme="minorHAnsi" w:hAnsiTheme="minorHAnsi" w:cstheme="minorHAnsi"/>
        </w:rPr>
        <w:footnoteReference w:id="68"/>
      </w:r>
      <w:r w:rsidR="00BA5965" w:rsidRPr="00920634">
        <w:rPr>
          <w:rFonts w:asciiTheme="minorHAnsi" w:hAnsiTheme="minorHAnsi" w:cstheme="minorHAnsi"/>
        </w:rPr>
        <w:t xml:space="preserve"> </w:t>
      </w:r>
      <w:r w:rsidR="009B0433" w:rsidRPr="004240F2">
        <w:rPr>
          <w:rFonts w:asciiTheme="minorHAnsi" w:hAnsiTheme="minorHAnsi" w:cstheme="minorHAnsi"/>
        </w:rPr>
        <w:t xml:space="preserve">Dle názoru NKÚ napomáhá přístup MŠMT věrněji zobrazit skutečnost, zároveň </w:t>
      </w:r>
      <w:r w:rsidR="00B61146">
        <w:rPr>
          <w:rFonts w:asciiTheme="minorHAnsi" w:hAnsiTheme="minorHAnsi" w:cstheme="minorHAnsi"/>
        </w:rPr>
        <w:t xml:space="preserve">je </w:t>
      </w:r>
      <w:r w:rsidR="009B0433" w:rsidRPr="004240F2">
        <w:rPr>
          <w:rFonts w:asciiTheme="minorHAnsi" w:hAnsiTheme="minorHAnsi" w:cstheme="minorHAnsi"/>
        </w:rPr>
        <w:t xml:space="preserve">však </w:t>
      </w:r>
      <w:r w:rsidR="00B61146">
        <w:rPr>
          <w:rFonts w:asciiTheme="minorHAnsi" w:hAnsiTheme="minorHAnsi" w:cstheme="minorHAnsi"/>
        </w:rPr>
        <w:t>nutno</w:t>
      </w:r>
      <w:r w:rsidR="009B0433" w:rsidRPr="004240F2">
        <w:rPr>
          <w:rFonts w:asciiTheme="minorHAnsi" w:hAnsiTheme="minorHAnsi" w:cstheme="minorHAnsi"/>
        </w:rPr>
        <w:t xml:space="preserve"> konstatovat, že postup používaný MZe nebyl v rozporu s účetní regulací. Je třeba upozornit, že z důvodu stanovení rozdílného okamžiku odúčtování podmíněné pohledávky jsou vykázané údaje mezi </w:t>
      </w:r>
      <w:r w:rsidR="00B61146">
        <w:rPr>
          <w:rFonts w:asciiTheme="minorHAnsi" w:hAnsiTheme="minorHAnsi" w:cstheme="minorHAnsi"/>
        </w:rPr>
        <w:t xml:space="preserve">kontrolovanými </w:t>
      </w:r>
      <w:r w:rsidR="009B0433" w:rsidRPr="004240F2">
        <w:rPr>
          <w:rFonts w:asciiTheme="minorHAnsi" w:hAnsiTheme="minorHAnsi" w:cstheme="minorHAnsi"/>
        </w:rPr>
        <w:t>účetními jednotkami významně nesrovnatelné.</w:t>
      </w:r>
    </w:p>
    <w:p w14:paraId="75973CC2" w14:textId="77777777" w:rsidR="009B0433" w:rsidRPr="004240F2" w:rsidRDefault="009B0433" w:rsidP="00114439">
      <w:pPr>
        <w:jc w:val="both"/>
        <w:rPr>
          <w:rFonts w:asciiTheme="minorHAnsi" w:hAnsiTheme="minorHAnsi" w:cstheme="minorHAnsi"/>
        </w:rPr>
      </w:pPr>
    </w:p>
    <w:p w14:paraId="738F0D8C" w14:textId="0A502E64" w:rsidR="007F5917" w:rsidRPr="00920634" w:rsidRDefault="001A1847" w:rsidP="00114439">
      <w:pPr>
        <w:pStyle w:val="Textkomente"/>
        <w:jc w:val="both"/>
        <w:rPr>
          <w:rFonts w:asciiTheme="minorHAnsi" w:hAnsiTheme="minorHAnsi" w:cstheme="minorHAnsi"/>
          <w:sz w:val="24"/>
        </w:rPr>
      </w:pPr>
      <w:r w:rsidRPr="00920634">
        <w:rPr>
          <w:rFonts w:asciiTheme="minorHAnsi" w:hAnsiTheme="minorHAnsi" w:cstheme="minorHAnsi"/>
          <w:sz w:val="24"/>
        </w:rPr>
        <w:t xml:space="preserve">NKÚ se domnívá, že </w:t>
      </w:r>
      <w:r w:rsidR="00C76242">
        <w:rPr>
          <w:rFonts w:asciiTheme="minorHAnsi" w:hAnsiTheme="minorHAnsi" w:cstheme="minorHAnsi"/>
          <w:sz w:val="24"/>
        </w:rPr>
        <w:t xml:space="preserve">případy tohoto typu </w:t>
      </w:r>
      <w:r w:rsidRPr="00920634">
        <w:rPr>
          <w:rFonts w:asciiTheme="minorHAnsi" w:hAnsiTheme="minorHAnsi" w:cstheme="minorHAnsi"/>
          <w:sz w:val="24"/>
        </w:rPr>
        <w:t xml:space="preserve">mohou významně </w:t>
      </w:r>
      <w:r w:rsidR="005C3074">
        <w:rPr>
          <w:rFonts w:asciiTheme="minorHAnsi" w:hAnsiTheme="minorHAnsi" w:cstheme="minorHAnsi"/>
          <w:sz w:val="24"/>
        </w:rPr>
        <w:t>ovlivňovat</w:t>
      </w:r>
      <w:r w:rsidRPr="00920634">
        <w:rPr>
          <w:rFonts w:asciiTheme="minorHAnsi" w:hAnsiTheme="minorHAnsi" w:cstheme="minorHAnsi"/>
          <w:sz w:val="24"/>
        </w:rPr>
        <w:t xml:space="preserve"> nejen obraz finanční situac</w:t>
      </w:r>
      <w:r w:rsidR="00C76242">
        <w:rPr>
          <w:rFonts w:asciiTheme="minorHAnsi" w:hAnsiTheme="minorHAnsi" w:cstheme="minorHAnsi"/>
          <w:sz w:val="24"/>
        </w:rPr>
        <w:t>e</w:t>
      </w:r>
      <w:r w:rsidRPr="00920634">
        <w:rPr>
          <w:rFonts w:asciiTheme="minorHAnsi" w:hAnsiTheme="minorHAnsi" w:cstheme="minorHAnsi"/>
          <w:sz w:val="24"/>
        </w:rPr>
        <w:t xml:space="preserve"> a výsledku hospodaření konkrétních účetních jednotek, ale také vypovídací schopnost</w:t>
      </w:r>
      <w:r w:rsidR="00C76242">
        <w:rPr>
          <w:rFonts w:asciiTheme="minorHAnsi" w:hAnsiTheme="minorHAnsi" w:cstheme="minorHAnsi"/>
          <w:sz w:val="24"/>
        </w:rPr>
        <w:t>,</w:t>
      </w:r>
      <w:r w:rsidRPr="00920634">
        <w:rPr>
          <w:rFonts w:asciiTheme="minorHAnsi" w:hAnsiTheme="minorHAnsi" w:cstheme="minorHAnsi"/>
          <w:sz w:val="24"/>
        </w:rPr>
        <w:t xml:space="preserve"> a t</w:t>
      </w:r>
      <w:r w:rsidR="00C76242">
        <w:rPr>
          <w:rFonts w:asciiTheme="minorHAnsi" w:hAnsiTheme="minorHAnsi" w:cstheme="minorHAnsi"/>
          <w:sz w:val="24"/>
        </w:rPr>
        <w:t>edy</w:t>
      </w:r>
      <w:r w:rsidRPr="00920634">
        <w:rPr>
          <w:rFonts w:asciiTheme="minorHAnsi" w:hAnsiTheme="minorHAnsi" w:cstheme="minorHAnsi"/>
          <w:sz w:val="24"/>
        </w:rPr>
        <w:t xml:space="preserve"> i využitelnost souhrnných účetních výkazů sestavovaných za Českou republiku</w:t>
      </w:r>
      <w:r w:rsidR="007B68CE" w:rsidRPr="00920634">
        <w:rPr>
          <w:rFonts w:asciiTheme="minorHAnsi" w:hAnsiTheme="minorHAnsi" w:cstheme="minorHAnsi"/>
          <w:sz w:val="24"/>
        </w:rPr>
        <w:t xml:space="preserve"> </w:t>
      </w:r>
      <w:r w:rsidRPr="00920634">
        <w:rPr>
          <w:rFonts w:asciiTheme="minorHAnsi" w:hAnsiTheme="minorHAnsi" w:cstheme="minorHAnsi"/>
          <w:sz w:val="24"/>
        </w:rPr>
        <w:t>od roku 2015.</w:t>
      </w:r>
    </w:p>
    <w:p w14:paraId="2233060E" w14:textId="77777777" w:rsidR="00C66C0A" w:rsidRPr="00920634" w:rsidRDefault="00C66C0A" w:rsidP="00114439">
      <w:pPr>
        <w:pStyle w:val="NormlnKZ"/>
        <w:spacing w:after="0"/>
        <w:ind w:firstLine="0"/>
        <w:rPr>
          <w:rFonts w:asciiTheme="minorHAnsi" w:hAnsiTheme="minorHAnsi" w:cstheme="minorHAnsi"/>
          <w:b/>
        </w:rPr>
      </w:pPr>
    </w:p>
    <w:p w14:paraId="5207AD18" w14:textId="1AF8E601" w:rsidR="007F5917" w:rsidRPr="00920634" w:rsidRDefault="000A591E" w:rsidP="008D4CD3">
      <w:pPr>
        <w:keepNext/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4. Sledování a vykazování </w:t>
      </w:r>
      <w:r w:rsidR="00E03DBC" w:rsidRPr="00920634">
        <w:rPr>
          <w:rFonts w:asciiTheme="minorHAnsi" w:hAnsiTheme="minorHAnsi" w:cstheme="minorHAnsi"/>
          <w:b/>
        </w:rPr>
        <w:t xml:space="preserve">výsledného </w:t>
      </w:r>
      <w:r w:rsidRPr="00920634">
        <w:rPr>
          <w:rFonts w:asciiTheme="minorHAnsi" w:hAnsiTheme="minorHAnsi" w:cstheme="minorHAnsi"/>
          <w:b/>
        </w:rPr>
        <w:t xml:space="preserve">čerpání prostředků z rozpočtu EU </w:t>
      </w:r>
    </w:p>
    <w:p w14:paraId="0B884784" w14:textId="77777777" w:rsidR="007F5917" w:rsidRPr="00920634" w:rsidRDefault="007F5917" w:rsidP="008D4CD3">
      <w:pPr>
        <w:keepNext/>
        <w:jc w:val="both"/>
        <w:rPr>
          <w:rFonts w:asciiTheme="minorHAnsi" w:hAnsiTheme="minorHAnsi" w:cstheme="minorHAnsi"/>
          <w:b/>
        </w:rPr>
      </w:pPr>
    </w:p>
    <w:p w14:paraId="19E76C9D" w14:textId="7EC17C4A" w:rsidR="00735D46" w:rsidRPr="00920634" w:rsidRDefault="00B14CA8" w:rsidP="001144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Hodnocení skutečné finanční náročnosti výdajových politik spolufinancovaných z rozpočtu EU by mělo být dle NKÚ spojeno </w:t>
      </w:r>
      <w:r w:rsidR="008D073A">
        <w:rPr>
          <w:rFonts w:asciiTheme="minorHAnsi" w:hAnsiTheme="minorHAnsi" w:cstheme="minorHAnsi"/>
        </w:rPr>
        <w:t>s </w:t>
      </w:r>
      <w:r w:rsidR="003D395E">
        <w:rPr>
          <w:rFonts w:asciiTheme="minorHAnsi" w:hAnsiTheme="minorHAnsi" w:cstheme="minorHAnsi"/>
        </w:rPr>
        <w:t>informací</w:t>
      </w:r>
      <w:r>
        <w:rPr>
          <w:rFonts w:asciiTheme="minorHAnsi" w:hAnsiTheme="minorHAnsi" w:cstheme="minorHAnsi"/>
        </w:rPr>
        <w:t>, jakou výši nákladů</w:t>
      </w:r>
      <w:r w:rsidR="005C3074">
        <w:rPr>
          <w:rFonts w:asciiTheme="minorHAnsi" w:hAnsiTheme="minorHAnsi" w:cstheme="minorHAnsi"/>
        </w:rPr>
        <w:t xml:space="preserve"> výsledně skutečně</w:t>
      </w:r>
      <w:r>
        <w:rPr>
          <w:rFonts w:asciiTheme="minorHAnsi" w:hAnsiTheme="minorHAnsi" w:cstheme="minorHAnsi"/>
        </w:rPr>
        <w:t xml:space="preserve"> nese členský stát v souvislosti se zapojením do výdajových politik EU</w:t>
      </w:r>
      <w:r w:rsidR="00735D46" w:rsidRPr="00920634">
        <w:rPr>
          <w:rFonts w:asciiTheme="minorHAnsi" w:hAnsiTheme="minorHAnsi" w:cstheme="minorHAnsi"/>
        </w:rPr>
        <w:t xml:space="preserve"> </w:t>
      </w:r>
      <w:r w:rsidR="000A591E" w:rsidRPr="00920634">
        <w:rPr>
          <w:rFonts w:asciiTheme="minorHAnsi" w:hAnsiTheme="minorHAnsi" w:cstheme="minorHAnsi"/>
        </w:rPr>
        <w:t>(např. operačních program</w:t>
      </w:r>
      <w:r>
        <w:rPr>
          <w:rFonts w:asciiTheme="minorHAnsi" w:hAnsiTheme="minorHAnsi" w:cstheme="minorHAnsi"/>
        </w:rPr>
        <w:t>ů</w:t>
      </w:r>
      <w:r w:rsidR="000A591E" w:rsidRPr="00920634">
        <w:rPr>
          <w:rFonts w:asciiTheme="minorHAnsi" w:hAnsiTheme="minorHAnsi" w:cstheme="minorHAnsi"/>
        </w:rPr>
        <w:t>)</w:t>
      </w:r>
      <w:r w:rsidR="003D395E">
        <w:rPr>
          <w:rFonts w:asciiTheme="minorHAnsi" w:hAnsiTheme="minorHAnsi" w:cstheme="minorHAnsi"/>
        </w:rPr>
        <w:t>.</w:t>
      </w:r>
      <w:r w:rsidR="00735D46" w:rsidRPr="00920634">
        <w:rPr>
          <w:rFonts w:asciiTheme="minorHAnsi" w:hAnsiTheme="minorHAnsi" w:cstheme="minorHAnsi"/>
        </w:rPr>
        <w:t xml:space="preserve"> </w:t>
      </w:r>
      <w:r w:rsidR="003D395E">
        <w:rPr>
          <w:rFonts w:asciiTheme="minorHAnsi" w:hAnsiTheme="minorHAnsi" w:cstheme="minorHAnsi"/>
        </w:rPr>
        <w:t xml:space="preserve">Zapojení členského státu lze </w:t>
      </w:r>
      <w:r w:rsidR="00735D46" w:rsidRPr="00920634">
        <w:rPr>
          <w:rFonts w:asciiTheme="minorHAnsi" w:hAnsiTheme="minorHAnsi" w:cstheme="minorHAnsi"/>
        </w:rPr>
        <w:t>formulov</w:t>
      </w:r>
      <w:r w:rsidR="003D395E">
        <w:rPr>
          <w:rFonts w:asciiTheme="minorHAnsi" w:hAnsiTheme="minorHAnsi" w:cstheme="minorHAnsi"/>
        </w:rPr>
        <w:t>at</w:t>
      </w:r>
      <w:r w:rsidR="00735D46" w:rsidRPr="00920634">
        <w:rPr>
          <w:rFonts w:asciiTheme="minorHAnsi" w:hAnsiTheme="minorHAnsi" w:cstheme="minorHAnsi"/>
        </w:rPr>
        <w:t xml:space="preserve"> </w:t>
      </w:r>
      <w:r w:rsidR="003D395E">
        <w:rPr>
          <w:rFonts w:asciiTheme="minorHAnsi" w:hAnsiTheme="minorHAnsi" w:cstheme="minorHAnsi"/>
        </w:rPr>
        <w:t>i jako plán, k jehož naplnění</w:t>
      </w:r>
      <w:r w:rsidR="00735D46" w:rsidRPr="00920634">
        <w:rPr>
          <w:rFonts w:asciiTheme="minorHAnsi" w:hAnsiTheme="minorHAnsi" w:cstheme="minorHAnsi"/>
        </w:rPr>
        <w:t xml:space="preserve"> budou z rozpočtu EU uvolněny prostředky v případě, že členský stát na realizaci </w:t>
      </w:r>
      <w:r w:rsidR="003D395E">
        <w:rPr>
          <w:rFonts w:asciiTheme="minorHAnsi" w:hAnsiTheme="minorHAnsi" w:cstheme="minorHAnsi"/>
        </w:rPr>
        <w:t>výdajové politiky</w:t>
      </w:r>
      <w:r w:rsidR="00735D46" w:rsidRPr="00920634">
        <w:rPr>
          <w:rFonts w:asciiTheme="minorHAnsi" w:hAnsiTheme="minorHAnsi" w:cstheme="minorHAnsi"/>
        </w:rPr>
        <w:t xml:space="preserve"> přispěje </w:t>
      </w:r>
      <w:r w:rsidR="00735D46" w:rsidRPr="00920634">
        <w:rPr>
          <w:rFonts w:asciiTheme="minorHAnsi" w:hAnsiTheme="minorHAnsi" w:cstheme="minorHAnsi"/>
        </w:rPr>
        <w:lastRenderedPageBreak/>
        <w:t>stanoveným podílem vlastních prostředků. Tento plán lze vyjádřit poměrem prostředků rozpočtu EU k prostředkům povinného spolufinancování SR v horizontu celého programového období:</w:t>
      </w:r>
    </w:p>
    <w:p w14:paraId="33D5BEF3" w14:textId="77777777" w:rsidR="000A591E" w:rsidRPr="00920634" w:rsidRDefault="000A591E" w:rsidP="00114439">
      <w:pPr>
        <w:jc w:val="both"/>
        <w:rPr>
          <w:rFonts w:asciiTheme="minorHAnsi" w:hAnsiTheme="minorHAnsi" w:cstheme="minorHAnsi"/>
        </w:rPr>
      </w:pPr>
    </w:p>
    <w:p w14:paraId="5E3E8160" w14:textId="67FFD648" w:rsidR="00735D46" w:rsidRPr="00532824" w:rsidRDefault="00F73CFE" w:rsidP="00114439">
      <w:pPr>
        <w:jc w:val="both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Zdroje EU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Spolufinancování ze státního rozpočtu</m:t>
              </m:r>
            </m:den>
          </m:f>
          <m:r>
            <w:rPr>
              <w:rStyle w:val="Znakapoznpodarou"/>
              <w:rFonts w:ascii="Cambria Math" w:hAnsi="Cambria Math" w:cstheme="minorHAnsi"/>
              <w:i/>
            </w:rPr>
            <w:footnoteReference w:id="69"/>
          </m:r>
        </m:oMath>
      </m:oMathPara>
    </w:p>
    <w:p w14:paraId="2A0B4240" w14:textId="77777777" w:rsidR="000A591E" w:rsidRPr="00920634" w:rsidRDefault="000A591E" w:rsidP="00114439">
      <w:pPr>
        <w:jc w:val="both"/>
        <w:rPr>
          <w:rFonts w:asciiTheme="minorHAnsi" w:hAnsiTheme="minorHAnsi" w:cstheme="minorHAnsi"/>
        </w:rPr>
      </w:pPr>
    </w:p>
    <w:p w14:paraId="3D5BCB93" w14:textId="713C874B" w:rsidR="00735D46" w:rsidRDefault="00735D46" w:rsidP="00114439">
      <w:pPr>
        <w:jc w:val="both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  <w:b/>
        </w:rPr>
        <w:t xml:space="preserve">Při hodnocení skutečného </w:t>
      </w:r>
      <w:r w:rsidR="00E03DBC" w:rsidRPr="00920634">
        <w:rPr>
          <w:rFonts w:asciiTheme="minorHAnsi" w:hAnsiTheme="minorHAnsi" w:cstheme="minorHAnsi"/>
          <w:b/>
        </w:rPr>
        <w:t xml:space="preserve">výsledného </w:t>
      </w:r>
      <w:r w:rsidRPr="00920634">
        <w:rPr>
          <w:rFonts w:asciiTheme="minorHAnsi" w:hAnsiTheme="minorHAnsi" w:cstheme="minorHAnsi"/>
          <w:b/>
        </w:rPr>
        <w:t xml:space="preserve">vynakládání prostředků na tyto </w:t>
      </w:r>
      <w:r w:rsidR="003D395E">
        <w:rPr>
          <w:rFonts w:asciiTheme="minorHAnsi" w:hAnsiTheme="minorHAnsi" w:cstheme="minorHAnsi"/>
          <w:b/>
        </w:rPr>
        <w:t>výdajové politiky</w:t>
      </w:r>
      <w:r w:rsidRPr="00920634">
        <w:rPr>
          <w:rFonts w:asciiTheme="minorHAnsi" w:hAnsiTheme="minorHAnsi" w:cstheme="minorHAnsi"/>
          <w:b/>
        </w:rPr>
        <w:t xml:space="preserve"> je však</w:t>
      </w:r>
      <w:r w:rsidR="000A591E" w:rsidRPr="00920634">
        <w:rPr>
          <w:rFonts w:asciiTheme="minorHAnsi" w:hAnsiTheme="minorHAnsi" w:cstheme="minorHAnsi"/>
          <w:b/>
        </w:rPr>
        <w:t xml:space="preserve"> podle názoru NKÚ</w:t>
      </w:r>
      <w:r w:rsidRPr="00920634">
        <w:rPr>
          <w:rFonts w:asciiTheme="minorHAnsi" w:hAnsiTheme="minorHAnsi" w:cstheme="minorHAnsi"/>
          <w:b/>
        </w:rPr>
        <w:t xml:space="preserve"> </w:t>
      </w:r>
      <w:r w:rsidR="000A591E" w:rsidRPr="00920634">
        <w:rPr>
          <w:rFonts w:asciiTheme="minorHAnsi" w:hAnsiTheme="minorHAnsi" w:cstheme="minorHAnsi"/>
          <w:b/>
        </w:rPr>
        <w:t>vhodné</w:t>
      </w:r>
      <w:r w:rsidRPr="00920634">
        <w:rPr>
          <w:rFonts w:asciiTheme="minorHAnsi" w:hAnsiTheme="minorHAnsi" w:cstheme="minorHAnsi"/>
          <w:b/>
        </w:rPr>
        <w:t xml:space="preserve"> zohlednit </w:t>
      </w:r>
      <w:r w:rsidR="006F49D9" w:rsidRPr="00920634">
        <w:rPr>
          <w:rFonts w:asciiTheme="minorHAnsi" w:hAnsiTheme="minorHAnsi" w:cstheme="minorHAnsi"/>
          <w:b/>
        </w:rPr>
        <w:t xml:space="preserve">a systematicky a pravidelně zveřejňovat i </w:t>
      </w:r>
      <w:r w:rsidRPr="00920634">
        <w:rPr>
          <w:rFonts w:asciiTheme="minorHAnsi" w:hAnsiTheme="minorHAnsi" w:cstheme="minorHAnsi"/>
          <w:b/>
        </w:rPr>
        <w:t xml:space="preserve">další </w:t>
      </w:r>
      <w:r w:rsidR="005F6D2E" w:rsidRPr="00920634">
        <w:rPr>
          <w:rFonts w:asciiTheme="minorHAnsi" w:hAnsiTheme="minorHAnsi" w:cstheme="minorHAnsi"/>
          <w:b/>
        </w:rPr>
        <w:t>skutečnosti a</w:t>
      </w:r>
      <w:r w:rsidR="00C66C0A">
        <w:rPr>
          <w:rFonts w:asciiTheme="minorHAnsi" w:hAnsiTheme="minorHAnsi" w:cstheme="minorHAnsi"/>
          <w:b/>
        </w:rPr>
        <w:t> </w:t>
      </w:r>
      <w:r w:rsidR="005F6D2E" w:rsidRPr="00920634">
        <w:rPr>
          <w:rFonts w:asciiTheme="minorHAnsi" w:hAnsiTheme="minorHAnsi" w:cstheme="minorHAnsi"/>
          <w:b/>
        </w:rPr>
        <w:t>údaje</w:t>
      </w:r>
      <w:r w:rsidR="000A591E" w:rsidRPr="00920634">
        <w:rPr>
          <w:rFonts w:asciiTheme="minorHAnsi" w:hAnsiTheme="minorHAnsi" w:cstheme="minorHAnsi"/>
          <w:b/>
        </w:rPr>
        <w:t xml:space="preserve">, které zajistí, aby informace o skutečných nákladech ČR </w:t>
      </w:r>
      <w:r w:rsidR="00357884" w:rsidRPr="00920634">
        <w:rPr>
          <w:rFonts w:asciiTheme="minorHAnsi" w:hAnsiTheme="minorHAnsi" w:cstheme="minorHAnsi"/>
          <w:b/>
        </w:rPr>
        <w:t>při</w:t>
      </w:r>
      <w:r w:rsidR="000A591E" w:rsidRPr="00920634">
        <w:rPr>
          <w:rFonts w:asciiTheme="minorHAnsi" w:hAnsiTheme="minorHAnsi" w:cstheme="minorHAnsi"/>
          <w:b/>
        </w:rPr>
        <w:t xml:space="preserve"> </w:t>
      </w:r>
      <w:r w:rsidR="00C76242">
        <w:rPr>
          <w:rFonts w:asciiTheme="minorHAnsi" w:hAnsiTheme="minorHAnsi" w:cstheme="minorHAnsi"/>
          <w:b/>
        </w:rPr>
        <w:t>spolufinancování</w:t>
      </w:r>
      <w:r w:rsidR="000A591E" w:rsidRPr="00920634">
        <w:rPr>
          <w:rFonts w:asciiTheme="minorHAnsi" w:hAnsiTheme="minorHAnsi" w:cstheme="minorHAnsi"/>
          <w:b/>
        </w:rPr>
        <w:t xml:space="preserve"> výdajových politik EU byl</w:t>
      </w:r>
      <w:r w:rsidR="00C76242">
        <w:rPr>
          <w:rFonts w:asciiTheme="minorHAnsi" w:hAnsiTheme="minorHAnsi" w:cstheme="minorHAnsi"/>
          <w:b/>
        </w:rPr>
        <w:t>y</w:t>
      </w:r>
      <w:r w:rsidR="000A591E" w:rsidRPr="00920634">
        <w:rPr>
          <w:rFonts w:asciiTheme="minorHAnsi" w:hAnsiTheme="minorHAnsi" w:cstheme="minorHAnsi"/>
          <w:b/>
        </w:rPr>
        <w:t xml:space="preserve"> komplexní</w:t>
      </w:r>
      <w:r w:rsidR="002C43D0">
        <w:rPr>
          <w:rFonts w:asciiTheme="minorHAnsi" w:hAnsiTheme="minorHAnsi" w:cstheme="minorHAnsi"/>
          <w:b/>
        </w:rPr>
        <w:t>.</w:t>
      </w:r>
      <w:r w:rsidR="00C76242">
        <w:rPr>
          <w:rFonts w:asciiTheme="minorHAnsi" w:hAnsiTheme="minorHAnsi" w:cstheme="minorHAnsi"/>
          <w:b/>
        </w:rPr>
        <w:t xml:space="preserve"> </w:t>
      </w:r>
      <w:r w:rsidR="00696644" w:rsidRPr="00920634">
        <w:rPr>
          <w:rFonts w:asciiTheme="minorHAnsi" w:hAnsiTheme="minorHAnsi" w:cstheme="minorHAnsi"/>
        </w:rPr>
        <w:t xml:space="preserve">Zejména je vhodné zohlednit, že provedené </w:t>
      </w:r>
      <w:r w:rsidRPr="00920634">
        <w:rPr>
          <w:rFonts w:asciiTheme="minorHAnsi" w:hAnsiTheme="minorHAnsi" w:cstheme="minorHAnsi"/>
        </w:rPr>
        <w:t>finanční opravy</w:t>
      </w:r>
      <w:r w:rsidR="00511530" w:rsidRPr="00920634">
        <w:rPr>
          <w:rFonts w:asciiTheme="minorHAnsi" w:hAnsiTheme="minorHAnsi" w:cstheme="minorHAnsi"/>
        </w:rPr>
        <w:t xml:space="preserve"> </w:t>
      </w:r>
      <w:r w:rsidR="00696644" w:rsidRPr="00920634">
        <w:rPr>
          <w:rFonts w:asciiTheme="minorHAnsi" w:hAnsiTheme="minorHAnsi" w:cstheme="minorHAnsi"/>
        </w:rPr>
        <w:t xml:space="preserve">typu </w:t>
      </w:r>
      <w:r w:rsidR="00511530" w:rsidRPr="00920634">
        <w:rPr>
          <w:rFonts w:asciiTheme="minorHAnsi" w:hAnsiTheme="minorHAnsi" w:cstheme="minorHAnsi"/>
        </w:rPr>
        <w:t>ploš</w:t>
      </w:r>
      <w:r w:rsidR="00696644" w:rsidRPr="00920634">
        <w:rPr>
          <w:rFonts w:asciiTheme="minorHAnsi" w:hAnsiTheme="minorHAnsi" w:cstheme="minorHAnsi"/>
        </w:rPr>
        <w:t>ných</w:t>
      </w:r>
      <w:r w:rsidR="00511530" w:rsidRPr="00920634">
        <w:rPr>
          <w:rFonts w:asciiTheme="minorHAnsi" w:hAnsiTheme="minorHAnsi" w:cstheme="minorHAnsi"/>
        </w:rPr>
        <w:t xml:space="preserve"> korekc</w:t>
      </w:r>
      <w:r w:rsidR="00696644" w:rsidRPr="00920634">
        <w:rPr>
          <w:rFonts w:asciiTheme="minorHAnsi" w:hAnsiTheme="minorHAnsi" w:cstheme="minorHAnsi"/>
        </w:rPr>
        <w:t xml:space="preserve">í mohou vést k tomu, že </w:t>
      </w:r>
      <w:r w:rsidR="00AE3489" w:rsidRPr="00920634">
        <w:rPr>
          <w:rFonts w:asciiTheme="minorHAnsi" w:hAnsiTheme="minorHAnsi" w:cstheme="minorHAnsi"/>
        </w:rPr>
        <w:t xml:space="preserve">prostředky, které </w:t>
      </w:r>
      <w:r w:rsidR="00CF6C14">
        <w:rPr>
          <w:rFonts w:asciiTheme="minorHAnsi" w:hAnsiTheme="minorHAnsi" w:cstheme="minorHAnsi"/>
        </w:rPr>
        <w:t xml:space="preserve">podle původního plánu měla ČR obdržet </w:t>
      </w:r>
      <w:r w:rsidR="00C76242">
        <w:rPr>
          <w:rFonts w:asciiTheme="minorHAnsi" w:hAnsiTheme="minorHAnsi" w:cstheme="minorHAnsi"/>
        </w:rPr>
        <w:t>z rozpočtu EU</w:t>
      </w:r>
      <w:r w:rsidR="00AE3489" w:rsidRPr="00920634">
        <w:rPr>
          <w:rFonts w:asciiTheme="minorHAnsi" w:hAnsiTheme="minorHAnsi" w:cstheme="minorHAnsi"/>
        </w:rPr>
        <w:t xml:space="preserve">, </w:t>
      </w:r>
      <w:r w:rsidR="00C76242" w:rsidRPr="00920634">
        <w:rPr>
          <w:rFonts w:asciiTheme="minorHAnsi" w:hAnsiTheme="minorHAnsi" w:cstheme="minorHAnsi"/>
        </w:rPr>
        <w:t>nebudou</w:t>
      </w:r>
      <w:r w:rsidR="00C76242">
        <w:rPr>
          <w:rFonts w:asciiTheme="minorHAnsi" w:hAnsiTheme="minorHAnsi" w:cstheme="minorHAnsi"/>
        </w:rPr>
        <w:t xml:space="preserve"> </w:t>
      </w:r>
      <w:r w:rsidR="008B0E7C" w:rsidRPr="00920634">
        <w:rPr>
          <w:rFonts w:asciiTheme="minorHAnsi" w:hAnsiTheme="minorHAnsi" w:cstheme="minorHAnsi"/>
        </w:rPr>
        <w:t xml:space="preserve">České republice </w:t>
      </w:r>
      <w:r w:rsidR="00C76242">
        <w:rPr>
          <w:rFonts w:asciiTheme="minorHAnsi" w:hAnsiTheme="minorHAnsi" w:cstheme="minorHAnsi"/>
        </w:rPr>
        <w:t>vyplaceny</w:t>
      </w:r>
      <w:r w:rsidRPr="00920634">
        <w:rPr>
          <w:rFonts w:asciiTheme="minorHAnsi" w:hAnsiTheme="minorHAnsi" w:cstheme="minorHAnsi"/>
        </w:rPr>
        <w:t>.</w:t>
      </w:r>
      <w:r w:rsidR="008B0E7C" w:rsidRPr="00920634">
        <w:rPr>
          <w:rFonts w:asciiTheme="minorHAnsi" w:hAnsiTheme="minorHAnsi" w:cstheme="minorHAnsi"/>
        </w:rPr>
        <w:t xml:space="preserve"> Fakticky tím dochází k navýšení financování výdajových politik EU z rozpočtu ČR, tj.</w:t>
      </w:r>
      <w:r w:rsidR="00CF6C14">
        <w:rPr>
          <w:rFonts w:asciiTheme="minorHAnsi" w:hAnsiTheme="minorHAnsi" w:cstheme="minorHAnsi"/>
        </w:rPr>
        <w:t> </w:t>
      </w:r>
      <w:r w:rsidR="008D073A">
        <w:rPr>
          <w:rFonts w:asciiTheme="minorHAnsi" w:hAnsiTheme="minorHAnsi" w:cstheme="minorHAnsi"/>
        </w:rPr>
        <w:t>k </w:t>
      </w:r>
      <w:r w:rsidR="008B0E7C" w:rsidRPr="00920634">
        <w:rPr>
          <w:rFonts w:asciiTheme="minorHAnsi" w:hAnsiTheme="minorHAnsi" w:cstheme="minorHAnsi"/>
        </w:rPr>
        <w:t>navýšení hodnoty jmenovatele ve výše uvedeném vzorci.</w:t>
      </w:r>
    </w:p>
    <w:p w14:paraId="21063091" w14:textId="77777777" w:rsidR="007422EE" w:rsidRPr="00920634" w:rsidRDefault="007422EE" w:rsidP="00114439">
      <w:pPr>
        <w:jc w:val="both"/>
        <w:rPr>
          <w:rFonts w:asciiTheme="minorHAnsi" w:hAnsiTheme="minorHAnsi" w:cstheme="minorHAnsi"/>
        </w:rPr>
      </w:pPr>
    </w:p>
    <w:p w14:paraId="45B46530" w14:textId="72902B1E" w:rsidR="008B0E7C" w:rsidRPr="00920634" w:rsidRDefault="00371775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NKÚ </w:t>
      </w:r>
      <w:r w:rsidR="00423297" w:rsidRPr="00920634">
        <w:rPr>
          <w:rFonts w:asciiTheme="minorHAnsi" w:hAnsiTheme="minorHAnsi" w:cstheme="minorHAnsi"/>
          <w:b/>
        </w:rPr>
        <w:t xml:space="preserve">proto </w:t>
      </w:r>
      <w:r w:rsidRPr="00920634">
        <w:rPr>
          <w:rFonts w:asciiTheme="minorHAnsi" w:hAnsiTheme="minorHAnsi" w:cstheme="minorHAnsi"/>
          <w:b/>
        </w:rPr>
        <w:t>upozo</w:t>
      </w:r>
      <w:r w:rsidR="006F49D9" w:rsidRPr="00920634">
        <w:rPr>
          <w:rFonts w:asciiTheme="minorHAnsi" w:hAnsiTheme="minorHAnsi" w:cstheme="minorHAnsi"/>
          <w:b/>
        </w:rPr>
        <w:t xml:space="preserve">rňuje na omezenou vypovídací schopnost </w:t>
      </w:r>
      <w:r w:rsidR="00735D46" w:rsidRPr="00920634">
        <w:rPr>
          <w:rFonts w:asciiTheme="minorHAnsi" w:hAnsiTheme="minorHAnsi" w:cstheme="minorHAnsi"/>
          <w:b/>
        </w:rPr>
        <w:t>zveřejňovaných informací o</w:t>
      </w:r>
      <w:r w:rsidR="00454F42">
        <w:rPr>
          <w:rFonts w:asciiTheme="minorHAnsi" w:hAnsiTheme="minorHAnsi" w:cstheme="minorHAnsi"/>
          <w:b/>
        </w:rPr>
        <w:t> </w:t>
      </w:r>
      <w:r w:rsidR="00A46C2D">
        <w:rPr>
          <w:rFonts w:asciiTheme="minorHAnsi" w:hAnsiTheme="minorHAnsi" w:cstheme="minorHAnsi"/>
          <w:b/>
        </w:rPr>
        <w:t>skutečné finanční náročnosti</w:t>
      </w:r>
      <w:r w:rsidR="00735D46" w:rsidRPr="00920634">
        <w:rPr>
          <w:rFonts w:asciiTheme="minorHAnsi" w:hAnsiTheme="minorHAnsi" w:cstheme="minorHAnsi"/>
          <w:b/>
        </w:rPr>
        <w:t xml:space="preserve"> výdajových politik EU v ČR. </w:t>
      </w:r>
    </w:p>
    <w:p w14:paraId="654B049F" w14:textId="77777777" w:rsidR="00587BE1" w:rsidRPr="00920634" w:rsidRDefault="00587BE1" w:rsidP="00114439">
      <w:pPr>
        <w:jc w:val="both"/>
        <w:rPr>
          <w:rFonts w:asciiTheme="minorHAnsi" w:hAnsiTheme="minorHAnsi" w:cstheme="minorHAnsi"/>
          <w:b/>
        </w:rPr>
      </w:pPr>
    </w:p>
    <w:p w14:paraId="0B2E4CB9" w14:textId="4702734E" w:rsidR="003740D2" w:rsidRPr="00920634" w:rsidRDefault="00AE3000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Současně </w:t>
      </w:r>
      <w:r w:rsidR="00CD70B0">
        <w:rPr>
          <w:rFonts w:asciiTheme="minorHAnsi" w:hAnsiTheme="minorHAnsi" w:cstheme="minorHAnsi"/>
          <w:b/>
        </w:rPr>
        <w:t xml:space="preserve">NKÚ </w:t>
      </w:r>
      <w:r w:rsidRPr="00920634">
        <w:rPr>
          <w:rFonts w:asciiTheme="minorHAnsi" w:hAnsiTheme="minorHAnsi" w:cstheme="minorHAnsi"/>
          <w:b/>
        </w:rPr>
        <w:t>upozorňuje</w:t>
      </w:r>
      <w:r w:rsidR="005A5F85">
        <w:rPr>
          <w:rFonts w:asciiTheme="minorHAnsi" w:hAnsiTheme="minorHAnsi" w:cstheme="minorHAnsi"/>
          <w:b/>
        </w:rPr>
        <w:t>, že je nutné zajistit</w:t>
      </w:r>
      <w:r w:rsidR="00735D46" w:rsidRPr="00920634">
        <w:rPr>
          <w:rFonts w:asciiTheme="minorHAnsi" w:hAnsiTheme="minorHAnsi" w:cstheme="minorHAnsi"/>
          <w:b/>
        </w:rPr>
        <w:t xml:space="preserve"> spolehlivost a srovnatelnost podkladů, </w:t>
      </w:r>
      <w:r w:rsidRPr="00920634">
        <w:rPr>
          <w:rFonts w:asciiTheme="minorHAnsi" w:hAnsiTheme="minorHAnsi" w:cstheme="minorHAnsi"/>
          <w:b/>
        </w:rPr>
        <w:t>na kterých by</w:t>
      </w:r>
      <w:r w:rsidR="00735D46" w:rsidRPr="00920634">
        <w:rPr>
          <w:rFonts w:asciiTheme="minorHAnsi" w:hAnsiTheme="minorHAnsi" w:cstheme="minorHAnsi"/>
          <w:b/>
        </w:rPr>
        <w:t xml:space="preserve"> vykazování těchto </w:t>
      </w:r>
      <w:r w:rsidR="008B0E7C" w:rsidRPr="00920634">
        <w:rPr>
          <w:rFonts w:asciiTheme="minorHAnsi" w:hAnsiTheme="minorHAnsi" w:cstheme="minorHAnsi"/>
          <w:b/>
        </w:rPr>
        <w:t>údaj</w:t>
      </w:r>
      <w:r w:rsidR="00735D46" w:rsidRPr="00920634">
        <w:rPr>
          <w:rFonts w:asciiTheme="minorHAnsi" w:hAnsiTheme="minorHAnsi" w:cstheme="minorHAnsi"/>
          <w:b/>
        </w:rPr>
        <w:t xml:space="preserve">ů </w:t>
      </w:r>
      <w:r w:rsidRPr="00920634">
        <w:rPr>
          <w:rFonts w:asciiTheme="minorHAnsi" w:hAnsiTheme="minorHAnsi" w:cstheme="minorHAnsi"/>
          <w:b/>
        </w:rPr>
        <w:t>mělo být založeno</w:t>
      </w:r>
      <w:r w:rsidR="000E6B89" w:rsidRPr="00920634">
        <w:rPr>
          <w:rFonts w:asciiTheme="minorHAnsi" w:hAnsiTheme="minorHAnsi" w:cstheme="minorHAnsi"/>
          <w:b/>
        </w:rPr>
        <w:t>,</w:t>
      </w:r>
      <w:r w:rsidR="002D3966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>tzn.</w:t>
      </w:r>
      <w:r w:rsidR="00735D46" w:rsidRPr="00920634">
        <w:rPr>
          <w:rFonts w:asciiTheme="minorHAnsi" w:hAnsiTheme="minorHAnsi" w:cstheme="minorHAnsi"/>
          <w:b/>
        </w:rPr>
        <w:t xml:space="preserve"> zejména účetních výkazů</w:t>
      </w:r>
      <w:r w:rsidRPr="00920634">
        <w:rPr>
          <w:rFonts w:asciiTheme="minorHAnsi" w:hAnsiTheme="minorHAnsi" w:cstheme="minorHAnsi"/>
          <w:b/>
        </w:rPr>
        <w:t>.</w:t>
      </w:r>
    </w:p>
    <w:p w14:paraId="00CE16A1" w14:textId="77777777" w:rsidR="002D3966" w:rsidRPr="00920634" w:rsidRDefault="002D3966" w:rsidP="00114439">
      <w:pPr>
        <w:jc w:val="both"/>
        <w:rPr>
          <w:rFonts w:asciiTheme="minorHAnsi" w:hAnsiTheme="minorHAnsi" w:cstheme="minorHAnsi"/>
          <w:b/>
        </w:rPr>
      </w:pPr>
    </w:p>
    <w:p w14:paraId="0A4212F4" w14:textId="072403D7" w:rsidR="003740D2" w:rsidRPr="00920634" w:rsidRDefault="003740D2" w:rsidP="00114439">
      <w:pPr>
        <w:jc w:val="both"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t xml:space="preserve">Obecným cílem </w:t>
      </w:r>
      <w:r w:rsidR="006A5409">
        <w:rPr>
          <w:rFonts w:asciiTheme="minorHAnsi" w:hAnsiTheme="minorHAnsi" w:cstheme="minorHAnsi"/>
          <w:b/>
        </w:rPr>
        <w:t>by dle názoru NKÚ mělo být</w:t>
      </w:r>
      <w:r w:rsidRPr="00920634">
        <w:rPr>
          <w:rFonts w:asciiTheme="minorHAnsi" w:hAnsiTheme="minorHAnsi" w:cstheme="minorHAnsi"/>
          <w:b/>
        </w:rPr>
        <w:t xml:space="preserve"> propojení mezi rozpočtovým účetnictvím, finančním účetnictvím a národním účetnictvím. Finanční účetnictví </w:t>
      </w:r>
      <w:r w:rsidR="006A5409">
        <w:rPr>
          <w:rFonts w:asciiTheme="minorHAnsi" w:hAnsiTheme="minorHAnsi" w:cstheme="minorHAnsi"/>
          <w:b/>
        </w:rPr>
        <w:t>by mělo</w:t>
      </w:r>
      <w:r w:rsidR="006A5409" w:rsidRPr="00920634">
        <w:rPr>
          <w:rFonts w:asciiTheme="minorHAnsi" w:hAnsiTheme="minorHAnsi" w:cstheme="minorHAnsi"/>
          <w:b/>
        </w:rPr>
        <w:t xml:space="preserve"> </w:t>
      </w:r>
      <w:r w:rsidRPr="00920634">
        <w:rPr>
          <w:rFonts w:asciiTheme="minorHAnsi" w:hAnsiTheme="minorHAnsi" w:cstheme="minorHAnsi"/>
          <w:b/>
        </w:rPr>
        <w:t xml:space="preserve">poskytovat užitečné informace pro sestavení rozpočtu a </w:t>
      </w:r>
      <w:r w:rsidR="005C3074">
        <w:rPr>
          <w:rFonts w:asciiTheme="minorHAnsi" w:hAnsiTheme="minorHAnsi" w:cstheme="minorHAnsi"/>
          <w:b/>
        </w:rPr>
        <w:t xml:space="preserve">vyhodnocení </w:t>
      </w:r>
      <w:r w:rsidRPr="00920634">
        <w:rPr>
          <w:rFonts w:asciiTheme="minorHAnsi" w:hAnsiTheme="minorHAnsi" w:cstheme="minorHAnsi"/>
          <w:b/>
        </w:rPr>
        <w:t>jeho plnění. Systém národního účetnictví má</w:t>
      </w:r>
      <w:r w:rsidR="00423297" w:rsidRPr="00920634">
        <w:rPr>
          <w:rFonts w:asciiTheme="minorHAnsi" w:hAnsiTheme="minorHAnsi" w:cstheme="minorHAnsi"/>
          <w:b/>
        </w:rPr>
        <w:t xml:space="preserve"> sice</w:t>
      </w:r>
      <w:r w:rsidRPr="00920634">
        <w:rPr>
          <w:rFonts w:asciiTheme="minorHAnsi" w:hAnsiTheme="minorHAnsi" w:cstheme="minorHAnsi"/>
          <w:b/>
        </w:rPr>
        <w:t xml:space="preserve"> svá vlastní pravidla, nicméně</w:t>
      </w:r>
      <w:r w:rsidR="00423297" w:rsidRPr="00920634">
        <w:rPr>
          <w:rFonts w:asciiTheme="minorHAnsi" w:hAnsiTheme="minorHAnsi" w:cstheme="minorHAnsi"/>
          <w:b/>
        </w:rPr>
        <w:t xml:space="preserve"> jeho</w:t>
      </w:r>
      <w:r w:rsidRPr="00920634">
        <w:rPr>
          <w:rFonts w:asciiTheme="minorHAnsi" w:hAnsiTheme="minorHAnsi" w:cstheme="minorHAnsi"/>
          <w:b/>
        </w:rPr>
        <w:t xml:space="preserve"> hlavní zásady odkazují na akruální účetnictví. Je proto </w:t>
      </w:r>
      <w:r w:rsidR="00FE663C">
        <w:rPr>
          <w:rFonts w:asciiTheme="minorHAnsi" w:hAnsiTheme="minorHAnsi" w:cstheme="minorHAnsi"/>
          <w:b/>
        </w:rPr>
        <w:t>žádoucí</w:t>
      </w:r>
      <w:r w:rsidRPr="00920634">
        <w:rPr>
          <w:rFonts w:asciiTheme="minorHAnsi" w:hAnsiTheme="minorHAnsi" w:cstheme="minorHAnsi"/>
          <w:b/>
        </w:rPr>
        <w:t xml:space="preserve">, aby </w:t>
      </w:r>
      <w:r w:rsidR="005578CD" w:rsidRPr="00920634">
        <w:rPr>
          <w:rFonts w:asciiTheme="minorHAnsi" w:hAnsiTheme="minorHAnsi" w:cstheme="minorHAnsi"/>
          <w:b/>
        </w:rPr>
        <w:t>údaje účetnictví státu</w:t>
      </w:r>
      <w:r w:rsidRPr="00920634">
        <w:rPr>
          <w:rFonts w:asciiTheme="minorHAnsi" w:hAnsiTheme="minorHAnsi" w:cstheme="minorHAnsi"/>
          <w:b/>
        </w:rPr>
        <w:t xml:space="preserve"> byly v souladu s údaji národního účetnictví</w:t>
      </w:r>
      <w:r w:rsidR="00606009">
        <w:rPr>
          <w:rFonts w:asciiTheme="minorHAnsi" w:hAnsiTheme="minorHAnsi" w:cstheme="minorHAnsi"/>
          <w:b/>
        </w:rPr>
        <w:t>,</w:t>
      </w:r>
      <w:r w:rsidR="00F41C09">
        <w:rPr>
          <w:rFonts w:asciiTheme="minorHAnsi" w:hAnsiTheme="minorHAnsi" w:cstheme="minorHAnsi"/>
          <w:b/>
        </w:rPr>
        <w:t xml:space="preserve"> a byly tak více</w:t>
      </w:r>
      <w:r w:rsidRPr="00920634">
        <w:rPr>
          <w:rFonts w:asciiTheme="minorHAnsi" w:hAnsiTheme="minorHAnsi" w:cstheme="minorHAnsi"/>
          <w:b/>
        </w:rPr>
        <w:t xml:space="preserve"> čitelné a důvěryhodné.</w:t>
      </w:r>
    </w:p>
    <w:p w14:paraId="23DDC188" w14:textId="77777777" w:rsidR="003740D2" w:rsidRPr="00920634" w:rsidRDefault="003740D2" w:rsidP="00114439">
      <w:pPr>
        <w:jc w:val="both"/>
        <w:rPr>
          <w:rFonts w:asciiTheme="minorHAnsi" w:hAnsiTheme="minorHAnsi" w:cstheme="minorHAnsi"/>
        </w:rPr>
      </w:pPr>
    </w:p>
    <w:p w14:paraId="19E53796" w14:textId="0492900F" w:rsidR="007B18B0" w:rsidRPr="00920634" w:rsidRDefault="0039481B" w:rsidP="005A5CCA">
      <w:pPr>
        <w:pageBreakBefore/>
        <w:rPr>
          <w:rFonts w:asciiTheme="minorHAnsi" w:hAnsiTheme="minorHAnsi" w:cstheme="minorHAnsi"/>
          <w:b/>
        </w:rPr>
      </w:pPr>
      <w:r w:rsidRPr="00920634">
        <w:rPr>
          <w:rFonts w:asciiTheme="minorHAnsi" w:hAnsiTheme="minorHAnsi" w:cstheme="minorHAnsi"/>
          <w:b/>
        </w:rPr>
        <w:lastRenderedPageBreak/>
        <w:t>S</w:t>
      </w:r>
      <w:r w:rsidR="007B18B0" w:rsidRPr="00920634">
        <w:rPr>
          <w:rFonts w:asciiTheme="minorHAnsi" w:hAnsiTheme="minorHAnsi" w:cstheme="minorHAnsi"/>
          <w:b/>
        </w:rPr>
        <w:t>eznam zkratek</w:t>
      </w:r>
    </w:p>
    <w:p w14:paraId="09922407" w14:textId="77777777" w:rsidR="007B18B0" w:rsidRPr="00920634" w:rsidRDefault="007B18B0" w:rsidP="00114439">
      <w:pPr>
        <w:jc w:val="both"/>
        <w:rPr>
          <w:rFonts w:asciiTheme="minorHAnsi" w:hAnsiTheme="minorHAnsi" w:cstheme="minorHAnsi"/>
          <w:b/>
        </w:rPr>
      </w:pPr>
    </w:p>
    <w:p w14:paraId="3FED06A6" w14:textId="4AC34DE5" w:rsidR="007B18B0" w:rsidRPr="00920634" w:rsidRDefault="007B18B0" w:rsidP="008D4CD3">
      <w:pPr>
        <w:tabs>
          <w:tab w:val="left" w:pos="2835"/>
        </w:tabs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ČR</w:t>
      </w:r>
      <w:r w:rsidRPr="00920634">
        <w:rPr>
          <w:rFonts w:asciiTheme="minorHAnsi" w:hAnsiTheme="minorHAnsi" w:cstheme="minorHAnsi"/>
        </w:rPr>
        <w:tab/>
        <w:t>Česká republika</w:t>
      </w:r>
    </w:p>
    <w:p w14:paraId="3A4F4096" w14:textId="1D4F5D1B" w:rsidR="007B18B0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ČÚS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Český účetní standard</w:t>
      </w:r>
    </w:p>
    <w:p w14:paraId="703633C1" w14:textId="758628B2" w:rsidR="00606009" w:rsidRPr="00920634" w:rsidRDefault="00606009" w:rsidP="008D4CD3">
      <w:pPr>
        <w:tabs>
          <w:tab w:val="left" w:pos="2835"/>
        </w:tabs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ČÚS č. 703 – </w:t>
      </w:r>
      <w:r w:rsidRPr="008D4CD3">
        <w:rPr>
          <w:rFonts w:asciiTheme="minorHAnsi" w:hAnsiTheme="minorHAnsi" w:cstheme="minorHAnsi"/>
          <w:i/>
        </w:rPr>
        <w:t>Transfery</w:t>
      </w:r>
      <w:r>
        <w:rPr>
          <w:rFonts w:asciiTheme="minorHAnsi" w:hAnsiTheme="minorHAnsi" w:cstheme="minorHAnsi"/>
        </w:rPr>
        <w:tab/>
      </w:r>
      <w:r w:rsidRPr="00413A49">
        <w:rPr>
          <w:rFonts w:asciiTheme="minorHAnsi" w:hAnsiTheme="minorHAnsi" w:cstheme="minorHAnsi"/>
          <w:i/>
        </w:rPr>
        <w:t>Český účetní standard pro některé vybrané účetní jednotky č.</w:t>
      </w:r>
      <w:r>
        <w:rPr>
          <w:rFonts w:asciiTheme="minorHAnsi" w:hAnsiTheme="minorHAnsi" w:cstheme="minorHAnsi"/>
          <w:i/>
        </w:rPr>
        <w:t> </w:t>
      </w:r>
      <w:r w:rsidRPr="00413A49">
        <w:rPr>
          <w:rFonts w:asciiTheme="minorHAnsi" w:hAnsiTheme="minorHAnsi" w:cstheme="minorHAnsi"/>
          <w:i/>
        </w:rPr>
        <w:t>703 – Transfery</w:t>
      </w:r>
    </w:p>
    <w:p w14:paraId="04E86883" w14:textId="083F7537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EFRR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Evropský fond pro regionální rozvoj</w:t>
      </w:r>
    </w:p>
    <w:p w14:paraId="0DF29969" w14:textId="0E4CBEB1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EHP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Evropský hospodářský prostor</w:t>
      </w:r>
    </w:p>
    <w:p w14:paraId="37B78566" w14:textId="4FC3FB64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ERF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Evropský rybářský fond</w:t>
      </w:r>
    </w:p>
    <w:p w14:paraId="74400ACC" w14:textId="440E3F31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ESA 2010</w:t>
      </w:r>
      <w:r>
        <w:rPr>
          <w:rFonts w:asciiTheme="minorHAnsi" w:hAnsiTheme="minorHAnsi" w:cstheme="minorHAnsi"/>
        </w:rPr>
        <w:tab/>
      </w:r>
      <w:r w:rsidRPr="008D4CD3">
        <w:rPr>
          <w:rFonts w:asciiTheme="minorHAnsi" w:hAnsiTheme="minorHAnsi" w:cstheme="minorHAnsi"/>
          <w:lang w:val="en-GB"/>
        </w:rPr>
        <w:t>European System of National and Regional Accounts</w:t>
      </w:r>
    </w:p>
    <w:p w14:paraId="64DDEFEC" w14:textId="42028202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ESF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Evropský sociální fond</w:t>
      </w:r>
    </w:p>
    <w:p w14:paraId="43CC89BD" w14:textId="705237EF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Evropská unie</w:t>
      </w:r>
    </w:p>
    <w:p w14:paraId="75C5E383" w14:textId="525F94B0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EZFRV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Evropský zemědělský fond pro rozvoj venkova</w:t>
      </w:r>
    </w:p>
    <w:p w14:paraId="4999C7C1" w14:textId="33522948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EZZF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Evropský zemědělský záruční fond</w:t>
      </w:r>
    </w:p>
    <w:p w14:paraId="35218E08" w14:textId="719B1C0E" w:rsidR="007B18B0" w:rsidRPr="00920634" w:rsidRDefault="007B18B0" w:rsidP="008D4CD3">
      <w:pPr>
        <w:ind w:left="2835" w:hanging="2835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IPSAS</w:t>
      </w:r>
      <w:r w:rsidRPr="00920634">
        <w:rPr>
          <w:rFonts w:asciiTheme="minorHAnsi" w:hAnsiTheme="minorHAnsi" w:cstheme="minorHAnsi"/>
        </w:rPr>
        <w:tab/>
      </w:r>
      <w:r w:rsidR="00162D4B" w:rsidRPr="008D4CD3">
        <w:rPr>
          <w:rFonts w:asciiTheme="minorHAnsi" w:hAnsiTheme="minorHAnsi" w:cstheme="minorHAnsi"/>
          <w:bCs/>
        </w:rPr>
        <w:t>International Public Sector Accounting Standards (</w:t>
      </w:r>
      <w:r w:rsidR="00162D4B">
        <w:rPr>
          <w:rFonts w:asciiTheme="minorHAnsi" w:hAnsiTheme="minorHAnsi" w:cstheme="minorHAnsi"/>
        </w:rPr>
        <w:t>m</w:t>
      </w:r>
      <w:r w:rsidRPr="00920634">
        <w:rPr>
          <w:rFonts w:asciiTheme="minorHAnsi" w:hAnsiTheme="minorHAnsi" w:cstheme="minorHAnsi"/>
        </w:rPr>
        <w:t>ezinárodní účetní standard</w:t>
      </w:r>
      <w:r w:rsidR="00162D4B">
        <w:rPr>
          <w:rFonts w:asciiTheme="minorHAnsi" w:hAnsiTheme="minorHAnsi" w:cstheme="minorHAnsi"/>
        </w:rPr>
        <w:t>y</w:t>
      </w:r>
      <w:r w:rsidRPr="00920634">
        <w:rPr>
          <w:rFonts w:asciiTheme="minorHAnsi" w:hAnsiTheme="minorHAnsi" w:cstheme="minorHAnsi"/>
        </w:rPr>
        <w:t xml:space="preserve"> pro veřejný sektor</w:t>
      </w:r>
      <w:r w:rsidR="00162D4B">
        <w:rPr>
          <w:rFonts w:asciiTheme="minorHAnsi" w:hAnsiTheme="minorHAnsi" w:cstheme="minorHAnsi"/>
        </w:rPr>
        <w:t>)</w:t>
      </w:r>
    </w:p>
    <w:p w14:paraId="538FD47E" w14:textId="5AE39E71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Informační systém</w:t>
      </w:r>
    </w:p>
    <w:p w14:paraId="73F541CF" w14:textId="21998C30" w:rsidR="007B18B0" w:rsidRPr="00920634" w:rsidRDefault="007B18B0" w:rsidP="008D4CD3">
      <w:pPr>
        <w:ind w:left="2835" w:hanging="2835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MFTK 2007</w:t>
      </w:r>
      <w:r w:rsidR="00C66C0A">
        <w:rPr>
          <w:rFonts w:asciiTheme="minorHAnsi" w:hAnsiTheme="minorHAnsi" w:cstheme="minorHAnsi"/>
        </w:rPr>
        <w:t>–</w:t>
      </w:r>
      <w:r w:rsidRPr="00920634">
        <w:rPr>
          <w:rFonts w:asciiTheme="minorHAnsi" w:hAnsiTheme="minorHAnsi" w:cstheme="minorHAnsi"/>
        </w:rPr>
        <w:t>2013</w:t>
      </w:r>
      <w:r w:rsidRPr="00920634">
        <w:rPr>
          <w:rFonts w:asciiTheme="minorHAnsi" w:hAnsiTheme="minorHAnsi" w:cstheme="minorHAnsi"/>
        </w:rPr>
        <w:tab/>
      </w:r>
      <w:r w:rsidRPr="008D4CD3">
        <w:rPr>
          <w:rFonts w:asciiTheme="minorHAnsi" w:hAnsiTheme="minorHAnsi" w:cstheme="minorHAnsi"/>
          <w:i/>
        </w:rPr>
        <w:t xml:space="preserve">Metodika finančních toků a kontroly programů spolufinancovaných ze strukturálních fondů, Fondu soudržnosti a Evropského rybářského fondu na programové období </w:t>
      </w:r>
      <w:r w:rsidR="0040401D">
        <w:rPr>
          <w:rFonts w:asciiTheme="minorHAnsi" w:hAnsiTheme="minorHAnsi" w:cstheme="minorHAnsi"/>
          <w:i/>
        </w:rPr>
        <w:br/>
      </w:r>
      <w:r w:rsidRPr="008D4CD3">
        <w:rPr>
          <w:rFonts w:asciiTheme="minorHAnsi" w:hAnsiTheme="minorHAnsi" w:cstheme="minorHAnsi"/>
          <w:i/>
        </w:rPr>
        <w:t>2007</w:t>
      </w:r>
      <w:r w:rsidR="00C66C0A" w:rsidRPr="008D4CD3">
        <w:rPr>
          <w:rFonts w:asciiTheme="minorHAnsi" w:hAnsiTheme="minorHAnsi" w:cstheme="minorHAnsi"/>
          <w:i/>
        </w:rPr>
        <w:t>–</w:t>
      </w:r>
      <w:r w:rsidRPr="008D4CD3">
        <w:rPr>
          <w:rFonts w:asciiTheme="minorHAnsi" w:hAnsiTheme="minorHAnsi" w:cstheme="minorHAnsi"/>
          <w:i/>
        </w:rPr>
        <w:t>2013</w:t>
      </w:r>
    </w:p>
    <w:p w14:paraId="18CCDE65" w14:textId="356EC476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Ministerstvo školství, mládeže a tělovýchovy</w:t>
      </w:r>
    </w:p>
    <w:p w14:paraId="5B97C33B" w14:textId="01BCDABC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Ministerstvo zemědělství</w:t>
      </w:r>
    </w:p>
    <w:p w14:paraId="3CB682CF" w14:textId="0474AA35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Nejvyšší kontrolní úřad</w:t>
      </w:r>
    </w:p>
    <w:p w14:paraId="3612AE06" w14:textId="0D85084C" w:rsidR="007B18B0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Operační program</w:t>
      </w:r>
    </w:p>
    <w:p w14:paraId="72BCC708" w14:textId="026ED035" w:rsidR="00606009" w:rsidRPr="00920634" w:rsidRDefault="00606009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</w:t>
      </w:r>
      <w:r>
        <w:rPr>
          <w:rFonts w:asciiTheme="minorHAnsi" w:hAnsiTheme="minorHAnsi" w:cstheme="minorHAnsi"/>
        </w:rPr>
        <w:tab/>
        <w:t xml:space="preserve">Operační program </w:t>
      </w:r>
      <w:r w:rsidRPr="008D4CD3">
        <w:rPr>
          <w:rFonts w:asciiTheme="minorHAnsi" w:hAnsiTheme="minorHAnsi" w:cstheme="minorHAnsi"/>
          <w:i/>
        </w:rPr>
        <w:t>Rybářství 2007–2013</w:t>
      </w:r>
    </w:p>
    <w:p w14:paraId="2A4A96D9" w14:textId="7EB17197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OSS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Organizační složka státu</w:t>
      </w:r>
    </w:p>
    <w:p w14:paraId="56C89505" w14:textId="037C4103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SOT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Společná organizace trhu</w:t>
      </w:r>
    </w:p>
    <w:p w14:paraId="62F33FF9" w14:textId="08179301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Státní rozpočet</w:t>
      </w:r>
    </w:p>
    <w:p w14:paraId="289B0CD2" w14:textId="3EABDC39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PP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Přímé platby</w:t>
      </w:r>
    </w:p>
    <w:p w14:paraId="59FC9D2C" w14:textId="2D100354" w:rsidR="007B18B0" w:rsidRPr="0040401D" w:rsidRDefault="005A5CCA" w:rsidP="008D4CD3">
      <w:pPr>
        <w:tabs>
          <w:tab w:val="left" w:pos="2835"/>
        </w:tabs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Program</w:t>
      </w:r>
      <w:r w:rsidR="00672832">
        <w:rPr>
          <w:rFonts w:asciiTheme="minorHAnsi" w:hAnsiTheme="minorHAnsi" w:cstheme="minorHAnsi"/>
        </w:rPr>
        <w:t>y</w:t>
      </w:r>
      <w:r w:rsidR="007B18B0" w:rsidRPr="00920634">
        <w:rPr>
          <w:rFonts w:asciiTheme="minorHAnsi" w:hAnsiTheme="minorHAnsi" w:cstheme="minorHAnsi"/>
        </w:rPr>
        <w:t xml:space="preserve"> rozvoje venkova</w:t>
      </w:r>
      <w:r w:rsidR="0040401D">
        <w:rPr>
          <w:rFonts w:asciiTheme="minorHAnsi" w:hAnsiTheme="minorHAnsi" w:cstheme="minorHAnsi"/>
        </w:rPr>
        <w:t xml:space="preserve"> (</w:t>
      </w:r>
      <w:r w:rsidR="0040401D" w:rsidRPr="00413A49">
        <w:rPr>
          <w:rFonts w:asciiTheme="minorHAnsi" w:hAnsiTheme="minorHAnsi" w:cstheme="minorHAnsi"/>
          <w:i/>
        </w:rPr>
        <w:t>Program rozvoje venkova České republiky na období 2007–2013</w:t>
      </w:r>
      <w:r w:rsidR="00491B35">
        <w:rPr>
          <w:rFonts w:asciiTheme="minorHAnsi" w:hAnsiTheme="minorHAnsi" w:cstheme="minorHAnsi"/>
        </w:rPr>
        <w:t xml:space="preserve"> a/nebo</w:t>
      </w:r>
      <w:r w:rsidR="0040401D">
        <w:rPr>
          <w:rFonts w:asciiTheme="minorHAnsi" w:hAnsiTheme="minorHAnsi" w:cstheme="minorHAnsi"/>
          <w:i/>
        </w:rPr>
        <w:t xml:space="preserve"> </w:t>
      </w:r>
      <w:r w:rsidR="0040401D" w:rsidRPr="00413A49">
        <w:rPr>
          <w:rFonts w:asciiTheme="minorHAnsi" w:hAnsiTheme="minorHAnsi" w:cstheme="minorHAnsi"/>
          <w:i/>
        </w:rPr>
        <w:t>Program rozvoje venkova na období 2014–2020</w:t>
      </w:r>
      <w:r w:rsidR="0040401D">
        <w:rPr>
          <w:rFonts w:asciiTheme="minorHAnsi" w:hAnsiTheme="minorHAnsi" w:cstheme="minorHAnsi"/>
        </w:rPr>
        <w:t>)</w:t>
      </w:r>
    </w:p>
    <w:p w14:paraId="65955493" w14:textId="3A7B8652" w:rsidR="007B18B0" w:rsidRPr="00920634" w:rsidRDefault="007B18B0" w:rsidP="008D4CD3">
      <w:pPr>
        <w:ind w:left="2835" w:hanging="2835"/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t>RIS</w:t>
      </w:r>
      <w:r w:rsidRPr="00920634">
        <w:rPr>
          <w:rFonts w:asciiTheme="minorHAnsi" w:hAnsiTheme="minorHAnsi" w:cstheme="minorHAnsi"/>
        </w:rPr>
        <w:tab/>
        <w:t>Rozpočtový informační systém</w:t>
      </w:r>
      <w:r w:rsidR="00606009">
        <w:rPr>
          <w:rFonts w:asciiTheme="minorHAnsi" w:hAnsiTheme="minorHAnsi" w:cstheme="minorHAnsi"/>
        </w:rPr>
        <w:t xml:space="preserve"> (</w:t>
      </w:r>
      <w:r w:rsidR="00606009" w:rsidRPr="00413A49">
        <w:rPr>
          <w:rFonts w:asciiTheme="minorHAnsi" w:hAnsiTheme="minorHAnsi" w:cstheme="minorHAnsi"/>
          <w:i/>
        </w:rPr>
        <w:t>Integrovan</w:t>
      </w:r>
      <w:r w:rsidR="00606009">
        <w:rPr>
          <w:rFonts w:asciiTheme="minorHAnsi" w:hAnsiTheme="minorHAnsi" w:cstheme="minorHAnsi"/>
          <w:i/>
        </w:rPr>
        <w:t>ý</w:t>
      </w:r>
      <w:r w:rsidR="00606009" w:rsidRPr="00413A49">
        <w:rPr>
          <w:rFonts w:asciiTheme="minorHAnsi" w:hAnsiTheme="minorHAnsi" w:cstheme="minorHAnsi"/>
          <w:i/>
        </w:rPr>
        <w:t xml:space="preserve"> informační systém Státní pokladny</w:t>
      </w:r>
      <w:r w:rsidR="00606009" w:rsidRPr="008D4CD3">
        <w:rPr>
          <w:rFonts w:asciiTheme="minorHAnsi" w:hAnsiTheme="minorHAnsi" w:cstheme="minorHAnsi"/>
        </w:rPr>
        <w:t>)</w:t>
      </w:r>
    </w:p>
    <w:p w14:paraId="22AC6F80" w14:textId="5E1A8446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SVES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Study Visits for Education Specialists</w:t>
      </w:r>
    </w:p>
    <w:p w14:paraId="3955F1E4" w14:textId="421A2A9F" w:rsidR="00BE03F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SZIF</w:t>
      </w:r>
      <w:r>
        <w:rPr>
          <w:rFonts w:asciiTheme="minorHAnsi" w:hAnsiTheme="minorHAnsi" w:cstheme="minorHAnsi"/>
        </w:rPr>
        <w:tab/>
      </w:r>
      <w:r w:rsidR="00BE03F0" w:rsidRPr="00920634">
        <w:rPr>
          <w:rFonts w:asciiTheme="minorHAnsi" w:hAnsiTheme="minorHAnsi" w:cstheme="minorHAnsi"/>
        </w:rPr>
        <w:t>Státní zemědělský intervenční fond</w:t>
      </w:r>
    </w:p>
    <w:p w14:paraId="17D31457" w14:textId="2C17C6B2" w:rsidR="007B18B0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 w:rsidR="007B18B0" w:rsidRPr="00920634">
        <w:rPr>
          <w:rFonts w:asciiTheme="minorHAnsi" w:hAnsiTheme="minorHAnsi" w:cstheme="minorHAnsi"/>
        </w:rPr>
        <w:t>Společná zemědělská politika</w:t>
      </w:r>
    </w:p>
    <w:p w14:paraId="0BB40356" w14:textId="707FD289" w:rsidR="00606009" w:rsidRPr="00920634" w:rsidRDefault="00606009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ÚZ</w:t>
      </w:r>
      <w:r>
        <w:rPr>
          <w:rFonts w:asciiTheme="minorHAnsi" w:hAnsiTheme="minorHAnsi" w:cstheme="minorHAnsi"/>
        </w:rPr>
        <w:tab/>
        <w:t>Účetní závěrka</w:t>
      </w:r>
    </w:p>
    <w:p w14:paraId="095F7E7E" w14:textId="6B0779E1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VK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Vzdělávání pro konkurenceschopnost</w:t>
      </w:r>
    </w:p>
    <w:p w14:paraId="2F846C7C" w14:textId="31772437" w:rsidR="007B18B0" w:rsidRPr="00920634" w:rsidRDefault="005A5CCA" w:rsidP="008D4CD3">
      <w:pPr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VaVpI</w:t>
      </w:r>
      <w:r>
        <w:rPr>
          <w:rFonts w:asciiTheme="minorHAnsi" w:hAnsiTheme="minorHAnsi" w:cstheme="minorHAnsi"/>
        </w:rPr>
        <w:tab/>
      </w:r>
      <w:r w:rsidR="007B18B0" w:rsidRPr="008D4CD3">
        <w:rPr>
          <w:rFonts w:asciiTheme="minorHAnsi" w:hAnsiTheme="minorHAnsi" w:cstheme="minorHAnsi"/>
          <w:i/>
        </w:rPr>
        <w:t>Výzkum a vývoj pro inovace</w:t>
      </w:r>
    </w:p>
    <w:p w14:paraId="442194FA" w14:textId="1D79D3C5" w:rsidR="00920634" w:rsidRPr="00920634" w:rsidRDefault="00920634" w:rsidP="00114439">
      <w:pPr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br w:type="page"/>
      </w:r>
    </w:p>
    <w:p w14:paraId="45D6034A" w14:textId="5ABE0B5D" w:rsidR="00920634" w:rsidRPr="00C66C0A" w:rsidRDefault="00920634" w:rsidP="00114439">
      <w:pPr>
        <w:jc w:val="right"/>
        <w:rPr>
          <w:rFonts w:asciiTheme="minorHAnsi" w:hAnsiTheme="minorHAnsi" w:cstheme="minorHAnsi"/>
          <w:b/>
          <w:color w:val="000000"/>
          <w:lang w:eastAsia="cs-CZ"/>
        </w:rPr>
      </w:pPr>
      <w:r w:rsidRPr="00C66C0A">
        <w:rPr>
          <w:rFonts w:asciiTheme="minorHAnsi" w:hAnsiTheme="minorHAnsi" w:cstheme="minorHAnsi"/>
          <w:b/>
          <w:color w:val="000000"/>
          <w:lang w:eastAsia="cs-CZ"/>
        </w:rPr>
        <w:lastRenderedPageBreak/>
        <w:t xml:space="preserve">Příloha č. 1 </w:t>
      </w:r>
    </w:p>
    <w:p w14:paraId="3E49077F" w14:textId="77777777" w:rsidR="00920634" w:rsidRPr="00920634" w:rsidRDefault="00920634" w:rsidP="0011443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tbl>
      <w:tblPr>
        <w:tblW w:w="8901" w:type="dxa"/>
        <w:jc w:val="center"/>
        <w:tblInd w:w="-26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977"/>
        <w:gridCol w:w="1563"/>
        <w:gridCol w:w="1078"/>
        <w:gridCol w:w="1473"/>
        <w:gridCol w:w="992"/>
      </w:tblGrid>
      <w:tr w:rsidR="00920634" w:rsidRPr="00920634" w14:paraId="082F2E8F" w14:textId="77777777" w:rsidTr="00491B35">
        <w:trPr>
          <w:trHeight w:hRule="exact" w:val="227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12B17645" w14:textId="77777777" w:rsidR="00920634" w:rsidRPr="00920634" w:rsidRDefault="00920634" w:rsidP="00114439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Nástroj – detail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12F475" w14:textId="66903C72" w:rsidR="00920634" w:rsidRPr="00920634" w:rsidRDefault="00920634" w:rsidP="00D605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Nástroj </w:t>
            </w:r>
            <w:r w:rsidR="00D605F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–</w:t>
            </w: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dle třídění rozpočtovou skladbou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38F99C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Příjmy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73CC85A0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Výdaje</w:t>
            </w:r>
          </w:p>
        </w:tc>
      </w:tr>
      <w:tr w:rsidR="00920634" w:rsidRPr="00920634" w14:paraId="20CADD11" w14:textId="77777777" w:rsidTr="00491B35">
        <w:trPr>
          <w:trHeight w:hRule="exact" w:val="227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19D8ED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A3BFAF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FD7044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Rok 2014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C8DCC8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Rok 2014</w:t>
            </w:r>
          </w:p>
        </w:tc>
      </w:tr>
      <w:tr w:rsidR="00EF0E30" w:rsidRPr="00920634" w14:paraId="52D6A5D6" w14:textId="77777777" w:rsidTr="00491B35">
        <w:trPr>
          <w:trHeight w:val="1663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FAB0C" w14:textId="77777777" w:rsidR="00EF0E30" w:rsidRPr="00920634" w:rsidRDefault="00EF0E30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A1A4FB" w14:textId="77777777" w:rsidR="00EF0E30" w:rsidRPr="00920634" w:rsidRDefault="00EF0E30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36A3CB" w14:textId="77777777" w:rsidR="00EF0E30" w:rsidRPr="00920634" w:rsidRDefault="00EF0E30" w:rsidP="00EF0E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Výsledek</w:t>
            </w:r>
          </w:p>
          <w:p w14:paraId="053653E7" w14:textId="77777777" w:rsidR="00EF0E30" w:rsidRPr="00920634" w:rsidRDefault="00EF0E30" w:rsidP="00EF0E3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 poč. roku</w:t>
            </w:r>
          </w:p>
          <w:p w14:paraId="1742FED0" w14:textId="3DC906BD" w:rsidR="00EF0E30" w:rsidRPr="00920634" w:rsidRDefault="00EF0E30" w:rsidP="00EF0E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00362BF0" w14:textId="3F6A86F9" w:rsidR="00EF0E30" w:rsidRPr="00920634" w:rsidRDefault="00DB41A1" w:rsidP="00491B35">
            <w:pPr>
              <w:spacing w:after="20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</w:t>
            </w:r>
            <w:r w:rsidR="00EF0E30"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odíl na celkových příjmech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491B3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zachycených</w:t>
            </w:r>
            <w:r w:rsidR="001A33F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491B3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ná</w:t>
            </w:r>
            <w:r w:rsidR="001A33F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strojovým tříděním</w:t>
            </w:r>
          </w:p>
        </w:tc>
        <w:tc>
          <w:tcPr>
            <w:tcW w:w="1473" w:type="dxa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4096C4" w14:textId="77777777" w:rsidR="00EF0E30" w:rsidRPr="00920634" w:rsidRDefault="00EF0E30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Výsledek</w:t>
            </w:r>
          </w:p>
          <w:p w14:paraId="6CE4DBAE" w14:textId="77777777" w:rsidR="00EF0E30" w:rsidRPr="00920634" w:rsidRDefault="00EF0E30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 poč. roku</w:t>
            </w:r>
          </w:p>
          <w:p w14:paraId="39403668" w14:textId="22CC936E" w:rsidR="00EF0E30" w:rsidRPr="00920634" w:rsidRDefault="00EF0E30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 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Kč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6F7411AA" w14:textId="259B60B0" w:rsidR="00EF0E30" w:rsidRPr="00920634" w:rsidRDefault="00DB41A1" w:rsidP="00491B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</w:t>
            </w:r>
            <w:r w:rsidR="00EF0E30"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odíl na celkových výdajích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zachycených </w:t>
            </w:r>
            <w:r w:rsidR="00491B3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nástrojovým tříděním</w:t>
            </w:r>
          </w:p>
        </w:tc>
      </w:tr>
      <w:tr w:rsidR="00920634" w:rsidRPr="00920634" w14:paraId="0A4F2FEF" w14:textId="77777777" w:rsidTr="008D4CD3">
        <w:trPr>
          <w:trHeight w:hRule="exact" w:val="326"/>
          <w:jc w:val="center"/>
        </w:trPr>
        <w:tc>
          <w:tcPr>
            <w:tcW w:w="8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67911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Ministerstvo školství, mládeže a tělovýchovy</w:t>
            </w:r>
          </w:p>
        </w:tc>
      </w:tr>
      <w:tr w:rsidR="00920634" w:rsidRPr="00920634" w14:paraId="3D5379F3" w14:textId="77777777" w:rsidTr="00491B35">
        <w:trPr>
          <w:trHeight w:hRule="exact" w:val="30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47D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1FE2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Výzkum a vývoj pro inovace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E16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11 090 603 538,57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7BCA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47,7 %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08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9 606 605 618,02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2D3" w14:textId="2411BB63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53,6 %</w:t>
            </w:r>
          </w:p>
        </w:tc>
      </w:tr>
      <w:tr w:rsidR="00920634" w:rsidRPr="00920634" w14:paraId="2713C283" w14:textId="77777777" w:rsidTr="00491B35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C30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E044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Vzdělávání pro konkurenceschopnost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0F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12 116 841 714,67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A180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52,2 %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05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8 131 709 808,42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94F1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45,3 %</w:t>
            </w:r>
          </w:p>
        </w:tc>
      </w:tr>
      <w:tr w:rsidR="00920634" w:rsidRPr="00920634" w14:paraId="3636742D" w14:textId="77777777" w:rsidTr="00491B35">
        <w:trPr>
          <w:trHeight w:hRule="exact" w:val="27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0B7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CE01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Lidské zdroje a zaměstnanost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7D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865 444,21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7364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4B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1 763 847,74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E3C3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</w:tr>
      <w:tr w:rsidR="00920634" w:rsidRPr="00920634" w14:paraId="2F534DC0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EFF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65DF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Technická pomoc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F1CD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44DA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F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6DE8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</w:tr>
      <w:tr w:rsidR="00920634" w:rsidRPr="00920634" w14:paraId="77DBE2C0" w14:textId="77777777" w:rsidTr="00491B35">
        <w:trPr>
          <w:trHeight w:hRule="exact" w:val="21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AF4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8211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Přeshraniční spolupráce pro cíl EÚS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8E54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29A5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5D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8BE7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</w:tr>
      <w:tr w:rsidR="00920634" w:rsidRPr="00920634" w14:paraId="022E31C3" w14:textId="77777777" w:rsidTr="00491B35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C4AE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1476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Komunitární programy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D72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9 106 868,22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9B73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6C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61 229 620,00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2F53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0,3 %</w:t>
            </w:r>
          </w:p>
        </w:tc>
      </w:tr>
      <w:tr w:rsidR="00920634" w:rsidRPr="00920634" w14:paraId="47FDB5E5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891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6B65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Twinning out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CE9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7874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C39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1 781 000,00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922D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</w:tr>
      <w:tr w:rsidR="00920634" w:rsidRPr="00920634" w14:paraId="6BE5F21E" w14:textId="77777777" w:rsidTr="00491B35">
        <w:trPr>
          <w:trHeight w:hRule="exact" w:val="19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B18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1DCE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Životní prostředí – CF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4BD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12 272 478,50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49EF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17D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12 272 478,50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478E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0,1 %</w:t>
            </w:r>
          </w:p>
        </w:tc>
      </w:tr>
      <w:tr w:rsidR="00920634" w:rsidRPr="00920634" w14:paraId="228A62E0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970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1726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Finanční mechanismy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138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3 994 039,14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FE9A" w14:textId="77777777" w:rsidR="00920634" w:rsidRPr="00920634" w:rsidRDefault="00920634" w:rsidP="00E70EED">
            <w:pPr>
              <w:ind w:left="-130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8B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121 460 212,87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0AD5" w14:textId="77777777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0,7 %</w:t>
            </w:r>
          </w:p>
        </w:tc>
      </w:tr>
      <w:tr w:rsidR="00920634" w:rsidRPr="00920634" w14:paraId="7797BF88" w14:textId="77777777" w:rsidTr="00491B35">
        <w:trPr>
          <w:trHeight w:hRule="exact" w:val="227"/>
          <w:jc w:val="center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FFE885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Celkem</w:t>
            </w:r>
          </w:p>
          <w:p w14:paraId="4187F22F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2D3F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23 233 684 083,31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95004" w14:textId="77777777" w:rsidR="00920634" w:rsidRPr="00920634" w:rsidRDefault="00920634" w:rsidP="00E70EED">
            <w:pPr>
              <w:ind w:left="-130" w:right="57" w:firstLine="62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100,0 %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F7B46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17 937 032 585,55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9913C1" w14:textId="547E79D6" w:rsidR="00920634" w:rsidRPr="00920634" w:rsidRDefault="00920634" w:rsidP="00E70EED">
            <w:pPr>
              <w:ind w:left="-136" w:right="57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100,0</w:t>
            </w:r>
            <w:r w:rsidR="00EF0E3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58DE1156" w14:textId="77777777" w:rsidTr="008D4CD3">
        <w:trPr>
          <w:trHeight w:hRule="exact" w:val="352"/>
          <w:jc w:val="center"/>
        </w:trPr>
        <w:tc>
          <w:tcPr>
            <w:tcW w:w="8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E3E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Ministerstvo zemědělství</w:t>
            </w:r>
          </w:p>
        </w:tc>
      </w:tr>
      <w:tr w:rsidR="00920634" w:rsidRPr="00920634" w14:paraId="5848BDB8" w14:textId="77777777" w:rsidTr="00491B35">
        <w:trPr>
          <w:trHeight w:hRule="exact" w:val="439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EEA7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516A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rozvoj venkova a multifunkčního zemědělství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13B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526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2E5A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07BD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20634" w:rsidRPr="00920634" w14:paraId="21E91BBA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106F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754C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Přímé platby zemědělcům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1E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20 746 968 118,74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71E6" w14:textId="40838C78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64,04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679C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896 510 120,83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AA76" w14:textId="5699FFC3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2,67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203CA278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8484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7C8A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Společná organizace trhu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AA0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128 702 123,55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31C" w14:textId="11B09DBB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C3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323 985 687,26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314" w14:textId="6CF5CD81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0,96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2AE46E82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A504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8F8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Program rozvoje venkova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F39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7 658 596 496,28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D495" w14:textId="3F9FC302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23,64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11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10 637 883 896,14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EA5" w14:textId="2CD9BCC2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31,63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0530BCB2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3E68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D2B5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Rybářství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22B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32 900 731,00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08AB" w14:textId="6F0906C7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14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81 227 569,64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46C" w14:textId="382B31B9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12D1BAAC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BD13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5586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Lidské zdroje a zaměstnanost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46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23 100 333,78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8621" w14:textId="48560571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757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D33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20634" w:rsidRPr="00920634" w14:paraId="74835D9D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10FC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561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Integrovaný operační program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45B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100 474 757,15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A4FD" w14:textId="271B915A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6A4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148 887 249,45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27A" w14:textId="6C1F587A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33047100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546E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FEAA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Jiné programy/projekty EU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F9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16 499 257,02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49E8" w14:textId="67A3E03E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324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D3E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20634" w:rsidRPr="00920634" w14:paraId="212670D9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60E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4BE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Životní prostředí - ERDF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F2C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243 575,97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8875" w14:textId="14DE8D5B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B27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1 099 430,25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6CE5" w14:textId="09922B19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20E795FE" w14:textId="77777777" w:rsidTr="00491B35">
        <w:trPr>
          <w:trHeight w:hRule="exact" w:val="22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FEA3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9D5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OP Životní prostředí - CF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895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D992" w14:textId="38E1A5F0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42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EC42" w14:textId="478C0B6A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1A6BB5FF" w14:textId="77777777" w:rsidTr="00491B35">
        <w:trPr>
          <w:trHeight w:hRule="exact" w:val="32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E80B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E5BA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Program rozvoje venkova # účetní operace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1AD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7C59" w14:textId="77777777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38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14 407 785,16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487" w14:textId="629EB739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3251C7B4" w14:textId="77777777" w:rsidTr="00491B35">
        <w:trPr>
          <w:trHeight w:hRule="exact" w:val="285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C125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632F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Jiné prostředky ze zahraničí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EB8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776 630,91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56C8" w14:textId="43A7C5C6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2DD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776 630,91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CD0" w14:textId="7DE7FE1D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5FB5C33B" w14:textId="77777777" w:rsidTr="00491B35">
        <w:trPr>
          <w:trHeight w:hRule="exact"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0A74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B140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Program rozvoje venkova 2014+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50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3539" w14:textId="77777777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A07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1 036 926 002,13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653" w14:textId="480C9AC4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3,08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6FCEF9B4" w14:textId="77777777" w:rsidTr="00491B35">
        <w:trPr>
          <w:trHeight w:hRule="exact" w:val="293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98C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94E6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Přímé platby zemědělcům 2014+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41F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3 264 499 202,21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86B" w14:textId="165B11C0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10,08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071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20 260 359 504,69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738" w14:textId="269A3130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60,24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5FC7D3DE" w14:textId="77777777" w:rsidTr="00491B35">
        <w:trPr>
          <w:trHeight w:hRule="exact" w:val="26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0D7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B16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Společná organizace trhu 2014+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E2E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289 495 730,53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D469" w14:textId="3EC4BDE7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0,89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B7F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232 268 712,78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F691" w14:textId="045DCC11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0,69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</w:tr>
      <w:tr w:rsidR="00920634" w:rsidRPr="00920634" w14:paraId="666ED8E3" w14:textId="77777777" w:rsidTr="00491B35">
        <w:trPr>
          <w:trHeight w:hRule="exact" w:val="419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D886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3D3B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Program rozvoje venkova 2014+ účetní operace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53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133 070 203,00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529F" w14:textId="1CB627E1" w:rsidR="00920634" w:rsidRPr="00920634" w:rsidRDefault="00920634" w:rsidP="00E70EED">
            <w:pPr>
              <w:ind w:left="-6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0,41</w:t>
            </w:r>
            <w:r w:rsidR="00EF0E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459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61DA" w14:textId="77777777" w:rsidR="00920634" w:rsidRPr="00920634" w:rsidRDefault="00920634" w:rsidP="001144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20634" w:rsidRPr="00920634" w14:paraId="5213E4B1" w14:textId="77777777" w:rsidTr="00491B35">
        <w:trPr>
          <w:trHeight w:hRule="exact" w:val="227"/>
          <w:jc w:val="center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835D7F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Celkem</w:t>
            </w:r>
          </w:p>
          <w:p w14:paraId="5BA6B397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449B9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32 395 327 160,14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12EE97" w14:textId="15535B72" w:rsidR="00920634" w:rsidRPr="00920634" w:rsidRDefault="00920634" w:rsidP="00EF0E30">
            <w:pPr>
              <w:ind w:left="-67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100,00</w:t>
            </w:r>
            <w:r w:rsidR="00EF0E3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57E9CC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33 634 332 589,24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B13A3C" w14:textId="1D6A628C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100,00</w:t>
            </w:r>
            <w:r w:rsidR="00EF0E3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92063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60392C6C" w14:textId="4D9872EC" w:rsidR="00920634" w:rsidRPr="008D4CD3" w:rsidRDefault="00920634" w:rsidP="00EF0E30">
      <w:pPr>
        <w:ind w:left="142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  <w:r w:rsidR="00EF0E30" w:rsidRPr="008D4CD3">
        <w:rPr>
          <w:rFonts w:asciiTheme="minorHAnsi" w:hAnsiTheme="minorHAnsi" w:cstheme="minorHAnsi"/>
          <w:sz w:val="20"/>
          <w:szCs w:val="20"/>
        </w:rPr>
        <w:t>v</w:t>
      </w:r>
      <w:r w:rsidRPr="008D4CD3">
        <w:rPr>
          <w:rFonts w:asciiTheme="minorHAnsi" w:hAnsiTheme="minorHAnsi" w:cstheme="minorHAnsi"/>
          <w:sz w:val="20"/>
          <w:szCs w:val="20"/>
        </w:rPr>
        <w:t>ýkaz</w:t>
      </w:r>
      <w:r w:rsidR="00EF0E30" w:rsidRPr="008D4CD3">
        <w:rPr>
          <w:rFonts w:asciiTheme="minorHAnsi" w:hAnsiTheme="minorHAnsi" w:cstheme="minorHAnsi"/>
          <w:sz w:val="20"/>
          <w:szCs w:val="20"/>
        </w:rPr>
        <w:t>y</w:t>
      </w:r>
      <w:r w:rsidRPr="008D4CD3">
        <w:rPr>
          <w:rFonts w:asciiTheme="minorHAnsi" w:hAnsiTheme="minorHAnsi" w:cstheme="minorHAnsi"/>
          <w:sz w:val="20"/>
          <w:szCs w:val="20"/>
        </w:rPr>
        <w:t xml:space="preserve"> pro hodnocení plnění rozpočtu MŠMT a MZe k 31. prosinci 2014 a RIS k 31. prosinci 2014.</w:t>
      </w:r>
    </w:p>
    <w:p w14:paraId="0C6A0813" w14:textId="77777777" w:rsidR="00920634" w:rsidRPr="008D4CD3" w:rsidRDefault="00920634" w:rsidP="00114439">
      <w:pPr>
        <w:rPr>
          <w:rFonts w:asciiTheme="minorHAnsi" w:hAnsiTheme="minorHAnsi" w:cstheme="minorHAnsi"/>
          <w:sz w:val="20"/>
          <w:szCs w:val="20"/>
        </w:rPr>
      </w:pPr>
    </w:p>
    <w:p w14:paraId="65BDDBC5" w14:textId="5AC47666" w:rsidR="00920634" w:rsidRPr="00920634" w:rsidRDefault="00920634" w:rsidP="00114439">
      <w:pPr>
        <w:rPr>
          <w:rFonts w:asciiTheme="minorHAnsi" w:hAnsiTheme="minorHAnsi" w:cstheme="minorHAnsi"/>
        </w:rPr>
      </w:pPr>
      <w:r w:rsidRPr="00920634">
        <w:rPr>
          <w:rFonts w:asciiTheme="minorHAnsi" w:hAnsiTheme="minorHAnsi" w:cstheme="minorHAnsi"/>
        </w:rPr>
        <w:br w:type="page"/>
      </w:r>
    </w:p>
    <w:p w14:paraId="4B003922" w14:textId="7F4A5725" w:rsidR="00920634" w:rsidRDefault="00920634" w:rsidP="00114439">
      <w:pPr>
        <w:jc w:val="right"/>
        <w:rPr>
          <w:rFonts w:asciiTheme="minorHAnsi" w:hAnsiTheme="minorHAnsi" w:cstheme="minorHAnsi"/>
          <w:b/>
        </w:rPr>
      </w:pPr>
      <w:r w:rsidRPr="00C66C0A">
        <w:rPr>
          <w:rFonts w:asciiTheme="minorHAnsi" w:hAnsiTheme="minorHAnsi" w:cstheme="minorHAnsi"/>
          <w:b/>
        </w:rPr>
        <w:lastRenderedPageBreak/>
        <w:t xml:space="preserve">Příloha č. 2 </w:t>
      </w:r>
    </w:p>
    <w:p w14:paraId="61FE237F" w14:textId="77777777" w:rsidR="00F67757" w:rsidRPr="00920634" w:rsidRDefault="00F67757" w:rsidP="00114439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29C9E7F" w14:textId="4520A28A" w:rsidR="00920634" w:rsidRPr="00445F18" w:rsidRDefault="00920634" w:rsidP="00114439">
      <w:pPr>
        <w:jc w:val="both"/>
        <w:rPr>
          <w:rFonts w:asciiTheme="minorHAnsi" w:hAnsiTheme="minorHAnsi" w:cstheme="minorHAnsi"/>
          <w:b/>
        </w:rPr>
      </w:pPr>
      <w:r w:rsidRPr="00445F18">
        <w:rPr>
          <w:rFonts w:asciiTheme="minorHAnsi" w:hAnsiTheme="minorHAnsi" w:cstheme="minorHAnsi"/>
          <w:b/>
        </w:rPr>
        <w:t xml:space="preserve">Přehled zůstatků a stavů účtů týkajících se prostředků ze zahraničí </w:t>
      </w:r>
      <w:r w:rsidR="00057EB8" w:rsidRPr="00445F18">
        <w:rPr>
          <w:rFonts w:asciiTheme="minorHAnsi" w:hAnsiTheme="minorHAnsi" w:cstheme="minorHAnsi"/>
          <w:b/>
        </w:rPr>
        <w:t>v účetních denících MŠMT a MZe k 31.</w:t>
      </w:r>
      <w:r w:rsidR="00445F18" w:rsidRPr="00445F18">
        <w:rPr>
          <w:rFonts w:asciiTheme="minorHAnsi" w:hAnsiTheme="minorHAnsi" w:cstheme="minorHAnsi"/>
          <w:b/>
        </w:rPr>
        <w:t> </w:t>
      </w:r>
      <w:r w:rsidR="00057EB8" w:rsidRPr="00445F18">
        <w:rPr>
          <w:rFonts w:asciiTheme="minorHAnsi" w:hAnsiTheme="minorHAnsi" w:cstheme="minorHAnsi"/>
          <w:b/>
        </w:rPr>
        <w:t xml:space="preserve">prosinci 2014 </w:t>
      </w:r>
      <w:r w:rsidRPr="00445F18">
        <w:rPr>
          <w:rFonts w:asciiTheme="minorHAnsi" w:hAnsiTheme="minorHAnsi" w:cstheme="minorHAnsi"/>
          <w:b/>
        </w:rPr>
        <w:t xml:space="preserve">a podíl </w:t>
      </w:r>
      <w:r w:rsidR="00057EB8" w:rsidRPr="00445F18">
        <w:rPr>
          <w:rFonts w:asciiTheme="minorHAnsi" w:hAnsiTheme="minorHAnsi" w:cstheme="minorHAnsi"/>
          <w:b/>
        </w:rPr>
        <w:t xml:space="preserve">těchto zůstatků </w:t>
      </w:r>
      <w:r w:rsidRPr="00445F18">
        <w:rPr>
          <w:rFonts w:asciiTheme="minorHAnsi" w:hAnsiTheme="minorHAnsi" w:cstheme="minorHAnsi"/>
          <w:b/>
        </w:rPr>
        <w:t>na relevantních celkových ukazatelích účetní závěrky</w:t>
      </w:r>
    </w:p>
    <w:tbl>
      <w:tblPr>
        <w:tblW w:w="921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357"/>
        <w:gridCol w:w="1275"/>
        <w:gridCol w:w="1534"/>
        <w:gridCol w:w="1266"/>
        <w:gridCol w:w="1534"/>
      </w:tblGrid>
      <w:tr w:rsidR="00920634" w:rsidRPr="00920634" w14:paraId="36C7A86C" w14:textId="77777777" w:rsidTr="008D4CD3">
        <w:trPr>
          <w:trHeight w:val="570"/>
          <w:tblHeader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9637A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A0408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Název účtu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7009" w14:textId="68719F60" w:rsidR="00920634" w:rsidRPr="00920634" w:rsidRDefault="00920634" w:rsidP="00CA5E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MŠMT </w:t>
            </w:r>
            <w:r w:rsidR="00CA5E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částka v 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BEDE6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Podíl na údajích ÚZ MŠMT k 31. prosinci 2014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26838" w14:textId="69FC23D4" w:rsidR="00920634" w:rsidRPr="00920634" w:rsidRDefault="00920634" w:rsidP="00CA5E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MZe </w:t>
            </w:r>
            <w:r w:rsidR="00CA5E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částka v 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51A1D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Podíl na údajích ÚZ MZe k 31. prosinci 2014</w:t>
            </w:r>
          </w:p>
        </w:tc>
      </w:tr>
      <w:tr w:rsidR="00920634" w:rsidRPr="00920634" w14:paraId="5958C321" w14:textId="77777777" w:rsidTr="0092063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50191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471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9D259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Dlouhodobé poskytnuté zálohy na transfery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75C6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23 434 527 355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8EF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14,75 %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7BED5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09DF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0,00 %</w:t>
            </w:r>
          </w:p>
        </w:tc>
      </w:tr>
      <w:tr w:rsidR="00920634" w:rsidRPr="00920634" w14:paraId="186BA4C2" w14:textId="77777777" w:rsidTr="0092063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29DE2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FB939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Krátkodobé pohledávky z nástrojů financovaných ze zahraničí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19C8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13 102 354 315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F5C5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8,24 %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7036C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B2372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0,00 %</w:t>
            </w:r>
          </w:p>
        </w:tc>
      </w:tr>
      <w:tr w:rsidR="00920634" w:rsidRPr="00920634" w14:paraId="4E93CAF1" w14:textId="77777777" w:rsidTr="008D4CD3">
        <w:trPr>
          <w:trHeight w:val="112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C5FDE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AKTIVECH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6CD19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22,99 %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6FEE4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D3D41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</w:tr>
      <w:tr w:rsidR="00920634" w:rsidRPr="00920634" w14:paraId="3F056B29" w14:textId="77777777" w:rsidTr="00920634">
        <w:trPr>
          <w:trHeight w:val="14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D61B6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389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A34A5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Dohadné účty pasivní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27A4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12 895 112 981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8E11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8,12 %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EE74B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C2934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0,00 %</w:t>
            </w:r>
          </w:p>
        </w:tc>
      </w:tr>
      <w:tr w:rsidR="00920634" w:rsidRPr="00920634" w14:paraId="7BC1295F" w14:textId="77777777" w:rsidTr="008D4CD3">
        <w:trPr>
          <w:trHeight w:val="168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CD15F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PASIVECH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8FC5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8,12 %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43185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CBED0" w14:textId="77777777" w:rsidR="00920634" w:rsidRPr="00920634" w:rsidRDefault="00920634" w:rsidP="00114439">
            <w:pPr>
              <w:pStyle w:val="Odstavecseseznamem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</w:tr>
      <w:tr w:rsidR="00920634" w:rsidRPr="00920634" w14:paraId="7C9260DB" w14:textId="77777777" w:rsidTr="00920634">
        <w:trPr>
          <w:trHeight w:val="2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D0C5C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571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00002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Náklady vybraných ústředních vládních institucí na transfery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D3DB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3 489 084 965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5926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2,77 %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DB20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41 714 117 604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2F308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93,68 %</w:t>
            </w:r>
          </w:p>
        </w:tc>
      </w:tr>
      <w:tr w:rsidR="00920634" w:rsidRPr="00920634" w14:paraId="1259CDA9" w14:textId="77777777" w:rsidTr="008D4CD3">
        <w:trPr>
          <w:trHeight w:val="9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AA16E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NÁKLADECH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FB3C8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2,77 %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0C9A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62A18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93,68 %</w:t>
            </w:r>
          </w:p>
        </w:tc>
      </w:tr>
      <w:tr w:rsidR="00920634" w:rsidRPr="00920634" w14:paraId="72076760" w14:textId="77777777" w:rsidTr="00920634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3984D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671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67586" w14:textId="1CFF6F40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Výnosy vybraných ústředních vládních institucí z</w:t>
            </w:r>
            <w:r w:rsidR="00FF37E9"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transferů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76E5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600 299 287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0150F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93,05 %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4AF0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32 287 032 276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C4DF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81,48 %</w:t>
            </w:r>
          </w:p>
        </w:tc>
      </w:tr>
      <w:tr w:rsidR="00920634" w:rsidRPr="00920634" w14:paraId="23B84441" w14:textId="77777777" w:rsidTr="008D4CD3">
        <w:trPr>
          <w:trHeight w:val="152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5BC22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VÝNOSECH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F35F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93,05 %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57DB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40E60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81,48 %</w:t>
            </w:r>
          </w:p>
        </w:tc>
      </w:tr>
      <w:tr w:rsidR="00920634" w:rsidRPr="00920634" w14:paraId="3D441142" w14:textId="77777777" w:rsidTr="0092063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F411C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939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1C4A9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Krátkodobé podmíněné pohledávky z nástrojů spolufinancovaných ze zahraničí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25A0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518E2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87B7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10 409 441 574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5EE4E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97,82 %</w:t>
            </w:r>
          </w:p>
        </w:tc>
      </w:tr>
      <w:tr w:rsidR="00920634" w:rsidRPr="00920634" w14:paraId="7D1CD6B7" w14:textId="77777777" w:rsidTr="00920634">
        <w:trPr>
          <w:trHeight w:val="25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6F29B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941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61825" w14:textId="5A99F446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 xml:space="preserve">Dlouhodobé podmíněné pohledávky </w:t>
            </w:r>
            <w:r w:rsidR="008D073A"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z </w:t>
            </w: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nástrojů spolufinancovaných ze zahraničí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93C9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6AEC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B98B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128 962 127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E02C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1,21 %</w:t>
            </w:r>
          </w:p>
        </w:tc>
      </w:tr>
      <w:tr w:rsidR="00920634" w:rsidRPr="00920634" w14:paraId="09203F8F" w14:textId="77777777" w:rsidTr="008D4CD3">
        <w:trPr>
          <w:trHeight w:val="76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62F8D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podrozvahových pohledávkách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B24D7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262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2263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99,03 %</w:t>
            </w:r>
          </w:p>
        </w:tc>
      </w:tr>
      <w:tr w:rsidR="00920634" w:rsidRPr="00920634" w14:paraId="2DFB418C" w14:textId="77777777" w:rsidTr="0092063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2F9F0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B2D5F" w14:textId="46238254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 xml:space="preserve">Krátkodobé podmíněné závazky </w:t>
            </w:r>
            <w:r w:rsidR="008D073A"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z </w:t>
            </w: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nástrojů spolufinancovaných ze zahraničí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896C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C9D6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FDEE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30 998 700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6ECE8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2,05 %</w:t>
            </w:r>
          </w:p>
        </w:tc>
      </w:tr>
      <w:tr w:rsidR="00920634" w:rsidRPr="00920634" w14:paraId="0AC8942D" w14:textId="77777777" w:rsidTr="0092063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E535B" w14:textId="77777777" w:rsidR="00920634" w:rsidRPr="00920634" w:rsidRDefault="00920634" w:rsidP="001144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08614" w14:textId="77777777" w:rsidR="00920634" w:rsidRPr="008D4CD3" w:rsidRDefault="00920634" w:rsidP="00114439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8D4CD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cs-CZ"/>
              </w:rPr>
              <w:t>Dlouhodobé podmíněné závazky z nástrojů spolufinancovaných ze zahraničí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473B3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19 471 185 322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769FB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76,74 %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96E64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156 890 260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CD29D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10,37 %</w:t>
            </w:r>
          </w:p>
        </w:tc>
      </w:tr>
      <w:tr w:rsidR="00920634" w:rsidRPr="00920634" w14:paraId="09D575BB" w14:textId="77777777" w:rsidTr="008D4CD3">
        <w:trPr>
          <w:trHeight w:val="218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92C3B" w14:textId="77777777" w:rsidR="00920634" w:rsidRPr="00920634" w:rsidRDefault="00920634" w:rsidP="001144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Podíl na celkových podrozvahových závazcích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2C1E1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76,74 %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4A48A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906C5" w14:textId="77777777" w:rsidR="00920634" w:rsidRPr="00920634" w:rsidRDefault="00920634" w:rsidP="001144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12,42 %</w:t>
            </w:r>
          </w:p>
        </w:tc>
      </w:tr>
    </w:tbl>
    <w:p w14:paraId="5D124952" w14:textId="08F762D2" w:rsidR="00920634" w:rsidRPr="008D4CD3" w:rsidRDefault="00920634" w:rsidP="00114439">
      <w:pPr>
        <w:jc w:val="both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Zdroj:</w:t>
      </w:r>
      <w:r w:rsidRPr="008D4CD3">
        <w:rPr>
          <w:rFonts w:asciiTheme="minorHAnsi" w:hAnsiTheme="minorHAnsi" w:cstheme="minorHAnsi"/>
          <w:sz w:val="20"/>
          <w:szCs w:val="20"/>
        </w:rPr>
        <w:t xml:space="preserve"> </w:t>
      </w:r>
      <w:r w:rsidR="009B6D88">
        <w:rPr>
          <w:rFonts w:asciiTheme="minorHAnsi" w:hAnsiTheme="minorHAnsi" w:cstheme="minorHAnsi"/>
          <w:sz w:val="20"/>
          <w:szCs w:val="20"/>
        </w:rPr>
        <w:t>ú</w:t>
      </w:r>
      <w:r w:rsidRPr="008D4CD3">
        <w:rPr>
          <w:rFonts w:asciiTheme="minorHAnsi" w:hAnsiTheme="minorHAnsi" w:cstheme="minorHAnsi"/>
          <w:sz w:val="20"/>
          <w:szCs w:val="20"/>
        </w:rPr>
        <w:t>četní deník</w:t>
      </w:r>
      <w:r w:rsidR="009B6D88">
        <w:rPr>
          <w:rFonts w:asciiTheme="minorHAnsi" w:hAnsiTheme="minorHAnsi" w:cstheme="minorHAnsi"/>
          <w:sz w:val="20"/>
          <w:szCs w:val="20"/>
        </w:rPr>
        <w:t>y</w:t>
      </w:r>
      <w:r w:rsidRPr="008D4CD3">
        <w:rPr>
          <w:rFonts w:asciiTheme="minorHAnsi" w:hAnsiTheme="minorHAnsi" w:cstheme="minorHAnsi"/>
          <w:sz w:val="20"/>
          <w:szCs w:val="20"/>
        </w:rPr>
        <w:t xml:space="preserve"> MŠMT a MZe za rok 2014.</w:t>
      </w:r>
    </w:p>
    <w:p w14:paraId="2193A615" w14:textId="1596CDDC" w:rsidR="00920634" w:rsidRPr="008D4CD3" w:rsidRDefault="00920634" w:rsidP="008D4CD3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8D4CD3">
        <w:rPr>
          <w:rFonts w:asciiTheme="minorHAnsi" w:hAnsiTheme="minorHAnsi" w:cstheme="minorHAnsi"/>
          <w:b/>
          <w:sz w:val="20"/>
          <w:szCs w:val="20"/>
        </w:rPr>
        <w:t>Pozn</w:t>
      </w:r>
      <w:r w:rsidR="009B6D88">
        <w:rPr>
          <w:rFonts w:asciiTheme="minorHAnsi" w:hAnsiTheme="minorHAnsi" w:cstheme="minorHAnsi"/>
          <w:b/>
          <w:sz w:val="20"/>
          <w:szCs w:val="20"/>
        </w:rPr>
        <w:t>.</w:t>
      </w:r>
      <w:r w:rsidRPr="008D4CD3">
        <w:rPr>
          <w:rFonts w:asciiTheme="minorHAnsi" w:hAnsiTheme="minorHAnsi" w:cstheme="minorHAnsi"/>
          <w:b/>
          <w:sz w:val="20"/>
          <w:szCs w:val="20"/>
        </w:rPr>
        <w:t>:</w:t>
      </w:r>
      <w:r w:rsidRPr="008D4CD3">
        <w:rPr>
          <w:rFonts w:asciiTheme="minorHAnsi" w:hAnsiTheme="minorHAnsi" w:cstheme="minorHAnsi"/>
          <w:sz w:val="20"/>
          <w:szCs w:val="20"/>
        </w:rPr>
        <w:t xml:space="preserve"> Zůstatek účtu 571 u MZe obsahuje nejen prostředky spolufinancované ze zahraničí, ale i prostředky národních dotací.</w:t>
      </w:r>
    </w:p>
    <w:p w14:paraId="38573E8F" w14:textId="77777777" w:rsidR="00920634" w:rsidRPr="00920634" w:rsidRDefault="00920634" w:rsidP="00114439">
      <w:pPr>
        <w:rPr>
          <w:rFonts w:asciiTheme="minorHAnsi" w:hAnsiTheme="minorHAnsi" w:cstheme="minorHAnsi"/>
        </w:rPr>
      </w:pPr>
    </w:p>
    <w:p w14:paraId="3DFF1B6B" w14:textId="2FF25EF1" w:rsidR="007B18B0" w:rsidRPr="00920634" w:rsidRDefault="007B18B0" w:rsidP="00114439">
      <w:pPr>
        <w:jc w:val="both"/>
        <w:rPr>
          <w:rFonts w:asciiTheme="minorHAnsi" w:hAnsiTheme="minorHAnsi" w:cstheme="minorHAnsi"/>
        </w:rPr>
      </w:pPr>
    </w:p>
    <w:sectPr w:rsidR="007B18B0" w:rsidRPr="00920634" w:rsidSect="00B267DC">
      <w:footerReference w:type="even" r:id="rId18"/>
      <w:footerReference w:type="default" r:id="rId19"/>
      <w:footerReference w:type="first" r:id="rId20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9A28" w14:textId="77777777" w:rsidR="005810E6" w:rsidRDefault="005810E6">
      <w:r>
        <w:separator/>
      </w:r>
    </w:p>
  </w:endnote>
  <w:endnote w:type="continuationSeparator" w:id="0">
    <w:p w14:paraId="54CE64B0" w14:textId="77777777" w:rsidR="005810E6" w:rsidRDefault="0058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CEB3" w14:textId="77777777" w:rsidR="005810E6" w:rsidRDefault="005810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00750F6" w14:textId="77777777" w:rsidR="005810E6" w:rsidRDefault="005810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354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CAB7FF" w14:textId="77777777" w:rsidR="005810E6" w:rsidRPr="0099458D" w:rsidRDefault="005810E6" w:rsidP="00C953C5">
        <w:pPr>
          <w:pStyle w:val="Zpat"/>
          <w:tabs>
            <w:tab w:val="clear" w:pos="4536"/>
          </w:tabs>
          <w:jc w:val="center"/>
          <w:rPr>
            <w:rFonts w:asciiTheme="minorHAnsi" w:hAnsiTheme="minorHAnsi" w:cstheme="minorHAnsi"/>
            <w:sz w:val="22"/>
            <w:szCs w:val="22"/>
          </w:rPr>
        </w:pPr>
        <w:r w:rsidRPr="00E9228F">
          <w:rPr>
            <w:rFonts w:asciiTheme="minorHAnsi" w:hAnsiTheme="minorHAnsi" w:cstheme="minorHAnsi"/>
          </w:rPr>
          <w:fldChar w:fldCharType="begin"/>
        </w:r>
        <w:r w:rsidRPr="00E9228F">
          <w:rPr>
            <w:rFonts w:asciiTheme="minorHAnsi" w:hAnsiTheme="minorHAnsi" w:cstheme="minorHAnsi"/>
          </w:rPr>
          <w:instrText>PAGE   \* MERGEFORMAT</w:instrText>
        </w:r>
        <w:r w:rsidRPr="00E9228F">
          <w:rPr>
            <w:rFonts w:asciiTheme="minorHAnsi" w:hAnsiTheme="minorHAnsi" w:cstheme="minorHAnsi"/>
          </w:rPr>
          <w:fldChar w:fldCharType="separate"/>
        </w:r>
        <w:r w:rsidR="00F73CFE">
          <w:rPr>
            <w:rFonts w:asciiTheme="minorHAnsi" w:hAnsiTheme="minorHAnsi" w:cstheme="minorHAnsi"/>
            <w:noProof/>
          </w:rPr>
          <w:t>3</w:t>
        </w:r>
        <w:r w:rsidRPr="00E9228F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3D087" w14:textId="77777777" w:rsidR="005810E6" w:rsidRDefault="005810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8D3D088" w14:textId="77777777" w:rsidR="005810E6" w:rsidRDefault="005810E6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7414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D3D089" w14:textId="77777777" w:rsidR="005810E6" w:rsidRPr="0099458D" w:rsidRDefault="005810E6" w:rsidP="00C953C5">
        <w:pPr>
          <w:pStyle w:val="Zpat"/>
          <w:tabs>
            <w:tab w:val="clear" w:pos="4536"/>
          </w:tabs>
          <w:jc w:val="center"/>
          <w:rPr>
            <w:rFonts w:asciiTheme="minorHAnsi" w:hAnsiTheme="minorHAnsi" w:cstheme="minorHAnsi"/>
            <w:sz w:val="22"/>
            <w:szCs w:val="22"/>
          </w:rPr>
        </w:pPr>
        <w:r w:rsidRPr="00E9228F">
          <w:rPr>
            <w:rFonts w:asciiTheme="minorHAnsi" w:hAnsiTheme="minorHAnsi" w:cstheme="minorHAnsi"/>
          </w:rPr>
          <w:fldChar w:fldCharType="begin"/>
        </w:r>
        <w:r w:rsidRPr="00E9228F">
          <w:rPr>
            <w:rFonts w:asciiTheme="minorHAnsi" w:hAnsiTheme="minorHAnsi" w:cstheme="minorHAnsi"/>
          </w:rPr>
          <w:instrText>PAGE   \* MERGEFORMAT</w:instrText>
        </w:r>
        <w:r w:rsidRPr="00E9228F">
          <w:rPr>
            <w:rFonts w:asciiTheme="minorHAnsi" w:hAnsiTheme="minorHAnsi" w:cstheme="minorHAnsi"/>
          </w:rPr>
          <w:fldChar w:fldCharType="separate"/>
        </w:r>
        <w:r w:rsidR="00F73CFE">
          <w:rPr>
            <w:rFonts w:asciiTheme="minorHAnsi" w:hAnsiTheme="minorHAnsi" w:cstheme="minorHAnsi"/>
            <w:noProof/>
          </w:rPr>
          <w:t>18</w:t>
        </w:r>
        <w:r w:rsidRPr="00E9228F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920989"/>
      <w:docPartObj>
        <w:docPartGallery w:val="Page Numbers (Bottom of Page)"/>
        <w:docPartUnique/>
      </w:docPartObj>
    </w:sdtPr>
    <w:sdtEndPr/>
    <w:sdtContent>
      <w:p w14:paraId="1EEBD417" w14:textId="67409F00" w:rsidR="005810E6" w:rsidRDefault="005810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A64745" w14:textId="77777777" w:rsidR="005810E6" w:rsidRDefault="005810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FA64" w14:textId="77777777" w:rsidR="005810E6" w:rsidRDefault="005810E6">
      <w:r>
        <w:separator/>
      </w:r>
    </w:p>
  </w:footnote>
  <w:footnote w:type="continuationSeparator" w:id="0">
    <w:p w14:paraId="5EC3F41A" w14:textId="77777777" w:rsidR="005810E6" w:rsidRDefault="005810E6">
      <w:r>
        <w:continuationSeparator/>
      </w:r>
    </w:p>
  </w:footnote>
  <w:footnote w:id="1">
    <w:p w14:paraId="358948F1" w14:textId="05196D4A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eastAsia="Arial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eastAsia="Arial" w:hAnsiTheme="minorHAnsi" w:cstheme="minorHAnsi"/>
        </w:rPr>
        <w:t xml:space="preserve"> </w:t>
      </w:r>
      <w:r w:rsidRPr="008D073A">
        <w:rPr>
          <w:rFonts w:asciiTheme="minorHAnsi" w:eastAsia="Arial" w:hAnsiTheme="minorHAnsi" w:cstheme="minorHAnsi"/>
        </w:rPr>
        <w:tab/>
        <w:t>Pojem „předfinancování“ je používán v ustanovení</w:t>
      </w:r>
      <w:r>
        <w:rPr>
          <w:rFonts w:asciiTheme="minorHAnsi" w:eastAsia="Arial" w:hAnsiTheme="minorHAnsi" w:cstheme="minorHAnsi"/>
        </w:rPr>
        <w:t>ch</w:t>
      </w:r>
      <w:r w:rsidRPr="008D073A">
        <w:rPr>
          <w:rFonts w:asciiTheme="minorHAnsi" w:eastAsia="Arial" w:hAnsiTheme="minorHAnsi" w:cstheme="minorHAnsi"/>
        </w:rPr>
        <w:t xml:space="preserve"> § 14 odst. 6 a 7 zákona č. 218/2000 Sb., o</w:t>
      </w:r>
      <w:r>
        <w:rPr>
          <w:rFonts w:asciiTheme="minorHAnsi" w:eastAsia="Arial" w:hAnsiTheme="minorHAnsi" w:cstheme="minorHAnsi"/>
        </w:rPr>
        <w:t> </w:t>
      </w:r>
      <w:r w:rsidRPr="008D073A">
        <w:rPr>
          <w:rFonts w:asciiTheme="minorHAnsi" w:eastAsia="Arial" w:hAnsiTheme="minorHAnsi" w:cstheme="minorHAnsi"/>
        </w:rPr>
        <w:t>rozpočtových pravidlech a o změně některých souvisejících zákonů (rozpočtová pravidla), ve znění účinném do</w:t>
      </w:r>
      <w:r>
        <w:rPr>
          <w:rFonts w:asciiTheme="minorHAnsi" w:eastAsia="Arial" w:hAnsiTheme="minorHAnsi" w:cstheme="minorHAnsi"/>
        </w:rPr>
        <w:t xml:space="preserve"> </w:t>
      </w:r>
      <w:r w:rsidRPr="008D073A">
        <w:rPr>
          <w:rFonts w:asciiTheme="minorHAnsi" w:eastAsia="Arial" w:hAnsiTheme="minorHAnsi" w:cstheme="minorHAnsi"/>
        </w:rPr>
        <w:t>31.</w:t>
      </w:r>
      <w:r>
        <w:rPr>
          <w:rFonts w:asciiTheme="minorHAnsi" w:eastAsia="Arial" w:hAnsiTheme="minorHAnsi" w:cstheme="minorHAnsi"/>
        </w:rPr>
        <w:t> </w:t>
      </w:r>
      <w:r w:rsidRPr="008D073A">
        <w:rPr>
          <w:rFonts w:asciiTheme="minorHAnsi" w:eastAsia="Arial" w:hAnsiTheme="minorHAnsi" w:cstheme="minorHAnsi"/>
        </w:rPr>
        <w:t xml:space="preserve">prosince 2014 a v ustanovení § 44 odst. 2 tohoto zákona. Pojem „předfinancování“ </w:t>
      </w:r>
      <w:r>
        <w:rPr>
          <w:rFonts w:asciiTheme="minorHAnsi" w:eastAsia="Arial" w:hAnsiTheme="minorHAnsi" w:cstheme="minorHAnsi"/>
        </w:rPr>
        <w:t xml:space="preserve">však </w:t>
      </w:r>
      <w:r w:rsidRPr="008D073A">
        <w:rPr>
          <w:rFonts w:asciiTheme="minorHAnsi" w:eastAsia="Arial" w:hAnsiTheme="minorHAnsi" w:cstheme="minorHAnsi"/>
        </w:rPr>
        <w:t>není tímto zákonem obsahově vymezen.</w:t>
      </w:r>
    </w:p>
  </w:footnote>
  <w:footnote w:id="2">
    <w:p w14:paraId="2E22B092" w14:textId="507D53F9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Usnesení vlády ČR ze dne 9. července 2003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č. 678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  <w:i/>
        </w:rPr>
        <w:t>k Metodice finančních toků a kontroly strukturálních fondů a Fondu soudržnosti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a usnesení vlády </w:t>
      </w:r>
      <w:r>
        <w:rPr>
          <w:rFonts w:asciiTheme="minorHAnsi" w:hAnsiTheme="minorHAnsi" w:cstheme="minorHAnsi"/>
        </w:rPr>
        <w:t xml:space="preserve">ČR </w:t>
      </w:r>
      <w:r w:rsidRPr="008D073A">
        <w:rPr>
          <w:rFonts w:asciiTheme="minorHAnsi" w:hAnsiTheme="minorHAnsi" w:cstheme="minorHAnsi"/>
        </w:rPr>
        <w:t>ze dne 30.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listopadu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2006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č. 1352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  <w:i/>
        </w:rPr>
        <w:t>k návrhu na změnu usnesení vlády ze dne 9. července 2003 č. 678, k Metodice finančních toků a kontroly strukturálních fondů a</w:t>
      </w:r>
      <w:r>
        <w:rPr>
          <w:rFonts w:asciiTheme="minorHAnsi" w:hAnsiTheme="minorHAnsi" w:cstheme="minorHAnsi"/>
          <w:i/>
        </w:rPr>
        <w:t> </w:t>
      </w:r>
      <w:r w:rsidRPr="008D073A">
        <w:rPr>
          <w:rFonts w:asciiTheme="minorHAnsi" w:hAnsiTheme="minorHAnsi" w:cstheme="minorHAnsi"/>
          <w:i/>
        </w:rPr>
        <w:t>Fondu soudržnosti.</w:t>
      </w:r>
    </w:p>
  </w:footnote>
  <w:footnote w:id="3">
    <w:p w14:paraId="3BDF4B5C" w14:textId="014EA663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r w:rsidRPr="008D073A">
        <w:rPr>
          <w:rFonts w:asciiTheme="minorHAnsi" w:hAnsiTheme="minorHAnsi" w:cstheme="minorHAnsi"/>
          <w:bCs/>
          <w:iCs/>
        </w:rPr>
        <w:t>Usnesení vlády ČR ze dne 24. května 2006</w:t>
      </w:r>
      <w:r>
        <w:rPr>
          <w:rFonts w:asciiTheme="minorHAnsi" w:hAnsiTheme="minorHAnsi" w:cstheme="minorHAnsi"/>
          <w:bCs/>
          <w:iCs/>
        </w:rPr>
        <w:t xml:space="preserve"> </w:t>
      </w:r>
      <w:r w:rsidRPr="008D073A">
        <w:rPr>
          <w:rFonts w:asciiTheme="minorHAnsi" w:hAnsiTheme="minorHAnsi" w:cstheme="minorHAnsi"/>
          <w:bCs/>
          <w:iCs/>
        </w:rPr>
        <w:t>č. 603</w:t>
      </w:r>
      <w:r>
        <w:rPr>
          <w:rFonts w:asciiTheme="minorHAnsi" w:hAnsiTheme="minorHAnsi" w:cstheme="minorHAnsi"/>
          <w:bCs/>
          <w:iCs/>
        </w:rPr>
        <w:t>,</w:t>
      </w:r>
      <w:r w:rsidRPr="008D073A">
        <w:rPr>
          <w:rFonts w:asciiTheme="minorHAnsi" w:hAnsiTheme="minorHAnsi" w:cstheme="minorHAnsi"/>
          <w:bCs/>
          <w:iCs/>
        </w:rPr>
        <w:t xml:space="preserve"> </w:t>
      </w:r>
      <w:r w:rsidRPr="008D4CD3">
        <w:rPr>
          <w:rFonts w:asciiTheme="minorHAnsi" w:hAnsiTheme="minorHAnsi" w:cstheme="minorHAnsi"/>
          <w:bCs/>
          <w:i/>
          <w:iCs/>
        </w:rPr>
        <w:t>k </w:t>
      </w:r>
      <w:r w:rsidRPr="008D073A">
        <w:rPr>
          <w:rFonts w:asciiTheme="minorHAnsi" w:hAnsiTheme="minorHAnsi" w:cstheme="minorHAnsi"/>
          <w:bCs/>
          <w:i/>
          <w:iCs/>
        </w:rPr>
        <w:t>finančním tokům Společné zemědělské politiky a</w:t>
      </w:r>
      <w:r>
        <w:rPr>
          <w:rFonts w:asciiTheme="minorHAnsi" w:hAnsiTheme="minorHAnsi" w:cstheme="minorHAnsi"/>
          <w:bCs/>
          <w:i/>
          <w:iCs/>
        </w:rPr>
        <w:t> </w:t>
      </w:r>
      <w:r w:rsidRPr="008D073A">
        <w:rPr>
          <w:rFonts w:asciiTheme="minorHAnsi" w:hAnsiTheme="minorHAnsi" w:cstheme="minorHAnsi"/>
          <w:bCs/>
          <w:i/>
          <w:iCs/>
        </w:rPr>
        <w:t>Společné rybářské politiky v České republice pro období let 2007 až 2013 a jejich institucionálnímu zabezpečení</w:t>
      </w:r>
      <w:r w:rsidRPr="008D073A">
        <w:rPr>
          <w:rFonts w:asciiTheme="minorHAnsi" w:hAnsiTheme="minorHAnsi" w:cstheme="minorHAnsi"/>
          <w:bCs/>
          <w:iCs/>
        </w:rPr>
        <w:t>.</w:t>
      </w:r>
    </w:p>
  </w:footnote>
  <w:footnote w:id="4">
    <w:p w14:paraId="6EC0193E" w14:textId="11911BAA" w:rsidR="005810E6" w:rsidRPr="008D073A" w:rsidRDefault="005810E6" w:rsidP="0092063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  <w:t>PCO</w:t>
      </w:r>
      <w:r>
        <w:rPr>
          <w:rFonts w:asciiTheme="minorHAnsi" w:hAnsiTheme="minorHAnsi" w:cstheme="minorHAnsi"/>
          <w:sz w:val="20"/>
          <w:szCs w:val="20"/>
        </w:rPr>
        <w:t xml:space="preserve"> –</w:t>
      </w:r>
      <w:r w:rsidRPr="008D073A">
        <w:rPr>
          <w:rFonts w:asciiTheme="minorHAnsi" w:hAnsiTheme="minorHAnsi" w:cstheme="minorHAnsi"/>
          <w:sz w:val="20"/>
          <w:szCs w:val="20"/>
        </w:rPr>
        <w:t xml:space="preserve"> p</w:t>
      </w:r>
      <w:r w:rsidRPr="008D073A">
        <w:rPr>
          <w:rFonts w:asciiTheme="minorHAnsi" w:hAnsiTheme="minorHAnsi" w:cstheme="minorHAnsi"/>
          <w:bCs/>
          <w:sz w:val="20"/>
          <w:szCs w:val="20"/>
          <w:lang w:eastAsia="cs-CZ"/>
        </w:rPr>
        <w:t>latební a certifikační orgán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–</w:t>
      </w:r>
      <w:r w:rsidRPr="008D073A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je</w:t>
      </w:r>
      <w:r w:rsidRPr="008D073A">
        <w:rPr>
          <w:rFonts w:asciiTheme="minorHAnsi" w:hAnsiTheme="minorHAnsi" w:cstheme="minorHAnsi"/>
          <w:sz w:val="20"/>
          <w:szCs w:val="20"/>
          <w:lang w:eastAsia="cs-CZ"/>
        </w:rPr>
        <w:t xml:space="preserve"> ústřední orgán státní správy zodpovědný za celkové finanční řízení prostředků poskytnutých ČR z rozpočtu EU. Tuto funkci plní pověřený útvar Ministerstva financí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  <w:lang w:eastAsia="cs-CZ"/>
        </w:rPr>
        <w:t>– odbor Národní fond.</w:t>
      </w:r>
    </w:p>
  </w:footnote>
  <w:footnote w:id="5">
    <w:p w14:paraId="54EF6DEF" w14:textId="69336D26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eastAsia="Arial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Ustanovení § 37 zákona č. 218/2000 Sb.</w:t>
      </w:r>
    </w:p>
  </w:footnote>
  <w:footnote w:id="6">
    <w:p w14:paraId="1DEAD7EC" w14:textId="1B9A9109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r w:rsidRPr="008D073A">
        <w:rPr>
          <w:rFonts w:asciiTheme="minorHAnsi" w:hAnsiTheme="minorHAnsi" w:cstheme="minorHAnsi"/>
          <w:color w:val="231F20"/>
        </w:rPr>
        <w:t>Říd</w:t>
      </w:r>
      <w:r>
        <w:rPr>
          <w:rFonts w:asciiTheme="minorHAnsi" w:hAnsiTheme="minorHAnsi" w:cstheme="minorHAnsi"/>
          <w:color w:val="231F20"/>
        </w:rPr>
        <w:t>i</w:t>
      </w:r>
      <w:r w:rsidRPr="008D073A">
        <w:rPr>
          <w:rFonts w:asciiTheme="minorHAnsi" w:hAnsiTheme="minorHAnsi" w:cstheme="minorHAnsi"/>
          <w:color w:val="231F20"/>
        </w:rPr>
        <w:t>cí orgán nese nejv</w:t>
      </w:r>
      <w:r>
        <w:rPr>
          <w:rFonts w:asciiTheme="minorHAnsi" w:hAnsiTheme="minorHAnsi" w:cstheme="minorHAnsi"/>
          <w:color w:val="231F20"/>
        </w:rPr>
        <w:t>ětší</w:t>
      </w:r>
      <w:r w:rsidRPr="008D073A">
        <w:rPr>
          <w:rFonts w:asciiTheme="minorHAnsi" w:hAnsiTheme="minorHAnsi" w:cstheme="minorHAnsi"/>
          <w:color w:val="231F20"/>
        </w:rPr>
        <w:t xml:space="preserve"> odpovědnost za realizaci operačního programu. Pro každý operační program je určen jeden říd</w:t>
      </w:r>
      <w:r>
        <w:rPr>
          <w:rFonts w:asciiTheme="minorHAnsi" w:hAnsiTheme="minorHAnsi" w:cstheme="minorHAnsi"/>
          <w:color w:val="231F20"/>
        </w:rPr>
        <w:t>i</w:t>
      </w:r>
      <w:r w:rsidRPr="008D073A">
        <w:rPr>
          <w:rFonts w:asciiTheme="minorHAnsi" w:hAnsiTheme="minorHAnsi" w:cstheme="minorHAnsi"/>
          <w:color w:val="231F20"/>
        </w:rPr>
        <w:t>cí orgán, který sleduje, zda jsou dodržovány zásady operačních programů a zda je pomoc z fondů EU poskytov</w:t>
      </w:r>
      <w:r>
        <w:rPr>
          <w:rFonts w:asciiTheme="minorHAnsi" w:hAnsiTheme="minorHAnsi" w:cstheme="minorHAnsi"/>
          <w:color w:val="231F20"/>
        </w:rPr>
        <w:t>ána</w:t>
      </w:r>
      <w:r w:rsidRPr="008D073A">
        <w:rPr>
          <w:rFonts w:asciiTheme="minorHAnsi" w:hAnsiTheme="minorHAnsi" w:cstheme="minorHAnsi"/>
          <w:color w:val="231F20"/>
        </w:rPr>
        <w:t xml:space="preserve"> správně a efektivně. V ČR jsou říd</w:t>
      </w:r>
      <w:r>
        <w:rPr>
          <w:rFonts w:asciiTheme="minorHAnsi" w:hAnsiTheme="minorHAnsi" w:cstheme="minorHAnsi"/>
          <w:color w:val="231F20"/>
        </w:rPr>
        <w:t>i</w:t>
      </w:r>
      <w:r w:rsidRPr="008D073A">
        <w:rPr>
          <w:rFonts w:asciiTheme="minorHAnsi" w:hAnsiTheme="minorHAnsi" w:cstheme="minorHAnsi"/>
          <w:color w:val="231F20"/>
        </w:rPr>
        <w:t>cími orgány příslušná ministerstva nebo regionální rady regionů soudržnosti.</w:t>
      </w:r>
    </w:p>
  </w:footnote>
  <w:footnote w:id="7">
    <w:p w14:paraId="1C4DEA2F" w14:textId="2A0EA5BE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Protihodnotou jsou pořízené hodnoty či poskytnuté náhrady.</w:t>
      </w:r>
    </w:p>
  </w:footnote>
  <w:footnote w:id="8">
    <w:p w14:paraId="64F32657" w14:textId="77777777" w:rsidR="005810E6" w:rsidRPr="008D073A" w:rsidRDefault="005810E6" w:rsidP="006F6E8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K popisu třídy 5 a dále také k seskupení 51 druhového třídění rozpočtové skladby.</w:t>
      </w:r>
    </w:p>
  </w:footnote>
  <w:footnote w:id="9">
    <w:p w14:paraId="54411CC6" w14:textId="06F3A5BF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Položky 4118 – </w:t>
      </w:r>
      <w:r w:rsidRPr="008D073A">
        <w:rPr>
          <w:rFonts w:asciiTheme="minorHAnsi" w:hAnsiTheme="minorHAnsi" w:cstheme="minorHAnsi"/>
          <w:i/>
        </w:rPr>
        <w:t>Neinvestiční převody z Národního fondu</w:t>
      </w:r>
      <w:r w:rsidRPr="008D073A">
        <w:rPr>
          <w:rFonts w:asciiTheme="minorHAnsi" w:hAnsiTheme="minorHAnsi" w:cstheme="minorHAnsi"/>
        </w:rPr>
        <w:t xml:space="preserve"> a 4218 – </w:t>
      </w:r>
      <w:r w:rsidRPr="008D073A">
        <w:rPr>
          <w:rFonts w:asciiTheme="minorHAnsi" w:hAnsiTheme="minorHAnsi" w:cstheme="minorHAnsi"/>
          <w:i/>
        </w:rPr>
        <w:t>Investiční převody z Národního fondu</w:t>
      </w:r>
      <w:r w:rsidRPr="008D073A">
        <w:rPr>
          <w:rFonts w:asciiTheme="minorHAnsi" w:hAnsiTheme="minorHAnsi" w:cstheme="minorHAnsi"/>
        </w:rPr>
        <w:t xml:space="preserve"> druhového třídění rozpočtové skladby.</w:t>
      </w:r>
    </w:p>
  </w:footnote>
  <w:footnote w:id="10">
    <w:p w14:paraId="375A3CB9" w14:textId="13BABC85" w:rsidR="005810E6" w:rsidRPr="008D073A" w:rsidRDefault="005810E6" w:rsidP="004240F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Pojem „rozpočtové účetnictví“ je v</w:t>
      </w:r>
      <w:r>
        <w:rPr>
          <w:rFonts w:asciiTheme="minorHAnsi" w:hAnsiTheme="minorHAnsi" w:cstheme="minorHAnsi"/>
        </w:rPr>
        <w:t xml:space="preserve"> tomto </w:t>
      </w:r>
      <w:r w:rsidRPr="008D073A">
        <w:rPr>
          <w:rFonts w:asciiTheme="minorHAnsi" w:hAnsiTheme="minorHAnsi" w:cstheme="minorHAnsi"/>
        </w:rPr>
        <w:t>kontrolním závěru používán pro systém třídění příjmů a výdajů OSS zachycovaných v rozpočtovém informačním systému, jehož výstupem jsou mj. finanční výkazy.</w:t>
      </w:r>
    </w:p>
  </w:footnote>
  <w:footnote w:id="11">
    <w:p w14:paraId="48018B0D" w14:textId="0FA571E2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Bod 3.1 písm. a), znění účinné od 1. ledna 2015.</w:t>
      </w:r>
    </w:p>
  </w:footnote>
  <w:footnote w:id="12">
    <w:p w14:paraId="58F2226D" w14:textId="3C5B7186" w:rsidR="005810E6" w:rsidRPr="008D073A" w:rsidRDefault="005810E6" w:rsidP="008D4CD3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Viz </w:t>
      </w:r>
      <w:hyperlink r:id="rId1" w:history="1">
        <w:r w:rsidRPr="00C644FF">
          <w:rPr>
            <w:rStyle w:val="Hypertextovodkaz"/>
            <w:rFonts w:asciiTheme="minorHAnsi" w:hAnsiTheme="minorHAnsi" w:cstheme="minorHAnsi"/>
            <w:sz w:val="20"/>
            <w:szCs w:val="20"/>
            <w:u w:val="none"/>
          </w:rPr>
          <w:t>http://www.ifac.org/publications-resources/2014-handbook-international-public-sector-accounting-pronouncements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</w:footnote>
  <w:footnote w:id="13">
    <w:p w14:paraId="273A5F14" w14:textId="0EF9255F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Povinnost sestavovat souhrnné účetní výkazy za Českou republiku je v zákoně o účetnictví stanovena s účinností od 1. ledna 2010, k jejich prvnímu sestavení má dojít za rok 2015.</w:t>
      </w:r>
    </w:p>
  </w:footnote>
  <w:footnote w:id="14">
    <w:p w14:paraId="0AF4DBB4" w14:textId="149A7854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Vyhláška č. 312/2014 Sb., o podmínkách sestavení účetních výkazů za Českou republiku (konsolidační vyhláška státu).</w:t>
      </w:r>
    </w:p>
  </w:footnote>
  <w:footnote w:id="15">
    <w:p w14:paraId="417A1D32" w14:textId="657AA953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EUROSTAT</w:t>
      </w:r>
      <w:r>
        <w:rPr>
          <w:rFonts w:asciiTheme="minorHAnsi" w:hAnsiTheme="minorHAnsi" w:cstheme="minorHAnsi"/>
        </w:rPr>
        <w:t>:</w:t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  <w:i/>
        </w:rPr>
        <w:t>Manual on Government Deficit and Debt, Implementation of ESA 2010</w:t>
      </w:r>
      <w:r w:rsidRPr="008D073A">
        <w:rPr>
          <w:rFonts w:asciiTheme="minorHAnsi" w:hAnsiTheme="minorHAnsi" w:cstheme="minorHAnsi"/>
        </w:rPr>
        <w:t>, 2014 Edition, [online]. Lu</w:t>
      </w:r>
      <w:r>
        <w:rPr>
          <w:rFonts w:asciiTheme="minorHAnsi" w:hAnsiTheme="minorHAnsi" w:cstheme="minorHAnsi"/>
        </w:rPr>
        <w:t>c</w:t>
      </w:r>
      <w:r w:rsidRPr="008D073A">
        <w:rPr>
          <w:rFonts w:asciiTheme="minorHAnsi" w:hAnsiTheme="minorHAnsi" w:cstheme="minorHAnsi"/>
        </w:rPr>
        <w:t>embur</w:t>
      </w:r>
      <w:r>
        <w:rPr>
          <w:rFonts w:asciiTheme="minorHAnsi" w:hAnsiTheme="minorHAnsi" w:cstheme="minorHAnsi"/>
        </w:rPr>
        <w:t>k</w:t>
      </w:r>
      <w:r w:rsidRPr="008D07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Evropská unie</w:t>
      </w:r>
      <w:r w:rsidRPr="008D073A">
        <w:rPr>
          <w:rFonts w:asciiTheme="minorHAnsi" w:hAnsiTheme="minorHAnsi" w:cstheme="minorHAnsi"/>
        </w:rPr>
        <w:t xml:space="preserve"> 2014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8D073A">
        <w:rPr>
          <w:rFonts w:asciiTheme="minorHAnsi" w:hAnsiTheme="minorHAnsi" w:cstheme="minorHAnsi"/>
        </w:rPr>
        <w:t>. 117 (část II.6) a následující.</w:t>
      </w:r>
    </w:p>
  </w:footnote>
  <w:footnote w:id="16">
    <w:p w14:paraId="50FDF5E0" w14:textId="334BED52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EUROSTAT</w:t>
      </w:r>
      <w:r>
        <w:rPr>
          <w:rFonts w:asciiTheme="minorHAnsi" w:hAnsiTheme="minorHAnsi" w:cstheme="minorHAnsi"/>
        </w:rPr>
        <w:t>:</w:t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  <w:i/>
        </w:rPr>
        <w:t>Manual on Government Deficit and Debt, Implementation of ESA 2010</w:t>
      </w:r>
      <w:r w:rsidRPr="008D073A">
        <w:rPr>
          <w:rFonts w:asciiTheme="minorHAnsi" w:hAnsiTheme="minorHAnsi" w:cstheme="minorHAnsi"/>
        </w:rPr>
        <w:t>, 2014 Edition, [online]. Lu</w:t>
      </w:r>
      <w:r>
        <w:rPr>
          <w:rFonts w:asciiTheme="minorHAnsi" w:hAnsiTheme="minorHAnsi" w:cstheme="minorHAnsi"/>
        </w:rPr>
        <w:t>c</w:t>
      </w:r>
      <w:r w:rsidRPr="008D073A">
        <w:rPr>
          <w:rFonts w:asciiTheme="minorHAnsi" w:hAnsiTheme="minorHAnsi" w:cstheme="minorHAnsi"/>
        </w:rPr>
        <w:t>embur</w:t>
      </w:r>
      <w:r>
        <w:rPr>
          <w:rFonts w:asciiTheme="minorHAnsi" w:hAnsiTheme="minorHAnsi" w:cstheme="minorHAnsi"/>
        </w:rPr>
        <w:t>k</w:t>
      </w:r>
      <w:r w:rsidRPr="008D07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Evropská unie</w:t>
      </w:r>
      <w:r w:rsidRPr="008D073A">
        <w:rPr>
          <w:rFonts w:asciiTheme="minorHAnsi" w:hAnsiTheme="minorHAnsi" w:cstheme="minorHAnsi"/>
        </w:rPr>
        <w:t xml:space="preserve"> 2014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8D073A">
        <w:rPr>
          <w:rFonts w:asciiTheme="minorHAnsi" w:hAnsiTheme="minorHAnsi" w:cstheme="minorHAnsi"/>
        </w:rPr>
        <w:t>. 117 (část II.6) a následující.</w:t>
      </w:r>
    </w:p>
    <w:p w14:paraId="39CE6A31" w14:textId="02DC409A" w:rsidR="005810E6" w:rsidRPr="0036644E" w:rsidRDefault="005810E6" w:rsidP="008D4CD3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</w:r>
      <w:r w:rsidRPr="0036644E">
        <w:rPr>
          <w:rFonts w:asciiTheme="minorHAnsi" w:hAnsiTheme="minorHAnsi" w:cstheme="minorHAnsi"/>
        </w:rPr>
        <w:t xml:space="preserve">Dostupné </w:t>
      </w:r>
      <w:r>
        <w:rPr>
          <w:rFonts w:asciiTheme="minorHAnsi" w:hAnsiTheme="minorHAnsi" w:cstheme="minorHAnsi"/>
        </w:rPr>
        <w:t xml:space="preserve">na </w:t>
      </w:r>
      <w:hyperlink r:id="rId2" w:history="1">
        <w:r w:rsidRPr="008D4CD3">
          <w:rPr>
            <w:rStyle w:val="Hypertextovodkaz"/>
            <w:rFonts w:asciiTheme="minorHAnsi" w:hAnsiTheme="minorHAnsi" w:cstheme="minorHAnsi"/>
            <w:u w:val="none"/>
          </w:rPr>
          <w:t>http://ec.europa.eu/eurostat/documents/3859598/5937189/KS-GQ-14-010-EN.PDF/c1466fde-141c-418d-b7f1-eb8d5765aa1d</w:t>
        </w:r>
      </w:hyperlink>
      <w:r w:rsidRPr="0036644E">
        <w:rPr>
          <w:rFonts w:asciiTheme="minorHAnsi" w:hAnsiTheme="minorHAnsi" w:cstheme="minorHAnsi"/>
        </w:rPr>
        <w:t>.</w:t>
      </w:r>
    </w:p>
  </w:footnote>
  <w:footnote w:id="17">
    <w:p w14:paraId="3ECCAF25" w14:textId="43450E4F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Postupy se netýkají případů, kdy je účetní jednotka z vládního sektoru, tj. OSS, konečným příjemcem prostředků z předfinancovaného transferu.</w:t>
      </w:r>
    </w:p>
  </w:footnote>
  <w:footnote w:id="18">
    <w:p w14:paraId="5DB767D1" w14:textId="695FA564" w:rsidR="005810E6" w:rsidRPr="008D073A" w:rsidRDefault="005810E6" w:rsidP="004240F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Jedná se o prostředky ze zahraničních zdrojů (kód prostorového třídění rozpočtové skladby 5 – </w:t>
      </w:r>
      <w:r w:rsidRPr="008D4CD3">
        <w:rPr>
          <w:rFonts w:asciiTheme="minorHAnsi" w:hAnsiTheme="minorHAnsi" w:cstheme="minorHAnsi"/>
          <w:i/>
        </w:rPr>
        <w:t>Příjmy a výdaje ze zahraničních zdrojů</w:t>
      </w:r>
      <w:r w:rsidRPr="008D073A">
        <w:rPr>
          <w:rFonts w:asciiTheme="minorHAnsi" w:hAnsiTheme="minorHAnsi" w:cstheme="minorHAnsi"/>
        </w:rPr>
        <w:t>) i z tuzemských zdrojů (kód prostorového třídění rozpočtové skladby</w:t>
      </w:r>
      <w:r w:rsidRPr="008D073A">
        <w:rPr>
          <w:rFonts w:asciiTheme="minorHAnsi" w:hAnsiTheme="minorHAnsi" w:cstheme="minorHAnsi"/>
        </w:rPr>
        <w:br/>
        <w:t xml:space="preserve">1 – </w:t>
      </w:r>
      <w:r w:rsidRPr="008D4CD3">
        <w:rPr>
          <w:rFonts w:asciiTheme="minorHAnsi" w:hAnsiTheme="minorHAnsi" w:cstheme="minorHAnsi"/>
          <w:i/>
        </w:rPr>
        <w:t>Příjmy a výdaje z tuzemských zdrojů</w:t>
      </w:r>
      <w:r w:rsidRPr="008D073A">
        <w:rPr>
          <w:rFonts w:asciiTheme="minorHAnsi" w:hAnsiTheme="minorHAnsi" w:cstheme="minorHAnsi"/>
        </w:rPr>
        <w:t>).</w:t>
      </w:r>
    </w:p>
  </w:footnote>
  <w:footnote w:id="19">
    <w:p w14:paraId="0802FA85" w14:textId="73798E67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Vyhláška č. 449/2009 Sb., o způsobu, termínech a rozsahu údajů předkládaných pro hodnocení plnění státního rozpočtu, rozpočtů státních fondů, rozpočtů územních samosprávných celků, rozpočtů dobrovolných svazků obcí a rozpočtů Regionálních rad regionů soudržnosti.</w:t>
      </w:r>
    </w:p>
  </w:footnote>
  <w:footnote w:id="20">
    <w:p w14:paraId="7AB04CD7" w14:textId="0342C417" w:rsidR="005810E6" w:rsidRPr="008D073A" w:rsidRDefault="005810E6" w:rsidP="000B37C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Viz u</w:t>
      </w:r>
      <w:r w:rsidRPr="008D073A">
        <w:rPr>
          <w:rFonts w:asciiTheme="minorHAnsi" w:hAnsiTheme="minorHAnsi" w:cstheme="minorHAnsi"/>
        </w:rPr>
        <w:t>stanovení § 3a zákona č. 218/2000 Sb.</w:t>
      </w:r>
    </w:p>
  </w:footnote>
  <w:footnote w:id="21">
    <w:p w14:paraId="3A33D03E" w14:textId="4D78F10B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hyperlink r:id="rId3" w:history="1">
        <w:r w:rsidRPr="008D4CD3">
          <w:rPr>
            <w:rStyle w:val="Hypertextovodkaz"/>
            <w:rFonts w:asciiTheme="minorHAnsi" w:hAnsiTheme="minorHAnsi" w:cstheme="minorHAnsi"/>
            <w:u w:val="none"/>
          </w:rPr>
          <w:t>www.naep.cz</w:t>
        </w:r>
      </w:hyperlink>
      <w:r w:rsidRPr="008D073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</w:footnote>
  <w:footnote w:id="22">
    <w:p w14:paraId="1830E26B" w14:textId="7A5443F8" w:rsidR="005810E6" w:rsidRPr="008D073A" w:rsidRDefault="005810E6" w:rsidP="0092063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  <w:t>Nařízení Evropského parlamentu a Rady (EU) č. 1288/2013 ze dne 11. prosince 2013, kterým se zavádí program „Erasmus+“: program Unie pro vzdělávání, odbornou přípravu, mládež a sport a zrušují rozhodnutí č. 1719/2006/ES, č. 1720/2006/ES a č. 1298/2008/ES.</w:t>
      </w:r>
    </w:p>
  </w:footnote>
  <w:footnote w:id="23">
    <w:p w14:paraId="0DAD4BA0" w14:textId="2757E47F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Národní agentura je p</w:t>
      </w:r>
      <w:r w:rsidRPr="008D073A">
        <w:rPr>
          <w:rFonts w:asciiTheme="minorHAnsi" w:hAnsiTheme="minorHAnsi" w:cstheme="minorHAnsi"/>
        </w:rPr>
        <w:t>říspěvkov</w:t>
      </w:r>
      <w:r>
        <w:rPr>
          <w:rFonts w:asciiTheme="minorHAnsi" w:hAnsiTheme="minorHAnsi" w:cstheme="minorHAnsi"/>
        </w:rPr>
        <w:t>á</w:t>
      </w:r>
      <w:r w:rsidRPr="008D073A">
        <w:rPr>
          <w:rFonts w:asciiTheme="minorHAnsi" w:hAnsiTheme="minorHAnsi" w:cstheme="minorHAnsi"/>
        </w:rPr>
        <w:t xml:space="preserve"> organizac</w:t>
      </w:r>
      <w:r>
        <w:rPr>
          <w:rFonts w:asciiTheme="minorHAnsi" w:hAnsiTheme="minorHAnsi" w:cstheme="minorHAnsi"/>
        </w:rPr>
        <w:t>e</w:t>
      </w:r>
      <w:r w:rsidRPr="008D073A">
        <w:rPr>
          <w:rFonts w:asciiTheme="minorHAnsi" w:hAnsiTheme="minorHAnsi" w:cstheme="minorHAnsi"/>
        </w:rPr>
        <w:t xml:space="preserve"> v kapitole 333 MŠMT.</w:t>
      </w:r>
    </w:p>
  </w:footnote>
  <w:footnote w:id="24">
    <w:p w14:paraId="2EC97604" w14:textId="11D12889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  <w:u w:val="single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hyperlink r:id="rId4" w:history="1">
        <w:r w:rsidRPr="008D4CD3">
          <w:rPr>
            <w:rStyle w:val="Hypertextovodkaz"/>
            <w:rFonts w:asciiTheme="minorHAnsi" w:hAnsiTheme="minorHAnsi" w:cstheme="minorHAnsi"/>
            <w:u w:val="none"/>
          </w:rPr>
          <w:t>www.eurekanetwork.org</w:t>
        </w:r>
      </w:hyperlink>
      <w:r w:rsidRPr="008D073A">
        <w:rPr>
          <w:rFonts w:asciiTheme="minorHAnsi" w:hAnsiTheme="minorHAnsi" w:cstheme="minorHAnsi"/>
        </w:rPr>
        <w:t>.</w:t>
      </w:r>
    </w:p>
    <w:p w14:paraId="3D2A1D85" w14:textId="4056B693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  <w:t xml:space="preserve">Sekretariát EUREKA se sídlem v Bruselu je jediným kontaktním místem pro všechny členské země programu EUROSTARS. Poskytování peněžních prostředků ze </w:t>
      </w:r>
      <w:r w:rsidRPr="008D4CD3">
        <w:rPr>
          <w:rFonts w:asciiTheme="minorHAnsi" w:hAnsiTheme="minorHAnsi" w:cstheme="minorHAnsi"/>
          <w:i/>
        </w:rPr>
        <w:t>7. rámcového programu Evropských společenství pro výzkum, technologický rozvoj a demonstrace</w:t>
      </w:r>
      <w:r w:rsidRPr="008D073A">
        <w:rPr>
          <w:rFonts w:asciiTheme="minorHAnsi" w:hAnsiTheme="minorHAnsi" w:cstheme="minorHAnsi"/>
        </w:rPr>
        <w:t xml:space="preserve"> je upraveno v dohodě uzavřené mezi Evropskou komisí a</w:t>
      </w:r>
      <w:r>
        <w:rPr>
          <w:rFonts w:asciiTheme="minorHAnsi" w:hAnsiTheme="minorHAnsi" w:cstheme="minorHAnsi"/>
        </w:rPr>
        <w:t> s</w:t>
      </w:r>
      <w:r w:rsidRPr="008D073A">
        <w:rPr>
          <w:rFonts w:asciiTheme="minorHAnsi" w:hAnsiTheme="minorHAnsi" w:cstheme="minorHAnsi"/>
        </w:rPr>
        <w:t>ekretariátem E</w:t>
      </w:r>
      <w:r>
        <w:rPr>
          <w:rFonts w:asciiTheme="minorHAnsi" w:hAnsiTheme="minorHAnsi" w:cstheme="minorHAnsi"/>
        </w:rPr>
        <w:t>UREKA</w:t>
      </w:r>
      <w:r w:rsidRPr="008D073A">
        <w:rPr>
          <w:rFonts w:asciiTheme="minorHAnsi" w:hAnsiTheme="minorHAnsi" w:cstheme="minorHAnsi"/>
        </w:rPr>
        <w:t>.</w:t>
      </w:r>
    </w:p>
  </w:footnote>
  <w:footnote w:id="25">
    <w:p w14:paraId="5DFD19CD" w14:textId="1B1F0238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Vyhláška č. 410/2009 Sb., kterou se provádějí některá ustanovení zákona č. 563/1991 Sb., o účetnictví, ve znění pozdějších předpisů, pro některé vybrané účetní jednotky.</w:t>
      </w:r>
    </w:p>
  </w:footnote>
  <w:footnote w:id="26">
    <w:p w14:paraId="6DA37F1E" w14:textId="1C712E46" w:rsidR="005810E6" w:rsidRPr="008D073A" w:rsidRDefault="005810E6" w:rsidP="007E28A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ustanovení § 20 vyhlášky č. 312/2014 Sb., o podmínkách sestavení účetních výkazů za Českou republiku (konsolidační vyhláška</w:t>
      </w:r>
      <w:r>
        <w:rPr>
          <w:rFonts w:asciiTheme="minorHAnsi" w:hAnsiTheme="minorHAnsi" w:cstheme="minorHAnsi"/>
        </w:rPr>
        <w:t xml:space="preserve"> státu</w:t>
      </w:r>
      <w:r w:rsidRPr="008D073A">
        <w:rPr>
          <w:rFonts w:asciiTheme="minorHAnsi" w:hAnsiTheme="minorHAnsi" w:cstheme="minorHAnsi"/>
        </w:rPr>
        <w:t>).</w:t>
      </w:r>
    </w:p>
  </w:footnote>
  <w:footnote w:id="27">
    <w:p w14:paraId="5B3013AA" w14:textId="4E8AC897" w:rsidR="005810E6" w:rsidRDefault="005810E6" w:rsidP="00AB5E1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např. kontrolní závěry z kontrolní</w:t>
      </w:r>
      <w:r>
        <w:rPr>
          <w:rFonts w:asciiTheme="minorHAnsi" w:hAnsiTheme="minorHAnsi" w:cstheme="minorHAnsi"/>
        </w:rPr>
        <w:t>ch</w:t>
      </w:r>
      <w:r w:rsidRPr="008D073A">
        <w:rPr>
          <w:rFonts w:asciiTheme="minorHAnsi" w:hAnsiTheme="minorHAnsi" w:cstheme="minorHAnsi"/>
        </w:rPr>
        <w:t xml:space="preserve"> akc</w:t>
      </w:r>
      <w:r>
        <w:rPr>
          <w:rFonts w:asciiTheme="minorHAnsi" w:hAnsiTheme="minorHAnsi" w:cstheme="minorHAnsi"/>
        </w:rPr>
        <w:t>í</w:t>
      </w:r>
      <w:r w:rsidRPr="008D073A">
        <w:rPr>
          <w:rFonts w:asciiTheme="minorHAnsi" w:hAnsiTheme="minorHAnsi" w:cstheme="minorHAnsi"/>
        </w:rPr>
        <w:t xml:space="preserve"> č.</w:t>
      </w:r>
      <w:r>
        <w:rPr>
          <w:rFonts w:asciiTheme="minorHAnsi" w:hAnsiTheme="minorHAnsi" w:cstheme="minorHAnsi"/>
        </w:rPr>
        <w:t>:</w:t>
      </w:r>
      <w:r w:rsidRPr="008D073A">
        <w:rPr>
          <w:rFonts w:asciiTheme="minorHAnsi" w:hAnsiTheme="minorHAnsi" w:cstheme="minorHAnsi"/>
        </w:rPr>
        <w:t xml:space="preserve"> </w:t>
      </w:r>
    </w:p>
    <w:p w14:paraId="5811D908" w14:textId="0882EDA7" w:rsidR="005810E6" w:rsidRDefault="005810E6" w:rsidP="008D4CD3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 xml:space="preserve">10/20 </w:t>
      </w:r>
      <w:r>
        <w:rPr>
          <w:rFonts w:asciiTheme="minorHAnsi" w:hAnsiTheme="minorHAnsi" w:cstheme="minorHAnsi"/>
        </w:rPr>
        <w:t xml:space="preserve">– </w:t>
      </w:r>
      <w:r w:rsidRPr="008D073A">
        <w:rPr>
          <w:rFonts w:asciiTheme="minorHAnsi" w:hAnsiTheme="minorHAnsi" w:cstheme="minorHAnsi"/>
        </w:rPr>
        <w:t xml:space="preserve">kontrolní závěr byl zveřejněn v částce 3/2011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, </w:t>
      </w:r>
    </w:p>
    <w:p w14:paraId="22F24D2A" w14:textId="03F125F5" w:rsidR="005810E6" w:rsidRDefault="005810E6" w:rsidP="008D4CD3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 xml:space="preserve">11/29 </w:t>
      </w:r>
      <w:r>
        <w:rPr>
          <w:rFonts w:asciiTheme="minorHAnsi" w:hAnsiTheme="minorHAnsi" w:cstheme="minorHAnsi"/>
        </w:rPr>
        <w:t xml:space="preserve">– </w:t>
      </w:r>
      <w:r w:rsidRPr="008D073A">
        <w:rPr>
          <w:rFonts w:asciiTheme="minorHAnsi" w:hAnsiTheme="minorHAnsi" w:cstheme="minorHAnsi"/>
        </w:rPr>
        <w:t xml:space="preserve">kontrolní závěr byl zveřejněn v částce 3/2012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, </w:t>
      </w:r>
    </w:p>
    <w:p w14:paraId="129D3451" w14:textId="588ADA8D" w:rsidR="005810E6" w:rsidRDefault="005810E6" w:rsidP="008D4CD3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 xml:space="preserve">12/15 </w:t>
      </w:r>
      <w:r>
        <w:rPr>
          <w:rFonts w:asciiTheme="minorHAnsi" w:hAnsiTheme="minorHAnsi" w:cstheme="minorHAnsi"/>
        </w:rPr>
        <w:t xml:space="preserve">– </w:t>
      </w:r>
      <w:r w:rsidRPr="008D073A">
        <w:rPr>
          <w:rFonts w:asciiTheme="minorHAnsi" w:hAnsiTheme="minorHAnsi" w:cstheme="minorHAnsi"/>
        </w:rPr>
        <w:t xml:space="preserve">kontrolní závěr byl zveřejněn v částce 2/2013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, </w:t>
      </w:r>
    </w:p>
    <w:p w14:paraId="26EE186E" w14:textId="636C08EE" w:rsidR="005810E6" w:rsidRDefault="005810E6" w:rsidP="008D4CD3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 xml:space="preserve">12/30 </w:t>
      </w:r>
      <w:r>
        <w:rPr>
          <w:rFonts w:asciiTheme="minorHAnsi" w:hAnsiTheme="minorHAnsi" w:cstheme="minorHAnsi"/>
        </w:rPr>
        <w:t xml:space="preserve">– </w:t>
      </w:r>
      <w:r w:rsidRPr="008D073A">
        <w:rPr>
          <w:rFonts w:asciiTheme="minorHAnsi" w:hAnsiTheme="minorHAnsi" w:cstheme="minorHAnsi"/>
        </w:rPr>
        <w:t xml:space="preserve">kontrolní závěr byl zveřejněn v částce 3/2013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, </w:t>
      </w:r>
    </w:p>
    <w:p w14:paraId="258F8C01" w14:textId="11DA20EF" w:rsidR="005810E6" w:rsidRPr="008D073A" w:rsidRDefault="005810E6" w:rsidP="00445F18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 xml:space="preserve">13/38 </w:t>
      </w:r>
      <w:r>
        <w:rPr>
          <w:rFonts w:asciiTheme="minorHAnsi" w:hAnsiTheme="minorHAnsi" w:cstheme="minorHAnsi"/>
        </w:rPr>
        <w:t xml:space="preserve">– </w:t>
      </w:r>
      <w:r w:rsidRPr="008D073A">
        <w:rPr>
          <w:rFonts w:asciiTheme="minorHAnsi" w:hAnsiTheme="minorHAnsi" w:cstheme="minorHAnsi"/>
        </w:rPr>
        <w:t xml:space="preserve">kontrolní závěr byl zveřejněn v částce 3/2014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>.</w:t>
      </w:r>
    </w:p>
  </w:footnote>
  <w:footnote w:id="28">
    <w:p w14:paraId="2EFC3BF1" w14:textId="4B356EE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Zůstatek poskytnutých záloh </w:t>
      </w:r>
      <w:r>
        <w:rPr>
          <w:rFonts w:asciiTheme="minorHAnsi" w:hAnsiTheme="minorHAnsi" w:cstheme="minorHAnsi"/>
        </w:rPr>
        <w:t xml:space="preserve">na </w:t>
      </w:r>
      <w:r w:rsidRPr="008D073A">
        <w:rPr>
          <w:rFonts w:asciiTheme="minorHAnsi" w:hAnsiTheme="minorHAnsi" w:cstheme="minorHAnsi"/>
        </w:rPr>
        <w:t xml:space="preserve">předfinancování transferů by vzrostl o 239 % (viz graf č. 2), celkový zůstatek záloh </w:t>
      </w:r>
      <w:r>
        <w:rPr>
          <w:rFonts w:asciiTheme="minorHAnsi" w:hAnsiTheme="minorHAnsi" w:cstheme="minorHAnsi"/>
        </w:rPr>
        <w:t xml:space="preserve">na </w:t>
      </w:r>
      <w:r w:rsidRPr="008D073A">
        <w:rPr>
          <w:rFonts w:asciiTheme="minorHAnsi" w:hAnsiTheme="minorHAnsi" w:cstheme="minorHAnsi"/>
        </w:rPr>
        <w:t>poskytnut</w:t>
      </w:r>
      <w:r>
        <w:rPr>
          <w:rFonts w:asciiTheme="minorHAnsi" w:hAnsiTheme="minorHAnsi" w:cstheme="minorHAnsi"/>
        </w:rPr>
        <w:t>é</w:t>
      </w:r>
      <w:r w:rsidRPr="008D073A">
        <w:rPr>
          <w:rFonts w:asciiTheme="minorHAnsi" w:hAnsiTheme="minorHAnsi" w:cstheme="minorHAnsi"/>
        </w:rPr>
        <w:t xml:space="preserve"> transfer</w:t>
      </w:r>
      <w:r>
        <w:rPr>
          <w:rFonts w:asciiTheme="minorHAnsi" w:hAnsiTheme="minorHAnsi" w:cstheme="minorHAnsi"/>
        </w:rPr>
        <w:t>y</w:t>
      </w:r>
      <w:r w:rsidRPr="008D073A">
        <w:rPr>
          <w:rFonts w:asciiTheme="minorHAnsi" w:hAnsiTheme="minorHAnsi" w:cstheme="minorHAnsi"/>
        </w:rPr>
        <w:t xml:space="preserve"> (tj. včetně nespolufinancovaných transferů, tzn. národních transferů) vykázaný v účetní závěrce MŠMT by vzrostl o 234 %, celková aktiva MŠMT by vzrostla o 34 %.</w:t>
      </w:r>
    </w:p>
  </w:footnote>
  <w:footnote w:id="29">
    <w:p w14:paraId="085ED39F" w14:textId="6D920CCE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Např. od 1. ledna 2012 byly v souvislosti s novelou vyhlášky č. 410/2009 Sb. stanoveny nové účty dlouhodobých záloh na transfery (účty 471 a 472), a to i pro případy, které byly v předchozích letech vyk</w:t>
      </w:r>
      <w:r>
        <w:rPr>
          <w:rFonts w:asciiTheme="minorHAnsi" w:hAnsiTheme="minorHAnsi" w:cstheme="minorHAnsi"/>
        </w:rPr>
        <w:t>azovány</w:t>
      </w:r>
      <w:r w:rsidRPr="008D073A">
        <w:rPr>
          <w:rFonts w:asciiTheme="minorHAnsi" w:hAnsiTheme="minorHAnsi" w:cstheme="minorHAnsi"/>
        </w:rPr>
        <w:t xml:space="preserve"> na účtech krátkodobých záloh, přestože od okamžiku jejich poskytnutí nebo převzetí </w:t>
      </w:r>
      <w:r>
        <w:rPr>
          <w:rFonts w:asciiTheme="minorHAnsi" w:hAnsiTheme="minorHAnsi" w:cstheme="minorHAnsi"/>
        </w:rPr>
        <w:t>do doby jejich vypořádání uplynulo</w:t>
      </w:r>
      <w:r w:rsidRPr="008D073A">
        <w:rPr>
          <w:rFonts w:asciiTheme="minorHAnsi" w:hAnsiTheme="minorHAnsi" w:cstheme="minorHAnsi"/>
        </w:rPr>
        <w:t xml:space="preserve"> období delší než jeden rok.</w:t>
      </w:r>
    </w:p>
    <w:p w14:paraId="540740EA" w14:textId="6829BABD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  <w:t>Od 1. ledna 2015 v souvislosti s novelou vyhlášky č. 410/2009 Sb. došlo k zavedení nových účtů nákladů a výnosů souvisejících s předfinancováním transferů (účty 575 a 675). Současně byly stanoveny nové podrozvahové účty související s vykazováním zahraničních prostředků (účty 911, 913, 915, 951, 953, 955, 912, 914, 916, 952, 954 a 956).</w:t>
      </w:r>
    </w:p>
  </w:footnote>
  <w:footnote w:id="30">
    <w:p w14:paraId="3893DAD6" w14:textId="4A411028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Např. od 1. ledna 2011 došlo ke změně (zpřesnění) názvu a obsahového vymezení účtů souvisejících s náklady na transfery a účtů souvisejících </w:t>
      </w:r>
      <w:r>
        <w:rPr>
          <w:rFonts w:asciiTheme="minorHAnsi" w:hAnsiTheme="minorHAnsi" w:cstheme="minorHAnsi"/>
        </w:rPr>
        <w:t>s </w:t>
      </w:r>
      <w:r w:rsidRPr="008D073A">
        <w:rPr>
          <w:rFonts w:asciiTheme="minorHAnsi" w:hAnsiTheme="minorHAnsi" w:cstheme="minorHAnsi"/>
        </w:rPr>
        <w:t>výnos</w:t>
      </w:r>
      <w:r>
        <w:rPr>
          <w:rFonts w:asciiTheme="minorHAnsi" w:hAnsiTheme="minorHAnsi" w:cstheme="minorHAnsi"/>
        </w:rPr>
        <w:t>y</w:t>
      </w:r>
      <w:r w:rsidRPr="008D073A">
        <w:rPr>
          <w:rFonts w:asciiTheme="minorHAnsi" w:hAnsiTheme="minorHAnsi" w:cstheme="minorHAnsi"/>
        </w:rPr>
        <w:t xml:space="preserve"> z transferů (účty 571 a 671). Od 1. ledna 2012 došlo ke změně (zpřesnění) názvu a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obsahového vymezení podrozvahových účtů podmíněných závazků týkajících se prostředků ze zahraničí (účty 975 a 976).</w:t>
      </w:r>
    </w:p>
    <w:p w14:paraId="70CD901A" w14:textId="7FB79C5B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  <w:t xml:space="preserve">ČÚS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8D073A">
        <w:rPr>
          <w:rFonts w:asciiTheme="minorHAnsi" w:hAnsiTheme="minorHAnsi" w:cstheme="minorHAnsi"/>
        </w:rPr>
        <w:t xml:space="preserve"> byl poprvé vydán pro rok 2010. Pro rok 2011 byl vydán nový ČÚS </w:t>
      </w:r>
      <w:r>
        <w:rPr>
          <w:rFonts w:asciiTheme="minorHAnsi" w:hAnsiTheme="minorHAnsi" w:cstheme="minorHAnsi"/>
        </w:rPr>
        <w:t xml:space="preserve">č. </w:t>
      </w:r>
      <w:r w:rsidRPr="008D073A">
        <w:rPr>
          <w:rFonts w:asciiTheme="minorHAnsi" w:hAnsiTheme="minorHAnsi" w:cstheme="minorHAnsi"/>
        </w:rPr>
        <w:t xml:space="preserve">703, který zavedl pojem zprostředkovatel zahraničního transferu. Od 1. ledna 2012 tento </w:t>
      </w:r>
      <w:r>
        <w:rPr>
          <w:rFonts w:asciiTheme="minorHAnsi" w:hAnsiTheme="minorHAnsi" w:cstheme="minorHAnsi"/>
        </w:rPr>
        <w:t>český účetní standard</w:t>
      </w:r>
      <w:r w:rsidRPr="008D073A">
        <w:rPr>
          <w:rFonts w:asciiTheme="minorHAnsi" w:hAnsiTheme="minorHAnsi" w:cstheme="minorHAnsi"/>
        </w:rPr>
        <w:t xml:space="preserve"> upřesnil, že za transfer se nepovažují informace o otevření limitu výdajů v případě OSS a že investiční transfer, který je určen k financování dlouhodobého majetku u příjemce, který tento dlouhodobý majetek pořizuje, se nevztahuje na drobný dlouhodobý majetek. Od 1. ledna 2015 ČÚS č. 703 upřesnil, co se za transfer považuje a</w:t>
      </w:r>
      <w:r>
        <w:rPr>
          <w:rFonts w:asciiTheme="minorHAnsi" w:hAnsiTheme="minorHAnsi" w:cstheme="minorHAnsi"/>
        </w:rPr>
        <w:t xml:space="preserve"> co </w:t>
      </w:r>
      <w:r w:rsidRPr="008D073A">
        <w:rPr>
          <w:rFonts w:asciiTheme="minorHAnsi" w:hAnsiTheme="minorHAnsi" w:cstheme="minorHAnsi"/>
        </w:rPr>
        <w:t>nepovažuje; upravil také vymezení pojm</w:t>
      </w:r>
      <w:r>
        <w:rPr>
          <w:rFonts w:asciiTheme="minorHAnsi" w:hAnsiTheme="minorHAnsi" w:cstheme="minorHAnsi"/>
        </w:rPr>
        <w:t>u</w:t>
      </w:r>
      <w:r w:rsidRPr="008D073A">
        <w:rPr>
          <w:rFonts w:asciiTheme="minorHAnsi" w:hAnsiTheme="minorHAnsi" w:cstheme="minorHAnsi"/>
        </w:rPr>
        <w:t xml:space="preserve"> poskytovatel a do obsahových vymezení některých účtů zavedl pojem „předfinancování“. </w:t>
      </w:r>
    </w:p>
  </w:footnote>
  <w:footnote w:id="31">
    <w:p w14:paraId="0742777B" w14:textId="13DF1D3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Vyhláška č. 410/2009 Sb. byla vydána s platností od 25. listopadu 2009 a s účinností od 1. ledna 2010. V dalším období byla vyhláška č. 435/2010 Sb. jako novela vyhlášky č. 410/2009 Sb. vydána s platností od 31. prosince 2010 a účinností od 1. ledna 2011, výjimku </w:t>
      </w:r>
      <w:r>
        <w:rPr>
          <w:rFonts w:asciiTheme="minorHAnsi" w:hAnsiTheme="minorHAnsi" w:cstheme="minorHAnsi"/>
        </w:rPr>
        <w:t xml:space="preserve">tvořila </w:t>
      </w:r>
      <w:r w:rsidRPr="008D073A">
        <w:rPr>
          <w:rFonts w:asciiTheme="minorHAnsi" w:hAnsiTheme="minorHAnsi" w:cstheme="minorHAnsi"/>
        </w:rPr>
        <w:t>někter</w:t>
      </w:r>
      <w:r>
        <w:rPr>
          <w:rFonts w:asciiTheme="minorHAnsi" w:hAnsiTheme="minorHAnsi" w:cstheme="minorHAnsi"/>
        </w:rPr>
        <w:t>á</w:t>
      </w:r>
      <w:r w:rsidRPr="008D073A">
        <w:rPr>
          <w:rFonts w:asciiTheme="minorHAnsi" w:hAnsiTheme="minorHAnsi" w:cstheme="minorHAnsi"/>
        </w:rPr>
        <w:t xml:space="preserve"> ustanovení, která </w:t>
      </w:r>
      <w:r>
        <w:rPr>
          <w:rFonts w:asciiTheme="minorHAnsi" w:hAnsiTheme="minorHAnsi" w:cstheme="minorHAnsi"/>
        </w:rPr>
        <w:t>měla</w:t>
      </w:r>
      <w:r w:rsidRPr="008D073A">
        <w:rPr>
          <w:rFonts w:asciiTheme="minorHAnsi" w:hAnsiTheme="minorHAnsi" w:cstheme="minorHAnsi"/>
        </w:rPr>
        <w:t xml:space="preserve"> účinnost ještě k datu 31. prosince 2010. Vyhláška č. 473/2013 Sb. jako novela vyhlášky č. 410/2009 Sb. byla vydána s platností od 31. prosince 2013 a s účinností od 1. ledna 2014, vybraná ustanovení </w:t>
      </w:r>
      <w:r>
        <w:rPr>
          <w:rFonts w:asciiTheme="minorHAnsi" w:hAnsiTheme="minorHAnsi" w:cstheme="minorHAnsi"/>
        </w:rPr>
        <w:t>měla</w:t>
      </w:r>
      <w:r w:rsidRPr="008D073A">
        <w:rPr>
          <w:rFonts w:asciiTheme="minorHAnsi" w:hAnsiTheme="minorHAnsi" w:cstheme="minorHAnsi"/>
        </w:rPr>
        <w:t xml:space="preserve"> účinnost od 1. ledna 2015.</w:t>
      </w:r>
    </w:p>
    <w:p w14:paraId="5AB5A42E" w14:textId="1E6B8819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  <w:t xml:space="preserve">Nové ČÚS (včetně ČÚS č. 703) pro některé vybrané účetní jednotky byly poprvé vydány ve </w:t>
      </w:r>
      <w:r w:rsidRPr="008D4CD3">
        <w:rPr>
          <w:rFonts w:asciiTheme="minorHAnsi" w:hAnsiTheme="minorHAnsi" w:cstheme="minorHAnsi"/>
          <w:i/>
        </w:rPr>
        <w:t>Finančním zpravodaji</w:t>
      </w:r>
      <w:r w:rsidRPr="008D073A">
        <w:rPr>
          <w:rFonts w:asciiTheme="minorHAnsi" w:hAnsiTheme="minorHAnsi" w:cstheme="minorHAnsi"/>
        </w:rPr>
        <w:t xml:space="preserve"> č. 7/2009 ze dne 31. prosinc</w:t>
      </w:r>
      <w:r>
        <w:rPr>
          <w:rFonts w:asciiTheme="minorHAnsi" w:hAnsiTheme="minorHAnsi" w:cstheme="minorHAnsi"/>
        </w:rPr>
        <w:t>e</w:t>
      </w:r>
      <w:r w:rsidRPr="008D073A">
        <w:rPr>
          <w:rFonts w:asciiTheme="minorHAnsi" w:hAnsiTheme="minorHAnsi" w:cstheme="minorHAnsi"/>
        </w:rPr>
        <w:t xml:space="preserve"> 2009 s použitím pro účetní období začínající od 1. ledna 2010. Pro účetní období 2011 byl vydán nový ČÚS č. 703 ve </w:t>
      </w:r>
      <w:r w:rsidRPr="008D4CD3">
        <w:rPr>
          <w:rFonts w:asciiTheme="minorHAnsi" w:hAnsiTheme="minorHAnsi" w:cstheme="minorHAnsi"/>
          <w:i/>
        </w:rPr>
        <w:t>Finančním zpravodaji</w:t>
      </w:r>
      <w:r w:rsidRPr="008D073A">
        <w:rPr>
          <w:rFonts w:asciiTheme="minorHAnsi" w:hAnsiTheme="minorHAnsi" w:cstheme="minorHAnsi"/>
        </w:rPr>
        <w:t xml:space="preserve"> č. 8/2010 ze dne 31. prosince 2010 a ten byl pro účetní období 2012 novelizován ve </w:t>
      </w:r>
      <w:r w:rsidRPr="008D4CD3">
        <w:rPr>
          <w:rFonts w:asciiTheme="minorHAnsi" w:hAnsiTheme="minorHAnsi" w:cstheme="minorHAnsi"/>
          <w:i/>
        </w:rPr>
        <w:t>Finančním zpravodaji</w:t>
      </w:r>
      <w:r w:rsidRPr="008D073A">
        <w:rPr>
          <w:rFonts w:asciiTheme="minorHAnsi" w:hAnsiTheme="minorHAnsi" w:cstheme="minorHAnsi"/>
        </w:rPr>
        <w:t xml:space="preserve"> č. 9/2011 ze dne 20. prosince 2011. Pro účetní období 2015 byl tento ČÚS novelizován ve </w:t>
      </w:r>
      <w:r w:rsidRPr="008D4CD3">
        <w:rPr>
          <w:rFonts w:asciiTheme="minorHAnsi" w:hAnsiTheme="minorHAnsi" w:cstheme="minorHAnsi"/>
          <w:i/>
        </w:rPr>
        <w:t>Finančním zpravodaji</w:t>
      </w:r>
      <w:r w:rsidRPr="008D073A">
        <w:rPr>
          <w:rFonts w:asciiTheme="minorHAnsi" w:hAnsiTheme="minorHAnsi" w:cstheme="minorHAnsi"/>
        </w:rPr>
        <w:t xml:space="preserve"> č. 5/2014 ze dne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19.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prosince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2014.</w:t>
      </w:r>
    </w:p>
  </w:footnote>
  <w:footnote w:id="32">
    <w:p w14:paraId="0CB2176F" w14:textId="7DE805D4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ustanovení § 4 odst. 14 zákona č. 563/1991 Sb.</w:t>
      </w:r>
    </w:p>
  </w:footnote>
  <w:footnote w:id="33">
    <w:p w14:paraId="7EF03E22" w14:textId="701F58CD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Nařízení Rady (ES) č. 1083/2006 ze dne 11. července 2006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o obecných ustanoveních o Evropském fondu pro regionální rozvoj, Evropském sociálním fondu a Fondu soudržnosti a o zrušení nařízení (ES) č.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1260/1999.</w:t>
      </w:r>
    </w:p>
  </w:footnote>
  <w:footnote w:id="34">
    <w:p w14:paraId="7EB3C21A" w14:textId="0504CB4D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Finanční opravy jsou definovány v čl. 98 a násl. nařízení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 xml:space="preserve">Rady (ES) č. 1083/2006. Běžně používané označení „korekce“ vychází z anglického ekvivalentu pojmu „oprava“. MŠMT pojem „plošná korekce“ používá například v sestavě MSC č. 188/SFA </w:t>
      </w:r>
      <w:r>
        <w:rPr>
          <w:rFonts w:asciiTheme="minorHAnsi" w:hAnsiTheme="minorHAnsi" w:cstheme="minorHAnsi"/>
          <w:i/>
        </w:rPr>
        <w:t>s</w:t>
      </w:r>
      <w:r w:rsidRPr="008D4CD3">
        <w:rPr>
          <w:rFonts w:asciiTheme="minorHAnsi" w:hAnsiTheme="minorHAnsi" w:cstheme="minorHAnsi"/>
          <w:i/>
        </w:rPr>
        <w:t>estava pro certifikaci včetně vratek a penále za pozdní platbu</w:t>
      </w:r>
      <w:r w:rsidRPr="008D073A">
        <w:rPr>
          <w:rFonts w:asciiTheme="minorHAnsi" w:hAnsiTheme="minorHAnsi" w:cstheme="minorHAnsi"/>
        </w:rPr>
        <w:t>.</w:t>
      </w:r>
    </w:p>
  </w:footnote>
  <w:footnote w:id="35">
    <w:p w14:paraId="618C9C9B" w14:textId="79BF6EEA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Např. čl. 98 odst. 2 a čl. 100 odst. 4 </w:t>
      </w:r>
      <w:r>
        <w:rPr>
          <w:rFonts w:asciiTheme="minorHAnsi" w:hAnsiTheme="minorHAnsi" w:cstheme="minorHAnsi"/>
        </w:rPr>
        <w:t>n</w:t>
      </w:r>
      <w:r w:rsidRPr="008D073A">
        <w:rPr>
          <w:rFonts w:asciiTheme="minorHAnsi" w:hAnsiTheme="minorHAnsi" w:cstheme="minorHAnsi"/>
        </w:rPr>
        <w:t>ařízení Rady (ES) č. 1083/2006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o obecných ustanoveních o Evropském fondu pro regionální rozvoj, Evropském sociálním fondu a Fondu soudržnosti a o zrušení nařízení (ES) č.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1260/1999.</w:t>
      </w:r>
    </w:p>
  </w:footnote>
  <w:footnote w:id="36">
    <w:p w14:paraId="6A60C2B1" w14:textId="400F0051" w:rsidR="005810E6" w:rsidRPr="00F01905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Nařízení Rady (ES) č. 1083/2006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o obecných ustanoveních o Evropském fondu pro regionální rozvoj, Evropském sociálním fondu a Fondu soudržnosti a o zrušení nařízení (ES) č. 1260/1999.</w:t>
      </w:r>
    </w:p>
  </w:footnote>
  <w:footnote w:id="37">
    <w:p w14:paraId="1D19FF15" w14:textId="1A8C0044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Projekty realizované MŠMT </w:t>
      </w:r>
      <w:r>
        <w:rPr>
          <w:rFonts w:asciiTheme="minorHAnsi" w:hAnsiTheme="minorHAnsi" w:cstheme="minorHAnsi"/>
        </w:rPr>
        <w:t xml:space="preserve">v oblasti </w:t>
      </w:r>
      <w:r w:rsidRPr="008D073A">
        <w:rPr>
          <w:rFonts w:asciiTheme="minorHAnsi" w:hAnsiTheme="minorHAnsi" w:cstheme="minorHAnsi"/>
        </w:rPr>
        <w:t>technické pomoci či individuální projekty národní.</w:t>
      </w:r>
    </w:p>
  </w:footnote>
  <w:footnote w:id="38">
    <w:p w14:paraId="037DB5DF" w14:textId="07F2E63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 případě finančních oprav vyměřených k opatření 113 v rámci PRV využilo MZe ustanovení čl. 16 odst. 1 nařízení Komise (ES) č. 885/2006 týkající se přijatelnosti návrhu na zahájení smírčího řízení a podalo návrh na jeho zahájení. Rozhodnutí </w:t>
      </w:r>
      <w:r>
        <w:rPr>
          <w:rFonts w:asciiTheme="minorHAnsi" w:hAnsiTheme="minorHAnsi" w:cstheme="minorHAnsi"/>
        </w:rPr>
        <w:t>Evropské k</w:t>
      </w:r>
      <w:r w:rsidRPr="008D073A">
        <w:rPr>
          <w:rFonts w:asciiTheme="minorHAnsi" w:hAnsiTheme="minorHAnsi" w:cstheme="minorHAnsi"/>
        </w:rPr>
        <w:t>omise o plošné korekci k datu ukončení kontroly vydáno nebylo.</w:t>
      </w:r>
    </w:p>
    <w:p w14:paraId="37B14AC6" w14:textId="0C7626E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Fonts w:asciiTheme="minorHAnsi" w:hAnsiTheme="minorHAnsi" w:cstheme="minorHAnsi"/>
        </w:rPr>
        <w:tab/>
        <w:t>Oproti tomu v případě finančních oprav vyměřených k restrukturalizaci a přeměně vinic rozhodnutí Komise vydáno bylo. Na určení neplatnosti tohoto rozhodnutí byla podána žaloba k Soudnímu dvoru EU, ale podání žaloby nemá odkladný účinek.</w:t>
      </w:r>
    </w:p>
  </w:footnote>
  <w:footnote w:id="39">
    <w:p w14:paraId="3EF1E1D9" w14:textId="6C8C843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Z hlediska údajů finančních výkazů </w:t>
      </w:r>
      <w:r>
        <w:rPr>
          <w:rFonts w:asciiTheme="minorHAnsi" w:hAnsiTheme="minorHAnsi" w:cstheme="minorHAnsi"/>
        </w:rPr>
        <w:t xml:space="preserve">se jedná o </w:t>
      </w:r>
      <w:r w:rsidRPr="008D073A">
        <w:rPr>
          <w:rFonts w:asciiTheme="minorHAnsi" w:hAnsiTheme="minorHAnsi" w:cstheme="minorHAnsi"/>
        </w:rPr>
        <w:t>kvantitativně významné údaje.</w:t>
      </w:r>
    </w:p>
  </w:footnote>
  <w:footnote w:id="40">
    <w:p w14:paraId="60721287" w14:textId="65B81A8C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Z hlediska údajů finančních výkazů </w:t>
      </w:r>
      <w:r>
        <w:rPr>
          <w:rFonts w:asciiTheme="minorHAnsi" w:hAnsiTheme="minorHAnsi" w:cstheme="minorHAnsi"/>
        </w:rPr>
        <w:t xml:space="preserve">jde o </w:t>
      </w:r>
      <w:r w:rsidRPr="008D073A">
        <w:rPr>
          <w:rFonts w:asciiTheme="minorHAnsi" w:hAnsiTheme="minorHAnsi" w:cstheme="minorHAnsi"/>
        </w:rPr>
        <w:t>kvantitativně nevýznamné údaje.</w:t>
      </w:r>
    </w:p>
  </w:footnote>
  <w:footnote w:id="41">
    <w:p w14:paraId="133DB6F0" w14:textId="7725D136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Úč</w:t>
      </w:r>
      <w:r>
        <w:rPr>
          <w:rFonts w:asciiTheme="minorHAnsi" w:hAnsiTheme="minorHAnsi" w:cstheme="minorHAnsi"/>
        </w:rPr>
        <w:t>et</w:t>
      </w:r>
      <w:r w:rsidRPr="008D073A">
        <w:rPr>
          <w:rFonts w:asciiTheme="minorHAnsi" w:hAnsiTheme="minorHAnsi" w:cstheme="minorHAnsi"/>
        </w:rPr>
        <w:t xml:space="preserve"> 911 – </w:t>
      </w:r>
      <w:r w:rsidRPr="008D073A">
        <w:rPr>
          <w:rFonts w:asciiTheme="minorHAnsi" w:hAnsiTheme="minorHAnsi" w:cstheme="minorHAnsi"/>
          <w:i/>
        </w:rPr>
        <w:t>Krátkodobé podmíněné pohledávky z předfinancování transferů</w:t>
      </w:r>
      <w:r w:rsidRPr="008D4CD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účet 951 – </w:t>
      </w:r>
      <w:r w:rsidRPr="008D073A">
        <w:rPr>
          <w:rFonts w:asciiTheme="minorHAnsi" w:hAnsiTheme="minorHAnsi" w:cstheme="minorHAnsi"/>
          <w:i/>
        </w:rPr>
        <w:t>Dlouhodobé podmíněné pohledávky z předfinancování transferů</w:t>
      </w:r>
      <w:r w:rsidRPr="008D4CD3">
        <w:rPr>
          <w:rFonts w:asciiTheme="minorHAnsi" w:hAnsiTheme="minorHAnsi" w:cstheme="minorHAnsi"/>
        </w:rPr>
        <w:t>.</w:t>
      </w:r>
    </w:p>
  </w:footnote>
  <w:footnote w:id="42">
    <w:p w14:paraId="7242CDF9" w14:textId="210983AF" w:rsidR="005810E6" w:rsidRPr="008D073A" w:rsidRDefault="005810E6" w:rsidP="0092063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  <w:t>Vyhláška č. 410/2009 Sb. uvádí v ustanovení § 72 odst. 4 a 5 v podstatě dva způsoby ocenění jako možné. Jeden je ocenění dlouhodobých podmíněných závazků v předpokládané výši odpovídající úhrnu za tři roky, druhý je ocenění dlouhodobých podmíněných závazků v celkové možné výši podle smlouvy, nikoli tedy v úhrnu za tři roky.</w:t>
      </w:r>
    </w:p>
  </w:footnote>
  <w:footnote w:id="43">
    <w:p w14:paraId="7B81770D" w14:textId="09EB2DB4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Č</w:t>
      </w:r>
      <w:r>
        <w:rPr>
          <w:rFonts w:asciiTheme="minorHAnsi" w:hAnsiTheme="minorHAnsi" w:cstheme="minorHAnsi"/>
        </w:rPr>
        <w:t>Ú</w:t>
      </w:r>
      <w:r w:rsidRPr="008D073A">
        <w:rPr>
          <w:rFonts w:asciiTheme="minorHAnsi" w:hAnsiTheme="minorHAnsi" w:cstheme="minorHAnsi"/>
        </w:rPr>
        <w:t xml:space="preserve">S č. 703 – </w:t>
      </w:r>
      <w:r w:rsidRPr="008D4CD3">
        <w:rPr>
          <w:rFonts w:asciiTheme="minorHAnsi" w:hAnsiTheme="minorHAnsi" w:cstheme="minorHAnsi"/>
          <w:i/>
        </w:rPr>
        <w:t>Transfery</w:t>
      </w:r>
      <w:r w:rsidRPr="008D073A">
        <w:rPr>
          <w:rFonts w:asciiTheme="minorHAnsi" w:hAnsiTheme="minorHAnsi" w:cstheme="minorHAnsi"/>
        </w:rPr>
        <w:t xml:space="preserve"> (bod 4.1 a 4.2) neuvádí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jednoznačn</w:t>
      </w:r>
      <w:r>
        <w:rPr>
          <w:rFonts w:asciiTheme="minorHAnsi" w:hAnsiTheme="minorHAnsi" w:cstheme="minorHAnsi"/>
        </w:rPr>
        <w:t>ým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způsobem</w:t>
      </w:r>
      <w:r w:rsidRPr="008D073A">
        <w:rPr>
          <w:rFonts w:asciiTheme="minorHAnsi" w:hAnsiTheme="minorHAnsi" w:cstheme="minorHAnsi"/>
        </w:rPr>
        <w:t>, na základě jakého konkrétního dokumentu (dokladu) dochází ke skutečnosti, která je natolik určitá a významná, že zakládá možnost poskytnutí transferu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a tedy účtování o podrozvahovém závazku (např. zda se jedná o dokument o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stanoven</w:t>
      </w:r>
      <w:r>
        <w:rPr>
          <w:rFonts w:asciiTheme="minorHAnsi" w:hAnsiTheme="minorHAnsi" w:cstheme="minorHAnsi"/>
        </w:rPr>
        <w:t>í</w:t>
      </w:r>
      <w:r w:rsidRPr="008D073A">
        <w:rPr>
          <w:rFonts w:asciiTheme="minorHAnsi" w:hAnsiTheme="minorHAnsi" w:cstheme="minorHAnsi"/>
        </w:rPr>
        <w:t xml:space="preserve"> výš</w:t>
      </w:r>
      <w:r>
        <w:rPr>
          <w:rFonts w:asciiTheme="minorHAnsi" w:hAnsiTheme="minorHAnsi" w:cstheme="minorHAnsi"/>
        </w:rPr>
        <w:t>e</w:t>
      </w:r>
      <w:r w:rsidRPr="008D073A">
        <w:rPr>
          <w:rFonts w:asciiTheme="minorHAnsi" w:hAnsiTheme="minorHAnsi" w:cstheme="minorHAnsi"/>
        </w:rPr>
        <w:t xml:space="preserve"> alokace na program, přijatou žádost o poskytnutí dotace od příjemců, rozhodnutí o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 xml:space="preserve">poskytnutí dotace, uzavření smlouvy, </w:t>
      </w:r>
      <w:r>
        <w:rPr>
          <w:rFonts w:asciiTheme="minorHAnsi" w:hAnsiTheme="minorHAnsi" w:cstheme="minorHAnsi"/>
        </w:rPr>
        <w:t xml:space="preserve">dokument </w:t>
      </w:r>
      <w:r w:rsidRPr="008D073A">
        <w:rPr>
          <w:rFonts w:asciiTheme="minorHAnsi" w:hAnsiTheme="minorHAnsi" w:cstheme="minorHAnsi"/>
        </w:rPr>
        <w:t>o nastavení příspěvku v rámci finančních vztahů s příspěvkovými organizacemi atd.).</w:t>
      </w:r>
    </w:p>
  </w:footnote>
  <w:footnote w:id="44">
    <w:p w14:paraId="01BED0A4" w14:textId="1E44F83B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Tato skutečnost byla konstatována ze strany NKÚ i u jiných OSS, např.</w:t>
      </w:r>
      <w:r>
        <w:rPr>
          <w:rFonts w:asciiTheme="minorHAnsi" w:hAnsiTheme="minorHAnsi" w:cstheme="minorHAnsi"/>
        </w:rPr>
        <w:t xml:space="preserve"> u</w:t>
      </w:r>
      <w:r w:rsidRPr="008D073A">
        <w:rPr>
          <w:rFonts w:asciiTheme="minorHAnsi" w:hAnsiTheme="minorHAnsi" w:cstheme="minorHAnsi"/>
        </w:rPr>
        <w:t xml:space="preserve"> Ministerstva dopravy (kontrolní závěr z kontrolní akce č. 13/39 byl zveřejněn v částce 4/2014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). </w:t>
      </w:r>
    </w:p>
    <w:p w14:paraId="595B48A9" w14:textId="66AC7985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</w:p>
  </w:footnote>
  <w:footnote w:id="45">
    <w:p w14:paraId="419FCC43" w14:textId="42443AB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Informační systém Ministerstva financí. Zachyceny jsou v něm souhrnné žádosti podávané říd</w:t>
      </w:r>
      <w:r>
        <w:rPr>
          <w:rFonts w:asciiTheme="minorHAnsi" w:hAnsiTheme="minorHAnsi" w:cstheme="minorHAnsi"/>
        </w:rPr>
        <w:t>i</w:t>
      </w:r>
      <w:r w:rsidRPr="008D073A">
        <w:rPr>
          <w:rFonts w:asciiTheme="minorHAnsi" w:hAnsiTheme="minorHAnsi" w:cstheme="minorHAnsi"/>
        </w:rPr>
        <w:t>cím orgánem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tj. </w:t>
      </w:r>
      <w:r w:rsidRPr="008D073A">
        <w:rPr>
          <w:rFonts w:asciiTheme="minorHAnsi" w:hAnsiTheme="minorHAnsi" w:cstheme="minorHAnsi"/>
        </w:rPr>
        <w:t xml:space="preserve">MŠMT v případě OP VK a OP VaVpI, </w:t>
      </w:r>
      <w:r>
        <w:rPr>
          <w:rFonts w:asciiTheme="minorHAnsi" w:hAnsiTheme="minorHAnsi" w:cstheme="minorHAnsi"/>
        </w:rPr>
        <w:t>respektive</w:t>
      </w:r>
      <w:r w:rsidRPr="008D073A">
        <w:rPr>
          <w:rFonts w:asciiTheme="minorHAnsi" w:hAnsiTheme="minorHAnsi" w:cstheme="minorHAnsi"/>
        </w:rPr>
        <w:t xml:space="preserve"> MZe </w:t>
      </w:r>
      <w:r>
        <w:rPr>
          <w:rFonts w:asciiTheme="minorHAnsi" w:hAnsiTheme="minorHAnsi" w:cstheme="minorHAnsi"/>
        </w:rPr>
        <w:t>v případě</w:t>
      </w:r>
      <w:r w:rsidRPr="008D073A">
        <w:rPr>
          <w:rFonts w:asciiTheme="minorHAnsi" w:hAnsiTheme="minorHAnsi" w:cstheme="minorHAnsi"/>
        </w:rPr>
        <w:t xml:space="preserve"> OPR.</w:t>
      </w:r>
    </w:p>
  </w:footnote>
  <w:footnote w:id="46">
    <w:p w14:paraId="628EBB39" w14:textId="4E8C45B5" w:rsidR="005810E6" w:rsidRPr="008D073A" w:rsidRDefault="005810E6" w:rsidP="0092063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  <w:t xml:space="preserve">Informační systém sloužící k monitorování implementace programů spolufinancovaných z prostředků rozpočtu EU v rámci programového období 2007–2013. Nejvyšší úrovní je </w:t>
      </w:r>
      <w:r>
        <w:rPr>
          <w:rFonts w:asciiTheme="minorHAnsi" w:hAnsiTheme="minorHAnsi" w:cstheme="minorHAnsi"/>
          <w:b/>
          <w:sz w:val="20"/>
          <w:szCs w:val="20"/>
        </w:rPr>
        <w:t>m</w:t>
      </w:r>
      <w:r w:rsidRPr="008D073A">
        <w:rPr>
          <w:rFonts w:asciiTheme="minorHAnsi" w:hAnsiTheme="minorHAnsi" w:cstheme="minorHAnsi"/>
          <w:sz w:val="20"/>
          <w:szCs w:val="20"/>
        </w:rPr>
        <w:t xml:space="preserve">onitorovací </w:t>
      </w:r>
      <w:r w:rsidRPr="008D073A">
        <w:rPr>
          <w:rFonts w:asciiTheme="minorHAnsi" w:hAnsiTheme="minorHAnsi" w:cstheme="minorHAnsi"/>
          <w:b/>
          <w:sz w:val="20"/>
          <w:szCs w:val="20"/>
        </w:rPr>
        <w:t>s</w:t>
      </w:r>
      <w:r w:rsidRPr="008D073A">
        <w:rPr>
          <w:rFonts w:asciiTheme="minorHAnsi" w:hAnsiTheme="minorHAnsi" w:cstheme="minorHAnsi"/>
          <w:sz w:val="20"/>
          <w:szCs w:val="20"/>
        </w:rPr>
        <w:t xml:space="preserve">ystém </w:t>
      </w:r>
      <w:r w:rsidRPr="008D4CD3">
        <w:rPr>
          <w:rFonts w:asciiTheme="minorHAnsi" w:hAnsiTheme="minorHAnsi" w:cstheme="minorHAnsi"/>
          <w:b/>
          <w:i/>
          <w:sz w:val="20"/>
          <w:szCs w:val="20"/>
        </w:rPr>
        <w:t>C</w:t>
      </w:r>
      <w:r w:rsidRPr="008D4CD3">
        <w:rPr>
          <w:rFonts w:asciiTheme="minorHAnsi" w:hAnsiTheme="minorHAnsi" w:cstheme="minorHAnsi"/>
          <w:i/>
          <w:sz w:val="20"/>
          <w:szCs w:val="20"/>
        </w:rPr>
        <w:t>entral</w:t>
      </w:r>
      <w:r w:rsidRPr="008D073A">
        <w:rPr>
          <w:rFonts w:asciiTheme="minorHAnsi" w:hAnsiTheme="minorHAnsi" w:cstheme="minorHAnsi"/>
          <w:sz w:val="20"/>
          <w:szCs w:val="20"/>
        </w:rPr>
        <w:t xml:space="preserve"> (MSC2007). </w:t>
      </w:r>
    </w:p>
  </w:footnote>
  <w:footnote w:id="47">
    <w:p w14:paraId="2A6BED39" w14:textId="1DB52FDE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Účet 371 – </w:t>
      </w:r>
      <w:r w:rsidRPr="008D073A">
        <w:rPr>
          <w:rFonts w:asciiTheme="minorHAnsi" w:hAnsiTheme="minorHAnsi" w:cstheme="minorHAnsi"/>
          <w:i/>
        </w:rPr>
        <w:t>Krátkodobé pohledávky z nástrojů spolufinancovaných ze zahraničí.</w:t>
      </w:r>
    </w:p>
  </w:footnote>
  <w:footnote w:id="48">
    <w:p w14:paraId="14C11748" w14:textId="41D38C2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 souladu s vyhláškou č. 383/2009 Sb., o účetních záznamech v technické formě vybraných účetních jednotek a jejich předávání do centrálního systému účetních informací státu a o požadavcích na technické a smíšené formy účetních záznamů (technická vyhláška o účetních záznamech).</w:t>
      </w:r>
    </w:p>
  </w:footnote>
  <w:footnote w:id="49">
    <w:p w14:paraId="1E1DD599" w14:textId="640AA78F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Informační systém, který slouží k administraci žádostí a k monitorování a kontrolám průběhu realizace jednotlivých projektů na MŠMT.</w:t>
      </w:r>
    </w:p>
  </w:footnote>
  <w:footnote w:id="50">
    <w:p w14:paraId="751BDBEF" w14:textId="3CCB14D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Informační systém, jehož vlastníkem je Státní zemědělský intervenční fond</w:t>
      </w:r>
      <w:r>
        <w:rPr>
          <w:rFonts w:asciiTheme="minorHAnsi" w:hAnsiTheme="minorHAnsi" w:cstheme="minorHAnsi"/>
        </w:rPr>
        <w:t xml:space="preserve"> –</w:t>
      </w:r>
      <w:r w:rsidRPr="008D073A">
        <w:rPr>
          <w:rFonts w:asciiTheme="minorHAnsi" w:hAnsiTheme="minorHAnsi" w:cstheme="minorHAnsi"/>
        </w:rPr>
        <w:t xml:space="preserve"> vytvořen byl pro administraci OP </w:t>
      </w:r>
      <w:r w:rsidRPr="008D4CD3">
        <w:rPr>
          <w:rFonts w:asciiTheme="minorHAnsi" w:hAnsiTheme="minorHAnsi" w:cstheme="minorHAnsi"/>
          <w:i/>
        </w:rPr>
        <w:t>Rybářství 2007–2013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zajišťuje zadávání a přenos požadovaných dat do MSC2007</w:t>
      </w:r>
      <w:r>
        <w:rPr>
          <w:rFonts w:asciiTheme="minorHAnsi" w:hAnsiTheme="minorHAnsi" w:cstheme="minorHAnsi"/>
        </w:rPr>
        <w:t xml:space="preserve"> a</w:t>
      </w:r>
      <w:r w:rsidRPr="008D073A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také </w:t>
      </w:r>
      <w:r w:rsidRPr="008D073A">
        <w:rPr>
          <w:rFonts w:asciiTheme="minorHAnsi" w:hAnsiTheme="minorHAnsi" w:cstheme="minorHAnsi"/>
        </w:rPr>
        <w:t>využíván pro administraci SZP. MZe má do některých modulů IS SAP SZIF administrativní přístup, do některých modulů přístup v režimu nahlížení bez možnosti editace.</w:t>
      </w:r>
    </w:p>
  </w:footnote>
  <w:footnote w:id="51">
    <w:p w14:paraId="0978771B" w14:textId="62DECA5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 případě MŠMT byla vzájemná propojenost údajů v informačních systémech prověřována pro OP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VK a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>OP</w:t>
      </w:r>
      <w:r>
        <w:rPr>
          <w:rFonts w:asciiTheme="minorHAnsi" w:hAnsiTheme="minorHAnsi" w:cstheme="minorHAnsi"/>
        </w:rPr>
        <w:t> </w:t>
      </w:r>
      <w:r w:rsidRPr="008D073A">
        <w:rPr>
          <w:rFonts w:asciiTheme="minorHAnsi" w:hAnsiTheme="minorHAnsi" w:cstheme="minorHAnsi"/>
        </w:rPr>
        <w:t xml:space="preserve">VaVpI a v případě MZe pro OP </w:t>
      </w:r>
      <w:r w:rsidRPr="008D4CD3">
        <w:rPr>
          <w:rFonts w:asciiTheme="minorHAnsi" w:hAnsiTheme="minorHAnsi" w:cstheme="minorHAnsi"/>
          <w:i/>
        </w:rPr>
        <w:t>Rybářství 2007–2013</w:t>
      </w:r>
      <w:r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>a PRV.</w:t>
      </w:r>
    </w:p>
  </w:footnote>
  <w:footnote w:id="52">
    <w:p w14:paraId="3FC0ABDA" w14:textId="59B95325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Rozlišovat typy příjmů je potřebné z toho důvodu, aby bylo na </w:t>
      </w:r>
      <w:r w:rsidRPr="008D073A">
        <w:rPr>
          <w:rFonts w:asciiTheme="minorHAnsi" w:hAnsiTheme="minorHAnsi" w:cstheme="minorHAnsi"/>
        </w:rPr>
        <w:t>úrovni státu možn</w:t>
      </w:r>
      <w:r>
        <w:rPr>
          <w:rFonts w:asciiTheme="minorHAnsi" w:hAnsiTheme="minorHAnsi" w:cstheme="minorHAnsi"/>
        </w:rPr>
        <w:t>é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využívat </w:t>
      </w:r>
      <w:r w:rsidRPr="008D073A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yto</w:t>
      </w:r>
      <w:r w:rsidRPr="008D073A">
        <w:rPr>
          <w:rFonts w:asciiTheme="minorHAnsi" w:hAnsiTheme="minorHAnsi" w:cstheme="minorHAnsi"/>
        </w:rPr>
        <w:t xml:space="preserve"> údaj</w:t>
      </w:r>
      <w:r>
        <w:rPr>
          <w:rFonts w:asciiTheme="minorHAnsi" w:hAnsiTheme="minorHAnsi" w:cstheme="minorHAnsi"/>
        </w:rPr>
        <w:t>e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 </w:t>
      </w:r>
      <w:r w:rsidRPr="008D073A">
        <w:rPr>
          <w:rFonts w:asciiTheme="minorHAnsi" w:hAnsiTheme="minorHAnsi" w:cstheme="minorHAnsi"/>
        </w:rPr>
        <w:t>sestavov</w:t>
      </w:r>
      <w:r>
        <w:rPr>
          <w:rFonts w:asciiTheme="minorHAnsi" w:hAnsiTheme="minorHAnsi" w:cstheme="minorHAnsi"/>
        </w:rPr>
        <w:t>ání</w:t>
      </w:r>
      <w:r w:rsidRPr="008D073A">
        <w:rPr>
          <w:rFonts w:asciiTheme="minorHAnsi" w:hAnsiTheme="minorHAnsi" w:cstheme="minorHAnsi"/>
        </w:rPr>
        <w:t xml:space="preserve"> a bilancov</w:t>
      </w:r>
      <w:r>
        <w:rPr>
          <w:rFonts w:asciiTheme="minorHAnsi" w:hAnsiTheme="minorHAnsi" w:cstheme="minorHAnsi"/>
        </w:rPr>
        <w:t>ání</w:t>
      </w:r>
      <w:r w:rsidRPr="008D073A">
        <w:rPr>
          <w:rFonts w:asciiTheme="minorHAnsi" w:hAnsiTheme="minorHAnsi" w:cstheme="minorHAnsi"/>
        </w:rPr>
        <w:t xml:space="preserve"> běžn</w:t>
      </w:r>
      <w:r>
        <w:rPr>
          <w:rFonts w:asciiTheme="minorHAnsi" w:hAnsiTheme="minorHAnsi" w:cstheme="minorHAnsi"/>
        </w:rPr>
        <w:t>ého</w:t>
      </w:r>
      <w:r w:rsidRPr="008D073A">
        <w:rPr>
          <w:rFonts w:asciiTheme="minorHAnsi" w:hAnsiTheme="minorHAnsi" w:cstheme="minorHAnsi"/>
        </w:rPr>
        <w:t xml:space="preserve"> a kapitálov</w:t>
      </w:r>
      <w:r>
        <w:rPr>
          <w:rFonts w:asciiTheme="minorHAnsi" w:hAnsiTheme="minorHAnsi" w:cstheme="minorHAnsi"/>
        </w:rPr>
        <w:t>ého</w:t>
      </w:r>
      <w:r w:rsidRPr="008D073A">
        <w:rPr>
          <w:rFonts w:asciiTheme="minorHAnsi" w:hAnsiTheme="minorHAnsi" w:cstheme="minorHAnsi"/>
        </w:rPr>
        <w:t xml:space="preserve"> rozpoč</w:t>
      </w:r>
      <w:r>
        <w:rPr>
          <w:rFonts w:asciiTheme="minorHAnsi" w:hAnsiTheme="minorHAnsi" w:cstheme="minorHAnsi"/>
        </w:rPr>
        <w:t>tu</w:t>
      </w:r>
      <w:r w:rsidRPr="008D073A">
        <w:rPr>
          <w:rFonts w:asciiTheme="minorHAnsi" w:hAnsiTheme="minorHAnsi" w:cstheme="minorHAnsi"/>
        </w:rPr>
        <w:t>.</w:t>
      </w:r>
    </w:p>
  </w:footnote>
  <w:footnote w:id="53">
    <w:p w14:paraId="72A8CDD6" w14:textId="5EEEAF4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54">
    <w:p w14:paraId="5B9F624F" w14:textId="35B7871D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Sledují se i jiné údaje, např. o pohybech rezervního fondu</w:t>
      </w:r>
      <w:r>
        <w:rPr>
          <w:rFonts w:asciiTheme="minorHAnsi" w:hAnsiTheme="minorHAnsi" w:cstheme="minorHAnsi"/>
        </w:rPr>
        <w:t xml:space="preserve"> aj</w:t>
      </w:r>
      <w:r w:rsidRPr="008D073A">
        <w:rPr>
          <w:rFonts w:asciiTheme="minorHAnsi" w:hAnsiTheme="minorHAnsi" w:cstheme="minorHAnsi"/>
        </w:rPr>
        <w:t>.</w:t>
      </w:r>
    </w:p>
  </w:footnote>
  <w:footnote w:id="55">
    <w:p w14:paraId="52E4A6C2" w14:textId="792A2074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Pomocí kódu nástroje a zdroje třídění </w:t>
      </w:r>
      <w:r>
        <w:rPr>
          <w:rFonts w:asciiTheme="minorHAnsi" w:hAnsiTheme="minorHAnsi" w:cstheme="minorHAnsi"/>
        </w:rPr>
        <w:t xml:space="preserve">dle </w:t>
      </w:r>
      <w:r w:rsidRPr="008D073A">
        <w:rPr>
          <w:rFonts w:asciiTheme="minorHAnsi" w:hAnsiTheme="minorHAnsi" w:cstheme="minorHAnsi"/>
        </w:rPr>
        <w:t>rozpočtové skladby.</w:t>
      </w:r>
    </w:p>
  </w:footnote>
  <w:footnote w:id="56">
    <w:p w14:paraId="3C4F9FA6" w14:textId="21A55D63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část 4.1.</w:t>
      </w:r>
      <w:r>
        <w:rPr>
          <w:rFonts w:asciiTheme="minorHAnsi" w:hAnsiTheme="minorHAnsi" w:cstheme="minorHAnsi"/>
        </w:rPr>
        <w:t>1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závěru.</w:t>
      </w:r>
    </w:p>
  </w:footnote>
  <w:footnote w:id="57">
    <w:p w14:paraId="1E51890F" w14:textId="5CC720C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Zdrojové údaje pro tvorbu národních účtů jsou záležitostí, u které statistický úřad Evropské unie EUROSTAT vyzývá k zajišťování kvality těchto informací.</w:t>
      </w:r>
    </w:p>
  </w:footnote>
  <w:footnote w:id="58">
    <w:p w14:paraId="589896E4" w14:textId="46A4F545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Postupy se netýkají případů, kdy je účetní jednotka z vládního sektoru, tj. OSS, konečným příjemcem prostředků z předfinancovaného transferu.</w:t>
      </w:r>
    </w:p>
  </w:footnote>
  <w:footnote w:id="59">
    <w:p w14:paraId="4DC3B6FF" w14:textId="5FFC5955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část 4.4.</w:t>
      </w:r>
      <w:r>
        <w:rPr>
          <w:rFonts w:asciiTheme="minorHAnsi" w:hAnsiTheme="minorHAnsi" w:cstheme="minorHAnsi"/>
        </w:rPr>
        <w:t>1</w:t>
      </w:r>
      <w:r w:rsidRPr="008D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závěru.</w:t>
      </w:r>
    </w:p>
  </w:footnote>
  <w:footnote w:id="60">
    <w:p w14:paraId="59422939" w14:textId="77777777" w:rsidR="005810E6" w:rsidRPr="008D073A" w:rsidRDefault="005810E6" w:rsidP="001A33FB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část 3.2</w:t>
      </w:r>
      <w:r>
        <w:rPr>
          <w:rFonts w:asciiTheme="minorHAnsi" w:hAnsiTheme="minorHAnsi" w:cstheme="minorHAnsi"/>
        </w:rPr>
        <w:t xml:space="preserve"> tohoto</w:t>
      </w:r>
      <w:r w:rsidRPr="008D073A">
        <w:rPr>
          <w:rFonts w:asciiTheme="minorHAnsi" w:hAnsiTheme="minorHAnsi" w:cstheme="minorHAnsi"/>
        </w:rPr>
        <w:t xml:space="preserve"> kontrolního závěru.</w:t>
      </w:r>
    </w:p>
  </w:footnote>
  <w:footnote w:id="61">
    <w:p w14:paraId="1D6BBAD3" w14:textId="5E404EF3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Nejednoznačnost účetních předpisů v oblasti transferů spolufinancovaných ze zahraničí byla za období let 2010–2014 konstatována ze strany NKÚ i u jiných OSS, např. u Ministerstva dopravy (</w:t>
      </w:r>
      <w:r>
        <w:rPr>
          <w:rFonts w:asciiTheme="minorHAnsi" w:hAnsiTheme="minorHAnsi" w:cstheme="minorHAnsi"/>
        </w:rPr>
        <w:t xml:space="preserve">viz </w:t>
      </w:r>
      <w:r w:rsidRPr="008D073A">
        <w:rPr>
          <w:rFonts w:asciiTheme="minorHAnsi" w:hAnsiTheme="minorHAnsi" w:cstheme="minorHAnsi"/>
        </w:rPr>
        <w:t>kontrolní závěr z kontrolní akce č. 13/39</w:t>
      </w:r>
      <w:r>
        <w:rPr>
          <w:rFonts w:asciiTheme="minorHAnsi" w:hAnsiTheme="minorHAnsi" w:cstheme="minorHAnsi"/>
        </w:rPr>
        <w:t>,</w:t>
      </w:r>
      <w:r w:rsidRPr="008D073A">
        <w:rPr>
          <w:rFonts w:asciiTheme="minorHAnsi" w:hAnsiTheme="minorHAnsi" w:cstheme="minorHAnsi"/>
        </w:rPr>
        <w:t xml:space="preserve"> zveřejněn byl v částce 4/2014 </w:t>
      </w:r>
      <w:r w:rsidRPr="008D4CD3">
        <w:rPr>
          <w:rFonts w:asciiTheme="minorHAnsi" w:hAnsiTheme="minorHAnsi" w:cstheme="minorHAnsi"/>
          <w:i/>
        </w:rPr>
        <w:t>Věstníku NKÚ</w:t>
      </w:r>
      <w:r w:rsidRPr="008D073A">
        <w:rPr>
          <w:rFonts w:asciiTheme="minorHAnsi" w:hAnsiTheme="minorHAnsi" w:cstheme="minorHAnsi"/>
        </w:rPr>
        <w:t xml:space="preserve">). </w:t>
      </w:r>
    </w:p>
  </w:footnote>
  <w:footnote w:id="62">
    <w:p w14:paraId="6D8FA69A" w14:textId="64219B03" w:rsidR="005810E6" w:rsidRPr="008D073A" w:rsidRDefault="005810E6" w:rsidP="007422EE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Viz část 3.2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závěru.</w:t>
      </w:r>
    </w:p>
  </w:footnote>
  <w:footnote w:id="63">
    <w:p w14:paraId="43609F0C" w14:textId="7844C104" w:rsidR="005810E6" w:rsidRPr="008D073A" w:rsidRDefault="005810E6" w:rsidP="00920634">
      <w:pPr>
        <w:pStyle w:val="NormlnKZ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D073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073A">
        <w:rPr>
          <w:rFonts w:asciiTheme="minorHAnsi" w:hAnsiTheme="minorHAnsi" w:cstheme="minorHAnsi"/>
          <w:sz w:val="20"/>
          <w:szCs w:val="20"/>
        </w:rPr>
        <w:t xml:space="preserve"> </w:t>
      </w:r>
      <w:r w:rsidRPr="008D073A">
        <w:rPr>
          <w:rFonts w:asciiTheme="minorHAnsi" w:hAnsiTheme="minorHAnsi" w:cstheme="minorHAnsi"/>
          <w:sz w:val="20"/>
          <w:szCs w:val="20"/>
        </w:rPr>
        <w:tab/>
        <w:t>Viz část 4.1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CD3">
        <w:rPr>
          <w:rFonts w:asciiTheme="minorHAnsi" w:hAnsiTheme="minorHAnsi" w:cstheme="minorHAnsi"/>
          <w:sz w:val="20"/>
          <w:szCs w:val="20"/>
        </w:rPr>
        <w:t>tohoto</w:t>
      </w:r>
      <w:r w:rsidRPr="008D073A">
        <w:rPr>
          <w:rFonts w:asciiTheme="minorHAnsi" w:hAnsiTheme="minorHAnsi" w:cstheme="minorHAnsi"/>
          <w:sz w:val="20"/>
          <w:szCs w:val="20"/>
        </w:rPr>
        <w:t xml:space="preserve"> kontrolního závěru. </w:t>
      </w:r>
    </w:p>
  </w:footnote>
  <w:footnote w:id="64">
    <w:p w14:paraId="76242349" w14:textId="00ADAB1F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Viz část 4.1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závěru.</w:t>
      </w:r>
    </w:p>
  </w:footnote>
  <w:footnote w:id="65">
    <w:p w14:paraId="59D165B1" w14:textId="03E8036C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 rámci podzimní notifikace vládního deficitu a dluhu 2014 </w:t>
      </w:r>
      <w:r>
        <w:rPr>
          <w:rFonts w:asciiTheme="minorHAnsi" w:hAnsiTheme="minorHAnsi" w:cstheme="minorHAnsi"/>
        </w:rPr>
        <w:t>provedl</w:t>
      </w:r>
      <w:r w:rsidRPr="008D073A">
        <w:rPr>
          <w:rFonts w:asciiTheme="minorHAnsi" w:hAnsiTheme="minorHAnsi" w:cstheme="minorHAnsi"/>
        </w:rPr>
        <w:t xml:space="preserve"> Český statistický úřad reviz</w:t>
      </w:r>
      <w:r>
        <w:rPr>
          <w:rFonts w:asciiTheme="minorHAnsi" w:hAnsiTheme="minorHAnsi" w:cstheme="minorHAnsi"/>
        </w:rPr>
        <w:t>i</w:t>
      </w:r>
      <w:r w:rsidRPr="008D073A">
        <w:rPr>
          <w:rFonts w:asciiTheme="minorHAnsi" w:hAnsiTheme="minorHAnsi" w:cstheme="minorHAnsi"/>
        </w:rPr>
        <w:t xml:space="preserve"> údajů za roky 2010</w:t>
      </w:r>
      <w:r>
        <w:rPr>
          <w:rFonts w:asciiTheme="minorHAnsi" w:hAnsiTheme="minorHAnsi" w:cstheme="minorHAnsi"/>
        </w:rPr>
        <w:t>–</w:t>
      </w:r>
      <w:r w:rsidRPr="008D073A"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>, a to</w:t>
      </w:r>
      <w:r w:rsidRPr="008D073A">
        <w:rPr>
          <w:rFonts w:asciiTheme="minorHAnsi" w:hAnsiTheme="minorHAnsi" w:cstheme="minorHAnsi"/>
        </w:rPr>
        <w:t xml:space="preserve"> mimo jiné i z důvodu nutnosti zachycení vyjmutých projektů. Český statistický úřad zapracoval do národních účtů dodatkové zdroje dat o vyjmutých projektech, které neměl k dispozici z účetních systémů.</w:t>
      </w:r>
    </w:p>
  </w:footnote>
  <w:footnote w:id="66">
    <w:p w14:paraId="6E539271" w14:textId="0ED1BAA0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Viz ustanovení § 21 vyhlášky č. 312/2014 Sb</w:t>
      </w:r>
      <w:r w:rsidRPr="008D4CD3">
        <w:rPr>
          <w:rFonts w:asciiTheme="minorHAnsi" w:hAnsiTheme="minorHAnsi" w:cstheme="minorHAnsi"/>
        </w:rPr>
        <w:t>.: „</w:t>
      </w:r>
      <w:r w:rsidRPr="008D073A">
        <w:rPr>
          <w:rFonts w:asciiTheme="minorHAnsi" w:hAnsiTheme="minorHAnsi" w:cstheme="minorHAnsi"/>
          <w:i/>
        </w:rPr>
        <w:t>... v účetních výkazech za Českou republiku ... byly zachyceny zejména vztahy, které byly konsolidovanými jednotkami státu konsolidačního celku státu realizovány mimo tento konsolidační celek státu.“</w:t>
      </w:r>
    </w:p>
  </w:footnote>
  <w:footnote w:id="67">
    <w:p w14:paraId="62B7F6E6" w14:textId="76D7F476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Viz část 4.1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závěru.</w:t>
      </w:r>
    </w:p>
  </w:footnote>
  <w:footnote w:id="68">
    <w:p w14:paraId="123C3CA2" w14:textId="55CA55D7" w:rsidR="005810E6" w:rsidRPr="008D073A" w:rsidRDefault="005810E6" w:rsidP="00920634">
      <w:pPr>
        <w:pStyle w:val="Textpoznpodarou"/>
        <w:ind w:left="284" w:hanging="284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 xml:space="preserve">Viz část 4.2 </w:t>
      </w:r>
      <w:r>
        <w:rPr>
          <w:rFonts w:asciiTheme="minorHAnsi" w:hAnsiTheme="minorHAnsi" w:cstheme="minorHAnsi"/>
        </w:rPr>
        <w:t xml:space="preserve">tohoto </w:t>
      </w:r>
      <w:r w:rsidRPr="008D073A">
        <w:rPr>
          <w:rFonts w:asciiTheme="minorHAnsi" w:hAnsiTheme="minorHAnsi" w:cstheme="minorHAnsi"/>
        </w:rPr>
        <w:t>kontrolního závěru</w:t>
      </w:r>
      <w:r w:rsidRPr="008D073A">
        <w:rPr>
          <w:rFonts w:asciiTheme="minorHAnsi" w:hAnsiTheme="minorHAnsi" w:cstheme="minorHAnsi"/>
          <w:i/>
        </w:rPr>
        <w:t>.</w:t>
      </w:r>
    </w:p>
  </w:footnote>
  <w:footnote w:id="69">
    <w:p w14:paraId="0FC74E1E" w14:textId="31819283" w:rsidR="005810E6" w:rsidRPr="008D073A" w:rsidRDefault="005810E6" w:rsidP="009206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073A">
        <w:rPr>
          <w:rStyle w:val="Znakapoznpodarou"/>
          <w:rFonts w:asciiTheme="minorHAnsi" w:hAnsiTheme="minorHAnsi" w:cstheme="minorHAnsi"/>
        </w:rPr>
        <w:footnoteRef/>
      </w:r>
      <w:r w:rsidRPr="008D073A">
        <w:rPr>
          <w:rFonts w:asciiTheme="minorHAnsi" w:hAnsiTheme="minorHAnsi" w:cstheme="minorHAnsi"/>
        </w:rPr>
        <w:t xml:space="preserve"> </w:t>
      </w:r>
      <w:r w:rsidRPr="008D073A">
        <w:rPr>
          <w:rFonts w:asciiTheme="minorHAnsi" w:hAnsiTheme="minorHAnsi" w:cstheme="minorHAnsi"/>
        </w:rPr>
        <w:tab/>
        <w:t>Např. v případě OP VK a OP VaVpI poměr 85:15.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A407FB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4">
    <w:nsid w:val="02675040"/>
    <w:multiLevelType w:val="multilevel"/>
    <w:tmpl w:val="B512E2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">
    <w:nsid w:val="03D82421"/>
    <w:multiLevelType w:val="hybridMultilevel"/>
    <w:tmpl w:val="A08C89D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5E83FB7"/>
    <w:multiLevelType w:val="hybridMultilevel"/>
    <w:tmpl w:val="55B47566"/>
    <w:lvl w:ilvl="0" w:tplc="2A9CE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7407E"/>
    <w:multiLevelType w:val="hybridMultilevel"/>
    <w:tmpl w:val="A31E60C0"/>
    <w:lvl w:ilvl="0" w:tplc="804E937E">
      <w:start w:val="1"/>
      <w:numFmt w:val="ordinal"/>
      <w:lvlText w:val="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7008D1"/>
    <w:multiLevelType w:val="hybridMultilevel"/>
    <w:tmpl w:val="BE44AA14"/>
    <w:lvl w:ilvl="0" w:tplc="5EDEF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2054F"/>
    <w:multiLevelType w:val="hybridMultilevel"/>
    <w:tmpl w:val="701AEDB0"/>
    <w:lvl w:ilvl="0" w:tplc="467C6ED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12D2881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B14AA4"/>
    <w:multiLevelType w:val="hybridMultilevel"/>
    <w:tmpl w:val="17381F2E"/>
    <w:lvl w:ilvl="0" w:tplc="69EC1214">
      <w:start w:val="1"/>
      <w:numFmt w:val="bullet"/>
      <w:pStyle w:val="Fousteka"/>
      <w:lvlText w:val=""/>
      <w:lvlJc w:val="left"/>
      <w:pPr>
        <w:tabs>
          <w:tab w:val="num" w:pos="721"/>
        </w:tabs>
        <w:ind w:left="721" w:hanging="381"/>
      </w:pPr>
      <w:rPr>
        <w:rFonts w:ascii="Symbol" w:hAnsi="Symbol" w:hint="default"/>
        <w:sz w:val="16"/>
      </w:rPr>
    </w:lvl>
    <w:lvl w:ilvl="1" w:tplc="5490A942">
      <w:numFmt w:val="bullet"/>
      <w:lvlText w:val="–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1FF0605D"/>
    <w:multiLevelType w:val="hybridMultilevel"/>
    <w:tmpl w:val="A990A4FA"/>
    <w:lvl w:ilvl="0" w:tplc="E1CE56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545B7E"/>
    <w:multiLevelType w:val="hybridMultilevel"/>
    <w:tmpl w:val="F03A8E0E"/>
    <w:lvl w:ilvl="0" w:tplc="E1CE5622">
      <w:start w:val="1"/>
      <w:numFmt w:val="bullet"/>
      <w:lvlText w:val="-"/>
      <w:lvlJc w:val="left"/>
      <w:pPr>
        <w:ind w:left="39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25794540"/>
    <w:multiLevelType w:val="hybridMultilevel"/>
    <w:tmpl w:val="CF2A0F24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44B04"/>
    <w:multiLevelType w:val="hybridMultilevel"/>
    <w:tmpl w:val="A30EDF82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114AE"/>
    <w:multiLevelType w:val="hybridMultilevel"/>
    <w:tmpl w:val="2E1C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03DA6"/>
    <w:multiLevelType w:val="hybridMultilevel"/>
    <w:tmpl w:val="B1DA7872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AA0ED7"/>
    <w:multiLevelType w:val="hybridMultilevel"/>
    <w:tmpl w:val="BCF69AF6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70B1B"/>
    <w:multiLevelType w:val="hybridMultilevel"/>
    <w:tmpl w:val="09324226"/>
    <w:lvl w:ilvl="0" w:tplc="12D28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0399"/>
    <w:multiLevelType w:val="hybridMultilevel"/>
    <w:tmpl w:val="5478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70335D"/>
    <w:multiLevelType w:val="hybridMultilevel"/>
    <w:tmpl w:val="6F767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67BF4"/>
    <w:multiLevelType w:val="hybridMultilevel"/>
    <w:tmpl w:val="A2B0B9A8"/>
    <w:lvl w:ilvl="0" w:tplc="008087FA">
      <w:start w:val="1"/>
      <w:numFmt w:val="bullet"/>
      <w:pStyle w:val="Fousnadpis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5490A9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20E43"/>
    <w:multiLevelType w:val="hybridMultilevel"/>
    <w:tmpl w:val="9AE4AA3A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6292"/>
    <w:multiLevelType w:val="hybridMultilevel"/>
    <w:tmpl w:val="1E028BDE"/>
    <w:lvl w:ilvl="0" w:tplc="FD1CD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931DA"/>
    <w:multiLevelType w:val="hybridMultilevel"/>
    <w:tmpl w:val="BE7E5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46E3C"/>
    <w:multiLevelType w:val="hybridMultilevel"/>
    <w:tmpl w:val="39CA7F1E"/>
    <w:lvl w:ilvl="0" w:tplc="07E8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3621D"/>
    <w:multiLevelType w:val="hybridMultilevel"/>
    <w:tmpl w:val="6F56BC16"/>
    <w:lvl w:ilvl="0" w:tplc="F0B8674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9F5FC9"/>
    <w:multiLevelType w:val="hybridMultilevel"/>
    <w:tmpl w:val="A8F08086"/>
    <w:lvl w:ilvl="0" w:tplc="25F0C2E6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4B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3699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5E6664"/>
    <w:multiLevelType w:val="hybridMultilevel"/>
    <w:tmpl w:val="972E5D0A"/>
    <w:lvl w:ilvl="0" w:tplc="E1CE56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980CD7"/>
    <w:multiLevelType w:val="hybridMultilevel"/>
    <w:tmpl w:val="E46A7B98"/>
    <w:lvl w:ilvl="0" w:tplc="D9A2D1CA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13E11"/>
    <w:multiLevelType w:val="multilevel"/>
    <w:tmpl w:val="6FD81BF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1">
    <w:nsid w:val="471F2159"/>
    <w:multiLevelType w:val="multilevel"/>
    <w:tmpl w:val="2F589E66"/>
    <w:lvl w:ilvl="0">
      <w:start w:val="1"/>
      <w:numFmt w:val="decimal"/>
      <w:pStyle w:val="len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E1F501B"/>
    <w:multiLevelType w:val="hybridMultilevel"/>
    <w:tmpl w:val="62408F10"/>
    <w:lvl w:ilvl="0" w:tplc="F0E8B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02844"/>
    <w:multiLevelType w:val="hybridMultilevel"/>
    <w:tmpl w:val="C4DC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E13A7"/>
    <w:multiLevelType w:val="hybridMultilevel"/>
    <w:tmpl w:val="7EC02BD4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5D319A"/>
    <w:multiLevelType w:val="hybridMultilevel"/>
    <w:tmpl w:val="646282FA"/>
    <w:lvl w:ilvl="0" w:tplc="782001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C7BBC"/>
    <w:multiLevelType w:val="multilevel"/>
    <w:tmpl w:val="B512E2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7">
    <w:nsid w:val="56BF2913"/>
    <w:multiLevelType w:val="hybridMultilevel"/>
    <w:tmpl w:val="B51A4BC2"/>
    <w:lvl w:ilvl="0" w:tplc="45E60D26">
      <w:start w:val="1"/>
      <w:numFmt w:val="decimal"/>
      <w:pStyle w:val="KZ-nadpis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594411"/>
    <w:multiLevelType w:val="hybridMultilevel"/>
    <w:tmpl w:val="8D9C0494"/>
    <w:lvl w:ilvl="0" w:tplc="67AE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4D1805"/>
    <w:multiLevelType w:val="hybridMultilevel"/>
    <w:tmpl w:val="5290EF6A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C1A5E"/>
    <w:multiLevelType w:val="hybridMultilevel"/>
    <w:tmpl w:val="682CE736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60A98"/>
    <w:multiLevelType w:val="hybridMultilevel"/>
    <w:tmpl w:val="C960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C6C4">
      <w:numFmt w:val="bullet"/>
      <w:lvlText w:val="•"/>
      <w:lvlJc w:val="left"/>
      <w:pPr>
        <w:ind w:left="1440" w:hanging="360"/>
      </w:pPr>
      <w:rPr>
        <w:rFonts w:ascii="Arabic Typesetting" w:eastAsia="Times New Roman" w:hAnsi="Arabic Typesetting" w:cs="Arabic Typesetting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57399E"/>
    <w:multiLevelType w:val="hybridMultilevel"/>
    <w:tmpl w:val="FA926B96"/>
    <w:lvl w:ilvl="0" w:tplc="E01C13B6">
      <w:start w:val="1"/>
      <w:numFmt w:val="lowerLetter"/>
      <w:lvlText w:val="%1)"/>
      <w:lvlJc w:val="left"/>
      <w:pPr>
        <w:tabs>
          <w:tab w:val="num" w:pos="1104"/>
        </w:tabs>
        <w:ind w:left="1104" w:hanging="684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5D0423B5"/>
    <w:multiLevelType w:val="hybridMultilevel"/>
    <w:tmpl w:val="FC04C18C"/>
    <w:lvl w:ilvl="0" w:tplc="E1CE56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293727C"/>
    <w:multiLevelType w:val="hybridMultilevel"/>
    <w:tmpl w:val="BE7E58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F626B3"/>
    <w:multiLevelType w:val="hybridMultilevel"/>
    <w:tmpl w:val="E1343F18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61E5469"/>
    <w:multiLevelType w:val="hybridMultilevel"/>
    <w:tmpl w:val="2C8C52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91B774F"/>
    <w:multiLevelType w:val="hybridMultilevel"/>
    <w:tmpl w:val="64963762"/>
    <w:lvl w:ilvl="0" w:tplc="04050017">
      <w:start w:val="1"/>
      <w:numFmt w:val="bullet"/>
      <w:pStyle w:val="Fous"/>
      <w:lvlText w:val=""/>
      <w:lvlJc w:val="left"/>
      <w:pPr>
        <w:tabs>
          <w:tab w:val="num" w:pos="722"/>
        </w:tabs>
        <w:ind w:left="722" w:hanging="382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8">
    <w:nsid w:val="6FF60653"/>
    <w:multiLevelType w:val="hybridMultilevel"/>
    <w:tmpl w:val="FF88A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BB4BDA"/>
    <w:multiLevelType w:val="hybridMultilevel"/>
    <w:tmpl w:val="63BA68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CC39AE"/>
    <w:multiLevelType w:val="hybridMultilevel"/>
    <w:tmpl w:val="92F43E5C"/>
    <w:lvl w:ilvl="0" w:tplc="5EDEF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0A02FC"/>
    <w:multiLevelType w:val="hybridMultilevel"/>
    <w:tmpl w:val="ADF8B232"/>
    <w:lvl w:ilvl="0" w:tplc="685E6B7C">
      <w:start w:val="1"/>
      <w:numFmt w:val="upperRoman"/>
      <w:pStyle w:val="Nadpis5"/>
      <w:lvlText w:val="%1."/>
      <w:lvlJc w:val="right"/>
      <w:pPr>
        <w:tabs>
          <w:tab w:val="num" w:pos="540"/>
        </w:tabs>
        <w:ind w:left="540" w:hanging="18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57789B"/>
    <w:multiLevelType w:val="multilevel"/>
    <w:tmpl w:val="D76843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3">
    <w:nsid w:val="7BE71E62"/>
    <w:multiLevelType w:val="hybridMultilevel"/>
    <w:tmpl w:val="C84A6F4C"/>
    <w:lvl w:ilvl="0" w:tplc="712AE2EA">
      <w:start w:val="28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1"/>
  </w:num>
  <w:num w:numId="3">
    <w:abstractNumId w:val="37"/>
  </w:num>
  <w:num w:numId="4">
    <w:abstractNumId w:val="10"/>
  </w:num>
  <w:num w:numId="5">
    <w:abstractNumId w:val="21"/>
  </w:num>
  <w:num w:numId="6">
    <w:abstractNumId w:val="47"/>
  </w:num>
  <w:num w:numId="7">
    <w:abstractNumId w:val="31"/>
  </w:num>
  <w:num w:numId="8">
    <w:abstractNumId w:val="52"/>
  </w:num>
  <w:num w:numId="9">
    <w:abstractNumId w:val="17"/>
  </w:num>
  <w:num w:numId="10">
    <w:abstractNumId w:val="39"/>
  </w:num>
  <w:num w:numId="11">
    <w:abstractNumId w:val="24"/>
  </w:num>
  <w:num w:numId="12">
    <w:abstractNumId w:val="40"/>
  </w:num>
  <w:num w:numId="13">
    <w:abstractNumId w:val="38"/>
  </w:num>
  <w:num w:numId="14">
    <w:abstractNumId w:val="34"/>
  </w:num>
  <w:num w:numId="15">
    <w:abstractNumId w:val="36"/>
  </w:num>
  <w:num w:numId="16">
    <w:abstractNumId w:val="4"/>
  </w:num>
  <w:num w:numId="17">
    <w:abstractNumId w:val="30"/>
  </w:num>
  <w:num w:numId="18">
    <w:abstractNumId w:val="22"/>
  </w:num>
  <w:num w:numId="19">
    <w:abstractNumId w:val="19"/>
  </w:num>
  <w:num w:numId="20">
    <w:abstractNumId w:val="13"/>
  </w:num>
  <w:num w:numId="21">
    <w:abstractNumId w:val="5"/>
  </w:num>
  <w:num w:numId="22">
    <w:abstractNumId w:val="42"/>
  </w:num>
  <w:num w:numId="23">
    <w:abstractNumId w:val="46"/>
  </w:num>
  <w:num w:numId="24">
    <w:abstractNumId w:val="33"/>
  </w:num>
  <w:num w:numId="25">
    <w:abstractNumId w:val="23"/>
  </w:num>
  <w:num w:numId="26">
    <w:abstractNumId w:val="44"/>
  </w:num>
  <w:num w:numId="27">
    <w:abstractNumId w:val="45"/>
  </w:num>
  <w:num w:numId="28">
    <w:abstractNumId w:val="16"/>
  </w:num>
  <w:num w:numId="29">
    <w:abstractNumId w:val="14"/>
  </w:num>
  <w:num w:numId="30">
    <w:abstractNumId w:val="12"/>
  </w:num>
  <w:num w:numId="31">
    <w:abstractNumId w:val="11"/>
  </w:num>
  <w:num w:numId="32">
    <w:abstractNumId w:val="28"/>
  </w:num>
  <w:num w:numId="33">
    <w:abstractNumId w:val="43"/>
  </w:num>
  <w:num w:numId="34">
    <w:abstractNumId w:val="0"/>
  </w:num>
  <w:num w:numId="35">
    <w:abstractNumId w:val="26"/>
  </w:num>
  <w:num w:numId="36">
    <w:abstractNumId w:val="50"/>
  </w:num>
  <w:num w:numId="37">
    <w:abstractNumId w:val="35"/>
  </w:num>
  <w:num w:numId="38">
    <w:abstractNumId w:val="18"/>
  </w:num>
  <w:num w:numId="39">
    <w:abstractNumId w:val="29"/>
  </w:num>
  <w:num w:numId="40">
    <w:abstractNumId w:val="25"/>
  </w:num>
  <w:num w:numId="41">
    <w:abstractNumId w:val="9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7"/>
  </w:num>
  <w:num w:numId="45">
    <w:abstractNumId w:val="6"/>
  </w:num>
  <w:num w:numId="46">
    <w:abstractNumId w:val="32"/>
  </w:num>
  <w:num w:numId="47">
    <w:abstractNumId w:val="15"/>
  </w:num>
  <w:num w:numId="48">
    <w:abstractNumId w:val="20"/>
  </w:num>
  <w:num w:numId="49">
    <w:abstractNumId w:val="41"/>
  </w:num>
  <w:num w:numId="50">
    <w:abstractNumId w:val="48"/>
  </w:num>
  <w:num w:numId="51">
    <w:abstractNumId w:val="53"/>
  </w:num>
  <w:num w:numId="5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oNotShadeFormData/>
  <w:noPunctuationKerning/>
  <w:characterSpacingControl w:val="doNotCompress"/>
  <w:hdrShapeDefaults>
    <o:shapedefaults v:ext="edit" spidmax="53249">
      <o:colormru v:ext="edit" colors="#0045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14"/>
    <w:rsid w:val="00000D5B"/>
    <w:rsid w:val="00001C3F"/>
    <w:rsid w:val="00001DB9"/>
    <w:rsid w:val="0000206C"/>
    <w:rsid w:val="00002231"/>
    <w:rsid w:val="00002803"/>
    <w:rsid w:val="00002D0F"/>
    <w:rsid w:val="00003298"/>
    <w:rsid w:val="000032DA"/>
    <w:rsid w:val="0000479E"/>
    <w:rsid w:val="00005CA3"/>
    <w:rsid w:val="00005DB3"/>
    <w:rsid w:val="000110CA"/>
    <w:rsid w:val="0001135F"/>
    <w:rsid w:val="00011437"/>
    <w:rsid w:val="000121A1"/>
    <w:rsid w:val="00012362"/>
    <w:rsid w:val="000125B2"/>
    <w:rsid w:val="00012754"/>
    <w:rsid w:val="0001331E"/>
    <w:rsid w:val="00013AEC"/>
    <w:rsid w:val="000143D9"/>
    <w:rsid w:val="00014EB3"/>
    <w:rsid w:val="00014F67"/>
    <w:rsid w:val="00015A66"/>
    <w:rsid w:val="00016782"/>
    <w:rsid w:val="000170D5"/>
    <w:rsid w:val="000179F4"/>
    <w:rsid w:val="00017E1B"/>
    <w:rsid w:val="00020402"/>
    <w:rsid w:val="00020B08"/>
    <w:rsid w:val="00021329"/>
    <w:rsid w:val="00021A9A"/>
    <w:rsid w:val="000222E9"/>
    <w:rsid w:val="00022384"/>
    <w:rsid w:val="00022ECA"/>
    <w:rsid w:val="000259AD"/>
    <w:rsid w:val="00025D2C"/>
    <w:rsid w:val="0002606C"/>
    <w:rsid w:val="00027366"/>
    <w:rsid w:val="00027F59"/>
    <w:rsid w:val="00027F86"/>
    <w:rsid w:val="00027FB6"/>
    <w:rsid w:val="00030A55"/>
    <w:rsid w:val="0003190F"/>
    <w:rsid w:val="00031D54"/>
    <w:rsid w:val="00031EC0"/>
    <w:rsid w:val="00032808"/>
    <w:rsid w:val="00032A0B"/>
    <w:rsid w:val="00032D06"/>
    <w:rsid w:val="00037A8C"/>
    <w:rsid w:val="00037D9D"/>
    <w:rsid w:val="000424C6"/>
    <w:rsid w:val="00042C30"/>
    <w:rsid w:val="00042CF8"/>
    <w:rsid w:val="00042DCB"/>
    <w:rsid w:val="000433B4"/>
    <w:rsid w:val="00043D74"/>
    <w:rsid w:val="00044756"/>
    <w:rsid w:val="00046B1A"/>
    <w:rsid w:val="00046C51"/>
    <w:rsid w:val="0004794E"/>
    <w:rsid w:val="00047FCF"/>
    <w:rsid w:val="00050600"/>
    <w:rsid w:val="000511C4"/>
    <w:rsid w:val="00051226"/>
    <w:rsid w:val="00051469"/>
    <w:rsid w:val="00051A94"/>
    <w:rsid w:val="00051E71"/>
    <w:rsid w:val="0005210A"/>
    <w:rsid w:val="000524E1"/>
    <w:rsid w:val="00052DF5"/>
    <w:rsid w:val="0005313C"/>
    <w:rsid w:val="000538E6"/>
    <w:rsid w:val="00054EBE"/>
    <w:rsid w:val="00054EFC"/>
    <w:rsid w:val="000553D0"/>
    <w:rsid w:val="000559B9"/>
    <w:rsid w:val="000559E1"/>
    <w:rsid w:val="00056A60"/>
    <w:rsid w:val="000571B2"/>
    <w:rsid w:val="00057EB8"/>
    <w:rsid w:val="0006059A"/>
    <w:rsid w:val="000608AB"/>
    <w:rsid w:val="00060ADA"/>
    <w:rsid w:val="0006168E"/>
    <w:rsid w:val="000622FC"/>
    <w:rsid w:val="0006230D"/>
    <w:rsid w:val="000623CC"/>
    <w:rsid w:val="00062D40"/>
    <w:rsid w:val="0006365A"/>
    <w:rsid w:val="00064A18"/>
    <w:rsid w:val="000653A0"/>
    <w:rsid w:val="00065D17"/>
    <w:rsid w:val="00066758"/>
    <w:rsid w:val="00066EAB"/>
    <w:rsid w:val="00067C50"/>
    <w:rsid w:val="00067CD6"/>
    <w:rsid w:val="00070864"/>
    <w:rsid w:val="00071290"/>
    <w:rsid w:val="00072966"/>
    <w:rsid w:val="00072A73"/>
    <w:rsid w:val="0007325B"/>
    <w:rsid w:val="00075B50"/>
    <w:rsid w:val="000760BC"/>
    <w:rsid w:val="00076A8F"/>
    <w:rsid w:val="00076DD7"/>
    <w:rsid w:val="00076DE3"/>
    <w:rsid w:val="00082033"/>
    <w:rsid w:val="00082119"/>
    <w:rsid w:val="00082316"/>
    <w:rsid w:val="000824FB"/>
    <w:rsid w:val="00082E84"/>
    <w:rsid w:val="00085048"/>
    <w:rsid w:val="0008514A"/>
    <w:rsid w:val="0008591C"/>
    <w:rsid w:val="00086718"/>
    <w:rsid w:val="00087808"/>
    <w:rsid w:val="00087A29"/>
    <w:rsid w:val="0009084B"/>
    <w:rsid w:val="00090871"/>
    <w:rsid w:val="00090FC6"/>
    <w:rsid w:val="00092904"/>
    <w:rsid w:val="00092B35"/>
    <w:rsid w:val="00092B3A"/>
    <w:rsid w:val="000931CC"/>
    <w:rsid w:val="000935FD"/>
    <w:rsid w:val="00093BBC"/>
    <w:rsid w:val="00093BD6"/>
    <w:rsid w:val="000943CA"/>
    <w:rsid w:val="00094565"/>
    <w:rsid w:val="00094C65"/>
    <w:rsid w:val="00094CB0"/>
    <w:rsid w:val="00096467"/>
    <w:rsid w:val="000966F3"/>
    <w:rsid w:val="000967FA"/>
    <w:rsid w:val="00096AD8"/>
    <w:rsid w:val="00096F52"/>
    <w:rsid w:val="000971E7"/>
    <w:rsid w:val="000974F5"/>
    <w:rsid w:val="00097EF7"/>
    <w:rsid w:val="000A030D"/>
    <w:rsid w:val="000A1951"/>
    <w:rsid w:val="000A2CB2"/>
    <w:rsid w:val="000A4645"/>
    <w:rsid w:val="000A4BAA"/>
    <w:rsid w:val="000A5209"/>
    <w:rsid w:val="000A582D"/>
    <w:rsid w:val="000A591E"/>
    <w:rsid w:val="000A6120"/>
    <w:rsid w:val="000A668A"/>
    <w:rsid w:val="000A6FCA"/>
    <w:rsid w:val="000A74A1"/>
    <w:rsid w:val="000A7BD6"/>
    <w:rsid w:val="000B00B0"/>
    <w:rsid w:val="000B0490"/>
    <w:rsid w:val="000B23BB"/>
    <w:rsid w:val="000B2614"/>
    <w:rsid w:val="000B37C2"/>
    <w:rsid w:val="000B3A62"/>
    <w:rsid w:val="000B3E51"/>
    <w:rsid w:val="000B4171"/>
    <w:rsid w:val="000B5390"/>
    <w:rsid w:val="000B606C"/>
    <w:rsid w:val="000B72BE"/>
    <w:rsid w:val="000C01E4"/>
    <w:rsid w:val="000C0410"/>
    <w:rsid w:val="000C04E7"/>
    <w:rsid w:val="000C0AEB"/>
    <w:rsid w:val="000C16CA"/>
    <w:rsid w:val="000C21CF"/>
    <w:rsid w:val="000C2B91"/>
    <w:rsid w:val="000C31DE"/>
    <w:rsid w:val="000C3FFE"/>
    <w:rsid w:val="000C45C9"/>
    <w:rsid w:val="000C48A5"/>
    <w:rsid w:val="000C4936"/>
    <w:rsid w:val="000C5679"/>
    <w:rsid w:val="000C637D"/>
    <w:rsid w:val="000C6832"/>
    <w:rsid w:val="000C6B60"/>
    <w:rsid w:val="000C7730"/>
    <w:rsid w:val="000D0181"/>
    <w:rsid w:val="000D13E4"/>
    <w:rsid w:val="000D1B14"/>
    <w:rsid w:val="000D1F8E"/>
    <w:rsid w:val="000D1FAD"/>
    <w:rsid w:val="000D240F"/>
    <w:rsid w:val="000D39CA"/>
    <w:rsid w:val="000D44B7"/>
    <w:rsid w:val="000D5024"/>
    <w:rsid w:val="000D54EB"/>
    <w:rsid w:val="000D57B1"/>
    <w:rsid w:val="000D66A2"/>
    <w:rsid w:val="000D7981"/>
    <w:rsid w:val="000E0ABD"/>
    <w:rsid w:val="000E31F4"/>
    <w:rsid w:val="000E3398"/>
    <w:rsid w:val="000E391B"/>
    <w:rsid w:val="000E4057"/>
    <w:rsid w:val="000E4B7B"/>
    <w:rsid w:val="000E4BFA"/>
    <w:rsid w:val="000E4F4E"/>
    <w:rsid w:val="000E5543"/>
    <w:rsid w:val="000E5D91"/>
    <w:rsid w:val="000E6241"/>
    <w:rsid w:val="000E6484"/>
    <w:rsid w:val="000E67B0"/>
    <w:rsid w:val="000E6B89"/>
    <w:rsid w:val="000E6BBB"/>
    <w:rsid w:val="000E6EA1"/>
    <w:rsid w:val="000E7119"/>
    <w:rsid w:val="000E78C5"/>
    <w:rsid w:val="000F00DA"/>
    <w:rsid w:val="000F0135"/>
    <w:rsid w:val="000F0589"/>
    <w:rsid w:val="000F05FB"/>
    <w:rsid w:val="000F130C"/>
    <w:rsid w:val="000F2CBE"/>
    <w:rsid w:val="000F3478"/>
    <w:rsid w:val="000F4335"/>
    <w:rsid w:val="000F445A"/>
    <w:rsid w:val="000F4A48"/>
    <w:rsid w:val="000F5389"/>
    <w:rsid w:val="000F5998"/>
    <w:rsid w:val="000F6AD8"/>
    <w:rsid w:val="000F70DC"/>
    <w:rsid w:val="000F71C6"/>
    <w:rsid w:val="000F7377"/>
    <w:rsid w:val="001012B4"/>
    <w:rsid w:val="0010188B"/>
    <w:rsid w:val="00102EB7"/>
    <w:rsid w:val="00103819"/>
    <w:rsid w:val="0010387C"/>
    <w:rsid w:val="001038FE"/>
    <w:rsid w:val="00103A87"/>
    <w:rsid w:val="00103B3C"/>
    <w:rsid w:val="00104C11"/>
    <w:rsid w:val="001050D5"/>
    <w:rsid w:val="001069B6"/>
    <w:rsid w:val="00106AD1"/>
    <w:rsid w:val="00106F84"/>
    <w:rsid w:val="001070CE"/>
    <w:rsid w:val="00110138"/>
    <w:rsid w:val="00112195"/>
    <w:rsid w:val="00112A3F"/>
    <w:rsid w:val="0011357C"/>
    <w:rsid w:val="00113872"/>
    <w:rsid w:val="001143A3"/>
    <w:rsid w:val="00114439"/>
    <w:rsid w:val="00114801"/>
    <w:rsid w:val="001151BC"/>
    <w:rsid w:val="00115312"/>
    <w:rsid w:val="00115C2B"/>
    <w:rsid w:val="00116247"/>
    <w:rsid w:val="00116B59"/>
    <w:rsid w:val="00117305"/>
    <w:rsid w:val="00117776"/>
    <w:rsid w:val="00117BF5"/>
    <w:rsid w:val="0012033D"/>
    <w:rsid w:val="00120A5E"/>
    <w:rsid w:val="00120D6A"/>
    <w:rsid w:val="00121517"/>
    <w:rsid w:val="00121869"/>
    <w:rsid w:val="00122630"/>
    <w:rsid w:val="001233B8"/>
    <w:rsid w:val="0012357A"/>
    <w:rsid w:val="0012439E"/>
    <w:rsid w:val="00124F24"/>
    <w:rsid w:val="00125E68"/>
    <w:rsid w:val="00126DED"/>
    <w:rsid w:val="00127250"/>
    <w:rsid w:val="00127DF4"/>
    <w:rsid w:val="00130519"/>
    <w:rsid w:val="001310A4"/>
    <w:rsid w:val="00131367"/>
    <w:rsid w:val="001313CA"/>
    <w:rsid w:val="0013170D"/>
    <w:rsid w:val="001319CE"/>
    <w:rsid w:val="00131CA3"/>
    <w:rsid w:val="00132087"/>
    <w:rsid w:val="00132672"/>
    <w:rsid w:val="001328D8"/>
    <w:rsid w:val="00133F7E"/>
    <w:rsid w:val="0013459C"/>
    <w:rsid w:val="00134AFF"/>
    <w:rsid w:val="00135034"/>
    <w:rsid w:val="0013548C"/>
    <w:rsid w:val="00135976"/>
    <w:rsid w:val="0013626C"/>
    <w:rsid w:val="00136711"/>
    <w:rsid w:val="0014208A"/>
    <w:rsid w:val="00142106"/>
    <w:rsid w:val="00142AFA"/>
    <w:rsid w:val="0014387A"/>
    <w:rsid w:val="00144D8E"/>
    <w:rsid w:val="00147818"/>
    <w:rsid w:val="001479A2"/>
    <w:rsid w:val="00147DF8"/>
    <w:rsid w:val="001501D4"/>
    <w:rsid w:val="0015047E"/>
    <w:rsid w:val="001515A7"/>
    <w:rsid w:val="00152103"/>
    <w:rsid w:val="0015230A"/>
    <w:rsid w:val="001523CD"/>
    <w:rsid w:val="001525BA"/>
    <w:rsid w:val="00152CE4"/>
    <w:rsid w:val="00153A60"/>
    <w:rsid w:val="00155ED0"/>
    <w:rsid w:val="00156232"/>
    <w:rsid w:val="0015654B"/>
    <w:rsid w:val="00156677"/>
    <w:rsid w:val="00156EB1"/>
    <w:rsid w:val="001571D2"/>
    <w:rsid w:val="001571E6"/>
    <w:rsid w:val="00157385"/>
    <w:rsid w:val="0015741A"/>
    <w:rsid w:val="00157554"/>
    <w:rsid w:val="00157EC7"/>
    <w:rsid w:val="00160577"/>
    <w:rsid w:val="00161D19"/>
    <w:rsid w:val="00162409"/>
    <w:rsid w:val="00162537"/>
    <w:rsid w:val="00162D4B"/>
    <w:rsid w:val="00163249"/>
    <w:rsid w:val="00163786"/>
    <w:rsid w:val="001642D3"/>
    <w:rsid w:val="0016476F"/>
    <w:rsid w:val="00164E10"/>
    <w:rsid w:val="0016524D"/>
    <w:rsid w:val="00165A2D"/>
    <w:rsid w:val="00165AFD"/>
    <w:rsid w:val="0016697F"/>
    <w:rsid w:val="001671B5"/>
    <w:rsid w:val="0016743C"/>
    <w:rsid w:val="00167A59"/>
    <w:rsid w:val="00167EC3"/>
    <w:rsid w:val="00170002"/>
    <w:rsid w:val="00170ECC"/>
    <w:rsid w:val="00171808"/>
    <w:rsid w:val="00172300"/>
    <w:rsid w:val="0017252E"/>
    <w:rsid w:val="00172664"/>
    <w:rsid w:val="00173499"/>
    <w:rsid w:val="0017393F"/>
    <w:rsid w:val="00173A45"/>
    <w:rsid w:val="0017745A"/>
    <w:rsid w:val="00177818"/>
    <w:rsid w:val="00177E67"/>
    <w:rsid w:val="001800C8"/>
    <w:rsid w:val="00180FE1"/>
    <w:rsid w:val="00181F08"/>
    <w:rsid w:val="00182A10"/>
    <w:rsid w:val="00182AA2"/>
    <w:rsid w:val="00182B27"/>
    <w:rsid w:val="00183F42"/>
    <w:rsid w:val="001844CA"/>
    <w:rsid w:val="001846C6"/>
    <w:rsid w:val="00185A46"/>
    <w:rsid w:val="00185C21"/>
    <w:rsid w:val="0018603C"/>
    <w:rsid w:val="00186E5A"/>
    <w:rsid w:val="0018718E"/>
    <w:rsid w:val="0019010E"/>
    <w:rsid w:val="00190DE9"/>
    <w:rsid w:val="00190F2B"/>
    <w:rsid w:val="001913D2"/>
    <w:rsid w:val="0019197A"/>
    <w:rsid w:val="0019255C"/>
    <w:rsid w:val="001928F8"/>
    <w:rsid w:val="00192C89"/>
    <w:rsid w:val="00193B1A"/>
    <w:rsid w:val="00193FE8"/>
    <w:rsid w:val="001940F3"/>
    <w:rsid w:val="0019449A"/>
    <w:rsid w:val="00194F5F"/>
    <w:rsid w:val="00195237"/>
    <w:rsid w:val="00195818"/>
    <w:rsid w:val="001960F0"/>
    <w:rsid w:val="00196687"/>
    <w:rsid w:val="00197604"/>
    <w:rsid w:val="00197C4B"/>
    <w:rsid w:val="00197DB8"/>
    <w:rsid w:val="001A0132"/>
    <w:rsid w:val="001A03EC"/>
    <w:rsid w:val="001A1847"/>
    <w:rsid w:val="001A28EF"/>
    <w:rsid w:val="001A33FB"/>
    <w:rsid w:val="001A3F48"/>
    <w:rsid w:val="001A4216"/>
    <w:rsid w:val="001A42D3"/>
    <w:rsid w:val="001A50F0"/>
    <w:rsid w:val="001A5C19"/>
    <w:rsid w:val="001A60AA"/>
    <w:rsid w:val="001A7162"/>
    <w:rsid w:val="001A776C"/>
    <w:rsid w:val="001A7D88"/>
    <w:rsid w:val="001B0779"/>
    <w:rsid w:val="001B1AD9"/>
    <w:rsid w:val="001B28DF"/>
    <w:rsid w:val="001B298A"/>
    <w:rsid w:val="001B3FB5"/>
    <w:rsid w:val="001B503D"/>
    <w:rsid w:val="001B596B"/>
    <w:rsid w:val="001B5F48"/>
    <w:rsid w:val="001B602A"/>
    <w:rsid w:val="001B64B1"/>
    <w:rsid w:val="001B778B"/>
    <w:rsid w:val="001C017E"/>
    <w:rsid w:val="001C0412"/>
    <w:rsid w:val="001C2226"/>
    <w:rsid w:val="001C2580"/>
    <w:rsid w:val="001C27DF"/>
    <w:rsid w:val="001C3046"/>
    <w:rsid w:val="001C5ED5"/>
    <w:rsid w:val="001C630E"/>
    <w:rsid w:val="001C6D17"/>
    <w:rsid w:val="001C70D1"/>
    <w:rsid w:val="001C7FC9"/>
    <w:rsid w:val="001D17BA"/>
    <w:rsid w:val="001D3501"/>
    <w:rsid w:val="001D3B45"/>
    <w:rsid w:val="001D3E37"/>
    <w:rsid w:val="001D3F86"/>
    <w:rsid w:val="001D48BF"/>
    <w:rsid w:val="001D4F22"/>
    <w:rsid w:val="001D50E6"/>
    <w:rsid w:val="001D539F"/>
    <w:rsid w:val="001D5877"/>
    <w:rsid w:val="001D6B75"/>
    <w:rsid w:val="001D6FAC"/>
    <w:rsid w:val="001E0584"/>
    <w:rsid w:val="001E059B"/>
    <w:rsid w:val="001E073B"/>
    <w:rsid w:val="001E0BF2"/>
    <w:rsid w:val="001E127E"/>
    <w:rsid w:val="001E284B"/>
    <w:rsid w:val="001E39C6"/>
    <w:rsid w:val="001E3C3E"/>
    <w:rsid w:val="001E446C"/>
    <w:rsid w:val="001E4547"/>
    <w:rsid w:val="001E491D"/>
    <w:rsid w:val="001E5A54"/>
    <w:rsid w:val="001E6DA0"/>
    <w:rsid w:val="001E7302"/>
    <w:rsid w:val="001E7ACE"/>
    <w:rsid w:val="001E7DFA"/>
    <w:rsid w:val="001E7EA4"/>
    <w:rsid w:val="001F02EC"/>
    <w:rsid w:val="001F0598"/>
    <w:rsid w:val="001F06D8"/>
    <w:rsid w:val="001F07AB"/>
    <w:rsid w:val="001F0B25"/>
    <w:rsid w:val="001F18A9"/>
    <w:rsid w:val="001F1E9B"/>
    <w:rsid w:val="001F1FDA"/>
    <w:rsid w:val="001F3196"/>
    <w:rsid w:val="001F3756"/>
    <w:rsid w:val="001F396B"/>
    <w:rsid w:val="001F5132"/>
    <w:rsid w:val="001F5AC4"/>
    <w:rsid w:val="001F6444"/>
    <w:rsid w:val="001F677B"/>
    <w:rsid w:val="001F6D00"/>
    <w:rsid w:val="001F6FB3"/>
    <w:rsid w:val="002001A8"/>
    <w:rsid w:val="00200C4C"/>
    <w:rsid w:val="002013AB"/>
    <w:rsid w:val="00203A07"/>
    <w:rsid w:val="00203B48"/>
    <w:rsid w:val="002043C0"/>
    <w:rsid w:val="00205A42"/>
    <w:rsid w:val="00205DD5"/>
    <w:rsid w:val="00206D92"/>
    <w:rsid w:val="00206F9B"/>
    <w:rsid w:val="0020739A"/>
    <w:rsid w:val="0020767C"/>
    <w:rsid w:val="00207724"/>
    <w:rsid w:val="002102FB"/>
    <w:rsid w:val="00211078"/>
    <w:rsid w:val="00211790"/>
    <w:rsid w:val="0021195C"/>
    <w:rsid w:val="00211976"/>
    <w:rsid w:val="00212410"/>
    <w:rsid w:val="00212449"/>
    <w:rsid w:val="0021279B"/>
    <w:rsid w:val="0021293E"/>
    <w:rsid w:val="002130AF"/>
    <w:rsid w:val="002131A3"/>
    <w:rsid w:val="002138F3"/>
    <w:rsid w:val="00213CFB"/>
    <w:rsid w:val="00214027"/>
    <w:rsid w:val="00214752"/>
    <w:rsid w:val="0021557A"/>
    <w:rsid w:val="00215811"/>
    <w:rsid w:val="00217DA5"/>
    <w:rsid w:val="00220799"/>
    <w:rsid w:val="00220CD4"/>
    <w:rsid w:val="0022105C"/>
    <w:rsid w:val="0022109A"/>
    <w:rsid w:val="002210EF"/>
    <w:rsid w:val="002222BE"/>
    <w:rsid w:val="002226B7"/>
    <w:rsid w:val="00222D70"/>
    <w:rsid w:val="00223334"/>
    <w:rsid w:val="002233A4"/>
    <w:rsid w:val="002252ED"/>
    <w:rsid w:val="00225B89"/>
    <w:rsid w:val="00225DCF"/>
    <w:rsid w:val="0022657E"/>
    <w:rsid w:val="00226728"/>
    <w:rsid w:val="00226B9F"/>
    <w:rsid w:val="00226CBE"/>
    <w:rsid w:val="0022713F"/>
    <w:rsid w:val="00230250"/>
    <w:rsid w:val="0023196C"/>
    <w:rsid w:val="002320A9"/>
    <w:rsid w:val="00232174"/>
    <w:rsid w:val="00232389"/>
    <w:rsid w:val="00232625"/>
    <w:rsid w:val="00233476"/>
    <w:rsid w:val="00233502"/>
    <w:rsid w:val="002351F9"/>
    <w:rsid w:val="00235382"/>
    <w:rsid w:val="0023618D"/>
    <w:rsid w:val="00236A6E"/>
    <w:rsid w:val="00241482"/>
    <w:rsid w:val="00242169"/>
    <w:rsid w:val="0024238D"/>
    <w:rsid w:val="002427EB"/>
    <w:rsid w:val="0024283B"/>
    <w:rsid w:val="00242FD0"/>
    <w:rsid w:val="0024344A"/>
    <w:rsid w:val="002449FA"/>
    <w:rsid w:val="00244D9F"/>
    <w:rsid w:val="002453FB"/>
    <w:rsid w:val="00245E3B"/>
    <w:rsid w:val="00246CD7"/>
    <w:rsid w:val="0024742A"/>
    <w:rsid w:val="002475AB"/>
    <w:rsid w:val="00251524"/>
    <w:rsid w:val="00251755"/>
    <w:rsid w:val="0025200F"/>
    <w:rsid w:val="00252629"/>
    <w:rsid w:val="00252DB0"/>
    <w:rsid w:val="0025368A"/>
    <w:rsid w:val="00253885"/>
    <w:rsid w:val="00253B88"/>
    <w:rsid w:val="00253FA9"/>
    <w:rsid w:val="002555E7"/>
    <w:rsid w:val="0025640B"/>
    <w:rsid w:val="002566DC"/>
    <w:rsid w:val="002569B5"/>
    <w:rsid w:val="00256C88"/>
    <w:rsid w:val="00256D96"/>
    <w:rsid w:val="00257002"/>
    <w:rsid w:val="00257908"/>
    <w:rsid w:val="00260540"/>
    <w:rsid w:val="0026068B"/>
    <w:rsid w:val="002611BA"/>
    <w:rsid w:val="00261AE5"/>
    <w:rsid w:val="0026218D"/>
    <w:rsid w:val="00262C85"/>
    <w:rsid w:val="00263A1C"/>
    <w:rsid w:val="00264159"/>
    <w:rsid w:val="00264271"/>
    <w:rsid w:val="0026430E"/>
    <w:rsid w:val="002644D7"/>
    <w:rsid w:val="002645D4"/>
    <w:rsid w:val="00265469"/>
    <w:rsid w:val="00265B73"/>
    <w:rsid w:val="00265E80"/>
    <w:rsid w:val="00266413"/>
    <w:rsid w:val="002676FC"/>
    <w:rsid w:val="002679C9"/>
    <w:rsid w:val="00270DCD"/>
    <w:rsid w:val="00270EA1"/>
    <w:rsid w:val="002729F0"/>
    <w:rsid w:val="00273027"/>
    <w:rsid w:val="0027345D"/>
    <w:rsid w:val="0027372C"/>
    <w:rsid w:val="00274567"/>
    <w:rsid w:val="00274AEF"/>
    <w:rsid w:val="00275145"/>
    <w:rsid w:val="0027526B"/>
    <w:rsid w:val="0027597A"/>
    <w:rsid w:val="00276D49"/>
    <w:rsid w:val="0027770A"/>
    <w:rsid w:val="00280671"/>
    <w:rsid w:val="00280D6F"/>
    <w:rsid w:val="0028122F"/>
    <w:rsid w:val="002820FC"/>
    <w:rsid w:val="002823EF"/>
    <w:rsid w:val="0028243A"/>
    <w:rsid w:val="00282721"/>
    <w:rsid w:val="00282BEB"/>
    <w:rsid w:val="00283C5E"/>
    <w:rsid w:val="002846F5"/>
    <w:rsid w:val="0028472E"/>
    <w:rsid w:val="002858C5"/>
    <w:rsid w:val="002859BA"/>
    <w:rsid w:val="00286638"/>
    <w:rsid w:val="00287082"/>
    <w:rsid w:val="00290518"/>
    <w:rsid w:val="002906CD"/>
    <w:rsid w:val="00290839"/>
    <w:rsid w:val="002908B0"/>
    <w:rsid w:val="002917C6"/>
    <w:rsid w:val="00291A32"/>
    <w:rsid w:val="00293425"/>
    <w:rsid w:val="00293765"/>
    <w:rsid w:val="00293AE4"/>
    <w:rsid w:val="00294410"/>
    <w:rsid w:val="00294B5C"/>
    <w:rsid w:val="00295F3C"/>
    <w:rsid w:val="00296BF4"/>
    <w:rsid w:val="002971BA"/>
    <w:rsid w:val="002A176A"/>
    <w:rsid w:val="002A2576"/>
    <w:rsid w:val="002A3869"/>
    <w:rsid w:val="002A3FC3"/>
    <w:rsid w:val="002A5AE1"/>
    <w:rsid w:val="002A5FE3"/>
    <w:rsid w:val="002A633A"/>
    <w:rsid w:val="002A73C6"/>
    <w:rsid w:val="002A76BA"/>
    <w:rsid w:val="002B0719"/>
    <w:rsid w:val="002B0987"/>
    <w:rsid w:val="002B0E1C"/>
    <w:rsid w:val="002B10CC"/>
    <w:rsid w:val="002B291B"/>
    <w:rsid w:val="002B3270"/>
    <w:rsid w:val="002B348E"/>
    <w:rsid w:val="002B3C99"/>
    <w:rsid w:val="002B3FF6"/>
    <w:rsid w:val="002B43E7"/>
    <w:rsid w:val="002B4409"/>
    <w:rsid w:val="002B495D"/>
    <w:rsid w:val="002B72D3"/>
    <w:rsid w:val="002B7B2E"/>
    <w:rsid w:val="002C007D"/>
    <w:rsid w:val="002C02D1"/>
    <w:rsid w:val="002C0B39"/>
    <w:rsid w:val="002C0F75"/>
    <w:rsid w:val="002C1200"/>
    <w:rsid w:val="002C1465"/>
    <w:rsid w:val="002C2A12"/>
    <w:rsid w:val="002C33A0"/>
    <w:rsid w:val="002C4130"/>
    <w:rsid w:val="002C42FB"/>
    <w:rsid w:val="002C43D0"/>
    <w:rsid w:val="002C4E48"/>
    <w:rsid w:val="002C520E"/>
    <w:rsid w:val="002C54AF"/>
    <w:rsid w:val="002C59B5"/>
    <w:rsid w:val="002C5C4F"/>
    <w:rsid w:val="002C62E7"/>
    <w:rsid w:val="002C6FD1"/>
    <w:rsid w:val="002C7EE0"/>
    <w:rsid w:val="002D0095"/>
    <w:rsid w:val="002D029F"/>
    <w:rsid w:val="002D0C60"/>
    <w:rsid w:val="002D0CDF"/>
    <w:rsid w:val="002D0FD3"/>
    <w:rsid w:val="002D119A"/>
    <w:rsid w:val="002D122C"/>
    <w:rsid w:val="002D1345"/>
    <w:rsid w:val="002D16E5"/>
    <w:rsid w:val="002D1C31"/>
    <w:rsid w:val="002D200C"/>
    <w:rsid w:val="002D28B2"/>
    <w:rsid w:val="002D2B83"/>
    <w:rsid w:val="002D2E76"/>
    <w:rsid w:val="002D35CF"/>
    <w:rsid w:val="002D3733"/>
    <w:rsid w:val="002D37E5"/>
    <w:rsid w:val="002D3966"/>
    <w:rsid w:val="002D3AA2"/>
    <w:rsid w:val="002D3B24"/>
    <w:rsid w:val="002D3D03"/>
    <w:rsid w:val="002D3E76"/>
    <w:rsid w:val="002D482F"/>
    <w:rsid w:val="002D5E92"/>
    <w:rsid w:val="002D5FED"/>
    <w:rsid w:val="002D6375"/>
    <w:rsid w:val="002D6682"/>
    <w:rsid w:val="002D6B57"/>
    <w:rsid w:val="002D7002"/>
    <w:rsid w:val="002D7090"/>
    <w:rsid w:val="002D715A"/>
    <w:rsid w:val="002D7510"/>
    <w:rsid w:val="002D7C60"/>
    <w:rsid w:val="002E022F"/>
    <w:rsid w:val="002E1F43"/>
    <w:rsid w:val="002E21C0"/>
    <w:rsid w:val="002E23B4"/>
    <w:rsid w:val="002E2488"/>
    <w:rsid w:val="002E2CCE"/>
    <w:rsid w:val="002E469C"/>
    <w:rsid w:val="002E4DB4"/>
    <w:rsid w:val="002E6566"/>
    <w:rsid w:val="002E6C92"/>
    <w:rsid w:val="002E6D18"/>
    <w:rsid w:val="002F026E"/>
    <w:rsid w:val="002F08BD"/>
    <w:rsid w:val="002F101E"/>
    <w:rsid w:val="002F1308"/>
    <w:rsid w:val="002F1CB8"/>
    <w:rsid w:val="002F1DF9"/>
    <w:rsid w:val="002F219D"/>
    <w:rsid w:val="002F2B34"/>
    <w:rsid w:val="002F37FA"/>
    <w:rsid w:val="002F3EE9"/>
    <w:rsid w:val="002F6FC6"/>
    <w:rsid w:val="002F7A33"/>
    <w:rsid w:val="00300971"/>
    <w:rsid w:val="003009D1"/>
    <w:rsid w:val="00301B29"/>
    <w:rsid w:val="00301BCF"/>
    <w:rsid w:val="00301FFA"/>
    <w:rsid w:val="00302C54"/>
    <w:rsid w:val="0030319A"/>
    <w:rsid w:val="00303468"/>
    <w:rsid w:val="00303EFF"/>
    <w:rsid w:val="00304546"/>
    <w:rsid w:val="003046AA"/>
    <w:rsid w:val="00305E40"/>
    <w:rsid w:val="00306C82"/>
    <w:rsid w:val="00306E77"/>
    <w:rsid w:val="00307241"/>
    <w:rsid w:val="00307A42"/>
    <w:rsid w:val="00307B42"/>
    <w:rsid w:val="00310007"/>
    <w:rsid w:val="00310125"/>
    <w:rsid w:val="00310768"/>
    <w:rsid w:val="003109A8"/>
    <w:rsid w:val="00311DB4"/>
    <w:rsid w:val="0031288F"/>
    <w:rsid w:val="003129F6"/>
    <w:rsid w:val="00313835"/>
    <w:rsid w:val="0031392C"/>
    <w:rsid w:val="00315BEE"/>
    <w:rsid w:val="003161D2"/>
    <w:rsid w:val="0031723E"/>
    <w:rsid w:val="003216A1"/>
    <w:rsid w:val="00322542"/>
    <w:rsid w:val="00323FAF"/>
    <w:rsid w:val="00324123"/>
    <w:rsid w:val="003244D3"/>
    <w:rsid w:val="003252CA"/>
    <w:rsid w:val="0032552D"/>
    <w:rsid w:val="00327223"/>
    <w:rsid w:val="00327309"/>
    <w:rsid w:val="00330C14"/>
    <w:rsid w:val="0033133D"/>
    <w:rsid w:val="00331908"/>
    <w:rsid w:val="00331EE2"/>
    <w:rsid w:val="00332813"/>
    <w:rsid w:val="00332F73"/>
    <w:rsid w:val="00333052"/>
    <w:rsid w:val="00333950"/>
    <w:rsid w:val="00334049"/>
    <w:rsid w:val="00334530"/>
    <w:rsid w:val="00334720"/>
    <w:rsid w:val="003347E4"/>
    <w:rsid w:val="00334AEA"/>
    <w:rsid w:val="00334B40"/>
    <w:rsid w:val="003357A0"/>
    <w:rsid w:val="00335970"/>
    <w:rsid w:val="003379EE"/>
    <w:rsid w:val="00340C7D"/>
    <w:rsid w:val="0034131F"/>
    <w:rsid w:val="0034170D"/>
    <w:rsid w:val="00341F56"/>
    <w:rsid w:val="00342E98"/>
    <w:rsid w:val="003436FD"/>
    <w:rsid w:val="00343720"/>
    <w:rsid w:val="00343DDC"/>
    <w:rsid w:val="00344B3B"/>
    <w:rsid w:val="00344BE1"/>
    <w:rsid w:val="00345A91"/>
    <w:rsid w:val="003465AA"/>
    <w:rsid w:val="003468CF"/>
    <w:rsid w:val="003476A1"/>
    <w:rsid w:val="00350806"/>
    <w:rsid w:val="00350FB7"/>
    <w:rsid w:val="00351004"/>
    <w:rsid w:val="003514C5"/>
    <w:rsid w:val="00351BBC"/>
    <w:rsid w:val="00352735"/>
    <w:rsid w:val="00352A67"/>
    <w:rsid w:val="00352C91"/>
    <w:rsid w:val="0035326B"/>
    <w:rsid w:val="0035341C"/>
    <w:rsid w:val="0035355B"/>
    <w:rsid w:val="00353A4D"/>
    <w:rsid w:val="00353BC9"/>
    <w:rsid w:val="0035409A"/>
    <w:rsid w:val="003549FD"/>
    <w:rsid w:val="00354DFF"/>
    <w:rsid w:val="003553A3"/>
    <w:rsid w:val="003553B8"/>
    <w:rsid w:val="00355906"/>
    <w:rsid w:val="00355EDD"/>
    <w:rsid w:val="003562C2"/>
    <w:rsid w:val="00357884"/>
    <w:rsid w:val="003606CA"/>
    <w:rsid w:val="00363116"/>
    <w:rsid w:val="00364C4F"/>
    <w:rsid w:val="00364D58"/>
    <w:rsid w:val="003656D7"/>
    <w:rsid w:val="00365DDE"/>
    <w:rsid w:val="0036644E"/>
    <w:rsid w:val="0036681E"/>
    <w:rsid w:val="003671D1"/>
    <w:rsid w:val="00367377"/>
    <w:rsid w:val="00367F1D"/>
    <w:rsid w:val="00370A93"/>
    <w:rsid w:val="00370D04"/>
    <w:rsid w:val="00370E36"/>
    <w:rsid w:val="00371177"/>
    <w:rsid w:val="00371775"/>
    <w:rsid w:val="003726C6"/>
    <w:rsid w:val="003729AB"/>
    <w:rsid w:val="00373830"/>
    <w:rsid w:val="00373A2D"/>
    <w:rsid w:val="003740D2"/>
    <w:rsid w:val="00374133"/>
    <w:rsid w:val="0037497F"/>
    <w:rsid w:val="00374A8D"/>
    <w:rsid w:val="0037568B"/>
    <w:rsid w:val="00375710"/>
    <w:rsid w:val="00376523"/>
    <w:rsid w:val="00377256"/>
    <w:rsid w:val="003779ED"/>
    <w:rsid w:val="00377CFF"/>
    <w:rsid w:val="00377EC2"/>
    <w:rsid w:val="00382C58"/>
    <w:rsid w:val="00382E31"/>
    <w:rsid w:val="0038340F"/>
    <w:rsid w:val="00383436"/>
    <w:rsid w:val="00383667"/>
    <w:rsid w:val="0038485C"/>
    <w:rsid w:val="0038498F"/>
    <w:rsid w:val="00385C32"/>
    <w:rsid w:val="00385EA6"/>
    <w:rsid w:val="003860F0"/>
    <w:rsid w:val="00386F20"/>
    <w:rsid w:val="003875FA"/>
    <w:rsid w:val="003902A4"/>
    <w:rsid w:val="00392AC2"/>
    <w:rsid w:val="0039481B"/>
    <w:rsid w:val="003954AD"/>
    <w:rsid w:val="0039592C"/>
    <w:rsid w:val="00395973"/>
    <w:rsid w:val="00395C5C"/>
    <w:rsid w:val="00396868"/>
    <w:rsid w:val="00396ADF"/>
    <w:rsid w:val="003974D2"/>
    <w:rsid w:val="003975FF"/>
    <w:rsid w:val="003976E9"/>
    <w:rsid w:val="00397EE4"/>
    <w:rsid w:val="003A0779"/>
    <w:rsid w:val="003A0AF2"/>
    <w:rsid w:val="003A0D93"/>
    <w:rsid w:val="003A10F3"/>
    <w:rsid w:val="003A1BDC"/>
    <w:rsid w:val="003A1C3B"/>
    <w:rsid w:val="003A1C6E"/>
    <w:rsid w:val="003A2252"/>
    <w:rsid w:val="003A234F"/>
    <w:rsid w:val="003A3005"/>
    <w:rsid w:val="003A3476"/>
    <w:rsid w:val="003A4DCC"/>
    <w:rsid w:val="003A530A"/>
    <w:rsid w:val="003A583C"/>
    <w:rsid w:val="003A5E11"/>
    <w:rsid w:val="003A702E"/>
    <w:rsid w:val="003A71C4"/>
    <w:rsid w:val="003A7CB3"/>
    <w:rsid w:val="003B01D4"/>
    <w:rsid w:val="003B09D1"/>
    <w:rsid w:val="003B182C"/>
    <w:rsid w:val="003B1BAE"/>
    <w:rsid w:val="003B31B7"/>
    <w:rsid w:val="003B3DFA"/>
    <w:rsid w:val="003B42AD"/>
    <w:rsid w:val="003B43D9"/>
    <w:rsid w:val="003B4547"/>
    <w:rsid w:val="003B590F"/>
    <w:rsid w:val="003B681F"/>
    <w:rsid w:val="003C037E"/>
    <w:rsid w:val="003C03EA"/>
    <w:rsid w:val="003C05B3"/>
    <w:rsid w:val="003C1535"/>
    <w:rsid w:val="003C1A4F"/>
    <w:rsid w:val="003C2FC2"/>
    <w:rsid w:val="003C3BCB"/>
    <w:rsid w:val="003C3D4D"/>
    <w:rsid w:val="003C43EB"/>
    <w:rsid w:val="003C484F"/>
    <w:rsid w:val="003C510D"/>
    <w:rsid w:val="003C5616"/>
    <w:rsid w:val="003C59BE"/>
    <w:rsid w:val="003C5A43"/>
    <w:rsid w:val="003C5C4B"/>
    <w:rsid w:val="003C68B7"/>
    <w:rsid w:val="003D0370"/>
    <w:rsid w:val="003D092B"/>
    <w:rsid w:val="003D0C33"/>
    <w:rsid w:val="003D1383"/>
    <w:rsid w:val="003D1A00"/>
    <w:rsid w:val="003D1B34"/>
    <w:rsid w:val="003D24BA"/>
    <w:rsid w:val="003D25AE"/>
    <w:rsid w:val="003D268E"/>
    <w:rsid w:val="003D2C92"/>
    <w:rsid w:val="003D3021"/>
    <w:rsid w:val="003D37D0"/>
    <w:rsid w:val="003D395E"/>
    <w:rsid w:val="003D5245"/>
    <w:rsid w:val="003E0456"/>
    <w:rsid w:val="003E1077"/>
    <w:rsid w:val="003E15A1"/>
    <w:rsid w:val="003E2197"/>
    <w:rsid w:val="003E2267"/>
    <w:rsid w:val="003E4EB0"/>
    <w:rsid w:val="003E519B"/>
    <w:rsid w:val="003E55AE"/>
    <w:rsid w:val="003E5939"/>
    <w:rsid w:val="003E5BD6"/>
    <w:rsid w:val="003E7430"/>
    <w:rsid w:val="003E7505"/>
    <w:rsid w:val="003E77C2"/>
    <w:rsid w:val="003E7942"/>
    <w:rsid w:val="003E7E91"/>
    <w:rsid w:val="003E7FD8"/>
    <w:rsid w:val="003E7FF7"/>
    <w:rsid w:val="003F0F13"/>
    <w:rsid w:val="003F1749"/>
    <w:rsid w:val="003F1B3A"/>
    <w:rsid w:val="003F2445"/>
    <w:rsid w:val="003F2889"/>
    <w:rsid w:val="003F29A0"/>
    <w:rsid w:val="003F2C06"/>
    <w:rsid w:val="003F3DEE"/>
    <w:rsid w:val="003F4F28"/>
    <w:rsid w:val="003F57FB"/>
    <w:rsid w:val="003F59CE"/>
    <w:rsid w:val="003F5E51"/>
    <w:rsid w:val="003F5FEA"/>
    <w:rsid w:val="003F6E2D"/>
    <w:rsid w:val="003F7603"/>
    <w:rsid w:val="003F7BC1"/>
    <w:rsid w:val="00400677"/>
    <w:rsid w:val="00401135"/>
    <w:rsid w:val="0040145D"/>
    <w:rsid w:val="00401863"/>
    <w:rsid w:val="00402135"/>
    <w:rsid w:val="00402309"/>
    <w:rsid w:val="004029FE"/>
    <w:rsid w:val="00402A8B"/>
    <w:rsid w:val="0040401D"/>
    <w:rsid w:val="00404E8B"/>
    <w:rsid w:val="0040506D"/>
    <w:rsid w:val="004050F6"/>
    <w:rsid w:val="00405E75"/>
    <w:rsid w:val="0040626B"/>
    <w:rsid w:val="004071E8"/>
    <w:rsid w:val="00407514"/>
    <w:rsid w:val="004075E5"/>
    <w:rsid w:val="004075F5"/>
    <w:rsid w:val="00407C37"/>
    <w:rsid w:val="0041145D"/>
    <w:rsid w:val="0041149E"/>
    <w:rsid w:val="004116F9"/>
    <w:rsid w:val="0041238A"/>
    <w:rsid w:val="004123AF"/>
    <w:rsid w:val="004147A2"/>
    <w:rsid w:val="004148DE"/>
    <w:rsid w:val="00414AB2"/>
    <w:rsid w:val="0041506D"/>
    <w:rsid w:val="004156BE"/>
    <w:rsid w:val="00416877"/>
    <w:rsid w:val="00416BF6"/>
    <w:rsid w:val="00417F06"/>
    <w:rsid w:val="00420001"/>
    <w:rsid w:val="00420525"/>
    <w:rsid w:val="004207B4"/>
    <w:rsid w:val="00420C7C"/>
    <w:rsid w:val="004210CE"/>
    <w:rsid w:val="004212F3"/>
    <w:rsid w:val="00421ECF"/>
    <w:rsid w:val="00421F7C"/>
    <w:rsid w:val="00422264"/>
    <w:rsid w:val="00422E15"/>
    <w:rsid w:val="00423297"/>
    <w:rsid w:val="0042389B"/>
    <w:rsid w:val="00423C7C"/>
    <w:rsid w:val="00423E16"/>
    <w:rsid w:val="004240F2"/>
    <w:rsid w:val="00424201"/>
    <w:rsid w:val="00424811"/>
    <w:rsid w:val="004256D5"/>
    <w:rsid w:val="004257A4"/>
    <w:rsid w:val="0042664F"/>
    <w:rsid w:val="004266D0"/>
    <w:rsid w:val="00426955"/>
    <w:rsid w:val="004269D6"/>
    <w:rsid w:val="00426EF4"/>
    <w:rsid w:val="00427016"/>
    <w:rsid w:val="004271CC"/>
    <w:rsid w:val="004301BA"/>
    <w:rsid w:val="0043179C"/>
    <w:rsid w:val="0043183E"/>
    <w:rsid w:val="00431994"/>
    <w:rsid w:val="00431EC6"/>
    <w:rsid w:val="00432ECA"/>
    <w:rsid w:val="0043343B"/>
    <w:rsid w:val="004335AA"/>
    <w:rsid w:val="004338D8"/>
    <w:rsid w:val="004358CC"/>
    <w:rsid w:val="004363AF"/>
    <w:rsid w:val="00436AF9"/>
    <w:rsid w:val="00437328"/>
    <w:rsid w:val="00437A26"/>
    <w:rsid w:val="00440ADB"/>
    <w:rsid w:val="00442078"/>
    <w:rsid w:val="00443247"/>
    <w:rsid w:val="0044460C"/>
    <w:rsid w:val="00444E49"/>
    <w:rsid w:val="00445C9D"/>
    <w:rsid w:val="00445F18"/>
    <w:rsid w:val="004463E0"/>
    <w:rsid w:val="004464AD"/>
    <w:rsid w:val="004464F0"/>
    <w:rsid w:val="00446F2D"/>
    <w:rsid w:val="00447995"/>
    <w:rsid w:val="0045008C"/>
    <w:rsid w:val="00451E67"/>
    <w:rsid w:val="0045201A"/>
    <w:rsid w:val="00452226"/>
    <w:rsid w:val="004525A8"/>
    <w:rsid w:val="00452BF8"/>
    <w:rsid w:val="00452E44"/>
    <w:rsid w:val="004535CE"/>
    <w:rsid w:val="00453EFB"/>
    <w:rsid w:val="00454ADA"/>
    <w:rsid w:val="00454E87"/>
    <w:rsid w:val="00454F42"/>
    <w:rsid w:val="00455002"/>
    <w:rsid w:val="004552EB"/>
    <w:rsid w:val="00455B81"/>
    <w:rsid w:val="00455C6A"/>
    <w:rsid w:val="00455CC7"/>
    <w:rsid w:val="004564C5"/>
    <w:rsid w:val="00456BD8"/>
    <w:rsid w:val="00457874"/>
    <w:rsid w:val="00457AD4"/>
    <w:rsid w:val="00457C7C"/>
    <w:rsid w:val="004606BF"/>
    <w:rsid w:val="00460D55"/>
    <w:rsid w:val="0046121B"/>
    <w:rsid w:val="00461394"/>
    <w:rsid w:val="00461A1D"/>
    <w:rsid w:val="00462285"/>
    <w:rsid w:val="00462490"/>
    <w:rsid w:val="00462C30"/>
    <w:rsid w:val="0046335E"/>
    <w:rsid w:val="004638EF"/>
    <w:rsid w:val="00463F34"/>
    <w:rsid w:val="00464024"/>
    <w:rsid w:val="00464497"/>
    <w:rsid w:val="004644E9"/>
    <w:rsid w:val="00464557"/>
    <w:rsid w:val="00465D2B"/>
    <w:rsid w:val="00465E60"/>
    <w:rsid w:val="004673E2"/>
    <w:rsid w:val="00470704"/>
    <w:rsid w:val="00470A3A"/>
    <w:rsid w:val="00470C32"/>
    <w:rsid w:val="004719E9"/>
    <w:rsid w:val="00472509"/>
    <w:rsid w:val="0047587D"/>
    <w:rsid w:val="00475A3F"/>
    <w:rsid w:val="00475EF8"/>
    <w:rsid w:val="004773D8"/>
    <w:rsid w:val="0047748A"/>
    <w:rsid w:val="00477573"/>
    <w:rsid w:val="00477BA8"/>
    <w:rsid w:val="00477C8C"/>
    <w:rsid w:val="00480044"/>
    <w:rsid w:val="004801D9"/>
    <w:rsid w:val="0048034B"/>
    <w:rsid w:val="00480457"/>
    <w:rsid w:val="004811F2"/>
    <w:rsid w:val="00481697"/>
    <w:rsid w:val="0048171F"/>
    <w:rsid w:val="00481B93"/>
    <w:rsid w:val="00481C68"/>
    <w:rsid w:val="00482425"/>
    <w:rsid w:val="004827C9"/>
    <w:rsid w:val="00482B48"/>
    <w:rsid w:val="00482E9C"/>
    <w:rsid w:val="004830A1"/>
    <w:rsid w:val="0048353C"/>
    <w:rsid w:val="00483C42"/>
    <w:rsid w:val="004840ED"/>
    <w:rsid w:val="00484261"/>
    <w:rsid w:val="00484343"/>
    <w:rsid w:val="0048481C"/>
    <w:rsid w:val="004851B2"/>
    <w:rsid w:val="004851FB"/>
    <w:rsid w:val="0048569C"/>
    <w:rsid w:val="00485B5E"/>
    <w:rsid w:val="0048757E"/>
    <w:rsid w:val="00490C41"/>
    <w:rsid w:val="00490DBD"/>
    <w:rsid w:val="00491263"/>
    <w:rsid w:val="00491330"/>
    <w:rsid w:val="004916FD"/>
    <w:rsid w:val="00491A90"/>
    <w:rsid w:val="00491B35"/>
    <w:rsid w:val="00492B83"/>
    <w:rsid w:val="00492E7B"/>
    <w:rsid w:val="00492E93"/>
    <w:rsid w:val="00492F21"/>
    <w:rsid w:val="0049303C"/>
    <w:rsid w:val="004932B2"/>
    <w:rsid w:val="0049386C"/>
    <w:rsid w:val="00494EF0"/>
    <w:rsid w:val="00496026"/>
    <w:rsid w:val="00496B9F"/>
    <w:rsid w:val="00496D8E"/>
    <w:rsid w:val="00497FAE"/>
    <w:rsid w:val="004A064E"/>
    <w:rsid w:val="004A0A21"/>
    <w:rsid w:val="004A11CF"/>
    <w:rsid w:val="004A136E"/>
    <w:rsid w:val="004A16D2"/>
    <w:rsid w:val="004A22E1"/>
    <w:rsid w:val="004A237D"/>
    <w:rsid w:val="004A27AC"/>
    <w:rsid w:val="004A290A"/>
    <w:rsid w:val="004A3059"/>
    <w:rsid w:val="004A34EA"/>
    <w:rsid w:val="004A3C37"/>
    <w:rsid w:val="004A47CB"/>
    <w:rsid w:val="004A4D48"/>
    <w:rsid w:val="004A6762"/>
    <w:rsid w:val="004A685C"/>
    <w:rsid w:val="004A75A2"/>
    <w:rsid w:val="004B15B9"/>
    <w:rsid w:val="004B27B3"/>
    <w:rsid w:val="004B3CD8"/>
    <w:rsid w:val="004B4205"/>
    <w:rsid w:val="004B4947"/>
    <w:rsid w:val="004B5D17"/>
    <w:rsid w:val="004B5E2B"/>
    <w:rsid w:val="004B5E8A"/>
    <w:rsid w:val="004B5EA4"/>
    <w:rsid w:val="004B6ADE"/>
    <w:rsid w:val="004B6EAB"/>
    <w:rsid w:val="004B7F12"/>
    <w:rsid w:val="004C0AFB"/>
    <w:rsid w:val="004C1642"/>
    <w:rsid w:val="004C2ABB"/>
    <w:rsid w:val="004C30DF"/>
    <w:rsid w:val="004C35C0"/>
    <w:rsid w:val="004C36BA"/>
    <w:rsid w:val="004C3E1D"/>
    <w:rsid w:val="004C4C57"/>
    <w:rsid w:val="004C4C88"/>
    <w:rsid w:val="004C5883"/>
    <w:rsid w:val="004C59EC"/>
    <w:rsid w:val="004C6AF6"/>
    <w:rsid w:val="004C6CB8"/>
    <w:rsid w:val="004C6E02"/>
    <w:rsid w:val="004C6FA2"/>
    <w:rsid w:val="004C7F79"/>
    <w:rsid w:val="004D02FB"/>
    <w:rsid w:val="004D06D6"/>
    <w:rsid w:val="004D0757"/>
    <w:rsid w:val="004D0904"/>
    <w:rsid w:val="004D1216"/>
    <w:rsid w:val="004D1E11"/>
    <w:rsid w:val="004D208B"/>
    <w:rsid w:val="004D216E"/>
    <w:rsid w:val="004D224E"/>
    <w:rsid w:val="004D2FA0"/>
    <w:rsid w:val="004D3414"/>
    <w:rsid w:val="004D3F3A"/>
    <w:rsid w:val="004D428D"/>
    <w:rsid w:val="004D4AF3"/>
    <w:rsid w:val="004D52BC"/>
    <w:rsid w:val="004D53BB"/>
    <w:rsid w:val="004D56F2"/>
    <w:rsid w:val="004D59D0"/>
    <w:rsid w:val="004D6255"/>
    <w:rsid w:val="004E060D"/>
    <w:rsid w:val="004E0AC8"/>
    <w:rsid w:val="004E0B90"/>
    <w:rsid w:val="004E0BB6"/>
    <w:rsid w:val="004E1938"/>
    <w:rsid w:val="004E19F9"/>
    <w:rsid w:val="004E1FD6"/>
    <w:rsid w:val="004E20EA"/>
    <w:rsid w:val="004E25B0"/>
    <w:rsid w:val="004E2A9D"/>
    <w:rsid w:val="004E2CB0"/>
    <w:rsid w:val="004E2EF1"/>
    <w:rsid w:val="004E3127"/>
    <w:rsid w:val="004E361F"/>
    <w:rsid w:val="004E3DD9"/>
    <w:rsid w:val="004E3FE5"/>
    <w:rsid w:val="004E42BF"/>
    <w:rsid w:val="004E44AD"/>
    <w:rsid w:val="004E4AE3"/>
    <w:rsid w:val="004E567D"/>
    <w:rsid w:val="004E595B"/>
    <w:rsid w:val="004E5BE6"/>
    <w:rsid w:val="004E61E5"/>
    <w:rsid w:val="004E745B"/>
    <w:rsid w:val="004E7B24"/>
    <w:rsid w:val="004E7C60"/>
    <w:rsid w:val="004F0D0E"/>
    <w:rsid w:val="004F25ED"/>
    <w:rsid w:val="004F3131"/>
    <w:rsid w:val="004F3F95"/>
    <w:rsid w:val="004F5E57"/>
    <w:rsid w:val="004F7707"/>
    <w:rsid w:val="005003C6"/>
    <w:rsid w:val="00500570"/>
    <w:rsid w:val="00500AE6"/>
    <w:rsid w:val="0050125F"/>
    <w:rsid w:val="00501494"/>
    <w:rsid w:val="00501E1D"/>
    <w:rsid w:val="0050336D"/>
    <w:rsid w:val="0050416E"/>
    <w:rsid w:val="0050453C"/>
    <w:rsid w:val="0050464A"/>
    <w:rsid w:val="00505444"/>
    <w:rsid w:val="005062F4"/>
    <w:rsid w:val="00506389"/>
    <w:rsid w:val="00506930"/>
    <w:rsid w:val="00506B26"/>
    <w:rsid w:val="00506C4F"/>
    <w:rsid w:val="00506FDF"/>
    <w:rsid w:val="00507041"/>
    <w:rsid w:val="00507065"/>
    <w:rsid w:val="00507F3F"/>
    <w:rsid w:val="00507F4C"/>
    <w:rsid w:val="00510529"/>
    <w:rsid w:val="005114A1"/>
    <w:rsid w:val="00511530"/>
    <w:rsid w:val="00511AF8"/>
    <w:rsid w:val="00511C66"/>
    <w:rsid w:val="00511E12"/>
    <w:rsid w:val="00512F45"/>
    <w:rsid w:val="0051320E"/>
    <w:rsid w:val="005161BD"/>
    <w:rsid w:val="00516263"/>
    <w:rsid w:val="00516528"/>
    <w:rsid w:val="00516D66"/>
    <w:rsid w:val="00517403"/>
    <w:rsid w:val="005176EA"/>
    <w:rsid w:val="00517B3C"/>
    <w:rsid w:val="00517EF2"/>
    <w:rsid w:val="00523229"/>
    <w:rsid w:val="00524506"/>
    <w:rsid w:val="00524FE9"/>
    <w:rsid w:val="005257D9"/>
    <w:rsid w:val="00525CD9"/>
    <w:rsid w:val="00525EDF"/>
    <w:rsid w:val="00527DDB"/>
    <w:rsid w:val="00530136"/>
    <w:rsid w:val="00530D27"/>
    <w:rsid w:val="0053181F"/>
    <w:rsid w:val="00531D02"/>
    <w:rsid w:val="00532824"/>
    <w:rsid w:val="00532C36"/>
    <w:rsid w:val="00534C6B"/>
    <w:rsid w:val="00534D88"/>
    <w:rsid w:val="00534F08"/>
    <w:rsid w:val="005361B9"/>
    <w:rsid w:val="005365D8"/>
    <w:rsid w:val="00540A4E"/>
    <w:rsid w:val="00540BF4"/>
    <w:rsid w:val="00540CDB"/>
    <w:rsid w:val="00540E37"/>
    <w:rsid w:val="005419CB"/>
    <w:rsid w:val="005430FD"/>
    <w:rsid w:val="00543A44"/>
    <w:rsid w:val="00544132"/>
    <w:rsid w:val="00544699"/>
    <w:rsid w:val="00545474"/>
    <w:rsid w:val="00546115"/>
    <w:rsid w:val="005469D1"/>
    <w:rsid w:val="00550540"/>
    <w:rsid w:val="00551024"/>
    <w:rsid w:val="005513CD"/>
    <w:rsid w:val="00551A6D"/>
    <w:rsid w:val="005529F3"/>
    <w:rsid w:val="0055312A"/>
    <w:rsid w:val="005534B1"/>
    <w:rsid w:val="005534FA"/>
    <w:rsid w:val="0055491D"/>
    <w:rsid w:val="00554A69"/>
    <w:rsid w:val="00554E48"/>
    <w:rsid w:val="00555AA7"/>
    <w:rsid w:val="00556A79"/>
    <w:rsid w:val="00556EEA"/>
    <w:rsid w:val="005578CD"/>
    <w:rsid w:val="00557C17"/>
    <w:rsid w:val="00560BEC"/>
    <w:rsid w:val="00561477"/>
    <w:rsid w:val="0056288A"/>
    <w:rsid w:val="00562D05"/>
    <w:rsid w:val="0056327E"/>
    <w:rsid w:val="00563CAA"/>
    <w:rsid w:val="00567AFF"/>
    <w:rsid w:val="00567E3D"/>
    <w:rsid w:val="00570445"/>
    <w:rsid w:val="00571E2D"/>
    <w:rsid w:val="00571FC7"/>
    <w:rsid w:val="0057258D"/>
    <w:rsid w:val="005727D8"/>
    <w:rsid w:val="005729EF"/>
    <w:rsid w:val="00573D81"/>
    <w:rsid w:val="00574B0B"/>
    <w:rsid w:val="00574C93"/>
    <w:rsid w:val="00577AE7"/>
    <w:rsid w:val="00580671"/>
    <w:rsid w:val="00580B0D"/>
    <w:rsid w:val="005810E6"/>
    <w:rsid w:val="0058194E"/>
    <w:rsid w:val="00581ADE"/>
    <w:rsid w:val="00582178"/>
    <w:rsid w:val="00582B26"/>
    <w:rsid w:val="005834D9"/>
    <w:rsid w:val="00583528"/>
    <w:rsid w:val="00583FCF"/>
    <w:rsid w:val="00585279"/>
    <w:rsid w:val="00585755"/>
    <w:rsid w:val="00587143"/>
    <w:rsid w:val="00587BE1"/>
    <w:rsid w:val="00590755"/>
    <w:rsid w:val="00590908"/>
    <w:rsid w:val="00591D41"/>
    <w:rsid w:val="00591EB8"/>
    <w:rsid w:val="00593609"/>
    <w:rsid w:val="00594461"/>
    <w:rsid w:val="0059450E"/>
    <w:rsid w:val="00595EB8"/>
    <w:rsid w:val="00596239"/>
    <w:rsid w:val="00596F3F"/>
    <w:rsid w:val="00597067"/>
    <w:rsid w:val="0059708F"/>
    <w:rsid w:val="00597370"/>
    <w:rsid w:val="00597691"/>
    <w:rsid w:val="00597AE7"/>
    <w:rsid w:val="005A0241"/>
    <w:rsid w:val="005A07C5"/>
    <w:rsid w:val="005A12B1"/>
    <w:rsid w:val="005A1B64"/>
    <w:rsid w:val="005A1FD7"/>
    <w:rsid w:val="005A227F"/>
    <w:rsid w:val="005A2319"/>
    <w:rsid w:val="005A5C3E"/>
    <w:rsid w:val="005A5CCA"/>
    <w:rsid w:val="005A5F85"/>
    <w:rsid w:val="005A698F"/>
    <w:rsid w:val="005B05B3"/>
    <w:rsid w:val="005B0A0C"/>
    <w:rsid w:val="005B0AB3"/>
    <w:rsid w:val="005B1CE4"/>
    <w:rsid w:val="005B3183"/>
    <w:rsid w:val="005B34B0"/>
    <w:rsid w:val="005B3FD9"/>
    <w:rsid w:val="005B4764"/>
    <w:rsid w:val="005B5133"/>
    <w:rsid w:val="005B5A09"/>
    <w:rsid w:val="005B5A47"/>
    <w:rsid w:val="005B6233"/>
    <w:rsid w:val="005B654C"/>
    <w:rsid w:val="005B70C1"/>
    <w:rsid w:val="005B74DD"/>
    <w:rsid w:val="005C086A"/>
    <w:rsid w:val="005C0FDD"/>
    <w:rsid w:val="005C1209"/>
    <w:rsid w:val="005C15AD"/>
    <w:rsid w:val="005C195E"/>
    <w:rsid w:val="005C19B6"/>
    <w:rsid w:val="005C1D97"/>
    <w:rsid w:val="005C1D98"/>
    <w:rsid w:val="005C236F"/>
    <w:rsid w:val="005C3040"/>
    <w:rsid w:val="005C3074"/>
    <w:rsid w:val="005C4059"/>
    <w:rsid w:val="005C52B8"/>
    <w:rsid w:val="005C5447"/>
    <w:rsid w:val="005C55C8"/>
    <w:rsid w:val="005C5786"/>
    <w:rsid w:val="005C593E"/>
    <w:rsid w:val="005C6122"/>
    <w:rsid w:val="005C6452"/>
    <w:rsid w:val="005C6491"/>
    <w:rsid w:val="005C6CC1"/>
    <w:rsid w:val="005C7498"/>
    <w:rsid w:val="005C7662"/>
    <w:rsid w:val="005C79C2"/>
    <w:rsid w:val="005C7D33"/>
    <w:rsid w:val="005D0100"/>
    <w:rsid w:val="005D0CF9"/>
    <w:rsid w:val="005D1C5E"/>
    <w:rsid w:val="005D20F2"/>
    <w:rsid w:val="005D2134"/>
    <w:rsid w:val="005D2205"/>
    <w:rsid w:val="005D2D87"/>
    <w:rsid w:val="005D39E5"/>
    <w:rsid w:val="005D3DC6"/>
    <w:rsid w:val="005D409E"/>
    <w:rsid w:val="005D4626"/>
    <w:rsid w:val="005D4E1F"/>
    <w:rsid w:val="005D6821"/>
    <w:rsid w:val="005D6951"/>
    <w:rsid w:val="005D727B"/>
    <w:rsid w:val="005D7FF6"/>
    <w:rsid w:val="005E0215"/>
    <w:rsid w:val="005E057F"/>
    <w:rsid w:val="005E0BE9"/>
    <w:rsid w:val="005E1878"/>
    <w:rsid w:val="005E1F0C"/>
    <w:rsid w:val="005E3491"/>
    <w:rsid w:val="005E3E9C"/>
    <w:rsid w:val="005E3FA5"/>
    <w:rsid w:val="005E44B2"/>
    <w:rsid w:val="005E46F7"/>
    <w:rsid w:val="005E4705"/>
    <w:rsid w:val="005E4852"/>
    <w:rsid w:val="005E537C"/>
    <w:rsid w:val="005E5FE4"/>
    <w:rsid w:val="005E64C7"/>
    <w:rsid w:val="005E6937"/>
    <w:rsid w:val="005F0200"/>
    <w:rsid w:val="005F2588"/>
    <w:rsid w:val="005F27EE"/>
    <w:rsid w:val="005F2AA6"/>
    <w:rsid w:val="005F354C"/>
    <w:rsid w:val="005F367B"/>
    <w:rsid w:val="005F3A94"/>
    <w:rsid w:val="005F3ABB"/>
    <w:rsid w:val="005F3B6A"/>
    <w:rsid w:val="005F3F8B"/>
    <w:rsid w:val="005F402B"/>
    <w:rsid w:val="005F4573"/>
    <w:rsid w:val="005F4C97"/>
    <w:rsid w:val="005F4FEF"/>
    <w:rsid w:val="005F5523"/>
    <w:rsid w:val="005F6360"/>
    <w:rsid w:val="005F6971"/>
    <w:rsid w:val="005F6D2E"/>
    <w:rsid w:val="005F7A6F"/>
    <w:rsid w:val="00600721"/>
    <w:rsid w:val="00600F3C"/>
    <w:rsid w:val="00601583"/>
    <w:rsid w:val="00601745"/>
    <w:rsid w:val="00601BA5"/>
    <w:rsid w:val="0060361C"/>
    <w:rsid w:val="00603634"/>
    <w:rsid w:val="006048FE"/>
    <w:rsid w:val="00604F60"/>
    <w:rsid w:val="006051DF"/>
    <w:rsid w:val="006057DE"/>
    <w:rsid w:val="00605F7F"/>
    <w:rsid w:val="00606009"/>
    <w:rsid w:val="006066A1"/>
    <w:rsid w:val="00607E2C"/>
    <w:rsid w:val="006103CF"/>
    <w:rsid w:val="00610B14"/>
    <w:rsid w:val="006111B3"/>
    <w:rsid w:val="00611AAF"/>
    <w:rsid w:val="00611C6F"/>
    <w:rsid w:val="00612415"/>
    <w:rsid w:val="00612601"/>
    <w:rsid w:val="00612B10"/>
    <w:rsid w:val="0061330F"/>
    <w:rsid w:val="00613330"/>
    <w:rsid w:val="00613A01"/>
    <w:rsid w:val="00613FCF"/>
    <w:rsid w:val="00614A8F"/>
    <w:rsid w:val="00616094"/>
    <w:rsid w:val="00616173"/>
    <w:rsid w:val="00616515"/>
    <w:rsid w:val="00616B1D"/>
    <w:rsid w:val="00617064"/>
    <w:rsid w:val="00617C67"/>
    <w:rsid w:val="00617F04"/>
    <w:rsid w:val="00620745"/>
    <w:rsid w:val="0062149B"/>
    <w:rsid w:val="00623CB4"/>
    <w:rsid w:val="00624839"/>
    <w:rsid w:val="0062540F"/>
    <w:rsid w:val="006259F1"/>
    <w:rsid w:val="00625E11"/>
    <w:rsid w:val="00626479"/>
    <w:rsid w:val="0062695E"/>
    <w:rsid w:val="00626C77"/>
    <w:rsid w:val="00627805"/>
    <w:rsid w:val="00627E07"/>
    <w:rsid w:val="006302BB"/>
    <w:rsid w:val="00631087"/>
    <w:rsid w:val="00632435"/>
    <w:rsid w:val="00633203"/>
    <w:rsid w:val="00633C37"/>
    <w:rsid w:val="00633D0E"/>
    <w:rsid w:val="00633F6A"/>
    <w:rsid w:val="006340B3"/>
    <w:rsid w:val="0063417B"/>
    <w:rsid w:val="006341B7"/>
    <w:rsid w:val="006344AC"/>
    <w:rsid w:val="00634575"/>
    <w:rsid w:val="0063519E"/>
    <w:rsid w:val="00635440"/>
    <w:rsid w:val="00636301"/>
    <w:rsid w:val="00636970"/>
    <w:rsid w:val="006374ED"/>
    <w:rsid w:val="00640493"/>
    <w:rsid w:val="00640721"/>
    <w:rsid w:val="006418DE"/>
    <w:rsid w:val="00641CE2"/>
    <w:rsid w:val="006429C4"/>
    <w:rsid w:val="0064341B"/>
    <w:rsid w:val="00643478"/>
    <w:rsid w:val="00643CE7"/>
    <w:rsid w:val="00643E1A"/>
    <w:rsid w:val="006440AE"/>
    <w:rsid w:val="006440C0"/>
    <w:rsid w:val="00644ADF"/>
    <w:rsid w:val="006450B3"/>
    <w:rsid w:val="00645FFB"/>
    <w:rsid w:val="0064638E"/>
    <w:rsid w:val="00646936"/>
    <w:rsid w:val="00646D0B"/>
    <w:rsid w:val="00646D32"/>
    <w:rsid w:val="00647006"/>
    <w:rsid w:val="006472E7"/>
    <w:rsid w:val="0064740A"/>
    <w:rsid w:val="00647E04"/>
    <w:rsid w:val="006512CE"/>
    <w:rsid w:val="00651971"/>
    <w:rsid w:val="00652A4B"/>
    <w:rsid w:val="00652B52"/>
    <w:rsid w:val="00654E22"/>
    <w:rsid w:val="006553FA"/>
    <w:rsid w:val="00656E8F"/>
    <w:rsid w:val="0065739A"/>
    <w:rsid w:val="0065763E"/>
    <w:rsid w:val="00660B22"/>
    <w:rsid w:val="00661BD4"/>
    <w:rsid w:val="00661F41"/>
    <w:rsid w:val="0066257C"/>
    <w:rsid w:val="00662A23"/>
    <w:rsid w:val="00662D75"/>
    <w:rsid w:val="00662E5D"/>
    <w:rsid w:val="00662FCC"/>
    <w:rsid w:val="006634E3"/>
    <w:rsid w:val="0066374A"/>
    <w:rsid w:val="00663EE2"/>
    <w:rsid w:val="006645E2"/>
    <w:rsid w:val="006650D0"/>
    <w:rsid w:val="00665527"/>
    <w:rsid w:val="00665956"/>
    <w:rsid w:val="00665C36"/>
    <w:rsid w:val="00665FEC"/>
    <w:rsid w:val="00666100"/>
    <w:rsid w:val="006668F8"/>
    <w:rsid w:val="006710C7"/>
    <w:rsid w:val="00671A47"/>
    <w:rsid w:val="00671ACB"/>
    <w:rsid w:val="00672832"/>
    <w:rsid w:val="006729B5"/>
    <w:rsid w:val="00672BA0"/>
    <w:rsid w:val="00673248"/>
    <w:rsid w:val="00673D97"/>
    <w:rsid w:val="00674F2E"/>
    <w:rsid w:val="0067621F"/>
    <w:rsid w:val="00676F94"/>
    <w:rsid w:val="00677E27"/>
    <w:rsid w:val="006805B5"/>
    <w:rsid w:val="00680A75"/>
    <w:rsid w:val="0068106E"/>
    <w:rsid w:val="00681D7F"/>
    <w:rsid w:val="00683D6E"/>
    <w:rsid w:val="00685910"/>
    <w:rsid w:val="0068594D"/>
    <w:rsid w:val="00685A7C"/>
    <w:rsid w:val="00685F51"/>
    <w:rsid w:val="00685F5E"/>
    <w:rsid w:val="0068693F"/>
    <w:rsid w:val="00686EF6"/>
    <w:rsid w:val="006905DF"/>
    <w:rsid w:val="00691501"/>
    <w:rsid w:val="0069176D"/>
    <w:rsid w:val="00693706"/>
    <w:rsid w:val="00693D7F"/>
    <w:rsid w:val="00693F37"/>
    <w:rsid w:val="006942F2"/>
    <w:rsid w:val="00695294"/>
    <w:rsid w:val="00696644"/>
    <w:rsid w:val="006972DC"/>
    <w:rsid w:val="00697C5A"/>
    <w:rsid w:val="006A02B7"/>
    <w:rsid w:val="006A09A2"/>
    <w:rsid w:val="006A0F84"/>
    <w:rsid w:val="006A203F"/>
    <w:rsid w:val="006A2D0B"/>
    <w:rsid w:val="006A2D7C"/>
    <w:rsid w:val="006A3256"/>
    <w:rsid w:val="006A3333"/>
    <w:rsid w:val="006A3754"/>
    <w:rsid w:val="006A4770"/>
    <w:rsid w:val="006A5409"/>
    <w:rsid w:val="006A5614"/>
    <w:rsid w:val="006A6159"/>
    <w:rsid w:val="006A795E"/>
    <w:rsid w:val="006B0F69"/>
    <w:rsid w:val="006B18E3"/>
    <w:rsid w:val="006B1BEC"/>
    <w:rsid w:val="006B38C4"/>
    <w:rsid w:val="006B4B29"/>
    <w:rsid w:val="006B6661"/>
    <w:rsid w:val="006B6CE0"/>
    <w:rsid w:val="006B6E54"/>
    <w:rsid w:val="006C0F29"/>
    <w:rsid w:val="006C1326"/>
    <w:rsid w:val="006C1562"/>
    <w:rsid w:val="006C323D"/>
    <w:rsid w:val="006C3C3D"/>
    <w:rsid w:val="006C4429"/>
    <w:rsid w:val="006C4BB3"/>
    <w:rsid w:val="006C4D66"/>
    <w:rsid w:val="006C4F18"/>
    <w:rsid w:val="006C5D79"/>
    <w:rsid w:val="006C66E8"/>
    <w:rsid w:val="006C6E74"/>
    <w:rsid w:val="006C7566"/>
    <w:rsid w:val="006C7D82"/>
    <w:rsid w:val="006D1496"/>
    <w:rsid w:val="006D1818"/>
    <w:rsid w:val="006D1D84"/>
    <w:rsid w:val="006D2029"/>
    <w:rsid w:val="006D32F9"/>
    <w:rsid w:val="006D33DE"/>
    <w:rsid w:val="006D4108"/>
    <w:rsid w:val="006D4C12"/>
    <w:rsid w:val="006D4F95"/>
    <w:rsid w:val="006D5558"/>
    <w:rsid w:val="006D5D76"/>
    <w:rsid w:val="006D61D8"/>
    <w:rsid w:val="006D69D0"/>
    <w:rsid w:val="006E0484"/>
    <w:rsid w:val="006E06E0"/>
    <w:rsid w:val="006E07CE"/>
    <w:rsid w:val="006E0815"/>
    <w:rsid w:val="006E0D02"/>
    <w:rsid w:val="006E17D9"/>
    <w:rsid w:val="006E1AC8"/>
    <w:rsid w:val="006E2934"/>
    <w:rsid w:val="006E2A08"/>
    <w:rsid w:val="006E3519"/>
    <w:rsid w:val="006E35A0"/>
    <w:rsid w:val="006E3A48"/>
    <w:rsid w:val="006E3D71"/>
    <w:rsid w:val="006E420D"/>
    <w:rsid w:val="006E45E3"/>
    <w:rsid w:val="006E47AD"/>
    <w:rsid w:val="006E4FBE"/>
    <w:rsid w:val="006E51D8"/>
    <w:rsid w:val="006E5A23"/>
    <w:rsid w:val="006E5F01"/>
    <w:rsid w:val="006E6488"/>
    <w:rsid w:val="006E66CA"/>
    <w:rsid w:val="006E78FF"/>
    <w:rsid w:val="006E7CCA"/>
    <w:rsid w:val="006F1518"/>
    <w:rsid w:val="006F17E4"/>
    <w:rsid w:val="006F20E5"/>
    <w:rsid w:val="006F211E"/>
    <w:rsid w:val="006F296C"/>
    <w:rsid w:val="006F2FB2"/>
    <w:rsid w:val="006F31A6"/>
    <w:rsid w:val="006F3A2C"/>
    <w:rsid w:val="006F3B83"/>
    <w:rsid w:val="006F44BA"/>
    <w:rsid w:val="006F47A8"/>
    <w:rsid w:val="006F48D0"/>
    <w:rsid w:val="006F49D9"/>
    <w:rsid w:val="006F4A15"/>
    <w:rsid w:val="006F50FF"/>
    <w:rsid w:val="006F5628"/>
    <w:rsid w:val="006F5A28"/>
    <w:rsid w:val="006F6A31"/>
    <w:rsid w:val="006F6E3C"/>
    <w:rsid w:val="006F6E89"/>
    <w:rsid w:val="006F70C7"/>
    <w:rsid w:val="006F7741"/>
    <w:rsid w:val="006F7D85"/>
    <w:rsid w:val="00700A14"/>
    <w:rsid w:val="00700ED1"/>
    <w:rsid w:val="007019B0"/>
    <w:rsid w:val="00701A1A"/>
    <w:rsid w:val="007022AA"/>
    <w:rsid w:val="00703659"/>
    <w:rsid w:val="00703840"/>
    <w:rsid w:val="00703A01"/>
    <w:rsid w:val="00704067"/>
    <w:rsid w:val="00704253"/>
    <w:rsid w:val="007069F9"/>
    <w:rsid w:val="00710487"/>
    <w:rsid w:val="0071090F"/>
    <w:rsid w:val="00711408"/>
    <w:rsid w:val="00711854"/>
    <w:rsid w:val="00711E7F"/>
    <w:rsid w:val="00712178"/>
    <w:rsid w:val="00712920"/>
    <w:rsid w:val="00712982"/>
    <w:rsid w:val="007129D5"/>
    <w:rsid w:val="007130E6"/>
    <w:rsid w:val="007141D6"/>
    <w:rsid w:val="007148F3"/>
    <w:rsid w:val="00714BDE"/>
    <w:rsid w:val="007156B8"/>
    <w:rsid w:val="00715B64"/>
    <w:rsid w:val="00715F0B"/>
    <w:rsid w:val="00716682"/>
    <w:rsid w:val="00716851"/>
    <w:rsid w:val="00716C85"/>
    <w:rsid w:val="00717326"/>
    <w:rsid w:val="00717D45"/>
    <w:rsid w:val="007203B7"/>
    <w:rsid w:val="00720F43"/>
    <w:rsid w:val="00721A96"/>
    <w:rsid w:val="00721B3D"/>
    <w:rsid w:val="0072216B"/>
    <w:rsid w:val="00722C11"/>
    <w:rsid w:val="00722C28"/>
    <w:rsid w:val="00722C3A"/>
    <w:rsid w:val="00722E82"/>
    <w:rsid w:val="007240D4"/>
    <w:rsid w:val="00724E98"/>
    <w:rsid w:val="00725D7C"/>
    <w:rsid w:val="007264BC"/>
    <w:rsid w:val="007266EA"/>
    <w:rsid w:val="0072788B"/>
    <w:rsid w:val="0073100E"/>
    <w:rsid w:val="007318E8"/>
    <w:rsid w:val="00732020"/>
    <w:rsid w:val="007325D3"/>
    <w:rsid w:val="00732B97"/>
    <w:rsid w:val="00732DFD"/>
    <w:rsid w:val="00732E84"/>
    <w:rsid w:val="00732EE7"/>
    <w:rsid w:val="00732FD4"/>
    <w:rsid w:val="00733887"/>
    <w:rsid w:val="00734192"/>
    <w:rsid w:val="00734831"/>
    <w:rsid w:val="00734F91"/>
    <w:rsid w:val="0073502A"/>
    <w:rsid w:val="00735930"/>
    <w:rsid w:val="00735D46"/>
    <w:rsid w:val="00736472"/>
    <w:rsid w:val="0073656A"/>
    <w:rsid w:val="0073707E"/>
    <w:rsid w:val="007414A9"/>
    <w:rsid w:val="0074151D"/>
    <w:rsid w:val="00741C30"/>
    <w:rsid w:val="007421C6"/>
    <w:rsid w:val="0074225B"/>
    <w:rsid w:val="007422EE"/>
    <w:rsid w:val="00742BA7"/>
    <w:rsid w:val="007432F7"/>
    <w:rsid w:val="00743437"/>
    <w:rsid w:val="00743655"/>
    <w:rsid w:val="00743C1B"/>
    <w:rsid w:val="007443E3"/>
    <w:rsid w:val="00744450"/>
    <w:rsid w:val="00744532"/>
    <w:rsid w:val="0074544A"/>
    <w:rsid w:val="00745779"/>
    <w:rsid w:val="00745C99"/>
    <w:rsid w:val="00745CDA"/>
    <w:rsid w:val="00746246"/>
    <w:rsid w:val="0074698D"/>
    <w:rsid w:val="00746C0E"/>
    <w:rsid w:val="00747270"/>
    <w:rsid w:val="00747B92"/>
    <w:rsid w:val="00750951"/>
    <w:rsid w:val="00750B43"/>
    <w:rsid w:val="00750CAE"/>
    <w:rsid w:val="00750CDC"/>
    <w:rsid w:val="00751B6B"/>
    <w:rsid w:val="00752AFB"/>
    <w:rsid w:val="00752E14"/>
    <w:rsid w:val="007538AA"/>
    <w:rsid w:val="007539F2"/>
    <w:rsid w:val="00753DE4"/>
    <w:rsid w:val="00754B84"/>
    <w:rsid w:val="007553B7"/>
    <w:rsid w:val="007556B2"/>
    <w:rsid w:val="00756A3D"/>
    <w:rsid w:val="00756C0C"/>
    <w:rsid w:val="0076052D"/>
    <w:rsid w:val="00761672"/>
    <w:rsid w:val="00761720"/>
    <w:rsid w:val="007622D2"/>
    <w:rsid w:val="0076257E"/>
    <w:rsid w:val="00762C7E"/>
    <w:rsid w:val="00762CA8"/>
    <w:rsid w:val="00763584"/>
    <w:rsid w:val="0076376D"/>
    <w:rsid w:val="0076478F"/>
    <w:rsid w:val="00767241"/>
    <w:rsid w:val="00767FCB"/>
    <w:rsid w:val="00770649"/>
    <w:rsid w:val="00771779"/>
    <w:rsid w:val="0077287D"/>
    <w:rsid w:val="00772DCC"/>
    <w:rsid w:val="00773DEB"/>
    <w:rsid w:val="00775866"/>
    <w:rsid w:val="00775DE7"/>
    <w:rsid w:val="00776C21"/>
    <w:rsid w:val="00776F8C"/>
    <w:rsid w:val="00777C45"/>
    <w:rsid w:val="007803C1"/>
    <w:rsid w:val="0078123F"/>
    <w:rsid w:val="00782CCC"/>
    <w:rsid w:val="00783BAA"/>
    <w:rsid w:val="00784041"/>
    <w:rsid w:val="0078464B"/>
    <w:rsid w:val="00784942"/>
    <w:rsid w:val="00784955"/>
    <w:rsid w:val="00785359"/>
    <w:rsid w:val="0078598D"/>
    <w:rsid w:val="00785A33"/>
    <w:rsid w:val="007870E3"/>
    <w:rsid w:val="0079152F"/>
    <w:rsid w:val="007919EF"/>
    <w:rsid w:val="00794A6E"/>
    <w:rsid w:val="00794C4D"/>
    <w:rsid w:val="00794F47"/>
    <w:rsid w:val="007952DD"/>
    <w:rsid w:val="007959D5"/>
    <w:rsid w:val="007967DC"/>
    <w:rsid w:val="00796E66"/>
    <w:rsid w:val="00797F1C"/>
    <w:rsid w:val="007A1CF1"/>
    <w:rsid w:val="007A3486"/>
    <w:rsid w:val="007A35E3"/>
    <w:rsid w:val="007A365A"/>
    <w:rsid w:val="007A3F81"/>
    <w:rsid w:val="007A43DD"/>
    <w:rsid w:val="007A440B"/>
    <w:rsid w:val="007A47A9"/>
    <w:rsid w:val="007A52D9"/>
    <w:rsid w:val="007A58A8"/>
    <w:rsid w:val="007A5904"/>
    <w:rsid w:val="007A64E6"/>
    <w:rsid w:val="007A6F17"/>
    <w:rsid w:val="007A6FE8"/>
    <w:rsid w:val="007A732D"/>
    <w:rsid w:val="007A735A"/>
    <w:rsid w:val="007A7C59"/>
    <w:rsid w:val="007B0B41"/>
    <w:rsid w:val="007B1277"/>
    <w:rsid w:val="007B18B0"/>
    <w:rsid w:val="007B1BEB"/>
    <w:rsid w:val="007B2F3D"/>
    <w:rsid w:val="007B31D9"/>
    <w:rsid w:val="007B33C5"/>
    <w:rsid w:val="007B3A50"/>
    <w:rsid w:val="007B3DCC"/>
    <w:rsid w:val="007B45D0"/>
    <w:rsid w:val="007B4FDD"/>
    <w:rsid w:val="007B4FFD"/>
    <w:rsid w:val="007B58D4"/>
    <w:rsid w:val="007B5A8C"/>
    <w:rsid w:val="007B637E"/>
    <w:rsid w:val="007B67DD"/>
    <w:rsid w:val="007B689E"/>
    <w:rsid w:val="007B68CE"/>
    <w:rsid w:val="007B76CB"/>
    <w:rsid w:val="007B781C"/>
    <w:rsid w:val="007B7881"/>
    <w:rsid w:val="007B7CAD"/>
    <w:rsid w:val="007C08B9"/>
    <w:rsid w:val="007C0F57"/>
    <w:rsid w:val="007C2714"/>
    <w:rsid w:val="007C296A"/>
    <w:rsid w:val="007C2A9C"/>
    <w:rsid w:val="007C3755"/>
    <w:rsid w:val="007C3967"/>
    <w:rsid w:val="007C5A39"/>
    <w:rsid w:val="007C5F8C"/>
    <w:rsid w:val="007C6591"/>
    <w:rsid w:val="007C660D"/>
    <w:rsid w:val="007C6D82"/>
    <w:rsid w:val="007C7FCE"/>
    <w:rsid w:val="007D0B34"/>
    <w:rsid w:val="007D1A55"/>
    <w:rsid w:val="007D21D7"/>
    <w:rsid w:val="007D22DB"/>
    <w:rsid w:val="007D25E2"/>
    <w:rsid w:val="007D296F"/>
    <w:rsid w:val="007D2D94"/>
    <w:rsid w:val="007D4863"/>
    <w:rsid w:val="007D4E09"/>
    <w:rsid w:val="007D5316"/>
    <w:rsid w:val="007D5C47"/>
    <w:rsid w:val="007D5C5D"/>
    <w:rsid w:val="007D6479"/>
    <w:rsid w:val="007D7286"/>
    <w:rsid w:val="007D7647"/>
    <w:rsid w:val="007D7C01"/>
    <w:rsid w:val="007E0AB7"/>
    <w:rsid w:val="007E0F01"/>
    <w:rsid w:val="007E1014"/>
    <w:rsid w:val="007E26FD"/>
    <w:rsid w:val="007E2782"/>
    <w:rsid w:val="007E28AF"/>
    <w:rsid w:val="007E3008"/>
    <w:rsid w:val="007E3149"/>
    <w:rsid w:val="007E48D5"/>
    <w:rsid w:val="007E4907"/>
    <w:rsid w:val="007E4D65"/>
    <w:rsid w:val="007E4EC8"/>
    <w:rsid w:val="007E574F"/>
    <w:rsid w:val="007E5A43"/>
    <w:rsid w:val="007E5B32"/>
    <w:rsid w:val="007E6E65"/>
    <w:rsid w:val="007E6F79"/>
    <w:rsid w:val="007E7640"/>
    <w:rsid w:val="007E7889"/>
    <w:rsid w:val="007E797C"/>
    <w:rsid w:val="007F0369"/>
    <w:rsid w:val="007F08F0"/>
    <w:rsid w:val="007F0AF1"/>
    <w:rsid w:val="007F0D7C"/>
    <w:rsid w:val="007F1D67"/>
    <w:rsid w:val="007F2C0B"/>
    <w:rsid w:val="007F2DC4"/>
    <w:rsid w:val="007F3B32"/>
    <w:rsid w:val="007F3E7A"/>
    <w:rsid w:val="007F4177"/>
    <w:rsid w:val="007F58AD"/>
    <w:rsid w:val="007F5917"/>
    <w:rsid w:val="007F5E9E"/>
    <w:rsid w:val="007F6E6C"/>
    <w:rsid w:val="007F707C"/>
    <w:rsid w:val="007F7215"/>
    <w:rsid w:val="007F76AB"/>
    <w:rsid w:val="007F76D7"/>
    <w:rsid w:val="007F7AD1"/>
    <w:rsid w:val="0080103E"/>
    <w:rsid w:val="00801788"/>
    <w:rsid w:val="00801802"/>
    <w:rsid w:val="0080248E"/>
    <w:rsid w:val="008028DA"/>
    <w:rsid w:val="00803F57"/>
    <w:rsid w:val="00803F5F"/>
    <w:rsid w:val="00804781"/>
    <w:rsid w:val="00805076"/>
    <w:rsid w:val="0080562A"/>
    <w:rsid w:val="0080604A"/>
    <w:rsid w:val="008066E6"/>
    <w:rsid w:val="0080672D"/>
    <w:rsid w:val="00806921"/>
    <w:rsid w:val="008069C0"/>
    <w:rsid w:val="008076DB"/>
    <w:rsid w:val="0081025E"/>
    <w:rsid w:val="00810578"/>
    <w:rsid w:val="00810812"/>
    <w:rsid w:val="008109E8"/>
    <w:rsid w:val="008110EC"/>
    <w:rsid w:val="00811383"/>
    <w:rsid w:val="0081214F"/>
    <w:rsid w:val="00812180"/>
    <w:rsid w:val="0081302D"/>
    <w:rsid w:val="00813116"/>
    <w:rsid w:val="00813516"/>
    <w:rsid w:val="00816CBF"/>
    <w:rsid w:val="00817431"/>
    <w:rsid w:val="00817ADD"/>
    <w:rsid w:val="00817B74"/>
    <w:rsid w:val="00817C8D"/>
    <w:rsid w:val="00817D52"/>
    <w:rsid w:val="0082042C"/>
    <w:rsid w:val="0082080B"/>
    <w:rsid w:val="0082154E"/>
    <w:rsid w:val="0082266E"/>
    <w:rsid w:val="0082314F"/>
    <w:rsid w:val="00823EE8"/>
    <w:rsid w:val="00824DA8"/>
    <w:rsid w:val="0082567B"/>
    <w:rsid w:val="0082595C"/>
    <w:rsid w:val="00825F1A"/>
    <w:rsid w:val="00826200"/>
    <w:rsid w:val="00826817"/>
    <w:rsid w:val="00826842"/>
    <w:rsid w:val="00826D3E"/>
    <w:rsid w:val="00826DE4"/>
    <w:rsid w:val="0082715F"/>
    <w:rsid w:val="00827197"/>
    <w:rsid w:val="0082764D"/>
    <w:rsid w:val="008306E3"/>
    <w:rsid w:val="00830E55"/>
    <w:rsid w:val="00830FEA"/>
    <w:rsid w:val="0083115D"/>
    <w:rsid w:val="008311D3"/>
    <w:rsid w:val="00831DBD"/>
    <w:rsid w:val="00833C35"/>
    <w:rsid w:val="0083442D"/>
    <w:rsid w:val="00835399"/>
    <w:rsid w:val="00835B05"/>
    <w:rsid w:val="00836248"/>
    <w:rsid w:val="008368D8"/>
    <w:rsid w:val="00836F27"/>
    <w:rsid w:val="008372CF"/>
    <w:rsid w:val="00837B4F"/>
    <w:rsid w:val="008401D0"/>
    <w:rsid w:val="008409F0"/>
    <w:rsid w:val="00840FEA"/>
    <w:rsid w:val="00841229"/>
    <w:rsid w:val="008419C5"/>
    <w:rsid w:val="00841F61"/>
    <w:rsid w:val="00842615"/>
    <w:rsid w:val="0084325D"/>
    <w:rsid w:val="008445E6"/>
    <w:rsid w:val="00844A0D"/>
    <w:rsid w:val="00844BC8"/>
    <w:rsid w:val="00844CD7"/>
    <w:rsid w:val="00846759"/>
    <w:rsid w:val="00847872"/>
    <w:rsid w:val="0084790D"/>
    <w:rsid w:val="008519D4"/>
    <w:rsid w:val="008523F6"/>
    <w:rsid w:val="00852C58"/>
    <w:rsid w:val="008538C0"/>
    <w:rsid w:val="00855242"/>
    <w:rsid w:val="008555E8"/>
    <w:rsid w:val="00855953"/>
    <w:rsid w:val="00855C50"/>
    <w:rsid w:val="00855FFE"/>
    <w:rsid w:val="00856FA7"/>
    <w:rsid w:val="00857286"/>
    <w:rsid w:val="008614CB"/>
    <w:rsid w:val="00861D6E"/>
    <w:rsid w:val="00861DAB"/>
    <w:rsid w:val="00861EF3"/>
    <w:rsid w:val="00862E46"/>
    <w:rsid w:val="008632E5"/>
    <w:rsid w:val="00863CC1"/>
    <w:rsid w:val="00864D03"/>
    <w:rsid w:val="00864FB4"/>
    <w:rsid w:val="00865618"/>
    <w:rsid w:val="0086654E"/>
    <w:rsid w:val="008675A0"/>
    <w:rsid w:val="00867C07"/>
    <w:rsid w:val="008701CA"/>
    <w:rsid w:val="00870491"/>
    <w:rsid w:val="00872185"/>
    <w:rsid w:val="008726EC"/>
    <w:rsid w:val="00875087"/>
    <w:rsid w:val="00875669"/>
    <w:rsid w:val="008763C1"/>
    <w:rsid w:val="0087660C"/>
    <w:rsid w:val="00877208"/>
    <w:rsid w:val="00880AA5"/>
    <w:rsid w:val="00880D4E"/>
    <w:rsid w:val="00880E60"/>
    <w:rsid w:val="008815A5"/>
    <w:rsid w:val="008818E5"/>
    <w:rsid w:val="00882512"/>
    <w:rsid w:val="00882ABB"/>
    <w:rsid w:val="00882D7C"/>
    <w:rsid w:val="008849C8"/>
    <w:rsid w:val="00885656"/>
    <w:rsid w:val="00885D5E"/>
    <w:rsid w:val="00886753"/>
    <w:rsid w:val="00886854"/>
    <w:rsid w:val="00886F01"/>
    <w:rsid w:val="00890597"/>
    <w:rsid w:val="00890C3D"/>
    <w:rsid w:val="008911B5"/>
    <w:rsid w:val="00891EC9"/>
    <w:rsid w:val="0089217E"/>
    <w:rsid w:val="00892F7B"/>
    <w:rsid w:val="008932A3"/>
    <w:rsid w:val="00893378"/>
    <w:rsid w:val="008948E2"/>
    <w:rsid w:val="00894BDB"/>
    <w:rsid w:val="00894FEB"/>
    <w:rsid w:val="008961B0"/>
    <w:rsid w:val="00897D85"/>
    <w:rsid w:val="008A1470"/>
    <w:rsid w:val="008A1644"/>
    <w:rsid w:val="008A22D0"/>
    <w:rsid w:val="008A2314"/>
    <w:rsid w:val="008A2774"/>
    <w:rsid w:val="008A2F6E"/>
    <w:rsid w:val="008A313B"/>
    <w:rsid w:val="008A3158"/>
    <w:rsid w:val="008A3369"/>
    <w:rsid w:val="008A34BE"/>
    <w:rsid w:val="008A3D7B"/>
    <w:rsid w:val="008A4B20"/>
    <w:rsid w:val="008A4BBE"/>
    <w:rsid w:val="008A5685"/>
    <w:rsid w:val="008A5D4D"/>
    <w:rsid w:val="008A5E31"/>
    <w:rsid w:val="008A5F1E"/>
    <w:rsid w:val="008A66B3"/>
    <w:rsid w:val="008B0E7C"/>
    <w:rsid w:val="008B18E8"/>
    <w:rsid w:val="008B1EB8"/>
    <w:rsid w:val="008B1EFC"/>
    <w:rsid w:val="008B2267"/>
    <w:rsid w:val="008B3284"/>
    <w:rsid w:val="008B3AE0"/>
    <w:rsid w:val="008B3E1D"/>
    <w:rsid w:val="008B3E9E"/>
    <w:rsid w:val="008B407C"/>
    <w:rsid w:val="008B4B32"/>
    <w:rsid w:val="008B5DA6"/>
    <w:rsid w:val="008B60F0"/>
    <w:rsid w:val="008B690A"/>
    <w:rsid w:val="008C14F4"/>
    <w:rsid w:val="008C1E08"/>
    <w:rsid w:val="008C2D6B"/>
    <w:rsid w:val="008C2F56"/>
    <w:rsid w:val="008C503F"/>
    <w:rsid w:val="008C5160"/>
    <w:rsid w:val="008C6131"/>
    <w:rsid w:val="008C629A"/>
    <w:rsid w:val="008C6AE4"/>
    <w:rsid w:val="008C75D3"/>
    <w:rsid w:val="008C76B8"/>
    <w:rsid w:val="008C7F07"/>
    <w:rsid w:val="008C7F23"/>
    <w:rsid w:val="008D05F4"/>
    <w:rsid w:val="008D073A"/>
    <w:rsid w:val="008D0892"/>
    <w:rsid w:val="008D1A51"/>
    <w:rsid w:val="008D1C0C"/>
    <w:rsid w:val="008D1F65"/>
    <w:rsid w:val="008D2DCB"/>
    <w:rsid w:val="008D35AA"/>
    <w:rsid w:val="008D3687"/>
    <w:rsid w:val="008D47E8"/>
    <w:rsid w:val="008D4CD3"/>
    <w:rsid w:val="008D5114"/>
    <w:rsid w:val="008D513E"/>
    <w:rsid w:val="008D567F"/>
    <w:rsid w:val="008D58B2"/>
    <w:rsid w:val="008D6283"/>
    <w:rsid w:val="008D6299"/>
    <w:rsid w:val="008D67B5"/>
    <w:rsid w:val="008D755A"/>
    <w:rsid w:val="008E09AC"/>
    <w:rsid w:val="008E156C"/>
    <w:rsid w:val="008E2581"/>
    <w:rsid w:val="008E3070"/>
    <w:rsid w:val="008E31B1"/>
    <w:rsid w:val="008E3A32"/>
    <w:rsid w:val="008E460C"/>
    <w:rsid w:val="008E4C3B"/>
    <w:rsid w:val="008E5ACF"/>
    <w:rsid w:val="008E5C08"/>
    <w:rsid w:val="008E6161"/>
    <w:rsid w:val="008E6C05"/>
    <w:rsid w:val="008F08EB"/>
    <w:rsid w:val="008F0E76"/>
    <w:rsid w:val="008F0EBF"/>
    <w:rsid w:val="008F18DC"/>
    <w:rsid w:val="008F1A6A"/>
    <w:rsid w:val="008F2D57"/>
    <w:rsid w:val="008F2E8F"/>
    <w:rsid w:val="008F3218"/>
    <w:rsid w:val="008F4132"/>
    <w:rsid w:val="008F5F38"/>
    <w:rsid w:val="008F6E15"/>
    <w:rsid w:val="00900518"/>
    <w:rsid w:val="0090085B"/>
    <w:rsid w:val="00900C90"/>
    <w:rsid w:val="00900F54"/>
    <w:rsid w:val="00904013"/>
    <w:rsid w:val="00904BE8"/>
    <w:rsid w:val="00905AF9"/>
    <w:rsid w:val="00905D61"/>
    <w:rsid w:val="00906909"/>
    <w:rsid w:val="00906F18"/>
    <w:rsid w:val="009079CF"/>
    <w:rsid w:val="00910289"/>
    <w:rsid w:val="00911276"/>
    <w:rsid w:val="0091180F"/>
    <w:rsid w:val="00912C98"/>
    <w:rsid w:val="009135F6"/>
    <w:rsid w:val="0091377B"/>
    <w:rsid w:val="0091411C"/>
    <w:rsid w:val="00914198"/>
    <w:rsid w:val="009157F6"/>
    <w:rsid w:val="00915FE7"/>
    <w:rsid w:val="009166D6"/>
    <w:rsid w:val="00917206"/>
    <w:rsid w:val="00920634"/>
    <w:rsid w:val="00921956"/>
    <w:rsid w:val="00921D52"/>
    <w:rsid w:val="0092323B"/>
    <w:rsid w:val="00923964"/>
    <w:rsid w:val="00923A03"/>
    <w:rsid w:val="00923CC7"/>
    <w:rsid w:val="00923D7F"/>
    <w:rsid w:val="00925465"/>
    <w:rsid w:val="00925590"/>
    <w:rsid w:val="009255FB"/>
    <w:rsid w:val="00925B0E"/>
    <w:rsid w:val="00925CEC"/>
    <w:rsid w:val="009266F0"/>
    <w:rsid w:val="00930DB3"/>
    <w:rsid w:val="00931CAB"/>
    <w:rsid w:val="00932B9C"/>
    <w:rsid w:val="00932D92"/>
    <w:rsid w:val="00932DE3"/>
    <w:rsid w:val="00933E56"/>
    <w:rsid w:val="009347F1"/>
    <w:rsid w:val="00934BD0"/>
    <w:rsid w:val="00934E97"/>
    <w:rsid w:val="0093579E"/>
    <w:rsid w:val="00935862"/>
    <w:rsid w:val="00935B99"/>
    <w:rsid w:val="00935EBE"/>
    <w:rsid w:val="009363EB"/>
    <w:rsid w:val="0093659B"/>
    <w:rsid w:val="00940959"/>
    <w:rsid w:val="00942208"/>
    <w:rsid w:val="009429F9"/>
    <w:rsid w:val="009434EC"/>
    <w:rsid w:val="0094363A"/>
    <w:rsid w:val="00943952"/>
    <w:rsid w:val="00944077"/>
    <w:rsid w:val="0094479C"/>
    <w:rsid w:val="00944B89"/>
    <w:rsid w:val="009455D9"/>
    <w:rsid w:val="0094606B"/>
    <w:rsid w:val="00947F1E"/>
    <w:rsid w:val="00950FDB"/>
    <w:rsid w:val="00951263"/>
    <w:rsid w:val="00952195"/>
    <w:rsid w:val="009529D4"/>
    <w:rsid w:val="00953412"/>
    <w:rsid w:val="009549C1"/>
    <w:rsid w:val="009551E2"/>
    <w:rsid w:val="009556F3"/>
    <w:rsid w:val="00955E96"/>
    <w:rsid w:val="0095627B"/>
    <w:rsid w:val="009567AC"/>
    <w:rsid w:val="00956AC7"/>
    <w:rsid w:val="00956D23"/>
    <w:rsid w:val="00956FAE"/>
    <w:rsid w:val="00957734"/>
    <w:rsid w:val="00957794"/>
    <w:rsid w:val="009602DE"/>
    <w:rsid w:val="00960A8C"/>
    <w:rsid w:val="009610FE"/>
    <w:rsid w:val="00964F55"/>
    <w:rsid w:val="009658C2"/>
    <w:rsid w:val="00965E93"/>
    <w:rsid w:val="009660CE"/>
    <w:rsid w:val="009660E8"/>
    <w:rsid w:val="00966A1E"/>
    <w:rsid w:val="00967332"/>
    <w:rsid w:val="00970ACC"/>
    <w:rsid w:val="00970AEF"/>
    <w:rsid w:val="009713D2"/>
    <w:rsid w:val="00972373"/>
    <w:rsid w:val="0097255E"/>
    <w:rsid w:val="00972629"/>
    <w:rsid w:val="00972FC3"/>
    <w:rsid w:val="0097346E"/>
    <w:rsid w:val="00973BFF"/>
    <w:rsid w:val="00973CA2"/>
    <w:rsid w:val="00974D43"/>
    <w:rsid w:val="00975B20"/>
    <w:rsid w:val="00976317"/>
    <w:rsid w:val="009767A5"/>
    <w:rsid w:val="00977C7A"/>
    <w:rsid w:val="00980165"/>
    <w:rsid w:val="00980331"/>
    <w:rsid w:val="00980338"/>
    <w:rsid w:val="009806F2"/>
    <w:rsid w:val="00982D05"/>
    <w:rsid w:val="00982E0F"/>
    <w:rsid w:val="00983A9A"/>
    <w:rsid w:val="00984E9F"/>
    <w:rsid w:val="0098546C"/>
    <w:rsid w:val="0098611F"/>
    <w:rsid w:val="009872B8"/>
    <w:rsid w:val="00987632"/>
    <w:rsid w:val="00987833"/>
    <w:rsid w:val="00987BF2"/>
    <w:rsid w:val="009900AF"/>
    <w:rsid w:val="00990A9D"/>
    <w:rsid w:val="0099118D"/>
    <w:rsid w:val="009914B9"/>
    <w:rsid w:val="00991718"/>
    <w:rsid w:val="00992D6C"/>
    <w:rsid w:val="00992E9D"/>
    <w:rsid w:val="0099439A"/>
    <w:rsid w:val="0099458D"/>
    <w:rsid w:val="0099483F"/>
    <w:rsid w:val="00994A7F"/>
    <w:rsid w:val="00994D9F"/>
    <w:rsid w:val="0099543A"/>
    <w:rsid w:val="009959CD"/>
    <w:rsid w:val="00996C48"/>
    <w:rsid w:val="00997B4D"/>
    <w:rsid w:val="009A12EB"/>
    <w:rsid w:val="009A1817"/>
    <w:rsid w:val="009A1919"/>
    <w:rsid w:val="009A2C99"/>
    <w:rsid w:val="009A2FCA"/>
    <w:rsid w:val="009A33B5"/>
    <w:rsid w:val="009A35F2"/>
    <w:rsid w:val="009A367A"/>
    <w:rsid w:val="009A4C54"/>
    <w:rsid w:val="009A4CA4"/>
    <w:rsid w:val="009A4EF2"/>
    <w:rsid w:val="009A5343"/>
    <w:rsid w:val="009A547C"/>
    <w:rsid w:val="009A6008"/>
    <w:rsid w:val="009A65BF"/>
    <w:rsid w:val="009A65FE"/>
    <w:rsid w:val="009A6A73"/>
    <w:rsid w:val="009A6C5B"/>
    <w:rsid w:val="009A6E17"/>
    <w:rsid w:val="009A7424"/>
    <w:rsid w:val="009B006A"/>
    <w:rsid w:val="009B0433"/>
    <w:rsid w:val="009B051E"/>
    <w:rsid w:val="009B2304"/>
    <w:rsid w:val="009B27BE"/>
    <w:rsid w:val="009B2A00"/>
    <w:rsid w:val="009B2C11"/>
    <w:rsid w:val="009B31D8"/>
    <w:rsid w:val="009B4004"/>
    <w:rsid w:val="009B5CAD"/>
    <w:rsid w:val="009B6199"/>
    <w:rsid w:val="009B6A5D"/>
    <w:rsid w:val="009B6D88"/>
    <w:rsid w:val="009B7DD5"/>
    <w:rsid w:val="009C26B9"/>
    <w:rsid w:val="009C28F6"/>
    <w:rsid w:val="009C291D"/>
    <w:rsid w:val="009C2A2A"/>
    <w:rsid w:val="009C2A52"/>
    <w:rsid w:val="009C2D1E"/>
    <w:rsid w:val="009C3547"/>
    <w:rsid w:val="009C356B"/>
    <w:rsid w:val="009C37AD"/>
    <w:rsid w:val="009C3FBF"/>
    <w:rsid w:val="009C4851"/>
    <w:rsid w:val="009C4FA8"/>
    <w:rsid w:val="009C5125"/>
    <w:rsid w:val="009C5847"/>
    <w:rsid w:val="009C5BD8"/>
    <w:rsid w:val="009D0B45"/>
    <w:rsid w:val="009D0C80"/>
    <w:rsid w:val="009D0D54"/>
    <w:rsid w:val="009D12CB"/>
    <w:rsid w:val="009D18CA"/>
    <w:rsid w:val="009D195E"/>
    <w:rsid w:val="009D1F4F"/>
    <w:rsid w:val="009D20E2"/>
    <w:rsid w:val="009D28F4"/>
    <w:rsid w:val="009D2E70"/>
    <w:rsid w:val="009D3CF5"/>
    <w:rsid w:val="009D42DA"/>
    <w:rsid w:val="009D4AA1"/>
    <w:rsid w:val="009D570A"/>
    <w:rsid w:val="009D674E"/>
    <w:rsid w:val="009D687C"/>
    <w:rsid w:val="009D6B22"/>
    <w:rsid w:val="009D73F6"/>
    <w:rsid w:val="009D7B6C"/>
    <w:rsid w:val="009E0430"/>
    <w:rsid w:val="009E0759"/>
    <w:rsid w:val="009E1338"/>
    <w:rsid w:val="009E173E"/>
    <w:rsid w:val="009E1FBA"/>
    <w:rsid w:val="009E24C8"/>
    <w:rsid w:val="009E342D"/>
    <w:rsid w:val="009E4075"/>
    <w:rsid w:val="009E41C8"/>
    <w:rsid w:val="009E58CC"/>
    <w:rsid w:val="009E5A02"/>
    <w:rsid w:val="009E5E80"/>
    <w:rsid w:val="009E6FA4"/>
    <w:rsid w:val="009E7E56"/>
    <w:rsid w:val="009E7E77"/>
    <w:rsid w:val="009F07A6"/>
    <w:rsid w:val="009F2380"/>
    <w:rsid w:val="009F2B4C"/>
    <w:rsid w:val="009F3728"/>
    <w:rsid w:val="009F3EE0"/>
    <w:rsid w:val="009F4195"/>
    <w:rsid w:val="009F559E"/>
    <w:rsid w:val="009F5DC4"/>
    <w:rsid w:val="009F6175"/>
    <w:rsid w:val="009F6854"/>
    <w:rsid w:val="009F7712"/>
    <w:rsid w:val="009F798F"/>
    <w:rsid w:val="00A00C13"/>
    <w:rsid w:val="00A01811"/>
    <w:rsid w:val="00A01A9E"/>
    <w:rsid w:val="00A01E17"/>
    <w:rsid w:val="00A0211A"/>
    <w:rsid w:val="00A023C0"/>
    <w:rsid w:val="00A0240F"/>
    <w:rsid w:val="00A049FC"/>
    <w:rsid w:val="00A04E5F"/>
    <w:rsid w:val="00A05321"/>
    <w:rsid w:val="00A05364"/>
    <w:rsid w:val="00A05CE0"/>
    <w:rsid w:val="00A069D6"/>
    <w:rsid w:val="00A06B57"/>
    <w:rsid w:val="00A06E97"/>
    <w:rsid w:val="00A078E7"/>
    <w:rsid w:val="00A07E7C"/>
    <w:rsid w:val="00A10227"/>
    <w:rsid w:val="00A102B3"/>
    <w:rsid w:val="00A105F5"/>
    <w:rsid w:val="00A11C4A"/>
    <w:rsid w:val="00A12677"/>
    <w:rsid w:val="00A1412B"/>
    <w:rsid w:val="00A14A32"/>
    <w:rsid w:val="00A160F7"/>
    <w:rsid w:val="00A16AB0"/>
    <w:rsid w:val="00A17A4A"/>
    <w:rsid w:val="00A17CA4"/>
    <w:rsid w:val="00A2099D"/>
    <w:rsid w:val="00A20A83"/>
    <w:rsid w:val="00A22504"/>
    <w:rsid w:val="00A232C3"/>
    <w:rsid w:val="00A23A7B"/>
    <w:rsid w:val="00A23CE4"/>
    <w:rsid w:val="00A242C7"/>
    <w:rsid w:val="00A24323"/>
    <w:rsid w:val="00A2494A"/>
    <w:rsid w:val="00A24EFC"/>
    <w:rsid w:val="00A265A5"/>
    <w:rsid w:val="00A26786"/>
    <w:rsid w:val="00A26B9C"/>
    <w:rsid w:val="00A27E54"/>
    <w:rsid w:val="00A30D48"/>
    <w:rsid w:val="00A31183"/>
    <w:rsid w:val="00A31A4B"/>
    <w:rsid w:val="00A31F6F"/>
    <w:rsid w:val="00A32206"/>
    <w:rsid w:val="00A332D9"/>
    <w:rsid w:val="00A354DC"/>
    <w:rsid w:val="00A35D7D"/>
    <w:rsid w:val="00A371CA"/>
    <w:rsid w:val="00A372EB"/>
    <w:rsid w:val="00A40607"/>
    <w:rsid w:val="00A407DE"/>
    <w:rsid w:val="00A40A97"/>
    <w:rsid w:val="00A4115B"/>
    <w:rsid w:val="00A44068"/>
    <w:rsid w:val="00A44936"/>
    <w:rsid w:val="00A462D3"/>
    <w:rsid w:val="00A464EB"/>
    <w:rsid w:val="00A46C2D"/>
    <w:rsid w:val="00A46E59"/>
    <w:rsid w:val="00A4768A"/>
    <w:rsid w:val="00A476B1"/>
    <w:rsid w:val="00A477C8"/>
    <w:rsid w:val="00A4784D"/>
    <w:rsid w:val="00A47D95"/>
    <w:rsid w:val="00A509A4"/>
    <w:rsid w:val="00A50FF3"/>
    <w:rsid w:val="00A51497"/>
    <w:rsid w:val="00A51947"/>
    <w:rsid w:val="00A52519"/>
    <w:rsid w:val="00A52575"/>
    <w:rsid w:val="00A529C6"/>
    <w:rsid w:val="00A52C08"/>
    <w:rsid w:val="00A53377"/>
    <w:rsid w:val="00A53AC7"/>
    <w:rsid w:val="00A53E91"/>
    <w:rsid w:val="00A54270"/>
    <w:rsid w:val="00A55F7F"/>
    <w:rsid w:val="00A56302"/>
    <w:rsid w:val="00A567BE"/>
    <w:rsid w:val="00A56A99"/>
    <w:rsid w:val="00A571C9"/>
    <w:rsid w:val="00A5730F"/>
    <w:rsid w:val="00A60C1B"/>
    <w:rsid w:val="00A628FD"/>
    <w:rsid w:val="00A63A3A"/>
    <w:rsid w:val="00A6488D"/>
    <w:rsid w:val="00A64C55"/>
    <w:rsid w:val="00A65462"/>
    <w:rsid w:val="00A66530"/>
    <w:rsid w:val="00A66EFB"/>
    <w:rsid w:val="00A670BA"/>
    <w:rsid w:val="00A7004B"/>
    <w:rsid w:val="00A70089"/>
    <w:rsid w:val="00A70305"/>
    <w:rsid w:val="00A71AFE"/>
    <w:rsid w:val="00A721B9"/>
    <w:rsid w:val="00A74675"/>
    <w:rsid w:val="00A7493A"/>
    <w:rsid w:val="00A74C4E"/>
    <w:rsid w:val="00A74EA0"/>
    <w:rsid w:val="00A76AE4"/>
    <w:rsid w:val="00A778D8"/>
    <w:rsid w:val="00A80B02"/>
    <w:rsid w:val="00A8138A"/>
    <w:rsid w:val="00A81B8A"/>
    <w:rsid w:val="00A81D0A"/>
    <w:rsid w:val="00A82D9E"/>
    <w:rsid w:val="00A8521D"/>
    <w:rsid w:val="00A8656C"/>
    <w:rsid w:val="00A86F7E"/>
    <w:rsid w:val="00A87968"/>
    <w:rsid w:val="00A87FB4"/>
    <w:rsid w:val="00A90486"/>
    <w:rsid w:val="00A90954"/>
    <w:rsid w:val="00A90A93"/>
    <w:rsid w:val="00A90BAF"/>
    <w:rsid w:val="00A9125E"/>
    <w:rsid w:val="00A9132B"/>
    <w:rsid w:val="00A9296E"/>
    <w:rsid w:val="00A931E2"/>
    <w:rsid w:val="00A93E8E"/>
    <w:rsid w:val="00A9447B"/>
    <w:rsid w:val="00A94DF9"/>
    <w:rsid w:val="00A95B54"/>
    <w:rsid w:val="00A95EDC"/>
    <w:rsid w:val="00A96508"/>
    <w:rsid w:val="00A970B8"/>
    <w:rsid w:val="00A97B69"/>
    <w:rsid w:val="00A97BB8"/>
    <w:rsid w:val="00AA0D6B"/>
    <w:rsid w:val="00AA0E87"/>
    <w:rsid w:val="00AA235F"/>
    <w:rsid w:val="00AA340D"/>
    <w:rsid w:val="00AA4600"/>
    <w:rsid w:val="00AA5B0C"/>
    <w:rsid w:val="00AA6037"/>
    <w:rsid w:val="00AA631B"/>
    <w:rsid w:val="00AA6387"/>
    <w:rsid w:val="00AA695C"/>
    <w:rsid w:val="00AA6DEC"/>
    <w:rsid w:val="00AA72DB"/>
    <w:rsid w:val="00AA7405"/>
    <w:rsid w:val="00AB2207"/>
    <w:rsid w:val="00AB24E3"/>
    <w:rsid w:val="00AB3187"/>
    <w:rsid w:val="00AB334E"/>
    <w:rsid w:val="00AB3460"/>
    <w:rsid w:val="00AB3963"/>
    <w:rsid w:val="00AB3D96"/>
    <w:rsid w:val="00AB4835"/>
    <w:rsid w:val="00AB49A8"/>
    <w:rsid w:val="00AB4A4E"/>
    <w:rsid w:val="00AB4CB3"/>
    <w:rsid w:val="00AB55C5"/>
    <w:rsid w:val="00AB5998"/>
    <w:rsid w:val="00AB5D2F"/>
    <w:rsid w:val="00AB5E10"/>
    <w:rsid w:val="00AB5E80"/>
    <w:rsid w:val="00AC0288"/>
    <w:rsid w:val="00AC0897"/>
    <w:rsid w:val="00AC14C0"/>
    <w:rsid w:val="00AC1980"/>
    <w:rsid w:val="00AC1B14"/>
    <w:rsid w:val="00AC1D68"/>
    <w:rsid w:val="00AC2140"/>
    <w:rsid w:val="00AC2604"/>
    <w:rsid w:val="00AC2936"/>
    <w:rsid w:val="00AC2C39"/>
    <w:rsid w:val="00AC2D4F"/>
    <w:rsid w:val="00AC4243"/>
    <w:rsid w:val="00AC4A20"/>
    <w:rsid w:val="00AC500B"/>
    <w:rsid w:val="00AC60BC"/>
    <w:rsid w:val="00AC65FE"/>
    <w:rsid w:val="00AC67E0"/>
    <w:rsid w:val="00AC6F05"/>
    <w:rsid w:val="00AD08BB"/>
    <w:rsid w:val="00AD1279"/>
    <w:rsid w:val="00AD12A3"/>
    <w:rsid w:val="00AD3234"/>
    <w:rsid w:val="00AD35BA"/>
    <w:rsid w:val="00AD3607"/>
    <w:rsid w:val="00AD36BE"/>
    <w:rsid w:val="00AD4113"/>
    <w:rsid w:val="00AD472D"/>
    <w:rsid w:val="00AD559F"/>
    <w:rsid w:val="00AD561D"/>
    <w:rsid w:val="00AD63EE"/>
    <w:rsid w:val="00AD6DE1"/>
    <w:rsid w:val="00AD710A"/>
    <w:rsid w:val="00AD734A"/>
    <w:rsid w:val="00AD78FA"/>
    <w:rsid w:val="00AE0952"/>
    <w:rsid w:val="00AE129C"/>
    <w:rsid w:val="00AE1ACC"/>
    <w:rsid w:val="00AE27D7"/>
    <w:rsid w:val="00AE290E"/>
    <w:rsid w:val="00AE3000"/>
    <w:rsid w:val="00AE3489"/>
    <w:rsid w:val="00AE3658"/>
    <w:rsid w:val="00AE36F1"/>
    <w:rsid w:val="00AE3A32"/>
    <w:rsid w:val="00AE47A2"/>
    <w:rsid w:val="00AE5569"/>
    <w:rsid w:val="00AE556C"/>
    <w:rsid w:val="00AE6055"/>
    <w:rsid w:val="00AE6877"/>
    <w:rsid w:val="00AE7129"/>
    <w:rsid w:val="00AF06EC"/>
    <w:rsid w:val="00AF104A"/>
    <w:rsid w:val="00AF1312"/>
    <w:rsid w:val="00AF1517"/>
    <w:rsid w:val="00AF1B39"/>
    <w:rsid w:val="00AF253E"/>
    <w:rsid w:val="00AF26B5"/>
    <w:rsid w:val="00AF2825"/>
    <w:rsid w:val="00AF3050"/>
    <w:rsid w:val="00AF41DC"/>
    <w:rsid w:val="00AF46A0"/>
    <w:rsid w:val="00AF46D4"/>
    <w:rsid w:val="00AF4B49"/>
    <w:rsid w:val="00AF4F95"/>
    <w:rsid w:val="00AF510A"/>
    <w:rsid w:val="00AF6E0A"/>
    <w:rsid w:val="00B00257"/>
    <w:rsid w:val="00B007C4"/>
    <w:rsid w:val="00B00EDE"/>
    <w:rsid w:val="00B01524"/>
    <w:rsid w:val="00B01956"/>
    <w:rsid w:val="00B0204B"/>
    <w:rsid w:val="00B02579"/>
    <w:rsid w:val="00B02AE8"/>
    <w:rsid w:val="00B0369D"/>
    <w:rsid w:val="00B04A89"/>
    <w:rsid w:val="00B04F1C"/>
    <w:rsid w:val="00B05488"/>
    <w:rsid w:val="00B05674"/>
    <w:rsid w:val="00B05967"/>
    <w:rsid w:val="00B0606A"/>
    <w:rsid w:val="00B0624A"/>
    <w:rsid w:val="00B0689E"/>
    <w:rsid w:val="00B07104"/>
    <w:rsid w:val="00B07D51"/>
    <w:rsid w:val="00B07EDB"/>
    <w:rsid w:val="00B1014C"/>
    <w:rsid w:val="00B102B0"/>
    <w:rsid w:val="00B103F9"/>
    <w:rsid w:val="00B1060E"/>
    <w:rsid w:val="00B12056"/>
    <w:rsid w:val="00B12186"/>
    <w:rsid w:val="00B122EF"/>
    <w:rsid w:val="00B1311D"/>
    <w:rsid w:val="00B1330D"/>
    <w:rsid w:val="00B14CA8"/>
    <w:rsid w:val="00B164EB"/>
    <w:rsid w:val="00B1712F"/>
    <w:rsid w:val="00B20B85"/>
    <w:rsid w:val="00B21080"/>
    <w:rsid w:val="00B21603"/>
    <w:rsid w:val="00B22117"/>
    <w:rsid w:val="00B22399"/>
    <w:rsid w:val="00B229FD"/>
    <w:rsid w:val="00B22F3B"/>
    <w:rsid w:val="00B235AF"/>
    <w:rsid w:val="00B23C5E"/>
    <w:rsid w:val="00B248D1"/>
    <w:rsid w:val="00B26283"/>
    <w:rsid w:val="00B264BC"/>
    <w:rsid w:val="00B267DC"/>
    <w:rsid w:val="00B27AF2"/>
    <w:rsid w:val="00B3031D"/>
    <w:rsid w:val="00B3051E"/>
    <w:rsid w:val="00B317A3"/>
    <w:rsid w:val="00B31B75"/>
    <w:rsid w:val="00B31CE9"/>
    <w:rsid w:val="00B31F35"/>
    <w:rsid w:val="00B32081"/>
    <w:rsid w:val="00B3211E"/>
    <w:rsid w:val="00B32442"/>
    <w:rsid w:val="00B33805"/>
    <w:rsid w:val="00B33BB9"/>
    <w:rsid w:val="00B342B4"/>
    <w:rsid w:val="00B347AE"/>
    <w:rsid w:val="00B348E4"/>
    <w:rsid w:val="00B35DE1"/>
    <w:rsid w:val="00B361FF"/>
    <w:rsid w:val="00B3687A"/>
    <w:rsid w:val="00B36C25"/>
    <w:rsid w:val="00B4022B"/>
    <w:rsid w:val="00B414E2"/>
    <w:rsid w:val="00B418AF"/>
    <w:rsid w:val="00B418EB"/>
    <w:rsid w:val="00B42BAA"/>
    <w:rsid w:val="00B42BBD"/>
    <w:rsid w:val="00B432E5"/>
    <w:rsid w:val="00B4381F"/>
    <w:rsid w:val="00B44CD6"/>
    <w:rsid w:val="00B45078"/>
    <w:rsid w:val="00B4521A"/>
    <w:rsid w:val="00B45DF4"/>
    <w:rsid w:val="00B47157"/>
    <w:rsid w:val="00B476FD"/>
    <w:rsid w:val="00B50FC2"/>
    <w:rsid w:val="00B51795"/>
    <w:rsid w:val="00B5225E"/>
    <w:rsid w:val="00B525FA"/>
    <w:rsid w:val="00B52C04"/>
    <w:rsid w:val="00B52D47"/>
    <w:rsid w:val="00B52DFC"/>
    <w:rsid w:val="00B53EAA"/>
    <w:rsid w:val="00B53F0C"/>
    <w:rsid w:val="00B53F91"/>
    <w:rsid w:val="00B54F52"/>
    <w:rsid w:val="00B562E6"/>
    <w:rsid w:val="00B5799F"/>
    <w:rsid w:val="00B57F2A"/>
    <w:rsid w:val="00B60608"/>
    <w:rsid w:val="00B60BD8"/>
    <w:rsid w:val="00B60D3B"/>
    <w:rsid w:val="00B61146"/>
    <w:rsid w:val="00B61D5B"/>
    <w:rsid w:val="00B620D7"/>
    <w:rsid w:val="00B62358"/>
    <w:rsid w:val="00B62FB4"/>
    <w:rsid w:val="00B633E5"/>
    <w:rsid w:val="00B64FB4"/>
    <w:rsid w:val="00B6589B"/>
    <w:rsid w:val="00B65B01"/>
    <w:rsid w:val="00B65C72"/>
    <w:rsid w:val="00B665CE"/>
    <w:rsid w:val="00B679A8"/>
    <w:rsid w:val="00B7011C"/>
    <w:rsid w:val="00B7045C"/>
    <w:rsid w:val="00B70A16"/>
    <w:rsid w:val="00B70B9D"/>
    <w:rsid w:val="00B72A54"/>
    <w:rsid w:val="00B73526"/>
    <w:rsid w:val="00B7373C"/>
    <w:rsid w:val="00B73B38"/>
    <w:rsid w:val="00B73BBB"/>
    <w:rsid w:val="00B73D46"/>
    <w:rsid w:val="00B74221"/>
    <w:rsid w:val="00B7471D"/>
    <w:rsid w:val="00B7479B"/>
    <w:rsid w:val="00B74C81"/>
    <w:rsid w:val="00B75579"/>
    <w:rsid w:val="00B765B8"/>
    <w:rsid w:val="00B77413"/>
    <w:rsid w:val="00B77B35"/>
    <w:rsid w:val="00B77B56"/>
    <w:rsid w:val="00B77D40"/>
    <w:rsid w:val="00B805DC"/>
    <w:rsid w:val="00B80C04"/>
    <w:rsid w:val="00B80E8B"/>
    <w:rsid w:val="00B826D1"/>
    <w:rsid w:val="00B83435"/>
    <w:rsid w:val="00B839A4"/>
    <w:rsid w:val="00B8424E"/>
    <w:rsid w:val="00B84D25"/>
    <w:rsid w:val="00B8538B"/>
    <w:rsid w:val="00B873B3"/>
    <w:rsid w:val="00B87563"/>
    <w:rsid w:val="00B87787"/>
    <w:rsid w:val="00B90111"/>
    <w:rsid w:val="00B90182"/>
    <w:rsid w:val="00B90747"/>
    <w:rsid w:val="00B90D67"/>
    <w:rsid w:val="00B90E07"/>
    <w:rsid w:val="00B91779"/>
    <w:rsid w:val="00B92BA5"/>
    <w:rsid w:val="00B92C62"/>
    <w:rsid w:val="00B92C98"/>
    <w:rsid w:val="00B94384"/>
    <w:rsid w:val="00B946FD"/>
    <w:rsid w:val="00B963E8"/>
    <w:rsid w:val="00B966A4"/>
    <w:rsid w:val="00B970A7"/>
    <w:rsid w:val="00BA0EFF"/>
    <w:rsid w:val="00BA122B"/>
    <w:rsid w:val="00BA226A"/>
    <w:rsid w:val="00BA29F1"/>
    <w:rsid w:val="00BA3021"/>
    <w:rsid w:val="00BA327D"/>
    <w:rsid w:val="00BA37BE"/>
    <w:rsid w:val="00BA4124"/>
    <w:rsid w:val="00BA5965"/>
    <w:rsid w:val="00BA623A"/>
    <w:rsid w:val="00BA6BB5"/>
    <w:rsid w:val="00BA7729"/>
    <w:rsid w:val="00BA7950"/>
    <w:rsid w:val="00BA7BC0"/>
    <w:rsid w:val="00BB02A1"/>
    <w:rsid w:val="00BB0812"/>
    <w:rsid w:val="00BB0F3B"/>
    <w:rsid w:val="00BB0F67"/>
    <w:rsid w:val="00BB10B1"/>
    <w:rsid w:val="00BB175F"/>
    <w:rsid w:val="00BB260A"/>
    <w:rsid w:val="00BB2FC0"/>
    <w:rsid w:val="00BB355B"/>
    <w:rsid w:val="00BB3E28"/>
    <w:rsid w:val="00BB3E44"/>
    <w:rsid w:val="00BB4AAC"/>
    <w:rsid w:val="00BB4F39"/>
    <w:rsid w:val="00BB5A10"/>
    <w:rsid w:val="00BB674D"/>
    <w:rsid w:val="00BB6AC7"/>
    <w:rsid w:val="00BB74FB"/>
    <w:rsid w:val="00BB7631"/>
    <w:rsid w:val="00BB78C5"/>
    <w:rsid w:val="00BB78CD"/>
    <w:rsid w:val="00BB7C58"/>
    <w:rsid w:val="00BC0015"/>
    <w:rsid w:val="00BC0595"/>
    <w:rsid w:val="00BC0832"/>
    <w:rsid w:val="00BC1184"/>
    <w:rsid w:val="00BC1503"/>
    <w:rsid w:val="00BC150E"/>
    <w:rsid w:val="00BC20C1"/>
    <w:rsid w:val="00BC3285"/>
    <w:rsid w:val="00BC3592"/>
    <w:rsid w:val="00BC3AA6"/>
    <w:rsid w:val="00BC3FA3"/>
    <w:rsid w:val="00BC486E"/>
    <w:rsid w:val="00BC5001"/>
    <w:rsid w:val="00BC5D19"/>
    <w:rsid w:val="00BC635B"/>
    <w:rsid w:val="00BC6770"/>
    <w:rsid w:val="00BC7D69"/>
    <w:rsid w:val="00BC7FC3"/>
    <w:rsid w:val="00BD0628"/>
    <w:rsid w:val="00BD09B8"/>
    <w:rsid w:val="00BD1709"/>
    <w:rsid w:val="00BD1731"/>
    <w:rsid w:val="00BD276A"/>
    <w:rsid w:val="00BD30AD"/>
    <w:rsid w:val="00BD3851"/>
    <w:rsid w:val="00BD43E0"/>
    <w:rsid w:val="00BD4F0D"/>
    <w:rsid w:val="00BD52E7"/>
    <w:rsid w:val="00BD57C8"/>
    <w:rsid w:val="00BD5833"/>
    <w:rsid w:val="00BD5BA2"/>
    <w:rsid w:val="00BD61C6"/>
    <w:rsid w:val="00BD6C22"/>
    <w:rsid w:val="00BD7137"/>
    <w:rsid w:val="00BE036B"/>
    <w:rsid w:val="00BE03F0"/>
    <w:rsid w:val="00BE04DC"/>
    <w:rsid w:val="00BE08BB"/>
    <w:rsid w:val="00BE0F5D"/>
    <w:rsid w:val="00BE2349"/>
    <w:rsid w:val="00BE2AEC"/>
    <w:rsid w:val="00BE3AC6"/>
    <w:rsid w:val="00BE3F6A"/>
    <w:rsid w:val="00BE4552"/>
    <w:rsid w:val="00BE50DA"/>
    <w:rsid w:val="00BE519D"/>
    <w:rsid w:val="00BE5A34"/>
    <w:rsid w:val="00BE6532"/>
    <w:rsid w:val="00BE6AE6"/>
    <w:rsid w:val="00BE7AFC"/>
    <w:rsid w:val="00BE7FD3"/>
    <w:rsid w:val="00BF0306"/>
    <w:rsid w:val="00BF11E6"/>
    <w:rsid w:val="00BF1A59"/>
    <w:rsid w:val="00BF22B5"/>
    <w:rsid w:val="00BF2AA4"/>
    <w:rsid w:val="00BF3075"/>
    <w:rsid w:val="00BF3704"/>
    <w:rsid w:val="00BF3A52"/>
    <w:rsid w:val="00BF3A69"/>
    <w:rsid w:val="00BF4BB9"/>
    <w:rsid w:val="00BF535E"/>
    <w:rsid w:val="00BF576E"/>
    <w:rsid w:val="00BF5ADE"/>
    <w:rsid w:val="00BF6107"/>
    <w:rsid w:val="00BF6B66"/>
    <w:rsid w:val="00BF7A99"/>
    <w:rsid w:val="00C00743"/>
    <w:rsid w:val="00C0082C"/>
    <w:rsid w:val="00C009E3"/>
    <w:rsid w:val="00C00F8D"/>
    <w:rsid w:val="00C0125E"/>
    <w:rsid w:val="00C01ED3"/>
    <w:rsid w:val="00C029CA"/>
    <w:rsid w:val="00C02CED"/>
    <w:rsid w:val="00C02E23"/>
    <w:rsid w:val="00C0331A"/>
    <w:rsid w:val="00C03468"/>
    <w:rsid w:val="00C0385B"/>
    <w:rsid w:val="00C03BB2"/>
    <w:rsid w:val="00C03BBA"/>
    <w:rsid w:val="00C04877"/>
    <w:rsid w:val="00C04BB3"/>
    <w:rsid w:val="00C05F89"/>
    <w:rsid w:val="00C05FF3"/>
    <w:rsid w:val="00C06EAE"/>
    <w:rsid w:val="00C0725B"/>
    <w:rsid w:val="00C07BE9"/>
    <w:rsid w:val="00C07C9D"/>
    <w:rsid w:val="00C132EB"/>
    <w:rsid w:val="00C1366C"/>
    <w:rsid w:val="00C136C6"/>
    <w:rsid w:val="00C15194"/>
    <w:rsid w:val="00C15EE3"/>
    <w:rsid w:val="00C16E24"/>
    <w:rsid w:val="00C17686"/>
    <w:rsid w:val="00C20096"/>
    <w:rsid w:val="00C20AA1"/>
    <w:rsid w:val="00C21DF5"/>
    <w:rsid w:val="00C21FE0"/>
    <w:rsid w:val="00C2252A"/>
    <w:rsid w:val="00C22E90"/>
    <w:rsid w:val="00C2489F"/>
    <w:rsid w:val="00C2516C"/>
    <w:rsid w:val="00C2518D"/>
    <w:rsid w:val="00C25260"/>
    <w:rsid w:val="00C25322"/>
    <w:rsid w:val="00C256C1"/>
    <w:rsid w:val="00C25706"/>
    <w:rsid w:val="00C25CB5"/>
    <w:rsid w:val="00C27D95"/>
    <w:rsid w:val="00C300D4"/>
    <w:rsid w:val="00C315FF"/>
    <w:rsid w:val="00C319CF"/>
    <w:rsid w:val="00C31AD3"/>
    <w:rsid w:val="00C31BAB"/>
    <w:rsid w:val="00C32230"/>
    <w:rsid w:val="00C330D3"/>
    <w:rsid w:val="00C33111"/>
    <w:rsid w:val="00C356A5"/>
    <w:rsid w:val="00C369C1"/>
    <w:rsid w:val="00C36E72"/>
    <w:rsid w:val="00C4008F"/>
    <w:rsid w:val="00C408B8"/>
    <w:rsid w:val="00C40AE7"/>
    <w:rsid w:val="00C40FA3"/>
    <w:rsid w:val="00C42A95"/>
    <w:rsid w:val="00C42F0A"/>
    <w:rsid w:val="00C43664"/>
    <w:rsid w:val="00C4424A"/>
    <w:rsid w:val="00C442EF"/>
    <w:rsid w:val="00C44AD1"/>
    <w:rsid w:val="00C45B08"/>
    <w:rsid w:val="00C461BF"/>
    <w:rsid w:val="00C46660"/>
    <w:rsid w:val="00C4685E"/>
    <w:rsid w:val="00C469C8"/>
    <w:rsid w:val="00C47B1F"/>
    <w:rsid w:val="00C47DEC"/>
    <w:rsid w:val="00C51110"/>
    <w:rsid w:val="00C5157E"/>
    <w:rsid w:val="00C52353"/>
    <w:rsid w:val="00C527DF"/>
    <w:rsid w:val="00C531B6"/>
    <w:rsid w:val="00C531FD"/>
    <w:rsid w:val="00C5351B"/>
    <w:rsid w:val="00C53747"/>
    <w:rsid w:val="00C54387"/>
    <w:rsid w:val="00C545C3"/>
    <w:rsid w:val="00C5495D"/>
    <w:rsid w:val="00C55283"/>
    <w:rsid w:val="00C570A9"/>
    <w:rsid w:val="00C57104"/>
    <w:rsid w:val="00C60A2F"/>
    <w:rsid w:val="00C60A8F"/>
    <w:rsid w:val="00C60ADA"/>
    <w:rsid w:val="00C60C8F"/>
    <w:rsid w:val="00C60F9F"/>
    <w:rsid w:val="00C610F6"/>
    <w:rsid w:val="00C612A2"/>
    <w:rsid w:val="00C6236D"/>
    <w:rsid w:val="00C6241F"/>
    <w:rsid w:val="00C6246C"/>
    <w:rsid w:val="00C6278C"/>
    <w:rsid w:val="00C6361C"/>
    <w:rsid w:val="00C6375B"/>
    <w:rsid w:val="00C644FF"/>
    <w:rsid w:val="00C64A8B"/>
    <w:rsid w:val="00C64AFC"/>
    <w:rsid w:val="00C65156"/>
    <w:rsid w:val="00C654A0"/>
    <w:rsid w:val="00C655B0"/>
    <w:rsid w:val="00C657D7"/>
    <w:rsid w:val="00C66961"/>
    <w:rsid w:val="00C66B0F"/>
    <w:rsid w:val="00C66BB1"/>
    <w:rsid w:val="00C66C0A"/>
    <w:rsid w:val="00C66CC2"/>
    <w:rsid w:val="00C673BF"/>
    <w:rsid w:val="00C67C56"/>
    <w:rsid w:val="00C700EC"/>
    <w:rsid w:val="00C71001"/>
    <w:rsid w:val="00C71250"/>
    <w:rsid w:val="00C7155E"/>
    <w:rsid w:val="00C72037"/>
    <w:rsid w:val="00C72219"/>
    <w:rsid w:val="00C74239"/>
    <w:rsid w:val="00C74658"/>
    <w:rsid w:val="00C75224"/>
    <w:rsid w:val="00C754FA"/>
    <w:rsid w:val="00C75C94"/>
    <w:rsid w:val="00C75DF2"/>
    <w:rsid w:val="00C76242"/>
    <w:rsid w:val="00C76D0A"/>
    <w:rsid w:val="00C7740E"/>
    <w:rsid w:val="00C7783E"/>
    <w:rsid w:val="00C813D5"/>
    <w:rsid w:val="00C81B8E"/>
    <w:rsid w:val="00C82AB8"/>
    <w:rsid w:val="00C8324B"/>
    <w:rsid w:val="00C83278"/>
    <w:rsid w:val="00C83A85"/>
    <w:rsid w:val="00C84636"/>
    <w:rsid w:val="00C87D6B"/>
    <w:rsid w:val="00C87F10"/>
    <w:rsid w:val="00C909A9"/>
    <w:rsid w:val="00C91317"/>
    <w:rsid w:val="00C9191A"/>
    <w:rsid w:val="00C922D6"/>
    <w:rsid w:val="00C93B9E"/>
    <w:rsid w:val="00C94403"/>
    <w:rsid w:val="00C94E9D"/>
    <w:rsid w:val="00C953C5"/>
    <w:rsid w:val="00C95931"/>
    <w:rsid w:val="00C96A10"/>
    <w:rsid w:val="00C96BAE"/>
    <w:rsid w:val="00C96F23"/>
    <w:rsid w:val="00C97965"/>
    <w:rsid w:val="00C97C99"/>
    <w:rsid w:val="00CA085A"/>
    <w:rsid w:val="00CA090C"/>
    <w:rsid w:val="00CA15C6"/>
    <w:rsid w:val="00CA3148"/>
    <w:rsid w:val="00CA3367"/>
    <w:rsid w:val="00CA3970"/>
    <w:rsid w:val="00CA4830"/>
    <w:rsid w:val="00CA4D3C"/>
    <w:rsid w:val="00CA5463"/>
    <w:rsid w:val="00CA5EAD"/>
    <w:rsid w:val="00CA601F"/>
    <w:rsid w:val="00CA626F"/>
    <w:rsid w:val="00CA62CC"/>
    <w:rsid w:val="00CB128F"/>
    <w:rsid w:val="00CB218F"/>
    <w:rsid w:val="00CB2F90"/>
    <w:rsid w:val="00CB3701"/>
    <w:rsid w:val="00CB38C1"/>
    <w:rsid w:val="00CB4D76"/>
    <w:rsid w:val="00CB4DBC"/>
    <w:rsid w:val="00CB4F78"/>
    <w:rsid w:val="00CB5181"/>
    <w:rsid w:val="00CB689D"/>
    <w:rsid w:val="00CB7545"/>
    <w:rsid w:val="00CB78EE"/>
    <w:rsid w:val="00CB7EE0"/>
    <w:rsid w:val="00CC09EE"/>
    <w:rsid w:val="00CC0F65"/>
    <w:rsid w:val="00CC1803"/>
    <w:rsid w:val="00CC1F37"/>
    <w:rsid w:val="00CC2C96"/>
    <w:rsid w:val="00CC2FBE"/>
    <w:rsid w:val="00CC3DAC"/>
    <w:rsid w:val="00CC400F"/>
    <w:rsid w:val="00CC5087"/>
    <w:rsid w:val="00CC59EF"/>
    <w:rsid w:val="00CC674A"/>
    <w:rsid w:val="00CC6919"/>
    <w:rsid w:val="00CD0A00"/>
    <w:rsid w:val="00CD0F0B"/>
    <w:rsid w:val="00CD10C6"/>
    <w:rsid w:val="00CD1B2F"/>
    <w:rsid w:val="00CD2B98"/>
    <w:rsid w:val="00CD4101"/>
    <w:rsid w:val="00CD49C8"/>
    <w:rsid w:val="00CD4A1C"/>
    <w:rsid w:val="00CD5FFF"/>
    <w:rsid w:val="00CD6482"/>
    <w:rsid w:val="00CD70B0"/>
    <w:rsid w:val="00CE008C"/>
    <w:rsid w:val="00CE0597"/>
    <w:rsid w:val="00CE14E8"/>
    <w:rsid w:val="00CE185F"/>
    <w:rsid w:val="00CE2375"/>
    <w:rsid w:val="00CE3649"/>
    <w:rsid w:val="00CE38E4"/>
    <w:rsid w:val="00CE3B60"/>
    <w:rsid w:val="00CE3BAA"/>
    <w:rsid w:val="00CE3BCE"/>
    <w:rsid w:val="00CE466B"/>
    <w:rsid w:val="00CE4C50"/>
    <w:rsid w:val="00CE520D"/>
    <w:rsid w:val="00CE5A6C"/>
    <w:rsid w:val="00CE5CDB"/>
    <w:rsid w:val="00CE6A09"/>
    <w:rsid w:val="00CE6B6F"/>
    <w:rsid w:val="00CE7176"/>
    <w:rsid w:val="00CE71EE"/>
    <w:rsid w:val="00CE7BA7"/>
    <w:rsid w:val="00CF0C9D"/>
    <w:rsid w:val="00CF16A5"/>
    <w:rsid w:val="00CF22F9"/>
    <w:rsid w:val="00CF255C"/>
    <w:rsid w:val="00CF3817"/>
    <w:rsid w:val="00CF384D"/>
    <w:rsid w:val="00CF4427"/>
    <w:rsid w:val="00CF4602"/>
    <w:rsid w:val="00CF643B"/>
    <w:rsid w:val="00CF655D"/>
    <w:rsid w:val="00CF6C14"/>
    <w:rsid w:val="00CF6F5A"/>
    <w:rsid w:val="00D002C9"/>
    <w:rsid w:val="00D0057D"/>
    <w:rsid w:val="00D007B1"/>
    <w:rsid w:val="00D00E74"/>
    <w:rsid w:val="00D01336"/>
    <w:rsid w:val="00D0407B"/>
    <w:rsid w:val="00D043CD"/>
    <w:rsid w:val="00D04A68"/>
    <w:rsid w:val="00D04BBF"/>
    <w:rsid w:val="00D04EB5"/>
    <w:rsid w:val="00D0557B"/>
    <w:rsid w:val="00D05A62"/>
    <w:rsid w:val="00D064BC"/>
    <w:rsid w:val="00D079A1"/>
    <w:rsid w:val="00D07A65"/>
    <w:rsid w:val="00D07C36"/>
    <w:rsid w:val="00D103E3"/>
    <w:rsid w:val="00D108CC"/>
    <w:rsid w:val="00D115E6"/>
    <w:rsid w:val="00D121C2"/>
    <w:rsid w:val="00D12217"/>
    <w:rsid w:val="00D12774"/>
    <w:rsid w:val="00D12801"/>
    <w:rsid w:val="00D12815"/>
    <w:rsid w:val="00D1589D"/>
    <w:rsid w:val="00D15ABD"/>
    <w:rsid w:val="00D16065"/>
    <w:rsid w:val="00D1620F"/>
    <w:rsid w:val="00D16430"/>
    <w:rsid w:val="00D167AC"/>
    <w:rsid w:val="00D168F5"/>
    <w:rsid w:val="00D16B35"/>
    <w:rsid w:val="00D16D38"/>
    <w:rsid w:val="00D171C7"/>
    <w:rsid w:val="00D174E6"/>
    <w:rsid w:val="00D17544"/>
    <w:rsid w:val="00D17957"/>
    <w:rsid w:val="00D17978"/>
    <w:rsid w:val="00D2019E"/>
    <w:rsid w:val="00D20490"/>
    <w:rsid w:val="00D2052F"/>
    <w:rsid w:val="00D2113B"/>
    <w:rsid w:val="00D21A58"/>
    <w:rsid w:val="00D21CF9"/>
    <w:rsid w:val="00D229C8"/>
    <w:rsid w:val="00D22E50"/>
    <w:rsid w:val="00D24E99"/>
    <w:rsid w:val="00D25EF1"/>
    <w:rsid w:val="00D26146"/>
    <w:rsid w:val="00D26A4C"/>
    <w:rsid w:val="00D26AE6"/>
    <w:rsid w:val="00D27046"/>
    <w:rsid w:val="00D272F1"/>
    <w:rsid w:val="00D27FDA"/>
    <w:rsid w:val="00D30D81"/>
    <w:rsid w:val="00D32EF1"/>
    <w:rsid w:val="00D337C5"/>
    <w:rsid w:val="00D33B8D"/>
    <w:rsid w:val="00D34D39"/>
    <w:rsid w:val="00D35538"/>
    <w:rsid w:val="00D36252"/>
    <w:rsid w:val="00D36B67"/>
    <w:rsid w:val="00D373B1"/>
    <w:rsid w:val="00D37C47"/>
    <w:rsid w:val="00D400EC"/>
    <w:rsid w:val="00D408F0"/>
    <w:rsid w:val="00D4174E"/>
    <w:rsid w:val="00D41E9D"/>
    <w:rsid w:val="00D43560"/>
    <w:rsid w:val="00D43A16"/>
    <w:rsid w:val="00D44125"/>
    <w:rsid w:val="00D44BE7"/>
    <w:rsid w:val="00D4694D"/>
    <w:rsid w:val="00D46BA1"/>
    <w:rsid w:val="00D50BA7"/>
    <w:rsid w:val="00D5108F"/>
    <w:rsid w:val="00D5137B"/>
    <w:rsid w:val="00D517F8"/>
    <w:rsid w:val="00D52056"/>
    <w:rsid w:val="00D5239D"/>
    <w:rsid w:val="00D5264D"/>
    <w:rsid w:val="00D52ACB"/>
    <w:rsid w:val="00D53676"/>
    <w:rsid w:val="00D54AFF"/>
    <w:rsid w:val="00D55DDF"/>
    <w:rsid w:val="00D56228"/>
    <w:rsid w:val="00D565B3"/>
    <w:rsid w:val="00D56CE1"/>
    <w:rsid w:val="00D57211"/>
    <w:rsid w:val="00D57445"/>
    <w:rsid w:val="00D605F3"/>
    <w:rsid w:val="00D60C3C"/>
    <w:rsid w:val="00D61B92"/>
    <w:rsid w:val="00D61C74"/>
    <w:rsid w:val="00D61F74"/>
    <w:rsid w:val="00D6245F"/>
    <w:rsid w:val="00D62DE9"/>
    <w:rsid w:val="00D63AB4"/>
    <w:rsid w:val="00D63F5F"/>
    <w:rsid w:val="00D64415"/>
    <w:rsid w:val="00D64BD0"/>
    <w:rsid w:val="00D652D5"/>
    <w:rsid w:val="00D6747F"/>
    <w:rsid w:val="00D6753C"/>
    <w:rsid w:val="00D675D3"/>
    <w:rsid w:val="00D676A3"/>
    <w:rsid w:val="00D7025E"/>
    <w:rsid w:val="00D705FD"/>
    <w:rsid w:val="00D7082D"/>
    <w:rsid w:val="00D70B26"/>
    <w:rsid w:val="00D718A5"/>
    <w:rsid w:val="00D71A6A"/>
    <w:rsid w:val="00D734E0"/>
    <w:rsid w:val="00D73EE0"/>
    <w:rsid w:val="00D74345"/>
    <w:rsid w:val="00D74484"/>
    <w:rsid w:val="00D74746"/>
    <w:rsid w:val="00D75FE8"/>
    <w:rsid w:val="00D804A9"/>
    <w:rsid w:val="00D80A34"/>
    <w:rsid w:val="00D80B7F"/>
    <w:rsid w:val="00D81AB2"/>
    <w:rsid w:val="00D82313"/>
    <w:rsid w:val="00D833AC"/>
    <w:rsid w:val="00D84071"/>
    <w:rsid w:val="00D8417A"/>
    <w:rsid w:val="00D847FE"/>
    <w:rsid w:val="00D851D8"/>
    <w:rsid w:val="00D86273"/>
    <w:rsid w:val="00D90EC9"/>
    <w:rsid w:val="00D9115F"/>
    <w:rsid w:val="00D91342"/>
    <w:rsid w:val="00D9167F"/>
    <w:rsid w:val="00D9234E"/>
    <w:rsid w:val="00D92793"/>
    <w:rsid w:val="00D92A51"/>
    <w:rsid w:val="00D92F85"/>
    <w:rsid w:val="00D93369"/>
    <w:rsid w:val="00D93582"/>
    <w:rsid w:val="00D93950"/>
    <w:rsid w:val="00D94034"/>
    <w:rsid w:val="00D944B6"/>
    <w:rsid w:val="00D947C5"/>
    <w:rsid w:val="00D97E1A"/>
    <w:rsid w:val="00D97F10"/>
    <w:rsid w:val="00DA0134"/>
    <w:rsid w:val="00DA0F62"/>
    <w:rsid w:val="00DA1139"/>
    <w:rsid w:val="00DA1ABB"/>
    <w:rsid w:val="00DA203B"/>
    <w:rsid w:val="00DA2AE2"/>
    <w:rsid w:val="00DA3D5E"/>
    <w:rsid w:val="00DA5254"/>
    <w:rsid w:val="00DA6439"/>
    <w:rsid w:val="00DA6646"/>
    <w:rsid w:val="00DA6E43"/>
    <w:rsid w:val="00DA79BE"/>
    <w:rsid w:val="00DB02D7"/>
    <w:rsid w:val="00DB0CFA"/>
    <w:rsid w:val="00DB2D29"/>
    <w:rsid w:val="00DB366E"/>
    <w:rsid w:val="00DB369A"/>
    <w:rsid w:val="00DB41A1"/>
    <w:rsid w:val="00DB4412"/>
    <w:rsid w:val="00DB44CD"/>
    <w:rsid w:val="00DB5727"/>
    <w:rsid w:val="00DB621A"/>
    <w:rsid w:val="00DB6C77"/>
    <w:rsid w:val="00DB74BB"/>
    <w:rsid w:val="00DB784A"/>
    <w:rsid w:val="00DB7AE1"/>
    <w:rsid w:val="00DC08F5"/>
    <w:rsid w:val="00DC0EE4"/>
    <w:rsid w:val="00DC20C0"/>
    <w:rsid w:val="00DC247D"/>
    <w:rsid w:val="00DC30B3"/>
    <w:rsid w:val="00DC3F00"/>
    <w:rsid w:val="00DC3FEC"/>
    <w:rsid w:val="00DC4202"/>
    <w:rsid w:val="00DC4B81"/>
    <w:rsid w:val="00DC5B28"/>
    <w:rsid w:val="00DC64E7"/>
    <w:rsid w:val="00DC6A38"/>
    <w:rsid w:val="00DC6ABF"/>
    <w:rsid w:val="00DC7116"/>
    <w:rsid w:val="00DC7154"/>
    <w:rsid w:val="00DC7273"/>
    <w:rsid w:val="00DC732F"/>
    <w:rsid w:val="00DD0261"/>
    <w:rsid w:val="00DD0EBD"/>
    <w:rsid w:val="00DD12A1"/>
    <w:rsid w:val="00DD3478"/>
    <w:rsid w:val="00DD3C77"/>
    <w:rsid w:val="00DD4CBD"/>
    <w:rsid w:val="00DD4F73"/>
    <w:rsid w:val="00DD59C2"/>
    <w:rsid w:val="00DD700B"/>
    <w:rsid w:val="00DE00AB"/>
    <w:rsid w:val="00DE12DA"/>
    <w:rsid w:val="00DE1B13"/>
    <w:rsid w:val="00DE1C97"/>
    <w:rsid w:val="00DE2599"/>
    <w:rsid w:val="00DE280D"/>
    <w:rsid w:val="00DE2DA8"/>
    <w:rsid w:val="00DE338E"/>
    <w:rsid w:val="00DE35B1"/>
    <w:rsid w:val="00DE450F"/>
    <w:rsid w:val="00DE465E"/>
    <w:rsid w:val="00DE4721"/>
    <w:rsid w:val="00DE485A"/>
    <w:rsid w:val="00DE4BC7"/>
    <w:rsid w:val="00DE4C6F"/>
    <w:rsid w:val="00DE4DC0"/>
    <w:rsid w:val="00DE6133"/>
    <w:rsid w:val="00DF1153"/>
    <w:rsid w:val="00DF18E9"/>
    <w:rsid w:val="00DF1B83"/>
    <w:rsid w:val="00DF1CC9"/>
    <w:rsid w:val="00DF27A0"/>
    <w:rsid w:val="00DF2913"/>
    <w:rsid w:val="00DF356B"/>
    <w:rsid w:val="00DF39A5"/>
    <w:rsid w:val="00DF47C6"/>
    <w:rsid w:val="00DF53A3"/>
    <w:rsid w:val="00DF5D46"/>
    <w:rsid w:val="00DF626A"/>
    <w:rsid w:val="00DF6997"/>
    <w:rsid w:val="00DF6E3B"/>
    <w:rsid w:val="00DF76D5"/>
    <w:rsid w:val="00DF7CA1"/>
    <w:rsid w:val="00E00858"/>
    <w:rsid w:val="00E018EB"/>
    <w:rsid w:val="00E01E8B"/>
    <w:rsid w:val="00E03A28"/>
    <w:rsid w:val="00E03ADC"/>
    <w:rsid w:val="00E03DBC"/>
    <w:rsid w:val="00E04DB4"/>
    <w:rsid w:val="00E050BD"/>
    <w:rsid w:val="00E0571D"/>
    <w:rsid w:val="00E0575D"/>
    <w:rsid w:val="00E05A82"/>
    <w:rsid w:val="00E0629C"/>
    <w:rsid w:val="00E071D2"/>
    <w:rsid w:val="00E07885"/>
    <w:rsid w:val="00E1004F"/>
    <w:rsid w:val="00E10762"/>
    <w:rsid w:val="00E114AD"/>
    <w:rsid w:val="00E1168C"/>
    <w:rsid w:val="00E1169C"/>
    <w:rsid w:val="00E11F24"/>
    <w:rsid w:val="00E121F7"/>
    <w:rsid w:val="00E12A98"/>
    <w:rsid w:val="00E12CA9"/>
    <w:rsid w:val="00E13C95"/>
    <w:rsid w:val="00E13DF1"/>
    <w:rsid w:val="00E1490D"/>
    <w:rsid w:val="00E15328"/>
    <w:rsid w:val="00E15D9E"/>
    <w:rsid w:val="00E15ECE"/>
    <w:rsid w:val="00E16513"/>
    <w:rsid w:val="00E1693C"/>
    <w:rsid w:val="00E16A14"/>
    <w:rsid w:val="00E1774F"/>
    <w:rsid w:val="00E179A5"/>
    <w:rsid w:val="00E17D87"/>
    <w:rsid w:val="00E2055E"/>
    <w:rsid w:val="00E206C2"/>
    <w:rsid w:val="00E209DF"/>
    <w:rsid w:val="00E20A77"/>
    <w:rsid w:val="00E20E6C"/>
    <w:rsid w:val="00E20EF5"/>
    <w:rsid w:val="00E212E1"/>
    <w:rsid w:val="00E21495"/>
    <w:rsid w:val="00E21A94"/>
    <w:rsid w:val="00E220EE"/>
    <w:rsid w:val="00E228BE"/>
    <w:rsid w:val="00E253C9"/>
    <w:rsid w:val="00E25E2A"/>
    <w:rsid w:val="00E264AA"/>
    <w:rsid w:val="00E2654E"/>
    <w:rsid w:val="00E2665D"/>
    <w:rsid w:val="00E267D8"/>
    <w:rsid w:val="00E27DFE"/>
    <w:rsid w:val="00E3091A"/>
    <w:rsid w:val="00E30A6E"/>
    <w:rsid w:val="00E31E78"/>
    <w:rsid w:val="00E31EA4"/>
    <w:rsid w:val="00E32BC7"/>
    <w:rsid w:val="00E337B6"/>
    <w:rsid w:val="00E33C7D"/>
    <w:rsid w:val="00E35B9A"/>
    <w:rsid w:val="00E3673E"/>
    <w:rsid w:val="00E3730F"/>
    <w:rsid w:val="00E379CA"/>
    <w:rsid w:val="00E37E27"/>
    <w:rsid w:val="00E41134"/>
    <w:rsid w:val="00E41BF1"/>
    <w:rsid w:val="00E41C4F"/>
    <w:rsid w:val="00E42D4A"/>
    <w:rsid w:val="00E43C88"/>
    <w:rsid w:val="00E43D6A"/>
    <w:rsid w:val="00E43E5D"/>
    <w:rsid w:val="00E4496E"/>
    <w:rsid w:val="00E457EF"/>
    <w:rsid w:val="00E45A09"/>
    <w:rsid w:val="00E45A88"/>
    <w:rsid w:val="00E45B79"/>
    <w:rsid w:val="00E46E4D"/>
    <w:rsid w:val="00E47340"/>
    <w:rsid w:val="00E47585"/>
    <w:rsid w:val="00E475BB"/>
    <w:rsid w:val="00E478A0"/>
    <w:rsid w:val="00E5116B"/>
    <w:rsid w:val="00E520C9"/>
    <w:rsid w:val="00E52642"/>
    <w:rsid w:val="00E52D87"/>
    <w:rsid w:val="00E53B35"/>
    <w:rsid w:val="00E546D4"/>
    <w:rsid w:val="00E55EDE"/>
    <w:rsid w:val="00E55FD5"/>
    <w:rsid w:val="00E5673E"/>
    <w:rsid w:val="00E57469"/>
    <w:rsid w:val="00E609AE"/>
    <w:rsid w:val="00E60BF5"/>
    <w:rsid w:val="00E61A1D"/>
    <w:rsid w:val="00E6215B"/>
    <w:rsid w:val="00E63898"/>
    <w:rsid w:val="00E63901"/>
    <w:rsid w:val="00E64FF9"/>
    <w:rsid w:val="00E661EA"/>
    <w:rsid w:val="00E670F8"/>
    <w:rsid w:val="00E670FA"/>
    <w:rsid w:val="00E67658"/>
    <w:rsid w:val="00E676E8"/>
    <w:rsid w:val="00E67CA9"/>
    <w:rsid w:val="00E70888"/>
    <w:rsid w:val="00E70EED"/>
    <w:rsid w:val="00E720D9"/>
    <w:rsid w:val="00E72326"/>
    <w:rsid w:val="00E725C2"/>
    <w:rsid w:val="00E72660"/>
    <w:rsid w:val="00E72DB6"/>
    <w:rsid w:val="00E73242"/>
    <w:rsid w:val="00E81F54"/>
    <w:rsid w:val="00E825F4"/>
    <w:rsid w:val="00E82E65"/>
    <w:rsid w:val="00E84AD9"/>
    <w:rsid w:val="00E85442"/>
    <w:rsid w:val="00E8550E"/>
    <w:rsid w:val="00E85A82"/>
    <w:rsid w:val="00E86D08"/>
    <w:rsid w:val="00E87033"/>
    <w:rsid w:val="00E8798C"/>
    <w:rsid w:val="00E90253"/>
    <w:rsid w:val="00E90273"/>
    <w:rsid w:val="00E9086D"/>
    <w:rsid w:val="00E90E9C"/>
    <w:rsid w:val="00E91032"/>
    <w:rsid w:val="00E9116F"/>
    <w:rsid w:val="00E91A6A"/>
    <w:rsid w:val="00E91B5E"/>
    <w:rsid w:val="00E92017"/>
    <w:rsid w:val="00E9228F"/>
    <w:rsid w:val="00E92382"/>
    <w:rsid w:val="00E92927"/>
    <w:rsid w:val="00E94004"/>
    <w:rsid w:val="00E942E8"/>
    <w:rsid w:val="00E94D8C"/>
    <w:rsid w:val="00E95A4F"/>
    <w:rsid w:val="00E970DC"/>
    <w:rsid w:val="00E97223"/>
    <w:rsid w:val="00E97369"/>
    <w:rsid w:val="00E978FD"/>
    <w:rsid w:val="00EA038E"/>
    <w:rsid w:val="00EA0952"/>
    <w:rsid w:val="00EA257A"/>
    <w:rsid w:val="00EA2922"/>
    <w:rsid w:val="00EA3367"/>
    <w:rsid w:val="00EA3AC2"/>
    <w:rsid w:val="00EA40CD"/>
    <w:rsid w:val="00EA459C"/>
    <w:rsid w:val="00EA52EB"/>
    <w:rsid w:val="00EA5E66"/>
    <w:rsid w:val="00EA5FB1"/>
    <w:rsid w:val="00EA6551"/>
    <w:rsid w:val="00EA793C"/>
    <w:rsid w:val="00EA7C16"/>
    <w:rsid w:val="00EB3347"/>
    <w:rsid w:val="00EB375D"/>
    <w:rsid w:val="00EB39BE"/>
    <w:rsid w:val="00EB3DE1"/>
    <w:rsid w:val="00EB4050"/>
    <w:rsid w:val="00EB4A70"/>
    <w:rsid w:val="00EB4B73"/>
    <w:rsid w:val="00EB526C"/>
    <w:rsid w:val="00EB56A0"/>
    <w:rsid w:val="00EB5931"/>
    <w:rsid w:val="00EB5ECE"/>
    <w:rsid w:val="00EB62BA"/>
    <w:rsid w:val="00EB66B3"/>
    <w:rsid w:val="00EB74D2"/>
    <w:rsid w:val="00EC0051"/>
    <w:rsid w:val="00EC012E"/>
    <w:rsid w:val="00EC1014"/>
    <w:rsid w:val="00EC176B"/>
    <w:rsid w:val="00EC1BAE"/>
    <w:rsid w:val="00EC1EF2"/>
    <w:rsid w:val="00EC30F1"/>
    <w:rsid w:val="00EC350F"/>
    <w:rsid w:val="00EC3C6C"/>
    <w:rsid w:val="00EC43E5"/>
    <w:rsid w:val="00EC4D5A"/>
    <w:rsid w:val="00EC5BC4"/>
    <w:rsid w:val="00EC64F9"/>
    <w:rsid w:val="00EC7108"/>
    <w:rsid w:val="00EC7F34"/>
    <w:rsid w:val="00ED03FD"/>
    <w:rsid w:val="00ED0782"/>
    <w:rsid w:val="00ED07D4"/>
    <w:rsid w:val="00ED1C68"/>
    <w:rsid w:val="00ED1F63"/>
    <w:rsid w:val="00ED3BE6"/>
    <w:rsid w:val="00ED4359"/>
    <w:rsid w:val="00ED44A9"/>
    <w:rsid w:val="00ED5397"/>
    <w:rsid w:val="00ED5E31"/>
    <w:rsid w:val="00ED614F"/>
    <w:rsid w:val="00ED706D"/>
    <w:rsid w:val="00ED70FA"/>
    <w:rsid w:val="00ED726D"/>
    <w:rsid w:val="00ED7468"/>
    <w:rsid w:val="00ED7BB0"/>
    <w:rsid w:val="00EE06E5"/>
    <w:rsid w:val="00EE159D"/>
    <w:rsid w:val="00EE1841"/>
    <w:rsid w:val="00EE1977"/>
    <w:rsid w:val="00EE1D9C"/>
    <w:rsid w:val="00EE1DE7"/>
    <w:rsid w:val="00EE2124"/>
    <w:rsid w:val="00EE25BA"/>
    <w:rsid w:val="00EE293B"/>
    <w:rsid w:val="00EE453C"/>
    <w:rsid w:val="00EE4847"/>
    <w:rsid w:val="00EE4910"/>
    <w:rsid w:val="00EE5072"/>
    <w:rsid w:val="00EE52A7"/>
    <w:rsid w:val="00EE5C66"/>
    <w:rsid w:val="00EE62B9"/>
    <w:rsid w:val="00EE638D"/>
    <w:rsid w:val="00EE6732"/>
    <w:rsid w:val="00EE70AC"/>
    <w:rsid w:val="00EF0B9A"/>
    <w:rsid w:val="00EF0E30"/>
    <w:rsid w:val="00EF14D6"/>
    <w:rsid w:val="00EF17C5"/>
    <w:rsid w:val="00EF375F"/>
    <w:rsid w:val="00EF37D4"/>
    <w:rsid w:val="00EF3919"/>
    <w:rsid w:val="00EF3C64"/>
    <w:rsid w:val="00EF491C"/>
    <w:rsid w:val="00EF4C7B"/>
    <w:rsid w:val="00EF4E73"/>
    <w:rsid w:val="00EF51D3"/>
    <w:rsid w:val="00EF5C15"/>
    <w:rsid w:val="00EF5D58"/>
    <w:rsid w:val="00EF62FA"/>
    <w:rsid w:val="00EF669A"/>
    <w:rsid w:val="00EF6C55"/>
    <w:rsid w:val="00EF78B6"/>
    <w:rsid w:val="00EF7DEF"/>
    <w:rsid w:val="00EF7FBE"/>
    <w:rsid w:val="00F0071E"/>
    <w:rsid w:val="00F00833"/>
    <w:rsid w:val="00F00F78"/>
    <w:rsid w:val="00F01570"/>
    <w:rsid w:val="00F0159C"/>
    <w:rsid w:val="00F01905"/>
    <w:rsid w:val="00F01D65"/>
    <w:rsid w:val="00F02A0F"/>
    <w:rsid w:val="00F03F01"/>
    <w:rsid w:val="00F042BF"/>
    <w:rsid w:val="00F05937"/>
    <w:rsid w:val="00F06145"/>
    <w:rsid w:val="00F06698"/>
    <w:rsid w:val="00F066A2"/>
    <w:rsid w:val="00F06FCE"/>
    <w:rsid w:val="00F071AB"/>
    <w:rsid w:val="00F077EE"/>
    <w:rsid w:val="00F07EA1"/>
    <w:rsid w:val="00F10628"/>
    <w:rsid w:val="00F10782"/>
    <w:rsid w:val="00F12D39"/>
    <w:rsid w:val="00F132A7"/>
    <w:rsid w:val="00F13C71"/>
    <w:rsid w:val="00F13C87"/>
    <w:rsid w:val="00F13E3E"/>
    <w:rsid w:val="00F143FC"/>
    <w:rsid w:val="00F14971"/>
    <w:rsid w:val="00F1580D"/>
    <w:rsid w:val="00F160C7"/>
    <w:rsid w:val="00F164A9"/>
    <w:rsid w:val="00F16BB0"/>
    <w:rsid w:val="00F17856"/>
    <w:rsid w:val="00F17E52"/>
    <w:rsid w:val="00F203AB"/>
    <w:rsid w:val="00F205E1"/>
    <w:rsid w:val="00F20624"/>
    <w:rsid w:val="00F207F3"/>
    <w:rsid w:val="00F209E9"/>
    <w:rsid w:val="00F20B94"/>
    <w:rsid w:val="00F210BF"/>
    <w:rsid w:val="00F217CA"/>
    <w:rsid w:val="00F21A03"/>
    <w:rsid w:val="00F228E8"/>
    <w:rsid w:val="00F22C7D"/>
    <w:rsid w:val="00F22C7F"/>
    <w:rsid w:val="00F22EB6"/>
    <w:rsid w:val="00F230AB"/>
    <w:rsid w:val="00F235AD"/>
    <w:rsid w:val="00F24982"/>
    <w:rsid w:val="00F2504D"/>
    <w:rsid w:val="00F25DA0"/>
    <w:rsid w:val="00F2652D"/>
    <w:rsid w:val="00F268F0"/>
    <w:rsid w:val="00F26C13"/>
    <w:rsid w:val="00F26FC8"/>
    <w:rsid w:val="00F300FF"/>
    <w:rsid w:val="00F30845"/>
    <w:rsid w:val="00F30E07"/>
    <w:rsid w:val="00F31041"/>
    <w:rsid w:val="00F320BC"/>
    <w:rsid w:val="00F321B0"/>
    <w:rsid w:val="00F32CA9"/>
    <w:rsid w:val="00F333AC"/>
    <w:rsid w:val="00F336D3"/>
    <w:rsid w:val="00F33C0E"/>
    <w:rsid w:val="00F33E13"/>
    <w:rsid w:val="00F35A76"/>
    <w:rsid w:val="00F36374"/>
    <w:rsid w:val="00F364D7"/>
    <w:rsid w:val="00F36B37"/>
    <w:rsid w:val="00F401CB"/>
    <w:rsid w:val="00F41AB9"/>
    <w:rsid w:val="00F41C09"/>
    <w:rsid w:val="00F4332B"/>
    <w:rsid w:val="00F44370"/>
    <w:rsid w:val="00F45174"/>
    <w:rsid w:val="00F4546E"/>
    <w:rsid w:val="00F45EAA"/>
    <w:rsid w:val="00F46FD8"/>
    <w:rsid w:val="00F478DB"/>
    <w:rsid w:val="00F47D49"/>
    <w:rsid w:val="00F47F28"/>
    <w:rsid w:val="00F505CE"/>
    <w:rsid w:val="00F50814"/>
    <w:rsid w:val="00F50C64"/>
    <w:rsid w:val="00F51299"/>
    <w:rsid w:val="00F521DC"/>
    <w:rsid w:val="00F52CE0"/>
    <w:rsid w:val="00F52E2E"/>
    <w:rsid w:val="00F5366C"/>
    <w:rsid w:val="00F53FFE"/>
    <w:rsid w:val="00F54651"/>
    <w:rsid w:val="00F566C9"/>
    <w:rsid w:val="00F57B94"/>
    <w:rsid w:val="00F57BEF"/>
    <w:rsid w:val="00F57F1C"/>
    <w:rsid w:val="00F60EA7"/>
    <w:rsid w:val="00F6168C"/>
    <w:rsid w:val="00F61A63"/>
    <w:rsid w:val="00F61EF6"/>
    <w:rsid w:val="00F62ECC"/>
    <w:rsid w:val="00F633A0"/>
    <w:rsid w:val="00F64CDC"/>
    <w:rsid w:val="00F653CB"/>
    <w:rsid w:val="00F67757"/>
    <w:rsid w:val="00F6798F"/>
    <w:rsid w:val="00F70FAE"/>
    <w:rsid w:val="00F71170"/>
    <w:rsid w:val="00F71326"/>
    <w:rsid w:val="00F7178C"/>
    <w:rsid w:val="00F7188B"/>
    <w:rsid w:val="00F71EF1"/>
    <w:rsid w:val="00F72428"/>
    <w:rsid w:val="00F72E84"/>
    <w:rsid w:val="00F73CFE"/>
    <w:rsid w:val="00F73D2F"/>
    <w:rsid w:val="00F747B8"/>
    <w:rsid w:val="00F74BFA"/>
    <w:rsid w:val="00F75BE2"/>
    <w:rsid w:val="00F762D9"/>
    <w:rsid w:val="00F7689B"/>
    <w:rsid w:val="00F768B6"/>
    <w:rsid w:val="00F76C4F"/>
    <w:rsid w:val="00F76E8D"/>
    <w:rsid w:val="00F77200"/>
    <w:rsid w:val="00F775A1"/>
    <w:rsid w:val="00F77951"/>
    <w:rsid w:val="00F80CB9"/>
    <w:rsid w:val="00F81521"/>
    <w:rsid w:val="00F81A6C"/>
    <w:rsid w:val="00F8445B"/>
    <w:rsid w:val="00F84461"/>
    <w:rsid w:val="00F86276"/>
    <w:rsid w:val="00F9013A"/>
    <w:rsid w:val="00F90C9A"/>
    <w:rsid w:val="00F9271E"/>
    <w:rsid w:val="00F94610"/>
    <w:rsid w:val="00F9469C"/>
    <w:rsid w:val="00F946B6"/>
    <w:rsid w:val="00F94990"/>
    <w:rsid w:val="00F9535D"/>
    <w:rsid w:val="00F95F60"/>
    <w:rsid w:val="00F96193"/>
    <w:rsid w:val="00F96805"/>
    <w:rsid w:val="00F971EC"/>
    <w:rsid w:val="00F974E9"/>
    <w:rsid w:val="00F97BAF"/>
    <w:rsid w:val="00F97DC4"/>
    <w:rsid w:val="00FA1DC2"/>
    <w:rsid w:val="00FA21AA"/>
    <w:rsid w:val="00FA2C25"/>
    <w:rsid w:val="00FA3B56"/>
    <w:rsid w:val="00FA51CF"/>
    <w:rsid w:val="00FA5960"/>
    <w:rsid w:val="00FA5C80"/>
    <w:rsid w:val="00FA5D2F"/>
    <w:rsid w:val="00FA5E43"/>
    <w:rsid w:val="00FA6431"/>
    <w:rsid w:val="00FA783D"/>
    <w:rsid w:val="00FB004E"/>
    <w:rsid w:val="00FB08E9"/>
    <w:rsid w:val="00FB1014"/>
    <w:rsid w:val="00FB179C"/>
    <w:rsid w:val="00FB19CE"/>
    <w:rsid w:val="00FB21D5"/>
    <w:rsid w:val="00FB270E"/>
    <w:rsid w:val="00FB2725"/>
    <w:rsid w:val="00FB2787"/>
    <w:rsid w:val="00FB298C"/>
    <w:rsid w:val="00FB391E"/>
    <w:rsid w:val="00FB3A39"/>
    <w:rsid w:val="00FB42AD"/>
    <w:rsid w:val="00FB4970"/>
    <w:rsid w:val="00FB4B94"/>
    <w:rsid w:val="00FB5B11"/>
    <w:rsid w:val="00FB6659"/>
    <w:rsid w:val="00FB6B89"/>
    <w:rsid w:val="00FB71CB"/>
    <w:rsid w:val="00FB7245"/>
    <w:rsid w:val="00FB76C8"/>
    <w:rsid w:val="00FB7713"/>
    <w:rsid w:val="00FB7DC9"/>
    <w:rsid w:val="00FC05FB"/>
    <w:rsid w:val="00FC0B59"/>
    <w:rsid w:val="00FC0D1C"/>
    <w:rsid w:val="00FC1113"/>
    <w:rsid w:val="00FC2981"/>
    <w:rsid w:val="00FC2E37"/>
    <w:rsid w:val="00FC3538"/>
    <w:rsid w:val="00FC3A0F"/>
    <w:rsid w:val="00FC4085"/>
    <w:rsid w:val="00FC44BA"/>
    <w:rsid w:val="00FC4924"/>
    <w:rsid w:val="00FC61A4"/>
    <w:rsid w:val="00FC6351"/>
    <w:rsid w:val="00FC6811"/>
    <w:rsid w:val="00FC7EB7"/>
    <w:rsid w:val="00FD00A3"/>
    <w:rsid w:val="00FD0715"/>
    <w:rsid w:val="00FD0B9F"/>
    <w:rsid w:val="00FD11B4"/>
    <w:rsid w:val="00FD2D9F"/>
    <w:rsid w:val="00FD44B6"/>
    <w:rsid w:val="00FD4A1A"/>
    <w:rsid w:val="00FD5567"/>
    <w:rsid w:val="00FD571D"/>
    <w:rsid w:val="00FD5B85"/>
    <w:rsid w:val="00FD6989"/>
    <w:rsid w:val="00FD70D6"/>
    <w:rsid w:val="00FE06A7"/>
    <w:rsid w:val="00FE0BEF"/>
    <w:rsid w:val="00FE1000"/>
    <w:rsid w:val="00FE14E0"/>
    <w:rsid w:val="00FE16D7"/>
    <w:rsid w:val="00FE1F01"/>
    <w:rsid w:val="00FE2783"/>
    <w:rsid w:val="00FE310B"/>
    <w:rsid w:val="00FE371A"/>
    <w:rsid w:val="00FE4957"/>
    <w:rsid w:val="00FE4BB5"/>
    <w:rsid w:val="00FE4FCC"/>
    <w:rsid w:val="00FE56FB"/>
    <w:rsid w:val="00FE5D3A"/>
    <w:rsid w:val="00FE6313"/>
    <w:rsid w:val="00FE663C"/>
    <w:rsid w:val="00FE671F"/>
    <w:rsid w:val="00FE69A3"/>
    <w:rsid w:val="00FE7306"/>
    <w:rsid w:val="00FE7BFC"/>
    <w:rsid w:val="00FF0395"/>
    <w:rsid w:val="00FF16CD"/>
    <w:rsid w:val="00FF27FB"/>
    <w:rsid w:val="00FF2F5D"/>
    <w:rsid w:val="00FF37E9"/>
    <w:rsid w:val="00FF42FC"/>
    <w:rsid w:val="00FF43C4"/>
    <w:rsid w:val="00FF4914"/>
    <w:rsid w:val="00FF4C9A"/>
    <w:rsid w:val="00FF4F09"/>
    <w:rsid w:val="00FF5021"/>
    <w:rsid w:val="00FF5D08"/>
    <w:rsid w:val="00FF67C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004595"/>
    </o:shapedefaults>
    <o:shapelayout v:ext="edit">
      <o:idmap v:ext="edit" data="1"/>
    </o:shapelayout>
  </w:shapeDefaults>
  <w:decimalSymbol w:val=","/>
  <w:listSeparator w:val=";"/>
  <w14:docId w14:val="18D3C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A0E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A0EFF"/>
    <w:pPr>
      <w:keepNext/>
      <w:spacing w:before="360" w:after="240"/>
      <w:outlineLvl w:val="1"/>
    </w:pPr>
    <w:rPr>
      <w:b/>
      <w:bCs/>
      <w:iCs/>
      <w:sz w:val="28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qFormat/>
    <w:rsid w:val="0083115D"/>
    <w:pPr>
      <w:keepLines/>
      <w:spacing w:before="240" w:after="60"/>
      <w:ind w:left="1134" w:hanging="850"/>
      <w:jc w:val="both"/>
      <w:outlineLvl w:val="2"/>
    </w:pPr>
    <w:rPr>
      <w:rFonts w:ascii="Arial" w:hAnsi="Arial" w:cs="Arial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BA0EFF"/>
    <w:pPr>
      <w:keepNext/>
      <w:outlineLvl w:val="3"/>
    </w:pPr>
    <w:rPr>
      <w:sz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A0EFF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A0EFF"/>
    <w:pPr>
      <w:keepNext/>
      <w:outlineLvl w:val="5"/>
    </w:pPr>
    <w:rPr>
      <w:b/>
      <w:bCs/>
      <w:sz w:val="3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A0EFF"/>
    <w:p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A0EFF"/>
    <w:p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A0EFF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vodaj1">
    <w:name w:val="Zpravodaj 1"/>
    <w:basedOn w:val="Zkladntext2"/>
    <w:next w:val="Zkladntext2"/>
    <w:rsid w:val="00BA0EFF"/>
    <w:pPr>
      <w:spacing w:after="0" w:line="240" w:lineRule="auto"/>
    </w:pPr>
    <w:rPr>
      <w:rFonts w:ascii="Palatino Linotype" w:hAnsi="Palatino Linotype" w:cs="Arial"/>
      <w:b/>
      <w:bCs/>
      <w:color w:val="000080"/>
      <w:sz w:val="40"/>
    </w:rPr>
  </w:style>
  <w:style w:type="paragraph" w:styleId="Zkladntext2">
    <w:name w:val="Body Text 2"/>
    <w:basedOn w:val="Normln"/>
    <w:link w:val="Zkladntext2Char"/>
    <w:semiHidden/>
    <w:rsid w:val="00BA0EFF"/>
    <w:pPr>
      <w:spacing w:after="120" w:line="480" w:lineRule="auto"/>
    </w:pPr>
  </w:style>
  <w:style w:type="paragraph" w:customStyle="1" w:styleId="Zpravodaj2">
    <w:name w:val="Zpravodaj2"/>
    <w:basedOn w:val="Nadpis1"/>
    <w:next w:val="Zkladntext"/>
    <w:rsid w:val="00BA0EFF"/>
    <w:pPr>
      <w:spacing w:before="0" w:after="0"/>
      <w:jc w:val="both"/>
    </w:pPr>
    <w:rPr>
      <w:rFonts w:ascii="Palatino Linotype" w:hAnsi="Palatino Linotype" w:cs="Times New Roman"/>
      <w:kern w:val="0"/>
      <w:sz w:val="28"/>
      <w:szCs w:val="24"/>
    </w:rPr>
  </w:style>
  <w:style w:type="paragraph" w:styleId="Zkladntext">
    <w:name w:val="Body Text"/>
    <w:basedOn w:val="Normln"/>
    <w:semiHidden/>
    <w:rsid w:val="00BA0EFF"/>
    <w:pPr>
      <w:spacing w:after="120"/>
    </w:pPr>
  </w:style>
  <w:style w:type="paragraph" w:customStyle="1" w:styleId="Zpravodaj3">
    <w:name w:val="Zpravodaj3"/>
    <w:basedOn w:val="Nadpis5"/>
    <w:next w:val="Zkladntext"/>
    <w:rsid w:val="00BA0EFF"/>
    <w:pPr>
      <w:keepNext/>
      <w:spacing w:before="0" w:after="0"/>
    </w:pPr>
    <w:rPr>
      <w:rFonts w:ascii="Palatino Linotype" w:hAnsi="Palatino Linotype"/>
      <w:sz w:val="28"/>
      <w:szCs w:val="24"/>
      <w:u w:val="single"/>
    </w:rPr>
  </w:style>
  <w:style w:type="paragraph" w:customStyle="1" w:styleId="KZ-nadpis">
    <w:name w:val="KZ-nadpis"/>
    <w:basedOn w:val="Normln"/>
    <w:next w:val="Normln"/>
    <w:rsid w:val="00BA0EFF"/>
    <w:pPr>
      <w:numPr>
        <w:numId w:val="3"/>
      </w:numPr>
      <w:spacing w:after="120"/>
    </w:pPr>
    <w:rPr>
      <w:b/>
      <w:bCs/>
      <w:sz w:val="28"/>
    </w:rPr>
  </w:style>
  <w:style w:type="paragraph" w:customStyle="1" w:styleId="Pressrelease">
    <w:name w:val="Press release"/>
    <w:basedOn w:val="Normlnweb"/>
    <w:rsid w:val="00BA0EFF"/>
    <w:pPr>
      <w:spacing w:after="120"/>
      <w:ind w:firstLine="720"/>
    </w:pPr>
    <w:rPr>
      <w:b/>
      <w:bCs/>
      <w:i/>
      <w:iCs/>
      <w:lang w:val="en-US"/>
    </w:rPr>
  </w:style>
  <w:style w:type="paragraph" w:styleId="Normlnweb">
    <w:name w:val="Normal (Web)"/>
    <w:basedOn w:val="Normln"/>
    <w:uiPriority w:val="99"/>
    <w:rsid w:val="00BA0EFF"/>
  </w:style>
  <w:style w:type="paragraph" w:styleId="Zhlav">
    <w:name w:val="header"/>
    <w:basedOn w:val="Normln"/>
    <w:link w:val="ZhlavChar"/>
    <w:semiHidden/>
    <w:rsid w:val="00BA0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A0E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BA0EFF"/>
    <w:rPr>
      <w:color w:val="0000FF"/>
      <w:u w:val="single"/>
    </w:rPr>
  </w:style>
  <w:style w:type="character" w:styleId="slostrnky">
    <w:name w:val="page number"/>
    <w:basedOn w:val="Standardnpsmoodstavce"/>
    <w:semiHidden/>
    <w:rsid w:val="00BA0EFF"/>
  </w:style>
  <w:style w:type="paragraph" w:customStyle="1" w:styleId="Fousteka">
    <w:name w:val="Fous tečka"/>
    <w:basedOn w:val="Normln"/>
    <w:rsid w:val="00BA0EFF"/>
    <w:pPr>
      <w:numPr>
        <w:numId w:val="4"/>
      </w:numPr>
      <w:tabs>
        <w:tab w:val="clear" w:pos="721"/>
        <w:tab w:val="num" w:pos="180"/>
      </w:tabs>
      <w:spacing w:after="60"/>
      <w:ind w:left="180" w:hanging="180"/>
      <w:jc w:val="both"/>
    </w:pPr>
    <w:rPr>
      <w:sz w:val="22"/>
      <w:lang w:eastAsia="cs-CZ"/>
    </w:rPr>
  </w:style>
  <w:style w:type="paragraph" w:customStyle="1" w:styleId="Fousnadpis">
    <w:name w:val="Fous nadpis"/>
    <w:basedOn w:val="Normln"/>
    <w:rsid w:val="00BA0EFF"/>
    <w:pPr>
      <w:numPr>
        <w:numId w:val="5"/>
      </w:numPr>
      <w:tabs>
        <w:tab w:val="clear" w:pos="720"/>
        <w:tab w:val="num" w:pos="360"/>
      </w:tabs>
      <w:spacing w:before="120" w:after="120"/>
      <w:ind w:left="360" w:hanging="360"/>
      <w:jc w:val="both"/>
    </w:pPr>
    <w:rPr>
      <w:b/>
      <w:bCs/>
      <w:sz w:val="22"/>
      <w:lang w:eastAsia="cs-CZ"/>
    </w:rPr>
  </w:style>
  <w:style w:type="paragraph" w:customStyle="1" w:styleId="Fous">
    <w:name w:val="Fous"/>
    <w:basedOn w:val="Normln"/>
    <w:rsid w:val="00BA0EFF"/>
    <w:pPr>
      <w:numPr>
        <w:numId w:val="6"/>
      </w:numPr>
      <w:tabs>
        <w:tab w:val="clear" w:pos="722"/>
        <w:tab w:val="num" w:pos="360"/>
      </w:tabs>
      <w:ind w:left="360" w:hanging="360"/>
      <w:jc w:val="both"/>
    </w:pPr>
    <w:rPr>
      <w:sz w:val="22"/>
      <w:lang w:eastAsia="cs-CZ"/>
    </w:rPr>
  </w:style>
  <w:style w:type="paragraph" w:customStyle="1" w:styleId="lenn1">
    <w:name w:val="členění 1"/>
    <w:basedOn w:val="Normln"/>
    <w:rsid w:val="00BA0EFF"/>
    <w:pPr>
      <w:numPr>
        <w:numId w:val="7"/>
      </w:numPr>
    </w:pPr>
    <w:rPr>
      <w:b/>
      <w:lang w:eastAsia="cs-CZ"/>
    </w:rPr>
  </w:style>
  <w:style w:type="paragraph" w:customStyle="1" w:styleId="NadpisKZ">
    <w:name w:val="Nadpis KZ"/>
    <w:basedOn w:val="Zkladntext2"/>
    <w:rsid w:val="00BA0EFF"/>
    <w:pPr>
      <w:spacing w:before="120" w:after="360" w:line="240" w:lineRule="auto"/>
    </w:pPr>
    <w:rPr>
      <w:b/>
      <w:bCs/>
      <w:sz w:val="32"/>
      <w:lang w:eastAsia="cs-CZ"/>
    </w:rPr>
  </w:style>
  <w:style w:type="paragraph" w:customStyle="1" w:styleId="NormlnKZ">
    <w:name w:val="Normální KZ"/>
    <w:basedOn w:val="Normln"/>
    <w:rsid w:val="00BA0EFF"/>
    <w:pPr>
      <w:spacing w:after="120"/>
      <w:ind w:firstLine="425"/>
      <w:jc w:val="both"/>
    </w:pPr>
    <w:rPr>
      <w:sz w:val="22"/>
      <w:lang w:eastAsia="cs-CZ"/>
    </w:rPr>
  </w:style>
  <w:style w:type="paragraph" w:customStyle="1" w:styleId="vod">
    <w:name w:val="Úvod"/>
    <w:basedOn w:val="Nadpisvod"/>
    <w:rsid w:val="00BA0EFF"/>
    <w:pPr>
      <w:tabs>
        <w:tab w:val="clear" w:pos="360"/>
      </w:tabs>
      <w:ind w:left="0" w:firstLine="0"/>
    </w:pPr>
  </w:style>
  <w:style w:type="paragraph" w:customStyle="1" w:styleId="Nadpisvod">
    <w:name w:val="Nadpis úvod"/>
    <w:basedOn w:val="Nadpis1"/>
    <w:rsid w:val="00BA0EFF"/>
    <w:pPr>
      <w:numPr>
        <w:numId w:val="0"/>
      </w:numPr>
      <w:tabs>
        <w:tab w:val="num" w:pos="360"/>
        <w:tab w:val="num" w:pos="787"/>
      </w:tabs>
      <w:spacing w:before="360" w:after="240"/>
      <w:ind w:left="787" w:hanging="360"/>
      <w:jc w:val="both"/>
    </w:pPr>
    <w:rPr>
      <w:rFonts w:ascii="Times New Roman" w:hAnsi="Times New Roman" w:cs="Times New Roman"/>
      <w:kern w:val="0"/>
      <w:sz w:val="28"/>
      <w:szCs w:val="24"/>
      <w:lang w:eastAsia="cs-CZ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BA0EFF"/>
    <w:rPr>
      <w:vertAlign w:val="superscript"/>
    </w:rPr>
  </w:style>
  <w:style w:type="paragraph" w:styleId="Titulek">
    <w:name w:val="caption"/>
    <w:basedOn w:val="Normln"/>
    <w:next w:val="Normln"/>
    <w:uiPriority w:val="35"/>
    <w:qFormat/>
    <w:rsid w:val="00BA0EFF"/>
    <w:pPr>
      <w:spacing w:before="120" w:after="120"/>
    </w:pPr>
    <w:rPr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A0EFF"/>
    <w:pPr>
      <w:jc w:val="center"/>
    </w:pPr>
    <w:rPr>
      <w:szCs w:val="20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BA0EFF"/>
    <w:rPr>
      <w:sz w:val="20"/>
      <w:szCs w:val="20"/>
      <w:lang w:eastAsia="cs-CZ"/>
    </w:rPr>
  </w:style>
  <w:style w:type="paragraph" w:customStyle="1" w:styleId="Normln0">
    <w:name w:val="Norm‡ln’"/>
    <w:rsid w:val="00BA0EF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Sledovanodkaz">
    <w:name w:val="FollowedHyperlink"/>
    <w:basedOn w:val="Standardnpsmoodstavce"/>
    <w:semiHidden/>
    <w:rsid w:val="00BA0EFF"/>
    <w:rPr>
      <w:color w:val="800080"/>
      <w:u w:val="single"/>
    </w:rPr>
  </w:style>
  <w:style w:type="paragraph" w:styleId="Odstavecseseznamem">
    <w:name w:val="List Paragraph"/>
    <w:aliases w:val="Nadpis pro KZ,odrážky,List Paragraph"/>
    <w:basedOn w:val="Normln"/>
    <w:link w:val="OdstavecseseznamemChar"/>
    <w:uiPriority w:val="34"/>
    <w:qFormat/>
    <w:rsid w:val="00BA0EFF"/>
    <w:pPr>
      <w:ind w:left="720"/>
      <w:contextualSpacing/>
    </w:pPr>
  </w:style>
  <w:style w:type="character" w:customStyle="1" w:styleId="ZkladntextChar">
    <w:name w:val="Základní text Char"/>
    <w:basedOn w:val="Standardnpsmoodstavce"/>
    <w:rsid w:val="00BA0EFF"/>
    <w:rPr>
      <w:sz w:val="24"/>
      <w:szCs w:val="24"/>
      <w:lang w:eastAsia="en-US"/>
    </w:rPr>
  </w:style>
  <w:style w:type="paragraph" w:styleId="Textbubliny">
    <w:name w:val="Balloon Text"/>
    <w:basedOn w:val="Normln"/>
    <w:semiHidden/>
    <w:unhideWhenUsed/>
    <w:rsid w:val="00BA0E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A0EFF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semiHidden/>
    <w:unhideWhenUsed/>
    <w:rsid w:val="00BA0EFF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A0EF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BA0EFF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BA0EFF"/>
    <w:rPr>
      <w:sz w:val="16"/>
      <w:szCs w:val="16"/>
    </w:rPr>
  </w:style>
  <w:style w:type="paragraph" w:styleId="Textkomente">
    <w:name w:val="annotation text"/>
    <w:basedOn w:val="Normln"/>
    <w:uiPriority w:val="99"/>
    <w:unhideWhenUsed/>
    <w:rsid w:val="00BA0EF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BA0EFF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BA0EFF"/>
    <w:rPr>
      <w:b/>
      <w:bCs/>
    </w:rPr>
  </w:style>
  <w:style w:type="character" w:customStyle="1" w:styleId="PedmtkomenteChar">
    <w:name w:val="Předmět komentáře Char"/>
    <w:basedOn w:val="TextkomenteChar"/>
    <w:semiHidden/>
    <w:rsid w:val="00BA0EFF"/>
    <w:rPr>
      <w:b/>
      <w:bCs/>
      <w:lang w:eastAsia="en-US"/>
    </w:rPr>
  </w:style>
  <w:style w:type="paragraph" w:styleId="Revize">
    <w:name w:val="Revision"/>
    <w:hidden/>
    <w:semiHidden/>
    <w:rsid w:val="00BA0EFF"/>
    <w:rPr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D0F0B"/>
    <w:rPr>
      <w:sz w:val="24"/>
      <w:lang w:eastAsia="en-US"/>
    </w:rPr>
  </w:style>
  <w:style w:type="paragraph" w:customStyle="1" w:styleId="Nadpisrovn3">
    <w:name w:val="Nadpis úrovně 3"/>
    <w:basedOn w:val="NormlnKZ"/>
    <w:next w:val="NormlnKZ"/>
    <w:rsid w:val="007E0F01"/>
    <w:pPr>
      <w:keepNext/>
      <w:spacing w:before="240"/>
      <w:ind w:firstLine="0"/>
      <w:jc w:val="left"/>
    </w:pPr>
    <w:rPr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83115D"/>
    <w:rPr>
      <w:rFonts w:ascii="Arial" w:hAnsi="Arial" w:cs="Arial"/>
      <w:b/>
      <w:bCs/>
      <w:iCs/>
      <w:sz w:val="26"/>
      <w:szCs w:val="26"/>
      <w:lang w:eastAsia="en-US"/>
    </w:rPr>
  </w:style>
  <w:style w:type="paragraph" w:styleId="Bezmezer">
    <w:name w:val="No Spacing"/>
    <w:aliases w:val="KP,Bez mezer1,No Spacing,Bez mezer11"/>
    <w:basedOn w:val="Normln"/>
    <w:uiPriority w:val="1"/>
    <w:qFormat/>
    <w:rsid w:val="00157385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131367"/>
  </w:style>
  <w:style w:type="character" w:customStyle="1" w:styleId="ZpatChar">
    <w:name w:val="Zápatí Char"/>
    <w:basedOn w:val="Standardnpsmoodstavce"/>
    <w:link w:val="Zpat"/>
    <w:uiPriority w:val="99"/>
    <w:rsid w:val="00C953C5"/>
    <w:rPr>
      <w:sz w:val="24"/>
      <w:szCs w:val="24"/>
      <w:lang w:eastAsia="en-US"/>
    </w:rPr>
  </w:style>
  <w:style w:type="character" w:customStyle="1" w:styleId="OdstavecseseznamemChar">
    <w:name w:val="Odstavec se seznamem Char"/>
    <w:aliases w:val="Nadpis pro KZ Char,odrážky Char,List Paragraph Char"/>
    <w:link w:val="Odstavecseseznamem"/>
    <w:uiPriority w:val="34"/>
    <w:locked/>
    <w:rsid w:val="00132672"/>
    <w:rPr>
      <w:sz w:val="24"/>
      <w:szCs w:val="24"/>
      <w:lang w:eastAsia="en-US"/>
    </w:rPr>
  </w:style>
  <w:style w:type="paragraph" w:customStyle="1" w:styleId="Psmeno">
    <w:name w:val="Písmeno"/>
    <w:basedOn w:val="Normln"/>
    <w:rsid w:val="0063519E"/>
    <w:pPr>
      <w:tabs>
        <w:tab w:val="num" w:pos="360"/>
      </w:tabs>
      <w:spacing w:after="120"/>
      <w:jc w:val="both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8D3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paragraph" w:customStyle="1" w:styleId="CM31">
    <w:name w:val="CM3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paragraph" w:customStyle="1" w:styleId="CM41">
    <w:name w:val="CM4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DC9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B7DC9"/>
    <w:rPr>
      <w:b/>
      <w:bCs/>
      <w:iCs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B7DC9"/>
    <w:rPr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B7DC9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rsid w:val="00FB7DC9"/>
    <w:rPr>
      <w:b/>
      <w:bCs/>
      <w:sz w:val="32"/>
      <w:szCs w:val="24"/>
    </w:rPr>
  </w:style>
  <w:style w:type="character" w:customStyle="1" w:styleId="Nadpis7Char">
    <w:name w:val="Nadpis 7 Char"/>
    <w:basedOn w:val="Standardnpsmoodstavce"/>
    <w:link w:val="Nadpis7"/>
    <w:rsid w:val="00FB7DC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B7DC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FB7DC9"/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FB7DC9"/>
    <w:rPr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B7DC9"/>
    <w:rPr>
      <w:sz w:val="24"/>
      <w:szCs w:val="24"/>
      <w:lang w:eastAsia="en-US"/>
    </w:rPr>
  </w:style>
  <w:style w:type="paragraph" w:customStyle="1" w:styleId="Default">
    <w:name w:val="Default"/>
    <w:rsid w:val="00B060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A0E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A0EFF"/>
    <w:pPr>
      <w:keepNext/>
      <w:spacing w:before="360" w:after="240"/>
      <w:outlineLvl w:val="1"/>
    </w:pPr>
    <w:rPr>
      <w:b/>
      <w:bCs/>
      <w:iCs/>
      <w:sz w:val="28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qFormat/>
    <w:rsid w:val="0083115D"/>
    <w:pPr>
      <w:keepLines/>
      <w:spacing w:before="240" w:after="60"/>
      <w:ind w:left="1134" w:hanging="850"/>
      <w:jc w:val="both"/>
      <w:outlineLvl w:val="2"/>
    </w:pPr>
    <w:rPr>
      <w:rFonts w:ascii="Arial" w:hAnsi="Arial" w:cs="Arial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BA0EFF"/>
    <w:pPr>
      <w:keepNext/>
      <w:outlineLvl w:val="3"/>
    </w:pPr>
    <w:rPr>
      <w:sz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A0EFF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A0EFF"/>
    <w:pPr>
      <w:keepNext/>
      <w:outlineLvl w:val="5"/>
    </w:pPr>
    <w:rPr>
      <w:b/>
      <w:bCs/>
      <w:sz w:val="3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A0EFF"/>
    <w:p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A0EFF"/>
    <w:p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A0EFF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vodaj1">
    <w:name w:val="Zpravodaj 1"/>
    <w:basedOn w:val="Zkladntext2"/>
    <w:next w:val="Zkladntext2"/>
    <w:rsid w:val="00BA0EFF"/>
    <w:pPr>
      <w:spacing w:after="0" w:line="240" w:lineRule="auto"/>
    </w:pPr>
    <w:rPr>
      <w:rFonts w:ascii="Palatino Linotype" w:hAnsi="Palatino Linotype" w:cs="Arial"/>
      <w:b/>
      <w:bCs/>
      <w:color w:val="000080"/>
      <w:sz w:val="40"/>
    </w:rPr>
  </w:style>
  <w:style w:type="paragraph" w:styleId="Zkladntext2">
    <w:name w:val="Body Text 2"/>
    <w:basedOn w:val="Normln"/>
    <w:link w:val="Zkladntext2Char"/>
    <w:semiHidden/>
    <w:rsid w:val="00BA0EFF"/>
    <w:pPr>
      <w:spacing w:after="120" w:line="480" w:lineRule="auto"/>
    </w:pPr>
  </w:style>
  <w:style w:type="paragraph" w:customStyle="1" w:styleId="Zpravodaj2">
    <w:name w:val="Zpravodaj2"/>
    <w:basedOn w:val="Nadpis1"/>
    <w:next w:val="Zkladntext"/>
    <w:rsid w:val="00BA0EFF"/>
    <w:pPr>
      <w:spacing w:before="0" w:after="0"/>
      <w:jc w:val="both"/>
    </w:pPr>
    <w:rPr>
      <w:rFonts w:ascii="Palatino Linotype" w:hAnsi="Palatino Linotype" w:cs="Times New Roman"/>
      <w:kern w:val="0"/>
      <w:sz w:val="28"/>
      <w:szCs w:val="24"/>
    </w:rPr>
  </w:style>
  <w:style w:type="paragraph" w:styleId="Zkladntext">
    <w:name w:val="Body Text"/>
    <w:basedOn w:val="Normln"/>
    <w:semiHidden/>
    <w:rsid w:val="00BA0EFF"/>
    <w:pPr>
      <w:spacing w:after="120"/>
    </w:pPr>
  </w:style>
  <w:style w:type="paragraph" w:customStyle="1" w:styleId="Zpravodaj3">
    <w:name w:val="Zpravodaj3"/>
    <w:basedOn w:val="Nadpis5"/>
    <w:next w:val="Zkladntext"/>
    <w:rsid w:val="00BA0EFF"/>
    <w:pPr>
      <w:keepNext/>
      <w:spacing w:before="0" w:after="0"/>
    </w:pPr>
    <w:rPr>
      <w:rFonts w:ascii="Palatino Linotype" w:hAnsi="Palatino Linotype"/>
      <w:sz w:val="28"/>
      <w:szCs w:val="24"/>
      <w:u w:val="single"/>
    </w:rPr>
  </w:style>
  <w:style w:type="paragraph" w:customStyle="1" w:styleId="KZ-nadpis">
    <w:name w:val="KZ-nadpis"/>
    <w:basedOn w:val="Normln"/>
    <w:next w:val="Normln"/>
    <w:rsid w:val="00BA0EFF"/>
    <w:pPr>
      <w:numPr>
        <w:numId w:val="3"/>
      </w:numPr>
      <w:spacing w:after="120"/>
    </w:pPr>
    <w:rPr>
      <w:b/>
      <w:bCs/>
      <w:sz w:val="28"/>
    </w:rPr>
  </w:style>
  <w:style w:type="paragraph" w:customStyle="1" w:styleId="Pressrelease">
    <w:name w:val="Press release"/>
    <w:basedOn w:val="Normlnweb"/>
    <w:rsid w:val="00BA0EFF"/>
    <w:pPr>
      <w:spacing w:after="120"/>
      <w:ind w:firstLine="720"/>
    </w:pPr>
    <w:rPr>
      <w:b/>
      <w:bCs/>
      <w:i/>
      <w:iCs/>
      <w:lang w:val="en-US"/>
    </w:rPr>
  </w:style>
  <w:style w:type="paragraph" w:styleId="Normlnweb">
    <w:name w:val="Normal (Web)"/>
    <w:basedOn w:val="Normln"/>
    <w:uiPriority w:val="99"/>
    <w:rsid w:val="00BA0EFF"/>
  </w:style>
  <w:style w:type="paragraph" w:styleId="Zhlav">
    <w:name w:val="header"/>
    <w:basedOn w:val="Normln"/>
    <w:link w:val="ZhlavChar"/>
    <w:semiHidden/>
    <w:rsid w:val="00BA0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A0E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BA0EFF"/>
    <w:rPr>
      <w:color w:val="0000FF"/>
      <w:u w:val="single"/>
    </w:rPr>
  </w:style>
  <w:style w:type="character" w:styleId="slostrnky">
    <w:name w:val="page number"/>
    <w:basedOn w:val="Standardnpsmoodstavce"/>
    <w:semiHidden/>
    <w:rsid w:val="00BA0EFF"/>
  </w:style>
  <w:style w:type="paragraph" w:customStyle="1" w:styleId="Fousteka">
    <w:name w:val="Fous tečka"/>
    <w:basedOn w:val="Normln"/>
    <w:rsid w:val="00BA0EFF"/>
    <w:pPr>
      <w:numPr>
        <w:numId w:val="4"/>
      </w:numPr>
      <w:tabs>
        <w:tab w:val="clear" w:pos="721"/>
        <w:tab w:val="num" w:pos="180"/>
      </w:tabs>
      <w:spacing w:after="60"/>
      <w:ind w:left="180" w:hanging="180"/>
      <w:jc w:val="both"/>
    </w:pPr>
    <w:rPr>
      <w:sz w:val="22"/>
      <w:lang w:eastAsia="cs-CZ"/>
    </w:rPr>
  </w:style>
  <w:style w:type="paragraph" w:customStyle="1" w:styleId="Fousnadpis">
    <w:name w:val="Fous nadpis"/>
    <w:basedOn w:val="Normln"/>
    <w:rsid w:val="00BA0EFF"/>
    <w:pPr>
      <w:numPr>
        <w:numId w:val="5"/>
      </w:numPr>
      <w:tabs>
        <w:tab w:val="clear" w:pos="720"/>
        <w:tab w:val="num" w:pos="360"/>
      </w:tabs>
      <w:spacing w:before="120" w:after="120"/>
      <w:ind w:left="360" w:hanging="360"/>
      <w:jc w:val="both"/>
    </w:pPr>
    <w:rPr>
      <w:b/>
      <w:bCs/>
      <w:sz w:val="22"/>
      <w:lang w:eastAsia="cs-CZ"/>
    </w:rPr>
  </w:style>
  <w:style w:type="paragraph" w:customStyle="1" w:styleId="Fous">
    <w:name w:val="Fous"/>
    <w:basedOn w:val="Normln"/>
    <w:rsid w:val="00BA0EFF"/>
    <w:pPr>
      <w:numPr>
        <w:numId w:val="6"/>
      </w:numPr>
      <w:tabs>
        <w:tab w:val="clear" w:pos="722"/>
        <w:tab w:val="num" w:pos="360"/>
      </w:tabs>
      <w:ind w:left="360" w:hanging="360"/>
      <w:jc w:val="both"/>
    </w:pPr>
    <w:rPr>
      <w:sz w:val="22"/>
      <w:lang w:eastAsia="cs-CZ"/>
    </w:rPr>
  </w:style>
  <w:style w:type="paragraph" w:customStyle="1" w:styleId="lenn1">
    <w:name w:val="členění 1"/>
    <w:basedOn w:val="Normln"/>
    <w:rsid w:val="00BA0EFF"/>
    <w:pPr>
      <w:numPr>
        <w:numId w:val="7"/>
      </w:numPr>
    </w:pPr>
    <w:rPr>
      <w:b/>
      <w:lang w:eastAsia="cs-CZ"/>
    </w:rPr>
  </w:style>
  <w:style w:type="paragraph" w:customStyle="1" w:styleId="NadpisKZ">
    <w:name w:val="Nadpis KZ"/>
    <w:basedOn w:val="Zkladntext2"/>
    <w:rsid w:val="00BA0EFF"/>
    <w:pPr>
      <w:spacing w:before="120" w:after="360" w:line="240" w:lineRule="auto"/>
    </w:pPr>
    <w:rPr>
      <w:b/>
      <w:bCs/>
      <w:sz w:val="32"/>
      <w:lang w:eastAsia="cs-CZ"/>
    </w:rPr>
  </w:style>
  <w:style w:type="paragraph" w:customStyle="1" w:styleId="NormlnKZ">
    <w:name w:val="Normální KZ"/>
    <w:basedOn w:val="Normln"/>
    <w:rsid w:val="00BA0EFF"/>
    <w:pPr>
      <w:spacing w:after="120"/>
      <w:ind w:firstLine="425"/>
      <w:jc w:val="both"/>
    </w:pPr>
    <w:rPr>
      <w:sz w:val="22"/>
      <w:lang w:eastAsia="cs-CZ"/>
    </w:rPr>
  </w:style>
  <w:style w:type="paragraph" w:customStyle="1" w:styleId="vod">
    <w:name w:val="Úvod"/>
    <w:basedOn w:val="Nadpisvod"/>
    <w:rsid w:val="00BA0EFF"/>
    <w:pPr>
      <w:tabs>
        <w:tab w:val="clear" w:pos="360"/>
      </w:tabs>
      <w:ind w:left="0" w:firstLine="0"/>
    </w:pPr>
  </w:style>
  <w:style w:type="paragraph" w:customStyle="1" w:styleId="Nadpisvod">
    <w:name w:val="Nadpis úvod"/>
    <w:basedOn w:val="Nadpis1"/>
    <w:rsid w:val="00BA0EFF"/>
    <w:pPr>
      <w:numPr>
        <w:numId w:val="0"/>
      </w:numPr>
      <w:tabs>
        <w:tab w:val="num" w:pos="360"/>
        <w:tab w:val="num" w:pos="787"/>
      </w:tabs>
      <w:spacing w:before="360" w:after="240"/>
      <w:ind w:left="787" w:hanging="360"/>
      <w:jc w:val="both"/>
    </w:pPr>
    <w:rPr>
      <w:rFonts w:ascii="Times New Roman" w:hAnsi="Times New Roman" w:cs="Times New Roman"/>
      <w:kern w:val="0"/>
      <w:sz w:val="28"/>
      <w:szCs w:val="24"/>
      <w:lang w:eastAsia="cs-CZ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BA0EFF"/>
    <w:rPr>
      <w:vertAlign w:val="superscript"/>
    </w:rPr>
  </w:style>
  <w:style w:type="paragraph" w:styleId="Titulek">
    <w:name w:val="caption"/>
    <w:basedOn w:val="Normln"/>
    <w:next w:val="Normln"/>
    <w:uiPriority w:val="35"/>
    <w:qFormat/>
    <w:rsid w:val="00BA0EFF"/>
    <w:pPr>
      <w:spacing w:before="120" w:after="120"/>
    </w:pPr>
    <w:rPr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A0EFF"/>
    <w:pPr>
      <w:jc w:val="center"/>
    </w:pPr>
    <w:rPr>
      <w:szCs w:val="20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BA0EFF"/>
    <w:rPr>
      <w:sz w:val="20"/>
      <w:szCs w:val="20"/>
      <w:lang w:eastAsia="cs-CZ"/>
    </w:rPr>
  </w:style>
  <w:style w:type="paragraph" w:customStyle="1" w:styleId="Normln0">
    <w:name w:val="Norm‡ln’"/>
    <w:rsid w:val="00BA0EF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Sledovanodkaz">
    <w:name w:val="FollowedHyperlink"/>
    <w:basedOn w:val="Standardnpsmoodstavce"/>
    <w:semiHidden/>
    <w:rsid w:val="00BA0EFF"/>
    <w:rPr>
      <w:color w:val="800080"/>
      <w:u w:val="single"/>
    </w:rPr>
  </w:style>
  <w:style w:type="paragraph" w:styleId="Odstavecseseznamem">
    <w:name w:val="List Paragraph"/>
    <w:aliases w:val="Nadpis pro KZ,odrážky,List Paragraph"/>
    <w:basedOn w:val="Normln"/>
    <w:link w:val="OdstavecseseznamemChar"/>
    <w:uiPriority w:val="34"/>
    <w:qFormat/>
    <w:rsid w:val="00BA0EFF"/>
    <w:pPr>
      <w:ind w:left="720"/>
      <w:contextualSpacing/>
    </w:pPr>
  </w:style>
  <w:style w:type="character" w:customStyle="1" w:styleId="ZkladntextChar">
    <w:name w:val="Základní text Char"/>
    <w:basedOn w:val="Standardnpsmoodstavce"/>
    <w:rsid w:val="00BA0EFF"/>
    <w:rPr>
      <w:sz w:val="24"/>
      <w:szCs w:val="24"/>
      <w:lang w:eastAsia="en-US"/>
    </w:rPr>
  </w:style>
  <w:style w:type="paragraph" w:styleId="Textbubliny">
    <w:name w:val="Balloon Text"/>
    <w:basedOn w:val="Normln"/>
    <w:semiHidden/>
    <w:unhideWhenUsed/>
    <w:rsid w:val="00BA0E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A0EFF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semiHidden/>
    <w:unhideWhenUsed/>
    <w:rsid w:val="00BA0EFF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A0EF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BA0EFF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BA0EFF"/>
    <w:rPr>
      <w:sz w:val="16"/>
      <w:szCs w:val="16"/>
    </w:rPr>
  </w:style>
  <w:style w:type="paragraph" w:styleId="Textkomente">
    <w:name w:val="annotation text"/>
    <w:basedOn w:val="Normln"/>
    <w:uiPriority w:val="99"/>
    <w:unhideWhenUsed/>
    <w:rsid w:val="00BA0EF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BA0EFF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BA0EFF"/>
    <w:rPr>
      <w:b/>
      <w:bCs/>
    </w:rPr>
  </w:style>
  <w:style w:type="character" w:customStyle="1" w:styleId="PedmtkomenteChar">
    <w:name w:val="Předmět komentáře Char"/>
    <w:basedOn w:val="TextkomenteChar"/>
    <w:semiHidden/>
    <w:rsid w:val="00BA0EFF"/>
    <w:rPr>
      <w:b/>
      <w:bCs/>
      <w:lang w:eastAsia="en-US"/>
    </w:rPr>
  </w:style>
  <w:style w:type="paragraph" w:styleId="Revize">
    <w:name w:val="Revision"/>
    <w:hidden/>
    <w:semiHidden/>
    <w:rsid w:val="00BA0EFF"/>
    <w:rPr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D0F0B"/>
    <w:rPr>
      <w:sz w:val="24"/>
      <w:lang w:eastAsia="en-US"/>
    </w:rPr>
  </w:style>
  <w:style w:type="paragraph" w:customStyle="1" w:styleId="Nadpisrovn3">
    <w:name w:val="Nadpis úrovně 3"/>
    <w:basedOn w:val="NormlnKZ"/>
    <w:next w:val="NormlnKZ"/>
    <w:rsid w:val="007E0F01"/>
    <w:pPr>
      <w:keepNext/>
      <w:spacing w:before="240"/>
      <w:ind w:firstLine="0"/>
      <w:jc w:val="left"/>
    </w:pPr>
    <w:rPr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83115D"/>
    <w:rPr>
      <w:rFonts w:ascii="Arial" w:hAnsi="Arial" w:cs="Arial"/>
      <w:b/>
      <w:bCs/>
      <w:iCs/>
      <w:sz w:val="26"/>
      <w:szCs w:val="26"/>
      <w:lang w:eastAsia="en-US"/>
    </w:rPr>
  </w:style>
  <w:style w:type="paragraph" w:styleId="Bezmezer">
    <w:name w:val="No Spacing"/>
    <w:aliases w:val="KP,Bez mezer1,No Spacing,Bez mezer11"/>
    <w:basedOn w:val="Normln"/>
    <w:uiPriority w:val="1"/>
    <w:qFormat/>
    <w:rsid w:val="00157385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131367"/>
  </w:style>
  <w:style w:type="character" w:customStyle="1" w:styleId="ZpatChar">
    <w:name w:val="Zápatí Char"/>
    <w:basedOn w:val="Standardnpsmoodstavce"/>
    <w:link w:val="Zpat"/>
    <w:uiPriority w:val="99"/>
    <w:rsid w:val="00C953C5"/>
    <w:rPr>
      <w:sz w:val="24"/>
      <w:szCs w:val="24"/>
      <w:lang w:eastAsia="en-US"/>
    </w:rPr>
  </w:style>
  <w:style w:type="character" w:customStyle="1" w:styleId="OdstavecseseznamemChar">
    <w:name w:val="Odstavec se seznamem Char"/>
    <w:aliases w:val="Nadpis pro KZ Char,odrážky Char,List Paragraph Char"/>
    <w:link w:val="Odstavecseseznamem"/>
    <w:uiPriority w:val="34"/>
    <w:locked/>
    <w:rsid w:val="00132672"/>
    <w:rPr>
      <w:sz w:val="24"/>
      <w:szCs w:val="24"/>
      <w:lang w:eastAsia="en-US"/>
    </w:rPr>
  </w:style>
  <w:style w:type="paragraph" w:customStyle="1" w:styleId="Psmeno">
    <w:name w:val="Písmeno"/>
    <w:basedOn w:val="Normln"/>
    <w:rsid w:val="0063519E"/>
    <w:pPr>
      <w:tabs>
        <w:tab w:val="num" w:pos="360"/>
      </w:tabs>
      <w:spacing w:after="120"/>
      <w:jc w:val="both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8D3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paragraph" w:customStyle="1" w:styleId="CM31">
    <w:name w:val="CM3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paragraph" w:customStyle="1" w:styleId="CM41">
    <w:name w:val="CM4+1"/>
    <w:basedOn w:val="Normln"/>
    <w:next w:val="Normln"/>
    <w:uiPriority w:val="99"/>
    <w:rsid w:val="0001135F"/>
    <w:pPr>
      <w:autoSpaceDE w:val="0"/>
      <w:autoSpaceDN w:val="0"/>
      <w:adjustRightInd w:val="0"/>
    </w:pPr>
    <w:rPr>
      <w:rFonts w:ascii="EUAlbertina" w:hAnsi="EUAlbertin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DC9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B7DC9"/>
    <w:rPr>
      <w:b/>
      <w:bCs/>
      <w:iCs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B7DC9"/>
    <w:rPr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B7DC9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rsid w:val="00FB7DC9"/>
    <w:rPr>
      <w:b/>
      <w:bCs/>
      <w:sz w:val="32"/>
      <w:szCs w:val="24"/>
    </w:rPr>
  </w:style>
  <w:style w:type="character" w:customStyle="1" w:styleId="Nadpis7Char">
    <w:name w:val="Nadpis 7 Char"/>
    <w:basedOn w:val="Standardnpsmoodstavce"/>
    <w:link w:val="Nadpis7"/>
    <w:rsid w:val="00FB7DC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B7DC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FB7DC9"/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FB7DC9"/>
    <w:rPr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B7DC9"/>
    <w:rPr>
      <w:sz w:val="24"/>
      <w:szCs w:val="24"/>
      <w:lang w:eastAsia="en-US"/>
    </w:rPr>
  </w:style>
  <w:style w:type="paragraph" w:customStyle="1" w:styleId="Default">
    <w:name w:val="Default"/>
    <w:rsid w:val="00B060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p.cz" TargetMode="External"/><Relationship Id="rId2" Type="http://schemas.openxmlformats.org/officeDocument/2006/relationships/hyperlink" Target="http://ec.europa.eu/eurostat/documents/3859598/5937189/KS-GQ-14-010-EN.PDF/c1466fde-141c-418d-b7f1-eb8d5765aa1d" TargetMode="External"/><Relationship Id="rId1" Type="http://schemas.openxmlformats.org/officeDocument/2006/relationships/hyperlink" Target="http://www.ifac.org/publications-resources/2014-handbook-international-public-sector-accounting-pronouncements" TargetMode="External"/><Relationship Id="rId4" Type="http://schemas.openxmlformats.org/officeDocument/2006/relationships/hyperlink" Target="http://www.eurekanetwork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51EB0-C584-4E50-BA87-1F2BE36D943D}"/>
</file>

<file path=customXml/itemProps2.xml><?xml version="1.0" encoding="utf-8"?>
<ds:datastoreItem xmlns:ds="http://schemas.openxmlformats.org/officeDocument/2006/customXml" ds:itemID="{2F778051-A4F1-49D1-845A-BEE418E7E1F0}"/>
</file>

<file path=customXml/itemProps3.xml><?xml version="1.0" encoding="utf-8"?>
<ds:datastoreItem xmlns:ds="http://schemas.openxmlformats.org/officeDocument/2006/customXml" ds:itemID="{D6A65570-E5FE-4421-A6AE-1299BA349238}"/>
</file>

<file path=customXml/itemProps4.xml><?xml version="1.0" encoding="utf-8"?>
<ds:datastoreItem xmlns:ds="http://schemas.openxmlformats.org/officeDocument/2006/customXml" ds:itemID="{6F3AEB10-D4F1-4527-8121-C9F6012690E8}"/>
</file>

<file path=docProps/app.xml><?xml version="1.0" encoding="utf-8"?>
<Properties xmlns="http://schemas.openxmlformats.org/officeDocument/2006/extended-properties" xmlns:vt="http://schemas.openxmlformats.org/officeDocument/2006/docPropsVTypes">
  <Template>8E2E74CF</Template>
  <TotalTime>214</TotalTime>
  <Pages>37</Pages>
  <Words>12543</Words>
  <Characters>74005</Characters>
  <Application>Microsoft Office Word</Application>
  <DocSecurity>0</DocSecurity>
  <Lines>616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14/18</vt:lpstr>
    </vt:vector>
  </TitlesOfParts>
  <Company>NKU</Company>
  <LinksUpToDate>false</LinksUpToDate>
  <CharactersWithSpaces>86376</CharactersWithSpaces>
  <SharedDoc>false</SharedDoc>
  <HLinks>
    <vt:vector size="6" baseType="variant">
      <vt:variant>
        <vt:i4>4390930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http://wwwinfo.mfcr.cz/ufis/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14/37</dc:title>
  <dc:creator>GREŠOVÁ Romana</dc:creator>
  <cp:lastModifiedBy>STEIDLOVÁ Jaromíra</cp:lastModifiedBy>
  <cp:revision>21</cp:revision>
  <cp:lastPrinted>2015-09-04T13:02:00Z</cp:lastPrinted>
  <dcterms:created xsi:type="dcterms:W3CDTF">2015-09-17T13:53:00Z</dcterms:created>
  <dcterms:modified xsi:type="dcterms:W3CDTF">2015-09-18T09:36:00Z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114/15-NKU200/526/15</vt:lpwstr>
  </property>
  <property fmtid="{D5CDD505-2E9C-101B-9397-08002B2CF9AE}" pid="3" name="SZ_Spis_Pisemnost">
    <vt:lpwstr>114/15</vt:lpwstr>
  </property>
  <property fmtid="{D5CDD505-2E9C-101B-9397-08002B2CF9AE}" pid="4" name="DisplayName_SpisovyUzel_PoziceZodpo_Pisemnost">
    <vt:lpwstr>200</vt:lpwstr>
  </property>
  <property fmtid="{D5CDD505-2E9C-101B-9397-08002B2CF9AE}" pid="5" name="Zkratka_SpisovyUzel_PoziceZodpo_Pisemnost">
    <vt:lpwstr>200</vt:lpwstr>
  </property>
  <property fmtid="{D5CDD505-2E9C-101B-9397-08002B2CF9AE}" pid="6" name="Key_BarCode_Pisemnost">
    <vt:lpwstr>*B000241448*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15-11900/NKU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18/0</vt:lpwstr>
  </property>
  <property fmtid="{D5CDD505-2E9C-101B-9397-08002B2CF9AE}" pid="18" name="Vec_Pisemnost">
    <vt:lpwstr>KZ 14/37 - připomínkové řízení</vt:lpwstr>
  </property>
  <property fmtid="{D5CDD505-2E9C-101B-9397-08002B2CF9AE}" pid="19" name="DatumPoriz_Pisemnost">
    <vt:lpwstr>29.7.2015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18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1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