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A1" w:rsidRPr="00F43E2F" w:rsidRDefault="00F43E2F" w:rsidP="00F43E2F">
      <w:pPr>
        <w:spacing w:after="0"/>
        <w:jc w:val="center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noProof/>
          <w:sz w:val="24"/>
          <w:lang w:eastAsia="cs-CZ"/>
        </w:rPr>
        <w:drawing>
          <wp:anchor distT="0" distB="0" distL="114935" distR="114935" simplePos="0" relativeHeight="251659264" behindDoc="0" locked="0" layoutInCell="1" allowOverlap="1" wp14:anchorId="0B953876" wp14:editId="76A3BCE3">
            <wp:simplePos x="0" y="0"/>
            <wp:positionH relativeFrom="column">
              <wp:posOffset>2672080</wp:posOffset>
            </wp:positionH>
            <wp:positionV relativeFrom="paragraph">
              <wp:posOffset>-43815</wp:posOffset>
            </wp:positionV>
            <wp:extent cx="763905" cy="53975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539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2F" w:rsidRDefault="00F43E2F" w:rsidP="00F43E2F">
      <w:pPr>
        <w:spacing w:after="0"/>
        <w:jc w:val="center"/>
        <w:rPr>
          <w:rFonts w:ascii="Calibri" w:hAnsi="Calibri" w:cs="Calibri"/>
          <w:sz w:val="24"/>
        </w:rPr>
      </w:pPr>
    </w:p>
    <w:p w:rsidR="00F016DA" w:rsidRPr="00F43E2F" w:rsidRDefault="00F016DA" w:rsidP="00F43E2F">
      <w:pPr>
        <w:spacing w:after="0"/>
        <w:jc w:val="center"/>
        <w:rPr>
          <w:rFonts w:ascii="Calibri" w:hAnsi="Calibri" w:cs="Calibri"/>
          <w:sz w:val="24"/>
        </w:rPr>
      </w:pPr>
    </w:p>
    <w:p w:rsidR="00F016DA" w:rsidRPr="00F43E2F" w:rsidRDefault="00F016DA" w:rsidP="00F43E2F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F43E2F">
        <w:rPr>
          <w:rFonts w:ascii="Calibri" w:hAnsi="Calibri" w:cs="Calibri"/>
          <w:b/>
          <w:sz w:val="28"/>
          <w:szCs w:val="28"/>
        </w:rPr>
        <w:t>Kontrolní závěr z kontrolní akce</w:t>
      </w:r>
    </w:p>
    <w:p w:rsidR="00F43E2F" w:rsidRPr="00F43E2F" w:rsidRDefault="00F43E2F" w:rsidP="00F43E2F">
      <w:pPr>
        <w:spacing w:after="0"/>
        <w:jc w:val="center"/>
        <w:rPr>
          <w:rFonts w:ascii="Calibri" w:hAnsi="Calibri" w:cs="Calibri"/>
          <w:sz w:val="24"/>
        </w:rPr>
      </w:pPr>
    </w:p>
    <w:p w:rsidR="00F016DA" w:rsidRPr="00F43E2F" w:rsidRDefault="00C86F27" w:rsidP="00F43E2F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F43E2F">
        <w:rPr>
          <w:rFonts w:ascii="Calibri" w:hAnsi="Calibri" w:cs="Calibri"/>
          <w:b/>
          <w:sz w:val="28"/>
          <w:szCs w:val="28"/>
        </w:rPr>
        <w:t>14/20</w:t>
      </w:r>
    </w:p>
    <w:p w:rsidR="00F43E2F" w:rsidRPr="00F43E2F" w:rsidRDefault="00F43E2F" w:rsidP="00F43E2F">
      <w:pPr>
        <w:spacing w:after="0"/>
        <w:jc w:val="center"/>
        <w:rPr>
          <w:rFonts w:ascii="Calibri" w:hAnsi="Calibri" w:cs="Calibri"/>
          <w:sz w:val="24"/>
        </w:rPr>
      </w:pPr>
    </w:p>
    <w:p w:rsidR="00F016DA" w:rsidRPr="00F43E2F" w:rsidRDefault="00C86F27" w:rsidP="00F43E2F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F43E2F">
        <w:rPr>
          <w:rFonts w:ascii="Calibri" w:hAnsi="Calibri" w:cs="Calibri"/>
          <w:b/>
          <w:sz w:val="28"/>
          <w:szCs w:val="28"/>
        </w:rPr>
        <w:t>Peněžní prostředky státu vynakládané na výstavbu, provoz a využívání služeb datových center</w:t>
      </w:r>
    </w:p>
    <w:p w:rsidR="00F016DA" w:rsidRDefault="00F016DA" w:rsidP="00F43E2F">
      <w:pPr>
        <w:spacing w:after="0"/>
        <w:rPr>
          <w:rFonts w:ascii="Calibri" w:hAnsi="Calibri" w:cs="Calibri"/>
          <w:sz w:val="24"/>
          <w:highlight w:val="lightGray"/>
        </w:rPr>
      </w:pP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  <w:highlight w:val="lightGray"/>
        </w:rPr>
      </w:pPr>
    </w:p>
    <w:p w:rsidR="00F016DA" w:rsidRDefault="00F016DA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>Kontrolní akce byla zařazena do plánu kontrolní činnosti Nejvyššího kontrolního úř</w:t>
      </w:r>
      <w:r w:rsidR="00C86F27" w:rsidRPr="00F43E2F">
        <w:rPr>
          <w:rFonts w:ascii="Calibri" w:hAnsi="Calibri" w:cs="Calibri"/>
          <w:sz w:val="24"/>
        </w:rPr>
        <w:t>adu (dále jen „NKÚ“) na rok 2014 pod číslem 14</w:t>
      </w:r>
      <w:r w:rsidR="000323B9" w:rsidRPr="00F43E2F">
        <w:rPr>
          <w:rFonts w:ascii="Calibri" w:hAnsi="Calibri" w:cs="Calibri"/>
          <w:sz w:val="24"/>
        </w:rPr>
        <w:t>/2</w:t>
      </w:r>
      <w:r w:rsidR="00C86F27" w:rsidRPr="00F43E2F">
        <w:rPr>
          <w:rFonts w:ascii="Calibri" w:hAnsi="Calibri" w:cs="Calibri"/>
          <w:sz w:val="24"/>
        </w:rPr>
        <w:t>0</w:t>
      </w:r>
      <w:r w:rsidRPr="00F43E2F">
        <w:rPr>
          <w:rFonts w:ascii="Calibri" w:hAnsi="Calibri" w:cs="Calibri"/>
          <w:sz w:val="24"/>
        </w:rPr>
        <w:t>. Kontrolní akci řídil a kontrolní závěr vyp</w:t>
      </w:r>
      <w:r w:rsidR="000323B9" w:rsidRPr="00F43E2F">
        <w:rPr>
          <w:rFonts w:ascii="Calibri" w:hAnsi="Calibri" w:cs="Calibri"/>
          <w:sz w:val="24"/>
        </w:rPr>
        <w:t xml:space="preserve">racoval člen NKÚ Ing. </w:t>
      </w:r>
      <w:bookmarkStart w:id="0" w:name="_Toc225829457"/>
      <w:bookmarkStart w:id="1" w:name="_Toc270078121"/>
      <w:bookmarkStart w:id="2" w:name="_Toc326061750"/>
      <w:r w:rsidR="00C86F27" w:rsidRPr="00F43E2F">
        <w:rPr>
          <w:rFonts w:ascii="Calibri" w:hAnsi="Calibri" w:cs="Calibri"/>
          <w:sz w:val="24"/>
        </w:rPr>
        <w:t xml:space="preserve">Daniel </w:t>
      </w:r>
      <w:proofErr w:type="spellStart"/>
      <w:r w:rsidR="00C86F27" w:rsidRPr="00F43E2F">
        <w:rPr>
          <w:rFonts w:ascii="Calibri" w:hAnsi="Calibri" w:cs="Calibri"/>
          <w:sz w:val="24"/>
        </w:rPr>
        <w:t>Reisiegel</w:t>
      </w:r>
      <w:proofErr w:type="spellEnd"/>
      <w:r w:rsidR="00C86F27" w:rsidRPr="00F43E2F">
        <w:rPr>
          <w:rFonts w:ascii="Calibri" w:hAnsi="Calibri" w:cs="Calibri"/>
          <w:sz w:val="24"/>
        </w:rPr>
        <w:t>, MPA</w:t>
      </w:r>
      <w:r w:rsidR="00394280" w:rsidRPr="00F43E2F">
        <w:rPr>
          <w:rFonts w:ascii="Calibri" w:hAnsi="Calibri" w:cs="Calibri"/>
          <w:sz w:val="24"/>
        </w:rPr>
        <w:t>.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bookmarkEnd w:id="0"/>
    <w:bookmarkEnd w:id="1"/>
    <w:bookmarkEnd w:id="2"/>
    <w:p w:rsidR="000323B9" w:rsidRPr="0061219D" w:rsidRDefault="000323B9" w:rsidP="00F43E2F">
      <w:pPr>
        <w:spacing w:after="0"/>
        <w:rPr>
          <w:rFonts w:ascii="Calibri" w:hAnsi="Calibri" w:cs="Calibri"/>
          <w:spacing w:val="-4"/>
          <w:sz w:val="24"/>
        </w:rPr>
      </w:pPr>
      <w:r w:rsidRPr="0061219D">
        <w:rPr>
          <w:rFonts w:ascii="Calibri" w:hAnsi="Calibri" w:cs="Calibri"/>
          <w:spacing w:val="-4"/>
          <w:sz w:val="24"/>
        </w:rPr>
        <w:t xml:space="preserve">Cílem kontroly </w:t>
      </w:r>
      <w:r w:rsidR="00C86F27" w:rsidRPr="0061219D">
        <w:rPr>
          <w:rFonts w:ascii="Calibri" w:hAnsi="Calibri" w:cs="Calibri"/>
          <w:spacing w:val="-4"/>
          <w:sz w:val="24"/>
        </w:rPr>
        <w:t xml:space="preserve">bylo prověřit hospodaření s prostředky vynakládanými na výstavbu a provoz Národního datového centra </w:t>
      </w:r>
      <w:r w:rsidR="00D11B10" w:rsidRPr="0061219D">
        <w:rPr>
          <w:rFonts w:ascii="Calibri" w:hAnsi="Calibri" w:cs="Calibri"/>
          <w:spacing w:val="-4"/>
          <w:sz w:val="24"/>
        </w:rPr>
        <w:t xml:space="preserve">(dále </w:t>
      </w:r>
      <w:r w:rsidR="001C145E" w:rsidRPr="0061219D">
        <w:rPr>
          <w:rFonts w:ascii="Calibri" w:hAnsi="Calibri" w:cs="Calibri"/>
          <w:spacing w:val="-4"/>
          <w:sz w:val="24"/>
        </w:rPr>
        <w:t>jen „datové centrum STC</w:t>
      </w:r>
      <w:r w:rsidR="001C145E" w:rsidRPr="0061219D">
        <w:rPr>
          <w:rStyle w:val="Znakapoznpodarou"/>
          <w:rFonts w:ascii="Calibri" w:hAnsi="Calibri" w:cs="Calibri"/>
          <w:spacing w:val="-4"/>
          <w:sz w:val="24"/>
        </w:rPr>
        <w:footnoteReference w:id="2"/>
      </w:r>
      <w:r w:rsidR="001C145E" w:rsidRPr="0061219D">
        <w:rPr>
          <w:rFonts w:ascii="Calibri" w:hAnsi="Calibri" w:cs="Calibri"/>
          <w:spacing w:val="-4"/>
          <w:sz w:val="24"/>
        </w:rPr>
        <w:t xml:space="preserve">“) </w:t>
      </w:r>
      <w:r w:rsidR="00C86F27" w:rsidRPr="0061219D">
        <w:rPr>
          <w:rFonts w:ascii="Calibri" w:hAnsi="Calibri" w:cs="Calibri"/>
          <w:spacing w:val="-4"/>
          <w:sz w:val="24"/>
        </w:rPr>
        <w:t xml:space="preserve">včetně nákladů vybraných organizačních složek státu na nákup </w:t>
      </w:r>
      <w:proofErr w:type="spellStart"/>
      <w:r w:rsidR="00C86F27" w:rsidRPr="0061219D">
        <w:rPr>
          <w:rFonts w:ascii="Calibri" w:hAnsi="Calibri" w:cs="Calibri"/>
          <w:spacing w:val="-4"/>
          <w:sz w:val="24"/>
        </w:rPr>
        <w:t>ho</w:t>
      </w:r>
      <w:r w:rsidR="006100DE" w:rsidRPr="0061219D">
        <w:rPr>
          <w:rFonts w:ascii="Calibri" w:hAnsi="Calibri" w:cs="Calibri"/>
          <w:spacing w:val="-4"/>
          <w:sz w:val="24"/>
        </w:rPr>
        <w:t>stingo</w:t>
      </w:r>
      <w:r w:rsidR="00C86F27" w:rsidRPr="0061219D">
        <w:rPr>
          <w:rFonts w:ascii="Calibri" w:hAnsi="Calibri" w:cs="Calibri"/>
          <w:spacing w:val="-4"/>
          <w:sz w:val="24"/>
        </w:rPr>
        <w:t>vých</w:t>
      </w:r>
      <w:proofErr w:type="spellEnd"/>
      <w:r w:rsidR="00C86F27" w:rsidRPr="0061219D">
        <w:rPr>
          <w:rFonts w:ascii="Calibri" w:hAnsi="Calibri" w:cs="Calibri"/>
          <w:spacing w:val="-4"/>
          <w:sz w:val="24"/>
        </w:rPr>
        <w:t xml:space="preserve">, </w:t>
      </w:r>
      <w:proofErr w:type="spellStart"/>
      <w:r w:rsidR="00C86F27" w:rsidRPr="0061219D">
        <w:rPr>
          <w:rFonts w:ascii="Calibri" w:hAnsi="Calibri" w:cs="Calibri"/>
          <w:spacing w:val="-4"/>
          <w:sz w:val="24"/>
        </w:rPr>
        <w:t>serverhousingových</w:t>
      </w:r>
      <w:proofErr w:type="spellEnd"/>
      <w:r w:rsidR="00C86F27" w:rsidRPr="0061219D">
        <w:rPr>
          <w:rFonts w:ascii="Calibri" w:hAnsi="Calibri" w:cs="Calibri"/>
          <w:spacing w:val="-4"/>
          <w:sz w:val="24"/>
        </w:rPr>
        <w:t xml:space="preserve"> a dalších souvisejících služeb</w:t>
      </w:r>
      <w:r w:rsidRPr="0061219D">
        <w:rPr>
          <w:rFonts w:ascii="Calibri" w:hAnsi="Calibri" w:cs="Calibri"/>
          <w:spacing w:val="-4"/>
          <w:sz w:val="24"/>
        </w:rPr>
        <w:t>.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F016DA" w:rsidRDefault="00F016DA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>Kont</w:t>
      </w:r>
      <w:r w:rsidR="005A2D29" w:rsidRPr="00F43E2F">
        <w:rPr>
          <w:rFonts w:ascii="Calibri" w:hAnsi="Calibri" w:cs="Calibri"/>
          <w:sz w:val="24"/>
        </w:rPr>
        <w:t>rolovaným obdobím bylo období let 2010 až 2014</w:t>
      </w:r>
      <w:r w:rsidRPr="00F43E2F">
        <w:rPr>
          <w:rFonts w:ascii="Calibri" w:hAnsi="Calibri" w:cs="Calibri"/>
          <w:sz w:val="24"/>
        </w:rPr>
        <w:t>, v případě věcných souvislostí i obd</w:t>
      </w:r>
      <w:r w:rsidR="00394280" w:rsidRPr="00F43E2F">
        <w:rPr>
          <w:rFonts w:ascii="Calibri" w:hAnsi="Calibri" w:cs="Calibri"/>
          <w:sz w:val="24"/>
        </w:rPr>
        <w:t>obí předcházející.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152A3C" w:rsidRDefault="00F016DA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>Kontrolovan</w:t>
      </w:r>
      <w:r w:rsidR="00152A3C">
        <w:rPr>
          <w:rFonts w:ascii="Calibri" w:hAnsi="Calibri" w:cs="Calibri"/>
          <w:sz w:val="24"/>
        </w:rPr>
        <w:t>é</w:t>
      </w:r>
      <w:r w:rsidRPr="00F43E2F">
        <w:rPr>
          <w:rFonts w:ascii="Calibri" w:hAnsi="Calibri" w:cs="Calibri"/>
          <w:sz w:val="24"/>
        </w:rPr>
        <w:t xml:space="preserve"> osob</w:t>
      </w:r>
      <w:r w:rsidR="00152A3C">
        <w:rPr>
          <w:rFonts w:ascii="Calibri" w:hAnsi="Calibri" w:cs="Calibri"/>
          <w:sz w:val="24"/>
        </w:rPr>
        <w:t>y:</w:t>
      </w:r>
      <w:r w:rsidRPr="00F43E2F">
        <w:rPr>
          <w:rFonts w:ascii="Calibri" w:hAnsi="Calibri" w:cs="Calibri"/>
          <w:sz w:val="24"/>
        </w:rPr>
        <w:t xml:space="preserve"> </w:t>
      </w:r>
    </w:p>
    <w:p w:rsidR="00152A3C" w:rsidRDefault="000323B9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Ministerstvo </w:t>
      </w:r>
      <w:r w:rsidR="005A2D29" w:rsidRPr="00F43E2F">
        <w:rPr>
          <w:rFonts w:ascii="Calibri" w:hAnsi="Calibri" w:cs="Calibri"/>
          <w:sz w:val="24"/>
        </w:rPr>
        <w:t xml:space="preserve">vnitra (dále </w:t>
      </w:r>
      <w:r w:rsidR="00033ABA" w:rsidRPr="00F43E2F">
        <w:rPr>
          <w:rFonts w:ascii="Calibri" w:hAnsi="Calibri" w:cs="Calibri"/>
          <w:sz w:val="24"/>
        </w:rPr>
        <w:t xml:space="preserve">také </w:t>
      </w:r>
      <w:r w:rsidR="005A2D29" w:rsidRPr="00F43E2F">
        <w:rPr>
          <w:rFonts w:ascii="Calibri" w:hAnsi="Calibri" w:cs="Calibri"/>
          <w:sz w:val="24"/>
        </w:rPr>
        <w:t>„MV</w:t>
      </w:r>
      <w:r w:rsidR="00F016DA" w:rsidRPr="00F43E2F">
        <w:rPr>
          <w:rFonts w:ascii="Calibri" w:hAnsi="Calibri" w:cs="Calibri"/>
          <w:sz w:val="24"/>
        </w:rPr>
        <w:t>“)</w:t>
      </w:r>
      <w:r w:rsidR="00152A3C">
        <w:rPr>
          <w:rFonts w:ascii="Calibri" w:hAnsi="Calibri" w:cs="Calibri"/>
          <w:sz w:val="24"/>
        </w:rPr>
        <w:t>;</w:t>
      </w:r>
      <w:r w:rsidRPr="00F43E2F">
        <w:rPr>
          <w:rFonts w:ascii="Calibri" w:hAnsi="Calibri" w:cs="Calibri"/>
          <w:sz w:val="24"/>
        </w:rPr>
        <w:t xml:space="preserve"> </w:t>
      </w:r>
    </w:p>
    <w:p w:rsidR="00152A3C" w:rsidRDefault="000323B9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Ministerstvo </w:t>
      </w:r>
      <w:r w:rsidR="005A2D29" w:rsidRPr="00F43E2F">
        <w:rPr>
          <w:rFonts w:ascii="Calibri" w:hAnsi="Calibri" w:cs="Calibri"/>
          <w:sz w:val="24"/>
        </w:rPr>
        <w:t>financí</w:t>
      </w:r>
      <w:r w:rsidRPr="00F43E2F">
        <w:rPr>
          <w:rFonts w:ascii="Calibri" w:hAnsi="Calibri" w:cs="Calibri"/>
          <w:sz w:val="24"/>
        </w:rPr>
        <w:t xml:space="preserve"> (dále </w:t>
      </w:r>
      <w:r w:rsidR="00397660" w:rsidRPr="00F43E2F">
        <w:rPr>
          <w:rFonts w:ascii="Calibri" w:hAnsi="Calibri" w:cs="Calibri"/>
          <w:sz w:val="24"/>
        </w:rPr>
        <w:t>také</w:t>
      </w:r>
      <w:r w:rsidRPr="00F43E2F">
        <w:rPr>
          <w:rFonts w:ascii="Calibri" w:hAnsi="Calibri" w:cs="Calibri"/>
          <w:sz w:val="24"/>
        </w:rPr>
        <w:t xml:space="preserve"> „M</w:t>
      </w:r>
      <w:r w:rsidR="005A2D29" w:rsidRPr="00F43E2F">
        <w:rPr>
          <w:rFonts w:ascii="Calibri" w:hAnsi="Calibri" w:cs="Calibri"/>
          <w:sz w:val="24"/>
        </w:rPr>
        <w:t>F“)</w:t>
      </w:r>
      <w:r w:rsidR="00152A3C">
        <w:rPr>
          <w:rFonts w:ascii="Calibri" w:hAnsi="Calibri" w:cs="Calibri"/>
          <w:sz w:val="24"/>
        </w:rPr>
        <w:t>;</w:t>
      </w:r>
      <w:r w:rsidRPr="00F43E2F">
        <w:rPr>
          <w:rFonts w:ascii="Calibri" w:hAnsi="Calibri" w:cs="Calibri"/>
          <w:sz w:val="24"/>
        </w:rPr>
        <w:t xml:space="preserve"> </w:t>
      </w:r>
    </w:p>
    <w:p w:rsidR="00F016DA" w:rsidRDefault="005A2D29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>STÁTNÍ TISKÁRNA CENIN, státní podnik</w:t>
      </w:r>
      <w:r w:rsidR="000323B9" w:rsidRPr="00F43E2F">
        <w:rPr>
          <w:rFonts w:ascii="Calibri" w:hAnsi="Calibri" w:cs="Calibri"/>
          <w:sz w:val="24"/>
        </w:rPr>
        <w:t xml:space="preserve"> (dále </w:t>
      </w:r>
      <w:r w:rsidR="002E31CE" w:rsidRPr="00F43E2F">
        <w:rPr>
          <w:rFonts w:ascii="Calibri" w:hAnsi="Calibri" w:cs="Calibri"/>
          <w:sz w:val="24"/>
        </w:rPr>
        <w:t>také</w:t>
      </w:r>
      <w:r w:rsidR="000323B9" w:rsidRPr="00F43E2F">
        <w:rPr>
          <w:rFonts w:ascii="Calibri" w:hAnsi="Calibri" w:cs="Calibri"/>
          <w:sz w:val="24"/>
        </w:rPr>
        <w:t xml:space="preserve"> „</w:t>
      </w:r>
      <w:r w:rsidRPr="00F43E2F">
        <w:rPr>
          <w:rFonts w:ascii="Calibri" w:hAnsi="Calibri" w:cs="Calibri"/>
          <w:sz w:val="24"/>
        </w:rPr>
        <w:t>STC“</w:t>
      </w:r>
      <w:r w:rsidR="002E31CE" w:rsidRPr="00F43E2F">
        <w:rPr>
          <w:rFonts w:ascii="Calibri" w:hAnsi="Calibri" w:cs="Calibri"/>
          <w:sz w:val="24"/>
        </w:rPr>
        <w:t xml:space="preserve"> nebo „státní podnik“</w:t>
      </w:r>
      <w:r w:rsidR="000323B9" w:rsidRPr="00F43E2F">
        <w:rPr>
          <w:rFonts w:ascii="Calibri" w:hAnsi="Calibri" w:cs="Calibri"/>
          <w:sz w:val="24"/>
        </w:rPr>
        <w:t>)</w:t>
      </w:r>
      <w:r w:rsidRPr="00F43E2F">
        <w:rPr>
          <w:rFonts w:ascii="Calibri" w:hAnsi="Calibri" w:cs="Calibri"/>
          <w:sz w:val="24"/>
        </w:rPr>
        <w:t>.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F016DA" w:rsidRDefault="000323B9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>Kontrola by</w:t>
      </w:r>
      <w:r w:rsidR="005A2D29" w:rsidRPr="00F43E2F">
        <w:rPr>
          <w:rFonts w:ascii="Calibri" w:hAnsi="Calibri" w:cs="Calibri"/>
          <w:sz w:val="24"/>
        </w:rPr>
        <w:t>la prováděna od června do prosince</w:t>
      </w:r>
      <w:r w:rsidRPr="00F43E2F">
        <w:rPr>
          <w:rFonts w:ascii="Calibri" w:hAnsi="Calibri" w:cs="Calibri"/>
          <w:sz w:val="24"/>
        </w:rPr>
        <w:t xml:space="preserve"> roku 2014</w:t>
      </w:r>
      <w:r w:rsidR="00394280" w:rsidRPr="00F43E2F">
        <w:rPr>
          <w:rFonts w:ascii="Calibri" w:hAnsi="Calibri" w:cs="Calibri"/>
          <w:sz w:val="24"/>
        </w:rPr>
        <w:t>.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F016DA" w:rsidRPr="00F43E2F" w:rsidRDefault="00F016DA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>Námitky proti kontrol</w:t>
      </w:r>
      <w:r w:rsidR="005E674B" w:rsidRPr="00F43E2F">
        <w:rPr>
          <w:rFonts w:ascii="Calibri" w:hAnsi="Calibri" w:cs="Calibri"/>
          <w:sz w:val="24"/>
        </w:rPr>
        <w:t>nímu protokolu, které podal</w:t>
      </w:r>
      <w:r w:rsidR="005937A5">
        <w:rPr>
          <w:rFonts w:ascii="Calibri" w:hAnsi="Calibri" w:cs="Calibri"/>
          <w:sz w:val="24"/>
        </w:rPr>
        <w:t>y</w:t>
      </w:r>
      <w:r w:rsidR="005E674B" w:rsidRPr="00F43E2F">
        <w:rPr>
          <w:rFonts w:ascii="Calibri" w:hAnsi="Calibri" w:cs="Calibri"/>
          <w:sz w:val="24"/>
        </w:rPr>
        <w:t xml:space="preserve"> M</w:t>
      </w:r>
      <w:r w:rsidR="00FE6D3D" w:rsidRPr="00F43E2F">
        <w:rPr>
          <w:rFonts w:ascii="Calibri" w:hAnsi="Calibri" w:cs="Calibri"/>
          <w:sz w:val="24"/>
        </w:rPr>
        <w:t>F</w:t>
      </w:r>
      <w:r w:rsidR="009B0DB9" w:rsidRPr="00F43E2F">
        <w:rPr>
          <w:rFonts w:ascii="Calibri" w:hAnsi="Calibri" w:cs="Calibri"/>
          <w:sz w:val="24"/>
        </w:rPr>
        <w:t xml:space="preserve"> a </w:t>
      </w:r>
      <w:r w:rsidR="00FE6D3D" w:rsidRPr="00F43E2F">
        <w:rPr>
          <w:rFonts w:ascii="Calibri" w:hAnsi="Calibri" w:cs="Calibri"/>
          <w:sz w:val="24"/>
        </w:rPr>
        <w:t>STC,</w:t>
      </w:r>
      <w:r w:rsidRPr="00F43E2F">
        <w:rPr>
          <w:rFonts w:ascii="Calibri" w:hAnsi="Calibri" w:cs="Calibri"/>
          <w:sz w:val="24"/>
        </w:rPr>
        <w:t xml:space="preserve"> byly vypořádány vedoucím</w:t>
      </w:r>
      <w:r w:rsidR="009B0DB9" w:rsidRPr="00F43E2F">
        <w:rPr>
          <w:rFonts w:ascii="Calibri" w:hAnsi="Calibri" w:cs="Calibri"/>
          <w:sz w:val="24"/>
        </w:rPr>
        <w:t>i</w:t>
      </w:r>
      <w:r w:rsidRPr="00F43E2F">
        <w:rPr>
          <w:rFonts w:ascii="Calibri" w:hAnsi="Calibri" w:cs="Calibri"/>
          <w:sz w:val="24"/>
        </w:rPr>
        <w:t xml:space="preserve"> skupin kontrolujících rozhodnutím</w:t>
      </w:r>
      <w:r w:rsidR="008A0DC7" w:rsidRPr="00F43E2F">
        <w:rPr>
          <w:rFonts w:ascii="Calibri" w:hAnsi="Calibri" w:cs="Calibri"/>
          <w:sz w:val="24"/>
        </w:rPr>
        <w:t>i</w:t>
      </w:r>
      <w:r w:rsidRPr="00F43E2F">
        <w:rPr>
          <w:rFonts w:ascii="Calibri" w:hAnsi="Calibri" w:cs="Calibri"/>
          <w:sz w:val="24"/>
        </w:rPr>
        <w:t xml:space="preserve"> o námitkách. Odvolání </w:t>
      </w:r>
      <w:r w:rsidR="007B205E" w:rsidRPr="00F43E2F">
        <w:rPr>
          <w:rFonts w:ascii="Calibri" w:hAnsi="Calibri" w:cs="Calibri"/>
          <w:sz w:val="24"/>
        </w:rPr>
        <w:t>M</w:t>
      </w:r>
      <w:r w:rsidR="00FE6D3D" w:rsidRPr="00F43E2F">
        <w:rPr>
          <w:rFonts w:ascii="Calibri" w:hAnsi="Calibri" w:cs="Calibri"/>
          <w:sz w:val="24"/>
        </w:rPr>
        <w:t xml:space="preserve">F </w:t>
      </w:r>
      <w:r w:rsidRPr="00F43E2F">
        <w:rPr>
          <w:rFonts w:ascii="Calibri" w:hAnsi="Calibri" w:cs="Calibri"/>
          <w:sz w:val="24"/>
        </w:rPr>
        <w:t>proti rozhodnutí o námitkách bylo vypořádáno usnesením Kolegia NKÚ.</w:t>
      </w:r>
    </w:p>
    <w:p w:rsidR="006B398D" w:rsidRPr="00F43E2F" w:rsidRDefault="006B398D" w:rsidP="00F43E2F">
      <w:pPr>
        <w:spacing w:after="0"/>
        <w:rPr>
          <w:rFonts w:ascii="Calibri" w:hAnsi="Calibri" w:cs="Calibri"/>
          <w:sz w:val="24"/>
        </w:rPr>
      </w:pPr>
    </w:p>
    <w:p w:rsidR="00F016DA" w:rsidRPr="00F43E2F" w:rsidRDefault="00F016DA" w:rsidP="00F43E2F">
      <w:pPr>
        <w:spacing w:after="0"/>
        <w:rPr>
          <w:rFonts w:ascii="Calibri" w:hAnsi="Calibri" w:cs="Calibri"/>
          <w:sz w:val="24"/>
        </w:rPr>
      </w:pPr>
      <w:proofErr w:type="gramStart"/>
      <w:r w:rsidRPr="00F43E2F">
        <w:rPr>
          <w:rFonts w:ascii="Calibri" w:hAnsi="Calibri" w:cs="Calibri"/>
          <w:b/>
          <w:bCs/>
          <w:i/>
          <w:iCs/>
          <w:color w:val="000000"/>
          <w:spacing w:val="60"/>
          <w:sz w:val="24"/>
        </w:rPr>
        <w:t>Kolegium</w:t>
      </w:r>
      <w:r w:rsidRPr="00F43E2F">
        <w:rPr>
          <w:rFonts w:ascii="Calibri" w:hAnsi="Calibri" w:cs="Calibri"/>
          <w:b/>
          <w:bCs/>
          <w:iCs/>
          <w:color w:val="000000"/>
          <w:sz w:val="24"/>
        </w:rPr>
        <w:t xml:space="preserve">   </w:t>
      </w:r>
      <w:r w:rsidRPr="00F43E2F">
        <w:rPr>
          <w:rFonts w:ascii="Calibri" w:hAnsi="Calibri" w:cs="Calibri"/>
          <w:b/>
          <w:bCs/>
          <w:i/>
          <w:iCs/>
          <w:color w:val="000000"/>
          <w:spacing w:val="60"/>
          <w:sz w:val="24"/>
        </w:rPr>
        <w:t>NKÚ</w:t>
      </w:r>
      <w:proofErr w:type="gramEnd"/>
      <w:r w:rsidRPr="00F43E2F">
        <w:rPr>
          <w:rFonts w:ascii="Calibri" w:hAnsi="Calibri" w:cs="Calibri"/>
          <w:bCs/>
          <w:iCs/>
          <w:color w:val="000000"/>
          <w:sz w:val="24"/>
        </w:rPr>
        <w:t xml:space="preserve">   </w:t>
      </w:r>
      <w:r w:rsidRPr="00F43E2F">
        <w:rPr>
          <w:rFonts w:ascii="Calibri" w:hAnsi="Calibri" w:cs="Calibri"/>
          <w:bCs/>
          <w:iCs/>
          <w:sz w:val="24"/>
        </w:rPr>
        <w:t>n</w:t>
      </w:r>
      <w:r w:rsidRPr="00F43E2F">
        <w:rPr>
          <w:rFonts w:ascii="Calibri" w:hAnsi="Calibri" w:cs="Calibri"/>
          <w:sz w:val="24"/>
        </w:rPr>
        <w:t xml:space="preserve">a svém </w:t>
      </w:r>
      <w:r w:rsidR="003E4738" w:rsidRPr="00F43E2F">
        <w:rPr>
          <w:rFonts w:ascii="Calibri" w:hAnsi="Calibri" w:cs="Calibri"/>
          <w:sz w:val="24"/>
        </w:rPr>
        <w:t>V.</w:t>
      </w:r>
      <w:r w:rsidR="00805110" w:rsidRPr="00F43E2F">
        <w:rPr>
          <w:rFonts w:ascii="Calibri" w:hAnsi="Calibri" w:cs="Calibri"/>
          <w:sz w:val="24"/>
        </w:rPr>
        <w:t xml:space="preserve"> </w:t>
      </w:r>
      <w:r w:rsidR="00E128B7" w:rsidRPr="00F43E2F">
        <w:rPr>
          <w:rFonts w:ascii="Calibri" w:hAnsi="Calibri" w:cs="Calibri"/>
          <w:sz w:val="24"/>
        </w:rPr>
        <w:t>jedn</w:t>
      </w:r>
      <w:r w:rsidRPr="00F43E2F">
        <w:rPr>
          <w:rFonts w:ascii="Calibri" w:hAnsi="Calibri" w:cs="Calibri"/>
          <w:sz w:val="24"/>
        </w:rPr>
        <w:t>ání</w:t>
      </w:r>
      <w:r w:rsidR="00152A3C">
        <w:rPr>
          <w:rFonts w:ascii="Calibri" w:hAnsi="Calibri" w:cs="Calibri"/>
          <w:sz w:val="24"/>
        </w:rPr>
        <w:t>, které se</w:t>
      </w:r>
      <w:r w:rsidRPr="00F43E2F">
        <w:rPr>
          <w:rFonts w:ascii="Calibri" w:hAnsi="Calibri" w:cs="Calibri"/>
          <w:sz w:val="24"/>
        </w:rPr>
        <w:t xml:space="preserve"> kona</w:t>
      </w:r>
      <w:r w:rsidR="00152A3C">
        <w:rPr>
          <w:rFonts w:ascii="Calibri" w:hAnsi="Calibri" w:cs="Calibri"/>
          <w:sz w:val="24"/>
        </w:rPr>
        <w:t>lo</w:t>
      </w:r>
      <w:r w:rsidRPr="00F43E2F">
        <w:rPr>
          <w:rFonts w:ascii="Calibri" w:hAnsi="Calibri" w:cs="Calibri"/>
          <w:sz w:val="24"/>
        </w:rPr>
        <w:t xml:space="preserve"> dne </w:t>
      </w:r>
      <w:r w:rsidR="003E4738" w:rsidRPr="00F43E2F">
        <w:rPr>
          <w:rFonts w:ascii="Calibri" w:hAnsi="Calibri" w:cs="Calibri"/>
          <w:sz w:val="24"/>
        </w:rPr>
        <w:t>30. března</w:t>
      </w:r>
      <w:r w:rsidR="006B2613" w:rsidRPr="00F43E2F">
        <w:rPr>
          <w:rFonts w:ascii="Calibri" w:hAnsi="Calibri" w:cs="Calibri"/>
          <w:sz w:val="24"/>
        </w:rPr>
        <w:t xml:space="preserve"> 2015</w:t>
      </w:r>
      <w:r w:rsidR="003E4738" w:rsidRPr="00F43E2F">
        <w:rPr>
          <w:rFonts w:ascii="Calibri" w:hAnsi="Calibri" w:cs="Calibri"/>
          <w:sz w:val="24"/>
        </w:rPr>
        <w:t>,</w:t>
      </w:r>
    </w:p>
    <w:p w:rsidR="00F016DA" w:rsidRPr="00F43E2F" w:rsidRDefault="00F016DA" w:rsidP="00F43E2F">
      <w:pPr>
        <w:spacing w:after="0"/>
        <w:rPr>
          <w:rFonts w:ascii="Calibri" w:hAnsi="Calibri" w:cs="Calibri"/>
          <w:sz w:val="24"/>
        </w:rPr>
      </w:pPr>
      <w:proofErr w:type="gramStart"/>
      <w:r w:rsidRPr="00F43E2F">
        <w:rPr>
          <w:rFonts w:ascii="Calibri" w:hAnsi="Calibri" w:cs="Calibri"/>
          <w:b/>
          <w:bCs/>
          <w:i/>
          <w:iCs/>
          <w:spacing w:val="60"/>
          <w:sz w:val="24"/>
        </w:rPr>
        <w:t>schválilo</w:t>
      </w:r>
      <w:r w:rsidRPr="00F43E2F">
        <w:rPr>
          <w:rFonts w:ascii="Calibri" w:hAnsi="Calibri" w:cs="Calibri"/>
          <w:sz w:val="24"/>
        </w:rPr>
        <w:t xml:space="preserve">   usnesením</w:t>
      </w:r>
      <w:proofErr w:type="gramEnd"/>
      <w:r w:rsidRPr="00F43E2F">
        <w:rPr>
          <w:rFonts w:ascii="Calibri" w:hAnsi="Calibri" w:cs="Calibri"/>
          <w:sz w:val="24"/>
        </w:rPr>
        <w:t xml:space="preserve"> č. </w:t>
      </w:r>
      <w:r w:rsidR="003E4738" w:rsidRPr="00F43E2F">
        <w:rPr>
          <w:rFonts w:ascii="Calibri" w:hAnsi="Calibri" w:cs="Calibri"/>
          <w:sz w:val="24"/>
        </w:rPr>
        <w:t>12</w:t>
      </w:r>
      <w:r w:rsidR="00ED5C71" w:rsidRPr="00F43E2F">
        <w:rPr>
          <w:rFonts w:ascii="Calibri" w:hAnsi="Calibri" w:cs="Calibri"/>
          <w:sz w:val="24"/>
        </w:rPr>
        <w:t>/</w:t>
      </w:r>
      <w:r w:rsidR="003E4738" w:rsidRPr="00F43E2F">
        <w:rPr>
          <w:rFonts w:ascii="Calibri" w:hAnsi="Calibri" w:cs="Calibri"/>
          <w:sz w:val="24"/>
        </w:rPr>
        <w:t>V</w:t>
      </w:r>
      <w:r w:rsidR="00ED5C71" w:rsidRPr="00F43E2F">
        <w:rPr>
          <w:rFonts w:ascii="Calibri" w:hAnsi="Calibri" w:cs="Calibri"/>
          <w:sz w:val="24"/>
        </w:rPr>
        <w:t>/</w:t>
      </w:r>
      <w:r w:rsidR="006B2613" w:rsidRPr="00F43E2F">
        <w:rPr>
          <w:rFonts w:ascii="Calibri" w:hAnsi="Calibri" w:cs="Calibri"/>
          <w:sz w:val="24"/>
        </w:rPr>
        <w:t>2015</w:t>
      </w:r>
    </w:p>
    <w:p w:rsidR="00152A3C" w:rsidRDefault="00F016DA" w:rsidP="00152A3C">
      <w:pPr>
        <w:spacing w:after="0"/>
        <w:rPr>
          <w:rFonts w:ascii="Calibri" w:hAnsi="Calibri" w:cs="Calibri"/>
          <w:sz w:val="24"/>
        </w:rPr>
      </w:pPr>
      <w:proofErr w:type="gramStart"/>
      <w:r w:rsidRPr="00F43E2F">
        <w:rPr>
          <w:rFonts w:ascii="Calibri" w:hAnsi="Calibri" w:cs="Calibri"/>
          <w:b/>
          <w:bCs/>
          <w:i/>
          <w:iCs/>
          <w:spacing w:val="60"/>
          <w:sz w:val="24"/>
        </w:rPr>
        <w:t>kontrolní</w:t>
      </w:r>
      <w:r w:rsidRPr="00F43E2F">
        <w:rPr>
          <w:rFonts w:ascii="Calibri" w:hAnsi="Calibri" w:cs="Calibri"/>
          <w:b/>
          <w:bCs/>
          <w:iCs/>
          <w:sz w:val="24"/>
        </w:rPr>
        <w:t xml:space="preserve">   </w:t>
      </w:r>
      <w:r w:rsidRPr="00F43E2F">
        <w:rPr>
          <w:rFonts w:ascii="Calibri" w:hAnsi="Calibri" w:cs="Calibri"/>
          <w:b/>
          <w:bCs/>
          <w:i/>
          <w:iCs/>
          <w:spacing w:val="60"/>
          <w:sz w:val="24"/>
        </w:rPr>
        <w:t>závěr</w:t>
      </w:r>
      <w:proofErr w:type="gramEnd"/>
      <w:r w:rsidRPr="00F43E2F">
        <w:rPr>
          <w:rFonts w:ascii="Calibri" w:hAnsi="Calibri" w:cs="Calibri"/>
          <w:sz w:val="24"/>
        </w:rPr>
        <w:t xml:space="preserve">   v tomto znění:</w:t>
      </w:r>
      <w:r w:rsidR="00152A3C">
        <w:rPr>
          <w:rFonts w:ascii="Calibri" w:hAnsi="Calibri" w:cs="Calibri"/>
          <w:sz w:val="24"/>
        </w:rPr>
        <w:br w:type="page"/>
      </w:r>
    </w:p>
    <w:p w:rsidR="00F016DA" w:rsidRPr="002B0A07" w:rsidRDefault="00F016DA" w:rsidP="00F43E2F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2B0A07">
        <w:rPr>
          <w:rFonts w:ascii="Calibri" w:hAnsi="Calibri" w:cs="Calibri"/>
          <w:b/>
          <w:sz w:val="28"/>
          <w:szCs w:val="28"/>
        </w:rPr>
        <w:lastRenderedPageBreak/>
        <w:t>I. Úvod</w:t>
      </w:r>
    </w:p>
    <w:p w:rsid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C211E0" w:rsidRDefault="005A6435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Datová centra jsou specificky upravené prostory, které splňují </w:t>
      </w:r>
      <w:r w:rsidR="00805110" w:rsidRPr="00F43E2F">
        <w:rPr>
          <w:rFonts w:ascii="Calibri" w:hAnsi="Calibri" w:cs="Calibri"/>
          <w:sz w:val="24"/>
        </w:rPr>
        <w:t>řadu technických, fyzikálních a </w:t>
      </w:r>
      <w:r w:rsidRPr="00F43E2F">
        <w:rPr>
          <w:rFonts w:ascii="Calibri" w:hAnsi="Calibri" w:cs="Calibri"/>
          <w:sz w:val="24"/>
        </w:rPr>
        <w:t xml:space="preserve">bezpečnostně-organizačních parametrů (např. dostupnost napájení, požadovaná teplota, zabezpečení objektu atd.). </w:t>
      </w:r>
      <w:r w:rsidR="00DC7F59" w:rsidRPr="00F43E2F">
        <w:rPr>
          <w:rFonts w:ascii="Calibri" w:hAnsi="Calibri" w:cs="Calibri"/>
          <w:sz w:val="24"/>
        </w:rPr>
        <w:t>Datová centra s</w:t>
      </w:r>
      <w:r w:rsidRPr="00F43E2F">
        <w:rPr>
          <w:rFonts w:ascii="Calibri" w:hAnsi="Calibri" w:cs="Calibri"/>
          <w:sz w:val="24"/>
        </w:rPr>
        <w:t>louží k umístění a chodu počítačových technologií</w:t>
      </w:r>
      <w:r w:rsidR="00DC7F59" w:rsidRPr="00F43E2F">
        <w:rPr>
          <w:rFonts w:ascii="Calibri" w:hAnsi="Calibri" w:cs="Calibri"/>
          <w:sz w:val="24"/>
        </w:rPr>
        <w:t xml:space="preserve"> a</w:t>
      </w:r>
      <w:r w:rsidR="003E4738" w:rsidRPr="00F43E2F">
        <w:rPr>
          <w:rFonts w:ascii="Calibri" w:hAnsi="Calibri" w:cs="Calibri"/>
          <w:sz w:val="24"/>
        </w:rPr>
        <w:t> </w:t>
      </w:r>
      <w:r w:rsidRPr="00F43E2F">
        <w:rPr>
          <w:rFonts w:ascii="Calibri" w:hAnsi="Calibri" w:cs="Calibri"/>
          <w:sz w:val="24"/>
        </w:rPr>
        <w:t>mohou mít podobu budovy nebo samostatné místnosti. Mezi základní služby datových center patří pronájem výpočetního výkonu a diskového prostoru na počítačovém vybavení, které vlastní provozovatel datového centra</w:t>
      </w:r>
      <w:r w:rsidR="00510021" w:rsidRPr="00F43E2F">
        <w:rPr>
          <w:rFonts w:ascii="Calibri" w:hAnsi="Calibri" w:cs="Calibri"/>
          <w:sz w:val="24"/>
        </w:rPr>
        <w:t>,</w:t>
      </w:r>
      <w:r w:rsidRPr="00F43E2F">
        <w:rPr>
          <w:rFonts w:ascii="Calibri" w:hAnsi="Calibri" w:cs="Calibri"/>
          <w:sz w:val="24"/>
        </w:rPr>
        <w:t xml:space="preserve"> (tzv. </w:t>
      </w:r>
      <w:proofErr w:type="spellStart"/>
      <w:r w:rsidRPr="00F43E2F">
        <w:rPr>
          <w:rFonts w:ascii="Calibri" w:hAnsi="Calibri" w:cs="Calibri"/>
          <w:sz w:val="24"/>
        </w:rPr>
        <w:t>hosting</w:t>
      </w:r>
      <w:proofErr w:type="spellEnd"/>
      <w:r w:rsidRPr="00F43E2F">
        <w:rPr>
          <w:rFonts w:ascii="Calibri" w:hAnsi="Calibri" w:cs="Calibri"/>
          <w:sz w:val="24"/>
        </w:rPr>
        <w:t>) a pronájem kapacity datového centra za</w:t>
      </w:r>
      <w:r w:rsidR="00510021">
        <w:rPr>
          <w:rFonts w:ascii="Calibri" w:hAnsi="Calibri" w:cs="Calibri"/>
          <w:sz w:val="24"/>
        </w:rPr>
        <w:t xml:space="preserve"> </w:t>
      </w:r>
      <w:r w:rsidRPr="00F43E2F">
        <w:rPr>
          <w:rFonts w:ascii="Calibri" w:hAnsi="Calibri" w:cs="Calibri"/>
          <w:sz w:val="24"/>
        </w:rPr>
        <w:t xml:space="preserve">účelem umístění a provozu vlastních zařízení (tzv. </w:t>
      </w:r>
      <w:proofErr w:type="spellStart"/>
      <w:r w:rsidRPr="00F43E2F">
        <w:rPr>
          <w:rFonts w:ascii="Calibri" w:hAnsi="Calibri" w:cs="Calibri"/>
          <w:sz w:val="24"/>
        </w:rPr>
        <w:t>housin</w:t>
      </w:r>
      <w:r w:rsidR="00D575FB" w:rsidRPr="00F43E2F">
        <w:rPr>
          <w:rFonts w:ascii="Calibri" w:hAnsi="Calibri" w:cs="Calibri"/>
          <w:sz w:val="24"/>
        </w:rPr>
        <w:t>g</w:t>
      </w:r>
      <w:proofErr w:type="spellEnd"/>
      <w:r w:rsidR="00D575FB" w:rsidRPr="00F43E2F">
        <w:rPr>
          <w:rFonts w:ascii="Calibri" w:hAnsi="Calibri" w:cs="Calibri"/>
          <w:sz w:val="24"/>
        </w:rPr>
        <w:t>).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CC4219" w:rsidRDefault="007C6971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V současné době jsou datová centra jednou z významných součástí bezpečného a spolehlivého provozu moderních informačních systémů (dále jen „IS“). Požadavek na bezpečný a spolehlivý provoz IS se projevuje napříč celou státní správou. Orgány státní správy a jiné státní organizace zajišťují provoz IS budováním vlastních datových center nebo zakoupením příslušných služeb od dodavatelů. </w:t>
      </w:r>
      <w:r w:rsidR="00CC4219" w:rsidRPr="00F43E2F">
        <w:rPr>
          <w:rFonts w:ascii="Calibri" w:hAnsi="Calibri" w:cs="Calibri"/>
          <w:sz w:val="24"/>
        </w:rPr>
        <w:t>Významnost datových center rovněž podporuje i skutečnost, že byla v roce 2010 zařazena na</w:t>
      </w:r>
      <w:r w:rsidR="00510021">
        <w:rPr>
          <w:rFonts w:ascii="Calibri" w:hAnsi="Calibri" w:cs="Calibri"/>
          <w:sz w:val="24"/>
        </w:rPr>
        <w:t xml:space="preserve"> </w:t>
      </w:r>
      <w:r w:rsidR="00CC4219" w:rsidRPr="00F43E2F">
        <w:rPr>
          <w:rFonts w:ascii="Calibri" w:hAnsi="Calibri" w:cs="Calibri"/>
          <w:sz w:val="24"/>
        </w:rPr>
        <w:t>seznam prvků kritické infrastruktury</w:t>
      </w:r>
      <w:r w:rsidR="00CC4219" w:rsidRPr="00F43E2F">
        <w:rPr>
          <w:rStyle w:val="Znakapoznpodarou"/>
          <w:rFonts w:ascii="Calibri" w:hAnsi="Calibri" w:cs="Calibri"/>
          <w:sz w:val="24"/>
        </w:rPr>
        <w:footnoteReference w:id="3"/>
      </w:r>
      <w:r w:rsidR="00CC4219" w:rsidRPr="00F43E2F">
        <w:rPr>
          <w:rFonts w:ascii="Calibri" w:hAnsi="Calibri" w:cs="Calibri"/>
          <w:sz w:val="24"/>
        </w:rPr>
        <w:t>.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C211E0" w:rsidRDefault="00B05132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>Dne 23. 10. 2000 byl zřízen Úřad pro veřejné informační systémy jako ústřední správní úřad pro vytváření a rozvoj informačních systémů veřejné správy. Mezi jeho hlavní úkoly patřilo zpracovávat</w:t>
      </w:r>
      <w:r w:rsidR="00510021" w:rsidRPr="00510021">
        <w:rPr>
          <w:rFonts w:ascii="Calibri" w:hAnsi="Calibri" w:cs="Calibri"/>
          <w:sz w:val="24"/>
        </w:rPr>
        <w:t xml:space="preserve"> </w:t>
      </w:r>
      <w:r w:rsidR="00510021" w:rsidRPr="00F43E2F">
        <w:rPr>
          <w:rFonts w:ascii="Calibri" w:hAnsi="Calibri" w:cs="Calibri"/>
          <w:sz w:val="24"/>
        </w:rPr>
        <w:t>ve spolupráci s orgány státní správy</w:t>
      </w:r>
      <w:r w:rsidRPr="00F43E2F">
        <w:rPr>
          <w:rFonts w:ascii="Calibri" w:hAnsi="Calibri" w:cs="Calibri"/>
          <w:sz w:val="24"/>
        </w:rPr>
        <w:t xml:space="preserve"> návrhy strategických dokumentů v oblasti informačních systémů </w:t>
      </w:r>
      <w:r w:rsidR="00805110" w:rsidRPr="00F43E2F">
        <w:rPr>
          <w:rFonts w:ascii="Calibri" w:hAnsi="Calibri" w:cs="Calibri"/>
          <w:sz w:val="24"/>
        </w:rPr>
        <w:t>veřejné správy, a </w:t>
      </w:r>
      <w:r w:rsidRPr="00F43E2F">
        <w:rPr>
          <w:rFonts w:ascii="Calibri" w:hAnsi="Calibri" w:cs="Calibri"/>
          <w:sz w:val="24"/>
        </w:rPr>
        <w:t>to i z hlediska bezpečnosti těchto systémů. Zároveň měl předkládat tyto dokumenty vládě, sledovat a analyzovat info</w:t>
      </w:r>
      <w:r w:rsidR="00805110" w:rsidRPr="00F43E2F">
        <w:rPr>
          <w:rFonts w:ascii="Calibri" w:hAnsi="Calibri" w:cs="Calibri"/>
          <w:sz w:val="24"/>
        </w:rPr>
        <w:t>rmační potřeby veřejné správy a </w:t>
      </w:r>
      <w:r w:rsidRPr="00F43E2F">
        <w:rPr>
          <w:rFonts w:ascii="Calibri" w:hAnsi="Calibri" w:cs="Calibri"/>
          <w:sz w:val="24"/>
        </w:rPr>
        <w:t xml:space="preserve">stav informačních systémů veřejné správy. </w:t>
      </w:r>
      <w:r w:rsidR="00C04506" w:rsidRPr="00F43E2F">
        <w:rPr>
          <w:rFonts w:ascii="Calibri" w:hAnsi="Calibri" w:cs="Calibri"/>
          <w:sz w:val="24"/>
        </w:rPr>
        <w:t>Od ledna 2003 přešly tyto úkoly na nově vzniklé Ministerstvo informatiky a po jeho zrušení</w:t>
      </w:r>
      <w:r w:rsidR="00E341F4" w:rsidRPr="00F43E2F">
        <w:rPr>
          <w:rFonts w:ascii="Calibri" w:hAnsi="Calibri" w:cs="Calibri"/>
          <w:sz w:val="24"/>
        </w:rPr>
        <w:t xml:space="preserve">, tj. od června 2007, </w:t>
      </w:r>
      <w:r w:rsidR="00C04506" w:rsidRPr="00F43E2F">
        <w:rPr>
          <w:rFonts w:ascii="Calibri" w:hAnsi="Calibri" w:cs="Calibri"/>
          <w:sz w:val="24"/>
        </w:rPr>
        <w:t>na Ministerstvo vnitra.</w:t>
      </w:r>
      <w:r w:rsidR="00966EDB" w:rsidRPr="00F43E2F">
        <w:rPr>
          <w:rFonts w:ascii="Calibri" w:hAnsi="Calibri" w:cs="Calibri"/>
          <w:sz w:val="24"/>
        </w:rPr>
        <w:t xml:space="preserve"> MV se tak stalo </w:t>
      </w:r>
      <w:r w:rsidR="008C45BB" w:rsidRPr="00F43E2F">
        <w:rPr>
          <w:rFonts w:ascii="Calibri" w:hAnsi="Calibri" w:cs="Calibri"/>
          <w:sz w:val="24"/>
        </w:rPr>
        <w:t>h</w:t>
      </w:r>
      <w:r w:rsidR="006D0AC6" w:rsidRPr="00F43E2F">
        <w:rPr>
          <w:rFonts w:ascii="Calibri" w:hAnsi="Calibri" w:cs="Calibri"/>
          <w:sz w:val="24"/>
        </w:rPr>
        <w:t>lavním koordinátorem v oblasti informačních a</w:t>
      </w:r>
      <w:r w:rsidR="00510021">
        <w:rPr>
          <w:rFonts w:ascii="Calibri" w:hAnsi="Calibri" w:cs="Calibri"/>
          <w:sz w:val="24"/>
        </w:rPr>
        <w:t> </w:t>
      </w:r>
      <w:r w:rsidR="006D0AC6" w:rsidRPr="00F43E2F">
        <w:rPr>
          <w:rFonts w:ascii="Calibri" w:hAnsi="Calibri" w:cs="Calibri"/>
          <w:sz w:val="24"/>
        </w:rPr>
        <w:t>komunikačních technologií</w:t>
      </w:r>
      <w:r w:rsidR="00C211E0" w:rsidRPr="00F43E2F">
        <w:rPr>
          <w:rFonts w:ascii="Calibri" w:hAnsi="Calibri" w:cs="Calibri"/>
          <w:sz w:val="24"/>
        </w:rPr>
        <w:t>. Zvláštního významu nabývají datová centra v souvislosti s</w:t>
      </w:r>
      <w:r w:rsidR="00510021">
        <w:rPr>
          <w:rFonts w:ascii="Calibri" w:hAnsi="Calibri" w:cs="Calibri"/>
          <w:sz w:val="24"/>
        </w:rPr>
        <w:t> </w:t>
      </w:r>
      <w:r w:rsidR="00C211E0" w:rsidRPr="00F43E2F">
        <w:rPr>
          <w:rFonts w:ascii="Calibri" w:hAnsi="Calibri" w:cs="Calibri"/>
          <w:sz w:val="24"/>
        </w:rPr>
        <w:t xml:space="preserve">provozem IS, které zajišťují informační a datovou podporu </w:t>
      </w:r>
      <w:r w:rsidR="005162BF" w:rsidRPr="00F43E2F">
        <w:rPr>
          <w:rFonts w:ascii="Calibri" w:hAnsi="Calibri" w:cs="Calibri"/>
          <w:sz w:val="24"/>
        </w:rPr>
        <w:t>orgánům</w:t>
      </w:r>
      <w:r w:rsidR="00CC4219" w:rsidRPr="00F43E2F">
        <w:rPr>
          <w:rFonts w:ascii="Calibri" w:hAnsi="Calibri" w:cs="Calibri"/>
          <w:sz w:val="24"/>
        </w:rPr>
        <w:t xml:space="preserve"> </w:t>
      </w:r>
      <w:r w:rsidR="00C211E0" w:rsidRPr="00F43E2F">
        <w:rPr>
          <w:rFonts w:ascii="Calibri" w:hAnsi="Calibri" w:cs="Calibri"/>
          <w:sz w:val="24"/>
        </w:rPr>
        <w:t>státní správy a službám poskytovaný</w:t>
      </w:r>
      <w:r w:rsidR="00ED1FA8">
        <w:rPr>
          <w:rFonts w:ascii="Calibri" w:hAnsi="Calibri" w:cs="Calibri"/>
          <w:sz w:val="24"/>
        </w:rPr>
        <w:t>m</w:t>
      </w:r>
      <w:r w:rsidR="0033543B" w:rsidRPr="00F43E2F">
        <w:rPr>
          <w:rFonts w:ascii="Calibri" w:hAnsi="Calibri" w:cs="Calibri"/>
          <w:sz w:val="24"/>
        </w:rPr>
        <w:t xml:space="preserve"> státní správou veřejnosti, tj. </w:t>
      </w:r>
      <w:proofErr w:type="spellStart"/>
      <w:r w:rsidR="00C211E0" w:rsidRPr="00F43E2F">
        <w:rPr>
          <w:rFonts w:ascii="Calibri" w:hAnsi="Calibri" w:cs="Calibri"/>
          <w:sz w:val="24"/>
        </w:rPr>
        <w:t>eGovernmentu</w:t>
      </w:r>
      <w:proofErr w:type="spellEnd"/>
      <w:r w:rsidR="00C211E0" w:rsidRPr="00F43E2F">
        <w:rPr>
          <w:rFonts w:ascii="Calibri" w:hAnsi="Calibri" w:cs="Calibri"/>
          <w:sz w:val="24"/>
        </w:rPr>
        <w:t>.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9B58F3" w:rsidRDefault="00C15A15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Problematika provozu IS a s tím související potřeba </w:t>
      </w:r>
      <w:r w:rsidR="00AA73BE" w:rsidRPr="00F43E2F">
        <w:rPr>
          <w:rFonts w:ascii="Calibri" w:hAnsi="Calibri" w:cs="Calibri"/>
          <w:sz w:val="24"/>
        </w:rPr>
        <w:t xml:space="preserve">služeb </w:t>
      </w:r>
      <w:r w:rsidRPr="00F43E2F">
        <w:rPr>
          <w:rFonts w:ascii="Calibri" w:hAnsi="Calibri" w:cs="Calibri"/>
          <w:sz w:val="24"/>
        </w:rPr>
        <w:t xml:space="preserve">datových center byla </w:t>
      </w:r>
      <w:r w:rsidR="007C6971" w:rsidRPr="00F43E2F">
        <w:rPr>
          <w:rFonts w:ascii="Calibri" w:hAnsi="Calibri" w:cs="Calibri"/>
          <w:sz w:val="24"/>
        </w:rPr>
        <w:t xml:space="preserve">podrobena </w:t>
      </w:r>
      <w:r w:rsidRPr="00F43E2F">
        <w:rPr>
          <w:rFonts w:ascii="Calibri" w:hAnsi="Calibri" w:cs="Calibri"/>
          <w:sz w:val="24"/>
        </w:rPr>
        <w:t>několika kontrol</w:t>
      </w:r>
      <w:r w:rsidR="007C6971" w:rsidRPr="00F43E2F">
        <w:rPr>
          <w:rFonts w:ascii="Calibri" w:hAnsi="Calibri" w:cs="Calibri"/>
          <w:sz w:val="24"/>
        </w:rPr>
        <w:t>ám</w:t>
      </w:r>
      <w:r w:rsidRPr="00F43E2F">
        <w:rPr>
          <w:rFonts w:ascii="Calibri" w:hAnsi="Calibri" w:cs="Calibri"/>
          <w:sz w:val="24"/>
        </w:rPr>
        <w:t xml:space="preserve"> NKÚ</w:t>
      </w:r>
      <w:r w:rsidR="000A09D6" w:rsidRPr="00F43E2F">
        <w:rPr>
          <w:rFonts w:ascii="Calibri" w:hAnsi="Calibri" w:cs="Calibri"/>
          <w:sz w:val="24"/>
        </w:rPr>
        <w:t>.</w:t>
      </w:r>
      <w:r w:rsidR="00970AD5" w:rsidRPr="00F43E2F">
        <w:rPr>
          <w:rFonts w:ascii="Calibri" w:hAnsi="Calibri" w:cs="Calibri"/>
          <w:sz w:val="24"/>
        </w:rPr>
        <w:t xml:space="preserve"> </w:t>
      </w:r>
      <w:r w:rsidR="000A09D6" w:rsidRPr="00F43E2F">
        <w:rPr>
          <w:rFonts w:ascii="Calibri" w:hAnsi="Calibri" w:cs="Calibri"/>
          <w:sz w:val="24"/>
        </w:rPr>
        <w:t>J</w:t>
      </w:r>
      <w:r w:rsidR="00970AD5" w:rsidRPr="00F43E2F">
        <w:rPr>
          <w:rFonts w:ascii="Calibri" w:hAnsi="Calibri" w:cs="Calibri"/>
          <w:sz w:val="24"/>
        </w:rPr>
        <w:t xml:space="preserve">ednalo se zejména o </w:t>
      </w:r>
      <w:r w:rsidR="00F94F6B" w:rsidRPr="00F43E2F">
        <w:rPr>
          <w:rFonts w:ascii="Calibri" w:hAnsi="Calibri" w:cs="Calibri"/>
          <w:sz w:val="24"/>
        </w:rPr>
        <w:t>kontrolní akc</w:t>
      </w:r>
      <w:r w:rsidR="00587EE6" w:rsidRPr="00F43E2F">
        <w:rPr>
          <w:rFonts w:ascii="Calibri" w:hAnsi="Calibri" w:cs="Calibri"/>
          <w:sz w:val="24"/>
        </w:rPr>
        <w:t>e</w:t>
      </w:r>
      <w:r w:rsidR="00F94F6B" w:rsidRPr="00F43E2F">
        <w:rPr>
          <w:rFonts w:ascii="Calibri" w:hAnsi="Calibri" w:cs="Calibri"/>
          <w:sz w:val="24"/>
        </w:rPr>
        <w:t xml:space="preserve"> </w:t>
      </w:r>
      <w:r w:rsidR="00970AD5" w:rsidRPr="00F43E2F">
        <w:rPr>
          <w:rFonts w:ascii="Calibri" w:hAnsi="Calibri" w:cs="Calibri"/>
          <w:sz w:val="24"/>
        </w:rPr>
        <w:t>č. 12/36, č. 13/12 a č. 14/02</w:t>
      </w:r>
      <w:r w:rsidRPr="00F43E2F">
        <w:rPr>
          <w:rFonts w:ascii="Calibri" w:hAnsi="Calibri" w:cs="Calibri"/>
          <w:sz w:val="24"/>
        </w:rPr>
        <w:t xml:space="preserve">. </w:t>
      </w:r>
      <w:r w:rsidR="00970AD5" w:rsidRPr="00F43E2F">
        <w:rPr>
          <w:rFonts w:ascii="Calibri" w:hAnsi="Calibri" w:cs="Calibri"/>
          <w:sz w:val="24"/>
        </w:rPr>
        <w:t xml:space="preserve">Z těchto kontrolních akcí vyplynulo, </w:t>
      </w:r>
      <w:r w:rsidR="009F7246" w:rsidRPr="00F43E2F">
        <w:rPr>
          <w:rFonts w:ascii="Calibri" w:hAnsi="Calibri" w:cs="Calibri"/>
          <w:sz w:val="24"/>
        </w:rPr>
        <w:t xml:space="preserve">že </w:t>
      </w:r>
      <w:r w:rsidR="007C6971" w:rsidRPr="00F43E2F">
        <w:rPr>
          <w:rFonts w:ascii="Calibri" w:hAnsi="Calibri" w:cs="Calibri"/>
          <w:sz w:val="24"/>
        </w:rPr>
        <w:t>orgány státní správy byly nuceny řešit potřebu provozu IS a uložení dat individuálně nájmem služeb či výstavbou vlastních datových center.</w:t>
      </w:r>
      <w:r w:rsidR="00587EE6" w:rsidRPr="00F43E2F">
        <w:rPr>
          <w:rFonts w:ascii="Calibri" w:hAnsi="Calibri" w:cs="Calibri"/>
          <w:sz w:val="24"/>
        </w:rPr>
        <w:t xml:space="preserve"> Např. </w:t>
      </w:r>
      <w:r w:rsidR="00D9793F" w:rsidRPr="00F43E2F">
        <w:rPr>
          <w:rFonts w:ascii="Calibri" w:hAnsi="Calibri" w:cs="Calibri"/>
          <w:sz w:val="24"/>
        </w:rPr>
        <w:t>IS</w:t>
      </w:r>
      <w:r w:rsidR="00587EE6" w:rsidRPr="00F43E2F">
        <w:rPr>
          <w:rFonts w:ascii="Calibri" w:hAnsi="Calibri" w:cs="Calibri"/>
          <w:sz w:val="24"/>
        </w:rPr>
        <w:t xml:space="preserve"> základních registrů, </w:t>
      </w:r>
      <w:r w:rsidR="00510021">
        <w:rPr>
          <w:rFonts w:ascii="Calibri" w:hAnsi="Calibri" w:cs="Calibri"/>
          <w:sz w:val="24"/>
        </w:rPr>
        <w:t xml:space="preserve">a to </w:t>
      </w:r>
      <w:r w:rsidR="00587EE6" w:rsidRPr="00F43E2F">
        <w:rPr>
          <w:rFonts w:ascii="Calibri" w:hAnsi="Calibri" w:cs="Calibri"/>
          <w:sz w:val="24"/>
        </w:rPr>
        <w:t>registru obyvatel, registru osob a registru práv a povinností</w:t>
      </w:r>
      <w:r w:rsidR="00510021">
        <w:rPr>
          <w:rFonts w:ascii="Calibri" w:hAnsi="Calibri" w:cs="Calibri"/>
          <w:sz w:val="24"/>
        </w:rPr>
        <w:t>,</w:t>
      </w:r>
      <w:r w:rsidR="00587EE6" w:rsidRPr="00F43E2F">
        <w:rPr>
          <w:rFonts w:ascii="Calibri" w:hAnsi="Calibri" w:cs="Calibri"/>
          <w:sz w:val="24"/>
        </w:rPr>
        <w:t xml:space="preserve"> je provozován v datovém centru </w:t>
      </w:r>
      <w:r w:rsidR="00CC1EB5" w:rsidRPr="00F43E2F">
        <w:rPr>
          <w:rFonts w:ascii="Calibri" w:hAnsi="Calibri" w:cs="Calibri"/>
          <w:sz w:val="24"/>
        </w:rPr>
        <w:t>STC</w:t>
      </w:r>
      <w:r w:rsidR="00587EE6" w:rsidRPr="00F43E2F">
        <w:rPr>
          <w:rFonts w:ascii="Calibri" w:hAnsi="Calibri" w:cs="Calibri"/>
          <w:sz w:val="24"/>
        </w:rPr>
        <w:t>,</w:t>
      </w:r>
      <w:r w:rsidR="00CC1EB5" w:rsidRPr="00F43E2F">
        <w:rPr>
          <w:rFonts w:ascii="Calibri" w:hAnsi="Calibri" w:cs="Calibri"/>
          <w:sz w:val="24"/>
        </w:rPr>
        <w:t xml:space="preserve"> </w:t>
      </w:r>
      <w:r w:rsidR="003A1CC9" w:rsidRPr="00F43E2F">
        <w:rPr>
          <w:rFonts w:ascii="Calibri" w:hAnsi="Calibri" w:cs="Calibri"/>
          <w:sz w:val="24"/>
        </w:rPr>
        <w:t>IS datových schránek</w:t>
      </w:r>
      <w:r w:rsidR="00587EE6" w:rsidRPr="00F43E2F">
        <w:rPr>
          <w:rFonts w:ascii="Calibri" w:hAnsi="Calibri" w:cs="Calibri"/>
          <w:sz w:val="24"/>
        </w:rPr>
        <w:t xml:space="preserve"> je provozován v datových centrech České pošty, </w:t>
      </w:r>
      <w:proofErr w:type="spellStart"/>
      <w:proofErr w:type="gramStart"/>
      <w:r w:rsidR="00587EE6" w:rsidRPr="00F43E2F">
        <w:rPr>
          <w:rFonts w:ascii="Calibri" w:hAnsi="Calibri" w:cs="Calibri"/>
          <w:sz w:val="24"/>
        </w:rPr>
        <w:t>s.p</w:t>
      </w:r>
      <w:proofErr w:type="spellEnd"/>
      <w:r w:rsidR="00587EE6" w:rsidRPr="00F43E2F">
        <w:rPr>
          <w:rFonts w:ascii="Calibri" w:hAnsi="Calibri" w:cs="Calibri"/>
          <w:sz w:val="24"/>
        </w:rPr>
        <w:t>.</w:t>
      </w:r>
      <w:proofErr w:type="gramEnd"/>
      <w:r w:rsidR="00510021">
        <w:rPr>
          <w:rFonts w:ascii="Calibri" w:hAnsi="Calibri" w:cs="Calibri"/>
          <w:sz w:val="24"/>
        </w:rPr>
        <w:t>,</w:t>
      </w:r>
      <w:r w:rsidR="009F7246" w:rsidRPr="00F43E2F">
        <w:rPr>
          <w:rFonts w:ascii="Calibri" w:hAnsi="Calibri" w:cs="Calibri"/>
          <w:sz w:val="24"/>
        </w:rPr>
        <w:t xml:space="preserve"> (dále také „Česká pošta“)</w:t>
      </w:r>
      <w:r w:rsidR="003A1CC9" w:rsidRPr="00F43E2F">
        <w:rPr>
          <w:rFonts w:ascii="Calibri" w:hAnsi="Calibri" w:cs="Calibri"/>
          <w:sz w:val="24"/>
        </w:rPr>
        <w:t xml:space="preserve">, </w:t>
      </w:r>
      <w:r w:rsidR="003A1CC9" w:rsidRPr="00403F51">
        <w:rPr>
          <w:rFonts w:ascii="Calibri" w:hAnsi="Calibri" w:cs="Calibri"/>
          <w:i/>
          <w:sz w:val="24"/>
        </w:rPr>
        <w:t>Registr územní identifikace, adres a nemovitost</w:t>
      </w:r>
      <w:r w:rsidR="00587EE6" w:rsidRPr="00403F51">
        <w:rPr>
          <w:rFonts w:ascii="Calibri" w:hAnsi="Calibri" w:cs="Calibri"/>
          <w:i/>
          <w:sz w:val="24"/>
        </w:rPr>
        <w:t>í</w:t>
      </w:r>
      <w:r w:rsidR="001879C1" w:rsidRPr="00F43E2F">
        <w:rPr>
          <w:rFonts w:ascii="Calibri" w:hAnsi="Calibri" w:cs="Calibri"/>
          <w:sz w:val="24"/>
        </w:rPr>
        <w:t xml:space="preserve"> </w:t>
      </w:r>
      <w:r w:rsidR="003A1CC9" w:rsidRPr="00F43E2F">
        <w:rPr>
          <w:rFonts w:ascii="Calibri" w:hAnsi="Calibri" w:cs="Calibri"/>
          <w:sz w:val="24"/>
        </w:rPr>
        <w:t xml:space="preserve">je provozován v datovém centru </w:t>
      </w:r>
      <w:r w:rsidR="008A0DC7" w:rsidRPr="00F43E2F">
        <w:rPr>
          <w:rFonts w:ascii="Calibri" w:hAnsi="Calibri" w:cs="Calibri"/>
          <w:sz w:val="24"/>
        </w:rPr>
        <w:t>Českého úřadu zeměměřického a katastrálního</w:t>
      </w:r>
      <w:r w:rsidR="008A0DC7" w:rsidRPr="00F43E2F" w:rsidDel="008A0DC7">
        <w:rPr>
          <w:rFonts w:ascii="Calibri" w:hAnsi="Calibri" w:cs="Calibri"/>
          <w:sz w:val="24"/>
        </w:rPr>
        <w:t xml:space="preserve"> </w:t>
      </w:r>
      <w:r w:rsidR="003A1CC9" w:rsidRPr="00F43E2F">
        <w:rPr>
          <w:rFonts w:ascii="Calibri" w:hAnsi="Calibri" w:cs="Calibri"/>
          <w:sz w:val="24"/>
        </w:rPr>
        <w:t xml:space="preserve">a </w:t>
      </w:r>
      <w:r w:rsidR="00587EE6" w:rsidRPr="00F43E2F">
        <w:rPr>
          <w:rFonts w:ascii="Calibri" w:hAnsi="Calibri" w:cs="Calibri"/>
          <w:sz w:val="24"/>
        </w:rPr>
        <w:t xml:space="preserve">v </w:t>
      </w:r>
      <w:r w:rsidR="00722275" w:rsidRPr="00F43E2F">
        <w:rPr>
          <w:rFonts w:ascii="Calibri" w:hAnsi="Calibri" w:cs="Calibri"/>
          <w:sz w:val="24"/>
        </w:rPr>
        <w:t xml:space="preserve">datovém centru </w:t>
      </w:r>
      <w:r w:rsidR="003A1CC9" w:rsidRPr="00F43E2F">
        <w:rPr>
          <w:rFonts w:ascii="Calibri" w:hAnsi="Calibri" w:cs="Calibri"/>
          <w:sz w:val="24"/>
        </w:rPr>
        <w:t>externího dodavatele</w:t>
      </w:r>
      <w:r w:rsidR="007B42B3" w:rsidRPr="00F43E2F">
        <w:rPr>
          <w:rFonts w:ascii="Calibri" w:hAnsi="Calibri" w:cs="Calibri"/>
          <w:sz w:val="24"/>
        </w:rPr>
        <w:t>.</w:t>
      </w:r>
      <w:r w:rsidR="00B6430E" w:rsidRPr="00F43E2F">
        <w:rPr>
          <w:rFonts w:ascii="Calibri" w:hAnsi="Calibri" w:cs="Calibri"/>
          <w:sz w:val="24"/>
        </w:rPr>
        <w:t xml:space="preserve"> 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DC4835" w:rsidRDefault="00B6430E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lastRenderedPageBreak/>
        <w:t>Pro poskytování služeb datového</w:t>
      </w:r>
      <w:r w:rsidR="00DC4835" w:rsidRPr="00F43E2F">
        <w:rPr>
          <w:rFonts w:ascii="Calibri" w:hAnsi="Calibri" w:cs="Calibri"/>
          <w:sz w:val="24"/>
        </w:rPr>
        <w:t xml:space="preserve"> centra orgánům státní správy vznikl </w:t>
      </w:r>
      <w:r w:rsidR="00F660F3" w:rsidRPr="00F43E2F">
        <w:rPr>
          <w:rFonts w:ascii="Calibri" w:hAnsi="Calibri" w:cs="Calibri"/>
          <w:sz w:val="24"/>
        </w:rPr>
        <w:t xml:space="preserve">odštěpením od STC </w:t>
      </w:r>
      <w:r w:rsidR="00DC4835" w:rsidRPr="00F43E2F">
        <w:rPr>
          <w:rFonts w:ascii="Calibri" w:hAnsi="Calibri" w:cs="Calibri"/>
          <w:sz w:val="24"/>
        </w:rPr>
        <w:t>k</w:t>
      </w:r>
      <w:r w:rsidR="003E4738" w:rsidRPr="00F43E2F">
        <w:rPr>
          <w:rFonts w:ascii="Calibri" w:hAnsi="Calibri" w:cs="Calibri"/>
          <w:sz w:val="24"/>
        </w:rPr>
        <w:t> 1. 1. </w:t>
      </w:r>
      <w:r w:rsidRPr="00F43E2F">
        <w:rPr>
          <w:rFonts w:ascii="Calibri" w:hAnsi="Calibri" w:cs="Calibri"/>
          <w:sz w:val="24"/>
        </w:rPr>
        <w:t>2015</w:t>
      </w:r>
      <w:r w:rsidR="00DC4835" w:rsidRPr="00F43E2F">
        <w:rPr>
          <w:rFonts w:ascii="Calibri" w:hAnsi="Calibri" w:cs="Calibri"/>
          <w:sz w:val="24"/>
        </w:rPr>
        <w:t xml:space="preserve"> nový státní podnik pod názvem Státní pokladna Centrum sdílených služeb.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7C6971" w:rsidRDefault="007C6971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Tato kontrolní akce se </w:t>
      </w:r>
      <w:r w:rsidR="002F16FE" w:rsidRPr="00F43E2F">
        <w:rPr>
          <w:rFonts w:ascii="Calibri" w:hAnsi="Calibri" w:cs="Calibri"/>
          <w:sz w:val="24"/>
        </w:rPr>
        <w:t xml:space="preserve">vedle výstavby a provozu datového centra STC </w:t>
      </w:r>
      <w:r w:rsidRPr="00F43E2F">
        <w:rPr>
          <w:rFonts w:ascii="Calibri" w:hAnsi="Calibri" w:cs="Calibri"/>
          <w:sz w:val="24"/>
        </w:rPr>
        <w:t xml:space="preserve">zaměřila </w:t>
      </w:r>
      <w:r w:rsidR="002F16FE" w:rsidRPr="00F43E2F">
        <w:rPr>
          <w:rFonts w:ascii="Calibri" w:hAnsi="Calibri" w:cs="Calibri"/>
          <w:sz w:val="24"/>
        </w:rPr>
        <w:t xml:space="preserve">též </w:t>
      </w:r>
      <w:r w:rsidRPr="00F43E2F">
        <w:rPr>
          <w:rFonts w:ascii="Calibri" w:hAnsi="Calibri" w:cs="Calibri"/>
          <w:sz w:val="24"/>
        </w:rPr>
        <w:t>na strategické řízení státní správy v oblasti využívání datových center.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9B4201" w:rsidRPr="00F43E2F" w:rsidRDefault="009B4201" w:rsidP="00F43E2F">
      <w:pPr>
        <w:spacing w:after="0"/>
        <w:ind w:left="567" w:hanging="567"/>
        <w:rPr>
          <w:rFonts w:ascii="Calibri" w:hAnsi="Calibri" w:cs="Calibri"/>
          <w:sz w:val="20"/>
          <w:szCs w:val="20"/>
        </w:rPr>
      </w:pPr>
      <w:r w:rsidRPr="00F43E2F">
        <w:rPr>
          <w:rFonts w:ascii="Calibri" w:hAnsi="Calibri" w:cs="Calibri"/>
          <w:b/>
          <w:sz w:val="20"/>
          <w:szCs w:val="20"/>
        </w:rPr>
        <w:t>Pozn.:</w:t>
      </w:r>
      <w:r w:rsidRPr="00F43E2F">
        <w:rPr>
          <w:rFonts w:ascii="Calibri" w:hAnsi="Calibri" w:cs="Calibri"/>
          <w:sz w:val="20"/>
          <w:szCs w:val="20"/>
        </w:rPr>
        <w:t xml:space="preserve"> </w:t>
      </w:r>
      <w:r w:rsidR="00F43E2F">
        <w:rPr>
          <w:rFonts w:ascii="Calibri" w:hAnsi="Calibri" w:cs="Calibri"/>
          <w:sz w:val="20"/>
          <w:szCs w:val="20"/>
        </w:rPr>
        <w:tab/>
      </w:r>
      <w:r w:rsidRPr="00F43E2F">
        <w:rPr>
          <w:rFonts w:ascii="Calibri" w:hAnsi="Calibri" w:cs="Calibri"/>
          <w:sz w:val="20"/>
          <w:szCs w:val="20"/>
        </w:rPr>
        <w:t xml:space="preserve">Všechny právní předpisy uváděné v tomto kontrolním závěru jsou </w:t>
      </w:r>
      <w:r w:rsidR="004E1AC0" w:rsidRPr="00F43E2F">
        <w:rPr>
          <w:rFonts w:ascii="Calibri" w:hAnsi="Calibri" w:cs="Calibri"/>
          <w:sz w:val="20"/>
          <w:szCs w:val="20"/>
        </w:rPr>
        <w:t>aplikovány ve znění účinném pro </w:t>
      </w:r>
      <w:r w:rsidRPr="00F43E2F">
        <w:rPr>
          <w:rFonts w:ascii="Calibri" w:hAnsi="Calibri" w:cs="Calibri"/>
          <w:sz w:val="20"/>
          <w:szCs w:val="20"/>
        </w:rPr>
        <w:t>kontrolované období.</w:t>
      </w:r>
    </w:p>
    <w:p w:rsidR="0033543B" w:rsidRDefault="0033543B" w:rsidP="00F43E2F">
      <w:pPr>
        <w:spacing w:after="0"/>
        <w:rPr>
          <w:rFonts w:ascii="Calibri" w:hAnsi="Calibri" w:cs="Calibri"/>
          <w:sz w:val="24"/>
        </w:rPr>
      </w:pP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25037D" w:rsidRPr="002B0A07" w:rsidRDefault="00F016DA" w:rsidP="00F43E2F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2B0A07">
        <w:rPr>
          <w:rFonts w:ascii="Calibri" w:hAnsi="Calibri" w:cs="Calibri"/>
          <w:b/>
          <w:sz w:val="28"/>
          <w:szCs w:val="28"/>
        </w:rPr>
        <w:t>II. Skutečnosti zjištěné při kontrole</w:t>
      </w:r>
    </w:p>
    <w:p w:rsid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492AF8" w:rsidRPr="00F43E2F" w:rsidRDefault="00F43E2F" w:rsidP="00F43E2F">
      <w:pPr>
        <w:spacing w:after="0"/>
        <w:rPr>
          <w:rFonts w:ascii="Calibri" w:hAnsi="Calibri" w:cs="Calibri"/>
          <w:b/>
          <w:sz w:val="24"/>
        </w:rPr>
      </w:pPr>
      <w:r w:rsidRPr="00F43E2F">
        <w:rPr>
          <w:rFonts w:ascii="Calibri" w:hAnsi="Calibri" w:cs="Calibri"/>
          <w:b/>
          <w:sz w:val="24"/>
        </w:rPr>
        <w:t>1</w:t>
      </w:r>
      <w:r w:rsidR="00152A3C">
        <w:rPr>
          <w:rFonts w:ascii="Calibri" w:hAnsi="Calibri" w:cs="Calibri"/>
          <w:b/>
          <w:sz w:val="24"/>
        </w:rPr>
        <w:t>.</w:t>
      </w:r>
      <w:r w:rsidRPr="00F43E2F">
        <w:rPr>
          <w:rFonts w:ascii="Calibri" w:hAnsi="Calibri" w:cs="Calibri"/>
          <w:b/>
          <w:sz w:val="24"/>
        </w:rPr>
        <w:t xml:space="preserve"> </w:t>
      </w:r>
      <w:r w:rsidR="00745DA4" w:rsidRPr="00F43E2F">
        <w:rPr>
          <w:rFonts w:ascii="Calibri" w:hAnsi="Calibri" w:cs="Calibri"/>
          <w:b/>
          <w:sz w:val="24"/>
        </w:rPr>
        <w:t>Strategické řízení rozvoje IS ve veřejné správě</w:t>
      </w:r>
    </w:p>
    <w:p w:rsid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7C6971" w:rsidRPr="00F43E2F" w:rsidRDefault="0000351C" w:rsidP="00F43E2F">
      <w:pPr>
        <w:spacing w:after="0"/>
        <w:rPr>
          <w:rFonts w:ascii="Calibri" w:hAnsi="Calibri" w:cs="Calibri"/>
          <w:b/>
          <w:sz w:val="24"/>
        </w:rPr>
      </w:pPr>
      <w:r w:rsidRPr="00F43E2F">
        <w:rPr>
          <w:rFonts w:ascii="Calibri" w:hAnsi="Calibri" w:cs="Calibri"/>
          <w:sz w:val="24"/>
        </w:rPr>
        <w:t xml:space="preserve">MV </w:t>
      </w:r>
      <w:r w:rsidR="009B58F3" w:rsidRPr="00F43E2F">
        <w:rPr>
          <w:rFonts w:ascii="Calibri" w:hAnsi="Calibri" w:cs="Calibri"/>
          <w:sz w:val="24"/>
        </w:rPr>
        <w:t xml:space="preserve">nenavrhlo </w:t>
      </w:r>
      <w:r w:rsidR="008B289A" w:rsidRPr="00F43E2F">
        <w:rPr>
          <w:rFonts w:ascii="Calibri" w:hAnsi="Calibri" w:cs="Calibri"/>
          <w:sz w:val="24"/>
        </w:rPr>
        <w:t>od převzetí odpovědnosti (červen 2007) za koordinaci v oblasti</w:t>
      </w:r>
      <w:r w:rsidR="00450449" w:rsidRPr="00F43E2F">
        <w:rPr>
          <w:rFonts w:ascii="Calibri" w:hAnsi="Calibri" w:cs="Calibri"/>
          <w:sz w:val="24"/>
        </w:rPr>
        <w:t xml:space="preserve"> informačních a </w:t>
      </w:r>
      <w:r w:rsidR="008B289A" w:rsidRPr="00F43E2F">
        <w:rPr>
          <w:rFonts w:ascii="Calibri" w:hAnsi="Calibri" w:cs="Calibri"/>
          <w:sz w:val="24"/>
        </w:rPr>
        <w:t>komunikačních technologií</w:t>
      </w:r>
      <w:r w:rsidR="000217C8" w:rsidRPr="00F43E2F">
        <w:rPr>
          <w:rFonts w:ascii="Calibri" w:hAnsi="Calibri" w:cs="Calibri"/>
          <w:sz w:val="24"/>
        </w:rPr>
        <w:t xml:space="preserve"> (dále také „ICT“) na základě novely kompetenčního zákona</w:t>
      </w:r>
      <w:r w:rsidR="000217C8" w:rsidRPr="00F43E2F">
        <w:rPr>
          <w:rStyle w:val="Znakapoznpodarou"/>
          <w:rFonts w:ascii="Calibri" w:hAnsi="Calibri" w:cs="Calibri"/>
          <w:sz w:val="24"/>
        </w:rPr>
        <w:footnoteReference w:id="4"/>
      </w:r>
      <w:r w:rsidR="004E1AC0" w:rsidRPr="00F43E2F">
        <w:rPr>
          <w:rFonts w:ascii="Calibri" w:hAnsi="Calibri" w:cs="Calibri"/>
          <w:sz w:val="24"/>
        </w:rPr>
        <w:t xml:space="preserve"> až do </w:t>
      </w:r>
      <w:r w:rsidR="008B289A" w:rsidRPr="00F43E2F">
        <w:rPr>
          <w:rFonts w:ascii="Calibri" w:hAnsi="Calibri" w:cs="Calibri"/>
          <w:sz w:val="24"/>
        </w:rPr>
        <w:t xml:space="preserve">ukončení kontroly </w:t>
      </w:r>
      <w:r w:rsidR="00381A0B" w:rsidRPr="00F43E2F">
        <w:rPr>
          <w:rFonts w:ascii="Calibri" w:hAnsi="Calibri" w:cs="Calibri"/>
          <w:sz w:val="24"/>
        </w:rPr>
        <w:t xml:space="preserve">strategii </w:t>
      </w:r>
      <w:r w:rsidR="00136135" w:rsidRPr="00F43E2F">
        <w:rPr>
          <w:rFonts w:ascii="Calibri" w:hAnsi="Calibri" w:cs="Calibri"/>
          <w:sz w:val="24"/>
        </w:rPr>
        <w:t xml:space="preserve">pro </w:t>
      </w:r>
      <w:r w:rsidRPr="00F43E2F">
        <w:rPr>
          <w:rFonts w:ascii="Calibri" w:hAnsi="Calibri" w:cs="Calibri"/>
          <w:sz w:val="24"/>
        </w:rPr>
        <w:t>oblast</w:t>
      </w:r>
      <w:r w:rsidR="00C6570C" w:rsidRPr="00F43E2F">
        <w:rPr>
          <w:rFonts w:ascii="Calibri" w:hAnsi="Calibri" w:cs="Calibri"/>
          <w:sz w:val="24"/>
        </w:rPr>
        <w:t xml:space="preserve"> využívání datových center </w:t>
      </w:r>
      <w:r w:rsidR="007C6971" w:rsidRPr="00F43E2F">
        <w:rPr>
          <w:rFonts w:ascii="Calibri" w:hAnsi="Calibri" w:cs="Calibri"/>
          <w:sz w:val="24"/>
        </w:rPr>
        <w:t>na národní úrovni</w:t>
      </w:r>
      <w:r w:rsidR="00B92882" w:rsidRPr="00F43E2F">
        <w:rPr>
          <w:rFonts w:ascii="Calibri" w:hAnsi="Calibri" w:cs="Calibri"/>
          <w:sz w:val="24"/>
        </w:rPr>
        <w:t>, kterou by vláda schválila svým usnesením</w:t>
      </w:r>
      <w:r w:rsidR="007C6971" w:rsidRPr="00F43E2F">
        <w:rPr>
          <w:rFonts w:ascii="Calibri" w:hAnsi="Calibri" w:cs="Calibri"/>
          <w:sz w:val="24"/>
        </w:rPr>
        <w:t xml:space="preserve">. </w:t>
      </w:r>
      <w:r w:rsidR="008B289A" w:rsidRPr="00F43E2F">
        <w:rPr>
          <w:rFonts w:ascii="Calibri" w:hAnsi="Calibri" w:cs="Calibri"/>
          <w:sz w:val="24"/>
        </w:rPr>
        <w:t>Ani p</w:t>
      </w:r>
      <w:r w:rsidR="007C6971" w:rsidRPr="00F43E2F">
        <w:rPr>
          <w:rFonts w:ascii="Calibri" w:hAnsi="Calibri" w:cs="Calibri"/>
          <w:sz w:val="24"/>
        </w:rPr>
        <w:t xml:space="preserve">řijetím dokumentu </w:t>
      </w:r>
      <w:r w:rsidR="00381A0B" w:rsidRPr="00F43E2F">
        <w:rPr>
          <w:rFonts w:ascii="Calibri" w:hAnsi="Calibri" w:cs="Calibri"/>
          <w:sz w:val="24"/>
        </w:rPr>
        <w:t>S</w:t>
      </w:r>
      <w:r w:rsidR="00381A0B" w:rsidRPr="00403F51">
        <w:rPr>
          <w:rFonts w:ascii="Calibri" w:hAnsi="Calibri" w:cs="Calibri"/>
          <w:i/>
          <w:sz w:val="24"/>
        </w:rPr>
        <w:t xml:space="preserve">trategický rámec rozvoje veřejné správy </w:t>
      </w:r>
      <w:r w:rsidR="00450449" w:rsidRPr="00403F51">
        <w:rPr>
          <w:rFonts w:ascii="Calibri" w:hAnsi="Calibri" w:cs="Calibri"/>
          <w:i/>
          <w:sz w:val="24"/>
        </w:rPr>
        <w:t>České republiky pro období 2014–</w:t>
      </w:r>
      <w:r w:rsidR="00381A0B" w:rsidRPr="00403F51">
        <w:rPr>
          <w:rFonts w:ascii="Calibri" w:hAnsi="Calibri" w:cs="Calibri"/>
          <w:i/>
          <w:sz w:val="24"/>
        </w:rPr>
        <w:t>2020</w:t>
      </w:r>
      <w:r w:rsidR="00381A0B" w:rsidRPr="00F43E2F">
        <w:rPr>
          <w:rFonts w:ascii="Calibri" w:hAnsi="Calibri" w:cs="Calibri"/>
          <w:sz w:val="24"/>
        </w:rPr>
        <w:t xml:space="preserve"> (dále také „Strategický rámec“)</w:t>
      </w:r>
      <w:r w:rsidR="007C6971" w:rsidRPr="00F43E2F">
        <w:rPr>
          <w:rFonts w:ascii="Calibri" w:hAnsi="Calibri" w:cs="Calibri"/>
          <w:sz w:val="24"/>
        </w:rPr>
        <w:t>, který vláda schválila svým usnesením ze dne 27. 8. 2014 č. 680</w:t>
      </w:r>
      <w:r w:rsidR="00854062" w:rsidRPr="00F43E2F">
        <w:rPr>
          <w:rStyle w:val="Znakapoznpodarou"/>
          <w:rFonts w:ascii="Calibri" w:hAnsi="Calibri" w:cs="Calibri"/>
          <w:sz w:val="24"/>
        </w:rPr>
        <w:footnoteReference w:id="5"/>
      </w:r>
      <w:r w:rsidR="009F7246" w:rsidRPr="00F43E2F">
        <w:rPr>
          <w:rFonts w:ascii="Calibri" w:hAnsi="Calibri" w:cs="Calibri"/>
          <w:sz w:val="24"/>
        </w:rPr>
        <w:t xml:space="preserve">, se </w:t>
      </w:r>
      <w:r w:rsidR="00136135" w:rsidRPr="00F43E2F">
        <w:rPr>
          <w:rFonts w:ascii="Calibri" w:hAnsi="Calibri" w:cs="Calibri"/>
          <w:sz w:val="24"/>
        </w:rPr>
        <w:t xml:space="preserve">tato </w:t>
      </w:r>
      <w:r w:rsidR="007C6971" w:rsidRPr="00F43E2F">
        <w:rPr>
          <w:rFonts w:ascii="Calibri" w:hAnsi="Calibri" w:cs="Calibri"/>
          <w:sz w:val="24"/>
        </w:rPr>
        <w:t xml:space="preserve">skutečnost </w:t>
      </w:r>
      <w:r w:rsidR="009F7246" w:rsidRPr="00F43E2F">
        <w:rPr>
          <w:rFonts w:ascii="Calibri" w:hAnsi="Calibri" w:cs="Calibri"/>
          <w:sz w:val="24"/>
        </w:rPr>
        <w:t>ne</w:t>
      </w:r>
      <w:r w:rsidR="007C6971" w:rsidRPr="00F43E2F">
        <w:rPr>
          <w:rFonts w:ascii="Calibri" w:hAnsi="Calibri" w:cs="Calibri"/>
          <w:sz w:val="24"/>
        </w:rPr>
        <w:t>změnil</w:t>
      </w:r>
      <w:r w:rsidR="009F7246" w:rsidRPr="00F43E2F">
        <w:rPr>
          <w:rFonts w:ascii="Calibri" w:hAnsi="Calibri" w:cs="Calibri"/>
          <w:sz w:val="24"/>
        </w:rPr>
        <w:t>a</w:t>
      </w:r>
      <w:r w:rsidR="007C6971" w:rsidRPr="00F43E2F">
        <w:rPr>
          <w:rFonts w:ascii="Calibri" w:hAnsi="Calibri" w:cs="Calibri"/>
          <w:sz w:val="24"/>
        </w:rPr>
        <w:t xml:space="preserve">. </w:t>
      </w:r>
      <w:r w:rsidR="00B92882" w:rsidRPr="00F43E2F">
        <w:rPr>
          <w:rFonts w:ascii="Calibri" w:hAnsi="Calibri" w:cs="Calibri"/>
          <w:sz w:val="24"/>
        </w:rPr>
        <w:t xml:space="preserve">V současnosti tedy </w:t>
      </w:r>
      <w:r w:rsidR="00B92882" w:rsidRPr="00F43E2F">
        <w:rPr>
          <w:rFonts w:ascii="Calibri" w:hAnsi="Calibri" w:cs="Calibri"/>
          <w:b/>
          <w:sz w:val="24"/>
        </w:rPr>
        <w:t xml:space="preserve">není nastaven systém rozvoje udržitelnosti sdílených služeb datových center, </w:t>
      </w:r>
      <w:r w:rsidR="007B6C7A" w:rsidRPr="00F43E2F">
        <w:rPr>
          <w:rFonts w:ascii="Calibri" w:hAnsi="Calibri" w:cs="Calibri"/>
          <w:b/>
          <w:sz w:val="24"/>
        </w:rPr>
        <w:t>není stanovena koordinace budování a rozvoje datových center, není stanoveno</w:t>
      </w:r>
      <w:r w:rsidR="00166B47" w:rsidRPr="00F43E2F">
        <w:rPr>
          <w:rFonts w:ascii="Calibri" w:hAnsi="Calibri" w:cs="Calibri"/>
          <w:b/>
          <w:sz w:val="24"/>
        </w:rPr>
        <w:t>,</w:t>
      </w:r>
      <w:r w:rsidR="007B6C7A" w:rsidRPr="00F43E2F">
        <w:rPr>
          <w:rFonts w:ascii="Calibri" w:hAnsi="Calibri" w:cs="Calibri"/>
          <w:b/>
          <w:sz w:val="24"/>
        </w:rPr>
        <w:t xml:space="preserve"> </w:t>
      </w:r>
      <w:r w:rsidR="00B92882" w:rsidRPr="00F43E2F">
        <w:rPr>
          <w:rFonts w:ascii="Calibri" w:hAnsi="Calibri" w:cs="Calibri"/>
          <w:b/>
          <w:sz w:val="24"/>
        </w:rPr>
        <w:t xml:space="preserve">kde by měly být </w:t>
      </w:r>
      <w:r w:rsidR="007B6C7A" w:rsidRPr="00F43E2F">
        <w:rPr>
          <w:rFonts w:ascii="Calibri" w:hAnsi="Calibri" w:cs="Calibri"/>
          <w:b/>
          <w:sz w:val="24"/>
        </w:rPr>
        <w:t xml:space="preserve">současné i </w:t>
      </w:r>
      <w:r w:rsidR="00B92882" w:rsidRPr="00F43E2F">
        <w:rPr>
          <w:rFonts w:ascii="Calibri" w:hAnsi="Calibri" w:cs="Calibri"/>
          <w:b/>
          <w:sz w:val="24"/>
        </w:rPr>
        <w:t xml:space="preserve">nově vzniklé informační </w:t>
      </w:r>
      <w:r w:rsidR="007B6C7A" w:rsidRPr="00F43E2F">
        <w:rPr>
          <w:rFonts w:ascii="Calibri" w:hAnsi="Calibri" w:cs="Calibri"/>
          <w:b/>
          <w:sz w:val="24"/>
        </w:rPr>
        <w:t>systémy provozovány</w:t>
      </w:r>
      <w:r w:rsidR="00DD2712">
        <w:rPr>
          <w:rFonts w:ascii="Calibri" w:hAnsi="Calibri" w:cs="Calibri"/>
          <w:b/>
          <w:sz w:val="24"/>
        </w:rPr>
        <w:t>, a </w:t>
      </w:r>
      <w:r w:rsidR="007B6C7A" w:rsidRPr="00F43E2F">
        <w:rPr>
          <w:rFonts w:ascii="Calibri" w:hAnsi="Calibri" w:cs="Calibri"/>
          <w:b/>
          <w:sz w:val="24"/>
        </w:rPr>
        <w:t>neexistují</w:t>
      </w:r>
      <w:r w:rsidR="00B92882" w:rsidRPr="00F43E2F">
        <w:rPr>
          <w:rFonts w:ascii="Calibri" w:hAnsi="Calibri" w:cs="Calibri"/>
          <w:b/>
          <w:sz w:val="24"/>
        </w:rPr>
        <w:t xml:space="preserve"> pravidla pro přechod veřejné správy do datových center provozovaných Českou poštou či STC</w:t>
      </w:r>
      <w:r w:rsidR="007B6C7A" w:rsidRPr="00F43E2F">
        <w:rPr>
          <w:rFonts w:ascii="Calibri" w:hAnsi="Calibri" w:cs="Calibri"/>
          <w:b/>
          <w:sz w:val="24"/>
        </w:rPr>
        <w:t>.</w:t>
      </w:r>
    </w:p>
    <w:p w:rsid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7C6971" w:rsidRDefault="007C6971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>Přijetím Strategického rámce došlo k</w:t>
      </w:r>
      <w:r w:rsidR="00570F30" w:rsidRPr="00F43E2F">
        <w:rPr>
          <w:rFonts w:ascii="Calibri" w:hAnsi="Calibri" w:cs="Calibri"/>
          <w:sz w:val="24"/>
        </w:rPr>
        <w:t xml:space="preserve"> rozdělení kompetencí </w:t>
      </w:r>
      <w:r w:rsidR="00DD2712">
        <w:rPr>
          <w:rFonts w:ascii="Calibri" w:hAnsi="Calibri" w:cs="Calibri"/>
          <w:sz w:val="24"/>
        </w:rPr>
        <w:t xml:space="preserve">mezi </w:t>
      </w:r>
      <w:r w:rsidR="00570F30" w:rsidRPr="00F43E2F">
        <w:rPr>
          <w:rFonts w:ascii="Calibri" w:hAnsi="Calibri" w:cs="Calibri"/>
          <w:sz w:val="24"/>
        </w:rPr>
        <w:t>M</w:t>
      </w:r>
      <w:r w:rsidR="00451FC9" w:rsidRPr="00F43E2F">
        <w:rPr>
          <w:rFonts w:ascii="Calibri" w:hAnsi="Calibri" w:cs="Calibri"/>
          <w:sz w:val="24"/>
        </w:rPr>
        <w:t>V</w:t>
      </w:r>
      <w:r w:rsidR="00570F30" w:rsidRPr="00F43E2F">
        <w:rPr>
          <w:rFonts w:ascii="Calibri" w:hAnsi="Calibri" w:cs="Calibri"/>
          <w:sz w:val="24"/>
        </w:rPr>
        <w:t xml:space="preserve"> a MF v oblasti ICT</w:t>
      </w:r>
      <w:r w:rsidR="00394152" w:rsidRPr="00F43E2F">
        <w:rPr>
          <w:rFonts w:ascii="Calibri" w:hAnsi="Calibri" w:cs="Calibri"/>
          <w:sz w:val="24"/>
        </w:rPr>
        <w:t>, a to tak, že</w:t>
      </w:r>
      <w:r w:rsidR="004E1AC0" w:rsidRPr="00F43E2F">
        <w:rPr>
          <w:rFonts w:ascii="Calibri" w:hAnsi="Calibri" w:cs="Calibri"/>
          <w:sz w:val="24"/>
        </w:rPr>
        <w:t> </w:t>
      </w:r>
      <w:r w:rsidR="00394152" w:rsidRPr="00F43E2F">
        <w:rPr>
          <w:rFonts w:ascii="Calibri" w:hAnsi="Calibri" w:cs="Calibri"/>
          <w:sz w:val="24"/>
        </w:rPr>
        <w:t xml:space="preserve">MV </w:t>
      </w:r>
      <w:r w:rsidR="003A01FB" w:rsidRPr="00F43E2F">
        <w:rPr>
          <w:rFonts w:ascii="Calibri" w:hAnsi="Calibri" w:cs="Calibri"/>
          <w:sz w:val="24"/>
        </w:rPr>
        <w:t xml:space="preserve">je gestorem informačních systémů sloužících široké veřejnosti </w:t>
      </w:r>
      <w:r w:rsidR="008B289A" w:rsidRPr="00F43E2F">
        <w:rPr>
          <w:rFonts w:ascii="Calibri" w:hAnsi="Calibri" w:cs="Calibri"/>
          <w:sz w:val="24"/>
        </w:rPr>
        <w:t xml:space="preserve">(např. IS datových schránek, základní registry, </w:t>
      </w:r>
      <w:proofErr w:type="spellStart"/>
      <w:r w:rsidR="008B289A" w:rsidRPr="00F43E2F">
        <w:rPr>
          <w:rFonts w:ascii="Calibri" w:hAnsi="Calibri" w:cs="Calibri"/>
          <w:sz w:val="24"/>
        </w:rPr>
        <w:t>CzechPoint</w:t>
      </w:r>
      <w:proofErr w:type="spellEnd"/>
      <w:r w:rsidR="008B289A" w:rsidRPr="00F43E2F">
        <w:rPr>
          <w:rFonts w:ascii="Calibri" w:hAnsi="Calibri" w:cs="Calibri"/>
          <w:sz w:val="24"/>
        </w:rPr>
        <w:t xml:space="preserve">) </w:t>
      </w:r>
      <w:r w:rsidR="003A01FB" w:rsidRPr="00F43E2F">
        <w:rPr>
          <w:rFonts w:ascii="Calibri" w:hAnsi="Calibri" w:cs="Calibri"/>
          <w:sz w:val="24"/>
        </w:rPr>
        <w:t xml:space="preserve">a zajišťuje </w:t>
      </w:r>
      <w:r w:rsidR="00B968CA" w:rsidRPr="00F43E2F">
        <w:rPr>
          <w:rFonts w:ascii="Calibri" w:hAnsi="Calibri" w:cs="Calibri"/>
          <w:sz w:val="24"/>
        </w:rPr>
        <w:t xml:space="preserve">pro ně </w:t>
      </w:r>
      <w:r w:rsidR="003A01FB" w:rsidRPr="00F43E2F">
        <w:rPr>
          <w:rFonts w:ascii="Calibri" w:hAnsi="Calibri" w:cs="Calibri"/>
          <w:sz w:val="24"/>
        </w:rPr>
        <w:t>páteřní infrastrukturu</w:t>
      </w:r>
      <w:r w:rsidR="00587EE6" w:rsidRPr="00F43E2F">
        <w:rPr>
          <w:rStyle w:val="Znakapoznpodarou"/>
          <w:rFonts w:ascii="Calibri" w:hAnsi="Calibri" w:cs="Calibri"/>
          <w:sz w:val="24"/>
        </w:rPr>
        <w:footnoteReference w:id="6"/>
      </w:r>
      <w:r w:rsidR="008B289A" w:rsidRPr="00F43E2F">
        <w:rPr>
          <w:rFonts w:ascii="Calibri" w:hAnsi="Calibri" w:cs="Calibri"/>
          <w:sz w:val="24"/>
        </w:rPr>
        <w:t>.</w:t>
      </w:r>
      <w:r w:rsidR="00450449" w:rsidRPr="00F43E2F">
        <w:rPr>
          <w:rFonts w:ascii="Calibri" w:hAnsi="Calibri" w:cs="Calibri"/>
          <w:sz w:val="24"/>
        </w:rPr>
        <w:t xml:space="preserve"> MF je gestorem IS v </w:t>
      </w:r>
      <w:r w:rsidR="003A01FB" w:rsidRPr="00F43E2F">
        <w:rPr>
          <w:rFonts w:ascii="Calibri" w:hAnsi="Calibri" w:cs="Calibri"/>
          <w:sz w:val="24"/>
        </w:rPr>
        <w:t>oblasti finančního řízení, daňové oblasti, státní</w:t>
      </w:r>
      <w:r w:rsidR="003E4738" w:rsidRPr="00F43E2F">
        <w:rPr>
          <w:rFonts w:ascii="Calibri" w:hAnsi="Calibri" w:cs="Calibri"/>
          <w:sz w:val="24"/>
        </w:rPr>
        <w:t xml:space="preserve"> pokladny a další podpory ICT v </w:t>
      </w:r>
      <w:r w:rsidR="003A01FB" w:rsidRPr="00F43E2F">
        <w:rPr>
          <w:rFonts w:ascii="Calibri" w:hAnsi="Calibri" w:cs="Calibri"/>
          <w:sz w:val="24"/>
        </w:rPr>
        <w:t>rámci říd</w:t>
      </w:r>
      <w:r w:rsidR="00DD2712">
        <w:rPr>
          <w:rFonts w:ascii="Calibri" w:hAnsi="Calibri" w:cs="Calibri"/>
          <w:sz w:val="24"/>
        </w:rPr>
        <w:t>i</w:t>
      </w:r>
      <w:r w:rsidR="003A01FB" w:rsidRPr="00F43E2F">
        <w:rPr>
          <w:rFonts w:ascii="Calibri" w:hAnsi="Calibri" w:cs="Calibri"/>
          <w:sz w:val="24"/>
        </w:rPr>
        <w:t>cích procesů na úrovni státní správy a páteřní infrastruktury pro služby, jejichž uživatel</w:t>
      </w:r>
      <w:r w:rsidR="008A0DC7" w:rsidRPr="00F43E2F">
        <w:rPr>
          <w:rFonts w:ascii="Calibri" w:hAnsi="Calibri" w:cs="Calibri"/>
          <w:sz w:val="24"/>
        </w:rPr>
        <w:t>i</w:t>
      </w:r>
      <w:r w:rsidR="003A01FB" w:rsidRPr="00F43E2F">
        <w:rPr>
          <w:rFonts w:ascii="Calibri" w:hAnsi="Calibri" w:cs="Calibri"/>
          <w:sz w:val="24"/>
        </w:rPr>
        <w:t xml:space="preserve"> jsou </w:t>
      </w:r>
      <w:r w:rsidR="001813CA" w:rsidRPr="00F43E2F">
        <w:rPr>
          <w:rFonts w:ascii="Calibri" w:hAnsi="Calibri" w:cs="Calibri"/>
          <w:sz w:val="24"/>
        </w:rPr>
        <w:t xml:space="preserve">orgány </w:t>
      </w:r>
      <w:r w:rsidR="003A01FB" w:rsidRPr="00F43E2F">
        <w:rPr>
          <w:rFonts w:ascii="Calibri" w:hAnsi="Calibri" w:cs="Calibri"/>
          <w:sz w:val="24"/>
        </w:rPr>
        <w:t>státní správy.</w:t>
      </w:r>
      <w:r w:rsidR="00024A56" w:rsidRPr="00F43E2F">
        <w:rPr>
          <w:rFonts w:ascii="Calibri" w:hAnsi="Calibri" w:cs="Calibri"/>
          <w:sz w:val="24"/>
        </w:rPr>
        <w:t xml:space="preserve"> 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C027C7" w:rsidRPr="00F43E2F" w:rsidRDefault="00024A56" w:rsidP="00F43E2F">
      <w:pPr>
        <w:spacing w:after="0"/>
        <w:rPr>
          <w:rFonts w:ascii="Calibri" w:hAnsi="Calibri" w:cs="Calibri"/>
          <w:b/>
          <w:sz w:val="24"/>
        </w:rPr>
      </w:pPr>
      <w:r w:rsidRPr="00F43E2F">
        <w:rPr>
          <w:rFonts w:ascii="Calibri" w:hAnsi="Calibri" w:cs="Calibri"/>
          <w:b/>
          <w:sz w:val="24"/>
        </w:rPr>
        <w:t xml:space="preserve">Součástí </w:t>
      </w:r>
      <w:r w:rsidR="008B289A" w:rsidRPr="00F43E2F">
        <w:rPr>
          <w:rFonts w:ascii="Calibri" w:hAnsi="Calibri" w:cs="Calibri"/>
          <w:b/>
          <w:sz w:val="24"/>
        </w:rPr>
        <w:t xml:space="preserve">Strategického rámce </w:t>
      </w:r>
      <w:r w:rsidRPr="00F43E2F">
        <w:rPr>
          <w:rFonts w:ascii="Calibri" w:hAnsi="Calibri" w:cs="Calibri"/>
          <w:b/>
          <w:sz w:val="24"/>
        </w:rPr>
        <w:t>ne</w:t>
      </w:r>
      <w:r w:rsidR="00F7795B" w:rsidRPr="00F43E2F">
        <w:rPr>
          <w:rFonts w:ascii="Calibri" w:hAnsi="Calibri" w:cs="Calibri"/>
          <w:b/>
          <w:sz w:val="24"/>
        </w:rPr>
        <w:t>ní</w:t>
      </w:r>
      <w:r w:rsidRPr="00F43E2F">
        <w:rPr>
          <w:rFonts w:ascii="Calibri" w:hAnsi="Calibri" w:cs="Calibri"/>
          <w:b/>
          <w:sz w:val="24"/>
        </w:rPr>
        <w:t xml:space="preserve"> </w:t>
      </w:r>
      <w:r w:rsidR="006304A2" w:rsidRPr="00F43E2F">
        <w:rPr>
          <w:rFonts w:ascii="Calibri" w:hAnsi="Calibri" w:cs="Calibri"/>
          <w:b/>
          <w:sz w:val="24"/>
        </w:rPr>
        <w:t xml:space="preserve">konkrétní </w:t>
      </w:r>
      <w:r w:rsidRPr="00F43E2F">
        <w:rPr>
          <w:rFonts w:ascii="Calibri" w:hAnsi="Calibri" w:cs="Calibri"/>
          <w:b/>
          <w:sz w:val="24"/>
        </w:rPr>
        <w:t xml:space="preserve">stanovení koordinace budování datových center pro </w:t>
      </w:r>
      <w:r w:rsidR="007C6971" w:rsidRPr="00F43E2F">
        <w:rPr>
          <w:rFonts w:ascii="Calibri" w:hAnsi="Calibri" w:cs="Calibri"/>
          <w:b/>
          <w:sz w:val="24"/>
        </w:rPr>
        <w:t xml:space="preserve">provoz </w:t>
      </w:r>
      <w:r w:rsidRPr="00F43E2F">
        <w:rPr>
          <w:rFonts w:ascii="Calibri" w:hAnsi="Calibri" w:cs="Calibri"/>
          <w:b/>
          <w:sz w:val="24"/>
        </w:rPr>
        <w:t>informační</w:t>
      </w:r>
      <w:r w:rsidR="007C6971" w:rsidRPr="00F43E2F">
        <w:rPr>
          <w:rFonts w:ascii="Calibri" w:hAnsi="Calibri" w:cs="Calibri"/>
          <w:b/>
          <w:sz w:val="24"/>
        </w:rPr>
        <w:t>ch</w:t>
      </w:r>
      <w:r w:rsidRPr="00F43E2F">
        <w:rPr>
          <w:rFonts w:ascii="Calibri" w:hAnsi="Calibri" w:cs="Calibri"/>
          <w:b/>
          <w:sz w:val="24"/>
        </w:rPr>
        <w:t xml:space="preserve"> systém</w:t>
      </w:r>
      <w:r w:rsidR="007C6971" w:rsidRPr="00F43E2F">
        <w:rPr>
          <w:rFonts w:ascii="Calibri" w:hAnsi="Calibri" w:cs="Calibri"/>
          <w:b/>
          <w:sz w:val="24"/>
        </w:rPr>
        <w:t>ů</w:t>
      </w:r>
      <w:r w:rsidRPr="00F43E2F">
        <w:rPr>
          <w:rFonts w:ascii="Calibri" w:hAnsi="Calibri" w:cs="Calibri"/>
          <w:b/>
          <w:sz w:val="24"/>
        </w:rPr>
        <w:t xml:space="preserve"> veřejné správy a</w:t>
      </w:r>
      <w:r w:rsidR="00DD2712">
        <w:rPr>
          <w:rFonts w:ascii="Calibri" w:hAnsi="Calibri" w:cs="Calibri"/>
          <w:b/>
          <w:sz w:val="24"/>
        </w:rPr>
        <w:t>ni</w:t>
      </w:r>
      <w:r w:rsidRPr="00F43E2F">
        <w:rPr>
          <w:rFonts w:ascii="Calibri" w:hAnsi="Calibri" w:cs="Calibri"/>
          <w:b/>
          <w:sz w:val="24"/>
        </w:rPr>
        <w:t xml:space="preserve"> pravidla jejich využívání. </w:t>
      </w:r>
    </w:p>
    <w:p w:rsid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F9279C" w:rsidRDefault="00357641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lastRenderedPageBreak/>
        <w:t>Datová centra byla zařazena mezi prvky kritické infrastruktury na základě nařízení vlády</w:t>
      </w:r>
      <w:r w:rsidR="009F7246" w:rsidRPr="00F43E2F">
        <w:rPr>
          <w:rFonts w:ascii="Calibri" w:hAnsi="Calibri" w:cs="Calibri"/>
          <w:sz w:val="24"/>
        </w:rPr>
        <w:t xml:space="preserve"> </w:t>
      </w:r>
      <w:r w:rsidR="00417625" w:rsidRPr="00F43E2F">
        <w:rPr>
          <w:rFonts w:ascii="Calibri" w:hAnsi="Calibri" w:cs="Calibri"/>
          <w:sz w:val="24"/>
        </w:rPr>
        <w:t>č. 432/2010 Sb</w:t>
      </w:r>
      <w:r w:rsidR="001813CA" w:rsidRPr="00F43E2F">
        <w:rPr>
          <w:rFonts w:ascii="Calibri" w:hAnsi="Calibri" w:cs="Calibri"/>
          <w:sz w:val="24"/>
        </w:rPr>
        <w:t>.</w:t>
      </w:r>
      <w:r w:rsidR="007C6971" w:rsidRPr="00F43E2F">
        <w:rPr>
          <w:rStyle w:val="Znakapoznpodarou"/>
          <w:rFonts w:ascii="Calibri" w:hAnsi="Calibri" w:cs="Calibri"/>
          <w:sz w:val="24"/>
        </w:rPr>
        <w:footnoteReference w:id="7"/>
      </w:r>
      <w:r w:rsidR="001813CA" w:rsidRPr="00F43E2F">
        <w:rPr>
          <w:rFonts w:ascii="Calibri" w:hAnsi="Calibri" w:cs="Calibri"/>
          <w:sz w:val="24"/>
        </w:rPr>
        <w:t xml:space="preserve"> </w:t>
      </w:r>
      <w:r w:rsidRPr="00F43E2F">
        <w:rPr>
          <w:rFonts w:ascii="Calibri" w:hAnsi="Calibri" w:cs="Calibri"/>
          <w:sz w:val="24"/>
        </w:rPr>
        <w:t>Zpracování seznamu těchto prvků je v odpovědnosti MV</w:t>
      </w:r>
      <w:r w:rsidRPr="00F43E2F">
        <w:rPr>
          <w:rStyle w:val="Znakapoznpodarou"/>
          <w:rFonts w:ascii="Calibri" w:hAnsi="Calibri" w:cs="Calibri"/>
          <w:sz w:val="24"/>
        </w:rPr>
        <w:footnoteReference w:id="8"/>
      </w:r>
      <w:r w:rsidRPr="00F43E2F">
        <w:rPr>
          <w:rFonts w:ascii="Calibri" w:hAnsi="Calibri" w:cs="Calibri"/>
          <w:sz w:val="24"/>
        </w:rPr>
        <w:t>.</w:t>
      </w:r>
      <w:r w:rsidR="00417625" w:rsidRPr="00F43E2F">
        <w:rPr>
          <w:rFonts w:ascii="Calibri" w:hAnsi="Calibri" w:cs="Calibri"/>
          <w:sz w:val="24"/>
        </w:rPr>
        <w:t xml:space="preserve"> </w:t>
      </w:r>
      <w:r w:rsidR="00CA69C3" w:rsidRPr="00F43E2F">
        <w:rPr>
          <w:rFonts w:ascii="Calibri" w:hAnsi="Calibri" w:cs="Calibri"/>
          <w:sz w:val="24"/>
        </w:rPr>
        <w:t xml:space="preserve">Kontrolou NKÚ bylo zjištěno, že </w:t>
      </w:r>
      <w:r w:rsidR="004260CA" w:rsidRPr="00F43E2F">
        <w:rPr>
          <w:rFonts w:ascii="Calibri" w:hAnsi="Calibri" w:cs="Calibri"/>
          <w:sz w:val="24"/>
        </w:rPr>
        <w:t>tento seznam schválený usnesením vlády</w:t>
      </w:r>
      <w:r w:rsidR="00DD2712">
        <w:rPr>
          <w:rFonts w:ascii="Calibri" w:hAnsi="Calibri" w:cs="Calibri"/>
          <w:sz w:val="24"/>
        </w:rPr>
        <w:t> ČR</w:t>
      </w:r>
      <w:r w:rsidR="00466698" w:rsidRPr="00F43E2F">
        <w:rPr>
          <w:rFonts w:ascii="Calibri" w:hAnsi="Calibri" w:cs="Calibri"/>
          <w:sz w:val="24"/>
        </w:rPr>
        <w:t xml:space="preserve"> ze dne 14. 12. 2011 č. 934</w:t>
      </w:r>
      <w:r w:rsidR="00466698" w:rsidRPr="00F43E2F">
        <w:rPr>
          <w:rStyle w:val="Znakapoznpodarou"/>
          <w:rFonts w:ascii="Calibri" w:hAnsi="Calibri" w:cs="Calibri"/>
          <w:sz w:val="24"/>
        </w:rPr>
        <w:footnoteReference w:id="9"/>
      </w:r>
      <w:r w:rsidR="00466698" w:rsidRPr="00F43E2F">
        <w:rPr>
          <w:rFonts w:ascii="Calibri" w:hAnsi="Calibri" w:cs="Calibri"/>
          <w:sz w:val="24"/>
        </w:rPr>
        <w:t xml:space="preserve"> nepodává úplný a spolehlivý přehled o datových centrech spadajících do kritické infrastruktury</w:t>
      </w:r>
      <w:r w:rsidR="00DB60CE" w:rsidRPr="00F43E2F">
        <w:rPr>
          <w:rFonts w:ascii="Calibri" w:hAnsi="Calibri" w:cs="Calibri"/>
          <w:sz w:val="24"/>
        </w:rPr>
        <w:t>, neboť neobsahuje datové centrum STC</w:t>
      </w:r>
      <w:r w:rsidR="00DD2712">
        <w:rPr>
          <w:rFonts w:ascii="Calibri" w:hAnsi="Calibri" w:cs="Calibri"/>
          <w:sz w:val="24"/>
        </w:rPr>
        <w:t>,</w:t>
      </w:r>
      <w:r w:rsidR="00DB60CE" w:rsidRPr="00F43E2F">
        <w:rPr>
          <w:rFonts w:ascii="Calibri" w:hAnsi="Calibri" w:cs="Calibri"/>
          <w:sz w:val="24"/>
        </w:rPr>
        <w:t xml:space="preserve"> ve kterém jsou </w:t>
      </w:r>
      <w:r w:rsidR="002A1ED0" w:rsidRPr="00F43E2F">
        <w:rPr>
          <w:rFonts w:ascii="Calibri" w:hAnsi="Calibri" w:cs="Calibri"/>
          <w:sz w:val="24"/>
        </w:rPr>
        <w:t xml:space="preserve">mimo jiné </w:t>
      </w:r>
      <w:r w:rsidR="003E4738" w:rsidRPr="00F43E2F">
        <w:rPr>
          <w:rFonts w:ascii="Calibri" w:hAnsi="Calibri" w:cs="Calibri"/>
          <w:sz w:val="24"/>
        </w:rPr>
        <w:t>provozovány základní registry a </w:t>
      </w:r>
      <w:r w:rsidR="00DB60CE" w:rsidRPr="00F43E2F">
        <w:rPr>
          <w:rFonts w:ascii="Calibri" w:hAnsi="Calibri" w:cs="Calibri"/>
          <w:sz w:val="24"/>
        </w:rPr>
        <w:t>státní pokladna</w:t>
      </w:r>
      <w:r w:rsidR="00451FC9" w:rsidRPr="00F43E2F">
        <w:rPr>
          <w:rFonts w:ascii="Calibri" w:hAnsi="Calibri" w:cs="Calibri"/>
          <w:sz w:val="24"/>
        </w:rPr>
        <w:t xml:space="preserve">. V případě </w:t>
      </w:r>
      <w:r w:rsidR="00F277D7" w:rsidRPr="00F43E2F">
        <w:rPr>
          <w:rFonts w:ascii="Calibri" w:hAnsi="Calibri" w:cs="Calibri"/>
          <w:sz w:val="24"/>
        </w:rPr>
        <w:t>mimořádné události, při které je vyhlášen stav nebezpečí, nouzový stav nebo stav ohrožení státu</w:t>
      </w:r>
      <w:r w:rsidR="00DD2712">
        <w:rPr>
          <w:rFonts w:ascii="Calibri" w:hAnsi="Calibri" w:cs="Calibri"/>
          <w:sz w:val="24"/>
        </w:rPr>
        <w:t>,</w:t>
      </w:r>
      <w:r w:rsidR="00F277D7" w:rsidRPr="00F43E2F">
        <w:rPr>
          <w:rFonts w:ascii="Calibri" w:hAnsi="Calibri" w:cs="Calibri"/>
          <w:sz w:val="24"/>
        </w:rPr>
        <w:t xml:space="preserve"> </w:t>
      </w:r>
      <w:r w:rsidR="00D976B9" w:rsidRPr="00F43E2F">
        <w:rPr>
          <w:rFonts w:ascii="Calibri" w:hAnsi="Calibri" w:cs="Calibri"/>
          <w:sz w:val="24"/>
        </w:rPr>
        <w:t xml:space="preserve">by </w:t>
      </w:r>
      <w:r w:rsidR="004B552A" w:rsidRPr="00F43E2F">
        <w:rPr>
          <w:rFonts w:ascii="Calibri" w:hAnsi="Calibri" w:cs="Calibri"/>
          <w:sz w:val="24"/>
        </w:rPr>
        <w:t xml:space="preserve">neúplnost </w:t>
      </w:r>
      <w:r w:rsidR="007C6971" w:rsidRPr="00F43E2F">
        <w:rPr>
          <w:rFonts w:ascii="Calibri" w:hAnsi="Calibri" w:cs="Calibri"/>
          <w:sz w:val="24"/>
        </w:rPr>
        <w:t xml:space="preserve">a nespolehlivost informací v tomto </w:t>
      </w:r>
      <w:r w:rsidR="004B552A" w:rsidRPr="00F43E2F">
        <w:rPr>
          <w:rFonts w:ascii="Calibri" w:hAnsi="Calibri" w:cs="Calibri"/>
          <w:sz w:val="24"/>
        </w:rPr>
        <w:t xml:space="preserve">seznamu </w:t>
      </w:r>
      <w:r w:rsidR="00D976B9" w:rsidRPr="00F43E2F">
        <w:rPr>
          <w:rFonts w:ascii="Calibri" w:hAnsi="Calibri" w:cs="Calibri"/>
          <w:sz w:val="24"/>
        </w:rPr>
        <w:t>mohl</w:t>
      </w:r>
      <w:r w:rsidR="00DD2712">
        <w:rPr>
          <w:rFonts w:ascii="Calibri" w:hAnsi="Calibri" w:cs="Calibri"/>
          <w:sz w:val="24"/>
        </w:rPr>
        <w:t>y</w:t>
      </w:r>
      <w:r w:rsidR="00F277D7" w:rsidRPr="00F43E2F">
        <w:rPr>
          <w:rFonts w:ascii="Calibri" w:hAnsi="Calibri" w:cs="Calibri"/>
          <w:sz w:val="24"/>
        </w:rPr>
        <w:t xml:space="preserve"> </w:t>
      </w:r>
      <w:r w:rsidR="00466698" w:rsidRPr="00F43E2F">
        <w:rPr>
          <w:rFonts w:ascii="Calibri" w:hAnsi="Calibri" w:cs="Calibri"/>
          <w:sz w:val="24"/>
        </w:rPr>
        <w:t xml:space="preserve">negativně ovlivnit </w:t>
      </w:r>
      <w:r w:rsidR="00F277D7" w:rsidRPr="00F43E2F">
        <w:rPr>
          <w:rFonts w:ascii="Calibri" w:hAnsi="Calibri" w:cs="Calibri"/>
          <w:sz w:val="24"/>
        </w:rPr>
        <w:t>řešení</w:t>
      </w:r>
      <w:r w:rsidR="007C6971" w:rsidRPr="00F43E2F">
        <w:rPr>
          <w:rFonts w:ascii="Calibri" w:hAnsi="Calibri" w:cs="Calibri"/>
          <w:sz w:val="24"/>
        </w:rPr>
        <w:t xml:space="preserve"> </w:t>
      </w:r>
      <w:r w:rsidR="00F277D7" w:rsidRPr="00F43E2F">
        <w:rPr>
          <w:rFonts w:ascii="Calibri" w:hAnsi="Calibri" w:cs="Calibri"/>
          <w:sz w:val="24"/>
        </w:rPr>
        <w:t>krizov</w:t>
      </w:r>
      <w:r w:rsidR="007C6971" w:rsidRPr="00F43E2F">
        <w:rPr>
          <w:rFonts w:ascii="Calibri" w:hAnsi="Calibri" w:cs="Calibri"/>
          <w:sz w:val="24"/>
        </w:rPr>
        <w:t>ých</w:t>
      </w:r>
      <w:r w:rsidR="00F277D7" w:rsidRPr="00F43E2F">
        <w:rPr>
          <w:rFonts w:ascii="Calibri" w:hAnsi="Calibri" w:cs="Calibri"/>
          <w:sz w:val="24"/>
        </w:rPr>
        <w:t xml:space="preserve"> situac</w:t>
      </w:r>
      <w:r w:rsidR="007C6971" w:rsidRPr="00F43E2F">
        <w:rPr>
          <w:rFonts w:ascii="Calibri" w:hAnsi="Calibri" w:cs="Calibri"/>
          <w:sz w:val="24"/>
        </w:rPr>
        <w:t>í</w:t>
      </w:r>
      <w:r w:rsidR="00D976B9" w:rsidRPr="00F43E2F">
        <w:rPr>
          <w:rFonts w:ascii="Calibri" w:hAnsi="Calibri" w:cs="Calibri"/>
          <w:sz w:val="24"/>
        </w:rPr>
        <w:t>.</w:t>
      </w:r>
      <w:r w:rsidR="00F277D7" w:rsidRPr="00F43E2F">
        <w:rPr>
          <w:rFonts w:ascii="Calibri" w:hAnsi="Calibri" w:cs="Calibri"/>
          <w:sz w:val="24"/>
        </w:rPr>
        <w:t xml:space="preserve"> </w:t>
      </w:r>
      <w:r w:rsidR="00D976B9" w:rsidRPr="00F43E2F">
        <w:rPr>
          <w:rFonts w:ascii="Calibri" w:hAnsi="Calibri" w:cs="Calibri"/>
          <w:sz w:val="24"/>
        </w:rPr>
        <w:t>Například by mohlo dojít k</w:t>
      </w:r>
      <w:r w:rsidR="007C6971" w:rsidRPr="00F43E2F">
        <w:rPr>
          <w:rFonts w:ascii="Calibri" w:hAnsi="Calibri" w:cs="Calibri"/>
          <w:sz w:val="24"/>
        </w:rPr>
        <w:t xml:space="preserve"> zásadnímu </w:t>
      </w:r>
      <w:r w:rsidR="00D976B9" w:rsidRPr="00F43E2F">
        <w:rPr>
          <w:rFonts w:ascii="Calibri" w:hAnsi="Calibri" w:cs="Calibri"/>
          <w:sz w:val="24"/>
        </w:rPr>
        <w:t>omezení dostupnosti nezbytných služeb, které stát zajišťuje občanům</w:t>
      </w:r>
      <w:r w:rsidR="00C93944" w:rsidRPr="00F43E2F">
        <w:rPr>
          <w:rFonts w:ascii="Calibri" w:hAnsi="Calibri" w:cs="Calibri"/>
          <w:sz w:val="24"/>
        </w:rPr>
        <w:t xml:space="preserve"> (registry, </w:t>
      </w:r>
      <w:proofErr w:type="spellStart"/>
      <w:r w:rsidR="00C93944" w:rsidRPr="00F43E2F">
        <w:rPr>
          <w:rFonts w:ascii="Calibri" w:hAnsi="Calibri" w:cs="Calibri"/>
          <w:sz w:val="24"/>
        </w:rPr>
        <w:t>CzechPoint</w:t>
      </w:r>
      <w:proofErr w:type="spellEnd"/>
      <w:r w:rsidR="00C93944" w:rsidRPr="00F43E2F">
        <w:rPr>
          <w:rFonts w:ascii="Calibri" w:hAnsi="Calibri" w:cs="Calibri"/>
          <w:sz w:val="24"/>
        </w:rPr>
        <w:t xml:space="preserve"> apod.)</w:t>
      </w:r>
      <w:r w:rsidR="00D976B9" w:rsidRPr="00F43E2F">
        <w:rPr>
          <w:rFonts w:ascii="Calibri" w:hAnsi="Calibri" w:cs="Calibri"/>
          <w:sz w:val="24"/>
        </w:rPr>
        <w:t>.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136135" w:rsidRPr="00F43E2F" w:rsidRDefault="00B33049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>Povinnost poskytovat vládě informace</w:t>
      </w:r>
      <w:r w:rsidR="004260CA" w:rsidRPr="00F43E2F">
        <w:rPr>
          <w:rFonts w:ascii="Calibri" w:hAnsi="Calibri" w:cs="Calibri"/>
          <w:sz w:val="24"/>
        </w:rPr>
        <w:t xml:space="preserve"> </w:t>
      </w:r>
      <w:r w:rsidRPr="00F43E2F">
        <w:rPr>
          <w:rFonts w:ascii="Calibri" w:hAnsi="Calibri" w:cs="Calibri"/>
          <w:sz w:val="24"/>
        </w:rPr>
        <w:t xml:space="preserve">o zajištění vybraných </w:t>
      </w:r>
      <w:r w:rsidR="002D62AE" w:rsidRPr="00F43E2F">
        <w:rPr>
          <w:rFonts w:ascii="Calibri" w:hAnsi="Calibri" w:cs="Calibri"/>
          <w:sz w:val="24"/>
        </w:rPr>
        <w:t xml:space="preserve">ICT </w:t>
      </w:r>
      <w:r w:rsidRPr="00F43E2F">
        <w:rPr>
          <w:rFonts w:ascii="Calibri" w:hAnsi="Calibri" w:cs="Calibri"/>
          <w:sz w:val="24"/>
        </w:rPr>
        <w:t xml:space="preserve">služeb využívaných státní správou byla stanovena pouze </w:t>
      </w:r>
      <w:r w:rsidR="00DD2712">
        <w:rPr>
          <w:rFonts w:ascii="Calibri" w:hAnsi="Calibri" w:cs="Calibri"/>
          <w:sz w:val="24"/>
        </w:rPr>
        <w:t xml:space="preserve">pro </w:t>
      </w:r>
      <w:r w:rsidRPr="00F43E2F">
        <w:rPr>
          <w:rFonts w:ascii="Calibri" w:hAnsi="Calibri" w:cs="Calibri"/>
          <w:sz w:val="24"/>
        </w:rPr>
        <w:t>MV</w:t>
      </w:r>
      <w:r w:rsidR="004260CA" w:rsidRPr="00F43E2F">
        <w:rPr>
          <w:rStyle w:val="Znakapoznpodarou"/>
          <w:rFonts w:ascii="Calibri" w:hAnsi="Calibri" w:cs="Calibri"/>
          <w:sz w:val="24"/>
        </w:rPr>
        <w:footnoteReference w:id="10"/>
      </w:r>
      <w:r w:rsidR="00F8140E" w:rsidRPr="00F43E2F">
        <w:rPr>
          <w:rFonts w:ascii="Calibri" w:hAnsi="Calibri" w:cs="Calibri"/>
          <w:sz w:val="24"/>
        </w:rPr>
        <w:t xml:space="preserve">, a to jen </w:t>
      </w:r>
      <w:r w:rsidR="0033470F" w:rsidRPr="00F43E2F">
        <w:rPr>
          <w:rFonts w:ascii="Calibri" w:hAnsi="Calibri" w:cs="Calibri"/>
          <w:sz w:val="24"/>
        </w:rPr>
        <w:t>ve vztahu ke službám zajišťovaný</w:t>
      </w:r>
      <w:r w:rsidR="00DD2712">
        <w:rPr>
          <w:rFonts w:ascii="Calibri" w:hAnsi="Calibri" w:cs="Calibri"/>
          <w:sz w:val="24"/>
        </w:rPr>
        <w:t>m</w:t>
      </w:r>
      <w:r w:rsidR="0033470F" w:rsidRPr="00F43E2F">
        <w:rPr>
          <w:rFonts w:ascii="Calibri" w:hAnsi="Calibri" w:cs="Calibri"/>
          <w:sz w:val="24"/>
        </w:rPr>
        <w:t xml:space="preserve"> Českou poštou</w:t>
      </w:r>
      <w:r w:rsidRPr="00F43E2F">
        <w:rPr>
          <w:rFonts w:ascii="Calibri" w:hAnsi="Calibri" w:cs="Calibri"/>
          <w:sz w:val="24"/>
        </w:rPr>
        <w:t>, ačkoli M</w:t>
      </w:r>
      <w:r w:rsidR="00F8140E" w:rsidRPr="00F43E2F">
        <w:rPr>
          <w:rFonts w:ascii="Calibri" w:hAnsi="Calibri" w:cs="Calibri"/>
          <w:sz w:val="24"/>
        </w:rPr>
        <w:t>inisterstvem financí</w:t>
      </w:r>
      <w:r w:rsidR="0033470F" w:rsidRPr="00F43E2F">
        <w:rPr>
          <w:rFonts w:ascii="Calibri" w:hAnsi="Calibri" w:cs="Calibri"/>
          <w:sz w:val="24"/>
        </w:rPr>
        <w:t xml:space="preserve"> </w:t>
      </w:r>
      <w:r w:rsidRPr="00F43E2F">
        <w:rPr>
          <w:rFonts w:ascii="Calibri" w:hAnsi="Calibri" w:cs="Calibri"/>
          <w:sz w:val="24"/>
        </w:rPr>
        <w:t xml:space="preserve">založený podnik STC </w:t>
      </w:r>
      <w:r w:rsidR="002002A4" w:rsidRPr="00F43E2F">
        <w:rPr>
          <w:rFonts w:ascii="Calibri" w:hAnsi="Calibri" w:cs="Calibri"/>
          <w:sz w:val="24"/>
        </w:rPr>
        <w:t xml:space="preserve">také </w:t>
      </w:r>
      <w:r w:rsidR="009C46E7" w:rsidRPr="00F43E2F">
        <w:rPr>
          <w:rFonts w:ascii="Calibri" w:hAnsi="Calibri" w:cs="Calibri"/>
          <w:sz w:val="24"/>
        </w:rPr>
        <w:t xml:space="preserve">od roku 2009 </w:t>
      </w:r>
      <w:r w:rsidRPr="00F43E2F">
        <w:rPr>
          <w:rFonts w:ascii="Calibri" w:hAnsi="Calibri" w:cs="Calibri"/>
          <w:sz w:val="24"/>
        </w:rPr>
        <w:t>poskytuj</w:t>
      </w:r>
      <w:r w:rsidR="0033470F" w:rsidRPr="00F43E2F">
        <w:rPr>
          <w:rFonts w:ascii="Calibri" w:hAnsi="Calibri" w:cs="Calibri"/>
          <w:sz w:val="24"/>
        </w:rPr>
        <w:t>e</w:t>
      </w:r>
      <w:r w:rsidR="00DD2712">
        <w:rPr>
          <w:rFonts w:ascii="Calibri" w:hAnsi="Calibri" w:cs="Calibri"/>
          <w:sz w:val="24"/>
        </w:rPr>
        <w:t xml:space="preserve"> klíčové služby pro </w:t>
      </w:r>
      <w:r w:rsidRPr="00F43E2F">
        <w:rPr>
          <w:rFonts w:ascii="Calibri" w:hAnsi="Calibri" w:cs="Calibri"/>
          <w:sz w:val="24"/>
        </w:rPr>
        <w:t xml:space="preserve">orgány státní správy </w:t>
      </w:r>
      <w:r w:rsidR="000617A4" w:rsidRPr="00F43E2F">
        <w:rPr>
          <w:rFonts w:ascii="Calibri" w:hAnsi="Calibri" w:cs="Calibri"/>
          <w:sz w:val="24"/>
        </w:rPr>
        <w:t>(více v kap. 2.2).</w:t>
      </w:r>
      <w:r w:rsidR="00136135" w:rsidRPr="00F43E2F">
        <w:rPr>
          <w:rFonts w:ascii="Calibri" w:hAnsi="Calibri" w:cs="Calibri"/>
          <w:b/>
          <w:sz w:val="24"/>
        </w:rPr>
        <w:t xml:space="preserve"> Vláda tak nemá m</w:t>
      </w:r>
      <w:r w:rsidR="004E1AC0" w:rsidRPr="00F43E2F">
        <w:rPr>
          <w:rFonts w:ascii="Calibri" w:hAnsi="Calibri" w:cs="Calibri"/>
          <w:b/>
          <w:sz w:val="24"/>
        </w:rPr>
        <w:t>ožnost získat úplné informace o </w:t>
      </w:r>
      <w:r w:rsidR="00136135" w:rsidRPr="00F43E2F">
        <w:rPr>
          <w:rFonts w:ascii="Calibri" w:hAnsi="Calibri" w:cs="Calibri"/>
          <w:b/>
          <w:sz w:val="24"/>
        </w:rPr>
        <w:t>zajištění ICT služeb ve státní správě.</w:t>
      </w:r>
    </w:p>
    <w:p w:rsidR="00B33049" w:rsidRPr="00F43E2F" w:rsidRDefault="00B33049" w:rsidP="00F43E2F">
      <w:pPr>
        <w:spacing w:after="0"/>
        <w:rPr>
          <w:rFonts w:ascii="Calibri" w:hAnsi="Calibri" w:cs="Calibri"/>
          <w:sz w:val="24"/>
        </w:rPr>
      </w:pPr>
    </w:p>
    <w:p w:rsidR="00BC11F6" w:rsidRPr="00F43E2F" w:rsidRDefault="00F43E2F" w:rsidP="00F43E2F">
      <w:pPr>
        <w:spacing w:after="0"/>
        <w:rPr>
          <w:rFonts w:ascii="Calibri" w:hAnsi="Calibri" w:cs="Calibri"/>
          <w:b/>
          <w:sz w:val="24"/>
        </w:rPr>
      </w:pPr>
      <w:r w:rsidRPr="00F43E2F">
        <w:rPr>
          <w:rFonts w:ascii="Calibri" w:hAnsi="Calibri" w:cs="Calibri"/>
          <w:b/>
          <w:sz w:val="24"/>
        </w:rPr>
        <w:t>2</w:t>
      </w:r>
      <w:r w:rsidR="00152A3C">
        <w:rPr>
          <w:rFonts w:ascii="Calibri" w:hAnsi="Calibri" w:cs="Calibri"/>
          <w:b/>
          <w:sz w:val="24"/>
        </w:rPr>
        <w:t>.</w:t>
      </w:r>
      <w:r w:rsidRPr="00F43E2F">
        <w:rPr>
          <w:rFonts w:ascii="Calibri" w:hAnsi="Calibri" w:cs="Calibri"/>
          <w:b/>
          <w:sz w:val="24"/>
        </w:rPr>
        <w:t xml:space="preserve"> </w:t>
      </w:r>
      <w:r w:rsidR="008C79E3" w:rsidRPr="00F43E2F">
        <w:rPr>
          <w:rFonts w:ascii="Calibri" w:hAnsi="Calibri" w:cs="Calibri"/>
          <w:b/>
          <w:sz w:val="24"/>
        </w:rPr>
        <w:t xml:space="preserve">Datová centra </w:t>
      </w:r>
      <w:r w:rsidR="00903185" w:rsidRPr="00F43E2F">
        <w:rPr>
          <w:rFonts w:ascii="Calibri" w:hAnsi="Calibri" w:cs="Calibri"/>
          <w:b/>
          <w:sz w:val="24"/>
        </w:rPr>
        <w:t xml:space="preserve">v resortu </w:t>
      </w:r>
      <w:r w:rsidR="008C79E3" w:rsidRPr="00F43E2F">
        <w:rPr>
          <w:rFonts w:ascii="Calibri" w:hAnsi="Calibri" w:cs="Calibri"/>
          <w:b/>
          <w:sz w:val="24"/>
        </w:rPr>
        <w:t>M</w:t>
      </w:r>
      <w:r w:rsidR="00903185" w:rsidRPr="00F43E2F">
        <w:rPr>
          <w:rFonts w:ascii="Calibri" w:hAnsi="Calibri" w:cs="Calibri"/>
          <w:b/>
          <w:sz w:val="24"/>
        </w:rPr>
        <w:t xml:space="preserve">inisterstva financí </w:t>
      </w:r>
    </w:p>
    <w:p w:rsid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5D2BFF" w:rsidRDefault="00D77B78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MV jako </w:t>
      </w:r>
      <w:r w:rsidR="00E55493" w:rsidRPr="00F43E2F">
        <w:rPr>
          <w:rFonts w:ascii="Calibri" w:hAnsi="Calibri" w:cs="Calibri"/>
          <w:sz w:val="24"/>
        </w:rPr>
        <w:t xml:space="preserve">hlavní koordinátor </w:t>
      </w:r>
      <w:r w:rsidR="00DD2712">
        <w:rPr>
          <w:rFonts w:ascii="Calibri" w:hAnsi="Calibri" w:cs="Calibri"/>
          <w:sz w:val="24"/>
        </w:rPr>
        <w:t>informačních a komunikačních</w:t>
      </w:r>
      <w:r w:rsidR="00E55493" w:rsidRPr="00F43E2F">
        <w:rPr>
          <w:rFonts w:ascii="Calibri" w:hAnsi="Calibri" w:cs="Calibri"/>
          <w:sz w:val="24"/>
        </w:rPr>
        <w:t xml:space="preserve"> technologií nenastavil</w:t>
      </w:r>
      <w:r w:rsidR="00DD2712">
        <w:rPr>
          <w:rFonts w:ascii="Calibri" w:hAnsi="Calibri" w:cs="Calibri"/>
          <w:sz w:val="24"/>
        </w:rPr>
        <w:t>o</w:t>
      </w:r>
      <w:r w:rsidR="00E55493" w:rsidRPr="00F43E2F">
        <w:rPr>
          <w:rFonts w:ascii="Calibri" w:hAnsi="Calibri" w:cs="Calibri"/>
          <w:sz w:val="24"/>
        </w:rPr>
        <w:t xml:space="preserve"> </w:t>
      </w:r>
      <w:r w:rsidR="009C0E15" w:rsidRPr="00F43E2F">
        <w:rPr>
          <w:rFonts w:ascii="Calibri" w:hAnsi="Calibri" w:cs="Calibri"/>
          <w:sz w:val="24"/>
        </w:rPr>
        <w:t xml:space="preserve">strategii pro vytváření a </w:t>
      </w:r>
      <w:r w:rsidR="00E55493" w:rsidRPr="00F43E2F">
        <w:rPr>
          <w:rFonts w:ascii="Calibri" w:hAnsi="Calibri" w:cs="Calibri"/>
          <w:sz w:val="24"/>
        </w:rPr>
        <w:t>využívání datových center veřejnou správ</w:t>
      </w:r>
      <w:r w:rsidR="00720184" w:rsidRPr="00F43E2F">
        <w:rPr>
          <w:rFonts w:ascii="Calibri" w:hAnsi="Calibri" w:cs="Calibri"/>
          <w:sz w:val="24"/>
        </w:rPr>
        <w:t>o</w:t>
      </w:r>
      <w:r w:rsidR="00E55493" w:rsidRPr="00F43E2F">
        <w:rPr>
          <w:rFonts w:ascii="Calibri" w:hAnsi="Calibri" w:cs="Calibri"/>
          <w:sz w:val="24"/>
        </w:rPr>
        <w:t>u</w:t>
      </w:r>
      <w:r w:rsidR="00AC0399" w:rsidRPr="00F43E2F">
        <w:rPr>
          <w:rFonts w:ascii="Calibri" w:hAnsi="Calibri" w:cs="Calibri"/>
          <w:sz w:val="24"/>
        </w:rPr>
        <w:t xml:space="preserve">. </w:t>
      </w:r>
      <w:r w:rsidR="00FE4C11" w:rsidRPr="00F43E2F">
        <w:rPr>
          <w:rFonts w:ascii="Calibri" w:hAnsi="Calibri" w:cs="Calibri"/>
          <w:sz w:val="24"/>
        </w:rPr>
        <w:t>MF</w:t>
      </w:r>
      <w:r w:rsidR="00720184" w:rsidRPr="00F43E2F">
        <w:rPr>
          <w:rFonts w:ascii="Calibri" w:hAnsi="Calibri" w:cs="Calibri"/>
          <w:sz w:val="24"/>
        </w:rPr>
        <w:t xml:space="preserve"> tak</w:t>
      </w:r>
      <w:r w:rsidR="00BF0512" w:rsidRPr="00F43E2F">
        <w:rPr>
          <w:rFonts w:ascii="Calibri" w:hAnsi="Calibri" w:cs="Calibri"/>
          <w:sz w:val="24"/>
        </w:rPr>
        <w:t xml:space="preserve"> </w:t>
      </w:r>
      <w:r w:rsidR="00AC0399" w:rsidRPr="00F43E2F">
        <w:rPr>
          <w:rFonts w:ascii="Calibri" w:hAnsi="Calibri" w:cs="Calibri"/>
          <w:sz w:val="24"/>
        </w:rPr>
        <w:t>řešil</w:t>
      </w:r>
      <w:r w:rsidR="00FE4C11" w:rsidRPr="00F43E2F">
        <w:rPr>
          <w:rFonts w:ascii="Calibri" w:hAnsi="Calibri" w:cs="Calibri"/>
          <w:sz w:val="24"/>
        </w:rPr>
        <w:t>o</w:t>
      </w:r>
      <w:r w:rsidR="00AC0399" w:rsidRPr="00F43E2F">
        <w:rPr>
          <w:rFonts w:ascii="Calibri" w:hAnsi="Calibri" w:cs="Calibri"/>
          <w:sz w:val="24"/>
        </w:rPr>
        <w:t xml:space="preserve"> </w:t>
      </w:r>
      <w:r w:rsidR="00FE4C11" w:rsidRPr="00F43E2F">
        <w:rPr>
          <w:rFonts w:ascii="Calibri" w:hAnsi="Calibri" w:cs="Calibri"/>
          <w:sz w:val="24"/>
        </w:rPr>
        <w:t xml:space="preserve">vlastní </w:t>
      </w:r>
      <w:r w:rsidR="00E55493" w:rsidRPr="00F43E2F">
        <w:rPr>
          <w:rFonts w:ascii="Calibri" w:hAnsi="Calibri" w:cs="Calibri"/>
          <w:sz w:val="24"/>
        </w:rPr>
        <w:t>potřebu</w:t>
      </w:r>
      <w:r w:rsidR="00FE4C11" w:rsidRPr="00F43E2F">
        <w:rPr>
          <w:rFonts w:ascii="Calibri" w:hAnsi="Calibri" w:cs="Calibri"/>
          <w:sz w:val="24"/>
        </w:rPr>
        <w:t xml:space="preserve"> provozu IS a uložení dat vybudováním datového centra ve spolupráci s STC. 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6951CE" w:rsidRDefault="005C7036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color w:val="000000" w:themeColor="text1"/>
          <w:sz w:val="24"/>
        </w:rPr>
        <w:t>MV by se podle zákona č. 365/2000 Sb.</w:t>
      </w:r>
      <w:r w:rsidRPr="00F43E2F">
        <w:rPr>
          <w:rStyle w:val="Znakapoznpodarou"/>
          <w:rFonts w:ascii="Calibri" w:hAnsi="Calibri" w:cs="Calibri"/>
          <w:color w:val="000000" w:themeColor="text1"/>
          <w:sz w:val="24"/>
        </w:rPr>
        <w:footnoteReference w:id="11"/>
      </w:r>
      <w:r w:rsidRPr="00F43E2F">
        <w:rPr>
          <w:rFonts w:ascii="Calibri" w:hAnsi="Calibri" w:cs="Calibri"/>
          <w:color w:val="000000" w:themeColor="text1"/>
          <w:sz w:val="24"/>
        </w:rPr>
        <w:t xml:space="preserve"> mělo vyjadřovat k </w:t>
      </w:r>
      <w:r w:rsidR="00DD2712">
        <w:rPr>
          <w:rFonts w:ascii="Calibri" w:hAnsi="Calibri" w:cs="Calibri"/>
          <w:color w:val="000000" w:themeColor="text1"/>
          <w:sz w:val="24"/>
        </w:rPr>
        <w:t>pořizování, obnově a </w:t>
      </w:r>
      <w:r w:rsidR="00F60DFE" w:rsidRPr="00F43E2F">
        <w:rPr>
          <w:rFonts w:ascii="Calibri" w:hAnsi="Calibri" w:cs="Calibri"/>
          <w:color w:val="000000" w:themeColor="text1"/>
          <w:sz w:val="24"/>
        </w:rPr>
        <w:t>provozování informačních a komunikačních technologií</w:t>
      </w:r>
      <w:r w:rsidRPr="00F43E2F">
        <w:rPr>
          <w:rFonts w:ascii="Calibri" w:hAnsi="Calibri" w:cs="Calibri"/>
          <w:color w:val="000000" w:themeColor="text1"/>
          <w:sz w:val="24"/>
        </w:rPr>
        <w:t xml:space="preserve"> financovan</w:t>
      </w:r>
      <w:r w:rsidR="00F60DFE" w:rsidRPr="00F43E2F">
        <w:rPr>
          <w:rFonts w:ascii="Calibri" w:hAnsi="Calibri" w:cs="Calibri"/>
          <w:color w:val="000000" w:themeColor="text1"/>
          <w:sz w:val="24"/>
        </w:rPr>
        <w:t>ých</w:t>
      </w:r>
      <w:r w:rsidRPr="00F43E2F">
        <w:rPr>
          <w:rFonts w:ascii="Calibri" w:hAnsi="Calibri" w:cs="Calibri"/>
          <w:color w:val="000000" w:themeColor="text1"/>
          <w:sz w:val="24"/>
        </w:rPr>
        <w:t xml:space="preserve"> z prostředků státního rozpočtu</w:t>
      </w:r>
      <w:r w:rsidR="00390149" w:rsidRPr="00F43E2F">
        <w:rPr>
          <w:rFonts w:ascii="Calibri" w:hAnsi="Calibri" w:cs="Calibri"/>
          <w:color w:val="000000" w:themeColor="text1"/>
          <w:sz w:val="24"/>
        </w:rPr>
        <w:t xml:space="preserve"> a </w:t>
      </w:r>
      <w:r w:rsidR="00F60DFE" w:rsidRPr="00F43E2F">
        <w:rPr>
          <w:rFonts w:ascii="Calibri" w:hAnsi="Calibri" w:cs="Calibri"/>
          <w:color w:val="000000" w:themeColor="text1"/>
          <w:sz w:val="24"/>
        </w:rPr>
        <w:t>současně</w:t>
      </w:r>
      <w:r w:rsidRPr="00F43E2F">
        <w:rPr>
          <w:rFonts w:ascii="Calibri" w:hAnsi="Calibri" w:cs="Calibri"/>
          <w:color w:val="000000" w:themeColor="text1"/>
          <w:sz w:val="24"/>
        </w:rPr>
        <w:t xml:space="preserve"> </w:t>
      </w:r>
      <w:r w:rsidR="00B92B3B" w:rsidRPr="00F43E2F">
        <w:rPr>
          <w:rFonts w:ascii="Calibri" w:hAnsi="Calibri" w:cs="Calibri"/>
          <w:color w:val="000000" w:themeColor="text1"/>
          <w:sz w:val="24"/>
        </w:rPr>
        <w:t>podle usnesení vlády</w:t>
      </w:r>
      <w:r w:rsidR="00B92B3B" w:rsidRPr="00F43E2F">
        <w:rPr>
          <w:rStyle w:val="Znakapoznpodarou"/>
          <w:rFonts w:ascii="Calibri" w:hAnsi="Calibri" w:cs="Calibri"/>
          <w:color w:val="000000" w:themeColor="text1"/>
          <w:sz w:val="24"/>
        </w:rPr>
        <w:footnoteReference w:id="12"/>
      </w:r>
      <w:r w:rsidR="00B92B3B" w:rsidRPr="00F43E2F">
        <w:rPr>
          <w:rFonts w:ascii="Calibri" w:hAnsi="Calibri" w:cs="Calibri"/>
          <w:color w:val="000000" w:themeColor="text1"/>
          <w:sz w:val="24"/>
        </w:rPr>
        <w:t xml:space="preserve"> </w:t>
      </w:r>
      <w:r w:rsidR="00720184" w:rsidRPr="00F43E2F">
        <w:rPr>
          <w:rFonts w:ascii="Calibri" w:hAnsi="Calibri" w:cs="Calibri"/>
          <w:color w:val="000000" w:themeColor="text1"/>
          <w:sz w:val="24"/>
        </w:rPr>
        <w:t>by mělo MV vydávat</w:t>
      </w:r>
      <w:r w:rsidRPr="00F43E2F">
        <w:rPr>
          <w:rFonts w:ascii="Calibri" w:hAnsi="Calibri" w:cs="Calibri"/>
          <w:color w:val="000000" w:themeColor="text1"/>
          <w:sz w:val="24"/>
        </w:rPr>
        <w:t xml:space="preserve"> stanovisk</w:t>
      </w:r>
      <w:r w:rsidR="00DD2712">
        <w:rPr>
          <w:rFonts w:ascii="Calibri" w:hAnsi="Calibri" w:cs="Calibri"/>
          <w:color w:val="000000" w:themeColor="text1"/>
          <w:sz w:val="24"/>
        </w:rPr>
        <w:t>a</w:t>
      </w:r>
      <w:r w:rsidRPr="00F43E2F">
        <w:rPr>
          <w:rFonts w:ascii="Calibri" w:hAnsi="Calibri" w:cs="Calibri"/>
          <w:color w:val="000000" w:themeColor="text1"/>
          <w:sz w:val="24"/>
        </w:rPr>
        <w:t xml:space="preserve"> k ICT projektům financovaný</w:t>
      </w:r>
      <w:r w:rsidR="00F60DFE" w:rsidRPr="00F43E2F">
        <w:rPr>
          <w:rFonts w:ascii="Calibri" w:hAnsi="Calibri" w:cs="Calibri"/>
          <w:color w:val="000000" w:themeColor="text1"/>
          <w:sz w:val="24"/>
        </w:rPr>
        <w:t>m</w:t>
      </w:r>
      <w:r w:rsidRPr="00F43E2F">
        <w:rPr>
          <w:rFonts w:ascii="Calibri" w:hAnsi="Calibri" w:cs="Calibri"/>
          <w:color w:val="000000" w:themeColor="text1"/>
          <w:sz w:val="24"/>
        </w:rPr>
        <w:t xml:space="preserve"> z </w:t>
      </w:r>
      <w:r w:rsidRPr="00F43E2F">
        <w:rPr>
          <w:rFonts w:ascii="Calibri" w:hAnsi="Calibri" w:cs="Calibri"/>
          <w:sz w:val="24"/>
        </w:rPr>
        <w:t xml:space="preserve">prostředků Evropské unie. Tím, že STC </w:t>
      </w:r>
      <w:r w:rsidR="00F60DFE" w:rsidRPr="00F43E2F">
        <w:rPr>
          <w:rFonts w:ascii="Calibri" w:hAnsi="Calibri" w:cs="Calibri"/>
          <w:sz w:val="24"/>
        </w:rPr>
        <w:t>financuje budování</w:t>
      </w:r>
      <w:r w:rsidRPr="00F43E2F">
        <w:rPr>
          <w:rFonts w:ascii="Calibri" w:hAnsi="Calibri" w:cs="Calibri"/>
          <w:sz w:val="24"/>
        </w:rPr>
        <w:t xml:space="preserve"> datov</w:t>
      </w:r>
      <w:r w:rsidR="00F60DFE" w:rsidRPr="00F43E2F">
        <w:rPr>
          <w:rFonts w:ascii="Calibri" w:hAnsi="Calibri" w:cs="Calibri"/>
          <w:sz w:val="24"/>
        </w:rPr>
        <w:t>ých</w:t>
      </w:r>
      <w:r w:rsidRPr="00F43E2F">
        <w:rPr>
          <w:rFonts w:ascii="Calibri" w:hAnsi="Calibri" w:cs="Calibri"/>
          <w:sz w:val="24"/>
        </w:rPr>
        <w:t xml:space="preserve"> cent</w:t>
      </w:r>
      <w:r w:rsidR="00F60DFE" w:rsidRPr="00F43E2F">
        <w:rPr>
          <w:rFonts w:ascii="Calibri" w:hAnsi="Calibri" w:cs="Calibri"/>
          <w:sz w:val="24"/>
        </w:rPr>
        <w:t>e</w:t>
      </w:r>
      <w:r w:rsidRPr="00F43E2F">
        <w:rPr>
          <w:rFonts w:ascii="Calibri" w:hAnsi="Calibri" w:cs="Calibri"/>
          <w:sz w:val="24"/>
        </w:rPr>
        <w:t xml:space="preserve">r </w:t>
      </w:r>
      <w:r w:rsidR="00A01106" w:rsidRPr="00F43E2F">
        <w:rPr>
          <w:rFonts w:ascii="Calibri" w:hAnsi="Calibri" w:cs="Calibri"/>
          <w:sz w:val="24"/>
        </w:rPr>
        <w:t>bez použití prostředků státního rozpočtu a Evropské unie</w:t>
      </w:r>
      <w:r w:rsidRPr="00F43E2F">
        <w:rPr>
          <w:rFonts w:ascii="Calibri" w:hAnsi="Calibri" w:cs="Calibri"/>
          <w:sz w:val="24"/>
        </w:rPr>
        <w:t xml:space="preserve">, MV </w:t>
      </w:r>
      <w:r w:rsidR="00F660F3" w:rsidRPr="00F43E2F">
        <w:rPr>
          <w:rFonts w:ascii="Calibri" w:hAnsi="Calibri" w:cs="Calibri"/>
          <w:sz w:val="24"/>
        </w:rPr>
        <w:t xml:space="preserve">se </w:t>
      </w:r>
      <w:r w:rsidRPr="00F43E2F">
        <w:rPr>
          <w:rFonts w:ascii="Calibri" w:hAnsi="Calibri" w:cs="Calibri"/>
          <w:sz w:val="24"/>
        </w:rPr>
        <w:t>k</w:t>
      </w:r>
      <w:r w:rsidR="00F60DFE" w:rsidRPr="00F43E2F">
        <w:rPr>
          <w:rFonts w:ascii="Calibri" w:hAnsi="Calibri" w:cs="Calibri"/>
          <w:sz w:val="24"/>
        </w:rPr>
        <w:t xml:space="preserve"> budování datových center STC </w:t>
      </w:r>
      <w:r w:rsidR="00F660F3" w:rsidRPr="00F43E2F">
        <w:rPr>
          <w:rFonts w:ascii="Calibri" w:hAnsi="Calibri" w:cs="Calibri"/>
          <w:sz w:val="24"/>
        </w:rPr>
        <w:t>ne</w:t>
      </w:r>
      <w:r w:rsidR="00F60DFE" w:rsidRPr="00F43E2F">
        <w:rPr>
          <w:rFonts w:ascii="Calibri" w:hAnsi="Calibri" w:cs="Calibri"/>
          <w:sz w:val="24"/>
        </w:rPr>
        <w:t>v</w:t>
      </w:r>
      <w:r w:rsidRPr="00F43E2F">
        <w:rPr>
          <w:rFonts w:ascii="Calibri" w:hAnsi="Calibri" w:cs="Calibri"/>
          <w:sz w:val="24"/>
        </w:rPr>
        <w:t>yjádři</w:t>
      </w:r>
      <w:r w:rsidR="00F660F3" w:rsidRPr="00F43E2F">
        <w:rPr>
          <w:rFonts w:ascii="Calibri" w:hAnsi="Calibri" w:cs="Calibri"/>
          <w:sz w:val="24"/>
        </w:rPr>
        <w:t>lo</w:t>
      </w:r>
      <w:r w:rsidR="00535DE1" w:rsidRPr="00F43E2F">
        <w:rPr>
          <w:rFonts w:ascii="Calibri" w:hAnsi="Calibri" w:cs="Calibri"/>
          <w:sz w:val="24"/>
        </w:rPr>
        <w:t xml:space="preserve"> ani </w:t>
      </w:r>
      <w:r w:rsidR="00F660F3" w:rsidRPr="00F43E2F">
        <w:rPr>
          <w:rFonts w:ascii="Calibri" w:hAnsi="Calibri" w:cs="Calibri"/>
          <w:sz w:val="24"/>
        </w:rPr>
        <w:t>nevydalo</w:t>
      </w:r>
      <w:r w:rsidR="00535DE1" w:rsidRPr="00F43E2F">
        <w:rPr>
          <w:rFonts w:ascii="Calibri" w:hAnsi="Calibri" w:cs="Calibri"/>
          <w:sz w:val="24"/>
        </w:rPr>
        <w:t xml:space="preserve"> stanovisko</w:t>
      </w:r>
      <w:r w:rsidR="00F660F3" w:rsidRPr="00F43E2F">
        <w:rPr>
          <w:rFonts w:ascii="Calibri" w:hAnsi="Calibri" w:cs="Calibri"/>
          <w:sz w:val="24"/>
        </w:rPr>
        <w:t xml:space="preserve">, přestože </w:t>
      </w:r>
      <w:r w:rsidR="00B92B3B" w:rsidRPr="00F43E2F">
        <w:rPr>
          <w:rFonts w:ascii="Calibri" w:hAnsi="Calibri" w:cs="Calibri"/>
          <w:sz w:val="24"/>
        </w:rPr>
        <w:t>koordinační role MV vyplývá z kompetenčního zákona.</w:t>
      </w:r>
      <w:r w:rsidR="003553EA" w:rsidRPr="00F43E2F">
        <w:rPr>
          <w:rFonts w:ascii="Calibri" w:hAnsi="Calibri" w:cs="Calibri"/>
          <w:sz w:val="24"/>
        </w:rPr>
        <w:t xml:space="preserve"> Tato koordinační role má přispět k přehledu MV o budování datových center a realizaci I</w:t>
      </w:r>
      <w:r w:rsidR="006D6421" w:rsidRPr="00F43E2F">
        <w:rPr>
          <w:rFonts w:ascii="Calibri" w:hAnsi="Calibri" w:cs="Calibri"/>
          <w:sz w:val="24"/>
        </w:rPr>
        <w:t>C</w:t>
      </w:r>
      <w:r w:rsidR="003553EA" w:rsidRPr="00F43E2F">
        <w:rPr>
          <w:rFonts w:ascii="Calibri" w:hAnsi="Calibri" w:cs="Calibri"/>
          <w:sz w:val="24"/>
        </w:rPr>
        <w:t xml:space="preserve">T projektů </w:t>
      </w:r>
      <w:r w:rsidR="00797F52" w:rsidRPr="00F43E2F">
        <w:rPr>
          <w:rFonts w:ascii="Calibri" w:hAnsi="Calibri" w:cs="Calibri"/>
          <w:sz w:val="24"/>
        </w:rPr>
        <w:t xml:space="preserve">orgány </w:t>
      </w:r>
      <w:r w:rsidR="006D6421" w:rsidRPr="00F43E2F">
        <w:rPr>
          <w:rFonts w:ascii="Calibri" w:hAnsi="Calibri" w:cs="Calibri"/>
          <w:sz w:val="24"/>
        </w:rPr>
        <w:t>veřejné</w:t>
      </w:r>
      <w:r w:rsidR="003553EA" w:rsidRPr="00F43E2F">
        <w:rPr>
          <w:rFonts w:ascii="Calibri" w:hAnsi="Calibri" w:cs="Calibri"/>
          <w:sz w:val="24"/>
        </w:rPr>
        <w:t xml:space="preserve"> správy. Bez kompletního přehledu investic v oblasti I</w:t>
      </w:r>
      <w:r w:rsidR="00797F52" w:rsidRPr="00F43E2F">
        <w:rPr>
          <w:rFonts w:ascii="Calibri" w:hAnsi="Calibri" w:cs="Calibri"/>
          <w:sz w:val="24"/>
        </w:rPr>
        <w:t>C</w:t>
      </w:r>
      <w:r w:rsidR="003553EA" w:rsidRPr="00F43E2F">
        <w:rPr>
          <w:rFonts w:ascii="Calibri" w:hAnsi="Calibri" w:cs="Calibri"/>
          <w:sz w:val="24"/>
        </w:rPr>
        <w:t>T nemůže</w:t>
      </w:r>
      <w:r w:rsidR="00DD2712">
        <w:rPr>
          <w:rFonts w:ascii="Calibri" w:hAnsi="Calibri" w:cs="Calibri"/>
          <w:sz w:val="24"/>
        </w:rPr>
        <w:t xml:space="preserve"> MV</w:t>
      </w:r>
      <w:r w:rsidR="003553EA" w:rsidRPr="00F43E2F">
        <w:rPr>
          <w:rFonts w:ascii="Calibri" w:hAnsi="Calibri" w:cs="Calibri"/>
          <w:sz w:val="24"/>
        </w:rPr>
        <w:t xml:space="preserve"> tuto oblast úspěšně koordinovat.</w:t>
      </w:r>
      <w:r w:rsidR="004E28A2" w:rsidRPr="00F43E2F">
        <w:rPr>
          <w:rFonts w:ascii="Calibri" w:hAnsi="Calibri" w:cs="Calibri"/>
          <w:sz w:val="24"/>
        </w:rPr>
        <w:t xml:space="preserve"> MV si tedy jako koordinátor dostatečně nezabezpečilo podmínky, aby mohlo plnit koordinační roli vyplývající z kompetenčního zákona</w:t>
      </w:r>
      <w:r w:rsidR="00DD2712">
        <w:rPr>
          <w:rFonts w:ascii="Calibri" w:hAnsi="Calibri" w:cs="Calibri"/>
          <w:sz w:val="24"/>
        </w:rPr>
        <w:t>.</w:t>
      </w:r>
    </w:p>
    <w:p w:rsidR="005C7036" w:rsidRDefault="006951CE" w:rsidP="006951CE">
      <w:pPr>
        <w:spacing w:after="200" w:line="276" w:lineRule="auto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page"/>
      </w:r>
    </w:p>
    <w:p w:rsidR="00A61B3D" w:rsidRPr="00F43E2F" w:rsidRDefault="00F43E2F" w:rsidP="00F43E2F">
      <w:pPr>
        <w:spacing w:after="0"/>
        <w:rPr>
          <w:rFonts w:ascii="Calibri" w:hAnsi="Calibri" w:cs="Calibri"/>
          <w:b/>
          <w:sz w:val="24"/>
        </w:rPr>
      </w:pPr>
      <w:r w:rsidRPr="00F43E2F">
        <w:rPr>
          <w:rFonts w:ascii="Calibri" w:hAnsi="Calibri" w:cs="Calibri"/>
          <w:b/>
          <w:sz w:val="24"/>
        </w:rPr>
        <w:lastRenderedPageBreak/>
        <w:t xml:space="preserve">2.1 </w:t>
      </w:r>
      <w:r w:rsidR="00B10179" w:rsidRPr="00F43E2F">
        <w:rPr>
          <w:rFonts w:ascii="Calibri" w:hAnsi="Calibri" w:cs="Calibri"/>
          <w:b/>
          <w:sz w:val="24"/>
        </w:rPr>
        <w:t>R</w:t>
      </w:r>
      <w:r w:rsidR="00455CC4" w:rsidRPr="00F43E2F">
        <w:rPr>
          <w:rFonts w:ascii="Calibri" w:hAnsi="Calibri" w:cs="Calibri"/>
          <w:b/>
          <w:sz w:val="24"/>
        </w:rPr>
        <w:t xml:space="preserve">ealizace </w:t>
      </w:r>
      <w:r w:rsidR="00903185" w:rsidRPr="00F43E2F">
        <w:rPr>
          <w:rFonts w:ascii="Calibri" w:hAnsi="Calibri" w:cs="Calibri"/>
          <w:b/>
          <w:sz w:val="24"/>
        </w:rPr>
        <w:t>resortního datového centra Ministerstva financí</w:t>
      </w:r>
    </w:p>
    <w:p w:rsid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AC0399" w:rsidRDefault="007146A0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>MF v</w:t>
      </w:r>
      <w:r w:rsidR="004B00E6" w:rsidRPr="00F43E2F">
        <w:rPr>
          <w:rFonts w:ascii="Calibri" w:hAnsi="Calibri" w:cs="Calibri"/>
          <w:sz w:val="24"/>
        </w:rPr>
        <w:t>e svých resortních strategických a koncepčních dokumentech již v roce 2002 stanovilo záměr vybudovat dvě datová centra</w:t>
      </w:r>
      <w:r w:rsidR="00134E4C" w:rsidRPr="00F43E2F">
        <w:rPr>
          <w:rFonts w:ascii="Calibri" w:hAnsi="Calibri" w:cs="Calibri"/>
          <w:sz w:val="24"/>
        </w:rPr>
        <w:t xml:space="preserve"> pro resortní využití</w:t>
      </w:r>
      <w:r w:rsidR="008B3B05" w:rsidRPr="00F43E2F">
        <w:rPr>
          <w:rFonts w:ascii="Calibri" w:hAnsi="Calibri" w:cs="Calibri"/>
          <w:sz w:val="24"/>
        </w:rPr>
        <w:t xml:space="preserve"> (využití organizacemi podřízenými MF)</w:t>
      </w:r>
      <w:r w:rsidR="00954C6A" w:rsidRPr="00F43E2F">
        <w:rPr>
          <w:rFonts w:ascii="Calibri" w:hAnsi="Calibri" w:cs="Calibri"/>
          <w:sz w:val="24"/>
        </w:rPr>
        <w:t xml:space="preserve">. </w:t>
      </w:r>
      <w:r w:rsidR="00181936" w:rsidRPr="00F43E2F">
        <w:rPr>
          <w:rFonts w:ascii="Calibri" w:hAnsi="Calibri" w:cs="Calibri"/>
          <w:sz w:val="24"/>
        </w:rPr>
        <w:t xml:space="preserve">Zahájení stavby </w:t>
      </w:r>
      <w:r w:rsidR="00815FB2" w:rsidRPr="00F43E2F">
        <w:rPr>
          <w:rFonts w:ascii="Calibri" w:hAnsi="Calibri" w:cs="Calibri"/>
          <w:sz w:val="24"/>
        </w:rPr>
        <w:t xml:space="preserve">prvního datového centra </w:t>
      </w:r>
      <w:r w:rsidR="00181936" w:rsidRPr="00F43E2F">
        <w:rPr>
          <w:rFonts w:ascii="Calibri" w:hAnsi="Calibri" w:cs="Calibri"/>
          <w:sz w:val="24"/>
        </w:rPr>
        <w:t xml:space="preserve">MF předpokládalo v roce 2004 </w:t>
      </w:r>
      <w:r w:rsidR="00BA7E1D" w:rsidRPr="00F43E2F">
        <w:rPr>
          <w:rFonts w:ascii="Calibri" w:hAnsi="Calibri" w:cs="Calibri"/>
          <w:sz w:val="24"/>
        </w:rPr>
        <w:t>a</w:t>
      </w:r>
      <w:r w:rsidR="00580152" w:rsidRPr="00F43E2F">
        <w:rPr>
          <w:rFonts w:ascii="Calibri" w:hAnsi="Calibri" w:cs="Calibri"/>
          <w:sz w:val="24"/>
        </w:rPr>
        <w:t> dokončení v roce </w:t>
      </w:r>
      <w:r w:rsidR="00181936" w:rsidRPr="00F43E2F">
        <w:rPr>
          <w:rFonts w:ascii="Calibri" w:hAnsi="Calibri" w:cs="Calibri"/>
          <w:sz w:val="24"/>
        </w:rPr>
        <w:t>200</w:t>
      </w:r>
      <w:r w:rsidR="007C6CCA" w:rsidRPr="00F43E2F">
        <w:rPr>
          <w:rFonts w:ascii="Calibri" w:hAnsi="Calibri" w:cs="Calibri"/>
          <w:sz w:val="24"/>
        </w:rPr>
        <w:t>5</w:t>
      </w:r>
      <w:r w:rsidR="00181936" w:rsidRPr="00F43E2F">
        <w:rPr>
          <w:rFonts w:ascii="Calibri" w:hAnsi="Calibri" w:cs="Calibri"/>
          <w:sz w:val="24"/>
        </w:rPr>
        <w:t xml:space="preserve">. </w:t>
      </w:r>
      <w:r w:rsidR="00BA7E1D" w:rsidRPr="00F43E2F">
        <w:rPr>
          <w:rFonts w:ascii="Calibri" w:hAnsi="Calibri" w:cs="Calibri"/>
          <w:sz w:val="24"/>
        </w:rPr>
        <w:t xml:space="preserve">MF </w:t>
      </w:r>
      <w:r w:rsidR="00DB5C6D" w:rsidRPr="00F43E2F">
        <w:rPr>
          <w:rFonts w:ascii="Calibri" w:hAnsi="Calibri" w:cs="Calibri"/>
          <w:sz w:val="24"/>
        </w:rPr>
        <w:t>od roku 2005 do roku 2011</w:t>
      </w:r>
      <w:r w:rsidR="00707552" w:rsidRPr="00F43E2F">
        <w:rPr>
          <w:rFonts w:ascii="Calibri" w:hAnsi="Calibri" w:cs="Calibri"/>
          <w:sz w:val="24"/>
        </w:rPr>
        <w:t xml:space="preserve"> </w:t>
      </w:r>
      <w:r w:rsidR="00BA7E1D" w:rsidRPr="00F43E2F">
        <w:rPr>
          <w:rFonts w:ascii="Calibri" w:hAnsi="Calibri" w:cs="Calibri"/>
          <w:sz w:val="24"/>
        </w:rPr>
        <w:t>zaplatilo 32,3 mil. Kč vč. DPH za</w:t>
      </w:r>
      <w:r w:rsidR="00AC0399" w:rsidRPr="00F43E2F">
        <w:rPr>
          <w:rFonts w:ascii="Calibri" w:hAnsi="Calibri" w:cs="Calibri"/>
          <w:sz w:val="24"/>
        </w:rPr>
        <w:t xml:space="preserve"> zpracování strategických dokumentů, koncepcí, studie pro výstavbu datového centra a dalších dokumentů souvisejících s přípravou využití resortního datového centra a přípravou zadávací dokumentace na využí</w:t>
      </w:r>
      <w:r w:rsidR="00390149" w:rsidRPr="00F43E2F">
        <w:rPr>
          <w:rFonts w:ascii="Calibri" w:hAnsi="Calibri" w:cs="Calibri"/>
          <w:sz w:val="24"/>
        </w:rPr>
        <w:t>vání služeb datového centra vč. </w:t>
      </w:r>
      <w:r w:rsidR="00AC0399" w:rsidRPr="00F43E2F">
        <w:rPr>
          <w:rFonts w:ascii="Calibri" w:hAnsi="Calibri" w:cs="Calibri"/>
          <w:sz w:val="24"/>
        </w:rPr>
        <w:t xml:space="preserve">souvisejících konzultačních služeb. </w:t>
      </w:r>
      <w:r w:rsidR="00043717" w:rsidRPr="00F43E2F">
        <w:rPr>
          <w:rFonts w:ascii="Calibri" w:hAnsi="Calibri" w:cs="Calibri"/>
          <w:sz w:val="24"/>
        </w:rPr>
        <w:t>Informace o přípravě</w:t>
      </w:r>
      <w:r w:rsidR="00B10179" w:rsidRPr="00F43E2F">
        <w:rPr>
          <w:rFonts w:ascii="Calibri" w:hAnsi="Calibri" w:cs="Calibri"/>
          <w:sz w:val="24"/>
        </w:rPr>
        <w:t xml:space="preserve"> druhého datového centra je </w:t>
      </w:r>
      <w:r w:rsidR="00043717" w:rsidRPr="00F43E2F">
        <w:rPr>
          <w:rFonts w:ascii="Calibri" w:hAnsi="Calibri" w:cs="Calibri"/>
          <w:sz w:val="24"/>
        </w:rPr>
        <w:t xml:space="preserve">uvedena </w:t>
      </w:r>
      <w:r w:rsidR="00B10179" w:rsidRPr="00F43E2F">
        <w:rPr>
          <w:rFonts w:ascii="Calibri" w:hAnsi="Calibri" w:cs="Calibri"/>
          <w:sz w:val="24"/>
        </w:rPr>
        <w:t>v kap. 2.4.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C460F4" w:rsidRDefault="00493CD0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Ačkoliv </w:t>
      </w:r>
      <w:r w:rsidR="00F7795B" w:rsidRPr="00F43E2F">
        <w:rPr>
          <w:rFonts w:ascii="Calibri" w:hAnsi="Calibri" w:cs="Calibri"/>
          <w:sz w:val="24"/>
        </w:rPr>
        <w:t xml:space="preserve">dle </w:t>
      </w:r>
      <w:r w:rsidRPr="00F43E2F">
        <w:rPr>
          <w:rFonts w:ascii="Calibri" w:hAnsi="Calibri" w:cs="Calibri"/>
          <w:sz w:val="24"/>
        </w:rPr>
        <w:t>p</w:t>
      </w:r>
      <w:r w:rsidR="00B00017" w:rsidRPr="00F43E2F">
        <w:rPr>
          <w:rFonts w:ascii="Calibri" w:hAnsi="Calibri" w:cs="Calibri"/>
          <w:sz w:val="24"/>
        </w:rPr>
        <w:t>rvní</w:t>
      </w:r>
      <w:r w:rsidR="00F7795B" w:rsidRPr="00F43E2F">
        <w:rPr>
          <w:rFonts w:ascii="Calibri" w:hAnsi="Calibri" w:cs="Calibri"/>
          <w:sz w:val="24"/>
        </w:rPr>
        <w:t>ho</w:t>
      </w:r>
      <w:r w:rsidR="004B00E6" w:rsidRPr="00F43E2F">
        <w:rPr>
          <w:rFonts w:ascii="Calibri" w:hAnsi="Calibri" w:cs="Calibri"/>
          <w:sz w:val="24"/>
        </w:rPr>
        <w:t xml:space="preserve"> záměr</w:t>
      </w:r>
      <w:r w:rsidR="00F7795B" w:rsidRPr="00F43E2F">
        <w:rPr>
          <w:rFonts w:ascii="Calibri" w:hAnsi="Calibri" w:cs="Calibri"/>
          <w:sz w:val="24"/>
        </w:rPr>
        <w:t>u plánovalo</w:t>
      </w:r>
      <w:r w:rsidR="004B00E6" w:rsidRPr="00F43E2F">
        <w:rPr>
          <w:rFonts w:ascii="Calibri" w:hAnsi="Calibri" w:cs="Calibri"/>
          <w:sz w:val="24"/>
        </w:rPr>
        <w:t xml:space="preserve"> </w:t>
      </w:r>
      <w:r w:rsidR="00C23D1D" w:rsidRPr="00F43E2F">
        <w:rPr>
          <w:rFonts w:ascii="Calibri" w:hAnsi="Calibri" w:cs="Calibri"/>
          <w:sz w:val="24"/>
        </w:rPr>
        <w:t xml:space="preserve">MF </w:t>
      </w:r>
      <w:r w:rsidR="004B00E6" w:rsidRPr="00F43E2F">
        <w:rPr>
          <w:rFonts w:ascii="Calibri" w:hAnsi="Calibri" w:cs="Calibri"/>
          <w:sz w:val="24"/>
        </w:rPr>
        <w:t xml:space="preserve">dokončit výstavbu prvního datového centra </w:t>
      </w:r>
      <w:r w:rsidR="00F7795B" w:rsidRPr="00F43E2F">
        <w:rPr>
          <w:rFonts w:ascii="Calibri" w:hAnsi="Calibri" w:cs="Calibri"/>
          <w:sz w:val="24"/>
        </w:rPr>
        <w:t>v roce</w:t>
      </w:r>
      <w:r w:rsidR="004B00E6" w:rsidRPr="00F43E2F">
        <w:rPr>
          <w:rFonts w:ascii="Calibri" w:hAnsi="Calibri" w:cs="Calibri"/>
          <w:sz w:val="24"/>
        </w:rPr>
        <w:t xml:space="preserve"> 2005</w:t>
      </w:r>
      <w:r w:rsidRPr="00F43E2F">
        <w:rPr>
          <w:rFonts w:ascii="Calibri" w:hAnsi="Calibri" w:cs="Calibri"/>
          <w:sz w:val="24"/>
        </w:rPr>
        <w:t>,</w:t>
      </w:r>
      <w:r w:rsidR="004B00E6" w:rsidRPr="00F43E2F">
        <w:rPr>
          <w:rFonts w:ascii="Calibri" w:hAnsi="Calibri" w:cs="Calibri"/>
          <w:sz w:val="24"/>
        </w:rPr>
        <w:t xml:space="preserve"> </w:t>
      </w:r>
      <w:r w:rsidR="00802DD4" w:rsidRPr="00F43E2F">
        <w:rPr>
          <w:rFonts w:ascii="Calibri" w:hAnsi="Calibri" w:cs="Calibri"/>
          <w:sz w:val="24"/>
        </w:rPr>
        <w:t xml:space="preserve">teprve </w:t>
      </w:r>
      <w:r w:rsidR="00A06859" w:rsidRPr="00F43E2F">
        <w:rPr>
          <w:rFonts w:ascii="Calibri" w:hAnsi="Calibri" w:cs="Calibri"/>
          <w:sz w:val="24"/>
        </w:rPr>
        <w:t>v </w:t>
      </w:r>
      <w:r w:rsidR="00796A13" w:rsidRPr="00F43E2F">
        <w:rPr>
          <w:rFonts w:ascii="Calibri" w:hAnsi="Calibri" w:cs="Calibri"/>
          <w:sz w:val="24"/>
        </w:rPr>
        <w:t>červenci</w:t>
      </w:r>
      <w:r w:rsidR="00A06859" w:rsidRPr="00F43E2F">
        <w:rPr>
          <w:rFonts w:ascii="Calibri" w:hAnsi="Calibri" w:cs="Calibri"/>
          <w:sz w:val="24"/>
        </w:rPr>
        <w:t xml:space="preserve"> </w:t>
      </w:r>
      <w:r w:rsidR="00802DD4" w:rsidRPr="00F43E2F">
        <w:rPr>
          <w:rFonts w:ascii="Calibri" w:hAnsi="Calibri" w:cs="Calibri"/>
          <w:sz w:val="24"/>
        </w:rPr>
        <w:t>2005</w:t>
      </w:r>
      <w:r w:rsidR="004B00E6" w:rsidRPr="00F43E2F">
        <w:rPr>
          <w:rFonts w:ascii="Calibri" w:hAnsi="Calibri" w:cs="Calibri"/>
          <w:sz w:val="24"/>
        </w:rPr>
        <w:t xml:space="preserve"> </w:t>
      </w:r>
      <w:r w:rsidR="007146A0" w:rsidRPr="00F43E2F">
        <w:rPr>
          <w:rFonts w:ascii="Calibri" w:hAnsi="Calibri" w:cs="Calibri"/>
          <w:sz w:val="24"/>
        </w:rPr>
        <w:t xml:space="preserve">MF </w:t>
      </w:r>
      <w:r w:rsidR="004B00E6" w:rsidRPr="00F43E2F">
        <w:rPr>
          <w:rFonts w:ascii="Calibri" w:hAnsi="Calibri" w:cs="Calibri"/>
          <w:sz w:val="24"/>
        </w:rPr>
        <w:t xml:space="preserve">informovalo </w:t>
      </w:r>
      <w:r w:rsidR="00A06859" w:rsidRPr="00F43E2F">
        <w:rPr>
          <w:rFonts w:ascii="Calibri" w:hAnsi="Calibri" w:cs="Calibri"/>
          <w:sz w:val="24"/>
        </w:rPr>
        <w:t>STC o rozhodnutí vybudovat datové centrum</w:t>
      </w:r>
      <w:r w:rsidRPr="00F43E2F">
        <w:rPr>
          <w:rFonts w:ascii="Calibri" w:hAnsi="Calibri" w:cs="Calibri"/>
          <w:sz w:val="24"/>
        </w:rPr>
        <w:t xml:space="preserve"> v areálu</w:t>
      </w:r>
      <w:r w:rsidR="007146A0" w:rsidRPr="00F43E2F">
        <w:rPr>
          <w:rFonts w:ascii="Calibri" w:hAnsi="Calibri" w:cs="Calibri"/>
          <w:sz w:val="24"/>
        </w:rPr>
        <w:t xml:space="preserve"> </w:t>
      </w:r>
      <w:r w:rsidR="006D6421" w:rsidRPr="00F43E2F">
        <w:rPr>
          <w:rFonts w:ascii="Calibri" w:hAnsi="Calibri" w:cs="Calibri"/>
          <w:sz w:val="24"/>
        </w:rPr>
        <w:t xml:space="preserve">tohoto </w:t>
      </w:r>
      <w:r w:rsidR="007146A0" w:rsidRPr="00F43E2F">
        <w:rPr>
          <w:rFonts w:ascii="Calibri" w:hAnsi="Calibri" w:cs="Calibri"/>
          <w:sz w:val="24"/>
        </w:rPr>
        <w:t>státního podniku</w:t>
      </w:r>
      <w:r w:rsidR="004B00E6" w:rsidRPr="00F43E2F">
        <w:rPr>
          <w:rFonts w:ascii="Calibri" w:hAnsi="Calibri" w:cs="Calibri"/>
          <w:sz w:val="24"/>
        </w:rPr>
        <w:t xml:space="preserve">. </w:t>
      </w:r>
      <w:r w:rsidR="00F7795B" w:rsidRPr="00F43E2F">
        <w:rPr>
          <w:rFonts w:ascii="Calibri" w:hAnsi="Calibri" w:cs="Calibri"/>
          <w:sz w:val="24"/>
        </w:rPr>
        <w:t>Č</w:t>
      </w:r>
      <w:r w:rsidR="00C23D1D" w:rsidRPr="00F43E2F">
        <w:rPr>
          <w:rFonts w:ascii="Calibri" w:hAnsi="Calibri" w:cs="Calibri"/>
          <w:sz w:val="24"/>
        </w:rPr>
        <w:t>ást datového centra</w:t>
      </w:r>
      <w:r w:rsidR="00F7795B" w:rsidRPr="00F43E2F">
        <w:rPr>
          <w:rFonts w:ascii="Calibri" w:hAnsi="Calibri" w:cs="Calibri"/>
          <w:sz w:val="24"/>
        </w:rPr>
        <w:t xml:space="preserve"> nezbytn</w:t>
      </w:r>
      <w:r w:rsidR="00DD2712">
        <w:rPr>
          <w:rFonts w:ascii="Calibri" w:hAnsi="Calibri" w:cs="Calibri"/>
          <w:sz w:val="24"/>
        </w:rPr>
        <w:t>ou</w:t>
      </w:r>
      <w:r w:rsidR="00C23D1D" w:rsidRPr="00F43E2F">
        <w:rPr>
          <w:rFonts w:ascii="Calibri" w:hAnsi="Calibri" w:cs="Calibri"/>
          <w:sz w:val="24"/>
        </w:rPr>
        <w:t xml:space="preserve"> pro provoz </w:t>
      </w:r>
      <w:r w:rsidR="007146A0" w:rsidRPr="001139A0">
        <w:rPr>
          <w:rFonts w:ascii="Calibri" w:hAnsi="Calibri" w:cs="Calibri"/>
          <w:i/>
          <w:sz w:val="24"/>
        </w:rPr>
        <w:t>Integrovaného informačního systému S</w:t>
      </w:r>
      <w:r w:rsidR="00C23D1D" w:rsidRPr="001139A0">
        <w:rPr>
          <w:rFonts w:ascii="Calibri" w:hAnsi="Calibri" w:cs="Calibri"/>
          <w:i/>
          <w:sz w:val="24"/>
        </w:rPr>
        <w:t>tátní pokladny</w:t>
      </w:r>
      <w:r w:rsidR="00C23D1D" w:rsidRPr="00F43E2F">
        <w:rPr>
          <w:rFonts w:ascii="Calibri" w:hAnsi="Calibri" w:cs="Calibri"/>
          <w:sz w:val="24"/>
        </w:rPr>
        <w:t xml:space="preserve"> </w:t>
      </w:r>
      <w:r w:rsidR="007146A0" w:rsidRPr="00F43E2F">
        <w:rPr>
          <w:rFonts w:ascii="Calibri" w:hAnsi="Calibri" w:cs="Calibri"/>
          <w:sz w:val="24"/>
        </w:rPr>
        <w:t>(dále také „provoz státní pokladny“)</w:t>
      </w:r>
      <w:r w:rsidR="00F7795B" w:rsidRPr="00F43E2F">
        <w:rPr>
          <w:rFonts w:ascii="Calibri" w:hAnsi="Calibri" w:cs="Calibri"/>
          <w:sz w:val="24"/>
        </w:rPr>
        <w:t xml:space="preserve"> zprovoznila</w:t>
      </w:r>
      <w:r w:rsidR="007146A0" w:rsidRPr="00F43E2F">
        <w:rPr>
          <w:rFonts w:ascii="Calibri" w:hAnsi="Calibri" w:cs="Calibri"/>
          <w:sz w:val="24"/>
        </w:rPr>
        <w:t xml:space="preserve"> </w:t>
      </w:r>
      <w:r w:rsidR="00BA7E1D" w:rsidRPr="00F43E2F">
        <w:rPr>
          <w:rFonts w:ascii="Calibri" w:hAnsi="Calibri" w:cs="Calibri"/>
          <w:sz w:val="24"/>
        </w:rPr>
        <w:t xml:space="preserve">STC </w:t>
      </w:r>
      <w:r w:rsidR="00C23D1D" w:rsidRPr="00F43E2F">
        <w:rPr>
          <w:rFonts w:ascii="Calibri" w:hAnsi="Calibri" w:cs="Calibri"/>
          <w:sz w:val="24"/>
        </w:rPr>
        <w:t>ve</w:t>
      </w:r>
      <w:r w:rsidR="00DD2712">
        <w:rPr>
          <w:rFonts w:ascii="Calibri" w:hAnsi="Calibri" w:cs="Calibri"/>
          <w:sz w:val="24"/>
        </w:rPr>
        <w:t xml:space="preserve"> </w:t>
      </w:r>
      <w:r w:rsidR="00C23D1D" w:rsidRPr="00F43E2F">
        <w:rPr>
          <w:rFonts w:ascii="Calibri" w:hAnsi="Calibri" w:cs="Calibri"/>
          <w:sz w:val="24"/>
        </w:rPr>
        <w:t>stávající</w:t>
      </w:r>
      <w:r w:rsidR="00000E49" w:rsidRPr="00F43E2F">
        <w:rPr>
          <w:rFonts w:ascii="Calibri" w:hAnsi="Calibri" w:cs="Calibri"/>
          <w:sz w:val="24"/>
        </w:rPr>
        <w:t>m</w:t>
      </w:r>
      <w:r w:rsidR="00C23D1D" w:rsidRPr="00F43E2F">
        <w:rPr>
          <w:rFonts w:ascii="Calibri" w:hAnsi="Calibri" w:cs="Calibri"/>
          <w:sz w:val="24"/>
        </w:rPr>
        <w:t xml:space="preserve"> </w:t>
      </w:r>
      <w:r w:rsidR="00000E49" w:rsidRPr="00F43E2F">
        <w:rPr>
          <w:rFonts w:ascii="Calibri" w:hAnsi="Calibri" w:cs="Calibri"/>
          <w:sz w:val="24"/>
        </w:rPr>
        <w:t>objektu</w:t>
      </w:r>
      <w:r w:rsidR="00C23D1D" w:rsidRPr="00F43E2F">
        <w:rPr>
          <w:rFonts w:ascii="Calibri" w:hAnsi="Calibri" w:cs="Calibri"/>
          <w:sz w:val="24"/>
        </w:rPr>
        <w:t xml:space="preserve"> koncem roku 2009. </w:t>
      </w:r>
      <w:r w:rsidR="00D509B1" w:rsidRPr="00F43E2F">
        <w:rPr>
          <w:rFonts w:ascii="Calibri" w:hAnsi="Calibri" w:cs="Calibri"/>
          <w:sz w:val="24"/>
        </w:rPr>
        <w:t xml:space="preserve">Další prostory </w:t>
      </w:r>
      <w:r w:rsidR="00A54897" w:rsidRPr="00F43E2F">
        <w:rPr>
          <w:rFonts w:ascii="Calibri" w:hAnsi="Calibri" w:cs="Calibri"/>
          <w:sz w:val="24"/>
        </w:rPr>
        <w:t>chtěla</w:t>
      </w:r>
      <w:r w:rsidR="00D509B1" w:rsidRPr="00F43E2F">
        <w:rPr>
          <w:rFonts w:ascii="Calibri" w:hAnsi="Calibri" w:cs="Calibri"/>
          <w:sz w:val="24"/>
        </w:rPr>
        <w:t xml:space="preserve"> STC </w:t>
      </w:r>
      <w:r w:rsidR="00000E49" w:rsidRPr="00F43E2F">
        <w:rPr>
          <w:rFonts w:ascii="Calibri" w:hAnsi="Calibri" w:cs="Calibri"/>
          <w:sz w:val="24"/>
        </w:rPr>
        <w:t xml:space="preserve">ve svém areálu </w:t>
      </w:r>
      <w:r w:rsidR="00D509B1" w:rsidRPr="00F43E2F">
        <w:rPr>
          <w:rFonts w:ascii="Calibri" w:hAnsi="Calibri" w:cs="Calibri"/>
          <w:sz w:val="24"/>
        </w:rPr>
        <w:t>vybudovat</w:t>
      </w:r>
      <w:r w:rsidR="00A54897" w:rsidRPr="00F43E2F">
        <w:rPr>
          <w:rFonts w:ascii="Calibri" w:hAnsi="Calibri" w:cs="Calibri"/>
          <w:sz w:val="24"/>
        </w:rPr>
        <w:t xml:space="preserve"> </w:t>
      </w:r>
      <w:r w:rsidR="00000E49" w:rsidRPr="00F43E2F">
        <w:rPr>
          <w:rFonts w:ascii="Calibri" w:hAnsi="Calibri" w:cs="Calibri"/>
          <w:sz w:val="24"/>
        </w:rPr>
        <w:t>jako nový objekt</w:t>
      </w:r>
      <w:r w:rsidR="00D509B1" w:rsidRPr="00F43E2F">
        <w:rPr>
          <w:rFonts w:ascii="Calibri" w:hAnsi="Calibri" w:cs="Calibri"/>
          <w:sz w:val="24"/>
        </w:rPr>
        <w:t xml:space="preserve">. </w:t>
      </w:r>
      <w:r w:rsidR="00B07C66" w:rsidRPr="00F43E2F">
        <w:rPr>
          <w:rFonts w:ascii="Calibri" w:hAnsi="Calibri" w:cs="Calibri"/>
          <w:sz w:val="24"/>
        </w:rPr>
        <w:t xml:space="preserve">Opoždění přípravy datového centra bylo </w:t>
      </w:r>
      <w:r w:rsidR="00497918" w:rsidRPr="00F43E2F">
        <w:rPr>
          <w:rFonts w:ascii="Calibri" w:hAnsi="Calibri" w:cs="Calibri"/>
          <w:sz w:val="24"/>
        </w:rPr>
        <w:t xml:space="preserve">provázeno </w:t>
      </w:r>
      <w:r w:rsidR="00B07C66" w:rsidRPr="00F43E2F">
        <w:rPr>
          <w:rFonts w:ascii="Calibri" w:hAnsi="Calibri" w:cs="Calibri"/>
          <w:sz w:val="24"/>
        </w:rPr>
        <w:t xml:space="preserve">nedostatečnou součinností </w:t>
      </w:r>
      <w:r w:rsidR="00DD2712">
        <w:rPr>
          <w:rFonts w:ascii="Calibri" w:hAnsi="Calibri" w:cs="Calibri"/>
          <w:sz w:val="24"/>
        </w:rPr>
        <w:t xml:space="preserve">mezi </w:t>
      </w:r>
      <w:r w:rsidR="00B07C66" w:rsidRPr="00F43E2F">
        <w:rPr>
          <w:rFonts w:ascii="Calibri" w:hAnsi="Calibri" w:cs="Calibri"/>
          <w:sz w:val="24"/>
        </w:rPr>
        <w:t xml:space="preserve">MF </w:t>
      </w:r>
      <w:r w:rsidR="00DD2712">
        <w:rPr>
          <w:rFonts w:ascii="Calibri" w:hAnsi="Calibri" w:cs="Calibri"/>
          <w:sz w:val="24"/>
        </w:rPr>
        <w:t>a</w:t>
      </w:r>
      <w:r w:rsidR="00B07C66" w:rsidRPr="00F43E2F">
        <w:rPr>
          <w:rFonts w:ascii="Calibri" w:hAnsi="Calibri" w:cs="Calibri"/>
          <w:sz w:val="24"/>
        </w:rPr>
        <w:t xml:space="preserve"> STC</w:t>
      </w:r>
      <w:r w:rsidR="00497918" w:rsidRPr="00F43E2F">
        <w:rPr>
          <w:rFonts w:ascii="Calibri" w:hAnsi="Calibri" w:cs="Calibri"/>
          <w:sz w:val="24"/>
        </w:rPr>
        <w:t>. I</w:t>
      </w:r>
      <w:r w:rsidR="00B07C66" w:rsidRPr="00F43E2F">
        <w:rPr>
          <w:rFonts w:ascii="Calibri" w:hAnsi="Calibri" w:cs="Calibri"/>
          <w:sz w:val="24"/>
        </w:rPr>
        <w:t xml:space="preserve"> přes opakovanou urgenci </w:t>
      </w:r>
      <w:r w:rsidR="00767D09" w:rsidRPr="00F43E2F">
        <w:rPr>
          <w:rFonts w:ascii="Calibri" w:hAnsi="Calibri" w:cs="Calibri"/>
          <w:sz w:val="24"/>
        </w:rPr>
        <w:t xml:space="preserve">STC </w:t>
      </w:r>
      <w:r w:rsidR="00497918" w:rsidRPr="00F43E2F">
        <w:rPr>
          <w:rFonts w:ascii="Calibri" w:hAnsi="Calibri" w:cs="Calibri"/>
          <w:sz w:val="24"/>
        </w:rPr>
        <w:t xml:space="preserve">neuzavřelo </w:t>
      </w:r>
      <w:r w:rsidR="008306BB" w:rsidRPr="00F43E2F">
        <w:rPr>
          <w:rFonts w:ascii="Calibri" w:hAnsi="Calibri" w:cs="Calibri"/>
          <w:sz w:val="24"/>
        </w:rPr>
        <w:t xml:space="preserve">MF </w:t>
      </w:r>
      <w:r w:rsidR="00497918" w:rsidRPr="00F43E2F">
        <w:rPr>
          <w:rFonts w:ascii="Calibri" w:hAnsi="Calibri" w:cs="Calibri"/>
          <w:sz w:val="24"/>
        </w:rPr>
        <w:t xml:space="preserve">se státním podnikem </w:t>
      </w:r>
      <w:r w:rsidR="00390149" w:rsidRPr="00F43E2F">
        <w:rPr>
          <w:rFonts w:ascii="Calibri" w:hAnsi="Calibri" w:cs="Calibri"/>
          <w:sz w:val="24"/>
        </w:rPr>
        <w:t>smlouvu o </w:t>
      </w:r>
      <w:r w:rsidR="00B07C66" w:rsidRPr="00F43E2F">
        <w:rPr>
          <w:rFonts w:ascii="Calibri" w:hAnsi="Calibri" w:cs="Calibri"/>
          <w:sz w:val="24"/>
        </w:rPr>
        <w:t xml:space="preserve">spolupráci při zajištění výstavby datového centra a </w:t>
      </w:r>
      <w:r w:rsidR="00BE34BE" w:rsidRPr="00F43E2F">
        <w:rPr>
          <w:rFonts w:ascii="Calibri" w:hAnsi="Calibri" w:cs="Calibri"/>
          <w:sz w:val="24"/>
        </w:rPr>
        <w:t xml:space="preserve">jeho </w:t>
      </w:r>
      <w:r w:rsidR="00B07C66" w:rsidRPr="00F43E2F">
        <w:rPr>
          <w:rFonts w:ascii="Calibri" w:hAnsi="Calibri" w:cs="Calibri"/>
          <w:sz w:val="24"/>
        </w:rPr>
        <w:t xml:space="preserve">technické požadavky </w:t>
      </w:r>
      <w:r w:rsidR="00767D09" w:rsidRPr="00F43E2F">
        <w:rPr>
          <w:rFonts w:ascii="Calibri" w:hAnsi="Calibri" w:cs="Calibri"/>
          <w:sz w:val="24"/>
        </w:rPr>
        <w:t xml:space="preserve">MF </w:t>
      </w:r>
      <w:r w:rsidR="00390149" w:rsidRPr="00F43E2F">
        <w:rPr>
          <w:rFonts w:ascii="Calibri" w:hAnsi="Calibri" w:cs="Calibri"/>
          <w:sz w:val="24"/>
        </w:rPr>
        <w:t>definovalo a </w:t>
      </w:r>
      <w:r w:rsidR="00B07C66" w:rsidRPr="00F43E2F">
        <w:rPr>
          <w:rFonts w:ascii="Calibri" w:hAnsi="Calibri" w:cs="Calibri"/>
          <w:sz w:val="24"/>
        </w:rPr>
        <w:t>předalo STC až v polovině roku 2007.</w:t>
      </w:r>
      <w:r w:rsidR="00181936" w:rsidRPr="00F43E2F">
        <w:rPr>
          <w:rFonts w:ascii="Calibri" w:hAnsi="Calibri" w:cs="Calibri"/>
          <w:sz w:val="24"/>
        </w:rPr>
        <w:t xml:space="preserve"> 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B63E4E" w:rsidRDefault="00766383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>V září 2005</w:t>
      </w:r>
      <w:r w:rsidR="00C460F4" w:rsidRPr="00F43E2F">
        <w:rPr>
          <w:rFonts w:ascii="Calibri" w:hAnsi="Calibri" w:cs="Calibri"/>
          <w:sz w:val="24"/>
        </w:rPr>
        <w:t xml:space="preserve"> MF uzavřelo smlouvu s externím dodavatelem na zpracování úvodní studie stavby datového centra. STC tuto studii od MF převzala a zadala vypracování projektové dokumentace pro územní řízení stejnému dodavateli. STC </w:t>
      </w:r>
      <w:r w:rsidR="00C14350" w:rsidRPr="00F43E2F">
        <w:rPr>
          <w:rFonts w:ascii="Calibri" w:hAnsi="Calibri" w:cs="Calibri"/>
          <w:sz w:val="24"/>
        </w:rPr>
        <w:t>si</w:t>
      </w:r>
      <w:r w:rsidR="00640F24" w:rsidRPr="00F43E2F">
        <w:rPr>
          <w:rFonts w:ascii="Calibri" w:hAnsi="Calibri" w:cs="Calibri"/>
          <w:sz w:val="24"/>
        </w:rPr>
        <w:t xml:space="preserve"> poté </w:t>
      </w:r>
      <w:r w:rsidR="00C460F4" w:rsidRPr="00F43E2F">
        <w:rPr>
          <w:rFonts w:ascii="Calibri" w:hAnsi="Calibri" w:cs="Calibri"/>
          <w:sz w:val="24"/>
        </w:rPr>
        <w:t>nechala vypracovat stanovisko od České komory autorizovaných inženýrů a techniků činných ve výst</w:t>
      </w:r>
      <w:r w:rsidR="00580152" w:rsidRPr="00F43E2F">
        <w:rPr>
          <w:rFonts w:ascii="Calibri" w:hAnsi="Calibri" w:cs="Calibri"/>
          <w:sz w:val="24"/>
        </w:rPr>
        <w:t>avbě se závěrem, že do studie a </w:t>
      </w:r>
      <w:r w:rsidR="00C460F4" w:rsidRPr="00F43E2F">
        <w:rPr>
          <w:rFonts w:ascii="Calibri" w:hAnsi="Calibri" w:cs="Calibri"/>
          <w:sz w:val="24"/>
        </w:rPr>
        <w:t>projektové dokumentace pro územní řízení byla vložena invence autora</w:t>
      </w:r>
      <w:r w:rsidR="00640F24" w:rsidRPr="00F43E2F">
        <w:rPr>
          <w:rFonts w:ascii="Calibri" w:hAnsi="Calibri" w:cs="Calibri"/>
          <w:sz w:val="24"/>
        </w:rPr>
        <w:t xml:space="preserve">, </w:t>
      </w:r>
      <w:r w:rsidR="00F7795B" w:rsidRPr="00F43E2F">
        <w:rPr>
          <w:rFonts w:ascii="Calibri" w:hAnsi="Calibri" w:cs="Calibri"/>
          <w:sz w:val="24"/>
        </w:rPr>
        <w:t xml:space="preserve">a ten </w:t>
      </w:r>
      <w:r w:rsidR="00C460F4" w:rsidRPr="00F43E2F">
        <w:rPr>
          <w:rFonts w:ascii="Calibri" w:hAnsi="Calibri" w:cs="Calibri"/>
          <w:sz w:val="24"/>
        </w:rPr>
        <w:t>m</w:t>
      </w:r>
      <w:r w:rsidR="00640F24" w:rsidRPr="00F43E2F">
        <w:rPr>
          <w:rFonts w:ascii="Calibri" w:hAnsi="Calibri" w:cs="Calibri"/>
          <w:sz w:val="24"/>
        </w:rPr>
        <w:t>á</w:t>
      </w:r>
      <w:r w:rsidR="00C460F4" w:rsidRPr="00F43E2F">
        <w:rPr>
          <w:rFonts w:ascii="Calibri" w:hAnsi="Calibri" w:cs="Calibri"/>
          <w:sz w:val="24"/>
        </w:rPr>
        <w:t xml:space="preserve"> </w:t>
      </w:r>
      <w:r w:rsidR="00DD2712">
        <w:rPr>
          <w:rFonts w:ascii="Calibri" w:hAnsi="Calibri" w:cs="Calibri"/>
          <w:sz w:val="24"/>
        </w:rPr>
        <w:t>tudíž</w:t>
      </w:r>
      <w:r w:rsidR="00F7795B" w:rsidRPr="00F43E2F">
        <w:rPr>
          <w:rFonts w:ascii="Calibri" w:hAnsi="Calibri" w:cs="Calibri"/>
          <w:sz w:val="24"/>
        </w:rPr>
        <w:t xml:space="preserve"> </w:t>
      </w:r>
      <w:r w:rsidR="00C460F4" w:rsidRPr="00F43E2F">
        <w:rPr>
          <w:rFonts w:ascii="Calibri" w:hAnsi="Calibri" w:cs="Calibri"/>
          <w:sz w:val="24"/>
        </w:rPr>
        <w:t xml:space="preserve">právo užívat autorských práv. Na základě tohoto stanoviska zadala STC vypracování projektové dokumentace pro stavební povolení a provedení stavby v jednacím řízení bez uveřejnění s odkazem na autorská práva. </w:t>
      </w:r>
      <w:r w:rsidR="00B63E4E" w:rsidRPr="00F43E2F">
        <w:rPr>
          <w:rFonts w:ascii="Calibri" w:hAnsi="Calibri" w:cs="Calibri"/>
          <w:sz w:val="24"/>
        </w:rPr>
        <w:t>Generálním projektantem stavby datového centra se tak stala společnost, která vypracovala úvodní studii a projektovou dokumentaci pro územní řízení.</w:t>
      </w:r>
    </w:p>
    <w:p w:rsid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D05474" w:rsidRDefault="00D05474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Z předmětu výše uvedené smlouvy </w:t>
      </w:r>
      <w:r w:rsidR="007F7CBB" w:rsidRPr="00F43E2F">
        <w:rPr>
          <w:rFonts w:ascii="Calibri" w:hAnsi="Calibri" w:cs="Calibri"/>
          <w:sz w:val="24"/>
        </w:rPr>
        <w:t xml:space="preserve">na </w:t>
      </w:r>
      <w:r w:rsidRPr="00F43E2F">
        <w:rPr>
          <w:rFonts w:ascii="Calibri" w:hAnsi="Calibri" w:cs="Calibri"/>
          <w:sz w:val="24"/>
        </w:rPr>
        <w:t>zpracování projektové dokumentace pro stavební povolení a provedení stavby STC vyjmula zpracování projektové dokumentace, která zahrnovala vybrané části technologie datového centra (vč. záložního zdroje UPS</w:t>
      </w:r>
      <w:r w:rsidRPr="00F43E2F">
        <w:rPr>
          <w:rStyle w:val="Znakapoznpodarou"/>
          <w:rFonts w:ascii="Calibri" w:hAnsi="Calibri" w:cs="Calibri"/>
          <w:sz w:val="24"/>
        </w:rPr>
        <w:footnoteReference w:id="13"/>
      </w:r>
      <w:r w:rsidRPr="00F43E2F">
        <w:rPr>
          <w:rFonts w:ascii="Calibri" w:hAnsi="Calibri" w:cs="Calibri"/>
          <w:sz w:val="24"/>
        </w:rPr>
        <w:t xml:space="preserve">). V zadávací dokumentaci si STC vyhradila jako dodavatele této části projektové dokumentace společnost, která </w:t>
      </w:r>
      <w:r w:rsidR="000D573D" w:rsidRPr="00F43E2F">
        <w:rPr>
          <w:rFonts w:ascii="Calibri" w:hAnsi="Calibri" w:cs="Calibri"/>
          <w:sz w:val="24"/>
        </w:rPr>
        <w:t>od </w:t>
      </w:r>
      <w:r w:rsidR="00E51784" w:rsidRPr="00F43E2F">
        <w:rPr>
          <w:rFonts w:ascii="Calibri" w:hAnsi="Calibri" w:cs="Calibri"/>
          <w:sz w:val="24"/>
        </w:rPr>
        <w:t>počátečních fází přípravy datového centra byla poradce</w:t>
      </w:r>
      <w:r w:rsidR="00580152" w:rsidRPr="00F43E2F">
        <w:rPr>
          <w:rFonts w:ascii="Calibri" w:hAnsi="Calibri" w:cs="Calibri"/>
          <w:sz w:val="24"/>
        </w:rPr>
        <w:t>m pro stavbu a technologii a </w:t>
      </w:r>
      <w:r w:rsidR="00E51784" w:rsidRPr="00F43E2F">
        <w:rPr>
          <w:rFonts w:ascii="Calibri" w:hAnsi="Calibri" w:cs="Calibri"/>
          <w:sz w:val="24"/>
        </w:rPr>
        <w:t xml:space="preserve">následně </w:t>
      </w:r>
      <w:r w:rsidR="000D573D" w:rsidRPr="00F43E2F">
        <w:rPr>
          <w:rFonts w:ascii="Calibri" w:hAnsi="Calibri" w:cs="Calibri"/>
          <w:sz w:val="24"/>
        </w:rPr>
        <w:t>se </w:t>
      </w:r>
      <w:r w:rsidR="00E51784" w:rsidRPr="00F43E2F">
        <w:rPr>
          <w:rFonts w:ascii="Calibri" w:hAnsi="Calibri" w:cs="Calibri"/>
          <w:sz w:val="24"/>
        </w:rPr>
        <w:t>stala i vítězem soutěže na zhotovitele stavby.</w:t>
      </w:r>
      <w:r w:rsidRPr="00F43E2F">
        <w:rPr>
          <w:rFonts w:ascii="Calibri" w:hAnsi="Calibri" w:cs="Calibri"/>
          <w:sz w:val="24"/>
        </w:rPr>
        <w:t xml:space="preserve"> Uvedená společnost vypracovala na objednávku STC zmiňovanou část projektové dokumentace pro stavební povolení. 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D05474" w:rsidRDefault="00E51784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STC </w:t>
      </w:r>
      <w:r w:rsidR="009B58F3" w:rsidRPr="00F43E2F">
        <w:rPr>
          <w:rFonts w:ascii="Calibri" w:hAnsi="Calibri" w:cs="Calibri"/>
          <w:sz w:val="24"/>
        </w:rPr>
        <w:t>ke</w:t>
      </w:r>
      <w:r w:rsidRPr="00F43E2F">
        <w:rPr>
          <w:rFonts w:ascii="Calibri" w:hAnsi="Calibri" w:cs="Calibri"/>
          <w:sz w:val="24"/>
        </w:rPr>
        <w:t xml:space="preserve"> smlouvě </w:t>
      </w:r>
      <w:r w:rsidR="009B58F3" w:rsidRPr="00F43E2F">
        <w:rPr>
          <w:rFonts w:ascii="Calibri" w:hAnsi="Calibri" w:cs="Calibri"/>
          <w:sz w:val="24"/>
        </w:rPr>
        <w:t xml:space="preserve">s generálním projektantem </w:t>
      </w:r>
      <w:r w:rsidRPr="00F43E2F">
        <w:rPr>
          <w:rFonts w:ascii="Calibri" w:hAnsi="Calibri" w:cs="Calibri"/>
          <w:sz w:val="24"/>
        </w:rPr>
        <w:t xml:space="preserve">uzavřela </w:t>
      </w:r>
      <w:r w:rsidR="0030132A" w:rsidRPr="00F43E2F">
        <w:rPr>
          <w:rFonts w:ascii="Calibri" w:hAnsi="Calibri" w:cs="Calibri"/>
          <w:sz w:val="24"/>
        </w:rPr>
        <w:t>sedm</w:t>
      </w:r>
      <w:r w:rsidRPr="00F43E2F">
        <w:rPr>
          <w:rFonts w:ascii="Calibri" w:hAnsi="Calibri" w:cs="Calibri"/>
          <w:sz w:val="24"/>
        </w:rPr>
        <w:t xml:space="preserve"> dodatků. Jedním z nich byl dodatek na zpracování projektové dokumentace pro provedení stavby technologické části. </w:t>
      </w:r>
      <w:r w:rsidRPr="00F43E2F">
        <w:rPr>
          <w:rFonts w:ascii="Calibri" w:hAnsi="Calibri" w:cs="Calibri"/>
          <w:b/>
          <w:sz w:val="24"/>
        </w:rPr>
        <w:t xml:space="preserve">STC porušila </w:t>
      </w:r>
      <w:r w:rsidRPr="00F43E2F">
        <w:rPr>
          <w:rFonts w:ascii="Calibri" w:hAnsi="Calibri" w:cs="Calibri"/>
          <w:b/>
          <w:sz w:val="24"/>
        </w:rPr>
        <w:lastRenderedPageBreak/>
        <w:t>zákon o veřejných zakázkách, neboť zpracování této dokumentace zadala v jednacím řízení bez uveřejnění, aniž byly splněny podmínky pro tento způsob zadání.</w:t>
      </w:r>
      <w:r w:rsidRPr="00F43E2F">
        <w:rPr>
          <w:rFonts w:ascii="Calibri" w:hAnsi="Calibri" w:cs="Calibri"/>
          <w:sz w:val="24"/>
        </w:rPr>
        <w:t xml:space="preserve"> Zpracování prováděcí dokumentace technologické části stavby bylo v kontrolovaném případě nezbytnou součástí projektových činností, a proto nemohla potřeba jejího zpracování vzniknout v důsledku okolností objektivně nepředvídaných</w:t>
      </w:r>
      <w:r w:rsidR="00EC1412" w:rsidRPr="00F43E2F">
        <w:rPr>
          <w:rStyle w:val="Znakapoznpodarou"/>
          <w:rFonts w:ascii="Calibri" w:hAnsi="Calibri" w:cs="Calibri"/>
          <w:sz w:val="24"/>
        </w:rPr>
        <w:footnoteReference w:id="14"/>
      </w:r>
      <w:r w:rsidRPr="00F43E2F">
        <w:rPr>
          <w:rFonts w:ascii="Calibri" w:hAnsi="Calibri" w:cs="Calibri"/>
          <w:sz w:val="24"/>
        </w:rPr>
        <w:t>. Navíc byla povinnost jejího vypracování obsažena v zadávací dokumentaci a smlouvě na vypracování projektové dokumentace stavby datového centra.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D05474" w:rsidRPr="00F43E2F" w:rsidRDefault="00D05474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Veřejnou zakázku na realizaci stavby datového centra zadala STC formou otevřeného </w:t>
      </w:r>
      <w:r w:rsidR="00865B17" w:rsidRPr="00F43E2F">
        <w:rPr>
          <w:rFonts w:ascii="Calibri" w:hAnsi="Calibri" w:cs="Calibri"/>
          <w:sz w:val="24"/>
        </w:rPr>
        <w:t xml:space="preserve">zadávacího </w:t>
      </w:r>
      <w:r w:rsidRPr="00F43E2F">
        <w:rPr>
          <w:rFonts w:ascii="Calibri" w:hAnsi="Calibri" w:cs="Calibri"/>
          <w:sz w:val="24"/>
        </w:rPr>
        <w:t>řízení.</w:t>
      </w:r>
    </w:p>
    <w:p w:rsid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D05474" w:rsidRDefault="00D05474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>V zadávací dokumentaci požadovala STC po uchazečích dodat tak</w:t>
      </w:r>
      <w:r w:rsidR="00390149" w:rsidRPr="00F43E2F">
        <w:rPr>
          <w:rFonts w:ascii="Calibri" w:hAnsi="Calibri" w:cs="Calibri"/>
          <w:sz w:val="24"/>
        </w:rPr>
        <w:t>ová technologická zařízení (vč. </w:t>
      </w:r>
      <w:r w:rsidRPr="00F43E2F">
        <w:rPr>
          <w:rFonts w:ascii="Calibri" w:hAnsi="Calibri" w:cs="Calibri"/>
          <w:sz w:val="24"/>
        </w:rPr>
        <w:t>záložních zdrojů UPS), kter</w:t>
      </w:r>
      <w:r w:rsidR="00865B17" w:rsidRPr="00F43E2F">
        <w:rPr>
          <w:rFonts w:ascii="Calibri" w:hAnsi="Calibri" w:cs="Calibri"/>
          <w:sz w:val="24"/>
        </w:rPr>
        <w:t>á</w:t>
      </w:r>
      <w:r w:rsidRPr="00F43E2F">
        <w:rPr>
          <w:rFonts w:ascii="Calibri" w:hAnsi="Calibri" w:cs="Calibri"/>
          <w:sz w:val="24"/>
        </w:rPr>
        <w:t xml:space="preserve"> splň</w:t>
      </w:r>
      <w:r w:rsidR="00DD2712">
        <w:rPr>
          <w:rFonts w:ascii="Calibri" w:hAnsi="Calibri" w:cs="Calibri"/>
          <w:sz w:val="24"/>
        </w:rPr>
        <w:t>ují</w:t>
      </w:r>
      <w:r w:rsidRPr="00F43E2F">
        <w:rPr>
          <w:rFonts w:ascii="Calibri" w:hAnsi="Calibri" w:cs="Calibri"/>
          <w:sz w:val="24"/>
        </w:rPr>
        <w:t xml:space="preserve"> </w:t>
      </w:r>
      <w:r w:rsidR="006D6421" w:rsidRPr="00F43E2F">
        <w:rPr>
          <w:rFonts w:ascii="Calibri" w:hAnsi="Calibri" w:cs="Calibri"/>
          <w:sz w:val="24"/>
        </w:rPr>
        <w:t xml:space="preserve">přesně definované </w:t>
      </w:r>
      <w:r w:rsidRPr="00F43E2F">
        <w:rPr>
          <w:rFonts w:ascii="Calibri" w:hAnsi="Calibri" w:cs="Calibri"/>
          <w:sz w:val="24"/>
        </w:rPr>
        <w:t>technické parametry</w:t>
      </w:r>
      <w:r w:rsidR="00DD2712">
        <w:rPr>
          <w:rFonts w:ascii="Calibri" w:hAnsi="Calibri" w:cs="Calibri"/>
          <w:sz w:val="24"/>
        </w:rPr>
        <w:t>,</w:t>
      </w:r>
      <w:r w:rsidRPr="00F43E2F">
        <w:rPr>
          <w:rFonts w:ascii="Calibri" w:hAnsi="Calibri" w:cs="Calibri"/>
          <w:sz w:val="24"/>
        </w:rPr>
        <w:t xml:space="preserve"> nebo popř. nabídnout taková zařízení, která vykazují lepší než definované parametry. 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767D09" w:rsidRPr="00F43E2F" w:rsidRDefault="00E51784" w:rsidP="00F43E2F">
      <w:pPr>
        <w:spacing w:after="0"/>
        <w:rPr>
          <w:rFonts w:ascii="Calibri" w:hAnsi="Calibri" w:cs="Calibri"/>
          <w:strike/>
          <w:sz w:val="24"/>
        </w:rPr>
      </w:pPr>
      <w:r w:rsidRPr="00F43E2F">
        <w:rPr>
          <w:rFonts w:ascii="Calibri" w:hAnsi="Calibri" w:cs="Calibri"/>
          <w:sz w:val="24"/>
        </w:rPr>
        <w:t>Nabídku podali tři uchazeči</w:t>
      </w:r>
      <w:r w:rsidR="00536D87">
        <w:rPr>
          <w:rFonts w:ascii="Calibri" w:hAnsi="Calibri" w:cs="Calibri"/>
          <w:sz w:val="24"/>
        </w:rPr>
        <w:t>, z toho</w:t>
      </w:r>
      <w:r w:rsidRPr="00F43E2F">
        <w:rPr>
          <w:rFonts w:ascii="Calibri" w:hAnsi="Calibri" w:cs="Calibri"/>
          <w:sz w:val="24"/>
        </w:rPr>
        <w:t xml:space="preserve"> </w:t>
      </w:r>
      <w:r w:rsidR="00536D87">
        <w:rPr>
          <w:rFonts w:ascii="Calibri" w:hAnsi="Calibri" w:cs="Calibri"/>
          <w:sz w:val="24"/>
        </w:rPr>
        <w:t>n</w:t>
      </w:r>
      <w:r w:rsidRPr="00F43E2F">
        <w:rPr>
          <w:rFonts w:ascii="Calibri" w:hAnsi="Calibri" w:cs="Calibri"/>
          <w:sz w:val="24"/>
        </w:rPr>
        <w:t>abídky dvo</w:t>
      </w:r>
      <w:r w:rsidR="00536D87">
        <w:rPr>
          <w:rFonts w:ascii="Calibri" w:hAnsi="Calibri" w:cs="Calibri"/>
          <w:sz w:val="24"/>
        </w:rPr>
        <w:t>u uchazečů, které byly o cca 50 mil. </w:t>
      </w:r>
      <w:r w:rsidRPr="00F43E2F">
        <w:rPr>
          <w:rFonts w:ascii="Calibri" w:hAnsi="Calibri" w:cs="Calibri"/>
          <w:sz w:val="24"/>
        </w:rPr>
        <w:t>Kč nižší, byly vyřazeny na základě znaleckých posudků s odůvodněním, že tyto nabídky nesplňují podmínky zadání, a to zejména v technologické části zahrnující zdroje UPS.</w:t>
      </w:r>
      <w:r w:rsidR="00825EAC" w:rsidRPr="00F43E2F">
        <w:rPr>
          <w:rFonts w:ascii="Calibri" w:hAnsi="Calibri" w:cs="Calibri"/>
          <w:sz w:val="24"/>
        </w:rPr>
        <w:t xml:space="preserve"> </w:t>
      </w:r>
      <w:r w:rsidR="00865B17" w:rsidRPr="00F43E2F">
        <w:rPr>
          <w:rFonts w:ascii="Calibri" w:hAnsi="Calibri" w:cs="Calibri"/>
          <w:sz w:val="24"/>
        </w:rPr>
        <w:t>Jinými slovy</w:t>
      </w:r>
      <w:r w:rsidR="00536D87">
        <w:rPr>
          <w:rFonts w:ascii="Calibri" w:hAnsi="Calibri" w:cs="Calibri"/>
          <w:sz w:val="24"/>
        </w:rPr>
        <w:t xml:space="preserve"> řečeno</w:t>
      </w:r>
      <w:r w:rsidR="00865B17" w:rsidRPr="00F43E2F">
        <w:rPr>
          <w:rFonts w:ascii="Calibri" w:hAnsi="Calibri" w:cs="Calibri"/>
          <w:sz w:val="24"/>
        </w:rPr>
        <w:t xml:space="preserve">, </w:t>
      </w:r>
      <w:r w:rsidR="00865B17" w:rsidRPr="00F43E2F">
        <w:rPr>
          <w:rFonts w:ascii="Calibri" w:hAnsi="Calibri" w:cs="Calibri"/>
          <w:b/>
          <w:sz w:val="24"/>
        </w:rPr>
        <w:t xml:space="preserve">jediný uchazeč, který nebyl vyloučen </w:t>
      </w:r>
      <w:r w:rsidR="000D6722" w:rsidRPr="00F43E2F">
        <w:rPr>
          <w:rFonts w:ascii="Calibri" w:hAnsi="Calibri" w:cs="Calibri"/>
          <w:b/>
          <w:sz w:val="24"/>
        </w:rPr>
        <w:t>v průběhu zadávacího řízení</w:t>
      </w:r>
      <w:r w:rsidR="00865B17" w:rsidRPr="00F43E2F">
        <w:rPr>
          <w:rFonts w:ascii="Calibri" w:hAnsi="Calibri" w:cs="Calibri"/>
          <w:b/>
          <w:sz w:val="24"/>
        </w:rPr>
        <w:t>, byl dodavatel projektové dokumentace pro stavební povolení k této technologii. Jeho nabídka přesně odpovídala parametrům v zadávací dokumentaci, která vznikla</w:t>
      </w:r>
      <w:r w:rsidR="00536D87">
        <w:rPr>
          <w:rFonts w:ascii="Calibri" w:hAnsi="Calibri" w:cs="Calibri"/>
          <w:b/>
          <w:sz w:val="24"/>
        </w:rPr>
        <w:t xml:space="preserve"> z projektové dokumentace vytvořené tímto uchazečem</w:t>
      </w:r>
      <w:r w:rsidR="00865B17" w:rsidRPr="00EF77A8">
        <w:rPr>
          <w:rFonts w:ascii="Calibri" w:hAnsi="Calibri" w:cs="Calibri"/>
          <w:b/>
          <w:sz w:val="24"/>
        </w:rPr>
        <w:t>.</w:t>
      </w:r>
      <w:r w:rsidR="00865B17" w:rsidRPr="00F43E2F">
        <w:rPr>
          <w:rFonts w:ascii="Calibri" w:hAnsi="Calibri" w:cs="Calibri"/>
          <w:sz w:val="24"/>
        </w:rPr>
        <w:t xml:space="preserve"> </w:t>
      </w:r>
    </w:p>
    <w:p w:rsid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FC753E" w:rsidRDefault="001C235A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STC za přípravu a realizaci stavby datového centra uhradila </w:t>
      </w:r>
      <w:r w:rsidR="00536D87" w:rsidRPr="00F43E2F">
        <w:rPr>
          <w:rFonts w:ascii="Calibri" w:hAnsi="Calibri" w:cs="Calibri"/>
          <w:sz w:val="24"/>
        </w:rPr>
        <w:t xml:space="preserve">celkem </w:t>
      </w:r>
      <w:r w:rsidRPr="00F43E2F">
        <w:rPr>
          <w:rFonts w:ascii="Calibri" w:hAnsi="Calibri" w:cs="Calibri"/>
          <w:sz w:val="24"/>
        </w:rPr>
        <w:t>386 mil. Kč vč. DPH.</w:t>
      </w:r>
      <w:r w:rsidR="00E50DC0" w:rsidRPr="00F43E2F">
        <w:rPr>
          <w:rFonts w:ascii="Calibri" w:hAnsi="Calibri" w:cs="Calibri"/>
          <w:sz w:val="24"/>
        </w:rPr>
        <w:t xml:space="preserve"> 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FA0433" w:rsidRPr="00F43E2F" w:rsidRDefault="00F43E2F" w:rsidP="00F43E2F">
      <w:pPr>
        <w:spacing w:after="0"/>
        <w:rPr>
          <w:rFonts w:ascii="Calibri" w:hAnsi="Calibri" w:cs="Calibri"/>
          <w:b/>
          <w:sz w:val="24"/>
        </w:rPr>
      </w:pPr>
      <w:r w:rsidRPr="00F43E2F">
        <w:rPr>
          <w:rFonts w:ascii="Calibri" w:hAnsi="Calibri" w:cs="Calibri"/>
          <w:b/>
          <w:sz w:val="24"/>
        </w:rPr>
        <w:t xml:space="preserve">2.2 </w:t>
      </w:r>
      <w:r w:rsidR="00FA0433" w:rsidRPr="00F43E2F">
        <w:rPr>
          <w:rFonts w:ascii="Calibri" w:hAnsi="Calibri" w:cs="Calibri"/>
          <w:b/>
          <w:sz w:val="24"/>
        </w:rPr>
        <w:t>Provoz a využívání datových center</w:t>
      </w:r>
      <w:r w:rsidR="00A175DC" w:rsidRPr="00F43E2F">
        <w:rPr>
          <w:rFonts w:ascii="Calibri" w:hAnsi="Calibri" w:cs="Calibri"/>
          <w:b/>
          <w:sz w:val="24"/>
        </w:rPr>
        <w:t xml:space="preserve"> </w:t>
      </w:r>
      <w:r w:rsidR="00415166" w:rsidRPr="00F43E2F">
        <w:rPr>
          <w:rFonts w:ascii="Calibri" w:hAnsi="Calibri" w:cs="Calibri"/>
          <w:b/>
          <w:sz w:val="24"/>
        </w:rPr>
        <w:t>Státní tiskárny cenin</w:t>
      </w:r>
    </w:p>
    <w:p w:rsid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1D2849" w:rsidRDefault="001D2849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STC poskytuje MF </w:t>
      </w:r>
      <w:proofErr w:type="spellStart"/>
      <w:r w:rsidRPr="00F43E2F">
        <w:rPr>
          <w:rFonts w:ascii="Calibri" w:hAnsi="Calibri" w:cs="Calibri"/>
          <w:sz w:val="24"/>
        </w:rPr>
        <w:t>hostingové</w:t>
      </w:r>
      <w:proofErr w:type="spellEnd"/>
      <w:r w:rsidRPr="00F43E2F">
        <w:rPr>
          <w:rFonts w:ascii="Calibri" w:hAnsi="Calibri" w:cs="Calibri"/>
          <w:sz w:val="24"/>
        </w:rPr>
        <w:t xml:space="preserve"> služby datového centra od roku 2009 za účelem provozu státní pokladny a </w:t>
      </w:r>
      <w:r w:rsidR="00536D87">
        <w:rPr>
          <w:rFonts w:ascii="Calibri" w:hAnsi="Calibri" w:cs="Calibri"/>
          <w:sz w:val="24"/>
        </w:rPr>
        <w:t>současně mu poskytuje</w:t>
      </w:r>
      <w:r w:rsidRPr="00F43E2F">
        <w:rPr>
          <w:rFonts w:ascii="Calibri" w:hAnsi="Calibri" w:cs="Calibri"/>
          <w:sz w:val="24"/>
        </w:rPr>
        <w:t xml:space="preserve"> </w:t>
      </w:r>
      <w:r w:rsidR="00EF77A8" w:rsidRPr="00F43E2F">
        <w:rPr>
          <w:rFonts w:ascii="Calibri" w:hAnsi="Calibri" w:cs="Calibri"/>
          <w:sz w:val="24"/>
        </w:rPr>
        <w:t>s ní související</w:t>
      </w:r>
      <w:r w:rsidR="00EF77A8">
        <w:rPr>
          <w:rFonts w:ascii="Calibri" w:hAnsi="Calibri" w:cs="Calibri"/>
          <w:sz w:val="24"/>
        </w:rPr>
        <w:t xml:space="preserve"> </w:t>
      </w:r>
      <w:r w:rsidRPr="00F43E2F">
        <w:rPr>
          <w:rFonts w:ascii="Calibri" w:hAnsi="Calibri" w:cs="Calibri"/>
          <w:sz w:val="24"/>
        </w:rPr>
        <w:t xml:space="preserve">služby </w:t>
      </w:r>
      <w:proofErr w:type="spellStart"/>
      <w:r w:rsidRPr="00F43E2F">
        <w:rPr>
          <w:rFonts w:ascii="Calibri" w:hAnsi="Calibri" w:cs="Calibri"/>
          <w:sz w:val="24"/>
        </w:rPr>
        <w:t>Service</w:t>
      </w:r>
      <w:proofErr w:type="spellEnd"/>
      <w:r w:rsidRPr="00F43E2F">
        <w:rPr>
          <w:rFonts w:ascii="Calibri" w:hAnsi="Calibri" w:cs="Calibri"/>
          <w:sz w:val="24"/>
        </w:rPr>
        <w:t xml:space="preserve"> Desku</w:t>
      </w:r>
      <w:r w:rsidR="00E80712" w:rsidRPr="00F43E2F">
        <w:rPr>
          <w:rFonts w:ascii="Calibri" w:hAnsi="Calibri" w:cs="Calibri"/>
          <w:sz w:val="24"/>
        </w:rPr>
        <w:t xml:space="preserve"> (více v kap. 2.</w:t>
      </w:r>
      <w:r w:rsidR="00530AD0" w:rsidRPr="00F43E2F">
        <w:rPr>
          <w:rFonts w:ascii="Calibri" w:hAnsi="Calibri" w:cs="Calibri"/>
          <w:sz w:val="24"/>
        </w:rPr>
        <w:t>3.</w:t>
      </w:r>
      <w:r w:rsidR="00E80712" w:rsidRPr="00F43E2F">
        <w:rPr>
          <w:rFonts w:ascii="Calibri" w:hAnsi="Calibri" w:cs="Calibri"/>
          <w:sz w:val="24"/>
        </w:rPr>
        <w:t>1)</w:t>
      </w:r>
      <w:r w:rsidRPr="00F43E2F">
        <w:rPr>
          <w:rFonts w:ascii="Calibri" w:hAnsi="Calibri" w:cs="Calibri"/>
          <w:sz w:val="24"/>
        </w:rPr>
        <w:t xml:space="preserve">. V roce 2011 začala STC poskytovat služby datových center dalším dvěma subjektům. V polovině roku 2012 uvedla STC do zkušebního provozu nové datové centrum a současně uzavřela smlouvu se </w:t>
      </w:r>
      <w:r w:rsidR="00530AD0" w:rsidRPr="00F43E2F">
        <w:rPr>
          <w:rFonts w:ascii="Calibri" w:hAnsi="Calibri" w:cs="Calibri"/>
          <w:sz w:val="24"/>
        </w:rPr>
        <w:t>Správou základních registrů</w:t>
      </w:r>
      <w:r w:rsidR="00530AD0" w:rsidRPr="00F43E2F" w:rsidDel="00530AD0">
        <w:rPr>
          <w:rFonts w:ascii="Calibri" w:hAnsi="Calibri" w:cs="Calibri"/>
          <w:sz w:val="24"/>
        </w:rPr>
        <w:t xml:space="preserve"> </w:t>
      </w:r>
      <w:r w:rsidRPr="00F43E2F">
        <w:rPr>
          <w:rFonts w:ascii="Calibri" w:hAnsi="Calibri" w:cs="Calibri"/>
          <w:sz w:val="24"/>
        </w:rPr>
        <w:t xml:space="preserve">za účelem provozu základních registrů. </w:t>
      </w:r>
      <w:r w:rsidR="00530AD0" w:rsidRPr="00F43E2F">
        <w:rPr>
          <w:rFonts w:ascii="Calibri" w:hAnsi="Calibri" w:cs="Calibri"/>
          <w:sz w:val="24"/>
        </w:rPr>
        <w:t xml:space="preserve">Zkušební provoz v nově vybudovaných prostorech byl zahájen v druhém pololetí </w:t>
      </w:r>
      <w:r w:rsidR="00FB5364" w:rsidRPr="00F43E2F">
        <w:rPr>
          <w:rFonts w:ascii="Calibri" w:hAnsi="Calibri" w:cs="Calibri"/>
          <w:sz w:val="24"/>
        </w:rPr>
        <w:t xml:space="preserve">roku </w:t>
      </w:r>
      <w:r w:rsidR="00530AD0" w:rsidRPr="00F43E2F">
        <w:rPr>
          <w:rFonts w:ascii="Calibri" w:hAnsi="Calibri" w:cs="Calibri"/>
          <w:sz w:val="24"/>
        </w:rPr>
        <w:t xml:space="preserve">2012. </w:t>
      </w:r>
      <w:r w:rsidR="000329D8" w:rsidRPr="00F43E2F">
        <w:rPr>
          <w:rFonts w:ascii="Calibri" w:hAnsi="Calibri" w:cs="Calibri"/>
          <w:sz w:val="24"/>
        </w:rPr>
        <w:t>Následně po zahájení ostrého provozu</w:t>
      </w:r>
      <w:r w:rsidR="000329D8" w:rsidRPr="00F43E2F" w:rsidDel="000329D8">
        <w:rPr>
          <w:rFonts w:ascii="Calibri" w:hAnsi="Calibri" w:cs="Calibri"/>
          <w:sz w:val="24"/>
        </w:rPr>
        <w:t xml:space="preserve"> </w:t>
      </w:r>
      <w:r w:rsidRPr="00F43E2F">
        <w:rPr>
          <w:rFonts w:ascii="Calibri" w:hAnsi="Calibri" w:cs="Calibri"/>
          <w:sz w:val="24"/>
        </w:rPr>
        <w:t>počátkem roku 2013</w:t>
      </w:r>
      <w:r w:rsidR="000329D8" w:rsidRPr="00F43E2F">
        <w:rPr>
          <w:rFonts w:ascii="Calibri" w:hAnsi="Calibri" w:cs="Calibri"/>
          <w:sz w:val="24"/>
        </w:rPr>
        <w:t xml:space="preserve"> </w:t>
      </w:r>
      <w:r w:rsidR="00F7795B" w:rsidRPr="00F43E2F">
        <w:rPr>
          <w:rFonts w:ascii="Calibri" w:hAnsi="Calibri" w:cs="Calibri"/>
          <w:sz w:val="24"/>
        </w:rPr>
        <w:t>u</w:t>
      </w:r>
      <w:r w:rsidRPr="00F43E2F">
        <w:rPr>
          <w:rFonts w:ascii="Calibri" w:hAnsi="Calibri" w:cs="Calibri"/>
          <w:sz w:val="24"/>
        </w:rPr>
        <w:t>zavřela STC další tři smlouvy na poskytování služeb datového centra.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6A6B4C" w:rsidRDefault="006A6B4C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Podle </w:t>
      </w:r>
      <w:r w:rsidR="00536D87">
        <w:rPr>
          <w:rFonts w:ascii="Calibri" w:hAnsi="Calibri" w:cs="Calibri"/>
          <w:sz w:val="24"/>
        </w:rPr>
        <w:t>p</w:t>
      </w:r>
      <w:r w:rsidRPr="00F43E2F">
        <w:rPr>
          <w:rFonts w:ascii="Calibri" w:hAnsi="Calibri" w:cs="Calibri"/>
          <w:sz w:val="24"/>
        </w:rPr>
        <w:t>odnikatelského záměru STC, který vycházel ze strategie ICT</w:t>
      </w:r>
      <w:r w:rsidRPr="00F43E2F">
        <w:rPr>
          <w:rStyle w:val="Znakapoznpodarou"/>
          <w:rFonts w:ascii="Calibri" w:hAnsi="Calibri" w:cs="Calibri"/>
          <w:sz w:val="24"/>
        </w:rPr>
        <w:footnoteReference w:id="15"/>
      </w:r>
      <w:r w:rsidRPr="00F43E2F">
        <w:rPr>
          <w:rFonts w:ascii="Calibri" w:hAnsi="Calibri" w:cs="Calibri"/>
          <w:sz w:val="24"/>
        </w:rPr>
        <w:t xml:space="preserve"> resortu MF, měl být základní poskytovanou službou datového centra </w:t>
      </w:r>
      <w:proofErr w:type="spellStart"/>
      <w:r w:rsidRPr="00F43E2F">
        <w:rPr>
          <w:rFonts w:ascii="Calibri" w:hAnsi="Calibri" w:cs="Calibri"/>
          <w:sz w:val="24"/>
        </w:rPr>
        <w:t>hosting</w:t>
      </w:r>
      <w:proofErr w:type="spellEnd"/>
      <w:r w:rsidRPr="00F43E2F">
        <w:rPr>
          <w:rFonts w:ascii="Calibri" w:hAnsi="Calibri" w:cs="Calibri"/>
          <w:sz w:val="24"/>
        </w:rPr>
        <w:t xml:space="preserve"> zejména pro resort MF. S výjimkou smluv uzavřených s MF, jejichž předmětem bylo poskytování </w:t>
      </w:r>
      <w:proofErr w:type="spellStart"/>
      <w:r w:rsidRPr="00F43E2F">
        <w:rPr>
          <w:rFonts w:ascii="Calibri" w:hAnsi="Calibri" w:cs="Calibri"/>
          <w:sz w:val="24"/>
        </w:rPr>
        <w:t>hostingových</w:t>
      </w:r>
      <w:proofErr w:type="spellEnd"/>
      <w:r w:rsidRPr="00F43E2F">
        <w:rPr>
          <w:rFonts w:ascii="Calibri" w:hAnsi="Calibri" w:cs="Calibri"/>
          <w:sz w:val="24"/>
        </w:rPr>
        <w:t xml:space="preserve"> služeb, byl do </w:t>
      </w:r>
      <w:r w:rsidRPr="00F43E2F">
        <w:rPr>
          <w:rFonts w:ascii="Calibri" w:hAnsi="Calibri" w:cs="Calibri"/>
          <w:sz w:val="24"/>
        </w:rPr>
        <w:lastRenderedPageBreak/>
        <w:t xml:space="preserve">ukončení kontroly NKÚ předmětem všech ostatních smluv </w:t>
      </w:r>
      <w:proofErr w:type="spellStart"/>
      <w:r w:rsidRPr="00F43E2F">
        <w:rPr>
          <w:rFonts w:ascii="Calibri" w:hAnsi="Calibri" w:cs="Calibri"/>
          <w:sz w:val="24"/>
        </w:rPr>
        <w:t>housing</w:t>
      </w:r>
      <w:proofErr w:type="spellEnd"/>
      <w:r w:rsidRPr="00F43E2F">
        <w:rPr>
          <w:rFonts w:ascii="Calibri" w:hAnsi="Calibri" w:cs="Calibri"/>
          <w:sz w:val="24"/>
        </w:rPr>
        <w:t>. STC tak v rámci většiny kontraktů poskytovala služby s nižší přidanou hodnotou.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1D2849" w:rsidRPr="00F43E2F" w:rsidRDefault="00C65268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>V současno</w:t>
      </w:r>
      <w:r w:rsidR="00361FD5" w:rsidRPr="00F43E2F">
        <w:rPr>
          <w:rFonts w:ascii="Calibri" w:hAnsi="Calibri" w:cs="Calibri"/>
          <w:sz w:val="24"/>
        </w:rPr>
        <w:t>s</w:t>
      </w:r>
      <w:r w:rsidRPr="00F43E2F">
        <w:rPr>
          <w:rFonts w:ascii="Calibri" w:hAnsi="Calibri" w:cs="Calibri"/>
          <w:sz w:val="24"/>
        </w:rPr>
        <w:t>ti si může</w:t>
      </w:r>
      <w:r w:rsidR="002E4ADA" w:rsidRPr="00F43E2F">
        <w:rPr>
          <w:rFonts w:ascii="Calibri" w:hAnsi="Calibri" w:cs="Calibri"/>
          <w:sz w:val="24"/>
        </w:rPr>
        <w:t xml:space="preserve"> soukromá společnost nakoup</w:t>
      </w:r>
      <w:r w:rsidRPr="00F43E2F">
        <w:rPr>
          <w:rFonts w:ascii="Calibri" w:hAnsi="Calibri" w:cs="Calibri"/>
          <w:sz w:val="24"/>
        </w:rPr>
        <w:t>it</w:t>
      </w:r>
      <w:r w:rsidR="002E4ADA" w:rsidRPr="00F43E2F">
        <w:rPr>
          <w:rFonts w:ascii="Calibri" w:hAnsi="Calibri" w:cs="Calibri"/>
          <w:sz w:val="24"/>
        </w:rPr>
        <w:t xml:space="preserve"> od STC služby datového centra a následně je prod</w:t>
      </w:r>
      <w:r w:rsidRPr="00F43E2F">
        <w:rPr>
          <w:rFonts w:ascii="Calibri" w:hAnsi="Calibri" w:cs="Calibri"/>
          <w:sz w:val="24"/>
        </w:rPr>
        <w:t>at</w:t>
      </w:r>
      <w:r w:rsidR="002E4ADA" w:rsidRPr="00F43E2F">
        <w:rPr>
          <w:rFonts w:ascii="Calibri" w:hAnsi="Calibri" w:cs="Calibri"/>
          <w:sz w:val="24"/>
        </w:rPr>
        <w:t xml:space="preserve"> jinému subjektu státní správy. </w:t>
      </w:r>
      <w:r w:rsidR="00536D87" w:rsidRPr="00F43E2F">
        <w:rPr>
          <w:rFonts w:ascii="Calibri" w:hAnsi="Calibri" w:cs="Calibri"/>
          <w:sz w:val="24"/>
        </w:rPr>
        <w:t xml:space="preserve">NKÚ již </w:t>
      </w:r>
      <w:r w:rsidR="00536D87">
        <w:rPr>
          <w:rFonts w:ascii="Calibri" w:hAnsi="Calibri" w:cs="Calibri"/>
          <w:sz w:val="24"/>
        </w:rPr>
        <w:t>n</w:t>
      </w:r>
      <w:r w:rsidR="00ED3B3C" w:rsidRPr="00F43E2F">
        <w:rPr>
          <w:rFonts w:ascii="Calibri" w:hAnsi="Calibri" w:cs="Calibri"/>
          <w:sz w:val="24"/>
        </w:rPr>
        <w:t>a tuto situaci upozorňoval v</w:t>
      </w:r>
      <w:r w:rsidR="00536D87">
        <w:rPr>
          <w:rFonts w:ascii="Calibri" w:hAnsi="Calibri" w:cs="Calibri"/>
          <w:sz w:val="24"/>
        </w:rPr>
        <w:t> kontrolním</w:t>
      </w:r>
      <w:r w:rsidR="001A40A2" w:rsidRPr="00F43E2F">
        <w:rPr>
          <w:rFonts w:ascii="Calibri" w:hAnsi="Calibri" w:cs="Calibri"/>
          <w:sz w:val="24"/>
        </w:rPr>
        <w:t xml:space="preserve"> závěru </w:t>
      </w:r>
      <w:r w:rsidR="00536D87">
        <w:rPr>
          <w:rFonts w:ascii="Calibri" w:hAnsi="Calibri" w:cs="Calibri"/>
          <w:sz w:val="24"/>
        </w:rPr>
        <w:t>z </w:t>
      </w:r>
      <w:r w:rsidR="001A40A2" w:rsidRPr="00F43E2F">
        <w:rPr>
          <w:rFonts w:ascii="Calibri" w:hAnsi="Calibri" w:cs="Calibri"/>
          <w:sz w:val="24"/>
        </w:rPr>
        <w:t xml:space="preserve">kontrolní akce </w:t>
      </w:r>
      <w:r w:rsidR="00ED3B3C" w:rsidRPr="00F43E2F">
        <w:rPr>
          <w:rFonts w:ascii="Calibri" w:hAnsi="Calibri" w:cs="Calibri"/>
          <w:sz w:val="24"/>
        </w:rPr>
        <w:t xml:space="preserve">č. </w:t>
      </w:r>
      <w:r w:rsidR="001A40A2" w:rsidRPr="00F43E2F">
        <w:rPr>
          <w:rFonts w:ascii="Calibri" w:hAnsi="Calibri" w:cs="Calibri"/>
          <w:sz w:val="24"/>
        </w:rPr>
        <w:t>12/35</w:t>
      </w:r>
      <w:r w:rsidR="0099738A" w:rsidRPr="00F43E2F">
        <w:rPr>
          <w:rFonts w:ascii="Calibri" w:hAnsi="Calibri" w:cs="Calibri"/>
          <w:sz w:val="24"/>
        </w:rPr>
        <w:t>,</w:t>
      </w:r>
      <w:r w:rsidR="001A40A2" w:rsidRPr="00F43E2F">
        <w:rPr>
          <w:rFonts w:ascii="Calibri" w:hAnsi="Calibri" w:cs="Calibri"/>
          <w:sz w:val="24"/>
        </w:rPr>
        <w:t xml:space="preserve"> </w:t>
      </w:r>
      <w:r w:rsidR="00ED3B3C" w:rsidRPr="00F43E2F">
        <w:rPr>
          <w:rFonts w:ascii="Calibri" w:hAnsi="Calibri" w:cs="Calibri"/>
          <w:sz w:val="24"/>
        </w:rPr>
        <w:t>ve kterém bylo uvedeno</w:t>
      </w:r>
      <w:r w:rsidR="001A40A2" w:rsidRPr="00F43E2F">
        <w:rPr>
          <w:rFonts w:ascii="Calibri" w:hAnsi="Calibri" w:cs="Calibri"/>
          <w:sz w:val="24"/>
        </w:rPr>
        <w:t xml:space="preserve">, že informační systémy </w:t>
      </w:r>
      <w:r w:rsidR="00315717" w:rsidRPr="00F43E2F">
        <w:rPr>
          <w:rFonts w:ascii="Calibri" w:hAnsi="Calibri" w:cs="Calibri"/>
          <w:sz w:val="24"/>
        </w:rPr>
        <w:t xml:space="preserve">pro </w:t>
      </w:r>
      <w:r w:rsidR="00ED3B3C" w:rsidRPr="00F43E2F">
        <w:rPr>
          <w:rFonts w:ascii="Calibri" w:hAnsi="Calibri" w:cs="Calibri"/>
          <w:sz w:val="24"/>
        </w:rPr>
        <w:t>výplaty d</w:t>
      </w:r>
      <w:r w:rsidR="001A40A2" w:rsidRPr="00F43E2F">
        <w:rPr>
          <w:rFonts w:ascii="Calibri" w:hAnsi="Calibri" w:cs="Calibri"/>
          <w:sz w:val="24"/>
        </w:rPr>
        <w:t xml:space="preserve">ávek Ministerstva práce a sociálních věcí </w:t>
      </w:r>
      <w:r w:rsidR="00ED3B3C" w:rsidRPr="00F43E2F">
        <w:rPr>
          <w:rFonts w:ascii="Calibri" w:hAnsi="Calibri" w:cs="Calibri"/>
          <w:sz w:val="24"/>
        </w:rPr>
        <w:t>jsou provozovány v datovém centru STC</w:t>
      </w:r>
      <w:r w:rsidR="0099738A" w:rsidRPr="00F43E2F">
        <w:rPr>
          <w:rFonts w:ascii="Calibri" w:hAnsi="Calibri" w:cs="Calibri"/>
          <w:sz w:val="24"/>
        </w:rPr>
        <w:t xml:space="preserve"> prostřednictvím soukromé společnosti</w:t>
      </w:r>
      <w:r w:rsidR="001A40A2" w:rsidRPr="00F43E2F">
        <w:rPr>
          <w:rFonts w:ascii="Calibri" w:hAnsi="Calibri" w:cs="Calibri"/>
          <w:sz w:val="24"/>
        </w:rPr>
        <w:t>.</w:t>
      </w:r>
      <w:r w:rsidR="0015682F" w:rsidRPr="00F43E2F">
        <w:rPr>
          <w:rFonts w:ascii="Calibri" w:hAnsi="Calibri" w:cs="Calibri"/>
          <w:sz w:val="24"/>
        </w:rPr>
        <w:t xml:space="preserve"> </w:t>
      </w:r>
      <w:r w:rsidR="000D1344" w:rsidRPr="00F43E2F">
        <w:rPr>
          <w:rFonts w:ascii="Calibri" w:hAnsi="Calibri" w:cs="Calibri"/>
          <w:b/>
          <w:sz w:val="24"/>
        </w:rPr>
        <w:t>NKÚ opětovně upozorňuje na možné riziko nehospodárného vynakládání peněžních prostředků státu</w:t>
      </w:r>
      <w:r w:rsidR="00671212" w:rsidRPr="00F43E2F">
        <w:rPr>
          <w:rFonts w:ascii="Calibri" w:hAnsi="Calibri" w:cs="Calibri"/>
          <w:sz w:val="24"/>
        </w:rPr>
        <w:t xml:space="preserve"> </w:t>
      </w:r>
      <w:r w:rsidR="00671212" w:rsidRPr="00F43E2F">
        <w:rPr>
          <w:rFonts w:ascii="Calibri" w:hAnsi="Calibri" w:cs="Calibri"/>
          <w:b/>
          <w:sz w:val="24"/>
        </w:rPr>
        <w:t xml:space="preserve">v případech, kdy jsou orgánům státní správy při využívání služeb datových center </w:t>
      </w:r>
      <w:r w:rsidR="00536D87" w:rsidRPr="00F43E2F">
        <w:rPr>
          <w:rFonts w:ascii="Calibri" w:hAnsi="Calibri" w:cs="Calibri"/>
          <w:b/>
          <w:sz w:val="24"/>
        </w:rPr>
        <w:t xml:space="preserve">prodávány </w:t>
      </w:r>
      <w:r w:rsidR="00671212" w:rsidRPr="00F43E2F">
        <w:rPr>
          <w:rFonts w:ascii="Calibri" w:hAnsi="Calibri" w:cs="Calibri"/>
          <w:b/>
          <w:sz w:val="24"/>
        </w:rPr>
        <w:t>služby zakoupené od státního podniku přes prostředníka</w:t>
      </w:r>
      <w:r w:rsidR="00F43E2F">
        <w:rPr>
          <w:rFonts w:ascii="Calibri" w:hAnsi="Calibri" w:cs="Calibri"/>
          <w:b/>
          <w:sz w:val="24"/>
        </w:rPr>
        <w:t> </w:t>
      </w:r>
      <w:r w:rsidR="00671212" w:rsidRPr="00F43E2F">
        <w:rPr>
          <w:rFonts w:ascii="Calibri" w:hAnsi="Calibri" w:cs="Calibri"/>
          <w:b/>
          <w:sz w:val="24"/>
        </w:rPr>
        <w:t>– soukromou společnost.</w:t>
      </w:r>
    </w:p>
    <w:p w:rsid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1D2849" w:rsidRDefault="001D2849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Od zahájení </w:t>
      </w:r>
      <w:r w:rsidR="00ED3B3C" w:rsidRPr="00F43E2F">
        <w:rPr>
          <w:rFonts w:ascii="Calibri" w:hAnsi="Calibri" w:cs="Calibri"/>
          <w:sz w:val="24"/>
        </w:rPr>
        <w:t xml:space="preserve">ostrého </w:t>
      </w:r>
      <w:r w:rsidRPr="00F43E2F">
        <w:rPr>
          <w:rFonts w:ascii="Calibri" w:hAnsi="Calibri" w:cs="Calibri"/>
          <w:sz w:val="24"/>
        </w:rPr>
        <w:t xml:space="preserve">provozu do </w:t>
      </w:r>
      <w:r w:rsidR="00ED3B3C" w:rsidRPr="00F43E2F">
        <w:rPr>
          <w:rFonts w:ascii="Calibri" w:hAnsi="Calibri" w:cs="Calibri"/>
          <w:sz w:val="24"/>
        </w:rPr>
        <w:t>ukončení</w:t>
      </w:r>
      <w:r w:rsidRPr="00F43E2F">
        <w:rPr>
          <w:rFonts w:ascii="Calibri" w:hAnsi="Calibri" w:cs="Calibri"/>
          <w:sz w:val="24"/>
        </w:rPr>
        <w:t xml:space="preserve"> této </w:t>
      </w:r>
      <w:r w:rsidR="00ED3B3C" w:rsidRPr="00F43E2F">
        <w:rPr>
          <w:rFonts w:ascii="Calibri" w:hAnsi="Calibri" w:cs="Calibri"/>
          <w:sz w:val="24"/>
        </w:rPr>
        <w:t>kontroly</w:t>
      </w:r>
      <w:r w:rsidRPr="00F43E2F">
        <w:rPr>
          <w:rFonts w:ascii="Calibri" w:hAnsi="Calibri" w:cs="Calibri"/>
          <w:sz w:val="24"/>
        </w:rPr>
        <w:t xml:space="preserve"> byla obsazenost</w:t>
      </w:r>
      <w:r w:rsidR="00536D87" w:rsidRPr="00536D87">
        <w:rPr>
          <w:rFonts w:ascii="Calibri" w:hAnsi="Calibri" w:cs="Calibri"/>
          <w:sz w:val="24"/>
        </w:rPr>
        <w:t xml:space="preserve"> </w:t>
      </w:r>
      <w:r w:rsidR="00536D87" w:rsidRPr="00F43E2F">
        <w:rPr>
          <w:rFonts w:ascii="Calibri" w:hAnsi="Calibri" w:cs="Calibri"/>
          <w:sz w:val="24"/>
        </w:rPr>
        <w:t>nově vybudovaného datového centra</w:t>
      </w:r>
      <w:r w:rsidRPr="00F43E2F">
        <w:rPr>
          <w:rFonts w:ascii="Calibri" w:hAnsi="Calibri" w:cs="Calibri"/>
          <w:sz w:val="24"/>
        </w:rPr>
        <w:t xml:space="preserve"> cca 50%. </w:t>
      </w:r>
      <w:r w:rsidR="00ED3B3C" w:rsidRPr="00F43E2F">
        <w:rPr>
          <w:rFonts w:ascii="Calibri" w:hAnsi="Calibri" w:cs="Calibri"/>
          <w:sz w:val="24"/>
        </w:rPr>
        <w:t xml:space="preserve">Přibližně </w:t>
      </w:r>
      <w:r w:rsidRPr="00F43E2F">
        <w:rPr>
          <w:rFonts w:ascii="Calibri" w:hAnsi="Calibri" w:cs="Calibri"/>
          <w:sz w:val="24"/>
        </w:rPr>
        <w:t xml:space="preserve">polovina kapacity </w:t>
      </w:r>
      <w:r w:rsidR="00536D87">
        <w:rPr>
          <w:rFonts w:ascii="Calibri" w:hAnsi="Calibri" w:cs="Calibri"/>
          <w:sz w:val="24"/>
        </w:rPr>
        <w:t>tohoto</w:t>
      </w:r>
      <w:r w:rsidRPr="00F43E2F">
        <w:rPr>
          <w:rFonts w:ascii="Calibri" w:hAnsi="Calibri" w:cs="Calibri"/>
          <w:sz w:val="24"/>
        </w:rPr>
        <w:t xml:space="preserve"> datového centra </w:t>
      </w:r>
      <w:r w:rsidR="00ED3B3C" w:rsidRPr="00F43E2F">
        <w:rPr>
          <w:rFonts w:ascii="Calibri" w:hAnsi="Calibri" w:cs="Calibri"/>
          <w:sz w:val="24"/>
        </w:rPr>
        <w:t xml:space="preserve">tak </w:t>
      </w:r>
      <w:r w:rsidR="00DB5C6D" w:rsidRPr="00F43E2F">
        <w:rPr>
          <w:rFonts w:ascii="Calibri" w:hAnsi="Calibri" w:cs="Calibri"/>
          <w:sz w:val="24"/>
        </w:rPr>
        <w:t>byla</w:t>
      </w:r>
      <w:r w:rsidR="0099738A" w:rsidRPr="00F43E2F">
        <w:rPr>
          <w:rFonts w:ascii="Calibri" w:hAnsi="Calibri" w:cs="Calibri"/>
          <w:sz w:val="24"/>
        </w:rPr>
        <w:t xml:space="preserve"> k datu ukončení kontroly</w:t>
      </w:r>
      <w:r w:rsidRPr="00F43E2F">
        <w:rPr>
          <w:rFonts w:ascii="Calibri" w:hAnsi="Calibri" w:cs="Calibri"/>
          <w:sz w:val="24"/>
        </w:rPr>
        <w:t xml:space="preserve"> téměř 2 roky nevyužitá. </w:t>
      </w:r>
    </w:p>
    <w:p w:rsidR="00F43E2F" w:rsidRP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1D2849" w:rsidRPr="00F43E2F" w:rsidRDefault="001D2849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Důvody nízké obsazenosti </w:t>
      </w:r>
      <w:r w:rsidR="00ED3B3C" w:rsidRPr="00F43E2F">
        <w:rPr>
          <w:rFonts w:ascii="Calibri" w:hAnsi="Calibri" w:cs="Calibri"/>
          <w:sz w:val="24"/>
        </w:rPr>
        <w:t xml:space="preserve">nově vybudovaného </w:t>
      </w:r>
      <w:r w:rsidRPr="00F43E2F">
        <w:rPr>
          <w:rFonts w:ascii="Calibri" w:hAnsi="Calibri" w:cs="Calibri"/>
          <w:sz w:val="24"/>
        </w:rPr>
        <w:t xml:space="preserve">datového centra STC </w:t>
      </w:r>
      <w:r w:rsidR="00DB5C6D" w:rsidRPr="00F43E2F">
        <w:rPr>
          <w:rFonts w:ascii="Calibri" w:hAnsi="Calibri" w:cs="Calibri"/>
          <w:sz w:val="24"/>
        </w:rPr>
        <w:t>jsou dle názoru NKÚ zejména:</w:t>
      </w:r>
    </w:p>
    <w:p w:rsidR="001D2849" w:rsidRPr="00F43E2F" w:rsidRDefault="00B97C48" w:rsidP="00F43E2F">
      <w:pPr>
        <w:pStyle w:val="Odstavecseseznamem"/>
        <w:numPr>
          <w:ilvl w:val="0"/>
          <w:numId w:val="39"/>
        </w:numPr>
        <w:spacing w:after="0"/>
        <w:ind w:left="284" w:hanging="284"/>
        <w:rPr>
          <w:rFonts w:ascii="Calibri" w:hAnsi="Calibri" w:cs="Calibri"/>
          <w:sz w:val="24"/>
        </w:rPr>
      </w:pPr>
      <w:proofErr w:type="gramStart"/>
      <w:r w:rsidRPr="00F43E2F">
        <w:rPr>
          <w:rFonts w:ascii="Calibri" w:hAnsi="Calibri" w:cs="Calibri"/>
          <w:sz w:val="24"/>
        </w:rPr>
        <w:t>n</w:t>
      </w:r>
      <w:r w:rsidR="00034E65" w:rsidRPr="00F43E2F">
        <w:rPr>
          <w:rFonts w:ascii="Calibri" w:hAnsi="Calibri" w:cs="Calibri"/>
          <w:sz w:val="24"/>
        </w:rPr>
        <w:t>edostatečná</w:t>
      </w:r>
      <w:proofErr w:type="gramEnd"/>
      <w:r w:rsidR="00034E65" w:rsidRPr="00F43E2F">
        <w:rPr>
          <w:rFonts w:ascii="Calibri" w:hAnsi="Calibri" w:cs="Calibri"/>
          <w:sz w:val="24"/>
        </w:rPr>
        <w:t xml:space="preserve"> koordinace ze strany MV a </w:t>
      </w:r>
      <w:r w:rsidR="001D2849" w:rsidRPr="00F43E2F">
        <w:rPr>
          <w:rFonts w:ascii="Calibri" w:hAnsi="Calibri" w:cs="Calibri"/>
          <w:sz w:val="24"/>
        </w:rPr>
        <w:t>neexistence pře</w:t>
      </w:r>
      <w:r w:rsidR="00415166" w:rsidRPr="00F43E2F">
        <w:rPr>
          <w:rFonts w:ascii="Calibri" w:hAnsi="Calibri" w:cs="Calibri"/>
          <w:sz w:val="24"/>
        </w:rPr>
        <w:t xml:space="preserve">dpisu, který by vymezoval, </w:t>
      </w:r>
      <w:proofErr w:type="gramStart"/>
      <w:r w:rsidR="00415166" w:rsidRPr="00F43E2F">
        <w:rPr>
          <w:rFonts w:ascii="Calibri" w:hAnsi="Calibri" w:cs="Calibri"/>
          <w:sz w:val="24"/>
        </w:rPr>
        <w:t>které</w:t>
      </w:r>
      <w:proofErr w:type="gramEnd"/>
      <w:r w:rsidR="000D573D" w:rsidRPr="00F43E2F">
        <w:rPr>
          <w:rFonts w:ascii="Calibri" w:hAnsi="Calibri" w:cs="Calibri"/>
          <w:sz w:val="24"/>
        </w:rPr>
        <w:t xml:space="preserve"> </w:t>
      </w:r>
      <w:r w:rsidR="001D2849" w:rsidRPr="00F43E2F">
        <w:rPr>
          <w:rFonts w:ascii="Calibri" w:hAnsi="Calibri" w:cs="Calibri"/>
          <w:sz w:val="24"/>
        </w:rPr>
        <w:t xml:space="preserve">IS mají být provozovány v datových centrech pod kontrolou </w:t>
      </w:r>
      <w:r w:rsidR="00ED3B3C" w:rsidRPr="00F43E2F">
        <w:rPr>
          <w:rFonts w:ascii="Calibri" w:hAnsi="Calibri" w:cs="Calibri"/>
          <w:sz w:val="24"/>
        </w:rPr>
        <w:t>státu</w:t>
      </w:r>
      <w:r w:rsidR="008677A5" w:rsidRPr="00F43E2F">
        <w:rPr>
          <w:rStyle w:val="Znakapoznpodarou"/>
          <w:rFonts w:ascii="Calibri" w:hAnsi="Calibri" w:cs="Calibri"/>
          <w:sz w:val="24"/>
        </w:rPr>
        <w:footnoteReference w:id="16"/>
      </w:r>
      <w:r w:rsidR="001D2849" w:rsidRPr="00F43E2F">
        <w:rPr>
          <w:rFonts w:ascii="Calibri" w:hAnsi="Calibri" w:cs="Calibri"/>
          <w:sz w:val="24"/>
        </w:rPr>
        <w:t>;</w:t>
      </w:r>
    </w:p>
    <w:p w:rsidR="00444844" w:rsidRPr="00F43E2F" w:rsidRDefault="001D2849" w:rsidP="00F43E2F">
      <w:pPr>
        <w:pStyle w:val="Odstavecseseznamem"/>
        <w:numPr>
          <w:ilvl w:val="0"/>
          <w:numId w:val="39"/>
        </w:numPr>
        <w:spacing w:after="0"/>
        <w:ind w:left="284" w:hanging="284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vyšší cena poskytovaných služeb </w:t>
      </w:r>
      <w:r w:rsidR="00ED3B3C" w:rsidRPr="00F43E2F">
        <w:rPr>
          <w:rFonts w:ascii="Calibri" w:hAnsi="Calibri" w:cs="Calibri"/>
          <w:sz w:val="24"/>
        </w:rPr>
        <w:t xml:space="preserve">zejména </w:t>
      </w:r>
      <w:r w:rsidRPr="00F43E2F">
        <w:rPr>
          <w:rFonts w:ascii="Calibri" w:hAnsi="Calibri" w:cs="Calibri"/>
          <w:sz w:val="24"/>
        </w:rPr>
        <w:t xml:space="preserve">v počátku provozu nově vybudovaného datového centra STC oproti soukromým společnostem </w:t>
      </w:r>
      <w:r w:rsidR="00ED3B3C" w:rsidRPr="00F43E2F">
        <w:rPr>
          <w:rFonts w:ascii="Calibri" w:hAnsi="Calibri" w:cs="Calibri"/>
          <w:sz w:val="24"/>
        </w:rPr>
        <w:t xml:space="preserve">provozujícím datová centra, neboť </w:t>
      </w:r>
      <w:r w:rsidRPr="00F43E2F">
        <w:rPr>
          <w:rFonts w:ascii="Calibri" w:hAnsi="Calibri" w:cs="Calibri"/>
          <w:sz w:val="24"/>
        </w:rPr>
        <w:t>STC v počátku stanovovala ceny svých služeb na z</w:t>
      </w:r>
      <w:r w:rsidR="00390149" w:rsidRPr="00F43E2F">
        <w:rPr>
          <w:rFonts w:ascii="Calibri" w:hAnsi="Calibri" w:cs="Calibri"/>
          <w:sz w:val="24"/>
        </w:rPr>
        <w:t>ákladě nákladů souvisejících s </w:t>
      </w:r>
      <w:r w:rsidRPr="00F43E2F">
        <w:rPr>
          <w:rFonts w:ascii="Calibri" w:hAnsi="Calibri" w:cs="Calibri"/>
          <w:sz w:val="24"/>
        </w:rPr>
        <w:t>aktuální obsazeností datového centra</w:t>
      </w:r>
      <w:r w:rsidR="00ED3B3C" w:rsidRPr="00F43E2F">
        <w:rPr>
          <w:rStyle w:val="Znakapoznpodarou"/>
          <w:rFonts w:ascii="Calibri" w:hAnsi="Calibri" w:cs="Calibri"/>
          <w:sz w:val="24"/>
        </w:rPr>
        <w:footnoteReference w:id="17"/>
      </w:r>
      <w:r w:rsidRPr="00F43E2F">
        <w:rPr>
          <w:rFonts w:ascii="Calibri" w:hAnsi="Calibri" w:cs="Calibri"/>
          <w:sz w:val="24"/>
        </w:rPr>
        <w:t>.</w:t>
      </w:r>
    </w:p>
    <w:p w:rsidR="00F43E2F" w:rsidRDefault="00F43E2F" w:rsidP="00F43E2F">
      <w:pPr>
        <w:spacing w:after="0"/>
        <w:rPr>
          <w:rFonts w:ascii="Calibri" w:hAnsi="Calibri" w:cs="Calibri"/>
          <w:sz w:val="24"/>
        </w:rPr>
      </w:pPr>
    </w:p>
    <w:p w:rsidR="00452CB4" w:rsidRPr="00F43E2F" w:rsidRDefault="00A5791A" w:rsidP="00F43E2F">
      <w:pPr>
        <w:spacing w:after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2.3 </w:t>
      </w:r>
      <w:r w:rsidR="004A1BE0" w:rsidRPr="00F43E2F">
        <w:rPr>
          <w:rFonts w:ascii="Calibri" w:hAnsi="Calibri" w:cs="Calibri"/>
          <w:b/>
          <w:sz w:val="24"/>
        </w:rPr>
        <w:t>Využívání služeb datového centra Státní tiskárny cenin</w:t>
      </w:r>
      <w:r w:rsidR="00487A1A" w:rsidRPr="00F43E2F">
        <w:rPr>
          <w:rFonts w:ascii="Calibri" w:hAnsi="Calibri" w:cs="Calibri"/>
          <w:b/>
          <w:sz w:val="24"/>
        </w:rPr>
        <w:t xml:space="preserve"> Ministerstvem financí</w:t>
      </w:r>
    </w:p>
    <w:p w:rsidR="006D43AC" w:rsidRPr="00F43E2F" w:rsidRDefault="006D43AC" w:rsidP="00F43E2F">
      <w:pPr>
        <w:spacing w:after="0"/>
        <w:rPr>
          <w:rFonts w:ascii="Calibri" w:hAnsi="Calibri" w:cs="Calibri"/>
          <w:vanish/>
          <w:sz w:val="24"/>
        </w:rPr>
      </w:pPr>
    </w:p>
    <w:p w:rsidR="00674A4C" w:rsidRPr="00A5791A" w:rsidRDefault="00A5791A" w:rsidP="00F43E2F">
      <w:pPr>
        <w:spacing w:after="0"/>
        <w:rPr>
          <w:rFonts w:ascii="Calibri" w:eastAsiaTheme="minorHAnsi" w:hAnsi="Calibri" w:cs="Calibri"/>
          <w:b/>
          <w:sz w:val="24"/>
        </w:rPr>
      </w:pPr>
      <w:r>
        <w:rPr>
          <w:rFonts w:ascii="Calibri" w:eastAsiaTheme="minorHAnsi" w:hAnsi="Calibri" w:cs="Calibri"/>
          <w:b/>
          <w:sz w:val="24"/>
        </w:rPr>
        <w:t xml:space="preserve">2.3.1 </w:t>
      </w:r>
      <w:r w:rsidR="00487A1A" w:rsidRPr="00A5791A">
        <w:rPr>
          <w:rFonts w:ascii="Calibri" w:eastAsiaTheme="minorHAnsi" w:hAnsi="Calibri" w:cs="Calibri"/>
          <w:b/>
          <w:sz w:val="24"/>
        </w:rPr>
        <w:t xml:space="preserve">Služby </w:t>
      </w:r>
      <w:proofErr w:type="spellStart"/>
      <w:r w:rsidR="00487A1A" w:rsidRPr="00A5791A">
        <w:rPr>
          <w:rFonts w:ascii="Calibri" w:eastAsiaTheme="minorHAnsi" w:hAnsi="Calibri" w:cs="Calibri"/>
          <w:b/>
          <w:sz w:val="24"/>
        </w:rPr>
        <w:t>Service</w:t>
      </w:r>
      <w:proofErr w:type="spellEnd"/>
      <w:r w:rsidR="00487A1A" w:rsidRPr="00A5791A">
        <w:rPr>
          <w:rFonts w:ascii="Calibri" w:eastAsiaTheme="minorHAnsi" w:hAnsi="Calibri" w:cs="Calibri"/>
          <w:b/>
          <w:sz w:val="24"/>
        </w:rPr>
        <w:t xml:space="preserve"> </w:t>
      </w:r>
      <w:proofErr w:type="spellStart"/>
      <w:r w:rsidR="00487A1A" w:rsidRPr="00A5791A">
        <w:rPr>
          <w:rFonts w:ascii="Calibri" w:eastAsiaTheme="minorHAnsi" w:hAnsi="Calibri" w:cs="Calibri"/>
          <w:b/>
          <w:sz w:val="24"/>
        </w:rPr>
        <w:t>Desk</w:t>
      </w:r>
      <w:proofErr w:type="spellEnd"/>
      <w:r w:rsidR="00487A1A" w:rsidRPr="00A5791A">
        <w:rPr>
          <w:rFonts w:ascii="Calibri" w:eastAsiaTheme="minorHAnsi" w:hAnsi="Calibri" w:cs="Calibri"/>
          <w:b/>
          <w:sz w:val="24"/>
        </w:rPr>
        <w:t xml:space="preserve"> a zajištění provozu státní pokladny</w:t>
      </w:r>
    </w:p>
    <w:p w:rsidR="00F43E2F" w:rsidRDefault="00F43E2F" w:rsidP="00F43E2F">
      <w:pPr>
        <w:spacing w:after="0"/>
        <w:rPr>
          <w:rFonts w:ascii="Calibri" w:eastAsiaTheme="minorHAnsi" w:hAnsi="Calibri" w:cs="Calibri"/>
          <w:sz w:val="24"/>
        </w:rPr>
      </w:pPr>
    </w:p>
    <w:p w:rsidR="00390149" w:rsidRPr="00F43E2F" w:rsidRDefault="005347BE" w:rsidP="00F43E2F">
      <w:pPr>
        <w:spacing w:after="0"/>
        <w:rPr>
          <w:rFonts w:ascii="Calibri" w:eastAsiaTheme="minorHAnsi" w:hAnsi="Calibri" w:cs="Calibri"/>
          <w:sz w:val="24"/>
        </w:rPr>
      </w:pPr>
      <w:r w:rsidRPr="00F43E2F">
        <w:rPr>
          <w:rFonts w:ascii="Calibri" w:eastAsiaTheme="minorHAnsi" w:hAnsi="Calibri" w:cs="Calibri"/>
          <w:sz w:val="24"/>
        </w:rPr>
        <w:t xml:space="preserve">V roce 2009 MF uzavřelo </w:t>
      </w:r>
      <w:r w:rsidR="00BF3A6F" w:rsidRPr="00F43E2F">
        <w:rPr>
          <w:rFonts w:ascii="Calibri" w:eastAsiaTheme="minorHAnsi" w:hAnsi="Calibri" w:cs="Calibri"/>
          <w:sz w:val="24"/>
        </w:rPr>
        <w:t xml:space="preserve">se STC </w:t>
      </w:r>
      <w:r w:rsidRPr="00F43E2F">
        <w:rPr>
          <w:rFonts w:ascii="Calibri" w:eastAsiaTheme="minorHAnsi" w:hAnsi="Calibri" w:cs="Calibri"/>
          <w:sz w:val="24"/>
        </w:rPr>
        <w:t xml:space="preserve">dvě smlouvy na využívání služeb datového centra. První smlouva je na služby </w:t>
      </w:r>
      <w:proofErr w:type="spellStart"/>
      <w:r w:rsidRPr="00F43E2F">
        <w:rPr>
          <w:rFonts w:ascii="Calibri" w:eastAsiaTheme="minorHAnsi" w:hAnsi="Calibri" w:cs="Calibri"/>
          <w:sz w:val="24"/>
        </w:rPr>
        <w:t>Service</w:t>
      </w:r>
      <w:proofErr w:type="spellEnd"/>
      <w:r w:rsidRPr="00F43E2F">
        <w:rPr>
          <w:rFonts w:ascii="Calibri" w:eastAsiaTheme="minorHAnsi" w:hAnsi="Calibri" w:cs="Calibri"/>
          <w:sz w:val="24"/>
        </w:rPr>
        <w:t xml:space="preserve"> </w:t>
      </w:r>
      <w:proofErr w:type="spellStart"/>
      <w:r w:rsidRPr="00F43E2F">
        <w:rPr>
          <w:rFonts w:ascii="Calibri" w:eastAsiaTheme="minorHAnsi" w:hAnsi="Calibri" w:cs="Calibri"/>
          <w:sz w:val="24"/>
        </w:rPr>
        <w:t>Desk</w:t>
      </w:r>
      <w:proofErr w:type="spellEnd"/>
      <w:r w:rsidR="00D91973" w:rsidRPr="00D91973">
        <w:rPr>
          <w:rFonts w:ascii="Calibri" w:eastAsiaTheme="minorHAnsi" w:hAnsi="Calibri" w:cs="Calibri"/>
          <w:sz w:val="24"/>
        </w:rPr>
        <w:t xml:space="preserve"> </w:t>
      </w:r>
      <w:r w:rsidR="00D91973" w:rsidRPr="00F43E2F">
        <w:rPr>
          <w:rFonts w:ascii="Calibri" w:eastAsiaTheme="minorHAnsi" w:hAnsi="Calibri" w:cs="Calibri"/>
          <w:sz w:val="24"/>
        </w:rPr>
        <w:t>v resortu MF</w:t>
      </w:r>
      <w:r w:rsidRPr="00F43E2F">
        <w:rPr>
          <w:rFonts w:ascii="Calibri" w:eastAsiaTheme="minorHAnsi" w:hAnsi="Calibri" w:cs="Calibri"/>
          <w:sz w:val="24"/>
        </w:rPr>
        <w:t xml:space="preserve">, </w:t>
      </w:r>
      <w:r w:rsidR="00D91973">
        <w:rPr>
          <w:rFonts w:ascii="Calibri" w:eastAsiaTheme="minorHAnsi" w:hAnsi="Calibri" w:cs="Calibri"/>
          <w:sz w:val="24"/>
        </w:rPr>
        <w:t>což zahrnuje</w:t>
      </w:r>
      <w:r w:rsidRPr="00F43E2F">
        <w:rPr>
          <w:rFonts w:ascii="Calibri" w:eastAsiaTheme="minorHAnsi" w:hAnsi="Calibri" w:cs="Calibri"/>
          <w:sz w:val="24"/>
        </w:rPr>
        <w:t xml:space="preserve"> správ</w:t>
      </w:r>
      <w:r w:rsidR="00D91973">
        <w:rPr>
          <w:rFonts w:ascii="Calibri" w:eastAsiaTheme="minorHAnsi" w:hAnsi="Calibri" w:cs="Calibri"/>
          <w:sz w:val="24"/>
        </w:rPr>
        <w:t>u</w:t>
      </w:r>
      <w:r w:rsidRPr="00F43E2F">
        <w:rPr>
          <w:rFonts w:ascii="Calibri" w:eastAsiaTheme="minorHAnsi" w:hAnsi="Calibri" w:cs="Calibri"/>
          <w:sz w:val="24"/>
        </w:rPr>
        <w:t xml:space="preserve"> incid</w:t>
      </w:r>
      <w:r w:rsidR="00BF3A6F" w:rsidRPr="00F43E2F">
        <w:rPr>
          <w:rFonts w:ascii="Calibri" w:eastAsiaTheme="minorHAnsi" w:hAnsi="Calibri" w:cs="Calibri"/>
          <w:sz w:val="24"/>
        </w:rPr>
        <w:t>e</w:t>
      </w:r>
      <w:r w:rsidRPr="00F43E2F">
        <w:rPr>
          <w:rFonts w:ascii="Calibri" w:eastAsiaTheme="minorHAnsi" w:hAnsi="Calibri" w:cs="Calibri"/>
          <w:sz w:val="24"/>
        </w:rPr>
        <w:t>ntů</w:t>
      </w:r>
      <w:r w:rsidR="00587EE6" w:rsidRPr="00F43E2F">
        <w:rPr>
          <w:rStyle w:val="Znakapoznpodarou"/>
          <w:rFonts w:ascii="Calibri" w:eastAsiaTheme="minorHAnsi" w:hAnsi="Calibri" w:cs="Calibri"/>
          <w:sz w:val="24"/>
        </w:rPr>
        <w:footnoteReference w:id="18"/>
      </w:r>
      <w:r w:rsidRPr="00F43E2F">
        <w:rPr>
          <w:rFonts w:ascii="Calibri" w:eastAsiaTheme="minorHAnsi" w:hAnsi="Calibri" w:cs="Calibri"/>
          <w:sz w:val="24"/>
        </w:rPr>
        <w:t xml:space="preserve"> </w:t>
      </w:r>
      <w:r w:rsidR="00BF3A6F" w:rsidRPr="00F43E2F">
        <w:rPr>
          <w:rFonts w:ascii="Calibri" w:eastAsiaTheme="minorHAnsi" w:hAnsi="Calibri" w:cs="Calibri"/>
          <w:sz w:val="24"/>
        </w:rPr>
        <w:t>v oblasti I</w:t>
      </w:r>
      <w:r w:rsidR="00481A04" w:rsidRPr="00F43E2F">
        <w:rPr>
          <w:rFonts w:ascii="Calibri" w:eastAsiaTheme="minorHAnsi" w:hAnsi="Calibri" w:cs="Calibri"/>
          <w:sz w:val="24"/>
        </w:rPr>
        <w:t>C</w:t>
      </w:r>
      <w:r w:rsidR="00BF3A6F" w:rsidRPr="00F43E2F">
        <w:rPr>
          <w:rFonts w:ascii="Calibri" w:eastAsiaTheme="minorHAnsi" w:hAnsi="Calibri" w:cs="Calibri"/>
          <w:sz w:val="24"/>
        </w:rPr>
        <w:t xml:space="preserve">T </w:t>
      </w:r>
      <w:r w:rsidRPr="00F43E2F">
        <w:rPr>
          <w:rFonts w:ascii="Calibri" w:eastAsiaTheme="minorHAnsi" w:hAnsi="Calibri" w:cs="Calibri"/>
          <w:sz w:val="24"/>
        </w:rPr>
        <w:t>a</w:t>
      </w:r>
      <w:r w:rsidR="009B6A0D">
        <w:rPr>
          <w:rFonts w:ascii="Calibri" w:eastAsiaTheme="minorHAnsi" w:hAnsi="Calibri" w:cs="Calibri"/>
          <w:sz w:val="24"/>
        </w:rPr>
        <w:t> </w:t>
      </w:r>
      <w:r w:rsidR="00BF3A6F" w:rsidRPr="00F43E2F">
        <w:rPr>
          <w:rFonts w:ascii="Calibri" w:eastAsiaTheme="minorHAnsi" w:hAnsi="Calibri" w:cs="Calibri"/>
          <w:sz w:val="24"/>
        </w:rPr>
        <w:t>zajištění</w:t>
      </w:r>
      <w:r w:rsidRPr="00F43E2F">
        <w:rPr>
          <w:rFonts w:ascii="Calibri" w:eastAsiaTheme="minorHAnsi" w:hAnsi="Calibri" w:cs="Calibri"/>
          <w:sz w:val="24"/>
        </w:rPr>
        <w:t xml:space="preserve"> obnovení služby v případě jejího výpadku. </w:t>
      </w:r>
      <w:r w:rsidR="00BF3A6F" w:rsidRPr="00F43E2F">
        <w:rPr>
          <w:rFonts w:ascii="Calibri" w:eastAsiaTheme="minorHAnsi" w:hAnsi="Calibri" w:cs="Calibri"/>
          <w:sz w:val="24"/>
        </w:rPr>
        <w:t>Druhá smlouva je na službu</w:t>
      </w:r>
      <w:r w:rsidRPr="00F43E2F">
        <w:rPr>
          <w:rFonts w:ascii="Calibri" w:eastAsiaTheme="minorHAnsi" w:hAnsi="Calibri" w:cs="Calibri"/>
          <w:sz w:val="24"/>
        </w:rPr>
        <w:t xml:space="preserve"> </w:t>
      </w:r>
      <w:r w:rsidR="00BF3A6F" w:rsidRPr="00F43E2F">
        <w:rPr>
          <w:rFonts w:ascii="Calibri" w:eastAsiaTheme="minorHAnsi" w:hAnsi="Calibri" w:cs="Calibri"/>
          <w:sz w:val="24"/>
        </w:rPr>
        <w:t>zajiš</w:t>
      </w:r>
      <w:r w:rsidR="00390149" w:rsidRPr="00F43E2F">
        <w:rPr>
          <w:rFonts w:ascii="Calibri" w:eastAsiaTheme="minorHAnsi" w:hAnsi="Calibri" w:cs="Calibri"/>
          <w:sz w:val="24"/>
        </w:rPr>
        <w:t>tění prostředí a </w:t>
      </w:r>
      <w:r w:rsidR="00BF3A6F" w:rsidRPr="00F43E2F">
        <w:rPr>
          <w:rFonts w:ascii="Calibri" w:eastAsiaTheme="minorHAnsi" w:hAnsi="Calibri" w:cs="Calibri"/>
          <w:sz w:val="24"/>
        </w:rPr>
        <w:t>výpočetní kapacity pro provoz státní pokladny.</w:t>
      </w:r>
    </w:p>
    <w:p w:rsidR="005347BE" w:rsidRPr="00F43E2F" w:rsidRDefault="005347BE" w:rsidP="00F43E2F">
      <w:pPr>
        <w:spacing w:after="0"/>
        <w:rPr>
          <w:rFonts w:ascii="Calibri" w:eastAsiaTheme="minorHAnsi" w:hAnsi="Calibri" w:cs="Calibri"/>
          <w:sz w:val="24"/>
        </w:rPr>
      </w:pPr>
    </w:p>
    <w:p w:rsidR="009C0879" w:rsidRPr="00EF77A8" w:rsidRDefault="009C0879" w:rsidP="00F43E2F">
      <w:pPr>
        <w:spacing w:after="0"/>
        <w:rPr>
          <w:rFonts w:ascii="Calibri" w:eastAsiaTheme="minorHAnsi" w:hAnsi="Calibri" w:cs="Calibri"/>
          <w:b/>
          <w:sz w:val="24"/>
        </w:rPr>
      </w:pPr>
      <w:r w:rsidRPr="00EF77A8">
        <w:rPr>
          <w:rFonts w:ascii="Calibri" w:eastAsiaTheme="minorHAnsi" w:hAnsi="Calibri" w:cs="Calibri"/>
          <w:b/>
          <w:sz w:val="24"/>
        </w:rPr>
        <w:t xml:space="preserve">Uzavření smluv </w:t>
      </w:r>
    </w:p>
    <w:p w:rsidR="00A5791A" w:rsidRDefault="00A5791A" w:rsidP="00F43E2F">
      <w:pPr>
        <w:spacing w:after="0"/>
        <w:rPr>
          <w:rFonts w:ascii="Calibri" w:eastAsiaTheme="minorHAnsi" w:hAnsi="Calibri" w:cs="Calibri"/>
          <w:sz w:val="24"/>
        </w:rPr>
      </w:pPr>
    </w:p>
    <w:p w:rsidR="00895A98" w:rsidRPr="00F43E2F" w:rsidRDefault="00AD1264" w:rsidP="00F43E2F">
      <w:pPr>
        <w:spacing w:after="0"/>
        <w:rPr>
          <w:rFonts w:ascii="Calibri" w:eastAsiaTheme="minorHAnsi" w:hAnsi="Calibri" w:cs="Calibri"/>
          <w:b/>
          <w:sz w:val="24"/>
        </w:rPr>
      </w:pPr>
      <w:r w:rsidRPr="00F43E2F">
        <w:rPr>
          <w:rFonts w:ascii="Calibri" w:eastAsiaTheme="minorHAnsi" w:hAnsi="Calibri" w:cs="Calibri"/>
          <w:sz w:val="24"/>
        </w:rPr>
        <w:t>MF v</w:t>
      </w:r>
      <w:r w:rsidR="00895A98" w:rsidRPr="00F43E2F">
        <w:rPr>
          <w:rFonts w:ascii="Calibri" w:eastAsiaTheme="minorHAnsi" w:hAnsi="Calibri" w:cs="Calibri"/>
          <w:sz w:val="24"/>
        </w:rPr>
        <w:t xml:space="preserve">eřejnou zakázku na služby </w:t>
      </w:r>
      <w:proofErr w:type="spellStart"/>
      <w:r w:rsidR="00895A98" w:rsidRPr="00F43E2F">
        <w:rPr>
          <w:rFonts w:ascii="Calibri" w:eastAsiaTheme="minorHAnsi" w:hAnsi="Calibri" w:cs="Calibri"/>
          <w:sz w:val="24"/>
        </w:rPr>
        <w:t>Service</w:t>
      </w:r>
      <w:proofErr w:type="spellEnd"/>
      <w:r w:rsidR="00895A98" w:rsidRPr="00F43E2F">
        <w:rPr>
          <w:rFonts w:ascii="Calibri" w:eastAsiaTheme="minorHAnsi" w:hAnsi="Calibri" w:cs="Calibri"/>
          <w:sz w:val="24"/>
        </w:rPr>
        <w:t xml:space="preserve"> </w:t>
      </w:r>
      <w:proofErr w:type="spellStart"/>
      <w:r w:rsidR="00895A98" w:rsidRPr="00F43E2F">
        <w:rPr>
          <w:rFonts w:ascii="Calibri" w:eastAsiaTheme="minorHAnsi" w:hAnsi="Calibri" w:cs="Calibri"/>
          <w:sz w:val="24"/>
        </w:rPr>
        <w:t>Desk</w:t>
      </w:r>
      <w:proofErr w:type="spellEnd"/>
      <w:r w:rsidR="00895A98" w:rsidRPr="00F43E2F">
        <w:rPr>
          <w:rFonts w:ascii="Calibri" w:eastAsiaTheme="minorHAnsi" w:hAnsi="Calibri" w:cs="Calibri"/>
          <w:sz w:val="24"/>
        </w:rPr>
        <w:t xml:space="preserve"> zadalo STC</w:t>
      </w:r>
      <w:r w:rsidR="000167A4" w:rsidRPr="00F43E2F">
        <w:rPr>
          <w:rFonts w:ascii="Calibri" w:eastAsiaTheme="minorHAnsi" w:hAnsi="Calibri" w:cs="Calibri"/>
          <w:sz w:val="24"/>
        </w:rPr>
        <w:t xml:space="preserve"> </w:t>
      </w:r>
      <w:r w:rsidR="00895A98" w:rsidRPr="00F43E2F">
        <w:rPr>
          <w:rFonts w:ascii="Calibri" w:eastAsiaTheme="minorHAnsi" w:hAnsi="Calibri" w:cs="Calibri"/>
          <w:sz w:val="24"/>
        </w:rPr>
        <w:t>na základě výjimky</w:t>
      </w:r>
      <w:r w:rsidR="00CC2CA1" w:rsidRPr="00F43E2F">
        <w:rPr>
          <w:rFonts w:ascii="Calibri" w:eastAsiaTheme="minorHAnsi" w:hAnsi="Calibri" w:cs="Calibri"/>
          <w:sz w:val="24"/>
        </w:rPr>
        <w:t xml:space="preserve"> ze</w:t>
      </w:r>
      <w:r w:rsidR="00390149" w:rsidRPr="00F43E2F">
        <w:rPr>
          <w:rFonts w:ascii="Calibri" w:eastAsiaTheme="minorHAnsi" w:hAnsi="Calibri" w:cs="Calibri"/>
          <w:sz w:val="24"/>
        </w:rPr>
        <w:t xml:space="preserve"> zákona o </w:t>
      </w:r>
      <w:r w:rsidR="00895A98" w:rsidRPr="00F43E2F">
        <w:rPr>
          <w:rFonts w:ascii="Calibri" w:eastAsiaTheme="minorHAnsi" w:hAnsi="Calibri" w:cs="Calibri"/>
          <w:sz w:val="24"/>
        </w:rPr>
        <w:t>veřejných zakázkách</w:t>
      </w:r>
      <w:r w:rsidR="00595300" w:rsidRPr="00F43E2F">
        <w:rPr>
          <w:rStyle w:val="Znakapoznpodarou"/>
          <w:rFonts w:ascii="Calibri" w:eastAsiaTheme="minorHAnsi" w:hAnsi="Calibri" w:cs="Calibri"/>
          <w:sz w:val="24"/>
        </w:rPr>
        <w:footnoteReference w:id="19"/>
      </w:r>
      <w:r w:rsidR="005E15A4" w:rsidRPr="00F43E2F">
        <w:rPr>
          <w:rFonts w:ascii="Calibri" w:eastAsiaTheme="minorHAnsi" w:hAnsi="Calibri" w:cs="Calibri"/>
          <w:sz w:val="24"/>
        </w:rPr>
        <w:t xml:space="preserve"> jako zakázku</w:t>
      </w:r>
      <w:r w:rsidR="00AC5665" w:rsidRPr="00F43E2F">
        <w:rPr>
          <w:rFonts w:ascii="Calibri" w:eastAsiaTheme="minorHAnsi" w:hAnsi="Calibri" w:cs="Calibri"/>
          <w:sz w:val="24"/>
        </w:rPr>
        <w:t xml:space="preserve"> v režimu utajení</w:t>
      </w:r>
      <w:r w:rsidR="000167A4" w:rsidRPr="00F43E2F">
        <w:rPr>
          <w:rStyle w:val="Znakapoznpodarou"/>
          <w:rFonts w:ascii="Calibri" w:eastAsiaTheme="minorHAnsi" w:hAnsi="Calibri" w:cs="Calibri"/>
          <w:sz w:val="24"/>
        </w:rPr>
        <w:footnoteReference w:id="20"/>
      </w:r>
      <w:r w:rsidR="002002A4" w:rsidRPr="00F43E2F">
        <w:rPr>
          <w:rFonts w:ascii="Calibri" w:eastAsiaTheme="minorHAnsi" w:hAnsi="Calibri" w:cs="Calibri"/>
          <w:sz w:val="24"/>
        </w:rPr>
        <w:t>.</w:t>
      </w:r>
      <w:r w:rsidRPr="00F43E2F">
        <w:rPr>
          <w:rFonts w:ascii="Calibri" w:eastAsiaTheme="minorHAnsi" w:hAnsi="Calibri" w:cs="Calibri"/>
          <w:sz w:val="24"/>
        </w:rPr>
        <w:t xml:space="preserve"> </w:t>
      </w:r>
      <w:r w:rsidR="005E15A4" w:rsidRPr="00F43E2F">
        <w:rPr>
          <w:rFonts w:ascii="Calibri" w:eastAsiaTheme="minorHAnsi" w:hAnsi="Calibri" w:cs="Calibri"/>
          <w:sz w:val="24"/>
        </w:rPr>
        <w:t>T</w:t>
      </w:r>
      <w:r w:rsidR="00390149" w:rsidRPr="00F43E2F">
        <w:rPr>
          <w:rFonts w:ascii="Calibri" w:eastAsiaTheme="minorHAnsi" w:hAnsi="Calibri" w:cs="Calibri"/>
          <w:sz w:val="24"/>
        </w:rPr>
        <w:t xml:space="preserve">ato výjimka mohla být použita </w:t>
      </w:r>
      <w:r w:rsidR="00390149" w:rsidRPr="00F43E2F">
        <w:rPr>
          <w:rFonts w:ascii="Calibri" w:eastAsiaTheme="minorHAnsi" w:hAnsi="Calibri" w:cs="Calibri"/>
          <w:sz w:val="24"/>
        </w:rPr>
        <w:lastRenderedPageBreak/>
        <w:t>u </w:t>
      </w:r>
      <w:r w:rsidR="00AC5665" w:rsidRPr="00F43E2F">
        <w:rPr>
          <w:rFonts w:ascii="Calibri" w:eastAsiaTheme="minorHAnsi" w:hAnsi="Calibri" w:cs="Calibri"/>
          <w:sz w:val="24"/>
        </w:rPr>
        <w:t xml:space="preserve">veřejných </w:t>
      </w:r>
      <w:r w:rsidR="005E15A4" w:rsidRPr="00F43E2F">
        <w:rPr>
          <w:rFonts w:ascii="Calibri" w:eastAsiaTheme="minorHAnsi" w:hAnsi="Calibri" w:cs="Calibri"/>
          <w:sz w:val="24"/>
        </w:rPr>
        <w:t>zakázek, jejichž předmětem byly utajované informace</w:t>
      </w:r>
      <w:r w:rsidR="00537446">
        <w:rPr>
          <w:rFonts w:ascii="Calibri" w:eastAsiaTheme="minorHAnsi" w:hAnsi="Calibri" w:cs="Calibri"/>
          <w:sz w:val="24"/>
        </w:rPr>
        <w:t>,</w:t>
      </w:r>
      <w:r w:rsidR="005E15A4" w:rsidRPr="00F43E2F">
        <w:rPr>
          <w:rFonts w:ascii="Calibri" w:eastAsiaTheme="minorHAnsi" w:hAnsi="Calibri" w:cs="Calibri"/>
          <w:sz w:val="24"/>
        </w:rPr>
        <w:t xml:space="preserve"> nebo </w:t>
      </w:r>
      <w:r w:rsidR="00537446">
        <w:rPr>
          <w:rFonts w:ascii="Calibri" w:eastAsiaTheme="minorHAnsi" w:hAnsi="Calibri" w:cs="Calibri"/>
          <w:sz w:val="24"/>
        </w:rPr>
        <w:t xml:space="preserve">pokud by </w:t>
      </w:r>
      <w:r w:rsidR="005E15A4" w:rsidRPr="00F43E2F">
        <w:rPr>
          <w:rFonts w:ascii="Calibri" w:eastAsiaTheme="minorHAnsi" w:hAnsi="Calibri" w:cs="Calibri"/>
          <w:sz w:val="24"/>
        </w:rPr>
        <w:t>uveřejnění zadávacích podmínek veřejné zakázky či plnění veřejné zakázky mohlo ohrozit ochranu utajovaných informací</w:t>
      </w:r>
      <w:r w:rsidR="00315717" w:rsidRPr="00F43E2F">
        <w:rPr>
          <w:rFonts w:ascii="Calibri" w:eastAsiaTheme="minorHAnsi" w:hAnsi="Calibri" w:cs="Calibri"/>
          <w:sz w:val="24"/>
        </w:rPr>
        <w:t>.</w:t>
      </w:r>
      <w:r w:rsidR="005E15A4" w:rsidRPr="00F43E2F">
        <w:rPr>
          <w:rFonts w:ascii="Calibri" w:eastAsiaTheme="minorHAnsi" w:hAnsi="Calibri" w:cs="Calibri"/>
          <w:sz w:val="24"/>
        </w:rPr>
        <w:t xml:space="preserve"> </w:t>
      </w:r>
      <w:r w:rsidRPr="00F43E2F">
        <w:rPr>
          <w:rFonts w:ascii="Calibri" w:eastAsiaTheme="minorHAnsi" w:hAnsi="Calibri" w:cs="Calibri"/>
          <w:sz w:val="24"/>
        </w:rPr>
        <w:t>Z</w:t>
      </w:r>
      <w:r w:rsidR="00895A98" w:rsidRPr="00F43E2F">
        <w:rPr>
          <w:rFonts w:ascii="Calibri" w:eastAsiaTheme="minorHAnsi" w:hAnsi="Calibri" w:cs="Calibri"/>
          <w:sz w:val="24"/>
        </w:rPr>
        <w:t xml:space="preserve">adávací dokumentace pro zadání </w:t>
      </w:r>
      <w:r w:rsidRPr="00F43E2F">
        <w:rPr>
          <w:rFonts w:ascii="Calibri" w:eastAsiaTheme="minorHAnsi" w:hAnsi="Calibri" w:cs="Calibri"/>
          <w:sz w:val="24"/>
        </w:rPr>
        <w:t>zakázky</w:t>
      </w:r>
      <w:r w:rsidR="00895A98" w:rsidRPr="00F43E2F">
        <w:rPr>
          <w:rFonts w:ascii="Calibri" w:eastAsiaTheme="minorHAnsi" w:hAnsi="Calibri" w:cs="Calibri"/>
          <w:sz w:val="24"/>
        </w:rPr>
        <w:t xml:space="preserve"> vč. </w:t>
      </w:r>
      <w:r w:rsidRPr="00F43E2F">
        <w:rPr>
          <w:rFonts w:ascii="Calibri" w:eastAsiaTheme="minorHAnsi" w:hAnsi="Calibri" w:cs="Calibri"/>
          <w:sz w:val="24"/>
        </w:rPr>
        <w:t xml:space="preserve">jedné </w:t>
      </w:r>
      <w:r w:rsidR="00895A98" w:rsidRPr="00F43E2F">
        <w:rPr>
          <w:rFonts w:ascii="Calibri" w:eastAsiaTheme="minorHAnsi" w:hAnsi="Calibri" w:cs="Calibri"/>
          <w:sz w:val="24"/>
        </w:rPr>
        <w:t>utaj</w:t>
      </w:r>
      <w:r w:rsidR="00537446">
        <w:rPr>
          <w:rFonts w:ascii="Calibri" w:eastAsiaTheme="minorHAnsi" w:hAnsi="Calibri" w:cs="Calibri"/>
          <w:sz w:val="24"/>
        </w:rPr>
        <w:t>ova</w:t>
      </w:r>
      <w:r w:rsidR="00895A98" w:rsidRPr="00F43E2F">
        <w:rPr>
          <w:rFonts w:ascii="Calibri" w:eastAsiaTheme="minorHAnsi" w:hAnsi="Calibri" w:cs="Calibri"/>
          <w:sz w:val="24"/>
        </w:rPr>
        <w:t xml:space="preserve">né přílohy </w:t>
      </w:r>
      <w:r w:rsidRPr="00F43E2F">
        <w:rPr>
          <w:rFonts w:ascii="Calibri" w:eastAsiaTheme="minorHAnsi" w:hAnsi="Calibri" w:cs="Calibri"/>
          <w:sz w:val="24"/>
        </w:rPr>
        <w:t>ve stupni utajení „vyhrazené“</w:t>
      </w:r>
      <w:r w:rsidR="002002A4" w:rsidRPr="00F43E2F">
        <w:rPr>
          <w:rFonts w:ascii="Calibri" w:eastAsiaTheme="minorHAnsi" w:hAnsi="Calibri" w:cs="Calibri"/>
          <w:sz w:val="24"/>
        </w:rPr>
        <w:t xml:space="preserve"> </w:t>
      </w:r>
      <w:r w:rsidR="00895A98" w:rsidRPr="00F43E2F">
        <w:rPr>
          <w:rFonts w:ascii="Calibri" w:eastAsiaTheme="minorHAnsi" w:hAnsi="Calibri" w:cs="Calibri"/>
          <w:sz w:val="24"/>
        </w:rPr>
        <w:t>byla zpracována externím subjektem. V září 2009 MF</w:t>
      </w:r>
      <w:r w:rsidR="00DB5C6D" w:rsidRPr="00F43E2F">
        <w:rPr>
          <w:rFonts w:ascii="Calibri" w:eastAsiaTheme="minorHAnsi" w:hAnsi="Calibri" w:cs="Calibri"/>
          <w:sz w:val="24"/>
        </w:rPr>
        <w:t xml:space="preserve"> uzavřelo se STC smlouvu na dobu neurčitou na služby </w:t>
      </w:r>
      <w:proofErr w:type="spellStart"/>
      <w:r w:rsidR="00DB5C6D" w:rsidRPr="00F43E2F">
        <w:rPr>
          <w:rFonts w:ascii="Calibri" w:eastAsiaTheme="minorHAnsi" w:hAnsi="Calibri" w:cs="Calibri"/>
          <w:sz w:val="24"/>
        </w:rPr>
        <w:t>Service</w:t>
      </w:r>
      <w:proofErr w:type="spellEnd"/>
      <w:r w:rsidR="00DB5C6D" w:rsidRPr="00F43E2F">
        <w:rPr>
          <w:rFonts w:ascii="Calibri" w:eastAsiaTheme="minorHAnsi" w:hAnsi="Calibri" w:cs="Calibri"/>
          <w:sz w:val="24"/>
        </w:rPr>
        <w:t xml:space="preserve"> </w:t>
      </w:r>
      <w:proofErr w:type="spellStart"/>
      <w:r w:rsidR="00DB5C6D" w:rsidRPr="00F43E2F">
        <w:rPr>
          <w:rFonts w:ascii="Calibri" w:eastAsiaTheme="minorHAnsi" w:hAnsi="Calibri" w:cs="Calibri"/>
          <w:sz w:val="24"/>
        </w:rPr>
        <w:t>Desk</w:t>
      </w:r>
      <w:proofErr w:type="spellEnd"/>
      <w:r w:rsidR="00DB5C6D" w:rsidRPr="00F43E2F">
        <w:rPr>
          <w:rFonts w:ascii="Calibri" w:eastAsiaTheme="minorHAnsi" w:hAnsi="Calibri" w:cs="Calibri"/>
          <w:sz w:val="24"/>
        </w:rPr>
        <w:t>, které začalo využívat od roku 2010.</w:t>
      </w:r>
      <w:r w:rsidR="00895A98" w:rsidRPr="00F43E2F">
        <w:rPr>
          <w:rFonts w:ascii="Calibri" w:eastAsiaTheme="minorHAnsi" w:hAnsi="Calibri" w:cs="Calibri"/>
          <w:sz w:val="24"/>
        </w:rPr>
        <w:t xml:space="preserve"> </w:t>
      </w:r>
      <w:r w:rsidR="009572F0" w:rsidRPr="00F43E2F">
        <w:rPr>
          <w:rFonts w:ascii="Calibri" w:eastAsiaTheme="minorHAnsi" w:hAnsi="Calibri" w:cs="Calibri"/>
          <w:sz w:val="24"/>
        </w:rPr>
        <w:t>Dodávku řešení a</w:t>
      </w:r>
      <w:r w:rsidR="00580152" w:rsidRPr="00F43E2F">
        <w:rPr>
          <w:rFonts w:ascii="Calibri" w:eastAsiaTheme="minorHAnsi" w:hAnsi="Calibri" w:cs="Calibri"/>
          <w:sz w:val="24"/>
        </w:rPr>
        <w:t> </w:t>
      </w:r>
      <w:r w:rsidR="009572F0" w:rsidRPr="00F43E2F">
        <w:rPr>
          <w:rFonts w:ascii="Calibri" w:eastAsiaTheme="minorHAnsi" w:hAnsi="Calibri" w:cs="Calibri"/>
          <w:sz w:val="24"/>
        </w:rPr>
        <w:t xml:space="preserve">servis pro zajištění služby </w:t>
      </w:r>
      <w:proofErr w:type="spellStart"/>
      <w:r w:rsidR="009572F0" w:rsidRPr="00F43E2F">
        <w:rPr>
          <w:rFonts w:ascii="Calibri" w:eastAsiaTheme="minorHAnsi" w:hAnsi="Calibri" w:cs="Calibri"/>
          <w:sz w:val="24"/>
        </w:rPr>
        <w:t>Service</w:t>
      </w:r>
      <w:proofErr w:type="spellEnd"/>
      <w:r w:rsidR="009572F0" w:rsidRPr="00F43E2F">
        <w:rPr>
          <w:rFonts w:ascii="Calibri" w:eastAsiaTheme="minorHAnsi" w:hAnsi="Calibri" w:cs="Calibri"/>
          <w:sz w:val="24"/>
        </w:rPr>
        <w:t xml:space="preserve"> </w:t>
      </w:r>
      <w:proofErr w:type="spellStart"/>
      <w:r w:rsidR="009572F0" w:rsidRPr="00F43E2F">
        <w:rPr>
          <w:rFonts w:ascii="Calibri" w:eastAsiaTheme="minorHAnsi" w:hAnsi="Calibri" w:cs="Calibri"/>
          <w:sz w:val="24"/>
        </w:rPr>
        <w:t>Desk</w:t>
      </w:r>
      <w:proofErr w:type="spellEnd"/>
      <w:r w:rsidR="009572F0" w:rsidRPr="00F43E2F">
        <w:rPr>
          <w:rFonts w:ascii="Calibri" w:eastAsiaTheme="minorHAnsi" w:hAnsi="Calibri" w:cs="Calibri"/>
          <w:sz w:val="24"/>
        </w:rPr>
        <w:t xml:space="preserve"> </w:t>
      </w:r>
      <w:r w:rsidR="000A7B44" w:rsidRPr="00F43E2F">
        <w:rPr>
          <w:rFonts w:ascii="Calibri" w:eastAsiaTheme="minorHAnsi" w:hAnsi="Calibri" w:cs="Calibri"/>
          <w:sz w:val="24"/>
        </w:rPr>
        <w:t>zajistila STC smlouvou</w:t>
      </w:r>
      <w:r w:rsidR="009572F0" w:rsidRPr="00F43E2F">
        <w:rPr>
          <w:rFonts w:ascii="Calibri" w:eastAsiaTheme="minorHAnsi" w:hAnsi="Calibri" w:cs="Calibri"/>
          <w:sz w:val="24"/>
        </w:rPr>
        <w:t xml:space="preserve"> s externím subjekt</w:t>
      </w:r>
      <w:r w:rsidR="000A7B44" w:rsidRPr="00F43E2F">
        <w:rPr>
          <w:rFonts w:ascii="Calibri" w:eastAsiaTheme="minorHAnsi" w:hAnsi="Calibri" w:cs="Calibri"/>
          <w:sz w:val="24"/>
        </w:rPr>
        <w:t>em</w:t>
      </w:r>
      <w:r w:rsidR="009572F0" w:rsidRPr="00F43E2F">
        <w:rPr>
          <w:rFonts w:ascii="Calibri" w:eastAsiaTheme="minorHAnsi" w:hAnsi="Calibri" w:cs="Calibri"/>
          <w:sz w:val="24"/>
        </w:rPr>
        <w:t xml:space="preserve"> </w:t>
      </w:r>
      <w:r w:rsidR="00895A98" w:rsidRPr="00F43E2F">
        <w:rPr>
          <w:rFonts w:ascii="Calibri" w:eastAsiaTheme="minorHAnsi" w:hAnsi="Calibri" w:cs="Calibri"/>
          <w:sz w:val="24"/>
        </w:rPr>
        <w:t>opět na základě výjimky dle § 18 odst. 1 písm. a) zákona o veřejných zakázkách</w:t>
      </w:r>
      <w:r w:rsidRPr="00F43E2F">
        <w:rPr>
          <w:rFonts w:ascii="Calibri" w:eastAsiaTheme="minorHAnsi" w:hAnsi="Calibri" w:cs="Calibri"/>
          <w:sz w:val="24"/>
        </w:rPr>
        <w:t>. Výběr této společnosti</w:t>
      </w:r>
      <w:r w:rsidR="00895A98" w:rsidRPr="00F43E2F">
        <w:rPr>
          <w:rFonts w:ascii="Calibri" w:eastAsiaTheme="minorHAnsi" w:hAnsi="Calibri" w:cs="Calibri"/>
          <w:sz w:val="24"/>
        </w:rPr>
        <w:t xml:space="preserve"> </w:t>
      </w:r>
      <w:r w:rsidRPr="00F43E2F">
        <w:rPr>
          <w:rFonts w:ascii="Calibri" w:eastAsiaTheme="minorHAnsi" w:hAnsi="Calibri" w:cs="Calibri"/>
          <w:sz w:val="24"/>
        </w:rPr>
        <w:t xml:space="preserve">STC zdůvodnila </w:t>
      </w:r>
      <w:r w:rsidR="00CC2CA1" w:rsidRPr="00F43E2F">
        <w:rPr>
          <w:rFonts w:ascii="Calibri" w:eastAsiaTheme="minorHAnsi" w:hAnsi="Calibri" w:cs="Calibri"/>
          <w:sz w:val="24"/>
        </w:rPr>
        <w:t xml:space="preserve">mj. </w:t>
      </w:r>
      <w:r w:rsidRPr="00F43E2F">
        <w:rPr>
          <w:rFonts w:ascii="Calibri" w:eastAsiaTheme="minorHAnsi" w:hAnsi="Calibri" w:cs="Calibri"/>
          <w:sz w:val="24"/>
        </w:rPr>
        <w:t>aktuální znalostí</w:t>
      </w:r>
      <w:r w:rsidR="00895A98" w:rsidRPr="00F43E2F">
        <w:rPr>
          <w:rFonts w:ascii="Calibri" w:eastAsiaTheme="minorHAnsi" w:hAnsi="Calibri" w:cs="Calibri"/>
          <w:sz w:val="24"/>
        </w:rPr>
        <w:t xml:space="preserve"> bezpečnosti datových sítí na MF.</w:t>
      </w:r>
      <w:r w:rsidR="00895A98" w:rsidRPr="00F43E2F">
        <w:rPr>
          <w:rFonts w:ascii="Calibri" w:eastAsiaTheme="minorHAnsi" w:hAnsi="Calibri" w:cs="Calibri"/>
          <w:b/>
          <w:sz w:val="24"/>
        </w:rPr>
        <w:t xml:space="preserve"> </w:t>
      </w:r>
      <w:r w:rsidR="00415166" w:rsidRPr="00F43E2F">
        <w:rPr>
          <w:rFonts w:ascii="Calibri" w:eastAsiaTheme="minorHAnsi" w:hAnsi="Calibri" w:cs="Calibri"/>
          <w:b/>
          <w:sz w:val="24"/>
        </w:rPr>
        <w:t>S</w:t>
      </w:r>
      <w:r w:rsidR="009B58F3" w:rsidRPr="00F43E2F">
        <w:rPr>
          <w:rFonts w:ascii="Calibri" w:eastAsiaTheme="minorHAnsi" w:hAnsi="Calibri" w:cs="Calibri"/>
          <w:b/>
          <w:sz w:val="24"/>
        </w:rPr>
        <w:t xml:space="preserve">ubdodavatelem této služby se stala </w:t>
      </w:r>
      <w:r w:rsidR="00D30413" w:rsidRPr="00F43E2F">
        <w:rPr>
          <w:rFonts w:ascii="Calibri" w:eastAsiaTheme="minorHAnsi" w:hAnsi="Calibri" w:cs="Calibri"/>
          <w:b/>
          <w:sz w:val="24"/>
        </w:rPr>
        <w:t>společnost, která přip</w:t>
      </w:r>
      <w:r w:rsidR="00537446">
        <w:rPr>
          <w:rFonts w:ascii="Calibri" w:eastAsiaTheme="minorHAnsi" w:hAnsi="Calibri" w:cs="Calibri"/>
          <w:b/>
          <w:sz w:val="24"/>
        </w:rPr>
        <w:t>ravila zadávací řízení pro MF k </w:t>
      </w:r>
      <w:r w:rsidR="00D30413" w:rsidRPr="00F43E2F">
        <w:rPr>
          <w:rFonts w:ascii="Calibri" w:eastAsiaTheme="minorHAnsi" w:hAnsi="Calibri" w:cs="Calibri"/>
          <w:b/>
          <w:sz w:val="24"/>
        </w:rPr>
        <w:t xml:space="preserve">zakázce na služby </w:t>
      </w:r>
      <w:proofErr w:type="spellStart"/>
      <w:r w:rsidR="00D30413" w:rsidRPr="00F43E2F">
        <w:rPr>
          <w:rFonts w:ascii="Calibri" w:eastAsiaTheme="minorHAnsi" w:hAnsi="Calibri" w:cs="Calibri"/>
          <w:b/>
          <w:sz w:val="24"/>
        </w:rPr>
        <w:t>Service</w:t>
      </w:r>
      <w:proofErr w:type="spellEnd"/>
      <w:r w:rsidR="00D30413" w:rsidRPr="00F43E2F">
        <w:rPr>
          <w:rFonts w:ascii="Calibri" w:eastAsiaTheme="minorHAnsi" w:hAnsi="Calibri" w:cs="Calibri"/>
          <w:b/>
          <w:sz w:val="24"/>
        </w:rPr>
        <w:t xml:space="preserve"> </w:t>
      </w:r>
      <w:proofErr w:type="spellStart"/>
      <w:r w:rsidR="00D30413" w:rsidRPr="00F43E2F">
        <w:rPr>
          <w:rFonts w:ascii="Calibri" w:eastAsiaTheme="minorHAnsi" w:hAnsi="Calibri" w:cs="Calibri"/>
          <w:b/>
          <w:sz w:val="24"/>
        </w:rPr>
        <w:t>Desk</w:t>
      </w:r>
      <w:proofErr w:type="spellEnd"/>
      <w:r w:rsidR="00D30413" w:rsidRPr="00F43E2F">
        <w:rPr>
          <w:rFonts w:ascii="Calibri" w:eastAsiaTheme="minorHAnsi" w:hAnsi="Calibri" w:cs="Calibri"/>
          <w:b/>
          <w:sz w:val="24"/>
        </w:rPr>
        <w:t xml:space="preserve"> a byla </w:t>
      </w:r>
      <w:r w:rsidR="00743FE2" w:rsidRPr="00F43E2F">
        <w:rPr>
          <w:rFonts w:ascii="Calibri" w:eastAsiaTheme="minorHAnsi" w:hAnsi="Calibri" w:cs="Calibri"/>
          <w:b/>
          <w:sz w:val="24"/>
        </w:rPr>
        <w:t xml:space="preserve">také </w:t>
      </w:r>
      <w:r w:rsidR="00D30413" w:rsidRPr="00F43E2F">
        <w:rPr>
          <w:rFonts w:ascii="Calibri" w:eastAsiaTheme="minorHAnsi" w:hAnsi="Calibri" w:cs="Calibri"/>
          <w:b/>
          <w:sz w:val="24"/>
        </w:rPr>
        <w:t>původcem utajeného dokumentu, na jehož základě byla zakázka zadána bez soutěže v režimu utajení</w:t>
      </w:r>
      <w:r w:rsidR="009B58F3" w:rsidRPr="00F43E2F">
        <w:rPr>
          <w:rFonts w:ascii="Calibri" w:eastAsiaTheme="minorHAnsi" w:hAnsi="Calibri" w:cs="Calibri"/>
          <w:b/>
          <w:sz w:val="24"/>
        </w:rPr>
        <w:t>.</w:t>
      </w:r>
    </w:p>
    <w:p w:rsidR="00A5791A" w:rsidRDefault="00A5791A" w:rsidP="00F43E2F">
      <w:pPr>
        <w:spacing w:after="0"/>
        <w:rPr>
          <w:rFonts w:ascii="Calibri" w:eastAsiaTheme="minorHAnsi" w:hAnsi="Calibri" w:cs="Calibri"/>
          <w:sz w:val="24"/>
        </w:rPr>
      </w:pPr>
    </w:p>
    <w:p w:rsidR="009C0879" w:rsidRDefault="00CC2CA1" w:rsidP="00F43E2F">
      <w:pPr>
        <w:spacing w:after="0"/>
        <w:rPr>
          <w:rFonts w:ascii="Calibri" w:eastAsiaTheme="minorHAnsi" w:hAnsi="Calibri" w:cs="Calibri"/>
          <w:sz w:val="24"/>
        </w:rPr>
      </w:pPr>
      <w:r w:rsidRPr="00F43E2F">
        <w:rPr>
          <w:rFonts w:ascii="Calibri" w:eastAsiaTheme="minorHAnsi" w:hAnsi="Calibri" w:cs="Calibri"/>
          <w:sz w:val="24"/>
        </w:rPr>
        <w:t xml:space="preserve">Veřejnou zakázku na zajištění provozu státní pokladny zadalo </w:t>
      </w:r>
      <w:r w:rsidR="00AC5665" w:rsidRPr="00F43E2F">
        <w:rPr>
          <w:rFonts w:ascii="Calibri" w:eastAsiaTheme="minorHAnsi" w:hAnsi="Calibri" w:cs="Calibri"/>
          <w:sz w:val="24"/>
        </w:rPr>
        <w:t xml:space="preserve">MF </w:t>
      </w:r>
      <w:r w:rsidR="00057C85" w:rsidRPr="00F43E2F">
        <w:rPr>
          <w:rFonts w:ascii="Calibri" w:eastAsiaTheme="minorHAnsi" w:hAnsi="Calibri" w:cs="Calibri"/>
          <w:sz w:val="24"/>
        </w:rPr>
        <w:t xml:space="preserve">také </w:t>
      </w:r>
      <w:r w:rsidR="00397459" w:rsidRPr="00F43E2F">
        <w:rPr>
          <w:rFonts w:ascii="Calibri" w:eastAsiaTheme="minorHAnsi" w:hAnsi="Calibri" w:cs="Calibri"/>
          <w:sz w:val="24"/>
        </w:rPr>
        <w:t xml:space="preserve">v režimu utajení </w:t>
      </w:r>
      <w:r w:rsidR="000D573D" w:rsidRPr="00F43E2F">
        <w:rPr>
          <w:rFonts w:ascii="Calibri" w:eastAsiaTheme="minorHAnsi" w:hAnsi="Calibri" w:cs="Calibri"/>
          <w:sz w:val="24"/>
        </w:rPr>
        <w:t>na </w:t>
      </w:r>
      <w:r w:rsidR="009C0879" w:rsidRPr="00F43E2F">
        <w:rPr>
          <w:rFonts w:ascii="Calibri" w:eastAsiaTheme="minorHAnsi" w:hAnsi="Calibri" w:cs="Calibri"/>
          <w:sz w:val="24"/>
        </w:rPr>
        <w:t xml:space="preserve">základě výjimky </w:t>
      </w:r>
      <w:r w:rsidR="00397459" w:rsidRPr="00F43E2F">
        <w:rPr>
          <w:rFonts w:ascii="Calibri" w:eastAsiaTheme="minorHAnsi" w:hAnsi="Calibri" w:cs="Calibri"/>
          <w:sz w:val="24"/>
        </w:rPr>
        <w:t>ze</w:t>
      </w:r>
      <w:r w:rsidR="009C0879" w:rsidRPr="00F43E2F">
        <w:rPr>
          <w:rFonts w:ascii="Calibri" w:eastAsiaTheme="minorHAnsi" w:hAnsi="Calibri" w:cs="Calibri"/>
          <w:sz w:val="24"/>
        </w:rPr>
        <w:t xml:space="preserve"> zákona o veřejných zakázkách</w:t>
      </w:r>
      <w:r w:rsidR="00057C85" w:rsidRPr="00F43E2F">
        <w:rPr>
          <w:rFonts w:ascii="Calibri" w:eastAsiaTheme="minorHAnsi" w:hAnsi="Calibri" w:cs="Calibri"/>
          <w:sz w:val="24"/>
        </w:rPr>
        <w:t xml:space="preserve">. </w:t>
      </w:r>
      <w:r w:rsidR="005A411B" w:rsidRPr="00F43E2F">
        <w:rPr>
          <w:rFonts w:ascii="Calibri" w:eastAsiaTheme="minorHAnsi" w:hAnsi="Calibri" w:cs="Calibri"/>
          <w:sz w:val="24"/>
        </w:rPr>
        <w:t>N</w:t>
      </w:r>
      <w:r w:rsidR="009C0879" w:rsidRPr="00F43E2F">
        <w:rPr>
          <w:rFonts w:ascii="Calibri" w:eastAsiaTheme="minorHAnsi" w:hAnsi="Calibri" w:cs="Calibri"/>
          <w:sz w:val="24"/>
        </w:rPr>
        <w:t xml:space="preserve">ásledně </w:t>
      </w:r>
      <w:r w:rsidR="005A411B" w:rsidRPr="00F43E2F">
        <w:rPr>
          <w:rFonts w:ascii="Calibri" w:eastAsiaTheme="minorHAnsi" w:hAnsi="Calibri" w:cs="Calibri"/>
          <w:sz w:val="24"/>
        </w:rPr>
        <w:t>MF</w:t>
      </w:r>
      <w:r w:rsidR="00743FE2">
        <w:rPr>
          <w:rFonts w:ascii="Calibri" w:eastAsiaTheme="minorHAnsi" w:hAnsi="Calibri" w:cs="Calibri"/>
          <w:sz w:val="24"/>
        </w:rPr>
        <w:t xml:space="preserve"> uzavřelo</w:t>
      </w:r>
      <w:r w:rsidR="005A411B" w:rsidRPr="00F43E2F">
        <w:rPr>
          <w:rFonts w:ascii="Calibri" w:eastAsiaTheme="minorHAnsi" w:hAnsi="Calibri" w:cs="Calibri"/>
          <w:sz w:val="24"/>
        </w:rPr>
        <w:t xml:space="preserve"> se státním podnikem</w:t>
      </w:r>
      <w:r w:rsidR="009C0879" w:rsidRPr="00F43E2F">
        <w:rPr>
          <w:rFonts w:ascii="Calibri" w:eastAsiaTheme="minorHAnsi" w:hAnsi="Calibri" w:cs="Calibri"/>
          <w:sz w:val="24"/>
        </w:rPr>
        <w:t xml:space="preserve"> v listopadu 2009 smlouvu</w:t>
      </w:r>
      <w:r w:rsidR="00057C85" w:rsidRPr="00F43E2F">
        <w:rPr>
          <w:rFonts w:ascii="Calibri" w:eastAsiaTheme="minorHAnsi" w:hAnsi="Calibri" w:cs="Calibri"/>
          <w:sz w:val="24"/>
        </w:rPr>
        <w:t xml:space="preserve"> </w:t>
      </w:r>
      <w:r w:rsidR="005A411B" w:rsidRPr="00F43E2F">
        <w:rPr>
          <w:rFonts w:ascii="Calibri" w:eastAsiaTheme="minorHAnsi" w:hAnsi="Calibri" w:cs="Calibri"/>
          <w:sz w:val="24"/>
        </w:rPr>
        <w:t>na dobu neurčitou</w:t>
      </w:r>
      <w:r w:rsidR="000E28F1" w:rsidRPr="00F43E2F">
        <w:rPr>
          <w:rFonts w:ascii="Calibri" w:eastAsiaTheme="minorHAnsi" w:hAnsi="Calibri" w:cs="Calibri"/>
          <w:sz w:val="24"/>
        </w:rPr>
        <w:t xml:space="preserve">. </w:t>
      </w:r>
    </w:p>
    <w:p w:rsidR="00A5791A" w:rsidRPr="00F43E2F" w:rsidRDefault="00A5791A" w:rsidP="00F43E2F">
      <w:pPr>
        <w:spacing w:after="0"/>
        <w:rPr>
          <w:rFonts w:ascii="Calibri" w:eastAsiaTheme="minorHAnsi" w:hAnsi="Calibri" w:cs="Calibri"/>
          <w:sz w:val="24"/>
        </w:rPr>
      </w:pPr>
    </w:p>
    <w:p w:rsidR="005127C1" w:rsidRDefault="009C0879" w:rsidP="00F43E2F">
      <w:pPr>
        <w:spacing w:after="0"/>
        <w:rPr>
          <w:rFonts w:ascii="Calibri" w:eastAsiaTheme="minorHAnsi" w:hAnsi="Calibri" w:cs="Calibri"/>
          <w:sz w:val="24"/>
        </w:rPr>
      </w:pPr>
      <w:r w:rsidRPr="00F43E2F">
        <w:rPr>
          <w:rFonts w:ascii="Calibri" w:eastAsiaTheme="minorHAnsi" w:hAnsi="Calibri" w:cs="Calibri"/>
          <w:sz w:val="24"/>
        </w:rPr>
        <w:t>Utaj</w:t>
      </w:r>
      <w:r w:rsidR="00743FE2">
        <w:rPr>
          <w:rFonts w:ascii="Calibri" w:eastAsiaTheme="minorHAnsi" w:hAnsi="Calibri" w:cs="Calibri"/>
          <w:sz w:val="24"/>
        </w:rPr>
        <w:t>ova</w:t>
      </w:r>
      <w:r w:rsidRPr="00F43E2F">
        <w:rPr>
          <w:rFonts w:ascii="Calibri" w:eastAsiaTheme="minorHAnsi" w:hAnsi="Calibri" w:cs="Calibri"/>
          <w:sz w:val="24"/>
        </w:rPr>
        <w:t>n</w:t>
      </w:r>
      <w:r w:rsidR="005F61EF" w:rsidRPr="00F43E2F">
        <w:rPr>
          <w:rFonts w:ascii="Calibri" w:eastAsiaTheme="minorHAnsi" w:hAnsi="Calibri" w:cs="Calibri"/>
          <w:sz w:val="24"/>
        </w:rPr>
        <w:t>á</w:t>
      </w:r>
      <w:r w:rsidRPr="00F43E2F">
        <w:rPr>
          <w:rFonts w:ascii="Calibri" w:eastAsiaTheme="minorHAnsi" w:hAnsi="Calibri" w:cs="Calibri"/>
          <w:sz w:val="24"/>
        </w:rPr>
        <w:t xml:space="preserve"> část zadávací dokumentace </w:t>
      </w:r>
      <w:r w:rsidR="008A25DC" w:rsidRPr="00F43E2F">
        <w:rPr>
          <w:rFonts w:ascii="Calibri" w:eastAsiaTheme="minorHAnsi" w:hAnsi="Calibri" w:cs="Calibri"/>
          <w:sz w:val="24"/>
        </w:rPr>
        <w:t xml:space="preserve">obou zakázek </w:t>
      </w:r>
      <w:r w:rsidRPr="00F43E2F">
        <w:rPr>
          <w:rFonts w:ascii="Calibri" w:eastAsiaTheme="minorHAnsi" w:hAnsi="Calibri" w:cs="Calibri"/>
          <w:sz w:val="24"/>
        </w:rPr>
        <w:t xml:space="preserve">spadá pod specifikaci utajovaných informací dle </w:t>
      </w:r>
      <w:r w:rsidR="00390149" w:rsidRPr="00F43E2F">
        <w:rPr>
          <w:rFonts w:ascii="Calibri" w:eastAsiaTheme="minorHAnsi" w:hAnsi="Calibri" w:cs="Calibri"/>
          <w:sz w:val="24"/>
        </w:rPr>
        <w:t>n</w:t>
      </w:r>
      <w:r w:rsidRPr="00F43E2F">
        <w:rPr>
          <w:rFonts w:ascii="Calibri" w:eastAsiaTheme="minorHAnsi" w:hAnsi="Calibri" w:cs="Calibri"/>
          <w:sz w:val="24"/>
        </w:rPr>
        <w:t>ařízení vlády č. 522/2005 Sb.</w:t>
      </w:r>
      <w:r w:rsidR="00DC3D7C" w:rsidRPr="00F43E2F">
        <w:rPr>
          <w:rStyle w:val="Znakapoznpodarou"/>
          <w:rFonts w:ascii="Calibri" w:eastAsiaTheme="minorHAnsi" w:hAnsi="Calibri" w:cs="Calibri"/>
          <w:sz w:val="24"/>
        </w:rPr>
        <w:footnoteReference w:id="21"/>
      </w:r>
      <w:r w:rsidRPr="00F43E2F">
        <w:rPr>
          <w:rFonts w:ascii="Calibri" w:eastAsiaTheme="minorHAnsi" w:hAnsi="Calibri" w:cs="Calibri"/>
          <w:sz w:val="24"/>
        </w:rPr>
        <w:t xml:space="preserve"> Tato specifikace byla </w:t>
      </w:r>
      <w:r w:rsidR="008A25DC" w:rsidRPr="00F43E2F">
        <w:rPr>
          <w:rFonts w:ascii="Calibri" w:eastAsiaTheme="minorHAnsi" w:hAnsi="Calibri" w:cs="Calibri"/>
          <w:sz w:val="24"/>
        </w:rPr>
        <w:t xml:space="preserve">do nařízení vlády </w:t>
      </w:r>
      <w:r w:rsidRPr="00F43E2F">
        <w:rPr>
          <w:rFonts w:ascii="Calibri" w:eastAsiaTheme="minorHAnsi" w:hAnsi="Calibri" w:cs="Calibri"/>
          <w:sz w:val="24"/>
        </w:rPr>
        <w:t>doplněn</w:t>
      </w:r>
      <w:r w:rsidR="00743FE2">
        <w:rPr>
          <w:rFonts w:ascii="Calibri" w:eastAsiaTheme="minorHAnsi" w:hAnsi="Calibri" w:cs="Calibri"/>
          <w:sz w:val="24"/>
        </w:rPr>
        <w:t>a</w:t>
      </w:r>
      <w:r w:rsidRPr="00F43E2F">
        <w:rPr>
          <w:rFonts w:ascii="Calibri" w:eastAsiaTheme="minorHAnsi" w:hAnsi="Calibri" w:cs="Calibri"/>
          <w:sz w:val="24"/>
        </w:rPr>
        <w:t xml:space="preserve"> v době přípravy </w:t>
      </w:r>
      <w:r w:rsidR="00A45FAB" w:rsidRPr="00F43E2F">
        <w:rPr>
          <w:rFonts w:ascii="Calibri" w:eastAsiaTheme="minorHAnsi" w:hAnsi="Calibri" w:cs="Calibri"/>
          <w:sz w:val="24"/>
        </w:rPr>
        <w:t xml:space="preserve">zadávací dokumentace výše uvedených </w:t>
      </w:r>
      <w:r w:rsidR="008A25DC" w:rsidRPr="00F43E2F">
        <w:rPr>
          <w:rFonts w:ascii="Calibri" w:eastAsiaTheme="minorHAnsi" w:hAnsi="Calibri" w:cs="Calibri"/>
          <w:sz w:val="24"/>
        </w:rPr>
        <w:t>veřejných zakázek</w:t>
      </w:r>
      <w:r w:rsidRPr="00F43E2F">
        <w:rPr>
          <w:rFonts w:ascii="Calibri" w:eastAsiaTheme="minorHAnsi" w:hAnsi="Calibri" w:cs="Calibri"/>
          <w:sz w:val="24"/>
        </w:rPr>
        <w:t xml:space="preserve">. </w:t>
      </w:r>
      <w:r w:rsidR="005127C1" w:rsidRPr="00F43E2F">
        <w:rPr>
          <w:rFonts w:ascii="Calibri" w:eastAsiaTheme="minorHAnsi" w:hAnsi="Calibri" w:cs="Calibri"/>
          <w:sz w:val="24"/>
        </w:rPr>
        <w:t xml:space="preserve">Z kontrolní akce NKÚ č. 12/09, </w:t>
      </w:r>
      <w:r w:rsidR="00743FE2">
        <w:rPr>
          <w:rFonts w:ascii="Calibri" w:eastAsiaTheme="minorHAnsi" w:hAnsi="Calibri" w:cs="Calibri"/>
          <w:sz w:val="24"/>
        </w:rPr>
        <w:t>jejímž</w:t>
      </w:r>
      <w:r w:rsidR="005127C1" w:rsidRPr="00F43E2F">
        <w:rPr>
          <w:rFonts w:ascii="Calibri" w:eastAsiaTheme="minorHAnsi" w:hAnsi="Calibri" w:cs="Calibri"/>
          <w:sz w:val="24"/>
        </w:rPr>
        <w:t xml:space="preserve"> předmětem byla dodávka </w:t>
      </w:r>
      <w:r w:rsidR="00B05A02" w:rsidRPr="00D963DC">
        <w:rPr>
          <w:rFonts w:ascii="Calibri" w:eastAsiaTheme="minorHAnsi" w:hAnsi="Calibri" w:cs="Calibri"/>
          <w:i/>
          <w:sz w:val="24"/>
        </w:rPr>
        <w:t>Integrovan</w:t>
      </w:r>
      <w:r w:rsidR="005127C1" w:rsidRPr="00D963DC">
        <w:rPr>
          <w:rFonts w:ascii="Calibri" w:eastAsiaTheme="minorHAnsi" w:hAnsi="Calibri" w:cs="Calibri"/>
          <w:i/>
          <w:sz w:val="24"/>
        </w:rPr>
        <w:t>ého</w:t>
      </w:r>
      <w:r w:rsidR="00B05A02" w:rsidRPr="00D963DC">
        <w:rPr>
          <w:rFonts w:ascii="Calibri" w:eastAsiaTheme="minorHAnsi" w:hAnsi="Calibri" w:cs="Calibri"/>
          <w:i/>
          <w:sz w:val="24"/>
        </w:rPr>
        <w:t xml:space="preserve"> i</w:t>
      </w:r>
      <w:r w:rsidR="00A45FAB" w:rsidRPr="00D963DC">
        <w:rPr>
          <w:rFonts w:ascii="Calibri" w:eastAsiaTheme="minorHAnsi" w:hAnsi="Calibri" w:cs="Calibri"/>
          <w:i/>
          <w:sz w:val="24"/>
        </w:rPr>
        <w:t>nformační</w:t>
      </w:r>
      <w:r w:rsidR="005127C1" w:rsidRPr="00D963DC">
        <w:rPr>
          <w:rFonts w:ascii="Calibri" w:eastAsiaTheme="minorHAnsi" w:hAnsi="Calibri" w:cs="Calibri"/>
          <w:i/>
          <w:sz w:val="24"/>
        </w:rPr>
        <w:t>ho</w:t>
      </w:r>
      <w:r w:rsidR="00A45FAB" w:rsidRPr="00D963DC">
        <w:rPr>
          <w:rFonts w:ascii="Calibri" w:eastAsiaTheme="minorHAnsi" w:hAnsi="Calibri" w:cs="Calibri"/>
          <w:i/>
          <w:sz w:val="24"/>
        </w:rPr>
        <w:t xml:space="preserve"> systém</w:t>
      </w:r>
      <w:r w:rsidR="005127C1" w:rsidRPr="00D963DC">
        <w:rPr>
          <w:rFonts w:ascii="Calibri" w:eastAsiaTheme="minorHAnsi" w:hAnsi="Calibri" w:cs="Calibri"/>
          <w:i/>
          <w:sz w:val="24"/>
        </w:rPr>
        <w:t>u</w:t>
      </w:r>
      <w:r w:rsidR="00A45FAB" w:rsidRPr="00D963DC">
        <w:rPr>
          <w:rFonts w:ascii="Calibri" w:eastAsiaTheme="minorHAnsi" w:hAnsi="Calibri" w:cs="Calibri"/>
          <w:i/>
          <w:sz w:val="24"/>
        </w:rPr>
        <w:t xml:space="preserve"> Státní pokladny</w:t>
      </w:r>
      <w:r w:rsidR="005127C1" w:rsidRPr="00F43E2F">
        <w:rPr>
          <w:rFonts w:ascii="Calibri" w:eastAsiaTheme="minorHAnsi" w:hAnsi="Calibri" w:cs="Calibri"/>
          <w:sz w:val="24"/>
        </w:rPr>
        <w:t xml:space="preserve">, vyplynulo, </w:t>
      </w:r>
      <w:r w:rsidR="00A45FAB" w:rsidRPr="00F43E2F">
        <w:rPr>
          <w:rFonts w:ascii="Calibri" w:eastAsiaTheme="minorHAnsi" w:hAnsi="Calibri" w:cs="Calibri"/>
          <w:sz w:val="24"/>
        </w:rPr>
        <w:t xml:space="preserve">že </w:t>
      </w:r>
      <w:r w:rsidR="00AC5F70" w:rsidRPr="00F43E2F">
        <w:rPr>
          <w:rFonts w:ascii="Calibri" w:eastAsiaTheme="minorHAnsi" w:hAnsi="Calibri" w:cs="Calibri"/>
          <w:sz w:val="24"/>
        </w:rPr>
        <w:t>tato dodávka byla soutěžena v otevřeném řízení. Z</w:t>
      </w:r>
      <w:r w:rsidR="00A45FAB" w:rsidRPr="00F43E2F">
        <w:rPr>
          <w:rFonts w:ascii="Calibri" w:eastAsiaTheme="minorHAnsi" w:hAnsi="Calibri" w:cs="Calibri"/>
          <w:sz w:val="24"/>
        </w:rPr>
        <w:t>akázka na</w:t>
      </w:r>
      <w:r w:rsidR="00AC5F70" w:rsidRPr="00F43E2F">
        <w:rPr>
          <w:rFonts w:ascii="Calibri" w:eastAsiaTheme="minorHAnsi" w:hAnsi="Calibri" w:cs="Calibri"/>
          <w:sz w:val="24"/>
        </w:rPr>
        <w:t xml:space="preserve"> </w:t>
      </w:r>
      <w:r w:rsidR="005127C1" w:rsidRPr="00F43E2F">
        <w:rPr>
          <w:rFonts w:ascii="Calibri" w:eastAsiaTheme="minorHAnsi" w:hAnsi="Calibri" w:cs="Calibri"/>
          <w:sz w:val="24"/>
        </w:rPr>
        <w:t>provoz</w:t>
      </w:r>
      <w:r w:rsidR="00743FE2">
        <w:rPr>
          <w:rFonts w:ascii="Calibri" w:eastAsiaTheme="minorHAnsi" w:hAnsi="Calibri" w:cs="Calibri"/>
          <w:sz w:val="24"/>
        </w:rPr>
        <w:t xml:space="preserve"> tohoto IS</w:t>
      </w:r>
      <w:r w:rsidR="005127C1" w:rsidRPr="00F43E2F">
        <w:rPr>
          <w:rFonts w:ascii="Calibri" w:eastAsiaTheme="minorHAnsi" w:hAnsi="Calibri" w:cs="Calibri"/>
          <w:sz w:val="24"/>
        </w:rPr>
        <w:t xml:space="preserve"> </w:t>
      </w:r>
      <w:r w:rsidR="00AC5F70" w:rsidRPr="00F43E2F">
        <w:rPr>
          <w:rFonts w:ascii="Calibri" w:eastAsiaTheme="minorHAnsi" w:hAnsi="Calibri" w:cs="Calibri"/>
          <w:sz w:val="24"/>
        </w:rPr>
        <w:t xml:space="preserve">však </w:t>
      </w:r>
      <w:r w:rsidR="005127C1" w:rsidRPr="00F43E2F">
        <w:rPr>
          <w:rFonts w:ascii="Calibri" w:eastAsiaTheme="minorHAnsi" w:hAnsi="Calibri" w:cs="Calibri"/>
          <w:sz w:val="24"/>
        </w:rPr>
        <w:t xml:space="preserve">byla </w:t>
      </w:r>
      <w:r w:rsidR="00AC5F70" w:rsidRPr="00F43E2F">
        <w:rPr>
          <w:rFonts w:ascii="Calibri" w:eastAsiaTheme="minorHAnsi" w:hAnsi="Calibri" w:cs="Calibri"/>
          <w:sz w:val="24"/>
        </w:rPr>
        <w:t xml:space="preserve">následně </w:t>
      </w:r>
      <w:r w:rsidR="005127C1" w:rsidRPr="00F43E2F">
        <w:rPr>
          <w:rFonts w:ascii="Calibri" w:eastAsiaTheme="minorHAnsi" w:hAnsi="Calibri" w:cs="Calibri"/>
          <w:sz w:val="24"/>
        </w:rPr>
        <w:t xml:space="preserve">zadána </w:t>
      </w:r>
      <w:r w:rsidR="00AC5F70" w:rsidRPr="00F43E2F">
        <w:rPr>
          <w:rFonts w:ascii="Calibri" w:eastAsiaTheme="minorHAnsi" w:hAnsi="Calibri" w:cs="Calibri"/>
          <w:sz w:val="24"/>
        </w:rPr>
        <w:t>bez soutěže</w:t>
      </w:r>
      <w:r w:rsidR="005127C1" w:rsidRPr="00F43E2F">
        <w:rPr>
          <w:rFonts w:ascii="Calibri" w:eastAsiaTheme="minorHAnsi" w:hAnsi="Calibri" w:cs="Calibri"/>
          <w:sz w:val="24"/>
        </w:rPr>
        <w:t xml:space="preserve"> v režimu utajení.</w:t>
      </w:r>
    </w:p>
    <w:p w:rsidR="00A5791A" w:rsidRPr="00F43E2F" w:rsidRDefault="00A5791A" w:rsidP="00F43E2F">
      <w:pPr>
        <w:spacing w:after="0"/>
        <w:rPr>
          <w:rFonts w:ascii="Calibri" w:eastAsiaTheme="minorHAnsi" w:hAnsi="Calibri" w:cs="Calibri"/>
          <w:sz w:val="24"/>
        </w:rPr>
      </w:pPr>
    </w:p>
    <w:p w:rsidR="009C0879" w:rsidRDefault="009C0879" w:rsidP="00F43E2F">
      <w:pPr>
        <w:spacing w:after="0"/>
        <w:rPr>
          <w:rFonts w:ascii="Calibri" w:eastAsiaTheme="minorHAnsi" w:hAnsi="Calibri" w:cs="Calibri"/>
          <w:sz w:val="24"/>
        </w:rPr>
      </w:pPr>
      <w:r w:rsidRPr="00F43E2F">
        <w:rPr>
          <w:rFonts w:ascii="Calibri" w:eastAsiaTheme="minorHAnsi" w:hAnsi="Calibri" w:cs="Calibri"/>
          <w:sz w:val="24"/>
        </w:rPr>
        <w:t>V roce 2009 zákon o ochraně utajovaných informací</w:t>
      </w:r>
      <w:r w:rsidR="00D45A27" w:rsidRPr="00F43E2F">
        <w:rPr>
          <w:rStyle w:val="Znakapoznpodarou"/>
          <w:rFonts w:ascii="Calibri" w:eastAsiaTheme="minorHAnsi" w:hAnsi="Calibri" w:cs="Calibri"/>
          <w:sz w:val="24"/>
        </w:rPr>
        <w:footnoteReference w:id="22"/>
      </w:r>
      <w:r w:rsidRPr="00F43E2F">
        <w:rPr>
          <w:rFonts w:ascii="Calibri" w:eastAsiaTheme="minorHAnsi" w:hAnsi="Calibri" w:cs="Calibri"/>
          <w:sz w:val="24"/>
        </w:rPr>
        <w:t xml:space="preserve"> umožňoval </w:t>
      </w:r>
      <w:r w:rsidR="00D45A27" w:rsidRPr="00F43E2F">
        <w:rPr>
          <w:rFonts w:ascii="Calibri" w:eastAsiaTheme="minorHAnsi" w:hAnsi="Calibri" w:cs="Calibri"/>
          <w:sz w:val="24"/>
        </w:rPr>
        <w:t>MF jako zadavateli zakázky</w:t>
      </w:r>
      <w:r w:rsidRPr="00F43E2F">
        <w:rPr>
          <w:rFonts w:ascii="Calibri" w:eastAsiaTheme="minorHAnsi" w:hAnsi="Calibri" w:cs="Calibri"/>
          <w:sz w:val="24"/>
        </w:rPr>
        <w:t xml:space="preserve"> utajit dokument, který dle jeho názoru obsahoval informace, které </w:t>
      </w:r>
      <w:r w:rsidR="00743FE2">
        <w:rPr>
          <w:rFonts w:ascii="Calibri" w:eastAsiaTheme="minorHAnsi" w:hAnsi="Calibri" w:cs="Calibri"/>
          <w:sz w:val="24"/>
        </w:rPr>
        <w:t>byly uvedeny v </w:t>
      </w:r>
      <w:r w:rsidRPr="00F43E2F">
        <w:rPr>
          <w:rFonts w:ascii="Calibri" w:eastAsiaTheme="minorHAnsi" w:hAnsi="Calibri" w:cs="Calibri"/>
          <w:sz w:val="24"/>
        </w:rPr>
        <w:t>seznamu utajovaných informací, a následně zadat zakázku v příslušném stupni utajení vybranému uchazeči. Od 1. 1. 2012 vstoupila v </w:t>
      </w:r>
      <w:r w:rsidR="00793859" w:rsidRPr="00F43E2F">
        <w:rPr>
          <w:rFonts w:ascii="Calibri" w:eastAsiaTheme="minorHAnsi" w:hAnsi="Calibri" w:cs="Calibri"/>
          <w:sz w:val="24"/>
        </w:rPr>
        <w:t xml:space="preserve">účinnost </w:t>
      </w:r>
      <w:r w:rsidRPr="00F43E2F">
        <w:rPr>
          <w:rFonts w:ascii="Calibri" w:eastAsiaTheme="minorHAnsi" w:hAnsi="Calibri" w:cs="Calibri"/>
          <w:sz w:val="24"/>
        </w:rPr>
        <w:t>novela zákona o ochraně utajovaných informací</w:t>
      </w:r>
      <w:r w:rsidR="00310A12" w:rsidRPr="00F43E2F">
        <w:rPr>
          <w:rStyle w:val="Znakapoznpodarou"/>
          <w:rFonts w:ascii="Calibri" w:eastAsiaTheme="minorHAnsi" w:hAnsi="Calibri" w:cs="Calibri"/>
          <w:sz w:val="24"/>
        </w:rPr>
        <w:footnoteReference w:id="23"/>
      </w:r>
      <w:r w:rsidRPr="00F43E2F">
        <w:rPr>
          <w:rFonts w:ascii="Calibri" w:eastAsiaTheme="minorHAnsi" w:hAnsi="Calibri" w:cs="Calibri"/>
          <w:sz w:val="24"/>
        </w:rPr>
        <w:t xml:space="preserve">, která nově stanovila </w:t>
      </w:r>
      <w:r w:rsidR="00743FE2">
        <w:rPr>
          <w:rFonts w:ascii="Calibri" w:eastAsiaTheme="minorHAnsi" w:hAnsi="Calibri" w:cs="Calibri"/>
          <w:sz w:val="24"/>
        </w:rPr>
        <w:t xml:space="preserve">pro </w:t>
      </w:r>
      <w:r w:rsidRPr="00F43E2F">
        <w:rPr>
          <w:rFonts w:ascii="Calibri" w:eastAsiaTheme="minorHAnsi" w:hAnsi="Calibri" w:cs="Calibri"/>
          <w:sz w:val="24"/>
        </w:rPr>
        <w:t>zadavatel</w:t>
      </w:r>
      <w:r w:rsidR="00743FE2">
        <w:rPr>
          <w:rFonts w:ascii="Calibri" w:eastAsiaTheme="minorHAnsi" w:hAnsi="Calibri" w:cs="Calibri"/>
          <w:sz w:val="24"/>
        </w:rPr>
        <w:t>e povinnost</w:t>
      </w:r>
      <w:r w:rsidRPr="00F43E2F">
        <w:rPr>
          <w:rFonts w:ascii="Calibri" w:eastAsiaTheme="minorHAnsi" w:hAnsi="Calibri" w:cs="Calibri"/>
          <w:sz w:val="24"/>
        </w:rPr>
        <w:t xml:space="preserve"> písemně ohlásit Národnímu bezpečnostnímu úřadu záměr zadat zakázku z důvodu ochrany utajovaných informací. </w:t>
      </w:r>
      <w:r w:rsidR="007F344F" w:rsidRPr="00F43E2F">
        <w:rPr>
          <w:rFonts w:ascii="Calibri" w:eastAsiaTheme="minorHAnsi" w:hAnsi="Calibri" w:cs="Calibri"/>
          <w:sz w:val="24"/>
        </w:rPr>
        <w:t>T</w:t>
      </w:r>
      <w:r w:rsidR="00AC5F70" w:rsidRPr="00F43E2F">
        <w:rPr>
          <w:rFonts w:ascii="Calibri" w:eastAsiaTheme="minorHAnsi" w:hAnsi="Calibri" w:cs="Calibri"/>
          <w:sz w:val="24"/>
        </w:rPr>
        <w:t>y</w:t>
      </w:r>
      <w:r w:rsidRPr="00F43E2F">
        <w:rPr>
          <w:rFonts w:ascii="Calibri" w:eastAsiaTheme="minorHAnsi" w:hAnsi="Calibri" w:cs="Calibri"/>
          <w:sz w:val="24"/>
        </w:rPr>
        <w:t>to zakázk</w:t>
      </w:r>
      <w:r w:rsidR="00AC5F70" w:rsidRPr="00F43E2F">
        <w:rPr>
          <w:rFonts w:ascii="Calibri" w:eastAsiaTheme="minorHAnsi" w:hAnsi="Calibri" w:cs="Calibri"/>
          <w:sz w:val="24"/>
        </w:rPr>
        <w:t>y, které jsou uzavřeny</w:t>
      </w:r>
      <w:r w:rsidR="00BF1010" w:rsidRPr="00F43E2F">
        <w:rPr>
          <w:rFonts w:ascii="Calibri" w:eastAsiaTheme="minorHAnsi" w:hAnsi="Calibri" w:cs="Calibri"/>
          <w:sz w:val="24"/>
        </w:rPr>
        <w:t xml:space="preserve"> na dobu neurčitou,</w:t>
      </w:r>
      <w:r w:rsidRPr="00F43E2F">
        <w:rPr>
          <w:rFonts w:ascii="Calibri" w:eastAsiaTheme="minorHAnsi" w:hAnsi="Calibri" w:cs="Calibri"/>
          <w:sz w:val="24"/>
        </w:rPr>
        <w:t xml:space="preserve"> </w:t>
      </w:r>
      <w:r w:rsidR="007F344F" w:rsidRPr="00F43E2F">
        <w:rPr>
          <w:rFonts w:ascii="Calibri" w:eastAsiaTheme="minorHAnsi" w:hAnsi="Calibri" w:cs="Calibri"/>
          <w:sz w:val="24"/>
        </w:rPr>
        <w:t xml:space="preserve">však </w:t>
      </w:r>
      <w:r w:rsidRPr="00F43E2F">
        <w:rPr>
          <w:rFonts w:ascii="Calibri" w:eastAsiaTheme="minorHAnsi" w:hAnsi="Calibri" w:cs="Calibri"/>
          <w:sz w:val="24"/>
        </w:rPr>
        <w:t>byl</w:t>
      </w:r>
      <w:r w:rsidR="00AC5F70" w:rsidRPr="00F43E2F">
        <w:rPr>
          <w:rFonts w:ascii="Calibri" w:eastAsiaTheme="minorHAnsi" w:hAnsi="Calibri" w:cs="Calibri"/>
          <w:sz w:val="24"/>
        </w:rPr>
        <w:t>y</w:t>
      </w:r>
      <w:r w:rsidRPr="00F43E2F">
        <w:rPr>
          <w:rFonts w:ascii="Calibri" w:eastAsiaTheme="minorHAnsi" w:hAnsi="Calibri" w:cs="Calibri"/>
          <w:sz w:val="24"/>
        </w:rPr>
        <w:t xml:space="preserve"> zadán</w:t>
      </w:r>
      <w:r w:rsidR="00AC5F70" w:rsidRPr="00F43E2F">
        <w:rPr>
          <w:rFonts w:ascii="Calibri" w:eastAsiaTheme="minorHAnsi" w:hAnsi="Calibri" w:cs="Calibri"/>
          <w:sz w:val="24"/>
        </w:rPr>
        <w:t>y</w:t>
      </w:r>
      <w:r w:rsidRPr="00F43E2F">
        <w:rPr>
          <w:rFonts w:ascii="Calibri" w:eastAsiaTheme="minorHAnsi" w:hAnsi="Calibri" w:cs="Calibri"/>
          <w:sz w:val="24"/>
        </w:rPr>
        <w:t xml:space="preserve"> před </w:t>
      </w:r>
      <w:r w:rsidR="00793859" w:rsidRPr="00F43E2F">
        <w:rPr>
          <w:rFonts w:ascii="Calibri" w:eastAsiaTheme="minorHAnsi" w:hAnsi="Calibri" w:cs="Calibri"/>
          <w:sz w:val="24"/>
        </w:rPr>
        <w:t xml:space="preserve">účinností </w:t>
      </w:r>
      <w:r w:rsidRPr="00F43E2F">
        <w:rPr>
          <w:rFonts w:ascii="Calibri" w:eastAsiaTheme="minorHAnsi" w:hAnsi="Calibri" w:cs="Calibri"/>
          <w:sz w:val="24"/>
        </w:rPr>
        <w:t>této novely</w:t>
      </w:r>
      <w:r w:rsidR="007F344F" w:rsidRPr="00F43E2F">
        <w:rPr>
          <w:rFonts w:ascii="Calibri" w:eastAsiaTheme="minorHAnsi" w:hAnsi="Calibri" w:cs="Calibri"/>
          <w:sz w:val="24"/>
        </w:rPr>
        <w:t xml:space="preserve"> a</w:t>
      </w:r>
      <w:r w:rsidRPr="00F43E2F">
        <w:rPr>
          <w:rFonts w:ascii="Calibri" w:eastAsiaTheme="minorHAnsi" w:hAnsi="Calibri" w:cs="Calibri"/>
          <w:sz w:val="24"/>
        </w:rPr>
        <w:t xml:space="preserve"> </w:t>
      </w:r>
      <w:r w:rsidR="00553A81" w:rsidRPr="00F43E2F">
        <w:rPr>
          <w:rFonts w:ascii="Calibri" w:eastAsiaTheme="minorHAnsi" w:hAnsi="Calibri" w:cs="Calibri"/>
          <w:sz w:val="24"/>
        </w:rPr>
        <w:t xml:space="preserve">právní předpisy nestanovují Národnímu bezpečnostnímu úřadu povinnost zpětně prověřit odůvodněnost </w:t>
      </w:r>
      <w:r w:rsidR="007F344F" w:rsidRPr="00F43E2F">
        <w:rPr>
          <w:rFonts w:ascii="Calibri" w:eastAsiaTheme="minorHAnsi" w:hAnsi="Calibri" w:cs="Calibri"/>
          <w:sz w:val="24"/>
        </w:rPr>
        <w:t>utaj</w:t>
      </w:r>
      <w:r w:rsidR="00BF1010" w:rsidRPr="00F43E2F">
        <w:rPr>
          <w:rFonts w:ascii="Calibri" w:eastAsiaTheme="minorHAnsi" w:hAnsi="Calibri" w:cs="Calibri"/>
          <w:sz w:val="24"/>
        </w:rPr>
        <w:t>ení</w:t>
      </w:r>
      <w:r w:rsidR="007F344F" w:rsidRPr="00F43E2F">
        <w:rPr>
          <w:rFonts w:ascii="Calibri" w:eastAsiaTheme="minorHAnsi" w:hAnsi="Calibri" w:cs="Calibri"/>
          <w:sz w:val="24"/>
        </w:rPr>
        <w:t xml:space="preserve"> </w:t>
      </w:r>
      <w:r w:rsidR="000D1344" w:rsidRPr="00F43E2F">
        <w:rPr>
          <w:rFonts w:ascii="Calibri" w:eastAsiaTheme="minorHAnsi" w:hAnsi="Calibri" w:cs="Calibri"/>
          <w:sz w:val="24"/>
        </w:rPr>
        <w:t>informací</w:t>
      </w:r>
      <w:r w:rsidR="007F344F" w:rsidRPr="00F43E2F">
        <w:rPr>
          <w:rFonts w:ascii="Calibri" w:eastAsiaTheme="minorHAnsi" w:hAnsi="Calibri" w:cs="Calibri"/>
          <w:sz w:val="24"/>
        </w:rPr>
        <w:t>, na základě kterých byl</w:t>
      </w:r>
      <w:r w:rsidR="00AC5F70" w:rsidRPr="00F43E2F">
        <w:rPr>
          <w:rFonts w:ascii="Calibri" w:eastAsiaTheme="minorHAnsi" w:hAnsi="Calibri" w:cs="Calibri"/>
          <w:sz w:val="24"/>
        </w:rPr>
        <w:t>y</w:t>
      </w:r>
      <w:r w:rsidR="007F344F" w:rsidRPr="00F43E2F">
        <w:rPr>
          <w:rFonts w:ascii="Calibri" w:eastAsiaTheme="minorHAnsi" w:hAnsi="Calibri" w:cs="Calibri"/>
          <w:sz w:val="24"/>
        </w:rPr>
        <w:t xml:space="preserve"> zakázk</w:t>
      </w:r>
      <w:r w:rsidR="00AC5F70" w:rsidRPr="00F43E2F">
        <w:rPr>
          <w:rFonts w:ascii="Calibri" w:eastAsiaTheme="minorHAnsi" w:hAnsi="Calibri" w:cs="Calibri"/>
          <w:sz w:val="24"/>
        </w:rPr>
        <w:t>y</w:t>
      </w:r>
      <w:r w:rsidR="007F344F" w:rsidRPr="00F43E2F">
        <w:rPr>
          <w:rFonts w:ascii="Calibri" w:eastAsiaTheme="minorHAnsi" w:hAnsi="Calibri" w:cs="Calibri"/>
          <w:sz w:val="24"/>
        </w:rPr>
        <w:t xml:space="preserve"> zadán</w:t>
      </w:r>
      <w:r w:rsidR="00AC5F70" w:rsidRPr="00F43E2F">
        <w:rPr>
          <w:rFonts w:ascii="Calibri" w:eastAsiaTheme="minorHAnsi" w:hAnsi="Calibri" w:cs="Calibri"/>
          <w:sz w:val="24"/>
        </w:rPr>
        <w:t>y</w:t>
      </w:r>
      <w:r w:rsidR="007F344F" w:rsidRPr="00F43E2F">
        <w:rPr>
          <w:rFonts w:ascii="Calibri" w:eastAsiaTheme="minorHAnsi" w:hAnsi="Calibri" w:cs="Calibri"/>
          <w:sz w:val="24"/>
        </w:rPr>
        <w:t xml:space="preserve"> v režimu utajení</w:t>
      </w:r>
      <w:r w:rsidRPr="00F43E2F">
        <w:rPr>
          <w:rFonts w:ascii="Calibri" w:eastAsiaTheme="minorHAnsi" w:hAnsi="Calibri" w:cs="Calibri"/>
          <w:sz w:val="24"/>
        </w:rPr>
        <w:t xml:space="preserve">. </w:t>
      </w:r>
    </w:p>
    <w:p w:rsidR="00A5791A" w:rsidRPr="00F43E2F" w:rsidRDefault="00A5791A" w:rsidP="00F43E2F">
      <w:pPr>
        <w:spacing w:after="0"/>
        <w:rPr>
          <w:rFonts w:ascii="Calibri" w:eastAsiaTheme="minorHAnsi" w:hAnsi="Calibri" w:cs="Calibri"/>
          <w:sz w:val="24"/>
        </w:rPr>
      </w:pPr>
    </w:p>
    <w:p w:rsidR="009B6A0D" w:rsidRDefault="009B6A0D" w:rsidP="00F43E2F">
      <w:pPr>
        <w:spacing w:after="0"/>
        <w:rPr>
          <w:rFonts w:ascii="Calibri" w:eastAsiaTheme="minorHAnsi" w:hAnsi="Calibri" w:cs="Calibri"/>
          <w:b/>
          <w:sz w:val="24"/>
        </w:rPr>
      </w:pPr>
    </w:p>
    <w:p w:rsidR="009B6A0D" w:rsidRDefault="009B6A0D" w:rsidP="00F43E2F">
      <w:pPr>
        <w:spacing w:after="0"/>
        <w:rPr>
          <w:rFonts w:ascii="Calibri" w:eastAsiaTheme="minorHAnsi" w:hAnsi="Calibri" w:cs="Calibri"/>
          <w:b/>
          <w:sz w:val="24"/>
        </w:rPr>
      </w:pPr>
    </w:p>
    <w:p w:rsidR="009B6A0D" w:rsidRDefault="009B6A0D" w:rsidP="00F43E2F">
      <w:pPr>
        <w:spacing w:after="0"/>
        <w:rPr>
          <w:rFonts w:ascii="Calibri" w:eastAsiaTheme="minorHAnsi" w:hAnsi="Calibri" w:cs="Calibri"/>
          <w:b/>
          <w:sz w:val="24"/>
        </w:rPr>
      </w:pPr>
    </w:p>
    <w:p w:rsidR="00E459F4" w:rsidRDefault="00E459F4" w:rsidP="00F43E2F">
      <w:pPr>
        <w:spacing w:after="0"/>
        <w:rPr>
          <w:rFonts w:ascii="Calibri" w:eastAsiaTheme="minorHAnsi" w:hAnsi="Calibri" w:cs="Calibri"/>
          <w:b/>
          <w:sz w:val="24"/>
        </w:rPr>
      </w:pPr>
    </w:p>
    <w:p w:rsidR="009C0879" w:rsidRPr="00D963DC" w:rsidRDefault="009C0879" w:rsidP="00F43E2F">
      <w:pPr>
        <w:spacing w:after="0"/>
        <w:rPr>
          <w:rFonts w:ascii="Calibri" w:eastAsiaTheme="minorHAnsi" w:hAnsi="Calibri" w:cs="Calibri"/>
          <w:b/>
          <w:sz w:val="24"/>
        </w:rPr>
      </w:pPr>
      <w:r w:rsidRPr="00D963DC">
        <w:rPr>
          <w:rFonts w:ascii="Calibri" w:eastAsiaTheme="minorHAnsi" w:hAnsi="Calibri" w:cs="Calibri"/>
          <w:b/>
          <w:sz w:val="24"/>
        </w:rPr>
        <w:lastRenderedPageBreak/>
        <w:t xml:space="preserve">Konzultační služby k zajištění provozu služby </w:t>
      </w:r>
      <w:proofErr w:type="spellStart"/>
      <w:r w:rsidRPr="00D963DC">
        <w:rPr>
          <w:rFonts w:ascii="Calibri" w:eastAsiaTheme="minorHAnsi" w:hAnsi="Calibri" w:cs="Calibri"/>
          <w:b/>
          <w:sz w:val="24"/>
        </w:rPr>
        <w:t>Service</w:t>
      </w:r>
      <w:proofErr w:type="spellEnd"/>
      <w:r w:rsidRPr="00D963DC">
        <w:rPr>
          <w:rFonts w:ascii="Calibri" w:eastAsiaTheme="minorHAnsi" w:hAnsi="Calibri" w:cs="Calibri"/>
          <w:b/>
          <w:sz w:val="24"/>
        </w:rPr>
        <w:t xml:space="preserve"> </w:t>
      </w:r>
      <w:proofErr w:type="spellStart"/>
      <w:r w:rsidRPr="00D963DC">
        <w:rPr>
          <w:rFonts w:ascii="Calibri" w:eastAsiaTheme="minorHAnsi" w:hAnsi="Calibri" w:cs="Calibri"/>
          <w:b/>
          <w:sz w:val="24"/>
        </w:rPr>
        <w:t>Desk</w:t>
      </w:r>
      <w:proofErr w:type="spellEnd"/>
    </w:p>
    <w:p w:rsidR="00A5791A" w:rsidRDefault="00A5791A" w:rsidP="00F43E2F">
      <w:pPr>
        <w:spacing w:after="0"/>
        <w:rPr>
          <w:rFonts w:ascii="Calibri" w:eastAsiaTheme="minorHAnsi" w:hAnsi="Calibri" w:cs="Calibri"/>
          <w:sz w:val="24"/>
        </w:rPr>
      </w:pPr>
    </w:p>
    <w:p w:rsidR="009C0879" w:rsidRDefault="009C0879" w:rsidP="00F43E2F">
      <w:pPr>
        <w:spacing w:after="0"/>
        <w:rPr>
          <w:rFonts w:ascii="Calibri" w:eastAsiaTheme="minorHAnsi" w:hAnsi="Calibri" w:cs="Calibri"/>
          <w:sz w:val="24"/>
        </w:rPr>
      </w:pPr>
      <w:r w:rsidRPr="00F43E2F">
        <w:rPr>
          <w:rFonts w:ascii="Calibri" w:eastAsiaTheme="minorHAnsi" w:hAnsi="Calibri" w:cs="Calibri"/>
          <w:sz w:val="24"/>
        </w:rPr>
        <w:t xml:space="preserve">V průběhu zavádění služby </w:t>
      </w:r>
      <w:proofErr w:type="spellStart"/>
      <w:r w:rsidRPr="00F43E2F">
        <w:rPr>
          <w:rFonts w:ascii="Calibri" w:eastAsiaTheme="minorHAnsi" w:hAnsi="Calibri" w:cs="Calibri"/>
          <w:sz w:val="24"/>
        </w:rPr>
        <w:t>Service</w:t>
      </w:r>
      <w:proofErr w:type="spellEnd"/>
      <w:r w:rsidRPr="00F43E2F">
        <w:rPr>
          <w:rFonts w:ascii="Calibri" w:eastAsiaTheme="minorHAnsi" w:hAnsi="Calibri" w:cs="Calibri"/>
          <w:sz w:val="24"/>
        </w:rPr>
        <w:t xml:space="preserve"> </w:t>
      </w:r>
      <w:proofErr w:type="spellStart"/>
      <w:r w:rsidRPr="00F43E2F">
        <w:rPr>
          <w:rFonts w:ascii="Calibri" w:eastAsiaTheme="minorHAnsi" w:hAnsi="Calibri" w:cs="Calibri"/>
          <w:sz w:val="24"/>
        </w:rPr>
        <w:t>Desk</w:t>
      </w:r>
      <w:proofErr w:type="spellEnd"/>
      <w:r w:rsidRPr="00F43E2F">
        <w:rPr>
          <w:rFonts w:ascii="Calibri" w:eastAsiaTheme="minorHAnsi" w:hAnsi="Calibri" w:cs="Calibri"/>
          <w:sz w:val="24"/>
        </w:rPr>
        <w:t xml:space="preserve"> uzavřelo MF smlouvu na podporu jejího zavedení s externím subjektem v hodnotě 2,2 mil. </w:t>
      </w:r>
      <w:r w:rsidR="00CD0EB1" w:rsidRPr="00F43E2F">
        <w:rPr>
          <w:rFonts w:ascii="Calibri" w:eastAsiaTheme="minorHAnsi" w:hAnsi="Calibri" w:cs="Calibri"/>
          <w:sz w:val="24"/>
        </w:rPr>
        <w:t xml:space="preserve">Kč </w:t>
      </w:r>
      <w:r w:rsidRPr="00F43E2F">
        <w:rPr>
          <w:rFonts w:ascii="Calibri" w:eastAsiaTheme="minorHAnsi" w:hAnsi="Calibri" w:cs="Calibri"/>
          <w:sz w:val="24"/>
        </w:rPr>
        <w:t xml:space="preserve">vč. DPH. Cca 1,5 měsíce po ukončení platnosti této smlouvy uzavřelo MF další smlouvu na obdobné plnění, jako měla smlouva předchozí. </w:t>
      </w:r>
      <w:r w:rsidR="00743FE2">
        <w:rPr>
          <w:rFonts w:ascii="Calibri" w:eastAsiaTheme="minorHAnsi" w:hAnsi="Calibri" w:cs="Calibri"/>
          <w:sz w:val="24"/>
        </w:rPr>
        <w:t>Přibližně</w:t>
      </w:r>
      <w:r w:rsidRPr="00F43E2F">
        <w:rPr>
          <w:rFonts w:ascii="Calibri" w:eastAsiaTheme="minorHAnsi" w:hAnsi="Calibri" w:cs="Calibri"/>
          <w:sz w:val="24"/>
        </w:rPr>
        <w:t xml:space="preserve"> 1,5 měsíce od ukončení druhé smlouvy uzavřelo MF smlouvu třetí. Celková hodnota smluv byla 5,5 mil. Kč. MF jednotlivé smlouvy uzavřelo na základě samostatných výběrových řízení </w:t>
      </w:r>
      <w:r w:rsidR="00743FE2">
        <w:rPr>
          <w:rFonts w:ascii="Calibri" w:eastAsiaTheme="minorHAnsi" w:hAnsi="Calibri" w:cs="Calibri"/>
          <w:sz w:val="24"/>
        </w:rPr>
        <w:t>realizovaných formou zakázek</w:t>
      </w:r>
      <w:r w:rsidRPr="00F43E2F">
        <w:rPr>
          <w:rFonts w:ascii="Calibri" w:eastAsiaTheme="minorHAnsi" w:hAnsi="Calibri" w:cs="Calibri"/>
          <w:sz w:val="24"/>
        </w:rPr>
        <w:t xml:space="preserve"> malého rozsahu s oslovením </w:t>
      </w:r>
      <w:r w:rsidR="00F1590E" w:rsidRPr="00F43E2F">
        <w:rPr>
          <w:rFonts w:ascii="Calibri" w:eastAsiaTheme="minorHAnsi" w:hAnsi="Calibri" w:cs="Calibri"/>
          <w:sz w:val="24"/>
        </w:rPr>
        <w:t>tří</w:t>
      </w:r>
      <w:r w:rsidR="00743FE2">
        <w:rPr>
          <w:rFonts w:ascii="Calibri" w:eastAsiaTheme="minorHAnsi" w:hAnsi="Calibri" w:cs="Calibri"/>
          <w:sz w:val="24"/>
        </w:rPr>
        <w:t xml:space="preserve"> uchazečů</w:t>
      </w:r>
      <w:r w:rsidR="00F1590E" w:rsidRPr="00F43E2F">
        <w:rPr>
          <w:rFonts w:ascii="Calibri" w:eastAsiaTheme="minorHAnsi" w:hAnsi="Calibri" w:cs="Calibri"/>
          <w:sz w:val="24"/>
        </w:rPr>
        <w:t xml:space="preserve">, u poslední zakázky </w:t>
      </w:r>
      <w:r w:rsidR="00743FE2">
        <w:rPr>
          <w:rFonts w:ascii="Calibri" w:eastAsiaTheme="minorHAnsi" w:hAnsi="Calibri" w:cs="Calibri"/>
          <w:sz w:val="24"/>
        </w:rPr>
        <w:t>s </w:t>
      </w:r>
      <w:r w:rsidR="00F1590E" w:rsidRPr="00F43E2F">
        <w:rPr>
          <w:rFonts w:ascii="Calibri" w:eastAsiaTheme="minorHAnsi" w:hAnsi="Calibri" w:cs="Calibri"/>
          <w:sz w:val="24"/>
        </w:rPr>
        <w:t>oslovením</w:t>
      </w:r>
      <w:r w:rsidRPr="00F43E2F">
        <w:rPr>
          <w:rFonts w:ascii="Calibri" w:eastAsiaTheme="minorHAnsi" w:hAnsi="Calibri" w:cs="Calibri"/>
          <w:sz w:val="24"/>
        </w:rPr>
        <w:t xml:space="preserve"> pěti uchazečů. </w:t>
      </w:r>
      <w:r w:rsidR="00743FE2">
        <w:rPr>
          <w:rFonts w:ascii="Calibri" w:eastAsiaTheme="minorHAnsi" w:hAnsi="Calibri" w:cs="Calibri"/>
          <w:sz w:val="24"/>
        </w:rPr>
        <w:t>Všechny tři zakázky získal</w:t>
      </w:r>
      <w:r w:rsidRPr="00F43E2F">
        <w:rPr>
          <w:rFonts w:ascii="Calibri" w:eastAsiaTheme="minorHAnsi" w:hAnsi="Calibri" w:cs="Calibri"/>
          <w:sz w:val="24"/>
        </w:rPr>
        <w:t xml:space="preserve"> stejný uchazeč. </w:t>
      </w:r>
      <w:r w:rsidRPr="00F43E2F">
        <w:rPr>
          <w:rFonts w:ascii="Calibri" w:eastAsiaTheme="minorHAnsi" w:hAnsi="Calibri" w:cs="Calibri"/>
          <w:b/>
          <w:sz w:val="24"/>
        </w:rPr>
        <w:t xml:space="preserve">MF </w:t>
      </w:r>
      <w:r w:rsidR="00B8525D">
        <w:rPr>
          <w:rFonts w:ascii="Calibri" w:eastAsiaTheme="minorHAnsi" w:hAnsi="Calibri" w:cs="Calibri"/>
          <w:b/>
          <w:sz w:val="24"/>
        </w:rPr>
        <w:t>porušilo ustanovení § </w:t>
      </w:r>
      <w:r w:rsidR="00D6070E" w:rsidRPr="00F43E2F">
        <w:rPr>
          <w:rFonts w:ascii="Calibri" w:eastAsiaTheme="minorHAnsi" w:hAnsi="Calibri" w:cs="Calibri"/>
          <w:b/>
          <w:sz w:val="24"/>
        </w:rPr>
        <w:t>13 odst. 3</w:t>
      </w:r>
      <w:r w:rsidRPr="00F43E2F">
        <w:rPr>
          <w:rFonts w:ascii="Calibri" w:eastAsiaTheme="minorHAnsi" w:hAnsi="Calibri" w:cs="Calibri"/>
          <w:b/>
          <w:sz w:val="24"/>
        </w:rPr>
        <w:t xml:space="preserve"> zákon</w:t>
      </w:r>
      <w:r w:rsidR="00D6070E" w:rsidRPr="00F43E2F">
        <w:rPr>
          <w:rFonts w:ascii="Calibri" w:eastAsiaTheme="minorHAnsi" w:hAnsi="Calibri" w:cs="Calibri"/>
          <w:b/>
          <w:sz w:val="24"/>
        </w:rPr>
        <w:t>a</w:t>
      </w:r>
      <w:r w:rsidRPr="00F43E2F">
        <w:rPr>
          <w:rFonts w:ascii="Calibri" w:eastAsiaTheme="minorHAnsi" w:hAnsi="Calibri" w:cs="Calibri"/>
          <w:b/>
          <w:sz w:val="24"/>
        </w:rPr>
        <w:t xml:space="preserve"> o</w:t>
      </w:r>
      <w:r w:rsidR="00743FE2">
        <w:rPr>
          <w:rFonts w:ascii="Calibri" w:eastAsiaTheme="minorHAnsi" w:hAnsi="Calibri" w:cs="Calibri"/>
          <w:b/>
          <w:sz w:val="24"/>
        </w:rPr>
        <w:t> </w:t>
      </w:r>
      <w:r w:rsidRPr="00F43E2F">
        <w:rPr>
          <w:rFonts w:ascii="Calibri" w:eastAsiaTheme="minorHAnsi" w:hAnsi="Calibri" w:cs="Calibri"/>
          <w:b/>
          <w:sz w:val="24"/>
        </w:rPr>
        <w:t>veřejných zakázkách</w:t>
      </w:r>
      <w:r w:rsidR="00CD0EB1" w:rsidRPr="00F43E2F">
        <w:rPr>
          <w:rFonts w:ascii="Calibri" w:eastAsiaTheme="minorHAnsi" w:hAnsi="Calibri" w:cs="Calibri"/>
          <w:b/>
          <w:sz w:val="24"/>
        </w:rPr>
        <w:t xml:space="preserve">, neboť </w:t>
      </w:r>
      <w:r w:rsidR="00E128B7" w:rsidRPr="00F43E2F">
        <w:rPr>
          <w:rFonts w:ascii="Calibri" w:eastAsiaTheme="minorHAnsi" w:hAnsi="Calibri" w:cs="Calibri"/>
          <w:b/>
          <w:sz w:val="24"/>
        </w:rPr>
        <w:t>druhou a </w:t>
      </w:r>
      <w:r w:rsidR="007F344F" w:rsidRPr="00F43E2F">
        <w:rPr>
          <w:rFonts w:ascii="Calibri" w:eastAsiaTheme="minorHAnsi" w:hAnsi="Calibri" w:cs="Calibri"/>
          <w:b/>
          <w:sz w:val="24"/>
        </w:rPr>
        <w:t>třetí zakázku zadalo jako veřejné zakázky malého rozsahu</w:t>
      </w:r>
      <w:r w:rsidR="00C14D44" w:rsidRPr="00F43E2F">
        <w:rPr>
          <w:rFonts w:ascii="Calibri" w:eastAsiaTheme="minorHAnsi" w:hAnsi="Calibri" w:cs="Calibri"/>
          <w:b/>
          <w:sz w:val="24"/>
        </w:rPr>
        <w:t>.</w:t>
      </w:r>
      <w:r w:rsidR="007F344F" w:rsidRPr="00F43E2F">
        <w:rPr>
          <w:rFonts w:ascii="Calibri" w:eastAsiaTheme="minorHAnsi" w:hAnsi="Calibri" w:cs="Calibri"/>
          <w:b/>
          <w:sz w:val="24"/>
        </w:rPr>
        <w:t xml:space="preserve"> </w:t>
      </w:r>
      <w:r w:rsidR="00743FE2" w:rsidRPr="005E30BD">
        <w:rPr>
          <w:rFonts w:ascii="Calibri" w:eastAsiaTheme="minorHAnsi" w:hAnsi="Calibri" w:cs="Calibri"/>
          <w:sz w:val="24"/>
        </w:rPr>
        <w:t xml:space="preserve">MF </w:t>
      </w:r>
      <w:r w:rsidR="00743FE2">
        <w:rPr>
          <w:rFonts w:ascii="Calibri" w:eastAsiaTheme="minorHAnsi" w:hAnsi="Calibri" w:cs="Calibri"/>
          <w:sz w:val="24"/>
        </w:rPr>
        <w:t>u</w:t>
      </w:r>
      <w:r w:rsidR="00D6070E" w:rsidRPr="00F43E2F">
        <w:rPr>
          <w:rFonts w:ascii="Calibri" w:eastAsiaTheme="minorHAnsi" w:hAnsi="Calibri" w:cs="Calibri"/>
          <w:sz w:val="24"/>
        </w:rPr>
        <w:t>vedeným postupem rozdělilo předmět veřejné zakázky, čímž došlo ke snížení předpokládané hodnoty pod finanční limit stanoven</w:t>
      </w:r>
      <w:r w:rsidR="00743FE2">
        <w:rPr>
          <w:rFonts w:ascii="Calibri" w:eastAsiaTheme="minorHAnsi" w:hAnsi="Calibri" w:cs="Calibri"/>
          <w:sz w:val="24"/>
        </w:rPr>
        <w:t>ý</w:t>
      </w:r>
      <w:r w:rsidR="00D6070E" w:rsidRPr="00F43E2F">
        <w:rPr>
          <w:rFonts w:ascii="Calibri" w:eastAsiaTheme="minorHAnsi" w:hAnsi="Calibri" w:cs="Calibri"/>
          <w:sz w:val="24"/>
        </w:rPr>
        <w:t xml:space="preserve"> v zákoně</w:t>
      </w:r>
      <w:r w:rsidR="00743FE2">
        <w:rPr>
          <w:rFonts w:ascii="Calibri" w:eastAsiaTheme="minorHAnsi" w:hAnsi="Calibri" w:cs="Calibri"/>
          <w:sz w:val="24"/>
        </w:rPr>
        <w:t xml:space="preserve"> o veřejných zakázkách</w:t>
      </w:r>
      <w:r w:rsidR="00D6070E" w:rsidRPr="00F43E2F">
        <w:rPr>
          <w:rFonts w:ascii="Calibri" w:eastAsiaTheme="minorHAnsi" w:hAnsi="Calibri" w:cs="Calibri"/>
          <w:sz w:val="24"/>
        </w:rPr>
        <w:t>.</w:t>
      </w:r>
    </w:p>
    <w:p w:rsidR="00A5791A" w:rsidRPr="00F43E2F" w:rsidRDefault="00A5791A" w:rsidP="00F43E2F">
      <w:pPr>
        <w:spacing w:after="0"/>
        <w:rPr>
          <w:rFonts w:ascii="Calibri" w:eastAsiaTheme="minorHAnsi" w:hAnsi="Calibri" w:cs="Calibri"/>
          <w:sz w:val="24"/>
        </w:rPr>
      </w:pPr>
    </w:p>
    <w:p w:rsidR="009C0879" w:rsidRPr="00D963DC" w:rsidRDefault="009C0879" w:rsidP="00F43E2F">
      <w:pPr>
        <w:spacing w:after="0"/>
        <w:rPr>
          <w:rFonts w:ascii="Calibri" w:eastAsiaTheme="minorHAnsi" w:hAnsi="Calibri" w:cs="Calibri"/>
          <w:b/>
          <w:sz w:val="24"/>
        </w:rPr>
      </w:pPr>
      <w:r w:rsidRPr="00D963DC">
        <w:rPr>
          <w:rFonts w:ascii="Calibri" w:eastAsiaTheme="minorHAnsi" w:hAnsi="Calibri" w:cs="Calibri"/>
          <w:b/>
          <w:sz w:val="24"/>
        </w:rPr>
        <w:t>Náklady na využívání služeb a nastavení zisku STC</w:t>
      </w:r>
      <w:bookmarkStart w:id="3" w:name="_GoBack"/>
      <w:bookmarkEnd w:id="3"/>
    </w:p>
    <w:p w:rsidR="00A5791A" w:rsidRDefault="00A5791A" w:rsidP="00F43E2F">
      <w:pPr>
        <w:spacing w:after="0"/>
        <w:rPr>
          <w:rFonts w:ascii="Calibri" w:eastAsiaTheme="minorHAnsi" w:hAnsi="Calibri" w:cs="Calibri"/>
          <w:sz w:val="24"/>
        </w:rPr>
      </w:pPr>
    </w:p>
    <w:p w:rsidR="009D4501" w:rsidRPr="000E4ADC" w:rsidRDefault="006A3F88" w:rsidP="00F43E2F">
      <w:pPr>
        <w:spacing w:after="0"/>
        <w:rPr>
          <w:rFonts w:ascii="Calibri" w:eastAsiaTheme="minorHAnsi" w:hAnsi="Calibri" w:cs="Calibri"/>
          <w:b/>
          <w:sz w:val="24"/>
        </w:rPr>
      </w:pPr>
      <w:r>
        <w:rPr>
          <w:rFonts w:ascii="Calibri" w:eastAsiaTheme="minorHAnsi" w:hAnsi="Calibri" w:cs="Calibri"/>
          <w:sz w:val="24"/>
        </w:rPr>
        <w:t>MF z</w:t>
      </w:r>
      <w:r w:rsidR="00E137B1" w:rsidRPr="000E4ADC">
        <w:rPr>
          <w:rFonts w:ascii="Calibri" w:eastAsiaTheme="minorHAnsi" w:hAnsi="Calibri" w:cs="Calibri"/>
          <w:sz w:val="24"/>
        </w:rPr>
        <w:t xml:space="preserve">a využívání služeb </w:t>
      </w:r>
      <w:proofErr w:type="spellStart"/>
      <w:r w:rsidR="00F32571" w:rsidRPr="000E4ADC">
        <w:rPr>
          <w:rFonts w:ascii="Calibri" w:eastAsiaTheme="minorHAnsi" w:hAnsi="Calibri" w:cs="Calibri"/>
          <w:sz w:val="24"/>
        </w:rPr>
        <w:t>Service</w:t>
      </w:r>
      <w:proofErr w:type="spellEnd"/>
      <w:r w:rsidR="00F32571" w:rsidRPr="000E4ADC">
        <w:rPr>
          <w:rFonts w:ascii="Calibri" w:eastAsiaTheme="minorHAnsi" w:hAnsi="Calibri" w:cs="Calibri"/>
          <w:sz w:val="24"/>
        </w:rPr>
        <w:t xml:space="preserve"> </w:t>
      </w:r>
      <w:proofErr w:type="spellStart"/>
      <w:r w:rsidR="00F32571" w:rsidRPr="000E4ADC">
        <w:rPr>
          <w:rFonts w:ascii="Calibri" w:eastAsiaTheme="minorHAnsi" w:hAnsi="Calibri" w:cs="Calibri"/>
          <w:sz w:val="24"/>
        </w:rPr>
        <w:t>Desk</w:t>
      </w:r>
      <w:proofErr w:type="spellEnd"/>
      <w:r w:rsidR="00F32571" w:rsidRPr="000E4ADC">
        <w:rPr>
          <w:rFonts w:ascii="Calibri" w:eastAsiaTheme="minorHAnsi" w:hAnsi="Calibri" w:cs="Calibri"/>
          <w:sz w:val="24"/>
        </w:rPr>
        <w:t xml:space="preserve"> </w:t>
      </w:r>
      <w:r>
        <w:rPr>
          <w:rFonts w:ascii="Calibri" w:eastAsiaTheme="minorHAnsi" w:hAnsi="Calibri" w:cs="Calibri"/>
          <w:sz w:val="24"/>
        </w:rPr>
        <w:t xml:space="preserve">platí </w:t>
      </w:r>
      <w:r w:rsidR="00F32571" w:rsidRPr="000E4ADC">
        <w:rPr>
          <w:rFonts w:ascii="Calibri" w:eastAsiaTheme="minorHAnsi" w:hAnsi="Calibri" w:cs="Calibri"/>
          <w:sz w:val="24"/>
        </w:rPr>
        <w:t>měsíčně STC</w:t>
      </w:r>
      <w:r w:rsidR="009246C8" w:rsidRPr="000E4ADC">
        <w:rPr>
          <w:rFonts w:ascii="Calibri" w:eastAsiaTheme="minorHAnsi" w:hAnsi="Calibri" w:cs="Calibri"/>
          <w:sz w:val="24"/>
        </w:rPr>
        <w:t xml:space="preserve"> paušální částku. </w:t>
      </w:r>
      <w:r>
        <w:rPr>
          <w:rFonts w:ascii="Calibri" w:eastAsiaTheme="minorHAnsi" w:hAnsi="Calibri" w:cs="Calibri"/>
          <w:sz w:val="24"/>
        </w:rPr>
        <w:t>Její v</w:t>
      </w:r>
      <w:r w:rsidR="009246C8" w:rsidRPr="000E4ADC">
        <w:rPr>
          <w:rFonts w:ascii="Calibri" w:eastAsiaTheme="minorHAnsi" w:hAnsi="Calibri" w:cs="Calibri"/>
          <w:sz w:val="24"/>
        </w:rPr>
        <w:t>ýše se v p</w:t>
      </w:r>
      <w:r w:rsidR="00000648" w:rsidRPr="000E4ADC">
        <w:rPr>
          <w:rFonts w:ascii="Calibri" w:eastAsiaTheme="minorHAnsi" w:hAnsi="Calibri" w:cs="Calibri"/>
          <w:sz w:val="24"/>
        </w:rPr>
        <w:t xml:space="preserve">růběhu let </w:t>
      </w:r>
      <w:r w:rsidR="00E128B7" w:rsidRPr="000E4ADC">
        <w:rPr>
          <w:rFonts w:ascii="Calibri" w:eastAsiaTheme="minorHAnsi" w:hAnsi="Calibri" w:cs="Calibri"/>
          <w:sz w:val="24"/>
        </w:rPr>
        <w:t>2010–</w:t>
      </w:r>
      <w:r w:rsidR="00487A1A" w:rsidRPr="000E4ADC">
        <w:rPr>
          <w:rFonts w:ascii="Calibri" w:eastAsiaTheme="minorHAnsi" w:hAnsi="Calibri" w:cs="Calibri"/>
          <w:sz w:val="24"/>
        </w:rPr>
        <w:t xml:space="preserve">2014 </w:t>
      </w:r>
      <w:r w:rsidR="00000648" w:rsidRPr="000E4ADC">
        <w:rPr>
          <w:rFonts w:ascii="Calibri" w:eastAsiaTheme="minorHAnsi" w:hAnsi="Calibri" w:cs="Calibri"/>
          <w:sz w:val="24"/>
        </w:rPr>
        <w:t>změnila z</w:t>
      </w:r>
      <w:r w:rsidR="00487A1A" w:rsidRPr="000E4ADC">
        <w:rPr>
          <w:rFonts w:ascii="Calibri" w:eastAsiaTheme="minorHAnsi" w:hAnsi="Calibri" w:cs="Calibri"/>
          <w:sz w:val="24"/>
        </w:rPr>
        <w:t xml:space="preserve"> částky </w:t>
      </w:r>
      <w:r w:rsidR="009246C8" w:rsidRPr="000E4ADC">
        <w:rPr>
          <w:rFonts w:ascii="Calibri" w:eastAsiaTheme="minorHAnsi" w:hAnsi="Calibri" w:cs="Calibri"/>
          <w:sz w:val="24"/>
        </w:rPr>
        <w:t>1,7 mil. Kč vč. DPH na 2,2 mil. Kč vč. DPH. Od ledna 2010</w:t>
      </w:r>
      <w:r w:rsidR="009246C8" w:rsidRPr="000E4ADC">
        <w:rPr>
          <w:rFonts w:ascii="Calibri" w:hAnsi="Calibri" w:cs="Calibri"/>
          <w:sz w:val="24"/>
        </w:rPr>
        <w:t xml:space="preserve"> do září 2014 </w:t>
      </w:r>
      <w:r w:rsidR="00EC65B0" w:rsidRPr="000E4ADC">
        <w:rPr>
          <w:rFonts w:ascii="Calibri" w:hAnsi="Calibri" w:cs="Calibri"/>
          <w:sz w:val="24"/>
        </w:rPr>
        <w:t xml:space="preserve">MF </w:t>
      </w:r>
      <w:r w:rsidR="00E137B1" w:rsidRPr="000E4ADC">
        <w:rPr>
          <w:rFonts w:ascii="Calibri" w:eastAsiaTheme="minorHAnsi" w:hAnsi="Calibri" w:cs="Calibri"/>
          <w:sz w:val="24"/>
        </w:rPr>
        <w:t xml:space="preserve">zaplatilo STC </w:t>
      </w:r>
      <w:r w:rsidR="00E137B1" w:rsidRPr="000E4ADC">
        <w:rPr>
          <w:rFonts w:ascii="Calibri" w:hAnsi="Calibri" w:cs="Calibri"/>
          <w:sz w:val="24"/>
        </w:rPr>
        <w:t xml:space="preserve">celkem </w:t>
      </w:r>
      <w:r w:rsidR="00E137B1" w:rsidRPr="000E4ADC">
        <w:rPr>
          <w:rFonts w:ascii="Calibri" w:eastAsiaTheme="minorHAnsi" w:hAnsi="Calibri" w:cs="Calibri"/>
          <w:sz w:val="24"/>
        </w:rPr>
        <w:t>125,2 mil. Kč</w:t>
      </w:r>
      <w:r w:rsidR="00E429C5" w:rsidRPr="000E4ADC">
        <w:rPr>
          <w:rFonts w:ascii="Calibri" w:eastAsiaTheme="minorHAnsi" w:hAnsi="Calibri" w:cs="Calibri"/>
          <w:sz w:val="24"/>
        </w:rPr>
        <w:t xml:space="preserve"> vč. DPH</w:t>
      </w:r>
      <w:r w:rsidR="00E137B1" w:rsidRPr="000E4ADC">
        <w:rPr>
          <w:rFonts w:ascii="Calibri" w:eastAsiaTheme="minorHAnsi" w:hAnsi="Calibri" w:cs="Calibri"/>
          <w:sz w:val="24"/>
        </w:rPr>
        <w:t xml:space="preserve">. </w:t>
      </w:r>
      <w:r w:rsidR="00E137B1" w:rsidRPr="000E4ADC">
        <w:rPr>
          <w:rFonts w:ascii="Calibri" w:eastAsiaTheme="minorHAnsi" w:hAnsi="Calibri" w:cs="Calibri"/>
          <w:b/>
          <w:sz w:val="24"/>
        </w:rPr>
        <w:t>STC</w:t>
      </w:r>
      <w:r w:rsidR="00E137B1" w:rsidRPr="000E4ADC">
        <w:rPr>
          <w:rFonts w:ascii="Calibri" w:eastAsiaTheme="minorHAnsi" w:hAnsi="Calibri" w:cs="Calibri"/>
          <w:sz w:val="24"/>
        </w:rPr>
        <w:t xml:space="preserve"> za stejné období </w:t>
      </w:r>
      <w:r w:rsidR="00E137B1" w:rsidRPr="000E4ADC">
        <w:rPr>
          <w:rFonts w:ascii="Calibri" w:eastAsiaTheme="minorHAnsi" w:hAnsi="Calibri" w:cs="Calibri"/>
          <w:b/>
          <w:sz w:val="24"/>
        </w:rPr>
        <w:t>uhradil</w:t>
      </w:r>
      <w:r w:rsidR="00AC11B5" w:rsidRPr="000E4ADC">
        <w:rPr>
          <w:rFonts w:ascii="Calibri" w:eastAsiaTheme="minorHAnsi" w:hAnsi="Calibri" w:cs="Calibri"/>
          <w:b/>
          <w:sz w:val="24"/>
        </w:rPr>
        <w:t>a</w:t>
      </w:r>
      <w:r w:rsidR="00E137B1" w:rsidRPr="000E4ADC">
        <w:rPr>
          <w:rFonts w:ascii="Calibri" w:eastAsiaTheme="minorHAnsi" w:hAnsi="Calibri" w:cs="Calibri"/>
          <w:b/>
          <w:sz w:val="24"/>
        </w:rPr>
        <w:t xml:space="preserve"> subdodavatelské společnosti</w:t>
      </w:r>
      <w:r w:rsidR="00397459" w:rsidRPr="000E4ADC">
        <w:rPr>
          <w:rFonts w:ascii="Calibri" w:eastAsiaTheme="minorHAnsi" w:hAnsi="Calibri" w:cs="Calibri"/>
          <w:b/>
          <w:sz w:val="24"/>
        </w:rPr>
        <w:t>, která</w:t>
      </w:r>
      <w:r w:rsidR="00E137B1" w:rsidRPr="000E4ADC">
        <w:rPr>
          <w:rFonts w:ascii="Calibri" w:eastAsiaTheme="minorHAnsi" w:hAnsi="Calibri" w:cs="Calibri"/>
          <w:b/>
          <w:sz w:val="24"/>
        </w:rPr>
        <w:t xml:space="preserve"> </w:t>
      </w:r>
      <w:r w:rsidR="00397459" w:rsidRPr="000E4ADC">
        <w:rPr>
          <w:rFonts w:ascii="Calibri" w:eastAsiaTheme="minorHAnsi" w:hAnsi="Calibri" w:cs="Calibri"/>
          <w:b/>
          <w:sz w:val="24"/>
        </w:rPr>
        <w:t xml:space="preserve">byla původcem </w:t>
      </w:r>
      <w:r w:rsidR="00EC65B0" w:rsidRPr="000E4ADC">
        <w:rPr>
          <w:rFonts w:ascii="Calibri" w:eastAsiaTheme="minorHAnsi" w:hAnsi="Calibri" w:cs="Calibri"/>
          <w:b/>
          <w:sz w:val="24"/>
        </w:rPr>
        <w:t xml:space="preserve">utajovaného </w:t>
      </w:r>
      <w:r w:rsidR="00397459" w:rsidRPr="000E4ADC">
        <w:rPr>
          <w:rFonts w:ascii="Calibri" w:eastAsiaTheme="minorHAnsi" w:hAnsi="Calibri" w:cs="Calibri"/>
          <w:b/>
          <w:sz w:val="24"/>
        </w:rPr>
        <w:t xml:space="preserve">dokumentu, na jehož základě byla zakázka zadána v režimu utajení, </w:t>
      </w:r>
      <w:r w:rsidR="00E429C5" w:rsidRPr="000E4ADC">
        <w:rPr>
          <w:rFonts w:ascii="Calibri" w:eastAsiaTheme="minorHAnsi" w:hAnsi="Calibri" w:cs="Calibri"/>
          <w:b/>
          <w:sz w:val="24"/>
        </w:rPr>
        <w:t>56</w:t>
      </w:r>
      <w:r w:rsidR="004D4D21" w:rsidRPr="000E4ADC">
        <w:rPr>
          <w:rFonts w:ascii="Calibri" w:eastAsiaTheme="minorHAnsi" w:hAnsi="Calibri" w:cs="Calibri"/>
          <w:b/>
          <w:sz w:val="24"/>
        </w:rPr>
        <w:t>,4</w:t>
      </w:r>
      <w:r w:rsidR="00E429C5" w:rsidRPr="000E4ADC">
        <w:rPr>
          <w:rFonts w:ascii="Calibri" w:eastAsiaTheme="minorHAnsi" w:hAnsi="Calibri" w:cs="Calibri"/>
          <w:b/>
          <w:sz w:val="24"/>
        </w:rPr>
        <w:t xml:space="preserve"> </w:t>
      </w:r>
      <w:r w:rsidR="00CD5D09" w:rsidRPr="000E4ADC">
        <w:rPr>
          <w:rFonts w:ascii="Calibri" w:eastAsiaTheme="minorHAnsi" w:hAnsi="Calibri" w:cs="Calibri"/>
          <w:b/>
          <w:sz w:val="24"/>
        </w:rPr>
        <w:t xml:space="preserve">mil. </w:t>
      </w:r>
      <w:r w:rsidR="004D4D21" w:rsidRPr="000E4ADC">
        <w:rPr>
          <w:rFonts w:ascii="Calibri" w:eastAsiaTheme="minorHAnsi" w:hAnsi="Calibri" w:cs="Calibri"/>
          <w:b/>
          <w:sz w:val="24"/>
        </w:rPr>
        <w:t xml:space="preserve">Kč vč. DPH, což je 45 % z částky </w:t>
      </w:r>
      <w:r w:rsidR="00C14D44" w:rsidRPr="000E4ADC">
        <w:rPr>
          <w:rFonts w:ascii="Calibri" w:eastAsiaTheme="minorHAnsi" w:hAnsi="Calibri" w:cs="Calibri"/>
          <w:b/>
          <w:sz w:val="24"/>
        </w:rPr>
        <w:t xml:space="preserve">inkasované od </w:t>
      </w:r>
      <w:r w:rsidR="004D4D21" w:rsidRPr="000E4ADC">
        <w:rPr>
          <w:rFonts w:ascii="Calibri" w:eastAsiaTheme="minorHAnsi" w:hAnsi="Calibri" w:cs="Calibri"/>
          <w:b/>
          <w:sz w:val="24"/>
        </w:rPr>
        <w:t>MF.</w:t>
      </w:r>
    </w:p>
    <w:p w:rsidR="00A5791A" w:rsidRDefault="00A5791A" w:rsidP="00F43E2F">
      <w:pPr>
        <w:spacing w:after="0"/>
        <w:rPr>
          <w:rFonts w:ascii="Calibri" w:eastAsiaTheme="minorHAnsi" w:hAnsi="Calibri" w:cs="Calibri"/>
          <w:sz w:val="24"/>
        </w:rPr>
      </w:pPr>
    </w:p>
    <w:p w:rsidR="00FD5CC5" w:rsidRPr="00F43E2F" w:rsidRDefault="00F32571" w:rsidP="00F43E2F">
      <w:pPr>
        <w:spacing w:after="0"/>
        <w:rPr>
          <w:rFonts w:ascii="Calibri" w:eastAsiaTheme="minorHAnsi" w:hAnsi="Calibri" w:cs="Calibri"/>
          <w:b/>
          <w:sz w:val="24"/>
        </w:rPr>
      </w:pPr>
      <w:r w:rsidRPr="00F43E2F">
        <w:rPr>
          <w:rFonts w:ascii="Calibri" w:eastAsiaTheme="minorHAnsi" w:hAnsi="Calibri" w:cs="Calibri"/>
          <w:sz w:val="24"/>
        </w:rPr>
        <w:t xml:space="preserve">Za provoz státní pokladny </w:t>
      </w:r>
      <w:r w:rsidR="00335120" w:rsidRPr="00F43E2F">
        <w:rPr>
          <w:rFonts w:ascii="Calibri" w:eastAsiaTheme="minorHAnsi" w:hAnsi="Calibri" w:cs="Calibri"/>
          <w:sz w:val="24"/>
        </w:rPr>
        <w:t xml:space="preserve">MF </w:t>
      </w:r>
      <w:r w:rsidR="006A3F88" w:rsidRPr="00F43E2F">
        <w:rPr>
          <w:rFonts w:ascii="Calibri" w:eastAsiaTheme="minorHAnsi" w:hAnsi="Calibri" w:cs="Calibri"/>
          <w:sz w:val="24"/>
        </w:rPr>
        <w:t xml:space="preserve">platí </w:t>
      </w:r>
      <w:r w:rsidRPr="00F43E2F">
        <w:rPr>
          <w:rFonts w:ascii="Calibri" w:eastAsiaTheme="minorHAnsi" w:hAnsi="Calibri" w:cs="Calibri"/>
          <w:sz w:val="24"/>
        </w:rPr>
        <w:t xml:space="preserve">měsíčně </w:t>
      </w:r>
      <w:r w:rsidR="006A3F88">
        <w:rPr>
          <w:rFonts w:ascii="Calibri" w:eastAsiaTheme="minorHAnsi" w:hAnsi="Calibri" w:cs="Calibri"/>
          <w:sz w:val="24"/>
        </w:rPr>
        <w:t>Státní tiskárně cenin</w:t>
      </w:r>
      <w:r w:rsidR="00816E37" w:rsidRPr="00F43E2F">
        <w:rPr>
          <w:rFonts w:ascii="Calibri" w:eastAsiaTheme="minorHAnsi" w:hAnsi="Calibri" w:cs="Calibri"/>
          <w:sz w:val="24"/>
        </w:rPr>
        <w:t xml:space="preserve"> </w:t>
      </w:r>
      <w:r w:rsidR="00335120" w:rsidRPr="00F43E2F">
        <w:rPr>
          <w:rFonts w:ascii="Calibri" w:eastAsiaTheme="minorHAnsi" w:hAnsi="Calibri" w:cs="Calibri"/>
          <w:sz w:val="24"/>
        </w:rPr>
        <w:t xml:space="preserve">paušální částku. </w:t>
      </w:r>
      <w:r w:rsidR="00816E37" w:rsidRPr="00F43E2F">
        <w:rPr>
          <w:rFonts w:ascii="Calibri" w:eastAsiaTheme="minorHAnsi" w:hAnsi="Calibri" w:cs="Calibri"/>
          <w:sz w:val="24"/>
        </w:rPr>
        <w:t>Její v</w:t>
      </w:r>
      <w:r w:rsidR="00335120" w:rsidRPr="00F43E2F">
        <w:rPr>
          <w:rFonts w:ascii="Calibri" w:eastAsiaTheme="minorHAnsi" w:hAnsi="Calibri" w:cs="Calibri"/>
          <w:sz w:val="24"/>
        </w:rPr>
        <w:t xml:space="preserve">ýše se v průběhu let </w:t>
      </w:r>
      <w:r w:rsidRPr="00F43E2F">
        <w:rPr>
          <w:rFonts w:ascii="Calibri" w:eastAsiaTheme="minorHAnsi" w:hAnsi="Calibri" w:cs="Calibri"/>
          <w:sz w:val="24"/>
        </w:rPr>
        <w:t>zvýšila</w:t>
      </w:r>
      <w:r w:rsidR="00335120" w:rsidRPr="00F43E2F">
        <w:rPr>
          <w:rFonts w:ascii="Calibri" w:eastAsiaTheme="minorHAnsi" w:hAnsi="Calibri" w:cs="Calibri"/>
          <w:sz w:val="24"/>
        </w:rPr>
        <w:t xml:space="preserve"> </w:t>
      </w:r>
      <w:proofErr w:type="gramStart"/>
      <w:r w:rsidR="00335120" w:rsidRPr="00F43E2F">
        <w:rPr>
          <w:rFonts w:ascii="Calibri" w:eastAsiaTheme="minorHAnsi" w:hAnsi="Calibri" w:cs="Calibri"/>
          <w:sz w:val="24"/>
        </w:rPr>
        <w:t>z</w:t>
      </w:r>
      <w:r w:rsidR="006A3F88">
        <w:rPr>
          <w:rFonts w:ascii="Calibri" w:eastAsiaTheme="minorHAnsi" w:hAnsi="Calibri" w:cs="Calibri"/>
          <w:sz w:val="24"/>
        </w:rPr>
        <w:t>e</w:t>
      </w:r>
      <w:proofErr w:type="gramEnd"/>
      <w:r w:rsidR="006A3F88">
        <w:rPr>
          <w:rFonts w:ascii="Calibri" w:eastAsiaTheme="minorHAnsi" w:hAnsi="Calibri" w:cs="Calibri"/>
          <w:sz w:val="24"/>
        </w:rPr>
        <w:t xml:space="preserve"> </w:t>
      </w:r>
      <w:r w:rsidR="00335120" w:rsidRPr="00F43E2F">
        <w:rPr>
          <w:rFonts w:ascii="Calibri" w:eastAsiaTheme="minorHAnsi" w:hAnsi="Calibri" w:cs="Calibri"/>
          <w:sz w:val="24"/>
        </w:rPr>
        <w:t xml:space="preserve">17,2 mil. Kč vč. DPH v roce </w:t>
      </w:r>
      <w:r w:rsidR="00C83B1A" w:rsidRPr="00F43E2F">
        <w:rPr>
          <w:rFonts w:ascii="Calibri" w:eastAsiaTheme="minorHAnsi" w:hAnsi="Calibri" w:cs="Calibri"/>
          <w:sz w:val="24"/>
        </w:rPr>
        <w:t>2009</w:t>
      </w:r>
      <w:r w:rsidR="00335120" w:rsidRPr="00F43E2F">
        <w:rPr>
          <w:rFonts w:ascii="Calibri" w:eastAsiaTheme="minorHAnsi" w:hAnsi="Calibri" w:cs="Calibri"/>
          <w:sz w:val="24"/>
        </w:rPr>
        <w:t xml:space="preserve"> na 17,8 mil. Kč vč. DPH v roce 2014. </w:t>
      </w:r>
      <w:r w:rsidR="00887931" w:rsidRPr="00F43E2F">
        <w:rPr>
          <w:rFonts w:ascii="Calibri" w:eastAsiaTheme="minorHAnsi" w:hAnsi="Calibri" w:cs="Calibri"/>
          <w:sz w:val="24"/>
        </w:rPr>
        <w:t>Za dobu realizace zakázky, tj. od konce roku 2009 do září 2014</w:t>
      </w:r>
      <w:r w:rsidR="000E4ADC">
        <w:rPr>
          <w:rFonts w:ascii="Calibri" w:eastAsiaTheme="minorHAnsi" w:hAnsi="Calibri" w:cs="Calibri"/>
          <w:sz w:val="24"/>
        </w:rPr>
        <w:t>,</w:t>
      </w:r>
      <w:r w:rsidR="00887931" w:rsidRPr="00F43E2F">
        <w:rPr>
          <w:rFonts w:ascii="Calibri" w:eastAsiaTheme="minorHAnsi" w:hAnsi="Calibri" w:cs="Calibri"/>
          <w:sz w:val="24"/>
        </w:rPr>
        <w:t xml:space="preserve"> stál provoz státní pokladny 1</w:t>
      </w:r>
      <w:r w:rsidR="00E137B1" w:rsidRPr="00F43E2F">
        <w:rPr>
          <w:rFonts w:ascii="Calibri" w:eastAsiaTheme="minorHAnsi" w:hAnsi="Calibri" w:cs="Calibri"/>
          <w:sz w:val="24"/>
        </w:rPr>
        <w:t>,</w:t>
      </w:r>
      <w:r w:rsidR="006A3F88">
        <w:rPr>
          <w:rFonts w:ascii="Calibri" w:eastAsiaTheme="minorHAnsi" w:hAnsi="Calibri" w:cs="Calibri"/>
          <w:sz w:val="24"/>
        </w:rPr>
        <w:t>031 </w:t>
      </w:r>
      <w:r w:rsidR="00887931" w:rsidRPr="00F43E2F">
        <w:rPr>
          <w:rFonts w:ascii="Calibri" w:eastAsiaTheme="minorHAnsi" w:hAnsi="Calibri" w:cs="Calibri"/>
          <w:sz w:val="24"/>
        </w:rPr>
        <w:t>mld.</w:t>
      </w:r>
      <w:r w:rsidR="006A3F88">
        <w:rPr>
          <w:rFonts w:ascii="Calibri" w:eastAsiaTheme="minorHAnsi" w:hAnsi="Calibri" w:cs="Calibri"/>
          <w:sz w:val="24"/>
        </w:rPr>
        <w:t> </w:t>
      </w:r>
      <w:r w:rsidR="00887931" w:rsidRPr="00F43E2F">
        <w:rPr>
          <w:rFonts w:ascii="Calibri" w:eastAsiaTheme="minorHAnsi" w:hAnsi="Calibri" w:cs="Calibri"/>
          <w:sz w:val="24"/>
        </w:rPr>
        <w:t xml:space="preserve">Kč vč. DPH. </w:t>
      </w:r>
      <w:r w:rsidR="000D573D" w:rsidRPr="00F43E2F">
        <w:rPr>
          <w:rFonts w:ascii="Calibri" w:eastAsiaTheme="minorHAnsi" w:hAnsi="Calibri" w:cs="Calibri"/>
          <w:sz w:val="24"/>
        </w:rPr>
        <w:t>Pro </w:t>
      </w:r>
      <w:r w:rsidRPr="00F43E2F">
        <w:rPr>
          <w:rFonts w:ascii="Calibri" w:eastAsiaTheme="minorHAnsi" w:hAnsi="Calibri" w:cs="Calibri"/>
          <w:sz w:val="24"/>
        </w:rPr>
        <w:t xml:space="preserve">zajištění </w:t>
      </w:r>
      <w:r w:rsidR="00934AB2" w:rsidRPr="00F43E2F">
        <w:rPr>
          <w:rFonts w:ascii="Calibri" w:eastAsiaTheme="minorHAnsi" w:hAnsi="Calibri" w:cs="Calibri"/>
          <w:sz w:val="24"/>
        </w:rPr>
        <w:t xml:space="preserve">vybraných </w:t>
      </w:r>
      <w:r w:rsidRPr="00F43E2F">
        <w:rPr>
          <w:rFonts w:ascii="Calibri" w:eastAsiaTheme="minorHAnsi" w:hAnsi="Calibri" w:cs="Calibri"/>
          <w:sz w:val="24"/>
        </w:rPr>
        <w:t xml:space="preserve">služeb </w:t>
      </w:r>
      <w:r w:rsidR="00EC65B0" w:rsidRPr="00F43E2F">
        <w:rPr>
          <w:rFonts w:ascii="Calibri" w:eastAsiaTheme="minorHAnsi" w:hAnsi="Calibri" w:cs="Calibri"/>
          <w:sz w:val="24"/>
        </w:rPr>
        <w:t xml:space="preserve">z </w:t>
      </w:r>
      <w:r w:rsidRPr="00F43E2F">
        <w:rPr>
          <w:rFonts w:ascii="Calibri" w:eastAsiaTheme="minorHAnsi" w:hAnsi="Calibri" w:cs="Calibri"/>
          <w:sz w:val="24"/>
        </w:rPr>
        <w:t>předmětné smlouvy si STC najala subdodavatele</w:t>
      </w:r>
      <w:r w:rsidR="00783476" w:rsidRPr="00F43E2F">
        <w:rPr>
          <w:rFonts w:ascii="Calibri" w:eastAsiaTheme="minorHAnsi" w:hAnsi="Calibri" w:cs="Calibri"/>
          <w:sz w:val="24"/>
        </w:rPr>
        <w:t xml:space="preserve">, kterým se </w:t>
      </w:r>
      <w:r w:rsidR="007B6152" w:rsidRPr="00F43E2F">
        <w:rPr>
          <w:rFonts w:ascii="Calibri" w:eastAsiaTheme="minorHAnsi" w:hAnsi="Calibri" w:cs="Calibri"/>
          <w:sz w:val="24"/>
        </w:rPr>
        <w:t>stala společnost</w:t>
      </w:r>
      <w:r w:rsidR="00783476" w:rsidRPr="00F43E2F">
        <w:rPr>
          <w:rFonts w:ascii="Calibri" w:eastAsiaTheme="minorHAnsi" w:hAnsi="Calibri" w:cs="Calibri"/>
          <w:sz w:val="24"/>
        </w:rPr>
        <w:t xml:space="preserve"> dodávající</w:t>
      </w:r>
      <w:r w:rsidR="007B6152" w:rsidRPr="00F43E2F">
        <w:rPr>
          <w:rFonts w:ascii="Calibri" w:eastAsiaTheme="minorHAnsi" w:hAnsi="Calibri" w:cs="Calibri"/>
          <w:sz w:val="24"/>
        </w:rPr>
        <w:t xml:space="preserve"> MF </w:t>
      </w:r>
      <w:r w:rsidR="007B6152" w:rsidRPr="00D963DC">
        <w:rPr>
          <w:rFonts w:ascii="Calibri" w:eastAsiaTheme="minorHAnsi" w:hAnsi="Calibri" w:cs="Calibri"/>
          <w:i/>
          <w:sz w:val="24"/>
        </w:rPr>
        <w:t>Integrovaný informační systém Státní pokladny</w:t>
      </w:r>
      <w:r w:rsidR="007B6152" w:rsidRPr="00F43E2F">
        <w:rPr>
          <w:rFonts w:ascii="Calibri" w:eastAsiaTheme="minorHAnsi" w:hAnsi="Calibri" w:cs="Calibri"/>
          <w:sz w:val="24"/>
        </w:rPr>
        <w:t xml:space="preserve">. </w:t>
      </w:r>
      <w:r w:rsidR="0095326F" w:rsidRPr="00F43E2F">
        <w:rPr>
          <w:rFonts w:ascii="Calibri" w:eastAsiaTheme="minorHAnsi" w:hAnsi="Calibri" w:cs="Calibri"/>
          <w:b/>
          <w:sz w:val="24"/>
        </w:rPr>
        <w:t>STC</w:t>
      </w:r>
      <w:r w:rsidR="0095326F" w:rsidRPr="00F43E2F">
        <w:rPr>
          <w:rFonts w:ascii="Calibri" w:eastAsiaTheme="minorHAnsi" w:hAnsi="Calibri" w:cs="Calibri"/>
          <w:sz w:val="24"/>
        </w:rPr>
        <w:t xml:space="preserve"> za stejné období </w:t>
      </w:r>
      <w:r w:rsidR="0095326F" w:rsidRPr="00F43E2F">
        <w:rPr>
          <w:rFonts w:ascii="Calibri" w:eastAsiaTheme="minorHAnsi" w:hAnsi="Calibri" w:cs="Calibri"/>
          <w:b/>
          <w:sz w:val="24"/>
        </w:rPr>
        <w:t>uhradil</w:t>
      </w:r>
      <w:r w:rsidR="00AC11B5" w:rsidRPr="00F43E2F">
        <w:rPr>
          <w:rFonts w:ascii="Calibri" w:eastAsiaTheme="minorHAnsi" w:hAnsi="Calibri" w:cs="Calibri"/>
          <w:b/>
          <w:sz w:val="24"/>
        </w:rPr>
        <w:t>a</w:t>
      </w:r>
      <w:r w:rsidR="0095326F" w:rsidRPr="00F43E2F">
        <w:rPr>
          <w:rFonts w:ascii="Calibri" w:eastAsiaTheme="minorHAnsi" w:hAnsi="Calibri" w:cs="Calibri"/>
          <w:b/>
          <w:sz w:val="24"/>
        </w:rPr>
        <w:t xml:space="preserve"> </w:t>
      </w:r>
      <w:r w:rsidRPr="00F43E2F">
        <w:rPr>
          <w:rFonts w:ascii="Calibri" w:eastAsiaTheme="minorHAnsi" w:hAnsi="Calibri" w:cs="Calibri"/>
          <w:b/>
          <w:sz w:val="24"/>
        </w:rPr>
        <w:t xml:space="preserve">této </w:t>
      </w:r>
      <w:r w:rsidR="0095326F" w:rsidRPr="00F43E2F">
        <w:rPr>
          <w:rFonts w:ascii="Calibri" w:eastAsiaTheme="minorHAnsi" w:hAnsi="Calibri" w:cs="Calibri"/>
          <w:b/>
          <w:sz w:val="24"/>
        </w:rPr>
        <w:t>společnosti 703</w:t>
      </w:r>
      <w:r w:rsidR="00E137B1" w:rsidRPr="00F43E2F">
        <w:rPr>
          <w:rFonts w:ascii="Calibri" w:eastAsiaTheme="minorHAnsi" w:hAnsi="Calibri" w:cs="Calibri"/>
          <w:b/>
          <w:sz w:val="24"/>
        </w:rPr>
        <w:t>,5</w:t>
      </w:r>
      <w:r w:rsidR="0095326F" w:rsidRPr="00F43E2F">
        <w:rPr>
          <w:rFonts w:ascii="Calibri" w:eastAsiaTheme="minorHAnsi" w:hAnsi="Calibri" w:cs="Calibri"/>
          <w:b/>
          <w:sz w:val="24"/>
        </w:rPr>
        <w:t xml:space="preserve"> mil. Kč, což je téměř 70 % </w:t>
      </w:r>
      <w:r w:rsidRPr="00F43E2F">
        <w:rPr>
          <w:rFonts w:ascii="Calibri" w:eastAsiaTheme="minorHAnsi" w:hAnsi="Calibri" w:cs="Calibri"/>
          <w:b/>
          <w:sz w:val="24"/>
        </w:rPr>
        <w:t>z</w:t>
      </w:r>
      <w:r w:rsidR="00ED33CD" w:rsidRPr="00F43E2F">
        <w:rPr>
          <w:rFonts w:ascii="Calibri" w:eastAsiaTheme="minorHAnsi" w:hAnsi="Calibri" w:cs="Calibri"/>
          <w:b/>
          <w:sz w:val="24"/>
        </w:rPr>
        <w:t> </w:t>
      </w:r>
      <w:r w:rsidR="0095326F" w:rsidRPr="00F43E2F">
        <w:rPr>
          <w:rFonts w:ascii="Calibri" w:eastAsiaTheme="minorHAnsi" w:hAnsi="Calibri" w:cs="Calibri"/>
          <w:b/>
          <w:sz w:val="24"/>
        </w:rPr>
        <w:t>částky</w:t>
      </w:r>
      <w:r w:rsidR="00ED33CD" w:rsidRPr="00F43E2F">
        <w:rPr>
          <w:rFonts w:ascii="Calibri" w:eastAsiaTheme="minorHAnsi" w:hAnsi="Calibri" w:cs="Calibri"/>
          <w:b/>
          <w:sz w:val="24"/>
        </w:rPr>
        <w:t>, kterou STC obdržela</w:t>
      </w:r>
      <w:r w:rsidR="0095326F" w:rsidRPr="00F43E2F">
        <w:rPr>
          <w:rFonts w:ascii="Calibri" w:eastAsiaTheme="minorHAnsi" w:hAnsi="Calibri" w:cs="Calibri"/>
          <w:b/>
          <w:sz w:val="24"/>
        </w:rPr>
        <w:t xml:space="preserve"> od MF.</w:t>
      </w:r>
    </w:p>
    <w:p w:rsidR="00A5791A" w:rsidRDefault="00A5791A" w:rsidP="00F43E2F">
      <w:pPr>
        <w:spacing w:after="0"/>
        <w:rPr>
          <w:rFonts w:ascii="Calibri" w:hAnsi="Calibri" w:cs="Calibri"/>
          <w:sz w:val="24"/>
        </w:rPr>
      </w:pPr>
    </w:p>
    <w:p w:rsidR="009B58F3" w:rsidRPr="00F43E2F" w:rsidRDefault="00C14D44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Tím, že </w:t>
      </w:r>
      <w:r w:rsidR="00F81AF3" w:rsidRPr="00F43E2F">
        <w:rPr>
          <w:rFonts w:ascii="Calibri" w:hAnsi="Calibri" w:cs="Calibri"/>
          <w:sz w:val="24"/>
        </w:rPr>
        <w:t xml:space="preserve">MF zadalo STC obě zakázky v režimu utajení, </w:t>
      </w:r>
      <w:r w:rsidRPr="00F43E2F">
        <w:rPr>
          <w:rFonts w:ascii="Calibri" w:hAnsi="Calibri" w:cs="Calibri"/>
          <w:sz w:val="24"/>
        </w:rPr>
        <w:t xml:space="preserve">musela </w:t>
      </w:r>
      <w:r w:rsidR="001440D2" w:rsidRPr="00F43E2F">
        <w:rPr>
          <w:rFonts w:ascii="Calibri" w:hAnsi="Calibri" w:cs="Calibri"/>
          <w:sz w:val="24"/>
        </w:rPr>
        <w:t xml:space="preserve">STC </w:t>
      </w:r>
      <w:r w:rsidR="00E128B7" w:rsidRPr="00F43E2F">
        <w:rPr>
          <w:rFonts w:ascii="Calibri" w:hAnsi="Calibri" w:cs="Calibri"/>
          <w:sz w:val="24"/>
        </w:rPr>
        <w:t>postupovat stejným způsobem i </w:t>
      </w:r>
      <w:r w:rsidR="00F81AF3" w:rsidRPr="00F43E2F">
        <w:rPr>
          <w:rFonts w:ascii="Calibri" w:hAnsi="Calibri" w:cs="Calibri"/>
          <w:sz w:val="24"/>
        </w:rPr>
        <w:t>při zadání zakázky na subdodavatele příslušných služeb. Z výše uvedeného vyplývá, že tyto subdodavatelské služby měly významný podíl na dodávkách STC pro MF.</w:t>
      </w:r>
      <w:r w:rsidR="007F344F" w:rsidRPr="00F43E2F">
        <w:rPr>
          <w:rFonts w:ascii="Calibri" w:hAnsi="Calibri" w:cs="Calibri"/>
          <w:sz w:val="24"/>
        </w:rPr>
        <w:t xml:space="preserve"> </w:t>
      </w:r>
    </w:p>
    <w:p w:rsidR="00A5791A" w:rsidRDefault="00A5791A" w:rsidP="00F43E2F">
      <w:pPr>
        <w:spacing w:after="0"/>
        <w:rPr>
          <w:rFonts w:ascii="Calibri" w:hAnsi="Calibri" w:cs="Calibri"/>
          <w:sz w:val="24"/>
        </w:rPr>
      </w:pPr>
    </w:p>
    <w:p w:rsidR="005937C4" w:rsidRDefault="005937C4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>STC v průběhu přípravy nabídky a</w:t>
      </w:r>
      <w:r w:rsidR="00356F5E">
        <w:rPr>
          <w:rFonts w:ascii="Calibri" w:hAnsi="Calibri" w:cs="Calibri"/>
          <w:sz w:val="24"/>
        </w:rPr>
        <w:t>ni v době</w:t>
      </w:r>
      <w:r w:rsidRPr="00F43E2F">
        <w:rPr>
          <w:rFonts w:ascii="Calibri" w:hAnsi="Calibri" w:cs="Calibri"/>
          <w:sz w:val="24"/>
        </w:rPr>
        <w:t xml:space="preserve"> podpisu smlouvy na provoz </w:t>
      </w:r>
      <w:r w:rsidR="00C14D44" w:rsidRPr="00F43E2F">
        <w:rPr>
          <w:rFonts w:ascii="Calibri" w:hAnsi="Calibri" w:cs="Calibri"/>
          <w:sz w:val="24"/>
        </w:rPr>
        <w:t>s</w:t>
      </w:r>
      <w:r w:rsidRPr="00F43E2F">
        <w:rPr>
          <w:rFonts w:ascii="Calibri" w:hAnsi="Calibri" w:cs="Calibri"/>
          <w:sz w:val="24"/>
        </w:rPr>
        <w:t>tátní pokladn</w:t>
      </w:r>
      <w:r w:rsidR="008018F6" w:rsidRPr="00F43E2F">
        <w:rPr>
          <w:rFonts w:ascii="Calibri" w:hAnsi="Calibri" w:cs="Calibri"/>
          <w:sz w:val="24"/>
        </w:rPr>
        <w:t>y a</w:t>
      </w:r>
      <w:r w:rsidR="00356F5E">
        <w:rPr>
          <w:rFonts w:ascii="Calibri" w:hAnsi="Calibri" w:cs="Calibri"/>
          <w:sz w:val="24"/>
        </w:rPr>
        <w:t> </w:t>
      </w:r>
      <w:r w:rsidR="008018F6" w:rsidRPr="00F43E2F">
        <w:rPr>
          <w:rFonts w:ascii="Calibri" w:hAnsi="Calibri" w:cs="Calibri"/>
          <w:sz w:val="24"/>
        </w:rPr>
        <w:t xml:space="preserve">poskytování služby </w:t>
      </w:r>
      <w:proofErr w:type="spellStart"/>
      <w:r w:rsidR="008018F6" w:rsidRPr="00F43E2F">
        <w:rPr>
          <w:rFonts w:ascii="Calibri" w:hAnsi="Calibri" w:cs="Calibri"/>
          <w:sz w:val="24"/>
        </w:rPr>
        <w:t>Service</w:t>
      </w:r>
      <w:proofErr w:type="spellEnd"/>
      <w:r w:rsidR="008018F6" w:rsidRPr="00F43E2F">
        <w:rPr>
          <w:rFonts w:ascii="Calibri" w:hAnsi="Calibri" w:cs="Calibri"/>
          <w:sz w:val="24"/>
        </w:rPr>
        <w:t xml:space="preserve"> </w:t>
      </w:r>
      <w:proofErr w:type="spellStart"/>
      <w:r w:rsidR="008018F6" w:rsidRPr="00F43E2F">
        <w:rPr>
          <w:rFonts w:ascii="Calibri" w:hAnsi="Calibri" w:cs="Calibri"/>
          <w:sz w:val="24"/>
        </w:rPr>
        <w:t>D</w:t>
      </w:r>
      <w:r w:rsidRPr="00F43E2F">
        <w:rPr>
          <w:rFonts w:ascii="Calibri" w:hAnsi="Calibri" w:cs="Calibri"/>
          <w:sz w:val="24"/>
        </w:rPr>
        <w:t>esk</w:t>
      </w:r>
      <w:proofErr w:type="spellEnd"/>
      <w:r w:rsidRPr="00F43E2F">
        <w:rPr>
          <w:rFonts w:ascii="Calibri" w:hAnsi="Calibri" w:cs="Calibri"/>
          <w:sz w:val="24"/>
        </w:rPr>
        <w:t xml:space="preserve"> neměla </w:t>
      </w:r>
      <w:r w:rsidR="00ED33CD" w:rsidRPr="00F43E2F">
        <w:rPr>
          <w:rFonts w:ascii="Calibri" w:hAnsi="Calibri" w:cs="Calibri"/>
          <w:sz w:val="24"/>
        </w:rPr>
        <w:t xml:space="preserve">v </w:t>
      </w:r>
      <w:r w:rsidRPr="00F43E2F">
        <w:rPr>
          <w:rFonts w:ascii="Calibri" w:hAnsi="Calibri" w:cs="Calibri"/>
          <w:sz w:val="24"/>
        </w:rPr>
        <w:t>účinno</w:t>
      </w:r>
      <w:r w:rsidR="00ED33CD" w:rsidRPr="00F43E2F">
        <w:rPr>
          <w:rFonts w:ascii="Calibri" w:hAnsi="Calibri" w:cs="Calibri"/>
          <w:sz w:val="24"/>
        </w:rPr>
        <w:t>sti</w:t>
      </w:r>
      <w:r w:rsidRPr="00F43E2F">
        <w:rPr>
          <w:rFonts w:ascii="Calibri" w:hAnsi="Calibri" w:cs="Calibri"/>
          <w:sz w:val="24"/>
        </w:rPr>
        <w:t xml:space="preserve"> </w:t>
      </w:r>
      <w:r w:rsidR="00356F5E">
        <w:rPr>
          <w:rFonts w:ascii="Calibri" w:hAnsi="Calibri" w:cs="Calibri"/>
          <w:sz w:val="24"/>
        </w:rPr>
        <w:t>s</w:t>
      </w:r>
      <w:r w:rsidRPr="00F43E2F">
        <w:rPr>
          <w:rFonts w:ascii="Calibri" w:hAnsi="Calibri" w:cs="Calibri"/>
          <w:sz w:val="24"/>
        </w:rPr>
        <w:t xml:space="preserve">měrnici o cenové tvorbě. </w:t>
      </w:r>
      <w:r w:rsidR="001211C0" w:rsidRPr="00F43E2F">
        <w:rPr>
          <w:rFonts w:ascii="Calibri" w:hAnsi="Calibri" w:cs="Calibri"/>
          <w:sz w:val="24"/>
        </w:rPr>
        <w:t>Hlavní rozdíl při stanovování</w:t>
      </w:r>
      <w:r w:rsidR="00E128B7" w:rsidRPr="00F43E2F">
        <w:rPr>
          <w:rFonts w:ascii="Calibri" w:hAnsi="Calibri" w:cs="Calibri"/>
          <w:sz w:val="24"/>
        </w:rPr>
        <w:t xml:space="preserve"> ceny mezi oblastí polygrafie a </w:t>
      </w:r>
      <w:r w:rsidR="001211C0" w:rsidRPr="00F43E2F">
        <w:rPr>
          <w:rFonts w:ascii="Calibri" w:hAnsi="Calibri" w:cs="Calibri"/>
          <w:sz w:val="24"/>
        </w:rPr>
        <w:t>služeb ICT spočív</w:t>
      </w:r>
      <w:r w:rsidR="00A612BB" w:rsidRPr="00F43E2F">
        <w:rPr>
          <w:rFonts w:ascii="Calibri" w:hAnsi="Calibri" w:cs="Calibri"/>
          <w:sz w:val="24"/>
        </w:rPr>
        <w:t>al</w:t>
      </w:r>
      <w:r w:rsidR="001211C0" w:rsidRPr="00F43E2F">
        <w:rPr>
          <w:rFonts w:ascii="Calibri" w:hAnsi="Calibri" w:cs="Calibri"/>
          <w:sz w:val="24"/>
        </w:rPr>
        <w:t xml:space="preserve"> v přiřazování nepřímých režijních</w:t>
      </w:r>
      <w:r w:rsidR="00E128B7" w:rsidRPr="00F43E2F">
        <w:rPr>
          <w:rFonts w:ascii="Calibri" w:hAnsi="Calibri" w:cs="Calibri"/>
          <w:sz w:val="24"/>
        </w:rPr>
        <w:t xml:space="preserve"> nákladů jednotlivým zakázkám a v </w:t>
      </w:r>
      <w:r w:rsidR="001211C0" w:rsidRPr="00F43E2F">
        <w:rPr>
          <w:rFonts w:ascii="Calibri" w:hAnsi="Calibri" w:cs="Calibri"/>
          <w:sz w:val="24"/>
        </w:rPr>
        <w:t>rozdíln</w:t>
      </w:r>
      <w:r w:rsidR="00A612BB" w:rsidRPr="00F43E2F">
        <w:rPr>
          <w:rFonts w:ascii="Calibri" w:hAnsi="Calibri" w:cs="Calibri"/>
          <w:sz w:val="24"/>
        </w:rPr>
        <w:t>ém</w:t>
      </w:r>
      <w:r w:rsidR="001211C0" w:rsidRPr="00F43E2F">
        <w:rPr>
          <w:rFonts w:ascii="Calibri" w:hAnsi="Calibri" w:cs="Calibri"/>
          <w:sz w:val="24"/>
        </w:rPr>
        <w:t xml:space="preserve"> přístup</w:t>
      </w:r>
      <w:r w:rsidR="00C14D44" w:rsidRPr="00F43E2F">
        <w:rPr>
          <w:rFonts w:ascii="Calibri" w:hAnsi="Calibri" w:cs="Calibri"/>
          <w:sz w:val="24"/>
        </w:rPr>
        <w:t>u</w:t>
      </w:r>
      <w:r w:rsidR="001211C0" w:rsidRPr="00F43E2F">
        <w:rPr>
          <w:rFonts w:ascii="Calibri" w:hAnsi="Calibri" w:cs="Calibri"/>
          <w:sz w:val="24"/>
        </w:rPr>
        <w:t xml:space="preserve"> </w:t>
      </w:r>
      <w:r w:rsidR="00A612BB" w:rsidRPr="00F43E2F">
        <w:rPr>
          <w:rFonts w:ascii="Calibri" w:hAnsi="Calibri" w:cs="Calibri"/>
          <w:sz w:val="24"/>
        </w:rPr>
        <w:t xml:space="preserve">ke </w:t>
      </w:r>
      <w:r w:rsidR="001211C0" w:rsidRPr="00F43E2F">
        <w:rPr>
          <w:rFonts w:ascii="Calibri" w:hAnsi="Calibri" w:cs="Calibri"/>
          <w:sz w:val="24"/>
        </w:rPr>
        <w:t xml:space="preserve">stanovení výše zisku </w:t>
      </w:r>
      <w:r w:rsidR="00A612BB" w:rsidRPr="00F43E2F">
        <w:rPr>
          <w:rFonts w:ascii="Calibri" w:hAnsi="Calibri" w:cs="Calibri"/>
          <w:sz w:val="24"/>
        </w:rPr>
        <w:t xml:space="preserve">ze </w:t>
      </w:r>
      <w:r w:rsidR="001211C0" w:rsidRPr="00F43E2F">
        <w:rPr>
          <w:rFonts w:ascii="Calibri" w:hAnsi="Calibri" w:cs="Calibri"/>
          <w:sz w:val="24"/>
        </w:rPr>
        <w:t>zakázek.</w:t>
      </w:r>
      <w:r w:rsidR="001211C0" w:rsidRPr="00F43E2F">
        <w:rPr>
          <w:rFonts w:ascii="Calibri" w:eastAsiaTheme="minorHAnsi" w:hAnsi="Calibri" w:cs="Calibri"/>
          <w:sz w:val="24"/>
        </w:rPr>
        <w:t xml:space="preserve"> </w:t>
      </w:r>
      <w:r w:rsidRPr="00F43E2F">
        <w:rPr>
          <w:rFonts w:ascii="Calibri" w:hAnsi="Calibri" w:cs="Calibri"/>
          <w:sz w:val="24"/>
        </w:rPr>
        <w:t>STC tak musela u obou zmíněných smluv stanovit cenu a výši zisku individuálně. Skutečně dosažená výše zisku STC z obou zmíněných smluv byla značně rozdílná.</w:t>
      </w:r>
      <w:r w:rsidR="00A612BB" w:rsidRPr="00F43E2F">
        <w:rPr>
          <w:rFonts w:ascii="Calibri" w:hAnsi="Calibri" w:cs="Calibri"/>
          <w:sz w:val="24"/>
        </w:rPr>
        <w:t xml:space="preserve"> </w:t>
      </w:r>
    </w:p>
    <w:p w:rsidR="00A5791A" w:rsidRPr="00F43E2F" w:rsidRDefault="00A5791A" w:rsidP="00F43E2F">
      <w:pPr>
        <w:spacing w:after="0"/>
        <w:rPr>
          <w:rFonts w:ascii="Calibri" w:eastAsiaTheme="minorHAnsi" w:hAnsi="Calibri" w:cs="Calibri"/>
          <w:sz w:val="24"/>
        </w:rPr>
      </w:pPr>
    </w:p>
    <w:p w:rsidR="001440D2" w:rsidRPr="00F43E2F" w:rsidRDefault="001440D2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V případě poskytování služby </w:t>
      </w:r>
      <w:proofErr w:type="spellStart"/>
      <w:r w:rsidRPr="00F43E2F">
        <w:rPr>
          <w:rFonts w:ascii="Calibri" w:hAnsi="Calibri" w:cs="Calibri"/>
          <w:sz w:val="24"/>
        </w:rPr>
        <w:t>Service</w:t>
      </w:r>
      <w:proofErr w:type="spellEnd"/>
      <w:r w:rsidRPr="00F43E2F">
        <w:rPr>
          <w:rFonts w:ascii="Calibri" w:hAnsi="Calibri" w:cs="Calibri"/>
          <w:sz w:val="24"/>
        </w:rPr>
        <w:t xml:space="preserve"> </w:t>
      </w:r>
      <w:proofErr w:type="spellStart"/>
      <w:r w:rsidRPr="00F43E2F">
        <w:rPr>
          <w:rFonts w:ascii="Calibri" w:hAnsi="Calibri" w:cs="Calibri"/>
          <w:sz w:val="24"/>
        </w:rPr>
        <w:t>Desk</w:t>
      </w:r>
      <w:proofErr w:type="spellEnd"/>
      <w:r w:rsidRPr="00F43E2F">
        <w:rPr>
          <w:rFonts w:ascii="Calibri" w:hAnsi="Calibri" w:cs="Calibri"/>
          <w:sz w:val="24"/>
        </w:rPr>
        <w:t xml:space="preserve"> byla výše zisku nastavena přímo ve smlouvě a činila cca 6</w:t>
      </w:r>
      <w:r w:rsidR="00ED3B3C" w:rsidRPr="00F43E2F">
        <w:rPr>
          <w:rFonts w:ascii="Calibri" w:hAnsi="Calibri" w:cs="Calibri"/>
          <w:sz w:val="24"/>
        </w:rPr>
        <w:t xml:space="preserve"> mil. Kč</w:t>
      </w:r>
      <w:r w:rsidR="00783476" w:rsidRPr="00F43E2F">
        <w:rPr>
          <w:rFonts w:ascii="Calibri" w:hAnsi="Calibri" w:cs="Calibri"/>
          <w:sz w:val="24"/>
        </w:rPr>
        <w:t>,</w:t>
      </w:r>
      <w:r w:rsidR="00ED3B3C" w:rsidRPr="00F43E2F">
        <w:rPr>
          <w:rFonts w:ascii="Calibri" w:hAnsi="Calibri" w:cs="Calibri"/>
          <w:sz w:val="24"/>
        </w:rPr>
        <w:t xml:space="preserve"> tj. 6 </w:t>
      </w:r>
      <w:r w:rsidRPr="00F43E2F">
        <w:rPr>
          <w:rFonts w:ascii="Calibri" w:hAnsi="Calibri" w:cs="Calibri"/>
          <w:sz w:val="24"/>
        </w:rPr>
        <w:t>% z celkové ceny za období pěti let. Skutečný zisk</w:t>
      </w:r>
      <w:r w:rsidR="00ED3B3C" w:rsidRPr="00F43E2F">
        <w:rPr>
          <w:rFonts w:ascii="Calibri" w:hAnsi="Calibri" w:cs="Calibri"/>
          <w:sz w:val="24"/>
        </w:rPr>
        <w:t xml:space="preserve"> 11,75 mil. Kč</w:t>
      </w:r>
      <w:r w:rsidRPr="00F43E2F">
        <w:rPr>
          <w:rFonts w:ascii="Calibri" w:hAnsi="Calibri" w:cs="Calibri"/>
          <w:sz w:val="24"/>
        </w:rPr>
        <w:t xml:space="preserve">, kterého STC </w:t>
      </w:r>
      <w:r w:rsidRPr="00F43E2F">
        <w:rPr>
          <w:rFonts w:ascii="Calibri" w:hAnsi="Calibri" w:cs="Calibri"/>
          <w:sz w:val="24"/>
        </w:rPr>
        <w:lastRenderedPageBreak/>
        <w:t xml:space="preserve">dosáhla již rok před ukončením poskytování služby, převyšuje zisk sjednaný smlouvou o 78 %. Aby STC dodržela sjednanou výši zisku, musela by v roce 2014 vykázat o 38 % vyšší náklady, než byly průměrné roční náklady </w:t>
      </w:r>
      <w:r w:rsidR="00356F5E">
        <w:rPr>
          <w:rFonts w:ascii="Calibri" w:hAnsi="Calibri" w:cs="Calibri"/>
          <w:sz w:val="24"/>
        </w:rPr>
        <w:t>za období</w:t>
      </w:r>
      <w:r w:rsidRPr="00F43E2F">
        <w:rPr>
          <w:rFonts w:ascii="Calibri" w:hAnsi="Calibri" w:cs="Calibri"/>
          <w:sz w:val="24"/>
        </w:rPr>
        <w:t xml:space="preserve"> poskytování služby.</w:t>
      </w:r>
    </w:p>
    <w:p w:rsidR="00D45A27" w:rsidRPr="00F43E2F" w:rsidRDefault="00D45A27" w:rsidP="00F43E2F">
      <w:pPr>
        <w:spacing w:after="0"/>
        <w:rPr>
          <w:rFonts w:ascii="Calibri" w:eastAsiaTheme="minorHAnsi" w:hAnsi="Calibri" w:cs="Calibri"/>
          <w:sz w:val="24"/>
        </w:rPr>
      </w:pPr>
    </w:p>
    <w:p w:rsidR="00FA0433" w:rsidRPr="00A5791A" w:rsidRDefault="00A5791A" w:rsidP="00A5791A">
      <w:pPr>
        <w:spacing w:after="0"/>
        <w:ind w:left="567" w:hanging="567"/>
        <w:rPr>
          <w:rFonts w:ascii="Calibri" w:eastAsiaTheme="minorHAnsi" w:hAnsi="Calibri" w:cs="Calibri"/>
          <w:b/>
          <w:sz w:val="24"/>
        </w:rPr>
      </w:pPr>
      <w:r>
        <w:rPr>
          <w:rFonts w:ascii="Calibri" w:eastAsiaTheme="minorHAnsi" w:hAnsi="Calibri" w:cs="Calibri"/>
          <w:b/>
          <w:sz w:val="24"/>
        </w:rPr>
        <w:t xml:space="preserve">2.3.2 </w:t>
      </w:r>
      <w:r>
        <w:rPr>
          <w:rFonts w:ascii="Calibri" w:eastAsiaTheme="minorHAnsi" w:hAnsi="Calibri" w:cs="Calibri"/>
          <w:b/>
          <w:sz w:val="24"/>
        </w:rPr>
        <w:tab/>
      </w:r>
      <w:r w:rsidR="00892D70" w:rsidRPr="00A5791A">
        <w:rPr>
          <w:rFonts w:ascii="Calibri" w:eastAsiaTheme="minorHAnsi" w:hAnsi="Calibri" w:cs="Calibri"/>
          <w:b/>
          <w:sz w:val="24"/>
        </w:rPr>
        <w:t xml:space="preserve">Využívání zaměstnanců Státní tiskárny cenin pro zajištění </w:t>
      </w:r>
      <w:r w:rsidR="002B5AA9" w:rsidRPr="00A5791A">
        <w:rPr>
          <w:rFonts w:ascii="Calibri" w:eastAsiaTheme="minorHAnsi" w:hAnsi="Calibri" w:cs="Calibri"/>
          <w:b/>
          <w:sz w:val="24"/>
        </w:rPr>
        <w:t xml:space="preserve">provozu </w:t>
      </w:r>
      <w:r w:rsidR="00892D70" w:rsidRPr="00A5791A">
        <w:rPr>
          <w:rFonts w:ascii="Calibri" w:eastAsiaTheme="minorHAnsi" w:hAnsi="Calibri" w:cs="Calibri"/>
          <w:b/>
          <w:sz w:val="24"/>
        </w:rPr>
        <w:t>ICT Ministerstva financí</w:t>
      </w:r>
    </w:p>
    <w:p w:rsidR="00A5791A" w:rsidRDefault="00A5791A" w:rsidP="00F43E2F">
      <w:pPr>
        <w:spacing w:after="0"/>
        <w:rPr>
          <w:rFonts w:ascii="Calibri" w:hAnsi="Calibri" w:cs="Calibri"/>
          <w:sz w:val="24"/>
        </w:rPr>
      </w:pPr>
    </w:p>
    <w:p w:rsidR="00370471" w:rsidRDefault="00F301DC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STC na základě mandátních smluv poskytovala MF od roku 2000 činnosti v oblasti ICT. </w:t>
      </w:r>
      <w:r w:rsidR="00370471" w:rsidRPr="00F43E2F">
        <w:rPr>
          <w:rFonts w:ascii="Calibri" w:hAnsi="Calibri" w:cs="Calibri"/>
          <w:sz w:val="24"/>
        </w:rPr>
        <w:t xml:space="preserve">Tyto </w:t>
      </w:r>
      <w:r w:rsidR="00F47E49" w:rsidRPr="00F43E2F">
        <w:rPr>
          <w:rFonts w:ascii="Calibri" w:hAnsi="Calibri" w:cs="Calibri"/>
          <w:sz w:val="24"/>
        </w:rPr>
        <w:t xml:space="preserve">činnosti </w:t>
      </w:r>
      <w:r w:rsidR="008C7873" w:rsidRPr="00F43E2F">
        <w:rPr>
          <w:rFonts w:ascii="Calibri" w:hAnsi="Calibri" w:cs="Calibri"/>
          <w:sz w:val="24"/>
        </w:rPr>
        <w:t>MF</w:t>
      </w:r>
      <w:r w:rsidR="00370471" w:rsidRPr="00F43E2F">
        <w:rPr>
          <w:rFonts w:ascii="Calibri" w:hAnsi="Calibri" w:cs="Calibri"/>
          <w:sz w:val="24"/>
        </w:rPr>
        <w:t xml:space="preserve"> </w:t>
      </w:r>
      <w:r w:rsidR="00BE78ED" w:rsidRPr="00F43E2F">
        <w:rPr>
          <w:rFonts w:ascii="Calibri" w:hAnsi="Calibri" w:cs="Calibri"/>
          <w:sz w:val="24"/>
        </w:rPr>
        <w:t xml:space="preserve">podle svého vyjádření </w:t>
      </w:r>
      <w:r w:rsidR="008C7873" w:rsidRPr="00F43E2F">
        <w:rPr>
          <w:rFonts w:ascii="Calibri" w:hAnsi="Calibri" w:cs="Calibri"/>
          <w:sz w:val="24"/>
        </w:rPr>
        <w:t xml:space="preserve">potřebovalo </w:t>
      </w:r>
      <w:r w:rsidR="00370471" w:rsidRPr="00F43E2F">
        <w:rPr>
          <w:rFonts w:ascii="Calibri" w:hAnsi="Calibri" w:cs="Calibri"/>
          <w:sz w:val="24"/>
        </w:rPr>
        <w:t xml:space="preserve">pro zajištění řádného </w:t>
      </w:r>
      <w:r w:rsidR="001440D2" w:rsidRPr="00F43E2F">
        <w:rPr>
          <w:rFonts w:ascii="Calibri" w:hAnsi="Calibri" w:cs="Calibri"/>
          <w:sz w:val="24"/>
        </w:rPr>
        <w:t xml:space="preserve">provozu </w:t>
      </w:r>
      <w:r w:rsidR="00370471" w:rsidRPr="00F43E2F">
        <w:rPr>
          <w:rFonts w:ascii="Calibri" w:hAnsi="Calibri" w:cs="Calibri"/>
          <w:sz w:val="24"/>
        </w:rPr>
        <w:t>informačních systémů ve své správě.</w:t>
      </w:r>
    </w:p>
    <w:p w:rsidR="00A5791A" w:rsidRPr="00F43E2F" w:rsidRDefault="00A5791A" w:rsidP="00F43E2F">
      <w:pPr>
        <w:spacing w:after="0"/>
        <w:rPr>
          <w:rFonts w:ascii="Calibri" w:hAnsi="Calibri" w:cs="Calibri"/>
          <w:sz w:val="24"/>
        </w:rPr>
      </w:pPr>
    </w:p>
    <w:p w:rsidR="001440D2" w:rsidRPr="00F43E2F" w:rsidRDefault="001440D2" w:rsidP="00F43E2F">
      <w:pPr>
        <w:spacing w:after="0"/>
        <w:rPr>
          <w:rFonts w:ascii="Calibri" w:hAnsi="Calibri" w:cs="Calibri"/>
          <w:b/>
          <w:sz w:val="24"/>
        </w:rPr>
      </w:pPr>
      <w:r w:rsidRPr="00F43E2F">
        <w:rPr>
          <w:rFonts w:ascii="Calibri" w:hAnsi="Calibri" w:cs="Calibri"/>
          <w:b/>
          <w:sz w:val="24"/>
        </w:rPr>
        <w:t xml:space="preserve">STC však neposkytovala a nefakturovala MF konkrétní </w:t>
      </w:r>
      <w:r w:rsidR="00CB328E" w:rsidRPr="00F43E2F">
        <w:rPr>
          <w:rFonts w:ascii="Calibri" w:hAnsi="Calibri" w:cs="Calibri"/>
          <w:b/>
          <w:sz w:val="24"/>
        </w:rPr>
        <w:t>činnosti</w:t>
      </w:r>
      <w:r w:rsidRPr="00F43E2F">
        <w:rPr>
          <w:rFonts w:ascii="Calibri" w:hAnsi="Calibri" w:cs="Calibri"/>
          <w:b/>
          <w:sz w:val="24"/>
        </w:rPr>
        <w:t xml:space="preserve">, ale </w:t>
      </w:r>
      <w:r w:rsidR="00883178" w:rsidRPr="00F43E2F">
        <w:rPr>
          <w:rFonts w:ascii="Calibri" w:hAnsi="Calibri" w:cs="Calibri"/>
          <w:b/>
          <w:sz w:val="24"/>
        </w:rPr>
        <w:t xml:space="preserve">pracovní </w:t>
      </w:r>
      <w:r w:rsidR="00CB328E" w:rsidRPr="00F43E2F">
        <w:rPr>
          <w:rFonts w:ascii="Calibri" w:hAnsi="Calibri" w:cs="Calibri"/>
          <w:b/>
          <w:sz w:val="24"/>
        </w:rPr>
        <w:t xml:space="preserve">výkon </w:t>
      </w:r>
      <w:r w:rsidRPr="00F43E2F">
        <w:rPr>
          <w:rFonts w:ascii="Calibri" w:hAnsi="Calibri" w:cs="Calibri"/>
          <w:b/>
          <w:sz w:val="24"/>
        </w:rPr>
        <w:t>svých zaměstnanců</w:t>
      </w:r>
      <w:r w:rsidR="00DB5C6D" w:rsidRPr="00F43E2F">
        <w:rPr>
          <w:rFonts w:ascii="Calibri" w:hAnsi="Calibri" w:cs="Calibri"/>
          <w:b/>
          <w:sz w:val="24"/>
        </w:rPr>
        <w:t>.</w:t>
      </w:r>
    </w:p>
    <w:p w:rsidR="00A5791A" w:rsidRDefault="00A5791A" w:rsidP="00F43E2F">
      <w:pPr>
        <w:spacing w:after="0"/>
        <w:rPr>
          <w:rFonts w:ascii="Calibri" w:hAnsi="Calibri" w:cs="Calibri"/>
          <w:sz w:val="24"/>
        </w:rPr>
      </w:pPr>
    </w:p>
    <w:p w:rsidR="00886106" w:rsidRPr="00F43E2F" w:rsidRDefault="001440D2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V průběhu </w:t>
      </w:r>
      <w:r w:rsidR="00F301DC" w:rsidRPr="00F43E2F">
        <w:rPr>
          <w:rFonts w:ascii="Calibri" w:hAnsi="Calibri" w:cs="Calibri"/>
          <w:sz w:val="24"/>
        </w:rPr>
        <w:t>posledních deset</w:t>
      </w:r>
      <w:r w:rsidRPr="00F43E2F">
        <w:rPr>
          <w:rFonts w:ascii="Calibri" w:hAnsi="Calibri" w:cs="Calibri"/>
          <w:sz w:val="24"/>
        </w:rPr>
        <w:t>i</w:t>
      </w:r>
      <w:r w:rsidR="00F301DC" w:rsidRPr="00F43E2F">
        <w:rPr>
          <w:rFonts w:ascii="Calibri" w:hAnsi="Calibri" w:cs="Calibri"/>
          <w:sz w:val="24"/>
        </w:rPr>
        <w:t xml:space="preserve"> let vykonávalo </w:t>
      </w:r>
      <w:r w:rsidR="00357D97" w:rsidRPr="00F43E2F">
        <w:rPr>
          <w:rFonts w:ascii="Calibri" w:hAnsi="Calibri" w:cs="Calibri"/>
          <w:sz w:val="24"/>
        </w:rPr>
        <w:t xml:space="preserve">pro MF </w:t>
      </w:r>
      <w:r w:rsidR="00F301DC" w:rsidRPr="00F43E2F">
        <w:rPr>
          <w:rFonts w:ascii="Calibri" w:hAnsi="Calibri" w:cs="Calibri"/>
          <w:sz w:val="24"/>
        </w:rPr>
        <w:t>smluvní činnosti celkem 32 zaměstnanců</w:t>
      </w:r>
      <w:r w:rsidR="00062A2A" w:rsidRPr="00F43E2F">
        <w:rPr>
          <w:rFonts w:ascii="Calibri" w:hAnsi="Calibri" w:cs="Calibri"/>
          <w:sz w:val="24"/>
        </w:rPr>
        <w:t xml:space="preserve"> STC</w:t>
      </w:r>
      <w:r w:rsidR="00F301DC" w:rsidRPr="00F43E2F">
        <w:rPr>
          <w:rFonts w:ascii="Calibri" w:hAnsi="Calibri" w:cs="Calibri"/>
          <w:sz w:val="24"/>
        </w:rPr>
        <w:t>, z toho 12 z nich bylo původními zaměstnanci MF.</w:t>
      </w:r>
      <w:r w:rsidR="00370471" w:rsidRPr="00F43E2F">
        <w:rPr>
          <w:rFonts w:ascii="Calibri" w:hAnsi="Calibri" w:cs="Calibri"/>
          <w:sz w:val="24"/>
        </w:rPr>
        <w:t xml:space="preserve"> </w:t>
      </w:r>
      <w:r w:rsidR="00356F5E">
        <w:rPr>
          <w:rFonts w:ascii="Calibri" w:hAnsi="Calibri" w:cs="Calibri"/>
          <w:sz w:val="24"/>
        </w:rPr>
        <w:t>V rámci</w:t>
      </w:r>
      <w:r w:rsidR="00062A2A" w:rsidRPr="00F43E2F">
        <w:rPr>
          <w:rFonts w:ascii="Calibri" w:hAnsi="Calibri" w:cs="Calibri"/>
          <w:sz w:val="24"/>
        </w:rPr>
        <w:t xml:space="preserve"> plnění smlouvy </w:t>
      </w:r>
      <w:r w:rsidR="00356F5E">
        <w:rPr>
          <w:rFonts w:ascii="Calibri" w:hAnsi="Calibri" w:cs="Calibri"/>
          <w:sz w:val="24"/>
        </w:rPr>
        <w:t xml:space="preserve">MF </w:t>
      </w:r>
      <w:r w:rsidR="00370471" w:rsidRPr="00F43E2F">
        <w:rPr>
          <w:rFonts w:ascii="Calibri" w:hAnsi="Calibri" w:cs="Calibri"/>
          <w:sz w:val="24"/>
        </w:rPr>
        <w:t xml:space="preserve">hradilo </w:t>
      </w:r>
      <w:r w:rsidR="00883178" w:rsidRPr="00F43E2F">
        <w:rPr>
          <w:rFonts w:ascii="Calibri" w:hAnsi="Calibri" w:cs="Calibri"/>
          <w:sz w:val="24"/>
        </w:rPr>
        <w:t>z</w:t>
      </w:r>
      <w:r w:rsidR="00062A2A" w:rsidRPr="00F43E2F">
        <w:rPr>
          <w:rFonts w:ascii="Calibri" w:hAnsi="Calibri" w:cs="Calibri"/>
          <w:sz w:val="24"/>
        </w:rPr>
        <w:t>a jednoho zaměstnance STC paušální částku</w:t>
      </w:r>
      <w:r w:rsidR="00370471" w:rsidRPr="00F43E2F">
        <w:rPr>
          <w:rFonts w:ascii="Calibri" w:hAnsi="Calibri" w:cs="Calibri"/>
          <w:sz w:val="24"/>
        </w:rPr>
        <w:t xml:space="preserve">, která činila </w:t>
      </w:r>
      <w:r w:rsidR="002F1666" w:rsidRPr="00F43E2F">
        <w:rPr>
          <w:rFonts w:ascii="Calibri" w:hAnsi="Calibri" w:cs="Calibri"/>
          <w:sz w:val="24"/>
        </w:rPr>
        <w:t>95</w:t>
      </w:r>
      <w:r w:rsidR="000E2AF6" w:rsidRPr="00F43E2F">
        <w:rPr>
          <w:rFonts w:ascii="Calibri" w:hAnsi="Calibri" w:cs="Calibri"/>
          <w:sz w:val="24"/>
        </w:rPr>
        <w:t xml:space="preserve"> </w:t>
      </w:r>
      <w:r w:rsidR="002F1666" w:rsidRPr="00F43E2F">
        <w:rPr>
          <w:rFonts w:ascii="Calibri" w:hAnsi="Calibri" w:cs="Calibri"/>
          <w:sz w:val="24"/>
        </w:rPr>
        <w:t>tis. Kč bez DPH (82 tis. Kč bez DPH do roku 2002)</w:t>
      </w:r>
      <w:r w:rsidR="00062A2A" w:rsidRPr="00F43E2F">
        <w:rPr>
          <w:rFonts w:ascii="Calibri" w:hAnsi="Calibri" w:cs="Calibri"/>
          <w:sz w:val="24"/>
        </w:rPr>
        <w:t>.</w:t>
      </w:r>
      <w:r w:rsidR="006F5681" w:rsidRPr="00F43E2F">
        <w:rPr>
          <w:rFonts w:ascii="Calibri" w:hAnsi="Calibri" w:cs="Calibri"/>
          <w:sz w:val="24"/>
        </w:rPr>
        <w:t xml:space="preserve"> Tato částka </w:t>
      </w:r>
      <w:r w:rsidR="00A01074" w:rsidRPr="00F43E2F">
        <w:rPr>
          <w:rFonts w:ascii="Calibri" w:hAnsi="Calibri" w:cs="Calibri"/>
          <w:sz w:val="24"/>
        </w:rPr>
        <w:t>však neodpovídala výši platů těchto zaměstnanců</w:t>
      </w:r>
      <w:r w:rsidR="00883178" w:rsidRPr="00F43E2F">
        <w:rPr>
          <w:rFonts w:ascii="Calibri" w:hAnsi="Calibri" w:cs="Calibri"/>
          <w:sz w:val="24"/>
        </w:rPr>
        <w:t xml:space="preserve"> STC</w:t>
      </w:r>
      <w:r w:rsidR="00A01074" w:rsidRPr="00F43E2F">
        <w:rPr>
          <w:rFonts w:ascii="Calibri" w:hAnsi="Calibri" w:cs="Calibri"/>
          <w:sz w:val="24"/>
        </w:rPr>
        <w:t xml:space="preserve">, neboť </w:t>
      </w:r>
      <w:r w:rsidR="00883178" w:rsidRPr="00F43E2F">
        <w:rPr>
          <w:rFonts w:ascii="Calibri" w:hAnsi="Calibri" w:cs="Calibri"/>
          <w:sz w:val="24"/>
        </w:rPr>
        <w:t>kontrolou NKÚ</w:t>
      </w:r>
      <w:r w:rsidR="00A01074" w:rsidRPr="00F43E2F">
        <w:rPr>
          <w:rFonts w:ascii="Calibri" w:hAnsi="Calibri" w:cs="Calibri"/>
          <w:sz w:val="24"/>
        </w:rPr>
        <w:t xml:space="preserve"> bylo zjištěno, že jejich </w:t>
      </w:r>
      <w:r w:rsidR="00A01074" w:rsidRPr="00F43E2F">
        <w:rPr>
          <w:rFonts w:ascii="Calibri" w:hAnsi="Calibri" w:cs="Calibri"/>
          <w:b/>
          <w:sz w:val="24"/>
        </w:rPr>
        <w:t xml:space="preserve">plat vč. zákonných odvodů činil </w:t>
      </w:r>
      <w:r w:rsidR="008C2C7E" w:rsidRPr="00F43E2F">
        <w:rPr>
          <w:rFonts w:ascii="Calibri" w:hAnsi="Calibri" w:cs="Calibri"/>
          <w:b/>
          <w:sz w:val="24"/>
        </w:rPr>
        <w:t xml:space="preserve">méně než </w:t>
      </w:r>
      <w:r w:rsidR="00A01074" w:rsidRPr="00F43E2F">
        <w:rPr>
          <w:rFonts w:ascii="Calibri" w:hAnsi="Calibri" w:cs="Calibri"/>
          <w:b/>
          <w:sz w:val="24"/>
        </w:rPr>
        <w:t>50 % částky</w:t>
      </w:r>
      <w:r w:rsidR="008C7873" w:rsidRPr="00F43E2F">
        <w:rPr>
          <w:rFonts w:ascii="Calibri" w:hAnsi="Calibri" w:cs="Calibri"/>
          <w:b/>
          <w:sz w:val="24"/>
        </w:rPr>
        <w:t xml:space="preserve"> hrazené MF</w:t>
      </w:r>
      <w:r w:rsidR="008C2C7E" w:rsidRPr="00D963DC">
        <w:rPr>
          <w:rFonts w:ascii="Calibri" w:hAnsi="Calibri" w:cs="Calibri"/>
          <w:b/>
          <w:sz w:val="24"/>
        </w:rPr>
        <w:t>.</w:t>
      </w:r>
    </w:p>
    <w:p w:rsidR="00A5791A" w:rsidRDefault="00A5791A" w:rsidP="00F43E2F">
      <w:pPr>
        <w:spacing w:after="0"/>
        <w:rPr>
          <w:rFonts w:ascii="Calibri" w:hAnsi="Calibri" w:cs="Calibri"/>
          <w:sz w:val="24"/>
        </w:rPr>
      </w:pPr>
    </w:p>
    <w:p w:rsidR="00CA2A5E" w:rsidRPr="0061219D" w:rsidRDefault="00CA2A5E" w:rsidP="00F43E2F">
      <w:pPr>
        <w:spacing w:after="0"/>
        <w:rPr>
          <w:rFonts w:ascii="Calibri" w:hAnsi="Calibri" w:cs="Calibri"/>
          <w:sz w:val="24"/>
        </w:rPr>
      </w:pPr>
      <w:r w:rsidRPr="0061219D">
        <w:rPr>
          <w:rFonts w:ascii="Calibri" w:hAnsi="Calibri" w:cs="Calibri"/>
          <w:sz w:val="24"/>
        </w:rPr>
        <w:t xml:space="preserve">Uzavření mandátní smlouvy </w:t>
      </w:r>
      <w:r w:rsidR="0005717A" w:rsidRPr="0061219D">
        <w:rPr>
          <w:rFonts w:ascii="Calibri" w:hAnsi="Calibri" w:cs="Calibri"/>
          <w:sz w:val="24"/>
        </w:rPr>
        <w:t xml:space="preserve">namísto využívání vlastních zaměstnanců </w:t>
      </w:r>
      <w:r w:rsidRPr="0061219D">
        <w:rPr>
          <w:rFonts w:ascii="Calibri" w:hAnsi="Calibri" w:cs="Calibri"/>
          <w:sz w:val="24"/>
        </w:rPr>
        <w:t>odůvodnilo</w:t>
      </w:r>
      <w:r w:rsidR="00356F5E" w:rsidRPr="00356F5E">
        <w:rPr>
          <w:rFonts w:ascii="Calibri" w:hAnsi="Calibri" w:cs="Calibri"/>
          <w:sz w:val="24"/>
        </w:rPr>
        <w:t xml:space="preserve"> </w:t>
      </w:r>
      <w:r w:rsidR="00356F5E" w:rsidRPr="0061219D">
        <w:rPr>
          <w:rFonts w:ascii="Calibri" w:hAnsi="Calibri" w:cs="Calibri"/>
          <w:sz w:val="24"/>
        </w:rPr>
        <w:t>MF</w:t>
      </w:r>
      <w:r w:rsidR="0005717A" w:rsidRPr="0061219D">
        <w:rPr>
          <w:rFonts w:ascii="Calibri" w:hAnsi="Calibri" w:cs="Calibri"/>
          <w:sz w:val="24"/>
        </w:rPr>
        <w:t xml:space="preserve"> potřebou </w:t>
      </w:r>
      <w:r w:rsidR="00356F5E">
        <w:rPr>
          <w:rFonts w:ascii="Calibri" w:hAnsi="Calibri" w:cs="Calibri"/>
          <w:sz w:val="24"/>
        </w:rPr>
        <w:t>splnit požadavky</w:t>
      </w:r>
      <w:r w:rsidR="00356F5E" w:rsidRPr="0061219D">
        <w:rPr>
          <w:rFonts w:ascii="Calibri" w:hAnsi="Calibri" w:cs="Calibri"/>
          <w:sz w:val="24"/>
        </w:rPr>
        <w:t xml:space="preserve"> </w:t>
      </w:r>
      <w:r w:rsidRPr="0061219D">
        <w:rPr>
          <w:rFonts w:ascii="Calibri" w:hAnsi="Calibri" w:cs="Calibri"/>
          <w:sz w:val="24"/>
        </w:rPr>
        <w:t>řad</w:t>
      </w:r>
      <w:r w:rsidR="0005717A" w:rsidRPr="0061219D">
        <w:rPr>
          <w:rFonts w:ascii="Calibri" w:hAnsi="Calibri" w:cs="Calibri"/>
          <w:sz w:val="24"/>
        </w:rPr>
        <w:t>y</w:t>
      </w:r>
      <w:r w:rsidRPr="0061219D">
        <w:rPr>
          <w:rFonts w:ascii="Calibri" w:hAnsi="Calibri" w:cs="Calibri"/>
          <w:sz w:val="24"/>
        </w:rPr>
        <w:t xml:space="preserve"> vládních materiálů o snižování počt</w:t>
      </w:r>
      <w:r w:rsidR="00356F5E">
        <w:rPr>
          <w:rFonts w:ascii="Calibri" w:hAnsi="Calibri" w:cs="Calibri"/>
          <w:sz w:val="24"/>
        </w:rPr>
        <w:t>u</w:t>
      </w:r>
      <w:r w:rsidRPr="0061219D">
        <w:rPr>
          <w:rFonts w:ascii="Calibri" w:hAnsi="Calibri" w:cs="Calibri"/>
          <w:sz w:val="24"/>
        </w:rPr>
        <w:t xml:space="preserve"> </w:t>
      </w:r>
      <w:r w:rsidR="003567BD" w:rsidRPr="0061219D">
        <w:rPr>
          <w:rFonts w:ascii="Calibri" w:hAnsi="Calibri" w:cs="Calibri"/>
          <w:sz w:val="24"/>
        </w:rPr>
        <w:t>zaměstnanců</w:t>
      </w:r>
      <w:r w:rsidR="00017AE4">
        <w:rPr>
          <w:rFonts w:ascii="Calibri" w:hAnsi="Calibri" w:cs="Calibri"/>
          <w:sz w:val="24"/>
        </w:rPr>
        <w:t xml:space="preserve"> na ministerstvech a </w:t>
      </w:r>
      <w:r w:rsidRPr="0061219D">
        <w:rPr>
          <w:rFonts w:ascii="Calibri" w:hAnsi="Calibri" w:cs="Calibri"/>
          <w:sz w:val="24"/>
        </w:rPr>
        <w:t xml:space="preserve">také ekonomickou výhodností. </w:t>
      </w:r>
      <w:r w:rsidR="00711008" w:rsidRPr="0061219D">
        <w:rPr>
          <w:rFonts w:ascii="Calibri" w:hAnsi="Calibri" w:cs="Calibri"/>
          <w:sz w:val="24"/>
        </w:rPr>
        <w:t xml:space="preserve">Z </w:t>
      </w:r>
      <w:r w:rsidR="00C565DF" w:rsidRPr="0061219D">
        <w:rPr>
          <w:rFonts w:ascii="Calibri" w:hAnsi="Calibri" w:cs="Calibri"/>
          <w:sz w:val="24"/>
        </w:rPr>
        <w:t xml:space="preserve">argumentace MF </w:t>
      </w:r>
      <w:r w:rsidR="00711008" w:rsidRPr="0061219D">
        <w:rPr>
          <w:rFonts w:ascii="Calibri" w:hAnsi="Calibri" w:cs="Calibri"/>
          <w:sz w:val="24"/>
        </w:rPr>
        <w:t>vyplývá</w:t>
      </w:r>
      <w:r w:rsidRPr="0061219D">
        <w:rPr>
          <w:rFonts w:ascii="Calibri" w:hAnsi="Calibri" w:cs="Calibri"/>
          <w:sz w:val="24"/>
        </w:rPr>
        <w:t xml:space="preserve">, že </w:t>
      </w:r>
      <w:r w:rsidRPr="0061219D">
        <w:rPr>
          <w:rFonts w:ascii="Calibri" w:hAnsi="Calibri" w:cs="Calibri"/>
          <w:b/>
          <w:sz w:val="24"/>
        </w:rPr>
        <w:t xml:space="preserve">MF převedlo své zaměstnance </w:t>
      </w:r>
      <w:r w:rsidR="00AC5F70" w:rsidRPr="0061219D">
        <w:rPr>
          <w:rFonts w:ascii="Calibri" w:hAnsi="Calibri" w:cs="Calibri"/>
          <w:b/>
          <w:sz w:val="24"/>
        </w:rPr>
        <w:t>do</w:t>
      </w:r>
      <w:r w:rsidRPr="0061219D">
        <w:rPr>
          <w:rFonts w:ascii="Calibri" w:hAnsi="Calibri" w:cs="Calibri"/>
          <w:b/>
          <w:sz w:val="24"/>
        </w:rPr>
        <w:t xml:space="preserve"> STC z důvodu plnění </w:t>
      </w:r>
      <w:r w:rsidR="0005717A" w:rsidRPr="0061219D">
        <w:rPr>
          <w:rFonts w:ascii="Calibri" w:hAnsi="Calibri" w:cs="Calibri"/>
          <w:b/>
          <w:sz w:val="24"/>
        </w:rPr>
        <w:t>vládních nařízení</w:t>
      </w:r>
      <w:r w:rsidRPr="0061219D">
        <w:rPr>
          <w:rFonts w:ascii="Calibri" w:hAnsi="Calibri" w:cs="Calibri"/>
          <w:b/>
          <w:sz w:val="24"/>
        </w:rPr>
        <w:t xml:space="preserve">, a přitom </w:t>
      </w:r>
      <w:r w:rsidR="00883178" w:rsidRPr="0061219D">
        <w:rPr>
          <w:rFonts w:ascii="Calibri" w:hAnsi="Calibri" w:cs="Calibri"/>
          <w:b/>
          <w:sz w:val="24"/>
        </w:rPr>
        <w:t xml:space="preserve">bez nich </w:t>
      </w:r>
      <w:r w:rsidR="00711008" w:rsidRPr="0061219D">
        <w:rPr>
          <w:rFonts w:ascii="Calibri" w:hAnsi="Calibri" w:cs="Calibri"/>
          <w:b/>
          <w:sz w:val="24"/>
        </w:rPr>
        <w:t xml:space="preserve">nebylo dle </w:t>
      </w:r>
      <w:r w:rsidR="00356F5E">
        <w:rPr>
          <w:rFonts w:ascii="Calibri" w:hAnsi="Calibri" w:cs="Calibri"/>
          <w:b/>
          <w:sz w:val="24"/>
        </w:rPr>
        <w:t>svého</w:t>
      </w:r>
      <w:r w:rsidR="00711008" w:rsidRPr="0061219D">
        <w:rPr>
          <w:rFonts w:ascii="Calibri" w:hAnsi="Calibri" w:cs="Calibri"/>
          <w:b/>
          <w:sz w:val="24"/>
        </w:rPr>
        <w:t xml:space="preserve"> vyjádření </w:t>
      </w:r>
      <w:r w:rsidRPr="0061219D">
        <w:rPr>
          <w:rFonts w:ascii="Calibri" w:hAnsi="Calibri" w:cs="Calibri"/>
          <w:b/>
          <w:sz w:val="24"/>
        </w:rPr>
        <w:t>schopn</w:t>
      </w:r>
      <w:r w:rsidR="00883178" w:rsidRPr="0061219D">
        <w:rPr>
          <w:rFonts w:ascii="Calibri" w:hAnsi="Calibri" w:cs="Calibri"/>
          <w:b/>
          <w:sz w:val="24"/>
        </w:rPr>
        <w:t>o</w:t>
      </w:r>
      <w:r w:rsidRPr="0061219D">
        <w:rPr>
          <w:rFonts w:ascii="Calibri" w:hAnsi="Calibri" w:cs="Calibri"/>
          <w:b/>
          <w:sz w:val="24"/>
        </w:rPr>
        <w:t xml:space="preserve"> zajistit běžný </w:t>
      </w:r>
      <w:r w:rsidR="0005717A" w:rsidRPr="0061219D">
        <w:rPr>
          <w:rFonts w:ascii="Calibri" w:hAnsi="Calibri" w:cs="Calibri"/>
          <w:b/>
          <w:sz w:val="24"/>
        </w:rPr>
        <w:t xml:space="preserve">provoz </w:t>
      </w:r>
      <w:r w:rsidRPr="0061219D">
        <w:rPr>
          <w:rFonts w:ascii="Calibri" w:hAnsi="Calibri" w:cs="Calibri"/>
          <w:b/>
          <w:sz w:val="24"/>
        </w:rPr>
        <w:t>ministerstva</w:t>
      </w:r>
      <w:r w:rsidR="00711008" w:rsidRPr="0061219D">
        <w:rPr>
          <w:rFonts w:ascii="Calibri" w:hAnsi="Calibri" w:cs="Calibri"/>
          <w:b/>
          <w:sz w:val="24"/>
        </w:rPr>
        <w:t>. Postup zvolený MF ne</w:t>
      </w:r>
      <w:r w:rsidR="00AF0DED" w:rsidRPr="0061219D">
        <w:rPr>
          <w:rFonts w:ascii="Calibri" w:hAnsi="Calibri" w:cs="Calibri"/>
          <w:b/>
          <w:sz w:val="24"/>
        </w:rPr>
        <w:t>byl</w:t>
      </w:r>
      <w:r w:rsidR="00711008" w:rsidRPr="0061219D">
        <w:rPr>
          <w:rFonts w:ascii="Calibri" w:hAnsi="Calibri" w:cs="Calibri"/>
          <w:b/>
          <w:sz w:val="24"/>
        </w:rPr>
        <w:t xml:space="preserve"> hospodárný, </w:t>
      </w:r>
      <w:r w:rsidR="00BE78ED" w:rsidRPr="0061219D">
        <w:rPr>
          <w:rFonts w:ascii="Calibri" w:hAnsi="Calibri" w:cs="Calibri"/>
          <w:b/>
          <w:sz w:val="24"/>
        </w:rPr>
        <w:t>jelikož MF</w:t>
      </w:r>
      <w:r w:rsidRPr="0061219D">
        <w:rPr>
          <w:rFonts w:ascii="Calibri" w:hAnsi="Calibri" w:cs="Calibri"/>
          <w:b/>
          <w:sz w:val="24"/>
        </w:rPr>
        <w:t xml:space="preserve"> za </w:t>
      </w:r>
      <w:r w:rsidR="00356F5E">
        <w:rPr>
          <w:rFonts w:ascii="Calibri" w:hAnsi="Calibri" w:cs="Calibri"/>
          <w:b/>
          <w:sz w:val="24"/>
        </w:rPr>
        <w:t>tyto zaměstnance</w:t>
      </w:r>
      <w:r w:rsidRPr="0061219D">
        <w:rPr>
          <w:rFonts w:ascii="Calibri" w:hAnsi="Calibri" w:cs="Calibri"/>
          <w:b/>
          <w:sz w:val="24"/>
        </w:rPr>
        <w:t xml:space="preserve"> platilo</w:t>
      </w:r>
      <w:r w:rsidR="001B4773" w:rsidRPr="0061219D">
        <w:rPr>
          <w:rFonts w:ascii="Calibri" w:hAnsi="Calibri" w:cs="Calibri"/>
          <w:b/>
          <w:sz w:val="24"/>
        </w:rPr>
        <w:t xml:space="preserve"> </w:t>
      </w:r>
      <w:r w:rsidRPr="0061219D">
        <w:rPr>
          <w:rFonts w:ascii="Calibri" w:hAnsi="Calibri" w:cs="Calibri"/>
          <w:b/>
          <w:sz w:val="24"/>
        </w:rPr>
        <w:t>dvojnásobné částky</w:t>
      </w:r>
      <w:r w:rsidR="000D573D" w:rsidRPr="0061219D">
        <w:rPr>
          <w:rFonts w:ascii="Calibri" w:hAnsi="Calibri" w:cs="Calibri"/>
          <w:b/>
          <w:sz w:val="24"/>
        </w:rPr>
        <w:t>,</w:t>
      </w:r>
      <w:r w:rsidRPr="0061219D">
        <w:rPr>
          <w:rFonts w:ascii="Calibri" w:hAnsi="Calibri" w:cs="Calibri"/>
          <w:b/>
          <w:sz w:val="24"/>
        </w:rPr>
        <w:t xml:space="preserve"> než </w:t>
      </w:r>
      <w:r w:rsidR="00356F5E">
        <w:rPr>
          <w:rFonts w:ascii="Calibri" w:hAnsi="Calibri" w:cs="Calibri"/>
          <w:b/>
          <w:sz w:val="24"/>
        </w:rPr>
        <w:t>jim</w:t>
      </w:r>
      <w:r w:rsidR="0005717A" w:rsidRPr="0061219D">
        <w:rPr>
          <w:rFonts w:ascii="Calibri" w:hAnsi="Calibri" w:cs="Calibri"/>
          <w:b/>
          <w:sz w:val="24"/>
        </w:rPr>
        <w:t xml:space="preserve"> </w:t>
      </w:r>
      <w:r w:rsidR="005C7929" w:rsidRPr="0061219D">
        <w:rPr>
          <w:rFonts w:ascii="Calibri" w:hAnsi="Calibri" w:cs="Calibri"/>
          <w:b/>
          <w:sz w:val="24"/>
        </w:rPr>
        <w:t xml:space="preserve">vyplácel </w:t>
      </w:r>
      <w:r w:rsidRPr="0061219D">
        <w:rPr>
          <w:rFonts w:ascii="Calibri" w:hAnsi="Calibri" w:cs="Calibri"/>
          <w:b/>
          <w:sz w:val="24"/>
        </w:rPr>
        <w:t>státní podnik (a před</w:t>
      </w:r>
      <w:r w:rsidR="00017AE4">
        <w:rPr>
          <w:rFonts w:ascii="Calibri" w:hAnsi="Calibri" w:cs="Calibri"/>
          <w:b/>
          <w:sz w:val="24"/>
        </w:rPr>
        <w:t>tím i </w:t>
      </w:r>
      <w:r w:rsidRPr="0061219D">
        <w:rPr>
          <w:rFonts w:ascii="Calibri" w:hAnsi="Calibri" w:cs="Calibri"/>
          <w:b/>
          <w:sz w:val="24"/>
        </w:rPr>
        <w:t>přímo ministerstvo).</w:t>
      </w:r>
    </w:p>
    <w:p w:rsidR="00A5791A" w:rsidRDefault="00A5791A" w:rsidP="00F43E2F">
      <w:pPr>
        <w:spacing w:after="0"/>
        <w:rPr>
          <w:rFonts w:ascii="Calibri" w:hAnsi="Calibri" w:cs="Calibri"/>
          <w:sz w:val="24"/>
        </w:rPr>
      </w:pPr>
    </w:p>
    <w:p w:rsidR="00865385" w:rsidRPr="00F43E2F" w:rsidRDefault="00886106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Svěření výkonu běžných úkolů jinému zaměstnavateli </w:t>
      </w:r>
      <w:r w:rsidR="00356F5E" w:rsidRPr="00F43E2F">
        <w:rPr>
          <w:rFonts w:ascii="Calibri" w:hAnsi="Calibri" w:cs="Calibri"/>
          <w:sz w:val="24"/>
        </w:rPr>
        <w:t xml:space="preserve">umožňoval </w:t>
      </w:r>
      <w:r w:rsidRPr="00F43E2F">
        <w:rPr>
          <w:rFonts w:ascii="Calibri" w:hAnsi="Calibri" w:cs="Calibri"/>
          <w:sz w:val="24"/>
        </w:rPr>
        <w:t>zák</w:t>
      </w:r>
      <w:r w:rsidR="000D573D" w:rsidRPr="00F43E2F">
        <w:rPr>
          <w:rFonts w:ascii="Calibri" w:hAnsi="Calibri" w:cs="Calibri"/>
          <w:sz w:val="24"/>
        </w:rPr>
        <w:t>on o zaměstnanosti do</w:t>
      </w:r>
      <w:r w:rsidR="00356F5E">
        <w:rPr>
          <w:rFonts w:ascii="Calibri" w:hAnsi="Calibri" w:cs="Calibri"/>
          <w:sz w:val="24"/>
        </w:rPr>
        <w:t xml:space="preserve"> </w:t>
      </w:r>
      <w:r w:rsidRPr="00F43E2F">
        <w:rPr>
          <w:rFonts w:ascii="Calibri" w:hAnsi="Calibri" w:cs="Calibri"/>
          <w:sz w:val="24"/>
        </w:rPr>
        <w:t xml:space="preserve">konce roku 2006. MF tím, že od roku 2007 nevyužívalo na předmětné služby své zaměstnance, </w:t>
      </w:r>
      <w:r w:rsidRPr="00F43E2F">
        <w:rPr>
          <w:rFonts w:ascii="Calibri" w:hAnsi="Calibri" w:cs="Calibri"/>
          <w:b/>
          <w:sz w:val="24"/>
        </w:rPr>
        <w:t>obcházelo zákon o zaměstnanosti</w:t>
      </w:r>
      <w:r w:rsidR="00841308" w:rsidRPr="00F43E2F">
        <w:rPr>
          <w:rStyle w:val="Znakapoznpodarou"/>
          <w:rFonts w:ascii="Calibri" w:hAnsi="Calibri" w:cs="Calibri"/>
          <w:b/>
          <w:sz w:val="24"/>
        </w:rPr>
        <w:footnoteReference w:id="24"/>
      </w:r>
      <w:r w:rsidRPr="00F43E2F">
        <w:rPr>
          <w:rFonts w:ascii="Calibri" w:hAnsi="Calibri" w:cs="Calibri"/>
          <w:b/>
          <w:sz w:val="24"/>
        </w:rPr>
        <w:t xml:space="preserve"> a zákoník práce</w:t>
      </w:r>
      <w:r w:rsidR="00841308" w:rsidRPr="00F43E2F">
        <w:rPr>
          <w:rStyle w:val="Znakapoznpodarou"/>
          <w:rFonts w:ascii="Calibri" w:hAnsi="Calibri" w:cs="Calibri"/>
          <w:sz w:val="24"/>
        </w:rPr>
        <w:footnoteReference w:id="25"/>
      </w:r>
      <w:r w:rsidRPr="00F43E2F">
        <w:rPr>
          <w:rFonts w:ascii="Calibri" w:hAnsi="Calibri" w:cs="Calibri"/>
          <w:sz w:val="24"/>
        </w:rPr>
        <w:t xml:space="preserve">. V souvislosti s plněním mandátních smluv uzavírala STC </w:t>
      </w:r>
      <w:r w:rsidR="00D649CC" w:rsidRPr="00F43E2F">
        <w:rPr>
          <w:rFonts w:ascii="Calibri" w:hAnsi="Calibri" w:cs="Calibri"/>
          <w:sz w:val="24"/>
        </w:rPr>
        <w:t xml:space="preserve">s většinou </w:t>
      </w:r>
      <w:r w:rsidR="00865385" w:rsidRPr="00F43E2F">
        <w:rPr>
          <w:rFonts w:ascii="Calibri" w:hAnsi="Calibri" w:cs="Calibri"/>
          <w:sz w:val="24"/>
        </w:rPr>
        <w:t>zaměstnanc</w:t>
      </w:r>
      <w:r w:rsidR="00D649CC" w:rsidRPr="00F43E2F">
        <w:rPr>
          <w:rFonts w:ascii="Calibri" w:hAnsi="Calibri" w:cs="Calibri"/>
          <w:sz w:val="24"/>
        </w:rPr>
        <w:t>ů</w:t>
      </w:r>
      <w:r w:rsidR="00865385" w:rsidRPr="00F43E2F">
        <w:rPr>
          <w:rFonts w:ascii="Calibri" w:hAnsi="Calibri" w:cs="Calibri"/>
          <w:sz w:val="24"/>
        </w:rPr>
        <w:t xml:space="preserve"> pracující</w:t>
      </w:r>
      <w:r w:rsidR="00356F5E">
        <w:rPr>
          <w:rFonts w:ascii="Calibri" w:hAnsi="Calibri" w:cs="Calibri"/>
          <w:sz w:val="24"/>
        </w:rPr>
        <w:t>ch</w:t>
      </w:r>
      <w:r w:rsidR="00865385" w:rsidRPr="00F43E2F">
        <w:rPr>
          <w:rFonts w:ascii="Calibri" w:hAnsi="Calibri" w:cs="Calibri"/>
          <w:sz w:val="24"/>
        </w:rPr>
        <w:t xml:space="preserve"> pro MF opakovaně pracovní smlouvy zpravidla na dobu jednoho kalendářního roku</w:t>
      </w:r>
      <w:r w:rsidR="00D649CC" w:rsidRPr="00F43E2F">
        <w:rPr>
          <w:rFonts w:ascii="Calibri" w:hAnsi="Calibri" w:cs="Calibri"/>
          <w:sz w:val="24"/>
        </w:rPr>
        <w:t xml:space="preserve">, tedy na dobu určitou. </w:t>
      </w:r>
      <w:r w:rsidR="00865385" w:rsidRPr="00F43E2F">
        <w:rPr>
          <w:rFonts w:ascii="Calibri" w:hAnsi="Calibri" w:cs="Calibri"/>
          <w:sz w:val="24"/>
        </w:rPr>
        <w:t>STC tak opakovaně porušovala zákoník práce</w:t>
      </w:r>
      <w:r w:rsidR="00D649CC" w:rsidRPr="00F43E2F">
        <w:rPr>
          <w:rFonts w:ascii="Calibri" w:hAnsi="Calibri" w:cs="Calibri"/>
          <w:sz w:val="24"/>
        </w:rPr>
        <w:t xml:space="preserve">, který </w:t>
      </w:r>
      <w:r w:rsidR="00A54952" w:rsidRPr="00F43E2F">
        <w:rPr>
          <w:rFonts w:ascii="Calibri" w:hAnsi="Calibri" w:cs="Calibri"/>
          <w:sz w:val="24"/>
        </w:rPr>
        <w:t xml:space="preserve">popsaný </w:t>
      </w:r>
      <w:r w:rsidR="00D649CC" w:rsidRPr="00F43E2F">
        <w:rPr>
          <w:rFonts w:ascii="Calibri" w:hAnsi="Calibri" w:cs="Calibri"/>
          <w:sz w:val="24"/>
        </w:rPr>
        <w:t xml:space="preserve">způsob uzavírání pracovních smluv </w:t>
      </w:r>
      <w:r w:rsidR="00A54952" w:rsidRPr="00F43E2F">
        <w:rPr>
          <w:rFonts w:ascii="Calibri" w:hAnsi="Calibri" w:cs="Calibri"/>
          <w:sz w:val="24"/>
        </w:rPr>
        <w:t xml:space="preserve">na dobu určitou </w:t>
      </w:r>
      <w:r w:rsidR="00D649CC" w:rsidRPr="00F43E2F">
        <w:rPr>
          <w:rFonts w:ascii="Calibri" w:hAnsi="Calibri" w:cs="Calibri"/>
          <w:sz w:val="24"/>
        </w:rPr>
        <w:t>nepřipoušt</w:t>
      </w:r>
      <w:r w:rsidR="00DD7D79" w:rsidRPr="00F43E2F">
        <w:rPr>
          <w:rFonts w:ascii="Calibri" w:hAnsi="Calibri" w:cs="Calibri"/>
          <w:sz w:val="24"/>
        </w:rPr>
        <w:t>í</w:t>
      </w:r>
      <w:r w:rsidR="00865385" w:rsidRPr="00F43E2F">
        <w:rPr>
          <w:rFonts w:ascii="Calibri" w:hAnsi="Calibri" w:cs="Calibri"/>
          <w:sz w:val="24"/>
        </w:rPr>
        <w:t>.</w:t>
      </w:r>
    </w:p>
    <w:p w:rsidR="00A5791A" w:rsidRDefault="00A5791A" w:rsidP="00F43E2F">
      <w:pPr>
        <w:spacing w:after="0"/>
        <w:rPr>
          <w:rFonts w:ascii="Calibri" w:hAnsi="Calibri" w:cs="Calibri"/>
          <w:sz w:val="24"/>
        </w:rPr>
      </w:pPr>
    </w:p>
    <w:p w:rsidR="004A6D68" w:rsidRDefault="008A42C5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>Na základě mandátní smlouvy fakturovala</w:t>
      </w:r>
      <w:r w:rsidR="00356F5E" w:rsidRPr="00356F5E">
        <w:rPr>
          <w:rFonts w:ascii="Calibri" w:hAnsi="Calibri" w:cs="Calibri"/>
          <w:sz w:val="24"/>
        </w:rPr>
        <w:t xml:space="preserve"> </w:t>
      </w:r>
      <w:r w:rsidR="00356F5E" w:rsidRPr="00F43E2F">
        <w:rPr>
          <w:rFonts w:ascii="Calibri" w:hAnsi="Calibri" w:cs="Calibri"/>
          <w:sz w:val="24"/>
        </w:rPr>
        <w:t>STC</w:t>
      </w:r>
      <w:r w:rsidRPr="00F43E2F">
        <w:rPr>
          <w:rFonts w:ascii="Calibri" w:hAnsi="Calibri" w:cs="Calibri"/>
          <w:sz w:val="24"/>
        </w:rPr>
        <w:t xml:space="preserve"> M</w:t>
      </w:r>
      <w:r w:rsidR="00356F5E">
        <w:rPr>
          <w:rFonts w:ascii="Calibri" w:hAnsi="Calibri" w:cs="Calibri"/>
          <w:sz w:val="24"/>
        </w:rPr>
        <w:t>inisterstvu financí</w:t>
      </w:r>
      <w:r w:rsidRPr="00F43E2F">
        <w:rPr>
          <w:rFonts w:ascii="Calibri" w:hAnsi="Calibri" w:cs="Calibri"/>
          <w:sz w:val="24"/>
        </w:rPr>
        <w:t xml:space="preserve"> </w:t>
      </w:r>
      <w:r w:rsidR="006D3AB8" w:rsidRPr="00F43E2F">
        <w:rPr>
          <w:rFonts w:ascii="Calibri" w:hAnsi="Calibri" w:cs="Calibri"/>
          <w:sz w:val="24"/>
        </w:rPr>
        <w:t>paušální č</w:t>
      </w:r>
      <w:r w:rsidR="00356F5E">
        <w:rPr>
          <w:rFonts w:ascii="Calibri" w:hAnsi="Calibri" w:cs="Calibri"/>
          <w:sz w:val="24"/>
        </w:rPr>
        <w:t xml:space="preserve">ástku za jednoho zaměstnance na </w:t>
      </w:r>
      <w:r w:rsidR="006D3AB8" w:rsidRPr="00F43E2F">
        <w:rPr>
          <w:rFonts w:ascii="Calibri" w:hAnsi="Calibri" w:cs="Calibri"/>
          <w:sz w:val="24"/>
        </w:rPr>
        <w:t xml:space="preserve">základě </w:t>
      </w:r>
      <w:r w:rsidRPr="00F43E2F">
        <w:rPr>
          <w:rFonts w:ascii="Calibri" w:hAnsi="Calibri" w:cs="Calibri"/>
          <w:sz w:val="24"/>
        </w:rPr>
        <w:t>docházkov</w:t>
      </w:r>
      <w:r w:rsidR="006D3AB8" w:rsidRPr="00F43E2F">
        <w:rPr>
          <w:rFonts w:ascii="Calibri" w:hAnsi="Calibri" w:cs="Calibri"/>
          <w:sz w:val="24"/>
        </w:rPr>
        <w:t>ých</w:t>
      </w:r>
      <w:r w:rsidRPr="00F43E2F">
        <w:rPr>
          <w:rFonts w:ascii="Calibri" w:hAnsi="Calibri" w:cs="Calibri"/>
          <w:sz w:val="24"/>
        </w:rPr>
        <w:t xml:space="preserve"> list</w:t>
      </w:r>
      <w:r w:rsidR="006D3AB8" w:rsidRPr="00F43E2F">
        <w:rPr>
          <w:rFonts w:ascii="Calibri" w:hAnsi="Calibri" w:cs="Calibri"/>
          <w:sz w:val="24"/>
        </w:rPr>
        <w:t>ů</w:t>
      </w:r>
      <w:r w:rsidR="0017247D" w:rsidRPr="00F43E2F">
        <w:rPr>
          <w:rFonts w:ascii="Calibri" w:hAnsi="Calibri" w:cs="Calibri"/>
          <w:sz w:val="24"/>
        </w:rPr>
        <w:t>, které byly součástí fakturace, a to bez soupisu pracovníkem vykonaných činností</w:t>
      </w:r>
      <w:r w:rsidR="006F5681" w:rsidRPr="00F43E2F">
        <w:rPr>
          <w:rFonts w:ascii="Calibri" w:hAnsi="Calibri" w:cs="Calibri"/>
          <w:sz w:val="24"/>
        </w:rPr>
        <w:t xml:space="preserve">. </w:t>
      </w:r>
      <w:r w:rsidR="004A6D68" w:rsidRPr="00F43E2F">
        <w:rPr>
          <w:rFonts w:ascii="Calibri" w:hAnsi="Calibri" w:cs="Calibri"/>
          <w:sz w:val="24"/>
        </w:rPr>
        <w:t>MF si tedy najímalo zaměstnance</w:t>
      </w:r>
      <w:r w:rsidR="00783476" w:rsidRPr="00F43E2F">
        <w:rPr>
          <w:rFonts w:ascii="Calibri" w:hAnsi="Calibri" w:cs="Calibri"/>
          <w:sz w:val="24"/>
        </w:rPr>
        <w:t xml:space="preserve"> STC</w:t>
      </w:r>
      <w:r w:rsidR="004A6D68" w:rsidRPr="00F43E2F">
        <w:rPr>
          <w:rFonts w:ascii="Calibri" w:hAnsi="Calibri" w:cs="Calibri"/>
          <w:sz w:val="24"/>
        </w:rPr>
        <w:t xml:space="preserve">. </w:t>
      </w:r>
    </w:p>
    <w:p w:rsidR="00A5791A" w:rsidRPr="00F43E2F" w:rsidRDefault="00A5791A" w:rsidP="00F43E2F">
      <w:pPr>
        <w:spacing w:after="0"/>
        <w:rPr>
          <w:rFonts w:ascii="Calibri" w:hAnsi="Calibri" w:cs="Calibri"/>
          <w:sz w:val="24"/>
        </w:rPr>
      </w:pPr>
    </w:p>
    <w:p w:rsidR="006F5681" w:rsidRDefault="00C1396C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b/>
          <w:sz w:val="24"/>
        </w:rPr>
        <w:lastRenderedPageBreak/>
        <w:t xml:space="preserve">MF platilo </w:t>
      </w:r>
      <w:r w:rsidR="008A42C5" w:rsidRPr="00F43E2F">
        <w:rPr>
          <w:rFonts w:ascii="Calibri" w:hAnsi="Calibri" w:cs="Calibri"/>
          <w:b/>
          <w:sz w:val="24"/>
        </w:rPr>
        <w:t>paušální částku za</w:t>
      </w:r>
      <w:r w:rsidRPr="00F43E2F">
        <w:rPr>
          <w:rFonts w:ascii="Calibri" w:hAnsi="Calibri" w:cs="Calibri"/>
          <w:b/>
          <w:sz w:val="24"/>
        </w:rPr>
        <w:t xml:space="preserve"> zaměstnance </w:t>
      </w:r>
      <w:r w:rsidR="008A42C5" w:rsidRPr="00F43E2F">
        <w:rPr>
          <w:rFonts w:ascii="Calibri" w:hAnsi="Calibri" w:cs="Calibri"/>
          <w:b/>
          <w:sz w:val="24"/>
        </w:rPr>
        <w:t>STC v plné výši i</w:t>
      </w:r>
      <w:r w:rsidRPr="00F43E2F">
        <w:rPr>
          <w:rFonts w:ascii="Calibri" w:hAnsi="Calibri" w:cs="Calibri"/>
          <w:b/>
          <w:sz w:val="24"/>
        </w:rPr>
        <w:t xml:space="preserve"> v</w:t>
      </w:r>
      <w:r w:rsidR="008A42C5" w:rsidRPr="00F43E2F">
        <w:rPr>
          <w:rFonts w:ascii="Calibri" w:hAnsi="Calibri" w:cs="Calibri"/>
          <w:b/>
          <w:sz w:val="24"/>
        </w:rPr>
        <w:t> </w:t>
      </w:r>
      <w:r w:rsidRPr="00F43E2F">
        <w:rPr>
          <w:rFonts w:ascii="Calibri" w:hAnsi="Calibri" w:cs="Calibri"/>
          <w:b/>
          <w:sz w:val="24"/>
        </w:rPr>
        <w:t>období</w:t>
      </w:r>
      <w:r w:rsidR="008A42C5" w:rsidRPr="00F43E2F">
        <w:rPr>
          <w:rFonts w:ascii="Calibri" w:hAnsi="Calibri" w:cs="Calibri"/>
          <w:b/>
          <w:sz w:val="24"/>
        </w:rPr>
        <w:t>, kdy nevykonávali činnosti pro MF</w:t>
      </w:r>
      <w:r w:rsidR="008A42C5" w:rsidRPr="00D963DC">
        <w:rPr>
          <w:rFonts w:ascii="Calibri" w:hAnsi="Calibri" w:cs="Calibri"/>
          <w:b/>
          <w:sz w:val="24"/>
        </w:rPr>
        <w:t>,</w:t>
      </w:r>
      <w:r w:rsidR="008A42C5" w:rsidRPr="00F43E2F">
        <w:rPr>
          <w:rFonts w:ascii="Calibri" w:hAnsi="Calibri" w:cs="Calibri"/>
          <w:sz w:val="24"/>
        </w:rPr>
        <w:t xml:space="preserve"> a to např. v době čerpání </w:t>
      </w:r>
      <w:r w:rsidRPr="00F43E2F">
        <w:rPr>
          <w:rFonts w:ascii="Calibri" w:hAnsi="Calibri" w:cs="Calibri"/>
          <w:sz w:val="24"/>
        </w:rPr>
        <w:t>dovolené</w:t>
      </w:r>
      <w:r w:rsidR="008A42C5" w:rsidRPr="00F43E2F">
        <w:rPr>
          <w:rFonts w:ascii="Calibri" w:hAnsi="Calibri" w:cs="Calibri"/>
          <w:sz w:val="24"/>
        </w:rPr>
        <w:t xml:space="preserve"> či mateřské dovolené</w:t>
      </w:r>
      <w:r w:rsidRPr="00F43E2F">
        <w:rPr>
          <w:rFonts w:ascii="Calibri" w:hAnsi="Calibri" w:cs="Calibri"/>
          <w:sz w:val="24"/>
        </w:rPr>
        <w:t xml:space="preserve">, </w:t>
      </w:r>
      <w:r w:rsidR="008A42C5" w:rsidRPr="00F43E2F">
        <w:rPr>
          <w:rFonts w:ascii="Calibri" w:hAnsi="Calibri" w:cs="Calibri"/>
          <w:sz w:val="24"/>
        </w:rPr>
        <w:t>v době pracovní neschopnosti, návštěvy lékaře či služební cesty mimo školení</w:t>
      </w:r>
      <w:r w:rsidR="00C57B79" w:rsidRPr="00F43E2F">
        <w:rPr>
          <w:rFonts w:ascii="Calibri" w:hAnsi="Calibri" w:cs="Calibri"/>
          <w:sz w:val="24"/>
        </w:rPr>
        <w:t>.</w:t>
      </w:r>
      <w:r w:rsidRPr="00F43E2F">
        <w:rPr>
          <w:rFonts w:ascii="Calibri" w:hAnsi="Calibri" w:cs="Calibri"/>
          <w:sz w:val="24"/>
        </w:rPr>
        <w:t xml:space="preserve"> Za tuto nepřítomnost zaplatilo</w:t>
      </w:r>
      <w:r w:rsidR="00356F5E" w:rsidRPr="00356F5E">
        <w:rPr>
          <w:rFonts w:ascii="Calibri" w:hAnsi="Calibri" w:cs="Calibri"/>
          <w:sz w:val="24"/>
        </w:rPr>
        <w:t xml:space="preserve"> </w:t>
      </w:r>
      <w:r w:rsidR="00356F5E" w:rsidRPr="00F43E2F">
        <w:rPr>
          <w:rFonts w:ascii="Calibri" w:hAnsi="Calibri" w:cs="Calibri"/>
          <w:sz w:val="24"/>
        </w:rPr>
        <w:t>MF</w:t>
      </w:r>
      <w:r w:rsidRPr="00F43E2F">
        <w:rPr>
          <w:rFonts w:ascii="Calibri" w:hAnsi="Calibri" w:cs="Calibri"/>
          <w:sz w:val="24"/>
        </w:rPr>
        <w:t xml:space="preserve"> minimálně 4 611 034 Kč bez DPH</w:t>
      </w:r>
      <w:r w:rsidR="008A42C5" w:rsidRPr="00F43E2F">
        <w:rPr>
          <w:rStyle w:val="Znakapoznpodarou"/>
          <w:rFonts w:ascii="Calibri" w:hAnsi="Calibri" w:cs="Calibri"/>
          <w:sz w:val="24"/>
        </w:rPr>
        <w:footnoteReference w:id="26"/>
      </w:r>
      <w:r w:rsidRPr="00F43E2F">
        <w:rPr>
          <w:rFonts w:ascii="Calibri" w:hAnsi="Calibri" w:cs="Calibri"/>
          <w:sz w:val="24"/>
        </w:rPr>
        <w:t>.</w:t>
      </w:r>
      <w:r w:rsidR="008A42C5" w:rsidRPr="00F43E2F">
        <w:rPr>
          <w:rFonts w:ascii="Calibri" w:hAnsi="Calibri" w:cs="Calibri"/>
          <w:sz w:val="24"/>
        </w:rPr>
        <w:t xml:space="preserve"> </w:t>
      </w:r>
    </w:p>
    <w:p w:rsidR="00A5791A" w:rsidRPr="00F43E2F" w:rsidRDefault="00A5791A" w:rsidP="00F43E2F">
      <w:pPr>
        <w:spacing w:after="0"/>
        <w:rPr>
          <w:rFonts w:ascii="Calibri" w:hAnsi="Calibri" w:cs="Calibri"/>
          <w:sz w:val="24"/>
        </w:rPr>
      </w:pPr>
    </w:p>
    <w:p w:rsidR="0092647C" w:rsidRDefault="008C2C7E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b/>
          <w:sz w:val="24"/>
        </w:rPr>
        <w:t xml:space="preserve">MF </w:t>
      </w:r>
      <w:r w:rsidR="006D3AB8" w:rsidRPr="00F43E2F">
        <w:rPr>
          <w:rFonts w:ascii="Calibri" w:hAnsi="Calibri" w:cs="Calibri"/>
          <w:b/>
          <w:sz w:val="24"/>
        </w:rPr>
        <w:t>za plnění mandátní smlouvy od roku</w:t>
      </w:r>
      <w:r w:rsidR="00841308" w:rsidRPr="00F43E2F">
        <w:rPr>
          <w:rFonts w:ascii="Calibri" w:hAnsi="Calibri" w:cs="Calibri"/>
          <w:b/>
          <w:sz w:val="24"/>
        </w:rPr>
        <w:t xml:space="preserve"> </w:t>
      </w:r>
      <w:r w:rsidR="006F5681" w:rsidRPr="00F43E2F">
        <w:rPr>
          <w:rFonts w:ascii="Calibri" w:hAnsi="Calibri" w:cs="Calibri"/>
          <w:b/>
          <w:sz w:val="24"/>
        </w:rPr>
        <w:t xml:space="preserve">2004 </w:t>
      </w:r>
      <w:r w:rsidR="006D3AB8" w:rsidRPr="00F43E2F">
        <w:rPr>
          <w:rFonts w:ascii="Calibri" w:hAnsi="Calibri" w:cs="Calibri"/>
          <w:b/>
          <w:sz w:val="24"/>
        </w:rPr>
        <w:t>do</w:t>
      </w:r>
      <w:r w:rsidR="006F5681" w:rsidRPr="00F43E2F">
        <w:rPr>
          <w:rFonts w:ascii="Calibri" w:hAnsi="Calibri" w:cs="Calibri"/>
          <w:b/>
          <w:sz w:val="24"/>
        </w:rPr>
        <w:t xml:space="preserve"> září 2014 </w:t>
      </w:r>
      <w:r w:rsidRPr="00F43E2F">
        <w:rPr>
          <w:rFonts w:ascii="Calibri" w:hAnsi="Calibri" w:cs="Calibri"/>
          <w:b/>
          <w:sz w:val="24"/>
        </w:rPr>
        <w:t xml:space="preserve">zaplatilo celkem </w:t>
      </w:r>
      <w:r w:rsidR="00CB7219">
        <w:rPr>
          <w:rFonts w:ascii="Calibri" w:hAnsi="Calibri" w:cs="Calibri"/>
          <w:b/>
          <w:sz w:val="24"/>
        </w:rPr>
        <w:t>253 894 984 Kč vč. </w:t>
      </w:r>
      <w:r w:rsidR="006F5681" w:rsidRPr="00F43E2F">
        <w:rPr>
          <w:rFonts w:ascii="Calibri" w:hAnsi="Calibri" w:cs="Calibri"/>
          <w:b/>
          <w:sz w:val="24"/>
        </w:rPr>
        <w:t>DPH.</w:t>
      </w:r>
      <w:r w:rsidR="001D6536" w:rsidRPr="00F43E2F">
        <w:rPr>
          <w:rFonts w:ascii="Calibri" w:hAnsi="Calibri" w:cs="Calibri"/>
          <w:sz w:val="24"/>
        </w:rPr>
        <w:t xml:space="preserve"> Tím, že </w:t>
      </w:r>
      <w:r w:rsidR="001D6536" w:rsidRPr="00F43E2F">
        <w:rPr>
          <w:rFonts w:ascii="Calibri" w:hAnsi="Calibri" w:cs="Calibri"/>
          <w:b/>
          <w:sz w:val="24"/>
        </w:rPr>
        <w:t xml:space="preserve">MF </w:t>
      </w:r>
      <w:r w:rsidR="000D1344" w:rsidRPr="00F43E2F">
        <w:rPr>
          <w:rFonts w:ascii="Calibri" w:hAnsi="Calibri" w:cs="Calibri"/>
          <w:b/>
          <w:sz w:val="24"/>
        </w:rPr>
        <w:t>ne</w:t>
      </w:r>
      <w:r w:rsidR="001D6536" w:rsidRPr="00F43E2F">
        <w:rPr>
          <w:rFonts w:ascii="Calibri" w:hAnsi="Calibri" w:cs="Calibri"/>
          <w:b/>
          <w:sz w:val="24"/>
        </w:rPr>
        <w:t xml:space="preserve">použilo peněžní prostředky státního rozpočtu </w:t>
      </w:r>
      <w:r w:rsidR="000D1344" w:rsidRPr="00F43E2F">
        <w:rPr>
          <w:rFonts w:ascii="Calibri" w:hAnsi="Calibri" w:cs="Calibri"/>
          <w:b/>
          <w:sz w:val="24"/>
        </w:rPr>
        <w:t>ve výši 4,6 mil. Kč</w:t>
      </w:r>
      <w:r w:rsidR="000D1344" w:rsidRPr="00F43E2F">
        <w:rPr>
          <w:rFonts w:ascii="Calibri" w:hAnsi="Calibri" w:cs="Calibri"/>
          <w:sz w:val="24"/>
        </w:rPr>
        <w:t xml:space="preserve"> </w:t>
      </w:r>
      <w:r w:rsidR="000D1344" w:rsidRPr="00F43E2F">
        <w:rPr>
          <w:rFonts w:ascii="Calibri" w:hAnsi="Calibri" w:cs="Calibri"/>
          <w:b/>
          <w:sz w:val="24"/>
        </w:rPr>
        <w:t>v souladu s</w:t>
      </w:r>
      <w:r w:rsidR="00580152" w:rsidRPr="00F43E2F">
        <w:rPr>
          <w:rFonts w:ascii="Calibri" w:hAnsi="Calibri" w:cs="Calibri"/>
          <w:b/>
          <w:sz w:val="24"/>
        </w:rPr>
        <w:t> </w:t>
      </w:r>
      <w:r w:rsidR="001D6536" w:rsidRPr="00F43E2F">
        <w:rPr>
          <w:rFonts w:ascii="Calibri" w:hAnsi="Calibri" w:cs="Calibri"/>
          <w:b/>
          <w:sz w:val="24"/>
        </w:rPr>
        <w:t>věcn</w:t>
      </w:r>
      <w:r w:rsidR="000D1344" w:rsidRPr="00F43E2F">
        <w:rPr>
          <w:rFonts w:ascii="Calibri" w:hAnsi="Calibri" w:cs="Calibri"/>
          <w:b/>
          <w:sz w:val="24"/>
        </w:rPr>
        <w:t>ým</w:t>
      </w:r>
      <w:r w:rsidR="001D6536" w:rsidRPr="00F43E2F">
        <w:rPr>
          <w:rFonts w:ascii="Calibri" w:hAnsi="Calibri" w:cs="Calibri"/>
          <w:b/>
          <w:sz w:val="24"/>
        </w:rPr>
        <w:t xml:space="preserve"> plnění</w:t>
      </w:r>
      <w:r w:rsidR="000D1344" w:rsidRPr="00F43E2F">
        <w:rPr>
          <w:rFonts w:ascii="Calibri" w:hAnsi="Calibri" w:cs="Calibri"/>
          <w:b/>
          <w:sz w:val="24"/>
        </w:rPr>
        <w:t>m</w:t>
      </w:r>
      <w:r w:rsidR="001D6536" w:rsidRPr="00F43E2F">
        <w:rPr>
          <w:rFonts w:ascii="Calibri" w:hAnsi="Calibri" w:cs="Calibri"/>
          <w:b/>
          <w:sz w:val="24"/>
        </w:rPr>
        <w:t xml:space="preserve"> </w:t>
      </w:r>
      <w:r w:rsidR="001D6536" w:rsidRPr="00F43E2F">
        <w:rPr>
          <w:rFonts w:ascii="Calibri" w:hAnsi="Calibri" w:cs="Calibri"/>
          <w:sz w:val="24"/>
        </w:rPr>
        <w:t>a nepostupovalo při plnění určených úkolů nejhospodárnějším způsobem</w:t>
      </w:r>
      <w:r w:rsidR="000D573D" w:rsidRPr="00F43E2F">
        <w:rPr>
          <w:rFonts w:ascii="Calibri" w:hAnsi="Calibri" w:cs="Calibri"/>
          <w:sz w:val="24"/>
        </w:rPr>
        <w:t xml:space="preserve">, </w:t>
      </w:r>
      <w:r w:rsidR="00E86B85">
        <w:rPr>
          <w:rFonts w:ascii="Calibri" w:hAnsi="Calibri" w:cs="Calibri"/>
          <w:sz w:val="24"/>
        </w:rPr>
        <w:t>porušilo rozpočtovou kázeň</w:t>
      </w:r>
      <w:r w:rsidR="006F621D" w:rsidRPr="00F43E2F">
        <w:rPr>
          <w:rStyle w:val="Znakapoznpodarou"/>
          <w:rFonts w:ascii="Calibri" w:hAnsi="Calibri" w:cs="Calibri"/>
          <w:sz w:val="24"/>
        </w:rPr>
        <w:footnoteReference w:id="27"/>
      </w:r>
      <w:r w:rsidR="00353463" w:rsidRPr="00F43E2F">
        <w:rPr>
          <w:rFonts w:ascii="Calibri" w:hAnsi="Calibri" w:cs="Calibri"/>
          <w:sz w:val="24"/>
        </w:rPr>
        <w:t xml:space="preserve"> a</w:t>
      </w:r>
      <w:r w:rsidR="00E86B85">
        <w:rPr>
          <w:rFonts w:ascii="Calibri" w:hAnsi="Calibri" w:cs="Calibri"/>
          <w:sz w:val="24"/>
        </w:rPr>
        <w:t> zároveň</w:t>
      </w:r>
      <w:r w:rsidR="00353463" w:rsidRPr="00F43E2F">
        <w:rPr>
          <w:rFonts w:ascii="Calibri" w:hAnsi="Calibri" w:cs="Calibri"/>
          <w:sz w:val="24"/>
        </w:rPr>
        <w:t xml:space="preserve"> porušilo zákon o</w:t>
      </w:r>
      <w:r w:rsidR="00E86B85">
        <w:rPr>
          <w:rFonts w:ascii="Calibri" w:hAnsi="Calibri" w:cs="Calibri"/>
          <w:sz w:val="24"/>
        </w:rPr>
        <w:t> </w:t>
      </w:r>
      <w:r w:rsidR="006F621D" w:rsidRPr="00F43E2F">
        <w:rPr>
          <w:rFonts w:ascii="Calibri" w:hAnsi="Calibri" w:cs="Calibri"/>
          <w:sz w:val="24"/>
        </w:rPr>
        <w:t>majetku České republiky</w:t>
      </w:r>
      <w:r w:rsidR="006F621D" w:rsidRPr="00F43E2F">
        <w:rPr>
          <w:rStyle w:val="Znakapoznpodarou"/>
          <w:rFonts w:ascii="Calibri" w:hAnsi="Calibri" w:cs="Calibri"/>
          <w:sz w:val="24"/>
        </w:rPr>
        <w:footnoteReference w:id="28"/>
      </w:r>
      <w:r w:rsidR="00353463" w:rsidRPr="00F43E2F">
        <w:rPr>
          <w:rFonts w:ascii="Calibri" w:hAnsi="Calibri" w:cs="Calibri"/>
          <w:sz w:val="24"/>
        </w:rPr>
        <w:t>.</w:t>
      </w:r>
      <w:r w:rsidR="001D6536" w:rsidRPr="00F43E2F">
        <w:rPr>
          <w:rFonts w:ascii="Calibri" w:hAnsi="Calibri" w:cs="Calibri"/>
          <w:sz w:val="24"/>
        </w:rPr>
        <w:t xml:space="preserve"> </w:t>
      </w:r>
    </w:p>
    <w:p w:rsidR="00A5791A" w:rsidRPr="00F43E2F" w:rsidRDefault="00A5791A" w:rsidP="00F43E2F">
      <w:pPr>
        <w:spacing w:after="0"/>
        <w:rPr>
          <w:rFonts w:ascii="Calibri" w:hAnsi="Calibri" w:cs="Calibri"/>
          <w:sz w:val="24"/>
        </w:rPr>
      </w:pPr>
    </w:p>
    <w:p w:rsidR="008C3E13" w:rsidRPr="00A5791A" w:rsidRDefault="00A5791A" w:rsidP="00F43E2F">
      <w:pPr>
        <w:spacing w:after="0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2.4 </w:t>
      </w:r>
      <w:r w:rsidR="008C3E13" w:rsidRPr="00A5791A">
        <w:rPr>
          <w:rFonts w:ascii="Calibri" w:hAnsi="Calibri" w:cs="Calibri"/>
          <w:b/>
          <w:sz w:val="24"/>
        </w:rPr>
        <w:t>Příprava záložního datového centra</w:t>
      </w:r>
      <w:r w:rsidR="001727D3" w:rsidRPr="00A5791A">
        <w:rPr>
          <w:rFonts w:ascii="Calibri" w:hAnsi="Calibri" w:cs="Calibri"/>
          <w:b/>
          <w:sz w:val="24"/>
        </w:rPr>
        <w:t xml:space="preserve"> </w:t>
      </w:r>
    </w:p>
    <w:p w:rsidR="00A5791A" w:rsidRDefault="00A5791A" w:rsidP="00F43E2F">
      <w:pPr>
        <w:spacing w:after="0"/>
        <w:rPr>
          <w:rFonts w:ascii="Calibri" w:hAnsi="Calibri" w:cs="Calibri"/>
          <w:color w:val="000000" w:themeColor="text1"/>
          <w:sz w:val="24"/>
        </w:rPr>
      </w:pPr>
    </w:p>
    <w:p w:rsidR="001727D3" w:rsidRDefault="00B40BD1" w:rsidP="00F43E2F">
      <w:pPr>
        <w:spacing w:after="0"/>
        <w:rPr>
          <w:rFonts w:ascii="Calibri" w:hAnsi="Calibri" w:cs="Calibri"/>
          <w:color w:val="000000" w:themeColor="text1"/>
          <w:sz w:val="24"/>
        </w:rPr>
      </w:pPr>
      <w:r w:rsidRPr="00F43E2F">
        <w:rPr>
          <w:rFonts w:ascii="Calibri" w:hAnsi="Calibri" w:cs="Calibri"/>
          <w:color w:val="000000" w:themeColor="text1"/>
          <w:sz w:val="24"/>
        </w:rPr>
        <w:t xml:space="preserve">V roce 2002 mělo MF </w:t>
      </w:r>
      <w:r w:rsidR="00315717" w:rsidRPr="00F43E2F">
        <w:rPr>
          <w:rFonts w:ascii="Calibri" w:hAnsi="Calibri" w:cs="Calibri"/>
          <w:color w:val="000000" w:themeColor="text1"/>
          <w:sz w:val="24"/>
        </w:rPr>
        <w:t>z</w:t>
      </w:r>
      <w:r w:rsidR="001727D3" w:rsidRPr="00F43E2F">
        <w:rPr>
          <w:rFonts w:ascii="Calibri" w:hAnsi="Calibri" w:cs="Calibri"/>
          <w:color w:val="000000" w:themeColor="text1"/>
          <w:sz w:val="24"/>
        </w:rPr>
        <w:t>áměr</w:t>
      </w:r>
      <w:r w:rsidR="00315717" w:rsidRPr="00F43E2F">
        <w:rPr>
          <w:rFonts w:ascii="Calibri" w:hAnsi="Calibri" w:cs="Calibri"/>
          <w:color w:val="000000" w:themeColor="text1"/>
          <w:sz w:val="24"/>
        </w:rPr>
        <w:t xml:space="preserve"> </w:t>
      </w:r>
      <w:r w:rsidR="001727D3" w:rsidRPr="00F43E2F">
        <w:rPr>
          <w:rFonts w:ascii="Calibri" w:hAnsi="Calibri" w:cs="Calibri"/>
          <w:color w:val="000000" w:themeColor="text1"/>
          <w:sz w:val="24"/>
        </w:rPr>
        <w:t xml:space="preserve">vybudovat </w:t>
      </w:r>
      <w:r w:rsidR="00815FB2" w:rsidRPr="00F43E2F">
        <w:rPr>
          <w:rFonts w:ascii="Calibri" w:hAnsi="Calibri" w:cs="Calibri"/>
          <w:color w:val="000000" w:themeColor="text1"/>
          <w:sz w:val="24"/>
        </w:rPr>
        <w:t>druhé datové centrum</w:t>
      </w:r>
      <w:r w:rsidR="001727D3" w:rsidRPr="00F43E2F">
        <w:rPr>
          <w:rFonts w:ascii="Calibri" w:hAnsi="Calibri" w:cs="Calibri"/>
          <w:color w:val="000000" w:themeColor="text1"/>
          <w:sz w:val="24"/>
        </w:rPr>
        <w:t xml:space="preserve"> pro </w:t>
      </w:r>
      <w:r w:rsidRPr="00F43E2F">
        <w:rPr>
          <w:rFonts w:ascii="Calibri" w:hAnsi="Calibri" w:cs="Calibri"/>
          <w:color w:val="000000" w:themeColor="text1"/>
          <w:sz w:val="24"/>
        </w:rPr>
        <w:t xml:space="preserve">svůj </w:t>
      </w:r>
      <w:r w:rsidR="001727D3" w:rsidRPr="00F43E2F">
        <w:rPr>
          <w:rFonts w:ascii="Calibri" w:hAnsi="Calibri" w:cs="Calibri"/>
          <w:color w:val="000000" w:themeColor="text1"/>
          <w:sz w:val="24"/>
        </w:rPr>
        <w:t>resort</w:t>
      </w:r>
      <w:r w:rsidRPr="00F43E2F">
        <w:rPr>
          <w:rFonts w:ascii="Calibri" w:hAnsi="Calibri" w:cs="Calibri"/>
          <w:color w:val="000000" w:themeColor="text1"/>
          <w:sz w:val="24"/>
        </w:rPr>
        <w:t xml:space="preserve"> do června 2009</w:t>
      </w:r>
      <w:r w:rsidR="000D573D" w:rsidRPr="00F43E2F">
        <w:rPr>
          <w:rFonts w:ascii="Calibri" w:hAnsi="Calibri" w:cs="Calibri"/>
          <w:color w:val="000000" w:themeColor="text1"/>
          <w:sz w:val="24"/>
        </w:rPr>
        <w:t xml:space="preserve"> ve</w:t>
      </w:r>
      <w:r w:rsidR="00E86B85">
        <w:rPr>
          <w:rFonts w:ascii="Calibri" w:hAnsi="Calibri" w:cs="Calibri"/>
          <w:color w:val="000000" w:themeColor="text1"/>
          <w:sz w:val="24"/>
        </w:rPr>
        <w:t xml:space="preserve"> </w:t>
      </w:r>
      <w:r w:rsidR="00D145D0" w:rsidRPr="00F43E2F">
        <w:rPr>
          <w:rFonts w:ascii="Calibri" w:hAnsi="Calibri" w:cs="Calibri"/>
          <w:color w:val="000000" w:themeColor="text1"/>
          <w:sz w:val="24"/>
        </w:rPr>
        <w:t xml:space="preserve">spolupráci </w:t>
      </w:r>
      <w:r w:rsidR="00E86B85">
        <w:rPr>
          <w:rFonts w:ascii="Calibri" w:hAnsi="Calibri" w:cs="Calibri"/>
          <w:color w:val="000000" w:themeColor="text1"/>
          <w:sz w:val="24"/>
        </w:rPr>
        <w:t>se Státní tiskárnou cenin</w:t>
      </w:r>
      <w:r w:rsidR="001727D3" w:rsidRPr="00F43E2F">
        <w:rPr>
          <w:rFonts w:ascii="Calibri" w:hAnsi="Calibri" w:cs="Calibri"/>
          <w:color w:val="000000" w:themeColor="text1"/>
          <w:sz w:val="24"/>
        </w:rPr>
        <w:t>. Ze zápisů z jednání dozorčí rady STC</w:t>
      </w:r>
      <w:r w:rsidR="00F95C37" w:rsidRPr="00F43E2F">
        <w:rPr>
          <w:rFonts w:ascii="Calibri" w:hAnsi="Calibri" w:cs="Calibri"/>
          <w:color w:val="000000" w:themeColor="text1"/>
          <w:sz w:val="24"/>
        </w:rPr>
        <w:t xml:space="preserve"> za účasti zástupců MF </w:t>
      </w:r>
      <w:r w:rsidR="000D573D" w:rsidRPr="00F43E2F">
        <w:rPr>
          <w:rFonts w:ascii="Calibri" w:hAnsi="Calibri" w:cs="Calibri"/>
          <w:color w:val="000000" w:themeColor="text1"/>
          <w:sz w:val="24"/>
        </w:rPr>
        <w:t>vyplynulo, že </w:t>
      </w:r>
      <w:r w:rsidR="00F95C37" w:rsidRPr="00F43E2F">
        <w:rPr>
          <w:rFonts w:ascii="Calibri" w:hAnsi="Calibri" w:cs="Calibri"/>
          <w:color w:val="000000" w:themeColor="text1"/>
          <w:sz w:val="24"/>
        </w:rPr>
        <w:t xml:space="preserve">vedení STC informovalo dozorčí radu o vybudování nového záložního datového centra až v říjnu 2011, </w:t>
      </w:r>
      <w:r w:rsidR="008D3C47" w:rsidRPr="00F43E2F">
        <w:rPr>
          <w:rFonts w:ascii="Calibri" w:hAnsi="Calibri" w:cs="Calibri"/>
          <w:color w:val="000000" w:themeColor="text1"/>
          <w:sz w:val="24"/>
        </w:rPr>
        <w:t>tedy v době, kdy nebyl schválen Strategický rámec MV</w:t>
      </w:r>
      <w:r w:rsidR="001727D3" w:rsidRPr="00F43E2F">
        <w:rPr>
          <w:rFonts w:ascii="Calibri" w:hAnsi="Calibri" w:cs="Calibri"/>
          <w:color w:val="000000" w:themeColor="text1"/>
          <w:sz w:val="24"/>
        </w:rPr>
        <w:t>. V</w:t>
      </w:r>
      <w:r w:rsidR="00CB7219">
        <w:rPr>
          <w:rFonts w:ascii="Calibri" w:hAnsi="Calibri" w:cs="Calibri"/>
          <w:color w:val="000000" w:themeColor="text1"/>
          <w:sz w:val="24"/>
        </w:rPr>
        <w:t> </w:t>
      </w:r>
      <w:r w:rsidR="001727D3" w:rsidRPr="00F43E2F">
        <w:rPr>
          <w:rFonts w:ascii="Calibri" w:hAnsi="Calibri" w:cs="Calibri"/>
          <w:color w:val="000000" w:themeColor="text1"/>
          <w:sz w:val="24"/>
        </w:rPr>
        <w:t>obdob</w:t>
      </w:r>
      <w:r w:rsidR="00E128B7" w:rsidRPr="00F43E2F">
        <w:rPr>
          <w:rFonts w:ascii="Calibri" w:hAnsi="Calibri" w:cs="Calibri"/>
          <w:color w:val="000000" w:themeColor="text1"/>
          <w:sz w:val="24"/>
        </w:rPr>
        <w:t>í</w:t>
      </w:r>
      <w:r w:rsidR="00CB7219">
        <w:rPr>
          <w:rFonts w:ascii="Calibri" w:hAnsi="Calibri" w:cs="Calibri"/>
          <w:color w:val="000000" w:themeColor="text1"/>
          <w:sz w:val="24"/>
        </w:rPr>
        <w:br/>
      </w:r>
      <w:r w:rsidR="00E128B7" w:rsidRPr="00F43E2F">
        <w:rPr>
          <w:rFonts w:ascii="Calibri" w:hAnsi="Calibri" w:cs="Calibri"/>
          <w:color w:val="000000" w:themeColor="text1"/>
          <w:sz w:val="24"/>
        </w:rPr>
        <w:t>2012–</w:t>
      </w:r>
      <w:r w:rsidR="001727D3" w:rsidRPr="00F43E2F">
        <w:rPr>
          <w:rFonts w:ascii="Calibri" w:hAnsi="Calibri" w:cs="Calibri"/>
          <w:color w:val="000000" w:themeColor="text1"/>
          <w:sz w:val="24"/>
        </w:rPr>
        <w:t>2014 zadala STC zpracování všech částí projektové dokumentace a zahá</w:t>
      </w:r>
      <w:r w:rsidR="000D573D" w:rsidRPr="00F43E2F">
        <w:rPr>
          <w:rFonts w:ascii="Calibri" w:hAnsi="Calibri" w:cs="Calibri"/>
          <w:color w:val="000000" w:themeColor="text1"/>
          <w:sz w:val="24"/>
        </w:rPr>
        <w:t xml:space="preserve">jila </w:t>
      </w:r>
      <w:r w:rsidR="00E86B85" w:rsidRPr="00F43E2F">
        <w:rPr>
          <w:rFonts w:ascii="Calibri" w:hAnsi="Calibri" w:cs="Calibri"/>
          <w:color w:val="000000" w:themeColor="text1"/>
          <w:sz w:val="24"/>
        </w:rPr>
        <w:t xml:space="preserve">v Zelenči </w:t>
      </w:r>
      <w:r w:rsidR="000D573D" w:rsidRPr="00F43E2F">
        <w:rPr>
          <w:rFonts w:ascii="Calibri" w:hAnsi="Calibri" w:cs="Calibri"/>
          <w:color w:val="000000" w:themeColor="text1"/>
          <w:sz w:val="24"/>
        </w:rPr>
        <w:t>přípravné bourací práce na </w:t>
      </w:r>
      <w:r w:rsidR="001727D3" w:rsidRPr="00F43E2F">
        <w:rPr>
          <w:rFonts w:ascii="Calibri" w:hAnsi="Calibri" w:cs="Calibri"/>
          <w:color w:val="000000" w:themeColor="text1"/>
          <w:sz w:val="24"/>
        </w:rPr>
        <w:t>pozemku, který odkoupila od MV.</w:t>
      </w:r>
      <w:r w:rsidR="001727D3" w:rsidRPr="00F43E2F">
        <w:rPr>
          <w:rFonts w:ascii="Calibri" w:hAnsi="Calibri" w:cs="Calibri"/>
          <w:sz w:val="24"/>
        </w:rPr>
        <w:t xml:space="preserve"> STC uhradila za přípravu záložn</w:t>
      </w:r>
      <w:r w:rsidR="00E128B7" w:rsidRPr="00F43E2F">
        <w:rPr>
          <w:rFonts w:ascii="Calibri" w:hAnsi="Calibri" w:cs="Calibri"/>
          <w:sz w:val="24"/>
        </w:rPr>
        <w:t>ího datového centra v Zelenči a </w:t>
      </w:r>
      <w:r w:rsidR="001727D3" w:rsidRPr="00F43E2F">
        <w:rPr>
          <w:rFonts w:ascii="Calibri" w:hAnsi="Calibri" w:cs="Calibri"/>
          <w:sz w:val="24"/>
        </w:rPr>
        <w:t>nákup pozemku celkem 63,3 mil. Kč vč. DPH.</w:t>
      </w:r>
      <w:r w:rsidR="001727D3" w:rsidRPr="00F43E2F">
        <w:rPr>
          <w:rFonts w:ascii="Calibri" w:hAnsi="Calibri" w:cs="Calibri"/>
          <w:color w:val="000000" w:themeColor="text1"/>
          <w:sz w:val="24"/>
        </w:rPr>
        <w:t xml:space="preserve"> Vybudování záložního datového centra by mělo podle předpokladu probíhat ve třech etapách </w:t>
      </w:r>
      <w:r w:rsidR="00B57E39" w:rsidRPr="00F43E2F">
        <w:rPr>
          <w:rFonts w:ascii="Calibri" w:hAnsi="Calibri" w:cs="Calibri"/>
          <w:color w:val="000000" w:themeColor="text1"/>
          <w:sz w:val="24"/>
        </w:rPr>
        <w:t>a</w:t>
      </w:r>
      <w:r w:rsidR="001727D3" w:rsidRPr="00F43E2F">
        <w:rPr>
          <w:rFonts w:ascii="Calibri" w:hAnsi="Calibri" w:cs="Calibri"/>
          <w:color w:val="000000" w:themeColor="text1"/>
          <w:sz w:val="24"/>
        </w:rPr>
        <w:t xml:space="preserve"> celkov</w:t>
      </w:r>
      <w:r w:rsidR="00B57E39" w:rsidRPr="00F43E2F">
        <w:rPr>
          <w:rFonts w:ascii="Calibri" w:hAnsi="Calibri" w:cs="Calibri"/>
          <w:color w:val="000000" w:themeColor="text1"/>
          <w:sz w:val="24"/>
        </w:rPr>
        <w:t>á</w:t>
      </w:r>
      <w:r w:rsidR="001727D3" w:rsidRPr="00F43E2F">
        <w:rPr>
          <w:rFonts w:ascii="Calibri" w:hAnsi="Calibri" w:cs="Calibri"/>
          <w:color w:val="000000" w:themeColor="text1"/>
          <w:sz w:val="24"/>
        </w:rPr>
        <w:t xml:space="preserve"> rozlo</w:t>
      </w:r>
      <w:r w:rsidR="00B57E39" w:rsidRPr="00F43E2F">
        <w:rPr>
          <w:rFonts w:ascii="Calibri" w:hAnsi="Calibri" w:cs="Calibri"/>
          <w:color w:val="000000" w:themeColor="text1"/>
          <w:sz w:val="24"/>
        </w:rPr>
        <w:t>ha</w:t>
      </w:r>
      <w:r w:rsidR="001727D3" w:rsidRPr="00F43E2F">
        <w:rPr>
          <w:rFonts w:ascii="Calibri" w:hAnsi="Calibri" w:cs="Calibri"/>
          <w:color w:val="000000" w:themeColor="text1"/>
          <w:sz w:val="24"/>
        </w:rPr>
        <w:t xml:space="preserve"> by měla být 3x větší než </w:t>
      </w:r>
      <w:r w:rsidR="00E86B85">
        <w:rPr>
          <w:rFonts w:ascii="Calibri" w:hAnsi="Calibri" w:cs="Calibri"/>
          <w:color w:val="000000" w:themeColor="text1"/>
          <w:sz w:val="24"/>
        </w:rPr>
        <w:t xml:space="preserve">rozloha </w:t>
      </w:r>
      <w:r w:rsidR="00D963DC">
        <w:rPr>
          <w:rFonts w:ascii="Calibri" w:hAnsi="Calibri" w:cs="Calibri"/>
          <w:color w:val="000000" w:themeColor="text1"/>
          <w:sz w:val="24"/>
        </w:rPr>
        <w:t xml:space="preserve">současného </w:t>
      </w:r>
      <w:r w:rsidR="001727D3" w:rsidRPr="00F43E2F">
        <w:rPr>
          <w:rFonts w:ascii="Calibri" w:hAnsi="Calibri" w:cs="Calibri"/>
          <w:color w:val="000000" w:themeColor="text1"/>
          <w:sz w:val="24"/>
        </w:rPr>
        <w:t>datové</w:t>
      </w:r>
      <w:r w:rsidR="00E86B85">
        <w:rPr>
          <w:rFonts w:ascii="Calibri" w:hAnsi="Calibri" w:cs="Calibri"/>
          <w:color w:val="000000" w:themeColor="text1"/>
          <w:sz w:val="24"/>
        </w:rPr>
        <w:t>ho</w:t>
      </w:r>
      <w:r w:rsidR="001727D3" w:rsidRPr="00F43E2F">
        <w:rPr>
          <w:rFonts w:ascii="Calibri" w:hAnsi="Calibri" w:cs="Calibri"/>
          <w:color w:val="000000" w:themeColor="text1"/>
          <w:sz w:val="24"/>
        </w:rPr>
        <w:t xml:space="preserve"> centr</w:t>
      </w:r>
      <w:r w:rsidR="00E86B85">
        <w:rPr>
          <w:rFonts w:ascii="Calibri" w:hAnsi="Calibri" w:cs="Calibri"/>
          <w:color w:val="000000" w:themeColor="text1"/>
          <w:sz w:val="24"/>
        </w:rPr>
        <w:t>a</w:t>
      </w:r>
      <w:r w:rsidR="001727D3" w:rsidRPr="00F43E2F">
        <w:rPr>
          <w:rFonts w:ascii="Calibri" w:hAnsi="Calibri" w:cs="Calibri"/>
          <w:color w:val="000000" w:themeColor="text1"/>
          <w:sz w:val="24"/>
        </w:rPr>
        <w:t xml:space="preserve"> STC.</w:t>
      </w:r>
    </w:p>
    <w:p w:rsidR="00A5791A" w:rsidRPr="00F43E2F" w:rsidRDefault="00A5791A" w:rsidP="00F43E2F">
      <w:pPr>
        <w:spacing w:after="0"/>
        <w:rPr>
          <w:rFonts w:ascii="Calibri" w:hAnsi="Calibri" w:cs="Calibri"/>
          <w:color w:val="000000" w:themeColor="text1"/>
          <w:sz w:val="24"/>
        </w:rPr>
      </w:pPr>
    </w:p>
    <w:p w:rsidR="00117119" w:rsidRDefault="001727D3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color w:val="000000" w:themeColor="text1"/>
          <w:sz w:val="24"/>
        </w:rPr>
        <w:t xml:space="preserve">Obsazenost </w:t>
      </w:r>
      <w:r w:rsidR="002F38CF" w:rsidRPr="00F43E2F">
        <w:rPr>
          <w:rFonts w:ascii="Calibri" w:hAnsi="Calibri" w:cs="Calibri"/>
          <w:color w:val="000000" w:themeColor="text1"/>
          <w:sz w:val="24"/>
        </w:rPr>
        <w:t xml:space="preserve">stávajícího </w:t>
      </w:r>
      <w:r w:rsidRPr="00F43E2F">
        <w:rPr>
          <w:rFonts w:ascii="Calibri" w:hAnsi="Calibri" w:cs="Calibri"/>
          <w:color w:val="000000" w:themeColor="text1"/>
          <w:sz w:val="24"/>
        </w:rPr>
        <w:t>datového centra STC byl</w:t>
      </w:r>
      <w:r w:rsidR="00B57E39" w:rsidRPr="00F43E2F">
        <w:rPr>
          <w:rFonts w:ascii="Calibri" w:hAnsi="Calibri" w:cs="Calibri"/>
          <w:color w:val="000000" w:themeColor="text1"/>
          <w:sz w:val="24"/>
        </w:rPr>
        <w:t>a</w:t>
      </w:r>
      <w:r w:rsidRPr="00F43E2F">
        <w:rPr>
          <w:rFonts w:ascii="Calibri" w:hAnsi="Calibri" w:cs="Calibri"/>
          <w:color w:val="000000" w:themeColor="text1"/>
          <w:sz w:val="24"/>
        </w:rPr>
        <w:t xml:space="preserve"> k září 2014 cca 50%. </w:t>
      </w:r>
      <w:r w:rsidR="00BE78ED" w:rsidRPr="00F43E2F">
        <w:rPr>
          <w:rFonts w:ascii="Calibri" w:hAnsi="Calibri" w:cs="Calibri"/>
          <w:color w:val="000000" w:themeColor="text1"/>
          <w:sz w:val="24"/>
        </w:rPr>
        <w:t>Z</w:t>
      </w:r>
      <w:r w:rsidR="00B57E39" w:rsidRPr="00F43E2F">
        <w:rPr>
          <w:rFonts w:ascii="Calibri" w:hAnsi="Calibri" w:cs="Calibri"/>
          <w:color w:val="000000" w:themeColor="text1"/>
          <w:sz w:val="24"/>
        </w:rPr>
        <w:t xml:space="preserve"> předložené dokumentace </w:t>
      </w:r>
      <w:r w:rsidR="00BE78ED" w:rsidRPr="00F43E2F">
        <w:rPr>
          <w:rFonts w:ascii="Calibri" w:hAnsi="Calibri" w:cs="Calibri"/>
          <w:color w:val="000000" w:themeColor="text1"/>
          <w:sz w:val="24"/>
        </w:rPr>
        <w:t xml:space="preserve">nevyplývá </w:t>
      </w:r>
      <w:r w:rsidRPr="00F43E2F">
        <w:rPr>
          <w:rFonts w:ascii="Calibri" w:hAnsi="Calibri" w:cs="Calibri"/>
          <w:color w:val="000000" w:themeColor="text1"/>
          <w:sz w:val="24"/>
        </w:rPr>
        <w:t xml:space="preserve">odůvodněnost </w:t>
      </w:r>
      <w:r w:rsidR="004A7C8C" w:rsidRPr="00F43E2F">
        <w:rPr>
          <w:rFonts w:ascii="Calibri" w:hAnsi="Calibri" w:cs="Calibri"/>
          <w:color w:val="000000" w:themeColor="text1"/>
          <w:sz w:val="24"/>
        </w:rPr>
        <w:t xml:space="preserve">parametrů </w:t>
      </w:r>
      <w:r w:rsidRPr="00F43E2F">
        <w:rPr>
          <w:rFonts w:ascii="Calibri" w:hAnsi="Calibri" w:cs="Calibri"/>
          <w:color w:val="000000" w:themeColor="text1"/>
          <w:sz w:val="24"/>
        </w:rPr>
        <w:t>zamýšleného projektu datového centra v</w:t>
      </w:r>
      <w:r w:rsidR="0005768C" w:rsidRPr="00F43E2F">
        <w:rPr>
          <w:rFonts w:ascii="Calibri" w:hAnsi="Calibri" w:cs="Calibri"/>
          <w:color w:val="000000" w:themeColor="text1"/>
          <w:sz w:val="24"/>
        </w:rPr>
        <w:t> </w:t>
      </w:r>
      <w:r w:rsidRPr="00F43E2F">
        <w:rPr>
          <w:rFonts w:ascii="Calibri" w:hAnsi="Calibri" w:cs="Calibri"/>
          <w:color w:val="000000" w:themeColor="text1"/>
          <w:sz w:val="24"/>
        </w:rPr>
        <w:t>Zelenči</w:t>
      </w:r>
      <w:r w:rsidR="0005768C" w:rsidRPr="00F43E2F">
        <w:rPr>
          <w:rFonts w:ascii="Calibri" w:hAnsi="Calibri" w:cs="Calibri"/>
          <w:color w:val="000000" w:themeColor="text1"/>
          <w:sz w:val="24"/>
        </w:rPr>
        <w:t xml:space="preserve"> (např. vybraná lokalita, velikost datového centra)</w:t>
      </w:r>
      <w:r w:rsidR="004A7C8C" w:rsidRPr="00F43E2F">
        <w:rPr>
          <w:rFonts w:ascii="Calibri" w:hAnsi="Calibri" w:cs="Calibri"/>
          <w:sz w:val="24"/>
        </w:rPr>
        <w:t>, a to zejména z</w:t>
      </w:r>
      <w:r w:rsidR="00641CDE" w:rsidRPr="00F43E2F">
        <w:rPr>
          <w:rFonts w:ascii="Calibri" w:hAnsi="Calibri" w:cs="Calibri"/>
          <w:sz w:val="24"/>
        </w:rPr>
        <w:t xml:space="preserve">a současného stavu, kdy využívání datových center orgány státní správy není účinně koordinováno a upraveno předpisy. </w:t>
      </w:r>
    </w:p>
    <w:p w:rsidR="00A5791A" w:rsidRPr="00F43E2F" w:rsidRDefault="00A5791A" w:rsidP="00F43E2F">
      <w:pPr>
        <w:spacing w:after="0"/>
        <w:rPr>
          <w:rFonts w:ascii="Calibri" w:hAnsi="Calibri" w:cs="Calibri"/>
          <w:sz w:val="24"/>
        </w:rPr>
      </w:pPr>
    </w:p>
    <w:p w:rsidR="00C946DB" w:rsidRDefault="001727D3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>V této souvislosti bylo kontrolou NKÚ zjištěno, že doklady o provedení kontroly MF, zda STC svou podnikatelskou činnost zabezpečuje účelně a hospodárně p</w:t>
      </w:r>
      <w:r w:rsidR="000D573D" w:rsidRPr="00F43E2F">
        <w:rPr>
          <w:rFonts w:ascii="Calibri" w:hAnsi="Calibri" w:cs="Calibri"/>
          <w:sz w:val="24"/>
        </w:rPr>
        <w:t>ro potřeby státu podle zákona o </w:t>
      </w:r>
      <w:r w:rsidRPr="00F43E2F">
        <w:rPr>
          <w:rFonts w:ascii="Calibri" w:hAnsi="Calibri" w:cs="Calibri"/>
          <w:sz w:val="24"/>
        </w:rPr>
        <w:t>státním podniku</w:t>
      </w:r>
      <w:r w:rsidR="00141FD5" w:rsidRPr="00F43E2F">
        <w:rPr>
          <w:rStyle w:val="Znakapoznpodarou"/>
          <w:rFonts w:ascii="Calibri" w:hAnsi="Calibri" w:cs="Calibri"/>
          <w:sz w:val="24"/>
        </w:rPr>
        <w:footnoteReference w:id="29"/>
      </w:r>
      <w:r w:rsidRPr="00F43E2F">
        <w:rPr>
          <w:rFonts w:ascii="Calibri" w:hAnsi="Calibri" w:cs="Calibri"/>
          <w:sz w:val="24"/>
        </w:rPr>
        <w:t xml:space="preserve">, neobsahovaly průkazný záznam o realizaci takové kontroly. </w:t>
      </w:r>
    </w:p>
    <w:p w:rsidR="00A5791A" w:rsidRDefault="00A5791A" w:rsidP="00F43E2F">
      <w:pPr>
        <w:spacing w:after="0"/>
        <w:rPr>
          <w:rFonts w:ascii="Calibri" w:hAnsi="Calibri" w:cs="Calibri"/>
          <w:sz w:val="24"/>
        </w:rPr>
      </w:pPr>
    </w:p>
    <w:p w:rsidR="00E86B85" w:rsidRDefault="00E86B85" w:rsidP="00F43E2F">
      <w:pPr>
        <w:spacing w:after="0"/>
        <w:rPr>
          <w:rFonts w:ascii="Calibri" w:hAnsi="Calibri" w:cs="Calibri"/>
          <w:sz w:val="24"/>
        </w:rPr>
      </w:pPr>
    </w:p>
    <w:p w:rsidR="0029666F" w:rsidRDefault="0029666F">
      <w:pPr>
        <w:spacing w:after="200" w:line="276" w:lineRule="auto"/>
        <w:jc w:val="lef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:rsidR="000F7DA0" w:rsidRPr="002B0A07" w:rsidRDefault="004D463D" w:rsidP="00A5791A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2B0A07">
        <w:rPr>
          <w:rFonts w:ascii="Calibri" w:hAnsi="Calibri" w:cs="Calibri"/>
          <w:b/>
          <w:sz w:val="28"/>
          <w:szCs w:val="28"/>
        </w:rPr>
        <w:lastRenderedPageBreak/>
        <w:t xml:space="preserve">III. Shrnutí </w:t>
      </w:r>
      <w:r w:rsidR="001453A2" w:rsidRPr="002B0A07">
        <w:rPr>
          <w:rFonts w:ascii="Calibri" w:hAnsi="Calibri" w:cs="Calibri"/>
          <w:b/>
          <w:sz w:val="28"/>
          <w:szCs w:val="28"/>
        </w:rPr>
        <w:t>a vyhodnocení</w:t>
      </w:r>
    </w:p>
    <w:p w:rsidR="00A5791A" w:rsidRDefault="00A5791A" w:rsidP="00F43E2F">
      <w:pPr>
        <w:spacing w:after="0"/>
        <w:rPr>
          <w:rFonts w:ascii="Calibri" w:hAnsi="Calibri" w:cs="Calibri"/>
          <w:sz w:val="24"/>
        </w:rPr>
      </w:pPr>
    </w:p>
    <w:p w:rsidR="000F7DA0" w:rsidRDefault="000F7DA0" w:rsidP="00F43E2F">
      <w:pPr>
        <w:spacing w:after="0"/>
        <w:rPr>
          <w:rFonts w:ascii="Calibri" w:hAnsi="Calibri" w:cs="Calibri"/>
          <w:sz w:val="24"/>
        </w:rPr>
      </w:pPr>
      <w:r w:rsidRPr="00F43E2F">
        <w:rPr>
          <w:rFonts w:ascii="Calibri" w:hAnsi="Calibri" w:cs="Calibri"/>
          <w:sz w:val="24"/>
        </w:rPr>
        <w:t xml:space="preserve">V současné době jsou datová centra jednou z </w:t>
      </w:r>
      <w:r w:rsidR="00286C6F" w:rsidRPr="00F43E2F">
        <w:rPr>
          <w:rFonts w:ascii="Calibri" w:hAnsi="Calibri" w:cs="Calibri"/>
          <w:sz w:val="24"/>
        </w:rPr>
        <w:t xml:space="preserve">významných </w:t>
      </w:r>
      <w:r w:rsidRPr="00F43E2F">
        <w:rPr>
          <w:rFonts w:ascii="Calibri" w:hAnsi="Calibri" w:cs="Calibri"/>
          <w:sz w:val="24"/>
        </w:rPr>
        <w:t>součástí bezpečného a spolehlivého provozu moderních IS</w:t>
      </w:r>
      <w:r w:rsidR="006F2CE7" w:rsidRPr="00F43E2F">
        <w:rPr>
          <w:rFonts w:ascii="Calibri" w:hAnsi="Calibri" w:cs="Calibri"/>
          <w:sz w:val="24"/>
        </w:rPr>
        <w:t xml:space="preserve"> veřejné správy</w:t>
      </w:r>
      <w:r w:rsidRPr="00F43E2F">
        <w:rPr>
          <w:rFonts w:ascii="Calibri" w:hAnsi="Calibri" w:cs="Calibri"/>
          <w:sz w:val="24"/>
        </w:rPr>
        <w:t>. Kontrola NKÚ se zaměřila</w:t>
      </w:r>
      <w:r w:rsidR="00616570" w:rsidRPr="00F43E2F">
        <w:rPr>
          <w:rFonts w:ascii="Calibri" w:hAnsi="Calibri" w:cs="Calibri"/>
          <w:sz w:val="24"/>
        </w:rPr>
        <w:t xml:space="preserve"> </w:t>
      </w:r>
      <w:r w:rsidR="00C0023A" w:rsidRPr="00F43E2F">
        <w:rPr>
          <w:rFonts w:ascii="Calibri" w:hAnsi="Calibri" w:cs="Calibri"/>
          <w:sz w:val="24"/>
        </w:rPr>
        <w:t xml:space="preserve">na </w:t>
      </w:r>
      <w:r w:rsidR="005313AC" w:rsidRPr="00F43E2F">
        <w:rPr>
          <w:rFonts w:ascii="Calibri" w:hAnsi="Calibri" w:cs="Calibri"/>
          <w:sz w:val="24"/>
        </w:rPr>
        <w:t>datová centra STC</w:t>
      </w:r>
      <w:r w:rsidR="00616570" w:rsidRPr="00F43E2F">
        <w:rPr>
          <w:rFonts w:ascii="Calibri" w:hAnsi="Calibri" w:cs="Calibri"/>
          <w:sz w:val="24"/>
        </w:rPr>
        <w:t>, jejich výstavbu a provoz. Dále se tato kontrola zaměřila na nastavení strategií pro jejich využití orgány státní správy.</w:t>
      </w:r>
    </w:p>
    <w:p w:rsidR="00152A3C" w:rsidRDefault="00152A3C" w:rsidP="00F43E2F">
      <w:pPr>
        <w:spacing w:after="0"/>
        <w:rPr>
          <w:rFonts w:ascii="Calibri" w:hAnsi="Calibri" w:cs="Calibri"/>
          <w:sz w:val="24"/>
        </w:rPr>
      </w:pPr>
    </w:p>
    <w:p w:rsidR="00535DE1" w:rsidRDefault="00535DE1" w:rsidP="00D963DC">
      <w:pPr>
        <w:spacing w:after="0"/>
        <w:rPr>
          <w:rFonts w:ascii="Calibri" w:hAnsi="Calibri" w:cs="Calibri"/>
          <w:sz w:val="24"/>
        </w:rPr>
      </w:pPr>
      <w:r w:rsidRPr="00D963DC">
        <w:rPr>
          <w:rFonts w:ascii="Calibri" w:hAnsi="Calibri" w:cs="Calibri"/>
          <w:color w:val="000000" w:themeColor="text1"/>
          <w:sz w:val="24"/>
        </w:rPr>
        <w:t xml:space="preserve">MV se mělo vyjadřovat k pořízení, obnově a provozování informačních a komunikačních technologií financovaných z prostředků státního rozpočtu a vydávat stanovisko k ICT projektům financovaným z </w:t>
      </w:r>
      <w:r w:rsidRPr="00D963DC">
        <w:rPr>
          <w:rFonts w:ascii="Calibri" w:hAnsi="Calibri" w:cs="Calibri"/>
          <w:sz w:val="24"/>
        </w:rPr>
        <w:t>prostředků Evropské unie. Budování datových center STC probíhá z prostředků státního podniku a MV se k projektům nevyjádřilo ani nevydalo stanovisko. Koordinační role MV v této oblasti však v</w:t>
      </w:r>
      <w:r w:rsidR="00E128B7" w:rsidRPr="00D963DC">
        <w:rPr>
          <w:rFonts w:ascii="Calibri" w:hAnsi="Calibri" w:cs="Calibri"/>
          <w:sz w:val="24"/>
        </w:rPr>
        <w:t>yplývá z kompetenčního zákona a </w:t>
      </w:r>
      <w:r w:rsidRPr="00D963DC">
        <w:rPr>
          <w:rFonts w:ascii="Calibri" w:hAnsi="Calibri" w:cs="Calibri"/>
          <w:sz w:val="24"/>
        </w:rPr>
        <w:t>MV ji v tomto případě neuplatnilo.</w:t>
      </w:r>
    </w:p>
    <w:p w:rsidR="00152A3C" w:rsidRPr="00D963DC" w:rsidRDefault="00152A3C" w:rsidP="00D963DC">
      <w:pPr>
        <w:spacing w:after="0"/>
        <w:rPr>
          <w:rFonts w:ascii="Calibri" w:hAnsi="Calibri" w:cs="Calibri"/>
          <w:sz w:val="24"/>
        </w:rPr>
      </w:pPr>
    </w:p>
    <w:p w:rsidR="00211D94" w:rsidRDefault="00211D94" w:rsidP="00D963DC">
      <w:pPr>
        <w:spacing w:after="0"/>
        <w:rPr>
          <w:rFonts w:ascii="Calibri" w:hAnsi="Calibri" w:cs="Calibri"/>
          <w:sz w:val="24"/>
        </w:rPr>
      </w:pPr>
      <w:r w:rsidRPr="00D963DC">
        <w:rPr>
          <w:rFonts w:ascii="Calibri" w:hAnsi="Calibri" w:cs="Calibri"/>
          <w:sz w:val="24"/>
        </w:rPr>
        <w:t>Datová centra jsou součástí prvků kritické</w:t>
      </w:r>
      <w:r w:rsidR="004C1BCF" w:rsidRPr="00D963DC">
        <w:rPr>
          <w:rFonts w:ascii="Calibri" w:hAnsi="Calibri" w:cs="Calibri"/>
          <w:sz w:val="24"/>
        </w:rPr>
        <w:t xml:space="preserve"> infrastruktury</w:t>
      </w:r>
      <w:r w:rsidR="006D4F5A" w:rsidRPr="00D963DC">
        <w:rPr>
          <w:rFonts w:ascii="Calibri" w:hAnsi="Calibri" w:cs="Calibri"/>
          <w:sz w:val="24"/>
          <w:vertAlign w:val="superscript"/>
        </w:rPr>
        <w:t>1</w:t>
      </w:r>
      <w:r w:rsidR="00595300" w:rsidRPr="00D963DC">
        <w:rPr>
          <w:rFonts w:ascii="Calibri" w:hAnsi="Calibri" w:cs="Calibri"/>
          <w:sz w:val="24"/>
        </w:rPr>
        <w:t xml:space="preserve">. Kontrolou bylo zjištěno, </w:t>
      </w:r>
      <w:r w:rsidR="000D573D" w:rsidRPr="00D963DC">
        <w:rPr>
          <w:rFonts w:ascii="Calibri" w:hAnsi="Calibri" w:cs="Calibri"/>
          <w:sz w:val="24"/>
        </w:rPr>
        <w:t>že </w:t>
      </w:r>
      <w:r w:rsidRPr="00D963DC">
        <w:rPr>
          <w:rFonts w:ascii="Calibri" w:hAnsi="Calibri" w:cs="Calibri"/>
          <w:sz w:val="24"/>
        </w:rPr>
        <w:t>seznamy prvků kritické infrastruktury nepodávají úplný a spolehlivý přehled</w:t>
      </w:r>
      <w:r w:rsidR="009E052F" w:rsidRPr="00D963DC">
        <w:rPr>
          <w:rFonts w:ascii="Calibri" w:hAnsi="Calibri" w:cs="Calibri"/>
          <w:sz w:val="24"/>
        </w:rPr>
        <w:t xml:space="preserve"> o</w:t>
      </w:r>
      <w:r w:rsidR="00F34D53" w:rsidRPr="00D963DC">
        <w:rPr>
          <w:rFonts w:ascii="Calibri" w:hAnsi="Calibri" w:cs="Calibri"/>
          <w:sz w:val="24"/>
        </w:rPr>
        <w:t> </w:t>
      </w:r>
      <w:r w:rsidR="009E052F" w:rsidRPr="00D963DC">
        <w:rPr>
          <w:rFonts w:ascii="Calibri" w:hAnsi="Calibri" w:cs="Calibri"/>
          <w:sz w:val="24"/>
        </w:rPr>
        <w:t>datových centrech</w:t>
      </w:r>
      <w:r w:rsidRPr="00D963DC">
        <w:rPr>
          <w:rFonts w:ascii="Calibri" w:hAnsi="Calibri" w:cs="Calibri"/>
          <w:sz w:val="24"/>
        </w:rPr>
        <w:t xml:space="preserve">, což může mít negativní vliv </w:t>
      </w:r>
      <w:r w:rsidR="004E28A2" w:rsidRPr="00D963DC">
        <w:rPr>
          <w:rFonts w:ascii="Calibri" w:hAnsi="Calibri" w:cs="Calibri"/>
          <w:sz w:val="24"/>
        </w:rPr>
        <w:t xml:space="preserve">pro </w:t>
      </w:r>
      <w:r w:rsidRPr="00D963DC">
        <w:rPr>
          <w:rFonts w:ascii="Calibri" w:hAnsi="Calibri" w:cs="Calibri"/>
          <w:sz w:val="24"/>
        </w:rPr>
        <w:t>oblast krizového řízení.</w:t>
      </w:r>
    </w:p>
    <w:p w:rsidR="00152A3C" w:rsidRPr="00D963DC" w:rsidRDefault="00152A3C" w:rsidP="00D963DC">
      <w:pPr>
        <w:spacing w:after="0"/>
        <w:rPr>
          <w:rFonts w:ascii="Calibri" w:hAnsi="Calibri" w:cs="Calibri"/>
          <w:sz w:val="24"/>
        </w:rPr>
      </w:pPr>
    </w:p>
    <w:p w:rsidR="00991604" w:rsidRDefault="00991604" w:rsidP="00D963DC">
      <w:pPr>
        <w:spacing w:after="0"/>
        <w:rPr>
          <w:rFonts w:ascii="Calibri" w:hAnsi="Calibri" w:cs="Calibri"/>
          <w:sz w:val="24"/>
        </w:rPr>
      </w:pPr>
      <w:r w:rsidRPr="00D963DC">
        <w:rPr>
          <w:rFonts w:ascii="Calibri" w:hAnsi="Calibri" w:cs="Calibri"/>
          <w:sz w:val="24"/>
        </w:rPr>
        <w:t xml:space="preserve">První strategický dokument, ve kterém byla zmíněna datová centra jako třetí vrstva architektury </w:t>
      </w:r>
      <w:proofErr w:type="spellStart"/>
      <w:r w:rsidRPr="00D963DC">
        <w:rPr>
          <w:rFonts w:ascii="Calibri" w:hAnsi="Calibri" w:cs="Calibri"/>
          <w:sz w:val="24"/>
        </w:rPr>
        <w:t>eGovernmentu</w:t>
      </w:r>
      <w:proofErr w:type="spellEnd"/>
      <w:r w:rsidRPr="00D963DC">
        <w:rPr>
          <w:rFonts w:ascii="Calibri" w:hAnsi="Calibri" w:cs="Calibri"/>
          <w:sz w:val="24"/>
        </w:rPr>
        <w:t>, schválila vláda v roce 2014</w:t>
      </w:r>
      <w:r w:rsidR="00BC1954" w:rsidRPr="00F43E2F">
        <w:rPr>
          <w:rStyle w:val="Znakapoznpodarou"/>
          <w:rFonts w:ascii="Calibri" w:hAnsi="Calibri" w:cs="Calibri"/>
          <w:sz w:val="24"/>
        </w:rPr>
        <w:footnoteReference w:id="30"/>
      </w:r>
      <w:r w:rsidRPr="00D963DC">
        <w:rPr>
          <w:rFonts w:ascii="Calibri" w:hAnsi="Calibri" w:cs="Calibri"/>
          <w:sz w:val="24"/>
        </w:rPr>
        <w:t xml:space="preserve">. Tato strategie rozdělila kompetence v oblasti ICT mezi MV a MF, </w:t>
      </w:r>
      <w:r w:rsidR="004E28A2" w:rsidRPr="00D963DC">
        <w:rPr>
          <w:rFonts w:ascii="Calibri" w:hAnsi="Calibri" w:cs="Calibri"/>
          <w:sz w:val="24"/>
        </w:rPr>
        <w:t xml:space="preserve">avšak </w:t>
      </w:r>
      <w:r w:rsidRPr="00D963DC">
        <w:rPr>
          <w:rFonts w:ascii="Calibri" w:hAnsi="Calibri" w:cs="Calibri"/>
          <w:sz w:val="24"/>
        </w:rPr>
        <w:t xml:space="preserve">neobsahuje </w:t>
      </w:r>
      <w:r w:rsidR="006304A2" w:rsidRPr="00D963DC">
        <w:rPr>
          <w:rFonts w:ascii="Calibri" w:hAnsi="Calibri" w:cs="Calibri"/>
          <w:sz w:val="24"/>
        </w:rPr>
        <w:t xml:space="preserve">konkrétní </w:t>
      </w:r>
      <w:r w:rsidRPr="00D963DC">
        <w:rPr>
          <w:rFonts w:ascii="Calibri" w:hAnsi="Calibri" w:cs="Calibri"/>
          <w:sz w:val="24"/>
        </w:rPr>
        <w:t>stanovení koordinace budování datových center a</w:t>
      </w:r>
      <w:r w:rsidR="00856D4A">
        <w:rPr>
          <w:rFonts w:ascii="Calibri" w:hAnsi="Calibri" w:cs="Calibri"/>
          <w:sz w:val="24"/>
        </w:rPr>
        <w:t>ni</w:t>
      </w:r>
      <w:r w:rsidRPr="00D963DC">
        <w:rPr>
          <w:rFonts w:ascii="Calibri" w:hAnsi="Calibri" w:cs="Calibri"/>
          <w:sz w:val="24"/>
        </w:rPr>
        <w:t xml:space="preserve"> pravidla jejich využívání orgány státní správy. </w:t>
      </w:r>
    </w:p>
    <w:p w:rsidR="00152A3C" w:rsidRPr="00D963DC" w:rsidRDefault="00152A3C" w:rsidP="00D963DC">
      <w:pPr>
        <w:spacing w:after="0"/>
        <w:rPr>
          <w:rFonts w:ascii="Calibri" w:hAnsi="Calibri" w:cs="Calibri"/>
          <w:sz w:val="24"/>
        </w:rPr>
      </w:pPr>
    </w:p>
    <w:p w:rsidR="0093041E" w:rsidRDefault="00644FC8" w:rsidP="00D963DC">
      <w:pPr>
        <w:spacing w:after="0"/>
        <w:rPr>
          <w:rFonts w:ascii="Calibri" w:hAnsi="Calibri" w:cs="Calibri"/>
          <w:sz w:val="24"/>
        </w:rPr>
      </w:pPr>
      <w:r w:rsidRPr="00D963DC">
        <w:rPr>
          <w:rFonts w:ascii="Calibri" w:hAnsi="Calibri" w:cs="Calibri"/>
          <w:sz w:val="24"/>
        </w:rPr>
        <w:t>Úkol stanovený vládou v jejím usnesení ze dne 4. 4. 2012 č. 224 ukládá M</w:t>
      </w:r>
      <w:r w:rsidR="00856D4A">
        <w:rPr>
          <w:rFonts w:ascii="Calibri" w:hAnsi="Calibri" w:cs="Calibri"/>
          <w:sz w:val="24"/>
        </w:rPr>
        <w:t>inisterstvu vnitra</w:t>
      </w:r>
      <w:r w:rsidRPr="00D963DC">
        <w:rPr>
          <w:rFonts w:ascii="Calibri" w:hAnsi="Calibri" w:cs="Calibri"/>
          <w:sz w:val="24"/>
        </w:rPr>
        <w:t xml:space="preserve"> povinnost poskytovat </w:t>
      </w:r>
      <w:r w:rsidR="00D51130" w:rsidRPr="00D963DC">
        <w:rPr>
          <w:rFonts w:ascii="Calibri" w:hAnsi="Calibri" w:cs="Calibri"/>
          <w:sz w:val="24"/>
        </w:rPr>
        <w:t>vládě</w:t>
      </w:r>
      <w:r w:rsidRPr="00D963DC">
        <w:rPr>
          <w:rFonts w:ascii="Calibri" w:hAnsi="Calibri" w:cs="Calibri"/>
          <w:sz w:val="24"/>
        </w:rPr>
        <w:t xml:space="preserve"> informace o zajištění vybraných ICT služeb využívaných státní správou. Toto usnesení vlády </w:t>
      </w:r>
      <w:r w:rsidR="00856D4A">
        <w:rPr>
          <w:rFonts w:ascii="Calibri" w:hAnsi="Calibri" w:cs="Calibri"/>
          <w:sz w:val="24"/>
        </w:rPr>
        <w:t>však</w:t>
      </w:r>
      <w:r w:rsidRPr="00D963DC">
        <w:rPr>
          <w:rFonts w:ascii="Calibri" w:hAnsi="Calibri" w:cs="Calibri"/>
          <w:sz w:val="24"/>
        </w:rPr>
        <w:t xml:space="preserve"> nereflektuje skutečnost, že státní podnik STC </w:t>
      </w:r>
      <w:r w:rsidR="00856D4A">
        <w:rPr>
          <w:rFonts w:ascii="Calibri" w:hAnsi="Calibri" w:cs="Calibri"/>
          <w:sz w:val="24"/>
        </w:rPr>
        <w:t>(</w:t>
      </w:r>
      <w:r w:rsidRPr="00D963DC">
        <w:rPr>
          <w:rFonts w:ascii="Calibri" w:hAnsi="Calibri" w:cs="Calibri"/>
          <w:sz w:val="24"/>
        </w:rPr>
        <w:t>založen MF</w:t>
      </w:r>
      <w:r w:rsidR="00856D4A">
        <w:rPr>
          <w:rFonts w:ascii="Calibri" w:hAnsi="Calibri" w:cs="Calibri"/>
          <w:sz w:val="24"/>
        </w:rPr>
        <w:t>)</w:t>
      </w:r>
      <w:r w:rsidRPr="00D963DC">
        <w:rPr>
          <w:rFonts w:ascii="Calibri" w:hAnsi="Calibri" w:cs="Calibri"/>
          <w:sz w:val="24"/>
        </w:rPr>
        <w:t xml:space="preserve"> </w:t>
      </w:r>
      <w:r w:rsidR="002360AD" w:rsidRPr="00D963DC">
        <w:rPr>
          <w:rFonts w:ascii="Calibri" w:hAnsi="Calibri" w:cs="Calibri"/>
          <w:sz w:val="24"/>
        </w:rPr>
        <w:t>provozuje klíčové ICT služ</w:t>
      </w:r>
      <w:r w:rsidRPr="00D963DC">
        <w:rPr>
          <w:rFonts w:ascii="Calibri" w:hAnsi="Calibri" w:cs="Calibri"/>
          <w:sz w:val="24"/>
        </w:rPr>
        <w:t>b</w:t>
      </w:r>
      <w:r w:rsidR="002360AD" w:rsidRPr="00D963DC">
        <w:rPr>
          <w:rFonts w:ascii="Calibri" w:hAnsi="Calibri" w:cs="Calibri"/>
          <w:sz w:val="24"/>
        </w:rPr>
        <w:t>y</w:t>
      </w:r>
      <w:r w:rsidRPr="00D963DC">
        <w:rPr>
          <w:rFonts w:ascii="Calibri" w:hAnsi="Calibri" w:cs="Calibri"/>
          <w:sz w:val="24"/>
        </w:rPr>
        <w:t xml:space="preserve"> pro orgány státní správy od roku 2009 </w:t>
      </w:r>
      <w:r w:rsidR="00EC43E6" w:rsidRPr="00D963DC">
        <w:rPr>
          <w:rFonts w:ascii="Calibri" w:hAnsi="Calibri" w:cs="Calibri"/>
          <w:sz w:val="24"/>
        </w:rPr>
        <w:t>obdobně</w:t>
      </w:r>
      <w:r w:rsidRPr="00D963DC">
        <w:rPr>
          <w:rFonts w:ascii="Calibri" w:hAnsi="Calibri" w:cs="Calibri"/>
          <w:sz w:val="24"/>
        </w:rPr>
        <w:t xml:space="preserve"> jako MV.</w:t>
      </w:r>
    </w:p>
    <w:p w:rsidR="00152A3C" w:rsidRPr="00D963DC" w:rsidRDefault="00152A3C" w:rsidP="00D963DC">
      <w:pPr>
        <w:spacing w:after="0"/>
        <w:rPr>
          <w:rFonts w:ascii="Calibri" w:hAnsi="Calibri" w:cs="Calibri"/>
          <w:sz w:val="24"/>
        </w:rPr>
      </w:pPr>
    </w:p>
    <w:p w:rsidR="002E49B9" w:rsidRDefault="007A5159" w:rsidP="00D963DC">
      <w:pPr>
        <w:spacing w:after="0"/>
        <w:rPr>
          <w:rFonts w:ascii="Calibri" w:hAnsi="Calibri" w:cs="Calibri"/>
          <w:b/>
          <w:sz w:val="24"/>
        </w:rPr>
      </w:pPr>
      <w:r w:rsidRPr="00D963DC">
        <w:rPr>
          <w:rFonts w:ascii="Calibri" w:hAnsi="Calibri" w:cs="Calibri"/>
          <w:sz w:val="24"/>
        </w:rPr>
        <w:t>MF ke dni ukončení kontrolní akce nenaplnilo p</w:t>
      </w:r>
      <w:r w:rsidR="00A02AC9" w:rsidRPr="00D963DC">
        <w:rPr>
          <w:rFonts w:ascii="Calibri" w:hAnsi="Calibri" w:cs="Calibri"/>
          <w:sz w:val="24"/>
        </w:rPr>
        <w:t xml:space="preserve">ůvodně </w:t>
      </w:r>
      <w:r w:rsidR="00E45AFA" w:rsidRPr="00D963DC">
        <w:rPr>
          <w:rFonts w:ascii="Calibri" w:hAnsi="Calibri" w:cs="Calibri"/>
          <w:sz w:val="24"/>
        </w:rPr>
        <w:t xml:space="preserve">zamýšlený účel využití datového centra </w:t>
      </w:r>
      <w:r w:rsidR="00856D4A">
        <w:rPr>
          <w:rFonts w:ascii="Calibri" w:hAnsi="Calibri" w:cs="Calibri"/>
          <w:sz w:val="24"/>
        </w:rPr>
        <w:t>ve svém</w:t>
      </w:r>
      <w:r w:rsidRPr="00D963DC">
        <w:rPr>
          <w:rFonts w:ascii="Calibri" w:hAnsi="Calibri" w:cs="Calibri"/>
          <w:sz w:val="24"/>
        </w:rPr>
        <w:t xml:space="preserve"> resortu</w:t>
      </w:r>
      <w:r w:rsidR="00A02AC9" w:rsidRPr="00D963DC">
        <w:rPr>
          <w:rFonts w:ascii="Calibri" w:hAnsi="Calibri" w:cs="Calibri"/>
          <w:sz w:val="24"/>
        </w:rPr>
        <w:t>,</w:t>
      </w:r>
      <w:r w:rsidR="00E128B7" w:rsidRPr="00D963DC">
        <w:rPr>
          <w:rFonts w:ascii="Calibri" w:hAnsi="Calibri" w:cs="Calibri"/>
          <w:sz w:val="24"/>
        </w:rPr>
        <w:t xml:space="preserve"> které se rozhodlo budovat a </w:t>
      </w:r>
      <w:r w:rsidR="00A02AC9" w:rsidRPr="00D963DC">
        <w:rPr>
          <w:rFonts w:ascii="Calibri" w:hAnsi="Calibri" w:cs="Calibri"/>
          <w:sz w:val="24"/>
        </w:rPr>
        <w:t xml:space="preserve">provozovat prostřednictvím STC, neboť </w:t>
      </w:r>
      <w:r w:rsidR="00A5791A" w:rsidRPr="00D963DC">
        <w:rPr>
          <w:rFonts w:ascii="Calibri" w:hAnsi="Calibri" w:cs="Calibri"/>
          <w:sz w:val="24"/>
        </w:rPr>
        <w:t>v </w:t>
      </w:r>
      <w:r w:rsidR="00C47FA8" w:rsidRPr="00D963DC">
        <w:rPr>
          <w:rFonts w:ascii="Calibri" w:hAnsi="Calibri" w:cs="Calibri"/>
          <w:sz w:val="24"/>
        </w:rPr>
        <w:t xml:space="preserve">něm </w:t>
      </w:r>
      <w:r w:rsidR="00D51130" w:rsidRPr="00D963DC">
        <w:rPr>
          <w:rFonts w:ascii="Calibri" w:hAnsi="Calibri" w:cs="Calibri"/>
          <w:sz w:val="24"/>
        </w:rPr>
        <w:t xml:space="preserve">bylo </w:t>
      </w:r>
      <w:r w:rsidR="00C47FA8" w:rsidRPr="00D963DC">
        <w:rPr>
          <w:rFonts w:ascii="Calibri" w:hAnsi="Calibri" w:cs="Calibri"/>
          <w:sz w:val="24"/>
        </w:rPr>
        <w:t>provozováno pouze několik vybraných IS resortu MF.</w:t>
      </w:r>
      <w:r w:rsidR="009F080C" w:rsidRPr="00D963DC">
        <w:rPr>
          <w:rFonts w:ascii="Calibri" w:hAnsi="Calibri" w:cs="Calibri"/>
          <w:b/>
          <w:sz w:val="24"/>
        </w:rPr>
        <w:t xml:space="preserve"> </w:t>
      </w:r>
    </w:p>
    <w:p w:rsidR="00152A3C" w:rsidRPr="00D963DC" w:rsidRDefault="00152A3C" w:rsidP="00D963DC">
      <w:pPr>
        <w:spacing w:after="0"/>
        <w:rPr>
          <w:rFonts w:ascii="Calibri" w:hAnsi="Calibri" w:cs="Calibri"/>
          <w:sz w:val="24"/>
        </w:rPr>
      </w:pPr>
    </w:p>
    <w:p w:rsidR="000D1344" w:rsidRDefault="000D1344" w:rsidP="00D963DC">
      <w:pPr>
        <w:spacing w:after="0"/>
        <w:rPr>
          <w:rFonts w:ascii="Calibri" w:hAnsi="Calibri" w:cs="Calibri"/>
          <w:sz w:val="24"/>
        </w:rPr>
      </w:pPr>
      <w:r w:rsidRPr="00D963DC">
        <w:rPr>
          <w:rFonts w:ascii="Calibri" w:hAnsi="Calibri" w:cs="Calibri"/>
          <w:sz w:val="24"/>
        </w:rPr>
        <w:t>Z</w:t>
      </w:r>
      <w:r w:rsidR="0032469D" w:rsidRPr="00D963DC">
        <w:rPr>
          <w:rFonts w:ascii="Calibri" w:hAnsi="Calibri" w:cs="Calibri"/>
          <w:sz w:val="24"/>
        </w:rPr>
        <w:t> kontrolní akce</w:t>
      </w:r>
      <w:r w:rsidR="00856D4A">
        <w:rPr>
          <w:rFonts w:ascii="Calibri" w:hAnsi="Calibri" w:cs="Calibri"/>
          <w:sz w:val="24"/>
        </w:rPr>
        <w:t xml:space="preserve"> NKÚ č.</w:t>
      </w:r>
      <w:r w:rsidR="0032469D" w:rsidRPr="00D963DC">
        <w:rPr>
          <w:rFonts w:ascii="Calibri" w:hAnsi="Calibri" w:cs="Calibri"/>
          <w:sz w:val="24"/>
        </w:rPr>
        <w:t xml:space="preserve"> 12/35 a z dokumentace STC </w:t>
      </w:r>
      <w:r w:rsidRPr="00D963DC">
        <w:rPr>
          <w:rFonts w:ascii="Calibri" w:hAnsi="Calibri" w:cs="Calibri"/>
          <w:sz w:val="24"/>
        </w:rPr>
        <w:t xml:space="preserve">vyplynuly skutečnosti </w:t>
      </w:r>
      <w:r w:rsidR="00856D4A">
        <w:rPr>
          <w:rFonts w:ascii="Calibri" w:hAnsi="Calibri" w:cs="Calibri"/>
          <w:sz w:val="24"/>
        </w:rPr>
        <w:t>svědčící o možném riziku</w:t>
      </w:r>
      <w:r w:rsidRPr="00D963DC">
        <w:rPr>
          <w:rFonts w:ascii="Calibri" w:hAnsi="Calibri" w:cs="Calibri"/>
          <w:sz w:val="24"/>
        </w:rPr>
        <w:t xml:space="preserve"> nehospodárného vynakládání peněžních prostředků státu</w:t>
      </w:r>
      <w:r w:rsidR="00671212" w:rsidRPr="00D963DC">
        <w:rPr>
          <w:rFonts w:ascii="Calibri" w:hAnsi="Calibri" w:cs="Calibri"/>
          <w:sz w:val="24"/>
        </w:rPr>
        <w:t xml:space="preserve"> v případech, kdy </w:t>
      </w:r>
      <w:r w:rsidRPr="00D963DC">
        <w:rPr>
          <w:rFonts w:ascii="Calibri" w:hAnsi="Calibri" w:cs="Calibri"/>
          <w:sz w:val="24"/>
        </w:rPr>
        <w:t xml:space="preserve">jsou </w:t>
      </w:r>
      <w:r w:rsidR="00671212" w:rsidRPr="00D963DC">
        <w:rPr>
          <w:rFonts w:ascii="Calibri" w:hAnsi="Calibri" w:cs="Calibri"/>
          <w:sz w:val="24"/>
        </w:rPr>
        <w:t xml:space="preserve">orgánům státní správy </w:t>
      </w:r>
      <w:r w:rsidRPr="00D963DC">
        <w:rPr>
          <w:rFonts w:ascii="Calibri" w:hAnsi="Calibri" w:cs="Calibri"/>
          <w:sz w:val="24"/>
        </w:rPr>
        <w:t xml:space="preserve">při využívání služeb datových center </w:t>
      </w:r>
      <w:r w:rsidR="00856D4A" w:rsidRPr="00330B27">
        <w:rPr>
          <w:rFonts w:ascii="Calibri" w:hAnsi="Calibri" w:cs="Calibri"/>
          <w:sz w:val="24"/>
        </w:rPr>
        <w:t xml:space="preserve">prodávány </w:t>
      </w:r>
      <w:r w:rsidRPr="00D963DC">
        <w:rPr>
          <w:rFonts w:ascii="Calibri" w:hAnsi="Calibri" w:cs="Calibri"/>
          <w:sz w:val="24"/>
        </w:rPr>
        <w:t>služby zakoupené od státního podniku přes prostředníka – soukromou společnost.</w:t>
      </w:r>
    </w:p>
    <w:p w:rsidR="00152A3C" w:rsidRPr="00D963DC" w:rsidRDefault="00152A3C" w:rsidP="00D963DC">
      <w:pPr>
        <w:spacing w:after="0"/>
        <w:rPr>
          <w:rFonts w:ascii="Calibri" w:hAnsi="Calibri" w:cs="Calibri"/>
          <w:sz w:val="24"/>
        </w:rPr>
      </w:pPr>
    </w:p>
    <w:p w:rsidR="005B2E5A" w:rsidRDefault="004F7470" w:rsidP="00D963DC">
      <w:pPr>
        <w:spacing w:after="0"/>
        <w:rPr>
          <w:rFonts w:ascii="Calibri" w:hAnsi="Calibri" w:cs="Calibri"/>
          <w:sz w:val="24"/>
        </w:rPr>
      </w:pPr>
      <w:r w:rsidRPr="00D963DC">
        <w:rPr>
          <w:rFonts w:ascii="Calibri" w:hAnsi="Calibri" w:cs="Calibri"/>
          <w:b/>
          <w:sz w:val="24"/>
        </w:rPr>
        <w:t>Jedním z generálních dodavatelů výstavby datového centra se stala společnost, která se podílela na definování parametrů technologie datového centra</w:t>
      </w:r>
      <w:r w:rsidR="000D573D" w:rsidRPr="00D963DC">
        <w:rPr>
          <w:rFonts w:ascii="Calibri" w:hAnsi="Calibri" w:cs="Calibri"/>
          <w:b/>
          <w:sz w:val="24"/>
        </w:rPr>
        <w:t>.</w:t>
      </w:r>
      <w:r w:rsidR="000D573D" w:rsidRPr="00D963DC">
        <w:rPr>
          <w:rFonts w:ascii="Calibri" w:hAnsi="Calibri" w:cs="Calibri"/>
          <w:sz w:val="24"/>
        </w:rPr>
        <w:t xml:space="preserve"> Její nabídka, na </w:t>
      </w:r>
      <w:r w:rsidRPr="00D963DC">
        <w:rPr>
          <w:rFonts w:ascii="Calibri" w:hAnsi="Calibri" w:cs="Calibri"/>
          <w:sz w:val="24"/>
        </w:rPr>
        <w:t>základě které získala zakázku na výstavbu datového centra, jako jediná přesně odpovídala parametrům požadovaným v zadávací dokumentaci</w:t>
      </w:r>
      <w:r w:rsidR="009B58F3" w:rsidRPr="00D963DC">
        <w:rPr>
          <w:rFonts w:ascii="Calibri" w:hAnsi="Calibri" w:cs="Calibri"/>
          <w:sz w:val="24"/>
        </w:rPr>
        <w:t xml:space="preserve">, </w:t>
      </w:r>
      <w:r w:rsidR="00856D4A">
        <w:rPr>
          <w:rFonts w:ascii="Calibri" w:hAnsi="Calibri" w:cs="Calibri"/>
          <w:sz w:val="24"/>
        </w:rPr>
        <w:t xml:space="preserve">jež vycházela z podkladů zpracovaných touto </w:t>
      </w:r>
      <w:r w:rsidR="00856D4A">
        <w:rPr>
          <w:rFonts w:ascii="Calibri" w:hAnsi="Calibri" w:cs="Calibri"/>
          <w:sz w:val="24"/>
        </w:rPr>
        <w:lastRenderedPageBreak/>
        <w:t>společností</w:t>
      </w:r>
      <w:r w:rsidRPr="00D963DC">
        <w:rPr>
          <w:rFonts w:ascii="Calibri" w:hAnsi="Calibri" w:cs="Calibri"/>
          <w:sz w:val="24"/>
        </w:rPr>
        <w:t>.</w:t>
      </w:r>
      <w:r w:rsidR="008A3492" w:rsidRPr="00D963DC">
        <w:rPr>
          <w:rFonts w:ascii="Calibri" w:hAnsi="Calibri" w:cs="Calibri"/>
          <w:sz w:val="24"/>
        </w:rPr>
        <w:t xml:space="preserve"> </w:t>
      </w:r>
      <w:r w:rsidR="000D573D" w:rsidRPr="00D963DC">
        <w:rPr>
          <w:rFonts w:ascii="Calibri" w:hAnsi="Calibri" w:cs="Calibri"/>
          <w:sz w:val="24"/>
        </w:rPr>
        <w:t>Celkové náklady na </w:t>
      </w:r>
      <w:r w:rsidR="007147AC" w:rsidRPr="00D963DC">
        <w:rPr>
          <w:rFonts w:ascii="Calibri" w:hAnsi="Calibri" w:cs="Calibri"/>
          <w:sz w:val="24"/>
        </w:rPr>
        <w:t xml:space="preserve">výstavbu nového datového centra STC vč. zkušebního provozu </w:t>
      </w:r>
      <w:r w:rsidR="00007691" w:rsidRPr="00D963DC">
        <w:rPr>
          <w:rFonts w:ascii="Calibri" w:hAnsi="Calibri" w:cs="Calibri"/>
          <w:sz w:val="24"/>
        </w:rPr>
        <w:t xml:space="preserve">(386 mil. Kč) </w:t>
      </w:r>
      <w:r w:rsidR="00A5791A" w:rsidRPr="00D963DC">
        <w:rPr>
          <w:rFonts w:ascii="Calibri" w:hAnsi="Calibri" w:cs="Calibri"/>
          <w:sz w:val="24"/>
        </w:rPr>
        <w:t>a </w:t>
      </w:r>
      <w:r w:rsidR="007147AC" w:rsidRPr="00D963DC">
        <w:rPr>
          <w:rFonts w:ascii="Calibri" w:hAnsi="Calibri" w:cs="Calibri"/>
          <w:sz w:val="24"/>
        </w:rPr>
        <w:t xml:space="preserve">nákup pozemku v Zelenči vč. přípravné dokumentace </w:t>
      </w:r>
      <w:r w:rsidR="00856D4A">
        <w:rPr>
          <w:rFonts w:ascii="Calibri" w:hAnsi="Calibri" w:cs="Calibri"/>
          <w:sz w:val="24"/>
        </w:rPr>
        <w:t>pro</w:t>
      </w:r>
      <w:r w:rsidR="007147AC" w:rsidRPr="00D963DC">
        <w:rPr>
          <w:rFonts w:ascii="Calibri" w:hAnsi="Calibri" w:cs="Calibri"/>
          <w:sz w:val="24"/>
        </w:rPr>
        <w:t xml:space="preserve"> výstavbu záložního datového centra STC</w:t>
      </w:r>
      <w:r w:rsidR="00007691" w:rsidRPr="00D963DC">
        <w:rPr>
          <w:rFonts w:ascii="Calibri" w:hAnsi="Calibri" w:cs="Calibri"/>
          <w:sz w:val="24"/>
        </w:rPr>
        <w:t xml:space="preserve"> (63,3 mil</w:t>
      </w:r>
      <w:r w:rsidR="00856D4A">
        <w:rPr>
          <w:rFonts w:ascii="Calibri" w:hAnsi="Calibri" w:cs="Calibri"/>
          <w:sz w:val="24"/>
        </w:rPr>
        <w:t>.</w:t>
      </w:r>
      <w:r w:rsidR="00007691" w:rsidRPr="00D963DC">
        <w:rPr>
          <w:rFonts w:ascii="Calibri" w:hAnsi="Calibri" w:cs="Calibri"/>
          <w:sz w:val="24"/>
        </w:rPr>
        <w:t xml:space="preserve"> Kč)</w:t>
      </w:r>
      <w:r w:rsidR="007147AC" w:rsidRPr="00D963DC">
        <w:rPr>
          <w:rFonts w:ascii="Calibri" w:hAnsi="Calibri" w:cs="Calibri"/>
          <w:sz w:val="24"/>
        </w:rPr>
        <w:t xml:space="preserve"> byly ve výši 449,3 mil. Kč vč. DPH</w:t>
      </w:r>
      <w:r w:rsidR="00AD3EF0" w:rsidRPr="00D963DC">
        <w:rPr>
          <w:rFonts w:ascii="Calibri" w:hAnsi="Calibri" w:cs="Calibri"/>
          <w:sz w:val="24"/>
        </w:rPr>
        <w:t>.</w:t>
      </w:r>
    </w:p>
    <w:p w:rsidR="00152A3C" w:rsidRPr="00D963DC" w:rsidRDefault="00152A3C" w:rsidP="00D963DC">
      <w:pPr>
        <w:spacing w:after="0"/>
        <w:rPr>
          <w:rFonts w:ascii="Calibri" w:hAnsi="Calibri" w:cs="Calibri"/>
          <w:sz w:val="24"/>
        </w:rPr>
      </w:pPr>
    </w:p>
    <w:p w:rsidR="00A02AC9" w:rsidRDefault="002F30EC" w:rsidP="00D963DC">
      <w:pPr>
        <w:spacing w:after="0"/>
        <w:rPr>
          <w:rFonts w:ascii="Calibri" w:hAnsi="Calibri" w:cs="Calibri"/>
          <w:b/>
          <w:sz w:val="24"/>
        </w:rPr>
      </w:pPr>
      <w:r w:rsidRPr="00D963DC" w:rsidDel="009F080C">
        <w:rPr>
          <w:rFonts w:ascii="Calibri" w:hAnsi="Calibri" w:cs="Calibri"/>
          <w:b/>
          <w:sz w:val="24"/>
        </w:rPr>
        <w:t xml:space="preserve">Od zahájení provozu </w:t>
      </w:r>
      <w:r w:rsidR="005313AC" w:rsidRPr="00D963DC" w:rsidDel="009F080C">
        <w:rPr>
          <w:rFonts w:ascii="Calibri" w:hAnsi="Calibri" w:cs="Calibri"/>
          <w:b/>
          <w:sz w:val="24"/>
        </w:rPr>
        <w:t xml:space="preserve">(leden 2013) do konce kontrolní akce byla </w:t>
      </w:r>
      <w:r w:rsidRPr="00D963DC" w:rsidDel="009F080C">
        <w:rPr>
          <w:rFonts w:ascii="Calibri" w:hAnsi="Calibri" w:cs="Calibri"/>
          <w:b/>
          <w:sz w:val="24"/>
        </w:rPr>
        <w:t>kapacita</w:t>
      </w:r>
      <w:r w:rsidR="00856D4A" w:rsidRPr="00856D4A" w:rsidDel="009F080C">
        <w:rPr>
          <w:rFonts w:ascii="Calibri" w:hAnsi="Calibri" w:cs="Calibri"/>
          <w:b/>
          <w:sz w:val="24"/>
        </w:rPr>
        <w:t xml:space="preserve"> </w:t>
      </w:r>
      <w:r w:rsidR="00856D4A" w:rsidRPr="00330B27" w:rsidDel="009F080C">
        <w:rPr>
          <w:rFonts w:ascii="Calibri" w:hAnsi="Calibri" w:cs="Calibri"/>
          <w:b/>
          <w:sz w:val="24"/>
        </w:rPr>
        <w:t>nově vybudovaného datového centra STC</w:t>
      </w:r>
      <w:r w:rsidRPr="00D963DC" w:rsidDel="009F080C">
        <w:rPr>
          <w:rFonts w:ascii="Calibri" w:hAnsi="Calibri" w:cs="Calibri"/>
          <w:b/>
          <w:sz w:val="24"/>
        </w:rPr>
        <w:t xml:space="preserve"> využita </w:t>
      </w:r>
      <w:r w:rsidR="004B74D6" w:rsidRPr="00D963DC" w:rsidDel="009F080C">
        <w:rPr>
          <w:rFonts w:ascii="Calibri" w:hAnsi="Calibri" w:cs="Calibri"/>
          <w:b/>
          <w:sz w:val="24"/>
        </w:rPr>
        <w:t>pouze cca z 50 %.</w:t>
      </w:r>
      <w:r w:rsidR="00A02AC9" w:rsidRPr="00D963DC" w:rsidDel="009F080C">
        <w:rPr>
          <w:rFonts w:ascii="Calibri" w:hAnsi="Calibri" w:cs="Calibri"/>
          <w:b/>
          <w:sz w:val="24"/>
        </w:rPr>
        <w:t xml:space="preserve"> </w:t>
      </w:r>
    </w:p>
    <w:p w:rsidR="00152A3C" w:rsidRPr="00D963DC" w:rsidDel="009F080C" w:rsidRDefault="00152A3C" w:rsidP="00D963DC">
      <w:pPr>
        <w:spacing w:after="0"/>
        <w:rPr>
          <w:rFonts w:ascii="Calibri" w:hAnsi="Calibri" w:cs="Calibri"/>
          <w:b/>
          <w:sz w:val="24"/>
        </w:rPr>
      </w:pPr>
    </w:p>
    <w:p w:rsidR="00EC43E6" w:rsidRPr="00D963DC" w:rsidRDefault="00DA20DD" w:rsidP="00D963DC">
      <w:pPr>
        <w:spacing w:after="0"/>
        <w:rPr>
          <w:rFonts w:ascii="Calibri" w:hAnsi="Calibri" w:cs="Calibri"/>
          <w:b/>
          <w:sz w:val="24"/>
        </w:rPr>
      </w:pPr>
      <w:r w:rsidRPr="00D963DC">
        <w:rPr>
          <w:rFonts w:ascii="Calibri" w:hAnsi="Calibri" w:cs="Calibri"/>
          <w:b/>
          <w:sz w:val="24"/>
        </w:rPr>
        <w:t xml:space="preserve">Na zajištění řešení pro poskytování služby </w:t>
      </w:r>
      <w:proofErr w:type="spellStart"/>
      <w:r w:rsidRPr="00D963DC">
        <w:rPr>
          <w:rFonts w:ascii="Calibri" w:hAnsi="Calibri" w:cs="Calibri"/>
          <w:b/>
          <w:sz w:val="24"/>
        </w:rPr>
        <w:t>Service</w:t>
      </w:r>
      <w:proofErr w:type="spellEnd"/>
      <w:r w:rsidRPr="00D963DC">
        <w:rPr>
          <w:rFonts w:ascii="Calibri" w:hAnsi="Calibri" w:cs="Calibri"/>
          <w:b/>
          <w:sz w:val="24"/>
        </w:rPr>
        <w:t xml:space="preserve"> </w:t>
      </w:r>
      <w:proofErr w:type="spellStart"/>
      <w:r w:rsidRPr="00D963DC">
        <w:rPr>
          <w:rFonts w:ascii="Calibri" w:hAnsi="Calibri" w:cs="Calibri"/>
          <w:b/>
          <w:sz w:val="24"/>
        </w:rPr>
        <w:t>Desk</w:t>
      </w:r>
      <w:proofErr w:type="spellEnd"/>
      <w:r w:rsidRPr="00D963DC">
        <w:rPr>
          <w:rFonts w:ascii="Calibri" w:hAnsi="Calibri" w:cs="Calibri"/>
          <w:b/>
          <w:sz w:val="24"/>
        </w:rPr>
        <w:t xml:space="preserve"> a provozu státní pokladny měly významný podíl subdodavatelské společnosti. </w:t>
      </w:r>
      <w:r w:rsidR="005313AC" w:rsidRPr="00D963DC">
        <w:rPr>
          <w:rFonts w:ascii="Calibri" w:hAnsi="Calibri" w:cs="Calibri"/>
          <w:sz w:val="24"/>
        </w:rPr>
        <w:t xml:space="preserve">MF uzavřelo </w:t>
      </w:r>
      <w:r w:rsidR="00305A81" w:rsidRPr="00D963DC">
        <w:rPr>
          <w:rFonts w:ascii="Calibri" w:hAnsi="Calibri" w:cs="Calibri"/>
          <w:sz w:val="24"/>
        </w:rPr>
        <w:t xml:space="preserve">bez soutěže </w:t>
      </w:r>
      <w:r w:rsidR="00E128B7" w:rsidRPr="00D963DC">
        <w:rPr>
          <w:rFonts w:ascii="Calibri" w:hAnsi="Calibri" w:cs="Calibri"/>
          <w:sz w:val="24"/>
        </w:rPr>
        <w:t>dvě smlouvy v </w:t>
      </w:r>
      <w:r w:rsidR="005313AC" w:rsidRPr="00D963DC">
        <w:rPr>
          <w:rFonts w:ascii="Calibri" w:hAnsi="Calibri" w:cs="Calibri"/>
          <w:sz w:val="24"/>
        </w:rPr>
        <w:t>režimu utajení s využitím výjimky ze zákona o veřejných zakázkách</w:t>
      </w:r>
      <w:r w:rsidR="00152A3C">
        <w:rPr>
          <w:rFonts w:ascii="Calibri" w:hAnsi="Calibri" w:cs="Calibri"/>
          <w:sz w:val="24"/>
        </w:rPr>
        <w:t>:</w:t>
      </w:r>
      <w:r w:rsidR="005313AC" w:rsidRPr="00D963DC">
        <w:rPr>
          <w:rFonts w:ascii="Calibri" w:hAnsi="Calibri" w:cs="Calibri"/>
          <w:b/>
          <w:sz w:val="24"/>
        </w:rPr>
        <w:t xml:space="preserve"> </w:t>
      </w:r>
    </w:p>
    <w:p w:rsidR="00DF29A6" w:rsidRPr="00A5791A" w:rsidRDefault="005313AC" w:rsidP="00A5791A">
      <w:pPr>
        <w:pStyle w:val="Odstavecseseznamem"/>
        <w:numPr>
          <w:ilvl w:val="0"/>
          <w:numId w:val="41"/>
        </w:numPr>
        <w:spacing w:after="0"/>
        <w:ind w:left="567" w:hanging="283"/>
        <w:rPr>
          <w:rFonts w:ascii="Calibri" w:hAnsi="Calibri" w:cs="Calibri"/>
          <w:b/>
          <w:sz w:val="24"/>
        </w:rPr>
      </w:pPr>
      <w:r w:rsidRPr="00A5791A">
        <w:rPr>
          <w:rFonts w:ascii="Calibri" w:hAnsi="Calibri" w:cs="Calibri"/>
          <w:sz w:val="24"/>
        </w:rPr>
        <w:t xml:space="preserve">U zakázky na poskytování služby </w:t>
      </w:r>
      <w:proofErr w:type="spellStart"/>
      <w:r w:rsidRPr="00A5791A">
        <w:rPr>
          <w:rFonts w:ascii="Calibri" w:hAnsi="Calibri" w:cs="Calibri"/>
          <w:sz w:val="24"/>
        </w:rPr>
        <w:t>Service</w:t>
      </w:r>
      <w:proofErr w:type="spellEnd"/>
      <w:r w:rsidRPr="00A5791A">
        <w:rPr>
          <w:rFonts w:ascii="Calibri" w:hAnsi="Calibri" w:cs="Calibri"/>
          <w:sz w:val="24"/>
        </w:rPr>
        <w:t xml:space="preserve"> </w:t>
      </w:r>
      <w:proofErr w:type="spellStart"/>
      <w:r w:rsidRPr="00A5791A">
        <w:rPr>
          <w:rFonts w:ascii="Calibri" w:hAnsi="Calibri" w:cs="Calibri"/>
          <w:sz w:val="24"/>
        </w:rPr>
        <w:t>Desk</w:t>
      </w:r>
      <w:proofErr w:type="spellEnd"/>
      <w:r w:rsidRPr="00A5791A">
        <w:rPr>
          <w:rFonts w:ascii="Calibri" w:hAnsi="Calibri" w:cs="Calibri"/>
          <w:sz w:val="24"/>
        </w:rPr>
        <w:t xml:space="preserve"> </w:t>
      </w:r>
      <w:r w:rsidRPr="00A5791A">
        <w:rPr>
          <w:rFonts w:ascii="Calibri" w:hAnsi="Calibri" w:cs="Calibri"/>
          <w:b/>
          <w:sz w:val="24"/>
        </w:rPr>
        <w:t>vyt</w:t>
      </w:r>
      <w:r w:rsidR="000D573D" w:rsidRPr="00A5791A">
        <w:rPr>
          <w:rFonts w:ascii="Calibri" w:hAnsi="Calibri" w:cs="Calibri"/>
          <w:b/>
          <w:sz w:val="24"/>
        </w:rPr>
        <w:t>vořila zadávací dokumentaci vč. </w:t>
      </w:r>
      <w:r w:rsidRPr="00A5791A">
        <w:rPr>
          <w:rFonts w:ascii="Calibri" w:hAnsi="Calibri" w:cs="Calibri"/>
          <w:b/>
          <w:sz w:val="24"/>
        </w:rPr>
        <w:t xml:space="preserve">její utajované části společnost, která se následně </w:t>
      </w:r>
      <w:r w:rsidR="00C74C57" w:rsidRPr="00A5791A">
        <w:rPr>
          <w:rFonts w:ascii="Calibri" w:hAnsi="Calibri" w:cs="Calibri"/>
          <w:b/>
          <w:sz w:val="24"/>
        </w:rPr>
        <w:t xml:space="preserve">bez soutěže </w:t>
      </w:r>
      <w:r w:rsidRPr="00A5791A">
        <w:rPr>
          <w:rFonts w:ascii="Calibri" w:hAnsi="Calibri" w:cs="Calibri"/>
          <w:b/>
          <w:sz w:val="24"/>
        </w:rPr>
        <w:t>stala sub</w:t>
      </w:r>
      <w:r w:rsidR="00D33D9F" w:rsidRPr="00A5791A">
        <w:rPr>
          <w:rFonts w:ascii="Calibri" w:hAnsi="Calibri" w:cs="Calibri"/>
          <w:b/>
          <w:sz w:val="24"/>
        </w:rPr>
        <w:t>dodavatelem</w:t>
      </w:r>
      <w:r w:rsidR="00D33D9F" w:rsidRPr="00A5791A">
        <w:rPr>
          <w:rFonts w:ascii="Calibri" w:hAnsi="Calibri" w:cs="Calibri"/>
          <w:sz w:val="24"/>
        </w:rPr>
        <w:t xml:space="preserve"> této služby pro STC</w:t>
      </w:r>
      <w:r w:rsidR="00075EB2">
        <w:rPr>
          <w:rFonts w:ascii="Calibri" w:hAnsi="Calibri" w:cs="Calibri"/>
          <w:sz w:val="24"/>
        </w:rPr>
        <w:t>,</w:t>
      </w:r>
      <w:r w:rsidR="00D33D9F" w:rsidRPr="00A5791A">
        <w:rPr>
          <w:rFonts w:ascii="Calibri" w:hAnsi="Calibri" w:cs="Calibri"/>
          <w:sz w:val="24"/>
        </w:rPr>
        <w:t xml:space="preserve"> </w:t>
      </w:r>
      <w:r w:rsidR="00C74C57" w:rsidRPr="00A5791A">
        <w:rPr>
          <w:rFonts w:ascii="Calibri" w:hAnsi="Calibri" w:cs="Calibri"/>
          <w:sz w:val="24"/>
        </w:rPr>
        <w:t>a STC j</w:t>
      </w:r>
      <w:r w:rsidR="00075EB2">
        <w:rPr>
          <w:rFonts w:ascii="Calibri" w:hAnsi="Calibri" w:cs="Calibri"/>
          <w:sz w:val="24"/>
        </w:rPr>
        <w:t>í</w:t>
      </w:r>
      <w:r w:rsidR="00C74C57" w:rsidRPr="00A5791A">
        <w:rPr>
          <w:rFonts w:ascii="Calibri" w:hAnsi="Calibri" w:cs="Calibri"/>
          <w:sz w:val="24"/>
        </w:rPr>
        <w:t xml:space="preserve"> zaplatila 45 % svých souvisejících příjmů od MF (</w:t>
      </w:r>
      <w:r w:rsidR="00DF29A6" w:rsidRPr="00A5791A">
        <w:rPr>
          <w:rFonts w:ascii="Calibri" w:hAnsi="Calibri" w:cs="Calibri"/>
          <w:sz w:val="24"/>
        </w:rPr>
        <w:t xml:space="preserve">56,4 mil. Kč </w:t>
      </w:r>
      <w:r w:rsidR="00305A81" w:rsidRPr="00A5791A">
        <w:rPr>
          <w:rFonts w:ascii="Calibri" w:hAnsi="Calibri" w:cs="Calibri"/>
          <w:sz w:val="24"/>
        </w:rPr>
        <w:t>k </w:t>
      </w:r>
      <w:r w:rsidR="005178AA" w:rsidRPr="00A5791A">
        <w:rPr>
          <w:rFonts w:ascii="Calibri" w:hAnsi="Calibri" w:cs="Calibri"/>
          <w:sz w:val="24"/>
        </w:rPr>
        <w:t>září 2014</w:t>
      </w:r>
      <w:r w:rsidR="00C74C57" w:rsidRPr="00A5791A">
        <w:rPr>
          <w:rFonts w:ascii="Calibri" w:hAnsi="Calibri" w:cs="Calibri"/>
          <w:sz w:val="24"/>
        </w:rPr>
        <w:t xml:space="preserve">). </w:t>
      </w:r>
    </w:p>
    <w:p w:rsidR="00EC43E6" w:rsidRPr="00A5791A" w:rsidRDefault="00C74C57" w:rsidP="00A5791A">
      <w:pPr>
        <w:pStyle w:val="Odstavecseseznamem"/>
        <w:numPr>
          <w:ilvl w:val="0"/>
          <w:numId w:val="41"/>
        </w:numPr>
        <w:spacing w:after="0"/>
        <w:ind w:left="567" w:hanging="283"/>
        <w:rPr>
          <w:rFonts w:ascii="Calibri" w:hAnsi="Calibri" w:cs="Calibri"/>
          <w:b/>
          <w:sz w:val="24"/>
        </w:rPr>
      </w:pPr>
      <w:r w:rsidRPr="00A5791A">
        <w:rPr>
          <w:rFonts w:ascii="Calibri" w:hAnsi="Calibri" w:cs="Calibri"/>
          <w:sz w:val="24"/>
        </w:rPr>
        <w:t xml:space="preserve">U zakázky na provoz státní pokladny se též </w:t>
      </w:r>
      <w:r w:rsidRPr="00A5791A">
        <w:rPr>
          <w:rFonts w:ascii="Calibri" w:hAnsi="Calibri" w:cs="Calibri"/>
          <w:b/>
          <w:sz w:val="24"/>
        </w:rPr>
        <w:t xml:space="preserve">bez soutěže stala subdodavatelem STC </w:t>
      </w:r>
      <w:r w:rsidR="005313AC" w:rsidRPr="00A5791A">
        <w:rPr>
          <w:rFonts w:ascii="Calibri" w:hAnsi="Calibri" w:cs="Calibri"/>
          <w:b/>
          <w:sz w:val="24"/>
        </w:rPr>
        <w:t xml:space="preserve">společnost, která MF dodala </w:t>
      </w:r>
      <w:r w:rsidR="005313AC" w:rsidRPr="00D963DC">
        <w:rPr>
          <w:rFonts w:ascii="Calibri" w:hAnsi="Calibri" w:cs="Calibri"/>
          <w:b/>
          <w:i/>
          <w:sz w:val="24"/>
        </w:rPr>
        <w:t>Integrovaný informační systém Státní pokladny</w:t>
      </w:r>
      <w:r w:rsidR="005313AC" w:rsidRPr="00A5791A">
        <w:rPr>
          <w:rFonts w:ascii="Calibri" w:hAnsi="Calibri" w:cs="Calibri"/>
          <w:b/>
          <w:sz w:val="24"/>
        </w:rPr>
        <w:t xml:space="preserve"> na</w:t>
      </w:r>
      <w:r w:rsidR="00075EB2">
        <w:rPr>
          <w:rFonts w:ascii="Calibri" w:hAnsi="Calibri" w:cs="Calibri"/>
          <w:b/>
          <w:sz w:val="24"/>
        </w:rPr>
        <w:t xml:space="preserve"> </w:t>
      </w:r>
      <w:r w:rsidR="005313AC" w:rsidRPr="00A5791A">
        <w:rPr>
          <w:rFonts w:ascii="Calibri" w:hAnsi="Calibri" w:cs="Calibri"/>
          <w:b/>
          <w:sz w:val="24"/>
        </w:rPr>
        <w:t>zákla</w:t>
      </w:r>
      <w:r w:rsidR="00EA696E" w:rsidRPr="00A5791A">
        <w:rPr>
          <w:rFonts w:ascii="Calibri" w:hAnsi="Calibri" w:cs="Calibri"/>
          <w:b/>
          <w:sz w:val="24"/>
        </w:rPr>
        <w:t>dě otevřeného zadávacího řízení</w:t>
      </w:r>
      <w:r w:rsidR="00EA696E" w:rsidRPr="00A5791A">
        <w:rPr>
          <w:rFonts w:ascii="Calibri" w:hAnsi="Calibri" w:cs="Calibri"/>
          <w:sz w:val="24"/>
        </w:rPr>
        <w:t xml:space="preserve"> (výdaje za předm</w:t>
      </w:r>
      <w:r w:rsidR="00E128B7" w:rsidRPr="00A5791A">
        <w:rPr>
          <w:rFonts w:ascii="Calibri" w:hAnsi="Calibri" w:cs="Calibri"/>
          <w:sz w:val="24"/>
        </w:rPr>
        <w:t>ětnou dodávku v období let 2008–</w:t>
      </w:r>
      <w:r w:rsidR="00EA696E" w:rsidRPr="00A5791A">
        <w:rPr>
          <w:rFonts w:ascii="Calibri" w:hAnsi="Calibri" w:cs="Calibri"/>
          <w:sz w:val="24"/>
        </w:rPr>
        <w:t xml:space="preserve">2011 </w:t>
      </w:r>
      <w:r w:rsidR="005178AA" w:rsidRPr="00A5791A">
        <w:rPr>
          <w:rFonts w:ascii="Calibri" w:hAnsi="Calibri" w:cs="Calibri"/>
          <w:sz w:val="24"/>
        </w:rPr>
        <w:t xml:space="preserve">byly ve výši </w:t>
      </w:r>
      <w:r w:rsidR="00EA696E" w:rsidRPr="00A5791A">
        <w:rPr>
          <w:rFonts w:ascii="Calibri" w:hAnsi="Calibri" w:cs="Calibri"/>
          <w:sz w:val="24"/>
        </w:rPr>
        <w:t>2,25 mld. Kč, viz kontrolní akce</w:t>
      </w:r>
      <w:r w:rsidR="00075EB2">
        <w:rPr>
          <w:rFonts w:ascii="Calibri" w:hAnsi="Calibri" w:cs="Calibri"/>
          <w:sz w:val="24"/>
        </w:rPr>
        <w:t xml:space="preserve"> NKÚ</w:t>
      </w:r>
      <w:r w:rsidR="00EA696E" w:rsidRPr="00A5791A">
        <w:rPr>
          <w:rFonts w:ascii="Calibri" w:hAnsi="Calibri" w:cs="Calibri"/>
          <w:sz w:val="24"/>
        </w:rPr>
        <w:t xml:space="preserve"> č.</w:t>
      </w:r>
      <w:r w:rsidR="00AC5F70" w:rsidRPr="00A5791A">
        <w:rPr>
          <w:rFonts w:ascii="Calibri" w:hAnsi="Calibri" w:cs="Calibri"/>
          <w:sz w:val="24"/>
        </w:rPr>
        <w:t xml:space="preserve"> </w:t>
      </w:r>
      <w:r w:rsidR="00EA696E" w:rsidRPr="00A5791A">
        <w:rPr>
          <w:rFonts w:ascii="Calibri" w:hAnsi="Calibri" w:cs="Calibri"/>
          <w:sz w:val="24"/>
        </w:rPr>
        <w:t>12/09)</w:t>
      </w:r>
      <w:r w:rsidR="00075EB2">
        <w:rPr>
          <w:rFonts w:ascii="Calibri" w:hAnsi="Calibri" w:cs="Calibri"/>
          <w:sz w:val="24"/>
        </w:rPr>
        <w:t>,</w:t>
      </w:r>
      <w:r w:rsidR="00EA696E" w:rsidRPr="00A5791A">
        <w:rPr>
          <w:rFonts w:ascii="Calibri" w:hAnsi="Calibri" w:cs="Calibri"/>
          <w:sz w:val="24"/>
        </w:rPr>
        <w:t xml:space="preserve"> a STC jí </w:t>
      </w:r>
      <w:r w:rsidR="00DF29A6" w:rsidRPr="00A5791A">
        <w:rPr>
          <w:rFonts w:ascii="Calibri" w:hAnsi="Calibri" w:cs="Calibri"/>
          <w:sz w:val="24"/>
        </w:rPr>
        <w:t xml:space="preserve">pro zajištění provozu </w:t>
      </w:r>
      <w:r w:rsidR="00075EB2">
        <w:rPr>
          <w:rFonts w:ascii="Calibri" w:hAnsi="Calibri" w:cs="Calibri"/>
          <w:sz w:val="24"/>
        </w:rPr>
        <w:t>s</w:t>
      </w:r>
      <w:r w:rsidR="00DF29A6" w:rsidRPr="00A5791A">
        <w:rPr>
          <w:rFonts w:ascii="Calibri" w:hAnsi="Calibri" w:cs="Calibri"/>
          <w:sz w:val="24"/>
        </w:rPr>
        <w:t xml:space="preserve">tátní pokladny </w:t>
      </w:r>
      <w:r w:rsidR="00EA696E" w:rsidRPr="00A5791A">
        <w:rPr>
          <w:rFonts w:ascii="Calibri" w:hAnsi="Calibri" w:cs="Calibri"/>
          <w:sz w:val="24"/>
        </w:rPr>
        <w:t>zaplatila 70 % svých příjmů od MF (</w:t>
      </w:r>
      <w:r w:rsidR="00AC5F70" w:rsidRPr="00A5791A">
        <w:rPr>
          <w:rFonts w:ascii="Calibri" w:hAnsi="Calibri" w:cs="Calibri"/>
          <w:sz w:val="24"/>
        </w:rPr>
        <w:t xml:space="preserve">tj. dalších </w:t>
      </w:r>
      <w:r w:rsidR="00DF29A6" w:rsidRPr="00A5791A">
        <w:rPr>
          <w:rFonts w:ascii="Calibri" w:hAnsi="Calibri" w:cs="Calibri"/>
          <w:sz w:val="24"/>
        </w:rPr>
        <w:t xml:space="preserve">703,5 mil. Kč </w:t>
      </w:r>
      <w:r w:rsidR="00305A81" w:rsidRPr="00A5791A">
        <w:rPr>
          <w:rFonts w:ascii="Calibri" w:hAnsi="Calibri" w:cs="Calibri"/>
          <w:sz w:val="24"/>
        </w:rPr>
        <w:t>k </w:t>
      </w:r>
      <w:r w:rsidR="005178AA" w:rsidRPr="00A5791A">
        <w:rPr>
          <w:rFonts w:ascii="Calibri" w:hAnsi="Calibri" w:cs="Calibri"/>
          <w:sz w:val="24"/>
        </w:rPr>
        <w:t>září 2014</w:t>
      </w:r>
      <w:r w:rsidR="00EA696E" w:rsidRPr="00A5791A">
        <w:rPr>
          <w:rFonts w:ascii="Calibri" w:hAnsi="Calibri" w:cs="Calibri"/>
          <w:sz w:val="24"/>
        </w:rPr>
        <w:t>).</w:t>
      </w:r>
      <w:r w:rsidR="00305A81" w:rsidRPr="00A5791A">
        <w:rPr>
          <w:rFonts w:ascii="Calibri" w:hAnsi="Calibri" w:cs="Calibri"/>
          <w:sz w:val="24"/>
        </w:rPr>
        <w:t xml:space="preserve"> </w:t>
      </w:r>
    </w:p>
    <w:p w:rsidR="00152A3C" w:rsidRDefault="00152A3C" w:rsidP="00D963DC">
      <w:pPr>
        <w:spacing w:after="0"/>
        <w:rPr>
          <w:rFonts w:ascii="Calibri" w:hAnsi="Calibri" w:cs="Calibri"/>
          <w:b/>
          <w:sz w:val="24"/>
        </w:rPr>
      </w:pPr>
    </w:p>
    <w:p w:rsidR="00FD35A5" w:rsidRDefault="00305A81" w:rsidP="00D963DC">
      <w:pPr>
        <w:spacing w:after="0"/>
        <w:rPr>
          <w:rFonts w:ascii="Calibri" w:eastAsiaTheme="minorHAnsi" w:hAnsi="Calibri" w:cs="Calibri"/>
          <w:sz w:val="24"/>
        </w:rPr>
      </w:pPr>
      <w:r w:rsidRPr="00F43E2F">
        <w:rPr>
          <w:rFonts w:ascii="Calibri" w:hAnsi="Calibri" w:cs="Calibri"/>
          <w:b/>
          <w:sz w:val="24"/>
        </w:rPr>
        <w:t>STC tak dosud vyplatila 760 mil. Kč společnostem, jimž</w:t>
      </w:r>
      <w:r w:rsidR="00075EB2" w:rsidRPr="00075EB2">
        <w:rPr>
          <w:rFonts w:ascii="Calibri" w:hAnsi="Calibri" w:cs="Calibri"/>
          <w:b/>
          <w:sz w:val="24"/>
        </w:rPr>
        <w:t xml:space="preserve"> </w:t>
      </w:r>
      <w:r w:rsidR="00075EB2" w:rsidRPr="00F43E2F">
        <w:rPr>
          <w:rFonts w:ascii="Calibri" w:hAnsi="Calibri" w:cs="Calibri"/>
          <w:b/>
          <w:sz w:val="24"/>
        </w:rPr>
        <w:t>v režimu utajení</w:t>
      </w:r>
      <w:r w:rsidRPr="00F43E2F">
        <w:rPr>
          <w:rFonts w:ascii="Calibri" w:hAnsi="Calibri" w:cs="Calibri"/>
          <w:b/>
          <w:sz w:val="24"/>
        </w:rPr>
        <w:t xml:space="preserve"> zadala </w:t>
      </w:r>
      <w:r w:rsidR="00007691" w:rsidRPr="00F43E2F">
        <w:rPr>
          <w:rFonts w:ascii="Calibri" w:hAnsi="Calibri" w:cs="Calibri"/>
          <w:b/>
          <w:sz w:val="24"/>
        </w:rPr>
        <w:t xml:space="preserve">veřejné </w:t>
      </w:r>
      <w:r w:rsidRPr="00F43E2F">
        <w:rPr>
          <w:rFonts w:ascii="Calibri" w:hAnsi="Calibri" w:cs="Calibri"/>
          <w:b/>
          <w:sz w:val="24"/>
        </w:rPr>
        <w:t xml:space="preserve">zakázky bez soutěže. </w:t>
      </w:r>
      <w:r w:rsidR="003946A1" w:rsidRPr="00F43E2F">
        <w:rPr>
          <w:rFonts w:ascii="Calibri" w:hAnsi="Calibri" w:cs="Calibri"/>
          <w:sz w:val="24"/>
        </w:rPr>
        <w:t>O</w:t>
      </w:r>
      <w:r w:rsidR="00B368B3" w:rsidRPr="00F43E2F">
        <w:rPr>
          <w:rFonts w:ascii="Calibri" w:hAnsi="Calibri" w:cs="Calibri"/>
          <w:sz w:val="24"/>
        </w:rPr>
        <w:t xml:space="preserve">d roku 2012 je zadavatel povinen </w:t>
      </w:r>
      <w:r w:rsidR="00B368B3" w:rsidRPr="00F43E2F">
        <w:rPr>
          <w:rFonts w:ascii="Calibri" w:eastAsiaTheme="minorHAnsi" w:hAnsi="Calibri" w:cs="Calibri"/>
          <w:sz w:val="24"/>
        </w:rPr>
        <w:t>písemně ohlásit Národnímu bezpečnostnímu úřadu záměr zadat zakázku</w:t>
      </w:r>
      <w:r w:rsidR="00075EB2">
        <w:rPr>
          <w:rFonts w:ascii="Calibri" w:eastAsiaTheme="minorHAnsi" w:hAnsi="Calibri" w:cs="Calibri"/>
          <w:sz w:val="24"/>
        </w:rPr>
        <w:t xml:space="preserve"> v režimu utajení</w:t>
      </w:r>
      <w:r w:rsidR="00B368B3" w:rsidRPr="00F43E2F">
        <w:rPr>
          <w:rFonts w:ascii="Calibri" w:eastAsiaTheme="minorHAnsi" w:hAnsi="Calibri" w:cs="Calibri"/>
          <w:sz w:val="24"/>
        </w:rPr>
        <w:t xml:space="preserve"> z důvodu ochrany utajovaných informací</w:t>
      </w:r>
      <w:r w:rsidR="003946A1" w:rsidRPr="00F43E2F">
        <w:rPr>
          <w:rFonts w:ascii="Calibri" w:eastAsiaTheme="minorHAnsi" w:hAnsi="Calibri" w:cs="Calibri"/>
          <w:sz w:val="24"/>
        </w:rPr>
        <w:t>.</w:t>
      </w:r>
      <w:r w:rsidR="00EB0C73" w:rsidRPr="00F43E2F">
        <w:rPr>
          <w:rFonts w:ascii="Calibri" w:eastAsiaTheme="minorHAnsi" w:hAnsi="Calibri" w:cs="Calibri"/>
          <w:sz w:val="24"/>
        </w:rPr>
        <w:t xml:space="preserve"> </w:t>
      </w:r>
      <w:r w:rsidR="00075EB2">
        <w:rPr>
          <w:rFonts w:ascii="Calibri" w:eastAsiaTheme="minorHAnsi" w:hAnsi="Calibri" w:cs="Calibri"/>
          <w:sz w:val="24"/>
        </w:rPr>
        <w:t>Výše uvedené</w:t>
      </w:r>
      <w:r w:rsidR="003946A1" w:rsidRPr="00F43E2F">
        <w:rPr>
          <w:rFonts w:ascii="Calibri" w:eastAsiaTheme="minorHAnsi" w:hAnsi="Calibri" w:cs="Calibri"/>
          <w:sz w:val="24"/>
        </w:rPr>
        <w:t xml:space="preserve"> zakázky</w:t>
      </w:r>
      <w:r w:rsidR="00B45DD8" w:rsidRPr="00F43E2F">
        <w:rPr>
          <w:rFonts w:ascii="Calibri" w:eastAsiaTheme="minorHAnsi" w:hAnsi="Calibri" w:cs="Calibri"/>
          <w:sz w:val="24"/>
        </w:rPr>
        <w:t xml:space="preserve">, </w:t>
      </w:r>
      <w:r w:rsidR="003946A1" w:rsidRPr="00F43E2F">
        <w:rPr>
          <w:rFonts w:ascii="Calibri" w:eastAsiaTheme="minorHAnsi" w:hAnsi="Calibri" w:cs="Calibri"/>
          <w:sz w:val="24"/>
        </w:rPr>
        <w:t>které byly uzavřeny</w:t>
      </w:r>
      <w:r w:rsidR="00B45DD8" w:rsidRPr="00F43E2F">
        <w:rPr>
          <w:rFonts w:ascii="Calibri" w:eastAsiaTheme="minorHAnsi" w:hAnsi="Calibri" w:cs="Calibri"/>
          <w:sz w:val="24"/>
        </w:rPr>
        <w:t xml:space="preserve"> na dobu neurčitou, </w:t>
      </w:r>
      <w:r w:rsidR="003946A1" w:rsidRPr="00F43E2F">
        <w:rPr>
          <w:rFonts w:ascii="Calibri" w:eastAsiaTheme="minorHAnsi" w:hAnsi="Calibri" w:cs="Calibri"/>
          <w:sz w:val="24"/>
        </w:rPr>
        <w:t>byly zadány</w:t>
      </w:r>
      <w:r w:rsidR="00B45DD8" w:rsidRPr="00F43E2F">
        <w:rPr>
          <w:rFonts w:ascii="Calibri" w:eastAsiaTheme="minorHAnsi" w:hAnsi="Calibri" w:cs="Calibri"/>
          <w:sz w:val="24"/>
        </w:rPr>
        <w:t xml:space="preserve"> před platností této novely </w:t>
      </w:r>
      <w:r w:rsidR="00A5791A">
        <w:rPr>
          <w:rFonts w:ascii="Calibri" w:eastAsiaTheme="minorHAnsi" w:hAnsi="Calibri" w:cs="Calibri"/>
          <w:sz w:val="24"/>
        </w:rPr>
        <w:t>a </w:t>
      </w:r>
      <w:r w:rsidR="00FD35A5" w:rsidRPr="00F43E2F">
        <w:rPr>
          <w:rFonts w:ascii="Calibri" w:eastAsiaTheme="minorHAnsi" w:hAnsi="Calibri" w:cs="Calibri"/>
          <w:sz w:val="24"/>
        </w:rPr>
        <w:t xml:space="preserve">právní předpisy nestanovují Národnímu bezpečnostnímu úřadu povinnost zpětně prověřit odůvodněnost utajení </w:t>
      </w:r>
      <w:r w:rsidR="000D1344" w:rsidRPr="00F43E2F">
        <w:rPr>
          <w:rFonts w:ascii="Calibri" w:eastAsiaTheme="minorHAnsi" w:hAnsi="Calibri" w:cs="Calibri"/>
          <w:sz w:val="24"/>
        </w:rPr>
        <w:t>informací</w:t>
      </w:r>
      <w:r w:rsidR="00FD35A5" w:rsidRPr="00F43E2F">
        <w:rPr>
          <w:rFonts w:ascii="Calibri" w:eastAsiaTheme="minorHAnsi" w:hAnsi="Calibri" w:cs="Calibri"/>
          <w:sz w:val="24"/>
        </w:rPr>
        <w:t xml:space="preserve">, na základě kterých byla </w:t>
      </w:r>
      <w:r w:rsidR="00AC5F70" w:rsidRPr="00F43E2F">
        <w:rPr>
          <w:rFonts w:ascii="Calibri" w:eastAsiaTheme="minorHAnsi" w:hAnsi="Calibri" w:cs="Calibri"/>
          <w:sz w:val="24"/>
        </w:rPr>
        <w:t>zakázka zadána v režimu utajení</w:t>
      </w:r>
      <w:r w:rsidR="00FD35A5" w:rsidRPr="00F43E2F">
        <w:rPr>
          <w:rFonts w:ascii="Calibri" w:eastAsiaTheme="minorHAnsi" w:hAnsi="Calibri" w:cs="Calibri"/>
          <w:sz w:val="24"/>
        </w:rPr>
        <w:t>.</w:t>
      </w:r>
    </w:p>
    <w:p w:rsidR="00152A3C" w:rsidRPr="00F43E2F" w:rsidRDefault="00152A3C" w:rsidP="00D963DC">
      <w:pPr>
        <w:spacing w:after="0"/>
        <w:rPr>
          <w:rFonts w:ascii="Calibri" w:eastAsiaTheme="minorHAnsi" w:hAnsi="Calibri" w:cs="Calibri"/>
          <w:sz w:val="24"/>
        </w:rPr>
      </w:pPr>
    </w:p>
    <w:p w:rsidR="00D61B73" w:rsidRDefault="00286C6F" w:rsidP="00D963DC">
      <w:pPr>
        <w:spacing w:after="0"/>
        <w:rPr>
          <w:rFonts w:ascii="Calibri" w:eastAsiaTheme="minorHAnsi" w:hAnsi="Calibri" w:cs="Calibri"/>
          <w:sz w:val="24"/>
        </w:rPr>
      </w:pPr>
      <w:r w:rsidRPr="00D963DC">
        <w:rPr>
          <w:rFonts w:ascii="Calibri" w:hAnsi="Calibri" w:cs="Calibri"/>
          <w:b/>
          <w:sz w:val="24"/>
        </w:rPr>
        <w:t xml:space="preserve">MF </w:t>
      </w:r>
      <w:r w:rsidR="001879C1" w:rsidRPr="00D963DC">
        <w:rPr>
          <w:rFonts w:ascii="Calibri" w:hAnsi="Calibri" w:cs="Calibri"/>
          <w:b/>
          <w:sz w:val="24"/>
        </w:rPr>
        <w:t xml:space="preserve">u </w:t>
      </w:r>
      <w:r w:rsidR="00F846CF" w:rsidRPr="00D963DC">
        <w:rPr>
          <w:rFonts w:ascii="Calibri" w:hAnsi="Calibri" w:cs="Calibri"/>
          <w:b/>
          <w:sz w:val="24"/>
        </w:rPr>
        <w:t>tří veřejných</w:t>
      </w:r>
      <w:r w:rsidR="001879C1" w:rsidRPr="00D963DC">
        <w:rPr>
          <w:rFonts w:ascii="Calibri" w:hAnsi="Calibri" w:cs="Calibri"/>
          <w:b/>
          <w:sz w:val="24"/>
        </w:rPr>
        <w:t xml:space="preserve"> zakázek s obdobným plněním </w:t>
      </w:r>
      <w:r w:rsidR="00A60DA2" w:rsidRPr="00D963DC">
        <w:rPr>
          <w:rFonts w:ascii="Calibri" w:hAnsi="Calibri" w:cs="Calibri"/>
          <w:b/>
          <w:sz w:val="24"/>
        </w:rPr>
        <w:t xml:space="preserve">na zajištění služby </w:t>
      </w:r>
      <w:proofErr w:type="spellStart"/>
      <w:r w:rsidR="00A60DA2" w:rsidRPr="00D963DC">
        <w:rPr>
          <w:rFonts w:ascii="Calibri" w:hAnsi="Calibri" w:cs="Calibri"/>
          <w:b/>
          <w:sz w:val="24"/>
        </w:rPr>
        <w:t>Service</w:t>
      </w:r>
      <w:proofErr w:type="spellEnd"/>
      <w:r w:rsidR="00A60DA2" w:rsidRPr="00D963DC">
        <w:rPr>
          <w:rFonts w:ascii="Calibri" w:hAnsi="Calibri" w:cs="Calibri"/>
          <w:b/>
          <w:sz w:val="24"/>
        </w:rPr>
        <w:t xml:space="preserve"> </w:t>
      </w:r>
      <w:proofErr w:type="spellStart"/>
      <w:r w:rsidR="00A60DA2" w:rsidRPr="00D963DC">
        <w:rPr>
          <w:rFonts w:ascii="Calibri" w:hAnsi="Calibri" w:cs="Calibri"/>
          <w:b/>
          <w:sz w:val="24"/>
        </w:rPr>
        <w:t>Desk</w:t>
      </w:r>
      <w:proofErr w:type="spellEnd"/>
      <w:r w:rsidR="00794017" w:rsidRPr="00D963DC">
        <w:rPr>
          <w:rFonts w:ascii="Calibri" w:hAnsi="Calibri" w:cs="Calibri"/>
          <w:b/>
          <w:sz w:val="24"/>
        </w:rPr>
        <w:t xml:space="preserve"> </w:t>
      </w:r>
      <w:r w:rsidR="00E128B7" w:rsidRPr="00D963DC">
        <w:rPr>
          <w:rFonts w:ascii="Calibri" w:hAnsi="Calibri" w:cs="Calibri"/>
          <w:b/>
          <w:sz w:val="24"/>
        </w:rPr>
        <w:t>v</w:t>
      </w:r>
      <w:r w:rsidR="00F846CF" w:rsidRPr="00D963DC">
        <w:rPr>
          <w:rFonts w:ascii="Calibri" w:hAnsi="Calibri" w:cs="Calibri"/>
          <w:b/>
          <w:sz w:val="24"/>
        </w:rPr>
        <w:t xml:space="preserve"> celkové </w:t>
      </w:r>
      <w:r w:rsidR="00E128B7" w:rsidRPr="00D963DC">
        <w:rPr>
          <w:rFonts w:ascii="Calibri" w:hAnsi="Calibri" w:cs="Calibri"/>
          <w:b/>
          <w:sz w:val="24"/>
        </w:rPr>
        <w:t>hodnotě 5,5 </w:t>
      </w:r>
      <w:r w:rsidR="00794017" w:rsidRPr="00D963DC">
        <w:rPr>
          <w:rFonts w:ascii="Calibri" w:hAnsi="Calibri" w:cs="Calibri"/>
          <w:b/>
          <w:sz w:val="24"/>
        </w:rPr>
        <w:t>mil. Kč</w:t>
      </w:r>
      <w:r w:rsidR="00A60DA2" w:rsidRPr="00D963DC">
        <w:rPr>
          <w:rFonts w:ascii="Calibri" w:hAnsi="Calibri" w:cs="Calibri"/>
          <w:b/>
          <w:sz w:val="24"/>
        </w:rPr>
        <w:t xml:space="preserve"> </w:t>
      </w:r>
      <w:r w:rsidR="001879C1" w:rsidRPr="00D963DC">
        <w:rPr>
          <w:rFonts w:ascii="Calibri" w:hAnsi="Calibri" w:cs="Calibri"/>
          <w:sz w:val="24"/>
        </w:rPr>
        <w:t>oslovilo</w:t>
      </w:r>
      <w:r w:rsidR="00AC5F70" w:rsidRPr="00D963DC">
        <w:rPr>
          <w:rFonts w:ascii="Calibri" w:hAnsi="Calibri" w:cs="Calibri"/>
          <w:sz w:val="24"/>
        </w:rPr>
        <w:t xml:space="preserve"> tři</w:t>
      </w:r>
      <w:r w:rsidR="00075EB2">
        <w:rPr>
          <w:rFonts w:ascii="Calibri" w:hAnsi="Calibri" w:cs="Calibri"/>
          <w:sz w:val="24"/>
        </w:rPr>
        <w:t xml:space="preserve"> uchazeče</w:t>
      </w:r>
      <w:r w:rsidR="00D61B73" w:rsidRPr="00D963DC">
        <w:rPr>
          <w:rFonts w:ascii="Calibri" w:hAnsi="Calibri" w:cs="Calibri"/>
          <w:sz w:val="24"/>
        </w:rPr>
        <w:t xml:space="preserve">, u </w:t>
      </w:r>
      <w:r w:rsidR="00075EB2">
        <w:rPr>
          <w:rFonts w:ascii="Calibri" w:hAnsi="Calibri" w:cs="Calibri"/>
          <w:sz w:val="24"/>
        </w:rPr>
        <w:t>třetí</w:t>
      </w:r>
      <w:r w:rsidR="00F846CF" w:rsidRPr="00D963DC">
        <w:rPr>
          <w:rFonts w:ascii="Calibri" w:hAnsi="Calibri" w:cs="Calibri"/>
          <w:sz w:val="24"/>
        </w:rPr>
        <w:t xml:space="preserve"> veřejné zakázky</w:t>
      </w:r>
      <w:r w:rsidR="001879C1" w:rsidRPr="00D963DC">
        <w:rPr>
          <w:rFonts w:ascii="Calibri" w:hAnsi="Calibri" w:cs="Calibri"/>
          <w:sz w:val="24"/>
        </w:rPr>
        <w:t xml:space="preserve"> </w:t>
      </w:r>
      <w:r w:rsidR="00AC5F70" w:rsidRPr="00D963DC">
        <w:rPr>
          <w:rFonts w:ascii="Calibri" w:hAnsi="Calibri" w:cs="Calibri"/>
          <w:sz w:val="24"/>
        </w:rPr>
        <w:t>pět</w:t>
      </w:r>
      <w:r w:rsidR="001879C1" w:rsidRPr="00D963DC">
        <w:rPr>
          <w:rFonts w:ascii="Calibri" w:hAnsi="Calibri" w:cs="Calibri"/>
          <w:sz w:val="24"/>
        </w:rPr>
        <w:t xml:space="preserve"> uchazečů</w:t>
      </w:r>
      <w:r w:rsidR="00D61B73" w:rsidRPr="00D963DC">
        <w:rPr>
          <w:rFonts w:ascii="Calibri" w:hAnsi="Calibri" w:cs="Calibri"/>
          <w:sz w:val="24"/>
        </w:rPr>
        <w:t xml:space="preserve">. </w:t>
      </w:r>
      <w:r w:rsidR="00D61B73" w:rsidRPr="00D963DC">
        <w:rPr>
          <w:rFonts w:ascii="Calibri" w:eastAsiaTheme="minorHAnsi" w:hAnsi="Calibri" w:cs="Calibri"/>
          <w:b/>
          <w:sz w:val="24"/>
        </w:rPr>
        <w:t xml:space="preserve">MF porušilo ustanovení § 13 odst. 3 zákona o veřejných zakázkách, neboť druhou a třetí zakázku zadalo jako veřejné zakázky malého rozsahu. </w:t>
      </w:r>
      <w:r w:rsidR="00D61B73" w:rsidRPr="00D963DC">
        <w:rPr>
          <w:rFonts w:ascii="Calibri" w:eastAsiaTheme="minorHAnsi" w:hAnsi="Calibri" w:cs="Calibri"/>
          <w:sz w:val="24"/>
        </w:rPr>
        <w:t>MF</w:t>
      </w:r>
      <w:r w:rsidR="00075EB2">
        <w:rPr>
          <w:rFonts w:ascii="Calibri" w:eastAsiaTheme="minorHAnsi" w:hAnsi="Calibri" w:cs="Calibri"/>
          <w:sz w:val="24"/>
        </w:rPr>
        <w:t xml:space="preserve"> tímto způsobem</w:t>
      </w:r>
      <w:r w:rsidR="00D61B73" w:rsidRPr="00D963DC">
        <w:rPr>
          <w:rFonts w:ascii="Calibri" w:eastAsiaTheme="minorHAnsi" w:hAnsi="Calibri" w:cs="Calibri"/>
          <w:sz w:val="24"/>
        </w:rPr>
        <w:t xml:space="preserve"> rozdělilo předmět veřejné zakázky, čímž došlo ke sn</w:t>
      </w:r>
      <w:r w:rsidR="000D573D" w:rsidRPr="00D963DC">
        <w:rPr>
          <w:rFonts w:ascii="Calibri" w:eastAsiaTheme="minorHAnsi" w:hAnsi="Calibri" w:cs="Calibri"/>
          <w:sz w:val="24"/>
        </w:rPr>
        <w:t>ížení předpokládané hodnoty pod</w:t>
      </w:r>
      <w:r w:rsidR="00075EB2">
        <w:rPr>
          <w:rFonts w:ascii="Calibri" w:eastAsiaTheme="minorHAnsi" w:hAnsi="Calibri" w:cs="Calibri"/>
          <w:sz w:val="24"/>
        </w:rPr>
        <w:t xml:space="preserve"> </w:t>
      </w:r>
      <w:r w:rsidR="00D61B73" w:rsidRPr="00D963DC">
        <w:rPr>
          <w:rFonts w:ascii="Calibri" w:eastAsiaTheme="minorHAnsi" w:hAnsi="Calibri" w:cs="Calibri"/>
          <w:sz w:val="24"/>
        </w:rPr>
        <w:t>finanční limit stanoven</w:t>
      </w:r>
      <w:r w:rsidR="00075EB2">
        <w:rPr>
          <w:rFonts w:ascii="Calibri" w:eastAsiaTheme="minorHAnsi" w:hAnsi="Calibri" w:cs="Calibri"/>
          <w:sz w:val="24"/>
        </w:rPr>
        <w:t>ý</w:t>
      </w:r>
      <w:r w:rsidR="00D61B73" w:rsidRPr="00D963DC">
        <w:rPr>
          <w:rFonts w:ascii="Calibri" w:eastAsiaTheme="minorHAnsi" w:hAnsi="Calibri" w:cs="Calibri"/>
          <w:sz w:val="24"/>
        </w:rPr>
        <w:t xml:space="preserve"> v zákoně</w:t>
      </w:r>
      <w:r w:rsidR="00075EB2">
        <w:rPr>
          <w:rFonts w:ascii="Calibri" w:eastAsiaTheme="minorHAnsi" w:hAnsi="Calibri" w:cs="Calibri"/>
          <w:sz w:val="24"/>
        </w:rPr>
        <w:t xml:space="preserve"> o veřejných zakázkách</w:t>
      </w:r>
      <w:r w:rsidR="00D61B73" w:rsidRPr="00D963DC">
        <w:rPr>
          <w:rFonts w:ascii="Calibri" w:eastAsiaTheme="minorHAnsi" w:hAnsi="Calibri" w:cs="Calibri"/>
          <w:sz w:val="24"/>
        </w:rPr>
        <w:t>.</w:t>
      </w:r>
    </w:p>
    <w:p w:rsidR="00152A3C" w:rsidRPr="00D963DC" w:rsidRDefault="00152A3C" w:rsidP="00D963DC">
      <w:pPr>
        <w:spacing w:after="0"/>
        <w:rPr>
          <w:rFonts w:ascii="Calibri" w:eastAsiaTheme="minorHAnsi" w:hAnsi="Calibri" w:cs="Calibri"/>
          <w:sz w:val="24"/>
        </w:rPr>
      </w:pPr>
    </w:p>
    <w:p w:rsidR="00152A3C" w:rsidRDefault="00461DF3" w:rsidP="00D963DC">
      <w:pPr>
        <w:spacing w:after="0"/>
        <w:rPr>
          <w:rFonts w:ascii="Calibri" w:hAnsi="Calibri" w:cs="Calibri"/>
          <w:b/>
          <w:sz w:val="24"/>
        </w:rPr>
      </w:pPr>
      <w:r w:rsidRPr="00D81B2B">
        <w:rPr>
          <w:rFonts w:ascii="Calibri" w:hAnsi="Calibri" w:cs="Calibri"/>
          <w:sz w:val="24"/>
        </w:rPr>
        <w:t>Ze skutečností zjištěných při kontrole u</w:t>
      </w:r>
      <w:r w:rsidR="00794017" w:rsidRPr="00D81B2B">
        <w:rPr>
          <w:rFonts w:ascii="Calibri" w:hAnsi="Calibri" w:cs="Calibri"/>
          <w:sz w:val="24"/>
        </w:rPr>
        <w:t xml:space="preserve"> MF vyplynulo, že </w:t>
      </w:r>
      <w:r w:rsidR="00C23EB9" w:rsidRPr="00D81B2B">
        <w:rPr>
          <w:rFonts w:ascii="Calibri" w:hAnsi="Calibri" w:cs="Calibri"/>
          <w:sz w:val="24"/>
        </w:rPr>
        <w:t xml:space="preserve">plnilo </w:t>
      </w:r>
      <w:r w:rsidR="00794017" w:rsidRPr="00D81B2B">
        <w:rPr>
          <w:rFonts w:ascii="Calibri" w:hAnsi="Calibri" w:cs="Calibri"/>
          <w:sz w:val="24"/>
        </w:rPr>
        <w:t xml:space="preserve">nařízení vlády o snižování počtu </w:t>
      </w:r>
      <w:r w:rsidR="00C23EB9" w:rsidRPr="00D81B2B">
        <w:rPr>
          <w:rFonts w:ascii="Calibri" w:hAnsi="Calibri" w:cs="Calibri"/>
          <w:sz w:val="24"/>
        </w:rPr>
        <w:t>zaměstnanců</w:t>
      </w:r>
      <w:r w:rsidR="00794017" w:rsidRPr="00D81B2B">
        <w:rPr>
          <w:rFonts w:ascii="Calibri" w:hAnsi="Calibri" w:cs="Calibri"/>
          <w:sz w:val="24"/>
        </w:rPr>
        <w:t xml:space="preserve"> </w:t>
      </w:r>
      <w:r w:rsidR="00C23EB9" w:rsidRPr="00D81B2B">
        <w:rPr>
          <w:rFonts w:ascii="Calibri" w:hAnsi="Calibri" w:cs="Calibri"/>
          <w:sz w:val="24"/>
        </w:rPr>
        <w:t xml:space="preserve">tak, že převedlo </w:t>
      </w:r>
      <w:r w:rsidR="00794017" w:rsidRPr="00D81B2B">
        <w:rPr>
          <w:rFonts w:ascii="Calibri" w:hAnsi="Calibri" w:cs="Calibri"/>
          <w:sz w:val="24"/>
        </w:rPr>
        <w:t xml:space="preserve">část svých zaměstnanců </w:t>
      </w:r>
      <w:r w:rsidR="00D81B2B" w:rsidRPr="00D81B2B">
        <w:rPr>
          <w:rFonts w:ascii="Calibri" w:hAnsi="Calibri" w:cs="Calibri"/>
          <w:sz w:val="24"/>
        </w:rPr>
        <w:t xml:space="preserve">do </w:t>
      </w:r>
      <w:r w:rsidR="00794017" w:rsidRPr="00D81B2B">
        <w:rPr>
          <w:rFonts w:ascii="Calibri" w:hAnsi="Calibri" w:cs="Calibri"/>
          <w:sz w:val="24"/>
        </w:rPr>
        <w:t>STC</w:t>
      </w:r>
      <w:r w:rsidR="004E28A2" w:rsidRPr="00D81B2B">
        <w:rPr>
          <w:rFonts w:ascii="Calibri" w:hAnsi="Calibri" w:cs="Calibri"/>
          <w:sz w:val="24"/>
        </w:rPr>
        <w:t>. N</w:t>
      </w:r>
      <w:r w:rsidR="00794017" w:rsidRPr="00D81B2B">
        <w:rPr>
          <w:rFonts w:ascii="Calibri" w:hAnsi="Calibri" w:cs="Calibri"/>
          <w:sz w:val="24"/>
        </w:rPr>
        <w:t xml:space="preserve">ásledně za ně platilo více než dvojnásobné částky, </w:t>
      </w:r>
      <w:r w:rsidR="0084565A" w:rsidRPr="00D81B2B">
        <w:rPr>
          <w:rFonts w:ascii="Calibri" w:hAnsi="Calibri" w:cs="Calibri"/>
          <w:sz w:val="24"/>
        </w:rPr>
        <w:t>tzn</w:t>
      </w:r>
      <w:r w:rsidR="00DB2612" w:rsidRPr="00D81B2B">
        <w:rPr>
          <w:rFonts w:ascii="Calibri" w:hAnsi="Calibri" w:cs="Calibri"/>
          <w:sz w:val="24"/>
        </w:rPr>
        <w:t>.</w:t>
      </w:r>
      <w:r w:rsidR="00C24AC0">
        <w:rPr>
          <w:rFonts w:ascii="Calibri" w:hAnsi="Calibri" w:cs="Calibri"/>
          <w:sz w:val="24"/>
        </w:rPr>
        <w:t>,</w:t>
      </w:r>
      <w:r w:rsidR="00794017" w:rsidRPr="00D81B2B">
        <w:rPr>
          <w:rFonts w:ascii="Calibri" w:hAnsi="Calibri" w:cs="Calibri"/>
          <w:sz w:val="24"/>
        </w:rPr>
        <w:t xml:space="preserve"> </w:t>
      </w:r>
      <w:r w:rsidR="00C24AC0">
        <w:rPr>
          <w:rFonts w:ascii="Calibri" w:hAnsi="Calibri" w:cs="Calibri"/>
          <w:sz w:val="24"/>
        </w:rPr>
        <w:t xml:space="preserve">že </w:t>
      </w:r>
      <w:r w:rsidR="00794017" w:rsidRPr="00D81B2B">
        <w:rPr>
          <w:rFonts w:ascii="Calibri" w:hAnsi="Calibri" w:cs="Calibri"/>
          <w:sz w:val="24"/>
        </w:rPr>
        <w:t>jejich plat vč. zákonných odvodů činil méně než 50 % částky hrazené M</w:t>
      </w:r>
      <w:r w:rsidR="00D81B2B">
        <w:rPr>
          <w:rFonts w:ascii="Calibri" w:hAnsi="Calibri" w:cs="Calibri"/>
          <w:sz w:val="24"/>
        </w:rPr>
        <w:t>inisterstvem financí</w:t>
      </w:r>
      <w:r w:rsidR="00794017" w:rsidRPr="00D81B2B">
        <w:rPr>
          <w:rFonts w:ascii="Calibri" w:hAnsi="Calibri" w:cs="Calibri"/>
          <w:sz w:val="24"/>
        </w:rPr>
        <w:t xml:space="preserve"> za plnění předmětu smlouvy</w:t>
      </w:r>
      <w:r w:rsidR="0093041E" w:rsidRPr="00D81B2B">
        <w:rPr>
          <w:rFonts w:ascii="Calibri" w:hAnsi="Calibri" w:cs="Calibri"/>
          <w:sz w:val="24"/>
        </w:rPr>
        <w:t>.</w:t>
      </w:r>
      <w:r w:rsidR="00794017" w:rsidRPr="00D81B2B">
        <w:rPr>
          <w:rFonts w:ascii="Calibri" w:hAnsi="Calibri" w:cs="Calibri"/>
          <w:sz w:val="24"/>
        </w:rPr>
        <w:t xml:space="preserve"> </w:t>
      </w:r>
      <w:r w:rsidR="00794017" w:rsidRPr="00D81B2B">
        <w:rPr>
          <w:rFonts w:ascii="Calibri" w:hAnsi="Calibri" w:cs="Calibri"/>
          <w:b/>
          <w:sz w:val="24"/>
        </w:rPr>
        <w:t xml:space="preserve">Od roku 2004 do září 2014 zaplatilo MF za </w:t>
      </w:r>
      <w:r w:rsidR="002B0E7E" w:rsidRPr="00D81B2B">
        <w:rPr>
          <w:rFonts w:ascii="Calibri" w:hAnsi="Calibri" w:cs="Calibri"/>
          <w:b/>
          <w:sz w:val="24"/>
        </w:rPr>
        <w:t xml:space="preserve">zaměstnance STC </w:t>
      </w:r>
      <w:r w:rsidR="00794017" w:rsidRPr="00D81B2B">
        <w:rPr>
          <w:rFonts w:ascii="Calibri" w:hAnsi="Calibri" w:cs="Calibri"/>
          <w:b/>
          <w:sz w:val="24"/>
        </w:rPr>
        <w:t xml:space="preserve">celkem </w:t>
      </w:r>
      <w:r w:rsidR="002B0E7E" w:rsidRPr="00D81B2B">
        <w:rPr>
          <w:rFonts w:ascii="Calibri" w:hAnsi="Calibri" w:cs="Calibri"/>
          <w:b/>
          <w:sz w:val="24"/>
        </w:rPr>
        <w:t>254 mil. </w:t>
      </w:r>
      <w:r w:rsidR="00794017" w:rsidRPr="00D81B2B">
        <w:rPr>
          <w:rFonts w:ascii="Calibri" w:hAnsi="Calibri" w:cs="Calibri"/>
          <w:b/>
          <w:sz w:val="24"/>
        </w:rPr>
        <w:t>Kč</w:t>
      </w:r>
      <w:r w:rsidR="002B0E7E" w:rsidRPr="00D81B2B">
        <w:rPr>
          <w:rFonts w:ascii="Calibri" w:hAnsi="Calibri" w:cs="Calibri"/>
          <w:b/>
          <w:sz w:val="24"/>
        </w:rPr>
        <w:t>.</w:t>
      </w:r>
      <w:r w:rsidR="002B0E7E" w:rsidRPr="00D81B2B">
        <w:rPr>
          <w:rFonts w:ascii="Calibri" w:hAnsi="Calibri" w:cs="Calibri"/>
          <w:sz w:val="24"/>
        </w:rPr>
        <w:t xml:space="preserve"> </w:t>
      </w:r>
      <w:r w:rsidR="00A5791A" w:rsidRPr="00D81B2B">
        <w:rPr>
          <w:rFonts w:ascii="Calibri" w:hAnsi="Calibri" w:cs="Calibri"/>
          <w:sz w:val="24"/>
        </w:rPr>
        <w:t>Z </w:t>
      </w:r>
      <w:r w:rsidR="000403D8" w:rsidRPr="00D81B2B">
        <w:rPr>
          <w:rFonts w:ascii="Calibri" w:hAnsi="Calibri" w:cs="Calibri"/>
          <w:sz w:val="24"/>
        </w:rPr>
        <w:t xml:space="preserve">argumentace MF vyplývá, že </w:t>
      </w:r>
      <w:r w:rsidR="00AC5F70" w:rsidRPr="00D81B2B">
        <w:rPr>
          <w:rFonts w:ascii="Calibri" w:hAnsi="Calibri" w:cs="Calibri"/>
          <w:b/>
          <w:sz w:val="24"/>
        </w:rPr>
        <w:t xml:space="preserve">MF převedlo své zaměstnance </w:t>
      </w:r>
      <w:r w:rsidR="00D81B2B" w:rsidRPr="00D81B2B">
        <w:rPr>
          <w:rFonts w:ascii="Calibri" w:hAnsi="Calibri" w:cs="Calibri"/>
          <w:b/>
          <w:sz w:val="24"/>
        </w:rPr>
        <w:t>do</w:t>
      </w:r>
      <w:r w:rsidR="000403D8" w:rsidRPr="00D81B2B">
        <w:rPr>
          <w:rFonts w:ascii="Calibri" w:hAnsi="Calibri" w:cs="Calibri"/>
          <w:b/>
          <w:sz w:val="24"/>
        </w:rPr>
        <w:t xml:space="preserve"> STC z důvodu plnění vládních nařízení, </w:t>
      </w:r>
      <w:r w:rsidR="000403D8" w:rsidRPr="00D963DC">
        <w:rPr>
          <w:rFonts w:ascii="Calibri" w:hAnsi="Calibri" w:cs="Calibri"/>
          <w:b/>
          <w:sz w:val="24"/>
        </w:rPr>
        <w:t xml:space="preserve">přitom bez nich nebylo dle </w:t>
      </w:r>
      <w:r w:rsidR="00C24AC0">
        <w:rPr>
          <w:rFonts w:ascii="Calibri" w:hAnsi="Calibri" w:cs="Calibri"/>
          <w:b/>
          <w:sz w:val="24"/>
        </w:rPr>
        <w:t>svého</w:t>
      </w:r>
      <w:r w:rsidR="000403D8" w:rsidRPr="00D963DC">
        <w:rPr>
          <w:rFonts w:ascii="Calibri" w:hAnsi="Calibri" w:cs="Calibri"/>
          <w:b/>
          <w:sz w:val="24"/>
        </w:rPr>
        <w:t xml:space="preserve"> vyjádření schopno zajistit běžný provoz ministerstva. Postup zvolený M</w:t>
      </w:r>
      <w:r w:rsidR="00C24AC0">
        <w:rPr>
          <w:rFonts w:ascii="Calibri" w:hAnsi="Calibri" w:cs="Calibri"/>
          <w:b/>
          <w:sz w:val="24"/>
        </w:rPr>
        <w:t>inisterstvem financí</w:t>
      </w:r>
      <w:r w:rsidR="000403D8" w:rsidRPr="00D963DC">
        <w:rPr>
          <w:rFonts w:ascii="Calibri" w:hAnsi="Calibri" w:cs="Calibri"/>
          <w:b/>
          <w:sz w:val="24"/>
        </w:rPr>
        <w:t xml:space="preserve"> nebyl hospodárný, jelikož MF za ně platilo </w:t>
      </w:r>
      <w:r w:rsidR="00C24AC0">
        <w:rPr>
          <w:rFonts w:ascii="Calibri" w:hAnsi="Calibri" w:cs="Calibri"/>
          <w:b/>
          <w:sz w:val="24"/>
        </w:rPr>
        <w:t>dvakrát více</w:t>
      </w:r>
      <w:r w:rsidR="000D573D" w:rsidRPr="00D963DC">
        <w:rPr>
          <w:rFonts w:ascii="Calibri" w:hAnsi="Calibri" w:cs="Calibri"/>
          <w:b/>
          <w:sz w:val="24"/>
        </w:rPr>
        <w:t>,</w:t>
      </w:r>
      <w:r w:rsidR="000403D8" w:rsidRPr="00D963DC">
        <w:rPr>
          <w:rFonts w:ascii="Calibri" w:hAnsi="Calibri" w:cs="Calibri"/>
          <w:b/>
          <w:sz w:val="24"/>
        </w:rPr>
        <w:t xml:space="preserve"> než těmto zaměstnancům vyplácel státní podnik (a předtím i přímo ministerstvo).</w:t>
      </w:r>
    </w:p>
    <w:p w:rsidR="00D81B2B" w:rsidRPr="00D963DC" w:rsidRDefault="00D81B2B" w:rsidP="00D963DC">
      <w:pPr>
        <w:spacing w:after="0"/>
        <w:rPr>
          <w:rFonts w:ascii="Calibri" w:hAnsi="Calibri" w:cs="Calibri"/>
          <w:sz w:val="24"/>
        </w:rPr>
      </w:pPr>
    </w:p>
    <w:p w:rsidR="002B0E7E" w:rsidRDefault="002B0E7E" w:rsidP="00D963DC">
      <w:pPr>
        <w:spacing w:after="0"/>
        <w:rPr>
          <w:rFonts w:ascii="Calibri" w:hAnsi="Calibri" w:cs="Calibri"/>
          <w:sz w:val="24"/>
        </w:rPr>
      </w:pPr>
      <w:r w:rsidRPr="00D963DC">
        <w:rPr>
          <w:rFonts w:ascii="Calibri" w:hAnsi="Calibri" w:cs="Calibri"/>
          <w:sz w:val="24"/>
        </w:rPr>
        <w:lastRenderedPageBreak/>
        <w:t>Svěření výkonu běžných úkolů jinému zaměstnavateli umožňoval zákon o zaměstnanosti do konce roku 2006.</w:t>
      </w:r>
      <w:r w:rsidRPr="00D963DC">
        <w:rPr>
          <w:rFonts w:ascii="Calibri" w:hAnsi="Calibri" w:cs="Calibri"/>
          <w:b/>
          <w:sz w:val="24"/>
        </w:rPr>
        <w:t xml:space="preserve"> MF tím, že od roku 2007 nevyužívalo na předmětné služby své zaměstnance, obcházelo zákon o zaměstnanosti a zákoník práce.</w:t>
      </w:r>
      <w:r w:rsidRPr="00D963DC">
        <w:rPr>
          <w:rFonts w:ascii="Calibri" w:hAnsi="Calibri" w:cs="Calibri"/>
          <w:sz w:val="24"/>
        </w:rPr>
        <w:t xml:space="preserve"> </w:t>
      </w:r>
    </w:p>
    <w:p w:rsidR="00152A3C" w:rsidRPr="00D963DC" w:rsidRDefault="00152A3C" w:rsidP="00D963DC">
      <w:pPr>
        <w:spacing w:after="0"/>
        <w:rPr>
          <w:rFonts w:ascii="Calibri" w:hAnsi="Calibri" w:cs="Calibri"/>
          <w:sz w:val="24"/>
        </w:rPr>
      </w:pPr>
    </w:p>
    <w:p w:rsidR="00BA5A61" w:rsidRDefault="00BA5A61" w:rsidP="00D963DC">
      <w:pPr>
        <w:spacing w:after="0"/>
        <w:rPr>
          <w:rFonts w:ascii="Calibri" w:hAnsi="Calibri" w:cs="Calibri"/>
          <w:sz w:val="24"/>
        </w:rPr>
      </w:pPr>
      <w:r w:rsidRPr="00D963DC">
        <w:rPr>
          <w:rFonts w:ascii="Calibri" w:hAnsi="Calibri" w:cs="Calibri"/>
          <w:sz w:val="24"/>
        </w:rPr>
        <w:t>STC od roku 2000 se zaměstnanci pracujícími pro MF na základě mandátní</w:t>
      </w:r>
      <w:r w:rsidR="005313AC" w:rsidRPr="00D963DC">
        <w:rPr>
          <w:rFonts w:ascii="Calibri" w:hAnsi="Calibri" w:cs="Calibri"/>
          <w:sz w:val="24"/>
        </w:rPr>
        <w:t>ch sml</w:t>
      </w:r>
      <w:r w:rsidRPr="00D963DC">
        <w:rPr>
          <w:rFonts w:ascii="Calibri" w:hAnsi="Calibri" w:cs="Calibri"/>
          <w:sz w:val="24"/>
        </w:rPr>
        <w:t>uv uzavíral</w:t>
      </w:r>
      <w:r w:rsidR="00C24AC0">
        <w:rPr>
          <w:rFonts w:ascii="Calibri" w:hAnsi="Calibri" w:cs="Calibri"/>
          <w:sz w:val="24"/>
        </w:rPr>
        <w:t>a</w:t>
      </w:r>
      <w:r w:rsidRPr="00D963DC">
        <w:rPr>
          <w:rFonts w:ascii="Calibri" w:hAnsi="Calibri" w:cs="Calibri"/>
          <w:sz w:val="24"/>
        </w:rPr>
        <w:t xml:space="preserve"> </w:t>
      </w:r>
      <w:r w:rsidR="00201D58" w:rsidRPr="00D963DC">
        <w:rPr>
          <w:rFonts w:ascii="Calibri" w:hAnsi="Calibri" w:cs="Calibri"/>
          <w:sz w:val="24"/>
        </w:rPr>
        <w:t xml:space="preserve">opakovaně </w:t>
      </w:r>
      <w:r w:rsidRPr="00D963DC">
        <w:rPr>
          <w:rFonts w:ascii="Calibri" w:hAnsi="Calibri" w:cs="Calibri"/>
          <w:sz w:val="24"/>
        </w:rPr>
        <w:t xml:space="preserve">pracovní smlouvy na dobu určitou, </w:t>
      </w:r>
      <w:r w:rsidR="002B0E7E" w:rsidRPr="00D963DC">
        <w:rPr>
          <w:rFonts w:ascii="Calibri" w:hAnsi="Calibri" w:cs="Calibri"/>
          <w:sz w:val="24"/>
        </w:rPr>
        <w:t>čímž</w:t>
      </w:r>
      <w:r w:rsidRPr="00D963DC">
        <w:rPr>
          <w:rFonts w:ascii="Calibri" w:hAnsi="Calibri" w:cs="Calibri"/>
          <w:sz w:val="24"/>
        </w:rPr>
        <w:t xml:space="preserve"> porušoval</w:t>
      </w:r>
      <w:r w:rsidR="00C24AC0">
        <w:rPr>
          <w:rFonts w:ascii="Calibri" w:hAnsi="Calibri" w:cs="Calibri"/>
          <w:sz w:val="24"/>
        </w:rPr>
        <w:t>a</w:t>
      </w:r>
      <w:r w:rsidRPr="00D963DC">
        <w:rPr>
          <w:rFonts w:ascii="Calibri" w:hAnsi="Calibri" w:cs="Calibri"/>
          <w:sz w:val="24"/>
        </w:rPr>
        <w:t xml:space="preserve"> zákoník práce. </w:t>
      </w:r>
    </w:p>
    <w:p w:rsidR="00152A3C" w:rsidRPr="00D963DC" w:rsidRDefault="00152A3C" w:rsidP="00D963DC">
      <w:pPr>
        <w:spacing w:after="0"/>
        <w:rPr>
          <w:rFonts w:ascii="Calibri" w:hAnsi="Calibri" w:cs="Calibri"/>
          <w:sz w:val="24"/>
        </w:rPr>
      </w:pPr>
    </w:p>
    <w:p w:rsidR="00B94295" w:rsidRPr="00D963DC" w:rsidRDefault="00B94295" w:rsidP="00D963DC">
      <w:pPr>
        <w:spacing w:after="0"/>
        <w:rPr>
          <w:rFonts w:ascii="Calibri" w:hAnsi="Calibri" w:cs="Calibri"/>
          <w:sz w:val="24"/>
        </w:rPr>
      </w:pPr>
      <w:r w:rsidRPr="00D963DC">
        <w:rPr>
          <w:rFonts w:ascii="Calibri" w:hAnsi="Calibri" w:cs="Calibri"/>
          <w:b/>
          <w:sz w:val="24"/>
        </w:rPr>
        <w:t>MF platilo za zaměstnance STC i v době, kdy nevykonával</w:t>
      </w:r>
      <w:r w:rsidR="004E28A2" w:rsidRPr="00D963DC">
        <w:rPr>
          <w:rFonts w:ascii="Calibri" w:hAnsi="Calibri" w:cs="Calibri"/>
          <w:b/>
          <w:sz w:val="24"/>
        </w:rPr>
        <w:t>i</w:t>
      </w:r>
      <w:r w:rsidRPr="00D963DC">
        <w:rPr>
          <w:rFonts w:ascii="Calibri" w:hAnsi="Calibri" w:cs="Calibri"/>
          <w:b/>
          <w:sz w:val="24"/>
        </w:rPr>
        <w:t xml:space="preserve"> činnosti pro MF (např. </w:t>
      </w:r>
      <w:r w:rsidR="00C24AC0">
        <w:rPr>
          <w:rFonts w:ascii="Calibri" w:hAnsi="Calibri" w:cs="Calibri"/>
          <w:b/>
          <w:sz w:val="24"/>
        </w:rPr>
        <w:t xml:space="preserve">v době </w:t>
      </w:r>
      <w:r w:rsidRPr="00D963DC">
        <w:rPr>
          <w:rFonts w:ascii="Calibri" w:hAnsi="Calibri" w:cs="Calibri"/>
          <w:b/>
          <w:sz w:val="24"/>
        </w:rPr>
        <w:t>dovolen</w:t>
      </w:r>
      <w:r w:rsidR="00C24AC0">
        <w:rPr>
          <w:rFonts w:ascii="Calibri" w:hAnsi="Calibri" w:cs="Calibri"/>
          <w:b/>
          <w:sz w:val="24"/>
        </w:rPr>
        <w:t>é</w:t>
      </w:r>
      <w:r w:rsidRPr="00D963DC">
        <w:rPr>
          <w:rFonts w:ascii="Calibri" w:hAnsi="Calibri" w:cs="Calibri"/>
          <w:b/>
          <w:sz w:val="24"/>
        </w:rPr>
        <w:t>, nemoc</w:t>
      </w:r>
      <w:r w:rsidR="00C24AC0">
        <w:rPr>
          <w:rFonts w:ascii="Calibri" w:hAnsi="Calibri" w:cs="Calibri"/>
          <w:b/>
          <w:sz w:val="24"/>
        </w:rPr>
        <w:t>i</w:t>
      </w:r>
      <w:r w:rsidRPr="00D963DC">
        <w:rPr>
          <w:rFonts w:ascii="Calibri" w:hAnsi="Calibri" w:cs="Calibri"/>
          <w:b/>
          <w:sz w:val="24"/>
        </w:rPr>
        <w:t xml:space="preserve">, </w:t>
      </w:r>
      <w:r w:rsidR="00C24AC0">
        <w:rPr>
          <w:rFonts w:ascii="Calibri" w:hAnsi="Calibri" w:cs="Calibri"/>
          <w:b/>
          <w:sz w:val="24"/>
        </w:rPr>
        <w:t xml:space="preserve">při </w:t>
      </w:r>
      <w:r w:rsidRPr="00D963DC">
        <w:rPr>
          <w:rFonts w:ascii="Calibri" w:hAnsi="Calibri" w:cs="Calibri"/>
          <w:b/>
          <w:sz w:val="24"/>
        </w:rPr>
        <w:t>návštěv</w:t>
      </w:r>
      <w:r w:rsidR="00C24AC0">
        <w:rPr>
          <w:rFonts w:ascii="Calibri" w:hAnsi="Calibri" w:cs="Calibri"/>
          <w:b/>
          <w:sz w:val="24"/>
        </w:rPr>
        <w:t>ě</w:t>
      </w:r>
      <w:r w:rsidRPr="00D963DC">
        <w:rPr>
          <w:rFonts w:ascii="Calibri" w:hAnsi="Calibri" w:cs="Calibri"/>
          <w:b/>
          <w:sz w:val="24"/>
        </w:rPr>
        <w:t xml:space="preserve"> lékaře)</w:t>
      </w:r>
      <w:r w:rsidR="009449D6" w:rsidRPr="00D963DC">
        <w:rPr>
          <w:rFonts w:ascii="Calibri" w:hAnsi="Calibri" w:cs="Calibri"/>
          <w:b/>
          <w:sz w:val="24"/>
        </w:rPr>
        <w:t xml:space="preserve">. </w:t>
      </w:r>
      <w:r w:rsidR="00671212" w:rsidRPr="00D963DC">
        <w:rPr>
          <w:rFonts w:ascii="Calibri" w:hAnsi="Calibri" w:cs="Calibri"/>
          <w:b/>
          <w:sz w:val="24"/>
        </w:rPr>
        <w:t>MF nepoužilo peněžní prostředk</w:t>
      </w:r>
      <w:r w:rsidR="00A5791A" w:rsidRPr="00D963DC">
        <w:rPr>
          <w:rFonts w:ascii="Calibri" w:hAnsi="Calibri" w:cs="Calibri"/>
          <w:b/>
          <w:sz w:val="24"/>
        </w:rPr>
        <w:t>y státního rozpočtu ve výši 4,6 </w:t>
      </w:r>
      <w:r w:rsidR="00671212" w:rsidRPr="00D963DC">
        <w:rPr>
          <w:rFonts w:ascii="Calibri" w:hAnsi="Calibri" w:cs="Calibri"/>
          <w:b/>
          <w:sz w:val="24"/>
        </w:rPr>
        <w:t>mil. Kč</w:t>
      </w:r>
      <w:r w:rsidR="00671212" w:rsidRPr="00D963DC">
        <w:rPr>
          <w:rFonts w:ascii="Calibri" w:hAnsi="Calibri" w:cs="Calibri"/>
          <w:sz w:val="24"/>
        </w:rPr>
        <w:t xml:space="preserve"> </w:t>
      </w:r>
      <w:r w:rsidR="00671212" w:rsidRPr="00D963DC">
        <w:rPr>
          <w:rFonts w:ascii="Calibri" w:hAnsi="Calibri" w:cs="Calibri"/>
          <w:b/>
          <w:sz w:val="24"/>
        </w:rPr>
        <w:t>v souladu s věcným plněním</w:t>
      </w:r>
      <w:r w:rsidR="00C24AC0">
        <w:rPr>
          <w:rFonts w:ascii="Calibri" w:hAnsi="Calibri" w:cs="Calibri"/>
          <w:b/>
          <w:sz w:val="24"/>
        </w:rPr>
        <w:t>,</w:t>
      </w:r>
      <w:r w:rsidR="00671212" w:rsidRPr="00D963DC">
        <w:rPr>
          <w:rFonts w:ascii="Calibri" w:hAnsi="Calibri" w:cs="Calibri"/>
          <w:b/>
          <w:sz w:val="24"/>
        </w:rPr>
        <w:t xml:space="preserve"> </w:t>
      </w:r>
      <w:r w:rsidR="007A57DA" w:rsidRPr="00D963DC">
        <w:rPr>
          <w:rFonts w:ascii="Calibri" w:hAnsi="Calibri" w:cs="Calibri"/>
          <w:sz w:val="24"/>
        </w:rPr>
        <w:t>a neplnilo</w:t>
      </w:r>
      <w:r w:rsidR="00C24AC0">
        <w:rPr>
          <w:rFonts w:ascii="Calibri" w:hAnsi="Calibri" w:cs="Calibri"/>
          <w:sz w:val="24"/>
        </w:rPr>
        <w:t xml:space="preserve"> tedy</w:t>
      </w:r>
      <w:r w:rsidR="007A57DA" w:rsidRPr="00D963DC">
        <w:rPr>
          <w:rFonts w:ascii="Calibri" w:hAnsi="Calibri" w:cs="Calibri"/>
          <w:sz w:val="24"/>
        </w:rPr>
        <w:t xml:space="preserve"> své úkoly </w:t>
      </w:r>
      <w:r w:rsidR="00F603A7" w:rsidRPr="00D963DC">
        <w:rPr>
          <w:rFonts w:ascii="Calibri" w:hAnsi="Calibri" w:cs="Calibri"/>
          <w:sz w:val="24"/>
        </w:rPr>
        <w:t>nejhospodárnějším způsobem</w:t>
      </w:r>
      <w:r w:rsidR="007A57DA" w:rsidRPr="00D963DC">
        <w:rPr>
          <w:rFonts w:ascii="Calibri" w:hAnsi="Calibri" w:cs="Calibri"/>
          <w:sz w:val="24"/>
        </w:rPr>
        <w:t>.</w:t>
      </w:r>
    </w:p>
    <w:p w:rsidR="000D573D" w:rsidRPr="00F43E2F" w:rsidRDefault="000D573D" w:rsidP="00F43E2F">
      <w:pPr>
        <w:spacing w:after="0"/>
        <w:rPr>
          <w:rFonts w:ascii="Calibri" w:hAnsi="Calibri" w:cs="Calibri"/>
          <w:b/>
          <w:sz w:val="24"/>
        </w:rPr>
      </w:pPr>
    </w:p>
    <w:p w:rsidR="00D802A0" w:rsidRPr="00F43E2F" w:rsidRDefault="00D802A0" w:rsidP="00F43E2F">
      <w:pPr>
        <w:spacing w:after="0"/>
        <w:rPr>
          <w:rFonts w:ascii="Calibri" w:hAnsi="Calibri" w:cs="Calibri"/>
          <w:b/>
          <w:sz w:val="24"/>
        </w:rPr>
      </w:pPr>
      <w:r w:rsidRPr="00F43E2F">
        <w:rPr>
          <w:rFonts w:ascii="Calibri" w:hAnsi="Calibri" w:cs="Calibri"/>
          <w:b/>
          <w:sz w:val="24"/>
        </w:rPr>
        <w:t xml:space="preserve">Na základě kontrolou zjištěných nedostatků </w:t>
      </w:r>
      <w:r w:rsidR="00152A3C">
        <w:rPr>
          <w:rFonts w:ascii="Calibri" w:hAnsi="Calibri" w:cs="Calibri"/>
          <w:b/>
          <w:sz w:val="24"/>
        </w:rPr>
        <w:t>NKÚ doporučuje</w:t>
      </w:r>
      <w:r w:rsidRPr="00F43E2F">
        <w:rPr>
          <w:rFonts w:ascii="Calibri" w:hAnsi="Calibri" w:cs="Calibri"/>
          <w:b/>
          <w:sz w:val="24"/>
        </w:rPr>
        <w:t xml:space="preserve">: </w:t>
      </w:r>
    </w:p>
    <w:p w:rsidR="000C79A6" w:rsidRPr="00A5791A" w:rsidRDefault="00152A3C" w:rsidP="00A5791A">
      <w:pPr>
        <w:pStyle w:val="Odstavecseseznamem"/>
        <w:numPr>
          <w:ilvl w:val="0"/>
          <w:numId w:val="43"/>
        </w:numPr>
        <w:spacing w:after="0"/>
        <w:ind w:left="284" w:hanging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</w:t>
      </w:r>
      <w:r w:rsidR="000C79A6" w:rsidRPr="00A5791A">
        <w:rPr>
          <w:rFonts w:ascii="Calibri" w:hAnsi="Calibri" w:cs="Calibri"/>
          <w:sz w:val="24"/>
        </w:rPr>
        <w:t xml:space="preserve">ytvořit podmínky pro účinnou koordinaci výstavby </w:t>
      </w:r>
      <w:r w:rsidR="00864936" w:rsidRPr="00A5791A">
        <w:rPr>
          <w:rFonts w:ascii="Calibri" w:hAnsi="Calibri" w:cs="Calibri"/>
          <w:sz w:val="24"/>
        </w:rPr>
        <w:t>a provozu</w:t>
      </w:r>
      <w:r w:rsidR="000C79A6" w:rsidRPr="00A5791A">
        <w:rPr>
          <w:rFonts w:ascii="Calibri" w:hAnsi="Calibri" w:cs="Calibri"/>
          <w:sz w:val="24"/>
        </w:rPr>
        <w:t xml:space="preserve"> datových center orgánů státní správy včetně těch případů, které nepředstavují projekty spolufinancované z prostředků EU</w:t>
      </w:r>
      <w:r>
        <w:rPr>
          <w:rFonts w:ascii="Calibri" w:hAnsi="Calibri" w:cs="Calibri"/>
          <w:sz w:val="24"/>
        </w:rPr>
        <w:t>;</w:t>
      </w:r>
      <w:r w:rsidR="000C79A6" w:rsidRPr="00A5791A">
        <w:rPr>
          <w:rFonts w:ascii="Calibri" w:hAnsi="Calibri" w:cs="Calibri"/>
          <w:sz w:val="24"/>
        </w:rPr>
        <w:t xml:space="preserve"> </w:t>
      </w:r>
    </w:p>
    <w:p w:rsidR="007C27C1" w:rsidRPr="00A5791A" w:rsidRDefault="00152A3C" w:rsidP="00A5791A">
      <w:pPr>
        <w:pStyle w:val="Odstavecseseznamem"/>
        <w:numPr>
          <w:ilvl w:val="0"/>
          <w:numId w:val="43"/>
        </w:numPr>
        <w:spacing w:after="0"/>
        <w:ind w:left="284" w:hanging="28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</w:t>
      </w:r>
      <w:r w:rsidR="00864936" w:rsidRPr="00A5791A">
        <w:rPr>
          <w:rFonts w:ascii="Calibri" w:hAnsi="Calibri" w:cs="Calibri"/>
          <w:sz w:val="24"/>
        </w:rPr>
        <w:t xml:space="preserve">efinovat informační systémy, u kterých by byla určena povinnost </w:t>
      </w:r>
      <w:r w:rsidR="00C24AC0">
        <w:rPr>
          <w:rFonts w:ascii="Calibri" w:hAnsi="Calibri" w:cs="Calibri"/>
          <w:sz w:val="24"/>
        </w:rPr>
        <w:t>provozovat je</w:t>
      </w:r>
      <w:r w:rsidR="00864936" w:rsidRPr="00A5791A">
        <w:rPr>
          <w:rFonts w:ascii="Calibri" w:hAnsi="Calibri" w:cs="Calibri"/>
          <w:sz w:val="24"/>
        </w:rPr>
        <w:t xml:space="preserve"> v datových centrech pod kontrolou státu</w:t>
      </w:r>
      <w:r w:rsidR="008C2AFE" w:rsidRPr="00A5791A">
        <w:rPr>
          <w:rFonts w:ascii="Calibri" w:hAnsi="Calibri" w:cs="Calibri"/>
          <w:sz w:val="24"/>
          <w:vertAlign w:val="superscript"/>
        </w:rPr>
        <w:t>15</w:t>
      </w:r>
      <w:r>
        <w:rPr>
          <w:rFonts w:ascii="Calibri" w:hAnsi="Calibri" w:cs="Calibri"/>
          <w:sz w:val="24"/>
        </w:rPr>
        <w:t>;</w:t>
      </w:r>
    </w:p>
    <w:p w:rsidR="00415166" w:rsidRPr="00A5791A" w:rsidRDefault="00152A3C" w:rsidP="00A5791A">
      <w:pPr>
        <w:pStyle w:val="Odstavecseseznamem"/>
        <w:numPr>
          <w:ilvl w:val="0"/>
          <w:numId w:val="43"/>
        </w:numPr>
        <w:spacing w:after="0"/>
        <w:ind w:left="284" w:hanging="284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sz w:val="24"/>
        </w:rPr>
        <w:t>u</w:t>
      </w:r>
      <w:r w:rsidR="00144AF9" w:rsidRPr="00A5791A">
        <w:rPr>
          <w:rFonts w:ascii="Calibri" w:hAnsi="Calibri" w:cs="Calibri"/>
          <w:sz w:val="24"/>
        </w:rPr>
        <w:t>pravit znění zákona o veřejných zakázkách</w:t>
      </w:r>
      <w:r w:rsidR="00655133" w:rsidRPr="00A5791A">
        <w:rPr>
          <w:rFonts w:ascii="Calibri" w:hAnsi="Calibri" w:cs="Calibri"/>
          <w:sz w:val="24"/>
        </w:rPr>
        <w:t xml:space="preserve"> v oblasti tzv. in-house výjimky</w:t>
      </w:r>
      <w:r w:rsidR="00144AF9" w:rsidRPr="00A5791A">
        <w:rPr>
          <w:rFonts w:ascii="Calibri" w:hAnsi="Calibri" w:cs="Calibri"/>
          <w:sz w:val="24"/>
        </w:rPr>
        <w:t xml:space="preserve"> tak, aby jednoznačně umožňoval subjektům </w:t>
      </w:r>
      <w:r w:rsidR="00655133" w:rsidRPr="00A5791A">
        <w:rPr>
          <w:rFonts w:ascii="Calibri" w:hAnsi="Calibri" w:cs="Calibri"/>
          <w:sz w:val="24"/>
        </w:rPr>
        <w:t xml:space="preserve">veřejné správy zadat veřejnou zakázku na provoz IS </w:t>
      </w:r>
      <w:r w:rsidR="00144AF9" w:rsidRPr="00A5791A">
        <w:rPr>
          <w:rFonts w:ascii="Calibri" w:hAnsi="Calibri" w:cs="Calibri"/>
          <w:sz w:val="24"/>
        </w:rPr>
        <w:t>v datových centrech pod kontrolou státu</w:t>
      </w:r>
      <w:r w:rsidR="00655133" w:rsidRPr="00A5791A">
        <w:rPr>
          <w:rFonts w:ascii="Calibri" w:hAnsi="Calibri" w:cs="Calibri"/>
          <w:sz w:val="24"/>
          <w:vertAlign w:val="superscript"/>
        </w:rPr>
        <w:t>15</w:t>
      </w:r>
      <w:r>
        <w:rPr>
          <w:rFonts w:ascii="Calibri" w:hAnsi="Calibri" w:cs="Calibri"/>
          <w:sz w:val="24"/>
        </w:rPr>
        <w:t>;</w:t>
      </w:r>
      <w:r w:rsidR="00144AF9" w:rsidRPr="00A5791A">
        <w:rPr>
          <w:rFonts w:ascii="Calibri" w:hAnsi="Calibri" w:cs="Calibri"/>
          <w:sz w:val="24"/>
        </w:rPr>
        <w:t xml:space="preserve"> </w:t>
      </w:r>
    </w:p>
    <w:p w:rsidR="00E9521F" w:rsidRPr="00A5791A" w:rsidRDefault="00152A3C" w:rsidP="00A5791A">
      <w:pPr>
        <w:pStyle w:val="Odstavecseseznamem"/>
        <w:numPr>
          <w:ilvl w:val="0"/>
          <w:numId w:val="43"/>
        </w:numPr>
        <w:spacing w:after="0"/>
        <w:ind w:left="284" w:hanging="284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sz w:val="24"/>
        </w:rPr>
        <w:t>z</w:t>
      </w:r>
      <w:r w:rsidR="00E9521F" w:rsidRPr="00A5791A">
        <w:rPr>
          <w:rFonts w:ascii="Calibri" w:hAnsi="Calibri" w:cs="Calibri"/>
          <w:sz w:val="24"/>
        </w:rPr>
        <w:t>avést v zákoně o veřejných zakázkách pravidla pro účast v soutěži těm subjektům, kte</w:t>
      </w:r>
      <w:r w:rsidR="00415166" w:rsidRPr="00A5791A">
        <w:rPr>
          <w:rFonts w:ascii="Calibri" w:hAnsi="Calibri" w:cs="Calibri"/>
          <w:sz w:val="24"/>
        </w:rPr>
        <w:t>ré</w:t>
      </w:r>
      <w:r w:rsidR="00E9521F" w:rsidRPr="00A5791A">
        <w:rPr>
          <w:rFonts w:ascii="Calibri" w:hAnsi="Calibri" w:cs="Calibri"/>
          <w:sz w:val="24"/>
        </w:rPr>
        <w:t xml:space="preserve"> se podílel</w:t>
      </w:r>
      <w:r w:rsidR="00C24AC0">
        <w:rPr>
          <w:rFonts w:ascii="Calibri" w:hAnsi="Calibri" w:cs="Calibri"/>
          <w:sz w:val="24"/>
        </w:rPr>
        <w:t>y</w:t>
      </w:r>
      <w:r w:rsidR="00E9521F" w:rsidRPr="00A5791A">
        <w:rPr>
          <w:rFonts w:ascii="Calibri" w:hAnsi="Calibri" w:cs="Calibri"/>
          <w:sz w:val="24"/>
        </w:rPr>
        <w:t xml:space="preserve"> již na přípravě veřejné zakázky a následně se v souladu se stávající právní úpravou </w:t>
      </w:r>
      <w:r w:rsidR="00C24AC0">
        <w:rPr>
          <w:rFonts w:ascii="Calibri" w:hAnsi="Calibri" w:cs="Calibri"/>
          <w:sz w:val="24"/>
        </w:rPr>
        <w:t xml:space="preserve">dle </w:t>
      </w:r>
      <w:r w:rsidR="00E9521F" w:rsidRPr="00A5791A">
        <w:rPr>
          <w:rFonts w:ascii="Calibri" w:hAnsi="Calibri" w:cs="Calibri"/>
          <w:sz w:val="24"/>
        </w:rPr>
        <w:t xml:space="preserve">zákona o veřejných zakázkách mohou do soutěže přihlásit, tak, aby nebyla narušena hospodářská soutěž a byl zajištěn rovný přístup k informacím eliminující zvýhodnění firem spolupracujících se zadavatelem ještě před vlastním zadáním veřejné zakázky. Navrhovaný postup by </w:t>
      </w:r>
      <w:r w:rsidR="00C24AC0">
        <w:rPr>
          <w:rFonts w:ascii="Calibri" w:hAnsi="Calibri" w:cs="Calibri"/>
          <w:sz w:val="24"/>
        </w:rPr>
        <w:t>měl odpovídat</w:t>
      </w:r>
      <w:r w:rsidR="00E9521F" w:rsidRPr="00A5791A">
        <w:rPr>
          <w:rFonts w:ascii="Calibri" w:hAnsi="Calibri" w:cs="Calibri"/>
          <w:sz w:val="24"/>
        </w:rPr>
        <w:t xml:space="preserve"> nové evropské zadávací směrnici </w:t>
      </w:r>
      <w:r w:rsidR="000D5385" w:rsidRPr="00A5791A">
        <w:rPr>
          <w:rFonts w:ascii="Calibri" w:hAnsi="Calibri" w:cs="Calibri"/>
          <w:sz w:val="24"/>
        </w:rPr>
        <w:t>Evropského parlamentu a Rady 2014/24/EU</w:t>
      </w:r>
      <w:r w:rsidR="000D5385" w:rsidRPr="00F43E2F">
        <w:rPr>
          <w:rStyle w:val="Znakapoznpodarou"/>
          <w:rFonts w:ascii="Calibri" w:hAnsi="Calibri" w:cs="Calibri"/>
          <w:b/>
          <w:bCs/>
          <w:sz w:val="24"/>
        </w:rPr>
        <w:footnoteReference w:id="31"/>
      </w:r>
      <w:r w:rsidR="00E9521F" w:rsidRPr="00A5791A">
        <w:rPr>
          <w:rFonts w:ascii="Calibri" w:hAnsi="Calibri" w:cs="Calibri"/>
          <w:sz w:val="24"/>
        </w:rPr>
        <w:t>, která má být do českého právního řádu transponována do dubna 2016. Obdobná pravidla jsou uplatňována např. i ve Spolkové republice Německo</w:t>
      </w:r>
      <w:r w:rsidR="000D5385" w:rsidRPr="00A5791A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>(</w:t>
      </w:r>
      <w:r w:rsidR="00876773">
        <w:rPr>
          <w:rFonts w:ascii="Calibri" w:hAnsi="Calibri" w:cs="Calibri"/>
          <w:sz w:val="24"/>
        </w:rPr>
        <w:t>viz bod 2.7 </w:t>
      </w:r>
      <w:r w:rsidR="000D5385" w:rsidRPr="00A5791A">
        <w:rPr>
          <w:rFonts w:ascii="Calibri" w:hAnsi="Calibri" w:cs="Calibri"/>
          <w:sz w:val="24"/>
        </w:rPr>
        <w:t>společné zprávy o paralelní kontrole s německým Spolkovým účetním dvorem</w:t>
      </w:r>
      <w:r w:rsidR="000D5385" w:rsidRPr="00F43E2F">
        <w:rPr>
          <w:rStyle w:val="Znakapoznpodarou"/>
          <w:rFonts w:ascii="Calibri" w:hAnsi="Calibri" w:cs="Calibri"/>
          <w:sz w:val="24"/>
        </w:rPr>
        <w:footnoteReference w:id="32"/>
      </w:r>
      <w:r>
        <w:rPr>
          <w:rFonts w:ascii="Calibri" w:hAnsi="Calibri" w:cs="Calibri"/>
          <w:sz w:val="24"/>
        </w:rPr>
        <w:t>)</w:t>
      </w:r>
      <w:r w:rsidR="000D5385" w:rsidRPr="00A5791A">
        <w:rPr>
          <w:rFonts w:ascii="Calibri" w:hAnsi="Calibri" w:cs="Calibri"/>
          <w:sz w:val="24"/>
        </w:rPr>
        <w:t>.</w:t>
      </w:r>
    </w:p>
    <w:p w:rsidR="00676DD6" w:rsidRPr="00F43E2F" w:rsidRDefault="00676DD6" w:rsidP="00F43E2F">
      <w:pPr>
        <w:spacing w:after="0"/>
        <w:rPr>
          <w:rFonts w:ascii="Calibri" w:hAnsi="Calibri" w:cs="Calibri"/>
          <w:sz w:val="24"/>
        </w:rPr>
      </w:pPr>
    </w:p>
    <w:sectPr w:rsidR="00676DD6" w:rsidRPr="00F43E2F" w:rsidSect="00854568">
      <w:footerReference w:type="default" r:id="rId11"/>
      <w:pgSz w:w="12240" w:h="15840"/>
      <w:pgMar w:top="1417" w:right="1417" w:bottom="1417" w:left="1417" w:header="708" w:footer="708" w:gutter="0"/>
      <w:cols w:space="708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4D80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A0D" w:rsidRDefault="009B6A0D" w:rsidP="00896424">
      <w:r>
        <w:separator/>
      </w:r>
    </w:p>
  </w:endnote>
  <w:endnote w:type="continuationSeparator" w:id="0">
    <w:p w:rsidR="009B6A0D" w:rsidRDefault="009B6A0D" w:rsidP="00896424">
      <w:r>
        <w:continuationSeparator/>
      </w:r>
    </w:p>
  </w:endnote>
  <w:endnote w:type="continuationNotice" w:id="1">
    <w:p w:rsidR="009B6A0D" w:rsidRDefault="009B6A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723052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:rsidR="009B6A0D" w:rsidRPr="00F43E2F" w:rsidRDefault="009B6A0D" w:rsidP="00F43E2F">
        <w:pPr>
          <w:pStyle w:val="Zpat"/>
          <w:jc w:val="center"/>
          <w:rPr>
            <w:rFonts w:ascii="Calibri" w:hAnsi="Calibri" w:cs="Calibri"/>
            <w:sz w:val="20"/>
            <w:szCs w:val="20"/>
          </w:rPr>
        </w:pPr>
        <w:r w:rsidRPr="00F43E2F">
          <w:rPr>
            <w:rFonts w:ascii="Calibri" w:hAnsi="Calibri" w:cs="Calibri"/>
            <w:sz w:val="20"/>
            <w:szCs w:val="20"/>
          </w:rPr>
          <w:fldChar w:fldCharType="begin"/>
        </w:r>
        <w:r w:rsidRPr="00F43E2F">
          <w:rPr>
            <w:rFonts w:ascii="Calibri" w:hAnsi="Calibri" w:cs="Calibri"/>
            <w:sz w:val="20"/>
            <w:szCs w:val="20"/>
          </w:rPr>
          <w:instrText>PAGE   \* MERGEFORMAT</w:instrText>
        </w:r>
        <w:r w:rsidRPr="00F43E2F">
          <w:rPr>
            <w:rFonts w:ascii="Calibri" w:hAnsi="Calibri" w:cs="Calibri"/>
            <w:sz w:val="20"/>
            <w:szCs w:val="20"/>
          </w:rPr>
          <w:fldChar w:fldCharType="separate"/>
        </w:r>
        <w:r w:rsidR="005E30BD">
          <w:rPr>
            <w:rFonts w:ascii="Calibri" w:hAnsi="Calibri" w:cs="Calibri"/>
            <w:noProof/>
            <w:sz w:val="20"/>
            <w:szCs w:val="20"/>
          </w:rPr>
          <w:t>10</w:t>
        </w:r>
        <w:r w:rsidRPr="00F43E2F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A0D" w:rsidRDefault="009B6A0D" w:rsidP="00896424">
      <w:r>
        <w:separator/>
      </w:r>
    </w:p>
  </w:footnote>
  <w:footnote w:type="continuationSeparator" w:id="0">
    <w:p w:rsidR="009B6A0D" w:rsidRDefault="009B6A0D" w:rsidP="00896424">
      <w:r>
        <w:continuationSeparator/>
      </w:r>
    </w:p>
  </w:footnote>
  <w:footnote w:type="continuationNotice" w:id="1">
    <w:p w:rsidR="009B6A0D" w:rsidRDefault="009B6A0D">
      <w:pPr>
        <w:spacing w:after="0"/>
      </w:pPr>
    </w:p>
  </w:footnote>
  <w:footnote w:id="2">
    <w:p w:rsidR="009B6A0D" w:rsidRPr="00F43E2F" w:rsidRDefault="009B6A0D" w:rsidP="00F43E2F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F43E2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F43E2F">
        <w:rPr>
          <w:rFonts w:ascii="Calibri" w:hAnsi="Calibri" w:cs="Calibri"/>
        </w:rPr>
        <w:t xml:space="preserve">Datové centrum STC zahrnuje jak </w:t>
      </w:r>
      <w:proofErr w:type="spellStart"/>
      <w:r w:rsidRPr="00F43E2F">
        <w:rPr>
          <w:rFonts w:ascii="Calibri" w:hAnsi="Calibri" w:cs="Calibri"/>
        </w:rPr>
        <w:t>serverovny</w:t>
      </w:r>
      <w:proofErr w:type="spellEnd"/>
      <w:r w:rsidRPr="00F43E2F">
        <w:rPr>
          <w:rFonts w:ascii="Calibri" w:hAnsi="Calibri" w:cs="Calibri"/>
        </w:rPr>
        <w:t xml:space="preserve"> ve výrobním závodě III v objektu Státní tiskárny cenin</w:t>
      </w:r>
      <w:r>
        <w:rPr>
          <w:rFonts w:ascii="Calibri" w:hAnsi="Calibri" w:cs="Calibri"/>
        </w:rPr>
        <w:t xml:space="preserve"> v ulici</w:t>
      </w:r>
      <w:r w:rsidRPr="00F43E2F">
        <w:rPr>
          <w:rFonts w:ascii="Calibri" w:hAnsi="Calibri" w:cs="Calibri"/>
        </w:rPr>
        <w:t xml:space="preserve"> Na Vápence, tak nově postavenou budovu ve stejném areálu.</w:t>
      </w:r>
    </w:p>
  </w:footnote>
  <w:footnote w:id="3">
    <w:p w:rsidR="009B6A0D" w:rsidRPr="00F43E2F" w:rsidRDefault="009B6A0D" w:rsidP="00F43E2F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F43E2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F43E2F">
        <w:rPr>
          <w:rFonts w:ascii="Calibri" w:hAnsi="Calibri" w:cs="Calibri"/>
        </w:rPr>
        <w:t>Jedná se o seznam prvků, jejichž narušení by mělo závažný dopad na bezpečnost státu, zabezpečení základních životních potřeb obyvatelstva, zdraví osob nebo ekonomiku státu. Obsah seznamu, ve kterém jsou uvedena i datová centra, je dán nařízením vlády č. 432/2010 Sb., o kritériích pro určení prvku kritické infrastruktury.</w:t>
      </w:r>
    </w:p>
  </w:footnote>
  <w:footnote w:id="4">
    <w:p w:rsidR="009B6A0D" w:rsidRPr="00F43E2F" w:rsidRDefault="009B6A0D" w:rsidP="00F43E2F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F43E2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F43E2F">
        <w:rPr>
          <w:rFonts w:ascii="Calibri" w:hAnsi="Calibri" w:cs="Calibri"/>
        </w:rPr>
        <w:t>Zákon č. 2/1969</w:t>
      </w:r>
      <w:r>
        <w:rPr>
          <w:rFonts w:ascii="Calibri" w:hAnsi="Calibri" w:cs="Calibri"/>
        </w:rPr>
        <w:t> Sb.</w:t>
      </w:r>
      <w:r w:rsidRPr="00F43E2F">
        <w:rPr>
          <w:rFonts w:ascii="Calibri" w:hAnsi="Calibri" w:cs="Calibri"/>
        </w:rPr>
        <w:t xml:space="preserve">, o zřízení ministerstev a jiných ústředních orgánů státní správy České republiky; odpovědnost MV za koordinaci ICT byla doplněna novelou kompetenčního zákona č. 110/2007 Sb., </w:t>
      </w:r>
      <w:r>
        <w:rPr>
          <w:rFonts w:ascii="Calibri" w:hAnsi="Calibri" w:cs="Calibri"/>
        </w:rPr>
        <w:t>o některých opatřeních v </w:t>
      </w:r>
      <w:r w:rsidRPr="00F43E2F">
        <w:rPr>
          <w:rFonts w:ascii="Calibri" w:hAnsi="Calibri" w:cs="Calibri"/>
        </w:rPr>
        <w:t>soustavě ústředních orgánů státní správy, souvisejících se zrušením Ministerstva informatiky a</w:t>
      </w:r>
      <w:r>
        <w:rPr>
          <w:rFonts w:ascii="Calibri" w:hAnsi="Calibri" w:cs="Calibri"/>
        </w:rPr>
        <w:t> </w:t>
      </w:r>
      <w:r w:rsidRPr="00F43E2F">
        <w:rPr>
          <w:rFonts w:ascii="Calibri" w:hAnsi="Calibri" w:cs="Calibri"/>
        </w:rPr>
        <w:t>o</w:t>
      </w:r>
      <w:r>
        <w:rPr>
          <w:rFonts w:ascii="Calibri" w:hAnsi="Calibri" w:cs="Calibri"/>
        </w:rPr>
        <w:t> </w:t>
      </w:r>
      <w:r w:rsidRPr="00F43E2F">
        <w:rPr>
          <w:rFonts w:ascii="Calibri" w:hAnsi="Calibri" w:cs="Calibri"/>
        </w:rPr>
        <w:t>změně některých zákonů.</w:t>
      </w:r>
    </w:p>
  </w:footnote>
  <w:footnote w:id="5">
    <w:p w:rsidR="009B6A0D" w:rsidRPr="00F43E2F" w:rsidRDefault="009B6A0D" w:rsidP="00F43E2F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F43E2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F43E2F">
        <w:rPr>
          <w:rFonts w:ascii="Calibri" w:hAnsi="Calibri" w:cs="Calibri"/>
        </w:rPr>
        <w:t xml:space="preserve">Usnesení vlády ze dne 27. 8. 2014 č. </w:t>
      </w:r>
      <w:r w:rsidRPr="00403F51">
        <w:rPr>
          <w:rFonts w:ascii="Calibri" w:hAnsi="Calibri" w:cs="Calibri"/>
        </w:rPr>
        <w:t>680</w:t>
      </w:r>
      <w:r>
        <w:rPr>
          <w:rFonts w:ascii="Calibri" w:hAnsi="Calibri" w:cs="Calibri"/>
        </w:rPr>
        <w:t>,</w:t>
      </w:r>
      <w:r w:rsidRPr="00DD2712">
        <w:rPr>
          <w:rFonts w:ascii="Calibri" w:hAnsi="Calibri" w:cs="Calibri"/>
          <w:i/>
        </w:rPr>
        <w:t xml:space="preserve"> </w:t>
      </w:r>
      <w:r w:rsidRPr="00F43E2F">
        <w:rPr>
          <w:rFonts w:ascii="Calibri" w:hAnsi="Calibri" w:cs="Calibri"/>
          <w:i/>
        </w:rPr>
        <w:t xml:space="preserve">ke Strategickému rámci rozvoje veřejné správy České republiky pro období 2014–2020 a o zřízení </w:t>
      </w:r>
      <w:r>
        <w:rPr>
          <w:rFonts w:ascii="Calibri" w:hAnsi="Calibri" w:cs="Calibri"/>
          <w:i/>
        </w:rPr>
        <w:t>R</w:t>
      </w:r>
      <w:r w:rsidRPr="00F43E2F">
        <w:rPr>
          <w:rFonts w:ascii="Calibri" w:hAnsi="Calibri" w:cs="Calibri"/>
          <w:i/>
        </w:rPr>
        <w:t>ady vlády pro veřejnou správu.</w:t>
      </w:r>
    </w:p>
  </w:footnote>
  <w:footnote w:id="6">
    <w:p w:rsidR="009B6A0D" w:rsidRPr="00F43E2F" w:rsidRDefault="009B6A0D" w:rsidP="00F43E2F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F43E2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F43E2F">
        <w:rPr>
          <w:rFonts w:ascii="Calibri" w:hAnsi="Calibri" w:cs="Calibri"/>
        </w:rPr>
        <w:t>Pojem „infrastruktura“ označuje sadu vzájemně propojených výpočetních a komunikačních zařízení, systémů a aplikací, které umožňují fungování příslušných ICT služeb.</w:t>
      </w:r>
    </w:p>
  </w:footnote>
  <w:footnote w:id="7">
    <w:p w:rsidR="009B6A0D" w:rsidRPr="00F43E2F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F43E2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F43E2F">
        <w:rPr>
          <w:rFonts w:ascii="Calibri" w:hAnsi="Calibri" w:cs="Calibri"/>
        </w:rPr>
        <w:t>Nařízení vlády č. 432/2010 Sb., o kritériích pro určení prvku kritické infrastruktury.</w:t>
      </w:r>
    </w:p>
  </w:footnote>
  <w:footnote w:id="8">
    <w:p w:rsidR="009B6A0D" w:rsidRPr="00F43E2F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F43E2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F43E2F">
        <w:rPr>
          <w:rFonts w:ascii="Calibri" w:hAnsi="Calibri" w:cs="Calibri"/>
        </w:rPr>
        <w:t xml:space="preserve">Odpovědnost vyplývá ze zákona č. 240/2000 Sb., </w:t>
      </w:r>
      <w:r>
        <w:rPr>
          <w:rFonts w:ascii="Calibri" w:hAnsi="Calibri" w:cs="Calibri"/>
        </w:rPr>
        <w:t>o krizovém řízení a o změně některých zákonů (</w:t>
      </w:r>
      <w:r w:rsidRPr="00F43E2F">
        <w:rPr>
          <w:rFonts w:ascii="Calibri" w:hAnsi="Calibri" w:cs="Calibri"/>
        </w:rPr>
        <w:t>krizový zákon</w:t>
      </w:r>
      <w:r>
        <w:rPr>
          <w:rFonts w:ascii="Calibri" w:hAnsi="Calibri" w:cs="Calibri"/>
        </w:rPr>
        <w:t>)</w:t>
      </w:r>
      <w:r w:rsidRPr="00F43E2F">
        <w:rPr>
          <w:rFonts w:ascii="Calibri" w:hAnsi="Calibri" w:cs="Calibri"/>
        </w:rPr>
        <w:t>.</w:t>
      </w:r>
    </w:p>
  </w:footnote>
  <w:footnote w:id="9">
    <w:p w:rsidR="009B6A0D" w:rsidRPr="00F43E2F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F43E2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F43E2F">
        <w:rPr>
          <w:rFonts w:ascii="Calibri" w:hAnsi="Calibri" w:cs="Calibri"/>
        </w:rPr>
        <w:t>Usnesení vlády</w:t>
      </w:r>
      <w:r>
        <w:rPr>
          <w:rFonts w:ascii="Calibri" w:hAnsi="Calibri" w:cs="Calibri"/>
        </w:rPr>
        <w:t> ČR</w:t>
      </w:r>
      <w:r w:rsidRPr="00F43E2F">
        <w:rPr>
          <w:rFonts w:ascii="Calibri" w:hAnsi="Calibri" w:cs="Calibri"/>
        </w:rPr>
        <w:t xml:space="preserve"> ze dne 14. 12. 2011 č. 934</w:t>
      </w:r>
      <w:r>
        <w:rPr>
          <w:rFonts w:ascii="Calibri" w:hAnsi="Calibri" w:cs="Calibri"/>
        </w:rPr>
        <w:t>,</w:t>
      </w:r>
      <w:r w:rsidRPr="00F43E2F">
        <w:rPr>
          <w:rFonts w:ascii="Calibri" w:hAnsi="Calibri" w:cs="Calibri"/>
          <w:i/>
        </w:rPr>
        <w:t xml:space="preserve"> k určení prvků kritické infrastruktury, jejichž </w:t>
      </w:r>
      <w:r>
        <w:rPr>
          <w:rFonts w:ascii="Calibri" w:hAnsi="Calibri" w:cs="Calibri"/>
          <w:i/>
        </w:rPr>
        <w:t>provozovatelem</w:t>
      </w:r>
      <w:r w:rsidRPr="00F43E2F">
        <w:rPr>
          <w:rFonts w:ascii="Calibri" w:hAnsi="Calibri" w:cs="Calibri"/>
          <w:i/>
        </w:rPr>
        <w:t xml:space="preserve"> je organizační složka státu, </w:t>
      </w:r>
      <w:r>
        <w:rPr>
          <w:rFonts w:ascii="Calibri" w:hAnsi="Calibri" w:cs="Calibri"/>
        </w:rPr>
        <w:t>aktualizováno usnesením vlády ČR</w:t>
      </w:r>
      <w:r w:rsidRPr="00F43E2F">
        <w:rPr>
          <w:rFonts w:ascii="Calibri" w:hAnsi="Calibri" w:cs="Calibri"/>
        </w:rPr>
        <w:t xml:space="preserve"> ze dne 4. 9. 2013 č. 681.</w:t>
      </w:r>
    </w:p>
  </w:footnote>
  <w:footnote w:id="10">
    <w:p w:rsidR="009B6A0D" w:rsidRPr="00F43E2F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  <w:sz w:val="18"/>
          <w:szCs w:val="18"/>
        </w:rPr>
      </w:pPr>
      <w:r w:rsidRPr="00F43E2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F43E2F">
        <w:rPr>
          <w:rFonts w:ascii="Calibri" w:hAnsi="Calibri" w:cs="Calibri"/>
        </w:rPr>
        <w:t>Povinnost stanovilo usnesení vlády ze dne 4. 4. 2012 č. 224</w:t>
      </w:r>
      <w:r>
        <w:rPr>
          <w:rFonts w:ascii="Calibri" w:hAnsi="Calibri" w:cs="Calibri"/>
        </w:rPr>
        <w:t>,</w:t>
      </w:r>
      <w:r w:rsidRPr="00F43E2F">
        <w:rPr>
          <w:rFonts w:ascii="Calibri" w:hAnsi="Calibri" w:cs="Calibri"/>
        </w:rPr>
        <w:t xml:space="preserve"> </w:t>
      </w:r>
      <w:r w:rsidRPr="00F43E2F">
        <w:rPr>
          <w:rFonts w:ascii="Calibri" w:hAnsi="Calibri" w:cs="Calibri"/>
          <w:i/>
        </w:rPr>
        <w:t>k Informaci o zajištění vybraných služeb informačních a komunikačních technologií využívaných státní správou.</w:t>
      </w:r>
    </w:p>
  </w:footnote>
  <w:footnote w:id="11">
    <w:p w:rsidR="009B6A0D" w:rsidRPr="00F43E2F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F43E2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F43E2F">
        <w:rPr>
          <w:rFonts w:ascii="Calibri" w:hAnsi="Calibri" w:cs="Calibri"/>
        </w:rPr>
        <w:t>Zákon č. 365/2000 Sb., o informačních systémech veřejné správy a o změně některých dalších zákonů.</w:t>
      </w:r>
    </w:p>
  </w:footnote>
  <w:footnote w:id="12">
    <w:p w:rsidR="009B6A0D" w:rsidRPr="00F43E2F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  <w:i/>
        </w:rPr>
      </w:pPr>
      <w:r w:rsidRPr="00F43E2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F43E2F">
        <w:rPr>
          <w:rFonts w:ascii="Calibri" w:hAnsi="Calibri" w:cs="Calibri"/>
        </w:rPr>
        <w:t>Usnesení vlády</w:t>
      </w:r>
      <w:r>
        <w:rPr>
          <w:rFonts w:ascii="Calibri" w:hAnsi="Calibri" w:cs="Calibri"/>
        </w:rPr>
        <w:t xml:space="preserve"> ČR</w:t>
      </w:r>
      <w:r w:rsidRPr="00F43E2F">
        <w:rPr>
          <w:rFonts w:ascii="Calibri" w:hAnsi="Calibri" w:cs="Calibri"/>
        </w:rPr>
        <w:t xml:space="preserve"> ze dne 9. 7. 2008 č. 854, </w:t>
      </w:r>
      <w:r w:rsidRPr="00F43E2F">
        <w:rPr>
          <w:rFonts w:ascii="Calibri" w:hAnsi="Calibri" w:cs="Calibri"/>
          <w:i/>
        </w:rPr>
        <w:t>ke Strategii rozvoje služeb pro informační společnost v České republice na období 2008–2012</w:t>
      </w:r>
      <w:r w:rsidRPr="00F43E2F">
        <w:rPr>
          <w:rFonts w:ascii="Calibri" w:hAnsi="Calibri" w:cs="Calibri"/>
        </w:rPr>
        <w:t>.</w:t>
      </w:r>
    </w:p>
  </w:footnote>
  <w:footnote w:id="13">
    <w:p w:rsidR="009B6A0D" w:rsidRPr="00F43E2F" w:rsidRDefault="009B6A0D" w:rsidP="00F43E2F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F43E2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F43E2F">
        <w:rPr>
          <w:rFonts w:ascii="Calibri" w:hAnsi="Calibri" w:cs="Calibri"/>
        </w:rPr>
        <w:t xml:space="preserve">UPS z angl. </w:t>
      </w:r>
      <w:proofErr w:type="spellStart"/>
      <w:r w:rsidRPr="00EF77A8">
        <w:rPr>
          <w:rFonts w:ascii="Calibri" w:hAnsi="Calibri" w:cs="Calibri"/>
          <w:i/>
        </w:rPr>
        <w:t>Uninterruptible</w:t>
      </w:r>
      <w:proofErr w:type="spellEnd"/>
      <w:r w:rsidRPr="00EF77A8">
        <w:rPr>
          <w:rFonts w:ascii="Calibri" w:hAnsi="Calibri" w:cs="Calibri"/>
          <w:i/>
        </w:rPr>
        <w:t xml:space="preserve"> </w:t>
      </w:r>
      <w:proofErr w:type="spellStart"/>
      <w:r w:rsidRPr="00EF77A8">
        <w:rPr>
          <w:rFonts w:ascii="Calibri" w:hAnsi="Calibri" w:cs="Calibri"/>
          <w:i/>
        </w:rPr>
        <w:t>Power</w:t>
      </w:r>
      <w:proofErr w:type="spellEnd"/>
      <w:r w:rsidRPr="00EF77A8">
        <w:rPr>
          <w:rFonts w:ascii="Calibri" w:hAnsi="Calibri" w:cs="Calibri"/>
          <w:i/>
        </w:rPr>
        <w:t xml:space="preserve"> Supply</w:t>
      </w:r>
      <w:r w:rsidRPr="00F43E2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– </w:t>
      </w:r>
      <w:r w:rsidRPr="00F43E2F">
        <w:rPr>
          <w:rFonts w:ascii="Calibri" w:hAnsi="Calibri" w:cs="Calibri"/>
        </w:rPr>
        <w:t>v češtině tzv. záložní zdroj.</w:t>
      </w:r>
    </w:p>
  </w:footnote>
  <w:footnote w:id="14">
    <w:p w:rsidR="009B6A0D" w:rsidRPr="00F43E2F" w:rsidRDefault="009B6A0D" w:rsidP="00F43E2F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F43E2F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  <w:t>V</w:t>
      </w:r>
      <w:r w:rsidRPr="00F43E2F">
        <w:rPr>
          <w:rFonts w:ascii="Calibri" w:hAnsi="Calibri" w:cs="Calibri"/>
        </w:rPr>
        <w:t>iz § 23 odst. 7 písm. a) zákona č. 137/2006 Sb., o veřejných zakázkách</w:t>
      </w:r>
      <w:r>
        <w:rPr>
          <w:rFonts w:ascii="Calibri" w:hAnsi="Calibri" w:cs="Calibri"/>
        </w:rPr>
        <w:t>.</w:t>
      </w:r>
    </w:p>
  </w:footnote>
  <w:footnote w:id="15">
    <w:p w:rsidR="009B6A0D" w:rsidRPr="00A5791A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A5791A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EF77A8">
        <w:rPr>
          <w:rFonts w:ascii="Calibri" w:hAnsi="Calibri" w:cs="Calibri"/>
          <w:i/>
        </w:rPr>
        <w:t>ICT strategie resortu Ministerstva financí ČR pro období 2009–2013</w:t>
      </w:r>
      <w:r w:rsidRPr="00A5791A">
        <w:rPr>
          <w:rFonts w:ascii="Calibri" w:hAnsi="Calibri" w:cs="Calibri"/>
        </w:rPr>
        <w:t>.</w:t>
      </w:r>
    </w:p>
  </w:footnote>
  <w:footnote w:id="16">
    <w:p w:rsidR="009B6A0D" w:rsidRPr="00A5791A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A5791A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A5791A">
        <w:rPr>
          <w:rFonts w:ascii="Calibri" w:hAnsi="Calibri" w:cs="Calibri"/>
        </w:rPr>
        <w:t>Tj. u subjektů, ve kterých má stát výlučná majetková práva.</w:t>
      </w:r>
    </w:p>
  </w:footnote>
  <w:footnote w:id="17">
    <w:p w:rsidR="009B6A0D" w:rsidRPr="00A5791A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A5791A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A5791A">
        <w:rPr>
          <w:rFonts w:ascii="Calibri" w:hAnsi="Calibri" w:cs="Calibri"/>
        </w:rPr>
        <w:t>V říjnu 2013 přijala STC opatření, na jehož základě měla STC při stanov</w:t>
      </w:r>
      <w:r>
        <w:rPr>
          <w:rFonts w:ascii="Calibri" w:hAnsi="Calibri" w:cs="Calibri"/>
        </w:rPr>
        <w:t>ování</w:t>
      </w:r>
      <w:r w:rsidRPr="00A5791A">
        <w:rPr>
          <w:rFonts w:ascii="Calibri" w:hAnsi="Calibri" w:cs="Calibri"/>
        </w:rPr>
        <w:t xml:space="preserve"> cen u služby </w:t>
      </w:r>
      <w:proofErr w:type="spellStart"/>
      <w:r w:rsidRPr="00A5791A">
        <w:rPr>
          <w:rFonts w:ascii="Calibri" w:hAnsi="Calibri" w:cs="Calibri"/>
        </w:rPr>
        <w:t>housingu</w:t>
      </w:r>
      <w:proofErr w:type="spellEnd"/>
      <w:r w:rsidRPr="00A5791A">
        <w:rPr>
          <w:rFonts w:ascii="Calibri" w:hAnsi="Calibri" w:cs="Calibri"/>
        </w:rPr>
        <w:t xml:space="preserve"> počítat </w:t>
      </w:r>
      <w:r>
        <w:rPr>
          <w:rFonts w:ascii="Calibri" w:hAnsi="Calibri" w:cs="Calibri"/>
        </w:rPr>
        <w:t xml:space="preserve">se 100% </w:t>
      </w:r>
      <w:r w:rsidRPr="00A5791A">
        <w:rPr>
          <w:rFonts w:ascii="Calibri" w:hAnsi="Calibri" w:cs="Calibri"/>
        </w:rPr>
        <w:t>obsazeností datového centra.</w:t>
      </w:r>
    </w:p>
  </w:footnote>
  <w:footnote w:id="18">
    <w:p w:rsidR="009B6A0D" w:rsidRPr="00A5791A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A5791A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A5791A">
        <w:rPr>
          <w:rFonts w:ascii="Calibri" w:hAnsi="Calibri" w:cs="Calibri"/>
        </w:rPr>
        <w:t>Incident je nestandardní událost, která může zapříčinit snížení kvality nebo dostupnosti příslušné ICT služby.</w:t>
      </w:r>
    </w:p>
  </w:footnote>
  <w:footnote w:id="19">
    <w:p w:rsidR="009B6A0D" w:rsidRPr="00A5791A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A5791A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A5791A">
        <w:rPr>
          <w:rFonts w:ascii="Calibri" w:hAnsi="Calibri" w:cs="Calibri"/>
        </w:rPr>
        <w:t>Zákon č. 137/2006 Sb., o veřejných zakázkách.</w:t>
      </w:r>
    </w:p>
  </w:footnote>
  <w:footnote w:id="20">
    <w:p w:rsidR="009B6A0D" w:rsidRPr="00A5791A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A5791A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A5791A">
        <w:rPr>
          <w:rFonts w:ascii="Calibri" w:hAnsi="Calibri" w:cs="Calibri"/>
        </w:rPr>
        <w:t>Dle § 18 odst. 1 písm. a) zákona o veřejných zakázkách.</w:t>
      </w:r>
    </w:p>
  </w:footnote>
  <w:footnote w:id="21">
    <w:p w:rsidR="009B6A0D" w:rsidRPr="00A5791A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A5791A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A5791A">
        <w:rPr>
          <w:rFonts w:ascii="Calibri" w:eastAsiaTheme="minorHAnsi" w:hAnsi="Calibri" w:cs="Calibri"/>
        </w:rPr>
        <w:t>Nařízení vlády č. 522/2005 Sb., kterým se stanoví seznam utajovaných informací.</w:t>
      </w:r>
    </w:p>
  </w:footnote>
  <w:footnote w:id="22">
    <w:p w:rsidR="009B6A0D" w:rsidRPr="00A5791A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A5791A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A5791A">
        <w:rPr>
          <w:rFonts w:ascii="Calibri" w:hAnsi="Calibri" w:cs="Calibri"/>
        </w:rPr>
        <w:t>Z</w:t>
      </w:r>
      <w:r w:rsidRPr="00A5791A">
        <w:rPr>
          <w:rFonts w:ascii="Calibri" w:eastAsiaTheme="minorHAnsi" w:hAnsi="Calibri" w:cs="Calibri"/>
        </w:rPr>
        <w:t>ákon č. 412/2005 Sb., o ochraně utajovaných informací a o bezpečnostní způsobilosti</w:t>
      </w:r>
      <w:r>
        <w:rPr>
          <w:rFonts w:ascii="Calibri" w:eastAsiaTheme="minorHAnsi" w:hAnsi="Calibri" w:cs="Calibri"/>
        </w:rPr>
        <w:t>,</w:t>
      </w:r>
      <w:r w:rsidRPr="00A5791A">
        <w:rPr>
          <w:rFonts w:ascii="Calibri" w:eastAsiaTheme="minorHAnsi" w:hAnsi="Calibri" w:cs="Calibri"/>
        </w:rPr>
        <w:t xml:space="preserve"> (dále také „zákon o ochraně utajovaných informací“).</w:t>
      </w:r>
    </w:p>
  </w:footnote>
  <w:footnote w:id="23">
    <w:p w:rsidR="009B6A0D" w:rsidRPr="00A5791A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A5791A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A5791A">
        <w:rPr>
          <w:rFonts w:ascii="Calibri" w:hAnsi="Calibri" w:cs="Calibri"/>
        </w:rPr>
        <w:t>Zákon č. 255/2011 Sb., kterým se mění zákon č. 412/2005 Sb., o ochraně utajovaných informací a</w:t>
      </w:r>
      <w:r>
        <w:rPr>
          <w:rFonts w:ascii="Calibri" w:hAnsi="Calibri" w:cs="Calibri"/>
        </w:rPr>
        <w:t> </w:t>
      </w:r>
      <w:r w:rsidRPr="00A5791A">
        <w:rPr>
          <w:rFonts w:ascii="Calibri" w:hAnsi="Calibri" w:cs="Calibri"/>
        </w:rPr>
        <w:t>o</w:t>
      </w:r>
      <w:r>
        <w:rPr>
          <w:rFonts w:ascii="Calibri" w:hAnsi="Calibri" w:cs="Calibri"/>
        </w:rPr>
        <w:t> </w:t>
      </w:r>
      <w:r w:rsidRPr="00A5791A">
        <w:rPr>
          <w:rFonts w:ascii="Calibri" w:hAnsi="Calibri" w:cs="Calibri"/>
        </w:rPr>
        <w:t>bezpečnostní způsobilosti, ve znění pozdějších předpisů, a zákon č. 634/2004 Sb., o správních poplatcích, ve znění pozdějších předpisů.</w:t>
      </w:r>
    </w:p>
  </w:footnote>
  <w:footnote w:id="24">
    <w:p w:rsidR="009B6A0D" w:rsidRPr="00A5791A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A5791A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A5791A">
        <w:rPr>
          <w:rFonts w:ascii="Calibri" w:hAnsi="Calibri" w:cs="Calibri"/>
        </w:rPr>
        <w:t>Zákon č. 435/2004 Sb., o zaměstnanosti</w:t>
      </w:r>
      <w:r>
        <w:rPr>
          <w:rFonts w:ascii="Calibri" w:hAnsi="Calibri" w:cs="Calibri"/>
        </w:rPr>
        <w:t>.</w:t>
      </w:r>
    </w:p>
  </w:footnote>
  <w:footnote w:id="25">
    <w:p w:rsidR="009B6A0D" w:rsidRPr="00A5791A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A5791A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A5791A">
        <w:rPr>
          <w:rFonts w:ascii="Calibri" w:hAnsi="Calibri" w:cs="Calibri"/>
        </w:rPr>
        <w:t>Zákon č. 65/1965 Sb., zákoník práce, resp. zákon č. 262/2006 Sb., zákoník práce.</w:t>
      </w:r>
    </w:p>
  </w:footnote>
  <w:footnote w:id="26">
    <w:p w:rsidR="009B6A0D" w:rsidRPr="00A5791A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A5791A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A5791A">
        <w:rPr>
          <w:rFonts w:ascii="Calibri" w:hAnsi="Calibri" w:cs="Calibri"/>
        </w:rPr>
        <w:t>V částce není započítán důvod nepřítomnosti „dovolená“.</w:t>
      </w:r>
    </w:p>
  </w:footnote>
  <w:footnote w:id="27">
    <w:p w:rsidR="009B6A0D" w:rsidRPr="00A5791A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A5791A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A5791A">
        <w:rPr>
          <w:rFonts w:ascii="Calibri" w:hAnsi="Calibri" w:cs="Calibri"/>
        </w:rPr>
        <w:t>Dle zákona č. 218/2000 Sb., o rozpočtových pravidlech a o změně některých souvisejících zákonů (rozpočtová pravidla).</w:t>
      </w:r>
    </w:p>
  </w:footnote>
  <w:footnote w:id="28">
    <w:p w:rsidR="009B6A0D" w:rsidRPr="00A5791A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A5791A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A5791A">
        <w:rPr>
          <w:rFonts w:ascii="Calibri" w:hAnsi="Calibri" w:cs="Calibri"/>
        </w:rPr>
        <w:t>Dle zákona č. 219/2000 Sb., o majetku České republiky a jejím vystupování v právních vztazích.</w:t>
      </w:r>
    </w:p>
  </w:footnote>
  <w:footnote w:id="29">
    <w:p w:rsidR="009B6A0D" w:rsidRPr="00A5791A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A5791A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A5791A">
        <w:rPr>
          <w:rFonts w:ascii="Calibri" w:hAnsi="Calibri" w:cs="Calibri"/>
        </w:rPr>
        <w:t xml:space="preserve">Zákon </w:t>
      </w:r>
      <w:r>
        <w:rPr>
          <w:rFonts w:ascii="Calibri" w:hAnsi="Calibri" w:cs="Calibri"/>
        </w:rPr>
        <w:t>č. </w:t>
      </w:r>
      <w:r w:rsidRPr="00A5791A">
        <w:rPr>
          <w:rFonts w:ascii="Calibri" w:hAnsi="Calibri" w:cs="Calibri"/>
        </w:rPr>
        <w:t>77/1997 Sb., o státním podniku.</w:t>
      </w:r>
    </w:p>
  </w:footnote>
  <w:footnote w:id="30">
    <w:p w:rsidR="009B6A0D" w:rsidRPr="00A5791A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A5791A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A5791A">
        <w:rPr>
          <w:rFonts w:ascii="Calibri" w:hAnsi="Calibri" w:cs="Calibri"/>
        </w:rPr>
        <w:t>Usnesení vlády</w:t>
      </w:r>
      <w:r>
        <w:rPr>
          <w:rFonts w:ascii="Calibri" w:hAnsi="Calibri" w:cs="Calibri"/>
        </w:rPr>
        <w:t xml:space="preserve"> ČR</w:t>
      </w:r>
      <w:r w:rsidRPr="00A5791A">
        <w:rPr>
          <w:rFonts w:ascii="Calibri" w:hAnsi="Calibri" w:cs="Calibri"/>
        </w:rPr>
        <w:t xml:space="preserve"> ze dne 27. 8. 2014 č. 680</w:t>
      </w:r>
      <w:r>
        <w:rPr>
          <w:rFonts w:ascii="Calibri" w:hAnsi="Calibri" w:cs="Calibri"/>
        </w:rPr>
        <w:t>,</w:t>
      </w:r>
      <w:r w:rsidRPr="00A5791A">
        <w:rPr>
          <w:rFonts w:ascii="Calibri" w:hAnsi="Calibri" w:cs="Calibri"/>
        </w:rPr>
        <w:t xml:space="preserve"> </w:t>
      </w:r>
      <w:r w:rsidRPr="00D963DC">
        <w:rPr>
          <w:rFonts w:ascii="Calibri" w:hAnsi="Calibri" w:cs="Calibri"/>
          <w:i/>
        </w:rPr>
        <w:t xml:space="preserve">ke Strategickému rámci rozvoje veřejné správy České republiky pro období 2014–2020 a o zřízení </w:t>
      </w:r>
      <w:r>
        <w:rPr>
          <w:rFonts w:ascii="Calibri" w:hAnsi="Calibri" w:cs="Calibri"/>
          <w:i/>
        </w:rPr>
        <w:t>R</w:t>
      </w:r>
      <w:r w:rsidRPr="00D963DC">
        <w:rPr>
          <w:rFonts w:ascii="Calibri" w:hAnsi="Calibri" w:cs="Calibri"/>
          <w:i/>
        </w:rPr>
        <w:t>ady vlády pro veřejnou správu</w:t>
      </w:r>
      <w:r w:rsidRPr="00A5791A">
        <w:rPr>
          <w:rFonts w:ascii="Calibri" w:hAnsi="Calibri" w:cs="Calibri"/>
        </w:rPr>
        <w:t>.</w:t>
      </w:r>
    </w:p>
  </w:footnote>
  <w:footnote w:id="31">
    <w:p w:rsidR="009B6A0D" w:rsidRPr="00A5791A" w:rsidRDefault="009B6A0D" w:rsidP="00A5791A">
      <w:pPr>
        <w:spacing w:after="0"/>
        <w:ind w:left="284" w:hanging="284"/>
        <w:rPr>
          <w:rFonts w:ascii="Calibri" w:hAnsi="Calibri" w:cs="Calibri"/>
          <w:sz w:val="20"/>
          <w:szCs w:val="20"/>
        </w:rPr>
      </w:pPr>
      <w:r w:rsidRPr="00A5791A">
        <w:rPr>
          <w:rStyle w:val="Znakapoznpodarou"/>
          <w:rFonts w:ascii="Calibri" w:hAnsi="Calibri" w:cs="Calibri"/>
          <w:sz w:val="20"/>
          <w:szCs w:val="20"/>
        </w:rPr>
        <w:footnoteRef/>
      </w:r>
      <w:r>
        <w:rPr>
          <w:rFonts w:ascii="Calibri" w:hAnsi="Calibri" w:cs="Calibri"/>
          <w:sz w:val="20"/>
          <w:szCs w:val="20"/>
        </w:rPr>
        <w:tab/>
      </w:r>
      <w:hyperlink r:id="rId1" w:history="1">
        <w:r w:rsidRPr="00A5791A">
          <w:rPr>
            <w:rStyle w:val="Hypertextovodkaz"/>
            <w:rFonts w:ascii="Calibri" w:hAnsi="Calibri" w:cs="Calibri"/>
            <w:color w:val="auto"/>
            <w:sz w:val="20"/>
            <w:szCs w:val="20"/>
            <w:u w:val="none"/>
          </w:rPr>
          <w:t>Směrnice Evropského parlamentu a Rady 2014/24/EU ze dne 26. února 2014</w:t>
        </w:r>
        <w:r>
          <w:rPr>
            <w:rStyle w:val="Hypertextovodkaz"/>
            <w:rFonts w:ascii="Calibri" w:hAnsi="Calibri" w:cs="Calibri"/>
            <w:color w:val="auto"/>
            <w:sz w:val="20"/>
            <w:szCs w:val="20"/>
            <w:u w:val="none"/>
          </w:rPr>
          <w:t>,</w:t>
        </w:r>
        <w:r w:rsidRPr="00A5791A">
          <w:rPr>
            <w:rStyle w:val="Hypertextovodkaz"/>
            <w:rFonts w:ascii="Calibri" w:hAnsi="Calibri" w:cs="Calibri"/>
            <w:color w:val="auto"/>
            <w:sz w:val="20"/>
            <w:szCs w:val="20"/>
            <w:u w:val="none"/>
          </w:rPr>
          <w:t xml:space="preserve"> o</w:t>
        </w:r>
        <w:r>
          <w:rPr>
            <w:rStyle w:val="Hypertextovodkaz"/>
            <w:rFonts w:ascii="Calibri" w:hAnsi="Calibri" w:cs="Calibri"/>
            <w:color w:val="auto"/>
            <w:sz w:val="20"/>
            <w:szCs w:val="20"/>
            <w:u w:val="none"/>
          </w:rPr>
          <w:t xml:space="preserve"> zadávání veřejných zakázek a </w:t>
        </w:r>
        <w:r w:rsidRPr="00A5791A">
          <w:rPr>
            <w:rStyle w:val="Hypertextovodkaz"/>
            <w:rFonts w:ascii="Calibri" w:hAnsi="Calibri" w:cs="Calibri"/>
            <w:color w:val="auto"/>
            <w:sz w:val="20"/>
            <w:szCs w:val="20"/>
            <w:u w:val="none"/>
          </w:rPr>
          <w:t>o zrušení směrnice 2004/18/ES</w:t>
        </w:r>
      </w:hyperlink>
      <w:r w:rsidRPr="00A5791A">
        <w:rPr>
          <w:rFonts w:ascii="Calibri" w:hAnsi="Calibri" w:cs="Calibri"/>
          <w:sz w:val="20"/>
          <w:szCs w:val="20"/>
        </w:rPr>
        <w:t>.</w:t>
      </w:r>
    </w:p>
  </w:footnote>
  <w:footnote w:id="32">
    <w:p w:rsidR="009B6A0D" w:rsidRPr="00A5791A" w:rsidRDefault="009B6A0D" w:rsidP="00A5791A">
      <w:pPr>
        <w:pStyle w:val="Textpoznpodarou"/>
        <w:spacing w:after="0"/>
        <w:ind w:left="284" w:hanging="284"/>
        <w:rPr>
          <w:rFonts w:ascii="Calibri" w:hAnsi="Calibri" w:cs="Calibri"/>
        </w:rPr>
      </w:pPr>
      <w:r w:rsidRPr="00A5791A">
        <w:rPr>
          <w:rStyle w:val="Znakapoznpodarou"/>
          <w:rFonts w:ascii="Calibri" w:hAnsi="Calibri" w:cs="Calibri"/>
        </w:rPr>
        <w:footnoteRef/>
      </w:r>
      <w:r>
        <w:rPr>
          <w:rFonts w:ascii="Calibri" w:hAnsi="Calibri" w:cs="Calibri"/>
        </w:rPr>
        <w:tab/>
      </w:r>
      <w:r w:rsidRPr="00D963DC">
        <w:rPr>
          <w:rFonts w:ascii="Calibri" w:hAnsi="Calibri" w:cs="Calibri"/>
          <w:i/>
        </w:rPr>
        <w:t>Zadávání veřejných zakázek na stavební práce a prevence korupce</w:t>
      </w:r>
      <w:r>
        <w:rPr>
          <w:rFonts w:ascii="Calibri" w:hAnsi="Calibri" w:cs="Calibri"/>
        </w:rPr>
        <w:t>.</w:t>
      </w:r>
      <w:r w:rsidRPr="00A5791A">
        <w:rPr>
          <w:rFonts w:ascii="Calibri" w:hAnsi="Calibri" w:cs="Calibri"/>
        </w:rPr>
        <w:t xml:space="preserve"> Společná zpráva o paralelní kontrole provedené českým Nejvyšším kontrolním úřadem (NKÚ) a německým Spolkovým účetním dvorem (BRH) z roku 2013.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8B2"/>
    <w:multiLevelType w:val="hybridMultilevel"/>
    <w:tmpl w:val="6744F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F3F05"/>
    <w:multiLevelType w:val="hybridMultilevel"/>
    <w:tmpl w:val="1F7AD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A2240"/>
    <w:multiLevelType w:val="hybridMultilevel"/>
    <w:tmpl w:val="5448D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74C07"/>
    <w:multiLevelType w:val="hybridMultilevel"/>
    <w:tmpl w:val="70480B86"/>
    <w:lvl w:ilvl="0" w:tplc="B9A0CE9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F6CC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1C7A1B5D"/>
    <w:multiLevelType w:val="hybridMultilevel"/>
    <w:tmpl w:val="0FF48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E651D"/>
    <w:multiLevelType w:val="hybridMultilevel"/>
    <w:tmpl w:val="904E8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84DED"/>
    <w:multiLevelType w:val="hybridMultilevel"/>
    <w:tmpl w:val="67D84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43830"/>
    <w:multiLevelType w:val="hybridMultilevel"/>
    <w:tmpl w:val="945CF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A50CB"/>
    <w:multiLevelType w:val="hybridMultilevel"/>
    <w:tmpl w:val="6C846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876C3"/>
    <w:multiLevelType w:val="hybridMultilevel"/>
    <w:tmpl w:val="B7FCD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E5F5A"/>
    <w:multiLevelType w:val="hybridMultilevel"/>
    <w:tmpl w:val="9E78D450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F118E"/>
    <w:multiLevelType w:val="hybridMultilevel"/>
    <w:tmpl w:val="7B828D10"/>
    <w:lvl w:ilvl="0" w:tplc="7AE8A1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F42B01"/>
    <w:multiLevelType w:val="hybridMultilevel"/>
    <w:tmpl w:val="F5B84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A67B0"/>
    <w:multiLevelType w:val="hybridMultilevel"/>
    <w:tmpl w:val="54247FFC"/>
    <w:lvl w:ilvl="0" w:tplc="3B70938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95BB3"/>
    <w:multiLevelType w:val="hybridMultilevel"/>
    <w:tmpl w:val="6D3CF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54DB1"/>
    <w:multiLevelType w:val="hybridMultilevel"/>
    <w:tmpl w:val="7ACEC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E10C6"/>
    <w:multiLevelType w:val="hybridMultilevel"/>
    <w:tmpl w:val="6A805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96272"/>
    <w:multiLevelType w:val="hybridMultilevel"/>
    <w:tmpl w:val="C974F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854CE"/>
    <w:multiLevelType w:val="hybridMultilevel"/>
    <w:tmpl w:val="471ECFA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E3632E5"/>
    <w:multiLevelType w:val="hybridMultilevel"/>
    <w:tmpl w:val="A4504402"/>
    <w:lvl w:ilvl="0" w:tplc="C93EC2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C4521B"/>
    <w:multiLevelType w:val="multilevel"/>
    <w:tmpl w:val="372A9B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>
    <w:nsid w:val="503F3B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2402B49"/>
    <w:multiLevelType w:val="multilevel"/>
    <w:tmpl w:val="C74429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574E1EDF"/>
    <w:multiLevelType w:val="hybridMultilevel"/>
    <w:tmpl w:val="BA86399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AFF3E40"/>
    <w:multiLevelType w:val="hybridMultilevel"/>
    <w:tmpl w:val="B568E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D6DC9"/>
    <w:multiLevelType w:val="hybridMultilevel"/>
    <w:tmpl w:val="2B7C8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871507"/>
    <w:multiLevelType w:val="hybridMultilevel"/>
    <w:tmpl w:val="A11C2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365F5B"/>
    <w:multiLevelType w:val="hybridMultilevel"/>
    <w:tmpl w:val="12B04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B8417E"/>
    <w:multiLevelType w:val="hybridMultilevel"/>
    <w:tmpl w:val="9F167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C11EE6"/>
    <w:multiLevelType w:val="hybridMultilevel"/>
    <w:tmpl w:val="51DA9DD4"/>
    <w:lvl w:ilvl="0" w:tplc="F2CC3BB8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1" w:hanging="360"/>
      </w:pPr>
    </w:lvl>
    <w:lvl w:ilvl="2" w:tplc="0405001B" w:tentative="1">
      <w:start w:val="1"/>
      <w:numFmt w:val="lowerRoman"/>
      <w:lvlText w:val="%3."/>
      <w:lvlJc w:val="right"/>
      <w:pPr>
        <w:ind w:left="2231" w:hanging="180"/>
      </w:pPr>
    </w:lvl>
    <w:lvl w:ilvl="3" w:tplc="0405000F" w:tentative="1">
      <w:start w:val="1"/>
      <w:numFmt w:val="decimal"/>
      <w:lvlText w:val="%4."/>
      <w:lvlJc w:val="left"/>
      <w:pPr>
        <w:ind w:left="2951" w:hanging="360"/>
      </w:pPr>
    </w:lvl>
    <w:lvl w:ilvl="4" w:tplc="04050019" w:tentative="1">
      <w:start w:val="1"/>
      <w:numFmt w:val="lowerLetter"/>
      <w:lvlText w:val="%5."/>
      <w:lvlJc w:val="left"/>
      <w:pPr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31">
    <w:nsid w:val="6D400F5D"/>
    <w:multiLevelType w:val="hybridMultilevel"/>
    <w:tmpl w:val="146CC1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E405B5B"/>
    <w:multiLevelType w:val="hybridMultilevel"/>
    <w:tmpl w:val="4DF8A4DC"/>
    <w:lvl w:ilvl="0" w:tplc="15EEB8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4C2A72"/>
    <w:multiLevelType w:val="hybridMultilevel"/>
    <w:tmpl w:val="643CB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200AF"/>
    <w:multiLevelType w:val="hybridMultilevel"/>
    <w:tmpl w:val="E61E92AC"/>
    <w:lvl w:ilvl="0" w:tplc="5CB8771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CA6A8E"/>
    <w:multiLevelType w:val="hybridMultilevel"/>
    <w:tmpl w:val="4BF6B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A750F0"/>
    <w:multiLevelType w:val="hybridMultilevel"/>
    <w:tmpl w:val="ADA40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1C2BFB"/>
    <w:multiLevelType w:val="hybridMultilevel"/>
    <w:tmpl w:val="F574F63A"/>
    <w:lvl w:ilvl="0" w:tplc="0060B10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047AAA"/>
    <w:multiLevelType w:val="hybridMultilevel"/>
    <w:tmpl w:val="2CFE55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EC3774"/>
    <w:multiLevelType w:val="hybridMultilevel"/>
    <w:tmpl w:val="1C569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360FF4"/>
    <w:multiLevelType w:val="hybridMultilevel"/>
    <w:tmpl w:val="C69ABCA8"/>
    <w:lvl w:ilvl="0" w:tplc="564893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</w:num>
  <w:num w:numId="3">
    <w:abstractNumId w:val="13"/>
  </w:num>
  <w:num w:numId="4">
    <w:abstractNumId w:val="29"/>
  </w:num>
  <w:num w:numId="5">
    <w:abstractNumId w:val="7"/>
  </w:num>
  <w:num w:numId="6">
    <w:abstractNumId w:val="22"/>
  </w:num>
  <w:num w:numId="7">
    <w:abstractNumId w:val="38"/>
  </w:num>
  <w:num w:numId="8">
    <w:abstractNumId w:val="14"/>
  </w:num>
  <w:num w:numId="9">
    <w:abstractNumId w:val="36"/>
  </w:num>
  <w:num w:numId="10">
    <w:abstractNumId w:val="19"/>
  </w:num>
  <w:num w:numId="11">
    <w:abstractNumId w:val="33"/>
  </w:num>
  <w:num w:numId="12">
    <w:abstractNumId w:val="17"/>
  </w:num>
  <w:num w:numId="13">
    <w:abstractNumId w:val="7"/>
  </w:num>
  <w:num w:numId="14">
    <w:abstractNumId w:val="4"/>
  </w:num>
  <w:num w:numId="15">
    <w:abstractNumId w:val="18"/>
  </w:num>
  <w:num w:numId="16">
    <w:abstractNumId w:val="16"/>
  </w:num>
  <w:num w:numId="17">
    <w:abstractNumId w:val="8"/>
  </w:num>
  <w:num w:numId="18">
    <w:abstractNumId w:val="2"/>
  </w:num>
  <w:num w:numId="19">
    <w:abstractNumId w:val="27"/>
  </w:num>
  <w:num w:numId="20">
    <w:abstractNumId w:val="1"/>
  </w:num>
  <w:num w:numId="21">
    <w:abstractNumId w:val="32"/>
  </w:num>
  <w:num w:numId="22">
    <w:abstractNumId w:val="5"/>
  </w:num>
  <w:num w:numId="23">
    <w:abstractNumId w:val="23"/>
  </w:num>
  <w:num w:numId="24">
    <w:abstractNumId w:val="21"/>
  </w:num>
  <w:num w:numId="25">
    <w:abstractNumId w:val="30"/>
  </w:num>
  <w:num w:numId="26">
    <w:abstractNumId w:val="40"/>
  </w:num>
  <w:num w:numId="27">
    <w:abstractNumId w:val="20"/>
  </w:num>
  <w:num w:numId="28">
    <w:abstractNumId w:val="37"/>
  </w:num>
  <w:num w:numId="29">
    <w:abstractNumId w:val="34"/>
  </w:num>
  <w:num w:numId="30">
    <w:abstractNumId w:val="24"/>
  </w:num>
  <w:num w:numId="31">
    <w:abstractNumId w:val="26"/>
  </w:num>
  <w:num w:numId="32">
    <w:abstractNumId w:val="3"/>
  </w:num>
  <w:num w:numId="33">
    <w:abstractNumId w:val="25"/>
  </w:num>
  <w:num w:numId="34">
    <w:abstractNumId w:val="12"/>
  </w:num>
  <w:num w:numId="35">
    <w:abstractNumId w:val="31"/>
  </w:num>
  <w:num w:numId="36">
    <w:abstractNumId w:val="0"/>
  </w:num>
  <w:num w:numId="37">
    <w:abstractNumId w:val="15"/>
  </w:num>
  <w:num w:numId="38">
    <w:abstractNumId w:val="15"/>
  </w:num>
  <w:num w:numId="39">
    <w:abstractNumId w:val="39"/>
  </w:num>
  <w:num w:numId="40">
    <w:abstractNumId w:val="9"/>
  </w:num>
  <w:num w:numId="41">
    <w:abstractNumId w:val="11"/>
  </w:num>
  <w:num w:numId="42">
    <w:abstractNumId w:val="6"/>
  </w:num>
  <w:num w:numId="4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">
    <w15:presenceInfo w15:providerId="None" w15:userId="Mart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DA"/>
    <w:rsid w:val="00000648"/>
    <w:rsid w:val="00000E49"/>
    <w:rsid w:val="00001B68"/>
    <w:rsid w:val="000033CA"/>
    <w:rsid w:val="0000351C"/>
    <w:rsid w:val="0000396B"/>
    <w:rsid w:val="0000404F"/>
    <w:rsid w:val="00004C64"/>
    <w:rsid w:val="00006FB2"/>
    <w:rsid w:val="00007691"/>
    <w:rsid w:val="0001391E"/>
    <w:rsid w:val="00015136"/>
    <w:rsid w:val="000167A4"/>
    <w:rsid w:val="000172FB"/>
    <w:rsid w:val="00017AE4"/>
    <w:rsid w:val="00020346"/>
    <w:rsid w:val="0002035C"/>
    <w:rsid w:val="000217C8"/>
    <w:rsid w:val="00021828"/>
    <w:rsid w:val="0002228C"/>
    <w:rsid w:val="00022FF1"/>
    <w:rsid w:val="000234E7"/>
    <w:rsid w:val="0002397D"/>
    <w:rsid w:val="00024979"/>
    <w:rsid w:val="00024A56"/>
    <w:rsid w:val="00025E57"/>
    <w:rsid w:val="0002661A"/>
    <w:rsid w:val="000320DE"/>
    <w:rsid w:val="0003214D"/>
    <w:rsid w:val="000322B1"/>
    <w:rsid w:val="000323B9"/>
    <w:rsid w:val="000326FE"/>
    <w:rsid w:val="000328B5"/>
    <w:rsid w:val="000329D8"/>
    <w:rsid w:val="0003320A"/>
    <w:rsid w:val="00033ABA"/>
    <w:rsid w:val="00034D64"/>
    <w:rsid w:val="00034E65"/>
    <w:rsid w:val="00036D78"/>
    <w:rsid w:val="00037316"/>
    <w:rsid w:val="0003738C"/>
    <w:rsid w:val="000403D8"/>
    <w:rsid w:val="00043200"/>
    <w:rsid w:val="00043717"/>
    <w:rsid w:val="000451B2"/>
    <w:rsid w:val="00045528"/>
    <w:rsid w:val="00050A18"/>
    <w:rsid w:val="00050FFF"/>
    <w:rsid w:val="00051C72"/>
    <w:rsid w:val="00051F71"/>
    <w:rsid w:val="0005207A"/>
    <w:rsid w:val="000543E1"/>
    <w:rsid w:val="00054548"/>
    <w:rsid w:val="0005468C"/>
    <w:rsid w:val="000558AB"/>
    <w:rsid w:val="00056411"/>
    <w:rsid w:val="0005717A"/>
    <w:rsid w:val="0005768C"/>
    <w:rsid w:val="00057C85"/>
    <w:rsid w:val="00057E05"/>
    <w:rsid w:val="00060465"/>
    <w:rsid w:val="0006089E"/>
    <w:rsid w:val="00060D48"/>
    <w:rsid w:val="000617A4"/>
    <w:rsid w:val="00062A03"/>
    <w:rsid w:val="00062A2A"/>
    <w:rsid w:val="0006381C"/>
    <w:rsid w:val="00064059"/>
    <w:rsid w:val="000648E3"/>
    <w:rsid w:val="000665F7"/>
    <w:rsid w:val="00066890"/>
    <w:rsid w:val="0006704C"/>
    <w:rsid w:val="00067D2F"/>
    <w:rsid w:val="00067F5C"/>
    <w:rsid w:val="00070613"/>
    <w:rsid w:val="000718FB"/>
    <w:rsid w:val="00071D31"/>
    <w:rsid w:val="000734DE"/>
    <w:rsid w:val="00073DC6"/>
    <w:rsid w:val="00075EB2"/>
    <w:rsid w:val="00076F34"/>
    <w:rsid w:val="00080A8A"/>
    <w:rsid w:val="00083742"/>
    <w:rsid w:val="00083791"/>
    <w:rsid w:val="00083829"/>
    <w:rsid w:val="000843F2"/>
    <w:rsid w:val="00085055"/>
    <w:rsid w:val="0008672C"/>
    <w:rsid w:val="0009107F"/>
    <w:rsid w:val="00091215"/>
    <w:rsid w:val="00092FBD"/>
    <w:rsid w:val="0009476A"/>
    <w:rsid w:val="000A051F"/>
    <w:rsid w:val="000A09D6"/>
    <w:rsid w:val="000A244B"/>
    <w:rsid w:val="000A3C8A"/>
    <w:rsid w:val="000A45B7"/>
    <w:rsid w:val="000A7B44"/>
    <w:rsid w:val="000B0A43"/>
    <w:rsid w:val="000B0D7A"/>
    <w:rsid w:val="000B21F9"/>
    <w:rsid w:val="000B3409"/>
    <w:rsid w:val="000B47E0"/>
    <w:rsid w:val="000C424B"/>
    <w:rsid w:val="000C4538"/>
    <w:rsid w:val="000C4FA1"/>
    <w:rsid w:val="000C567B"/>
    <w:rsid w:val="000C78DD"/>
    <w:rsid w:val="000C79A6"/>
    <w:rsid w:val="000D0B69"/>
    <w:rsid w:val="000D1344"/>
    <w:rsid w:val="000D2A29"/>
    <w:rsid w:val="000D320B"/>
    <w:rsid w:val="000D3933"/>
    <w:rsid w:val="000D47BD"/>
    <w:rsid w:val="000D4918"/>
    <w:rsid w:val="000D50DC"/>
    <w:rsid w:val="000D5385"/>
    <w:rsid w:val="000D573D"/>
    <w:rsid w:val="000D6722"/>
    <w:rsid w:val="000E06BA"/>
    <w:rsid w:val="000E0B58"/>
    <w:rsid w:val="000E0E5A"/>
    <w:rsid w:val="000E129C"/>
    <w:rsid w:val="000E1625"/>
    <w:rsid w:val="000E28F1"/>
    <w:rsid w:val="000E2AF6"/>
    <w:rsid w:val="000E3563"/>
    <w:rsid w:val="000E456D"/>
    <w:rsid w:val="000E4ADC"/>
    <w:rsid w:val="000E60F6"/>
    <w:rsid w:val="000F2726"/>
    <w:rsid w:val="000F3B09"/>
    <w:rsid w:val="000F478F"/>
    <w:rsid w:val="000F4C7B"/>
    <w:rsid w:val="000F519C"/>
    <w:rsid w:val="000F58F0"/>
    <w:rsid w:val="000F62D3"/>
    <w:rsid w:val="000F675A"/>
    <w:rsid w:val="000F756A"/>
    <w:rsid w:val="000F756C"/>
    <w:rsid w:val="000F75C9"/>
    <w:rsid w:val="000F7DA0"/>
    <w:rsid w:val="00101B2D"/>
    <w:rsid w:val="0010491F"/>
    <w:rsid w:val="00105004"/>
    <w:rsid w:val="001054DD"/>
    <w:rsid w:val="00106944"/>
    <w:rsid w:val="0010732D"/>
    <w:rsid w:val="001079E9"/>
    <w:rsid w:val="00107FF0"/>
    <w:rsid w:val="00110616"/>
    <w:rsid w:val="0011175D"/>
    <w:rsid w:val="001139A0"/>
    <w:rsid w:val="001150E7"/>
    <w:rsid w:val="00115D7D"/>
    <w:rsid w:val="00115EAF"/>
    <w:rsid w:val="00116986"/>
    <w:rsid w:val="00116E14"/>
    <w:rsid w:val="00117119"/>
    <w:rsid w:val="001211C0"/>
    <w:rsid w:val="00123D0D"/>
    <w:rsid w:val="001257E4"/>
    <w:rsid w:val="00125DA5"/>
    <w:rsid w:val="001318EE"/>
    <w:rsid w:val="001328CE"/>
    <w:rsid w:val="00134E4C"/>
    <w:rsid w:val="00136135"/>
    <w:rsid w:val="0013647C"/>
    <w:rsid w:val="001367D2"/>
    <w:rsid w:val="00136CC6"/>
    <w:rsid w:val="00137D7A"/>
    <w:rsid w:val="0014086B"/>
    <w:rsid w:val="001417C1"/>
    <w:rsid w:val="00141FD5"/>
    <w:rsid w:val="00142709"/>
    <w:rsid w:val="001440D2"/>
    <w:rsid w:val="00144600"/>
    <w:rsid w:val="00144AF9"/>
    <w:rsid w:val="001453A2"/>
    <w:rsid w:val="00146D9A"/>
    <w:rsid w:val="001471FA"/>
    <w:rsid w:val="0015141C"/>
    <w:rsid w:val="00151546"/>
    <w:rsid w:val="001522FE"/>
    <w:rsid w:val="00152A3C"/>
    <w:rsid w:val="00153334"/>
    <w:rsid w:val="0015424A"/>
    <w:rsid w:val="00154BA8"/>
    <w:rsid w:val="00155863"/>
    <w:rsid w:val="00155886"/>
    <w:rsid w:val="00155E00"/>
    <w:rsid w:val="0015682F"/>
    <w:rsid w:val="00156BA1"/>
    <w:rsid w:val="00161C1A"/>
    <w:rsid w:val="00162D33"/>
    <w:rsid w:val="00164672"/>
    <w:rsid w:val="00164F0F"/>
    <w:rsid w:val="001650E1"/>
    <w:rsid w:val="001669CE"/>
    <w:rsid w:val="00166B47"/>
    <w:rsid w:val="00167846"/>
    <w:rsid w:val="001701BD"/>
    <w:rsid w:val="00170984"/>
    <w:rsid w:val="0017121C"/>
    <w:rsid w:val="0017247D"/>
    <w:rsid w:val="001727D3"/>
    <w:rsid w:val="001731E1"/>
    <w:rsid w:val="0018064E"/>
    <w:rsid w:val="00181379"/>
    <w:rsid w:val="001813CA"/>
    <w:rsid w:val="001816DC"/>
    <w:rsid w:val="00181936"/>
    <w:rsid w:val="001826EF"/>
    <w:rsid w:val="00182EB1"/>
    <w:rsid w:val="001871B5"/>
    <w:rsid w:val="00187769"/>
    <w:rsid w:val="001879C1"/>
    <w:rsid w:val="00191022"/>
    <w:rsid w:val="00191A3E"/>
    <w:rsid w:val="001925DD"/>
    <w:rsid w:val="001928F8"/>
    <w:rsid w:val="00193893"/>
    <w:rsid w:val="00193A7D"/>
    <w:rsid w:val="00194ABE"/>
    <w:rsid w:val="00197CAC"/>
    <w:rsid w:val="00197F97"/>
    <w:rsid w:val="001A0657"/>
    <w:rsid w:val="001A0831"/>
    <w:rsid w:val="001A0F87"/>
    <w:rsid w:val="001A40A2"/>
    <w:rsid w:val="001A577B"/>
    <w:rsid w:val="001A6465"/>
    <w:rsid w:val="001A6826"/>
    <w:rsid w:val="001A6C4C"/>
    <w:rsid w:val="001A7A15"/>
    <w:rsid w:val="001B03E3"/>
    <w:rsid w:val="001B074C"/>
    <w:rsid w:val="001B09E2"/>
    <w:rsid w:val="001B1EE9"/>
    <w:rsid w:val="001B221B"/>
    <w:rsid w:val="001B2ED2"/>
    <w:rsid w:val="001B4773"/>
    <w:rsid w:val="001B4875"/>
    <w:rsid w:val="001B5689"/>
    <w:rsid w:val="001B5FDA"/>
    <w:rsid w:val="001B79AC"/>
    <w:rsid w:val="001C0CD3"/>
    <w:rsid w:val="001C145E"/>
    <w:rsid w:val="001C1E1C"/>
    <w:rsid w:val="001C235A"/>
    <w:rsid w:val="001C29B2"/>
    <w:rsid w:val="001C3231"/>
    <w:rsid w:val="001C4366"/>
    <w:rsid w:val="001C43BB"/>
    <w:rsid w:val="001C4717"/>
    <w:rsid w:val="001C4B3C"/>
    <w:rsid w:val="001C5A15"/>
    <w:rsid w:val="001C60B7"/>
    <w:rsid w:val="001C6127"/>
    <w:rsid w:val="001C62EF"/>
    <w:rsid w:val="001C7A38"/>
    <w:rsid w:val="001C7A50"/>
    <w:rsid w:val="001D19B4"/>
    <w:rsid w:val="001D2849"/>
    <w:rsid w:val="001D4289"/>
    <w:rsid w:val="001D6536"/>
    <w:rsid w:val="001D71FD"/>
    <w:rsid w:val="001E22E0"/>
    <w:rsid w:val="001E75A2"/>
    <w:rsid w:val="001E777E"/>
    <w:rsid w:val="001F02D0"/>
    <w:rsid w:val="001F09F9"/>
    <w:rsid w:val="001F5165"/>
    <w:rsid w:val="001F5AAE"/>
    <w:rsid w:val="002002A4"/>
    <w:rsid w:val="00200EEA"/>
    <w:rsid w:val="00201D58"/>
    <w:rsid w:val="00202960"/>
    <w:rsid w:val="00203002"/>
    <w:rsid w:val="002049BB"/>
    <w:rsid w:val="00204C28"/>
    <w:rsid w:val="00204FA5"/>
    <w:rsid w:val="002055FA"/>
    <w:rsid w:val="0020734C"/>
    <w:rsid w:val="00211BCE"/>
    <w:rsid w:val="00211D94"/>
    <w:rsid w:val="00211EC0"/>
    <w:rsid w:val="0021330D"/>
    <w:rsid w:val="002142B2"/>
    <w:rsid w:val="002150CB"/>
    <w:rsid w:val="00216AE7"/>
    <w:rsid w:val="002170C7"/>
    <w:rsid w:val="00220B48"/>
    <w:rsid w:val="00220D6D"/>
    <w:rsid w:val="00222838"/>
    <w:rsid w:val="0022645A"/>
    <w:rsid w:val="002273E4"/>
    <w:rsid w:val="00227942"/>
    <w:rsid w:val="00230117"/>
    <w:rsid w:val="00230611"/>
    <w:rsid w:val="00230D80"/>
    <w:rsid w:val="00231C83"/>
    <w:rsid w:val="00232E30"/>
    <w:rsid w:val="00234755"/>
    <w:rsid w:val="002360AD"/>
    <w:rsid w:val="00236A40"/>
    <w:rsid w:val="0023790C"/>
    <w:rsid w:val="00241785"/>
    <w:rsid w:val="002425DD"/>
    <w:rsid w:val="00242C69"/>
    <w:rsid w:val="00242DBD"/>
    <w:rsid w:val="0024407A"/>
    <w:rsid w:val="002444D0"/>
    <w:rsid w:val="00244CAA"/>
    <w:rsid w:val="00245888"/>
    <w:rsid w:val="00245ED6"/>
    <w:rsid w:val="00247920"/>
    <w:rsid w:val="0025037D"/>
    <w:rsid w:val="00251571"/>
    <w:rsid w:val="00251BA8"/>
    <w:rsid w:val="00252BD4"/>
    <w:rsid w:val="002541D7"/>
    <w:rsid w:val="00254746"/>
    <w:rsid w:val="00255169"/>
    <w:rsid w:val="002564B0"/>
    <w:rsid w:val="002573D0"/>
    <w:rsid w:val="002579CF"/>
    <w:rsid w:val="002600A4"/>
    <w:rsid w:val="00261FB1"/>
    <w:rsid w:val="0026204B"/>
    <w:rsid w:val="0026275C"/>
    <w:rsid w:val="00262DDC"/>
    <w:rsid w:val="00264C38"/>
    <w:rsid w:val="00264CAF"/>
    <w:rsid w:val="00266FDD"/>
    <w:rsid w:val="002673DB"/>
    <w:rsid w:val="00270998"/>
    <w:rsid w:val="00271E98"/>
    <w:rsid w:val="00272833"/>
    <w:rsid w:val="00273BCF"/>
    <w:rsid w:val="002740BE"/>
    <w:rsid w:val="00274A32"/>
    <w:rsid w:val="00275153"/>
    <w:rsid w:val="00275261"/>
    <w:rsid w:val="00275457"/>
    <w:rsid w:val="002754F6"/>
    <w:rsid w:val="00276640"/>
    <w:rsid w:val="002766AA"/>
    <w:rsid w:val="00281528"/>
    <w:rsid w:val="00281A42"/>
    <w:rsid w:val="00283359"/>
    <w:rsid w:val="002834BB"/>
    <w:rsid w:val="00283DF4"/>
    <w:rsid w:val="0028459E"/>
    <w:rsid w:val="00285C71"/>
    <w:rsid w:val="00285F47"/>
    <w:rsid w:val="002864FE"/>
    <w:rsid w:val="00286C6F"/>
    <w:rsid w:val="00290096"/>
    <w:rsid w:val="00290F51"/>
    <w:rsid w:val="002916C5"/>
    <w:rsid w:val="002944D1"/>
    <w:rsid w:val="0029479D"/>
    <w:rsid w:val="0029482B"/>
    <w:rsid w:val="00294971"/>
    <w:rsid w:val="0029666F"/>
    <w:rsid w:val="00297B70"/>
    <w:rsid w:val="002A094D"/>
    <w:rsid w:val="002A0B2A"/>
    <w:rsid w:val="002A0EEE"/>
    <w:rsid w:val="002A1ED0"/>
    <w:rsid w:val="002A2FDB"/>
    <w:rsid w:val="002A3085"/>
    <w:rsid w:val="002A4058"/>
    <w:rsid w:val="002A4551"/>
    <w:rsid w:val="002A61BD"/>
    <w:rsid w:val="002A78ED"/>
    <w:rsid w:val="002B0A07"/>
    <w:rsid w:val="002B0E7E"/>
    <w:rsid w:val="002B1F6B"/>
    <w:rsid w:val="002B5AA9"/>
    <w:rsid w:val="002B61FC"/>
    <w:rsid w:val="002B6504"/>
    <w:rsid w:val="002B6949"/>
    <w:rsid w:val="002C0A1E"/>
    <w:rsid w:val="002C0AF1"/>
    <w:rsid w:val="002C5498"/>
    <w:rsid w:val="002C68F7"/>
    <w:rsid w:val="002C7179"/>
    <w:rsid w:val="002C7D9D"/>
    <w:rsid w:val="002D093D"/>
    <w:rsid w:val="002D1983"/>
    <w:rsid w:val="002D62AE"/>
    <w:rsid w:val="002E0847"/>
    <w:rsid w:val="002E27AF"/>
    <w:rsid w:val="002E31CE"/>
    <w:rsid w:val="002E4193"/>
    <w:rsid w:val="002E438E"/>
    <w:rsid w:val="002E4630"/>
    <w:rsid w:val="002E49B9"/>
    <w:rsid w:val="002E4ADA"/>
    <w:rsid w:val="002E4C17"/>
    <w:rsid w:val="002E6AC5"/>
    <w:rsid w:val="002E7AE4"/>
    <w:rsid w:val="002E7E29"/>
    <w:rsid w:val="002F013B"/>
    <w:rsid w:val="002F1141"/>
    <w:rsid w:val="002F15A4"/>
    <w:rsid w:val="002F1666"/>
    <w:rsid w:val="002F16FE"/>
    <w:rsid w:val="002F30EC"/>
    <w:rsid w:val="002F38CF"/>
    <w:rsid w:val="002F38EF"/>
    <w:rsid w:val="002F5958"/>
    <w:rsid w:val="002F5A44"/>
    <w:rsid w:val="002F788E"/>
    <w:rsid w:val="00300A9B"/>
    <w:rsid w:val="0030132A"/>
    <w:rsid w:val="003035DC"/>
    <w:rsid w:val="003050E7"/>
    <w:rsid w:val="003052BA"/>
    <w:rsid w:val="00305A81"/>
    <w:rsid w:val="00305FA3"/>
    <w:rsid w:val="00307684"/>
    <w:rsid w:val="00307AE7"/>
    <w:rsid w:val="00310A12"/>
    <w:rsid w:val="0031115B"/>
    <w:rsid w:val="00312565"/>
    <w:rsid w:val="00312587"/>
    <w:rsid w:val="003135B6"/>
    <w:rsid w:val="00315438"/>
    <w:rsid w:val="00315630"/>
    <w:rsid w:val="00315717"/>
    <w:rsid w:val="00316B21"/>
    <w:rsid w:val="00316D0E"/>
    <w:rsid w:val="00317759"/>
    <w:rsid w:val="003179DF"/>
    <w:rsid w:val="00321A24"/>
    <w:rsid w:val="0032243D"/>
    <w:rsid w:val="00322928"/>
    <w:rsid w:val="00322E91"/>
    <w:rsid w:val="00322ED8"/>
    <w:rsid w:val="00323F98"/>
    <w:rsid w:val="0032444E"/>
    <w:rsid w:val="00324637"/>
    <w:rsid w:val="0032469D"/>
    <w:rsid w:val="00325482"/>
    <w:rsid w:val="003258C5"/>
    <w:rsid w:val="003302A5"/>
    <w:rsid w:val="003306C9"/>
    <w:rsid w:val="00332EDE"/>
    <w:rsid w:val="00333881"/>
    <w:rsid w:val="0033470F"/>
    <w:rsid w:val="00335120"/>
    <w:rsid w:val="0033543B"/>
    <w:rsid w:val="003356CA"/>
    <w:rsid w:val="003360C7"/>
    <w:rsid w:val="003406CC"/>
    <w:rsid w:val="00340AFC"/>
    <w:rsid w:val="003420F1"/>
    <w:rsid w:val="00343E45"/>
    <w:rsid w:val="00346B7C"/>
    <w:rsid w:val="00347B30"/>
    <w:rsid w:val="00353463"/>
    <w:rsid w:val="003540D5"/>
    <w:rsid w:val="00355150"/>
    <w:rsid w:val="003553EA"/>
    <w:rsid w:val="00355846"/>
    <w:rsid w:val="00355D4E"/>
    <w:rsid w:val="003567BD"/>
    <w:rsid w:val="00356F5E"/>
    <w:rsid w:val="00357336"/>
    <w:rsid w:val="00357641"/>
    <w:rsid w:val="00357D97"/>
    <w:rsid w:val="0036025D"/>
    <w:rsid w:val="00360671"/>
    <w:rsid w:val="00360E33"/>
    <w:rsid w:val="00361FD5"/>
    <w:rsid w:val="00362656"/>
    <w:rsid w:val="00362970"/>
    <w:rsid w:val="00366B56"/>
    <w:rsid w:val="00366DE1"/>
    <w:rsid w:val="00367412"/>
    <w:rsid w:val="00367498"/>
    <w:rsid w:val="00370471"/>
    <w:rsid w:val="00373AEB"/>
    <w:rsid w:val="00373C82"/>
    <w:rsid w:val="003765BE"/>
    <w:rsid w:val="00376A98"/>
    <w:rsid w:val="00380236"/>
    <w:rsid w:val="00380485"/>
    <w:rsid w:val="003816C2"/>
    <w:rsid w:val="00381A0B"/>
    <w:rsid w:val="003827EB"/>
    <w:rsid w:val="0038285A"/>
    <w:rsid w:val="00383F2A"/>
    <w:rsid w:val="00384300"/>
    <w:rsid w:val="00384750"/>
    <w:rsid w:val="003865EC"/>
    <w:rsid w:val="00386881"/>
    <w:rsid w:val="00387F66"/>
    <w:rsid w:val="00390149"/>
    <w:rsid w:val="003901EF"/>
    <w:rsid w:val="003909B8"/>
    <w:rsid w:val="00391690"/>
    <w:rsid w:val="003919F6"/>
    <w:rsid w:val="00391B64"/>
    <w:rsid w:val="00391F24"/>
    <w:rsid w:val="00392665"/>
    <w:rsid w:val="00394152"/>
    <w:rsid w:val="00394280"/>
    <w:rsid w:val="0039429F"/>
    <w:rsid w:val="003946A1"/>
    <w:rsid w:val="00394F8B"/>
    <w:rsid w:val="003956C9"/>
    <w:rsid w:val="00396DFE"/>
    <w:rsid w:val="00397087"/>
    <w:rsid w:val="00397459"/>
    <w:rsid w:val="003974D5"/>
    <w:rsid w:val="00397660"/>
    <w:rsid w:val="00397D60"/>
    <w:rsid w:val="003A01FB"/>
    <w:rsid w:val="003A17C4"/>
    <w:rsid w:val="003A1950"/>
    <w:rsid w:val="003A19B3"/>
    <w:rsid w:val="003A1BC3"/>
    <w:rsid w:val="003A1CA9"/>
    <w:rsid w:val="003A1CC9"/>
    <w:rsid w:val="003A3336"/>
    <w:rsid w:val="003A5D20"/>
    <w:rsid w:val="003A7F67"/>
    <w:rsid w:val="003B045A"/>
    <w:rsid w:val="003B0B21"/>
    <w:rsid w:val="003B1C69"/>
    <w:rsid w:val="003B1E2D"/>
    <w:rsid w:val="003B237D"/>
    <w:rsid w:val="003B3237"/>
    <w:rsid w:val="003B4BC4"/>
    <w:rsid w:val="003B65EB"/>
    <w:rsid w:val="003B6A6B"/>
    <w:rsid w:val="003B75FF"/>
    <w:rsid w:val="003C01C8"/>
    <w:rsid w:val="003C144B"/>
    <w:rsid w:val="003C2385"/>
    <w:rsid w:val="003C2390"/>
    <w:rsid w:val="003C3866"/>
    <w:rsid w:val="003C47DE"/>
    <w:rsid w:val="003C4812"/>
    <w:rsid w:val="003C4C68"/>
    <w:rsid w:val="003C6F42"/>
    <w:rsid w:val="003C7DCB"/>
    <w:rsid w:val="003D071E"/>
    <w:rsid w:val="003D0985"/>
    <w:rsid w:val="003D3C9E"/>
    <w:rsid w:val="003D43F5"/>
    <w:rsid w:val="003D7972"/>
    <w:rsid w:val="003D7C21"/>
    <w:rsid w:val="003E1267"/>
    <w:rsid w:val="003E1503"/>
    <w:rsid w:val="003E2637"/>
    <w:rsid w:val="003E4738"/>
    <w:rsid w:val="003E57B0"/>
    <w:rsid w:val="003E7411"/>
    <w:rsid w:val="003E7E88"/>
    <w:rsid w:val="003F1E3C"/>
    <w:rsid w:val="003F2018"/>
    <w:rsid w:val="003F22AD"/>
    <w:rsid w:val="003F2EDF"/>
    <w:rsid w:val="003F3B84"/>
    <w:rsid w:val="003F74D2"/>
    <w:rsid w:val="003F7735"/>
    <w:rsid w:val="003F7D85"/>
    <w:rsid w:val="00401F91"/>
    <w:rsid w:val="00403F51"/>
    <w:rsid w:val="0040432D"/>
    <w:rsid w:val="004051A0"/>
    <w:rsid w:val="00407D58"/>
    <w:rsid w:val="00410153"/>
    <w:rsid w:val="00410607"/>
    <w:rsid w:val="00412E0D"/>
    <w:rsid w:val="004144C7"/>
    <w:rsid w:val="00414F29"/>
    <w:rsid w:val="00415166"/>
    <w:rsid w:val="00416BD3"/>
    <w:rsid w:val="00416EBD"/>
    <w:rsid w:val="00417625"/>
    <w:rsid w:val="00422644"/>
    <w:rsid w:val="004231C1"/>
    <w:rsid w:val="004237D7"/>
    <w:rsid w:val="0042383C"/>
    <w:rsid w:val="00423DAD"/>
    <w:rsid w:val="00424D87"/>
    <w:rsid w:val="0042515E"/>
    <w:rsid w:val="004260CA"/>
    <w:rsid w:val="004262A3"/>
    <w:rsid w:val="004303AE"/>
    <w:rsid w:val="0043177E"/>
    <w:rsid w:val="004330AF"/>
    <w:rsid w:val="00433A61"/>
    <w:rsid w:val="00433BB0"/>
    <w:rsid w:val="00434872"/>
    <w:rsid w:val="00434C04"/>
    <w:rsid w:val="00434E9B"/>
    <w:rsid w:val="0043506B"/>
    <w:rsid w:val="004354BB"/>
    <w:rsid w:val="004405F8"/>
    <w:rsid w:val="004410ED"/>
    <w:rsid w:val="004411C4"/>
    <w:rsid w:val="00441B89"/>
    <w:rsid w:val="00443EDF"/>
    <w:rsid w:val="004444A5"/>
    <w:rsid w:val="00444844"/>
    <w:rsid w:val="00444C57"/>
    <w:rsid w:val="0044595B"/>
    <w:rsid w:val="004474AC"/>
    <w:rsid w:val="00447D77"/>
    <w:rsid w:val="00450449"/>
    <w:rsid w:val="0045056C"/>
    <w:rsid w:val="00450B27"/>
    <w:rsid w:val="004513E7"/>
    <w:rsid w:val="004517BD"/>
    <w:rsid w:val="00451FC9"/>
    <w:rsid w:val="00452CB4"/>
    <w:rsid w:val="00454A94"/>
    <w:rsid w:val="00454B60"/>
    <w:rsid w:val="00455CC4"/>
    <w:rsid w:val="00456B37"/>
    <w:rsid w:val="00456EF2"/>
    <w:rsid w:val="004575E8"/>
    <w:rsid w:val="00457835"/>
    <w:rsid w:val="00460F21"/>
    <w:rsid w:val="00461DF3"/>
    <w:rsid w:val="004629F7"/>
    <w:rsid w:val="004632A4"/>
    <w:rsid w:val="00463635"/>
    <w:rsid w:val="004638A2"/>
    <w:rsid w:val="004638CD"/>
    <w:rsid w:val="0046558C"/>
    <w:rsid w:val="0046590D"/>
    <w:rsid w:val="00466698"/>
    <w:rsid w:val="00466E68"/>
    <w:rsid w:val="00470B13"/>
    <w:rsid w:val="004713D2"/>
    <w:rsid w:val="004724BA"/>
    <w:rsid w:val="00472827"/>
    <w:rsid w:val="00474B82"/>
    <w:rsid w:val="0047514E"/>
    <w:rsid w:val="00475717"/>
    <w:rsid w:val="00475CD2"/>
    <w:rsid w:val="004763F9"/>
    <w:rsid w:val="00481A04"/>
    <w:rsid w:val="00483A64"/>
    <w:rsid w:val="00485858"/>
    <w:rsid w:val="00487A1A"/>
    <w:rsid w:val="00487DFD"/>
    <w:rsid w:val="0049004F"/>
    <w:rsid w:val="00491B39"/>
    <w:rsid w:val="00492AF8"/>
    <w:rsid w:val="00493741"/>
    <w:rsid w:val="00493CD0"/>
    <w:rsid w:val="0049646B"/>
    <w:rsid w:val="004969EB"/>
    <w:rsid w:val="00497182"/>
    <w:rsid w:val="004975FB"/>
    <w:rsid w:val="00497759"/>
    <w:rsid w:val="00497918"/>
    <w:rsid w:val="004A12A7"/>
    <w:rsid w:val="004A16C0"/>
    <w:rsid w:val="004A1BE0"/>
    <w:rsid w:val="004A1F54"/>
    <w:rsid w:val="004A1FA6"/>
    <w:rsid w:val="004A22D9"/>
    <w:rsid w:val="004A3A91"/>
    <w:rsid w:val="004A4B68"/>
    <w:rsid w:val="004A59CA"/>
    <w:rsid w:val="004A6784"/>
    <w:rsid w:val="004A6D68"/>
    <w:rsid w:val="004A709F"/>
    <w:rsid w:val="004A7C8C"/>
    <w:rsid w:val="004B00E6"/>
    <w:rsid w:val="004B0DBF"/>
    <w:rsid w:val="004B11FE"/>
    <w:rsid w:val="004B3F25"/>
    <w:rsid w:val="004B407C"/>
    <w:rsid w:val="004B552A"/>
    <w:rsid w:val="004B5800"/>
    <w:rsid w:val="004B74D6"/>
    <w:rsid w:val="004C0C13"/>
    <w:rsid w:val="004C1BCF"/>
    <w:rsid w:val="004C23E9"/>
    <w:rsid w:val="004C272F"/>
    <w:rsid w:val="004C411C"/>
    <w:rsid w:val="004C512F"/>
    <w:rsid w:val="004C6B48"/>
    <w:rsid w:val="004D0E34"/>
    <w:rsid w:val="004D0E8F"/>
    <w:rsid w:val="004D1EE9"/>
    <w:rsid w:val="004D2AD1"/>
    <w:rsid w:val="004D4619"/>
    <w:rsid w:val="004D463D"/>
    <w:rsid w:val="004D4D21"/>
    <w:rsid w:val="004D5EC0"/>
    <w:rsid w:val="004D7BB9"/>
    <w:rsid w:val="004E1AC0"/>
    <w:rsid w:val="004E28A2"/>
    <w:rsid w:val="004E2974"/>
    <w:rsid w:val="004E468D"/>
    <w:rsid w:val="004E5C97"/>
    <w:rsid w:val="004E68D2"/>
    <w:rsid w:val="004E705D"/>
    <w:rsid w:val="004F0C81"/>
    <w:rsid w:val="004F1957"/>
    <w:rsid w:val="004F4B81"/>
    <w:rsid w:val="004F7470"/>
    <w:rsid w:val="004F756A"/>
    <w:rsid w:val="0050104D"/>
    <w:rsid w:val="00502195"/>
    <w:rsid w:val="00505077"/>
    <w:rsid w:val="00506098"/>
    <w:rsid w:val="00510021"/>
    <w:rsid w:val="00511CF7"/>
    <w:rsid w:val="0051204F"/>
    <w:rsid w:val="005127C1"/>
    <w:rsid w:val="005137A8"/>
    <w:rsid w:val="005137AC"/>
    <w:rsid w:val="00513F2B"/>
    <w:rsid w:val="005162BF"/>
    <w:rsid w:val="00516F50"/>
    <w:rsid w:val="005178AA"/>
    <w:rsid w:val="00517FE1"/>
    <w:rsid w:val="00522FE6"/>
    <w:rsid w:val="005235AA"/>
    <w:rsid w:val="00524B96"/>
    <w:rsid w:val="005251B2"/>
    <w:rsid w:val="00530A58"/>
    <w:rsid w:val="00530AD0"/>
    <w:rsid w:val="005313AC"/>
    <w:rsid w:val="00532767"/>
    <w:rsid w:val="0053316B"/>
    <w:rsid w:val="005347BE"/>
    <w:rsid w:val="00534D27"/>
    <w:rsid w:val="00535351"/>
    <w:rsid w:val="00535AD4"/>
    <w:rsid w:val="00535DE1"/>
    <w:rsid w:val="00536D87"/>
    <w:rsid w:val="00537446"/>
    <w:rsid w:val="00537ED2"/>
    <w:rsid w:val="005407F7"/>
    <w:rsid w:val="00540CF0"/>
    <w:rsid w:val="00541C1F"/>
    <w:rsid w:val="00542905"/>
    <w:rsid w:val="00542F31"/>
    <w:rsid w:val="00543288"/>
    <w:rsid w:val="005443AA"/>
    <w:rsid w:val="005478B1"/>
    <w:rsid w:val="00547DBF"/>
    <w:rsid w:val="00547EF5"/>
    <w:rsid w:val="00550650"/>
    <w:rsid w:val="00551325"/>
    <w:rsid w:val="00553A81"/>
    <w:rsid w:val="0055445A"/>
    <w:rsid w:val="0055500C"/>
    <w:rsid w:val="00555D2D"/>
    <w:rsid w:val="00556E1C"/>
    <w:rsid w:val="005570F8"/>
    <w:rsid w:val="00560125"/>
    <w:rsid w:val="005611D3"/>
    <w:rsid w:val="0056326D"/>
    <w:rsid w:val="005636F2"/>
    <w:rsid w:val="00564457"/>
    <w:rsid w:val="005649B5"/>
    <w:rsid w:val="00565466"/>
    <w:rsid w:val="00565E3F"/>
    <w:rsid w:val="00565E5C"/>
    <w:rsid w:val="005661F0"/>
    <w:rsid w:val="00566FD7"/>
    <w:rsid w:val="0056702B"/>
    <w:rsid w:val="00567C91"/>
    <w:rsid w:val="00570CFA"/>
    <w:rsid w:val="00570F30"/>
    <w:rsid w:val="00571354"/>
    <w:rsid w:val="0057136F"/>
    <w:rsid w:val="00571BC4"/>
    <w:rsid w:val="005770BD"/>
    <w:rsid w:val="00580152"/>
    <w:rsid w:val="00581D33"/>
    <w:rsid w:val="00581FB1"/>
    <w:rsid w:val="005826D5"/>
    <w:rsid w:val="005831FD"/>
    <w:rsid w:val="0058402E"/>
    <w:rsid w:val="00584636"/>
    <w:rsid w:val="0058518B"/>
    <w:rsid w:val="00585A43"/>
    <w:rsid w:val="00586265"/>
    <w:rsid w:val="00586C20"/>
    <w:rsid w:val="00587EE6"/>
    <w:rsid w:val="00590634"/>
    <w:rsid w:val="00590845"/>
    <w:rsid w:val="005937A5"/>
    <w:rsid w:val="005937C4"/>
    <w:rsid w:val="00594265"/>
    <w:rsid w:val="005944B9"/>
    <w:rsid w:val="00594E29"/>
    <w:rsid w:val="00595300"/>
    <w:rsid w:val="005A0FB6"/>
    <w:rsid w:val="005A2D29"/>
    <w:rsid w:val="005A398D"/>
    <w:rsid w:val="005A3AD8"/>
    <w:rsid w:val="005A3D15"/>
    <w:rsid w:val="005A3EFE"/>
    <w:rsid w:val="005A411B"/>
    <w:rsid w:val="005A6435"/>
    <w:rsid w:val="005A69EA"/>
    <w:rsid w:val="005A764F"/>
    <w:rsid w:val="005B2E5A"/>
    <w:rsid w:val="005B42B2"/>
    <w:rsid w:val="005B4940"/>
    <w:rsid w:val="005B50EF"/>
    <w:rsid w:val="005B54E9"/>
    <w:rsid w:val="005C01C0"/>
    <w:rsid w:val="005C2ABA"/>
    <w:rsid w:val="005C4E4C"/>
    <w:rsid w:val="005C7036"/>
    <w:rsid w:val="005C7929"/>
    <w:rsid w:val="005D2B9B"/>
    <w:rsid w:val="005D2BFF"/>
    <w:rsid w:val="005D62BF"/>
    <w:rsid w:val="005D768C"/>
    <w:rsid w:val="005D7D59"/>
    <w:rsid w:val="005E15A4"/>
    <w:rsid w:val="005E196A"/>
    <w:rsid w:val="005E30BD"/>
    <w:rsid w:val="005E5F98"/>
    <w:rsid w:val="005E674B"/>
    <w:rsid w:val="005E716B"/>
    <w:rsid w:val="005E77C7"/>
    <w:rsid w:val="005F0902"/>
    <w:rsid w:val="005F0A07"/>
    <w:rsid w:val="005F31FA"/>
    <w:rsid w:val="005F40F3"/>
    <w:rsid w:val="005F4FBF"/>
    <w:rsid w:val="005F61EF"/>
    <w:rsid w:val="005F689A"/>
    <w:rsid w:val="006002BF"/>
    <w:rsid w:val="00601AA6"/>
    <w:rsid w:val="006100DE"/>
    <w:rsid w:val="00610848"/>
    <w:rsid w:val="0061219D"/>
    <w:rsid w:val="0061537A"/>
    <w:rsid w:val="00616570"/>
    <w:rsid w:val="0061794C"/>
    <w:rsid w:val="006214C2"/>
    <w:rsid w:val="0062172E"/>
    <w:rsid w:val="006237A8"/>
    <w:rsid w:val="0062440B"/>
    <w:rsid w:val="006304A2"/>
    <w:rsid w:val="00630853"/>
    <w:rsid w:val="00630BA2"/>
    <w:rsid w:val="00630C59"/>
    <w:rsid w:val="0063216D"/>
    <w:rsid w:val="006321E6"/>
    <w:rsid w:val="0063448F"/>
    <w:rsid w:val="006353B4"/>
    <w:rsid w:val="006378F9"/>
    <w:rsid w:val="00640D0E"/>
    <w:rsid w:val="00640F24"/>
    <w:rsid w:val="00641CDE"/>
    <w:rsid w:val="00642E62"/>
    <w:rsid w:val="006433C9"/>
    <w:rsid w:val="0064363D"/>
    <w:rsid w:val="0064393A"/>
    <w:rsid w:val="006448B8"/>
    <w:rsid w:val="00644AAD"/>
    <w:rsid w:val="00644FC8"/>
    <w:rsid w:val="00647499"/>
    <w:rsid w:val="00650209"/>
    <w:rsid w:val="00651293"/>
    <w:rsid w:val="00651637"/>
    <w:rsid w:val="00651823"/>
    <w:rsid w:val="00652859"/>
    <w:rsid w:val="006531DC"/>
    <w:rsid w:val="00653E5D"/>
    <w:rsid w:val="00654496"/>
    <w:rsid w:val="00655133"/>
    <w:rsid w:val="0065591B"/>
    <w:rsid w:val="00655D1D"/>
    <w:rsid w:val="00662710"/>
    <w:rsid w:val="0066377A"/>
    <w:rsid w:val="00666156"/>
    <w:rsid w:val="00667FF2"/>
    <w:rsid w:val="00671212"/>
    <w:rsid w:val="00672269"/>
    <w:rsid w:val="0067495D"/>
    <w:rsid w:val="00674A4C"/>
    <w:rsid w:val="00675676"/>
    <w:rsid w:val="00676994"/>
    <w:rsid w:val="00676B1E"/>
    <w:rsid w:val="00676DD6"/>
    <w:rsid w:val="006801B3"/>
    <w:rsid w:val="0068276B"/>
    <w:rsid w:val="00686CB0"/>
    <w:rsid w:val="00690DB0"/>
    <w:rsid w:val="00691505"/>
    <w:rsid w:val="0069183C"/>
    <w:rsid w:val="006929BA"/>
    <w:rsid w:val="0069342A"/>
    <w:rsid w:val="006951CE"/>
    <w:rsid w:val="00695200"/>
    <w:rsid w:val="0069662D"/>
    <w:rsid w:val="00697A6C"/>
    <w:rsid w:val="006A0C21"/>
    <w:rsid w:val="006A1D94"/>
    <w:rsid w:val="006A3F88"/>
    <w:rsid w:val="006A456F"/>
    <w:rsid w:val="006A5A62"/>
    <w:rsid w:val="006A6821"/>
    <w:rsid w:val="006A6B4C"/>
    <w:rsid w:val="006A7D92"/>
    <w:rsid w:val="006A7FFD"/>
    <w:rsid w:val="006B043A"/>
    <w:rsid w:val="006B0ACA"/>
    <w:rsid w:val="006B2613"/>
    <w:rsid w:val="006B398D"/>
    <w:rsid w:val="006B3C91"/>
    <w:rsid w:val="006B5397"/>
    <w:rsid w:val="006B5786"/>
    <w:rsid w:val="006B7471"/>
    <w:rsid w:val="006C147F"/>
    <w:rsid w:val="006C2411"/>
    <w:rsid w:val="006C3027"/>
    <w:rsid w:val="006C3851"/>
    <w:rsid w:val="006C3F22"/>
    <w:rsid w:val="006C5A85"/>
    <w:rsid w:val="006C6093"/>
    <w:rsid w:val="006C6D3F"/>
    <w:rsid w:val="006C7CF8"/>
    <w:rsid w:val="006D0AC6"/>
    <w:rsid w:val="006D0D0E"/>
    <w:rsid w:val="006D2B42"/>
    <w:rsid w:val="006D3AB8"/>
    <w:rsid w:val="006D3BCB"/>
    <w:rsid w:val="006D43AC"/>
    <w:rsid w:val="006D4F5A"/>
    <w:rsid w:val="006D513D"/>
    <w:rsid w:val="006D6421"/>
    <w:rsid w:val="006D7BA3"/>
    <w:rsid w:val="006E0181"/>
    <w:rsid w:val="006E31BE"/>
    <w:rsid w:val="006E33E1"/>
    <w:rsid w:val="006E352D"/>
    <w:rsid w:val="006E39AA"/>
    <w:rsid w:val="006E3ADB"/>
    <w:rsid w:val="006E4EF4"/>
    <w:rsid w:val="006E7D94"/>
    <w:rsid w:val="006F002E"/>
    <w:rsid w:val="006F0228"/>
    <w:rsid w:val="006F18D5"/>
    <w:rsid w:val="006F1941"/>
    <w:rsid w:val="006F1E5C"/>
    <w:rsid w:val="006F24A7"/>
    <w:rsid w:val="006F2635"/>
    <w:rsid w:val="006F2CE7"/>
    <w:rsid w:val="006F417C"/>
    <w:rsid w:val="006F5681"/>
    <w:rsid w:val="006F621D"/>
    <w:rsid w:val="006F6AFE"/>
    <w:rsid w:val="006F6F29"/>
    <w:rsid w:val="0070219F"/>
    <w:rsid w:val="007021AF"/>
    <w:rsid w:val="007022A5"/>
    <w:rsid w:val="00702C05"/>
    <w:rsid w:val="00704341"/>
    <w:rsid w:val="00704D40"/>
    <w:rsid w:val="00705A6B"/>
    <w:rsid w:val="00705E3D"/>
    <w:rsid w:val="0070701A"/>
    <w:rsid w:val="00707552"/>
    <w:rsid w:val="00710221"/>
    <w:rsid w:val="00711008"/>
    <w:rsid w:val="007113F0"/>
    <w:rsid w:val="00711BE8"/>
    <w:rsid w:val="0071453F"/>
    <w:rsid w:val="007146A0"/>
    <w:rsid w:val="007147AC"/>
    <w:rsid w:val="00715FB8"/>
    <w:rsid w:val="0071682C"/>
    <w:rsid w:val="0071682F"/>
    <w:rsid w:val="00717033"/>
    <w:rsid w:val="00717B1C"/>
    <w:rsid w:val="00720184"/>
    <w:rsid w:val="00721E8C"/>
    <w:rsid w:val="00722275"/>
    <w:rsid w:val="00723152"/>
    <w:rsid w:val="00723286"/>
    <w:rsid w:val="00723955"/>
    <w:rsid w:val="00723A13"/>
    <w:rsid w:val="00724FC4"/>
    <w:rsid w:val="0072512E"/>
    <w:rsid w:val="00725EB8"/>
    <w:rsid w:val="00727565"/>
    <w:rsid w:val="00731292"/>
    <w:rsid w:val="007328A0"/>
    <w:rsid w:val="0073386E"/>
    <w:rsid w:val="00733C03"/>
    <w:rsid w:val="00733DEC"/>
    <w:rsid w:val="00734009"/>
    <w:rsid w:val="007346A9"/>
    <w:rsid w:val="007348D4"/>
    <w:rsid w:val="00734DF1"/>
    <w:rsid w:val="00735771"/>
    <w:rsid w:val="0073588A"/>
    <w:rsid w:val="00735DC8"/>
    <w:rsid w:val="00741093"/>
    <w:rsid w:val="00743FE2"/>
    <w:rsid w:val="00745DA4"/>
    <w:rsid w:val="007465AA"/>
    <w:rsid w:val="00746ED2"/>
    <w:rsid w:val="0075137C"/>
    <w:rsid w:val="007518EE"/>
    <w:rsid w:val="00755AF8"/>
    <w:rsid w:val="007561F1"/>
    <w:rsid w:val="0075661E"/>
    <w:rsid w:val="00757BD5"/>
    <w:rsid w:val="00760967"/>
    <w:rsid w:val="007609E1"/>
    <w:rsid w:val="00760B4A"/>
    <w:rsid w:val="0076293D"/>
    <w:rsid w:val="00763A57"/>
    <w:rsid w:val="00766383"/>
    <w:rsid w:val="007674CA"/>
    <w:rsid w:val="00767CBB"/>
    <w:rsid w:val="00767D09"/>
    <w:rsid w:val="007705D4"/>
    <w:rsid w:val="00771DB6"/>
    <w:rsid w:val="00773D24"/>
    <w:rsid w:val="00774423"/>
    <w:rsid w:val="0077510C"/>
    <w:rsid w:val="0078017D"/>
    <w:rsid w:val="007815EA"/>
    <w:rsid w:val="00782712"/>
    <w:rsid w:val="00782B22"/>
    <w:rsid w:val="00783476"/>
    <w:rsid w:val="00785486"/>
    <w:rsid w:val="0078777A"/>
    <w:rsid w:val="007877DF"/>
    <w:rsid w:val="00790275"/>
    <w:rsid w:val="00790663"/>
    <w:rsid w:val="00790E93"/>
    <w:rsid w:val="00791C23"/>
    <w:rsid w:val="007920A5"/>
    <w:rsid w:val="007921A4"/>
    <w:rsid w:val="00792C81"/>
    <w:rsid w:val="00793859"/>
    <w:rsid w:val="00794017"/>
    <w:rsid w:val="007942A6"/>
    <w:rsid w:val="00794579"/>
    <w:rsid w:val="0079566C"/>
    <w:rsid w:val="007961B7"/>
    <w:rsid w:val="00796A13"/>
    <w:rsid w:val="00796D5A"/>
    <w:rsid w:val="00797215"/>
    <w:rsid w:val="00797348"/>
    <w:rsid w:val="00797926"/>
    <w:rsid w:val="00797F52"/>
    <w:rsid w:val="007A071D"/>
    <w:rsid w:val="007A5159"/>
    <w:rsid w:val="007A54F8"/>
    <w:rsid w:val="007A57DA"/>
    <w:rsid w:val="007A6A5A"/>
    <w:rsid w:val="007A781D"/>
    <w:rsid w:val="007A7B60"/>
    <w:rsid w:val="007B205E"/>
    <w:rsid w:val="007B359B"/>
    <w:rsid w:val="007B3C14"/>
    <w:rsid w:val="007B42B3"/>
    <w:rsid w:val="007B5297"/>
    <w:rsid w:val="007B552F"/>
    <w:rsid w:val="007B6152"/>
    <w:rsid w:val="007B63DC"/>
    <w:rsid w:val="007B6C7A"/>
    <w:rsid w:val="007C1CFD"/>
    <w:rsid w:val="007C27C1"/>
    <w:rsid w:val="007C310C"/>
    <w:rsid w:val="007C372A"/>
    <w:rsid w:val="007C46D0"/>
    <w:rsid w:val="007C4D26"/>
    <w:rsid w:val="007C5FBF"/>
    <w:rsid w:val="007C6082"/>
    <w:rsid w:val="007C6132"/>
    <w:rsid w:val="007C6971"/>
    <w:rsid w:val="007C6CCA"/>
    <w:rsid w:val="007C6E92"/>
    <w:rsid w:val="007D2A80"/>
    <w:rsid w:val="007D4697"/>
    <w:rsid w:val="007D47D9"/>
    <w:rsid w:val="007D776F"/>
    <w:rsid w:val="007E1E13"/>
    <w:rsid w:val="007E4D93"/>
    <w:rsid w:val="007E5DD6"/>
    <w:rsid w:val="007E6F4D"/>
    <w:rsid w:val="007E7AB8"/>
    <w:rsid w:val="007F18D4"/>
    <w:rsid w:val="007F27A5"/>
    <w:rsid w:val="007F29A0"/>
    <w:rsid w:val="007F2F73"/>
    <w:rsid w:val="007F344F"/>
    <w:rsid w:val="007F3676"/>
    <w:rsid w:val="007F47C0"/>
    <w:rsid w:val="007F4E23"/>
    <w:rsid w:val="007F51B4"/>
    <w:rsid w:val="007F5E24"/>
    <w:rsid w:val="007F6C66"/>
    <w:rsid w:val="007F6E03"/>
    <w:rsid w:val="007F7CBB"/>
    <w:rsid w:val="00800308"/>
    <w:rsid w:val="008018F6"/>
    <w:rsid w:val="00802DD4"/>
    <w:rsid w:val="008033C2"/>
    <w:rsid w:val="00805110"/>
    <w:rsid w:val="00805C9A"/>
    <w:rsid w:val="0080759A"/>
    <w:rsid w:val="00812F66"/>
    <w:rsid w:val="00814434"/>
    <w:rsid w:val="008147FF"/>
    <w:rsid w:val="00815FB2"/>
    <w:rsid w:val="00816E37"/>
    <w:rsid w:val="00817A2C"/>
    <w:rsid w:val="00817A89"/>
    <w:rsid w:val="00817F57"/>
    <w:rsid w:val="00823148"/>
    <w:rsid w:val="008234BE"/>
    <w:rsid w:val="00823B07"/>
    <w:rsid w:val="00825EAC"/>
    <w:rsid w:val="00825EC7"/>
    <w:rsid w:val="00827E19"/>
    <w:rsid w:val="008306BB"/>
    <w:rsid w:val="0083255C"/>
    <w:rsid w:val="008328AA"/>
    <w:rsid w:val="008352D8"/>
    <w:rsid w:val="00835EDF"/>
    <w:rsid w:val="0083641C"/>
    <w:rsid w:val="00836604"/>
    <w:rsid w:val="008369D2"/>
    <w:rsid w:val="00837BC1"/>
    <w:rsid w:val="00841308"/>
    <w:rsid w:val="00841C58"/>
    <w:rsid w:val="0084224E"/>
    <w:rsid w:val="00843468"/>
    <w:rsid w:val="0084565A"/>
    <w:rsid w:val="0084754F"/>
    <w:rsid w:val="00852D5F"/>
    <w:rsid w:val="00852F5A"/>
    <w:rsid w:val="008532F8"/>
    <w:rsid w:val="00854062"/>
    <w:rsid w:val="00854568"/>
    <w:rsid w:val="008553BC"/>
    <w:rsid w:val="00856300"/>
    <w:rsid w:val="0085652D"/>
    <w:rsid w:val="008569CB"/>
    <w:rsid w:val="00856D4A"/>
    <w:rsid w:val="008605CF"/>
    <w:rsid w:val="0086142E"/>
    <w:rsid w:val="00861F4E"/>
    <w:rsid w:val="00864936"/>
    <w:rsid w:val="00865385"/>
    <w:rsid w:val="00865B17"/>
    <w:rsid w:val="008677A5"/>
    <w:rsid w:val="00872C98"/>
    <w:rsid w:val="00873811"/>
    <w:rsid w:val="00873A33"/>
    <w:rsid w:val="00876773"/>
    <w:rsid w:val="00882D84"/>
    <w:rsid w:val="00883178"/>
    <w:rsid w:val="00883DF2"/>
    <w:rsid w:val="00886106"/>
    <w:rsid w:val="00886F7B"/>
    <w:rsid w:val="00887931"/>
    <w:rsid w:val="00892263"/>
    <w:rsid w:val="008925BC"/>
    <w:rsid w:val="00892D70"/>
    <w:rsid w:val="00892DF0"/>
    <w:rsid w:val="008938A8"/>
    <w:rsid w:val="008946C8"/>
    <w:rsid w:val="00895A98"/>
    <w:rsid w:val="00896424"/>
    <w:rsid w:val="0089703B"/>
    <w:rsid w:val="00897CC3"/>
    <w:rsid w:val="00897ED0"/>
    <w:rsid w:val="008A0B87"/>
    <w:rsid w:val="008A0DC7"/>
    <w:rsid w:val="008A25DC"/>
    <w:rsid w:val="008A3492"/>
    <w:rsid w:val="008A42C5"/>
    <w:rsid w:val="008A578B"/>
    <w:rsid w:val="008A5903"/>
    <w:rsid w:val="008A64CF"/>
    <w:rsid w:val="008A658F"/>
    <w:rsid w:val="008A6DFF"/>
    <w:rsid w:val="008B006A"/>
    <w:rsid w:val="008B0BAF"/>
    <w:rsid w:val="008B15AB"/>
    <w:rsid w:val="008B251B"/>
    <w:rsid w:val="008B289A"/>
    <w:rsid w:val="008B3B05"/>
    <w:rsid w:val="008B3CA3"/>
    <w:rsid w:val="008B4CC4"/>
    <w:rsid w:val="008B4DF9"/>
    <w:rsid w:val="008B5901"/>
    <w:rsid w:val="008B739E"/>
    <w:rsid w:val="008C0AE4"/>
    <w:rsid w:val="008C0AF3"/>
    <w:rsid w:val="008C0F33"/>
    <w:rsid w:val="008C2AFE"/>
    <w:rsid w:val="008C2C7E"/>
    <w:rsid w:val="008C3503"/>
    <w:rsid w:val="008C3E13"/>
    <w:rsid w:val="008C45BB"/>
    <w:rsid w:val="008C4917"/>
    <w:rsid w:val="008C4A67"/>
    <w:rsid w:val="008C5DAC"/>
    <w:rsid w:val="008C6987"/>
    <w:rsid w:val="008C7873"/>
    <w:rsid w:val="008C79E3"/>
    <w:rsid w:val="008D0206"/>
    <w:rsid w:val="008D0F8F"/>
    <w:rsid w:val="008D0FCE"/>
    <w:rsid w:val="008D27DE"/>
    <w:rsid w:val="008D3A0D"/>
    <w:rsid w:val="008D3C47"/>
    <w:rsid w:val="008D53C7"/>
    <w:rsid w:val="008D6AB7"/>
    <w:rsid w:val="008E21BF"/>
    <w:rsid w:val="008E36B5"/>
    <w:rsid w:val="008E3A4B"/>
    <w:rsid w:val="008E3D61"/>
    <w:rsid w:val="008E4558"/>
    <w:rsid w:val="008F0464"/>
    <w:rsid w:val="008F0951"/>
    <w:rsid w:val="008F39FF"/>
    <w:rsid w:val="008F3E86"/>
    <w:rsid w:val="008F660C"/>
    <w:rsid w:val="009002C1"/>
    <w:rsid w:val="00902B37"/>
    <w:rsid w:val="00903185"/>
    <w:rsid w:val="00903CB4"/>
    <w:rsid w:val="00906634"/>
    <w:rsid w:val="009070BF"/>
    <w:rsid w:val="00907EC6"/>
    <w:rsid w:val="00910823"/>
    <w:rsid w:val="009115EE"/>
    <w:rsid w:val="00911BAA"/>
    <w:rsid w:val="009125CC"/>
    <w:rsid w:val="00917447"/>
    <w:rsid w:val="0092027E"/>
    <w:rsid w:val="009210CC"/>
    <w:rsid w:val="00921C12"/>
    <w:rsid w:val="0092202D"/>
    <w:rsid w:val="009246C8"/>
    <w:rsid w:val="00925A15"/>
    <w:rsid w:val="0092647C"/>
    <w:rsid w:val="0093036E"/>
    <w:rsid w:val="0093041E"/>
    <w:rsid w:val="00930591"/>
    <w:rsid w:val="00933065"/>
    <w:rsid w:val="009335ED"/>
    <w:rsid w:val="009341EB"/>
    <w:rsid w:val="0093424F"/>
    <w:rsid w:val="00934AB2"/>
    <w:rsid w:val="00934ECD"/>
    <w:rsid w:val="009369FA"/>
    <w:rsid w:val="00936B11"/>
    <w:rsid w:val="00937FC2"/>
    <w:rsid w:val="009429E2"/>
    <w:rsid w:val="00943095"/>
    <w:rsid w:val="00944017"/>
    <w:rsid w:val="00944048"/>
    <w:rsid w:val="009449D6"/>
    <w:rsid w:val="00944AEE"/>
    <w:rsid w:val="009451FB"/>
    <w:rsid w:val="009460D9"/>
    <w:rsid w:val="0094614D"/>
    <w:rsid w:val="009469F6"/>
    <w:rsid w:val="009500AA"/>
    <w:rsid w:val="009511A6"/>
    <w:rsid w:val="00951FE3"/>
    <w:rsid w:val="0095326F"/>
    <w:rsid w:val="009540A2"/>
    <w:rsid w:val="00954C6A"/>
    <w:rsid w:val="00954CD8"/>
    <w:rsid w:val="0095716D"/>
    <w:rsid w:val="009572F0"/>
    <w:rsid w:val="009601F7"/>
    <w:rsid w:val="0096077A"/>
    <w:rsid w:val="00961227"/>
    <w:rsid w:val="00963556"/>
    <w:rsid w:val="00963795"/>
    <w:rsid w:val="009640A5"/>
    <w:rsid w:val="00964E1A"/>
    <w:rsid w:val="0096617A"/>
    <w:rsid w:val="00966EDB"/>
    <w:rsid w:val="00967660"/>
    <w:rsid w:val="00967D6F"/>
    <w:rsid w:val="00967E60"/>
    <w:rsid w:val="00970AD5"/>
    <w:rsid w:val="00971671"/>
    <w:rsid w:val="009742D3"/>
    <w:rsid w:val="00974CC9"/>
    <w:rsid w:val="0097566F"/>
    <w:rsid w:val="0097614A"/>
    <w:rsid w:val="00977259"/>
    <w:rsid w:val="00977563"/>
    <w:rsid w:val="00977D28"/>
    <w:rsid w:val="00981034"/>
    <w:rsid w:val="0098114E"/>
    <w:rsid w:val="0098394A"/>
    <w:rsid w:val="00985B01"/>
    <w:rsid w:val="00987021"/>
    <w:rsid w:val="00987F0A"/>
    <w:rsid w:val="00991604"/>
    <w:rsid w:val="0099187B"/>
    <w:rsid w:val="0099247D"/>
    <w:rsid w:val="00992A87"/>
    <w:rsid w:val="00992B61"/>
    <w:rsid w:val="00993ABF"/>
    <w:rsid w:val="00995A94"/>
    <w:rsid w:val="00996688"/>
    <w:rsid w:val="00996BAF"/>
    <w:rsid w:val="0099738A"/>
    <w:rsid w:val="009A08AD"/>
    <w:rsid w:val="009A2BBD"/>
    <w:rsid w:val="009A484D"/>
    <w:rsid w:val="009A6A50"/>
    <w:rsid w:val="009A70A9"/>
    <w:rsid w:val="009A7C7B"/>
    <w:rsid w:val="009B000E"/>
    <w:rsid w:val="009B0DB9"/>
    <w:rsid w:val="009B2F5D"/>
    <w:rsid w:val="009B343A"/>
    <w:rsid w:val="009B4201"/>
    <w:rsid w:val="009B5244"/>
    <w:rsid w:val="009B58F3"/>
    <w:rsid w:val="009B6A0D"/>
    <w:rsid w:val="009B6C1B"/>
    <w:rsid w:val="009B75E4"/>
    <w:rsid w:val="009B7FCF"/>
    <w:rsid w:val="009C0027"/>
    <w:rsid w:val="009C00CD"/>
    <w:rsid w:val="009C066B"/>
    <w:rsid w:val="009C0879"/>
    <w:rsid w:val="009C0E15"/>
    <w:rsid w:val="009C1955"/>
    <w:rsid w:val="009C46E7"/>
    <w:rsid w:val="009C4BF4"/>
    <w:rsid w:val="009C4CE7"/>
    <w:rsid w:val="009C7C3A"/>
    <w:rsid w:val="009D0298"/>
    <w:rsid w:val="009D120C"/>
    <w:rsid w:val="009D14BB"/>
    <w:rsid w:val="009D4501"/>
    <w:rsid w:val="009D4836"/>
    <w:rsid w:val="009E04F6"/>
    <w:rsid w:val="009E052F"/>
    <w:rsid w:val="009E316C"/>
    <w:rsid w:val="009E3FCC"/>
    <w:rsid w:val="009E612D"/>
    <w:rsid w:val="009E75FE"/>
    <w:rsid w:val="009E7F70"/>
    <w:rsid w:val="009F080C"/>
    <w:rsid w:val="009F305D"/>
    <w:rsid w:val="009F3A91"/>
    <w:rsid w:val="009F4899"/>
    <w:rsid w:val="009F7179"/>
    <w:rsid w:val="009F7246"/>
    <w:rsid w:val="00A01074"/>
    <w:rsid w:val="00A01106"/>
    <w:rsid w:val="00A0271A"/>
    <w:rsid w:val="00A02AC9"/>
    <w:rsid w:val="00A03548"/>
    <w:rsid w:val="00A043EE"/>
    <w:rsid w:val="00A04A35"/>
    <w:rsid w:val="00A05D9E"/>
    <w:rsid w:val="00A06859"/>
    <w:rsid w:val="00A07101"/>
    <w:rsid w:val="00A077CC"/>
    <w:rsid w:val="00A11620"/>
    <w:rsid w:val="00A12FBA"/>
    <w:rsid w:val="00A133E2"/>
    <w:rsid w:val="00A13CD2"/>
    <w:rsid w:val="00A144C7"/>
    <w:rsid w:val="00A1486F"/>
    <w:rsid w:val="00A16A49"/>
    <w:rsid w:val="00A175DC"/>
    <w:rsid w:val="00A17DC0"/>
    <w:rsid w:val="00A2065D"/>
    <w:rsid w:val="00A22A4C"/>
    <w:rsid w:val="00A236C5"/>
    <w:rsid w:val="00A23DE8"/>
    <w:rsid w:val="00A24535"/>
    <w:rsid w:val="00A2565A"/>
    <w:rsid w:val="00A269EC"/>
    <w:rsid w:val="00A26B13"/>
    <w:rsid w:val="00A26D56"/>
    <w:rsid w:val="00A27738"/>
    <w:rsid w:val="00A27887"/>
    <w:rsid w:val="00A27FC9"/>
    <w:rsid w:val="00A30465"/>
    <w:rsid w:val="00A305C1"/>
    <w:rsid w:val="00A30D1E"/>
    <w:rsid w:val="00A319A0"/>
    <w:rsid w:val="00A32338"/>
    <w:rsid w:val="00A32612"/>
    <w:rsid w:val="00A3309C"/>
    <w:rsid w:val="00A33A22"/>
    <w:rsid w:val="00A33CFA"/>
    <w:rsid w:val="00A34700"/>
    <w:rsid w:val="00A36669"/>
    <w:rsid w:val="00A375D4"/>
    <w:rsid w:val="00A40823"/>
    <w:rsid w:val="00A40E12"/>
    <w:rsid w:val="00A41B07"/>
    <w:rsid w:val="00A41CC6"/>
    <w:rsid w:val="00A422D1"/>
    <w:rsid w:val="00A42C0C"/>
    <w:rsid w:val="00A44132"/>
    <w:rsid w:val="00A44544"/>
    <w:rsid w:val="00A445D6"/>
    <w:rsid w:val="00A44D10"/>
    <w:rsid w:val="00A457A4"/>
    <w:rsid w:val="00A45FAB"/>
    <w:rsid w:val="00A507D0"/>
    <w:rsid w:val="00A51DE8"/>
    <w:rsid w:val="00A5200D"/>
    <w:rsid w:val="00A52776"/>
    <w:rsid w:val="00A54897"/>
    <w:rsid w:val="00A54952"/>
    <w:rsid w:val="00A55E7D"/>
    <w:rsid w:val="00A5791A"/>
    <w:rsid w:val="00A579F1"/>
    <w:rsid w:val="00A57FCC"/>
    <w:rsid w:val="00A60DA2"/>
    <w:rsid w:val="00A612BB"/>
    <w:rsid w:val="00A61A81"/>
    <w:rsid w:val="00A61B3D"/>
    <w:rsid w:val="00A644B2"/>
    <w:rsid w:val="00A64618"/>
    <w:rsid w:val="00A6520D"/>
    <w:rsid w:val="00A6772E"/>
    <w:rsid w:val="00A7008E"/>
    <w:rsid w:val="00A70C36"/>
    <w:rsid w:val="00A71E86"/>
    <w:rsid w:val="00A72119"/>
    <w:rsid w:val="00A740A5"/>
    <w:rsid w:val="00A76568"/>
    <w:rsid w:val="00A77B82"/>
    <w:rsid w:val="00A8010A"/>
    <w:rsid w:val="00A81839"/>
    <w:rsid w:val="00A85D55"/>
    <w:rsid w:val="00A86D86"/>
    <w:rsid w:val="00A87780"/>
    <w:rsid w:val="00A87EAA"/>
    <w:rsid w:val="00A90C9D"/>
    <w:rsid w:val="00A9164B"/>
    <w:rsid w:val="00A91AB0"/>
    <w:rsid w:val="00A940F1"/>
    <w:rsid w:val="00A973A5"/>
    <w:rsid w:val="00A97ECE"/>
    <w:rsid w:val="00AA1B0C"/>
    <w:rsid w:val="00AA1EDE"/>
    <w:rsid w:val="00AA3300"/>
    <w:rsid w:val="00AA4DEF"/>
    <w:rsid w:val="00AA5A81"/>
    <w:rsid w:val="00AA6364"/>
    <w:rsid w:val="00AA6397"/>
    <w:rsid w:val="00AA73BE"/>
    <w:rsid w:val="00AB1A32"/>
    <w:rsid w:val="00AB2D71"/>
    <w:rsid w:val="00AB3900"/>
    <w:rsid w:val="00AB49B5"/>
    <w:rsid w:val="00AB6B21"/>
    <w:rsid w:val="00AB71FA"/>
    <w:rsid w:val="00AC0399"/>
    <w:rsid w:val="00AC11B5"/>
    <w:rsid w:val="00AC16A7"/>
    <w:rsid w:val="00AC1DCA"/>
    <w:rsid w:val="00AC41C4"/>
    <w:rsid w:val="00AC4674"/>
    <w:rsid w:val="00AC4B3F"/>
    <w:rsid w:val="00AC560A"/>
    <w:rsid w:val="00AC5665"/>
    <w:rsid w:val="00AC5F70"/>
    <w:rsid w:val="00AC7A96"/>
    <w:rsid w:val="00AD0DD7"/>
    <w:rsid w:val="00AD1264"/>
    <w:rsid w:val="00AD207E"/>
    <w:rsid w:val="00AD3808"/>
    <w:rsid w:val="00AD3D70"/>
    <w:rsid w:val="00AD3EC3"/>
    <w:rsid w:val="00AD3EF0"/>
    <w:rsid w:val="00AD64D3"/>
    <w:rsid w:val="00AD6F3D"/>
    <w:rsid w:val="00AE1CE0"/>
    <w:rsid w:val="00AE234D"/>
    <w:rsid w:val="00AE4B51"/>
    <w:rsid w:val="00AE562F"/>
    <w:rsid w:val="00AE5CD5"/>
    <w:rsid w:val="00AE6D3D"/>
    <w:rsid w:val="00AF049B"/>
    <w:rsid w:val="00AF0DED"/>
    <w:rsid w:val="00AF0F67"/>
    <w:rsid w:val="00AF1A0A"/>
    <w:rsid w:val="00AF2651"/>
    <w:rsid w:val="00AF37B0"/>
    <w:rsid w:val="00AF3ADB"/>
    <w:rsid w:val="00AF3DA1"/>
    <w:rsid w:val="00AF44DD"/>
    <w:rsid w:val="00AF489F"/>
    <w:rsid w:val="00AF7C2F"/>
    <w:rsid w:val="00B00017"/>
    <w:rsid w:val="00B00522"/>
    <w:rsid w:val="00B03BC9"/>
    <w:rsid w:val="00B04B81"/>
    <w:rsid w:val="00B05132"/>
    <w:rsid w:val="00B05A02"/>
    <w:rsid w:val="00B079A3"/>
    <w:rsid w:val="00B07C66"/>
    <w:rsid w:val="00B10179"/>
    <w:rsid w:val="00B114E0"/>
    <w:rsid w:val="00B12CBA"/>
    <w:rsid w:val="00B20201"/>
    <w:rsid w:val="00B20377"/>
    <w:rsid w:val="00B20C01"/>
    <w:rsid w:val="00B21E0A"/>
    <w:rsid w:val="00B22CC4"/>
    <w:rsid w:val="00B23F64"/>
    <w:rsid w:val="00B24FD6"/>
    <w:rsid w:val="00B24FE1"/>
    <w:rsid w:val="00B304D9"/>
    <w:rsid w:val="00B30F54"/>
    <w:rsid w:val="00B3110E"/>
    <w:rsid w:val="00B31BA2"/>
    <w:rsid w:val="00B3211E"/>
    <w:rsid w:val="00B33049"/>
    <w:rsid w:val="00B344FE"/>
    <w:rsid w:val="00B35254"/>
    <w:rsid w:val="00B35EBC"/>
    <w:rsid w:val="00B368B3"/>
    <w:rsid w:val="00B373CB"/>
    <w:rsid w:val="00B40A83"/>
    <w:rsid w:val="00B40BD1"/>
    <w:rsid w:val="00B41E34"/>
    <w:rsid w:val="00B42477"/>
    <w:rsid w:val="00B426AC"/>
    <w:rsid w:val="00B42F27"/>
    <w:rsid w:val="00B433C9"/>
    <w:rsid w:val="00B440C6"/>
    <w:rsid w:val="00B45DD8"/>
    <w:rsid w:val="00B479FA"/>
    <w:rsid w:val="00B52061"/>
    <w:rsid w:val="00B57E39"/>
    <w:rsid w:val="00B6014B"/>
    <w:rsid w:val="00B6197B"/>
    <w:rsid w:val="00B62E57"/>
    <w:rsid w:val="00B63E4E"/>
    <w:rsid w:val="00B6430E"/>
    <w:rsid w:val="00B65D4B"/>
    <w:rsid w:val="00B66266"/>
    <w:rsid w:val="00B66571"/>
    <w:rsid w:val="00B669C2"/>
    <w:rsid w:val="00B66F61"/>
    <w:rsid w:val="00B7145C"/>
    <w:rsid w:val="00B75C56"/>
    <w:rsid w:val="00B75DF9"/>
    <w:rsid w:val="00B81520"/>
    <w:rsid w:val="00B8269E"/>
    <w:rsid w:val="00B82FB8"/>
    <w:rsid w:val="00B83829"/>
    <w:rsid w:val="00B8525D"/>
    <w:rsid w:val="00B86BF2"/>
    <w:rsid w:val="00B86FA0"/>
    <w:rsid w:val="00B91916"/>
    <w:rsid w:val="00B92882"/>
    <w:rsid w:val="00B92B3B"/>
    <w:rsid w:val="00B92C91"/>
    <w:rsid w:val="00B93C4A"/>
    <w:rsid w:val="00B94295"/>
    <w:rsid w:val="00B954A5"/>
    <w:rsid w:val="00B954B3"/>
    <w:rsid w:val="00B96249"/>
    <w:rsid w:val="00B968CA"/>
    <w:rsid w:val="00B96D29"/>
    <w:rsid w:val="00B97C48"/>
    <w:rsid w:val="00BA0A63"/>
    <w:rsid w:val="00BA2A97"/>
    <w:rsid w:val="00BA3569"/>
    <w:rsid w:val="00BA3CEC"/>
    <w:rsid w:val="00BA44F0"/>
    <w:rsid w:val="00BA5A61"/>
    <w:rsid w:val="00BA5AE3"/>
    <w:rsid w:val="00BA62F3"/>
    <w:rsid w:val="00BA6C98"/>
    <w:rsid w:val="00BA6F39"/>
    <w:rsid w:val="00BA7E1D"/>
    <w:rsid w:val="00BB37B6"/>
    <w:rsid w:val="00BB3B2A"/>
    <w:rsid w:val="00BB3F42"/>
    <w:rsid w:val="00BB4817"/>
    <w:rsid w:val="00BB4CE0"/>
    <w:rsid w:val="00BB5463"/>
    <w:rsid w:val="00BB566A"/>
    <w:rsid w:val="00BB6752"/>
    <w:rsid w:val="00BB7912"/>
    <w:rsid w:val="00BC11F6"/>
    <w:rsid w:val="00BC13CF"/>
    <w:rsid w:val="00BC194B"/>
    <w:rsid w:val="00BC1954"/>
    <w:rsid w:val="00BC1E15"/>
    <w:rsid w:val="00BC34FE"/>
    <w:rsid w:val="00BC3A05"/>
    <w:rsid w:val="00BC3C3C"/>
    <w:rsid w:val="00BC42E7"/>
    <w:rsid w:val="00BC6E00"/>
    <w:rsid w:val="00BC7B44"/>
    <w:rsid w:val="00BC7C8D"/>
    <w:rsid w:val="00BD1250"/>
    <w:rsid w:val="00BD1AE0"/>
    <w:rsid w:val="00BD38DA"/>
    <w:rsid w:val="00BD45C2"/>
    <w:rsid w:val="00BD474D"/>
    <w:rsid w:val="00BD4F84"/>
    <w:rsid w:val="00BD5342"/>
    <w:rsid w:val="00BD6739"/>
    <w:rsid w:val="00BE0AEC"/>
    <w:rsid w:val="00BE2047"/>
    <w:rsid w:val="00BE28F5"/>
    <w:rsid w:val="00BE2C8B"/>
    <w:rsid w:val="00BE3248"/>
    <w:rsid w:val="00BE34BE"/>
    <w:rsid w:val="00BE665C"/>
    <w:rsid w:val="00BE78ED"/>
    <w:rsid w:val="00BE7BEB"/>
    <w:rsid w:val="00BE7F27"/>
    <w:rsid w:val="00BF0512"/>
    <w:rsid w:val="00BF1010"/>
    <w:rsid w:val="00BF1110"/>
    <w:rsid w:val="00BF2B24"/>
    <w:rsid w:val="00BF2CC4"/>
    <w:rsid w:val="00BF328E"/>
    <w:rsid w:val="00BF3A6F"/>
    <w:rsid w:val="00BF4167"/>
    <w:rsid w:val="00BF4B7B"/>
    <w:rsid w:val="00BF555C"/>
    <w:rsid w:val="00BF5DD8"/>
    <w:rsid w:val="00C00139"/>
    <w:rsid w:val="00C0023A"/>
    <w:rsid w:val="00C02619"/>
    <w:rsid w:val="00C027C7"/>
    <w:rsid w:val="00C040A4"/>
    <w:rsid w:val="00C04506"/>
    <w:rsid w:val="00C05BCB"/>
    <w:rsid w:val="00C0632C"/>
    <w:rsid w:val="00C06497"/>
    <w:rsid w:val="00C0768A"/>
    <w:rsid w:val="00C10595"/>
    <w:rsid w:val="00C10EA8"/>
    <w:rsid w:val="00C1112C"/>
    <w:rsid w:val="00C12365"/>
    <w:rsid w:val="00C12A89"/>
    <w:rsid w:val="00C13063"/>
    <w:rsid w:val="00C135B9"/>
    <w:rsid w:val="00C1396C"/>
    <w:rsid w:val="00C14350"/>
    <w:rsid w:val="00C14C4A"/>
    <w:rsid w:val="00C14D44"/>
    <w:rsid w:val="00C14DE4"/>
    <w:rsid w:val="00C15A15"/>
    <w:rsid w:val="00C16D6D"/>
    <w:rsid w:val="00C211E0"/>
    <w:rsid w:val="00C223E4"/>
    <w:rsid w:val="00C22FE4"/>
    <w:rsid w:val="00C23D1D"/>
    <w:rsid w:val="00C23EB9"/>
    <w:rsid w:val="00C24807"/>
    <w:rsid w:val="00C24AC0"/>
    <w:rsid w:val="00C277FA"/>
    <w:rsid w:val="00C315D7"/>
    <w:rsid w:val="00C32B89"/>
    <w:rsid w:val="00C34510"/>
    <w:rsid w:val="00C34B84"/>
    <w:rsid w:val="00C351EA"/>
    <w:rsid w:val="00C35288"/>
    <w:rsid w:val="00C3698C"/>
    <w:rsid w:val="00C3778A"/>
    <w:rsid w:val="00C37C4C"/>
    <w:rsid w:val="00C37FFA"/>
    <w:rsid w:val="00C44017"/>
    <w:rsid w:val="00C460F4"/>
    <w:rsid w:val="00C46A3E"/>
    <w:rsid w:val="00C47FA8"/>
    <w:rsid w:val="00C5038A"/>
    <w:rsid w:val="00C5131C"/>
    <w:rsid w:val="00C513C0"/>
    <w:rsid w:val="00C525EB"/>
    <w:rsid w:val="00C53D93"/>
    <w:rsid w:val="00C545B7"/>
    <w:rsid w:val="00C5493E"/>
    <w:rsid w:val="00C565DF"/>
    <w:rsid w:val="00C567C6"/>
    <w:rsid w:val="00C56C9F"/>
    <w:rsid w:val="00C57B79"/>
    <w:rsid w:val="00C61110"/>
    <w:rsid w:val="00C616D7"/>
    <w:rsid w:val="00C6256D"/>
    <w:rsid w:val="00C62756"/>
    <w:rsid w:val="00C65268"/>
    <w:rsid w:val="00C6570C"/>
    <w:rsid w:val="00C657D5"/>
    <w:rsid w:val="00C66056"/>
    <w:rsid w:val="00C67BE8"/>
    <w:rsid w:val="00C67E4F"/>
    <w:rsid w:val="00C70A7C"/>
    <w:rsid w:val="00C710CD"/>
    <w:rsid w:val="00C722BD"/>
    <w:rsid w:val="00C72322"/>
    <w:rsid w:val="00C724F1"/>
    <w:rsid w:val="00C74585"/>
    <w:rsid w:val="00C74C57"/>
    <w:rsid w:val="00C7512C"/>
    <w:rsid w:val="00C772D1"/>
    <w:rsid w:val="00C81131"/>
    <w:rsid w:val="00C8211E"/>
    <w:rsid w:val="00C82FAF"/>
    <w:rsid w:val="00C83AB1"/>
    <w:rsid w:val="00C83B1A"/>
    <w:rsid w:val="00C84E50"/>
    <w:rsid w:val="00C85286"/>
    <w:rsid w:val="00C85308"/>
    <w:rsid w:val="00C86469"/>
    <w:rsid w:val="00C86F27"/>
    <w:rsid w:val="00C912D4"/>
    <w:rsid w:val="00C91E9A"/>
    <w:rsid w:val="00C933F0"/>
    <w:rsid w:val="00C93944"/>
    <w:rsid w:val="00C946DB"/>
    <w:rsid w:val="00C94E2C"/>
    <w:rsid w:val="00C952ED"/>
    <w:rsid w:val="00C96F09"/>
    <w:rsid w:val="00C974E9"/>
    <w:rsid w:val="00CA1F38"/>
    <w:rsid w:val="00CA1F6D"/>
    <w:rsid w:val="00CA2A5E"/>
    <w:rsid w:val="00CA45A8"/>
    <w:rsid w:val="00CA4698"/>
    <w:rsid w:val="00CA6499"/>
    <w:rsid w:val="00CA65DC"/>
    <w:rsid w:val="00CA69C3"/>
    <w:rsid w:val="00CA7AD3"/>
    <w:rsid w:val="00CB115A"/>
    <w:rsid w:val="00CB1600"/>
    <w:rsid w:val="00CB1A42"/>
    <w:rsid w:val="00CB2DA7"/>
    <w:rsid w:val="00CB328E"/>
    <w:rsid w:val="00CB5629"/>
    <w:rsid w:val="00CB6D5F"/>
    <w:rsid w:val="00CB7219"/>
    <w:rsid w:val="00CC1EB5"/>
    <w:rsid w:val="00CC2494"/>
    <w:rsid w:val="00CC284F"/>
    <w:rsid w:val="00CC2CA1"/>
    <w:rsid w:val="00CC3CA8"/>
    <w:rsid w:val="00CC4219"/>
    <w:rsid w:val="00CC42F6"/>
    <w:rsid w:val="00CC5B63"/>
    <w:rsid w:val="00CC62A4"/>
    <w:rsid w:val="00CC6D6C"/>
    <w:rsid w:val="00CC7A23"/>
    <w:rsid w:val="00CD00EF"/>
    <w:rsid w:val="00CD05DB"/>
    <w:rsid w:val="00CD0EB1"/>
    <w:rsid w:val="00CD18A7"/>
    <w:rsid w:val="00CD18D7"/>
    <w:rsid w:val="00CD2CA7"/>
    <w:rsid w:val="00CD2F61"/>
    <w:rsid w:val="00CD36D9"/>
    <w:rsid w:val="00CD5A4D"/>
    <w:rsid w:val="00CD5D09"/>
    <w:rsid w:val="00CD6DC6"/>
    <w:rsid w:val="00CD7413"/>
    <w:rsid w:val="00CE03EC"/>
    <w:rsid w:val="00CE1DE1"/>
    <w:rsid w:val="00CE4BCF"/>
    <w:rsid w:val="00CE6120"/>
    <w:rsid w:val="00CE6BA9"/>
    <w:rsid w:val="00CE77B7"/>
    <w:rsid w:val="00CF15BD"/>
    <w:rsid w:val="00CF496B"/>
    <w:rsid w:val="00CF5332"/>
    <w:rsid w:val="00CF6DD2"/>
    <w:rsid w:val="00D01607"/>
    <w:rsid w:val="00D01B34"/>
    <w:rsid w:val="00D02665"/>
    <w:rsid w:val="00D0274E"/>
    <w:rsid w:val="00D0429D"/>
    <w:rsid w:val="00D05474"/>
    <w:rsid w:val="00D0607E"/>
    <w:rsid w:val="00D0639B"/>
    <w:rsid w:val="00D1167A"/>
    <w:rsid w:val="00D11B10"/>
    <w:rsid w:val="00D14282"/>
    <w:rsid w:val="00D145D0"/>
    <w:rsid w:val="00D1501B"/>
    <w:rsid w:val="00D156B9"/>
    <w:rsid w:val="00D162E5"/>
    <w:rsid w:val="00D16BB3"/>
    <w:rsid w:val="00D17929"/>
    <w:rsid w:val="00D220F0"/>
    <w:rsid w:val="00D23645"/>
    <w:rsid w:val="00D23689"/>
    <w:rsid w:val="00D23E0D"/>
    <w:rsid w:val="00D23E4C"/>
    <w:rsid w:val="00D24074"/>
    <w:rsid w:val="00D260C2"/>
    <w:rsid w:val="00D26FE9"/>
    <w:rsid w:val="00D2711B"/>
    <w:rsid w:val="00D27C03"/>
    <w:rsid w:val="00D27EE5"/>
    <w:rsid w:val="00D30413"/>
    <w:rsid w:val="00D31A31"/>
    <w:rsid w:val="00D33D9F"/>
    <w:rsid w:val="00D34657"/>
    <w:rsid w:val="00D36F23"/>
    <w:rsid w:val="00D37EF8"/>
    <w:rsid w:val="00D40125"/>
    <w:rsid w:val="00D406CA"/>
    <w:rsid w:val="00D4155C"/>
    <w:rsid w:val="00D4206F"/>
    <w:rsid w:val="00D420D0"/>
    <w:rsid w:val="00D45A27"/>
    <w:rsid w:val="00D45C9F"/>
    <w:rsid w:val="00D50981"/>
    <w:rsid w:val="00D509B1"/>
    <w:rsid w:val="00D51130"/>
    <w:rsid w:val="00D53001"/>
    <w:rsid w:val="00D537D4"/>
    <w:rsid w:val="00D53DB1"/>
    <w:rsid w:val="00D55D6F"/>
    <w:rsid w:val="00D575FB"/>
    <w:rsid w:val="00D6068C"/>
    <w:rsid w:val="00D6070E"/>
    <w:rsid w:val="00D61B73"/>
    <w:rsid w:val="00D62E7E"/>
    <w:rsid w:val="00D649CC"/>
    <w:rsid w:val="00D65ACD"/>
    <w:rsid w:val="00D662EC"/>
    <w:rsid w:val="00D66427"/>
    <w:rsid w:val="00D66FCE"/>
    <w:rsid w:val="00D6791C"/>
    <w:rsid w:val="00D67C52"/>
    <w:rsid w:val="00D67F07"/>
    <w:rsid w:val="00D708F7"/>
    <w:rsid w:val="00D7145B"/>
    <w:rsid w:val="00D727DB"/>
    <w:rsid w:val="00D72FAA"/>
    <w:rsid w:val="00D73242"/>
    <w:rsid w:val="00D74274"/>
    <w:rsid w:val="00D74B69"/>
    <w:rsid w:val="00D74C5F"/>
    <w:rsid w:val="00D75D3A"/>
    <w:rsid w:val="00D767B0"/>
    <w:rsid w:val="00D76874"/>
    <w:rsid w:val="00D77B78"/>
    <w:rsid w:val="00D802A0"/>
    <w:rsid w:val="00D80393"/>
    <w:rsid w:val="00D81B2B"/>
    <w:rsid w:val="00D81B45"/>
    <w:rsid w:val="00D82295"/>
    <w:rsid w:val="00D83CD6"/>
    <w:rsid w:val="00D84DC5"/>
    <w:rsid w:val="00D85A11"/>
    <w:rsid w:val="00D90034"/>
    <w:rsid w:val="00D90725"/>
    <w:rsid w:val="00D91973"/>
    <w:rsid w:val="00D91E77"/>
    <w:rsid w:val="00D9246B"/>
    <w:rsid w:val="00D94D07"/>
    <w:rsid w:val="00D95A56"/>
    <w:rsid w:val="00D9633D"/>
    <w:rsid w:val="00D963DC"/>
    <w:rsid w:val="00D976B9"/>
    <w:rsid w:val="00D9774D"/>
    <w:rsid w:val="00D9793F"/>
    <w:rsid w:val="00D97CFA"/>
    <w:rsid w:val="00D97E36"/>
    <w:rsid w:val="00DA0AC4"/>
    <w:rsid w:val="00DA0CEF"/>
    <w:rsid w:val="00DA10F5"/>
    <w:rsid w:val="00DA18BA"/>
    <w:rsid w:val="00DA1D14"/>
    <w:rsid w:val="00DA1D5F"/>
    <w:rsid w:val="00DA20DD"/>
    <w:rsid w:val="00DA368C"/>
    <w:rsid w:val="00DA4E3B"/>
    <w:rsid w:val="00DA4E8F"/>
    <w:rsid w:val="00DA5087"/>
    <w:rsid w:val="00DA5FFD"/>
    <w:rsid w:val="00DA7B01"/>
    <w:rsid w:val="00DB0403"/>
    <w:rsid w:val="00DB0840"/>
    <w:rsid w:val="00DB2487"/>
    <w:rsid w:val="00DB2612"/>
    <w:rsid w:val="00DB2B5F"/>
    <w:rsid w:val="00DB377D"/>
    <w:rsid w:val="00DB4810"/>
    <w:rsid w:val="00DB4AE2"/>
    <w:rsid w:val="00DB536F"/>
    <w:rsid w:val="00DB5C6D"/>
    <w:rsid w:val="00DB60CE"/>
    <w:rsid w:val="00DB660D"/>
    <w:rsid w:val="00DB6784"/>
    <w:rsid w:val="00DB6CB2"/>
    <w:rsid w:val="00DC25B7"/>
    <w:rsid w:val="00DC341A"/>
    <w:rsid w:val="00DC3D7C"/>
    <w:rsid w:val="00DC4835"/>
    <w:rsid w:val="00DC4C76"/>
    <w:rsid w:val="00DC523B"/>
    <w:rsid w:val="00DC5429"/>
    <w:rsid w:val="00DC54A0"/>
    <w:rsid w:val="00DC600D"/>
    <w:rsid w:val="00DC7F59"/>
    <w:rsid w:val="00DD2712"/>
    <w:rsid w:val="00DD2C93"/>
    <w:rsid w:val="00DD3D80"/>
    <w:rsid w:val="00DD40EE"/>
    <w:rsid w:val="00DD4F54"/>
    <w:rsid w:val="00DD6136"/>
    <w:rsid w:val="00DD671D"/>
    <w:rsid w:val="00DD7D79"/>
    <w:rsid w:val="00DE29D3"/>
    <w:rsid w:val="00DE3FD0"/>
    <w:rsid w:val="00DE51FA"/>
    <w:rsid w:val="00DE5E6E"/>
    <w:rsid w:val="00DE5FB2"/>
    <w:rsid w:val="00DE6C89"/>
    <w:rsid w:val="00DE7BBE"/>
    <w:rsid w:val="00DF0873"/>
    <w:rsid w:val="00DF12B2"/>
    <w:rsid w:val="00DF1777"/>
    <w:rsid w:val="00DF29A6"/>
    <w:rsid w:val="00DF2EF1"/>
    <w:rsid w:val="00DF3F21"/>
    <w:rsid w:val="00DF559E"/>
    <w:rsid w:val="00DF61BA"/>
    <w:rsid w:val="00DF7C37"/>
    <w:rsid w:val="00E005F9"/>
    <w:rsid w:val="00E006BF"/>
    <w:rsid w:val="00E008EA"/>
    <w:rsid w:val="00E01130"/>
    <w:rsid w:val="00E0217D"/>
    <w:rsid w:val="00E06CC2"/>
    <w:rsid w:val="00E073D8"/>
    <w:rsid w:val="00E10C5A"/>
    <w:rsid w:val="00E12226"/>
    <w:rsid w:val="00E1258B"/>
    <w:rsid w:val="00E128B7"/>
    <w:rsid w:val="00E137B1"/>
    <w:rsid w:val="00E138C1"/>
    <w:rsid w:val="00E1456E"/>
    <w:rsid w:val="00E16C1D"/>
    <w:rsid w:val="00E208F9"/>
    <w:rsid w:val="00E2141B"/>
    <w:rsid w:val="00E2157E"/>
    <w:rsid w:val="00E22180"/>
    <w:rsid w:val="00E23771"/>
    <w:rsid w:val="00E23C85"/>
    <w:rsid w:val="00E2508D"/>
    <w:rsid w:val="00E2739B"/>
    <w:rsid w:val="00E2796C"/>
    <w:rsid w:val="00E27E14"/>
    <w:rsid w:val="00E317C6"/>
    <w:rsid w:val="00E32B3A"/>
    <w:rsid w:val="00E33676"/>
    <w:rsid w:val="00E341F4"/>
    <w:rsid w:val="00E347FC"/>
    <w:rsid w:val="00E34B36"/>
    <w:rsid w:val="00E35D39"/>
    <w:rsid w:val="00E3666B"/>
    <w:rsid w:val="00E37AAD"/>
    <w:rsid w:val="00E37E5F"/>
    <w:rsid w:val="00E40625"/>
    <w:rsid w:val="00E41965"/>
    <w:rsid w:val="00E429C5"/>
    <w:rsid w:val="00E4447D"/>
    <w:rsid w:val="00E459F4"/>
    <w:rsid w:val="00E45AFA"/>
    <w:rsid w:val="00E467BA"/>
    <w:rsid w:val="00E46D3A"/>
    <w:rsid w:val="00E47921"/>
    <w:rsid w:val="00E47C35"/>
    <w:rsid w:val="00E503D5"/>
    <w:rsid w:val="00E50DC0"/>
    <w:rsid w:val="00E514A5"/>
    <w:rsid w:val="00E51784"/>
    <w:rsid w:val="00E51C48"/>
    <w:rsid w:val="00E53773"/>
    <w:rsid w:val="00E542FC"/>
    <w:rsid w:val="00E54B86"/>
    <w:rsid w:val="00E55493"/>
    <w:rsid w:val="00E56673"/>
    <w:rsid w:val="00E569F1"/>
    <w:rsid w:val="00E56FEF"/>
    <w:rsid w:val="00E5707A"/>
    <w:rsid w:val="00E61C33"/>
    <w:rsid w:val="00E62DB3"/>
    <w:rsid w:val="00E64171"/>
    <w:rsid w:val="00E64ED4"/>
    <w:rsid w:val="00E64F4C"/>
    <w:rsid w:val="00E6608C"/>
    <w:rsid w:val="00E6619A"/>
    <w:rsid w:val="00E66BD4"/>
    <w:rsid w:val="00E67221"/>
    <w:rsid w:val="00E67A6C"/>
    <w:rsid w:val="00E71CFA"/>
    <w:rsid w:val="00E71EFE"/>
    <w:rsid w:val="00E7213E"/>
    <w:rsid w:val="00E72335"/>
    <w:rsid w:val="00E73E09"/>
    <w:rsid w:val="00E747E7"/>
    <w:rsid w:val="00E76D62"/>
    <w:rsid w:val="00E77842"/>
    <w:rsid w:val="00E80712"/>
    <w:rsid w:val="00E82833"/>
    <w:rsid w:val="00E83A07"/>
    <w:rsid w:val="00E83AFA"/>
    <w:rsid w:val="00E86AEC"/>
    <w:rsid w:val="00E86B85"/>
    <w:rsid w:val="00E87945"/>
    <w:rsid w:val="00E91AE6"/>
    <w:rsid w:val="00E920DE"/>
    <w:rsid w:val="00E9282B"/>
    <w:rsid w:val="00E9521F"/>
    <w:rsid w:val="00E96BE4"/>
    <w:rsid w:val="00E97351"/>
    <w:rsid w:val="00E9754F"/>
    <w:rsid w:val="00E97788"/>
    <w:rsid w:val="00EA1C63"/>
    <w:rsid w:val="00EA1CC7"/>
    <w:rsid w:val="00EA422A"/>
    <w:rsid w:val="00EA4337"/>
    <w:rsid w:val="00EA573A"/>
    <w:rsid w:val="00EA5B8E"/>
    <w:rsid w:val="00EA696E"/>
    <w:rsid w:val="00EA7DFA"/>
    <w:rsid w:val="00EB0C73"/>
    <w:rsid w:val="00EB0F9F"/>
    <w:rsid w:val="00EB3489"/>
    <w:rsid w:val="00EB4E7E"/>
    <w:rsid w:val="00EB6ECF"/>
    <w:rsid w:val="00EC1412"/>
    <w:rsid w:val="00EC3736"/>
    <w:rsid w:val="00EC3758"/>
    <w:rsid w:val="00EC38BF"/>
    <w:rsid w:val="00EC40DE"/>
    <w:rsid w:val="00EC43E6"/>
    <w:rsid w:val="00EC4B72"/>
    <w:rsid w:val="00EC4DF2"/>
    <w:rsid w:val="00EC53DA"/>
    <w:rsid w:val="00EC65B0"/>
    <w:rsid w:val="00ED0D60"/>
    <w:rsid w:val="00ED1FA2"/>
    <w:rsid w:val="00ED1FA8"/>
    <w:rsid w:val="00ED2EBC"/>
    <w:rsid w:val="00ED33CD"/>
    <w:rsid w:val="00ED3754"/>
    <w:rsid w:val="00ED3B3C"/>
    <w:rsid w:val="00ED5C71"/>
    <w:rsid w:val="00ED7B20"/>
    <w:rsid w:val="00EE0DCD"/>
    <w:rsid w:val="00EE1FCF"/>
    <w:rsid w:val="00EE25BE"/>
    <w:rsid w:val="00EE37BD"/>
    <w:rsid w:val="00EE383D"/>
    <w:rsid w:val="00EE3CF3"/>
    <w:rsid w:val="00EE4B82"/>
    <w:rsid w:val="00EE5B15"/>
    <w:rsid w:val="00EE5DB0"/>
    <w:rsid w:val="00EE6C31"/>
    <w:rsid w:val="00EE71BE"/>
    <w:rsid w:val="00EF00D0"/>
    <w:rsid w:val="00EF1BB4"/>
    <w:rsid w:val="00EF2122"/>
    <w:rsid w:val="00EF336C"/>
    <w:rsid w:val="00EF361D"/>
    <w:rsid w:val="00EF5106"/>
    <w:rsid w:val="00EF5C2D"/>
    <w:rsid w:val="00EF67ED"/>
    <w:rsid w:val="00EF77A8"/>
    <w:rsid w:val="00F0075D"/>
    <w:rsid w:val="00F00D5D"/>
    <w:rsid w:val="00F016DA"/>
    <w:rsid w:val="00F01967"/>
    <w:rsid w:val="00F01F0E"/>
    <w:rsid w:val="00F02ADA"/>
    <w:rsid w:val="00F030BF"/>
    <w:rsid w:val="00F03DD5"/>
    <w:rsid w:val="00F05FED"/>
    <w:rsid w:val="00F06EB1"/>
    <w:rsid w:val="00F10468"/>
    <w:rsid w:val="00F105C8"/>
    <w:rsid w:val="00F106DD"/>
    <w:rsid w:val="00F10BB6"/>
    <w:rsid w:val="00F1172E"/>
    <w:rsid w:val="00F12F83"/>
    <w:rsid w:val="00F13021"/>
    <w:rsid w:val="00F14E06"/>
    <w:rsid w:val="00F1590E"/>
    <w:rsid w:val="00F22A19"/>
    <w:rsid w:val="00F247E0"/>
    <w:rsid w:val="00F26515"/>
    <w:rsid w:val="00F277D7"/>
    <w:rsid w:val="00F27F16"/>
    <w:rsid w:val="00F301DC"/>
    <w:rsid w:val="00F30269"/>
    <w:rsid w:val="00F32571"/>
    <w:rsid w:val="00F326EC"/>
    <w:rsid w:val="00F3405A"/>
    <w:rsid w:val="00F344A3"/>
    <w:rsid w:val="00F34B54"/>
    <w:rsid w:val="00F34C33"/>
    <w:rsid w:val="00F34D53"/>
    <w:rsid w:val="00F352B5"/>
    <w:rsid w:val="00F36B44"/>
    <w:rsid w:val="00F36F63"/>
    <w:rsid w:val="00F40008"/>
    <w:rsid w:val="00F4052F"/>
    <w:rsid w:val="00F40C83"/>
    <w:rsid w:val="00F4218F"/>
    <w:rsid w:val="00F427B7"/>
    <w:rsid w:val="00F42EB5"/>
    <w:rsid w:val="00F43D27"/>
    <w:rsid w:val="00F43E2F"/>
    <w:rsid w:val="00F43F98"/>
    <w:rsid w:val="00F47343"/>
    <w:rsid w:val="00F47E49"/>
    <w:rsid w:val="00F50366"/>
    <w:rsid w:val="00F50DC6"/>
    <w:rsid w:val="00F5104C"/>
    <w:rsid w:val="00F511ED"/>
    <w:rsid w:val="00F51575"/>
    <w:rsid w:val="00F53816"/>
    <w:rsid w:val="00F541B2"/>
    <w:rsid w:val="00F5444F"/>
    <w:rsid w:val="00F54E5D"/>
    <w:rsid w:val="00F55518"/>
    <w:rsid w:val="00F56E73"/>
    <w:rsid w:val="00F5705F"/>
    <w:rsid w:val="00F57698"/>
    <w:rsid w:val="00F603A7"/>
    <w:rsid w:val="00F60DFE"/>
    <w:rsid w:val="00F61181"/>
    <w:rsid w:val="00F62A5B"/>
    <w:rsid w:val="00F63206"/>
    <w:rsid w:val="00F660F3"/>
    <w:rsid w:val="00F66303"/>
    <w:rsid w:val="00F67AB2"/>
    <w:rsid w:val="00F707D9"/>
    <w:rsid w:val="00F71645"/>
    <w:rsid w:val="00F72344"/>
    <w:rsid w:val="00F727BD"/>
    <w:rsid w:val="00F73024"/>
    <w:rsid w:val="00F734F1"/>
    <w:rsid w:val="00F7411A"/>
    <w:rsid w:val="00F75116"/>
    <w:rsid w:val="00F7546B"/>
    <w:rsid w:val="00F76446"/>
    <w:rsid w:val="00F7795B"/>
    <w:rsid w:val="00F8140E"/>
    <w:rsid w:val="00F8170E"/>
    <w:rsid w:val="00F81AF3"/>
    <w:rsid w:val="00F81FD9"/>
    <w:rsid w:val="00F83808"/>
    <w:rsid w:val="00F83953"/>
    <w:rsid w:val="00F846CF"/>
    <w:rsid w:val="00F853C8"/>
    <w:rsid w:val="00F86483"/>
    <w:rsid w:val="00F86B35"/>
    <w:rsid w:val="00F87D21"/>
    <w:rsid w:val="00F901E8"/>
    <w:rsid w:val="00F9279C"/>
    <w:rsid w:val="00F94451"/>
    <w:rsid w:val="00F946AD"/>
    <w:rsid w:val="00F94F6B"/>
    <w:rsid w:val="00F95C37"/>
    <w:rsid w:val="00F96180"/>
    <w:rsid w:val="00F96533"/>
    <w:rsid w:val="00F970F0"/>
    <w:rsid w:val="00FA0051"/>
    <w:rsid w:val="00FA01A4"/>
    <w:rsid w:val="00FA0433"/>
    <w:rsid w:val="00FA1051"/>
    <w:rsid w:val="00FA1C01"/>
    <w:rsid w:val="00FA1F26"/>
    <w:rsid w:val="00FA3985"/>
    <w:rsid w:val="00FA4E4D"/>
    <w:rsid w:val="00FA7ED6"/>
    <w:rsid w:val="00FB10FD"/>
    <w:rsid w:val="00FB12FF"/>
    <w:rsid w:val="00FB2491"/>
    <w:rsid w:val="00FB522A"/>
    <w:rsid w:val="00FB5364"/>
    <w:rsid w:val="00FB5C04"/>
    <w:rsid w:val="00FB62AB"/>
    <w:rsid w:val="00FB696A"/>
    <w:rsid w:val="00FC001A"/>
    <w:rsid w:val="00FC008F"/>
    <w:rsid w:val="00FC00E5"/>
    <w:rsid w:val="00FC0EB6"/>
    <w:rsid w:val="00FC3251"/>
    <w:rsid w:val="00FC4FEA"/>
    <w:rsid w:val="00FC513F"/>
    <w:rsid w:val="00FC6B6E"/>
    <w:rsid w:val="00FC753E"/>
    <w:rsid w:val="00FC799B"/>
    <w:rsid w:val="00FD0664"/>
    <w:rsid w:val="00FD0F38"/>
    <w:rsid w:val="00FD1B0F"/>
    <w:rsid w:val="00FD35A5"/>
    <w:rsid w:val="00FD3958"/>
    <w:rsid w:val="00FD41F6"/>
    <w:rsid w:val="00FD5CC5"/>
    <w:rsid w:val="00FD7DF4"/>
    <w:rsid w:val="00FE01F2"/>
    <w:rsid w:val="00FE068F"/>
    <w:rsid w:val="00FE0D48"/>
    <w:rsid w:val="00FE0FB3"/>
    <w:rsid w:val="00FE1CAE"/>
    <w:rsid w:val="00FE1D88"/>
    <w:rsid w:val="00FE3372"/>
    <w:rsid w:val="00FE4C11"/>
    <w:rsid w:val="00FE5A36"/>
    <w:rsid w:val="00FE5AB2"/>
    <w:rsid w:val="00FE6469"/>
    <w:rsid w:val="00FE6601"/>
    <w:rsid w:val="00FE6D3D"/>
    <w:rsid w:val="00FE7A71"/>
    <w:rsid w:val="00FE7CFB"/>
    <w:rsid w:val="00FE7D9F"/>
    <w:rsid w:val="00FF10D7"/>
    <w:rsid w:val="00FF1D6B"/>
    <w:rsid w:val="00FF1EFC"/>
    <w:rsid w:val="00FF3CF7"/>
    <w:rsid w:val="00FF4821"/>
    <w:rsid w:val="00FF552C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F67"/>
    <w:pPr>
      <w:spacing w:after="6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71BC4"/>
    <w:pPr>
      <w:keepNext/>
      <w:keepLines/>
      <w:numPr>
        <w:numId w:val="14"/>
      </w:numPr>
      <w:spacing w:before="240" w:after="120"/>
      <w:ind w:left="431" w:hanging="431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567B"/>
    <w:pPr>
      <w:keepNext/>
      <w:keepLines/>
      <w:numPr>
        <w:ilvl w:val="1"/>
        <w:numId w:val="14"/>
      </w:numPr>
      <w:spacing w:before="24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3B2A"/>
    <w:pPr>
      <w:keepNext/>
      <w:keepLines/>
      <w:numPr>
        <w:ilvl w:val="2"/>
        <w:numId w:val="14"/>
      </w:numPr>
      <w:spacing w:before="20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4434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443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443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443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443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443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KZ">
    <w:name w:val="Nadpis KZ"/>
    <w:basedOn w:val="Zkladntext2"/>
    <w:rsid w:val="00F016DA"/>
    <w:pPr>
      <w:spacing w:before="120" w:after="360" w:line="240" w:lineRule="auto"/>
    </w:pPr>
    <w:rPr>
      <w:b/>
      <w:bCs/>
      <w:sz w:val="3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016D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016DA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96424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896424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96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64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6424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4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4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4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424"/>
    <w:rPr>
      <w:rFonts w:ascii="Tahoma" w:eastAsia="Times New Roman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D67F0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67F07"/>
    <w:rPr>
      <w:rFonts w:ascii="Times New Roman" w:eastAsia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452CB4"/>
    <w:pPr>
      <w:spacing w:after="120"/>
    </w:pPr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71BC4"/>
    <w:rPr>
      <w:rFonts w:ascii="Arial" w:eastAsiaTheme="majorEastAsia" w:hAnsi="Arial" w:cstheme="majorBidi"/>
      <w:b/>
      <w:bCs/>
      <w:szCs w:val="28"/>
    </w:rPr>
  </w:style>
  <w:style w:type="paragraph" w:styleId="Zhlav">
    <w:name w:val="header"/>
    <w:basedOn w:val="Normln"/>
    <w:link w:val="ZhlavChar"/>
    <w:uiPriority w:val="99"/>
    <w:unhideWhenUsed/>
    <w:rsid w:val="00067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704C"/>
    <w:rPr>
      <w:rFonts w:ascii="Arial" w:eastAsia="Times New Roman" w:hAnsi="Arial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067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704C"/>
    <w:rPr>
      <w:rFonts w:ascii="Arial" w:eastAsia="Times New Roman" w:hAnsi="Arial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C567B"/>
    <w:rPr>
      <w:rFonts w:ascii="Arial" w:eastAsiaTheme="majorEastAsia" w:hAnsi="Arial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B3B2A"/>
    <w:rPr>
      <w:rFonts w:ascii="Arial" w:eastAsiaTheme="majorEastAsia" w:hAnsi="Arial" w:cstheme="majorBidi"/>
      <w:b/>
      <w:bCs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4434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4434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4434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443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44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44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BE2C8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CD00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6DD2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8A5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836604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36604"/>
    <w:rPr>
      <w:rFonts w:ascii="Arial" w:eastAsiaTheme="majorEastAsia" w:hAnsi="Arial" w:cstheme="majorBidi"/>
      <w:color w:val="17365D" w:themeColor="text2" w:themeShade="BF"/>
      <w:spacing w:val="5"/>
      <w:kern w:val="28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F67"/>
    <w:pPr>
      <w:spacing w:after="6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71BC4"/>
    <w:pPr>
      <w:keepNext/>
      <w:keepLines/>
      <w:numPr>
        <w:numId w:val="14"/>
      </w:numPr>
      <w:spacing w:before="240" w:after="120"/>
      <w:ind w:left="431" w:hanging="431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567B"/>
    <w:pPr>
      <w:keepNext/>
      <w:keepLines/>
      <w:numPr>
        <w:ilvl w:val="1"/>
        <w:numId w:val="14"/>
      </w:numPr>
      <w:spacing w:before="24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B3B2A"/>
    <w:pPr>
      <w:keepNext/>
      <w:keepLines/>
      <w:numPr>
        <w:ilvl w:val="2"/>
        <w:numId w:val="14"/>
      </w:numPr>
      <w:spacing w:before="20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4434"/>
    <w:pPr>
      <w:keepNext/>
      <w:keepLines/>
      <w:numPr>
        <w:ilvl w:val="3"/>
        <w:numId w:val="1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443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443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443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443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443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KZ">
    <w:name w:val="Nadpis KZ"/>
    <w:basedOn w:val="Zkladntext2"/>
    <w:rsid w:val="00F016DA"/>
    <w:pPr>
      <w:spacing w:before="120" w:after="360" w:line="240" w:lineRule="auto"/>
    </w:pPr>
    <w:rPr>
      <w:b/>
      <w:bCs/>
      <w:sz w:val="32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016D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016DA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96424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896424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964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64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6424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4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42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4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424"/>
    <w:rPr>
      <w:rFonts w:ascii="Tahoma" w:eastAsia="Times New Roman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D67F0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67F07"/>
    <w:rPr>
      <w:rFonts w:ascii="Times New Roman" w:eastAsia="Times New Roman" w:hAnsi="Times New Roman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452CB4"/>
    <w:pPr>
      <w:spacing w:after="120"/>
    </w:pPr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571BC4"/>
    <w:rPr>
      <w:rFonts w:ascii="Arial" w:eastAsiaTheme="majorEastAsia" w:hAnsi="Arial" w:cstheme="majorBidi"/>
      <w:b/>
      <w:bCs/>
      <w:szCs w:val="28"/>
    </w:rPr>
  </w:style>
  <w:style w:type="paragraph" w:styleId="Zhlav">
    <w:name w:val="header"/>
    <w:basedOn w:val="Normln"/>
    <w:link w:val="ZhlavChar"/>
    <w:uiPriority w:val="99"/>
    <w:unhideWhenUsed/>
    <w:rsid w:val="00067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704C"/>
    <w:rPr>
      <w:rFonts w:ascii="Arial" w:eastAsia="Times New Roman" w:hAnsi="Arial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067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704C"/>
    <w:rPr>
      <w:rFonts w:ascii="Arial" w:eastAsia="Times New Roman" w:hAnsi="Arial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C567B"/>
    <w:rPr>
      <w:rFonts w:ascii="Arial" w:eastAsiaTheme="majorEastAsia" w:hAnsi="Arial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B3B2A"/>
    <w:rPr>
      <w:rFonts w:ascii="Arial" w:eastAsiaTheme="majorEastAsia" w:hAnsi="Arial" w:cstheme="majorBidi"/>
      <w:b/>
      <w:bCs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4434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4434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4434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4434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44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44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BE2C8B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CD00EF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6DD2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8A5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836604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36604"/>
    <w:rPr>
      <w:rFonts w:ascii="Arial" w:eastAsiaTheme="majorEastAsia" w:hAnsi="Arial" w:cstheme="majorBidi"/>
      <w:color w:val="17365D" w:themeColor="text2" w:themeShade="BF"/>
      <w:spacing w:val="5"/>
      <w:kern w:val="28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image" Target="media/image1.jpeg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D:/Agendy/KA%2014-20/legal-content/CS/AUTO/?uri=uriserv:OJ.L_.2014.094.01.0065.01.CE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63952-EAB5-4144-B132-8C21DCC344D0}"/>
</file>

<file path=customXml/itemProps2.xml><?xml version="1.0" encoding="utf-8"?>
<ds:datastoreItem xmlns:ds="http://schemas.openxmlformats.org/officeDocument/2006/customXml" ds:itemID="{D2C1381B-5AF6-4144-B068-F9895C07C570}"/>
</file>

<file path=customXml/itemProps3.xml><?xml version="1.0" encoding="utf-8"?>
<ds:datastoreItem xmlns:ds="http://schemas.openxmlformats.org/officeDocument/2006/customXml" ds:itemID="{A446D40E-6566-4195-BB2A-BF1E40695BFC}"/>
</file>

<file path=customXml/itemProps4.xml><?xml version="1.0" encoding="utf-8"?>
<ds:datastoreItem xmlns:ds="http://schemas.openxmlformats.org/officeDocument/2006/customXml" ds:itemID="{04F15A32-486F-437F-A854-3C232FD2A2CA}"/>
</file>

<file path=customXml/itemProps5.xml><?xml version="1.0" encoding="utf-8"?>
<ds:datastoreItem xmlns:ds="http://schemas.openxmlformats.org/officeDocument/2006/customXml" ds:itemID="{32EBF79F-7A64-4DF6-9743-3FDB8C133892}"/>
</file>

<file path=docProps/app.xml><?xml version="1.0" encoding="utf-8"?>
<Properties xmlns="http://schemas.openxmlformats.org/officeDocument/2006/extended-properties" xmlns:vt="http://schemas.openxmlformats.org/officeDocument/2006/docPropsVTypes">
  <Template>45728DBC</Template>
  <TotalTime>3</TotalTime>
  <Pages>14</Pages>
  <Words>4978</Words>
  <Characters>29376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34286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14/20</dc:title>
  <dc:creator>KADLČÍKOVÁ Vladimíra</dc:creator>
  <cp:lastModifiedBy>POKORNÁ Jana</cp:lastModifiedBy>
  <cp:revision>4</cp:revision>
  <cp:lastPrinted>2015-03-31T05:50:00Z</cp:lastPrinted>
  <dcterms:created xsi:type="dcterms:W3CDTF">2015-04-07T13:17:00Z</dcterms:created>
  <dcterms:modified xsi:type="dcterms:W3CDTF">2015-04-08T06:15:00Z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