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Override3.xml" ContentType="application/vnd.openxmlformats-officedocument.themeOverride+xml"/>
  <Override PartName="/word/charts/chart5.xml" ContentType="application/vnd.openxmlformats-officedocument.drawingml.chart+xml"/>
  <Override PartName="/word/theme/theme1.xml" ContentType="application/vnd.openxmlformats-officedocument.theme+xml"/>
  <Override PartName="/word/theme/themeOverride4.xml" ContentType="application/vnd.openxmlformats-officedocument.themeOverride+xml"/>
  <Override PartName="/word/theme/themeOverride2.xml" ContentType="application/vnd.openxmlformats-officedocument.themeOverride+xml"/>
  <Override PartName="/word/charts/chart4.xml" ContentType="application/vnd.openxmlformats-officedocument.drawingml.chart+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61" w:rsidRPr="00B33461" w:rsidRDefault="00B33461" w:rsidP="00B33461">
      <w:pPr>
        <w:spacing w:after="0" w:line="240" w:lineRule="auto"/>
        <w:jc w:val="center"/>
        <w:rPr>
          <w:rFonts w:ascii="Calibri" w:hAnsi="Calibri" w:cs="Calibri"/>
          <w:b/>
          <w:sz w:val="24"/>
          <w:szCs w:val="24"/>
        </w:rPr>
      </w:pPr>
      <w:bookmarkStart w:id="0" w:name="_GoBack"/>
      <w:bookmarkEnd w:id="0"/>
      <w:r w:rsidRPr="00B33461">
        <w:rPr>
          <w:rFonts w:ascii="Calibri" w:hAnsi="Calibri" w:cs="Calibri"/>
          <w:b/>
          <w:noProof/>
          <w:sz w:val="24"/>
          <w:szCs w:val="24"/>
          <w:lang w:eastAsia="cs-CZ"/>
        </w:rPr>
        <w:drawing>
          <wp:anchor distT="0" distB="0" distL="114935" distR="114935" simplePos="0" relativeHeight="251659264" behindDoc="0" locked="0" layoutInCell="1" allowOverlap="1" wp14:anchorId="15E63B5B" wp14:editId="3C7FD33F">
            <wp:simplePos x="0" y="0"/>
            <wp:positionH relativeFrom="column">
              <wp:posOffset>2536825</wp:posOffset>
            </wp:positionH>
            <wp:positionV relativeFrom="paragraph">
              <wp:posOffset>2540</wp:posOffset>
            </wp:positionV>
            <wp:extent cx="763905" cy="539750"/>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3905" cy="5397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F58D3" w:rsidRPr="00B33461" w:rsidRDefault="00EF58D3" w:rsidP="00B33461">
      <w:pPr>
        <w:spacing w:after="0" w:line="240" w:lineRule="auto"/>
        <w:jc w:val="center"/>
        <w:rPr>
          <w:rFonts w:ascii="Calibri" w:hAnsi="Calibri" w:cs="Calibri"/>
          <w:b/>
          <w:sz w:val="24"/>
          <w:szCs w:val="24"/>
        </w:rPr>
      </w:pPr>
    </w:p>
    <w:p w:rsidR="00116D25" w:rsidRPr="00B33461" w:rsidRDefault="00116D25" w:rsidP="00B33461">
      <w:pPr>
        <w:spacing w:after="0" w:line="240" w:lineRule="auto"/>
        <w:jc w:val="center"/>
        <w:rPr>
          <w:rFonts w:ascii="Calibri" w:hAnsi="Calibri" w:cs="Calibri"/>
          <w:b/>
          <w:sz w:val="24"/>
          <w:szCs w:val="24"/>
        </w:rPr>
      </w:pPr>
    </w:p>
    <w:p w:rsidR="006B5CAF" w:rsidRPr="00B33461" w:rsidRDefault="006B5CAF" w:rsidP="00B33461">
      <w:pPr>
        <w:spacing w:after="0" w:line="240" w:lineRule="auto"/>
        <w:jc w:val="center"/>
        <w:rPr>
          <w:rFonts w:ascii="Calibri" w:hAnsi="Calibri" w:cs="Calibri"/>
          <w:b/>
          <w:sz w:val="28"/>
          <w:szCs w:val="28"/>
        </w:rPr>
      </w:pPr>
      <w:r w:rsidRPr="00B33461">
        <w:rPr>
          <w:rFonts w:ascii="Calibri" w:hAnsi="Calibri" w:cs="Calibri"/>
          <w:b/>
          <w:sz w:val="28"/>
          <w:szCs w:val="28"/>
        </w:rPr>
        <w:t>Kontrolní závěr z kontrolní akce</w:t>
      </w:r>
    </w:p>
    <w:p w:rsidR="00F54ED4" w:rsidRPr="00B33461" w:rsidRDefault="00F54ED4" w:rsidP="00B33461">
      <w:pPr>
        <w:spacing w:after="0" w:line="240" w:lineRule="auto"/>
        <w:jc w:val="center"/>
        <w:rPr>
          <w:rFonts w:ascii="Calibri" w:hAnsi="Calibri" w:cs="Calibri"/>
          <w:b/>
          <w:sz w:val="24"/>
          <w:szCs w:val="24"/>
        </w:rPr>
      </w:pPr>
    </w:p>
    <w:p w:rsidR="006B5CAF" w:rsidRPr="00B33461" w:rsidRDefault="006B5CAF" w:rsidP="00B33461">
      <w:pPr>
        <w:spacing w:after="0" w:line="240" w:lineRule="auto"/>
        <w:jc w:val="center"/>
        <w:rPr>
          <w:rFonts w:ascii="Calibri" w:hAnsi="Calibri" w:cs="Calibri"/>
          <w:b/>
          <w:sz w:val="28"/>
          <w:szCs w:val="28"/>
        </w:rPr>
      </w:pPr>
      <w:r w:rsidRPr="00B33461">
        <w:rPr>
          <w:rFonts w:ascii="Calibri" w:hAnsi="Calibri" w:cs="Calibri"/>
          <w:b/>
          <w:sz w:val="28"/>
          <w:szCs w:val="28"/>
        </w:rPr>
        <w:t>14/19</w:t>
      </w:r>
    </w:p>
    <w:p w:rsidR="00F54ED4" w:rsidRPr="00B33461" w:rsidRDefault="00F54ED4" w:rsidP="00B33461">
      <w:pPr>
        <w:spacing w:after="0" w:line="240" w:lineRule="auto"/>
        <w:jc w:val="center"/>
        <w:rPr>
          <w:rFonts w:ascii="Calibri" w:hAnsi="Calibri" w:cs="Calibri"/>
          <w:b/>
          <w:sz w:val="24"/>
          <w:szCs w:val="24"/>
        </w:rPr>
      </w:pPr>
    </w:p>
    <w:p w:rsidR="006B5CAF" w:rsidRPr="00B33461" w:rsidRDefault="006B5CAF" w:rsidP="00B33461">
      <w:pPr>
        <w:spacing w:after="0" w:line="240" w:lineRule="auto"/>
        <w:jc w:val="center"/>
        <w:rPr>
          <w:rFonts w:ascii="Calibri" w:hAnsi="Calibri" w:cs="Calibri"/>
          <w:b/>
          <w:sz w:val="28"/>
          <w:szCs w:val="28"/>
        </w:rPr>
      </w:pPr>
      <w:r w:rsidRPr="00B33461">
        <w:rPr>
          <w:rFonts w:ascii="Calibri" w:hAnsi="Calibri" w:cs="Calibri"/>
          <w:b/>
          <w:sz w:val="28"/>
          <w:szCs w:val="28"/>
        </w:rPr>
        <w:t>Závěrečný účet kapitoly státního rozpočtu</w:t>
      </w:r>
      <w:r w:rsidR="00C16B7A" w:rsidRPr="00B33461">
        <w:rPr>
          <w:rFonts w:ascii="Calibri" w:hAnsi="Calibri" w:cs="Calibri"/>
          <w:b/>
          <w:sz w:val="28"/>
          <w:szCs w:val="28"/>
        </w:rPr>
        <w:t xml:space="preserve"> </w:t>
      </w:r>
      <w:r w:rsidRPr="00341E1B">
        <w:rPr>
          <w:rFonts w:ascii="Calibri" w:hAnsi="Calibri" w:cs="Calibri"/>
          <w:b/>
          <w:i/>
          <w:sz w:val="28"/>
          <w:szCs w:val="28"/>
        </w:rPr>
        <w:t>Ministerstvo životního prostředí</w:t>
      </w:r>
      <w:r w:rsidRPr="00B33461">
        <w:rPr>
          <w:rFonts w:ascii="Calibri" w:hAnsi="Calibri" w:cs="Calibri"/>
          <w:b/>
          <w:sz w:val="28"/>
          <w:szCs w:val="28"/>
        </w:rPr>
        <w:t xml:space="preserve"> za</w:t>
      </w:r>
      <w:r w:rsidR="00C16B7A" w:rsidRPr="00B33461">
        <w:rPr>
          <w:rFonts w:ascii="Calibri" w:hAnsi="Calibri" w:cs="Calibri"/>
          <w:b/>
          <w:sz w:val="28"/>
          <w:szCs w:val="28"/>
        </w:rPr>
        <w:t xml:space="preserve"> </w:t>
      </w:r>
      <w:r w:rsidRPr="00B33461">
        <w:rPr>
          <w:rFonts w:ascii="Calibri" w:hAnsi="Calibri" w:cs="Calibri"/>
          <w:b/>
          <w:sz w:val="28"/>
          <w:szCs w:val="28"/>
        </w:rPr>
        <w:t>rok 2013,</w:t>
      </w:r>
      <w:r w:rsidR="00C16B7A" w:rsidRPr="00B33461">
        <w:rPr>
          <w:rFonts w:ascii="Calibri" w:hAnsi="Calibri" w:cs="Calibri"/>
          <w:b/>
          <w:sz w:val="28"/>
          <w:szCs w:val="28"/>
        </w:rPr>
        <w:t xml:space="preserve"> </w:t>
      </w:r>
      <w:r w:rsidRPr="00B33461">
        <w:rPr>
          <w:rFonts w:ascii="Calibri" w:hAnsi="Calibri" w:cs="Calibri"/>
          <w:b/>
          <w:sz w:val="28"/>
          <w:szCs w:val="28"/>
        </w:rPr>
        <w:t>účetní závěrka a finanční</w:t>
      </w:r>
      <w:r w:rsidR="00C16B7A" w:rsidRPr="00B33461">
        <w:rPr>
          <w:rFonts w:ascii="Calibri" w:hAnsi="Calibri" w:cs="Calibri"/>
          <w:b/>
          <w:sz w:val="28"/>
          <w:szCs w:val="28"/>
        </w:rPr>
        <w:t xml:space="preserve"> </w:t>
      </w:r>
      <w:r w:rsidRPr="00B33461">
        <w:rPr>
          <w:rFonts w:ascii="Calibri" w:hAnsi="Calibri" w:cs="Calibri"/>
          <w:b/>
          <w:sz w:val="28"/>
          <w:szCs w:val="28"/>
        </w:rPr>
        <w:t>výkazy Ministerstva životního prostředí za rok 2013</w:t>
      </w:r>
    </w:p>
    <w:p w:rsidR="006B5CAF" w:rsidRPr="00B33461" w:rsidRDefault="006B5CAF" w:rsidP="00B33461">
      <w:pPr>
        <w:spacing w:after="0" w:line="240" w:lineRule="auto"/>
        <w:jc w:val="both"/>
        <w:rPr>
          <w:rFonts w:ascii="Calibri" w:hAnsi="Calibri" w:cs="Calibri"/>
          <w:sz w:val="24"/>
          <w:szCs w:val="24"/>
        </w:rPr>
      </w:pPr>
    </w:p>
    <w:p w:rsidR="006B5CAF" w:rsidRPr="00B33461" w:rsidRDefault="006B5CAF" w:rsidP="00B33461">
      <w:pPr>
        <w:spacing w:after="0" w:line="240" w:lineRule="auto"/>
        <w:jc w:val="both"/>
        <w:rPr>
          <w:rFonts w:ascii="Calibri" w:hAnsi="Calibri" w:cs="Calibri"/>
          <w:sz w:val="24"/>
          <w:szCs w:val="24"/>
        </w:rPr>
      </w:pPr>
    </w:p>
    <w:p w:rsidR="006B5CAF"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 xml:space="preserve">Kontrolní akce byla zařazena do plánu kontrolní činnosti Nejvyššího kontrolního úřadu (dále jen „NKÚ“) na rok 2014 pod číslem 14/19. Kontrolní akci řídila a kontrolní závěr vypracovala členka NKÚ Ing. Jaromíra </w:t>
      </w:r>
      <w:proofErr w:type="spellStart"/>
      <w:r w:rsidRPr="00B33461">
        <w:rPr>
          <w:rFonts w:ascii="Calibri" w:hAnsi="Calibri" w:cs="Calibri"/>
          <w:sz w:val="24"/>
          <w:szCs w:val="24"/>
        </w:rPr>
        <w:t>Steidlová</w:t>
      </w:r>
      <w:proofErr w:type="spellEnd"/>
      <w:r w:rsidRPr="00B33461">
        <w:rPr>
          <w:rFonts w:ascii="Calibri" w:hAnsi="Calibri" w:cs="Calibri"/>
          <w:sz w:val="24"/>
          <w:szCs w:val="24"/>
        </w:rPr>
        <w:t>.</w:t>
      </w:r>
    </w:p>
    <w:p w:rsidR="00B33461" w:rsidRPr="00B33461" w:rsidRDefault="00B33461" w:rsidP="00B33461">
      <w:pPr>
        <w:spacing w:after="0" w:line="240" w:lineRule="auto"/>
        <w:jc w:val="both"/>
        <w:rPr>
          <w:rFonts w:ascii="Calibri" w:hAnsi="Calibri" w:cs="Calibri"/>
          <w:sz w:val="24"/>
          <w:szCs w:val="24"/>
        </w:rPr>
      </w:pPr>
    </w:p>
    <w:p w:rsidR="006B5CAF"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Cílem kontroly bylo prověřit, zda Ministerstvo životního prostředí při sestavení závěrečného účtu a při vedení účetnictví a sestavení účetní závěrky a finančních výkazů za rok 2013 postupovalo v souladu s příslušnými právními předpisy.</w:t>
      </w:r>
    </w:p>
    <w:p w:rsidR="00B33461" w:rsidRPr="00B33461" w:rsidRDefault="00B33461" w:rsidP="00B33461">
      <w:pPr>
        <w:spacing w:after="0" w:line="240" w:lineRule="auto"/>
        <w:jc w:val="both"/>
        <w:rPr>
          <w:rFonts w:ascii="Calibri" w:hAnsi="Calibri" w:cs="Calibri"/>
          <w:sz w:val="24"/>
          <w:szCs w:val="24"/>
        </w:rPr>
      </w:pPr>
    </w:p>
    <w:p w:rsidR="006B5CAF"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Kontrolovan</w:t>
      </w:r>
      <w:r w:rsidR="00A37C21">
        <w:rPr>
          <w:rFonts w:ascii="Calibri" w:hAnsi="Calibri" w:cs="Calibri"/>
          <w:sz w:val="24"/>
          <w:szCs w:val="24"/>
        </w:rPr>
        <w:t>á</w:t>
      </w:r>
      <w:r w:rsidRPr="00B33461">
        <w:rPr>
          <w:rFonts w:ascii="Calibri" w:hAnsi="Calibri" w:cs="Calibri"/>
          <w:sz w:val="24"/>
          <w:szCs w:val="24"/>
        </w:rPr>
        <w:t xml:space="preserve"> osob</w:t>
      </w:r>
      <w:r w:rsidR="00A37C21">
        <w:rPr>
          <w:rFonts w:ascii="Calibri" w:hAnsi="Calibri" w:cs="Calibri"/>
          <w:sz w:val="24"/>
          <w:szCs w:val="24"/>
        </w:rPr>
        <w:t>a:</w:t>
      </w:r>
      <w:r w:rsidRPr="00B33461">
        <w:rPr>
          <w:rFonts w:ascii="Calibri" w:hAnsi="Calibri" w:cs="Calibri"/>
          <w:sz w:val="24"/>
          <w:szCs w:val="24"/>
        </w:rPr>
        <w:t xml:space="preserve"> Ministerstvo životního prostředí (dále také „MŽP“).</w:t>
      </w:r>
    </w:p>
    <w:p w:rsidR="00B33461" w:rsidRPr="00B33461" w:rsidRDefault="00B33461" w:rsidP="00B33461">
      <w:pPr>
        <w:spacing w:after="0" w:line="240" w:lineRule="auto"/>
        <w:jc w:val="both"/>
        <w:rPr>
          <w:rFonts w:ascii="Calibri" w:hAnsi="Calibri" w:cs="Calibri"/>
          <w:sz w:val="24"/>
          <w:szCs w:val="24"/>
        </w:rPr>
      </w:pPr>
    </w:p>
    <w:p w:rsidR="006B5CAF" w:rsidRDefault="00A37C21" w:rsidP="00B33461">
      <w:pPr>
        <w:spacing w:after="0" w:line="240" w:lineRule="auto"/>
        <w:jc w:val="both"/>
        <w:rPr>
          <w:rFonts w:ascii="Calibri" w:hAnsi="Calibri" w:cs="Calibri"/>
          <w:sz w:val="24"/>
          <w:szCs w:val="24"/>
        </w:rPr>
      </w:pPr>
      <w:r>
        <w:rPr>
          <w:rFonts w:ascii="Calibri" w:hAnsi="Calibri" w:cs="Calibri"/>
          <w:sz w:val="24"/>
          <w:szCs w:val="24"/>
        </w:rPr>
        <w:t xml:space="preserve">Kontrolováno bylo období </w:t>
      </w:r>
      <w:r w:rsidR="006B5CAF" w:rsidRPr="00B33461">
        <w:rPr>
          <w:rFonts w:ascii="Calibri" w:hAnsi="Calibri" w:cs="Calibri"/>
          <w:sz w:val="24"/>
          <w:szCs w:val="24"/>
        </w:rPr>
        <w:t>rok</w:t>
      </w:r>
      <w:r>
        <w:rPr>
          <w:rFonts w:ascii="Calibri" w:hAnsi="Calibri" w:cs="Calibri"/>
          <w:sz w:val="24"/>
          <w:szCs w:val="24"/>
        </w:rPr>
        <w:t>u</w:t>
      </w:r>
      <w:r w:rsidR="006B5CAF" w:rsidRPr="00B33461">
        <w:rPr>
          <w:rFonts w:ascii="Calibri" w:hAnsi="Calibri" w:cs="Calibri"/>
          <w:sz w:val="24"/>
          <w:szCs w:val="24"/>
        </w:rPr>
        <w:t xml:space="preserve"> 2013 včetně souvisejících skutečností z let předchozích a</w:t>
      </w:r>
      <w:r w:rsidR="00EF58D3" w:rsidRPr="00B33461">
        <w:rPr>
          <w:rFonts w:ascii="Calibri" w:hAnsi="Calibri" w:cs="Calibri"/>
          <w:sz w:val="24"/>
          <w:szCs w:val="24"/>
        </w:rPr>
        <w:t> </w:t>
      </w:r>
      <w:r w:rsidR="006B5CAF" w:rsidRPr="00B33461">
        <w:rPr>
          <w:rFonts w:ascii="Calibri" w:hAnsi="Calibri" w:cs="Calibri"/>
          <w:sz w:val="24"/>
          <w:szCs w:val="24"/>
        </w:rPr>
        <w:t>roku následujícího.</w:t>
      </w:r>
    </w:p>
    <w:p w:rsidR="00B33461" w:rsidRPr="00B33461" w:rsidRDefault="00B33461" w:rsidP="00B33461">
      <w:pPr>
        <w:spacing w:after="0" w:line="240" w:lineRule="auto"/>
        <w:jc w:val="both"/>
        <w:rPr>
          <w:rFonts w:ascii="Calibri" w:hAnsi="Calibri" w:cs="Calibri"/>
          <w:sz w:val="24"/>
          <w:szCs w:val="24"/>
        </w:rPr>
      </w:pPr>
    </w:p>
    <w:p w:rsidR="006B5CAF"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Kontrola byla prováděna v době od června do listopadu 2014.</w:t>
      </w:r>
    </w:p>
    <w:p w:rsidR="00B33461" w:rsidRPr="00B33461" w:rsidRDefault="00B33461" w:rsidP="00B33461">
      <w:pPr>
        <w:spacing w:after="0" w:line="240" w:lineRule="auto"/>
        <w:jc w:val="both"/>
        <w:rPr>
          <w:rFonts w:ascii="Calibri" w:hAnsi="Calibri" w:cs="Calibri"/>
          <w:sz w:val="24"/>
          <w:szCs w:val="24"/>
        </w:rPr>
      </w:pPr>
    </w:p>
    <w:p w:rsidR="00C54372" w:rsidRPr="00B33461"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 xml:space="preserve">Námitky proti kontrolnímu protokolu, které MŽP podalo, vypořádala vedoucí skupiny kontrolujících rozhodnutím o námitkách. </w:t>
      </w:r>
      <w:r w:rsidR="00AC4392" w:rsidRPr="00B33461">
        <w:rPr>
          <w:rFonts w:ascii="Calibri" w:hAnsi="Calibri" w:cs="Calibri"/>
          <w:sz w:val="24"/>
          <w:szCs w:val="24"/>
        </w:rPr>
        <w:t>Odvolání proti rozhodnutí o námitkách bylo vypořádáno usnesením Kolegia NKÚ.</w:t>
      </w:r>
    </w:p>
    <w:p w:rsidR="00E35F42" w:rsidRPr="00B33461" w:rsidRDefault="00E35F42" w:rsidP="00B33461">
      <w:pPr>
        <w:spacing w:after="0" w:line="240" w:lineRule="auto"/>
        <w:jc w:val="both"/>
        <w:rPr>
          <w:rFonts w:ascii="Calibri" w:hAnsi="Calibri" w:cs="Calibri"/>
          <w:sz w:val="24"/>
          <w:szCs w:val="24"/>
        </w:rPr>
      </w:pPr>
    </w:p>
    <w:p w:rsidR="00C54372" w:rsidRPr="00B33461" w:rsidRDefault="00C54372" w:rsidP="00B33461">
      <w:pPr>
        <w:spacing w:after="0" w:line="240" w:lineRule="auto"/>
        <w:jc w:val="both"/>
        <w:rPr>
          <w:rFonts w:ascii="Calibri" w:hAnsi="Calibri" w:cs="Calibri"/>
          <w:sz w:val="24"/>
          <w:szCs w:val="24"/>
          <w:highlight w:val="lightGray"/>
        </w:rPr>
      </w:pPr>
      <w:proofErr w:type="gramStart"/>
      <w:r w:rsidRPr="00B33461">
        <w:rPr>
          <w:rFonts w:ascii="Calibri" w:hAnsi="Calibri" w:cs="Calibri"/>
          <w:b/>
          <w:bCs/>
          <w:i/>
          <w:iCs/>
          <w:spacing w:val="60"/>
          <w:sz w:val="24"/>
          <w:szCs w:val="24"/>
        </w:rPr>
        <w:t>Kolegium</w:t>
      </w:r>
      <w:r w:rsidRPr="00B33461">
        <w:rPr>
          <w:rFonts w:ascii="Calibri" w:hAnsi="Calibri" w:cs="Calibri"/>
          <w:bCs/>
          <w:iCs/>
          <w:sz w:val="24"/>
          <w:szCs w:val="24"/>
        </w:rPr>
        <w:t xml:space="preserve">   </w:t>
      </w:r>
      <w:r w:rsidRPr="00B33461">
        <w:rPr>
          <w:rFonts w:ascii="Calibri" w:hAnsi="Calibri" w:cs="Calibri"/>
          <w:b/>
          <w:bCs/>
          <w:i/>
          <w:iCs/>
          <w:spacing w:val="60"/>
          <w:sz w:val="24"/>
          <w:szCs w:val="24"/>
        </w:rPr>
        <w:t>NKÚ</w:t>
      </w:r>
      <w:proofErr w:type="gramEnd"/>
      <w:r w:rsidRPr="00B33461">
        <w:rPr>
          <w:rFonts w:ascii="Calibri" w:hAnsi="Calibri" w:cs="Calibri"/>
          <w:sz w:val="24"/>
          <w:szCs w:val="24"/>
        </w:rPr>
        <w:t xml:space="preserve">   na svém</w:t>
      </w:r>
      <w:r w:rsidR="00133C05" w:rsidRPr="00B33461">
        <w:rPr>
          <w:rFonts w:ascii="Calibri" w:hAnsi="Calibri" w:cs="Calibri"/>
          <w:sz w:val="24"/>
          <w:szCs w:val="24"/>
        </w:rPr>
        <w:t xml:space="preserve"> </w:t>
      </w:r>
      <w:r w:rsidR="00511BAB" w:rsidRPr="00B33461">
        <w:rPr>
          <w:rFonts w:ascii="Calibri" w:hAnsi="Calibri" w:cs="Calibri"/>
          <w:sz w:val="24"/>
          <w:szCs w:val="24"/>
        </w:rPr>
        <w:t xml:space="preserve">V. </w:t>
      </w:r>
      <w:r w:rsidR="0090756A" w:rsidRPr="00B33461">
        <w:rPr>
          <w:rFonts w:ascii="Calibri" w:hAnsi="Calibri" w:cs="Calibri"/>
          <w:sz w:val="24"/>
          <w:szCs w:val="24"/>
        </w:rPr>
        <w:t>j</w:t>
      </w:r>
      <w:r w:rsidR="002F395E" w:rsidRPr="00B33461">
        <w:rPr>
          <w:rFonts w:ascii="Calibri" w:hAnsi="Calibri" w:cs="Calibri"/>
          <w:sz w:val="24"/>
          <w:szCs w:val="24"/>
        </w:rPr>
        <w:t>ed</w:t>
      </w:r>
      <w:r w:rsidR="0090756A" w:rsidRPr="00B33461">
        <w:rPr>
          <w:rFonts w:ascii="Calibri" w:hAnsi="Calibri" w:cs="Calibri"/>
          <w:sz w:val="24"/>
          <w:szCs w:val="24"/>
        </w:rPr>
        <w:t>n</w:t>
      </w:r>
      <w:r w:rsidR="002F395E" w:rsidRPr="00B33461">
        <w:rPr>
          <w:rFonts w:ascii="Calibri" w:hAnsi="Calibri" w:cs="Calibri"/>
          <w:sz w:val="24"/>
          <w:szCs w:val="24"/>
        </w:rPr>
        <w:t>ání,</w:t>
      </w:r>
      <w:r w:rsidR="00EF58D3" w:rsidRPr="00B33461">
        <w:rPr>
          <w:rFonts w:ascii="Calibri" w:hAnsi="Calibri" w:cs="Calibri"/>
          <w:sz w:val="24"/>
          <w:szCs w:val="24"/>
        </w:rPr>
        <w:t xml:space="preserve"> </w:t>
      </w:r>
      <w:r w:rsidR="00A831E9">
        <w:rPr>
          <w:rFonts w:ascii="Calibri" w:hAnsi="Calibri" w:cs="Calibri"/>
          <w:sz w:val="24"/>
          <w:szCs w:val="24"/>
        </w:rPr>
        <w:t xml:space="preserve">které se </w:t>
      </w:r>
      <w:r w:rsidR="002F395E" w:rsidRPr="00B33461">
        <w:rPr>
          <w:rFonts w:ascii="Calibri" w:hAnsi="Calibri" w:cs="Calibri"/>
          <w:sz w:val="24"/>
          <w:szCs w:val="24"/>
        </w:rPr>
        <w:t>kona</w:t>
      </w:r>
      <w:r w:rsidR="00A831E9">
        <w:rPr>
          <w:rFonts w:ascii="Calibri" w:hAnsi="Calibri" w:cs="Calibri"/>
          <w:sz w:val="24"/>
          <w:szCs w:val="24"/>
        </w:rPr>
        <w:t>lo</w:t>
      </w:r>
      <w:r w:rsidR="00133C05" w:rsidRPr="00B33461">
        <w:rPr>
          <w:rFonts w:ascii="Calibri" w:hAnsi="Calibri" w:cs="Calibri"/>
          <w:sz w:val="24"/>
          <w:szCs w:val="24"/>
        </w:rPr>
        <w:t xml:space="preserve"> dne</w:t>
      </w:r>
      <w:r w:rsidR="00EF58D3" w:rsidRPr="00B33461">
        <w:rPr>
          <w:rFonts w:ascii="Calibri" w:hAnsi="Calibri" w:cs="Calibri"/>
          <w:sz w:val="24"/>
          <w:szCs w:val="24"/>
        </w:rPr>
        <w:t xml:space="preserve"> </w:t>
      </w:r>
      <w:r w:rsidR="00511BAB" w:rsidRPr="00B33461">
        <w:rPr>
          <w:rFonts w:ascii="Calibri" w:hAnsi="Calibri" w:cs="Calibri"/>
          <w:sz w:val="24"/>
          <w:szCs w:val="24"/>
        </w:rPr>
        <w:t>30. března</w:t>
      </w:r>
      <w:r w:rsidR="00EF58D3" w:rsidRPr="00B33461">
        <w:rPr>
          <w:rFonts w:ascii="Calibri" w:hAnsi="Calibri" w:cs="Calibri"/>
          <w:sz w:val="24"/>
          <w:szCs w:val="24"/>
        </w:rPr>
        <w:t xml:space="preserve"> </w:t>
      </w:r>
      <w:r w:rsidR="00133C05" w:rsidRPr="00B33461">
        <w:rPr>
          <w:rFonts w:ascii="Calibri" w:hAnsi="Calibri" w:cs="Calibri"/>
          <w:sz w:val="24"/>
          <w:szCs w:val="24"/>
        </w:rPr>
        <w:t>2015</w:t>
      </w:r>
      <w:r w:rsidRPr="00B33461">
        <w:rPr>
          <w:rFonts w:ascii="Calibri" w:hAnsi="Calibri" w:cs="Calibri"/>
          <w:sz w:val="24"/>
          <w:szCs w:val="24"/>
        </w:rPr>
        <w:t>,</w:t>
      </w:r>
    </w:p>
    <w:p w:rsidR="00C54372" w:rsidRPr="00B33461" w:rsidRDefault="00C54372" w:rsidP="00B33461">
      <w:pPr>
        <w:spacing w:after="0" w:line="240" w:lineRule="auto"/>
        <w:jc w:val="both"/>
        <w:rPr>
          <w:rFonts w:ascii="Calibri" w:hAnsi="Calibri" w:cs="Calibri"/>
          <w:sz w:val="24"/>
          <w:szCs w:val="24"/>
        </w:rPr>
      </w:pPr>
      <w:proofErr w:type="gramStart"/>
      <w:r w:rsidRPr="00B33461">
        <w:rPr>
          <w:rFonts w:ascii="Calibri" w:hAnsi="Calibri" w:cs="Calibri"/>
          <w:b/>
          <w:bCs/>
          <w:i/>
          <w:iCs/>
          <w:spacing w:val="60"/>
          <w:sz w:val="24"/>
          <w:szCs w:val="24"/>
        </w:rPr>
        <w:t>schválilo</w:t>
      </w:r>
      <w:r w:rsidRPr="00B33461">
        <w:rPr>
          <w:rFonts w:ascii="Calibri" w:hAnsi="Calibri" w:cs="Calibri"/>
          <w:sz w:val="24"/>
          <w:szCs w:val="24"/>
        </w:rPr>
        <w:t xml:space="preserve">   usnesením</w:t>
      </w:r>
      <w:proofErr w:type="gramEnd"/>
      <w:r w:rsidRPr="00B33461">
        <w:rPr>
          <w:rFonts w:ascii="Calibri" w:hAnsi="Calibri" w:cs="Calibri"/>
          <w:sz w:val="24"/>
          <w:szCs w:val="24"/>
        </w:rPr>
        <w:t xml:space="preserve"> </w:t>
      </w:r>
      <w:r w:rsidR="00133C05" w:rsidRPr="00B33461">
        <w:rPr>
          <w:rFonts w:ascii="Calibri" w:hAnsi="Calibri" w:cs="Calibri"/>
          <w:sz w:val="24"/>
          <w:szCs w:val="24"/>
        </w:rPr>
        <w:t>č</w:t>
      </w:r>
      <w:r w:rsidR="00EF58D3" w:rsidRPr="00B33461">
        <w:rPr>
          <w:rFonts w:ascii="Calibri" w:hAnsi="Calibri" w:cs="Calibri"/>
          <w:sz w:val="24"/>
          <w:szCs w:val="24"/>
        </w:rPr>
        <w:t xml:space="preserve">. </w:t>
      </w:r>
      <w:r w:rsidR="009774E8" w:rsidRPr="00B33461">
        <w:rPr>
          <w:rFonts w:ascii="Calibri" w:hAnsi="Calibri" w:cs="Calibri"/>
          <w:sz w:val="24"/>
          <w:szCs w:val="24"/>
        </w:rPr>
        <w:t>11</w:t>
      </w:r>
      <w:r w:rsidR="00133C05" w:rsidRPr="00B33461">
        <w:rPr>
          <w:rFonts w:ascii="Calibri" w:hAnsi="Calibri" w:cs="Calibri"/>
          <w:sz w:val="24"/>
          <w:szCs w:val="24"/>
        </w:rPr>
        <w:t>/</w:t>
      </w:r>
      <w:r w:rsidR="00511BAB" w:rsidRPr="00B33461">
        <w:rPr>
          <w:rFonts w:ascii="Calibri" w:hAnsi="Calibri" w:cs="Calibri"/>
          <w:sz w:val="24"/>
          <w:szCs w:val="24"/>
        </w:rPr>
        <w:t>V</w:t>
      </w:r>
      <w:r w:rsidR="00133C05" w:rsidRPr="00B33461">
        <w:rPr>
          <w:rFonts w:ascii="Calibri" w:hAnsi="Calibri" w:cs="Calibri"/>
          <w:sz w:val="24"/>
          <w:szCs w:val="24"/>
        </w:rPr>
        <w:t>/2015</w:t>
      </w:r>
    </w:p>
    <w:p w:rsidR="006B5CAF" w:rsidRPr="00B33461" w:rsidRDefault="00C54372" w:rsidP="00B33461">
      <w:pPr>
        <w:spacing w:after="0" w:line="240" w:lineRule="auto"/>
        <w:jc w:val="both"/>
        <w:rPr>
          <w:rFonts w:ascii="Calibri" w:hAnsi="Calibri" w:cs="Calibri"/>
          <w:sz w:val="24"/>
          <w:szCs w:val="24"/>
        </w:rPr>
      </w:pPr>
      <w:proofErr w:type="gramStart"/>
      <w:r w:rsidRPr="00B33461">
        <w:rPr>
          <w:rFonts w:ascii="Calibri" w:hAnsi="Calibri" w:cs="Calibri"/>
          <w:b/>
          <w:bCs/>
          <w:i/>
          <w:iCs/>
          <w:spacing w:val="60"/>
          <w:sz w:val="24"/>
          <w:szCs w:val="24"/>
        </w:rPr>
        <w:t>kontrolní</w:t>
      </w:r>
      <w:r w:rsidRPr="00B33461">
        <w:rPr>
          <w:rFonts w:ascii="Calibri" w:hAnsi="Calibri" w:cs="Calibri"/>
          <w:bCs/>
          <w:iCs/>
          <w:sz w:val="24"/>
          <w:szCs w:val="24"/>
        </w:rPr>
        <w:t xml:space="preserve">   </w:t>
      </w:r>
      <w:r w:rsidRPr="00B33461">
        <w:rPr>
          <w:rFonts w:ascii="Calibri" w:hAnsi="Calibri" w:cs="Calibri"/>
          <w:b/>
          <w:bCs/>
          <w:i/>
          <w:iCs/>
          <w:spacing w:val="60"/>
          <w:sz w:val="24"/>
          <w:szCs w:val="24"/>
        </w:rPr>
        <w:t>závěr</w:t>
      </w:r>
      <w:proofErr w:type="gramEnd"/>
      <w:r w:rsidRPr="00B33461">
        <w:rPr>
          <w:rFonts w:ascii="Calibri" w:hAnsi="Calibri" w:cs="Calibri"/>
          <w:sz w:val="24"/>
          <w:szCs w:val="24"/>
        </w:rPr>
        <w:t xml:space="preserve">   v tomto znění:</w:t>
      </w:r>
    </w:p>
    <w:p w:rsidR="00EF58D3" w:rsidRPr="00B33461" w:rsidRDefault="00EF58D3" w:rsidP="00B33461">
      <w:pPr>
        <w:spacing w:after="0" w:line="240" w:lineRule="auto"/>
        <w:jc w:val="both"/>
        <w:rPr>
          <w:rFonts w:ascii="Calibri" w:hAnsi="Calibri" w:cs="Calibri"/>
          <w:sz w:val="24"/>
          <w:szCs w:val="24"/>
        </w:rPr>
      </w:pPr>
    </w:p>
    <w:p w:rsidR="00EF58D3" w:rsidRPr="00B33461" w:rsidRDefault="00EF58D3" w:rsidP="00B33461">
      <w:pPr>
        <w:spacing w:after="0" w:line="240" w:lineRule="auto"/>
        <w:jc w:val="both"/>
        <w:rPr>
          <w:rFonts w:ascii="Calibri" w:hAnsi="Calibri" w:cs="Calibri"/>
          <w:sz w:val="24"/>
          <w:szCs w:val="24"/>
        </w:rPr>
      </w:pPr>
    </w:p>
    <w:p w:rsidR="006B5CAF" w:rsidRPr="00B33461" w:rsidRDefault="006B5CAF" w:rsidP="00F54ED4">
      <w:pPr>
        <w:spacing w:after="0" w:line="240" w:lineRule="auto"/>
        <w:jc w:val="center"/>
        <w:rPr>
          <w:rFonts w:ascii="Calibri" w:hAnsi="Calibri" w:cs="Calibri"/>
          <w:b/>
          <w:sz w:val="28"/>
        </w:rPr>
      </w:pPr>
      <w:r w:rsidRPr="00B33461">
        <w:rPr>
          <w:rFonts w:ascii="Calibri" w:hAnsi="Calibri" w:cs="Calibri"/>
          <w:b/>
          <w:sz w:val="28"/>
        </w:rPr>
        <w:t>I. Úvod</w:t>
      </w:r>
    </w:p>
    <w:p w:rsidR="006B5CAF" w:rsidRPr="00B33461" w:rsidRDefault="006B5CAF" w:rsidP="00B33461">
      <w:pPr>
        <w:spacing w:after="0" w:line="240" w:lineRule="auto"/>
        <w:jc w:val="both"/>
        <w:rPr>
          <w:rFonts w:ascii="Calibri" w:hAnsi="Calibri" w:cs="Calibri"/>
          <w:sz w:val="24"/>
          <w:szCs w:val="24"/>
        </w:rPr>
      </w:pPr>
    </w:p>
    <w:p w:rsidR="006B5CAF"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MŽP bylo zřízeno zákonem Č</w:t>
      </w:r>
      <w:r w:rsidR="008F4991" w:rsidRPr="00B33461">
        <w:rPr>
          <w:rFonts w:ascii="Calibri" w:hAnsi="Calibri" w:cs="Calibri"/>
          <w:sz w:val="24"/>
          <w:szCs w:val="24"/>
        </w:rPr>
        <w:t>eské národní rady</w:t>
      </w:r>
      <w:r w:rsidRPr="00B33461">
        <w:rPr>
          <w:rFonts w:ascii="Calibri" w:hAnsi="Calibri" w:cs="Calibri"/>
          <w:sz w:val="24"/>
          <w:szCs w:val="24"/>
        </w:rPr>
        <w:t xml:space="preserve"> č. 173/1989 Sb.</w:t>
      </w:r>
      <w:r w:rsidRPr="00A831E9">
        <w:rPr>
          <w:rFonts w:ascii="Calibri" w:hAnsi="Calibri" w:cs="Calibri"/>
          <w:sz w:val="24"/>
          <w:szCs w:val="24"/>
        </w:rPr>
        <w:t xml:space="preserve">, </w:t>
      </w:r>
      <w:r w:rsidRPr="00341E1B">
        <w:rPr>
          <w:rFonts w:ascii="Calibri" w:hAnsi="Calibri" w:cs="Calibri"/>
          <w:sz w:val="24"/>
          <w:szCs w:val="24"/>
        </w:rPr>
        <w:t>o opatřeních v soustavě ústředních orgánů státní správy České socialistické republiky, v jejichž čele stojí člen</w:t>
      </w:r>
      <w:r w:rsidRPr="00A831E9">
        <w:rPr>
          <w:rFonts w:ascii="Calibri" w:hAnsi="Calibri" w:cs="Calibri"/>
          <w:sz w:val="24"/>
          <w:szCs w:val="24"/>
        </w:rPr>
        <w:t xml:space="preserve"> </w:t>
      </w:r>
      <w:r w:rsidRPr="00341E1B">
        <w:rPr>
          <w:rFonts w:ascii="Calibri" w:hAnsi="Calibri" w:cs="Calibri"/>
          <w:sz w:val="24"/>
          <w:szCs w:val="24"/>
        </w:rPr>
        <w:t>vlády České socialistické republiky</w:t>
      </w:r>
      <w:r w:rsidR="00C16B7A" w:rsidRPr="00341E1B">
        <w:rPr>
          <w:rFonts w:ascii="Calibri" w:hAnsi="Calibri" w:cs="Calibri"/>
          <w:sz w:val="24"/>
          <w:szCs w:val="24"/>
        </w:rPr>
        <w:t>,</w:t>
      </w:r>
      <w:r w:rsidRPr="00B33461">
        <w:rPr>
          <w:rFonts w:ascii="Calibri" w:hAnsi="Calibri" w:cs="Calibri"/>
          <w:sz w:val="24"/>
          <w:szCs w:val="24"/>
        </w:rPr>
        <w:t xml:space="preserve"> jako ústřední orgán státní správy</w:t>
      </w:r>
      <w:r w:rsidR="00C54372" w:rsidRPr="00B33461">
        <w:rPr>
          <w:rFonts w:ascii="Calibri" w:hAnsi="Calibri" w:cs="Calibri"/>
          <w:sz w:val="24"/>
          <w:szCs w:val="24"/>
        </w:rPr>
        <w:t xml:space="preserve"> k</w:t>
      </w:r>
      <w:r w:rsidR="00133C05" w:rsidRPr="00B33461">
        <w:rPr>
          <w:rFonts w:ascii="Calibri" w:hAnsi="Calibri" w:cs="Calibri"/>
          <w:sz w:val="24"/>
          <w:szCs w:val="24"/>
        </w:rPr>
        <w:t xml:space="preserve"> </w:t>
      </w:r>
      <w:r w:rsidR="00C54372" w:rsidRPr="00B33461">
        <w:rPr>
          <w:rFonts w:ascii="Calibri" w:hAnsi="Calibri" w:cs="Calibri"/>
          <w:sz w:val="24"/>
          <w:szCs w:val="24"/>
        </w:rPr>
        <w:t>1. lednu 1990</w:t>
      </w:r>
      <w:r w:rsidRPr="00B33461">
        <w:rPr>
          <w:rFonts w:ascii="Calibri" w:hAnsi="Calibri" w:cs="Calibri"/>
          <w:sz w:val="24"/>
          <w:szCs w:val="24"/>
        </w:rPr>
        <w:t>. Dle ustanovení § 19 odst. 1 zákona č. 2/1969 Sb.</w:t>
      </w:r>
      <w:r w:rsidRPr="00A831E9">
        <w:rPr>
          <w:rFonts w:ascii="Calibri" w:hAnsi="Calibri" w:cs="Calibri"/>
          <w:sz w:val="24"/>
          <w:szCs w:val="24"/>
        </w:rPr>
        <w:t xml:space="preserve">, </w:t>
      </w:r>
      <w:r w:rsidRPr="00341E1B">
        <w:rPr>
          <w:rFonts w:ascii="Calibri" w:hAnsi="Calibri" w:cs="Calibri"/>
          <w:sz w:val="24"/>
          <w:szCs w:val="24"/>
        </w:rPr>
        <w:t>o zřízení ministerstev a jiných ústředních</w:t>
      </w:r>
      <w:r w:rsidRPr="00A831E9">
        <w:rPr>
          <w:rFonts w:ascii="Calibri" w:hAnsi="Calibri" w:cs="Calibri"/>
          <w:sz w:val="24"/>
          <w:szCs w:val="24"/>
        </w:rPr>
        <w:t xml:space="preserve"> </w:t>
      </w:r>
      <w:r w:rsidRPr="00341E1B">
        <w:rPr>
          <w:rFonts w:ascii="Calibri" w:hAnsi="Calibri" w:cs="Calibri"/>
          <w:sz w:val="24"/>
          <w:szCs w:val="24"/>
        </w:rPr>
        <w:lastRenderedPageBreak/>
        <w:t>orgánů státní správy České republiky</w:t>
      </w:r>
      <w:r w:rsidR="003F2EBC" w:rsidRPr="00341E1B">
        <w:rPr>
          <w:rFonts w:ascii="Calibri" w:hAnsi="Calibri" w:cs="Calibri"/>
          <w:sz w:val="24"/>
          <w:szCs w:val="24"/>
        </w:rPr>
        <w:t>,</w:t>
      </w:r>
      <w:r w:rsidRPr="00B33461">
        <w:rPr>
          <w:rFonts w:ascii="Calibri" w:hAnsi="Calibri" w:cs="Calibri"/>
          <w:sz w:val="24"/>
          <w:szCs w:val="24"/>
        </w:rPr>
        <w:t xml:space="preserve"> je MŽP orgánem vrchního státního dozoru ve věcech životního prostředí. </w:t>
      </w:r>
    </w:p>
    <w:p w:rsidR="00B33461" w:rsidRPr="00B33461" w:rsidRDefault="00B33461" w:rsidP="00B33461">
      <w:pPr>
        <w:spacing w:after="0" w:line="240" w:lineRule="auto"/>
        <w:jc w:val="both"/>
        <w:rPr>
          <w:rFonts w:ascii="Calibri" w:hAnsi="Calibri" w:cs="Calibri"/>
          <w:sz w:val="24"/>
          <w:szCs w:val="24"/>
        </w:rPr>
      </w:pPr>
    </w:p>
    <w:p w:rsidR="006B5CAF" w:rsidRPr="00B33461"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MŽP je organizační složkou státu (dále také „OSS“), samostatnou účetní jednotkou a</w:t>
      </w:r>
      <w:r w:rsidR="00EF58D3" w:rsidRPr="00B33461">
        <w:rPr>
          <w:rFonts w:ascii="Calibri" w:hAnsi="Calibri" w:cs="Calibri"/>
          <w:sz w:val="24"/>
          <w:szCs w:val="24"/>
        </w:rPr>
        <w:t> </w:t>
      </w:r>
      <w:r w:rsidRPr="00B33461">
        <w:rPr>
          <w:rFonts w:ascii="Calibri" w:hAnsi="Calibri" w:cs="Calibri"/>
          <w:sz w:val="24"/>
          <w:szCs w:val="24"/>
        </w:rPr>
        <w:t>správcem kapitoly státního rozpočtu 315</w:t>
      </w:r>
      <w:r w:rsidR="00A831E9">
        <w:rPr>
          <w:rFonts w:ascii="Calibri" w:hAnsi="Calibri" w:cs="Calibri"/>
          <w:sz w:val="24"/>
          <w:szCs w:val="24"/>
        </w:rPr>
        <w:t> –</w:t>
      </w:r>
      <w:r w:rsidRPr="00B33461">
        <w:rPr>
          <w:rFonts w:ascii="Calibri" w:hAnsi="Calibri" w:cs="Calibri"/>
          <w:sz w:val="24"/>
          <w:szCs w:val="24"/>
        </w:rPr>
        <w:t xml:space="preserve"> </w:t>
      </w:r>
      <w:r w:rsidRPr="00341E1B">
        <w:rPr>
          <w:rFonts w:ascii="Calibri" w:hAnsi="Calibri" w:cs="Calibri"/>
          <w:i/>
          <w:sz w:val="24"/>
          <w:szCs w:val="24"/>
        </w:rPr>
        <w:t>Ministerstvo životního prostředí</w:t>
      </w:r>
      <w:r w:rsidRPr="00B33461">
        <w:rPr>
          <w:rFonts w:ascii="Calibri" w:hAnsi="Calibri" w:cs="Calibri"/>
          <w:sz w:val="24"/>
          <w:szCs w:val="24"/>
        </w:rPr>
        <w:t xml:space="preserve"> (dále také „kapitola MŽP“). MŽP bylo v roce 2013 zřizovatelem tří organizačních složek státu a</w:t>
      </w:r>
      <w:r w:rsidR="00EF58D3" w:rsidRPr="00B33461">
        <w:rPr>
          <w:rFonts w:ascii="Calibri" w:hAnsi="Calibri" w:cs="Calibri"/>
          <w:sz w:val="24"/>
          <w:szCs w:val="24"/>
        </w:rPr>
        <w:t> </w:t>
      </w:r>
      <w:r w:rsidRPr="00B33461">
        <w:rPr>
          <w:rFonts w:ascii="Calibri" w:hAnsi="Calibri" w:cs="Calibri"/>
          <w:sz w:val="24"/>
          <w:szCs w:val="24"/>
        </w:rPr>
        <w:t xml:space="preserve">sedmi příspěvkových organizací. </w:t>
      </w:r>
    </w:p>
    <w:p w:rsidR="008A4758" w:rsidRPr="00B33461" w:rsidRDefault="008A4758" w:rsidP="00B33461">
      <w:pPr>
        <w:spacing w:after="0" w:line="240" w:lineRule="auto"/>
        <w:jc w:val="both"/>
        <w:rPr>
          <w:rFonts w:ascii="Calibri" w:hAnsi="Calibri" w:cs="Calibri"/>
          <w:sz w:val="24"/>
          <w:szCs w:val="24"/>
        </w:rPr>
      </w:pPr>
    </w:p>
    <w:p w:rsidR="006B5CAF"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V roce 2013 činil podíl příjmů M</w:t>
      </w:r>
      <w:r w:rsidR="00A07827" w:rsidRPr="00B33461">
        <w:rPr>
          <w:rFonts w:ascii="Calibri" w:hAnsi="Calibri" w:cs="Calibri"/>
          <w:sz w:val="24"/>
          <w:szCs w:val="24"/>
        </w:rPr>
        <w:t>ŽP</w:t>
      </w:r>
      <w:r w:rsidRPr="00B33461">
        <w:rPr>
          <w:rFonts w:ascii="Calibri" w:hAnsi="Calibri" w:cs="Calibri"/>
          <w:sz w:val="24"/>
          <w:szCs w:val="24"/>
        </w:rPr>
        <w:t xml:space="preserve"> na celkovém souhrnu příjmů kapitoly M</w:t>
      </w:r>
      <w:r w:rsidR="00A07827" w:rsidRPr="00B33461">
        <w:rPr>
          <w:rFonts w:ascii="Calibri" w:hAnsi="Calibri" w:cs="Calibri"/>
          <w:sz w:val="24"/>
          <w:szCs w:val="24"/>
        </w:rPr>
        <w:t>ŽP</w:t>
      </w:r>
      <w:r w:rsidRPr="00B33461">
        <w:rPr>
          <w:rFonts w:ascii="Calibri" w:hAnsi="Calibri" w:cs="Calibri"/>
          <w:sz w:val="24"/>
          <w:szCs w:val="24"/>
        </w:rPr>
        <w:t xml:space="preserve"> </w:t>
      </w:r>
      <w:r w:rsidR="00EA1CB3" w:rsidRPr="00B33461">
        <w:rPr>
          <w:rFonts w:ascii="Calibri" w:hAnsi="Calibri" w:cs="Calibri"/>
          <w:sz w:val="24"/>
          <w:szCs w:val="24"/>
        </w:rPr>
        <w:t>99,54</w:t>
      </w:r>
      <w:r w:rsidRPr="00B33461">
        <w:rPr>
          <w:rFonts w:ascii="Calibri" w:hAnsi="Calibri" w:cs="Calibri"/>
          <w:sz w:val="24"/>
          <w:szCs w:val="24"/>
        </w:rPr>
        <w:t xml:space="preserve"> % a</w:t>
      </w:r>
      <w:r w:rsidR="00EF58D3" w:rsidRPr="00B33461">
        <w:rPr>
          <w:rFonts w:ascii="Calibri" w:hAnsi="Calibri" w:cs="Calibri"/>
          <w:sz w:val="24"/>
          <w:szCs w:val="24"/>
        </w:rPr>
        <w:t> </w:t>
      </w:r>
      <w:r w:rsidRPr="00B33461">
        <w:rPr>
          <w:rFonts w:ascii="Calibri" w:hAnsi="Calibri" w:cs="Calibri"/>
          <w:sz w:val="24"/>
          <w:szCs w:val="24"/>
        </w:rPr>
        <w:t>podíl výdajů M</w:t>
      </w:r>
      <w:r w:rsidR="00A07827" w:rsidRPr="00B33461">
        <w:rPr>
          <w:rFonts w:ascii="Calibri" w:hAnsi="Calibri" w:cs="Calibri"/>
          <w:sz w:val="24"/>
          <w:szCs w:val="24"/>
        </w:rPr>
        <w:t>ŽP</w:t>
      </w:r>
      <w:r w:rsidRPr="00B33461">
        <w:rPr>
          <w:rFonts w:ascii="Calibri" w:hAnsi="Calibri" w:cs="Calibri"/>
          <w:sz w:val="24"/>
          <w:szCs w:val="24"/>
        </w:rPr>
        <w:t xml:space="preserve"> na celkovém souhrnu výdajů kapitoly M</w:t>
      </w:r>
      <w:r w:rsidR="00A07827" w:rsidRPr="00B33461">
        <w:rPr>
          <w:rFonts w:ascii="Calibri" w:hAnsi="Calibri" w:cs="Calibri"/>
          <w:sz w:val="24"/>
          <w:szCs w:val="24"/>
        </w:rPr>
        <w:t>ŽP</w:t>
      </w:r>
      <w:r w:rsidRPr="00B33461">
        <w:rPr>
          <w:rFonts w:ascii="Calibri" w:hAnsi="Calibri" w:cs="Calibri"/>
          <w:sz w:val="24"/>
          <w:szCs w:val="24"/>
        </w:rPr>
        <w:t xml:space="preserve"> byl </w:t>
      </w:r>
      <w:r w:rsidR="00EA1CB3" w:rsidRPr="00B33461">
        <w:rPr>
          <w:rFonts w:ascii="Calibri" w:hAnsi="Calibri" w:cs="Calibri"/>
          <w:sz w:val="24"/>
          <w:szCs w:val="24"/>
        </w:rPr>
        <w:t>94,7</w:t>
      </w:r>
      <w:r w:rsidRPr="00B33461">
        <w:rPr>
          <w:rFonts w:ascii="Calibri" w:hAnsi="Calibri" w:cs="Calibri"/>
          <w:sz w:val="24"/>
          <w:szCs w:val="24"/>
        </w:rPr>
        <w:t xml:space="preserve">9 %. Podíl aktiv </w:t>
      </w:r>
      <w:r w:rsidR="00EA1CB3" w:rsidRPr="00B33461">
        <w:rPr>
          <w:rFonts w:ascii="Calibri" w:hAnsi="Calibri" w:cs="Calibri"/>
          <w:sz w:val="24"/>
          <w:szCs w:val="24"/>
        </w:rPr>
        <w:t xml:space="preserve">netto </w:t>
      </w:r>
      <w:r w:rsidRPr="00B33461">
        <w:rPr>
          <w:rFonts w:ascii="Calibri" w:hAnsi="Calibri" w:cs="Calibri"/>
          <w:sz w:val="24"/>
          <w:szCs w:val="24"/>
        </w:rPr>
        <w:t>M</w:t>
      </w:r>
      <w:r w:rsidR="00A07827" w:rsidRPr="00B33461">
        <w:rPr>
          <w:rFonts w:ascii="Calibri" w:hAnsi="Calibri" w:cs="Calibri"/>
          <w:sz w:val="24"/>
          <w:szCs w:val="24"/>
        </w:rPr>
        <w:t>ŽP</w:t>
      </w:r>
      <w:r w:rsidRPr="00B33461">
        <w:rPr>
          <w:rFonts w:ascii="Calibri" w:hAnsi="Calibri" w:cs="Calibri"/>
          <w:sz w:val="24"/>
          <w:szCs w:val="24"/>
        </w:rPr>
        <w:t xml:space="preserve"> na celkovém souhrnu vykázaných aktiv </w:t>
      </w:r>
      <w:r w:rsidR="00EA1CB3" w:rsidRPr="00B33461">
        <w:rPr>
          <w:rFonts w:ascii="Calibri" w:hAnsi="Calibri" w:cs="Calibri"/>
          <w:sz w:val="24"/>
          <w:szCs w:val="24"/>
        </w:rPr>
        <w:t xml:space="preserve">netto </w:t>
      </w:r>
      <w:r w:rsidRPr="00B33461">
        <w:rPr>
          <w:rFonts w:ascii="Calibri" w:hAnsi="Calibri" w:cs="Calibri"/>
          <w:sz w:val="24"/>
          <w:szCs w:val="24"/>
        </w:rPr>
        <w:t>za kapitolu M</w:t>
      </w:r>
      <w:r w:rsidR="000F1C3C" w:rsidRPr="00B33461">
        <w:rPr>
          <w:rFonts w:ascii="Calibri" w:hAnsi="Calibri" w:cs="Calibri"/>
          <w:sz w:val="24"/>
          <w:szCs w:val="24"/>
        </w:rPr>
        <w:t>ŽP</w:t>
      </w:r>
      <w:r w:rsidRPr="00B33461">
        <w:rPr>
          <w:rFonts w:ascii="Calibri" w:hAnsi="Calibri" w:cs="Calibri"/>
          <w:sz w:val="24"/>
          <w:szCs w:val="24"/>
        </w:rPr>
        <w:t xml:space="preserve"> byl </w:t>
      </w:r>
      <w:r w:rsidR="00EA1CB3" w:rsidRPr="00B33461">
        <w:rPr>
          <w:rFonts w:ascii="Calibri" w:hAnsi="Calibri" w:cs="Calibri"/>
          <w:sz w:val="24"/>
          <w:szCs w:val="24"/>
        </w:rPr>
        <w:t>61,53</w:t>
      </w:r>
      <w:r w:rsidRPr="00B33461">
        <w:rPr>
          <w:rFonts w:ascii="Calibri" w:hAnsi="Calibri" w:cs="Calibri"/>
          <w:sz w:val="24"/>
          <w:szCs w:val="24"/>
        </w:rPr>
        <w:t xml:space="preserve"> %. Podíl nákladů z hlavní činnosti M</w:t>
      </w:r>
      <w:r w:rsidR="000F1C3C" w:rsidRPr="00B33461">
        <w:rPr>
          <w:rFonts w:ascii="Calibri" w:hAnsi="Calibri" w:cs="Calibri"/>
          <w:sz w:val="24"/>
          <w:szCs w:val="24"/>
        </w:rPr>
        <w:t>ŽP</w:t>
      </w:r>
      <w:r w:rsidRPr="00B33461">
        <w:rPr>
          <w:rFonts w:ascii="Calibri" w:hAnsi="Calibri" w:cs="Calibri"/>
          <w:sz w:val="24"/>
          <w:szCs w:val="24"/>
        </w:rPr>
        <w:t xml:space="preserve"> na celkovém souhrnu nákladů z hlavní činnosti kapitoly M</w:t>
      </w:r>
      <w:r w:rsidR="000F1C3C" w:rsidRPr="00B33461">
        <w:rPr>
          <w:rFonts w:ascii="Calibri" w:hAnsi="Calibri" w:cs="Calibri"/>
          <w:sz w:val="24"/>
          <w:szCs w:val="24"/>
        </w:rPr>
        <w:t>ŽP</w:t>
      </w:r>
      <w:r w:rsidRPr="00B33461">
        <w:rPr>
          <w:rFonts w:ascii="Calibri" w:hAnsi="Calibri" w:cs="Calibri"/>
          <w:sz w:val="24"/>
          <w:szCs w:val="24"/>
        </w:rPr>
        <w:t xml:space="preserve"> v roce 2013 byl </w:t>
      </w:r>
      <w:r w:rsidR="00D36FA7" w:rsidRPr="00B33461">
        <w:rPr>
          <w:rFonts w:ascii="Calibri" w:hAnsi="Calibri" w:cs="Calibri"/>
          <w:sz w:val="24"/>
          <w:szCs w:val="24"/>
        </w:rPr>
        <w:t>87,39</w:t>
      </w:r>
      <w:r w:rsidRPr="00B33461">
        <w:rPr>
          <w:rFonts w:ascii="Calibri" w:hAnsi="Calibri" w:cs="Calibri"/>
          <w:sz w:val="24"/>
          <w:szCs w:val="24"/>
        </w:rPr>
        <w:t xml:space="preserve"> % a podíl výnosů z hlavní činnosti M</w:t>
      </w:r>
      <w:r w:rsidR="000F1C3C" w:rsidRPr="00B33461">
        <w:rPr>
          <w:rFonts w:ascii="Calibri" w:hAnsi="Calibri" w:cs="Calibri"/>
          <w:sz w:val="24"/>
          <w:szCs w:val="24"/>
        </w:rPr>
        <w:t>ŽP</w:t>
      </w:r>
      <w:r w:rsidRPr="00B33461">
        <w:rPr>
          <w:rFonts w:ascii="Calibri" w:hAnsi="Calibri" w:cs="Calibri"/>
          <w:sz w:val="24"/>
          <w:szCs w:val="24"/>
        </w:rPr>
        <w:t xml:space="preserve"> na celkovém souhrnu výnosů z hlavní činnosti kapitoly M</w:t>
      </w:r>
      <w:r w:rsidR="000F1C3C" w:rsidRPr="00B33461">
        <w:rPr>
          <w:rFonts w:ascii="Calibri" w:hAnsi="Calibri" w:cs="Calibri"/>
          <w:sz w:val="24"/>
          <w:szCs w:val="24"/>
        </w:rPr>
        <w:t>ŽP</w:t>
      </w:r>
      <w:r w:rsidRPr="00B33461">
        <w:rPr>
          <w:rFonts w:ascii="Calibri" w:hAnsi="Calibri" w:cs="Calibri"/>
          <w:sz w:val="24"/>
          <w:szCs w:val="24"/>
        </w:rPr>
        <w:t xml:space="preserve"> v roce 2013 byl </w:t>
      </w:r>
      <w:r w:rsidR="00D36FA7" w:rsidRPr="00B33461">
        <w:rPr>
          <w:rFonts w:ascii="Calibri" w:hAnsi="Calibri" w:cs="Calibri"/>
          <w:sz w:val="24"/>
          <w:szCs w:val="24"/>
        </w:rPr>
        <w:t>89,44</w:t>
      </w:r>
      <w:r w:rsidRPr="00B33461">
        <w:rPr>
          <w:rFonts w:ascii="Calibri" w:hAnsi="Calibri" w:cs="Calibri"/>
          <w:sz w:val="24"/>
          <w:szCs w:val="24"/>
        </w:rPr>
        <w:t xml:space="preserve"> %.</w:t>
      </w:r>
    </w:p>
    <w:p w:rsidR="00B33461" w:rsidRPr="00B33461" w:rsidRDefault="00B33461" w:rsidP="00B33461">
      <w:pPr>
        <w:spacing w:after="0" w:line="240" w:lineRule="auto"/>
        <w:jc w:val="both"/>
        <w:rPr>
          <w:rFonts w:ascii="Calibri" w:hAnsi="Calibri" w:cs="Calibri"/>
          <w:sz w:val="24"/>
          <w:szCs w:val="24"/>
        </w:rPr>
      </w:pPr>
    </w:p>
    <w:p w:rsidR="00F41A9D"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Kontrolovány byly činnosti a skutečnosti, které byly předmětem účetnictví a měly vliv na hodnotu kontrolovaných významných konečných zůstatků účtů v účetní závěrce MŽP (dále také „</w:t>
      </w:r>
      <w:r w:rsidR="008521D2" w:rsidRPr="00B33461">
        <w:rPr>
          <w:rFonts w:ascii="Calibri" w:hAnsi="Calibri" w:cs="Calibri"/>
          <w:sz w:val="24"/>
          <w:szCs w:val="24"/>
        </w:rPr>
        <w:t>ÚZ</w:t>
      </w:r>
      <w:r w:rsidRPr="00B33461">
        <w:rPr>
          <w:rFonts w:ascii="Calibri" w:hAnsi="Calibri" w:cs="Calibri"/>
          <w:sz w:val="24"/>
          <w:szCs w:val="24"/>
        </w:rPr>
        <w:t>“</w:t>
      </w:r>
      <w:r w:rsidR="008521D2" w:rsidRPr="00B33461">
        <w:rPr>
          <w:rFonts w:ascii="Calibri" w:hAnsi="Calibri" w:cs="Calibri"/>
          <w:sz w:val="24"/>
          <w:szCs w:val="24"/>
        </w:rPr>
        <w:t>)</w:t>
      </w:r>
      <w:r w:rsidRPr="00B33461">
        <w:rPr>
          <w:rFonts w:ascii="Calibri" w:hAnsi="Calibri" w:cs="Calibri"/>
          <w:sz w:val="24"/>
          <w:szCs w:val="24"/>
        </w:rPr>
        <w:t xml:space="preserve"> sestavené k 31. prosinci 2013, na hodnotu údajů </w:t>
      </w:r>
      <w:r w:rsidR="008521D2" w:rsidRPr="00B33461">
        <w:rPr>
          <w:rFonts w:ascii="Calibri" w:hAnsi="Calibri" w:cs="Calibri"/>
          <w:sz w:val="24"/>
          <w:szCs w:val="24"/>
        </w:rPr>
        <w:t xml:space="preserve">uvedených </w:t>
      </w:r>
      <w:r w:rsidRPr="00B33461">
        <w:rPr>
          <w:rFonts w:ascii="Calibri" w:hAnsi="Calibri" w:cs="Calibri"/>
          <w:sz w:val="24"/>
          <w:szCs w:val="24"/>
        </w:rPr>
        <w:t xml:space="preserve">ve finančních výkazech MŽP za rok 2013 a na </w:t>
      </w:r>
      <w:r w:rsidR="008A4758" w:rsidRPr="00B33461">
        <w:rPr>
          <w:rFonts w:ascii="Calibri" w:hAnsi="Calibri" w:cs="Calibri"/>
          <w:sz w:val="24"/>
          <w:szCs w:val="24"/>
        </w:rPr>
        <w:t xml:space="preserve">závěrečný </w:t>
      </w:r>
      <w:r w:rsidRPr="00B33461">
        <w:rPr>
          <w:rFonts w:ascii="Calibri" w:hAnsi="Calibri" w:cs="Calibri"/>
          <w:sz w:val="24"/>
          <w:szCs w:val="24"/>
        </w:rPr>
        <w:t xml:space="preserve">účet kapitoly MŽP. </w:t>
      </w:r>
    </w:p>
    <w:p w:rsidR="00B33461" w:rsidRPr="00B33461" w:rsidRDefault="00B33461" w:rsidP="00B33461">
      <w:pPr>
        <w:spacing w:after="0" w:line="240" w:lineRule="auto"/>
        <w:jc w:val="both"/>
        <w:rPr>
          <w:rFonts w:ascii="Calibri" w:hAnsi="Calibri" w:cs="Calibri"/>
          <w:sz w:val="24"/>
          <w:szCs w:val="24"/>
        </w:rPr>
      </w:pPr>
    </w:p>
    <w:p w:rsidR="006B5CAF" w:rsidRDefault="006B5CAF" w:rsidP="00B33461">
      <w:pPr>
        <w:spacing w:after="0" w:line="240" w:lineRule="auto"/>
        <w:jc w:val="both"/>
        <w:rPr>
          <w:rFonts w:ascii="Calibri" w:hAnsi="Calibri" w:cs="Calibri"/>
          <w:sz w:val="24"/>
          <w:szCs w:val="24"/>
        </w:rPr>
      </w:pPr>
      <w:r w:rsidRPr="00B33461">
        <w:rPr>
          <w:rFonts w:ascii="Calibri" w:hAnsi="Calibri" w:cs="Calibri"/>
          <w:sz w:val="24"/>
          <w:szCs w:val="24"/>
        </w:rPr>
        <w:t>Kontrola byla provedena u položek ÚZ a finančních výkazů výběrovým způsobem v</w:t>
      </w:r>
      <w:r w:rsidR="00EF58D3" w:rsidRPr="00B33461">
        <w:rPr>
          <w:rFonts w:ascii="Calibri" w:hAnsi="Calibri" w:cs="Calibri"/>
          <w:sz w:val="24"/>
          <w:szCs w:val="24"/>
        </w:rPr>
        <w:t> </w:t>
      </w:r>
      <w:r w:rsidRPr="00B33461">
        <w:rPr>
          <w:rFonts w:ascii="Calibri" w:hAnsi="Calibri" w:cs="Calibri"/>
          <w:sz w:val="24"/>
          <w:szCs w:val="24"/>
        </w:rPr>
        <w:t>návaznosti na jejich významnost a riziko vzniku významné nesprávnosti.</w:t>
      </w:r>
    </w:p>
    <w:p w:rsidR="00B33461" w:rsidRPr="00B33461" w:rsidRDefault="00B33461" w:rsidP="00B33461">
      <w:pPr>
        <w:spacing w:after="0" w:line="240" w:lineRule="auto"/>
        <w:jc w:val="both"/>
        <w:rPr>
          <w:rFonts w:ascii="Calibri" w:hAnsi="Calibri" w:cs="Calibri"/>
          <w:sz w:val="24"/>
          <w:szCs w:val="24"/>
        </w:rPr>
      </w:pPr>
    </w:p>
    <w:p w:rsidR="00F5388F" w:rsidRDefault="006C0047" w:rsidP="00B33461">
      <w:pPr>
        <w:spacing w:after="0" w:line="240" w:lineRule="auto"/>
        <w:jc w:val="both"/>
        <w:rPr>
          <w:rFonts w:ascii="Calibri" w:hAnsi="Calibri" w:cs="Calibri"/>
          <w:sz w:val="24"/>
          <w:szCs w:val="24"/>
        </w:rPr>
      </w:pPr>
      <w:r w:rsidRPr="00B33461">
        <w:rPr>
          <w:rFonts w:ascii="Calibri" w:hAnsi="Calibri" w:cs="Calibri"/>
          <w:sz w:val="24"/>
          <w:szCs w:val="24"/>
        </w:rPr>
        <w:t>Kontrolní akce byla zaměřena zejména na správnost, úplnost, průkaznost a srozumitelnost vedení účetnictví a na dodržení uspořádání, označení a obsahového vymezení položek účetní závěrky M</w:t>
      </w:r>
      <w:r w:rsidR="00820441" w:rsidRPr="00B33461">
        <w:rPr>
          <w:rFonts w:ascii="Calibri" w:hAnsi="Calibri" w:cs="Calibri"/>
          <w:sz w:val="24"/>
          <w:szCs w:val="24"/>
        </w:rPr>
        <w:t>ŽP</w:t>
      </w:r>
      <w:r w:rsidRPr="00B33461">
        <w:rPr>
          <w:rFonts w:ascii="Calibri" w:hAnsi="Calibri" w:cs="Calibri"/>
          <w:sz w:val="24"/>
          <w:szCs w:val="24"/>
        </w:rPr>
        <w:t xml:space="preserve"> sestavené k 31. prosinci 2013. </w:t>
      </w:r>
      <w:r w:rsidR="003C7A93" w:rsidRPr="00B33461">
        <w:rPr>
          <w:rFonts w:ascii="Calibri" w:hAnsi="Calibri" w:cs="Calibri"/>
          <w:sz w:val="24"/>
          <w:szCs w:val="24"/>
        </w:rPr>
        <w:t>Rovněž byla ověřována správnost používaných účetních metod a ostatních podmínek vedení účetnictví stanovených prováděcími právními předpisy s účinností pro kontrolované období.</w:t>
      </w:r>
    </w:p>
    <w:p w:rsidR="00B33461" w:rsidRPr="00B33461" w:rsidRDefault="00B33461" w:rsidP="00B33461">
      <w:pPr>
        <w:spacing w:after="0" w:line="240" w:lineRule="auto"/>
        <w:jc w:val="both"/>
        <w:rPr>
          <w:rFonts w:ascii="Calibri" w:hAnsi="Calibri" w:cs="Calibri"/>
          <w:sz w:val="24"/>
          <w:szCs w:val="24"/>
        </w:rPr>
      </w:pPr>
    </w:p>
    <w:p w:rsidR="006C0047" w:rsidRPr="00B33461" w:rsidRDefault="006C0047" w:rsidP="00B33461">
      <w:pPr>
        <w:spacing w:after="0" w:line="240" w:lineRule="auto"/>
        <w:jc w:val="both"/>
        <w:rPr>
          <w:rFonts w:ascii="Calibri" w:hAnsi="Calibri" w:cs="Calibri"/>
          <w:sz w:val="24"/>
          <w:szCs w:val="24"/>
        </w:rPr>
      </w:pPr>
      <w:r w:rsidRPr="00B33461">
        <w:rPr>
          <w:rFonts w:ascii="Calibri" w:hAnsi="Calibri" w:cs="Calibri"/>
          <w:sz w:val="24"/>
          <w:szCs w:val="24"/>
        </w:rPr>
        <w:t>U finančních výkazů se kontrola zaměřila zejména na rozsah údajů předkládaných pro hodnocení plnění státního rozpočtu a na dodržení</w:t>
      </w:r>
      <w:r w:rsidR="00133C05" w:rsidRPr="00B33461">
        <w:rPr>
          <w:rFonts w:ascii="Calibri" w:hAnsi="Calibri" w:cs="Calibri"/>
          <w:sz w:val="24"/>
          <w:szCs w:val="24"/>
        </w:rPr>
        <w:t xml:space="preserve"> požadavků na třídění příjmů a výdajů dle</w:t>
      </w:r>
      <w:r w:rsidRPr="00B33461">
        <w:rPr>
          <w:rFonts w:ascii="Calibri" w:hAnsi="Calibri" w:cs="Calibri"/>
          <w:sz w:val="24"/>
          <w:szCs w:val="24"/>
        </w:rPr>
        <w:t xml:space="preserve"> rozpočtové skladby.</w:t>
      </w:r>
      <w:r w:rsidR="00F5388F" w:rsidRPr="00B33461">
        <w:rPr>
          <w:rFonts w:ascii="Calibri" w:hAnsi="Calibri" w:cs="Calibri"/>
          <w:sz w:val="24"/>
          <w:szCs w:val="24"/>
        </w:rPr>
        <w:t xml:space="preserve"> U závěrečného účtu bylo posouzeno, zda poskytuje všechny informace </w:t>
      </w:r>
      <w:r w:rsidR="00133C05" w:rsidRPr="00B33461">
        <w:rPr>
          <w:rFonts w:ascii="Calibri" w:hAnsi="Calibri" w:cs="Calibri"/>
          <w:sz w:val="24"/>
          <w:szCs w:val="24"/>
        </w:rPr>
        <w:t>stanovené</w:t>
      </w:r>
      <w:r w:rsidR="00F5388F" w:rsidRPr="00B33461">
        <w:rPr>
          <w:rFonts w:ascii="Calibri" w:hAnsi="Calibri" w:cs="Calibri"/>
          <w:sz w:val="24"/>
          <w:szCs w:val="24"/>
        </w:rPr>
        <w:t xml:space="preserve"> právní</w:t>
      </w:r>
      <w:r w:rsidR="00133C05" w:rsidRPr="00B33461">
        <w:rPr>
          <w:rFonts w:ascii="Calibri" w:hAnsi="Calibri" w:cs="Calibri"/>
          <w:sz w:val="24"/>
          <w:szCs w:val="24"/>
        </w:rPr>
        <w:t>m</w:t>
      </w:r>
      <w:r w:rsidR="00F5388F" w:rsidRPr="00B33461">
        <w:rPr>
          <w:rFonts w:ascii="Calibri" w:hAnsi="Calibri" w:cs="Calibri"/>
          <w:sz w:val="24"/>
          <w:szCs w:val="24"/>
        </w:rPr>
        <w:t xml:space="preserve"> předpis</w:t>
      </w:r>
      <w:r w:rsidR="00133C05" w:rsidRPr="00B33461">
        <w:rPr>
          <w:rFonts w:ascii="Calibri" w:hAnsi="Calibri" w:cs="Calibri"/>
          <w:sz w:val="24"/>
          <w:szCs w:val="24"/>
        </w:rPr>
        <w:t>em</w:t>
      </w:r>
      <w:r w:rsidR="00F5388F" w:rsidRPr="00B33461">
        <w:rPr>
          <w:rFonts w:ascii="Calibri" w:hAnsi="Calibri" w:cs="Calibri"/>
          <w:sz w:val="24"/>
          <w:szCs w:val="24"/>
        </w:rPr>
        <w:t>.</w:t>
      </w:r>
    </w:p>
    <w:p w:rsidR="006B5CAF" w:rsidRPr="00B33461" w:rsidRDefault="006B5CAF" w:rsidP="00B33461">
      <w:pPr>
        <w:spacing w:after="0" w:line="240" w:lineRule="auto"/>
        <w:jc w:val="both"/>
        <w:rPr>
          <w:rFonts w:ascii="Calibri" w:hAnsi="Calibri" w:cs="Calibri"/>
          <w:sz w:val="24"/>
          <w:szCs w:val="24"/>
        </w:rPr>
      </w:pPr>
    </w:p>
    <w:p w:rsidR="006B5CAF" w:rsidRPr="00B33461" w:rsidRDefault="006B5CAF" w:rsidP="00F54ED4">
      <w:pPr>
        <w:spacing w:after="0" w:line="240" w:lineRule="auto"/>
        <w:ind w:left="567" w:hanging="567"/>
        <w:jc w:val="both"/>
        <w:rPr>
          <w:rFonts w:ascii="Calibri" w:hAnsi="Calibri" w:cs="Calibri"/>
          <w:sz w:val="20"/>
        </w:rPr>
      </w:pPr>
      <w:r w:rsidRPr="00341E1B">
        <w:rPr>
          <w:rFonts w:ascii="Calibri" w:hAnsi="Calibri" w:cs="Calibri"/>
          <w:b/>
          <w:sz w:val="20"/>
        </w:rPr>
        <w:t>Pozn.:</w:t>
      </w:r>
      <w:r w:rsidRPr="00B33461">
        <w:rPr>
          <w:rFonts w:ascii="Calibri" w:hAnsi="Calibri" w:cs="Calibri"/>
          <w:sz w:val="20"/>
        </w:rPr>
        <w:tab/>
        <w:t>Všechny právní předpisy uváděné v tomto kontrolním závěru jsou aplikovány ve znění účinném pro kontrolované období.</w:t>
      </w:r>
    </w:p>
    <w:p w:rsidR="006B5CAF" w:rsidRPr="00B33461" w:rsidRDefault="006B5CAF" w:rsidP="00F54ED4">
      <w:pPr>
        <w:spacing w:after="0" w:line="240" w:lineRule="auto"/>
        <w:jc w:val="both"/>
        <w:rPr>
          <w:rFonts w:ascii="Calibri" w:hAnsi="Calibri" w:cs="Calibri"/>
          <w:sz w:val="24"/>
        </w:rPr>
      </w:pPr>
    </w:p>
    <w:p w:rsidR="006B5CAF" w:rsidRPr="00B33461" w:rsidRDefault="006B5CAF" w:rsidP="00F54ED4">
      <w:pPr>
        <w:spacing w:after="0" w:line="240" w:lineRule="auto"/>
        <w:jc w:val="both"/>
        <w:rPr>
          <w:rFonts w:ascii="Calibri" w:hAnsi="Calibri" w:cs="Calibri"/>
          <w:sz w:val="24"/>
        </w:rPr>
      </w:pPr>
    </w:p>
    <w:p w:rsidR="006B5CAF" w:rsidRPr="00B33461" w:rsidRDefault="006B5CAF" w:rsidP="00F54ED4">
      <w:pPr>
        <w:spacing w:after="0" w:line="240" w:lineRule="auto"/>
        <w:jc w:val="center"/>
        <w:rPr>
          <w:rFonts w:ascii="Calibri" w:hAnsi="Calibri" w:cs="Calibri"/>
          <w:b/>
          <w:sz w:val="28"/>
        </w:rPr>
      </w:pPr>
      <w:r w:rsidRPr="00B33461">
        <w:rPr>
          <w:rFonts w:ascii="Calibri" w:hAnsi="Calibri" w:cs="Calibri"/>
          <w:b/>
          <w:sz w:val="28"/>
        </w:rPr>
        <w:t>II. Skutečnosti zjištěné při kontrole</w:t>
      </w:r>
    </w:p>
    <w:p w:rsidR="006B5CAF" w:rsidRPr="00B33461" w:rsidRDefault="006B5CAF" w:rsidP="00F54ED4">
      <w:pPr>
        <w:spacing w:after="0" w:line="240" w:lineRule="auto"/>
        <w:jc w:val="both"/>
        <w:rPr>
          <w:rFonts w:ascii="Calibri" w:hAnsi="Calibri" w:cs="Calibri"/>
          <w:sz w:val="24"/>
          <w:szCs w:val="24"/>
        </w:rPr>
      </w:pPr>
    </w:p>
    <w:p w:rsidR="006248CF" w:rsidRPr="00B33461" w:rsidRDefault="006B5CAF" w:rsidP="00F54ED4">
      <w:pPr>
        <w:spacing w:after="0" w:line="240" w:lineRule="auto"/>
        <w:jc w:val="both"/>
        <w:rPr>
          <w:rFonts w:ascii="Calibri" w:hAnsi="Calibri" w:cs="Calibri"/>
          <w:b/>
          <w:sz w:val="24"/>
          <w:szCs w:val="24"/>
        </w:rPr>
      </w:pPr>
      <w:r w:rsidRPr="00B33461">
        <w:rPr>
          <w:rFonts w:ascii="Calibri" w:hAnsi="Calibri" w:cs="Calibri"/>
          <w:b/>
          <w:sz w:val="24"/>
          <w:szCs w:val="24"/>
        </w:rPr>
        <w:t>1. Účetní závěrka MŽP k 31. prosinci 2013</w:t>
      </w:r>
    </w:p>
    <w:p w:rsidR="00580AA6" w:rsidRPr="00B33461" w:rsidRDefault="00580AA6" w:rsidP="00F54ED4">
      <w:pPr>
        <w:spacing w:after="0" w:line="240" w:lineRule="auto"/>
        <w:jc w:val="both"/>
        <w:rPr>
          <w:rFonts w:ascii="Calibri" w:hAnsi="Calibri" w:cs="Calibri"/>
          <w:sz w:val="24"/>
          <w:szCs w:val="24"/>
        </w:rPr>
      </w:pPr>
    </w:p>
    <w:p w:rsidR="00580AA6" w:rsidRPr="00B33461" w:rsidRDefault="00580AA6" w:rsidP="00F54ED4">
      <w:pPr>
        <w:spacing w:after="0" w:line="240" w:lineRule="auto"/>
        <w:jc w:val="both"/>
        <w:rPr>
          <w:rFonts w:ascii="Calibri" w:hAnsi="Calibri" w:cs="Calibri"/>
          <w:sz w:val="24"/>
          <w:szCs w:val="24"/>
        </w:rPr>
      </w:pPr>
      <w:r w:rsidRPr="00B33461">
        <w:rPr>
          <w:rFonts w:ascii="Calibri" w:hAnsi="Calibri" w:cs="Calibri"/>
          <w:sz w:val="24"/>
          <w:szCs w:val="24"/>
        </w:rPr>
        <w:t>MŽP sestavilo ÚZ k 31. prosinci 2013 v rozsahu dle § 18 odst. 1 zákona č. 563/1991 Sb.</w:t>
      </w:r>
      <w:r w:rsidRPr="008C0950">
        <w:rPr>
          <w:rFonts w:ascii="Calibri" w:hAnsi="Calibri" w:cs="Calibri"/>
          <w:sz w:val="24"/>
          <w:szCs w:val="24"/>
        </w:rPr>
        <w:t xml:space="preserve">, </w:t>
      </w:r>
      <w:r w:rsidRPr="00341E1B">
        <w:rPr>
          <w:rFonts w:ascii="Calibri" w:hAnsi="Calibri" w:cs="Calibri"/>
          <w:sz w:val="24"/>
          <w:szCs w:val="24"/>
        </w:rPr>
        <w:t>o</w:t>
      </w:r>
      <w:r w:rsidR="00EF58D3" w:rsidRPr="00341E1B">
        <w:rPr>
          <w:rFonts w:ascii="Calibri" w:hAnsi="Calibri" w:cs="Calibri"/>
          <w:sz w:val="24"/>
          <w:szCs w:val="24"/>
        </w:rPr>
        <w:t> </w:t>
      </w:r>
      <w:r w:rsidRPr="00341E1B">
        <w:rPr>
          <w:rFonts w:ascii="Calibri" w:hAnsi="Calibri" w:cs="Calibri"/>
          <w:sz w:val="24"/>
          <w:szCs w:val="24"/>
        </w:rPr>
        <w:t>účetnictví,</w:t>
      </w:r>
      <w:r w:rsidRPr="00B33461">
        <w:rPr>
          <w:rFonts w:ascii="Calibri" w:hAnsi="Calibri" w:cs="Calibri"/>
          <w:sz w:val="24"/>
          <w:szCs w:val="24"/>
        </w:rPr>
        <w:t xml:space="preserve"> tj. sestavilo </w:t>
      </w:r>
      <w:r w:rsidR="00970D58" w:rsidRPr="00B33461">
        <w:rPr>
          <w:rFonts w:ascii="Calibri" w:hAnsi="Calibri" w:cs="Calibri"/>
          <w:sz w:val="24"/>
          <w:szCs w:val="24"/>
        </w:rPr>
        <w:t>rozvahu</w:t>
      </w:r>
      <w:r w:rsidRPr="00B33461">
        <w:rPr>
          <w:rFonts w:ascii="Calibri" w:hAnsi="Calibri" w:cs="Calibri"/>
          <w:sz w:val="24"/>
          <w:szCs w:val="24"/>
        </w:rPr>
        <w:t xml:space="preserve">, </w:t>
      </w:r>
      <w:r w:rsidR="00970D58" w:rsidRPr="00B33461">
        <w:rPr>
          <w:rFonts w:ascii="Calibri" w:hAnsi="Calibri" w:cs="Calibri"/>
          <w:sz w:val="24"/>
          <w:szCs w:val="24"/>
        </w:rPr>
        <w:t xml:space="preserve">výkaz </w:t>
      </w:r>
      <w:r w:rsidRPr="00B33461">
        <w:rPr>
          <w:rFonts w:ascii="Calibri" w:hAnsi="Calibri" w:cs="Calibri"/>
          <w:sz w:val="24"/>
          <w:szCs w:val="24"/>
        </w:rPr>
        <w:t xml:space="preserve">zisku a ztráty, </w:t>
      </w:r>
      <w:r w:rsidR="00970D58" w:rsidRPr="00B33461">
        <w:rPr>
          <w:rFonts w:ascii="Calibri" w:hAnsi="Calibri" w:cs="Calibri"/>
          <w:sz w:val="24"/>
          <w:szCs w:val="24"/>
        </w:rPr>
        <w:t>přílohu</w:t>
      </w:r>
      <w:r w:rsidRPr="00B33461">
        <w:rPr>
          <w:rFonts w:ascii="Calibri" w:hAnsi="Calibri" w:cs="Calibri"/>
          <w:sz w:val="24"/>
          <w:szCs w:val="24"/>
        </w:rPr>
        <w:t xml:space="preserve">, </w:t>
      </w:r>
      <w:r w:rsidR="00970D58" w:rsidRPr="00B33461">
        <w:rPr>
          <w:rFonts w:ascii="Calibri" w:hAnsi="Calibri" w:cs="Calibri"/>
          <w:sz w:val="24"/>
          <w:szCs w:val="24"/>
        </w:rPr>
        <w:t xml:space="preserve">přehled </w:t>
      </w:r>
      <w:r w:rsidRPr="00B33461">
        <w:rPr>
          <w:rFonts w:ascii="Calibri" w:hAnsi="Calibri" w:cs="Calibri"/>
          <w:sz w:val="24"/>
          <w:szCs w:val="24"/>
        </w:rPr>
        <w:t>o peněžních tocích a</w:t>
      </w:r>
      <w:r w:rsidR="00EF58D3" w:rsidRPr="00B33461">
        <w:rPr>
          <w:rFonts w:ascii="Calibri" w:hAnsi="Calibri" w:cs="Calibri"/>
          <w:sz w:val="24"/>
          <w:szCs w:val="24"/>
        </w:rPr>
        <w:t> </w:t>
      </w:r>
      <w:r w:rsidR="00970D58" w:rsidRPr="00B33461">
        <w:rPr>
          <w:rFonts w:ascii="Calibri" w:hAnsi="Calibri" w:cs="Calibri"/>
          <w:sz w:val="24"/>
          <w:szCs w:val="24"/>
        </w:rPr>
        <w:t>p</w:t>
      </w:r>
      <w:r w:rsidRPr="00B33461">
        <w:rPr>
          <w:rFonts w:ascii="Calibri" w:hAnsi="Calibri" w:cs="Calibri"/>
          <w:sz w:val="24"/>
          <w:szCs w:val="24"/>
        </w:rPr>
        <w:t>řehled o změnách vlastního kapitálu.</w:t>
      </w:r>
    </w:p>
    <w:p w:rsidR="007079F2" w:rsidRDefault="007079F2" w:rsidP="00F54ED4">
      <w:pPr>
        <w:spacing w:after="0" w:line="240" w:lineRule="auto"/>
        <w:jc w:val="both"/>
        <w:rPr>
          <w:rFonts w:ascii="Calibri" w:hAnsi="Calibri" w:cs="Calibri"/>
          <w:sz w:val="24"/>
          <w:szCs w:val="24"/>
        </w:rPr>
      </w:pPr>
    </w:p>
    <w:p w:rsidR="005416A5" w:rsidRPr="00B33461" w:rsidRDefault="005416A5" w:rsidP="00F54ED4">
      <w:pPr>
        <w:spacing w:after="0" w:line="240" w:lineRule="auto"/>
        <w:jc w:val="both"/>
        <w:rPr>
          <w:rFonts w:ascii="Calibri" w:hAnsi="Calibri" w:cs="Calibri"/>
          <w:sz w:val="24"/>
          <w:szCs w:val="24"/>
        </w:rPr>
      </w:pPr>
    </w:p>
    <w:p w:rsidR="00534FC1" w:rsidRPr="00B33461" w:rsidRDefault="00534FC1" w:rsidP="00B33461">
      <w:pPr>
        <w:tabs>
          <w:tab w:val="right" w:pos="9072"/>
        </w:tabs>
        <w:spacing w:after="40" w:line="240" w:lineRule="auto"/>
        <w:jc w:val="both"/>
        <w:rPr>
          <w:rFonts w:ascii="Calibri" w:hAnsi="Calibri" w:cs="Calibri"/>
          <w:b/>
          <w:sz w:val="24"/>
          <w:szCs w:val="24"/>
        </w:rPr>
      </w:pPr>
      <w:r w:rsidRPr="00B33461">
        <w:rPr>
          <w:rFonts w:ascii="Calibri" w:hAnsi="Calibri" w:cs="Calibri"/>
          <w:b/>
          <w:sz w:val="24"/>
          <w:szCs w:val="24"/>
        </w:rPr>
        <w:lastRenderedPageBreak/>
        <w:t>Tabulka č. 1 – Základní údaje účetní závěrky MŽP k</w:t>
      </w:r>
      <w:r w:rsidR="007405FC" w:rsidRPr="00B33461">
        <w:rPr>
          <w:rFonts w:ascii="Calibri" w:hAnsi="Calibri" w:cs="Calibri"/>
          <w:b/>
          <w:sz w:val="24"/>
          <w:szCs w:val="24"/>
        </w:rPr>
        <w:t xml:space="preserve"> </w:t>
      </w:r>
      <w:r w:rsidRPr="00B33461">
        <w:rPr>
          <w:rFonts w:ascii="Calibri" w:hAnsi="Calibri" w:cs="Calibri"/>
          <w:b/>
          <w:sz w:val="24"/>
          <w:szCs w:val="24"/>
        </w:rPr>
        <w:t>31. prosinci 2013</w:t>
      </w:r>
      <w:r w:rsidR="000B37AA" w:rsidRPr="00B33461">
        <w:rPr>
          <w:rFonts w:ascii="Calibri" w:hAnsi="Calibri" w:cs="Calibri"/>
          <w:b/>
          <w:sz w:val="24"/>
          <w:szCs w:val="24"/>
        </w:rPr>
        <w:tab/>
        <w:t>(v Kč)</w:t>
      </w:r>
    </w:p>
    <w:tbl>
      <w:tblPr>
        <w:tblW w:w="9071" w:type="dxa"/>
        <w:tblInd w:w="55" w:type="dxa"/>
        <w:tblCellMar>
          <w:left w:w="70" w:type="dxa"/>
          <w:right w:w="70" w:type="dxa"/>
        </w:tblCellMar>
        <w:tblLook w:val="04A0" w:firstRow="1" w:lastRow="0" w:firstColumn="1" w:lastColumn="0" w:noHBand="0" w:noVBand="1"/>
      </w:tblPr>
      <w:tblGrid>
        <w:gridCol w:w="4252"/>
        <w:gridCol w:w="4819"/>
      </w:tblGrid>
      <w:tr w:rsidR="00534FC1" w:rsidRPr="005416A5" w:rsidTr="005416A5">
        <w:trPr>
          <w:trHeight w:val="227"/>
        </w:trPr>
        <w:tc>
          <w:tcPr>
            <w:tcW w:w="4252"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rsidR="00534FC1" w:rsidRPr="005416A5" w:rsidRDefault="00534FC1" w:rsidP="00F54ED4">
            <w:pPr>
              <w:spacing w:after="0" w:line="240" w:lineRule="auto"/>
              <w:jc w:val="center"/>
              <w:rPr>
                <w:rFonts w:ascii="Calibri" w:eastAsia="Times New Roman" w:hAnsi="Calibri" w:cs="Calibri"/>
                <w:b/>
                <w:bCs/>
                <w:color w:val="000000"/>
                <w:sz w:val="18"/>
                <w:szCs w:val="18"/>
                <w:lang w:eastAsia="cs-CZ"/>
              </w:rPr>
            </w:pPr>
            <w:r w:rsidRPr="005416A5">
              <w:rPr>
                <w:rFonts w:ascii="Calibri" w:eastAsia="Times New Roman" w:hAnsi="Calibri" w:cs="Calibri"/>
                <w:b/>
                <w:bCs/>
                <w:color w:val="000000"/>
                <w:sz w:val="18"/>
                <w:szCs w:val="18"/>
                <w:lang w:eastAsia="cs-CZ"/>
              </w:rPr>
              <w:t>Ukazatel</w:t>
            </w:r>
          </w:p>
        </w:tc>
        <w:tc>
          <w:tcPr>
            <w:tcW w:w="4819" w:type="dxa"/>
            <w:tcBorders>
              <w:top w:val="single" w:sz="8" w:space="0" w:color="auto"/>
              <w:left w:val="nil"/>
              <w:bottom w:val="single" w:sz="8" w:space="0" w:color="auto"/>
              <w:right w:val="single" w:sz="8" w:space="0" w:color="auto"/>
            </w:tcBorders>
            <w:shd w:val="clear" w:color="000000" w:fill="F2DCDB"/>
            <w:noWrap/>
            <w:vAlign w:val="center"/>
            <w:hideMark/>
          </w:tcPr>
          <w:p w:rsidR="00534FC1" w:rsidRPr="005416A5" w:rsidRDefault="00534FC1" w:rsidP="00F54ED4">
            <w:pPr>
              <w:spacing w:after="0" w:line="240" w:lineRule="auto"/>
              <w:jc w:val="center"/>
              <w:rPr>
                <w:rFonts w:ascii="Calibri" w:eastAsia="Times New Roman" w:hAnsi="Calibri" w:cs="Calibri"/>
                <w:b/>
                <w:bCs/>
                <w:color w:val="000000"/>
                <w:sz w:val="18"/>
                <w:szCs w:val="18"/>
                <w:lang w:eastAsia="cs-CZ"/>
              </w:rPr>
            </w:pPr>
            <w:r w:rsidRPr="005416A5">
              <w:rPr>
                <w:rFonts w:ascii="Calibri" w:eastAsia="Times New Roman" w:hAnsi="Calibri" w:cs="Calibri"/>
                <w:b/>
                <w:bCs/>
                <w:color w:val="000000"/>
                <w:sz w:val="18"/>
                <w:szCs w:val="18"/>
                <w:lang w:eastAsia="cs-CZ"/>
              </w:rPr>
              <w:t>Účetní hodnota</w:t>
            </w:r>
          </w:p>
        </w:tc>
      </w:tr>
      <w:tr w:rsidR="00534FC1" w:rsidRPr="005416A5" w:rsidTr="005416A5">
        <w:trPr>
          <w:trHeight w:val="227"/>
        </w:trPr>
        <w:tc>
          <w:tcPr>
            <w:tcW w:w="4252" w:type="dxa"/>
            <w:tcBorders>
              <w:top w:val="nil"/>
              <w:left w:val="single" w:sz="8" w:space="0" w:color="auto"/>
              <w:bottom w:val="single" w:sz="8" w:space="0" w:color="auto"/>
              <w:right w:val="single" w:sz="8" w:space="0" w:color="auto"/>
            </w:tcBorders>
            <w:shd w:val="clear" w:color="auto" w:fill="auto"/>
            <w:noWrap/>
            <w:vAlign w:val="center"/>
            <w:hideMark/>
          </w:tcPr>
          <w:p w:rsidR="00534FC1" w:rsidRPr="005416A5" w:rsidRDefault="00534FC1" w:rsidP="00F54ED4">
            <w:pPr>
              <w:spacing w:after="0" w:line="240" w:lineRule="auto"/>
              <w:rPr>
                <w:rFonts w:ascii="Calibri" w:eastAsia="Times New Roman" w:hAnsi="Calibri" w:cs="Calibri"/>
                <w:color w:val="000000"/>
                <w:sz w:val="18"/>
                <w:szCs w:val="18"/>
                <w:lang w:eastAsia="cs-CZ"/>
              </w:rPr>
            </w:pPr>
            <w:r w:rsidRPr="005416A5">
              <w:rPr>
                <w:rFonts w:ascii="Calibri" w:eastAsia="Times New Roman" w:hAnsi="Calibri" w:cs="Calibri"/>
                <w:color w:val="000000"/>
                <w:sz w:val="18"/>
                <w:szCs w:val="18"/>
                <w:lang w:eastAsia="cs-CZ"/>
              </w:rPr>
              <w:t>Aktiva (netto)</w:t>
            </w:r>
          </w:p>
        </w:tc>
        <w:tc>
          <w:tcPr>
            <w:tcW w:w="4819" w:type="dxa"/>
            <w:tcBorders>
              <w:top w:val="nil"/>
              <w:left w:val="nil"/>
              <w:bottom w:val="single" w:sz="8" w:space="0" w:color="auto"/>
              <w:right w:val="single" w:sz="8" w:space="0" w:color="auto"/>
            </w:tcBorders>
            <w:shd w:val="clear" w:color="auto" w:fill="auto"/>
            <w:vAlign w:val="center"/>
            <w:hideMark/>
          </w:tcPr>
          <w:p w:rsidR="00534FC1" w:rsidRPr="005416A5" w:rsidRDefault="00534FC1" w:rsidP="00B33461">
            <w:pPr>
              <w:spacing w:after="0" w:line="240" w:lineRule="auto"/>
              <w:ind w:right="677"/>
              <w:jc w:val="right"/>
              <w:rPr>
                <w:rFonts w:ascii="Calibri" w:eastAsia="Times New Roman" w:hAnsi="Calibri" w:cs="Calibri"/>
                <w:color w:val="000000"/>
                <w:sz w:val="18"/>
                <w:szCs w:val="18"/>
                <w:lang w:eastAsia="cs-CZ"/>
              </w:rPr>
            </w:pPr>
            <w:r w:rsidRPr="005416A5">
              <w:rPr>
                <w:rFonts w:ascii="Calibri" w:eastAsia="Times New Roman" w:hAnsi="Calibri" w:cs="Calibri"/>
                <w:color w:val="000000"/>
                <w:sz w:val="18"/>
                <w:szCs w:val="18"/>
                <w:lang w:eastAsia="cs-CZ"/>
              </w:rPr>
              <w:t>18 594 664 199,37</w:t>
            </w:r>
          </w:p>
        </w:tc>
      </w:tr>
      <w:tr w:rsidR="00534FC1" w:rsidRPr="005416A5" w:rsidTr="005416A5">
        <w:trPr>
          <w:trHeight w:val="227"/>
        </w:trPr>
        <w:tc>
          <w:tcPr>
            <w:tcW w:w="4252" w:type="dxa"/>
            <w:tcBorders>
              <w:top w:val="nil"/>
              <w:left w:val="single" w:sz="8" w:space="0" w:color="auto"/>
              <w:bottom w:val="single" w:sz="8" w:space="0" w:color="auto"/>
              <w:right w:val="single" w:sz="8" w:space="0" w:color="auto"/>
            </w:tcBorders>
            <w:shd w:val="clear" w:color="auto" w:fill="auto"/>
            <w:noWrap/>
            <w:vAlign w:val="center"/>
            <w:hideMark/>
          </w:tcPr>
          <w:p w:rsidR="00534FC1" w:rsidRPr="005416A5" w:rsidRDefault="00534FC1" w:rsidP="00F54ED4">
            <w:pPr>
              <w:spacing w:after="0" w:line="240" w:lineRule="auto"/>
              <w:rPr>
                <w:rFonts w:ascii="Calibri" w:eastAsia="Times New Roman" w:hAnsi="Calibri" w:cs="Calibri"/>
                <w:color w:val="000000"/>
                <w:sz w:val="18"/>
                <w:szCs w:val="18"/>
                <w:lang w:eastAsia="cs-CZ"/>
              </w:rPr>
            </w:pPr>
            <w:r w:rsidRPr="005416A5">
              <w:rPr>
                <w:rFonts w:ascii="Calibri" w:eastAsia="Times New Roman" w:hAnsi="Calibri" w:cs="Calibri"/>
                <w:color w:val="000000"/>
                <w:sz w:val="18"/>
                <w:szCs w:val="18"/>
                <w:lang w:eastAsia="cs-CZ"/>
              </w:rPr>
              <w:t>Pasiva</w:t>
            </w:r>
          </w:p>
        </w:tc>
        <w:tc>
          <w:tcPr>
            <w:tcW w:w="4819" w:type="dxa"/>
            <w:tcBorders>
              <w:top w:val="nil"/>
              <w:left w:val="nil"/>
              <w:bottom w:val="single" w:sz="8" w:space="0" w:color="auto"/>
              <w:right w:val="single" w:sz="8" w:space="0" w:color="auto"/>
            </w:tcBorders>
            <w:shd w:val="clear" w:color="auto" w:fill="auto"/>
            <w:vAlign w:val="center"/>
            <w:hideMark/>
          </w:tcPr>
          <w:p w:rsidR="00534FC1" w:rsidRPr="005416A5" w:rsidRDefault="00534FC1" w:rsidP="00B33461">
            <w:pPr>
              <w:spacing w:after="0" w:line="240" w:lineRule="auto"/>
              <w:ind w:right="677"/>
              <w:jc w:val="right"/>
              <w:rPr>
                <w:rFonts w:ascii="Calibri" w:eastAsia="Times New Roman" w:hAnsi="Calibri" w:cs="Calibri"/>
                <w:color w:val="000000"/>
                <w:sz w:val="18"/>
                <w:szCs w:val="18"/>
                <w:lang w:eastAsia="cs-CZ"/>
              </w:rPr>
            </w:pPr>
            <w:r w:rsidRPr="005416A5">
              <w:rPr>
                <w:rFonts w:ascii="Calibri" w:eastAsia="Times New Roman" w:hAnsi="Calibri" w:cs="Calibri"/>
                <w:color w:val="000000"/>
                <w:sz w:val="18"/>
                <w:szCs w:val="18"/>
                <w:lang w:eastAsia="cs-CZ"/>
              </w:rPr>
              <w:t>18 594 664 199,37</w:t>
            </w:r>
          </w:p>
        </w:tc>
      </w:tr>
      <w:tr w:rsidR="00534FC1" w:rsidRPr="005416A5" w:rsidTr="005416A5">
        <w:trPr>
          <w:trHeight w:val="227"/>
        </w:trPr>
        <w:tc>
          <w:tcPr>
            <w:tcW w:w="4252" w:type="dxa"/>
            <w:tcBorders>
              <w:top w:val="nil"/>
              <w:left w:val="single" w:sz="8" w:space="0" w:color="auto"/>
              <w:bottom w:val="single" w:sz="8" w:space="0" w:color="auto"/>
              <w:right w:val="single" w:sz="8" w:space="0" w:color="auto"/>
            </w:tcBorders>
            <w:shd w:val="clear" w:color="auto" w:fill="auto"/>
            <w:noWrap/>
            <w:vAlign w:val="center"/>
            <w:hideMark/>
          </w:tcPr>
          <w:p w:rsidR="00534FC1" w:rsidRPr="005416A5" w:rsidRDefault="00534FC1" w:rsidP="00F54ED4">
            <w:pPr>
              <w:spacing w:after="0" w:line="240" w:lineRule="auto"/>
              <w:rPr>
                <w:rFonts w:ascii="Calibri" w:eastAsia="Times New Roman" w:hAnsi="Calibri" w:cs="Calibri"/>
                <w:color w:val="000000"/>
                <w:sz w:val="18"/>
                <w:szCs w:val="18"/>
                <w:lang w:eastAsia="cs-CZ"/>
              </w:rPr>
            </w:pPr>
            <w:r w:rsidRPr="005416A5">
              <w:rPr>
                <w:rFonts w:ascii="Calibri" w:eastAsia="Times New Roman" w:hAnsi="Calibri" w:cs="Calibri"/>
                <w:color w:val="000000"/>
                <w:sz w:val="18"/>
                <w:szCs w:val="18"/>
                <w:lang w:eastAsia="cs-CZ"/>
              </w:rPr>
              <w:t>Náklady</w:t>
            </w:r>
          </w:p>
        </w:tc>
        <w:tc>
          <w:tcPr>
            <w:tcW w:w="4819" w:type="dxa"/>
            <w:tcBorders>
              <w:top w:val="nil"/>
              <w:left w:val="nil"/>
              <w:bottom w:val="single" w:sz="8" w:space="0" w:color="auto"/>
              <w:right w:val="single" w:sz="8" w:space="0" w:color="auto"/>
            </w:tcBorders>
            <w:shd w:val="clear" w:color="auto" w:fill="auto"/>
            <w:noWrap/>
            <w:vAlign w:val="center"/>
            <w:hideMark/>
          </w:tcPr>
          <w:p w:rsidR="00534FC1" w:rsidRPr="005416A5" w:rsidRDefault="00534FC1" w:rsidP="00B33461">
            <w:pPr>
              <w:spacing w:after="0" w:line="240" w:lineRule="auto"/>
              <w:ind w:right="677"/>
              <w:jc w:val="right"/>
              <w:rPr>
                <w:rFonts w:ascii="Calibri" w:eastAsia="Times New Roman" w:hAnsi="Calibri" w:cs="Calibri"/>
                <w:color w:val="000000"/>
                <w:sz w:val="18"/>
                <w:szCs w:val="18"/>
                <w:lang w:eastAsia="cs-CZ"/>
              </w:rPr>
            </w:pPr>
            <w:r w:rsidRPr="005416A5">
              <w:rPr>
                <w:rFonts w:ascii="Calibri" w:eastAsia="Times New Roman" w:hAnsi="Calibri" w:cs="Calibri"/>
                <w:color w:val="000000"/>
                <w:sz w:val="18"/>
                <w:szCs w:val="18"/>
                <w:lang w:eastAsia="cs-CZ"/>
              </w:rPr>
              <w:t>19 877 215 901,99</w:t>
            </w:r>
          </w:p>
        </w:tc>
      </w:tr>
      <w:tr w:rsidR="00534FC1" w:rsidRPr="005416A5" w:rsidTr="005416A5">
        <w:trPr>
          <w:trHeight w:val="227"/>
        </w:trPr>
        <w:tc>
          <w:tcPr>
            <w:tcW w:w="4252" w:type="dxa"/>
            <w:tcBorders>
              <w:top w:val="nil"/>
              <w:left w:val="single" w:sz="8" w:space="0" w:color="auto"/>
              <w:bottom w:val="single" w:sz="8" w:space="0" w:color="auto"/>
              <w:right w:val="single" w:sz="8" w:space="0" w:color="auto"/>
            </w:tcBorders>
            <w:shd w:val="clear" w:color="auto" w:fill="auto"/>
            <w:noWrap/>
            <w:vAlign w:val="center"/>
            <w:hideMark/>
          </w:tcPr>
          <w:p w:rsidR="00534FC1" w:rsidRPr="005416A5" w:rsidRDefault="00534FC1" w:rsidP="00F54ED4">
            <w:pPr>
              <w:spacing w:after="0" w:line="240" w:lineRule="auto"/>
              <w:rPr>
                <w:rFonts w:ascii="Calibri" w:eastAsia="Times New Roman" w:hAnsi="Calibri" w:cs="Calibri"/>
                <w:color w:val="000000"/>
                <w:sz w:val="18"/>
                <w:szCs w:val="18"/>
                <w:lang w:eastAsia="cs-CZ"/>
              </w:rPr>
            </w:pPr>
            <w:r w:rsidRPr="005416A5">
              <w:rPr>
                <w:rFonts w:ascii="Calibri" w:eastAsia="Times New Roman" w:hAnsi="Calibri" w:cs="Calibri"/>
                <w:color w:val="000000"/>
                <w:sz w:val="18"/>
                <w:szCs w:val="18"/>
                <w:lang w:eastAsia="cs-CZ"/>
              </w:rPr>
              <w:t>Výnosy</w:t>
            </w:r>
          </w:p>
        </w:tc>
        <w:tc>
          <w:tcPr>
            <w:tcW w:w="4819" w:type="dxa"/>
            <w:tcBorders>
              <w:top w:val="nil"/>
              <w:left w:val="nil"/>
              <w:bottom w:val="single" w:sz="8" w:space="0" w:color="auto"/>
              <w:right w:val="single" w:sz="8" w:space="0" w:color="auto"/>
            </w:tcBorders>
            <w:shd w:val="clear" w:color="auto" w:fill="auto"/>
            <w:vAlign w:val="center"/>
            <w:hideMark/>
          </w:tcPr>
          <w:p w:rsidR="00534FC1" w:rsidRPr="005416A5" w:rsidRDefault="00534FC1" w:rsidP="00B33461">
            <w:pPr>
              <w:spacing w:after="0" w:line="240" w:lineRule="auto"/>
              <w:ind w:right="677"/>
              <w:jc w:val="right"/>
              <w:rPr>
                <w:rFonts w:ascii="Calibri" w:eastAsia="Times New Roman" w:hAnsi="Calibri" w:cs="Calibri"/>
                <w:color w:val="000000"/>
                <w:sz w:val="18"/>
                <w:szCs w:val="18"/>
                <w:lang w:eastAsia="cs-CZ"/>
              </w:rPr>
            </w:pPr>
            <w:r w:rsidRPr="005416A5">
              <w:rPr>
                <w:rFonts w:ascii="Calibri" w:eastAsia="Times New Roman" w:hAnsi="Calibri" w:cs="Calibri"/>
                <w:color w:val="000000"/>
                <w:sz w:val="18"/>
                <w:szCs w:val="18"/>
                <w:lang w:eastAsia="cs-CZ"/>
              </w:rPr>
              <w:t>17 712 618 541,67</w:t>
            </w:r>
          </w:p>
        </w:tc>
      </w:tr>
    </w:tbl>
    <w:p w:rsidR="000B37AA" w:rsidRPr="00B33461" w:rsidRDefault="000B37AA" w:rsidP="00B33461">
      <w:pPr>
        <w:pStyle w:val="NormlnKZ"/>
        <w:spacing w:before="40" w:after="0"/>
        <w:ind w:firstLine="0"/>
        <w:rPr>
          <w:rFonts w:ascii="Calibri" w:hAnsi="Calibri" w:cs="Calibri"/>
          <w:sz w:val="20"/>
          <w:szCs w:val="20"/>
        </w:rPr>
      </w:pPr>
      <w:r w:rsidRPr="00B33461">
        <w:rPr>
          <w:rFonts w:ascii="Calibri" w:hAnsi="Calibri" w:cs="Calibri"/>
          <w:b/>
          <w:sz w:val="20"/>
          <w:szCs w:val="20"/>
        </w:rPr>
        <w:t>Zdroj:</w:t>
      </w:r>
      <w:r w:rsidRPr="00B33461">
        <w:rPr>
          <w:rFonts w:ascii="Calibri" w:hAnsi="Calibri" w:cs="Calibri"/>
          <w:sz w:val="20"/>
          <w:szCs w:val="20"/>
        </w:rPr>
        <w:t xml:space="preserve"> účetní závěrka MŽP k 31. prosinci 2013.</w:t>
      </w:r>
    </w:p>
    <w:p w:rsidR="00B33461" w:rsidRPr="00B33461" w:rsidRDefault="00B33461" w:rsidP="00B33461">
      <w:pPr>
        <w:spacing w:after="0" w:line="240" w:lineRule="auto"/>
        <w:jc w:val="both"/>
        <w:rPr>
          <w:rFonts w:ascii="Calibri" w:hAnsi="Calibri" w:cs="Calibri"/>
          <w:sz w:val="24"/>
          <w:szCs w:val="24"/>
        </w:rPr>
      </w:pPr>
    </w:p>
    <w:p w:rsidR="00220775" w:rsidRPr="00E76F52" w:rsidRDefault="00220775" w:rsidP="00E76F52">
      <w:pPr>
        <w:tabs>
          <w:tab w:val="right" w:pos="9072"/>
        </w:tabs>
        <w:spacing w:after="40" w:line="240" w:lineRule="auto"/>
        <w:jc w:val="both"/>
        <w:rPr>
          <w:rFonts w:ascii="Calibri" w:hAnsi="Calibri" w:cs="Calibri"/>
          <w:b/>
          <w:color w:val="000000"/>
          <w:sz w:val="24"/>
          <w:szCs w:val="24"/>
        </w:rPr>
      </w:pPr>
      <w:r w:rsidRPr="00E76F52">
        <w:rPr>
          <w:rFonts w:ascii="Calibri" w:hAnsi="Calibri" w:cs="Calibri"/>
          <w:b/>
          <w:color w:val="000000"/>
          <w:sz w:val="24"/>
          <w:szCs w:val="24"/>
        </w:rPr>
        <w:t>Tabulka č. 2 – Údaje za běžné období z</w:t>
      </w:r>
      <w:r w:rsidR="007405FC" w:rsidRPr="00E76F52">
        <w:rPr>
          <w:rFonts w:ascii="Calibri" w:hAnsi="Calibri" w:cs="Calibri"/>
          <w:b/>
          <w:color w:val="000000"/>
          <w:sz w:val="24"/>
          <w:szCs w:val="24"/>
        </w:rPr>
        <w:t xml:space="preserve"> </w:t>
      </w:r>
      <w:r w:rsidRPr="00E76F52">
        <w:rPr>
          <w:rFonts w:ascii="Calibri" w:hAnsi="Calibri" w:cs="Calibri"/>
          <w:b/>
          <w:color w:val="000000"/>
          <w:sz w:val="24"/>
          <w:szCs w:val="24"/>
        </w:rPr>
        <w:t xml:space="preserve">výkazu </w:t>
      </w:r>
      <w:r w:rsidR="00041AF4" w:rsidRPr="00E76F52">
        <w:rPr>
          <w:rFonts w:ascii="Calibri" w:hAnsi="Calibri" w:cs="Calibri"/>
          <w:b/>
          <w:color w:val="000000"/>
          <w:sz w:val="24"/>
          <w:szCs w:val="24"/>
        </w:rPr>
        <w:t xml:space="preserve">rozvaha </w:t>
      </w:r>
      <w:r w:rsidRPr="00E76F52">
        <w:rPr>
          <w:rFonts w:ascii="Calibri" w:hAnsi="Calibri" w:cs="Calibri"/>
          <w:b/>
          <w:color w:val="000000"/>
          <w:sz w:val="24"/>
          <w:szCs w:val="24"/>
        </w:rPr>
        <w:t>k</w:t>
      </w:r>
      <w:r w:rsidR="007405FC" w:rsidRPr="00E76F52">
        <w:rPr>
          <w:rFonts w:ascii="Calibri" w:hAnsi="Calibri" w:cs="Calibri"/>
          <w:b/>
          <w:color w:val="000000"/>
          <w:sz w:val="24"/>
          <w:szCs w:val="24"/>
        </w:rPr>
        <w:t xml:space="preserve"> </w:t>
      </w:r>
      <w:r w:rsidRPr="00E76F52">
        <w:rPr>
          <w:rFonts w:ascii="Calibri" w:hAnsi="Calibri" w:cs="Calibri"/>
          <w:b/>
          <w:color w:val="000000"/>
          <w:sz w:val="24"/>
          <w:szCs w:val="24"/>
        </w:rPr>
        <w:t>31. prosinci 2013</w:t>
      </w:r>
      <w:r w:rsidRPr="00E76F52">
        <w:rPr>
          <w:rFonts w:ascii="Calibri" w:hAnsi="Calibri" w:cs="Calibri"/>
          <w:b/>
          <w:color w:val="000000"/>
          <w:sz w:val="24"/>
          <w:szCs w:val="24"/>
        </w:rPr>
        <w:tab/>
        <w:t>(v Kč)</w:t>
      </w:r>
    </w:p>
    <w:tbl>
      <w:tblPr>
        <w:tblW w:w="9087" w:type="dxa"/>
        <w:tblInd w:w="55" w:type="dxa"/>
        <w:tblCellMar>
          <w:left w:w="70" w:type="dxa"/>
          <w:right w:w="70" w:type="dxa"/>
        </w:tblCellMar>
        <w:tblLook w:val="04A0" w:firstRow="1" w:lastRow="0" w:firstColumn="1" w:lastColumn="0" w:noHBand="0" w:noVBand="1"/>
      </w:tblPr>
      <w:tblGrid>
        <w:gridCol w:w="1461"/>
        <w:gridCol w:w="1445"/>
        <w:gridCol w:w="1591"/>
        <w:gridCol w:w="1590"/>
        <w:gridCol w:w="1441"/>
        <w:gridCol w:w="1559"/>
      </w:tblGrid>
      <w:tr w:rsidR="00DF5302" w:rsidRPr="00E76F52" w:rsidTr="00166B50">
        <w:trPr>
          <w:trHeight w:val="227"/>
        </w:trPr>
        <w:tc>
          <w:tcPr>
            <w:tcW w:w="4497" w:type="dxa"/>
            <w:gridSpan w:val="3"/>
            <w:tcBorders>
              <w:top w:val="single" w:sz="8" w:space="0" w:color="auto"/>
              <w:left w:val="single" w:sz="8" w:space="0" w:color="auto"/>
              <w:bottom w:val="single" w:sz="8" w:space="0" w:color="auto"/>
              <w:right w:val="single" w:sz="8" w:space="0" w:color="000000"/>
            </w:tcBorders>
            <w:shd w:val="clear" w:color="000000" w:fill="F2DCDB"/>
            <w:noWrap/>
            <w:vAlign w:val="center"/>
            <w:hideMark/>
          </w:tcPr>
          <w:p w:rsidR="00DF5302" w:rsidRPr="00E76F52" w:rsidRDefault="00DF5302" w:rsidP="00F54ED4">
            <w:pPr>
              <w:spacing w:after="0" w:line="240" w:lineRule="auto"/>
              <w:jc w:val="center"/>
              <w:rPr>
                <w:rFonts w:ascii="Calibri" w:eastAsia="Times New Roman" w:hAnsi="Calibri" w:cs="Calibri"/>
                <w:b/>
                <w:bCs/>
                <w:color w:val="000000"/>
                <w:sz w:val="18"/>
                <w:szCs w:val="18"/>
                <w:lang w:eastAsia="cs-CZ"/>
              </w:rPr>
            </w:pPr>
            <w:r w:rsidRPr="00E76F52">
              <w:rPr>
                <w:rFonts w:ascii="Calibri" w:eastAsia="Times New Roman" w:hAnsi="Calibri" w:cs="Calibri"/>
                <w:b/>
                <w:bCs/>
                <w:color w:val="000000"/>
                <w:sz w:val="18"/>
                <w:szCs w:val="18"/>
                <w:lang w:eastAsia="cs-CZ"/>
              </w:rPr>
              <w:t>Aktiva (v netto hodnotě)</w:t>
            </w:r>
          </w:p>
        </w:tc>
        <w:tc>
          <w:tcPr>
            <w:tcW w:w="4590" w:type="dxa"/>
            <w:gridSpan w:val="3"/>
            <w:tcBorders>
              <w:top w:val="single" w:sz="8" w:space="0" w:color="auto"/>
              <w:left w:val="nil"/>
              <w:bottom w:val="single" w:sz="8" w:space="0" w:color="auto"/>
              <w:right w:val="single" w:sz="8" w:space="0" w:color="000000"/>
            </w:tcBorders>
            <w:shd w:val="clear" w:color="000000" w:fill="F2DCDB"/>
            <w:noWrap/>
            <w:vAlign w:val="center"/>
            <w:hideMark/>
          </w:tcPr>
          <w:p w:rsidR="00DF5302" w:rsidRPr="00E76F52" w:rsidRDefault="00DF5302" w:rsidP="00F54ED4">
            <w:pPr>
              <w:spacing w:after="0" w:line="240" w:lineRule="auto"/>
              <w:jc w:val="center"/>
              <w:rPr>
                <w:rFonts w:ascii="Calibri" w:eastAsia="Times New Roman" w:hAnsi="Calibri" w:cs="Calibri"/>
                <w:b/>
                <w:bCs/>
                <w:color w:val="000000"/>
                <w:sz w:val="18"/>
                <w:szCs w:val="18"/>
                <w:lang w:eastAsia="cs-CZ"/>
              </w:rPr>
            </w:pPr>
            <w:r w:rsidRPr="00E76F52">
              <w:rPr>
                <w:rFonts w:ascii="Calibri" w:eastAsia="Times New Roman" w:hAnsi="Calibri" w:cs="Calibri"/>
                <w:b/>
                <w:bCs/>
                <w:color w:val="000000"/>
                <w:sz w:val="18"/>
                <w:szCs w:val="18"/>
                <w:lang w:eastAsia="cs-CZ"/>
              </w:rPr>
              <w:t>Pasiva</w:t>
            </w:r>
          </w:p>
        </w:tc>
      </w:tr>
      <w:tr w:rsidR="00DF5302" w:rsidRPr="00E76F52" w:rsidTr="00166B50">
        <w:trPr>
          <w:trHeight w:val="227"/>
        </w:trPr>
        <w:tc>
          <w:tcPr>
            <w:tcW w:w="1461" w:type="dxa"/>
            <w:tcBorders>
              <w:top w:val="nil"/>
              <w:left w:val="single" w:sz="8" w:space="0" w:color="auto"/>
              <w:bottom w:val="single" w:sz="8" w:space="0" w:color="auto"/>
              <w:right w:val="single" w:sz="8" w:space="0" w:color="auto"/>
            </w:tcBorders>
            <w:shd w:val="clear" w:color="000000" w:fill="F2DCDB"/>
            <w:noWrap/>
            <w:vAlign w:val="center"/>
            <w:hideMark/>
          </w:tcPr>
          <w:p w:rsidR="00DF5302" w:rsidRPr="00E76F52" w:rsidRDefault="00DF5302" w:rsidP="00F54ED4">
            <w:pPr>
              <w:spacing w:after="0" w:line="240" w:lineRule="auto"/>
              <w:jc w:val="center"/>
              <w:rPr>
                <w:rFonts w:ascii="Calibri" w:eastAsia="Times New Roman" w:hAnsi="Calibri" w:cs="Calibri"/>
                <w:b/>
                <w:bCs/>
                <w:color w:val="000000"/>
                <w:sz w:val="18"/>
                <w:szCs w:val="18"/>
                <w:lang w:eastAsia="cs-CZ"/>
              </w:rPr>
            </w:pPr>
            <w:r w:rsidRPr="00E76F52">
              <w:rPr>
                <w:rFonts w:ascii="Calibri" w:eastAsia="Times New Roman" w:hAnsi="Calibri" w:cs="Calibri"/>
                <w:b/>
                <w:bCs/>
                <w:color w:val="000000"/>
                <w:sz w:val="18"/>
                <w:szCs w:val="18"/>
                <w:lang w:eastAsia="cs-CZ"/>
              </w:rPr>
              <w:t>Stálá aktiva</w:t>
            </w:r>
          </w:p>
        </w:tc>
        <w:tc>
          <w:tcPr>
            <w:tcW w:w="1445" w:type="dxa"/>
            <w:tcBorders>
              <w:top w:val="nil"/>
              <w:left w:val="nil"/>
              <w:bottom w:val="single" w:sz="8" w:space="0" w:color="auto"/>
              <w:right w:val="single" w:sz="8" w:space="0" w:color="auto"/>
            </w:tcBorders>
            <w:shd w:val="clear" w:color="000000" w:fill="F2DCDB"/>
            <w:noWrap/>
            <w:vAlign w:val="center"/>
            <w:hideMark/>
          </w:tcPr>
          <w:p w:rsidR="00DF5302" w:rsidRPr="00E76F52" w:rsidRDefault="00DF5302" w:rsidP="00F54ED4">
            <w:pPr>
              <w:spacing w:after="0" w:line="240" w:lineRule="auto"/>
              <w:jc w:val="center"/>
              <w:rPr>
                <w:rFonts w:ascii="Calibri" w:eastAsia="Times New Roman" w:hAnsi="Calibri" w:cs="Calibri"/>
                <w:b/>
                <w:bCs/>
                <w:color w:val="000000"/>
                <w:sz w:val="18"/>
                <w:szCs w:val="18"/>
                <w:lang w:eastAsia="cs-CZ"/>
              </w:rPr>
            </w:pPr>
            <w:r w:rsidRPr="00E76F52">
              <w:rPr>
                <w:rFonts w:ascii="Calibri" w:eastAsia="Times New Roman" w:hAnsi="Calibri" w:cs="Calibri"/>
                <w:b/>
                <w:bCs/>
                <w:color w:val="000000"/>
                <w:sz w:val="18"/>
                <w:szCs w:val="18"/>
                <w:lang w:eastAsia="cs-CZ"/>
              </w:rPr>
              <w:t>Oběžná aktiva</w:t>
            </w:r>
          </w:p>
        </w:tc>
        <w:tc>
          <w:tcPr>
            <w:tcW w:w="1591" w:type="dxa"/>
            <w:tcBorders>
              <w:top w:val="nil"/>
              <w:left w:val="nil"/>
              <w:bottom w:val="single" w:sz="8" w:space="0" w:color="auto"/>
              <w:right w:val="single" w:sz="8" w:space="0" w:color="auto"/>
            </w:tcBorders>
            <w:shd w:val="clear" w:color="000000" w:fill="F2DCDB"/>
            <w:noWrap/>
            <w:vAlign w:val="center"/>
            <w:hideMark/>
          </w:tcPr>
          <w:p w:rsidR="00DF5302" w:rsidRPr="00E76F52" w:rsidRDefault="00DF5302" w:rsidP="00F54ED4">
            <w:pPr>
              <w:spacing w:after="0" w:line="240" w:lineRule="auto"/>
              <w:jc w:val="center"/>
              <w:rPr>
                <w:rFonts w:ascii="Calibri" w:eastAsia="Times New Roman" w:hAnsi="Calibri" w:cs="Calibri"/>
                <w:b/>
                <w:bCs/>
                <w:color w:val="000000"/>
                <w:sz w:val="18"/>
                <w:szCs w:val="18"/>
                <w:lang w:eastAsia="cs-CZ"/>
              </w:rPr>
            </w:pPr>
            <w:r w:rsidRPr="00E76F52">
              <w:rPr>
                <w:rFonts w:ascii="Calibri" w:eastAsia="Times New Roman" w:hAnsi="Calibri" w:cs="Calibri"/>
                <w:b/>
                <w:bCs/>
                <w:color w:val="000000"/>
                <w:sz w:val="18"/>
                <w:szCs w:val="18"/>
                <w:lang w:eastAsia="cs-CZ"/>
              </w:rPr>
              <w:t>Aktiva celkem</w:t>
            </w:r>
          </w:p>
        </w:tc>
        <w:tc>
          <w:tcPr>
            <w:tcW w:w="1590" w:type="dxa"/>
            <w:tcBorders>
              <w:top w:val="nil"/>
              <w:left w:val="nil"/>
              <w:bottom w:val="single" w:sz="8" w:space="0" w:color="auto"/>
              <w:right w:val="single" w:sz="8" w:space="0" w:color="auto"/>
            </w:tcBorders>
            <w:shd w:val="clear" w:color="000000" w:fill="F2DCDB"/>
            <w:noWrap/>
            <w:vAlign w:val="center"/>
            <w:hideMark/>
          </w:tcPr>
          <w:p w:rsidR="00DF5302" w:rsidRPr="00E76F52" w:rsidRDefault="00DF5302" w:rsidP="00F54ED4">
            <w:pPr>
              <w:spacing w:after="0" w:line="240" w:lineRule="auto"/>
              <w:jc w:val="center"/>
              <w:rPr>
                <w:rFonts w:ascii="Calibri" w:eastAsia="Times New Roman" w:hAnsi="Calibri" w:cs="Calibri"/>
                <w:b/>
                <w:bCs/>
                <w:color w:val="000000"/>
                <w:sz w:val="18"/>
                <w:szCs w:val="18"/>
                <w:lang w:eastAsia="cs-CZ"/>
              </w:rPr>
            </w:pPr>
            <w:r w:rsidRPr="00E76F52">
              <w:rPr>
                <w:rFonts w:ascii="Calibri" w:eastAsia="Times New Roman" w:hAnsi="Calibri" w:cs="Calibri"/>
                <w:b/>
                <w:bCs/>
                <w:color w:val="000000"/>
                <w:sz w:val="18"/>
                <w:szCs w:val="18"/>
                <w:lang w:eastAsia="cs-CZ"/>
              </w:rPr>
              <w:t>Vlastní kapitál</w:t>
            </w:r>
          </w:p>
        </w:tc>
        <w:tc>
          <w:tcPr>
            <w:tcW w:w="1441" w:type="dxa"/>
            <w:tcBorders>
              <w:top w:val="nil"/>
              <w:left w:val="nil"/>
              <w:bottom w:val="single" w:sz="8" w:space="0" w:color="auto"/>
              <w:right w:val="single" w:sz="8" w:space="0" w:color="auto"/>
            </w:tcBorders>
            <w:shd w:val="clear" w:color="000000" w:fill="F2DCDB"/>
            <w:noWrap/>
            <w:vAlign w:val="center"/>
            <w:hideMark/>
          </w:tcPr>
          <w:p w:rsidR="00DF5302" w:rsidRPr="00E76F52" w:rsidRDefault="00DF5302" w:rsidP="00F54ED4">
            <w:pPr>
              <w:spacing w:after="0" w:line="240" w:lineRule="auto"/>
              <w:jc w:val="center"/>
              <w:rPr>
                <w:rFonts w:ascii="Calibri" w:eastAsia="Times New Roman" w:hAnsi="Calibri" w:cs="Calibri"/>
                <w:b/>
                <w:bCs/>
                <w:color w:val="000000"/>
                <w:sz w:val="18"/>
                <w:szCs w:val="18"/>
                <w:lang w:eastAsia="cs-CZ"/>
              </w:rPr>
            </w:pPr>
            <w:r w:rsidRPr="00E76F52">
              <w:rPr>
                <w:rFonts w:ascii="Calibri" w:eastAsia="Times New Roman" w:hAnsi="Calibri" w:cs="Calibri"/>
                <w:b/>
                <w:bCs/>
                <w:color w:val="000000"/>
                <w:sz w:val="18"/>
                <w:szCs w:val="18"/>
                <w:lang w:eastAsia="cs-CZ"/>
              </w:rPr>
              <w:t>Cizí zdroje</w:t>
            </w:r>
          </w:p>
        </w:tc>
        <w:tc>
          <w:tcPr>
            <w:tcW w:w="1559" w:type="dxa"/>
            <w:tcBorders>
              <w:top w:val="nil"/>
              <w:left w:val="nil"/>
              <w:bottom w:val="single" w:sz="8" w:space="0" w:color="auto"/>
              <w:right w:val="single" w:sz="8" w:space="0" w:color="auto"/>
            </w:tcBorders>
            <w:shd w:val="clear" w:color="000000" w:fill="F2DCDB"/>
            <w:vAlign w:val="center"/>
            <w:hideMark/>
          </w:tcPr>
          <w:p w:rsidR="00DF5302" w:rsidRPr="00E76F52" w:rsidRDefault="00DF5302" w:rsidP="00F54ED4">
            <w:pPr>
              <w:spacing w:after="0" w:line="240" w:lineRule="auto"/>
              <w:jc w:val="center"/>
              <w:rPr>
                <w:rFonts w:ascii="Calibri" w:eastAsia="Times New Roman" w:hAnsi="Calibri" w:cs="Calibri"/>
                <w:b/>
                <w:bCs/>
                <w:color w:val="000000"/>
                <w:sz w:val="18"/>
                <w:szCs w:val="18"/>
                <w:lang w:eastAsia="cs-CZ"/>
              </w:rPr>
            </w:pPr>
            <w:r w:rsidRPr="00E76F52">
              <w:rPr>
                <w:rFonts w:ascii="Calibri" w:eastAsia="Times New Roman" w:hAnsi="Calibri" w:cs="Calibri"/>
                <w:b/>
                <w:bCs/>
                <w:color w:val="000000"/>
                <w:sz w:val="18"/>
                <w:szCs w:val="18"/>
                <w:lang w:eastAsia="cs-CZ"/>
              </w:rPr>
              <w:t>Pasiva celkem</w:t>
            </w:r>
          </w:p>
        </w:tc>
      </w:tr>
      <w:tr w:rsidR="00DF5302" w:rsidRPr="00E76F52" w:rsidTr="00166B50">
        <w:trPr>
          <w:trHeight w:val="227"/>
        </w:trPr>
        <w:tc>
          <w:tcPr>
            <w:tcW w:w="1461" w:type="dxa"/>
            <w:tcBorders>
              <w:top w:val="nil"/>
              <w:left w:val="single" w:sz="8" w:space="0" w:color="auto"/>
              <w:bottom w:val="single" w:sz="8" w:space="0" w:color="auto"/>
              <w:right w:val="single" w:sz="8" w:space="0" w:color="auto"/>
            </w:tcBorders>
            <w:shd w:val="clear" w:color="auto" w:fill="auto"/>
            <w:vAlign w:val="center"/>
            <w:hideMark/>
          </w:tcPr>
          <w:p w:rsidR="00DF5302" w:rsidRPr="00E76F52" w:rsidRDefault="00DF5302" w:rsidP="00E76F52">
            <w:pPr>
              <w:spacing w:after="0" w:line="240" w:lineRule="auto"/>
              <w:jc w:val="right"/>
              <w:rPr>
                <w:rFonts w:ascii="Calibri" w:eastAsia="Times New Roman" w:hAnsi="Calibri" w:cs="Calibri"/>
                <w:color w:val="000000"/>
                <w:sz w:val="18"/>
                <w:szCs w:val="18"/>
                <w:lang w:eastAsia="cs-CZ"/>
              </w:rPr>
            </w:pPr>
            <w:r w:rsidRPr="00E76F52">
              <w:rPr>
                <w:rFonts w:ascii="Calibri" w:eastAsia="Times New Roman" w:hAnsi="Calibri" w:cs="Calibri"/>
                <w:color w:val="000000"/>
                <w:sz w:val="18"/>
                <w:szCs w:val="18"/>
                <w:lang w:eastAsia="cs-CZ"/>
              </w:rPr>
              <w:t>9 815 031 510,50</w:t>
            </w:r>
          </w:p>
        </w:tc>
        <w:tc>
          <w:tcPr>
            <w:tcW w:w="1445" w:type="dxa"/>
            <w:tcBorders>
              <w:top w:val="nil"/>
              <w:left w:val="nil"/>
              <w:bottom w:val="single" w:sz="8" w:space="0" w:color="auto"/>
              <w:right w:val="single" w:sz="8" w:space="0" w:color="auto"/>
            </w:tcBorders>
            <w:shd w:val="clear" w:color="auto" w:fill="auto"/>
            <w:vAlign w:val="center"/>
            <w:hideMark/>
          </w:tcPr>
          <w:p w:rsidR="00DF5302" w:rsidRPr="00E76F52" w:rsidRDefault="00DF5302" w:rsidP="00E76F52">
            <w:pPr>
              <w:spacing w:after="0" w:line="240" w:lineRule="auto"/>
              <w:jc w:val="right"/>
              <w:rPr>
                <w:rFonts w:ascii="Calibri" w:eastAsia="Times New Roman" w:hAnsi="Calibri" w:cs="Calibri"/>
                <w:color w:val="000000"/>
                <w:sz w:val="18"/>
                <w:szCs w:val="18"/>
                <w:lang w:eastAsia="cs-CZ"/>
              </w:rPr>
            </w:pPr>
            <w:r w:rsidRPr="00E76F52">
              <w:rPr>
                <w:rFonts w:ascii="Calibri" w:eastAsia="Times New Roman" w:hAnsi="Calibri" w:cs="Calibri"/>
                <w:color w:val="000000"/>
                <w:sz w:val="18"/>
                <w:szCs w:val="18"/>
                <w:lang w:eastAsia="cs-CZ"/>
              </w:rPr>
              <w:t>8 779 632 688,87</w:t>
            </w:r>
          </w:p>
        </w:tc>
        <w:tc>
          <w:tcPr>
            <w:tcW w:w="1591" w:type="dxa"/>
            <w:tcBorders>
              <w:top w:val="nil"/>
              <w:left w:val="nil"/>
              <w:bottom w:val="single" w:sz="8" w:space="0" w:color="auto"/>
              <w:right w:val="single" w:sz="8" w:space="0" w:color="auto"/>
            </w:tcBorders>
            <w:shd w:val="clear" w:color="auto" w:fill="auto"/>
            <w:vAlign w:val="center"/>
            <w:hideMark/>
          </w:tcPr>
          <w:p w:rsidR="00DF5302" w:rsidRPr="00E76F52" w:rsidRDefault="00DF5302" w:rsidP="00E76F52">
            <w:pPr>
              <w:spacing w:after="0" w:line="240" w:lineRule="auto"/>
              <w:jc w:val="right"/>
              <w:rPr>
                <w:rFonts w:ascii="Calibri" w:eastAsia="Times New Roman" w:hAnsi="Calibri" w:cs="Calibri"/>
                <w:color w:val="000000"/>
                <w:sz w:val="18"/>
                <w:szCs w:val="18"/>
                <w:lang w:eastAsia="cs-CZ"/>
              </w:rPr>
            </w:pPr>
            <w:r w:rsidRPr="00E76F52">
              <w:rPr>
                <w:rFonts w:ascii="Calibri" w:eastAsia="Times New Roman" w:hAnsi="Calibri" w:cs="Calibri"/>
                <w:color w:val="000000"/>
                <w:sz w:val="18"/>
                <w:szCs w:val="18"/>
                <w:lang w:eastAsia="cs-CZ"/>
              </w:rPr>
              <w:t>18 594 664 199,37</w:t>
            </w:r>
          </w:p>
        </w:tc>
        <w:tc>
          <w:tcPr>
            <w:tcW w:w="1590" w:type="dxa"/>
            <w:tcBorders>
              <w:top w:val="nil"/>
              <w:left w:val="nil"/>
              <w:bottom w:val="single" w:sz="8" w:space="0" w:color="auto"/>
              <w:right w:val="single" w:sz="8" w:space="0" w:color="auto"/>
            </w:tcBorders>
            <w:shd w:val="clear" w:color="auto" w:fill="auto"/>
            <w:vAlign w:val="center"/>
            <w:hideMark/>
          </w:tcPr>
          <w:p w:rsidR="00DF5302" w:rsidRPr="00E76F52" w:rsidRDefault="00DF5302" w:rsidP="00E76F52">
            <w:pPr>
              <w:spacing w:after="0" w:line="240" w:lineRule="auto"/>
              <w:jc w:val="right"/>
              <w:rPr>
                <w:rFonts w:ascii="Calibri" w:eastAsia="Times New Roman" w:hAnsi="Calibri" w:cs="Calibri"/>
                <w:color w:val="000000"/>
                <w:sz w:val="18"/>
                <w:szCs w:val="18"/>
                <w:lang w:eastAsia="cs-CZ"/>
              </w:rPr>
            </w:pPr>
            <w:r w:rsidRPr="00E76F52">
              <w:rPr>
                <w:rFonts w:ascii="Calibri" w:eastAsia="Times New Roman" w:hAnsi="Calibri" w:cs="Calibri"/>
                <w:color w:val="000000"/>
                <w:sz w:val="18"/>
                <w:szCs w:val="18"/>
                <w:lang w:eastAsia="cs-CZ"/>
              </w:rPr>
              <w:t>18 657 182 259,51</w:t>
            </w:r>
          </w:p>
        </w:tc>
        <w:tc>
          <w:tcPr>
            <w:tcW w:w="1441" w:type="dxa"/>
            <w:tcBorders>
              <w:top w:val="nil"/>
              <w:left w:val="nil"/>
              <w:bottom w:val="single" w:sz="8" w:space="0" w:color="auto"/>
              <w:right w:val="single" w:sz="8" w:space="0" w:color="auto"/>
            </w:tcBorders>
            <w:shd w:val="clear" w:color="auto" w:fill="auto"/>
            <w:vAlign w:val="center"/>
            <w:hideMark/>
          </w:tcPr>
          <w:p w:rsidR="00DF5302" w:rsidRPr="00E76F52" w:rsidRDefault="00166B50" w:rsidP="00E76F52">
            <w:pPr>
              <w:spacing w:after="0" w:line="240" w:lineRule="auto"/>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sym w:font="Symbol" w:char="F02D"/>
            </w:r>
            <w:r w:rsidR="00DF5302" w:rsidRPr="00E76F52">
              <w:rPr>
                <w:rFonts w:ascii="Calibri" w:eastAsia="Times New Roman" w:hAnsi="Calibri" w:cs="Calibri"/>
                <w:color w:val="000000"/>
                <w:sz w:val="18"/>
                <w:szCs w:val="18"/>
                <w:lang w:eastAsia="cs-CZ"/>
              </w:rPr>
              <w:t>62 518 060,14</w:t>
            </w:r>
          </w:p>
        </w:tc>
        <w:tc>
          <w:tcPr>
            <w:tcW w:w="1559" w:type="dxa"/>
            <w:tcBorders>
              <w:top w:val="nil"/>
              <w:left w:val="nil"/>
              <w:bottom w:val="single" w:sz="8" w:space="0" w:color="auto"/>
              <w:right w:val="single" w:sz="8" w:space="0" w:color="auto"/>
            </w:tcBorders>
            <w:shd w:val="clear" w:color="auto" w:fill="auto"/>
            <w:vAlign w:val="center"/>
            <w:hideMark/>
          </w:tcPr>
          <w:p w:rsidR="00DF5302" w:rsidRPr="00E76F52" w:rsidRDefault="00DF5302" w:rsidP="00E76F52">
            <w:pPr>
              <w:spacing w:after="0" w:line="240" w:lineRule="auto"/>
              <w:jc w:val="right"/>
              <w:rPr>
                <w:rFonts w:ascii="Calibri" w:eastAsia="Times New Roman" w:hAnsi="Calibri" w:cs="Calibri"/>
                <w:color w:val="000000"/>
                <w:sz w:val="18"/>
                <w:szCs w:val="18"/>
                <w:lang w:eastAsia="cs-CZ"/>
              </w:rPr>
            </w:pPr>
            <w:r w:rsidRPr="00E76F52">
              <w:rPr>
                <w:rFonts w:ascii="Calibri" w:eastAsia="Times New Roman" w:hAnsi="Calibri" w:cs="Calibri"/>
                <w:color w:val="000000"/>
                <w:sz w:val="18"/>
                <w:szCs w:val="18"/>
                <w:lang w:eastAsia="cs-CZ"/>
              </w:rPr>
              <w:t>18 594 664 199,37</w:t>
            </w:r>
          </w:p>
        </w:tc>
      </w:tr>
    </w:tbl>
    <w:p w:rsidR="00140799" w:rsidRPr="00E76F52" w:rsidRDefault="00140799" w:rsidP="00E76F52">
      <w:pPr>
        <w:pStyle w:val="NormlnKZ"/>
        <w:spacing w:before="40" w:after="0"/>
        <w:ind w:firstLine="0"/>
        <w:rPr>
          <w:rFonts w:ascii="Calibri" w:hAnsi="Calibri" w:cs="Calibri"/>
          <w:sz w:val="20"/>
          <w:szCs w:val="20"/>
        </w:rPr>
      </w:pPr>
      <w:r w:rsidRPr="00E76F52">
        <w:rPr>
          <w:rFonts w:ascii="Calibri" w:hAnsi="Calibri" w:cs="Calibri"/>
          <w:b/>
          <w:sz w:val="20"/>
          <w:szCs w:val="20"/>
        </w:rPr>
        <w:t>Zdroj:</w:t>
      </w:r>
      <w:r w:rsidRPr="00E76F52">
        <w:rPr>
          <w:rFonts w:ascii="Calibri" w:hAnsi="Calibri" w:cs="Calibri"/>
          <w:sz w:val="20"/>
          <w:szCs w:val="20"/>
        </w:rPr>
        <w:t xml:space="preserve"> účetní závěrka MŽP k 31. prosinci 2013.</w:t>
      </w:r>
    </w:p>
    <w:p w:rsidR="00B33461" w:rsidRPr="00B33461" w:rsidRDefault="00B33461" w:rsidP="00B33461">
      <w:pPr>
        <w:spacing w:after="0" w:line="240" w:lineRule="auto"/>
        <w:jc w:val="both"/>
        <w:rPr>
          <w:rFonts w:ascii="Calibri" w:hAnsi="Calibri" w:cs="Calibri"/>
          <w:sz w:val="24"/>
          <w:szCs w:val="24"/>
        </w:rPr>
      </w:pPr>
    </w:p>
    <w:p w:rsidR="00A43A21" w:rsidRPr="00E76F52" w:rsidRDefault="00A43A21" w:rsidP="00E76F52">
      <w:pPr>
        <w:spacing w:after="40" w:line="240" w:lineRule="auto"/>
        <w:jc w:val="both"/>
        <w:rPr>
          <w:rFonts w:ascii="Calibri" w:hAnsi="Calibri" w:cs="Calibri"/>
          <w:b/>
          <w:color w:val="000000"/>
          <w:sz w:val="24"/>
          <w:szCs w:val="24"/>
        </w:rPr>
      </w:pPr>
      <w:r w:rsidRPr="00E76F52">
        <w:rPr>
          <w:rFonts w:ascii="Calibri" w:hAnsi="Calibri" w:cs="Calibri"/>
          <w:b/>
          <w:color w:val="000000"/>
          <w:sz w:val="24"/>
          <w:szCs w:val="24"/>
        </w:rPr>
        <w:t>Tabulka č. 3 – Údaje za běžné období z</w:t>
      </w:r>
      <w:r w:rsidR="007405FC" w:rsidRPr="00E76F52">
        <w:rPr>
          <w:rFonts w:ascii="Calibri" w:hAnsi="Calibri" w:cs="Calibri"/>
          <w:b/>
          <w:color w:val="000000"/>
          <w:sz w:val="24"/>
          <w:szCs w:val="24"/>
        </w:rPr>
        <w:t xml:space="preserve"> </w:t>
      </w:r>
      <w:r w:rsidR="00041AF4" w:rsidRPr="00E76F52">
        <w:rPr>
          <w:rFonts w:ascii="Calibri" w:hAnsi="Calibri" w:cs="Calibri"/>
          <w:b/>
          <w:color w:val="000000"/>
          <w:sz w:val="24"/>
          <w:szCs w:val="24"/>
        </w:rPr>
        <w:t xml:space="preserve">výkazu </w:t>
      </w:r>
      <w:r w:rsidRPr="00E76F52">
        <w:rPr>
          <w:rFonts w:ascii="Calibri" w:hAnsi="Calibri" w:cs="Calibri"/>
          <w:b/>
          <w:color w:val="000000"/>
          <w:sz w:val="24"/>
          <w:szCs w:val="24"/>
        </w:rPr>
        <w:t>zisku a ztráty k</w:t>
      </w:r>
      <w:r w:rsidR="007405FC" w:rsidRPr="00E76F52">
        <w:rPr>
          <w:rFonts w:ascii="Calibri" w:hAnsi="Calibri" w:cs="Calibri"/>
          <w:b/>
          <w:color w:val="000000"/>
          <w:sz w:val="24"/>
          <w:szCs w:val="24"/>
        </w:rPr>
        <w:t xml:space="preserve"> </w:t>
      </w:r>
      <w:r w:rsidRPr="00E76F52">
        <w:rPr>
          <w:rFonts w:ascii="Calibri" w:hAnsi="Calibri" w:cs="Calibri"/>
          <w:b/>
          <w:color w:val="000000"/>
          <w:sz w:val="24"/>
          <w:szCs w:val="24"/>
        </w:rPr>
        <w:t>31. prosinci 2013</w:t>
      </w:r>
      <w:r w:rsidR="00692DC0" w:rsidRPr="00E76F52">
        <w:rPr>
          <w:rFonts w:ascii="Calibri" w:hAnsi="Calibri" w:cs="Calibri"/>
          <w:b/>
          <w:color w:val="000000"/>
          <w:sz w:val="24"/>
          <w:szCs w:val="24"/>
        </w:rPr>
        <w:tab/>
        <w:t>(v Kč)</w:t>
      </w:r>
    </w:p>
    <w:tbl>
      <w:tblPr>
        <w:tblW w:w="9087" w:type="dxa"/>
        <w:tblInd w:w="55" w:type="dxa"/>
        <w:tblCellMar>
          <w:left w:w="70" w:type="dxa"/>
          <w:right w:w="70" w:type="dxa"/>
        </w:tblCellMar>
        <w:tblLook w:val="04A0" w:firstRow="1" w:lastRow="0" w:firstColumn="1" w:lastColumn="0" w:noHBand="0" w:noVBand="1"/>
      </w:tblPr>
      <w:tblGrid>
        <w:gridCol w:w="2369"/>
        <w:gridCol w:w="2369"/>
        <w:gridCol w:w="4349"/>
      </w:tblGrid>
      <w:tr w:rsidR="00692DC0" w:rsidRPr="00E76F52" w:rsidTr="00E76F52">
        <w:trPr>
          <w:trHeight w:val="227"/>
        </w:trPr>
        <w:tc>
          <w:tcPr>
            <w:tcW w:w="2369"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rsidR="00692DC0" w:rsidRPr="00E76F52" w:rsidRDefault="00692DC0" w:rsidP="00F54ED4">
            <w:pPr>
              <w:spacing w:after="0" w:line="240" w:lineRule="auto"/>
              <w:jc w:val="center"/>
              <w:rPr>
                <w:rFonts w:ascii="Calibri" w:eastAsia="Times New Roman" w:hAnsi="Calibri" w:cs="Calibri"/>
                <w:b/>
                <w:bCs/>
                <w:color w:val="000000"/>
                <w:sz w:val="20"/>
                <w:szCs w:val="20"/>
                <w:lang w:eastAsia="cs-CZ"/>
              </w:rPr>
            </w:pPr>
            <w:r w:rsidRPr="00E76F52">
              <w:rPr>
                <w:rFonts w:ascii="Calibri" w:eastAsia="Times New Roman" w:hAnsi="Calibri" w:cs="Calibri"/>
                <w:b/>
                <w:bCs/>
                <w:color w:val="000000"/>
                <w:sz w:val="20"/>
                <w:szCs w:val="20"/>
                <w:lang w:eastAsia="cs-CZ"/>
              </w:rPr>
              <w:t>Náklady</w:t>
            </w:r>
          </w:p>
        </w:tc>
        <w:tc>
          <w:tcPr>
            <w:tcW w:w="2369" w:type="dxa"/>
            <w:tcBorders>
              <w:top w:val="single" w:sz="8" w:space="0" w:color="auto"/>
              <w:left w:val="nil"/>
              <w:bottom w:val="single" w:sz="8" w:space="0" w:color="auto"/>
              <w:right w:val="single" w:sz="8" w:space="0" w:color="auto"/>
            </w:tcBorders>
            <w:shd w:val="clear" w:color="000000" w:fill="F2DCDB"/>
            <w:noWrap/>
            <w:vAlign w:val="center"/>
            <w:hideMark/>
          </w:tcPr>
          <w:p w:rsidR="00692DC0" w:rsidRPr="00E76F52" w:rsidRDefault="00692DC0" w:rsidP="00F54ED4">
            <w:pPr>
              <w:spacing w:after="0" w:line="240" w:lineRule="auto"/>
              <w:jc w:val="center"/>
              <w:rPr>
                <w:rFonts w:ascii="Calibri" w:eastAsia="Times New Roman" w:hAnsi="Calibri" w:cs="Calibri"/>
                <w:b/>
                <w:bCs/>
                <w:color w:val="000000"/>
                <w:sz w:val="20"/>
                <w:szCs w:val="20"/>
                <w:lang w:eastAsia="cs-CZ"/>
              </w:rPr>
            </w:pPr>
            <w:r w:rsidRPr="00E76F52">
              <w:rPr>
                <w:rFonts w:ascii="Calibri" w:eastAsia="Times New Roman" w:hAnsi="Calibri" w:cs="Calibri"/>
                <w:b/>
                <w:bCs/>
                <w:color w:val="000000"/>
                <w:sz w:val="20"/>
                <w:szCs w:val="20"/>
                <w:lang w:eastAsia="cs-CZ"/>
              </w:rPr>
              <w:t>Výnosy</w:t>
            </w:r>
          </w:p>
        </w:tc>
        <w:tc>
          <w:tcPr>
            <w:tcW w:w="4349" w:type="dxa"/>
            <w:tcBorders>
              <w:top w:val="single" w:sz="8" w:space="0" w:color="auto"/>
              <w:left w:val="nil"/>
              <w:bottom w:val="single" w:sz="8" w:space="0" w:color="auto"/>
              <w:right w:val="single" w:sz="8" w:space="0" w:color="auto"/>
            </w:tcBorders>
            <w:shd w:val="clear" w:color="000000" w:fill="F2DCDB"/>
            <w:noWrap/>
            <w:vAlign w:val="center"/>
            <w:hideMark/>
          </w:tcPr>
          <w:p w:rsidR="00692DC0" w:rsidRPr="00E76F52" w:rsidRDefault="00692DC0" w:rsidP="00626C4B">
            <w:pPr>
              <w:spacing w:after="0" w:line="240" w:lineRule="auto"/>
              <w:jc w:val="center"/>
              <w:rPr>
                <w:rFonts w:ascii="Calibri" w:eastAsia="Times New Roman" w:hAnsi="Calibri" w:cs="Calibri"/>
                <w:b/>
                <w:bCs/>
                <w:color w:val="000000"/>
                <w:sz w:val="20"/>
                <w:szCs w:val="20"/>
                <w:lang w:eastAsia="cs-CZ"/>
              </w:rPr>
            </w:pPr>
            <w:r w:rsidRPr="00E76F52">
              <w:rPr>
                <w:rFonts w:ascii="Calibri" w:eastAsia="Times New Roman" w:hAnsi="Calibri" w:cs="Calibri"/>
                <w:b/>
                <w:bCs/>
                <w:color w:val="000000"/>
                <w:sz w:val="20"/>
                <w:szCs w:val="20"/>
                <w:lang w:eastAsia="cs-CZ"/>
              </w:rPr>
              <w:t xml:space="preserve">Výsledek hospodaření </w:t>
            </w:r>
            <w:r w:rsidR="00626C4B" w:rsidRPr="00E76F52">
              <w:rPr>
                <w:rFonts w:ascii="Calibri" w:eastAsia="Times New Roman" w:hAnsi="Calibri" w:cs="Calibri"/>
                <w:b/>
                <w:bCs/>
                <w:color w:val="000000"/>
                <w:sz w:val="20"/>
                <w:szCs w:val="20"/>
                <w:lang w:eastAsia="cs-CZ"/>
              </w:rPr>
              <w:t>běžného účetního období</w:t>
            </w:r>
          </w:p>
        </w:tc>
      </w:tr>
      <w:tr w:rsidR="00692DC0" w:rsidRPr="00E76F52" w:rsidTr="00E76F52">
        <w:trPr>
          <w:trHeight w:val="227"/>
        </w:trPr>
        <w:tc>
          <w:tcPr>
            <w:tcW w:w="2369" w:type="dxa"/>
            <w:tcBorders>
              <w:top w:val="nil"/>
              <w:left w:val="single" w:sz="8" w:space="0" w:color="auto"/>
              <w:bottom w:val="single" w:sz="8" w:space="0" w:color="auto"/>
              <w:right w:val="single" w:sz="8" w:space="0" w:color="auto"/>
            </w:tcBorders>
            <w:shd w:val="clear" w:color="auto" w:fill="auto"/>
            <w:noWrap/>
            <w:vAlign w:val="center"/>
            <w:hideMark/>
          </w:tcPr>
          <w:p w:rsidR="00692DC0" w:rsidRPr="00E76F52" w:rsidRDefault="00692DC0" w:rsidP="00E76F52">
            <w:pPr>
              <w:spacing w:after="0" w:line="240" w:lineRule="auto"/>
              <w:ind w:right="157"/>
              <w:jc w:val="right"/>
              <w:rPr>
                <w:rFonts w:ascii="Calibri" w:eastAsia="Times New Roman" w:hAnsi="Calibri" w:cs="Calibri"/>
                <w:color w:val="000000"/>
                <w:sz w:val="20"/>
                <w:szCs w:val="20"/>
                <w:lang w:eastAsia="cs-CZ"/>
              </w:rPr>
            </w:pPr>
            <w:r w:rsidRPr="00E76F52">
              <w:rPr>
                <w:rFonts w:ascii="Calibri" w:eastAsia="Times New Roman" w:hAnsi="Calibri" w:cs="Calibri"/>
                <w:color w:val="000000"/>
                <w:sz w:val="20"/>
                <w:szCs w:val="20"/>
                <w:lang w:eastAsia="cs-CZ"/>
              </w:rPr>
              <w:t>19 877 215 901,99</w:t>
            </w:r>
          </w:p>
        </w:tc>
        <w:tc>
          <w:tcPr>
            <w:tcW w:w="2369" w:type="dxa"/>
            <w:tcBorders>
              <w:top w:val="nil"/>
              <w:left w:val="nil"/>
              <w:bottom w:val="single" w:sz="8" w:space="0" w:color="auto"/>
              <w:right w:val="single" w:sz="8" w:space="0" w:color="auto"/>
            </w:tcBorders>
            <w:shd w:val="clear" w:color="auto" w:fill="auto"/>
            <w:vAlign w:val="center"/>
            <w:hideMark/>
          </w:tcPr>
          <w:p w:rsidR="00692DC0" w:rsidRPr="00E76F52" w:rsidRDefault="00692DC0" w:rsidP="00E76F52">
            <w:pPr>
              <w:spacing w:after="0" w:line="240" w:lineRule="auto"/>
              <w:ind w:right="157"/>
              <w:jc w:val="right"/>
              <w:rPr>
                <w:rFonts w:ascii="Calibri" w:eastAsia="Times New Roman" w:hAnsi="Calibri" w:cs="Calibri"/>
                <w:color w:val="000000"/>
                <w:sz w:val="20"/>
                <w:szCs w:val="20"/>
                <w:lang w:eastAsia="cs-CZ"/>
              </w:rPr>
            </w:pPr>
            <w:r w:rsidRPr="00E76F52">
              <w:rPr>
                <w:rFonts w:ascii="Calibri" w:eastAsia="Times New Roman" w:hAnsi="Calibri" w:cs="Calibri"/>
                <w:color w:val="000000"/>
                <w:sz w:val="20"/>
                <w:szCs w:val="20"/>
                <w:lang w:eastAsia="cs-CZ"/>
              </w:rPr>
              <w:t>17 712 618 541,67</w:t>
            </w:r>
          </w:p>
        </w:tc>
        <w:tc>
          <w:tcPr>
            <w:tcW w:w="4349" w:type="dxa"/>
            <w:tcBorders>
              <w:top w:val="nil"/>
              <w:left w:val="nil"/>
              <w:bottom w:val="single" w:sz="8" w:space="0" w:color="auto"/>
              <w:right w:val="single" w:sz="8" w:space="0" w:color="auto"/>
            </w:tcBorders>
            <w:shd w:val="clear" w:color="auto" w:fill="auto"/>
            <w:vAlign w:val="center"/>
            <w:hideMark/>
          </w:tcPr>
          <w:p w:rsidR="00692DC0" w:rsidRPr="00E76F52" w:rsidRDefault="008C0950" w:rsidP="00E76F52">
            <w:pPr>
              <w:spacing w:after="0" w:line="240" w:lineRule="auto"/>
              <w:ind w:right="157"/>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sym w:font="Symbol" w:char="F02D"/>
            </w:r>
            <w:r w:rsidR="00692DC0" w:rsidRPr="00E76F52">
              <w:rPr>
                <w:rFonts w:ascii="Calibri" w:eastAsia="Times New Roman" w:hAnsi="Calibri" w:cs="Calibri"/>
                <w:color w:val="000000"/>
                <w:sz w:val="20"/>
                <w:szCs w:val="20"/>
                <w:lang w:eastAsia="cs-CZ"/>
              </w:rPr>
              <w:t>2 164 597 360,32</w:t>
            </w:r>
          </w:p>
        </w:tc>
      </w:tr>
    </w:tbl>
    <w:p w:rsidR="00692DC0" w:rsidRPr="00F54ED4" w:rsidRDefault="00692DC0" w:rsidP="00F54ED4">
      <w:pPr>
        <w:pStyle w:val="NormlnKZ"/>
        <w:spacing w:after="0"/>
        <w:ind w:firstLine="0"/>
        <w:rPr>
          <w:rFonts w:asciiTheme="minorHAnsi" w:hAnsiTheme="minorHAnsi" w:cstheme="minorHAnsi"/>
          <w:szCs w:val="22"/>
        </w:rPr>
      </w:pPr>
      <w:r w:rsidRPr="00F54ED4">
        <w:rPr>
          <w:rFonts w:asciiTheme="minorHAnsi" w:hAnsiTheme="minorHAnsi" w:cstheme="minorHAnsi"/>
          <w:b/>
          <w:sz w:val="18"/>
          <w:szCs w:val="18"/>
        </w:rPr>
        <w:t>Zdroj:</w:t>
      </w:r>
      <w:r w:rsidRPr="00F54ED4">
        <w:rPr>
          <w:rFonts w:asciiTheme="minorHAnsi" w:hAnsiTheme="minorHAnsi" w:cstheme="minorHAnsi"/>
          <w:sz w:val="18"/>
          <w:szCs w:val="18"/>
        </w:rPr>
        <w:t xml:space="preserve"> účetní závěrka MŽP k 31. prosinci 2013.</w:t>
      </w:r>
    </w:p>
    <w:p w:rsidR="00B33461" w:rsidRPr="00B33461" w:rsidRDefault="00B33461" w:rsidP="00B33461">
      <w:pPr>
        <w:spacing w:after="0" w:line="240" w:lineRule="auto"/>
        <w:jc w:val="both"/>
        <w:rPr>
          <w:rFonts w:ascii="Calibri" w:hAnsi="Calibri" w:cs="Calibri"/>
          <w:sz w:val="24"/>
          <w:szCs w:val="24"/>
        </w:rPr>
      </w:pPr>
    </w:p>
    <w:p w:rsidR="00EA7FD9" w:rsidRPr="00B33461" w:rsidRDefault="00EA7FD9" w:rsidP="00B33461">
      <w:pPr>
        <w:tabs>
          <w:tab w:val="right" w:pos="9072"/>
        </w:tabs>
        <w:spacing w:after="40" w:line="240" w:lineRule="auto"/>
        <w:ind w:left="1622" w:hanging="1622"/>
        <w:rPr>
          <w:rFonts w:ascii="Calibri" w:hAnsi="Calibri" w:cs="Calibri"/>
          <w:b/>
          <w:color w:val="000000"/>
          <w:sz w:val="24"/>
          <w:szCs w:val="24"/>
        </w:rPr>
      </w:pPr>
      <w:r w:rsidRPr="00B33461">
        <w:rPr>
          <w:rFonts w:ascii="Calibri" w:hAnsi="Calibri" w:cs="Calibri"/>
          <w:b/>
          <w:color w:val="000000"/>
          <w:sz w:val="24"/>
          <w:szCs w:val="24"/>
        </w:rPr>
        <w:t>Tabulka č. 4 –</w:t>
      </w:r>
      <w:r w:rsidR="00C85C45" w:rsidRPr="00B33461">
        <w:rPr>
          <w:rFonts w:ascii="Calibri" w:hAnsi="Calibri" w:cs="Calibri"/>
          <w:b/>
          <w:color w:val="000000"/>
          <w:sz w:val="24"/>
          <w:szCs w:val="24"/>
        </w:rPr>
        <w:t xml:space="preserve"> </w:t>
      </w:r>
      <w:r w:rsidRPr="00B33461">
        <w:rPr>
          <w:rFonts w:ascii="Calibri" w:hAnsi="Calibri" w:cs="Calibri"/>
          <w:b/>
          <w:color w:val="000000"/>
          <w:sz w:val="24"/>
          <w:szCs w:val="24"/>
        </w:rPr>
        <w:t>Vybrané údaje za běžné období z</w:t>
      </w:r>
      <w:r w:rsidR="007405FC" w:rsidRPr="00B33461">
        <w:rPr>
          <w:rFonts w:ascii="Calibri" w:hAnsi="Calibri" w:cs="Calibri"/>
          <w:b/>
          <w:color w:val="000000"/>
          <w:sz w:val="24"/>
          <w:szCs w:val="24"/>
        </w:rPr>
        <w:t xml:space="preserve"> </w:t>
      </w:r>
      <w:r w:rsidR="008C0950">
        <w:rPr>
          <w:rFonts w:ascii="Calibri" w:hAnsi="Calibri" w:cs="Calibri"/>
          <w:b/>
          <w:color w:val="000000"/>
          <w:sz w:val="24"/>
          <w:szCs w:val="24"/>
        </w:rPr>
        <w:t>p</w:t>
      </w:r>
      <w:r w:rsidRPr="00B33461">
        <w:rPr>
          <w:rFonts w:ascii="Calibri" w:hAnsi="Calibri" w:cs="Calibri"/>
          <w:b/>
          <w:color w:val="000000"/>
          <w:sz w:val="24"/>
          <w:szCs w:val="24"/>
        </w:rPr>
        <w:t xml:space="preserve">řílohy </w:t>
      </w:r>
      <w:r w:rsidR="00977C3D" w:rsidRPr="00B33461">
        <w:rPr>
          <w:rFonts w:ascii="Calibri" w:hAnsi="Calibri" w:cs="Calibri"/>
          <w:b/>
          <w:color w:val="000000"/>
          <w:sz w:val="24"/>
          <w:szCs w:val="24"/>
        </w:rPr>
        <w:t xml:space="preserve">ÚZ </w:t>
      </w:r>
      <w:r w:rsidRPr="00B33461">
        <w:rPr>
          <w:rFonts w:ascii="Calibri" w:hAnsi="Calibri" w:cs="Calibri"/>
          <w:b/>
          <w:color w:val="000000"/>
          <w:sz w:val="24"/>
          <w:szCs w:val="24"/>
        </w:rPr>
        <w:t>k</w:t>
      </w:r>
      <w:r w:rsidR="007405FC" w:rsidRPr="00B33461">
        <w:rPr>
          <w:rFonts w:ascii="Calibri" w:hAnsi="Calibri" w:cs="Calibri"/>
          <w:b/>
          <w:color w:val="000000"/>
          <w:sz w:val="24"/>
          <w:szCs w:val="24"/>
        </w:rPr>
        <w:t xml:space="preserve"> </w:t>
      </w:r>
      <w:r w:rsidRPr="00B33461">
        <w:rPr>
          <w:rFonts w:ascii="Calibri" w:hAnsi="Calibri" w:cs="Calibri"/>
          <w:b/>
          <w:color w:val="000000"/>
          <w:sz w:val="24"/>
          <w:szCs w:val="24"/>
        </w:rPr>
        <w:t xml:space="preserve">31. prosinci 2013, část </w:t>
      </w:r>
      <w:proofErr w:type="gramStart"/>
      <w:r w:rsidRPr="00B33461">
        <w:rPr>
          <w:rFonts w:ascii="Calibri" w:hAnsi="Calibri" w:cs="Calibri"/>
          <w:b/>
          <w:color w:val="000000"/>
          <w:sz w:val="24"/>
          <w:szCs w:val="24"/>
        </w:rPr>
        <w:t>A.4</w:t>
      </w:r>
      <w:r w:rsidR="00116D25" w:rsidRPr="00B33461">
        <w:rPr>
          <w:rFonts w:ascii="Calibri" w:hAnsi="Calibri" w:cs="Calibri"/>
          <w:b/>
          <w:color w:val="000000"/>
          <w:sz w:val="24"/>
          <w:szCs w:val="24"/>
        </w:rPr>
        <w:tab/>
      </w:r>
      <w:r w:rsidR="00B94E38" w:rsidRPr="00B33461">
        <w:rPr>
          <w:rFonts w:ascii="Calibri" w:hAnsi="Calibri" w:cs="Calibri"/>
          <w:b/>
          <w:color w:val="000000"/>
          <w:sz w:val="24"/>
          <w:szCs w:val="24"/>
        </w:rPr>
        <w:t>(v Kč</w:t>
      </w:r>
      <w:proofErr w:type="gramEnd"/>
      <w:r w:rsidR="00B94E38" w:rsidRPr="00B33461">
        <w:rPr>
          <w:rFonts w:ascii="Calibri" w:hAnsi="Calibri" w:cs="Calibri"/>
          <w:b/>
          <w:color w:val="000000"/>
          <w:sz w:val="24"/>
          <w:szCs w:val="24"/>
        </w:rPr>
        <w:t>)</w:t>
      </w:r>
    </w:p>
    <w:tbl>
      <w:tblPr>
        <w:tblW w:w="9087" w:type="dxa"/>
        <w:tblInd w:w="55" w:type="dxa"/>
        <w:tblCellMar>
          <w:left w:w="70" w:type="dxa"/>
          <w:right w:w="70" w:type="dxa"/>
        </w:tblCellMar>
        <w:tblLook w:val="04A0" w:firstRow="1" w:lastRow="0" w:firstColumn="1" w:lastColumn="0" w:noHBand="0" w:noVBand="1"/>
      </w:tblPr>
      <w:tblGrid>
        <w:gridCol w:w="5969"/>
        <w:gridCol w:w="3118"/>
      </w:tblGrid>
      <w:tr w:rsidR="00B94E38" w:rsidRPr="00E76F52" w:rsidTr="00E76F52">
        <w:trPr>
          <w:trHeight w:val="227"/>
        </w:trPr>
        <w:tc>
          <w:tcPr>
            <w:tcW w:w="5969"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rsidR="00B94E38" w:rsidRPr="00E76F52" w:rsidRDefault="00B94E38" w:rsidP="00E76F52">
            <w:pPr>
              <w:spacing w:after="0" w:line="240" w:lineRule="auto"/>
              <w:jc w:val="center"/>
              <w:rPr>
                <w:rFonts w:ascii="Calibri" w:eastAsia="Times New Roman" w:hAnsi="Calibri" w:cs="Calibri"/>
                <w:b/>
                <w:bCs/>
                <w:color w:val="000000"/>
                <w:sz w:val="20"/>
                <w:szCs w:val="20"/>
                <w:lang w:eastAsia="cs-CZ"/>
              </w:rPr>
            </w:pPr>
            <w:r w:rsidRPr="00E76F52">
              <w:rPr>
                <w:rFonts w:ascii="Calibri" w:eastAsia="Times New Roman" w:hAnsi="Calibri" w:cs="Calibri"/>
                <w:b/>
                <w:bCs/>
                <w:color w:val="000000"/>
                <w:sz w:val="20"/>
                <w:szCs w:val="20"/>
                <w:lang w:eastAsia="cs-CZ"/>
              </w:rPr>
              <w:t>Podrozvahové účty</w:t>
            </w:r>
          </w:p>
        </w:tc>
        <w:tc>
          <w:tcPr>
            <w:tcW w:w="3118" w:type="dxa"/>
            <w:tcBorders>
              <w:top w:val="single" w:sz="8" w:space="0" w:color="auto"/>
              <w:left w:val="nil"/>
              <w:bottom w:val="single" w:sz="8" w:space="0" w:color="auto"/>
              <w:right w:val="single" w:sz="8" w:space="0" w:color="auto"/>
            </w:tcBorders>
            <w:shd w:val="clear" w:color="000000" w:fill="F2DCDB"/>
            <w:noWrap/>
            <w:vAlign w:val="center"/>
            <w:hideMark/>
          </w:tcPr>
          <w:p w:rsidR="00B94E38" w:rsidRPr="00E76F52" w:rsidRDefault="00B94E38" w:rsidP="00E76F52">
            <w:pPr>
              <w:spacing w:after="0" w:line="240" w:lineRule="auto"/>
              <w:jc w:val="center"/>
              <w:rPr>
                <w:rFonts w:ascii="Calibri" w:eastAsia="Times New Roman" w:hAnsi="Calibri" w:cs="Calibri"/>
                <w:b/>
                <w:bCs/>
                <w:color w:val="000000"/>
                <w:sz w:val="20"/>
                <w:szCs w:val="20"/>
                <w:lang w:eastAsia="cs-CZ"/>
              </w:rPr>
            </w:pPr>
            <w:r w:rsidRPr="00E76F52">
              <w:rPr>
                <w:rFonts w:ascii="Calibri" w:eastAsia="Times New Roman" w:hAnsi="Calibri" w:cs="Calibri"/>
                <w:b/>
                <w:bCs/>
                <w:color w:val="000000"/>
                <w:sz w:val="20"/>
                <w:szCs w:val="20"/>
                <w:lang w:eastAsia="cs-CZ"/>
              </w:rPr>
              <w:t>Účetní hodnota</w:t>
            </w:r>
          </w:p>
        </w:tc>
      </w:tr>
      <w:tr w:rsidR="00B94E38" w:rsidRPr="00E76F52" w:rsidTr="00E76F52">
        <w:trPr>
          <w:trHeight w:val="227"/>
        </w:trPr>
        <w:tc>
          <w:tcPr>
            <w:tcW w:w="5969" w:type="dxa"/>
            <w:tcBorders>
              <w:top w:val="nil"/>
              <w:left w:val="single" w:sz="8" w:space="0" w:color="auto"/>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rPr>
                <w:rFonts w:ascii="Calibri" w:eastAsia="Times New Roman" w:hAnsi="Calibri" w:cs="Calibri"/>
                <w:color w:val="000000"/>
                <w:sz w:val="20"/>
                <w:szCs w:val="20"/>
                <w:lang w:eastAsia="cs-CZ"/>
              </w:rPr>
            </w:pPr>
            <w:proofErr w:type="gramStart"/>
            <w:r w:rsidRPr="00E76F52">
              <w:rPr>
                <w:rFonts w:ascii="Calibri" w:eastAsia="Times New Roman" w:hAnsi="Calibri" w:cs="Calibri"/>
                <w:color w:val="000000"/>
                <w:sz w:val="20"/>
                <w:szCs w:val="20"/>
                <w:lang w:eastAsia="cs-CZ"/>
              </w:rPr>
              <w:t>P.I.</w:t>
            </w:r>
            <w:proofErr w:type="gramEnd"/>
            <w:r w:rsidRPr="00E76F52">
              <w:rPr>
                <w:rFonts w:ascii="Calibri" w:eastAsia="Times New Roman" w:hAnsi="Calibri" w:cs="Calibri"/>
                <w:color w:val="000000"/>
                <w:sz w:val="20"/>
                <w:szCs w:val="20"/>
                <w:lang w:eastAsia="cs-CZ"/>
              </w:rPr>
              <w:t xml:space="preserve"> Majetek účetní jednotky</w:t>
            </w:r>
          </w:p>
        </w:tc>
        <w:tc>
          <w:tcPr>
            <w:tcW w:w="3118" w:type="dxa"/>
            <w:tcBorders>
              <w:top w:val="nil"/>
              <w:left w:val="nil"/>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ind w:right="213"/>
              <w:jc w:val="right"/>
              <w:rPr>
                <w:rFonts w:ascii="Calibri" w:eastAsia="Times New Roman" w:hAnsi="Calibri" w:cs="Calibri"/>
                <w:color w:val="000000"/>
                <w:sz w:val="20"/>
                <w:szCs w:val="20"/>
                <w:lang w:eastAsia="cs-CZ"/>
              </w:rPr>
            </w:pPr>
            <w:r w:rsidRPr="00E76F52">
              <w:rPr>
                <w:rFonts w:ascii="Calibri" w:eastAsia="Times New Roman" w:hAnsi="Calibri" w:cs="Calibri"/>
                <w:color w:val="000000"/>
                <w:sz w:val="20"/>
                <w:szCs w:val="20"/>
                <w:lang w:eastAsia="cs-CZ"/>
              </w:rPr>
              <w:t>1 217 859,00</w:t>
            </w:r>
          </w:p>
        </w:tc>
      </w:tr>
      <w:tr w:rsidR="00B94E38" w:rsidRPr="00E76F52" w:rsidTr="00E76F52">
        <w:trPr>
          <w:trHeight w:val="227"/>
        </w:trPr>
        <w:tc>
          <w:tcPr>
            <w:tcW w:w="5969" w:type="dxa"/>
            <w:tcBorders>
              <w:top w:val="nil"/>
              <w:left w:val="single" w:sz="8" w:space="0" w:color="auto"/>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rPr>
                <w:rFonts w:ascii="Calibri" w:eastAsia="Times New Roman" w:hAnsi="Calibri" w:cs="Calibri"/>
                <w:color w:val="000000"/>
                <w:sz w:val="20"/>
                <w:szCs w:val="20"/>
                <w:lang w:eastAsia="cs-CZ"/>
              </w:rPr>
            </w:pPr>
            <w:proofErr w:type="gramStart"/>
            <w:r w:rsidRPr="00E76F52">
              <w:rPr>
                <w:rFonts w:ascii="Calibri" w:eastAsia="Times New Roman" w:hAnsi="Calibri" w:cs="Calibri"/>
                <w:color w:val="000000"/>
                <w:sz w:val="20"/>
                <w:szCs w:val="20"/>
                <w:lang w:eastAsia="cs-CZ"/>
              </w:rPr>
              <w:t>P.II</w:t>
            </w:r>
            <w:proofErr w:type="gramEnd"/>
            <w:r w:rsidRPr="00E76F52">
              <w:rPr>
                <w:rFonts w:ascii="Calibri" w:eastAsia="Times New Roman" w:hAnsi="Calibri" w:cs="Calibri"/>
                <w:color w:val="000000"/>
                <w:sz w:val="20"/>
                <w:szCs w:val="20"/>
                <w:lang w:eastAsia="cs-CZ"/>
              </w:rPr>
              <w:t>. Vyřazené pohledávky a závazky</w:t>
            </w:r>
          </w:p>
        </w:tc>
        <w:tc>
          <w:tcPr>
            <w:tcW w:w="3118" w:type="dxa"/>
            <w:tcBorders>
              <w:top w:val="nil"/>
              <w:left w:val="nil"/>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ind w:right="213"/>
              <w:jc w:val="right"/>
              <w:rPr>
                <w:rFonts w:ascii="Calibri" w:eastAsia="Times New Roman" w:hAnsi="Calibri" w:cs="Calibri"/>
                <w:color w:val="000000"/>
                <w:sz w:val="20"/>
                <w:szCs w:val="20"/>
                <w:lang w:eastAsia="cs-CZ"/>
              </w:rPr>
            </w:pPr>
            <w:r w:rsidRPr="00E76F52">
              <w:rPr>
                <w:rFonts w:ascii="Calibri" w:eastAsia="Times New Roman" w:hAnsi="Calibri" w:cs="Calibri"/>
                <w:color w:val="000000"/>
                <w:sz w:val="20"/>
                <w:szCs w:val="20"/>
                <w:lang w:eastAsia="cs-CZ"/>
              </w:rPr>
              <w:t>2 700 000,00</w:t>
            </w:r>
          </w:p>
        </w:tc>
      </w:tr>
      <w:tr w:rsidR="00B94E38" w:rsidRPr="00E76F52" w:rsidTr="00E76F52">
        <w:trPr>
          <w:trHeight w:val="227"/>
        </w:trPr>
        <w:tc>
          <w:tcPr>
            <w:tcW w:w="5969" w:type="dxa"/>
            <w:tcBorders>
              <w:top w:val="nil"/>
              <w:left w:val="single" w:sz="8" w:space="0" w:color="auto"/>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rPr>
                <w:rFonts w:ascii="Calibri" w:eastAsia="Times New Roman" w:hAnsi="Calibri" w:cs="Calibri"/>
                <w:color w:val="000000"/>
                <w:sz w:val="20"/>
                <w:szCs w:val="20"/>
                <w:lang w:eastAsia="cs-CZ"/>
              </w:rPr>
            </w:pPr>
            <w:proofErr w:type="gramStart"/>
            <w:r w:rsidRPr="00E76F52">
              <w:rPr>
                <w:rFonts w:ascii="Calibri" w:eastAsia="Times New Roman" w:hAnsi="Calibri" w:cs="Calibri"/>
                <w:color w:val="000000"/>
                <w:sz w:val="20"/>
                <w:szCs w:val="20"/>
                <w:lang w:eastAsia="cs-CZ"/>
              </w:rPr>
              <w:t>P.III</w:t>
            </w:r>
            <w:proofErr w:type="gramEnd"/>
            <w:r w:rsidRPr="00E76F52">
              <w:rPr>
                <w:rFonts w:ascii="Calibri" w:eastAsia="Times New Roman" w:hAnsi="Calibri" w:cs="Calibri"/>
                <w:color w:val="000000"/>
                <w:sz w:val="20"/>
                <w:szCs w:val="20"/>
                <w:lang w:eastAsia="cs-CZ"/>
              </w:rPr>
              <w:t>. Podmíněné pohledávky z důvodu užívání majetku jinou osobou</w:t>
            </w:r>
          </w:p>
        </w:tc>
        <w:tc>
          <w:tcPr>
            <w:tcW w:w="3118" w:type="dxa"/>
            <w:tcBorders>
              <w:top w:val="nil"/>
              <w:left w:val="nil"/>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ind w:right="213"/>
              <w:jc w:val="right"/>
              <w:rPr>
                <w:rFonts w:ascii="Calibri" w:eastAsia="Times New Roman" w:hAnsi="Calibri" w:cs="Calibri"/>
                <w:color w:val="000000"/>
                <w:sz w:val="20"/>
                <w:szCs w:val="20"/>
                <w:lang w:eastAsia="cs-CZ"/>
              </w:rPr>
            </w:pPr>
            <w:r w:rsidRPr="00E76F52">
              <w:rPr>
                <w:rFonts w:ascii="Calibri" w:eastAsia="Times New Roman" w:hAnsi="Calibri" w:cs="Calibri"/>
                <w:color w:val="000000"/>
                <w:sz w:val="20"/>
                <w:szCs w:val="20"/>
                <w:lang w:eastAsia="cs-CZ"/>
              </w:rPr>
              <w:t>424 744,00</w:t>
            </w:r>
          </w:p>
        </w:tc>
      </w:tr>
      <w:tr w:rsidR="00B94E38" w:rsidRPr="00E76F52" w:rsidTr="00E76F52">
        <w:trPr>
          <w:trHeight w:val="227"/>
        </w:trPr>
        <w:tc>
          <w:tcPr>
            <w:tcW w:w="5969" w:type="dxa"/>
            <w:tcBorders>
              <w:top w:val="nil"/>
              <w:left w:val="single" w:sz="8" w:space="0" w:color="auto"/>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rPr>
                <w:rFonts w:ascii="Calibri" w:eastAsia="Times New Roman" w:hAnsi="Calibri" w:cs="Calibri"/>
                <w:color w:val="000000"/>
                <w:sz w:val="20"/>
                <w:szCs w:val="20"/>
                <w:lang w:eastAsia="cs-CZ"/>
              </w:rPr>
            </w:pPr>
            <w:proofErr w:type="gramStart"/>
            <w:r w:rsidRPr="00E76F52">
              <w:rPr>
                <w:rFonts w:ascii="Calibri" w:eastAsia="Times New Roman" w:hAnsi="Calibri" w:cs="Calibri"/>
                <w:color w:val="000000"/>
                <w:sz w:val="20"/>
                <w:szCs w:val="20"/>
                <w:lang w:eastAsia="cs-CZ"/>
              </w:rPr>
              <w:t>P.IV</w:t>
            </w:r>
            <w:proofErr w:type="gramEnd"/>
            <w:r w:rsidRPr="00E76F52">
              <w:rPr>
                <w:rFonts w:ascii="Calibri" w:eastAsia="Times New Roman" w:hAnsi="Calibri" w:cs="Calibri"/>
                <w:color w:val="000000"/>
                <w:sz w:val="20"/>
                <w:szCs w:val="20"/>
                <w:lang w:eastAsia="cs-CZ"/>
              </w:rPr>
              <w:t>. Další podmíněné pohledávky a ostatní podmíněná aktiva</w:t>
            </w:r>
          </w:p>
        </w:tc>
        <w:tc>
          <w:tcPr>
            <w:tcW w:w="3118" w:type="dxa"/>
            <w:tcBorders>
              <w:top w:val="nil"/>
              <w:left w:val="nil"/>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ind w:right="213"/>
              <w:jc w:val="right"/>
              <w:rPr>
                <w:rFonts w:ascii="Calibri" w:eastAsia="Times New Roman" w:hAnsi="Calibri" w:cs="Calibri"/>
                <w:color w:val="000000"/>
                <w:sz w:val="20"/>
                <w:szCs w:val="20"/>
                <w:lang w:eastAsia="cs-CZ"/>
              </w:rPr>
            </w:pPr>
            <w:r w:rsidRPr="00E76F52">
              <w:rPr>
                <w:rFonts w:ascii="Calibri" w:eastAsia="Times New Roman" w:hAnsi="Calibri" w:cs="Calibri"/>
                <w:color w:val="000000"/>
                <w:sz w:val="20"/>
                <w:szCs w:val="20"/>
                <w:lang w:eastAsia="cs-CZ"/>
              </w:rPr>
              <w:t>2 860 100,40</w:t>
            </w:r>
          </w:p>
        </w:tc>
      </w:tr>
      <w:tr w:rsidR="00B94E38" w:rsidRPr="00E76F52" w:rsidTr="00E76F52">
        <w:trPr>
          <w:trHeight w:val="227"/>
        </w:trPr>
        <w:tc>
          <w:tcPr>
            <w:tcW w:w="5969" w:type="dxa"/>
            <w:tcBorders>
              <w:top w:val="nil"/>
              <w:left w:val="single" w:sz="8" w:space="0" w:color="auto"/>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rPr>
                <w:rFonts w:ascii="Calibri" w:eastAsia="Times New Roman" w:hAnsi="Calibri" w:cs="Calibri"/>
                <w:color w:val="000000"/>
                <w:sz w:val="20"/>
                <w:szCs w:val="20"/>
                <w:lang w:eastAsia="cs-CZ"/>
              </w:rPr>
            </w:pPr>
            <w:proofErr w:type="gramStart"/>
            <w:r w:rsidRPr="00E76F52">
              <w:rPr>
                <w:rFonts w:ascii="Calibri" w:eastAsia="Times New Roman" w:hAnsi="Calibri" w:cs="Calibri"/>
                <w:color w:val="000000"/>
                <w:sz w:val="20"/>
                <w:szCs w:val="20"/>
                <w:lang w:eastAsia="cs-CZ"/>
              </w:rPr>
              <w:t>P.V.</w:t>
            </w:r>
            <w:proofErr w:type="gramEnd"/>
            <w:r w:rsidRPr="00E76F52">
              <w:rPr>
                <w:rFonts w:ascii="Calibri" w:eastAsia="Times New Roman" w:hAnsi="Calibri" w:cs="Calibri"/>
                <w:color w:val="000000"/>
                <w:sz w:val="20"/>
                <w:szCs w:val="20"/>
                <w:lang w:eastAsia="cs-CZ"/>
              </w:rPr>
              <w:t xml:space="preserve"> Podmíněné závazky z důvodu užívání cizího majetku</w:t>
            </w:r>
          </w:p>
        </w:tc>
        <w:tc>
          <w:tcPr>
            <w:tcW w:w="3118" w:type="dxa"/>
            <w:tcBorders>
              <w:top w:val="nil"/>
              <w:left w:val="nil"/>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ind w:right="213"/>
              <w:jc w:val="right"/>
              <w:rPr>
                <w:rFonts w:ascii="Calibri" w:eastAsia="Times New Roman" w:hAnsi="Calibri" w:cs="Calibri"/>
                <w:color w:val="000000"/>
                <w:sz w:val="20"/>
                <w:szCs w:val="20"/>
                <w:lang w:eastAsia="cs-CZ"/>
              </w:rPr>
            </w:pPr>
            <w:r w:rsidRPr="00E76F52">
              <w:rPr>
                <w:rFonts w:ascii="Calibri" w:eastAsia="Times New Roman" w:hAnsi="Calibri" w:cs="Calibri"/>
                <w:color w:val="000000"/>
                <w:sz w:val="20"/>
                <w:szCs w:val="20"/>
                <w:lang w:eastAsia="cs-CZ"/>
              </w:rPr>
              <w:t>619 821,20</w:t>
            </w:r>
          </w:p>
        </w:tc>
      </w:tr>
      <w:tr w:rsidR="00B94E38" w:rsidRPr="00E76F52" w:rsidTr="00E76F52">
        <w:trPr>
          <w:trHeight w:val="227"/>
        </w:trPr>
        <w:tc>
          <w:tcPr>
            <w:tcW w:w="5969" w:type="dxa"/>
            <w:tcBorders>
              <w:top w:val="nil"/>
              <w:left w:val="single" w:sz="8" w:space="0" w:color="auto"/>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rPr>
                <w:rFonts w:ascii="Calibri" w:eastAsia="Times New Roman" w:hAnsi="Calibri" w:cs="Calibri"/>
                <w:color w:val="000000"/>
                <w:sz w:val="20"/>
                <w:szCs w:val="20"/>
                <w:lang w:eastAsia="cs-CZ"/>
              </w:rPr>
            </w:pPr>
            <w:proofErr w:type="gramStart"/>
            <w:r w:rsidRPr="00E76F52">
              <w:rPr>
                <w:rFonts w:ascii="Calibri" w:eastAsia="Times New Roman" w:hAnsi="Calibri" w:cs="Calibri"/>
                <w:color w:val="000000"/>
                <w:sz w:val="20"/>
                <w:szCs w:val="20"/>
                <w:lang w:eastAsia="cs-CZ"/>
              </w:rPr>
              <w:t>P.VI</w:t>
            </w:r>
            <w:proofErr w:type="gramEnd"/>
            <w:r w:rsidRPr="00E76F52">
              <w:rPr>
                <w:rFonts w:ascii="Calibri" w:eastAsia="Times New Roman" w:hAnsi="Calibri" w:cs="Calibri"/>
                <w:color w:val="000000"/>
                <w:sz w:val="20"/>
                <w:szCs w:val="20"/>
                <w:lang w:eastAsia="cs-CZ"/>
              </w:rPr>
              <w:t>. Další podmíněné závazky a ostatní podmíněná pasiva</w:t>
            </w:r>
          </w:p>
        </w:tc>
        <w:tc>
          <w:tcPr>
            <w:tcW w:w="3118" w:type="dxa"/>
            <w:tcBorders>
              <w:top w:val="nil"/>
              <w:left w:val="nil"/>
              <w:bottom w:val="single" w:sz="8" w:space="0" w:color="auto"/>
              <w:right w:val="single" w:sz="8" w:space="0" w:color="auto"/>
            </w:tcBorders>
            <w:shd w:val="clear" w:color="auto" w:fill="auto"/>
            <w:vAlign w:val="center"/>
            <w:hideMark/>
          </w:tcPr>
          <w:p w:rsidR="00B94E38" w:rsidRPr="00E76F52" w:rsidRDefault="00B94E38" w:rsidP="00E76F52">
            <w:pPr>
              <w:spacing w:after="0" w:line="240" w:lineRule="auto"/>
              <w:ind w:right="213"/>
              <w:jc w:val="right"/>
              <w:rPr>
                <w:rFonts w:ascii="Calibri" w:eastAsia="Times New Roman" w:hAnsi="Calibri" w:cs="Calibri"/>
                <w:color w:val="000000"/>
                <w:sz w:val="20"/>
                <w:szCs w:val="20"/>
                <w:lang w:eastAsia="cs-CZ"/>
              </w:rPr>
            </w:pPr>
            <w:r w:rsidRPr="00E76F52">
              <w:rPr>
                <w:rFonts w:ascii="Calibri" w:eastAsia="Times New Roman" w:hAnsi="Calibri" w:cs="Calibri"/>
                <w:color w:val="000000"/>
                <w:sz w:val="20"/>
                <w:szCs w:val="20"/>
                <w:lang w:eastAsia="cs-CZ"/>
              </w:rPr>
              <w:t>10 659 541 097,96</w:t>
            </w:r>
          </w:p>
        </w:tc>
      </w:tr>
    </w:tbl>
    <w:p w:rsidR="00B94E38" w:rsidRPr="00E76F52" w:rsidRDefault="00B94E38" w:rsidP="00E76F52">
      <w:pPr>
        <w:pStyle w:val="NormlnKZ"/>
        <w:spacing w:before="40" w:after="0"/>
        <w:ind w:firstLine="0"/>
        <w:rPr>
          <w:rFonts w:ascii="Calibri" w:hAnsi="Calibri" w:cs="Calibri"/>
          <w:sz w:val="20"/>
          <w:szCs w:val="20"/>
        </w:rPr>
      </w:pPr>
      <w:r w:rsidRPr="00E76F52">
        <w:rPr>
          <w:rFonts w:ascii="Calibri" w:hAnsi="Calibri" w:cs="Calibri"/>
          <w:b/>
          <w:sz w:val="20"/>
          <w:szCs w:val="20"/>
        </w:rPr>
        <w:t>Zdroj:</w:t>
      </w:r>
      <w:r w:rsidRPr="00E76F52">
        <w:rPr>
          <w:rFonts w:ascii="Calibri" w:hAnsi="Calibri" w:cs="Calibri"/>
          <w:sz w:val="20"/>
          <w:szCs w:val="20"/>
        </w:rPr>
        <w:t xml:space="preserve"> účetní závěrka MŽP k 31. prosinci 2013.</w:t>
      </w:r>
    </w:p>
    <w:p w:rsidR="00B33461" w:rsidRPr="00B33461" w:rsidRDefault="00B33461" w:rsidP="00B33461">
      <w:pPr>
        <w:spacing w:after="0" w:line="240" w:lineRule="auto"/>
        <w:jc w:val="both"/>
        <w:rPr>
          <w:rFonts w:ascii="Calibri" w:hAnsi="Calibri" w:cs="Calibri"/>
          <w:sz w:val="24"/>
          <w:szCs w:val="24"/>
        </w:rPr>
      </w:pPr>
    </w:p>
    <w:p w:rsidR="00597476" w:rsidRPr="005416A5" w:rsidRDefault="00597476" w:rsidP="00E76F52">
      <w:pPr>
        <w:spacing w:after="0" w:line="240" w:lineRule="auto"/>
        <w:jc w:val="both"/>
        <w:rPr>
          <w:rFonts w:ascii="Calibri" w:hAnsi="Calibri" w:cs="Calibri"/>
          <w:b/>
          <w:sz w:val="24"/>
          <w:szCs w:val="24"/>
        </w:rPr>
      </w:pPr>
      <w:r w:rsidRPr="005416A5">
        <w:rPr>
          <w:rFonts w:ascii="Calibri" w:hAnsi="Calibri" w:cs="Calibri"/>
          <w:b/>
          <w:sz w:val="24"/>
          <w:szCs w:val="24"/>
        </w:rPr>
        <w:t xml:space="preserve">1.1 </w:t>
      </w:r>
      <w:r w:rsidR="0039596C" w:rsidRPr="005416A5">
        <w:rPr>
          <w:rFonts w:ascii="Calibri" w:hAnsi="Calibri" w:cs="Calibri"/>
          <w:b/>
          <w:sz w:val="24"/>
          <w:szCs w:val="24"/>
        </w:rPr>
        <w:t>Oblasti účetn</w:t>
      </w:r>
      <w:r w:rsidR="00BA10AF" w:rsidRPr="005416A5">
        <w:rPr>
          <w:rFonts w:ascii="Calibri" w:hAnsi="Calibri" w:cs="Calibri"/>
          <w:b/>
          <w:sz w:val="24"/>
          <w:szCs w:val="24"/>
        </w:rPr>
        <w:t>i</w:t>
      </w:r>
      <w:r w:rsidR="0039596C" w:rsidRPr="005416A5">
        <w:rPr>
          <w:rFonts w:ascii="Calibri" w:hAnsi="Calibri" w:cs="Calibri"/>
          <w:b/>
          <w:sz w:val="24"/>
          <w:szCs w:val="24"/>
        </w:rPr>
        <w:t>ctví</w:t>
      </w:r>
      <w:r w:rsidR="0019548F" w:rsidRPr="005416A5">
        <w:rPr>
          <w:rFonts w:ascii="Calibri" w:hAnsi="Calibri" w:cs="Calibri"/>
          <w:b/>
          <w:sz w:val="24"/>
          <w:szCs w:val="24"/>
        </w:rPr>
        <w:t xml:space="preserve"> a výkaznictví</w:t>
      </w:r>
      <w:r w:rsidR="0039596C" w:rsidRPr="005416A5">
        <w:rPr>
          <w:rFonts w:ascii="Calibri" w:hAnsi="Calibri" w:cs="Calibri"/>
          <w:b/>
          <w:sz w:val="24"/>
          <w:szCs w:val="24"/>
        </w:rPr>
        <w:t>, které nejsou jednoznačně upraveny právními předpisy</w:t>
      </w:r>
    </w:p>
    <w:p w:rsidR="007079F2" w:rsidRDefault="007079F2" w:rsidP="00E76F52">
      <w:pPr>
        <w:spacing w:after="0" w:line="240" w:lineRule="auto"/>
        <w:jc w:val="both"/>
        <w:rPr>
          <w:rFonts w:ascii="Calibri" w:hAnsi="Calibri" w:cs="Calibri"/>
          <w:sz w:val="24"/>
          <w:szCs w:val="24"/>
        </w:rPr>
      </w:pPr>
    </w:p>
    <w:p w:rsidR="00AB1A7F" w:rsidRDefault="003B2DF7" w:rsidP="00E76F52">
      <w:pPr>
        <w:spacing w:after="0" w:line="240" w:lineRule="auto"/>
        <w:jc w:val="both"/>
        <w:rPr>
          <w:rFonts w:ascii="Calibri" w:hAnsi="Calibri" w:cs="Calibri"/>
          <w:sz w:val="24"/>
          <w:szCs w:val="24"/>
        </w:rPr>
      </w:pPr>
      <w:r w:rsidRPr="00E76F52">
        <w:rPr>
          <w:rFonts w:ascii="Calibri" w:hAnsi="Calibri" w:cs="Calibri"/>
          <w:sz w:val="24"/>
          <w:szCs w:val="24"/>
        </w:rPr>
        <w:t>Novely právních předpisů upravující</w:t>
      </w:r>
      <w:r w:rsidR="006C1A4A" w:rsidRPr="00E76F52">
        <w:rPr>
          <w:rFonts w:ascii="Calibri" w:hAnsi="Calibri" w:cs="Calibri"/>
          <w:sz w:val="24"/>
          <w:szCs w:val="24"/>
        </w:rPr>
        <w:t>ch</w:t>
      </w:r>
      <w:r w:rsidRPr="00E76F52">
        <w:rPr>
          <w:rFonts w:ascii="Calibri" w:hAnsi="Calibri" w:cs="Calibri"/>
          <w:sz w:val="24"/>
          <w:szCs w:val="24"/>
        </w:rPr>
        <w:t xml:space="preserve"> účetnictví v</w:t>
      </w:r>
      <w:r w:rsidR="007405FC" w:rsidRPr="00E76F52">
        <w:rPr>
          <w:rFonts w:ascii="Calibri" w:hAnsi="Calibri" w:cs="Calibri"/>
          <w:sz w:val="24"/>
          <w:szCs w:val="24"/>
        </w:rPr>
        <w:t xml:space="preserve"> </w:t>
      </w:r>
      <w:r w:rsidRPr="00E76F52">
        <w:rPr>
          <w:rFonts w:ascii="Calibri" w:hAnsi="Calibri" w:cs="Calibri"/>
          <w:sz w:val="24"/>
          <w:szCs w:val="24"/>
        </w:rPr>
        <w:t>roce 2013 ani n</w:t>
      </w:r>
      <w:r w:rsidR="00682B85" w:rsidRPr="00E76F52">
        <w:rPr>
          <w:rFonts w:ascii="Calibri" w:hAnsi="Calibri" w:cs="Calibri"/>
          <w:sz w:val="24"/>
          <w:szCs w:val="24"/>
        </w:rPr>
        <w:t>ovelizace a vydání nových českých účetních</w:t>
      </w:r>
      <w:r w:rsidR="00076502" w:rsidRPr="00E76F52">
        <w:rPr>
          <w:rFonts w:ascii="Calibri" w:hAnsi="Calibri" w:cs="Calibri"/>
          <w:sz w:val="24"/>
          <w:szCs w:val="24"/>
        </w:rPr>
        <w:t xml:space="preserve"> standardů pro některé vybrané </w:t>
      </w:r>
      <w:r w:rsidR="00682B85" w:rsidRPr="00E76F52">
        <w:rPr>
          <w:rFonts w:ascii="Calibri" w:hAnsi="Calibri" w:cs="Calibri"/>
          <w:sz w:val="24"/>
          <w:szCs w:val="24"/>
        </w:rPr>
        <w:t xml:space="preserve">účetní jednotky (dále také „ČÚS“) </w:t>
      </w:r>
      <w:r w:rsidR="000E3AE3" w:rsidRPr="00E76F52">
        <w:rPr>
          <w:rFonts w:ascii="Calibri" w:hAnsi="Calibri" w:cs="Calibri"/>
          <w:sz w:val="24"/>
          <w:szCs w:val="24"/>
        </w:rPr>
        <w:t>neodstranily nejednoznačnosti a nejasnosti v</w:t>
      </w:r>
      <w:r w:rsidR="007405FC" w:rsidRPr="00E76F52">
        <w:rPr>
          <w:rFonts w:ascii="Calibri" w:hAnsi="Calibri" w:cs="Calibri"/>
          <w:sz w:val="24"/>
          <w:szCs w:val="24"/>
        </w:rPr>
        <w:t xml:space="preserve"> </w:t>
      </w:r>
      <w:r w:rsidR="000E3AE3" w:rsidRPr="00E76F52">
        <w:rPr>
          <w:rFonts w:ascii="Calibri" w:hAnsi="Calibri" w:cs="Calibri"/>
          <w:sz w:val="24"/>
          <w:szCs w:val="24"/>
        </w:rPr>
        <w:t>oblastech, na které NKÚ již dlouhodobě upozorňuje. J</w:t>
      </w:r>
      <w:r w:rsidR="00076502" w:rsidRPr="00E76F52">
        <w:rPr>
          <w:rFonts w:ascii="Calibri" w:hAnsi="Calibri" w:cs="Calibri"/>
          <w:sz w:val="24"/>
          <w:szCs w:val="24"/>
        </w:rPr>
        <w:t>edná</w:t>
      </w:r>
      <w:r w:rsidR="000E3AE3" w:rsidRPr="00E76F52">
        <w:rPr>
          <w:rFonts w:ascii="Calibri" w:hAnsi="Calibri" w:cs="Calibri"/>
          <w:sz w:val="24"/>
          <w:szCs w:val="24"/>
        </w:rPr>
        <w:t xml:space="preserve"> </w:t>
      </w:r>
      <w:r w:rsidR="00DD3473" w:rsidRPr="00E76F52">
        <w:rPr>
          <w:rFonts w:ascii="Calibri" w:hAnsi="Calibri" w:cs="Calibri"/>
          <w:sz w:val="24"/>
          <w:szCs w:val="24"/>
        </w:rPr>
        <w:t xml:space="preserve">se </w:t>
      </w:r>
      <w:r w:rsidR="000E3AE3" w:rsidRPr="00E76F52">
        <w:rPr>
          <w:rFonts w:ascii="Calibri" w:hAnsi="Calibri" w:cs="Calibri"/>
          <w:sz w:val="24"/>
          <w:szCs w:val="24"/>
        </w:rPr>
        <w:t>o oblast</w:t>
      </w:r>
      <w:r w:rsidR="00076502" w:rsidRPr="00E76F52">
        <w:rPr>
          <w:rFonts w:ascii="Calibri" w:hAnsi="Calibri" w:cs="Calibri"/>
          <w:sz w:val="24"/>
          <w:szCs w:val="24"/>
        </w:rPr>
        <w:t xml:space="preserve"> </w:t>
      </w:r>
      <w:r w:rsidR="003F370B" w:rsidRPr="00E76F52">
        <w:rPr>
          <w:rFonts w:ascii="Calibri" w:hAnsi="Calibri" w:cs="Calibri"/>
          <w:sz w:val="24"/>
          <w:szCs w:val="24"/>
        </w:rPr>
        <w:t xml:space="preserve">předfinancování transferů spolufinancovaných ze zahraničí </w:t>
      </w:r>
      <w:r w:rsidR="009B62AE" w:rsidRPr="00E76F52">
        <w:rPr>
          <w:rFonts w:ascii="Calibri" w:hAnsi="Calibri" w:cs="Calibri"/>
          <w:sz w:val="24"/>
          <w:szCs w:val="24"/>
        </w:rPr>
        <w:t>a</w:t>
      </w:r>
      <w:r w:rsidR="00EF58D3" w:rsidRPr="00E76F52">
        <w:rPr>
          <w:rFonts w:ascii="Calibri" w:hAnsi="Calibri" w:cs="Calibri"/>
          <w:sz w:val="24"/>
          <w:szCs w:val="24"/>
        </w:rPr>
        <w:t> </w:t>
      </w:r>
      <w:r w:rsidR="00EB2C41" w:rsidRPr="00E76F52">
        <w:rPr>
          <w:rFonts w:ascii="Calibri" w:hAnsi="Calibri" w:cs="Calibri"/>
          <w:sz w:val="24"/>
          <w:szCs w:val="24"/>
        </w:rPr>
        <w:t>o</w:t>
      </w:r>
      <w:r w:rsidR="00EF58D3" w:rsidRPr="00E76F52">
        <w:rPr>
          <w:rFonts w:ascii="Calibri" w:hAnsi="Calibri" w:cs="Calibri"/>
          <w:sz w:val="24"/>
          <w:szCs w:val="24"/>
        </w:rPr>
        <w:t> </w:t>
      </w:r>
      <w:r w:rsidR="00EB2C41" w:rsidRPr="00E76F52">
        <w:rPr>
          <w:rFonts w:ascii="Calibri" w:hAnsi="Calibri" w:cs="Calibri"/>
          <w:sz w:val="24"/>
          <w:szCs w:val="24"/>
        </w:rPr>
        <w:t>problematiku naplňování některých položek přehledu o změnách vlastního kapitálu.</w:t>
      </w:r>
    </w:p>
    <w:p w:rsidR="007079F2" w:rsidRPr="00E76F52" w:rsidRDefault="007079F2" w:rsidP="00E76F52">
      <w:pPr>
        <w:spacing w:after="0" w:line="240" w:lineRule="auto"/>
        <w:jc w:val="both"/>
        <w:rPr>
          <w:rFonts w:ascii="Calibri" w:hAnsi="Calibri" w:cs="Calibri"/>
          <w:sz w:val="24"/>
          <w:szCs w:val="24"/>
        </w:rPr>
      </w:pPr>
    </w:p>
    <w:p w:rsidR="00102E7C" w:rsidRPr="005416A5" w:rsidRDefault="0039596C" w:rsidP="00E76F52">
      <w:pPr>
        <w:spacing w:after="0" w:line="240" w:lineRule="auto"/>
        <w:jc w:val="both"/>
        <w:rPr>
          <w:rFonts w:ascii="Calibri" w:hAnsi="Calibri" w:cs="Calibri"/>
          <w:b/>
          <w:i/>
          <w:color w:val="000000"/>
          <w:sz w:val="24"/>
          <w:szCs w:val="24"/>
        </w:rPr>
      </w:pPr>
      <w:r w:rsidRPr="005416A5">
        <w:rPr>
          <w:rFonts w:ascii="Calibri" w:hAnsi="Calibri" w:cs="Calibri"/>
          <w:b/>
          <w:i/>
          <w:color w:val="000000"/>
          <w:sz w:val="24"/>
          <w:szCs w:val="24"/>
        </w:rPr>
        <w:t xml:space="preserve">Transfery spolufinancované ze zahraničí </w:t>
      </w:r>
    </w:p>
    <w:p w:rsidR="007079F2" w:rsidRDefault="007079F2" w:rsidP="00E76F52">
      <w:pPr>
        <w:spacing w:after="0" w:line="240" w:lineRule="auto"/>
        <w:jc w:val="both"/>
        <w:rPr>
          <w:rFonts w:ascii="Calibri" w:hAnsi="Calibri" w:cs="Calibri"/>
          <w:sz w:val="24"/>
          <w:szCs w:val="24"/>
        </w:rPr>
      </w:pPr>
    </w:p>
    <w:p w:rsidR="000C4531" w:rsidRPr="00E76F52" w:rsidRDefault="00106D34" w:rsidP="00E76F52">
      <w:pPr>
        <w:spacing w:after="0" w:line="240" w:lineRule="auto"/>
        <w:jc w:val="both"/>
        <w:rPr>
          <w:rFonts w:ascii="Calibri" w:hAnsi="Calibri" w:cs="Calibri"/>
          <w:bCs/>
          <w:iCs/>
          <w:color w:val="000000"/>
          <w:sz w:val="24"/>
          <w:szCs w:val="24"/>
        </w:rPr>
      </w:pPr>
      <w:r w:rsidRPr="00E76F52">
        <w:rPr>
          <w:rFonts w:ascii="Calibri" w:hAnsi="Calibri" w:cs="Calibri"/>
          <w:sz w:val="24"/>
          <w:szCs w:val="24"/>
        </w:rPr>
        <w:t>Usnesením vlády</w:t>
      </w:r>
      <w:r w:rsidR="008563C8" w:rsidRPr="00E76F52">
        <w:rPr>
          <w:rStyle w:val="Znakapoznpodarou"/>
          <w:rFonts w:ascii="Calibri" w:hAnsi="Calibri" w:cs="Calibri"/>
          <w:sz w:val="24"/>
          <w:szCs w:val="24"/>
        </w:rPr>
        <w:footnoteReference w:id="1"/>
      </w:r>
      <w:r w:rsidR="00527F11" w:rsidRPr="00E76F52">
        <w:rPr>
          <w:rFonts w:ascii="Calibri" w:hAnsi="Calibri" w:cs="Calibri"/>
          <w:sz w:val="24"/>
          <w:szCs w:val="24"/>
        </w:rPr>
        <w:t xml:space="preserve"> bylo</w:t>
      </w:r>
      <w:r w:rsidRPr="00E76F52">
        <w:rPr>
          <w:rFonts w:ascii="Calibri" w:hAnsi="Calibri" w:cs="Calibri"/>
          <w:sz w:val="24"/>
          <w:szCs w:val="24"/>
        </w:rPr>
        <w:t xml:space="preserve"> MŽP</w:t>
      </w:r>
      <w:r w:rsidR="00527F11" w:rsidRPr="00E76F52">
        <w:rPr>
          <w:rFonts w:ascii="Calibri" w:hAnsi="Calibri" w:cs="Calibri"/>
          <w:sz w:val="24"/>
          <w:szCs w:val="24"/>
        </w:rPr>
        <w:t xml:space="preserve"> určeno</w:t>
      </w:r>
      <w:r w:rsidRPr="00E76F52">
        <w:rPr>
          <w:rFonts w:ascii="Calibri" w:hAnsi="Calibri" w:cs="Calibri"/>
          <w:sz w:val="24"/>
          <w:szCs w:val="24"/>
        </w:rPr>
        <w:t xml:space="preserve"> jako říd</w:t>
      </w:r>
      <w:r w:rsidR="00261FBB">
        <w:rPr>
          <w:rFonts w:ascii="Calibri" w:hAnsi="Calibri" w:cs="Calibri"/>
          <w:sz w:val="24"/>
          <w:szCs w:val="24"/>
        </w:rPr>
        <w:t>i</w:t>
      </w:r>
      <w:r w:rsidRPr="00E76F52">
        <w:rPr>
          <w:rFonts w:ascii="Calibri" w:hAnsi="Calibri" w:cs="Calibri"/>
          <w:sz w:val="24"/>
          <w:szCs w:val="24"/>
        </w:rPr>
        <w:t xml:space="preserve">cí orgán </w:t>
      </w:r>
      <w:r w:rsidR="00261FBB">
        <w:rPr>
          <w:rFonts w:ascii="Calibri" w:hAnsi="Calibri" w:cs="Calibri"/>
          <w:sz w:val="24"/>
          <w:szCs w:val="24"/>
        </w:rPr>
        <w:t>o</w:t>
      </w:r>
      <w:r w:rsidRPr="00E76F52">
        <w:rPr>
          <w:rFonts w:ascii="Calibri" w:hAnsi="Calibri" w:cs="Calibri"/>
          <w:sz w:val="24"/>
          <w:szCs w:val="24"/>
        </w:rPr>
        <w:t xml:space="preserve">peračního programu </w:t>
      </w:r>
      <w:r w:rsidRPr="00341E1B">
        <w:rPr>
          <w:rFonts w:ascii="Calibri" w:hAnsi="Calibri" w:cs="Calibri"/>
          <w:i/>
          <w:sz w:val="24"/>
          <w:szCs w:val="24"/>
        </w:rPr>
        <w:t>Životní prostředí</w:t>
      </w:r>
      <w:r w:rsidRPr="00E76F52">
        <w:rPr>
          <w:rFonts w:ascii="Calibri" w:hAnsi="Calibri" w:cs="Calibri"/>
          <w:sz w:val="24"/>
          <w:szCs w:val="24"/>
        </w:rPr>
        <w:t xml:space="preserve"> (dále také „OPŽP“).</w:t>
      </w:r>
      <w:r w:rsidR="004D3389" w:rsidRPr="00E76F52">
        <w:rPr>
          <w:rFonts w:ascii="Calibri" w:hAnsi="Calibri" w:cs="Calibri"/>
          <w:sz w:val="24"/>
          <w:szCs w:val="24"/>
        </w:rPr>
        <w:t xml:space="preserve"> </w:t>
      </w:r>
      <w:r w:rsidR="00102E7C" w:rsidRPr="00E76F52">
        <w:rPr>
          <w:rFonts w:ascii="Calibri" w:hAnsi="Calibri" w:cs="Calibri"/>
          <w:bCs/>
          <w:iCs/>
          <w:color w:val="000000"/>
          <w:sz w:val="24"/>
          <w:szCs w:val="24"/>
        </w:rPr>
        <w:t>Při posouzení postupu účtování MŽP o transferech spolufinancovaných ze zahraničí</w:t>
      </w:r>
      <w:r w:rsidR="00EB0661" w:rsidRPr="00E76F52">
        <w:rPr>
          <w:rFonts w:ascii="Calibri" w:hAnsi="Calibri" w:cs="Calibri"/>
          <w:bCs/>
          <w:iCs/>
          <w:color w:val="000000"/>
          <w:sz w:val="24"/>
          <w:szCs w:val="24"/>
        </w:rPr>
        <w:t xml:space="preserve"> v</w:t>
      </w:r>
      <w:r w:rsidR="007405FC" w:rsidRPr="00E76F52">
        <w:rPr>
          <w:rFonts w:ascii="Calibri" w:hAnsi="Calibri" w:cs="Calibri"/>
          <w:bCs/>
          <w:iCs/>
          <w:color w:val="000000"/>
          <w:sz w:val="24"/>
          <w:szCs w:val="24"/>
        </w:rPr>
        <w:t xml:space="preserve"> </w:t>
      </w:r>
      <w:r w:rsidR="00EB0661" w:rsidRPr="00E76F52">
        <w:rPr>
          <w:rFonts w:ascii="Calibri" w:hAnsi="Calibri" w:cs="Calibri"/>
          <w:bCs/>
          <w:iCs/>
          <w:color w:val="000000"/>
          <w:sz w:val="24"/>
          <w:szCs w:val="24"/>
        </w:rPr>
        <w:t>rámci OPŽP</w:t>
      </w:r>
      <w:r w:rsidR="00343F92" w:rsidRPr="00E76F52">
        <w:rPr>
          <w:rFonts w:ascii="Calibri" w:hAnsi="Calibri" w:cs="Calibri"/>
          <w:bCs/>
          <w:iCs/>
          <w:color w:val="000000"/>
          <w:sz w:val="24"/>
          <w:szCs w:val="24"/>
        </w:rPr>
        <w:t xml:space="preserve"> </w:t>
      </w:r>
      <w:r w:rsidR="00102E7C" w:rsidRPr="00E76F52">
        <w:rPr>
          <w:rFonts w:ascii="Calibri" w:hAnsi="Calibri" w:cs="Calibri"/>
          <w:bCs/>
          <w:iCs/>
          <w:color w:val="000000"/>
          <w:sz w:val="24"/>
          <w:szCs w:val="24"/>
        </w:rPr>
        <w:t xml:space="preserve">je nutné určit, zda MŽP ve smyslu ČÚS č. 703 </w:t>
      </w:r>
      <w:r w:rsidR="003F2EBC" w:rsidRPr="00E76F52">
        <w:rPr>
          <w:rFonts w:ascii="Calibri" w:hAnsi="Calibri" w:cs="Calibri"/>
          <w:bCs/>
          <w:iCs/>
          <w:color w:val="000000"/>
          <w:sz w:val="24"/>
          <w:szCs w:val="24"/>
        </w:rPr>
        <w:t>–</w:t>
      </w:r>
      <w:r w:rsidR="00102E7C" w:rsidRPr="00E76F52">
        <w:rPr>
          <w:rFonts w:ascii="Calibri" w:hAnsi="Calibri" w:cs="Calibri"/>
          <w:bCs/>
          <w:iCs/>
          <w:color w:val="000000"/>
          <w:sz w:val="24"/>
          <w:szCs w:val="24"/>
        </w:rPr>
        <w:t xml:space="preserve"> </w:t>
      </w:r>
      <w:r w:rsidR="00102E7C" w:rsidRPr="00E76F52">
        <w:rPr>
          <w:rFonts w:ascii="Calibri" w:hAnsi="Calibri" w:cs="Calibri"/>
          <w:bCs/>
          <w:i/>
          <w:iCs/>
          <w:color w:val="000000"/>
          <w:sz w:val="24"/>
          <w:szCs w:val="24"/>
        </w:rPr>
        <w:t xml:space="preserve">Transfery </w:t>
      </w:r>
      <w:r w:rsidR="00EB1756" w:rsidRPr="00E76F52">
        <w:rPr>
          <w:rFonts w:ascii="Calibri" w:hAnsi="Calibri" w:cs="Calibri"/>
          <w:bCs/>
          <w:iCs/>
          <w:color w:val="000000"/>
          <w:sz w:val="24"/>
          <w:szCs w:val="24"/>
        </w:rPr>
        <w:t xml:space="preserve">(dále také „ČÚS č. 703“) </w:t>
      </w:r>
      <w:r w:rsidR="00885D61" w:rsidRPr="00E76F52">
        <w:rPr>
          <w:rFonts w:ascii="Calibri" w:hAnsi="Calibri" w:cs="Calibri"/>
          <w:bCs/>
          <w:iCs/>
          <w:color w:val="000000"/>
          <w:sz w:val="24"/>
          <w:szCs w:val="24"/>
        </w:rPr>
        <w:t xml:space="preserve">zaujímalo </w:t>
      </w:r>
      <w:r w:rsidR="00102E7C" w:rsidRPr="00E76F52">
        <w:rPr>
          <w:rFonts w:ascii="Calibri" w:hAnsi="Calibri" w:cs="Calibri"/>
          <w:bCs/>
          <w:iCs/>
          <w:color w:val="000000"/>
          <w:sz w:val="24"/>
          <w:szCs w:val="24"/>
        </w:rPr>
        <w:t>v</w:t>
      </w:r>
      <w:r w:rsidR="007405FC" w:rsidRPr="00E76F52">
        <w:rPr>
          <w:rFonts w:ascii="Calibri" w:hAnsi="Calibri" w:cs="Calibri"/>
          <w:bCs/>
          <w:iCs/>
          <w:color w:val="000000"/>
          <w:sz w:val="24"/>
          <w:szCs w:val="24"/>
        </w:rPr>
        <w:t xml:space="preserve"> </w:t>
      </w:r>
      <w:r w:rsidR="00102E7C" w:rsidRPr="00E76F52">
        <w:rPr>
          <w:rFonts w:ascii="Calibri" w:hAnsi="Calibri" w:cs="Calibri"/>
          <w:bCs/>
          <w:iCs/>
          <w:color w:val="000000"/>
          <w:sz w:val="24"/>
          <w:szCs w:val="24"/>
        </w:rPr>
        <w:t>závislosti na uskutečněných finančních tocích v</w:t>
      </w:r>
      <w:r w:rsidR="00261FBB">
        <w:rPr>
          <w:rFonts w:ascii="Calibri" w:hAnsi="Calibri" w:cs="Calibri"/>
          <w:bCs/>
          <w:iCs/>
          <w:color w:val="000000"/>
          <w:sz w:val="24"/>
          <w:szCs w:val="24"/>
        </w:rPr>
        <w:t> </w:t>
      </w:r>
      <w:r w:rsidR="00102E7C" w:rsidRPr="00E76F52">
        <w:rPr>
          <w:rFonts w:ascii="Calibri" w:hAnsi="Calibri" w:cs="Calibri"/>
          <w:bCs/>
          <w:iCs/>
          <w:color w:val="000000"/>
          <w:sz w:val="24"/>
          <w:szCs w:val="24"/>
        </w:rPr>
        <w:t xml:space="preserve">roce 2013 roli poskytovatele </w:t>
      </w:r>
      <w:r w:rsidR="00166B50">
        <w:rPr>
          <w:rFonts w:ascii="Calibri" w:hAnsi="Calibri" w:cs="Calibri"/>
          <w:bCs/>
          <w:iCs/>
          <w:color w:val="000000"/>
          <w:sz w:val="24"/>
          <w:szCs w:val="24"/>
        </w:rPr>
        <w:t>a </w:t>
      </w:r>
      <w:r w:rsidR="00102E7C" w:rsidRPr="00E76F52">
        <w:rPr>
          <w:rFonts w:ascii="Calibri" w:hAnsi="Calibri" w:cs="Calibri"/>
          <w:bCs/>
          <w:iCs/>
          <w:color w:val="000000"/>
          <w:sz w:val="24"/>
          <w:szCs w:val="24"/>
        </w:rPr>
        <w:t>příjemce</w:t>
      </w:r>
      <w:r w:rsidR="00166B50">
        <w:rPr>
          <w:rFonts w:ascii="Calibri" w:hAnsi="Calibri" w:cs="Calibri"/>
          <w:bCs/>
          <w:iCs/>
          <w:color w:val="000000"/>
          <w:sz w:val="24"/>
          <w:szCs w:val="24"/>
        </w:rPr>
        <w:t xml:space="preserve"> zahraničního transferu</w:t>
      </w:r>
      <w:r w:rsidR="00102E7C" w:rsidRPr="00E76F52">
        <w:rPr>
          <w:rFonts w:ascii="Calibri" w:hAnsi="Calibri" w:cs="Calibri"/>
          <w:bCs/>
          <w:iCs/>
          <w:color w:val="000000"/>
          <w:sz w:val="24"/>
          <w:szCs w:val="24"/>
        </w:rPr>
        <w:t xml:space="preserve"> nebo</w:t>
      </w:r>
      <w:r w:rsidR="00166B50">
        <w:rPr>
          <w:rFonts w:ascii="Calibri" w:hAnsi="Calibri" w:cs="Calibri"/>
          <w:bCs/>
          <w:iCs/>
          <w:color w:val="000000"/>
          <w:sz w:val="24"/>
          <w:szCs w:val="24"/>
        </w:rPr>
        <w:t xml:space="preserve"> roli</w:t>
      </w:r>
      <w:r w:rsidR="00102E7C" w:rsidRPr="00E76F52">
        <w:rPr>
          <w:rFonts w:ascii="Calibri" w:hAnsi="Calibri" w:cs="Calibri"/>
          <w:bCs/>
          <w:iCs/>
          <w:color w:val="000000"/>
          <w:sz w:val="24"/>
          <w:szCs w:val="24"/>
        </w:rPr>
        <w:t xml:space="preserve"> zprostředkovatele</w:t>
      </w:r>
      <w:r w:rsidR="009B62AE" w:rsidRPr="00E76F52">
        <w:rPr>
          <w:rFonts w:ascii="Calibri" w:hAnsi="Calibri" w:cs="Calibri"/>
          <w:bCs/>
          <w:iCs/>
          <w:color w:val="000000"/>
          <w:sz w:val="24"/>
          <w:szCs w:val="24"/>
        </w:rPr>
        <w:t xml:space="preserve"> zahraničního transferu</w:t>
      </w:r>
      <w:r w:rsidR="00885D61" w:rsidRPr="00E76F52">
        <w:rPr>
          <w:rFonts w:ascii="Calibri" w:hAnsi="Calibri" w:cs="Calibri"/>
          <w:bCs/>
          <w:iCs/>
          <w:color w:val="000000"/>
          <w:sz w:val="24"/>
          <w:szCs w:val="24"/>
        </w:rPr>
        <w:t>.</w:t>
      </w:r>
      <w:r w:rsidR="00102E7C" w:rsidRPr="00E76F52">
        <w:rPr>
          <w:rFonts w:ascii="Calibri" w:hAnsi="Calibri" w:cs="Calibri"/>
          <w:bCs/>
          <w:iCs/>
          <w:color w:val="000000"/>
          <w:sz w:val="24"/>
          <w:szCs w:val="24"/>
        </w:rPr>
        <w:t xml:space="preserve"> </w:t>
      </w:r>
      <w:r w:rsidR="00200B5D" w:rsidRPr="00E76F52">
        <w:rPr>
          <w:rFonts w:ascii="Calibri" w:hAnsi="Calibri" w:cs="Calibri"/>
          <w:bCs/>
          <w:iCs/>
          <w:color w:val="000000"/>
          <w:sz w:val="24"/>
          <w:szCs w:val="24"/>
        </w:rPr>
        <w:t>P</w:t>
      </w:r>
      <w:r w:rsidR="00102E7C" w:rsidRPr="00E76F52">
        <w:rPr>
          <w:rFonts w:ascii="Calibri" w:hAnsi="Calibri" w:cs="Calibri"/>
          <w:bCs/>
          <w:iCs/>
          <w:color w:val="000000"/>
          <w:sz w:val="24"/>
          <w:szCs w:val="24"/>
        </w:rPr>
        <w:t xml:space="preserve">ostupy účtování stanovené </w:t>
      </w:r>
      <w:r w:rsidR="00763756" w:rsidRPr="00E76F52">
        <w:rPr>
          <w:rFonts w:ascii="Calibri" w:hAnsi="Calibri" w:cs="Calibri"/>
          <w:bCs/>
          <w:iCs/>
          <w:color w:val="000000"/>
          <w:sz w:val="24"/>
          <w:szCs w:val="24"/>
        </w:rPr>
        <w:t xml:space="preserve">v </w:t>
      </w:r>
      <w:r w:rsidR="00102E7C" w:rsidRPr="00E76F52">
        <w:rPr>
          <w:rFonts w:ascii="Calibri" w:hAnsi="Calibri" w:cs="Calibri"/>
          <w:bCs/>
          <w:iCs/>
          <w:color w:val="000000"/>
          <w:sz w:val="24"/>
          <w:szCs w:val="24"/>
        </w:rPr>
        <w:t>ČÚS č. 703</w:t>
      </w:r>
      <w:r w:rsidR="00E54D27" w:rsidRPr="00E76F52">
        <w:rPr>
          <w:rFonts w:ascii="Calibri" w:hAnsi="Calibri" w:cs="Calibri"/>
          <w:bCs/>
          <w:iCs/>
          <w:color w:val="000000"/>
          <w:sz w:val="24"/>
          <w:szCs w:val="24"/>
        </w:rPr>
        <w:t xml:space="preserve"> vymezují</w:t>
      </w:r>
      <w:r w:rsidR="00964975" w:rsidRPr="00E76F52">
        <w:rPr>
          <w:rFonts w:ascii="Calibri" w:hAnsi="Calibri" w:cs="Calibri"/>
          <w:bCs/>
          <w:iCs/>
          <w:color w:val="000000"/>
          <w:sz w:val="24"/>
          <w:szCs w:val="24"/>
        </w:rPr>
        <w:t>, kdy</w:t>
      </w:r>
      <w:r w:rsidR="00102E7C" w:rsidRPr="00E76F52">
        <w:rPr>
          <w:rFonts w:ascii="Calibri" w:hAnsi="Calibri" w:cs="Calibri"/>
          <w:bCs/>
          <w:iCs/>
          <w:color w:val="000000"/>
          <w:sz w:val="24"/>
          <w:szCs w:val="24"/>
        </w:rPr>
        <w:t xml:space="preserve"> </w:t>
      </w:r>
      <w:r w:rsidR="002F0C38" w:rsidRPr="00E76F52">
        <w:rPr>
          <w:rFonts w:ascii="Calibri" w:hAnsi="Calibri" w:cs="Calibri"/>
          <w:bCs/>
          <w:iCs/>
          <w:color w:val="000000"/>
          <w:sz w:val="24"/>
          <w:szCs w:val="24"/>
        </w:rPr>
        <w:t xml:space="preserve">vybraná </w:t>
      </w:r>
      <w:r w:rsidR="00102E7C" w:rsidRPr="00E76F52">
        <w:rPr>
          <w:rFonts w:ascii="Calibri" w:hAnsi="Calibri" w:cs="Calibri"/>
          <w:bCs/>
          <w:iCs/>
          <w:color w:val="000000"/>
          <w:sz w:val="24"/>
          <w:szCs w:val="24"/>
        </w:rPr>
        <w:t xml:space="preserve">účetní </w:t>
      </w:r>
      <w:r w:rsidR="00FA7EC5" w:rsidRPr="00E76F52">
        <w:rPr>
          <w:rFonts w:ascii="Calibri" w:hAnsi="Calibri" w:cs="Calibri"/>
          <w:bCs/>
          <w:iCs/>
          <w:color w:val="000000"/>
          <w:sz w:val="24"/>
          <w:szCs w:val="24"/>
        </w:rPr>
        <w:t xml:space="preserve">jednotka </w:t>
      </w:r>
      <w:r w:rsidR="00102E7C" w:rsidRPr="00E76F52">
        <w:rPr>
          <w:rFonts w:ascii="Calibri" w:hAnsi="Calibri" w:cs="Calibri"/>
          <w:bCs/>
          <w:iCs/>
          <w:color w:val="000000"/>
          <w:sz w:val="24"/>
          <w:szCs w:val="24"/>
        </w:rPr>
        <w:t>o</w:t>
      </w:r>
      <w:r w:rsidR="00261FBB">
        <w:rPr>
          <w:rFonts w:ascii="Calibri" w:hAnsi="Calibri" w:cs="Calibri"/>
          <w:bCs/>
          <w:iCs/>
          <w:color w:val="000000"/>
          <w:sz w:val="24"/>
          <w:szCs w:val="24"/>
        </w:rPr>
        <w:t> </w:t>
      </w:r>
      <w:r w:rsidR="00102E7C" w:rsidRPr="00E76F52">
        <w:rPr>
          <w:rFonts w:ascii="Calibri" w:hAnsi="Calibri" w:cs="Calibri"/>
          <w:bCs/>
          <w:iCs/>
          <w:color w:val="000000"/>
          <w:sz w:val="24"/>
          <w:szCs w:val="24"/>
        </w:rPr>
        <w:t>transferech</w:t>
      </w:r>
      <w:r w:rsidR="00885D61" w:rsidRPr="00E76F52">
        <w:rPr>
          <w:rFonts w:ascii="Calibri" w:hAnsi="Calibri" w:cs="Calibri"/>
          <w:bCs/>
          <w:iCs/>
          <w:color w:val="000000"/>
          <w:sz w:val="24"/>
          <w:szCs w:val="24"/>
        </w:rPr>
        <w:t xml:space="preserve"> účtuje</w:t>
      </w:r>
      <w:r w:rsidR="00763756" w:rsidRPr="00E76F52">
        <w:rPr>
          <w:rFonts w:ascii="Calibri" w:hAnsi="Calibri" w:cs="Calibri"/>
          <w:bCs/>
          <w:iCs/>
          <w:color w:val="000000"/>
          <w:sz w:val="24"/>
          <w:szCs w:val="24"/>
        </w:rPr>
        <w:t xml:space="preserve"> v</w:t>
      </w:r>
      <w:r w:rsidR="007405FC" w:rsidRPr="00E76F52">
        <w:rPr>
          <w:rFonts w:ascii="Calibri" w:hAnsi="Calibri" w:cs="Calibri"/>
          <w:bCs/>
          <w:iCs/>
          <w:color w:val="000000"/>
          <w:sz w:val="24"/>
          <w:szCs w:val="24"/>
        </w:rPr>
        <w:t xml:space="preserve"> </w:t>
      </w:r>
      <w:r w:rsidR="00763756" w:rsidRPr="00E76F52">
        <w:rPr>
          <w:rFonts w:ascii="Calibri" w:hAnsi="Calibri" w:cs="Calibri"/>
          <w:bCs/>
          <w:iCs/>
          <w:color w:val="000000"/>
          <w:sz w:val="24"/>
          <w:szCs w:val="24"/>
        </w:rPr>
        <w:t>roli</w:t>
      </w:r>
      <w:r w:rsidR="000C4531" w:rsidRPr="00E76F52">
        <w:rPr>
          <w:rFonts w:ascii="Calibri" w:hAnsi="Calibri" w:cs="Calibri"/>
          <w:bCs/>
          <w:iCs/>
          <w:color w:val="000000"/>
          <w:sz w:val="24"/>
          <w:szCs w:val="24"/>
        </w:rPr>
        <w:t>:</w:t>
      </w:r>
      <w:r w:rsidR="00102E7C" w:rsidRPr="00E76F52">
        <w:rPr>
          <w:rFonts w:ascii="Calibri" w:hAnsi="Calibri" w:cs="Calibri"/>
          <w:bCs/>
          <w:iCs/>
          <w:color w:val="000000"/>
          <w:sz w:val="24"/>
          <w:szCs w:val="24"/>
        </w:rPr>
        <w:t xml:space="preserve"> </w:t>
      </w:r>
    </w:p>
    <w:p w:rsidR="00964975" w:rsidRPr="005416A5" w:rsidRDefault="00964975" w:rsidP="005416A5">
      <w:pPr>
        <w:pStyle w:val="Odstavecseseznamem"/>
        <w:numPr>
          <w:ilvl w:val="0"/>
          <w:numId w:val="36"/>
        </w:numPr>
        <w:spacing w:after="0" w:line="240" w:lineRule="auto"/>
        <w:ind w:left="284" w:hanging="284"/>
        <w:jc w:val="both"/>
        <w:rPr>
          <w:rFonts w:ascii="Calibri" w:hAnsi="Calibri" w:cs="Calibri"/>
          <w:bCs/>
          <w:iCs/>
          <w:color w:val="000000"/>
          <w:sz w:val="24"/>
          <w:szCs w:val="24"/>
        </w:rPr>
      </w:pPr>
      <w:r w:rsidRPr="005416A5">
        <w:rPr>
          <w:rFonts w:ascii="Calibri" w:hAnsi="Calibri" w:cs="Calibri"/>
          <w:bCs/>
          <w:iCs/>
          <w:color w:val="000000"/>
          <w:sz w:val="24"/>
          <w:szCs w:val="24"/>
        </w:rPr>
        <w:lastRenderedPageBreak/>
        <w:t xml:space="preserve">poskytovatele a příjemce </w:t>
      </w:r>
      <w:r w:rsidR="00EF58D3" w:rsidRPr="005416A5">
        <w:rPr>
          <w:rFonts w:ascii="Calibri" w:hAnsi="Calibri" w:cs="Calibri"/>
          <w:bCs/>
          <w:iCs/>
          <w:color w:val="000000"/>
          <w:sz w:val="24"/>
          <w:szCs w:val="24"/>
        </w:rPr>
        <w:t>–</w:t>
      </w:r>
      <w:r w:rsidRPr="005416A5">
        <w:rPr>
          <w:rFonts w:ascii="Calibri" w:hAnsi="Calibri" w:cs="Calibri"/>
          <w:bCs/>
          <w:iCs/>
          <w:color w:val="000000"/>
          <w:sz w:val="24"/>
          <w:szCs w:val="24"/>
        </w:rPr>
        <w:t xml:space="preserve"> prostřednictvím nákladů a výnosů</w:t>
      </w:r>
      <w:r w:rsidR="00261FBB">
        <w:rPr>
          <w:rFonts w:ascii="Calibri" w:hAnsi="Calibri" w:cs="Calibri"/>
          <w:bCs/>
          <w:iCs/>
          <w:color w:val="000000"/>
          <w:sz w:val="24"/>
          <w:szCs w:val="24"/>
        </w:rPr>
        <w:t>,</w:t>
      </w:r>
      <w:r w:rsidRPr="005416A5">
        <w:rPr>
          <w:rFonts w:ascii="Calibri" w:hAnsi="Calibri" w:cs="Calibri"/>
          <w:bCs/>
          <w:iCs/>
          <w:color w:val="000000"/>
          <w:sz w:val="24"/>
          <w:szCs w:val="24"/>
        </w:rPr>
        <w:t xml:space="preserve"> tzn. s vlivem na výsledek hospodaření</w:t>
      </w:r>
      <w:r w:rsidR="00261FBB">
        <w:rPr>
          <w:rFonts w:ascii="Calibri" w:hAnsi="Calibri" w:cs="Calibri"/>
          <w:bCs/>
          <w:iCs/>
          <w:color w:val="000000"/>
          <w:sz w:val="24"/>
          <w:szCs w:val="24"/>
        </w:rPr>
        <w:t>,</w:t>
      </w:r>
      <w:r w:rsidRPr="005416A5">
        <w:rPr>
          <w:rFonts w:ascii="Calibri" w:hAnsi="Calibri" w:cs="Calibri"/>
          <w:bCs/>
          <w:iCs/>
          <w:color w:val="000000"/>
          <w:sz w:val="24"/>
          <w:szCs w:val="24"/>
        </w:rPr>
        <w:t xml:space="preserve"> nebo </w:t>
      </w:r>
    </w:p>
    <w:p w:rsidR="006D4B7F" w:rsidRPr="005416A5" w:rsidRDefault="007C1F22" w:rsidP="005416A5">
      <w:pPr>
        <w:pStyle w:val="Odstavecseseznamem"/>
        <w:numPr>
          <w:ilvl w:val="0"/>
          <w:numId w:val="36"/>
        </w:numPr>
        <w:spacing w:after="0" w:line="240" w:lineRule="auto"/>
        <w:ind w:left="284" w:hanging="284"/>
        <w:jc w:val="both"/>
        <w:rPr>
          <w:rFonts w:ascii="Calibri" w:hAnsi="Calibri" w:cs="Calibri"/>
          <w:bCs/>
          <w:iCs/>
          <w:color w:val="000000"/>
          <w:sz w:val="24"/>
          <w:szCs w:val="24"/>
        </w:rPr>
      </w:pPr>
      <w:r w:rsidRPr="005416A5">
        <w:rPr>
          <w:rFonts w:ascii="Calibri" w:hAnsi="Calibri" w:cs="Calibri"/>
          <w:bCs/>
          <w:iCs/>
          <w:color w:val="000000"/>
          <w:sz w:val="24"/>
          <w:szCs w:val="24"/>
        </w:rPr>
        <w:t xml:space="preserve">zprostředkovatele </w:t>
      </w:r>
      <w:r w:rsidR="00EF58D3" w:rsidRPr="005416A5">
        <w:rPr>
          <w:rFonts w:ascii="Calibri" w:hAnsi="Calibri" w:cs="Calibri"/>
          <w:bCs/>
          <w:iCs/>
          <w:color w:val="000000"/>
          <w:sz w:val="24"/>
          <w:szCs w:val="24"/>
        </w:rPr>
        <w:t>–</w:t>
      </w:r>
      <w:r w:rsidR="00B45F23" w:rsidRPr="005416A5">
        <w:rPr>
          <w:rFonts w:ascii="Calibri" w:hAnsi="Calibri" w:cs="Calibri"/>
          <w:bCs/>
          <w:iCs/>
          <w:color w:val="000000"/>
          <w:sz w:val="24"/>
          <w:szCs w:val="24"/>
        </w:rPr>
        <w:t xml:space="preserve"> </w:t>
      </w:r>
      <w:r w:rsidR="00102E7C" w:rsidRPr="005416A5">
        <w:rPr>
          <w:rFonts w:ascii="Calibri" w:hAnsi="Calibri" w:cs="Calibri"/>
          <w:bCs/>
          <w:iCs/>
          <w:color w:val="000000"/>
          <w:sz w:val="24"/>
          <w:szCs w:val="24"/>
        </w:rPr>
        <w:t>prostřednictvím zúčtovacích vztahů</w:t>
      </w:r>
      <w:r w:rsidRPr="005416A5">
        <w:rPr>
          <w:rFonts w:ascii="Calibri" w:hAnsi="Calibri" w:cs="Calibri"/>
          <w:bCs/>
          <w:iCs/>
          <w:color w:val="000000"/>
          <w:sz w:val="24"/>
          <w:szCs w:val="24"/>
        </w:rPr>
        <w:t xml:space="preserve"> </w:t>
      </w:r>
      <w:r w:rsidR="00885D61" w:rsidRPr="005416A5">
        <w:rPr>
          <w:rFonts w:ascii="Calibri" w:hAnsi="Calibri" w:cs="Calibri"/>
          <w:bCs/>
          <w:iCs/>
          <w:color w:val="000000"/>
          <w:sz w:val="24"/>
          <w:szCs w:val="24"/>
        </w:rPr>
        <w:t>(pohledávek a</w:t>
      </w:r>
      <w:r w:rsidRPr="005416A5">
        <w:rPr>
          <w:rFonts w:ascii="Calibri" w:hAnsi="Calibri" w:cs="Calibri"/>
          <w:bCs/>
          <w:iCs/>
          <w:color w:val="000000"/>
          <w:sz w:val="24"/>
          <w:szCs w:val="24"/>
        </w:rPr>
        <w:t xml:space="preserve"> závazků</w:t>
      </w:r>
      <w:r w:rsidR="00885D61" w:rsidRPr="005416A5">
        <w:rPr>
          <w:rFonts w:ascii="Calibri" w:hAnsi="Calibri" w:cs="Calibri"/>
          <w:bCs/>
          <w:iCs/>
          <w:color w:val="000000"/>
          <w:sz w:val="24"/>
          <w:szCs w:val="24"/>
        </w:rPr>
        <w:t>)</w:t>
      </w:r>
      <w:r w:rsidR="00261FBB">
        <w:rPr>
          <w:rFonts w:ascii="Calibri" w:hAnsi="Calibri" w:cs="Calibri"/>
          <w:bCs/>
          <w:iCs/>
          <w:color w:val="000000"/>
          <w:sz w:val="24"/>
          <w:szCs w:val="24"/>
        </w:rPr>
        <w:t>,</w:t>
      </w:r>
      <w:r w:rsidR="00885D61" w:rsidRPr="005416A5">
        <w:rPr>
          <w:rFonts w:ascii="Calibri" w:hAnsi="Calibri" w:cs="Calibri"/>
          <w:bCs/>
          <w:iCs/>
          <w:color w:val="000000"/>
          <w:sz w:val="24"/>
          <w:szCs w:val="24"/>
        </w:rPr>
        <w:t xml:space="preserve"> tzn.</w:t>
      </w:r>
      <w:r w:rsidR="00102E7C" w:rsidRPr="005416A5">
        <w:rPr>
          <w:rFonts w:ascii="Calibri" w:hAnsi="Calibri" w:cs="Calibri"/>
          <w:bCs/>
          <w:iCs/>
          <w:color w:val="000000"/>
          <w:sz w:val="24"/>
          <w:szCs w:val="24"/>
        </w:rPr>
        <w:t xml:space="preserve"> bez vlivu na výsledek hospodaření</w:t>
      </w:r>
      <w:r w:rsidR="00E54D27" w:rsidRPr="005416A5">
        <w:rPr>
          <w:rFonts w:ascii="Calibri" w:hAnsi="Calibri" w:cs="Calibri"/>
          <w:bCs/>
          <w:iCs/>
          <w:color w:val="000000"/>
          <w:sz w:val="24"/>
          <w:szCs w:val="24"/>
        </w:rPr>
        <w:t>.</w:t>
      </w:r>
    </w:p>
    <w:p w:rsidR="00007671" w:rsidRPr="00E76F52" w:rsidRDefault="00007671" w:rsidP="00E76F52">
      <w:pPr>
        <w:spacing w:after="0" w:line="240" w:lineRule="auto"/>
        <w:jc w:val="both"/>
        <w:rPr>
          <w:rFonts w:ascii="Calibri" w:hAnsi="Calibri" w:cs="Calibri"/>
          <w:bCs/>
          <w:iCs/>
          <w:color w:val="000000"/>
          <w:sz w:val="24"/>
          <w:szCs w:val="24"/>
        </w:rPr>
      </w:pPr>
    </w:p>
    <w:p w:rsidR="00CD7AA3" w:rsidRDefault="00DF65A6" w:rsidP="00E76F52">
      <w:pPr>
        <w:spacing w:after="0" w:line="240" w:lineRule="auto"/>
        <w:jc w:val="both"/>
        <w:rPr>
          <w:rFonts w:ascii="Calibri" w:hAnsi="Calibri" w:cs="Calibri"/>
          <w:bCs/>
          <w:iCs/>
          <w:color w:val="000000"/>
          <w:sz w:val="24"/>
          <w:szCs w:val="24"/>
        </w:rPr>
      </w:pPr>
      <w:r w:rsidRPr="00E76F52">
        <w:rPr>
          <w:rFonts w:ascii="Calibri" w:hAnsi="Calibri" w:cs="Calibri"/>
          <w:bCs/>
          <w:iCs/>
          <w:color w:val="000000"/>
          <w:sz w:val="24"/>
          <w:szCs w:val="24"/>
        </w:rPr>
        <w:t xml:space="preserve">ČÚS </w:t>
      </w:r>
      <w:r w:rsidR="00D93250" w:rsidRPr="00E76F52">
        <w:rPr>
          <w:rFonts w:ascii="Calibri" w:hAnsi="Calibri" w:cs="Calibri"/>
          <w:bCs/>
          <w:iCs/>
          <w:color w:val="000000"/>
          <w:sz w:val="24"/>
          <w:szCs w:val="24"/>
        </w:rPr>
        <w:t xml:space="preserve">č. </w:t>
      </w:r>
      <w:r w:rsidRPr="00E76F52">
        <w:rPr>
          <w:rFonts w:ascii="Calibri" w:hAnsi="Calibri" w:cs="Calibri"/>
          <w:bCs/>
          <w:iCs/>
          <w:color w:val="000000"/>
          <w:sz w:val="24"/>
          <w:szCs w:val="24"/>
        </w:rPr>
        <w:t>703</w:t>
      </w:r>
      <w:r w:rsidR="00CD7AA3" w:rsidRPr="00E76F52">
        <w:rPr>
          <w:rFonts w:ascii="Calibri" w:hAnsi="Calibri" w:cs="Calibri"/>
          <w:bCs/>
          <w:iCs/>
          <w:color w:val="000000"/>
          <w:sz w:val="24"/>
          <w:szCs w:val="24"/>
        </w:rPr>
        <w:t xml:space="preserve"> ale </w:t>
      </w:r>
      <w:r w:rsidR="007D4E14" w:rsidRPr="00E76F52">
        <w:rPr>
          <w:rFonts w:ascii="Calibri" w:hAnsi="Calibri" w:cs="Calibri"/>
          <w:bCs/>
          <w:iCs/>
          <w:color w:val="000000"/>
          <w:sz w:val="24"/>
          <w:szCs w:val="24"/>
        </w:rPr>
        <w:t>ani v</w:t>
      </w:r>
      <w:r w:rsidR="007405FC" w:rsidRPr="00E76F52">
        <w:rPr>
          <w:rFonts w:ascii="Calibri" w:hAnsi="Calibri" w:cs="Calibri"/>
          <w:bCs/>
          <w:iCs/>
          <w:color w:val="000000"/>
          <w:sz w:val="24"/>
          <w:szCs w:val="24"/>
        </w:rPr>
        <w:t xml:space="preserve"> </w:t>
      </w:r>
      <w:r w:rsidR="007D4E14" w:rsidRPr="00E76F52">
        <w:rPr>
          <w:rFonts w:ascii="Calibri" w:hAnsi="Calibri" w:cs="Calibri"/>
          <w:bCs/>
          <w:iCs/>
          <w:color w:val="000000"/>
          <w:sz w:val="24"/>
          <w:szCs w:val="24"/>
        </w:rPr>
        <w:t>roce 2013</w:t>
      </w:r>
      <w:r w:rsidR="007D4E14" w:rsidRPr="00E76F52">
        <w:rPr>
          <w:rStyle w:val="Znakapoznpodarou"/>
          <w:rFonts w:ascii="Calibri" w:hAnsi="Calibri" w:cs="Calibri"/>
          <w:bCs/>
          <w:iCs/>
          <w:color w:val="000000"/>
          <w:sz w:val="24"/>
          <w:szCs w:val="24"/>
        </w:rPr>
        <w:footnoteReference w:id="2"/>
      </w:r>
      <w:r w:rsidR="007D4E14" w:rsidRPr="00E76F52">
        <w:rPr>
          <w:rFonts w:ascii="Calibri" w:hAnsi="Calibri" w:cs="Calibri"/>
          <w:bCs/>
          <w:iCs/>
          <w:color w:val="000000"/>
          <w:sz w:val="24"/>
          <w:szCs w:val="24"/>
        </w:rPr>
        <w:t xml:space="preserve"> nestanovil</w:t>
      </w:r>
      <w:r w:rsidR="00CD7AA3" w:rsidRPr="00E76F52">
        <w:rPr>
          <w:rFonts w:ascii="Calibri" w:hAnsi="Calibri" w:cs="Calibri"/>
          <w:bCs/>
          <w:iCs/>
          <w:color w:val="000000"/>
          <w:sz w:val="24"/>
          <w:szCs w:val="24"/>
        </w:rPr>
        <w:t xml:space="preserve"> závazné postupy účtování pro předfinancování </w:t>
      </w:r>
      <w:r w:rsidR="007D4E14" w:rsidRPr="00E76F52">
        <w:rPr>
          <w:rFonts w:ascii="Calibri" w:hAnsi="Calibri" w:cs="Calibri"/>
          <w:bCs/>
          <w:iCs/>
          <w:color w:val="000000"/>
          <w:sz w:val="24"/>
          <w:szCs w:val="24"/>
        </w:rPr>
        <w:t>prostředků poskytnutých České republice z</w:t>
      </w:r>
      <w:r w:rsidR="007405FC" w:rsidRPr="00E76F52">
        <w:rPr>
          <w:rFonts w:ascii="Calibri" w:hAnsi="Calibri" w:cs="Calibri"/>
          <w:bCs/>
          <w:iCs/>
          <w:color w:val="000000"/>
          <w:sz w:val="24"/>
          <w:szCs w:val="24"/>
        </w:rPr>
        <w:t xml:space="preserve"> </w:t>
      </w:r>
      <w:r w:rsidR="007D4E14" w:rsidRPr="00E76F52">
        <w:rPr>
          <w:rFonts w:ascii="Calibri" w:hAnsi="Calibri" w:cs="Calibri"/>
          <w:bCs/>
          <w:iCs/>
          <w:color w:val="000000"/>
          <w:sz w:val="24"/>
          <w:szCs w:val="24"/>
        </w:rPr>
        <w:t>rozpočtu Evropské unie</w:t>
      </w:r>
      <w:r w:rsidR="00166B50">
        <w:rPr>
          <w:rFonts w:ascii="Calibri" w:hAnsi="Calibri" w:cs="Calibri"/>
          <w:bCs/>
          <w:iCs/>
          <w:color w:val="000000"/>
          <w:sz w:val="24"/>
          <w:szCs w:val="24"/>
        </w:rPr>
        <w:t xml:space="preserve"> </w:t>
      </w:r>
      <w:r w:rsidR="00166B50" w:rsidRPr="00E76F52">
        <w:rPr>
          <w:rFonts w:ascii="Calibri" w:hAnsi="Calibri" w:cs="Calibri"/>
          <w:bCs/>
          <w:iCs/>
          <w:color w:val="000000"/>
          <w:sz w:val="24"/>
          <w:szCs w:val="24"/>
        </w:rPr>
        <w:t>(dále také „EU“)</w:t>
      </w:r>
      <w:r w:rsidR="007D4E14" w:rsidRPr="00E76F52">
        <w:rPr>
          <w:rFonts w:ascii="Calibri" w:hAnsi="Calibri" w:cs="Calibri"/>
          <w:bCs/>
          <w:iCs/>
          <w:color w:val="000000"/>
          <w:sz w:val="24"/>
          <w:szCs w:val="24"/>
        </w:rPr>
        <w:t>.</w:t>
      </w:r>
      <w:r w:rsidR="00CD7AA3" w:rsidRPr="00E76F52">
        <w:rPr>
          <w:rFonts w:ascii="Calibri" w:hAnsi="Calibri" w:cs="Calibri"/>
          <w:bCs/>
          <w:iCs/>
          <w:color w:val="000000"/>
          <w:sz w:val="24"/>
          <w:szCs w:val="24"/>
        </w:rPr>
        <w:t xml:space="preserve"> </w:t>
      </w:r>
      <w:r w:rsidR="00166B50">
        <w:rPr>
          <w:rFonts w:ascii="Calibri" w:hAnsi="Calibri" w:cs="Calibri"/>
          <w:bCs/>
          <w:iCs/>
          <w:color w:val="000000"/>
          <w:sz w:val="24"/>
          <w:szCs w:val="24"/>
        </w:rPr>
        <w:t>Proces</w:t>
      </w:r>
      <w:r w:rsidR="00CD7AA3" w:rsidRPr="00E76F52">
        <w:rPr>
          <w:rFonts w:ascii="Calibri" w:hAnsi="Calibri" w:cs="Calibri"/>
          <w:bCs/>
          <w:iCs/>
          <w:color w:val="000000"/>
          <w:sz w:val="24"/>
          <w:szCs w:val="24"/>
        </w:rPr>
        <w:t xml:space="preserve"> předfinancování je založen na tom, že peněžní prostředky jsou odeslány konečnému příjemci ze státního rozpočtu</w:t>
      </w:r>
      <w:r w:rsidR="007D4E14" w:rsidRPr="00E76F52">
        <w:rPr>
          <w:rFonts w:ascii="Calibri" w:hAnsi="Calibri" w:cs="Calibri"/>
          <w:bCs/>
          <w:iCs/>
          <w:color w:val="000000"/>
          <w:sz w:val="24"/>
          <w:szCs w:val="24"/>
        </w:rPr>
        <w:t xml:space="preserve"> správcem kapitoly</w:t>
      </w:r>
      <w:r w:rsidR="00CD7AA3" w:rsidRPr="00E76F52">
        <w:rPr>
          <w:rFonts w:ascii="Calibri" w:hAnsi="Calibri" w:cs="Calibri"/>
          <w:bCs/>
          <w:iCs/>
          <w:color w:val="000000"/>
          <w:sz w:val="24"/>
          <w:szCs w:val="24"/>
        </w:rPr>
        <w:t xml:space="preserve"> a až v</w:t>
      </w:r>
      <w:r w:rsidR="007405FC" w:rsidRPr="00E76F52">
        <w:rPr>
          <w:rFonts w:ascii="Calibri" w:hAnsi="Calibri" w:cs="Calibri"/>
          <w:bCs/>
          <w:iCs/>
          <w:color w:val="000000"/>
          <w:sz w:val="24"/>
          <w:szCs w:val="24"/>
        </w:rPr>
        <w:t xml:space="preserve"> </w:t>
      </w:r>
      <w:r w:rsidR="00CD7AA3" w:rsidRPr="00E76F52">
        <w:rPr>
          <w:rFonts w:ascii="Calibri" w:hAnsi="Calibri" w:cs="Calibri"/>
          <w:bCs/>
          <w:iCs/>
          <w:color w:val="000000"/>
          <w:sz w:val="24"/>
          <w:szCs w:val="24"/>
        </w:rPr>
        <w:t xml:space="preserve">následujících časových obdobích jsou </w:t>
      </w:r>
      <w:r w:rsidR="00166B50" w:rsidRPr="00E76F52">
        <w:rPr>
          <w:rFonts w:ascii="Calibri" w:hAnsi="Calibri" w:cs="Calibri"/>
          <w:bCs/>
          <w:iCs/>
          <w:color w:val="000000"/>
          <w:sz w:val="24"/>
          <w:szCs w:val="24"/>
        </w:rPr>
        <w:t xml:space="preserve">tomuto správci kapitoly </w:t>
      </w:r>
      <w:r w:rsidR="00CD7AA3" w:rsidRPr="00E76F52">
        <w:rPr>
          <w:rFonts w:ascii="Calibri" w:hAnsi="Calibri" w:cs="Calibri"/>
          <w:bCs/>
          <w:iCs/>
          <w:color w:val="000000"/>
          <w:sz w:val="24"/>
          <w:szCs w:val="24"/>
        </w:rPr>
        <w:t>na základě žádosti</w:t>
      </w:r>
      <w:r w:rsidR="007D4E14" w:rsidRPr="00E76F52">
        <w:rPr>
          <w:rFonts w:ascii="Calibri" w:hAnsi="Calibri" w:cs="Calibri"/>
          <w:bCs/>
          <w:iCs/>
          <w:color w:val="000000"/>
          <w:sz w:val="24"/>
          <w:szCs w:val="24"/>
        </w:rPr>
        <w:t xml:space="preserve"> </w:t>
      </w:r>
      <w:r w:rsidR="00CD7AA3" w:rsidRPr="00E76F52">
        <w:rPr>
          <w:rFonts w:ascii="Calibri" w:hAnsi="Calibri" w:cs="Calibri"/>
          <w:bCs/>
          <w:iCs/>
          <w:color w:val="000000"/>
          <w:sz w:val="24"/>
          <w:szCs w:val="24"/>
        </w:rPr>
        <w:t>refundovány z</w:t>
      </w:r>
      <w:r w:rsidR="007405FC" w:rsidRPr="00E76F52">
        <w:rPr>
          <w:rFonts w:ascii="Calibri" w:hAnsi="Calibri" w:cs="Calibri"/>
          <w:bCs/>
          <w:iCs/>
          <w:color w:val="000000"/>
          <w:sz w:val="24"/>
          <w:szCs w:val="24"/>
        </w:rPr>
        <w:t xml:space="preserve"> </w:t>
      </w:r>
      <w:r w:rsidR="00CD7AA3" w:rsidRPr="00E76F52">
        <w:rPr>
          <w:rFonts w:ascii="Calibri" w:hAnsi="Calibri" w:cs="Calibri"/>
          <w:bCs/>
          <w:iCs/>
          <w:color w:val="000000"/>
          <w:sz w:val="24"/>
          <w:szCs w:val="24"/>
        </w:rPr>
        <w:t>E</w:t>
      </w:r>
      <w:r w:rsidR="007D4E14" w:rsidRPr="00E76F52">
        <w:rPr>
          <w:rFonts w:ascii="Calibri" w:hAnsi="Calibri" w:cs="Calibri"/>
          <w:bCs/>
          <w:iCs/>
          <w:color w:val="000000"/>
          <w:sz w:val="24"/>
          <w:szCs w:val="24"/>
        </w:rPr>
        <w:t xml:space="preserve">vropské unie </w:t>
      </w:r>
      <w:r w:rsidR="00CD7AA3" w:rsidRPr="00E76F52">
        <w:rPr>
          <w:rFonts w:ascii="Calibri" w:hAnsi="Calibri" w:cs="Calibri"/>
          <w:bCs/>
          <w:iCs/>
          <w:color w:val="000000"/>
          <w:sz w:val="24"/>
          <w:szCs w:val="24"/>
        </w:rPr>
        <w:t xml:space="preserve">či </w:t>
      </w:r>
      <w:r w:rsidR="00261FBB">
        <w:rPr>
          <w:rFonts w:ascii="Calibri" w:hAnsi="Calibri" w:cs="Calibri"/>
          <w:bCs/>
          <w:iCs/>
          <w:color w:val="000000"/>
          <w:sz w:val="24"/>
          <w:szCs w:val="24"/>
        </w:rPr>
        <w:t>z </w:t>
      </w:r>
      <w:r w:rsidR="00CD7AA3" w:rsidRPr="00E76F52">
        <w:rPr>
          <w:rFonts w:ascii="Calibri" w:hAnsi="Calibri" w:cs="Calibri"/>
          <w:bCs/>
          <w:iCs/>
          <w:color w:val="000000"/>
          <w:sz w:val="24"/>
          <w:szCs w:val="24"/>
        </w:rPr>
        <w:t>Národního fondu.</w:t>
      </w:r>
    </w:p>
    <w:p w:rsidR="005416A5" w:rsidRPr="00E76F52" w:rsidRDefault="005416A5" w:rsidP="00E76F52">
      <w:pPr>
        <w:spacing w:after="0" w:line="240" w:lineRule="auto"/>
        <w:jc w:val="both"/>
        <w:rPr>
          <w:rFonts w:ascii="Calibri" w:hAnsi="Calibri" w:cs="Calibri"/>
          <w:bCs/>
          <w:iCs/>
          <w:color w:val="000000"/>
          <w:sz w:val="24"/>
          <w:szCs w:val="24"/>
        </w:rPr>
      </w:pPr>
    </w:p>
    <w:p w:rsidR="00CD7AA3" w:rsidRDefault="00CD7AA3" w:rsidP="00E76F52">
      <w:pPr>
        <w:spacing w:after="0" w:line="240" w:lineRule="auto"/>
        <w:jc w:val="both"/>
        <w:rPr>
          <w:rFonts w:ascii="Calibri" w:hAnsi="Calibri" w:cs="Calibri"/>
          <w:bCs/>
          <w:iCs/>
          <w:color w:val="000000"/>
          <w:sz w:val="24"/>
          <w:szCs w:val="24"/>
        </w:rPr>
      </w:pPr>
      <w:r w:rsidRPr="00E76F52">
        <w:rPr>
          <w:rFonts w:ascii="Calibri" w:hAnsi="Calibri" w:cs="Calibri"/>
          <w:bCs/>
          <w:iCs/>
          <w:color w:val="000000"/>
          <w:sz w:val="24"/>
          <w:szCs w:val="24"/>
        </w:rPr>
        <w:t xml:space="preserve">MŽP </w:t>
      </w:r>
      <w:r w:rsidR="007D4E14" w:rsidRPr="00E76F52">
        <w:rPr>
          <w:rFonts w:ascii="Calibri" w:hAnsi="Calibri" w:cs="Calibri"/>
          <w:bCs/>
          <w:iCs/>
          <w:color w:val="000000"/>
          <w:sz w:val="24"/>
          <w:szCs w:val="24"/>
        </w:rPr>
        <w:t>tak p</w:t>
      </w:r>
      <w:r w:rsidRPr="00E76F52">
        <w:rPr>
          <w:rFonts w:ascii="Calibri" w:hAnsi="Calibri" w:cs="Calibri"/>
          <w:bCs/>
          <w:iCs/>
          <w:color w:val="000000"/>
          <w:sz w:val="24"/>
          <w:szCs w:val="24"/>
        </w:rPr>
        <w:t>oskytovalo</w:t>
      </w:r>
      <w:r w:rsidR="007D4E14" w:rsidRPr="00E76F52">
        <w:rPr>
          <w:rFonts w:ascii="Calibri" w:hAnsi="Calibri" w:cs="Calibri"/>
          <w:bCs/>
          <w:iCs/>
          <w:color w:val="000000"/>
          <w:sz w:val="24"/>
          <w:szCs w:val="24"/>
        </w:rPr>
        <w:t xml:space="preserve"> v</w:t>
      </w:r>
      <w:r w:rsidR="007405FC" w:rsidRPr="00E76F52">
        <w:rPr>
          <w:rFonts w:ascii="Calibri" w:hAnsi="Calibri" w:cs="Calibri"/>
          <w:bCs/>
          <w:iCs/>
          <w:color w:val="000000"/>
          <w:sz w:val="24"/>
          <w:szCs w:val="24"/>
        </w:rPr>
        <w:t xml:space="preserve"> </w:t>
      </w:r>
      <w:r w:rsidR="007D4E14" w:rsidRPr="00E76F52">
        <w:rPr>
          <w:rFonts w:ascii="Calibri" w:hAnsi="Calibri" w:cs="Calibri"/>
          <w:bCs/>
          <w:iCs/>
          <w:color w:val="000000"/>
          <w:sz w:val="24"/>
          <w:szCs w:val="24"/>
        </w:rPr>
        <w:t>roce 2013</w:t>
      </w:r>
      <w:r w:rsidRPr="00E76F52">
        <w:rPr>
          <w:rFonts w:ascii="Calibri" w:hAnsi="Calibri" w:cs="Calibri"/>
          <w:bCs/>
          <w:iCs/>
          <w:color w:val="000000"/>
          <w:sz w:val="24"/>
          <w:szCs w:val="24"/>
        </w:rPr>
        <w:t xml:space="preserve"> peněžní prostředky příjemc</w:t>
      </w:r>
      <w:r w:rsidR="00166B50">
        <w:rPr>
          <w:rFonts w:ascii="Calibri" w:hAnsi="Calibri" w:cs="Calibri"/>
          <w:bCs/>
          <w:iCs/>
          <w:color w:val="000000"/>
          <w:sz w:val="24"/>
          <w:szCs w:val="24"/>
        </w:rPr>
        <w:t>ům</w:t>
      </w:r>
      <w:r w:rsidRPr="00E76F52">
        <w:rPr>
          <w:rStyle w:val="Znakapoznpodarou"/>
          <w:rFonts w:ascii="Calibri" w:hAnsi="Calibri" w:cs="Calibri"/>
          <w:bCs/>
          <w:iCs/>
          <w:color w:val="000000"/>
          <w:sz w:val="24"/>
          <w:szCs w:val="24"/>
        </w:rPr>
        <w:footnoteReference w:id="3"/>
      </w:r>
      <w:r w:rsidRPr="00E76F52">
        <w:rPr>
          <w:rFonts w:ascii="Calibri" w:hAnsi="Calibri" w:cs="Calibri"/>
          <w:bCs/>
          <w:iCs/>
          <w:color w:val="000000"/>
          <w:sz w:val="24"/>
          <w:szCs w:val="24"/>
        </w:rPr>
        <w:t xml:space="preserve"> a následně po uskutečněném předfinancování nárokovalo t</w:t>
      </w:r>
      <w:r w:rsidR="007D4E14" w:rsidRPr="00E76F52">
        <w:rPr>
          <w:rFonts w:ascii="Calibri" w:hAnsi="Calibri" w:cs="Calibri"/>
          <w:bCs/>
          <w:iCs/>
          <w:color w:val="000000"/>
          <w:sz w:val="24"/>
          <w:szCs w:val="24"/>
        </w:rPr>
        <w:t>yto</w:t>
      </w:r>
      <w:r w:rsidRPr="00E76F52">
        <w:rPr>
          <w:rFonts w:ascii="Calibri" w:hAnsi="Calibri" w:cs="Calibri"/>
          <w:bCs/>
          <w:iCs/>
          <w:color w:val="000000"/>
          <w:sz w:val="24"/>
          <w:szCs w:val="24"/>
        </w:rPr>
        <w:t xml:space="preserve"> předfinancované prostředky u Národního fondu</w:t>
      </w:r>
      <w:r w:rsidRPr="00E76F52">
        <w:rPr>
          <w:rStyle w:val="Znakapoznpodarou"/>
          <w:rFonts w:ascii="Calibri" w:hAnsi="Calibri" w:cs="Calibri"/>
          <w:bCs/>
          <w:iCs/>
          <w:color w:val="000000"/>
          <w:sz w:val="24"/>
          <w:szCs w:val="24"/>
        </w:rPr>
        <w:footnoteReference w:id="4"/>
      </w:r>
      <w:r w:rsidRPr="00E76F52">
        <w:rPr>
          <w:rFonts w:ascii="Calibri" w:hAnsi="Calibri" w:cs="Calibri"/>
          <w:bCs/>
          <w:iCs/>
          <w:color w:val="000000"/>
          <w:sz w:val="24"/>
          <w:szCs w:val="24"/>
        </w:rPr>
        <w:t>.</w:t>
      </w:r>
    </w:p>
    <w:p w:rsidR="005416A5" w:rsidRPr="00E76F52" w:rsidRDefault="005416A5" w:rsidP="00E76F52">
      <w:pPr>
        <w:spacing w:after="0" w:line="240" w:lineRule="auto"/>
        <w:jc w:val="both"/>
        <w:rPr>
          <w:rFonts w:ascii="Calibri" w:hAnsi="Calibri" w:cs="Calibri"/>
          <w:bCs/>
          <w:iCs/>
          <w:color w:val="000000"/>
          <w:sz w:val="24"/>
          <w:szCs w:val="24"/>
        </w:rPr>
      </w:pPr>
    </w:p>
    <w:p w:rsidR="002F7CBE" w:rsidRDefault="00A802DF" w:rsidP="00E76F52">
      <w:pPr>
        <w:spacing w:after="0" w:line="240" w:lineRule="auto"/>
        <w:jc w:val="both"/>
        <w:rPr>
          <w:rFonts w:ascii="Calibri" w:hAnsi="Calibri" w:cs="Calibri"/>
          <w:color w:val="000000"/>
          <w:sz w:val="24"/>
          <w:szCs w:val="24"/>
        </w:rPr>
      </w:pPr>
      <w:r w:rsidRPr="00E76F52">
        <w:rPr>
          <w:rFonts w:ascii="Calibri" w:hAnsi="Calibri" w:cs="Calibri"/>
          <w:color w:val="000000"/>
          <w:sz w:val="24"/>
          <w:szCs w:val="24"/>
        </w:rPr>
        <w:t>MŽP zvolilo pro vykazování prostředků</w:t>
      </w:r>
      <w:r w:rsidR="00EB0661" w:rsidRPr="00E76F52">
        <w:rPr>
          <w:rFonts w:ascii="Calibri" w:hAnsi="Calibri" w:cs="Calibri"/>
          <w:color w:val="000000"/>
          <w:sz w:val="24"/>
          <w:szCs w:val="24"/>
        </w:rPr>
        <w:t xml:space="preserve"> OPŽP</w:t>
      </w:r>
      <w:r w:rsidRPr="00E76F52">
        <w:rPr>
          <w:rFonts w:ascii="Calibri" w:hAnsi="Calibri" w:cs="Calibri"/>
          <w:color w:val="000000"/>
          <w:sz w:val="24"/>
          <w:szCs w:val="24"/>
        </w:rPr>
        <w:t>, které po</w:t>
      </w:r>
      <w:r w:rsidR="00C946A2" w:rsidRPr="00E76F52">
        <w:rPr>
          <w:rFonts w:ascii="Calibri" w:hAnsi="Calibri" w:cs="Calibri"/>
          <w:color w:val="000000"/>
          <w:sz w:val="24"/>
          <w:szCs w:val="24"/>
        </w:rPr>
        <w:t>skytuje v</w:t>
      </w:r>
      <w:r w:rsidR="007405FC" w:rsidRPr="00E76F52">
        <w:rPr>
          <w:rFonts w:ascii="Calibri" w:hAnsi="Calibri" w:cs="Calibri"/>
          <w:color w:val="000000"/>
          <w:sz w:val="24"/>
          <w:szCs w:val="24"/>
        </w:rPr>
        <w:t xml:space="preserve"> </w:t>
      </w:r>
      <w:r w:rsidR="00C946A2" w:rsidRPr="00E76F52">
        <w:rPr>
          <w:rFonts w:ascii="Calibri" w:hAnsi="Calibri" w:cs="Calibri"/>
          <w:color w:val="000000"/>
          <w:sz w:val="24"/>
          <w:szCs w:val="24"/>
        </w:rPr>
        <w:t>rámci předfinancování, roli poskytovatele</w:t>
      </w:r>
      <w:r w:rsidR="00A46ED1" w:rsidRPr="00E76F52">
        <w:rPr>
          <w:rFonts w:ascii="Calibri" w:hAnsi="Calibri" w:cs="Calibri"/>
          <w:color w:val="000000"/>
          <w:sz w:val="24"/>
          <w:szCs w:val="24"/>
        </w:rPr>
        <w:t xml:space="preserve"> </w:t>
      </w:r>
      <w:r w:rsidR="001A5D44" w:rsidRPr="00E76F52">
        <w:rPr>
          <w:rFonts w:ascii="Calibri" w:hAnsi="Calibri" w:cs="Calibri"/>
          <w:color w:val="000000"/>
          <w:sz w:val="24"/>
          <w:szCs w:val="24"/>
        </w:rPr>
        <w:t xml:space="preserve">transferu </w:t>
      </w:r>
      <w:r w:rsidR="00A46ED1" w:rsidRPr="00E76F52">
        <w:rPr>
          <w:rFonts w:ascii="Calibri" w:hAnsi="Calibri" w:cs="Calibri"/>
          <w:color w:val="000000"/>
          <w:sz w:val="24"/>
          <w:szCs w:val="24"/>
        </w:rPr>
        <w:t>a účtovalo o nákladech</w:t>
      </w:r>
      <w:r w:rsidR="00C946A2" w:rsidRPr="00E76F52">
        <w:rPr>
          <w:rFonts w:ascii="Calibri" w:hAnsi="Calibri" w:cs="Calibri"/>
          <w:color w:val="000000"/>
          <w:sz w:val="24"/>
          <w:szCs w:val="24"/>
        </w:rPr>
        <w:t>.</w:t>
      </w:r>
      <w:r w:rsidR="00763756" w:rsidRPr="00E76F52">
        <w:rPr>
          <w:rFonts w:ascii="Calibri" w:hAnsi="Calibri" w:cs="Calibri"/>
          <w:bCs/>
          <w:iCs/>
          <w:color w:val="000000"/>
          <w:sz w:val="24"/>
          <w:szCs w:val="24"/>
        </w:rPr>
        <w:t xml:space="preserve"> MŽP lze ve smyslu bodu 3.1 písm. b) ČÚS č.</w:t>
      </w:r>
      <w:r w:rsidR="00EF58D3" w:rsidRPr="00E76F52">
        <w:rPr>
          <w:rFonts w:ascii="Calibri" w:hAnsi="Calibri" w:cs="Calibri"/>
          <w:bCs/>
          <w:iCs/>
          <w:color w:val="000000"/>
          <w:sz w:val="24"/>
          <w:szCs w:val="24"/>
        </w:rPr>
        <w:t> </w:t>
      </w:r>
      <w:r w:rsidR="00763756" w:rsidRPr="00E76F52">
        <w:rPr>
          <w:rFonts w:ascii="Calibri" w:hAnsi="Calibri" w:cs="Calibri"/>
          <w:bCs/>
          <w:iCs/>
          <w:color w:val="000000"/>
          <w:sz w:val="24"/>
          <w:szCs w:val="24"/>
        </w:rPr>
        <w:t xml:space="preserve">703 považovat za poskytovatele transferu, neboť prostředky určené na realizaci projektů OPŽP poskytuje příjemci, který projekt realizuje, a to na základě rozhodnutí o poskytnutí dotace. </w:t>
      </w:r>
      <w:r w:rsidR="002F7CBE" w:rsidRPr="00E76F52">
        <w:rPr>
          <w:rFonts w:ascii="Calibri" w:hAnsi="Calibri" w:cs="Calibri"/>
          <w:color w:val="000000"/>
          <w:sz w:val="24"/>
          <w:szCs w:val="24"/>
        </w:rPr>
        <w:t>MŽP jako poskytovatel transferu ale nepostupovalo v</w:t>
      </w:r>
      <w:r w:rsidR="007405FC" w:rsidRPr="00E76F52">
        <w:rPr>
          <w:rFonts w:ascii="Calibri" w:hAnsi="Calibri" w:cs="Calibri"/>
          <w:color w:val="000000"/>
          <w:sz w:val="24"/>
          <w:szCs w:val="24"/>
        </w:rPr>
        <w:t xml:space="preserve"> </w:t>
      </w:r>
      <w:r w:rsidR="002F7CBE" w:rsidRPr="00E76F52">
        <w:rPr>
          <w:rFonts w:ascii="Calibri" w:hAnsi="Calibri" w:cs="Calibri"/>
          <w:color w:val="000000"/>
          <w:sz w:val="24"/>
          <w:szCs w:val="24"/>
        </w:rPr>
        <w:t>souladu s</w:t>
      </w:r>
      <w:r w:rsidR="007405FC" w:rsidRPr="00E76F52">
        <w:rPr>
          <w:rFonts w:ascii="Calibri" w:hAnsi="Calibri" w:cs="Calibri"/>
          <w:color w:val="000000"/>
          <w:sz w:val="24"/>
          <w:szCs w:val="24"/>
        </w:rPr>
        <w:t xml:space="preserve"> </w:t>
      </w:r>
      <w:r w:rsidR="002F7CBE" w:rsidRPr="00E76F52">
        <w:rPr>
          <w:rFonts w:ascii="Calibri" w:hAnsi="Calibri" w:cs="Calibri"/>
          <w:color w:val="000000"/>
          <w:sz w:val="24"/>
          <w:szCs w:val="24"/>
        </w:rPr>
        <w:t>bodem 5.4 ČÚS</w:t>
      </w:r>
      <w:r w:rsidR="00D93250" w:rsidRPr="00E76F52">
        <w:rPr>
          <w:rFonts w:ascii="Calibri" w:hAnsi="Calibri" w:cs="Calibri"/>
          <w:color w:val="000000"/>
          <w:sz w:val="24"/>
          <w:szCs w:val="24"/>
        </w:rPr>
        <w:t xml:space="preserve"> č.</w:t>
      </w:r>
      <w:r w:rsidR="00335990" w:rsidRPr="00E76F52">
        <w:rPr>
          <w:rFonts w:ascii="Calibri" w:hAnsi="Calibri" w:cs="Calibri"/>
          <w:color w:val="000000"/>
          <w:sz w:val="24"/>
          <w:szCs w:val="24"/>
        </w:rPr>
        <w:t> </w:t>
      </w:r>
      <w:r w:rsidR="002F7CBE" w:rsidRPr="00E76F52">
        <w:rPr>
          <w:rFonts w:ascii="Calibri" w:hAnsi="Calibri" w:cs="Calibri"/>
          <w:color w:val="000000"/>
          <w:sz w:val="24"/>
          <w:szCs w:val="24"/>
        </w:rPr>
        <w:t>703, když závazky z</w:t>
      </w:r>
      <w:r w:rsidR="007405FC" w:rsidRPr="00E76F52">
        <w:rPr>
          <w:rFonts w:ascii="Calibri" w:hAnsi="Calibri" w:cs="Calibri"/>
          <w:color w:val="000000"/>
          <w:sz w:val="24"/>
          <w:szCs w:val="24"/>
        </w:rPr>
        <w:t xml:space="preserve"> </w:t>
      </w:r>
      <w:r w:rsidR="002F7CBE" w:rsidRPr="00E76F52">
        <w:rPr>
          <w:rFonts w:ascii="Calibri" w:hAnsi="Calibri" w:cs="Calibri"/>
          <w:color w:val="000000"/>
          <w:sz w:val="24"/>
          <w:szCs w:val="24"/>
        </w:rPr>
        <w:t xml:space="preserve">předfinancování </w:t>
      </w:r>
      <w:r w:rsidR="00556A7D" w:rsidRPr="00E76F52">
        <w:rPr>
          <w:rFonts w:ascii="Calibri" w:hAnsi="Calibri" w:cs="Calibri"/>
          <w:color w:val="000000"/>
          <w:sz w:val="24"/>
          <w:szCs w:val="24"/>
        </w:rPr>
        <w:t>účtovalo na</w:t>
      </w:r>
      <w:r w:rsidR="002F7CBE" w:rsidRPr="00E76F52">
        <w:rPr>
          <w:rFonts w:ascii="Calibri" w:hAnsi="Calibri" w:cs="Calibri"/>
          <w:color w:val="000000"/>
          <w:sz w:val="24"/>
          <w:szCs w:val="24"/>
        </w:rPr>
        <w:t xml:space="preserve"> účtu 372 – </w:t>
      </w:r>
      <w:r w:rsidR="002F7CBE" w:rsidRPr="00E76F52">
        <w:rPr>
          <w:rFonts w:ascii="Calibri" w:hAnsi="Calibri" w:cs="Calibri"/>
          <w:i/>
          <w:color w:val="000000"/>
          <w:sz w:val="24"/>
          <w:szCs w:val="24"/>
        </w:rPr>
        <w:t>Krátkodobé závazky</w:t>
      </w:r>
      <w:r w:rsidR="002F7CBE" w:rsidRPr="00E76F52">
        <w:rPr>
          <w:rFonts w:ascii="Calibri" w:hAnsi="Calibri" w:cs="Calibri"/>
          <w:color w:val="000000"/>
          <w:sz w:val="24"/>
          <w:szCs w:val="24"/>
        </w:rPr>
        <w:t xml:space="preserve"> </w:t>
      </w:r>
      <w:r w:rsidR="002F7CBE" w:rsidRPr="00E76F52">
        <w:rPr>
          <w:rFonts w:ascii="Calibri" w:hAnsi="Calibri" w:cs="Calibri"/>
          <w:i/>
          <w:color w:val="000000"/>
          <w:sz w:val="24"/>
          <w:szCs w:val="24"/>
        </w:rPr>
        <w:t>z nástrojů spolufinancovaných ze zahraničí</w:t>
      </w:r>
      <w:r w:rsidR="00166B50">
        <w:rPr>
          <w:rFonts w:ascii="Calibri" w:hAnsi="Calibri" w:cs="Calibri"/>
          <w:color w:val="000000"/>
          <w:sz w:val="24"/>
          <w:szCs w:val="24"/>
        </w:rPr>
        <w:t>,</w:t>
      </w:r>
      <w:r w:rsidR="002F7CBE" w:rsidRPr="00E76F52">
        <w:rPr>
          <w:rFonts w:ascii="Calibri" w:hAnsi="Calibri" w:cs="Calibri"/>
          <w:color w:val="000000"/>
          <w:sz w:val="24"/>
          <w:szCs w:val="24"/>
        </w:rPr>
        <w:t xml:space="preserve"> a ne </w:t>
      </w:r>
      <w:r w:rsidR="00556A7D" w:rsidRPr="00E76F52">
        <w:rPr>
          <w:rFonts w:ascii="Calibri" w:hAnsi="Calibri" w:cs="Calibri"/>
          <w:color w:val="000000"/>
          <w:sz w:val="24"/>
          <w:szCs w:val="24"/>
        </w:rPr>
        <w:t>na příslušném</w:t>
      </w:r>
      <w:r w:rsidR="002F7CBE" w:rsidRPr="00E76F52">
        <w:rPr>
          <w:rFonts w:ascii="Calibri" w:hAnsi="Calibri" w:cs="Calibri"/>
          <w:color w:val="000000"/>
          <w:sz w:val="24"/>
          <w:szCs w:val="24"/>
        </w:rPr>
        <w:t xml:space="preserve"> účtu</w:t>
      </w:r>
      <w:r w:rsidR="00556A7D" w:rsidRPr="00E76F52">
        <w:rPr>
          <w:rFonts w:ascii="Calibri" w:hAnsi="Calibri" w:cs="Calibri"/>
          <w:color w:val="000000"/>
          <w:sz w:val="24"/>
          <w:szCs w:val="24"/>
        </w:rPr>
        <w:t xml:space="preserve"> v</w:t>
      </w:r>
      <w:r w:rsidR="002F7CBE" w:rsidRPr="00E76F52">
        <w:rPr>
          <w:rFonts w:ascii="Calibri" w:hAnsi="Calibri" w:cs="Calibri"/>
          <w:color w:val="000000"/>
          <w:sz w:val="24"/>
          <w:szCs w:val="24"/>
        </w:rPr>
        <w:t xml:space="preserve"> účtové skupin</w:t>
      </w:r>
      <w:r w:rsidR="00556A7D" w:rsidRPr="00E76F52">
        <w:rPr>
          <w:rFonts w:ascii="Calibri" w:hAnsi="Calibri" w:cs="Calibri"/>
          <w:color w:val="000000"/>
          <w:sz w:val="24"/>
          <w:szCs w:val="24"/>
        </w:rPr>
        <w:t>ě</w:t>
      </w:r>
      <w:r w:rsidR="002F7CBE" w:rsidRPr="00E76F52">
        <w:rPr>
          <w:rFonts w:ascii="Calibri" w:hAnsi="Calibri" w:cs="Calibri"/>
          <w:color w:val="000000"/>
          <w:sz w:val="24"/>
          <w:szCs w:val="24"/>
        </w:rPr>
        <w:t xml:space="preserve"> 34</w:t>
      </w:r>
      <w:r w:rsidR="008D6A3D" w:rsidRPr="00E76F52">
        <w:rPr>
          <w:rFonts w:ascii="Calibri" w:hAnsi="Calibri" w:cs="Calibri"/>
          <w:color w:val="000000"/>
          <w:sz w:val="24"/>
          <w:szCs w:val="24"/>
        </w:rPr>
        <w:t xml:space="preserve"> – </w:t>
      </w:r>
      <w:r w:rsidR="008D6A3D" w:rsidRPr="00341E1B">
        <w:rPr>
          <w:rFonts w:ascii="Calibri" w:hAnsi="Calibri" w:cs="Calibri"/>
          <w:i/>
          <w:color w:val="000000"/>
          <w:sz w:val="24"/>
          <w:szCs w:val="24"/>
        </w:rPr>
        <w:t>Zúčtování daní, dotací a ostatní zúčtování</w:t>
      </w:r>
      <w:r w:rsidR="002F7CBE" w:rsidRPr="00E76F52">
        <w:rPr>
          <w:rFonts w:ascii="Calibri" w:hAnsi="Calibri" w:cs="Calibri"/>
          <w:color w:val="000000"/>
          <w:sz w:val="24"/>
          <w:szCs w:val="24"/>
        </w:rPr>
        <w:t xml:space="preserve">. </w:t>
      </w:r>
      <w:r w:rsidR="00887461" w:rsidRPr="00E76F52">
        <w:rPr>
          <w:rFonts w:ascii="Calibri" w:hAnsi="Calibri" w:cs="Calibri"/>
          <w:color w:val="000000"/>
          <w:sz w:val="24"/>
          <w:szCs w:val="24"/>
        </w:rPr>
        <w:t xml:space="preserve">Navíc v </w:t>
      </w:r>
      <w:r w:rsidR="004F0580" w:rsidRPr="00E76F52">
        <w:rPr>
          <w:rFonts w:ascii="Calibri" w:hAnsi="Calibri" w:cs="Calibri"/>
          <w:color w:val="000000"/>
          <w:sz w:val="24"/>
          <w:szCs w:val="24"/>
        </w:rPr>
        <w:t xml:space="preserve">důsledku nesprávného </w:t>
      </w:r>
      <w:r w:rsidR="002F7CBE" w:rsidRPr="00E76F52">
        <w:rPr>
          <w:rFonts w:ascii="Calibri" w:hAnsi="Calibri" w:cs="Calibri"/>
          <w:color w:val="000000"/>
          <w:sz w:val="24"/>
          <w:szCs w:val="24"/>
        </w:rPr>
        <w:t xml:space="preserve">postupu </w:t>
      </w:r>
      <w:r w:rsidR="004F0580" w:rsidRPr="00E76F52">
        <w:rPr>
          <w:rFonts w:ascii="Calibri" w:hAnsi="Calibri" w:cs="Calibri"/>
          <w:color w:val="000000"/>
          <w:sz w:val="24"/>
          <w:szCs w:val="24"/>
        </w:rPr>
        <w:t>účtování</w:t>
      </w:r>
      <w:r w:rsidR="005121F3" w:rsidRPr="00E76F52">
        <w:rPr>
          <w:rStyle w:val="Znakapoznpodarou"/>
          <w:rFonts w:ascii="Calibri" w:hAnsi="Calibri" w:cs="Calibri"/>
          <w:color w:val="000000"/>
          <w:sz w:val="24"/>
          <w:szCs w:val="24"/>
        </w:rPr>
        <w:footnoteReference w:id="5"/>
      </w:r>
      <w:r w:rsidR="00044A2F" w:rsidRPr="00E76F52">
        <w:rPr>
          <w:rFonts w:ascii="Calibri" w:hAnsi="Calibri" w:cs="Calibri"/>
          <w:color w:val="000000"/>
          <w:sz w:val="24"/>
          <w:szCs w:val="24"/>
        </w:rPr>
        <w:t xml:space="preserve"> </w:t>
      </w:r>
      <w:r w:rsidR="00556A7D" w:rsidRPr="00E76F52">
        <w:rPr>
          <w:rFonts w:ascii="Calibri" w:hAnsi="Calibri" w:cs="Calibri"/>
          <w:color w:val="000000"/>
          <w:sz w:val="24"/>
          <w:szCs w:val="24"/>
        </w:rPr>
        <w:t xml:space="preserve">vykázalo MŽP </w:t>
      </w:r>
      <w:r w:rsidR="00044A2F" w:rsidRPr="00E76F52">
        <w:rPr>
          <w:rFonts w:ascii="Calibri" w:hAnsi="Calibri" w:cs="Calibri"/>
          <w:color w:val="000000"/>
          <w:sz w:val="24"/>
          <w:szCs w:val="24"/>
        </w:rPr>
        <w:t>na účtu</w:t>
      </w:r>
      <w:r w:rsidR="00556A7D" w:rsidRPr="00E76F52">
        <w:rPr>
          <w:rFonts w:ascii="Calibri" w:hAnsi="Calibri" w:cs="Calibri"/>
          <w:color w:val="000000"/>
          <w:sz w:val="24"/>
          <w:szCs w:val="24"/>
        </w:rPr>
        <w:t xml:space="preserve"> 372 – </w:t>
      </w:r>
      <w:r w:rsidR="00556A7D" w:rsidRPr="00E76F52">
        <w:rPr>
          <w:rFonts w:ascii="Calibri" w:hAnsi="Calibri" w:cs="Calibri"/>
          <w:i/>
          <w:color w:val="000000"/>
          <w:sz w:val="24"/>
          <w:szCs w:val="24"/>
        </w:rPr>
        <w:t>Krátkodobé závazky</w:t>
      </w:r>
      <w:r w:rsidR="00556A7D" w:rsidRPr="00E76F52">
        <w:rPr>
          <w:rFonts w:ascii="Calibri" w:hAnsi="Calibri" w:cs="Calibri"/>
          <w:color w:val="000000"/>
          <w:sz w:val="24"/>
          <w:szCs w:val="24"/>
        </w:rPr>
        <w:t xml:space="preserve"> </w:t>
      </w:r>
      <w:r w:rsidR="00556A7D" w:rsidRPr="00E76F52">
        <w:rPr>
          <w:rFonts w:ascii="Calibri" w:hAnsi="Calibri" w:cs="Calibri"/>
          <w:i/>
          <w:color w:val="000000"/>
          <w:sz w:val="24"/>
          <w:szCs w:val="24"/>
        </w:rPr>
        <w:t xml:space="preserve">z nástrojů spolufinancovaných ze zahraničí </w:t>
      </w:r>
      <w:r w:rsidR="00044A2F" w:rsidRPr="00E76F52">
        <w:rPr>
          <w:rFonts w:ascii="Calibri" w:hAnsi="Calibri" w:cs="Calibri"/>
          <w:color w:val="000000"/>
          <w:sz w:val="24"/>
          <w:szCs w:val="24"/>
        </w:rPr>
        <w:t>v</w:t>
      </w:r>
      <w:r w:rsidR="00556A7D" w:rsidRPr="00E76F52">
        <w:rPr>
          <w:rFonts w:ascii="Calibri" w:hAnsi="Calibri" w:cs="Calibri"/>
          <w:color w:val="000000"/>
          <w:sz w:val="24"/>
          <w:szCs w:val="24"/>
        </w:rPr>
        <w:t> </w:t>
      </w:r>
      <w:r w:rsidR="00044A2F" w:rsidRPr="00E76F52">
        <w:rPr>
          <w:rFonts w:ascii="Calibri" w:hAnsi="Calibri" w:cs="Calibri"/>
          <w:color w:val="000000"/>
          <w:sz w:val="24"/>
          <w:szCs w:val="24"/>
        </w:rPr>
        <w:t>ÚZ</w:t>
      </w:r>
      <w:r w:rsidR="00335990" w:rsidRPr="00E76F52">
        <w:rPr>
          <w:rFonts w:ascii="Calibri" w:hAnsi="Calibri" w:cs="Calibri"/>
          <w:color w:val="000000"/>
          <w:sz w:val="24"/>
          <w:szCs w:val="24"/>
        </w:rPr>
        <w:t xml:space="preserve"> k 31. </w:t>
      </w:r>
      <w:r w:rsidR="00556A7D" w:rsidRPr="00E76F52">
        <w:rPr>
          <w:rFonts w:ascii="Calibri" w:hAnsi="Calibri" w:cs="Calibri"/>
          <w:color w:val="000000"/>
          <w:sz w:val="24"/>
          <w:szCs w:val="24"/>
        </w:rPr>
        <w:t>prosinci 2013 konečný zůstatek</w:t>
      </w:r>
      <w:r w:rsidR="00044A2F" w:rsidRPr="00E76F52">
        <w:rPr>
          <w:rFonts w:ascii="Calibri" w:hAnsi="Calibri" w:cs="Calibri"/>
          <w:color w:val="000000"/>
          <w:sz w:val="24"/>
          <w:szCs w:val="24"/>
        </w:rPr>
        <w:t xml:space="preserve"> v </w:t>
      </w:r>
      <w:r w:rsidR="002F7CBE" w:rsidRPr="00E76F52">
        <w:rPr>
          <w:rFonts w:ascii="Calibri" w:hAnsi="Calibri" w:cs="Calibri"/>
          <w:color w:val="000000"/>
          <w:sz w:val="24"/>
          <w:szCs w:val="24"/>
        </w:rPr>
        <w:t>záporné hodnotě</w:t>
      </w:r>
      <w:r w:rsidR="005121F3" w:rsidRPr="00E76F52">
        <w:rPr>
          <w:rStyle w:val="Znakapoznpodarou"/>
          <w:rFonts w:ascii="Calibri" w:hAnsi="Calibri" w:cs="Calibri"/>
          <w:color w:val="000000"/>
          <w:sz w:val="24"/>
          <w:szCs w:val="24"/>
        </w:rPr>
        <w:footnoteReference w:id="6"/>
      </w:r>
      <w:r w:rsidR="00261FBB">
        <w:rPr>
          <w:rFonts w:ascii="Calibri" w:hAnsi="Calibri" w:cs="Calibri"/>
          <w:color w:val="000000"/>
          <w:sz w:val="24"/>
          <w:szCs w:val="24"/>
        </w:rPr>
        <w:t>,</w:t>
      </w:r>
      <w:r w:rsidR="002F7CBE" w:rsidRPr="00E76F52">
        <w:rPr>
          <w:rFonts w:ascii="Calibri" w:hAnsi="Calibri" w:cs="Calibri"/>
          <w:color w:val="000000"/>
          <w:sz w:val="24"/>
          <w:szCs w:val="24"/>
        </w:rPr>
        <w:t xml:space="preserve"> a</w:t>
      </w:r>
      <w:r w:rsidR="00EF58D3" w:rsidRPr="00E76F52">
        <w:rPr>
          <w:rFonts w:ascii="Calibri" w:hAnsi="Calibri" w:cs="Calibri"/>
          <w:color w:val="000000"/>
          <w:sz w:val="24"/>
          <w:szCs w:val="24"/>
        </w:rPr>
        <w:t> </w:t>
      </w:r>
      <w:r w:rsidR="002F7CBE" w:rsidRPr="00E76F52">
        <w:rPr>
          <w:rFonts w:ascii="Calibri" w:hAnsi="Calibri" w:cs="Calibri"/>
          <w:color w:val="000000"/>
          <w:sz w:val="24"/>
          <w:szCs w:val="24"/>
        </w:rPr>
        <w:t>v důsledku této skutečnosti</w:t>
      </w:r>
      <w:r w:rsidR="00044A2F" w:rsidRPr="00E76F52">
        <w:rPr>
          <w:rFonts w:ascii="Calibri" w:hAnsi="Calibri" w:cs="Calibri"/>
          <w:color w:val="000000"/>
          <w:sz w:val="24"/>
          <w:szCs w:val="24"/>
        </w:rPr>
        <w:t xml:space="preserve"> </w:t>
      </w:r>
      <w:r w:rsidR="00335990" w:rsidRPr="00E76F52">
        <w:rPr>
          <w:rFonts w:ascii="Calibri" w:hAnsi="Calibri" w:cs="Calibri"/>
          <w:color w:val="000000"/>
          <w:sz w:val="24"/>
          <w:szCs w:val="24"/>
        </w:rPr>
        <w:t>i </w:t>
      </w:r>
      <w:r w:rsidR="00044A2F" w:rsidRPr="00E76F52">
        <w:rPr>
          <w:rFonts w:ascii="Calibri" w:hAnsi="Calibri" w:cs="Calibri"/>
          <w:color w:val="000000"/>
          <w:sz w:val="24"/>
          <w:szCs w:val="24"/>
        </w:rPr>
        <w:t>záporn</w:t>
      </w:r>
      <w:r w:rsidR="00A61C6B" w:rsidRPr="00E76F52">
        <w:rPr>
          <w:rFonts w:ascii="Calibri" w:hAnsi="Calibri" w:cs="Calibri"/>
          <w:color w:val="000000"/>
          <w:sz w:val="24"/>
          <w:szCs w:val="24"/>
        </w:rPr>
        <w:t>ý</w:t>
      </w:r>
      <w:r w:rsidR="00044A2F" w:rsidRPr="00E76F52">
        <w:rPr>
          <w:rFonts w:ascii="Calibri" w:hAnsi="Calibri" w:cs="Calibri"/>
          <w:color w:val="000000"/>
          <w:sz w:val="24"/>
          <w:szCs w:val="24"/>
        </w:rPr>
        <w:t xml:space="preserve"> </w:t>
      </w:r>
      <w:r w:rsidR="00A61C6B" w:rsidRPr="00E76F52">
        <w:rPr>
          <w:rFonts w:ascii="Calibri" w:hAnsi="Calibri" w:cs="Calibri"/>
          <w:color w:val="000000"/>
          <w:sz w:val="24"/>
          <w:szCs w:val="24"/>
        </w:rPr>
        <w:t xml:space="preserve">zůstatek na položce </w:t>
      </w:r>
      <w:r w:rsidR="00556A7D" w:rsidRPr="00E76F52">
        <w:rPr>
          <w:rFonts w:ascii="Calibri" w:hAnsi="Calibri" w:cs="Calibri"/>
          <w:color w:val="000000"/>
          <w:sz w:val="24"/>
          <w:szCs w:val="24"/>
        </w:rPr>
        <w:t>„</w:t>
      </w:r>
      <w:r w:rsidR="002F7CBE" w:rsidRPr="00E76F52">
        <w:rPr>
          <w:rFonts w:ascii="Calibri" w:hAnsi="Calibri" w:cs="Calibri"/>
          <w:color w:val="000000"/>
          <w:sz w:val="24"/>
          <w:szCs w:val="24"/>
        </w:rPr>
        <w:t>cizí zdroje</w:t>
      </w:r>
      <w:r w:rsidR="00556A7D" w:rsidRPr="00E76F52">
        <w:rPr>
          <w:rFonts w:ascii="Calibri" w:hAnsi="Calibri" w:cs="Calibri"/>
          <w:color w:val="000000"/>
          <w:sz w:val="24"/>
          <w:szCs w:val="24"/>
        </w:rPr>
        <w:t>“</w:t>
      </w:r>
      <w:r w:rsidR="002F7CBE" w:rsidRPr="00E76F52">
        <w:rPr>
          <w:rFonts w:ascii="Calibri" w:hAnsi="Calibri" w:cs="Calibri"/>
          <w:color w:val="000000"/>
          <w:sz w:val="24"/>
          <w:szCs w:val="24"/>
        </w:rPr>
        <w:t>.</w:t>
      </w:r>
    </w:p>
    <w:p w:rsidR="005416A5" w:rsidRPr="00E76F52" w:rsidRDefault="005416A5" w:rsidP="00E76F52">
      <w:pPr>
        <w:spacing w:after="0" w:line="240" w:lineRule="auto"/>
        <w:jc w:val="both"/>
        <w:rPr>
          <w:rFonts w:ascii="Calibri" w:hAnsi="Calibri" w:cs="Calibri"/>
          <w:color w:val="000000"/>
          <w:sz w:val="24"/>
          <w:szCs w:val="24"/>
        </w:rPr>
      </w:pPr>
    </w:p>
    <w:p w:rsidR="0051228F" w:rsidRDefault="005E6262" w:rsidP="00E76F52">
      <w:pPr>
        <w:spacing w:after="0" w:line="240" w:lineRule="auto"/>
        <w:jc w:val="both"/>
        <w:rPr>
          <w:rFonts w:ascii="Calibri" w:hAnsi="Calibri" w:cs="Calibri"/>
          <w:bCs/>
          <w:iCs/>
          <w:color w:val="000000"/>
          <w:sz w:val="24"/>
          <w:szCs w:val="24"/>
        </w:rPr>
      </w:pPr>
      <w:r w:rsidRPr="00E76F52">
        <w:rPr>
          <w:rFonts w:ascii="Calibri" w:hAnsi="Calibri" w:cs="Calibri"/>
          <w:bCs/>
          <w:iCs/>
          <w:color w:val="000000"/>
          <w:sz w:val="24"/>
          <w:szCs w:val="24"/>
        </w:rPr>
        <w:t>Pro vykázání prostředků</w:t>
      </w:r>
      <w:r w:rsidR="001A5D44" w:rsidRPr="00E76F52">
        <w:rPr>
          <w:rFonts w:ascii="Calibri" w:hAnsi="Calibri" w:cs="Calibri"/>
          <w:bCs/>
          <w:iCs/>
          <w:color w:val="000000"/>
          <w:sz w:val="24"/>
          <w:szCs w:val="24"/>
        </w:rPr>
        <w:t xml:space="preserve"> nárokovaných u Národního fondu</w:t>
      </w:r>
      <w:r w:rsidRPr="00E76F52">
        <w:rPr>
          <w:rFonts w:ascii="Calibri" w:hAnsi="Calibri" w:cs="Calibri"/>
          <w:bCs/>
          <w:iCs/>
          <w:color w:val="000000"/>
          <w:sz w:val="24"/>
          <w:szCs w:val="24"/>
        </w:rPr>
        <w:t>, které</w:t>
      </w:r>
      <w:r w:rsidR="00F05C40" w:rsidRPr="00E76F52">
        <w:rPr>
          <w:rFonts w:ascii="Calibri" w:hAnsi="Calibri" w:cs="Calibri"/>
          <w:bCs/>
          <w:iCs/>
          <w:color w:val="000000"/>
          <w:sz w:val="24"/>
          <w:szCs w:val="24"/>
        </w:rPr>
        <w:t xml:space="preserve"> představují refundaci </w:t>
      </w:r>
      <w:r w:rsidRPr="00E76F52">
        <w:rPr>
          <w:rFonts w:ascii="Calibri" w:hAnsi="Calibri" w:cs="Calibri"/>
          <w:bCs/>
          <w:iCs/>
          <w:color w:val="000000"/>
          <w:sz w:val="24"/>
          <w:szCs w:val="24"/>
        </w:rPr>
        <w:t xml:space="preserve">již </w:t>
      </w:r>
      <w:r w:rsidR="00F05C40" w:rsidRPr="00E76F52">
        <w:rPr>
          <w:rFonts w:ascii="Calibri" w:hAnsi="Calibri" w:cs="Calibri"/>
          <w:bCs/>
          <w:iCs/>
          <w:color w:val="000000"/>
          <w:sz w:val="24"/>
          <w:szCs w:val="24"/>
        </w:rPr>
        <w:t>uskutečněného předfinancování prostředků E</w:t>
      </w:r>
      <w:r w:rsidR="00166B50">
        <w:rPr>
          <w:rFonts w:ascii="Calibri" w:hAnsi="Calibri" w:cs="Calibri"/>
          <w:bCs/>
          <w:iCs/>
          <w:color w:val="000000"/>
          <w:sz w:val="24"/>
          <w:szCs w:val="24"/>
        </w:rPr>
        <w:t>U</w:t>
      </w:r>
      <w:r w:rsidR="001A5D44" w:rsidRPr="00E76F52">
        <w:rPr>
          <w:rFonts w:ascii="Calibri" w:hAnsi="Calibri" w:cs="Calibri"/>
          <w:bCs/>
          <w:iCs/>
          <w:color w:val="000000"/>
          <w:sz w:val="24"/>
          <w:szCs w:val="24"/>
        </w:rPr>
        <w:t xml:space="preserve">, </w:t>
      </w:r>
      <w:r w:rsidRPr="00E76F52">
        <w:rPr>
          <w:rFonts w:ascii="Calibri" w:hAnsi="Calibri" w:cs="Calibri"/>
          <w:bCs/>
          <w:iCs/>
          <w:color w:val="000000"/>
          <w:sz w:val="24"/>
          <w:szCs w:val="24"/>
        </w:rPr>
        <w:t>zvolilo</w:t>
      </w:r>
      <w:r w:rsidR="00166B50" w:rsidRPr="00166B50">
        <w:rPr>
          <w:rFonts w:ascii="Calibri" w:hAnsi="Calibri" w:cs="Calibri"/>
          <w:bCs/>
          <w:iCs/>
          <w:color w:val="000000"/>
          <w:sz w:val="24"/>
          <w:szCs w:val="24"/>
        </w:rPr>
        <w:t xml:space="preserve"> </w:t>
      </w:r>
      <w:r w:rsidR="00166B50" w:rsidRPr="00E76F52">
        <w:rPr>
          <w:rFonts w:ascii="Calibri" w:hAnsi="Calibri" w:cs="Calibri"/>
          <w:bCs/>
          <w:iCs/>
          <w:color w:val="000000"/>
          <w:sz w:val="24"/>
          <w:szCs w:val="24"/>
        </w:rPr>
        <w:t>MŽP</w:t>
      </w:r>
      <w:r w:rsidRPr="00E76F52">
        <w:rPr>
          <w:rFonts w:ascii="Calibri" w:hAnsi="Calibri" w:cs="Calibri"/>
          <w:bCs/>
          <w:iCs/>
          <w:color w:val="000000"/>
          <w:sz w:val="24"/>
          <w:szCs w:val="24"/>
        </w:rPr>
        <w:t xml:space="preserve"> roli příjemce transferu </w:t>
      </w:r>
      <w:r w:rsidR="00341E1B">
        <w:rPr>
          <w:rFonts w:ascii="Calibri" w:hAnsi="Calibri" w:cs="Calibri"/>
          <w:color w:val="000000"/>
          <w:sz w:val="24"/>
          <w:szCs w:val="24"/>
        </w:rPr>
        <w:t>a </w:t>
      </w:r>
      <w:r w:rsidRPr="00E76F52">
        <w:rPr>
          <w:rFonts w:ascii="Calibri" w:hAnsi="Calibri" w:cs="Calibri"/>
          <w:color w:val="000000"/>
          <w:sz w:val="24"/>
          <w:szCs w:val="24"/>
        </w:rPr>
        <w:t>účtovalo o výnosech.</w:t>
      </w:r>
      <w:r w:rsidR="00AD09E8" w:rsidRPr="00E76F52">
        <w:rPr>
          <w:rFonts w:ascii="Calibri" w:hAnsi="Calibri" w:cs="Calibri"/>
          <w:color w:val="000000"/>
          <w:sz w:val="24"/>
          <w:szCs w:val="24"/>
        </w:rPr>
        <w:t xml:space="preserve"> </w:t>
      </w:r>
      <w:r w:rsidR="00AD09E8" w:rsidRPr="00E76F52">
        <w:rPr>
          <w:rFonts w:ascii="Calibri" w:hAnsi="Calibri" w:cs="Calibri"/>
          <w:bCs/>
          <w:iCs/>
          <w:color w:val="000000"/>
          <w:sz w:val="24"/>
          <w:szCs w:val="24"/>
        </w:rPr>
        <w:t>MŽP dále z</w:t>
      </w:r>
      <w:r w:rsidR="007405FC" w:rsidRPr="00E76F52">
        <w:rPr>
          <w:rFonts w:ascii="Calibri" w:hAnsi="Calibri" w:cs="Calibri"/>
          <w:bCs/>
          <w:iCs/>
          <w:color w:val="000000"/>
          <w:sz w:val="24"/>
          <w:szCs w:val="24"/>
        </w:rPr>
        <w:t xml:space="preserve"> </w:t>
      </w:r>
      <w:r w:rsidR="00AD09E8" w:rsidRPr="00E76F52">
        <w:rPr>
          <w:rFonts w:ascii="Calibri" w:hAnsi="Calibri" w:cs="Calibri"/>
          <w:bCs/>
          <w:iCs/>
          <w:color w:val="000000"/>
          <w:sz w:val="24"/>
          <w:szCs w:val="24"/>
        </w:rPr>
        <w:t>titulu předfinancování uskutečněného v</w:t>
      </w:r>
      <w:r w:rsidR="007405FC" w:rsidRPr="00E76F52">
        <w:rPr>
          <w:rFonts w:ascii="Calibri" w:hAnsi="Calibri" w:cs="Calibri"/>
          <w:bCs/>
          <w:iCs/>
          <w:color w:val="000000"/>
          <w:sz w:val="24"/>
          <w:szCs w:val="24"/>
        </w:rPr>
        <w:t xml:space="preserve"> </w:t>
      </w:r>
      <w:r w:rsidR="00341E1B">
        <w:rPr>
          <w:rFonts w:ascii="Calibri" w:hAnsi="Calibri" w:cs="Calibri"/>
          <w:bCs/>
          <w:iCs/>
          <w:color w:val="000000"/>
          <w:sz w:val="24"/>
          <w:szCs w:val="24"/>
        </w:rPr>
        <w:t>roce 2013 a </w:t>
      </w:r>
      <w:r w:rsidR="00AD09E8" w:rsidRPr="00E76F52">
        <w:rPr>
          <w:rFonts w:ascii="Calibri" w:hAnsi="Calibri" w:cs="Calibri"/>
          <w:bCs/>
          <w:iCs/>
          <w:color w:val="000000"/>
          <w:sz w:val="24"/>
          <w:szCs w:val="24"/>
        </w:rPr>
        <w:t>v</w:t>
      </w:r>
      <w:r w:rsidR="00341E1B">
        <w:rPr>
          <w:rFonts w:ascii="Calibri" w:hAnsi="Calibri" w:cs="Calibri"/>
          <w:bCs/>
          <w:iCs/>
          <w:color w:val="000000"/>
          <w:sz w:val="24"/>
          <w:szCs w:val="24"/>
        </w:rPr>
        <w:t> </w:t>
      </w:r>
      <w:r w:rsidR="00AD09E8" w:rsidRPr="00E76F52">
        <w:rPr>
          <w:rFonts w:ascii="Calibri" w:hAnsi="Calibri" w:cs="Calibri"/>
          <w:bCs/>
          <w:iCs/>
          <w:color w:val="000000"/>
          <w:sz w:val="24"/>
          <w:szCs w:val="24"/>
        </w:rPr>
        <w:t>témže roce nenárokovaném k</w:t>
      </w:r>
      <w:r w:rsidR="007405FC" w:rsidRPr="00E76F52">
        <w:rPr>
          <w:rFonts w:ascii="Calibri" w:hAnsi="Calibri" w:cs="Calibri"/>
          <w:bCs/>
          <w:iCs/>
          <w:color w:val="000000"/>
          <w:sz w:val="24"/>
          <w:szCs w:val="24"/>
        </w:rPr>
        <w:t xml:space="preserve"> </w:t>
      </w:r>
      <w:r w:rsidR="00AD09E8" w:rsidRPr="00E76F52">
        <w:rPr>
          <w:rFonts w:ascii="Calibri" w:hAnsi="Calibri" w:cs="Calibri"/>
          <w:bCs/>
          <w:iCs/>
          <w:color w:val="000000"/>
          <w:sz w:val="24"/>
          <w:szCs w:val="24"/>
        </w:rPr>
        <w:t xml:space="preserve">refundaci </w:t>
      </w:r>
      <w:r w:rsidR="00220DAF" w:rsidRPr="00E76F52">
        <w:rPr>
          <w:rFonts w:ascii="Calibri" w:hAnsi="Calibri" w:cs="Calibri"/>
          <w:bCs/>
          <w:iCs/>
          <w:color w:val="000000"/>
          <w:sz w:val="24"/>
          <w:szCs w:val="24"/>
        </w:rPr>
        <w:t>účtovalo o</w:t>
      </w:r>
      <w:r w:rsidR="00AD09E8" w:rsidRPr="00E76F52">
        <w:rPr>
          <w:rFonts w:ascii="Calibri" w:hAnsi="Calibri" w:cs="Calibri"/>
          <w:bCs/>
          <w:iCs/>
          <w:color w:val="000000"/>
          <w:sz w:val="24"/>
          <w:szCs w:val="24"/>
        </w:rPr>
        <w:t xml:space="preserve"> dohadn</w:t>
      </w:r>
      <w:r w:rsidR="00220DAF" w:rsidRPr="00E76F52">
        <w:rPr>
          <w:rFonts w:ascii="Calibri" w:hAnsi="Calibri" w:cs="Calibri"/>
          <w:bCs/>
          <w:iCs/>
          <w:color w:val="000000"/>
          <w:sz w:val="24"/>
          <w:szCs w:val="24"/>
        </w:rPr>
        <w:t>é</w:t>
      </w:r>
      <w:r w:rsidR="00AD09E8" w:rsidRPr="00E76F52">
        <w:rPr>
          <w:rFonts w:ascii="Calibri" w:hAnsi="Calibri" w:cs="Calibri"/>
          <w:bCs/>
          <w:iCs/>
          <w:color w:val="000000"/>
          <w:sz w:val="24"/>
          <w:szCs w:val="24"/>
        </w:rPr>
        <w:t xml:space="preserve"> polož</w:t>
      </w:r>
      <w:r w:rsidR="00220DAF" w:rsidRPr="00E76F52">
        <w:rPr>
          <w:rFonts w:ascii="Calibri" w:hAnsi="Calibri" w:cs="Calibri"/>
          <w:bCs/>
          <w:iCs/>
          <w:color w:val="000000"/>
          <w:sz w:val="24"/>
          <w:szCs w:val="24"/>
        </w:rPr>
        <w:t>ce</w:t>
      </w:r>
      <w:r w:rsidR="00AD09E8" w:rsidRPr="00E76F52">
        <w:rPr>
          <w:rFonts w:ascii="Calibri" w:hAnsi="Calibri" w:cs="Calibri"/>
          <w:bCs/>
          <w:iCs/>
          <w:color w:val="000000"/>
          <w:sz w:val="24"/>
          <w:szCs w:val="24"/>
        </w:rPr>
        <w:t xml:space="preserve"> aktivní a výnos</w:t>
      </w:r>
      <w:r w:rsidR="00220DAF" w:rsidRPr="00E76F52">
        <w:rPr>
          <w:rFonts w:ascii="Calibri" w:hAnsi="Calibri" w:cs="Calibri"/>
          <w:bCs/>
          <w:iCs/>
          <w:color w:val="000000"/>
          <w:sz w:val="24"/>
          <w:szCs w:val="24"/>
        </w:rPr>
        <w:t>ech</w:t>
      </w:r>
      <w:r w:rsidR="00AD09E8" w:rsidRPr="00E76F52">
        <w:rPr>
          <w:rFonts w:ascii="Calibri" w:hAnsi="Calibri" w:cs="Calibri"/>
          <w:bCs/>
          <w:iCs/>
          <w:color w:val="000000"/>
          <w:sz w:val="24"/>
          <w:szCs w:val="24"/>
        </w:rPr>
        <w:t>.</w:t>
      </w:r>
      <w:r w:rsidR="00AD09E8" w:rsidRPr="00E76F52">
        <w:rPr>
          <w:rFonts w:ascii="Calibri" w:hAnsi="Calibri" w:cs="Calibri"/>
          <w:color w:val="000000"/>
          <w:sz w:val="24"/>
          <w:szCs w:val="24"/>
        </w:rPr>
        <w:t xml:space="preserve"> </w:t>
      </w:r>
      <w:r w:rsidR="00763756" w:rsidRPr="00E76F52">
        <w:rPr>
          <w:rFonts w:ascii="Calibri" w:hAnsi="Calibri" w:cs="Calibri"/>
          <w:color w:val="000000"/>
          <w:sz w:val="24"/>
          <w:szCs w:val="24"/>
        </w:rPr>
        <w:t>MŽP za příjemce transferu ve smyslu ČÚS č. 703</w:t>
      </w:r>
      <w:r w:rsidR="00D052DF" w:rsidRPr="00E76F52">
        <w:rPr>
          <w:rFonts w:ascii="Calibri" w:hAnsi="Calibri" w:cs="Calibri"/>
          <w:color w:val="000000"/>
          <w:sz w:val="24"/>
          <w:szCs w:val="24"/>
        </w:rPr>
        <w:t xml:space="preserve"> ale</w:t>
      </w:r>
      <w:r w:rsidR="00FA7EC5" w:rsidRPr="00E76F52">
        <w:rPr>
          <w:rFonts w:ascii="Calibri" w:hAnsi="Calibri" w:cs="Calibri"/>
          <w:color w:val="000000"/>
          <w:sz w:val="24"/>
          <w:szCs w:val="24"/>
        </w:rPr>
        <w:t xml:space="preserve"> jednoznačně označit nelze</w:t>
      </w:r>
      <w:r w:rsidR="00763756" w:rsidRPr="00E76F52">
        <w:rPr>
          <w:rFonts w:ascii="Calibri" w:hAnsi="Calibri" w:cs="Calibri"/>
          <w:color w:val="000000"/>
          <w:sz w:val="24"/>
          <w:szCs w:val="24"/>
        </w:rPr>
        <w:t xml:space="preserve">, neboť </w:t>
      </w:r>
      <w:r w:rsidR="00D052DF" w:rsidRPr="00E76F52">
        <w:rPr>
          <w:rFonts w:ascii="Calibri" w:hAnsi="Calibri" w:cs="Calibri"/>
          <w:color w:val="000000"/>
          <w:sz w:val="24"/>
          <w:szCs w:val="24"/>
        </w:rPr>
        <w:t>není možné</w:t>
      </w:r>
      <w:r w:rsidR="00763756" w:rsidRPr="00E76F52">
        <w:rPr>
          <w:rFonts w:ascii="Calibri" w:hAnsi="Calibri" w:cs="Calibri"/>
          <w:color w:val="000000"/>
          <w:sz w:val="24"/>
          <w:szCs w:val="24"/>
        </w:rPr>
        <w:t xml:space="preserve"> jednoznačně vyvodit, že bylo konečným příjemcem</w:t>
      </w:r>
      <w:r w:rsidR="00261FBB" w:rsidRPr="00261FBB">
        <w:rPr>
          <w:rFonts w:ascii="Calibri" w:hAnsi="Calibri" w:cs="Calibri"/>
          <w:color w:val="000000"/>
          <w:sz w:val="24"/>
          <w:szCs w:val="24"/>
        </w:rPr>
        <w:t xml:space="preserve"> </w:t>
      </w:r>
      <w:r w:rsidR="00261FBB" w:rsidRPr="00E76F52">
        <w:rPr>
          <w:rFonts w:ascii="Calibri" w:hAnsi="Calibri" w:cs="Calibri"/>
          <w:color w:val="000000"/>
          <w:sz w:val="24"/>
          <w:szCs w:val="24"/>
        </w:rPr>
        <w:t>těchto peněžních prostředků</w:t>
      </w:r>
      <w:r w:rsidR="00964975" w:rsidRPr="00E76F52">
        <w:rPr>
          <w:rFonts w:ascii="Calibri" w:hAnsi="Calibri" w:cs="Calibri"/>
          <w:color w:val="000000"/>
          <w:sz w:val="24"/>
          <w:szCs w:val="24"/>
        </w:rPr>
        <w:t xml:space="preserve"> </w:t>
      </w:r>
      <w:r w:rsidR="00763756" w:rsidRPr="00E76F52">
        <w:rPr>
          <w:rFonts w:ascii="Calibri" w:hAnsi="Calibri" w:cs="Calibri"/>
          <w:color w:val="000000"/>
          <w:sz w:val="24"/>
          <w:szCs w:val="24"/>
        </w:rPr>
        <w:t>ve smyslu bodu 3.1 písm. c) ČÚS č. 703</w:t>
      </w:r>
      <w:r w:rsidR="00964975" w:rsidRPr="00E76F52">
        <w:rPr>
          <w:rFonts w:ascii="Calibri" w:hAnsi="Calibri" w:cs="Calibri"/>
          <w:color w:val="000000"/>
          <w:sz w:val="24"/>
          <w:szCs w:val="24"/>
        </w:rPr>
        <w:t xml:space="preserve">. </w:t>
      </w:r>
      <w:r w:rsidR="00D052DF" w:rsidRPr="00E76F52">
        <w:rPr>
          <w:rFonts w:ascii="Calibri" w:hAnsi="Calibri" w:cs="Calibri"/>
          <w:bCs/>
          <w:iCs/>
          <w:color w:val="000000"/>
          <w:sz w:val="24"/>
          <w:szCs w:val="24"/>
        </w:rPr>
        <w:t>Stejně tak není možné jednoznačně určit, že MŽP je v</w:t>
      </w:r>
      <w:r w:rsidR="00341E1B">
        <w:rPr>
          <w:rFonts w:ascii="Calibri" w:hAnsi="Calibri" w:cs="Calibri"/>
          <w:bCs/>
          <w:iCs/>
          <w:color w:val="000000"/>
          <w:sz w:val="24"/>
          <w:szCs w:val="24"/>
        </w:rPr>
        <w:t> </w:t>
      </w:r>
      <w:r w:rsidR="00D052DF" w:rsidRPr="00E76F52">
        <w:rPr>
          <w:rFonts w:ascii="Calibri" w:hAnsi="Calibri" w:cs="Calibri"/>
          <w:bCs/>
          <w:iCs/>
          <w:color w:val="000000"/>
          <w:sz w:val="24"/>
          <w:szCs w:val="24"/>
        </w:rPr>
        <w:t>těchto případech zprostředkovatelem, neboť ČÚS</w:t>
      </w:r>
      <w:r w:rsidR="00D93250" w:rsidRPr="00E76F52">
        <w:rPr>
          <w:rFonts w:ascii="Calibri" w:hAnsi="Calibri" w:cs="Calibri"/>
          <w:bCs/>
          <w:iCs/>
          <w:color w:val="000000"/>
          <w:sz w:val="24"/>
          <w:szCs w:val="24"/>
        </w:rPr>
        <w:t xml:space="preserve"> č.</w:t>
      </w:r>
      <w:r w:rsidR="00D052DF" w:rsidRPr="00E76F52">
        <w:rPr>
          <w:rFonts w:ascii="Calibri" w:hAnsi="Calibri" w:cs="Calibri"/>
          <w:bCs/>
          <w:iCs/>
          <w:color w:val="000000"/>
          <w:sz w:val="24"/>
          <w:szCs w:val="24"/>
        </w:rPr>
        <w:t xml:space="preserve"> 703</w:t>
      </w:r>
      <w:r w:rsidR="0051228F" w:rsidRPr="00E76F52">
        <w:rPr>
          <w:rFonts w:ascii="Calibri" w:hAnsi="Calibri" w:cs="Calibri"/>
          <w:bCs/>
          <w:iCs/>
          <w:color w:val="000000"/>
          <w:sz w:val="24"/>
          <w:szCs w:val="24"/>
        </w:rPr>
        <w:t xml:space="preserve"> v</w:t>
      </w:r>
      <w:r w:rsidR="00261FBB">
        <w:rPr>
          <w:rFonts w:ascii="Calibri" w:hAnsi="Calibri" w:cs="Calibri"/>
          <w:bCs/>
          <w:iCs/>
          <w:color w:val="000000"/>
          <w:sz w:val="24"/>
          <w:szCs w:val="24"/>
        </w:rPr>
        <w:t> </w:t>
      </w:r>
      <w:r w:rsidR="0051228F" w:rsidRPr="00E76F52">
        <w:rPr>
          <w:rFonts w:ascii="Calibri" w:hAnsi="Calibri" w:cs="Calibri"/>
          <w:bCs/>
          <w:iCs/>
          <w:color w:val="000000"/>
          <w:sz w:val="24"/>
          <w:szCs w:val="24"/>
        </w:rPr>
        <w:t>bodě 5.1.2</w:t>
      </w:r>
      <w:r w:rsidR="00763756" w:rsidRPr="00E76F52">
        <w:rPr>
          <w:rFonts w:ascii="Calibri" w:hAnsi="Calibri" w:cs="Calibri"/>
          <w:bCs/>
          <w:iCs/>
          <w:color w:val="000000"/>
          <w:sz w:val="24"/>
          <w:szCs w:val="24"/>
        </w:rPr>
        <w:t xml:space="preserve"> stanoví, že jde o</w:t>
      </w:r>
      <w:r w:rsidR="00341E1B">
        <w:rPr>
          <w:rFonts w:ascii="Calibri" w:hAnsi="Calibri" w:cs="Calibri"/>
          <w:bCs/>
          <w:iCs/>
          <w:color w:val="000000"/>
          <w:sz w:val="24"/>
          <w:szCs w:val="24"/>
        </w:rPr>
        <w:t> </w:t>
      </w:r>
      <w:r w:rsidR="00763756" w:rsidRPr="00E76F52">
        <w:rPr>
          <w:rFonts w:ascii="Calibri" w:hAnsi="Calibri" w:cs="Calibri"/>
          <w:bCs/>
          <w:iCs/>
          <w:color w:val="000000"/>
          <w:sz w:val="24"/>
          <w:szCs w:val="24"/>
        </w:rPr>
        <w:t xml:space="preserve">takové </w:t>
      </w:r>
      <w:r w:rsidR="00D052DF" w:rsidRPr="00E76F52">
        <w:rPr>
          <w:rFonts w:ascii="Calibri" w:hAnsi="Calibri" w:cs="Calibri"/>
          <w:bCs/>
          <w:iCs/>
          <w:color w:val="000000"/>
          <w:sz w:val="24"/>
          <w:szCs w:val="24"/>
        </w:rPr>
        <w:t>případy</w:t>
      </w:r>
      <w:r w:rsidR="00C2154D" w:rsidRPr="00E76F52">
        <w:rPr>
          <w:rFonts w:ascii="Calibri" w:hAnsi="Calibri" w:cs="Calibri"/>
          <w:bCs/>
          <w:iCs/>
          <w:color w:val="000000"/>
          <w:sz w:val="24"/>
          <w:szCs w:val="24"/>
        </w:rPr>
        <w:t xml:space="preserve">, kdy vybraná účetní jednotka nejprve přijme peněžní prostředky určené ke </w:t>
      </w:r>
      <w:r w:rsidR="00C2154D" w:rsidRPr="00E76F52">
        <w:rPr>
          <w:rFonts w:ascii="Calibri" w:hAnsi="Calibri" w:cs="Calibri"/>
          <w:bCs/>
          <w:iCs/>
          <w:color w:val="000000"/>
          <w:sz w:val="24"/>
          <w:szCs w:val="24"/>
        </w:rPr>
        <w:lastRenderedPageBreak/>
        <w:t>zprostředkování a</w:t>
      </w:r>
      <w:r w:rsidR="00EF58D3" w:rsidRPr="00E76F52">
        <w:rPr>
          <w:rFonts w:ascii="Calibri" w:hAnsi="Calibri" w:cs="Calibri"/>
          <w:bCs/>
          <w:iCs/>
          <w:color w:val="000000"/>
          <w:sz w:val="24"/>
          <w:szCs w:val="24"/>
        </w:rPr>
        <w:t> </w:t>
      </w:r>
      <w:r w:rsidR="00C2154D" w:rsidRPr="00E76F52">
        <w:rPr>
          <w:rFonts w:ascii="Calibri" w:hAnsi="Calibri" w:cs="Calibri"/>
          <w:bCs/>
          <w:iCs/>
          <w:color w:val="000000"/>
          <w:sz w:val="24"/>
          <w:szCs w:val="24"/>
        </w:rPr>
        <w:t>teprve následně je po</w:t>
      </w:r>
      <w:r w:rsidR="00A2567C" w:rsidRPr="00E76F52">
        <w:rPr>
          <w:rFonts w:ascii="Calibri" w:hAnsi="Calibri" w:cs="Calibri"/>
          <w:bCs/>
          <w:iCs/>
          <w:color w:val="000000"/>
          <w:sz w:val="24"/>
          <w:szCs w:val="24"/>
        </w:rPr>
        <w:t xml:space="preserve">skytne konečnému příjemci. </w:t>
      </w:r>
      <w:r w:rsidR="00B243DB" w:rsidRPr="00E76F52">
        <w:rPr>
          <w:rFonts w:ascii="Calibri" w:hAnsi="Calibri" w:cs="Calibri"/>
          <w:bCs/>
          <w:iCs/>
          <w:color w:val="000000"/>
          <w:sz w:val="24"/>
          <w:szCs w:val="24"/>
        </w:rPr>
        <w:t xml:space="preserve">Tyto postupy </w:t>
      </w:r>
      <w:r w:rsidR="007D4E14" w:rsidRPr="00E76F52">
        <w:rPr>
          <w:rFonts w:ascii="Calibri" w:hAnsi="Calibri" w:cs="Calibri"/>
          <w:bCs/>
          <w:iCs/>
          <w:color w:val="000000"/>
          <w:sz w:val="24"/>
          <w:szCs w:val="24"/>
        </w:rPr>
        <w:t>jsou na předfinancování neaplikovatelné.</w:t>
      </w:r>
    </w:p>
    <w:p w:rsidR="005416A5" w:rsidRPr="00E76F52" w:rsidRDefault="005416A5" w:rsidP="00E76F52">
      <w:pPr>
        <w:spacing w:after="0" w:line="240" w:lineRule="auto"/>
        <w:jc w:val="both"/>
        <w:rPr>
          <w:rFonts w:ascii="Calibri" w:hAnsi="Calibri" w:cs="Calibri"/>
          <w:bCs/>
          <w:iCs/>
          <w:color w:val="000000"/>
          <w:sz w:val="24"/>
          <w:szCs w:val="24"/>
        </w:rPr>
      </w:pPr>
    </w:p>
    <w:p w:rsidR="00A524F3" w:rsidRDefault="00885D61" w:rsidP="00E76F52">
      <w:pPr>
        <w:spacing w:after="0" w:line="240" w:lineRule="auto"/>
        <w:jc w:val="both"/>
        <w:rPr>
          <w:rFonts w:ascii="Calibri" w:hAnsi="Calibri" w:cs="Calibri"/>
          <w:color w:val="000000"/>
          <w:sz w:val="24"/>
          <w:szCs w:val="24"/>
        </w:rPr>
      </w:pPr>
      <w:r w:rsidRPr="00E76F52">
        <w:rPr>
          <w:rFonts w:ascii="Calibri" w:hAnsi="Calibri" w:cs="Calibri"/>
          <w:color w:val="000000"/>
          <w:sz w:val="24"/>
          <w:szCs w:val="24"/>
        </w:rPr>
        <w:t xml:space="preserve">V </w:t>
      </w:r>
      <w:r w:rsidR="000A193D" w:rsidRPr="00E76F52">
        <w:rPr>
          <w:rFonts w:ascii="Calibri" w:hAnsi="Calibri" w:cs="Calibri"/>
          <w:color w:val="000000"/>
          <w:sz w:val="24"/>
          <w:szCs w:val="24"/>
        </w:rPr>
        <w:t xml:space="preserve">ČÚS č. 703 </w:t>
      </w:r>
      <w:r w:rsidR="007D4E14" w:rsidRPr="00E76F52">
        <w:rPr>
          <w:rFonts w:ascii="Calibri" w:hAnsi="Calibri" w:cs="Calibri"/>
          <w:color w:val="000000"/>
          <w:sz w:val="24"/>
          <w:szCs w:val="24"/>
        </w:rPr>
        <w:t xml:space="preserve">tak </w:t>
      </w:r>
      <w:r w:rsidR="00D03040" w:rsidRPr="00E76F52">
        <w:rPr>
          <w:rFonts w:ascii="Calibri" w:hAnsi="Calibri" w:cs="Calibri"/>
          <w:color w:val="000000"/>
          <w:sz w:val="24"/>
          <w:szCs w:val="24"/>
        </w:rPr>
        <w:t>nebylo</w:t>
      </w:r>
      <w:r w:rsidR="00A70913" w:rsidRPr="00E76F52">
        <w:rPr>
          <w:rFonts w:ascii="Calibri" w:hAnsi="Calibri" w:cs="Calibri"/>
          <w:color w:val="000000"/>
          <w:sz w:val="24"/>
          <w:szCs w:val="24"/>
        </w:rPr>
        <w:t xml:space="preserve"> jednoznačně stanoveno, zda </w:t>
      </w:r>
      <w:r w:rsidR="00C34A18" w:rsidRPr="00E76F52">
        <w:rPr>
          <w:rFonts w:ascii="Calibri" w:hAnsi="Calibri" w:cs="Calibri"/>
          <w:color w:val="000000"/>
          <w:sz w:val="24"/>
          <w:szCs w:val="24"/>
        </w:rPr>
        <w:t>je</w:t>
      </w:r>
      <w:r w:rsidR="00A70913" w:rsidRPr="00E76F52">
        <w:rPr>
          <w:rFonts w:ascii="Calibri" w:hAnsi="Calibri" w:cs="Calibri"/>
          <w:color w:val="000000"/>
          <w:sz w:val="24"/>
          <w:szCs w:val="24"/>
        </w:rPr>
        <w:t xml:space="preserve"> </w:t>
      </w:r>
      <w:r w:rsidR="00C34A18" w:rsidRPr="00E76F52">
        <w:rPr>
          <w:rFonts w:ascii="Calibri" w:hAnsi="Calibri" w:cs="Calibri"/>
          <w:color w:val="000000"/>
          <w:sz w:val="24"/>
          <w:szCs w:val="24"/>
        </w:rPr>
        <w:t>vybraná účetní jednotka v</w:t>
      </w:r>
      <w:r w:rsidR="007405FC" w:rsidRPr="00E76F52">
        <w:rPr>
          <w:rFonts w:ascii="Calibri" w:hAnsi="Calibri" w:cs="Calibri"/>
          <w:color w:val="000000"/>
          <w:sz w:val="24"/>
          <w:szCs w:val="24"/>
        </w:rPr>
        <w:t xml:space="preserve"> </w:t>
      </w:r>
      <w:r w:rsidR="00C34A18" w:rsidRPr="00E76F52">
        <w:rPr>
          <w:rFonts w:ascii="Calibri" w:hAnsi="Calibri" w:cs="Calibri"/>
          <w:color w:val="000000"/>
          <w:sz w:val="24"/>
          <w:szCs w:val="24"/>
        </w:rPr>
        <w:t>případě předfinancování transferů spolufina</w:t>
      </w:r>
      <w:r w:rsidR="00EB1756" w:rsidRPr="00E76F52">
        <w:rPr>
          <w:rFonts w:ascii="Calibri" w:hAnsi="Calibri" w:cs="Calibri"/>
          <w:color w:val="000000"/>
          <w:sz w:val="24"/>
          <w:szCs w:val="24"/>
        </w:rPr>
        <w:t>nc</w:t>
      </w:r>
      <w:r w:rsidR="00C34A18" w:rsidRPr="00E76F52">
        <w:rPr>
          <w:rFonts w:ascii="Calibri" w:hAnsi="Calibri" w:cs="Calibri"/>
          <w:color w:val="000000"/>
          <w:sz w:val="24"/>
          <w:szCs w:val="24"/>
        </w:rPr>
        <w:t>ovaných</w:t>
      </w:r>
      <w:r w:rsidR="00EB1756" w:rsidRPr="00E76F52">
        <w:rPr>
          <w:rFonts w:ascii="Calibri" w:hAnsi="Calibri" w:cs="Calibri"/>
          <w:color w:val="000000"/>
          <w:sz w:val="24"/>
          <w:szCs w:val="24"/>
        </w:rPr>
        <w:t xml:space="preserve"> </w:t>
      </w:r>
      <w:r w:rsidR="00C34A18" w:rsidRPr="00E76F52">
        <w:rPr>
          <w:rFonts w:ascii="Calibri" w:hAnsi="Calibri" w:cs="Calibri"/>
          <w:color w:val="000000"/>
          <w:sz w:val="24"/>
          <w:szCs w:val="24"/>
        </w:rPr>
        <w:t>z rozpočtu E</w:t>
      </w:r>
      <w:r w:rsidR="00166B50">
        <w:rPr>
          <w:rFonts w:ascii="Calibri" w:hAnsi="Calibri" w:cs="Calibri"/>
          <w:color w:val="000000"/>
          <w:sz w:val="24"/>
          <w:szCs w:val="24"/>
        </w:rPr>
        <w:t>U</w:t>
      </w:r>
      <w:r w:rsidR="00C34A18" w:rsidRPr="00E76F52">
        <w:rPr>
          <w:rFonts w:ascii="Calibri" w:hAnsi="Calibri" w:cs="Calibri"/>
          <w:color w:val="000000"/>
          <w:sz w:val="24"/>
          <w:szCs w:val="24"/>
        </w:rPr>
        <w:t xml:space="preserve"> </w:t>
      </w:r>
      <w:r w:rsidR="002A2A8A" w:rsidRPr="00E76F52">
        <w:rPr>
          <w:rFonts w:ascii="Calibri" w:hAnsi="Calibri" w:cs="Calibri"/>
          <w:color w:val="000000"/>
          <w:sz w:val="24"/>
          <w:szCs w:val="24"/>
        </w:rPr>
        <w:t>v</w:t>
      </w:r>
      <w:r w:rsidR="007405FC" w:rsidRPr="00E76F52">
        <w:rPr>
          <w:rFonts w:ascii="Calibri" w:hAnsi="Calibri" w:cs="Calibri"/>
          <w:color w:val="000000"/>
          <w:sz w:val="24"/>
          <w:szCs w:val="24"/>
        </w:rPr>
        <w:t xml:space="preserve"> </w:t>
      </w:r>
      <w:r w:rsidR="002A2A8A" w:rsidRPr="00E76F52">
        <w:rPr>
          <w:rFonts w:ascii="Calibri" w:hAnsi="Calibri" w:cs="Calibri"/>
          <w:color w:val="000000"/>
          <w:sz w:val="24"/>
          <w:szCs w:val="24"/>
        </w:rPr>
        <w:t xml:space="preserve">roli poskytovatele </w:t>
      </w:r>
      <w:r w:rsidR="00595F2C">
        <w:rPr>
          <w:rFonts w:ascii="Calibri" w:hAnsi="Calibri" w:cs="Calibri"/>
          <w:color w:val="000000"/>
          <w:sz w:val="24"/>
          <w:szCs w:val="24"/>
        </w:rPr>
        <w:t>a </w:t>
      </w:r>
      <w:r w:rsidR="002A2A8A" w:rsidRPr="00E76F52">
        <w:rPr>
          <w:rFonts w:ascii="Calibri" w:hAnsi="Calibri" w:cs="Calibri"/>
          <w:color w:val="000000"/>
          <w:sz w:val="24"/>
          <w:szCs w:val="24"/>
        </w:rPr>
        <w:t xml:space="preserve">příjemce nebo </w:t>
      </w:r>
      <w:r w:rsidR="00595F2C">
        <w:rPr>
          <w:rFonts w:ascii="Calibri" w:hAnsi="Calibri" w:cs="Calibri"/>
          <w:color w:val="000000"/>
          <w:sz w:val="24"/>
          <w:szCs w:val="24"/>
        </w:rPr>
        <w:t xml:space="preserve">v roli </w:t>
      </w:r>
      <w:r w:rsidR="002A2A8A" w:rsidRPr="00E76F52">
        <w:rPr>
          <w:rFonts w:ascii="Calibri" w:hAnsi="Calibri" w:cs="Calibri"/>
          <w:color w:val="000000"/>
          <w:sz w:val="24"/>
          <w:szCs w:val="24"/>
        </w:rPr>
        <w:t xml:space="preserve">zprostředkovatele. </w:t>
      </w:r>
      <w:r w:rsidR="00835CE2" w:rsidRPr="00E76F52">
        <w:rPr>
          <w:rFonts w:ascii="Calibri" w:hAnsi="Calibri" w:cs="Calibri"/>
          <w:color w:val="000000"/>
          <w:sz w:val="24"/>
          <w:szCs w:val="24"/>
        </w:rPr>
        <w:t>To u</w:t>
      </w:r>
      <w:r w:rsidR="00D03040" w:rsidRPr="00E76F52">
        <w:rPr>
          <w:rFonts w:ascii="Calibri" w:hAnsi="Calibri" w:cs="Calibri"/>
          <w:color w:val="000000"/>
          <w:sz w:val="24"/>
          <w:szCs w:val="24"/>
        </w:rPr>
        <w:t>možnilo</w:t>
      </w:r>
      <w:r w:rsidR="002A2A8A" w:rsidRPr="00E76F52">
        <w:rPr>
          <w:rFonts w:ascii="Calibri" w:hAnsi="Calibri" w:cs="Calibri"/>
          <w:color w:val="000000"/>
          <w:sz w:val="24"/>
          <w:szCs w:val="24"/>
        </w:rPr>
        <w:t xml:space="preserve"> </w:t>
      </w:r>
      <w:r w:rsidR="00456C9B" w:rsidRPr="00E76F52">
        <w:rPr>
          <w:rFonts w:ascii="Calibri" w:hAnsi="Calibri" w:cs="Calibri"/>
          <w:color w:val="000000"/>
          <w:sz w:val="24"/>
          <w:szCs w:val="24"/>
        </w:rPr>
        <w:t>různé výklady</w:t>
      </w:r>
      <w:r w:rsidR="00595F2C">
        <w:rPr>
          <w:rFonts w:ascii="Calibri" w:hAnsi="Calibri" w:cs="Calibri"/>
          <w:color w:val="000000"/>
          <w:sz w:val="24"/>
          <w:szCs w:val="24"/>
        </w:rPr>
        <w:t xml:space="preserve"> o tom</w:t>
      </w:r>
      <w:r w:rsidR="00456C9B" w:rsidRPr="00E76F52">
        <w:rPr>
          <w:rFonts w:ascii="Calibri" w:hAnsi="Calibri" w:cs="Calibri"/>
          <w:color w:val="000000"/>
          <w:sz w:val="24"/>
          <w:szCs w:val="24"/>
        </w:rPr>
        <w:t xml:space="preserve">, jak </w:t>
      </w:r>
      <w:r w:rsidR="00595F2C">
        <w:rPr>
          <w:rFonts w:ascii="Calibri" w:hAnsi="Calibri" w:cs="Calibri"/>
          <w:color w:val="000000"/>
          <w:sz w:val="24"/>
          <w:szCs w:val="24"/>
        </w:rPr>
        <w:t xml:space="preserve">by měly vybrané účetní jednotky </w:t>
      </w:r>
      <w:r w:rsidR="00456C9B" w:rsidRPr="00E76F52">
        <w:rPr>
          <w:rFonts w:ascii="Calibri" w:hAnsi="Calibri" w:cs="Calibri"/>
          <w:color w:val="000000"/>
          <w:sz w:val="24"/>
          <w:szCs w:val="24"/>
        </w:rPr>
        <w:t>účtovat o</w:t>
      </w:r>
      <w:r w:rsidR="00166B50">
        <w:rPr>
          <w:rFonts w:ascii="Calibri" w:hAnsi="Calibri" w:cs="Calibri"/>
          <w:color w:val="000000"/>
          <w:sz w:val="24"/>
          <w:szCs w:val="24"/>
        </w:rPr>
        <w:t> </w:t>
      </w:r>
      <w:r w:rsidR="00456C9B" w:rsidRPr="00E76F52">
        <w:rPr>
          <w:rFonts w:ascii="Calibri" w:hAnsi="Calibri" w:cs="Calibri"/>
          <w:color w:val="000000"/>
          <w:sz w:val="24"/>
          <w:szCs w:val="24"/>
        </w:rPr>
        <w:t>prostředcích poskytnutých</w:t>
      </w:r>
      <w:r w:rsidR="00595F2C">
        <w:rPr>
          <w:rFonts w:ascii="Calibri" w:hAnsi="Calibri" w:cs="Calibri"/>
          <w:color w:val="000000"/>
          <w:sz w:val="24"/>
          <w:szCs w:val="24"/>
        </w:rPr>
        <w:t xml:space="preserve"> a následně refundovaných</w:t>
      </w:r>
      <w:r w:rsidR="00456C9B" w:rsidRPr="00E76F52">
        <w:rPr>
          <w:rFonts w:ascii="Calibri" w:hAnsi="Calibri" w:cs="Calibri"/>
          <w:color w:val="000000"/>
          <w:sz w:val="24"/>
          <w:szCs w:val="24"/>
        </w:rPr>
        <w:t xml:space="preserve"> v</w:t>
      </w:r>
      <w:r w:rsidR="007405FC" w:rsidRPr="00E76F52">
        <w:rPr>
          <w:rFonts w:ascii="Calibri" w:hAnsi="Calibri" w:cs="Calibri"/>
          <w:color w:val="000000"/>
          <w:sz w:val="24"/>
          <w:szCs w:val="24"/>
        </w:rPr>
        <w:t xml:space="preserve"> </w:t>
      </w:r>
      <w:r w:rsidR="00456C9B" w:rsidRPr="00E76F52">
        <w:rPr>
          <w:rFonts w:ascii="Calibri" w:hAnsi="Calibri" w:cs="Calibri"/>
          <w:color w:val="000000"/>
          <w:sz w:val="24"/>
          <w:szCs w:val="24"/>
        </w:rPr>
        <w:t>rámci předfinancování</w:t>
      </w:r>
      <w:r w:rsidR="00941BF0" w:rsidRPr="00E76F52">
        <w:rPr>
          <w:rFonts w:ascii="Calibri" w:hAnsi="Calibri" w:cs="Calibri"/>
          <w:color w:val="000000"/>
          <w:sz w:val="24"/>
          <w:szCs w:val="24"/>
        </w:rPr>
        <w:t xml:space="preserve">. </w:t>
      </w:r>
      <w:r w:rsidR="00456C9B" w:rsidRPr="00E76F52">
        <w:rPr>
          <w:rFonts w:ascii="Calibri" w:hAnsi="Calibri" w:cs="Calibri"/>
          <w:color w:val="000000"/>
          <w:sz w:val="24"/>
          <w:szCs w:val="24"/>
        </w:rPr>
        <w:t>Účetní jednotky proto mohly k</w:t>
      </w:r>
      <w:r w:rsidR="007405FC" w:rsidRPr="00E76F52">
        <w:rPr>
          <w:rFonts w:ascii="Calibri" w:hAnsi="Calibri" w:cs="Calibri"/>
          <w:color w:val="000000"/>
          <w:sz w:val="24"/>
          <w:szCs w:val="24"/>
        </w:rPr>
        <w:t xml:space="preserve"> </w:t>
      </w:r>
      <w:r w:rsidR="00456C9B" w:rsidRPr="00E76F52">
        <w:rPr>
          <w:rFonts w:ascii="Calibri" w:hAnsi="Calibri" w:cs="Calibri"/>
          <w:color w:val="000000"/>
          <w:sz w:val="24"/>
          <w:szCs w:val="24"/>
        </w:rPr>
        <w:t>určení</w:t>
      </w:r>
      <w:r w:rsidR="006972CF" w:rsidRPr="00E76F52">
        <w:rPr>
          <w:rFonts w:ascii="Calibri" w:hAnsi="Calibri" w:cs="Calibri"/>
          <w:color w:val="000000"/>
          <w:sz w:val="24"/>
          <w:szCs w:val="24"/>
        </w:rPr>
        <w:t xml:space="preserve"> své</w:t>
      </w:r>
      <w:r w:rsidR="00456C9B" w:rsidRPr="00E76F52">
        <w:rPr>
          <w:rFonts w:ascii="Calibri" w:hAnsi="Calibri" w:cs="Calibri"/>
          <w:color w:val="000000"/>
          <w:sz w:val="24"/>
          <w:szCs w:val="24"/>
        </w:rPr>
        <w:t xml:space="preserve"> role</w:t>
      </w:r>
      <w:r w:rsidR="00621644" w:rsidRPr="00E76F52">
        <w:rPr>
          <w:rFonts w:ascii="Calibri" w:hAnsi="Calibri" w:cs="Calibri"/>
          <w:color w:val="000000"/>
          <w:sz w:val="24"/>
          <w:szCs w:val="24"/>
        </w:rPr>
        <w:t xml:space="preserve"> </w:t>
      </w:r>
      <w:r w:rsidR="00F90842" w:rsidRPr="00E76F52">
        <w:rPr>
          <w:rFonts w:ascii="Calibri" w:hAnsi="Calibri" w:cs="Calibri"/>
          <w:color w:val="000000"/>
          <w:sz w:val="24"/>
          <w:szCs w:val="24"/>
        </w:rPr>
        <w:t xml:space="preserve">přistupovat </w:t>
      </w:r>
      <w:r w:rsidR="00621644" w:rsidRPr="00E76F52">
        <w:rPr>
          <w:rFonts w:ascii="Calibri" w:hAnsi="Calibri" w:cs="Calibri"/>
          <w:color w:val="000000"/>
          <w:sz w:val="24"/>
          <w:szCs w:val="24"/>
        </w:rPr>
        <w:t>rozdílně</w:t>
      </w:r>
      <w:r w:rsidR="00FA7EC5" w:rsidRPr="00E76F52">
        <w:rPr>
          <w:rFonts w:ascii="Calibri" w:hAnsi="Calibri" w:cs="Calibri"/>
          <w:color w:val="000000"/>
          <w:sz w:val="24"/>
          <w:szCs w:val="24"/>
        </w:rPr>
        <w:t xml:space="preserve">, </w:t>
      </w:r>
      <w:r w:rsidR="00456C9B" w:rsidRPr="00E76F52">
        <w:rPr>
          <w:rFonts w:ascii="Calibri" w:hAnsi="Calibri" w:cs="Calibri"/>
          <w:color w:val="000000"/>
          <w:sz w:val="24"/>
          <w:szCs w:val="24"/>
        </w:rPr>
        <w:t>a údaje vykázané v</w:t>
      </w:r>
      <w:r w:rsidR="007405FC" w:rsidRPr="00E76F52">
        <w:rPr>
          <w:rFonts w:ascii="Calibri" w:hAnsi="Calibri" w:cs="Calibri"/>
          <w:color w:val="000000"/>
          <w:sz w:val="24"/>
          <w:szCs w:val="24"/>
        </w:rPr>
        <w:t xml:space="preserve"> </w:t>
      </w:r>
      <w:r w:rsidR="00456C9B" w:rsidRPr="00E76F52">
        <w:rPr>
          <w:rFonts w:ascii="Calibri" w:hAnsi="Calibri" w:cs="Calibri"/>
          <w:color w:val="000000"/>
          <w:sz w:val="24"/>
          <w:szCs w:val="24"/>
        </w:rPr>
        <w:t>účetních závěrkách</w:t>
      </w:r>
      <w:r w:rsidR="000B3B0B" w:rsidRPr="00E76F52">
        <w:rPr>
          <w:rFonts w:ascii="Calibri" w:hAnsi="Calibri" w:cs="Calibri"/>
          <w:color w:val="000000"/>
          <w:sz w:val="24"/>
          <w:szCs w:val="24"/>
        </w:rPr>
        <w:t xml:space="preserve"> vybraných účetních jednotek</w:t>
      </w:r>
      <w:r w:rsidR="00456C9B" w:rsidRPr="00E76F52">
        <w:rPr>
          <w:rFonts w:ascii="Calibri" w:hAnsi="Calibri" w:cs="Calibri"/>
          <w:color w:val="000000"/>
          <w:sz w:val="24"/>
          <w:szCs w:val="24"/>
        </w:rPr>
        <w:t xml:space="preserve"> tak mohou být v</w:t>
      </w:r>
      <w:r w:rsidR="007405FC" w:rsidRPr="00E76F52">
        <w:rPr>
          <w:rFonts w:ascii="Calibri" w:hAnsi="Calibri" w:cs="Calibri"/>
          <w:color w:val="000000"/>
          <w:sz w:val="24"/>
          <w:szCs w:val="24"/>
        </w:rPr>
        <w:t xml:space="preserve"> </w:t>
      </w:r>
      <w:r w:rsidR="00456C9B" w:rsidRPr="00E76F52">
        <w:rPr>
          <w:rFonts w:ascii="Calibri" w:hAnsi="Calibri" w:cs="Calibri"/>
          <w:color w:val="000000"/>
          <w:sz w:val="24"/>
          <w:szCs w:val="24"/>
        </w:rPr>
        <w:t>důsledku odlišného vykazování</w:t>
      </w:r>
      <w:r w:rsidR="00FA7EC5" w:rsidRPr="00E76F52">
        <w:rPr>
          <w:rFonts w:ascii="Calibri" w:hAnsi="Calibri" w:cs="Calibri"/>
          <w:color w:val="000000"/>
          <w:sz w:val="24"/>
          <w:szCs w:val="24"/>
        </w:rPr>
        <w:t xml:space="preserve"> v</w:t>
      </w:r>
      <w:r w:rsidR="008D6A3D" w:rsidRPr="00E76F52">
        <w:rPr>
          <w:rFonts w:ascii="Calibri" w:hAnsi="Calibri" w:cs="Calibri"/>
          <w:color w:val="000000"/>
          <w:sz w:val="24"/>
          <w:szCs w:val="24"/>
        </w:rPr>
        <w:t> </w:t>
      </w:r>
      <w:r w:rsidR="00A442CE" w:rsidRPr="00E76F52">
        <w:rPr>
          <w:rFonts w:ascii="Calibri" w:hAnsi="Calibri" w:cs="Calibri"/>
          <w:color w:val="000000"/>
          <w:sz w:val="24"/>
          <w:szCs w:val="24"/>
        </w:rPr>
        <w:t>této</w:t>
      </w:r>
      <w:r w:rsidR="008D6A3D" w:rsidRPr="00E76F52">
        <w:rPr>
          <w:rFonts w:ascii="Calibri" w:hAnsi="Calibri" w:cs="Calibri"/>
          <w:color w:val="000000"/>
          <w:sz w:val="24"/>
          <w:szCs w:val="24"/>
        </w:rPr>
        <w:t xml:space="preserve"> </w:t>
      </w:r>
      <w:r w:rsidR="00A442CE" w:rsidRPr="00E76F52">
        <w:rPr>
          <w:rFonts w:ascii="Calibri" w:hAnsi="Calibri" w:cs="Calibri"/>
          <w:color w:val="000000"/>
          <w:sz w:val="24"/>
          <w:szCs w:val="24"/>
        </w:rPr>
        <w:t>oblasti</w:t>
      </w:r>
      <w:r w:rsidR="00FA7EC5" w:rsidRPr="00E76F52">
        <w:rPr>
          <w:rFonts w:ascii="Calibri" w:hAnsi="Calibri" w:cs="Calibri"/>
          <w:color w:val="000000"/>
          <w:sz w:val="24"/>
          <w:szCs w:val="24"/>
        </w:rPr>
        <w:t xml:space="preserve"> </w:t>
      </w:r>
      <w:r w:rsidR="00456C9B" w:rsidRPr="00E76F52">
        <w:rPr>
          <w:rFonts w:ascii="Calibri" w:hAnsi="Calibri" w:cs="Calibri"/>
          <w:color w:val="000000"/>
          <w:sz w:val="24"/>
          <w:szCs w:val="24"/>
        </w:rPr>
        <w:t>nesrovnatelné.</w:t>
      </w:r>
      <w:r w:rsidR="00C85C45" w:rsidRPr="00E76F52">
        <w:rPr>
          <w:rFonts w:ascii="Calibri" w:hAnsi="Calibri" w:cs="Calibri"/>
          <w:color w:val="000000"/>
          <w:sz w:val="24"/>
          <w:szCs w:val="24"/>
        </w:rPr>
        <w:t xml:space="preserve"> </w:t>
      </w:r>
      <w:r w:rsidR="006972CF" w:rsidRPr="00E76F52">
        <w:rPr>
          <w:rFonts w:ascii="Calibri" w:hAnsi="Calibri" w:cs="Calibri"/>
          <w:color w:val="000000"/>
          <w:sz w:val="24"/>
          <w:szCs w:val="24"/>
        </w:rPr>
        <w:t>Z</w:t>
      </w:r>
      <w:r w:rsidR="007405FC" w:rsidRPr="00E76F52">
        <w:rPr>
          <w:rFonts w:ascii="Calibri" w:hAnsi="Calibri" w:cs="Calibri"/>
          <w:color w:val="000000"/>
          <w:sz w:val="24"/>
          <w:szCs w:val="24"/>
        </w:rPr>
        <w:t xml:space="preserve"> </w:t>
      </w:r>
      <w:r w:rsidR="006972CF" w:rsidRPr="00E76F52">
        <w:rPr>
          <w:rFonts w:ascii="Calibri" w:hAnsi="Calibri" w:cs="Calibri"/>
          <w:color w:val="000000"/>
          <w:sz w:val="24"/>
          <w:szCs w:val="24"/>
        </w:rPr>
        <w:t>uvedených</w:t>
      </w:r>
      <w:r w:rsidR="00C85C45" w:rsidRPr="00E76F52">
        <w:rPr>
          <w:rFonts w:ascii="Calibri" w:hAnsi="Calibri" w:cs="Calibri"/>
          <w:color w:val="000000"/>
          <w:sz w:val="24"/>
          <w:szCs w:val="24"/>
        </w:rPr>
        <w:t xml:space="preserve"> </w:t>
      </w:r>
      <w:r w:rsidR="006972CF" w:rsidRPr="00E76F52">
        <w:rPr>
          <w:rFonts w:ascii="Calibri" w:hAnsi="Calibri" w:cs="Calibri"/>
          <w:color w:val="000000"/>
          <w:sz w:val="24"/>
          <w:szCs w:val="24"/>
        </w:rPr>
        <w:t>důvodů nelze jednoznačně vyhodnotit soulad zvolených postupů účtování MŽP s</w:t>
      </w:r>
      <w:r w:rsidR="007405FC" w:rsidRPr="00E76F52">
        <w:rPr>
          <w:rFonts w:ascii="Calibri" w:hAnsi="Calibri" w:cs="Calibri"/>
          <w:color w:val="000000"/>
          <w:sz w:val="24"/>
          <w:szCs w:val="24"/>
        </w:rPr>
        <w:t xml:space="preserve"> </w:t>
      </w:r>
      <w:r w:rsidR="006972CF" w:rsidRPr="00E76F52">
        <w:rPr>
          <w:rFonts w:ascii="Calibri" w:hAnsi="Calibri" w:cs="Calibri"/>
          <w:color w:val="000000"/>
          <w:sz w:val="24"/>
          <w:szCs w:val="24"/>
        </w:rPr>
        <w:t>právními předpisy, a proto ani nelze vyhodnotit správnost vykázaných údajů. Přitom informace o těchto účetních případech jsou v</w:t>
      </w:r>
      <w:r w:rsidR="007405FC" w:rsidRPr="00E76F52">
        <w:rPr>
          <w:rFonts w:ascii="Calibri" w:hAnsi="Calibri" w:cs="Calibri"/>
          <w:color w:val="000000"/>
          <w:sz w:val="24"/>
          <w:szCs w:val="24"/>
        </w:rPr>
        <w:t xml:space="preserve"> </w:t>
      </w:r>
      <w:r w:rsidR="006972CF" w:rsidRPr="00E76F52">
        <w:rPr>
          <w:rFonts w:ascii="Calibri" w:hAnsi="Calibri" w:cs="Calibri"/>
          <w:color w:val="000000"/>
          <w:sz w:val="24"/>
          <w:szCs w:val="24"/>
        </w:rPr>
        <w:t>účetní závěrce MŽP</w:t>
      </w:r>
      <w:r w:rsidR="008F2445" w:rsidRPr="00E76F52">
        <w:rPr>
          <w:rFonts w:ascii="Calibri" w:hAnsi="Calibri" w:cs="Calibri"/>
          <w:color w:val="000000"/>
          <w:sz w:val="24"/>
          <w:szCs w:val="24"/>
        </w:rPr>
        <w:t xml:space="preserve"> </w:t>
      </w:r>
      <w:r w:rsidR="006972CF" w:rsidRPr="00E76F52">
        <w:rPr>
          <w:rFonts w:ascii="Calibri" w:hAnsi="Calibri" w:cs="Calibri"/>
          <w:color w:val="000000"/>
          <w:sz w:val="24"/>
          <w:szCs w:val="24"/>
        </w:rPr>
        <w:t>významné.</w:t>
      </w:r>
    </w:p>
    <w:p w:rsidR="005416A5" w:rsidRPr="00E76F52" w:rsidRDefault="005416A5" w:rsidP="00E76F52">
      <w:pPr>
        <w:spacing w:after="0" w:line="240" w:lineRule="auto"/>
        <w:jc w:val="both"/>
        <w:rPr>
          <w:rFonts w:ascii="Calibri" w:hAnsi="Calibri" w:cs="Calibri"/>
          <w:color w:val="000000"/>
          <w:sz w:val="24"/>
          <w:szCs w:val="24"/>
        </w:rPr>
      </w:pPr>
    </w:p>
    <w:p w:rsidR="008F2445" w:rsidRPr="00E76F52" w:rsidRDefault="00A524F3" w:rsidP="00E76F52">
      <w:pPr>
        <w:spacing w:after="0" w:line="240" w:lineRule="auto"/>
        <w:jc w:val="both"/>
        <w:rPr>
          <w:rFonts w:ascii="Calibri" w:hAnsi="Calibri" w:cs="Calibri"/>
          <w:color w:val="000000"/>
          <w:sz w:val="24"/>
          <w:szCs w:val="24"/>
        </w:rPr>
      </w:pPr>
      <w:r w:rsidRPr="00E76F52">
        <w:rPr>
          <w:rFonts w:ascii="Calibri" w:hAnsi="Calibri" w:cs="Calibri"/>
          <w:color w:val="000000"/>
          <w:sz w:val="24"/>
          <w:szCs w:val="24"/>
        </w:rPr>
        <w:t>NKÚ</w:t>
      </w:r>
      <w:r w:rsidR="008F2445" w:rsidRPr="00E76F52">
        <w:rPr>
          <w:rFonts w:ascii="Calibri" w:hAnsi="Calibri" w:cs="Calibri"/>
          <w:color w:val="000000"/>
          <w:sz w:val="24"/>
          <w:szCs w:val="24"/>
        </w:rPr>
        <w:t xml:space="preserve"> se </w:t>
      </w:r>
      <w:r w:rsidRPr="00E76F52">
        <w:rPr>
          <w:rFonts w:ascii="Calibri" w:hAnsi="Calibri" w:cs="Calibri"/>
          <w:color w:val="000000"/>
          <w:sz w:val="24"/>
          <w:szCs w:val="24"/>
        </w:rPr>
        <w:t xml:space="preserve">proto </w:t>
      </w:r>
      <w:r w:rsidR="008F2445" w:rsidRPr="00E76F52">
        <w:rPr>
          <w:rFonts w:ascii="Calibri" w:hAnsi="Calibri" w:cs="Calibri"/>
          <w:color w:val="000000"/>
          <w:sz w:val="24"/>
          <w:szCs w:val="24"/>
        </w:rPr>
        <w:t>nevyjadřuje ke správnosti účtování a vyk</w:t>
      </w:r>
      <w:r w:rsidR="006972CF" w:rsidRPr="00E76F52">
        <w:rPr>
          <w:rFonts w:ascii="Calibri" w:hAnsi="Calibri" w:cs="Calibri"/>
          <w:color w:val="000000"/>
          <w:sz w:val="24"/>
          <w:szCs w:val="24"/>
        </w:rPr>
        <w:t>ázání</w:t>
      </w:r>
      <w:r w:rsidR="008F2445" w:rsidRPr="00E76F52">
        <w:rPr>
          <w:rFonts w:ascii="Calibri" w:hAnsi="Calibri" w:cs="Calibri"/>
          <w:color w:val="000000"/>
          <w:sz w:val="24"/>
          <w:szCs w:val="24"/>
        </w:rPr>
        <w:t xml:space="preserve"> položek účetní závěrky sestavené k</w:t>
      </w:r>
      <w:r w:rsidR="007405FC" w:rsidRPr="00E76F52">
        <w:rPr>
          <w:rFonts w:ascii="Calibri" w:hAnsi="Calibri" w:cs="Calibri"/>
          <w:color w:val="000000"/>
          <w:sz w:val="24"/>
          <w:szCs w:val="24"/>
        </w:rPr>
        <w:t xml:space="preserve"> </w:t>
      </w:r>
      <w:r w:rsidR="008F2445" w:rsidRPr="00E76F52">
        <w:rPr>
          <w:rFonts w:ascii="Calibri" w:hAnsi="Calibri" w:cs="Calibri"/>
          <w:color w:val="000000"/>
          <w:sz w:val="24"/>
          <w:szCs w:val="24"/>
        </w:rPr>
        <w:t xml:space="preserve">31. </w:t>
      </w:r>
      <w:r w:rsidR="00763756" w:rsidRPr="00E76F52">
        <w:rPr>
          <w:rFonts w:ascii="Calibri" w:hAnsi="Calibri" w:cs="Calibri"/>
          <w:color w:val="000000"/>
          <w:sz w:val="24"/>
          <w:szCs w:val="24"/>
        </w:rPr>
        <w:t>prosinci</w:t>
      </w:r>
      <w:r w:rsidR="008F2445" w:rsidRPr="00E76F52">
        <w:rPr>
          <w:rFonts w:ascii="Calibri" w:hAnsi="Calibri" w:cs="Calibri"/>
          <w:color w:val="000000"/>
          <w:sz w:val="24"/>
          <w:szCs w:val="24"/>
        </w:rPr>
        <w:t xml:space="preserve"> 2013, prostřednictvím kterých MŽP o předfinancování prostředků v rámci OPŽP účtovalo:</w:t>
      </w:r>
    </w:p>
    <w:p w:rsidR="008F2445" w:rsidRPr="005416A5" w:rsidRDefault="00036882" w:rsidP="005416A5">
      <w:pPr>
        <w:pStyle w:val="Odstavecseseznamem"/>
        <w:numPr>
          <w:ilvl w:val="0"/>
          <w:numId w:val="37"/>
        </w:numPr>
        <w:spacing w:after="0" w:line="240" w:lineRule="auto"/>
        <w:ind w:left="284" w:hanging="284"/>
        <w:jc w:val="both"/>
        <w:rPr>
          <w:rFonts w:ascii="Calibri" w:hAnsi="Calibri" w:cs="Calibri"/>
          <w:color w:val="000000"/>
          <w:sz w:val="24"/>
          <w:szCs w:val="24"/>
        </w:rPr>
      </w:pPr>
      <w:r>
        <w:rPr>
          <w:rFonts w:ascii="Calibri" w:hAnsi="Calibri" w:cs="Calibri"/>
          <w:color w:val="000000"/>
          <w:sz w:val="24"/>
          <w:szCs w:val="24"/>
        </w:rPr>
        <w:t>V</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případě částky ve výši 16</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609</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423</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 xml:space="preserve">142,95 Kč vykázané na účtu </w:t>
      </w:r>
      <w:r w:rsidR="008F2445" w:rsidRPr="00341E1B">
        <w:rPr>
          <w:rFonts w:ascii="Calibri" w:hAnsi="Calibri" w:cs="Calibri"/>
          <w:color w:val="000000"/>
          <w:sz w:val="24"/>
          <w:szCs w:val="24"/>
        </w:rPr>
        <w:t>571</w:t>
      </w:r>
      <w:r w:rsidR="008F2445" w:rsidRPr="005416A5">
        <w:rPr>
          <w:rFonts w:ascii="Calibri" w:hAnsi="Calibri" w:cs="Calibri"/>
          <w:i/>
          <w:color w:val="000000"/>
          <w:sz w:val="24"/>
          <w:szCs w:val="24"/>
        </w:rPr>
        <w:t xml:space="preserve"> – Náklady vybraných ústředních vládních institucí na transfery</w:t>
      </w:r>
      <w:r w:rsidR="008F2445" w:rsidRPr="005416A5">
        <w:rPr>
          <w:rFonts w:ascii="Calibri" w:hAnsi="Calibri" w:cs="Calibri"/>
          <w:color w:val="000000"/>
          <w:sz w:val="24"/>
          <w:szCs w:val="24"/>
        </w:rPr>
        <w:t xml:space="preserve"> se </w:t>
      </w:r>
      <w:r w:rsidR="00BA0B17" w:rsidRPr="005416A5">
        <w:rPr>
          <w:rFonts w:ascii="Calibri" w:hAnsi="Calibri" w:cs="Calibri"/>
          <w:color w:val="000000"/>
          <w:sz w:val="24"/>
          <w:szCs w:val="24"/>
        </w:rPr>
        <w:t>NKÚ</w:t>
      </w:r>
      <w:r w:rsidR="008F2445" w:rsidRPr="005416A5">
        <w:rPr>
          <w:rFonts w:ascii="Calibri" w:hAnsi="Calibri" w:cs="Calibri"/>
          <w:color w:val="000000"/>
          <w:sz w:val="24"/>
          <w:szCs w:val="24"/>
        </w:rPr>
        <w:t xml:space="preserve"> nevyjadřuje k</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částce ve výši 14</w:t>
      </w:r>
      <w:r>
        <w:rPr>
          <w:rFonts w:ascii="Calibri" w:hAnsi="Calibri" w:cs="Calibri"/>
          <w:color w:val="000000"/>
          <w:sz w:val="24"/>
          <w:szCs w:val="24"/>
        </w:rPr>
        <w:t> </w:t>
      </w:r>
      <w:r w:rsidR="008F2445" w:rsidRPr="005416A5">
        <w:rPr>
          <w:rFonts w:ascii="Calibri" w:hAnsi="Calibri" w:cs="Calibri"/>
          <w:color w:val="000000"/>
          <w:sz w:val="24"/>
          <w:szCs w:val="24"/>
        </w:rPr>
        <w:t>662</w:t>
      </w:r>
      <w:r>
        <w:rPr>
          <w:rFonts w:ascii="Calibri" w:hAnsi="Calibri" w:cs="Calibri"/>
          <w:color w:val="000000"/>
          <w:sz w:val="24"/>
          <w:szCs w:val="24"/>
        </w:rPr>
        <w:t> </w:t>
      </w:r>
      <w:r w:rsidR="008F2445" w:rsidRPr="005416A5">
        <w:rPr>
          <w:rFonts w:ascii="Calibri" w:hAnsi="Calibri" w:cs="Calibri"/>
          <w:color w:val="000000"/>
          <w:sz w:val="24"/>
          <w:szCs w:val="24"/>
        </w:rPr>
        <w:t>370</w:t>
      </w:r>
      <w:r>
        <w:rPr>
          <w:rFonts w:ascii="Calibri" w:hAnsi="Calibri" w:cs="Calibri"/>
          <w:color w:val="000000"/>
          <w:sz w:val="24"/>
          <w:szCs w:val="24"/>
        </w:rPr>
        <w:t> 685,44 </w:t>
      </w:r>
      <w:r w:rsidR="008F2445" w:rsidRPr="005416A5">
        <w:rPr>
          <w:rFonts w:ascii="Calibri" w:hAnsi="Calibri" w:cs="Calibri"/>
          <w:color w:val="000000"/>
          <w:sz w:val="24"/>
          <w:szCs w:val="24"/>
        </w:rPr>
        <w:t>Kč (z titulu transferů poskytnutých v</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rámci předfinancování projektů OPŽP)</w:t>
      </w:r>
      <w:r>
        <w:rPr>
          <w:rFonts w:ascii="Calibri" w:hAnsi="Calibri" w:cs="Calibri"/>
          <w:color w:val="000000"/>
          <w:sz w:val="24"/>
          <w:szCs w:val="24"/>
        </w:rPr>
        <w:t>.</w:t>
      </w:r>
    </w:p>
    <w:p w:rsidR="008F2445" w:rsidRPr="005416A5" w:rsidRDefault="00036882" w:rsidP="005416A5">
      <w:pPr>
        <w:pStyle w:val="Odstavecseseznamem"/>
        <w:numPr>
          <w:ilvl w:val="0"/>
          <w:numId w:val="37"/>
        </w:numPr>
        <w:spacing w:after="0" w:line="240" w:lineRule="auto"/>
        <w:ind w:left="284" w:hanging="284"/>
        <w:jc w:val="both"/>
        <w:rPr>
          <w:rFonts w:ascii="Calibri" w:hAnsi="Calibri" w:cs="Calibri"/>
          <w:color w:val="000000"/>
          <w:sz w:val="24"/>
          <w:szCs w:val="24"/>
        </w:rPr>
      </w:pPr>
      <w:r>
        <w:rPr>
          <w:rFonts w:ascii="Calibri" w:hAnsi="Calibri" w:cs="Calibri"/>
          <w:color w:val="000000"/>
          <w:sz w:val="24"/>
          <w:szCs w:val="24"/>
        </w:rPr>
        <w:t>V</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případě částky ve výši 15</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375</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375</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 xml:space="preserve">338,70 Kč vykázané na účtu </w:t>
      </w:r>
      <w:r w:rsidR="008F2445" w:rsidRPr="00341E1B">
        <w:rPr>
          <w:rFonts w:ascii="Calibri" w:hAnsi="Calibri" w:cs="Calibri"/>
          <w:color w:val="000000"/>
          <w:sz w:val="24"/>
          <w:szCs w:val="24"/>
        </w:rPr>
        <w:t>671</w:t>
      </w:r>
      <w:r w:rsidR="008F2445" w:rsidRPr="005416A5">
        <w:rPr>
          <w:rFonts w:ascii="Calibri" w:hAnsi="Calibri" w:cs="Calibri"/>
          <w:i/>
          <w:color w:val="000000"/>
          <w:sz w:val="24"/>
          <w:szCs w:val="24"/>
        </w:rPr>
        <w:t xml:space="preserve"> – Výnosy vybraných ústředních vládních institucí z transferů</w:t>
      </w:r>
      <w:r w:rsidR="008F2445" w:rsidRPr="005416A5">
        <w:rPr>
          <w:rFonts w:ascii="Calibri" w:hAnsi="Calibri" w:cs="Calibri"/>
          <w:color w:val="000000"/>
          <w:sz w:val="24"/>
          <w:szCs w:val="24"/>
        </w:rPr>
        <w:t xml:space="preserve"> se </w:t>
      </w:r>
      <w:r w:rsidR="00BA0B17" w:rsidRPr="005416A5">
        <w:rPr>
          <w:rFonts w:ascii="Calibri" w:hAnsi="Calibri" w:cs="Calibri"/>
          <w:color w:val="000000"/>
          <w:sz w:val="24"/>
          <w:szCs w:val="24"/>
        </w:rPr>
        <w:t>NKÚ</w:t>
      </w:r>
      <w:r w:rsidR="008F2445" w:rsidRPr="005416A5">
        <w:rPr>
          <w:rFonts w:ascii="Calibri" w:hAnsi="Calibri" w:cs="Calibri"/>
          <w:color w:val="000000"/>
          <w:sz w:val="24"/>
          <w:szCs w:val="24"/>
        </w:rPr>
        <w:t xml:space="preserve"> nevyjadřuje k</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částce ve výši 14</w:t>
      </w:r>
      <w:r>
        <w:rPr>
          <w:rFonts w:ascii="Calibri" w:hAnsi="Calibri" w:cs="Calibri"/>
          <w:color w:val="000000"/>
          <w:sz w:val="24"/>
          <w:szCs w:val="24"/>
        </w:rPr>
        <w:t> </w:t>
      </w:r>
      <w:r w:rsidR="008F2445" w:rsidRPr="005416A5">
        <w:rPr>
          <w:rFonts w:ascii="Calibri" w:hAnsi="Calibri" w:cs="Calibri"/>
          <w:color w:val="000000"/>
          <w:sz w:val="24"/>
          <w:szCs w:val="24"/>
        </w:rPr>
        <w:t>704</w:t>
      </w:r>
      <w:r>
        <w:rPr>
          <w:rFonts w:ascii="Calibri" w:hAnsi="Calibri" w:cs="Calibri"/>
          <w:color w:val="000000"/>
          <w:sz w:val="24"/>
          <w:szCs w:val="24"/>
        </w:rPr>
        <w:t> </w:t>
      </w:r>
      <w:r w:rsidR="008F2445" w:rsidRPr="005416A5">
        <w:rPr>
          <w:rFonts w:ascii="Calibri" w:hAnsi="Calibri" w:cs="Calibri"/>
          <w:color w:val="000000"/>
          <w:sz w:val="24"/>
          <w:szCs w:val="24"/>
        </w:rPr>
        <w:t>735</w:t>
      </w:r>
      <w:r>
        <w:rPr>
          <w:rFonts w:ascii="Calibri" w:hAnsi="Calibri" w:cs="Calibri"/>
          <w:color w:val="000000"/>
          <w:sz w:val="24"/>
          <w:szCs w:val="24"/>
        </w:rPr>
        <w:t> </w:t>
      </w:r>
      <w:r w:rsidR="008F2445" w:rsidRPr="005416A5">
        <w:rPr>
          <w:rFonts w:ascii="Calibri" w:hAnsi="Calibri" w:cs="Calibri"/>
          <w:color w:val="000000"/>
          <w:sz w:val="24"/>
          <w:szCs w:val="24"/>
        </w:rPr>
        <w:t>703,90</w:t>
      </w:r>
      <w:r>
        <w:rPr>
          <w:rFonts w:ascii="Calibri" w:hAnsi="Calibri" w:cs="Calibri"/>
          <w:color w:val="000000"/>
          <w:sz w:val="24"/>
          <w:szCs w:val="24"/>
        </w:rPr>
        <w:t> </w:t>
      </w:r>
      <w:r w:rsidR="008F2445" w:rsidRPr="005416A5">
        <w:rPr>
          <w:rFonts w:ascii="Calibri" w:hAnsi="Calibri" w:cs="Calibri"/>
          <w:color w:val="000000"/>
          <w:sz w:val="24"/>
          <w:szCs w:val="24"/>
        </w:rPr>
        <w:t>Kč</w:t>
      </w:r>
      <w:r w:rsidR="00763756" w:rsidRPr="005416A5">
        <w:rPr>
          <w:rFonts w:ascii="Calibri" w:hAnsi="Calibri" w:cs="Calibri"/>
          <w:color w:val="000000"/>
          <w:sz w:val="24"/>
          <w:szCs w:val="24"/>
        </w:rPr>
        <w:t xml:space="preserve"> (</w:t>
      </w:r>
      <w:r w:rsidR="00BE0A4E" w:rsidRPr="005416A5">
        <w:rPr>
          <w:rFonts w:ascii="Calibri" w:hAnsi="Calibri" w:cs="Calibri"/>
          <w:color w:val="000000"/>
          <w:sz w:val="24"/>
          <w:szCs w:val="24"/>
        </w:rPr>
        <w:t>z titulu výnosů z</w:t>
      </w:r>
      <w:r w:rsidR="007405FC" w:rsidRPr="005416A5">
        <w:rPr>
          <w:rFonts w:ascii="Calibri" w:hAnsi="Calibri" w:cs="Calibri"/>
          <w:color w:val="000000"/>
          <w:sz w:val="24"/>
          <w:szCs w:val="24"/>
        </w:rPr>
        <w:t xml:space="preserve"> </w:t>
      </w:r>
      <w:r w:rsidR="00BE0A4E" w:rsidRPr="005416A5">
        <w:rPr>
          <w:rFonts w:ascii="Calibri" w:hAnsi="Calibri" w:cs="Calibri"/>
          <w:color w:val="000000"/>
          <w:sz w:val="24"/>
          <w:szCs w:val="24"/>
        </w:rPr>
        <w:t>pohledávek za Národním fondem v</w:t>
      </w:r>
      <w:r w:rsidR="007405FC" w:rsidRPr="005416A5">
        <w:rPr>
          <w:rFonts w:ascii="Calibri" w:hAnsi="Calibri" w:cs="Calibri"/>
          <w:color w:val="000000"/>
          <w:sz w:val="24"/>
          <w:szCs w:val="24"/>
        </w:rPr>
        <w:t xml:space="preserve"> </w:t>
      </w:r>
      <w:r w:rsidR="00BE0A4E" w:rsidRPr="005416A5">
        <w:rPr>
          <w:rFonts w:ascii="Calibri" w:hAnsi="Calibri" w:cs="Calibri"/>
          <w:color w:val="000000"/>
          <w:sz w:val="24"/>
          <w:szCs w:val="24"/>
        </w:rPr>
        <w:t>rámci OPŽP)</w:t>
      </w:r>
      <w:r>
        <w:rPr>
          <w:rFonts w:ascii="Calibri" w:hAnsi="Calibri" w:cs="Calibri"/>
          <w:color w:val="000000"/>
          <w:sz w:val="24"/>
          <w:szCs w:val="24"/>
        </w:rPr>
        <w:t>.</w:t>
      </w:r>
    </w:p>
    <w:p w:rsidR="008F2445" w:rsidRPr="005416A5" w:rsidRDefault="00036882" w:rsidP="005416A5">
      <w:pPr>
        <w:pStyle w:val="Odstavecseseznamem"/>
        <w:numPr>
          <w:ilvl w:val="0"/>
          <w:numId w:val="37"/>
        </w:numPr>
        <w:spacing w:after="0" w:line="240" w:lineRule="auto"/>
        <w:ind w:left="284" w:hanging="284"/>
        <w:jc w:val="both"/>
        <w:rPr>
          <w:rFonts w:ascii="Calibri" w:hAnsi="Calibri" w:cs="Calibri"/>
          <w:color w:val="000000"/>
          <w:sz w:val="24"/>
          <w:szCs w:val="24"/>
        </w:rPr>
      </w:pPr>
      <w:r>
        <w:rPr>
          <w:rFonts w:ascii="Calibri" w:hAnsi="Calibri" w:cs="Calibri"/>
          <w:color w:val="000000"/>
          <w:sz w:val="24"/>
          <w:szCs w:val="24"/>
        </w:rPr>
        <w:t>V</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případě částky ve výši 8</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643</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979</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 xml:space="preserve">949,61 Kč vykázané na účtu </w:t>
      </w:r>
      <w:r w:rsidR="008F2445" w:rsidRPr="00341E1B">
        <w:rPr>
          <w:rFonts w:ascii="Calibri" w:hAnsi="Calibri" w:cs="Calibri"/>
          <w:color w:val="000000"/>
          <w:sz w:val="24"/>
          <w:szCs w:val="24"/>
        </w:rPr>
        <w:t>371</w:t>
      </w:r>
      <w:r w:rsidR="008F2445" w:rsidRPr="005416A5">
        <w:rPr>
          <w:rFonts w:ascii="Calibri" w:hAnsi="Calibri" w:cs="Calibri"/>
          <w:i/>
          <w:color w:val="000000"/>
          <w:sz w:val="24"/>
          <w:szCs w:val="24"/>
        </w:rPr>
        <w:t xml:space="preserve"> – Krátkodobé pohledávky z</w:t>
      </w:r>
      <w:r w:rsidR="007405FC" w:rsidRPr="005416A5">
        <w:rPr>
          <w:rFonts w:ascii="Calibri" w:hAnsi="Calibri" w:cs="Calibri"/>
          <w:i/>
          <w:color w:val="000000"/>
          <w:sz w:val="24"/>
          <w:szCs w:val="24"/>
        </w:rPr>
        <w:t xml:space="preserve"> </w:t>
      </w:r>
      <w:r w:rsidR="008F2445" w:rsidRPr="005416A5">
        <w:rPr>
          <w:rFonts w:ascii="Calibri" w:hAnsi="Calibri" w:cs="Calibri"/>
          <w:i/>
          <w:color w:val="000000"/>
          <w:sz w:val="24"/>
          <w:szCs w:val="24"/>
        </w:rPr>
        <w:t>nástrojů spolufinancovaných ze zahraničí</w:t>
      </w:r>
      <w:r w:rsidR="008F2445" w:rsidRPr="005416A5">
        <w:rPr>
          <w:rFonts w:ascii="Calibri" w:hAnsi="Calibri" w:cs="Calibri"/>
          <w:color w:val="000000"/>
          <w:sz w:val="24"/>
          <w:szCs w:val="24"/>
        </w:rPr>
        <w:t xml:space="preserve"> se </w:t>
      </w:r>
      <w:r w:rsidR="00BA0B17" w:rsidRPr="005416A5">
        <w:rPr>
          <w:rFonts w:ascii="Calibri" w:hAnsi="Calibri" w:cs="Calibri"/>
          <w:color w:val="000000"/>
          <w:sz w:val="24"/>
          <w:szCs w:val="24"/>
        </w:rPr>
        <w:t>NKÚ</w:t>
      </w:r>
      <w:r w:rsidR="008F2445" w:rsidRPr="005416A5">
        <w:rPr>
          <w:rFonts w:ascii="Calibri" w:hAnsi="Calibri" w:cs="Calibri"/>
          <w:color w:val="000000"/>
          <w:sz w:val="24"/>
          <w:szCs w:val="24"/>
        </w:rPr>
        <w:t xml:space="preserve"> nevyjadřuje k</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částce 8</w:t>
      </w:r>
      <w:r>
        <w:rPr>
          <w:rFonts w:ascii="Calibri" w:hAnsi="Calibri" w:cs="Calibri"/>
          <w:color w:val="000000"/>
          <w:sz w:val="24"/>
          <w:szCs w:val="24"/>
        </w:rPr>
        <w:t> </w:t>
      </w:r>
      <w:r w:rsidR="008F2445" w:rsidRPr="005416A5">
        <w:rPr>
          <w:rFonts w:ascii="Calibri" w:hAnsi="Calibri" w:cs="Calibri"/>
          <w:color w:val="000000"/>
          <w:sz w:val="24"/>
          <w:szCs w:val="24"/>
        </w:rPr>
        <w:t>597</w:t>
      </w:r>
      <w:r>
        <w:rPr>
          <w:rFonts w:ascii="Calibri" w:hAnsi="Calibri" w:cs="Calibri"/>
          <w:color w:val="000000"/>
          <w:sz w:val="24"/>
          <w:szCs w:val="24"/>
        </w:rPr>
        <w:t> 644 377,83 </w:t>
      </w:r>
      <w:r w:rsidR="008F2445" w:rsidRPr="005416A5">
        <w:rPr>
          <w:rFonts w:ascii="Calibri" w:hAnsi="Calibri" w:cs="Calibri"/>
          <w:color w:val="000000"/>
          <w:sz w:val="24"/>
          <w:szCs w:val="24"/>
        </w:rPr>
        <w:t>Kč (z titulu pohledávek za Národním fondem v</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rámci OPŽP)</w:t>
      </w:r>
      <w:r>
        <w:rPr>
          <w:rFonts w:ascii="Calibri" w:hAnsi="Calibri" w:cs="Calibri"/>
          <w:color w:val="000000"/>
          <w:sz w:val="24"/>
          <w:szCs w:val="24"/>
        </w:rPr>
        <w:t>.</w:t>
      </w:r>
    </w:p>
    <w:p w:rsidR="008F2445" w:rsidRPr="005416A5" w:rsidRDefault="00036882" w:rsidP="005416A5">
      <w:pPr>
        <w:pStyle w:val="Odstavecseseznamem"/>
        <w:numPr>
          <w:ilvl w:val="0"/>
          <w:numId w:val="37"/>
        </w:numPr>
        <w:spacing w:after="0" w:line="240" w:lineRule="auto"/>
        <w:ind w:left="284" w:hanging="284"/>
        <w:jc w:val="both"/>
        <w:rPr>
          <w:rFonts w:ascii="Calibri" w:hAnsi="Calibri" w:cs="Calibri"/>
          <w:color w:val="000000"/>
          <w:sz w:val="24"/>
          <w:szCs w:val="24"/>
        </w:rPr>
      </w:pPr>
      <w:r>
        <w:rPr>
          <w:rFonts w:ascii="Calibri" w:hAnsi="Calibri" w:cs="Calibri"/>
          <w:color w:val="000000"/>
          <w:sz w:val="24"/>
          <w:szCs w:val="24"/>
        </w:rPr>
        <w:t>V</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případě částky 1</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933</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628</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 xml:space="preserve">526,54 Kč vykázané na účtu </w:t>
      </w:r>
      <w:r w:rsidR="008F2445" w:rsidRPr="00341E1B">
        <w:rPr>
          <w:rFonts w:ascii="Calibri" w:hAnsi="Calibri" w:cs="Calibri"/>
          <w:color w:val="000000"/>
          <w:sz w:val="24"/>
          <w:szCs w:val="24"/>
        </w:rPr>
        <w:t>468</w:t>
      </w:r>
      <w:r w:rsidR="008F2445" w:rsidRPr="005416A5">
        <w:rPr>
          <w:rFonts w:ascii="Calibri" w:hAnsi="Calibri" w:cs="Calibri"/>
          <w:i/>
          <w:color w:val="000000"/>
          <w:sz w:val="24"/>
          <w:szCs w:val="24"/>
        </w:rPr>
        <w:t xml:space="preserve"> – Dlouhodobé pohledávky z nástrojů spolufinancovaných ze zahraničí</w:t>
      </w:r>
      <w:r w:rsidR="008F2445" w:rsidRPr="005416A5">
        <w:rPr>
          <w:rFonts w:ascii="Calibri" w:hAnsi="Calibri" w:cs="Calibri"/>
          <w:color w:val="000000"/>
          <w:sz w:val="24"/>
          <w:szCs w:val="24"/>
        </w:rPr>
        <w:t xml:space="preserve"> se </w:t>
      </w:r>
      <w:r w:rsidR="00BA0B17" w:rsidRPr="005416A5">
        <w:rPr>
          <w:rFonts w:ascii="Calibri" w:hAnsi="Calibri" w:cs="Calibri"/>
          <w:color w:val="000000"/>
          <w:sz w:val="24"/>
          <w:szCs w:val="24"/>
        </w:rPr>
        <w:t>NKÚ</w:t>
      </w:r>
      <w:r w:rsidR="008F2445" w:rsidRPr="005416A5">
        <w:rPr>
          <w:rFonts w:ascii="Calibri" w:hAnsi="Calibri" w:cs="Calibri"/>
          <w:color w:val="000000"/>
          <w:sz w:val="24"/>
          <w:szCs w:val="24"/>
        </w:rPr>
        <w:t xml:space="preserve"> nevyjadřuje k</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částce 1</w:t>
      </w:r>
      <w:r w:rsidR="00EF58D3" w:rsidRPr="005416A5">
        <w:rPr>
          <w:rFonts w:ascii="Calibri" w:hAnsi="Calibri" w:cs="Calibri"/>
          <w:color w:val="000000"/>
          <w:sz w:val="24"/>
          <w:szCs w:val="24"/>
        </w:rPr>
        <w:t> </w:t>
      </w:r>
      <w:r w:rsidR="008F2445" w:rsidRPr="005416A5">
        <w:rPr>
          <w:rFonts w:ascii="Calibri" w:hAnsi="Calibri" w:cs="Calibri"/>
          <w:color w:val="000000"/>
          <w:sz w:val="24"/>
          <w:szCs w:val="24"/>
        </w:rPr>
        <w:t>663</w:t>
      </w:r>
      <w:r w:rsidR="00EF58D3" w:rsidRPr="005416A5">
        <w:rPr>
          <w:rFonts w:ascii="Calibri" w:hAnsi="Calibri" w:cs="Calibri"/>
          <w:color w:val="000000"/>
          <w:sz w:val="24"/>
          <w:szCs w:val="24"/>
        </w:rPr>
        <w:t> </w:t>
      </w:r>
      <w:r w:rsidR="008F2445" w:rsidRPr="005416A5">
        <w:rPr>
          <w:rFonts w:ascii="Calibri" w:hAnsi="Calibri" w:cs="Calibri"/>
          <w:color w:val="000000"/>
          <w:sz w:val="24"/>
          <w:szCs w:val="24"/>
        </w:rPr>
        <w:t>244</w:t>
      </w:r>
      <w:r w:rsidR="00EF58D3" w:rsidRPr="005416A5">
        <w:rPr>
          <w:rFonts w:ascii="Calibri" w:hAnsi="Calibri" w:cs="Calibri"/>
          <w:color w:val="000000"/>
          <w:sz w:val="24"/>
          <w:szCs w:val="24"/>
        </w:rPr>
        <w:t> </w:t>
      </w:r>
      <w:r w:rsidR="008F2445" w:rsidRPr="005416A5">
        <w:rPr>
          <w:rFonts w:ascii="Calibri" w:hAnsi="Calibri" w:cs="Calibri"/>
          <w:color w:val="000000"/>
          <w:sz w:val="24"/>
          <w:szCs w:val="24"/>
        </w:rPr>
        <w:t>551,50</w:t>
      </w:r>
      <w:r>
        <w:rPr>
          <w:rFonts w:ascii="Calibri" w:hAnsi="Calibri" w:cs="Calibri"/>
          <w:color w:val="000000"/>
          <w:sz w:val="24"/>
          <w:szCs w:val="24"/>
        </w:rPr>
        <w:t> </w:t>
      </w:r>
      <w:r w:rsidR="008F2445" w:rsidRPr="005416A5">
        <w:rPr>
          <w:rFonts w:ascii="Calibri" w:hAnsi="Calibri" w:cs="Calibri"/>
          <w:color w:val="000000"/>
          <w:sz w:val="24"/>
          <w:szCs w:val="24"/>
        </w:rPr>
        <w:t>Kč (z titulu prostředků představujících plošnou korekci OPŽP)</w:t>
      </w:r>
      <w:r>
        <w:rPr>
          <w:rFonts w:ascii="Calibri" w:hAnsi="Calibri" w:cs="Calibri"/>
          <w:color w:val="000000"/>
          <w:sz w:val="24"/>
          <w:szCs w:val="24"/>
        </w:rPr>
        <w:t>.</w:t>
      </w:r>
    </w:p>
    <w:p w:rsidR="0070582C" w:rsidRPr="005416A5" w:rsidRDefault="00036882" w:rsidP="005416A5">
      <w:pPr>
        <w:pStyle w:val="Odstavecseseznamem"/>
        <w:numPr>
          <w:ilvl w:val="0"/>
          <w:numId w:val="37"/>
        </w:numPr>
        <w:spacing w:after="0" w:line="240" w:lineRule="auto"/>
        <w:ind w:left="284" w:hanging="284"/>
        <w:jc w:val="both"/>
        <w:rPr>
          <w:rFonts w:ascii="Calibri" w:hAnsi="Calibri" w:cs="Calibri"/>
          <w:color w:val="000000"/>
          <w:sz w:val="24"/>
          <w:szCs w:val="24"/>
        </w:rPr>
      </w:pPr>
      <w:r>
        <w:rPr>
          <w:rFonts w:ascii="Calibri" w:hAnsi="Calibri" w:cs="Calibri"/>
          <w:color w:val="000000"/>
          <w:sz w:val="24"/>
          <w:szCs w:val="24"/>
        </w:rPr>
        <w:t>V</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případě částky 61</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987</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 xml:space="preserve">420,42 Kč vykázané na účtu </w:t>
      </w:r>
      <w:r w:rsidR="008F2445" w:rsidRPr="00341E1B">
        <w:rPr>
          <w:rFonts w:ascii="Calibri" w:hAnsi="Calibri" w:cs="Calibri"/>
          <w:color w:val="000000"/>
          <w:sz w:val="24"/>
          <w:szCs w:val="24"/>
        </w:rPr>
        <w:t>388</w:t>
      </w:r>
      <w:r w:rsidR="008F2445" w:rsidRPr="005416A5">
        <w:rPr>
          <w:rFonts w:ascii="Calibri" w:hAnsi="Calibri" w:cs="Calibri"/>
          <w:i/>
          <w:color w:val="000000"/>
          <w:sz w:val="24"/>
          <w:szCs w:val="24"/>
        </w:rPr>
        <w:t xml:space="preserve"> – Dohadné účty aktivní</w:t>
      </w:r>
      <w:r w:rsidR="008F2445" w:rsidRPr="005416A5">
        <w:rPr>
          <w:rFonts w:ascii="Calibri" w:hAnsi="Calibri" w:cs="Calibri"/>
          <w:color w:val="000000"/>
          <w:sz w:val="24"/>
          <w:szCs w:val="24"/>
        </w:rPr>
        <w:t xml:space="preserve"> se </w:t>
      </w:r>
      <w:r w:rsidR="00BA0B17" w:rsidRPr="005416A5">
        <w:rPr>
          <w:rFonts w:ascii="Calibri" w:hAnsi="Calibri" w:cs="Calibri"/>
          <w:color w:val="000000"/>
          <w:sz w:val="24"/>
          <w:szCs w:val="24"/>
        </w:rPr>
        <w:t>NKÚ</w:t>
      </w:r>
      <w:r w:rsidR="008F2445" w:rsidRPr="005416A5">
        <w:rPr>
          <w:rFonts w:ascii="Calibri" w:hAnsi="Calibri" w:cs="Calibri"/>
          <w:color w:val="000000"/>
          <w:sz w:val="24"/>
          <w:szCs w:val="24"/>
        </w:rPr>
        <w:t xml:space="preserve"> nevyjadřuje k</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částce 32</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741</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670,56 Kč (z titulu dohadných položek aktivních vytvořených k</w:t>
      </w:r>
      <w:r w:rsidR="007405FC" w:rsidRPr="005416A5">
        <w:rPr>
          <w:rFonts w:ascii="Calibri" w:hAnsi="Calibri" w:cs="Calibri"/>
          <w:color w:val="000000"/>
          <w:sz w:val="24"/>
          <w:szCs w:val="24"/>
        </w:rPr>
        <w:t xml:space="preserve"> </w:t>
      </w:r>
      <w:r w:rsidR="008F2445" w:rsidRPr="005416A5">
        <w:rPr>
          <w:rFonts w:ascii="Calibri" w:hAnsi="Calibri" w:cs="Calibri"/>
          <w:color w:val="000000"/>
          <w:sz w:val="24"/>
          <w:szCs w:val="24"/>
        </w:rPr>
        <w:t>programům OPŽP)</w:t>
      </w:r>
      <w:r w:rsidR="00595F2C">
        <w:rPr>
          <w:rFonts w:ascii="Calibri" w:hAnsi="Calibri" w:cs="Calibri"/>
          <w:color w:val="000000"/>
          <w:sz w:val="24"/>
          <w:szCs w:val="24"/>
        </w:rPr>
        <w:t>.</w:t>
      </w:r>
      <w:r w:rsidR="006972CF" w:rsidRPr="00E76F52">
        <w:rPr>
          <w:rStyle w:val="Znakapoznpodarou"/>
          <w:rFonts w:ascii="Calibri" w:hAnsi="Calibri" w:cs="Calibri"/>
          <w:color w:val="000000"/>
          <w:sz w:val="24"/>
          <w:szCs w:val="24"/>
        </w:rPr>
        <w:footnoteReference w:id="7"/>
      </w:r>
    </w:p>
    <w:p w:rsidR="005416A5" w:rsidRPr="005416A5" w:rsidRDefault="005416A5" w:rsidP="00E76F52">
      <w:pPr>
        <w:spacing w:after="0" w:line="240" w:lineRule="auto"/>
        <w:jc w:val="both"/>
        <w:rPr>
          <w:rFonts w:ascii="Calibri" w:hAnsi="Calibri" w:cs="Calibri"/>
          <w:color w:val="000000"/>
          <w:sz w:val="24"/>
          <w:szCs w:val="24"/>
        </w:rPr>
      </w:pPr>
    </w:p>
    <w:p w:rsidR="00B40432" w:rsidRPr="005416A5" w:rsidRDefault="00664335" w:rsidP="00E76F52">
      <w:pPr>
        <w:spacing w:after="0" w:line="240" w:lineRule="auto"/>
        <w:jc w:val="both"/>
        <w:rPr>
          <w:rFonts w:ascii="Calibri" w:hAnsi="Calibri" w:cs="Calibri"/>
          <w:b/>
          <w:i/>
          <w:color w:val="000000"/>
          <w:sz w:val="24"/>
          <w:szCs w:val="24"/>
        </w:rPr>
      </w:pPr>
      <w:r>
        <w:rPr>
          <w:rFonts w:ascii="Calibri" w:hAnsi="Calibri" w:cs="Calibri"/>
          <w:b/>
          <w:i/>
          <w:color w:val="000000"/>
          <w:sz w:val="24"/>
          <w:szCs w:val="24"/>
        </w:rPr>
        <w:t>Výkaz „p</w:t>
      </w:r>
      <w:r w:rsidR="00B40432" w:rsidRPr="005416A5">
        <w:rPr>
          <w:rFonts w:ascii="Calibri" w:hAnsi="Calibri" w:cs="Calibri"/>
          <w:b/>
          <w:i/>
          <w:color w:val="000000"/>
          <w:sz w:val="24"/>
          <w:szCs w:val="24"/>
        </w:rPr>
        <w:t>řehled o změnách vlastního kapitálu</w:t>
      </w:r>
      <w:r>
        <w:rPr>
          <w:rFonts w:ascii="Calibri" w:hAnsi="Calibri" w:cs="Calibri"/>
          <w:b/>
          <w:i/>
          <w:color w:val="000000"/>
          <w:sz w:val="24"/>
          <w:szCs w:val="24"/>
        </w:rPr>
        <w:t>“</w:t>
      </w:r>
    </w:p>
    <w:p w:rsidR="005416A5" w:rsidRDefault="005416A5" w:rsidP="00E76F52">
      <w:pPr>
        <w:spacing w:after="0" w:line="240" w:lineRule="auto"/>
        <w:jc w:val="both"/>
        <w:rPr>
          <w:rFonts w:ascii="Calibri" w:hAnsi="Calibri" w:cs="Calibri"/>
          <w:bCs/>
          <w:sz w:val="24"/>
          <w:szCs w:val="24"/>
        </w:rPr>
      </w:pPr>
    </w:p>
    <w:p w:rsidR="00163613" w:rsidRDefault="00234362" w:rsidP="00E76F52">
      <w:pPr>
        <w:spacing w:after="0" w:line="240" w:lineRule="auto"/>
        <w:jc w:val="both"/>
        <w:rPr>
          <w:rFonts w:ascii="Calibri" w:hAnsi="Calibri" w:cs="Calibri"/>
          <w:bCs/>
          <w:sz w:val="24"/>
          <w:szCs w:val="24"/>
        </w:rPr>
      </w:pPr>
      <w:r w:rsidRPr="00E76F52">
        <w:rPr>
          <w:rFonts w:ascii="Calibri" w:hAnsi="Calibri" w:cs="Calibri"/>
          <w:bCs/>
          <w:sz w:val="24"/>
          <w:szCs w:val="24"/>
        </w:rPr>
        <w:t>Vyhláška č. 410/2009 Sb.</w:t>
      </w:r>
      <w:r w:rsidR="001E00B0" w:rsidRPr="00E76F52">
        <w:rPr>
          <w:rFonts w:ascii="Calibri" w:hAnsi="Calibri" w:cs="Calibri"/>
          <w:bCs/>
          <w:sz w:val="24"/>
          <w:szCs w:val="24"/>
        </w:rPr>
        <w:t>,</w:t>
      </w:r>
      <w:r w:rsidR="001E00B0" w:rsidRPr="00E76F52">
        <w:rPr>
          <w:rFonts w:ascii="Calibri" w:hAnsi="Calibri" w:cs="Calibri"/>
          <w:i/>
          <w:sz w:val="24"/>
          <w:szCs w:val="24"/>
        </w:rPr>
        <w:t xml:space="preserve"> </w:t>
      </w:r>
      <w:r w:rsidR="001E00B0" w:rsidRPr="00341E1B">
        <w:rPr>
          <w:rFonts w:ascii="Calibri" w:hAnsi="Calibri" w:cs="Calibri"/>
          <w:sz w:val="24"/>
          <w:szCs w:val="24"/>
        </w:rPr>
        <w:t>kterou se provádějí některá ustanovení zákona č. 563/1991 Sb., o</w:t>
      </w:r>
      <w:r w:rsidR="00EF58D3" w:rsidRPr="00341E1B">
        <w:rPr>
          <w:rFonts w:ascii="Calibri" w:hAnsi="Calibri" w:cs="Calibri"/>
          <w:sz w:val="24"/>
          <w:szCs w:val="24"/>
        </w:rPr>
        <w:t> </w:t>
      </w:r>
      <w:r w:rsidR="001E00B0" w:rsidRPr="00341E1B">
        <w:rPr>
          <w:rFonts w:ascii="Calibri" w:hAnsi="Calibri" w:cs="Calibri"/>
          <w:sz w:val="24"/>
          <w:szCs w:val="24"/>
        </w:rPr>
        <w:t>účetnictví, ve znění pozdějších předpisů</w:t>
      </w:r>
      <w:r w:rsidR="00595F2C">
        <w:rPr>
          <w:rFonts w:ascii="Calibri" w:hAnsi="Calibri" w:cs="Calibri"/>
          <w:sz w:val="24"/>
          <w:szCs w:val="24"/>
        </w:rPr>
        <w:t>,</w:t>
      </w:r>
      <w:r w:rsidR="001E00B0" w:rsidRPr="00341E1B">
        <w:rPr>
          <w:rFonts w:ascii="Calibri" w:hAnsi="Calibri" w:cs="Calibri"/>
          <w:sz w:val="24"/>
          <w:szCs w:val="24"/>
        </w:rPr>
        <w:t xml:space="preserve"> pro některé vybrané účetní jednotky</w:t>
      </w:r>
      <w:r w:rsidR="00E54D27" w:rsidRPr="00341E1B">
        <w:rPr>
          <w:rFonts w:ascii="Calibri" w:hAnsi="Calibri" w:cs="Calibri"/>
          <w:sz w:val="24"/>
          <w:szCs w:val="24"/>
        </w:rPr>
        <w:t>,</w:t>
      </w:r>
      <w:r w:rsidR="000E27EB" w:rsidRPr="00E76F52">
        <w:rPr>
          <w:rFonts w:ascii="Calibri" w:hAnsi="Calibri" w:cs="Calibri"/>
          <w:i/>
          <w:sz w:val="24"/>
          <w:szCs w:val="24"/>
        </w:rPr>
        <w:t xml:space="preserve"> </w:t>
      </w:r>
      <w:r w:rsidR="000E27EB" w:rsidRPr="00E76F52">
        <w:rPr>
          <w:rFonts w:ascii="Calibri" w:hAnsi="Calibri" w:cs="Calibri"/>
          <w:sz w:val="24"/>
          <w:szCs w:val="24"/>
        </w:rPr>
        <w:t>stanovuje</w:t>
      </w:r>
      <w:r w:rsidR="001E00B0" w:rsidRPr="00E76F52">
        <w:rPr>
          <w:rFonts w:ascii="Calibri" w:hAnsi="Calibri" w:cs="Calibri"/>
          <w:sz w:val="24"/>
          <w:szCs w:val="24"/>
        </w:rPr>
        <w:t xml:space="preserve"> </w:t>
      </w:r>
      <w:r w:rsidRPr="00E76F52">
        <w:rPr>
          <w:rFonts w:ascii="Calibri" w:hAnsi="Calibri" w:cs="Calibri"/>
          <w:bCs/>
          <w:sz w:val="24"/>
          <w:szCs w:val="24"/>
        </w:rPr>
        <w:t>v</w:t>
      </w:r>
      <w:r w:rsidR="00EF58D3" w:rsidRPr="00E76F52">
        <w:rPr>
          <w:rFonts w:ascii="Calibri" w:hAnsi="Calibri" w:cs="Calibri"/>
          <w:bCs/>
          <w:sz w:val="24"/>
          <w:szCs w:val="24"/>
        </w:rPr>
        <w:t> </w:t>
      </w:r>
      <w:r w:rsidRPr="00E76F52">
        <w:rPr>
          <w:rFonts w:ascii="Calibri" w:hAnsi="Calibri" w:cs="Calibri"/>
          <w:bCs/>
          <w:sz w:val="24"/>
          <w:szCs w:val="24"/>
        </w:rPr>
        <w:t>tomto výkazu pro sloupce „</w:t>
      </w:r>
      <w:r w:rsidRPr="00341E1B">
        <w:rPr>
          <w:rFonts w:ascii="Calibri" w:hAnsi="Calibri" w:cs="Calibri"/>
          <w:bCs/>
          <w:i/>
          <w:sz w:val="24"/>
          <w:szCs w:val="24"/>
        </w:rPr>
        <w:t>zvýšení stavu</w:t>
      </w:r>
      <w:r w:rsidRPr="00E76F52">
        <w:rPr>
          <w:rFonts w:ascii="Calibri" w:hAnsi="Calibri" w:cs="Calibri"/>
          <w:bCs/>
          <w:sz w:val="24"/>
          <w:szCs w:val="24"/>
        </w:rPr>
        <w:t>“ a „</w:t>
      </w:r>
      <w:r w:rsidRPr="00341E1B">
        <w:rPr>
          <w:rFonts w:ascii="Calibri" w:hAnsi="Calibri" w:cs="Calibri"/>
          <w:bCs/>
          <w:i/>
          <w:sz w:val="24"/>
          <w:szCs w:val="24"/>
        </w:rPr>
        <w:t>snížení stavu</w:t>
      </w:r>
      <w:r w:rsidRPr="00E76F52">
        <w:rPr>
          <w:rFonts w:ascii="Calibri" w:hAnsi="Calibri" w:cs="Calibri"/>
          <w:bCs/>
          <w:sz w:val="24"/>
          <w:szCs w:val="24"/>
        </w:rPr>
        <w:t>“ u</w:t>
      </w:r>
      <w:r w:rsidR="007405FC" w:rsidRPr="00E76F52">
        <w:rPr>
          <w:rFonts w:ascii="Calibri" w:hAnsi="Calibri" w:cs="Calibri"/>
          <w:bCs/>
          <w:sz w:val="24"/>
          <w:szCs w:val="24"/>
        </w:rPr>
        <w:t xml:space="preserve"> </w:t>
      </w:r>
      <w:r w:rsidRPr="00E76F52">
        <w:rPr>
          <w:rFonts w:ascii="Calibri" w:hAnsi="Calibri" w:cs="Calibri"/>
          <w:bCs/>
          <w:sz w:val="24"/>
          <w:szCs w:val="24"/>
        </w:rPr>
        <w:t>jednotlivých položek, že zobrazují jejich zvýšení či snížení v</w:t>
      </w:r>
      <w:r w:rsidR="007405FC" w:rsidRPr="00E76F52">
        <w:rPr>
          <w:rFonts w:ascii="Calibri" w:hAnsi="Calibri" w:cs="Calibri"/>
          <w:bCs/>
          <w:sz w:val="24"/>
          <w:szCs w:val="24"/>
        </w:rPr>
        <w:t xml:space="preserve"> </w:t>
      </w:r>
      <w:r w:rsidRPr="00E76F52">
        <w:rPr>
          <w:rFonts w:ascii="Calibri" w:hAnsi="Calibri" w:cs="Calibri"/>
          <w:bCs/>
          <w:sz w:val="24"/>
          <w:szCs w:val="24"/>
        </w:rPr>
        <w:t>průběhu běžného účetního období. Při naplňování údajů, které jsou analytickým členěním syntetického účtu vykázaného v</w:t>
      </w:r>
      <w:r w:rsidR="007405FC" w:rsidRPr="00E76F52">
        <w:rPr>
          <w:rFonts w:ascii="Calibri" w:hAnsi="Calibri" w:cs="Calibri"/>
          <w:bCs/>
          <w:sz w:val="24"/>
          <w:szCs w:val="24"/>
        </w:rPr>
        <w:t xml:space="preserve"> </w:t>
      </w:r>
      <w:r w:rsidRPr="00E76F52">
        <w:rPr>
          <w:rFonts w:ascii="Calibri" w:hAnsi="Calibri" w:cs="Calibri"/>
          <w:bCs/>
          <w:sz w:val="24"/>
          <w:szCs w:val="24"/>
        </w:rPr>
        <w:t>rozvaze, je výkaz naplňován z</w:t>
      </w:r>
      <w:r w:rsidR="007405FC" w:rsidRPr="00E76F52">
        <w:rPr>
          <w:rFonts w:ascii="Calibri" w:hAnsi="Calibri" w:cs="Calibri"/>
          <w:bCs/>
          <w:sz w:val="24"/>
          <w:szCs w:val="24"/>
        </w:rPr>
        <w:t xml:space="preserve"> </w:t>
      </w:r>
      <w:r w:rsidRPr="00E76F52">
        <w:rPr>
          <w:rFonts w:ascii="Calibri" w:hAnsi="Calibri" w:cs="Calibri"/>
          <w:bCs/>
          <w:sz w:val="24"/>
          <w:szCs w:val="24"/>
        </w:rPr>
        <w:t>účetnictví</w:t>
      </w:r>
      <w:r w:rsidR="00036882">
        <w:rPr>
          <w:rFonts w:ascii="Calibri" w:hAnsi="Calibri" w:cs="Calibri"/>
          <w:bCs/>
          <w:sz w:val="24"/>
          <w:szCs w:val="24"/>
        </w:rPr>
        <w:t>,</w:t>
      </w:r>
      <w:r w:rsidRPr="00E76F52">
        <w:rPr>
          <w:rFonts w:ascii="Calibri" w:hAnsi="Calibri" w:cs="Calibri"/>
          <w:bCs/>
          <w:sz w:val="24"/>
          <w:szCs w:val="24"/>
        </w:rPr>
        <w:t xml:space="preserve"> a to obraty strany </w:t>
      </w:r>
      <w:r w:rsidR="001E00B0" w:rsidRPr="00E76F52">
        <w:rPr>
          <w:rFonts w:ascii="Calibri" w:hAnsi="Calibri" w:cs="Calibri"/>
          <w:bCs/>
          <w:sz w:val="24"/>
          <w:szCs w:val="24"/>
        </w:rPr>
        <w:t>„m</w:t>
      </w:r>
      <w:r w:rsidRPr="00E76F52">
        <w:rPr>
          <w:rFonts w:ascii="Calibri" w:hAnsi="Calibri" w:cs="Calibri"/>
          <w:bCs/>
          <w:sz w:val="24"/>
          <w:szCs w:val="24"/>
        </w:rPr>
        <w:t xml:space="preserve">á </w:t>
      </w:r>
      <w:r w:rsidR="001E00B0" w:rsidRPr="00E76F52">
        <w:rPr>
          <w:rFonts w:ascii="Calibri" w:hAnsi="Calibri" w:cs="Calibri"/>
          <w:bCs/>
          <w:sz w:val="24"/>
          <w:szCs w:val="24"/>
        </w:rPr>
        <w:t>d</w:t>
      </w:r>
      <w:r w:rsidRPr="00E76F52">
        <w:rPr>
          <w:rFonts w:ascii="Calibri" w:hAnsi="Calibri" w:cs="Calibri"/>
          <w:bCs/>
          <w:sz w:val="24"/>
          <w:szCs w:val="24"/>
        </w:rPr>
        <w:t>áti</w:t>
      </w:r>
      <w:r w:rsidR="001E00B0" w:rsidRPr="00E76F52">
        <w:rPr>
          <w:rFonts w:ascii="Calibri" w:hAnsi="Calibri" w:cs="Calibri"/>
          <w:bCs/>
          <w:sz w:val="24"/>
          <w:szCs w:val="24"/>
        </w:rPr>
        <w:t>“</w:t>
      </w:r>
      <w:r w:rsidRPr="00E76F52">
        <w:rPr>
          <w:rFonts w:ascii="Calibri" w:hAnsi="Calibri" w:cs="Calibri"/>
          <w:bCs/>
          <w:sz w:val="24"/>
          <w:szCs w:val="24"/>
        </w:rPr>
        <w:t xml:space="preserve"> a </w:t>
      </w:r>
      <w:r w:rsidR="001E00B0" w:rsidRPr="00E76F52">
        <w:rPr>
          <w:rFonts w:ascii="Calibri" w:hAnsi="Calibri" w:cs="Calibri"/>
          <w:bCs/>
          <w:sz w:val="24"/>
          <w:szCs w:val="24"/>
        </w:rPr>
        <w:t>„d</w:t>
      </w:r>
      <w:r w:rsidRPr="00E76F52">
        <w:rPr>
          <w:rFonts w:ascii="Calibri" w:hAnsi="Calibri" w:cs="Calibri"/>
          <w:bCs/>
          <w:sz w:val="24"/>
          <w:szCs w:val="24"/>
        </w:rPr>
        <w:t>al</w:t>
      </w:r>
      <w:r w:rsidR="001E00B0" w:rsidRPr="00E76F52">
        <w:rPr>
          <w:rFonts w:ascii="Calibri" w:hAnsi="Calibri" w:cs="Calibri"/>
          <w:bCs/>
          <w:sz w:val="24"/>
          <w:szCs w:val="24"/>
        </w:rPr>
        <w:t>“</w:t>
      </w:r>
      <w:r w:rsidRPr="00E76F52">
        <w:rPr>
          <w:rFonts w:ascii="Calibri" w:hAnsi="Calibri" w:cs="Calibri"/>
          <w:bCs/>
          <w:sz w:val="24"/>
          <w:szCs w:val="24"/>
        </w:rPr>
        <w:t xml:space="preserve"> těchto účtů. U údajů položek, které </w:t>
      </w:r>
      <w:r w:rsidRPr="00E76F52">
        <w:rPr>
          <w:rFonts w:ascii="Calibri" w:hAnsi="Calibri" w:cs="Calibri"/>
          <w:bCs/>
          <w:sz w:val="24"/>
          <w:szCs w:val="24"/>
        </w:rPr>
        <w:lastRenderedPageBreak/>
        <w:t>nepředstavují analytické členění a jsou převzaty ve výši konečných zůstatků syntetických účtů z</w:t>
      </w:r>
      <w:r w:rsidR="007405FC" w:rsidRPr="00E76F52">
        <w:rPr>
          <w:rFonts w:ascii="Calibri" w:hAnsi="Calibri" w:cs="Calibri"/>
          <w:bCs/>
          <w:sz w:val="24"/>
          <w:szCs w:val="24"/>
        </w:rPr>
        <w:t xml:space="preserve"> </w:t>
      </w:r>
      <w:r w:rsidRPr="00E76F52">
        <w:rPr>
          <w:rFonts w:ascii="Calibri" w:hAnsi="Calibri" w:cs="Calibri"/>
          <w:bCs/>
          <w:sz w:val="24"/>
          <w:szCs w:val="24"/>
        </w:rPr>
        <w:t>výkazu rozvaha, nelze z ustanovení § 44 odst. 11 vyhlášky č. 410/2009</w:t>
      </w:r>
      <w:r w:rsidRPr="00E76F52">
        <w:rPr>
          <w:rFonts w:ascii="Calibri" w:hAnsi="Calibri" w:cs="Calibri"/>
          <w:sz w:val="24"/>
          <w:szCs w:val="24"/>
        </w:rPr>
        <w:t xml:space="preserve"> Sb.</w:t>
      </w:r>
      <w:r w:rsidRPr="00E76F52">
        <w:rPr>
          <w:rFonts w:ascii="Calibri" w:hAnsi="Calibri" w:cs="Calibri"/>
          <w:bCs/>
          <w:sz w:val="24"/>
          <w:szCs w:val="24"/>
        </w:rPr>
        <w:t xml:space="preserve"> jednoznačně vyvodit</w:t>
      </w:r>
      <w:r w:rsidRPr="00E76F52">
        <w:rPr>
          <w:rFonts w:ascii="Calibri" w:hAnsi="Calibri" w:cs="Calibri"/>
          <w:sz w:val="24"/>
          <w:szCs w:val="24"/>
        </w:rPr>
        <w:t>, jakým konkrétním způsobem musí účetní jednotka při jejich naplňování postupovat. Zda mají být u těchto položek také naplněny oba sloupce, tj. jak „</w:t>
      </w:r>
      <w:r w:rsidRPr="00E76F52">
        <w:rPr>
          <w:rFonts w:ascii="Calibri" w:hAnsi="Calibri" w:cs="Calibri"/>
          <w:i/>
          <w:sz w:val="24"/>
          <w:szCs w:val="24"/>
        </w:rPr>
        <w:t>zvýšení stavu</w:t>
      </w:r>
      <w:r w:rsidRPr="00E76F52">
        <w:rPr>
          <w:rFonts w:ascii="Calibri" w:hAnsi="Calibri" w:cs="Calibri"/>
          <w:sz w:val="24"/>
          <w:szCs w:val="24"/>
        </w:rPr>
        <w:t>“, tak „</w:t>
      </w:r>
      <w:r w:rsidRPr="00E76F52">
        <w:rPr>
          <w:rFonts w:ascii="Calibri" w:hAnsi="Calibri" w:cs="Calibri"/>
          <w:i/>
          <w:sz w:val="24"/>
          <w:szCs w:val="24"/>
        </w:rPr>
        <w:t>snížení stavu</w:t>
      </w:r>
      <w:r w:rsidRPr="00E76F52">
        <w:rPr>
          <w:rFonts w:ascii="Calibri" w:hAnsi="Calibri" w:cs="Calibri"/>
          <w:sz w:val="24"/>
          <w:szCs w:val="24"/>
        </w:rPr>
        <w:t>“, či zda má být uveden jen rozdíl mezi těmito sloupci</w:t>
      </w:r>
      <w:r w:rsidR="00036882">
        <w:rPr>
          <w:rFonts w:ascii="Calibri" w:hAnsi="Calibri" w:cs="Calibri"/>
          <w:sz w:val="24"/>
          <w:szCs w:val="24"/>
        </w:rPr>
        <w:t>,</w:t>
      </w:r>
      <w:r w:rsidRPr="00E76F52">
        <w:rPr>
          <w:rFonts w:ascii="Calibri" w:hAnsi="Calibri" w:cs="Calibri"/>
          <w:sz w:val="24"/>
          <w:szCs w:val="24"/>
        </w:rPr>
        <w:t xml:space="preserve"> tzn. rozdíl konečných zůstatků těchto účtů z výkazu rozvaha.</w:t>
      </w:r>
      <w:r w:rsidR="00163613" w:rsidRPr="00E76F52">
        <w:rPr>
          <w:rFonts w:ascii="Calibri" w:hAnsi="Calibri" w:cs="Calibri"/>
          <w:bCs/>
          <w:sz w:val="24"/>
          <w:szCs w:val="24"/>
        </w:rPr>
        <w:t xml:space="preserve"> </w:t>
      </w:r>
    </w:p>
    <w:p w:rsidR="005416A5" w:rsidRPr="00E76F52" w:rsidRDefault="005416A5" w:rsidP="00E76F52">
      <w:pPr>
        <w:spacing w:after="0" w:line="240" w:lineRule="auto"/>
        <w:jc w:val="both"/>
        <w:rPr>
          <w:rFonts w:ascii="Calibri" w:hAnsi="Calibri" w:cs="Calibri"/>
          <w:bCs/>
          <w:sz w:val="24"/>
          <w:szCs w:val="24"/>
        </w:rPr>
      </w:pPr>
    </w:p>
    <w:p w:rsidR="00234362" w:rsidRPr="00E76F52" w:rsidRDefault="00234362" w:rsidP="00E76F52">
      <w:pPr>
        <w:spacing w:after="0" w:line="240" w:lineRule="auto"/>
        <w:jc w:val="both"/>
        <w:rPr>
          <w:rFonts w:ascii="Calibri" w:hAnsi="Calibri" w:cs="Calibri"/>
          <w:bCs/>
          <w:sz w:val="24"/>
          <w:szCs w:val="24"/>
        </w:rPr>
      </w:pPr>
      <w:r w:rsidRPr="00E76F52">
        <w:rPr>
          <w:rFonts w:ascii="Calibri" w:hAnsi="Calibri" w:cs="Calibri"/>
          <w:sz w:val="24"/>
          <w:szCs w:val="24"/>
        </w:rPr>
        <w:t>M</w:t>
      </w:r>
      <w:r w:rsidR="001E00B0" w:rsidRPr="00E76F52">
        <w:rPr>
          <w:rFonts w:ascii="Calibri" w:hAnsi="Calibri" w:cs="Calibri"/>
          <w:sz w:val="24"/>
          <w:szCs w:val="24"/>
        </w:rPr>
        <w:t>ŽP</w:t>
      </w:r>
      <w:r w:rsidRPr="00E76F52">
        <w:rPr>
          <w:rFonts w:ascii="Calibri" w:hAnsi="Calibri" w:cs="Calibri"/>
          <w:sz w:val="24"/>
          <w:szCs w:val="24"/>
        </w:rPr>
        <w:t xml:space="preserve"> naplnilo ve výkazu položky B. </w:t>
      </w:r>
      <w:r w:rsidRPr="00E76F52">
        <w:rPr>
          <w:rFonts w:ascii="Calibri" w:hAnsi="Calibri" w:cs="Calibri"/>
          <w:i/>
          <w:sz w:val="24"/>
          <w:szCs w:val="24"/>
        </w:rPr>
        <w:t>Fondy účetní jednotky</w:t>
      </w:r>
      <w:r w:rsidRPr="00E76F52">
        <w:rPr>
          <w:rFonts w:ascii="Calibri" w:hAnsi="Calibri" w:cs="Calibri"/>
          <w:sz w:val="24"/>
          <w:szCs w:val="24"/>
        </w:rPr>
        <w:t xml:space="preserve">, C. </w:t>
      </w:r>
      <w:r w:rsidRPr="00E76F52">
        <w:rPr>
          <w:rFonts w:ascii="Calibri" w:hAnsi="Calibri" w:cs="Calibri"/>
          <w:i/>
          <w:sz w:val="24"/>
          <w:szCs w:val="24"/>
        </w:rPr>
        <w:t>Výsledek hospodaření</w:t>
      </w:r>
      <w:r w:rsidRPr="00E76F52">
        <w:rPr>
          <w:rFonts w:ascii="Calibri" w:hAnsi="Calibri" w:cs="Calibri"/>
          <w:sz w:val="24"/>
          <w:szCs w:val="24"/>
        </w:rPr>
        <w:t xml:space="preserve"> a</w:t>
      </w:r>
      <w:r w:rsidR="003F2EBC" w:rsidRPr="00E76F52">
        <w:rPr>
          <w:rFonts w:ascii="Calibri" w:hAnsi="Calibri" w:cs="Calibri"/>
          <w:sz w:val="24"/>
          <w:szCs w:val="24"/>
        </w:rPr>
        <w:t> </w:t>
      </w:r>
      <w:r w:rsidRPr="00E76F52">
        <w:rPr>
          <w:rFonts w:ascii="Calibri" w:hAnsi="Calibri" w:cs="Calibri"/>
          <w:sz w:val="24"/>
          <w:szCs w:val="24"/>
        </w:rPr>
        <w:t>D.</w:t>
      </w:r>
      <w:r w:rsidR="003F2EBC" w:rsidRPr="00E76F52">
        <w:rPr>
          <w:rFonts w:ascii="Calibri" w:hAnsi="Calibri" w:cs="Calibri"/>
          <w:sz w:val="24"/>
          <w:szCs w:val="24"/>
        </w:rPr>
        <w:t> </w:t>
      </w:r>
      <w:r w:rsidRPr="00E76F52">
        <w:rPr>
          <w:rFonts w:ascii="Calibri" w:hAnsi="Calibri" w:cs="Calibri"/>
          <w:i/>
          <w:sz w:val="24"/>
          <w:szCs w:val="24"/>
        </w:rPr>
        <w:t>Příjmový a výdajový účet rozpočtového hospodaření</w:t>
      </w:r>
      <w:r w:rsidRPr="00E76F52">
        <w:rPr>
          <w:rFonts w:ascii="Calibri" w:hAnsi="Calibri" w:cs="Calibri"/>
          <w:sz w:val="24"/>
          <w:szCs w:val="24"/>
        </w:rPr>
        <w:t xml:space="preserve"> v</w:t>
      </w:r>
      <w:r w:rsidR="00595F2C">
        <w:rPr>
          <w:rFonts w:ascii="Calibri" w:hAnsi="Calibri" w:cs="Calibri"/>
          <w:sz w:val="24"/>
          <w:szCs w:val="24"/>
        </w:rPr>
        <w:t> </w:t>
      </w:r>
      <w:r w:rsidRPr="00E76F52">
        <w:rPr>
          <w:rFonts w:ascii="Calibri" w:hAnsi="Calibri" w:cs="Calibri"/>
          <w:sz w:val="24"/>
          <w:szCs w:val="24"/>
        </w:rPr>
        <w:t xml:space="preserve">uvedených sloupcích sumou obratů zachycenou v účetnictví na stranách </w:t>
      </w:r>
      <w:r w:rsidR="001E00B0" w:rsidRPr="00E76F52">
        <w:rPr>
          <w:rFonts w:ascii="Calibri" w:hAnsi="Calibri" w:cs="Calibri"/>
          <w:sz w:val="24"/>
          <w:szCs w:val="24"/>
        </w:rPr>
        <w:t>„m</w:t>
      </w:r>
      <w:r w:rsidRPr="00E76F52">
        <w:rPr>
          <w:rFonts w:ascii="Calibri" w:hAnsi="Calibri" w:cs="Calibri"/>
          <w:sz w:val="24"/>
          <w:szCs w:val="24"/>
        </w:rPr>
        <w:t xml:space="preserve">á </w:t>
      </w:r>
      <w:r w:rsidR="001E00B0" w:rsidRPr="00E76F52">
        <w:rPr>
          <w:rFonts w:ascii="Calibri" w:hAnsi="Calibri" w:cs="Calibri"/>
          <w:sz w:val="24"/>
          <w:szCs w:val="24"/>
        </w:rPr>
        <w:t>d</w:t>
      </w:r>
      <w:r w:rsidRPr="00E76F52">
        <w:rPr>
          <w:rFonts w:ascii="Calibri" w:hAnsi="Calibri" w:cs="Calibri"/>
          <w:sz w:val="24"/>
          <w:szCs w:val="24"/>
        </w:rPr>
        <w:t>áti</w:t>
      </w:r>
      <w:r w:rsidR="001E00B0" w:rsidRPr="00E76F52">
        <w:rPr>
          <w:rFonts w:ascii="Calibri" w:hAnsi="Calibri" w:cs="Calibri"/>
          <w:sz w:val="24"/>
          <w:szCs w:val="24"/>
        </w:rPr>
        <w:t>“</w:t>
      </w:r>
      <w:r w:rsidRPr="00E76F52">
        <w:rPr>
          <w:rFonts w:ascii="Calibri" w:hAnsi="Calibri" w:cs="Calibri"/>
          <w:sz w:val="24"/>
          <w:szCs w:val="24"/>
        </w:rPr>
        <w:t xml:space="preserve"> a </w:t>
      </w:r>
      <w:r w:rsidR="001E00B0" w:rsidRPr="00E76F52">
        <w:rPr>
          <w:rFonts w:ascii="Calibri" w:hAnsi="Calibri" w:cs="Calibri"/>
          <w:sz w:val="24"/>
          <w:szCs w:val="24"/>
        </w:rPr>
        <w:t>„d</w:t>
      </w:r>
      <w:r w:rsidRPr="00E76F52">
        <w:rPr>
          <w:rFonts w:ascii="Calibri" w:hAnsi="Calibri" w:cs="Calibri"/>
          <w:sz w:val="24"/>
          <w:szCs w:val="24"/>
        </w:rPr>
        <w:t>al</w:t>
      </w:r>
      <w:r w:rsidR="001E00B0" w:rsidRPr="00E76F52">
        <w:rPr>
          <w:rFonts w:ascii="Calibri" w:hAnsi="Calibri" w:cs="Calibri"/>
          <w:sz w:val="24"/>
          <w:szCs w:val="24"/>
        </w:rPr>
        <w:t>“</w:t>
      </w:r>
      <w:r w:rsidRPr="00E76F52">
        <w:rPr>
          <w:rFonts w:ascii="Calibri" w:hAnsi="Calibri" w:cs="Calibri"/>
          <w:sz w:val="24"/>
          <w:szCs w:val="24"/>
        </w:rPr>
        <w:t xml:space="preserve"> p</w:t>
      </w:r>
      <w:r w:rsidR="001E00B0" w:rsidRPr="00E76F52">
        <w:rPr>
          <w:rFonts w:ascii="Calibri" w:hAnsi="Calibri" w:cs="Calibri"/>
          <w:sz w:val="24"/>
          <w:szCs w:val="24"/>
        </w:rPr>
        <w:t xml:space="preserve">říslušných účtů. </w:t>
      </w:r>
      <w:r w:rsidRPr="00E76F52">
        <w:rPr>
          <w:rFonts w:ascii="Calibri" w:hAnsi="Calibri" w:cs="Calibri"/>
          <w:sz w:val="24"/>
          <w:szCs w:val="24"/>
        </w:rPr>
        <w:t xml:space="preserve">Nejasnost </w:t>
      </w:r>
      <w:r w:rsidR="00D93250" w:rsidRPr="00E76F52">
        <w:rPr>
          <w:rFonts w:ascii="Calibri" w:hAnsi="Calibri" w:cs="Calibri"/>
          <w:sz w:val="24"/>
          <w:szCs w:val="24"/>
        </w:rPr>
        <w:t xml:space="preserve">při </w:t>
      </w:r>
      <w:r w:rsidRPr="00E76F52">
        <w:rPr>
          <w:rFonts w:ascii="Calibri" w:hAnsi="Calibri" w:cs="Calibri"/>
          <w:sz w:val="24"/>
          <w:szCs w:val="24"/>
        </w:rPr>
        <w:t>aplikac</w:t>
      </w:r>
      <w:r w:rsidR="00D93250" w:rsidRPr="00E76F52">
        <w:rPr>
          <w:rFonts w:ascii="Calibri" w:hAnsi="Calibri" w:cs="Calibri"/>
          <w:sz w:val="24"/>
          <w:szCs w:val="24"/>
        </w:rPr>
        <w:t>i</w:t>
      </w:r>
      <w:r w:rsidRPr="00E76F52">
        <w:rPr>
          <w:rFonts w:ascii="Calibri" w:hAnsi="Calibri" w:cs="Calibri"/>
          <w:sz w:val="24"/>
          <w:szCs w:val="24"/>
        </w:rPr>
        <w:t xml:space="preserve"> §</w:t>
      </w:r>
      <w:r w:rsidR="00EF58D3" w:rsidRPr="00E76F52">
        <w:rPr>
          <w:rFonts w:ascii="Calibri" w:hAnsi="Calibri" w:cs="Calibri"/>
          <w:sz w:val="24"/>
          <w:szCs w:val="24"/>
        </w:rPr>
        <w:t> </w:t>
      </w:r>
      <w:r w:rsidRPr="00E76F52">
        <w:rPr>
          <w:rFonts w:ascii="Calibri" w:hAnsi="Calibri" w:cs="Calibri"/>
          <w:sz w:val="24"/>
          <w:szCs w:val="24"/>
        </w:rPr>
        <w:t>44 odst. 11 vyhlášky č. 410/2009 Sb. vede k závěru, že postup M</w:t>
      </w:r>
      <w:r w:rsidR="001E00B0" w:rsidRPr="00E76F52">
        <w:rPr>
          <w:rFonts w:ascii="Calibri" w:hAnsi="Calibri" w:cs="Calibri"/>
          <w:sz w:val="24"/>
          <w:szCs w:val="24"/>
        </w:rPr>
        <w:t>ŽP</w:t>
      </w:r>
      <w:r w:rsidRPr="00E76F52">
        <w:rPr>
          <w:rFonts w:ascii="Calibri" w:hAnsi="Calibri" w:cs="Calibri"/>
          <w:sz w:val="24"/>
          <w:szCs w:val="24"/>
        </w:rPr>
        <w:t xml:space="preserve"> použitý při naplňování položek B. </w:t>
      </w:r>
      <w:r w:rsidRPr="00E76F52">
        <w:rPr>
          <w:rFonts w:ascii="Calibri" w:hAnsi="Calibri" w:cs="Calibri"/>
          <w:i/>
          <w:sz w:val="24"/>
          <w:szCs w:val="24"/>
        </w:rPr>
        <w:t>Fondy účetní jednotky</w:t>
      </w:r>
      <w:r w:rsidRPr="00E76F52">
        <w:rPr>
          <w:rFonts w:ascii="Calibri" w:hAnsi="Calibri" w:cs="Calibri"/>
          <w:sz w:val="24"/>
          <w:szCs w:val="24"/>
        </w:rPr>
        <w:t xml:space="preserve">, C. </w:t>
      </w:r>
      <w:r w:rsidRPr="00E76F52">
        <w:rPr>
          <w:rFonts w:ascii="Calibri" w:hAnsi="Calibri" w:cs="Calibri"/>
          <w:i/>
          <w:sz w:val="24"/>
          <w:szCs w:val="24"/>
        </w:rPr>
        <w:t>Výsledek hospodaření</w:t>
      </w:r>
      <w:r w:rsidRPr="00E76F52">
        <w:rPr>
          <w:rFonts w:ascii="Calibri" w:hAnsi="Calibri" w:cs="Calibri"/>
          <w:sz w:val="24"/>
          <w:szCs w:val="24"/>
        </w:rPr>
        <w:t xml:space="preserve"> a</w:t>
      </w:r>
      <w:r w:rsidR="007405FC" w:rsidRPr="00E76F52">
        <w:rPr>
          <w:rFonts w:ascii="Calibri" w:hAnsi="Calibri" w:cs="Calibri"/>
          <w:sz w:val="24"/>
          <w:szCs w:val="24"/>
        </w:rPr>
        <w:t xml:space="preserve"> </w:t>
      </w:r>
      <w:r w:rsidRPr="00E76F52">
        <w:rPr>
          <w:rFonts w:ascii="Calibri" w:hAnsi="Calibri" w:cs="Calibri"/>
          <w:sz w:val="24"/>
          <w:szCs w:val="24"/>
        </w:rPr>
        <w:t>D.</w:t>
      </w:r>
      <w:r w:rsidR="007405FC" w:rsidRPr="00E76F52">
        <w:rPr>
          <w:rFonts w:ascii="Calibri" w:hAnsi="Calibri" w:cs="Calibri"/>
          <w:sz w:val="24"/>
          <w:szCs w:val="24"/>
        </w:rPr>
        <w:t xml:space="preserve"> </w:t>
      </w:r>
      <w:r w:rsidRPr="00E76F52">
        <w:rPr>
          <w:rFonts w:ascii="Calibri" w:hAnsi="Calibri" w:cs="Calibri"/>
          <w:i/>
          <w:sz w:val="24"/>
          <w:szCs w:val="24"/>
        </w:rPr>
        <w:t>Příjmový a</w:t>
      </w:r>
      <w:r w:rsidR="003F2EBC" w:rsidRPr="00E76F52">
        <w:rPr>
          <w:rFonts w:ascii="Calibri" w:hAnsi="Calibri" w:cs="Calibri"/>
          <w:i/>
          <w:sz w:val="24"/>
          <w:szCs w:val="24"/>
        </w:rPr>
        <w:t> </w:t>
      </w:r>
      <w:r w:rsidRPr="00E76F52">
        <w:rPr>
          <w:rFonts w:ascii="Calibri" w:hAnsi="Calibri" w:cs="Calibri"/>
          <w:i/>
          <w:sz w:val="24"/>
          <w:szCs w:val="24"/>
        </w:rPr>
        <w:t>výdajový účet rozpočtového hospodaření</w:t>
      </w:r>
      <w:r w:rsidRPr="00E76F52">
        <w:rPr>
          <w:rFonts w:ascii="Calibri" w:hAnsi="Calibri" w:cs="Calibri"/>
          <w:sz w:val="24"/>
          <w:szCs w:val="24"/>
        </w:rPr>
        <w:t xml:space="preserve"> </w:t>
      </w:r>
      <w:r w:rsidR="00595F2C">
        <w:rPr>
          <w:rFonts w:ascii="Calibri" w:hAnsi="Calibri" w:cs="Calibri"/>
          <w:sz w:val="24"/>
          <w:szCs w:val="24"/>
        </w:rPr>
        <w:t>ve sloupečcích</w:t>
      </w:r>
      <w:r w:rsidRPr="00E76F52">
        <w:rPr>
          <w:rFonts w:ascii="Calibri" w:hAnsi="Calibri" w:cs="Calibri"/>
          <w:sz w:val="24"/>
          <w:szCs w:val="24"/>
        </w:rPr>
        <w:t xml:space="preserve"> „</w:t>
      </w:r>
      <w:r w:rsidRPr="00E76F52">
        <w:rPr>
          <w:rFonts w:ascii="Calibri" w:hAnsi="Calibri" w:cs="Calibri"/>
          <w:i/>
          <w:sz w:val="24"/>
          <w:szCs w:val="24"/>
        </w:rPr>
        <w:t>zvýšení stavu</w:t>
      </w:r>
      <w:r w:rsidRPr="00E76F52">
        <w:rPr>
          <w:rFonts w:ascii="Calibri" w:hAnsi="Calibri" w:cs="Calibri"/>
          <w:sz w:val="24"/>
          <w:szCs w:val="24"/>
        </w:rPr>
        <w:t>“ a</w:t>
      </w:r>
      <w:r w:rsidR="007405FC" w:rsidRPr="00E76F52">
        <w:rPr>
          <w:rFonts w:ascii="Calibri" w:hAnsi="Calibri" w:cs="Calibri"/>
          <w:sz w:val="24"/>
          <w:szCs w:val="24"/>
        </w:rPr>
        <w:t xml:space="preserve"> </w:t>
      </w:r>
      <w:r w:rsidRPr="00E76F52">
        <w:rPr>
          <w:rFonts w:ascii="Calibri" w:hAnsi="Calibri" w:cs="Calibri"/>
          <w:sz w:val="24"/>
          <w:szCs w:val="24"/>
        </w:rPr>
        <w:t>„</w:t>
      </w:r>
      <w:r w:rsidRPr="00E76F52">
        <w:rPr>
          <w:rFonts w:ascii="Calibri" w:hAnsi="Calibri" w:cs="Calibri"/>
          <w:i/>
          <w:sz w:val="24"/>
          <w:szCs w:val="24"/>
        </w:rPr>
        <w:t xml:space="preserve">snížení stavu“ </w:t>
      </w:r>
      <w:r w:rsidRPr="00E76F52">
        <w:rPr>
          <w:rFonts w:ascii="Calibri" w:hAnsi="Calibri" w:cs="Calibri"/>
          <w:sz w:val="24"/>
          <w:szCs w:val="24"/>
        </w:rPr>
        <w:t>ne</w:t>
      </w:r>
      <w:r w:rsidR="001E00B0" w:rsidRPr="00E76F52">
        <w:rPr>
          <w:rFonts w:ascii="Calibri" w:hAnsi="Calibri" w:cs="Calibri"/>
          <w:sz w:val="24"/>
          <w:szCs w:val="24"/>
        </w:rPr>
        <w:t xml:space="preserve">lze považovat za nesprávný. </w:t>
      </w:r>
      <w:r w:rsidRPr="00E76F52">
        <w:rPr>
          <w:rFonts w:ascii="Calibri" w:hAnsi="Calibri" w:cs="Calibri"/>
          <w:sz w:val="24"/>
          <w:szCs w:val="24"/>
        </w:rPr>
        <w:t xml:space="preserve">Nejasnost aplikace právních předpisů, </w:t>
      </w:r>
      <w:r w:rsidR="00595F2C">
        <w:rPr>
          <w:rFonts w:ascii="Calibri" w:hAnsi="Calibri" w:cs="Calibri"/>
          <w:sz w:val="24"/>
          <w:szCs w:val="24"/>
        </w:rPr>
        <w:t>která vede</w:t>
      </w:r>
      <w:r w:rsidRPr="00E76F52">
        <w:rPr>
          <w:rFonts w:ascii="Calibri" w:hAnsi="Calibri" w:cs="Calibri"/>
          <w:sz w:val="24"/>
          <w:szCs w:val="24"/>
        </w:rPr>
        <w:t xml:space="preserve"> k</w:t>
      </w:r>
      <w:r w:rsidR="007405FC" w:rsidRPr="00E76F52">
        <w:rPr>
          <w:rFonts w:ascii="Calibri" w:hAnsi="Calibri" w:cs="Calibri"/>
          <w:sz w:val="24"/>
          <w:szCs w:val="24"/>
        </w:rPr>
        <w:t xml:space="preserve"> </w:t>
      </w:r>
      <w:r w:rsidRPr="00E76F52">
        <w:rPr>
          <w:rFonts w:ascii="Calibri" w:hAnsi="Calibri" w:cs="Calibri"/>
          <w:sz w:val="24"/>
          <w:szCs w:val="24"/>
        </w:rPr>
        <w:t>možnému používání různých způsobů pro naplnění údajů o „</w:t>
      </w:r>
      <w:r w:rsidRPr="00E76F52">
        <w:rPr>
          <w:rFonts w:ascii="Calibri" w:hAnsi="Calibri" w:cs="Calibri"/>
          <w:i/>
          <w:sz w:val="24"/>
          <w:szCs w:val="24"/>
        </w:rPr>
        <w:t>zvýšení stavu</w:t>
      </w:r>
      <w:r w:rsidRPr="00E76F52">
        <w:rPr>
          <w:rFonts w:ascii="Calibri" w:hAnsi="Calibri" w:cs="Calibri"/>
          <w:sz w:val="24"/>
          <w:szCs w:val="24"/>
        </w:rPr>
        <w:t>“ a „</w:t>
      </w:r>
      <w:r w:rsidRPr="00E76F52">
        <w:rPr>
          <w:rFonts w:ascii="Calibri" w:hAnsi="Calibri" w:cs="Calibri"/>
          <w:i/>
          <w:sz w:val="24"/>
          <w:szCs w:val="24"/>
        </w:rPr>
        <w:t>snížení stavu</w:t>
      </w:r>
      <w:r w:rsidRPr="00E76F52">
        <w:rPr>
          <w:rFonts w:ascii="Calibri" w:hAnsi="Calibri" w:cs="Calibri"/>
          <w:sz w:val="24"/>
          <w:szCs w:val="24"/>
        </w:rPr>
        <w:t>“ takových položek v</w:t>
      </w:r>
      <w:r w:rsidR="00EF58D3" w:rsidRPr="00E76F52">
        <w:rPr>
          <w:rFonts w:ascii="Calibri" w:hAnsi="Calibri" w:cs="Calibri"/>
          <w:sz w:val="24"/>
          <w:szCs w:val="24"/>
        </w:rPr>
        <w:t> </w:t>
      </w:r>
      <w:r w:rsidRPr="00E76F52">
        <w:rPr>
          <w:rFonts w:ascii="Calibri" w:hAnsi="Calibri" w:cs="Calibri"/>
          <w:sz w:val="24"/>
          <w:szCs w:val="24"/>
        </w:rPr>
        <w:t>přehledu o</w:t>
      </w:r>
      <w:r w:rsidR="007405FC" w:rsidRPr="00E76F52">
        <w:rPr>
          <w:rFonts w:ascii="Calibri" w:hAnsi="Calibri" w:cs="Calibri"/>
          <w:sz w:val="24"/>
          <w:szCs w:val="24"/>
        </w:rPr>
        <w:t xml:space="preserve"> </w:t>
      </w:r>
      <w:r w:rsidRPr="00E76F52">
        <w:rPr>
          <w:rFonts w:ascii="Calibri" w:hAnsi="Calibri" w:cs="Calibri"/>
          <w:sz w:val="24"/>
          <w:szCs w:val="24"/>
        </w:rPr>
        <w:t>změnách vlastního kapitálu, způsobuje riziko nesrovnatelnosti údajů.</w:t>
      </w:r>
    </w:p>
    <w:p w:rsidR="00234362" w:rsidRPr="00E76F52" w:rsidRDefault="00234362" w:rsidP="00E76F52">
      <w:pPr>
        <w:spacing w:after="0" w:line="240" w:lineRule="auto"/>
        <w:jc w:val="both"/>
        <w:rPr>
          <w:rFonts w:ascii="Calibri" w:hAnsi="Calibri" w:cs="Calibri"/>
          <w:color w:val="000000"/>
          <w:sz w:val="24"/>
          <w:szCs w:val="24"/>
        </w:rPr>
      </w:pPr>
    </w:p>
    <w:p w:rsidR="00B72F96" w:rsidRPr="005416A5" w:rsidRDefault="00480A89" w:rsidP="00E76F52">
      <w:pPr>
        <w:spacing w:after="0" w:line="240" w:lineRule="auto"/>
        <w:jc w:val="both"/>
        <w:rPr>
          <w:rFonts w:ascii="Calibri" w:hAnsi="Calibri" w:cs="Calibri"/>
          <w:b/>
          <w:color w:val="000000"/>
          <w:sz w:val="24"/>
          <w:szCs w:val="24"/>
        </w:rPr>
      </w:pPr>
      <w:r w:rsidRPr="005416A5">
        <w:rPr>
          <w:rFonts w:ascii="Calibri" w:hAnsi="Calibri" w:cs="Calibri"/>
          <w:b/>
          <w:color w:val="000000"/>
          <w:sz w:val="24"/>
          <w:szCs w:val="24"/>
        </w:rPr>
        <w:t xml:space="preserve">1.2 </w:t>
      </w:r>
      <w:r w:rsidR="0019548F" w:rsidRPr="005416A5">
        <w:rPr>
          <w:rFonts w:ascii="Calibri" w:hAnsi="Calibri" w:cs="Calibri"/>
          <w:b/>
          <w:color w:val="000000"/>
          <w:sz w:val="24"/>
          <w:szCs w:val="24"/>
        </w:rPr>
        <w:t>Specifick</w:t>
      </w:r>
      <w:r w:rsidR="001E00B0" w:rsidRPr="005416A5">
        <w:rPr>
          <w:rFonts w:ascii="Calibri" w:hAnsi="Calibri" w:cs="Calibri"/>
          <w:b/>
          <w:color w:val="000000"/>
          <w:sz w:val="24"/>
          <w:szCs w:val="24"/>
        </w:rPr>
        <w:t>ý majetek</w:t>
      </w:r>
      <w:r w:rsidR="0019548F" w:rsidRPr="005416A5">
        <w:rPr>
          <w:rFonts w:ascii="Calibri" w:hAnsi="Calibri" w:cs="Calibri"/>
          <w:b/>
          <w:color w:val="000000"/>
          <w:sz w:val="24"/>
          <w:szCs w:val="24"/>
        </w:rPr>
        <w:t xml:space="preserve"> v</w:t>
      </w:r>
      <w:r w:rsidR="007405FC" w:rsidRPr="005416A5">
        <w:rPr>
          <w:rFonts w:ascii="Calibri" w:hAnsi="Calibri" w:cs="Calibri"/>
          <w:b/>
          <w:color w:val="000000"/>
          <w:sz w:val="24"/>
          <w:szCs w:val="24"/>
        </w:rPr>
        <w:t xml:space="preserve"> </w:t>
      </w:r>
      <w:r w:rsidR="0019548F" w:rsidRPr="005416A5">
        <w:rPr>
          <w:rFonts w:ascii="Calibri" w:hAnsi="Calibri" w:cs="Calibri"/>
          <w:b/>
          <w:color w:val="000000"/>
          <w:sz w:val="24"/>
          <w:szCs w:val="24"/>
        </w:rPr>
        <w:t xml:space="preserve">účetnictví MŽP </w:t>
      </w:r>
      <w:r w:rsidR="00C16B7A" w:rsidRPr="005416A5">
        <w:rPr>
          <w:rFonts w:ascii="Calibri" w:hAnsi="Calibri" w:cs="Calibri"/>
          <w:b/>
          <w:color w:val="000000"/>
          <w:sz w:val="24"/>
          <w:szCs w:val="24"/>
        </w:rPr>
        <w:t>–</w:t>
      </w:r>
      <w:r w:rsidR="0019548F" w:rsidRPr="005416A5">
        <w:rPr>
          <w:rFonts w:ascii="Calibri" w:hAnsi="Calibri" w:cs="Calibri"/>
          <w:b/>
          <w:color w:val="000000"/>
          <w:sz w:val="24"/>
          <w:szCs w:val="24"/>
        </w:rPr>
        <w:t xml:space="preserve"> p</w:t>
      </w:r>
      <w:r w:rsidR="0019548F" w:rsidRPr="005416A5">
        <w:rPr>
          <w:rFonts w:ascii="Calibri" w:hAnsi="Calibri" w:cs="Calibri"/>
          <w:b/>
          <w:sz w:val="24"/>
          <w:szCs w:val="24"/>
        </w:rPr>
        <w:t>ovolenky na emise</w:t>
      </w:r>
    </w:p>
    <w:p w:rsidR="005416A5" w:rsidRDefault="005416A5" w:rsidP="00E76F52">
      <w:pPr>
        <w:spacing w:after="0" w:line="240" w:lineRule="auto"/>
        <w:jc w:val="both"/>
        <w:rPr>
          <w:rFonts w:ascii="Calibri" w:hAnsi="Calibri" w:cs="Calibri"/>
          <w:color w:val="000000"/>
          <w:sz w:val="24"/>
          <w:szCs w:val="24"/>
        </w:rPr>
      </w:pPr>
    </w:p>
    <w:p w:rsidR="00BD540B" w:rsidRDefault="00BD540B" w:rsidP="00E76F52">
      <w:pPr>
        <w:spacing w:after="0" w:line="240" w:lineRule="auto"/>
        <w:jc w:val="both"/>
        <w:rPr>
          <w:rFonts w:ascii="Calibri" w:hAnsi="Calibri" w:cs="Calibri"/>
          <w:color w:val="000000"/>
          <w:sz w:val="24"/>
          <w:szCs w:val="24"/>
        </w:rPr>
      </w:pPr>
      <w:r w:rsidRPr="00E76F52">
        <w:rPr>
          <w:rFonts w:ascii="Calibri" w:hAnsi="Calibri" w:cs="Calibri"/>
          <w:color w:val="000000"/>
          <w:sz w:val="24"/>
          <w:szCs w:val="24"/>
        </w:rPr>
        <w:t>Povolenky na emise</w:t>
      </w:r>
      <w:r w:rsidR="00BC557F" w:rsidRPr="00E76F52">
        <w:rPr>
          <w:rFonts w:ascii="Calibri" w:hAnsi="Calibri" w:cs="Calibri"/>
          <w:color w:val="000000"/>
          <w:sz w:val="24"/>
          <w:szCs w:val="24"/>
        </w:rPr>
        <w:t xml:space="preserve"> </w:t>
      </w:r>
      <w:r w:rsidR="00595F2C">
        <w:rPr>
          <w:rFonts w:ascii="Calibri" w:hAnsi="Calibri" w:cs="Calibri"/>
          <w:color w:val="000000"/>
          <w:sz w:val="24"/>
          <w:szCs w:val="24"/>
        </w:rPr>
        <w:t>zavedla</w:t>
      </w:r>
      <w:r w:rsidRPr="00E76F52">
        <w:rPr>
          <w:rFonts w:ascii="Calibri" w:hAnsi="Calibri" w:cs="Calibri"/>
          <w:color w:val="000000"/>
          <w:sz w:val="24"/>
          <w:szCs w:val="24"/>
        </w:rPr>
        <w:t xml:space="preserve"> Evropská unie</w:t>
      </w:r>
      <w:r w:rsidR="00BC557F" w:rsidRPr="00E76F52">
        <w:rPr>
          <w:rFonts w:ascii="Calibri" w:hAnsi="Calibri" w:cs="Calibri"/>
          <w:color w:val="000000"/>
          <w:sz w:val="24"/>
          <w:szCs w:val="24"/>
        </w:rPr>
        <w:t xml:space="preserve"> jako nástroj pro p</w:t>
      </w:r>
      <w:r w:rsidRPr="00E76F52">
        <w:rPr>
          <w:rFonts w:ascii="Calibri" w:hAnsi="Calibri" w:cs="Calibri"/>
          <w:color w:val="000000"/>
          <w:sz w:val="24"/>
          <w:szCs w:val="24"/>
        </w:rPr>
        <w:t xml:space="preserve">lnění </w:t>
      </w:r>
      <w:r w:rsidR="0081375C" w:rsidRPr="00E76F52">
        <w:rPr>
          <w:rFonts w:ascii="Calibri" w:hAnsi="Calibri" w:cs="Calibri"/>
          <w:color w:val="000000"/>
          <w:sz w:val="24"/>
          <w:szCs w:val="24"/>
        </w:rPr>
        <w:t>společného závazku členských zemí</w:t>
      </w:r>
      <w:r w:rsidRPr="00E76F52">
        <w:rPr>
          <w:rFonts w:ascii="Calibri" w:hAnsi="Calibri" w:cs="Calibri"/>
          <w:color w:val="000000"/>
          <w:sz w:val="24"/>
          <w:szCs w:val="24"/>
        </w:rPr>
        <w:t xml:space="preserve"> na snížení emisí skleníkových plynů vyplývající</w:t>
      </w:r>
      <w:r w:rsidR="00595F2C">
        <w:rPr>
          <w:rFonts w:ascii="Calibri" w:hAnsi="Calibri" w:cs="Calibri"/>
          <w:color w:val="000000"/>
          <w:sz w:val="24"/>
          <w:szCs w:val="24"/>
        </w:rPr>
        <w:t>ho</w:t>
      </w:r>
      <w:r w:rsidRPr="00E76F52">
        <w:rPr>
          <w:rFonts w:ascii="Calibri" w:hAnsi="Calibri" w:cs="Calibri"/>
          <w:color w:val="000000"/>
          <w:sz w:val="24"/>
          <w:szCs w:val="24"/>
        </w:rPr>
        <w:t xml:space="preserve"> z</w:t>
      </w:r>
      <w:r w:rsidR="007405FC" w:rsidRPr="00E76F52">
        <w:rPr>
          <w:rFonts w:ascii="Calibri" w:hAnsi="Calibri" w:cs="Calibri"/>
          <w:color w:val="000000"/>
          <w:sz w:val="24"/>
          <w:szCs w:val="24"/>
        </w:rPr>
        <w:t xml:space="preserve"> </w:t>
      </w:r>
      <w:r w:rsidRPr="00B437CB">
        <w:rPr>
          <w:rFonts w:ascii="Calibri" w:hAnsi="Calibri" w:cs="Calibri"/>
          <w:i/>
          <w:color w:val="000000"/>
          <w:sz w:val="24"/>
          <w:szCs w:val="24"/>
        </w:rPr>
        <w:t>Kjótského protokolu</w:t>
      </w:r>
      <w:r w:rsidRPr="00E76F52">
        <w:rPr>
          <w:rStyle w:val="Znakapoznpodarou"/>
          <w:rFonts w:ascii="Calibri" w:hAnsi="Calibri" w:cs="Calibri"/>
          <w:color w:val="000000"/>
          <w:sz w:val="24"/>
          <w:szCs w:val="24"/>
        </w:rPr>
        <w:footnoteReference w:id="8"/>
      </w:r>
      <w:r w:rsidRPr="00E76F52">
        <w:rPr>
          <w:rFonts w:ascii="Calibri" w:hAnsi="Calibri" w:cs="Calibri"/>
          <w:color w:val="000000"/>
          <w:sz w:val="24"/>
          <w:szCs w:val="24"/>
        </w:rPr>
        <w:t xml:space="preserve"> a</w:t>
      </w:r>
      <w:r w:rsidR="00B437CB">
        <w:rPr>
          <w:rFonts w:ascii="Calibri" w:hAnsi="Calibri" w:cs="Calibri"/>
          <w:color w:val="000000"/>
          <w:sz w:val="24"/>
          <w:szCs w:val="24"/>
        </w:rPr>
        <w:t> </w:t>
      </w:r>
      <w:r w:rsidRPr="00E76F52">
        <w:rPr>
          <w:rFonts w:ascii="Calibri" w:hAnsi="Calibri" w:cs="Calibri"/>
          <w:color w:val="000000"/>
          <w:sz w:val="24"/>
          <w:szCs w:val="24"/>
        </w:rPr>
        <w:t>jeho změny</w:t>
      </w:r>
      <w:r w:rsidRPr="00E76F52">
        <w:rPr>
          <w:rStyle w:val="Znakapoznpodarou"/>
          <w:rFonts w:ascii="Calibri" w:hAnsi="Calibri" w:cs="Calibri"/>
          <w:color w:val="000000"/>
          <w:sz w:val="24"/>
          <w:szCs w:val="24"/>
        </w:rPr>
        <w:footnoteReference w:id="9"/>
      </w:r>
      <w:r w:rsidRPr="00E76F52">
        <w:rPr>
          <w:rFonts w:ascii="Calibri" w:hAnsi="Calibri" w:cs="Calibri"/>
          <w:color w:val="000000"/>
          <w:sz w:val="24"/>
          <w:szCs w:val="24"/>
        </w:rPr>
        <w:t>.</w:t>
      </w:r>
    </w:p>
    <w:p w:rsidR="005416A5" w:rsidRPr="00E76F52" w:rsidRDefault="005416A5" w:rsidP="00E76F52">
      <w:pPr>
        <w:spacing w:after="0" w:line="240" w:lineRule="auto"/>
        <w:jc w:val="both"/>
        <w:rPr>
          <w:rFonts w:ascii="Calibri" w:hAnsi="Calibri" w:cs="Calibri"/>
          <w:color w:val="000000"/>
          <w:sz w:val="24"/>
          <w:szCs w:val="24"/>
        </w:rPr>
      </w:pPr>
    </w:p>
    <w:p w:rsidR="00BD540B" w:rsidRDefault="00BD540B" w:rsidP="00E76F52">
      <w:pPr>
        <w:spacing w:after="0" w:line="240" w:lineRule="auto"/>
        <w:jc w:val="both"/>
        <w:rPr>
          <w:rFonts w:ascii="Calibri" w:hAnsi="Calibri" w:cs="Calibri"/>
          <w:bCs/>
          <w:iCs/>
          <w:sz w:val="24"/>
          <w:szCs w:val="24"/>
        </w:rPr>
      </w:pPr>
      <w:r w:rsidRPr="00E76F52">
        <w:rPr>
          <w:rFonts w:ascii="Calibri" w:hAnsi="Calibri" w:cs="Calibri"/>
          <w:color w:val="000000"/>
          <w:sz w:val="24"/>
          <w:szCs w:val="24"/>
        </w:rPr>
        <w:t>Povolenky na emise existují v</w:t>
      </w:r>
      <w:r w:rsidR="007405FC" w:rsidRPr="00E76F52">
        <w:rPr>
          <w:rFonts w:ascii="Calibri" w:hAnsi="Calibri" w:cs="Calibri"/>
          <w:color w:val="000000"/>
          <w:sz w:val="24"/>
          <w:szCs w:val="24"/>
        </w:rPr>
        <w:t xml:space="preserve"> </w:t>
      </w:r>
      <w:r w:rsidRPr="00E76F52">
        <w:rPr>
          <w:rFonts w:ascii="Calibri" w:hAnsi="Calibri" w:cs="Calibri"/>
          <w:color w:val="000000"/>
          <w:sz w:val="24"/>
          <w:szCs w:val="24"/>
        </w:rPr>
        <w:t>dematerializované (zaknihované) podobě a vznikají v</w:t>
      </w:r>
      <w:r w:rsidR="007405FC" w:rsidRPr="00E76F52">
        <w:rPr>
          <w:rFonts w:ascii="Calibri" w:hAnsi="Calibri" w:cs="Calibri"/>
          <w:color w:val="000000"/>
          <w:sz w:val="24"/>
          <w:szCs w:val="24"/>
        </w:rPr>
        <w:t xml:space="preserve"> </w:t>
      </w:r>
      <w:r w:rsidRPr="00E76F52">
        <w:rPr>
          <w:rFonts w:ascii="Calibri" w:hAnsi="Calibri" w:cs="Calibri"/>
          <w:color w:val="000000"/>
          <w:sz w:val="24"/>
          <w:szCs w:val="24"/>
        </w:rPr>
        <w:t xml:space="preserve">registru </w:t>
      </w:r>
      <w:r w:rsidR="00595F2C">
        <w:rPr>
          <w:rFonts w:ascii="Calibri" w:hAnsi="Calibri" w:cs="Calibri"/>
          <w:color w:val="000000"/>
          <w:sz w:val="24"/>
          <w:szCs w:val="24"/>
        </w:rPr>
        <w:t>EU</w:t>
      </w:r>
      <w:r w:rsidRPr="00E76F52">
        <w:rPr>
          <w:rFonts w:ascii="Calibri" w:hAnsi="Calibri" w:cs="Calibri"/>
          <w:color w:val="000000"/>
          <w:sz w:val="24"/>
          <w:szCs w:val="24"/>
        </w:rPr>
        <w:t xml:space="preserve">, který byl zřízen na </w:t>
      </w:r>
      <w:r w:rsidRPr="00E76F52">
        <w:rPr>
          <w:rFonts w:ascii="Calibri" w:hAnsi="Calibri" w:cs="Calibri"/>
          <w:sz w:val="24"/>
          <w:szCs w:val="24"/>
        </w:rPr>
        <w:t xml:space="preserve">základě </w:t>
      </w:r>
      <w:r w:rsidR="002D4AF4">
        <w:rPr>
          <w:rFonts w:ascii="Calibri" w:hAnsi="Calibri" w:cs="Calibri"/>
          <w:bCs/>
          <w:iCs/>
          <w:sz w:val="24"/>
          <w:szCs w:val="24"/>
        </w:rPr>
        <w:t>n</w:t>
      </w:r>
      <w:r w:rsidRPr="00E76F52">
        <w:rPr>
          <w:rFonts w:ascii="Calibri" w:hAnsi="Calibri" w:cs="Calibri"/>
          <w:bCs/>
          <w:iCs/>
          <w:sz w:val="24"/>
          <w:szCs w:val="24"/>
        </w:rPr>
        <w:t>ařízení Komise (EU) č.</w:t>
      </w:r>
      <w:r w:rsidR="007405FC" w:rsidRPr="00E76F52">
        <w:rPr>
          <w:rFonts w:ascii="Calibri" w:hAnsi="Calibri" w:cs="Calibri"/>
          <w:bCs/>
          <w:iCs/>
          <w:sz w:val="24"/>
          <w:szCs w:val="24"/>
        </w:rPr>
        <w:t xml:space="preserve"> </w:t>
      </w:r>
      <w:r w:rsidRPr="00E76F52">
        <w:rPr>
          <w:rFonts w:ascii="Calibri" w:hAnsi="Calibri" w:cs="Calibri"/>
          <w:bCs/>
          <w:iCs/>
          <w:sz w:val="24"/>
          <w:szCs w:val="24"/>
        </w:rPr>
        <w:t>1193/2011</w:t>
      </w:r>
      <w:r w:rsidRPr="00E76F52">
        <w:rPr>
          <w:rStyle w:val="Znakapoznpodarou"/>
          <w:rFonts w:ascii="Calibri" w:hAnsi="Calibri" w:cs="Calibri"/>
          <w:bCs/>
          <w:iCs/>
          <w:sz w:val="24"/>
          <w:szCs w:val="24"/>
        </w:rPr>
        <w:footnoteReference w:id="10"/>
      </w:r>
      <w:r w:rsidRPr="00E76F52">
        <w:rPr>
          <w:rFonts w:ascii="Calibri" w:hAnsi="Calibri" w:cs="Calibri"/>
          <w:bCs/>
          <w:iCs/>
          <w:sz w:val="24"/>
          <w:szCs w:val="24"/>
        </w:rPr>
        <w:t xml:space="preserve"> (s</w:t>
      </w:r>
      <w:r w:rsidR="002D4AF4">
        <w:rPr>
          <w:rFonts w:ascii="Calibri" w:hAnsi="Calibri" w:cs="Calibri"/>
          <w:bCs/>
          <w:iCs/>
          <w:sz w:val="24"/>
          <w:szCs w:val="24"/>
        </w:rPr>
        <w:t> </w:t>
      </w:r>
      <w:r w:rsidRPr="00E76F52">
        <w:rPr>
          <w:rFonts w:ascii="Calibri" w:hAnsi="Calibri" w:cs="Calibri"/>
          <w:bCs/>
          <w:iCs/>
          <w:sz w:val="24"/>
          <w:szCs w:val="24"/>
        </w:rPr>
        <w:t>účinností od 1.</w:t>
      </w:r>
      <w:r w:rsidR="00EF58D3" w:rsidRPr="00E76F52">
        <w:rPr>
          <w:rFonts w:ascii="Calibri" w:hAnsi="Calibri" w:cs="Calibri"/>
          <w:bCs/>
          <w:iCs/>
          <w:sz w:val="24"/>
          <w:szCs w:val="24"/>
        </w:rPr>
        <w:t> </w:t>
      </w:r>
      <w:r w:rsidRPr="00E76F52">
        <w:rPr>
          <w:rFonts w:ascii="Calibri" w:hAnsi="Calibri" w:cs="Calibri"/>
          <w:bCs/>
          <w:iCs/>
          <w:sz w:val="24"/>
          <w:szCs w:val="24"/>
        </w:rPr>
        <w:t>ledna</w:t>
      </w:r>
      <w:r w:rsidR="002D4AF4">
        <w:rPr>
          <w:rFonts w:ascii="Calibri" w:hAnsi="Calibri" w:cs="Calibri"/>
          <w:bCs/>
          <w:iCs/>
          <w:sz w:val="24"/>
          <w:szCs w:val="24"/>
        </w:rPr>
        <w:t xml:space="preserve"> </w:t>
      </w:r>
      <w:r w:rsidRPr="00E76F52">
        <w:rPr>
          <w:rFonts w:ascii="Calibri" w:hAnsi="Calibri" w:cs="Calibri"/>
          <w:bCs/>
          <w:iCs/>
          <w:sz w:val="24"/>
          <w:szCs w:val="24"/>
        </w:rPr>
        <w:t>2013 do 3.</w:t>
      </w:r>
      <w:r w:rsidR="007405FC" w:rsidRPr="00E76F52">
        <w:rPr>
          <w:rFonts w:ascii="Calibri" w:hAnsi="Calibri" w:cs="Calibri"/>
          <w:bCs/>
          <w:iCs/>
          <w:sz w:val="24"/>
          <w:szCs w:val="24"/>
        </w:rPr>
        <w:t xml:space="preserve"> </w:t>
      </w:r>
      <w:r w:rsidRPr="00E76F52">
        <w:rPr>
          <w:rFonts w:ascii="Calibri" w:hAnsi="Calibri" w:cs="Calibri"/>
          <w:bCs/>
          <w:iCs/>
          <w:sz w:val="24"/>
          <w:szCs w:val="24"/>
        </w:rPr>
        <w:t>května</w:t>
      </w:r>
      <w:r w:rsidR="007405FC" w:rsidRPr="00E76F52">
        <w:rPr>
          <w:rFonts w:ascii="Calibri" w:hAnsi="Calibri" w:cs="Calibri"/>
          <w:bCs/>
          <w:iCs/>
          <w:sz w:val="24"/>
          <w:szCs w:val="24"/>
        </w:rPr>
        <w:t xml:space="preserve"> </w:t>
      </w:r>
      <w:r w:rsidRPr="00E76F52">
        <w:rPr>
          <w:rFonts w:ascii="Calibri" w:hAnsi="Calibri" w:cs="Calibri"/>
          <w:bCs/>
          <w:iCs/>
          <w:sz w:val="24"/>
          <w:szCs w:val="24"/>
        </w:rPr>
        <w:t xml:space="preserve">2013) a </w:t>
      </w:r>
      <w:r w:rsidR="002D4AF4">
        <w:rPr>
          <w:rFonts w:ascii="Calibri" w:hAnsi="Calibri" w:cs="Calibri"/>
          <w:bCs/>
          <w:iCs/>
          <w:sz w:val="24"/>
          <w:szCs w:val="24"/>
        </w:rPr>
        <w:t>n</w:t>
      </w:r>
      <w:r w:rsidRPr="00E76F52">
        <w:rPr>
          <w:rFonts w:ascii="Calibri" w:hAnsi="Calibri" w:cs="Calibri"/>
          <w:bCs/>
          <w:iCs/>
          <w:sz w:val="24"/>
          <w:szCs w:val="24"/>
        </w:rPr>
        <w:t>ařízení Komise (EU) č. 389/2013</w:t>
      </w:r>
      <w:r w:rsidRPr="00E76F52">
        <w:rPr>
          <w:rStyle w:val="Znakapoznpodarou"/>
          <w:rFonts w:ascii="Calibri" w:hAnsi="Calibri" w:cs="Calibri"/>
          <w:bCs/>
          <w:iCs/>
          <w:sz w:val="24"/>
          <w:szCs w:val="24"/>
        </w:rPr>
        <w:footnoteReference w:id="11"/>
      </w:r>
      <w:r w:rsidRPr="00E76F52">
        <w:rPr>
          <w:rFonts w:ascii="Calibri" w:hAnsi="Calibri" w:cs="Calibri"/>
          <w:bCs/>
          <w:iCs/>
          <w:sz w:val="24"/>
          <w:szCs w:val="24"/>
        </w:rPr>
        <w:t xml:space="preserve"> (s</w:t>
      </w:r>
      <w:r w:rsidR="002D4AF4">
        <w:rPr>
          <w:rFonts w:ascii="Calibri" w:hAnsi="Calibri" w:cs="Calibri"/>
          <w:bCs/>
          <w:iCs/>
          <w:sz w:val="24"/>
          <w:szCs w:val="24"/>
        </w:rPr>
        <w:t> </w:t>
      </w:r>
      <w:r w:rsidRPr="00E76F52">
        <w:rPr>
          <w:rFonts w:ascii="Calibri" w:hAnsi="Calibri" w:cs="Calibri"/>
          <w:bCs/>
          <w:iCs/>
          <w:sz w:val="24"/>
          <w:szCs w:val="24"/>
        </w:rPr>
        <w:t>účinností od 4.</w:t>
      </w:r>
      <w:r w:rsidR="00EF58D3" w:rsidRPr="00E76F52">
        <w:rPr>
          <w:rFonts w:ascii="Calibri" w:hAnsi="Calibri" w:cs="Calibri"/>
          <w:bCs/>
          <w:iCs/>
          <w:sz w:val="24"/>
          <w:szCs w:val="24"/>
        </w:rPr>
        <w:t> </w:t>
      </w:r>
      <w:r w:rsidRPr="00E76F52">
        <w:rPr>
          <w:rFonts w:ascii="Calibri" w:hAnsi="Calibri" w:cs="Calibri"/>
          <w:bCs/>
          <w:iCs/>
          <w:sz w:val="24"/>
          <w:szCs w:val="24"/>
        </w:rPr>
        <w:t>května 2013).</w:t>
      </w:r>
    </w:p>
    <w:p w:rsidR="005416A5" w:rsidRPr="00E76F52" w:rsidRDefault="005416A5" w:rsidP="00E76F52">
      <w:pPr>
        <w:spacing w:after="0" w:line="240" w:lineRule="auto"/>
        <w:jc w:val="both"/>
        <w:rPr>
          <w:rFonts w:ascii="Calibri" w:hAnsi="Calibri" w:cs="Calibri"/>
          <w:color w:val="000000"/>
          <w:sz w:val="24"/>
          <w:szCs w:val="24"/>
        </w:rPr>
      </w:pPr>
    </w:p>
    <w:p w:rsidR="00BD540B" w:rsidRDefault="00BD540B"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t>Nařízení Komise (EU) č. 389/2013 stanoví také postupy vzniku povolenek</w:t>
      </w:r>
      <w:r w:rsidR="00595F2C">
        <w:rPr>
          <w:rFonts w:ascii="Calibri" w:hAnsi="Calibri" w:cs="Calibri"/>
          <w:bCs/>
          <w:iCs/>
          <w:sz w:val="24"/>
          <w:szCs w:val="24"/>
        </w:rPr>
        <w:t>.</w:t>
      </w:r>
      <w:r w:rsidRPr="00E76F52">
        <w:rPr>
          <w:rStyle w:val="Znakapoznpodarou"/>
          <w:rFonts w:ascii="Calibri" w:hAnsi="Calibri" w:cs="Calibri"/>
          <w:bCs/>
          <w:iCs/>
          <w:sz w:val="24"/>
          <w:szCs w:val="24"/>
        </w:rPr>
        <w:footnoteReference w:id="12"/>
      </w:r>
      <w:r w:rsidRPr="00E76F52">
        <w:rPr>
          <w:rFonts w:ascii="Calibri" w:hAnsi="Calibri" w:cs="Calibri"/>
          <w:bCs/>
          <w:iCs/>
          <w:sz w:val="24"/>
          <w:szCs w:val="24"/>
        </w:rPr>
        <w:t xml:space="preserve"> Komise ve vhodnou dobu vydá ústřednímu správci</w:t>
      </w:r>
      <w:r w:rsidRPr="00E76F52">
        <w:rPr>
          <w:rStyle w:val="Znakapoznpodarou"/>
          <w:rFonts w:ascii="Calibri" w:hAnsi="Calibri" w:cs="Calibri"/>
          <w:bCs/>
          <w:iCs/>
          <w:sz w:val="24"/>
          <w:szCs w:val="24"/>
        </w:rPr>
        <w:footnoteReference w:id="13"/>
      </w:r>
      <w:r w:rsidRPr="00E76F52">
        <w:rPr>
          <w:rFonts w:ascii="Calibri" w:hAnsi="Calibri" w:cs="Calibri"/>
          <w:bCs/>
          <w:iCs/>
          <w:sz w:val="24"/>
          <w:szCs w:val="24"/>
        </w:rPr>
        <w:t xml:space="preserve"> pokyn, aby vytvořil počet všeobecných povolenek </w:t>
      </w:r>
      <w:r w:rsidRPr="00E76F52">
        <w:rPr>
          <w:rFonts w:ascii="Calibri" w:hAnsi="Calibri" w:cs="Calibri"/>
          <w:bCs/>
          <w:iCs/>
          <w:sz w:val="24"/>
          <w:szCs w:val="24"/>
        </w:rPr>
        <w:lastRenderedPageBreak/>
        <w:t xml:space="preserve">ve výši celkového ekvivalentu určeného počtu. Ústřední správce zajistí, že registr </w:t>
      </w:r>
      <w:r w:rsidR="00595F2C">
        <w:rPr>
          <w:rFonts w:ascii="Calibri" w:hAnsi="Calibri" w:cs="Calibri"/>
          <w:bCs/>
          <w:iCs/>
          <w:sz w:val="24"/>
          <w:szCs w:val="24"/>
        </w:rPr>
        <w:t>E</w:t>
      </w:r>
      <w:r w:rsidRPr="00E76F52">
        <w:rPr>
          <w:rFonts w:ascii="Calibri" w:hAnsi="Calibri" w:cs="Calibri"/>
          <w:bCs/>
          <w:iCs/>
          <w:sz w:val="24"/>
          <w:szCs w:val="24"/>
        </w:rPr>
        <w:t>U přidělí každé povolence při jejím vytvoření jedinečný identifikační kód jednotky</w:t>
      </w:r>
      <w:r w:rsidRPr="00E76F52">
        <w:rPr>
          <w:rStyle w:val="Znakapoznpodarou"/>
          <w:rFonts w:ascii="Calibri" w:hAnsi="Calibri" w:cs="Calibri"/>
          <w:bCs/>
          <w:iCs/>
          <w:sz w:val="24"/>
          <w:szCs w:val="24"/>
        </w:rPr>
        <w:footnoteReference w:id="14"/>
      </w:r>
      <w:r w:rsidR="00E229EA" w:rsidRPr="00E76F52">
        <w:rPr>
          <w:rFonts w:ascii="Calibri" w:hAnsi="Calibri" w:cs="Calibri"/>
          <w:bCs/>
          <w:iCs/>
          <w:sz w:val="24"/>
          <w:szCs w:val="24"/>
        </w:rPr>
        <w:t>.</w:t>
      </w:r>
    </w:p>
    <w:p w:rsidR="005416A5" w:rsidRPr="00E76F52" w:rsidRDefault="005416A5" w:rsidP="00E76F52">
      <w:pPr>
        <w:spacing w:after="0" w:line="240" w:lineRule="auto"/>
        <w:jc w:val="both"/>
        <w:rPr>
          <w:rFonts w:ascii="Calibri" w:hAnsi="Calibri" w:cs="Calibri"/>
          <w:bCs/>
          <w:iCs/>
          <w:sz w:val="24"/>
          <w:szCs w:val="24"/>
        </w:rPr>
      </w:pPr>
    </w:p>
    <w:p w:rsidR="00BD540B" w:rsidRDefault="00BD540B"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t>Z dematerializované povahy povolenek a kjótských jednotek</w:t>
      </w:r>
      <w:r w:rsidRPr="00E76F52">
        <w:rPr>
          <w:rStyle w:val="Znakapoznpodarou"/>
          <w:rFonts w:ascii="Calibri" w:hAnsi="Calibri" w:cs="Calibri"/>
          <w:bCs/>
          <w:iCs/>
          <w:sz w:val="24"/>
          <w:szCs w:val="24"/>
        </w:rPr>
        <w:footnoteReference w:id="15"/>
      </w:r>
      <w:r w:rsidR="00E229EA" w:rsidRPr="00E76F52">
        <w:rPr>
          <w:rFonts w:ascii="Calibri" w:hAnsi="Calibri" w:cs="Calibri"/>
          <w:bCs/>
          <w:iCs/>
          <w:sz w:val="24"/>
          <w:szCs w:val="24"/>
        </w:rPr>
        <w:t xml:space="preserve"> </w:t>
      </w:r>
      <w:r w:rsidRPr="00E76F52">
        <w:rPr>
          <w:rFonts w:ascii="Calibri" w:hAnsi="Calibri" w:cs="Calibri"/>
          <w:bCs/>
          <w:iCs/>
          <w:sz w:val="24"/>
          <w:szCs w:val="24"/>
        </w:rPr>
        <w:t>vyplývá, že záznam v</w:t>
      </w:r>
      <w:r w:rsidR="007405FC" w:rsidRPr="00E76F52">
        <w:rPr>
          <w:rFonts w:ascii="Calibri" w:hAnsi="Calibri" w:cs="Calibri"/>
          <w:bCs/>
          <w:iCs/>
          <w:sz w:val="24"/>
          <w:szCs w:val="24"/>
        </w:rPr>
        <w:t xml:space="preserve"> </w:t>
      </w:r>
      <w:r w:rsidRPr="00E76F52">
        <w:rPr>
          <w:rFonts w:ascii="Calibri" w:hAnsi="Calibri" w:cs="Calibri"/>
          <w:bCs/>
          <w:iCs/>
          <w:sz w:val="24"/>
          <w:szCs w:val="24"/>
        </w:rPr>
        <w:t xml:space="preserve">registru </w:t>
      </w:r>
      <w:r w:rsidR="00664335">
        <w:rPr>
          <w:rFonts w:ascii="Calibri" w:hAnsi="Calibri" w:cs="Calibri"/>
          <w:bCs/>
          <w:iCs/>
          <w:sz w:val="24"/>
          <w:szCs w:val="24"/>
        </w:rPr>
        <w:t>E</w:t>
      </w:r>
      <w:r w:rsidRPr="00E76F52">
        <w:rPr>
          <w:rFonts w:ascii="Calibri" w:hAnsi="Calibri" w:cs="Calibri"/>
          <w:bCs/>
          <w:iCs/>
          <w:sz w:val="24"/>
          <w:szCs w:val="24"/>
        </w:rPr>
        <w:t xml:space="preserve">U představuje dostatečný důkaz </w:t>
      </w:r>
      <w:r w:rsidRPr="00B437CB">
        <w:rPr>
          <w:rFonts w:ascii="Calibri" w:hAnsi="Calibri" w:cs="Calibri"/>
          <w:bCs/>
          <w:i/>
          <w:iCs/>
          <w:sz w:val="24"/>
          <w:szCs w:val="24"/>
        </w:rPr>
        <w:t>prima facie</w:t>
      </w:r>
      <w:r w:rsidRPr="00E76F52">
        <w:rPr>
          <w:rFonts w:ascii="Calibri" w:hAnsi="Calibri" w:cs="Calibri"/>
          <w:bCs/>
          <w:iCs/>
          <w:sz w:val="24"/>
          <w:szCs w:val="24"/>
        </w:rPr>
        <w:t xml:space="preserve"> prokazující vlastnické právo k</w:t>
      </w:r>
      <w:r w:rsidR="00CE200C">
        <w:rPr>
          <w:rFonts w:ascii="Calibri" w:hAnsi="Calibri" w:cs="Calibri"/>
          <w:bCs/>
          <w:iCs/>
          <w:sz w:val="24"/>
          <w:szCs w:val="24"/>
        </w:rPr>
        <w:t> </w:t>
      </w:r>
      <w:r w:rsidRPr="00E76F52">
        <w:rPr>
          <w:rFonts w:ascii="Calibri" w:hAnsi="Calibri" w:cs="Calibri"/>
          <w:bCs/>
          <w:iCs/>
          <w:sz w:val="24"/>
          <w:szCs w:val="24"/>
        </w:rPr>
        <w:t>povolence nebo kjótské jednotce</w:t>
      </w:r>
      <w:r w:rsidRPr="00E76F52">
        <w:rPr>
          <w:rStyle w:val="Znakapoznpodarou"/>
          <w:rFonts w:ascii="Calibri" w:hAnsi="Calibri" w:cs="Calibri"/>
          <w:bCs/>
          <w:iCs/>
          <w:sz w:val="24"/>
          <w:szCs w:val="24"/>
        </w:rPr>
        <w:footnoteReference w:id="16"/>
      </w:r>
      <w:r w:rsidRPr="00E76F52">
        <w:rPr>
          <w:rFonts w:ascii="Calibri" w:hAnsi="Calibri" w:cs="Calibri"/>
          <w:bCs/>
          <w:iCs/>
          <w:sz w:val="24"/>
          <w:szCs w:val="24"/>
        </w:rPr>
        <w:t>.</w:t>
      </w:r>
    </w:p>
    <w:p w:rsidR="005416A5" w:rsidRPr="005416A5" w:rsidRDefault="005416A5" w:rsidP="00E76F52">
      <w:pPr>
        <w:spacing w:after="0" w:line="240" w:lineRule="auto"/>
        <w:jc w:val="both"/>
        <w:rPr>
          <w:rFonts w:ascii="Calibri" w:hAnsi="Calibri" w:cs="Calibri"/>
          <w:bCs/>
          <w:iCs/>
          <w:sz w:val="24"/>
          <w:szCs w:val="24"/>
        </w:rPr>
      </w:pPr>
    </w:p>
    <w:p w:rsidR="00B72F96" w:rsidRDefault="00B72F96" w:rsidP="00E76F52">
      <w:pPr>
        <w:spacing w:after="0" w:line="240" w:lineRule="auto"/>
        <w:jc w:val="both"/>
        <w:rPr>
          <w:rFonts w:ascii="Calibri" w:hAnsi="Calibri" w:cs="Calibri"/>
          <w:color w:val="000000"/>
          <w:sz w:val="24"/>
          <w:szCs w:val="24"/>
        </w:rPr>
      </w:pPr>
      <w:r w:rsidRPr="00E76F52">
        <w:rPr>
          <w:rFonts w:ascii="Calibri" w:hAnsi="Calibri" w:cs="Calibri"/>
          <w:color w:val="000000"/>
          <w:sz w:val="24"/>
          <w:szCs w:val="24"/>
        </w:rPr>
        <w:t>Povolenk</w:t>
      </w:r>
      <w:r w:rsidR="00664335">
        <w:rPr>
          <w:rFonts w:ascii="Calibri" w:hAnsi="Calibri" w:cs="Calibri"/>
          <w:color w:val="000000"/>
          <w:sz w:val="24"/>
          <w:szCs w:val="24"/>
        </w:rPr>
        <w:t>ami</w:t>
      </w:r>
      <w:r w:rsidRPr="00E76F52">
        <w:rPr>
          <w:rFonts w:ascii="Calibri" w:hAnsi="Calibri" w:cs="Calibri"/>
          <w:color w:val="000000"/>
          <w:sz w:val="24"/>
          <w:szCs w:val="24"/>
        </w:rPr>
        <w:t xml:space="preserve"> na emise </w:t>
      </w:r>
      <w:r w:rsidR="00B50C31" w:rsidRPr="00E76F52">
        <w:rPr>
          <w:rFonts w:ascii="Calibri" w:hAnsi="Calibri" w:cs="Calibri"/>
          <w:color w:val="000000"/>
          <w:sz w:val="24"/>
          <w:szCs w:val="24"/>
        </w:rPr>
        <w:t>jsou dle ustanovení § 11 vyhlášky č. 410/2009 Sb.</w:t>
      </w:r>
      <w:r w:rsidR="00B437CB">
        <w:rPr>
          <w:rFonts w:ascii="Calibri" w:hAnsi="Calibri" w:cs="Calibri"/>
          <w:color w:val="000000"/>
          <w:sz w:val="24"/>
          <w:szCs w:val="24"/>
        </w:rPr>
        <w:t xml:space="preserve"> </w:t>
      </w:r>
      <w:r w:rsidR="00664335">
        <w:rPr>
          <w:rFonts w:ascii="Calibri" w:hAnsi="Calibri" w:cs="Calibri"/>
          <w:color w:val="000000"/>
          <w:sz w:val="24"/>
          <w:szCs w:val="24"/>
        </w:rPr>
        <w:t>(</w:t>
      </w:r>
      <w:r w:rsidR="00B50C31" w:rsidRPr="00E76F52">
        <w:rPr>
          <w:rFonts w:ascii="Calibri" w:hAnsi="Calibri" w:cs="Calibri"/>
          <w:color w:val="000000"/>
          <w:sz w:val="24"/>
          <w:szCs w:val="24"/>
        </w:rPr>
        <w:t>v platném znění pro rok 2013</w:t>
      </w:r>
      <w:r w:rsidR="00664335">
        <w:rPr>
          <w:rFonts w:ascii="Calibri" w:hAnsi="Calibri" w:cs="Calibri"/>
          <w:color w:val="000000"/>
          <w:sz w:val="24"/>
          <w:szCs w:val="24"/>
        </w:rPr>
        <w:t>)</w:t>
      </w:r>
      <w:r w:rsidR="009245D3" w:rsidRPr="00E76F52">
        <w:rPr>
          <w:rFonts w:ascii="Calibri" w:hAnsi="Calibri" w:cs="Calibri"/>
          <w:color w:val="000000"/>
          <w:sz w:val="24"/>
          <w:szCs w:val="24"/>
        </w:rPr>
        <w:t xml:space="preserve"> „…</w:t>
      </w:r>
      <w:r w:rsidR="003F2EBC" w:rsidRPr="00E76F52">
        <w:rPr>
          <w:rFonts w:ascii="Calibri" w:hAnsi="Calibri" w:cs="Calibri"/>
          <w:color w:val="000000"/>
          <w:sz w:val="24"/>
          <w:szCs w:val="24"/>
        </w:rPr>
        <w:t xml:space="preserve"> </w:t>
      </w:r>
      <w:r w:rsidR="00B50C31" w:rsidRPr="00E76F52">
        <w:rPr>
          <w:rFonts w:ascii="Calibri" w:hAnsi="Calibri" w:cs="Calibri"/>
          <w:i/>
          <w:color w:val="000000"/>
          <w:sz w:val="24"/>
          <w:szCs w:val="24"/>
        </w:rPr>
        <w:t xml:space="preserve">povolenky na emise </w:t>
      </w:r>
      <w:r w:rsidRPr="00E76F52">
        <w:rPr>
          <w:rFonts w:ascii="Calibri" w:hAnsi="Calibri" w:cs="Calibri"/>
          <w:i/>
          <w:color w:val="000000"/>
          <w:sz w:val="24"/>
          <w:szCs w:val="24"/>
        </w:rPr>
        <w:t>skleníkových plynů</w:t>
      </w:r>
      <w:r w:rsidR="00B50C31" w:rsidRPr="00E76F52">
        <w:rPr>
          <w:rFonts w:ascii="Calibri" w:hAnsi="Calibri" w:cs="Calibri"/>
          <w:i/>
          <w:color w:val="000000"/>
          <w:sz w:val="24"/>
          <w:szCs w:val="24"/>
        </w:rPr>
        <w:t>, jednotky snížení emisí a ově</w:t>
      </w:r>
      <w:r w:rsidR="009245D3" w:rsidRPr="00E76F52">
        <w:rPr>
          <w:rFonts w:ascii="Calibri" w:hAnsi="Calibri" w:cs="Calibri"/>
          <w:i/>
          <w:color w:val="000000"/>
          <w:sz w:val="24"/>
          <w:szCs w:val="24"/>
        </w:rPr>
        <w:t>řeného snížení emisí z</w:t>
      </w:r>
      <w:r w:rsidR="007405FC" w:rsidRPr="00E76F52">
        <w:rPr>
          <w:rFonts w:ascii="Calibri" w:hAnsi="Calibri" w:cs="Calibri"/>
          <w:i/>
          <w:color w:val="000000"/>
          <w:sz w:val="24"/>
          <w:szCs w:val="24"/>
        </w:rPr>
        <w:t xml:space="preserve"> </w:t>
      </w:r>
      <w:r w:rsidR="009245D3" w:rsidRPr="00E76F52">
        <w:rPr>
          <w:rFonts w:ascii="Calibri" w:hAnsi="Calibri" w:cs="Calibri"/>
          <w:i/>
          <w:color w:val="000000"/>
          <w:sz w:val="24"/>
          <w:szCs w:val="24"/>
        </w:rPr>
        <w:t>projektových činností a jednotky přiděleného množství bez ohledu na výši ocenění</w:t>
      </w:r>
      <w:r w:rsidR="00C16B7A" w:rsidRPr="00E76F52">
        <w:rPr>
          <w:rFonts w:ascii="Calibri" w:hAnsi="Calibri" w:cs="Calibri"/>
          <w:i/>
          <w:color w:val="000000"/>
          <w:sz w:val="24"/>
          <w:szCs w:val="24"/>
        </w:rPr>
        <w:t xml:space="preserve"> </w:t>
      </w:r>
      <w:r w:rsidR="009245D3" w:rsidRPr="00E76F52">
        <w:rPr>
          <w:rFonts w:ascii="Calibri" w:hAnsi="Calibri" w:cs="Calibri"/>
          <w:i/>
          <w:color w:val="000000"/>
          <w:sz w:val="24"/>
          <w:szCs w:val="24"/>
        </w:rPr>
        <w:t>…</w:t>
      </w:r>
      <w:r w:rsidR="009245D3" w:rsidRPr="00B437CB">
        <w:rPr>
          <w:rFonts w:ascii="Calibri" w:hAnsi="Calibri" w:cs="Calibri"/>
          <w:color w:val="000000"/>
          <w:sz w:val="24"/>
          <w:szCs w:val="24"/>
        </w:rPr>
        <w:t>“</w:t>
      </w:r>
      <w:r w:rsidR="00CE200C">
        <w:rPr>
          <w:rFonts w:ascii="Calibri" w:hAnsi="Calibri" w:cs="Calibri"/>
          <w:color w:val="000000"/>
          <w:sz w:val="24"/>
          <w:szCs w:val="24"/>
        </w:rPr>
        <w:t>,</w:t>
      </w:r>
      <w:r w:rsidR="009245D3" w:rsidRPr="00E76F52">
        <w:rPr>
          <w:rFonts w:ascii="Calibri" w:hAnsi="Calibri" w:cs="Calibri"/>
          <w:color w:val="000000"/>
          <w:sz w:val="24"/>
          <w:szCs w:val="24"/>
        </w:rPr>
        <w:t xml:space="preserve"> </w:t>
      </w:r>
      <w:r w:rsidR="00810762" w:rsidRPr="00E76F52">
        <w:rPr>
          <w:rFonts w:ascii="Calibri" w:hAnsi="Calibri" w:cs="Calibri"/>
          <w:color w:val="000000"/>
          <w:sz w:val="24"/>
          <w:szCs w:val="24"/>
        </w:rPr>
        <w:t xml:space="preserve">a to </w:t>
      </w:r>
      <w:r w:rsidR="009245D3" w:rsidRPr="00E76F52">
        <w:rPr>
          <w:rFonts w:ascii="Calibri" w:hAnsi="Calibri" w:cs="Calibri"/>
          <w:color w:val="000000"/>
          <w:sz w:val="24"/>
          <w:szCs w:val="24"/>
        </w:rPr>
        <w:t>s</w:t>
      </w:r>
      <w:r w:rsidR="007405FC" w:rsidRPr="00E76F52">
        <w:rPr>
          <w:rFonts w:ascii="Calibri" w:hAnsi="Calibri" w:cs="Calibri"/>
          <w:color w:val="000000"/>
          <w:sz w:val="24"/>
          <w:szCs w:val="24"/>
        </w:rPr>
        <w:t xml:space="preserve"> </w:t>
      </w:r>
      <w:r w:rsidR="009245D3" w:rsidRPr="00E76F52">
        <w:rPr>
          <w:rFonts w:ascii="Calibri" w:hAnsi="Calibri" w:cs="Calibri"/>
          <w:color w:val="000000"/>
          <w:sz w:val="24"/>
          <w:szCs w:val="24"/>
        </w:rPr>
        <w:t>odkazem na § 2 odst. 1 zákona č.</w:t>
      </w:r>
      <w:r w:rsidR="00E229EA" w:rsidRPr="00E76F52">
        <w:rPr>
          <w:rFonts w:ascii="Calibri" w:hAnsi="Calibri" w:cs="Calibri"/>
          <w:color w:val="000000"/>
          <w:sz w:val="24"/>
          <w:szCs w:val="24"/>
        </w:rPr>
        <w:t xml:space="preserve"> </w:t>
      </w:r>
      <w:r w:rsidR="009245D3" w:rsidRPr="00E76F52">
        <w:rPr>
          <w:rFonts w:ascii="Calibri" w:hAnsi="Calibri" w:cs="Calibri"/>
          <w:color w:val="000000"/>
          <w:sz w:val="24"/>
          <w:szCs w:val="24"/>
        </w:rPr>
        <w:t xml:space="preserve">695/2004 Sb., </w:t>
      </w:r>
      <w:r w:rsidR="009245D3" w:rsidRPr="00B437CB">
        <w:rPr>
          <w:rFonts w:ascii="Calibri" w:hAnsi="Calibri" w:cs="Calibri"/>
          <w:color w:val="000000"/>
          <w:sz w:val="24"/>
          <w:szCs w:val="24"/>
        </w:rPr>
        <w:t>o podmínkách obchodování s povolenkami na emise skleníkových plynů a o změně některých zákonů, ve znění zákona č.</w:t>
      </w:r>
      <w:r w:rsidR="00EF58D3" w:rsidRPr="00B437CB">
        <w:rPr>
          <w:rFonts w:ascii="Calibri" w:hAnsi="Calibri" w:cs="Calibri"/>
          <w:color w:val="000000"/>
          <w:sz w:val="24"/>
          <w:szCs w:val="24"/>
        </w:rPr>
        <w:t> </w:t>
      </w:r>
      <w:r w:rsidR="009245D3" w:rsidRPr="00B437CB">
        <w:rPr>
          <w:rFonts w:ascii="Calibri" w:hAnsi="Calibri" w:cs="Calibri"/>
          <w:color w:val="000000"/>
          <w:sz w:val="24"/>
          <w:szCs w:val="24"/>
        </w:rPr>
        <w:t>212/2006 Sb</w:t>
      </w:r>
      <w:r w:rsidR="009245D3" w:rsidRPr="00E76F52">
        <w:rPr>
          <w:rFonts w:ascii="Calibri" w:hAnsi="Calibri" w:cs="Calibri"/>
          <w:i/>
          <w:color w:val="000000"/>
          <w:sz w:val="24"/>
          <w:szCs w:val="24"/>
        </w:rPr>
        <w:t>.</w:t>
      </w:r>
      <w:r w:rsidR="00AF7B1D" w:rsidRPr="00E76F52">
        <w:rPr>
          <w:rFonts w:ascii="Calibri" w:hAnsi="Calibri" w:cs="Calibri"/>
          <w:color w:val="000000"/>
          <w:sz w:val="24"/>
          <w:szCs w:val="24"/>
        </w:rPr>
        <w:t xml:space="preserve"> Tento zákon v §</w:t>
      </w:r>
      <w:r w:rsidR="000A3659" w:rsidRPr="00E76F52">
        <w:rPr>
          <w:rFonts w:ascii="Calibri" w:hAnsi="Calibri" w:cs="Calibri"/>
          <w:color w:val="000000"/>
          <w:sz w:val="24"/>
          <w:szCs w:val="24"/>
        </w:rPr>
        <w:t xml:space="preserve"> </w:t>
      </w:r>
      <w:r w:rsidR="00AF7B1D" w:rsidRPr="00E76F52">
        <w:rPr>
          <w:rFonts w:ascii="Calibri" w:hAnsi="Calibri" w:cs="Calibri"/>
          <w:color w:val="000000"/>
          <w:sz w:val="24"/>
          <w:szCs w:val="24"/>
        </w:rPr>
        <w:t>12a stanov</w:t>
      </w:r>
      <w:r w:rsidR="00F95262" w:rsidRPr="00E76F52">
        <w:rPr>
          <w:rFonts w:ascii="Calibri" w:hAnsi="Calibri" w:cs="Calibri"/>
          <w:color w:val="000000"/>
          <w:sz w:val="24"/>
          <w:szCs w:val="24"/>
        </w:rPr>
        <w:t>il</w:t>
      </w:r>
      <w:r w:rsidR="00AF7B1D" w:rsidRPr="00E76F52">
        <w:rPr>
          <w:rFonts w:ascii="Calibri" w:hAnsi="Calibri" w:cs="Calibri"/>
          <w:color w:val="000000"/>
          <w:sz w:val="24"/>
          <w:szCs w:val="24"/>
        </w:rPr>
        <w:t>, že majetkem České republiky, se kterým hospodaří MŽP</w:t>
      </w:r>
      <w:r w:rsidR="003F2EBC" w:rsidRPr="00E76F52">
        <w:rPr>
          <w:rFonts w:ascii="Calibri" w:hAnsi="Calibri" w:cs="Calibri"/>
          <w:color w:val="000000"/>
          <w:sz w:val="24"/>
          <w:szCs w:val="24"/>
        </w:rPr>
        <w:t>,</w:t>
      </w:r>
      <w:r w:rsidR="00AF7B1D" w:rsidRPr="00E76F52">
        <w:rPr>
          <w:rFonts w:ascii="Calibri" w:hAnsi="Calibri" w:cs="Calibri"/>
          <w:color w:val="000000"/>
          <w:sz w:val="24"/>
          <w:szCs w:val="24"/>
        </w:rPr>
        <w:t xml:space="preserve"> jsou jednotky přiděleného množství</w:t>
      </w:r>
      <w:r w:rsidR="00AF7B1D" w:rsidRPr="00E76F52">
        <w:rPr>
          <w:rStyle w:val="Znakapoznpodarou"/>
          <w:rFonts w:ascii="Calibri" w:hAnsi="Calibri" w:cs="Calibri"/>
          <w:color w:val="000000"/>
          <w:sz w:val="24"/>
          <w:szCs w:val="24"/>
        </w:rPr>
        <w:footnoteReference w:id="17"/>
      </w:r>
      <w:r w:rsidR="00AF7B1D" w:rsidRPr="00E76F52">
        <w:rPr>
          <w:rFonts w:ascii="Calibri" w:hAnsi="Calibri" w:cs="Calibri"/>
          <w:color w:val="000000"/>
          <w:sz w:val="24"/>
          <w:szCs w:val="24"/>
        </w:rPr>
        <w:t>.</w:t>
      </w:r>
    </w:p>
    <w:p w:rsidR="005416A5" w:rsidRPr="00E76F52" w:rsidRDefault="005416A5" w:rsidP="00E76F52">
      <w:pPr>
        <w:spacing w:after="0" w:line="240" w:lineRule="auto"/>
        <w:jc w:val="both"/>
        <w:rPr>
          <w:rFonts w:ascii="Calibri" w:hAnsi="Calibri" w:cs="Calibri"/>
          <w:color w:val="000000"/>
          <w:sz w:val="24"/>
          <w:szCs w:val="24"/>
        </w:rPr>
      </w:pPr>
    </w:p>
    <w:p w:rsidR="00F95262" w:rsidRDefault="00EA1D2E" w:rsidP="00E76F52">
      <w:pPr>
        <w:spacing w:after="0" w:line="240" w:lineRule="auto"/>
        <w:jc w:val="both"/>
        <w:rPr>
          <w:rFonts w:ascii="Calibri" w:hAnsi="Calibri" w:cs="Calibri"/>
          <w:sz w:val="24"/>
          <w:szCs w:val="24"/>
        </w:rPr>
      </w:pPr>
      <w:r w:rsidRPr="00E76F52">
        <w:rPr>
          <w:rFonts w:ascii="Calibri" w:hAnsi="Calibri" w:cs="Calibri"/>
          <w:color w:val="000000"/>
          <w:sz w:val="24"/>
          <w:szCs w:val="24"/>
        </w:rPr>
        <w:t>Od 1.</w:t>
      </w:r>
      <w:r w:rsidR="009245D3" w:rsidRPr="00E76F52">
        <w:rPr>
          <w:rFonts w:ascii="Calibri" w:hAnsi="Calibri" w:cs="Calibri"/>
          <w:color w:val="000000"/>
          <w:sz w:val="24"/>
          <w:szCs w:val="24"/>
        </w:rPr>
        <w:t xml:space="preserve"> ledna 2013</w:t>
      </w:r>
      <w:r w:rsidRPr="00E76F52">
        <w:rPr>
          <w:rFonts w:ascii="Calibri" w:hAnsi="Calibri" w:cs="Calibri"/>
          <w:color w:val="000000"/>
          <w:sz w:val="24"/>
          <w:szCs w:val="24"/>
        </w:rPr>
        <w:t xml:space="preserve"> je</w:t>
      </w:r>
      <w:r w:rsidR="00AF7B1D" w:rsidRPr="00E76F52">
        <w:rPr>
          <w:rFonts w:ascii="Calibri" w:hAnsi="Calibri" w:cs="Calibri"/>
          <w:color w:val="000000"/>
          <w:sz w:val="24"/>
          <w:szCs w:val="24"/>
        </w:rPr>
        <w:t xml:space="preserve"> ale</w:t>
      </w:r>
      <w:r w:rsidR="005C1FE6" w:rsidRPr="00E76F52">
        <w:rPr>
          <w:rFonts w:ascii="Calibri" w:hAnsi="Calibri" w:cs="Calibri"/>
          <w:color w:val="000000"/>
          <w:sz w:val="24"/>
          <w:szCs w:val="24"/>
        </w:rPr>
        <w:t xml:space="preserve"> </w:t>
      </w:r>
      <w:r w:rsidRPr="00E76F52">
        <w:rPr>
          <w:rFonts w:ascii="Calibri" w:hAnsi="Calibri" w:cs="Calibri"/>
          <w:color w:val="000000"/>
          <w:sz w:val="24"/>
          <w:szCs w:val="24"/>
        </w:rPr>
        <w:t>v</w:t>
      </w:r>
      <w:r w:rsidR="007405FC" w:rsidRPr="00E76F52">
        <w:rPr>
          <w:rFonts w:ascii="Calibri" w:hAnsi="Calibri" w:cs="Calibri"/>
          <w:color w:val="000000"/>
          <w:sz w:val="24"/>
          <w:szCs w:val="24"/>
        </w:rPr>
        <w:t xml:space="preserve"> </w:t>
      </w:r>
      <w:r w:rsidRPr="00E76F52">
        <w:rPr>
          <w:rFonts w:ascii="Calibri" w:hAnsi="Calibri" w:cs="Calibri"/>
          <w:color w:val="000000"/>
          <w:sz w:val="24"/>
          <w:szCs w:val="24"/>
        </w:rPr>
        <w:t>České republice</w:t>
      </w:r>
      <w:r w:rsidR="009245D3" w:rsidRPr="00E76F52">
        <w:rPr>
          <w:rFonts w:ascii="Calibri" w:hAnsi="Calibri" w:cs="Calibri"/>
          <w:color w:val="000000"/>
          <w:sz w:val="24"/>
          <w:szCs w:val="24"/>
        </w:rPr>
        <w:t xml:space="preserve"> účinný zákon č. 383/2012 Sb., </w:t>
      </w:r>
      <w:r w:rsidR="009245D3" w:rsidRPr="00B437CB">
        <w:rPr>
          <w:rFonts w:ascii="Calibri" w:hAnsi="Calibri" w:cs="Calibri"/>
          <w:color w:val="000000"/>
          <w:sz w:val="24"/>
          <w:szCs w:val="24"/>
        </w:rPr>
        <w:t>o podmínkách</w:t>
      </w:r>
      <w:r w:rsidR="009245D3" w:rsidRPr="00CE200C">
        <w:rPr>
          <w:rFonts w:ascii="Calibri" w:hAnsi="Calibri" w:cs="Calibri"/>
          <w:color w:val="000000"/>
          <w:sz w:val="24"/>
          <w:szCs w:val="24"/>
        </w:rPr>
        <w:t xml:space="preserve"> </w:t>
      </w:r>
      <w:r w:rsidR="009245D3" w:rsidRPr="00B437CB">
        <w:rPr>
          <w:rFonts w:ascii="Calibri" w:hAnsi="Calibri" w:cs="Calibri"/>
          <w:color w:val="000000"/>
          <w:sz w:val="24"/>
          <w:szCs w:val="24"/>
        </w:rPr>
        <w:t>obchodování s</w:t>
      </w:r>
      <w:r w:rsidR="007405FC" w:rsidRPr="00B437CB">
        <w:rPr>
          <w:rFonts w:ascii="Calibri" w:hAnsi="Calibri" w:cs="Calibri"/>
          <w:color w:val="000000"/>
          <w:sz w:val="24"/>
          <w:szCs w:val="24"/>
        </w:rPr>
        <w:t xml:space="preserve"> </w:t>
      </w:r>
      <w:r w:rsidR="009245D3" w:rsidRPr="00B437CB">
        <w:rPr>
          <w:rFonts w:ascii="Calibri" w:hAnsi="Calibri" w:cs="Calibri"/>
          <w:color w:val="000000"/>
          <w:sz w:val="24"/>
          <w:szCs w:val="24"/>
        </w:rPr>
        <w:t>povolenkami na emise skleníkových plynů</w:t>
      </w:r>
      <w:r w:rsidR="00664335">
        <w:rPr>
          <w:rFonts w:ascii="Calibri" w:hAnsi="Calibri" w:cs="Calibri"/>
          <w:color w:val="000000"/>
          <w:sz w:val="24"/>
          <w:szCs w:val="24"/>
        </w:rPr>
        <w:t>,</w:t>
      </w:r>
      <w:r w:rsidR="00D238E7" w:rsidRPr="00B437CB">
        <w:rPr>
          <w:rStyle w:val="Znakapoznpodarou"/>
          <w:rFonts w:ascii="Calibri" w:hAnsi="Calibri" w:cs="Calibri"/>
          <w:color w:val="000000"/>
          <w:sz w:val="24"/>
          <w:szCs w:val="24"/>
        </w:rPr>
        <w:footnoteReference w:id="18"/>
      </w:r>
      <w:r w:rsidR="009245D3" w:rsidRPr="00E76F52">
        <w:rPr>
          <w:rFonts w:ascii="Calibri" w:hAnsi="Calibri" w:cs="Calibri"/>
          <w:color w:val="000000"/>
          <w:sz w:val="24"/>
          <w:szCs w:val="24"/>
        </w:rPr>
        <w:t xml:space="preserve"> kterým </w:t>
      </w:r>
      <w:r w:rsidR="00F95516" w:rsidRPr="00E76F52">
        <w:rPr>
          <w:rFonts w:ascii="Calibri" w:hAnsi="Calibri" w:cs="Calibri"/>
          <w:color w:val="000000"/>
          <w:sz w:val="24"/>
          <w:szCs w:val="24"/>
        </w:rPr>
        <w:t>se ruší</w:t>
      </w:r>
      <w:r w:rsidR="00CC07C6" w:rsidRPr="00E76F52">
        <w:rPr>
          <w:rFonts w:ascii="Calibri" w:hAnsi="Calibri" w:cs="Calibri"/>
          <w:color w:val="000000"/>
          <w:sz w:val="24"/>
          <w:szCs w:val="24"/>
        </w:rPr>
        <w:t xml:space="preserve"> celá</w:t>
      </w:r>
      <w:r w:rsidR="00F95516" w:rsidRPr="00E76F52">
        <w:rPr>
          <w:rFonts w:ascii="Calibri" w:hAnsi="Calibri" w:cs="Calibri"/>
          <w:color w:val="000000"/>
          <w:sz w:val="24"/>
          <w:szCs w:val="24"/>
        </w:rPr>
        <w:t xml:space="preserve"> první</w:t>
      </w:r>
      <w:r w:rsidR="00CE200C" w:rsidRPr="00CE200C">
        <w:rPr>
          <w:rFonts w:ascii="Calibri" w:hAnsi="Calibri" w:cs="Calibri"/>
          <w:color w:val="000000"/>
          <w:sz w:val="24"/>
          <w:szCs w:val="24"/>
        </w:rPr>
        <w:t xml:space="preserve"> </w:t>
      </w:r>
      <w:r w:rsidR="00CE200C" w:rsidRPr="00E76F52">
        <w:rPr>
          <w:rFonts w:ascii="Calibri" w:hAnsi="Calibri" w:cs="Calibri"/>
          <w:color w:val="000000"/>
          <w:sz w:val="24"/>
          <w:szCs w:val="24"/>
        </w:rPr>
        <w:t>část</w:t>
      </w:r>
      <w:r w:rsidR="00F95516" w:rsidRPr="00E76F52">
        <w:rPr>
          <w:rFonts w:ascii="Calibri" w:hAnsi="Calibri" w:cs="Calibri"/>
          <w:color w:val="000000"/>
          <w:sz w:val="24"/>
          <w:szCs w:val="24"/>
        </w:rPr>
        <w:t xml:space="preserve"> </w:t>
      </w:r>
      <w:r w:rsidR="009245D3" w:rsidRPr="00E76F52">
        <w:rPr>
          <w:rFonts w:ascii="Calibri" w:hAnsi="Calibri" w:cs="Calibri"/>
          <w:color w:val="000000"/>
          <w:sz w:val="24"/>
          <w:szCs w:val="24"/>
        </w:rPr>
        <w:lastRenderedPageBreak/>
        <w:t>zákon</w:t>
      </w:r>
      <w:r w:rsidR="00F95516" w:rsidRPr="00E76F52">
        <w:rPr>
          <w:rFonts w:ascii="Calibri" w:hAnsi="Calibri" w:cs="Calibri"/>
          <w:color w:val="000000"/>
          <w:sz w:val="24"/>
          <w:szCs w:val="24"/>
        </w:rPr>
        <w:t>a</w:t>
      </w:r>
      <w:r w:rsidR="009245D3" w:rsidRPr="00E76F52">
        <w:rPr>
          <w:rFonts w:ascii="Calibri" w:hAnsi="Calibri" w:cs="Calibri"/>
          <w:color w:val="000000"/>
          <w:sz w:val="24"/>
          <w:szCs w:val="24"/>
        </w:rPr>
        <w:t xml:space="preserve"> č. 695/2004 Sb. </w:t>
      </w:r>
      <w:r w:rsidR="00F95516" w:rsidRPr="00E76F52">
        <w:rPr>
          <w:rFonts w:ascii="Calibri" w:hAnsi="Calibri" w:cs="Calibri"/>
          <w:color w:val="000000"/>
          <w:sz w:val="24"/>
          <w:szCs w:val="24"/>
        </w:rPr>
        <w:t>a kter</w:t>
      </w:r>
      <w:r w:rsidR="00CD245F" w:rsidRPr="00E76F52">
        <w:rPr>
          <w:rFonts w:ascii="Calibri" w:hAnsi="Calibri" w:cs="Calibri"/>
          <w:color w:val="000000"/>
          <w:sz w:val="24"/>
          <w:szCs w:val="24"/>
        </w:rPr>
        <w:t>ý jako majetek České republiky, se kterým hospodaří MŽP</w:t>
      </w:r>
      <w:r w:rsidR="00CE200C">
        <w:rPr>
          <w:rFonts w:ascii="Calibri" w:hAnsi="Calibri" w:cs="Calibri"/>
          <w:color w:val="000000"/>
          <w:sz w:val="24"/>
          <w:szCs w:val="24"/>
        </w:rPr>
        <w:t>,</w:t>
      </w:r>
      <w:r w:rsidR="00CD245F" w:rsidRPr="00E76F52">
        <w:rPr>
          <w:rFonts w:ascii="Calibri" w:hAnsi="Calibri" w:cs="Calibri"/>
          <w:color w:val="000000"/>
          <w:sz w:val="24"/>
          <w:szCs w:val="24"/>
        </w:rPr>
        <w:t xml:space="preserve"> </w:t>
      </w:r>
      <w:r w:rsidR="00AF7B1D" w:rsidRPr="00E76F52">
        <w:rPr>
          <w:rFonts w:ascii="Calibri" w:hAnsi="Calibri" w:cs="Calibri"/>
          <w:sz w:val="24"/>
          <w:szCs w:val="24"/>
        </w:rPr>
        <w:t>stanovuje nejen jednotky přiděleného množství</w:t>
      </w:r>
      <w:r w:rsidR="00AF7B1D" w:rsidRPr="00E76F52">
        <w:rPr>
          <w:rStyle w:val="Znakapoznpodarou"/>
          <w:rFonts w:ascii="Calibri" w:hAnsi="Calibri" w:cs="Calibri"/>
          <w:sz w:val="24"/>
          <w:szCs w:val="24"/>
        </w:rPr>
        <w:footnoteReference w:id="19"/>
      </w:r>
      <w:r w:rsidR="00AF7B1D" w:rsidRPr="00E76F52">
        <w:rPr>
          <w:rFonts w:ascii="Calibri" w:hAnsi="Calibri" w:cs="Calibri"/>
          <w:sz w:val="24"/>
          <w:szCs w:val="24"/>
        </w:rPr>
        <w:t>, ale i</w:t>
      </w:r>
      <w:r w:rsidR="00732080" w:rsidRPr="00E76F52">
        <w:rPr>
          <w:rFonts w:ascii="Calibri" w:hAnsi="Calibri" w:cs="Calibri"/>
          <w:sz w:val="24"/>
          <w:szCs w:val="24"/>
        </w:rPr>
        <w:t xml:space="preserve"> p</w:t>
      </w:r>
      <w:r w:rsidR="00F95516" w:rsidRPr="00E76F52">
        <w:rPr>
          <w:rFonts w:ascii="Calibri" w:hAnsi="Calibri" w:cs="Calibri"/>
          <w:sz w:val="24"/>
          <w:szCs w:val="24"/>
        </w:rPr>
        <w:t>ovolenky</w:t>
      </w:r>
      <w:r w:rsidR="00732080" w:rsidRPr="00E76F52">
        <w:rPr>
          <w:rStyle w:val="Znakapoznpodarou"/>
          <w:rFonts w:ascii="Calibri" w:hAnsi="Calibri" w:cs="Calibri"/>
          <w:sz w:val="24"/>
          <w:szCs w:val="24"/>
        </w:rPr>
        <w:footnoteReference w:id="20"/>
      </w:r>
      <w:r w:rsidR="00F95516" w:rsidRPr="00E76F52">
        <w:rPr>
          <w:rFonts w:ascii="Calibri" w:hAnsi="Calibri" w:cs="Calibri"/>
          <w:sz w:val="24"/>
          <w:szCs w:val="24"/>
        </w:rPr>
        <w:t xml:space="preserve"> a jiná práva k vypouštění emisí</w:t>
      </w:r>
      <w:r w:rsidR="005C1FE6" w:rsidRPr="00E76F52">
        <w:rPr>
          <w:rStyle w:val="Znakapoznpodarou"/>
          <w:rFonts w:ascii="Calibri" w:hAnsi="Calibri" w:cs="Calibri"/>
          <w:sz w:val="24"/>
          <w:szCs w:val="24"/>
        </w:rPr>
        <w:footnoteReference w:id="21"/>
      </w:r>
      <w:r w:rsidR="00CD245F" w:rsidRPr="00E76F52">
        <w:rPr>
          <w:rFonts w:ascii="Calibri" w:hAnsi="Calibri" w:cs="Calibri"/>
          <w:sz w:val="24"/>
          <w:szCs w:val="24"/>
        </w:rPr>
        <w:t>.</w:t>
      </w:r>
      <w:r w:rsidR="0032140F" w:rsidRPr="00E76F52">
        <w:rPr>
          <w:rFonts w:ascii="Calibri" w:hAnsi="Calibri" w:cs="Calibri"/>
          <w:sz w:val="24"/>
          <w:szCs w:val="24"/>
        </w:rPr>
        <w:t xml:space="preserve"> </w:t>
      </w:r>
      <w:r w:rsidR="00D25048" w:rsidRPr="00E76F52">
        <w:rPr>
          <w:rFonts w:ascii="Calibri" w:hAnsi="Calibri" w:cs="Calibri"/>
          <w:sz w:val="24"/>
          <w:szCs w:val="24"/>
        </w:rPr>
        <w:t>Povolenky</w:t>
      </w:r>
      <w:r w:rsidR="00D76A5C" w:rsidRPr="00E76F52">
        <w:rPr>
          <w:rFonts w:ascii="Calibri" w:hAnsi="Calibri" w:cs="Calibri"/>
          <w:sz w:val="24"/>
          <w:szCs w:val="24"/>
        </w:rPr>
        <w:t xml:space="preserve"> na emise</w:t>
      </w:r>
      <w:r w:rsidR="00D25048" w:rsidRPr="00E76F52">
        <w:rPr>
          <w:rFonts w:ascii="Calibri" w:hAnsi="Calibri" w:cs="Calibri"/>
          <w:sz w:val="24"/>
          <w:szCs w:val="24"/>
        </w:rPr>
        <w:t xml:space="preserve"> jsou přitom určeny nejen pro provozovatele zařízení</w:t>
      </w:r>
      <w:r w:rsidR="008A2DEB" w:rsidRPr="00E76F52">
        <w:rPr>
          <w:rFonts w:ascii="Calibri" w:hAnsi="Calibri" w:cs="Calibri"/>
          <w:sz w:val="24"/>
          <w:szCs w:val="24"/>
        </w:rPr>
        <w:t xml:space="preserve">, </w:t>
      </w:r>
      <w:r w:rsidR="00D25048" w:rsidRPr="00E76F52">
        <w:rPr>
          <w:rFonts w:ascii="Calibri" w:hAnsi="Calibri" w:cs="Calibri"/>
          <w:sz w:val="24"/>
          <w:szCs w:val="24"/>
        </w:rPr>
        <w:t>jak tomu bylo do konce roku 2012, ale nově i pro provozovatele letadel.</w:t>
      </w:r>
    </w:p>
    <w:p w:rsidR="005416A5" w:rsidRPr="00E76F52" w:rsidRDefault="005416A5" w:rsidP="00E76F52">
      <w:pPr>
        <w:spacing w:after="0" w:line="240" w:lineRule="auto"/>
        <w:jc w:val="both"/>
        <w:rPr>
          <w:rFonts w:ascii="Calibri" w:hAnsi="Calibri" w:cs="Calibri"/>
          <w:sz w:val="24"/>
          <w:szCs w:val="24"/>
        </w:rPr>
      </w:pPr>
    </w:p>
    <w:p w:rsidR="00B23CD8" w:rsidRDefault="00D25048" w:rsidP="00E76F52">
      <w:pPr>
        <w:spacing w:after="0" w:line="240" w:lineRule="auto"/>
        <w:jc w:val="both"/>
        <w:rPr>
          <w:rFonts w:ascii="Calibri" w:hAnsi="Calibri" w:cs="Calibri"/>
          <w:sz w:val="24"/>
          <w:szCs w:val="24"/>
        </w:rPr>
      </w:pPr>
      <w:r w:rsidRPr="00E76F52">
        <w:rPr>
          <w:rFonts w:ascii="Calibri" w:hAnsi="Calibri" w:cs="Calibri"/>
          <w:sz w:val="24"/>
          <w:szCs w:val="24"/>
        </w:rPr>
        <w:t>Zákon č. 383/2012 Sb.</w:t>
      </w:r>
      <w:r w:rsidR="00E229EA" w:rsidRPr="00E76F52">
        <w:rPr>
          <w:rFonts w:ascii="Calibri" w:hAnsi="Calibri" w:cs="Calibri"/>
          <w:sz w:val="24"/>
          <w:szCs w:val="24"/>
        </w:rPr>
        <w:t>, o podmínkách obchodování s povolenkami na emise skleníkových plynů</w:t>
      </w:r>
      <w:r w:rsidR="00CE200C">
        <w:rPr>
          <w:rFonts w:ascii="Calibri" w:hAnsi="Calibri" w:cs="Calibri"/>
          <w:sz w:val="24"/>
          <w:szCs w:val="24"/>
        </w:rPr>
        <w:t>,</w:t>
      </w:r>
      <w:r w:rsidR="00E17A0D" w:rsidRPr="00E76F52">
        <w:rPr>
          <w:rFonts w:ascii="Calibri" w:hAnsi="Calibri" w:cs="Calibri"/>
          <w:sz w:val="24"/>
          <w:szCs w:val="24"/>
        </w:rPr>
        <w:t xml:space="preserve"> v § 17</w:t>
      </w:r>
      <w:r w:rsidR="002917F8" w:rsidRPr="00E76F52">
        <w:rPr>
          <w:rFonts w:ascii="Calibri" w:hAnsi="Calibri" w:cs="Calibri"/>
          <w:sz w:val="24"/>
          <w:szCs w:val="24"/>
        </w:rPr>
        <w:t xml:space="preserve"> </w:t>
      </w:r>
      <w:r w:rsidR="008A2DEB" w:rsidRPr="00E76F52">
        <w:rPr>
          <w:rFonts w:ascii="Calibri" w:hAnsi="Calibri" w:cs="Calibri"/>
          <w:sz w:val="24"/>
          <w:szCs w:val="24"/>
        </w:rPr>
        <w:t>dále</w:t>
      </w:r>
      <w:r w:rsidR="00862515" w:rsidRPr="00E76F52">
        <w:rPr>
          <w:rFonts w:ascii="Calibri" w:hAnsi="Calibri" w:cs="Calibri"/>
          <w:sz w:val="24"/>
          <w:szCs w:val="24"/>
        </w:rPr>
        <w:t xml:space="preserve"> stanovuje, že n</w:t>
      </w:r>
      <w:r w:rsidR="00556BBA" w:rsidRPr="00E76F52">
        <w:rPr>
          <w:rFonts w:ascii="Calibri" w:hAnsi="Calibri" w:cs="Calibri"/>
          <w:sz w:val="24"/>
          <w:szCs w:val="24"/>
        </w:rPr>
        <w:t>a hospodaření s tímto majetkem se nevztahují jiné právní předpisy upravující hospodaření s majetkem České republiky</w:t>
      </w:r>
      <w:r w:rsidR="00E05B4D" w:rsidRPr="00E76F52">
        <w:rPr>
          <w:rStyle w:val="Znakapoznpodarou"/>
          <w:rFonts w:ascii="Calibri" w:hAnsi="Calibri" w:cs="Calibri"/>
          <w:sz w:val="24"/>
          <w:szCs w:val="24"/>
        </w:rPr>
        <w:footnoteReference w:id="22"/>
      </w:r>
      <w:r w:rsidR="00E229EA" w:rsidRPr="00E76F52">
        <w:rPr>
          <w:rFonts w:ascii="Calibri" w:hAnsi="Calibri" w:cs="Calibri"/>
          <w:sz w:val="24"/>
          <w:szCs w:val="24"/>
        </w:rPr>
        <w:t xml:space="preserve"> </w:t>
      </w:r>
      <w:r w:rsidR="00EF7E6D" w:rsidRPr="00E76F52">
        <w:rPr>
          <w:rFonts w:ascii="Calibri" w:hAnsi="Calibri" w:cs="Calibri"/>
          <w:sz w:val="24"/>
          <w:szCs w:val="24"/>
        </w:rPr>
        <w:t>a že t</w:t>
      </w:r>
      <w:r w:rsidRPr="00E76F52">
        <w:rPr>
          <w:rFonts w:ascii="Calibri" w:hAnsi="Calibri" w:cs="Calibri"/>
          <w:sz w:val="24"/>
          <w:szCs w:val="24"/>
        </w:rPr>
        <w:t xml:space="preserve">ento </w:t>
      </w:r>
      <w:r w:rsidR="002917F8" w:rsidRPr="00E76F52">
        <w:rPr>
          <w:rFonts w:ascii="Calibri" w:hAnsi="Calibri" w:cs="Calibri"/>
          <w:sz w:val="24"/>
          <w:szCs w:val="24"/>
        </w:rPr>
        <w:t xml:space="preserve">majetek </w:t>
      </w:r>
      <w:r w:rsidR="005C1FE6" w:rsidRPr="00E76F52">
        <w:rPr>
          <w:rFonts w:ascii="Calibri" w:hAnsi="Calibri" w:cs="Calibri"/>
          <w:sz w:val="24"/>
          <w:szCs w:val="24"/>
        </w:rPr>
        <w:t>eviduje</w:t>
      </w:r>
      <w:r w:rsidR="00E17A0D" w:rsidRPr="00E76F52">
        <w:rPr>
          <w:rFonts w:ascii="Calibri" w:hAnsi="Calibri" w:cs="Calibri"/>
          <w:sz w:val="24"/>
          <w:szCs w:val="24"/>
        </w:rPr>
        <w:t>,</w:t>
      </w:r>
      <w:r w:rsidRPr="00E76F52">
        <w:rPr>
          <w:rFonts w:ascii="Calibri" w:hAnsi="Calibri" w:cs="Calibri"/>
          <w:sz w:val="24"/>
          <w:szCs w:val="24"/>
        </w:rPr>
        <w:t xml:space="preserve"> včetně nakládání s</w:t>
      </w:r>
      <w:r w:rsidR="007405FC" w:rsidRPr="00E76F52">
        <w:rPr>
          <w:rFonts w:ascii="Calibri" w:hAnsi="Calibri" w:cs="Calibri"/>
          <w:sz w:val="24"/>
          <w:szCs w:val="24"/>
        </w:rPr>
        <w:t xml:space="preserve"> </w:t>
      </w:r>
      <w:r w:rsidRPr="00E76F52">
        <w:rPr>
          <w:rFonts w:ascii="Calibri" w:hAnsi="Calibri" w:cs="Calibri"/>
          <w:sz w:val="24"/>
          <w:szCs w:val="24"/>
        </w:rPr>
        <w:t>ním</w:t>
      </w:r>
      <w:r w:rsidR="00E17A0D" w:rsidRPr="00E76F52">
        <w:rPr>
          <w:rFonts w:ascii="Calibri" w:hAnsi="Calibri" w:cs="Calibri"/>
          <w:sz w:val="24"/>
          <w:szCs w:val="24"/>
        </w:rPr>
        <w:t>,</w:t>
      </w:r>
      <w:r w:rsidRPr="00E76F52">
        <w:rPr>
          <w:rFonts w:ascii="Calibri" w:hAnsi="Calibri" w:cs="Calibri"/>
          <w:sz w:val="24"/>
          <w:szCs w:val="24"/>
        </w:rPr>
        <w:t xml:space="preserve"> </w:t>
      </w:r>
      <w:r w:rsidR="002917F8" w:rsidRPr="00E76F52">
        <w:rPr>
          <w:rFonts w:ascii="Calibri" w:hAnsi="Calibri" w:cs="Calibri"/>
          <w:sz w:val="24"/>
          <w:szCs w:val="24"/>
        </w:rPr>
        <w:t>správce rejstříku</w:t>
      </w:r>
      <w:r w:rsidRPr="00E76F52">
        <w:rPr>
          <w:rFonts w:ascii="Calibri" w:hAnsi="Calibri" w:cs="Calibri"/>
          <w:sz w:val="24"/>
          <w:szCs w:val="24"/>
        </w:rPr>
        <w:t>. Tím je</w:t>
      </w:r>
      <w:r w:rsidR="005C1FE6" w:rsidRPr="00E76F52">
        <w:rPr>
          <w:rFonts w:ascii="Calibri" w:hAnsi="Calibri" w:cs="Calibri"/>
          <w:sz w:val="24"/>
          <w:szCs w:val="24"/>
        </w:rPr>
        <w:t xml:space="preserve"> v</w:t>
      </w:r>
      <w:r w:rsidR="007405FC" w:rsidRPr="00E76F52">
        <w:rPr>
          <w:rFonts w:ascii="Calibri" w:hAnsi="Calibri" w:cs="Calibri"/>
          <w:sz w:val="24"/>
          <w:szCs w:val="24"/>
        </w:rPr>
        <w:t xml:space="preserve"> </w:t>
      </w:r>
      <w:r w:rsidR="005C1FE6" w:rsidRPr="00E76F52">
        <w:rPr>
          <w:rFonts w:ascii="Calibri" w:hAnsi="Calibri" w:cs="Calibri"/>
          <w:sz w:val="24"/>
          <w:szCs w:val="24"/>
        </w:rPr>
        <w:t>České republice</w:t>
      </w:r>
      <w:r w:rsidR="005B3491" w:rsidRPr="00E76F52">
        <w:rPr>
          <w:rFonts w:ascii="Calibri" w:hAnsi="Calibri" w:cs="Calibri"/>
          <w:sz w:val="24"/>
          <w:szCs w:val="24"/>
        </w:rPr>
        <w:t xml:space="preserve"> </w:t>
      </w:r>
      <w:r w:rsidR="00DF65A6" w:rsidRPr="00E76F52">
        <w:rPr>
          <w:rFonts w:ascii="Calibri" w:hAnsi="Calibri" w:cs="Calibri"/>
          <w:sz w:val="24"/>
          <w:szCs w:val="24"/>
        </w:rPr>
        <w:t>dle</w:t>
      </w:r>
      <w:r w:rsidR="008C7D9B" w:rsidRPr="00E76F52">
        <w:rPr>
          <w:rFonts w:ascii="Calibri" w:hAnsi="Calibri" w:cs="Calibri"/>
          <w:sz w:val="24"/>
          <w:szCs w:val="24"/>
        </w:rPr>
        <w:t> </w:t>
      </w:r>
      <w:r w:rsidR="005B3491" w:rsidRPr="00E76F52">
        <w:rPr>
          <w:rFonts w:ascii="Calibri" w:hAnsi="Calibri" w:cs="Calibri"/>
          <w:sz w:val="24"/>
          <w:szCs w:val="24"/>
        </w:rPr>
        <w:t>§</w:t>
      </w:r>
      <w:r w:rsidR="008C7D9B" w:rsidRPr="00E76F52">
        <w:rPr>
          <w:rFonts w:ascii="Calibri" w:hAnsi="Calibri" w:cs="Calibri"/>
          <w:sz w:val="24"/>
          <w:szCs w:val="24"/>
        </w:rPr>
        <w:t> </w:t>
      </w:r>
      <w:r w:rsidR="005B3491" w:rsidRPr="00E76F52">
        <w:rPr>
          <w:rFonts w:ascii="Calibri" w:hAnsi="Calibri" w:cs="Calibri"/>
          <w:sz w:val="24"/>
          <w:szCs w:val="24"/>
        </w:rPr>
        <w:t xml:space="preserve">5 </w:t>
      </w:r>
      <w:r w:rsidR="005C1FE6" w:rsidRPr="00E76F52">
        <w:rPr>
          <w:rFonts w:ascii="Calibri" w:hAnsi="Calibri" w:cs="Calibri"/>
          <w:sz w:val="24"/>
          <w:szCs w:val="24"/>
        </w:rPr>
        <w:t xml:space="preserve">tohoto zákona </w:t>
      </w:r>
      <w:r w:rsidR="002917F8" w:rsidRPr="00E76F52">
        <w:rPr>
          <w:rFonts w:ascii="Calibri" w:hAnsi="Calibri" w:cs="Calibri"/>
          <w:sz w:val="24"/>
          <w:szCs w:val="24"/>
        </w:rPr>
        <w:t>určen operátor trhu založený podle</w:t>
      </w:r>
      <w:r w:rsidR="00D10DAB" w:rsidRPr="00E76F52">
        <w:rPr>
          <w:rFonts w:ascii="Calibri" w:hAnsi="Calibri" w:cs="Calibri"/>
          <w:sz w:val="24"/>
          <w:szCs w:val="24"/>
        </w:rPr>
        <w:t xml:space="preserve"> energetického zákona</w:t>
      </w:r>
      <w:r w:rsidR="00D10DAB" w:rsidRPr="00E76F52">
        <w:rPr>
          <w:rStyle w:val="Znakapoznpodarou"/>
          <w:rFonts w:ascii="Calibri" w:hAnsi="Calibri" w:cs="Calibri"/>
          <w:sz w:val="24"/>
          <w:szCs w:val="24"/>
        </w:rPr>
        <w:footnoteReference w:id="23"/>
      </w:r>
      <w:r w:rsidR="00E229EA" w:rsidRPr="00E76F52">
        <w:rPr>
          <w:rFonts w:ascii="Calibri" w:hAnsi="Calibri" w:cs="Calibri"/>
          <w:sz w:val="24"/>
          <w:szCs w:val="24"/>
        </w:rPr>
        <w:t>.</w:t>
      </w:r>
      <w:r w:rsidR="00121F8A" w:rsidRPr="00E76F52">
        <w:rPr>
          <w:rFonts w:ascii="Calibri" w:hAnsi="Calibri" w:cs="Calibri"/>
          <w:sz w:val="24"/>
          <w:szCs w:val="24"/>
        </w:rPr>
        <w:t xml:space="preserve"> </w:t>
      </w:r>
      <w:r w:rsidR="00F95262" w:rsidRPr="00E76F52">
        <w:rPr>
          <w:rFonts w:ascii="Calibri" w:hAnsi="Calibri" w:cs="Calibri"/>
          <w:sz w:val="24"/>
          <w:szCs w:val="24"/>
        </w:rPr>
        <w:t>Jednotky přiděleného množství</w:t>
      </w:r>
      <w:r w:rsidR="00360A60" w:rsidRPr="00E76F52">
        <w:rPr>
          <w:rFonts w:ascii="Calibri" w:hAnsi="Calibri" w:cs="Calibri"/>
          <w:sz w:val="24"/>
          <w:szCs w:val="24"/>
        </w:rPr>
        <w:t xml:space="preserve"> (</w:t>
      </w:r>
      <w:proofErr w:type="spellStart"/>
      <w:r w:rsidR="00360A60" w:rsidRPr="008556B9">
        <w:rPr>
          <w:rFonts w:ascii="Calibri" w:hAnsi="Calibri" w:cs="Calibri"/>
          <w:i/>
          <w:sz w:val="24"/>
          <w:szCs w:val="24"/>
        </w:rPr>
        <w:t>Assigned</w:t>
      </w:r>
      <w:proofErr w:type="spellEnd"/>
      <w:r w:rsidR="00360A60" w:rsidRPr="008556B9">
        <w:rPr>
          <w:rFonts w:ascii="Calibri" w:hAnsi="Calibri" w:cs="Calibri"/>
          <w:i/>
          <w:sz w:val="24"/>
          <w:szCs w:val="24"/>
        </w:rPr>
        <w:t xml:space="preserve"> </w:t>
      </w:r>
      <w:proofErr w:type="spellStart"/>
      <w:r w:rsidR="00360A60" w:rsidRPr="008556B9">
        <w:rPr>
          <w:rFonts w:ascii="Calibri" w:hAnsi="Calibri" w:cs="Calibri"/>
          <w:i/>
          <w:sz w:val="24"/>
          <w:szCs w:val="24"/>
        </w:rPr>
        <w:t>Amount</w:t>
      </w:r>
      <w:proofErr w:type="spellEnd"/>
      <w:r w:rsidR="00360A60" w:rsidRPr="008556B9">
        <w:rPr>
          <w:rFonts w:ascii="Calibri" w:hAnsi="Calibri" w:cs="Calibri"/>
          <w:i/>
          <w:sz w:val="24"/>
          <w:szCs w:val="24"/>
        </w:rPr>
        <w:t xml:space="preserve"> </w:t>
      </w:r>
      <w:proofErr w:type="spellStart"/>
      <w:r w:rsidR="00360A60" w:rsidRPr="008556B9">
        <w:rPr>
          <w:rFonts w:ascii="Calibri" w:hAnsi="Calibri" w:cs="Calibri"/>
          <w:i/>
          <w:sz w:val="24"/>
          <w:szCs w:val="24"/>
        </w:rPr>
        <w:t>Units</w:t>
      </w:r>
      <w:proofErr w:type="spellEnd"/>
      <w:r w:rsidR="00360A60" w:rsidRPr="00E76F52">
        <w:rPr>
          <w:rFonts w:ascii="Calibri" w:hAnsi="Calibri" w:cs="Calibri"/>
          <w:sz w:val="24"/>
          <w:szCs w:val="24"/>
        </w:rPr>
        <w:t xml:space="preserve"> </w:t>
      </w:r>
      <w:r w:rsidR="00837C4D" w:rsidRPr="00E76F52">
        <w:rPr>
          <w:rFonts w:ascii="Calibri" w:hAnsi="Calibri" w:cs="Calibri"/>
          <w:sz w:val="24"/>
          <w:szCs w:val="24"/>
        </w:rPr>
        <w:t>– dále jen „</w:t>
      </w:r>
      <w:r w:rsidR="00360A60" w:rsidRPr="00E76F52">
        <w:rPr>
          <w:rFonts w:ascii="Calibri" w:hAnsi="Calibri" w:cs="Calibri"/>
          <w:sz w:val="24"/>
          <w:szCs w:val="24"/>
        </w:rPr>
        <w:t>AAU</w:t>
      </w:r>
      <w:r w:rsidR="00837C4D" w:rsidRPr="00E76F52">
        <w:rPr>
          <w:rFonts w:ascii="Calibri" w:hAnsi="Calibri" w:cs="Calibri"/>
          <w:sz w:val="24"/>
          <w:szCs w:val="24"/>
        </w:rPr>
        <w:t>“</w:t>
      </w:r>
      <w:r w:rsidR="00360A60" w:rsidRPr="00E76F52">
        <w:rPr>
          <w:rFonts w:ascii="Calibri" w:hAnsi="Calibri" w:cs="Calibri"/>
          <w:sz w:val="24"/>
          <w:szCs w:val="24"/>
        </w:rPr>
        <w:t>)</w:t>
      </w:r>
      <w:r w:rsidR="002C21D6" w:rsidRPr="00E76F52">
        <w:rPr>
          <w:rStyle w:val="Znakapoznpodarou"/>
          <w:rFonts w:ascii="Calibri" w:hAnsi="Calibri" w:cs="Calibri"/>
          <w:sz w:val="24"/>
          <w:szCs w:val="24"/>
        </w:rPr>
        <w:footnoteReference w:id="24"/>
      </w:r>
      <w:r w:rsidR="00F95262" w:rsidRPr="00E76F52">
        <w:rPr>
          <w:rFonts w:ascii="Calibri" w:hAnsi="Calibri" w:cs="Calibri"/>
          <w:sz w:val="24"/>
          <w:szCs w:val="24"/>
        </w:rPr>
        <w:t xml:space="preserve"> </w:t>
      </w:r>
      <w:r w:rsidR="002C21D6" w:rsidRPr="00E76F52">
        <w:rPr>
          <w:rFonts w:ascii="Calibri" w:hAnsi="Calibri" w:cs="Calibri"/>
          <w:sz w:val="24"/>
          <w:szCs w:val="24"/>
        </w:rPr>
        <w:t>jsou jednotky přidělené na základě závazku z</w:t>
      </w:r>
      <w:r w:rsidR="00740DE0" w:rsidRPr="00E76F52">
        <w:rPr>
          <w:rFonts w:ascii="Calibri" w:hAnsi="Calibri" w:cs="Calibri"/>
          <w:sz w:val="24"/>
          <w:szCs w:val="24"/>
        </w:rPr>
        <w:t> </w:t>
      </w:r>
      <w:r w:rsidR="002C21D6" w:rsidRPr="008556B9">
        <w:rPr>
          <w:rFonts w:ascii="Calibri" w:hAnsi="Calibri" w:cs="Calibri"/>
          <w:i/>
          <w:sz w:val="24"/>
          <w:szCs w:val="24"/>
        </w:rPr>
        <w:t>Kj</w:t>
      </w:r>
      <w:r w:rsidR="00360A60" w:rsidRPr="008556B9">
        <w:rPr>
          <w:rFonts w:ascii="Calibri" w:hAnsi="Calibri" w:cs="Calibri"/>
          <w:i/>
          <w:sz w:val="24"/>
          <w:szCs w:val="24"/>
        </w:rPr>
        <w:t>ó</w:t>
      </w:r>
      <w:r w:rsidR="002C21D6" w:rsidRPr="008556B9">
        <w:rPr>
          <w:rFonts w:ascii="Calibri" w:hAnsi="Calibri" w:cs="Calibri"/>
          <w:i/>
          <w:sz w:val="24"/>
          <w:szCs w:val="24"/>
        </w:rPr>
        <w:t>tského protokolu</w:t>
      </w:r>
      <w:r w:rsidR="002C21D6" w:rsidRPr="00E76F52">
        <w:rPr>
          <w:rFonts w:ascii="Calibri" w:hAnsi="Calibri" w:cs="Calibri"/>
          <w:sz w:val="24"/>
          <w:szCs w:val="24"/>
        </w:rPr>
        <w:t xml:space="preserve"> a jeho změny. Změna </w:t>
      </w:r>
      <w:r w:rsidR="002C21D6" w:rsidRPr="008556B9">
        <w:rPr>
          <w:rFonts w:ascii="Calibri" w:hAnsi="Calibri" w:cs="Calibri"/>
          <w:i/>
          <w:sz w:val="24"/>
          <w:szCs w:val="24"/>
        </w:rPr>
        <w:t>Kjótského protokolu</w:t>
      </w:r>
      <w:r w:rsidR="002C21D6" w:rsidRPr="00E76F52">
        <w:rPr>
          <w:rFonts w:ascii="Calibri" w:hAnsi="Calibri" w:cs="Calibri"/>
          <w:sz w:val="24"/>
          <w:szCs w:val="24"/>
        </w:rPr>
        <w:t xml:space="preserve"> v</w:t>
      </w:r>
      <w:r w:rsidR="00664335">
        <w:rPr>
          <w:rFonts w:ascii="Calibri" w:hAnsi="Calibri" w:cs="Calibri"/>
          <w:sz w:val="24"/>
          <w:szCs w:val="24"/>
        </w:rPr>
        <w:t> </w:t>
      </w:r>
      <w:r w:rsidR="002C21D6" w:rsidRPr="00E76F52">
        <w:rPr>
          <w:rFonts w:ascii="Calibri" w:hAnsi="Calibri" w:cs="Calibri"/>
          <w:sz w:val="24"/>
          <w:szCs w:val="24"/>
        </w:rPr>
        <w:t>roce 2013 ani v</w:t>
      </w:r>
      <w:r w:rsidR="00664335">
        <w:rPr>
          <w:rFonts w:ascii="Calibri" w:hAnsi="Calibri" w:cs="Calibri"/>
          <w:sz w:val="24"/>
          <w:szCs w:val="24"/>
        </w:rPr>
        <w:t> </w:t>
      </w:r>
      <w:r w:rsidR="002C21D6" w:rsidRPr="00E76F52">
        <w:rPr>
          <w:rFonts w:ascii="Calibri" w:hAnsi="Calibri" w:cs="Calibri"/>
          <w:sz w:val="24"/>
          <w:szCs w:val="24"/>
        </w:rPr>
        <w:t>roce 2014 nevstoupila v</w:t>
      </w:r>
      <w:r w:rsidR="007405FC" w:rsidRPr="00E76F52">
        <w:rPr>
          <w:rFonts w:ascii="Calibri" w:hAnsi="Calibri" w:cs="Calibri"/>
          <w:sz w:val="24"/>
          <w:szCs w:val="24"/>
        </w:rPr>
        <w:t xml:space="preserve"> </w:t>
      </w:r>
      <w:r w:rsidR="002C21D6" w:rsidRPr="00E76F52">
        <w:rPr>
          <w:rFonts w:ascii="Calibri" w:hAnsi="Calibri" w:cs="Calibri"/>
          <w:sz w:val="24"/>
          <w:szCs w:val="24"/>
        </w:rPr>
        <w:t>platnost</w:t>
      </w:r>
      <w:r w:rsidR="002C21D6" w:rsidRPr="00E76F52">
        <w:rPr>
          <w:rStyle w:val="Znakapoznpodarou"/>
          <w:rFonts w:ascii="Calibri" w:hAnsi="Calibri" w:cs="Calibri"/>
          <w:sz w:val="24"/>
          <w:szCs w:val="24"/>
        </w:rPr>
        <w:footnoteReference w:id="25"/>
      </w:r>
      <w:r w:rsidR="002C21D6" w:rsidRPr="00E76F52">
        <w:rPr>
          <w:rFonts w:ascii="Calibri" w:hAnsi="Calibri" w:cs="Calibri"/>
          <w:sz w:val="24"/>
          <w:szCs w:val="24"/>
        </w:rPr>
        <w:t>. Nestala se v tomto období ani součástí právního řádu České republiky</w:t>
      </w:r>
      <w:r w:rsidR="00373DDD" w:rsidRPr="00E76F52">
        <w:rPr>
          <w:rStyle w:val="Znakapoznpodarou"/>
          <w:rFonts w:ascii="Calibri" w:hAnsi="Calibri" w:cs="Calibri"/>
          <w:sz w:val="24"/>
          <w:szCs w:val="24"/>
        </w:rPr>
        <w:footnoteReference w:id="26"/>
      </w:r>
      <w:r w:rsidR="002C21D6" w:rsidRPr="00E76F52">
        <w:rPr>
          <w:rFonts w:ascii="Calibri" w:hAnsi="Calibri" w:cs="Calibri"/>
          <w:sz w:val="24"/>
          <w:szCs w:val="24"/>
        </w:rPr>
        <w:t>. V</w:t>
      </w:r>
      <w:r w:rsidR="007405FC" w:rsidRPr="00E76F52">
        <w:rPr>
          <w:rFonts w:ascii="Calibri" w:hAnsi="Calibri" w:cs="Calibri"/>
          <w:sz w:val="24"/>
          <w:szCs w:val="24"/>
        </w:rPr>
        <w:t xml:space="preserve"> </w:t>
      </w:r>
      <w:r w:rsidR="002C21D6" w:rsidRPr="00E76F52">
        <w:rPr>
          <w:rFonts w:ascii="Calibri" w:hAnsi="Calibri" w:cs="Calibri"/>
          <w:sz w:val="24"/>
          <w:szCs w:val="24"/>
        </w:rPr>
        <w:t>Evropské unii</w:t>
      </w:r>
      <w:r w:rsidR="00F95262" w:rsidRPr="00E76F52">
        <w:rPr>
          <w:rFonts w:ascii="Calibri" w:hAnsi="Calibri" w:cs="Calibri"/>
          <w:sz w:val="24"/>
          <w:szCs w:val="24"/>
        </w:rPr>
        <w:t xml:space="preserve"> </w:t>
      </w:r>
      <w:r w:rsidR="00360A60" w:rsidRPr="00E76F52">
        <w:rPr>
          <w:rFonts w:ascii="Calibri" w:hAnsi="Calibri" w:cs="Calibri"/>
          <w:sz w:val="24"/>
          <w:szCs w:val="24"/>
        </w:rPr>
        <w:t>je změna</w:t>
      </w:r>
      <w:r w:rsidR="00504974" w:rsidRPr="00E76F52">
        <w:rPr>
          <w:rFonts w:ascii="Calibri" w:hAnsi="Calibri" w:cs="Calibri"/>
          <w:sz w:val="24"/>
          <w:szCs w:val="24"/>
        </w:rPr>
        <w:t xml:space="preserve"> </w:t>
      </w:r>
      <w:r w:rsidR="00504974" w:rsidRPr="008556B9">
        <w:rPr>
          <w:rFonts w:ascii="Calibri" w:hAnsi="Calibri" w:cs="Calibri"/>
          <w:i/>
          <w:sz w:val="24"/>
          <w:szCs w:val="24"/>
        </w:rPr>
        <w:t>Kjótského</w:t>
      </w:r>
      <w:r w:rsidR="00360A60" w:rsidRPr="008556B9">
        <w:rPr>
          <w:rFonts w:ascii="Calibri" w:hAnsi="Calibri" w:cs="Calibri"/>
          <w:i/>
          <w:sz w:val="24"/>
          <w:szCs w:val="24"/>
        </w:rPr>
        <w:t xml:space="preserve"> protokolu</w:t>
      </w:r>
      <w:r w:rsidR="00360A60" w:rsidRPr="00E76F52">
        <w:rPr>
          <w:rFonts w:ascii="Calibri" w:hAnsi="Calibri" w:cs="Calibri"/>
          <w:sz w:val="24"/>
          <w:szCs w:val="24"/>
        </w:rPr>
        <w:t xml:space="preserve"> pokryta platnými předpisy</w:t>
      </w:r>
      <w:r w:rsidR="00360A60" w:rsidRPr="00E76F52">
        <w:rPr>
          <w:rStyle w:val="Znakapoznpodarou"/>
          <w:rFonts w:ascii="Calibri" w:hAnsi="Calibri" w:cs="Calibri"/>
          <w:sz w:val="24"/>
          <w:szCs w:val="24"/>
        </w:rPr>
        <w:footnoteReference w:id="27"/>
      </w:r>
      <w:r w:rsidR="00E229EA" w:rsidRPr="00E76F52">
        <w:rPr>
          <w:rFonts w:ascii="Calibri" w:hAnsi="Calibri" w:cs="Calibri"/>
          <w:sz w:val="24"/>
          <w:szCs w:val="24"/>
        </w:rPr>
        <w:t>.</w:t>
      </w:r>
      <w:r w:rsidR="00373DDD" w:rsidRPr="00E76F52">
        <w:rPr>
          <w:rFonts w:ascii="Calibri" w:hAnsi="Calibri" w:cs="Calibri"/>
          <w:sz w:val="24"/>
          <w:szCs w:val="24"/>
        </w:rPr>
        <w:t xml:space="preserve"> </w:t>
      </w:r>
    </w:p>
    <w:p w:rsidR="005416A5" w:rsidRPr="00E76F52" w:rsidRDefault="005416A5" w:rsidP="00E76F52">
      <w:pPr>
        <w:spacing w:after="0" w:line="240" w:lineRule="auto"/>
        <w:jc w:val="both"/>
        <w:rPr>
          <w:rFonts w:ascii="Calibri" w:hAnsi="Calibri" w:cs="Calibri"/>
          <w:sz w:val="24"/>
          <w:szCs w:val="24"/>
        </w:rPr>
      </w:pPr>
    </w:p>
    <w:p w:rsidR="007C31F1" w:rsidRDefault="00837C4D" w:rsidP="00E76F52">
      <w:pPr>
        <w:spacing w:after="0" w:line="240" w:lineRule="auto"/>
        <w:jc w:val="both"/>
        <w:rPr>
          <w:rFonts w:ascii="Calibri" w:hAnsi="Calibri" w:cs="Calibri"/>
          <w:sz w:val="24"/>
          <w:szCs w:val="24"/>
        </w:rPr>
      </w:pPr>
      <w:r w:rsidRPr="00D7194E">
        <w:rPr>
          <w:rFonts w:ascii="Calibri" w:hAnsi="Calibri" w:cs="Calibri"/>
          <w:i/>
          <w:sz w:val="24"/>
          <w:szCs w:val="24"/>
        </w:rPr>
        <w:lastRenderedPageBreak/>
        <w:t>Kjótský protokol</w:t>
      </w:r>
      <w:r w:rsidRPr="00E76F52">
        <w:rPr>
          <w:rFonts w:ascii="Calibri" w:hAnsi="Calibri" w:cs="Calibri"/>
          <w:sz w:val="24"/>
          <w:szCs w:val="24"/>
        </w:rPr>
        <w:t xml:space="preserve"> umožňuje </w:t>
      </w:r>
      <w:r w:rsidR="00664335">
        <w:rPr>
          <w:rFonts w:ascii="Calibri" w:hAnsi="Calibri" w:cs="Calibri"/>
          <w:sz w:val="24"/>
          <w:szCs w:val="24"/>
        </w:rPr>
        <w:t>obchodování s jednotkami</w:t>
      </w:r>
      <w:r w:rsidRPr="00E76F52">
        <w:rPr>
          <w:rFonts w:ascii="Calibri" w:hAnsi="Calibri" w:cs="Calibri"/>
          <w:sz w:val="24"/>
          <w:szCs w:val="24"/>
        </w:rPr>
        <w:t xml:space="preserve"> AAU. S</w:t>
      </w:r>
      <w:r w:rsidR="00373DDD" w:rsidRPr="00E76F52">
        <w:rPr>
          <w:rFonts w:ascii="Calibri" w:hAnsi="Calibri" w:cs="Calibri"/>
          <w:sz w:val="24"/>
          <w:szCs w:val="24"/>
        </w:rPr>
        <w:t xml:space="preserve">mluvní strany </w:t>
      </w:r>
      <w:r w:rsidR="00664335">
        <w:rPr>
          <w:rFonts w:ascii="Calibri" w:hAnsi="Calibri" w:cs="Calibri"/>
          <w:sz w:val="24"/>
          <w:szCs w:val="24"/>
        </w:rPr>
        <w:t>s nimi</w:t>
      </w:r>
      <w:r w:rsidRPr="00E76F52">
        <w:rPr>
          <w:rFonts w:ascii="Calibri" w:hAnsi="Calibri" w:cs="Calibri"/>
          <w:sz w:val="24"/>
          <w:szCs w:val="24"/>
        </w:rPr>
        <w:t xml:space="preserve"> mohou </w:t>
      </w:r>
      <w:r w:rsidR="00373DDD" w:rsidRPr="00E76F52">
        <w:rPr>
          <w:rFonts w:ascii="Calibri" w:hAnsi="Calibri" w:cs="Calibri"/>
          <w:sz w:val="24"/>
          <w:szCs w:val="24"/>
        </w:rPr>
        <w:t>mezi sebou ob</w:t>
      </w:r>
      <w:r w:rsidR="00F95262" w:rsidRPr="00E76F52">
        <w:rPr>
          <w:rFonts w:ascii="Calibri" w:hAnsi="Calibri" w:cs="Calibri"/>
          <w:sz w:val="24"/>
          <w:szCs w:val="24"/>
        </w:rPr>
        <w:t xml:space="preserve">chodovat v rámci flexibilního mechanismu </w:t>
      </w:r>
      <w:r w:rsidR="003420CB" w:rsidRPr="00E76F52">
        <w:rPr>
          <w:rFonts w:ascii="Calibri" w:hAnsi="Calibri" w:cs="Calibri"/>
          <w:sz w:val="24"/>
          <w:szCs w:val="24"/>
        </w:rPr>
        <w:t>m</w:t>
      </w:r>
      <w:r w:rsidR="00F95262" w:rsidRPr="00E76F52">
        <w:rPr>
          <w:rFonts w:ascii="Calibri" w:hAnsi="Calibri" w:cs="Calibri"/>
          <w:sz w:val="24"/>
          <w:szCs w:val="24"/>
        </w:rPr>
        <w:t>ezinárodní</w:t>
      </w:r>
      <w:r w:rsidR="003420CB" w:rsidRPr="00E76F52">
        <w:rPr>
          <w:rFonts w:ascii="Calibri" w:hAnsi="Calibri" w:cs="Calibri"/>
          <w:sz w:val="24"/>
          <w:szCs w:val="24"/>
        </w:rPr>
        <w:t>ho</w:t>
      </w:r>
      <w:r w:rsidR="00F95262" w:rsidRPr="00E76F52">
        <w:rPr>
          <w:rFonts w:ascii="Calibri" w:hAnsi="Calibri" w:cs="Calibri"/>
          <w:sz w:val="24"/>
          <w:szCs w:val="24"/>
        </w:rPr>
        <w:t xml:space="preserve"> emisní</w:t>
      </w:r>
      <w:r w:rsidR="003420CB" w:rsidRPr="00E76F52">
        <w:rPr>
          <w:rFonts w:ascii="Calibri" w:hAnsi="Calibri" w:cs="Calibri"/>
          <w:sz w:val="24"/>
          <w:szCs w:val="24"/>
        </w:rPr>
        <w:t>ho</w:t>
      </w:r>
      <w:r w:rsidR="00F95262" w:rsidRPr="00E76F52">
        <w:rPr>
          <w:rFonts w:ascii="Calibri" w:hAnsi="Calibri" w:cs="Calibri"/>
          <w:sz w:val="24"/>
          <w:szCs w:val="24"/>
        </w:rPr>
        <w:t xml:space="preserve"> obchodování (</w:t>
      </w:r>
      <w:r w:rsidR="00F95262" w:rsidRPr="00D7194E">
        <w:rPr>
          <w:rFonts w:ascii="Calibri" w:hAnsi="Calibri" w:cs="Calibri"/>
          <w:i/>
          <w:sz w:val="24"/>
          <w:szCs w:val="24"/>
        </w:rPr>
        <w:t xml:space="preserve">International </w:t>
      </w:r>
      <w:proofErr w:type="spellStart"/>
      <w:r w:rsidR="00F95262" w:rsidRPr="00D7194E">
        <w:rPr>
          <w:rFonts w:ascii="Calibri" w:hAnsi="Calibri" w:cs="Calibri"/>
          <w:i/>
          <w:sz w:val="24"/>
          <w:szCs w:val="24"/>
        </w:rPr>
        <w:t>Emission</w:t>
      </w:r>
      <w:proofErr w:type="spellEnd"/>
      <w:r w:rsidR="00F95262" w:rsidRPr="00D7194E">
        <w:rPr>
          <w:rFonts w:ascii="Calibri" w:hAnsi="Calibri" w:cs="Calibri"/>
          <w:i/>
          <w:sz w:val="24"/>
          <w:szCs w:val="24"/>
        </w:rPr>
        <w:t xml:space="preserve"> </w:t>
      </w:r>
      <w:proofErr w:type="spellStart"/>
      <w:r w:rsidR="00F95262" w:rsidRPr="00D7194E">
        <w:rPr>
          <w:rFonts w:ascii="Calibri" w:hAnsi="Calibri" w:cs="Calibri"/>
          <w:i/>
          <w:sz w:val="24"/>
          <w:szCs w:val="24"/>
        </w:rPr>
        <w:t>Trading</w:t>
      </w:r>
      <w:proofErr w:type="spellEnd"/>
      <w:r w:rsidR="00F95262" w:rsidRPr="00E76F52">
        <w:rPr>
          <w:rFonts w:ascii="Calibri" w:hAnsi="Calibri" w:cs="Calibri"/>
          <w:sz w:val="24"/>
          <w:szCs w:val="24"/>
        </w:rPr>
        <w:t xml:space="preserve"> </w:t>
      </w:r>
      <w:r w:rsidR="00C87F11" w:rsidRPr="00E76F52">
        <w:rPr>
          <w:rFonts w:ascii="Calibri" w:hAnsi="Calibri" w:cs="Calibri"/>
          <w:sz w:val="24"/>
          <w:szCs w:val="24"/>
        </w:rPr>
        <w:t>– dále jen „</w:t>
      </w:r>
      <w:r w:rsidR="00F95262" w:rsidRPr="00E76F52">
        <w:rPr>
          <w:rFonts w:ascii="Calibri" w:hAnsi="Calibri" w:cs="Calibri"/>
          <w:sz w:val="24"/>
          <w:szCs w:val="24"/>
        </w:rPr>
        <w:t>IET</w:t>
      </w:r>
      <w:r w:rsidR="00C87F11" w:rsidRPr="00E76F52">
        <w:rPr>
          <w:rFonts w:ascii="Calibri" w:hAnsi="Calibri" w:cs="Calibri"/>
          <w:sz w:val="24"/>
          <w:szCs w:val="24"/>
        </w:rPr>
        <w:t>“</w:t>
      </w:r>
      <w:r w:rsidR="00F95262" w:rsidRPr="00E76F52">
        <w:rPr>
          <w:rFonts w:ascii="Calibri" w:hAnsi="Calibri" w:cs="Calibri"/>
          <w:sz w:val="24"/>
          <w:szCs w:val="24"/>
        </w:rPr>
        <w:t>)</w:t>
      </w:r>
      <w:r w:rsidR="00B23CD8" w:rsidRPr="00E76F52">
        <w:rPr>
          <w:rFonts w:ascii="Calibri" w:hAnsi="Calibri" w:cs="Calibri"/>
          <w:sz w:val="24"/>
          <w:szCs w:val="24"/>
        </w:rPr>
        <w:t>.</w:t>
      </w:r>
      <w:r w:rsidR="00A855F4">
        <w:rPr>
          <w:rFonts w:ascii="Calibri" w:hAnsi="Calibri" w:cs="Calibri"/>
          <w:sz w:val="24"/>
          <w:szCs w:val="24"/>
        </w:rPr>
        <w:t xml:space="preserve"> </w:t>
      </w:r>
      <w:r w:rsidR="003420CB" w:rsidRPr="00E76F52">
        <w:rPr>
          <w:rFonts w:ascii="Calibri" w:hAnsi="Calibri" w:cs="Calibri"/>
          <w:sz w:val="24"/>
          <w:szCs w:val="24"/>
        </w:rPr>
        <w:t>V</w:t>
      </w:r>
      <w:r w:rsidR="007405FC" w:rsidRPr="00E76F52">
        <w:rPr>
          <w:rFonts w:ascii="Calibri" w:hAnsi="Calibri" w:cs="Calibri"/>
          <w:sz w:val="24"/>
          <w:szCs w:val="24"/>
        </w:rPr>
        <w:t xml:space="preserve"> </w:t>
      </w:r>
      <w:r w:rsidR="003420CB" w:rsidRPr="00E76F52">
        <w:rPr>
          <w:rFonts w:ascii="Calibri" w:hAnsi="Calibri" w:cs="Calibri"/>
          <w:sz w:val="24"/>
          <w:szCs w:val="24"/>
        </w:rPr>
        <w:t xml:space="preserve">rámci Evropské unie </w:t>
      </w:r>
      <w:r w:rsidRPr="00E76F52">
        <w:rPr>
          <w:rFonts w:ascii="Calibri" w:hAnsi="Calibri" w:cs="Calibri"/>
          <w:sz w:val="24"/>
          <w:szCs w:val="24"/>
        </w:rPr>
        <w:t xml:space="preserve">je </w:t>
      </w:r>
      <w:r w:rsidR="00B23CD8" w:rsidRPr="00E76F52">
        <w:rPr>
          <w:rFonts w:ascii="Calibri" w:hAnsi="Calibri" w:cs="Calibri"/>
          <w:sz w:val="24"/>
          <w:szCs w:val="24"/>
        </w:rPr>
        <w:t xml:space="preserve">vytvořen evropský systém emisního obchodování </w:t>
      </w:r>
      <w:r w:rsidR="003420CB" w:rsidRPr="00E76F52">
        <w:rPr>
          <w:rFonts w:ascii="Calibri" w:hAnsi="Calibri" w:cs="Calibri"/>
          <w:sz w:val="24"/>
          <w:szCs w:val="24"/>
        </w:rPr>
        <w:t>(</w:t>
      </w:r>
      <w:proofErr w:type="spellStart"/>
      <w:r w:rsidR="00B23CD8" w:rsidRPr="00D7194E">
        <w:rPr>
          <w:rFonts w:ascii="Calibri" w:hAnsi="Calibri" w:cs="Calibri"/>
          <w:i/>
          <w:sz w:val="24"/>
          <w:szCs w:val="24"/>
        </w:rPr>
        <w:t>E</w:t>
      </w:r>
      <w:r w:rsidR="007C31F1" w:rsidRPr="00D7194E">
        <w:rPr>
          <w:rFonts w:ascii="Calibri" w:hAnsi="Calibri" w:cs="Calibri"/>
          <w:i/>
          <w:sz w:val="24"/>
          <w:szCs w:val="24"/>
        </w:rPr>
        <w:t>uropean</w:t>
      </w:r>
      <w:proofErr w:type="spellEnd"/>
      <w:r w:rsidR="007C31F1" w:rsidRPr="00D7194E">
        <w:rPr>
          <w:rFonts w:ascii="Calibri" w:hAnsi="Calibri" w:cs="Calibri"/>
          <w:i/>
          <w:sz w:val="24"/>
          <w:szCs w:val="24"/>
        </w:rPr>
        <w:t xml:space="preserve"> Union </w:t>
      </w:r>
      <w:proofErr w:type="spellStart"/>
      <w:r w:rsidR="007C31F1" w:rsidRPr="00D7194E">
        <w:rPr>
          <w:rFonts w:ascii="Calibri" w:hAnsi="Calibri" w:cs="Calibri"/>
          <w:i/>
          <w:sz w:val="24"/>
          <w:szCs w:val="24"/>
        </w:rPr>
        <w:t>Emission</w:t>
      </w:r>
      <w:proofErr w:type="spellEnd"/>
      <w:r w:rsidR="007C31F1" w:rsidRPr="00D7194E">
        <w:rPr>
          <w:rFonts w:ascii="Calibri" w:hAnsi="Calibri" w:cs="Calibri"/>
          <w:i/>
          <w:sz w:val="24"/>
          <w:szCs w:val="24"/>
        </w:rPr>
        <w:t xml:space="preserve"> </w:t>
      </w:r>
      <w:proofErr w:type="spellStart"/>
      <w:r w:rsidR="007C31F1" w:rsidRPr="00D7194E">
        <w:rPr>
          <w:rFonts w:ascii="Calibri" w:hAnsi="Calibri" w:cs="Calibri"/>
          <w:i/>
          <w:sz w:val="24"/>
          <w:szCs w:val="24"/>
        </w:rPr>
        <w:t>Trading</w:t>
      </w:r>
      <w:proofErr w:type="spellEnd"/>
      <w:r w:rsidR="007C31F1" w:rsidRPr="00D7194E">
        <w:rPr>
          <w:rFonts w:ascii="Calibri" w:hAnsi="Calibri" w:cs="Calibri"/>
          <w:i/>
          <w:sz w:val="24"/>
          <w:szCs w:val="24"/>
        </w:rPr>
        <w:t xml:space="preserve"> </w:t>
      </w:r>
      <w:proofErr w:type="spellStart"/>
      <w:r w:rsidR="007C31F1" w:rsidRPr="00D7194E">
        <w:rPr>
          <w:rFonts w:ascii="Calibri" w:hAnsi="Calibri" w:cs="Calibri"/>
          <w:i/>
          <w:sz w:val="24"/>
          <w:szCs w:val="24"/>
        </w:rPr>
        <w:t>Scheme</w:t>
      </w:r>
      <w:proofErr w:type="spellEnd"/>
      <w:r w:rsidR="00174CD6">
        <w:rPr>
          <w:rFonts w:ascii="Calibri" w:hAnsi="Calibri" w:cs="Calibri"/>
          <w:sz w:val="24"/>
          <w:szCs w:val="24"/>
        </w:rPr>
        <w:t> </w:t>
      </w:r>
      <w:r w:rsidR="008C7D9B" w:rsidRPr="00E76F52">
        <w:rPr>
          <w:rFonts w:ascii="Calibri" w:hAnsi="Calibri" w:cs="Calibri"/>
          <w:sz w:val="24"/>
          <w:szCs w:val="24"/>
        </w:rPr>
        <w:t>–</w:t>
      </w:r>
      <w:r w:rsidR="003420CB" w:rsidRPr="00E76F52">
        <w:rPr>
          <w:rFonts w:ascii="Calibri" w:hAnsi="Calibri" w:cs="Calibri"/>
          <w:sz w:val="24"/>
          <w:szCs w:val="24"/>
        </w:rPr>
        <w:t xml:space="preserve"> d</w:t>
      </w:r>
      <w:r w:rsidR="007C31F1" w:rsidRPr="00E76F52">
        <w:rPr>
          <w:rFonts w:ascii="Calibri" w:hAnsi="Calibri" w:cs="Calibri"/>
          <w:sz w:val="24"/>
          <w:szCs w:val="24"/>
        </w:rPr>
        <w:t>ále jen „EU ETS</w:t>
      </w:r>
      <w:r w:rsidRPr="00E76F52">
        <w:rPr>
          <w:rFonts w:ascii="Calibri" w:hAnsi="Calibri" w:cs="Calibri"/>
          <w:sz w:val="24"/>
          <w:szCs w:val="24"/>
        </w:rPr>
        <w:t>“)</w:t>
      </w:r>
      <w:r w:rsidR="00A855F4">
        <w:rPr>
          <w:rFonts w:ascii="Calibri" w:hAnsi="Calibri" w:cs="Calibri"/>
          <w:sz w:val="24"/>
          <w:szCs w:val="24"/>
        </w:rPr>
        <w:t>,</w:t>
      </w:r>
      <w:r w:rsidRPr="00E76F52">
        <w:rPr>
          <w:rFonts w:ascii="Calibri" w:hAnsi="Calibri" w:cs="Calibri"/>
          <w:sz w:val="24"/>
          <w:szCs w:val="24"/>
        </w:rPr>
        <w:t xml:space="preserve"> a to pro obchodování s</w:t>
      </w:r>
      <w:r w:rsidR="007405FC" w:rsidRPr="00E76F52">
        <w:rPr>
          <w:rFonts w:ascii="Calibri" w:hAnsi="Calibri" w:cs="Calibri"/>
          <w:sz w:val="24"/>
          <w:szCs w:val="24"/>
        </w:rPr>
        <w:t xml:space="preserve"> </w:t>
      </w:r>
      <w:r w:rsidRPr="00E76F52">
        <w:rPr>
          <w:rFonts w:ascii="Calibri" w:hAnsi="Calibri" w:cs="Calibri"/>
          <w:sz w:val="24"/>
          <w:szCs w:val="24"/>
        </w:rPr>
        <w:t xml:space="preserve">nástroji, které </w:t>
      </w:r>
      <w:r w:rsidR="003D72CE">
        <w:rPr>
          <w:rFonts w:ascii="Calibri" w:hAnsi="Calibri" w:cs="Calibri"/>
          <w:sz w:val="24"/>
          <w:szCs w:val="24"/>
        </w:rPr>
        <w:t xml:space="preserve">EU </w:t>
      </w:r>
      <w:r w:rsidR="003D72CE" w:rsidRPr="00E76F52">
        <w:rPr>
          <w:rFonts w:ascii="Calibri" w:hAnsi="Calibri" w:cs="Calibri"/>
          <w:sz w:val="24"/>
          <w:szCs w:val="24"/>
        </w:rPr>
        <w:t xml:space="preserve">vytvořila </w:t>
      </w:r>
      <w:r w:rsidRPr="00E76F52">
        <w:rPr>
          <w:rFonts w:ascii="Calibri" w:hAnsi="Calibri" w:cs="Calibri"/>
          <w:sz w:val="24"/>
          <w:szCs w:val="24"/>
        </w:rPr>
        <w:t>pro plnění společného závazku svých členských zemí.</w:t>
      </w:r>
    </w:p>
    <w:p w:rsidR="005416A5" w:rsidRPr="00E76F52" w:rsidRDefault="005416A5" w:rsidP="00E76F52">
      <w:pPr>
        <w:spacing w:after="0" w:line="240" w:lineRule="auto"/>
        <w:jc w:val="both"/>
        <w:rPr>
          <w:rFonts w:ascii="Calibri" w:hAnsi="Calibri" w:cs="Calibri"/>
          <w:sz w:val="24"/>
          <w:szCs w:val="24"/>
        </w:rPr>
      </w:pPr>
    </w:p>
    <w:p w:rsidR="00555DAE" w:rsidRPr="00E76F52" w:rsidRDefault="007C31F1" w:rsidP="00E76F52">
      <w:pPr>
        <w:spacing w:after="0" w:line="240" w:lineRule="auto"/>
        <w:jc w:val="both"/>
        <w:rPr>
          <w:rFonts w:ascii="Calibri" w:hAnsi="Calibri" w:cs="Calibri"/>
          <w:sz w:val="24"/>
          <w:szCs w:val="24"/>
        </w:rPr>
      </w:pPr>
      <w:r w:rsidRPr="00E76F52">
        <w:rPr>
          <w:rFonts w:ascii="Calibri" w:hAnsi="Calibri" w:cs="Calibri"/>
          <w:sz w:val="24"/>
          <w:szCs w:val="24"/>
        </w:rPr>
        <w:t xml:space="preserve">Podoba a pravidla EU ETS jsou stanoveny </w:t>
      </w:r>
      <w:r w:rsidR="00A855F4">
        <w:rPr>
          <w:rFonts w:ascii="Calibri" w:hAnsi="Calibri" w:cs="Calibri"/>
          <w:sz w:val="24"/>
          <w:szCs w:val="24"/>
        </w:rPr>
        <w:t>n</w:t>
      </w:r>
      <w:r w:rsidRPr="00E76F52">
        <w:rPr>
          <w:rFonts w:ascii="Calibri" w:hAnsi="Calibri" w:cs="Calibri"/>
          <w:sz w:val="24"/>
          <w:szCs w:val="24"/>
        </w:rPr>
        <w:t>ařízením Komise (EU) č. 1031/2010</w:t>
      </w:r>
      <w:r w:rsidR="00805941" w:rsidRPr="00E76F52">
        <w:rPr>
          <w:rStyle w:val="Znakapoznpodarou"/>
          <w:rFonts w:ascii="Calibri" w:hAnsi="Calibri" w:cs="Calibri"/>
          <w:sz w:val="24"/>
          <w:szCs w:val="24"/>
        </w:rPr>
        <w:footnoteReference w:id="28"/>
      </w:r>
      <w:r w:rsidRPr="00E76F52">
        <w:rPr>
          <w:rFonts w:ascii="Calibri" w:hAnsi="Calibri" w:cs="Calibri"/>
          <w:sz w:val="24"/>
          <w:szCs w:val="24"/>
        </w:rPr>
        <w:t xml:space="preserve"> a </w:t>
      </w:r>
      <w:r w:rsidR="00A855F4">
        <w:rPr>
          <w:rFonts w:ascii="Calibri" w:hAnsi="Calibri" w:cs="Calibri"/>
          <w:sz w:val="24"/>
          <w:szCs w:val="24"/>
        </w:rPr>
        <w:t>s</w:t>
      </w:r>
      <w:r w:rsidRPr="00E76F52">
        <w:rPr>
          <w:rFonts w:ascii="Calibri" w:hAnsi="Calibri" w:cs="Calibri"/>
          <w:sz w:val="24"/>
          <w:szCs w:val="24"/>
        </w:rPr>
        <w:t>měrnicí 2003/87/ES</w:t>
      </w:r>
      <w:r w:rsidR="00B23CD8" w:rsidRPr="00E76F52">
        <w:rPr>
          <w:rStyle w:val="Znakapoznpodarou"/>
          <w:rFonts w:ascii="Calibri" w:hAnsi="Calibri" w:cs="Calibri"/>
          <w:sz w:val="24"/>
          <w:szCs w:val="24"/>
        </w:rPr>
        <w:footnoteReference w:id="29"/>
      </w:r>
      <w:r w:rsidRPr="00E76F52">
        <w:rPr>
          <w:rFonts w:ascii="Calibri" w:hAnsi="Calibri" w:cs="Calibri"/>
          <w:sz w:val="24"/>
          <w:szCs w:val="24"/>
        </w:rPr>
        <w:t>.</w:t>
      </w:r>
      <w:r w:rsidR="00B23CD8" w:rsidRPr="00E76F52">
        <w:rPr>
          <w:rFonts w:ascii="Calibri" w:hAnsi="Calibri" w:cs="Calibri"/>
          <w:sz w:val="24"/>
          <w:szCs w:val="24"/>
        </w:rPr>
        <w:t xml:space="preserve"> V</w:t>
      </w:r>
      <w:r w:rsidR="007405FC" w:rsidRPr="00E76F52">
        <w:rPr>
          <w:rFonts w:ascii="Calibri" w:hAnsi="Calibri" w:cs="Calibri"/>
          <w:sz w:val="24"/>
          <w:szCs w:val="24"/>
        </w:rPr>
        <w:t xml:space="preserve"> </w:t>
      </w:r>
      <w:r w:rsidR="00B23CD8" w:rsidRPr="00E76F52">
        <w:rPr>
          <w:rFonts w:ascii="Calibri" w:hAnsi="Calibri" w:cs="Calibri"/>
          <w:sz w:val="24"/>
          <w:szCs w:val="24"/>
        </w:rPr>
        <w:t>rámci tohoto systému jsou povolenky</w:t>
      </w:r>
      <w:r w:rsidR="00837C4D" w:rsidRPr="00E76F52">
        <w:rPr>
          <w:rFonts w:ascii="Calibri" w:hAnsi="Calibri" w:cs="Calibri"/>
          <w:sz w:val="24"/>
          <w:szCs w:val="24"/>
        </w:rPr>
        <w:t xml:space="preserve"> na emise</w:t>
      </w:r>
      <w:r w:rsidR="00B23CD8" w:rsidRPr="00E76F52">
        <w:rPr>
          <w:rFonts w:ascii="Calibri" w:hAnsi="Calibri" w:cs="Calibri"/>
          <w:sz w:val="24"/>
          <w:szCs w:val="24"/>
        </w:rPr>
        <w:t xml:space="preserve"> přidělovány bezplatně</w:t>
      </w:r>
      <w:r w:rsidR="00A855F4">
        <w:rPr>
          <w:rFonts w:ascii="Calibri" w:hAnsi="Calibri" w:cs="Calibri"/>
          <w:sz w:val="24"/>
          <w:szCs w:val="24"/>
        </w:rPr>
        <w:t>,</w:t>
      </w:r>
      <w:r w:rsidR="00B23CD8" w:rsidRPr="00E76F52">
        <w:rPr>
          <w:rFonts w:ascii="Calibri" w:hAnsi="Calibri" w:cs="Calibri"/>
          <w:sz w:val="24"/>
          <w:szCs w:val="24"/>
        </w:rPr>
        <w:t xml:space="preserve"> nebo jsou určeny k</w:t>
      </w:r>
      <w:r w:rsidR="007405FC" w:rsidRPr="00E76F52">
        <w:rPr>
          <w:rFonts w:ascii="Calibri" w:hAnsi="Calibri" w:cs="Calibri"/>
          <w:sz w:val="24"/>
          <w:szCs w:val="24"/>
        </w:rPr>
        <w:t xml:space="preserve"> </w:t>
      </w:r>
      <w:r w:rsidR="00B23CD8" w:rsidRPr="00E76F52">
        <w:rPr>
          <w:rFonts w:ascii="Calibri" w:hAnsi="Calibri" w:cs="Calibri"/>
          <w:sz w:val="24"/>
          <w:szCs w:val="24"/>
        </w:rPr>
        <w:t>dražbě.</w:t>
      </w:r>
      <w:r w:rsidRPr="00E76F52">
        <w:rPr>
          <w:rFonts w:ascii="Calibri" w:hAnsi="Calibri" w:cs="Calibri"/>
          <w:sz w:val="24"/>
          <w:szCs w:val="24"/>
        </w:rPr>
        <w:t xml:space="preserve"> Novel</w:t>
      </w:r>
      <w:r w:rsidR="00A855F4">
        <w:rPr>
          <w:rFonts w:ascii="Calibri" w:hAnsi="Calibri" w:cs="Calibri"/>
          <w:sz w:val="24"/>
          <w:szCs w:val="24"/>
        </w:rPr>
        <w:t>a</w:t>
      </w:r>
      <w:r w:rsidRPr="00E76F52">
        <w:rPr>
          <w:rStyle w:val="Znakapoznpodarou"/>
          <w:rFonts w:ascii="Calibri" w:hAnsi="Calibri" w:cs="Calibri"/>
          <w:sz w:val="24"/>
          <w:szCs w:val="24"/>
        </w:rPr>
        <w:footnoteReference w:id="30"/>
      </w:r>
      <w:r w:rsidRPr="00E76F52">
        <w:rPr>
          <w:rFonts w:ascii="Calibri" w:hAnsi="Calibri" w:cs="Calibri"/>
          <w:sz w:val="24"/>
          <w:szCs w:val="24"/>
        </w:rPr>
        <w:t xml:space="preserve"> této směrnice</w:t>
      </w:r>
      <w:r w:rsidR="00B23CD8" w:rsidRPr="00E76F52">
        <w:rPr>
          <w:rFonts w:ascii="Calibri" w:hAnsi="Calibri" w:cs="Calibri"/>
          <w:sz w:val="24"/>
          <w:szCs w:val="24"/>
        </w:rPr>
        <w:t xml:space="preserve"> p</w:t>
      </w:r>
      <w:r w:rsidRPr="00E76F52">
        <w:rPr>
          <w:rFonts w:ascii="Calibri" w:hAnsi="Calibri" w:cs="Calibri"/>
          <w:sz w:val="24"/>
          <w:szCs w:val="24"/>
        </w:rPr>
        <w:t xml:space="preserve">řinesla pro třetí obchodovací období </w:t>
      </w:r>
      <w:r w:rsidR="001645A0">
        <w:rPr>
          <w:rFonts w:ascii="Calibri" w:hAnsi="Calibri" w:cs="Calibri"/>
          <w:sz w:val="24"/>
          <w:szCs w:val="24"/>
        </w:rPr>
        <w:t>(roky</w:t>
      </w:r>
      <w:r w:rsidRPr="00E76F52">
        <w:rPr>
          <w:rFonts w:ascii="Calibri" w:hAnsi="Calibri" w:cs="Calibri"/>
          <w:sz w:val="24"/>
          <w:szCs w:val="24"/>
        </w:rPr>
        <w:t xml:space="preserve"> 2013</w:t>
      </w:r>
      <w:r w:rsidR="007405FC" w:rsidRPr="00E76F52">
        <w:rPr>
          <w:rFonts w:ascii="Calibri" w:hAnsi="Calibri" w:cs="Calibri"/>
          <w:sz w:val="24"/>
          <w:szCs w:val="24"/>
        </w:rPr>
        <w:t>–</w:t>
      </w:r>
      <w:r w:rsidRPr="00E76F52">
        <w:rPr>
          <w:rFonts w:ascii="Calibri" w:hAnsi="Calibri" w:cs="Calibri"/>
          <w:sz w:val="24"/>
          <w:szCs w:val="24"/>
        </w:rPr>
        <w:t>2020</w:t>
      </w:r>
      <w:r w:rsidR="001645A0">
        <w:rPr>
          <w:rFonts w:ascii="Calibri" w:hAnsi="Calibri" w:cs="Calibri"/>
          <w:sz w:val="24"/>
          <w:szCs w:val="24"/>
        </w:rPr>
        <w:t>)</w:t>
      </w:r>
      <w:r w:rsidRPr="00E76F52">
        <w:rPr>
          <w:rFonts w:ascii="Calibri" w:hAnsi="Calibri" w:cs="Calibri"/>
          <w:sz w:val="24"/>
          <w:szCs w:val="24"/>
        </w:rPr>
        <w:t xml:space="preserve"> řadu změn</w:t>
      </w:r>
      <w:r w:rsidRPr="00E76F52">
        <w:rPr>
          <w:rStyle w:val="Znakapoznpodarou"/>
          <w:rFonts w:ascii="Calibri" w:hAnsi="Calibri" w:cs="Calibri"/>
          <w:sz w:val="24"/>
          <w:szCs w:val="24"/>
        </w:rPr>
        <w:footnoteReference w:id="31"/>
      </w:r>
      <w:r w:rsidR="00DC485D" w:rsidRPr="00E76F52">
        <w:rPr>
          <w:rFonts w:ascii="Calibri" w:hAnsi="Calibri" w:cs="Calibri"/>
          <w:sz w:val="24"/>
          <w:szCs w:val="24"/>
        </w:rPr>
        <w:t xml:space="preserve">. </w:t>
      </w:r>
      <w:r w:rsidRPr="00E76F52">
        <w:rPr>
          <w:rFonts w:ascii="Calibri" w:hAnsi="Calibri" w:cs="Calibri"/>
          <w:sz w:val="24"/>
          <w:szCs w:val="24"/>
        </w:rPr>
        <w:t xml:space="preserve">Všechny povolenky, které nejsou </w:t>
      </w:r>
      <w:r w:rsidR="00E35F42" w:rsidRPr="00E76F52">
        <w:rPr>
          <w:rFonts w:ascii="Calibri" w:hAnsi="Calibri" w:cs="Calibri"/>
          <w:sz w:val="24"/>
          <w:szCs w:val="24"/>
        </w:rPr>
        <w:t>bezplatn</w:t>
      </w:r>
      <w:r w:rsidR="005F754E" w:rsidRPr="00E76F52">
        <w:rPr>
          <w:rFonts w:ascii="Calibri" w:hAnsi="Calibri" w:cs="Calibri"/>
          <w:sz w:val="24"/>
          <w:szCs w:val="24"/>
        </w:rPr>
        <w:t>ě</w:t>
      </w:r>
      <w:r w:rsidR="00E35F42" w:rsidRPr="00E76F52">
        <w:rPr>
          <w:rFonts w:ascii="Calibri" w:hAnsi="Calibri" w:cs="Calibri"/>
          <w:sz w:val="24"/>
          <w:szCs w:val="24"/>
        </w:rPr>
        <w:t xml:space="preserve"> přidělen</w:t>
      </w:r>
      <w:r w:rsidR="005F754E" w:rsidRPr="00E76F52">
        <w:rPr>
          <w:rFonts w:ascii="Calibri" w:hAnsi="Calibri" w:cs="Calibri"/>
          <w:sz w:val="24"/>
          <w:szCs w:val="24"/>
        </w:rPr>
        <w:t>y</w:t>
      </w:r>
      <w:r w:rsidRPr="00E76F52">
        <w:rPr>
          <w:rFonts w:ascii="Calibri" w:hAnsi="Calibri" w:cs="Calibri"/>
          <w:sz w:val="24"/>
          <w:szCs w:val="24"/>
        </w:rPr>
        <w:t xml:space="preserve"> v</w:t>
      </w:r>
      <w:r w:rsidR="007405FC" w:rsidRPr="00E76F52">
        <w:rPr>
          <w:rFonts w:ascii="Calibri" w:hAnsi="Calibri" w:cs="Calibri"/>
          <w:sz w:val="24"/>
          <w:szCs w:val="24"/>
        </w:rPr>
        <w:t xml:space="preserve"> </w:t>
      </w:r>
      <w:r w:rsidRPr="00E76F52">
        <w:rPr>
          <w:rFonts w:ascii="Calibri" w:hAnsi="Calibri" w:cs="Calibri"/>
          <w:sz w:val="24"/>
          <w:szCs w:val="24"/>
        </w:rPr>
        <w:t>souladu s</w:t>
      </w:r>
      <w:r w:rsidR="00D7194E">
        <w:rPr>
          <w:rFonts w:ascii="Calibri" w:hAnsi="Calibri" w:cs="Calibri"/>
          <w:sz w:val="24"/>
          <w:szCs w:val="24"/>
        </w:rPr>
        <w:t> </w:t>
      </w:r>
      <w:r w:rsidRPr="00E76F52">
        <w:rPr>
          <w:rFonts w:ascii="Calibri" w:hAnsi="Calibri" w:cs="Calibri"/>
          <w:sz w:val="24"/>
          <w:szCs w:val="24"/>
        </w:rPr>
        <w:t>články 10a a 10c směrnice 2003/87/ES, členské státy draží</w:t>
      </w:r>
      <w:r w:rsidR="00F97A3D" w:rsidRPr="00E76F52">
        <w:rPr>
          <w:rFonts w:ascii="Calibri" w:hAnsi="Calibri" w:cs="Calibri"/>
          <w:sz w:val="24"/>
          <w:szCs w:val="24"/>
        </w:rPr>
        <w:t>,</w:t>
      </w:r>
      <w:r w:rsidRPr="00E76F52">
        <w:rPr>
          <w:rFonts w:ascii="Calibri" w:hAnsi="Calibri" w:cs="Calibri"/>
          <w:sz w:val="24"/>
          <w:szCs w:val="24"/>
        </w:rPr>
        <w:t xml:space="preserve"> a to na základě</w:t>
      </w:r>
      <w:r w:rsidR="007405FC" w:rsidRPr="00E76F52">
        <w:rPr>
          <w:rFonts w:ascii="Calibri" w:hAnsi="Calibri" w:cs="Calibri"/>
          <w:sz w:val="24"/>
          <w:szCs w:val="24"/>
        </w:rPr>
        <w:t xml:space="preserve"> </w:t>
      </w:r>
      <w:r w:rsidRPr="00E76F52">
        <w:rPr>
          <w:rFonts w:ascii="Calibri" w:hAnsi="Calibri" w:cs="Calibri"/>
          <w:sz w:val="24"/>
          <w:szCs w:val="24"/>
        </w:rPr>
        <w:t xml:space="preserve">ustanovení článku 10 po </w:t>
      </w:r>
      <w:r w:rsidR="00A855F4">
        <w:rPr>
          <w:rFonts w:ascii="Calibri" w:hAnsi="Calibri" w:cs="Calibri"/>
          <w:sz w:val="24"/>
          <w:szCs w:val="24"/>
        </w:rPr>
        <w:t>novelizaci</w:t>
      </w:r>
      <w:r w:rsidRPr="00E76F52">
        <w:rPr>
          <w:rFonts w:ascii="Calibri" w:hAnsi="Calibri" w:cs="Calibri"/>
          <w:sz w:val="24"/>
          <w:szCs w:val="24"/>
        </w:rPr>
        <w:t xml:space="preserve"> této směrnice.</w:t>
      </w:r>
    </w:p>
    <w:p w:rsidR="00E35F42" w:rsidRPr="005416A5" w:rsidRDefault="00E35F42" w:rsidP="00E76F52">
      <w:pPr>
        <w:spacing w:after="0" w:line="240" w:lineRule="auto"/>
        <w:jc w:val="both"/>
        <w:rPr>
          <w:rFonts w:ascii="Calibri" w:hAnsi="Calibri" w:cs="Calibri"/>
          <w:sz w:val="24"/>
          <w:szCs w:val="24"/>
        </w:rPr>
      </w:pPr>
    </w:p>
    <w:p w:rsidR="00133135" w:rsidRPr="005416A5" w:rsidRDefault="00FB6941" w:rsidP="00E76F52">
      <w:pPr>
        <w:spacing w:after="0" w:line="240" w:lineRule="auto"/>
        <w:jc w:val="both"/>
        <w:rPr>
          <w:rFonts w:ascii="Calibri" w:hAnsi="Calibri" w:cs="Calibri"/>
          <w:b/>
          <w:i/>
          <w:sz w:val="24"/>
          <w:szCs w:val="24"/>
        </w:rPr>
      </w:pPr>
      <w:r w:rsidRPr="005416A5">
        <w:rPr>
          <w:rFonts w:ascii="Calibri" w:hAnsi="Calibri" w:cs="Calibri"/>
          <w:b/>
          <w:i/>
          <w:sz w:val="24"/>
          <w:szCs w:val="24"/>
        </w:rPr>
        <w:t>P</w:t>
      </w:r>
      <w:r w:rsidR="00133135" w:rsidRPr="005416A5">
        <w:rPr>
          <w:rFonts w:ascii="Calibri" w:hAnsi="Calibri" w:cs="Calibri"/>
          <w:b/>
          <w:i/>
          <w:sz w:val="24"/>
          <w:szCs w:val="24"/>
        </w:rPr>
        <w:t>ovolenky určené k</w:t>
      </w:r>
      <w:r w:rsidR="007405FC" w:rsidRPr="005416A5">
        <w:rPr>
          <w:rFonts w:ascii="Calibri" w:hAnsi="Calibri" w:cs="Calibri"/>
          <w:b/>
          <w:i/>
          <w:sz w:val="24"/>
          <w:szCs w:val="24"/>
        </w:rPr>
        <w:t xml:space="preserve"> </w:t>
      </w:r>
      <w:r w:rsidR="00CA5A82" w:rsidRPr="005416A5">
        <w:rPr>
          <w:rFonts w:ascii="Calibri" w:hAnsi="Calibri" w:cs="Calibri"/>
          <w:b/>
          <w:i/>
          <w:sz w:val="24"/>
          <w:szCs w:val="24"/>
        </w:rPr>
        <w:t>dražbě</w:t>
      </w:r>
      <w:r w:rsidR="00F6499B" w:rsidRPr="005416A5">
        <w:rPr>
          <w:rFonts w:ascii="Calibri" w:hAnsi="Calibri" w:cs="Calibri"/>
          <w:b/>
          <w:i/>
          <w:sz w:val="24"/>
          <w:szCs w:val="24"/>
        </w:rPr>
        <w:t xml:space="preserve"> </w:t>
      </w:r>
    </w:p>
    <w:p w:rsidR="005416A5" w:rsidRDefault="005416A5" w:rsidP="00E76F52">
      <w:pPr>
        <w:spacing w:after="0" w:line="240" w:lineRule="auto"/>
        <w:jc w:val="both"/>
        <w:rPr>
          <w:rFonts w:ascii="Calibri" w:hAnsi="Calibri" w:cs="Calibri"/>
          <w:sz w:val="24"/>
          <w:szCs w:val="24"/>
        </w:rPr>
      </w:pPr>
    </w:p>
    <w:p w:rsidR="008519AF" w:rsidRPr="00E76F52" w:rsidRDefault="00424D7E" w:rsidP="00E76F52">
      <w:pPr>
        <w:spacing w:after="0" w:line="240" w:lineRule="auto"/>
        <w:jc w:val="both"/>
        <w:rPr>
          <w:rFonts w:ascii="Calibri" w:hAnsi="Calibri" w:cs="Calibri"/>
          <w:sz w:val="24"/>
          <w:szCs w:val="24"/>
        </w:rPr>
      </w:pPr>
      <w:r w:rsidRPr="00E76F52">
        <w:rPr>
          <w:rFonts w:ascii="Calibri" w:hAnsi="Calibri" w:cs="Calibri"/>
          <w:sz w:val="24"/>
          <w:szCs w:val="24"/>
        </w:rPr>
        <w:t>Dražby jsou prováděny v</w:t>
      </w:r>
      <w:r w:rsidR="00207AC9" w:rsidRPr="00E76F52">
        <w:rPr>
          <w:rFonts w:ascii="Calibri" w:hAnsi="Calibri" w:cs="Calibri"/>
          <w:sz w:val="24"/>
          <w:szCs w:val="24"/>
        </w:rPr>
        <w:t xml:space="preserve"> souladu s pravidly stanove</w:t>
      </w:r>
      <w:r w:rsidR="00040122" w:rsidRPr="00E76F52">
        <w:rPr>
          <w:rFonts w:ascii="Calibri" w:hAnsi="Calibri" w:cs="Calibri"/>
          <w:sz w:val="24"/>
          <w:szCs w:val="24"/>
        </w:rPr>
        <w:t xml:space="preserve">nými nařízením Evropské komise </w:t>
      </w:r>
      <w:r w:rsidR="00207AC9" w:rsidRPr="00E76F52">
        <w:rPr>
          <w:rFonts w:ascii="Calibri" w:hAnsi="Calibri" w:cs="Calibri"/>
          <w:sz w:val="24"/>
          <w:szCs w:val="24"/>
        </w:rPr>
        <w:t>o</w:t>
      </w:r>
      <w:r w:rsidR="008C7D9B" w:rsidRPr="00E76F52">
        <w:rPr>
          <w:rFonts w:ascii="Calibri" w:hAnsi="Calibri" w:cs="Calibri"/>
          <w:sz w:val="24"/>
          <w:szCs w:val="24"/>
        </w:rPr>
        <w:t> </w:t>
      </w:r>
      <w:r w:rsidR="00207AC9" w:rsidRPr="00E76F52">
        <w:rPr>
          <w:rFonts w:ascii="Calibri" w:hAnsi="Calibri" w:cs="Calibri"/>
          <w:sz w:val="24"/>
          <w:szCs w:val="24"/>
        </w:rPr>
        <w:t>dražbách povolenek</w:t>
      </w:r>
      <w:r w:rsidR="00207AC9" w:rsidRPr="00E76F52">
        <w:rPr>
          <w:rStyle w:val="Znakapoznpodarou"/>
          <w:rFonts w:ascii="Calibri" w:hAnsi="Calibri" w:cs="Calibri"/>
          <w:sz w:val="24"/>
          <w:szCs w:val="24"/>
        </w:rPr>
        <w:footnoteReference w:id="32"/>
      </w:r>
      <w:r w:rsidR="00207AC9" w:rsidRPr="00E76F52">
        <w:rPr>
          <w:rFonts w:ascii="Calibri" w:hAnsi="Calibri" w:cs="Calibri"/>
          <w:sz w:val="24"/>
          <w:szCs w:val="24"/>
        </w:rPr>
        <w:t>.</w:t>
      </w:r>
      <w:r w:rsidR="0087759C" w:rsidRPr="00E76F52">
        <w:rPr>
          <w:rFonts w:ascii="Calibri" w:hAnsi="Calibri" w:cs="Calibri"/>
          <w:sz w:val="24"/>
          <w:szCs w:val="24"/>
        </w:rPr>
        <w:t xml:space="preserve"> </w:t>
      </w:r>
    </w:p>
    <w:p w:rsidR="005416A5" w:rsidRDefault="005416A5" w:rsidP="00E76F52">
      <w:pPr>
        <w:spacing w:after="0" w:line="240" w:lineRule="auto"/>
        <w:jc w:val="both"/>
        <w:rPr>
          <w:rFonts w:ascii="Calibri" w:hAnsi="Calibri" w:cs="Calibri"/>
          <w:bCs/>
          <w:sz w:val="24"/>
          <w:szCs w:val="24"/>
        </w:rPr>
      </w:pPr>
    </w:p>
    <w:p w:rsidR="00040122" w:rsidRDefault="00040122" w:rsidP="00E76F52">
      <w:pPr>
        <w:spacing w:after="0" w:line="240" w:lineRule="auto"/>
        <w:jc w:val="both"/>
        <w:rPr>
          <w:rFonts w:ascii="Calibri" w:hAnsi="Calibri" w:cs="Calibri"/>
          <w:bCs/>
          <w:sz w:val="24"/>
          <w:szCs w:val="24"/>
        </w:rPr>
      </w:pPr>
      <w:r w:rsidRPr="00E76F52">
        <w:rPr>
          <w:rFonts w:ascii="Calibri" w:hAnsi="Calibri" w:cs="Calibri"/>
          <w:bCs/>
          <w:sz w:val="24"/>
          <w:szCs w:val="24"/>
        </w:rPr>
        <w:t xml:space="preserve">Nařízení </w:t>
      </w:r>
      <w:r w:rsidR="00DD771E" w:rsidRPr="00E76F52">
        <w:rPr>
          <w:rFonts w:ascii="Calibri" w:hAnsi="Calibri" w:cs="Calibri"/>
          <w:bCs/>
          <w:sz w:val="24"/>
          <w:szCs w:val="24"/>
        </w:rPr>
        <w:t>Komise (EU) č.</w:t>
      </w:r>
      <w:r w:rsidRPr="00E76F52">
        <w:rPr>
          <w:rFonts w:ascii="Calibri" w:hAnsi="Calibri" w:cs="Calibri"/>
          <w:bCs/>
          <w:sz w:val="24"/>
          <w:szCs w:val="24"/>
        </w:rPr>
        <w:t xml:space="preserve"> 389/2013</w:t>
      </w:r>
      <w:r w:rsidRPr="00E76F52">
        <w:rPr>
          <w:rStyle w:val="Znakapoznpodarou"/>
          <w:rFonts w:ascii="Calibri" w:hAnsi="Calibri" w:cs="Calibri"/>
          <w:bCs/>
          <w:sz w:val="24"/>
          <w:szCs w:val="24"/>
        </w:rPr>
        <w:footnoteReference w:id="33"/>
      </w:r>
      <w:r w:rsidRPr="00E76F52">
        <w:rPr>
          <w:rFonts w:ascii="Calibri" w:hAnsi="Calibri" w:cs="Calibri"/>
          <w:bCs/>
          <w:sz w:val="24"/>
          <w:szCs w:val="24"/>
        </w:rPr>
        <w:t xml:space="preserve"> </w:t>
      </w:r>
      <w:r w:rsidR="00612FE8" w:rsidRPr="00E76F52">
        <w:rPr>
          <w:rFonts w:ascii="Calibri" w:hAnsi="Calibri" w:cs="Calibri"/>
          <w:bCs/>
          <w:sz w:val="24"/>
          <w:szCs w:val="24"/>
        </w:rPr>
        <w:t>stanoví postupy</w:t>
      </w:r>
      <w:r w:rsidR="004B6854" w:rsidRPr="00E76F52">
        <w:rPr>
          <w:rFonts w:ascii="Calibri" w:hAnsi="Calibri" w:cs="Calibri"/>
          <w:bCs/>
          <w:sz w:val="24"/>
          <w:szCs w:val="24"/>
        </w:rPr>
        <w:t xml:space="preserve"> pro převod</w:t>
      </w:r>
      <w:r w:rsidR="007B51D5">
        <w:rPr>
          <w:rFonts w:ascii="Calibri" w:hAnsi="Calibri" w:cs="Calibri"/>
          <w:bCs/>
          <w:sz w:val="24"/>
          <w:szCs w:val="24"/>
        </w:rPr>
        <w:t>y</w:t>
      </w:r>
      <w:r w:rsidR="004B6854" w:rsidRPr="00E76F52">
        <w:rPr>
          <w:rFonts w:ascii="Calibri" w:hAnsi="Calibri" w:cs="Calibri"/>
          <w:bCs/>
          <w:sz w:val="24"/>
          <w:szCs w:val="24"/>
        </w:rPr>
        <w:t xml:space="preserve"> všeobecných povolenek</w:t>
      </w:r>
      <w:r w:rsidR="007B51D5">
        <w:rPr>
          <w:rFonts w:ascii="Calibri" w:hAnsi="Calibri" w:cs="Calibri"/>
          <w:bCs/>
          <w:sz w:val="24"/>
          <w:szCs w:val="24"/>
        </w:rPr>
        <w:t xml:space="preserve"> určených k dražbě</w:t>
      </w:r>
      <w:r w:rsidR="00612FE8" w:rsidRPr="00E76F52">
        <w:rPr>
          <w:rFonts w:ascii="Calibri" w:hAnsi="Calibri" w:cs="Calibri"/>
          <w:bCs/>
          <w:sz w:val="24"/>
          <w:szCs w:val="24"/>
        </w:rPr>
        <w:t>.</w:t>
      </w:r>
      <w:r w:rsidRPr="00E76F52">
        <w:rPr>
          <w:rFonts w:ascii="Calibri" w:hAnsi="Calibri" w:cs="Calibri"/>
          <w:bCs/>
          <w:sz w:val="24"/>
          <w:szCs w:val="24"/>
        </w:rPr>
        <w:t xml:space="preserve"> </w:t>
      </w:r>
      <w:r w:rsidR="00612FE8" w:rsidRPr="00E76F52">
        <w:rPr>
          <w:rFonts w:ascii="Calibri" w:hAnsi="Calibri" w:cs="Calibri"/>
          <w:bCs/>
          <w:sz w:val="24"/>
          <w:szCs w:val="24"/>
        </w:rPr>
        <w:t>Ú</w:t>
      </w:r>
      <w:r w:rsidRPr="00E76F52">
        <w:rPr>
          <w:rFonts w:ascii="Calibri" w:hAnsi="Calibri" w:cs="Calibri"/>
          <w:bCs/>
          <w:sz w:val="24"/>
          <w:szCs w:val="24"/>
        </w:rPr>
        <w:t>střední správce jménem příslušného dražitele jmenovaného v souladu s</w:t>
      </w:r>
      <w:r w:rsidR="00D7194E">
        <w:rPr>
          <w:rFonts w:ascii="Calibri" w:hAnsi="Calibri" w:cs="Calibri"/>
          <w:bCs/>
          <w:sz w:val="24"/>
          <w:szCs w:val="24"/>
        </w:rPr>
        <w:t> </w:t>
      </w:r>
      <w:r w:rsidR="00A855F4">
        <w:rPr>
          <w:rFonts w:ascii="Calibri" w:hAnsi="Calibri" w:cs="Calibri"/>
          <w:bCs/>
          <w:sz w:val="24"/>
          <w:szCs w:val="24"/>
        </w:rPr>
        <w:t>n</w:t>
      </w:r>
      <w:r w:rsidRPr="00E76F52">
        <w:rPr>
          <w:rFonts w:ascii="Calibri" w:hAnsi="Calibri" w:cs="Calibri"/>
          <w:bCs/>
          <w:sz w:val="24"/>
          <w:szCs w:val="24"/>
        </w:rPr>
        <w:t>ařízením (EU) č. 1031/2010 včas převede všeobecné povolenky z</w:t>
      </w:r>
      <w:r w:rsidR="007405FC" w:rsidRPr="00E76F52">
        <w:rPr>
          <w:rFonts w:ascii="Calibri" w:hAnsi="Calibri" w:cs="Calibri"/>
          <w:bCs/>
          <w:sz w:val="24"/>
          <w:szCs w:val="24"/>
        </w:rPr>
        <w:t xml:space="preserve"> </w:t>
      </w:r>
      <w:r w:rsidRPr="00E76F52">
        <w:rPr>
          <w:rFonts w:ascii="Calibri" w:hAnsi="Calibri" w:cs="Calibri"/>
          <w:bCs/>
          <w:sz w:val="24"/>
          <w:szCs w:val="24"/>
        </w:rPr>
        <w:t>účtu EU pro celkové množství na dražební účet EU v</w:t>
      </w:r>
      <w:r w:rsidR="007B51D5">
        <w:rPr>
          <w:rFonts w:ascii="Calibri" w:hAnsi="Calibri" w:cs="Calibri"/>
          <w:bCs/>
          <w:sz w:val="24"/>
          <w:szCs w:val="24"/>
        </w:rPr>
        <w:t> takovém</w:t>
      </w:r>
      <w:r w:rsidR="007405FC" w:rsidRPr="00E76F52">
        <w:rPr>
          <w:rFonts w:ascii="Calibri" w:hAnsi="Calibri" w:cs="Calibri"/>
          <w:bCs/>
          <w:sz w:val="24"/>
          <w:szCs w:val="24"/>
        </w:rPr>
        <w:t xml:space="preserve"> </w:t>
      </w:r>
      <w:r w:rsidRPr="00E76F52">
        <w:rPr>
          <w:rFonts w:ascii="Calibri" w:hAnsi="Calibri" w:cs="Calibri"/>
          <w:bCs/>
          <w:sz w:val="24"/>
          <w:szCs w:val="24"/>
        </w:rPr>
        <w:t>množství, které odpovídá ročním objemům určeným podle článku 10 uvedeného nařízení. V</w:t>
      </w:r>
      <w:r w:rsidR="007405FC" w:rsidRPr="00E76F52">
        <w:rPr>
          <w:rFonts w:ascii="Calibri" w:hAnsi="Calibri" w:cs="Calibri"/>
          <w:bCs/>
          <w:sz w:val="24"/>
          <w:szCs w:val="24"/>
        </w:rPr>
        <w:t xml:space="preserve"> </w:t>
      </w:r>
      <w:r w:rsidRPr="00E76F52">
        <w:rPr>
          <w:rFonts w:ascii="Calibri" w:hAnsi="Calibri" w:cs="Calibri"/>
          <w:bCs/>
          <w:sz w:val="24"/>
          <w:szCs w:val="24"/>
        </w:rPr>
        <w:t>případě úprav ročních objemů v</w:t>
      </w:r>
      <w:r w:rsidR="007405FC" w:rsidRPr="00E76F52">
        <w:rPr>
          <w:rFonts w:ascii="Calibri" w:hAnsi="Calibri" w:cs="Calibri"/>
          <w:bCs/>
          <w:sz w:val="24"/>
          <w:szCs w:val="24"/>
        </w:rPr>
        <w:t xml:space="preserve"> </w:t>
      </w:r>
      <w:r w:rsidRPr="00E76F52">
        <w:rPr>
          <w:rFonts w:ascii="Calibri" w:hAnsi="Calibri" w:cs="Calibri"/>
          <w:bCs/>
          <w:sz w:val="24"/>
          <w:szCs w:val="24"/>
        </w:rPr>
        <w:t>souladu s</w:t>
      </w:r>
      <w:r w:rsidR="00D7194E">
        <w:rPr>
          <w:rFonts w:ascii="Calibri" w:hAnsi="Calibri" w:cs="Calibri"/>
          <w:bCs/>
          <w:sz w:val="24"/>
          <w:szCs w:val="24"/>
        </w:rPr>
        <w:t> </w:t>
      </w:r>
      <w:r w:rsidRPr="00E76F52">
        <w:rPr>
          <w:rFonts w:ascii="Calibri" w:hAnsi="Calibri" w:cs="Calibri"/>
          <w:bCs/>
          <w:sz w:val="24"/>
          <w:szCs w:val="24"/>
        </w:rPr>
        <w:t xml:space="preserve">článkem 14 </w:t>
      </w:r>
      <w:r w:rsidR="00A855F4">
        <w:rPr>
          <w:rFonts w:ascii="Calibri" w:hAnsi="Calibri" w:cs="Calibri"/>
          <w:bCs/>
          <w:sz w:val="24"/>
          <w:szCs w:val="24"/>
        </w:rPr>
        <w:t>n</w:t>
      </w:r>
      <w:r w:rsidRPr="00E76F52">
        <w:rPr>
          <w:rFonts w:ascii="Calibri" w:hAnsi="Calibri" w:cs="Calibri"/>
          <w:bCs/>
          <w:sz w:val="24"/>
          <w:szCs w:val="24"/>
        </w:rPr>
        <w:t>ařízení (EU) č. 1031/2010 převede ústřední správce odpovídající množství všeobecných povolenek z</w:t>
      </w:r>
      <w:r w:rsidR="007405FC" w:rsidRPr="00E76F52">
        <w:rPr>
          <w:rFonts w:ascii="Calibri" w:hAnsi="Calibri" w:cs="Calibri"/>
          <w:bCs/>
          <w:sz w:val="24"/>
          <w:szCs w:val="24"/>
        </w:rPr>
        <w:t xml:space="preserve"> </w:t>
      </w:r>
      <w:r w:rsidRPr="00E76F52">
        <w:rPr>
          <w:rFonts w:ascii="Calibri" w:hAnsi="Calibri" w:cs="Calibri"/>
          <w:bCs/>
          <w:sz w:val="24"/>
          <w:szCs w:val="24"/>
        </w:rPr>
        <w:t>účtu EU pro celkové množství na dražební účet EU</w:t>
      </w:r>
      <w:r w:rsidR="00A855F4">
        <w:rPr>
          <w:rFonts w:ascii="Calibri" w:hAnsi="Calibri" w:cs="Calibri"/>
          <w:bCs/>
          <w:sz w:val="24"/>
          <w:szCs w:val="24"/>
        </w:rPr>
        <w:t>,</w:t>
      </w:r>
      <w:r w:rsidRPr="00E76F52">
        <w:rPr>
          <w:rFonts w:ascii="Calibri" w:hAnsi="Calibri" w:cs="Calibri"/>
          <w:bCs/>
          <w:sz w:val="24"/>
          <w:szCs w:val="24"/>
        </w:rPr>
        <w:t xml:space="preserve"> popřípadě z</w:t>
      </w:r>
      <w:r w:rsidR="00A855F4">
        <w:rPr>
          <w:rFonts w:ascii="Calibri" w:hAnsi="Calibri" w:cs="Calibri"/>
          <w:bCs/>
          <w:sz w:val="24"/>
          <w:szCs w:val="24"/>
        </w:rPr>
        <w:t> </w:t>
      </w:r>
      <w:r w:rsidRPr="00E76F52">
        <w:rPr>
          <w:rFonts w:ascii="Calibri" w:hAnsi="Calibri" w:cs="Calibri"/>
          <w:bCs/>
          <w:sz w:val="24"/>
          <w:szCs w:val="24"/>
        </w:rPr>
        <w:t>dražebního účtu EU na účet EU pro celkové množství.</w:t>
      </w:r>
    </w:p>
    <w:p w:rsidR="005416A5" w:rsidRPr="00E76F52" w:rsidRDefault="005416A5" w:rsidP="00E76F52">
      <w:pPr>
        <w:spacing w:after="0" w:line="240" w:lineRule="auto"/>
        <w:jc w:val="both"/>
        <w:rPr>
          <w:rFonts w:ascii="Calibri" w:hAnsi="Calibri" w:cs="Calibri"/>
          <w:bCs/>
          <w:sz w:val="24"/>
          <w:szCs w:val="24"/>
        </w:rPr>
      </w:pPr>
    </w:p>
    <w:p w:rsidR="00E35F42" w:rsidRPr="00E76F52" w:rsidRDefault="008519AF" w:rsidP="00E76F52">
      <w:pPr>
        <w:spacing w:after="0" w:line="240" w:lineRule="auto"/>
        <w:jc w:val="both"/>
        <w:rPr>
          <w:rFonts w:ascii="Calibri" w:hAnsi="Calibri" w:cs="Calibri"/>
          <w:bCs/>
          <w:sz w:val="24"/>
          <w:szCs w:val="24"/>
        </w:rPr>
      </w:pPr>
      <w:r w:rsidRPr="00E76F52">
        <w:rPr>
          <w:rFonts w:ascii="Calibri" w:hAnsi="Calibri" w:cs="Calibri"/>
          <w:bCs/>
          <w:sz w:val="24"/>
          <w:szCs w:val="24"/>
        </w:rPr>
        <w:t xml:space="preserve">Dále </w:t>
      </w:r>
      <w:r w:rsidR="004B6854" w:rsidRPr="00E76F52">
        <w:rPr>
          <w:rFonts w:ascii="Calibri" w:hAnsi="Calibri" w:cs="Calibri"/>
          <w:bCs/>
          <w:sz w:val="24"/>
          <w:szCs w:val="24"/>
        </w:rPr>
        <w:t xml:space="preserve">toto nařízení stanoví, že </w:t>
      </w:r>
      <w:r w:rsidR="007B51D5">
        <w:rPr>
          <w:rFonts w:ascii="Calibri" w:hAnsi="Calibri" w:cs="Calibri"/>
          <w:bCs/>
          <w:sz w:val="24"/>
          <w:szCs w:val="24"/>
        </w:rPr>
        <w:t>Evropská k</w:t>
      </w:r>
      <w:r w:rsidR="004B6854" w:rsidRPr="00E76F52">
        <w:rPr>
          <w:rFonts w:ascii="Calibri" w:hAnsi="Calibri" w:cs="Calibri"/>
          <w:bCs/>
          <w:sz w:val="24"/>
          <w:szCs w:val="24"/>
        </w:rPr>
        <w:t>omise vydá ústřednímu správci pokyn, aby na žádost příslušného dražitele včas převedl tyto povolenky z</w:t>
      </w:r>
      <w:r w:rsidR="007405FC" w:rsidRPr="00E76F52">
        <w:rPr>
          <w:rFonts w:ascii="Calibri" w:hAnsi="Calibri" w:cs="Calibri"/>
          <w:bCs/>
          <w:sz w:val="24"/>
          <w:szCs w:val="24"/>
        </w:rPr>
        <w:t xml:space="preserve"> </w:t>
      </w:r>
      <w:r w:rsidR="004B6854" w:rsidRPr="00E76F52">
        <w:rPr>
          <w:rFonts w:ascii="Calibri" w:hAnsi="Calibri" w:cs="Calibri"/>
          <w:bCs/>
          <w:sz w:val="24"/>
          <w:szCs w:val="24"/>
        </w:rPr>
        <w:t>dražebního účtu EU na příslušný dražební účet pro dodání</w:t>
      </w:r>
      <w:r w:rsidR="00EF7144" w:rsidRPr="00E76F52">
        <w:rPr>
          <w:rFonts w:ascii="Calibri" w:hAnsi="Calibri" w:cs="Calibri"/>
          <w:bCs/>
          <w:sz w:val="24"/>
          <w:szCs w:val="24"/>
        </w:rPr>
        <w:t xml:space="preserve"> v</w:t>
      </w:r>
      <w:r w:rsidR="007405FC" w:rsidRPr="00E76F52">
        <w:rPr>
          <w:rFonts w:ascii="Calibri" w:hAnsi="Calibri" w:cs="Calibri"/>
          <w:bCs/>
          <w:sz w:val="24"/>
          <w:szCs w:val="24"/>
        </w:rPr>
        <w:t xml:space="preserve"> </w:t>
      </w:r>
      <w:r w:rsidR="00EF7144" w:rsidRPr="00E76F52">
        <w:rPr>
          <w:rFonts w:ascii="Calibri" w:hAnsi="Calibri" w:cs="Calibri"/>
          <w:bCs/>
          <w:sz w:val="24"/>
          <w:szCs w:val="24"/>
        </w:rPr>
        <w:t>souladu s</w:t>
      </w:r>
      <w:r w:rsidR="007405FC" w:rsidRPr="00E76F52">
        <w:rPr>
          <w:rFonts w:ascii="Calibri" w:hAnsi="Calibri" w:cs="Calibri"/>
          <w:bCs/>
          <w:sz w:val="24"/>
          <w:szCs w:val="24"/>
        </w:rPr>
        <w:t xml:space="preserve"> </w:t>
      </w:r>
      <w:r w:rsidR="00EF7144" w:rsidRPr="00E76F52">
        <w:rPr>
          <w:rFonts w:ascii="Calibri" w:hAnsi="Calibri" w:cs="Calibri"/>
          <w:bCs/>
          <w:sz w:val="24"/>
          <w:szCs w:val="24"/>
        </w:rPr>
        <w:t>dražebními tabulkami</w:t>
      </w:r>
      <w:r w:rsidR="00EF7144" w:rsidRPr="00E76F52">
        <w:rPr>
          <w:rStyle w:val="Znakapoznpodarou"/>
          <w:rFonts w:ascii="Calibri" w:hAnsi="Calibri" w:cs="Calibri"/>
          <w:bCs/>
          <w:sz w:val="24"/>
          <w:szCs w:val="24"/>
        </w:rPr>
        <w:footnoteReference w:id="34"/>
      </w:r>
      <w:r w:rsidR="004B6854" w:rsidRPr="00E76F52">
        <w:rPr>
          <w:rFonts w:ascii="Calibri" w:hAnsi="Calibri" w:cs="Calibri"/>
          <w:bCs/>
          <w:sz w:val="24"/>
          <w:szCs w:val="24"/>
        </w:rPr>
        <w:t>. Držitel příslušného dražebního účtu pro dodání zajistí převod vydražených povolenek úspěšným nabízejícím</w:t>
      </w:r>
      <w:r w:rsidR="004B6854" w:rsidRPr="00E76F52">
        <w:rPr>
          <w:rStyle w:val="Znakapoznpodarou"/>
          <w:rFonts w:ascii="Calibri" w:hAnsi="Calibri" w:cs="Calibri"/>
          <w:bCs/>
          <w:sz w:val="24"/>
          <w:szCs w:val="24"/>
        </w:rPr>
        <w:footnoteReference w:id="35"/>
      </w:r>
      <w:r w:rsidR="00F97A3D" w:rsidRPr="00E76F52">
        <w:rPr>
          <w:rFonts w:ascii="Calibri" w:hAnsi="Calibri" w:cs="Calibri"/>
          <w:bCs/>
          <w:sz w:val="24"/>
          <w:szCs w:val="24"/>
        </w:rPr>
        <w:t xml:space="preserve">. </w:t>
      </w:r>
      <w:r w:rsidR="00B62086" w:rsidRPr="00E76F52">
        <w:rPr>
          <w:rFonts w:ascii="Calibri" w:hAnsi="Calibri" w:cs="Calibri"/>
          <w:sz w:val="24"/>
          <w:szCs w:val="24"/>
        </w:rPr>
        <w:t>V</w:t>
      </w:r>
      <w:r w:rsidR="007405FC" w:rsidRPr="00E76F52">
        <w:rPr>
          <w:rFonts w:ascii="Calibri" w:hAnsi="Calibri" w:cs="Calibri"/>
          <w:sz w:val="24"/>
          <w:szCs w:val="24"/>
        </w:rPr>
        <w:t xml:space="preserve"> </w:t>
      </w:r>
      <w:r w:rsidR="00B62086" w:rsidRPr="00E76F52">
        <w:rPr>
          <w:rFonts w:ascii="Calibri" w:hAnsi="Calibri" w:cs="Calibri"/>
          <w:sz w:val="24"/>
          <w:szCs w:val="24"/>
        </w:rPr>
        <w:t>České republice jsou d</w:t>
      </w:r>
      <w:r w:rsidR="00553F3B" w:rsidRPr="00E76F52">
        <w:rPr>
          <w:rFonts w:ascii="Calibri" w:hAnsi="Calibri" w:cs="Calibri"/>
          <w:sz w:val="24"/>
          <w:szCs w:val="24"/>
        </w:rPr>
        <w:t>ražby povolenek</w:t>
      </w:r>
      <w:r w:rsidR="00EF7144" w:rsidRPr="00E76F52">
        <w:rPr>
          <w:rFonts w:ascii="Calibri" w:hAnsi="Calibri" w:cs="Calibri"/>
          <w:sz w:val="24"/>
          <w:szCs w:val="24"/>
        </w:rPr>
        <w:t xml:space="preserve"> </w:t>
      </w:r>
      <w:r w:rsidR="00B62086" w:rsidRPr="00E76F52">
        <w:rPr>
          <w:rFonts w:ascii="Calibri" w:hAnsi="Calibri" w:cs="Calibri"/>
          <w:sz w:val="24"/>
          <w:szCs w:val="24"/>
        </w:rPr>
        <w:t>upraveny</w:t>
      </w:r>
      <w:r w:rsidR="00553F3B" w:rsidRPr="00E76F52">
        <w:rPr>
          <w:rFonts w:ascii="Calibri" w:hAnsi="Calibri" w:cs="Calibri"/>
          <w:sz w:val="24"/>
          <w:szCs w:val="24"/>
        </w:rPr>
        <w:t xml:space="preserve"> v</w:t>
      </w:r>
      <w:r w:rsidR="00943CD3" w:rsidRPr="00E76F52">
        <w:rPr>
          <w:rFonts w:ascii="Calibri" w:hAnsi="Calibri" w:cs="Calibri"/>
          <w:sz w:val="24"/>
          <w:szCs w:val="24"/>
        </w:rPr>
        <w:t xml:space="preserve"> § 7 </w:t>
      </w:r>
      <w:r w:rsidR="00DC55A6" w:rsidRPr="00E76F52">
        <w:rPr>
          <w:rFonts w:ascii="Calibri" w:hAnsi="Calibri" w:cs="Calibri"/>
          <w:sz w:val="24"/>
          <w:szCs w:val="24"/>
        </w:rPr>
        <w:t>zákon</w:t>
      </w:r>
      <w:r w:rsidR="00943CD3" w:rsidRPr="00E76F52">
        <w:rPr>
          <w:rFonts w:ascii="Calibri" w:hAnsi="Calibri" w:cs="Calibri"/>
          <w:sz w:val="24"/>
          <w:szCs w:val="24"/>
        </w:rPr>
        <w:t>a</w:t>
      </w:r>
      <w:r w:rsidR="00DC55A6" w:rsidRPr="00E76F52">
        <w:rPr>
          <w:rFonts w:ascii="Calibri" w:hAnsi="Calibri" w:cs="Calibri"/>
          <w:sz w:val="24"/>
          <w:szCs w:val="24"/>
        </w:rPr>
        <w:t xml:space="preserve"> č. 383/2012 Sb.</w:t>
      </w:r>
      <w:r w:rsidR="007730BF" w:rsidRPr="00E76F52">
        <w:rPr>
          <w:rFonts w:ascii="Calibri" w:hAnsi="Calibri" w:cs="Calibri"/>
          <w:bCs/>
          <w:sz w:val="24"/>
          <w:szCs w:val="24"/>
        </w:rPr>
        <w:t xml:space="preserve"> Pov</w:t>
      </w:r>
      <w:r w:rsidR="00400966" w:rsidRPr="00E76F52">
        <w:rPr>
          <w:rFonts w:ascii="Calibri" w:hAnsi="Calibri" w:cs="Calibri"/>
          <w:bCs/>
          <w:sz w:val="24"/>
          <w:szCs w:val="24"/>
        </w:rPr>
        <w:t>olenky draží operátor trhu</w:t>
      </w:r>
      <w:r w:rsidR="00F97A3D" w:rsidRPr="00E76F52">
        <w:rPr>
          <w:rFonts w:ascii="Calibri" w:hAnsi="Calibri" w:cs="Calibri"/>
          <w:bCs/>
          <w:sz w:val="24"/>
          <w:szCs w:val="24"/>
        </w:rPr>
        <w:t xml:space="preserve">, který </w:t>
      </w:r>
      <w:r w:rsidR="007730BF" w:rsidRPr="00E76F52">
        <w:rPr>
          <w:rFonts w:ascii="Calibri" w:hAnsi="Calibri" w:cs="Calibri"/>
          <w:bCs/>
          <w:sz w:val="24"/>
          <w:szCs w:val="24"/>
        </w:rPr>
        <w:t xml:space="preserve">ve smyslu odst. 2 čl. 22 </w:t>
      </w:r>
      <w:r w:rsidR="00BD0990">
        <w:rPr>
          <w:rFonts w:ascii="Calibri" w:hAnsi="Calibri" w:cs="Calibri"/>
          <w:bCs/>
          <w:sz w:val="24"/>
          <w:szCs w:val="24"/>
        </w:rPr>
        <w:t>n</w:t>
      </w:r>
      <w:r w:rsidR="007730BF" w:rsidRPr="00E76F52">
        <w:rPr>
          <w:rFonts w:ascii="Calibri" w:hAnsi="Calibri" w:cs="Calibri"/>
          <w:bCs/>
          <w:sz w:val="24"/>
          <w:szCs w:val="24"/>
        </w:rPr>
        <w:t>ařízení Komise (EU</w:t>
      </w:r>
      <w:r w:rsidR="00400966" w:rsidRPr="00E76F52">
        <w:rPr>
          <w:rFonts w:ascii="Calibri" w:hAnsi="Calibri" w:cs="Calibri"/>
          <w:bCs/>
          <w:sz w:val="24"/>
          <w:szCs w:val="24"/>
        </w:rPr>
        <w:t>)</w:t>
      </w:r>
      <w:r w:rsidR="007730BF" w:rsidRPr="00E76F52">
        <w:rPr>
          <w:rFonts w:ascii="Calibri" w:hAnsi="Calibri" w:cs="Calibri"/>
          <w:bCs/>
          <w:sz w:val="24"/>
          <w:szCs w:val="24"/>
        </w:rPr>
        <w:t xml:space="preserve"> č. 1031/2010 uzavírá vztah s</w:t>
      </w:r>
      <w:r w:rsidR="007405FC" w:rsidRPr="00E76F52">
        <w:rPr>
          <w:rFonts w:ascii="Calibri" w:hAnsi="Calibri" w:cs="Calibri"/>
          <w:bCs/>
          <w:sz w:val="24"/>
          <w:szCs w:val="24"/>
        </w:rPr>
        <w:t xml:space="preserve"> </w:t>
      </w:r>
      <w:r w:rsidR="00400966" w:rsidRPr="00E76F52">
        <w:rPr>
          <w:rFonts w:ascii="Calibri" w:hAnsi="Calibri" w:cs="Calibri"/>
          <w:bCs/>
          <w:sz w:val="24"/>
          <w:szCs w:val="24"/>
        </w:rPr>
        <w:t>tzv.</w:t>
      </w:r>
      <w:r w:rsidR="007405FC" w:rsidRPr="00E76F52">
        <w:rPr>
          <w:rFonts w:ascii="Calibri" w:hAnsi="Calibri" w:cs="Calibri"/>
          <w:bCs/>
          <w:sz w:val="24"/>
          <w:szCs w:val="24"/>
        </w:rPr>
        <w:t xml:space="preserve"> </w:t>
      </w:r>
      <w:r w:rsidR="007730BF" w:rsidRPr="00E76F52">
        <w:rPr>
          <w:rFonts w:ascii="Calibri" w:hAnsi="Calibri" w:cs="Calibri"/>
          <w:bCs/>
          <w:sz w:val="24"/>
          <w:szCs w:val="24"/>
        </w:rPr>
        <w:t>dražební platformou</w:t>
      </w:r>
      <w:r w:rsidR="00400966" w:rsidRPr="00E76F52">
        <w:rPr>
          <w:rStyle w:val="Znakapoznpodarou"/>
          <w:rFonts w:ascii="Calibri" w:hAnsi="Calibri" w:cs="Calibri"/>
          <w:bCs/>
          <w:sz w:val="24"/>
          <w:szCs w:val="24"/>
        </w:rPr>
        <w:footnoteReference w:id="36"/>
      </w:r>
      <w:r w:rsidR="006F7076" w:rsidRPr="00E76F52">
        <w:rPr>
          <w:rFonts w:ascii="Calibri" w:hAnsi="Calibri" w:cs="Calibri"/>
          <w:bCs/>
          <w:sz w:val="24"/>
          <w:szCs w:val="24"/>
        </w:rPr>
        <w:t>, na které draží</w:t>
      </w:r>
      <w:r w:rsidR="00400966" w:rsidRPr="00E76F52">
        <w:rPr>
          <w:rFonts w:ascii="Calibri" w:hAnsi="Calibri" w:cs="Calibri"/>
          <w:bCs/>
          <w:sz w:val="24"/>
          <w:szCs w:val="24"/>
        </w:rPr>
        <w:t xml:space="preserve"> Česká republika</w:t>
      </w:r>
      <w:r w:rsidR="001618D0" w:rsidRPr="00E76F52">
        <w:rPr>
          <w:rStyle w:val="Znakapoznpodarou"/>
          <w:rFonts w:ascii="Calibri" w:hAnsi="Calibri" w:cs="Calibri"/>
          <w:bCs/>
          <w:sz w:val="24"/>
          <w:szCs w:val="24"/>
        </w:rPr>
        <w:footnoteReference w:id="37"/>
      </w:r>
      <w:r w:rsidR="007B51D5">
        <w:rPr>
          <w:rFonts w:ascii="Calibri" w:hAnsi="Calibri" w:cs="Calibri"/>
          <w:bCs/>
          <w:sz w:val="24"/>
          <w:szCs w:val="24"/>
        </w:rPr>
        <w:t xml:space="preserve"> </w:t>
      </w:r>
      <w:r w:rsidR="007B51D5" w:rsidRPr="00E76F52">
        <w:rPr>
          <w:rFonts w:ascii="Calibri" w:hAnsi="Calibri" w:cs="Calibri"/>
          <w:bCs/>
          <w:sz w:val="24"/>
          <w:szCs w:val="24"/>
        </w:rPr>
        <w:t>společně s většinou ostatních členských států Evropské unie</w:t>
      </w:r>
      <w:r w:rsidR="00400966" w:rsidRPr="00E76F52">
        <w:rPr>
          <w:rFonts w:ascii="Calibri" w:hAnsi="Calibri" w:cs="Calibri"/>
          <w:bCs/>
          <w:sz w:val="24"/>
          <w:szCs w:val="24"/>
        </w:rPr>
        <w:t>. V</w:t>
      </w:r>
      <w:r w:rsidR="00DC55A6" w:rsidRPr="00E76F52">
        <w:rPr>
          <w:rFonts w:ascii="Calibri" w:hAnsi="Calibri" w:cs="Calibri"/>
          <w:bCs/>
          <w:sz w:val="24"/>
          <w:szCs w:val="24"/>
        </w:rPr>
        <w:t>ýnos z</w:t>
      </w:r>
      <w:r w:rsidR="007405FC" w:rsidRPr="00E76F52">
        <w:rPr>
          <w:rFonts w:ascii="Calibri" w:hAnsi="Calibri" w:cs="Calibri"/>
          <w:bCs/>
          <w:sz w:val="24"/>
          <w:szCs w:val="24"/>
        </w:rPr>
        <w:t xml:space="preserve"> </w:t>
      </w:r>
      <w:r w:rsidR="00DC55A6" w:rsidRPr="00E76F52">
        <w:rPr>
          <w:rFonts w:ascii="Calibri" w:hAnsi="Calibri" w:cs="Calibri"/>
          <w:bCs/>
          <w:sz w:val="24"/>
          <w:szCs w:val="24"/>
        </w:rPr>
        <w:t>dražeb povolenek</w:t>
      </w:r>
      <w:r w:rsidR="00553F3B" w:rsidRPr="00E76F52">
        <w:rPr>
          <w:rFonts w:ascii="Calibri" w:hAnsi="Calibri" w:cs="Calibri"/>
          <w:bCs/>
          <w:sz w:val="24"/>
          <w:szCs w:val="24"/>
        </w:rPr>
        <w:t xml:space="preserve"> je</w:t>
      </w:r>
      <w:r w:rsidR="00400966" w:rsidRPr="00E76F52">
        <w:rPr>
          <w:rFonts w:ascii="Calibri" w:hAnsi="Calibri" w:cs="Calibri"/>
          <w:bCs/>
          <w:sz w:val="24"/>
          <w:szCs w:val="24"/>
        </w:rPr>
        <w:t xml:space="preserve"> dle zákona č.</w:t>
      </w:r>
      <w:r w:rsidR="007B51D5">
        <w:rPr>
          <w:rFonts w:ascii="Calibri" w:hAnsi="Calibri" w:cs="Calibri"/>
          <w:bCs/>
          <w:sz w:val="24"/>
          <w:szCs w:val="24"/>
        </w:rPr>
        <w:t> </w:t>
      </w:r>
      <w:r w:rsidR="00400966" w:rsidRPr="00E76F52">
        <w:rPr>
          <w:rFonts w:ascii="Calibri" w:hAnsi="Calibri" w:cs="Calibri"/>
          <w:bCs/>
          <w:sz w:val="24"/>
          <w:szCs w:val="24"/>
        </w:rPr>
        <w:t>383/2012 Sb.</w:t>
      </w:r>
      <w:r w:rsidR="00DC55A6" w:rsidRPr="00E76F52">
        <w:rPr>
          <w:rFonts w:ascii="Calibri" w:hAnsi="Calibri" w:cs="Calibri"/>
          <w:bCs/>
          <w:sz w:val="24"/>
          <w:szCs w:val="24"/>
        </w:rPr>
        <w:t xml:space="preserve"> příjmem státního rozpočtu</w:t>
      </w:r>
      <w:r w:rsidR="00F97A3D" w:rsidRPr="00E76F52">
        <w:rPr>
          <w:rFonts w:ascii="Calibri" w:hAnsi="Calibri" w:cs="Calibri"/>
          <w:bCs/>
          <w:sz w:val="24"/>
          <w:szCs w:val="24"/>
        </w:rPr>
        <w:t xml:space="preserve"> a</w:t>
      </w:r>
      <w:r w:rsidR="00E35F42" w:rsidRPr="00E76F52">
        <w:rPr>
          <w:rFonts w:ascii="Calibri" w:hAnsi="Calibri" w:cs="Calibri"/>
          <w:bCs/>
          <w:sz w:val="24"/>
          <w:szCs w:val="24"/>
        </w:rPr>
        <w:t xml:space="preserve"> </w:t>
      </w:r>
      <w:r w:rsidR="00F97A3D" w:rsidRPr="00E76F52">
        <w:rPr>
          <w:rFonts w:ascii="Calibri" w:hAnsi="Calibri" w:cs="Calibri"/>
          <w:bCs/>
          <w:sz w:val="24"/>
          <w:szCs w:val="24"/>
        </w:rPr>
        <w:t>v</w:t>
      </w:r>
      <w:r w:rsidR="007405FC" w:rsidRPr="00E76F52">
        <w:rPr>
          <w:rFonts w:ascii="Calibri" w:hAnsi="Calibri" w:cs="Calibri"/>
          <w:bCs/>
          <w:sz w:val="24"/>
          <w:szCs w:val="24"/>
        </w:rPr>
        <w:t xml:space="preserve"> </w:t>
      </w:r>
      <w:r w:rsidR="00DC485D" w:rsidRPr="00E76F52">
        <w:rPr>
          <w:rFonts w:ascii="Calibri" w:hAnsi="Calibri" w:cs="Calibri"/>
          <w:bCs/>
          <w:sz w:val="24"/>
          <w:szCs w:val="24"/>
        </w:rPr>
        <w:t>souladu s</w:t>
      </w:r>
      <w:r w:rsidR="007405FC" w:rsidRPr="00E76F52">
        <w:rPr>
          <w:rFonts w:ascii="Calibri" w:hAnsi="Calibri" w:cs="Calibri"/>
          <w:bCs/>
          <w:sz w:val="24"/>
          <w:szCs w:val="24"/>
        </w:rPr>
        <w:t xml:space="preserve"> </w:t>
      </w:r>
      <w:r w:rsidR="00DC485D" w:rsidRPr="00E76F52">
        <w:rPr>
          <w:rFonts w:ascii="Calibri" w:hAnsi="Calibri" w:cs="Calibri"/>
          <w:bCs/>
          <w:sz w:val="24"/>
          <w:szCs w:val="24"/>
        </w:rPr>
        <w:t>ustanovením § 7 odst. 5 tohoto zákona je alespoň 50 % těchto výnosů účelově vázáno na financování činností vedoucích ke snižování emisí skleníkových plynů.</w:t>
      </w:r>
    </w:p>
    <w:p w:rsidR="00E35F42" w:rsidRPr="00E76F52" w:rsidRDefault="00E35F42" w:rsidP="00E76F52">
      <w:pPr>
        <w:spacing w:after="0" w:line="240" w:lineRule="auto"/>
        <w:jc w:val="both"/>
        <w:rPr>
          <w:rFonts w:ascii="Calibri" w:hAnsi="Calibri" w:cs="Calibri"/>
          <w:bCs/>
          <w:sz w:val="24"/>
          <w:szCs w:val="24"/>
        </w:rPr>
      </w:pPr>
    </w:p>
    <w:p w:rsidR="0059324E" w:rsidRPr="005416A5" w:rsidRDefault="005525F3" w:rsidP="00E76F52">
      <w:pPr>
        <w:spacing w:after="0" w:line="240" w:lineRule="auto"/>
        <w:jc w:val="both"/>
        <w:rPr>
          <w:rFonts w:ascii="Calibri" w:hAnsi="Calibri" w:cs="Calibri"/>
          <w:b/>
          <w:i/>
          <w:sz w:val="24"/>
          <w:szCs w:val="24"/>
        </w:rPr>
      </w:pPr>
      <w:r w:rsidRPr="005416A5">
        <w:rPr>
          <w:rFonts w:ascii="Calibri" w:hAnsi="Calibri" w:cs="Calibri"/>
          <w:b/>
          <w:i/>
          <w:sz w:val="24"/>
          <w:szCs w:val="24"/>
        </w:rPr>
        <w:t>Bezplatn</w:t>
      </w:r>
      <w:r w:rsidR="00C07C74" w:rsidRPr="005416A5">
        <w:rPr>
          <w:rFonts w:ascii="Calibri" w:hAnsi="Calibri" w:cs="Calibri"/>
          <w:b/>
          <w:i/>
          <w:sz w:val="24"/>
          <w:szCs w:val="24"/>
        </w:rPr>
        <w:t>é</w:t>
      </w:r>
      <w:r w:rsidR="00E35F42" w:rsidRPr="005416A5">
        <w:rPr>
          <w:rFonts w:ascii="Calibri" w:hAnsi="Calibri" w:cs="Calibri"/>
          <w:b/>
          <w:i/>
          <w:sz w:val="24"/>
          <w:szCs w:val="24"/>
        </w:rPr>
        <w:t xml:space="preserve"> </w:t>
      </w:r>
      <w:r w:rsidR="0059324E" w:rsidRPr="005416A5">
        <w:rPr>
          <w:rFonts w:ascii="Calibri" w:hAnsi="Calibri" w:cs="Calibri"/>
          <w:b/>
          <w:i/>
          <w:sz w:val="24"/>
          <w:szCs w:val="24"/>
        </w:rPr>
        <w:t>povolenky</w:t>
      </w:r>
    </w:p>
    <w:p w:rsidR="005416A5" w:rsidRDefault="005416A5" w:rsidP="00E76F52">
      <w:pPr>
        <w:spacing w:after="0" w:line="240" w:lineRule="auto"/>
        <w:jc w:val="both"/>
        <w:rPr>
          <w:rFonts w:ascii="Calibri" w:hAnsi="Calibri" w:cs="Calibri"/>
          <w:bCs/>
          <w:sz w:val="24"/>
          <w:szCs w:val="24"/>
        </w:rPr>
      </w:pPr>
    </w:p>
    <w:p w:rsidR="005525F3" w:rsidRPr="005416A5" w:rsidRDefault="00DC55A6" w:rsidP="00E76F52">
      <w:pPr>
        <w:spacing w:after="0" w:line="240" w:lineRule="auto"/>
        <w:jc w:val="both"/>
        <w:rPr>
          <w:rFonts w:ascii="Calibri" w:hAnsi="Calibri" w:cs="Calibri"/>
          <w:sz w:val="24"/>
          <w:szCs w:val="24"/>
        </w:rPr>
      </w:pPr>
      <w:r w:rsidRPr="00E76F52">
        <w:rPr>
          <w:rFonts w:ascii="Calibri" w:hAnsi="Calibri" w:cs="Calibri"/>
          <w:bCs/>
          <w:sz w:val="24"/>
          <w:szCs w:val="24"/>
        </w:rPr>
        <w:t xml:space="preserve">Nařízení </w:t>
      </w:r>
      <w:r w:rsidR="00AA1ABA" w:rsidRPr="00E76F52">
        <w:rPr>
          <w:rFonts w:ascii="Calibri" w:hAnsi="Calibri" w:cs="Calibri"/>
          <w:bCs/>
          <w:sz w:val="24"/>
          <w:szCs w:val="24"/>
        </w:rPr>
        <w:t xml:space="preserve">Komise (EU) č. </w:t>
      </w:r>
      <w:r w:rsidRPr="00E76F52">
        <w:rPr>
          <w:rFonts w:ascii="Calibri" w:hAnsi="Calibri" w:cs="Calibri"/>
          <w:bCs/>
          <w:sz w:val="24"/>
          <w:szCs w:val="24"/>
        </w:rPr>
        <w:t>389/2013</w:t>
      </w:r>
      <w:r w:rsidRPr="00E76F52">
        <w:rPr>
          <w:rStyle w:val="Znakapoznpodarou"/>
          <w:rFonts w:ascii="Calibri" w:hAnsi="Calibri" w:cs="Calibri"/>
          <w:bCs/>
          <w:sz w:val="24"/>
          <w:szCs w:val="24"/>
        </w:rPr>
        <w:footnoteReference w:id="38"/>
      </w:r>
      <w:r w:rsidRPr="00E76F52">
        <w:rPr>
          <w:rFonts w:ascii="Calibri" w:hAnsi="Calibri" w:cs="Calibri"/>
          <w:bCs/>
          <w:sz w:val="24"/>
          <w:szCs w:val="24"/>
        </w:rPr>
        <w:t xml:space="preserve"> </w:t>
      </w:r>
      <w:r w:rsidR="00D76A5C" w:rsidRPr="00E76F52">
        <w:rPr>
          <w:rFonts w:ascii="Calibri" w:hAnsi="Calibri" w:cs="Calibri"/>
          <w:bCs/>
          <w:sz w:val="24"/>
          <w:szCs w:val="24"/>
        </w:rPr>
        <w:t>stanoví</w:t>
      </w:r>
      <w:r w:rsidR="00447F1A" w:rsidRPr="00E76F52">
        <w:rPr>
          <w:rFonts w:ascii="Calibri" w:hAnsi="Calibri" w:cs="Calibri"/>
          <w:bCs/>
          <w:sz w:val="24"/>
          <w:szCs w:val="24"/>
        </w:rPr>
        <w:t xml:space="preserve"> pro převod všeobecných povolenek, které mají být přiděleny </w:t>
      </w:r>
      <w:r w:rsidR="00424D7E" w:rsidRPr="00E76F52">
        <w:rPr>
          <w:rFonts w:ascii="Calibri" w:hAnsi="Calibri" w:cs="Calibri"/>
          <w:bCs/>
          <w:sz w:val="24"/>
          <w:szCs w:val="24"/>
        </w:rPr>
        <w:t>bezplatně</w:t>
      </w:r>
      <w:r w:rsidRPr="00E76F52">
        <w:rPr>
          <w:rFonts w:ascii="Calibri" w:hAnsi="Calibri" w:cs="Calibri"/>
          <w:bCs/>
          <w:sz w:val="24"/>
          <w:szCs w:val="24"/>
        </w:rPr>
        <w:t>, že ústřední správce včas převede všeobecné povolenky z</w:t>
      </w:r>
      <w:r w:rsidR="007405FC" w:rsidRPr="00E76F52">
        <w:rPr>
          <w:rFonts w:ascii="Calibri" w:hAnsi="Calibri" w:cs="Calibri"/>
          <w:bCs/>
          <w:sz w:val="24"/>
          <w:szCs w:val="24"/>
        </w:rPr>
        <w:t xml:space="preserve"> </w:t>
      </w:r>
      <w:r w:rsidRPr="00E76F52">
        <w:rPr>
          <w:rFonts w:ascii="Calibri" w:hAnsi="Calibri" w:cs="Calibri"/>
          <w:bCs/>
          <w:sz w:val="24"/>
          <w:szCs w:val="24"/>
        </w:rPr>
        <w:t>účtu EU pro celkové množství na alokační účet EU v</w:t>
      </w:r>
      <w:r w:rsidR="007B51D5">
        <w:rPr>
          <w:rFonts w:ascii="Calibri" w:hAnsi="Calibri" w:cs="Calibri"/>
          <w:bCs/>
          <w:sz w:val="24"/>
          <w:szCs w:val="24"/>
        </w:rPr>
        <w:t> takovém</w:t>
      </w:r>
      <w:r w:rsidR="007405FC" w:rsidRPr="00E76F52">
        <w:rPr>
          <w:rFonts w:ascii="Calibri" w:hAnsi="Calibri" w:cs="Calibri"/>
          <w:bCs/>
          <w:sz w:val="24"/>
          <w:szCs w:val="24"/>
        </w:rPr>
        <w:t xml:space="preserve"> </w:t>
      </w:r>
      <w:r w:rsidRPr="00E76F52">
        <w:rPr>
          <w:rFonts w:ascii="Calibri" w:hAnsi="Calibri" w:cs="Calibri"/>
          <w:bCs/>
          <w:sz w:val="24"/>
          <w:szCs w:val="24"/>
        </w:rPr>
        <w:t>množství, které odpovídá součtu povolenek přidělených zdarma podle národních alokačních tabulek</w:t>
      </w:r>
      <w:r w:rsidR="00C07C74" w:rsidRPr="00E76F52">
        <w:rPr>
          <w:rStyle w:val="Znakapoznpodarou"/>
          <w:rFonts w:ascii="Calibri" w:hAnsi="Calibri" w:cs="Calibri"/>
          <w:bCs/>
          <w:sz w:val="24"/>
          <w:szCs w:val="24"/>
        </w:rPr>
        <w:footnoteReference w:id="39"/>
      </w:r>
      <w:r w:rsidRPr="00E76F52">
        <w:rPr>
          <w:rFonts w:ascii="Calibri" w:hAnsi="Calibri" w:cs="Calibri"/>
          <w:bCs/>
          <w:sz w:val="24"/>
          <w:szCs w:val="24"/>
        </w:rPr>
        <w:t xml:space="preserve"> každého členského státu</w:t>
      </w:r>
      <w:r w:rsidR="00815D3C" w:rsidRPr="00E76F52">
        <w:rPr>
          <w:rFonts w:ascii="Calibri" w:hAnsi="Calibri" w:cs="Calibri"/>
          <w:bCs/>
          <w:sz w:val="24"/>
          <w:szCs w:val="24"/>
        </w:rPr>
        <w:t xml:space="preserve"> (viz příloha č. </w:t>
      </w:r>
      <w:r w:rsidR="00EC7175" w:rsidRPr="00E76F52">
        <w:rPr>
          <w:rFonts w:ascii="Calibri" w:hAnsi="Calibri" w:cs="Calibri"/>
          <w:bCs/>
          <w:sz w:val="24"/>
          <w:szCs w:val="24"/>
        </w:rPr>
        <w:t>1</w:t>
      </w:r>
      <w:r w:rsidR="00815D3C" w:rsidRPr="00E76F52">
        <w:rPr>
          <w:rFonts w:ascii="Calibri" w:hAnsi="Calibri" w:cs="Calibri"/>
          <w:bCs/>
          <w:sz w:val="24"/>
          <w:szCs w:val="24"/>
        </w:rPr>
        <w:t>).</w:t>
      </w:r>
      <w:r w:rsidR="00553F3B" w:rsidRPr="00E76F52">
        <w:rPr>
          <w:rFonts w:ascii="Calibri" w:hAnsi="Calibri" w:cs="Calibri"/>
          <w:bCs/>
          <w:sz w:val="24"/>
          <w:szCs w:val="24"/>
        </w:rPr>
        <w:t xml:space="preserve"> </w:t>
      </w:r>
      <w:r w:rsidR="00C07C74" w:rsidRPr="00E76F52">
        <w:rPr>
          <w:rFonts w:ascii="Calibri" w:hAnsi="Calibri" w:cs="Calibri"/>
          <w:bCs/>
          <w:sz w:val="24"/>
          <w:szCs w:val="24"/>
        </w:rPr>
        <w:t>Dále</w:t>
      </w:r>
      <w:r w:rsidR="00516B03" w:rsidRPr="00E76F52">
        <w:rPr>
          <w:rFonts w:ascii="Calibri" w:hAnsi="Calibri" w:cs="Calibri"/>
          <w:bCs/>
          <w:sz w:val="24"/>
          <w:szCs w:val="24"/>
        </w:rPr>
        <w:t xml:space="preserve"> </w:t>
      </w:r>
      <w:r w:rsidR="00447F1A" w:rsidRPr="00E76F52">
        <w:rPr>
          <w:rFonts w:ascii="Calibri" w:hAnsi="Calibri" w:cs="Calibri"/>
          <w:bCs/>
          <w:sz w:val="24"/>
          <w:szCs w:val="24"/>
        </w:rPr>
        <w:t xml:space="preserve">toto </w:t>
      </w:r>
      <w:r w:rsidR="0037668B" w:rsidRPr="00E76F52">
        <w:rPr>
          <w:rFonts w:ascii="Calibri" w:hAnsi="Calibri" w:cs="Calibri"/>
          <w:bCs/>
          <w:sz w:val="24"/>
          <w:szCs w:val="24"/>
        </w:rPr>
        <w:t>n</w:t>
      </w:r>
      <w:r w:rsidR="00447F1A" w:rsidRPr="00E76F52">
        <w:rPr>
          <w:rFonts w:ascii="Calibri" w:hAnsi="Calibri" w:cs="Calibri"/>
          <w:bCs/>
          <w:sz w:val="24"/>
          <w:szCs w:val="24"/>
        </w:rPr>
        <w:t>ařízení</w:t>
      </w:r>
      <w:r w:rsidR="00C57436" w:rsidRPr="00E76F52">
        <w:rPr>
          <w:rFonts w:ascii="Calibri" w:hAnsi="Calibri" w:cs="Calibri"/>
          <w:bCs/>
          <w:sz w:val="24"/>
          <w:szCs w:val="24"/>
        </w:rPr>
        <w:t xml:space="preserve"> </w:t>
      </w:r>
      <w:r w:rsidR="00C07C74" w:rsidRPr="00E76F52">
        <w:rPr>
          <w:rFonts w:ascii="Calibri" w:hAnsi="Calibri" w:cs="Calibri"/>
          <w:bCs/>
          <w:sz w:val="24"/>
          <w:szCs w:val="24"/>
        </w:rPr>
        <w:t xml:space="preserve">stanoví, že od 1. února 2013 ústřední správce zajistí, aby registr </w:t>
      </w:r>
      <w:r w:rsidR="007B51D5">
        <w:rPr>
          <w:rFonts w:ascii="Calibri" w:hAnsi="Calibri" w:cs="Calibri"/>
          <w:bCs/>
          <w:sz w:val="24"/>
          <w:szCs w:val="24"/>
        </w:rPr>
        <w:t>E</w:t>
      </w:r>
      <w:r w:rsidR="00C07C74" w:rsidRPr="00E76F52">
        <w:rPr>
          <w:rFonts w:ascii="Calibri" w:hAnsi="Calibri" w:cs="Calibri"/>
          <w:bCs/>
          <w:sz w:val="24"/>
          <w:szCs w:val="24"/>
        </w:rPr>
        <w:t>U převáděl</w:t>
      </w:r>
      <w:r w:rsidR="00516B03" w:rsidRPr="00E76F52">
        <w:rPr>
          <w:rFonts w:ascii="Calibri" w:hAnsi="Calibri" w:cs="Calibri"/>
          <w:bCs/>
          <w:sz w:val="24"/>
          <w:szCs w:val="24"/>
        </w:rPr>
        <w:t xml:space="preserve"> </w:t>
      </w:r>
      <w:r w:rsidR="00C07C74" w:rsidRPr="00E76F52">
        <w:rPr>
          <w:rFonts w:ascii="Calibri" w:hAnsi="Calibri" w:cs="Calibri"/>
          <w:bCs/>
          <w:sz w:val="24"/>
          <w:szCs w:val="24"/>
        </w:rPr>
        <w:t>všeobecné povolenky automaticky z</w:t>
      </w:r>
      <w:r w:rsidR="007405FC" w:rsidRPr="00E76F52">
        <w:rPr>
          <w:rFonts w:ascii="Calibri" w:hAnsi="Calibri" w:cs="Calibri"/>
          <w:bCs/>
          <w:sz w:val="24"/>
          <w:szCs w:val="24"/>
        </w:rPr>
        <w:t xml:space="preserve"> </w:t>
      </w:r>
      <w:r w:rsidR="00C07C74" w:rsidRPr="00E76F52">
        <w:rPr>
          <w:rFonts w:ascii="Calibri" w:hAnsi="Calibri" w:cs="Calibri"/>
          <w:bCs/>
          <w:sz w:val="24"/>
          <w:szCs w:val="24"/>
        </w:rPr>
        <w:t>alokačního účtu EU v</w:t>
      </w:r>
      <w:r w:rsidR="00BD0990">
        <w:rPr>
          <w:rFonts w:ascii="Calibri" w:hAnsi="Calibri" w:cs="Calibri"/>
          <w:bCs/>
          <w:sz w:val="24"/>
          <w:szCs w:val="24"/>
        </w:rPr>
        <w:t> </w:t>
      </w:r>
      <w:r w:rsidR="00C07C74" w:rsidRPr="00E76F52">
        <w:rPr>
          <w:rFonts w:ascii="Calibri" w:hAnsi="Calibri" w:cs="Calibri"/>
          <w:bCs/>
          <w:sz w:val="24"/>
          <w:szCs w:val="24"/>
        </w:rPr>
        <w:t>souladu s příslušnou národní alokační tab</w:t>
      </w:r>
      <w:r w:rsidR="00447F1A" w:rsidRPr="00E76F52">
        <w:rPr>
          <w:rFonts w:ascii="Calibri" w:hAnsi="Calibri" w:cs="Calibri"/>
          <w:bCs/>
          <w:sz w:val="24"/>
          <w:szCs w:val="24"/>
        </w:rPr>
        <w:t>ulkou na příslušný vkladní účet provozovatele zařízení</w:t>
      </w:r>
      <w:r w:rsidR="00447F1A" w:rsidRPr="00E76F52">
        <w:rPr>
          <w:rStyle w:val="Znakapoznpodarou"/>
          <w:rFonts w:ascii="Calibri" w:hAnsi="Calibri" w:cs="Calibri"/>
          <w:bCs/>
          <w:sz w:val="24"/>
          <w:szCs w:val="24"/>
        </w:rPr>
        <w:footnoteReference w:id="40"/>
      </w:r>
      <w:r w:rsidR="00447F1A" w:rsidRPr="00E76F52">
        <w:rPr>
          <w:rFonts w:ascii="Calibri" w:hAnsi="Calibri" w:cs="Calibri"/>
          <w:bCs/>
          <w:sz w:val="24"/>
          <w:szCs w:val="24"/>
        </w:rPr>
        <w:t>.</w:t>
      </w:r>
      <w:r w:rsidR="00516B03" w:rsidRPr="00E76F52">
        <w:rPr>
          <w:rFonts w:ascii="Calibri" w:hAnsi="Calibri" w:cs="Calibri"/>
          <w:bCs/>
          <w:sz w:val="24"/>
          <w:szCs w:val="24"/>
        </w:rPr>
        <w:t xml:space="preserve"> Stejně tak má ústřední správce povinnost zajistit tyto převody</w:t>
      </w:r>
      <w:r w:rsidR="00F97A3D" w:rsidRPr="00E76F52">
        <w:rPr>
          <w:rFonts w:ascii="Calibri" w:hAnsi="Calibri" w:cs="Calibri"/>
          <w:bCs/>
          <w:sz w:val="24"/>
          <w:szCs w:val="24"/>
        </w:rPr>
        <w:t xml:space="preserve"> i</w:t>
      </w:r>
      <w:r w:rsidR="00516B03" w:rsidRPr="00E76F52">
        <w:rPr>
          <w:rFonts w:ascii="Calibri" w:hAnsi="Calibri" w:cs="Calibri"/>
          <w:bCs/>
          <w:sz w:val="24"/>
          <w:szCs w:val="24"/>
        </w:rPr>
        <w:t xml:space="preserve"> pro bezplatné povolenky pro letectví</w:t>
      </w:r>
      <w:r w:rsidR="00516B03" w:rsidRPr="00E76F52">
        <w:rPr>
          <w:rStyle w:val="Znakapoznpodarou"/>
          <w:rFonts w:ascii="Calibri" w:hAnsi="Calibri" w:cs="Calibri"/>
          <w:bCs/>
          <w:sz w:val="24"/>
          <w:szCs w:val="24"/>
        </w:rPr>
        <w:footnoteReference w:id="41"/>
      </w:r>
      <w:r w:rsidR="00191502" w:rsidRPr="00E76F52">
        <w:rPr>
          <w:rFonts w:ascii="Calibri" w:hAnsi="Calibri" w:cs="Calibri"/>
          <w:bCs/>
          <w:sz w:val="24"/>
          <w:szCs w:val="24"/>
        </w:rPr>
        <w:t>, jej</w:t>
      </w:r>
      <w:r w:rsidR="004B5A4D" w:rsidRPr="00E76F52">
        <w:rPr>
          <w:rFonts w:ascii="Calibri" w:hAnsi="Calibri" w:cs="Calibri"/>
          <w:bCs/>
          <w:sz w:val="24"/>
          <w:szCs w:val="24"/>
        </w:rPr>
        <w:t>ichž</w:t>
      </w:r>
      <w:r w:rsidR="00191502" w:rsidRPr="00E76F52">
        <w:rPr>
          <w:rFonts w:ascii="Calibri" w:hAnsi="Calibri" w:cs="Calibri"/>
          <w:bCs/>
          <w:sz w:val="24"/>
          <w:szCs w:val="24"/>
        </w:rPr>
        <w:t xml:space="preserve"> </w:t>
      </w:r>
      <w:r w:rsidR="00191502" w:rsidRPr="00E76F52">
        <w:rPr>
          <w:rFonts w:ascii="Calibri" w:hAnsi="Calibri" w:cs="Calibri"/>
          <w:sz w:val="24"/>
          <w:szCs w:val="24"/>
        </w:rPr>
        <w:t>p</w:t>
      </w:r>
      <w:r w:rsidR="005525F3" w:rsidRPr="00E76F52">
        <w:rPr>
          <w:rFonts w:ascii="Calibri" w:hAnsi="Calibri" w:cs="Calibri"/>
          <w:sz w:val="24"/>
          <w:szCs w:val="24"/>
        </w:rPr>
        <w:t>řiděl</w:t>
      </w:r>
      <w:r w:rsidR="00553F3B" w:rsidRPr="00E76F52">
        <w:rPr>
          <w:rFonts w:ascii="Calibri" w:hAnsi="Calibri" w:cs="Calibri"/>
          <w:sz w:val="24"/>
          <w:szCs w:val="24"/>
        </w:rPr>
        <w:t>ování je v</w:t>
      </w:r>
      <w:r w:rsidR="005525F3" w:rsidRPr="00E76F52">
        <w:rPr>
          <w:rFonts w:ascii="Calibri" w:hAnsi="Calibri" w:cs="Calibri"/>
          <w:sz w:val="24"/>
          <w:szCs w:val="24"/>
        </w:rPr>
        <w:t xml:space="preserve"> zákon</w:t>
      </w:r>
      <w:r w:rsidR="00553F3B" w:rsidRPr="00E76F52">
        <w:rPr>
          <w:rFonts w:ascii="Calibri" w:hAnsi="Calibri" w:cs="Calibri"/>
          <w:sz w:val="24"/>
          <w:szCs w:val="24"/>
        </w:rPr>
        <w:t>ě</w:t>
      </w:r>
      <w:r w:rsidR="005525F3" w:rsidRPr="00E76F52">
        <w:rPr>
          <w:rFonts w:ascii="Calibri" w:hAnsi="Calibri" w:cs="Calibri"/>
          <w:sz w:val="24"/>
          <w:szCs w:val="24"/>
        </w:rPr>
        <w:t xml:space="preserve"> č. 383/2012 Sb.</w:t>
      </w:r>
      <w:r w:rsidR="00553F3B" w:rsidRPr="00E76F52">
        <w:rPr>
          <w:rFonts w:ascii="Calibri" w:hAnsi="Calibri" w:cs="Calibri"/>
          <w:sz w:val="24"/>
          <w:szCs w:val="24"/>
        </w:rPr>
        <w:t xml:space="preserve"> stanoveno </w:t>
      </w:r>
      <w:r w:rsidR="0030276A">
        <w:rPr>
          <w:rFonts w:ascii="Calibri" w:hAnsi="Calibri" w:cs="Calibri"/>
          <w:sz w:val="24"/>
          <w:szCs w:val="24"/>
        </w:rPr>
        <w:br/>
      </w:r>
      <w:r w:rsidR="00553F3B" w:rsidRPr="00E76F52">
        <w:rPr>
          <w:rFonts w:ascii="Calibri" w:hAnsi="Calibri" w:cs="Calibri"/>
          <w:sz w:val="24"/>
          <w:szCs w:val="24"/>
        </w:rPr>
        <w:t>v</w:t>
      </w:r>
      <w:r w:rsidR="008C7D9B" w:rsidRPr="00E76F52">
        <w:rPr>
          <w:rFonts w:ascii="Calibri" w:hAnsi="Calibri" w:cs="Calibri"/>
          <w:sz w:val="24"/>
          <w:szCs w:val="24"/>
        </w:rPr>
        <w:t> </w:t>
      </w:r>
      <w:r w:rsidR="00553F3B" w:rsidRPr="00E76F52">
        <w:rPr>
          <w:rFonts w:ascii="Calibri" w:hAnsi="Calibri" w:cs="Calibri"/>
          <w:sz w:val="24"/>
          <w:szCs w:val="24"/>
        </w:rPr>
        <w:t>§</w:t>
      </w:r>
      <w:r w:rsidR="008C7D9B" w:rsidRPr="00E76F52">
        <w:rPr>
          <w:rFonts w:ascii="Calibri" w:hAnsi="Calibri" w:cs="Calibri"/>
          <w:sz w:val="24"/>
          <w:szCs w:val="24"/>
        </w:rPr>
        <w:t> </w:t>
      </w:r>
      <w:r w:rsidR="00553F3B" w:rsidRPr="00E76F52">
        <w:rPr>
          <w:rFonts w:ascii="Calibri" w:hAnsi="Calibri" w:cs="Calibri"/>
          <w:sz w:val="24"/>
          <w:szCs w:val="24"/>
        </w:rPr>
        <w:t>10</w:t>
      </w:r>
      <w:r w:rsidR="008C7D9B" w:rsidRPr="00E76F52">
        <w:rPr>
          <w:rFonts w:ascii="Calibri" w:hAnsi="Calibri" w:cs="Calibri"/>
          <w:sz w:val="24"/>
          <w:szCs w:val="24"/>
        </w:rPr>
        <w:t>–</w:t>
      </w:r>
      <w:r w:rsidR="00553F3B" w:rsidRPr="00E76F52">
        <w:rPr>
          <w:rFonts w:ascii="Calibri" w:hAnsi="Calibri" w:cs="Calibri"/>
          <w:sz w:val="24"/>
          <w:szCs w:val="24"/>
        </w:rPr>
        <w:t>13.</w:t>
      </w:r>
      <w:r w:rsidR="005525F3" w:rsidRPr="00E76F52">
        <w:rPr>
          <w:rFonts w:ascii="Calibri" w:hAnsi="Calibri" w:cs="Calibri"/>
          <w:sz w:val="24"/>
          <w:szCs w:val="24"/>
        </w:rPr>
        <w:t xml:space="preserve"> </w:t>
      </w:r>
      <w:r w:rsidR="00ED144D" w:rsidRPr="00E76F52">
        <w:rPr>
          <w:rFonts w:ascii="Calibri" w:hAnsi="Calibri" w:cs="Calibri"/>
          <w:sz w:val="24"/>
          <w:szCs w:val="24"/>
        </w:rPr>
        <w:t>O</w:t>
      </w:r>
      <w:r w:rsidR="005525F3" w:rsidRPr="00E76F52">
        <w:rPr>
          <w:rFonts w:ascii="Calibri" w:hAnsi="Calibri" w:cs="Calibri"/>
          <w:sz w:val="24"/>
          <w:szCs w:val="24"/>
        </w:rPr>
        <w:t xml:space="preserve"> přidělení bezplatných povolenek provozovatelům</w:t>
      </w:r>
      <w:r w:rsidR="00B21485" w:rsidRPr="00E76F52">
        <w:rPr>
          <w:rFonts w:ascii="Calibri" w:hAnsi="Calibri" w:cs="Calibri"/>
          <w:sz w:val="24"/>
          <w:szCs w:val="24"/>
        </w:rPr>
        <w:t xml:space="preserve"> jednotlivých</w:t>
      </w:r>
      <w:r w:rsidR="005525F3" w:rsidRPr="00E76F52">
        <w:rPr>
          <w:rFonts w:ascii="Calibri" w:hAnsi="Calibri" w:cs="Calibri"/>
          <w:sz w:val="24"/>
          <w:szCs w:val="24"/>
        </w:rPr>
        <w:t xml:space="preserve"> zařízení a</w:t>
      </w:r>
      <w:r w:rsidR="008C7D9B" w:rsidRPr="00E76F52">
        <w:rPr>
          <w:rFonts w:ascii="Calibri" w:hAnsi="Calibri" w:cs="Calibri"/>
          <w:sz w:val="24"/>
          <w:szCs w:val="24"/>
        </w:rPr>
        <w:t> </w:t>
      </w:r>
      <w:r w:rsidR="005525F3" w:rsidRPr="00E76F52">
        <w:rPr>
          <w:rFonts w:ascii="Calibri" w:hAnsi="Calibri" w:cs="Calibri"/>
          <w:sz w:val="24"/>
          <w:szCs w:val="24"/>
        </w:rPr>
        <w:t>provozovatelům letadla</w:t>
      </w:r>
      <w:r w:rsidR="00B21485" w:rsidRPr="00E76F52">
        <w:rPr>
          <w:rFonts w:ascii="Calibri" w:hAnsi="Calibri" w:cs="Calibri"/>
          <w:sz w:val="24"/>
          <w:szCs w:val="24"/>
        </w:rPr>
        <w:t xml:space="preserve"> vydaných</w:t>
      </w:r>
      <w:r w:rsidR="005525F3" w:rsidRPr="00E76F52">
        <w:rPr>
          <w:rFonts w:ascii="Calibri" w:hAnsi="Calibri" w:cs="Calibri"/>
          <w:sz w:val="24"/>
          <w:szCs w:val="24"/>
        </w:rPr>
        <w:t xml:space="preserve"> na jednotlivé roky </w:t>
      </w:r>
      <w:r w:rsidR="00B21485" w:rsidRPr="00E76F52">
        <w:rPr>
          <w:rFonts w:ascii="Calibri" w:hAnsi="Calibri" w:cs="Calibri"/>
          <w:sz w:val="24"/>
          <w:szCs w:val="24"/>
        </w:rPr>
        <w:t xml:space="preserve">třetího </w:t>
      </w:r>
      <w:r w:rsidR="005525F3" w:rsidRPr="00E76F52">
        <w:rPr>
          <w:rFonts w:ascii="Calibri" w:hAnsi="Calibri" w:cs="Calibri"/>
          <w:sz w:val="24"/>
          <w:szCs w:val="24"/>
        </w:rPr>
        <w:t xml:space="preserve">obchodovacího období </w:t>
      </w:r>
      <w:r w:rsidR="0030276A">
        <w:rPr>
          <w:rFonts w:ascii="Calibri" w:hAnsi="Calibri" w:cs="Calibri"/>
          <w:sz w:val="24"/>
          <w:szCs w:val="24"/>
        </w:rPr>
        <w:br/>
      </w:r>
      <w:r w:rsidR="00B21485" w:rsidRPr="00E76F52">
        <w:rPr>
          <w:rFonts w:ascii="Calibri" w:hAnsi="Calibri" w:cs="Calibri"/>
          <w:sz w:val="24"/>
          <w:szCs w:val="24"/>
        </w:rPr>
        <w:t>(201</w:t>
      </w:r>
      <w:r w:rsidR="00DF65A6" w:rsidRPr="00E76F52">
        <w:rPr>
          <w:rFonts w:ascii="Calibri" w:hAnsi="Calibri" w:cs="Calibri"/>
          <w:sz w:val="24"/>
          <w:szCs w:val="24"/>
        </w:rPr>
        <w:t>3</w:t>
      </w:r>
      <w:r w:rsidR="00301578">
        <w:rPr>
          <w:rFonts w:ascii="Calibri" w:hAnsi="Calibri" w:cs="Calibri"/>
          <w:sz w:val="24"/>
          <w:szCs w:val="24"/>
        </w:rPr>
        <w:t>–</w:t>
      </w:r>
      <w:r w:rsidR="00B21485" w:rsidRPr="00E76F52">
        <w:rPr>
          <w:rFonts w:ascii="Calibri" w:hAnsi="Calibri" w:cs="Calibri"/>
          <w:sz w:val="24"/>
          <w:szCs w:val="24"/>
        </w:rPr>
        <w:t xml:space="preserve">2020) </w:t>
      </w:r>
      <w:r w:rsidR="00ED144D" w:rsidRPr="00E76F52">
        <w:rPr>
          <w:rFonts w:ascii="Calibri" w:hAnsi="Calibri" w:cs="Calibri"/>
          <w:sz w:val="24"/>
          <w:szCs w:val="24"/>
        </w:rPr>
        <w:t>rozhod</w:t>
      </w:r>
      <w:r w:rsidRPr="00E76F52">
        <w:rPr>
          <w:rFonts w:ascii="Calibri" w:hAnsi="Calibri" w:cs="Calibri"/>
          <w:sz w:val="24"/>
          <w:szCs w:val="24"/>
        </w:rPr>
        <w:t>uje</w:t>
      </w:r>
      <w:r w:rsidR="00ED144D" w:rsidRPr="00E76F52">
        <w:rPr>
          <w:rFonts w:ascii="Calibri" w:hAnsi="Calibri" w:cs="Calibri"/>
          <w:sz w:val="24"/>
          <w:szCs w:val="24"/>
        </w:rPr>
        <w:t xml:space="preserve"> MŽP</w:t>
      </w:r>
      <w:r w:rsidR="005525F3" w:rsidRPr="00E76F52">
        <w:rPr>
          <w:rFonts w:ascii="Calibri" w:hAnsi="Calibri" w:cs="Calibri"/>
          <w:sz w:val="24"/>
          <w:szCs w:val="24"/>
        </w:rPr>
        <w:t xml:space="preserve"> postupem a v množství vypočítaném na základě referenčních hodnot stanovených předpisy Evropské unie</w:t>
      </w:r>
      <w:r w:rsidR="005525F3" w:rsidRPr="00E76F52">
        <w:rPr>
          <w:rStyle w:val="Znakapoznpodarou"/>
          <w:rFonts w:ascii="Calibri" w:hAnsi="Calibri" w:cs="Calibri"/>
          <w:sz w:val="24"/>
          <w:szCs w:val="24"/>
        </w:rPr>
        <w:footnoteReference w:id="42"/>
      </w:r>
      <w:r w:rsidR="00B0625A" w:rsidRPr="00E76F52">
        <w:rPr>
          <w:rFonts w:ascii="Calibri" w:hAnsi="Calibri" w:cs="Calibri"/>
          <w:sz w:val="24"/>
          <w:szCs w:val="24"/>
        </w:rPr>
        <w:t>.</w:t>
      </w:r>
      <w:r w:rsidR="005525F3" w:rsidRPr="005416A5">
        <w:rPr>
          <w:rFonts w:ascii="Calibri" w:hAnsi="Calibri" w:cs="Calibri"/>
          <w:sz w:val="24"/>
          <w:szCs w:val="24"/>
        </w:rPr>
        <w:t xml:space="preserve"> </w:t>
      </w:r>
    </w:p>
    <w:p w:rsidR="00B0625A" w:rsidRPr="00E76F52" w:rsidRDefault="00B0625A" w:rsidP="00E76F52">
      <w:pPr>
        <w:spacing w:after="0" w:line="240" w:lineRule="auto"/>
        <w:jc w:val="both"/>
        <w:rPr>
          <w:rFonts w:ascii="Calibri" w:hAnsi="Calibri" w:cs="Calibri"/>
          <w:sz w:val="24"/>
          <w:szCs w:val="24"/>
        </w:rPr>
      </w:pPr>
    </w:p>
    <w:p w:rsidR="004D1B18" w:rsidRPr="005416A5" w:rsidRDefault="003C5203" w:rsidP="00E76F52">
      <w:pPr>
        <w:spacing w:after="0" w:line="240" w:lineRule="auto"/>
        <w:jc w:val="both"/>
        <w:rPr>
          <w:rFonts w:ascii="Calibri" w:hAnsi="Calibri" w:cs="Calibri"/>
          <w:b/>
          <w:bCs/>
          <w:sz w:val="24"/>
          <w:szCs w:val="24"/>
        </w:rPr>
      </w:pPr>
      <w:r w:rsidRPr="005416A5">
        <w:rPr>
          <w:rFonts w:ascii="Calibri" w:hAnsi="Calibri" w:cs="Calibri"/>
          <w:b/>
          <w:i/>
          <w:sz w:val="24"/>
          <w:szCs w:val="24"/>
        </w:rPr>
        <w:t>Účtování a v</w:t>
      </w:r>
      <w:r w:rsidR="00E33C02" w:rsidRPr="005416A5">
        <w:rPr>
          <w:rFonts w:ascii="Calibri" w:hAnsi="Calibri" w:cs="Calibri"/>
          <w:b/>
          <w:i/>
          <w:sz w:val="24"/>
          <w:szCs w:val="24"/>
        </w:rPr>
        <w:t>ykazování</w:t>
      </w:r>
      <w:r w:rsidR="00E35F42" w:rsidRPr="005416A5">
        <w:rPr>
          <w:rFonts w:ascii="Calibri" w:hAnsi="Calibri" w:cs="Calibri"/>
          <w:b/>
          <w:i/>
          <w:sz w:val="24"/>
          <w:szCs w:val="24"/>
        </w:rPr>
        <w:t xml:space="preserve"> </w:t>
      </w:r>
      <w:r w:rsidR="00E33C02" w:rsidRPr="005416A5">
        <w:rPr>
          <w:rFonts w:ascii="Calibri" w:hAnsi="Calibri" w:cs="Calibri"/>
          <w:b/>
          <w:i/>
          <w:sz w:val="24"/>
          <w:szCs w:val="24"/>
        </w:rPr>
        <w:t>povolenek</w:t>
      </w:r>
    </w:p>
    <w:p w:rsidR="005416A5" w:rsidRDefault="005416A5" w:rsidP="00E76F52">
      <w:pPr>
        <w:spacing w:after="0" w:line="240" w:lineRule="auto"/>
        <w:jc w:val="both"/>
        <w:rPr>
          <w:rFonts w:ascii="Calibri" w:hAnsi="Calibri" w:cs="Calibri"/>
          <w:sz w:val="24"/>
          <w:szCs w:val="24"/>
        </w:rPr>
      </w:pPr>
    </w:p>
    <w:p w:rsidR="00133135" w:rsidRDefault="00133135" w:rsidP="00E76F52">
      <w:pPr>
        <w:spacing w:after="0" w:line="240" w:lineRule="auto"/>
        <w:jc w:val="both"/>
        <w:rPr>
          <w:rFonts w:ascii="Calibri" w:hAnsi="Calibri" w:cs="Calibri"/>
          <w:sz w:val="24"/>
          <w:szCs w:val="24"/>
        </w:rPr>
      </w:pPr>
      <w:r w:rsidRPr="00E76F52">
        <w:rPr>
          <w:rFonts w:ascii="Calibri" w:hAnsi="Calibri" w:cs="Calibri"/>
          <w:sz w:val="24"/>
          <w:szCs w:val="24"/>
        </w:rPr>
        <w:t xml:space="preserve">Povolenky </w:t>
      </w:r>
      <w:r w:rsidR="000942E7" w:rsidRPr="00E76F52">
        <w:rPr>
          <w:rFonts w:ascii="Calibri" w:hAnsi="Calibri" w:cs="Calibri"/>
          <w:sz w:val="24"/>
          <w:szCs w:val="24"/>
        </w:rPr>
        <w:t xml:space="preserve">na emise jsou dle vyhlášky č. 410/2009 Sb. </w:t>
      </w:r>
      <w:r w:rsidRPr="00E76F52">
        <w:rPr>
          <w:rFonts w:ascii="Calibri" w:hAnsi="Calibri" w:cs="Calibri"/>
          <w:sz w:val="24"/>
          <w:szCs w:val="24"/>
        </w:rPr>
        <w:t>dlouhodob</w:t>
      </w:r>
      <w:r w:rsidR="000942E7" w:rsidRPr="00E76F52">
        <w:rPr>
          <w:rFonts w:ascii="Calibri" w:hAnsi="Calibri" w:cs="Calibri"/>
          <w:sz w:val="24"/>
          <w:szCs w:val="24"/>
        </w:rPr>
        <w:t>ým</w:t>
      </w:r>
      <w:r w:rsidRPr="00E76F52">
        <w:rPr>
          <w:rFonts w:ascii="Calibri" w:hAnsi="Calibri" w:cs="Calibri"/>
          <w:sz w:val="24"/>
          <w:szCs w:val="24"/>
        </w:rPr>
        <w:t xml:space="preserve"> nehmotn</w:t>
      </w:r>
      <w:r w:rsidR="00A639BB" w:rsidRPr="00E76F52">
        <w:rPr>
          <w:rFonts w:ascii="Calibri" w:hAnsi="Calibri" w:cs="Calibri"/>
          <w:sz w:val="24"/>
          <w:szCs w:val="24"/>
        </w:rPr>
        <w:t>ým</w:t>
      </w:r>
      <w:r w:rsidRPr="00E76F52">
        <w:rPr>
          <w:rFonts w:ascii="Calibri" w:hAnsi="Calibri" w:cs="Calibri"/>
          <w:sz w:val="24"/>
          <w:szCs w:val="24"/>
        </w:rPr>
        <w:t xml:space="preserve"> majetk</w:t>
      </w:r>
      <w:r w:rsidR="00A639BB" w:rsidRPr="00E76F52">
        <w:rPr>
          <w:rFonts w:ascii="Calibri" w:hAnsi="Calibri" w:cs="Calibri"/>
          <w:sz w:val="24"/>
          <w:szCs w:val="24"/>
        </w:rPr>
        <w:t>em</w:t>
      </w:r>
      <w:r w:rsidR="001D31BB" w:rsidRPr="00E76F52">
        <w:rPr>
          <w:rFonts w:ascii="Calibri" w:hAnsi="Calibri" w:cs="Calibri"/>
          <w:sz w:val="24"/>
          <w:szCs w:val="24"/>
        </w:rPr>
        <w:t xml:space="preserve">, </w:t>
      </w:r>
      <w:r w:rsidR="008441C5" w:rsidRPr="00E76F52">
        <w:rPr>
          <w:rFonts w:ascii="Calibri" w:hAnsi="Calibri" w:cs="Calibri"/>
          <w:sz w:val="24"/>
          <w:szCs w:val="24"/>
        </w:rPr>
        <w:t>který je vykazován na</w:t>
      </w:r>
      <w:r w:rsidR="001D31BB" w:rsidRPr="00E76F52">
        <w:rPr>
          <w:rFonts w:ascii="Calibri" w:hAnsi="Calibri" w:cs="Calibri"/>
          <w:sz w:val="24"/>
          <w:szCs w:val="24"/>
        </w:rPr>
        <w:t xml:space="preserve"> účtu </w:t>
      </w:r>
      <w:r w:rsidR="001D31BB" w:rsidRPr="00D7194E">
        <w:rPr>
          <w:rFonts w:ascii="Calibri" w:hAnsi="Calibri" w:cs="Calibri"/>
          <w:sz w:val="24"/>
          <w:szCs w:val="24"/>
        </w:rPr>
        <w:t>015</w:t>
      </w:r>
      <w:r w:rsidR="001D31BB" w:rsidRPr="00E76F52">
        <w:rPr>
          <w:rFonts w:ascii="Calibri" w:hAnsi="Calibri" w:cs="Calibri"/>
          <w:i/>
          <w:sz w:val="24"/>
          <w:szCs w:val="24"/>
        </w:rPr>
        <w:t xml:space="preserve"> </w:t>
      </w:r>
      <w:r w:rsidR="000318EE" w:rsidRPr="00E76F52">
        <w:rPr>
          <w:rFonts w:ascii="Calibri" w:hAnsi="Calibri" w:cs="Calibri"/>
          <w:i/>
          <w:sz w:val="24"/>
          <w:szCs w:val="24"/>
        </w:rPr>
        <w:t>–</w:t>
      </w:r>
      <w:r w:rsidR="001D31BB" w:rsidRPr="00E76F52">
        <w:rPr>
          <w:rFonts w:ascii="Calibri" w:hAnsi="Calibri" w:cs="Calibri"/>
          <w:i/>
          <w:sz w:val="24"/>
          <w:szCs w:val="24"/>
        </w:rPr>
        <w:t xml:space="preserve"> </w:t>
      </w:r>
      <w:r w:rsidR="000942E7" w:rsidRPr="00E76F52">
        <w:rPr>
          <w:rFonts w:ascii="Calibri" w:hAnsi="Calibri" w:cs="Calibri"/>
          <w:i/>
          <w:sz w:val="24"/>
          <w:szCs w:val="24"/>
        </w:rPr>
        <w:t>P</w:t>
      </w:r>
      <w:r w:rsidR="000318EE" w:rsidRPr="00E76F52">
        <w:rPr>
          <w:rFonts w:ascii="Calibri" w:hAnsi="Calibri" w:cs="Calibri"/>
          <w:i/>
          <w:sz w:val="24"/>
          <w:szCs w:val="24"/>
        </w:rPr>
        <w:t>ovolenky na emise a preferenční limity.</w:t>
      </w:r>
      <w:r w:rsidR="000942E7" w:rsidRPr="00E76F52">
        <w:rPr>
          <w:rFonts w:ascii="Calibri" w:hAnsi="Calibri" w:cs="Calibri"/>
          <w:sz w:val="24"/>
          <w:szCs w:val="24"/>
        </w:rPr>
        <w:t xml:space="preserve"> </w:t>
      </w:r>
      <w:r w:rsidR="00E61319" w:rsidRPr="00E76F52">
        <w:rPr>
          <w:rFonts w:ascii="Calibri" w:hAnsi="Calibri" w:cs="Calibri"/>
          <w:sz w:val="24"/>
          <w:szCs w:val="24"/>
        </w:rPr>
        <w:t>Český účetní standard pro účetn</w:t>
      </w:r>
      <w:r w:rsidR="00AE7A40" w:rsidRPr="00E76F52">
        <w:rPr>
          <w:rFonts w:ascii="Calibri" w:hAnsi="Calibri" w:cs="Calibri"/>
          <w:sz w:val="24"/>
          <w:szCs w:val="24"/>
        </w:rPr>
        <w:t>í</w:t>
      </w:r>
      <w:r w:rsidR="00E61319" w:rsidRPr="00E76F52">
        <w:rPr>
          <w:rFonts w:ascii="Calibri" w:hAnsi="Calibri" w:cs="Calibri"/>
          <w:sz w:val="24"/>
          <w:szCs w:val="24"/>
        </w:rPr>
        <w:t xml:space="preserve"> zobraz</w:t>
      </w:r>
      <w:r w:rsidR="00AE7A40" w:rsidRPr="00E76F52">
        <w:rPr>
          <w:rFonts w:ascii="Calibri" w:hAnsi="Calibri" w:cs="Calibri"/>
          <w:sz w:val="24"/>
          <w:szCs w:val="24"/>
        </w:rPr>
        <w:t>ení</w:t>
      </w:r>
      <w:r w:rsidR="00E61319" w:rsidRPr="00E76F52">
        <w:rPr>
          <w:rFonts w:ascii="Calibri" w:hAnsi="Calibri" w:cs="Calibri"/>
          <w:sz w:val="24"/>
          <w:szCs w:val="24"/>
        </w:rPr>
        <w:t xml:space="preserve"> operac</w:t>
      </w:r>
      <w:r w:rsidR="00AE7A40" w:rsidRPr="00E76F52">
        <w:rPr>
          <w:rFonts w:ascii="Calibri" w:hAnsi="Calibri" w:cs="Calibri"/>
          <w:sz w:val="24"/>
          <w:szCs w:val="24"/>
        </w:rPr>
        <w:t>í</w:t>
      </w:r>
      <w:r w:rsidR="00301578">
        <w:rPr>
          <w:rFonts w:ascii="Calibri" w:hAnsi="Calibri" w:cs="Calibri"/>
          <w:sz w:val="24"/>
          <w:szCs w:val="24"/>
        </w:rPr>
        <w:t>, které souvisejí</w:t>
      </w:r>
      <w:r w:rsidR="00EC7175" w:rsidRPr="00E76F52">
        <w:rPr>
          <w:rFonts w:ascii="Calibri" w:hAnsi="Calibri" w:cs="Calibri"/>
          <w:sz w:val="24"/>
          <w:szCs w:val="24"/>
        </w:rPr>
        <w:t xml:space="preserve"> s</w:t>
      </w:r>
      <w:r w:rsidR="007405FC" w:rsidRPr="00E76F52">
        <w:rPr>
          <w:rFonts w:ascii="Calibri" w:hAnsi="Calibri" w:cs="Calibri"/>
          <w:sz w:val="24"/>
          <w:szCs w:val="24"/>
        </w:rPr>
        <w:t xml:space="preserve"> </w:t>
      </w:r>
      <w:r w:rsidR="00EC7175" w:rsidRPr="00E76F52">
        <w:rPr>
          <w:rFonts w:ascii="Calibri" w:hAnsi="Calibri" w:cs="Calibri"/>
          <w:sz w:val="24"/>
          <w:szCs w:val="24"/>
        </w:rPr>
        <w:t>povolenkami na emise a</w:t>
      </w:r>
      <w:r w:rsidR="00301578">
        <w:rPr>
          <w:rFonts w:ascii="Calibri" w:hAnsi="Calibri" w:cs="Calibri"/>
          <w:sz w:val="24"/>
          <w:szCs w:val="24"/>
        </w:rPr>
        <w:t> </w:t>
      </w:r>
      <w:r w:rsidR="00E61319" w:rsidRPr="00E76F52">
        <w:rPr>
          <w:rFonts w:ascii="Calibri" w:hAnsi="Calibri" w:cs="Calibri"/>
          <w:sz w:val="24"/>
          <w:szCs w:val="24"/>
        </w:rPr>
        <w:t>probíhají na úrovni příslušných účetních jednotek v</w:t>
      </w:r>
      <w:r w:rsidR="007405FC" w:rsidRPr="00E76F52">
        <w:rPr>
          <w:rFonts w:ascii="Calibri" w:hAnsi="Calibri" w:cs="Calibri"/>
          <w:sz w:val="24"/>
          <w:szCs w:val="24"/>
        </w:rPr>
        <w:t xml:space="preserve"> </w:t>
      </w:r>
      <w:r w:rsidR="00E61319" w:rsidRPr="00E76F52">
        <w:rPr>
          <w:rFonts w:ascii="Calibri" w:hAnsi="Calibri" w:cs="Calibri"/>
          <w:sz w:val="24"/>
          <w:szCs w:val="24"/>
        </w:rPr>
        <w:t xml:space="preserve">rámci </w:t>
      </w:r>
      <w:r w:rsidR="00C87F11" w:rsidRPr="00E76F52">
        <w:rPr>
          <w:rFonts w:ascii="Calibri" w:hAnsi="Calibri" w:cs="Calibri"/>
          <w:sz w:val="24"/>
          <w:szCs w:val="24"/>
        </w:rPr>
        <w:t>mechanismu IET a</w:t>
      </w:r>
      <w:r w:rsidR="00850EE4" w:rsidRPr="00E76F52">
        <w:rPr>
          <w:rFonts w:ascii="Calibri" w:hAnsi="Calibri" w:cs="Calibri"/>
          <w:sz w:val="24"/>
          <w:szCs w:val="24"/>
        </w:rPr>
        <w:t xml:space="preserve"> EU</w:t>
      </w:r>
      <w:r w:rsidR="00E61319" w:rsidRPr="00E76F52">
        <w:rPr>
          <w:rFonts w:ascii="Calibri" w:hAnsi="Calibri" w:cs="Calibri"/>
          <w:sz w:val="24"/>
          <w:szCs w:val="24"/>
        </w:rPr>
        <w:t xml:space="preserve"> ETS</w:t>
      </w:r>
      <w:r w:rsidR="00301578">
        <w:rPr>
          <w:rFonts w:ascii="Calibri" w:hAnsi="Calibri" w:cs="Calibri"/>
          <w:sz w:val="24"/>
          <w:szCs w:val="24"/>
        </w:rPr>
        <w:t>,</w:t>
      </w:r>
      <w:r w:rsidR="00E61319" w:rsidRPr="00E76F52">
        <w:rPr>
          <w:rFonts w:ascii="Calibri" w:hAnsi="Calibri" w:cs="Calibri"/>
          <w:sz w:val="24"/>
          <w:szCs w:val="24"/>
        </w:rPr>
        <w:t xml:space="preserve"> vydán nebyl.</w:t>
      </w:r>
    </w:p>
    <w:p w:rsidR="005416A5" w:rsidRPr="00E76F52" w:rsidRDefault="005416A5" w:rsidP="00E76F52">
      <w:pPr>
        <w:spacing w:after="0" w:line="240" w:lineRule="auto"/>
        <w:jc w:val="both"/>
        <w:rPr>
          <w:rFonts w:ascii="Calibri" w:hAnsi="Calibri" w:cs="Calibri"/>
          <w:sz w:val="24"/>
          <w:szCs w:val="24"/>
        </w:rPr>
      </w:pPr>
    </w:p>
    <w:p w:rsidR="00E145B3" w:rsidRDefault="00F67548" w:rsidP="00E76F52">
      <w:pPr>
        <w:spacing w:after="0" w:line="240" w:lineRule="auto"/>
        <w:jc w:val="both"/>
        <w:rPr>
          <w:rFonts w:ascii="Calibri" w:hAnsi="Calibri" w:cs="Calibri"/>
          <w:bCs/>
          <w:iCs/>
          <w:sz w:val="24"/>
          <w:szCs w:val="24"/>
        </w:rPr>
      </w:pPr>
      <w:r w:rsidRPr="00E76F52">
        <w:rPr>
          <w:rFonts w:ascii="Calibri" w:hAnsi="Calibri" w:cs="Calibri"/>
          <w:sz w:val="24"/>
          <w:szCs w:val="24"/>
        </w:rPr>
        <w:t>MŽP začalo účtovat o nabytí povolenek jakožto majetku České republiky v</w:t>
      </w:r>
      <w:r w:rsidR="007405FC" w:rsidRPr="00E76F52">
        <w:rPr>
          <w:rFonts w:ascii="Calibri" w:hAnsi="Calibri" w:cs="Calibri"/>
          <w:sz w:val="24"/>
          <w:szCs w:val="24"/>
        </w:rPr>
        <w:t xml:space="preserve"> </w:t>
      </w:r>
      <w:r w:rsidRPr="00E76F52">
        <w:rPr>
          <w:rFonts w:ascii="Calibri" w:hAnsi="Calibri" w:cs="Calibri"/>
          <w:sz w:val="24"/>
          <w:szCs w:val="24"/>
        </w:rPr>
        <w:t>souvislosti s</w:t>
      </w:r>
      <w:r w:rsidR="007405FC" w:rsidRPr="00E76F52">
        <w:rPr>
          <w:rFonts w:ascii="Calibri" w:hAnsi="Calibri" w:cs="Calibri"/>
          <w:sz w:val="24"/>
          <w:szCs w:val="24"/>
        </w:rPr>
        <w:t xml:space="preserve"> </w:t>
      </w:r>
      <w:r w:rsidRPr="00E76F52">
        <w:rPr>
          <w:rFonts w:ascii="Calibri" w:hAnsi="Calibri" w:cs="Calibri"/>
          <w:sz w:val="24"/>
          <w:szCs w:val="24"/>
        </w:rPr>
        <w:t>jejich první dražbou, která byla v</w:t>
      </w:r>
      <w:r w:rsidR="007405FC" w:rsidRPr="00E76F52">
        <w:rPr>
          <w:rFonts w:ascii="Calibri" w:hAnsi="Calibri" w:cs="Calibri"/>
          <w:sz w:val="24"/>
          <w:szCs w:val="24"/>
        </w:rPr>
        <w:t xml:space="preserve"> </w:t>
      </w:r>
      <w:r w:rsidRPr="00E76F52">
        <w:rPr>
          <w:rFonts w:ascii="Calibri" w:hAnsi="Calibri" w:cs="Calibri"/>
          <w:sz w:val="24"/>
          <w:szCs w:val="24"/>
        </w:rPr>
        <w:t>říjnu 2012</w:t>
      </w:r>
      <w:r w:rsidRPr="00E76F52">
        <w:rPr>
          <w:rStyle w:val="Znakapoznpodarou"/>
          <w:rFonts w:ascii="Calibri" w:hAnsi="Calibri" w:cs="Calibri"/>
          <w:sz w:val="24"/>
          <w:szCs w:val="24"/>
        </w:rPr>
        <w:footnoteReference w:id="43"/>
      </w:r>
      <w:r w:rsidRPr="00E76F52">
        <w:rPr>
          <w:rFonts w:ascii="Calibri" w:hAnsi="Calibri" w:cs="Calibri"/>
          <w:sz w:val="24"/>
          <w:szCs w:val="24"/>
        </w:rPr>
        <w:t>.</w:t>
      </w:r>
      <w:r w:rsidR="00BD0990">
        <w:rPr>
          <w:rFonts w:ascii="Calibri" w:hAnsi="Calibri" w:cs="Calibri"/>
          <w:sz w:val="24"/>
          <w:szCs w:val="24"/>
        </w:rPr>
        <w:t xml:space="preserve"> </w:t>
      </w:r>
      <w:r w:rsidR="00ED7502" w:rsidRPr="00E76F52">
        <w:rPr>
          <w:rFonts w:ascii="Calibri" w:hAnsi="Calibri" w:cs="Calibri"/>
          <w:sz w:val="24"/>
          <w:szCs w:val="24"/>
        </w:rPr>
        <w:t>V</w:t>
      </w:r>
      <w:r w:rsidR="007405FC" w:rsidRPr="00E76F52">
        <w:rPr>
          <w:rFonts w:ascii="Calibri" w:hAnsi="Calibri" w:cs="Calibri"/>
          <w:sz w:val="24"/>
          <w:szCs w:val="24"/>
        </w:rPr>
        <w:t xml:space="preserve"> </w:t>
      </w:r>
      <w:r w:rsidR="00ED7502" w:rsidRPr="00E76F52">
        <w:rPr>
          <w:rFonts w:ascii="Calibri" w:hAnsi="Calibri" w:cs="Calibri"/>
          <w:sz w:val="24"/>
          <w:szCs w:val="24"/>
        </w:rPr>
        <w:t>průběhu</w:t>
      </w:r>
      <w:r w:rsidRPr="00E76F52">
        <w:rPr>
          <w:rFonts w:ascii="Calibri" w:hAnsi="Calibri" w:cs="Calibri"/>
          <w:sz w:val="24"/>
          <w:szCs w:val="24"/>
        </w:rPr>
        <w:t xml:space="preserve"> účetního období</w:t>
      </w:r>
      <w:r w:rsidR="00B800E2" w:rsidRPr="00E76F52">
        <w:rPr>
          <w:rFonts w:ascii="Calibri" w:hAnsi="Calibri" w:cs="Calibri"/>
          <w:sz w:val="24"/>
          <w:szCs w:val="24"/>
        </w:rPr>
        <w:t xml:space="preserve"> </w:t>
      </w:r>
      <w:r w:rsidR="00ED7502" w:rsidRPr="00E76F52">
        <w:rPr>
          <w:rFonts w:ascii="Calibri" w:hAnsi="Calibri" w:cs="Calibri"/>
          <w:sz w:val="24"/>
          <w:szCs w:val="24"/>
        </w:rPr>
        <w:t>2013 MŽP změnilo postupy účtování</w:t>
      </w:r>
      <w:r w:rsidRPr="00E76F52">
        <w:rPr>
          <w:rFonts w:ascii="Calibri" w:hAnsi="Calibri" w:cs="Calibri"/>
          <w:sz w:val="24"/>
          <w:szCs w:val="24"/>
        </w:rPr>
        <w:t xml:space="preserve"> o povolenkách.</w:t>
      </w:r>
      <w:r w:rsidR="00436EF9" w:rsidRPr="00E76F52">
        <w:rPr>
          <w:rFonts w:ascii="Calibri" w:hAnsi="Calibri" w:cs="Calibri"/>
          <w:sz w:val="24"/>
          <w:szCs w:val="24"/>
        </w:rPr>
        <w:t xml:space="preserve"> </w:t>
      </w:r>
      <w:r w:rsidR="00A04396" w:rsidRPr="00E76F52">
        <w:rPr>
          <w:rFonts w:ascii="Calibri" w:hAnsi="Calibri" w:cs="Calibri"/>
          <w:bCs/>
          <w:iCs/>
          <w:sz w:val="24"/>
          <w:szCs w:val="24"/>
        </w:rPr>
        <w:t>Do 30. září</w:t>
      </w:r>
      <w:r w:rsidR="00BD0990">
        <w:rPr>
          <w:rFonts w:ascii="Calibri" w:hAnsi="Calibri" w:cs="Calibri"/>
          <w:bCs/>
          <w:iCs/>
          <w:sz w:val="24"/>
          <w:szCs w:val="24"/>
        </w:rPr>
        <w:t xml:space="preserve"> </w:t>
      </w:r>
      <w:r w:rsidR="00A04396" w:rsidRPr="00E76F52">
        <w:rPr>
          <w:rFonts w:ascii="Calibri" w:hAnsi="Calibri" w:cs="Calibri"/>
          <w:bCs/>
          <w:iCs/>
          <w:sz w:val="24"/>
          <w:szCs w:val="24"/>
        </w:rPr>
        <w:t>2013 MŽP účtovalo</w:t>
      </w:r>
      <w:r w:rsidR="00EA69DB" w:rsidRPr="00E76F52">
        <w:rPr>
          <w:rFonts w:ascii="Calibri" w:hAnsi="Calibri" w:cs="Calibri"/>
          <w:bCs/>
          <w:iCs/>
          <w:sz w:val="24"/>
          <w:szCs w:val="24"/>
        </w:rPr>
        <w:t xml:space="preserve"> pouze o </w:t>
      </w:r>
      <w:r w:rsidR="00C400A0" w:rsidRPr="00E76F52">
        <w:rPr>
          <w:rFonts w:ascii="Calibri" w:hAnsi="Calibri" w:cs="Calibri"/>
          <w:bCs/>
          <w:iCs/>
          <w:sz w:val="24"/>
          <w:szCs w:val="24"/>
        </w:rPr>
        <w:t xml:space="preserve">prodeji povolenek </w:t>
      </w:r>
      <w:r w:rsidR="00301578">
        <w:rPr>
          <w:rFonts w:ascii="Calibri" w:hAnsi="Calibri" w:cs="Calibri"/>
          <w:bCs/>
          <w:iCs/>
          <w:sz w:val="24"/>
          <w:szCs w:val="24"/>
        </w:rPr>
        <w:t>(</w:t>
      </w:r>
      <w:r w:rsidR="00C400A0" w:rsidRPr="00E76F52">
        <w:rPr>
          <w:rFonts w:ascii="Calibri" w:hAnsi="Calibri" w:cs="Calibri"/>
          <w:bCs/>
          <w:iCs/>
          <w:sz w:val="24"/>
          <w:szCs w:val="24"/>
        </w:rPr>
        <w:t>tzn.</w:t>
      </w:r>
      <w:r w:rsidR="00EA69DB" w:rsidRPr="00E76F52">
        <w:rPr>
          <w:rFonts w:ascii="Calibri" w:hAnsi="Calibri" w:cs="Calibri"/>
          <w:bCs/>
          <w:iCs/>
          <w:sz w:val="24"/>
          <w:szCs w:val="24"/>
        </w:rPr>
        <w:t xml:space="preserve"> o jejich</w:t>
      </w:r>
      <w:r w:rsidR="00A04396" w:rsidRPr="00E76F52">
        <w:rPr>
          <w:rFonts w:ascii="Calibri" w:hAnsi="Calibri" w:cs="Calibri"/>
          <w:bCs/>
          <w:iCs/>
          <w:sz w:val="24"/>
          <w:szCs w:val="24"/>
        </w:rPr>
        <w:t xml:space="preserve"> přírůstku</w:t>
      </w:r>
      <w:r w:rsidR="00CA0287" w:rsidRPr="00E76F52">
        <w:rPr>
          <w:rFonts w:ascii="Calibri" w:hAnsi="Calibri" w:cs="Calibri"/>
          <w:bCs/>
          <w:iCs/>
          <w:sz w:val="24"/>
          <w:szCs w:val="24"/>
        </w:rPr>
        <w:t xml:space="preserve"> </w:t>
      </w:r>
      <w:r w:rsidR="00EA69DB" w:rsidRPr="00E76F52">
        <w:rPr>
          <w:rFonts w:ascii="Calibri" w:hAnsi="Calibri" w:cs="Calibri"/>
          <w:bCs/>
          <w:iCs/>
          <w:sz w:val="24"/>
          <w:szCs w:val="24"/>
        </w:rPr>
        <w:t>a současně</w:t>
      </w:r>
      <w:r w:rsidR="0013136F" w:rsidRPr="00E76F52">
        <w:rPr>
          <w:rFonts w:ascii="Calibri" w:hAnsi="Calibri" w:cs="Calibri"/>
          <w:bCs/>
          <w:iCs/>
          <w:sz w:val="24"/>
          <w:szCs w:val="24"/>
        </w:rPr>
        <w:t xml:space="preserve"> </w:t>
      </w:r>
      <w:r w:rsidR="00740DE0" w:rsidRPr="00E76F52">
        <w:rPr>
          <w:rFonts w:ascii="Calibri" w:hAnsi="Calibri" w:cs="Calibri"/>
          <w:bCs/>
          <w:iCs/>
          <w:sz w:val="24"/>
          <w:szCs w:val="24"/>
        </w:rPr>
        <w:t>o </w:t>
      </w:r>
      <w:r w:rsidR="00C861D2" w:rsidRPr="00E76F52">
        <w:rPr>
          <w:rFonts w:ascii="Calibri" w:hAnsi="Calibri" w:cs="Calibri"/>
          <w:bCs/>
          <w:iCs/>
          <w:sz w:val="24"/>
          <w:szCs w:val="24"/>
        </w:rPr>
        <w:t xml:space="preserve">jejich </w:t>
      </w:r>
      <w:r w:rsidR="00A04396" w:rsidRPr="00E76F52">
        <w:rPr>
          <w:rFonts w:ascii="Calibri" w:hAnsi="Calibri" w:cs="Calibri"/>
          <w:bCs/>
          <w:iCs/>
          <w:sz w:val="24"/>
          <w:szCs w:val="24"/>
        </w:rPr>
        <w:t>úbytku</w:t>
      </w:r>
      <w:r w:rsidR="00301578">
        <w:rPr>
          <w:rFonts w:ascii="Calibri" w:hAnsi="Calibri" w:cs="Calibri"/>
          <w:bCs/>
          <w:iCs/>
          <w:sz w:val="24"/>
          <w:szCs w:val="24"/>
        </w:rPr>
        <w:t>)</w:t>
      </w:r>
      <w:r w:rsidR="00EA69DB" w:rsidRPr="00E76F52">
        <w:rPr>
          <w:rFonts w:ascii="Calibri" w:hAnsi="Calibri" w:cs="Calibri"/>
          <w:bCs/>
          <w:iCs/>
          <w:sz w:val="24"/>
          <w:szCs w:val="24"/>
        </w:rPr>
        <w:t xml:space="preserve"> </w:t>
      </w:r>
      <w:r w:rsidR="003342CB" w:rsidRPr="00E76F52">
        <w:rPr>
          <w:rFonts w:ascii="Calibri" w:hAnsi="Calibri" w:cs="Calibri"/>
          <w:bCs/>
          <w:iCs/>
          <w:sz w:val="24"/>
          <w:szCs w:val="24"/>
        </w:rPr>
        <w:t>v</w:t>
      </w:r>
      <w:r w:rsidR="007405FC" w:rsidRPr="00E76F52">
        <w:rPr>
          <w:rFonts w:ascii="Calibri" w:hAnsi="Calibri" w:cs="Calibri"/>
          <w:bCs/>
          <w:iCs/>
          <w:sz w:val="24"/>
          <w:szCs w:val="24"/>
        </w:rPr>
        <w:t xml:space="preserve"> </w:t>
      </w:r>
      <w:r w:rsidR="00D94BC8" w:rsidRPr="00E76F52">
        <w:rPr>
          <w:rFonts w:ascii="Calibri" w:hAnsi="Calibri" w:cs="Calibri"/>
          <w:bCs/>
          <w:iCs/>
          <w:sz w:val="24"/>
          <w:szCs w:val="24"/>
        </w:rPr>
        <w:t>a</w:t>
      </w:r>
      <w:r w:rsidR="003342CB" w:rsidRPr="00E76F52">
        <w:rPr>
          <w:rFonts w:ascii="Calibri" w:hAnsi="Calibri" w:cs="Calibri"/>
          <w:bCs/>
          <w:iCs/>
          <w:sz w:val="24"/>
          <w:szCs w:val="24"/>
        </w:rPr>
        <w:t>ktuálně prodaném množství</w:t>
      </w:r>
      <w:r w:rsidR="00C400A0" w:rsidRPr="00E76F52">
        <w:rPr>
          <w:rFonts w:ascii="Calibri" w:hAnsi="Calibri" w:cs="Calibri"/>
          <w:bCs/>
          <w:iCs/>
          <w:sz w:val="24"/>
          <w:szCs w:val="24"/>
        </w:rPr>
        <w:t>.</w:t>
      </w:r>
      <w:r w:rsidR="00C07C74" w:rsidRPr="00E76F52">
        <w:rPr>
          <w:rFonts w:ascii="Calibri" w:hAnsi="Calibri" w:cs="Calibri"/>
          <w:bCs/>
          <w:iCs/>
          <w:sz w:val="24"/>
          <w:szCs w:val="24"/>
        </w:rPr>
        <w:t xml:space="preserve"> </w:t>
      </w:r>
      <w:r w:rsidR="00A04396" w:rsidRPr="00E76F52">
        <w:rPr>
          <w:rFonts w:ascii="Calibri" w:hAnsi="Calibri" w:cs="Calibri"/>
          <w:bCs/>
          <w:iCs/>
          <w:sz w:val="24"/>
          <w:szCs w:val="24"/>
        </w:rPr>
        <w:t>Přírůstek a</w:t>
      </w:r>
      <w:r w:rsidR="00D7194E">
        <w:rPr>
          <w:rFonts w:ascii="Calibri" w:hAnsi="Calibri" w:cs="Calibri"/>
          <w:bCs/>
          <w:iCs/>
          <w:sz w:val="24"/>
          <w:szCs w:val="24"/>
        </w:rPr>
        <w:t> </w:t>
      </w:r>
      <w:r w:rsidR="00A04396" w:rsidRPr="00E76F52">
        <w:rPr>
          <w:rFonts w:ascii="Calibri" w:hAnsi="Calibri" w:cs="Calibri"/>
          <w:bCs/>
          <w:iCs/>
          <w:sz w:val="24"/>
          <w:szCs w:val="24"/>
        </w:rPr>
        <w:t>úbytek majetku zaúčtovalo</w:t>
      </w:r>
      <w:r w:rsidR="00301578" w:rsidRPr="00301578">
        <w:rPr>
          <w:rFonts w:ascii="Calibri" w:hAnsi="Calibri" w:cs="Calibri"/>
          <w:bCs/>
          <w:iCs/>
          <w:sz w:val="24"/>
          <w:szCs w:val="24"/>
        </w:rPr>
        <w:t xml:space="preserve"> </w:t>
      </w:r>
      <w:r w:rsidR="00301578" w:rsidRPr="00E76F52">
        <w:rPr>
          <w:rFonts w:ascii="Calibri" w:hAnsi="Calibri" w:cs="Calibri"/>
          <w:bCs/>
          <w:iCs/>
          <w:sz w:val="24"/>
          <w:szCs w:val="24"/>
        </w:rPr>
        <w:t>MŽP</w:t>
      </w:r>
      <w:r w:rsidR="00EA69DB" w:rsidRPr="00E76F52">
        <w:rPr>
          <w:rFonts w:ascii="Calibri" w:hAnsi="Calibri" w:cs="Calibri"/>
          <w:bCs/>
          <w:iCs/>
          <w:sz w:val="24"/>
          <w:szCs w:val="24"/>
        </w:rPr>
        <w:t xml:space="preserve"> vždy</w:t>
      </w:r>
      <w:r w:rsidR="00A04396" w:rsidRPr="00E76F52">
        <w:rPr>
          <w:rFonts w:ascii="Calibri" w:hAnsi="Calibri" w:cs="Calibri"/>
          <w:bCs/>
          <w:iCs/>
          <w:sz w:val="24"/>
          <w:szCs w:val="24"/>
        </w:rPr>
        <w:t xml:space="preserve"> ve stejné výši</w:t>
      </w:r>
      <w:r w:rsidR="00EA69DB" w:rsidRPr="00E76F52">
        <w:rPr>
          <w:rFonts w:ascii="Calibri" w:hAnsi="Calibri" w:cs="Calibri"/>
          <w:bCs/>
          <w:iCs/>
          <w:sz w:val="24"/>
          <w:szCs w:val="24"/>
        </w:rPr>
        <w:t xml:space="preserve"> </w:t>
      </w:r>
      <w:r w:rsidR="00301578">
        <w:rPr>
          <w:rFonts w:ascii="Calibri" w:hAnsi="Calibri" w:cs="Calibri"/>
          <w:bCs/>
          <w:iCs/>
          <w:sz w:val="24"/>
          <w:szCs w:val="24"/>
        </w:rPr>
        <w:t>(</w:t>
      </w:r>
      <w:r w:rsidR="00EA69DB" w:rsidRPr="00E76F52">
        <w:rPr>
          <w:rFonts w:ascii="Calibri" w:hAnsi="Calibri" w:cs="Calibri"/>
          <w:bCs/>
          <w:iCs/>
          <w:sz w:val="24"/>
          <w:szCs w:val="24"/>
        </w:rPr>
        <w:t>tzn.</w:t>
      </w:r>
      <w:r w:rsidR="008C7D9B" w:rsidRPr="00E76F52">
        <w:rPr>
          <w:rFonts w:ascii="Calibri" w:hAnsi="Calibri" w:cs="Calibri"/>
          <w:bCs/>
          <w:iCs/>
          <w:sz w:val="24"/>
          <w:szCs w:val="24"/>
        </w:rPr>
        <w:t xml:space="preserve"> </w:t>
      </w:r>
      <w:r w:rsidR="00A04396" w:rsidRPr="00E76F52">
        <w:rPr>
          <w:rFonts w:ascii="Calibri" w:hAnsi="Calibri" w:cs="Calibri"/>
          <w:bCs/>
          <w:iCs/>
          <w:sz w:val="24"/>
          <w:szCs w:val="24"/>
        </w:rPr>
        <w:t>v</w:t>
      </w:r>
      <w:r w:rsidR="007405FC" w:rsidRPr="00E76F52">
        <w:rPr>
          <w:rFonts w:ascii="Calibri" w:hAnsi="Calibri" w:cs="Calibri"/>
          <w:bCs/>
          <w:iCs/>
          <w:sz w:val="24"/>
          <w:szCs w:val="24"/>
        </w:rPr>
        <w:t xml:space="preserve"> </w:t>
      </w:r>
      <w:r w:rsidR="00A04396" w:rsidRPr="00E76F52">
        <w:rPr>
          <w:rFonts w:ascii="Calibri" w:hAnsi="Calibri" w:cs="Calibri"/>
          <w:bCs/>
          <w:iCs/>
          <w:sz w:val="24"/>
          <w:szCs w:val="24"/>
        </w:rPr>
        <w:t>množství aktuálně vydražených povolenek a v</w:t>
      </w:r>
      <w:r w:rsidR="007405FC" w:rsidRPr="00E76F52">
        <w:rPr>
          <w:rFonts w:ascii="Calibri" w:hAnsi="Calibri" w:cs="Calibri"/>
          <w:bCs/>
          <w:iCs/>
          <w:sz w:val="24"/>
          <w:szCs w:val="24"/>
        </w:rPr>
        <w:t xml:space="preserve"> </w:t>
      </w:r>
      <w:r w:rsidR="00A04396" w:rsidRPr="00E76F52">
        <w:rPr>
          <w:rFonts w:ascii="Calibri" w:hAnsi="Calibri" w:cs="Calibri"/>
          <w:bCs/>
          <w:iCs/>
          <w:sz w:val="24"/>
          <w:szCs w:val="24"/>
        </w:rPr>
        <w:t>ocenění tržní hodnotou k okamžiku prodeje</w:t>
      </w:r>
      <w:r w:rsidR="00301578">
        <w:rPr>
          <w:rFonts w:ascii="Calibri" w:hAnsi="Calibri" w:cs="Calibri"/>
          <w:bCs/>
          <w:iCs/>
          <w:sz w:val="24"/>
          <w:szCs w:val="24"/>
        </w:rPr>
        <w:t>)</w:t>
      </w:r>
      <w:r w:rsidR="00CA0287" w:rsidRPr="00E76F52">
        <w:rPr>
          <w:rFonts w:ascii="Calibri" w:hAnsi="Calibri" w:cs="Calibri"/>
          <w:bCs/>
          <w:iCs/>
          <w:sz w:val="24"/>
          <w:szCs w:val="24"/>
        </w:rPr>
        <w:t xml:space="preserve">. </w:t>
      </w:r>
      <w:r w:rsidRPr="00E76F52">
        <w:rPr>
          <w:rFonts w:ascii="Calibri" w:hAnsi="Calibri" w:cs="Calibri"/>
          <w:bCs/>
          <w:iCs/>
          <w:sz w:val="24"/>
          <w:szCs w:val="24"/>
        </w:rPr>
        <w:t>Účtováno tak bylo o</w:t>
      </w:r>
      <w:r w:rsidR="00D7194E">
        <w:rPr>
          <w:rFonts w:ascii="Calibri" w:hAnsi="Calibri" w:cs="Calibri"/>
          <w:bCs/>
          <w:iCs/>
          <w:sz w:val="24"/>
          <w:szCs w:val="24"/>
        </w:rPr>
        <w:t> </w:t>
      </w:r>
      <w:r w:rsidR="00A04396" w:rsidRPr="00E76F52">
        <w:rPr>
          <w:rFonts w:ascii="Calibri" w:hAnsi="Calibri" w:cs="Calibri"/>
          <w:bCs/>
          <w:iCs/>
          <w:sz w:val="24"/>
          <w:szCs w:val="24"/>
        </w:rPr>
        <w:t>povolenkách</w:t>
      </w:r>
      <w:r w:rsidR="00E145B3" w:rsidRPr="00E76F52">
        <w:rPr>
          <w:rFonts w:ascii="Calibri" w:hAnsi="Calibri" w:cs="Calibri"/>
          <w:bCs/>
          <w:iCs/>
          <w:sz w:val="24"/>
          <w:szCs w:val="24"/>
        </w:rPr>
        <w:t>,</w:t>
      </w:r>
      <w:r w:rsidRPr="00E76F52">
        <w:rPr>
          <w:rFonts w:ascii="Calibri" w:hAnsi="Calibri" w:cs="Calibri"/>
          <w:bCs/>
          <w:iCs/>
          <w:sz w:val="24"/>
          <w:szCs w:val="24"/>
        </w:rPr>
        <w:t xml:space="preserve"> u kterých</w:t>
      </w:r>
      <w:r w:rsidR="00A04396" w:rsidRPr="00E76F52">
        <w:rPr>
          <w:rFonts w:ascii="Calibri" w:hAnsi="Calibri" w:cs="Calibri"/>
          <w:bCs/>
          <w:iCs/>
          <w:sz w:val="24"/>
          <w:szCs w:val="24"/>
        </w:rPr>
        <w:t xml:space="preserve"> bylo jednoznačně </w:t>
      </w:r>
      <w:r w:rsidR="00301578">
        <w:rPr>
          <w:rFonts w:ascii="Calibri" w:hAnsi="Calibri" w:cs="Calibri"/>
          <w:bCs/>
          <w:iCs/>
          <w:sz w:val="24"/>
          <w:szCs w:val="24"/>
        </w:rPr>
        <w:t>známo</w:t>
      </w:r>
      <w:r w:rsidR="00A04396" w:rsidRPr="00E76F52">
        <w:rPr>
          <w:rFonts w:ascii="Calibri" w:hAnsi="Calibri" w:cs="Calibri"/>
          <w:bCs/>
          <w:iCs/>
          <w:sz w:val="24"/>
          <w:szCs w:val="24"/>
        </w:rPr>
        <w:t xml:space="preserve"> množství prodaných povolenek. </w:t>
      </w:r>
      <w:r w:rsidR="00E145B3" w:rsidRPr="00E76F52">
        <w:rPr>
          <w:rFonts w:ascii="Calibri" w:hAnsi="Calibri" w:cs="Calibri"/>
          <w:bCs/>
          <w:iCs/>
          <w:sz w:val="24"/>
          <w:szCs w:val="24"/>
        </w:rPr>
        <w:t xml:space="preserve">Zvolený postup účtování neměl dopad </w:t>
      </w:r>
      <w:r w:rsidR="00BD0990">
        <w:rPr>
          <w:rFonts w:ascii="Calibri" w:hAnsi="Calibri" w:cs="Calibri"/>
          <w:bCs/>
          <w:iCs/>
          <w:sz w:val="24"/>
          <w:szCs w:val="24"/>
        </w:rPr>
        <w:t>na výsledek</w:t>
      </w:r>
      <w:r w:rsidR="00C861D2" w:rsidRPr="00E76F52">
        <w:rPr>
          <w:rFonts w:ascii="Calibri" w:hAnsi="Calibri" w:cs="Calibri"/>
          <w:bCs/>
          <w:iCs/>
          <w:sz w:val="24"/>
          <w:szCs w:val="24"/>
        </w:rPr>
        <w:t xml:space="preserve"> hospodaření</w:t>
      </w:r>
      <w:r w:rsidR="00E145B3" w:rsidRPr="00E76F52">
        <w:rPr>
          <w:rFonts w:ascii="Calibri" w:hAnsi="Calibri" w:cs="Calibri"/>
          <w:bCs/>
          <w:iCs/>
          <w:sz w:val="24"/>
          <w:szCs w:val="24"/>
        </w:rPr>
        <w:t xml:space="preserve"> MŽP, neboť částka zaúčtovaná z</w:t>
      </w:r>
      <w:r w:rsidR="00D7194E">
        <w:rPr>
          <w:rFonts w:ascii="Calibri" w:hAnsi="Calibri" w:cs="Calibri"/>
          <w:bCs/>
          <w:iCs/>
          <w:sz w:val="24"/>
          <w:szCs w:val="24"/>
        </w:rPr>
        <w:t> </w:t>
      </w:r>
      <w:r w:rsidR="00E145B3" w:rsidRPr="00E76F52">
        <w:rPr>
          <w:rFonts w:ascii="Calibri" w:hAnsi="Calibri" w:cs="Calibri"/>
          <w:bCs/>
          <w:iCs/>
          <w:sz w:val="24"/>
          <w:szCs w:val="24"/>
        </w:rPr>
        <w:t>titulu prodeje do nákladů jako zůstatková ce</w:t>
      </w:r>
      <w:r w:rsidR="00EF049D" w:rsidRPr="00E76F52">
        <w:rPr>
          <w:rFonts w:ascii="Calibri" w:hAnsi="Calibri" w:cs="Calibri"/>
          <w:bCs/>
          <w:iCs/>
          <w:sz w:val="24"/>
          <w:szCs w:val="24"/>
        </w:rPr>
        <w:t xml:space="preserve">na prodaného majetku </w:t>
      </w:r>
      <w:r w:rsidR="00E145B3" w:rsidRPr="00E76F52">
        <w:rPr>
          <w:rFonts w:ascii="Calibri" w:hAnsi="Calibri" w:cs="Calibri"/>
          <w:bCs/>
          <w:iCs/>
          <w:sz w:val="24"/>
          <w:szCs w:val="24"/>
        </w:rPr>
        <w:t xml:space="preserve">byla </w:t>
      </w:r>
      <w:r w:rsidRPr="00E76F52">
        <w:rPr>
          <w:rFonts w:ascii="Calibri" w:hAnsi="Calibri" w:cs="Calibri"/>
          <w:bCs/>
          <w:iCs/>
          <w:sz w:val="24"/>
          <w:szCs w:val="24"/>
        </w:rPr>
        <w:t>totožná</w:t>
      </w:r>
      <w:r w:rsidR="00E145B3" w:rsidRPr="00E76F52">
        <w:rPr>
          <w:rFonts w:ascii="Calibri" w:hAnsi="Calibri" w:cs="Calibri"/>
          <w:bCs/>
          <w:iCs/>
          <w:sz w:val="24"/>
          <w:szCs w:val="24"/>
        </w:rPr>
        <w:t xml:space="preserve"> s částkou zaúčtovanou </w:t>
      </w:r>
      <w:r w:rsidR="00EF049D" w:rsidRPr="00E76F52">
        <w:rPr>
          <w:rFonts w:ascii="Calibri" w:hAnsi="Calibri" w:cs="Calibri"/>
          <w:bCs/>
          <w:iCs/>
          <w:sz w:val="24"/>
          <w:szCs w:val="24"/>
        </w:rPr>
        <w:t xml:space="preserve">do výnosů ve </w:t>
      </w:r>
      <w:r w:rsidR="0013136F" w:rsidRPr="00E76F52">
        <w:rPr>
          <w:rFonts w:ascii="Calibri" w:hAnsi="Calibri" w:cs="Calibri"/>
          <w:bCs/>
          <w:iCs/>
          <w:sz w:val="24"/>
          <w:szCs w:val="24"/>
        </w:rPr>
        <w:t xml:space="preserve">výši realizovaných tržeb. </w:t>
      </w:r>
    </w:p>
    <w:p w:rsidR="005416A5" w:rsidRPr="00E76F52" w:rsidRDefault="005416A5" w:rsidP="00E76F52">
      <w:pPr>
        <w:spacing w:after="0" w:line="240" w:lineRule="auto"/>
        <w:jc w:val="both"/>
        <w:rPr>
          <w:rFonts w:ascii="Calibri" w:hAnsi="Calibri" w:cs="Calibri"/>
          <w:bCs/>
          <w:iCs/>
          <w:sz w:val="24"/>
          <w:szCs w:val="24"/>
        </w:rPr>
      </w:pPr>
    </w:p>
    <w:p w:rsidR="00595749" w:rsidRDefault="00F52B52"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t xml:space="preserve">Ke dni 30. září 2013 MŽP změnilo dosud aplikovaný </w:t>
      </w:r>
      <w:r w:rsidR="00455F6B" w:rsidRPr="00E76F52">
        <w:rPr>
          <w:rFonts w:ascii="Calibri" w:hAnsi="Calibri" w:cs="Calibri"/>
          <w:bCs/>
          <w:iCs/>
          <w:sz w:val="24"/>
          <w:szCs w:val="24"/>
        </w:rPr>
        <w:t>přístup k</w:t>
      </w:r>
      <w:r w:rsidRPr="00E76F52">
        <w:rPr>
          <w:rFonts w:ascii="Calibri" w:hAnsi="Calibri" w:cs="Calibri"/>
          <w:bCs/>
          <w:iCs/>
          <w:sz w:val="24"/>
          <w:szCs w:val="24"/>
        </w:rPr>
        <w:t xml:space="preserve"> účtování</w:t>
      </w:r>
      <w:r w:rsidR="00535578" w:rsidRPr="00E76F52">
        <w:rPr>
          <w:rStyle w:val="Znakapoznpodarou"/>
          <w:rFonts w:ascii="Calibri" w:hAnsi="Calibri" w:cs="Calibri"/>
          <w:bCs/>
          <w:iCs/>
          <w:sz w:val="24"/>
          <w:szCs w:val="24"/>
        </w:rPr>
        <w:footnoteReference w:id="44"/>
      </w:r>
      <w:r w:rsidRPr="00E76F52">
        <w:rPr>
          <w:rFonts w:ascii="Calibri" w:hAnsi="Calibri" w:cs="Calibri"/>
          <w:bCs/>
          <w:iCs/>
          <w:sz w:val="24"/>
          <w:szCs w:val="24"/>
        </w:rPr>
        <w:t xml:space="preserve"> </w:t>
      </w:r>
      <w:r w:rsidR="00455F6B" w:rsidRPr="00E76F52">
        <w:rPr>
          <w:rFonts w:ascii="Calibri" w:hAnsi="Calibri" w:cs="Calibri"/>
          <w:bCs/>
          <w:iCs/>
          <w:sz w:val="24"/>
          <w:szCs w:val="24"/>
        </w:rPr>
        <w:t>povolenek</w:t>
      </w:r>
      <w:r w:rsidRPr="00E76F52">
        <w:rPr>
          <w:rFonts w:ascii="Calibri" w:hAnsi="Calibri" w:cs="Calibri"/>
          <w:bCs/>
          <w:iCs/>
          <w:sz w:val="24"/>
          <w:szCs w:val="24"/>
        </w:rPr>
        <w:t xml:space="preserve"> a na účet </w:t>
      </w:r>
      <w:r w:rsidRPr="00D7194E">
        <w:rPr>
          <w:rFonts w:ascii="Calibri" w:hAnsi="Calibri" w:cs="Calibri"/>
          <w:bCs/>
          <w:iCs/>
          <w:sz w:val="24"/>
          <w:szCs w:val="24"/>
        </w:rPr>
        <w:t>015</w:t>
      </w:r>
      <w:r w:rsidRPr="00E76F52">
        <w:rPr>
          <w:rFonts w:ascii="Calibri" w:hAnsi="Calibri" w:cs="Calibri"/>
          <w:bCs/>
          <w:i/>
          <w:iCs/>
          <w:sz w:val="24"/>
          <w:szCs w:val="24"/>
        </w:rPr>
        <w:t xml:space="preserve"> – Povolenky na emise a preferenční limity</w:t>
      </w:r>
      <w:r w:rsidR="00D93250" w:rsidRPr="00E76F52">
        <w:rPr>
          <w:rFonts w:ascii="Calibri" w:hAnsi="Calibri" w:cs="Calibri"/>
          <w:bCs/>
          <w:iCs/>
          <w:sz w:val="24"/>
          <w:szCs w:val="24"/>
        </w:rPr>
        <w:t xml:space="preserve"> na stranu „má dáti“ a na účet </w:t>
      </w:r>
      <w:r w:rsidR="00D93250" w:rsidRPr="003B3357">
        <w:rPr>
          <w:rFonts w:ascii="Calibri" w:hAnsi="Calibri" w:cs="Calibri"/>
          <w:bCs/>
          <w:iCs/>
          <w:sz w:val="24"/>
          <w:szCs w:val="24"/>
        </w:rPr>
        <w:t>401</w:t>
      </w:r>
      <w:r w:rsidR="00D93250" w:rsidRPr="00E76F52">
        <w:rPr>
          <w:rFonts w:ascii="Calibri" w:hAnsi="Calibri" w:cs="Calibri"/>
          <w:bCs/>
          <w:i/>
          <w:iCs/>
          <w:sz w:val="24"/>
          <w:szCs w:val="24"/>
        </w:rPr>
        <w:t xml:space="preserve"> – Jmění</w:t>
      </w:r>
      <w:r w:rsidR="00D93250" w:rsidRPr="00E76F52">
        <w:rPr>
          <w:rFonts w:ascii="Calibri" w:hAnsi="Calibri" w:cs="Calibri"/>
          <w:bCs/>
          <w:iCs/>
          <w:sz w:val="24"/>
          <w:szCs w:val="24"/>
        </w:rPr>
        <w:t xml:space="preserve"> </w:t>
      </w:r>
      <w:r w:rsidR="00D93250" w:rsidRPr="00E76F52">
        <w:rPr>
          <w:rFonts w:ascii="Calibri" w:hAnsi="Calibri" w:cs="Calibri"/>
          <w:bCs/>
          <w:i/>
          <w:iCs/>
          <w:sz w:val="24"/>
          <w:szCs w:val="24"/>
        </w:rPr>
        <w:t>účetní jednotky</w:t>
      </w:r>
      <w:r w:rsidR="00D93250" w:rsidRPr="00E76F52">
        <w:rPr>
          <w:rFonts w:ascii="Calibri" w:hAnsi="Calibri" w:cs="Calibri"/>
          <w:bCs/>
          <w:iCs/>
          <w:sz w:val="24"/>
          <w:szCs w:val="24"/>
        </w:rPr>
        <w:t xml:space="preserve"> na stranu „dal“</w:t>
      </w:r>
      <w:r w:rsidRPr="00E76F52">
        <w:rPr>
          <w:rFonts w:ascii="Calibri" w:hAnsi="Calibri" w:cs="Calibri"/>
          <w:bCs/>
          <w:iCs/>
          <w:sz w:val="24"/>
          <w:szCs w:val="24"/>
        </w:rPr>
        <w:t xml:space="preserve"> zaúčtovalo </w:t>
      </w:r>
      <w:r w:rsidR="00AA1ABA" w:rsidRPr="00E76F52">
        <w:rPr>
          <w:rFonts w:ascii="Calibri" w:hAnsi="Calibri" w:cs="Calibri"/>
          <w:bCs/>
          <w:iCs/>
          <w:sz w:val="24"/>
          <w:szCs w:val="24"/>
        </w:rPr>
        <w:t>i</w:t>
      </w:r>
      <w:r w:rsidRPr="00E76F52">
        <w:rPr>
          <w:rFonts w:ascii="Calibri" w:hAnsi="Calibri" w:cs="Calibri"/>
          <w:bCs/>
          <w:iCs/>
          <w:sz w:val="24"/>
          <w:szCs w:val="24"/>
        </w:rPr>
        <w:t xml:space="preserve"> povolenky</w:t>
      </w:r>
      <w:r w:rsidR="00AA1ABA" w:rsidRPr="00E76F52">
        <w:rPr>
          <w:rFonts w:ascii="Calibri" w:hAnsi="Calibri" w:cs="Calibri"/>
          <w:bCs/>
          <w:iCs/>
          <w:sz w:val="24"/>
          <w:szCs w:val="24"/>
        </w:rPr>
        <w:t xml:space="preserve"> teprve</w:t>
      </w:r>
      <w:r w:rsidRPr="00E76F52">
        <w:rPr>
          <w:rFonts w:ascii="Calibri" w:hAnsi="Calibri" w:cs="Calibri"/>
          <w:bCs/>
          <w:iCs/>
          <w:sz w:val="24"/>
          <w:szCs w:val="24"/>
        </w:rPr>
        <w:t xml:space="preserve"> určené k</w:t>
      </w:r>
      <w:r w:rsidR="007405FC" w:rsidRPr="00E76F52">
        <w:rPr>
          <w:rFonts w:ascii="Calibri" w:hAnsi="Calibri" w:cs="Calibri"/>
          <w:bCs/>
          <w:iCs/>
          <w:sz w:val="24"/>
          <w:szCs w:val="24"/>
        </w:rPr>
        <w:t xml:space="preserve"> </w:t>
      </w:r>
      <w:r w:rsidR="00EC7175" w:rsidRPr="00E76F52">
        <w:rPr>
          <w:rFonts w:ascii="Calibri" w:hAnsi="Calibri" w:cs="Calibri"/>
          <w:bCs/>
          <w:iCs/>
          <w:sz w:val="24"/>
          <w:szCs w:val="24"/>
        </w:rPr>
        <w:t xml:space="preserve">dražbě </w:t>
      </w:r>
      <w:r w:rsidR="00740DE0" w:rsidRPr="00E76F52">
        <w:rPr>
          <w:rFonts w:ascii="Calibri" w:hAnsi="Calibri" w:cs="Calibri"/>
          <w:bCs/>
          <w:iCs/>
          <w:sz w:val="24"/>
          <w:szCs w:val="24"/>
        </w:rPr>
        <w:t>v roce 2013 a </w:t>
      </w:r>
      <w:r w:rsidR="00AA1ABA" w:rsidRPr="00E76F52">
        <w:rPr>
          <w:rFonts w:ascii="Calibri" w:hAnsi="Calibri" w:cs="Calibri"/>
          <w:bCs/>
          <w:iCs/>
          <w:sz w:val="24"/>
          <w:szCs w:val="24"/>
        </w:rPr>
        <w:t>také</w:t>
      </w:r>
      <w:r w:rsidRPr="00E76F52">
        <w:rPr>
          <w:rFonts w:ascii="Calibri" w:hAnsi="Calibri" w:cs="Calibri"/>
          <w:bCs/>
          <w:iCs/>
          <w:sz w:val="24"/>
          <w:szCs w:val="24"/>
        </w:rPr>
        <w:t xml:space="preserve"> veškeré</w:t>
      </w:r>
      <w:r w:rsidR="00D93250" w:rsidRPr="00E76F52">
        <w:rPr>
          <w:rFonts w:ascii="Calibri" w:hAnsi="Calibri" w:cs="Calibri"/>
          <w:bCs/>
          <w:iCs/>
          <w:sz w:val="24"/>
          <w:szCs w:val="24"/>
        </w:rPr>
        <w:t xml:space="preserve"> bezplatné</w:t>
      </w:r>
      <w:r w:rsidRPr="00E76F52">
        <w:rPr>
          <w:rFonts w:ascii="Calibri" w:hAnsi="Calibri" w:cs="Calibri"/>
          <w:bCs/>
          <w:iCs/>
          <w:sz w:val="24"/>
          <w:szCs w:val="24"/>
        </w:rPr>
        <w:t xml:space="preserve"> povolenky určené v</w:t>
      </w:r>
      <w:r w:rsidR="007405FC" w:rsidRPr="00E76F52">
        <w:rPr>
          <w:rFonts w:ascii="Calibri" w:hAnsi="Calibri" w:cs="Calibri"/>
          <w:bCs/>
          <w:iCs/>
          <w:sz w:val="24"/>
          <w:szCs w:val="24"/>
        </w:rPr>
        <w:t xml:space="preserve"> </w:t>
      </w:r>
      <w:r w:rsidRPr="00E76F52">
        <w:rPr>
          <w:rFonts w:ascii="Calibri" w:hAnsi="Calibri" w:cs="Calibri"/>
          <w:bCs/>
          <w:iCs/>
          <w:sz w:val="24"/>
          <w:szCs w:val="24"/>
        </w:rPr>
        <w:t>roce 2013 k</w:t>
      </w:r>
      <w:r w:rsidR="007405FC" w:rsidRPr="00E76F52">
        <w:rPr>
          <w:rFonts w:ascii="Calibri" w:hAnsi="Calibri" w:cs="Calibri"/>
          <w:bCs/>
          <w:iCs/>
          <w:sz w:val="24"/>
          <w:szCs w:val="24"/>
        </w:rPr>
        <w:t xml:space="preserve"> </w:t>
      </w:r>
      <w:r w:rsidR="00D93250" w:rsidRPr="00E76F52">
        <w:rPr>
          <w:rFonts w:ascii="Calibri" w:hAnsi="Calibri" w:cs="Calibri"/>
          <w:bCs/>
          <w:iCs/>
          <w:sz w:val="24"/>
          <w:szCs w:val="24"/>
        </w:rPr>
        <w:t>přidělení</w:t>
      </w:r>
      <w:r w:rsidRPr="00E76F52">
        <w:rPr>
          <w:rFonts w:ascii="Calibri" w:hAnsi="Calibri" w:cs="Calibri"/>
          <w:bCs/>
          <w:iCs/>
          <w:sz w:val="24"/>
          <w:szCs w:val="24"/>
        </w:rPr>
        <w:t xml:space="preserve"> provozovatelům zařízení.</w:t>
      </w:r>
      <w:r w:rsidR="007F2526" w:rsidRPr="00E76F52">
        <w:rPr>
          <w:rFonts w:ascii="Calibri" w:hAnsi="Calibri" w:cs="Calibri"/>
          <w:bCs/>
          <w:iCs/>
          <w:sz w:val="24"/>
          <w:szCs w:val="24"/>
        </w:rPr>
        <w:t xml:space="preserve"> </w:t>
      </w:r>
      <w:r w:rsidR="007528F0" w:rsidRPr="00E76F52">
        <w:rPr>
          <w:rFonts w:ascii="Calibri" w:hAnsi="Calibri" w:cs="Calibri"/>
          <w:bCs/>
          <w:iCs/>
          <w:sz w:val="24"/>
          <w:szCs w:val="24"/>
        </w:rPr>
        <w:t>K tomuto datu tak MŽP zařadilo d</w:t>
      </w:r>
      <w:r w:rsidR="007F2526" w:rsidRPr="00E76F52">
        <w:rPr>
          <w:rFonts w:ascii="Calibri" w:hAnsi="Calibri" w:cs="Calibri"/>
          <w:bCs/>
          <w:iCs/>
          <w:sz w:val="24"/>
          <w:szCs w:val="24"/>
        </w:rPr>
        <w:t>o</w:t>
      </w:r>
      <w:r w:rsidRPr="00E76F52">
        <w:rPr>
          <w:rFonts w:ascii="Calibri" w:hAnsi="Calibri" w:cs="Calibri"/>
          <w:bCs/>
          <w:iCs/>
          <w:sz w:val="24"/>
          <w:szCs w:val="24"/>
        </w:rPr>
        <w:t xml:space="preserve"> majetku </w:t>
      </w:r>
      <w:r w:rsidR="00C400A0" w:rsidRPr="00E76F52">
        <w:rPr>
          <w:rFonts w:ascii="Calibri" w:hAnsi="Calibri" w:cs="Calibri"/>
          <w:bCs/>
          <w:iCs/>
          <w:sz w:val="24"/>
          <w:szCs w:val="24"/>
        </w:rPr>
        <w:t>povolenky v</w:t>
      </w:r>
      <w:r w:rsidR="007528F0" w:rsidRPr="00E76F52">
        <w:rPr>
          <w:rFonts w:ascii="Calibri" w:hAnsi="Calibri" w:cs="Calibri"/>
          <w:bCs/>
          <w:iCs/>
          <w:sz w:val="24"/>
          <w:szCs w:val="24"/>
        </w:rPr>
        <w:t xml:space="preserve"> rozsahu</w:t>
      </w:r>
      <w:r w:rsidR="00D952F4" w:rsidRPr="00E76F52">
        <w:rPr>
          <w:rFonts w:ascii="Calibri" w:hAnsi="Calibri" w:cs="Calibri"/>
          <w:bCs/>
          <w:iCs/>
          <w:sz w:val="24"/>
          <w:szCs w:val="24"/>
        </w:rPr>
        <w:t xml:space="preserve"> </w:t>
      </w:r>
      <w:r w:rsidR="007528F0" w:rsidRPr="00E76F52">
        <w:rPr>
          <w:rFonts w:ascii="Calibri" w:hAnsi="Calibri" w:cs="Calibri"/>
          <w:bCs/>
          <w:iCs/>
          <w:sz w:val="24"/>
          <w:szCs w:val="24"/>
        </w:rPr>
        <w:t xml:space="preserve">jejich </w:t>
      </w:r>
      <w:r w:rsidR="00D952F4" w:rsidRPr="00E76F52">
        <w:rPr>
          <w:rFonts w:ascii="Calibri" w:hAnsi="Calibri" w:cs="Calibri"/>
          <w:bCs/>
          <w:iCs/>
          <w:sz w:val="24"/>
          <w:szCs w:val="24"/>
        </w:rPr>
        <w:t>celkové</w:t>
      </w:r>
      <w:r w:rsidR="007528F0" w:rsidRPr="00E76F52">
        <w:rPr>
          <w:rFonts w:ascii="Calibri" w:hAnsi="Calibri" w:cs="Calibri"/>
          <w:bCs/>
          <w:iCs/>
          <w:sz w:val="24"/>
          <w:szCs w:val="24"/>
        </w:rPr>
        <w:t>ho</w:t>
      </w:r>
      <w:r w:rsidR="00BD0990">
        <w:rPr>
          <w:rFonts w:ascii="Calibri" w:hAnsi="Calibri" w:cs="Calibri"/>
          <w:bCs/>
          <w:iCs/>
          <w:sz w:val="24"/>
          <w:szCs w:val="24"/>
        </w:rPr>
        <w:t xml:space="preserve"> </w:t>
      </w:r>
      <w:r w:rsidR="00C400A0" w:rsidRPr="00E76F52">
        <w:rPr>
          <w:rFonts w:ascii="Calibri" w:hAnsi="Calibri" w:cs="Calibri"/>
          <w:bCs/>
          <w:iCs/>
          <w:sz w:val="24"/>
          <w:szCs w:val="24"/>
        </w:rPr>
        <w:t>předpokládané</w:t>
      </w:r>
      <w:r w:rsidR="007528F0" w:rsidRPr="00E76F52">
        <w:rPr>
          <w:rFonts w:ascii="Calibri" w:hAnsi="Calibri" w:cs="Calibri"/>
          <w:bCs/>
          <w:iCs/>
          <w:sz w:val="24"/>
          <w:szCs w:val="24"/>
        </w:rPr>
        <w:t>ho</w:t>
      </w:r>
      <w:r w:rsidR="00C400A0" w:rsidRPr="00E76F52">
        <w:rPr>
          <w:rFonts w:ascii="Calibri" w:hAnsi="Calibri" w:cs="Calibri"/>
          <w:bCs/>
          <w:iCs/>
          <w:sz w:val="24"/>
          <w:szCs w:val="24"/>
        </w:rPr>
        <w:t xml:space="preserve"> množství pro</w:t>
      </w:r>
      <w:r w:rsidRPr="00E76F52">
        <w:rPr>
          <w:rFonts w:ascii="Calibri" w:hAnsi="Calibri" w:cs="Calibri"/>
          <w:bCs/>
          <w:iCs/>
          <w:sz w:val="24"/>
          <w:szCs w:val="24"/>
        </w:rPr>
        <w:t xml:space="preserve"> rok 2013</w:t>
      </w:r>
      <w:r w:rsidR="007528F0" w:rsidRPr="00E76F52">
        <w:rPr>
          <w:rFonts w:ascii="Calibri" w:hAnsi="Calibri" w:cs="Calibri"/>
          <w:bCs/>
          <w:iCs/>
          <w:sz w:val="24"/>
          <w:szCs w:val="24"/>
        </w:rPr>
        <w:t xml:space="preserve"> a ocenilo je </w:t>
      </w:r>
      <w:r w:rsidR="00D93250" w:rsidRPr="00E76F52">
        <w:rPr>
          <w:rFonts w:ascii="Calibri" w:hAnsi="Calibri" w:cs="Calibri"/>
          <w:bCs/>
          <w:iCs/>
          <w:sz w:val="24"/>
          <w:szCs w:val="24"/>
        </w:rPr>
        <w:t>reprodukční pořizovací cenou</w:t>
      </w:r>
      <w:r w:rsidR="007528F0" w:rsidRPr="00E76F52">
        <w:rPr>
          <w:rFonts w:ascii="Calibri" w:hAnsi="Calibri" w:cs="Calibri"/>
          <w:bCs/>
          <w:iCs/>
          <w:sz w:val="24"/>
          <w:szCs w:val="24"/>
        </w:rPr>
        <w:t xml:space="preserve"> k datu zařazení do majetku</w:t>
      </w:r>
      <w:r w:rsidR="00D93250" w:rsidRPr="00E76F52">
        <w:rPr>
          <w:rStyle w:val="Znakapoznpodarou"/>
          <w:rFonts w:ascii="Calibri" w:hAnsi="Calibri" w:cs="Calibri"/>
          <w:bCs/>
          <w:iCs/>
          <w:sz w:val="24"/>
          <w:szCs w:val="24"/>
        </w:rPr>
        <w:footnoteReference w:id="45"/>
      </w:r>
      <w:r w:rsidR="00D93250" w:rsidRPr="00E76F52">
        <w:rPr>
          <w:rFonts w:ascii="Calibri" w:hAnsi="Calibri" w:cs="Calibri"/>
          <w:bCs/>
          <w:iCs/>
          <w:sz w:val="24"/>
          <w:szCs w:val="24"/>
        </w:rPr>
        <w:t>.</w:t>
      </w:r>
      <w:r w:rsidRPr="00E76F52">
        <w:rPr>
          <w:rFonts w:ascii="Calibri" w:hAnsi="Calibri" w:cs="Calibri"/>
          <w:bCs/>
          <w:iCs/>
          <w:sz w:val="24"/>
          <w:szCs w:val="24"/>
        </w:rPr>
        <w:t xml:space="preserve"> </w:t>
      </w:r>
      <w:r w:rsidR="00D93250" w:rsidRPr="00E76F52">
        <w:rPr>
          <w:rFonts w:ascii="Calibri" w:hAnsi="Calibri" w:cs="Calibri"/>
          <w:bCs/>
          <w:iCs/>
          <w:sz w:val="24"/>
          <w:szCs w:val="24"/>
        </w:rPr>
        <w:t>K zaúčtovanému množství povolenek MŽP uvedlo, že</w:t>
      </w:r>
      <w:r w:rsidR="00C400A0" w:rsidRPr="00E76F52">
        <w:rPr>
          <w:rFonts w:ascii="Calibri" w:hAnsi="Calibri" w:cs="Calibri"/>
          <w:bCs/>
          <w:iCs/>
          <w:sz w:val="24"/>
          <w:szCs w:val="24"/>
        </w:rPr>
        <w:t xml:space="preserve"> </w:t>
      </w:r>
      <w:r w:rsidR="007528F0" w:rsidRPr="00E76F52">
        <w:rPr>
          <w:rFonts w:ascii="Calibri" w:hAnsi="Calibri" w:cs="Calibri"/>
          <w:bCs/>
          <w:iCs/>
          <w:sz w:val="24"/>
          <w:szCs w:val="24"/>
        </w:rPr>
        <w:t>je</w:t>
      </w:r>
      <w:r w:rsidRPr="00E76F52">
        <w:rPr>
          <w:rFonts w:ascii="Calibri" w:hAnsi="Calibri" w:cs="Calibri"/>
          <w:bCs/>
          <w:iCs/>
          <w:sz w:val="24"/>
          <w:szCs w:val="24"/>
        </w:rPr>
        <w:t xml:space="preserve"> ve formě elektronických souborů</w:t>
      </w:r>
      <w:r w:rsidR="00D93250" w:rsidRPr="00E76F52">
        <w:rPr>
          <w:rFonts w:ascii="Calibri" w:hAnsi="Calibri" w:cs="Calibri"/>
          <w:bCs/>
          <w:iCs/>
          <w:sz w:val="24"/>
          <w:szCs w:val="24"/>
        </w:rPr>
        <w:t xml:space="preserve"> vytváří</w:t>
      </w:r>
      <w:r w:rsidRPr="00E76F52">
        <w:rPr>
          <w:rFonts w:ascii="Calibri" w:hAnsi="Calibri" w:cs="Calibri"/>
          <w:bCs/>
          <w:iCs/>
          <w:sz w:val="24"/>
          <w:szCs w:val="24"/>
        </w:rPr>
        <w:t xml:space="preserve"> centrální správce rejstříku</w:t>
      </w:r>
      <w:r w:rsidR="00BD0990">
        <w:rPr>
          <w:rFonts w:ascii="Calibri" w:hAnsi="Calibri" w:cs="Calibri"/>
          <w:bCs/>
          <w:iCs/>
          <w:sz w:val="24"/>
          <w:szCs w:val="24"/>
        </w:rPr>
        <w:t>,</w:t>
      </w:r>
      <w:r w:rsidR="00595749" w:rsidRPr="00E76F52">
        <w:rPr>
          <w:rFonts w:ascii="Calibri" w:hAnsi="Calibri" w:cs="Calibri"/>
          <w:bCs/>
          <w:iCs/>
          <w:sz w:val="24"/>
          <w:szCs w:val="24"/>
        </w:rPr>
        <w:t xml:space="preserve"> a to</w:t>
      </w:r>
      <w:r w:rsidRPr="00E76F52">
        <w:rPr>
          <w:rFonts w:ascii="Calibri" w:hAnsi="Calibri" w:cs="Calibri"/>
          <w:bCs/>
          <w:iCs/>
          <w:sz w:val="24"/>
          <w:szCs w:val="24"/>
        </w:rPr>
        <w:t xml:space="preserve"> na základě aktuální potřeby</w:t>
      </w:r>
      <w:r w:rsidR="00595749" w:rsidRPr="00E76F52">
        <w:rPr>
          <w:rFonts w:ascii="Calibri" w:hAnsi="Calibri" w:cs="Calibri"/>
          <w:bCs/>
          <w:iCs/>
          <w:sz w:val="24"/>
          <w:szCs w:val="24"/>
        </w:rPr>
        <w:t>. Povolenky jsou</w:t>
      </w:r>
      <w:r w:rsidR="007528F0" w:rsidRPr="00E76F52">
        <w:rPr>
          <w:rFonts w:ascii="Calibri" w:hAnsi="Calibri" w:cs="Calibri"/>
          <w:bCs/>
          <w:iCs/>
          <w:sz w:val="24"/>
          <w:szCs w:val="24"/>
        </w:rPr>
        <w:t xml:space="preserve"> </w:t>
      </w:r>
      <w:r w:rsidRPr="00E76F52">
        <w:rPr>
          <w:rFonts w:ascii="Calibri" w:hAnsi="Calibri" w:cs="Calibri"/>
          <w:bCs/>
          <w:iCs/>
          <w:sz w:val="24"/>
          <w:szCs w:val="24"/>
        </w:rPr>
        <w:t>generovány průběžně</w:t>
      </w:r>
      <w:r w:rsidR="007528F0" w:rsidRPr="00E76F52">
        <w:rPr>
          <w:rFonts w:ascii="Calibri" w:hAnsi="Calibri" w:cs="Calibri"/>
          <w:bCs/>
          <w:iCs/>
          <w:sz w:val="24"/>
          <w:szCs w:val="24"/>
        </w:rPr>
        <w:t xml:space="preserve"> jednak</w:t>
      </w:r>
      <w:r w:rsidRPr="00E76F52">
        <w:rPr>
          <w:rFonts w:ascii="Calibri" w:hAnsi="Calibri" w:cs="Calibri"/>
          <w:bCs/>
          <w:iCs/>
          <w:sz w:val="24"/>
          <w:szCs w:val="24"/>
        </w:rPr>
        <w:t xml:space="preserve"> na základě dražebního kalendáře</w:t>
      </w:r>
      <w:r w:rsidR="00BD0990">
        <w:rPr>
          <w:rFonts w:ascii="Calibri" w:hAnsi="Calibri" w:cs="Calibri"/>
          <w:bCs/>
          <w:iCs/>
          <w:sz w:val="24"/>
          <w:szCs w:val="24"/>
        </w:rPr>
        <w:t>, jednak</w:t>
      </w:r>
      <w:r w:rsidRPr="00E76F52">
        <w:rPr>
          <w:rFonts w:ascii="Calibri" w:hAnsi="Calibri" w:cs="Calibri"/>
          <w:bCs/>
          <w:iCs/>
          <w:sz w:val="24"/>
          <w:szCs w:val="24"/>
        </w:rPr>
        <w:t xml:space="preserve"> na základě pokynu členského státu k bezplatné alokaci. </w:t>
      </w:r>
      <w:r w:rsidR="00C400A0" w:rsidRPr="00E76F52">
        <w:rPr>
          <w:rFonts w:ascii="Calibri" w:hAnsi="Calibri" w:cs="Calibri"/>
          <w:bCs/>
          <w:iCs/>
          <w:sz w:val="24"/>
          <w:szCs w:val="24"/>
        </w:rPr>
        <w:t xml:space="preserve">Dle vyjádření MŽP nejsou povolenky </w:t>
      </w:r>
      <w:r w:rsidRPr="00E76F52">
        <w:rPr>
          <w:rFonts w:ascii="Calibri" w:hAnsi="Calibri" w:cs="Calibri"/>
          <w:bCs/>
          <w:iCs/>
          <w:sz w:val="24"/>
          <w:szCs w:val="24"/>
        </w:rPr>
        <w:t>generovány na účtech členských států ani přes ně nejsou převáděny na cílové účty (</w:t>
      </w:r>
      <w:r w:rsidR="007528F0" w:rsidRPr="00E76F52">
        <w:rPr>
          <w:rFonts w:ascii="Calibri" w:hAnsi="Calibri" w:cs="Calibri"/>
          <w:bCs/>
          <w:iCs/>
          <w:sz w:val="24"/>
          <w:szCs w:val="24"/>
        </w:rPr>
        <w:t xml:space="preserve">tzn. </w:t>
      </w:r>
      <w:r w:rsidRPr="00E76F52">
        <w:rPr>
          <w:rFonts w:ascii="Calibri" w:hAnsi="Calibri" w:cs="Calibri"/>
          <w:bCs/>
          <w:iCs/>
          <w:sz w:val="24"/>
          <w:szCs w:val="24"/>
        </w:rPr>
        <w:t>účty burz a příj</w:t>
      </w:r>
      <w:r w:rsidR="008C7D9B" w:rsidRPr="00E76F52">
        <w:rPr>
          <w:rFonts w:ascii="Calibri" w:hAnsi="Calibri" w:cs="Calibri"/>
          <w:bCs/>
          <w:iCs/>
          <w:sz w:val="24"/>
          <w:szCs w:val="24"/>
        </w:rPr>
        <w:t>em</w:t>
      </w:r>
      <w:r w:rsidRPr="00E76F52">
        <w:rPr>
          <w:rFonts w:ascii="Calibri" w:hAnsi="Calibri" w:cs="Calibri"/>
          <w:bCs/>
          <w:iCs/>
          <w:sz w:val="24"/>
          <w:szCs w:val="24"/>
        </w:rPr>
        <w:t>ců bezplatn</w:t>
      </w:r>
      <w:r w:rsidR="00DF65A6" w:rsidRPr="00E76F52">
        <w:rPr>
          <w:rFonts w:ascii="Calibri" w:hAnsi="Calibri" w:cs="Calibri"/>
          <w:bCs/>
          <w:iCs/>
          <w:sz w:val="24"/>
          <w:szCs w:val="24"/>
        </w:rPr>
        <w:t>ých povolenek</w:t>
      </w:r>
      <w:r w:rsidRPr="00E76F52">
        <w:rPr>
          <w:rFonts w:ascii="Calibri" w:hAnsi="Calibri" w:cs="Calibri"/>
          <w:bCs/>
          <w:iCs/>
          <w:sz w:val="24"/>
          <w:szCs w:val="24"/>
        </w:rPr>
        <w:t xml:space="preserve">). </w:t>
      </w:r>
      <w:r w:rsidR="00595749" w:rsidRPr="00E76F52">
        <w:rPr>
          <w:rFonts w:ascii="Calibri" w:hAnsi="Calibri" w:cs="Calibri"/>
          <w:bCs/>
          <w:iCs/>
          <w:sz w:val="24"/>
          <w:szCs w:val="24"/>
        </w:rPr>
        <w:t>Zaúčtované m</w:t>
      </w:r>
      <w:r w:rsidRPr="00E76F52">
        <w:rPr>
          <w:rFonts w:ascii="Calibri" w:hAnsi="Calibri" w:cs="Calibri"/>
          <w:bCs/>
          <w:iCs/>
          <w:sz w:val="24"/>
          <w:szCs w:val="24"/>
        </w:rPr>
        <w:t>nožství</w:t>
      </w:r>
      <w:r w:rsidR="00C400A0" w:rsidRPr="00E76F52">
        <w:rPr>
          <w:rFonts w:ascii="Calibri" w:hAnsi="Calibri" w:cs="Calibri"/>
          <w:bCs/>
          <w:iCs/>
          <w:sz w:val="24"/>
          <w:szCs w:val="24"/>
        </w:rPr>
        <w:t xml:space="preserve"> povolenek</w:t>
      </w:r>
      <w:r w:rsidRPr="00E76F52">
        <w:rPr>
          <w:rFonts w:ascii="Calibri" w:hAnsi="Calibri" w:cs="Calibri"/>
          <w:bCs/>
          <w:iCs/>
          <w:sz w:val="24"/>
          <w:szCs w:val="24"/>
        </w:rPr>
        <w:t xml:space="preserve"> </w:t>
      </w:r>
      <w:r w:rsidR="00855A6A" w:rsidRPr="00E76F52">
        <w:rPr>
          <w:rFonts w:ascii="Calibri" w:hAnsi="Calibri" w:cs="Calibri"/>
          <w:bCs/>
          <w:iCs/>
          <w:sz w:val="24"/>
          <w:szCs w:val="24"/>
        </w:rPr>
        <w:t>k</w:t>
      </w:r>
      <w:r w:rsidR="00740DE0" w:rsidRPr="00E76F52">
        <w:rPr>
          <w:rFonts w:ascii="Calibri" w:hAnsi="Calibri" w:cs="Calibri"/>
          <w:bCs/>
          <w:iCs/>
          <w:sz w:val="24"/>
          <w:szCs w:val="24"/>
        </w:rPr>
        <w:t> </w:t>
      </w:r>
      <w:r w:rsidR="00855A6A" w:rsidRPr="00E76F52">
        <w:rPr>
          <w:rFonts w:ascii="Calibri" w:hAnsi="Calibri" w:cs="Calibri"/>
          <w:bCs/>
          <w:iCs/>
          <w:sz w:val="24"/>
          <w:szCs w:val="24"/>
        </w:rPr>
        <w:t xml:space="preserve">30. září 2013 </w:t>
      </w:r>
      <w:r w:rsidRPr="00E76F52">
        <w:rPr>
          <w:rFonts w:ascii="Calibri" w:hAnsi="Calibri" w:cs="Calibri"/>
          <w:bCs/>
          <w:iCs/>
          <w:sz w:val="24"/>
          <w:szCs w:val="24"/>
        </w:rPr>
        <w:t>bylo</w:t>
      </w:r>
      <w:r w:rsidR="00206BCD" w:rsidRPr="00E76F52">
        <w:rPr>
          <w:rFonts w:ascii="Calibri" w:hAnsi="Calibri" w:cs="Calibri"/>
          <w:bCs/>
          <w:iCs/>
          <w:sz w:val="24"/>
          <w:szCs w:val="24"/>
        </w:rPr>
        <w:t xml:space="preserve"> proto</w:t>
      </w:r>
      <w:r w:rsidR="00C400A0" w:rsidRPr="00E76F52">
        <w:rPr>
          <w:rFonts w:ascii="Calibri" w:hAnsi="Calibri" w:cs="Calibri"/>
          <w:bCs/>
          <w:iCs/>
          <w:sz w:val="24"/>
          <w:szCs w:val="24"/>
        </w:rPr>
        <w:t xml:space="preserve"> dle vyjádření MŽP</w:t>
      </w:r>
      <w:r w:rsidRPr="00E76F52">
        <w:rPr>
          <w:rFonts w:ascii="Calibri" w:hAnsi="Calibri" w:cs="Calibri"/>
          <w:bCs/>
          <w:iCs/>
          <w:sz w:val="24"/>
          <w:szCs w:val="24"/>
        </w:rPr>
        <w:t xml:space="preserve"> stanoveno ze zveřejněného dražebního kalendáře a v</w:t>
      </w:r>
      <w:r w:rsidR="007405FC" w:rsidRPr="00E76F52">
        <w:rPr>
          <w:rFonts w:ascii="Calibri" w:hAnsi="Calibri" w:cs="Calibri"/>
          <w:bCs/>
          <w:iCs/>
          <w:sz w:val="24"/>
          <w:szCs w:val="24"/>
        </w:rPr>
        <w:t xml:space="preserve"> </w:t>
      </w:r>
      <w:r w:rsidRPr="00E76F52">
        <w:rPr>
          <w:rFonts w:ascii="Calibri" w:hAnsi="Calibri" w:cs="Calibri"/>
          <w:bCs/>
          <w:iCs/>
          <w:sz w:val="24"/>
          <w:szCs w:val="24"/>
        </w:rPr>
        <w:t>případě</w:t>
      </w:r>
      <w:r w:rsidR="00EC7175" w:rsidRPr="00E76F52">
        <w:rPr>
          <w:rFonts w:ascii="Calibri" w:hAnsi="Calibri" w:cs="Calibri"/>
          <w:bCs/>
          <w:iCs/>
          <w:sz w:val="24"/>
          <w:szCs w:val="24"/>
        </w:rPr>
        <w:t xml:space="preserve"> bezplatných</w:t>
      </w:r>
      <w:r w:rsidRPr="00E76F52">
        <w:rPr>
          <w:rFonts w:ascii="Calibri" w:hAnsi="Calibri" w:cs="Calibri"/>
          <w:bCs/>
          <w:iCs/>
          <w:sz w:val="24"/>
          <w:szCs w:val="24"/>
        </w:rPr>
        <w:t xml:space="preserve"> povolenek z</w:t>
      </w:r>
      <w:r w:rsidR="007405FC" w:rsidRPr="00E76F52">
        <w:rPr>
          <w:rFonts w:ascii="Calibri" w:hAnsi="Calibri" w:cs="Calibri"/>
          <w:bCs/>
          <w:iCs/>
          <w:sz w:val="24"/>
          <w:szCs w:val="24"/>
        </w:rPr>
        <w:t xml:space="preserve"> </w:t>
      </w:r>
      <w:r w:rsidRPr="00E76F52">
        <w:rPr>
          <w:rFonts w:ascii="Calibri" w:hAnsi="Calibri" w:cs="Calibri"/>
          <w:bCs/>
          <w:iCs/>
          <w:sz w:val="24"/>
          <w:szCs w:val="24"/>
        </w:rPr>
        <w:t>národního plánu investic schváleného Evropskou komisí a z</w:t>
      </w:r>
      <w:r w:rsidR="007405FC" w:rsidRPr="00E76F52">
        <w:rPr>
          <w:rFonts w:ascii="Calibri" w:hAnsi="Calibri" w:cs="Calibri"/>
          <w:bCs/>
          <w:iCs/>
          <w:sz w:val="24"/>
          <w:szCs w:val="24"/>
        </w:rPr>
        <w:t xml:space="preserve"> </w:t>
      </w:r>
      <w:r w:rsidR="00EC7175" w:rsidRPr="00E76F52">
        <w:rPr>
          <w:rFonts w:ascii="Calibri" w:hAnsi="Calibri" w:cs="Calibri"/>
          <w:bCs/>
          <w:iCs/>
          <w:sz w:val="24"/>
          <w:szCs w:val="24"/>
        </w:rPr>
        <w:t>n</w:t>
      </w:r>
      <w:r w:rsidRPr="00E76F52">
        <w:rPr>
          <w:rFonts w:ascii="Calibri" w:hAnsi="Calibri" w:cs="Calibri"/>
          <w:bCs/>
          <w:iCs/>
          <w:sz w:val="24"/>
          <w:szCs w:val="24"/>
        </w:rPr>
        <w:t xml:space="preserve">árodní alokační tabulky pro ČR. </w:t>
      </w:r>
      <w:r w:rsidR="00C400A0" w:rsidRPr="00E76F52">
        <w:rPr>
          <w:rFonts w:ascii="Calibri" w:hAnsi="Calibri" w:cs="Calibri"/>
          <w:bCs/>
          <w:iCs/>
          <w:sz w:val="24"/>
          <w:szCs w:val="24"/>
        </w:rPr>
        <w:t>MŽP uvedlo, že m</w:t>
      </w:r>
      <w:r w:rsidRPr="00E76F52">
        <w:rPr>
          <w:rFonts w:ascii="Calibri" w:hAnsi="Calibri" w:cs="Calibri"/>
          <w:bCs/>
          <w:iCs/>
          <w:sz w:val="24"/>
          <w:szCs w:val="24"/>
        </w:rPr>
        <w:t>nožství bylo sníženo o případné přebytky z</w:t>
      </w:r>
      <w:r w:rsidR="003B3357">
        <w:rPr>
          <w:rFonts w:ascii="Calibri" w:hAnsi="Calibri" w:cs="Calibri"/>
          <w:bCs/>
          <w:iCs/>
          <w:sz w:val="24"/>
          <w:szCs w:val="24"/>
        </w:rPr>
        <w:t> </w:t>
      </w:r>
      <w:r w:rsidRPr="00E76F52">
        <w:rPr>
          <w:rFonts w:ascii="Calibri" w:hAnsi="Calibri" w:cs="Calibri"/>
          <w:bCs/>
          <w:iCs/>
          <w:sz w:val="24"/>
          <w:szCs w:val="24"/>
        </w:rPr>
        <w:t>předch</w:t>
      </w:r>
      <w:r w:rsidR="00301578">
        <w:rPr>
          <w:rFonts w:ascii="Calibri" w:hAnsi="Calibri" w:cs="Calibri"/>
          <w:bCs/>
          <w:iCs/>
          <w:sz w:val="24"/>
          <w:szCs w:val="24"/>
        </w:rPr>
        <w:t>ozí</w:t>
      </w:r>
      <w:r w:rsidRPr="00E76F52">
        <w:rPr>
          <w:rFonts w:ascii="Calibri" w:hAnsi="Calibri" w:cs="Calibri"/>
          <w:bCs/>
          <w:iCs/>
          <w:sz w:val="24"/>
          <w:szCs w:val="24"/>
        </w:rPr>
        <w:t>ch let</w:t>
      </w:r>
      <w:r w:rsidR="00206BCD" w:rsidRPr="00E76F52">
        <w:rPr>
          <w:rFonts w:ascii="Calibri" w:hAnsi="Calibri" w:cs="Calibri"/>
          <w:bCs/>
          <w:iCs/>
          <w:sz w:val="24"/>
          <w:szCs w:val="24"/>
        </w:rPr>
        <w:t xml:space="preserve"> např. </w:t>
      </w:r>
      <w:r w:rsidRPr="00E76F52">
        <w:rPr>
          <w:rFonts w:ascii="Calibri" w:hAnsi="Calibri" w:cs="Calibri"/>
          <w:bCs/>
          <w:iCs/>
          <w:sz w:val="24"/>
          <w:szCs w:val="24"/>
        </w:rPr>
        <w:t xml:space="preserve">v důsledku změny </w:t>
      </w:r>
      <w:r w:rsidR="00EC7175" w:rsidRPr="00E76F52">
        <w:rPr>
          <w:rFonts w:ascii="Calibri" w:hAnsi="Calibri" w:cs="Calibri"/>
          <w:bCs/>
          <w:iCs/>
          <w:sz w:val="24"/>
          <w:szCs w:val="24"/>
        </w:rPr>
        <w:t>přidělení bezplatných povolenek jednotlivým</w:t>
      </w:r>
      <w:r w:rsidRPr="00E76F52">
        <w:rPr>
          <w:rFonts w:ascii="Calibri" w:hAnsi="Calibri" w:cs="Calibri"/>
          <w:bCs/>
          <w:iCs/>
          <w:sz w:val="24"/>
          <w:szCs w:val="24"/>
        </w:rPr>
        <w:t xml:space="preserve"> provozovatelům, u nichž došlo ke změně provozu. </w:t>
      </w:r>
    </w:p>
    <w:p w:rsidR="005416A5" w:rsidRPr="00E76F52" w:rsidRDefault="005416A5" w:rsidP="00E76F52">
      <w:pPr>
        <w:spacing w:after="0" w:line="240" w:lineRule="auto"/>
        <w:jc w:val="both"/>
        <w:rPr>
          <w:rFonts w:ascii="Calibri" w:hAnsi="Calibri" w:cs="Calibri"/>
          <w:bCs/>
          <w:iCs/>
          <w:sz w:val="24"/>
          <w:szCs w:val="24"/>
        </w:rPr>
      </w:pPr>
    </w:p>
    <w:p w:rsidR="00F52B52" w:rsidRDefault="00F52B52"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t>Zákon č. 383/2012 Sb., který v českém právním řádu problematiku povolenek upravuje, neobsahuje žádné ustanovení</w:t>
      </w:r>
      <w:r w:rsidR="00C400A0" w:rsidRPr="00E76F52">
        <w:rPr>
          <w:rFonts w:ascii="Calibri" w:hAnsi="Calibri" w:cs="Calibri"/>
          <w:bCs/>
          <w:iCs/>
          <w:sz w:val="24"/>
          <w:szCs w:val="24"/>
        </w:rPr>
        <w:t xml:space="preserve"> o tom</w:t>
      </w:r>
      <w:r w:rsidRPr="00E76F52">
        <w:rPr>
          <w:rFonts w:ascii="Calibri" w:hAnsi="Calibri" w:cs="Calibri"/>
          <w:bCs/>
          <w:iCs/>
          <w:sz w:val="24"/>
          <w:szCs w:val="24"/>
        </w:rPr>
        <w:t>, jaký okamžik je nutno považovat za rozhodující pro účely posouzení vzniku povolenky.</w:t>
      </w:r>
      <w:r w:rsidR="000855F3">
        <w:rPr>
          <w:rFonts w:ascii="Calibri" w:hAnsi="Calibri" w:cs="Calibri"/>
          <w:bCs/>
          <w:iCs/>
          <w:sz w:val="24"/>
          <w:szCs w:val="24"/>
        </w:rPr>
        <w:t xml:space="preserve"> </w:t>
      </w:r>
      <w:r w:rsidRPr="00E76F52">
        <w:rPr>
          <w:rFonts w:ascii="Calibri" w:hAnsi="Calibri" w:cs="Calibri"/>
          <w:bCs/>
          <w:iCs/>
          <w:sz w:val="24"/>
          <w:szCs w:val="24"/>
        </w:rPr>
        <w:t xml:space="preserve">V oblasti práva </w:t>
      </w:r>
      <w:r w:rsidR="00301578">
        <w:rPr>
          <w:rFonts w:ascii="Calibri" w:hAnsi="Calibri" w:cs="Calibri"/>
          <w:bCs/>
          <w:iCs/>
          <w:sz w:val="24"/>
          <w:szCs w:val="24"/>
        </w:rPr>
        <w:t>EU</w:t>
      </w:r>
      <w:r w:rsidRPr="00E76F52">
        <w:rPr>
          <w:rFonts w:ascii="Calibri" w:hAnsi="Calibri" w:cs="Calibri"/>
          <w:bCs/>
          <w:iCs/>
          <w:sz w:val="24"/>
          <w:szCs w:val="24"/>
        </w:rPr>
        <w:t xml:space="preserve"> je stěžejním aktem </w:t>
      </w:r>
      <w:r w:rsidR="000855F3">
        <w:rPr>
          <w:rFonts w:ascii="Calibri" w:hAnsi="Calibri" w:cs="Calibri"/>
          <w:bCs/>
          <w:iCs/>
          <w:sz w:val="24"/>
          <w:szCs w:val="24"/>
        </w:rPr>
        <w:t>n</w:t>
      </w:r>
      <w:r w:rsidRPr="00E76F52">
        <w:rPr>
          <w:rFonts w:ascii="Calibri" w:hAnsi="Calibri" w:cs="Calibri"/>
          <w:bCs/>
          <w:iCs/>
          <w:sz w:val="24"/>
          <w:szCs w:val="24"/>
        </w:rPr>
        <w:t>ařízení</w:t>
      </w:r>
      <w:r w:rsidR="006A16D8" w:rsidRPr="00E76F52">
        <w:rPr>
          <w:rFonts w:ascii="Calibri" w:hAnsi="Calibri" w:cs="Calibri"/>
          <w:bCs/>
          <w:iCs/>
          <w:sz w:val="24"/>
          <w:szCs w:val="24"/>
        </w:rPr>
        <w:t xml:space="preserve"> Komise (EU)</w:t>
      </w:r>
      <w:r w:rsidRPr="00E76F52">
        <w:rPr>
          <w:rFonts w:ascii="Calibri" w:hAnsi="Calibri" w:cs="Calibri"/>
          <w:bCs/>
          <w:iCs/>
          <w:sz w:val="24"/>
          <w:szCs w:val="24"/>
        </w:rPr>
        <w:t xml:space="preserve"> č. 389/2013, které </w:t>
      </w:r>
      <w:r w:rsidR="00D52185" w:rsidRPr="00E76F52">
        <w:rPr>
          <w:rFonts w:ascii="Calibri" w:hAnsi="Calibri" w:cs="Calibri"/>
          <w:bCs/>
          <w:iCs/>
          <w:sz w:val="24"/>
          <w:szCs w:val="24"/>
        </w:rPr>
        <w:t xml:space="preserve">však </w:t>
      </w:r>
      <w:r w:rsidRPr="00E76F52">
        <w:rPr>
          <w:rFonts w:ascii="Calibri" w:hAnsi="Calibri" w:cs="Calibri"/>
          <w:bCs/>
          <w:iCs/>
          <w:sz w:val="24"/>
          <w:szCs w:val="24"/>
        </w:rPr>
        <w:t>samotný okamžik vzniku povolenek nijak neupravuje.</w:t>
      </w:r>
    </w:p>
    <w:p w:rsidR="005416A5" w:rsidRPr="00E76F52" w:rsidRDefault="005416A5" w:rsidP="00E76F52">
      <w:pPr>
        <w:spacing w:after="0" w:line="240" w:lineRule="auto"/>
        <w:jc w:val="both"/>
        <w:rPr>
          <w:rFonts w:ascii="Calibri" w:hAnsi="Calibri" w:cs="Calibri"/>
          <w:bCs/>
          <w:iCs/>
          <w:sz w:val="24"/>
          <w:szCs w:val="24"/>
        </w:rPr>
      </w:pPr>
    </w:p>
    <w:p w:rsidR="00F52B52" w:rsidRDefault="00F52B52"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t xml:space="preserve">Rozhodnutí </w:t>
      </w:r>
      <w:r w:rsidR="00455551" w:rsidRPr="00E76F52">
        <w:rPr>
          <w:rFonts w:ascii="Calibri" w:hAnsi="Calibri" w:cs="Calibri"/>
          <w:bCs/>
          <w:iCs/>
          <w:sz w:val="24"/>
          <w:szCs w:val="24"/>
        </w:rPr>
        <w:t>Evropské k</w:t>
      </w:r>
      <w:r w:rsidRPr="00E76F52">
        <w:rPr>
          <w:rFonts w:ascii="Calibri" w:hAnsi="Calibri" w:cs="Calibri"/>
          <w:bCs/>
          <w:iCs/>
          <w:sz w:val="24"/>
          <w:szCs w:val="24"/>
        </w:rPr>
        <w:t>omise</w:t>
      </w:r>
      <w:r w:rsidR="00301578">
        <w:rPr>
          <w:rFonts w:ascii="Calibri" w:hAnsi="Calibri" w:cs="Calibri"/>
          <w:bCs/>
          <w:iCs/>
          <w:sz w:val="24"/>
          <w:szCs w:val="24"/>
        </w:rPr>
        <w:t xml:space="preserve"> 2013/448/EU</w:t>
      </w:r>
      <w:r w:rsidRPr="00E76F52">
        <w:rPr>
          <w:rFonts w:ascii="Calibri" w:hAnsi="Calibri" w:cs="Calibri"/>
          <w:bCs/>
          <w:iCs/>
          <w:sz w:val="24"/>
          <w:szCs w:val="24"/>
        </w:rPr>
        <w:t xml:space="preserve"> ze dne 5. </w:t>
      </w:r>
      <w:r w:rsidR="00206BCD" w:rsidRPr="00E76F52">
        <w:rPr>
          <w:rFonts w:ascii="Calibri" w:hAnsi="Calibri" w:cs="Calibri"/>
          <w:bCs/>
          <w:iCs/>
          <w:sz w:val="24"/>
          <w:szCs w:val="24"/>
        </w:rPr>
        <w:t>září</w:t>
      </w:r>
      <w:r w:rsidRPr="00E76F52">
        <w:rPr>
          <w:rFonts w:ascii="Calibri" w:hAnsi="Calibri" w:cs="Calibri"/>
          <w:bCs/>
          <w:iCs/>
          <w:sz w:val="24"/>
          <w:szCs w:val="24"/>
        </w:rPr>
        <w:t xml:space="preserve"> 2013</w:t>
      </w:r>
      <w:r w:rsidR="00301578">
        <w:rPr>
          <w:rFonts w:ascii="Calibri" w:hAnsi="Calibri" w:cs="Calibri"/>
          <w:bCs/>
          <w:iCs/>
          <w:sz w:val="24"/>
          <w:szCs w:val="24"/>
        </w:rPr>
        <w:t>,</w:t>
      </w:r>
      <w:r w:rsidRPr="00E76F52">
        <w:rPr>
          <w:rFonts w:ascii="Calibri" w:hAnsi="Calibri" w:cs="Calibri"/>
          <w:bCs/>
          <w:iCs/>
          <w:sz w:val="24"/>
          <w:szCs w:val="24"/>
        </w:rPr>
        <w:t xml:space="preserve"> o vnitrostátních prováděcích opatřeních pro přechodné bezplatné přidělování povolenek na emise skleníkových plynů v</w:t>
      </w:r>
      <w:r w:rsidR="00301578">
        <w:rPr>
          <w:rFonts w:ascii="Calibri" w:hAnsi="Calibri" w:cs="Calibri"/>
          <w:bCs/>
          <w:iCs/>
          <w:sz w:val="24"/>
          <w:szCs w:val="24"/>
        </w:rPr>
        <w:t> </w:t>
      </w:r>
      <w:r w:rsidRPr="00E76F52">
        <w:rPr>
          <w:rFonts w:ascii="Calibri" w:hAnsi="Calibri" w:cs="Calibri"/>
          <w:bCs/>
          <w:iCs/>
          <w:sz w:val="24"/>
          <w:szCs w:val="24"/>
        </w:rPr>
        <w:t>souladu s čl. 11 odst. 3 směrnice Evropského parlamentu a Rady 2003/87/ES</w:t>
      </w:r>
      <w:r w:rsidR="00301578">
        <w:rPr>
          <w:rFonts w:ascii="Calibri" w:hAnsi="Calibri" w:cs="Calibri"/>
          <w:bCs/>
          <w:iCs/>
          <w:sz w:val="24"/>
          <w:szCs w:val="24"/>
        </w:rPr>
        <w:t>,</w:t>
      </w:r>
      <w:r w:rsidR="007528F0" w:rsidRPr="00E76F52">
        <w:rPr>
          <w:rFonts w:ascii="Calibri" w:hAnsi="Calibri" w:cs="Calibri"/>
          <w:bCs/>
          <w:iCs/>
          <w:sz w:val="24"/>
          <w:szCs w:val="24"/>
        </w:rPr>
        <w:t xml:space="preserve"> stanovilo</w:t>
      </w:r>
      <w:r w:rsidR="006B37DD" w:rsidRPr="00E76F52">
        <w:rPr>
          <w:rFonts w:ascii="Calibri" w:hAnsi="Calibri" w:cs="Calibri"/>
          <w:bCs/>
          <w:iCs/>
          <w:sz w:val="24"/>
          <w:szCs w:val="24"/>
        </w:rPr>
        <w:t xml:space="preserve"> </w:t>
      </w:r>
      <w:r w:rsidRPr="00E76F52">
        <w:rPr>
          <w:rFonts w:ascii="Calibri" w:hAnsi="Calibri" w:cs="Calibri"/>
          <w:bCs/>
          <w:iCs/>
          <w:sz w:val="24"/>
          <w:szCs w:val="24"/>
        </w:rPr>
        <w:t>v</w:t>
      </w:r>
      <w:r w:rsidR="00301578">
        <w:rPr>
          <w:rFonts w:ascii="Calibri" w:hAnsi="Calibri" w:cs="Calibri"/>
          <w:bCs/>
          <w:iCs/>
          <w:sz w:val="24"/>
          <w:szCs w:val="24"/>
        </w:rPr>
        <w:t> </w:t>
      </w:r>
      <w:r w:rsidRPr="00E76F52">
        <w:rPr>
          <w:rFonts w:ascii="Calibri" w:hAnsi="Calibri" w:cs="Calibri"/>
          <w:bCs/>
          <w:iCs/>
          <w:sz w:val="24"/>
          <w:szCs w:val="24"/>
        </w:rPr>
        <w:t>článku 3</w:t>
      </w:r>
      <w:r w:rsidR="004B5A4D" w:rsidRPr="00E76F52">
        <w:rPr>
          <w:rFonts w:ascii="Calibri" w:hAnsi="Calibri" w:cs="Calibri"/>
          <w:bCs/>
          <w:iCs/>
          <w:sz w:val="24"/>
          <w:szCs w:val="24"/>
        </w:rPr>
        <w:t xml:space="preserve"> </w:t>
      </w:r>
      <w:r w:rsidRPr="00E76F52">
        <w:rPr>
          <w:rFonts w:ascii="Calibri" w:hAnsi="Calibri" w:cs="Calibri"/>
          <w:bCs/>
          <w:iCs/>
          <w:sz w:val="24"/>
          <w:szCs w:val="24"/>
        </w:rPr>
        <w:t xml:space="preserve">množství povolenek vydávaných pro </w:t>
      </w:r>
      <w:r w:rsidR="006B37DD" w:rsidRPr="00E76F52">
        <w:rPr>
          <w:rFonts w:ascii="Calibri" w:hAnsi="Calibri" w:cs="Calibri"/>
          <w:bCs/>
          <w:iCs/>
          <w:sz w:val="24"/>
          <w:szCs w:val="24"/>
        </w:rPr>
        <w:t xml:space="preserve">celé </w:t>
      </w:r>
      <w:r w:rsidRPr="00E76F52">
        <w:rPr>
          <w:rFonts w:ascii="Calibri" w:hAnsi="Calibri" w:cs="Calibri"/>
          <w:bCs/>
          <w:iCs/>
          <w:sz w:val="24"/>
          <w:szCs w:val="24"/>
        </w:rPr>
        <w:t>Společenství</w:t>
      </w:r>
      <w:r w:rsidR="007528F0" w:rsidRPr="00E76F52">
        <w:rPr>
          <w:rFonts w:ascii="Calibri" w:hAnsi="Calibri" w:cs="Calibri"/>
          <w:bCs/>
          <w:iCs/>
          <w:sz w:val="24"/>
          <w:szCs w:val="24"/>
        </w:rPr>
        <w:t xml:space="preserve"> a</w:t>
      </w:r>
      <w:r w:rsidRPr="00E76F52">
        <w:rPr>
          <w:rFonts w:ascii="Calibri" w:hAnsi="Calibri" w:cs="Calibri"/>
          <w:bCs/>
          <w:iCs/>
          <w:sz w:val="24"/>
          <w:szCs w:val="24"/>
        </w:rPr>
        <w:t xml:space="preserve"> počínaje rokem 2013 každoročně lineárně snižovaných způsobem podle článku 9 směrnice 2003/87/ES, </w:t>
      </w:r>
      <w:r w:rsidR="004B5A4D" w:rsidRPr="00E76F52">
        <w:rPr>
          <w:rFonts w:ascii="Calibri" w:hAnsi="Calibri" w:cs="Calibri"/>
          <w:bCs/>
          <w:iCs/>
          <w:sz w:val="24"/>
          <w:szCs w:val="24"/>
        </w:rPr>
        <w:t xml:space="preserve">avšak samotný okamžik vzniku povolenek z něj </w:t>
      </w:r>
      <w:r w:rsidR="00301578">
        <w:rPr>
          <w:rFonts w:ascii="Calibri" w:hAnsi="Calibri" w:cs="Calibri"/>
          <w:bCs/>
          <w:iCs/>
          <w:sz w:val="24"/>
          <w:szCs w:val="24"/>
        </w:rPr>
        <w:t>od</w:t>
      </w:r>
      <w:r w:rsidR="004B5A4D" w:rsidRPr="00E76F52">
        <w:rPr>
          <w:rFonts w:ascii="Calibri" w:hAnsi="Calibri" w:cs="Calibri"/>
          <w:bCs/>
          <w:iCs/>
          <w:sz w:val="24"/>
          <w:szCs w:val="24"/>
        </w:rPr>
        <w:t>vodit</w:t>
      </w:r>
      <w:r w:rsidR="007528F0" w:rsidRPr="00E76F52">
        <w:rPr>
          <w:rFonts w:ascii="Calibri" w:hAnsi="Calibri" w:cs="Calibri"/>
          <w:bCs/>
          <w:iCs/>
          <w:sz w:val="24"/>
          <w:szCs w:val="24"/>
        </w:rPr>
        <w:t xml:space="preserve"> nelze</w:t>
      </w:r>
      <w:r w:rsidR="004B5A4D" w:rsidRPr="00E76F52">
        <w:rPr>
          <w:rFonts w:ascii="Calibri" w:hAnsi="Calibri" w:cs="Calibri"/>
          <w:bCs/>
          <w:iCs/>
          <w:sz w:val="24"/>
          <w:szCs w:val="24"/>
        </w:rPr>
        <w:t>.</w:t>
      </w:r>
      <w:r w:rsidRPr="00E76F52">
        <w:rPr>
          <w:rFonts w:ascii="Calibri" w:hAnsi="Calibri" w:cs="Calibri"/>
          <w:bCs/>
          <w:iCs/>
          <w:sz w:val="24"/>
          <w:szCs w:val="24"/>
        </w:rPr>
        <w:t xml:space="preserve"> Množství povolenek pro jednotlivé členské státy je pak stanoveno v </w:t>
      </w:r>
      <w:r w:rsidR="000855F3">
        <w:rPr>
          <w:rFonts w:ascii="Calibri" w:hAnsi="Calibri" w:cs="Calibri"/>
          <w:bCs/>
          <w:iCs/>
          <w:sz w:val="24"/>
          <w:szCs w:val="24"/>
        </w:rPr>
        <w:t>p</w:t>
      </w:r>
      <w:r w:rsidRPr="00E76F52">
        <w:rPr>
          <w:rFonts w:ascii="Calibri" w:hAnsi="Calibri" w:cs="Calibri"/>
          <w:bCs/>
          <w:iCs/>
          <w:sz w:val="24"/>
          <w:szCs w:val="24"/>
        </w:rPr>
        <w:t xml:space="preserve">rováděcím rozhodnutí Komise </w:t>
      </w:r>
      <w:r w:rsidR="00301578">
        <w:rPr>
          <w:rFonts w:ascii="Calibri" w:hAnsi="Calibri" w:cs="Calibri"/>
          <w:bCs/>
          <w:iCs/>
          <w:sz w:val="24"/>
          <w:szCs w:val="24"/>
        </w:rPr>
        <w:t xml:space="preserve">2013/634/EU </w:t>
      </w:r>
      <w:r w:rsidRPr="00E76F52">
        <w:rPr>
          <w:rFonts w:ascii="Calibri" w:hAnsi="Calibri" w:cs="Calibri"/>
          <w:bCs/>
          <w:iCs/>
          <w:sz w:val="24"/>
          <w:szCs w:val="24"/>
        </w:rPr>
        <w:t>ze dne</w:t>
      </w:r>
      <w:r w:rsidR="00473A3A">
        <w:rPr>
          <w:rFonts w:ascii="Calibri" w:hAnsi="Calibri" w:cs="Calibri"/>
          <w:bCs/>
          <w:iCs/>
          <w:sz w:val="24"/>
          <w:szCs w:val="24"/>
        </w:rPr>
        <w:br/>
      </w:r>
      <w:r w:rsidRPr="00E76F52">
        <w:rPr>
          <w:rFonts w:ascii="Calibri" w:hAnsi="Calibri" w:cs="Calibri"/>
          <w:bCs/>
          <w:iCs/>
          <w:sz w:val="24"/>
          <w:szCs w:val="24"/>
        </w:rPr>
        <w:t xml:space="preserve">31. </w:t>
      </w:r>
      <w:r w:rsidR="007F2526" w:rsidRPr="00E76F52">
        <w:rPr>
          <w:rFonts w:ascii="Calibri" w:hAnsi="Calibri" w:cs="Calibri"/>
          <w:bCs/>
          <w:iCs/>
          <w:sz w:val="24"/>
          <w:szCs w:val="24"/>
        </w:rPr>
        <w:t>října</w:t>
      </w:r>
      <w:r w:rsidRPr="00E76F52">
        <w:rPr>
          <w:rFonts w:ascii="Calibri" w:hAnsi="Calibri" w:cs="Calibri"/>
          <w:bCs/>
          <w:iCs/>
          <w:sz w:val="24"/>
          <w:szCs w:val="24"/>
        </w:rPr>
        <w:t xml:space="preserve"> 2013</w:t>
      </w:r>
      <w:r w:rsidR="00301578">
        <w:rPr>
          <w:rFonts w:ascii="Calibri" w:hAnsi="Calibri" w:cs="Calibri"/>
          <w:bCs/>
          <w:iCs/>
          <w:sz w:val="24"/>
          <w:szCs w:val="24"/>
        </w:rPr>
        <w:t>,</w:t>
      </w:r>
      <w:r w:rsidRPr="00E76F52">
        <w:rPr>
          <w:rFonts w:ascii="Calibri" w:hAnsi="Calibri" w:cs="Calibri"/>
          <w:bCs/>
          <w:iCs/>
          <w:sz w:val="24"/>
          <w:szCs w:val="24"/>
        </w:rPr>
        <w:t xml:space="preserve"> o</w:t>
      </w:r>
      <w:r w:rsidR="00301578">
        <w:rPr>
          <w:rFonts w:ascii="Calibri" w:hAnsi="Calibri" w:cs="Calibri"/>
          <w:bCs/>
          <w:iCs/>
          <w:sz w:val="24"/>
          <w:szCs w:val="24"/>
        </w:rPr>
        <w:t> </w:t>
      </w:r>
      <w:r w:rsidRPr="00E76F52">
        <w:rPr>
          <w:rFonts w:ascii="Calibri" w:hAnsi="Calibri" w:cs="Calibri"/>
          <w:bCs/>
          <w:iCs/>
          <w:sz w:val="24"/>
          <w:szCs w:val="24"/>
        </w:rPr>
        <w:t>úpravách ročních emisních přídělů členských</w:t>
      </w:r>
      <w:r w:rsidR="00473A3A">
        <w:rPr>
          <w:rFonts w:ascii="Calibri" w:hAnsi="Calibri" w:cs="Calibri"/>
          <w:bCs/>
          <w:iCs/>
          <w:sz w:val="24"/>
          <w:szCs w:val="24"/>
        </w:rPr>
        <w:t xml:space="preserve"> států na období 2013 až 2020 v </w:t>
      </w:r>
      <w:r w:rsidRPr="00E76F52">
        <w:rPr>
          <w:rFonts w:ascii="Calibri" w:hAnsi="Calibri" w:cs="Calibri"/>
          <w:bCs/>
          <w:iCs/>
          <w:sz w:val="24"/>
          <w:szCs w:val="24"/>
        </w:rPr>
        <w:t>souladu s</w:t>
      </w:r>
      <w:r w:rsidR="00301578">
        <w:rPr>
          <w:rFonts w:ascii="Calibri" w:hAnsi="Calibri" w:cs="Calibri"/>
          <w:bCs/>
          <w:iCs/>
          <w:sz w:val="24"/>
          <w:szCs w:val="24"/>
        </w:rPr>
        <w:t> </w:t>
      </w:r>
      <w:r w:rsidRPr="00E76F52">
        <w:rPr>
          <w:rFonts w:ascii="Calibri" w:hAnsi="Calibri" w:cs="Calibri"/>
          <w:bCs/>
          <w:iCs/>
          <w:sz w:val="24"/>
          <w:szCs w:val="24"/>
        </w:rPr>
        <w:t>rozhodnutím Evropského parlamentu a Rady č.</w:t>
      </w:r>
      <w:r w:rsidR="008C7D9B" w:rsidRPr="00E76F52">
        <w:rPr>
          <w:rFonts w:ascii="Calibri" w:hAnsi="Calibri" w:cs="Calibri"/>
          <w:bCs/>
          <w:iCs/>
          <w:sz w:val="24"/>
          <w:szCs w:val="24"/>
        </w:rPr>
        <w:t> </w:t>
      </w:r>
      <w:r w:rsidRPr="00E76F52">
        <w:rPr>
          <w:rFonts w:ascii="Calibri" w:hAnsi="Calibri" w:cs="Calibri"/>
          <w:bCs/>
          <w:iCs/>
          <w:sz w:val="24"/>
          <w:szCs w:val="24"/>
        </w:rPr>
        <w:t>406/2009/ES.</w:t>
      </w:r>
      <w:r w:rsidR="00BF3D0E" w:rsidRPr="00E76F52">
        <w:rPr>
          <w:rFonts w:ascii="Calibri" w:hAnsi="Calibri" w:cs="Calibri"/>
          <w:bCs/>
          <w:iCs/>
          <w:sz w:val="24"/>
          <w:szCs w:val="24"/>
        </w:rPr>
        <w:t xml:space="preserve"> </w:t>
      </w:r>
      <w:r w:rsidR="007528F0" w:rsidRPr="00E76F52">
        <w:rPr>
          <w:rFonts w:ascii="Calibri" w:hAnsi="Calibri" w:cs="Calibri"/>
          <w:bCs/>
          <w:iCs/>
          <w:sz w:val="24"/>
          <w:szCs w:val="24"/>
        </w:rPr>
        <w:t>Ani z něj o</w:t>
      </w:r>
      <w:r w:rsidRPr="00E76F52">
        <w:rPr>
          <w:rFonts w:ascii="Calibri" w:hAnsi="Calibri" w:cs="Calibri"/>
          <w:bCs/>
          <w:iCs/>
          <w:sz w:val="24"/>
          <w:szCs w:val="24"/>
        </w:rPr>
        <w:t>kamžik vzniku povolenek</w:t>
      </w:r>
      <w:r w:rsidR="007528F0" w:rsidRPr="00E76F52">
        <w:rPr>
          <w:rFonts w:ascii="Calibri" w:hAnsi="Calibri" w:cs="Calibri"/>
          <w:bCs/>
          <w:iCs/>
          <w:sz w:val="24"/>
          <w:szCs w:val="24"/>
        </w:rPr>
        <w:t xml:space="preserve"> </w:t>
      </w:r>
      <w:r w:rsidR="00301578">
        <w:rPr>
          <w:rFonts w:ascii="Calibri" w:hAnsi="Calibri" w:cs="Calibri"/>
          <w:bCs/>
          <w:iCs/>
          <w:sz w:val="24"/>
          <w:szCs w:val="24"/>
        </w:rPr>
        <w:t>vy</w:t>
      </w:r>
      <w:r w:rsidR="007528F0" w:rsidRPr="00E76F52">
        <w:rPr>
          <w:rFonts w:ascii="Calibri" w:hAnsi="Calibri" w:cs="Calibri"/>
          <w:bCs/>
          <w:iCs/>
          <w:sz w:val="24"/>
          <w:szCs w:val="24"/>
        </w:rPr>
        <w:t>vodit nelze.</w:t>
      </w:r>
    </w:p>
    <w:p w:rsidR="005416A5" w:rsidRPr="00E76F52" w:rsidRDefault="005416A5" w:rsidP="00E76F52">
      <w:pPr>
        <w:spacing w:after="0" w:line="240" w:lineRule="auto"/>
        <w:jc w:val="both"/>
        <w:rPr>
          <w:rFonts w:ascii="Calibri" w:hAnsi="Calibri" w:cs="Calibri"/>
          <w:bCs/>
          <w:iCs/>
          <w:sz w:val="24"/>
          <w:szCs w:val="24"/>
        </w:rPr>
      </w:pPr>
    </w:p>
    <w:p w:rsidR="00F52B52" w:rsidRPr="00E76F52" w:rsidRDefault="00F52B52"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t>Z výše uvedených právních předpisů</w:t>
      </w:r>
      <w:r w:rsidR="00595749" w:rsidRPr="00E76F52">
        <w:rPr>
          <w:rFonts w:ascii="Calibri" w:hAnsi="Calibri" w:cs="Calibri"/>
          <w:bCs/>
          <w:iCs/>
          <w:sz w:val="24"/>
          <w:szCs w:val="24"/>
        </w:rPr>
        <w:t xml:space="preserve"> tak</w:t>
      </w:r>
      <w:r w:rsidRPr="00E76F52">
        <w:rPr>
          <w:rFonts w:ascii="Calibri" w:hAnsi="Calibri" w:cs="Calibri"/>
          <w:bCs/>
          <w:iCs/>
          <w:sz w:val="24"/>
          <w:szCs w:val="24"/>
        </w:rPr>
        <w:t xml:space="preserve"> nelze</w:t>
      </w:r>
      <w:r w:rsidR="00E11A5D" w:rsidRPr="00E76F52">
        <w:rPr>
          <w:rFonts w:ascii="Calibri" w:hAnsi="Calibri" w:cs="Calibri"/>
          <w:bCs/>
          <w:iCs/>
          <w:sz w:val="24"/>
          <w:szCs w:val="24"/>
        </w:rPr>
        <w:t xml:space="preserve"> </w:t>
      </w:r>
      <w:r w:rsidRPr="00E76F52">
        <w:rPr>
          <w:rFonts w:ascii="Calibri" w:hAnsi="Calibri" w:cs="Calibri"/>
          <w:bCs/>
          <w:iCs/>
          <w:sz w:val="24"/>
          <w:szCs w:val="24"/>
        </w:rPr>
        <w:t>spolehlivě určit přesný okamžik vzniku povolenek</w:t>
      </w:r>
      <w:r w:rsidR="008136DC" w:rsidRPr="00E76F52">
        <w:rPr>
          <w:rFonts w:ascii="Calibri" w:hAnsi="Calibri" w:cs="Calibri"/>
          <w:bCs/>
          <w:iCs/>
          <w:sz w:val="24"/>
          <w:szCs w:val="24"/>
        </w:rPr>
        <w:t>.</w:t>
      </w:r>
      <w:r w:rsidR="00500631" w:rsidRPr="00E76F52">
        <w:rPr>
          <w:rFonts w:ascii="Calibri" w:hAnsi="Calibri" w:cs="Calibri"/>
          <w:bCs/>
          <w:iCs/>
          <w:sz w:val="24"/>
          <w:szCs w:val="24"/>
        </w:rPr>
        <w:t xml:space="preserve"> </w:t>
      </w:r>
      <w:r w:rsidRPr="00E76F52">
        <w:rPr>
          <w:rFonts w:ascii="Calibri" w:hAnsi="Calibri" w:cs="Calibri"/>
          <w:bCs/>
          <w:iCs/>
          <w:sz w:val="24"/>
          <w:szCs w:val="24"/>
        </w:rPr>
        <w:t>Z hlediska stanovení okamžiku, ve kterém povolenky vznikají jako majetek Č</w:t>
      </w:r>
      <w:r w:rsidR="00F41FD0" w:rsidRPr="00E76F52">
        <w:rPr>
          <w:rFonts w:ascii="Calibri" w:hAnsi="Calibri" w:cs="Calibri"/>
          <w:bCs/>
          <w:iCs/>
          <w:sz w:val="24"/>
          <w:szCs w:val="24"/>
        </w:rPr>
        <w:t>eské republiky</w:t>
      </w:r>
      <w:r w:rsidRPr="00E76F52">
        <w:rPr>
          <w:rFonts w:ascii="Calibri" w:hAnsi="Calibri" w:cs="Calibri"/>
          <w:bCs/>
          <w:iCs/>
          <w:sz w:val="24"/>
          <w:szCs w:val="24"/>
        </w:rPr>
        <w:t>, se kterým hospodaří MŽP, je třeba za zásadní označit tu skutečnost, že povolenky vůbec neprocházejí národními účty, jsou vytvářeny přímo v registru EU a z něho jsou převáděny přímo na příslušné dražební účty nebo přímo na účty provozovatelů zařízení.</w:t>
      </w:r>
      <w:r w:rsidR="00F41FD0" w:rsidRPr="00E76F52">
        <w:rPr>
          <w:rFonts w:ascii="Calibri" w:hAnsi="Calibri" w:cs="Calibri"/>
          <w:bCs/>
          <w:iCs/>
          <w:color w:val="FF0000"/>
          <w:sz w:val="24"/>
          <w:szCs w:val="24"/>
        </w:rPr>
        <w:t xml:space="preserve"> </w:t>
      </w:r>
      <w:r w:rsidRPr="00E76F52">
        <w:rPr>
          <w:rFonts w:ascii="Calibri" w:hAnsi="Calibri" w:cs="Calibri"/>
          <w:bCs/>
          <w:iCs/>
          <w:sz w:val="24"/>
          <w:szCs w:val="24"/>
        </w:rPr>
        <w:t>Přesné určení okamžiku vzniku</w:t>
      </w:r>
      <w:r w:rsidR="009659C9" w:rsidRPr="00E76F52">
        <w:rPr>
          <w:rFonts w:ascii="Calibri" w:hAnsi="Calibri" w:cs="Calibri"/>
          <w:bCs/>
          <w:iCs/>
          <w:sz w:val="24"/>
          <w:szCs w:val="24"/>
        </w:rPr>
        <w:t xml:space="preserve"> povolenek</w:t>
      </w:r>
      <w:r w:rsidR="003842B4" w:rsidRPr="00E76F52">
        <w:rPr>
          <w:rFonts w:ascii="Calibri" w:hAnsi="Calibri" w:cs="Calibri"/>
          <w:bCs/>
          <w:iCs/>
          <w:sz w:val="24"/>
          <w:szCs w:val="24"/>
        </w:rPr>
        <w:t xml:space="preserve"> </w:t>
      </w:r>
      <w:r w:rsidRPr="00E76F52">
        <w:rPr>
          <w:rFonts w:ascii="Calibri" w:hAnsi="Calibri" w:cs="Calibri"/>
          <w:bCs/>
          <w:iCs/>
          <w:sz w:val="24"/>
          <w:szCs w:val="24"/>
        </w:rPr>
        <w:t>jako majetku Č</w:t>
      </w:r>
      <w:r w:rsidR="003842B4" w:rsidRPr="00E76F52">
        <w:rPr>
          <w:rFonts w:ascii="Calibri" w:hAnsi="Calibri" w:cs="Calibri"/>
          <w:bCs/>
          <w:iCs/>
          <w:sz w:val="24"/>
          <w:szCs w:val="24"/>
        </w:rPr>
        <w:t>eské republiky</w:t>
      </w:r>
      <w:r w:rsidRPr="00E76F52">
        <w:rPr>
          <w:rFonts w:ascii="Calibri" w:hAnsi="Calibri" w:cs="Calibri"/>
          <w:bCs/>
          <w:iCs/>
          <w:sz w:val="24"/>
          <w:szCs w:val="24"/>
        </w:rPr>
        <w:t xml:space="preserve"> má </w:t>
      </w:r>
      <w:r w:rsidR="00BF3D0E" w:rsidRPr="00E76F52">
        <w:rPr>
          <w:rFonts w:ascii="Calibri" w:hAnsi="Calibri" w:cs="Calibri"/>
          <w:bCs/>
          <w:iCs/>
          <w:sz w:val="24"/>
          <w:szCs w:val="24"/>
        </w:rPr>
        <w:t xml:space="preserve">přitom zásadní </w:t>
      </w:r>
      <w:r w:rsidRPr="00E76F52">
        <w:rPr>
          <w:rFonts w:ascii="Calibri" w:hAnsi="Calibri" w:cs="Calibri"/>
          <w:bCs/>
          <w:iCs/>
          <w:sz w:val="24"/>
          <w:szCs w:val="24"/>
        </w:rPr>
        <w:t xml:space="preserve">význam </w:t>
      </w:r>
      <w:r w:rsidR="00BF3D0E" w:rsidRPr="00E76F52">
        <w:rPr>
          <w:rFonts w:ascii="Calibri" w:hAnsi="Calibri" w:cs="Calibri"/>
          <w:bCs/>
          <w:iCs/>
          <w:sz w:val="24"/>
          <w:szCs w:val="24"/>
        </w:rPr>
        <w:t>pro určení okamžiku,</w:t>
      </w:r>
      <w:r w:rsidRPr="00E76F52">
        <w:rPr>
          <w:rFonts w:ascii="Calibri" w:hAnsi="Calibri" w:cs="Calibri"/>
          <w:bCs/>
          <w:iCs/>
          <w:sz w:val="24"/>
          <w:szCs w:val="24"/>
        </w:rPr>
        <w:t xml:space="preserve"> ke kterému </w:t>
      </w:r>
      <w:r w:rsidR="00301578">
        <w:rPr>
          <w:rFonts w:ascii="Calibri" w:hAnsi="Calibri" w:cs="Calibri"/>
          <w:bCs/>
          <w:iCs/>
          <w:sz w:val="24"/>
          <w:szCs w:val="24"/>
        </w:rPr>
        <w:t>má MŽP tyto povolenky zaúčtovat</w:t>
      </w:r>
      <w:r w:rsidR="00BA3FEA">
        <w:rPr>
          <w:rFonts w:ascii="Calibri" w:hAnsi="Calibri" w:cs="Calibri"/>
          <w:bCs/>
          <w:iCs/>
          <w:sz w:val="24"/>
          <w:szCs w:val="24"/>
        </w:rPr>
        <w:t xml:space="preserve"> jako majetek České republiky</w:t>
      </w:r>
      <w:r w:rsidR="00527169" w:rsidRPr="00E76F52">
        <w:rPr>
          <w:rStyle w:val="Znakapoznpodarou"/>
          <w:rFonts w:ascii="Calibri" w:hAnsi="Calibri" w:cs="Calibri"/>
          <w:bCs/>
          <w:iCs/>
          <w:sz w:val="24"/>
          <w:szCs w:val="24"/>
        </w:rPr>
        <w:footnoteReference w:id="46"/>
      </w:r>
      <w:r w:rsidRPr="00E76F52">
        <w:rPr>
          <w:rFonts w:ascii="Calibri" w:hAnsi="Calibri" w:cs="Calibri"/>
          <w:bCs/>
          <w:iCs/>
          <w:sz w:val="24"/>
          <w:szCs w:val="24"/>
        </w:rPr>
        <w:t xml:space="preserve">. </w:t>
      </w:r>
    </w:p>
    <w:p w:rsidR="004B5A4D" w:rsidRPr="00E76F52" w:rsidRDefault="004B5A4D" w:rsidP="00E76F52">
      <w:pPr>
        <w:spacing w:after="0" w:line="240" w:lineRule="auto"/>
        <w:jc w:val="both"/>
        <w:rPr>
          <w:rFonts w:ascii="Calibri" w:hAnsi="Calibri" w:cs="Calibri"/>
          <w:bCs/>
          <w:iCs/>
          <w:sz w:val="24"/>
          <w:szCs w:val="24"/>
        </w:rPr>
      </w:pPr>
    </w:p>
    <w:p w:rsidR="00056FAA" w:rsidRPr="005416A5" w:rsidRDefault="00056FAA" w:rsidP="00E76F52">
      <w:pPr>
        <w:spacing w:after="0" w:line="240" w:lineRule="auto"/>
        <w:jc w:val="both"/>
        <w:rPr>
          <w:rFonts w:ascii="Calibri" w:hAnsi="Calibri" w:cs="Calibri"/>
          <w:b/>
          <w:bCs/>
          <w:i/>
          <w:iCs/>
          <w:sz w:val="24"/>
          <w:szCs w:val="24"/>
        </w:rPr>
      </w:pPr>
      <w:r w:rsidRPr="005416A5">
        <w:rPr>
          <w:rFonts w:ascii="Calibri" w:hAnsi="Calibri" w:cs="Calibri"/>
          <w:b/>
          <w:bCs/>
          <w:i/>
          <w:iCs/>
          <w:sz w:val="24"/>
          <w:szCs w:val="24"/>
        </w:rPr>
        <w:t>Povolenky v</w:t>
      </w:r>
      <w:r w:rsidR="007405FC" w:rsidRPr="005416A5">
        <w:rPr>
          <w:rFonts w:ascii="Calibri" w:hAnsi="Calibri" w:cs="Calibri"/>
          <w:b/>
          <w:bCs/>
          <w:i/>
          <w:iCs/>
          <w:sz w:val="24"/>
          <w:szCs w:val="24"/>
        </w:rPr>
        <w:t xml:space="preserve"> </w:t>
      </w:r>
      <w:r w:rsidRPr="005416A5">
        <w:rPr>
          <w:rFonts w:ascii="Calibri" w:hAnsi="Calibri" w:cs="Calibri"/>
          <w:b/>
          <w:bCs/>
          <w:i/>
          <w:iCs/>
          <w:sz w:val="24"/>
          <w:szCs w:val="24"/>
        </w:rPr>
        <w:t>účetní závěrce MŽP</w:t>
      </w:r>
      <w:r w:rsidR="0081316D" w:rsidRPr="005416A5">
        <w:rPr>
          <w:rFonts w:ascii="Calibri" w:hAnsi="Calibri" w:cs="Calibri"/>
          <w:b/>
          <w:bCs/>
          <w:i/>
          <w:iCs/>
          <w:sz w:val="24"/>
          <w:szCs w:val="24"/>
        </w:rPr>
        <w:t xml:space="preserve"> sestavené</w:t>
      </w:r>
      <w:r w:rsidRPr="005416A5">
        <w:rPr>
          <w:rFonts w:ascii="Calibri" w:hAnsi="Calibri" w:cs="Calibri"/>
          <w:b/>
          <w:bCs/>
          <w:i/>
          <w:iCs/>
          <w:sz w:val="24"/>
          <w:szCs w:val="24"/>
        </w:rPr>
        <w:t xml:space="preserve"> k</w:t>
      </w:r>
      <w:r w:rsidR="007405FC" w:rsidRPr="005416A5">
        <w:rPr>
          <w:rFonts w:ascii="Calibri" w:hAnsi="Calibri" w:cs="Calibri"/>
          <w:b/>
          <w:bCs/>
          <w:i/>
          <w:iCs/>
          <w:sz w:val="24"/>
          <w:szCs w:val="24"/>
        </w:rPr>
        <w:t xml:space="preserve"> </w:t>
      </w:r>
      <w:r w:rsidRPr="005416A5">
        <w:rPr>
          <w:rFonts w:ascii="Calibri" w:hAnsi="Calibri" w:cs="Calibri"/>
          <w:b/>
          <w:bCs/>
          <w:i/>
          <w:iCs/>
          <w:sz w:val="24"/>
          <w:szCs w:val="24"/>
        </w:rPr>
        <w:t>31. prosinci 2013</w:t>
      </w:r>
    </w:p>
    <w:p w:rsidR="005416A5" w:rsidRDefault="005416A5" w:rsidP="00E76F52">
      <w:pPr>
        <w:spacing w:after="0" w:line="240" w:lineRule="auto"/>
        <w:jc w:val="both"/>
        <w:rPr>
          <w:rFonts w:ascii="Calibri" w:hAnsi="Calibri" w:cs="Calibri"/>
          <w:bCs/>
          <w:iCs/>
          <w:sz w:val="24"/>
          <w:szCs w:val="24"/>
        </w:rPr>
      </w:pPr>
    </w:p>
    <w:p w:rsidR="00CF3751" w:rsidRDefault="00056FAA"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t>MŽP v</w:t>
      </w:r>
      <w:r w:rsidR="007405FC" w:rsidRPr="00E76F52">
        <w:rPr>
          <w:rFonts w:ascii="Calibri" w:hAnsi="Calibri" w:cs="Calibri"/>
          <w:bCs/>
          <w:iCs/>
          <w:sz w:val="24"/>
          <w:szCs w:val="24"/>
        </w:rPr>
        <w:t xml:space="preserve"> </w:t>
      </w:r>
      <w:r w:rsidRPr="00E76F52">
        <w:rPr>
          <w:rFonts w:ascii="Calibri" w:hAnsi="Calibri" w:cs="Calibri"/>
          <w:bCs/>
          <w:iCs/>
          <w:sz w:val="24"/>
          <w:szCs w:val="24"/>
        </w:rPr>
        <w:t>účetní závěrce k</w:t>
      </w:r>
      <w:r w:rsidR="007405FC" w:rsidRPr="00E76F52">
        <w:rPr>
          <w:rFonts w:ascii="Calibri" w:hAnsi="Calibri" w:cs="Calibri"/>
          <w:bCs/>
          <w:iCs/>
          <w:sz w:val="24"/>
          <w:szCs w:val="24"/>
        </w:rPr>
        <w:t xml:space="preserve"> </w:t>
      </w:r>
      <w:r w:rsidRPr="00E76F52">
        <w:rPr>
          <w:rFonts w:ascii="Calibri" w:hAnsi="Calibri" w:cs="Calibri"/>
          <w:bCs/>
          <w:iCs/>
          <w:sz w:val="24"/>
          <w:szCs w:val="24"/>
        </w:rPr>
        <w:t xml:space="preserve">31. prosinci 2013 ve výkazu rozvaha na účtu 015 – </w:t>
      </w:r>
      <w:r w:rsidRPr="00E76F52">
        <w:rPr>
          <w:rFonts w:ascii="Calibri" w:hAnsi="Calibri" w:cs="Calibri"/>
          <w:bCs/>
          <w:i/>
          <w:iCs/>
          <w:sz w:val="24"/>
          <w:szCs w:val="24"/>
        </w:rPr>
        <w:t xml:space="preserve">Povolenky na emise </w:t>
      </w:r>
      <w:r w:rsidR="00BA3FEA">
        <w:rPr>
          <w:rFonts w:ascii="Calibri" w:hAnsi="Calibri" w:cs="Calibri"/>
          <w:bCs/>
          <w:i/>
          <w:iCs/>
          <w:sz w:val="24"/>
          <w:szCs w:val="24"/>
        </w:rPr>
        <w:t>a preferenční limity</w:t>
      </w:r>
      <w:r w:rsidR="007405FC" w:rsidRPr="00E76F52">
        <w:rPr>
          <w:rFonts w:ascii="Calibri" w:hAnsi="Calibri" w:cs="Calibri"/>
          <w:bCs/>
          <w:i/>
          <w:iCs/>
          <w:sz w:val="24"/>
          <w:szCs w:val="24"/>
        </w:rPr>
        <w:t xml:space="preserve"> </w:t>
      </w:r>
      <w:r w:rsidR="00751A67" w:rsidRPr="00E76F52">
        <w:rPr>
          <w:rFonts w:ascii="Calibri" w:hAnsi="Calibri" w:cs="Calibri"/>
          <w:bCs/>
          <w:iCs/>
          <w:sz w:val="24"/>
          <w:szCs w:val="24"/>
        </w:rPr>
        <w:t>vykázalo</w:t>
      </w:r>
      <w:r w:rsidR="007405FC" w:rsidRPr="00E76F52">
        <w:rPr>
          <w:rFonts w:ascii="Calibri" w:hAnsi="Calibri" w:cs="Calibri"/>
          <w:bCs/>
          <w:iCs/>
          <w:sz w:val="24"/>
          <w:szCs w:val="24"/>
        </w:rPr>
        <w:t xml:space="preserve"> </w:t>
      </w:r>
      <w:r w:rsidR="00751A67" w:rsidRPr="00E76F52">
        <w:rPr>
          <w:rFonts w:ascii="Calibri" w:hAnsi="Calibri" w:cs="Calibri"/>
          <w:bCs/>
          <w:iCs/>
          <w:sz w:val="24"/>
          <w:szCs w:val="24"/>
        </w:rPr>
        <w:t>5</w:t>
      </w:r>
      <w:r w:rsidR="007405FC" w:rsidRPr="00E76F52">
        <w:rPr>
          <w:rFonts w:ascii="Calibri" w:hAnsi="Calibri" w:cs="Calibri"/>
          <w:bCs/>
          <w:iCs/>
          <w:sz w:val="24"/>
          <w:szCs w:val="24"/>
        </w:rPr>
        <w:t xml:space="preserve"> </w:t>
      </w:r>
      <w:r w:rsidR="00751A67" w:rsidRPr="00E76F52">
        <w:rPr>
          <w:rFonts w:ascii="Calibri" w:hAnsi="Calibri" w:cs="Calibri"/>
          <w:bCs/>
          <w:iCs/>
          <w:sz w:val="24"/>
          <w:szCs w:val="24"/>
        </w:rPr>
        <w:t>549 723</w:t>
      </w:r>
      <w:r w:rsidRPr="00E76F52">
        <w:rPr>
          <w:rFonts w:ascii="Calibri" w:hAnsi="Calibri" w:cs="Calibri"/>
          <w:bCs/>
          <w:iCs/>
          <w:sz w:val="24"/>
          <w:szCs w:val="24"/>
        </w:rPr>
        <w:t xml:space="preserve"> ks povolenek určených k</w:t>
      </w:r>
      <w:r w:rsidR="007405FC" w:rsidRPr="00E76F52">
        <w:rPr>
          <w:rFonts w:ascii="Calibri" w:hAnsi="Calibri" w:cs="Calibri"/>
          <w:bCs/>
          <w:iCs/>
          <w:sz w:val="24"/>
          <w:szCs w:val="24"/>
        </w:rPr>
        <w:t xml:space="preserve"> </w:t>
      </w:r>
      <w:r w:rsidRPr="00E76F52">
        <w:rPr>
          <w:rFonts w:ascii="Calibri" w:hAnsi="Calibri" w:cs="Calibri"/>
          <w:bCs/>
          <w:iCs/>
          <w:sz w:val="24"/>
          <w:szCs w:val="24"/>
        </w:rPr>
        <w:t xml:space="preserve">dražbě a </w:t>
      </w:r>
      <w:r w:rsidR="00500631" w:rsidRPr="00E76F52">
        <w:rPr>
          <w:rFonts w:ascii="Calibri" w:hAnsi="Calibri" w:cs="Calibri"/>
          <w:bCs/>
          <w:iCs/>
          <w:sz w:val="24"/>
          <w:szCs w:val="24"/>
        </w:rPr>
        <w:t>52</w:t>
      </w:r>
      <w:r w:rsidR="007405FC" w:rsidRPr="00E76F52">
        <w:rPr>
          <w:rFonts w:ascii="Calibri" w:hAnsi="Calibri" w:cs="Calibri"/>
          <w:bCs/>
          <w:iCs/>
          <w:sz w:val="24"/>
          <w:szCs w:val="24"/>
        </w:rPr>
        <w:t xml:space="preserve"> </w:t>
      </w:r>
      <w:r w:rsidR="00500631" w:rsidRPr="00E76F52">
        <w:rPr>
          <w:rFonts w:ascii="Calibri" w:hAnsi="Calibri" w:cs="Calibri"/>
          <w:bCs/>
          <w:iCs/>
          <w:sz w:val="24"/>
          <w:szCs w:val="24"/>
        </w:rPr>
        <w:t>452 667</w:t>
      </w:r>
      <w:r w:rsidRPr="00E76F52">
        <w:rPr>
          <w:rFonts w:ascii="Calibri" w:hAnsi="Calibri" w:cs="Calibri"/>
          <w:bCs/>
          <w:iCs/>
          <w:sz w:val="24"/>
          <w:szCs w:val="24"/>
        </w:rPr>
        <w:t xml:space="preserve"> ks </w:t>
      </w:r>
      <w:r w:rsidR="00CA0580" w:rsidRPr="00E76F52">
        <w:rPr>
          <w:rFonts w:ascii="Calibri" w:hAnsi="Calibri" w:cs="Calibri"/>
          <w:bCs/>
          <w:iCs/>
          <w:sz w:val="24"/>
          <w:szCs w:val="24"/>
        </w:rPr>
        <w:t xml:space="preserve">bezplatných </w:t>
      </w:r>
      <w:r w:rsidRPr="00E76F52">
        <w:rPr>
          <w:rFonts w:ascii="Calibri" w:hAnsi="Calibri" w:cs="Calibri"/>
          <w:bCs/>
          <w:iCs/>
          <w:sz w:val="24"/>
          <w:szCs w:val="24"/>
        </w:rPr>
        <w:t>povolenek u</w:t>
      </w:r>
      <w:r w:rsidR="008361EA" w:rsidRPr="00E76F52">
        <w:rPr>
          <w:rFonts w:ascii="Calibri" w:hAnsi="Calibri" w:cs="Calibri"/>
          <w:bCs/>
          <w:iCs/>
          <w:sz w:val="24"/>
          <w:szCs w:val="24"/>
        </w:rPr>
        <w:t>r</w:t>
      </w:r>
      <w:r w:rsidRPr="00E76F52">
        <w:rPr>
          <w:rFonts w:ascii="Calibri" w:hAnsi="Calibri" w:cs="Calibri"/>
          <w:bCs/>
          <w:iCs/>
          <w:sz w:val="24"/>
          <w:szCs w:val="24"/>
        </w:rPr>
        <w:t>čených</w:t>
      </w:r>
      <w:r w:rsidR="00CA0580" w:rsidRPr="00E76F52">
        <w:rPr>
          <w:rFonts w:ascii="Calibri" w:hAnsi="Calibri" w:cs="Calibri"/>
          <w:bCs/>
          <w:iCs/>
          <w:sz w:val="24"/>
          <w:szCs w:val="24"/>
        </w:rPr>
        <w:t xml:space="preserve"> k</w:t>
      </w:r>
      <w:r w:rsidR="00F3144B" w:rsidRPr="00E76F52">
        <w:rPr>
          <w:rFonts w:ascii="Calibri" w:hAnsi="Calibri" w:cs="Calibri"/>
          <w:bCs/>
          <w:iCs/>
          <w:sz w:val="24"/>
          <w:szCs w:val="24"/>
        </w:rPr>
        <w:t xml:space="preserve"> </w:t>
      </w:r>
      <w:r w:rsidRPr="00E76F52">
        <w:rPr>
          <w:rFonts w:ascii="Calibri" w:hAnsi="Calibri" w:cs="Calibri"/>
          <w:bCs/>
          <w:iCs/>
          <w:sz w:val="24"/>
          <w:szCs w:val="24"/>
        </w:rPr>
        <w:t>převodu</w:t>
      </w:r>
      <w:r w:rsidR="008361EA" w:rsidRPr="00E76F52">
        <w:rPr>
          <w:rFonts w:ascii="Calibri" w:hAnsi="Calibri" w:cs="Calibri"/>
          <w:bCs/>
          <w:iCs/>
          <w:sz w:val="24"/>
          <w:szCs w:val="24"/>
        </w:rPr>
        <w:t xml:space="preserve"> provozovatelům</w:t>
      </w:r>
      <w:r w:rsidR="00F3144B" w:rsidRPr="00E76F52">
        <w:rPr>
          <w:rFonts w:ascii="Calibri" w:hAnsi="Calibri" w:cs="Calibri"/>
          <w:bCs/>
          <w:iCs/>
          <w:sz w:val="24"/>
          <w:szCs w:val="24"/>
        </w:rPr>
        <w:t>. Tento p</w:t>
      </w:r>
      <w:r w:rsidR="00372555" w:rsidRPr="00E76F52">
        <w:rPr>
          <w:rFonts w:ascii="Calibri" w:hAnsi="Calibri" w:cs="Calibri"/>
          <w:bCs/>
          <w:iCs/>
          <w:sz w:val="24"/>
          <w:szCs w:val="24"/>
        </w:rPr>
        <w:t>řevod</w:t>
      </w:r>
      <w:r w:rsidR="00CF3751" w:rsidRPr="00E76F52">
        <w:rPr>
          <w:rFonts w:ascii="Calibri" w:hAnsi="Calibri" w:cs="Calibri"/>
          <w:bCs/>
          <w:iCs/>
          <w:sz w:val="24"/>
          <w:szCs w:val="24"/>
        </w:rPr>
        <w:t xml:space="preserve"> </w:t>
      </w:r>
      <w:r w:rsidR="00372555" w:rsidRPr="00E76F52">
        <w:rPr>
          <w:rFonts w:ascii="Calibri" w:hAnsi="Calibri" w:cs="Calibri"/>
          <w:bCs/>
          <w:iCs/>
          <w:sz w:val="24"/>
          <w:szCs w:val="24"/>
        </w:rPr>
        <w:t xml:space="preserve">byl realizován </w:t>
      </w:r>
      <w:r w:rsidR="00CF3751" w:rsidRPr="00E76F52">
        <w:rPr>
          <w:rFonts w:ascii="Calibri" w:hAnsi="Calibri" w:cs="Calibri"/>
          <w:bCs/>
          <w:iCs/>
          <w:sz w:val="24"/>
          <w:szCs w:val="24"/>
        </w:rPr>
        <w:t>až</w:t>
      </w:r>
      <w:r w:rsidR="00372555" w:rsidRPr="00E76F52">
        <w:rPr>
          <w:rFonts w:ascii="Calibri" w:hAnsi="Calibri" w:cs="Calibri"/>
          <w:bCs/>
          <w:iCs/>
          <w:sz w:val="24"/>
          <w:szCs w:val="24"/>
        </w:rPr>
        <w:t xml:space="preserve"> v roce</w:t>
      </w:r>
      <w:r w:rsidR="00CF3751" w:rsidRPr="00E76F52">
        <w:rPr>
          <w:rFonts w:ascii="Calibri" w:hAnsi="Calibri" w:cs="Calibri"/>
          <w:bCs/>
          <w:iCs/>
          <w:sz w:val="24"/>
          <w:szCs w:val="24"/>
        </w:rPr>
        <w:t xml:space="preserve"> 2014</w:t>
      </w:r>
      <w:r w:rsidR="00BA3FEA">
        <w:rPr>
          <w:rFonts w:ascii="Calibri" w:hAnsi="Calibri" w:cs="Calibri"/>
          <w:bCs/>
          <w:iCs/>
          <w:sz w:val="24"/>
          <w:szCs w:val="24"/>
        </w:rPr>
        <w:t>.</w:t>
      </w:r>
      <w:r w:rsidR="00CF3751" w:rsidRPr="00E76F52">
        <w:rPr>
          <w:rStyle w:val="Znakapoznpodarou"/>
          <w:rFonts w:ascii="Calibri" w:hAnsi="Calibri" w:cs="Calibri"/>
          <w:bCs/>
          <w:iCs/>
          <w:sz w:val="24"/>
          <w:szCs w:val="24"/>
        </w:rPr>
        <w:footnoteReference w:id="47"/>
      </w:r>
    </w:p>
    <w:p w:rsidR="005416A5" w:rsidRPr="00E76F52" w:rsidRDefault="005416A5" w:rsidP="00E76F52">
      <w:pPr>
        <w:spacing w:after="0" w:line="240" w:lineRule="auto"/>
        <w:jc w:val="both"/>
        <w:rPr>
          <w:rFonts w:ascii="Calibri" w:hAnsi="Calibri" w:cs="Calibri"/>
          <w:bCs/>
          <w:iCs/>
          <w:sz w:val="24"/>
          <w:szCs w:val="24"/>
        </w:rPr>
      </w:pPr>
    </w:p>
    <w:p w:rsidR="00CF3751" w:rsidRDefault="00815D3C"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t xml:space="preserve">Existenci </w:t>
      </w:r>
      <w:r w:rsidR="00751A67" w:rsidRPr="00E76F52">
        <w:rPr>
          <w:rFonts w:ascii="Calibri" w:hAnsi="Calibri" w:cs="Calibri"/>
          <w:bCs/>
          <w:iCs/>
          <w:sz w:val="24"/>
          <w:szCs w:val="24"/>
        </w:rPr>
        <w:t xml:space="preserve">výše uvedeného </w:t>
      </w:r>
      <w:r w:rsidR="00056FAA" w:rsidRPr="00E76F52">
        <w:rPr>
          <w:rFonts w:ascii="Calibri" w:hAnsi="Calibri" w:cs="Calibri"/>
          <w:bCs/>
          <w:iCs/>
          <w:sz w:val="24"/>
          <w:szCs w:val="24"/>
        </w:rPr>
        <w:t>množství</w:t>
      </w:r>
      <w:r w:rsidRPr="00E76F52">
        <w:rPr>
          <w:rFonts w:ascii="Calibri" w:hAnsi="Calibri" w:cs="Calibri"/>
          <w:bCs/>
          <w:iCs/>
          <w:sz w:val="24"/>
          <w:szCs w:val="24"/>
        </w:rPr>
        <w:t xml:space="preserve"> povolenek</w:t>
      </w:r>
      <w:r w:rsidR="00056FAA" w:rsidRPr="00E76F52">
        <w:rPr>
          <w:rFonts w:ascii="Calibri" w:hAnsi="Calibri" w:cs="Calibri"/>
          <w:bCs/>
          <w:iCs/>
          <w:sz w:val="24"/>
          <w:szCs w:val="24"/>
        </w:rPr>
        <w:t xml:space="preserve"> </w:t>
      </w:r>
      <w:r w:rsidRPr="00E76F52">
        <w:rPr>
          <w:rFonts w:ascii="Calibri" w:hAnsi="Calibri" w:cs="Calibri"/>
          <w:bCs/>
          <w:iCs/>
          <w:sz w:val="24"/>
          <w:szCs w:val="24"/>
        </w:rPr>
        <w:t xml:space="preserve">MŽP při inventarizaci </w:t>
      </w:r>
      <w:r w:rsidR="00056FAA" w:rsidRPr="00E76F52">
        <w:rPr>
          <w:rFonts w:ascii="Calibri" w:hAnsi="Calibri" w:cs="Calibri"/>
          <w:bCs/>
          <w:iCs/>
          <w:sz w:val="24"/>
          <w:szCs w:val="24"/>
        </w:rPr>
        <w:t xml:space="preserve">neprokázalo </w:t>
      </w:r>
      <w:r w:rsidR="00CA0580" w:rsidRPr="00E76F52">
        <w:rPr>
          <w:rFonts w:ascii="Calibri" w:hAnsi="Calibri" w:cs="Calibri"/>
          <w:bCs/>
          <w:iCs/>
          <w:sz w:val="24"/>
          <w:szCs w:val="24"/>
        </w:rPr>
        <w:t>výpisem z</w:t>
      </w:r>
      <w:r w:rsidR="008C7D9B" w:rsidRPr="00E76F52">
        <w:rPr>
          <w:rFonts w:ascii="Calibri" w:hAnsi="Calibri" w:cs="Calibri"/>
          <w:bCs/>
          <w:iCs/>
          <w:sz w:val="24"/>
          <w:szCs w:val="24"/>
        </w:rPr>
        <w:t> </w:t>
      </w:r>
      <w:r w:rsidR="00CA0580" w:rsidRPr="00E76F52">
        <w:rPr>
          <w:rFonts w:ascii="Calibri" w:hAnsi="Calibri" w:cs="Calibri"/>
          <w:bCs/>
          <w:iCs/>
          <w:sz w:val="24"/>
          <w:szCs w:val="24"/>
        </w:rPr>
        <w:t>účtů</w:t>
      </w:r>
      <w:r w:rsidRPr="00E76F52">
        <w:rPr>
          <w:rFonts w:ascii="Calibri" w:hAnsi="Calibri" w:cs="Calibri"/>
          <w:bCs/>
          <w:iCs/>
          <w:sz w:val="24"/>
          <w:szCs w:val="24"/>
        </w:rPr>
        <w:t xml:space="preserve"> v</w:t>
      </w:r>
      <w:r w:rsidR="007405FC" w:rsidRPr="00E76F52">
        <w:rPr>
          <w:rFonts w:ascii="Calibri" w:hAnsi="Calibri" w:cs="Calibri"/>
          <w:bCs/>
          <w:iCs/>
          <w:sz w:val="24"/>
          <w:szCs w:val="24"/>
        </w:rPr>
        <w:t xml:space="preserve"> </w:t>
      </w:r>
      <w:r w:rsidRPr="00E76F52">
        <w:rPr>
          <w:rFonts w:ascii="Calibri" w:hAnsi="Calibri" w:cs="Calibri"/>
          <w:bCs/>
          <w:iCs/>
          <w:sz w:val="24"/>
          <w:szCs w:val="24"/>
        </w:rPr>
        <w:t xml:space="preserve">registru </w:t>
      </w:r>
      <w:r w:rsidR="000855F3">
        <w:rPr>
          <w:rFonts w:ascii="Calibri" w:hAnsi="Calibri" w:cs="Calibri"/>
          <w:bCs/>
          <w:iCs/>
          <w:sz w:val="24"/>
          <w:szCs w:val="24"/>
        </w:rPr>
        <w:t>E</w:t>
      </w:r>
      <w:r w:rsidRPr="00E76F52">
        <w:rPr>
          <w:rFonts w:ascii="Calibri" w:hAnsi="Calibri" w:cs="Calibri"/>
          <w:bCs/>
          <w:iCs/>
          <w:sz w:val="24"/>
          <w:szCs w:val="24"/>
        </w:rPr>
        <w:t>U</w:t>
      </w:r>
      <w:r w:rsidR="00773AE6" w:rsidRPr="00E76F52">
        <w:rPr>
          <w:rFonts w:ascii="Calibri" w:hAnsi="Calibri" w:cs="Calibri"/>
          <w:bCs/>
          <w:iCs/>
          <w:sz w:val="24"/>
          <w:szCs w:val="24"/>
        </w:rPr>
        <w:t xml:space="preserve"> s </w:t>
      </w:r>
      <w:r w:rsidR="00056FAA" w:rsidRPr="00E76F52">
        <w:rPr>
          <w:rFonts w:ascii="Calibri" w:hAnsi="Calibri" w:cs="Calibri"/>
          <w:bCs/>
          <w:iCs/>
          <w:sz w:val="24"/>
          <w:szCs w:val="24"/>
        </w:rPr>
        <w:t xml:space="preserve">odůvodněním, že do </w:t>
      </w:r>
      <w:r w:rsidR="00773AE6" w:rsidRPr="00E76F52">
        <w:rPr>
          <w:rFonts w:ascii="Calibri" w:hAnsi="Calibri" w:cs="Calibri"/>
          <w:bCs/>
          <w:iCs/>
          <w:sz w:val="24"/>
          <w:szCs w:val="24"/>
        </w:rPr>
        <w:t xml:space="preserve">registru </w:t>
      </w:r>
      <w:r w:rsidR="000855F3">
        <w:rPr>
          <w:rFonts w:ascii="Calibri" w:hAnsi="Calibri" w:cs="Calibri"/>
          <w:bCs/>
          <w:iCs/>
          <w:sz w:val="24"/>
          <w:szCs w:val="24"/>
        </w:rPr>
        <w:t>E</w:t>
      </w:r>
      <w:r w:rsidR="00773AE6" w:rsidRPr="00E76F52">
        <w:rPr>
          <w:rFonts w:ascii="Calibri" w:hAnsi="Calibri" w:cs="Calibri"/>
          <w:bCs/>
          <w:iCs/>
          <w:sz w:val="24"/>
          <w:szCs w:val="24"/>
        </w:rPr>
        <w:t>U</w:t>
      </w:r>
      <w:r w:rsidR="00056FAA" w:rsidRPr="00E76F52">
        <w:rPr>
          <w:rFonts w:ascii="Calibri" w:hAnsi="Calibri" w:cs="Calibri"/>
          <w:bCs/>
          <w:iCs/>
          <w:sz w:val="24"/>
          <w:szCs w:val="24"/>
        </w:rPr>
        <w:t xml:space="preserve"> nemá přístup a </w:t>
      </w:r>
      <w:r w:rsidR="00DF65A6" w:rsidRPr="00E76F52">
        <w:rPr>
          <w:rFonts w:ascii="Calibri" w:hAnsi="Calibri" w:cs="Calibri"/>
          <w:bCs/>
          <w:iCs/>
          <w:sz w:val="24"/>
          <w:szCs w:val="24"/>
        </w:rPr>
        <w:t>povolenky nejsou generovány na účtech členských států ani přes ně nejsou převáděny</w:t>
      </w:r>
      <w:r w:rsidR="00773AE6" w:rsidRPr="00E76F52">
        <w:rPr>
          <w:rFonts w:ascii="Calibri" w:hAnsi="Calibri" w:cs="Calibri"/>
          <w:bCs/>
          <w:iCs/>
          <w:sz w:val="24"/>
          <w:szCs w:val="24"/>
        </w:rPr>
        <w:t>. M</w:t>
      </w:r>
      <w:r w:rsidR="00056FAA" w:rsidRPr="00E76F52">
        <w:rPr>
          <w:rFonts w:ascii="Calibri" w:hAnsi="Calibri" w:cs="Calibri"/>
          <w:bCs/>
          <w:iCs/>
          <w:sz w:val="24"/>
          <w:szCs w:val="24"/>
        </w:rPr>
        <w:t>nožství</w:t>
      </w:r>
      <w:r w:rsidR="00773AE6" w:rsidRPr="00E76F52">
        <w:rPr>
          <w:rFonts w:ascii="Calibri" w:hAnsi="Calibri" w:cs="Calibri"/>
          <w:bCs/>
          <w:iCs/>
          <w:sz w:val="24"/>
          <w:szCs w:val="24"/>
        </w:rPr>
        <w:t xml:space="preserve"> povolenek</w:t>
      </w:r>
      <w:r w:rsidR="00503AA3" w:rsidRPr="00E76F52">
        <w:rPr>
          <w:rFonts w:ascii="Calibri" w:hAnsi="Calibri" w:cs="Calibri"/>
          <w:bCs/>
          <w:iCs/>
          <w:sz w:val="24"/>
          <w:szCs w:val="24"/>
        </w:rPr>
        <w:t xml:space="preserve"> vykázaných MŽP</w:t>
      </w:r>
      <w:r w:rsidR="00056FAA" w:rsidRPr="00E76F52">
        <w:rPr>
          <w:rFonts w:ascii="Calibri" w:hAnsi="Calibri" w:cs="Calibri"/>
          <w:bCs/>
          <w:iCs/>
          <w:sz w:val="24"/>
          <w:szCs w:val="24"/>
        </w:rPr>
        <w:t xml:space="preserve"> je</w:t>
      </w:r>
      <w:r w:rsidR="00CA0580" w:rsidRPr="00E76F52">
        <w:rPr>
          <w:rFonts w:ascii="Calibri" w:hAnsi="Calibri" w:cs="Calibri"/>
          <w:bCs/>
          <w:iCs/>
          <w:sz w:val="24"/>
          <w:szCs w:val="24"/>
        </w:rPr>
        <w:t xml:space="preserve"> tak </w:t>
      </w:r>
      <w:r w:rsidR="00056FAA" w:rsidRPr="00E76F52">
        <w:rPr>
          <w:rFonts w:ascii="Calibri" w:hAnsi="Calibri" w:cs="Calibri"/>
          <w:bCs/>
          <w:iCs/>
          <w:sz w:val="24"/>
          <w:szCs w:val="24"/>
        </w:rPr>
        <w:t>odhad</w:t>
      </w:r>
      <w:r w:rsidR="00CA0580" w:rsidRPr="00E76F52">
        <w:rPr>
          <w:rFonts w:ascii="Calibri" w:hAnsi="Calibri" w:cs="Calibri"/>
          <w:bCs/>
          <w:iCs/>
          <w:sz w:val="24"/>
          <w:szCs w:val="24"/>
        </w:rPr>
        <w:t>em</w:t>
      </w:r>
      <w:r w:rsidRPr="00E76F52">
        <w:rPr>
          <w:rFonts w:ascii="Calibri" w:hAnsi="Calibri" w:cs="Calibri"/>
          <w:bCs/>
          <w:iCs/>
          <w:sz w:val="24"/>
          <w:szCs w:val="24"/>
        </w:rPr>
        <w:t xml:space="preserve"> </w:t>
      </w:r>
      <w:r w:rsidR="00773AE6" w:rsidRPr="00E76F52">
        <w:rPr>
          <w:rFonts w:ascii="Calibri" w:hAnsi="Calibri" w:cs="Calibri"/>
          <w:bCs/>
          <w:iCs/>
          <w:sz w:val="24"/>
          <w:szCs w:val="24"/>
        </w:rPr>
        <w:t>jejich množství</w:t>
      </w:r>
      <w:r w:rsidR="00056FAA" w:rsidRPr="00E76F52">
        <w:rPr>
          <w:rFonts w:ascii="Calibri" w:hAnsi="Calibri" w:cs="Calibri"/>
          <w:bCs/>
          <w:iCs/>
          <w:sz w:val="24"/>
          <w:szCs w:val="24"/>
        </w:rPr>
        <w:t xml:space="preserve"> </w:t>
      </w:r>
      <w:r w:rsidR="00372555" w:rsidRPr="00E76F52">
        <w:rPr>
          <w:rFonts w:ascii="Calibri" w:hAnsi="Calibri" w:cs="Calibri"/>
          <w:bCs/>
          <w:iCs/>
          <w:sz w:val="24"/>
          <w:szCs w:val="24"/>
        </w:rPr>
        <w:t>pro</w:t>
      </w:r>
      <w:r w:rsidR="00056FAA" w:rsidRPr="00E76F52">
        <w:rPr>
          <w:rFonts w:ascii="Calibri" w:hAnsi="Calibri" w:cs="Calibri"/>
          <w:bCs/>
          <w:iCs/>
          <w:sz w:val="24"/>
          <w:szCs w:val="24"/>
        </w:rPr>
        <w:t xml:space="preserve"> celý rok 2013</w:t>
      </w:r>
      <w:r w:rsidR="00773AE6" w:rsidRPr="00E76F52">
        <w:rPr>
          <w:rFonts w:ascii="Calibri" w:hAnsi="Calibri" w:cs="Calibri"/>
          <w:bCs/>
          <w:iCs/>
          <w:sz w:val="24"/>
          <w:szCs w:val="24"/>
        </w:rPr>
        <w:t xml:space="preserve"> </w:t>
      </w:r>
      <w:r w:rsidR="00E05ECE" w:rsidRPr="00E76F52">
        <w:rPr>
          <w:rFonts w:ascii="Calibri" w:hAnsi="Calibri" w:cs="Calibri"/>
          <w:bCs/>
          <w:iCs/>
          <w:sz w:val="24"/>
          <w:szCs w:val="24"/>
        </w:rPr>
        <w:t>(</w:t>
      </w:r>
      <w:r w:rsidR="00773AE6" w:rsidRPr="00E76F52">
        <w:rPr>
          <w:rFonts w:ascii="Calibri" w:hAnsi="Calibri" w:cs="Calibri"/>
          <w:bCs/>
          <w:iCs/>
          <w:sz w:val="24"/>
          <w:szCs w:val="24"/>
        </w:rPr>
        <w:t>snížený</w:t>
      </w:r>
      <w:r w:rsidR="000855F3">
        <w:rPr>
          <w:rFonts w:ascii="Calibri" w:hAnsi="Calibri" w:cs="Calibri"/>
          <w:bCs/>
          <w:iCs/>
          <w:sz w:val="24"/>
          <w:szCs w:val="24"/>
        </w:rPr>
        <w:t>m</w:t>
      </w:r>
      <w:r w:rsidR="00773AE6" w:rsidRPr="00E76F52">
        <w:rPr>
          <w:rFonts w:ascii="Calibri" w:hAnsi="Calibri" w:cs="Calibri"/>
          <w:bCs/>
          <w:iCs/>
          <w:sz w:val="24"/>
          <w:szCs w:val="24"/>
        </w:rPr>
        <w:t xml:space="preserve"> o</w:t>
      </w:r>
      <w:r w:rsidR="000855F3">
        <w:rPr>
          <w:rFonts w:ascii="Calibri" w:hAnsi="Calibri" w:cs="Calibri"/>
          <w:bCs/>
          <w:iCs/>
          <w:sz w:val="24"/>
          <w:szCs w:val="24"/>
        </w:rPr>
        <w:t> </w:t>
      </w:r>
      <w:r w:rsidR="00503AA3" w:rsidRPr="00E76F52">
        <w:rPr>
          <w:rFonts w:ascii="Calibri" w:hAnsi="Calibri" w:cs="Calibri"/>
          <w:bCs/>
          <w:iCs/>
          <w:sz w:val="24"/>
          <w:szCs w:val="24"/>
        </w:rPr>
        <w:t>předpokládané</w:t>
      </w:r>
      <w:r w:rsidR="00773AE6" w:rsidRPr="00E76F52">
        <w:rPr>
          <w:rFonts w:ascii="Calibri" w:hAnsi="Calibri" w:cs="Calibri"/>
          <w:bCs/>
          <w:iCs/>
          <w:sz w:val="24"/>
          <w:szCs w:val="24"/>
        </w:rPr>
        <w:t xml:space="preserve"> úbytky v</w:t>
      </w:r>
      <w:r w:rsidR="00372555" w:rsidRPr="00E76F52">
        <w:rPr>
          <w:rFonts w:ascii="Calibri" w:hAnsi="Calibri" w:cs="Calibri"/>
          <w:bCs/>
          <w:iCs/>
          <w:sz w:val="24"/>
          <w:szCs w:val="24"/>
        </w:rPr>
        <w:t xml:space="preserve"> tomto</w:t>
      </w:r>
      <w:r w:rsidR="007405FC" w:rsidRPr="00E76F52">
        <w:rPr>
          <w:rFonts w:ascii="Calibri" w:hAnsi="Calibri" w:cs="Calibri"/>
          <w:bCs/>
          <w:iCs/>
          <w:sz w:val="24"/>
          <w:szCs w:val="24"/>
        </w:rPr>
        <w:t xml:space="preserve"> </w:t>
      </w:r>
      <w:r w:rsidR="00773AE6" w:rsidRPr="00E76F52">
        <w:rPr>
          <w:rFonts w:ascii="Calibri" w:hAnsi="Calibri" w:cs="Calibri"/>
          <w:bCs/>
          <w:iCs/>
          <w:sz w:val="24"/>
          <w:szCs w:val="24"/>
        </w:rPr>
        <w:t>roce</w:t>
      </w:r>
      <w:r w:rsidR="003B329A" w:rsidRPr="00E76F52">
        <w:rPr>
          <w:rFonts w:ascii="Calibri" w:hAnsi="Calibri" w:cs="Calibri"/>
          <w:bCs/>
          <w:iCs/>
          <w:sz w:val="24"/>
          <w:szCs w:val="24"/>
        </w:rPr>
        <w:t xml:space="preserve"> v</w:t>
      </w:r>
      <w:r w:rsidR="007405FC" w:rsidRPr="00E76F52">
        <w:rPr>
          <w:rFonts w:ascii="Calibri" w:hAnsi="Calibri" w:cs="Calibri"/>
          <w:bCs/>
          <w:iCs/>
          <w:sz w:val="24"/>
          <w:szCs w:val="24"/>
        </w:rPr>
        <w:t xml:space="preserve"> </w:t>
      </w:r>
      <w:r w:rsidR="003B329A" w:rsidRPr="00E76F52">
        <w:rPr>
          <w:rFonts w:ascii="Calibri" w:hAnsi="Calibri" w:cs="Calibri"/>
          <w:bCs/>
          <w:iCs/>
          <w:sz w:val="24"/>
          <w:szCs w:val="24"/>
        </w:rPr>
        <w:t>důsledku hlášení jednotlivých provozovatelů o</w:t>
      </w:r>
      <w:r w:rsidR="000855F3">
        <w:rPr>
          <w:rFonts w:ascii="Calibri" w:hAnsi="Calibri" w:cs="Calibri"/>
          <w:bCs/>
          <w:iCs/>
          <w:sz w:val="24"/>
          <w:szCs w:val="24"/>
        </w:rPr>
        <w:t> </w:t>
      </w:r>
      <w:r w:rsidR="003B329A" w:rsidRPr="00E76F52">
        <w:rPr>
          <w:rFonts w:ascii="Calibri" w:hAnsi="Calibri" w:cs="Calibri"/>
          <w:bCs/>
          <w:iCs/>
          <w:sz w:val="24"/>
          <w:szCs w:val="24"/>
        </w:rPr>
        <w:t>změnách, na jejichž základě je kráceno množství přidělených bezplatných povolenek</w:t>
      </w:r>
      <w:r w:rsidR="00F3144B" w:rsidRPr="00E76F52">
        <w:rPr>
          <w:rFonts w:ascii="Calibri" w:hAnsi="Calibri" w:cs="Calibri"/>
          <w:bCs/>
          <w:iCs/>
          <w:sz w:val="24"/>
          <w:szCs w:val="24"/>
        </w:rPr>
        <w:t>)</w:t>
      </w:r>
      <w:r w:rsidR="00CA0580" w:rsidRPr="00E76F52">
        <w:rPr>
          <w:rFonts w:ascii="Calibri" w:hAnsi="Calibri" w:cs="Calibri"/>
          <w:bCs/>
          <w:iCs/>
          <w:sz w:val="24"/>
          <w:szCs w:val="24"/>
        </w:rPr>
        <w:t>, který</w:t>
      </w:r>
      <w:r w:rsidR="00503AA3" w:rsidRPr="00E76F52">
        <w:rPr>
          <w:rFonts w:ascii="Calibri" w:hAnsi="Calibri" w:cs="Calibri"/>
          <w:bCs/>
          <w:iCs/>
          <w:sz w:val="24"/>
          <w:szCs w:val="24"/>
        </w:rPr>
        <w:t xml:space="preserve"> byl </w:t>
      </w:r>
      <w:r w:rsidRPr="00E76F52">
        <w:rPr>
          <w:rFonts w:ascii="Calibri" w:hAnsi="Calibri" w:cs="Calibri"/>
          <w:bCs/>
          <w:iCs/>
          <w:sz w:val="24"/>
          <w:szCs w:val="24"/>
        </w:rPr>
        <w:t xml:space="preserve">proveden na základě </w:t>
      </w:r>
      <w:r w:rsidR="00C63C60" w:rsidRPr="00E76F52">
        <w:rPr>
          <w:rFonts w:ascii="Calibri" w:hAnsi="Calibri" w:cs="Calibri"/>
          <w:bCs/>
          <w:iCs/>
          <w:sz w:val="24"/>
          <w:szCs w:val="24"/>
        </w:rPr>
        <w:t>národní alokační tabulky</w:t>
      </w:r>
      <w:r w:rsidR="00F3144B" w:rsidRPr="00E76F52">
        <w:rPr>
          <w:rFonts w:ascii="Calibri" w:hAnsi="Calibri" w:cs="Calibri"/>
          <w:bCs/>
          <w:iCs/>
          <w:sz w:val="24"/>
          <w:szCs w:val="24"/>
        </w:rPr>
        <w:t>.</w:t>
      </w:r>
      <w:r w:rsidR="0081316D" w:rsidRPr="00E76F52">
        <w:rPr>
          <w:rFonts w:ascii="Calibri" w:hAnsi="Calibri" w:cs="Calibri"/>
          <w:bCs/>
          <w:iCs/>
          <w:sz w:val="24"/>
          <w:szCs w:val="24"/>
        </w:rPr>
        <w:t xml:space="preserve"> </w:t>
      </w:r>
      <w:r w:rsidR="00595749" w:rsidRPr="00E76F52">
        <w:rPr>
          <w:rFonts w:ascii="Calibri" w:hAnsi="Calibri" w:cs="Calibri"/>
          <w:bCs/>
          <w:iCs/>
          <w:sz w:val="24"/>
          <w:szCs w:val="24"/>
        </w:rPr>
        <w:t>Navíc h</w:t>
      </w:r>
      <w:r w:rsidR="00014AC7" w:rsidRPr="00E76F52">
        <w:rPr>
          <w:rFonts w:ascii="Calibri" w:hAnsi="Calibri" w:cs="Calibri"/>
          <w:bCs/>
          <w:iCs/>
          <w:sz w:val="24"/>
          <w:szCs w:val="24"/>
        </w:rPr>
        <w:t>odnota konečného zůstatku vykázaného</w:t>
      </w:r>
      <w:r w:rsidR="00056FAA" w:rsidRPr="00E76F52">
        <w:rPr>
          <w:rFonts w:ascii="Calibri" w:hAnsi="Calibri" w:cs="Calibri"/>
          <w:bCs/>
          <w:iCs/>
          <w:sz w:val="24"/>
          <w:szCs w:val="24"/>
        </w:rPr>
        <w:t xml:space="preserve"> na účtu </w:t>
      </w:r>
      <w:r w:rsidR="00056FAA" w:rsidRPr="000A469B">
        <w:rPr>
          <w:rFonts w:ascii="Calibri" w:hAnsi="Calibri" w:cs="Calibri"/>
          <w:bCs/>
          <w:iCs/>
          <w:sz w:val="24"/>
          <w:szCs w:val="24"/>
        </w:rPr>
        <w:t>015</w:t>
      </w:r>
      <w:r w:rsidR="00056FAA" w:rsidRPr="00E76F52">
        <w:rPr>
          <w:rFonts w:ascii="Calibri" w:hAnsi="Calibri" w:cs="Calibri"/>
          <w:bCs/>
          <w:i/>
          <w:iCs/>
          <w:sz w:val="24"/>
          <w:szCs w:val="24"/>
        </w:rPr>
        <w:t xml:space="preserve"> </w:t>
      </w:r>
      <w:r w:rsidR="00CF3751" w:rsidRPr="00E76F52">
        <w:rPr>
          <w:rFonts w:ascii="Calibri" w:hAnsi="Calibri" w:cs="Calibri"/>
          <w:bCs/>
          <w:iCs/>
          <w:sz w:val="24"/>
          <w:szCs w:val="24"/>
        </w:rPr>
        <w:t xml:space="preserve">– </w:t>
      </w:r>
      <w:r w:rsidR="00CF3751" w:rsidRPr="00E76F52">
        <w:rPr>
          <w:rFonts w:ascii="Calibri" w:hAnsi="Calibri" w:cs="Calibri"/>
          <w:bCs/>
          <w:i/>
          <w:iCs/>
          <w:sz w:val="24"/>
          <w:szCs w:val="24"/>
        </w:rPr>
        <w:t>Povolenky na emise a prefere</w:t>
      </w:r>
      <w:r w:rsidR="00585EF2" w:rsidRPr="00E76F52">
        <w:rPr>
          <w:rFonts w:ascii="Calibri" w:hAnsi="Calibri" w:cs="Calibri"/>
          <w:bCs/>
          <w:i/>
          <w:iCs/>
          <w:sz w:val="24"/>
          <w:szCs w:val="24"/>
        </w:rPr>
        <w:t>n</w:t>
      </w:r>
      <w:r w:rsidR="00CF3751" w:rsidRPr="00E76F52">
        <w:rPr>
          <w:rFonts w:ascii="Calibri" w:hAnsi="Calibri" w:cs="Calibri"/>
          <w:bCs/>
          <w:i/>
          <w:iCs/>
          <w:sz w:val="24"/>
          <w:szCs w:val="24"/>
        </w:rPr>
        <w:t>ční limity</w:t>
      </w:r>
      <w:r w:rsidR="00056FAA" w:rsidRPr="00E76F52">
        <w:rPr>
          <w:rFonts w:ascii="Calibri" w:hAnsi="Calibri" w:cs="Calibri"/>
          <w:bCs/>
          <w:iCs/>
          <w:sz w:val="24"/>
          <w:szCs w:val="24"/>
        </w:rPr>
        <w:t xml:space="preserve"> </w:t>
      </w:r>
      <w:r w:rsidR="00773AE6" w:rsidRPr="00E76F52">
        <w:rPr>
          <w:rFonts w:ascii="Calibri" w:hAnsi="Calibri" w:cs="Calibri"/>
          <w:bCs/>
          <w:iCs/>
          <w:sz w:val="24"/>
          <w:szCs w:val="24"/>
        </w:rPr>
        <w:t>byl</w:t>
      </w:r>
      <w:r w:rsidR="00014AC7" w:rsidRPr="00E76F52">
        <w:rPr>
          <w:rFonts w:ascii="Calibri" w:hAnsi="Calibri" w:cs="Calibri"/>
          <w:bCs/>
          <w:iCs/>
          <w:sz w:val="24"/>
          <w:szCs w:val="24"/>
        </w:rPr>
        <w:t>a</w:t>
      </w:r>
      <w:r w:rsidR="00773AE6" w:rsidRPr="00E76F52">
        <w:rPr>
          <w:rFonts w:ascii="Calibri" w:hAnsi="Calibri" w:cs="Calibri"/>
          <w:bCs/>
          <w:iCs/>
          <w:sz w:val="24"/>
          <w:szCs w:val="24"/>
        </w:rPr>
        <w:t xml:space="preserve"> vyčíslen</w:t>
      </w:r>
      <w:r w:rsidR="00014AC7" w:rsidRPr="00E76F52">
        <w:rPr>
          <w:rFonts w:ascii="Calibri" w:hAnsi="Calibri" w:cs="Calibri"/>
          <w:bCs/>
          <w:iCs/>
          <w:sz w:val="24"/>
          <w:szCs w:val="24"/>
        </w:rPr>
        <w:t>a</w:t>
      </w:r>
      <w:r w:rsidR="00773AE6" w:rsidRPr="00E76F52">
        <w:rPr>
          <w:rFonts w:ascii="Calibri" w:hAnsi="Calibri" w:cs="Calibri"/>
          <w:bCs/>
          <w:iCs/>
          <w:sz w:val="24"/>
          <w:szCs w:val="24"/>
        </w:rPr>
        <w:t xml:space="preserve"> nesprávně</w:t>
      </w:r>
      <w:r w:rsidR="008E2649" w:rsidRPr="00E76F52">
        <w:rPr>
          <w:rStyle w:val="Znakapoznpodarou"/>
          <w:rFonts w:ascii="Calibri" w:hAnsi="Calibri" w:cs="Calibri"/>
          <w:bCs/>
          <w:iCs/>
          <w:sz w:val="24"/>
          <w:szCs w:val="24"/>
        </w:rPr>
        <w:footnoteReference w:id="48"/>
      </w:r>
      <w:r w:rsidR="00773AE6" w:rsidRPr="00E76F52">
        <w:rPr>
          <w:rFonts w:ascii="Calibri" w:hAnsi="Calibri" w:cs="Calibri"/>
          <w:bCs/>
          <w:iCs/>
          <w:sz w:val="24"/>
          <w:szCs w:val="24"/>
        </w:rPr>
        <w:t>, neboť</w:t>
      </w:r>
      <w:r w:rsidR="00056FAA" w:rsidRPr="00E76F52">
        <w:rPr>
          <w:rFonts w:ascii="Calibri" w:hAnsi="Calibri" w:cs="Calibri"/>
          <w:bCs/>
          <w:iCs/>
          <w:sz w:val="24"/>
          <w:szCs w:val="24"/>
        </w:rPr>
        <w:t xml:space="preserve"> MŽP</w:t>
      </w:r>
      <w:r w:rsidR="008E2649" w:rsidRPr="00E76F52">
        <w:rPr>
          <w:rFonts w:ascii="Calibri" w:hAnsi="Calibri" w:cs="Calibri"/>
          <w:bCs/>
          <w:iCs/>
          <w:sz w:val="24"/>
          <w:szCs w:val="24"/>
        </w:rPr>
        <w:t xml:space="preserve"> k datu účetní závěrky</w:t>
      </w:r>
      <w:r w:rsidR="00056FAA" w:rsidRPr="00E76F52">
        <w:rPr>
          <w:rFonts w:ascii="Calibri" w:hAnsi="Calibri" w:cs="Calibri"/>
          <w:bCs/>
          <w:iCs/>
          <w:sz w:val="24"/>
          <w:szCs w:val="24"/>
        </w:rPr>
        <w:t xml:space="preserve"> ocenilo reálnou hodnotou nejen povolenky určené k</w:t>
      </w:r>
      <w:r w:rsidR="007405FC" w:rsidRPr="00E76F52">
        <w:rPr>
          <w:rFonts w:ascii="Calibri" w:hAnsi="Calibri" w:cs="Calibri"/>
          <w:bCs/>
          <w:iCs/>
          <w:sz w:val="24"/>
          <w:szCs w:val="24"/>
        </w:rPr>
        <w:t xml:space="preserve"> </w:t>
      </w:r>
      <w:r w:rsidR="00014AC7" w:rsidRPr="00E76F52">
        <w:rPr>
          <w:rFonts w:ascii="Calibri" w:hAnsi="Calibri" w:cs="Calibri"/>
          <w:bCs/>
          <w:iCs/>
          <w:sz w:val="24"/>
          <w:szCs w:val="24"/>
        </w:rPr>
        <w:t>dražbě</w:t>
      </w:r>
      <w:r w:rsidR="00056FAA" w:rsidRPr="00E76F52">
        <w:rPr>
          <w:rFonts w:ascii="Calibri" w:hAnsi="Calibri" w:cs="Calibri"/>
          <w:bCs/>
          <w:iCs/>
          <w:sz w:val="24"/>
          <w:szCs w:val="24"/>
        </w:rPr>
        <w:t>, ale i</w:t>
      </w:r>
      <w:r w:rsidR="00372555" w:rsidRPr="00E76F52">
        <w:rPr>
          <w:rFonts w:ascii="Calibri" w:hAnsi="Calibri" w:cs="Calibri"/>
          <w:bCs/>
          <w:iCs/>
          <w:sz w:val="24"/>
          <w:szCs w:val="24"/>
        </w:rPr>
        <w:t xml:space="preserve"> bezplatné</w:t>
      </w:r>
      <w:r w:rsidR="00056FAA" w:rsidRPr="00E76F52">
        <w:rPr>
          <w:rFonts w:ascii="Calibri" w:hAnsi="Calibri" w:cs="Calibri"/>
          <w:bCs/>
          <w:iCs/>
          <w:sz w:val="24"/>
          <w:szCs w:val="24"/>
        </w:rPr>
        <w:t xml:space="preserve"> povolenky určené k převodu</w:t>
      </w:r>
      <w:r w:rsidR="00372555" w:rsidRPr="00E76F52">
        <w:rPr>
          <w:rFonts w:ascii="Calibri" w:hAnsi="Calibri" w:cs="Calibri"/>
          <w:bCs/>
          <w:iCs/>
          <w:sz w:val="24"/>
          <w:szCs w:val="24"/>
        </w:rPr>
        <w:t xml:space="preserve"> jednotlivým provozovatelům zařízení</w:t>
      </w:r>
      <w:r w:rsidR="00056FAA" w:rsidRPr="00E76F52">
        <w:rPr>
          <w:rFonts w:ascii="Calibri" w:hAnsi="Calibri" w:cs="Calibri"/>
          <w:bCs/>
          <w:iCs/>
          <w:sz w:val="24"/>
          <w:szCs w:val="24"/>
        </w:rPr>
        <w:t xml:space="preserve"> (</w:t>
      </w:r>
      <w:r w:rsidR="00E5660E" w:rsidRPr="00E76F52">
        <w:rPr>
          <w:rFonts w:ascii="Calibri" w:hAnsi="Calibri" w:cs="Calibri"/>
          <w:bCs/>
          <w:iCs/>
          <w:sz w:val="24"/>
          <w:szCs w:val="24"/>
        </w:rPr>
        <w:t>viz bod 1.3.1 tohoto</w:t>
      </w:r>
      <w:r w:rsidR="0081316D" w:rsidRPr="00E76F52">
        <w:rPr>
          <w:rFonts w:ascii="Calibri" w:hAnsi="Calibri" w:cs="Calibri"/>
          <w:bCs/>
          <w:iCs/>
          <w:sz w:val="24"/>
          <w:szCs w:val="24"/>
        </w:rPr>
        <w:t xml:space="preserve"> </w:t>
      </w:r>
      <w:r w:rsidR="00056FAA" w:rsidRPr="00E76F52">
        <w:rPr>
          <w:rFonts w:ascii="Calibri" w:hAnsi="Calibri" w:cs="Calibri"/>
          <w:bCs/>
          <w:iCs/>
          <w:sz w:val="24"/>
          <w:szCs w:val="24"/>
        </w:rPr>
        <w:t>kontrolního závěru).</w:t>
      </w:r>
    </w:p>
    <w:p w:rsidR="00E76F52" w:rsidRPr="00E76F52" w:rsidRDefault="00E76F52" w:rsidP="00E76F52">
      <w:pPr>
        <w:spacing w:after="0" w:line="240" w:lineRule="auto"/>
        <w:jc w:val="both"/>
        <w:rPr>
          <w:rFonts w:ascii="Calibri" w:hAnsi="Calibri" w:cs="Calibri"/>
          <w:bCs/>
          <w:iCs/>
          <w:sz w:val="24"/>
          <w:szCs w:val="24"/>
        </w:rPr>
      </w:pPr>
    </w:p>
    <w:p w:rsidR="00CF3751" w:rsidRPr="00E76F52" w:rsidRDefault="00014AC7" w:rsidP="00E76F52">
      <w:pPr>
        <w:spacing w:after="0" w:line="240" w:lineRule="auto"/>
        <w:jc w:val="both"/>
        <w:rPr>
          <w:rFonts w:ascii="Calibri" w:hAnsi="Calibri" w:cs="Calibri"/>
          <w:bCs/>
          <w:iCs/>
          <w:sz w:val="24"/>
          <w:szCs w:val="24"/>
        </w:rPr>
      </w:pPr>
      <w:r w:rsidRPr="00E76F52">
        <w:rPr>
          <w:rFonts w:ascii="Calibri" w:hAnsi="Calibri" w:cs="Calibri"/>
          <w:bCs/>
          <w:iCs/>
          <w:sz w:val="24"/>
          <w:szCs w:val="24"/>
        </w:rPr>
        <w:lastRenderedPageBreak/>
        <w:t>V</w:t>
      </w:r>
      <w:r w:rsidR="007405FC" w:rsidRPr="00E76F52">
        <w:rPr>
          <w:rFonts w:ascii="Calibri" w:hAnsi="Calibri" w:cs="Calibri"/>
          <w:bCs/>
          <w:iCs/>
          <w:sz w:val="24"/>
          <w:szCs w:val="24"/>
        </w:rPr>
        <w:t xml:space="preserve"> </w:t>
      </w:r>
      <w:r w:rsidRPr="00E76F52">
        <w:rPr>
          <w:rFonts w:ascii="Calibri" w:hAnsi="Calibri" w:cs="Calibri"/>
          <w:bCs/>
          <w:iCs/>
          <w:sz w:val="24"/>
          <w:szCs w:val="24"/>
        </w:rPr>
        <w:t>důsledku této skutečnosti a také v</w:t>
      </w:r>
      <w:r w:rsidR="007405FC" w:rsidRPr="00E76F52">
        <w:rPr>
          <w:rFonts w:ascii="Calibri" w:hAnsi="Calibri" w:cs="Calibri"/>
          <w:bCs/>
          <w:iCs/>
          <w:sz w:val="24"/>
          <w:szCs w:val="24"/>
        </w:rPr>
        <w:t xml:space="preserve"> </w:t>
      </w:r>
      <w:r w:rsidRPr="00E76F52">
        <w:rPr>
          <w:rFonts w:ascii="Calibri" w:hAnsi="Calibri" w:cs="Calibri"/>
          <w:bCs/>
          <w:iCs/>
          <w:sz w:val="24"/>
          <w:szCs w:val="24"/>
        </w:rPr>
        <w:t>důsledku změny aplikovaných</w:t>
      </w:r>
      <w:r w:rsidR="00CF3751" w:rsidRPr="00E76F52">
        <w:rPr>
          <w:rFonts w:ascii="Calibri" w:hAnsi="Calibri" w:cs="Calibri"/>
          <w:bCs/>
          <w:iCs/>
          <w:sz w:val="24"/>
          <w:szCs w:val="24"/>
        </w:rPr>
        <w:t xml:space="preserve"> postupů účtování o</w:t>
      </w:r>
      <w:r w:rsidR="008C7D9B" w:rsidRPr="00E76F52">
        <w:rPr>
          <w:rFonts w:ascii="Calibri" w:hAnsi="Calibri" w:cs="Calibri"/>
          <w:bCs/>
          <w:iCs/>
          <w:sz w:val="24"/>
          <w:szCs w:val="24"/>
        </w:rPr>
        <w:t> </w:t>
      </w:r>
      <w:r w:rsidR="00CF3751" w:rsidRPr="00E76F52">
        <w:rPr>
          <w:rFonts w:ascii="Calibri" w:hAnsi="Calibri" w:cs="Calibri"/>
          <w:bCs/>
          <w:iCs/>
          <w:sz w:val="24"/>
          <w:szCs w:val="24"/>
        </w:rPr>
        <w:t>povolenkách v</w:t>
      </w:r>
      <w:r w:rsidR="007405FC" w:rsidRPr="00E76F52">
        <w:rPr>
          <w:rFonts w:ascii="Calibri" w:hAnsi="Calibri" w:cs="Calibri"/>
          <w:bCs/>
          <w:iCs/>
          <w:sz w:val="24"/>
          <w:szCs w:val="24"/>
        </w:rPr>
        <w:t xml:space="preserve"> </w:t>
      </w:r>
      <w:r w:rsidR="00CF3751" w:rsidRPr="00E76F52">
        <w:rPr>
          <w:rFonts w:ascii="Calibri" w:hAnsi="Calibri" w:cs="Calibri"/>
          <w:bCs/>
          <w:iCs/>
          <w:sz w:val="24"/>
          <w:szCs w:val="24"/>
        </w:rPr>
        <w:t>průběhu roku 2013</w:t>
      </w:r>
      <w:r w:rsidRPr="00E76F52">
        <w:rPr>
          <w:rFonts w:ascii="Calibri" w:hAnsi="Calibri" w:cs="Calibri"/>
          <w:bCs/>
          <w:iCs/>
          <w:sz w:val="24"/>
          <w:szCs w:val="24"/>
        </w:rPr>
        <w:t xml:space="preserve"> byla hodnota aktiv vykázaných</w:t>
      </w:r>
      <w:r w:rsidR="0081316D" w:rsidRPr="00E76F52">
        <w:rPr>
          <w:rFonts w:ascii="Calibri" w:hAnsi="Calibri" w:cs="Calibri"/>
          <w:bCs/>
          <w:iCs/>
          <w:sz w:val="24"/>
          <w:szCs w:val="24"/>
        </w:rPr>
        <w:t xml:space="preserve"> </w:t>
      </w:r>
      <w:r w:rsidR="00CF3751" w:rsidRPr="00E76F52">
        <w:rPr>
          <w:rFonts w:ascii="Calibri" w:hAnsi="Calibri" w:cs="Calibri"/>
          <w:bCs/>
          <w:iCs/>
          <w:sz w:val="24"/>
          <w:szCs w:val="24"/>
        </w:rPr>
        <w:t>v</w:t>
      </w:r>
      <w:r w:rsidR="007405FC" w:rsidRPr="00E76F52">
        <w:rPr>
          <w:rFonts w:ascii="Calibri" w:hAnsi="Calibri" w:cs="Calibri"/>
          <w:bCs/>
          <w:iCs/>
          <w:sz w:val="24"/>
          <w:szCs w:val="24"/>
        </w:rPr>
        <w:t xml:space="preserve"> </w:t>
      </w:r>
      <w:r w:rsidR="00CF3751" w:rsidRPr="00E76F52">
        <w:rPr>
          <w:rFonts w:ascii="Calibri" w:hAnsi="Calibri" w:cs="Calibri"/>
          <w:bCs/>
          <w:iCs/>
          <w:sz w:val="24"/>
          <w:szCs w:val="24"/>
        </w:rPr>
        <w:t>ÚZ sestavené k 31.</w:t>
      </w:r>
      <w:r w:rsidR="008C7D9B" w:rsidRPr="00E76F52">
        <w:rPr>
          <w:rFonts w:ascii="Calibri" w:hAnsi="Calibri" w:cs="Calibri"/>
          <w:bCs/>
          <w:iCs/>
          <w:sz w:val="24"/>
          <w:szCs w:val="24"/>
        </w:rPr>
        <w:t> </w:t>
      </w:r>
      <w:r w:rsidR="00CF3751" w:rsidRPr="00E76F52">
        <w:rPr>
          <w:rFonts w:ascii="Calibri" w:hAnsi="Calibri" w:cs="Calibri"/>
          <w:bCs/>
          <w:iCs/>
          <w:sz w:val="24"/>
          <w:szCs w:val="24"/>
        </w:rPr>
        <w:t xml:space="preserve">prosinci 2013 </w:t>
      </w:r>
      <w:r w:rsidR="000F1B31" w:rsidRPr="00E76F52">
        <w:rPr>
          <w:rFonts w:ascii="Calibri" w:hAnsi="Calibri" w:cs="Calibri"/>
          <w:sz w:val="24"/>
          <w:szCs w:val="24"/>
        </w:rPr>
        <w:t xml:space="preserve">výrazně vyšší </w:t>
      </w:r>
      <w:r w:rsidR="00CF3751" w:rsidRPr="00E76F52">
        <w:rPr>
          <w:rFonts w:ascii="Calibri" w:hAnsi="Calibri" w:cs="Calibri"/>
          <w:sz w:val="24"/>
          <w:szCs w:val="24"/>
        </w:rPr>
        <w:t>oproti hodnotám vykázaným v</w:t>
      </w:r>
      <w:r w:rsidR="00CF3751" w:rsidRPr="00E76F52">
        <w:rPr>
          <w:rFonts w:ascii="Calibri" w:hAnsi="Calibri" w:cs="Calibri"/>
          <w:bCs/>
          <w:iCs/>
          <w:sz w:val="24"/>
          <w:szCs w:val="24"/>
        </w:rPr>
        <w:t xml:space="preserve"> ÚZ sestavené k 31.</w:t>
      </w:r>
      <w:r w:rsidR="008C7D9B" w:rsidRPr="00E76F52">
        <w:rPr>
          <w:rFonts w:ascii="Calibri" w:hAnsi="Calibri" w:cs="Calibri"/>
          <w:bCs/>
          <w:iCs/>
          <w:sz w:val="24"/>
          <w:szCs w:val="24"/>
        </w:rPr>
        <w:t> </w:t>
      </w:r>
      <w:r w:rsidR="00CF3751" w:rsidRPr="00E76F52">
        <w:rPr>
          <w:rFonts w:ascii="Calibri" w:hAnsi="Calibri" w:cs="Calibri"/>
          <w:bCs/>
          <w:iCs/>
          <w:sz w:val="24"/>
          <w:szCs w:val="24"/>
        </w:rPr>
        <w:t>prosinci</w:t>
      </w:r>
      <w:r w:rsidR="000855F3">
        <w:rPr>
          <w:rFonts w:ascii="Calibri" w:hAnsi="Calibri" w:cs="Calibri"/>
          <w:bCs/>
          <w:iCs/>
          <w:sz w:val="24"/>
          <w:szCs w:val="24"/>
        </w:rPr>
        <w:t xml:space="preserve"> </w:t>
      </w:r>
      <w:r w:rsidR="00CF3751" w:rsidRPr="00E76F52">
        <w:rPr>
          <w:rFonts w:ascii="Calibri" w:hAnsi="Calibri" w:cs="Calibri"/>
          <w:bCs/>
          <w:iCs/>
          <w:sz w:val="24"/>
          <w:szCs w:val="24"/>
        </w:rPr>
        <w:t>2012</w:t>
      </w:r>
      <w:r w:rsidR="000F1B31" w:rsidRPr="00E76F52">
        <w:rPr>
          <w:rFonts w:ascii="Calibri" w:hAnsi="Calibri" w:cs="Calibri"/>
          <w:bCs/>
          <w:iCs/>
          <w:sz w:val="24"/>
          <w:szCs w:val="24"/>
        </w:rPr>
        <w:t>.</w:t>
      </w:r>
      <w:r w:rsidR="00CF3751" w:rsidRPr="00E76F52">
        <w:rPr>
          <w:rFonts w:ascii="Calibri" w:hAnsi="Calibri" w:cs="Calibri"/>
          <w:bCs/>
          <w:iCs/>
          <w:sz w:val="24"/>
          <w:szCs w:val="24"/>
        </w:rPr>
        <w:t xml:space="preserve"> </w:t>
      </w:r>
    </w:p>
    <w:p w:rsidR="00C16B7A" w:rsidRPr="00E76F52" w:rsidRDefault="00C16B7A" w:rsidP="00E76F52">
      <w:pPr>
        <w:spacing w:after="0" w:line="240" w:lineRule="auto"/>
        <w:jc w:val="both"/>
        <w:rPr>
          <w:rFonts w:ascii="Calibri" w:hAnsi="Calibri" w:cs="Calibri"/>
          <w:bCs/>
          <w:iCs/>
          <w:sz w:val="24"/>
          <w:szCs w:val="24"/>
        </w:rPr>
      </w:pPr>
    </w:p>
    <w:p w:rsidR="00CF3751" w:rsidRPr="00E76F52" w:rsidRDefault="00CF3751" w:rsidP="00BA3FEA">
      <w:pPr>
        <w:tabs>
          <w:tab w:val="right" w:pos="9072"/>
        </w:tabs>
        <w:spacing w:after="40" w:line="240" w:lineRule="auto"/>
        <w:rPr>
          <w:rFonts w:ascii="Calibri" w:hAnsi="Calibri" w:cs="Calibri"/>
          <w:b/>
          <w:bCs/>
          <w:iCs/>
          <w:sz w:val="24"/>
        </w:rPr>
      </w:pPr>
      <w:r w:rsidRPr="00E76F52">
        <w:rPr>
          <w:rFonts w:ascii="Calibri" w:hAnsi="Calibri" w:cs="Calibri"/>
          <w:b/>
          <w:bCs/>
          <w:iCs/>
          <w:sz w:val="24"/>
        </w:rPr>
        <w:t>Graf č. 1</w:t>
      </w:r>
      <w:r w:rsidR="000855F3">
        <w:rPr>
          <w:rFonts w:ascii="Calibri" w:hAnsi="Calibri" w:cs="Calibri"/>
          <w:b/>
          <w:bCs/>
          <w:iCs/>
          <w:sz w:val="24"/>
        </w:rPr>
        <w:t xml:space="preserve"> –</w:t>
      </w:r>
      <w:r w:rsidRPr="00E76F52">
        <w:rPr>
          <w:rFonts w:ascii="Calibri" w:hAnsi="Calibri" w:cs="Calibri"/>
          <w:b/>
          <w:bCs/>
          <w:iCs/>
          <w:sz w:val="24"/>
        </w:rPr>
        <w:t xml:space="preserve"> Meziroční srovnání aktiv</w:t>
      </w:r>
      <w:r w:rsidR="00CE65FF" w:rsidRPr="00E76F52">
        <w:rPr>
          <w:rFonts w:ascii="Calibri" w:hAnsi="Calibri" w:cs="Calibri"/>
          <w:b/>
          <w:bCs/>
          <w:iCs/>
          <w:sz w:val="24"/>
        </w:rPr>
        <w:t xml:space="preserve"> vykazovaných MŽP</w:t>
      </w:r>
      <w:r w:rsidR="00BA3FEA">
        <w:rPr>
          <w:rFonts w:ascii="Calibri" w:hAnsi="Calibri" w:cs="Calibri"/>
          <w:b/>
          <w:bCs/>
          <w:iCs/>
          <w:sz w:val="24"/>
        </w:rPr>
        <w:tab/>
        <w:t>(v mld. Kč)</w:t>
      </w:r>
    </w:p>
    <w:p w:rsidR="00CF3751" w:rsidRPr="00F54ED4" w:rsidRDefault="00CF3751" w:rsidP="00E76F52">
      <w:pPr>
        <w:spacing w:after="120" w:line="240" w:lineRule="auto"/>
        <w:jc w:val="center"/>
        <w:rPr>
          <w:rFonts w:cstheme="minorHAnsi"/>
          <w:bCs/>
          <w:iCs/>
          <w:sz w:val="24"/>
        </w:rPr>
      </w:pPr>
      <w:r w:rsidRPr="00F54ED4">
        <w:rPr>
          <w:rFonts w:cstheme="minorHAnsi"/>
          <w:noProof/>
          <w:lang w:eastAsia="cs-CZ"/>
        </w:rPr>
        <w:drawing>
          <wp:inline distT="0" distB="0" distL="0" distR="0" wp14:anchorId="6F353089" wp14:editId="6693E0BE">
            <wp:extent cx="5760000" cy="2743200"/>
            <wp:effectExtent l="0" t="0" r="1270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3751" w:rsidRPr="00E76F52" w:rsidRDefault="00E5660E" w:rsidP="00E76F52">
      <w:pPr>
        <w:spacing w:before="40" w:after="0" w:line="240" w:lineRule="auto"/>
        <w:jc w:val="both"/>
        <w:rPr>
          <w:rFonts w:ascii="Calibri" w:hAnsi="Calibri" w:cs="Calibri"/>
          <w:bCs/>
          <w:iCs/>
          <w:sz w:val="20"/>
          <w:szCs w:val="20"/>
        </w:rPr>
      </w:pPr>
      <w:r w:rsidRPr="00E76F52">
        <w:rPr>
          <w:rFonts w:ascii="Calibri" w:hAnsi="Calibri" w:cs="Calibri"/>
          <w:b/>
          <w:bCs/>
          <w:iCs/>
          <w:sz w:val="20"/>
          <w:szCs w:val="20"/>
        </w:rPr>
        <w:t>Zdroj</w:t>
      </w:r>
      <w:r w:rsidRPr="00E76F52">
        <w:rPr>
          <w:rFonts w:ascii="Calibri" w:hAnsi="Calibri" w:cs="Calibri"/>
          <w:bCs/>
          <w:iCs/>
          <w:sz w:val="20"/>
          <w:szCs w:val="20"/>
        </w:rPr>
        <w:t>: ÚZ MŽP k</w:t>
      </w:r>
      <w:r w:rsidR="007405FC" w:rsidRPr="00E76F52">
        <w:rPr>
          <w:rFonts w:ascii="Calibri" w:hAnsi="Calibri" w:cs="Calibri"/>
          <w:bCs/>
          <w:iCs/>
          <w:sz w:val="20"/>
          <w:szCs w:val="20"/>
        </w:rPr>
        <w:t xml:space="preserve"> </w:t>
      </w:r>
      <w:r w:rsidRPr="00E76F52">
        <w:rPr>
          <w:rFonts w:ascii="Calibri" w:hAnsi="Calibri" w:cs="Calibri"/>
          <w:bCs/>
          <w:iCs/>
          <w:sz w:val="20"/>
          <w:szCs w:val="20"/>
        </w:rPr>
        <w:t>31. prosinci 2013.</w:t>
      </w:r>
    </w:p>
    <w:p w:rsidR="00E76F52" w:rsidRPr="00E76F52" w:rsidRDefault="00E76F52" w:rsidP="00E76F52">
      <w:pPr>
        <w:spacing w:after="0" w:line="240" w:lineRule="auto"/>
        <w:jc w:val="both"/>
        <w:rPr>
          <w:rFonts w:ascii="Calibri" w:hAnsi="Calibri" w:cs="Calibri"/>
          <w:bCs/>
          <w:iCs/>
          <w:sz w:val="24"/>
          <w:szCs w:val="24"/>
        </w:rPr>
      </w:pPr>
    </w:p>
    <w:p w:rsidR="00CF3751" w:rsidRDefault="00E5660E" w:rsidP="00E76F52">
      <w:pPr>
        <w:spacing w:after="0" w:line="240" w:lineRule="auto"/>
        <w:jc w:val="both"/>
        <w:rPr>
          <w:rFonts w:ascii="Calibri" w:hAnsi="Calibri" w:cs="Calibri"/>
          <w:bCs/>
          <w:iCs/>
          <w:sz w:val="24"/>
        </w:rPr>
      </w:pPr>
      <w:r w:rsidRPr="00E76F52">
        <w:rPr>
          <w:rFonts w:ascii="Calibri" w:hAnsi="Calibri" w:cs="Calibri"/>
          <w:bCs/>
          <w:iCs/>
          <w:sz w:val="24"/>
        </w:rPr>
        <w:t>Souvztažným účtem k</w:t>
      </w:r>
      <w:r w:rsidR="007405FC" w:rsidRPr="00E76F52">
        <w:rPr>
          <w:rFonts w:ascii="Calibri" w:hAnsi="Calibri" w:cs="Calibri"/>
          <w:bCs/>
          <w:iCs/>
          <w:sz w:val="24"/>
        </w:rPr>
        <w:t xml:space="preserve"> </w:t>
      </w:r>
      <w:r w:rsidRPr="00E76F52">
        <w:rPr>
          <w:rFonts w:ascii="Calibri" w:hAnsi="Calibri" w:cs="Calibri"/>
          <w:bCs/>
          <w:iCs/>
          <w:sz w:val="24"/>
        </w:rPr>
        <w:t xml:space="preserve">účtu </w:t>
      </w:r>
      <w:r w:rsidRPr="000A469B">
        <w:rPr>
          <w:rFonts w:ascii="Calibri" w:hAnsi="Calibri" w:cs="Calibri"/>
          <w:bCs/>
          <w:iCs/>
          <w:sz w:val="24"/>
        </w:rPr>
        <w:t>015</w:t>
      </w:r>
      <w:r w:rsidRPr="00E76F52">
        <w:rPr>
          <w:rFonts w:ascii="Calibri" w:hAnsi="Calibri" w:cs="Calibri"/>
          <w:bCs/>
          <w:iCs/>
          <w:sz w:val="24"/>
        </w:rPr>
        <w:t xml:space="preserve"> – </w:t>
      </w:r>
      <w:r w:rsidRPr="00E76F52">
        <w:rPr>
          <w:rFonts w:ascii="Calibri" w:hAnsi="Calibri" w:cs="Calibri"/>
          <w:bCs/>
          <w:i/>
          <w:iCs/>
          <w:sz w:val="24"/>
        </w:rPr>
        <w:t>Povolenky na emise a preferenční limity</w:t>
      </w:r>
      <w:r w:rsidR="00595749" w:rsidRPr="00E76F52">
        <w:rPr>
          <w:rFonts w:ascii="Calibri" w:hAnsi="Calibri" w:cs="Calibri"/>
          <w:bCs/>
          <w:iCs/>
          <w:sz w:val="24"/>
        </w:rPr>
        <w:t xml:space="preserve"> je při </w:t>
      </w:r>
      <w:r w:rsidRPr="00E76F52">
        <w:rPr>
          <w:rFonts w:ascii="Calibri" w:hAnsi="Calibri" w:cs="Calibri"/>
          <w:bCs/>
          <w:iCs/>
          <w:sz w:val="24"/>
        </w:rPr>
        <w:t xml:space="preserve">nabytí povolenek účet </w:t>
      </w:r>
      <w:r w:rsidRPr="000A469B">
        <w:rPr>
          <w:rFonts w:ascii="Calibri" w:hAnsi="Calibri" w:cs="Calibri"/>
          <w:bCs/>
          <w:iCs/>
          <w:sz w:val="24"/>
        </w:rPr>
        <w:t>401</w:t>
      </w:r>
      <w:r w:rsidR="000855F3">
        <w:rPr>
          <w:rFonts w:ascii="Calibri" w:hAnsi="Calibri" w:cs="Calibri"/>
          <w:bCs/>
          <w:iCs/>
          <w:sz w:val="24"/>
        </w:rPr>
        <w:t xml:space="preserve"> </w:t>
      </w:r>
      <w:r w:rsidR="000855F3">
        <w:rPr>
          <w:rFonts w:ascii="Calibri" w:hAnsi="Calibri" w:cs="Calibri"/>
          <w:bCs/>
          <w:i/>
          <w:iCs/>
          <w:sz w:val="24"/>
        </w:rPr>
        <w:t>–</w:t>
      </w:r>
      <w:r w:rsidRPr="00E76F52">
        <w:rPr>
          <w:rFonts w:ascii="Calibri" w:hAnsi="Calibri" w:cs="Calibri"/>
          <w:bCs/>
          <w:i/>
          <w:iCs/>
          <w:sz w:val="24"/>
        </w:rPr>
        <w:t xml:space="preserve"> Jmění účetní jednotky</w:t>
      </w:r>
      <w:r w:rsidRPr="00E76F52">
        <w:rPr>
          <w:rFonts w:ascii="Calibri" w:hAnsi="Calibri" w:cs="Calibri"/>
          <w:bCs/>
          <w:iCs/>
          <w:sz w:val="24"/>
        </w:rPr>
        <w:t xml:space="preserve">. Postup účtování o povolenkách při jejich nabytí vede k navyšování zůstatku účtu </w:t>
      </w:r>
      <w:r w:rsidRPr="000A469B">
        <w:rPr>
          <w:rFonts w:ascii="Calibri" w:hAnsi="Calibri" w:cs="Calibri"/>
          <w:bCs/>
          <w:iCs/>
          <w:sz w:val="24"/>
        </w:rPr>
        <w:t>401</w:t>
      </w:r>
      <w:r w:rsidRPr="00E76F52">
        <w:rPr>
          <w:rFonts w:ascii="Calibri" w:hAnsi="Calibri" w:cs="Calibri"/>
          <w:bCs/>
          <w:i/>
          <w:iCs/>
          <w:sz w:val="24"/>
        </w:rPr>
        <w:t xml:space="preserve"> – Jmění účetní jednotky</w:t>
      </w:r>
      <w:r w:rsidRPr="00E76F52">
        <w:rPr>
          <w:rFonts w:ascii="Calibri" w:hAnsi="Calibri" w:cs="Calibri"/>
          <w:bCs/>
          <w:iCs/>
          <w:sz w:val="24"/>
        </w:rPr>
        <w:t>, na kterém vybrané účetní jednotky dle ustanovení § 26 odst. 1 písm. a) vyhlášky č.</w:t>
      </w:r>
      <w:r w:rsidR="007405FC" w:rsidRPr="00E76F52">
        <w:rPr>
          <w:rFonts w:ascii="Calibri" w:hAnsi="Calibri" w:cs="Calibri"/>
          <w:bCs/>
          <w:iCs/>
          <w:sz w:val="24"/>
        </w:rPr>
        <w:t xml:space="preserve"> </w:t>
      </w:r>
      <w:r w:rsidRPr="00E76F52">
        <w:rPr>
          <w:rFonts w:ascii="Calibri" w:hAnsi="Calibri" w:cs="Calibri"/>
          <w:bCs/>
          <w:iCs/>
          <w:sz w:val="24"/>
        </w:rPr>
        <w:t>410/2009 Sb. účtují zejména bezúplatně převzatý, bezúplatně přešlý nebo předaný dlouhodobý majetek.</w:t>
      </w:r>
    </w:p>
    <w:p w:rsidR="005416A5" w:rsidRPr="00E76F52" w:rsidRDefault="005416A5" w:rsidP="00E76F52">
      <w:pPr>
        <w:spacing w:after="0" w:line="240" w:lineRule="auto"/>
        <w:jc w:val="both"/>
        <w:rPr>
          <w:rFonts w:ascii="Calibri" w:hAnsi="Calibri" w:cs="Calibri"/>
          <w:bCs/>
          <w:iCs/>
          <w:sz w:val="24"/>
        </w:rPr>
      </w:pPr>
    </w:p>
    <w:p w:rsidR="00E5660E" w:rsidRPr="00E76F52" w:rsidRDefault="00056FAA" w:rsidP="00E76F52">
      <w:pPr>
        <w:spacing w:after="0" w:line="240" w:lineRule="auto"/>
        <w:jc w:val="both"/>
        <w:rPr>
          <w:rFonts w:ascii="Calibri" w:hAnsi="Calibri" w:cs="Calibri"/>
          <w:bCs/>
          <w:iCs/>
          <w:sz w:val="24"/>
        </w:rPr>
      </w:pPr>
      <w:r w:rsidRPr="00E76F52">
        <w:rPr>
          <w:rFonts w:ascii="Calibri" w:hAnsi="Calibri" w:cs="Calibri"/>
          <w:bCs/>
          <w:iCs/>
          <w:sz w:val="24"/>
        </w:rPr>
        <w:t xml:space="preserve">Ve </w:t>
      </w:r>
      <w:r w:rsidRPr="00E76F52">
        <w:rPr>
          <w:rFonts w:ascii="Calibri" w:hAnsi="Calibri" w:cs="Calibri"/>
          <w:b/>
          <w:bCs/>
          <w:iCs/>
          <w:sz w:val="24"/>
        </w:rPr>
        <w:t>výkazu zisku a ztráty</w:t>
      </w:r>
      <w:r w:rsidR="00D747F9" w:rsidRPr="00E76F52">
        <w:rPr>
          <w:rFonts w:ascii="Calibri" w:hAnsi="Calibri" w:cs="Calibri"/>
          <w:bCs/>
          <w:iCs/>
          <w:sz w:val="24"/>
        </w:rPr>
        <w:t xml:space="preserve"> za rok 2013</w:t>
      </w:r>
      <w:r w:rsidRPr="00E76F52">
        <w:rPr>
          <w:rFonts w:ascii="Calibri" w:hAnsi="Calibri" w:cs="Calibri"/>
          <w:bCs/>
          <w:iCs/>
          <w:sz w:val="24"/>
        </w:rPr>
        <w:t xml:space="preserve"> vykázalo </w:t>
      </w:r>
      <w:r w:rsidR="00F919C5" w:rsidRPr="00E76F52">
        <w:rPr>
          <w:rFonts w:ascii="Calibri" w:hAnsi="Calibri" w:cs="Calibri"/>
          <w:bCs/>
          <w:iCs/>
          <w:sz w:val="24"/>
        </w:rPr>
        <w:t xml:space="preserve">MŽP </w:t>
      </w:r>
      <w:r w:rsidR="000855F3" w:rsidRPr="00E76F52">
        <w:rPr>
          <w:rFonts w:ascii="Calibri" w:hAnsi="Calibri" w:cs="Calibri"/>
          <w:bCs/>
          <w:iCs/>
          <w:sz w:val="24"/>
        </w:rPr>
        <w:t xml:space="preserve">ztrátu </w:t>
      </w:r>
      <w:r w:rsidRPr="00E76F52">
        <w:rPr>
          <w:rFonts w:ascii="Calibri" w:hAnsi="Calibri" w:cs="Calibri"/>
          <w:bCs/>
          <w:iCs/>
          <w:sz w:val="24"/>
        </w:rPr>
        <w:t>z</w:t>
      </w:r>
      <w:r w:rsidR="007405FC" w:rsidRPr="00E76F52">
        <w:rPr>
          <w:rFonts w:ascii="Calibri" w:hAnsi="Calibri" w:cs="Calibri"/>
          <w:bCs/>
          <w:iCs/>
          <w:sz w:val="24"/>
        </w:rPr>
        <w:t xml:space="preserve"> </w:t>
      </w:r>
      <w:r w:rsidRPr="00E76F52">
        <w:rPr>
          <w:rFonts w:ascii="Calibri" w:hAnsi="Calibri" w:cs="Calibri"/>
          <w:bCs/>
          <w:iCs/>
          <w:sz w:val="24"/>
        </w:rPr>
        <w:t xml:space="preserve">prodeje povolenek </w:t>
      </w:r>
      <w:r w:rsidR="00751186" w:rsidRPr="00E76F52">
        <w:rPr>
          <w:rFonts w:ascii="Calibri" w:hAnsi="Calibri" w:cs="Calibri"/>
          <w:bCs/>
          <w:iCs/>
          <w:sz w:val="24"/>
        </w:rPr>
        <w:t>vydaných na</w:t>
      </w:r>
      <w:r w:rsidRPr="00E76F52">
        <w:rPr>
          <w:rFonts w:ascii="Calibri" w:hAnsi="Calibri" w:cs="Calibri"/>
          <w:bCs/>
          <w:iCs/>
          <w:sz w:val="24"/>
        </w:rPr>
        <w:t xml:space="preserve"> třetí obchodovací období. </w:t>
      </w:r>
      <w:r w:rsidR="00FF53B0" w:rsidRPr="00E76F52">
        <w:rPr>
          <w:rFonts w:ascii="Calibri" w:hAnsi="Calibri" w:cs="Calibri"/>
          <w:bCs/>
          <w:iCs/>
          <w:sz w:val="24"/>
        </w:rPr>
        <w:t>Výnosy z</w:t>
      </w:r>
      <w:r w:rsidR="007405FC" w:rsidRPr="00E76F52">
        <w:rPr>
          <w:rFonts w:ascii="Calibri" w:hAnsi="Calibri" w:cs="Calibri"/>
          <w:bCs/>
          <w:iCs/>
          <w:sz w:val="24"/>
        </w:rPr>
        <w:t xml:space="preserve"> </w:t>
      </w:r>
      <w:r w:rsidR="00FF53B0" w:rsidRPr="00E76F52">
        <w:rPr>
          <w:rFonts w:ascii="Calibri" w:hAnsi="Calibri" w:cs="Calibri"/>
          <w:bCs/>
          <w:iCs/>
          <w:sz w:val="24"/>
        </w:rPr>
        <w:t>prodeje povolenek byly</w:t>
      </w:r>
      <w:r w:rsidR="00EF5B55" w:rsidRPr="00E76F52">
        <w:rPr>
          <w:rFonts w:ascii="Calibri" w:hAnsi="Calibri" w:cs="Calibri"/>
          <w:bCs/>
          <w:iCs/>
          <w:sz w:val="24"/>
        </w:rPr>
        <w:t xml:space="preserve"> u MŽP</w:t>
      </w:r>
      <w:r w:rsidR="00FF53B0" w:rsidRPr="00E76F52">
        <w:rPr>
          <w:rFonts w:ascii="Calibri" w:hAnsi="Calibri" w:cs="Calibri"/>
          <w:bCs/>
          <w:iCs/>
          <w:sz w:val="24"/>
        </w:rPr>
        <w:t xml:space="preserve"> v</w:t>
      </w:r>
      <w:r w:rsidR="00F919C5">
        <w:rPr>
          <w:rFonts w:ascii="Calibri" w:hAnsi="Calibri" w:cs="Calibri"/>
          <w:bCs/>
          <w:iCs/>
          <w:sz w:val="24"/>
        </w:rPr>
        <w:t> </w:t>
      </w:r>
      <w:r w:rsidR="00FF53B0" w:rsidRPr="00E76F52">
        <w:rPr>
          <w:rFonts w:ascii="Calibri" w:hAnsi="Calibri" w:cs="Calibri"/>
          <w:bCs/>
          <w:iCs/>
          <w:sz w:val="24"/>
        </w:rPr>
        <w:t>souhrnu za rok 2013</w:t>
      </w:r>
      <w:r w:rsidR="00FF53B0" w:rsidRPr="00E76F52">
        <w:rPr>
          <w:rFonts w:ascii="Calibri" w:hAnsi="Calibri" w:cs="Calibri"/>
          <w:bCs/>
          <w:iCs/>
          <w:sz w:val="24"/>
          <w:vertAlign w:val="superscript"/>
        </w:rPr>
        <w:footnoteReference w:id="49"/>
      </w:r>
      <w:r w:rsidR="00FF53B0" w:rsidRPr="00E76F52">
        <w:rPr>
          <w:rFonts w:ascii="Calibri" w:hAnsi="Calibri" w:cs="Calibri"/>
          <w:bCs/>
          <w:iCs/>
          <w:sz w:val="24"/>
        </w:rPr>
        <w:t xml:space="preserve"> nižší než náklady </w:t>
      </w:r>
      <w:r w:rsidR="00595749" w:rsidRPr="00E76F52">
        <w:rPr>
          <w:rFonts w:ascii="Calibri" w:hAnsi="Calibri" w:cs="Calibri"/>
          <w:bCs/>
          <w:iCs/>
          <w:sz w:val="24"/>
        </w:rPr>
        <w:t>z</w:t>
      </w:r>
      <w:r w:rsidR="00AB0C16" w:rsidRPr="00E76F52">
        <w:rPr>
          <w:rFonts w:ascii="Calibri" w:hAnsi="Calibri" w:cs="Calibri"/>
          <w:bCs/>
          <w:iCs/>
          <w:sz w:val="24"/>
        </w:rPr>
        <w:t xml:space="preserve"> prodaných povolenek.</w:t>
      </w:r>
      <w:r w:rsidR="00FF53B0" w:rsidRPr="00E76F52">
        <w:rPr>
          <w:rFonts w:ascii="Calibri" w:hAnsi="Calibri" w:cs="Calibri"/>
          <w:bCs/>
          <w:iCs/>
          <w:sz w:val="24"/>
        </w:rPr>
        <w:t xml:space="preserve"> MŽP povolenky vyřazovalo z</w:t>
      </w:r>
      <w:r w:rsidR="00F919C5">
        <w:rPr>
          <w:rFonts w:ascii="Calibri" w:hAnsi="Calibri" w:cs="Calibri"/>
          <w:bCs/>
          <w:iCs/>
          <w:sz w:val="24"/>
        </w:rPr>
        <w:t> </w:t>
      </w:r>
      <w:r w:rsidR="00FF53B0" w:rsidRPr="00E76F52">
        <w:rPr>
          <w:rFonts w:ascii="Calibri" w:hAnsi="Calibri" w:cs="Calibri"/>
          <w:bCs/>
          <w:iCs/>
          <w:sz w:val="24"/>
        </w:rPr>
        <w:t>majetku a</w:t>
      </w:r>
      <w:r w:rsidR="000855F3">
        <w:rPr>
          <w:rFonts w:ascii="Calibri" w:hAnsi="Calibri" w:cs="Calibri"/>
          <w:bCs/>
          <w:iCs/>
          <w:sz w:val="24"/>
        </w:rPr>
        <w:t> </w:t>
      </w:r>
      <w:r w:rsidR="00FF53B0" w:rsidRPr="00E76F52">
        <w:rPr>
          <w:rFonts w:ascii="Calibri" w:hAnsi="Calibri" w:cs="Calibri"/>
          <w:bCs/>
          <w:iCs/>
          <w:sz w:val="24"/>
        </w:rPr>
        <w:t>účtovalo o</w:t>
      </w:r>
      <w:r w:rsidR="008C7D9B" w:rsidRPr="00E76F52">
        <w:rPr>
          <w:rFonts w:ascii="Calibri" w:hAnsi="Calibri" w:cs="Calibri"/>
          <w:bCs/>
          <w:iCs/>
          <w:sz w:val="24"/>
        </w:rPr>
        <w:t> </w:t>
      </w:r>
      <w:r w:rsidR="00FF53B0" w:rsidRPr="00E76F52">
        <w:rPr>
          <w:rFonts w:ascii="Calibri" w:hAnsi="Calibri" w:cs="Calibri"/>
          <w:bCs/>
          <w:iCs/>
          <w:sz w:val="24"/>
        </w:rPr>
        <w:t>nákladech</w:t>
      </w:r>
      <w:r w:rsidR="00EF5B55" w:rsidRPr="00E76F52">
        <w:rPr>
          <w:rStyle w:val="Znakapoznpodarou"/>
          <w:rFonts w:ascii="Calibri" w:hAnsi="Calibri" w:cs="Calibri"/>
          <w:bCs/>
          <w:iCs/>
          <w:sz w:val="24"/>
        </w:rPr>
        <w:footnoteReference w:id="50"/>
      </w:r>
      <w:r w:rsidR="00FF53B0" w:rsidRPr="00E76F52">
        <w:rPr>
          <w:rFonts w:ascii="Calibri" w:hAnsi="Calibri" w:cs="Calibri"/>
          <w:bCs/>
          <w:iCs/>
          <w:sz w:val="24"/>
        </w:rPr>
        <w:t xml:space="preserve"> </w:t>
      </w:r>
      <w:r w:rsidR="00E05314" w:rsidRPr="00E76F52">
        <w:rPr>
          <w:rFonts w:ascii="Calibri" w:hAnsi="Calibri" w:cs="Calibri"/>
          <w:bCs/>
          <w:iCs/>
          <w:sz w:val="24"/>
        </w:rPr>
        <w:t xml:space="preserve">z vyřazení majetku oceněného </w:t>
      </w:r>
      <w:r w:rsidR="00FF53B0" w:rsidRPr="00E76F52">
        <w:rPr>
          <w:rFonts w:ascii="Calibri" w:hAnsi="Calibri" w:cs="Calibri"/>
          <w:bCs/>
          <w:iCs/>
          <w:sz w:val="24"/>
        </w:rPr>
        <w:t>v</w:t>
      </w:r>
      <w:r w:rsidR="007405FC" w:rsidRPr="00E76F52">
        <w:rPr>
          <w:rFonts w:ascii="Calibri" w:hAnsi="Calibri" w:cs="Calibri"/>
          <w:bCs/>
          <w:iCs/>
          <w:sz w:val="24"/>
        </w:rPr>
        <w:t xml:space="preserve"> </w:t>
      </w:r>
      <w:r w:rsidR="00FF53B0" w:rsidRPr="00E76F52">
        <w:rPr>
          <w:rFonts w:ascii="Calibri" w:hAnsi="Calibri" w:cs="Calibri"/>
          <w:bCs/>
          <w:iCs/>
          <w:sz w:val="24"/>
        </w:rPr>
        <w:t>reprodukční pořizovací ceně stanovené k</w:t>
      </w:r>
      <w:r w:rsidR="00690769" w:rsidRPr="00E76F52">
        <w:rPr>
          <w:rFonts w:ascii="Calibri" w:hAnsi="Calibri" w:cs="Calibri"/>
          <w:bCs/>
          <w:iCs/>
          <w:sz w:val="24"/>
        </w:rPr>
        <w:t> 30. </w:t>
      </w:r>
      <w:r w:rsidR="00FF53B0" w:rsidRPr="00E76F52">
        <w:rPr>
          <w:rFonts w:ascii="Calibri" w:hAnsi="Calibri" w:cs="Calibri"/>
          <w:bCs/>
          <w:iCs/>
          <w:sz w:val="24"/>
        </w:rPr>
        <w:t>září 2013</w:t>
      </w:r>
      <w:r w:rsidR="00BF3D0E" w:rsidRPr="00E76F52">
        <w:rPr>
          <w:rFonts w:ascii="Calibri" w:hAnsi="Calibri" w:cs="Calibri"/>
          <w:bCs/>
          <w:iCs/>
          <w:sz w:val="24"/>
        </w:rPr>
        <w:t>.</w:t>
      </w:r>
      <w:r w:rsidR="00FF53B0" w:rsidRPr="00E76F52">
        <w:rPr>
          <w:rFonts w:ascii="Calibri" w:hAnsi="Calibri" w:cs="Calibri"/>
          <w:bCs/>
          <w:iCs/>
          <w:sz w:val="24"/>
        </w:rPr>
        <w:t xml:space="preserve"> </w:t>
      </w:r>
      <w:r w:rsidR="00EF5B55" w:rsidRPr="00E76F52">
        <w:rPr>
          <w:rFonts w:ascii="Calibri" w:hAnsi="Calibri" w:cs="Calibri"/>
          <w:bCs/>
          <w:iCs/>
          <w:sz w:val="24"/>
        </w:rPr>
        <w:t>Výnosy byly realizovány v</w:t>
      </w:r>
      <w:r w:rsidR="007405FC" w:rsidRPr="00E76F52">
        <w:rPr>
          <w:rFonts w:ascii="Calibri" w:hAnsi="Calibri" w:cs="Calibri"/>
          <w:bCs/>
          <w:iCs/>
          <w:sz w:val="24"/>
        </w:rPr>
        <w:t xml:space="preserve"> </w:t>
      </w:r>
      <w:r w:rsidR="00EF5B55" w:rsidRPr="00E76F52">
        <w:rPr>
          <w:rFonts w:ascii="Calibri" w:hAnsi="Calibri" w:cs="Calibri"/>
          <w:bCs/>
          <w:iCs/>
          <w:sz w:val="24"/>
        </w:rPr>
        <w:t>tržních cenách.</w:t>
      </w:r>
      <w:r w:rsidR="00D747F9" w:rsidRPr="00E76F52">
        <w:rPr>
          <w:rFonts w:ascii="Calibri" w:hAnsi="Calibri" w:cs="Calibri"/>
          <w:bCs/>
          <w:iCs/>
          <w:sz w:val="24"/>
        </w:rPr>
        <w:t xml:space="preserve"> </w:t>
      </w:r>
      <w:r w:rsidR="00BF3D0E" w:rsidRPr="00E76F52">
        <w:rPr>
          <w:rFonts w:ascii="Calibri" w:hAnsi="Calibri" w:cs="Calibri"/>
          <w:bCs/>
          <w:iCs/>
          <w:sz w:val="24"/>
        </w:rPr>
        <w:t>T</w:t>
      </w:r>
      <w:r w:rsidR="00FF53B0" w:rsidRPr="00E76F52">
        <w:rPr>
          <w:rFonts w:ascii="Calibri" w:hAnsi="Calibri" w:cs="Calibri"/>
          <w:bCs/>
          <w:iCs/>
          <w:sz w:val="24"/>
        </w:rPr>
        <w:t>éměř u</w:t>
      </w:r>
      <w:r w:rsidR="007405FC" w:rsidRPr="00E76F52">
        <w:rPr>
          <w:rFonts w:ascii="Calibri" w:hAnsi="Calibri" w:cs="Calibri"/>
          <w:bCs/>
          <w:iCs/>
          <w:sz w:val="24"/>
        </w:rPr>
        <w:t xml:space="preserve"> </w:t>
      </w:r>
      <w:r w:rsidR="00FF53B0" w:rsidRPr="00E76F52">
        <w:rPr>
          <w:rFonts w:ascii="Calibri" w:hAnsi="Calibri" w:cs="Calibri"/>
          <w:bCs/>
          <w:iCs/>
          <w:sz w:val="24"/>
        </w:rPr>
        <w:t>všech dražeb</w:t>
      </w:r>
      <w:r w:rsidR="00EF5B55" w:rsidRPr="00E76F52">
        <w:rPr>
          <w:rFonts w:ascii="Calibri" w:hAnsi="Calibri" w:cs="Calibri"/>
          <w:bCs/>
          <w:iCs/>
          <w:sz w:val="24"/>
        </w:rPr>
        <w:t xml:space="preserve"> povolenek</w:t>
      </w:r>
      <w:r w:rsidR="00FF53B0" w:rsidRPr="00E76F52">
        <w:rPr>
          <w:rFonts w:ascii="Calibri" w:hAnsi="Calibri" w:cs="Calibri"/>
          <w:bCs/>
          <w:iCs/>
          <w:sz w:val="24"/>
        </w:rPr>
        <w:t xml:space="preserve"> uskutečněných ve 4. čtvrtletí roku 2013</w:t>
      </w:r>
      <w:r w:rsidR="00BF3D0E" w:rsidRPr="00E76F52">
        <w:rPr>
          <w:rFonts w:ascii="Calibri" w:hAnsi="Calibri" w:cs="Calibri"/>
          <w:bCs/>
          <w:iCs/>
          <w:sz w:val="24"/>
        </w:rPr>
        <w:t xml:space="preserve"> došlo</w:t>
      </w:r>
      <w:r w:rsidR="00EF5B55" w:rsidRPr="00E76F52">
        <w:rPr>
          <w:rFonts w:ascii="Calibri" w:hAnsi="Calibri" w:cs="Calibri"/>
          <w:bCs/>
          <w:iCs/>
          <w:sz w:val="24"/>
        </w:rPr>
        <w:t xml:space="preserve"> však</w:t>
      </w:r>
      <w:r w:rsidR="00FF53B0" w:rsidRPr="00E76F52">
        <w:rPr>
          <w:rFonts w:ascii="Calibri" w:hAnsi="Calibri" w:cs="Calibri"/>
          <w:bCs/>
          <w:iCs/>
          <w:sz w:val="24"/>
        </w:rPr>
        <w:t xml:space="preserve"> k poklesu tržní ceny</w:t>
      </w:r>
      <w:r w:rsidR="00BF3D0E" w:rsidRPr="00E76F52">
        <w:rPr>
          <w:rFonts w:ascii="Calibri" w:hAnsi="Calibri" w:cs="Calibri"/>
          <w:bCs/>
          <w:iCs/>
          <w:sz w:val="24"/>
        </w:rPr>
        <w:t xml:space="preserve"> (viz </w:t>
      </w:r>
      <w:r w:rsidR="00AB5DB7" w:rsidRPr="00E76F52">
        <w:rPr>
          <w:rFonts w:ascii="Calibri" w:hAnsi="Calibri" w:cs="Calibri"/>
          <w:bCs/>
          <w:iCs/>
          <w:sz w:val="24"/>
        </w:rPr>
        <w:t>p</w:t>
      </w:r>
      <w:r w:rsidR="00BF3D0E" w:rsidRPr="00E76F52">
        <w:rPr>
          <w:rFonts w:ascii="Calibri" w:hAnsi="Calibri" w:cs="Calibri"/>
          <w:bCs/>
          <w:iCs/>
          <w:sz w:val="24"/>
        </w:rPr>
        <w:t xml:space="preserve">říloha č. </w:t>
      </w:r>
      <w:r w:rsidR="00802837" w:rsidRPr="00E76F52">
        <w:rPr>
          <w:rFonts w:ascii="Calibri" w:hAnsi="Calibri" w:cs="Calibri"/>
          <w:bCs/>
          <w:iCs/>
          <w:sz w:val="24"/>
        </w:rPr>
        <w:t>2</w:t>
      </w:r>
      <w:r w:rsidR="00AB5DB7" w:rsidRPr="00E76F52">
        <w:rPr>
          <w:rFonts w:ascii="Calibri" w:hAnsi="Calibri" w:cs="Calibri"/>
          <w:bCs/>
          <w:iCs/>
          <w:sz w:val="24"/>
        </w:rPr>
        <w:t>)</w:t>
      </w:r>
      <w:r w:rsidR="00FF53B0" w:rsidRPr="00E76F52">
        <w:rPr>
          <w:rFonts w:ascii="Calibri" w:hAnsi="Calibri" w:cs="Calibri"/>
          <w:bCs/>
          <w:iCs/>
          <w:sz w:val="24"/>
        </w:rPr>
        <w:t xml:space="preserve"> a</w:t>
      </w:r>
      <w:r w:rsidR="00690769" w:rsidRPr="00E76F52">
        <w:rPr>
          <w:rFonts w:ascii="Calibri" w:hAnsi="Calibri" w:cs="Calibri"/>
          <w:bCs/>
          <w:iCs/>
          <w:sz w:val="24"/>
        </w:rPr>
        <w:t> </w:t>
      </w:r>
      <w:r w:rsidR="00BF3D0E" w:rsidRPr="00E76F52">
        <w:rPr>
          <w:rFonts w:ascii="Calibri" w:hAnsi="Calibri" w:cs="Calibri"/>
          <w:bCs/>
          <w:iCs/>
          <w:sz w:val="24"/>
        </w:rPr>
        <w:t>v</w:t>
      </w:r>
      <w:r w:rsidR="00690769" w:rsidRPr="00E76F52">
        <w:rPr>
          <w:rFonts w:ascii="Calibri" w:hAnsi="Calibri" w:cs="Calibri"/>
          <w:bCs/>
          <w:iCs/>
          <w:sz w:val="24"/>
        </w:rPr>
        <w:t> </w:t>
      </w:r>
      <w:r w:rsidR="00BF3D0E" w:rsidRPr="00E76F52">
        <w:rPr>
          <w:rFonts w:ascii="Calibri" w:hAnsi="Calibri" w:cs="Calibri"/>
          <w:bCs/>
          <w:iCs/>
          <w:sz w:val="24"/>
        </w:rPr>
        <w:t>důsledku toho k poklesu výnosů.</w:t>
      </w:r>
    </w:p>
    <w:p w:rsidR="00E5660E" w:rsidRPr="00E76F52" w:rsidRDefault="00E5660E" w:rsidP="00E76F52">
      <w:pPr>
        <w:spacing w:after="0" w:line="240" w:lineRule="auto"/>
        <w:jc w:val="both"/>
        <w:rPr>
          <w:rFonts w:ascii="Calibri" w:hAnsi="Calibri" w:cs="Calibri"/>
          <w:bCs/>
          <w:iCs/>
          <w:sz w:val="24"/>
        </w:rPr>
      </w:pPr>
    </w:p>
    <w:p w:rsidR="00174CD6" w:rsidRDefault="00174CD6" w:rsidP="000855F3">
      <w:pPr>
        <w:spacing w:after="40" w:line="240" w:lineRule="auto"/>
        <w:ind w:left="1418" w:hanging="1418"/>
        <w:jc w:val="both"/>
        <w:rPr>
          <w:rFonts w:ascii="Calibri" w:hAnsi="Calibri" w:cs="Calibri"/>
          <w:b/>
          <w:bCs/>
          <w:iCs/>
          <w:sz w:val="24"/>
        </w:rPr>
      </w:pPr>
    </w:p>
    <w:p w:rsidR="00174CD6" w:rsidRDefault="00174CD6" w:rsidP="000855F3">
      <w:pPr>
        <w:spacing w:after="40" w:line="240" w:lineRule="auto"/>
        <w:ind w:left="1418" w:hanging="1418"/>
        <w:jc w:val="both"/>
        <w:rPr>
          <w:rFonts w:ascii="Calibri" w:hAnsi="Calibri" w:cs="Calibri"/>
          <w:b/>
          <w:bCs/>
          <w:iCs/>
          <w:sz w:val="24"/>
        </w:rPr>
      </w:pPr>
    </w:p>
    <w:p w:rsidR="00174CD6" w:rsidRDefault="00174CD6" w:rsidP="000855F3">
      <w:pPr>
        <w:spacing w:after="40" w:line="240" w:lineRule="auto"/>
        <w:ind w:left="1418" w:hanging="1418"/>
        <w:jc w:val="both"/>
        <w:rPr>
          <w:rFonts w:ascii="Calibri" w:hAnsi="Calibri" w:cs="Calibri"/>
          <w:b/>
          <w:bCs/>
          <w:iCs/>
          <w:sz w:val="24"/>
        </w:rPr>
      </w:pPr>
    </w:p>
    <w:p w:rsidR="001964BD" w:rsidRPr="00F919C5" w:rsidDel="0024124B" w:rsidRDefault="00F52B52" w:rsidP="000855F3">
      <w:pPr>
        <w:spacing w:after="40" w:line="240" w:lineRule="auto"/>
        <w:ind w:left="1418" w:hanging="1418"/>
        <w:jc w:val="both"/>
        <w:rPr>
          <w:rFonts w:ascii="Calibri" w:hAnsi="Calibri" w:cs="Calibri"/>
          <w:b/>
          <w:bCs/>
          <w:iCs/>
          <w:spacing w:val="-2"/>
          <w:sz w:val="24"/>
        </w:rPr>
      </w:pPr>
      <w:r w:rsidRPr="00E76F52" w:rsidDel="0024124B">
        <w:rPr>
          <w:rFonts w:ascii="Calibri" w:hAnsi="Calibri" w:cs="Calibri"/>
          <w:b/>
          <w:bCs/>
          <w:iCs/>
          <w:sz w:val="24"/>
        </w:rPr>
        <w:lastRenderedPageBreak/>
        <w:t>Tabulka č. 5 –</w:t>
      </w:r>
      <w:r w:rsidRPr="00E76F52" w:rsidDel="0024124B">
        <w:rPr>
          <w:rFonts w:ascii="Calibri" w:hAnsi="Calibri" w:cs="Calibri"/>
          <w:b/>
          <w:bCs/>
          <w:iCs/>
          <w:sz w:val="24"/>
        </w:rPr>
        <w:tab/>
      </w:r>
      <w:r w:rsidRPr="00F919C5" w:rsidDel="0024124B">
        <w:rPr>
          <w:rFonts w:ascii="Calibri" w:hAnsi="Calibri" w:cs="Calibri"/>
          <w:b/>
          <w:bCs/>
          <w:iCs/>
          <w:spacing w:val="-2"/>
          <w:sz w:val="24"/>
        </w:rPr>
        <w:t xml:space="preserve">Vyčíslení vlivu </w:t>
      </w:r>
      <w:r w:rsidR="00751186" w:rsidRPr="00F919C5">
        <w:rPr>
          <w:rFonts w:ascii="Calibri" w:hAnsi="Calibri" w:cs="Calibri"/>
          <w:b/>
          <w:bCs/>
          <w:iCs/>
          <w:spacing w:val="-2"/>
          <w:sz w:val="24"/>
        </w:rPr>
        <w:t>transakcí souvisejících s</w:t>
      </w:r>
      <w:r w:rsidR="007405FC" w:rsidRPr="00F919C5">
        <w:rPr>
          <w:rFonts w:ascii="Calibri" w:hAnsi="Calibri" w:cs="Calibri"/>
          <w:b/>
          <w:bCs/>
          <w:iCs/>
          <w:spacing w:val="-2"/>
          <w:sz w:val="24"/>
        </w:rPr>
        <w:t xml:space="preserve"> </w:t>
      </w:r>
      <w:r w:rsidR="00751186" w:rsidRPr="00F919C5">
        <w:rPr>
          <w:rFonts w:ascii="Calibri" w:hAnsi="Calibri" w:cs="Calibri"/>
          <w:b/>
          <w:bCs/>
          <w:iCs/>
          <w:spacing w:val="-2"/>
          <w:sz w:val="24"/>
        </w:rPr>
        <w:t>prodejem povolenek vydaných na třetí</w:t>
      </w:r>
      <w:r w:rsidRPr="00F919C5" w:rsidDel="0024124B">
        <w:rPr>
          <w:rFonts w:ascii="Calibri" w:hAnsi="Calibri" w:cs="Calibri"/>
          <w:b/>
          <w:bCs/>
          <w:iCs/>
          <w:spacing w:val="-2"/>
          <w:sz w:val="24"/>
        </w:rPr>
        <w:t xml:space="preserve"> obchodovací období</w:t>
      </w:r>
      <w:r w:rsidR="001964BD" w:rsidRPr="00F919C5">
        <w:rPr>
          <w:rStyle w:val="Znakapoznpodarou"/>
          <w:rFonts w:ascii="Calibri" w:hAnsi="Calibri" w:cs="Calibri"/>
          <w:b/>
          <w:bCs/>
          <w:iCs/>
          <w:spacing w:val="-2"/>
          <w:sz w:val="24"/>
        </w:rPr>
        <w:footnoteReference w:id="51"/>
      </w:r>
      <w:r w:rsidRPr="00F919C5" w:rsidDel="0024124B">
        <w:rPr>
          <w:rFonts w:ascii="Calibri" w:hAnsi="Calibri" w:cs="Calibri"/>
          <w:b/>
          <w:bCs/>
          <w:iCs/>
          <w:spacing w:val="-2"/>
          <w:sz w:val="24"/>
        </w:rPr>
        <w:t xml:space="preserve"> na výsledek hospodaření </w:t>
      </w:r>
      <w:r w:rsidR="00751186" w:rsidRPr="00F919C5">
        <w:rPr>
          <w:rFonts w:ascii="Calibri" w:hAnsi="Calibri" w:cs="Calibri"/>
          <w:b/>
          <w:bCs/>
          <w:iCs/>
          <w:spacing w:val="-2"/>
          <w:sz w:val="24"/>
        </w:rPr>
        <w:t>MŽP</w:t>
      </w:r>
      <w:r w:rsidR="00646F11" w:rsidRPr="00F919C5">
        <w:rPr>
          <w:rFonts w:ascii="Calibri" w:hAnsi="Calibri" w:cs="Calibri"/>
          <w:b/>
          <w:bCs/>
          <w:iCs/>
          <w:spacing w:val="-2"/>
          <w:sz w:val="24"/>
        </w:rPr>
        <w:t xml:space="preserve"> vykázaný</w:t>
      </w:r>
      <w:r w:rsidR="00751186" w:rsidRPr="00F919C5">
        <w:rPr>
          <w:rFonts w:ascii="Calibri" w:hAnsi="Calibri" w:cs="Calibri"/>
          <w:b/>
          <w:bCs/>
          <w:iCs/>
          <w:spacing w:val="-2"/>
          <w:sz w:val="24"/>
        </w:rPr>
        <w:t xml:space="preserve"> za rok</w:t>
      </w:r>
      <w:r w:rsidR="001964BD" w:rsidRPr="00F919C5">
        <w:rPr>
          <w:rFonts w:ascii="Calibri" w:hAnsi="Calibri" w:cs="Calibri"/>
          <w:b/>
          <w:bCs/>
          <w:iCs/>
          <w:spacing w:val="-2"/>
          <w:sz w:val="24"/>
        </w:rPr>
        <w:t xml:space="preserve"> </w:t>
      </w:r>
      <w:r w:rsidRPr="00F919C5" w:rsidDel="0024124B">
        <w:rPr>
          <w:rFonts w:ascii="Calibri" w:hAnsi="Calibri" w:cs="Calibri"/>
          <w:b/>
          <w:bCs/>
          <w:iCs/>
          <w:spacing w:val="-2"/>
          <w:sz w:val="24"/>
        </w:rPr>
        <w:t>2013</w:t>
      </w:r>
    </w:p>
    <w:tbl>
      <w:tblPr>
        <w:tblW w:w="8985" w:type="dxa"/>
        <w:jc w:val="center"/>
        <w:tblLook w:val="04A0" w:firstRow="1" w:lastRow="0" w:firstColumn="1" w:lastColumn="0" w:noHBand="0" w:noVBand="1"/>
      </w:tblPr>
      <w:tblGrid>
        <w:gridCol w:w="1668"/>
        <w:gridCol w:w="5049"/>
        <w:gridCol w:w="2268"/>
      </w:tblGrid>
      <w:tr w:rsidR="00F52B52" w:rsidRPr="00E76F52" w:rsidDel="0024124B" w:rsidTr="00E76F52">
        <w:trPr>
          <w:trHeight w:val="227"/>
          <w:jc w:val="center"/>
        </w:trPr>
        <w:tc>
          <w:tcPr>
            <w:tcW w:w="16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52B52" w:rsidRPr="00E76F52" w:rsidDel="0024124B" w:rsidRDefault="008C7D9B" w:rsidP="00F54ED4">
            <w:pPr>
              <w:spacing w:after="0" w:line="240" w:lineRule="auto"/>
              <w:jc w:val="center"/>
              <w:rPr>
                <w:rFonts w:ascii="Calibri" w:hAnsi="Calibri" w:cs="Calibri"/>
                <w:b/>
                <w:bCs/>
                <w:iCs/>
                <w:sz w:val="20"/>
                <w:szCs w:val="20"/>
              </w:rPr>
            </w:pPr>
            <w:r w:rsidRPr="00E76F52">
              <w:rPr>
                <w:rFonts w:ascii="Calibri" w:hAnsi="Calibri" w:cs="Calibri"/>
                <w:b/>
                <w:bCs/>
                <w:iCs/>
                <w:sz w:val="20"/>
                <w:szCs w:val="20"/>
              </w:rPr>
              <w:t>Č</w:t>
            </w:r>
            <w:r w:rsidR="00E5660E" w:rsidRPr="00E76F52">
              <w:rPr>
                <w:rFonts w:ascii="Calibri" w:hAnsi="Calibri" w:cs="Calibri"/>
                <w:b/>
                <w:bCs/>
                <w:iCs/>
                <w:sz w:val="20"/>
                <w:szCs w:val="20"/>
              </w:rPr>
              <w:t>íslo</w:t>
            </w:r>
            <w:r w:rsidR="0081316D" w:rsidRPr="00E76F52">
              <w:rPr>
                <w:rFonts w:ascii="Calibri" w:hAnsi="Calibri" w:cs="Calibri"/>
                <w:b/>
                <w:bCs/>
                <w:iCs/>
                <w:sz w:val="20"/>
                <w:szCs w:val="20"/>
              </w:rPr>
              <w:t xml:space="preserve"> </w:t>
            </w:r>
            <w:r w:rsidR="00E5660E" w:rsidRPr="00E76F52">
              <w:rPr>
                <w:rFonts w:ascii="Calibri" w:hAnsi="Calibri" w:cs="Calibri"/>
                <w:b/>
                <w:bCs/>
                <w:iCs/>
                <w:sz w:val="20"/>
                <w:szCs w:val="20"/>
              </w:rPr>
              <w:t>syntetického účtu</w:t>
            </w:r>
          </w:p>
        </w:tc>
        <w:tc>
          <w:tcPr>
            <w:tcW w:w="504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F52B52" w:rsidRPr="00E76F52" w:rsidDel="0024124B" w:rsidRDefault="008C7D9B" w:rsidP="00F54ED4">
            <w:pPr>
              <w:spacing w:after="0" w:line="240" w:lineRule="auto"/>
              <w:jc w:val="center"/>
              <w:rPr>
                <w:rFonts w:ascii="Calibri" w:hAnsi="Calibri" w:cs="Calibri"/>
                <w:b/>
                <w:bCs/>
                <w:iCs/>
                <w:sz w:val="20"/>
                <w:szCs w:val="20"/>
              </w:rPr>
            </w:pPr>
            <w:r w:rsidRPr="00E76F52">
              <w:rPr>
                <w:rFonts w:ascii="Calibri" w:hAnsi="Calibri" w:cs="Calibri"/>
                <w:b/>
                <w:bCs/>
                <w:iCs/>
                <w:sz w:val="20"/>
                <w:szCs w:val="20"/>
              </w:rPr>
              <w:t>N</w:t>
            </w:r>
            <w:r w:rsidR="00F52B52" w:rsidRPr="00E76F52" w:rsidDel="0024124B">
              <w:rPr>
                <w:rFonts w:ascii="Calibri" w:hAnsi="Calibri" w:cs="Calibri"/>
                <w:b/>
                <w:bCs/>
                <w:iCs/>
                <w:sz w:val="20"/>
                <w:szCs w:val="20"/>
              </w:rPr>
              <w:t>ázev účtu</w:t>
            </w:r>
          </w:p>
        </w:tc>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F52B52" w:rsidRPr="00E76F52" w:rsidDel="0024124B" w:rsidRDefault="008C7D9B" w:rsidP="00F54ED4">
            <w:pPr>
              <w:spacing w:after="0" w:line="240" w:lineRule="auto"/>
              <w:jc w:val="center"/>
              <w:rPr>
                <w:rFonts w:ascii="Calibri" w:hAnsi="Calibri" w:cs="Calibri"/>
                <w:b/>
                <w:bCs/>
                <w:iCs/>
                <w:sz w:val="20"/>
                <w:szCs w:val="20"/>
              </w:rPr>
            </w:pPr>
            <w:r w:rsidRPr="00E76F52">
              <w:rPr>
                <w:rFonts w:ascii="Calibri" w:hAnsi="Calibri" w:cs="Calibri"/>
                <w:b/>
                <w:bCs/>
                <w:iCs/>
                <w:sz w:val="20"/>
                <w:szCs w:val="20"/>
              </w:rPr>
              <w:t>Č</w:t>
            </w:r>
            <w:r w:rsidR="00F52B52" w:rsidRPr="00E76F52" w:rsidDel="0024124B">
              <w:rPr>
                <w:rFonts w:ascii="Calibri" w:hAnsi="Calibri" w:cs="Calibri"/>
                <w:b/>
                <w:bCs/>
                <w:iCs/>
                <w:sz w:val="20"/>
                <w:szCs w:val="20"/>
              </w:rPr>
              <w:t>ástka vykázaná v Kč</w:t>
            </w:r>
          </w:p>
        </w:tc>
      </w:tr>
      <w:tr w:rsidR="00F52B52" w:rsidRPr="00E76F52" w:rsidDel="0024124B" w:rsidTr="00E76F52">
        <w:trPr>
          <w:trHeight w:val="227"/>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jc w:val="center"/>
              <w:rPr>
                <w:rFonts w:ascii="Calibri" w:hAnsi="Calibri" w:cs="Calibri"/>
                <w:bCs/>
                <w:iCs/>
                <w:sz w:val="20"/>
                <w:szCs w:val="20"/>
              </w:rPr>
            </w:pPr>
            <w:r w:rsidRPr="00E76F52" w:rsidDel="0024124B">
              <w:rPr>
                <w:rFonts w:ascii="Calibri" w:hAnsi="Calibri" w:cs="Calibri"/>
                <w:bCs/>
                <w:iCs/>
                <w:sz w:val="20"/>
                <w:szCs w:val="20"/>
              </w:rPr>
              <w:t>645</w:t>
            </w:r>
          </w:p>
        </w:tc>
        <w:tc>
          <w:tcPr>
            <w:tcW w:w="5049"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rPr>
                <w:rFonts w:ascii="Calibri" w:hAnsi="Calibri" w:cs="Calibri"/>
                <w:bCs/>
                <w:iCs/>
                <w:sz w:val="20"/>
                <w:szCs w:val="20"/>
              </w:rPr>
            </w:pPr>
            <w:r w:rsidRPr="00E76F52" w:rsidDel="0024124B">
              <w:rPr>
                <w:rFonts w:ascii="Calibri" w:hAnsi="Calibri" w:cs="Calibri"/>
                <w:bCs/>
                <w:iCs/>
                <w:sz w:val="20"/>
                <w:szCs w:val="20"/>
              </w:rPr>
              <w:t>Výnosy z</w:t>
            </w:r>
            <w:r w:rsidR="007405FC" w:rsidRPr="00E76F52">
              <w:rPr>
                <w:rFonts w:ascii="Calibri" w:hAnsi="Calibri" w:cs="Calibri"/>
                <w:bCs/>
                <w:iCs/>
                <w:sz w:val="20"/>
                <w:szCs w:val="20"/>
              </w:rPr>
              <w:t xml:space="preserve"> </w:t>
            </w:r>
            <w:r w:rsidRPr="00E76F52" w:rsidDel="0024124B">
              <w:rPr>
                <w:rFonts w:ascii="Calibri" w:hAnsi="Calibri" w:cs="Calibri"/>
                <w:bCs/>
                <w:iCs/>
                <w:sz w:val="20"/>
                <w:szCs w:val="20"/>
              </w:rPr>
              <w:t>prodeje dlouhodobého nehmotného majetku</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ind w:right="175"/>
              <w:jc w:val="right"/>
              <w:rPr>
                <w:rFonts w:ascii="Calibri" w:hAnsi="Calibri" w:cs="Calibri"/>
                <w:bCs/>
                <w:iCs/>
                <w:sz w:val="20"/>
                <w:szCs w:val="20"/>
              </w:rPr>
            </w:pPr>
            <w:r w:rsidRPr="00E76F52" w:rsidDel="0024124B">
              <w:rPr>
                <w:rFonts w:ascii="Calibri" w:hAnsi="Calibri" w:cs="Calibri"/>
                <w:bCs/>
                <w:iCs/>
                <w:sz w:val="20"/>
                <w:szCs w:val="20"/>
              </w:rPr>
              <w:t>2 091</w:t>
            </w:r>
            <w:r w:rsidR="007405FC" w:rsidRPr="00E76F52">
              <w:rPr>
                <w:rFonts w:ascii="Calibri" w:hAnsi="Calibri" w:cs="Calibri"/>
                <w:bCs/>
                <w:iCs/>
                <w:sz w:val="20"/>
                <w:szCs w:val="20"/>
              </w:rPr>
              <w:t xml:space="preserve"> </w:t>
            </w:r>
            <w:r w:rsidRPr="00E76F52" w:rsidDel="0024124B">
              <w:rPr>
                <w:rFonts w:ascii="Calibri" w:hAnsi="Calibri" w:cs="Calibri"/>
                <w:bCs/>
                <w:iCs/>
                <w:sz w:val="20"/>
                <w:szCs w:val="20"/>
              </w:rPr>
              <w:t>812 863,18</w:t>
            </w:r>
          </w:p>
        </w:tc>
      </w:tr>
      <w:tr w:rsidR="00F52B52" w:rsidRPr="00E76F52" w:rsidDel="0024124B" w:rsidTr="00E76F52">
        <w:trPr>
          <w:trHeight w:val="227"/>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jc w:val="center"/>
              <w:rPr>
                <w:rFonts w:ascii="Calibri" w:hAnsi="Calibri" w:cs="Calibri"/>
                <w:bCs/>
                <w:iCs/>
                <w:sz w:val="20"/>
                <w:szCs w:val="20"/>
              </w:rPr>
            </w:pPr>
            <w:r w:rsidRPr="00E76F52" w:rsidDel="0024124B">
              <w:rPr>
                <w:rFonts w:ascii="Calibri" w:hAnsi="Calibri" w:cs="Calibri"/>
                <w:bCs/>
                <w:iCs/>
                <w:sz w:val="20"/>
                <w:szCs w:val="20"/>
              </w:rPr>
              <w:t>663</w:t>
            </w:r>
          </w:p>
        </w:tc>
        <w:tc>
          <w:tcPr>
            <w:tcW w:w="5049"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rPr>
                <w:rFonts w:ascii="Calibri" w:hAnsi="Calibri" w:cs="Calibri"/>
                <w:bCs/>
                <w:iCs/>
                <w:sz w:val="20"/>
                <w:szCs w:val="20"/>
              </w:rPr>
            </w:pPr>
            <w:r w:rsidRPr="00E76F52" w:rsidDel="0024124B">
              <w:rPr>
                <w:rFonts w:ascii="Calibri" w:hAnsi="Calibri" w:cs="Calibri"/>
                <w:bCs/>
                <w:iCs/>
                <w:sz w:val="20"/>
                <w:szCs w:val="20"/>
              </w:rPr>
              <w:t>Kurzové zisky</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ind w:right="175"/>
              <w:jc w:val="right"/>
              <w:rPr>
                <w:rFonts w:ascii="Calibri" w:hAnsi="Calibri" w:cs="Calibri"/>
                <w:bCs/>
                <w:iCs/>
                <w:sz w:val="20"/>
                <w:szCs w:val="20"/>
              </w:rPr>
            </w:pPr>
            <w:r w:rsidRPr="00E76F52" w:rsidDel="0024124B">
              <w:rPr>
                <w:rFonts w:ascii="Calibri" w:hAnsi="Calibri" w:cs="Calibri"/>
                <w:bCs/>
                <w:iCs/>
                <w:sz w:val="20"/>
                <w:szCs w:val="20"/>
              </w:rPr>
              <w:t>1 883 870,52</w:t>
            </w:r>
          </w:p>
        </w:tc>
      </w:tr>
      <w:tr w:rsidR="00F52B52" w:rsidRPr="00E76F52" w:rsidDel="0024124B" w:rsidTr="00E76F52">
        <w:trPr>
          <w:trHeight w:val="227"/>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jc w:val="center"/>
              <w:rPr>
                <w:rFonts w:ascii="Calibri" w:hAnsi="Calibri" w:cs="Calibri"/>
                <w:bCs/>
                <w:iCs/>
                <w:sz w:val="20"/>
                <w:szCs w:val="20"/>
              </w:rPr>
            </w:pPr>
            <w:r w:rsidRPr="00E76F52" w:rsidDel="0024124B">
              <w:rPr>
                <w:rFonts w:ascii="Calibri" w:hAnsi="Calibri" w:cs="Calibri"/>
                <w:bCs/>
                <w:iCs/>
                <w:sz w:val="20"/>
                <w:szCs w:val="20"/>
              </w:rPr>
              <w:t>552</w:t>
            </w:r>
          </w:p>
        </w:tc>
        <w:tc>
          <w:tcPr>
            <w:tcW w:w="5049"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rPr>
                <w:rFonts w:ascii="Calibri" w:hAnsi="Calibri" w:cs="Calibri"/>
                <w:bCs/>
                <w:iCs/>
                <w:sz w:val="20"/>
                <w:szCs w:val="20"/>
              </w:rPr>
            </w:pPr>
            <w:r w:rsidRPr="00E76F52" w:rsidDel="0024124B">
              <w:rPr>
                <w:rFonts w:ascii="Calibri" w:hAnsi="Calibri" w:cs="Calibri"/>
                <w:bCs/>
                <w:iCs/>
                <w:sz w:val="20"/>
                <w:szCs w:val="20"/>
              </w:rPr>
              <w:t>Prodaný dlouhodobý nehmotný majetek</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E76F52">
            <w:pPr>
              <w:spacing w:after="0" w:line="240" w:lineRule="auto"/>
              <w:ind w:right="175"/>
              <w:jc w:val="right"/>
              <w:rPr>
                <w:rFonts w:ascii="Calibri" w:hAnsi="Calibri" w:cs="Calibri"/>
                <w:bCs/>
                <w:iCs/>
                <w:sz w:val="20"/>
                <w:szCs w:val="20"/>
              </w:rPr>
            </w:pPr>
            <w:r w:rsidRPr="00E76F52" w:rsidDel="0024124B">
              <w:rPr>
                <w:rFonts w:ascii="Calibri" w:hAnsi="Calibri" w:cs="Calibri"/>
                <w:bCs/>
                <w:iCs/>
                <w:sz w:val="20"/>
                <w:szCs w:val="20"/>
              </w:rPr>
              <w:t>2 143 238 227,48</w:t>
            </w:r>
          </w:p>
        </w:tc>
      </w:tr>
      <w:tr w:rsidR="00F52B52" w:rsidRPr="00E76F52" w:rsidDel="0024124B" w:rsidTr="00E76F52">
        <w:trPr>
          <w:trHeight w:val="227"/>
          <w:jc w:val="center"/>
        </w:trPr>
        <w:tc>
          <w:tcPr>
            <w:tcW w:w="6717" w:type="dxa"/>
            <w:gridSpan w:val="2"/>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F919C5">
            <w:pPr>
              <w:spacing w:after="0" w:line="240" w:lineRule="auto"/>
              <w:rPr>
                <w:rFonts w:ascii="Calibri" w:hAnsi="Calibri" w:cs="Calibri"/>
                <w:b/>
                <w:bCs/>
                <w:iCs/>
                <w:sz w:val="20"/>
                <w:szCs w:val="20"/>
              </w:rPr>
            </w:pPr>
            <w:r w:rsidRPr="00E76F52" w:rsidDel="0024124B">
              <w:rPr>
                <w:rFonts w:ascii="Calibri" w:hAnsi="Calibri" w:cs="Calibri"/>
                <w:b/>
                <w:bCs/>
                <w:iCs/>
                <w:sz w:val="20"/>
                <w:szCs w:val="20"/>
              </w:rPr>
              <w:t xml:space="preserve">Výsledek hospodaření </w:t>
            </w:r>
            <w:r w:rsidR="00646F11" w:rsidRPr="00E76F52">
              <w:rPr>
                <w:rFonts w:ascii="Calibri" w:hAnsi="Calibri" w:cs="Calibri"/>
                <w:b/>
                <w:bCs/>
                <w:iCs/>
                <w:sz w:val="20"/>
                <w:szCs w:val="20"/>
              </w:rPr>
              <w:t>za rok 2013</w:t>
            </w:r>
            <w:r w:rsidRPr="00E76F52" w:rsidDel="0024124B">
              <w:rPr>
                <w:rFonts w:ascii="Calibri" w:hAnsi="Calibri" w:cs="Calibri"/>
                <w:b/>
                <w:bCs/>
                <w:iCs/>
                <w:sz w:val="20"/>
                <w:szCs w:val="20"/>
              </w:rPr>
              <w:t xml:space="preserve"> (výnosy </w:t>
            </w:r>
            <w:r w:rsidR="00F919C5">
              <w:rPr>
                <w:rFonts w:ascii="Calibri" w:hAnsi="Calibri" w:cs="Calibri"/>
                <w:b/>
                <w:bCs/>
                <w:iCs/>
                <w:sz w:val="20"/>
                <w:szCs w:val="20"/>
              </w:rPr>
              <w:t>minus</w:t>
            </w:r>
            <w:r w:rsidRPr="00E76F52" w:rsidDel="0024124B">
              <w:rPr>
                <w:rFonts w:ascii="Calibri" w:hAnsi="Calibri" w:cs="Calibri"/>
                <w:b/>
                <w:bCs/>
                <w:iCs/>
                <w:sz w:val="20"/>
                <w:szCs w:val="20"/>
              </w:rPr>
              <w:t xml:space="preserve"> náklady)</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2B52" w:rsidRPr="00E76F52" w:rsidDel="0024124B" w:rsidRDefault="00F52B52" w:rsidP="000855F3">
            <w:pPr>
              <w:spacing w:after="0" w:line="240" w:lineRule="auto"/>
              <w:ind w:right="175"/>
              <w:jc w:val="right"/>
              <w:rPr>
                <w:rFonts w:ascii="Calibri" w:hAnsi="Calibri" w:cs="Calibri"/>
                <w:b/>
                <w:bCs/>
                <w:iCs/>
                <w:sz w:val="20"/>
                <w:szCs w:val="20"/>
              </w:rPr>
            </w:pPr>
            <w:r w:rsidRPr="00E76F52" w:rsidDel="0024124B">
              <w:rPr>
                <w:rFonts w:ascii="Calibri" w:hAnsi="Calibri" w:cs="Calibri"/>
                <w:b/>
                <w:bCs/>
                <w:iCs/>
                <w:sz w:val="20"/>
                <w:szCs w:val="20"/>
              </w:rPr>
              <w:t>–49 541 493,78</w:t>
            </w:r>
          </w:p>
        </w:tc>
      </w:tr>
    </w:tbl>
    <w:p w:rsidR="00CE65FF" w:rsidRPr="00E76F52" w:rsidRDefault="00F52B52" w:rsidP="00E76F52">
      <w:pPr>
        <w:spacing w:before="40" w:after="0" w:line="240" w:lineRule="auto"/>
        <w:jc w:val="both"/>
        <w:rPr>
          <w:rFonts w:ascii="Calibri" w:hAnsi="Calibri" w:cs="Calibri"/>
          <w:bCs/>
          <w:iCs/>
          <w:sz w:val="24"/>
        </w:rPr>
      </w:pPr>
      <w:r w:rsidRPr="00E76F52" w:rsidDel="0024124B">
        <w:rPr>
          <w:rFonts w:ascii="Calibri" w:hAnsi="Calibri" w:cs="Calibri"/>
          <w:b/>
          <w:bCs/>
          <w:iCs/>
          <w:sz w:val="20"/>
        </w:rPr>
        <w:t>Zdroj</w:t>
      </w:r>
      <w:r w:rsidRPr="000A469B" w:rsidDel="0024124B">
        <w:rPr>
          <w:rFonts w:ascii="Calibri" w:hAnsi="Calibri" w:cs="Calibri"/>
          <w:b/>
          <w:bCs/>
          <w:iCs/>
          <w:sz w:val="20"/>
        </w:rPr>
        <w:t>:</w:t>
      </w:r>
      <w:r w:rsidRPr="00E76F52" w:rsidDel="0024124B">
        <w:rPr>
          <w:rFonts w:ascii="Calibri" w:hAnsi="Calibri" w:cs="Calibri"/>
          <w:bCs/>
          <w:iCs/>
          <w:sz w:val="20"/>
        </w:rPr>
        <w:t xml:space="preserve"> účetní deník MŽP za rok 2013</w:t>
      </w:r>
      <w:r w:rsidR="001964BD" w:rsidRPr="00E76F52">
        <w:rPr>
          <w:rFonts w:ascii="Calibri" w:hAnsi="Calibri" w:cs="Calibri"/>
          <w:bCs/>
          <w:iCs/>
          <w:sz w:val="20"/>
        </w:rPr>
        <w:t>.</w:t>
      </w:r>
      <w:r w:rsidR="002419DE" w:rsidRPr="00E76F52">
        <w:rPr>
          <w:rFonts w:ascii="Calibri" w:hAnsi="Calibri" w:cs="Calibri"/>
          <w:bCs/>
          <w:iCs/>
          <w:sz w:val="20"/>
        </w:rPr>
        <w:t xml:space="preserve"> </w:t>
      </w:r>
    </w:p>
    <w:p w:rsidR="00E76F52" w:rsidRPr="00E76F52" w:rsidRDefault="00E76F52" w:rsidP="00E76F52">
      <w:pPr>
        <w:spacing w:after="0" w:line="240" w:lineRule="auto"/>
        <w:jc w:val="both"/>
        <w:rPr>
          <w:rFonts w:ascii="Calibri" w:hAnsi="Calibri" w:cs="Calibri"/>
          <w:bCs/>
          <w:iCs/>
          <w:sz w:val="24"/>
        </w:rPr>
      </w:pPr>
    </w:p>
    <w:p w:rsidR="00443883" w:rsidRPr="00E76F52" w:rsidRDefault="00CF5918"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P</w:t>
      </w:r>
      <w:r w:rsidR="00443883" w:rsidRPr="00E76F52">
        <w:rPr>
          <w:rFonts w:ascii="Calibri" w:hAnsi="Calibri" w:cs="Calibri"/>
          <w:color w:val="000000" w:themeColor="text1"/>
          <w:sz w:val="24"/>
          <w:szCs w:val="24"/>
        </w:rPr>
        <w:t xml:space="preserve">ostupy účtování použité </w:t>
      </w:r>
      <w:r w:rsidR="001A3D5A">
        <w:rPr>
          <w:rFonts w:ascii="Calibri" w:hAnsi="Calibri" w:cs="Calibri"/>
          <w:color w:val="000000" w:themeColor="text1"/>
          <w:sz w:val="24"/>
          <w:szCs w:val="24"/>
        </w:rPr>
        <w:t>Ministerstvem životního prostředí</w:t>
      </w:r>
      <w:r w:rsidR="00443883" w:rsidRPr="00E76F52">
        <w:rPr>
          <w:rFonts w:ascii="Calibri" w:hAnsi="Calibri" w:cs="Calibri"/>
          <w:color w:val="000000" w:themeColor="text1"/>
          <w:sz w:val="24"/>
          <w:szCs w:val="24"/>
        </w:rPr>
        <w:t xml:space="preserve"> v roce 2013 vedly k tomu, že</w:t>
      </w:r>
      <w:r w:rsidR="000A469B">
        <w:rPr>
          <w:rFonts w:ascii="Calibri" w:hAnsi="Calibri" w:cs="Calibri"/>
          <w:color w:val="000000" w:themeColor="text1"/>
          <w:sz w:val="24"/>
          <w:szCs w:val="24"/>
        </w:rPr>
        <w:t xml:space="preserve"> z </w:t>
      </w:r>
      <w:r w:rsidR="00046A40" w:rsidRPr="00E76F52">
        <w:rPr>
          <w:rFonts w:ascii="Calibri" w:hAnsi="Calibri" w:cs="Calibri"/>
          <w:color w:val="000000" w:themeColor="text1"/>
          <w:sz w:val="24"/>
          <w:szCs w:val="24"/>
        </w:rPr>
        <w:t>transakcí s</w:t>
      </w:r>
      <w:r w:rsidR="008C7D9B" w:rsidRPr="00E76F52">
        <w:rPr>
          <w:rFonts w:ascii="Calibri" w:hAnsi="Calibri" w:cs="Calibri"/>
          <w:color w:val="000000" w:themeColor="text1"/>
          <w:sz w:val="24"/>
          <w:szCs w:val="24"/>
        </w:rPr>
        <w:t> </w:t>
      </w:r>
      <w:r w:rsidR="00B71126" w:rsidRPr="00E76F52">
        <w:rPr>
          <w:rFonts w:ascii="Calibri" w:hAnsi="Calibri" w:cs="Calibri"/>
          <w:color w:val="000000" w:themeColor="text1"/>
          <w:sz w:val="24"/>
          <w:szCs w:val="24"/>
        </w:rPr>
        <w:t>povole</w:t>
      </w:r>
      <w:r w:rsidR="00046A40" w:rsidRPr="00E76F52">
        <w:rPr>
          <w:rFonts w:ascii="Calibri" w:hAnsi="Calibri" w:cs="Calibri"/>
          <w:color w:val="000000" w:themeColor="text1"/>
          <w:sz w:val="24"/>
          <w:szCs w:val="24"/>
        </w:rPr>
        <w:t xml:space="preserve">nkami </w:t>
      </w:r>
      <w:r w:rsidR="002F24FC" w:rsidRPr="00E76F52">
        <w:rPr>
          <w:rFonts w:ascii="Calibri" w:hAnsi="Calibri" w:cs="Calibri"/>
          <w:color w:val="000000" w:themeColor="text1"/>
          <w:sz w:val="24"/>
          <w:szCs w:val="24"/>
        </w:rPr>
        <w:t xml:space="preserve">vydanými na </w:t>
      </w:r>
      <w:r w:rsidR="002419DE" w:rsidRPr="00E76F52">
        <w:rPr>
          <w:rFonts w:ascii="Calibri" w:hAnsi="Calibri" w:cs="Calibri"/>
          <w:color w:val="000000" w:themeColor="text1"/>
          <w:sz w:val="24"/>
          <w:szCs w:val="24"/>
        </w:rPr>
        <w:t>třetí</w:t>
      </w:r>
      <w:r w:rsidR="00046A40" w:rsidRPr="00E76F52">
        <w:rPr>
          <w:rFonts w:ascii="Calibri" w:hAnsi="Calibri" w:cs="Calibri"/>
          <w:color w:val="000000" w:themeColor="text1"/>
          <w:sz w:val="24"/>
          <w:szCs w:val="24"/>
        </w:rPr>
        <w:t xml:space="preserve"> obchodovací období </w:t>
      </w:r>
      <w:r w:rsidR="00443883" w:rsidRPr="00E76F52">
        <w:rPr>
          <w:rFonts w:ascii="Calibri" w:hAnsi="Calibri" w:cs="Calibri"/>
          <w:color w:val="000000" w:themeColor="text1"/>
          <w:sz w:val="24"/>
          <w:szCs w:val="24"/>
        </w:rPr>
        <w:t xml:space="preserve">vykázalo </w:t>
      </w:r>
      <w:r w:rsidR="001A3D5A">
        <w:rPr>
          <w:rFonts w:ascii="Calibri" w:hAnsi="Calibri" w:cs="Calibri"/>
          <w:color w:val="000000" w:themeColor="text1"/>
          <w:sz w:val="24"/>
          <w:szCs w:val="24"/>
        </w:rPr>
        <w:t xml:space="preserve">MŽP </w:t>
      </w:r>
      <w:r w:rsidR="00046A40" w:rsidRPr="00E76F52">
        <w:rPr>
          <w:rFonts w:ascii="Calibri" w:hAnsi="Calibri" w:cs="Calibri"/>
          <w:color w:val="000000" w:themeColor="text1"/>
          <w:sz w:val="24"/>
          <w:szCs w:val="24"/>
        </w:rPr>
        <w:t>náklady převyšující výnosy o částku 49</w:t>
      </w:r>
      <w:r w:rsidR="00690769" w:rsidRPr="00E76F52">
        <w:rPr>
          <w:rFonts w:ascii="Calibri" w:hAnsi="Calibri" w:cs="Calibri"/>
          <w:color w:val="000000" w:themeColor="text1"/>
          <w:sz w:val="24"/>
          <w:szCs w:val="24"/>
        </w:rPr>
        <w:t> 541 </w:t>
      </w:r>
      <w:r w:rsidR="00046A40" w:rsidRPr="00E76F52">
        <w:rPr>
          <w:rFonts w:ascii="Calibri" w:hAnsi="Calibri" w:cs="Calibri"/>
          <w:color w:val="000000" w:themeColor="text1"/>
          <w:sz w:val="24"/>
          <w:szCs w:val="24"/>
        </w:rPr>
        <w:t>493,78 Kč</w:t>
      </w:r>
      <w:r w:rsidR="000855F3">
        <w:rPr>
          <w:rFonts w:ascii="Calibri" w:hAnsi="Calibri" w:cs="Calibri"/>
          <w:color w:val="000000" w:themeColor="text1"/>
          <w:sz w:val="24"/>
          <w:szCs w:val="24"/>
        </w:rPr>
        <w:t>,</w:t>
      </w:r>
      <w:r w:rsidR="00206B08" w:rsidRPr="00E76F52">
        <w:rPr>
          <w:rFonts w:ascii="Calibri" w:hAnsi="Calibri" w:cs="Calibri"/>
          <w:color w:val="000000" w:themeColor="text1"/>
          <w:sz w:val="24"/>
          <w:szCs w:val="24"/>
        </w:rPr>
        <w:t xml:space="preserve"> a to v</w:t>
      </w:r>
      <w:r w:rsidR="007405FC" w:rsidRPr="00E76F52">
        <w:rPr>
          <w:rFonts w:ascii="Calibri" w:hAnsi="Calibri" w:cs="Calibri"/>
          <w:color w:val="000000" w:themeColor="text1"/>
          <w:sz w:val="24"/>
          <w:szCs w:val="24"/>
        </w:rPr>
        <w:t xml:space="preserve"> </w:t>
      </w:r>
      <w:r w:rsidR="00206B08" w:rsidRPr="00E76F52">
        <w:rPr>
          <w:rFonts w:ascii="Calibri" w:hAnsi="Calibri" w:cs="Calibri"/>
          <w:color w:val="000000" w:themeColor="text1"/>
          <w:sz w:val="24"/>
          <w:szCs w:val="24"/>
        </w:rPr>
        <w:t xml:space="preserve">důsledku změny reálné hodnoty povolenek </w:t>
      </w:r>
      <w:r w:rsidR="00443883" w:rsidRPr="00E76F52">
        <w:rPr>
          <w:rFonts w:ascii="Calibri" w:hAnsi="Calibri" w:cs="Calibri"/>
          <w:color w:val="000000" w:themeColor="text1"/>
          <w:sz w:val="24"/>
          <w:szCs w:val="24"/>
        </w:rPr>
        <w:t>v průběhu roku 2013</w:t>
      </w:r>
      <w:r w:rsidR="00690769" w:rsidRPr="00E76F52">
        <w:rPr>
          <w:rFonts w:ascii="Calibri" w:hAnsi="Calibri" w:cs="Calibri"/>
          <w:color w:val="000000" w:themeColor="text1"/>
          <w:sz w:val="24"/>
          <w:szCs w:val="24"/>
        </w:rPr>
        <w:t>. MŽP z </w:t>
      </w:r>
      <w:r w:rsidR="00046A40" w:rsidRPr="00E76F52">
        <w:rPr>
          <w:rFonts w:ascii="Calibri" w:hAnsi="Calibri" w:cs="Calibri"/>
          <w:color w:val="000000" w:themeColor="text1"/>
          <w:sz w:val="24"/>
          <w:szCs w:val="24"/>
        </w:rPr>
        <w:t>daných transakcí získalo v průběhu roku 2013 příjmy</w:t>
      </w:r>
      <w:r w:rsidR="002419DE" w:rsidRPr="00E76F52">
        <w:rPr>
          <w:rStyle w:val="Znakapoznpodarou"/>
          <w:rFonts w:ascii="Calibri" w:hAnsi="Calibri" w:cs="Calibri"/>
          <w:bCs/>
          <w:iCs/>
          <w:color w:val="000000" w:themeColor="text1"/>
          <w:sz w:val="24"/>
          <w:szCs w:val="24"/>
        </w:rPr>
        <w:footnoteReference w:id="52"/>
      </w:r>
      <w:r w:rsidR="00046A40" w:rsidRPr="00E76F52">
        <w:rPr>
          <w:rFonts w:ascii="Calibri" w:hAnsi="Calibri" w:cs="Calibri"/>
          <w:color w:val="000000" w:themeColor="text1"/>
          <w:sz w:val="24"/>
          <w:szCs w:val="24"/>
        </w:rPr>
        <w:t xml:space="preserve"> v celkové výši 2</w:t>
      </w:r>
      <w:r w:rsidR="000855F3">
        <w:rPr>
          <w:rFonts w:ascii="Calibri" w:hAnsi="Calibri" w:cs="Calibri"/>
          <w:color w:val="000000" w:themeColor="text1"/>
          <w:sz w:val="24"/>
          <w:szCs w:val="24"/>
        </w:rPr>
        <w:t> </w:t>
      </w:r>
      <w:r w:rsidR="00046A40" w:rsidRPr="00E76F52">
        <w:rPr>
          <w:rFonts w:ascii="Calibri" w:hAnsi="Calibri" w:cs="Calibri"/>
          <w:color w:val="000000" w:themeColor="text1"/>
          <w:sz w:val="24"/>
          <w:szCs w:val="24"/>
        </w:rPr>
        <w:t>093</w:t>
      </w:r>
      <w:r w:rsidR="000855F3">
        <w:rPr>
          <w:rFonts w:ascii="Calibri" w:hAnsi="Calibri" w:cs="Calibri"/>
          <w:color w:val="000000" w:themeColor="text1"/>
          <w:sz w:val="24"/>
          <w:szCs w:val="24"/>
        </w:rPr>
        <w:t> </w:t>
      </w:r>
      <w:r w:rsidR="00046A40" w:rsidRPr="00E76F52">
        <w:rPr>
          <w:rFonts w:ascii="Calibri" w:hAnsi="Calibri" w:cs="Calibri"/>
          <w:color w:val="000000" w:themeColor="text1"/>
          <w:sz w:val="24"/>
          <w:szCs w:val="24"/>
        </w:rPr>
        <w:t>696</w:t>
      </w:r>
      <w:r w:rsidR="000855F3">
        <w:rPr>
          <w:rFonts w:ascii="Calibri" w:hAnsi="Calibri" w:cs="Calibri"/>
          <w:color w:val="000000" w:themeColor="text1"/>
          <w:sz w:val="24"/>
          <w:szCs w:val="24"/>
        </w:rPr>
        <w:t> </w:t>
      </w:r>
      <w:r w:rsidR="00046A40" w:rsidRPr="00E76F52">
        <w:rPr>
          <w:rFonts w:ascii="Calibri" w:hAnsi="Calibri" w:cs="Calibri"/>
          <w:color w:val="000000" w:themeColor="text1"/>
          <w:sz w:val="24"/>
          <w:szCs w:val="24"/>
        </w:rPr>
        <w:t>733,70</w:t>
      </w:r>
      <w:r w:rsidR="000855F3">
        <w:rPr>
          <w:rFonts w:ascii="Calibri" w:hAnsi="Calibri" w:cs="Calibri"/>
          <w:color w:val="000000" w:themeColor="text1"/>
          <w:sz w:val="24"/>
          <w:szCs w:val="24"/>
        </w:rPr>
        <w:t> </w:t>
      </w:r>
      <w:r w:rsidR="00046A40" w:rsidRPr="00E76F52">
        <w:rPr>
          <w:rFonts w:ascii="Calibri" w:hAnsi="Calibri" w:cs="Calibri"/>
          <w:color w:val="000000" w:themeColor="text1"/>
          <w:sz w:val="24"/>
          <w:szCs w:val="24"/>
        </w:rPr>
        <w:t xml:space="preserve">Kč. </w:t>
      </w:r>
    </w:p>
    <w:p w:rsidR="00443883" w:rsidRPr="00E76F52" w:rsidRDefault="00443883" w:rsidP="00E76F52">
      <w:pPr>
        <w:spacing w:after="0" w:line="240" w:lineRule="auto"/>
        <w:jc w:val="both"/>
        <w:rPr>
          <w:rFonts w:ascii="Calibri" w:hAnsi="Calibri" w:cs="Calibri"/>
          <w:color w:val="000000" w:themeColor="text1"/>
          <w:sz w:val="24"/>
          <w:szCs w:val="24"/>
        </w:rPr>
      </w:pPr>
    </w:p>
    <w:p w:rsidR="00046A40" w:rsidRPr="00E76F52" w:rsidRDefault="001A3D5A" w:rsidP="00E76F52">
      <w:pPr>
        <w:spacing w:after="0" w:line="240" w:lineRule="auto"/>
        <w:jc w:val="both"/>
        <w:rPr>
          <w:rFonts w:ascii="Calibri" w:hAnsi="Calibri" w:cs="Calibri"/>
          <w:b/>
          <w:color w:val="000000" w:themeColor="text1"/>
          <w:sz w:val="24"/>
          <w:szCs w:val="24"/>
        </w:rPr>
      </w:pPr>
      <w:r w:rsidRPr="00E76F52">
        <w:rPr>
          <w:rFonts w:ascii="Calibri" w:hAnsi="Calibri" w:cs="Calibri"/>
          <w:color w:val="000000" w:themeColor="text1"/>
          <w:sz w:val="24"/>
          <w:szCs w:val="24"/>
        </w:rPr>
        <w:t xml:space="preserve">MŽP </w:t>
      </w:r>
      <w:r>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0855F3">
        <w:rPr>
          <w:rFonts w:ascii="Calibri" w:hAnsi="Calibri" w:cs="Calibri"/>
          <w:b/>
          <w:color w:val="000000" w:themeColor="text1"/>
          <w:sz w:val="24"/>
          <w:szCs w:val="24"/>
        </w:rPr>
        <w:t>p</w:t>
      </w:r>
      <w:r w:rsidR="00E92913" w:rsidRPr="00E76F52">
        <w:rPr>
          <w:rFonts w:ascii="Calibri" w:hAnsi="Calibri" w:cs="Calibri"/>
          <w:b/>
          <w:color w:val="000000" w:themeColor="text1"/>
          <w:sz w:val="24"/>
          <w:szCs w:val="24"/>
        </w:rPr>
        <w:t>říloze účetní závěrky</w:t>
      </w:r>
      <w:r w:rsidR="00E92913" w:rsidRPr="00E76F52">
        <w:rPr>
          <w:rFonts w:ascii="Calibri" w:hAnsi="Calibri" w:cs="Calibri"/>
          <w:color w:val="000000" w:themeColor="text1"/>
          <w:sz w:val="24"/>
          <w:szCs w:val="24"/>
        </w:rPr>
        <w:t xml:space="preserve"> neuvedlo ke skutečnostem vykázaným v</w:t>
      </w:r>
      <w:r w:rsidR="007405FC" w:rsidRPr="00E76F52">
        <w:rPr>
          <w:rFonts w:ascii="Calibri" w:hAnsi="Calibri" w:cs="Calibri"/>
          <w:color w:val="000000" w:themeColor="text1"/>
          <w:sz w:val="24"/>
          <w:szCs w:val="24"/>
        </w:rPr>
        <w:t xml:space="preserve"> </w:t>
      </w:r>
      <w:r w:rsidR="00E92913" w:rsidRPr="00E76F52">
        <w:rPr>
          <w:rFonts w:ascii="Calibri" w:hAnsi="Calibri" w:cs="Calibri"/>
          <w:color w:val="000000" w:themeColor="text1"/>
          <w:sz w:val="24"/>
          <w:szCs w:val="24"/>
        </w:rPr>
        <w:t>ÚZ k 31.</w:t>
      </w:r>
      <w:r>
        <w:rPr>
          <w:rFonts w:ascii="Calibri" w:hAnsi="Calibri" w:cs="Calibri"/>
          <w:color w:val="000000" w:themeColor="text1"/>
          <w:sz w:val="24"/>
          <w:szCs w:val="24"/>
        </w:rPr>
        <w:t> </w:t>
      </w:r>
      <w:r w:rsidR="00E92913" w:rsidRPr="00E76F52">
        <w:rPr>
          <w:rFonts w:ascii="Calibri" w:hAnsi="Calibri" w:cs="Calibri"/>
          <w:color w:val="000000" w:themeColor="text1"/>
          <w:sz w:val="24"/>
          <w:szCs w:val="24"/>
        </w:rPr>
        <w:t>prosinci 2013 z</w:t>
      </w:r>
      <w:r w:rsidR="007405FC" w:rsidRPr="00E76F52">
        <w:rPr>
          <w:rFonts w:ascii="Calibri" w:hAnsi="Calibri" w:cs="Calibri"/>
          <w:color w:val="000000" w:themeColor="text1"/>
          <w:sz w:val="24"/>
          <w:szCs w:val="24"/>
        </w:rPr>
        <w:t xml:space="preserve"> </w:t>
      </w:r>
      <w:r w:rsidR="00E92913" w:rsidRPr="00E76F52">
        <w:rPr>
          <w:rFonts w:ascii="Calibri" w:hAnsi="Calibri" w:cs="Calibri"/>
          <w:color w:val="000000" w:themeColor="text1"/>
          <w:sz w:val="24"/>
          <w:szCs w:val="24"/>
        </w:rPr>
        <w:t>titulu transakcí s</w:t>
      </w:r>
      <w:r w:rsidR="00443883" w:rsidRPr="00E76F52">
        <w:rPr>
          <w:rFonts w:ascii="Calibri" w:hAnsi="Calibri" w:cs="Calibri"/>
          <w:color w:val="000000" w:themeColor="text1"/>
          <w:sz w:val="24"/>
          <w:szCs w:val="24"/>
        </w:rPr>
        <w:t> </w:t>
      </w:r>
      <w:r w:rsidR="00E92913" w:rsidRPr="00E76F52">
        <w:rPr>
          <w:rFonts w:ascii="Calibri" w:hAnsi="Calibri" w:cs="Calibri"/>
          <w:color w:val="000000" w:themeColor="text1"/>
          <w:sz w:val="24"/>
          <w:szCs w:val="24"/>
        </w:rPr>
        <w:t>povolenkami</w:t>
      </w:r>
      <w:r w:rsidR="00443883" w:rsidRPr="00E76F52">
        <w:rPr>
          <w:rFonts w:ascii="Calibri" w:hAnsi="Calibri" w:cs="Calibri"/>
          <w:color w:val="000000" w:themeColor="text1"/>
          <w:sz w:val="24"/>
          <w:szCs w:val="24"/>
        </w:rPr>
        <w:t xml:space="preserve"> žádné doplňující informace,</w:t>
      </w:r>
      <w:r w:rsidR="00534CD5" w:rsidRPr="00E76F52">
        <w:rPr>
          <w:rFonts w:ascii="Calibri" w:hAnsi="Calibri" w:cs="Calibri"/>
          <w:color w:val="000000" w:themeColor="text1"/>
          <w:sz w:val="24"/>
          <w:szCs w:val="24"/>
        </w:rPr>
        <w:t xml:space="preserve"> </w:t>
      </w:r>
      <w:r w:rsidR="00F337B4" w:rsidRPr="00E76F52">
        <w:rPr>
          <w:rFonts w:ascii="Calibri" w:hAnsi="Calibri" w:cs="Calibri"/>
          <w:color w:val="000000" w:themeColor="text1"/>
          <w:sz w:val="24"/>
          <w:szCs w:val="24"/>
        </w:rPr>
        <w:t>zejména</w:t>
      </w:r>
      <w:r w:rsidR="00534CD5" w:rsidRPr="00E76F52">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neuvedlo </w:t>
      </w:r>
      <w:r w:rsidR="00C664AE" w:rsidRPr="00E76F52">
        <w:rPr>
          <w:rFonts w:ascii="Calibri" w:hAnsi="Calibri" w:cs="Calibri"/>
          <w:color w:val="000000" w:themeColor="text1"/>
          <w:sz w:val="24"/>
          <w:szCs w:val="24"/>
        </w:rPr>
        <w:t xml:space="preserve">způsob stanovení okamžiku </w:t>
      </w:r>
      <w:r w:rsidR="00534CD5" w:rsidRPr="00E76F52">
        <w:rPr>
          <w:rFonts w:ascii="Calibri" w:hAnsi="Calibri" w:cs="Calibri"/>
          <w:color w:val="000000" w:themeColor="text1"/>
          <w:sz w:val="24"/>
          <w:szCs w:val="24"/>
        </w:rPr>
        <w:t xml:space="preserve">uskutečnění účetního případu, </w:t>
      </w:r>
      <w:r>
        <w:rPr>
          <w:rFonts w:ascii="Calibri" w:hAnsi="Calibri" w:cs="Calibri"/>
          <w:color w:val="000000" w:themeColor="text1"/>
          <w:sz w:val="24"/>
          <w:szCs w:val="24"/>
        </w:rPr>
        <w:t xml:space="preserve">způsob </w:t>
      </w:r>
      <w:r w:rsidR="00534CD5" w:rsidRPr="00E76F52">
        <w:rPr>
          <w:rFonts w:ascii="Calibri" w:hAnsi="Calibri" w:cs="Calibri"/>
          <w:color w:val="000000" w:themeColor="text1"/>
          <w:sz w:val="24"/>
          <w:szCs w:val="24"/>
        </w:rPr>
        <w:t>určení množství povolenek</w:t>
      </w:r>
      <w:r w:rsidR="00443883" w:rsidRPr="00E76F52">
        <w:rPr>
          <w:rFonts w:ascii="Calibri" w:hAnsi="Calibri" w:cs="Calibri"/>
          <w:color w:val="000000" w:themeColor="text1"/>
          <w:sz w:val="24"/>
          <w:szCs w:val="24"/>
        </w:rPr>
        <w:t xml:space="preserve"> zařazených do majetku</w:t>
      </w:r>
      <w:r w:rsidR="00534CD5" w:rsidRPr="00E76F52">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nevysvětlilo </w:t>
      </w:r>
      <w:r w:rsidR="00534CD5" w:rsidRPr="00E76F52">
        <w:rPr>
          <w:rFonts w:ascii="Calibri" w:hAnsi="Calibri" w:cs="Calibri"/>
          <w:color w:val="000000" w:themeColor="text1"/>
          <w:sz w:val="24"/>
          <w:szCs w:val="24"/>
        </w:rPr>
        <w:t>změny v</w:t>
      </w:r>
      <w:r w:rsidR="007405FC" w:rsidRPr="00E76F52">
        <w:rPr>
          <w:rFonts w:ascii="Calibri" w:hAnsi="Calibri" w:cs="Calibri"/>
          <w:color w:val="000000" w:themeColor="text1"/>
          <w:sz w:val="24"/>
          <w:szCs w:val="24"/>
        </w:rPr>
        <w:t xml:space="preserve"> </w:t>
      </w:r>
      <w:r w:rsidR="00534CD5" w:rsidRPr="00E76F52">
        <w:rPr>
          <w:rFonts w:ascii="Calibri" w:hAnsi="Calibri" w:cs="Calibri"/>
          <w:color w:val="000000" w:themeColor="text1"/>
          <w:sz w:val="24"/>
          <w:szCs w:val="24"/>
        </w:rPr>
        <w:t>p</w:t>
      </w:r>
      <w:r w:rsidR="00443883" w:rsidRPr="00E76F52">
        <w:rPr>
          <w:rFonts w:ascii="Calibri" w:hAnsi="Calibri" w:cs="Calibri"/>
          <w:color w:val="000000" w:themeColor="text1"/>
          <w:sz w:val="24"/>
          <w:szCs w:val="24"/>
        </w:rPr>
        <w:t>ostupu</w:t>
      </w:r>
      <w:r w:rsidR="00534CD5" w:rsidRPr="00E76F52">
        <w:rPr>
          <w:rFonts w:ascii="Calibri" w:hAnsi="Calibri" w:cs="Calibri"/>
          <w:color w:val="000000" w:themeColor="text1"/>
          <w:sz w:val="24"/>
          <w:szCs w:val="24"/>
        </w:rPr>
        <w:t xml:space="preserve"> účtování v</w:t>
      </w:r>
      <w:r w:rsidR="007405FC" w:rsidRPr="00E76F52">
        <w:rPr>
          <w:rFonts w:ascii="Calibri" w:hAnsi="Calibri" w:cs="Calibri"/>
          <w:color w:val="000000" w:themeColor="text1"/>
          <w:sz w:val="24"/>
          <w:szCs w:val="24"/>
        </w:rPr>
        <w:t xml:space="preserve"> </w:t>
      </w:r>
      <w:r w:rsidR="00534CD5" w:rsidRPr="00E76F52">
        <w:rPr>
          <w:rFonts w:ascii="Calibri" w:hAnsi="Calibri" w:cs="Calibri"/>
          <w:color w:val="000000" w:themeColor="text1"/>
          <w:sz w:val="24"/>
          <w:szCs w:val="24"/>
        </w:rPr>
        <w:t xml:space="preserve">průběhu roku 2013 </w:t>
      </w:r>
      <w:r>
        <w:rPr>
          <w:rFonts w:ascii="Calibri" w:hAnsi="Calibri" w:cs="Calibri"/>
          <w:color w:val="000000" w:themeColor="text1"/>
          <w:sz w:val="24"/>
          <w:szCs w:val="24"/>
        </w:rPr>
        <w:t xml:space="preserve">ani </w:t>
      </w:r>
      <w:r w:rsidR="00534CD5" w:rsidRPr="00E76F52">
        <w:rPr>
          <w:rFonts w:ascii="Calibri" w:hAnsi="Calibri" w:cs="Calibri"/>
          <w:color w:val="000000" w:themeColor="text1"/>
          <w:sz w:val="24"/>
          <w:szCs w:val="24"/>
        </w:rPr>
        <w:t>převod</w:t>
      </w:r>
      <w:r w:rsidR="00443883" w:rsidRPr="00E76F52">
        <w:rPr>
          <w:rFonts w:ascii="Calibri" w:hAnsi="Calibri" w:cs="Calibri"/>
          <w:color w:val="000000" w:themeColor="text1"/>
          <w:sz w:val="24"/>
          <w:szCs w:val="24"/>
        </w:rPr>
        <w:t xml:space="preserve"> bezplatných</w:t>
      </w:r>
      <w:r w:rsidR="00534CD5" w:rsidRPr="00E76F52">
        <w:rPr>
          <w:rFonts w:ascii="Calibri" w:hAnsi="Calibri" w:cs="Calibri"/>
          <w:color w:val="000000" w:themeColor="text1"/>
          <w:sz w:val="24"/>
          <w:szCs w:val="24"/>
        </w:rPr>
        <w:t xml:space="preserve"> povolenek určených pro rok 2013 až v</w:t>
      </w:r>
      <w:r w:rsidR="007405FC" w:rsidRPr="00E76F52">
        <w:rPr>
          <w:rFonts w:ascii="Calibri" w:hAnsi="Calibri" w:cs="Calibri"/>
          <w:color w:val="000000" w:themeColor="text1"/>
          <w:sz w:val="24"/>
          <w:szCs w:val="24"/>
        </w:rPr>
        <w:t xml:space="preserve"> </w:t>
      </w:r>
      <w:r w:rsidR="00534CD5" w:rsidRPr="00E76F52">
        <w:rPr>
          <w:rFonts w:ascii="Calibri" w:hAnsi="Calibri" w:cs="Calibri"/>
          <w:color w:val="000000" w:themeColor="text1"/>
          <w:sz w:val="24"/>
          <w:szCs w:val="24"/>
        </w:rPr>
        <w:t>roce 2014</w:t>
      </w:r>
      <w:r w:rsidR="00F337B4" w:rsidRPr="00E76F52">
        <w:rPr>
          <w:rFonts w:ascii="Calibri" w:hAnsi="Calibri" w:cs="Calibri"/>
          <w:color w:val="000000" w:themeColor="text1"/>
          <w:sz w:val="24"/>
          <w:szCs w:val="24"/>
        </w:rPr>
        <w:t xml:space="preserve">. </w:t>
      </w:r>
      <w:r w:rsidR="00E92913" w:rsidRPr="00E76F52">
        <w:rPr>
          <w:rFonts w:ascii="Calibri" w:hAnsi="Calibri" w:cs="Calibri"/>
          <w:color w:val="000000" w:themeColor="text1"/>
          <w:sz w:val="24"/>
          <w:szCs w:val="24"/>
        </w:rPr>
        <w:t xml:space="preserve">Přitom </w:t>
      </w:r>
      <w:r w:rsidR="00F337B4" w:rsidRPr="00E76F52">
        <w:rPr>
          <w:rFonts w:ascii="Calibri" w:hAnsi="Calibri" w:cs="Calibri"/>
          <w:color w:val="000000" w:themeColor="text1"/>
          <w:sz w:val="24"/>
          <w:szCs w:val="24"/>
        </w:rPr>
        <w:t xml:space="preserve">např. </w:t>
      </w:r>
      <w:r w:rsidR="00C664AE" w:rsidRPr="00E76F52">
        <w:rPr>
          <w:rFonts w:ascii="Calibri" w:hAnsi="Calibri" w:cs="Calibri"/>
          <w:color w:val="000000" w:themeColor="text1"/>
          <w:sz w:val="24"/>
          <w:szCs w:val="24"/>
        </w:rPr>
        <w:t xml:space="preserve">stanovení </w:t>
      </w:r>
      <w:r w:rsidR="00F337B4" w:rsidRPr="00E76F52">
        <w:rPr>
          <w:rFonts w:ascii="Calibri" w:hAnsi="Calibri" w:cs="Calibri"/>
          <w:color w:val="000000" w:themeColor="text1"/>
          <w:sz w:val="24"/>
          <w:szCs w:val="24"/>
        </w:rPr>
        <w:t>okamžik</w:t>
      </w:r>
      <w:r w:rsidR="00C664AE" w:rsidRPr="00E76F52">
        <w:rPr>
          <w:rFonts w:ascii="Calibri" w:hAnsi="Calibri" w:cs="Calibri"/>
          <w:color w:val="000000" w:themeColor="text1"/>
          <w:sz w:val="24"/>
          <w:szCs w:val="24"/>
        </w:rPr>
        <w:t>u</w:t>
      </w:r>
      <w:r w:rsidR="00F337B4" w:rsidRPr="00E76F52">
        <w:rPr>
          <w:rFonts w:ascii="Calibri" w:hAnsi="Calibri" w:cs="Calibri"/>
          <w:color w:val="000000" w:themeColor="text1"/>
          <w:sz w:val="24"/>
          <w:szCs w:val="24"/>
        </w:rPr>
        <w:t xml:space="preserve"> uskutečnění účetního případu </w:t>
      </w:r>
      <w:r w:rsidR="00C664AE" w:rsidRPr="00E76F52">
        <w:rPr>
          <w:rFonts w:ascii="Calibri" w:hAnsi="Calibri" w:cs="Calibri"/>
          <w:color w:val="000000" w:themeColor="text1"/>
          <w:sz w:val="24"/>
          <w:szCs w:val="24"/>
        </w:rPr>
        <w:t>má</w:t>
      </w:r>
      <w:r w:rsidR="00F337B4" w:rsidRPr="00E76F52">
        <w:rPr>
          <w:rFonts w:ascii="Calibri" w:hAnsi="Calibri" w:cs="Calibri"/>
          <w:color w:val="000000" w:themeColor="text1"/>
          <w:sz w:val="24"/>
          <w:szCs w:val="24"/>
        </w:rPr>
        <w:t xml:space="preserve"> </w:t>
      </w:r>
      <w:r w:rsidR="00C664AE" w:rsidRPr="00E76F52">
        <w:rPr>
          <w:rFonts w:ascii="Calibri" w:hAnsi="Calibri" w:cs="Calibri"/>
          <w:color w:val="000000" w:themeColor="text1"/>
          <w:sz w:val="24"/>
          <w:szCs w:val="24"/>
        </w:rPr>
        <w:t>zá</w:t>
      </w:r>
      <w:r w:rsidR="00F337B4" w:rsidRPr="00E76F52">
        <w:rPr>
          <w:rFonts w:ascii="Calibri" w:hAnsi="Calibri" w:cs="Calibri"/>
          <w:color w:val="000000" w:themeColor="text1"/>
          <w:sz w:val="24"/>
          <w:szCs w:val="24"/>
        </w:rPr>
        <w:t>sadní vliv na účetní závěrku</w:t>
      </w:r>
      <w:r>
        <w:rPr>
          <w:rFonts w:ascii="Calibri" w:hAnsi="Calibri" w:cs="Calibri"/>
          <w:color w:val="000000" w:themeColor="text1"/>
          <w:sz w:val="24"/>
          <w:szCs w:val="24"/>
        </w:rPr>
        <w:t xml:space="preserve"> (z </w:t>
      </w:r>
      <w:r w:rsidR="00101FFD" w:rsidRPr="00E76F52">
        <w:rPr>
          <w:rFonts w:ascii="Calibri" w:hAnsi="Calibri" w:cs="Calibri"/>
          <w:color w:val="000000" w:themeColor="text1"/>
          <w:sz w:val="24"/>
          <w:szCs w:val="24"/>
        </w:rPr>
        <w:t>důvodu</w:t>
      </w:r>
      <w:r w:rsidR="00F337B4" w:rsidRPr="00E76F52">
        <w:rPr>
          <w:rFonts w:ascii="Calibri" w:hAnsi="Calibri" w:cs="Calibri"/>
          <w:color w:val="000000" w:themeColor="text1"/>
          <w:sz w:val="24"/>
          <w:szCs w:val="24"/>
        </w:rPr>
        <w:t xml:space="preserve"> ocenění povolenek reprodukční pořizovací cen</w:t>
      </w:r>
      <w:r>
        <w:rPr>
          <w:rFonts w:ascii="Calibri" w:hAnsi="Calibri" w:cs="Calibri"/>
          <w:color w:val="000000" w:themeColor="text1"/>
          <w:sz w:val="24"/>
          <w:szCs w:val="24"/>
        </w:rPr>
        <w:t>ou</w:t>
      </w:r>
      <w:r w:rsidR="00F337B4" w:rsidRPr="00E76F52">
        <w:rPr>
          <w:rFonts w:ascii="Calibri" w:hAnsi="Calibri" w:cs="Calibri"/>
          <w:color w:val="000000" w:themeColor="text1"/>
          <w:sz w:val="24"/>
          <w:szCs w:val="24"/>
        </w:rPr>
        <w:t xml:space="preserve">, </w:t>
      </w:r>
      <w:r w:rsidR="00C664AE" w:rsidRPr="00E76F52">
        <w:rPr>
          <w:rFonts w:ascii="Calibri" w:hAnsi="Calibri" w:cs="Calibri"/>
          <w:color w:val="000000" w:themeColor="text1"/>
          <w:sz w:val="24"/>
          <w:szCs w:val="24"/>
        </w:rPr>
        <w:t>která</w:t>
      </w:r>
      <w:r w:rsidR="00F337B4" w:rsidRPr="00E76F52">
        <w:rPr>
          <w:rFonts w:ascii="Calibri" w:hAnsi="Calibri" w:cs="Calibri"/>
          <w:color w:val="000000" w:themeColor="text1"/>
          <w:sz w:val="24"/>
          <w:szCs w:val="24"/>
        </w:rPr>
        <w:t xml:space="preserve"> je stanovena na základě tržní ceny</w:t>
      </w:r>
      <w:r w:rsidR="00443883" w:rsidRPr="00E76F52">
        <w:rPr>
          <w:rFonts w:ascii="Calibri" w:hAnsi="Calibri" w:cs="Calibri"/>
          <w:color w:val="000000" w:themeColor="text1"/>
          <w:sz w:val="24"/>
          <w:szCs w:val="24"/>
        </w:rPr>
        <w:t xml:space="preserve"> k</w:t>
      </w:r>
      <w:r w:rsidR="00C664AE" w:rsidRPr="00E76F52">
        <w:rPr>
          <w:rFonts w:ascii="Calibri" w:hAnsi="Calibri" w:cs="Calibri"/>
          <w:color w:val="000000" w:themeColor="text1"/>
          <w:sz w:val="24"/>
          <w:szCs w:val="24"/>
        </w:rPr>
        <w:t> </w:t>
      </w:r>
      <w:r w:rsidR="00443883" w:rsidRPr="00E76F52">
        <w:rPr>
          <w:rFonts w:ascii="Calibri" w:hAnsi="Calibri" w:cs="Calibri"/>
          <w:color w:val="000000" w:themeColor="text1"/>
          <w:sz w:val="24"/>
          <w:szCs w:val="24"/>
        </w:rPr>
        <w:t>datu</w:t>
      </w:r>
      <w:r w:rsidR="00C664AE" w:rsidRPr="00E76F52">
        <w:rPr>
          <w:rFonts w:ascii="Calibri" w:hAnsi="Calibri" w:cs="Calibri"/>
          <w:color w:val="000000" w:themeColor="text1"/>
          <w:sz w:val="24"/>
          <w:szCs w:val="24"/>
        </w:rPr>
        <w:t xml:space="preserve"> </w:t>
      </w:r>
      <w:r w:rsidR="00101FFD" w:rsidRPr="00E76F52">
        <w:rPr>
          <w:rFonts w:ascii="Calibri" w:hAnsi="Calibri" w:cs="Calibri"/>
          <w:color w:val="000000" w:themeColor="text1"/>
          <w:sz w:val="24"/>
          <w:szCs w:val="24"/>
        </w:rPr>
        <w:t xml:space="preserve">jejich </w:t>
      </w:r>
      <w:r w:rsidR="00443883" w:rsidRPr="00E76F52">
        <w:rPr>
          <w:rFonts w:ascii="Calibri" w:hAnsi="Calibri" w:cs="Calibri"/>
          <w:color w:val="000000" w:themeColor="text1"/>
          <w:sz w:val="24"/>
          <w:szCs w:val="24"/>
        </w:rPr>
        <w:t>zařazení</w:t>
      </w:r>
      <w:r w:rsidR="00101FFD" w:rsidRPr="00E76F52">
        <w:rPr>
          <w:rFonts w:ascii="Calibri" w:hAnsi="Calibri" w:cs="Calibri"/>
          <w:color w:val="000000" w:themeColor="text1"/>
          <w:sz w:val="24"/>
          <w:szCs w:val="24"/>
        </w:rPr>
        <w:t xml:space="preserve"> </w:t>
      </w:r>
      <w:r w:rsidR="00443883" w:rsidRPr="00E76F52">
        <w:rPr>
          <w:rFonts w:ascii="Calibri" w:hAnsi="Calibri" w:cs="Calibri"/>
          <w:color w:val="000000" w:themeColor="text1"/>
          <w:sz w:val="24"/>
          <w:szCs w:val="24"/>
        </w:rPr>
        <w:t>do majetku</w:t>
      </w:r>
      <w:r w:rsidR="00101FFD" w:rsidRPr="00E76F52">
        <w:rPr>
          <w:rFonts w:ascii="Calibri" w:hAnsi="Calibri" w:cs="Calibri"/>
          <w:color w:val="000000" w:themeColor="text1"/>
          <w:sz w:val="24"/>
          <w:szCs w:val="24"/>
        </w:rPr>
        <w:t xml:space="preserve">), </w:t>
      </w:r>
      <w:r>
        <w:rPr>
          <w:rFonts w:ascii="Calibri" w:hAnsi="Calibri" w:cs="Calibri"/>
          <w:color w:val="000000" w:themeColor="text1"/>
          <w:sz w:val="24"/>
          <w:szCs w:val="24"/>
        </w:rPr>
        <w:t>obdobné je to i s množstvím</w:t>
      </w:r>
      <w:r w:rsidR="00101FFD" w:rsidRPr="00E76F52">
        <w:rPr>
          <w:rFonts w:ascii="Calibri" w:hAnsi="Calibri" w:cs="Calibri"/>
          <w:color w:val="000000" w:themeColor="text1"/>
          <w:sz w:val="24"/>
          <w:szCs w:val="24"/>
        </w:rPr>
        <w:t xml:space="preserve"> povolenek zařazovaných do majetku. Obě tyto skutečnosti j</w:t>
      </w:r>
      <w:r w:rsidR="00443883" w:rsidRPr="00E76F52">
        <w:rPr>
          <w:rFonts w:ascii="Calibri" w:hAnsi="Calibri" w:cs="Calibri"/>
          <w:color w:val="000000" w:themeColor="text1"/>
          <w:sz w:val="24"/>
          <w:szCs w:val="24"/>
        </w:rPr>
        <w:t xml:space="preserve">sou určující </w:t>
      </w:r>
      <w:r w:rsidR="00C664AE" w:rsidRPr="00E76F52">
        <w:rPr>
          <w:rFonts w:ascii="Calibri" w:hAnsi="Calibri" w:cs="Calibri"/>
          <w:color w:val="000000" w:themeColor="text1"/>
          <w:sz w:val="24"/>
          <w:szCs w:val="24"/>
        </w:rPr>
        <w:t xml:space="preserve">nejen </w:t>
      </w:r>
      <w:r w:rsidR="00443883" w:rsidRPr="00E76F52">
        <w:rPr>
          <w:rFonts w:ascii="Calibri" w:hAnsi="Calibri" w:cs="Calibri"/>
          <w:color w:val="000000" w:themeColor="text1"/>
          <w:sz w:val="24"/>
          <w:szCs w:val="24"/>
        </w:rPr>
        <w:t>pro v</w:t>
      </w:r>
      <w:r w:rsidR="00C664AE" w:rsidRPr="00E76F52">
        <w:rPr>
          <w:rFonts w:ascii="Calibri" w:hAnsi="Calibri" w:cs="Calibri"/>
          <w:color w:val="000000" w:themeColor="text1"/>
          <w:sz w:val="24"/>
          <w:szCs w:val="24"/>
        </w:rPr>
        <w:t>ykázání výše</w:t>
      </w:r>
      <w:r w:rsidR="00101FFD" w:rsidRPr="00E76F52">
        <w:rPr>
          <w:rFonts w:ascii="Calibri" w:hAnsi="Calibri" w:cs="Calibri"/>
          <w:color w:val="000000" w:themeColor="text1"/>
          <w:sz w:val="24"/>
          <w:szCs w:val="24"/>
        </w:rPr>
        <w:t xml:space="preserve"> tohoto</w:t>
      </w:r>
      <w:r w:rsidR="00C664AE" w:rsidRPr="00E76F52">
        <w:rPr>
          <w:rFonts w:ascii="Calibri" w:hAnsi="Calibri" w:cs="Calibri"/>
          <w:color w:val="000000" w:themeColor="text1"/>
          <w:sz w:val="24"/>
          <w:szCs w:val="24"/>
        </w:rPr>
        <w:t xml:space="preserve"> majetku</w:t>
      </w:r>
      <w:r w:rsidR="00F337B4" w:rsidRPr="00E76F52">
        <w:rPr>
          <w:rFonts w:ascii="Calibri" w:hAnsi="Calibri" w:cs="Calibri"/>
          <w:color w:val="000000" w:themeColor="text1"/>
          <w:sz w:val="24"/>
          <w:szCs w:val="24"/>
        </w:rPr>
        <w:t>, ale i</w:t>
      </w:r>
      <w:r>
        <w:rPr>
          <w:rFonts w:ascii="Calibri" w:hAnsi="Calibri" w:cs="Calibri"/>
          <w:color w:val="000000" w:themeColor="text1"/>
          <w:sz w:val="24"/>
          <w:szCs w:val="24"/>
        </w:rPr>
        <w:t> </w:t>
      </w:r>
      <w:r w:rsidR="00F337B4" w:rsidRPr="00E76F52">
        <w:rPr>
          <w:rFonts w:ascii="Calibri" w:hAnsi="Calibri" w:cs="Calibri"/>
          <w:color w:val="000000" w:themeColor="text1"/>
          <w:sz w:val="24"/>
          <w:szCs w:val="24"/>
        </w:rPr>
        <w:t>nákladů při</w:t>
      </w:r>
      <w:r w:rsidR="00101FFD" w:rsidRPr="00E76F52">
        <w:rPr>
          <w:rFonts w:ascii="Calibri" w:hAnsi="Calibri" w:cs="Calibri"/>
          <w:color w:val="000000" w:themeColor="text1"/>
          <w:sz w:val="24"/>
          <w:szCs w:val="24"/>
        </w:rPr>
        <w:t xml:space="preserve"> jeho úbytku.</w:t>
      </w:r>
      <w:r w:rsidR="00F337B4" w:rsidRPr="00E76F52">
        <w:rPr>
          <w:rFonts w:ascii="Calibri" w:hAnsi="Calibri" w:cs="Calibri"/>
          <w:color w:val="000000" w:themeColor="text1"/>
          <w:sz w:val="24"/>
          <w:szCs w:val="24"/>
        </w:rPr>
        <w:t xml:space="preserve"> Údaje související s</w:t>
      </w:r>
      <w:r w:rsidR="007405FC" w:rsidRPr="00E76F52">
        <w:rPr>
          <w:rFonts w:ascii="Calibri" w:hAnsi="Calibri" w:cs="Calibri"/>
          <w:color w:val="000000" w:themeColor="text1"/>
          <w:sz w:val="24"/>
          <w:szCs w:val="24"/>
        </w:rPr>
        <w:t xml:space="preserve"> </w:t>
      </w:r>
      <w:r w:rsidR="00F337B4" w:rsidRPr="00E76F52">
        <w:rPr>
          <w:rFonts w:ascii="Calibri" w:hAnsi="Calibri" w:cs="Calibri"/>
          <w:color w:val="000000" w:themeColor="text1"/>
          <w:sz w:val="24"/>
          <w:szCs w:val="24"/>
        </w:rPr>
        <w:t>povolenkami vykázané v</w:t>
      </w:r>
      <w:r w:rsidR="007405FC" w:rsidRPr="00E76F52">
        <w:rPr>
          <w:rFonts w:ascii="Calibri" w:hAnsi="Calibri" w:cs="Calibri"/>
          <w:color w:val="000000" w:themeColor="text1"/>
          <w:sz w:val="24"/>
          <w:szCs w:val="24"/>
        </w:rPr>
        <w:t xml:space="preserve"> </w:t>
      </w:r>
      <w:r w:rsidR="00F337B4" w:rsidRPr="00E76F52">
        <w:rPr>
          <w:rFonts w:ascii="Calibri" w:hAnsi="Calibri" w:cs="Calibri"/>
          <w:color w:val="000000" w:themeColor="text1"/>
          <w:sz w:val="24"/>
          <w:szCs w:val="24"/>
        </w:rPr>
        <w:t>ÚZ MŽP</w:t>
      </w:r>
      <w:r w:rsidR="00C664AE" w:rsidRPr="00E76F52">
        <w:rPr>
          <w:rFonts w:ascii="Calibri" w:hAnsi="Calibri" w:cs="Calibri"/>
          <w:color w:val="000000" w:themeColor="text1"/>
          <w:sz w:val="24"/>
          <w:szCs w:val="24"/>
        </w:rPr>
        <w:t xml:space="preserve"> k 31. prosinci 2013 </w:t>
      </w:r>
      <w:r w:rsidR="00F337B4" w:rsidRPr="00E76F52">
        <w:rPr>
          <w:rFonts w:ascii="Calibri" w:hAnsi="Calibri" w:cs="Calibri"/>
          <w:color w:val="000000" w:themeColor="text1"/>
          <w:sz w:val="24"/>
          <w:szCs w:val="24"/>
        </w:rPr>
        <w:t xml:space="preserve">jsou </w:t>
      </w:r>
      <w:r w:rsidR="00101FFD" w:rsidRPr="00E76F52">
        <w:rPr>
          <w:rFonts w:ascii="Calibri" w:hAnsi="Calibri" w:cs="Calibri"/>
          <w:color w:val="000000" w:themeColor="text1"/>
          <w:sz w:val="24"/>
          <w:szCs w:val="24"/>
        </w:rPr>
        <w:t>proto</w:t>
      </w:r>
      <w:r w:rsidR="00F337B4" w:rsidRPr="00E76F52">
        <w:rPr>
          <w:rFonts w:ascii="Calibri" w:hAnsi="Calibri" w:cs="Calibri"/>
          <w:color w:val="000000" w:themeColor="text1"/>
          <w:sz w:val="24"/>
          <w:szCs w:val="24"/>
        </w:rPr>
        <w:t xml:space="preserve"> bez doplňujících informací</w:t>
      </w:r>
      <w:r w:rsidR="008E2649" w:rsidRPr="00E76F52">
        <w:rPr>
          <w:rFonts w:ascii="Calibri" w:hAnsi="Calibri" w:cs="Calibri"/>
          <w:color w:val="000000" w:themeColor="text1"/>
          <w:sz w:val="24"/>
          <w:szCs w:val="24"/>
        </w:rPr>
        <w:t xml:space="preserve"> málo vypovídající a</w:t>
      </w:r>
      <w:r w:rsidR="00F337B4" w:rsidRPr="00E76F52">
        <w:rPr>
          <w:rFonts w:ascii="Calibri" w:hAnsi="Calibri" w:cs="Calibri"/>
          <w:color w:val="000000" w:themeColor="text1"/>
          <w:sz w:val="24"/>
          <w:szCs w:val="24"/>
        </w:rPr>
        <w:t xml:space="preserve"> obtížně srozumitelné.</w:t>
      </w:r>
    </w:p>
    <w:p w:rsidR="001B09CD" w:rsidRPr="00E76F52" w:rsidRDefault="001B09CD" w:rsidP="00E76F52">
      <w:pPr>
        <w:spacing w:after="0" w:line="240" w:lineRule="auto"/>
        <w:jc w:val="both"/>
        <w:rPr>
          <w:rFonts w:ascii="Calibri" w:hAnsi="Calibri" w:cs="Calibri"/>
          <w:color w:val="000000" w:themeColor="text1"/>
          <w:sz w:val="24"/>
          <w:szCs w:val="24"/>
        </w:rPr>
      </w:pPr>
    </w:p>
    <w:p w:rsidR="00597476" w:rsidRPr="00E76F52" w:rsidRDefault="00597476" w:rsidP="00E76F52">
      <w:pPr>
        <w:spacing w:after="0" w:line="240" w:lineRule="auto"/>
        <w:jc w:val="both"/>
        <w:rPr>
          <w:rFonts w:ascii="Calibri" w:hAnsi="Calibri" w:cs="Calibri"/>
          <w:b/>
          <w:color w:val="000000" w:themeColor="text1"/>
          <w:sz w:val="24"/>
          <w:szCs w:val="24"/>
        </w:rPr>
      </w:pPr>
      <w:r w:rsidRPr="00E76F52">
        <w:rPr>
          <w:rFonts w:ascii="Calibri" w:hAnsi="Calibri" w:cs="Calibri"/>
          <w:b/>
          <w:color w:val="000000" w:themeColor="text1"/>
          <w:sz w:val="24"/>
          <w:szCs w:val="24"/>
        </w:rPr>
        <w:t>1.</w:t>
      </w:r>
      <w:r w:rsidR="00480A89" w:rsidRPr="00E76F52">
        <w:rPr>
          <w:rFonts w:ascii="Calibri" w:hAnsi="Calibri" w:cs="Calibri"/>
          <w:b/>
          <w:color w:val="000000" w:themeColor="text1"/>
          <w:sz w:val="24"/>
          <w:szCs w:val="24"/>
        </w:rPr>
        <w:t>3</w:t>
      </w:r>
      <w:r w:rsidRPr="00E76F52">
        <w:rPr>
          <w:rFonts w:ascii="Calibri" w:hAnsi="Calibri" w:cs="Calibri"/>
          <w:b/>
          <w:color w:val="000000" w:themeColor="text1"/>
          <w:sz w:val="24"/>
          <w:szCs w:val="24"/>
        </w:rPr>
        <w:t xml:space="preserve"> </w:t>
      </w:r>
      <w:r w:rsidR="00D85A99" w:rsidRPr="00E76F52">
        <w:rPr>
          <w:rFonts w:ascii="Calibri" w:hAnsi="Calibri" w:cs="Calibri"/>
          <w:b/>
          <w:color w:val="000000" w:themeColor="text1"/>
          <w:sz w:val="24"/>
          <w:szCs w:val="24"/>
        </w:rPr>
        <w:t>Nesprávnosti v</w:t>
      </w:r>
      <w:r w:rsidR="007405FC" w:rsidRPr="00E76F52">
        <w:rPr>
          <w:rFonts w:ascii="Calibri" w:hAnsi="Calibri" w:cs="Calibri"/>
          <w:b/>
          <w:color w:val="000000" w:themeColor="text1"/>
          <w:sz w:val="24"/>
          <w:szCs w:val="24"/>
        </w:rPr>
        <w:t xml:space="preserve"> </w:t>
      </w:r>
      <w:r w:rsidR="00D85A99" w:rsidRPr="00E76F52">
        <w:rPr>
          <w:rFonts w:ascii="Calibri" w:hAnsi="Calibri" w:cs="Calibri"/>
          <w:b/>
          <w:color w:val="000000" w:themeColor="text1"/>
          <w:sz w:val="24"/>
          <w:szCs w:val="24"/>
        </w:rPr>
        <w:t>ÚZ a hlavní příčiny těchto nesprávností</w:t>
      </w:r>
    </w:p>
    <w:p w:rsidR="005416A5" w:rsidRDefault="005416A5" w:rsidP="00E76F52">
      <w:pPr>
        <w:spacing w:after="0" w:line="240" w:lineRule="auto"/>
        <w:jc w:val="both"/>
        <w:rPr>
          <w:rFonts w:ascii="Calibri" w:eastAsia="Times New Roman" w:hAnsi="Calibri" w:cs="Calibri"/>
          <w:color w:val="000000" w:themeColor="text1"/>
          <w:sz w:val="24"/>
          <w:szCs w:val="24"/>
        </w:rPr>
      </w:pPr>
    </w:p>
    <w:p w:rsidR="007D76C4" w:rsidRDefault="007D76C4"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V</w:t>
      </w:r>
      <w:r w:rsidR="007405FC" w:rsidRPr="00E76F52">
        <w:rPr>
          <w:rFonts w:ascii="Calibri" w:eastAsia="Times New Roman" w:hAnsi="Calibri" w:cs="Calibri"/>
          <w:color w:val="000000" w:themeColor="text1"/>
          <w:sz w:val="24"/>
          <w:szCs w:val="24"/>
        </w:rPr>
        <w:t xml:space="preserve"> </w:t>
      </w:r>
      <w:r w:rsidR="00203C72" w:rsidRPr="00E76F52">
        <w:rPr>
          <w:rFonts w:ascii="Calibri" w:eastAsia="Times New Roman" w:hAnsi="Calibri" w:cs="Calibri"/>
          <w:color w:val="000000" w:themeColor="text1"/>
          <w:sz w:val="24"/>
          <w:szCs w:val="24"/>
        </w:rPr>
        <w:t>účetní závěrce</w:t>
      </w:r>
      <w:r w:rsidRPr="00E76F52">
        <w:rPr>
          <w:rFonts w:ascii="Calibri" w:eastAsia="Times New Roman" w:hAnsi="Calibri" w:cs="Calibri"/>
          <w:color w:val="000000" w:themeColor="text1"/>
          <w:sz w:val="24"/>
          <w:szCs w:val="24"/>
        </w:rPr>
        <w:t xml:space="preserve"> MŽP </w:t>
      </w:r>
      <w:r w:rsidR="00203C72" w:rsidRPr="00E76F52">
        <w:rPr>
          <w:rFonts w:ascii="Calibri" w:eastAsia="Times New Roman" w:hAnsi="Calibri" w:cs="Calibri"/>
          <w:color w:val="000000" w:themeColor="text1"/>
          <w:sz w:val="24"/>
          <w:szCs w:val="24"/>
        </w:rPr>
        <w:t xml:space="preserve">sestavené </w:t>
      </w:r>
      <w:r w:rsidRPr="00E76F52">
        <w:rPr>
          <w:rFonts w:ascii="Calibri" w:eastAsia="Times New Roman" w:hAnsi="Calibri" w:cs="Calibri"/>
          <w:color w:val="000000" w:themeColor="text1"/>
          <w:sz w:val="24"/>
          <w:szCs w:val="24"/>
        </w:rPr>
        <w:t xml:space="preserve">k 31. </w:t>
      </w:r>
      <w:r w:rsidR="002C53CF" w:rsidRPr="00E76F52">
        <w:rPr>
          <w:rFonts w:ascii="Calibri" w:eastAsia="Times New Roman" w:hAnsi="Calibri" w:cs="Calibri"/>
          <w:color w:val="000000" w:themeColor="text1"/>
          <w:sz w:val="24"/>
          <w:szCs w:val="24"/>
        </w:rPr>
        <w:t>prosinci</w:t>
      </w:r>
      <w:r w:rsidRPr="00E76F52">
        <w:rPr>
          <w:rFonts w:ascii="Calibri" w:eastAsia="Times New Roman" w:hAnsi="Calibri" w:cs="Calibri"/>
          <w:color w:val="000000" w:themeColor="text1"/>
          <w:sz w:val="24"/>
          <w:szCs w:val="24"/>
        </w:rPr>
        <w:t xml:space="preserve"> 2013 v</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 xml:space="preserve">údajích za běžné období byla zjištěna celková nesprávnost </w:t>
      </w:r>
      <w:r w:rsidR="00203C72" w:rsidRPr="00E76F52">
        <w:rPr>
          <w:rFonts w:ascii="Calibri" w:eastAsia="Times New Roman" w:hAnsi="Calibri" w:cs="Calibri"/>
          <w:color w:val="000000" w:themeColor="text1"/>
          <w:sz w:val="24"/>
          <w:szCs w:val="24"/>
        </w:rPr>
        <w:t xml:space="preserve">ve výši </w:t>
      </w:r>
      <w:r w:rsidR="006A4D4F" w:rsidRPr="00E76F52">
        <w:rPr>
          <w:rFonts w:ascii="Calibri" w:eastAsia="Times New Roman" w:hAnsi="Calibri" w:cs="Calibri"/>
          <w:color w:val="000000" w:themeColor="text1"/>
          <w:sz w:val="24"/>
          <w:szCs w:val="24"/>
        </w:rPr>
        <w:t>7</w:t>
      </w:r>
      <w:r w:rsidR="007405FC" w:rsidRPr="00E76F52">
        <w:rPr>
          <w:rFonts w:ascii="Calibri" w:eastAsia="Times New Roman" w:hAnsi="Calibri" w:cs="Calibri"/>
          <w:color w:val="000000" w:themeColor="text1"/>
          <w:sz w:val="24"/>
          <w:szCs w:val="24"/>
        </w:rPr>
        <w:t xml:space="preserve"> </w:t>
      </w:r>
      <w:r w:rsidR="006A4D4F" w:rsidRPr="00E76F52">
        <w:rPr>
          <w:rFonts w:ascii="Calibri" w:eastAsia="Times New Roman" w:hAnsi="Calibri" w:cs="Calibri"/>
          <w:color w:val="000000" w:themeColor="text1"/>
          <w:sz w:val="24"/>
          <w:szCs w:val="24"/>
        </w:rPr>
        <w:t>106</w:t>
      </w:r>
      <w:r w:rsidR="007405FC" w:rsidRPr="00E76F52">
        <w:rPr>
          <w:rFonts w:ascii="Calibri" w:eastAsia="Times New Roman" w:hAnsi="Calibri" w:cs="Calibri"/>
          <w:color w:val="000000" w:themeColor="text1"/>
          <w:sz w:val="24"/>
          <w:szCs w:val="24"/>
        </w:rPr>
        <w:t xml:space="preserve"> </w:t>
      </w:r>
      <w:r w:rsidR="006A4D4F" w:rsidRPr="00E76F52">
        <w:rPr>
          <w:rFonts w:ascii="Calibri" w:eastAsia="Times New Roman" w:hAnsi="Calibri" w:cs="Calibri"/>
          <w:color w:val="000000" w:themeColor="text1"/>
          <w:sz w:val="24"/>
          <w:szCs w:val="24"/>
        </w:rPr>
        <w:t>204</w:t>
      </w:r>
      <w:r w:rsidR="007405FC" w:rsidRPr="00E76F52">
        <w:rPr>
          <w:rFonts w:ascii="Calibri" w:eastAsia="Times New Roman" w:hAnsi="Calibri" w:cs="Calibri"/>
          <w:color w:val="000000" w:themeColor="text1"/>
          <w:sz w:val="24"/>
          <w:szCs w:val="24"/>
        </w:rPr>
        <w:t xml:space="preserve"> </w:t>
      </w:r>
      <w:r w:rsidR="006A4D4F" w:rsidRPr="00E76F52">
        <w:rPr>
          <w:rFonts w:ascii="Calibri" w:eastAsia="Times New Roman" w:hAnsi="Calibri" w:cs="Calibri"/>
          <w:color w:val="000000" w:themeColor="text1"/>
          <w:sz w:val="24"/>
          <w:szCs w:val="24"/>
        </w:rPr>
        <w:t xml:space="preserve">874,90 </w:t>
      </w:r>
      <w:r w:rsidRPr="00E76F52">
        <w:rPr>
          <w:rFonts w:ascii="Calibri" w:eastAsia="Times New Roman" w:hAnsi="Calibri" w:cs="Calibri"/>
          <w:color w:val="000000" w:themeColor="text1"/>
          <w:sz w:val="24"/>
          <w:szCs w:val="24"/>
        </w:rPr>
        <w:t>Kč</w:t>
      </w:r>
      <w:r w:rsidR="00A13EC1" w:rsidRPr="00E76F52">
        <w:rPr>
          <w:rStyle w:val="Znakapoznpodarou"/>
          <w:rFonts w:ascii="Calibri" w:eastAsia="Times New Roman" w:hAnsi="Calibri" w:cs="Calibri"/>
          <w:color w:val="000000" w:themeColor="text1"/>
          <w:sz w:val="24"/>
          <w:szCs w:val="24"/>
        </w:rPr>
        <w:footnoteReference w:id="53"/>
      </w:r>
      <w:r w:rsidRPr="00E76F52">
        <w:rPr>
          <w:rFonts w:ascii="Calibri" w:eastAsia="Times New Roman" w:hAnsi="Calibri" w:cs="Calibri"/>
          <w:color w:val="000000" w:themeColor="text1"/>
          <w:sz w:val="24"/>
          <w:szCs w:val="24"/>
        </w:rPr>
        <w:t xml:space="preserve">. Podíl na celkové nesprávnosti má nadhodnocení a podhodnocení </w:t>
      </w:r>
      <w:r w:rsidR="00B020BA" w:rsidRPr="00E76F52">
        <w:rPr>
          <w:rFonts w:ascii="Calibri" w:eastAsia="Times New Roman" w:hAnsi="Calibri" w:cs="Calibri"/>
          <w:color w:val="000000" w:themeColor="text1"/>
          <w:sz w:val="24"/>
          <w:szCs w:val="24"/>
        </w:rPr>
        <w:t xml:space="preserve">položek </w:t>
      </w:r>
      <w:r w:rsidRPr="00E76F52">
        <w:rPr>
          <w:rFonts w:ascii="Calibri" w:eastAsia="Times New Roman" w:hAnsi="Calibri" w:cs="Calibri"/>
          <w:color w:val="000000" w:themeColor="text1"/>
          <w:sz w:val="24"/>
          <w:szCs w:val="24"/>
        </w:rPr>
        <w:t>výkaz</w:t>
      </w:r>
      <w:r w:rsidR="00660AB8" w:rsidRPr="00E76F52">
        <w:rPr>
          <w:rFonts w:ascii="Calibri" w:eastAsia="Times New Roman" w:hAnsi="Calibri" w:cs="Calibri"/>
          <w:color w:val="000000" w:themeColor="text1"/>
          <w:sz w:val="24"/>
          <w:szCs w:val="24"/>
        </w:rPr>
        <w:t>u</w:t>
      </w:r>
      <w:r w:rsidRPr="00E76F52">
        <w:rPr>
          <w:rFonts w:ascii="Calibri" w:eastAsia="Times New Roman" w:hAnsi="Calibri" w:cs="Calibri"/>
          <w:color w:val="000000" w:themeColor="text1"/>
          <w:sz w:val="24"/>
          <w:szCs w:val="24"/>
        </w:rPr>
        <w:t xml:space="preserve"> </w:t>
      </w:r>
      <w:r w:rsidR="0075255E" w:rsidRPr="00E76F52">
        <w:rPr>
          <w:rFonts w:ascii="Calibri" w:eastAsia="Times New Roman" w:hAnsi="Calibri" w:cs="Calibri"/>
          <w:color w:val="000000" w:themeColor="text1"/>
          <w:sz w:val="24"/>
          <w:szCs w:val="24"/>
        </w:rPr>
        <w:t>rozvaha</w:t>
      </w:r>
      <w:r w:rsidRPr="00E76F52">
        <w:rPr>
          <w:rFonts w:ascii="Calibri" w:eastAsia="Times New Roman" w:hAnsi="Calibri" w:cs="Calibri"/>
          <w:color w:val="000000" w:themeColor="text1"/>
          <w:sz w:val="24"/>
          <w:szCs w:val="24"/>
        </w:rPr>
        <w:t xml:space="preserve">, </w:t>
      </w:r>
      <w:r w:rsidR="00FB71E1" w:rsidRPr="00E76F52">
        <w:rPr>
          <w:rFonts w:ascii="Calibri" w:eastAsia="Times New Roman" w:hAnsi="Calibri" w:cs="Calibri"/>
          <w:color w:val="000000" w:themeColor="text1"/>
          <w:sz w:val="24"/>
          <w:szCs w:val="24"/>
        </w:rPr>
        <w:t>v</w:t>
      </w:r>
      <w:r w:rsidRPr="00E76F52">
        <w:rPr>
          <w:rFonts w:ascii="Calibri" w:eastAsia="Times New Roman" w:hAnsi="Calibri" w:cs="Calibri"/>
          <w:color w:val="000000" w:themeColor="text1"/>
          <w:sz w:val="24"/>
          <w:szCs w:val="24"/>
        </w:rPr>
        <w:t>ýkazu zisku a ztráty</w:t>
      </w:r>
      <w:r w:rsidR="00B020BA" w:rsidRPr="00E76F52">
        <w:rPr>
          <w:rFonts w:ascii="Calibri" w:eastAsia="Times New Roman" w:hAnsi="Calibri" w:cs="Calibri"/>
          <w:color w:val="000000" w:themeColor="text1"/>
          <w:sz w:val="24"/>
          <w:szCs w:val="24"/>
        </w:rPr>
        <w:t xml:space="preserve">, </w:t>
      </w:r>
      <w:r w:rsidR="0075255E" w:rsidRPr="00E76F52">
        <w:rPr>
          <w:rFonts w:ascii="Calibri" w:eastAsia="Times New Roman" w:hAnsi="Calibri" w:cs="Calibri"/>
          <w:color w:val="000000" w:themeColor="text1"/>
          <w:sz w:val="24"/>
          <w:szCs w:val="24"/>
        </w:rPr>
        <w:t>příloh</w:t>
      </w:r>
      <w:r w:rsidR="00660AB8" w:rsidRPr="00E76F52">
        <w:rPr>
          <w:rFonts w:ascii="Calibri" w:eastAsia="Times New Roman" w:hAnsi="Calibri" w:cs="Calibri"/>
          <w:color w:val="000000" w:themeColor="text1"/>
          <w:sz w:val="24"/>
          <w:szCs w:val="24"/>
        </w:rPr>
        <w:t>y účetní závěrky,</w:t>
      </w:r>
      <w:r w:rsidR="0075255E" w:rsidRPr="00E76F52">
        <w:rPr>
          <w:rFonts w:ascii="Calibri" w:eastAsia="Times New Roman" w:hAnsi="Calibri" w:cs="Calibri"/>
          <w:color w:val="000000" w:themeColor="text1"/>
          <w:sz w:val="24"/>
          <w:szCs w:val="24"/>
        </w:rPr>
        <w:t xml:space="preserve"> </w:t>
      </w:r>
      <w:r w:rsidR="00B77FE5" w:rsidRPr="00E76F52">
        <w:rPr>
          <w:rFonts w:ascii="Calibri" w:eastAsia="Times New Roman" w:hAnsi="Calibri" w:cs="Calibri"/>
          <w:color w:val="000000" w:themeColor="text1"/>
          <w:sz w:val="24"/>
          <w:szCs w:val="24"/>
        </w:rPr>
        <w:t>přehled</w:t>
      </w:r>
      <w:r w:rsidR="00660AB8" w:rsidRPr="00E76F52">
        <w:rPr>
          <w:rFonts w:ascii="Calibri" w:eastAsia="Times New Roman" w:hAnsi="Calibri" w:cs="Calibri"/>
          <w:color w:val="000000" w:themeColor="text1"/>
          <w:sz w:val="24"/>
          <w:szCs w:val="24"/>
        </w:rPr>
        <w:t>u</w:t>
      </w:r>
      <w:r w:rsidR="00B77FE5"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o peněžních tocích</w:t>
      </w:r>
      <w:r w:rsidR="006A4D4F" w:rsidRPr="00E76F52">
        <w:rPr>
          <w:rFonts w:ascii="Calibri" w:eastAsia="Times New Roman" w:hAnsi="Calibri" w:cs="Calibri"/>
          <w:color w:val="000000" w:themeColor="text1"/>
          <w:sz w:val="24"/>
          <w:szCs w:val="24"/>
        </w:rPr>
        <w:t xml:space="preserve"> a </w:t>
      </w:r>
      <w:r w:rsidR="00B77FE5" w:rsidRPr="00E76F52">
        <w:rPr>
          <w:rFonts w:ascii="Calibri" w:eastAsia="Times New Roman" w:hAnsi="Calibri" w:cs="Calibri"/>
          <w:color w:val="000000" w:themeColor="text1"/>
          <w:sz w:val="24"/>
          <w:szCs w:val="24"/>
        </w:rPr>
        <w:t>přehled</w:t>
      </w:r>
      <w:r w:rsidR="00660AB8" w:rsidRPr="00E76F52">
        <w:rPr>
          <w:rFonts w:ascii="Calibri" w:eastAsia="Times New Roman" w:hAnsi="Calibri" w:cs="Calibri"/>
          <w:color w:val="000000" w:themeColor="text1"/>
          <w:sz w:val="24"/>
          <w:szCs w:val="24"/>
        </w:rPr>
        <w:t>u</w:t>
      </w:r>
      <w:r w:rsidR="00B77FE5" w:rsidRPr="00E76F52">
        <w:rPr>
          <w:rFonts w:ascii="Calibri" w:eastAsia="Times New Roman" w:hAnsi="Calibri" w:cs="Calibri"/>
          <w:color w:val="000000" w:themeColor="text1"/>
          <w:sz w:val="24"/>
          <w:szCs w:val="24"/>
        </w:rPr>
        <w:t xml:space="preserve"> </w:t>
      </w:r>
      <w:r w:rsidR="006A4D4F" w:rsidRPr="00E76F52">
        <w:rPr>
          <w:rFonts w:ascii="Calibri" w:eastAsia="Times New Roman" w:hAnsi="Calibri" w:cs="Calibri"/>
          <w:color w:val="000000" w:themeColor="text1"/>
          <w:sz w:val="24"/>
          <w:szCs w:val="24"/>
        </w:rPr>
        <w:t xml:space="preserve">o </w:t>
      </w:r>
      <w:r w:rsidR="00EC7238" w:rsidRPr="00E76F52">
        <w:rPr>
          <w:rFonts w:ascii="Calibri" w:eastAsia="Times New Roman" w:hAnsi="Calibri" w:cs="Calibri"/>
          <w:color w:val="000000" w:themeColor="text1"/>
          <w:sz w:val="24"/>
          <w:szCs w:val="24"/>
        </w:rPr>
        <w:t xml:space="preserve">změnách vlastního </w:t>
      </w:r>
      <w:r w:rsidR="00721AA0" w:rsidRPr="00E76F52">
        <w:rPr>
          <w:rFonts w:ascii="Calibri" w:eastAsia="Times New Roman" w:hAnsi="Calibri" w:cs="Calibri"/>
          <w:color w:val="000000" w:themeColor="text1"/>
          <w:sz w:val="24"/>
          <w:szCs w:val="24"/>
        </w:rPr>
        <w:t>kapitálu</w:t>
      </w:r>
      <w:r w:rsidR="005716F4">
        <w:rPr>
          <w:rFonts w:ascii="Calibri" w:eastAsia="Times New Roman" w:hAnsi="Calibri" w:cs="Calibri"/>
          <w:color w:val="000000" w:themeColor="text1"/>
          <w:sz w:val="24"/>
          <w:szCs w:val="24"/>
        </w:rPr>
        <w:t>. Zjištěné nesprávnosti vznikly</w:t>
      </w:r>
      <w:r w:rsidRPr="00E76F52">
        <w:rPr>
          <w:rFonts w:ascii="Calibri" w:eastAsia="Times New Roman" w:hAnsi="Calibri" w:cs="Calibri"/>
          <w:color w:val="000000" w:themeColor="text1"/>
          <w:sz w:val="24"/>
          <w:szCs w:val="24"/>
        </w:rPr>
        <w:t xml:space="preserve"> v</w:t>
      </w:r>
      <w:r w:rsidR="004D3FB5" w:rsidRPr="00E76F52">
        <w:rPr>
          <w:rFonts w:ascii="Calibri" w:eastAsia="Times New Roman" w:hAnsi="Calibri" w:cs="Calibri"/>
          <w:color w:val="000000" w:themeColor="text1"/>
          <w:sz w:val="24"/>
          <w:szCs w:val="24"/>
        </w:rPr>
        <w:t> </w:t>
      </w:r>
      <w:r w:rsidRPr="00E76F52">
        <w:rPr>
          <w:rFonts w:ascii="Calibri" w:eastAsia="Times New Roman" w:hAnsi="Calibri" w:cs="Calibri"/>
          <w:color w:val="000000" w:themeColor="text1"/>
          <w:sz w:val="24"/>
          <w:szCs w:val="24"/>
        </w:rPr>
        <w:t>důsledku toho, že MŽP nepostupovalo v</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souladu s</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některými ustanoveními právních předpisů upravující</w:t>
      </w:r>
      <w:r w:rsidR="00721AA0" w:rsidRPr="00E76F52">
        <w:rPr>
          <w:rFonts w:ascii="Calibri" w:eastAsia="Times New Roman" w:hAnsi="Calibri" w:cs="Calibri"/>
          <w:color w:val="000000" w:themeColor="text1"/>
          <w:sz w:val="24"/>
          <w:szCs w:val="24"/>
        </w:rPr>
        <w:t>ch</w:t>
      </w:r>
      <w:r w:rsidRPr="00E76F52">
        <w:rPr>
          <w:rFonts w:ascii="Calibri" w:eastAsia="Times New Roman" w:hAnsi="Calibri" w:cs="Calibri"/>
          <w:color w:val="000000" w:themeColor="text1"/>
          <w:sz w:val="24"/>
          <w:szCs w:val="24"/>
        </w:rPr>
        <w:t xml:space="preserve"> účetnictví a</w:t>
      </w:r>
      <w:r w:rsidR="00473A3A">
        <w:rPr>
          <w:rFonts w:ascii="Calibri" w:eastAsia="Times New Roman" w:hAnsi="Calibri" w:cs="Calibri"/>
          <w:color w:val="000000" w:themeColor="text1"/>
          <w:sz w:val="24"/>
          <w:szCs w:val="24"/>
        </w:rPr>
        <w:t xml:space="preserve"> účetní výkaznictví OSS pro rok </w:t>
      </w:r>
      <w:r w:rsidRPr="00E76F52">
        <w:rPr>
          <w:rFonts w:ascii="Calibri" w:eastAsia="Times New Roman" w:hAnsi="Calibri" w:cs="Calibri"/>
          <w:color w:val="000000" w:themeColor="text1"/>
          <w:sz w:val="24"/>
          <w:szCs w:val="24"/>
        </w:rPr>
        <w:t>2013.</w:t>
      </w:r>
    </w:p>
    <w:p w:rsidR="005416A5" w:rsidRPr="00E76F52" w:rsidRDefault="005416A5" w:rsidP="00E76F52">
      <w:pPr>
        <w:spacing w:after="0" w:line="240" w:lineRule="auto"/>
        <w:jc w:val="both"/>
        <w:rPr>
          <w:rFonts w:ascii="Calibri" w:eastAsia="Times New Roman" w:hAnsi="Calibri" w:cs="Calibri"/>
          <w:color w:val="000000" w:themeColor="text1"/>
          <w:sz w:val="24"/>
          <w:szCs w:val="24"/>
        </w:rPr>
      </w:pPr>
    </w:p>
    <w:p w:rsidR="00265810" w:rsidRPr="00E76F52" w:rsidRDefault="00265810"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Nesprávnosti byly identifikovány dle jednotlivých položek ÚZ s ohledem na jejich obsahové vymezení podle ustanovení § 4 zákona č. 563/1991 Sb., o účetnictví, a podle vyhlášky č.</w:t>
      </w:r>
      <w:r w:rsidR="00574D10" w:rsidRPr="00E76F52">
        <w:rPr>
          <w:rFonts w:ascii="Calibri" w:eastAsia="Times New Roman" w:hAnsi="Calibri" w:cs="Calibri"/>
          <w:color w:val="000000" w:themeColor="text1"/>
          <w:sz w:val="24"/>
          <w:szCs w:val="24"/>
        </w:rPr>
        <w:t> </w:t>
      </w:r>
      <w:r w:rsidRPr="00E76F52">
        <w:rPr>
          <w:rFonts w:ascii="Calibri" w:eastAsia="Times New Roman" w:hAnsi="Calibri" w:cs="Calibri"/>
          <w:color w:val="000000" w:themeColor="text1"/>
          <w:sz w:val="24"/>
          <w:szCs w:val="24"/>
        </w:rPr>
        <w:t xml:space="preserve">410/2009 Sb. </w:t>
      </w:r>
    </w:p>
    <w:p w:rsidR="0081316D" w:rsidRPr="00E76F52" w:rsidRDefault="0081316D" w:rsidP="00E76F52">
      <w:pPr>
        <w:spacing w:after="0" w:line="240" w:lineRule="auto"/>
        <w:jc w:val="both"/>
        <w:rPr>
          <w:rFonts w:ascii="Calibri" w:eastAsia="Times New Roman" w:hAnsi="Calibri" w:cs="Calibri"/>
          <w:color w:val="000000" w:themeColor="text1"/>
          <w:sz w:val="24"/>
          <w:szCs w:val="24"/>
        </w:rPr>
      </w:pPr>
    </w:p>
    <w:p w:rsidR="00265810" w:rsidRPr="00E76F52" w:rsidRDefault="00265810" w:rsidP="00E76F52">
      <w:pPr>
        <w:spacing w:after="0" w:line="240" w:lineRule="auto"/>
        <w:jc w:val="both"/>
        <w:rPr>
          <w:rFonts w:ascii="Calibri" w:eastAsia="Times New Roman" w:hAnsi="Calibri" w:cs="Calibri"/>
          <w:b/>
          <w:color w:val="000000" w:themeColor="text1"/>
          <w:sz w:val="24"/>
          <w:szCs w:val="24"/>
        </w:rPr>
      </w:pPr>
      <w:r w:rsidRPr="00E76F52">
        <w:rPr>
          <w:rFonts w:ascii="Calibri" w:eastAsia="Times New Roman" w:hAnsi="Calibri" w:cs="Calibri"/>
          <w:b/>
          <w:color w:val="000000" w:themeColor="text1"/>
          <w:sz w:val="24"/>
          <w:szCs w:val="24"/>
        </w:rPr>
        <w:t>1.</w:t>
      </w:r>
      <w:r w:rsidR="00480A89" w:rsidRPr="00E76F52">
        <w:rPr>
          <w:rFonts w:ascii="Calibri" w:eastAsia="Times New Roman" w:hAnsi="Calibri" w:cs="Calibri"/>
          <w:b/>
          <w:color w:val="000000" w:themeColor="text1"/>
          <w:sz w:val="24"/>
          <w:szCs w:val="24"/>
        </w:rPr>
        <w:t>3</w:t>
      </w:r>
      <w:r w:rsidRPr="00E76F52">
        <w:rPr>
          <w:rFonts w:ascii="Calibri" w:eastAsia="Times New Roman" w:hAnsi="Calibri" w:cs="Calibri"/>
          <w:b/>
          <w:color w:val="000000" w:themeColor="text1"/>
          <w:sz w:val="24"/>
          <w:szCs w:val="24"/>
        </w:rPr>
        <w:t xml:space="preserve">.1 Správnost a úplnost účetnictví </w:t>
      </w:r>
    </w:p>
    <w:p w:rsidR="005416A5" w:rsidRDefault="005416A5" w:rsidP="00E76F52">
      <w:pPr>
        <w:spacing w:after="0" w:line="240" w:lineRule="auto"/>
        <w:jc w:val="both"/>
        <w:rPr>
          <w:rFonts w:ascii="Calibri" w:eastAsia="Times New Roman" w:hAnsi="Calibri" w:cs="Calibri"/>
          <w:color w:val="000000" w:themeColor="text1"/>
          <w:sz w:val="24"/>
          <w:szCs w:val="24"/>
        </w:rPr>
      </w:pPr>
    </w:p>
    <w:p w:rsidR="005668F4" w:rsidRDefault="007D76C4"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MŽP nevedlo v</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 xml:space="preserve">roce 2013 správné </w:t>
      </w:r>
      <w:r w:rsidR="00721AA0" w:rsidRPr="00E76F52">
        <w:rPr>
          <w:rFonts w:ascii="Calibri" w:eastAsia="Times New Roman" w:hAnsi="Calibri" w:cs="Calibri"/>
          <w:color w:val="000000" w:themeColor="text1"/>
          <w:sz w:val="24"/>
          <w:szCs w:val="24"/>
        </w:rPr>
        <w:t xml:space="preserve">a úplné </w:t>
      </w:r>
      <w:r w:rsidRPr="00E76F52">
        <w:rPr>
          <w:rFonts w:ascii="Calibri" w:eastAsia="Times New Roman" w:hAnsi="Calibri" w:cs="Calibri"/>
          <w:color w:val="000000" w:themeColor="text1"/>
          <w:sz w:val="24"/>
          <w:szCs w:val="24"/>
        </w:rPr>
        <w:t>účetnictví ve smyslu zákona o účetnictví a dalších právních předpisů</w:t>
      </w:r>
      <w:r w:rsidR="00E837DF" w:rsidRPr="00E76F52">
        <w:rPr>
          <w:rFonts w:ascii="Calibri" w:eastAsia="Times New Roman" w:hAnsi="Calibri" w:cs="Calibri"/>
          <w:color w:val="000000" w:themeColor="text1"/>
          <w:sz w:val="24"/>
          <w:szCs w:val="24"/>
        </w:rPr>
        <w:t>, neboť v</w:t>
      </w:r>
      <w:r w:rsidR="007405FC" w:rsidRPr="00E76F52">
        <w:rPr>
          <w:rFonts w:ascii="Calibri" w:eastAsia="Times New Roman" w:hAnsi="Calibri" w:cs="Calibri"/>
          <w:color w:val="000000" w:themeColor="text1"/>
          <w:sz w:val="24"/>
          <w:szCs w:val="24"/>
        </w:rPr>
        <w:t xml:space="preserve"> </w:t>
      </w:r>
      <w:r w:rsidR="00E837DF" w:rsidRPr="00E76F52">
        <w:rPr>
          <w:rFonts w:ascii="Calibri" w:eastAsia="Times New Roman" w:hAnsi="Calibri" w:cs="Calibri"/>
          <w:color w:val="000000" w:themeColor="text1"/>
          <w:sz w:val="24"/>
          <w:szCs w:val="24"/>
        </w:rPr>
        <w:t>některých případech nedodrželo obsahové vymezení položek ÚZ stanovené vyhláškou č. 410/2009 Sb</w:t>
      </w:r>
      <w:r w:rsidRPr="00E76F52">
        <w:rPr>
          <w:rFonts w:ascii="Calibri" w:eastAsia="Times New Roman" w:hAnsi="Calibri" w:cs="Calibri"/>
          <w:color w:val="000000" w:themeColor="text1"/>
          <w:sz w:val="24"/>
          <w:szCs w:val="24"/>
        </w:rPr>
        <w:t xml:space="preserve">. Nedostatky byly zjištěny </w:t>
      </w:r>
      <w:r w:rsidR="00393280" w:rsidRPr="00E76F52">
        <w:rPr>
          <w:rFonts w:ascii="Calibri" w:eastAsia="Times New Roman" w:hAnsi="Calibri" w:cs="Calibri"/>
          <w:color w:val="000000" w:themeColor="text1"/>
          <w:sz w:val="24"/>
          <w:szCs w:val="24"/>
        </w:rPr>
        <w:t>zejména v</w:t>
      </w:r>
      <w:r w:rsidR="007405FC" w:rsidRPr="00E76F52">
        <w:rPr>
          <w:rFonts w:ascii="Calibri" w:eastAsia="Times New Roman" w:hAnsi="Calibri" w:cs="Calibri"/>
          <w:color w:val="000000" w:themeColor="text1"/>
          <w:sz w:val="24"/>
          <w:szCs w:val="24"/>
        </w:rPr>
        <w:t xml:space="preserve"> </w:t>
      </w:r>
      <w:r w:rsidR="00393280" w:rsidRPr="00E76F52">
        <w:rPr>
          <w:rFonts w:ascii="Calibri" w:eastAsia="Times New Roman" w:hAnsi="Calibri" w:cs="Calibri"/>
          <w:color w:val="000000" w:themeColor="text1"/>
          <w:sz w:val="24"/>
          <w:szCs w:val="24"/>
        </w:rPr>
        <w:t>níže uvedených případech:</w:t>
      </w:r>
    </w:p>
    <w:p w:rsidR="005416A5" w:rsidRPr="00E76F52" w:rsidRDefault="005416A5" w:rsidP="00E76F52">
      <w:pPr>
        <w:spacing w:after="0" w:line="240" w:lineRule="auto"/>
        <w:jc w:val="both"/>
        <w:rPr>
          <w:rFonts w:ascii="Calibri" w:eastAsia="Times New Roman" w:hAnsi="Calibri" w:cs="Calibri"/>
          <w:color w:val="000000" w:themeColor="text1"/>
          <w:sz w:val="24"/>
          <w:szCs w:val="24"/>
        </w:rPr>
      </w:pPr>
    </w:p>
    <w:p w:rsidR="00A47861" w:rsidRPr="00E76F52" w:rsidRDefault="00A47861"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T</w:t>
      </w:r>
      <w:r w:rsidR="00483F60" w:rsidRPr="00E76F52">
        <w:rPr>
          <w:rFonts w:ascii="Calibri" w:hAnsi="Calibri" w:cs="Calibri"/>
          <w:b/>
          <w:i/>
          <w:color w:val="000000" w:themeColor="text1"/>
          <w:sz w:val="24"/>
          <w:szCs w:val="24"/>
        </w:rPr>
        <w:t>ransfery</w:t>
      </w:r>
      <w:r w:rsidR="008F6A9B" w:rsidRPr="00E76F52">
        <w:rPr>
          <w:rStyle w:val="Znakapoznpodarou"/>
          <w:rFonts w:ascii="Calibri" w:hAnsi="Calibri" w:cs="Calibri"/>
          <w:b/>
          <w:i/>
          <w:color w:val="000000" w:themeColor="text1"/>
          <w:sz w:val="24"/>
          <w:szCs w:val="24"/>
        </w:rPr>
        <w:footnoteReference w:id="54"/>
      </w:r>
      <w:r w:rsidR="00BB0151" w:rsidRPr="00E76F52">
        <w:rPr>
          <w:rFonts w:ascii="Calibri" w:hAnsi="Calibri" w:cs="Calibri"/>
          <w:b/>
          <w:i/>
          <w:color w:val="000000" w:themeColor="text1"/>
          <w:sz w:val="24"/>
          <w:szCs w:val="24"/>
        </w:rPr>
        <w:t xml:space="preserve"> </w:t>
      </w:r>
      <w:r w:rsidRPr="00E76F52">
        <w:rPr>
          <w:rFonts w:ascii="Calibri" w:hAnsi="Calibri" w:cs="Calibri"/>
          <w:b/>
          <w:i/>
          <w:color w:val="000000" w:themeColor="text1"/>
          <w:sz w:val="24"/>
          <w:szCs w:val="24"/>
        </w:rPr>
        <w:t>financované ze státního rozpočtu</w:t>
      </w:r>
    </w:p>
    <w:p w:rsidR="005416A5" w:rsidRPr="005416A5" w:rsidRDefault="005416A5" w:rsidP="00E76F52">
      <w:pPr>
        <w:spacing w:after="0" w:line="240" w:lineRule="auto"/>
        <w:jc w:val="both"/>
        <w:rPr>
          <w:rFonts w:ascii="Calibri" w:hAnsi="Calibri" w:cs="Calibri"/>
          <w:b/>
          <w:color w:val="000000" w:themeColor="text1"/>
          <w:sz w:val="24"/>
          <w:szCs w:val="24"/>
        </w:rPr>
      </w:pPr>
    </w:p>
    <w:p w:rsidR="00483F60" w:rsidRPr="005416A5" w:rsidRDefault="009E1D26" w:rsidP="005416A5">
      <w:pPr>
        <w:pStyle w:val="Odstavecseseznamem"/>
        <w:numPr>
          <w:ilvl w:val="0"/>
          <w:numId w:val="38"/>
        </w:numPr>
        <w:spacing w:after="0" w:line="240" w:lineRule="auto"/>
        <w:ind w:left="284" w:hanging="284"/>
        <w:jc w:val="both"/>
        <w:rPr>
          <w:rFonts w:ascii="Calibri" w:hAnsi="Calibri" w:cs="Calibri"/>
          <w:b/>
          <w:i/>
          <w:color w:val="000000" w:themeColor="text1"/>
          <w:sz w:val="24"/>
          <w:szCs w:val="24"/>
        </w:rPr>
      </w:pPr>
      <w:r w:rsidRPr="005416A5">
        <w:rPr>
          <w:rFonts w:ascii="Calibri" w:hAnsi="Calibri" w:cs="Calibri"/>
          <w:b/>
          <w:i/>
          <w:color w:val="000000" w:themeColor="text1"/>
          <w:sz w:val="24"/>
          <w:szCs w:val="24"/>
        </w:rPr>
        <w:t>N</w:t>
      </w:r>
      <w:r w:rsidR="0054627F" w:rsidRPr="005416A5">
        <w:rPr>
          <w:rFonts w:ascii="Calibri" w:hAnsi="Calibri" w:cs="Calibri"/>
          <w:b/>
          <w:i/>
          <w:color w:val="000000" w:themeColor="text1"/>
          <w:sz w:val="24"/>
          <w:szCs w:val="24"/>
        </w:rPr>
        <w:t xml:space="preserve">árodní </w:t>
      </w:r>
      <w:r w:rsidR="00A47861" w:rsidRPr="005416A5">
        <w:rPr>
          <w:rFonts w:ascii="Calibri" w:hAnsi="Calibri" w:cs="Calibri"/>
          <w:b/>
          <w:i/>
          <w:color w:val="000000" w:themeColor="text1"/>
          <w:sz w:val="24"/>
          <w:szCs w:val="24"/>
        </w:rPr>
        <w:t xml:space="preserve">transfery </w:t>
      </w:r>
      <w:r w:rsidR="00BB0151" w:rsidRPr="005416A5">
        <w:rPr>
          <w:rFonts w:ascii="Calibri" w:hAnsi="Calibri" w:cs="Calibri"/>
          <w:b/>
          <w:i/>
          <w:color w:val="000000" w:themeColor="text1"/>
          <w:sz w:val="24"/>
          <w:szCs w:val="24"/>
        </w:rPr>
        <w:t>určené k</w:t>
      </w:r>
      <w:r w:rsidR="007405FC" w:rsidRPr="005416A5">
        <w:rPr>
          <w:rFonts w:ascii="Calibri" w:hAnsi="Calibri" w:cs="Calibri"/>
          <w:b/>
          <w:i/>
          <w:color w:val="000000" w:themeColor="text1"/>
          <w:sz w:val="24"/>
          <w:szCs w:val="24"/>
        </w:rPr>
        <w:t xml:space="preserve"> </w:t>
      </w:r>
      <w:r w:rsidR="00BB0151" w:rsidRPr="005416A5">
        <w:rPr>
          <w:rFonts w:ascii="Calibri" w:hAnsi="Calibri" w:cs="Calibri"/>
          <w:b/>
          <w:i/>
          <w:color w:val="000000" w:themeColor="text1"/>
          <w:sz w:val="24"/>
          <w:szCs w:val="24"/>
        </w:rPr>
        <w:t>finančnímu vypořádání</w:t>
      </w:r>
      <w:r w:rsidR="009E56F9" w:rsidRPr="005416A5">
        <w:rPr>
          <w:rFonts w:ascii="Calibri" w:hAnsi="Calibri" w:cs="Calibri"/>
          <w:b/>
          <w:i/>
          <w:color w:val="000000" w:themeColor="text1"/>
          <w:sz w:val="24"/>
          <w:szCs w:val="24"/>
        </w:rPr>
        <w:t xml:space="preserve"> </w:t>
      </w:r>
    </w:p>
    <w:p w:rsidR="005416A5" w:rsidRDefault="005416A5" w:rsidP="00E76F52">
      <w:pPr>
        <w:spacing w:after="0" w:line="240" w:lineRule="auto"/>
        <w:jc w:val="both"/>
        <w:rPr>
          <w:rFonts w:ascii="Calibri" w:hAnsi="Calibri" w:cs="Calibri"/>
          <w:color w:val="000000" w:themeColor="text1"/>
          <w:sz w:val="24"/>
          <w:szCs w:val="24"/>
        </w:rPr>
      </w:pPr>
    </w:p>
    <w:p w:rsidR="009C4CCA" w:rsidRDefault="00A47861"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MŽP 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roce 2013</w:t>
      </w:r>
      <w:r w:rsidR="00E33DD9" w:rsidRPr="00E76F52">
        <w:rPr>
          <w:rFonts w:ascii="Calibri" w:hAnsi="Calibri" w:cs="Calibri"/>
          <w:color w:val="000000" w:themeColor="text1"/>
          <w:sz w:val="24"/>
          <w:szCs w:val="24"/>
        </w:rPr>
        <w:t xml:space="preserve"> poskytovalo</w:t>
      </w:r>
      <w:r w:rsidRPr="00E76F52">
        <w:rPr>
          <w:rFonts w:ascii="Calibri" w:hAnsi="Calibri" w:cs="Calibri"/>
          <w:color w:val="000000" w:themeColor="text1"/>
          <w:sz w:val="24"/>
          <w:szCs w:val="24"/>
        </w:rPr>
        <w:t xml:space="preserve"> ze státního rozpočtu transfery </w:t>
      </w:r>
      <w:r w:rsidR="00622ACF" w:rsidRPr="00E76F52">
        <w:rPr>
          <w:rFonts w:ascii="Calibri" w:hAnsi="Calibri" w:cs="Calibri"/>
          <w:color w:val="000000" w:themeColor="text1"/>
          <w:sz w:val="24"/>
          <w:szCs w:val="24"/>
        </w:rPr>
        <w:t xml:space="preserve">např. </w:t>
      </w:r>
      <w:r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rámci financování programů</w:t>
      </w:r>
      <w:r w:rsidR="00622ACF" w:rsidRPr="00E76F52">
        <w:rPr>
          <w:rFonts w:ascii="Calibri" w:hAnsi="Calibri" w:cs="Calibri"/>
          <w:color w:val="000000" w:themeColor="text1"/>
          <w:sz w:val="24"/>
          <w:szCs w:val="24"/>
        </w:rPr>
        <w:t xml:space="preserve">, </w:t>
      </w:r>
      <w:r w:rsidR="001847B0">
        <w:rPr>
          <w:rFonts w:ascii="Calibri" w:hAnsi="Calibri" w:cs="Calibri"/>
          <w:color w:val="000000" w:themeColor="text1"/>
          <w:sz w:val="24"/>
          <w:szCs w:val="24"/>
        </w:rPr>
        <w:t>ve formě příspěvků</w:t>
      </w:r>
      <w:r w:rsidRPr="00E76F52">
        <w:rPr>
          <w:rFonts w:ascii="Calibri" w:hAnsi="Calibri" w:cs="Calibri"/>
          <w:color w:val="000000" w:themeColor="text1"/>
          <w:sz w:val="24"/>
          <w:szCs w:val="24"/>
        </w:rPr>
        <w:t xml:space="preserve"> zoologickým zahradám</w:t>
      </w:r>
      <w:r w:rsidR="00FC28E7" w:rsidRPr="00E76F52">
        <w:rPr>
          <w:rFonts w:ascii="Calibri" w:hAnsi="Calibri" w:cs="Calibri"/>
          <w:color w:val="000000" w:themeColor="text1"/>
          <w:sz w:val="24"/>
          <w:szCs w:val="24"/>
        </w:rPr>
        <w:t xml:space="preserve"> nebo </w:t>
      </w:r>
      <w:r w:rsidR="001847B0">
        <w:rPr>
          <w:rFonts w:ascii="Calibri" w:hAnsi="Calibri" w:cs="Calibri"/>
          <w:color w:val="000000" w:themeColor="text1"/>
          <w:sz w:val="24"/>
          <w:szCs w:val="24"/>
        </w:rPr>
        <w:t xml:space="preserve">v podobě </w:t>
      </w:r>
      <w:r w:rsidR="00FC28E7" w:rsidRPr="00E76F52">
        <w:rPr>
          <w:rFonts w:ascii="Calibri" w:hAnsi="Calibri" w:cs="Calibri"/>
          <w:color w:val="000000" w:themeColor="text1"/>
          <w:sz w:val="24"/>
          <w:szCs w:val="24"/>
        </w:rPr>
        <w:t>národní</w:t>
      </w:r>
      <w:r w:rsidR="001847B0">
        <w:rPr>
          <w:rFonts w:ascii="Calibri" w:hAnsi="Calibri" w:cs="Calibri"/>
          <w:color w:val="000000" w:themeColor="text1"/>
          <w:sz w:val="24"/>
          <w:szCs w:val="24"/>
        </w:rPr>
        <w:t>ho</w:t>
      </w:r>
      <w:r w:rsidR="00FC28E7" w:rsidRPr="00E76F52">
        <w:rPr>
          <w:rFonts w:ascii="Calibri" w:hAnsi="Calibri" w:cs="Calibri"/>
          <w:color w:val="000000" w:themeColor="text1"/>
          <w:sz w:val="24"/>
          <w:szCs w:val="24"/>
        </w:rPr>
        <w:t xml:space="preserve"> podíl</w:t>
      </w:r>
      <w:r w:rsidR="001847B0">
        <w:rPr>
          <w:rFonts w:ascii="Calibri" w:hAnsi="Calibri" w:cs="Calibri"/>
          <w:color w:val="000000" w:themeColor="text1"/>
          <w:sz w:val="24"/>
          <w:szCs w:val="24"/>
        </w:rPr>
        <w:t>u</w:t>
      </w:r>
      <w:r w:rsidR="00FC28E7" w:rsidRPr="00E76F52">
        <w:rPr>
          <w:rFonts w:ascii="Calibri" w:hAnsi="Calibri" w:cs="Calibri"/>
          <w:color w:val="000000" w:themeColor="text1"/>
          <w:sz w:val="24"/>
          <w:szCs w:val="24"/>
        </w:rPr>
        <w:t xml:space="preserve"> financování projektů spolufinancovaných z</w:t>
      </w:r>
      <w:r w:rsidR="007405FC" w:rsidRPr="00E76F52">
        <w:rPr>
          <w:rFonts w:ascii="Calibri" w:hAnsi="Calibri" w:cs="Calibri"/>
          <w:color w:val="000000" w:themeColor="text1"/>
          <w:sz w:val="24"/>
          <w:szCs w:val="24"/>
        </w:rPr>
        <w:t xml:space="preserve"> </w:t>
      </w:r>
      <w:r w:rsidR="00FC28E7" w:rsidRPr="00E76F52">
        <w:rPr>
          <w:rFonts w:ascii="Calibri" w:hAnsi="Calibri" w:cs="Calibri"/>
          <w:color w:val="000000" w:themeColor="text1"/>
          <w:sz w:val="24"/>
          <w:szCs w:val="24"/>
        </w:rPr>
        <w:t xml:space="preserve">rozpočtu Evropské unie. </w:t>
      </w:r>
      <w:r w:rsidR="00F86224" w:rsidRPr="00E76F52">
        <w:rPr>
          <w:rFonts w:ascii="Calibri" w:hAnsi="Calibri" w:cs="Calibri"/>
          <w:color w:val="000000" w:themeColor="text1"/>
          <w:sz w:val="24"/>
          <w:szCs w:val="24"/>
        </w:rPr>
        <w:t xml:space="preserve">MŽP o </w:t>
      </w:r>
      <w:r w:rsidR="00536828" w:rsidRPr="00E76F52">
        <w:rPr>
          <w:rFonts w:ascii="Calibri" w:hAnsi="Calibri" w:cs="Calibri"/>
          <w:color w:val="000000" w:themeColor="text1"/>
          <w:sz w:val="24"/>
          <w:szCs w:val="24"/>
        </w:rPr>
        <w:t>těchto</w:t>
      </w:r>
      <w:r w:rsidR="00F86224" w:rsidRPr="00E76F52">
        <w:rPr>
          <w:rFonts w:ascii="Calibri" w:hAnsi="Calibri" w:cs="Calibri"/>
          <w:color w:val="000000" w:themeColor="text1"/>
          <w:sz w:val="24"/>
          <w:szCs w:val="24"/>
        </w:rPr>
        <w:t xml:space="preserve"> transferech účtovalo ve smyslu ČÚS č. </w:t>
      </w:r>
      <w:r w:rsidR="00F86224" w:rsidRPr="000A469B">
        <w:rPr>
          <w:rFonts w:ascii="Calibri" w:hAnsi="Calibri" w:cs="Calibri"/>
          <w:color w:val="000000" w:themeColor="text1"/>
          <w:sz w:val="24"/>
          <w:szCs w:val="24"/>
        </w:rPr>
        <w:t>703</w:t>
      </w:r>
      <w:r w:rsidR="00E33DD9" w:rsidRPr="00E76F52">
        <w:rPr>
          <w:rFonts w:ascii="Calibri" w:hAnsi="Calibri" w:cs="Calibri"/>
          <w:i/>
          <w:color w:val="000000" w:themeColor="text1"/>
          <w:sz w:val="24"/>
          <w:szCs w:val="24"/>
        </w:rPr>
        <w:t xml:space="preserve"> </w:t>
      </w:r>
      <w:r w:rsidR="00D54FE1">
        <w:rPr>
          <w:rFonts w:ascii="Calibri" w:hAnsi="Calibri" w:cs="Calibri"/>
          <w:i/>
          <w:color w:val="000000" w:themeColor="text1"/>
          <w:sz w:val="24"/>
          <w:szCs w:val="24"/>
        </w:rPr>
        <w:t>–</w:t>
      </w:r>
      <w:r w:rsidR="00E33DD9" w:rsidRPr="00E76F52">
        <w:rPr>
          <w:rFonts w:ascii="Calibri" w:hAnsi="Calibri" w:cs="Calibri"/>
          <w:i/>
          <w:color w:val="000000" w:themeColor="text1"/>
          <w:sz w:val="24"/>
          <w:szCs w:val="24"/>
        </w:rPr>
        <w:t xml:space="preserve"> Transfery</w:t>
      </w:r>
      <w:r w:rsidR="00F86224" w:rsidRPr="00E76F52">
        <w:rPr>
          <w:rFonts w:ascii="Calibri" w:hAnsi="Calibri" w:cs="Calibri"/>
          <w:color w:val="000000" w:themeColor="text1"/>
          <w:sz w:val="24"/>
          <w:szCs w:val="24"/>
        </w:rPr>
        <w:t xml:space="preserve"> jako poskytovatel transferu bez povinnosti poskytnutý transfer finančně vypořádat</w:t>
      </w:r>
      <w:r w:rsidR="00A45212" w:rsidRPr="00E76F52">
        <w:rPr>
          <w:rFonts w:ascii="Calibri" w:hAnsi="Calibri" w:cs="Calibri"/>
          <w:color w:val="000000" w:themeColor="text1"/>
          <w:sz w:val="24"/>
          <w:szCs w:val="24"/>
        </w:rPr>
        <w:t>. Z</w:t>
      </w:r>
      <w:r w:rsidR="007405FC" w:rsidRPr="00E76F52">
        <w:rPr>
          <w:rFonts w:ascii="Calibri" w:hAnsi="Calibri" w:cs="Calibri"/>
          <w:color w:val="000000" w:themeColor="text1"/>
          <w:sz w:val="24"/>
          <w:szCs w:val="24"/>
        </w:rPr>
        <w:t xml:space="preserve"> </w:t>
      </w:r>
      <w:r w:rsidR="00F86224" w:rsidRPr="00E76F52">
        <w:rPr>
          <w:rFonts w:ascii="Calibri" w:hAnsi="Calibri" w:cs="Calibri"/>
          <w:color w:val="000000" w:themeColor="text1"/>
          <w:sz w:val="24"/>
          <w:szCs w:val="24"/>
        </w:rPr>
        <w:t>podmínek rozhodnutí o poskytnutí dotace</w:t>
      </w:r>
      <w:r w:rsidR="00E33DD9" w:rsidRPr="00E76F52">
        <w:rPr>
          <w:rFonts w:ascii="Calibri" w:hAnsi="Calibri" w:cs="Calibri"/>
          <w:color w:val="000000" w:themeColor="text1"/>
          <w:sz w:val="24"/>
          <w:szCs w:val="24"/>
        </w:rPr>
        <w:t xml:space="preserve"> bylo</w:t>
      </w:r>
      <w:r w:rsidR="007F762F" w:rsidRPr="00E76F52">
        <w:rPr>
          <w:rFonts w:ascii="Calibri" w:hAnsi="Calibri" w:cs="Calibri"/>
          <w:color w:val="000000" w:themeColor="text1"/>
          <w:sz w:val="24"/>
          <w:szCs w:val="24"/>
        </w:rPr>
        <w:t xml:space="preserve"> ale</w:t>
      </w:r>
      <w:r w:rsidR="00E33DD9" w:rsidRPr="00E76F52">
        <w:rPr>
          <w:rFonts w:ascii="Calibri" w:hAnsi="Calibri" w:cs="Calibri"/>
          <w:color w:val="000000" w:themeColor="text1"/>
          <w:sz w:val="24"/>
          <w:szCs w:val="24"/>
        </w:rPr>
        <w:t xml:space="preserve"> zřejmé,</w:t>
      </w:r>
      <w:r w:rsidR="00BE5437" w:rsidRPr="00E76F52">
        <w:rPr>
          <w:rFonts w:ascii="Calibri" w:hAnsi="Calibri" w:cs="Calibri"/>
          <w:color w:val="000000" w:themeColor="text1"/>
          <w:sz w:val="24"/>
          <w:szCs w:val="24"/>
        </w:rPr>
        <w:t xml:space="preserve"> že se jednalo</w:t>
      </w:r>
      <w:r w:rsidR="00F86224" w:rsidRPr="00E76F52">
        <w:rPr>
          <w:rFonts w:ascii="Calibri" w:hAnsi="Calibri" w:cs="Calibri"/>
          <w:color w:val="000000" w:themeColor="text1"/>
          <w:sz w:val="24"/>
          <w:szCs w:val="24"/>
        </w:rPr>
        <w:t xml:space="preserve"> o</w:t>
      </w:r>
      <w:r w:rsidR="007405FC" w:rsidRPr="00E76F52">
        <w:rPr>
          <w:rFonts w:ascii="Calibri" w:hAnsi="Calibri" w:cs="Calibri"/>
          <w:color w:val="000000" w:themeColor="text1"/>
          <w:sz w:val="24"/>
          <w:szCs w:val="24"/>
        </w:rPr>
        <w:t xml:space="preserve"> </w:t>
      </w:r>
      <w:r w:rsidR="00F86224" w:rsidRPr="00E76F52">
        <w:rPr>
          <w:rFonts w:ascii="Calibri" w:hAnsi="Calibri" w:cs="Calibri"/>
          <w:color w:val="000000" w:themeColor="text1"/>
          <w:sz w:val="24"/>
          <w:szCs w:val="24"/>
        </w:rPr>
        <w:t>transfery určené k</w:t>
      </w:r>
      <w:r w:rsidR="007405FC" w:rsidRPr="00E76F52">
        <w:rPr>
          <w:rFonts w:ascii="Calibri" w:hAnsi="Calibri" w:cs="Calibri"/>
          <w:color w:val="000000" w:themeColor="text1"/>
          <w:sz w:val="24"/>
          <w:szCs w:val="24"/>
        </w:rPr>
        <w:t xml:space="preserve"> </w:t>
      </w:r>
      <w:r w:rsidR="00F86224" w:rsidRPr="00E76F52">
        <w:rPr>
          <w:rFonts w:ascii="Calibri" w:hAnsi="Calibri" w:cs="Calibri"/>
          <w:color w:val="000000" w:themeColor="text1"/>
          <w:sz w:val="24"/>
          <w:szCs w:val="24"/>
        </w:rPr>
        <w:t>finančnímu vypořádání</w:t>
      </w:r>
      <w:r w:rsidR="00D72A1C">
        <w:rPr>
          <w:rFonts w:ascii="Calibri" w:hAnsi="Calibri" w:cs="Calibri"/>
          <w:color w:val="000000" w:themeColor="text1"/>
          <w:sz w:val="24"/>
          <w:szCs w:val="24"/>
        </w:rPr>
        <w:t>,</w:t>
      </w:r>
      <w:r w:rsidR="007371C4" w:rsidRPr="00E76F52">
        <w:rPr>
          <w:rFonts w:ascii="Calibri" w:hAnsi="Calibri" w:cs="Calibri"/>
          <w:color w:val="000000" w:themeColor="text1"/>
          <w:sz w:val="24"/>
          <w:szCs w:val="24"/>
        </w:rPr>
        <w:t xml:space="preserve"> to</w:t>
      </w:r>
      <w:r w:rsidR="001847B0">
        <w:rPr>
          <w:rFonts w:ascii="Calibri" w:hAnsi="Calibri" w:cs="Calibri"/>
          <w:color w:val="000000" w:themeColor="text1"/>
          <w:sz w:val="24"/>
          <w:szCs w:val="24"/>
        </w:rPr>
        <w:t xml:space="preserve"> však</w:t>
      </w:r>
      <w:r w:rsidR="007371C4" w:rsidRPr="00E76F52">
        <w:rPr>
          <w:rFonts w:ascii="Calibri" w:hAnsi="Calibri" w:cs="Calibri"/>
          <w:color w:val="000000" w:themeColor="text1"/>
          <w:sz w:val="24"/>
          <w:szCs w:val="24"/>
        </w:rPr>
        <w:t xml:space="preserve"> nebylo k datu 31. prosince 2013</w:t>
      </w:r>
      <w:r w:rsidR="00101CF4" w:rsidRPr="00E76F52">
        <w:rPr>
          <w:rFonts w:ascii="Calibri" w:hAnsi="Calibri" w:cs="Calibri"/>
          <w:color w:val="000000" w:themeColor="text1"/>
          <w:sz w:val="24"/>
          <w:szCs w:val="24"/>
        </w:rPr>
        <w:t xml:space="preserve"> provedeno</w:t>
      </w:r>
      <w:r w:rsidR="007371C4" w:rsidRPr="00E76F52">
        <w:rPr>
          <w:rFonts w:ascii="Calibri" w:hAnsi="Calibri" w:cs="Calibri"/>
          <w:color w:val="000000" w:themeColor="text1"/>
          <w:sz w:val="24"/>
          <w:szCs w:val="24"/>
        </w:rPr>
        <w:t>.</w:t>
      </w:r>
      <w:r w:rsidR="0054627F" w:rsidRPr="00E76F52">
        <w:rPr>
          <w:rFonts w:ascii="Calibri" w:hAnsi="Calibri" w:cs="Calibri"/>
          <w:color w:val="000000" w:themeColor="text1"/>
          <w:sz w:val="24"/>
          <w:szCs w:val="24"/>
        </w:rPr>
        <w:t xml:space="preserve"> </w:t>
      </w:r>
      <w:r w:rsidR="009C4CCA" w:rsidRPr="00E76F52">
        <w:rPr>
          <w:rFonts w:ascii="Calibri" w:hAnsi="Calibri" w:cs="Calibri"/>
          <w:color w:val="000000" w:themeColor="text1"/>
          <w:sz w:val="24"/>
          <w:szCs w:val="24"/>
        </w:rPr>
        <w:t>MŽP</w:t>
      </w:r>
      <w:r w:rsidR="00192FBA" w:rsidRPr="00E76F52">
        <w:rPr>
          <w:rFonts w:ascii="Calibri" w:hAnsi="Calibri" w:cs="Calibri"/>
          <w:color w:val="000000" w:themeColor="text1"/>
          <w:sz w:val="24"/>
          <w:szCs w:val="24"/>
        </w:rPr>
        <w:t xml:space="preserve"> proto mělo </w:t>
      </w:r>
      <w:r w:rsidR="009C4CCA"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9C4CCA" w:rsidRPr="00E76F52">
        <w:rPr>
          <w:rFonts w:ascii="Calibri" w:hAnsi="Calibri" w:cs="Calibri"/>
          <w:color w:val="000000" w:themeColor="text1"/>
          <w:sz w:val="24"/>
          <w:szCs w:val="24"/>
        </w:rPr>
        <w:t xml:space="preserve">průběhu roku 2013 </w:t>
      </w:r>
      <w:r w:rsidR="00192FBA" w:rsidRPr="00E76F52">
        <w:rPr>
          <w:rFonts w:ascii="Calibri" w:hAnsi="Calibri" w:cs="Calibri"/>
          <w:color w:val="000000" w:themeColor="text1"/>
          <w:sz w:val="24"/>
          <w:szCs w:val="24"/>
        </w:rPr>
        <w:t>účtovat v</w:t>
      </w:r>
      <w:r w:rsidR="00473A3A">
        <w:rPr>
          <w:rFonts w:ascii="Calibri" w:hAnsi="Calibri" w:cs="Calibri"/>
          <w:color w:val="000000" w:themeColor="text1"/>
          <w:sz w:val="24"/>
          <w:szCs w:val="24"/>
        </w:rPr>
        <w:t> </w:t>
      </w:r>
      <w:r w:rsidR="00192FBA" w:rsidRPr="00E76F52">
        <w:rPr>
          <w:rFonts w:ascii="Calibri" w:hAnsi="Calibri" w:cs="Calibri"/>
          <w:color w:val="000000" w:themeColor="text1"/>
          <w:sz w:val="24"/>
          <w:szCs w:val="24"/>
        </w:rPr>
        <w:t>souladu s bodem 3.4</w:t>
      </w:r>
      <w:r w:rsidR="00090ABF" w:rsidRPr="00E76F52">
        <w:rPr>
          <w:rFonts w:ascii="Calibri" w:hAnsi="Calibri" w:cs="Calibri"/>
          <w:color w:val="000000" w:themeColor="text1"/>
          <w:sz w:val="24"/>
          <w:szCs w:val="24"/>
        </w:rPr>
        <w:t xml:space="preserve"> </w:t>
      </w:r>
      <w:r w:rsidR="00192FBA" w:rsidRPr="00E76F52">
        <w:rPr>
          <w:rFonts w:ascii="Calibri" w:hAnsi="Calibri" w:cs="Calibri"/>
          <w:color w:val="000000" w:themeColor="text1"/>
          <w:sz w:val="24"/>
          <w:szCs w:val="24"/>
        </w:rPr>
        <w:t>ČÚS</w:t>
      </w:r>
      <w:r w:rsidR="008E2649" w:rsidRPr="00E76F52">
        <w:rPr>
          <w:rFonts w:ascii="Calibri" w:hAnsi="Calibri" w:cs="Calibri"/>
          <w:color w:val="000000" w:themeColor="text1"/>
          <w:sz w:val="24"/>
          <w:szCs w:val="24"/>
        </w:rPr>
        <w:t xml:space="preserve"> č.</w:t>
      </w:r>
      <w:r w:rsidR="00D54FE1">
        <w:rPr>
          <w:rFonts w:ascii="Calibri" w:hAnsi="Calibri" w:cs="Calibri"/>
          <w:color w:val="000000" w:themeColor="text1"/>
          <w:sz w:val="24"/>
          <w:szCs w:val="24"/>
        </w:rPr>
        <w:t> </w:t>
      </w:r>
      <w:r w:rsidR="00192FBA" w:rsidRPr="000A469B">
        <w:rPr>
          <w:rFonts w:ascii="Calibri" w:hAnsi="Calibri" w:cs="Calibri"/>
          <w:color w:val="000000" w:themeColor="text1"/>
          <w:sz w:val="24"/>
          <w:szCs w:val="24"/>
        </w:rPr>
        <w:t>703</w:t>
      </w:r>
      <w:r w:rsidR="00D54FE1">
        <w:rPr>
          <w:rFonts w:ascii="Calibri" w:hAnsi="Calibri" w:cs="Calibri"/>
          <w:i/>
          <w:color w:val="000000" w:themeColor="text1"/>
          <w:sz w:val="24"/>
          <w:szCs w:val="24"/>
        </w:rPr>
        <w:t> </w:t>
      </w:r>
      <w:r w:rsidR="00192FBA" w:rsidRPr="00E76F52">
        <w:rPr>
          <w:rFonts w:ascii="Calibri" w:hAnsi="Calibri" w:cs="Calibri"/>
          <w:i/>
          <w:color w:val="000000" w:themeColor="text1"/>
          <w:sz w:val="24"/>
          <w:szCs w:val="24"/>
        </w:rPr>
        <w:t>– Transfery</w:t>
      </w:r>
      <w:r w:rsidR="00231DFF" w:rsidRPr="00E76F52">
        <w:rPr>
          <w:rFonts w:ascii="Calibri" w:hAnsi="Calibri" w:cs="Calibri"/>
          <w:color w:val="000000" w:themeColor="text1"/>
          <w:sz w:val="24"/>
          <w:szCs w:val="24"/>
        </w:rPr>
        <w:t xml:space="preserve"> </w:t>
      </w:r>
      <w:r w:rsidR="009C4CCA" w:rsidRPr="00E76F52">
        <w:rPr>
          <w:rFonts w:ascii="Calibri" w:hAnsi="Calibri" w:cs="Calibri"/>
          <w:color w:val="000000" w:themeColor="text1"/>
          <w:sz w:val="24"/>
          <w:szCs w:val="24"/>
        </w:rPr>
        <w:t xml:space="preserve">o zálohách </w:t>
      </w:r>
      <w:r w:rsidR="00090ABF" w:rsidRPr="00E76F52">
        <w:rPr>
          <w:rFonts w:ascii="Calibri" w:hAnsi="Calibri" w:cs="Calibri"/>
          <w:color w:val="000000" w:themeColor="text1"/>
          <w:sz w:val="24"/>
          <w:szCs w:val="24"/>
        </w:rPr>
        <w:t>při poskytování těchto</w:t>
      </w:r>
      <w:r w:rsidR="009C4CCA" w:rsidRPr="00E76F52">
        <w:rPr>
          <w:rFonts w:ascii="Calibri" w:hAnsi="Calibri" w:cs="Calibri"/>
          <w:color w:val="000000" w:themeColor="text1"/>
          <w:sz w:val="24"/>
          <w:szCs w:val="24"/>
        </w:rPr>
        <w:t xml:space="preserve"> transfer</w:t>
      </w:r>
      <w:r w:rsidR="00090ABF" w:rsidRPr="00E76F52">
        <w:rPr>
          <w:rFonts w:ascii="Calibri" w:hAnsi="Calibri" w:cs="Calibri"/>
          <w:color w:val="000000" w:themeColor="text1"/>
          <w:sz w:val="24"/>
          <w:szCs w:val="24"/>
        </w:rPr>
        <w:t xml:space="preserve">ů </w:t>
      </w:r>
      <w:r w:rsidR="009C4CCA" w:rsidRPr="00E76F52">
        <w:rPr>
          <w:rFonts w:ascii="Calibri" w:hAnsi="Calibri" w:cs="Calibri"/>
          <w:color w:val="000000" w:themeColor="text1"/>
          <w:sz w:val="24"/>
          <w:szCs w:val="24"/>
        </w:rPr>
        <w:t>a</w:t>
      </w:r>
      <w:r w:rsidR="00AD68E7" w:rsidRPr="00E76F52">
        <w:rPr>
          <w:rFonts w:ascii="Calibri" w:hAnsi="Calibri" w:cs="Calibri"/>
          <w:color w:val="000000" w:themeColor="text1"/>
          <w:sz w:val="24"/>
          <w:szCs w:val="24"/>
        </w:rPr>
        <w:t> </w:t>
      </w:r>
      <w:r w:rsidR="009C4CCA" w:rsidRPr="00E76F52">
        <w:rPr>
          <w:rFonts w:ascii="Calibri" w:hAnsi="Calibri" w:cs="Calibri"/>
          <w:color w:val="000000" w:themeColor="text1"/>
          <w:sz w:val="24"/>
          <w:szCs w:val="24"/>
        </w:rPr>
        <w:t>k 31.</w:t>
      </w:r>
      <w:r w:rsidR="0066250C" w:rsidRPr="00E76F52">
        <w:rPr>
          <w:rFonts w:ascii="Calibri" w:hAnsi="Calibri" w:cs="Calibri"/>
          <w:color w:val="000000" w:themeColor="text1"/>
          <w:sz w:val="24"/>
          <w:szCs w:val="24"/>
        </w:rPr>
        <w:t> prosinci </w:t>
      </w:r>
      <w:r w:rsidR="009C4CCA" w:rsidRPr="00E76F52">
        <w:rPr>
          <w:rFonts w:ascii="Calibri" w:hAnsi="Calibri" w:cs="Calibri"/>
          <w:color w:val="000000" w:themeColor="text1"/>
          <w:sz w:val="24"/>
          <w:szCs w:val="24"/>
        </w:rPr>
        <w:t>2013</w:t>
      </w:r>
      <w:r w:rsidR="00192FBA" w:rsidRPr="00E76F52">
        <w:rPr>
          <w:rFonts w:ascii="Calibri" w:hAnsi="Calibri" w:cs="Calibri"/>
          <w:color w:val="000000" w:themeColor="text1"/>
          <w:sz w:val="24"/>
          <w:szCs w:val="24"/>
        </w:rPr>
        <w:t xml:space="preserve"> také </w:t>
      </w:r>
      <w:r w:rsidR="004D3FB5" w:rsidRPr="00E76F52">
        <w:rPr>
          <w:rFonts w:ascii="Calibri" w:hAnsi="Calibri" w:cs="Calibri"/>
          <w:color w:val="000000" w:themeColor="text1"/>
          <w:sz w:val="24"/>
          <w:szCs w:val="24"/>
        </w:rPr>
        <w:t>o </w:t>
      </w:r>
      <w:r w:rsidR="009C4CCA" w:rsidRPr="00E76F52">
        <w:rPr>
          <w:rFonts w:ascii="Calibri" w:hAnsi="Calibri" w:cs="Calibri"/>
          <w:color w:val="000000" w:themeColor="text1"/>
          <w:sz w:val="24"/>
          <w:szCs w:val="24"/>
        </w:rPr>
        <w:t xml:space="preserve">dohadných </w:t>
      </w:r>
      <w:r w:rsidR="00192FBA" w:rsidRPr="00E76F52">
        <w:rPr>
          <w:rFonts w:ascii="Calibri" w:hAnsi="Calibri" w:cs="Calibri"/>
          <w:color w:val="000000" w:themeColor="text1"/>
          <w:sz w:val="24"/>
          <w:szCs w:val="24"/>
        </w:rPr>
        <w:t>účtech</w:t>
      </w:r>
      <w:r w:rsidR="009C4CCA" w:rsidRPr="00E76F52">
        <w:rPr>
          <w:rFonts w:ascii="Calibri" w:hAnsi="Calibri" w:cs="Calibri"/>
          <w:color w:val="000000" w:themeColor="text1"/>
          <w:sz w:val="24"/>
          <w:szCs w:val="24"/>
        </w:rPr>
        <w:t xml:space="preserve"> pasivních</w:t>
      </w:r>
      <w:r w:rsidR="00D72A1C">
        <w:rPr>
          <w:rFonts w:ascii="Calibri" w:hAnsi="Calibri" w:cs="Calibri"/>
          <w:color w:val="000000" w:themeColor="text1"/>
          <w:sz w:val="24"/>
          <w:szCs w:val="24"/>
        </w:rPr>
        <w:t>,</w:t>
      </w:r>
      <w:r w:rsidR="00192FBA" w:rsidRPr="00E76F52">
        <w:rPr>
          <w:rFonts w:ascii="Calibri" w:hAnsi="Calibri" w:cs="Calibri"/>
          <w:color w:val="000000" w:themeColor="text1"/>
          <w:sz w:val="24"/>
          <w:szCs w:val="24"/>
        </w:rPr>
        <w:t xml:space="preserve"> a to v</w:t>
      </w:r>
      <w:r w:rsidR="00090ABF" w:rsidRPr="00E76F52">
        <w:rPr>
          <w:rFonts w:ascii="Calibri" w:hAnsi="Calibri" w:cs="Calibri"/>
          <w:color w:val="000000" w:themeColor="text1"/>
          <w:sz w:val="24"/>
          <w:szCs w:val="24"/>
        </w:rPr>
        <w:t xml:space="preserve"> odhadované</w:t>
      </w:r>
      <w:r w:rsidR="00192FBA" w:rsidRPr="00E76F52">
        <w:rPr>
          <w:rFonts w:ascii="Calibri" w:hAnsi="Calibri" w:cs="Calibri"/>
          <w:color w:val="000000" w:themeColor="text1"/>
          <w:sz w:val="24"/>
          <w:szCs w:val="24"/>
        </w:rPr>
        <w:t xml:space="preserve"> výši použití transferu u příjemce.</w:t>
      </w:r>
      <w:r w:rsidR="009C4CCA" w:rsidRPr="00E76F52">
        <w:rPr>
          <w:rFonts w:ascii="Calibri" w:hAnsi="Calibri" w:cs="Calibri"/>
          <w:color w:val="000000" w:themeColor="text1"/>
          <w:sz w:val="24"/>
          <w:szCs w:val="24"/>
        </w:rPr>
        <w:t xml:space="preserve"> </w:t>
      </w:r>
      <w:r w:rsidR="00D2307C" w:rsidRPr="00E76F52">
        <w:rPr>
          <w:rFonts w:ascii="Calibri" w:hAnsi="Calibri" w:cs="Calibri"/>
          <w:color w:val="000000" w:themeColor="text1"/>
          <w:sz w:val="24"/>
          <w:szCs w:val="24"/>
        </w:rPr>
        <w:t>V</w:t>
      </w:r>
      <w:r w:rsidR="004D3FB5" w:rsidRPr="00E76F52">
        <w:rPr>
          <w:rFonts w:ascii="Calibri" w:hAnsi="Calibri" w:cs="Calibri"/>
          <w:color w:val="000000" w:themeColor="text1"/>
          <w:sz w:val="24"/>
          <w:szCs w:val="24"/>
        </w:rPr>
        <w:t> </w:t>
      </w:r>
      <w:r w:rsidR="00D2307C" w:rsidRPr="00E76F52">
        <w:rPr>
          <w:rFonts w:ascii="Calibri" w:hAnsi="Calibri" w:cs="Calibri"/>
          <w:color w:val="000000" w:themeColor="text1"/>
          <w:sz w:val="24"/>
          <w:szCs w:val="24"/>
        </w:rPr>
        <w:t xml:space="preserve">důsledku toho </w:t>
      </w:r>
      <w:r w:rsidR="00FA2D68" w:rsidRPr="00E76F52">
        <w:rPr>
          <w:rFonts w:ascii="Calibri" w:hAnsi="Calibri" w:cs="Calibri"/>
          <w:color w:val="000000" w:themeColor="text1"/>
          <w:sz w:val="24"/>
          <w:szCs w:val="24"/>
        </w:rPr>
        <w:t xml:space="preserve">MŽP </w:t>
      </w:r>
      <w:r w:rsidR="00D2307C" w:rsidRPr="00E76F52">
        <w:rPr>
          <w:rFonts w:ascii="Calibri" w:hAnsi="Calibri" w:cs="Calibri"/>
          <w:color w:val="000000" w:themeColor="text1"/>
          <w:sz w:val="24"/>
          <w:szCs w:val="24"/>
        </w:rPr>
        <w:t xml:space="preserve">ve výkazu </w:t>
      </w:r>
      <w:r w:rsidR="006022D9" w:rsidRPr="00E76F52">
        <w:rPr>
          <w:rFonts w:ascii="Calibri" w:hAnsi="Calibri" w:cs="Calibri"/>
          <w:color w:val="000000" w:themeColor="text1"/>
          <w:sz w:val="24"/>
          <w:szCs w:val="24"/>
        </w:rPr>
        <w:t xml:space="preserve">rozvaha </w:t>
      </w:r>
      <w:r w:rsidR="00D2307C" w:rsidRPr="00E76F52">
        <w:rPr>
          <w:rFonts w:ascii="Calibri" w:hAnsi="Calibri" w:cs="Calibri"/>
          <w:color w:val="000000" w:themeColor="text1"/>
          <w:sz w:val="24"/>
          <w:szCs w:val="24"/>
        </w:rPr>
        <w:t>podhodnotilo zůstatek účtu</w:t>
      </w:r>
      <w:r w:rsidR="00D2307C" w:rsidRPr="00E76F52">
        <w:rPr>
          <w:rFonts w:ascii="Calibri" w:hAnsi="Calibri" w:cs="Calibri"/>
          <w:i/>
          <w:color w:val="000000" w:themeColor="text1"/>
          <w:sz w:val="24"/>
          <w:szCs w:val="24"/>
        </w:rPr>
        <w:t xml:space="preserve"> </w:t>
      </w:r>
      <w:r w:rsidR="00FA2D68" w:rsidRPr="000A469B">
        <w:rPr>
          <w:rFonts w:ascii="Calibri" w:hAnsi="Calibri" w:cs="Calibri"/>
          <w:color w:val="000000" w:themeColor="text1"/>
          <w:sz w:val="24"/>
          <w:szCs w:val="24"/>
        </w:rPr>
        <w:t>373</w:t>
      </w:r>
      <w:r w:rsidR="00FA2D68" w:rsidRPr="00E76F52">
        <w:rPr>
          <w:rFonts w:ascii="Calibri" w:hAnsi="Calibri" w:cs="Calibri"/>
          <w:i/>
          <w:color w:val="000000" w:themeColor="text1"/>
          <w:sz w:val="24"/>
          <w:szCs w:val="24"/>
        </w:rPr>
        <w:t xml:space="preserve"> – Krátkodobé poskytnuté zálohy na transfery </w:t>
      </w:r>
      <w:r w:rsidR="00FA2D68" w:rsidRPr="00E76F52">
        <w:rPr>
          <w:rFonts w:ascii="Calibri" w:hAnsi="Calibri" w:cs="Calibri"/>
          <w:color w:val="000000" w:themeColor="text1"/>
          <w:sz w:val="24"/>
          <w:szCs w:val="24"/>
        </w:rPr>
        <w:t>o 22</w:t>
      </w:r>
      <w:r w:rsidR="007405FC" w:rsidRPr="00E76F52">
        <w:rPr>
          <w:rFonts w:ascii="Calibri" w:hAnsi="Calibri" w:cs="Calibri"/>
          <w:color w:val="000000" w:themeColor="text1"/>
          <w:sz w:val="24"/>
          <w:szCs w:val="24"/>
        </w:rPr>
        <w:t xml:space="preserve"> </w:t>
      </w:r>
      <w:r w:rsidR="00FA2D68" w:rsidRPr="00E76F52">
        <w:rPr>
          <w:rFonts w:ascii="Calibri" w:hAnsi="Calibri" w:cs="Calibri"/>
          <w:color w:val="000000" w:themeColor="text1"/>
          <w:sz w:val="24"/>
          <w:szCs w:val="24"/>
        </w:rPr>
        <w:t>961</w:t>
      </w:r>
      <w:r w:rsidR="007405FC" w:rsidRPr="00E76F52">
        <w:rPr>
          <w:rFonts w:ascii="Calibri" w:hAnsi="Calibri" w:cs="Calibri"/>
          <w:color w:val="000000" w:themeColor="text1"/>
          <w:sz w:val="24"/>
          <w:szCs w:val="24"/>
        </w:rPr>
        <w:t xml:space="preserve"> </w:t>
      </w:r>
      <w:r w:rsidR="00FA2D68" w:rsidRPr="00E76F52">
        <w:rPr>
          <w:rFonts w:ascii="Calibri" w:hAnsi="Calibri" w:cs="Calibri"/>
          <w:color w:val="000000" w:themeColor="text1"/>
          <w:sz w:val="24"/>
          <w:szCs w:val="24"/>
        </w:rPr>
        <w:t>689,80 Kč, zůstatek účtu</w:t>
      </w:r>
      <w:r w:rsidR="00473A3A">
        <w:rPr>
          <w:rFonts w:ascii="Calibri" w:hAnsi="Calibri" w:cs="Calibri"/>
          <w:color w:val="000000" w:themeColor="text1"/>
          <w:sz w:val="24"/>
          <w:szCs w:val="24"/>
        </w:rPr>
        <w:br/>
      </w:r>
      <w:r w:rsidR="00FA2D68" w:rsidRPr="000A469B">
        <w:rPr>
          <w:rFonts w:ascii="Calibri" w:hAnsi="Calibri" w:cs="Calibri"/>
          <w:color w:val="000000" w:themeColor="text1"/>
          <w:sz w:val="24"/>
          <w:szCs w:val="24"/>
        </w:rPr>
        <w:t>471</w:t>
      </w:r>
      <w:r w:rsidR="00FA2D68" w:rsidRPr="00E76F52">
        <w:rPr>
          <w:rFonts w:ascii="Calibri" w:hAnsi="Calibri" w:cs="Calibri"/>
          <w:i/>
          <w:color w:val="000000" w:themeColor="text1"/>
          <w:sz w:val="24"/>
          <w:szCs w:val="24"/>
        </w:rPr>
        <w:t xml:space="preserve"> – Dlouhodobé poskytnuté zálohy na transfery </w:t>
      </w:r>
      <w:r w:rsidR="00FA2D68" w:rsidRPr="00E76F52">
        <w:rPr>
          <w:rFonts w:ascii="Calibri" w:hAnsi="Calibri" w:cs="Calibri"/>
          <w:color w:val="000000" w:themeColor="text1"/>
          <w:sz w:val="24"/>
          <w:szCs w:val="24"/>
        </w:rPr>
        <w:t>o 7</w:t>
      </w:r>
      <w:r w:rsidR="007405FC" w:rsidRPr="00E76F52">
        <w:rPr>
          <w:rFonts w:ascii="Calibri" w:hAnsi="Calibri" w:cs="Calibri"/>
          <w:color w:val="000000" w:themeColor="text1"/>
          <w:sz w:val="24"/>
          <w:szCs w:val="24"/>
        </w:rPr>
        <w:t xml:space="preserve"> </w:t>
      </w:r>
      <w:r w:rsidR="00FA2D68" w:rsidRPr="00E76F52">
        <w:rPr>
          <w:rFonts w:ascii="Calibri" w:hAnsi="Calibri" w:cs="Calibri"/>
          <w:color w:val="000000" w:themeColor="text1"/>
          <w:sz w:val="24"/>
          <w:szCs w:val="24"/>
        </w:rPr>
        <w:t>641</w:t>
      </w:r>
      <w:r w:rsidR="007405FC" w:rsidRPr="00E76F52">
        <w:rPr>
          <w:rFonts w:ascii="Calibri" w:hAnsi="Calibri" w:cs="Calibri"/>
          <w:color w:val="000000" w:themeColor="text1"/>
          <w:sz w:val="24"/>
          <w:szCs w:val="24"/>
        </w:rPr>
        <w:t xml:space="preserve"> </w:t>
      </w:r>
      <w:r w:rsidR="00FA2D68" w:rsidRPr="00E76F52">
        <w:rPr>
          <w:rFonts w:ascii="Calibri" w:hAnsi="Calibri" w:cs="Calibri"/>
          <w:color w:val="000000" w:themeColor="text1"/>
          <w:sz w:val="24"/>
          <w:szCs w:val="24"/>
        </w:rPr>
        <w:t>532,23 Kč</w:t>
      </w:r>
      <w:r w:rsidR="00FA2D68" w:rsidRPr="00E76F52">
        <w:rPr>
          <w:rFonts w:ascii="Calibri" w:hAnsi="Calibri" w:cs="Calibri"/>
          <w:i/>
          <w:color w:val="000000" w:themeColor="text1"/>
          <w:sz w:val="24"/>
          <w:szCs w:val="24"/>
        </w:rPr>
        <w:t xml:space="preserve"> </w:t>
      </w:r>
      <w:r w:rsidR="00FA2D68" w:rsidRPr="00E76F52">
        <w:rPr>
          <w:rFonts w:ascii="Calibri" w:hAnsi="Calibri" w:cs="Calibri"/>
          <w:color w:val="000000" w:themeColor="text1"/>
          <w:sz w:val="24"/>
          <w:szCs w:val="24"/>
        </w:rPr>
        <w:t>a zůstatek účtu</w:t>
      </w:r>
      <w:r w:rsidR="00FA2D68" w:rsidRPr="00E76F52">
        <w:rPr>
          <w:rFonts w:ascii="Calibri" w:hAnsi="Calibri" w:cs="Calibri"/>
          <w:i/>
          <w:color w:val="000000" w:themeColor="text1"/>
          <w:sz w:val="24"/>
          <w:szCs w:val="24"/>
        </w:rPr>
        <w:t xml:space="preserve"> </w:t>
      </w:r>
      <w:r w:rsidR="00B66BEF">
        <w:rPr>
          <w:rFonts w:ascii="Calibri" w:hAnsi="Calibri" w:cs="Calibri"/>
          <w:i/>
          <w:color w:val="000000" w:themeColor="text1"/>
          <w:sz w:val="24"/>
          <w:szCs w:val="24"/>
        </w:rPr>
        <w:br/>
      </w:r>
      <w:r w:rsidR="00FA2D68" w:rsidRPr="000A469B">
        <w:rPr>
          <w:rFonts w:ascii="Calibri" w:hAnsi="Calibri" w:cs="Calibri"/>
          <w:color w:val="000000" w:themeColor="text1"/>
          <w:sz w:val="24"/>
          <w:szCs w:val="24"/>
        </w:rPr>
        <w:t>389</w:t>
      </w:r>
      <w:r w:rsidR="00FA2D68" w:rsidRPr="00E76F52">
        <w:rPr>
          <w:rFonts w:ascii="Calibri" w:hAnsi="Calibri" w:cs="Calibri"/>
          <w:i/>
          <w:color w:val="000000" w:themeColor="text1"/>
          <w:sz w:val="24"/>
          <w:szCs w:val="24"/>
        </w:rPr>
        <w:t xml:space="preserve"> – Dohadné účty pasivní</w:t>
      </w:r>
      <w:r w:rsidR="00192FBA" w:rsidRPr="00E76F52">
        <w:rPr>
          <w:rFonts w:ascii="Calibri" w:hAnsi="Calibri" w:cs="Calibri"/>
          <w:i/>
          <w:color w:val="000000" w:themeColor="text1"/>
          <w:sz w:val="24"/>
          <w:szCs w:val="24"/>
        </w:rPr>
        <w:t xml:space="preserve"> </w:t>
      </w:r>
      <w:r w:rsidR="000E6620" w:rsidRPr="00E76F52">
        <w:rPr>
          <w:rFonts w:ascii="Calibri" w:hAnsi="Calibri" w:cs="Calibri"/>
          <w:color w:val="000000" w:themeColor="text1"/>
          <w:sz w:val="24"/>
          <w:szCs w:val="24"/>
        </w:rPr>
        <w:t xml:space="preserve">až </w:t>
      </w:r>
      <w:r w:rsidR="0010028A" w:rsidRPr="00E76F52">
        <w:rPr>
          <w:rFonts w:ascii="Calibri" w:hAnsi="Calibri" w:cs="Calibri"/>
          <w:color w:val="000000" w:themeColor="text1"/>
          <w:sz w:val="24"/>
          <w:szCs w:val="24"/>
        </w:rPr>
        <w:t>do výše</w:t>
      </w:r>
      <w:r w:rsidR="00FA2D68" w:rsidRPr="00E76F52">
        <w:rPr>
          <w:rFonts w:ascii="Calibri" w:hAnsi="Calibri" w:cs="Calibri"/>
          <w:color w:val="000000" w:themeColor="text1"/>
          <w:sz w:val="24"/>
          <w:szCs w:val="24"/>
        </w:rPr>
        <w:t xml:space="preserve"> 30</w:t>
      </w:r>
      <w:r w:rsidR="007405FC" w:rsidRPr="00E76F52">
        <w:rPr>
          <w:rFonts w:ascii="Calibri" w:hAnsi="Calibri" w:cs="Calibri"/>
          <w:color w:val="000000" w:themeColor="text1"/>
          <w:sz w:val="24"/>
          <w:szCs w:val="24"/>
        </w:rPr>
        <w:t xml:space="preserve"> </w:t>
      </w:r>
      <w:r w:rsidR="00FA2D68" w:rsidRPr="00E76F52">
        <w:rPr>
          <w:rFonts w:ascii="Calibri" w:hAnsi="Calibri" w:cs="Calibri"/>
          <w:color w:val="000000" w:themeColor="text1"/>
          <w:sz w:val="24"/>
          <w:szCs w:val="24"/>
        </w:rPr>
        <w:t>603</w:t>
      </w:r>
      <w:r w:rsidR="007405FC" w:rsidRPr="00E76F52">
        <w:rPr>
          <w:rFonts w:ascii="Calibri" w:hAnsi="Calibri" w:cs="Calibri"/>
          <w:color w:val="000000" w:themeColor="text1"/>
          <w:sz w:val="24"/>
          <w:szCs w:val="24"/>
        </w:rPr>
        <w:t xml:space="preserve"> </w:t>
      </w:r>
      <w:r w:rsidR="00FA2D68" w:rsidRPr="00E76F52">
        <w:rPr>
          <w:rFonts w:ascii="Calibri" w:hAnsi="Calibri" w:cs="Calibri"/>
          <w:color w:val="000000" w:themeColor="text1"/>
          <w:sz w:val="24"/>
          <w:szCs w:val="24"/>
        </w:rPr>
        <w:t>222,03 Kč.</w:t>
      </w:r>
    </w:p>
    <w:p w:rsidR="005416A5" w:rsidRPr="00E76F52" w:rsidRDefault="005416A5" w:rsidP="00E76F52">
      <w:pPr>
        <w:spacing w:after="0" w:line="240" w:lineRule="auto"/>
        <w:jc w:val="both"/>
        <w:rPr>
          <w:rFonts w:ascii="Calibri" w:hAnsi="Calibri" w:cs="Calibri"/>
          <w:color w:val="000000" w:themeColor="text1"/>
          <w:sz w:val="24"/>
          <w:szCs w:val="24"/>
        </w:rPr>
      </w:pPr>
    </w:p>
    <w:p w:rsidR="00A47861" w:rsidRPr="005416A5" w:rsidRDefault="009E1D26" w:rsidP="005416A5">
      <w:pPr>
        <w:pStyle w:val="Odstavecseseznamem"/>
        <w:numPr>
          <w:ilvl w:val="0"/>
          <w:numId w:val="38"/>
        </w:numPr>
        <w:spacing w:after="0" w:line="240" w:lineRule="auto"/>
        <w:ind w:left="284" w:hanging="284"/>
        <w:jc w:val="both"/>
        <w:rPr>
          <w:rFonts w:ascii="Calibri" w:hAnsi="Calibri" w:cs="Calibri"/>
          <w:color w:val="000000" w:themeColor="text1"/>
          <w:sz w:val="24"/>
          <w:szCs w:val="24"/>
        </w:rPr>
      </w:pPr>
      <w:r w:rsidRPr="005416A5">
        <w:rPr>
          <w:rFonts w:ascii="Calibri" w:hAnsi="Calibri" w:cs="Calibri"/>
          <w:b/>
          <w:i/>
          <w:color w:val="000000" w:themeColor="text1"/>
          <w:sz w:val="24"/>
          <w:szCs w:val="24"/>
        </w:rPr>
        <w:t>Dotace na pořízení dlouhodobého majetku zřizovaným příspěvkovým organizacím</w:t>
      </w:r>
      <w:r w:rsidR="00696168" w:rsidRPr="005416A5">
        <w:rPr>
          <w:rFonts w:ascii="Calibri" w:hAnsi="Calibri" w:cs="Calibri"/>
          <w:b/>
          <w:i/>
          <w:color w:val="000000" w:themeColor="text1"/>
          <w:sz w:val="24"/>
          <w:szCs w:val="24"/>
        </w:rPr>
        <w:t xml:space="preserve"> </w:t>
      </w:r>
    </w:p>
    <w:p w:rsidR="005416A5" w:rsidRDefault="005416A5" w:rsidP="00E76F52">
      <w:pPr>
        <w:spacing w:after="0" w:line="240" w:lineRule="auto"/>
        <w:jc w:val="both"/>
        <w:rPr>
          <w:rFonts w:ascii="Calibri" w:hAnsi="Calibri" w:cs="Calibri"/>
          <w:color w:val="000000" w:themeColor="text1"/>
          <w:sz w:val="24"/>
          <w:szCs w:val="24"/>
        </w:rPr>
      </w:pPr>
    </w:p>
    <w:p w:rsidR="004837DC" w:rsidRPr="00E76F52" w:rsidRDefault="00A61D52" w:rsidP="00E76F52">
      <w:pPr>
        <w:spacing w:after="0" w:line="240" w:lineRule="auto"/>
        <w:jc w:val="both"/>
        <w:rPr>
          <w:rFonts w:ascii="Calibri" w:hAnsi="Calibri" w:cs="Calibri"/>
          <w:i/>
          <w:color w:val="000000" w:themeColor="text1"/>
          <w:sz w:val="24"/>
          <w:szCs w:val="24"/>
        </w:rPr>
      </w:pPr>
      <w:r w:rsidRPr="00E76F52">
        <w:rPr>
          <w:rFonts w:ascii="Calibri" w:hAnsi="Calibri" w:cs="Calibri"/>
          <w:color w:val="000000" w:themeColor="text1"/>
          <w:sz w:val="24"/>
          <w:szCs w:val="24"/>
        </w:rPr>
        <w:t>MŽP</w:t>
      </w:r>
      <w:r w:rsidR="00AB2A4D" w:rsidRPr="00E76F52">
        <w:rPr>
          <w:rFonts w:ascii="Calibri" w:hAnsi="Calibri" w:cs="Calibri"/>
          <w:color w:val="000000" w:themeColor="text1"/>
          <w:sz w:val="24"/>
          <w:szCs w:val="24"/>
        </w:rPr>
        <w:t xml:space="preserve"> poskytovalo v</w:t>
      </w:r>
      <w:r w:rsidR="007405FC" w:rsidRPr="00E76F52">
        <w:rPr>
          <w:rFonts w:ascii="Calibri" w:hAnsi="Calibri" w:cs="Calibri"/>
          <w:color w:val="000000" w:themeColor="text1"/>
          <w:sz w:val="24"/>
          <w:szCs w:val="24"/>
        </w:rPr>
        <w:t xml:space="preserve"> </w:t>
      </w:r>
      <w:r w:rsidR="00AB2A4D" w:rsidRPr="00E76F52">
        <w:rPr>
          <w:rFonts w:ascii="Calibri" w:hAnsi="Calibri" w:cs="Calibri"/>
          <w:color w:val="000000" w:themeColor="text1"/>
          <w:sz w:val="24"/>
          <w:szCs w:val="24"/>
        </w:rPr>
        <w:t>roce 2013</w:t>
      </w:r>
      <w:r w:rsidRPr="00E76F52">
        <w:rPr>
          <w:rFonts w:ascii="Calibri" w:hAnsi="Calibri" w:cs="Calibri"/>
          <w:color w:val="000000" w:themeColor="text1"/>
          <w:sz w:val="24"/>
          <w:szCs w:val="24"/>
        </w:rPr>
        <w:t xml:space="preserve"> na základě </w:t>
      </w:r>
      <w:r w:rsidR="0010028A" w:rsidRPr="00E76F52">
        <w:rPr>
          <w:rFonts w:ascii="Calibri" w:hAnsi="Calibri" w:cs="Calibri"/>
          <w:color w:val="000000" w:themeColor="text1"/>
          <w:sz w:val="24"/>
          <w:szCs w:val="24"/>
        </w:rPr>
        <w:t>r</w:t>
      </w:r>
      <w:r w:rsidRPr="00E76F52">
        <w:rPr>
          <w:rFonts w:ascii="Calibri" w:hAnsi="Calibri" w:cs="Calibri"/>
          <w:color w:val="000000" w:themeColor="text1"/>
          <w:sz w:val="24"/>
          <w:szCs w:val="24"/>
        </w:rPr>
        <w:t>ozhodnutí o poskytnutí dotace peněžní prostředky určené na pořízení dlouhodobého majetku zřizovaným příspěvkovým organizacím</w:t>
      </w:r>
      <w:r w:rsidR="0010028A" w:rsidRPr="00E76F52">
        <w:rPr>
          <w:rFonts w:ascii="Calibri" w:hAnsi="Calibri" w:cs="Calibri"/>
          <w:color w:val="000000" w:themeColor="text1"/>
          <w:sz w:val="24"/>
          <w:szCs w:val="24"/>
        </w:rPr>
        <w:t xml:space="preserve"> a účtovalo o nich jako o poskytnutém transferu</w:t>
      </w:r>
      <w:r w:rsidRPr="00E76F52">
        <w:rPr>
          <w:rFonts w:ascii="Calibri" w:hAnsi="Calibri" w:cs="Calibri"/>
          <w:color w:val="000000" w:themeColor="text1"/>
          <w:sz w:val="24"/>
          <w:szCs w:val="24"/>
        </w:rPr>
        <w:t xml:space="preserve">. </w:t>
      </w:r>
      <w:r w:rsidR="0010028A" w:rsidRPr="00E76F52">
        <w:rPr>
          <w:rFonts w:ascii="Calibri" w:hAnsi="Calibri" w:cs="Calibri"/>
          <w:color w:val="000000" w:themeColor="text1"/>
          <w:sz w:val="24"/>
          <w:szCs w:val="24"/>
        </w:rPr>
        <w:t>D</w:t>
      </w:r>
      <w:r w:rsidR="00A976BE" w:rsidRPr="00E76F52">
        <w:rPr>
          <w:rFonts w:ascii="Calibri" w:hAnsi="Calibri" w:cs="Calibri"/>
          <w:color w:val="000000" w:themeColor="text1"/>
          <w:sz w:val="24"/>
          <w:szCs w:val="24"/>
        </w:rPr>
        <w:t xml:space="preserve">le bodu 3.1 písm. a) ČÚS č. </w:t>
      </w:r>
      <w:r w:rsidR="00A976BE" w:rsidRPr="000A469B">
        <w:rPr>
          <w:rFonts w:ascii="Calibri" w:hAnsi="Calibri" w:cs="Calibri"/>
          <w:color w:val="000000" w:themeColor="text1"/>
          <w:sz w:val="24"/>
          <w:szCs w:val="24"/>
        </w:rPr>
        <w:t>703</w:t>
      </w:r>
      <w:r w:rsidR="00C16B7A" w:rsidRPr="00E76F52">
        <w:rPr>
          <w:rFonts w:ascii="Calibri" w:hAnsi="Calibri" w:cs="Calibri"/>
          <w:i/>
          <w:color w:val="000000" w:themeColor="text1"/>
          <w:sz w:val="24"/>
          <w:szCs w:val="24"/>
        </w:rPr>
        <w:t xml:space="preserve"> – </w:t>
      </w:r>
      <w:r w:rsidR="0010028A" w:rsidRPr="00E76F52">
        <w:rPr>
          <w:rFonts w:ascii="Calibri" w:hAnsi="Calibri" w:cs="Calibri"/>
          <w:i/>
          <w:color w:val="000000" w:themeColor="text1"/>
          <w:sz w:val="24"/>
          <w:szCs w:val="24"/>
        </w:rPr>
        <w:t>Transfery</w:t>
      </w:r>
      <w:r w:rsidR="0010028A" w:rsidRPr="00E76F52">
        <w:rPr>
          <w:rFonts w:ascii="Calibri" w:hAnsi="Calibri" w:cs="Calibri"/>
          <w:color w:val="000000" w:themeColor="text1"/>
          <w:sz w:val="24"/>
          <w:szCs w:val="24"/>
        </w:rPr>
        <w:t xml:space="preserve"> se tyto prostředky ale </w:t>
      </w:r>
      <w:r w:rsidR="00A976BE" w:rsidRPr="00E76F52">
        <w:rPr>
          <w:rFonts w:ascii="Calibri" w:hAnsi="Calibri" w:cs="Calibri"/>
          <w:color w:val="000000" w:themeColor="text1"/>
          <w:sz w:val="24"/>
          <w:szCs w:val="24"/>
        </w:rPr>
        <w:t>za transfer nepovažují</w:t>
      </w:r>
      <w:r w:rsidR="00DF65A6" w:rsidRPr="00E76F52">
        <w:rPr>
          <w:rFonts w:ascii="Calibri" w:hAnsi="Calibri" w:cs="Calibri"/>
          <w:color w:val="000000" w:themeColor="text1"/>
          <w:sz w:val="24"/>
          <w:szCs w:val="24"/>
        </w:rPr>
        <w:t xml:space="preserve"> a</w:t>
      </w:r>
      <w:r w:rsidR="00AB2A4D" w:rsidRPr="00E76F52">
        <w:rPr>
          <w:rFonts w:ascii="Calibri" w:hAnsi="Calibri" w:cs="Calibri"/>
          <w:color w:val="000000" w:themeColor="text1"/>
          <w:sz w:val="24"/>
          <w:szCs w:val="24"/>
        </w:rPr>
        <w:t xml:space="preserve"> </w:t>
      </w:r>
      <w:r w:rsidR="0010028A"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10028A" w:rsidRPr="00E76F52">
        <w:rPr>
          <w:rFonts w:ascii="Calibri" w:hAnsi="Calibri" w:cs="Calibri"/>
          <w:color w:val="000000" w:themeColor="text1"/>
          <w:sz w:val="24"/>
          <w:szCs w:val="24"/>
        </w:rPr>
        <w:t>souladu s bodem</w:t>
      </w:r>
      <w:r w:rsidR="007405FC" w:rsidRPr="00E76F52">
        <w:rPr>
          <w:rFonts w:ascii="Calibri" w:hAnsi="Calibri" w:cs="Calibri"/>
          <w:color w:val="000000" w:themeColor="text1"/>
          <w:sz w:val="24"/>
          <w:szCs w:val="24"/>
        </w:rPr>
        <w:t xml:space="preserve"> </w:t>
      </w:r>
      <w:r w:rsidR="0010028A" w:rsidRPr="00E76F52">
        <w:rPr>
          <w:rFonts w:ascii="Calibri" w:hAnsi="Calibri" w:cs="Calibri"/>
          <w:color w:val="000000" w:themeColor="text1"/>
          <w:sz w:val="24"/>
          <w:szCs w:val="24"/>
        </w:rPr>
        <w:t>4.1.8 ČÚS</w:t>
      </w:r>
      <w:r w:rsidR="008E2649" w:rsidRPr="00E76F52">
        <w:rPr>
          <w:rFonts w:ascii="Calibri" w:hAnsi="Calibri" w:cs="Calibri"/>
          <w:color w:val="000000" w:themeColor="text1"/>
          <w:sz w:val="24"/>
          <w:szCs w:val="24"/>
        </w:rPr>
        <w:t xml:space="preserve"> č.</w:t>
      </w:r>
      <w:r w:rsidR="0010028A" w:rsidRPr="00E76F52">
        <w:rPr>
          <w:rFonts w:ascii="Calibri" w:hAnsi="Calibri" w:cs="Calibri"/>
          <w:color w:val="000000" w:themeColor="text1"/>
          <w:sz w:val="24"/>
          <w:szCs w:val="24"/>
        </w:rPr>
        <w:t xml:space="preserve"> </w:t>
      </w:r>
      <w:r w:rsidR="0010028A" w:rsidRPr="000A469B">
        <w:rPr>
          <w:rFonts w:ascii="Calibri" w:hAnsi="Calibri" w:cs="Calibri"/>
          <w:color w:val="000000" w:themeColor="text1"/>
          <w:sz w:val="24"/>
          <w:szCs w:val="24"/>
        </w:rPr>
        <w:t>709</w:t>
      </w:r>
      <w:r w:rsidR="00D72A1C">
        <w:rPr>
          <w:rFonts w:ascii="Calibri" w:hAnsi="Calibri" w:cs="Calibri"/>
          <w:color w:val="000000" w:themeColor="text1"/>
          <w:sz w:val="24"/>
          <w:szCs w:val="24"/>
        </w:rPr>
        <w:t xml:space="preserve"> </w:t>
      </w:r>
      <w:r w:rsidR="00D72A1C">
        <w:rPr>
          <w:rFonts w:ascii="Calibri" w:hAnsi="Calibri" w:cs="Calibri"/>
          <w:i/>
          <w:color w:val="000000" w:themeColor="text1"/>
          <w:sz w:val="24"/>
          <w:szCs w:val="24"/>
        </w:rPr>
        <w:t xml:space="preserve">– </w:t>
      </w:r>
      <w:r w:rsidR="0010028A" w:rsidRPr="00E76F52">
        <w:rPr>
          <w:rFonts w:ascii="Calibri" w:hAnsi="Calibri" w:cs="Calibri"/>
          <w:i/>
          <w:color w:val="000000" w:themeColor="text1"/>
          <w:sz w:val="24"/>
          <w:szCs w:val="24"/>
        </w:rPr>
        <w:t>Vlastní zdroje</w:t>
      </w:r>
      <w:r w:rsidR="00AB2A4D" w:rsidRPr="00E76F52">
        <w:rPr>
          <w:rFonts w:ascii="Calibri" w:hAnsi="Calibri" w:cs="Calibri"/>
          <w:i/>
          <w:color w:val="000000" w:themeColor="text1"/>
          <w:sz w:val="24"/>
          <w:szCs w:val="24"/>
        </w:rPr>
        <w:t xml:space="preserve"> </w:t>
      </w:r>
      <w:r w:rsidR="00AB2A4D" w:rsidRPr="00E76F52">
        <w:rPr>
          <w:rFonts w:ascii="Calibri" w:hAnsi="Calibri" w:cs="Calibri"/>
          <w:color w:val="000000" w:themeColor="text1"/>
          <w:sz w:val="24"/>
          <w:szCs w:val="24"/>
        </w:rPr>
        <w:t>mají být při poskytnutí</w:t>
      </w:r>
      <w:r w:rsidR="0010028A" w:rsidRPr="00E76F52">
        <w:rPr>
          <w:rFonts w:ascii="Calibri" w:hAnsi="Calibri" w:cs="Calibri"/>
          <w:color w:val="000000" w:themeColor="text1"/>
          <w:sz w:val="24"/>
          <w:szCs w:val="24"/>
        </w:rPr>
        <w:t xml:space="preserve"> účtovány na straně „má dáti“ účtu </w:t>
      </w:r>
      <w:r w:rsidR="0010028A" w:rsidRPr="000A469B">
        <w:rPr>
          <w:rFonts w:ascii="Calibri" w:hAnsi="Calibri" w:cs="Calibri"/>
          <w:color w:val="000000" w:themeColor="text1"/>
          <w:sz w:val="24"/>
          <w:szCs w:val="24"/>
        </w:rPr>
        <w:t>401</w:t>
      </w:r>
      <w:r w:rsidR="003F2EBC" w:rsidRPr="00E76F52">
        <w:rPr>
          <w:rFonts w:ascii="Calibri" w:hAnsi="Calibri" w:cs="Calibri"/>
          <w:i/>
          <w:color w:val="000000" w:themeColor="text1"/>
          <w:sz w:val="24"/>
          <w:szCs w:val="24"/>
        </w:rPr>
        <w:t xml:space="preserve"> – </w:t>
      </w:r>
      <w:r w:rsidR="0010028A" w:rsidRPr="00E76F52">
        <w:rPr>
          <w:rFonts w:ascii="Calibri" w:hAnsi="Calibri" w:cs="Calibri"/>
          <w:i/>
          <w:color w:val="000000" w:themeColor="text1"/>
          <w:sz w:val="24"/>
          <w:szCs w:val="24"/>
        </w:rPr>
        <w:t>Jmění účetní jednotky</w:t>
      </w:r>
      <w:r w:rsidR="0010028A" w:rsidRPr="00E76F52">
        <w:rPr>
          <w:rFonts w:ascii="Calibri" w:hAnsi="Calibri" w:cs="Calibri"/>
          <w:color w:val="000000" w:themeColor="text1"/>
          <w:sz w:val="24"/>
          <w:szCs w:val="24"/>
        </w:rPr>
        <w:t>.</w:t>
      </w:r>
      <w:r w:rsidR="005769AD" w:rsidRPr="00E76F52">
        <w:rPr>
          <w:rFonts w:ascii="Calibri" w:hAnsi="Calibri" w:cs="Calibri"/>
          <w:i/>
          <w:color w:val="000000" w:themeColor="text1"/>
          <w:sz w:val="24"/>
          <w:szCs w:val="24"/>
        </w:rPr>
        <w:t xml:space="preserve"> </w:t>
      </w:r>
      <w:r w:rsidR="0010028A" w:rsidRPr="00E76F52">
        <w:rPr>
          <w:rFonts w:ascii="Calibri" w:hAnsi="Calibri" w:cs="Calibri"/>
          <w:color w:val="000000" w:themeColor="text1"/>
          <w:sz w:val="24"/>
          <w:szCs w:val="24"/>
        </w:rPr>
        <w:t>MŽP tak</w:t>
      </w:r>
      <w:r w:rsidR="005769AD" w:rsidRPr="00E76F52">
        <w:rPr>
          <w:rFonts w:ascii="Calibri" w:hAnsi="Calibri" w:cs="Calibri"/>
          <w:color w:val="000000" w:themeColor="text1"/>
          <w:sz w:val="24"/>
          <w:szCs w:val="24"/>
        </w:rPr>
        <w:t xml:space="preserve"> ve výkazu </w:t>
      </w:r>
      <w:r w:rsidR="006022D9" w:rsidRPr="00E76F52">
        <w:rPr>
          <w:rFonts w:ascii="Calibri" w:hAnsi="Calibri" w:cs="Calibri"/>
          <w:color w:val="000000" w:themeColor="text1"/>
          <w:sz w:val="24"/>
          <w:szCs w:val="24"/>
        </w:rPr>
        <w:t xml:space="preserve">rozvaha </w:t>
      </w:r>
      <w:r w:rsidR="005769AD" w:rsidRPr="00E76F52">
        <w:rPr>
          <w:rFonts w:ascii="Calibri" w:hAnsi="Calibri" w:cs="Calibri"/>
          <w:color w:val="000000" w:themeColor="text1"/>
          <w:sz w:val="24"/>
          <w:szCs w:val="24"/>
        </w:rPr>
        <w:t xml:space="preserve">nadhodnotilo </w:t>
      </w:r>
      <w:r w:rsidR="003B1443" w:rsidRPr="00E76F52">
        <w:rPr>
          <w:rFonts w:ascii="Calibri" w:hAnsi="Calibri" w:cs="Calibri"/>
          <w:color w:val="000000" w:themeColor="text1"/>
          <w:sz w:val="24"/>
          <w:szCs w:val="24"/>
        </w:rPr>
        <w:t>zůstatek účtu</w:t>
      </w:r>
      <w:r w:rsidR="005769AD" w:rsidRPr="00E76F52">
        <w:rPr>
          <w:rFonts w:ascii="Calibri" w:hAnsi="Calibri" w:cs="Calibri"/>
          <w:color w:val="000000" w:themeColor="text1"/>
          <w:sz w:val="24"/>
          <w:szCs w:val="24"/>
        </w:rPr>
        <w:t xml:space="preserve"> </w:t>
      </w:r>
      <w:r w:rsidR="004D3FB5" w:rsidRPr="000A469B">
        <w:rPr>
          <w:rFonts w:ascii="Calibri" w:hAnsi="Calibri" w:cs="Calibri"/>
          <w:color w:val="000000" w:themeColor="text1"/>
          <w:sz w:val="24"/>
          <w:szCs w:val="24"/>
        </w:rPr>
        <w:t>401</w:t>
      </w:r>
      <w:r w:rsidR="004D3FB5" w:rsidRPr="00E76F52">
        <w:rPr>
          <w:rFonts w:ascii="Calibri" w:hAnsi="Calibri" w:cs="Calibri"/>
          <w:i/>
          <w:color w:val="000000" w:themeColor="text1"/>
          <w:sz w:val="24"/>
          <w:szCs w:val="24"/>
        </w:rPr>
        <w:t> – </w:t>
      </w:r>
      <w:r w:rsidR="005769AD" w:rsidRPr="00E76F52">
        <w:rPr>
          <w:rFonts w:ascii="Calibri" w:hAnsi="Calibri" w:cs="Calibri"/>
          <w:i/>
          <w:color w:val="000000" w:themeColor="text1"/>
          <w:sz w:val="24"/>
          <w:szCs w:val="24"/>
        </w:rPr>
        <w:t>Jmění účetní jednotky</w:t>
      </w:r>
      <w:r w:rsidR="003B1443" w:rsidRPr="00E76F52">
        <w:rPr>
          <w:rFonts w:ascii="Calibri" w:hAnsi="Calibri" w:cs="Calibri"/>
          <w:color w:val="000000" w:themeColor="text1"/>
          <w:sz w:val="24"/>
          <w:szCs w:val="24"/>
        </w:rPr>
        <w:t xml:space="preserve"> o</w:t>
      </w:r>
      <w:r w:rsidR="00AD68E7" w:rsidRPr="00E76F52">
        <w:rPr>
          <w:rFonts w:ascii="Calibri" w:hAnsi="Calibri" w:cs="Calibri"/>
          <w:color w:val="000000" w:themeColor="text1"/>
          <w:sz w:val="24"/>
          <w:szCs w:val="24"/>
        </w:rPr>
        <w:t> </w:t>
      </w:r>
      <w:r w:rsidR="003B1443" w:rsidRPr="00E76F52">
        <w:rPr>
          <w:rFonts w:ascii="Calibri" w:hAnsi="Calibri" w:cs="Calibri"/>
          <w:color w:val="000000" w:themeColor="text1"/>
          <w:sz w:val="24"/>
          <w:szCs w:val="24"/>
        </w:rPr>
        <w:t>8</w:t>
      </w:r>
      <w:r w:rsidR="00AD68E7" w:rsidRPr="00E76F52">
        <w:rPr>
          <w:rFonts w:ascii="Calibri" w:hAnsi="Calibri" w:cs="Calibri"/>
          <w:color w:val="000000" w:themeColor="text1"/>
          <w:sz w:val="24"/>
          <w:szCs w:val="24"/>
        </w:rPr>
        <w:t> </w:t>
      </w:r>
      <w:r w:rsidR="003B1443" w:rsidRPr="00E76F52">
        <w:rPr>
          <w:rFonts w:ascii="Calibri" w:hAnsi="Calibri" w:cs="Calibri"/>
          <w:color w:val="000000" w:themeColor="text1"/>
          <w:sz w:val="24"/>
          <w:szCs w:val="24"/>
        </w:rPr>
        <w:t>073</w:t>
      </w:r>
      <w:r w:rsidR="00AD68E7" w:rsidRPr="00E76F52">
        <w:rPr>
          <w:rFonts w:ascii="Calibri" w:hAnsi="Calibri" w:cs="Calibri"/>
          <w:color w:val="000000" w:themeColor="text1"/>
          <w:sz w:val="24"/>
          <w:szCs w:val="24"/>
        </w:rPr>
        <w:t> </w:t>
      </w:r>
      <w:r w:rsidR="003B1443" w:rsidRPr="00E76F52">
        <w:rPr>
          <w:rFonts w:ascii="Calibri" w:hAnsi="Calibri" w:cs="Calibri"/>
          <w:color w:val="000000" w:themeColor="text1"/>
          <w:sz w:val="24"/>
          <w:szCs w:val="24"/>
        </w:rPr>
        <w:t>940,37 Kč</w:t>
      </w:r>
      <w:r w:rsidR="001C589D" w:rsidRPr="00E76F52">
        <w:rPr>
          <w:rFonts w:ascii="Calibri" w:hAnsi="Calibri" w:cs="Calibri"/>
          <w:color w:val="000000" w:themeColor="text1"/>
          <w:sz w:val="24"/>
          <w:szCs w:val="24"/>
        </w:rPr>
        <w:t>, o tuto částku</w:t>
      </w:r>
      <w:r w:rsidR="003B1443" w:rsidRPr="00E76F52">
        <w:rPr>
          <w:rFonts w:ascii="Calibri" w:hAnsi="Calibri" w:cs="Calibri"/>
          <w:color w:val="000000" w:themeColor="text1"/>
          <w:sz w:val="24"/>
          <w:szCs w:val="24"/>
        </w:rPr>
        <w:t xml:space="preserve"> </w:t>
      </w:r>
      <w:r w:rsidR="005769AD" w:rsidRPr="00E76F52">
        <w:rPr>
          <w:rFonts w:ascii="Calibri" w:hAnsi="Calibri" w:cs="Calibri"/>
          <w:color w:val="000000" w:themeColor="text1"/>
          <w:sz w:val="24"/>
          <w:szCs w:val="24"/>
        </w:rPr>
        <w:t xml:space="preserve">podhodnotilo </w:t>
      </w:r>
      <w:r w:rsidR="003B1443" w:rsidRPr="00E76F52">
        <w:rPr>
          <w:rFonts w:ascii="Calibri" w:hAnsi="Calibri" w:cs="Calibri"/>
          <w:color w:val="000000" w:themeColor="text1"/>
          <w:sz w:val="24"/>
          <w:szCs w:val="24"/>
        </w:rPr>
        <w:t>zůstatek účtu</w:t>
      </w:r>
      <w:r w:rsidR="005769AD" w:rsidRPr="00E76F52">
        <w:rPr>
          <w:rFonts w:ascii="Calibri" w:hAnsi="Calibri" w:cs="Calibri"/>
          <w:color w:val="000000" w:themeColor="text1"/>
          <w:sz w:val="24"/>
          <w:szCs w:val="24"/>
        </w:rPr>
        <w:t xml:space="preserve"> </w:t>
      </w:r>
      <w:r w:rsidR="005769AD" w:rsidRPr="000A469B">
        <w:rPr>
          <w:rFonts w:ascii="Calibri" w:hAnsi="Calibri" w:cs="Calibri"/>
          <w:color w:val="000000" w:themeColor="text1"/>
          <w:sz w:val="24"/>
          <w:szCs w:val="24"/>
        </w:rPr>
        <w:t>493</w:t>
      </w:r>
      <w:r w:rsidR="005769AD" w:rsidRPr="00E76F52">
        <w:rPr>
          <w:rFonts w:ascii="Calibri" w:hAnsi="Calibri" w:cs="Calibri"/>
          <w:i/>
          <w:color w:val="000000" w:themeColor="text1"/>
          <w:sz w:val="24"/>
          <w:szCs w:val="24"/>
        </w:rPr>
        <w:t xml:space="preserve"> – Výsledek hospodaření běžného účetního období</w:t>
      </w:r>
      <w:r w:rsidR="005769AD" w:rsidRPr="00E76F52">
        <w:rPr>
          <w:rFonts w:ascii="Calibri" w:hAnsi="Calibri" w:cs="Calibri"/>
          <w:color w:val="000000" w:themeColor="text1"/>
          <w:sz w:val="24"/>
          <w:szCs w:val="24"/>
        </w:rPr>
        <w:t xml:space="preserve"> </w:t>
      </w:r>
      <w:r w:rsidR="003B1443" w:rsidRPr="00E76F52">
        <w:rPr>
          <w:rFonts w:ascii="Calibri" w:hAnsi="Calibri" w:cs="Calibri"/>
          <w:color w:val="000000" w:themeColor="text1"/>
          <w:sz w:val="24"/>
          <w:szCs w:val="24"/>
        </w:rPr>
        <w:t xml:space="preserve">a ve </w:t>
      </w:r>
      <w:r w:rsidR="007E3FCA" w:rsidRPr="00E76F52">
        <w:rPr>
          <w:rFonts w:ascii="Calibri" w:hAnsi="Calibri" w:cs="Calibri"/>
          <w:color w:val="000000" w:themeColor="text1"/>
          <w:sz w:val="24"/>
          <w:szCs w:val="24"/>
        </w:rPr>
        <w:t xml:space="preserve">výkazu </w:t>
      </w:r>
      <w:r w:rsidR="003B1443" w:rsidRPr="00E76F52">
        <w:rPr>
          <w:rFonts w:ascii="Calibri" w:hAnsi="Calibri" w:cs="Calibri"/>
          <w:color w:val="000000" w:themeColor="text1"/>
          <w:sz w:val="24"/>
          <w:szCs w:val="24"/>
        </w:rPr>
        <w:t>zisku a ztráty</w:t>
      </w:r>
      <w:r w:rsidR="001C589D" w:rsidRPr="00E76F52">
        <w:rPr>
          <w:rFonts w:ascii="Calibri" w:hAnsi="Calibri" w:cs="Calibri"/>
          <w:color w:val="000000" w:themeColor="text1"/>
          <w:sz w:val="24"/>
          <w:szCs w:val="24"/>
        </w:rPr>
        <w:t xml:space="preserve"> o tuto částku</w:t>
      </w:r>
      <w:r w:rsidR="003B1443" w:rsidRPr="00E76F52">
        <w:rPr>
          <w:rFonts w:ascii="Calibri" w:hAnsi="Calibri" w:cs="Calibri"/>
          <w:color w:val="000000" w:themeColor="text1"/>
          <w:sz w:val="24"/>
          <w:szCs w:val="24"/>
        </w:rPr>
        <w:t xml:space="preserve"> nadhodnotilo </w:t>
      </w:r>
      <w:r w:rsidR="00B01129" w:rsidRPr="00E76F52">
        <w:rPr>
          <w:rFonts w:ascii="Calibri" w:hAnsi="Calibri" w:cs="Calibri"/>
          <w:color w:val="000000" w:themeColor="text1"/>
          <w:sz w:val="24"/>
          <w:szCs w:val="24"/>
        </w:rPr>
        <w:t xml:space="preserve">zůstatek </w:t>
      </w:r>
      <w:r w:rsidR="003B1443" w:rsidRPr="00E76F52">
        <w:rPr>
          <w:rFonts w:ascii="Calibri" w:hAnsi="Calibri" w:cs="Calibri"/>
          <w:color w:val="000000" w:themeColor="text1"/>
          <w:sz w:val="24"/>
          <w:szCs w:val="24"/>
        </w:rPr>
        <w:t>úč</w:t>
      </w:r>
      <w:r w:rsidR="00B01129" w:rsidRPr="00E76F52">
        <w:rPr>
          <w:rFonts w:ascii="Calibri" w:hAnsi="Calibri" w:cs="Calibri"/>
          <w:color w:val="000000" w:themeColor="text1"/>
          <w:sz w:val="24"/>
          <w:szCs w:val="24"/>
        </w:rPr>
        <w:t>tu</w:t>
      </w:r>
      <w:r w:rsidR="003B1443" w:rsidRPr="00E76F52">
        <w:rPr>
          <w:rFonts w:ascii="Calibri" w:hAnsi="Calibri" w:cs="Calibri"/>
          <w:color w:val="000000" w:themeColor="text1"/>
          <w:sz w:val="24"/>
          <w:szCs w:val="24"/>
        </w:rPr>
        <w:t xml:space="preserve"> </w:t>
      </w:r>
      <w:r w:rsidR="003B1443" w:rsidRPr="000A469B">
        <w:rPr>
          <w:rFonts w:ascii="Calibri" w:hAnsi="Calibri" w:cs="Calibri"/>
          <w:color w:val="000000" w:themeColor="text1"/>
          <w:sz w:val="24"/>
          <w:szCs w:val="24"/>
        </w:rPr>
        <w:t>571</w:t>
      </w:r>
      <w:r w:rsidR="003B1443" w:rsidRPr="00E76F52">
        <w:rPr>
          <w:rFonts w:ascii="Calibri" w:hAnsi="Calibri" w:cs="Calibri"/>
          <w:i/>
          <w:color w:val="000000" w:themeColor="text1"/>
          <w:sz w:val="24"/>
          <w:szCs w:val="24"/>
        </w:rPr>
        <w:t xml:space="preserve"> – Náklady vybraných ústředních institucí na transfery</w:t>
      </w:r>
      <w:r w:rsidR="001C589D" w:rsidRPr="00E76F52">
        <w:rPr>
          <w:rFonts w:ascii="Calibri" w:hAnsi="Calibri" w:cs="Calibri"/>
          <w:i/>
          <w:color w:val="000000" w:themeColor="text1"/>
          <w:sz w:val="24"/>
          <w:szCs w:val="24"/>
        </w:rPr>
        <w:t>.</w:t>
      </w:r>
      <w:r w:rsidR="0059324E" w:rsidRPr="00E76F52">
        <w:rPr>
          <w:rFonts w:ascii="Calibri" w:hAnsi="Calibri" w:cs="Calibri"/>
          <w:i/>
          <w:color w:val="000000" w:themeColor="text1"/>
          <w:sz w:val="24"/>
          <w:szCs w:val="24"/>
        </w:rPr>
        <w:t xml:space="preserve"> </w:t>
      </w:r>
    </w:p>
    <w:p w:rsidR="005416A5" w:rsidRPr="005416A5" w:rsidRDefault="005416A5" w:rsidP="00E76F52">
      <w:pPr>
        <w:spacing w:after="0" w:line="240" w:lineRule="auto"/>
        <w:jc w:val="both"/>
        <w:rPr>
          <w:rFonts w:ascii="Calibri" w:hAnsi="Calibri" w:cs="Calibri"/>
          <w:b/>
          <w:color w:val="000000" w:themeColor="text1"/>
          <w:sz w:val="24"/>
          <w:szCs w:val="24"/>
        </w:rPr>
      </w:pPr>
    </w:p>
    <w:p w:rsidR="00062D99" w:rsidRPr="00E76F52" w:rsidRDefault="00062D99" w:rsidP="00E76F52">
      <w:pPr>
        <w:spacing w:after="0" w:line="240" w:lineRule="auto"/>
        <w:jc w:val="both"/>
        <w:rPr>
          <w:rFonts w:ascii="Calibri" w:hAnsi="Calibri" w:cs="Calibri"/>
          <w:b/>
          <w:i/>
          <w:color w:val="000000" w:themeColor="text1"/>
          <w:sz w:val="24"/>
          <w:szCs w:val="24"/>
          <w:highlight w:val="cyan"/>
        </w:rPr>
      </w:pPr>
      <w:r w:rsidRPr="00E76F52">
        <w:rPr>
          <w:rFonts w:ascii="Calibri" w:hAnsi="Calibri" w:cs="Calibri"/>
          <w:b/>
          <w:i/>
          <w:color w:val="000000" w:themeColor="text1"/>
          <w:sz w:val="24"/>
          <w:szCs w:val="24"/>
        </w:rPr>
        <w:t>Oceňování a evidence dlouhodobého majetku</w:t>
      </w:r>
      <w:r w:rsidR="00B8069F" w:rsidRPr="00E76F52">
        <w:rPr>
          <w:rFonts w:ascii="Calibri" w:hAnsi="Calibri" w:cs="Calibri"/>
          <w:b/>
          <w:i/>
          <w:color w:val="000000" w:themeColor="text1"/>
          <w:sz w:val="24"/>
          <w:szCs w:val="24"/>
        </w:rPr>
        <w:t xml:space="preserve"> </w:t>
      </w:r>
    </w:p>
    <w:p w:rsidR="005416A5" w:rsidRDefault="005416A5" w:rsidP="00E76F52">
      <w:pPr>
        <w:spacing w:after="0" w:line="240" w:lineRule="auto"/>
        <w:jc w:val="both"/>
        <w:rPr>
          <w:rFonts w:ascii="Calibri" w:hAnsi="Calibri" w:cs="Calibri"/>
          <w:color w:val="000000" w:themeColor="text1"/>
          <w:sz w:val="24"/>
          <w:szCs w:val="24"/>
        </w:rPr>
      </w:pPr>
    </w:p>
    <w:p w:rsidR="00DC0066" w:rsidRDefault="00062D99"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MŽP nepostupovalo dle bodu 7.1 písm. a) ČÚS č</w:t>
      </w:r>
      <w:r w:rsidRPr="00E76F52">
        <w:rPr>
          <w:rFonts w:ascii="Calibri" w:hAnsi="Calibri" w:cs="Calibri"/>
          <w:i/>
          <w:color w:val="000000" w:themeColor="text1"/>
          <w:sz w:val="24"/>
          <w:szCs w:val="24"/>
        </w:rPr>
        <w:t>.</w:t>
      </w:r>
      <w:r w:rsidR="00AD68E7" w:rsidRPr="00E76F52">
        <w:rPr>
          <w:rFonts w:ascii="Calibri" w:hAnsi="Calibri" w:cs="Calibri"/>
          <w:i/>
          <w:color w:val="000000" w:themeColor="text1"/>
          <w:sz w:val="24"/>
          <w:szCs w:val="24"/>
        </w:rPr>
        <w:t xml:space="preserve"> </w:t>
      </w:r>
      <w:r w:rsidRPr="000A469B">
        <w:rPr>
          <w:rFonts w:ascii="Calibri" w:hAnsi="Calibri" w:cs="Calibri"/>
          <w:color w:val="000000" w:themeColor="text1"/>
          <w:sz w:val="24"/>
          <w:szCs w:val="24"/>
        </w:rPr>
        <w:t>710</w:t>
      </w:r>
      <w:r w:rsidR="00445068" w:rsidRPr="00E76F52">
        <w:rPr>
          <w:rFonts w:ascii="Calibri" w:hAnsi="Calibri" w:cs="Calibri"/>
          <w:i/>
          <w:color w:val="000000" w:themeColor="text1"/>
          <w:sz w:val="24"/>
          <w:szCs w:val="24"/>
        </w:rPr>
        <w:t xml:space="preserve"> – Dlouhodobý nehmotný majetek</w:t>
      </w:r>
      <w:r w:rsidR="00445068" w:rsidRPr="00E76F52">
        <w:rPr>
          <w:rFonts w:ascii="Calibri" w:hAnsi="Calibri" w:cs="Calibri"/>
          <w:color w:val="000000" w:themeColor="text1"/>
          <w:sz w:val="24"/>
          <w:szCs w:val="24"/>
        </w:rPr>
        <w:t xml:space="preserve"> </w:t>
      </w:r>
      <w:r w:rsidR="00445068" w:rsidRPr="000A469B">
        <w:rPr>
          <w:rFonts w:ascii="Calibri" w:hAnsi="Calibri" w:cs="Calibri"/>
          <w:i/>
          <w:color w:val="000000" w:themeColor="text1"/>
          <w:sz w:val="24"/>
          <w:szCs w:val="24"/>
        </w:rPr>
        <w:t>a</w:t>
      </w:r>
      <w:r w:rsidR="00AD68E7" w:rsidRPr="000A469B">
        <w:rPr>
          <w:rFonts w:ascii="Calibri" w:hAnsi="Calibri" w:cs="Calibri"/>
          <w:i/>
          <w:color w:val="000000" w:themeColor="text1"/>
          <w:sz w:val="24"/>
          <w:szCs w:val="24"/>
        </w:rPr>
        <w:t> </w:t>
      </w:r>
      <w:r w:rsidR="00445068" w:rsidRPr="00E76F52">
        <w:rPr>
          <w:rFonts w:ascii="Calibri" w:hAnsi="Calibri" w:cs="Calibri"/>
          <w:i/>
          <w:color w:val="000000" w:themeColor="text1"/>
          <w:sz w:val="24"/>
          <w:szCs w:val="24"/>
        </w:rPr>
        <w:t>dlouhodobý hmotný majetek</w:t>
      </w:r>
      <w:r w:rsidRPr="00E76F52">
        <w:rPr>
          <w:rFonts w:ascii="Calibri" w:hAnsi="Calibri" w:cs="Calibri"/>
          <w:color w:val="000000" w:themeColor="text1"/>
          <w:sz w:val="24"/>
          <w:szCs w:val="24"/>
        </w:rPr>
        <w:t xml:space="preserve">, neboť </w:t>
      </w:r>
      <w:r w:rsidR="001847B0" w:rsidRPr="00E76F52">
        <w:rPr>
          <w:rFonts w:ascii="Calibri" w:hAnsi="Calibri" w:cs="Calibri"/>
          <w:color w:val="000000" w:themeColor="text1"/>
          <w:sz w:val="24"/>
          <w:szCs w:val="24"/>
        </w:rPr>
        <w:t xml:space="preserve">neupravilo </w:t>
      </w:r>
      <w:r w:rsidRPr="00E76F52">
        <w:rPr>
          <w:rFonts w:ascii="Calibri" w:hAnsi="Calibri" w:cs="Calibri"/>
          <w:color w:val="000000" w:themeColor="text1"/>
          <w:sz w:val="24"/>
          <w:szCs w:val="24"/>
        </w:rPr>
        <w:t xml:space="preserve">vnitřním předpisem způsob </w:t>
      </w:r>
      <w:r w:rsidR="001847B0">
        <w:rPr>
          <w:rFonts w:ascii="Calibri" w:hAnsi="Calibri" w:cs="Calibri"/>
          <w:color w:val="000000" w:themeColor="text1"/>
          <w:sz w:val="24"/>
          <w:szCs w:val="24"/>
        </w:rPr>
        <w:t>zajišťování</w:t>
      </w:r>
      <w:r w:rsidRPr="00E76F52">
        <w:rPr>
          <w:rFonts w:ascii="Calibri" w:hAnsi="Calibri" w:cs="Calibri"/>
          <w:color w:val="000000" w:themeColor="text1"/>
          <w:sz w:val="24"/>
          <w:szCs w:val="24"/>
        </w:rPr>
        <w:t xml:space="preserve"> účetních záznamů pro potřeby ocenění dlouhodobého nehmotného a</w:t>
      </w:r>
      <w:r w:rsidR="001847B0">
        <w:rPr>
          <w:rFonts w:ascii="Calibri" w:hAnsi="Calibri" w:cs="Calibri"/>
          <w:color w:val="000000" w:themeColor="text1"/>
          <w:sz w:val="24"/>
          <w:szCs w:val="24"/>
        </w:rPr>
        <w:t> </w:t>
      </w:r>
      <w:r w:rsidRPr="00E76F52">
        <w:rPr>
          <w:rFonts w:ascii="Calibri" w:hAnsi="Calibri" w:cs="Calibri"/>
          <w:color w:val="000000" w:themeColor="text1"/>
          <w:sz w:val="24"/>
          <w:szCs w:val="24"/>
        </w:rPr>
        <w:t xml:space="preserve">dlouhodobého </w:t>
      </w:r>
      <w:r w:rsidRPr="00E76F52">
        <w:rPr>
          <w:rFonts w:ascii="Calibri" w:hAnsi="Calibri" w:cs="Calibri"/>
          <w:color w:val="000000" w:themeColor="text1"/>
          <w:sz w:val="24"/>
          <w:szCs w:val="24"/>
        </w:rPr>
        <w:lastRenderedPageBreak/>
        <w:t xml:space="preserve">hmotného majetku. </w:t>
      </w:r>
      <w:r w:rsidR="00D56A63" w:rsidRPr="00E76F52">
        <w:rPr>
          <w:rFonts w:ascii="Calibri" w:hAnsi="Calibri" w:cs="Calibri"/>
          <w:color w:val="000000" w:themeColor="text1"/>
          <w:sz w:val="24"/>
          <w:szCs w:val="24"/>
        </w:rPr>
        <w:t>Způsob evidence dlouhodobého majetku MŽP</w:t>
      </w:r>
      <w:r w:rsidR="00875763" w:rsidRPr="00E76F52">
        <w:rPr>
          <w:rFonts w:ascii="Calibri" w:hAnsi="Calibri" w:cs="Calibri"/>
          <w:color w:val="000000" w:themeColor="text1"/>
          <w:sz w:val="24"/>
          <w:szCs w:val="24"/>
        </w:rPr>
        <w:t xml:space="preserve"> nebyl v</w:t>
      </w:r>
      <w:r w:rsidR="001847B0">
        <w:rPr>
          <w:rFonts w:ascii="Calibri" w:hAnsi="Calibri" w:cs="Calibri"/>
          <w:color w:val="000000" w:themeColor="text1"/>
          <w:sz w:val="24"/>
          <w:szCs w:val="24"/>
        </w:rPr>
        <w:t> </w:t>
      </w:r>
      <w:r w:rsidR="00875763" w:rsidRPr="00E76F52">
        <w:rPr>
          <w:rFonts w:ascii="Calibri" w:hAnsi="Calibri" w:cs="Calibri"/>
          <w:color w:val="000000" w:themeColor="text1"/>
          <w:sz w:val="24"/>
          <w:szCs w:val="24"/>
        </w:rPr>
        <w:t>souladu s</w:t>
      </w:r>
      <w:r w:rsidR="00AD68E7" w:rsidRPr="00E76F52">
        <w:rPr>
          <w:rFonts w:ascii="Calibri" w:hAnsi="Calibri" w:cs="Calibri"/>
          <w:color w:val="000000" w:themeColor="text1"/>
          <w:sz w:val="24"/>
          <w:szCs w:val="24"/>
        </w:rPr>
        <w:t> </w:t>
      </w:r>
      <w:r w:rsidR="00610DD0" w:rsidRPr="00E76F52">
        <w:rPr>
          <w:rFonts w:ascii="Calibri" w:hAnsi="Calibri" w:cs="Calibri"/>
          <w:color w:val="000000" w:themeColor="text1"/>
          <w:sz w:val="24"/>
          <w:szCs w:val="24"/>
        </w:rPr>
        <w:t>ustanovení</w:t>
      </w:r>
      <w:r w:rsidR="00875763" w:rsidRPr="00E76F52">
        <w:rPr>
          <w:rFonts w:ascii="Calibri" w:hAnsi="Calibri" w:cs="Calibri"/>
          <w:color w:val="000000" w:themeColor="text1"/>
          <w:sz w:val="24"/>
          <w:szCs w:val="24"/>
        </w:rPr>
        <w:t>m</w:t>
      </w:r>
      <w:r w:rsidR="0079233E" w:rsidRPr="00E76F52">
        <w:rPr>
          <w:rFonts w:ascii="Calibri" w:hAnsi="Calibri" w:cs="Calibri"/>
          <w:color w:val="000000" w:themeColor="text1"/>
          <w:sz w:val="24"/>
          <w:szCs w:val="24"/>
        </w:rPr>
        <w:t xml:space="preserve"> § </w:t>
      </w:r>
      <w:r w:rsidR="0084082D" w:rsidRPr="00E76F52">
        <w:rPr>
          <w:rFonts w:ascii="Calibri" w:hAnsi="Calibri" w:cs="Calibri"/>
          <w:color w:val="000000" w:themeColor="text1"/>
          <w:sz w:val="24"/>
          <w:szCs w:val="24"/>
        </w:rPr>
        <w:t>55</w:t>
      </w:r>
      <w:r w:rsidR="00D56A63" w:rsidRPr="00E76F52">
        <w:rPr>
          <w:rFonts w:ascii="Calibri" w:hAnsi="Calibri" w:cs="Calibri"/>
          <w:color w:val="000000" w:themeColor="text1"/>
          <w:sz w:val="24"/>
          <w:szCs w:val="24"/>
        </w:rPr>
        <w:t xml:space="preserve"> vyhlášky č. 410/2009 Sb., neboť ocenění majetku nebylo </w:t>
      </w:r>
      <w:r w:rsidR="00610DD0" w:rsidRPr="00E76F52">
        <w:rPr>
          <w:rFonts w:ascii="Calibri" w:hAnsi="Calibri" w:cs="Calibri"/>
          <w:color w:val="000000" w:themeColor="text1"/>
          <w:sz w:val="24"/>
          <w:szCs w:val="24"/>
        </w:rPr>
        <w:t>zvyšováno</w:t>
      </w:r>
      <w:r w:rsidR="00D56A63" w:rsidRPr="00E76F52">
        <w:rPr>
          <w:rFonts w:ascii="Calibri" w:hAnsi="Calibri" w:cs="Calibri"/>
          <w:color w:val="000000" w:themeColor="text1"/>
          <w:sz w:val="24"/>
          <w:szCs w:val="24"/>
        </w:rPr>
        <w:t xml:space="preserve"> o</w:t>
      </w:r>
      <w:r w:rsidR="00AD68E7" w:rsidRPr="00E76F52">
        <w:rPr>
          <w:rFonts w:ascii="Calibri" w:hAnsi="Calibri" w:cs="Calibri"/>
          <w:color w:val="000000" w:themeColor="text1"/>
          <w:sz w:val="24"/>
          <w:szCs w:val="24"/>
        </w:rPr>
        <w:t> </w:t>
      </w:r>
      <w:r w:rsidR="00D56A63" w:rsidRPr="00E76F52">
        <w:rPr>
          <w:rFonts w:ascii="Calibri" w:hAnsi="Calibri" w:cs="Calibri"/>
          <w:color w:val="000000" w:themeColor="text1"/>
          <w:sz w:val="24"/>
          <w:szCs w:val="24"/>
        </w:rPr>
        <w:t>provedené technické zhodnocení</w:t>
      </w:r>
      <w:r w:rsidR="0079233E" w:rsidRPr="00E76F52">
        <w:rPr>
          <w:rFonts w:ascii="Calibri" w:hAnsi="Calibri" w:cs="Calibri"/>
          <w:color w:val="000000" w:themeColor="text1"/>
          <w:sz w:val="24"/>
          <w:szCs w:val="24"/>
        </w:rPr>
        <w:t>.</w:t>
      </w:r>
      <w:r w:rsidR="00875763" w:rsidRPr="00E76F52">
        <w:rPr>
          <w:rFonts w:ascii="Calibri" w:hAnsi="Calibri" w:cs="Calibri"/>
          <w:color w:val="000000" w:themeColor="text1"/>
          <w:sz w:val="24"/>
          <w:szCs w:val="24"/>
        </w:rPr>
        <w:t xml:space="preserve"> </w:t>
      </w:r>
      <w:r w:rsidR="0002053C" w:rsidRPr="00E76F52">
        <w:rPr>
          <w:rFonts w:ascii="Calibri" w:hAnsi="Calibri" w:cs="Calibri"/>
          <w:color w:val="000000" w:themeColor="text1"/>
          <w:sz w:val="24"/>
          <w:szCs w:val="24"/>
        </w:rPr>
        <w:t>T</w:t>
      </w:r>
      <w:r w:rsidR="00610DD0" w:rsidRPr="00E76F52">
        <w:rPr>
          <w:rFonts w:ascii="Calibri" w:hAnsi="Calibri" w:cs="Calibri"/>
          <w:color w:val="000000" w:themeColor="text1"/>
          <w:sz w:val="24"/>
          <w:szCs w:val="24"/>
        </w:rPr>
        <w:t>echnická zhodnocení</w:t>
      </w:r>
      <w:r w:rsidR="0066351D" w:rsidRPr="00E76F52">
        <w:rPr>
          <w:rFonts w:ascii="Calibri" w:hAnsi="Calibri" w:cs="Calibri"/>
          <w:color w:val="000000" w:themeColor="text1"/>
          <w:sz w:val="24"/>
          <w:szCs w:val="24"/>
        </w:rPr>
        <w:t xml:space="preserve"> </w:t>
      </w:r>
      <w:r w:rsidR="00875763" w:rsidRPr="00E76F52">
        <w:rPr>
          <w:rFonts w:ascii="Calibri" w:hAnsi="Calibri" w:cs="Calibri"/>
          <w:color w:val="000000" w:themeColor="text1"/>
          <w:sz w:val="24"/>
          <w:szCs w:val="24"/>
        </w:rPr>
        <w:t>byla evidována</w:t>
      </w:r>
      <w:r w:rsidR="0066351D" w:rsidRPr="00E76F52">
        <w:rPr>
          <w:rFonts w:ascii="Calibri" w:hAnsi="Calibri" w:cs="Calibri"/>
          <w:color w:val="000000" w:themeColor="text1"/>
          <w:sz w:val="24"/>
          <w:szCs w:val="24"/>
        </w:rPr>
        <w:t xml:space="preserve"> jako samostatné majetkové položky</w:t>
      </w:r>
      <w:r w:rsidR="003A332C" w:rsidRPr="00E76F52">
        <w:rPr>
          <w:rFonts w:ascii="Calibri" w:hAnsi="Calibri" w:cs="Calibri"/>
          <w:color w:val="000000" w:themeColor="text1"/>
          <w:sz w:val="24"/>
          <w:szCs w:val="24"/>
        </w:rPr>
        <w:t xml:space="preserve">, které </w:t>
      </w:r>
      <w:r w:rsidR="00875763" w:rsidRPr="00E76F52">
        <w:rPr>
          <w:rFonts w:ascii="Calibri" w:hAnsi="Calibri" w:cs="Calibri"/>
          <w:color w:val="000000" w:themeColor="text1"/>
          <w:sz w:val="24"/>
          <w:szCs w:val="24"/>
        </w:rPr>
        <w:t>byly</w:t>
      </w:r>
      <w:r w:rsidR="00610DD0" w:rsidRPr="00E76F52">
        <w:rPr>
          <w:rFonts w:ascii="Calibri" w:hAnsi="Calibri" w:cs="Calibri"/>
          <w:color w:val="000000" w:themeColor="text1"/>
          <w:sz w:val="24"/>
          <w:szCs w:val="24"/>
        </w:rPr>
        <w:t xml:space="preserve"> </w:t>
      </w:r>
      <w:r w:rsidR="003A332C" w:rsidRPr="00E76F52">
        <w:rPr>
          <w:rFonts w:ascii="Calibri" w:hAnsi="Calibri" w:cs="Calibri"/>
          <w:color w:val="000000" w:themeColor="text1"/>
          <w:sz w:val="24"/>
          <w:szCs w:val="24"/>
        </w:rPr>
        <w:t xml:space="preserve">samostatně </w:t>
      </w:r>
      <w:r w:rsidR="001847B0">
        <w:rPr>
          <w:rFonts w:ascii="Calibri" w:hAnsi="Calibri" w:cs="Calibri"/>
          <w:color w:val="000000" w:themeColor="text1"/>
          <w:sz w:val="24"/>
          <w:szCs w:val="24"/>
        </w:rPr>
        <w:t>i </w:t>
      </w:r>
      <w:r w:rsidR="003A332C" w:rsidRPr="00E76F52">
        <w:rPr>
          <w:rFonts w:ascii="Calibri" w:hAnsi="Calibri" w:cs="Calibri"/>
          <w:color w:val="000000" w:themeColor="text1"/>
          <w:sz w:val="24"/>
          <w:szCs w:val="24"/>
        </w:rPr>
        <w:t>od</w:t>
      </w:r>
      <w:r w:rsidR="00875763" w:rsidRPr="00E76F52">
        <w:rPr>
          <w:rFonts w:ascii="Calibri" w:hAnsi="Calibri" w:cs="Calibri"/>
          <w:color w:val="000000" w:themeColor="text1"/>
          <w:sz w:val="24"/>
          <w:szCs w:val="24"/>
        </w:rPr>
        <w:t>pisovány (např. software slouž</w:t>
      </w:r>
      <w:r w:rsidR="00004394" w:rsidRPr="00E76F52">
        <w:rPr>
          <w:rFonts w:ascii="Calibri" w:hAnsi="Calibri" w:cs="Calibri"/>
          <w:color w:val="000000" w:themeColor="text1"/>
          <w:sz w:val="24"/>
          <w:szCs w:val="24"/>
        </w:rPr>
        <w:t>í</w:t>
      </w:r>
      <w:r w:rsidR="00875763" w:rsidRPr="00E76F52">
        <w:rPr>
          <w:rFonts w:ascii="Calibri" w:hAnsi="Calibri" w:cs="Calibri"/>
          <w:color w:val="000000" w:themeColor="text1"/>
          <w:sz w:val="24"/>
          <w:szCs w:val="24"/>
        </w:rPr>
        <w:t>cí k podpoře odpadové legislativy)</w:t>
      </w:r>
      <w:r w:rsidR="003A332C" w:rsidRPr="00E76F52">
        <w:rPr>
          <w:rFonts w:ascii="Calibri" w:hAnsi="Calibri" w:cs="Calibri"/>
          <w:color w:val="000000" w:themeColor="text1"/>
          <w:sz w:val="24"/>
          <w:szCs w:val="24"/>
        </w:rPr>
        <w:t>.</w:t>
      </w:r>
      <w:r w:rsidR="0084082D" w:rsidRPr="00E76F52">
        <w:rPr>
          <w:rFonts w:ascii="Calibri" w:hAnsi="Calibri" w:cs="Calibri"/>
          <w:color w:val="000000" w:themeColor="text1"/>
          <w:sz w:val="24"/>
          <w:szCs w:val="24"/>
        </w:rPr>
        <w:t xml:space="preserve"> Takový postup byl </w:t>
      </w:r>
      <w:r w:rsidR="001847B0">
        <w:rPr>
          <w:rFonts w:ascii="Calibri" w:hAnsi="Calibri" w:cs="Calibri"/>
          <w:color w:val="000000" w:themeColor="text1"/>
          <w:sz w:val="24"/>
          <w:szCs w:val="24"/>
        </w:rPr>
        <w:t>použit</w:t>
      </w:r>
      <w:r w:rsidR="0084082D" w:rsidRPr="00E76F52">
        <w:rPr>
          <w:rFonts w:ascii="Calibri" w:hAnsi="Calibri" w:cs="Calibri"/>
          <w:color w:val="000000" w:themeColor="text1"/>
          <w:sz w:val="24"/>
          <w:szCs w:val="24"/>
        </w:rPr>
        <w:t xml:space="preserve"> i v</w:t>
      </w:r>
      <w:r w:rsidR="007405FC" w:rsidRPr="00E76F52">
        <w:rPr>
          <w:rFonts w:ascii="Calibri" w:hAnsi="Calibri" w:cs="Calibri"/>
          <w:color w:val="000000" w:themeColor="text1"/>
          <w:sz w:val="24"/>
          <w:szCs w:val="24"/>
        </w:rPr>
        <w:t xml:space="preserve"> </w:t>
      </w:r>
      <w:r w:rsidR="0084082D" w:rsidRPr="00E76F52">
        <w:rPr>
          <w:rFonts w:ascii="Calibri" w:hAnsi="Calibri" w:cs="Calibri"/>
          <w:color w:val="000000" w:themeColor="text1"/>
          <w:sz w:val="24"/>
          <w:szCs w:val="24"/>
        </w:rPr>
        <w:t>případě, že majetek byl hrazen postupně</w:t>
      </w:r>
      <w:r w:rsidR="003F2EBC" w:rsidRPr="00E76F52">
        <w:rPr>
          <w:rFonts w:ascii="Calibri" w:hAnsi="Calibri" w:cs="Calibri"/>
          <w:color w:val="000000" w:themeColor="text1"/>
          <w:sz w:val="24"/>
          <w:szCs w:val="24"/>
        </w:rPr>
        <w:t>,</w:t>
      </w:r>
      <w:r w:rsidR="0084082D" w:rsidRPr="00E76F52">
        <w:rPr>
          <w:rFonts w:ascii="Calibri" w:hAnsi="Calibri" w:cs="Calibri"/>
          <w:color w:val="000000" w:themeColor="text1"/>
          <w:sz w:val="24"/>
          <w:szCs w:val="24"/>
        </w:rPr>
        <w:t xml:space="preserve"> tzn. ve splátkách (</w:t>
      </w:r>
      <w:proofErr w:type="spellStart"/>
      <w:r w:rsidR="0084082D" w:rsidRPr="00E76F52">
        <w:rPr>
          <w:rFonts w:ascii="Calibri" w:hAnsi="Calibri" w:cs="Calibri"/>
          <w:color w:val="000000" w:themeColor="text1"/>
          <w:sz w:val="24"/>
          <w:szCs w:val="24"/>
        </w:rPr>
        <w:t>ortofotomapy</w:t>
      </w:r>
      <w:proofErr w:type="spellEnd"/>
      <w:r w:rsidR="0084082D" w:rsidRPr="00E76F52">
        <w:rPr>
          <w:rFonts w:ascii="Calibri" w:hAnsi="Calibri" w:cs="Calibri"/>
          <w:color w:val="000000" w:themeColor="text1"/>
          <w:sz w:val="24"/>
          <w:szCs w:val="24"/>
        </w:rPr>
        <w:t xml:space="preserve">). </w:t>
      </w:r>
      <w:r w:rsidR="0066351D" w:rsidRPr="00E76F52">
        <w:rPr>
          <w:rFonts w:ascii="Calibri" w:hAnsi="Calibri" w:cs="Calibri"/>
          <w:color w:val="000000" w:themeColor="text1"/>
          <w:sz w:val="24"/>
          <w:szCs w:val="24"/>
        </w:rPr>
        <w:t>Z</w:t>
      </w:r>
      <w:r w:rsidR="007405FC" w:rsidRPr="00E76F52">
        <w:rPr>
          <w:rFonts w:ascii="Calibri" w:hAnsi="Calibri" w:cs="Calibri"/>
          <w:color w:val="000000" w:themeColor="text1"/>
          <w:sz w:val="24"/>
          <w:szCs w:val="24"/>
        </w:rPr>
        <w:t xml:space="preserve"> </w:t>
      </w:r>
      <w:r w:rsidR="0066351D" w:rsidRPr="00E76F52">
        <w:rPr>
          <w:rFonts w:ascii="Calibri" w:hAnsi="Calibri" w:cs="Calibri"/>
          <w:color w:val="000000" w:themeColor="text1"/>
          <w:sz w:val="24"/>
          <w:szCs w:val="24"/>
        </w:rPr>
        <w:t>majetkové evidence MŽP</w:t>
      </w:r>
      <w:r w:rsidR="00E7682F" w:rsidRPr="00E76F52">
        <w:rPr>
          <w:rFonts w:ascii="Calibri" w:hAnsi="Calibri" w:cs="Calibri"/>
          <w:color w:val="000000" w:themeColor="text1"/>
          <w:sz w:val="24"/>
          <w:szCs w:val="24"/>
        </w:rPr>
        <w:t xml:space="preserve"> tak</w:t>
      </w:r>
      <w:r w:rsidR="0066351D" w:rsidRPr="00E76F52">
        <w:rPr>
          <w:rFonts w:ascii="Calibri" w:hAnsi="Calibri" w:cs="Calibri"/>
          <w:color w:val="000000" w:themeColor="text1"/>
          <w:sz w:val="24"/>
          <w:szCs w:val="24"/>
        </w:rPr>
        <w:t xml:space="preserve"> nebylo možné</w:t>
      </w:r>
      <w:r w:rsidR="00610DD0" w:rsidRPr="00E76F52">
        <w:rPr>
          <w:rFonts w:ascii="Calibri" w:hAnsi="Calibri" w:cs="Calibri"/>
          <w:color w:val="000000" w:themeColor="text1"/>
          <w:sz w:val="24"/>
          <w:szCs w:val="24"/>
        </w:rPr>
        <w:t xml:space="preserve"> v</w:t>
      </w:r>
      <w:r w:rsidR="00CD1EEB" w:rsidRPr="00E76F52">
        <w:rPr>
          <w:rFonts w:ascii="Calibri" w:hAnsi="Calibri" w:cs="Calibri"/>
          <w:color w:val="000000" w:themeColor="text1"/>
          <w:sz w:val="24"/>
          <w:szCs w:val="24"/>
        </w:rPr>
        <w:t> </w:t>
      </w:r>
      <w:r w:rsidR="00610DD0" w:rsidRPr="00E76F52">
        <w:rPr>
          <w:rFonts w:ascii="Calibri" w:hAnsi="Calibri" w:cs="Calibri"/>
          <w:color w:val="000000" w:themeColor="text1"/>
          <w:sz w:val="24"/>
          <w:szCs w:val="24"/>
        </w:rPr>
        <w:t>celém rozsahu</w:t>
      </w:r>
      <w:r w:rsidR="0066351D" w:rsidRPr="00E76F52">
        <w:rPr>
          <w:rFonts w:ascii="Calibri" w:hAnsi="Calibri" w:cs="Calibri"/>
          <w:color w:val="000000" w:themeColor="text1"/>
          <w:sz w:val="24"/>
          <w:szCs w:val="24"/>
        </w:rPr>
        <w:t xml:space="preserve"> </w:t>
      </w:r>
      <w:r w:rsidR="0079233E" w:rsidRPr="00E76F52">
        <w:rPr>
          <w:rFonts w:ascii="Calibri" w:hAnsi="Calibri" w:cs="Calibri"/>
          <w:color w:val="000000" w:themeColor="text1"/>
          <w:sz w:val="24"/>
          <w:szCs w:val="24"/>
        </w:rPr>
        <w:t xml:space="preserve">jednoznačně </w:t>
      </w:r>
      <w:r w:rsidR="0066351D" w:rsidRPr="00E76F52">
        <w:rPr>
          <w:rFonts w:ascii="Calibri" w:hAnsi="Calibri" w:cs="Calibri"/>
          <w:color w:val="000000" w:themeColor="text1"/>
          <w:sz w:val="24"/>
          <w:szCs w:val="24"/>
        </w:rPr>
        <w:t>určit, k</w:t>
      </w:r>
      <w:r w:rsidR="007405FC" w:rsidRPr="00E76F52">
        <w:rPr>
          <w:rFonts w:ascii="Calibri" w:hAnsi="Calibri" w:cs="Calibri"/>
          <w:color w:val="000000" w:themeColor="text1"/>
          <w:sz w:val="24"/>
          <w:szCs w:val="24"/>
        </w:rPr>
        <w:t xml:space="preserve"> </w:t>
      </w:r>
      <w:r w:rsidR="0066351D" w:rsidRPr="00E76F52">
        <w:rPr>
          <w:rFonts w:ascii="Calibri" w:hAnsi="Calibri" w:cs="Calibri"/>
          <w:color w:val="000000" w:themeColor="text1"/>
          <w:sz w:val="24"/>
          <w:szCs w:val="24"/>
        </w:rPr>
        <w:t xml:space="preserve">jakému majetku se </w:t>
      </w:r>
      <w:r w:rsidR="00415FBA" w:rsidRPr="00E76F52">
        <w:rPr>
          <w:rFonts w:ascii="Calibri" w:hAnsi="Calibri" w:cs="Calibri"/>
          <w:color w:val="000000" w:themeColor="text1"/>
          <w:sz w:val="24"/>
          <w:szCs w:val="24"/>
        </w:rPr>
        <w:t xml:space="preserve">provedené </w:t>
      </w:r>
      <w:r w:rsidR="0066351D" w:rsidRPr="00E76F52">
        <w:rPr>
          <w:rFonts w:ascii="Calibri" w:hAnsi="Calibri" w:cs="Calibri"/>
          <w:color w:val="000000" w:themeColor="text1"/>
          <w:sz w:val="24"/>
          <w:szCs w:val="24"/>
        </w:rPr>
        <w:t>technické zhodnocení vztahuje.</w:t>
      </w:r>
      <w:r w:rsidR="0066351D" w:rsidRPr="00D01665">
        <w:rPr>
          <w:rFonts w:ascii="Calibri" w:hAnsi="Calibri" w:cs="Calibri"/>
          <w:color w:val="000000" w:themeColor="text1"/>
          <w:sz w:val="24"/>
          <w:szCs w:val="24"/>
        </w:rPr>
        <w:t xml:space="preserve"> </w:t>
      </w:r>
      <w:bookmarkStart w:id="1" w:name="_Toc404844864"/>
      <w:r w:rsidR="00610DD0" w:rsidRPr="00E76F52">
        <w:rPr>
          <w:rFonts w:ascii="Calibri" w:hAnsi="Calibri" w:cs="Calibri"/>
          <w:color w:val="000000" w:themeColor="text1"/>
          <w:sz w:val="24"/>
          <w:szCs w:val="24"/>
        </w:rPr>
        <w:t>Tato skutečnost má obecně vliv na výši vykazovaných odpisů, oprávek a hodnot majetku ve sloupci „Netto“ ve výkazu rozvaha.</w:t>
      </w:r>
    </w:p>
    <w:p w:rsidR="005416A5" w:rsidRPr="00E76F52" w:rsidRDefault="005416A5" w:rsidP="00E76F52">
      <w:pPr>
        <w:spacing w:after="0" w:line="240" w:lineRule="auto"/>
        <w:jc w:val="both"/>
        <w:rPr>
          <w:rFonts w:ascii="Calibri" w:hAnsi="Calibri" w:cs="Calibri"/>
          <w:color w:val="000000" w:themeColor="text1"/>
          <w:sz w:val="24"/>
          <w:szCs w:val="24"/>
        </w:rPr>
      </w:pPr>
    </w:p>
    <w:bookmarkEnd w:id="1"/>
    <w:p w:rsidR="00DC0066" w:rsidRPr="00E76F52" w:rsidRDefault="00875763" w:rsidP="00E76F52">
      <w:pPr>
        <w:spacing w:after="0" w:line="240" w:lineRule="auto"/>
        <w:jc w:val="both"/>
        <w:rPr>
          <w:rFonts w:ascii="Calibri" w:hAnsi="Calibri" w:cs="Calibri"/>
          <w:color w:val="000000" w:themeColor="text1"/>
          <w:sz w:val="24"/>
          <w:szCs w:val="24"/>
        </w:rPr>
      </w:pPr>
      <w:proofErr w:type="spellStart"/>
      <w:r w:rsidRPr="00E76F52">
        <w:rPr>
          <w:rFonts w:ascii="Calibri" w:hAnsi="Calibri" w:cs="Calibri"/>
          <w:b/>
          <w:i/>
          <w:color w:val="000000" w:themeColor="text1"/>
          <w:sz w:val="24"/>
          <w:szCs w:val="24"/>
        </w:rPr>
        <w:t>Ortofotomapy</w:t>
      </w:r>
      <w:proofErr w:type="spellEnd"/>
    </w:p>
    <w:p w:rsidR="005416A5" w:rsidRDefault="005416A5" w:rsidP="00E76F52">
      <w:pPr>
        <w:spacing w:after="0" w:line="240" w:lineRule="auto"/>
        <w:jc w:val="both"/>
        <w:rPr>
          <w:rFonts w:ascii="Calibri" w:hAnsi="Calibri" w:cs="Calibri"/>
          <w:color w:val="000000" w:themeColor="text1"/>
          <w:sz w:val="24"/>
          <w:szCs w:val="24"/>
        </w:rPr>
      </w:pPr>
    </w:p>
    <w:p w:rsidR="00C16B7A" w:rsidRDefault="005C378D"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Na základě licenční smlouvy je MŽP oprávněno k</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výkonu práva uží</w:t>
      </w:r>
      <w:r w:rsidR="002134F7" w:rsidRPr="00E76F52">
        <w:rPr>
          <w:rFonts w:ascii="Calibri" w:hAnsi="Calibri" w:cs="Calibri"/>
          <w:color w:val="000000" w:themeColor="text1"/>
          <w:sz w:val="24"/>
          <w:szCs w:val="24"/>
        </w:rPr>
        <w:t>vat</w:t>
      </w:r>
      <w:r w:rsidRPr="00E76F52">
        <w:rPr>
          <w:rFonts w:ascii="Calibri" w:hAnsi="Calibri" w:cs="Calibri"/>
          <w:color w:val="000000" w:themeColor="text1"/>
          <w:sz w:val="24"/>
          <w:szCs w:val="24"/>
        </w:rPr>
        <w:t xml:space="preserve"> </w:t>
      </w:r>
      <w:proofErr w:type="spellStart"/>
      <w:r w:rsidRPr="00E76F52">
        <w:rPr>
          <w:rFonts w:ascii="Calibri" w:hAnsi="Calibri" w:cs="Calibri"/>
          <w:color w:val="000000" w:themeColor="text1"/>
          <w:sz w:val="24"/>
          <w:szCs w:val="24"/>
        </w:rPr>
        <w:t>ortofotomapy</w:t>
      </w:r>
      <w:proofErr w:type="spellEnd"/>
      <w:r w:rsidRPr="00E76F52">
        <w:rPr>
          <w:rFonts w:ascii="Calibri" w:hAnsi="Calibri" w:cs="Calibri"/>
          <w:color w:val="000000" w:themeColor="text1"/>
          <w:sz w:val="24"/>
          <w:szCs w:val="24"/>
        </w:rPr>
        <w:t xml:space="preserve"> správního území České republiky 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hodnotě 9</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450 000 Kč</w:t>
      </w:r>
      <w:r w:rsidR="00B81B55" w:rsidRPr="00E76F52">
        <w:rPr>
          <w:rFonts w:ascii="Calibri" w:hAnsi="Calibri" w:cs="Calibri"/>
          <w:color w:val="000000" w:themeColor="text1"/>
          <w:sz w:val="24"/>
          <w:szCs w:val="24"/>
        </w:rPr>
        <w:t xml:space="preserve">. </w:t>
      </w:r>
      <w:r w:rsidR="002134F7" w:rsidRPr="00E76F52">
        <w:rPr>
          <w:rFonts w:ascii="Calibri" w:hAnsi="Calibri" w:cs="Calibri"/>
          <w:color w:val="000000" w:themeColor="text1"/>
          <w:sz w:val="24"/>
          <w:szCs w:val="24"/>
        </w:rPr>
        <w:t>Tento majetek MŽP v ÚZ</w:t>
      </w:r>
      <w:r w:rsidR="00B81B55" w:rsidRPr="00E76F52">
        <w:rPr>
          <w:rFonts w:ascii="Calibri" w:hAnsi="Calibri" w:cs="Calibri"/>
          <w:color w:val="000000" w:themeColor="text1"/>
          <w:sz w:val="24"/>
          <w:szCs w:val="24"/>
        </w:rPr>
        <w:t xml:space="preserve"> k 31.</w:t>
      </w:r>
      <w:r w:rsidR="00AD68E7" w:rsidRPr="00E76F52">
        <w:rPr>
          <w:rFonts w:ascii="Calibri" w:hAnsi="Calibri" w:cs="Calibri"/>
          <w:color w:val="000000" w:themeColor="text1"/>
          <w:sz w:val="24"/>
          <w:szCs w:val="24"/>
        </w:rPr>
        <w:t> </w:t>
      </w:r>
      <w:r w:rsidR="00B81B55" w:rsidRPr="00E76F52">
        <w:rPr>
          <w:rFonts w:ascii="Calibri" w:hAnsi="Calibri" w:cs="Calibri"/>
          <w:color w:val="000000" w:themeColor="text1"/>
          <w:sz w:val="24"/>
          <w:szCs w:val="24"/>
        </w:rPr>
        <w:t>prosinci 2013</w:t>
      </w:r>
      <w:r w:rsidR="002134F7" w:rsidRPr="00E76F52">
        <w:rPr>
          <w:rFonts w:ascii="Calibri" w:hAnsi="Calibri" w:cs="Calibri"/>
          <w:color w:val="000000" w:themeColor="text1"/>
          <w:sz w:val="24"/>
          <w:szCs w:val="24"/>
        </w:rPr>
        <w:t xml:space="preserve"> vykázalo</w:t>
      </w:r>
      <w:r w:rsidR="00B81B55" w:rsidRPr="00E76F52">
        <w:rPr>
          <w:rFonts w:ascii="Calibri" w:hAnsi="Calibri" w:cs="Calibri"/>
          <w:color w:val="000000" w:themeColor="text1"/>
          <w:sz w:val="24"/>
          <w:szCs w:val="24"/>
        </w:rPr>
        <w:t xml:space="preserve"> na účtu </w:t>
      </w:r>
      <w:r w:rsidR="00B81B55" w:rsidRPr="000A469B">
        <w:rPr>
          <w:rFonts w:ascii="Calibri" w:hAnsi="Calibri" w:cs="Calibri"/>
          <w:color w:val="000000" w:themeColor="text1"/>
          <w:sz w:val="24"/>
          <w:szCs w:val="24"/>
        </w:rPr>
        <w:t>013</w:t>
      </w:r>
      <w:r w:rsidR="00B81B55" w:rsidRPr="00E76F52">
        <w:rPr>
          <w:rFonts w:ascii="Calibri" w:hAnsi="Calibri" w:cs="Calibri"/>
          <w:i/>
          <w:color w:val="000000" w:themeColor="text1"/>
          <w:sz w:val="24"/>
          <w:szCs w:val="24"/>
        </w:rPr>
        <w:t xml:space="preserve"> – Software</w:t>
      </w:r>
      <w:r w:rsidR="002134F7" w:rsidRPr="00E76F52">
        <w:rPr>
          <w:rFonts w:ascii="Calibri" w:hAnsi="Calibri" w:cs="Calibri"/>
          <w:i/>
          <w:color w:val="000000" w:themeColor="text1"/>
          <w:sz w:val="24"/>
          <w:szCs w:val="24"/>
        </w:rPr>
        <w:t>.</w:t>
      </w:r>
      <w:r w:rsidR="002134F7" w:rsidRPr="00E76F52">
        <w:rPr>
          <w:rFonts w:ascii="Calibri" w:hAnsi="Calibri" w:cs="Calibri"/>
          <w:color w:val="000000" w:themeColor="text1"/>
          <w:sz w:val="24"/>
          <w:szCs w:val="24"/>
        </w:rPr>
        <w:t xml:space="preserve"> V</w:t>
      </w:r>
      <w:r w:rsidR="007405FC" w:rsidRPr="00E76F52">
        <w:rPr>
          <w:rFonts w:ascii="Calibri" w:hAnsi="Calibri" w:cs="Calibri"/>
          <w:color w:val="000000" w:themeColor="text1"/>
          <w:sz w:val="24"/>
          <w:szCs w:val="24"/>
        </w:rPr>
        <w:t xml:space="preserve"> </w:t>
      </w:r>
      <w:r w:rsidR="002134F7" w:rsidRPr="00E76F52">
        <w:rPr>
          <w:rFonts w:ascii="Calibri" w:hAnsi="Calibri" w:cs="Calibri"/>
          <w:color w:val="000000" w:themeColor="text1"/>
          <w:sz w:val="24"/>
          <w:szCs w:val="24"/>
        </w:rPr>
        <w:t>tomto případě ale nejde o sof</w:t>
      </w:r>
      <w:r w:rsidR="00090ABF" w:rsidRPr="00E76F52">
        <w:rPr>
          <w:rFonts w:ascii="Calibri" w:hAnsi="Calibri" w:cs="Calibri"/>
          <w:color w:val="000000" w:themeColor="text1"/>
          <w:sz w:val="24"/>
          <w:szCs w:val="24"/>
        </w:rPr>
        <w:t>t</w:t>
      </w:r>
      <w:r w:rsidR="002134F7" w:rsidRPr="00E76F52">
        <w:rPr>
          <w:rFonts w:ascii="Calibri" w:hAnsi="Calibri" w:cs="Calibri"/>
          <w:color w:val="000000" w:themeColor="text1"/>
          <w:sz w:val="24"/>
          <w:szCs w:val="24"/>
        </w:rPr>
        <w:t>ware, ale o jiná ocenitelná práva</w:t>
      </w:r>
      <w:r w:rsidR="00AF2B97" w:rsidRPr="00E76F52">
        <w:rPr>
          <w:rFonts w:ascii="Calibri" w:hAnsi="Calibri" w:cs="Calibri"/>
          <w:color w:val="000000" w:themeColor="text1"/>
          <w:sz w:val="24"/>
          <w:szCs w:val="24"/>
        </w:rPr>
        <w:t>, k</w:t>
      </w:r>
      <w:r w:rsidR="007405FC" w:rsidRPr="00E76F52">
        <w:rPr>
          <w:rFonts w:ascii="Calibri" w:hAnsi="Calibri" w:cs="Calibri"/>
          <w:color w:val="000000" w:themeColor="text1"/>
          <w:sz w:val="24"/>
          <w:szCs w:val="24"/>
        </w:rPr>
        <w:t xml:space="preserve"> </w:t>
      </w:r>
      <w:r w:rsidR="00AF2B97" w:rsidRPr="00E76F52">
        <w:rPr>
          <w:rFonts w:ascii="Calibri" w:hAnsi="Calibri" w:cs="Calibri"/>
          <w:color w:val="000000" w:themeColor="text1"/>
          <w:sz w:val="24"/>
          <w:szCs w:val="24"/>
        </w:rPr>
        <w:t>nimž byla uzavřena l</w:t>
      </w:r>
      <w:r w:rsidR="002134F7" w:rsidRPr="00E76F52">
        <w:rPr>
          <w:rFonts w:ascii="Calibri" w:hAnsi="Calibri" w:cs="Calibri"/>
          <w:color w:val="000000" w:themeColor="text1"/>
          <w:sz w:val="24"/>
          <w:szCs w:val="24"/>
        </w:rPr>
        <w:t>i</w:t>
      </w:r>
      <w:r w:rsidR="00B81B55" w:rsidRPr="00E76F52">
        <w:rPr>
          <w:rFonts w:ascii="Calibri" w:hAnsi="Calibri" w:cs="Calibri"/>
          <w:color w:val="000000" w:themeColor="text1"/>
          <w:sz w:val="24"/>
          <w:szCs w:val="24"/>
        </w:rPr>
        <w:t>cenční smlouva podle zákona č.</w:t>
      </w:r>
      <w:r w:rsidR="00AD68E7" w:rsidRPr="00E76F52">
        <w:rPr>
          <w:rFonts w:ascii="Calibri" w:hAnsi="Calibri" w:cs="Calibri"/>
          <w:color w:val="000000" w:themeColor="text1"/>
          <w:sz w:val="24"/>
          <w:szCs w:val="24"/>
        </w:rPr>
        <w:t> </w:t>
      </w:r>
      <w:r w:rsidR="00B81B55" w:rsidRPr="00E76F52">
        <w:rPr>
          <w:rFonts w:ascii="Calibri" w:hAnsi="Calibri" w:cs="Calibri"/>
          <w:color w:val="000000" w:themeColor="text1"/>
          <w:sz w:val="24"/>
          <w:szCs w:val="24"/>
        </w:rPr>
        <w:t>121/2000</w:t>
      </w:r>
      <w:r w:rsidR="00AD68E7" w:rsidRPr="00E76F52">
        <w:rPr>
          <w:rFonts w:ascii="Calibri" w:hAnsi="Calibri" w:cs="Calibri"/>
          <w:color w:val="000000" w:themeColor="text1"/>
          <w:sz w:val="24"/>
          <w:szCs w:val="24"/>
        </w:rPr>
        <w:t> </w:t>
      </w:r>
      <w:r w:rsidR="00B81B55" w:rsidRPr="00E76F52">
        <w:rPr>
          <w:rFonts w:ascii="Calibri" w:hAnsi="Calibri" w:cs="Calibri"/>
          <w:color w:val="000000" w:themeColor="text1"/>
          <w:sz w:val="24"/>
          <w:szCs w:val="24"/>
        </w:rPr>
        <w:t>Sb., autorský zákon.</w:t>
      </w:r>
      <w:r w:rsidR="00B81B55" w:rsidRPr="00D01665">
        <w:rPr>
          <w:rFonts w:ascii="Calibri" w:hAnsi="Calibri" w:cs="Calibri"/>
          <w:color w:val="000000" w:themeColor="text1"/>
          <w:sz w:val="24"/>
          <w:szCs w:val="24"/>
        </w:rPr>
        <w:t xml:space="preserve"> </w:t>
      </w:r>
      <w:r w:rsidR="005501CF"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5501CF" w:rsidRPr="00E76F52">
        <w:rPr>
          <w:rFonts w:ascii="Calibri" w:hAnsi="Calibri" w:cs="Calibri"/>
          <w:color w:val="000000" w:themeColor="text1"/>
          <w:sz w:val="24"/>
          <w:szCs w:val="24"/>
        </w:rPr>
        <w:t xml:space="preserve">důsledku </w:t>
      </w:r>
      <w:r w:rsidR="00AF2B97" w:rsidRPr="00E76F52">
        <w:rPr>
          <w:rFonts w:ascii="Calibri" w:hAnsi="Calibri" w:cs="Calibri"/>
          <w:color w:val="000000" w:themeColor="text1"/>
          <w:sz w:val="24"/>
          <w:szCs w:val="24"/>
        </w:rPr>
        <w:t>této skutečnosti</w:t>
      </w:r>
      <w:r w:rsidR="005501CF" w:rsidRPr="00E76F52">
        <w:rPr>
          <w:rFonts w:ascii="Calibri" w:hAnsi="Calibri" w:cs="Calibri"/>
          <w:color w:val="000000" w:themeColor="text1"/>
          <w:sz w:val="24"/>
          <w:szCs w:val="24"/>
        </w:rPr>
        <w:t xml:space="preserve"> MŽP ve výkazu rozvaha nadhodnotilo zůstatek účtu </w:t>
      </w:r>
      <w:r w:rsidR="005501CF" w:rsidRPr="000A469B">
        <w:rPr>
          <w:rFonts w:ascii="Calibri" w:hAnsi="Calibri" w:cs="Calibri"/>
          <w:color w:val="000000" w:themeColor="text1"/>
          <w:sz w:val="24"/>
          <w:szCs w:val="24"/>
        </w:rPr>
        <w:t>013</w:t>
      </w:r>
      <w:r w:rsidR="005501CF" w:rsidRPr="00E76F52">
        <w:rPr>
          <w:rFonts w:ascii="Calibri" w:hAnsi="Calibri" w:cs="Calibri"/>
          <w:i/>
          <w:color w:val="000000" w:themeColor="text1"/>
          <w:sz w:val="24"/>
          <w:szCs w:val="24"/>
        </w:rPr>
        <w:t xml:space="preserve"> – Software</w:t>
      </w:r>
      <w:r w:rsidR="005501CF" w:rsidRPr="00E76F52">
        <w:rPr>
          <w:rFonts w:ascii="Calibri" w:hAnsi="Calibri" w:cs="Calibri"/>
          <w:color w:val="000000" w:themeColor="text1"/>
          <w:sz w:val="24"/>
          <w:szCs w:val="24"/>
        </w:rPr>
        <w:t xml:space="preserve"> o 9 450 000 Kč </w:t>
      </w:r>
      <w:r w:rsidR="00AF2B97" w:rsidRPr="00E76F52">
        <w:rPr>
          <w:rFonts w:ascii="Calibri" w:hAnsi="Calibri" w:cs="Calibri"/>
          <w:color w:val="000000" w:themeColor="text1"/>
          <w:sz w:val="24"/>
          <w:szCs w:val="24"/>
        </w:rPr>
        <w:t>ve sloupci</w:t>
      </w:r>
      <w:r w:rsidR="005501CF" w:rsidRPr="00E76F52">
        <w:rPr>
          <w:rFonts w:ascii="Calibri" w:hAnsi="Calibri" w:cs="Calibri"/>
          <w:color w:val="000000" w:themeColor="text1"/>
          <w:sz w:val="24"/>
          <w:szCs w:val="24"/>
        </w:rPr>
        <w:t xml:space="preserve"> </w:t>
      </w:r>
      <w:r w:rsidR="008F7A94" w:rsidRPr="00E76F52">
        <w:rPr>
          <w:rFonts w:ascii="Calibri" w:hAnsi="Calibri" w:cs="Calibri"/>
          <w:color w:val="000000" w:themeColor="text1"/>
          <w:sz w:val="24"/>
          <w:szCs w:val="24"/>
        </w:rPr>
        <w:t>„B</w:t>
      </w:r>
      <w:r w:rsidR="005501CF" w:rsidRPr="00E76F52">
        <w:rPr>
          <w:rFonts w:ascii="Calibri" w:hAnsi="Calibri" w:cs="Calibri"/>
          <w:color w:val="000000" w:themeColor="text1"/>
          <w:sz w:val="24"/>
          <w:szCs w:val="24"/>
        </w:rPr>
        <w:t>rutto</w:t>
      </w:r>
      <w:r w:rsidR="008F7A94" w:rsidRPr="00E76F52">
        <w:rPr>
          <w:rFonts w:ascii="Calibri" w:hAnsi="Calibri" w:cs="Calibri"/>
          <w:color w:val="000000" w:themeColor="text1"/>
          <w:sz w:val="24"/>
          <w:szCs w:val="24"/>
        </w:rPr>
        <w:t>“</w:t>
      </w:r>
      <w:r w:rsidR="00AF2B97" w:rsidRPr="00E76F52">
        <w:rPr>
          <w:rFonts w:ascii="Calibri" w:hAnsi="Calibri" w:cs="Calibri"/>
          <w:color w:val="000000" w:themeColor="text1"/>
          <w:sz w:val="24"/>
          <w:szCs w:val="24"/>
        </w:rPr>
        <w:t xml:space="preserve"> a o tuto částku podhodnotilo zůstatek účtu </w:t>
      </w:r>
      <w:r w:rsidR="00AF2B97" w:rsidRPr="000A469B">
        <w:rPr>
          <w:rFonts w:ascii="Calibri" w:hAnsi="Calibri" w:cs="Calibri"/>
          <w:color w:val="000000" w:themeColor="text1"/>
          <w:sz w:val="24"/>
          <w:szCs w:val="24"/>
        </w:rPr>
        <w:t>014</w:t>
      </w:r>
      <w:r w:rsidR="00AF2B97" w:rsidRPr="00E76F52">
        <w:rPr>
          <w:rFonts w:ascii="Calibri" w:hAnsi="Calibri" w:cs="Calibri"/>
          <w:i/>
          <w:color w:val="000000" w:themeColor="text1"/>
          <w:sz w:val="24"/>
          <w:szCs w:val="24"/>
        </w:rPr>
        <w:t xml:space="preserve"> – Ocenitelná práva </w:t>
      </w:r>
      <w:r w:rsidR="00AF2B97" w:rsidRPr="00E76F52">
        <w:rPr>
          <w:rFonts w:ascii="Calibri" w:hAnsi="Calibri" w:cs="Calibri"/>
          <w:color w:val="000000" w:themeColor="text1"/>
          <w:sz w:val="24"/>
          <w:szCs w:val="24"/>
        </w:rPr>
        <w:t xml:space="preserve">ve sloupci </w:t>
      </w:r>
      <w:r w:rsidR="008F7A94" w:rsidRPr="00E76F52">
        <w:rPr>
          <w:rFonts w:ascii="Calibri" w:hAnsi="Calibri" w:cs="Calibri"/>
          <w:color w:val="000000" w:themeColor="text1"/>
          <w:sz w:val="24"/>
          <w:szCs w:val="24"/>
        </w:rPr>
        <w:t>„B</w:t>
      </w:r>
      <w:r w:rsidR="00AF2B97" w:rsidRPr="00E76F52">
        <w:rPr>
          <w:rFonts w:ascii="Calibri" w:hAnsi="Calibri" w:cs="Calibri"/>
          <w:color w:val="000000" w:themeColor="text1"/>
          <w:sz w:val="24"/>
          <w:szCs w:val="24"/>
        </w:rPr>
        <w:t>rutto</w:t>
      </w:r>
      <w:r w:rsidR="008F7A94" w:rsidRPr="00E76F52">
        <w:rPr>
          <w:rFonts w:ascii="Calibri" w:hAnsi="Calibri" w:cs="Calibri"/>
          <w:color w:val="000000" w:themeColor="text1"/>
          <w:sz w:val="24"/>
          <w:szCs w:val="24"/>
        </w:rPr>
        <w:t>“.</w:t>
      </w:r>
      <w:r w:rsidR="00AF2B97" w:rsidRPr="00E76F52">
        <w:rPr>
          <w:rFonts w:ascii="Calibri" w:hAnsi="Calibri" w:cs="Calibri"/>
          <w:color w:val="000000" w:themeColor="text1"/>
          <w:sz w:val="24"/>
          <w:szCs w:val="24"/>
        </w:rPr>
        <w:t xml:space="preserve"> Současně </w:t>
      </w:r>
      <w:r w:rsidR="00004394" w:rsidRPr="00E76F52">
        <w:rPr>
          <w:rFonts w:ascii="Calibri" w:hAnsi="Calibri" w:cs="Calibri"/>
          <w:color w:val="000000" w:themeColor="text1"/>
          <w:sz w:val="24"/>
          <w:szCs w:val="24"/>
        </w:rPr>
        <w:t>v důsledku této skutečnosti MŽP</w:t>
      </w:r>
      <w:r w:rsidR="00AF2B97" w:rsidRPr="00E76F52">
        <w:rPr>
          <w:rFonts w:ascii="Calibri" w:hAnsi="Calibri" w:cs="Calibri"/>
          <w:color w:val="000000" w:themeColor="text1"/>
          <w:sz w:val="24"/>
          <w:szCs w:val="24"/>
        </w:rPr>
        <w:t xml:space="preserve"> nadhodnotil</w:t>
      </w:r>
      <w:r w:rsidR="00004394" w:rsidRPr="00E76F52">
        <w:rPr>
          <w:rFonts w:ascii="Calibri" w:hAnsi="Calibri" w:cs="Calibri"/>
          <w:color w:val="000000" w:themeColor="text1"/>
          <w:sz w:val="24"/>
          <w:szCs w:val="24"/>
        </w:rPr>
        <w:t>o</w:t>
      </w:r>
      <w:r w:rsidR="00AF2B97" w:rsidRPr="00E76F52">
        <w:rPr>
          <w:rFonts w:ascii="Calibri" w:hAnsi="Calibri" w:cs="Calibri"/>
          <w:color w:val="000000" w:themeColor="text1"/>
          <w:sz w:val="24"/>
          <w:szCs w:val="24"/>
        </w:rPr>
        <w:t>/podho</w:t>
      </w:r>
      <w:r w:rsidR="008F7A94" w:rsidRPr="00E76F52">
        <w:rPr>
          <w:rFonts w:ascii="Calibri" w:hAnsi="Calibri" w:cs="Calibri"/>
          <w:color w:val="000000" w:themeColor="text1"/>
          <w:sz w:val="24"/>
          <w:szCs w:val="24"/>
        </w:rPr>
        <w:t>d</w:t>
      </w:r>
      <w:r w:rsidR="00AF2B97" w:rsidRPr="00E76F52">
        <w:rPr>
          <w:rFonts w:ascii="Calibri" w:hAnsi="Calibri" w:cs="Calibri"/>
          <w:color w:val="000000" w:themeColor="text1"/>
          <w:sz w:val="24"/>
          <w:szCs w:val="24"/>
        </w:rPr>
        <w:t>notil</w:t>
      </w:r>
      <w:r w:rsidR="00004394" w:rsidRPr="00E76F52">
        <w:rPr>
          <w:rFonts w:ascii="Calibri" w:hAnsi="Calibri" w:cs="Calibri"/>
          <w:color w:val="000000" w:themeColor="text1"/>
          <w:sz w:val="24"/>
          <w:szCs w:val="24"/>
        </w:rPr>
        <w:t>o</w:t>
      </w:r>
      <w:r w:rsidR="00AF2B97" w:rsidRPr="00E76F52">
        <w:rPr>
          <w:rFonts w:ascii="Calibri" w:hAnsi="Calibri" w:cs="Calibri"/>
          <w:color w:val="000000" w:themeColor="text1"/>
          <w:sz w:val="24"/>
          <w:szCs w:val="24"/>
        </w:rPr>
        <w:t xml:space="preserve"> částku vyk</w:t>
      </w:r>
      <w:r w:rsidR="008F7A94" w:rsidRPr="00E76F52">
        <w:rPr>
          <w:rFonts w:ascii="Calibri" w:hAnsi="Calibri" w:cs="Calibri"/>
          <w:color w:val="000000" w:themeColor="text1"/>
          <w:sz w:val="24"/>
          <w:szCs w:val="24"/>
        </w:rPr>
        <w:t>á</w:t>
      </w:r>
      <w:r w:rsidR="00AF2B97" w:rsidRPr="00E76F52">
        <w:rPr>
          <w:rFonts w:ascii="Calibri" w:hAnsi="Calibri" w:cs="Calibri"/>
          <w:color w:val="000000" w:themeColor="text1"/>
          <w:sz w:val="24"/>
          <w:szCs w:val="24"/>
        </w:rPr>
        <w:t xml:space="preserve">zanou u těchto účtů ve sloupci </w:t>
      </w:r>
      <w:r w:rsidR="008F7A94" w:rsidRPr="00E76F52">
        <w:rPr>
          <w:rFonts w:ascii="Calibri" w:hAnsi="Calibri" w:cs="Calibri"/>
          <w:color w:val="000000" w:themeColor="text1"/>
          <w:sz w:val="24"/>
          <w:szCs w:val="24"/>
        </w:rPr>
        <w:t>„K</w:t>
      </w:r>
      <w:r w:rsidR="00AF2B97" w:rsidRPr="00E76F52">
        <w:rPr>
          <w:rFonts w:ascii="Calibri" w:hAnsi="Calibri" w:cs="Calibri"/>
          <w:color w:val="000000" w:themeColor="text1"/>
          <w:sz w:val="24"/>
          <w:szCs w:val="24"/>
        </w:rPr>
        <w:t>orekce</w:t>
      </w:r>
      <w:r w:rsidR="008F7A94" w:rsidRPr="00E76F52">
        <w:rPr>
          <w:rFonts w:ascii="Calibri" w:hAnsi="Calibri" w:cs="Calibri"/>
          <w:color w:val="000000" w:themeColor="text1"/>
          <w:sz w:val="24"/>
          <w:szCs w:val="24"/>
        </w:rPr>
        <w:t>“</w:t>
      </w:r>
      <w:r w:rsidR="00AF2B97" w:rsidRPr="00E76F52">
        <w:rPr>
          <w:rFonts w:ascii="Calibri" w:hAnsi="Calibri" w:cs="Calibri"/>
          <w:color w:val="000000" w:themeColor="text1"/>
          <w:sz w:val="24"/>
          <w:szCs w:val="24"/>
        </w:rPr>
        <w:t xml:space="preserve"> </w:t>
      </w:r>
      <w:r w:rsidR="00004394" w:rsidRPr="00E76F52">
        <w:rPr>
          <w:rFonts w:ascii="Calibri" w:hAnsi="Calibri" w:cs="Calibri"/>
          <w:color w:val="000000" w:themeColor="text1"/>
          <w:sz w:val="24"/>
          <w:szCs w:val="24"/>
        </w:rPr>
        <w:t>o</w:t>
      </w:r>
      <w:r w:rsidR="005501CF" w:rsidRPr="00E76F52">
        <w:rPr>
          <w:rFonts w:ascii="Calibri" w:hAnsi="Calibri" w:cs="Calibri"/>
          <w:color w:val="000000" w:themeColor="text1"/>
          <w:sz w:val="24"/>
          <w:szCs w:val="24"/>
        </w:rPr>
        <w:t xml:space="preserve"> 4 615 625 Kč</w:t>
      </w:r>
      <w:r w:rsidR="006F052A" w:rsidRPr="00E76F52">
        <w:rPr>
          <w:rFonts w:ascii="Calibri" w:hAnsi="Calibri" w:cs="Calibri"/>
          <w:color w:val="000000" w:themeColor="text1"/>
          <w:sz w:val="24"/>
          <w:szCs w:val="24"/>
        </w:rPr>
        <w:t xml:space="preserve"> </w:t>
      </w:r>
      <w:r w:rsidR="00AF2B97" w:rsidRPr="00E76F52">
        <w:rPr>
          <w:rFonts w:ascii="Calibri" w:hAnsi="Calibri" w:cs="Calibri"/>
          <w:color w:val="000000" w:themeColor="text1"/>
          <w:sz w:val="24"/>
          <w:szCs w:val="24"/>
        </w:rPr>
        <w:t>a nadhodnotil</w:t>
      </w:r>
      <w:r w:rsidR="00004394" w:rsidRPr="00E76F52">
        <w:rPr>
          <w:rFonts w:ascii="Calibri" w:hAnsi="Calibri" w:cs="Calibri"/>
          <w:color w:val="000000" w:themeColor="text1"/>
          <w:sz w:val="24"/>
          <w:szCs w:val="24"/>
        </w:rPr>
        <w:t>o</w:t>
      </w:r>
      <w:r w:rsidR="00AF2B97" w:rsidRPr="00E76F52">
        <w:rPr>
          <w:rFonts w:ascii="Calibri" w:hAnsi="Calibri" w:cs="Calibri"/>
          <w:color w:val="000000" w:themeColor="text1"/>
          <w:sz w:val="24"/>
          <w:szCs w:val="24"/>
        </w:rPr>
        <w:t>/podhodnotil</w:t>
      </w:r>
      <w:r w:rsidR="00004394" w:rsidRPr="00E76F52">
        <w:rPr>
          <w:rFonts w:ascii="Calibri" w:hAnsi="Calibri" w:cs="Calibri"/>
          <w:color w:val="000000" w:themeColor="text1"/>
          <w:sz w:val="24"/>
          <w:szCs w:val="24"/>
        </w:rPr>
        <w:t>o</w:t>
      </w:r>
      <w:r w:rsidR="00AF2B97" w:rsidRPr="00E76F52">
        <w:rPr>
          <w:rFonts w:ascii="Calibri" w:hAnsi="Calibri" w:cs="Calibri"/>
          <w:color w:val="000000" w:themeColor="text1"/>
          <w:sz w:val="24"/>
          <w:szCs w:val="24"/>
        </w:rPr>
        <w:t xml:space="preserve"> částku vyk</w:t>
      </w:r>
      <w:r w:rsidR="008F7A94" w:rsidRPr="00E76F52">
        <w:rPr>
          <w:rFonts w:ascii="Calibri" w:hAnsi="Calibri" w:cs="Calibri"/>
          <w:color w:val="000000" w:themeColor="text1"/>
          <w:sz w:val="24"/>
          <w:szCs w:val="24"/>
        </w:rPr>
        <w:t>áz</w:t>
      </w:r>
      <w:r w:rsidR="009D41A6">
        <w:rPr>
          <w:rFonts w:ascii="Calibri" w:hAnsi="Calibri" w:cs="Calibri"/>
          <w:color w:val="000000" w:themeColor="text1"/>
          <w:sz w:val="24"/>
          <w:szCs w:val="24"/>
        </w:rPr>
        <w:t>anou u </w:t>
      </w:r>
      <w:r w:rsidR="00AF2B97" w:rsidRPr="00E76F52">
        <w:rPr>
          <w:rFonts w:ascii="Calibri" w:hAnsi="Calibri" w:cs="Calibri"/>
          <w:color w:val="000000" w:themeColor="text1"/>
          <w:sz w:val="24"/>
          <w:szCs w:val="24"/>
        </w:rPr>
        <w:t xml:space="preserve">těchto účtů ve sloupci </w:t>
      </w:r>
      <w:r w:rsidR="008F7A94" w:rsidRPr="00E76F52">
        <w:rPr>
          <w:rFonts w:ascii="Calibri" w:hAnsi="Calibri" w:cs="Calibri"/>
          <w:color w:val="000000" w:themeColor="text1"/>
          <w:sz w:val="24"/>
          <w:szCs w:val="24"/>
        </w:rPr>
        <w:t>„N</w:t>
      </w:r>
      <w:r w:rsidR="00AF2B97" w:rsidRPr="00E76F52">
        <w:rPr>
          <w:rFonts w:ascii="Calibri" w:hAnsi="Calibri" w:cs="Calibri"/>
          <w:color w:val="000000" w:themeColor="text1"/>
          <w:sz w:val="24"/>
          <w:szCs w:val="24"/>
        </w:rPr>
        <w:t>etto</w:t>
      </w:r>
      <w:r w:rsidR="008F7A94" w:rsidRPr="00E76F52">
        <w:rPr>
          <w:rFonts w:ascii="Calibri" w:hAnsi="Calibri" w:cs="Calibri"/>
          <w:color w:val="000000" w:themeColor="text1"/>
          <w:sz w:val="24"/>
          <w:szCs w:val="24"/>
        </w:rPr>
        <w:t>“</w:t>
      </w:r>
      <w:r w:rsidR="00AF2B97" w:rsidRPr="00E76F52">
        <w:rPr>
          <w:rFonts w:ascii="Calibri" w:hAnsi="Calibri" w:cs="Calibri"/>
          <w:color w:val="000000" w:themeColor="text1"/>
          <w:sz w:val="24"/>
          <w:szCs w:val="24"/>
        </w:rPr>
        <w:t xml:space="preserve"> </w:t>
      </w:r>
      <w:r w:rsidR="00004394" w:rsidRPr="00E76F52">
        <w:rPr>
          <w:rFonts w:ascii="Calibri" w:hAnsi="Calibri" w:cs="Calibri"/>
          <w:color w:val="000000" w:themeColor="text1"/>
          <w:sz w:val="24"/>
          <w:szCs w:val="24"/>
        </w:rPr>
        <w:t>o</w:t>
      </w:r>
      <w:r w:rsidR="00B51A47" w:rsidRPr="00E76F52">
        <w:rPr>
          <w:rFonts w:ascii="Calibri" w:hAnsi="Calibri" w:cs="Calibri"/>
          <w:color w:val="000000" w:themeColor="text1"/>
          <w:sz w:val="24"/>
          <w:szCs w:val="24"/>
        </w:rPr>
        <w:t xml:space="preserve"> </w:t>
      </w:r>
      <w:r w:rsidR="006F052A" w:rsidRPr="00E76F52">
        <w:rPr>
          <w:rFonts w:ascii="Calibri" w:hAnsi="Calibri" w:cs="Calibri"/>
          <w:color w:val="000000" w:themeColor="text1"/>
          <w:sz w:val="24"/>
          <w:szCs w:val="24"/>
        </w:rPr>
        <w:t>4 834 375 Kč</w:t>
      </w:r>
      <w:r w:rsidR="00AF2B97" w:rsidRPr="00E76F52">
        <w:rPr>
          <w:rFonts w:ascii="Calibri" w:hAnsi="Calibri" w:cs="Calibri"/>
          <w:color w:val="000000" w:themeColor="text1"/>
          <w:sz w:val="24"/>
          <w:szCs w:val="24"/>
        </w:rPr>
        <w:t>.</w:t>
      </w:r>
    </w:p>
    <w:p w:rsidR="005416A5" w:rsidRPr="00E76F52" w:rsidRDefault="005416A5" w:rsidP="00E76F52">
      <w:pPr>
        <w:spacing w:after="0" w:line="240" w:lineRule="auto"/>
        <w:jc w:val="both"/>
        <w:rPr>
          <w:rFonts w:ascii="Calibri" w:hAnsi="Calibri" w:cs="Calibri"/>
          <w:color w:val="000000" w:themeColor="text1"/>
          <w:sz w:val="24"/>
          <w:szCs w:val="24"/>
        </w:rPr>
      </w:pPr>
    </w:p>
    <w:p w:rsidR="008D6A3D" w:rsidRPr="00E76F52" w:rsidRDefault="00483F60"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Pohledávky</w:t>
      </w:r>
      <w:r w:rsidR="0093421D" w:rsidRPr="00E76F52">
        <w:rPr>
          <w:rFonts w:ascii="Calibri" w:hAnsi="Calibri" w:cs="Calibri"/>
          <w:b/>
          <w:i/>
          <w:color w:val="000000" w:themeColor="text1"/>
          <w:sz w:val="24"/>
          <w:szCs w:val="24"/>
        </w:rPr>
        <w:t xml:space="preserve"> </w:t>
      </w:r>
    </w:p>
    <w:p w:rsidR="005416A5" w:rsidRDefault="005416A5" w:rsidP="00E76F52">
      <w:pPr>
        <w:spacing w:after="0" w:line="240" w:lineRule="auto"/>
        <w:jc w:val="both"/>
        <w:rPr>
          <w:rFonts w:ascii="Calibri" w:hAnsi="Calibri" w:cs="Calibri"/>
          <w:color w:val="000000" w:themeColor="text1"/>
          <w:sz w:val="24"/>
          <w:szCs w:val="24"/>
        </w:rPr>
      </w:pPr>
    </w:p>
    <w:p w:rsidR="0059324E" w:rsidRDefault="00FE3297"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MŽP jako ústřední správní úřad v oblasti posuzování vlivů na životní prostředí </w:t>
      </w:r>
      <w:r w:rsidR="00726393"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726393" w:rsidRPr="00E76F52">
        <w:rPr>
          <w:rFonts w:ascii="Calibri" w:hAnsi="Calibri" w:cs="Calibri"/>
          <w:color w:val="000000" w:themeColor="text1"/>
          <w:sz w:val="24"/>
          <w:szCs w:val="24"/>
        </w:rPr>
        <w:t>souladu se zákonem č. 100/2001 Sb., o posuzování vlivů na životní prostředí</w:t>
      </w:r>
      <w:r w:rsidR="00D01665">
        <w:rPr>
          <w:rFonts w:ascii="Calibri" w:hAnsi="Calibri" w:cs="Calibri"/>
          <w:color w:val="000000" w:themeColor="text1"/>
          <w:sz w:val="24"/>
          <w:szCs w:val="24"/>
        </w:rPr>
        <w:t>,</w:t>
      </w:r>
      <w:r w:rsidR="00726393" w:rsidRPr="00E76F52">
        <w:rPr>
          <w:rFonts w:ascii="Calibri" w:hAnsi="Calibri" w:cs="Calibri"/>
          <w:color w:val="000000" w:themeColor="text1"/>
          <w:sz w:val="24"/>
          <w:szCs w:val="24"/>
        </w:rPr>
        <w:t xml:space="preserve"> a vyhláškou č.</w:t>
      </w:r>
      <w:r w:rsidR="00AD68E7" w:rsidRPr="00E76F52">
        <w:rPr>
          <w:rFonts w:ascii="Calibri" w:hAnsi="Calibri" w:cs="Calibri"/>
          <w:color w:val="000000" w:themeColor="text1"/>
          <w:sz w:val="24"/>
          <w:szCs w:val="24"/>
        </w:rPr>
        <w:t> </w:t>
      </w:r>
      <w:r w:rsidR="00726393" w:rsidRPr="00E76F52">
        <w:rPr>
          <w:rFonts w:ascii="Calibri" w:hAnsi="Calibri" w:cs="Calibri"/>
          <w:color w:val="000000" w:themeColor="text1"/>
          <w:sz w:val="24"/>
          <w:szCs w:val="24"/>
        </w:rPr>
        <w:t>457/2001</w:t>
      </w:r>
      <w:r w:rsidR="00AD68E7" w:rsidRPr="00E76F52">
        <w:rPr>
          <w:rFonts w:ascii="Calibri" w:hAnsi="Calibri" w:cs="Calibri"/>
          <w:color w:val="000000" w:themeColor="text1"/>
          <w:sz w:val="24"/>
          <w:szCs w:val="24"/>
        </w:rPr>
        <w:t> </w:t>
      </w:r>
      <w:r w:rsidR="00726393" w:rsidRPr="00E76F52">
        <w:rPr>
          <w:rFonts w:ascii="Calibri" w:hAnsi="Calibri" w:cs="Calibri"/>
          <w:color w:val="000000" w:themeColor="text1"/>
          <w:sz w:val="24"/>
          <w:szCs w:val="24"/>
        </w:rPr>
        <w:t>Sb., o odborné způsobilosti a úpravě některých otázek souvisejících s posuzováním vlivů na životní prostředí</w:t>
      </w:r>
      <w:r w:rsidR="0002053C" w:rsidRPr="00E76F52">
        <w:rPr>
          <w:rFonts w:ascii="Calibri" w:hAnsi="Calibri" w:cs="Calibri"/>
          <w:color w:val="000000" w:themeColor="text1"/>
          <w:sz w:val="24"/>
          <w:szCs w:val="24"/>
        </w:rPr>
        <w:t>,</w:t>
      </w:r>
      <w:r w:rsidR="00726393" w:rsidRPr="00E76F52">
        <w:rPr>
          <w:rFonts w:ascii="Calibri" w:hAnsi="Calibri" w:cs="Calibri"/>
          <w:color w:val="000000" w:themeColor="text1"/>
          <w:sz w:val="24"/>
          <w:szCs w:val="24"/>
        </w:rPr>
        <w:t xml:space="preserve"> předepsalo k refundaci jednotlivým </w:t>
      </w:r>
      <w:r w:rsidR="007246FD" w:rsidRPr="00E76F52">
        <w:rPr>
          <w:rFonts w:ascii="Calibri" w:hAnsi="Calibri" w:cs="Calibri"/>
          <w:color w:val="000000" w:themeColor="text1"/>
          <w:sz w:val="24"/>
          <w:szCs w:val="24"/>
        </w:rPr>
        <w:t xml:space="preserve">oznamovatelům záměrů </w:t>
      </w:r>
      <w:r w:rsidRPr="00E76F52">
        <w:rPr>
          <w:rFonts w:ascii="Calibri" w:hAnsi="Calibri" w:cs="Calibri"/>
          <w:color w:val="000000" w:themeColor="text1"/>
          <w:sz w:val="24"/>
          <w:szCs w:val="24"/>
        </w:rPr>
        <w:t>náklad</w:t>
      </w:r>
      <w:r w:rsidR="007246FD" w:rsidRPr="00E76F52">
        <w:rPr>
          <w:rFonts w:ascii="Calibri" w:hAnsi="Calibri" w:cs="Calibri"/>
          <w:color w:val="000000" w:themeColor="text1"/>
          <w:sz w:val="24"/>
          <w:szCs w:val="24"/>
        </w:rPr>
        <w:t>y</w:t>
      </w:r>
      <w:r w:rsidRPr="00E76F52">
        <w:rPr>
          <w:rFonts w:ascii="Calibri" w:hAnsi="Calibri" w:cs="Calibri"/>
          <w:color w:val="000000" w:themeColor="text1"/>
          <w:sz w:val="24"/>
          <w:szCs w:val="24"/>
        </w:rPr>
        <w:t xml:space="preserve"> spojené s posuzováním vlivů</w:t>
      </w:r>
      <w:r w:rsidR="00726393" w:rsidRPr="00E76F52">
        <w:rPr>
          <w:rFonts w:ascii="Calibri" w:hAnsi="Calibri" w:cs="Calibri"/>
          <w:color w:val="000000" w:themeColor="text1"/>
          <w:sz w:val="24"/>
          <w:szCs w:val="24"/>
        </w:rPr>
        <w:t xml:space="preserve"> těchto</w:t>
      </w:r>
      <w:r w:rsidRPr="00E76F52">
        <w:rPr>
          <w:rFonts w:ascii="Calibri" w:hAnsi="Calibri" w:cs="Calibri"/>
          <w:color w:val="000000" w:themeColor="text1"/>
          <w:sz w:val="24"/>
          <w:szCs w:val="24"/>
        </w:rPr>
        <w:t xml:space="preserve"> záměrů na životní prostředí</w:t>
      </w:r>
      <w:r w:rsidR="007246FD" w:rsidRPr="00E76F52">
        <w:rPr>
          <w:rFonts w:ascii="Calibri" w:hAnsi="Calibri" w:cs="Calibri"/>
          <w:color w:val="000000" w:themeColor="text1"/>
          <w:sz w:val="24"/>
          <w:szCs w:val="24"/>
        </w:rPr>
        <w:t xml:space="preserve"> a </w:t>
      </w:r>
      <w:r w:rsidR="00726393" w:rsidRPr="00E76F52">
        <w:rPr>
          <w:rFonts w:ascii="Calibri" w:hAnsi="Calibri" w:cs="Calibri"/>
          <w:color w:val="000000" w:themeColor="text1"/>
          <w:sz w:val="24"/>
          <w:szCs w:val="24"/>
        </w:rPr>
        <w:t>z</w:t>
      </w:r>
      <w:r w:rsidR="007405FC" w:rsidRPr="00E76F52">
        <w:rPr>
          <w:rFonts w:ascii="Calibri" w:hAnsi="Calibri" w:cs="Calibri"/>
          <w:color w:val="000000" w:themeColor="text1"/>
          <w:sz w:val="24"/>
          <w:szCs w:val="24"/>
        </w:rPr>
        <w:t xml:space="preserve"> </w:t>
      </w:r>
      <w:r w:rsidR="00726393" w:rsidRPr="00E76F52">
        <w:rPr>
          <w:rFonts w:ascii="Calibri" w:hAnsi="Calibri" w:cs="Calibri"/>
          <w:color w:val="000000" w:themeColor="text1"/>
          <w:sz w:val="24"/>
          <w:szCs w:val="24"/>
        </w:rPr>
        <w:t xml:space="preserve">tohoto titulu vykázalo </w:t>
      </w:r>
      <w:r w:rsidR="007246FD" w:rsidRPr="00E76F52">
        <w:rPr>
          <w:rFonts w:ascii="Calibri" w:hAnsi="Calibri" w:cs="Calibri"/>
          <w:color w:val="000000" w:themeColor="text1"/>
          <w:sz w:val="24"/>
          <w:szCs w:val="24"/>
        </w:rPr>
        <w:t>pohledávky</w:t>
      </w:r>
      <w:r w:rsidRPr="00E76F52">
        <w:rPr>
          <w:rFonts w:ascii="Calibri" w:hAnsi="Calibri" w:cs="Calibri"/>
          <w:color w:val="000000" w:themeColor="text1"/>
          <w:sz w:val="24"/>
          <w:szCs w:val="24"/>
        </w:rPr>
        <w:t>.</w:t>
      </w:r>
      <w:r w:rsidRPr="00E76F52">
        <w:rPr>
          <w:rFonts w:ascii="Calibri" w:hAnsi="Calibri" w:cs="Calibri"/>
          <w:i/>
          <w:color w:val="000000" w:themeColor="text1"/>
          <w:sz w:val="24"/>
          <w:szCs w:val="24"/>
        </w:rPr>
        <w:t xml:space="preserve"> </w:t>
      </w:r>
      <w:r w:rsidR="00726393" w:rsidRPr="00E76F52">
        <w:rPr>
          <w:rFonts w:ascii="Calibri" w:hAnsi="Calibri" w:cs="Calibri"/>
          <w:color w:val="000000" w:themeColor="text1"/>
          <w:sz w:val="24"/>
          <w:szCs w:val="24"/>
        </w:rPr>
        <w:t>Některé z</w:t>
      </w:r>
      <w:r w:rsidR="007405FC" w:rsidRPr="00E76F52">
        <w:rPr>
          <w:rFonts w:ascii="Calibri" w:hAnsi="Calibri" w:cs="Calibri"/>
          <w:color w:val="000000" w:themeColor="text1"/>
          <w:sz w:val="24"/>
          <w:szCs w:val="24"/>
        </w:rPr>
        <w:t xml:space="preserve"> </w:t>
      </w:r>
      <w:r w:rsidR="00726393" w:rsidRPr="00E76F52">
        <w:rPr>
          <w:rFonts w:ascii="Calibri" w:hAnsi="Calibri" w:cs="Calibri"/>
          <w:color w:val="000000" w:themeColor="text1"/>
          <w:sz w:val="24"/>
          <w:szCs w:val="24"/>
        </w:rPr>
        <w:t>těchto pohledávek MŽP ale nesprávně vykázalo na účtu</w:t>
      </w:r>
      <w:r w:rsidR="00A64F27" w:rsidRPr="00E76F52">
        <w:rPr>
          <w:rFonts w:ascii="Calibri" w:hAnsi="Calibri" w:cs="Calibri"/>
          <w:i/>
          <w:color w:val="000000" w:themeColor="text1"/>
          <w:sz w:val="24"/>
          <w:szCs w:val="24"/>
        </w:rPr>
        <w:t xml:space="preserve"> </w:t>
      </w:r>
      <w:r w:rsidR="008D5A59" w:rsidRPr="000A469B">
        <w:rPr>
          <w:rFonts w:ascii="Calibri" w:hAnsi="Calibri" w:cs="Calibri"/>
          <w:color w:val="000000" w:themeColor="text1"/>
          <w:sz w:val="24"/>
          <w:szCs w:val="24"/>
        </w:rPr>
        <w:t>377</w:t>
      </w:r>
      <w:r w:rsidR="00A64F27" w:rsidRPr="00E76F52">
        <w:rPr>
          <w:rFonts w:ascii="Calibri" w:hAnsi="Calibri" w:cs="Calibri"/>
          <w:i/>
          <w:color w:val="000000" w:themeColor="text1"/>
          <w:sz w:val="24"/>
          <w:szCs w:val="24"/>
        </w:rPr>
        <w:t xml:space="preserve"> – </w:t>
      </w:r>
      <w:r w:rsidR="008D5A59" w:rsidRPr="00E76F52">
        <w:rPr>
          <w:rFonts w:ascii="Calibri" w:hAnsi="Calibri" w:cs="Calibri"/>
          <w:i/>
          <w:color w:val="000000" w:themeColor="text1"/>
          <w:sz w:val="24"/>
          <w:szCs w:val="24"/>
        </w:rPr>
        <w:t>Ostatní krátkodobé pohledávk</w:t>
      </w:r>
      <w:r w:rsidR="00726393" w:rsidRPr="00E76F52">
        <w:rPr>
          <w:rFonts w:ascii="Calibri" w:hAnsi="Calibri" w:cs="Calibri"/>
          <w:i/>
          <w:color w:val="000000" w:themeColor="text1"/>
          <w:sz w:val="24"/>
          <w:szCs w:val="24"/>
        </w:rPr>
        <w:t>y</w:t>
      </w:r>
      <w:r w:rsidR="00C66237" w:rsidRPr="00E76F52">
        <w:rPr>
          <w:rFonts w:ascii="Calibri" w:hAnsi="Calibri" w:cs="Calibri"/>
          <w:color w:val="000000" w:themeColor="text1"/>
          <w:sz w:val="24"/>
          <w:szCs w:val="24"/>
        </w:rPr>
        <w:t>.</w:t>
      </w:r>
      <w:r w:rsidR="007405FC" w:rsidRPr="00E76F52">
        <w:rPr>
          <w:rFonts w:ascii="Calibri" w:hAnsi="Calibri" w:cs="Calibri"/>
          <w:color w:val="000000" w:themeColor="text1"/>
          <w:sz w:val="24"/>
          <w:szCs w:val="24"/>
        </w:rPr>
        <w:t xml:space="preserve"> </w:t>
      </w:r>
      <w:r w:rsidR="004D664D" w:rsidRPr="00E76F52">
        <w:rPr>
          <w:rFonts w:ascii="Calibri" w:hAnsi="Calibri" w:cs="Calibri"/>
          <w:color w:val="000000" w:themeColor="text1"/>
          <w:sz w:val="24"/>
          <w:szCs w:val="24"/>
        </w:rPr>
        <w:t>V so</w:t>
      </w:r>
      <w:r w:rsidR="00A64F27" w:rsidRPr="00E76F52">
        <w:rPr>
          <w:rFonts w:ascii="Calibri" w:hAnsi="Calibri" w:cs="Calibri"/>
          <w:color w:val="000000" w:themeColor="text1"/>
          <w:sz w:val="24"/>
          <w:szCs w:val="24"/>
        </w:rPr>
        <w:t>uladu s</w:t>
      </w:r>
      <w:r w:rsidR="007405FC" w:rsidRPr="00E76F52">
        <w:rPr>
          <w:rFonts w:ascii="Calibri" w:hAnsi="Calibri" w:cs="Calibri"/>
          <w:color w:val="000000" w:themeColor="text1"/>
          <w:sz w:val="24"/>
          <w:szCs w:val="24"/>
        </w:rPr>
        <w:t xml:space="preserve"> </w:t>
      </w:r>
      <w:r w:rsidR="00726393" w:rsidRPr="00E76F52">
        <w:rPr>
          <w:rFonts w:ascii="Calibri" w:hAnsi="Calibri" w:cs="Calibri"/>
          <w:color w:val="000000" w:themeColor="text1"/>
          <w:sz w:val="24"/>
          <w:szCs w:val="24"/>
        </w:rPr>
        <w:t xml:space="preserve">ustanovením § </w:t>
      </w:r>
      <w:r w:rsidR="00C66237" w:rsidRPr="00E76F52">
        <w:rPr>
          <w:rFonts w:ascii="Calibri" w:hAnsi="Calibri" w:cs="Calibri"/>
          <w:color w:val="000000" w:themeColor="text1"/>
          <w:sz w:val="24"/>
          <w:szCs w:val="24"/>
        </w:rPr>
        <w:t>22</w:t>
      </w:r>
      <w:r w:rsidR="00726393" w:rsidRPr="00E76F52">
        <w:rPr>
          <w:rFonts w:ascii="Calibri" w:hAnsi="Calibri" w:cs="Calibri"/>
          <w:color w:val="000000" w:themeColor="text1"/>
          <w:sz w:val="24"/>
          <w:szCs w:val="24"/>
        </w:rPr>
        <w:t xml:space="preserve"> </w:t>
      </w:r>
      <w:r w:rsidR="00A64F27" w:rsidRPr="00E76F52">
        <w:rPr>
          <w:rFonts w:ascii="Calibri" w:hAnsi="Calibri" w:cs="Calibri"/>
          <w:color w:val="000000" w:themeColor="text1"/>
          <w:sz w:val="24"/>
          <w:szCs w:val="24"/>
        </w:rPr>
        <w:t>vyhlášk</w:t>
      </w:r>
      <w:r w:rsidR="00726393" w:rsidRPr="00E76F52">
        <w:rPr>
          <w:rFonts w:ascii="Calibri" w:hAnsi="Calibri" w:cs="Calibri"/>
          <w:color w:val="000000" w:themeColor="text1"/>
          <w:sz w:val="24"/>
          <w:szCs w:val="24"/>
        </w:rPr>
        <w:t>y</w:t>
      </w:r>
      <w:r w:rsidR="00A64F27" w:rsidRPr="00E76F52">
        <w:rPr>
          <w:rFonts w:ascii="Calibri" w:hAnsi="Calibri" w:cs="Calibri"/>
          <w:color w:val="000000" w:themeColor="text1"/>
          <w:sz w:val="24"/>
          <w:szCs w:val="24"/>
        </w:rPr>
        <w:t xml:space="preserve"> č.</w:t>
      </w:r>
      <w:r w:rsidR="00AD68E7" w:rsidRPr="00E76F52">
        <w:rPr>
          <w:rFonts w:ascii="Calibri" w:hAnsi="Calibri" w:cs="Calibri"/>
          <w:color w:val="000000" w:themeColor="text1"/>
          <w:sz w:val="24"/>
          <w:szCs w:val="24"/>
        </w:rPr>
        <w:t> </w:t>
      </w:r>
      <w:r w:rsidR="00A64F27" w:rsidRPr="00E76F52">
        <w:rPr>
          <w:rFonts w:ascii="Calibri" w:hAnsi="Calibri" w:cs="Calibri"/>
          <w:color w:val="000000" w:themeColor="text1"/>
          <w:sz w:val="24"/>
          <w:szCs w:val="24"/>
        </w:rPr>
        <w:t xml:space="preserve">410/2009 Sb. </w:t>
      </w:r>
      <w:r w:rsidR="00726393" w:rsidRPr="00E76F52">
        <w:rPr>
          <w:rFonts w:ascii="Calibri" w:hAnsi="Calibri" w:cs="Calibri"/>
          <w:color w:val="000000" w:themeColor="text1"/>
          <w:sz w:val="24"/>
          <w:szCs w:val="24"/>
        </w:rPr>
        <w:t xml:space="preserve">mělo MŽP tyto pohledávky </w:t>
      </w:r>
      <w:r w:rsidR="00A64F27" w:rsidRPr="00E76F52">
        <w:rPr>
          <w:rFonts w:ascii="Calibri" w:hAnsi="Calibri" w:cs="Calibri"/>
          <w:color w:val="000000" w:themeColor="text1"/>
          <w:sz w:val="24"/>
          <w:szCs w:val="24"/>
        </w:rPr>
        <w:t xml:space="preserve">vykázat </w:t>
      </w:r>
      <w:r w:rsidR="00726393" w:rsidRPr="00E76F52">
        <w:rPr>
          <w:rFonts w:ascii="Calibri" w:hAnsi="Calibri" w:cs="Calibri"/>
          <w:color w:val="000000" w:themeColor="text1"/>
          <w:sz w:val="24"/>
          <w:szCs w:val="24"/>
        </w:rPr>
        <w:t>na</w:t>
      </w:r>
      <w:r w:rsidR="00A64F27" w:rsidRPr="00E76F52">
        <w:rPr>
          <w:rFonts w:ascii="Calibri" w:hAnsi="Calibri" w:cs="Calibri"/>
          <w:i/>
          <w:color w:val="000000" w:themeColor="text1"/>
          <w:sz w:val="24"/>
          <w:szCs w:val="24"/>
        </w:rPr>
        <w:t xml:space="preserve"> </w:t>
      </w:r>
      <w:r w:rsidR="00A64F27" w:rsidRPr="00E76F52">
        <w:rPr>
          <w:rFonts w:ascii="Calibri" w:hAnsi="Calibri" w:cs="Calibri"/>
          <w:color w:val="000000" w:themeColor="text1"/>
          <w:sz w:val="24"/>
          <w:szCs w:val="24"/>
        </w:rPr>
        <w:t>účtu</w:t>
      </w:r>
      <w:r w:rsidR="00A64F27" w:rsidRPr="00E76F52">
        <w:rPr>
          <w:rFonts w:ascii="Calibri" w:hAnsi="Calibri" w:cs="Calibri"/>
          <w:i/>
          <w:color w:val="000000" w:themeColor="text1"/>
          <w:sz w:val="24"/>
          <w:szCs w:val="24"/>
        </w:rPr>
        <w:t xml:space="preserve"> </w:t>
      </w:r>
      <w:r w:rsidR="008D5A59" w:rsidRPr="000A469B">
        <w:rPr>
          <w:rFonts w:ascii="Calibri" w:hAnsi="Calibri" w:cs="Calibri"/>
          <w:color w:val="000000" w:themeColor="text1"/>
          <w:sz w:val="24"/>
          <w:szCs w:val="24"/>
        </w:rPr>
        <w:t>315</w:t>
      </w:r>
      <w:r w:rsidR="00A64F27" w:rsidRPr="00E76F52">
        <w:rPr>
          <w:rFonts w:ascii="Calibri" w:hAnsi="Calibri" w:cs="Calibri"/>
          <w:i/>
          <w:color w:val="000000" w:themeColor="text1"/>
          <w:sz w:val="24"/>
          <w:szCs w:val="24"/>
        </w:rPr>
        <w:t xml:space="preserve"> – </w:t>
      </w:r>
      <w:r w:rsidR="00AF51A0" w:rsidRPr="00E76F52">
        <w:rPr>
          <w:rFonts w:ascii="Calibri" w:hAnsi="Calibri" w:cs="Calibri"/>
          <w:i/>
          <w:color w:val="000000" w:themeColor="text1"/>
          <w:sz w:val="24"/>
          <w:szCs w:val="24"/>
        </w:rPr>
        <w:t xml:space="preserve">Jiné </w:t>
      </w:r>
      <w:r w:rsidR="0008610D" w:rsidRPr="00E76F52">
        <w:rPr>
          <w:rFonts w:ascii="Calibri" w:hAnsi="Calibri" w:cs="Calibri"/>
          <w:i/>
          <w:color w:val="000000" w:themeColor="text1"/>
          <w:sz w:val="24"/>
          <w:szCs w:val="24"/>
        </w:rPr>
        <w:t>pohledávky z</w:t>
      </w:r>
      <w:r w:rsidR="007405FC" w:rsidRPr="00E76F52">
        <w:rPr>
          <w:rFonts w:ascii="Calibri" w:hAnsi="Calibri" w:cs="Calibri"/>
          <w:i/>
          <w:color w:val="000000" w:themeColor="text1"/>
          <w:sz w:val="24"/>
          <w:szCs w:val="24"/>
        </w:rPr>
        <w:t xml:space="preserve"> </w:t>
      </w:r>
      <w:r w:rsidR="0008610D" w:rsidRPr="00E76F52">
        <w:rPr>
          <w:rFonts w:ascii="Calibri" w:hAnsi="Calibri" w:cs="Calibri"/>
          <w:i/>
          <w:color w:val="000000" w:themeColor="text1"/>
          <w:sz w:val="24"/>
          <w:szCs w:val="24"/>
        </w:rPr>
        <w:t>hlavní činnosti</w:t>
      </w:r>
      <w:r w:rsidR="00A64F27" w:rsidRPr="00E76F52">
        <w:rPr>
          <w:rFonts w:ascii="Calibri" w:hAnsi="Calibri" w:cs="Calibri"/>
          <w:i/>
          <w:color w:val="000000" w:themeColor="text1"/>
          <w:sz w:val="24"/>
          <w:szCs w:val="24"/>
        </w:rPr>
        <w:t xml:space="preserve">. </w:t>
      </w:r>
      <w:r w:rsidR="004D664D"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4D664D" w:rsidRPr="00E76F52">
        <w:rPr>
          <w:rFonts w:ascii="Calibri" w:hAnsi="Calibri" w:cs="Calibri"/>
          <w:color w:val="000000" w:themeColor="text1"/>
          <w:sz w:val="24"/>
          <w:szCs w:val="24"/>
        </w:rPr>
        <w:t xml:space="preserve">důsledku této skutečnosti MŽP nadhodnotilo účet </w:t>
      </w:r>
      <w:r w:rsidR="009D41A6">
        <w:rPr>
          <w:rFonts w:ascii="Calibri" w:hAnsi="Calibri" w:cs="Calibri"/>
          <w:color w:val="000000" w:themeColor="text1"/>
          <w:sz w:val="24"/>
          <w:szCs w:val="24"/>
        </w:rPr>
        <w:br/>
      </w:r>
      <w:r w:rsidR="004D664D" w:rsidRPr="000A469B">
        <w:rPr>
          <w:rFonts w:ascii="Calibri" w:hAnsi="Calibri" w:cs="Calibri"/>
          <w:color w:val="000000" w:themeColor="text1"/>
          <w:sz w:val="24"/>
          <w:szCs w:val="24"/>
        </w:rPr>
        <w:t>377</w:t>
      </w:r>
      <w:r w:rsidR="00D01665">
        <w:rPr>
          <w:rFonts w:ascii="Calibri" w:hAnsi="Calibri" w:cs="Calibri"/>
          <w:i/>
          <w:color w:val="000000" w:themeColor="text1"/>
          <w:sz w:val="24"/>
          <w:szCs w:val="24"/>
        </w:rPr>
        <w:t> </w:t>
      </w:r>
      <w:r w:rsidR="00AD68E7" w:rsidRPr="00E76F52">
        <w:rPr>
          <w:rFonts w:ascii="Calibri" w:hAnsi="Calibri" w:cs="Calibri"/>
          <w:i/>
          <w:color w:val="000000" w:themeColor="text1"/>
          <w:sz w:val="24"/>
          <w:szCs w:val="24"/>
        </w:rPr>
        <w:t>–</w:t>
      </w:r>
      <w:r w:rsidR="004D664D" w:rsidRPr="00E76F52">
        <w:rPr>
          <w:rFonts w:ascii="Calibri" w:hAnsi="Calibri" w:cs="Calibri"/>
          <w:i/>
          <w:color w:val="000000" w:themeColor="text1"/>
          <w:sz w:val="24"/>
          <w:szCs w:val="24"/>
        </w:rPr>
        <w:t xml:space="preserve"> Ostatní krátkodobé pohledávky</w:t>
      </w:r>
      <w:r w:rsidR="004D664D" w:rsidRPr="00E76F52">
        <w:rPr>
          <w:rFonts w:ascii="Calibri" w:hAnsi="Calibri" w:cs="Calibri"/>
          <w:color w:val="000000" w:themeColor="text1"/>
          <w:sz w:val="24"/>
          <w:szCs w:val="24"/>
        </w:rPr>
        <w:t xml:space="preserve"> ve sloupci „Brutto“</w:t>
      </w:r>
      <w:r w:rsidR="004D664D" w:rsidRPr="00E76F52">
        <w:rPr>
          <w:rFonts w:ascii="Calibri" w:hAnsi="Calibri" w:cs="Calibri"/>
          <w:i/>
          <w:color w:val="000000" w:themeColor="text1"/>
          <w:sz w:val="24"/>
          <w:szCs w:val="24"/>
        </w:rPr>
        <w:t xml:space="preserve"> </w:t>
      </w:r>
      <w:r w:rsidR="004D664D" w:rsidRPr="00E76F52">
        <w:rPr>
          <w:rFonts w:ascii="Calibri" w:hAnsi="Calibri" w:cs="Calibri"/>
          <w:color w:val="000000" w:themeColor="text1"/>
          <w:sz w:val="24"/>
          <w:szCs w:val="24"/>
        </w:rPr>
        <w:t>o 1</w:t>
      </w:r>
      <w:r w:rsidR="007405FC" w:rsidRPr="00E76F52">
        <w:rPr>
          <w:rFonts w:ascii="Calibri" w:hAnsi="Calibri" w:cs="Calibri"/>
          <w:color w:val="000000" w:themeColor="text1"/>
          <w:sz w:val="24"/>
          <w:szCs w:val="24"/>
        </w:rPr>
        <w:t xml:space="preserve"> </w:t>
      </w:r>
      <w:r w:rsidR="004D664D" w:rsidRPr="00E76F52">
        <w:rPr>
          <w:rFonts w:ascii="Calibri" w:hAnsi="Calibri" w:cs="Calibri"/>
          <w:color w:val="000000" w:themeColor="text1"/>
          <w:sz w:val="24"/>
          <w:szCs w:val="24"/>
        </w:rPr>
        <w:t>258</w:t>
      </w:r>
      <w:r w:rsidR="007405FC" w:rsidRPr="00E76F52">
        <w:rPr>
          <w:rFonts w:ascii="Calibri" w:hAnsi="Calibri" w:cs="Calibri"/>
          <w:color w:val="000000" w:themeColor="text1"/>
          <w:sz w:val="24"/>
          <w:szCs w:val="24"/>
        </w:rPr>
        <w:t xml:space="preserve"> </w:t>
      </w:r>
      <w:r w:rsidR="004D664D" w:rsidRPr="00E76F52">
        <w:rPr>
          <w:rFonts w:ascii="Calibri" w:hAnsi="Calibri" w:cs="Calibri"/>
          <w:color w:val="000000" w:themeColor="text1"/>
          <w:sz w:val="24"/>
          <w:szCs w:val="24"/>
        </w:rPr>
        <w:t xml:space="preserve">536,25 Kč a o tuto částku podhodnotilo účet </w:t>
      </w:r>
      <w:r w:rsidR="004D664D" w:rsidRPr="000A469B">
        <w:rPr>
          <w:rFonts w:ascii="Calibri" w:hAnsi="Calibri" w:cs="Calibri"/>
          <w:color w:val="000000" w:themeColor="text1"/>
          <w:sz w:val="24"/>
          <w:szCs w:val="24"/>
        </w:rPr>
        <w:t>315</w:t>
      </w:r>
      <w:r w:rsidR="00AD68E7" w:rsidRPr="00E76F52">
        <w:rPr>
          <w:rFonts w:ascii="Calibri" w:hAnsi="Calibri" w:cs="Calibri"/>
          <w:i/>
          <w:color w:val="000000" w:themeColor="text1"/>
          <w:sz w:val="24"/>
          <w:szCs w:val="24"/>
        </w:rPr>
        <w:t xml:space="preserve"> –</w:t>
      </w:r>
      <w:r w:rsidR="00D01665">
        <w:rPr>
          <w:rFonts w:ascii="Calibri" w:hAnsi="Calibri" w:cs="Calibri"/>
          <w:i/>
          <w:color w:val="000000" w:themeColor="text1"/>
          <w:sz w:val="24"/>
          <w:szCs w:val="24"/>
        </w:rPr>
        <w:t xml:space="preserve"> </w:t>
      </w:r>
      <w:r w:rsidR="004D664D" w:rsidRPr="00E76F52">
        <w:rPr>
          <w:rFonts w:ascii="Calibri" w:hAnsi="Calibri" w:cs="Calibri"/>
          <w:i/>
          <w:color w:val="000000" w:themeColor="text1"/>
          <w:sz w:val="24"/>
          <w:szCs w:val="24"/>
        </w:rPr>
        <w:t>Jiné pohledávky z</w:t>
      </w:r>
      <w:r w:rsidR="007405FC" w:rsidRPr="00E76F52">
        <w:rPr>
          <w:rFonts w:ascii="Calibri" w:hAnsi="Calibri" w:cs="Calibri"/>
          <w:i/>
          <w:color w:val="000000" w:themeColor="text1"/>
          <w:sz w:val="24"/>
          <w:szCs w:val="24"/>
        </w:rPr>
        <w:t xml:space="preserve"> </w:t>
      </w:r>
      <w:r w:rsidR="004D664D" w:rsidRPr="00E76F52">
        <w:rPr>
          <w:rFonts w:ascii="Calibri" w:hAnsi="Calibri" w:cs="Calibri"/>
          <w:i/>
          <w:color w:val="000000" w:themeColor="text1"/>
          <w:sz w:val="24"/>
          <w:szCs w:val="24"/>
        </w:rPr>
        <w:t xml:space="preserve">hlavní činnosti. </w:t>
      </w:r>
      <w:r w:rsidR="004D664D" w:rsidRPr="00E76F52">
        <w:rPr>
          <w:rFonts w:ascii="Calibri" w:hAnsi="Calibri" w:cs="Calibri"/>
          <w:color w:val="000000" w:themeColor="text1"/>
          <w:sz w:val="24"/>
          <w:szCs w:val="24"/>
        </w:rPr>
        <w:t>Ve sloupci „Netto“ jsou pak tyto účty nadhodnoceny/podhodnoceny o částku 960</w:t>
      </w:r>
      <w:r w:rsidR="007405FC" w:rsidRPr="00E76F52">
        <w:rPr>
          <w:rFonts w:ascii="Calibri" w:hAnsi="Calibri" w:cs="Calibri"/>
          <w:color w:val="000000" w:themeColor="text1"/>
          <w:sz w:val="24"/>
          <w:szCs w:val="24"/>
        </w:rPr>
        <w:t xml:space="preserve"> </w:t>
      </w:r>
      <w:r w:rsidR="004D664D" w:rsidRPr="00E76F52">
        <w:rPr>
          <w:rFonts w:ascii="Calibri" w:hAnsi="Calibri" w:cs="Calibri"/>
          <w:color w:val="000000" w:themeColor="text1"/>
          <w:sz w:val="24"/>
          <w:szCs w:val="24"/>
        </w:rPr>
        <w:t>194,25 Kč.</w:t>
      </w:r>
    </w:p>
    <w:p w:rsidR="005416A5" w:rsidRPr="00E76F52" w:rsidRDefault="005416A5" w:rsidP="00E76F52">
      <w:pPr>
        <w:spacing w:after="0" w:line="240" w:lineRule="auto"/>
        <w:jc w:val="both"/>
        <w:rPr>
          <w:rFonts w:ascii="Calibri" w:hAnsi="Calibri" w:cs="Calibri"/>
          <w:color w:val="000000" w:themeColor="text1"/>
          <w:sz w:val="24"/>
          <w:szCs w:val="24"/>
        </w:rPr>
      </w:pPr>
    </w:p>
    <w:p w:rsidR="00483F60" w:rsidRPr="00E76F52" w:rsidRDefault="00483F60"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Závazky</w:t>
      </w:r>
      <w:r w:rsidR="008F25B9" w:rsidRPr="00E76F52">
        <w:rPr>
          <w:rFonts w:ascii="Calibri" w:hAnsi="Calibri" w:cs="Calibri"/>
          <w:b/>
          <w:i/>
          <w:color w:val="000000" w:themeColor="text1"/>
          <w:sz w:val="24"/>
          <w:szCs w:val="24"/>
        </w:rPr>
        <w:t xml:space="preserve"> </w:t>
      </w:r>
    </w:p>
    <w:p w:rsidR="005416A5" w:rsidRDefault="005416A5" w:rsidP="00E76F52">
      <w:pPr>
        <w:spacing w:after="0" w:line="240" w:lineRule="auto"/>
        <w:jc w:val="both"/>
        <w:rPr>
          <w:rFonts w:ascii="Calibri" w:hAnsi="Calibri" w:cs="Calibri"/>
          <w:color w:val="000000" w:themeColor="text1"/>
          <w:sz w:val="24"/>
          <w:szCs w:val="24"/>
        </w:rPr>
      </w:pPr>
    </w:p>
    <w:p w:rsidR="00AB3D2C" w:rsidRPr="005416A5" w:rsidRDefault="003F7DF3"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Závazky</w:t>
      </w:r>
      <w:r w:rsidR="007E6040" w:rsidRPr="00E76F52">
        <w:rPr>
          <w:rFonts w:ascii="Calibri" w:hAnsi="Calibri" w:cs="Calibri"/>
          <w:color w:val="000000" w:themeColor="text1"/>
          <w:sz w:val="24"/>
          <w:szCs w:val="24"/>
        </w:rPr>
        <w:t xml:space="preserve"> z</w:t>
      </w:r>
      <w:r w:rsidR="007405FC" w:rsidRPr="00E76F52">
        <w:rPr>
          <w:rFonts w:ascii="Calibri" w:hAnsi="Calibri" w:cs="Calibri"/>
          <w:color w:val="000000" w:themeColor="text1"/>
          <w:sz w:val="24"/>
          <w:szCs w:val="24"/>
        </w:rPr>
        <w:t xml:space="preserve"> </w:t>
      </w:r>
      <w:r w:rsidR="007E6040" w:rsidRPr="00E76F52">
        <w:rPr>
          <w:rFonts w:ascii="Calibri" w:hAnsi="Calibri" w:cs="Calibri"/>
          <w:color w:val="000000" w:themeColor="text1"/>
          <w:sz w:val="24"/>
          <w:szCs w:val="24"/>
        </w:rPr>
        <w:t>mezd</w:t>
      </w:r>
      <w:r w:rsidRPr="00E76F52">
        <w:rPr>
          <w:rFonts w:ascii="Calibri" w:hAnsi="Calibri" w:cs="Calibri"/>
          <w:color w:val="000000" w:themeColor="text1"/>
          <w:sz w:val="24"/>
          <w:szCs w:val="24"/>
        </w:rPr>
        <w:t xml:space="preserve">, které </w:t>
      </w:r>
      <w:r w:rsidR="00090ABF" w:rsidRPr="00E76F52">
        <w:rPr>
          <w:rFonts w:ascii="Calibri" w:hAnsi="Calibri" w:cs="Calibri"/>
          <w:color w:val="000000" w:themeColor="text1"/>
          <w:sz w:val="24"/>
          <w:szCs w:val="24"/>
        </w:rPr>
        <w:t xml:space="preserve">měly být zaměstnancům </w:t>
      </w:r>
      <w:r w:rsidRPr="00E76F52">
        <w:rPr>
          <w:rFonts w:ascii="Calibri" w:hAnsi="Calibri" w:cs="Calibri"/>
          <w:color w:val="000000" w:themeColor="text1"/>
          <w:sz w:val="24"/>
          <w:szCs w:val="24"/>
        </w:rPr>
        <w:t>vyplaceny</w:t>
      </w:r>
      <w:r w:rsidR="00090ABF" w:rsidRPr="00E76F52">
        <w:rPr>
          <w:rFonts w:ascii="Calibri" w:hAnsi="Calibri" w:cs="Calibri"/>
          <w:color w:val="000000" w:themeColor="text1"/>
          <w:sz w:val="24"/>
          <w:szCs w:val="24"/>
        </w:rPr>
        <w:t xml:space="preserve"> v lednu 2014</w:t>
      </w:r>
      <w:r w:rsidR="007E6040" w:rsidRPr="00E76F52">
        <w:rPr>
          <w:rFonts w:ascii="Calibri" w:hAnsi="Calibri" w:cs="Calibri"/>
          <w:color w:val="000000" w:themeColor="text1"/>
          <w:sz w:val="24"/>
          <w:szCs w:val="24"/>
        </w:rPr>
        <w:t xml:space="preserve"> </w:t>
      </w:r>
      <w:r w:rsidR="00090ABF" w:rsidRPr="00E76F52">
        <w:rPr>
          <w:rFonts w:ascii="Calibri" w:hAnsi="Calibri" w:cs="Calibri"/>
          <w:color w:val="000000" w:themeColor="text1"/>
          <w:sz w:val="24"/>
          <w:szCs w:val="24"/>
        </w:rPr>
        <w:t>formou bezhotovostního převodu na jejich účty</w:t>
      </w:r>
      <w:r w:rsidR="003F2EBC" w:rsidRPr="00E76F52">
        <w:rPr>
          <w:rFonts w:ascii="Calibri" w:hAnsi="Calibri" w:cs="Calibri"/>
          <w:color w:val="000000" w:themeColor="text1"/>
          <w:sz w:val="24"/>
          <w:szCs w:val="24"/>
        </w:rPr>
        <w:t>,</w:t>
      </w:r>
      <w:r w:rsidR="007E6040"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vykázalo MŽP nesprávně</w:t>
      </w:r>
      <w:r w:rsidR="007E6746"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na</w:t>
      </w:r>
      <w:r w:rsidR="007E6040" w:rsidRPr="00E76F52">
        <w:rPr>
          <w:rFonts w:ascii="Calibri" w:hAnsi="Calibri" w:cs="Calibri"/>
          <w:color w:val="000000" w:themeColor="text1"/>
          <w:sz w:val="24"/>
          <w:szCs w:val="24"/>
        </w:rPr>
        <w:t xml:space="preserve"> účtu</w:t>
      </w:r>
      <w:r w:rsidR="007E6040" w:rsidRPr="00E76F52">
        <w:rPr>
          <w:rFonts w:ascii="Calibri" w:hAnsi="Calibri" w:cs="Calibri"/>
          <w:i/>
          <w:color w:val="000000" w:themeColor="text1"/>
          <w:sz w:val="24"/>
          <w:szCs w:val="24"/>
        </w:rPr>
        <w:t xml:space="preserve"> </w:t>
      </w:r>
      <w:r w:rsidR="007E6040" w:rsidRPr="000A469B">
        <w:rPr>
          <w:rFonts w:ascii="Calibri" w:hAnsi="Calibri" w:cs="Calibri"/>
          <w:color w:val="000000" w:themeColor="text1"/>
          <w:sz w:val="24"/>
          <w:szCs w:val="24"/>
        </w:rPr>
        <w:t>333</w:t>
      </w:r>
      <w:r w:rsidR="007E6040" w:rsidRPr="00E76F52">
        <w:rPr>
          <w:rFonts w:ascii="Calibri" w:hAnsi="Calibri" w:cs="Calibri"/>
          <w:i/>
          <w:color w:val="000000" w:themeColor="text1"/>
          <w:sz w:val="24"/>
          <w:szCs w:val="24"/>
        </w:rPr>
        <w:t xml:space="preserve"> – Jiné závazky vůči zaměstnancům</w:t>
      </w:r>
      <w:r w:rsidR="007E6746" w:rsidRPr="00E76F52">
        <w:rPr>
          <w:rFonts w:ascii="Calibri" w:hAnsi="Calibri" w:cs="Calibri"/>
          <w:i/>
          <w:color w:val="000000" w:themeColor="text1"/>
          <w:sz w:val="24"/>
          <w:szCs w:val="24"/>
        </w:rPr>
        <w:t xml:space="preserve">. </w:t>
      </w:r>
      <w:r w:rsidR="007E6746" w:rsidRPr="00E76F52">
        <w:rPr>
          <w:rFonts w:ascii="Calibri" w:hAnsi="Calibri" w:cs="Calibri"/>
          <w:color w:val="000000" w:themeColor="text1"/>
          <w:sz w:val="24"/>
          <w:szCs w:val="24"/>
        </w:rPr>
        <w:t xml:space="preserve">Tyto závazky mělo MŽP </w:t>
      </w:r>
      <w:r w:rsidR="007E6040" w:rsidRPr="00E76F52">
        <w:rPr>
          <w:rFonts w:ascii="Calibri" w:hAnsi="Calibri" w:cs="Calibri"/>
          <w:color w:val="000000" w:themeColor="text1"/>
          <w:sz w:val="24"/>
          <w:szCs w:val="24"/>
        </w:rPr>
        <w:t>v souladu s</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ustanovením § 32</w:t>
      </w:r>
      <w:r w:rsidR="007E6040" w:rsidRPr="00E76F52">
        <w:rPr>
          <w:rFonts w:ascii="Calibri" w:hAnsi="Calibri" w:cs="Calibri"/>
          <w:color w:val="000000" w:themeColor="text1"/>
          <w:sz w:val="24"/>
          <w:szCs w:val="24"/>
        </w:rPr>
        <w:t xml:space="preserve"> vyhlášk</w:t>
      </w:r>
      <w:r w:rsidRPr="00E76F52">
        <w:rPr>
          <w:rFonts w:ascii="Calibri" w:hAnsi="Calibri" w:cs="Calibri"/>
          <w:color w:val="000000" w:themeColor="text1"/>
          <w:sz w:val="24"/>
          <w:szCs w:val="24"/>
        </w:rPr>
        <w:t>y</w:t>
      </w:r>
      <w:r w:rsidR="00CB641A" w:rsidRPr="00E76F52">
        <w:rPr>
          <w:rFonts w:ascii="Calibri" w:hAnsi="Calibri" w:cs="Calibri"/>
          <w:color w:val="000000" w:themeColor="text1"/>
          <w:sz w:val="24"/>
          <w:szCs w:val="24"/>
        </w:rPr>
        <w:t xml:space="preserve"> č. </w:t>
      </w:r>
      <w:r w:rsidR="007E6040" w:rsidRPr="00E76F52">
        <w:rPr>
          <w:rFonts w:ascii="Calibri" w:hAnsi="Calibri" w:cs="Calibri"/>
          <w:color w:val="000000" w:themeColor="text1"/>
          <w:sz w:val="24"/>
          <w:szCs w:val="24"/>
        </w:rPr>
        <w:t xml:space="preserve">410/2009 Sb. </w:t>
      </w:r>
      <w:r w:rsidR="006E6803" w:rsidRPr="00E76F52">
        <w:rPr>
          <w:rFonts w:ascii="Calibri" w:hAnsi="Calibri" w:cs="Calibri"/>
          <w:color w:val="000000" w:themeColor="text1"/>
          <w:sz w:val="24"/>
          <w:szCs w:val="24"/>
        </w:rPr>
        <w:t xml:space="preserve">vykázat </w:t>
      </w:r>
      <w:r w:rsidRPr="00E76F52">
        <w:rPr>
          <w:rFonts w:ascii="Calibri" w:hAnsi="Calibri" w:cs="Calibri"/>
          <w:color w:val="000000" w:themeColor="text1"/>
          <w:sz w:val="24"/>
          <w:szCs w:val="24"/>
        </w:rPr>
        <w:t>na</w:t>
      </w:r>
      <w:r w:rsidR="006E6803" w:rsidRPr="00E76F52">
        <w:rPr>
          <w:rFonts w:ascii="Calibri" w:hAnsi="Calibri" w:cs="Calibri"/>
          <w:i/>
          <w:color w:val="000000" w:themeColor="text1"/>
          <w:sz w:val="24"/>
          <w:szCs w:val="24"/>
        </w:rPr>
        <w:t xml:space="preserve"> </w:t>
      </w:r>
      <w:r w:rsidR="007E6040" w:rsidRPr="00E76F52">
        <w:rPr>
          <w:rFonts w:ascii="Calibri" w:hAnsi="Calibri" w:cs="Calibri"/>
          <w:color w:val="000000" w:themeColor="text1"/>
          <w:sz w:val="24"/>
          <w:szCs w:val="24"/>
        </w:rPr>
        <w:t>účtu</w:t>
      </w:r>
      <w:r w:rsidR="007E6040" w:rsidRPr="00E76F52">
        <w:rPr>
          <w:rFonts w:ascii="Calibri" w:hAnsi="Calibri" w:cs="Calibri"/>
          <w:i/>
          <w:color w:val="000000" w:themeColor="text1"/>
          <w:sz w:val="24"/>
          <w:szCs w:val="24"/>
        </w:rPr>
        <w:t xml:space="preserve"> </w:t>
      </w:r>
      <w:r w:rsidR="007E6040" w:rsidRPr="000A469B">
        <w:rPr>
          <w:rFonts w:ascii="Calibri" w:hAnsi="Calibri" w:cs="Calibri"/>
          <w:color w:val="000000" w:themeColor="text1"/>
          <w:sz w:val="24"/>
          <w:szCs w:val="24"/>
        </w:rPr>
        <w:t>331</w:t>
      </w:r>
      <w:r w:rsidR="007E6040" w:rsidRPr="00E76F52">
        <w:rPr>
          <w:rFonts w:ascii="Calibri" w:hAnsi="Calibri" w:cs="Calibri"/>
          <w:i/>
          <w:color w:val="000000" w:themeColor="text1"/>
          <w:sz w:val="24"/>
          <w:szCs w:val="24"/>
        </w:rPr>
        <w:t xml:space="preserve"> – Zaměstnanci. </w:t>
      </w:r>
      <w:r w:rsidR="006E6803"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6E6803" w:rsidRPr="00E76F52">
        <w:rPr>
          <w:rFonts w:ascii="Calibri" w:hAnsi="Calibri" w:cs="Calibri"/>
          <w:color w:val="000000" w:themeColor="text1"/>
          <w:sz w:val="24"/>
          <w:szCs w:val="24"/>
        </w:rPr>
        <w:t xml:space="preserve">důsledku toho MŽP ve výkazu </w:t>
      </w:r>
      <w:r w:rsidR="00FE7695" w:rsidRPr="00E76F52">
        <w:rPr>
          <w:rFonts w:ascii="Calibri" w:hAnsi="Calibri" w:cs="Calibri"/>
          <w:color w:val="000000" w:themeColor="text1"/>
          <w:sz w:val="24"/>
          <w:szCs w:val="24"/>
        </w:rPr>
        <w:t xml:space="preserve">rozvaha </w:t>
      </w:r>
      <w:r w:rsidR="006E6803" w:rsidRPr="00E76F52">
        <w:rPr>
          <w:rFonts w:ascii="Calibri" w:hAnsi="Calibri" w:cs="Calibri"/>
          <w:color w:val="000000" w:themeColor="text1"/>
          <w:sz w:val="24"/>
          <w:szCs w:val="24"/>
        </w:rPr>
        <w:t xml:space="preserve">nadhodnotilo </w:t>
      </w:r>
      <w:r w:rsidR="00851C14" w:rsidRPr="00E76F52">
        <w:rPr>
          <w:rFonts w:ascii="Calibri" w:hAnsi="Calibri" w:cs="Calibri"/>
          <w:color w:val="000000" w:themeColor="text1"/>
          <w:sz w:val="24"/>
          <w:szCs w:val="24"/>
        </w:rPr>
        <w:t>k</w:t>
      </w:r>
      <w:r w:rsidR="007405FC" w:rsidRPr="00E76F52">
        <w:rPr>
          <w:rFonts w:ascii="Calibri" w:hAnsi="Calibri" w:cs="Calibri"/>
          <w:color w:val="000000" w:themeColor="text1"/>
          <w:sz w:val="24"/>
          <w:szCs w:val="24"/>
        </w:rPr>
        <w:t xml:space="preserve"> </w:t>
      </w:r>
      <w:r w:rsidR="00851C14" w:rsidRPr="00E76F52">
        <w:rPr>
          <w:rFonts w:ascii="Calibri" w:hAnsi="Calibri" w:cs="Calibri"/>
          <w:color w:val="000000" w:themeColor="text1"/>
          <w:sz w:val="24"/>
          <w:szCs w:val="24"/>
        </w:rPr>
        <w:t xml:space="preserve">31. prosinci 2013 </w:t>
      </w:r>
      <w:r w:rsidR="006E6803" w:rsidRPr="00E76F52">
        <w:rPr>
          <w:rFonts w:ascii="Calibri" w:hAnsi="Calibri" w:cs="Calibri"/>
          <w:color w:val="000000" w:themeColor="text1"/>
          <w:sz w:val="24"/>
          <w:szCs w:val="24"/>
        </w:rPr>
        <w:t>zůstatek</w:t>
      </w:r>
      <w:r w:rsidR="006E6803" w:rsidRPr="00E76F52">
        <w:rPr>
          <w:rFonts w:ascii="Calibri" w:hAnsi="Calibri" w:cs="Calibri"/>
          <w:i/>
          <w:color w:val="000000" w:themeColor="text1"/>
          <w:sz w:val="24"/>
          <w:szCs w:val="24"/>
        </w:rPr>
        <w:t xml:space="preserve"> </w:t>
      </w:r>
      <w:r w:rsidR="006E6803" w:rsidRPr="00E76F52">
        <w:rPr>
          <w:rFonts w:ascii="Calibri" w:hAnsi="Calibri" w:cs="Calibri"/>
          <w:color w:val="000000" w:themeColor="text1"/>
          <w:sz w:val="24"/>
          <w:szCs w:val="24"/>
        </w:rPr>
        <w:t xml:space="preserve">účtu </w:t>
      </w:r>
      <w:r w:rsidR="006E6803" w:rsidRPr="000A469B">
        <w:rPr>
          <w:rFonts w:ascii="Calibri" w:hAnsi="Calibri" w:cs="Calibri"/>
          <w:color w:val="000000" w:themeColor="text1"/>
          <w:sz w:val="24"/>
          <w:szCs w:val="24"/>
        </w:rPr>
        <w:t>333</w:t>
      </w:r>
      <w:r w:rsidR="006E6803" w:rsidRPr="00E76F52">
        <w:rPr>
          <w:rFonts w:ascii="Calibri" w:hAnsi="Calibri" w:cs="Calibri"/>
          <w:i/>
          <w:color w:val="000000" w:themeColor="text1"/>
          <w:sz w:val="24"/>
          <w:szCs w:val="24"/>
        </w:rPr>
        <w:t xml:space="preserve"> – Jiné závazky vůči zaměstnancům </w:t>
      </w:r>
      <w:r w:rsidR="00CB641A" w:rsidRPr="00E76F52">
        <w:rPr>
          <w:rFonts w:ascii="Calibri" w:hAnsi="Calibri" w:cs="Calibri"/>
          <w:color w:val="000000" w:themeColor="text1"/>
          <w:sz w:val="24"/>
          <w:szCs w:val="24"/>
        </w:rPr>
        <w:t>o </w:t>
      </w:r>
      <w:r w:rsidR="00254A2C">
        <w:rPr>
          <w:rFonts w:ascii="Calibri" w:hAnsi="Calibri" w:cs="Calibri"/>
          <w:color w:val="000000" w:themeColor="text1"/>
          <w:sz w:val="24"/>
          <w:szCs w:val="24"/>
        </w:rPr>
        <w:t>16 </w:t>
      </w:r>
      <w:r w:rsidR="00A5581A" w:rsidRPr="00E76F52">
        <w:rPr>
          <w:rFonts w:ascii="Calibri" w:hAnsi="Calibri" w:cs="Calibri"/>
          <w:color w:val="000000" w:themeColor="text1"/>
          <w:sz w:val="24"/>
          <w:szCs w:val="24"/>
        </w:rPr>
        <w:t>496 859</w:t>
      </w:r>
      <w:r w:rsidR="006E6803" w:rsidRPr="00E76F52">
        <w:rPr>
          <w:rFonts w:ascii="Calibri" w:hAnsi="Calibri" w:cs="Calibri"/>
          <w:color w:val="000000" w:themeColor="text1"/>
          <w:sz w:val="24"/>
          <w:szCs w:val="24"/>
        </w:rPr>
        <w:t xml:space="preserve"> Kč</w:t>
      </w:r>
      <w:r w:rsidR="001F345D" w:rsidRPr="00E76F52">
        <w:rPr>
          <w:rFonts w:ascii="Calibri" w:hAnsi="Calibri" w:cs="Calibri"/>
          <w:color w:val="000000" w:themeColor="text1"/>
          <w:sz w:val="24"/>
          <w:szCs w:val="24"/>
        </w:rPr>
        <w:t xml:space="preserve"> a </w:t>
      </w:r>
      <w:r w:rsidRPr="00E76F52">
        <w:rPr>
          <w:rFonts w:ascii="Calibri" w:hAnsi="Calibri" w:cs="Calibri"/>
          <w:color w:val="000000" w:themeColor="text1"/>
          <w:sz w:val="24"/>
          <w:szCs w:val="24"/>
        </w:rPr>
        <w:t xml:space="preserve">o tuto částku </w:t>
      </w:r>
      <w:r w:rsidR="001F345D" w:rsidRPr="00E76F52">
        <w:rPr>
          <w:rFonts w:ascii="Calibri" w:hAnsi="Calibri" w:cs="Calibri"/>
          <w:color w:val="000000" w:themeColor="text1"/>
          <w:sz w:val="24"/>
          <w:szCs w:val="24"/>
        </w:rPr>
        <w:t>podhodnotilo zůstatek účtu</w:t>
      </w:r>
      <w:r w:rsidR="001F345D" w:rsidRPr="00E76F52">
        <w:rPr>
          <w:rFonts w:ascii="Calibri" w:hAnsi="Calibri" w:cs="Calibri"/>
          <w:i/>
          <w:color w:val="000000" w:themeColor="text1"/>
          <w:sz w:val="24"/>
          <w:szCs w:val="24"/>
        </w:rPr>
        <w:t xml:space="preserve"> </w:t>
      </w:r>
      <w:r w:rsidR="001F345D" w:rsidRPr="000A469B">
        <w:rPr>
          <w:rFonts w:ascii="Calibri" w:hAnsi="Calibri" w:cs="Calibri"/>
          <w:color w:val="000000" w:themeColor="text1"/>
          <w:sz w:val="24"/>
          <w:szCs w:val="24"/>
        </w:rPr>
        <w:t>331</w:t>
      </w:r>
      <w:r w:rsidR="001F345D" w:rsidRPr="00E76F52">
        <w:rPr>
          <w:rFonts w:ascii="Calibri" w:hAnsi="Calibri" w:cs="Calibri"/>
          <w:i/>
          <w:color w:val="000000" w:themeColor="text1"/>
          <w:sz w:val="24"/>
          <w:szCs w:val="24"/>
        </w:rPr>
        <w:t xml:space="preserve"> – Zaměstnanci</w:t>
      </w:r>
      <w:r w:rsidRPr="005416A5">
        <w:rPr>
          <w:rFonts w:ascii="Calibri" w:hAnsi="Calibri" w:cs="Calibri"/>
          <w:color w:val="000000" w:themeColor="text1"/>
          <w:sz w:val="24"/>
          <w:szCs w:val="24"/>
        </w:rPr>
        <w:t>.</w:t>
      </w:r>
    </w:p>
    <w:p w:rsidR="005416A5" w:rsidRPr="005416A5" w:rsidRDefault="005416A5" w:rsidP="00E76F52">
      <w:pPr>
        <w:spacing w:after="0" w:line="240" w:lineRule="auto"/>
        <w:jc w:val="both"/>
        <w:rPr>
          <w:rFonts w:ascii="Calibri" w:hAnsi="Calibri" w:cs="Calibri"/>
          <w:color w:val="000000" w:themeColor="text1"/>
          <w:sz w:val="24"/>
          <w:szCs w:val="24"/>
        </w:rPr>
      </w:pPr>
    </w:p>
    <w:p w:rsidR="00AB3D2C" w:rsidRPr="00E76F52" w:rsidRDefault="00AB3D2C"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lastRenderedPageBreak/>
        <w:t>Opravné položky k</w:t>
      </w:r>
      <w:r w:rsidR="007405FC" w:rsidRPr="00E76F52">
        <w:rPr>
          <w:rFonts w:ascii="Calibri" w:hAnsi="Calibri" w:cs="Calibri"/>
          <w:b/>
          <w:i/>
          <w:color w:val="000000" w:themeColor="text1"/>
          <w:sz w:val="24"/>
          <w:szCs w:val="24"/>
        </w:rPr>
        <w:t xml:space="preserve"> </w:t>
      </w:r>
      <w:r w:rsidRPr="00E76F52">
        <w:rPr>
          <w:rFonts w:ascii="Calibri" w:hAnsi="Calibri" w:cs="Calibri"/>
          <w:b/>
          <w:i/>
          <w:color w:val="000000" w:themeColor="text1"/>
          <w:sz w:val="24"/>
          <w:szCs w:val="24"/>
        </w:rPr>
        <w:t>pohledávkám</w:t>
      </w:r>
      <w:r w:rsidR="008F25B9" w:rsidRPr="00E76F52">
        <w:rPr>
          <w:rFonts w:ascii="Calibri" w:hAnsi="Calibri" w:cs="Calibri"/>
          <w:b/>
          <w:i/>
          <w:color w:val="000000" w:themeColor="text1"/>
          <w:sz w:val="24"/>
          <w:szCs w:val="24"/>
        </w:rPr>
        <w:t xml:space="preserve"> </w:t>
      </w:r>
    </w:p>
    <w:p w:rsidR="005416A5" w:rsidRDefault="005416A5" w:rsidP="00E76F52">
      <w:pPr>
        <w:spacing w:after="0" w:line="240" w:lineRule="auto"/>
        <w:jc w:val="both"/>
        <w:rPr>
          <w:rFonts w:ascii="Calibri" w:hAnsi="Calibri" w:cs="Calibri"/>
          <w:color w:val="000000" w:themeColor="text1"/>
          <w:sz w:val="24"/>
          <w:szCs w:val="24"/>
        </w:rPr>
      </w:pPr>
    </w:p>
    <w:p w:rsidR="00380E89" w:rsidRDefault="00543CA6"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MŽP </w:t>
      </w:r>
      <w:r w:rsidR="00121FBD" w:rsidRPr="00E76F52">
        <w:rPr>
          <w:rFonts w:ascii="Calibri" w:hAnsi="Calibri" w:cs="Calibri"/>
          <w:color w:val="000000" w:themeColor="text1"/>
          <w:sz w:val="24"/>
          <w:szCs w:val="24"/>
        </w:rPr>
        <w:t>netvořilo a neúčtovalo o opravných položkách k</w:t>
      </w:r>
      <w:r w:rsidR="007405FC" w:rsidRPr="00E76F52">
        <w:rPr>
          <w:rFonts w:ascii="Calibri" w:hAnsi="Calibri" w:cs="Calibri"/>
          <w:color w:val="000000" w:themeColor="text1"/>
          <w:sz w:val="24"/>
          <w:szCs w:val="24"/>
        </w:rPr>
        <w:t xml:space="preserve"> </w:t>
      </w:r>
      <w:r w:rsidR="00121FBD" w:rsidRPr="00E76F52">
        <w:rPr>
          <w:rFonts w:ascii="Calibri" w:hAnsi="Calibri" w:cs="Calibri"/>
          <w:color w:val="000000" w:themeColor="text1"/>
          <w:sz w:val="24"/>
          <w:szCs w:val="24"/>
        </w:rPr>
        <w:t xml:space="preserve">pohledávkám, které byly více </w:t>
      </w:r>
      <w:r w:rsidR="00E90834">
        <w:rPr>
          <w:rFonts w:ascii="Calibri" w:hAnsi="Calibri" w:cs="Calibri"/>
          <w:color w:val="000000" w:themeColor="text1"/>
          <w:sz w:val="24"/>
          <w:szCs w:val="24"/>
        </w:rPr>
        <w:t>než</w:t>
      </w:r>
      <w:r w:rsidR="00121FBD" w:rsidRPr="00E76F52">
        <w:rPr>
          <w:rFonts w:ascii="Calibri" w:hAnsi="Calibri" w:cs="Calibri"/>
          <w:color w:val="000000" w:themeColor="text1"/>
          <w:sz w:val="24"/>
          <w:szCs w:val="24"/>
        </w:rPr>
        <w:t xml:space="preserve"> devadesát dní po splatnosti</w:t>
      </w:r>
      <w:r w:rsidR="00E90834">
        <w:rPr>
          <w:rFonts w:ascii="Calibri" w:hAnsi="Calibri" w:cs="Calibri"/>
          <w:color w:val="000000" w:themeColor="text1"/>
          <w:sz w:val="24"/>
          <w:szCs w:val="24"/>
        </w:rPr>
        <w:t>,</w:t>
      </w:r>
      <w:r w:rsidR="00121FBD" w:rsidRPr="00E76F52">
        <w:rPr>
          <w:rFonts w:ascii="Calibri" w:hAnsi="Calibri" w:cs="Calibri"/>
          <w:color w:val="000000" w:themeColor="text1"/>
          <w:sz w:val="24"/>
          <w:szCs w:val="24"/>
        </w:rPr>
        <w:t xml:space="preserve"> a vznikly tak důvody pro tvorbu opravných položek dle ustanovení § 65 odst. 6 vyhlášky č. 410/2009 Sb.</w:t>
      </w:r>
      <w:r w:rsidR="00070CE7" w:rsidRPr="00E76F52">
        <w:rPr>
          <w:rFonts w:ascii="Calibri" w:hAnsi="Calibri" w:cs="Calibri"/>
          <w:color w:val="000000" w:themeColor="text1"/>
          <w:sz w:val="24"/>
          <w:szCs w:val="24"/>
        </w:rPr>
        <w:t xml:space="preserve"> Jednalo se o některé pohledávky, které MŽP k 31. </w:t>
      </w:r>
      <w:r w:rsidR="00380E89" w:rsidRPr="00E76F52">
        <w:rPr>
          <w:rFonts w:ascii="Calibri" w:hAnsi="Calibri" w:cs="Calibri"/>
          <w:color w:val="000000" w:themeColor="text1"/>
          <w:sz w:val="24"/>
          <w:szCs w:val="24"/>
        </w:rPr>
        <w:t>p</w:t>
      </w:r>
      <w:r w:rsidR="00070CE7" w:rsidRPr="00E76F52">
        <w:rPr>
          <w:rFonts w:ascii="Calibri" w:hAnsi="Calibri" w:cs="Calibri"/>
          <w:color w:val="000000" w:themeColor="text1"/>
          <w:sz w:val="24"/>
          <w:szCs w:val="24"/>
        </w:rPr>
        <w:t xml:space="preserve">rosinci 2013 vykázalo </w:t>
      </w:r>
      <w:r w:rsidRPr="00E76F52">
        <w:rPr>
          <w:rFonts w:ascii="Calibri" w:hAnsi="Calibri" w:cs="Calibri"/>
          <w:color w:val="000000" w:themeColor="text1"/>
          <w:sz w:val="24"/>
          <w:szCs w:val="24"/>
        </w:rPr>
        <w:t>na účt</w:t>
      </w:r>
      <w:r w:rsidR="00342E2E" w:rsidRPr="00E76F52">
        <w:rPr>
          <w:rFonts w:ascii="Calibri" w:hAnsi="Calibri" w:cs="Calibri"/>
          <w:color w:val="000000" w:themeColor="text1"/>
          <w:sz w:val="24"/>
          <w:szCs w:val="24"/>
        </w:rPr>
        <w:t>u</w:t>
      </w:r>
      <w:r w:rsidRPr="00E76F52">
        <w:rPr>
          <w:rFonts w:ascii="Calibri" w:hAnsi="Calibri" w:cs="Calibri"/>
          <w:i/>
          <w:color w:val="000000" w:themeColor="text1"/>
          <w:sz w:val="24"/>
          <w:szCs w:val="24"/>
        </w:rPr>
        <w:t xml:space="preserve"> </w:t>
      </w:r>
      <w:r w:rsidRPr="000A469B">
        <w:rPr>
          <w:rFonts w:ascii="Calibri" w:hAnsi="Calibri" w:cs="Calibri"/>
          <w:color w:val="000000" w:themeColor="text1"/>
          <w:sz w:val="24"/>
          <w:szCs w:val="24"/>
        </w:rPr>
        <w:t>377</w:t>
      </w:r>
      <w:r w:rsidRPr="00E76F52">
        <w:rPr>
          <w:rFonts w:ascii="Calibri" w:hAnsi="Calibri" w:cs="Calibri"/>
          <w:i/>
          <w:color w:val="000000" w:themeColor="text1"/>
          <w:sz w:val="24"/>
          <w:szCs w:val="24"/>
        </w:rPr>
        <w:t xml:space="preserve"> – Ostatní krátkodobé pohledávky</w:t>
      </w:r>
      <w:r w:rsidRPr="00E76F52">
        <w:rPr>
          <w:rStyle w:val="Znakapoznpodarou"/>
          <w:rFonts w:ascii="Calibri" w:hAnsi="Calibri" w:cs="Calibri"/>
          <w:i/>
          <w:color w:val="000000" w:themeColor="text1"/>
          <w:sz w:val="24"/>
          <w:szCs w:val="24"/>
        </w:rPr>
        <w:footnoteReference w:id="55"/>
      </w:r>
      <w:r w:rsidRPr="00E76F52">
        <w:rPr>
          <w:rFonts w:ascii="Calibri" w:hAnsi="Calibri" w:cs="Calibri"/>
          <w:i/>
          <w:color w:val="000000" w:themeColor="text1"/>
          <w:sz w:val="24"/>
          <w:szCs w:val="24"/>
        </w:rPr>
        <w:t xml:space="preserve"> </w:t>
      </w:r>
      <w:r w:rsidR="00342E2E" w:rsidRPr="00E76F52">
        <w:rPr>
          <w:rFonts w:ascii="Calibri" w:hAnsi="Calibri" w:cs="Calibri"/>
          <w:color w:val="000000" w:themeColor="text1"/>
          <w:sz w:val="24"/>
          <w:szCs w:val="24"/>
        </w:rPr>
        <w:t xml:space="preserve">a </w:t>
      </w:r>
      <w:r w:rsidR="003F7DF3" w:rsidRPr="00E76F52">
        <w:rPr>
          <w:rFonts w:ascii="Calibri" w:hAnsi="Calibri" w:cs="Calibri"/>
          <w:color w:val="000000" w:themeColor="text1"/>
          <w:sz w:val="24"/>
          <w:szCs w:val="24"/>
        </w:rPr>
        <w:t>také</w:t>
      </w:r>
      <w:r w:rsidR="00342E2E" w:rsidRPr="00E76F52">
        <w:rPr>
          <w:rFonts w:ascii="Calibri" w:hAnsi="Calibri" w:cs="Calibri"/>
          <w:color w:val="000000" w:themeColor="text1"/>
          <w:sz w:val="24"/>
          <w:szCs w:val="24"/>
        </w:rPr>
        <w:t xml:space="preserve"> na </w:t>
      </w:r>
      <w:r w:rsidR="00070CE7" w:rsidRPr="00E76F52">
        <w:rPr>
          <w:rFonts w:ascii="Calibri" w:hAnsi="Calibri" w:cs="Calibri"/>
          <w:color w:val="000000" w:themeColor="text1"/>
          <w:sz w:val="24"/>
          <w:szCs w:val="24"/>
        </w:rPr>
        <w:t>účtu</w:t>
      </w:r>
      <w:r w:rsidR="00070CE7" w:rsidRPr="00E76F52">
        <w:rPr>
          <w:rFonts w:ascii="Calibri" w:hAnsi="Calibri" w:cs="Calibri"/>
          <w:i/>
          <w:color w:val="000000" w:themeColor="text1"/>
          <w:sz w:val="24"/>
          <w:szCs w:val="24"/>
        </w:rPr>
        <w:t xml:space="preserve"> </w:t>
      </w:r>
      <w:r w:rsidR="00342E2E" w:rsidRPr="000A469B">
        <w:rPr>
          <w:rFonts w:ascii="Calibri" w:hAnsi="Calibri" w:cs="Calibri"/>
          <w:color w:val="000000" w:themeColor="text1"/>
          <w:sz w:val="24"/>
          <w:szCs w:val="24"/>
        </w:rPr>
        <w:t>315</w:t>
      </w:r>
      <w:r w:rsidR="00342E2E" w:rsidRPr="00E76F52">
        <w:rPr>
          <w:rFonts w:ascii="Calibri" w:hAnsi="Calibri" w:cs="Calibri"/>
          <w:i/>
          <w:color w:val="000000" w:themeColor="text1"/>
          <w:sz w:val="24"/>
          <w:szCs w:val="24"/>
        </w:rPr>
        <w:t xml:space="preserve"> – Jiné pohledávky z hlavní činnosti</w:t>
      </w:r>
      <w:r w:rsidR="00070CE7" w:rsidRPr="00E76F52">
        <w:rPr>
          <w:rFonts w:ascii="Calibri" w:hAnsi="Calibri" w:cs="Calibri"/>
          <w:i/>
          <w:color w:val="000000" w:themeColor="text1"/>
          <w:sz w:val="24"/>
          <w:szCs w:val="24"/>
        </w:rPr>
        <w:t xml:space="preserve">. </w:t>
      </w:r>
      <w:r w:rsidR="00380E89" w:rsidRPr="00E76F52">
        <w:rPr>
          <w:rFonts w:ascii="Calibri" w:hAnsi="Calibri" w:cs="Calibri"/>
          <w:color w:val="000000" w:themeColor="text1"/>
          <w:sz w:val="24"/>
          <w:szCs w:val="24"/>
        </w:rPr>
        <w:t xml:space="preserve">V důsledku toho MŽP ve výkazu </w:t>
      </w:r>
      <w:r w:rsidR="00D278B0" w:rsidRPr="00E76F52">
        <w:rPr>
          <w:rFonts w:ascii="Calibri" w:hAnsi="Calibri" w:cs="Calibri"/>
          <w:color w:val="000000" w:themeColor="text1"/>
          <w:sz w:val="24"/>
          <w:szCs w:val="24"/>
        </w:rPr>
        <w:t>r</w:t>
      </w:r>
      <w:r w:rsidR="00380E89" w:rsidRPr="00E76F52">
        <w:rPr>
          <w:rFonts w:ascii="Calibri" w:hAnsi="Calibri" w:cs="Calibri"/>
          <w:color w:val="000000" w:themeColor="text1"/>
          <w:sz w:val="24"/>
          <w:szCs w:val="24"/>
        </w:rPr>
        <w:t xml:space="preserve">ozvaha nadhodnotilo </w:t>
      </w:r>
      <w:r w:rsidR="003A55CD" w:rsidRPr="00E76F52">
        <w:rPr>
          <w:rFonts w:ascii="Calibri" w:hAnsi="Calibri" w:cs="Calibri"/>
          <w:color w:val="000000" w:themeColor="text1"/>
          <w:sz w:val="24"/>
          <w:szCs w:val="24"/>
        </w:rPr>
        <w:t xml:space="preserve">zůstatek </w:t>
      </w:r>
      <w:r w:rsidR="00380E89" w:rsidRPr="00E76F52">
        <w:rPr>
          <w:rFonts w:ascii="Calibri" w:hAnsi="Calibri" w:cs="Calibri"/>
          <w:color w:val="000000" w:themeColor="text1"/>
          <w:sz w:val="24"/>
          <w:szCs w:val="24"/>
        </w:rPr>
        <w:t>účt</w:t>
      </w:r>
      <w:r w:rsidR="003A55CD" w:rsidRPr="00E76F52">
        <w:rPr>
          <w:rFonts w:ascii="Calibri" w:hAnsi="Calibri" w:cs="Calibri"/>
          <w:color w:val="000000" w:themeColor="text1"/>
          <w:sz w:val="24"/>
          <w:szCs w:val="24"/>
        </w:rPr>
        <w:t>u</w:t>
      </w:r>
      <w:r w:rsidR="00380E89" w:rsidRPr="00E76F52">
        <w:rPr>
          <w:rFonts w:ascii="Calibri" w:hAnsi="Calibri" w:cs="Calibri"/>
          <w:color w:val="000000" w:themeColor="text1"/>
          <w:sz w:val="24"/>
          <w:szCs w:val="24"/>
        </w:rPr>
        <w:t xml:space="preserve"> </w:t>
      </w:r>
      <w:r w:rsidR="00380E89" w:rsidRPr="000A469B">
        <w:rPr>
          <w:rFonts w:ascii="Calibri" w:hAnsi="Calibri" w:cs="Calibri"/>
          <w:color w:val="000000" w:themeColor="text1"/>
          <w:sz w:val="24"/>
          <w:szCs w:val="24"/>
        </w:rPr>
        <w:t>315</w:t>
      </w:r>
      <w:r w:rsidR="00380E89" w:rsidRPr="00E76F52">
        <w:rPr>
          <w:rFonts w:ascii="Calibri" w:hAnsi="Calibri" w:cs="Calibri"/>
          <w:i/>
          <w:color w:val="000000" w:themeColor="text1"/>
          <w:sz w:val="24"/>
          <w:szCs w:val="24"/>
        </w:rPr>
        <w:t xml:space="preserve"> – Jiné pohledávky z hlavní činnosti</w:t>
      </w:r>
      <w:r w:rsidR="003F7DF3" w:rsidRPr="00E76F52">
        <w:rPr>
          <w:rFonts w:ascii="Calibri" w:hAnsi="Calibri" w:cs="Calibri"/>
          <w:color w:val="000000" w:themeColor="text1"/>
          <w:sz w:val="24"/>
          <w:szCs w:val="24"/>
        </w:rPr>
        <w:t xml:space="preserve"> ve sloupci „Brutto“</w:t>
      </w:r>
      <w:r w:rsidR="00380E89" w:rsidRPr="00E76F52">
        <w:rPr>
          <w:rFonts w:ascii="Calibri" w:hAnsi="Calibri" w:cs="Calibri"/>
          <w:i/>
          <w:color w:val="000000" w:themeColor="text1"/>
          <w:sz w:val="24"/>
          <w:szCs w:val="24"/>
        </w:rPr>
        <w:t xml:space="preserve"> </w:t>
      </w:r>
      <w:r w:rsidR="00380E89" w:rsidRPr="00E76F52">
        <w:rPr>
          <w:rFonts w:ascii="Calibri" w:hAnsi="Calibri" w:cs="Calibri"/>
          <w:color w:val="000000" w:themeColor="text1"/>
          <w:sz w:val="24"/>
          <w:szCs w:val="24"/>
        </w:rPr>
        <w:t>o 342</w:t>
      </w:r>
      <w:r w:rsidR="007405FC" w:rsidRPr="00E76F52">
        <w:rPr>
          <w:rFonts w:ascii="Calibri" w:hAnsi="Calibri" w:cs="Calibri"/>
          <w:color w:val="000000" w:themeColor="text1"/>
          <w:sz w:val="24"/>
          <w:szCs w:val="24"/>
        </w:rPr>
        <w:t> </w:t>
      </w:r>
      <w:r w:rsidR="00380E89" w:rsidRPr="00E76F52">
        <w:rPr>
          <w:rFonts w:ascii="Calibri" w:hAnsi="Calibri" w:cs="Calibri"/>
          <w:color w:val="000000" w:themeColor="text1"/>
          <w:sz w:val="24"/>
          <w:szCs w:val="24"/>
        </w:rPr>
        <w:t>387,37 Kč</w:t>
      </w:r>
      <w:r w:rsidR="003A55CD" w:rsidRPr="00E76F52">
        <w:rPr>
          <w:rFonts w:ascii="Calibri" w:hAnsi="Calibri" w:cs="Calibri"/>
          <w:color w:val="000000" w:themeColor="text1"/>
          <w:sz w:val="24"/>
          <w:szCs w:val="24"/>
        </w:rPr>
        <w:t xml:space="preserve"> </w:t>
      </w:r>
      <w:r w:rsidR="003F7DF3" w:rsidRPr="00E76F52">
        <w:rPr>
          <w:rFonts w:ascii="Calibri" w:hAnsi="Calibri" w:cs="Calibri"/>
          <w:color w:val="000000" w:themeColor="text1"/>
          <w:sz w:val="24"/>
          <w:szCs w:val="24"/>
        </w:rPr>
        <w:t xml:space="preserve">a o </w:t>
      </w:r>
      <w:r w:rsidR="00E90834">
        <w:rPr>
          <w:rFonts w:ascii="Calibri" w:hAnsi="Calibri" w:cs="Calibri"/>
          <w:color w:val="000000" w:themeColor="text1"/>
          <w:sz w:val="24"/>
          <w:szCs w:val="24"/>
        </w:rPr>
        <w:t>stejnou</w:t>
      </w:r>
      <w:r w:rsidR="003F7DF3" w:rsidRPr="00E76F52">
        <w:rPr>
          <w:rFonts w:ascii="Calibri" w:hAnsi="Calibri" w:cs="Calibri"/>
          <w:color w:val="000000" w:themeColor="text1"/>
          <w:sz w:val="24"/>
          <w:szCs w:val="24"/>
        </w:rPr>
        <w:t xml:space="preserve"> část</w:t>
      </w:r>
      <w:r w:rsidR="0059324E" w:rsidRPr="00E76F52">
        <w:rPr>
          <w:rFonts w:ascii="Calibri" w:hAnsi="Calibri" w:cs="Calibri"/>
          <w:color w:val="000000" w:themeColor="text1"/>
          <w:sz w:val="24"/>
          <w:szCs w:val="24"/>
        </w:rPr>
        <w:t>k</w:t>
      </w:r>
      <w:r w:rsidR="003F7DF3" w:rsidRPr="00E76F52">
        <w:rPr>
          <w:rFonts w:ascii="Calibri" w:hAnsi="Calibri" w:cs="Calibri"/>
          <w:color w:val="000000" w:themeColor="text1"/>
          <w:sz w:val="24"/>
          <w:szCs w:val="24"/>
        </w:rPr>
        <w:t>u podhodnotilo sloupec „Korekce“ u tohoto účtu.</w:t>
      </w:r>
      <w:r w:rsidR="00A62A5E" w:rsidRPr="00E76F52">
        <w:rPr>
          <w:rFonts w:ascii="Calibri" w:hAnsi="Calibri" w:cs="Calibri"/>
          <w:color w:val="000000" w:themeColor="text1"/>
          <w:sz w:val="24"/>
          <w:szCs w:val="24"/>
        </w:rPr>
        <w:t xml:space="preserve"> Současně tím MŽP</w:t>
      </w:r>
      <w:r w:rsidR="00D278B0" w:rsidRPr="00E76F52">
        <w:rPr>
          <w:rFonts w:ascii="Calibri" w:hAnsi="Calibri" w:cs="Calibri"/>
          <w:color w:val="000000" w:themeColor="text1"/>
          <w:sz w:val="24"/>
          <w:szCs w:val="24"/>
        </w:rPr>
        <w:t xml:space="preserve"> </w:t>
      </w:r>
      <w:r w:rsidR="00380E89" w:rsidRPr="00E76F52">
        <w:rPr>
          <w:rFonts w:ascii="Calibri" w:hAnsi="Calibri" w:cs="Calibri"/>
          <w:color w:val="000000" w:themeColor="text1"/>
          <w:sz w:val="24"/>
          <w:szCs w:val="24"/>
        </w:rPr>
        <w:t xml:space="preserve">nadhodnotilo </w:t>
      </w:r>
      <w:r w:rsidR="00771ADC" w:rsidRPr="00E76F52">
        <w:rPr>
          <w:rFonts w:ascii="Calibri" w:hAnsi="Calibri" w:cs="Calibri"/>
          <w:color w:val="000000" w:themeColor="text1"/>
          <w:sz w:val="24"/>
          <w:szCs w:val="24"/>
        </w:rPr>
        <w:t xml:space="preserve">zůstatek </w:t>
      </w:r>
      <w:r w:rsidR="00380E89" w:rsidRPr="00E76F52">
        <w:rPr>
          <w:rFonts w:ascii="Calibri" w:hAnsi="Calibri" w:cs="Calibri"/>
          <w:color w:val="000000" w:themeColor="text1"/>
          <w:sz w:val="24"/>
          <w:szCs w:val="24"/>
        </w:rPr>
        <w:t>účt</w:t>
      </w:r>
      <w:r w:rsidR="00771ADC" w:rsidRPr="00E76F52">
        <w:rPr>
          <w:rFonts w:ascii="Calibri" w:hAnsi="Calibri" w:cs="Calibri"/>
          <w:color w:val="000000" w:themeColor="text1"/>
          <w:sz w:val="24"/>
          <w:szCs w:val="24"/>
        </w:rPr>
        <w:t>u</w:t>
      </w:r>
      <w:r w:rsidR="00380E89" w:rsidRPr="00E76F52">
        <w:rPr>
          <w:rFonts w:ascii="Calibri" w:hAnsi="Calibri" w:cs="Calibri"/>
          <w:i/>
          <w:color w:val="000000" w:themeColor="text1"/>
          <w:sz w:val="24"/>
          <w:szCs w:val="24"/>
        </w:rPr>
        <w:t xml:space="preserve"> </w:t>
      </w:r>
      <w:r w:rsidR="00380E89" w:rsidRPr="000A469B">
        <w:rPr>
          <w:rFonts w:ascii="Calibri" w:hAnsi="Calibri" w:cs="Calibri"/>
          <w:color w:val="000000" w:themeColor="text1"/>
          <w:sz w:val="24"/>
          <w:szCs w:val="24"/>
        </w:rPr>
        <w:t>493</w:t>
      </w:r>
      <w:r w:rsidR="00380E89" w:rsidRPr="00E76F52">
        <w:rPr>
          <w:rFonts w:ascii="Calibri" w:hAnsi="Calibri" w:cs="Calibri"/>
          <w:i/>
          <w:color w:val="000000" w:themeColor="text1"/>
          <w:sz w:val="24"/>
          <w:szCs w:val="24"/>
        </w:rPr>
        <w:t xml:space="preserve"> – Výsledek hospodaření běžného účetního období </w:t>
      </w:r>
      <w:r w:rsidR="00380E89" w:rsidRPr="00E76F52">
        <w:rPr>
          <w:rFonts w:ascii="Calibri" w:hAnsi="Calibri" w:cs="Calibri"/>
          <w:color w:val="000000" w:themeColor="text1"/>
          <w:sz w:val="24"/>
          <w:szCs w:val="24"/>
        </w:rPr>
        <w:t>o 233 986,57 Kč</w:t>
      </w:r>
      <w:r w:rsidR="00380E89" w:rsidRPr="00E76F52">
        <w:rPr>
          <w:rFonts w:ascii="Calibri" w:hAnsi="Calibri" w:cs="Calibri"/>
          <w:i/>
          <w:color w:val="000000" w:themeColor="text1"/>
          <w:sz w:val="24"/>
          <w:szCs w:val="24"/>
        </w:rPr>
        <w:t xml:space="preserve"> </w:t>
      </w:r>
      <w:r w:rsidR="00A62A5E" w:rsidRPr="00E76F52">
        <w:rPr>
          <w:rFonts w:ascii="Calibri" w:hAnsi="Calibri" w:cs="Calibri"/>
          <w:color w:val="000000" w:themeColor="text1"/>
          <w:sz w:val="24"/>
          <w:szCs w:val="24"/>
        </w:rPr>
        <w:t xml:space="preserve">a </w:t>
      </w:r>
      <w:r w:rsidR="00771ADC" w:rsidRPr="00E76F52">
        <w:rPr>
          <w:rFonts w:ascii="Calibri" w:hAnsi="Calibri" w:cs="Calibri"/>
          <w:color w:val="000000" w:themeColor="text1"/>
          <w:sz w:val="24"/>
          <w:szCs w:val="24"/>
        </w:rPr>
        <w:t xml:space="preserve">zůstatek </w:t>
      </w:r>
      <w:r w:rsidR="00380E89" w:rsidRPr="00E76F52">
        <w:rPr>
          <w:rFonts w:ascii="Calibri" w:hAnsi="Calibri" w:cs="Calibri"/>
          <w:color w:val="000000" w:themeColor="text1"/>
          <w:sz w:val="24"/>
          <w:szCs w:val="24"/>
        </w:rPr>
        <w:t>úč</w:t>
      </w:r>
      <w:r w:rsidR="00771ADC" w:rsidRPr="00E76F52">
        <w:rPr>
          <w:rFonts w:ascii="Calibri" w:hAnsi="Calibri" w:cs="Calibri"/>
          <w:color w:val="000000" w:themeColor="text1"/>
          <w:sz w:val="24"/>
          <w:szCs w:val="24"/>
        </w:rPr>
        <w:t>tu</w:t>
      </w:r>
      <w:r w:rsidR="00380E89" w:rsidRPr="00E76F52">
        <w:rPr>
          <w:rFonts w:ascii="Calibri" w:hAnsi="Calibri" w:cs="Calibri"/>
          <w:i/>
          <w:color w:val="000000" w:themeColor="text1"/>
          <w:sz w:val="24"/>
          <w:szCs w:val="24"/>
        </w:rPr>
        <w:t xml:space="preserve"> </w:t>
      </w:r>
      <w:r w:rsidR="00380E89" w:rsidRPr="000A469B">
        <w:rPr>
          <w:rFonts w:ascii="Calibri" w:hAnsi="Calibri" w:cs="Calibri"/>
          <w:color w:val="000000" w:themeColor="text1"/>
          <w:sz w:val="24"/>
          <w:szCs w:val="24"/>
        </w:rPr>
        <w:t>432</w:t>
      </w:r>
      <w:r w:rsidR="00380E89" w:rsidRPr="00E76F52">
        <w:rPr>
          <w:rFonts w:ascii="Calibri" w:hAnsi="Calibri" w:cs="Calibri"/>
          <w:i/>
          <w:color w:val="000000" w:themeColor="text1"/>
          <w:sz w:val="24"/>
          <w:szCs w:val="24"/>
        </w:rPr>
        <w:t xml:space="preserve"> – Výsledek hospodaření minulých účetních období </w:t>
      </w:r>
      <w:r w:rsidR="00380E89" w:rsidRPr="00E76F52">
        <w:rPr>
          <w:rFonts w:ascii="Calibri" w:hAnsi="Calibri" w:cs="Calibri"/>
          <w:color w:val="000000" w:themeColor="text1"/>
          <w:sz w:val="24"/>
          <w:szCs w:val="24"/>
        </w:rPr>
        <w:t>o 108 400,80 Kč</w:t>
      </w:r>
      <w:r w:rsidR="00A62A5E" w:rsidRPr="00E76F52">
        <w:rPr>
          <w:rFonts w:ascii="Calibri" w:hAnsi="Calibri" w:cs="Calibri"/>
          <w:i/>
          <w:color w:val="000000" w:themeColor="text1"/>
          <w:sz w:val="24"/>
          <w:szCs w:val="24"/>
        </w:rPr>
        <w:t>.</w:t>
      </w:r>
      <w:r w:rsidR="0059324E" w:rsidRPr="00E76F52">
        <w:rPr>
          <w:rFonts w:ascii="Calibri" w:hAnsi="Calibri" w:cs="Calibri"/>
          <w:i/>
          <w:color w:val="000000" w:themeColor="text1"/>
          <w:sz w:val="24"/>
          <w:szCs w:val="24"/>
        </w:rPr>
        <w:t xml:space="preserve"> </w:t>
      </w:r>
      <w:r w:rsidR="00A62A5E" w:rsidRPr="00E76F52">
        <w:rPr>
          <w:rFonts w:ascii="Calibri" w:hAnsi="Calibri" w:cs="Calibri"/>
          <w:color w:val="000000" w:themeColor="text1"/>
          <w:sz w:val="24"/>
          <w:szCs w:val="24"/>
        </w:rPr>
        <w:t>V</w:t>
      </w:r>
      <w:r w:rsidR="00257065" w:rsidRPr="00E76F52">
        <w:rPr>
          <w:rFonts w:ascii="Calibri" w:hAnsi="Calibri" w:cs="Calibri"/>
          <w:color w:val="000000" w:themeColor="text1"/>
          <w:sz w:val="24"/>
          <w:szCs w:val="24"/>
        </w:rPr>
        <w:t xml:space="preserve">e </w:t>
      </w:r>
      <w:r w:rsidR="00FE455A" w:rsidRPr="00E76F52">
        <w:rPr>
          <w:rFonts w:ascii="Calibri" w:hAnsi="Calibri" w:cs="Calibri"/>
          <w:color w:val="000000" w:themeColor="text1"/>
          <w:sz w:val="24"/>
          <w:szCs w:val="24"/>
        </w:rPr>
        <w:t xml:space="preserve">výkazu </w:t>
      </w:r>
      <w:r w:rsidR="00257065" w:rsidRPr="00E76F52">
        <w:rPr>
          <w:rFonts w:ascii="Calibri" w:hAnsi="Calibri" w:cs="Calibri"/>
          <w:color w:val="000000" w:themeColor="text1"/>
          <w:sz w:val="24"/>
          <w:szCs w:val="24"/>
        </w:rPr>
        <w:t xml:space="preserve">zisku a ztráty </w:t>
      </w:r>
      <w:r w:rsidR="00380E89" w:rsidRPr="00E76F52">
        <w:rPr>
          <w:rFonts w:ascii="Calibri" w:hAnsi="Calibri" w:cs="Calibri"/>
          <w:color w:val="000000" w:themeColor="text1"/>
          <w:sz w:val="24"/>
          <w:szCs w:val="24"/>
        </w:rPr>
        <w:t>podhodnotilo</w:t>
      </w:r>
      <w:r w:rsidR="003800CE" w:rsidRPr="003800CE">
        <w:rPr>
          <w:rFonts w:ascii="Calibri" w:hAnsi="Calibri" w:cs="Calibri"/>
          <w:color w:val="000000" w:themeColor="text1"/>
          <w:sz w:val="24"/>
          <w:szCs w:val="24"/>
        </w:rPr>
        <w:t xml:space="preserve"> </w:t>
      </w:r>
      <w:r w:rsidR="003800CE" w:rsidRPr="00E76F52">
        <w:rPr>
          <w:rFonts w:ascii="Calibri" w:hAnsi="Calibri" w:cs="Calibri"/>
          <w:color w:val="000000" w:themeColor="text1"/>
          <w:sz w:val="24"/>
          <w:szCs w:val="24"/>
        </w:rPr>
        <w:t>MŽP</w:t>
      </w:r>
      <w:r w:rsidR="00380E89" w:rsidRPr="00E76F52">
        <w:rPr>
          <w:rFonts w:ascii="Calibri" w:hAnsi="Calibri" w:cs="Calibri"/>
          <w:i/>
          <w:color w:val="000000" w:themeColor="text1"/>
          <w:sz w:val="24"/>
          <w:szCs w:val="24"/>
        </w:rPr>
        <w:t xml:space="preserve"> </w:t>
      </w:r>
      <w:r w:rsidR="00771ADC" w:rsidRPr="000A469B">
        <w:rPr>
          <w:rFonts w:ascii="Calibri" w:hAnsi="Calibri" w:cs="Calibri"/>
          <w:color w:val="000000" w:themeColor="text1"/>
          <w:sz w:val="24"/>
          <w:szCs w:val="24"/>
        </w:rPr>
        <w:t xml:space="preserve">zůstatek </w:t>
      </w:r>
      <w:r w:rsidR="00380E89" w:rsidRPr="000A469B">
        <w:rPr>
          <w:rFonts w:ascii="Calibri" w:hAnsi="Calibri" w:cs="Calibri"/>
          <w:color w:val="000000" w:themeColor="text1"/>
          <w:sz w:val="24"/>
          <w:szCs w:val="24"/>
        </w:rPr>
        <w:t>úč</w:t>
      </w:r>
      <w:r w:rsidR="00771ADC" w:rsidRPr="000A469B">
        <w:rPr>
          <w:rFonts w:ascii="Calibri" w:hAnsi="Calibri" w:cs="Calibri"/>
          <w:color w:val="000000" w:themeColor="text1"/>
          <w:sz w:val="24"/>
          <w:szCs w:val="24"/>
        </w:rPr>
        <w:t>tu</w:t>
      </w:r>
      <w:r w:rsidR="00380E89" w:rsidRPr="000A469B">
        <w:rPr>
          <w:rFonts w:ascii="Calibri" w:hAnsi="Calibri" w:cs="Calibri"/>
          <w:color w:val="000000" w:themeColor="text1"/>
          <w:sz w:val="24"/>
          <w:szCs w:val="24"/>
        </w:rPr>
        <w:t xml:space="preserve"> 556</w:t>
      </w:r>
      <w:r w:rsidR="00380E89" w:rsidRPr="00E76F52">
        <w:rPr>
          <w:rFonts w:ascii="Calibri" w:hAnsi="Calibri" w:cs="Calibri"/>
          <w:i/>
          <w:color w:val="000000" w:themeColor="text1"/>
          <w:sz w:val="24"/>
          <w:szCs w:val="24"/>
        </w:rPr>
        <w:t xml:space="preserve"> – Tvorba a</w:t>
      </w:r>
      <w:r w:rsidR="00AD68E7" w:rsidRPr="00E76F52">
        <w:rPr>
          <w:rFonts w:ascii="Calibri" w:hAnsi="Calibri" w:cs="Calibri"/>
          <w:i/>
          <w:color w:val="000000" w:themeColor="text1"/>
          <w:sz w:val="24"/>
          <w:szCs w:val="24"/>
        </w:rPr>
        <w:t> </w:t>
      </w:r>
      <w:r w:rsidR="00380E89" w:rsidRPr="00E76F52">
        <w:rPr>
          <w:rFonts w:ascii="Calibri" w:hAnsi="Calibri" w:cs="Calibri"/>
          <w:i/>
          <w:color w:val="000000" w:themeColor="text1"/>
          <w:sz w:val="24"/>
          <w:szCs w:val="24"/>
        </w:rPr>
        <w:t>zúčtování opravných položek</w:t>
      </w:r>
      <w:r w:rsidR="00A62A5E" w:rsidRPr="00E76F52">
        <w:rPr>
          <w:rFonts w:ascii="Calibri" w:hAnsi="Calibri" w:cs="Calibri"/>
          <w:color w:val="000000" w:themeColor="text1"/>
          <w:sz w:val="24"/>
          <w:szCs w:val="24"/>
        </w:rPr>
        <w:t xml:space="preserve"> za rok 2013 o</w:t>
      </w:r>
      <w:r w:rsidR="00380E89" w:rsidRPr="00E76F52">
        <w:rPr>
          <w:rFonts w:ascii="Calibri" w:hAnsi="Calibri" w:cs="Calibri"/>
          <w:color w:val="000000" w:themeColor="text1"/>
          <w:sz w:val="24"/>
          <w:szCs w:val="24"/>
        </w:rPr>
        <w:t xml:space="preserve"> 233</w:t>
      </w:r>
      <w:r w:rsidR="007405FC" w:rsidRPr="00E76F52">
        <w:rPr>
          <w:rFonts w:ascii="Calibri" w:hAnsi="Calibri" w:cs="Calibri"/>
          <w:color w:val="000000" w:themeColor="text1"/>
          <w:sz w:val="24"/>
          <w:szCs w:val="24"/>
        </w:rPr>
        <w:t xml:space="preserve"> </w:t>
      </w:r>
      <w:r w:rsidR="00380E89" w:rsidRPr="00E76F52">
        <w:rPr>
          <w:rFonts w:ascii="Calibri" w:hAnsi="Calibri" w:cs="Calibri"/>
          <w:color w:val="000000" w:themeColor="text1"/>
          <w:sz w:val="24"/>
          <w:szCs w:val="24"/>
        </w:rPr>
        <w:t>986,57 Kč.</w:t>
      </w:r>
    </w:p>
    <w:p w:rsidR="005416A5" w:rsidRPr="005416A5" w:rsidRDefault="005416A5" w:rsidP="00E76F52">
      <w:pPr>
        <w:spacing w:after="0" w:line="240" w:lineRule="auto"/>
        <w:jc w:val="both"/>
        <w:rPr>
          <w:rFonts w:ascii="Calibri" w:hAnsi="Calibri" w:cs="Calibri"/>
          <w:color w:val="000000" w:themeColor="text1"/>
          <w:sz w:val="24"/>
          <w:szCs w:val="24"/>
        </w:rPr>
      </w:pPr>
    </w:p>
    <w:p w:rsidR="0059324E" w:rsidRPr="00E76F52" w:rsidRDefault="00483F60"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 xml:space="preserve">Přecenění majetku </w:t>
      </w:r>
      <w:r w:rsidR="00FE4C43" w:rsidRPr="00E76F52">
        <w:rPr>
          <w:rFonts w:ascii="Calibri" w:hAnsi="Calibri" w:cs="Calibri"/>
          <w:b/>
          <w:i/>
          <w:color w:val="000000" w:themeColor="text1"/>
          <w:sz w:val="24"/>
          <w:szCs w:val="24"/>
        </w:rPr>
        <w:t>určeného k</w:t>
      </w:r>
      <w:r w:rsidR="007405FC" w:rsidRPr="00E76F52">
        <w:rPr>
          <w:rFonts w:ascii="Calibri" w:hAnsi="Calibri" w:cs="Calibri"/>
          <w:b/>
          <w:i/>
          <w:color w:val="000000" w:themeColor="text1"/>
          <w:sz w:val="24"/>
          <w:szCs w:val="24"/>
        </w:rPr>
        <w:t xml:space="preserve"> </w:t>
      </w:r>
      <w:r w:rsidR="00FE4C43" w:rsidRPr="00E76F52">
        <w:rPr>
          <w:rFonts w:ascii="Calibri" w:hAnsi="Calibri" w:cs="Calibri"/>
          <w:b/>
          <w:i/>
          <w:color w:val="000000" w:themeColor="text1"/>
          <w:sz w:val="24"/>
          <w:szCs w:val="24"/>
        </w:rPr>
        <w:t xml:space="preserve">prodeji </w:t>
      </w:r>
      <w:r w:rsidRPr="00E76F52">
        <w:rPr>
          <w:rFonts w:ascii="Calibri" w:hAnsi="Calibri" w:cs="Calibri"/>
          <w:b/>
          <w:i/>
          <w:color w:val="000000" w:themeColor="text1"/>
          <w:sz w:val="24"/>
          <w:szCs w:val="24"/>
        </w:rPr>
        <w:t>na reálnou hodnotu</w:t>
      </w:r>
      <w:r w:rsidR="00E96489" w:rsidRPr="00E76F52">
        <w:rPr>
          <w:rFonts w:ascii="Calibri" w:hAnsi="Calibri" w:cs="Calibri"/>
          <w:b/>
          <w:i/>
          <w:color w:val="000000" w:themeColor="text1"/>
          <w:sz w:val="24"/>
          <w:szCs w:val="24"/>
        </w:rPr>
        <w:t xml:space="preserve"> </w:t>
      </w:r>
    </w:p>
    <w:p w:rsidR="005416A5" w:rsidRDefault="005416A5" w:rsidP="00E76F52">
      <w:pPr>
        <w:spacing w:after="0" w:line="240" w:lineRule="auto"/>
        <w:jc w:val="both"/>
        <w:rPr>
          <w:rFonts w:ascii="Calibri" w:hAnsi="Calibri" w:cs="Calibri"/>
          <w:color w:val="000000" w:themeColor="text1"/>
          <w:sz w:val="24"/>
          <w:szCs w:val="24"/>
        </w:rPr>
      </w:pPr>
    </w:p>
    <w:p w:rsidR="00203F53" w:rsidRDefault="00A31EAD"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Dle ustanovení § 27 odst. 1 písm. h) zákona o účetnictví</w:t>
      </w:r>
      <w:r w:rsidR="00AB2A4D" w:rsidRPr="00E76F52">
        <w:rPr>
          <w:rFonts w:ascii="Calibri" w:hAnsi="Calibri" w:cs="Calibri"/>
          <w:color w:val="000000" w:themeColor="text1"/>
          <w:sz w:val="24"/>
          <w:szCs w:val="24"/>
        </w:rPr>
        <w:t xml:space="preserve"> oceňují</w:t>
      </w:r>
      <w:r w:rsidRPr="00E76F52">
        <w:rPr>
          <w:rFonts w:ascii="Calibri" w:hAnsi="Calibri" w:cs="Calibri"/>
          <w:color w:val="000000" w:themeColor="text1"/>
          <w:sz w:val="24"/>
          <w:szCs w:val="24"/>
        </w:rPr>
        <w:t xml:space="preserve"> vybrané účetní jednotky majetek určený k</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prodeji</w:t>
      </w:r>
      <w:r w:rsidR="00A44E90" w:rsidRPr="00E76F52">
        <w:rPr>
          <w:rFonts w:ascii="Calibri" w:hAnsi="Calibri" w:cs="Calibri"/>
          <w:color w:val="000000" w:themeColor="text1"/>
          <w:sz w:val="24"/>
          <w:szCs w:val="24"/>
        </w:rPr>
        <w:t xml:space="preserve"> k</w:t>
      </w:r>
      <w:r w:rsidR="007405FC" w:rsidRPr="00E76F52">
        <w:rPr>
          <w:rFonts w:ascii="Calibri" w:hAnsi="Calibri" w:cs="Calibri"/>
          <w:color w:val="000000" w:themeColor="text1"/>
          <w:sz w:val="24"/>
          <w:szCs w:val="24"/>
        </w:rPr>
        <w:t xml:space="preserve"> </w:t>
      </w:r>
      <w:r w:rsidR="00A44E90" w:rsidRPr="00E76F52">
        <w:rPr>
          <w:rFonts w:ascii="Calibri" w:hAnsi="Calibri" w:cs="Calibri"/>
          <w:color w:val="000000" w:themeColor="text1"/>
          <w:sz w:val="24"/>
          <w:szCs w:val="24"/>
        </w:rPr>
        <w:t>datu účetní závěrky</w:t>
      </w:r>
      <w:r w:rsidR="00AB2A4D" w:rsidRPr="00E76F52">
        <w:rPr>
          <w:rFonts w:ascii="Calibri" w:hAnsi="Calibri" w:cs="Calibri"/>
          <w:color w:val="000000" w:themeColor="text1"/>
          <w:sz w:val="24"/>
          <w:szCs w:val="24"/>
        </w:rPr>
        <w:t xml:space="preserve"> reá</w:t>
      </w:r>
      <w:r w:rsidR="0059324E" w:rsidRPr="00E76F52">
        <w:rPr>
          <w:rFonts w:ascii="Calibri" w:hAnsi="Calibri" w:cs="Calibri"/>
          <w:color w:val="000000" w:themeColor="text1"/>
          <w:sz w:val="24"/>
          <w:szCs w:val="24"/>
        </w:rPr>
        <w:t>l</w:t>
      </w:r>
      <w:r w:rsidR="00AB2A4D" w:rsidRPr="00E76F52">
        <w:rPr>
          <w:rFonts w:ascii="Calibri" w:hAnsi="Calibri" w:cs="Calibri"/>
          <w:color w:val="000000" w:themeColor="text1"/>
          <w:sz w:val="24"/>
          <w:szCs w:val="24"/>
        </w:rPr>
        <w:t>nou hodnotou</w:t>
      </w:r>
      <w:r w:rsidRPr="00E76F52">
        <w:rPr>
          <w:rFonts w:ascii="Calibri" w:hAnsi="Calibri" w:cs="Calibri"/>
          <w:color w:val="000000" w:themeColor="text1"/>
          <w:sz w:val="24"/>
          <w:szCs w:val="24"/>
        </w:rPr>
        <w:t xml:space="preserve">. </w:t>
      </w:r>
    </w:p>
    <w:p w:rsidR="005416A5" w:rsidRPr="00E76F52" w:rsidRDefault="005416A5" w:rsidP="00E76F52">
      <w:pPr>
        <w:spacing w:after="0" w:line="240" w:lineRule="auto"/>
        <w:jc w:val="both"/>
        <w:rPr>
          <w:rFonts w:ascii="Calibri" w:hAnsi="Calibri" w:cs="Calibri"/>
          <w:color w:val="000000" w:themeColor="text1"/>
          <w:sz w:val="24"/>
          <w:szCs w:val="24"/>
        </w:rPr>
      </w:pPr>
    </w:p>
    <w:p w:rsidR="00D830DA" w:rsidRDefault="003800CE" w:rsidP="00E76F52">
      <w:pPr>
        <w:spacing w:after="0" w:line="240" w:lineRule="auto"/>
        <w:jc w:val="both"/>
        <w:rPr>
          <w:rFonts w:ascii="Calibri" w:hAnsi="Calibri" w:cs="Calibri"/>
          <w:color w:val="000000" w:themeColor="text1"/>
          <w:sz w:val="24"/>
          <w:szCs w:val="24"/>
          <w:lang w:eastAsia="cs-CZ"/>
        </w:rPr>
      </w:pPr>
      <w:r w:rsidRPr="00E76F52">
        <w:rPr>
          <w:rFonts w:ascii="Calibri" w:hAnsi="Calibri" w:cs="Calibri"/>
          <w:color w:val="000000" w:themeColor="text1"/>
          <w:sz w:val="24"/>
          <w:szCs w:val="24"/>
        </w:rPr>
        <w:t xml:space="preserve">MŽP </w:t>
      </w:r>
      <w:r>
        <w:rPr>
          <w:rFonts w:ascii="Calibri" w:hAnsi="Calibri" w:cs="Calibri"/>
          <w:color w:val="000000" w:themeColor="text1"/>
          <w:sz w:val="24"/>
          <w:szCs w:val="24"/>
        </w:rPr>
        <w:t>v</w:t>
      </w:r>
      <w:r w:rsidR="00DE6514" w:rsidRPr="00E76F52">
        <w:rPr>
          <w:rFonts w:ascii="Calibri" w:hAnsi="Calibri" w:cs="Calibri"/>
          <w:color w:val="000000" w:themeColor="text1"/>
          <w:sz w:val="24"/>
          <w:szCs w:val="24"/>
        </w:rPr>
        <w:t xml:space="preserve"> </w:t>
      </w:r>
      <w:r w:rsidR="00577518" w:rsidRPr="00E76F52">
        <w:rPr>
          <w:rFonts w:ascii="Calibri" w:hAnsi="Calibri" w:cs="Calibri"/>
          <w:color w:val="000000" w:themeColor="text1"/>
          <w:sz w:val="24"/>
          <w:szCs w:val="24"/>
        </w:rPr>
        <w:t>případě povolenek</w:t>
      </w:r>
      <w:r w:rsidR="00A44E90" w:rsidRPr="00E76F52">
        <w:rPr>
          <w:rFonts w:ascii="Calibri" w:hAnsi="Calibri" w:cs="Calibri"/>
          <w:color w:val="000000" w:themeColor="text1"/>
          <w:sz w:val="24"/>
          <w:szCs w:val="24"/>
        </w:rPr>
        <w:t xml:space="preserve"> na emise</w:t>
      </w:r>
      <w:r w:rsidR="00EC09F1" w:rsidRPr="00E76F52">
        <w:rPr>
          <w:rFonts w:ascii="Calibri" w:hAnsi="Calibri" w:cs="Calibri"/>
          <w:color w:val="000000" w:themeColor="text1"/>
          <w:sz w:val="24"/>
          <w:szCs w:val="24"/>
        </w:rPr>
        <w:t xml:space="preserve"> </w:t>
      </w:r>
      <w:r w:rsidR="00A44E90" w:rsidRPr="00E76F52">
        <w:rPr>
          <w:rFonts w:ascii="Calibri" w:hAnsi="Calibri" w:cs="Calibri"/>
          <w:color w:val="000000" w:themeColor="text1"/>
          <w:sz w:val="24"/>
          <w:szCs w:val="24"/>
        </w:rPr>
        <w:t xml:space="preserve">tuto </w:t>
      </w:r>
      <w:r w:rsidR="00DE6514" w:rsidRPr="00E76F52">
        <w:rPr>
          <w:rFonts w:ascii="Calibri" w:hAnsi="Calibri" w:cs="Calibri"/>
          <w:color w:val="000000" w:themeColor="text1"/>
          <w:sz w:val="24"/>
          <w:szCs w:val="24"/>
        </w:rPr>
        <w:t>účetní metodu</w:t>
      </w:r>
      <w:r w:rsidR="00A44E90" w:rsidRPr="00E76F52">
        <w:rPr>
          <w:rFonts w:ascii="Calibri" w:hAnsi="Calibri" w:cs="Calibri"/>
          <w:color w:val="000000" w:themeColor="text1"/>
          <w:sz w:val="24"/>
          <w:szCs w:val="24"/>
        </w:rPr>
        <w:t xml:space="preserve"> oceňování</w:t>
      </w:r>
      <w:r w:rsidR="00DE6514" w:rsidRPr="00E76F52">
        <w:rPr>
          <w:rFonts w:ascii="Calibri" w:hAnsi="Calibri" w:cs="Calibri"/>
          <w:color w:val="000000" w:themeColor="text1"/>
          <w:sz w:val="24"/>
          <w:szCs w:val="24"/>
        </w:rPr>
        <w:t xml:space="preserve"> </w:t>
      </w:r>
      <w:r w:rsidR="0035738E" w:rsidRPr="00E76F52">
        <w:rPr>
          <w:rFonts w:ascii="Calibri" w:hAnsi="Calibri" w:cs="Calibri"/>
          <w:color w:val="000000" w:themeColor="text1"/>
          <w:sz w:val="24"/>
          <w:szCs w:val="24"/>
        </w:rPr>
        <w:t>neaplikovalo</w:t>
      </w:r>
      <w:r w:rsidR="0059324E" w:rsidRPr="00E76F52">
        <w:rPr>
          <w:rFonts w:ascii="Calibri" w:hAnsi="Calibri" w:cs="Calibri"/>
          <w:color w:val="000000" w:themeColor="text1"/>
          <w:sz w:val="24"/>
          <w:szCs w:val="24"/>
        </w:rPr>
        <w:t xml:space="preserve"> </w:t>
      </w:r>
      <w:r w:rsidR="002134F7" w:rsidRPr="00E76F52">
        <w:rPr>
          <w:rFonts w:ascii="Calibri" w:hAnsi="Calibri" w:cs="Calibri"/>
          <w:color w:val="000000" w:themeColor="text1"/>
          <w:sz w:val="24"/>
          <w:szCs w:val="24"/>
        </w:rPr>
        <w:t>správně</w:t>
      </w:r>
      <w:r w:rsidR="005D60B3" w:rsidRPr="00E76F52">
        <w:rPr>
          <w:rFonts w:ascii="Calibri" w:hAnsi="Calibri" w:cs="Calibri"/>
          <w:color w:val="000000" w:themeColor="text1"/>
          <w:sz w:val="24"/>
          <w:szCs w:val="24"/>
        </w:rPr>
        <w:t>, neboť k</w:t>
      </w:r>
      <w:r w:rsidR="00AD68E7" w:rsidRPr="00E76F52">
        <w:rPr>
          <w:rFonts w:ascii="Calibri" w:hAnsi="Calibri" w:cs="Calibri"/>
          <w:color w:val="000000" w:themeColor="text1"/>
          <w:sz w:val="24"/>
          <w:szCs w:val="24"/>
        </w:rPr>
        <w:t> </w:t>
      </w:r>
      <w:r w:rsidR="00A44E90" w:rsidRPr="00E76F52">
        <w:rPr>
          <w:rFonts w:ascii="Calibri" w:hAnsi="Calibri" w:cs="Calibri"/>
          <w:color w:val="000000" w:themeColor="text1"/>
          <w:sz w:val="24"/>
          <w:szCs w:val="24"/>
        </w:rPr>
        <w:t xml:space="preserve">datu účetní závěrky </w:t>
      </w:r>
      <w:r w:rsidR="007234D3" w:rsidRPr="00E76F52">
        <w:rPr>
          <w:rFonts w:ascii="Calibri" w:hAnsi="Calibri" w:cs="Calibri"/>
          <w:color w:val="000000" w:themeColor="text1"/>
          <w:sz w:val="24"/>
          <w:szCs w:val="24"/>
        </w:rPr>
        <w:t>ocenilo</w:t>
      </w:r>
      <w:r w:rsidR="00AB2A4D" w:rsidRPr="00E76F52">
        <w:rPr>
          <w:rFonts w:ascii="Calibri" w:hAnsi="Calibri" w:cs="Calibri"/>
          <w:color w:val="000000" w:themeColor="text1"/>
          <w:sz w:val="24"/>
          <w:szCs w:val="24"/>
        </w:rPr>
        <w:t xml:space="preserve"> </w:t>
      </w:r>
      <w:r w:rsidR="007234D3" w:rsidRPr="00E76F52">
        <w:rPr>
          <w:rFonts w:ascii="Calibri" w:hAnsi="Calibri" w:cs="Calibri"/>
          <w:color w:val="000000" w:themeColor="text1"/>
          <w:sz w:val="24"/>
          <w:szCs w:val="24"/>
        </w:rPr>
        <w:t>reálnou hodnotou</w:t>
      </w:r>
      <w:r w:rsidR="008E2649" w:rsidRPr="00E76F52">
        <w:rPr>
          <w:rFonts w:ascii="Calibri" w:hAnsi="Calibri" w:cs="Calibri"/>
          <w:color w:val="000000" w:themeColor="text1"/>
          <w:sz w:val="24"/>
          <w:szCs w:val="24"/>
        </w:rPr>
        <w:t xml:space="preserve"> nejen povolenky určené k dražbě, ale </w:t>
      </w:r>
      <w:r w:rsidR="00A44E90" w:rsidRPr="00E76F52">
        <w:rPr>
          <w:rFonts w:ascii="Calibri" w:hAnsi="Calibri" w:cs="Calibri"/>
          <w:color w:val="000000" w:themeColor="text1"/>
          <w:sz w:val="24"/>
          <w:szCs w:val="24"/>
        </w:rPr>
        <w:t>i</w:t>
      </w:r>
      <w:r w:rsidR="003958C0" w:rsidRPr="00E76F52">
        <w:rPr>
          <w:rFonts w:ascii="Calibri" w:hAnsi="Calibri" w:cs="Calibri"/>
          <w:color w:val="000000" w:themeColor="text1"/>
          <w:sz w:val="24"/>
          <w:szCs w:val="24"/>
        </w:rPr>
        <w:t xml:space="preserve"> </w:t>
      </w:r>
      <w:r w:rsidR="00A44E90" w:rsidRPr="00E76F52">
        <w:rPr>
          <w:rFonts w:ascii="Calibri" w:hAnsi="Calibri" w:cs="Calibri"/>
          <w:color w:val="000000" w:themeColor="text1"/>
          <w:sz w:val="24"/>
          <w:szCs w:val="24"/>
        </w:rPr>
        <w:t>bezplatné</w:t>
      </w:r>
      <w:r w:rsidR="007234D3" w:rsidRPr="00E76F52">
        <w:rPr>
          <w:rFonts w:ascii="Calibri" w:hAnsi="Calibri" w:cs="Calibri"/>
          <w:color w:val="000000" w:themeColor="text1"/>
          <w:sz w:val="24"/>
          <w:szCs w:val="24"/>
        </w:rPr>
        <w:t xml:space="preserve"> povolenky</w:t>
      </w:r>
      <w:r w:rsidR="00A44E90" w:rsidRPr="00E76F52">
        <w:rPr>
          <w:rFonts w:ascii="Calibri" w:hAnsi="Calibri" w:cs="Calibri"/>
          <w:color w:val="000000" w:themeColor="text1"/>
          <w:sz w:val="24"/>
          <w:szCs w:val="24"/>
        </w:rPr>
        <w:t xml:space="preserve">, které </w:t>
      </w:r>
      <w:r w:rsidR="000605C5" w:rsidRPr="00E76F52">
        <w:rPr>
          <w:rFonts w:ascii="Calibri" w:hAnsi="Calibri" w:cs="Calibri"/>
          <w:color w:val="000000" w:themeColor="text1"/>
          <w:sz w:val="24"/>
          <w:szCs w:val="24"/>
        </w:rPr>
        <w:t>reálnou hodnotou</w:t>
      </w:r>
      <w:r w:rsidR="005D60B3" w:rsidRPr="00E76F52">
        <w:rPr>
          <w:rFonts w:ascii="Calibri" w:hAnsi="Calibri" w:cs="Calibri"/>
          <w:color w:val="000000" w:themeColor="text1"/>
          <w:sz w:val="24"/>
          <w:szCs w:val="24"/>
        </w:rPr>
        <w:t xml:space="preserve"> oceněny být neměly</w:t>
      </w:r>
      <w:r w:rsidR="000605C5" w:rsidRPr="00E76F52">
        <w:rPr>
          <w:rFonts w:ascii="Calibri" w:hAnsi="Calibri" w:cs="Calibri"/>
          <w:color w:val="000000" w:themeColor="text1"/>
          <w:sz w:val="24"/>
          <w:szCs w:val="24"/>
        </w:rPr>
        <w:t>.</w:t>
      </w:r>
      <w:r>
        <w:rPr>
          <w:rFonts w:ascii="Calibri" w:hAnsi="Calibri" w:cs="Calibri"/>
          <w:color w:val="000000" w:themeColor="text1"/>
          <w:sz w:val="24"/>
          <w:szCs w:val="24"/>
        </w:rPr>
        <w:t xml:space="preserve"> V </w:t>
      </w:r>
      <w:r w:rsidR="007234D3" w:rsidRPr="00E76F52">
        <w:rPr>
          <w:rFonts w:ascii="Calibri" w:hAnsi="Calibri" w:cs="Calibri"/>
          <w:color w:val="000000" w:themeColor="text1"/>
          <w:sz w:val="24"/>
          <w:szCs w:val="24"/>
        </w:rPr>
        <w:t xml:space="preserve">důsledku </w:t>
      </w:r>
      <w:r>
        <w:rPr>
          <w:rFonts w:ascii="Calibri" w:hAnsi="Calibri" w:cs="Calibri"/>
          <w:color w:val="000000" w:themeColor="text1"/>
          <w:sz w:val="24"/>
          <w:szCs w:val="24"/>
        </w:rPr>
        <w:t>toho</w:t>
      </w:r>
      <w:r w:rsidR="007234D3" w:rsidRPr="00E76F52">
        <w:rPr>
          <w:rFonts w:ascii="Calibri" w:hAnsi="Calibri" w:cs="Calibri"/>
          <w:color w:val="000000" w:themeColor="text1"/>
          <w:sz w:val="24"/>
          <w:szCs w:val="24"/>
        </w:rPr>
        <w:t xml:space="preserve"> MŽP </w:t>
      </w:r>
      <w:r w:rsidR="00763F8C" w:rsidRPr="00E76F52">
        <w:rPr>
          <w:rFonts w:ascii="Calibri" w:hAnsi="Calibri" w:cs="Calibri"/>
          <w:color w:val="000000" w:themeColor="text1"/>
          <w:sz w:val="24"/>
          <w:szCs w:val="24"/>
        </w:rPr>
        <w:t xml:space="preserve">ve výkazu </w:t>
      </w:r>
      <w:r w:rsidR="00AF656B" w:rsidRPr="00E76F52">
        <w:rPr>
          <w:rFonts w:ascii="Calibri" w:hAnsi="Calibri" w:cs="Calibri"/>
          <w:color w:val="000000" w:themeColor="text1"/>
          <w:sz w:val="24"/>
          <w:szCs w:val="24"/>
        </w:rPr>
        <w:t xml:space="preserve">rozvaha </w:t>
      </w:r>
      <w:r w:rsidR="007234D3" w:rsidRPr="00E76F52">
        <w:rPr>
          <w:rFonts w:ascii="Calibri" w:hAnsi="Calibri" w:cs="Calibri"/>
          <w:color w:val="000000" w:themeColor="text1"/>
          <w:sz w:val="24"/>
          <w:szCs w:val="24"/>
        </w:rPr>
        <w:t xml:space="preserve">podhodnotilo účet </w:t>
      </w:r>
      <w:r w:rsidR="007234D3" w:rsidRPr="000A469B">
        <w:rPr>
          <w:rFonts w:ascii="Calibri" w:hAnsi="Calibri" w:cs="Calibri"/>
          <w:color w:val="000000" w:themeColor="text1"/>
          <w:sz w:val="24"/>
          <w:szCs w:val="24"/>
        </w:rPr>
        <w:t>407</w:t>
      </w:r>
      <w:r w:rsidR="007234D3" w:rsidRPr="00E76F52">
        <w:rPr>
          <w:rFonts w:ascii="Calibri" w:hAnsi="Calibri" w:cs="Calibri"/>
          <w:i/>
          <w:color w:val="000000" w:themeColor="text1"/>
          <w:sz w:val="24"/>
          <w:szCs w:val="24"/>
        </w:rPr>
        <w:t xml:space="preserve"> – Jiné oceňovací rozdíly </w:t>
      </w:r>
      <w:r w:rsidR="007234D3" w:rsidRPr="000A469B">
        <w:rPr>
          <w:rFonts w:ascii="Calibri" w:hAnsi="Calibri" w:cs="Calibri"/>
          <w:color w:val="000000" w:themeColor="text1"/>
          <w:sz w:val="24"/>
          <w:szCs w:val="24"/>
        </w:rPr>
        <w:t>o</w:t>
      </w:r>
      <w:r w:rsidR="00E90834" w:rsidRPr="000A469B">
        <w:rPr>
          <w:rFonts w:ascii="Calibri" w:hAnsi="Calibri" w:cs="Calibri"/>
          <w:color w:val="000000" w:themeColor="text1"/>
          <w:sz w:val="24"/>
          <w:szCs w:val="24"/>
        </w:rPr>
        <w:t> </w:t>
      </w:r>
      <w:r w:rsidR="007234D3" w:rsidRPr="00E76F52">
        <w:rPr>
          <w:rFonts w:ascii="Calibri" w:hAnsi="Calibri" w:cs="Calibri"/>
          <w:color w:val="000000" w:themeColor="text1"/>
          <w:sz w:val="24"/>
          <w:szCs w:val="24"/>
        </w:rPr>
        <w:t>190</w:t>
      </w:r>
      <w:r w:rsidR="00E90834">
        <w:rPr>
          <w:rFonts w:ascii="Calibri" w:hAnsi="Calibri" w:cs="Calibri"/>
          <w:color w:val="000000" w:themeColor="text1"/>
          <w:sz w:val="24"/>
          <w:szCs w:val="24"/>
        </w:rPr>
        <w:t> </w:t>
      </w:r>
      <w:r w:rsidR="007234D3" w:rsidRPr="00E76F52">
        <w:rPr>
          <w:rFonts w:ascii="Calibri" w:hAnsi="Calibri" w:cs="Calibri"/>
          <w:color w:val="000000" w:themeColor="text1"/>
          <w:sz w:val="24"/>
          <w:szCs w:val="24"/>
        </w:rPr>
        <w:t>8</w:t>
      </w:r>
      <w:r w:rsidR="00763F8C" w:rsidRPr="00E76F52">
        <w:rPr>
          <w:rFonts w:ascii="Calibri" w:hAnsi="Calibri" w:cs="Calibri"/>
          <w:color w:val="000000" w:themeColor="text1"/>
          <w:sz w:val="24"/>
          <w:szCs w:val="24"/>
        </w:rPr>
        <w:t>09</w:t>
      </w:r>
      <w:r w:rsidR="00E90834">
        <w:rPr>
          <w:rFonts w:ascii="Calibri" w:hAnsi="Calibri" w:cs="Calibri"/>
          <w:color w:val="000000" w:themeColor="text1"/>
          <w:sz w:val="24"/>
          <w:szCs w:val="24"/>
        </w:rPr>
        <w:t> </w:t>
      </w:r>
      <w:r w:rsidR="00763F8C" w:rsidRPr="00E76F52">
        <w:rPr>
          <w:rFonts w:ascii="Calibri" w:hAnsi="Calibri" w:cs="Calibri"/>
          <w:color w:val="000000" w:themeColor="text1"/>
          <w:sz w:val="24"/>
          <w:szCs w:val="24"/>
        </w:rPr>
        <w:t>689,38</w:t>
      </w:r>
      <w:r w:rsidR="00E90834">
        <w:rPr>
          <w:rFonts w:ascii="Calibri" w:hAnsi="Calibri" w:cs="Calibri"/>
          <w:color w:val="000000" w:themeColor="text1"/>
          <w:sz w:val="24"/>
          <w:szCs w:val="24"/>
        </w:rPr>
        <w:t> </w:t>
      </w:r>
      <w:r w:rsidR="00763F8C" w:rsidRPr="00E76F52">
        <w:rPr>
          <w:rFonts w:ascii="Calibri" w:hAnsi="Calibri" w:cs="Calibri"/>
          <w:color w:val="000000" w:themeColor="text1"/>
          <w:sz w:val="24"/>
          <w:szCs w:val="24"/>
        </w:rPr>
        <w:t>Kč a</w:t>
      </w:r>
      <w:r w:rsidR="00E8544B">
        <w:rPr>
          <w:rFonts w:ascii="Calibri" w:hAnsi="Calibri" w:cs="Calibri"/>
          <w:color w:val="000000" w:themeColor="text1"/>
          <w:sz w:val="24"/>
          <w:szCs w:val="24"/>
        </w:rPr>
        <w:t> </w:t>
      </w:r>
      <w:r w:rsidR="00254A2C">
        <w:rPr>
          <w:rFonts w:ascii="Calibri" w:hAnsi="Calibri" w:cs="Calibri"/>
          <w:color w:val="000000" w:themeColor="text1"/>
          <w:sz w:val="24"/>
          <w:szCs w:val="24"/>
        </w:rPr>
        <w:t>o </w:t>
      </w:r>
      <w:r w:rsidR="00E90834">
        <w:rPr>
          <w:rFonts w:ascii="Calibri" w:hAnsi="Calibri" w:cs="Calibri"/>
          <w:color w:val="000000" w:themeColor="text1"/>
          <w:sz w:val="24"/>
          <w:szCs w:val="24"/>
        </w:rPr>
        <w:t>stejnou</w:t>
      </w:r>
      <w:r w:rsidR="00A44E90" w:rsidRPr="00E76F52">
        <w:rPr>
          <w:rFonts w:ascii="Calibri" w:hAnsi="Calibri" w:cs="Calibri"/>
          <w:color w:val="000000" w:themeColor="text1"/>
          <w:sz w:val="24"/>
          <w:szCs w:val="24"/>
        </w:rPr>
        <w:t xml:space="preserve"> částku</w:t>
      </w:r>
      <w:r w:rsidR="00763F8C" w:rsidRPr="00E76F52">
        <w:rPr>
          <w:rFonts w:ascii="Calibri" w:hAnsi="Calibri" w:cs="Calibri"/>
          <w:color w:val="000000" w:themeColor="text1"/>
          <w:sz w:val="24"/>
          <w:szCs w:val="24"/>
        </w:rPr>
        <w:t xml:space="preserve"> </w:t>
      </w:r>
      <w:r w:rsidR="007234D3" w:rsidRPr="000A469B">
        <w:rPr>
          <w:rFonts w:ascii="Calibri" w:hAnsi="Calibri" w:cs="Calibri"/>
          <w:color w:val="000000" w:themeColor="text1"/>
          <w:sz w:val="24"/>
          <w:szCs w:val="24"/>
        </w:rPr>
        <w:t>podhodnotilo</w:t>
      </w:r>
      <w:r w:rsidR="00A44E90" w:rsidRPr="000A469B">
        <w:rPr>
          <w:rFonts w:ascii="Calibri" w:hAnsi="Calibri" w:cs="Calibri"/>
          <w:color w:val="000000" w:themeColor="text1"/>
          <w:sz w:val="24"/>
          <w:szCs w:val="24"/>
        </w:rPr>
        <w:t xml:space="preserve"> </w:t>
      </w:r>
      <w:r w:rsidR="00A44E90" w:rsidRPr="00E76F52">
        <w:rPr>
          <w:rFonts w:ascii="Calibri" w:hAnsi="Calibri" w:cs="Calibri"/>
          <w:color w:val="000000" w:themeColor="text1"/>
          <w:sz w:val="24"/>
          <w:szCs w:val="24"/>
        </w:rPr>
        <w:t>i</w:t>
      </w:r>
      <w:r w:rsidR="007234D3" w:rsidRPr="00E76F52">
        <w:rPr>
          <w:rFonts w:ascii="Calibri" w:hAnsi="Calibri" w:cs="Calibri"/>
          <w:color w:val="000000" w:themeColor="text1"/>
          <w:sz w:val="24"/>
          <w:szCs w:val="24"/>
        </w:rPr>
        <w:t xml:space="preserve"> účet </w:t>
      </w:r>
      <w:r w:rsidR="007234D3" w:rsidRPr="000A469B">
        <w:rPr>
          <w:rFonts w:ascii="Calibri" w:hAnsi="Calibri" w:cs="Calibri"/>
          <w:color w:val="000000" w:themeColor="text1"/>
          <w:sz w:val="24"/>
          <w:szCs w:val="24"/>
        </w:rPr>
        <w:t>015</w:t>
      </w:r>
      <w:r w:rsidR="007234D3" w:rsidRPr="00E76F52">
        <w:rPr>
          <w:rFonts w:ascii="Calibri" w:hAnsi="Calibri" w:cs="Calibri"/>
          <w:i/>
          <w:color w:val="000000" w:themeColor="text1"/>
          <w:sz w:val="24"/>
          <w:szCs w:val="24"/>
        </w:rPr>
        <w:t xml:space="preserve"> – Povolenky na emise a</w:t>
      </w:r>
      <w:r w:rsidR="00E90834">
        <w:rPr>
          <w:rFonts w:ascii="Calibri" w:hAnsi="Calibri" w:cs="Calibri"/>
          <w:i/>
          <w:color w:val="000000" w:themeColor="text1"/>
          <w:sz w:val="24"/>
          <w:szCs w:val="24"/>
        </w:rPr>
        <w:t> </w:t>
      </w:r>
      <w:r w:rsidR="007234D3" w:rsidRPr="00E76F52">
        <w:rPr>
          <w:rFonts w:ascii="Calibri" w:hAnsi="Calibri" w:cs="Calibri"/>
          <w:i/>
          <w:color w:val="000000" w:themeColor="text1"/>
          <w:sz w:val="24"/>
          <w:szCs w:val="24"/>
        </w:rPr>
        <w:t>preferenční limity</w:t>
      </w:r>
      <w:r w:rsidR="00A44E90" w:rsidRPr="00E76F52">
        <w:rPr>
          <w:rFonts w:ascii="Calibri" w:hAnsi="Calibri" w:cs="Calibri"/>
          <w:i/>
          <w:color w:val="000000" w:themeColor="text1"/>
          <w:sz w:val="24"/>
          <w:szCs w:val="24"/>
        </w:rPr>
        <w:t>.</w:t>
      </w:r>
      <w:r w:rsidR="00DB72C9" w:rsidRPr="00E76F52">
        <w:rPr>
          <w:rFonts w:ascii="Calibri" w:hAnsi="Calibri" w:cs="Calibri"/>
          <w:color w:val="000000" w:themeColor="text1"/>
          <w:sz w:val="24"/>
          <w:szCs w:val="24"/>
        </w:rPr>
        <w:t xml:space="preserve"> MŽP </w:t>
      </w:r>
      <w:r w:rsidR="00A44E90" w:rsidRPr="00E76F52">
        <w:rPr>
          <w:rFonts w:ascii="Calibri" w:hAnsi="Calibri" w:cs="Calibri"/>
          <w:color w:val="000000" w:themeColor="text1"/>
          <w:sz w:val="24"/>
          <w:szCs w:val="24"/>
        </w:rPr>
        <w:t>navíc</w:t>
      </w:r>
      <w:r w:rsidR="00DB72C9" w:rsidRPr="00E76F52">
        <w:rPr>
          <w:rFonts w:ascii="Calibri" w:hAnsi="Calibri" w:cs="Calibri"/>
          <w:color w:val="000000" w:themeColor="text1"/>
          <w:sz w:val="24"/>
          <w:szCs w:val="24"/>
        </w:rPr>
        <w:t xml:space="preserve"> </w:t>
      </w:r>
      <w:r w:rsidR="005E55DE" w:rsidRPr="00E76F52">
        <w:rPr>
          <w:rFonts w:ascii="Calibri" w:hAnsi="Calibri" w:cs="Calibri"/>
          <w:color w:val="000000" w:themeColor="text1"/>
          <w:sz w:val="24"/>
          <w:szCs w:val="24"/>
        </w:rPr>
        <w:t>při aplikaci</w:t>
      </w:r>
      <w:r w:rsidR="00A44E90" w:rsidRPr="00E76F52">
        <w:rPr>
          <w:rFonts w:ascii="Calibri" w:hAnsi="Calibri" w:cs="Calibri"/>
          <w:color w:val="000000" w:themeColor="text1"/>
          <w:sz w:val="24"/>
          <w:szCs w:val="24"/>
        </w:rPr>
        <w:t xml:space="preserve"> této </w:t>
      </w:r>
      <w:r w:rsidR="005E55DE" w:rsidRPr="00E76F52">
        <w:rPr>
          <w:rFonts w:ascii="Calibri" w:hAnsi="Calibri" w:cs="Calibri"/>
          <w:color w:val="000000" w:themeColor="text1"/>
          <w:sz w:val="24"/>
          <w:szCs w:val="24"/>
        </w:rPr>
        <w:t>účetní metody</w:t>
      </w:r>
      <w:r>
        <w:rPr>
          <w:rFonts w:ascii="Calibri" w:hAnsi="Calibri" w:cs="Calibri"/>
          <w:color w:val="000000" w:themeColor="text1"/>
          <w:sz w:val="24"/>
          <w:szCs w:val="24"/>
        </w:rPr>
        <w:t xml:space="preserve"> účtovalo k </w:t>
      </w:r>
      <w:r w:rsidR="00A44E90" w:rsidRPr="00E76F52">
        <w:rPr>
          <w:rFonts w:ascii="Calibri" w:hAnsi="Calibri" w:cs="Calibri"/>
          <w:color w:val="000000" w:themeColor="text1"/>
          <w:sz w:val="24"/>
          <w:szCs w:val="24"/>
        </w:rPr>
        <w:t>datu účetní závěrky</w:t>
      </w:r>
      <w:r w:rsidR="00DB72C9" w:rsidRPr="00E76F52">
        <w:rPr>
          <w:rFonts w:ascii="Calibri" w:hAnsi="Calibri" w:cs="Calibri"/>
          <w:color w:val="000000" w:themeColor="text1"/>
          <w:sz w:val="24"/>
          <w:szCs w:val="24"/>
        </w:rPr>
        <w:t xml:space="preserve"> </w:t>
      </w:r>
      <w:r w:rsidR="00A44E90" w:rsidRPr="00E76F52">
        <w:rPr>
          <w:rFonts w:ascii="Calibri" w:hAnsi="Calibri" w:cs="Calibri"/>
          <w:color w:val="000000" w:themeColor="text1"/>
          <w:sz w:val="24"/>
          <w:szCs w:val="24"/>
        </w:rPr>
        <w:t xml:space="preserve">i </w:t>
      </w:r>
      <w:r w:rsidR="00DB72C9" w:rsidRPr="00E76F52">
        <w:rPr>
          <w:rFonts w:ascii="Calibri" w:hAnsi="Calibri" w:cs="Calibri"/>
          <w:color w:val="000000" w:themeColor="text1"/>
          <w:sz w:val="24"/>
          <w:szCs w:val="24"/>
        </w:rPr>
        <w:t>o nákladech z</w:t>
      </w:r>
      <w:r w:rsidR="00CB641A" w:rsidRPr="00E76F52">
        <w:rPr>
          <w:rFonts w:ascii="Calibri" w:hAnsi="Calibri" w:cs="Calibri"/>
          <w:color w:val="000000" w:themeColor="text1"/>
          <w:sz w:val="24"/>
          <w:szCs w:val="24"/>
        </w:rPr>
        <w:t> </w:t>
      </w:r>
      <w:r w:rsidR="00DB72C9" w:rsidRPr="00E76F52">
        <w:rPr>
          <w:rFonts w:ascii="Calibri" w:hAnsi="Calibri" w:cs="Calibri"/>
          <w:color w:val="000000" w:themeColor="text1"/>
          <w:sz w:val="24"/>
          <w:szCs w:val="24"/>
        </w:rPr>
        <w:t xml:space="preserve">přecenění </w:t>
      </w:r>
      <w:r w:rsidR="00A94EFA" w:rsidRPr="00E76F52">
        <w:rPr>
          <w:rFonts w:ascii="Calibri" w:hAnsi="Calibri" w:cs="Calibri"/>
          <w:color w:val="000000" w:themeColor="text1"/>
          <w:sz w:val="24"/>
          <w:szCs w:val="24"/>
        </w:rPr>
        <w:t>v</w:t>
      </w:r>
      <w:r w:rsidR="00A44E90" w:rsidRPr="00E76F52">
        <w:rPr>
          <w:rFonts w:ascii="Calibri" w:hAnsi="Calibri" w:cs="Calibri"/>
          <w:color w:val="000000" w:themeColor="text1"/>
          <w:sz w:val="24"/>
          <w:szCs w:val="24"/>
        </w:rPr>
        <w:t>šech</w:t>
      </w:r>
      <w:r w:rsidR="00A94EFA" w:rsidRPr="00E76F52">
        <w:rPr>
          <w:rFonts w:ascii="Calibri" w:hAnsi="Calibri" w:cs="Calibri"/>
          <w:color w:val="000000" w:themeColor="text1"/>
          <w:sz w:val="24"/>
          <w:szCs w:val="24"/>
        </w:rPr>
        <w:t xml:space="preserve"> povolenek</w:t>
      </w:r>
      <w:r w:rsidR="002134F7" w:rsidRPr="00E76F52">
        <w:rPr>
          <w:rFonts w:ascii="Calibri" w:hAnsi="Calibri" w:cs="Calibri"/>
          <w:color w:val="000000" w:themeColor="text1"/>
          <w:sz w:val="24"/>
          <w:szCs w:val="24"/>
        </w:rPr>
        <w:t>. O těchto skutečnostech se ale v</w:t>
      </w:r>
      <w:r w:rsidR="007405FC" w:rsidRPr="00E76F52">
        <w:rPr>
          <w:rFonts w:ascii="Calibri" w:hAnsi="Calibri" w:cs="Calibri"/>
          <w:color w:val="000000" w:themeColor="text1"/>
          <w:sz w:val="24"/>
          <w:szCs w:val="24"/>
        </w:rPr>
        <w:t xml:space="preserve"> </w:t>
      </w:r>
      <w:r w:rsidR="002134F7" w:rsidRPr="00E76F52">
        <w:rPr>
          <w:rFonts w:ascii="Calibri" w:hAnsi="Calibri" w:cs="Calibri"/>
          <w:color w:val="000000" w:themeColor="text1"/>
          <w:sz w:val="24"/>
          <w:szCs w:val="24"/>
        </w:rPr>
        <w:t>souladu s</w:t>
      </w:r>
      <w:r w:rsidR="00E90834">
        <w:rPr>
          <w:rFonts w:ascii="Calibri" w:hAnsi="Calibri" w:cs="Calibri"/>
          <w:color w:val="000000" w:themeColor="text1"/>
          <w:sz w:val="24"/>
          <w:szCs w:val="24"/>
        </w:rPr>
        <w:t> </w:t>
      </w:r>
      <w:r w:rsidR="002134F7" w:rsidRPr="00E76F52">
        <w:rPr>
          <w:rFonts w:ascii="Calibri" w:hAnsi="Calibri" w:cs="Calibri"/>
          <w:color w:val="000000" w:themeColor="text1"/>
          <w:sz w:val="24"/>
          <w:szCs w:val="24"/>
        </w:rPr>
        <w:t>ustanovením § 64 vyhlášky č. 410/2009 Sb. účtuje až k</w:t>
      </w:r>
      <w:r w:rsidR="007405FC" w:rsidRPr="00E76F52">
        <w:rPr>
          <w:rFonts w:ascii="Calibri" w:hAnsi="Calibri" w:cs="Calibri"/>
          <w:color w:val="000000" w:themeColor="text1"/>
          <w:sz w:val="24"/>
          <w:szCs w:val="24"/>
        </w:rPr>
        <w:t xml:space="preserve"> </w:t>
      </w:r>
      <w:r w:rsidR="002134F7" w:rsidRPr="00E76F52">
        <w:rPr>
          <w:rFonts w:ascii="Calibri" w:hAnsi="Calibri" w:cs="Calibri"/>
          <w:color w:val="000000" w:themeColor="text1"/>
          <w:sz w:val="24"/>
          <w:szCs w:val="24"/>
        </w:rPr>
        <w:t>okamžiku prodeje</w:t>
      </w:r>
      <w:r w:rsidR="005D60B3" w:rsidRPr="00E76F52">
        <w:rPr>
          <w:rFonts w:ascii="Calibri" w:hAnsi="Calibri" w:cs="Calibri"/>
          <w:color w:val="000000" w:themeColor="text1"/>
          <w:sz w:val="24"/>
          <w:szCs w:val="24"/>
        </w:rPr>
        <w:t>, což</w:t>
      </w:r>
      <w:r w:rsidR="002134F7" w:rsidRPr="00E76F52">
        <w:rPr>
          <w:rFonts w:ascii="Calibri" w:hAnsi="Calibri" w:cs="Calibri"/>
          <w:color w:val="000000" w:themeColor="text1"/>
          <w:sz w:val="24"/>
          <w:szCs w:val="24"/>
        </w:rPr>
        <w:t xml:space="preserve"> u povolenek určených k</w:t>
      </w:r>
      <w:r w:rsidR="007405FC" w:rsidRPr="00E76F52">
        <w:rPr>
          <w:rFonts w:ascii="Calibri" w:hAnsi="Calibri" w:cs="Calibri"/>
          <w:color w:val="000000" w:themeColor="text1"/>
          <w:sz w:val="24"/>
          <w:szCs w:val="24"/>
        </w:rPr>
        <w:t xml:space="preserve"> </w:t>
      </w:r>
      <w:r w:rsidR="002134F7" w:rsidRPr="00E76F52">
        <w:rPr>
          <w:rFonts w:ascii="Calibri" w:hAnsi="Calibri" w:cs="Calibri"/>
          <w:color w:val="000000" w:themeColor="text1"/>
          <w:sz w:val="24"/>
          <w:szCs w:val="24"/>
        </w:rPr>
        <w:t xml:space="preserve">dražbě </w:t>
      </w:r>
      <w:r w:rsidR="005D60B3" w:rsidRPr="00E76F52">
        <w:rPr>
          <w:rFonts w:ascii="Calibri" w:hAnsi="Calibri" w:cs="Calibri"/>
          <w:color w:val="000000" w:themeColor="text1"/>
          <w:sz w:val="24"/>
          <w:szCs w:val="24"/>
        </w:rPr>
        <w:t>b</w:t>
      </w:r>
      <w:r w:rsidR="002134F7" w:rsidRPr="00E76F52">
        <w:rPr>
          <w:rFonts w:ascii="Calibri" w:hAnsi="Calibri" w:cs="Calibri"/>
          <w:color w:val="000000" w:themeColor="text1"/>
          <w:sz w:val="24"/>
          <w:szCs w:val="24"/>
        </w:rPr>
        <w:t>ylo až v roce 2014.</w:t>
      </w:r>
      <w:r w:rsidR="00047550" w:rsidRPr="00E90834">
        <w:rPr>
          <w:rFonts w:ascii="Calibri" w:hAnsi="Calibri" w:cs="Calibri"/>
          <w:color w:val="000000" w:themeColor="text1"/>
          <w:sz w:val="24"/>
          <w:szCs w:val="24"/>
          <w:lang w:eastAsia="cs-CZ"/>
        </w:rPr>
        <w:t xml:space="preserve"> </w:t>
      </w:r>
      <w:r w:rsidR="007D01C8" w:rsidRPr="00E76F52">
        <w:rPr>
          <w:rFonts w:ascii="Calibri" w:hAnsi="Calibri" w:cs="Calibri"/>
          <w:color w:val="000000" w:themeColor="text1"/>
          <w:sz w:val="24"/>
          <w:szCs w:val="24"/>
          <w:lang w:eastAsia="cs-CZ"/>
        </w:rPr>
        <w:t>V</w:t>
      </w:r>
      <w:r w:rsidR="007405FC" w:rsidRPr="00E76F52">
        <w:rPr>
          <w:rFonts w:ascii="Calibri" w:hAnsi="Calibri" w:cs="Calibri"/>
          <w:color w:val="000000" w:themeColor="text1"/>
          <w:sz w:val="24"/>
          <w:szCs w:val="24"/>
          <w:lang w:eastAsia="cs-CZ"/>
        </w:rPr>
        <w:t xml:space="preserve"> </w:t>
      </w:r>
      <w:r w:rsidR="007D01C8" w:rsidRPr="00E76F52">
        <w:rPr>
          <w:rFonts w:ascii="Calibri" w:hAnsi="Calibri" w:cs="Calibri"/>
          <w:color w:val="000000" w:themeColor="text1"/>
          <w:sz w:val="24"/>
          <w:szCs w:val="24"/>
          <w:lang w:eastAsia="cs-CZ"/>
        </w:rPr>
        <w:t>důsledku</w:t>
      </w:r>
      <w:r w:rsidR="000605C5" w:rsidRPr="00E76F52">
        <w:rPr>
          <w:rFonts w:ascii="Calibri" w:hAnsi="Calibri" w:cs="Calibri"/>
          <w:color w:val="000000" w:themeColor="text1"/>
          <w:sz w:val="24"/>
          <w:szCs w:val="24"/>
          <w:lang w:eastAsia="cs-CZ"/>
        </w:rPr>
        <w:t xml:space="preserve"> </w:t>
      </w:r>
      <w:r>
        <w:rPr>
          <w:rFonts w:ascii="Calibri" w:hAnsi="Calibri" w:cs="Calibri"/>
          <w:color w:val="000000" w:themeColor="text1"/>
          <w:sz w:val="24"/>
          <w:szCs w:val="24"/>
          <w:lang w:eastAsia="cs-CZ"/>
        </w:rPr>
        <w:t>toho</w:t>
      </w:r>
      <w:r w:rsidR="007D01C8" w:rsidRPr="00E76F52">
        <w:rPr>
          <w:rFonts w:ascii="Calibri" w:hAnsi="Calibri" w:cs="Calibri"/>
          <w:color w:val="000000" w:themeColor="text1"/>
          <w:sz w:val="24"/>
          <w:szCs w:val="24"/>
          <w:lang w:eastAsia="cs-CZ"/>
        </w:rPr>
        <w:t xml:space="preserve"> MŽP ve výkazu </w:t>
      </w:r>
      <w:r w:rsidR="00AF656B" w:rsidRPr="00E76F52">
        <w:rPr>
          <w:rFonts w:ascii="Calibri" w:hAnsi="Calibri" w:cs="Calibri"/>
          <w:color w:val="000000" w:themeColor="text1"/>
          <w:sz w:val="24"/>
          <w:szCs w:val="24"/>
          <w:lang w:eastAsia="cs-CZ"/>
        </w:rPr>
        <w:t xml:space="preserve">rozvaha </w:t>
      </w:r>
      <w:r w:rsidR="007D01C8" w:rsidRPr="00E76F52">
        <w:rPr>
          <w:rFonts w:ascii="Calibri" w:hAnsi="Calibri" w:cs="Calibri"/>
          <w:color w:val="000000" w:themeColor="text1"/>
          <w:sz w:val="24"/>
          <w:szCs w:val="24"/>
          <w:lang w:eastAsia="cs-CZ"/>
        </w:rPr>
        <w:t xml:space="preserve">nadhodnotilo zůstatek účtu </w:t>
      </w:r>
      <w:r w:rsidR="007D01C8" w:rsidRPr="000A469B">
        <w:rPr>
          <w:rFonts w:ascii="Calibri" w:hAnsi="Calibri" w:cs="Calibri"/>
          <w:color w:val="000000" w:themeColor="text1"/>
          <w:sz w:val="24"/>
          <w:szCs w:val="24"/>
          <w:lang w:eastAsia="cs-CZ"/>
        </w:rPr>
        <w:t>407</w:t>
      </w:r>
      <w:r w:rsidR="00174CD6">
        <w:rPr>
          <w:rFonts w:ascii="Calibri" w:hAnsi="Calibri" w:cs="Calibri"/>
          <w:i/>
          <w:color w:val="000000" w:themeColor="text1"/>
          <w:sz w:val="24"/>
          <w:szCs w:val="24"/>
          <w:lang w:eastAsia="cs-CZ"/>
        </w:rPr>
        <w:t> </w:t>
      </w:r>
      <w:r w:rsidR="007D01C8" w:rsidRPr="00E76F52">
        <w:rPr>
          <w:rFonts w:ascii="Calibri" w:hAnsi="Calibri" w:cs="Calibri"/>
          <w:i/>
          <w:color w:val="000000" w:themeColor="text1"/>
          <w:sz w:val="24"/>
          <w:szCs w:val="24"/>
          <w:lang w:eastAsia="cs-CZ"/>
        </w:rPr>
        <w:t>– Jiné oceňovací rozdíly</w:t>
      </w:r>
      <w:r w:rsidR="006A1FC1" w:rsidRPr="00E76F52">
        <w:rPr>
          <w:rFonts w:ascii="Calibri" w:hAnsi="Calibri" w:cs="Calibri"/>
          <w:i/>
          <w:color w:val="000000" w:themeColor="text1"/>
          <w:sz w:val="24"/>
          <w:szCs w:val="24"/>
          <w:lang w:eastAsia="cs-CZ"/>
        </w:rPr>
        <w:t xml:space="preserve"> </w:t>
      </w:r>
      <w:r w:rsidR="006A1FC1" w:rsidRPr="00E76F52">
        <w:rPr>
          <w:rFonts w:ascii="Calibri" w:hAnsi="Calibri" w:cs="Calibri"/>
          <w:color w:val="000000" w:themeColor="text1"/>
          <w:sz w:val="24"/>
          <w:szCs w:val="24"/>
          <w:lang w:eastAsia="cs-CZ"/>
        </w:rPr>
        <w:t>o</w:t>
      </w:r>
      <w:r>
        <w:rPr>
          <w:rFonts w:ascii="Calibri" w:hAnsi="Calibri" w:cs="Calibri"/>
          <w:color w:val="000000" w:themeColor="text1"/>
          <w:sz w:val="24"/>
          <w:szCs w:val="24"/>
          <w:lang w:eastAsia="cs-CZ"/>
        </w:rPr>
        <w:t> </w:t>
      </w:r>
      <w:r w:rsidR="006A1FC1" w:rsidRPr="00E76F52">
        <w:rPr>
          <w:rFonts w:ascii="Calibri" w:hAnsi="Calibri" w:cs="Calibri"/>
          <w:color w:val="000000" w:themeColor="text1"/>
          <w:sz w:val="24"/>
          <w:szCs w:val="24"/>
          <w:lang w:eastAsia="cs-CZ"/>
        </w:rPr>
        <w:t>210</w:t>
      </w:r>
      <w:r>
        <w:rPr>
          <w:rFonts w:ascii="Calibri" w:hAnsi="Calibri" w:cs="Calibri"/>
          <w:color w:val="000000" w:themeColor="text1"/>
          <w:sz w:val="24"/>
          <w:szCs w:val="24"/>
          <w:lang w:eastAsia="cs-CZ"/>
        </w:rPr>
        <w:t> </w:t>
      </w:r>
      <w:r w:rsidR="006A1FC1" w:rsidRPr="00E76F52">
        <w:rPr>
          <w:rFonts w:ascii="Calibri" w:hAnsi="Calibri" w:cs="Calibri"/>
          <w:color w:val="000000" w:themeColor="text1"/>
          <w:sz w:val="24"/>
          <w:szCs w:val="24"/>
          <w:lang w:eastAsia="cs-CZ"/>
        </w:rPr>
        <w:t>998</w:t>
      </w:r>
      <w:r>
        <w:rPr>
          <w:rFonts w:ascii="Calibri" w:hAnsi="Calibri" w:cs="Calibri"/>
          <w:color w:val="000000" w:themeColor="text1"/>
          <w:sz w:val="24"/>
          <w:szCs w:val="24"/>
          <w:lang w:eastAsia="cs-CZ"/>
        </w:rPr>
        <w:t> </w:t>
      </w:r>
      <w:r w:rsidR="006A1FC1" w:rsidRPr="00E76F52">
        <w:rPr>
          <w:rFonts w:ascii="Calibri" w:hAnsi="Calibri" w:cs="Calibri"/>
          <w:color w:val="000000" w:themeColor="text1"/>
          <w:sz w:val="24"/>
          <w:szCs w:val="24"/>
          <w:lang w:eastAsia="cs-CZ"/>
        </w:rPr>
        <w:t>194,21</w:t>
      </w:r>
      <w:r>
        <w:rPr>
          <w:rFonts w:ascii="Calibri" w:hAnsi="Calibri" w:cs="Calibri"/>
          <w:color w:val="000000" w:themeColor="text1"/>
          <w:sz w:val="24"/>
          <w:szCs w:val="24"/>
          <w:lang w:eastAsia="cs-CZ"/>
        </w:rPr>
        <w:t> </w:t>
      </w:r>
      <w:r w:rsidR="006A1FC1" w:rsidRPr="00E76F52">
        <w:rPr>
          <w:rFonts w:ascii="Calibri" w:hAnsi="Calibri" w:cs="Calibri"/>
          <w:color w:val="000000" w:themeColor="text1"/>
          <w:sz w:val="24"/>
          <w:szCs w:val="24"/>
          <w:lang w:eastAsia="cs-CZ"/>
        </w:rPr>
        <w:t>Kč a</w:t>
      </w:r>
      <w:r>
        <w:rPr>
          <w:rFonts w:ascii="Calibri" w:hAnsi="Calibri" w:cs="Calibri"/>
          <w:color w:val="000000" w:themeColor="text1"/>
          <w:sz w:val="24"/>
          <w:szCs w:val="24"/>
          <w:lang w:eastAsia="cs-CZ"/>
        </w:rPr>
        <w:t> </w:t>
      </w:r>
      <w:r w:rsidR="006A1FC1" w:rsidRPr="00E76F52">
        <w:rPr>
          <w:rFonts w:ascii="Calibri" w:hAnsi="Calibri" w:cs="Calibri"/>
          <w:color w:val="000000" w:themeColor="text1"/>
          <w:sz w:val="24"/>
          <w:szCs w:val="24"/>
          <w:lang w:eastAsia="cs-CZ"/>
        </w:rPr>
        <w:t>o</w:t>
      </w:r>
      <w:r>
        <w:rPr>
          <w:rFonts w:ascii="Calibri" w:hAnsi="Calibri" w:cs="Calibri"/>
          <w:color w:val="000000" w:themeColor="text1"/>
          <w:sz w:val="24"/>
          <w:szCs w:val="24"/>
          <w:lang w:eastAsia="cs-CZ"/>
        </w:rPr>
        <w:t> </w:t>
      </w:r>
      <w:r w:rsidR="00E90834">
        <w:rPr>
          <w:rFonts w:ascii="Calibri" w:hAnsi="Calibri" w:cs="Calibri"/>
          <w:color w:val="000000" w:themeColor="text1"/>
          <w:sz w:val="24"/>
          <w:szCs w:val="24"/>
          <w:lang w:eastAsia="cs-CZ"/>
        </w:rPr>
        <w:t>stejnou</w:t>
      </w:r>
      <w:r w:rsidR="006A1FC1" w:rsidRPr="00E76F52">
        <w:rPr>
          <w:rFonts w:ascii="Calibri" w:hAnsi="Calibri" w:cs="Calibri"/>
          <w:color w:val="000000" w:themeColor="text1"/>
          <w:sz w:val="24"/>
          <w:szCs w:val="24"/>
          <w:lang w:eastAsia="cs-CZ"/>
        </w:rPr>
        <w:t xml:space="preserve"> částku</w:t>
      </w:r>
      <w:r w:rsidR="00D830DA" w:rsidRPr="00E76F52">
        <w:rPr>
          <w:rFonts w:ascii="Calibri" w:hAnsi="Calibri" w:cs="Calibri"/>
          <w:color w:val="000000" w:themeColor="text1"/>
          <w:sz w:val="24"/>
          <w:szCs w:val="24"/>
          <w:lang w:eastAsia="cs-CZ"/>
        </w:rPr>
        <w:t xml:space="preserve"> </w:t>
      </w:r>
      <w:r w:rsidR="007D01C8" w:rsidRPr="00E76F52">
        <w:rPr>
          <w:rFonts w:ascii="Calibri" w:hAnsi="Calibri" w:cs="Calibri"/>
          <w:color w:val="000000" w:themeColor="text1"/>
          <w:sz w:val="24"/>
          <w:szCs w:val="24"/>
          <w:lang w:eastAsia="cs-CZ"/>
        </w:rPr>
        <w:t xml:space="preserve">podhodnotilo účet </w:t>
      </w:r>
      <w:r w:rsidR="00254A2C">
        <w:rPr>
          <w:rFonts w:ascii="Calibri" w:hAnsi="Calibri" w:cs="Calibri"/>
          <w:color w:val="000000" w:themeColor="text1"/>
          <w:sz w:val="24"/>
          <w:szCs w:val="24"/>
          <w:lang w:eastAsia="cs-CZ"/>
        </w:rPr>
        <w:br/>
      </w:r>
      <w:r w:rsidR="007D01C8" w:rsidRPr="000A469B">
        <w:rPr>
          <w:rFonts w:ascii="Calibri" w:hAnsi="Calibri" w:cs="Calibri"/>
          <w:color w:val="000000" w:themeColor="text1"/>
          <w:sz w:val="24"/>
          <w:szCs w:val="24"/>
          <w:lang w:eastAsia="cs-CZ"/>
        </w:rPr>
        <w:t>493</w:t>
      </w:r>
      <w:r w:rsidR="007D01C8" w:rsidRPr="00E76F52">
        <w:rPr>
          <w:rFonts w:ascii="Calibri" w:hAnsi="Calibri" w:cs="Calibri"/>
          <w:i/>
          <w:color w:val="000000" w:themeColor="text1"/>
          <w:sz w:val="24"/>
          <w:szCs w:val="24"/>
          <w:lang w:eastAsia="cs-CZ"/>
        </w:rPr>
        <w:t xml:space="preserve"> – Výsledek hospodaření běžného účetního období</w:t>
      </w:r>
      <w:r w:rsidR="007D01C8" w:rsidRPr="00E76F52">
        <w:rPr>
          <w:rFonts w:ascii="Calibri" w:hAnsi="Calibri" w:cs="Calibri"/>
          <w:color w:val="000000" w:themeColor="text1"/>
          <w:sz w:val="24"/>
          <w:szCs w:val="24"/>
          <w:lang w:eastAsia="cs-CZ"/>
        </w:rPr>
        <w:t xml:space="preserve"> </w:t>
      </w:r>
      <w:r w:rsidR="00D830DA" w:rsidRPr="00E76F52">
        <w:rPr>
          <w:rFonts w:ascii="Calibri" w:hAnsi="Calibri" w:cs="Calibri"/>
          <w:color w:val="000000" w:themeColor="text1"/>
          <w:sz w:val="24"/>
          <w:szCs w:val="24"/>
          <w:lang w:eastAsia="cs-CZ"/>
        </w:rPr>
        <w:t xml:space="preserve">a ve </w:t>
      </w:r>
      <w:r w:rsidR="00AF656B" w:rsidRPr="00E76F52">
        <w:rPr>
          <w:rFonts w:ascii="Calibri" w:hAnsi="Calibri" w:cs="Calibri"/>
          <w:color w:val="000000" w:themeColor="text1"/>
          <w:sz w:val="24"/>
          <w:szCs w:val="24"/>
          <w:lang w:eastAsia="cs-CZ"/>
        </w:rPr>
        <w:t xml:space="preserve">výkazu </w:t>
      </w:r>
      <w:r w:rsidR="00D830DA" w:rsidRPr="00E76F52">
        <w:rPr>
          <w:rFonts w:ascii="Calibri" w:hAnsi="Calibri" w:cs="Calibri"/>
          <w:color w:val="000000" w:themeColor="text1"/>
          <w:sz w:val="24"/>
          <w:szCs w:val="24"/>
          <w:lang w:eastAsia="cs-CZ"/>
        </w:rPr>
        <w:t>zisku a</w:t>
      </w:r>
      <w:r w:rsidR="00E90834">
        <w:rPr>
          <w:rFonts w:ascii="Calibri" w:hAnsi="Calibri" w:cs="Calibri"/>
          <w:color w:val="000000" w:themeColor="text1"/>
          <w:sz w:val="24"/>
          <w:szCs w:val="24"/>
          <w:lang w:eastAsia="cs-CZ"/>
        </w:rPr>
        <w:t> </w:t>
      </w:r>
      <w:r w:rsidR="00D830DA" w:rsidRPr="00E76F52">
        <w:rPr>
          <w:rFonts w:ascii="Calibri" w:hAnsi="Calibri" w:cs="Calibri"/>
          <w:color w:val="000000" w:themeColor="text1"/>
          <w:sz w:val="24"/>
          <w:szCs w:val="24"/>
          <w:lang w:eastAsia="cs-CZ"/>
        </w:rPr>
        <w:t xml:space="preserve">ztráty nadhodnotilo účet </w:t>
      </w:r>
      <w:r w:rsidR="00D830DA" w:rsidRPr="000A469B">
        <w:rPr>
          <w:rFonts w:ascii="Calibri" w:hAnsi="Calibri" w:cs="Calibri"/>
          <w:color w:val="000000" w:themeColor="text1"/>
          <w:sz w:val="24"/>
          <w:szCs w:val="24"/>
          <w:lang w:eastAsia="cs-CZ"/>
        </w:rPr>
        <w:t xml:space="preserve">564 </w:t>
      </w:r>
      <w:r w:rsidR="00D830DA" w:rsidRPr="00E76F52">
        <w:rPr>
          <w:rFonts w:ascii="Calibri" w:hAnsi="Calibri" w:cs="Calibri"/>
          <w:i/>
          <w:color w:val="000000" w:themeColor="text1"/>
          <w:sz w:val="24"/>
          <w:szCs w:val="24"/>
          <w:lang w:eastAsia="cs-CZ"/>
        </w:rPr>
        <w:t>– Náklady z</w:t>
      </w:r>
      <w:r w:rsidR="007405FC" w:rsidRPr="00E76F52">
        <w:rPr>
          <w:rFonts w:ascii="Calibri" w:hAnsi="Calibri" w:cs="Calibri"/>
          <w:i/>
          <w:color w:val="000000" w:themeColor="text1"/>
          <w:sz w:val="24"/>
          <w:szCs w:val="24"/>
          <w:lang w:eastAsia="cs-CZ"/>
        </w:rPr>
        <w:t xml:space="preserve"> </w:t>
      </w:r>
      <w:r w:rsidR="00D830DA" w:rsidRPr="00E76F52">
        <w:rPr>
          <w:rFonts w:ascii="Calibri" w:hAnsi="Calibri" w:cs="Calibri"/>
          <w:i/>
          <w:color w:val="000000" w:themeColor="text1"/>
          <w:sz w:val="24"/>
          <w:szCs w:val="24"/>
          <w:lang w:eastAsia="cs-CZ"/>
        </w:rPr>
        <w:t>přecenění reálnou hodnotou</w:t>
      </w:r>
      <w:r w:rsidR="006A1FC1" w:rsidRPr="000A469B">
        <w:rPr>
          <w:rFonts w:ascii="Calibri" w:hAnsi="Calibri" w:cs="Calibri"/>
          <w:color w:val="000000" w:themeColor="text1"/>
          <w:sz w:val="24"/>
          <w:szCs w:val="24"/>
          <w:lang w:eastAsia="cs-CZ"/>
        </w:rPr>
        <w:t>.</w:t>
      </w:r>
    </w:p>
    <w:p w:rsidR="005416A5" w:rsidRPr="005416A5" w:rsidRDefault="005416A5" w:rsidP="00E76F52">
      <w:pPr>
        <w:spacing w:after="0" w:line="240" w:lineRule="auto"/>
        <w:jc w:val="both"/>
        <w:rPr>
          <w:rFonts w:ascii="Calibri" w:hAnsi="Calibri" w:cs="Calibri"/>
          <w:color w:val="000000" w:themeColor="text1"/>
          <w:sz w:val="24"/>
          <w:szCs w:val="24"/>
          <w:lang w:eastAsia="cs-CZ"/>
        </w:rPr>
      </w:pPr>
    </w:p>
    <w:p w:rsidR="00BB3460" w:rsidRPr="00E76F52" w:rsidRDefault="00BB3460"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Opravy minulých období</w:t>
      </w:r>
      <w:r w:rsidR="00D73192" w:rsidRPr="00E76F52">
        <w:rPr>
          <w:rFonts w:ascii="Calibri" w:hAnsi="Calibri" w:cs="Calibri"/>
          <w:b/>
          <w:i/>
          <w:color w:val="000000" w:themeColor="text1"/>
          <w:sz w:val="24"/>
          <w:szCs w:val="24"/>
        </w:rPr>
        <w:t xml:space="preserve"> </w:t>
      </w:r>
    </w:p>
    <w:p w:rsidR="005416A5" w:rsidRDefault="005416A5" w:rsidP="00E76F52">
      <w:pPr>
        <w:spacing w:after="0" w:line="240" w:lineRule="auto"/>
        <w:jc w:val="both"/>
        <w:rPr>
          <w:rFonts w:ascii="Calibri" w:hAnsi="Calibri" w:cs="Calibri"/>
          <w:color w:val="000000" w:themeColor="text1"/>
          <w:sz w:val="24"/>
          <w:szCs w:val="24"/>
        </w:rPr>
      </w:pPr>
    </w:p>
    <w:p w:rsidR="007F6F77" w:rsidRDefault="00E96489"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MŽP od roku 2003 každoročně </w:t>
      </w:r>
      <w:r w:rsidR="007F6F77" w:rsidRPr="00E76F52">
        <w:rPr>
          <w:rFonts w:ascii="Calibri" w:hAnsi="Calibri" w:cs="Calibri"/>
          <w:color w:val="000000" w:themeColor="text1"/>
          <w:sz w:val="24"/>
          <w:szCs w:val="24"/>
        </w:rPr>
        <w:t>provádělo bezplatnou výměnu automobilů s</w:t>
      </w:r>
      <w:r w:rsidR="007405FC" w:rsidRPr="00E76F52">
        <w:rPr>
          <w:rFonts w:ascii="Calibri" w:hAnsi="Calibri" w:cs="Calibri"/>
          <w:color w:val="000000" w:themeColor="text1"/>
          <w:sz w:val="24"/>
          <w:szCs w:val="24"/>
        </w:rPr>
        <w:t xml:space="preserve"> </w:t>
      </w:r>
      <w:r w:rsidR="007F6F77" w:rsidRPr="00E76F52">
        <w:rPr>
          <w:rFonts w:ascii="Calibri" w:hAnsi="Calibri" w:cs="Calibri"/>
          <w:color w:val="000000" w:themeColor="text1"/>
          <w:sz w:val="24"/>
          <w:szCs w:val="24"/>
        </w:rPr>
        <w:t xml:space="preserve">dodavatelem, </w:t>
      </w:r>
      <w:r w:rsidRPr="00E76F52">
        <w:rPr>
          <w:rFonts w:ascii="Calibri" w:hAnsi="Calibri" w:cs="Calibri"/>
          <w:color w:val="000000" w:themeColor="text1"/>
          <w:sz w:val="24"/>
          <w:szCs w:val="24"/>
        </w:rPr>
        <w:t>vracelo</w:t>
      </w:r>
      <w:r w:rsidR="002C63BC" w:rsidRPr="00E76F52">
        <w:rPr>
          <w:rFonts w:ascii="Calibri" w:hAnsi="Calibri" w:cs="Calibri"/>
          <w:color w:val="000000" w:themeColor="text1"/>
          <w:sz w:val="24"/>
          <w:szCs w:val="24"/>
        </w:rPr>
        <w:t xml:space="preserve"> dodavateli automobil</w:t>
      </w:r>
      <w:r w:rsidR="007F6F77" w:rsidRPr="00E76F52">
        <w:rPr>
          <w:rFonts w:ascii="Calibri" w:hAnsi="Calibri" w:cs="Calibri"/>
          <w:color w:val="000000" w:themeColor="text1"/>
          <w:sz w:val="24"/>
          <w:szCs w:val="24"/>
        </w:rPr>
        <w:t xml:space="preserve"> v</w:t>
      </w:r>
      <w:r w:rsidR="007405FC" w:rsidRPr="00E76F52">
        <w:rPr>
          <w:rFonts w:ascii="Calibri" w:hAnsi="Calibri" w:cs="Calibri"/>
          <w:color w:val="000000" w:themeColor="text1"/>
          <w:sz w:val="24"/>
          <w:szCs w:val="24"/>
        </w:rPr>
        <w:t xml:space="preserve"> </w:t>
      </w:r>
      <w:r w:rsidR="007F6F77" w:rsidRPr="00E76F52">
        <w:rPr>
          <w:rFonts w:ascii="Calibri" w:hAnsi="Calibri" w:cs="Calibri"/>
          <w:color w:val="000000" w:themeColor="text1"/>
          <w:sz w:val="24"/>
          <w:szCs w:val="24"/>
        </w:rPr>
        <w:t>daném roce používaný</w:t>
      </w:r>
      <w:r w:rsidR="002C63BC" w:rsidRPr="00E76F52">
        <w:rPr>
          <w:rFonts w:ascii="Calibri" w:hAnsi="Calibri" w:cs="Calibri"/>
          <w:color w:val="000000" w:themeColor="text1"/>
          <w:sz w:val="24"/>
          <w:szCs w:val="24"/>
        </w:rPr>
        <w:t xml:space="preserve"> a za něj získávalo směnou automobil nový. </w:t>
      </w:r>
      <w:r w:rsidR="007F6F77" w:rsidRPr="00E76F52">
        <w:rPr>
          <w:rFonts w:ascii="Calibri" w:hAnsi="Calibri" w:cs="Calibri"/>
          <w:color w:val="000000" w:themeColor="text1"/>
          <w:sz w:val="24"/>
          <w:szCs w:val="24"/>
        </w:rPr>
        <w:t>Tento způsob nakládá</w:t>
      </w:r>
      <w:r w:rsidR="0052325E" w:rsidRPr="00E76F52">
        <w:rPr>
          <w:rFonts w:ascii="Calibri" w:hAnsi="Calibri" w:cs="Calibri"/>
          <w:color w:val="000000" w:themeColor="text1"/>
          <w:sz w:val="24"/>
          <w:szCs w:val="24"/>
        </w:rPr>
        <w:t>ní s</w:t>
      </w:r>
      <w:r w:rsidR="007405FC" w:rsidRPr="00E76F52">
        <w:rPr>
          <w:rFonts w:ascii="Calibri" w:hAnsi="Calibri" w:cs="Calibri"/>
          <w:color w:val="000000" w:themeColor="text1"/>
          <w:sz w:val="24"/>
          <w:szCs w:val="24"/>
        </w:rPr>
        <w:t xml:space="preserve"> </w:t>
      </w:r>
      <w:r w:rsidR="0052325E" w:rsidRPr="00E76F52">
        <w:rPr>
          <w:rFonts w:ascii="Calibri" w:hAnsi="Calibri" w:cs="Calibri"/>
          <w:color w:val="000000" w:themeColor="text1"/>
          <w:sz w:val="24"/>
          <w:szCs w:val="24"/>
        </w:rPr>
        <w:t>majetkem státu zákon č. 219/2000 Sb.</w:t>
      </w:r>
      <w:r w:rsidR="0002053C" w:rsidRPr="00E76F52">
        <w:rPr>
          <w:rFonts w:ascii="Calibri" w:hAnsi="Calibri" w:cs="Calibri"/>
          <w:color w:val="000000" w:themeColor="text1"/>
          <w:sz w:val="24"/>
          <w:szCs w:val="24"/>
        </w:rPr>
        <w:t>,</w:t>
      </w:r>
      <w:r w:rsidR="0052325E" w:rsidRPr="00E76F52">
        <w:rPr>
          <w:rFonts w:ascii="Calibri" w:hAnsi="Calibri" w:cs="Calibri"/>
          <w:color w:val="000000" w:themeColor="text1"/>
          <w:sz w:val="24"/>
          <w:szCs w:val="24"/>
        </w:rPr>
        <w:t xml:space="preserve"> o majetku České republiky a jejím vystupování v</w:t>
      </w:r>
      <w:r w:rsidR="007405FC" w:rsidRPr="00E76F52">
        <w:rPr>
          <w:rFonts w:ascii="Calibri" w:hAnsi="Calibri" w:cs="Calibri"/>
          <w:color w:val="000000" w:themeColor="text1"/>
          <w:sz w:val="24"/>
          <w:szCs w:val="24"/>
        </w:rPr>
        <w:t xml:space="preserve"> </w:t>
      </w:r>
      <w:r w:rsidR="0052325E" w:rsidRPr="00E76F52">
        <w:rPr>
          <w:rFonts w:ascii="Calibri" w:hAnsi="Calibri" w:cs="Calibri"/>
          <w:color w:val="000000" w:themeColor="text1"/>
          <w:sz w:val="24"/>
          <w:szCs w:val="24"/>
        </w:rPr>
        <w:t>právních vztazích</w:t>
      </w:r>
      <w:r w:rsidR="00E90834">
        <w:rPr>
          <w:rFonts w:ascii="Calibri" w:hAnsi="Calibri" w:cs="Calibri"/>
          <w:color w:val="000000" w:themeColor="text1"/>
          <w:sz w:val="24"/>
          <w:szCs w:val="24"/>
        </w:rPr>
        <w:t>,</w:t>
      </w:r>
      <w:r w:rsidR="0052325E" w:rsidRPr="00E76F52">
        <w:rPr>
          <w:rFonts w:ascii="Calibri" w:hAnsi="Calibri" w:cs="Calibri"/>
          <w:color w:val="000000" w:themeColor="text1"/>
          <w:sz w:val="24"/>
          <w:szCs w:val="24"/>
        </w:rPr>
        <w:t xml:space="preserve"> nepředpokládá.</w:t>
      </w:r>
    </w:p>
    <w:p w:rsidR="005416A5" w:rsidRPr="00E76F52" w:rsidRDefault="005416A5" w:rsidP="00E76F52">
      <w:pPr>
        <w:spacing w:after="0" w:line="240" w:lineRule="auto"/>
        <w:jc w:val="both"/>
        <w:rPr>
          <w:rFonts w:ascii="Calibri" w:hAnsi="Calibri" w:cs="Calibri"/>
          <w:color w:val="000000" w:themeColor="text1"/>
          <w:sz w:val="24"/>
          <w:szCs w:val="24"/>
        </w:rPr>
      </w:pPr>
    </w:p>
    <w:p w:rsidR="00E96489" w:rsidRDefault="00622D35" w:rsidP="00E76F52">
      <w:p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P</w:t>
      </w:r>
      <w:r w:rsidR="007F6F77" w:rsidRPr="00E76F52">
        <w:rPr>
          <w:rFonts w:ascii="Calibri" w:hAnsi="Calibri" w:cs="Calibri"/>
          <w:color w:val="000000" w:themeColor="text1"/>
          <w:sz w:val="24"/>
          <w:szCs w:val="24"/>
        </w:rPr>
        <w:t>řitom</w:t>
      </w:r>
      <w:r w:rsidR="002C63BC" w:rsidRPr="00E76F52">
        <w:rPr>
          <w:rFonts w:ascii="Calibri" w:hAnsi="Calibri" w:cs="Calibri"/>
          <w:color w:val="000000" w:themeColor="text1"/>
          <w:sz w:val="24"/>
          <w:szCs w:val="24"/>
        </w:rPr>
        <w:t xml:space="preserve"> </w:t>
      </w:r>
      <w:r w:rsidR="007F6F77" w:rsidRPr="00E76F52">
        <w:rPr>
          <w:rFonts w:ascii="Calibri" w:hAnsi="Calibri" w:cs="Calibri"/>
          <w:color w:val="000000" w:themeColor="text1"/>
          <w:sz w:val="24"/>
          <w:szCs w:val="24"/>
        </w:rPr>
        <w:t xml:space="preserve">MŽP </w:t>
      </w:r>
      <w:r w:rsidR="002C63BC" w:rsidRPr="00E76F52">
        <w:rPr>
          <w:rFonts w:ascii="Calibri" w:hAnsi="Calibri" w:cs="Calibri"/>
          <w:color w:val="000000" w:themeColor="text1"/>
          <w:sz w:val="24"/>
          <w:szCs w:val="24"/>
        </w:rPr>
        <w:t>evidovalo</w:t>
      </w:r>
      <w:r w:rsidR="007F6F77" w:rsidRPr="00E76F52">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v majetkové evidenci </w:t>
      </w:r>
      <w:r w:rsidR="007F6F77" w:rsidRPr="00E76F52">
        <w:rPr>
          <w:rFonts w:ascii="Calibri" w:hAnsi="Calibri" w:cs="Calibri"/>
          <w:color w:val="000000" w:themeColor="text1"/>
          <w:sz w:val="24"/>
          <w:szCs w:val="24"/>
        </w:rPr>
        <w:t>stále</w:t>
      </w:r>
      <w:r w:rsidR="002C63BC" w:rsidRPr="00E76F52">
        <w:rPr>
          <w:rFonts w:ascii="Calibri" w:hAnsi="Calibri" w:cs="Calibri"/>
          <w:color w:val="000000" w:themeColor="text1"/>
          <w:sz w:val="24"/>
          <w:szCs w:val="24"/>
        </w:rPr>
        <w:t xml:space="preserve"> </w:t>
      </w:r>
      <w:r w:rsidR="00FC4655" w:rsidRPr="00E76F52">
        <w:rPr>
          <w:rFonts w:ascii="Calibri" w:hAnsi="Calibri" w:cs="Calibri"/>
          <w:color w:val="000000" w:themeColor="text1"/>
          <w:sz w:val="24"/>
          <w:szCs w:val="24"/>
        </w:rPr>
        <w:t xml:space="preserve">původní </w:t>
      </w:r>
      <w:r w:rsidR="002C63BC" w:rsidRPr="00E76F52">
        <w:rPr>
          <w:rFonts w:ascii="Calibri" w:hAnsi="Calibri" w:cs="Calibri"/>
          <w:color w:val="000000" w:themeColor="text1"/>
          <w:sz w:val="24"/>
          <w:szCs w:val="24"/>
        </w:rPr>
        <w:t>automobil pořízený v</w:t>
      </w:r>
      <w:r>
        <w:rPr>
          <w:rFonts w:ascii="Calibri" w:hAnsi="Calibri" w:cs="Calibri"/>
          <w:color w:val="000000" w:themeColor="text1"/>
          <w:sz w:val="24"/>
          <w:szCs w:val="24"/>
        </w:rPr>
        <w:t> </w:t>
      </w:r>
      <w:r w:rsidR="002C63BC" w:rsidRPr="00E76F52">
        <w:rPr>
          <w:rFonts w:ascii="Calibri" w:hAnsi="Calibri" w:cs="Calibri"/>
          <w:color w:val="000000" w:themeColor="text1"/>
          <w:sz w:val="24"/>
          <w:szCs w:val="24"/>
        </w:rPr>
        <w:t>roce 2003. Z</w:t>
      </w:r>
      <w:r w:rsidR="00E8544B">
        <w:rPr>
          <w:rFonts w:ascii="Calibri" w:hAnsi="Calibri" w:cs="Calibri"/>
          <w:color w:val="000000" w:themeColor="text1"/>
          <w:sz w:val="24"/>
          <w:szCs w:val="24"/>
        </w:rPr>
        <w:t> </w:t>
      </w:r>
      <w:r w:rsidR="002C63BC" w:rsidRPr="00E76F52">
        <w:rPr>
          <w:rFonts w:ascii="Calibri" w:hAnsi="Calibri" w:cs="Calibri"/>
          <w:color w:val="000000" w:themeColor="text1"/>
          <w:sz w:val="24"/>
          <w:szCs w:val="24"/>
        </w:rPr>
        <w:t>pořizovací ceny původního automobilu</w:t>
      </w:r>
      <w:r w:rsidR="007F6F77" w:rsidRPr="00E76F52">
        <w:rPr>
          <w:rFonts w:ascii="Calibri" w:hAnsi="Calibri" w:cs="Calibri"/>
          <w:color w:val="000000" w:themeColor="text1"/>
          <w:sz w:val="24"/>
          <w:szCs w:val="24"/>
        </w:rPr>
        <w:t xml:space="preserve"> také</w:t>
      </w:r>
      <w:r w:rsidR="002C63BC" w:rsidRPr="00E76F52">
        <w:rPr>
          <w:rFonts w:ascii="Calibri" w:hAnsi="Calibri" w:cs="Calibri"/>
          <w:color w:val="000000" w:themeColor="text1"/>
          <w:sz w:val="24"/>
          <w:szCs w:val="24"/>
        </w:rPr>
        <w:t xml:space="preserve"> vypočítávalo odpisy a</w:t>
      </w:r>
      <w:r w:rsidR="00FC4655">
        <w:rPr>
          <w:rFonts w:ascii="Calibri" w:hAnsi="Calibri" w:cs="Calibri"/>
          <w:color w:val="000000" w:themeColor="text1"/>
          <w:sz w:val="24"/>
          <w:szCs w:val="24"/>
        </w:rPr>
        <w:t> </w:t>
      </w:r>
      <w:r w:rsidR="007F6F77" w:rsidRPr="00E76F52">
        <w:rPr>
          <w:rFonts w:ascii="Calibri" w:hAnsi="Calibri" w:cs="Calibri"/>
          <w:color w:val="000000" w:themeColor="text1"/>
          <w:sz w:val="24"/>
          <w:szCs w:val="24"/>
        </w:rPr>
        <w:t>k</w:t>
      </w:r>
      <w:r w:rsidR="00FC4655">
        <w:rPr>
          <w:rFonts w:ascii="Calibri" w:hAnsi="Calibri" w:cs="Calibri"/>
          <w:color w:val="000000" w:themeColor="text1"/>
          <w:sz w:val="24"/>
          <w:szCs w:val="24"/>
        </w:rPr>
        <w:t> </w:t>
      </w:r>
      <w:r w:rsidR="007F6F77" w:rsidRPr="00E76F52">
        <w:rPr>
          <w:rFonts w:ascii="Calibri" w:hAnsi="Calibri" w:cs="Calibri"/>
          <w:color w:val="000000" w:themeColor="text1"/>
          <w:sz w:val="24"/>
          <w:szCs w:val="24"/>
        </w:rPr>
        <w:t>této ceně</w:t>
      </w:r>
      <w:r w:rsidR="002C63BC" w:rsidRPr="00E76F52">
        <w:rPr>
          <w:rFonts w:ascii="Calibri" w:hAnsi="Calibri" w:cs="Calibri"/>
          <w:color w:val="000000" w:themeColor="text1"/>
          <w:sz w:val="24"/>
          <w:szCs w:val="24"/>
        </w:rPr>
        <w:t xml:space="preserve"> vykazovalo</w:t>
      </w:r>
      <w:r w:rsidR="007F6F77" w:rsidRPr="00E76F52">
        <w:rPr>
          <w:rFonts w:ascii="Calibri" w:hAnsi="Calibri" w:cs="Calibri"/>
          <w:color w:val="000000" w:themeColor="text1"/>
          <w:sz w:val="24"/>
          <w:szCs w:val="24"/>
        </w:rPr>
        <w:t xml:space="preserve"> i</w:t>
      </w:r>
      <w:r w:rsidR="00E8544B">
        <w:rPr>
          <w:rFonts w:ascii="Calibri" w:hAnsi="Calibri" w:cs="Calibri"/>
          <w:color w:val="000000" w:themeColor="text1"/>
          <w:sz w:val="24"/>
          <w:szCs w:val="24"/>
        </w:rPr>
        <w:t> </w:t>
      </w:r>
      <w:r w:rsidR="002C63BC" w:rsidRPr="00E76F52">
        <w:rPr>
          <w:rFonts w:ascii="Calibri" w:hAnsi="Calibri" w:cs="Calibri"/>
          <w:color w:val="000000" w:themeColor="text1"/>
          <w:sz w:val="24"/>
          <w:szCs w:val="24"/>
        </w:rPr>
        <w:t>oprávky</w:t>
      </w:r>
      <w:r w:rsidR="00E90834">
        <w:rPr>
          <w:rFonts w:ascii="Calibri" w:hAnsi="Calibri" w:cs="Calibri"/>
          <w:color w:val="000000" w:themeColor="text1"/>
          <w:sz w:val="24"/>
          <w:szCs w:val="24"/>
        </w:rPr>
        <w:t>,</w:t>
      </w:r>
      <w:r w:rsidR="002C63BC" w:rsidRPr="00E76F52">
        <w:rPr>
          <w:rFonts w:ascii="Calibri" w:hAnsi="Calibri" w:cs="Calibri"/>
          <w:color w:val="000000" w:themeColor="text1"/>
          <w:sz w:val="24"/>
          <w:szCs w:val="24"/>
        </w:rPr>
        <w:t xml:space="preserve"> a to až do</w:t>
      </w:r>
      <w:r w:rsidR="007F6F77" w:rsidRPr="00E76F52">
        <w:rPr>
          <w:rFonts w:ascii="Calibri" w:hAnsi="Calibri" w:cs="Calibri"/>
          <w:color w:val="000000" w:themeColor="text1"/>
          <w:sz w:val="24"/>
          <w:szCs w:val="24"/>
        </w:rPr>
        <w:t xml:space="preserve"> konce</w:t>
      </w:r>
      <w:r w:rsidR="002C63BC" w:rsidRPr="00E76F52">
        <w:rPr>
          <w:rFonts w:ascii="Calibri" w:hAnsi="Calibri" w:cs="Calibri"/>
          <w:color w:val="000000" w:themeColor="text1"/>
          <w:sz w:val="24"/>
          <w:szCs w:val="24"/>
        </w:rPr>
        <w:t xml:space="preserve"> roku 2012. MŽP tak v</w:t>
      </w:r>
      <w:r w:rsidR="007405FC" w:rsidRPr="00E76F52">
        <w:rPr>
          <w:rFonts w:ascii="Calibri" w:hAnsi="Calibri" w:cs="Calibri"/>
          <w:color w:val="000000" w:themeColor="text1"/>
          <w:sz w:val="24"/>
          <w:szCs w:val="24"/>
        </w:rPr>
        <w:t xml:space="preserve"> </w:t>
      </w:r>
      <w:r w:rsidR="002C63BC" w:rsidRPr="00E76F52">
        <w:rPr>
          <w:rFonts w:ascii="Calibri" w:hAnsi="Calibri" w:cs="Calibri"/>
          <w:color w:val="000000" w:themeColor="text1"/>
          <w:sz w:val="24"/>
          <w:szCs w:val="24"/>
        </w:rPr>
        <w:t>jednotl</w:t>
      </w:r>
      <w:r w:rsidR="00E8544B">
        <w:rPr>
          <w:rFonts w:ascii="Calibri" w:hAnsi="Calibri" w:cs="Calibri"/>
          <w:color w:val="000000" w:themeColor="text1"/>
          <w:sz w:val="24"/>
          <w:szCs w:val="24"/>
        </w:rPr>
        <w:t>ivých letech porušovalo zákon o </w:t>
      </w:r>
      <w:r w:rsidR="002C63BC" w:rsidRPr="00E76F52">
        <w:rPr>
          <w:rFonts w:ascii="Calibri" w:hAnsi="Calibri" w:cs="Calibri"/>
          <w:color w:val="000000" w:themeColor="text1"/>
          <w:sz w:val="24"/>
          <w:szCs w:val="24"/>
        </w:rPr>
        <w:t>účetnictví i</w:t>
      </w:r>
      <w:r w:rsidR="00AD68E7" w:rsidRPr="00E76F52">
        <w:rPr>
          <w:rFonts w:ascii="Calibri" w:hAnsi="Calibri" w:cs="Calibri"/>
          <w:color w:val="000000" w:themeColor="text1"/>
          <w:sz w:val="24"/>
          <w:szCs w:val="24"/>
        </w:rPr>
        <w:t> </w:t>
      </w:r>
      <w:r w:rsidR="002C63BC" w:rsidRPr="00E76F52">
        <w:rPr>
          <w:rFonts w:ascii="Calibri" w:hAnsi="Calibri" w:cs="Calibri"/>
          <w:color w:val="000000" w:themeColor="text1"/>
          <w:sz w:val="24"/>
          <w:szCs w:val="24"/>
        </w:rPr>
        <w:t>vyhlášku č. 410/2009 Sb., když z</w:t>
      </w:r>
      <w:r w:rsidR="007405FC" w:rsidRPr="00E76F52">
        <w:rPr>
          <w:rFonts w:ascii="Calibri" w:hAnsi="Calibri" w:cs="Calibri"/>
          <w:color w:val="000000" w:themeColor="text1"/>
          <w:sz w:val="24"/>
          <w:szCs w:val="24"/>
        </w:rPr>
        <w:t xml:space="preserve"> </w:t>
      </w:r>
      <w:r w:rsidR="002C63BC" w:rsidRPr="00E76F52">
        <w:rPr>
          <w:rFonts w:ascii="Calibri" w:hAnsi="Calibri" w:cs="Calibri"/>
          <w:color w:val="000000" w:themeColor="text1"/>
          <w:sz w:val="24"/>
          <w:szCs w:val="24"/>
        </w:rPr>
        <w:t>titulu smě</w:t>
      </w:r>
      <w:r w:rsidR="00E8544B">
        <w:rPr>
          <w:rFonts w:ascii="Calibri" w:hAnsi="Calibri" w:cs="Calibri"/>
          <w:color w:val="000000" w:themeColor="text1"/>
          <w:sz w:val="24"/>
          <w:szCs w:val="24"/>
        </w:rPr>
        <w:t>ny vozidel neúčtovalo o stavu a </w:t>
      </w:r>
      <w:r w:rsidR="002C63BC" w:rsidRPr="00E76F52">
        <w:rPr>
          <w:rFonts w:ascii="Calibri" w:hAnsi="Calibri" w:cs="Calibri"/>
          <w:color w:val="000000" w:themeColor="text1"/>
          <w:sz w:val="24"/>
          <w:szCs w:val="24"/>
        </w:rPr>
        <w:t>pohybu majetku a nesprávně vykazovalo stav tohoto majetku v</w:t>
      </w:r>
      <w:r w:rsidR="00FC4655">
        <w:rPr>
          <w:rFonts w:ascii="Calibri" w:hAnsi="Calibri" w:cs="Calibri"/>
          <w:color w:val="000000" w:themeColor="text1"/>
          <w:sz w:val="24"/>
          <w:szCs w:val="24"/>
        </w:rPr>
        <w:t> </w:t>
      </w:r>
      <w:r w:rsidR="002C63BC" w:rsidRPr="00E76F52">
        <w:rPr>
          <w:rFonts w:ascii="Calibri" w:hAnsi="Calibri" w:cs="Calibri"/>
          <w:color w:val="000000" w:themeColor="text1"/>
          <w:sz w:val="24"/>
          <w:szCs w:val="24"/>
        </w:rPr>
        <w:t>předchozích účetních obdobích.</w:t>
      </w:r>
    </w:p>
    <w:p w:rsidR="005416A5" w:rsidRPr="00E76F52" w:rsidRDefault="005416A5" w:rsidP="00E76F52">
      <w:pPr>
        <w:spacing w:after="0" w:line="240" w:lineRule="auto"/>
        <w:jc w:val="both"/>
        <w:rPr>
          <w:rFonts w:ascii="Calibri" w:hAnsi="Calibri" w:cs="Calibri"/>
          <w:color w:val="000000" w:themeColor="text1"/>
          <w:sz w:val="24"/>
          <w:szCs w:val="24"/>
        </w:rPr>
      </w:pPr>
    </w:p>
    <w:p w:rsidR="007F6F77" w:rsidRDefault="00922A13"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lastRenderedPageBreak/>
        <w:t>MŽP 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roce 201</w:t>
      </w:r>
      <w:r w:rsidR="002C63BC" w:rsidRPr="00E76F52">
        <w:rPr>
          <w:rFonts w:ascii="Calibri" w:hAnsi="Calibri" w:cs="Calibri"/>
          <w:color w:val="000000" w:themeColor="text1"/>
          <w:sz w:val="24"/>
          <w:szCs w:val="24"/>
        </w:rPr>
        <w:t xml:space="preserve">3 </w:t>
      </w:r>
      <w:r w:rsidR="007F6F77" w:rsidRPr="00E76F52">
        <w:rPr>
          <w:rFonts w:ascii="Calibri" w:hAnsi="Calibri" w:cs="Calibri"/>
          <w:color w:val="000000" w:themeColor="text1"/>
          <w:sz w:val="24"/>
          <w:szCs w:val="24"/>
        </w:rPr>
        <w:t>opravilo tyto skutečnosti z</w:t>
      </w:r>
      <w:r w:rsidR="002C63BC" w:rsidRPr="00E76F52">
        <w:rPr>
          <w:rFonts w:ascii="Calibri" w:hAnsi="Calibri" w:cs="Calibri"/>
          <w:color w:val="000000" w:themeColor="text1"/>
          <w:sz w:val="24"/>
          <w:szCs w:val="24"/>
        </w:rPr>
        <w:t xml:space="preserve"> minulých období</w:t>
      </w:r>
      <w:r w:rsidR="007F6F77" w:rsidRPr="00E76F52">
        <w:rPr>
          <w:rFonts w:ascii="Calibri" w:hAnsi="Calibri" w:cs="Calibri"/>
          <w:color w:val="000000" w:themeColor="text1"/>
          <w:sz w:val="24"/>
          <w:szCs w:val="24"/>
        </w:rPr>
        <w:t xml:space="preserve">, ale </w:t>
      </w:r>
      <w:r w:rsidR="00C01706" w:rsidRPr="00E76F52">
        <w:rPr>
          <w:rFonts w:ascii="Calibri" w:hAnsi="Calibri" w:cs="Calibri"/>
          <w:color w:val="000000" w:themeColor="text1"/>
          <w:sz w:val="24"/>
          <w:szCs w:val="24"/>
        </w:rPr>
        <w:t>porušilo ustanovení bodu 3.5.6 ČÚS č. 709</w:t>
      </w:r>
      <w:r w:rsidR="00CB641A" w:rsidRPr="00E76F52">
        <w:rPr>
          <w:rFonts w:ascii="Calibri" w:hAnsi="Calibri" w:cs="Calibri"/>
          <w:color w:val="000000" w:themeColor="text1"/>
          <w:sz w:val="24"/>
          <w:szCs w:val="24"/>
        </w:rPr>
        <w:t> </w:t>
      </w:r>
      <w:r w:rsidR="002C63BC" w:rsidRPr="00E76F52">
        <w:rPr>
          <w:rFonts w:ascii="Calibri" w:hAnsi="Calibri" w:cs="Calibri"/>
          <w:color w:val="000000" w:themeColor="text1"/>
          <w:sz w:val="24"/>
          <w:szCs w:val="24"/>
        </w:rPr>
        <w:t xml:space="preserve">– </w:t>
      </w:r>
      <w:r w:rsidR="002C63BC" w:rsidRPr="00E76F52">
        <w:rPr>
          <w:rFonts w:ascii="Calibri" w:hAnsi="Calibri" w:cs="Calibri"/>
          <w:i/>
          <w:color w:val="000000" w:themeColor="text1"/>
          <w:sz w:val="24"/>
          <w:szCs w:val="24"/>
        </w:rPr>
        <w:t>Vlastní jmění</w:t>
      </w:r>
      <w:r w:rsidR="00C01706" w:rsidRPr="00E76F52">
        <w:rPr>
          <w:rFonts w:ascii="Calibri" w:hAnsi="Calibri" w:cs="Calibri"/>
          <w:color w:val="000000" w:themeColor="text1"/>
          <w:sz w:val="24"/>
          <w:szCs w:val="24"/>
        </w:rPr>
        <w:t>, neboť o</w:t>
      </w:r>
      <w:r w:rsidRPr="00E76F52">
        <w:rPr>
          <w:rFonts w:ascii="Calibri" w:hAnsi="Calibri" w:cs="Calibri"/>
          <w:color w:val="000000" w:themeColor="text1"/>
          <w:sz w:val="24"/>
          <w:szCs w:val="24"/>
        </w:rPr>
        <w:t xml:space="preserve"> významné </w:t>
      </w:r>
      <w:r w:rsidR="00F267DF" w:rsidRPr="00E76F52">
        <w:rPr>
          <w:rFonts w:ascii="Calibri" w:hAnsi="Calibri" w:cs="Calibri"/>
          <w:color w:val="000000" w:themeColor="text1"/>
          <w:sz w:val="24"/>
          <w:szCs w:val="24"/>
        </w:rPr>
        <w:t>opravě</w:t>
      </w:r>
      <w:r w:rsidR="001973BF" w:rsidRPr="00E76F52">
        <w:rPr>
          <w:rStyle w:val="Znakapoznpodarou"/>
          <w:rFonts w:ascii="Calibri" w:hAnsi="Calibri" w:cs="Calibri"/>
          <w:color w:val="000000" w:themeColor="text1"/>
          <w:sz w:val="24"/>
          <w:szCs w:val="24"/>
        </w:rPr>
        <w:footnoteReference w:id="56"/>
      </w:r>
      <w:r w:rsidR="00F267DF" w:rsidRPr="00E76F52">
        <w:rPr>
          <w:rFonts w:ascii="Calibri" w:hAnsi="Calibri" w:cs="Calibri"/>
          <w:color w:val="000000" w:themeColor="text1"/>
          <w:sz w:val="24"/>
          <w:szCs w:val="24"/>
        </w:rPr>
        <w:t xml:space="preserve"> za </w:t>
      </w:r>
      <w:r w:rsidR="007F6F77" w:rsidRPr="00E76F52">
        <w:rPr>
          <w:rFonts w:ascii="Calibri" w:hAnsi="Calibri" w:cs="Calibri"/>
          <w:color w:val="000000" w:themeColor="text1"/>
          <w:sz w:val="24"/>
          <w:szCs w:val="24"/>
        </w:rPr>
        <w:t xml:space="preserve">minulá </w:t>
      </w:r>
      <w:r w:rsidR="001973BF" w:rsidRPr="00E76F52">
        <w:rPr>
          <w:rFonts w:ascii="Calibri" w:hAnsi="Calibri" w:cs="Calibri"/>
          <w:color w:val="000000" w:themeColor="text1"/>
          <w:sz w:val="24"/>
          <w:szCs w:val="24"/>
        </w:rPr>
        <w:t>účetní období</w:t>
      </w:r>
      <w:r w:rsidR="007F6F77" w:rsidRPr="00E76F52">
        <w:rPr>
          <w:rFonts w:ascii="Calibri" w:hAnsi="Calibri" w:cs="Calibri"/>
          <w:color w:val="000000" w:themeColor="text1"/>
          <w:sz w:val="24"/>
          <w:szCs w:val="24"/>
        </w:rPr>
        <w:t xml:space="preserve">, </w:t>
      </w:r>
      <w:r w:rsidR="00FC4655">
        <w:rPr>
          <w:rFonts w:ascii="Calibri" w:hAnsi="Calibri" w:cs="Calibri"/>
          <w:color w:val="000000" w:themeColor="text1"/>
          <w:sz w:val="24"/>
          <w:szCs w:val="24"/>
        </w:rPr>
        <w:t>mají-li vliv</w:t>
      </w:r>
      <w:r w:rsidR="00F267DF" w:rsidRPr="00E76F52">
        <w:rPr>
          <w:rFonts w:ascii="Calibri" w:hAnsi="Calibri" w:cs="Calibri"/>
          <w:color w:val="000000" w:themeColor="text1"/>
          <w:sz w:val="24"/>
          <w:szCs w:val="24"/>
        </w:rPr>
        <w:t xml:space="preserve"> na výsledek hospodaření</w:t>
      </w:r>
      <w:r w:rsidR="007F6F77" w:rsidRPr="00E76F52">
        <w:rPr>
          <w:rFonts w:ascii="Calibri" w:hAnsi="Calibri" w:cs="Calibri"/>
          <w:color w:val="000000" w:themeColor="text1"/>
          <w:sz w:val="24"/>
          <w:szCs w:val="24"/>
        </w:rPr>
        <w:t>, se v</w:t>
      </w:r>
      <w:r w:rsidR="007405FC" w:rsidRPr="00E76F52">
        <w:rPr>
          <w:rFonts w:ascii="Calibri" w:hAnsi="Calibri" w:cs="Calibri"/>
          <w:color w:val="000000" w:themeColor="text1"/>
          <w:sz w:val="24"/>
          <w:szCs w:val="24"/>
        </w:rPr>
        <w:t xml:space="preserve"> </w:t>
      </w:r>
      <w:r w:rsidR="007F6F77" w:rsidRPr="00E76F52">
        <w:rPr>
          <w:rFonts w:ascii="Calibri" w:hAnsi="Calibri" w:cs="Calibri"/>
          <w:color w:val="000000" w:themeColor="text1"/>
          <w:sz w:val="24"/>
          <w:szCs w:val="24"/>
        </w:rPr>
        <w:t>souladu s</w:t>
      </w:r>
      <w:r w:rsidR="007405FC" w:rsidRPr="00E76F52">
        <w:rPr>
          <w:rFonts w:ascii="Calibri" w:hAnsi="Calibri" w:cs="Calibri"/>
          <w:color w:val="000000" w:themeColor="text1"/>
          <w:sz w:val="24"/>
          <w:szCs w:val="24"/>
        </w:rPr>
        <w:t xml:space="preserve"> </w:t>
      </w:r>
      <w:r w:rsidR="007F6F77" w:rsidRPr="00E76F52">
        <w:rPr>
          <w:rFonts w:ascii="Calibri" w:hAnsi="Calibri" w:cs="Calibri"/>
          <w:color w:val="000000" w:themeColor="text1"/>
          <w:sz w:val="24"/>
          <w:szCs w:val="24"/>
        </w:rPr>
        <w:t xml:space="preserve">tímto bodem standardu </w:t>
      </w:r>
      <w:r w:rsidR="00FC4655">
        <w:rPr>
          <w:rFonts w:ascii="Calibri" w:hAnsi="Calibri" w:cs="Calibri"/>
          <w:color w:val="000000" w:themeColor="text1"/>
          <w:sz w:val="24"/>
          <w:szCs w:val="24"/>
        </w:rPr>
        <w:t>účtuje</w:t>
      </w:r>
      <w:r w:rsidR="007F6F77" w:rsidRPr="00E76F52">
        <w:rPr>
          <w:rFonts w:ascii="Calibri" w:hAnsi="Calibri" w:cs="Calibri"/>
          <w:color w:val="000000" w:themeColor="text1"/>
          <w:sz w:val="24"/>
          <w:szCs w:val="24"/>
        </w:rPr>
        <w:t xml:space="preserve"> </w:t>
      </w:r>
      <w:r w:rsidR="00F267DF" w:rsidRPr="00E76F52">
        <w:rPr>
          <w:rFonts w:ascii="Calibri" w:hAnsi="Calibri" w:cs="Calibri"/>
          <w:color w:val="000000" w:themeColor="text1"/>
          <w:sz w:val="24"/>
          <w:szCs w:val="24"/>
        </w:rPr>
        <w:t xml:space="preserve">prostřednictvím účtu </w:t>
      </w:r>
      <w:r w:rsidR="00F267DF" w:rsidRPr="000A469B">
        <w:rPr>
          <w:rFonts w:ascii="Calibri" w:hAnsi="Calibri" w:cs="Calibri"/>
          <w:color w:val="000000" w:themeColor="text1"/>
          <w:sz w:val="24"/>
          <w:szCs w:val="24"/>
        </w:rPr>
        <w:t>408</w:t>
      </w:r>
      <w:r w:rsidR="00F267DF" w:rsidRPr="00E76F52">
        <w:rPr>
          <w:rFonts w:ascii="Calibri" w:hAnsi="Calibri" w:cs="Calibri"/>
          <w:i/>
          <w:color w:val="000000" w:themeColor="text1"/>
          <w:sz w:val="24"/>
          <w:szCs w:val="24"/>
        </w:rPr>
        <w:t xml:space="preserve"> – Opravy minulých období</w:t>
      </w:r>
      <w:r w:rsidR="007F6F77" w:rsidRPr="00E76F52">
        <w:rPr>
          <w:rFonts w:ascii="Calibri" w:hAnsi="Calibri" w:cs="Calibri"/>
          <w:i/>
          <w:color w:val="000000" w:themeColor="text1"/>
          <w:sz w:val="24"/>
          <w:szCs w:val="24"/>
        </w:rPr>
        <w:t>.</w:t>
      </w:r>
      <w:r w:rsidR="007F6F77" w:rsidRPr="00E76F52">
        <w:rPr>
          <w:rFonts w:ascii="Calibri" w:hAnsi="Calibri" w:cs="Calibri"/>
          <w:color w:val="000000" w:themeColor="text1"/>
          <w:sz w:val="24"/>
          <w:szCs w:val="24"/>
        </w:rPr>
        <w:t xml:space="preserve"> MŽP</w:t>
      </w:r>
      <w:r w:rsidR="0059324E" w:rsidRPr="00E76F52">
        <w:rPr>
          <w:rFonts w:ascii="Calibri" w:hAnsi="Calibri" w:cs="Calibri"/>
          <w:color w:val="000000" w:themeColor="text1"/>
          <w:sz w:val="24"/>
          <w:szCs w:val="24"/>
        </w:rPr>
        <w:t xml:space="preserve"> </w:t>
      </w:r>
      <w:r w:rsidR="00E83C8C" w:rsidRPr="00E76F52">
        <w:rPr>
          <w:rFonts w:ascii="Calibri" w:hAnsi="Calibri" w:cs="Calibri"/>
          <w:color w:val="000000" w:themeColor="text1"/>
          <w:sz w:val="24"/>
          <w:szCs w:val="24"/>
        </w:rPr>
        <w:t>ale účtovalo o nákladech a</w:t>
      </w:r>
      <w:r w:rsidR="00116D25" w:rsidRPr="00E76F52">
        <w:rPr>
          <w:rFonts w:ascii="Calibri" w:hAnsi="Calibri" w:cs="Calibri"/>
          <w:color w:val="000000" w:themeColor="text1"/>
          <w:sz w:val="24"/>
          <w:szCs w:val="24"/>
        </w:rPr>
        <w:t> </w:t>
      </w:r>
      <w:r w:rsidR="00E83C8C" w:rsidRPr="00E76F52">
        <w:rPr>
          <w:rFonts w:ascii="Calibri" w:hAnsi="Calibri" w:cs="Calibri"/>
          <w:color w:val="000000" w:themeColor="text1"/>
          <w:sz w:val="24"/>
          <w:szCs w:val="24"/>
        </w:rPr>
        <w:t>výnosech</w:t>
      </w:r>
      <w:r w:rsidR="0002053C" w:rsidRPr="00E76F52">
        <w:rPr>
          <w:rFonts w:ascii="Calibri" w:hAnsi="Calibri" w:cs="Calibri"/>
          <w:color w:val="000000" w:themeColor="text1"/>
          <w:sz w:val="24"/>
          <w:szCs w:val="24"/>
        </w:rPr>
        <w:t>,</w:t>
      </w:r>
      <w:r w:rsidR="007F6F77" w:rsidRPr="00E76F52">
        <w:rPr>
          <w:rFonts w:ascii="Calibri" w:hAnsi="Calibri" w:cs="Calibri"/>
          <w:color w:val="000000" w:themeColor="text1"/>
          <w:sz w:val="24"/>
          <w:szCs w:val="24"/>
        </w:rPr>
        <w:t xml:space="preserve"> </w:t>
      </w:r>
      <w:r w:rsidR="00FC4655">
        <w:rPr>
          <w:rFonts w:ascii="Calibri" w:hAnsi="Calibri" w:cs="Calibri"/>
          <w:color w:val="000000" w:themeColor="text1"/>
          <w:sz w:val="24"/>
          <w:szCs w:val="24"/>
        </w:rPr>
        <w:t>čímž</w:t>
      </w:r>
      <w:r w:rsidR="007F6F77" w:rsidRPr="00E76F52">
        <w:rPr>
          <w:rFonts w:ascii="Calibri" w:hAnsi="Calibri" w:cs="Calibri"/>
          <w:color w:val="000000" w:themeColor="text1"/>
          <w:sz w:val="24"/>
          <w:szCs w:val="24"/>
        </w:rPr>
        <w:t xml:space="preserve"> všechny tyto skutečnosti promítlo do výsledku hospodaření </w:t>
      </w:r>
      <w:r w:rsidR="00221E58" w:rsidRPr="00E76F52">
        <w:rPr>
          <w:rFonts w:ascii="Calibri" w:hAnsi="Calibri" w:cs="Calibri"/>
          <w:color w:val="000000" w:themeColor="text1"/>
          <w:sz w:val="24"/>
          <w:szCs w:val="24"/>
        </w:rPr>
        <w:t>za rok 2013</w:t>
      </w:r>
      <w:r w:rsidR="00E83C8C" w:rsidRPr="00E76F52">
        <w:rPr>
          <w:rFonts w:ascii="Calibri" w:hAnsi="Calibri" w:cs="Calibri"/>
          <w:color w:val="000000" w:themeColor="text1"/>
          <w:sz w:val="24"/>
          <w:szCs w:val="24"/>
        </w:rPr>
        <w:t>. MŽP</w:t>
      </w:r>
      <w:r w:rsidR="007F6F77" w:rsidRPr="00E76F52">
        <w:rPr>
          <w:rFonts w:ascii="Calibri" w:hAnsi="Calibri" w:cs="Calibri"/>
          <w:color w:val="000000" w:themeColor="text1"/>
          <w:sz w:val="24"/>
          <w:szCs w:val="24"/>
        </w:rPr>
        <w:t xml:space="preserve"> tak</w:t>
      </w:r>
      <w:r w:rsidR="00E83C8C" w:rsidRPr="00E76F52">
        <w:rPr>
          <w:rFonts w:ascii="Calibri" w:hAnsi="Calibri" w:cs="Calibri"/>
          <w:color w:val="000000" w:themeColor="text1"/>
          <w:sz w:val="24"/>
          <w:szCs w:val="24"/>
        </w:rPr>
        <w:t xml:space="preserve"> </w:t>
      </w:r>
      <w:r w:rsidR="00B850E3" w:rsidRPr="00E76F52">
        <w:rPr>
          <w:rFonts w:ascii="Calibri" w:hAnsi="Calibri" w:cs="Calibri"/>
          <w:color w:val="000000" w:themeColor="text1"/>
          <w:sz w:val="24"/>
          <w:szCs w:val="24"/>
        </w:rPr>
        <w:t xml:space="preserve">ve výkazu rozvaha </w:t>
      </w:r>
      <w:r w:rsidR="00E83C8C" w:rsidRPr="00E76F52">
        <w:rPr>
          <w:rFonts w:ascii="Calibri" w:hAnsi="Calibri" w:cs="Calibri"/>
          <w:color w:val="000000" w:themeColor="text1"/>
          <w:sz w:val="24"/>
          <w:szCs w:val="24"/>
        </w:rPr>
        <w:t xml:space="preserve">podhodnotilo zůstatek účtu </w:t>
      </w:r>
      <w:r w:rsidR="00E83C8C" w:rsidRPr="000A469B">
        <w:rPr>
          <w:rFonts w:ascii="Calibri" w:hAnsi="Calibri" w:cs="Calibri"/>
          <w:color w:val="000000" w:themeColor="text1"/>
          <w:sz w:val="24"/>
          <w:szCs w:val="24"/>
        </w:rPr>
        <w:t>408</w:t>
      </w:r>
      <w:r w:rsidR="00E83C8C" w:rsidRPr="00E76F52">
        <w:rPr>
          <w:rFonts w:ascii="Calibri" w:hAnsi="Calibri" w:cs="Calibri"/>
          <w:i/>
          <w:color w:val="000000" w:themeColor="text1"/>
          <w:sz w:val="24"/>
          <w:szCs w:val="24"/>
        </w:rPr>
        <w:t xml:space="preserve"> – Opravy minulých období</w:t>
      </w:r>
      <w:r w:rsidR="00E83C8C" w:rsidRPr="00E76F52">
        <w:rPr>
          <w:rFonts w:ascii="Calibri" w:hAnsi="Calibri" w:cs="Calibri"/>
          <w:color w:val="000000" w:themeColor="text1"/>
          <w:sz w:val="24"/>
          <w:szCs w:val="24"/>
        </w:rPr>
        <w:t xml:space="preserve"> o</w:t>
      </w:r>
      <w:r w:rsidR="00AD68E7" w:rsidRPr="00E76F52">
        <w:rPr>
          <w:rFonts w:ascii="Calibri" w:hAnsi="Calibri" w:cs="Calibri"/>
          <w:color w:val="000000" w:themeColor="text1"/>
          <w:sz w:val="24"/>
          <w:szCs w:val="24"/>
        </w:rPr>
        <w:t> </w:t>
      </w:r>
      <w:r w:rsidR="00E83C8C" w:rsidRPr="00E76F52">
        <w:rPr>
          <w:rFonts w:ascii="Calibri" w:hAnsi="Calibri" w:cs="Calibri"/>
          <w:color w:val="000000" w:themeColor="text1"/>
          <w:sz w:val="24"/>
          <w:szCs w:val="24"/>
        </w:rPr>
        <w:t>907 525 Kč</w:t>
      </w:r>
      <w:r w:rsidR="00B850E3" w:rsidRPr="00E76F52">
        <w:rPr>
          <w:rFonts w:ascii="Calibri" w:hAnsi="Calibri" w:cs="Calibri"/>
          <w:color w:val="000000" w:themeColor="text1"/>
          <w:sz w:val="24"/>
          <w:szCs w:val="24"/>
        </w:rPr>
        <w:t xml:space="preserve">, </w:t>
      </w:r>
      <w:r w:rsidR="00E83C8C" w:rsidRPr="00E76F52">
        <w:rPr>
          <w:rFonts w:ascii="Calibri" w:hAnsi="Calibri" w:cs="Calibri"/>
          <w:color w:val="000000" w:themeColor="text1"/>
          <w:sz w:val="24"/>
          <w:szCs w:val="24"/>
        </w:rPr>
        <w:t xml:space="preserve">nadhodnotilo zůstatek účtu </w:t>
      </w:r>
      <w:r w:rsidR="00E83C8C" w:rsidRPr="000A469B">
        <w:rPr>
          <w:rFonts w:ascii="Calibri" w:hAnsi="Calibri" w:cs="Calibri"/>
          <w:color w:val="000000" w:themeColor="text1"/>
          <w:sz w:val="24"/>
          <w:szCs w:val="24"/>
        </w:rPr>
        <w:t>493</w:t>
      </w:r>
      <w:r w:rsidR="00E83C8C" w:rsidRPr="00E76F52">
        <w:rPr>
          <w:rFonts w:ascii="Calibri" w:hAnsi="Calibri" w:cs="Calibri"/>
          <w:i/>
          <w:color w:val="000000" w:themeColor="text1"/>
          <w:sz w:val="24"/>
          <w:szCs w:val="24"/>
        </w:rPr>
        <w:t xml:space="preserve"> – Výsledek hospodaření běžného účetního období</w:t>
      </w:r>
      <w:r w:rsidR="00E83C8C" w:rsidRPr="00E76F52">
        <w:rPr>
          <w:rFonts w:ascii="Calibri" w:hAnsi="Calibri" w:cs="Calibri"/>
          <w:color w:val="000000" w:themeColor="text1"/>
          <w:sz w:val="24"/>
          <w:szCs w:val="24"/>
        </w:rPr>
        <w:t xml:space="preserve"> o 907</w:t>
      </w:r>
      <w:r w:rsidR="007405FC" w:rsidRPr="00E76F52">
        <w:rPr>
          <w:rFonts w:ascii="Calibri" w:hAnsi="Calibri" w:cs="Calibri"/>
          <w:color w:val="000000" w:themeColor="text1"/>
          <w:sz w:val="24"/>
          <w:szCs w:val="24"/>
        </w:rPr>
        <w:t xml:space="preserve"> </w:t>
      </w:r>
      <w:r w:rsidR="00E83C8C" w:rsidRPr="00E76F52">
        <w:rPr>
          <w:rFonts w:ascii="Calibri" w:hAnsi="Calibri" w:cs="Calibri"/>
          <w:color w:val="000000" w:themeColor="text1"/>
          <w:sz w:val="24"/>
          <w:szCs w:val="24"/>
        </w:rPr>
        <w:t>525</w:t>
      </w:r>
      <w:r w:rsidR="007405FC" w:rsidRPr="00E76F52">
        <w:rPr>
          <w:rFonts w:ascii="Calibri" w:hAnsi="Calibri" w:cs="Calibri"/>
          <w:color w:val="000000" w:themeColor="text1"/>
          <w:sz w:val="24"/>
          <w:szCs w:val="24"/>
        </w:rPr>
        <w:t xml:space="preserve"> </w:t>
      </w:r>
      <w:r w:rsidR="00E83C8C" w:rsidRPr="00E76F52">
        <w:rPr>
          <w:rFonts w:ascii="Calibri" w:hAnsi="Calibri" w:cs="Calibri"/>
          <w:color w:val="000000" w:themeColor="text1"/>
          <w:sz w:val="24"/>
          <w:szCs w:val="24"/>
        </w:rPr>
        <w:t>Kč</w:t>
      </w:r>
      <w:r w:rsidR="00B850E3" w:rsidRPr="00E76F52">
        <w:rPr>
          <w:rFonts w:ascii="Calibri" w:hAnsi="Calibri" w:cs="Calibri"/>
          <w:color w:val="000000" w:themeColor="text1"/>
          <w:sz w:val="24"/>
          <w:szCs w:val="24"/>
        </w:rPr>
        <w:t xml:space="preserve"> </w:t>
      </w:r>
      <w:r w:rsidR="00E83C8C" w:rsidRPr="00E76F52">
        <w:rPr>
          <w:rFonts w:ascii="Calibri" w:hAnsi="Calibri" w:cs="Calibri"/>
          <w:color w:val="000000" w:themeColor="text1"/>
          <w:sz w:val="24"/>
          <w:szCs w:val="24"/>
        </w:rPr>
        <w:t xml:space="preserve">a ve </w:t>
      </w:r>
      <w:r w:rsidR="00B14E4E" w:rsidRPr="00E76F52">
        <w:rPr>
          <w:rFonts w:ascii="Calibri" w:hAnsi="Calibri" w:cs="Calibri"/>
          <w:color w:val="000000" w:themeColor="text1"/>
          <w:sz w:val="24"/>
          <w:szCs w:val="24"/>
        </w:rPr>
        <w:t xml:space="preserve">výkazu </w:t>
      </w:r>
      <w:r w:rsidR="00E83C8C" w:rsidRPr="00E76F52">
        <w:rPr>
          <w:rFonts w:ascii="Calibri" w:hAnsi="Calibri" w:cs="Calibri"/>
          <w:color w:val="000000" w:themeColor="text1"/>
          <w:sz w:val="24"/>
          <w:szCs w:val="24"/>
        </w:rPr>
        <w:t>zisku a ztráty</w:t>
      </w:r>
      <w:r w:rsidR="00B850E3" w:rsidRPr="00E76F52">
        <w:rPr>
          <w:rFonts w:ascii="Calibri" w:hAnsi="Calibri" w:cs="Calibri"/>
          <w:color w:val="000000" w:themeColor="text1"/>
          <w:sz w:val="24"/>
          <w:szCs w:val="24"/>
        </w:rPr>
        <w:t xml:space="preserve"> </w:t>
      </w:r>
      <w:r w:rsidR="00577D23" w:rsidRPr="00E76F52">
        <w:rPr>
          <w:rFonts w:ascii="Calibri" w:hAnsi="Calibri" w:cs="Calibri"/>
          <w:color w:val="000000" w:themeColor="text1"/>
          <w:sz w:val="24"/>
          <w:szCs w:val="24"/>
        </w:rPr>
        <w:t>nadhodnotilo zůstatek účtu 664</w:t>
      </w:r>
      <w:r w:rsidR="00577D23" w:rsidRPr="00E76F52">
        <w:rPr>
          <w:rFonts w:ascii="Calibri" w:hAnsi="Calibri" w:cs="Calibri"/>
          <w:i/>
          <w:color w:val="000000" w:themeColor="text1"/>
          <w:sz w:val="24"/>
          <w:szCs w:val="24"/>
        </w:rPr>
        <w:t xml:space="preserve"> – Výnosy z přecenění reálnou hodnotou</w:t>
      </w:r>
      <w:r w:rsidR="00712B65">
        <w:rPr>
          <w:rFonts w:ascii="Calibri" w:hAnsi="Calibri" w:cs="Calibri"/>
          <w:color w:val="000000" w:themeColor="text1"/>
          <w:sz w:val="24"/>
          <w:szCs w:val="24"/>
        </w:rPr>
        <w:t xml:space="preserve"> o </w:t>
      </w:r>
      <w:r w:rsidR="00577D23" w:rsidRPr="00E76F52">
        <w:rPr>
          <w:rFonts w:ascii="Calibri" w:hAnsi="Calibri" w:cs="Calibri"/>
          <w:color w:val="000000" w:themeColor="text1"/>
          <w:sz w:val="24"/>
          <w:szCs w:val="24"/>
        </w:rPr>
        <w:t>907</w:t>
      </w:r>
      <w:r w:rsidR="00712B65">
        <w:rPr>
          <w:rFonts w:ascii="Calibri" w:hAnsi="Calibri" w:cs="Calibri"/>
          <w:color w:val="000000" w:themeColor="text1"/>
          <w:sz w:val="24"/>
          <w:szCs w:val="24"/>
        </w:rPr>
        <w:t> </w:t>
      </w:r>
      <w:r w:rsidR="00577D23" w:rsidRPr="00E76F52">
        <w:rPr>
          <w:rFonts w:ascii="Calibri" w:hAnsi="Calibri" w:cs="Calibri"/>
          <w:color w:val="000000" w:themeColor="text1"/>
          <w:sz w:val="24"/>
          <w:szCs w:val="24"/>
        </w:rPr>
        <w:t>525 Kč.</w:t>
      </w:r>
    </w:p>
    <w:p w:rsidR="007F494E" w:rsidRPr="00E76F52" w:rsidRDefault="007F494E" w:rsidP="00E76F52">
      <w:pPr>
        <w:spacing w:after="0" w:line="240" w:lineRule="auto"/>
        <w:jc w:val="both"/>
        <w:rPr>
          <w:rFonts w:ascii="Calibri" w:hAnsi="Calibri" w:cs="Calibri"/>
          <w:color w:val="000000" w:themeColor="text1"/>
          <w:sz w:val="24"/>
          <w:szCs w:val="24"/>
        </w:rPr>
      </w:pPr>
    </w:p>
    <w:p w:rsidR="0091020A" w:rsidRPr="00E76F52" w:rsidRDefault="0091020A"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Úroky přijaté od Národního fondu</w:t>
      </w:r>
      <w:r w:rsidR="00D73192" w:rsidRPr="00E76F52">
        <w:rPr>
          <w:rFonts w:ascii="Calibri" w:hAnsi="Calibri" w:cs="Calibri"/>
          <w:b/>
          <w:i/>
          <w:color w:val="000000" w:themeColor="text1"/>
          <w:sz w:val="24"/>
          <w:szCs w:val="24"/>
        </w:rPr>
        <w:t xml:space="preserve"> </w:t>
      </w:r>
    </w:p>
    <w:p w:rsidR="007F494E" w:rsidRDefault="007F494E" w:rsidP="00E76F52">
      <w:pPr>
        <w:spacing w:after="0" w:line="240" w:lineRule="auto"/>
        <w:jc w:val="both"/>
        <w:rPr>
          <w:rFonts w:ascii="Calibri" w:hAnsi="Calibri" w:cs="Calibri"/>
          <w:color w:val="000000" w:themeColor="text1"/>
          <w:sz w:val="24"/>
          <w:szCs w:val="24"/>
        </w:rPr>
      </w:pPr>
    </w:p>
    <w:p w:rsidR="00521D2D" w:rsidRDefault="0052342B"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MŽP </w:t>
      </w:r>
      <w:r w:rsidR="00D73B0A" w:rsidRPr="00E76F52">
        <w:rPr>
          <w:rFonts w:ascii="Calibri" w:hAnsi="Calibri" w:cs="Calibri"/>
          <w:color w:val="000000" w:themeColor="text1"/>
          <w:sz w:val="24"/>
          <w:szCs w:val="24"/>
        </w:rPr>
        <w:t>vykázalo</w:t>
      </w:r>
      <w:r w:rsidR="00FC4655" w:rsidRPr="00FC4655">
        <w:rPr>
          <w:rFonts w:ascii="Calibri" w:hAnsi="Calibri" w:cs="Calibri"/>
          <w:color w:val="000000" w:themeColor="text1"/>
          <w:sz w:val="24"/>
          <w:szCs w:val="24"/>
        </w:rPr>
        <w:t xml:space="preserve"> </w:t>
      </w:r>
      <w:r w:rsidR="00FC4655" w:rsidRPr="00E76F52">
        <w:rPr>
          <w:rFonts w:ascii="Calibri" w:hAnsi="Calibri" w:cs="Calibri"/>
          <w:color w:val="000000" w:themeColor="text1"/>
          <w:sz w:val="24"/>
          <w:szCs w:val="24"/>
        </w:rPr>
        <w:t>nesprávně</w:t>
      </w:r>
      <w:r w:rsidR="00014D9A" w:rsidRPr="00E76F52">
        <w:rPr>
          <w:rFonts w:ascii="Calibri" w:hAnsi="Calibri" w:cs="Calibri"/>
          <w:color w:val="000000" w:themeColor="text1"/>
          <w:sz w:val="24"/>
          <w:szCs w:val="24"/>
        </w:rPr>
        <w:t xml:space="preserve"> na </w:t>
      </w:r>
      <w:r w:rsidR="002D3E12" w:rsidRPr="00E76F52">
        <w:rPr>
          <w:rFonts w:ascii="Calibri" w:hAnsi="Calibri" w:cs="Calibri"/>
          <w:color w:val="000000" w:themeColor="text1"/>
          <w:sz w:val="24"/>
          <w:szCs w:val="24"/>
        </w:rPr>
        <w:t xml:space="preserve">účtu </w:t>
      </w:r>
      <w:r w:rsidR="002D3E12" w:rsidRPr="000A469B">
        <w:rPr>
          <w:rFonts w:ascii="Calibri" w:hAnsi="Calibri" w:cs="Calibri"/>
          <w:color w:val="000000" w:themeColor="text1"/>
          <w:sz w:val="24"/>
          <w:szCs w:val="24"/>
        </w:rPr>
        <w:t xml:space="preserve">662 </w:t>
      </w:r>
      <w:r w:rsidR="002D3E12" w:rsidRPr="00E76F52">
        <w:rPr>
          <w:rFonts w:ascii="Calibri" w:hAnsi="Calibri" w:cs="Calibri"/>
          <w:i/>
          <w:color w:val="000000" w:themeColor="text1"/>
          <w:sz w:val="24"/>
          <w:szCs w:val="24"/>
        </w:rPr>
        <w:t>– Úroky</w:t>
      </w:r>
      <w:r w:rsidR="002D3E12" w:rsidRPr="00E76F52">
        <w:rPr>
          <w:rFonts w:ascii="Calibri" w:hAnsi="Calibri" w:cs="Calibri"/>
          <w:color w:val="000000" w:themeColor="text1"/>
          <w:sz w:val="24"/>
          <w:szCs w:val="24"/>
        </w:rPr>
        <w:t xml:space="preserve"> </w:t>
      </w:r>
      <w:r w:rsidR="00D73B0A" w:rsidRPr="00E76F52">
        <w:rPr>
          <w:rFonts w:ascii="Calibri" w:hAnsi="Calibri" w:cs="Calibri"/>
          <w:color w:val="000000" w:themeColor="text1"/>
          <w:sz w:val="24"/>
          <w:szCs w:val="24"/>
        </w:rPr>
        <w:t xml:space="preserve">peněžní prostředky </w:t>
      </w:r>
      <w:r w:rsidR="00014D9A" w:rsidRPr="00E76F52">
        <w:rPr>
          <w:rFonts w:ascii="Calibri" w:hAnsi="Calibri" w:cs="Calibri"/>
          <w:color w:val="000000" w:themeColor="text1"/>
          <w:sz w:val="24"/>
          <w:szCs w:val="24"/>
        </w:rPr>
        <w:t>přijaté</w:t>
      </w:r>
      <w:r w:rsidR="002679F0" w:rsidRPr="00E76F52">
        <w:rPr>
          <w:rFonts w:ascii="Calibri" w:hAnsi="Calibri" w:cs="Calibri"/>
          <w:color w:val="000000" w:themeColor="text1"/>
          <w:sz w:val="24"/>
          <w:szCs w:val="24"/>
        </w:rPr>
        <w:t xml:space="preserve"> </w:t>
      </w:r>
      <w:r w:rsidR="00AE3C77"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AE3C77" w:rsidRPr="00E76F52">
        <w:rPr>
          <w:rFonts w:ascii="Calibri" w:hAnsi="Calibri" w:cs="Calibri"/>
          <w:color w:val="000000" w:themeColor="text1"/>
          <w:sz w:val="24"/>
          <w:szCs w:val="24"/>
        </w:rPr>
        <w:t xml:space="preserve">rámci OPŽP </w:t>
      </w:r>
      <w:r w:rsidR="000B01DE" w:rsidRPr="00E76F52">
        <w:rPr>
          <w:rFonts w:ascii="Calibri" w:hAnsi="Calibri" w:cs="Calibri"/>
          <w:color w:val="000000" w:themeColor="text1"/>
          <w:sz w:val="24"/>
          <w:szCs w:val="24"/>
        </w:rPr>
        <w:t>z účtu platebního a certifikačního orgánu, u kterého se jednalo o úroky z</w:t>
      </w:r>
      <w:r w:rsidR="007405FC" w:rsidRPr="00E76F52">
        <w:rPr>
          <w:rFonts w:ascii="Calibri" w:hAnsi="Calibri" w:cs="Calibri"/>
          <w:color w:val="000000" w:themeColor="text1"/>
          <w:sz w:val="24"/>
          <w:szCs w:val="24"/>
        </w:rPr>
        <w:t xml:space="preserve"> </w:t>
      </w:r>
      <w:r w:rsidR="000B01DE" w:rsidRPr="00E76F52">
        <w:rPr>
          <w:rFonts w:ascii="Calibri" w:hAnsi="Calibri" w:cs="Calibri"/>
          <w:color w:val="000000" w:themeColor="text1"/>
          <w:sz w:val="24"/>
          <w:szCs w:val="24"/>
        </w:rPr>
        <w:t xml:space="preserve">peněžních prostředků OPŽP </w:t>
      </w:r>
      <w:r w:rsidR="002679F0" w:rsidRPr="00E76F52">
        <w:rPr>
          <w:rFonts w:ascii="Calibri" w:hAnsi="Calibri" w:cs="Calibri"/>
          <w:color w:val="000000" w:themeColor="text1"/>
          <w:sz w:val="24"/>
          <w:szCs w:val="24"/>
        </w:rPr>
        <w:t>za období od 1.</w:t>
      </w:r>
      <w:r w:rsidR="00F45186" w:rsidRPr="00E76F52">
        <w:rPr>
          <w:rFonts w:ascii="Calibri" w:hAnsi="Calibri" w:cs="Calibri"/>
          <w:color w:val="000000" w:themeColor="text1"/>
          <w:sz w:val="24"/>
          <w:szCs w:val="24"/>
        </w:rPr>
        <w:t xml:space="preserve"> října</w:t>
      </w:r>
      <w:r w:rsidR="007405FC" w:rsidRPr="00E76F52">
        <w:rPr>
          <w:rFonts w:ascii="Calibri" w:hAnsi="Calibri" w:cs="Calibri"/>
          <w:color w:val="000000" w:themeColor="text1"/>
          <w:sz w:val="24"/>
          <w:szCs w:val="24"/>
        </w:rPr>
        <w:t xml:space="preserve"> </w:t>
      </w:r>
      <w:r w:rsidR="002679F0" w:rsidRPr="00E76F52">
        <w:rPr>
          <w:rFonts w:ascii="Calibri" w:hAnsi="Calibri" w:cs="Calibri"/>
          <w:color w:val="000000" w:themeColor="text1"/>
          <w:sz w:val="24"/>
          <w:szCs w:val="24"/>
        </w:rPr>
        <w:t xml:space="preserve">2011 do 31. </w:t>
      </w:r>
      <w:r w:rsidR="00F45186" w:rsidRPr="00E76F52">
        <w:rPr>
          <w:rFonts w:ascii="Calibri" w:hAnsi="Calibri" w:cs="Calibri"/>
          <w:color w:val="000000" w:themeColor="text1"/>
          <w:sz w:val="24"/>
          <w:szCs w:val="24"/>
        </w:rPr>
        <w:t>března</w:t>
      </w:r>
      <w:r w:rsidR="002679F0" w:rsidRPr="00E76F52">
        <w:rPr>
          <w:rFonts w:ascii="Calibri" w:hAnsi="Calibri" w:cs="Calibri"/>
          <w:color w:val="000000" w:themeColor="text1"/>
          <w:sz w:val="24"/>
          <w:szCs w:val="24"/>
        </w:rPr>
        <w:t xml:space="preserve"> 2013</w:t>
      </w:r>
      <w:r w:rsidR="00D73B0A" w:rsidRPr="00E76F52">
        <w:rPr>
          <w:rFonts w:ascii="Calibri" w:hAnsi="Calibri" w:cs="Calibri"/>
          <w:color w:val="000000" w:themeColor="text1"/>
          <w:sz w:val="24"/>
          <w:szCs w:val="24"/>
        </w:rPr>
        <w:t>.</w:t>
      </w:r>
      <w:r w:rsidR="0059324E" w:rsidRPr="00E76F52">
        <w:rPr>
          <w:rFonts w:ascii="Calibri" w:hAnsi="Calibri" w:cs="Calibri"/>
          <w:color w:val="000000" w:themeColor="text1"/>
          <w:sz w:val="24"/>
          <w:szCs w:val="24"/>
        </w:rPr>
        <w:t xml:space="preserve"> </w:t>
      </w:r>
      <w:r w:rsidR="00695F0D"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695F0D" w:rsidRPr="00E76F52">
        <w:rPr>
          <w:rFonts w:ascii="Calibri" w:hAnsi="Calibri" w:cs="Calibri"/>
          <w:color w:val="000000" w:themeColor="text1"/>
          <w:sz w:val="24"/>
          <w:szCs w:val="24"/>
        </w:rPr>
        <w:t>souladu s</w:t>
      </w:r>
      <w:r w:rsidR="007405FC" w:rsidRPr="00E76F52">
        <w:rPr>
          <w:rFonts w:ascii="Calibri" w:hAnsi="Calibri" w:cs="Calibri"/>
          <w:color w:val="000000" w:themeColor="text1"/>
          <w:sz w:val="24"/>
          <w:szCs w:val="24"/>
        </w:rPr>
        <w:t xml:space="preserve"> </w:t>
      </w:r>
      <w:r w:rsidR="00695F0D" w:rsidRPr="00E76F52">
        <w:rPr>
          <w:rFonts w:ascii="Calibri" w:hAnsi="Calibri" w:cs="Calibri"/>
          <w:color w:val="000000" w:themeColor="text1"/>
          <w:sz w:val="24"/>
          <w:szCs w:val="24"/>
        </w:rPr>
        <w:t>čl. 83 nařízení Rady č.</w:t>
      </w:r>
      <w:r w:rsidR="00AD68E7" w:rsidRPr="00E76F52">
        <w:rPr>
          <w:rFonts w:ascii="Calibri" w:hAnsi="Calibri" w:cs="Calibri"/>
          <w:color w:val="000000" w:themeColor="text1"/>
          <w:sz w:val="24"/>
          <w:szCs w:val="24"/>
        </w:rPr>
        <w:t> </w:t>
      </w:r>
      <w:r w:rsidR="00695F0D" w:rsidRPr="00E76F52">
        <w:rPr>
          <w:rFonts w:ascii="Calibri" w:hAnsi="Calibri" w:cs="Calibri"/>
          <w:color w:val="000000" w:themeColor="text1"/>
          <w:sz w:val="24"/>
          <w:szCs w:val="24"/>
        </w:rPr>
        <w:t>1083/2006</w:t>
      </w:r>
      <w:r w:rsidR="00596746" w:rsidRPr="00E76F52">
        <w:rPr>
          <w:rStyle w:val="Znakapoznpodarou"/>
          <w:rFonts w:ascii="Calibri" w:hAnsi="Calibri" w:cs="Calibri"/>
          <w:color w:val="000000" w:themeColor="text1"/>
          <w:sz w:val="24"/>
          <w:szCs w:val="24"/>
        </w:rPr>
        <w:footnoteReference w:id="57"/>
      </w:r>
      <w:r w:rsidR="00695F0D" w:rsidRPr="00E76F52">
        <w:rPr>
          <w:rFonts w:ascii="Calibri" w:hAnsi="Calibri" w:cs="Calibri"/>
          <w:color w:val="000000" w:themeColor="text1"/>
          <w:sz w:val="24"/>
          <w:szCs w:val="24"/>
        </w:rPr>
        <w:t xml:space="preserve"> </w:t>
      </w:r>
      <w:r w:rsidR="00596746" w:rsidRPr="00E76F52">
        <w:rPr>
          <w:rFonts w:ascii="Calibri" w:hAnsi="Calibri" w:cs="Calibri"/>
          <w:color w:val="000000" w:themeColor="text1"/>
          <w:sz w:val="24"/>
          <w:szCs w:val="24"/>
        </w:rPr>
        <w:t>a</w:t>
      </w:r>
      <w:r w:rsidR="00695F0D" w:rsidRPr="00E76F52">
        <w:rPr>
          <w:rFonts w:ascii="Calibri" w:hAnsi="Calibri" w:cs="Calibri"/>
          <w:color w:val="000000" w:themeColor="text1"/>
          <w:sz w:val="24"/>
          <w:szCs w:val="24"/>
        </w:rPr>
        <w:t xml:space="preserve"> čl. 81 odst. 3 nařízení Rady č. 1198/2006</w:t>
      </w:r>
      <w:r w:rsidR="00596746" w:rsidRPr="00E76F52">
        <w:rPr>
          <w:rStyle w:val="Znakapoznpodarou"/>
          <w:rFonts w:ascii="Calibri" w:hAnsi="Calibri" w:cs="Calibri"/>
          <w:color w:val="000000" w:themeColor="text1"/>
          <w:sz w:val="24"/>
          <w:szCs w:val="24"/>
        </w:rPr>
        <w:footnoteReference w:id="58"/>
      </w:r>
      <w:r w:rsidR="00014D9A" w:rsidRPr="00E76F52">
        <w:rPr>
          <w:rFonts w:ascii="Calibri" w:hAnsi="Calibri" w:cs="Calibri"/>
          <w:color w:val="000000" w:themeColor="text1"/>
          <w:sz w:val="24"/>
          <w:szCs w:val="24"/>
        </w:rPr>
        <w:t xml:space="preserve"> </w:t>
      </w:r>
      <w:r w:rsidR="00695F0D" w:rsidRPr="00E76F52">
        <w:rPr>
          <w:rFonts w:ascii="Calibri" w:hAnsi="Calibri" w:cs="Calibri"/>
          <w:color w:val="000000" w:themeColor="text1"/>
          <w:sz w:val="24"/>
          <w:szCs w:val="24"/>
        </w:rPr>
        <w:t>se tyto úroky považují za prostředky, které nahrazují národní podíl financování příslušného programu</w:t>
      </w:r>
      <w:r w:rsidR="00AF58EE">
        <w:rPr>
          <w:rFonts w:ascii="Calibri" w:hAnsi="Calibri" w:cs="Calibri"/>
          <w:color w:val="000000" w:themeColor="text1"/>
          <w:sz w:val="24"/>
          <w:szCs w:val="24"/>
        </w:rPr>
        <w:t>,</w:t>
      </w:r>
      <w:r w:rsidR="00695F0D" w:rsidRPr="00E76F52">
        <w:rPr>
          <w:rFonts w:ascii="Calibri" w:hAnsi="Calibri" w:cs="Calibri"/>
          <w:color w:val="000000" w:themeColor="text1"/>
          <w:sz w:val="24"/>
          <w:szCs w:val="24"/>
        </w:rPr>
        <w:t xml:space="preserve"> a prostředky přijaté od Národního fondu</w:t>
      </w:r>
      <w:r w:rsidR="000A3659" w:rsidRPr="00E76F52">
        <w:rPr>
          <w:rFonts w:ascii="Calibri" w:hAnsi="Calibri" w:cs="Calibri"/>
          <w:color w:val="000000" w:themeColor="text1"/>
          <w:sz w:val="24"/>
          <w:szCs w:val="24"/>
        </w:rPr>
        <w:t xml:space="preserve"> </w:t>
      </w:r>
      <w:r w:rsidR="00695F0D" w:rsidRPr="00E76F52">
        <w:rPr>
          <w:rFonts w:ascii="Calibri" w:hAnsi="Calibri" w:cs="Calibri"/>
          <w:color w:val="000000" w:themeColor="text1"/>
          <w:sz w:val="24"/>
          <w:szCs w:val="24"/>
        </w:rPr>
        <w:t>představují refundaci poskytnutého transferu</w:t>
      </w:r>
      <w:r w:rsidR="00626C4B" w:rsidRPr="00E76F52">
        <w:rPr>
          <w:rStyle w:val="Znakapoznpodarou"/>
          <w:rFonts w:ascii="Calibri" w:hAnsi="Calibri" w:cs="Calibri"/>
          <w:color w:val="000000" w:themeColor="text1"/>
          <w:sz w:val="24"/>
          <w:szCs w:val="24"/>
        </w:rPr>
        <w:footnoteReference w:id="59"/>
      </w:r>
      <w:r w:rsidR="00695F0D" w:rsidRPr="00E76F52">
        <w:rPr>
          <w:rFonts w:ascii="Calibri" w:hAnsi="Calibri" w:cs="Calibri"/>
          <w:color w:val="000000" w:themeColor="text1"/>
          <w:sz w:val="24"/>
          <w:szCs w:val="24"/>
        </w:rPr>
        <w:t>.</w:t>
      </w:r>
      <w:r w:rsidR="00CB4979" w:rsidRPr="00E76F52">
        <w:rPr>
          <w:rFonts w:ascii="Calibri" w:hAnsi="Calibri" w:cs="Calibri"/>
          <w:color w:val="000000" w:themeColor="text1"/>
          <w:sz w:val="24"/>
          <w:szCs w:val="24"/>
        </w:rPr>
        <w:t xml:space="preserve"> </w:t>
      </w:r>
      <w:r w:rsidR="00D3342C" w:rsidRPr="00E76F52">
        <w:rPr>
          <w:rFonts w:ascii="Calibri" w:hAnsi="Calibri" w:cs="Calibri"/>
          <w:color w:val="000000" w:themeColor="text1"/>
          <w:sz w:val="24"/>
          <w:szCs w:val="24"/>
        </w:rPr>
        <w:t>MŽP</w:t>
      </w:r>
      <w:r w:rsidR="000A3659" w:rsidRPr="00E76F52">
        <w:rPr>
          <w:rFonts w:ascii="Calibri" w:hAnsi="Calibri" w:cs="Calibri"/>
          <w:color w:val="000000" w:themeColor="text1"/>
          <w:sz w:val="24"/>
          <w:szCs w:val="24"/>
        </w:rPr>
        <w:t xml:space="preserve"> tak</w:t>
      </w:r>
      <w:r w:rsidR="00D3342C" w:rsidRPr="00E76F52">
        <w:rPr>
          <w:rFonts w:ascii="Calibri" w:hAnsi="Calibri" w:cs="Calibri"/>
          <w:color w:val="000000" w:themeColor="text1"/>
          <w:sz w:val="24"/>
          <w:szCs w:val="24"/>
        </w:rPr>
        <w:t xml:space="preserve"> ve </w:t>
      </w:r>
      <w:r w:rsidR="004E198D" w:rsidRPr="00E76F52">
        <w:rPr>
          <w:rFonts w:ascii="Calibri" w:hAnsi="Calibri" w:cs="Calibri"/>
          <w:color w:val="000000" w:themeColor="text1"/>
          <w:sz w:val="24"/>
          <w:szCs w:val="24"/>
        </w:rPr>
        <w:t xml:space="preserve">výkazu </w:t>
      </w:r>
      <w:r w:rsidR="00D3342C" w:rsidRPr="00E76F52">
        <w:rPr>
          <w:rFonts w:ascii="Calibri" w:hAnsi="Calibri" w:cs="Calibri"/>
          <w:color w:val="000000" w:themeColor="text1"/>
          <w:sz w:val="24"/>
          <w:szCs w:val="24"/>
        </w:rPr>
        <w:t>zisku a ztráty nadhodnotilo zůstatek účtu</w:t>
      </w:r>
      <w:r w:rsidR="00D3342C" w:rsidRPr="00E76F52">
        <w:rPr>
          <w:rFonts w:ascii="Calibri" w:hAnsi="Calibri" w:cs="Calibri"/>
          <w:i/>
          <w:color w:val="000000" w:themeColor="text1"/>
          <w:sz w:val="24"/>
          <w:szCs w:val="24"/>
        </w:rPr>
        <w:t xml:space="preserve"> </w:t>
      </w:r>
      <w:r w:rsidR="0076509D" w:rsidRPr="000A469B">
        <w:rPr>
          <w:rFonts w:ascii="Calibri" w:hAnsi="Calibri" w:cs="Calibri"/>
          <w:color w:val="000000" w:themeColor="text1"/>
          <w:sz w:val="24"/>
          <w:szCs w:val="24"/>
        </w:rPr>
        <w:t>662</w:t>
      </w:r>
      <w:r w:rsidR="0076509D" w:rsidRPr="00E76F52">
        <w:rPr>
          <w:rFonts w:ascii="Calibri" w:hAnsi="Calibri" w:cs="Calibri"/>
          <w:i/>
          <w:color w:val="000000" w:themeColor="text1"/>
          <w:sz w:val="24"/>
          <w:szCs w:val="24"/>
        </w:rPr>
        <w:t xml:space="preserve"> – Úroky </w:t>
      </w:r>
      <w:r w:rsidR="0076509D" w:rsidRPr="00E76F52">
        <w:rPr>
          <w:rFonts w:ascii="Calibri" w:hAnsi="Calibri" w:cs="Calibri"/>
          <w:color w:val="000000" w:themeColor="text1"/>
          <w:sz w:val="24"/>
          <w:szCs w:val="24"/>
        </w:rPr>
        <w:t>a podhodnotilo zůstatek účtu</w:t>
      </w:r>
      <w:r w:rsidR="0076509D" w:rsidRPr="00E76F52">
        <w:rPr>
          <w:rFonts w:ascii="Calibri" w:hAnsi="Calibri" w:cs="Calibri"/>
          <w:i/>
          <w:color w:val="000000" w:themeColor="text1"/>
          <w:sz w:val="24"/>
          <w:szCs w:val="24"/>
        </w:rPr>
        <w:t xml:space="preserve"> </w:t>
      </w:r>
      <w:r w:rsidR="0076509D" w:rsidRPr="000A469B">
        <w:rPr>
          <w:rFonts w:ascii="Calibri" w:hAnsi="Calibri" w:cs="Calibri"/>
          <w:color w:val="000000" w:themeColor="text1"/>
          <w:sz w:val="24"/>
          <w:szCs w:val="24"/>
        </w:rPr>
        <w:t>671</w:t>
      </w:r>
      <w:r w:rsidR="0076509D" w:rsidRPr="00E76F52">
        <w:rPr>
          <w:rFonts w:ascii="Calibri" w:hAnsi="Calibri" w:cs="Calibri"/>
          <w:i/>
          <w:color w:val="000000" w:themeColor="text1"/>
          <w:sz w:val="24"/>
          <w:szCs w:val="24"/>
        </w:rPr>
        <w:t xml:space="preserve"> – Výnosy vybraných ústředních vládních institucí z transferů </w:t>
      </w:r>
      <w:r w:rsidR="0076509D" w:rsidRPr="00E76F52">
        <w:rPr>
          <w:rFonts w:ascii="Calibri" w:hAnsi="Calibri" w:cs="Calibri"/>
          <w:color w:val="000000" w:themeColor="text1"/>
          <w:sz w:val="24"/>
          <w:szCs w:val="24"/>
        </w:rPr>
        <w:t>o 7</w:t>
      </w:r>
      <w:r w:rsidR="007405FC" w:rsidRPr="00E76F52">
        <w:rPr>
          <w:rFonts w:ascii="Calibri" w:hAnsi="Calibri" w:cs="Calibri"/>
          <w:color w:val="000000" w:themeColor="text1"/>
          <w:sz w:val="24"/>
          <w:szCs w:val="24"/>
        </w:rPr>
        <w:t xml:space="preserve"> </w:t>
      </w:r>
      <w:r w:rsidR="0076509D" w:rsidRPr="00E76F52">
        <w:rPr>
          <w:rFonts w:ascii="Calibri" w:hAnsi="Calibri" w:cs="Calibri"/>
          <w:color w:val="000000" w:themeColor="text1"/>
          <w:sz w:val="24"/>
          <w:szCs w:val="24"/>
        </w:rPr>
        <w:t>561</w:t>
      </w:r>
      <w:r w:rsidR="007405FC" w:rsidRPr="00E76F52">
        <w:rPr>
          <w:rFonts w:ascii="Calibri" w:hAnsi="Calibri" w:cs="Calibri"/>
          <w:color w:val="000000" w:themeColor="text1"/>
          <w:sz w:val="24"/>
          <w:szCs w:val="24"/>
        </w:rPr>
        <w:t xml:space="preserve"> </w:t>
      </w:r>
      <w:r w:rsidR="0076509D" w:rsidRPr="00E76F52">
        <w:rPr>
          <w:rFonts w:ascii="Calibri" w:hAnsi="Calibri" w:cs="Calibri"/>
          <w:color w:val="000000" w:themeColor="text1"/>
          <w:sz w:val="24"/>
          <w:szCs w:val="24"/>
        </w:rPr>
        <w:t>697,89 Kč.</w:t>
      </w:r>
    </w:p>
    <w:p w:rsidR="007F494E" w:rsidRPr="00E76F52" w:rsidRDefault="007F494E" w:rsidP="00E76F52">
      <w:pPr>
        <w:spacing w:after="0" w:line="240" w:lineRule="auto"/>
        <w:jc w:val="both"/>
        <w:rPr>
          <w:rFonts w:ascii="Calibri" w:hAnsi="Calibri" w:cs="Calibri"/>
          <w:color w:val="000000" w:themeColor="text1"/>
          <w:sz w:val="24"/>
          <w:szCs w:val="24"/>
        </w:rPr>
      </w:pPr>
    </w:p>
    <w:p w:rsidR="00BB3460" w:rsidRPr="00E76F52" w:rsidRDefault="00BB3460"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Podrozvahové účty</w:t>
      </w:r>
    </w:p>
    <w:p w:rsidR="007F494E" w:rsidRDefault="007F494E" w:rsidP="00E76F52">
      <w:pPr>
        <w:spacing w:after="0" w:line="240" w:lineRule="auto"/>
        <w:jc w:val="both"/>
        <w:rPr>
          <w:rFonts w:ascii="Calibri" w:hAnsi="Calibri" w:cs="Calibri"/>
          <w:color w:val="000000" w:themeColor="text1"/>
          <w:sz w:val="24"/>
          <w:szCs w:val="24"/>
        </w:rPr>
      </w:pPr>
    </w:p>
    <w:p w:rsidR="00ED3937" w:rsidRDefault="0090097B"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MŽP na podrozvahových účtech k 31. prosinci 2013 vykázalo podmíněné závazky ze soudních sporů. Některé takto vykázané skutečnosti však k 31. prosinci 2013 nebyly předmětem soudního ani jiného řízení.</w:t>
      </w:r>
      <w:r w:rsidR="00AF58EE">
        <w:rPr>
          <w:rFonts w:ascii="Calibri" w:hAnsi="Calibri" w:cs="Calibri"/>
          <w:color w:val="000000" w:themeColor="text1"/>
          <w:sz w:val="24"/>
          <w:szCs w:val="24"/>
        </w:rPr>
        <w:t xml:space="preserve"> </w:t>
      </w:r>
      <w:r w:rsidR="00C311E1"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C311E1" w:rsidRPr="00E76F52">
        <w:rPr>
          <w:rFonts w:ascii="Calibri" w:hAnsi="Calibri" w:cs="Calibri"/>
          <w:color w:val="000000" w:themeColor="text1"/>
          <w:sz w:val="24"/>
          <w:szCs w:val="24"/>
        </w:rPr>
        <w:t xml:space="preserve">důsledku </w:t>
      </w:r>
      <w:r w:rsidR="00EE735C" w:rsidRPr="00E76F52">
        <w:rPr>
          <w:rFonts w:ascii="Calibri" w:hAnsi="Calibri" w:cs="Calibri"/>
          <w:color w:val="000000" w:themeColor="text1"/>
          <w:sz w:val="24"/>
          <w:szCs w:val="24"/>
        </w:rPr>
        <w:t>toho</w:t>
      </w:r>
      <w:r w:rsidR="00C311E1" w:rsidRPr="00E76F52">
        <w:rPr>
          <w:rFonts w:ascii="Calibri" w:hAnsi="Calibri" w:cs="Calibri"/>
          <w:color w:val="000000" w:themeColor="text1"/>
          <w:sz w:val="24"/>
          <w:szCs w:val="24"/>
        </w:rPr>
        <w:t xml:space="preserve"> MŽP v</w:t>
      </w:r>
      <w:r w:rsidR="007405FC" w:rsidRPr="00E76F52">
        <w:rPr>
          <w:rFonts w:ascii="Calibri" w:hAnsi="Calibri" w:cs="Calibri"/>
          <w:color w:val="000000" w:themeColor="text1"/>
          <w:sz w:val="24"/>
          <w:szCs w:val="24"/>
        </w:rPr>
        <w:t xml:space="preserve"> </w:t>
      </w:r>
      <w:r w:rsidR="00C311E1" w:rsidRPr="00E76F52">
        <w:rPr>
          <w:rFonts w:ascii="Calibri" w:hAnsi="Calibri" w:cs="Calibri"/>
          <w:color w:val="000000" w:themeColor="text1"/>
          <w:sz w:val="24"/>
          <w:szCs w:val="24"/>
        </w:rPr>
        <w:t xml:space="preserve">příloze ÚZ </w:t>
      </w:r>
      <w:r w:rsidR="00674445" w:rsidRPr="00E76F52">
        <w:rPr>
          <w:rFonts w:ascii="Calibri" w:hAnsi="Calibri" w:cs="Calibri"/>
          <w:color w:val="000000" w:themeColor="text1"/>
          <w:sz w:val="24"/>
          <w:szCs w:val="24"/>
        </w:rPr>
        <w:t>nadhodnotilo zůstatek účtu</w:t>
      </w:r>
      <w:r w:rsidR="00674445" w:rsidRPr="00E76F52">
        <w:rPr>
          <w:rFonts w:ascii="Calibri" w:hAnsi="Calibri" w:cs="Calibri"/>
          <w:b/>
          <w:color w:val="000000" w:themeColor="text1"/>
          <w:sz w:val="24"/>
          <w:szCs w:val="24"/>
        </w:rPr>
        <w:t xml:space="preserve"> </w:t>
      </w:r>
      <w:r w:rsidR="00674445" w:rsidRPr="00E76F52">
        <w:rPr>
          <w:rFonts w:ascii="Calibri" w:hAnsi="Calibri" w:cs="Calibri"/>
          <w:color w:val="000000" w:themeColor="text1"/>
          <w:sz w:val="24"/>
          <w:szCs w:val="24"/>
        </w:rPr>
        <w:t>984</w:t>
      </w:r>
      <w:r w:rsidR="00AF58EE">
        <w:rPr>
          <w:rFonts w:ascii="Calibri" w:hAnsi="Calibri" w:cs="Calibri"/>
          <w:color w:val="000000" w:themeColor="text1"/>
          <w:sz w:val="24"/>
          <w:szCs w:val="24"/>
        </w:rPr>
        <w:t> </w:t>
      </w:r>
      <w:r w:rsidR="00674445" w:rsidRPr="00E76F52">
        <w:rPr>
          <w:rFonts w:ascii="Calibri" w:hAnsi="Calibri" w:cs="Calibri"/>
          <w:color w:val="000000" w:themeColor="text1"/>
          <w:sz w:val="24"/>
          <w:szCs w:val="24"/>
        </w:rPr>
        <w:t xml:space="preserve">– </w:t>
      </w:r>
      <w:r w:rsidR="00674445" w:rsidRPr="000A469B">
        <w:rPr>
          <w:rFonts w:ascii="Calibri" w:hAnsi="Calibri" w:cs="Calibri"/>
          <w:i/>
          <w:color w:val="000000" w:themeColor="text1"/>
          <w:sz w:val="24"/>
          <w:szCs w:val="24"/>
        </w:rPr>
        <w:t>Dlouhodobé podmíněné</w:t>
      </w:r>
      <w:r w:rsidR="00674445" w:rsidRPr="00FC4655">
        <w:rPr>
          <w:rFonts w:ascii="Calibri" w:hAnsi="Calibri" w:cs="Calibri"/>
          <w:i/>
          <w:color w:val="000000" w:themeColor="text1"/>
          <w:sz w:val="24"/>
          <w:szCs w:val="24"/>
        </w:rPr>
        <w:t xml:space="preserve"> </w:t>
      </w:r>
      <w:r w:rsidR="00674445" w:rsidRPr="00E76F52">
        <w:rPr>
          <w:rFonts w:ascii="Calibri" w:hAnsi="Calibri" w:cs="Calibri"/>
          <w:i/>
          <w:color w:val="000000" w:themeColor="text1"/>
          <w:sz w:val="24"/>
          <w:szCs w:val="24"/>
        </w:rPr>
        <w:t xml:space="preserve">závazky ze soudních sporů, správních řízení a jiných řízení </w:t>
      </w:r>
      <w:r w:rsidR="00E2193F" w:rsidRPr="00E76F52">
        <w:rPr>
          <w:rFonts w:ascii="Calibri" w:hAnsi="Calibri" w:cs="Calibri"/>
          <w:color w:val="000000" w:themeColor="text1"/>
          <w:sz w:val="24"/>
          <w:szCs w:val="24"/>
        </w:rPr>
        <w:t>o </w:t>
      </w:r>
      <w:r w:rsidR="00E61980" w:rsidRPr="00E76F52">
        <w:rPr>
          <w:rFonts w:ascii="Calibri" w:hAnsi="Calibri" w:cs="Calibri"/>
          <w:color w:val="000000" w:themeColor="text1"/>
          <w:sz w:val="24"/>
          <w:szCs w:val="24"/>
        </w:rPr>
        <w:t>822 898 Kč</w:t>
      </w:r>
      <w:r w:rsidR="00674445" w:rsidRPr="00E76F52">
        <w:rPr>
          <w:rFonts w:ascii="Calibri" w:hAnsi="Calibri" w:cs="Calibri"/>
          <w:color w:val="000000" w:themeColor="text1"/>
          <w:sz w:val="24"/>
          <w:szCs w:val="24"/>
        </w:rPr>
        <w:t xml:space="preserve">, </w:t>
      </w:r>
      <w:r w:rsidR="00E61980" w:rsidRPr="00E76F52">
        <w:rPr>
          <w:rFonts w:ascii="Calibri" w:hAnsi="Calibri" w:cs="Calibri"/>
          <w:color w:val="000000" w:themeColor="text1"/>
          <w:sz w:val="24"/>
          <w:szCs w:val="24"/>
        </w:rPr>
        <w:t xml:space="preserve">nadhodnotilo </w:t>
      </w:r>
      <w:r w:rsidR="00674445" w:rsidRPr="00E76F52">
        <w:rPr>
          <w:rFonts w:ascii="Calibri" w:hAnsi="Calibri" w:cs="Calibri"/>
          <w:color w:val="000000" w:themeColor="text1"/>
          <w:sz w:val="24"/>
          <w:szCs w:val="24"/>
        </w:rPr>
        <w:t xml:space="preserve">zůstatek účtu </w:t>
      </w:r>
      <w:r w:rsidR="00674445" w:rsidRPr="000A469B">
        <w:rPr>
          <w:rFonts w:ascii="Calibri" w:hAnsi="Calibri" w:cs="Calibri"/>
          <w:color w:val="000000" w:themeColor="text1"/>
          <w:sz w:val="24"/>
          <w:szCs w:val="24"/>
        </w:rPr>
        <w:t>983</w:t>
      </w:r>
      <w:r w:rsidR="00674445" w:rsidRPr="00E76F52">
        <w:rPr>
          <w:rFonts w:ascii="Calibri" w:hAnsi="Calibri" w:cs="Calibri"/>
          <w:i/>
          <w:color w:val="000000" w:themeColor="text1"/>
          <w:sz w:val="24"/>
          <w:szCs w:val="24"/>
        </w:rPr>
        <w:t xml:space="preserve"> – Krátkodobé podmíněné závazky ze soudních sporů, správních řízení a jiných řízení</w:t>
      </w:r>
      <w:r w:rsidR="00674445" w:rsidRPr="00E76F52">
        <w:rPr>
          <w:rFonts w:ascii="Calibri" w:hAnsi="Calibri" w:cs="Calibri"/>
          <w:color w:val="000000" w:themeColor="text1"/>
          <w:sz w:val="24"/>
          <w:szCs w:val="24"/>
        </w:rPr>
        <w:t xml:space="preserve"> o</w:t>
      </w:r>
      <w:r w:rsidR="00AD68E7" w:rsidRPr="00E76F52">
        <w:rPr>
          <w:rFonts w:ascii="Calibri" w:hAnsi="Calibri" w:cs="Calibri"/>
          <w:color w:val="000000" w:themeColor="text1"/>
          <w:sz w:val="24"/>
          <w:szCs w:val="24"/>
        </w:rPr>
        <w:t> </w:t>
      </w:r>
      <w:r w:rsidR="00674445" w:rsidRPr="00E76F52">
        <w:rPr>
          <w:rFonts w:ascii="Calibri" w:hAnsi="Calibri" w:cs="Calibri"/>
          <w:color w:val="000000" w:themeColor="text1"/>
          <w:sz w:val="24"/>
          <w:szCs w:val="24"/>
        </w:rPr>
        <w:t>12</w:t>
      </w:r>
      <w:r w:rsidR="00AD68E7" w:rsidRPr="00E76F52">
        <w:rPr>
          <w:rFonts w:ascii="Calibri" w:hAnsi="Calibri" w:cs="Calibri"/>
          <w:color w:val="000000" w:themeColor="text1"/>
          <w:sz w:val="24"/>
          <w:szCs w:val="24"/>
        </w:rPr>
        <w:t> </w:t>
      </w:r>
      <w:r w:rsidR="00674445" w:rsidRPr="00E76F52">
        <w:rPr>
          <w:rFonts w:ascii="Calibri" w:hAnsi="Calibri" w:cs="Calibri"/>
          <w:color w:val="000000" w:themeColor="text1"/>
          <w:sz w:val="24"/>
          <w:szCs w:val="24"/>
        </w:rPr>
        <w:t>781</w:t>
      </w:r>
      <w:r w:rsidR="00AD68E7" w:rsidRPr="00E76F52">
        <w:rPr>
          <w:rFonts w:ascii="Calibri" w:hAnsi="Calibri" w:cs="Calibri"/>
          <w:color w:val="000000" w:themeColor="text1"/>
          <w:sz w:val="24"/>
          <w:szCs w:val="24"/>
        </w:rPr>
        <w:t> </w:t>
      </w:r>
      <w:r w:rsidR="00674445" w:rsidRPr="00E76F52">
        <w:rPr>
          <w:rFonts w:ascii="Calibri" w:hAnsi="Calibri" w:cs="Calibri"/>
          <w:color w:val="000000" w:themeColor="text1"/>
          <w:sz w:val="24"/>
          <w:szCs w:val="24"/>
        </w:rPr>
        <w:t xml:space="preserve">092,40 Kč </w:t>
      </w:r>
      <w:r w:rsidR="00E61980" w:rsidRPr="00E76F52">
        <w:rPr>
          <w:rFonts w:ascii="Calibri" w:hAnsi="Calibri" w:cs="Calibri"/>
          <w:color w:val="000000" w:themeColor="text1"/>
          <w:sz w:val="24"/>
          <w:szCs w:val="24"/>
        </w:rPr>
        <w:t xml:space="preserve">a </w:t>
      </w:r>
      <w:r w:rsidR="00674445" w:rsidRPr="00E76F52">
        <w:rPr>
          <w:rFonts w:ascii="Calibri" w:hAnsi="Calibri" w:cs="Calibri"/>
          <w:color w:val="000000" w:themeColor="text1"/>
          <w:sz w:val="24"/>
          <w:szCs w:val="24"/>
        </w:rPr>
        <w:t xml:space="preserve">podhodnotilo zůstatek účtu </w:t>
      </w:r>
      <w:r w:rsidR="00712B65">
        <w:rPr>
          <w:rFonts w:ascii="Calibri" w:hAnsi="Calibri" w:cs="Calibri"/>
          <w:color w:val="000000" w:themeColor="text1"/>
          <w:sz w:val="24"/>
          <w:szCs w:val="24"/>
        </w:rPr>
        <w:br/>
      </w:r>
      <w:r w:rsidR="00674445" w:rsidRPr="000A469B">
        <w:rPr>
          <w:rFonts w:ascii="Calibri" w:hAnsi="Calibri" w:cs="Calibri"/>
          <w:color w:val="000000" w:themeColor="text1"/>
          <w:sz w:val="24"/>
          <w:szCs w:val="24"/>
        </w:rPr>
        <w:t>999</w:t>
      </w:r>
      <w:r w:rsidR="00AF58EE">
        <w:rPr>
          <w:rFonts w:ascii="Calibri" w:hAnsi="Calibri" w:cs="Calibri"/>
          <w:i/>
          <w:color w:val="000000" w:themeColor="text1"/>
          <w:sz w:val="24"/>
          <w:szCs w:val="24"/>
        </w:rPr>
        <w:t> </w:t>
      </w:r>
      <w:r w:rsidR="00674445" w:rsidRPr="00E76F52">
        <w:rPr>
          <w:rFonts w:ascii="Calibri" w:hAnsi="Calibri" w:cs="Calibri"/>
          <w:i/>
          <w:color w:val="000000" w:themeColor="text1"/>
          <w:sz w:val="24"/>
          <w:szCs w:val="24"/>
        </w:rPr>
        <w:t>– Vyrovnávací účet k podrozvahovým účtům</w:t>
      </w:r>
      <w:r w:rsidR="00674445" w:rsidRPr="00E76F52">
        <w:rPr>
          <w:rFonts w:ascii="Calibri" w:hAnsi="Calibri" w:cs="Calibri"/>
          <w:color w:val="000000" w:themeColor="text1"/>
          <w:sz w:val="24"/>
          <w:szCs w:val="24"/>
        </w:rPr>
        <w:t xml:space="preserve"> o částku 13 603 990,40 Kč.</w:t>
      </w:r>
      <w:r w:rsidR="00C311E1" w:rsidRPr="00E76F52">
        <w:rPr>
          <w:rFonts w:ascii="Calibri" w:hAnsi="Calibri" w:cs="Calibri"/>
          <w:color w:val="000000" w:themeColor="text1"/>
          <w:sz w:val="24"/>
          <w:szCs w:val="24"/>
        </w:rPr>
        <w:t xml:space="preserve"> </w:t>
      </w:r>
    </w:p>
    <w:p w:rsidR="007F494E" w:rsidRPr="00E76F52" w:rsidRDefault="007F494E" w:rsidP="00E76F52">
      <w:pPr>
        <w:spacing w:after="0" w:line="240" w:lineRule="auto"/>
        <w:jc w:val="both"/>
        <w:rPr>
          <w:rFonts w:ascii="Calibri" w:hAnsi="Calibri" w:cs="Calibri"/>
          <w:color w:val="000000" w:themeColor="text1"/>
          <w:sz w:val="24"/>
          <w:szCs w:val="24"/>
        </w:rPr>
      </w:pPr>
    </w:p>
    <w:p w:rsidR="007A073C" w:rsidRDefault="006F18E2"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MŽP na podrozvahovém účtu </w:t>
      </w:r>
      <w:r w:rsidR="007139AE" w:rsidRPr="000A469B">
        <w:rPr>
          <w:rFonts w:ascii="Calibri" w:hAnsi="Calibri" w:cs="Calibri"/>
          <w:color w:val="000000" w:themeColor="text1"/>
          <w:sz w:val="24"/>
          <w:szCs w:val="24"/>
        </w:rPr>
        <w:t>974</w:t>
      </w:r>
      <w:r w:rsidR="007139AE" w:rsidRPr="00E76F52">
        <w:rPr>
          <w:rFonts w:ascii="Calibri" w:hAnsi="Calibri" w:cs="Calibri"/>
          <w:i/>
          <w:color w:val="000000" w:themeColor="text1"/>
          <w:sz w:val="24"/>
          <w:szCs w:val="24"/>
        </w:rPr>
        <w:t> – </w:t>
      </w:r>
      <w:r w:rsidRPr="00E76F52">
        <w:rPr>
          <w:rFonts w:ascii="Calibri" w:hAnsi="Calibri" w:cs="Calibri"/>
          <w:i/>
          <w:color w:val="000000" w:themeColor="text1"/>
          <w:sz w:val="24"/>
          <w:szCs w:val="24"/>
        </w:rPr>
        <w:t>Dlouhodobé podmíněné závazky z jiných smluv</w:t>
      </w:r>
      <w:r w:rsidRPr="00E76F52">
        <w:rPr>
          <w:rFonts w:ascii="Calibri" w:hAnsi="Calibri" w:cs="Calibri"/>
          <w:color w:val="000000" w:themeColor="text1"/>
          <w:sz w:val="24"/>
          <w:szCs w:val="24"/>
        </w:rPr>
        <w:t xml:space="preserve"> nesprávně vykázalo podmíněný závazek z titulu smlouvy o pořízení dlouhodobého nehmotného majetku, který svou povahou odpovídal obsahovému vymezení účtu </w:t>
      </w:r>
      <w:r w:rsidR="00A477E7">
        <w:rPr>
          <w:rFonts w:ascii="Calibri" w:hAnsi="Calibri" w:cs="Calibri"/>
          <w:color w:val="000000" w:themeColor="text1"/>
          <w:sz w:val="24"/>
          <w:szCs w:val="24"/>
        </w:rPr>
        <w:br/>
      </w:r>
      <w:r w:rsidRPr="000A469B">
        <w:rPr>
          <w:rFonts w:ascii="Calibri" w:hAnsi="Calibri" w:cs="Calibri"/>
          <w:color w:val="000000" w:themeColor="text1"/>
          <w:sz w:val="24"/>
          <w:szCs w:val="24"/>
        </w:rPr>
        <w:t>972</w:t>
      </w:r>
      <w:r w:rsidR="009E492D">
        <w:rPr>
          <w:rFonts w:ascii="Calibri" w:hAnsi="Calibri" w:cs="Calibri"/>
          <w:i/>
          <w:color w:val="000000" w:themeColor="text1"/>
          <w:sz w:val="24"/>
          <w:szCs w:val="24"/>
        </w:rPr>
        <w:t> </w:t>
      </w:r>
      <w:r w:rsidRPr="00E76F52">
        <w:rPr>
          <w:rFonts w:ascii="Calibri" w:hAnsi="Calibri" w:cs="Calibri"/>
          <w:i/>
          <w:color w:val="000000" w:themeColor="text1"/>
          <w:sz w:val="24"/>
          <w:szCs w:val="24"/>
        </w:rPr>
        <w:t>– Dlouhodobé podmíněné závazky ze smluv o pořízení dlouhodobého majetku.</w:t>
      </w:r>
      <w:r w:rsidRPr="00E76F52">
        <w:rPr>
          <w:rFonts w:ascii="Calibri" w:hAnsi="Calibri" w:cs="Calibri"/>
          <w:color w:val="000000" w:themeColor="text1"/>
          <w:sz w:val="24"/>
          <w:szCs w:val="24"/>
        </w:rPr>
        <w:t xml:space="preserve"> MŽP tento podmíněný závazek vykázalo navíc i v nesprávné výši 72 262 410 Kč, neboť celková cena </w:t>
      </w:r>
      <w:r w:rsidR="00FC4655">
        <w:rPr>
          <w:rFonts w:ascii="Calibri" w:hAnsi="Calibri" w:cs="Calibri"/>
          <w:color w:val="000000" w:themeColor="text1"/>
          <w:sz w:val="24"/>
          <w:szCs w:val="24"/>
        </w:rPr>
        <w:t>pořizovaného</w:t>
      </w:r>
      <w:r w:rsidRPr="00E76F52">
        <w:rPr>
          <w:rFonts w:ascii="Calibri" w:hAnsi="Calibri" w:cs="Calibri"/>
          <w:color w:val="000000" w:themeColor="text1"/>
          <w:sz w:val="24"/>
          <w:szCs w:val="24"/>
        </w:rPr>
        <w:t xml:space="preserve"> majetku ve smlouvě byla uvedena ve výši 54 112 410 Kč.</w:t>
      </w:r>
      <w:r w:rsidR="00444C87" w:rsidRPr="00E76F52">
        <w:rPr>
          <w:rFonts w:ascii="Calibri" w:hAnsi="Calibri" w:cs="Calibri"/>
          <w:color w:val="000000" w:themeColor="text1"/>
          <w:sz w:val="24"/>
          <w:szCs w:val="24"/>
        </w:rPr>
        <w:t xml:space="preserve"> </w:t>
      </w:r>
      <w:r w:rsidR="00DD0ECF" w:rsidRPr="00E76F52">
        <w:rPr>
          <w:rFonts w:ascii="Calibri" w:hAnsi="Calibri" w:cs="Calibri"/>
          <w:color w:val="000000" w:themeColor="text1"/>
          <w:sz w:val="24"/>
          <w:szCs w:val="24"/>
        </w:rPr>
        <w:t>V</w:t>
      </w:r>
      <w:r w:rsidR="00FC4655">
        <w:rPr>
          <w:rFonts w:ascii="Calibri" w:hAnsi="Calibri" w:cs="Calibri"/>
          <w:color w:val="000000" w:themeColor="text1"/>
          <w:sz w:val="24"/>
          <w:szCs w:val="24"/>
        </w:rPr>
        <w:t> </w:t>
      </w:r>
      <w:r w:rsidR="00DD0ECF" w:rsidRPr="00E76F52">
        <w:rPr>
          <w:rFonts w:ascii="Calibri" w:hAnsi="Calibri" w:cs="Calibri"/>
          <w:color w:val="000000" w:themeColor="text1"/>
          <w:sz w:val="24"/>
          <w:szCs w:val="24"/>
        </w:rPr>
        <w:t xml:space="preserve">důsledku </w:t>
      </w:r>
      <w:r w:rsidR="00014D9A" w:rsidRPr="00E76F52">
        <w:rPr>
          <w:rFonts w:ascii="Calibri" w:hAnsi="Calibri" w:cs="Calibri"/>
          <w:color w:val="000000" w:themeColor="text1"/>
          <w:sz w:val="24"/>
          <w:szCs w:val="24"/>
        </w:rPr>
        <w:t xml:space="preserve">této </w:t>
      </w:r>
      <w:r w:rsidR="00DD0ECF" w:rsidRPr="00E76F52">
        <w:rPr>
          <w:rFonts w:ascii="Calibri" w:hAnsi="Calibri" w:cs="Calibri"/>
          <w:color w:val="000000" w:themeColor="text1"/>
          <w:sz w:val="24"/>
          <w:szCs w:val="24"/>
        </w:rPr>
        <w:t>skutečnosti MŽP v</w:t>
      </w:r>
      <w:r w:rsidR="007405FC" w:rsidRPr="00E76F52">
        <w:rPr>
          <w:rFonts w:ascii="Calibri" w:hAnsi="Calibri" w:cs="Calibri"/>
          <w:color w:val="000000" w:themeColor="text1"/>
          <w:sz w:val="24"/>
          <w:szCs w:val="24"/>
        </w:rPr>
        <w:t xml:space="preserve"> </w:t>
      </w:r>
      <w:r w:rsidR="00DD0ECF" w:rsidRPr="00E76F52">
        <w:rPr>
          <w:rFonts w:ascii="Calibri" w:hAnsi="Calibri" w:cs="Calibri"/>
          <w:color w:val="000000" w:themeColor="text1"/>
          <w:sz w:val="24"/>
          <w:szCs w:val="24"/>
        </w:rPr>
        <w:t xml:space="preserve">příloze ÚZ nadhodnotilo účet </w:t>
      </w:r>
      <w:r w:rsidR="00DD0ECF" w:rsidRPr="000A469B">
        <w:rPr>
          <w:rFonts w:ascii="Calibri" w:hAnsi="Calibri" w:cs="Calibri"/>
          <w:color w:val="000000" w:themeColor="text1"/>
          <w:sz w:val="24"/>
          <w:szCs w:val="24"/>
        </w:rPr>
        <w:t>974</w:t>
      </w:r>
      <w:r w:rsidR="00DD0ECF" w:rsidRPr="00E76F52">
        <w:rPr>
          <w:rFonts w:ascii="Calibri" w:hAnsi="Calibri" w:cs="Calibri"/>
          <w:i/>
          <w:color w:val="000000" w:themeColor="text1"/>
          <w:sz w:val="24"/>
          <w:szCs w:val="24"/>
        </w:rPr>
        <w:t xml:space="preserve"> – </w:t>
      </w:r>
      <w:r w:rsidR="007139AE" w:rsidRPr="00E76F52">
        <w:rPr>
          <w:rFonts w:ascii="Calibri" w:hAnsi="Calibri" w:cs="Calibri"/>
          <w:i/>
          <w:color w:val="000000" w:themeColor="text1"/>
          <w:sz w:val="24"/>
          <w:szCs w:val="24"/>
        </w:rPr>
        <w:t>Dlouhodobé podmíněné závazky z </w:t>
      </w:r>
      <w:r w:rsidR="00DD0ECF" w:rsidRPr="00E76F52">
        <w:rPr>
          <w:rFonts w:ascii="Calibri" w:hAnsi="Calibri" w:cs="Calibri"/>
          <w:i/>
          <w:color w:val="000000" w:themeColor="text1"/>
          <w:sz w:val="24"/>
          <w:szCs w:val="24"/>
        </w:rPr>
        <w:t>jiných smluv</w:t>
      </w:r>
      <w:r w:rsidR="00DD0ECF" w:rsidRPr="00E76F52">
        <w:rPr>
          <w:rFonts w:ascii="Calibri" w:hAnsi="Calibri" w:cs="Calibri"/>
          <w:color w:val="000000" w:themeColor="text1"/>
          <w:sz w:val="24"/>
          <w:szCs w:val="24"/>
        </w:rPr>
        <w:t xml:space="preserve"> o </w:t>
      </w:r>
      <w:r w:rsidR="00E86BA2" w:rsidRPr="00E76F52">
        <w:rPr>
          <w:rFonts w:ascii="Calibri" w:hAnsi="Calibri" w:cs="Calibri"/>
          <w:color w:val="000000" w:themeColor="text1"/>
          <w:sz w:val="24"/>
          <w:szCs w:val="24"/>
        </w:rPr>
        <w:t>72</w:t>
      </w:r>
      <w:r w:rsidR="007405FC" w:rsidRPr="00E76F52">
        <w:rPr>
          <w:rFonts w:ascii="Calibri" w:hAnsi="Calibri" w:cs="Calibri"/>
          <w:color w:val="000000" w:themeColor="text1"/>
          <w:sz w:val="24"/>
          <w:szCs w:val="24"/>
        </w:rPr>
        <w:t xml:space="preserve"> </w:t>
      </w:r>
      <w:r w:rsidR="00E86BA2" w:rsidRPr="00E76F52">
        <w:rPr>
          <w:rFonts w:ascii="Calibri" w:hAnsi="Calibri" w:cs="Calibri"/>
          <w:color w:val="000000" w:themeColor="text1"/>
          <w:sz w:val="24"/>
          <w:szCs w:val="24"/>
        </w:rPr>
        <w:t>262 410</w:t>
      </w:r>
      <w:r w:rsidR="00DD0ECF" w:rsidRPr="00E76F52">
        <w:rPr>
          <w:rFonts w:ascii="Calibri" w:hAnsi="Calibri" w:cs="Calibri"/>
          <w:color w:val="000000" w:themeColor="text1"/>
          <w:sz w:val="24"/>
          <w:szCs w:val="24"/>
        </w:rPr>
        <w:t xml:space="preserve"> Kč,</w:t>
      </w:r>
      <w:r w:rsidR="00E86BA2" w:rsidRPr="00E76F52">
        <w:rPr>
          <w:rFonts w:ascii="Calibri" w:hAnsi="Calibri" w:cs="Calibri"/>
          <w:color w:val="000000" w:themeColor="text1"/>
          <w:sz w:val="24"/>
          <w:szCs w:val="24"/>
        </w:rPr>
        <w:t xml:space="preserve"> podhodnotilo účet </w:t>
      </w:r>
      <w:r w:rsidR="00E86BA2" w:rsidRPr="000A469B">
        <w:rPr>
          <w:rFonts w:ascii="Calibri" w:hAnsi="Calibri" w:cs="Calibri"/>
          <w:color w:val="000000" w:themeColor="text1"/>
          <w:sz w:val="24"/>
          <w:szCs w:val="24"/>
        </w:rPr>
        <w:t>972</w:t>
      </w:r>
      <w:r w:rsidR="00E86BA2" w:rsidRPr="00E76F52">
        <w:rPr>
          <w:rFonts w:ascii="Calibri" w:hAnsi="Calibri" w:cs="Calibri"/>
          <w:i/>
          <w:color w:val="000000" w:themeColor="text1"/>
          <w:sz w:val="24"/>
          <w:szCs w:val="24"/>
        </w:rPr>
        <w:t xml:space="preserve"> – Dlouhodobé podmíněné závazky ze </w:t>
      </w:r>
      <w:r w:rsidR="00E86BA2" w:rsidRPr="00E76F52">
        <w:rPr>
          <w:rFonts w:ascii="Calibri" w:hAnsi="Calibri" w:cs="Calibri"/>
          <w:i/>
          <w:color w:val="000000" w:themeColor="text1"/>
          <w:sz w:val="24"/>
          <w:szCs w:val="24"/>
        </w:rPr>
        <w:lastRenderedPageBreak/>
        <w:t>smluv o pořízení dlouhodobého majetku</w:t>
      </w:r>
      <w:r w:rsidR="00E86BA2" w:rsidRPr="00E76F52">
        <w:rPr>
          <w:rFonts w:ascii="Calibri" w:hAnsi="Calibri" w:cs="Calibri"/>
          <w:color w:val="000000" w:themeColor="text1"/>
          <w:sz w:val="24"/>
          <w:szCs w:val="24"/>
        </w:rPr>
        <w:t xml:space="preserve"> o částku 54</w:t>
      </w:r>
      <w:r w:rsidR="007405FC" w:rsidRPr="00E76F52">
        <w:rPr>
          <w:rFonts w:ascii="Calibri" w:hAnsi="Calibri" w:cs="Calibri"/>
          <w:color w:val="000000" w:themeColor="text1"/>
          <w:sz w:val="24"/>
          <w:szCs w:val="24"/>
        </w:rPr>
        <w:t xml:space="preserve"> </w:t>
      </w:r>
      <w:r w:rsidR="00E86BA2" w:rsidRPr="00E76F52">
        <w:rPr>
          <w:rFonts w:ascii="Calibri" w:hAnsi="Calibri" w:cs="Calibri"/>
          <w:color w:val="000000" w:themeColor="text1"/>
          <w:sz w:val="24"/>
          <w:szCs w:val="24"/>
        </w:rPr>
        <w:t>112</w:t>
      </w:r>
      <w:r w:rsidR="007405FC" w:rsidRPr="00E76F52">
        <w:rPr>
          <w:rFonts w:ascii="Calibri" w:hAnsi="Calibri" w:cs="Calibri"/>
          <w:color w:val="000000" w:themeColor="text1"/>
          <w:sz w:val="24"/>
          <w:szCs w:val="24"/>
        </w:rPr>
        <w:t xml:space="preserve"> </w:t>
      </w:r>
      <w:r w:rsidR="00E86BA2" w:rsidRPr="00E76F52">
        <w:rPr>
          <w:rFonts w:ascii="Calibri" w:hAnsi="Calibri" w:cs="Calibri"/>
          <w:color w:val="000000" w:themeColor="text1"/>
          <w:sz w:val="24"/>
          <w:szCs w:val="24"/>
        </w:rPr>
        <w:t>410 Kč</w:t>
      </w:r>
      <w:r w:rsidR="00E47BB2" w:rsidRPr="00E76F52">
        <w:rPr>
          <w:rFonts w:ascii="Calibri" w:hAnsi="Calibri" w:cs="Calibri"/>
          <w:color w:val="000000" w:themeColor="text1"/>
          <w:sz w:val="24"/>
          <w:szCs w:val="24"/>
        </w:rPr>
        <w:t>,</w:t>
      </w:r>
      <w:r w:rsidR="00E86BA2" w:rsidRPr="00E76F52">
        <w:rPr>
          <w:rFonts w:ascii="Calibri" w:hAnsi="Calibri" w:cs="Calibri"/>
          <w:color w:val="000000" w:themeColor="text1"/>
          <w:sz w:val="24"/>
          <w:szCs w:val="24"/>
        </w:rPr>
        <w:t xml:space="preserve"> a</w:t>
      </w:r>
      <w:r w:rsidR="00014D9A" w:rsidRPr="00E76F52">
        <w:rPr>
          <w:rFonts w:ascii="Calibri" w:hAnsi="Calibri" w:cs="Calibri"/>
          <w:color w:val="000000" w:themeColor="text1"/>
          <w:sz w:val="24"/>
          <w:szCs w:val="24"/>
        </w:rPr>
        <w:t xml:space="preserve"> tím </w:t>
      </w:r>
      <w:r w:rsidR="003F7DF3" w:rsidRPr="00E76F52">
        <w:rPr>
          <w:rFonts w:ascii="Calibri" w:hAnsi="Calibri" w:cs="Calibri"/>
          <w:color w:val="000000" w:themeColor="text1"/>
          <w:sz w:val="24"/>
          <w:szCs w:val="24"/>
        </w:rPr>
        <w:t>výsledně</w:t>
      </w:r>
      <w:r w:rsidR="00E86BA2" w:rsidRPr="00E76F52">
        <w:rPr>
          <w:rFonts w:ascii="Calibri" w:hAnsi="Calibri" w:cs="Calibri"/>
          <w:color w:val="000000" w:themeColor="text1"/>
          <w:sz w:val="24"/>
          <w:szCs w:val="24"/>
        </w:rPr>
        <w:t xml:space="preserve"> </w:t>
      </w:r>
      <w:r w:rsidR="00DD0ECF" w:rsidRPr="00E76F52">
        <w:rPr>
          <w:rFonts w:ascii="Calibri" w:hAnsi="Calibri" w:cs="Calibri"/>
          <w:color w:val="000000" w:themeColor="text1"/>
          <w:sz w:val="24"/>
          <w:szCs w:val="24"/>
        </w:rPr>
        <w:t xml:space="preserve">podhodnotilo účet </w:t>
      </w:r>
      <w:r w:rsidR="00DD0ECF" w:rsidRPr="000A469B">
        <w:rPr>
          <w:rFonts w:ascii="Calibri" w:hAnsi="Calibri" w:cs="Calibri"/>
          <w:color w:val="000000" w:themeColor="text1"/>
          <w:sz w:val="24"/>
          <w:szCs w:val="24"/>
        </w:rPr>
        <w:t>999</w:t>
      </w:r>
      <w:r w:rsidR="00DD0ECF" w:rsidRPr="00E76F52">
        <w:rPr>
          <w:rFonts w:ascii="Calibri" w:hAnsi="Calibri" w:cs="Calibri"/>
          <w:i/>
          <w:color w:val="000000" w:themeColor="text1"/>
          <w:sz w:val="24"/>
          <w:szCs w:val="24"/>
        </w:rPr>
        <w:t xml:space="preserve"> – Vyrovnávací </w:t>
      </w:r>
      <w:r w:rsidR="00FC4655">
        <w:rPr>
          <w:rFonts w:ascii="Calibri" w:hAnsi="Calibri" w:cs="Calibri"/>
          <w:i/>
          <w:color w:val="000000" w:themeColor="text1"/>
          <w:sz w:val="24"/>
          <w:szCs w:val="24"/>
        </w:rPr>
        <w:t>účet</w:t>
      </w:r>
      <w:r w:rsidR="00DD0ECF" w:rsidRPr="00E76F52">
        <w:rPr>
          <w:rFonts w:ascii="Calibri" w:hAnsi="Calibri" w:cs="Calibri"/>
          <w:i/>
          <w:color w:val="000000" w:themeColor="text1"/>
          <w:sz w:val="24"/>
          <w:szCs w:val="24"/>
        </w:rPr>
        <w:t xml:space="preserve"> k podrozvahovým účtům</w:t>
      </w:r>
      <w:r w:rsidR="00DD0ECF" w:rsidRPr="00E76F52">
        <w:rPr>
          <w:rFonts w:ascii="Calibri" w:hAnsi="Calibri" w:cs="Calibri"/>
          <w:color w:val="000000" w:themeColor="text1"/>
          <w:sz w:val="24"/>
          <w:szCs w:val="24"/>
        </w:rPr>
        <w:t xml:space="preserve"> o částku 18</w:t>
      </w:r>
      <w:r w:rsidR="00FC4655">
        <w:rPr>
          <w:rFonts w:ascii="Calibri" w:hAnsi="Calibri" w:cs="Calibri"/>
          <w:color w:val="000000" w:themeColor="text1"/>
          <w:sz w:val="24"/>
          <w:szCs w:val="24"/>
        </w:rPr>
        <w:t> </w:t>
      </w:r>
      <w:r w:rsidR="00DD0ECF" w:rsidRPr="00E76F52">
        <w:rPr>
          <w:rFonts w:ascii="Calibri" w:hAnsi="Calibri" w:cs="Calibri"/>
          <w:color w:val="000000" w:themeColor="text1"/>
          <w:sz w:val="24"/>
          <w:szCs w:val="24"/>
        </w:rPr>
        <w:t>150</w:t>
      </w:r>
      <w:r w:rsidR="00FC4655">
        <w:rPr>
          <w:rFonts w:ascii="Calibri" w:hAnsi="Calibri" w:cs="Calibri"/>
          <w:color w:val="000000" w:themeColor="text1"/>
          <w:sz w:val="24"/>
          <w:szCs w:val="24"/>
        </w:rPr>
        <w:t> </w:t>
      </w:r>
      <w:r w:rsidR="00DD0ECF" w:rsidRPr="00E76F52">
        <w:rPr>
          <w:rFonts w:ascii="Calibri" w:hAnsi="Calibri" w:cs="Calibri"/>
          <w:color w:val="000000" w:themeColor="text1"/>
          <w:sz w:val="24"/>
          <w:szCs w:val="24"/>
        </w:rPr>
        <w:t>000 Kč.</w:t>
      </w:r>
    </w:p>
    <w:p w:rsidR="007F494E" w:rsidRPr="00E76F52" w:rsidRDefault="007F494E" w:rsidP="00E76F52">
      <w:pPr>
        <w:spacing w:after="0" w:line="240" w:lineRule="auto"/>
        <w:jc w:val="both"/>
        <w:rPr>
          <w:rFonts w:ascii="Calibri" w:hAnsi="Calibri" w:cs="Calibri"/>
          <w:color w:val="000000" w:themeColor="text1"/>
          <w:sz w:val="24"/>
          <w:szCs w:val="24"/>
        </w:rPr>
      </w:pPr>
    </w:p>
    <w:p w:rsidR="0070055A" w:rsidRPr="00E76F52" w:rsidRDefault="0070055A"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Přehled o peněžních tocích</w:t>
      </w:r>
      <w:r w:rsidR="007A073C" w:rsidRPr="00E76F52">
        <w:rPr>
          <w:rFonts w:ascii="Calibri" w:hAnsi="Calibri" w:cs="Calibri"/>
          <w:b/>
          <w:i/>
          <w:color w:val="000000" w:themeColor="text1"/>
          <w:sz w:val="24"/>
          <w:szCs w:val="24"/>
        </w:rPr>
        <w:t xml:space="preserve"> </w:t>
      </w:r>
    </w:p>
    <w:p w:rsidR="007F494E" w:rsidRDefault="007F494E" w:rsidP="00E76F52">
      <w:pPr>
        <w:spacing w:after="0" w:line="240" w:lineRule="auto"/>
        <w:jc w:val="both"/>
        <w:rPr>
          <w:rFonts w:ascii="Calibri" w:hAnsi="Calibri" w:cs="Calibri"/>
          <w:color w:val="000000" w:themeColor="text1"/>
          <w:sz w:val="24"/>
          <w:szCs w:val="24"/>
        </w:rPr>
      </w:pPr>
    </w:p>
    <w:p w:rsidR="0070055A" w:rsidRDefault="0070055A"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MŽP nenaplnilo některé položky </w:t>
      </w:r>
      <w:r w:rsidR="00AF58EE">
        <w:rPr>
          <w:rFonts w:ascii="Calibri" w:hAnsi="Calibri" w:cs="Calibri"/>
          <w:color w:val="000000" w:themeColor="text1"/>
          <w:sz w:val="24"/>
          <w:szCs w:val="24"/>
        </w:rPr>
        <w:t>p</w:t>
      </w:r>
      <w:r w:rsidRPr="00E76F52">
        <w:rPr>
          <w:rFonts w:ascii="Calibri" w:hAnsi="Calibri" w:cs="Calibri"/>
          <w:color w:val="000000" w:themeColor="text1"/>
          <w:sz w:val="24"/>
          <w:szCs w:val="24"/>
        </w:rPr>
        <w:t xml:space="preserve">řehledu o peněžních tocích k 31. </w:t>
      </w:r>
      <w:r w:rsidR="00695091" w:rsidRPr="00E76F52">
        <w:rPr>
          <w:rFonts w:ascii="Calibri" w:hAnsi="Calibri" w:cs="Calibri"/>
          <w:color w:val="000000" w:themeColor="text1"/>
          <w:sz w:val="24"/>
          <w:szCs w:val="24"/>
        </w:rPr>
        <w:t>prosinci</w:t>
      </w:r>
      <w:r w:rsidRPr="00E76F52">
        <w:rPr>
          <w:rFonts w:ascii="Calibri" w:hAnsi="Calibri" w:cs="Calibri"/>
          <w:color w:val="000000" w:themeColor="text1"/>
          <w:sz w:val="24"/>
          <w:szCs w:val="24"/>
        </w:rPr>
        <w:t xml:space="preserve"> 2013 v souladu s</w:t>
      </w:r>
      <w:r w:rsidR="00AD68E7" w:rsidRPr="00E76F52">
        <w:rPr>
          <w:rFonts w:ascii="Calibri" w:hAnsi="Calibri" w:cs="Calibri"/>
          <w:color w:val="000000" w:themeColor="text1"/>
          <w:sz w:val="24"/>
          <w:szCs w:val="24"/>
        </w:rPr>
        <w:t> </w:t>
      </w:r>
      <w:r w:rsidRPr="00E76F52">
        <w:rPr>
          <w:rFonts w:ascii="Calibri" w:hAnsi="Calibri" w:cs="Calibri"/>
          <w:color w:val="000000" w:themeColor="text1"/>
          <w:sz w:val="24"/>
          <w:szCs w:val="24"/>
        </w:rPr>
        <w:t xml:space="preserve">§ 43 vyhlášky č. 410/2009 Sb. </w:t>
      </w:r>
    </w:p>
    <w:p w:rsidR="007F494E" w:rsidRPr="00E76F52" w:rsidRDefault="007F494E" w:rsidP="00E76F52">
      <w:pPr>
        <w:spacing w:after="0" w:line="240" w:lineRule="auto"/>
        <w:jc w:val="both"/>
        <w:rPr>
          <w:rFonts w:ascii="Calibri" w:hAnsi="Calibri" w:cs="Calibri"/>
          <w:color w:val="000000" w:themeColor="text1"/>
          <w:sz w:val="24"/>
          <w:szCs w:val="24"/>
        </w:rPr>
      </w:pPr>
    </w:p>
    <w:p w:rsidR="002B2C62" w:rsidRDefault="0070055A" w:rsidP="00E76F52">
      <w:pPr>
        <w:spacing w:after="0" w:line="240" w:lineRule="auto"/>
        <w:jc w:val="both"/>
        <w:rPr>
          <w:rFonts w:ascii="Calibri" w:eastAsia="Times New Roman" w:hAnsi="Calibri" w:cs="Calibri"/>
          <w:color w:val="000000" w:themeColor="text1"/>
          <w:sz w:val="24"/>
          <w:szCs w:val="24"/>
        </w:rPr>
      </w:pPr>
      <w:r w:rsidRPr="00E76F52">
        <w:rPr>
          <w:rFonts w:ascii="Calibri" w:hAnsi="Calibri" w:cs="Calibri"/>
          <w:color w:val="000000" w:themeColor="text1"/>
          <w:sz w:val="24"/>
          <w:szCs w:val="24"/>
        </w:rPr>
        <w:t xml:space="preserve">MŽP podhodnotilo položku </w:t>
      </w:r>
      <w:r w:rsidRPr="00E76F52">
        <w:rPr>
          <w:rFonts w:ascii="Calibri" w:hAnsi="Calibri" w:cs="Calibri"/>
          <w:i/>
          <w:color w:val="000000" w:themeColor="text1"/>
          <w:sz w:val="24"/>
          <w:szCs w:val="24"/>
        </w:rPr>
        <w:t>P. Stav peněžních prostředků k 1. lednu</w:t>
      </w:r>
      <w:r w:rsidRPr="00E76F52">
        <w:rPr>
          <w:rFonts w:ascii="Calibri" w:hAnsi="Calibri" w:cs="Calibri"/>
          <w:color w:val="000000" w:themeColor="text1"/>
          <w:sz w:val="24"/>
          <w:szCs w:val="24"/>
        </w:rPr>
        <w:t xml:space="preserve"> o částku 2</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000</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000 Kč a</w:t>
      </w:r>
      <w:r w:rsidR="00AD68E7" w:rsidRPr="00E76F52">
        <w:rPr>
          <w:rFonts w:ascii="Calibri" w:hAnsi="Calibri" w:cs="Calibri"/>
          <w:color w:val="000000" w:themeColor="text1"/>
          <w:sz w:val="24"/>
          <w:szCs w:val="24"/>
        </w:rPr>
        <w:t> </w:t>
      </w:r>
      <w:r w:rsidRPr="00E76F52">
        <w:rPr>
          <w:rFonts w:ascii="Calibri" w:hAnsi="Calibri" w:cs="Calibri"/>
          <w:color w:val="000000" w:themeColor="text1"/>
          <w:sz w:val="24"/>
          <w:szCs w:val="24"/>
        </w:rPr>
        <w:t>v</w:t>
      </w:r>
      <w:r w:rsidR="00352119" w:rsidRPr="00E76F52">
        <w:rPr>
          <w:rFonts w:ascii="Calibri" w:hAnsi="Calibri" w:cs="Calibri"/>
          <w:color w:val="000000" w:themeColor="text1"/>
          <w:sz w:val="24"/>
          <w:szCs w:val="24"/>
        </w:rPr>
        <w:t> </w:t>
      </w:r>
      <w:r w:rsidRPr="00E76F52">
        <w:rPr>
          <w:rFonts w:ascii="Calibri" w:hAnsi="Calibri" w:cs="Calibri"/>
          <w:color w:val="000000" w:themeColor="text1"/>
          <w:sz w:val="24"/>
          <w:szCs w:val="24"/>
        </w:rPr>
        <w:t>položce</w:t>
      </w:r>
      <w:r w:rsidR="00352119" w:rsidRPr="00E76F52">
        <w:rPr>
          <w:rFonts w:ascii="Calibri" w:hAnsi="Calibri" w:cs="Calibri"/>
          <w:color w:val="000000" w:themeColor="text1"/>
          <w:sz w:val="24"/>
          <w:szCs w:val="24"/>
        </w:rPr>
        <w:t xml:space="preserve"> </w:t>
      </w:r>
      <w:r w:rsidRPr="00E76F52">
        <w:rPr>
          <w:rFonts w:ascii="Calibri" w:hAnsi="Calibri" w:cs="Calibri"/>
          <w:i/>
          <w:color w:val="000000" w:themeColor="text1"/>
          <w:sz w:val="24"/>
          <w:szCs w:val="24"/>
        </w:rPr>
        <w:t>H. Příjmové a výdajové účty rozpočtového hospodaření</w:t>
      </w:r>
      <w:r w:rsidRPr="00E76F52">
        <w:rPr>
          <w:rFonts w:ascii="Calibri" w:hAnsi="Calibri" w:cs="Calibri"/>
          <w:color w:val="000000" w:themeColor="text1"/>
          <w:sz w:val="24"/>
          <w:szCs w:val="24"/>
        </w:rPr>
        <w:t xml:space="preserve"> vykázalo </w:t>
      </w:r>
      <w:r w:rsidR="00FC4655">
        <w:rPr>
          <w:rFonts w:ascii="Calibri" w:hAnsi="Calibri" w:cs="Calibri"/>
          <w:color w:val="000000" w:themeColor="text1"/>
          <w:sz w:val="24"/>
          <w:szCs w:val="24"/>
        </w:rPr>
        <w:t xml:space="preserve">plusovou </w:t>
      </w:r>
      <w:r w:rsidRPr="00E76F52">
        <w:rPr>
          <w:rFonts w:ascii="Calibri" w:hAnsi="Calibri" w:cs="Calibri"/>
          <w:color w:val="000000" w:themeColor="text1"/>
          <w:sz w:val="24"/>
          <w:szCs w:val="24"/>
        </w:rPr>
        <w:t>částku</w:t>
      </w:r>
      <w:r w:rsidR="007A2C1B"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3 210</w:t>
      </w:r>
      <w:r w:rsidR="00FC4655">
        <w:rPr>
          <w:rFonts w:ascii="Calibri" w:hAnsi="Calibri" w:cs="Calibri"/>
          <w:color w:val="000000" w:themeColor="text1"/>
          <w:sz w:val="24"/>
          <w:szCs w:val="24"/>
        </w:rPr>
        <w:t> </w:t>
      </w:r>
      <w:r w:rsidRPr="00E76F52">
        <w:rPr>
          <w:rFonts w:ascii="Calibri" w:hAnsi="Calibri" w:cs="Calibri"/>
          <w:color w:val="000000" w:themeColor="text1"/>
          <w:sz w:val="24"/>
          <w:szCs w:val="24"/>
        </w:rPr>
        <w:t>009</w:t>
      </w:r>
      <w:r w:rsidR="00FC4655">
        <w:rPr>
          <w:rFonts w:ascii="Calibri" w:hAnsi="Calibri" w:cs="Calibri"/>
          <w:color w:val="000000" w:themeColor="text1"/>
          <w:sz w:val="24"/>
          <w:szCs w:val="24"/>
        </w:rPr>
        <w:t> </w:t>
      </w:r>
      <w:r w:rsidRPr="00E76F52">
        <w:rPr>
          <w:rFonts w:ascii="Calibri" w:hAnsi="Calibri" w:cs="Calibri"/>
          <w:color w:val="000000" w:themeColor="text1"/>
          <w:sz w:val="24"/>
          <w:szCs w:val="24"/>
        </w:rPr>
        <w:t>728,42</w:t>
      </w:r>
      <w:r w:rsidR="00FC4655">
        <w:rPr>
          <w:rFonts w:ascii="Calibri" w:hAnsi="Calibri" w:cs="Calibri"/>
          <w:color w:val="000000" w:themeColor="text1"/>
          <w:sz w:val="24"/>
          <w:szCs w:val="24"/>
        </w:rPr>
        <w:t> </w:t>
      </w:r>
      <w:r w:rsidRPr="00E76F52">
        <w:rPr>
          <w:rFonts w:ascii="Calibri" w:hAnsi="Calibri" w:cs="Calibri"/>
          <w:color w:val="000000" w:themeColor="text1"/>
          <w:sz w:val="24"/>
          <w:szCs w:val="24"/>
        </w:rPr>
        <w:t xml:space="preserve">Kč </w:t>
      </w:r>
      <w:r w:rsidR="007A2C1B" w:rsidRPr="00E76F52">
        <w:rPr>
          <w:rFonts w:ascii="Calibri" w:hAnsi="Calibri" w:cs="Calibri"/>
          <w:color w:val="000000" w:themeColor="text1"/>
          <w:sz w:val="24"/>
          <w:szCs w:val="24"/>
        </w:rPr>
        <w:t>namísto záporné výš</w:t>
      </w:r>
      <w:r w:rsidR="001E519C" w:rsidRPr="00E76F52">
        <w:rPr>
          <w:rFonts w:ascii="Calibri" w:hAnsi="Calibri" w:cs="Calibri"/>
          <w:color w:val="000000" w:themeColor="text1"/>
          <w:sz w:val="24"/>
          <w:szCs w:val="24"/>
        </w:rPr>
        <w:t>e</w:t>
      </w:r>
      <w:r w:rsidR="007A2C1B" w:rsidRPr="00E76F52">
        <w:rPr>
          <w:rFonts w:ascii="Calibri" w:hAnsi="Calibri" w:cs="Calibri"/>
          <w:color w:val="000000" w:themeColor="text1"/>
          <w:sz w:val="24"/>
          <w:szCs w:val="24"/>
        </w:rPr>
        <w:t xml:space="preserve"> této hodnoty</w:t>
      </w:r>
      <w:r w:rsidRPr="00E76F52">
        <w:rPr>
          <w:rFonts w:ascii="Calibri" w:hAnsi="Calibri" w:cs="Calibri"/>
          <w:color w:val="000000" w:themeColor="text1"/>
          <w:sz w:val="24"/>
          <w:szCs w:val="24"/>
        </w:rPr>
        <w:t xml:space="preserve">. </w:t>
      </w:r>
      <w:r w:rsidR="00D1121C" w:rsidRPr="00E76F52">
        <w:rPr>
          <w:rFonts w:ascii="Calibri" w:eastAsia="Times New Roman" w:hAnsi="Calibri" w:cs="Calibri"/>
          <w:color w:val="000000" w:themeColor="text1"/>
          <w:sz w:val="24"/>
          <w:szCs w:val="24"/>
        </w:rPr>
        <w:t xml:space="preserve">Nesprávnosti </w:t>
      </w:r>
      <w:r w:rsidR="0038151A" w:rsidRPr="00E76F52">
        <w:rPr>
          <w:rFonts w:ascii="Calibri" w:eastAsia="Times New Roman" w:hAnsi="Calibri" w:cs="Calibri"/>
          <w:color w:val="000000" w:themeColor="text1"/>
          <w:sz w:val="24"/>
          <w:szCs w:val="24"/>
        </w:rPr>
        <w:t xml:space="preserve">na těchto položkách </w:t>
      </w:r>
      <w:proofErr w:type="gramStart"/>
      <w:r w:rsidR="00D1121C" w:rsidRPr="00E76F52">
        <w:rPr>
          <w:rFonts w:ascii="Calibri" w:eastAsia="Times New Roman" w:hAnsi="Calibri" w:cs="Calibri"/>
          <w:color w:val="000000" w:themeColor="text1"/>
          <w:sz w:val="24"/>
          <w:szCs w:val="24"/>
        </w:rPr>
        <w:t>ovlivnily</w:t>
      </w:r>
      <w:proofErr w:type="gramEnd"/>
      <w:r w:rsidR="00D1121C" w:rsidRPr="00E76F52">
        <w:rPr>
          <w:rFonts w:ascii="Calibri" w:eastAsia="Times New Roman" w:hAnsi="Calibri" w:cs="Calibri"/>
          <w:color w:val="000000" w:themeColor="text1"/>
          <w:sz w:val="24"/>
          <w:szCs w:val="24"/>
        </w:rPr>
        <w:t xml:space="preserve"> hodnotu na položce </w:t>
      </w:r>
      <w:r w:rsidR="00D1121C" w:rsidRPr="00E76F52">
        <w:rPr>
          <w:rFonts w:ascii="Calibri" w:eastAsia="Times New Roman" w:hAnsi="Calibri" w:cs="Calibri"/>
          <w:i/>
          <w:color w:val="000000" w:themeColor="text1"/>
          <w:sz w:val="24"/>
          <w:szCs w:val="24"/>
        </w:rPr>
        <w:t>F. Celková změna stavu peněžních prostředků</w:t>
      </w:r>
      <w:r w:rsidR="00D1121C" w:rsidRPr="00E76F52">
        <w:rPr>
          <w:rFonts w:ascii="Calibri" w:eastAsia="Times New Roman" w:hAnsi="Calibri" w:cs="Calibri"/>
          <w:color w:val="000000" w:themeColor="text1"/>
          <w:sz w:val="24"/>
          <w:szCs w:val="24"/>
        </w:rPr>
        <w:t xml:space="preserve"> </w:t>
      </w:r>
      <w:r w:rsidR="00D1121C" w:rsidRPr="00B02A1B">
        <w:rPr>
          <w:rFonts w:ascii="Calibri" w:eastAsia="Times New Roman" w:hAnsi="Calibri" w:cs="Calibri"/>
          <w:color w:val="000000" w:themeColor="text1"/>
          <w:sz w:val="24"/>
          <w:szCs w:val="24"/>
        </w:rPr>
        <w:t>k</w:t>
      </w:r>
      <w:r w:rsidR="00FC4655" w:rsidRPr="00B02A1B">
        <w:rPr>
          <w:rFonts w:ascii="Calibri" w:eastAsia="Times New Roman" w:hAnsi="Calibri" w:cs="Calibri"/>
          <w:color w:val="000000" w:themeColor="text1"/>
          <w:sz w:val="24"/>
          <w:szCs w:val="24"/>
        </w:rPr>
        <w:t> </w:t>
      </w:r>
      <w:r w:rsidR="00D1121C" w:rsidRPr="00B02A1B">
        <w:rPr>
          <w:rFonts w:ascii="Calibri" w:eastAsia="Times New Roman" w:hAnsi="Calibri" w:cs="Calibri"/>
          <w:color w:val="000000" w:themeColor="text1"/>
          <w:sz w:val="24"/>
          <w:szCs w:val="24"/>
        </w:rPr>
        <w:t>31.</w:t>
      </w:r>
      <w:r w:rsidR="00FC4655" w:rsidRPr="00B02A1B">
        <w:rPr>
          <w:rFonts w:ascii="Calibri" w:eastAsia="Times New Roman" w:hAnsi="Calibri" w:cs="Calibri"/>
          <w:color w:val="000000" w:themeColor="text1"/>
          <w:sz w:val="24"/>
          <w:szCs w:val="24"/>
        </w:rPr>
        <w:t> </w:t>
      </w:r>
      <w:r w:rsidR="00D1121C" w:rsidRPr="00B02A1B">
        <w:rPr>
          <w:rFonts w:ascii="Calibri" w:eastAsia="Times New Roman" w:hAnsi="Calibri" w:cs="Calibri"/>
          <w:color w:val="000000" w:themeColor="text1"/>
          <w:sz w:val="24"/>
          <w:szCs w:val="24"/>
        </w:rPr>
        <w:t>12. 2013</w:t>
      </w:r>
      <w:r w:rsidR="001F7729" w:rsidRPr="00E76F52">
        <w:rPr>
          <w:rFonts w:ascii="Calibri" w:eastAsia="Times New Roman" w:hAnsi="Calibri" w:cs="Calibri"/>
          <w:color w:val="000000" w:themeColor="text1"/>
          <w:sz w:val="24"/>
          <w:szCs w:val="24"/>
        </w:rPr>
        <w:t>.</w:t>
      </w:r>
      <w:r w:rsidR="00D1121C" w:rsidRPr="00E76F52">
        <w:rPr>
          <w:rFonts w:ascii="Calibri" w:eastAsia="Times New Roman" w:hAnsi="Calibri" w:cs="Calibri"/>
          <w:color w:val="000000" w:themeColor="text1"/>
          <w:sz w:val="24"/>
          <w:szCs w:val="24"/>
        </w:rPr>
        <w:t xml:space="preserve"> Z logické konstrukce přehledu o peněžních tocích vyplývá, že dosazením </w:t>
      </w:r>
      <w:r w:rsidR="0038151A" w:rsidRPr="00E76F52">
        <w:rPr>
          <w:rFonts w:ascii="Calibri" w:eastAsia="Times New Roman" w:hAnsi="Calibri" w:cs="Calibri"/>
          <w:color w:val="000000" w:themeColor="text1"/>
          <w:sz w:val="24"/>
          <w:szCs w:val="24"/>
        </w:rPr>
        <w:t>správných</w:t>
      </w:r>
      <w:r w:rsidR="00D1121C" w:rsidRPr="00E76F52">
        <w:rPr>
          <w:rFonts w:ascii="Calibri" w:eastAsia="Times New Roman" w:hAnsi="Calibri" w:cs="Calibri"/>
          <w:color w:val="000000" w:themeColor="text1"/>
          <w:sz w:val="24"/>
          <w:szCs w:val="24"/>
        </w:rPr>
        <w:t xml:space="preserve"> hodnot do položek </w:t>
      </w:r>
      <w:r w:rsidR="00D1121C" w:rsidRPr="00E76F52">
        <w:rPr>
          <w:rFonts w:ascii="Calibri" w:eastAsia="Times New Roman" w:hAnsi="Calibri" w:cs="Calibri"/>
          <w:i/>
          <w:color w:val="000000" w:themeColor="text1"/>
          <w:sz w:val="24"/>
          <w:szCs w:val="24"/>
        </w:rPr>
        <w:t>P. Stav peněžních prostředků k</w:t>
      </w:r>
      <w:r w:rsidR="007405FC" w:rsidRPr="00E76F52">
        <w:rPr>
          <w:rFonts w:ascii="Calibri" w:eastAsia="Times New Roman" w:hAnsi="Calibri" w:cs="Calibri"/>
          <w:i/>
          <w:color w:val="000000" w:themeColor="text1"/>
          <w:sz w:val="24"/>
          <w:szCs w:val="24"/>
        </w:rPr>
        <w:t xml:space="preserve"> </w:t>
      </w:r>
      <w:r w:rsidR="00D1121C" w:rsidRPr="00E76F52">
        <w:rPr>
          <w:rFonts w:ascii="Calibri" w:eastAsia="Times New Roman" w:hAnsi="Calibri" w:cs="Calibri"/>
          <w:i/>
          <w:color w:val="000000" w:themeColor="text1"/>
          <w:sz w:val="24"/>
          <w:szCs w:val="24"/>
        </w:rPr>
        <w:t>1. lednu</w:t>
      </w:r>
      <w:r w:rsidR="00D1121C" w:rsidRPr="00E76F52">
        <w:rPr>
          <w:rFonts w:ascii="Calibri" w:eastAsia="Times New Roman" w:hAnsi="Calibri" w:cs="Calibri"/>
          <w:color w:val="000000" w:themeColor="text1"/>
          <w:sz w:val="24"/>
          <w:szCs w:val="24"/>
        </w:rPr>
        <w:t xml:space="preserve"> a </w:t>
      </w:r>
      <w:r w:rsidR="00D1121C" w:rsidRPr="00E76F52">
        <w:rPr>
          <w:rFonts w:ascii="Calibri" w:eastAsia="Times New Roman" w:hAnsi="Calibri" w:cs="Calibri"/>
          <w:i/>
          <w:color w:val="000000" w:themeColor="text1"/>
          <w:sz w:val="24"/>
          <w:szCs w:val="24"/>
        </w:rPr>
        <w:t>H. Příjmové a</w:t>
      </w:r>
      <w:r w:rsidR="00FC4655">
        <w:rPr>
          <w:rFonts w:ascii="Calibri" w:eastAsia="Times New Roman" w:hAnsi="Calibri" w:cs="Calibri"/>
          <w:i/>
          <w:color w:val="000000" w:themeColor="text1"/>
          <w:sz w:val="24"/>
          <w:szCs w:val="24"/>
        </w:rPr>
        <w:t> </w:t>
      </w:r>
      <w:r w:rsidR="00D1121C" w:rsidRPr="00E76F52">
        <w:rPr>
          <w:rFonts w:ascii="Calibri" w:eastAsia="Times New Roman" w:hAnsi="Calibri" w:cs="Calibri"/>
          <w:i/>
          <w:color w:val="000000" w:themeColor="text1"/>
          <w:sz w:val="24"/>
          <w:szCs w:val="24"/>
        </w:rPr>
        <w:t xml:space="preserve">výdajové účty rozpočtového hospodaření </w:t>
      </w:r>
      <w:r w:rsidR="0038151A" w:rsidRPr="00E76F52">
        <w:rPr>
          <w:rFonts w:ascii="Calibri" w:eastAsia="Times New Roman" w:hAnsi="Calibri" w:cs="Calibri"/>
          <w:color w:val="000000" w:themeColor="text1"/>
          <w:sz w:val="24"/>
          <w:szCs w:val="24"/>
        </w:rPr>
        <w:t xml:space="preserve">měla být na položce </w:t>
      </w:r>
      <w:r w:rsidR="0038151A" w:rsidRPr="00E76F52">
        <w:rPr>
          <w:rFonts w:ascii="Calibri" w:eastAsia="Times New Roman" w:hAnsi="Calibri" w:cs="Calibri"/>
          <w:i/>
          <w:color w:val="000000" w:themeColor="text1"/>
          <w:sz w:val="24"/>
          <w:szCs w:val="24"/>
        </w:rPr>
        <w:t>F</w:t>
      </w:r>
      <w:r w:rsidR="0038151A" w:rsidRPr="00E76F52">
        <w:rPr>
          <w:rFonts w:ascii="Calibri" w:eastAsia="Times New Roman" w:hAnsi="Calibri" w:cs="Calibri"/>
          <w:color w:val="000000" w:themeColor="text1"/>
          <w:sz w:val="24"/>
          <w:szCs w:val="24"/>
        </w:rPr>
        <w:t xml:space="preserve">. </w:t>
      </w:r>
      <w:r w:rsidR="0038151A" w:rsidRPr="00E76F52">
        <w:rPr>
          <w:rFonts w:ascii="Calibri" w:eastAsia="Times New Roman" w:hAnsi="Calibri" w:cs="Calibri"/>
          <w:i/>
          <w:color w:val="000000" w:themeColor="text1"/>
          <w:sz w:val="24"/>
          <w:szCs w:val="24"/>
        </w:rPr>
        <w:t>Celková změna</w:t>
      </w:r>
      <w:r w:rsidR="0038151A" w:rsidRPr="00E76F52">
        <w:rPr>
          <w:rFonts w:ascii="Calibri" w:eastAsia="Times New Roman" w:hAnsi="Calibri" w:cs="Calibri"/>
          <w:color w:val="000000" w:themeColor="text1"/>
          <w:sz w:val="24"/>
          <w:szCs w:val="24"/>
        </w:rPr>
        <w:t xml:space="preserve"> </w:t>
      </w:r>
      <w:r w:rsidR="0038151A" w:rsidRPr="00E76F52">
        <w:rPr>
          <w:rFonts w:ascii="Calibri" w:eastAsia="Times New Roman" w:hAnsi="Calibri" w:cs="Calibri"/>
          <w:i/>
          <w:color w:val="000000" w:themeColor="text1"/>
          <w:sz w:val="24"/>
          <w:szCs w:val="24"/>
        </w:rPr>
        <w:t>stavu peněžních prostředků</w:t>
      </w:r>
      <w:r w:rsidR="0038151A" w:rsidRPr="00E76F52">
        <w:rPr>
          <w:rFonts w:ascii="Calibri" w:eastAsia="Times New Roman" w:hAnsi="Calibri" w:cs="Calibri"/>
          <w:color w:val="000000" w:themeColor="text1"/>
          <w:sz w:val="24"/>
          <w:szCs w:val="24"/>
        </w:rPr>
        <w:t xml:space="preserve"> vykázána částka v</w:t>
      </w:r>
      <w:r w:rsidR="007405FC" w:rsidRPr="00E76F52">
        <w:rPr>
          <w:rFonts w:ascii="Calibri" w:eastAsia="Times New Roman" w:hAnsi="Calibri" w:cs="Calibri"/>
          <w:color w:val="000000" w:themeColor="text1"/>
          <w:sz w:val="24"/>
          <w:szCs w:val="24"/>
        </w:rPr>
        <w:t xml:space="preserve"> </w:t>
      </w:r>
      <w:r w:rsidR="007A2C1B" w:rsidRPr="00E76F52">
        <w:rPr>
          <w:rFonts w:ascii="Calibri" w:eastAsia="Times New Roman" w:hAnsi="Calibri" w:cs="Calibri"/>
          <w:color w:val="000000" w:themeColor="text1"/>
          <w:sz w:val="24"/>
          <w:szCs w:val="24"/>
        </w:rPr>
        <w:t>záporné výši</w:t>
      </w:r>
      <w:r w:rsidR="0038151A" w:rsidRPr="00E76F52">
        <w:rPr>
          <w:rFonts w:ascii="Calibri" w:eastAsia="Times New Roman" w:hAnsi="Calibri" w:cs="Calibri"/>
          <w:color w:val="000000" w:themeColor="text1"/>
          <w:sz w:val="24"/>
          <w:szCs w:val="24"/>
        </w:rPr>
        <w:t xml:space="preserve"> 3</w:t>
      </w:r>
      <w:r w:rsidR="007405FC" w:rsidRPr="00E76F52">
        <w:rPr>
          <w:rFonts w:ascii="Calibri" w:eastAsia="Times New Roman" w:hAnsi="Calibri" w:cs="Calibri"/>
          <w:color w:val="000000" w:themeColor="text1"/>
          <w:sz w:val="24"/>
          <w:szCs w:val="24"/>
        </w:rPr>
        <w:t xml:space="preserve"> </w:t>
      </w:r>
      <w:r w:rsidR="0038151A" w:rsidRPr="00E76F52">
        <w:rPr>
          <w:rFonts w:ascii="Calibri" w:eastAsia="Times New Roman" w:hAnsi="Calibri" w:cs="Calibri"/>
          <w:color w:val="000000" w:themeColor="text1"/>
          <w:sz w:val="24"/>
          <w:szCs w:val="24"/>
        </w:rPr>
        <w:t>237</w:t>
      </w:r>
      <w:r w:rsidR="007405FC" w:rsidRPr="00E76F52">
        <w:rPr>
          <w:rFonts w:ascii="Calibri" w:eastAsia="Times New Roman" w:hAnsi="Calibri" w:cs="Calibri"/>
          <w:color w:val="000000" w:themeColor="text1"/>
          <w:sz w:val="24"/>
          <w:szCs w:val="24"/>
        </w:rPr>
        <w:t xml:space="preserve"> </w:t>
      </w:r>
      <w:r w:rsidR="0038151A" w:rsidRPr="00E76F52">
        <w:rPr>
          <w:rFonts w:ascii="Calibri" w:eastAsia="Times New Roman" w:hAnsi="Calibri" w:cs="Calibri"/>
          <w:color w:val="000000" w:themeColor="text1"/>
          <w:sz w:val="24"/>
          <w:szCs w:val="24"/>
        </w:rPr>
        <w:t>885</w:t>
      </w:r>
      <w:r w:rsidR="007405FC" w:rsidRPr="00E76F52">
        <w:rPr>
          <w:rFonts w:ascii="Calibri" w:eastAsia="Times New Roman" w:hAnsi="Calibri" w:cs="Calibri"/>
          <w:color w:val="000000" w:themeColor="text1"/>
          <w:sz w:val="24"/>
          <w:szCs w:val="24"/>
        </w:rPr>
        <w:t xml:space="preserve"> </w:t>
      </w:r>
      <w:r w:rsidR="0038151A" w:rsidRPr="00E76F52">
        <w:rPr>
          <w:rFonts w:ascii="Calibri" w:eastAsia="Times New Roman" w:hAnsi="Calibri" w:cs="Calibri"/>
          <w:color w:val="000000" w:themeColor="text1"/>
          <w:sz w:val="24"/>
          <w:szCs w:val="24"/>
        </w:rPr>
        <w:t xml:space="preserve">986,75 Kč. </w:t>
      </w:r>
      <w:r w:rsidR="00D1121C" w:rsidRPr="00E76F52">
        <w:rPr>
          <w:rFonts w:ascii="Calibri" w:eastAsia="Times New Roman" w:hAnsi="Calibri" w:cs="Calibri"/>
          <w:color w:val="000000" w:themeColor="text1"/>
          <w:sz w:val="24"/>
          <w:szCs w:val="24"/>
        </w:rPr>
        <w:t xml:space="preserve">MŽP </w:t>
      </w:r>
      <w:r w:rsidR="0038151A" w:rsidRPr="00E76F52">
        <w:rPr>
          <w:rFonts w:ascii="Calibri" w:eastAsia="Times New Roman" w:hAnsi="Calibri" w:cs="Calibri"/>
          <w:color w:val="000000" w:themeColor="text1"/>
          <w:sz w:val="24"/>
          <w:szCs w:val="24"/>
        </w:rPr>
        <w:t>na této položce ale vykázalo částku ve výši plus</w:t>
      </w:r>
      <w:r w:rsidR="00D1121C" w:rsidRPr="00E76F52">
        <w:rPr>
          <w:rFonts w:ascii="Calibri" w:eastAsia="Times New Roman" w:hAnsi="Calibri" w:cs="Calibri"/>
          <w:color w:val="000000" w:themeColor="text1"/>
          <w:sz w:val="24"/>
          <w:szCs w:val="24"/>
        </w:rPr>
        <w:t xml:space="preserve"> 3</w:t>
      </w:r>
      <w:r w:rsidR="007405FC" w:rsidRPr="00E76F52">
        <w:rPr>
          <w:rFonts w:ascii="Calibri" w:eastAsia="Times New Roman" w:hAnsi="Calibri" w:cs="Calibri"/>
          <w:color w:val="000000" w:themeColor="text1"/>
          <w:sz w:val="24"/>
          <w:szCs w:val="24"/>
        </w:rPr>
        <w:t xml:space="preserve"> </w:t>
      </w:r>
      <w:r w:rsidR="00D1121C" w:rsidRPr="00E76F52">
        <w:rPr>
          <w:rFonts w:ascii="Calibri" w:eastAsia="Times New Roman" w:hAnsi="Calibri" w:cs="Calibri"/>
          <w:color w:val="000000" w:themeColor="text1"/>
          <w:sz w:val="24"/>
          <w:szCs w:val="24"/>
        </w:rPr>
        <w:t>184</w:t>
      </w:r>
      <w:r w:rsidR="007405FC" w:rsidRPr="00E76F52">
        <w:rPr>
          <w:rFonts w:ascii="Calibri" w:eastAsia="Times New Roman" w:hAnsi="Calibri" w:cs="Calibri"/>
          <w:color w:val="000000" w:themeColor="text1"/>
          <w:sz w:val="24"/>
          <w:szCs w:val="24"/>
        </w:rPr>
        <w:t xml:space="preserve"> </w:t>
      </w:r>
      <w:r w:rsidR="00D1121C" w:rsidRPr="00E76F52">
        <w:rPr>
          <w:rFonts w:ascii="Calibri" w:eastAsia="Times New Roman" w:hAnsi="Calibri" w:cs="Calibri"/>
          <w:color w:val="000000" w:themeColor="text1"/>
          <w:sz w:val="24"/>
          <w:szCs w:val="24"/>
        </w:rPr>
        <w:t>133</w:t>
      </w:r>
      <w:r w:rsidR="007405FC" w:rsidRPr="00E76F52">
        <w:rPr>
          <w:rFonts w:ascii="Calibri" w:eastAsia="Times New Roman" w:hAnsi="Calibri" w:cs="Calibri"/>
          <w:color w:val="000000" w:themeColor="text1"/>
          <w:sz w:val="24"/>
          <w:szCs w:val="24"/>
        </w:rPr>
        <w:t xml:space="preserve"> </w:t>
      </w:r>
      <w:r w:rsidR="00D1121C" w:rsidRPr="00E76F52">
        <w:rPr>
          <w:rFonts w:ascii="Calibri" w:eastAsia="Times New Roman" w:hAnsi="Calibri" w:cs="Calibri"/>
          <w:color w:val="000000" w:themeColor="text1"/>
          <w:sz w:val="24"/>
          <w:szCs w:val="24"/>
        </w:rPr>
        <w:t>470,09 Kč.</w:t>
      </w:r>
      <w:r w:rsidR="002B2C62" w:rsidRPr="007F494E">
        <w:rPr>
          <w:rFonts w:ascii="Calibri" w:eastAsia="Times New Roman" w:hAnsi="Calibri" w:cs="Calibri"/>
          <w:color w:val="000000" w:themeColor="text1"/>
          <w:sz w:val="24"/>
          <w:szCs w:val="24"/>
        </w:rPr>
        <w:t xml:space="preserve"> </w:t>
      </w:r>
    </w:p>
    <w:p w:rsidR="007F494E" w:rsidRPr="007F494E" w:rsidRDefault="007F494E" w:rsidP="00E76F52">
      <w:pPr>
        <w:spacing w:after="0" w:line="240" w:lineRule="auto"/>
        <w:jc w:val="both"/>
        <w:rPr>
          <w:rFonts w:ascii="Calibri" w:hAnsi="Calibri" w:cs="Calibri"/>
          <w:color w:val="000000" w:themeColor="text1"/>
          <w:sz w:val="24"/>
          <w:szCs w:val="24"/>
        </w:rPr>
      </w:pPr>
    </w:p>
    <w:p w:rsidR="0070055A" w:rsidRDefault="0070055A"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Položka </w:t>
      </w:r>
      <w:r w:rsidRPr="00E76F52">
        <w:rPr>
          <w:rFonts w:ascii="Calibri" w:hAnsi="Calibri" w:cs="Calibri"/>
          <w:i/>
          <w:color w:val="000000" w:themeColor="text1"/>
          <w:sz w:val="24"/>
          <w:szCs w:val="24"/>
        </w:rPr>
        <w:t>F</w:t>
      </w:r>
      <w:r w:rsidR="00F77104" w:rsidRPr="00E76F52">
        <w:rPr>
          <w:rFonts w:ascii="Calibri" w:hAnsi="Calibri" w:cs="Calibri"/>
          <w:i/>
          <w:color w:val="000000" w:themeColor="text1"/>
          <w:sz w:val="24"/>
          <w:szCs w:val="24"/>
        </w:rPr>
        <w:t>.</w:t>
      </w:r>
      <w:r w:rsidR="00F77104" w:rsidRPr="00E76F52">
        <w:rPr>
          <w:rFonts w:ascii="Calibri" w:eastAsia="Times New Roman" w:hAnsi="Calibri" w:cs="Calibri"/>
          <w:i/>
          <w:color w:val="000000" w:themeColor="text1"/>
          <w:sz w:val="24"/>
          <w:szCs w:val="24"/>
        </w:rPr>
        <w:t xml:space="preserve"> Celková změna</w:t>
      </w:r>
      <w:r w:rsidR="00F77104" w:rsidRPr="00E76F52">
        <w:rPr>
          <w:rFonts w:ascii="Calibri" w:eastAsia="Times New Roman" w:hAnsi="Calibri" w:cs="Calibri"/>
          <w:color w:val="000000" w:themeColor="text1"/>
          <w:sz w:val="24"/>
          <w:szCs w:val="24"/>
        </w:rPr>
        <w:t xml:space="preserve"> </w:t>
      </w:r>
      <w:r w:rsidR="00F77104" w:rsidRPr="00E76F52">
        <w:rPr>
          <w:rFonts w:ascii="Calibri" w:eastAsia="Times New Roman" w:hAnsi="Calibri" w:cs="Calibri"/>
          <w:i/>
          <w:color w:val="000000" w:themeColor="text1"/>
          <w:sz w:val="24"/>
          <w:szCs w:val="24"/>
        </w:rPr>
        <w:t>stavu peněžních prostředků</w:t>
      </w:r>
      <w:r w:rsidRPr="00E76F52">
        <w:rPr>
          <w:rFonts w:ascii="Calibri" w:hAnsi="Calibri" w:cs="Calibri"/>
          <w:color w:val="000000" w:themeColor="text1"/>
          <w:sz w:val="24"/>
          <w:szCs w:val="24"/>
        </w:rPr>
        <w:t xml:space="preserve"> je dle </w:t>
      </w:r>
      <w:r w:rsidR="008F5D46" w:rsidRPr="00E76F52">
        <w:rPr>
          <w:rFonts w:ascii="Calibri" w:hAnsi="Calibri" w:cs="Calibri"/>
          <w:color w:val="000000" w:themeColor="text1"/>
          <w:sz w:val="24"/>
          <w:szCs w:val="24"/>
        </w:rPr>
        <w:t xml:space="preserve">ustanovení </w:t>
      </w:r>
      <w:r w:rsidRPr="00E76F52">
        <w:rPr>
          <w:rFonts w:ascii="Calibri" w:hAnsi="Calibri" w:cs="Calibri"/>
          <w:color w:val="000000" w:themeColor="text1"/>
          <w:sz w:val="24"/>
          <w:szCs w:val="24"/>
        </w:rPr>
        <w:t xml:space="preserve">§ 43 odst. 7 písm. a) vyhlášky č. 410/2009 Sb. součtem položek </w:t>
      </w:r>
      <w:r w:rsidRPr="00E76F52">
        <w:rPr>
          <w:rFonts w:ascii="Calibri" w:hAnsi="Calibri" w:cs="Calibri"/>
          <w:i/>
          <w:color w:val="000000" w:themeColor="text1"/>
          <w:sz w:val="24"/>
          <w:szCs w:val="24"/>
        </w:rPr>
        <w:t>A.</w:t>
      </w:r>
      <w:r w:rsidR="00896F55" w:rsidRPr="00E76F52">
        <w:rPr>
          <w:rFonts w:ascii="Calibri" w:hAnsi="Calibri" w:cs="Calibri"/>
          <w:i/>
          <w:color w:val="000000" w:themeColor="text1"/>
          <w:sz w:val="24"/>
          <w:szCs w:val="24"/>
        </w:rPr>
        <w:t xml:space="preserve"> Peněžní toky z</w:t>
      </w:r>
      <w:r w:rsidR="007405FC" w:rsidRPr="00E76F52">
        <w:rPr>
          <w:rFonts w:ascii="Calibri" w:hAnsi="Calibri" w:cs="Calibri"/>
          <w:i/>
          <w:color w:val="000000" w:themeColor="text1"/>
          <w:sz w:val="24"/>
          <w:szCs w:val="24"/>
        </w:rPr>
        <w:t xml:space="preserve"> </w:t>
      </w:r>
      <w:r w:rsidR="00896F55" w:rsidRPr="00E76F52">
        <w:rPr>
          <w:rFonts w:ascii="Calibri" w:hAnsi="Calibri" w:cs="Calibri"/>
          <w:i/>
          <w:color w:val="000000" w:themeColor="text1"/>
          <w:sz w:val="24"/>
          <w:szCs w:val="24"/>
        </w:rPr>
        <w:t>provozní činnosti</w:t>
      </w:r>
      <w:r w:rsidRPr="00E76F52">
        <w:rPr>
          <w:rFonts w:ascii="Calibri" w:hAnsi="Calibri" w:cs="Calibri"/>
          <w:color w:val="000000" w:themeColor="text1"/>
          <w:sz w:val="24"/>
          <w:szCs w:val="24"/>
        </w:rPr>
        <w:t xml:space="preserve">, </w:t>
      </w:r>
      <w:r w:rsidRPr="00E76F52">
        <w:rPr>
          <w:rFonts w:ascii="Calibri" w:hAnsi="Calibri" w:cs="Calibri"/>
          <w:i/>
          <w:color w:val="000000" w:themeColor="text1"/>
          <w:sz w:val="24"/>
          <w:szCs w:val="24"/>
        </w:rPr>
        <w:t>B.</w:t>
      </w:r>
      <w:r w:rsidR="00896F55" w:rsidRPr="00E76F52">
        <w:rPr>
          <w:rFonts w:ascii="Calibri" w:hAnsi="Calibri" w:cs="Calibri"/>
          <w:i/>
          <w:color w:val="000000" w:themeColor="text1"/>
          <w:sz w:val="24"/>
          <w:szCs w:val="24"/>
        </w:rPr>
        <w:t xml:space="preserve"> Peněžní toky z</w:t>
      </w:r>
      <w:r w:rsidR="007405FC" w:rsidRPr="00E76F52">
        <w:rPr>
          <w:rFonts w:ascii="Calibri" w:hAnsi="Calibri" w:cs="Calibri"/>
          <w:i/>
          <w:color w:val="000000" w:themeColor="text1"/>
          <w:sz w:val="24"/>
          <w:szCs w:val="24"/>
        </w:rPr>
        <w:t xml:space="preserve"> </w:t>
      </w:r>
      <w:r w:rsidR="00896F55" w:rsidRPr="00E76F52">
        <w:rPr>
          <w:rFonts w:ascii="Calibri" w:hAnsi="Calibri" w:cs="Calibri"/>
          <w:i/>
          <w:color w:val="000000" w:themeColor="text1"/>
          <w:sz w:val="24"/>
          <w:szCs w:val="24"/>
        </w:rPr>
        <w:t>dlouhodobých aktiv</w:t>
      </w:r>
      <w:r w:rsidRPr="00E76F52">
        <w:rPr>
          <w:rFonts w:ascii="Calibri" w:hAnsi="Calibri" w:cs="Calibri"/>
          <w:color w:val="000000" w:themeColor="text1"/>
          <w:sz w:val="24"/>
          <w:szCs w:val="24"/>
        </w:rPr>
        <w:t xml:space="preserve"> a </w:t>
      </w:r>
      <w:r w:rsidRPr="00E76F52">
        <w:rPr>
          <w:rFonts w:ascii="Calibri" w:hAnsi="Calibri" w:cs="Calibri"/>
          <w:i/>
          <w:color w:val="000000" w:themeColor="text1"/>
          <w:sz w:val="24"/>
          <w:szCs w:val="24"/>
        </w:rPr>
        <w:t>C.</w:t>
      </w:r>
      <w:r w:rsidR="00896F55" w:rsidRPr="00E76F52">
        <w:rPr>
          <w:rFonts w:ascii="Calibri" w:hAnsi="Calibri" w:cs="Calibri"/>
          <w:i/>
          <w:color w:val="000000" w:themeColor="text1"/>
          <w:sz w:val="24"/>
          <w:szCs w:val="24"/>
        </w:rPr>
        <w:t xml:space="preserve"> Peněžní toky z vlastního k</w:t>
      </w:r>
      <w:r w:rsidR="004D0407" w:rsidRPr="00E76F52">
        <w:rPr>
          <w:rFonts w:ascii="Calibri" w:hAnsi="Calibri" w:cs="Calibri"/>
          <w:i/>
          <w:color w:val="000000" w:themeColor="text1"/>
          <w:sz w:val="24"/>
          <w:szCs w:val="24"/>
        </w:rPr>
        <w:t>apitálu, dlouhodobých závazků a </w:t>
      </w:r>
      <w:r w:rsidR="00896F55" w:rsidRPr="00E76F52">
        <w:rPr>
          <w:rFonts w:ascii="Calibri" w:hAnsi="Calibri" w:cs="Calibri"/>
          <w:i/>
          <w:color w:val="000000" w:themeColor="text1"/>
          <w:sz w:val="24"/>
          <w:szCs w:val="24"/>
        </w:rPr>
        <w:t>dlouhodobých pohledávek</w:t>
      </w:r>
      <w:r w:rsidR="00AF58EE">
        <w:rPr>
          <w:rFonts w:ascii="Calibri" w:hAnsi="Calibri" w:cs="Calibri"/>
          <w:color w:val="000000" w:themeColor="text1"/>
          <w:sz w:val="24"/>
          <w:szCs w:val="24"/>
        </w:rPr>
        <w:t>,</w:t>
      </w:r>
      <w:r w:rsidRPr="00E76F52">
        <w:rPr>
          <w:rFonts w:ascii="Calibri" w:hAnsi="Calibri" w:cs="Calibri"/>
          <w:color w:val="000000" w:themeColor="text1"/>
          <w:sz w:val="24"/>
          <w:szCs w:val="24"/>
        </w:rPr>
        <w:t xml:space="preserve"> a vyjadřuje</w:t>
      </w:r>
      <w:r w:rsidR="00F77104" w:rsidRPr="00E76F52">
        <w:rPr>
          <w:rFonts w:ascii="Calibri" w:hAnsi="Calibri" w:cs="Calibri"/>
          <w:color w:val="000000" w:themeColor="text1"/>
          <w:sz w:val="24"/>
          <w:szCs w:val="24"/>
        </w:rPr>
        <w:t xml:space="preserve"> </w:t>
      </w:r>
      <w:r w:rsidR="00AF58EE">
        <w:rPr>
          <w:rFonts w:ascii="Calibri" w:hAnsi="Calibri" w:cs="Calibri"/>
          <w:color w:val="000000" w:themeColor="text1"/>
          <w:sz w:val="24"/>
          <w:szCs w:val="24"/>
        </w:rPr>
        <w:t>tedy</w:t>
      </w:r>
      <w:r w:rsidRPr="00E76F52">
        <w:rPr>
          <w:rFonts w:ascii="Calibri" w:hAnsi="Calibri" w:cs="Calibri"/>
          <w:color w:val="000000" w:themeColor="text1"/>
          <w:sz w:val="24"/>
          <w:szCs w:val="24"/>
        </w:rPr>
        <w:t xml:space="preserve"> celkové zvýšení či snížení stavu peněžních prostředků v průběhu běžného účetního období. </w:t>
      </w:r>
    </w:p>
    <w:p w:rsidR="007F494E" w:rsidRPr="00E76F52" w:rsidRDefault="007F494E" w:rsidP="00E76F52">
      <w:pPr>
        <w:spacing w:after="0" w:line="240" w:lineRule="auto"/>
        <w:jc w:val="both"/>
        <w:rPr>
          <w:rFonts w:ascii="Calibri" w:hAnsi="Calibri" w:cs="Calibri"/>
          <w:color w:val="000000" w:themeColor="text1"/>
          <w:sz w:val="24"/>
          <w:szCs w:val="24"/>
        </w:rPr>
      </w:pPr>
    </w:p>
    <w:p w:rsidR="0070055A" w:rsidRPr="00E76F52" w:rsidRDefault="0070055A"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Položka</w:t>
      </w:r>
      <w:r w:rsidRPr="00E76F52">
        <w:rPr>
          <w:rFonts w:ascii="Calibri" w:hAnsi="Calibri" w:cs="Calibri"/>
          <w:i/>
          <w:color w:val="000000" w:themeColor="text1"/>
          <w:sz w:val="24"/>
          <w:szCs w:val="24"/>
        </w:rPr>
        <w:t xml:space="preserve"> F.</w:t>
      </w:r>
      <w:r w:rsidR="00F77104" w:rsidRPr="00E76F52">
        <w:rPr>
          <w:rFonts w:ascii="Calibri" w:eastAsia="Times New Roman" w:hAnsi="Calibri" w:cs="Calibri"/>
          <w:i/>
          <w:color w:val="000000" w:themeColor="text1"/>
          <w:sz w:val="24"/>
          <w:szCs w:val="24"/>
        </w:rPr>
        <w:t xml:space="preserve"> Celková změna</w:t>
      </w:r>
      <w:r w:rsidR="00F77104" w:rsidRPr="00E76F52">
        <w:rPr>
          <w:rFonts w:ascii="Calibri" w:eastAsia="Times New Roman" w:hAnsi="Calibri" w:cs="Calibri"/>
          <w:color w:val="000000" w:themeColor="text1"/>
          <w:sz w:val="24"/>
          <w:szCs w:val="24"/>
        </w:rPr>
        <w:t xml:space="preserve"> </w:t>
      </w:r>
      <w:r w:rsidR="00F77104" w:rsidRPr="00E76F52">
        <w:rPr>
          <w:rFonts w:ascii="Calibri" w:eastAsia="Times New Roman" w:hAnsi="Calibri" w:cs="Calibri"/>
          <w:i/>
          <w:color w:val="000000" w:themeColor="text1"/>
          <w:sz w:val="24"/>
          <w:szCs w:val="24"/>
        </w:rPr>
        <w:t xml:space="preserve">stavu peněžních prostředků </w:t>
      </w:r>
      <w:r w:rsidRPr="00E76F52">
        <w:rPr>
          <w:rFonts w:ascii="Calibri" w:hAnsi="Calibri" w:cs="Calibri"/>
          <w:color w:val="000000" w:themeColor="text1"/>
          <w:sz w:val="24"/>
          <w:szCs w:val="24"/>
        </w:rPr>
        <w:t>zahrnuje</w:t>
      </w:r>
      <w:r w:rsidR="00662502" w:rsidRPr="00E76F52">
        <w:rPr>
          <w:rFonts w:ascii="Calibri" w:hAnsi="Calibri" w:cs="Calibri"/>
          <w:color w:val="000000" w:themeColor="text1"/>
          <w:sz w:val="24"/>
          <w:szCs w:val="24"/>
        </w:rPr>
        <w:t xml:space="preserve"> mimo jiné i</w:t>
      </w:r>
      <w:r w:rsidRPr="00E76F52">
        <w:rPr>
          <w:rFonts w:ascii="Calibri" w:hAnsi="Calibri" w:cs="Calibri"/>
          <w:color w:val="000000" w:themeColor="text1"/>
          <w:sz w:val="24"/>
          <w:szCs w:val="24"/>
        </w:rPr>
        <w:t xml:space="preserve"> položky </w:t>
      </w:r>
      <w:r w:rsidR="004D0407" w:rsidRPr="00E76F52">
        <w:rPr>
          <w:rFonts w:ascii="Calibri" w:hAnsi="Calibri" w:cs="Calibri"/>
          <w:color w:val="000000" w:themeColor="text1"/>
          <w:sz w:val="24"/>
          <w:szCs w:val="24"/>
        </w:rPr>
        <w:br/>
      </w:r>
      <w:proofErr w:type="gramStart"/>
      <w:r w:rsidRPr="00E76F52">
        <w:rPr>
          <w:rFonts w:ascii="Calibri" w:hAnsi="Calibri" w:cs="Calibri"/>
          <w:i/>
          <w:color w:val="000000" w:themeColor="text1"/>
          <w:sz w:val="24"/>
          <w:szCs w:val="24"/>
        </w:rPr>
        <w:t>A.I.4.</w:t>
      </w:r>
      <w:proofErr w:type="gramEnd"/>
      <w:r w:rsidRPr="00E76F52">
        <w:rPr>
          <w:rFonts w:ascii="Calibri" w:hAnsi="Calibri" w:cs="Calibri"/>
          <w:i/>
          <w:color w:val="000000" w:themeColor="text1"/>
          <w:sz w:val="24"/>
          <w:szCs w:val="24"/>
        </w:rPr>
        <w:t xml:space="preserve"> Zisk (ztráta) z prodeje dlouhodobého majetku</w:t>
      </w:r>
      <w:r w:rsidRPr="00E76F52">
        <w:rPr>
          <w:rFonts w:ascii="Calibri" w:hAnsi="Calibri" w:cs="Calibri"/>
          <w:color w:val="000000" w:themeColor="text1"/>
          <w:sz w:val="24"/>
          <w:szCs w:val="24"/>
        </w:rPr>
        <w:t xml:space="preserve">, </w:t>
      </w:r>
      <w:proofErr w:type="gramStart"/>
      <w:r w:rsidRPr="00E76F52">
        <w:rPr>
          <w:rFonts w:ascii="Calibri" w:hAnsi="Calibri" w:cs="Calibri"/>
          <w:i/>
          <w:color w:val="000000" w:themeColor="text1"/>
          <w:sz w:val="24"/>
          <w:szCs w:val="24"/>
        </w:rPr>
        <w:t>A.I.6.</w:t>
      </w:r>
      <w:proofErr w:type="gramEnd"/>
      <w:r w:rsidRPr="00E76F52">
        <w:rPr>
          <w:rFonts w:ascii="Calibri" w:hAnsi="Calibri" w:cs="Calibri"/>
          <w:i/>
          <w:color w:val="000000" w:themeColor="text1"/>
          <w:sz w:val="24"/>
          <w:szCs w:val="24"/>
        </w:rPr>
        <w:t xml:space="preserve"> Ostatní úpravy o nepeněžní operace</w:t>
      </w:r>
      <w:r w:rsidRPr="00E76F52">
        <w:rPr>
          <w:rFonts w:ascii="Calibri" w:hAnsi="Calibri" w:cs="Calibri"/>
          <w:color w:val="000000" w:themeColor="text1"/>
          <w:sz w:val="24"/>
          <w:szCs w:val="24"/>
        </w:rPr>
        <w:t xml:space="preserve">, </w:t>
      </w:r>
      <w:proofErr w:type="gramStart"/>
      <w:r w:rsidRPr="00E76F52">
        <w:rPr>
          <w:rFonts w:ascii="Calibri" w:hAnsi="Calibri" w:cs="Calibri"/>
          <w:i/>
          <w:color w:val="000000" w:themeColor="text1"/>
          <w:sz w:val="24"/>
          <w:szCs w:val="24"/>
        </w:rPr>
        <w:t>A.II</w:t>
      </w:r>
      <w:proofErr w:type="gramEnd"/>
      <w:r w:rsidRPr="00E76F52">
        <w:rPr>
          <w:rFonts w:ascii="Calibri" w:hAnsi="Calibri" w:cs="Calibri"/>
          <w:i/>
          <w:color w:val="000000" w:themeColor="text1"/>
          <w:sz w:val="24"/>
          <w:szCs w:val="24"/>
        </w:rPr>
        <w:t>.1. Změna stavu krátkodobých pohledávek</w:t>
      </w:r>
      <w:r w:rsidRPr="00E76F52">
        <w:rPr>
          <w:rFonts w:ascii="Calibri" w:hAnsi="Calibri" w:cs="Calibri"/>
          <w:color w:val="000000" w:themeColor="text1"/>
          <w:sz w:val="24"/>
          <w:szCs w:val="24"/>
        </w:rPr>
        <w:t xml:space="preserve">, </w:t>
      </w:r>
      <w:proofErr w:type="gramStart"/>
      <w:r w:rsidRPr="00E76F52">
        <w:rPr>
          <w:rFonts w:ascii="Calibri" w:hAnsi="Calibri" w:cs="Calibri"/>
          <w:i/>
          <w:color w:val="000000" w:themeColor="text1"/>
          <w:sz w:val="24"/>
          <w:szCs w:val="24"/>
        </w:rPr>
        <w:t>A.II</w:t>
      </w:r>
      <w:proofErr w:type="gramEnd"/>
      <w:r w:rsidRPr="00E76F52">
        <w:rPr>
          <w:rFonts w:ascii="Calibri" w:hAnsi="Calibri" w:cs="Calibri"/>
          <w:i/>
          <w:color w:val="000000" w:themeColor="text1"/>
          <w:sz w:val="24"/>
          <w:szCs w:val="24"/>
        </w:rPr>
        <w:t>.2. Změna stavu krátkodobých závazků</w:t>
      </w:r>
      <w:r w:rsidRPr="00E76F52">
        <w:rPr>
          <w:rFonts w:ascii="Calibri" w:hAnsi="Calibri" w:cs="Calibri"/>
          <w:color w:val="000000" w:themeColor="text1"/>
          <w:sz w:val="24"/>
          <w:szCs w:val="24"/>
        </w:rPr>
        <w:t xml:space="preserve"> </w:t>
      </w:r>
      <w:r w:rsidR="0038151A" w:rsidRPr="00B02A1B">
        <w:rPr>
          <w:rFonts w:ascii="Calibri" w:hAnsi="Calibri" w:cs="Calibri"/>
          <w:color w:val="000000" w:themeColor="text1"/>
          <w:sz w:val="24"/>
          <w:szCs w:val="24"/>
        </w:rPr>
        <w:t xml:space="preserve">a </w:t>
      </w:r>
      <w:proofErr w:type="gramStart"/>
      <w:r w:rsidR="0038151A" w:rsidRPr="00E76F52">
        <w:rPr>
          <w:rFonts w:ascii="Calibri" w:hAnsi="Calibri" w:cs="Calibri"/>
          <w:i/>
          <w:color w:val="000000" w:themeColor="text1"/>
          <w:sz w:val="24"/>
          <w:szCs w:val="24"/>
        </w:rPr>
        <w:t>C.I.</w:t>
      </w:r>
      <w:proofErr w:type="gramEnd"/>
      <w:r w:rsidR="0038151A" w:rsidRPr="00E76F52">
        <w:rPr>
          <w:rFonts w:ascii="Calibri" w:hAnsi="Calibri" w:cs="Calibri"/>
          <w:i/>
          <w:color w:val="000000" w:themeColor="text1"/>
          <w:sz w:val="24"/>
          <w:szCs w:val="24"/>
        </w:rPr>
        <w:t xml:space="preserve"> Peněžní toky vyplývající ze změny vlastního kapitálu.</w:t>
      </w:r>
      <w:r w:rsidRPr="00E76F52">
        <w:rPr>
          <w:rFonts w:ascii="Calibri" w:hAnsi="Calibri" w:cs="Calibri"/>
          <w:i/>
          <w:color w:val="000000" w:themeColor="text1"/>
          <w:sz w:val="24"/>
          <w:szCs w:val="24"/>
        </w:rPr>
        <w:t xml:space="preserve"> </w:t>
      </w:r>
      <w:r w:rsidR="0038151A" w:rsidRPr="00E76F52">
        <w:rPr>
          <w:rFonts w:ascii="Calibri" w:hAnsi="Calibri" w:cs="Calibri"/>
          <w:color w:val="000000" w:themeColor="text1"/>
          <w:sz w:val="24"/>
          <w:szCs w:val="24"/>
        </w:rPr>
        <w:t>MŽP nedisponoval</w:t>
      </w:r>
      <w:r w:rsidR="00EF28DE" w:rsidRPr="00E76F52">
        <w:rPr>
          <w:rFonts w:ascii="Calibri" w:hAnsi="Calibri" w:cs="Calibri"/>
          <w:color w:val="000000" w:themeColor="text1"/>
          <w:sz w:val="24"/>
          <w:szCs w:val="24"/>
        </w:rPr>
        <w:t>o</w:t>
      </w:r>
      <w:r w:rsidR="004D0407" w:rsidRPr="00E76F52">
        <w:rPr>
          <w:rFonts w:ascii="Calibri" w:hAnsi="Calibri" w:cs="Calibri"/>
          <w:color w:val="000000" w:themeColor="text1"/>
          <w:sz w:val="24"/>
          <w:szCs w:val="24"/>
        </w:rPr>
        <w:t xml:space="preserve"> v </w:t>
      </w:r>
      <w:r w:rsidR="00F77104" w:rsidRPr="00E76F52">
        <w:rPr>
          <w:rFonts w:ascii="Calibri" w:hAnsi="Calibri" w:cs="Calibri"/>
          <w:color w:val="000000" w:themeColor="text1"/>
          <w:sz w:val="24"/>
          <w:szCs w:val="24"/>
        </w:rPr>
        <w:t>účetnictví</w:t>
      </w:r>
      <w:r w:rsidR="00EF28DE" w:rsidRPr="00E76F52">
        <w:rPr>
          <w:rFonts w:ascii="Calibri" w:hAnsi="Calibri" w:cs="Calibri"/>
          <w:color w:val="000000" w:themeColor="text1"/>
          <w:sz w:val="24"/>
          <w:szCs w:val="24"/>
        </w:rPr>
        <w:t xml:space="preserve"> </w:t>
      </w:r>
      <w:r w:rsidR="0038151A" w:rsidRPr="00E76F52">
        <w:rPr>
          <w:rFonts w:ascii="Calibri" w:hAnsi="Calibri" w:cs="Calibri"/>
          <w:color w:val="000000" w:themeColor="text1"/>
          <w:sz w:val="24"/>
          <w:szCs w:val="24"/>
        </w:rPr>
        <w:t>potřebným analytickým</w:t>
      </w:r>
      <w:r w:rsidR="00A94AAC" w:rsidRPr="00E76F52">
        <w:rPr>
          <w:rFonts w:ascii="Calibri" w:hAnsi="Calibri" w:cs="Calibri"/>
          <w:color w:val="000000" w:themeColor="text1"/>
          <w:sz w:val="24"/>
          <w:szCs w:val="24"/>
        </w:rPr>
        <w:t xml:space="preserve"> členěním</w:t>
      </w:r>
      <w:r w:rsidR="00F77104" w:rsidRPr="00E76F52">
        <w:rPr>
          <w:rFonts w:ascii="Calibri" w:hAnsi="Calibri" w:cs="Calibri"/>
          <w:color w:val="000000" w:themeColor="text1"/>
          <w:sz w:val="24"/>
          <w:szCs w:val="24"/>
        </w:rPr>
        <w:t xml:space="preserve"> syntetických</w:t>
      </w:r>
      <w:r w:rsidR="00A94AAC" w:rsidRPr="00E76F52">
        <w:rPr>
          <w:rFonts w:ascii="Calibri" w:hAnsi="Calibri" w:cs="Calibri"/>
          <w:color w:val="000000" w:themeColor="text1"/>
          <w:sz w:val="24"/>
          <w:szCs w:val="24"/>
        </w:rPr>
        <w:t xml:space="preserve"> účtů</w:t>
      </w:r>
      <w:r w:rsidR="00EF28DE" w:rsidRPr="00E76F52">
        <w:rPr>
          <w:rFonts w:ascii="Calibri" w:hAnsi="Calibri" w:cs="Calibri"/>
          <w:color w:val="000000" w:themeColor="text1"/>
          <w:sz w:val="24"/>
          <w:szCs w:val="24"/>
        </w:rPr>
        <w:t xml:space="preserve"> pro správné naplnění těchto položek</w:t>
      </w:r>
      <w:r w:rsidR="0038151A" w:rsidRPr="00E76F52">
        <w:rPr>
          <w:rFonts w:ascii="Calibri" w:hAnsi="Calibri" w:cs="Calibri"/>
          <w:color w:val="000000" w:themeColor="text1"/>
          <w:sz w:val="24"/>
          <w:szCs w:val="24"/>
        </w:rPr>
        <w:t>. Z</w:t>
      </w:r>
      <w:r w:rsidR="007405FC" w:rsidRPr="00E76F52">
        <w:rPr>
          <w:rFonts w:ascii="Calibri" w:hAnsi="Calibri" w:cs="Calibri"/>
          <w:color w:val="000000" w:themeColor="text1"/>
          <w:sz w:val="24"/>
          <w:szCs w:val="24"/>
        </w:rPr>
        <w:t xml:space="preserve"> </w:t>
      </w:r>
      <w:r w:rsidR="0038151A" w:rsidRPr="00E76F52">
        <w:rPr>
          <w:rFonts w:ascii="Calibri" w:hAnsi="Calibri" w:cs="Calibri"/>
          <w:color w:val="000000" w:themeColor="text1"/>
          <w:sz w:val="24"/>
          <w:szCs w:val="24"/>
        </w:rPr>
        <w:t>předloženého algoritmu</w:t>
      </w:r>
      <w:r w:rsidR="00F77104" w:rsidRPr="00E76F52">
        <w:rPr>
          <w:rFonts w:ascii="Calibri" w:hAnsi="Calibri" w:cs="Calibri"/>
          <w:color w:val="000000" w:themeColor="text1"/>
          <w:sz w:val="24"/>
          <w:szCs w:val="24"/>
        </w:rPr>
        <w:t xml:space="preserve"> sestavení tohoto výkazu ale</w:t>
      </w:r>
      <w:r w:rsidR="0038151A" w:rsidRPr="00E76F52">
        <w:rPr>
          <w:rFonts w:ascii="Calibri" w:hAnsi="Calibri" w:cs="Calibri"/>
          <w:color w:val="000000" w:themeColor="text1"/>
          <w:sz w:val="24"/>
          <w:szCs w:val="24"/>
        </w:rPr>
        <w:t xml:space="preserve"> </w:t>
      </w:r>
      <w:r w:rsidR="00EF28DE" w:rsidRPr="00E76F52">
        <w:rPr>
          <w:rFonts w:ascii="Calibri" w:hAnsi="Calibri" w:cs="Calibri"/>
          <w:color w:val="000000" w:themeColor="text1"/>
          <w:sz w:val="24"/>
          <w:szCs w:val="24"/>
        </w:rPr>
        <w:t>bylo</w:t>
      </w:r>
      <w:r w:rsidR="0038151A" w:rsidRPr="00E76F52">
        <w:rPr>
          <w:rFonts w:ascii="Calibri" w:hAnsi="Calibri" w:cs="Calibri"/>
          <w:color w:val="000000" w:themeColor="text1"/>
          <w:sz w:val="24"/>
          <w:szCs w:val="24"/>
        </w:rPr>
        <w:t xml:space="preserve"> zřejmé, že</w:t>
      </w:r>
      <w:r w:rsidR="007A2C1B"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 xml:space="preserve">MŽP </w:t>
      </w:r>
      <w:r w:rsidR="00EF28DE" w:rsidRPr="00E76F52">
        <w:rPr>
          <w:rFonts w:ascii="Calibri" w:hAnsi="Calibri" w:cs="Calibri"/>
          <w:color w:val="000000" w:themeColor="text1"/>
          <w:sz w:val="24"/>
          <w:szCs w:val="24"/>
        </w:rPr>
        <w:t>tyto položky</w:t>
      </w:r>
      <w:r w:rsidRPr="00E76F52">
        <w:rPr>
          <w:rFonts w:ascii="Calibri" w:hAnsi="Calibri" w:cs="Calibri"/>
          <w:color w:val="000000" w:themeColor="text1"/>
          <w:sz w:val="24"/>
          <w:szCs w:val="24"/>
        </w:rPr>
        <w:t xml:space="preserve"> nenaplnilo</w:t>
      </w:r>
      <w:r w:rsidR="0038151A" w:rsidRPr="00E76F52">
        <w:rPr>
          <w:rFonts w:ascii="Calibri" w:hAnsi="Calibri" w:cs="Calibri"/>
          <w:color w:val="000000" w:themeColor="text1"/>
          <w:sz w:val="24"/>
          <w:szCs w:val="24"/>
        </w:rPr>
        <w:t xml:space="preserve"> v</w:t>
      </w:r>
      <w:r w:rsidR="007405FC" w:rsidRPr="00E76F52">
        <w:rPr>
          <w:rFonts w:ascii="Calibri" w:hAnsi="Calibri" w:cs="Calibri"/>
          <w:color w:val="000000" w:themeColor="text1"/>
          <w:sz w:val="24"/>
          <w:szCs w:val="24"/>
        </w:rPr>
        <w:t xml:space="preserve"> </w:t>
      </w:r>
      <w:r w:rsidR="0038151A" w:rsidRPr="00E76F52">
        <w:rPr>
          <w:rFonts w:ascii="Calibri" w:hAnsi="Calibri" w:cs="Calibri"/>
          <w:color w:val="000000" w:themeColor="text1"/>
          <w:sz w:val="24"/>
          <w:szCs w:val="24"/>
        </w:rPr>
        <w:t>souladu s</w:t>
      </w:r>
      <w:r w:rsidR="007405FC" w:rsidRPr="00E76F52">
        <w:rPr>
          <w:rFonts w:ascii="Calibri" w:hAnsi="Calibri" w:cs="Calibri"/>
          <w:color w:val="000000" w:themeColor="text1"/>
          <w:sz w:val="24"/>
          <w:szCs w:val="24"/>
        </w:rPr>
        <w:t xml:space="preserve"> </w:t>
      </w:r>
      <w:r w:rsidR="0038151A" w:rsidRPr="00E76F52">
        <w:rPr>
          <w:rFonts w:ascii="Calibri" w:hAnsi="Calibri" w:cs="Calibri"/>
          <w:color w:val="000000" w:themeColor="text1"/>
          <w:sz w:val="24"/>
          <w:szCs w:val="24"/>
        </w:rPr>
        <w:t>jejich obsahovým vymezením dle § 43 vyhlášky č.</w:t>
      </w:r>
      <w:r w:rsidR="007405FC" w:rsidRPr="00E76F52">
        <w:rPr>
          <w:rFonts w:ascii="Calibri" w:hAnsi="Calibri" w:cs="Calibri"/>
          <w:color w:val="000000" w:themeColor="text1"/>
          <w:sz w:val="24"/>
          <w:szCs w:val="24"/>
        </w:rPr>
        <w:t> </w:t>
      </w:r>
      <w:r w:rsidR="007F494E">
        <w:rPr>
          <w:rFonts w:ascii="Calibri" w:hAnsi="Calibri" w:cs="Calibri"/>
          <w:color w:val="000000" w:themeColor="text1"/>
          <w:sz w:val="24"/>
          <w:szCs w:val="24"/>
        </w:rPr>
        <w:t>410/2009 </w:t>
      </w:r>
      <w:r w:rsidR="0038151A" w:rsidRPr="00E76F52">
        <w:rPr>
          <w:rFonts w:ascii="Calibri" w:hAnsi="Calibri" w:cs="Calibri"/>
          <w:color w:val="000000" w:themeColor="text1"/>
          <w:sz w:val="24"/>
          <w:szCs w:val="24"/>
        </w:rPr>
        <w:t>Sb.</w:t>
      </w:r>
      <w:r w:rsidR="00C00D2B" w:rsidRPr="00E76F52">
        <w:rPr>
          <w:rStyle w:val="Znakapoznpodarou"/>
          <w:rFonts w:ascii="Calibri" w:hAnsi="Calibri" w:cs="Calibri"/>
          <w:bCs/>
          <w:color w:val="000000" w:themeColor="text1"/>
          <w:sz w:val="24"/>
          <w:szCs w:val="24"/>
        </w:rPr>
        <w:footnoteReference w:id="60"/>
      </w:r>
      <w:r w:rsidRPr="00E76F52">
        <w:rPr>
          <w:rFonts w:ascii="Calibri" w:hAnsi="Calibri" w:cs="Calibri"/>
          <w:color w:val="000000" w:themeColor="text1"/>
          <w:sz w:val="24"/>
          <w:szCs w:val="24"/>
        </w:rPr>
        <w:t xml:space="preserve"> </w:t>
      </w:r>
    </w:p>
    <w:p w:rsidR="009E492D" w:rsidRDefault="009E492D" w:rsidP="00E76F52">
      <w:pPr>
        <w:spacing w:after="0" w:line="240" w:lineRule="auto"/>
        <w:jc w:val="both"/>
        <w:rPr>
          <w:rFonts w:ascii="Calibri" w:hAnsi="Calibri" w:cs="Calibri"/>
          <w:color w:val="000000" w:themeColor="text1"/>
          <w:sz w:val="24"/>
          <w:szCs w:val="24"/>
        </w:rPr>
      </w:pPr>
    </w:p>
    <w:p w:rsidR="00865717" w:rsidRDefault="0038151A" w:rsidP="00E76F52">
      <w:pPr>
        <w:spacing w:after="0" w:line="240" w:lineRule="auto"/>
        <w:jc w:val="both"/>
        <w:rPr>
          <w:rFonts w:ascii="Calibri" w:eastAsia="Times New Roman" w:hAnsi="Calibri" w:cs="Calibri"/>
          <w:color w:val="000000" w:themeColor="text1"/>
          <w:sz w:val="24"/>
          <w:szCs w:val="24"/>
        </w:rPr>
      </w:pPr>
      <w:r w:rsidRPr="00E76F52">
        <w:rPr>
          <w:rFonts w:ascii="Calibri" w:hAnsi="Calibri" w:cs="Calibri"/>
          <w:color w:val="000000" w:themeColor="text1"/>
          <w:sz w:val="24"/>
          <w:szCs w:val="24"/>
        </w:rPr>
        <w:t>Z</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důvodu neexistence potřebného</w:t>
      </w:r>
      <w:r w:rsidR="0081316D" w:rsidRPr="00E76F52">
        <w:rPr>
          <w:rFonts w:ascii="Calibri" w:hAnsi="Calibri" w:cs="Calibri"/>
          <w:color w:val="000000" w:themeColor="text1"/>
          <w:sz w:val="24"/>
          <w:szCs w:val="24"/>
        </w:rPr>
        <w:t xml:space="preserve"> </w:t>
      </w:r>
      <w:r w:rsidR="0070055A" w:rsidRPr="00E76F52">
        <w:rPr>
          <w:rFonts w:ascii="Calibri" w:hAnsi="Calibri" w:cs="Calibri"/>
          <w:color w:val="000000" w:themeColor="text1"/>
          <w:sz w:val="24"/>
          <w:szCs w:val="24"/>
        </w:rPr>
        <w:t>analytického členění účtů relevantních</w:t>
      </w:r>
      <w:r w:rsidR="00A374D2" w:rsidRPr="00E76F52">
        <w:rPr>
          <w:rFonts w:ascii="Calibri" w:hAnsi="Calibri" w:cs="Calibri"/>
          <w:color w:val="000000" w:themeColor="text1"/>
          <w:sz w:val="24"/>
          <w:szCs w:val="24"/>
        </w:rPr>
        <w:t xml:space="preserve"> </w:t>
      </w:r>
      <w:r w:rsidR="0070055A" w:rsidRPr="00E76F52">
        <w:rPr>
          <w:rFonts w:ascii="Calibri" w:hAnsi="Calibri" w:cs="Calibri"/>
          <w:color w:val="000000" w:themeColor="text1"/>
          <w:sz w:val="24"/>
          <w:szCs w:val="24"/>
        </w:rPr>
        <w:t>z</w:t>
      </w:r>
      <w:r w:rsidR="007405FC" w:rsidRPr="00E76F52">
        <w:rPr>
          <w:rFonts w:ascii="Calibri" w:hAnsi="Calibri" w:cs="Calibri"/>
          <w:color w:val="000000" w:themeColor="text1"/>
          <w:sz w:val="24"/>
          <w:szCs w:val="24"/>
        </w:rPr>
        <w:t xml:space="preserve"> </w:t>
      </w:r>
      <w:r w:rsidR="0070055A" w:rsidRPr="00E76F52">
        <w:rPr>
          <w:rFonts w:ascii="Calibri" w:hAnsi="Calibri" w:cs="Calibri"/>
          <w:color w:val="000000" w:themeColor="text1"/>
          <w:sz w:val="24"/>
          <w:szCs w:val="24"/>
        </w:rPr>
        <w:t xml:space="preserve">hlediska obsahového vymezení </w:t>
      </w:r>
      <w:r w:rsidR="00EF28DE" w:rsidRPr="00E76F52">
        <w:rPr>
          <w:rFonts w:ascii="Calibri" w:hAnsi="Calibri" w:cs="Calibri"/>
          <w:color w:val="000000" w:themeColor="text1"/>
          <w:sz w:val="24"/>
          <w:szCs w:val="24"/>
        </w:rPr>
        <w:t>těchto</w:t>
      </w:r>
      <w:r w:rsidR="0070055A" w:rsidRPr="00E76F52">
        <w:rPr>
          <w:rFonts w:ascii="Calibri" w:hAnsi="Calibri" w:cs="Calibri"/>
          <w:color w:val="000000" w:themeColor="text1"/>
          <w:sz w:val="24"/>
          <w:szCs w:val="24"/>
        </w:rPr>
        <w:t xml:space="preserve"> položek </w:t>
      </w:r>
      <w:r w:rsidRPr="00E76F52">
        <w:rPr>
          <w:rFonts w:ascii="Calibri" w:hAnsi="Calibri" w:cs="Calibri"/>
          <w:color w:val="000000" w:themeColor="text1"/>
          <w:sz w:val="24"/>
          <w:szCs w:val="24"/>
        </w:rPr>
        <w:t>nebyly nesprávnosti vyčísleny dle</w:t>
      </w:r>
      <w:r w:rsidR="00662502" w:rsidRPr="00E76F52">
        <w:rPr>
          <w:rFonts w:ascii="Calibri" w:hAnsi="Calibri" w:cs="Calibri"/>
          <w:color w:val="000000" w:themeColor="text1"/>
          <w:sz w:val="24"/>
          <w:szCs w:val="24"/>
        </w:rPr>
        <w:t xml:space="preserve"> jednotlivých položek </w:t>
      </w:r>
      <w:r w:rsidR="00AF58EE">
        <w:rPr>
          <w:rFonts w:ascii="Calibri" w:hAnsi="Calibri" w:cs="Calibri"/>
          <w:color w:val="000000" w:themeColor="text1"/>
          <w:sz w:val="24"/>
          <w:szCs w:val="24"/>
        </w:rPr>
        <w:t>p</w:t>
      </w:r>
      <w:r w:rsidR="00662502" w:rsidRPr="00E76F52">
        <w:rPr>
          <w:rFonts w:ascii="Calibri" w:hAnsi="Calibri" w:cs="Calibri"/>
          <w:color w:val="000000" w:themeColor="text1"/>
          <w:sz w:val="24"/>
          <w:szCs w:val="24"/>
        </w:rPr>
        <w:t>řehledu o peněžních tocích</w:t>
      </w:r>
      <w:r w:rsidRPr="00E76F52">
        <w:rPr>
          <w:rFonts w:ascii="Calibri" w:hAnsi="Calibri" w:cs="Calibri"/>
          <w:color w:val="000000" w:themeColor="text1"/>
          <w:sz w:val="24"/>
          <w:szCs w:val="24"/>
        </w:rPr>
        <w:t>.</w:t>
      </w:r>
      <w:r w:rsidR="0070055A" w:rsidRPr="00E76F52">
        <w:rPr>
          <w:rFonts w:ascii="Calibri" w:hAnsi="Calibri" w:cs="Calibri"/>
          <w:color w:val="000000" w:themeColor="text1"/>
          <w:sz w:val="24"/>
          <w:szCs w:val="24"/>
        </w:rPr>
        <w:t xml:space="preserve"> Vzhledem k poznaným nesprávným postupům MŽP</w:t>
      </w:r>
      <w:r w:rsidR="00C7454D" w:rsidRPr="00E76F52">
        <w:rPr>
          <w:rFonts w:ascii="Calibri" w:hAnsi="Calibri" w:cs="Calibri"/>
          <w:color w:val="000000" w:themeColor="text1"/>
          <w:sz w:val="24"/>
          <w:szCs w:val="24"/>
        </w:rPr>
        <w:t xml:space="preserve"> při sestavení </w:t>
      </w:r>
      <w:r w:rsidR="0094711A" w:rsidRPr="00E76F52">
        <w:rPr>
          <w:rFonts w:ascii="Calibri" w:hAnsi="Calibri" w:cs="Calibri"/>
          <w:color w:val="000000" w:themeColor="text1"/>
          <w:sz w:val="24"/>
          <w:szCs w:val="24"/>
        </w:rPr>
        <w:t xml:space="preserve">tohoto přehledu </w:t>
      </w:r>
      <w:r w:rsidR="007A2C1B" w:rsidRPr="00E76F52">
        <w:rPr>
          <w:rFonts w:ascii="Calibri" w:hAnsi="Calibri" w:cs="Calibri"/>
          <w:color w:val="000000" w:themeColor="text1"/>
          <w:sz w:val="24"/>
          <w:szCs w:val="24"/>
        </w:rPr>
        <w:t>je</w:t>
      </w:r>
      <w:r w:rsidR="00292E31" w:rsidRPr="00E76F52">
        <w:rPr>
          <w:rFonts w:ascii="Calibri" w:hAnsi="Calibri" w:cs="Calibri"/>
          <w:color w:val="000000" w:themeColor="text1"/>
          <w:sz w:val="24"/>
          <w:szCs w:val="24"/>
        </w:rPr>
        <w:t xml:space="preserve"> ale</w:t>
      </w:r>
      <w:r w:rsidR="007A2C1B" w:rsidRPr="00E76F52">
        <w:rPr>
          <w:rFonts w:ascii="Calibri" w:hAnsi="Calibri" w:cs="Calibri"/>
          <w:color w:val="000000" w:themeColor="text1"/>
          <w:sz w:val="24"/>
          <w:szCs w:val="24"/>
        </w:rPr>
        <w:t xml:space="preserve"> zřejmé,</w:t>
      </w:r>
      <w:r w:rsidR="0070055A" w:rsidRPr="00E76F52">
        <w:rPr>
          <w:rFonts w:ascii="Calibri" w:hAnsi="Calibri" w:cs="Calibri"/>
          <w:color w:val="000000" w:themeColor="text1"/>
          <w:sz w:val="24"/>
          <w:szCs w:val="24"/>
        </w:rPr>
        <w:t xml:space="preserve"> </w:t>
      </w:r>
      <w:r w:rsidR="00AF6474" w:rsidRPr="00E76F52">
        <w:rPr>
          <w:rFonts w:ascii="Calibri" w:eastAsia="Times New Roman" w:hAnsi="Calibri" w:cs="Calibri"/>
          <w:color w:val="000000" w:themeColor="text1"/>
          <w:sz w:val="24"/>
          <w:szCs w:val="24"/>
        </w:rPr>
        <w:t xml:space="preserve">že celá konstrukce </w:t>
      </w:r>
      <w:r w:rsidR="00AF58EE">
        <w:rPr>
          <w:rFonts w:ascii="Calibri" w:eastAsia="Times New Roman" w:hAnsi="Calibri" w:cs="Calibri"/>
          <w:color w:val="000000" w:themeColor="text1"/>
          <w:sz w:val="24"/>
          <w:szCs w:val="24"/>
        </w:rPr>
        <w:t>p</w:t>
      </w:r>
      <w:r w:rsidR="00AF6474" w:rsidRPr="00E76F52">
        <w:rPr>
          <w:rFonts w:ascii="Calibri" w:eastAsia="Times New Roman" w:hAnsi="Calibri" w:cs="Calibri"/>
          <w:color w:val="000000" w:themeColor="text1"/>
          <w:sz w:val="24"/>
          <w:szCs w:val="24"/>
        </w:rPr>
        <w:t xml:space="preserve">řehledu o peněžních tocích k 31. </w:t>
      </w:r>
      <w:r w:rsidR="00F45186" w:rsidRPr="00E76F52">
        <w:rPr>
          <w:rFonts w:ascii="Calibri" w:eastAsia="Times New Roman" w:hAnsi="Calibri" w:cs="Calibri"/>
          <w:color w:val="000000" w:themeColor="text1"/>
          <w:sz w:val="24"/>
          <w:szCs w:val="24"/>
        </w:rPr>
        <w:t>prosinci</w:t>
      </w:r>
      <w:r w:rsidR="00AF6474" w:rsidRPr="00E76F52">
        <w:rPr>
          <w:rFonts w:ascii="Calibri" w:eastAsia="Times New Roman" w:hAnsi="Calibri" w:cs="Calibri"/>
          <w:color w:val="000000" w:themeColor="text1"/>
          <w:sz w:val="24"/>
          <w:szCs w:val="24"/>
        </w:rPr>
        <w:t xml:space="preserve"> 2013 je zatížena nesprávnostmi v souhrnné výši 6</w:t>
      </w:r>
      <w:r w:rsidR="007405FC" w:rsidRPr="00E76F52">
        <w:rPr>
          <w:rFonts w:ascii="Calibri" w:eastAsia="Times New Roman" w:hAnsi="Calibri" w:cs="Calibri"/>
          <w:color w:val="000000" w:themeColor="text1"/>
          <w:sz w:val="24"/>
          <w:szCs w:val="24"/>
        </w:rPr>
        <w:t xml:space="preserve"> </w:t>
      </w:r>
      <w:r w:rsidR="00AF6474" w:rsidRPr="00E76F52">
        <w:rPr>
          <w:rFonts w:ascii="Calibri" w:eastAsia="Times New Roman" w:hAnsi="Calibri" w:cs="Calibri"/>
          <w:color w:val="000000" w:themeColor="text1"/>
          <w:sz w:val="24"/>
          <w:szCs w:val="24"/>
        </w:rPr>
        <w:t>422</w:t>
      </w:r>
      <w:r w:rsidR="00116D25" w:rsidRPr="00E76F52">
        <w:rPr>
          <w:rFonts w:ascii="Calibri" w:eastAsia="Times New Roman" w:hAnsi="Calibri" w:cs="Calibri"/>
          <w:color w:val="000000" w:themeColor="text1"/>
          <w:sz w:val="24"/>
          <w:szCs w:val="24"/>
        </w:rPr>
        <w:t xml:space="preserve"> </w:t>
      </w:r>
      <w:r w:rsidR="00AF6474" w:rsidRPr="00E76F52">
        <w:rPr>
          <w:rFonts w:ascii="Calibri" w:eastAsia="Times New Roman" w:hAnsi="Calibri" w:cs="Calibri"/>
          <w:color w:val="000000" w:themeColor="text1"/>
          <w:sz w:val="24"/>
          <w:szCs w:val="24"/>
        </w:rPr>
        <w:t>019</w:t>
      </w:r>
      <w:r w:rsidR="007405FC" w:rsidRPr="00E76F52">
        <w:rPr>
          <w:rFonts w:ascii="Calibri" w:eastAsia="Times New Roman" w:hAnsi="Calibri" w:cs="Calibri"/>
          <w:color w:val="000000" w:themeColor="text1"/>
          <w:sz w:val="24"/>
          <w:szCs w:val="24"/>
        </w:rPr>
        <w:t xml:space="preserve"> </w:t>
      </w:r>
      <w:r w:rsidR="00AF6474" w:rsidRPr="00E76F52">
        <w:rPr>
          <w:rFonts w:ascii="Calibri" w:eastAsia="Times New Roman" w:hAnsi="Calibri" w:cs="Calibri"/>
          <w:color w:val="000000" w:themeColor="text1"/>
          <w:sz w:val="24"/>
          <w:szCs w:val="24"/>
        </w:rPr>
        <w:t>456,84 Kč</w:t>
      </w:r>
      <w:r w:rsidR="00E47BB2" w:rsidRPr="00E76F52">
        <w:rPr>
          <w:rFonts w:ascii="Calibri" w:eastAsia="Times New Roman" w:hAnsi="Calibri" w:cs="Calibri"/>
          <w:color w:val="000000" w:themeColor="text1"/>
          <w:sz w:val="24"/>
          <w:szCs w:val="24"/>
        </w:rPr>
        <w:t>,</w:t>
      </w:r>
      <w:r w:rsidR="00AF6474" w:rsidRPr="00E76F52">
        <w:rPr>
          <w:rFonts w:ascii="Calibri" w:eastAsia="Times New Roman" w:hAnsi="Calibri" w:cs="Calibri"/>
          <w:color w:val="000000" w:themeColor="text1"/>
          <w:sz w:val="24"/>
          <w:szCs w:val="24"/>
        </w:rPr>
        <w:t xml:space="preserve"> </w:t>
      </w:r>
      <w:r w:rsidR="007A2C1B" w:rsidRPr="00E76F52">
        <w:rPr>
          <w:rFonts w:ascii="Calibri" w:eastAsia="Times New Roman" w:hAnsi="Calibri" w:cs="Calibri"/>
          <w:color w:val="000000" w:themeColor="text1"/>
          <w:sz w:val="24"/>
          <w:szCs w:val="24"/>
        </w:rPr>
        <w:t xml:space="preserve">a to </w:t>
      </w:r>
      <w:r w:rsidR="00AF6474" w:rsidRPr="00E76F52">
        <w:rPr>
          <w:rFonts w:ascii="Calibri" w:eastAsia="Times New Roman" w:hAnsi="Calibri" w:cs="Calibri"/>
          <w:color w:val="000000" w:themeColor="text1"/>
          <w:sz w:val="24"/>
          <w:szCs w:val="24"/>
        </w:rPr>
        <w:t xml:space="preserve">na různých úrovních jeho sestavení. </w:t>
      </w:r>
    </w:p>
    <w:p w:rsidR="007F494E" w:rsidRPr="00E76F52" w:rsidRDefault="007F494E" w:rsidP="00E76F52">
      <w:pPr>
        <w:spacing w:after="0" w:line="240" w:lineRule="auto"/>
        <w:jc w:val="both"/>
        <w:rPr>
          <w:rFonts w:ascii="Calibri" w:hAnsi="Calibri" w:cs="Calibri"/>
          <w:color w:val="000000" w:themeColor="text1"/>
          <w:sz w:val="24"/>
          <w:szCs w:val="24"/>
        </w:rPr>
      </w:pPr>
    </w:p>
    <w:p w:rsidR="0091020A" w:rsidRPr="00E76F52" w:rsidRDefault="0091020A"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Přehled o změnách vlastního kapitálu</w:t>
      </w:r>
      <w:r w:rsidR="00130156" w:rsidRPr="00E76F52">
        <w:rPr>
          <w:rFonts w:ascii="Calibri" w:hAnsi="Calibri" w:cs="Calibri"/>
          <w:b/>
          <w:i/>
          <w:color w:val="000000" w:themeColor="text1"/>
          <w:sz w:val="24"/>
          <w:szCs w:val="24"/>
        </w:rPr>
        <w:t xml:space="preserve"> </w:t>
      </w:r>
    </w:p>
    <w:p w:rsidR="007F494E" w:rsidRDefault="007F494E" w:rsidP="00E76F52">
      <w:pPr>
        <w:spacing w:after="0" w:line="240" w:lineRule="auto"/>
        <w:jc w:val="both"/>
        <w:rPr>
          <w:rFonts w:ascii="Calibri" w:hAnsi="Calibri" w:cs="Calibri"/>
          <w:color w:val="000000" w:themeColor="text1"/>
          <w:sz w:val="24"/>
          <w:szCs w:val="24"/>
        </w:rPr>
      </w:pPr>
    </w:p>
    <w:p w:rsidR="002213F8" w:rsidRDefault="002213F8"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MŽP nenaplnilo některé položky </w:t>
      </w:r>
      <w:r w:rsidR="00AF58EE">
        <w:rPr>
          <w:rFonts w:ascii="Calibri" w:hAnsi="Calibri" w:cs="Calibri"/>
          <w:color w:val="000000" w:themeColor="text1"/>
          <w:sz w:val="24"/>
          <w:szCs w:val="24"/>
        </w:rPr>
        <w:t>p</w:t>
      </w:r>
      <w:r w:rsidRPr="00E76F52">
        <w:rPr>
          <w:rFonts w:ascii="Calibri" w:hAnsi="Calibri" w:cs="Calibri"/>
          <w:color w:val="000000" w:themeColor="text1"/>
          <w:sz w:val="24"/>
          <w:szCs w:val="24"/>
        </w:rPr>
        <w:t>řehledu o změnách vlastního kapitálu 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souladu s § 44 vyhlášky č. 410/2009 Sb.</w:t>
      </w:r>
    </w:p>
    <w:p w:rsidR="007F494E" w:rsidRPr="00E76F52" w:rsidRDefault="007F494E" w:rsidP="00E76F52">
      <w:pPr>
        <w:spacing w:after="0" w:line="240" w:lineRule="auto"/>
        <w:jc w:val="both"/>
        <w:rPr>
          <w:rFonts w:ascii="Calibri" w:hAnsi="Calibri" w:cs="Calibri"/>
          <w:color w:val="000000" w:themeColor="text1"/>
          <w:sz w:val="24"/>
          <w:szCs w:val="24"/>
        </w:rPr>
      </w:pPr>
    </w:p>
    <w:p w:rsidR="00A94AAC" w:rsidRDefault="002213F8"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N</w:t>
      </w:r>
      <w:r w:rsidR="00A94AAC" w:rsidRPr="00E76F52">
        <w:rPr>
          <w:rFonts w:ascii="Calibri" w:hAnsi="Calibri" w:cs="Calibri"/>
          <w:color w:val="000000" w:themeColor="text1"/>
          <w:sz w:val="24"/>
          <w:szCs w:val="24"/>
        </w:rPr>
        <w:t>epostupovalo</w:t>
      </w:r>
      <w:r w:rsidRPr="00E76F52">
        <w:rPr>
          <w:rFonts w:ascii="Calibri" w:hAnsi="Calibri" w:cs="Calibri"/>
          <w:color w:val="000000" w:themeColor="text1"/>
          <w:sz w:val="24"/>
          <w:szCs w:val="24"/>
        </w:rPr>
        <w:t xml:space="preserve"> např.</w:t>
      </w:r>
      <w:r w:rsidR="00A94AAC" w:rsidRPr="00E76F52">
        <w:rPr>
          <w:rFonts w:ascii="Calibri" w:hAnsi="Calibri" w:cs="Calibri"/>
          <w:color w:val="000000" w:themeColor="text1"/>
          <w:sz w:val="24"/>
          <w:szCs w:val="24"/>
        </w:rPr>
        <w:t xml:space="preserve"> v</w:t>
      </w:r>
      <w:r w:rsidR="007405FC" w:rsidRPr="00E76F52">
        <w:rPr>
          <w:rFonts w:ascii="Calibri" w:hAnsi="Calibri" w:cs="Calibri"/>
          <w:color w:val="000000" w:themeColor="text1"/>
          <w:sz w:val="24"/>
          <w:szCs w:val="24"/>
        </w:rPr>
        <w:t xml:space="preserve"> </w:t>
      </w:r>
      <w:r w:rsidR="00A94AAC" w:rsidRPr="00E76F52">
        <w:rPr>
          <w:rFonts w:ascii="Calibri" w:hAnsi="Calibri" w:cs="Calibri"/>
          <w:color w:val="000000" w:themeColor="text1"/>
          <w:sz w:val="24"/>
          <w:szCs w:val="24"/>
        </w:rPr>
        <w:t>souladu s</w:t>
      </w:r>
      <w:r w:rsidR="007405FC" w:rsidRPr="00E76F52">
        <w:rPr>
          <w:rFonts w:ascii="Calibri" w:hAnsi="Calibri" w:cs="Calibri"/>
          <w:color w:val="000000" w:themeColor="text1"/>
          <w:sz w:val="24"/>
          <w:szCs w:val="24"/>
        </w:rPr>
        <w:t xml:space="preserve"> </w:t>
      </w:r>
      <w:r w:rsidR="00A94AAC" w:rsidRPr="00E76F52">
        <w:rPr>
          <w:rFonts w:ascii="Calibri" w:hAnsi="Calibri" w:cs="Calibri"/>
          <w:color w:val="000000" w:themeColor="text1"/>
          <w:sz w:val="24"/>
          <w:szCs w:val="24"/>
        </w:rPr>
        <w:t>ustanovením § 44 odst. 10 písm. g) a h) vyhlášky č.</w:t>
      </w:r>
      <w:r w:rsidR="00AD68E7" w:rsidRPr="00E76F52">
        <w:rPr>
          <w:rFonts w:ascii="Calibri" w:hAnsi="Calibri" w:cs="Calibri"/>
          <w:color w:val="000000" w:themeColor="text1"/>
          <w:sz w:val="24"/>
          <w:szCs w:val="24"/>
        </w:rPr>
        <w:t> </w:t>
      </w:r>
      <w:r w:rsidR="00A94AAC" w:rsidRPr="00E76F52">
        <w:rPr>
          <w:rFonts w:ascii="Calibri" w:hAnsi="Calibri" w:cs="Calibri"/>
          <w:color w:val="000000" w:themeColor="text1"/>
          <w:sz w:val="24"/>
          <w:szCs w:val="24"/>
        </w:rPr>
        <w:t>410/2009 Sb., neboť opravy minulých období</w:t>
      </w:r>
      <w:r w:rsidR="0094711A" w:rsidRPr="00E76F52">
        <w:rPr>
          <w:rFonts w:ascii="Calibri" w:hAnsi="Calibri" w:cs="Calibri"/>
          <w:color w:val="000000" w:themeColor="text1"/>
          <w:sz w:val="24"/>
          <w:szCs w:val="24"/>
        </w:rPr>
        <w:t xml:space="preserve"> účtované v</w:t>
      </w:r>
      <w:r w:rsidR="007405FC" w:rsidRPr="00E76F52">
        <w:rPr>
          <w:rFonts w:ascii="Calibri" w:hAnsi="Calibri" w:cs="Calibri"/>
          <w:color w:val="000000" w:themeColor="text1"/>
          <w:sz w:val="24"/>
          <w:szCs w:val="24"/>
        </w:rPr>
        <w:t xml:space="preserve"> </w:t>
      </w:r>
      <w:r w:rsidR="0094711A" w:rsidRPr="00E76F52">
        <w:rPr>
          <w:rFonts w:ascii="Calibri" w:hAnsi="Calibri" w:cs="Calibri"/>
          <w:color w:val="000000" w:themeColor="text1"/>
          <w:sz w:val="24"/>
          <w:szCs w:val="24"/>
        </w:rPr>
        <w:t>průběhu roku 2013</w:t>
      </w:r>
      <w:r w:rsidR="00A94AAC" w:rsidRPr="00E76F52">
        <w:rPr>
          <w:rFonts w:ascii="Calibri" w:hAnsi="Calibri" w:cs="Calibri"/>
          <w:color w:val="000000" w:themeColor="text1"/>
          <w:sz w:val="24"/>
          <w:szCs w:val="24"/>
        </w:rPr>
        <w:t xml:space="preserve"> </w:t>
      </w:r>
      <w:r w:rsidR="00456B68" w:rsidRPr="00E76F52">
        <w:rPr>
          <w:rFonts w:ascii="Calibri" w:hAnsi="Calibri" w:cs="Calibri"/>
          <w:color w:val="000000" w:themeColor="text1"/>
          <w:sz w:val="24"/>
          <w:szCs w:val="24"/>
        </w:rPr>
        <w:t xml:space="preserve">na účtu </w:t>
      </w:r>
      <w:r w:rsidR="00576CA5">
        <w:rPr>
          <w:rFonts w:ascii="Calibri" w:hAnsi="Calibri" w:cs="Calibri"/>
          <w:color w:val="000000" w:themeColor="text1"/>
          <w:sz w:val="24"/>
          <w:szCs w:val="24"/>
        </w:rPr>
        <w:br/>
      </w:r>
      <w:r w:rsidR="00456B68" w:rsidRPr="00B02A1B">
        <w:rPr>
          <w:rFonts w:ascii="Calibri" w:hAnsi="Calibri" w:cs="Calibri"/>
          <w:color w:val="000000" w:themeColor="text1"/>
          <w:sz w:val="24"/>
          <w:szCs w:val="24"/>
        </w:rPr>
        <w:t>408</w:t>
      </w:r>
      <w:r w:rsidR="009E492D">
        <w:rPr>
          <w:rFonts w:ascii="Calibri" w:hAnsi="Calibri" w:cs="Calibri"/>
          <w:i/>
          <w:color w:val="000000" w:themeColor="text1"/>
          <w:sz w:val="24"/>
          <w:szCs w:val="24"/>
        </w:rPr>
        <w:t> </w:t>
      </w:r>
      <w:r w:rsidR="00456B68" w:rsidRPr="00E76F52">
        <w:rPr>
          <w:rFonts w:ascii="Calibri" w:hAnsi="Calibri" w:cs="Calibri"/>
          <w:i/>
          <w:color w:val="000000" w:themeColor="text1"/>
          <w:sz w:val="24"/>
          <w:szCs w:val="24"/>
        </w:rPr>
        <w:t>– Opravy minulých období</w:t>
      </w:r>
      <w:r w:rsidR="00A94AAC" w:rsidRPr="00E76F52">
        <w:rPr>
          <w:rFonts w:ascii="Calibri" w:hAnsi="Calibri" w:cs="Calibri"/>
          <w:color w:val="000000" w:themeColor="text1"/>
          <w:sz w:val="24"/>
          <w:szCs w:val="24"/>
        </w:rPr>
        <w:t xml:space="preserve"> </w:t>
      </w:r>
      <w:r w:rsidR="0094711A" w:rsidRPr="00E76F52">
        <w:rPr>
          <w:rFonts w:ascii="Calibri" w:hAnsi="Calibri" w:cs="Calibri"/>
          <w:color w:val="000000" w:themeColor="text1"/>
          <w:sz w:val="24"/>
          <w:szCs w:val="24"/>
        </w:rPr>
        <w:t>nerozčlenilo</w:t>
      </w:r>
      <w:r w:rsidR="00014D9A" w:rsidRPr="00E76F52">
        <w:rPr>
          <w:rFonts w:ascii="Calibri" w:hAnsi="Calibri" w:cs="Calibri"/>
          <w:color w:val="000000" w:themeColor="text1"/>
          <w:sz w:val="24"/>
          <w:szCs w:val="24"/>
        </w:rPr>
        <w:t xml:space="preserve"> v účetnictví</w:t>
      </w:r>
      <w:r w:rsidR="0094711A" w:rsidRPr="00E76F52">
        <w:rPr>
          <w:rFonts w:ascii="Calibri" w:hAnsi="Calibri" w:cs="Calibri"/>
          <w:color w:val="000000" w:themeColor="text1"/>
          <w:sz w:val="24"/>
          <w:szCs w:val="24"/>
        </w:rPr>
        <w:t xml:space="preserve"> </w:t>
      </w:r>
      <w:r w:rsidR="00A94AAC" w:rsidRPr="00E76F52">
        <w:rPr>
          <w:rFonts w:ascii="Calibri" w:hAnsi="Calibri" w:cs="Calibri"/>
          <w:color w:val="000000" w:themeColor="text1"/>
          <w:sz w:val="24"/>
          <w:szCs w:val="24"/>
        </w:rPr>
        <w:t>ve vztahu k</w:t>
      </w:r>
      <w:r w:rsidR="007405FC" w:rsidRPr="00E76F52">
        <w:rPr>
          <w:rFonts w:ascii="Calibri" w:hAnsi="Calibri" w:cs="Calibri"/>
          <w:color w:val="000000" w:themeColor="text1"/>
          <w:sz w:val="24"/>
          <w:szCs w:val="24"/>
        </w:rPr>
        <w:t xml:space="preserve"> </w:t>
      </w:r>
      <w:r w:rsidR="00A94AAC" w:rsidRPr="00E76F52">
        <w:rPr>
          <w:rFonts w:ascii="Calibri" w:hAnsi="Calibri" w:cs="Calibri"/>
          <w:color w:val="000000" w:themeColor="text1"/>
          <w:sz w:val="24"/>
          <w:szCs w:val="24"/>
        </w:rPr>
        <w:t>období minulému a</w:t>
      </w:r>
      <w:r w:rsidR="00AD68E7" w:rsidRPr="00E76F52">
        <w:rPr>
          <w:rFonts w:ascii="Calibri" w:hAnsi="Calibri" w:cs="Calibri"/>
          <w:color w:val="000000" w:themeColor="text1"/>
          <w:sz w:val="24"/>
          <w:szCs w:val="24"/>
        </w:rPr>
        <w:t> </w:t>
      </w:r>
      <w:r w:rsidR="00A94AAC" w:rsidRPr="00E76F52">
        <w:rPr>
          <w:rFonts w:ascii="Calibri" w:hAnsi="Calibri" w:cs="Calibri"/>
          <w:color w:val="000000" w:themeColor="text1"/>
          <w:sz w:val="24"/>
          <w:szCs w:val="24"/>
        </w:rPr>
        <w:t>k předchozím účetním obdobím</w:t>
      </w:r>
      <w:r w:rsidR="00AF58EE">
        <w:rPr>
          <w:rFonts w:ascii="Calibri" w:hAnsi="Calibri" w:cs="Calibri"/>
          <w:color w:val="000000" w:themeColor="text1"/>
          <w:sz w:val="24"/>
          <w:szCs w:val="24"/>
        </w:rPr>
        <w:t>,</w:t>
      </w:r>
      <w:r w:rsidRPr="00E76F52">
        <w:rPr>
          <w:rFonts w:ascii="Calibri" w:hAnsi="Calibri" w:cs="Calibri"/>
          <w:color w:val="000000" w:themeColor="text1"/>
          <w:sz w:val="24"/>
          <w:szCs w:val="24"/>
        </w:rPr>
        <w:t xml:space="preserve"> a 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 xml:space="preserve">důsledku </w:t>
      </w:r>
      <w:r w:rsidR="0094711A" w:rsidRPr="00E76F52">
        <w:rPr>
          <w:rFonts w:ascii="Calibri" w:hAnsi="Calibri" w:cs="Calibri"/>
          <w:color w:val="000000" w:themeColor="text1"/>
          <w:sz w:val="24"/>
          <w:szCs w:val="24"/>
        </w:rPr>
        <w:t xml:space="preserve">toho </w:t>
      </w:r>
      <w:r w:rsidRPr="00E76F52">
        <w:rPr>
          <w:rFonts w:ascii="Calibri" w:hAnsi="Calibri" w:cs="Calibri"/>
          <w:color w:val="000000" w:themeColor="text1"/>
          <w:sz w:val="24"/>
          <w:szCs w:val="24"/>
        </w:rPr>
        <w:t xml:space="preserve">nenaplnilo řádek </w:t>
      </w:r>
      <w:proofErr w:type="gramStart"/>
      <w:r w:rsidRPr="00E76F52">
        <w:rPr>
          <w:rFonts w:ascii="Calibri" w:hAnsi="Calibri" w:cs="Calibri"/>
          <w:i/>
          <w:color w:val="000000" w:themeColor="text1"/>
          <w:sz w:val="24"/>
          <w:szCs w:val="24"/>
        </w:rPr>
        <w:t>A.VII</w:t>
      </w:r>
      <w:proofErr w:type="gramEnd"/>
      <w:r w:rsidRPr="00E76F52">
        <w:rPr>
          <w:rFonts w:ascii="Calibri" w:hAnsi="Calibri" w:cs="Calibri"/>
          <w:i/>
          <w:color w:val="000000" w:themeColor="text1"/>
          <w:sz w:val="24"/>
          <w:szCs w:val="24"/>
        </w:rPr>
        <w:t>.</w:t>
      </w:r>
      <w:r w:rsidRPr="00E76F52">
        <w:rPr>
          <w:rFonts w:ascii="Calibri" w:hAnsi="Calibri" w:cs="Calibri"/>
          <w:color w:val="000000" w:themeColor="text1"/>
          <w:sz w:val="24"/>
          <w:szCs w:val="24"/>
        </w:rPr>
        <w:t>2</w:t>
      </w:r>
      <w:r w:rsidR="00A94AAC" w:rsidRPr="00E76F52">
        <w:rPr>
          <w:rFonts w:ascii="Calibri" w:hAnsi="Calibri" w:cs="Calibri"/>
          <w:color w:val="000000" w:themeColor="text1"/>
          <w:sz w:val="24"/>
          <w:szCs w:val="24"/>
        </w:rPr>
        <w:t xml:space="preserve"> </w:t>
      </w:r>
      <w:r w:rsidRPr="00B02A1B">
        <w:rPr>
          <w:rFonts w:ascii="Calibri" w:hAnsi="Calibri" w:cs="Calibri"/>
          <w:i/>
          <w:color w:val="000000" w:themeColor="text1"/>
          <w:sz w:val="24"/>
          <w:szCs w:val="24"/>
        </w:rPr>
        <w:t>Opravy předchozích účetních období</w:t>
      </w:r>
      <w:r w:rsidRPr="00E76F52">
        <w:rPr>
          <w:rFonts w:ascii="Calibri" w:hAnsi="Calibri" w:cs="Calibri"/>
          <w:color w:val="000000" w:themeColor="text1"/>
          <w:sz w:val="24"/>
          <w:szCs w:val="24"/>
        </w:rPr>
        <w:t>.</w:t>
      </w:r>
    </w:p>
    <w:p w:rsidR="007F494E" w:rsidRPr="00E76F52" w:rsidRDefault="007F494E" w:rsidP="00E76F52">
      <w:pPr>
        <w:spacing w:after="0" w:line="240" w:lineRule="auto"/>
        <w:jc w:val="both"/>
        <w:rPr>
          <w:rFonts w:ascii="Calibri" w:hAnsi="Calibri" w:cs="Calibri"/>
          <w:color w:val="000000" w:themeColor="text1"/>
          <w:sz w:val="24"/>
          <w:szCs w:val="24"/>
        </w:rPr>
      </w:pPr>
    </w:p>
    <w:p w:rsidR="00F96312" w:rsidRDefault="00F96312"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MŽP</w:t>
      </w:r>
      <w:r w:rsidR="00A94AA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naplnilo</w:t>
      </w:r>
      <w:r w:rsidR="00FC4655" w:rsidRPr="00FC4655">
        <w:rPr>
          <w:rFonts w:ascii="Calibri" w:hAnsi="Calibri" w:cs="Calibri"/>
          <w:color w:val="000000" w:themeColor="text1"/>
          <w:sz w:val="24"/>
          <w:szCs w:val="24"/>
        </w:rPr>
        <w:t xml:space="preserve"> </w:t>
      </w:r>
      <w:r w:rsidR="00FC4655" w:rsidRPr="00E76F52">
        <w:rPr>
          <w:rFonts w:ascii="Calibri" w:hAnsi="Calibri" w:cs="Calibri"/>
          <w:color w:val="000000" w:themeColor="text1"/>
          <w:sz w:val="24"/>
          <w:szCs w:val="24"/>
        </w:rPr>
        <w:t>nesprávně</w:t>
      </w:r>
      <w:r w:rsidR="002213F8" w:rsidRPr="00E76F52">
        <w:rPr>
          <w:rFonts w:ascii="Calibri" w:hAnsi="Calibri" w:cs="Calibri"/>
          <w:color w:val="000000" w:themeColor="text1"/>
          <w:sz w:val="24"/>
          <w:szCs w:val="24"/>
        </w:rPr>
        <w:t xml:space="preserve"> i</w:t>
      </w:r>
      <w:r w:rsidRPr="00E76F52">
        <w:rPr>
          <w:rFonts w:ascii="Calibri" w:hAnsi="Calibri" w:cs="Calibri"/>
          <w:color w:val="000000" w:themeColor="text1"/>
          <w:sz w:val="24"/>
          <w:szCs w:val="24"/>
        </w:rPr>
        <w:t xml:space="preserve"> položku </w:t>
      </w:r>
      <w:proofErr w:type="gramStart"/>
      <w:r w:rsidRPr="00E76F52">
        <w:rPr>
          <w:rFonts w:ascii="Calibri" w:hAnsi="Calibri" w:cs="Calibri"/>
          <w:i/>
          <w:color w:val="000000" w:themeColor="text1"/>
          <w:sz w:val="24"/>
          <w:szCs w:val="24"/>
        </w:rPr>
        <w:t>A.VII</w:t>
      </w:r>
      <w:proofErr w:type="gramEnd"/>
      <w:r w:rsidRPr="00E76F52">
        <w:rPr>
          <w:rFonts w:ascii="Calibri" w:hAnsi="Calibri" w:cs="Calibri"/>
          <w:i/>
          <w:color w:val="000000" w:themeColor="text1"/>
          <w:sz w:val="24"/>
          <w:szCs w:val="24"/>
        </w:rPr>
        <w:t xml:space="preserve">.1. Opravy minulého účetního období </w:t>
      </w:r>
      <w:r w:rsidRPr="00B02A1B">
        <w:rPr>
          <w:rFonts w:ascii="Calibri" w:hAnsi="Calibri" w:cs="Calibri"/>
          <w:color w:val="000000" w:themeColor="text1"/>
          <w:sz w:val="24"/>
          <w:szCs w:val="24"/>
        </w:rPr>
        <w:t xml:space="preserve">ve </w:t>
      </w:r>
      <w:r w:rsidRPr="00E76F52">
        <w:rPr>
          <w:rFonts w:ascii="Calibri" w:hAnsi="Calibri" w:cs="Calibri"/>
          <w:color w:val="000000" w:themeColor="text1"/>
          <w:sz w:val="24"/>
          <w:szCs w:val="24"/>
        </w:rPr>
        <w:t>sloupc</w:t>
      </w:r>
      <w:r w:rsidR="002213F8" w:rsidRPr="00E76F52">
        <w:rPr>
          <w:rFonts w:ascii="Calibri" w:hAnsi="Calibri" w:cs="Calibri"/>
          <w:color w:val="000000" w:themeColor="text1"/>
          <w:sz w:val="24"/>
          <w:szCs w:val="24"/>
        </w:rPr>
        <w:t>ích</w:t>
      </w:r>
      <w:r w:rsidRPr="00E76F52">
        <w:rPr>
          <w:rFonts w:ascii="Calibri" w:hAnsi="Calibri" w:cs="Calibri"/>
          <w:color w:val="000000" w:themeColor="text1"/>
          <w:sz w:val="24"/>
          <w:szCs w:val="24"/>
        </w:rPr>
        <w:t xml:space="preserve"> „zvýšení stavu“</w:t>
      </w:r>
      <w:r w:rsidR="002213F8" w:rsidRPr="00E76F52">
        <w:rPr>
          <w:rFonts w:ascii="Calibri" w:hAnsi="Calibri" w:cs="Calibri"/>
          <w:color w:val="000000" w:themeColor="text1"/>
          <w:sz w:val="24"/>
          <w:szCs w:val="24"/>
        </w:rPr>
        <w:t xml:space="preserve"> a „snížení stavu“</w:t>
      </w:r>
      <w:r w:rsidR="00E47BB2" w:rsidRPr="00E76F52">
        <w:rPr>
          <w:rFonts w:ascii="Calibri" w:hAnsi="Calibri" w:cs="Calibri"/>
          <w:color w:val="000000" w:themeColor="text1"/>
          <w:sz w:val="24"/>
          <w:szCs w:val="24"/>
        </w:rPr>
        <w:t>,</w:t>
      </w:r>
      <w:r w:rsidR="002213F8" w:rsidRPr="00E76F52">
        <w:rPr>
          <w:rFonts w:ascii="Calibri" w:hAnsi="Calibri" w:cs="Calibri"/>
          <w:color w:val="000000" w:themeColor="text1"/>
          <w:sz w:val="24"/>
          <w:szCs w:val="24"/>
        </w:rPr>
        <w:t xml:space="preserve"> a</w:t>
      </w:r>
      <w:r w:rsidRPr="00E76F52">
        <w:rPr>
          <w:rFonts w:ascii="Calibri" w:hAnsi="Calibri" w:cs="Calibri"/>
          <w:color w:val="000000" w:themeColor="text1"/>
          <w:sz w:val="24"/>
          <w:szCs w:val="24"/>
        </w:rPr>
        <w:t xml:space="preserve"> to </w:t>
      </w:r>
      <w:r w:rsidR="00456B68"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456B68" w:rsidRPr="00E76F52">
        <w:rPr>
          <w:rFonts w:ascii="Calibri" w:hAnsi="Calibri" w:cs="Calibri"/>
          <w:color w:val="000000" w:themeColor="text1"/>
          <w:sz w:val="24"/>
          <w:szCs w:val="24"/>
        </w:rPr>
        <w:t>důsledku skutečnosti</w:t>
      </w:r>
      <w:r w:rsidRPr="00E76F52">
        <w:rPr>
          <w:rFonts w:ascii="Calibri" w:hAnsi="Calibri" w:cs="Calibri"/>
          <w:color w:val="000000" w:themeColor="text1"/>
          <w:sz w:val="24"/>
          <w:szCs w:val="24"/>
        </w:rPr>
        <w:t>, že 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průběhu účetního období nepostupovalo 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souladu s</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 xml:space="preserve">bodem 3.5.6 ČÚS č. </w:t>
      </w:r>
      <w:r w:rsidRPr="00B02A1B">
        <w:rPr>
          <w:rFonts w:ascii="Calibri" w:hAnsi="Calibri" w:cs="Calibri"/>
          <w:color w:val="000000" w:themeColor="text1"/>
          <w:sz w:val="24"/>
          <w:szCs w:val="24"/>
        </w:rPr>
        <w:t>709</w:t>
      </w:r>
      <w:r w:rsidRPr="00E76F52">
        <w:rPr>
          <w:rFonts w:ascii="Calibri" w:hAnsi="Calibri" w:cs="Calibri"/>
          <w:i/>
          <w:color w:val="000000" w:themeColor="text1"/>
          <w:sz w:val="24"/>
          <w:szCs w:val="24"/>
        </w:rPr>
        <w:t xml:space="preserve"> – Vlastní zdroje</w:t>
      </w:r>
      <w:r w:rsidR="0042450F" w:rsidRPr="00E76F52">
        <w:rPr>
          <w:rFonts w:ascii="Calibri" w:hAnsi="Calibri" w:cs="Calibri"/>
          <w:color w:val="000000" w:themeColor="text1"/>
          <w:sz w:val="24"/>
          <w:szCs w:val="24"/>
        </w:rPr>
        <w:t>, který</w:t>
      </w:r>
      <w:r w:rsidR="00FF07BB"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stanoví, že o</w:t>
      </w:r>
      <w:r w:rsidR="00AD68E7" w:rsidRPr="00E76F52">
        <w:rPr>
          <w:rFonts w:ascii="Calibri" w:hAnsi="Calibri" w:cs="Calibri"/>
          <w:color w:val="000000" w:themeColor="text1"/>
          <w:sz w:val="24"/>
          <w:szCs w:val="24"/>
        </w:rPr>
        <w:t> </w:t>
      </w:r>
      <w:r w:rsidRPr="00E76F52">
        <w:rPr>
          <w:rFonts w:ascii="Calibri" w:hAnsi="Calibri" w:cs="Calibri"/>
          <w:color w:val="000000" w:themeColor="text1"/>
          <w:sz w:val="24"/>
          <w:szCs w:val="24"/>
        </w:rPr>
        <w:t xml:space="preserve">významných opravách se na účtu </w:t>
      </w:r>
      <w:r w:rsidRPr="00B02A1B">
        <w:rPr>
          <w:rFonts w:ascii="Calibri" w:hAnsi="Calibri" w:cs="Calibri"/>
          <w:color w:val="000000" w:themeColor="text1"/>
          <w:sz w:val="24"/>
          <w:szCs w:val="24"/>
        </w:rPr>
        <w:t>408</w:t>
      </w:r>
      <w:r w:rsidRPr="00E76F52">
        <w:rPr>
          <w:rFonts w:ascii="Calibri" w:hAnsi="Calibri" w:cs="Calibri"/>
          <w:i/>
          <w:color w:val="000000" w:themeColor="text1"/>
          <w:sz w:val="24"/>
          <w:szCs w:val="24"/>
        </w:rPr>
        <w:t xml:space="preserve"> – Opravy minulých období </w:t>
      </w:r>
      <w:r w:rsidRPr="00E76F52">
        <w:rPr>
          <w:rFonts w:ascii="Calibri" w:hAnsi="Calibri" w:cs="Calibri"/>
          <w:color w:val="000000" w:themeColor="text1"/>
          <w:sz w:val="24"/>
          <w:szCs w:val="24"/>
        </w:rPr>
        <w:t>účtuje v</w:t>
      </w:r>
      <w:r w:rsidR="008D1CBE" w:rsidRPr="00E76F52">
        <w:rPr>
          <w:rFonts w:ascii="Calibri" w:hAnsi="Calibri" w:cs="Calibri"/>
          <w:color w:val="000000" w:themeColor="text1"/>
          <w:sz w:val="24"/>
          <w:szCs w:val="24"/>
        </w:rPr>
        <w:t>ždy v</w:t>
      </w:r>
      <w:r w:rsidR="00FC4655">
        <w:rPr>
          <w:rFonts w:ascii="Calibri" w:hAnsi="Calibri" w:cs="Calibri"/>
          <w:color w:val="000000" w:themeColor="text1"/>
          <w:sz w:val="24"/>
          <w:szCs w:val="24"/>
        </w:rPr>
        <w:t> </w:t>
      </w:r>
      <w:r w:rsidRPr="00E76F52">
        <w:rPr>
          <w:rFonts w:ascii="Calibri" w:hAnsi="Calibri" w:cs="Calibri"/>
          <w:color w:val="000000" w:themeColor="text1"/>
          <w:sz w:val="24"/>
          <w:szCs w:val="24"/>
        </w:rPr>
        <w:t>částkách</w:t>
      </w:r>
      <w:r w:rsidR="008D1CBE"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s kladným znaménkem</w:t>
      </w:r>
      <w:r w:rsidR="006C306A" w:rsidRPr="00E76F52">
        <w:rPr>
          <w:rFonts w:ascii="Calibri" w:hAnsi="Calibri" w:cs="Calibri"/>
          <w:color w:val="000000" w:themeColor="text1"/>
          <w:sz w:val="24"/>
          <w:szCs w:val="24"/>
        </w:rPr>
        <w:t xml:space="preserve"> </w:t>
      </w:r>
      <w:r w:rsidR="0042450F" w:rsidRPr="00E76F52">
        <w:rPr>
          <w:rFonts w:ascii="Calibri" w:hAnsi="Calibri" w:cs="Calibri"/>
          <w:color w:val="000000" w:themeColor="text1"/>
          <w:sz w:val="24"/>
          <w:szCs w:val="24"/>
        </w:rPr>
        <w:t>(</w:t>
      </w:r>
      <w:r w:rsidR="006C306A" w:rsidRPr="00E76F52">
        <w:rPr>
          <w:rFonts w:ascii="Calibri" w:hAnsi="Calibri" w:cs="Calibri"/>
          <w:color w:val="000000" w:themeColor="text1"/>
          <w:sz w:val="24"/>
          <w:szCs w:val="24"/>
        </w:rPr>
        <w:t xml:space="preserve">tzn. stejným způsobem, jakým </w:t>
      </w:r>
      <w:r w:rsidR="00993D66">
        <w:rPr>
          <w:rFonts w:ascii="Calibri" w:hAnsi="Calibri" w:cs="Calibri"/>
          <w:color w:val="000000" w:themeColor="text1"/>
          <w:sz w:val="24"/>
          <w:szCs w:val="24"/>
        </w:rPr>
        <w:t>je účtováno</w:t>
      </w:r>
      <w:r w:rsidR="006C306A" w:rsidRPr="00E76F52">
        <w:rPr>
          <w:rFonts w:ascii="Calibri" w:hAnsi="Calibri" w:cs="Calibri"/>
          <w:color w:val="000000" w:themeColor="text1"/>
          <w:sz w:val="24"/>
          <w:szCs w:val="24"/>
        </w:rPr>
        <w:t xml:space="preserve"> o</w:t>
      </w:r>
      <w:r w:rsidR="00993D66">
        <w:rPr>
          <w:rFonts w:ascii="Calibri" w:hAnsi="Calibri" w:cs="Calibri"/>
          <w:color w:val="000000" w:themeColor="text1"/>
          <w:sz w:val="24"/>
          <w:szCs w:val="24"/>
        </w:rPr>
        <w:t> </w:t>
      </w:r>
      <w:r w:rsidR="006C306A" w:rsidRPr="00E76F52">
        <w:rPr>
          <w:rFonts w:ascii="Calibri" w:hAnsi="Calibri" w:cs="Calibri"/>
          <w:color w:val="000000" w:themeColor="text1"/>
          <w:sz w:val="24"/>
          <w:szCs w:val="24"/>
        </w:rPr>
        <w:t>původním účetním případu</w:t>
      </w:r>
      <w:r w:rsidR="0042450F" w:rsidRPr="00E76F52">
        <w:rPr>
          <w:rFonts w:ascii="Calibri" w:hAnsi="Calibri" w:cs="Calibri"/>
          <w:color w:val="000000" w:themeColor="text1"/>
          <w:sz w:val="24"/>
          <w:szCs w:val="24"/>
        </w:rPr>
        <w:t>)</w:t>
      </w:r>
      <w:r w:rsidRPr="00E76F52">
        <w:rPr>
          <w:rFonts w:ascii="Calibri" w:hAnsi="Calibri" w:cs="Calibri"/>
          <w:color w:val="000000" w:themeColor="text1"/>
          <w:sz w:val="24"/>
          <w:szCs w:val="24"/>
        </w:rPr>
        <w:t>. MŽP v</w:t>
      </w:r>
      <w:r w:rsidR="007405FC"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průběhu účetního období účtovalo o těchto opravách v</w:t>
      </w:r>
      <w:r w:rsidR="00993D66">
        <w:rPr>
          <w:rFonts w:ascii="Calibri" w:hAnsi="Calibri" w:cs="Calibri"/>
          <w:color w:val="000000" w:themeColor="text1"/>
          <w:sz w:val="24"/>
          <w:szCs w:val="24"/>
        </w:rPr>
        <w:t> </w:t>
      </w:r>
      <w:r w:rsidRPr="00E76F52">
        <w:rPr>
          <w:rFonts w:ascii="Calibri" w:hAnsi="Calibri" w:cs="Calibri"/>
          <w:color w:val="000000" w:themeColor="text1"/>
          <w:sz w:val="24"/>
          <w:szCs w:val="24"/>
        </w:rPr>
        <w:t xml:space="preserve">záporných částkách </w:t>
      </w:r>
      <w:r w:rsidR="0042450F" w:rsidRPr="00E76F52">
        <w:rPr>
          <w:rFonts w:ascii="Calibri" w:hAnsi="Calibri" w:cs="Calibri"/>
          <w:color w:val="000000" w:themeColor="text1"/>
          <w:sz w:val="24"/>
          <w:szCs w:val="24"/>
        </w:rPr>
        <w:t>(</w:t>
      </w:r>
      <w:r w:rsidR="006C306A" w:rsidRPr="00E76F52">
        <w:rPr>
          <w:rFonts w:ascii="Calibri" w:hAnsi="Calibri" w:cs="Calibri"/>
          <w:color w:val="000000" w:themeColor="text1"/>
          <w:sz w:val="24"/>
          <w:szCs w:val="24"/>
        </w:rPr>
        <w:t>tzn.</w:t>
      </w:r>
      <w:r w:rsidR="00A94AAC" w:rsidRPr="00E76F52">
        <w:rPr>
          <w:rFonts w:ascii="Calibri" w:hAnsi="Calibri" w:cs="Calibri"/>
          <w:color w:val="000000" w:themeColor="text1"/>
          <w:sz w:val="24"/>
          <w:szCs w:val="24"/>
        </w:rPr>
        <w:t xml:space="preserve"> </w:t>
      </w:r>
      <w:r w:rsidR="006C306A" w:rsidRPr="00E76F52">
        <w:rPr>
          <w:rFonts w:ascii="Calibri" w:hAnsi="Calibri" w:cs="Calibri"/>
          <w:color w:val="000000" w:themeColor="text1"/>
          <w:sz w:val="24"/>
          <w:szCs w:val="24"/>
        </w:rPr>
        <w:t>opačným způsobem, než jakým účtoval</w:t>
      </w:r>
      <w:r w:rsidR="00675A61" w:rsidRPr="00E76F52">
        <w:rPr>
          <w:rFonts w:ascii="Calibri" w:hAnsi="Calibri" w:cs="Calibri"/>
          <w:color w:val="000000" w:themeColor="text1"/>
          <w:sz w:val="24"/>
          <w:szCs w:val="24"/>
        </w:rPr>
        <w:t>o</w:t>
      </w:r>
      <w:r w:rsidR="006C306A" w:rsidRPr="00E76F52">
        <w:rPr>
          <w:rFonts w:ascii="Calibri" w:hAnsi="Calibri" w:cs="Calibri"/>
          <w:color w:val="000000" w:themeColor="text1"/>
          <w:sz w:val="24"/>
          <w:szCs w:val="24"/>
        </w:rPr>
        <w:t xml:space="preserve"> o původním účetním případu</w:t>
      </w:r>
      <w:r w:rsidR="0042450F" w:rsidRPr="00E76F52">
        <w:rPr>
          <w:rFonts w:ascii="Calibri" w:hAnsi="Calibri" w:cs="Calibri"/>
          <w:color w:val="000000" w:themeColor="text1"/>
          <w:sz w:val="24"/>
          <w:szCs w:val="24"/>
        </w:rPr>
        <w:t>)</w:t>
      </w:r>
      <w:r w:rsidR="00AF58EE">
        <w:rPr>
          <w:rFonts w:ascii="Calibri" w:hAnsi="Calibri" w:cs="Calibri"/>
          <w:color w:val="000000" w:themeColor="text1"/>
          <w:sz w:val="24"/>
          <w:szCs w:val="24"/>
        </w:rPr>
        <w:t>,</w:t>
      </w:r>
      <w:r w:rsidR="006C306A" w:rsidRPr="00E76F52">
        <w:rPr>
          <w:rFonts w:ascii="Calibri" w:hAnsi="Calibri" w:cs="Calibri"/>
          <w:color w:val="000000" w:themeColor="text1"/>
          <w:sz w:val="24"/>
          <w:szCs w:val="24"/>
        </w:rPr>
        <w:t xml:space="preserve"> </w:t>
      </w:r>
      <w:r w:rsidR="00FC4655">
        <w:rPr>
          <w:rFonts w:ascii="Calibri" w:hAnsi="Calibri" w:cs="Calibri"/>
          <w:color w:val="000000" w:themeColor="text1"/>
          <w:sz w:val="24"/>
          <w:szCs w:val="24"/>
        </w:rPr>
        <w:t>a </w:t>
      </w:r>
      <w:r w:rsidRPr="00E76F52">
        <w:rPr>
          <w:rFonts w:ascii="Calibri" w:hAnsi="Calibri" w:cs="Calibri"/>
          <w:color w:val="000000" w:themeColor="text1"/>
          <w:sz w:val="24"/>
          <w:szCs w:val="24"/>
        </w:rPr>
        <w:t>v</w:t>
      </w:r>
      <w:r w:rsidR="00FC4655">
        <w:rPr>
          <w:rFonts w:ascii="Calibri" w:hAnsi="Calibri" w:cs="Calibri"/>
          <w:color w:val="000000" w:themeColor="text1"/>
          <w:sz w:val="24"/>
          <w:szCs w:val="24"/>
        </w:rPr>
        <w:t> </w:t>
      </w:r>
      <w:r w:rsidRPr="00E76F52">
        <w:rPr>
          <w:rFonts w:ascii="Calibri" w:hAnsi="Calibri" w:cs="Calibri"/>
          <w:color w:val="000000" w:themeColor="text1"/>
          <w:sz w:val="24"/>
          <w:szCs w:val="24"/>
        </w:rPr>
        <w:t xml:space="preserve">důsledku této skutečnosti </w:t>
      </w:r>
      <w:r w:rsidR="006A3D80" w:rsidRPr="00E76F52">
        <w:rPr>
          <w:rFonts w:ascii="Calibri" w:hAnsi="Calibri" w:cs="Calibri"/>
          <w:color w:val="000000" w:themeColor="text1"/>
          <w:sz w:val="24"/>
          <w:szCs w:val="24"/>
        </w:rPr>
        <w:t xml:space="preserve">podhodnotilo položku </w:t>
      </w:r>
      <w:proofErr w:type="gramStart"/>
      <w:r w:rsidR="006A3D80" w:rsidRPr="00E76F52">
        <w:rPr>
          <w:rFonts w:ascii="Calibri" w:hAnsi="Calibri" w:cs="Calibri"/>
          <w:i/>
          <w:color w:val="000000" w:themeColor="text1"/>
          <w:sz w:val="24"/>
          <w:szCs w:val="24"/>
        </w:rPr>
        <w:t>A.VII</w:t>
      </w:r>
      <w:proofErr w:type="gramEnd"/>
      <w:r w:rsidR="006A3D80" w:rsidRPr="00E76F52">
        <w:rPr>
          <w:rFonts w:ascii="Calibri" w:hAnsi="Calibri" w:cs="Calibri"/>
          <w:i/>
          <w:color w:val="000000" w:themeColor="text1"/>
          <w:sz w:val="24"/>
          <w:szCs w:val="24"/>
        </w:rPr>
        <w:t>.1. Opravy minulého účetního období</w:t>
      </w:r>
      <w:r w:rsidR="006A3D80" w:rsidRPr="00E76F52">
        <w:rPr>
          <w:rFonts w:ascii="Calibri" w:hAnsi="Calibri" w:cs="Calibri"/>
          <w:color w:val="000000" w:themeColor="text1"/>
          <w:sz w:val="24"/>
          <w:szCs w:val="24"/>
        </w:rPr>
        <w:t xml:space="preserve"> ve sloupci </w:t>
      </w:r>
      <w:r w:rsidR="00675A61" w:rsidRPr="00E76F52">
        <w:rPr>
          <w:rFonts w:ascii="Calibri" w:hAnsi="Calibri" w:cs="Calibri"/>
          <w:color w:val="000000" w:themeColor="text1"/>
          <w:sz w:val="24"/>
          <w:szCs w:val="24"/>
        </w:rPr>
        <w:t>„</w:t>
      </w:r>
      <w:r w:rsidR="006A3D80" w:rsidRPr="00E76F52">
        <w:rPr>
          <w:rFonts w:ascii="Calibri" w:hAnsi="Calibri" w:cs="Calibri"/>
          <w:color w:val="000000" w:themeColor="text1"/>
          <w:sz w:val="24"/>
          <w:szCs w:val="24"/>
        </w:rPr>
        <w:t>snížení stavu</w:t>
      </w:r>
      <w:r w:rsidR="00675A61" w:rsidRPr="00E76F52">
        <w:rPr>
          <w:rFonts w:ascii="Calibri" w:hAnsi="Calibri" w:cs="Calibri"/>
          <w:color w:val="000000" w:themeColor="text1"/>
          <w:sz w:val="24"/>
          <w:szCs w:val="24"/>
        </w:rPr>
        <w:t>“</w:t>
      </w:r>
      <w:r w:rsidR="002213F8" w:rsidRPr="00E76F52">
        <w:rPr>
          <w:rFonts w:ascii="Calibri" w:hAnsi="Calibri" w:cs="Calibri"/>
          <w:color w:val="000000" w:themeColor="text1"/>
          <w:sz w:val="24"/>
          <w:szCs w:val="24"/>
        </w:rPr>
        <w:t xml:space="preserve"> i ve sloupci „zvýšení stavu“</w:t>
      </w:r>
      <w:r w:rsidR="006A3D80" w:rsidRPr="00E76F52">
        <w:rPr>
          <w:rFonts w:ascii="Calibri" w:hAnsi="Calibri" w:cs="Calibri"/>
          <w:color w:val="000000" w:themeColor="text1"/>
          <w:sz w:val="24"/>
          <w:szCs w:val="24"/>
        </w:rPr>
        <w:t xml:space="preserve"> o 273</w:t>
      </w:r>
      <w:r w:rsidR="007405FC" w:rsidRPr="00E76F52">
        <w:rPr>
          <w:rFonts w:ascii="Calibri" w:hAnsi="Calibri" w:cs="Calibri"/>
          <w:color w:val="000000" w:themeColor="text1"/>
          <w:sz w:val="24"/>
          <w:szCs w:val="24"/>
        </w:rPr>
        <w:t xml:space="preserve"> </w:t>
      </w:r>
      <w:r w:rsidR="006A3D80" w:rsidRPr="00E76F52">
        <w:rPr>
          <w:rFonts w:ascii="Calibri" w:hAnsi="Calibri" w:cs="Calibri"/>
          <w:color w:val="000000" w:themeColor="text1"/>
          <w:sz w:val="24"/>
          <w:szCs w:val="24"/>
        </w:rPr>
        <w:t>387</w:t>
      </w:r>
      <w:r w:rsidR="007405FC" w:rsidRPr="00E76F52">
        <w:rPr>
          <w:rFonts w:ascii="Calibri" w:hAnsi="Calibri" w:cs="Calibri"/>
          <w:color w:val="000000" w:themeColor="text1"/>
          <w:sz w:val="24"/>
          <w:szCs w:val="24"/>
        </w:rPr>
        <w:t xml:space="preserve"> </w:t>
      </w:r>
      <w:r w:rsidR="006A3D80" w:rsidRPr="00E76F52">
        <w:rPr>
          <w:rFonts w:ascii="Calibri" w:hAnsi="Calibri" w:cs="Calibri"/>
          <w:color w:val="000000" w:themeColor="text1"/>
          <w:sz w:val="24"/>
          <w:szCs w:val="24"/>
        </w:rPr>
        <w:t>694,80 Kč.</w:t>
      </w:r>
    </w:p>
    <w:p w:rsidR="007F494E" w:rsidRPr="00E76F52" w:rsidRDefault="007F494E" w:rsidP="00E76F52">
      <w:pPr>
        <w:spacing w:after="0" w:line="240" w:lineRule="auto"/>
        <w:jc w:val="both"/>
        <w:rPr>
          <w:rFonts w:ascii="Calibri" w:hAnsi="Calibri" w:cs="Calibri"/>
          <w:color w:val="000000" w:themeColor="text1"/>
          <w:sz w:val="24"/>
          <w:szCs w:val="24"/>
        </w:rPr>
      </w:pPr>
    </w:p>
    <w:p w:rsidR="0070055A" w:rsidRPr="00E76F52" w:rsidRDefault="0070055A" w:rsidP="00E76F52">
      <w:pPr>
        <w:spacing w:after="0" w:line="240" w:lineRule="auto"/>
        <w:jc w:val="both"/>
        <w:rPr>
          <w:rFonts w:ascii="Calibri" w:hAnsi="Calibri" w:cs="Calibri"/>
          <w:b/>
          <w:i/>
          <w:color w:val="000000" w:themeColor="text1"/>
          <w:sz w:val="24"/>
          <w:szCs w:val="24"/>
        </w:rPr>
      </w:pPr>
      <w:r w:rsidRPr="00E76F52">
        <w:rPr>
          <w:rFonts w:ascii="Calibri" w:hAnsi="Calibri" w:cs="Calibri"/>
          <w:b/>
          <w:i/>
          <w:color w:val="000000" w:themeColor="text1"/>
          <w:sz w:val="24"/>
          <w:szCs w:val="24"/>
        </w:rPr>
        <w:t>Příloha účetní závěrky</w:t>
      </w:r>
      <w:r w:rsidR="00A849A5" w:rsidRPr="00E76F52">
        <w:rPr>
          <w:rFonts w:ascii="Calibri" w:hAnsi="Calibri" w:cs="Calibri"/>
          <w:b/>
          <w:i/>
          <w:color w:val="000000" w:themeColor="text1"/>
          <w:sz w:val="24"/>
          <w:szCs w:val="24"/>
        </w:rPr>
        <w:t xml:space="preserve"> </w:t>
      </w:r>
    </w:p>
    <w:p w:rsidR="007F494E" w:rsidRDefault="007F494E" w:rsidP="00E76F52">
      <w:pPr>
        <w:spacing w:after="0" w:line="240" w:lineRule="auto"/>
        <w:jc w:val="both"/>
        <w:rPr>
          <w:rFonts w:ascii="Calibri" w:hAnsi="Calibri" w:cs="Calibri"/>
          <w:color w:val="000000" w:themeColor="text1"/>
          <w:sz w:val="24"/>
          <w:szCs w:val="24"/>
        </w:rPr>
      </w:pPr>
    </w:p>
    <w:p w:rsidR="00740094" w:rsidRDefault="00410BD0"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MŽP nenaplnilo některé položky </w:t>
      </w:r>
      <w:r w:rsidR="00517460" w:rsidRPr="00E76F52">
        <w:rPr>
          <w:rFonts w:ascii="Calibri" w:hAnsi="Calibri" w:cs="Calibri"/>
          <w:color w:val="000000" w:themeColor="text1"/>
          <w:sz w:val="24"/>
          <w:szCs w:val="24"/>
        </w:rPr>
        <w:t>p</w:t>
      </w:r>
      <w:r w:rsidRPr="00E76F52">
        <w:rPr>
          <w:rFonts w:ascii="Calibri" w:hAnsi="Calibri" w:cs="Calibri"/>
          <w:color w:val="000000" w:themeColor="text1"/>
          <w:sz w:val="24"/>
          <w:szCs w:val="24"/>
        </w:rPr>
        <w:t>řílohy</w:t>
      </w:r>
      <w:r w:rsidR="001C7A73" w:rsidRPr="00E76F52">
        <w:rPr>
          <w:rFonts w:ascii="Calibri" w:hAnsi="Calibri" w:cs="Calibri"/>
          <w:color w:val="000000" w:themeColor="text1"/>
          <w:sz w:val="24"/>
          <w:szCs w:val="24"/>
        </w:rPr>
        <w:t xml:space="preserve"> </w:t>
      </w:r>
      <w:r w:rsidR="00517460" w:rsidRPr="00E76F52">
        <w:rPr>
          <w:rFonts w:ascii="Calibri" w:hAnsi="Calibri" w:cs="Calibri"/>
          <w:color w:val="000000" w:themeColor="text1"/>
          <w:sz w:val="24"/>
          <w:szCs w:val="24"/>
        </w:rPr>
        <w:t>ÚZ</w:t>
      </w:r>
      <w:r w:rsidRPr="00E76F52">
        <w:rPr>
          <w:rFonts w:ascii="Calibri" w:hAnsi="Calibri" w:cs="Calibri"/>
          <w:color w:val="000000" w:themeColor="text1"/>
          <w:sz w:val="24"/>
          <w:szCs w:val="24"/>
        </w:rPr>
        <w:t xml:space="preserve"> </w:t>
      </w:r>
      <w:r w:rsidR="00627C85"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627C85" w:rsidRPr="00E76F52">
        <w:rPr>
          <w:rFonts w:ascii="Calibri" w:hAnsi="Calibri" w:cs="Calibri"/>
          <w:color w:val="000000" w:themeColor="text1"/>
          <w:sz w:val="24"/>
          <w:szCs w:val="24"/>
        </w:rPr>
        <w:t>souladu s</w:t>
      </w:r>
      <w:r w:rsidR="007405FC" w:rsidRPr="00E76F52">
        <w:rPr>
          <w:rFonts w:ascii="Calibri" w:hAnsi="Calibri" w:cs="Calibri"/>
          <w:color w:val="000000" w:themeColor="text1"/>
          <w:sz w:val="24"/>
          <w:szCs w:val="24"/>
        </w:rPr>
        <w:t xml:space="preserve"> </w:t>
      </w:r>
      <w:r w:rsidR="00627C85" w:rsidRPr="00E76F52">
        <w:rPr>
          <w:rFonts w:ascii="Calibri" w:hAnsi="Calibri" w:cs="Calibri"/>
          <w:color w:val="000000" w:themeColor="text1"/>
          <w:sz w:val="24"/>
          <w:szCs w:val="24"/>
        </w:rPr>
        <w:t xml:space="preserve">ustanovením </w:t>
      </w:r>
      <w:r w:rsidRPr="00E76F52">
        <w:rPr>
          <w:rFonts w:ascii="Calibri" w:hAnsi="Calibri" w:cs="Calibri"/>
          <w:color w:val="000000" w:themeColor="text1"/>
          <w:sz w:val="24"/>
          <w:szCs w:val="24"/>
        </w:rPr>
        <w:t xml:space="preserve">§ 45 </w:t>
      </w:r>
      <w:r w:rsidR="001C7A73" w:rsidRPr="00E76F52">
        <w:rPr>
          <w:rFonts w:ascii="Calibri" w:hAnsi="Calibri" w:cs="Calibri"/>
          <w:color w:val="000000" w:themeColor="text1"/>
          <w:sz w:val="24"/>
          <w:szCs w:val="24"/>
        </w:rPr>
        <w:t xml:space="preserve">odst. 1 </w:t>
      </w:r>
      <w:r w:rsidRPr="00E76F52">
        <w:rPr>
          <w:rFonts w:ascii="Calibri" w:hAnsi="Calibri" w:cs="Calibri"/>
          <w:color w:val="000000" w:themeColor="text1"/>
          <w:sz w:val="24"/>
          <w:szCs w:val="24"/>
        </w:rPr>
        <w:t>vyhlášky č.</w:t>
      </w:r>
      <w:r w:rsidR="00AD68E7" w:rsidRPr="00E76F52">
        <w:rPr>
          <w:rFonts w:ascii="Calibri" w:hAnsi="Calibri" w:cs="Calibri"/>
          <w:color w:val="000000" w:themeColor="text1"/>
          <w:sz w:val="24"/>
          <w:szCs w:val="24"/>
        </w:rPr>
        <w:t> </w:t>
      </w:r>
      <w:r w:rsidRPr="00E76F52">
        <w:rPr>
          <w:rFonts w:ascii="Calibri" w:hAnsi="Calibri" w:cs="Calibri"/>
          <w:color w:val="000000" w:themeColor="text1"/>
          <w:sz w:val="24"/>
          <w:szCs w:val="24"/>
        </w:rPr>
        <w:t>410/2009 Sb.</w:t>
      </w:r>
      <w:r w:rsidR="00C30039" w:rsidRPr="00E76F52">
        <w:rPr>
          <w:rFonts w:ascii="Calibri" w:hAnsi="Calibri" w:cs="Calibri"/>
          <w:color w:val="000000" w:themeColor="text1"/>
          <w:sz w:val="24"/>
          <w:szCs w:val="24"/>
        </w:rPr>
        <w:t xml:space="preserve"> </w:t>
      </w:r>
    </w:p>
    <w:p w:rsidR="007F494E" w:rsidRPr="00E76F52" w:rsidRDefault="007F494E" w:rsidP="00E76F52">
      <w:pPr>
        <w:spacing w:after="0" w:line="240" w:lineRule="auto"/>
        <w:jc w:val="both"/>
        <w:rPr>
          <w:rFonts w:ascii="Calibri" w:hAnsi="Calibri" w:cs="Calibri"/>
          <w:color w:val="000000" w:themeColor="text1"/>
          <w:sz w:val="24"/>
          <w:szCs w:val="24"/>
        </w:rPr>
      </w:pPr>
    </w:p>
    <w:p w:rsidR="00627C85" w:rsidRDefault="00C30039"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MŽP v</w:t>
      </w:r>
      <w:r w:rsidR="007405FC" w:rsidRPr="00E76F52">
        <w:rPr>
          <w:rFonts w:ascii="Calibri" w:hAnsi="Calibri" w:cs="Calibri"/>
          <w:color w:val="000000" w:themeColor="text1"/>
          <w:sz w:val="24"/>
          <w:szCs w:val="24"/>
        </w:rPr>
        <w:t xml:space="preserve"> </w:t>
      </w:r>
      <w:r w:rsidR="008D0BF9" w:rsidRPr="00E76F52">
        <w:rPr>
          <w:rFonts w:ascii="Calibri" w:hAnsi="Calibri" w:cs="Calibri"/>
          <w:color w:val="000000" w:themeColor="text1"/>
          <w:sz w:val="24"/>
          <w:szCs w:val="24"/>
        </w:rPr>
        <w:t>příloze ÚZ sestavené k</w:t>
      </w:r>
      <w:r w:rsidR="007405FC" w:rsidRPr="00E76F52">
        <w:rPr>
          <w:rFonts w:ascii="Calibri" w:hAnsi="Calibri" w:cs="Calibri"/>
          <w:color w:val="000000" w:themeColor="text1"/>
          <w:sz w:val="24"/>
          <w:szCs w:val="24"/>
        </w:rPr>
        <w:t xml:space="preserve"> </w:t>
      </w:r>
      <w:r w:rsidR="008D0BF9" w:rsidRPr="00E76F52">
        <w:rPr>
          <w:rFonts w:ascii="Calibri" w:hAnsi="Calibri" w:cs="Calibri"/>
          <w:color w:val="000000" w:themeColor="text1"/>
          <w:sz w:val="24"/>
          <w:szCs w:val="24"/>
        </w:rPr>
        <w:t>31. prosinci 2013</w:t>
      </w:r>
      <w:r w:rsidRPr="00E76F52">
        <w:rPr>
          <w:rFonts w:ascii="Calibri" w:hAnsi="Calibri" w:cs="Calibri"/>
          <w:color w:val="000000" w:themeColor="text1"/>
          <w:sz w:val="24"/>
          <w:szCs w:val="24"/>
        </w:rPr>
        <w:t xml:space="preserve"> neuvedlo</w:t>
      </w:r>
      <w:r w:rsidR="003627D4" w:rsidRPr="00E76F52">
        <w:rPr>
          <w:rFonts w:ascii="Calibri" w:hAnsi="Calibri" w:cs="Calibri"/>
          <w:color w:val="000000" w:themeColor="text1"/>
          <w:sz w:val="24"/>
          <w:szCs w:val="24"/>
        </w:rPr>
        <w:t xml:space="preserve"> </w:t>
      </w:r>
      <w:r w:rsidRPr="00E76F52">
        <w:rPr>
          <w:rFonts w:ascii="Calibri" w:hAnsi="Calibri" w:cs="Calibri"/>
          <w:color w:val="000000" w:themeColor="text1"/>
          <w:sz w:val="24"/>
          <w:szCs w:val="24"/>
        </w:rPr>
        <w:t xml:space="preserve">informace </w:t>
      </w:r>
      <w:r w:rsidR="00357911" w:rsidRPr="00E76F52">
        <w:rPr>
          <w:rFonts w:ascii="Calibri" w:hAnsi="Calibri" w:cs="Calibri"/>
          <w:color w:val="000000" w:themeColor="text1"/>
          <w:sz w:val="24"/>
          <w:szCs w:val="24"/>
        </w:rPr>
        <w:t>k</w:t>
      </w:r>
      <w:r w:rsidR="007405FC" w:rsidRPr="00E76F52">
        <w:rPr>
          <w:rFonts w:ascii="Calibri" w:hAnsi="Calibri" w:cs="Calibri"/>
          <w:color w:val="000000" w:themeColor="text1"/>
          <w:sz w:val="24"/>
          <w:szCs w:val="24"/>
        </w:rPr>
        <w:t xml:space="preserve"> </w:t>
      </w:r>
      <w:r w:rsidR="00357911" w:rsidRPr="00E76F52">
        <w:rPr>
          <w:rFonts w:ascii="Calibri" w:hAnsi="Calibri" w:cs="Calibri"/>
          <w:color w:val="000000" w:themeColor="text1"/>
          <w:sz w:val="24"/>
          <w:szCs w:val="24"/>
        </w:rPr>
        <w:t>účetním metodám</w:t>
      </w:r>
      <w:r w:rsidR="000962EE" w:rsidRPr="00E76F52">
        <w:rPr>
          <w:rFonts w:ascii="Calibri" w:hAnsi="Calibri" w:cs="Calibri"/>
          <w:color w:val="000000" w:themeColor="text1"/>
          <w:sz w:val="24"/>
          <w:szCs w:val="24"/>
        </w:rPr>
        <w:t xml:space="preserve"> používaným v</w:t>
      </w:r>
      <w:r w:rsidR="007405FC" w:rsidRPr="00E76F52">
        <w:rPr>
          <w:rFonts w:ascii="Calibri" w:hAnsi="Calibri" w:cs="Calibri"/>
          <w:color w:val="000000" w:themeColor="text1"/>
          <w:sz w:val="24"/>
          <w:szCs w:val="24"/>
        </w:rPr>
        <w:t xml:space="preserve"> </w:t>
      </w:r>
      <w:r w:rsidR="000962EE" w:rsidRPr="00E76F52">
        <w:rPr>
          <w:rFonts w:ascii="Calibri" w:hAnsi="Calibri" w:cs="Calibri"/>
          <w:color w:val="000000" w:themeColor="text1"/>
          <w:sz w:val="24"/>
          <w:szCs w:val="24"/>
        </w:rPr>
        <w:t>průběhu roku 2013 (např. k</w:t>
      </w:r>
      <w:r w:rsidR="007405FC" w:rsidRPr="00E76F52">
        <w:rPr>
          <w:rFonts w:ascii="Calibri" w:hAnsi="Calibri" w:cs="Calibri"/>
          <w:color w:val="000000" w:themeColor="text1"/>
          <w:sz w:val="24"/>
          <w:szCs w:val="24"/>
        </w:rPr>
        <w:t xml:space="preserve"> </w:t>
      </w:r>
      <w:r w:rsidR="000962EE" w:rsidRPr="00E76F52">
        <w:rPr>
          <w:rFonts w:ascii="Calibri" w:hAnsi="Calibri" w:cs="Calibri"/>
          <w:color w:val="000000" w:themeColor="text1"/>
          <w:sz w:val="24"/>
          <w:szCs w:val="24"/>
        </w:rPr>
        <w:t>metodě odpisování, k</w:t>
      </w:r>
      <w:r w:rsidR="007405FC" w:rsidRPr="00E76F52">
        <w:rPr>
          <w:rFonts w:ascii="Calibri" w:hAnsi="Calibri" w:cs="Calibri"/>
          <w:color w:val="000000" w:themeColor="text1"/>
          <w:sz w:val="24"/>
          <w:szCs w:val="24"/>
        </w:rPr>
        <w:t xml:space="preserve"> </w:t>
      </w:r>
      <w:r w:rsidR="000962EE" w:rsidRPr="00E76F52">
        <w:rPr>
          <w:rFonts w:ascii="Calibri" w:hAnsi="Calibri" w:cs="Calibri"/>
          <w:color w:val="000000" w:themeColor="text1"/>
          <w:sz w:val="24"/>
          <w:szCs w:val="24"/>
        </w:rPr>
        <w:t>metodě časového rozlišení, k metodě kurzových rozdílů, k oceňování podmíněných aktiv a pasiv)</w:t>
      </w:r>
      <w:r w:rsidR="00AF58EE">
        <w:rPr>
          <w:rFonts w:ascii="Calibri" w:hAnsi="Calibri" w:cs="Calibri"/>
          <w:color w:val="000000" w:themeColor="text1"/>
          <w:sz w:val="24"/>
          <w:szCs w:val="24"/>
        </w:rPr>
        <w:t>,</w:t>
      </w:r>
      <w:r w:rsidR="0081316D" w:rsidRPr="00E76F52">
        <w:rPr>
          <w:rFonts w:ascii="Calibri" w:hAnsi="Calibri" w:cs="Calibri"/>
          <w:color w:val="000000" w:themeColor="text1"/>
          <w:sz w:val="24"/>
          <w:szCs w:val="24"/>
        </w:rPr>
        <w:t xml:space="preserve"> </w:t>
      </w:r>
      <w:r w:rsidR="00740094" w:rsidRPr="00E76F52">
        <w:rPr>
          <w:rFonts w:ascii="Calibri" w:hAnsi="Calibri" w:cs="Calibri"/>
          <w:color w:val="000000" w:themeColor="text1"/>
          <w:sz w:val="24"/>
          <w:szCs w:val="24"/>
        </w:rPr>
        <w:t>a</w:t>
      </w:r>
      <w:r w:rsidR="00517460" w:rsidRPr="00E76F52">
        <w:rPr>
          <w:rFonts w:ascii="Calibri" w:hAnsi="Calibri" w:cs="Calibri"/>
          <w:color w:val="000000" w:themeColor="text1"/>
          <w:sz w:val="24"/>
          <w:szCs w:val="24"/>
        </w:rPr>
        <w:t>ni</w:t>
      </w:r>
      <w:r w:rsidR="00740094" w:rsidRPr="00E76F52">
        <w:rPr>
          <w:rFonts w:ascii="Calibri" w:hAnsi="Calibri" w:cs="Calibri"/>
          <w:color w:val="000000" w:themeColor="text1"/>
          <w:sz w:val="24"/>
          <w:szCs w:val="24"/>
        </w:rPr>
        <w:t xml:space="preserve"> </w:t>
      </w:r>
      <w:r w:rsidR="00357911" w:rsidRPr="00E76F52">
        <w:rPr>
          <w:rFonts w:ascii="Calibri" w:hAnsi="Calibri" w:cs="Calibri"/>
          <w:color w:val="000000" w:themeColor="text1"/>
          <w:sz w:val="24"/>
          <w:szCs w:val="24"/>
        </w:rPr>
        <w:t>doplňující informace k</w:t>
      </w:r>
      <w:r w:rsidR="007405FC" w:rsidRPr="00E76F52">
        <w:rPr>
          <w:rFonts w:ascii="Calibri" w:hAnsi="Calibri" w:cs="Calibri"/>
          <w:color w:val="000000" w:themeColor="text1"/>
          <w:sz w:val="24"/>
          <w:szCs w:val="24"/>
        </w:rPr>
        <w:t xml:space="preserve"> </w:t>
      </w:r>
      <w:r w:rsidR="00357911" w:rsidRPr="00E76F52">
        <w:rPr>
          <w:rFonts w:ascii="Calibri" w:hAnsi="Calibri" w:cs="Calibri"/>
          <w:color w:val="000000" w:themeColor="text1"/>
          <w:sz w:val="24"/>
          <w:szCs w:val="24"/>
        </w:rPr>
        <w:t>položkám jednotlivých výkazů ÚZ sestavené k</w:t>
      </w:r>
      <w:r w:rsidR="007405FC" w:rsidRPr="00E76F52">
        <w:rPr>
          <w:rFonts w:ascii="Calibri" w:hAnsi="Calibri" w:cs="Calibri"/>
          <w:color w:val="000000" w:themeColor="text1"/>
          <w:sz w:val="24"/>
          <w:szCs w:val="24"/>
        </w:rPr>
        <w:t xml:space="preserve"> </w:t>
      </w:r>
      <w:r w:rsidR="00357911" w:rsidRPr="00E76F52">
        <w:rPr>
          <w:rFonts w:ascii="Calibri" w:hAnsi="Calibri" w:cs="Calibri"/>
          <w:color w:val="000000" w:themeColor="text1"/>
          <w:sz w:val="24"/>
          <w:szCs w:val="24"/>
        </w:rPr>
        <w:t xml:space="preserve">31. </w:t>
      </w:r>
      <w:r w:rsidR="00B00C5F" w:rsidRPr="00E76F52">
        <w:rPr>
          <w:rFonts w:ascii="Calibri" w:hAnsi="Calibri" w:cs="Calibri"/>
          <w:color w:val="000000" w:themeColor="text1"/>
          <w:sz w:val="24"/>
          <w:szCs w:val="24"/>
        </w:rPr>
        <w:t>prosinci</w:t>
      </w:r>
      <w:r w:rsidR="00357911" w:rsidRPr="00E76F52">
        <w:rPr>
          <w:rFonts w:ascii="Calibri" w:hAnsi="Calibri" w:cs="Calibri"/>
          <w:color w:val="000000" w:themeColor="text1"/>
          <w:sz w:val="24"/>
          <w:szCs w:val="24"/>
        </w:rPr>
        <w:t xml:space="preserve"> 2013</w:t>
      </w:r>
      <w:r w:rsidR="00E47BB2" w:rsidRPr="00E76F52">
        <w:rPr>
          <w:rFonts w:ascii="Calibri" w:hAnsi="Calibri" w:cs="Calibri"/>
          <w:color w:val="000000" w:themeColor="text1"/>
          <w:sz w:val="24"/>
          <w:szCs w:val="24"/>
        </w:rPr>
        <w:t>,</w:t>
      </w:r>
      <w:r w:rsidR="00517460" w:rsidRPr="00E76F52">
        <w:rPr>
          <w:rFonts w:ascii="Calibri" w:hAnsi="Calibri" w:cs="Calibri"/>
          <w:color w:val="000000" w:themeColor="text1"/>
          <w:sz w:val="24"/>
          <w:szCs w:val="24"/>
        </w:rPr>
        <w:t xml:space="preserve"> např.</w:t>
      </w:r>
      <w:r w:rsidR="00662502" w:rsidRPr="00E76F52">
        <w:rPr>
          <w:rFonts w:ascii="Calibri" w:hAnsi="Calibri" w:cs="Calibri"/>
          <w:color w:val="000000" w:themeColor="text1"/>
          <w:sz w:val="24"/>
          <w:szCs w:val="24"/>
        </w:rPr>
        <w:t xml:space="preserve"> informace k</w:t>
      </w:r>
      <w:r w:rsidR="00517460" w:rsidRPr="00E76F52">
        <w:rPr>
          <w:rFonts w:ascii="Calibri" w:hAnsi="Calibri" w:cs="Calibri"/>
          <w:color w:val="000000" w:themeColor="text1"/>
          <w:sz w:val="24"/>
          <w:szCs w:val="24"/>
        </w:rPr>
        <w:t xml:space="preserve"> uplatněné</w:t>
      </w:r>
      <w:r w:rsidR="001C28EC" w:rsidRPr="00E76F52">
        <w:rPr>
          <w:rFonts w:ascii="Calibri" w:hAnsi="Calibri" w:cs="Calibri"/>
          <w:color w:val="000000" w:themeColor="text1"/>
          <w:sz w:val="24"/>
          <w:szCs w:val="24"/>
        </w:rPr>
        <w:t xml:space="preserve"> plošné korekc</w:t>
      </w:r>
      <w:r w:rsidR="00517460" w:rsidRPr="00E76F52">
        <w:rPr>
          <w:rFonts w:ascii="Calibri" w:hAnsi="Calibri" w:cs="Calibri"/>
          <w:color w:val="000000" w:themeColor="text1"/>
          <w:sz w:val="24"/>
          <w:szCs w:val="24"/>
        </w:rPr>
        <w:t>i</w:t>
      </w:r>
      <w:r w:rsidR="001C28EC" w:rsidRPr="00E76F52">
        <w:rPr>
          <w:rFonts w:ascii="Calibri" w:hAnsi="Calibri" w:cs="Calibri"/>
          <w:color w:val="000000" w:themeColor="text1"/>
          <w:sz w:val="24"/>
          <w:szCs w:val="24"/>
        </w:rPr>
        <w:t xml:space="preserve"> v</w:t>
      </w:r>
      <w:r w:rsidR="007405FC" w:rsidRPr="00E76F52">
        <w:rPr>
          <w:rFonts w:ascii="Calibri" w:hAnsi="Calibri" w:cs="Calibri"/>
          <w:color w:val="000000" w:themeColor="text1"/>
          <w:sz w:val="24"/>
          <w:szCs w:val="24"/>
        </w:rPr>
        <w:t xml:space="preserve"> </w:t>
      </w:r>
      <w:r w:rsidR="00517460" w:rsidRPr="00E76F52">
        <w:rPr>
          <w:rFonts w:ascii="Calibri" w:hAnsi="Calibri" w:cs="Calibri"/>
          <w:color w:val="000000" w:themeColor="text1"/>
          <w:sz w:val="24"/>
          <w:szCs w:val="24"/>
        </w:rPr>
        <w:t xml:space="preserve">rámci </w:t>
      </w:r>
      <w:r w:rsidR="00AF58EE">
        <w:rPr>
          <w:rFonts w:ascii="Calibri" w:hAnsi="Calibri" w:cs="Calibri"/>
          <w:color w:val="000000" w:themeColor="text1"/>
          <w:sz w:val="24"/>
          <w:szCs w:val="24"/>
        </w:rPr>
        <w:t>o</w:t>
      </w:r>
      <w:r w:rsidR="001C28EC" w:rsidRPr="00E76F52">
        <w:rPr>
          <w:rFonts w:ascii="Calibri" w:hAnsi="Calibri" w:cs="Calibri"/>
          <w:color w:val="000000" w:themeColor="text1"/>
          <w:sz w:val="24"/>
          <w:szCs w:val="24"/>
        </w:rPr>
        <w:t>perační</w:t>
      </w:r>
      <w:r w:rsidR="00517460" w:rsidRPr="00E76F52">
        <w:rPr>
          <w:rFonts w:ascii="Calibri" w:hAnsi="Calibri" w:cs="Calibri"/>
          <w:color w:val="000000" w:themeColor="text1"/>
          <w:sz w:val="24"/>
          <w:szCs w:val="24"/>
        </w:rPr>
        <w:t>ho</w:t>
      </w:r>
      <w:r w:rsidR="001C28EC" w:rsidRPr="00E76F52">
        <w:rPr>
          <w:rFonts w:ascii="Calibri" w:hAnsi="Calibri" w:cs="Calibri"/>
          <w:color w:val="000000" w:themeColor="text1"/>
          <w:sz w:val="24"/>
          <w:szCs w:val="24"/>
        </w:rPr>
        <w:t xml:space="preserve"> programu </w:t>
      </w:r>
      <w:r w:rsidR="001C28EC" w:rsidRPr="00B02A1B">
        <w:rPr>
          <w:rFonts w:ascii="Calibri" w:hAnsi="Calibri" w:cs="Calibri"/>
          <w:i/>
          <w:color w:val="000000" w:themeColor="text1"/>
          <w:sz w:val="24"/>
          <w:szCs w:val="24"/>
        </w:rPr>
        <w:t>Životní prostředí</w:t>
      </w:r>
      <w:r w:rsidR="00662502" w:rsidRPr="00E76F52">
        <w:rPr>
          <w:rFonts w:ascii="Calibri" w:hAnsi="Calibri" w:cs="Calibri"/>
          <w:color w:val="000000" w:themeColor="text1"/>
          <w:sz w:val="24"/>
          <w:szCs w:val="24"/>
        </w:rPr>
        <w:t>,</w:t>
      </w:r>
      <w:r w:rsidR="0081316D" w:rsidRPr="00E76F52">
        <w:rPr>
          <w:rFonts w:ascii="Calibri" w:hAnsi="Calibri" w:cs="Calibri"/>
          <w:color w:val="000000" w:themeColor="text1"/>
          <w:sz w:val="24"/>
          <w:szCs w:val="24"/>
        </w:rPr>
        <w:t xml:space="preserve"> </w:t>
      </w:r>
      <w:r w:rsidR="001A7400" w:rsidRPr="00E76F52">
        <w:rPr>
          <w:rFonts w:ascii="Calibri" w:hAnsi="Calibri" w:cs="Calibri"/>
          <w:color w:val="000000" w:themeColor="text1"/>
          <w:sz w:val="24"/>
          <w:szCs w:val="24"/>
        </w:rPr>
        <w:t>k údajům vykázaným z</w:t>
      </w:r>
      <w:r w:rsidR="007405FC" w:rsidRPr="00E76F52">
        <w:rPr>
          <w:rFonts w:ascii="Calibri" w:hAnsi="Calibri" w:cs="Calibri"/>
          <w:color w:val="000000" w:themeColor="text1"/>
          <w:sz w:val="24"/>
          <w:szCs w:val="24"/>
        </w:rPr>
        <w:t xml:space="preserve"> </w:t>
      </w:r>
      <w:r w:rsidR="001A7400" w:rsidRPr="00E76F52">
        <w:rPr>
          <w:rFonts w:ascii="Calibri" w:hAnsi="Calibri" w:cs="Calibri"/>
          <w:color w:val="000000" w:themeColor="text1"/>
          <w:sz w:val="24"/>
          <w:szCs w:val="24"/>
        </w:rPr>
        <w:t>titulu hospodaření s</w:t>
      </w:r>
      <w:r w:rsidR="007405FC" w:rsidRPr="00E76F52">
        <w:rPr>
          <w:rFonts w:ascii="Calibri" w:hAnsi="Calibri" w:cs="Calibri"/>
          <w:color w:val="000000" w:themeColor="text1"/>
          <w:sz w:val="24"/>
          <w:szCs w:val="24"/>
        </w:rPr>
        <w:t xml:space="preserve"> </w:t>
      </w:r>
      <w:r w:rsidR="001A7400" w:rsidRPr="00E76F52">
        <w:rPr>
          <w:rFonts w:ascii="Calibri" w:hAnsi="Calibri" w:cs="Calibri"/>
          <w:color w:val="000000" w:themeColor="text1"/>
          <w:sz w:val="24"/>
          <w:szCs w:val="24"/>
        </w:rPr>
        <w:t>povolenkami na emise (viz část 1.2 tohoto kontrolního závěru)</w:t>
      </w:r>
      <w:r w:rsidR="00503763" w:rsidRPr="00E76F52">
        <w:rPr>
          <w:rFonts w:ascii="Calibri" w:hAnsi="Calibri" w:cs="Calibri"/>
          <w:color w:val="000000" w:themeColor="text1"/>
          <w:sz w:val="24"/>
          <w:szCs w:val="24"/>
        </w:rPr>
        <w:t xml:space="preserve">, </w:t>
      </w:r>
      <w:r w:rsidR="00662502" w:rsidRPr="00E76F52">
        <w:rPr>
          <w:rFonts w:ascii="Calibri" w:hAnsi="Calibri" w:cs="Calibri"/>
          <w:color w:val="000000" w:themeColor="text1"/>
          <w:sz w:val="24"/>
          <w:szCs w:val="24"/>
        </w:rPr>
        <w:t>k</w:t>
      </w:r>
      <w:r w:rsidR="007405FC" w:rsidRPr="00E76F52">
        <w:rPr>
          <w:rFonts w:ascii="Calibri" w:hAnsi="Calibri" w:cs="Calibri"/>
          <w:color w:val="000000" w:themeColor="text1"/>
          <w:sz w:val="24"/>
          <w:szCs w:val="24"/>
        </w:rPr>
        <w:t xml:space="preserve"> </w:t>
      </w:r>
      <w:r w:rsidR="00662502" w:rsidRPr="00E76F52">
        <w:rPr>
          <w:rFonts w:ascii="Calibri" w:hAnsi="Calibri" w:cs="Calibri"/>
          <w:color w:val="000000" w:themeColor="text1"/>
          <w:sz w:val="24"/>
          <w:szCs w:val="24"/>
        </w:rPr>
        <w:t xml:space="preserve">položkám </w:t>
      </w:r>
      <w:r w:rsidR="00AF58EE">
        <w:rPr>
          <w:rFonts w:ascii="Calibri" w:hAnsi="Calibri" w:cs="Calibri"/>
          <w:color w:val="000000" w:themeColor="text1"/>
          <w:sz w:val="24"/>
          <w:szCs w:val="24"/>
        </w:rPr>
        <w:t>p</w:t>
      </w:r>
      <w:r w:rsidR="00662502" w:rsidRPr="00E76F52">
        <w:rPr>
          <w:rFonts w:ascii="Calibri" w:hAnsi="Calibri" w:cs="Calibri"/>
          <w:color w:val="000000" w:themeColor="text1"/>
          <w:sz w:val="24"/>
          <w:szCs w:val="24"/>
        </w:rPr>
        <w:t>řehledu o peněžních tocích</w:t>
      </w:r>
      <w:r w:rsidR="00503763" w:rsidRPr="00E76F52">
        <w:rPr>
          <w:rFonts w:ascii="Calibri" w:hAnsi="Calibri" w:cs="Calibri"/>
          <w:color w:val="000000" w:themeColor="text1"/>
          <w:sz w:val="24"/>
          <w:szCs w:val="24"/>
        </w:rPr>
        <w:t xml:space="preserve"> ani </w:t>
      </w:r>
      <w:r w:rsidR="00993D66">
        <w:rPr>
          <w:rFonts w:ascii="Calibri" w:hAnsi="Calibri" w:cs="Calibri"/>
          <w:color w:val="000000" w:themeColor="text1"/>
          <w:sz w:val="24"/>
          <w:szCs w:val="24"/>
        </w:rPr>
        <w:t xml:space="preserve">informace </w:t>
      </w:r>
      <w:r w:rsidR="00503763" w:rsidRPr="00E76F52">
        <w:rPr>
          <w:rFonts w:ascii="Calibri" w:hAnsi="Calibri" w:cs="Calibri"/>
          <w:color w:val="000000" w:themeColor="text1"/>
          <w:sz w:val="24"/>
          <w:szCs w:val="24"/>
        </w:rPr>
        <w:t>k</w:t>
      </w:r>
      <w:r w:rsidR="007405FC" w:rsidRPr="00E76F52">
        <w:rPr>
          <w:rFonts w:ascii="Calibri" w:hAnsi="Calibri" w:cs="Calibri"/>
          <w:color w:val="000000" w:themeColor="text1"/>
          <w:sz w:val="24"/>
          <w:szCs w:val="24"/>
        </w:rPr>
        <w:t xml:space="preserve"> </w:t>
      </w:r>
      <w:r w:rsidR="00503763" w:rsidRPr="00E76F52">
        <w:rPr>
          <w:rFonts w:ascii="Calibri" w:hAnsi="Calibri" w:cs="Calibri"/>
          <w:color w:val="000000" w:themeColor="text1"/>
          <w:sz w:val="24"/>
          <w:szCs w:val="24"/>
        </w:rPr>
        <w:t xml:space="preserve">položkám </w:t>
      </w:r>
      <w:r w:rsidR="00AF58EE">
        <w:rPr>
          <w:rFonts w:ascii="Calibri" w:hAnsi="Calibri" w:cs="Calibri"/>
          <w:color w:val="000000" w:themeColor="text1"/>
          <w:sz w:val="24"/>
          <w:szCs w:val="24"/>
        </w:rPr>
        <w:t>p</w:t>
      </w:r>
      <w:r w:rsidR="00993D66">
        <w:rPr>
          <w:rFonts w:ascii="Calibri" w:hAnsi="Calibri" w:cs="Calibri"/>
          <w:color w:val="000000" w:themeColor="text1"/>
          <w:sz w:val="24"/>
          <w:szCs w:val="24"/>
        </w:rPr>
        <w:t>řehledu o </w:t>
      </w:r>
      <w:r w:rsidR="00503763" w:rsidRPr="00E76F52">
        <w:rPr>
          <w:rFonts w:ascii="Calibri" w:hAnsi="Calibri" w:cs="Calibri"/>
          <w:color w:val="000000" w:themeColor="text1"/>
          <w:sz w:val="24"/>
          <w:szCs w:val="24"/>
        </w:rPr>
        <w:t>změnách vlastního kapitálu</w:t>
      </w:r>
      <w:r w:rsidR="001A7400" w:rsidRPr="00E76F52">
        <w:rPr>
          <w:rFonts w:ascii="Calibri" w:hAnsi="Calibri" w:cs="Calibri"/>
          <w:color w:val="000000" w:themeColor="text1"/>
          <w:sz w:val="24"/>
          <w:szCs w:val="24"/>
        </w:rPr>
        <w:t>.</w:t>
      </w:r>
      <w:r w:rsidR="00627C85" w:rsidRPr="00E76F52">
        <w:rPr>
          <w:rFonts w:ascii="Calibri" w:hAnsi="Calibri" w:cs="Calibri"/>
          <w:color w:val="000000" w:themeColor="text1"/>
          <w:sz w:val="24"/>
          <w:szCs w:val="24"/>
        </w:rPr>
        <w:t xml:space="preserve"> </w:t>
      </w:r>
    </w:p>
    <w:p w:rsidR="007F494E" w:rsidRPr="00E76F52" w:rsidRDefault="007F494E" w:rsidP="00E76F52">
      <w:pPr>
        <w:spacing w:after="0" w:line="240" w:lineRule="auto"/>
        <w:jc w:val="both"/>
        <w:rPr>
          <w:rFonts w:ascii="Calibri" w:hAnsi="Calibri" w:cs="Calibri"/>
          <w:color w:val="000000" w:themeColor="text1"/>
          <w:sz w:val="24"/>
          <w:szCs w:val="24"/>
        </w:rPr>
      </w:pPr>
    </w:p>
    <w:p w:rsidR="0070055A" w:rsidRDefault="00D0026C"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V</w:t>
      </w:r>
      <w:r w:rsidR="007405FC" w:rsidRPr="00E76F52">
        <w:rPr>
          <w:rFonts w:ascii="Calibri" w:hAnsi="Calibri" w:cs="Calibri"/>
          <w:color w:val="000000" w:themeColor="text1"/>
          <w:sz w:val="24"/>
          <w:szCs w:val="24"/>
        </w:rPr>
        <w:t xml:space="preserve"> </w:t>
      </w:r>
      <w:r w:rsidR="0035282B" w:rsidRPr="00E76F52">
        <w:rPr>
          <w:rFonts w:ascii="Calibri" w:hAnsi="Calibri" w:cs="Calibri"/>
          <w:color w:val="000000" w:themeColor="text1"/>
          <w:sz w:val="24"/>
          <w:szCs w:val="24"/>
        </w:rPr>
        <w:t>položce</w:t>
      </w:r>
      <w:r w:rsidR="00517460" w:rsidRPr="00E76F52">
        <w:rPr>
          <w:rFonts w:ascii="Calibri" w:hAnsi="Calibri" w:cs="Calibri"/>
          <w:color w:val="000000" w:themeColor="text1"/>
          <w:sz w:val="24"/>
          <w:szCs w:val="24"/>
        </w:rPr>
        <w:t xml:space="preserve"> přílohy ÚZ</w:t>
      </w:r>
      <w:r w:rsidR="0035282B" w:rsidRPr="00E76F52">
        <w:rPr>
          <w:rFonts w:ascii="Calibri" w:hAnsi="Calibri" w:cs="Calibri"/>
          <w:color w:val="000000" w:themeColor="text1"/>
          <w:sz w:val="24"/>
          <w:szCs w:val="24"/>
        </w:rPr>
        <w:t xml:space="preserve"> </w:t>
      </w:r>
      <w:proofErr w:type="gramStart"/>
      <w:r w:rsidR="00FF2B88" w:rsidRPr="00E76F52">
        <w:rPr>
          <w:rFonts w:ascii="Calibri" w:hAnsi="Calibri" w:cs="Calibri"/>
          <w:i/>
          <w:color w:val="000000" w:themeColor="text1"/>
          <w:sz w:val="24"/>
          <w:szCs w:val="24"/>
        </w:rPr>
        <w:t>A.5</w:t>
      </w:r>
      <w:r w:rsidR="00FF07BB" w:rsidRPr="00E76F52">
        <w:rPr>
          <w:rFonts w:ascii="Calibri" w:hAnsi="Calibri" w:cs="Calibri"/>
          <w:i/>
          <w:color w:val="000000" w:themeColor="text1"/>
          <w:sz w:val="24"/>
          <w:szCs w:val="24"/>
        </w:rPr>
        <w:t xml:space="preserve"> </w:t>
      </w:r>
      <w:r w:rsidR="00FF2B88" w:rsidRPr="00E76F52">
        <w:rPr>
          <w:rFonts w:ascii="Calibri" w:hAnsi="Calibri" w:cs="Calibri"/>
          <w:i/>
          <w:color w:val="000000" w:themeColor="text1"/>
          <w:sz w:val="24"/>
          <w:szCs w:val="24"/>
        </w:rPr>
        <w:t>Informace</w:t>
      </w:r>
      <w:proofErr w:type="gramEnd"/>
      <w:r w:rsidR="00FF2B88" w:rsidRPr="00E76F52">
        <w:rPr>
          <w:rFonts w:ascii="Calibri" w:hAnsi="Calibri" w:cs="Calibri"/>
          <w:i/>
          <w:color w:val="000000" w:themeColor="text1"/>
          <w:sz w:val="24"/>
          <w:szCs w:val="24"/>
        </w:rPr>
        <w:t xml:space="preserve"> podle § 18 odst. 1 písm. c) zákona, </w:t>
      </w:r>
      <w:r w:rsidR="00357911" w:rsidRPr="00E76F52">
        <w:rPr>
          <w:rFonts w:ascii="Calibri" w:hAnsi="Calibri" w:cs="Calibri"/>
          <w:color w:val="000000" w:themeColor="text1"/>
          <w:sz w:val="24"/>
          <w:szCs w:val="24"/>
        </w:rPr>
        <w:t>která obsahuje informace o výši splatných závazků pojistného na sociální zabezpečení a příspěvku na státní politiku zaměstnanosti, o výši splatných závazků veřejného zdravotního pojištění a o výši evidovaných daňových nedoplatků u místně příslušných finančních orgánů</w:t>
      </w:r>
      <w:r w:rsidR="000962EE" w:rsidRPr="00E76F52">
        <w:rPr>
          <w:rFonts w:ascii="Calibri" w:hAnsi="Calibri" w:cs="Calibri"/>
          <w:color w:val="000000" w:themeColor="text1"/>
          <w:sz w:val="24"/>
          <w:szCs w:val="24"/>
        </w:rPr>
        <w:t>,</w:t>
      </w:r>
      <w:r w:rsidR="00357911" w:rsidRPr="00E76F52">
        <w:rPr>
          <w:rFonts w:ascii="Calibri" w:hAnsi="Calibri" w:cs="Calibri"/>
          <w:color w:val="000000" w:themeColor="text1"/>
          <w:sz w:val="24"/>
          <w:szCs w:val="24"/>
        </w:rPr>
        <w:t xml:space="preserve"> </w:t>
      </w:r>
      <w:r w:rsidR="000962EE" w:rsidRPr="00E76F52">
        <w:rPr>
          <w:rFonts w:ascii="Calibri" w:hAnsi="Calibri" w:cs="Calibri"/>
          <w:color w:val="000000" w:themeColor="text1"/>
          <w:sz w:val="24"/>
          <w:szCs w:val="24"/>
        </w:rPr>
        <w:t xml:space="preserve">uvedlo </w:t>
      </w:r>
      <w:r w:rsidRPr="00E76F52">
        <w:rPr>
          <w:rFonts w:ascii="Calibri" w:hAnsi="Calibri" w:cs="Calibri"/>
          <w:color w:val="000000" w:themeColor="text1"/>
          <w:sz w:val="24"/>
          <w:szCs w:val="24"/>
        </w:rPr>
        <w:t xml:space="preserve">MŽP </w:t>
      </w:r>
      <w:r w:rsidR="00357911" w:rsidRPr="00E76F52">
        <w:rPr>
          <w:rFonts w:ascii="Calibri" w:hAnsi="Calibri" w:cs="Calibri"/>
          <w:color w:val="000000" w:themeColor="text1"/>
          <w:sz w:val="24"/>
          <w:szCs w:val="24"/>
        </w:rPr>
        <w:t>nesprávně</w:t>
      </w:r>
      <w:r w:rsidR="00357911" w:rsidRPr="00E76F52">
        <w:rPr>
          <w:rFonts w:ascii="Calibri" w:hAnsi="Calibri" w:cs="Calibri"/>
          <w:i/>
          <w:color w:val="000000" w:themeColor="text1"/>
          <w:sz w:val="24"/>
          <w:szCs w:val="24"/>
        </w:rPr>
        <w:t xml:space="preserve"> </w:t>
      </w:r>
      <w:r w:rsidR="00FF2B88" w:rsidRPr="00E76F52">
        <w:rPr>
          <w:rFonts w:ascii="Calibri" w:hAnsi="Calibri" w:cs="Calibri"/>
          <w:color w:val="000000" w:themeColor="text1"/>
          <w:sz w:val="24"/>
          <w:szCs w:val="24"/>
        </w:rPr>
        <w:t>závazky z titulu zúčtování mezd za prosinec 2013 v celkové částce 14</w:t>
      </w:r>
      <w:r w:rsidR="007405FC" w:rsidRPr="00E76F52">
        <w:rPr>
          <w:rFonts w:ascii="Calibri" w:hAnsi="Calibri" w:cs="Calibri"/>
          <w:color w:val="000000" w:themeColor="text1"/>
          <w:sz w:val="24"/>
          <w:szCs w:val="24"/>
        </w:rPr>
        <w:t xml:space="preserve"> </w:t>
      </w:r>
      <w:r w:rsidR="00FF2B88" w:rsidRPr="00E76F52">
        <w:rPr>
          <w:rFonts w:ascii="Calibri" w:hAnsi="Calibri" w:cs="Calibri"/>
          <w:color w:val="000000" w:themeColor="text1"/>
          <w:sz w:val="24"/>
          <w:szCs w:val="24"/>
        </w:rPr>
        <w:t>945</w:t>
      </w:r>
      <w:r w:rsidR="007405FC" w:rsidRPr="00E76F52">
        <w:rPr>
          <w:rFonts w:ascii="Calibri" w:hAnsi="Calibri" w:cs="Calibri"/>
          <w:color w:val="000000" w:themeColor="text1"/>
          <w:sz w:val="24"/>
          <w:szCs w:val="24"/>
        </w:rPr>
        <w:t xml:space="preserve"> </w:t>
      </w:r>
      <w:r w:rsidR="00FF2B88" w:rsidRPr="00E76F52">
        <w:rPr>
          <w:rFonts w:ascii="Calibri" w:hAnsi="Calibri" w:cs="Calibri"/>
          <w:color w:val="000000" w:themeColor="text1"/>
          <w:sz w:val="24"/>
          <w:szCs w:val="24"/>
        </w:rPr>
        <w:t xml:space="preserve">292 Kč, </w:t>
      </w:r>
      <w:r w:rsidR="00993D66">
        <w:rPr>
          <w:rFonts w:ascii="Calibri" w:hAnsi="Calibri" w:cs="Calibri"/>
          <w:color w:val="000000" w:themeColor="text1"/>
          <w:sz w:val="24"/>
          <w:szCs w:val="24"/>
        </w:rPr>
        <w:t>i když tyto závazky</w:t>
      </w:r>
      <w:r w:rsidR="00357911" w:rsidRPr="00E76F52">
        <w:rPr>
          <w:rFonts w:ascii="Calibri" w:hAnsi="Calibri" w:cs="Calibri"/>
          <w:color w:val="000000" w:themeColor="text1"/>
          <w:sz w:val="24"/>
          <w:szCs w:val="24"/>
        </w:rPr>
        <w:t xml:space="preserve"> byly splatné až v</w:t>
      </w:r>
      <w:r w:rsidR="007405FC" w:rsidRPr="00E76F52">
        <w:rPr>
          <w:rFonts w:ascii="Calibri" w:hAnsi="Calibri" w:cs="Calibri"/>
          <w:color w:val="000000" w:themeColor="text1"/>
          <w:sz w:val="24"/>
          <w:szCs w:val="24"/>
        </w:rPr>
        <w:t xml:space="preserve"> </w:t>
      </w:r>
      <w:r w:rsidR="00357911" w:rsidRPr="00E76F52">
        <w:rPr>
          <w:rFonts w:ascii="Calibri" w:hAnsi="Calibri" w:cs="Calibri"/>
          <w:color w:val="000000" w:themeColor="text1"/>
          <w:sz w:val="24"/>
          <w:szCs w:val="24"/>
        </w:rPr>
        <w:t xml:space="preserve">lednu 2014. </w:t>
      </w:r>
      <w:r w:rsidR="000B0886" w:rsidRPr="00E76F52">
        <w:rPr>
          <w:rFonts w:ascii="Calibri" w:hAnsi="Calibri" w:cs="Calibri"/>
          <w:color w:val="000000" w:themeColor="text1"/>
          <w:sz w:val="24"/>
          <w:szCs w:val="24"/>
        </w:rPr>
        <w:t xml:space="preserve">Nejednalo se </w:t>
      </w:r>
      <w:r w:rsidR="003627D4" w:rsidRPr="00E76F52">
        <w:rPr>
          <w:rFonts w:ascii="Calibri" w:hAnsi="Calibri" w:cs="Calibri"/>
          <w:color w:val="000000" w:themeColor="text1"/>
          <w:sz w:val="24"/>
          <w:szCs w:val="24"/>
        </w:rPr>
        <w:t xml:space="preserve">tedy </w:t>
      </w:r>
      <w:r w:rsidR="000B0886" w:rsidRPr="00E76F52">
        <w:rPr>
          <w:rFonts w:ascii="Calibri" w:hAnsi="Calibri" w:cs="Calibri"/>
          <w:color w:val="000000" w:themeColor="text1"/>
          <w:sz w:val="24"/>
          <w:szCs w:val="24"/>
        </w:rPr>
        <w:t xml:space="preserve">o závazky </w:t>
      </w:r>
      <w:r w:rsidR="00BC1360" w:rsidRPr="00E76F52">
        <w:rPr>
          <w:rFonts w:ascii="Calibri" w:hAnsi="Calibri" w:cs="Calibri"/>
          <w:color w:val="000000" w:themeColor="text1"/>
          <w:sz w:val="24"/>
          <w:szCs w:val="24"/>
        </w:rPr>
        <w:t>se splatností k</w:t>
      </w:r>
      <w:r w:rsidR="00333543">
        <w:rPr>
          <w:rFonts w:ascii="Calibri" w:hAnsi="Calibri" w:cs="Calibri"/>
          <w:color w:val="000000" w:themeColor="text1"/>
          <w:sz w:val="24"/>
          <w:szCs w:val="24"/>
        </w:rPr>
        <w:t> </w:t>
      </w:r>
      <w:r w:rsidR="00BC1360" w:rsidRPr="00E76F52">
        <w:rPr>
          <w:rFonts w:ascii="Calibri" w:hAnsi="Calibri" w:cs="Calibri"/>
          <w:color w:val="000000" w:themeColor="text1"/>
          <w:sz w:val="24"/>
          <w:szCs w:val="24"/>
        </w:rPr>
        <w:t xml:space="preserve">datu sestavení účetní závěrky, ani </w:t>
      </w:r>
      <w:r w:rsidR="00993D66">
        <w:rPr>
          <w:rFonts w:ascii="Calibri" w:hAnsi="Calibri" w:cs="Calibri"/>
          <w:color w:val="000000" w:themeColor="text1"/>
          <w:sz w:val="24"/>
          <w:szCs w:val="24"/>
        </w:rPr>
        <w:t xml:space="preserve">o závazky </w:t>
      </w:r>
      <w:r w:rsidR="00BC1360" w:rsidRPr="00E76F52">
        <w:rPr>
          <w:rFonts w:ascii="Calibri" w:hAnsi="Calibri" w:cs="Calibri"/>
          <w:color w:val="000000" w:themeColor="text1"/>
          <w:sz w:val="24"/>
          <w:szCs w:val="24"/>
        </w:rPr>
        <w:t>po splatnosti k</w:t>
      </w:r>
      <w:r w:rsidR="007405FC" w:rsidRPr="00E76F52">
        <w:rPr>
          <w:rFonts w:ascii="Calibri" w:hAnsi="Calibri" w:cs="Calibri"/>
          <w:color w:val="000000" w:themeColor="text1"/>
          <w:sz w:val="24"/>
          <w:szCs w:val="24"/>
        </w:rPr>
        <w:t xml:space="preserve"> </w:t>
      </w:r>
      <w:r w:rsidR="00BC1360" w:rsidRPr="00E76F52">
        <w:rPr>
          <w:rFonts w:ascii="Calibri" w:hAnsi="Calibri" w:cs="Calibri"/>
          <w:color w:val="000000" w:themeColor="text1"/>
          <w:sz w:val="24"/>
          <w:szCs w:val="24"/>
        </w:rPr>
        <w:t>tomuto datu, ani o</w:t>
      </w:r>
      <w:r w:rsidR="00993D66">
        <w:rPr>
          <w:rFonts w:ascii="Calibri" w:hAnsi="Calibri" w:cs="Calibri"/>
          <w:color w:val="000000" w:themeColor="text1"/>
          <w:sz w:val="24"/>
          <w:szCs w:val="24"/>
        </w:rPr>
        <w:t> </w:t>
      </w:r>
      <w:r w:rsidR="00BC1360" w:rsidRPr="00E76F52">
        <w:rPr>
          <w:rFonts w:ascii="Calibri" w:hAnsi="Calibri" w:cs="Calibri"/>
          <w:color w:val="000000" w:themeColor="text1"/>
          <w:sz w:val="24"/>
          <w:szCs w:val="24"/>
        </w:rPr>
        <w:t>daňové nedoplatky</w:t>
      </w:r>
      <w:r w:rsidR="000B0886" w:rsidRPr="00E76F52">
        <w:rPr>
          <w:rFonts w:ascii="Calibri" w:hAnsi="Calibri" w:cs="Calibri"/>
          <w:color w:val="000000" w:themeColor="text1"/>
          <w:sz w:val="24"/>
          <w:szCs w:val="24"/>
        </w:rPr>
        <w:t>.</w:t>
      </w:r>
    </w:p>
    <w:p w:rsidR="007F494E" w:rsidRPr="00E76F52" w:rsidRDefault="007F494E" w:rsidP="00E76F52">
      <w:pPr>
        <w:spacing w:after="0" w:line="240" w:lineRule="auto"/>
        <w:jc w:val="both"/>
        <w:rPr>
          <w:rFonts w:ascii="Calibri" w:hAnsi="Calibri" w:cs="Calibri"/>
          <w:color w:val="000000" w:themeColor="text1"/>
          <w:sz w:val="24"/>
          <w:szCs w:val="24"/>
        </w:rPr>
      </w:pPr>
    </w:p>
    <w:p w:rsidR="00333543" w:rsidRDefault="00333543">
      <w:pPr>
        <w:rPr>
          <w:rFonts w:ascii="Calibri" w:eastAsia="Times New Roman" w:hAnsi="Calibri" w:cs="Calibri"/>
          <w:b/>
          <w:color w:val="000000" w:themeColor="text1"/>
          <w:sz w:val="24"/>
          <w:szCs w:val="24"/>
        </w:rPr>
      </w:pPr>
      <w:r>
        <w:rPr>
          <w:rFonts w:ascii="Calibri" w:eastAsia="Times New Roman" w:hAnsi="Calibri" w:cs="Calibri"/>
          <w:b/>
          <w:color w:val="000000" w:themeColor="text1"/>
          <w:sz w:val="24"/>
          <w:szCs w:val="24"/>
        </w:rPr>
        <w:br w:type="page"/>
      </w:r>
    </w:p>
    <w:p w:rsidR="009E3D70" w:rsidRPr="00E76F52" w:rsidRDefault="0069092B" w:rsidP="00E76F52">
      <w:pPr>
        <w:spacing w:after="0" w:line="240" w:lineRule="auto"/>
        <w:jc w:val="both"/>
        <w:rPr>
          <w:rFonts w:ascii="Calibri" w:hAnsi="Calibri" w:cs="Calibri"/>
          <w:b/>
          <w:i/>
          <w:color w:val="000000" w:themeColor="text1"/>
          <w:sz w:val="24"/>
          <w:szCs w:val="24"/>
        </w:rPr>
      </w:pPr>
      <w:r w:rsidRPr="00E76F52">
        <w:rPr>
          <w:rFonts w:ascii="Calibri" w:eastAsia="Times New Roman" w:hAnsi="Calibri" w:cs="Calibri"/>
          <w:b/>
          <w:color w:val="000000" w:themeColor="text1"/>
          <w:sz w:val="24"/>
          <w:szCs w:val="24"/>
        </w:rPr>
        <w:lastRenderedPageBreak/>
        <w:t>1.</w:t>
      </w:r>
      <w:r w:rsidR="00480A89" w:rsidRPr="00E76F52">
        <w:rPr>
          <w:rFonts w:ascii="Calibri" w:eastAsia="Times New Roman" w:hAnsi="Calibri" w:cs="Calibri"/>
          <w:b/>
          <w:color w:val="000000" w:themeColor="text1"/>
          <w:sz w:val="24"/>
          <w:szCs w:val="24"/>
        </w:rPr>
        <w:t>4</w:t>
      </w:r>
      <w:r w:rsidRPr="00E76F52">
        <w:rPr>
          <w:rFonts w:ascii="Calibri" w:eastAsia="Times New Roman" w:hAnsi="Calibri" w:cs="Calibri"/>
          <w:b/>
          <w:color w:val="000000" w:themeColor="text1"/>
          <w:sz w:val="24"/>
          <w:szCs w:val="24"/>
        </w:rPr>
        <w:t xml:space="preserve"> </w:t>
      </w:r>
      <w:r w:rsidR="00D32283" w:rsidRPr="00E76F52">
        <w:rPr>
          <w:rFonts w:ascii="Calibri" w:eastAsia="Times New Roman" w:hAnsi="Calibri" w:cs="Calibri"/>
          <w:b/>
          <w:color w:val="000000" w:themeColor="text1"/>
          <w:sz w:val="24"/>
          <w:szCs w:val="24"/>
        </w:rPr>
        <w:t xml:space="preserve">Inventarizace majetku a závazků </w:t>
      </w:r>
    </w:p>
    <w:p w:rsidR="009E492D" w:rsidRDefault="009E492D" w:rsidP="00E76F52">
      <w:pPr>
        <w:spacing w:after="0" w:line="240" w:lineRule="auto"/>
        <w:jc w:val="both"/>
        <w:rPr>
          <w:rFonts w:ascii="Calibri" w:hAnsi="Calibri" w:cs="Calibri"/>
          <w:color w:val="000000" w:themeColor="text1"/>
          <w:sz w:val="24"/>
          <w:szCs w:val="24"/>
        </w:rPr>
      </w:pPr>
    </w:p>
    <w:p w:rsidR="00C16B7A" w:rsidRDefault="009E3D70" w:rsidP="00E76F52">
      <w:pPr>
        <w:spacing w:after="0" w:line="240" w:lineRule="auto"/>
        <w:jc w:val="both"/>
        <w:rPr>
          <w:rFonts w:ascii="Calibri" w:hAnsi="Calibri" w:cs="Calibri"/>
          <w:color w:val="000000" w:themeColor="text1"/>
          <w:sz w:val="24"/>
          <w:szCs w:val="24"/>
        </w:rPr>
      </w:pPr>
      <w:r w:rsidRPr="00E76F52">
        <w:rPr>
          <w:rFonts w:ascii="Calibri" w:hAnsi="Calibri" w:cs="Calibri"/>
          <w:color w:val="000000" w:themeColor="text1"/>
          <w:sz w:val="24"/>
          <w:szCs w:val="24"/>
        </w:rPr>
        <w:t xml:space="preserve">Povinnost </w:t>
      </w:r>
      <w:r w:rsidR="00C705CD">
        <w:rPr>
          <w:rFonts w:ascii="Calibri" w:hAnsi="Calibri" w:cs="Calibri"/>
          <w:color w:val="000000" w:themeColor="text1"/>
          <w:sz w:val="24"/>
          <w:szCs w:val="24"/>
        </w:rPr>
        <w:t>inventarizovat majetek a závazky vyplývá ze zákona</w:t>
      </w:r>
      <w:r w:rsidRPr="00E76F52">
        <w:rPr>
          <w:rFonts w:ascii="Calibri" w:hAnsi="Calibri" w:cs="Calibri"/>
          <w:color w:val="000000" w:themeColor="text1"/>
          <w:sz w:val="24"/>
          <w:szCs w:val="24"/>
        </w:rPr>
        <w:t xml:space="preserve"> </w:t>
      </w:r>
      <w:r w:rsidR="00F80BA4" w:rsidRPr="00E76F52">
        <w:rPr>
          <w:rFonts w:ascii="Calibri" w:hAnsi="Calibri" w:cs="Calibri"/>
          <w:color w:val="000000" w:themeColor="text1"/>
          <w:sz w:val="24"/>
          <w:szCs w:val="24"/>
        </w:rPr>
        <w:t>o účetnictví</w:t>
      </w:r>
      <w:r w:rsidR="00392F54" w:rsidRPr="00E76F52">
        <w:rPr>
          <w:rFonts w:ascii="Calibri" w:hAnsi="Calibri" w:cs="Calibri"/>
          <w:color w:val="000000" w:themeColor="text1"/>
          <w:sz w:val="24"/>
          <w:szCs w:val="24"/>
        </w:rPr>
        <w:t>.</w:t>
      </w:r>
      <w:r w:rsidR="00E87D28" w:rsidRPr="00E76F52">
        <w:rPr>
          <w:rFonts w:ascii="Calibri" w:hAnsi="Calibri" w:cs="Calibri"/>
          <w:color w:val="000000" w:themeColor="text1"/>
          <w:sz w:val="24"/>
          <w:szCs w:val="24"/>
        </w:rPr>
        <w:t xml:space="preserve"> Požadavky na organizační zajištění a způsob provedení</w:t>
      </w:r>
      <w:r w:rsidR="00C705CD">
        <w:rPr>
          <w:rFonts w:ascii="Calibri" w:hAnsi="Calibri" w:cs="Calibri"/>
          <w:color w:val="000000" w:themeColor="text1"/>
          <w:sz w:val="24"/>
          <w:szCs w:val="24"/>
        </w:rPr>
        <w:t xml:space="preserve"> inventarizace</w:t>
      </w:r>
      <w:r w:rsidR="00E87D28" w:rsidRPr="00E76F52">
        <w:rPr>
          <w:rFonts w:ascii="Calibri" w:hAnsi="Calibri" w:cs="Calibri"/>
          <w:color w:val="000000" w:themeColor="text1"/>
          <w:sz w:val="24"/>
          <w:szCs w:val="24"/>
        </w:rPr>
        <w:t xml:space="preserve"> stan</w:t>
      </w:r>
      <w:r w:rsidR="00CB1CFC">
        <w:rPr>
          <w:rFonts w:ascii="Calibri" w:hAnsi="Calibri" w:cs="Calibri"/>
          <w:color w:val="000000" w:themeColor="text1"/>
          <w:sz w:val="24"/>
          <w:szCs w:val="24"/>
        </w:rPr>
        <w:t>oví vyhláška č. 270/2010 Sb., o </w:t>
      </w:r>
      <w:r w:rsidR="00E87D28" w:rsidRPr="00E76F52">
        <w:rPr>
          <w:rFonts w:ascii="Calibri" w:hAnsi="Calibri" w:cs="Calibri"/>
          <w:color w:val="000000" w:themeColor="text1"/>
          <w:sz w:val="24"/>
          <w:szCs w:val="24"/>
        </w:rPr>
        <w:t>inventarizaci majetku a závazků.</w:t>
      </w:r>
    </w:p>
    <w:p w:rsidR="007F494E" w:rsidRPr="00E76F52" w:rsidRDefault="007F494E" w:rsidP="00E76F52">
      <w:pPr>
        <w:spacing w:after="0" w:line="240" w:lineRule="auto"/>
        <w:jc w:val="both"/>
        <w:rPr>
          <w:rFonts w:ascii="Calibri" w:hAnsi="Calibri" w:cs="Calibri"/>
          <w:color w:val="000000" w:themeColor="text1"/>
          <w:sz w:val="24"/>
          <w:szCs w:val="24"/>
        </w:rPr>
      </w:pPr>
    </w:p>
    <w:p w:rsidR="000F09F6" w:rsidRPr="00E76F52" w:rsidRDefault="000F09F6" w:rsidP="00E76F52">
      <w:pPr>
        <w:spacing w:after="0" w:line="240" w:lineRule="auto"/>
        <w:jc w:val="both"/>
        <w:rPr>
          <w:rFonts w:ascii="Calibri" w:eastAsia="Times New Roman" w:hAnsi="Calibri" w:cs="Calibri"/>
          <w:b/>
          <w:i/>
          <w:color w:val="000000" w:themeColor="text1"/>
          <w:sz w:val="24"/>
          <w:szCs w:val="24"/>
        </w:rPr>
      </w:pPr>
      <w:r w:rsidRPr="00E76F52">
        <w:rPr>
          <w:rFonts w:ascii="Calibri" w:eastAsia="Times New Roman" w:hAnsi="Calibri" w:cs="Calibri"/>
          <w:b/>
          <w:i/>
          <w:color w:val="000000" w:themeColor="text1"/>
          <w:sz w:val="24"/>
          <w:szCs w:val="24"/>
        </w:rPr>
        <w:t xml:space="preserve">Dokladová inventura </w:t>
      </w:r>
    </w:p>
    <w:p w:rsidR="007F494E" w:rsidRDefault="007F494E" w:rsidP="00E76F52">
      <w:pPr>
        <w:spacing w:after="0" w:line="240" w:lineRule="auto"/>
        <w:jc w:val="both"/>
        <w:rPr>
          <w:rFonts w:ascii="Calibri" w:eastAsia="Times New Roman" w:hAnsi="Calibri" w:cs="Calibri"/>
          <w:color w:val="000000" w:themeColor="text1"/>
          <w:sz w:val="24"/>
          <w:szCs w:val="24"/>
        </w:rPr>
      </w:pPr>
    </w:p>
    <w:p w:rsidR="000F09F6" w:rsidRPr="00E76F52" w:rsidRDefault="00E87D28"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Při dokladové inventu</w:t>
      </w:r>
      <w:r w:rsidR="00A374D2" w:rsidRPr="00E76F52">
        <w:rPr>
          <w:rFonts w:ascii="Calibri" w:eastAsia="Times New Roman" w:hAnsi="Calibri" w:cs="Calibri"/>
          <w:color w:val="000000" w:themeColor="text1"/>
          <w:sz w:val="24"/>
          <w:szCs w:val="24"/>
        </w:rPr>
        <w:t>ř</w:t>
      </w:r>
      <w:r w:rsidRPr="00E76F52">
        <w:rPr>
          <w:rFonts w:ascii="Calibri" w:eastAsia="Times New Roman" w:hAnsi="Calibri" w:cs="Calibri"/>
          <w:color w:val="000000" w:themeColor="text1"/>
          <w:sz w:val="24"/>
          <w:szCs w:val="24"/>
        </w:rPr>
        <w:t>e je d</w:t>
      </w:r>
      <w:r w:rsidR="009A4047" w:rsidRPr="00E76F52">
        <w:rPr>
          <w:rFonts w:ascii="Calibri" w:eastAsia="Times New Roman" w:hAnsi="Calibri" w:cs="Calibri"/>
          <w:color w:val="000000" w:themeColor="text1"/>
          <w:sz w:val="24"/>
          <w:szCs w:val="24"/>
        </w:rPr>
        <w:t>le § 7 odst. 2 vyhlášky č. 270/2010 Sb. základním způsobem zjišťování skutečného stavu pohledávek, závazků a nehmotného majetku nebo jiných aktiv a</w:t>
      </w:r>
      <w:r w:rsidR="00AD68E7" w:rsidRPr="00E76F52">
        <w:rPr>
          <w:rFonts w:ascii="Calibri" w:eastAsia="Times New Roman" w:hAnsi="Calibri" w:cs="Calibri"/>
          <w:color w:val="000000" w:themeColor="text1"/>
          <w:sz w:val="24"/>
          <w:szCs w:val="24"/>
        </w:rPr>
        <w:t> </w:t>
      </w:r>
      <w:r w:rsidR="009A4047" w:rsidRPr="00E76F52">
        <w:rPr>
          <w:rFonts w:ascii="Calibri" w:eastAsia="Times New Roman" w:hAnsi="Calibri" w:cs="Calibri"/>
          <w:color w:val="000000" w:themeColor="text1"/>
          <w:sz w:val="24"/>
          <w:szCs w:val="24"/>
        </w:rPr>
        <w:t>jiných pasiv ověření podle inventarizačních evidencí</w:t>
      </w:r>
      <w:r w:rsidR="006104A8" w:rsidRPr="00E76F52">
        <w:rPr>
          <w:rFonts w:ascii="Calibri" w:eastAsia="Times New Roman" w:hAnsi="Calibri" w:cs="Calibri"/>
          <w:color w:val="000000" w:themeColor="text1"/>
          <w:sz w:val="24"/>
          <w:szCs w:val="24"/>
        </w:rPr>
        <w:t>.</w:t>
      </w:r>
      <w:r w:rsidR="00B90DBC" w:rsidRPr="00E76F52">
        <w:rPr>
          <w:rFonts w:ascii="Calibri" w:eastAsia="Times New Roman" w:hAnsi="Calibri" w:cs="Calibri"/>
          <w:color w:val="000000" w:themeColor="text1"/>
          <w:sz w:val="24"/>
          <w:szCs w:val="24"/>
        </w:rPr>
        <w:t xml:space="preserve"> MŽP v rámci dokladové inventury k</w:t>
      </w:r>
      <w:r w:rsidR="00AD68E7" w:rsidRPr="00E76F52">
        <w:rPr>
          <w:rFonts w:ascii="Calibri" w:eastAsia="Times New Roman" w:hAnsi="Calibri" w:cs="Calibri"/>
          <w:color w:val="000000" w:themeColor="text1"/>
          <w:sz w:val="24"/>
          <w:szCs w:val="24"/>
        </w:rPr>
        <w:t> </w:t>
      </w:r>
      <w:r w:rsidR="00B90DBC" w:rsidRPr="00E76F52">
        <w:rPr>
          <w:rFonts w:ascii="Calibri" w:eastAsia="Times New Roman" w:hAnsi="Calibri" w:cs="Calibri"/>
          <w:color w:val="000000" w:themeColor="text1"/>
          <w:sz w:val="24"/>
          <w:szCs w:val="24"/>
        </w:rPr>
        <w:t>31.</w:t>
      </w:r>
      <w:r w:rsidR="006104A8" w:rsidRPr="00E76F52">
        <w:rPr>
          <w:rFonts w:ascii="Calibri" w:eastAsia="Times New Roman" w:hAnsi="Calibri" w:cs="Calibri"/>
          <w:color w:val="000000" w:themeColor="text1"/>
          <w:sz w:val="24"/>
          <w:szCs w:val="24"/>
        </w:rPr>
        <w:t> </w:t>
      </w:r>
      <w:r w:rsidR="00B90DBC" w:rsidRPr="00E76F52">
        <w:rPr>
          <w:rFonts w:ascii="Calibri" w:eastAsia="Times New Roman" w:hAnsi="Calibri" w:cs="Calibri"/>
          <w:color w:val="000000" w:themeColor="text1"/>
          <w:sz w:val="24"/>
          <w:szCs w:val="24"/>
        </w:rPr>
        <w:t xml:space="preserve">prosinci 2013 skutečný stav majetku a závazků </w:t>
      </w:r>
      <w:r w:rsidRPr="00E76F52">
        <w:rPr>
          <w:rFonts w:ascii="Calibri" w:eastAsia="Times New Roman" w:hAnsi="Calibri" w:cs="Calibri"/>
          <w:color w:val="000000" w:themeColor="text1"/>
          <w:sz w:val="24"/>
          <w:szCs w:val="24"/>
        </w:rPr>
        <w:t>ne</w:t>
      </w:r>
      <w:r w:rsidR="00B90DBC" w:rsidRPr="00E76F52">
        <w:rPr>
          <w:rFonts w:ascii="Calibri" w:eastAsia="Times New Roman" w:hAnsi="Calibri" w:cs="Calibri"/>
          <w:color w:val="000000" w:themeColor="text1"/>
          <w:sz w:val="24"/>
          <w:szCs w:val="24"/>
        </w:rPr>
        <w:t>zjišťovalo</w:t>
      </w:r>
      <w:r w:rsidRPr="00E76F52">
        <w:rPr>
          <w:rFonts w:ascii="Calibri" w:eastAsia="Times New Roman" w:hAnsi="Calibri" w:cs="Calibri"/>
          <w:color w:val="000000" w:themeColor="text1"/>
          <w:sz w:val="24"/>
          <w:szCs w:val="24"/>
        </w:rPr>
        <w:t xml:space="preserve"> z</w:t>
      </w:r>
      <w:r w:rsidR="00C705CD">
        <w:rPr>
          <w:rFonts w:ascii="Calibri" w:eastAsia="Times New Roman" w:hAnsi="Calibri" w:cs="Calibri"/>
          <w:color w:val="000000" w:themeColor="text1"/>
          <w:sz w:val="24"/>
          <w:szCs w:val="24"/>
        </w:rPr>
        <w:t> </w:t>
      </w:r>
      <w:r w:rsidRPr="00E76F52">
        <w:rPr>
          <w:rFonts w:ascii="Calibri" w:eastAsia="Times New Roman" w:hAnsi="Calibri" w:cs="Calibri"/>
          <w:color w:val="000000" w:themeColor="text1"/>
          <w:sz w:val="24"/>
          <w:szCs w:val="24"/>
        </w:rPr>
        <w:t>inventarizačních evidencí, ale</w:t>
      </w:r>
      <w:r w:rsidR="00B90DBC" w:rsidRPr="00E76F52">
        <w:rPr>
          <w:rFonts w:ascii="Calibri" w:eastAsia="Times New Roman" w:hAnsi="Calibri" w:cs="Calibri"/>
          <w:color w:val="000000" w:themeColor="text1"/>
          <w:sz w:val="24"/>
          <w:szCs w:val="24"/>
        </w:rPr>
        <w:t xml:space="preserve"> z údajů vedených v</w:t>
      </w:r>
      <w:r w:rsidR="007405FC" w:rsidRPr="00E76F52">
        <w:rPr>
          <w:rFonts w:ascii="Calibri" w:eastAsia="Times New Roman" w:hAnsi="Calibri" w:cs="Calibri"/>
          <w:color w:val="000000" w:themeColor="text1"/>
          <w:sz w:val="24"/>
          <w:szCs w:val="24"/>
        </w:rPr>
        <w:t xml:space="preserve"> </w:t>
      </w:r>
      <w:r w:rsidR="00B90DBC" w:rsidRPr="00E76F52">
        <w:rPr>
          <w:rFonts w:ascii="Calibri" w:eastAsia="Times New Roman" w:hAnsi="Calibri" w:cs="Calibri"/>
          <w:color w:val="000000" w:themeColor="text1"/>
          <w:sz w:val="24"/>
          <w:szCs w:val="24"/>
        </w:rPr>
        <w:t>účetnictví</w:t>
      </w:r>
      <w:r w:rsidR="008F6A9B" w:rsidRPr="00E76F52">
        <w:rPr>
          <w:rFonts w:ascii="Calibri" w:eastAsia="Times New Roman" w:hAnsi="Calibri" w:cs="Calibri"/>
          <w:color w:val="000000" w:themeColor="text1"/>
          <w:sz w:val="24"/>
          <w:szCs w:val="24"/>
        </w:rPr>
        <w:t>.</w:t>
      </w:r>
      <w:r w:rsidR="00B90DBC" w:rsidRPr="00E76F52">
        <w:rPr>
          <w:rFonts w:ascii="Calibri" w:eastAsia="Times New Roman" w:hAnsi="Calibri" w:cs="Calibri"/>
          <w:color w:val="000000" w:themeColor="text1"/>
          <w:sz w:val="24"/>
          <w:szCs w:val="24"/>
        </w:rPr>
        <w:t xml:space="preserve"> </w:t>
      </w:r>
      <w:r w:rsidR="00C705CD">
        <w:rPr>
          <w:rFonts w:ascii="Calibri" w:eastAsia="Times New Roman" w:hAnsi="Calibri" w:cs="Calibri"/>
          <w:color w:val="000000" w:themeColor="text1"/>
          <w:sz w:val="24"/>
          <w:szCs w:val="24"/>
        </w:rPr>
        <w:t>Navíc MŽP p</w:t>
      </w:r>
      <w:r w:rsidR="00EC7444" w:rsidRPr="00E76F52">
        <w:rPr>
          <w:rFonts w:ascii="Calibri" w:eastAsia="Times New Roman" w:hAnsi="Calibri" w:cs="Calibri"/>
          <w:color w:val="000000" w:themeColor="text1"/>
          <w:sz w:val="24"/>
          <w:szCs w:val="24"/>
        </w:rPr>
        <w:t>ři dokladových inventurách</w:t>
      </w:r>
      <w:r w:rsidR="007B1419" w:rsidRPr="00E76F52">
        <w:rPr>
          <w:rFonts w:ascii="Calibri" w:eastAsia="Times New Roman" w:hAnsi="Calibri" w:cs="Calibri"/>
          <w:color w:val="000000" w:themeColor="text1"/>
          <w:sz w:val="24"/>
          <w:szCs w:val="24"/>
        </w:rPr>
        <w:t xml:space="preserve"> </w:t>
      </w:r>
      <w:r w:rsidR="000F09F6" w:rsidRPr="00E76F52">
        <w:rPr>
          <w:rFonts w:ascii="Calibri" w:eastAsia="Times New Roman" w:hAnsi="Calibri" w:cs="Calibri"/>
          <w:color w:val="000000" w:themeColor="text1"/>
          <w:sz w:val="24"/>
          <w:szCs w:val="24"/>
        </w:rPr>
        <w:t>neprovedlo</w:t>
      </w:r>
      <w:r w:rsidR="00F73463" w:rsidRPr="00E76F52">
        <w:rPr>
          <w:rFonts w:ascii="Calibri" w:eastAsia="Times New Roman" w:hAnsi="Calibri" w:cs="Calibri"/>
          <w:color w:val="000000" w:themeColor="text1"/>
          <w:sz w:val="24"/>
          <w:szCs w:val="24"/>
        </w:rPr>
        <w:t xml:space="preserve"> </w:t>
      </w:r>
      <w:r w:rsidR="007B1419" w:rsidRPr="00E76F52">
        <w:rPr>
          <w:rFonts w:ascii="Calibri" w:eastAsia="Times New Roman" w:hAnsi="Calibri" w:cs="Calibri"/>
          <w:color w:val="000000" w:themeColor="text1"/>
          <w:sz w:val="24"/>
          <w:szCs w:val="24"/>
        </w:rPr>
        <w:t>ani</w:t>
      </w:r>
      <w:r w:rsidR="000F09F6" w:rsidRPr="00E76F52">
        <w:rPr>
          <w:rFonts w:ascii="Calibri" w:eastAsia="Times New Roman" w:hAnsi="Calibri" w:cs="Calibri"/>
          <w:color w:val="000000" w:themeColor="text1"/>
          <w:sz w:val="24"/>
          <w:szCs w:val="24"/>
        </w:rPr>
        <w:t xml:space="preserve"> vzájemné odsouhlasení jednotlivých pohledávek a</w:t>
      </w:r>
      <w:r w:rsidR="00C705CD">
        <w:rPr>
          <w:rFonts w:ascii="Calibri" w:eastAsia="Times New Roman" w:hAnsi="Calibri" w:cs="Calibri"/>
          <w:color w:val="000000" w:themeColor="text1"/>
          <w:sz w:val="24"/>
          <w:szCs w:val="24"/>
        </w:rPr>
        <w:t> </w:t>
      </w:r>
      <w:r w:rsidR="000F09F6" w:rsidRPr="00E76F52">
        <w:rPr>
          <w:rFonts w:ascii="Calibri" w:eastAsia="Times New Roman" w:hAnsi="Calibri" w:cs="Calibri"/>
          <w:color w:val="000000" w:themeColor="text1"/>
          <w:sz w:val="24"/>
          <w:szCs w:val="24"/>
        </w:rPr>
        <w:t xml:space="preserve">závazků dle ustanovení </w:t>
      </w:r>
      <w:r w:rsidR="003649A7" w:rsidRPr="00E76F52">
        <w:rPr>
          <w:rFonts w:ascii="Calibri" w:eastAsia="Times New Roman" w:hAnsi="Calibri" w:cs="Calibri"/>
          <w:color w:val="000000" w:themeColor="text1"/>
          <w:sz w:val="24"/>
          <w:szCs w:val="24"/>
        </w:rPr>
        <w:t xml:space="preserve">§ </w:t>
      </w:r>
      <w:r w:rsidR="000F09F6" w:rsidRPr="00E76F52">
        <w:rPr>
          <w:rFonts w:ascii="Calibri" w:eastAsia="Times New Roman" w:hAnsi="Calibri" w:cs="Calibri"/>
          <w:color w:val="000000" w:themeColor="text1"/>
          <w:sz w:val="24"/>
          <w:szCs w:val="24"/>
        </w:rPr>
        <w:t xml:space="preserve">3 odst. 1 písm. j) </w:t>
      </w:r>
      <w:r w:rsidR="00EC7444" w:rsidRPr="00E76F52">
        <w:rPr>
          <w:rFonts w:ascii="Calibri" w:eastAsia="Times New Roman" w:hAnsi="Calibri" w:cs="Calibri"/>
          <w:color w:val="000000" w:themeColor="text1"/>
          <w:sz w:val="24"/>
          <w:szCs w:val="24"/>
        </w:rPr>
        <w:t>vyhlášky č. 270/2010 Sb.</w:t>
      </w:r>
      <w:r w:rsidR="00A53EC5" w:rsidRPr="00E76F52">
        <w:rPr>
          <w:rFonts w:ascii="Calibri" w:eastAsia="Times New Roman" w:hAnsi="Calibri" w:cs="Calibri"/>
          <w:color w:val="000000" w:themeColor="text1"/>
          <w:sz w:val="24"/>
          <w:szCs w:val="24"/>
        </w:rPr>
        <w:t xml:space="preserve"> </w:t>
      </w:r>
    </w:p>
    <w:p w:rsidR="00A61510" w:rsidRPr="00E76F52" w:rsidRDefault="00A61510" w:rsidP="00E76F52">
      <w:pPr>
        <w:spacing w:after="0" w:line="240" w:lineRule="auto"/>
        <w:jc w:val="both"/>
        <w:rPr>
          <w:rFonts w:ascii="Calibri" w:eastAsia="Times New Roman" w:hAnsi="Calibri" w:cs="Calibri"/>
          <w:color w:val="000000" w:themeColor="text1"/>
          <w:sz w:val="24"/>
          <w:szCs w:val="24"/>
        </w:rPr>
      </w:pPr>
    </w:p>
    <w:p w:rsidR="00705754" w:rsidRPr="00E76F52" w:rsidRDefault="000F09F6"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V</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důsledku nesprávně provedené dokladové inventury k</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 xml:space="preserve">31. </w:t>
      </w:r>
      <w:r w:rsidR="00A53EC5" w:rsidRPr="00E76F52">
        <w:rPr>
          <w:rFonts w:ascii="Calibri" w:eastAsia="Times New Roman" w:hAnsi="Calibri" w:cs="Calibri"/>
          <w:color w:val="000000" w:themeColor="text1"/>
          <w:sz w:val="24"/>
          <w:szCs w:val="24"/>
        </w:rPr>
        <w:t>prosinci</w:t>
      </w:r>
      <w:r w:rsidRPr="00E76F52">
        <w:rPr>
          <w:rFonts w:ascii="Calibri" w:eastAsia="Times New Roman" w:hAnsi="Calibri" w:cs="Calibri"/>
          <w:color w:val="000000" w:themeColor="text1"/>
          <w:sz w:val="24"/>
          <w:szCs w:val="24"/>
        </w:rPr>
        <w:t xml:space="preserve"> 2013 MŽP nezjistilo, že vykázaný stav některých účtů ÚZ </w:t>
      </w:r>
      <w:r w:rsidR="00D157F1" w:rsidRPr="00E76F52">
        <w:rPr>
          <w:rFonts w:ascii="Calibri" w:eastAsia="Times New Roman" w:hAnsi="Calibri" w:cs="Calibri"/>
          <w:color w:val="000000" w:themeColor="text1"/>
          <w:sz w:val="24"/>
          <w:szCs w:val="24"/>
        </w:rPr>
        <w:t xml:space="preserve">sestavené </w:t>
      </w:r>
      <w:r w:rsidRPr="00E76F52">
        <w:rPr>
          <w:rFonts w:ascii="Calibri" w:eastAsia="Times New Roman" w:hAnsi="Calibri" w:cs="Calibri"/>
          <w:color w:val="000000" w:themeColor="text1"/>
          <w:sz w:val="24"/>
          <w:szCs w:val="24"/>
        </w:rPr>
        <w:t>k</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31.</w:t>
      </w:r>
      <w:r w:rsidR="007405FC" w:rsidRPr="00E76F52">
        <w:rPr>
          <w:rFonts w:ascii="Calibri" w:hAnsi="Calibri" w:cs="Calibri"/>
          <w:color w:val="000000" w:themeColor="text1"/>
          <w:sz w:val="24"/>
          <w:szCs w:val="24"/>
        </w:rPr>
        <w:t xml:space="preserve"> </w:t>
      </w:r>
      <w:r w:rsidR="00D157F1" w:rsidRPr="00E76F52">
        <w:rPr>
          <w:rFonts w:ascii="Calibri" w:eastAsia="Times New Roman" w:hAnsi="Calibri" w:cs="Calibri"/>
          <w:color w:val="000000" w:themeColor="text1"/>
          <w:sz w:val="24"/>
          <w:szCs w:val="24"/>
        </w:rPr>
        <w:t>prosinci</w:t>
      </w:r>
      <w:r w:rsidRPr="00E76F52">
        <w:rPr>
          <w:rFonts w:ascii="Calibri" w:eastAsia="Times New Roman" w:hAnsi="Calibri" w:cs="Calibri"/>
          <w:color w:val="000000" w:themeColor="text1"/>
          <w:sz w:val="24"/>
          <w:szCs w:val="24"/>
        </w:rPr>
        <w:t xml:space="preserve"> 2013 neodpovídal skutečnému stavu</w:t>
      </w:r>
      <w:r w:rsidR="00C36B24" w:rsidRPr="00E76F52">
        <w:rPr>
          <w:rFonts w:ascii="Calibri" w:eastAsia="Times New Roman" w:hAnsi="Calibri" w:cs="Calibri"/>
          <w:color w:val="000000" w:themeColor="text1"/>
          <w:sz w:val="24"/>
          <w:szCs w:val="24"/>
        </w:rPr>
        <w:t>. Jednalo se</w:t>
      </w:r>
      <w:r w:rsidRPr="00E76F52">
        <w:rPr>
          <w:rFonts w:ascii="Calibri" w:eastAsia="Times New Roman" w:hAnsi="Calibri" w:cs="Calibri"/>
          <w:color w:val="000000" w:themeColor="text1"/>
          <w:sz w:val="24"/>
          <w:szCs w:val="24"/>
        </w:rPr>
        <w:t xml:space="preserve"> např. </w:t>
      </w:r>
      <w:r w:rsidR="00C36B24" w:rsidRPr="00E76F52">
        <w:rPr>
          <w:rFonts w:ascii="Calibri" w:eastAsia="Times New Roman" w:hAnsi="Calibri" w:cs="Calibri"/>
          <w:color w:val="000000" w:themeColor="text1"/>
          <w:sz w:val="24"/>
          <w:szCs w:val="24"/>
        </w:rPr>
        <w:t>o</w:t>
      </w:r>
      <w:r w:rsidRPr="00E76F52">
        <w:rPr>
          <w:rFonts w:ascii="Calibri" w:eastAsia="Times New Roman" w:hAnsi="Calibri" w:cs="Calibri"/>
          <w:color w:val="000000" w:themeColor="text1"/>
          <w:sz w:val="24"/>
          <w:szCs w:val="24"/>
        </w:rPr>
        <w:t xml:space="preserve"> úč</w:t>
      </w:r>
      <w:r w:rsidR="00C36B24" w:rsidRPr="00E76F52">
        <w:rPr>
          <w:rFonts w:ascii="Calibri" w:eastAsia="Times New Roman" w:hAnsi="Calibri" w:cs="Calibri"/>
          <w:color w:val="000000" w:themeColor="text1"/>
          <w:sz w:val="24"/>
          <w:szCs w:val="24"/>
        </w:rPr>
        <w:t>e</w:t>
      </w:r>
      <w:r w:rsidRPr="00E76F52">
        <w:rPr>
          <w:rFonts w:ascii="Calibri" w:eastAsia="Times New Roman" w:hAnsi="Calibri" w:cs="Calibri"/>
          <w:color w:val="000000" w:themeColor="text1"/>
          <w:sz w:val="24"/>
          <w:szCs w:val="24"/>
        </w:rPr>
        <w:t xml:space="preserve">t </w:t>
      </w:r>
      <w:r w:rsidRPr="00B02A1B">
        <w:rPr>
          <w:rFonts w:ascii="Calibri" w:eastAsia="Times New Roman" w:hAnsi="Calibri" w:cs="Calibri"/>
          <w:color w:val="000000" w:themeColor="text1"/>
          <w:sz w:val="24"/>
          <w:szCs w:val="24"/>
        </w:rPr>
        <w:t>372</w:t>
      </w:r>
      <w:r w:rsidRPr="00E76F52">
        <w:rPr>
          <w:rFonts w:ascii="Calibri" w:eastAsia="Times New Roman" w:hAnsi="Calibri" w:cs="Calibri"/>
          <w:color w:val="000000" w:themeColor="text1"/>
          <w:sz w:val="24"/>
          <w:szCs w:val="24"/>
        </w:rPr>
        <w:t xml:space="preserve"> – </w:t>
      </w:r>
      <w:r w:rsidRPr="00E76F52">
        <w:rPr>
          <w:rFonts w:ascii="Calibri" w:eastAsia="Times New Roman" w:hAnsi="Calibri" w:cs="Calibri"/>
          <w:i/>
          <w:color w:val="000000" w:themeColor="text1"/>
          <w:sz w:val="24"/>
          <w:szCs w:val="24"/>
        </w:rPr>
        <w:t>Krátkodobé závazky z</w:t>
      </w:r>
      <w:r w:rsidR="007405FC" w:rsidRPr="00E76F52">
        <w:rPr>
          <w:rFonts w:ascii="Calibri" w:eastAsia="Times New Roman" w:hAnsi="Calibri" w:cs="Calibri"/>
          <w:i/>
          <w:color w:val="000000" w:themeColor="text1"/>
          <w:sz w:val="24"/>
          <w:szCs w:val="24"/>
        </w:rPr>
        <w:t xml:space="preserve"> </w:t>
      </w:r>
      <w:r w:rsidRPr="00E76F52">
        <w:rPr>
          <w:rFonts w:ascii="Calibri" w:eastAsia="Times New Roman" w:hAnsi="Calibri" w:cs="Calibri"/>
          <w:i/>
          <w:color w:val="000000" w:themeColor="text1"/>
          <w:sz w:val="24"/>
          <w:szCs w:val="24"/>
        </w:rPr>
        <w:t>nástrojů spolufinancovaných ze zahraničí</w:t>
      </w:r>
      <w:r w:rsidR="003927FC" w:rsidRPr="00B02A1B">
        <w:rPr>
          <w:rStyle w:val="Znakapoznpodarou"/>
          <w:rFonts w:ascii="Calibri" w:eastAsia="Times New Roman" w:hAnsi="Calibri" w:cs="Calibri"/>
          <w:iCs/>
          <w:color w:val="000000" w:themeColor="text1"/>
          <w:sz w:val="24"/>
          <w:szCs w:val="24"/>
        </w:rPr>
        <w:footnoteReference w:id="61"/>
      </w:r>
      <w:r w:rsidRPr="00E76F52">
        <w:rPr>
          <w:rFonts w:ascii="Calibri" w:eastAsia="Times New Roman" w:hAnsi="Calibri" w:cs="Calibri"/>
          <w:i/>
          <w:color w:val="000000" w:themeColor="text1"/>
          <w:sz w:val="24"/>
          <w:szCs w:val="24"/>
        </w:rPr>
        <w:t xml:space="preserve">, </w:t>
      </w:r>
      <w:r w:rsidRPr="00E76F52">
        <w:rPr>
          <w:rFonts w:ascii="Calibri" w:eastAsia="Times New Roman" w:hAnsi="Calibri" w:cs="Calibri"/>
          <w:color w:val="000000" w:themeColor="text1"/>
          <w:sz w:val="24"/>
          <w:szCs w:val="24"/>
        </w:rPr>
        <w:t>úč</w:t>
      </w:r>
      <w:r w:rsidR="00C36B24" w:rsidRPr="00E76F52">
        <w:rPr>
          <w:rFonts w:ascii="Calibri" w:eastAsia="Times New Roman" w:hAnsi="Calibri" w:cs="Calibri"/>
          <w:color w:val="000000" w:themeColor="text1"/>
          <w:sz w:val="24"/>
          <w:szCs w:val="24"/>
        </w:rPr>
        <w:t>e</w:t>
      </w:r>
      <w:r w:rsidRPr="00E76F52">
        <w:rPr>
          <w:rFonts w:ascii="Calibri" w:eastAsia="Times New Roman" w:hAnsi="Calibri" w:cs="Calibri"/>
          <w:color w:val="000000" w:themeColor="text1"/>
          <w:sz w:val="24"/>
          <w:szCs w:val="24"/>
        </w:rPr>
        <w:t xml:space="preserve">t </w:t>
      </w:r>
      <w:r w:rsidR="006B0724" w:rsidRPr="00B02A1B">
        <w:rPr>
          <w:rFonts w:ascii="Calibri" w:eastAsia="Times New Roman" w:hAnsi="Calibri" w:cs="Calibri"/>
          <w:color w:val="000000" w:themeColor="text1"/>
          <w:sz w:val="24"/>
          <w:szCs w:val="24"/>
        </w:rPr>
        <w:t>315</w:t>
      </w:r>
      <w:r w:rsidRPr="00E76F52">
        <w:rPr>
          <w:rFonts w:ascii="Calibri" w:eastAsia="Times New Roman" w:hAnsi="Calibri" w:cs="Calibri"/>
          <w:i/>
          <w:color w:val="000000" w:themeColor="text1"/>
          <w:sz w:val="24"/>
          <w:szCs w:val="24"/>
        </w:rPr>
        <w:t xml:space="preserve"> –</w:t>
      </w:r>
      <w:r w:rsidRPr="00E76F52">
        <w:rPr>
          <w:rFonts w:ascii="Calibri" w:eastAsia="Times New Roman" w:hAnsi="Calibri" w:cs="Calibri"/>
          <w:color w:val="000000" w:themeColor="text1"/>
          <w:sz w:val="24"/>
          <w:szCs w:val="24"/>
        </w:rPr>
        <w:t xml:space="preserve"> </w:t>
      </w:r>
      <w:r w:rsidR="006B0724" w:rsidRPr="00E76F52">
        <w:rPr>
          <w:rFonts w:ascii="Calibri" w:eastAsia="Times New Roman" w:hAnsi="Calibri" w:cs="Calibri"/>
          <w:i/>
          <w:color w:val="000000" w:themeColor="text1"/>
          <w:sz w:val="24"/>
          <w:szCs w:val="24"/>
        </w:rPr>
        <w:t>Jiné pohledávky z</w:t>
      </w:r>
      <w:r w:rsidR="007405FC" w:rsidRPr="00E76F52">
        <w:rPr>
          <w:rFonts w:ascii="Calibri" w:eastAsia="Times New Roman" w:hAnsi="Calibri" w:cs="Calibri"/>
          <w:i/>
          <w:color w:val="000000" w:themeColor="text1"/>
          <w:sz w:val="24"/>
          <w:szCs w:val="24"/>
        </w:rPr>
        <w:t xml:space="preserve"> </w:t>
      </w:r>
      <w:r w:rsidR="006B0724" w:rsidRPr="00E76F52">
        <w:rPr>
          <w:rFonts w:ascii="Calibri" w:eastAsia="Times New Roman" w:hAnsi="Calibri" w:cs="Calibri"/>
          <w:i/>
          <w:color w:val="000000" w:themeColor="text1"/>
          <w:sz w:val="24"/>
          <w:szCs w:val="24"/>
        </w:rPr>
        <w:t>hlavní činnosti</w:t>
      </w:r>
      <w:r w:rsidR="003927FC" w:rsidRPr="00B02A1B">
        <w:rPr>
          <w:rStyle w:val="Znakapoznpodarou"/>
          <w:rFonts w:ascii="Calibri" w:eastAsia="Times New Roman" w:hAnsi="Calibri" w:cs="Calibri"/>
          <w:iCs/>
          <w:color w:val="000000" w:themeColor="text1"/>
          <w:sz w:val="24"/>
          <w:szCs w:val="24"/>
        </w:rPr>
        <w:footnoteReference w:id="62"/>
      </w:r>
      <w:r w:rsidR="0081316D" w:rsidRPr="00E76F52">
        <w:rPr>
          <w:rFonts w:ascii="Calibri" w:eastAsia="Times New Roman" w:hAnsi="Calibri" w:cs="Calibri"/>
          <w:i/>
          <w:color w:val="000000" w:themeColor="text1"/>
          <w:sz w:val="24"/>
          <w:szCs w:val="24"/>
        </w:rPr>
        <w:t xml:space="preserve"> </w:t>
      </w:r>
      <w:r w:rsidRPr="00E76F52">
        <w:rPr>
          <w:rFonts w:ascii="Calibri" w:eastAsia="Times New Roman" w:hAnsi="Calibri" w:cs="Calibri"/>
          <w:color w:val="000000" w:themeColor="text1"/>
          <w:sz w:val="24"/>
          <w:szCs w:val="24"/>
        </w:rPr>
        <w:t>a</w:t>
      </w:r>
      <w:r w:rsidR="0081316D"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úč</w:t>
      </w:r>
      <w:r w:rsidR="00C36B24" w:rsidRPr="00E76F52">
        <w:rPr>
          <w:rFonts w:ascii="Calibri" w:eastAsia="Times New Roman" w:hAnsi="Calibri" w:cs="Calibri"/>
          <w:color w:val="000000" w:themeColor="text1"/>
          <w:sz w:val="24"/>
          <w:szCs w:val="24"/>
        </w:rPr>
        <w:t>e</w:t>
      </w:r>
      <w:r w:rsidRPr="00E76F52">
        <w:rPr>
          <w:rFonts w:ascii="Calibri" w:eastAsia="Times New Roman" w:hAnsi="Calibri" w:cs="Calibri"/>
          <w:color w:val="000000" w:themeColor="text1"/>
          <w:sz w:val="24"/>
          <w:szCs w:val="24"/>
        </w:rPr>
        <w:t>t</w:t>
      </w:r>
      <w:r w:rsidR="006B0724" w:rsidRPr="00E76F52">
        <w:rPr>
          <w:rFonts w:ascii="Calibri" w:eastAsia="Times New Roman" w:hAnsi="Calibri" w:cs="Calibri"/>
          <w:i/>
          <w:color w:val="000000" w:themeColor="text1"/>
          <w:sz w:val="24"/>
          <w:szCs w:val="24"/>
        </w:rPr>
        <w:t xml:space="preserve"> </w:t>
      </w:r>
      <w:r w:rsidR="00EC51C6" w:rsidRPr="00B02A1B">
        <w:rPr>
          <w:rFonts w:ascii="Calibri" w:eastAsia="Times New Roman" w:hAnsi="Calibri" w:cs="Calibri"/>
          <w:color w:val="000000" w:themeColor="text1"/>
          <w:sz w:val="24"/>
          <w:szCs w:val="24"/>
        </w:rPr>
        <w:t>983</w:t>
      </w:r>
      <w:r w:rsidR="00EC51C6" w:rsidRPr="00E76F52">
        <w:rPr>
          <w:rFonts w:ascii="Calibri" w:eastAsia="Times New Roman" w:hAnsi="Calibri" w:cs="Calibri"/>
          <w:i/>
          <w:color w:val="000000" w:themeColor="text1"/>
          <w:sz w:val="24"/>
          <w:szCs w:val="24"/>
        </w:rPr>
        <w:t xml:space="preserve"> – Krátkodobé podmíněné závazky ze soudních sporů, správních řízení a jiných řízení</w:t>
      </w:r>
      <w:r w:rsidR="003927FC" w:rsidRPr="00B02A1B">
        <w:rPr>
          <w:rStyle w:val="Znakapoznpodarou"/>
          <w:rFonts w:ascii="Calibri" w:eastAsia="Times New Roman" w:hAnsi="Calibri" w:cs="Calibri"/>
          <w:iCs/>
          <w:color w:val="000000" w:themeColor="text1"/>
          <w:sz w:val="24"/>
          <w:szCs w:val="24"/>
        </w:rPr>
        <w:footnoteReference w:id="63"/>
      </w:r>
      <w:r w:rsidRPr="00E76F52">
        <w:rPr>
          <w:rFonts w:ascii="Calibri" w:eastAsia="Times New Roman" w:hAnsi="Calibri" w:cs="Calibri"/>
          <w:i/>
          <w:color w:val="000000" w:themeColor="text1"/>
          <w:sz w:val="24"/>
          <w:szCs w:val="24"/>
        </w:rPr>
        <w:t>.</w:t>
      </w:r>
      <w:r w:rsidRPr="00E76F52">
        <w:rPr>
          <w:rFonts w:ascii="Calibri" w:eastAsia="Times New Roman" w:hAnsi="Calibri" w:cs="Calibri"/>
          <w:color w:val="000000" w:themeColor="text1"/>
          <w:sz w:val="24"/>
          <w:szCs w:val="24"/>
        </w:rPr>
        <w:t xml:space="preserve"> </w:t>
      </w:r>
    </w:p>
    <w:p w:rsidR="00A61510" w:rsidRPr="00E76F52" w:rsidRDefault="00A61510" w:rsidP="00E76F52">
      <w:pPr>
        <w:spacing w:after="0" w:line="240" w:lineRule="auto"/>
        <w:jc w:val="both"/>
        <w:rPr>
          <w:rFonts w:ascii="Calibri" w:eastAsia="Times New Roman" w:hAnsi="Calibri" w:cs="Calibri"/>
          <w:color w:val="000000" w:themeColor="text1"/>
          <w:sz w:val="24"/>
          <w:szCs w:val="24"/>
        </w:rPr>
      </w:pPr>
    </w:p>
    <w:p w:rsidR="00C60D2F" w:rsidRDefault="009771E6"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Z</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uvedených skutečností vyplývá, že MŽP při dokladových inventurác</w:t>
      </w:r>
      <w:r w:rsidR="009B7959" w:rsidRPr="00E76F52">
        <w:rPr>
          <w:rFonts w:ascii="Calibri" w:eastAsia="Times New Roman" w:hAnsi="Calibri" w:cs="Calibri"/>
          <w:color w:val="000000" w:themeColor="text1"/>
          <w:sz w:val="24"/>
          <w:szCs w:val="24"/>
        </w:rPr>
        <w:t xml:space="preserve">h </w:t>
      </w:r>
      <w:r w:rsidR="00D976C3" w:rsidRPr="00E76F52">
        <w:rPr>
          <w:rFonts w:ascii="Calibri" w:eastAsia="Times New Roman" w:hAnsi="Calibri" w:cs="Calibri"/>
          <w:color w:val="000000" w:themeColor="text1"/>
          <w:sz w:val="24"/>
          <w:szCs w:val="24"/>
        </w:rPr>
        <w:t>v rozporu s </w:t>
      </w:r>
      <w:r w:rsidR="000478C8" w:rsidRPr="00E76F52">
        <w:rPr>
          <w:rFonts w:ascii="Calibri" w:eastAsia="Times New Roman" w:hAnsi="Calibri" w:cs="Calibri"/>
          <w:color w:val="000000" w:themeColor="text1"/>
          <w:sz w:val="24"/>
          <w:szCs w:val="24"/>
        </w:rPr>
        <w:t>ustanovením</w:t>
      </w:r>
      <w:r w:rsidR="00943BA7" w:rsidRPr="00E76F52">
        <w:rPr>
          <w:rFonts w:ascii="Calibri" w:eastAsia="Times New Roman" w:hAnsi="Calibri" w:cs="Calibri"/>
          <w:color w:val="000000" w:themeColor="text1"/>
          <w:sz w:val="24"/>
          <w:szCs w:val="24"/>
        </w:rPr>
        <w:t>i</w:t>
      </w:r>
      <w:r w:rsidR="000478C8" w:rsidRPr="00E76F52">
        <w:rPr>
          <w:rFonts w:ascii="Calibri" w:eastAsia="Times New Roman" w:hAnsi="Calibri" w:cs="Calibri"/>
          <w:color w:val="000000" w:themeColor="text1"/>
          <w:sz w:val="24"/>
          <w:szCs w:val="24"/>
        </w:rPr>
        <w:t xml:space="preserve"> § 29 a § 30 zákona o účetnictví </w:t>
      </w:r>
      <w:r w:rsidR="00E87D28" w:rsidRPr="00E76F52">
        <w:rPr>
          <w:rFonts w:ascii="Calibri" w:eastAsia="Times New Roman" w:hAnsi="Calibri" w:cs="Calibri"/>
          <w:color w:val="000000" w:themeColor="text1"/>
          <w:sz w:val="24"/>
          <w:szCs w:val="24"/>
        </w:rPr>
        <w:t>nezjistilo skutečný stav</w:t>
      </w:r>
      <w:r w:rsidR="007B1419" w:rsidRPr="00E76F52">
        <w:rPr>
          <w:rFonts w:ascii="Calibri" w:eastAsia="Times New Roman" w:hAnsi="Calibri" w:cs="Calibri"/>
          <w:color w:val="000000" w:themeColor="text1"/>
          <w:sz w:val="24"/>
          <w:szCs w:val="24"/>
        </w:rPr>
        <w:t xml:space="preserve"> majetku a závazků</w:t>
      </w:r>
      <w:r w:rsidR="00D976C3" w:rsidRPr="00E76F52">
        <w:rPr>
          <w:rFonts w:ascii="Calibri" w:eastAsia="Times New Roman" w:hAnsi="Calibri" w:cs="Calibri"/>
          <w:color w:val="000000" w:themeColor="text1"/>
          <w:sz w:val="24"/>
          <w:szCs w:val="24"/>
        </w:rPr>
        <w:t xml:space="preserve"> </w:t>
      </w:r>
      <w:r w:rsidR="00E87D28" w:rsidRPr="00E76F52">
        <w:rPr>
          <w:rFonts w:ascii="Calibri" w:eastAsia="Times New Roman" w:hAnsi="Calibri" w:cs="Calibri"/>
          <w:color w:val="000000" w:themeColor="text1"/>
          <w:sz w:val="24"/>
          <w:szCs w:val="24"/>
        </w:rPr>
        <w:t>ani neověřilo</w:t>
      </w:r>
      <w:r w:rsidR="00B92E91" w:rsidRPr="00E76F52">
        <w:rPr>
          <w:rFonts w:ascii="Calibri" w:eastAsia="Times New Roman" w:hAnsi="Calibri" w:cs="Calibri"/>
          <w:color w:val="000000" w:themeColor="text1"/>
          <w:sz w:val="24"/>
          <w:szCs w:val="24"/>
        </w:rPr>
        <w:t>, zda odpovídá stavu</w:t>
      </w:r>
      <w:r w:rsidR="003927FC" w:rsidRPr="00E76F52">
        <w:rPr>
          <w:rFonts w:ascii="Calibri" w:eastAsia="Times New Roman" w:hAnsi="Calibri" w:cs="Calibri"/>
          <w:color w:val="000000" w:themeColor="text1"/>
          <w:sz w:val="24"/>
          <w:szCs w:val="24"/>
        </w:rPr>
        <w:t xml:space="preserve"> v</w:t>
      </w:r>
      <w:r w:rsidR="00E87D28" w:rsidRPr="00E76F52">
        <w:rPr>
          <w:rFonts w:ascii="Calibri" w:eastAsia="Times New Roman" w:hAnsi="Calibri" w:cs="Calibri"/>
          <w:color w:val="000000" w:themeColor="text1"/>
          <w:sz w:val="24"/>
          <w:szCs w:val="24"/>
        </w:rPr>
        <w:t>ykázanému v ÚZ k 31. prosinci 2013.</w:t>
      </w:r>
      <w:r w:rsidR="009044C6" w:rsidRPr="00E76F52">
        <w:rPr>
          <w:rFonts w:ascii="Calibri" w:eastAsia="Times New Roman" w:hAnsi="Calibri" w:cs="Calibri"/>
          <w:color w:val="000000" w:themeColor="text1"/>
          <w:sz w:val="24"/>
          <w:szCs w:val="24"/>
        </w:rPr>
        <w:t xml:space="preserve"> </w:t>
      </w:r>
      <w:r w:rsidR="00C60D2F" w:rsidRPr="00E76F52">
        <w:rPr>
          <w:rFonts w:ascii="Calibri" w:eastAsia="Times New Roman" w:hAnsi="Calibri" w:cs="Calibri"/>
          <w:color w:val="000000" w:themeColor="text1"/>
          <w:sz w:val="24"/>
          <w:szCs w:val="24"/>
        </w:rPr>
        <w:t>MŽP</w:t>
      </w:r>
      <w:r w:rsidR="003927FC" w:rsidRPr="00E76F52">
        <w:rPr>
          <w:rFonts w:ascii="Calibri" w:eastAsia="Times New Roman" w:hAnsi="Calibri" w:cs="Calibri"/>
          <w:color w:val="000000" w:themeColor="text1"/>
          <w:sz w:val="24"/>
          <w:szCs w:val="24"/>
        </w:rPr>
        <w:t xml:space="preserve"> navíc</w:t>
      </w:r>
      <w:r w:rsidR="00C60D2F" w:rsidRPr="00E76F52">
        <w:rPr>
          <w:rFonts w:ascii="Calibri" w:eastAsia="Times New Roman" w:hAnsi="Calibri" w:cs="Calibri"/>
          <w:color w:val="000000" w:themeColor="text1"/>
          <w:sz w:val="24"/>
          <w:szCs w:val="24"/>
        </w:rPr>
        <w:t xml:space="preserve"> dokladovou inventuru ukončilo</w:t>
      </w:r>
      <w:r w:rsidR="003927FC" w:rsidRPr="00E76F52">
        <w:rPr>
          <w:rFonts w:ascii="Calibri" w:eastAsia="Times New Roman" w:hAnsi="Calibri" w:cs="Calibri"/>
          <w:color w:val="000000" w:themeColor="text1"/>
          <w:sz w:val="24"/>
          <w:szCs w:val="24"/>
        </w:rPr>
        <w:t xml:space="preserve"> až</w:t>
      </w:r>
      <w:r w:rsidR="00C60D2F" w:rsidRPr="00E76F52">
        <w:rPr>
          <w:rFonts w:ascii="Calibri" w:eastAsia="Times New Roman" w:hAnsi="Calibri" w:cs="Calibri"/>
          <w:color w:val="000000" w:themeColor="text1"/>
          <w:sz w:val="24"/>
          <w:szCs w:val="24"/>
        </w:rPr>
        <w:t xml:space="preserve"> 21. května 2014</w:t>
      </w:r>
      <w:r w:rsidR="003927FC" w:rsidRPr="00E76F52">
        <w:rPr>
          <w:rFonts w:ascii="Calibri" w:eastAsia="Times New Roman" w:hAnsi="Calibri" w:cs="Calibri"/>
          <w:color w:val="000000" w:themeColor="text1"/>
          <w:sz w:val="24"/>
          <w:szCs w:val="24"/>
        </w:rPr>
        <w:t xml:space="preserve">, což </w:t>
      </w:r>
      <w:r w:rsidR="000478C8" w:rsidRPr="00E76F52">
        <w:rPr>
          <w:rFonts w:ascii="Calibri" w:eastAsia="Times New Roman" w:hAnsi="Calibri" w:cs="Calibri"/>
          <w:color w:val="000000" w:themeColor="text1"/>
          <w:sz w:val="24"/>
          <w:szCs w:val="24"/>
        </w:rPr>
        <w:t>bylo</w:t>
      </w:r>
      <w:r w:rsidR="003927FC" w:rsidRPr="00E76F52">
        <w:rPr>
          <w:rFonts w:ascii="Calibri" w:eastAsia="Times New Roman" w:hAnsi="Calibri" w:cs="Calibri"/>
          <w:color w:val="000000" w:themeColor="text1"/>
          <w:sz w:val="24"/>
          <w:szCs w:val="24"/>
        </w:rPr>
        <w:t xml:space="preserve"> 3 měsíce po termínu stanoven</w:t>
      </w:r>
      <w:r w:rsidR="000478C8" w:rsidRPr="00E76F52">
        <w:rPr>
          <w:rFonts w:ascii="Calibri" w:eastAsia="Times New Roman" w:hAnsi="Calibri" w:cs="Calibri"/>
          <w:color w:val="000000" w:themeColor="text1"/>
          <w:sz w:val="24"/>
          <w:szCs w:val="24"/>
        </w:rPr>
        <w:t>ém</w:t>
      </w:r>
      <w:r w:rsidR="009044C6" w:rsidRPr="00E76F52">
        <w:rPr>
          <w:rFonts w:ascii="Calibri" w:eastAsia="Times New Roman" w:hAnsi="Calibri" w:cs="Calibri"/>
          <w:color w:val="000000" w:themeColor="text1"/>
          <w:sz w:val="24"/>
          <w:szCs w:val="24"/>
        </w:rPr>
        <w:t xml:space="preserve"> v § 30</w:t>
      </w:r>
      <w:r w:rsidR="000478C8" w:rsidRPr="00E76F52">
        <w:rPr>
          <w:rFonts w:ascii="Calibri" w:eastAsia="Times New Roman" w:hAnsi="Calibri" w:cs="Calibri"/>
          <w:color w:val="000000" w:themeColor="text1"/>
          <w:sz w:val="24"/>
          <w:szCs w:val="24"/>
        </w:rPr>
        <w:t xml:space="preserve"> odst. 6, písm. b)</w:t>
      </w:r>
      <w:r w:rsidR="009044C6" w:rsidRPr="00E76F52">
        <w:rPr>
          <w:rFonts w:ascii="Calibri" w:eastAsia="Times New Roman" w:hAnsi="Calibri" w:cs="Calibri"/>
          <w:color w:val="000000" w:themeColor="text1"/>
          <w:sz w:val="24"/>
          <w:szCs w:val="24"/>
        </w:rPr>
        <w:t xml:space="preserve"> zákona </w:t>
      </w:r>
      <w:r w:rsidR="003927FC" w:rsidRPr="00E76F52">
        <w:rPr>
          <w:rFonts w:ascii="Calibri" w:eastAsia="Times New Roman" w:hAnsi="Calibri" w:cs="Calibri"/>
          <w:color w:val="000000" w:themeColor="text1"/>
          <w:sz w:val="24"/>
          <w:szCs w:val="24"/>
        </w:rPr>
        <w:t>o účetnictví</w:t>
      </w:r>
      <w:r w:rsidR="000478C8" w:rsidRPr="00E76F52">
        <w:rPr>
          <w:rFonts w:ascii="Calibri" w:eastAsia="Times New Roman" w:hAnsi="Calibri" w:cs="Calibri"/>
          <w:color w:val="000000" w:themeColor="text1"/>
          <w:sz w:val="24"/>
          <w:szCs w:val="24"/>
        </w:rPr>
        <w:t xml:space="preserve">. Ve smyslu </w:t>
      </w:r>
      <w:r w:rsidR="00C705CD">
        <w:rPr>
          <w:rFonts w:ascii="Calibri" w:eastAsia="Times New Roman" w:hAnsi="Calibri" w:cs="Calibri"/>
          <w:color w:val="000000" w:themeColor="text1"/>
          <w:sz w:val="24"/>
          <w:szCs w:val="24"/>
        </w:rPr>
        <w:t>tohoto</w:t>
      </w:r>
      <w:r w:rsidR="000478C8" w:rsidRPr="00E76F52">
        <w:rPr>
          <w:rFonts w:ascii="Calibri" w:eastAsia="Times New Roman" w:hAnsi="Calibri" w:cs="Calibri"/>
          <w:color w:val="000000" w:themeColor="text1"/>
          <w:sz w:val="24"/>
          <w:szCs w:val="24"/>
        </w:rPr>
        <w:t xml:space="preserve"> ustanovení </w:t>
      </w:r>
      <w:r w:rsidR="00A61510" w:rsidRPr="00E76F52">
        <w:rPr>
          <w:rFonts w:ascii="Calibri" w:eastAsia="Times New Roman" w:hAnsi="Calibri" w:cs="Calibri"/>
          <w:color w:val="000000" w:themeColor="text1"/>
          <w:sz w:val="24"/>
          <w:szCs w:val="24"/>
        </w:rPr>
        <w:t>musí být i</w:t>
      </w:r>
      <w:r w:rsidR="00C60D2F" w:rsidRPr="00E76F52">
        <w:rPr>
          <w:rFonts w:ascii="Calibri" w:eastAsia="Times New Roman" w:hAnsi="Calibri" w:cs="Calibri"/>
          <w:color w:val="000000" w:themeColor="text1"/>
          <w:sz w:val="24"/>
          <w:szCs w:val="24"/>
        </w:rPr>
        <w:t xml:space="preserve">nventura </w:t>
      </w:r>
      <w:r w:rsidR="00A61510" w:rsidRPr="00E76F52">
        <w:rPr>
          <w:rFonts w:ascii="Calibri" w:eastAsia="Times New Roman" w:hAnsi="Calibri" w:cs="Calibri"/>
          <w:color w:val="000000" w:themeColor="text1"/>
          <w:sz w:val="24"/>
          <w:szCs w:val="24"/>
        </w:rPr>
        <w:t>u</w:t>
      </w:r>
      <w:r w:rsidR="007B1419" w:rsidRPr="00E76F52">
        <w:rPr>
          <w:rFonts w:ascii="Calibri" w:eastAsia="Times New Roman" w:hAnsi="Calibri" w:cs="Calibri"/>
          <w:color w:val="000000" w:themeColor="text1"/>
          <w:sz w:val="24"/>
          <w:szCs w:val="24"/>
        </w:rPr>
        <w:t>končena nejpozději dva měsíce po rozvahovém dni</w:t>
      </w:r>
      <w:r w:rsidR="00C705CD">
        <w:rPr>
          <w:rFonts w:ascii="Calibri" w:eastAsia="Times New Roman" w:hAnsi="Calibri" w:cs="Calibri"/>
          <w:color w:val="000000" w:themeColor="text1"/>
          <w:sz w:val="24"/>
          <w:szCs w:val="24"/>
        </w:rPr>
        <w:t>, a to</w:t>
      </w:r>
      <w:r w:rsidR="000478C8" w:rsidRPr="00E76F52">
        <w:rPr>
          <w:rFonts w:ascii="Calibri" w:eastAsia="Times New Roman" w:hAnsi="Calibri" w:cs="Calibri"/>
          <w:color w:val="000000" w:themeColor="text1"/>
          <w:sz w:val="24"/>
          <w:szCs w:val="24"/>
        </w:rPr>
        <w:t xml:space="preserve"> z důvodu, </w:t>
      </w:r>
      <w:r w:rsidR="00E87D28" w:rsidRPr="00E76F52">
        <w:rPr>
          <w:rFonts w:ascii="Calibri" w:eastAsia="Times New Roman" w:hAnsi="Calibri" w:cs="Calibri"/>
          <w:color w:val="000000" w:themeColor="text1"/>
          <w:sz w:val="24"/>
          <w:szCs w:val="24"/>
        </w:rPr>
        <w:t xml:space="preserve">aby </w:t>
      </w:r>
      <w:r w:rsidR="003927FC" w:rsidRPr="00E76F52">
        <w:rPr>
          <w:rFonts w:ascii="Calibri" w:eastAsia="Times New Roman" w:hAnsi="Calibri" w:cs="Calibri"/>
          <w:color w:val="000000" w:themeColor="text1"/>
          <w:sz w:val="24"/>
          <w:szCs w:val="24"/>
        </w:rPr>
        <w:t>případn</w:t>
      </w:r>
      <w:r w:rsidR="007B1419" w:rsidRPr="00E76F52">
        <w:rPr>
          <w:rFonts w:ascii="Calibri" w:eastAsia="Times New Roman" w:hAnsi="Calibri" w:cs="Calibri"/>
          <w:color w:val="000000" w:themeColor="text1"/>
          <w:sz w:val="24"/>
          <w:szCs w:val="24"/>
        </w:rPr>
        <w:t>é</w:t>
      </w:r>
      <w:r w:rsidR="003927FC" w:rsidRPr="00E76F52">
        <w:rPr>
          <w:rFonts w:ascii="Calibri" w:eastAsia="Times New Roman" w:hAnsi="Calibri" w:cs="Calibri"/>
          <w:color w:val="000000" w:themeColor="text1"/>
          <w:sz w:val="24"/>
          <w:szCs w:val="24"/>
        </w:rPr>
        <w:t xml:space="preserve"> </w:t>
      </w:r>
      <w:r w:rsidR="00E87D28" w:rsidRPr="00E76F52">
        <w:rPr>
          <w:rFonts w:ascii="Calibri" w:eastAsia="Times New Roman" w:hAnsi="Calibri" w:cs="Calibri"/>
          <w:color w:val="000000" w:themeColor="text1"/>
          <w:sz w:val="24"/>
          <w:szCs w:val="24"/>
        </w:rPr>
        <w:t xml:space="preserve">zjištěné </w:t>
      </w:r>
      <w:r w:rsidR="00C60D2F" w:rsidRPr="00E76F52">
        <w:rPr>
          <w:rFonts w:ascii="Calibri" w:eastAsia="Times New Roman" w:hAnsi="Calibri" w:cs="Calibri"/>
          <w:color w:val="000000" w:themeColor="text1"/>
          <w:sz w:val="24"/>
          <w:szCs w:val="24"/>
        </w:rPr>
        <w:t xml:space="preserve">inventurní rozdíly </w:t>
      </w:r>
      <w:r w:rsidR="00E87D28" w:rsidRPr="00E76F52">
        <w:rPr>
          <w:rFonts w:ascii="Calibri" w:eastAsia="Times New Roman" w:hAnsi="Calibri" w:cs="Calibri"/>
          <w:color w:val="000000" w:themeColor="text1"/>
          <w:sz w:val="24"/>
          <w:szCs w:val="24"/>
        </w:rPr>
        <w:t>mohly být</w:t>
      </w:r>
      <w:r w:rsidR="00C60D2F" w:rsidRPr="00E76F52">
        <w:rPr>
          <w:rFonts w:ascii="Calibri" w:eastAsia="Times New Roman" w:hAnsi="Calibri" w:cs="Calibri"/>
          <w:color w:val="000000" w:themeColor="text1"/>
          <w:sz w:val="24"/>
          <w:szCs w:val="24"/>
        </w:rPr>
        <w:t xml:space="preserve"> zúčtovány</w:t>
      </w:r>
      <w:r w:rsidR="00E87D28" w:rsidRPr="00E76F52">
        <w:rPr>
          <w:rFonts w:ascii="Calibri" w:eastAsia="Times New Roman" w:hAnsi="Calibri" w:cs="Calibri"/>
          <w:color w:val="000000" w:themeColor="text1"/>
          <w:sz w:val="24"/>
          <w:szCs w:val="24"/>
        </w:rPr>
        <w:t xml:space="preserve"> ještě</w:t>
      </w:r>
      <w:r w:rsidR="00C60D2F" w:rsidRPr="00E76F52">
        <w:rPr>
          <w:rFonts w:ascii="Calibri" w:eastAsia="Times New Roman" w:hAnsi="Calibri" w:cs="Calibri"/>
          <w:color w:val="000000" w:themeColor="text1"/>
          <w:sz w:val="24"/>
          <w:szCs w:val="24"/>
        </w:rPr>
        <w:t xml:space="preserve"> do účetního období, za které se tyto skutečnosti ověřují.</w:t>
      </w:r>
    </w:p>
    <w:p w:rsidR="007F494E" w:rsidRPr="00E76F52" w:rsidRDefault="007F494E" w:rsidP="00E76F52">
      <w:pPr>
        <w:spacing w:after="0" w:line="240" w:lineRule="auto"/>
        <w:jc w:val="both"/>
        <w:rPr>
          <w:rFonts w:ascii="Calibri" w:eastAsia="Times New Roman" w:hAnsi="Calibri" w:cs="Calibri"/>
          <w:color w:val="000000" w:themeColor="text1"/>
          <w:sz w:val="24"/>
          <w:szCs w:val="24"/>
        </w:rPr>
      </w:pPr>
    </w:p>
    <w:p w:rsidR="00E71371" w:rsidRPr="00E76F52" w:rsidRDefault="00544BC6" w:rsidP="00E76F52">
      <w:pPr>
        <w:spacing w:after="0" w:line="240" w:lineRule="auto"/>
        <w:jc w:val="both"/>
        <w:rPr>
          <w:rFonts w:ascii="Calibri" w:eastAsia="Times New Roman" w:hAnsi="Calibri" w:cs="Calibri"/>
          <w:b/>
          <w:i/>
          <w:color w:val="000000" w:themeColor="text1"/>
          <w:sz w:val="24"/>
          <w:szCs w:val="24"/>
        </w:rPr>
      </w:pPr>
      <w:r w:rsidRPr="00E76F52">
        <w:rPr>
          <w:rFonts w:ascii="Calibri" w:eastAsia="Times New Roman" w:hAnsi="Calibri" w:cs="Calibri"/>
          <w:b/>
          <w:i/>
          <w:color w:val="000000" w:themeColor="text1"/>
          <w:sz w:val="24"/>
          <w:szCs w:val="24"/>
        </w:rPr>
        <w:t xml:space="preserve">Fyzická inventura </w:t>
      </w:r>
    </w:p>
    <w:p w:rsidR="007F494E" w:rsidRDefault="007F494E" w:rsidP="00E76F52">
      <w:pPr>
        <w:spacing w:after="0" w:line="240" w:lineRule="auto"/>
        <w:jc w:val="both"/>
        <w:rPr>
          <w:rFonts w:ascii="Calibri" w:eastAsia="Times New Roman" w:hAnsi="Calibri" w:cs="Calibri"/>
          <w:color w:val="000000" w:themeColor="text1"/>
          <w:sz w:val="24"/>
          <w:szCs w:val="24"/>
        </w:rPr>
      </w:pPr>
    </w:p>
    <w:p w:rsidR="00734A00" w:rsidRPr="00E76F52" w:rsidRDefault="00E87D28"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MŽP</w:t>
      </w:r>
      <w:r w:rsidR="00D54C0C" w:rsidRPr="00E76F52">
        <w:rPr>
          <w:rFonts w:ascii="Calibri" w:eastAsia="Times New Roman" w:hAnsi="Calibri" w:cs="Calibri"/>
          <w:color w:val="000000" w:themeColor="text1"/>
          <w:sz w:val="24"/>
          <w:szCs w:val="24"/>
        </w:rPr>
        <w:t xml:space="preserve"> stanovilo</w:t>
      </w:r>
      <w:r w:rsidRPr="00E76F52">
        <w:rPr>
          <w:rFonts w:ascii="Calibri" w:eastAsia="Times New Roman" w:hAnsi="Calibri" w:cs="Calibri"/>
          <w:color w:val="000000" w:themeColor="text1"/>
          <w:sz w:val="24"/>
          <w:szCs w:val="24"/>
        </w:rPr>
        <w:t xml:space="preserve"> jako rozhodný den pro zjišťování skutečného stavu majetku fyzickou inventurou 3. prosin</w:t>
      </w:r>
      <w:r w:rsidR="00367008" w:rsidRPr="00E76F52">
        <w:rPr>
          <w:rFonts w:ascii="Calibri" w:eastAsia="Times New Roman" w:hAnsi="Calibri" w:cs="Calibri"/>
          <w:color w:val="000000" w:themeColor="text1"/>
          <w:sz w:val="24"/>
          <w:szCs w:val="24"/>
        </w:rPr>
        <w:t>e</w:t>
      </w:r>
      <w:r w:rsidRPr="00E76F52">
        <w:rPr>
          <w:rFonts w:ascii="Calibri" w:eastAsia="Times New Roman" w:hAnsi="Calibri" w:cs="Calibri"/>
          <w:color w:val="000000" w:themeColor="text1"/>
          <w:sz w:val="24"/>
          <w:szCs w:val="24"/>
        </w:rPr>
        <w:t>c 2013.</w:t>
      </w:r>
      <w:r w:rsidR="00A61510" w:rsidRPr="00E76F52">
        <w:rPr>
          <w:rFonts w:ascii="Calibri" w:eastAsia="Times New Roman" w:hAnsi="Calibri" w:cs="Calibri"/>
          <w:color w:val="000000" w:themeColor="text1"/>
          <w:sz w:val="24"/>
          <w:szCs w:val="24"/>
        </w:rPr>
        <w:t xml:space="preserve"> </w:t>
      </w:r>
      <w:r w:rsidR="00AB2CB5" w:rsidRPr="00E76F52">
        <w:rPr>
          <w:rFonts w:ascii="Calibri" w:eastAsia="Times New Roman" w:hAnsi="Calibri" w:cs="Calibri"/>
          <w:color w:val="000000" w:themeColor="text1"/>
          <w:sz w:val="24"/>
          <w:szCs w:val="24"/>
        </w:rPr>
        <w:t>Inventurní soupisy z</w:t>
      </w:r>
      <w:r w:rsidR="007405FC" w:rsidRPr="00E76F52">
        <w:rPr>
          <w:rFonts w:ascii="Calibri" w:eastAsia="Times New Roman" w:hAnsi="Calibri" w:cs="Calibri"/>
          <w:color w:val="000000" w:themeColor="text1"/>
          <w:sz w:val="24"/>
          <w:szCs w:val="24"/>
        </w:rPr>
        <w:t xml:space="preserve"> </w:t>
      </w:r>
      <w:r w:rsidR="00AB2CB5" w:rsidRPr="00E76F52">
        <w:rPr>
          <w:rFonts w:ascii="Calibri" w:eastAsia="Times New Roman" w:hAnsi="Calibri" w:cs="Calibri"/>
          <w:color w:val="000000" w:themeColor="text1"/>
          <w:sz w:val="24"/>
          <w:szCs w:val="24"/>
        </w:rPr>
        <w:t>fyzické inventury provedené k</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tomuto d</w:t>
      </w:r>
      <w:r w:rsidR="00734A00" w:rsidRPr="00E76F52">
        <w:rPr>
          <w:rFonts w:ascii="Calibri" w:eastAsia="Times New Roman" w:hAnsi="Calibri" w:cs="Calibri"/>
          <w:color w:val="000000" w:themeColor="text1"/>
          <w:sz w:val="24"/>
          <w:szCs w:val="24"/>
        </w:rPr>
        <w:t>atu</w:t>
      </w:r>
      <w:r w:rsidR="00FF07BB"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n</w:t>
      </w:r>
      <w:r w:rsidR="00AB7EAA" w:rsidRPr="00E76F52">
        <w:rPr>
          <w:rFonts w:ascii="Calibri" w:eastAsia="Times New Roman" w:hAnsi="Calibri" w:cs="Calibri"/>
          <w:color w:val="000000" w:themeColor="text1"/>
          <w:sz w:val="24"/>
          <w:szCs w:val="24"/>
        </w:rPr>
        <w:t xml:space="preserve">ebyly </w:t>
      </w:r>
      <w:r w:rsidR="002505ED" w:rsidRPr="00E76F52">
        <w:rPr>
          <w:rFonts w:ascii="Calibri" w:eastAsia="Times New Roman" w:hAnsi="Calibri" w:cs="Calibri"/>
          <w:color w:val="000000" w:themeColor="text1"/>
          <w:sz w:val="24"/>
          <w:szCs w:val="24"/>
        </w:rPr>
        <w:t>vyhotoveny v</w:t>
      </w:r>
      <w:r w:rsidR="007405FC" w:rsidRPr="00E76F52">
        <w:rPr>
          <w:rFonts w:ascii="Calibri" w:eastAsia="Times New Roman" w:hAnsi="Calibri" w:cs="Calibri"/>
          <w:color w:val="000000" w:themeColor="text1"/>
          <w:sz w:val="24"/>
          <w:szCs w:val="24"/>
        </w:rPr>
        <w:t xml:space="preserve"> </w:t>
      </w:r>
      <w:r w:rsidR="002505ED" w:rsidRPr="00E76F52">
        <w:rPr>
          <w:rFonts w:ascii="Calibri" w:eastAsia="Times New Roman" w:hAnsi="Calibri" w:cs="Calibri"/>
          <w:color w:val="000000" w:themeColor="text1"/>
          <w:sz w:val="24"/>
          <w:szCs w:val="24"/>
        </w:rPr>
        <w:t xml:space="preserve">rozsahu stanoveném vyhláškou č. 270/2010 Sb., neboť </w:t>
      </w:r>
      <w:r w:rsidR="00734A00" w:rsidRPr="00E76F52">
        <w:rPr>
          <w:rFonts w:ascii="Calibri" w:eastAsia="Times New Roman" w:hAnsi="Calibri" w:cs="Calibri"/>
          <w:color w:val="000000" w:themeColor="text1"/>
          <w:sz w:val="24"/>
          <w:szCs w:val="24"/>
        </w:rPr>
        <w:t>nebyly označeny</w:t>
      </w:r>
      <w:r w:rsidR="002C1FFF" w:rsidRPr="00E76F52">
        <w:rPr>
          <w:rFonts w:ascii="Calibri" w:eastAsia="Times New Roman" w:hAnsi="Calibri" w:cs="Calibri"/>
          <w:color w:val="000000" w:themeColor="text1"/>
          <w:sz w:val="24"/>
          <w:szCs w:val="24"/>
        </w:rPr>
        <w:t xml:space="preserve"> účt</w:t>
      </w:r>
      <w:r w:rsidR="00734A00" w:rsidRPr="00E76F52">
        <w:rPr>
          <w:rFonts w:ascii="Calibri" w:eastAsia="Times New Roman" w:hAnsi="Calibri" w:cs="Calibri"/>
          <w:color w:val="000000" w:themeColor="text1"/>
          <w:sz w:val="24"/>
          <w:szCs w:val="24"/>
        </w:rPr>
        <w:t>y</w:t>
      </w:r>
      <w:r w:rsidR="002C1FFF" w:rsidRPr="00E76F52">
        <w:rPr>
          <w:rFonts w:ascii="Calibri" w:eastAsia="Times New Roman" w:hAnsi="Calibri" w:cs="Calibri"/>
          <w:color w:val="000000" w:themeColor="text1"/>
          <w:sz w:val="24"/>
          <w:szCs w:val="24"/>
        </w:rPr>
        <w:t xml:space="preserve">, na kterých je </w:t>
      </w:r>
      <w:r w:rsidR="00D02378" w:rsidRPr="00E76F52">
        <w:rPr>
          <w:rFonts w:ascii="Calibri" w:eastAsia="Times New Roman" w:hAnsi="Calibri" w:cs="Calibri"/>
          <w:color w:val="000000" w:themeColor="text1"/>
          <w:sz w:val="24"/>
          <w:szCs w:val="24"/>
        </w:rPr>
        <w:t xml:space="preserve">o </w:t>
      </w:r>
      <w:r w:rsidR="002C1FFF" w:rsidRPr="00E76F52">
        <w:rPr>
          <w:rFonts w:ascii="Calibri" w:eastAsia="Times New Roman" w:hAnsi="Calibri" w:cs="Calibri"/>
          <w:color w:val="000000" w:themeColor="text1"/>
          <w:sz w:val="24"/>
          <w:szCs w:val="24"/>
        </w:rPr>
        <w:t xml:space="preserve">inventarizovaném majetku účtováno. Inventurní soupisy </w:t>
      </w:r>
      <w:r w:rsidR="00AB7EAA" w:rsidRPr="00E76F52">
        <w:rPr>
          <w:rFonts w:ascii="Calibri" w:eastAsia="Times New Roman" w:hAnsi="Calibri" w:cs="Calibri"/>
          <w:color w:val="000000" w:themeColor="text1"/>
          <w:sz w:val="24"/>
          <w:szCs w:val="24"/>
        </w:rPr>
        <w:t xml:space="preserve">tak </w:t>
      </w:r>
      <w:r w:rsidR="002C1FFF" w:rsidRPr="00E76F52">
        <w:rPr>
          <w:rFonts w:ascii="Calibri" w:eastAsia="Times New Roman" w:hAnsi="Calibri" w:cs="Calibri"/>
          <w:color w:val="000000" w:themeColor="text1"/>
          <w:sz w:val="24"/>
          <w:szCs w:val="24"/>
        </w:rPr>
        <w:t>nebyly způsobilé k</w:t>
      </w:r>
      <w:r w:rsidR="007405FC" w:rsidRPr="00E76F52">
        <w:rPr>
          <w:rFonts w:ascii="Calibri" w:eastAsia="Times New Roman" w:hAnsi="Calibri" w:cs="Calibri"/>
          <w:color w:val="000000" w:themeColor="text1"/>
          <w:sz w:val="24"/>
          <w:szCs w:val="24"/>
        </w:rPr>
        <w:t xml:space="preserve"> </w:t>
      </w:r>
      <w:r w:rsidR="002C1FFF" w:rsidRPr="00E76F52">
        <w:rPr>
          <w:rFonts w:ascii="Calibri" w:eastAsia="Times New Roman" w:hAnsi="Calibri" w:cs="Calibri"/>
          <w:color w:val="000000" w:themeColor="text1"/>
          <w:sz w:val="24"/>
          <w:szCs w:val="24"/>
        </w:rPr>
        <w:t>tomu, aby MŽP</w:t>
      </w:r>
      <w:r w:rsidR="00AB7EAA" w:rsidRPr="00E76F52">
        <w:rPr>
          <w:rFonts w:ascii="Calibri" w:eastAsia="Times New Roman" w:hAnsi="Calibri" w:cs="Calibri"/>
          <w:color w:val="000000" w:themeColor="text1"/>
          <w:sz w:val="24"/>
          <w:szCs w:val="24"/>
        </w:rPr>
        <w:t xml:space="preserve"> na jejich základě</w:t>
      </w:r>
      <w:r w:rsidR="00A61510" w:rsidRPr="00E76F52">
        <w:rPr>
          <w:rFonts w:ascii="Calibri" w:eastAsia="Times New Roman" w:hAnsi="Calibri" w:cs="Calibri"/>
          <w:color w:val="000000" w:themeColor="text1"/>
          <w:sz w:val="24"/>
          <w:szCs w:val="24"/>
        </w:rPr>
        <w:t xml:space="preserve"> v</w:t>
      </w:r>
      <w:r w:rsidR="007405FC" w:rsidRPr="00E76F52">
        <w:rPr>
          <w:rFonts w:ascii="Calibri" w:eastAsia="Times New Roman" w:hAnsi="Calibri" w:cs="Calibri"/>
          <w:color w:val="000000" w:themeColor="text1"/>
          <w:sz w:val="24"/>
          <w:szCs w:val="24"/>
        </w:rPr>
        <w:t xml:space="preserve"> </w:t>
      </w:r>
      <w:r w:rsidR="00A61510" w:rsidRPr="00E76F52">
        <w:rPr>
          <w:rFonts w:ascii="Calibri" w:eastAsia="Times New Roman" w:hAnsi="Calibri" w:cs="Calibri"/>
          <w:color w:val="000000" w:themeColor="text1"/>
          <w:sz w:val="24"/>
          <w:szCs w:val="24"/>
        </w:rPr>
        <w:t>souladu s ustanovením § 29 zákona o</w:t>
      </w:r>
      <w:r w:rsidR="00D27C61" w:rsidRPr="00E76F52">
        <w:rPr>
          <w:rFonts w:ascii="Calibri" w:eastAsia="Times New Roman" w:hAnsi="Calibri" w:cs="Calibri"/>
          <w:color w:val="000000" w:themeColor="text1"/>
          <w:sz w:val="24"/>
          <w:szCs w:val="24"/>
        </w:rPr>
        <w:t> </w:t>
      </w:r>
      <w:r w:rsidR="00A61510" w:rsidRPr="00E76F52">
        <w:rPr>
          <w:rFonts w:ascii="Calibri" w:eastAsia="Times New Roman" w:hAnsi="Calibri" w:cs="Calibri"/>
          <w:color w:val="000000" w:themeColor="text1"/>
          <w:sz w:val="24"/>
          <w:szCs w:val="24"/>
        </w:rPr>
        <w:t xml:space="preserve">účetnictví </w:t>
      </w:r>
      <w:r w:rsidR="002C1FFF" w:rsidRPr="00E76F52">
        <w:rPr>
          <w:rFonts w:ascii="Calibri" w:eastAsia="Times New Roman" w:hAnsi="Calibri" w:cs="Calibri"/>
          <w:color w:val="000000" w:themeColor="text1"/>
          <w:sz w:val="24"/>
          <w:szCs w:val="24"/>
        </w:rPr>
        <w:t>ověřilo, zda zjištěný skutečný stav majetku k</w:t>
      </w:r>
      <w:r w:rsidR="007405FC" w:rsidRPr="00E76F52">
        <w:rPr>
          <w:rFonts w:ascii="Calibri" w:eastAsia="Times New Roman" w:hAnsi="Calibri" w:cs="Calibri"/>
          <w:color w:val="000000" w:themeColor="text1"/>
          <w:sz w:val="24"/>
          <w:szCs w:val="24"/>
        </w:rPr>
        <w:t xml:space="preserve"> </w:t>
      </w:r>
      <w:r w:rsidR="002C1FFF" w:rsidRPr="00E76F52">
        <w:rPr>
          <w:rFonts w:ascii="Calibri" w:eastAsia="Times New Roman" w:hAnsi="Calibri" w:cs="Calibri"/>
          <w:color w:val="000000" w:themeColor="text1"/>
          <w:sz w:val="24"/>
          <w:szCs w:val="24"/>
        </w:rPr>
        <w:t>rozhodnému dni uvedený na inventurních soupisech odpovídal stavu tohoto majetku v</w:t>
      </w:r>
      <w:r w:rsidR="007405FC" w:rsidRPr="00E76F52">
        <w:rPr>
          <w:rFonts w:ascii="Calibri" w:eastAsia="Times New Roman" w:hAnsi="Calibri" w:cs="Calibri"/>
          <w:color w:val="000000" w:themeColor="text1"/>
          <w:sz w:val="24"/>
          <w:szCs w:val="24"/>
        </w:rPr>
        <w:t xml:space="preserve"> </w:t>
      </w:r>
      <w:r w:rsidR="002C1FFF" w:rsidRPr="00E76F52">
        <w:rPr>
          <w:rFonts w:ascii="Calibri" w:eastAsia="Times New Roman" w:hAnsi="Calibri" w:cs="Calibri"/>
          <w:color w:val="000000" w:themeColor="text1"/>
          <w:sz w:val="24"/>
          <w:szCs w:val="24"/>
        </w:rPr>
        <w:t>účetnictví</w:t>
      </w:r>
      <w:r w:rsidR="009044C6" w:rsidRPr="00E76F52">
        <w:rPr>
          <w:rFonts w:ascii="Calibri" w:eastAsia="Times New Roman" w:hAnsi="Calibri" w:cs="Calibri"/>
          <w:color w:val="000000" w:themeColor="text1"/>
          <w:sz w:val="24"/>
          <w:szCs w:val="24"/>
        </w:rPr>
        <w:t xml:space="preserve">. </w:t>
      </w:r>
      <w:r w:rsidR="00FF220A" w:rsidRPr="00E76F52">
        <w:rPr>
          <w:rFonts w:ascii="Calibri" w:eastAsia="Times New Roman" w:hAnsi="Calibri" w:cs="Calibri"/>
          <w:color w:val="000000" w:themeColor="text1"/>
          <w:sz w:val="24"/>
          <w:szCs w:val="24"/>
        </w:rPr>
        <w:t>Stejné</w:t>
      </w:r>
      <w:r w:rsidR="005B357B" w:rsidRPr="00E76F52">
        <w:rPr>
          <w:rFonts w:ascii="Calibri" w:eastAsia="Times New Roman" w:hAnsi="Calibri" w:cs="Calibri"/>
          <w:color w:val="000000" w:themeColor="text1"/>
          <w:sz w:val="24"/>
          <w:szCs w:val="24"/>
        </w:rPr>
        <w:t xml:space="preserve"> </w:t>
      </w:r>
      <w:r w:rsidR="00BE31E7" w:rsidRPr="00E76F52">
        <w:rPr>
          <w:rFonts w:ascii="Calibri" w:eastAsia="Times New Roman" w:hAnsi="Calibri" w:cs="Calibri"/>
          <w:color w:val="000000" w:themeColor="text1"/>
          <w:sz w:val="24"/>
          <w:szCs w:val="24"/>
        </w:rPr>
        <w:t>nedostatky</w:t>
      </w:r>
      <w:r w:rsidR="005B357B" w:rsidRPr="00E76F52">
        <w:rPr>
          <w:rFonts w:ascii="Calibri" w:eastAsia="Times New Roman" w:hAnsi="Calibri" w:cs="Calibri"/>
          <w:color w:val="000000" w:themeColor="text1"/>
          <w:sz w:val="24"/>
          <w:szCs w:val="24"/>
        </w:rPr>
        <w:t xml:space="preserve"> byly zjištěny </w:t>
      </w:r>
      <w:r w:rsidR="00BE31E7" w:rsidRPr="00E76F52">
        <w:rPr>
          <w:rFonts w:ascii="Calibri" w:eastAsia="Times New Roman" w:hAnsi="Calibri" w:cs="Calibri"/>
          <w:color w:val="000000" w:themeColor="text1"/>
          <w:sz w:val="24"/>
          <w:szCs w:val="24"/>
        </w:rPr>
        <w:t>také</w:t>
      </w:r>
      <w:r w:rsidR="007405FC" w:rsidRPr="00E76F52">
        <w:rPr>
          <w:rFonts w:ascii="Calibri" w:eastAsia="Times New Roman" w:hAnsi="Calibri" w:cs="Calibri"/>
          <w:color w:val="000000" w:themeColor="text1"/>
          <w:sz w:val="24"/>
          <w:szCs w:val="24"/>
        </w:rPr>
        <w:t xml:space="preserve"> </w:t>
      </w:r>
      <w:r w:rsidR="005B357B" w:rsidRPr="00E76F52">
        <w:rPr>
          <w:rFonts w:ascii="Calibri" w:eastAsia="Times New Roman" w:hAnsi="Calibri" w:cs="Calibri"/>
          <w:color w:val="000000" w:themeColor="text1"/>
          <w:sz w:val="24"/>
          <w:szCs w:val="24"/>
        </w:rPr>
        <w:t>kontrolní akc</w:t>
      </w:r>
      <w:r w:rsidR="00BE31E7" w:rsidRPr="00E76F52">
        <w:rPr>
          <w:rFonts w:ascii="Calibri" w:eastAsia="Times New Roman" w:hAnsi="Calibri" w:cs="Calibri"/>
          <w:color w:val="000000" w:themeColor="text1"/>
          <w:sz w:val="24"/>
          <w:szCs w:val="24"/>
        </w:rPr>
        <w:t>í</w:t>
      </w:r>
      <w:r w:rsidR="005B357B" w:rsidRPr="00E76F52">
        <w:rPr>
          <w:rFonts w:ascii="Calibri" w:eastAsia="Times New Roman" w:hAnsi="Calibri" w:cs="Calibri"/>
          <w:color w:val="000000" w:themeColor="text1"/>
          <w:sz w:val="24"/>
          <w:szCs w:val="24"/>
        </w:rPr>
        <w:t xml:space="preserve"> č. 1</w:t>
      </w:r>
      <w:r w:rsidR="00367008" w:rsidRPr="00E76F52">
        <w:rPr>
          <w:rFonts w:ascii="Calibri" w:eastAsia="Times New Roman" w:hAnsi="Calibri" w:cs="Calibri"/>
          <w:color w:val="000000" w:themeColor="text1"/>
          <w:sz w:val="24"/>
          <w:szCs w:val="24"/>
        </w:rPr>
        <w:t>3</w:t>
      </w:r>
      <w:r w:rsidR="005B357B" w:rsidRPr="00E76F52">
        <w:rPr>
          <w:rFonts w:ascii="Calibri" w:eastAsia="Times New Roman" w:hAnsi="Calibri" w:cs="Calibri"/>
          <w:color w:val="000000" w:themeColor="text1"/>
          <w:sz w:val="24"/>
          <w:szCs w:val="24"/>
        </w:rPr>
        <w:t>/07</w:t>
      </w:r>
      <w:r w:rsidR="00713C0D" w:rsidRPr="00E76F52">
        <w:rPr>
          <w:rStyle w:val="Znakapoznpodarou"/>
          <w:rFonts w:ascii="Calibri" w:eastAsia="Times New Roman" w:hAnsi="Calibri" w:cs="Calibri"/>
          <w:bCs/>
          <w:color w:val="000000" w:themeColor="text1"/>
          <w:sz w:val="24"/>
          <w:szCs w:val="24"/>
        </w:rPr>
        <w:footnoteReference w:id="64"/>
      </w:r>
      <w:r w:rsidR="00713C0D" w:rsidRPr="00E76F52">
        <w:rPr>
          <w:rFonts w:ascii="Calibri" w:eastAsia="Times New Roman" w:hAnsi="Calibri" w:cs="Calibri"/>
          <w:color w:val="000000" w:themeColor="text1"/>
          <w:sz w:val="24"/>
          <w:szCs w:val="24"/>
        </w:rPr>
        <w:t>.</w:t>
      </w:r>
    </w:p>
    <w:p w:rsidR="00A61510" w:rsidRPr="00E76F52" w:rsidRDefault="00A61510" w:rsidP="00E76F52">
      <w:pPr>
        <w:spacing w:after="0" w:line="240" w:lineRule="auto"/>
        <w:jc w:val="both"/>
        <w:rPr>
          <w:rFonts w:ascii="Calibri" w:eastAsia="Times New Roman" w:hAnsi="Calibri" w:cs="Calibri"/>
          <w:color w:val="000000" w:themeColor="text1"/>
          <w:sz w:val="24"/>
          <w:szCs w:val="24"/>
        </w:rPr>
      </w:pPr>
    </w:p>
    <w:p w:rsidR="0081316D" w:rsidRPr="00E76F52" w:rsidRDefault="00734A00"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lastRenderedPageBreak/>
        <w:t>K</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 xml:space="preserve">31. prosinci 2013 </w:t>
      </w:r>
      <w:r w:rsidR="00A61510" w:rsidRPr="00E76F52">
        <w:rPr>
          <w:rFonts w:ascii="Calibri" w:eastAsia="Times New Roman" w:hAnsi="Calibri" w:cs="Calibri"/>
          <w:color w:val="000000" w:themeColor="text1"/>
          <w:sz w:val="24"/>
          <w:szCs w:val="24"/>
        </w:rPr>
        <w:t>MŽP vyhotovilo</w:t>
      </w:r>
      <w:r w:rsidRPr="00E76F52">
        <w:rPr>
          <w:rFonts w:ascii="Calibri" w:eastAsia="Times New Roman" w:hAnsi="Calibri" w:cs="Calibri"/>
          <w:color w:val="000000" w:themeColor="text1"/>
          <w:sz w:val="24"/>
          <w:szCs w:val="24"/>
        </w:rPr>
        <w:t xml:space="preserve"> inventurní soupisy prokazující rozsah</w:t>
      </w:r>
      <w:r w:rsidR="009044C6" w:rsidRPr="00E76F52">
        <w:rPr>
          <w:rFonts w:ascii="Calibri" w:eastAsia="Times New Roman" w:hAnsi="Calibri" w:cs="Calibri"/>
          <w:color w:val="000000" w:themeColor="text1"/>
          <w:sz w:val="24"/>
          <w:szCs w:val="24"/>
        </w:rPr>
        <w:t xml:space="preserve"> přírůstků a úbytků, které nastaly mezi rozhodným dnem a rozvahovým dnem.</w:t>
      </w:r>
      <w:r w:rsidR="00F92E74">
        <w:rPr>
          <w:rFonts w:ascii="Calibri" w:eastAsia="Times New Roman" w:hAnsi="Calibri" w:cs="Calibri"/>
          <w:color w:val="000000" w:themeColor="text1"/>
          <w:sz w:val="24"/>
          <w:szCs w:val="24"/>
        </w:rPr>
        <w:t xml:space="preserve"> </w:t>
      </w:r>
      <w:r w:rsidR="00A61510" w:rsidRPr="00E76F52">
        <w:rPr>
          <w:rFonts w:ascii="Calibri" w:eastAsia="Times New Roman" w:hAnsi="Calibri" w:cs="Calibri"/>
          <w:color w:val="000000" w:themeColor="text1"/>
          <w:sz w:val="24"/>
          <w:szCs w:val="24"/>
        </w:rPr>
        <w:t>Pro prokázání provedení inventarizace v</w:t>
      </w:r>
      <w:r w:rsidR="007405FC" w:rsidRPr="00E76F52">
        <w:rPr>
          <w:rFonts w:ascii="Calibri" w:eastAsia="Times New Roman" w:hAnsi="Calibri" w:cs="Calibri"/>
          <w:color w:val="000000" w:themeColor="text1"/>
          <w:sz w:val="24"/>
          <w:szCs w:val="24"/>
        </w:rPr>
        <w:t xml:space="preserve"> </w:t>
      </w:r>
      <w:r w:rsidR="00A61510" w:rsidRPr="00E76F52">
        <w:rPr>
          <w:rFonts w:ascii="Calibri" w:eastAsia="Times New Roman" w:hAnsi="Calibri" w:cs="Calibri"/>
          <w:color w:val="000000" w:themeColor="text1"/>
          <w:sz w:val="24"/>
          <w:szCs w:val="24"/>
        </w:rPr>
        <w:t xml:space="preserve">souladu se zákonem o účetnictví musí účetní jednotka </w:t>
      </w:r>
      <w:r w:rsidR="004B5A4D" w:rsidRPr="00E76F52">
        <w:rPr>
          <w:rFonts w:ascii="Calibri" w:eastAsia="Times New Roman" w:hAnsi="Calibri" w:cs="Calibri"/>
          <w:color w:val="000000" w:themeColor="text1"/>
          <w:sz w:val="24"/>
          <w:szCs w:val="24"/>
        </w:rPr>
        <w:t>dle</w:t>
      </w:r>
      <w:r w:rsidR="00A61510" w:rsidRPr="00E76F52">
        <w:rPr>
          <w:rFonts w:ascii="Calibri" w:eastAsia="Times New Roman" w:hAnsi="Calibri" w:cs="Calibri"/>
          <w:color w:val="000000" w:themeColor="text1"/>
          <w:sz w:val="24"/>
          <w:szCs w:val="24"/>
        </w:rPr>
        <w:t xml:space="preserve"> </w:t>
      </w:r>
      <w:r w:rsidR="004B5A4D" w:rsidRPr="00E76F52">
        <w:rPr>
          <w:rFonts w:ascii="Calibri" w:eastAsia="Times New Roman" w:hAnsi="Calibri" w:cs="Calibri"/>
          <w:color w:val="000000" w:themeColor="text1"/>
          <w:sz w:val="24"/>
          <w:szCs w:val="24"/>
        </w:rPr>
        <w:t>§ 31</w:t>
      </w:r>
      <w:r w:rsidR="00430BCE" w:rsidRPr="00E76F52">
        <w:rPr>
          <w:rFonts w:ascii="Calibri" w:eastAsia="Times New Roman" w:hAnsi="Calibri" w:cs="Calibri"/>
          <w:color w:val="000000" w:themeColor="text1"/>
          <w:sz w:val="24"/>
          <w:szCs w:val="24"/>
        </w:rPr>
        <w:t xml:space="preserve"> tohoto zákona</w:t>
      </w:r>
      <w:r w:rsidR="004B5A4D" w:rsidRPr="00E76F52">
        <w:rPr>
          <w:rFonts w:ascii="Calibri" w:eastAsia="Times New Roman" w:hAnsi="Calibri" w:cs="Calibri"/>
          <w:color w:val="000000" w:themeColor="text1"/>
          <w:sz w:val="24"/>
          <w:szCs w:val="24"/>
        </w:rPr>
        <w:t xml:space="preserve"> uschovávat účetní záznamy včetně</w:t>
      </w:r>
      <w:r w:rsidR="0040650F" w:rsidRPr="00E76F52">
        <w:rPr>
          <w:rFonts w:ascii="Calibri" w:eastAsia="Times New Roman" w:hAnsi="Calibri" w:cs="Calibri"/>
          <w:color w:val="000000" w:themeColor="text1"/>
          <w:sz w:val="24"/>
          <w:szCs w:val="24"/>
        </w:rPr>
        <w:t xml:space="preserve"> </w:t>
      </w:r>
      <w:r w:rsidR="00A61510" w:rsidRPr="00E76F52">
        <w:rPr>
          <w:rFonts w:ascii="Calibri" w:eastAsia="Times New Roman" w:hAnsi="Calibri" w:cs="Calibri"/>
          <w:color w:val="000000" w:themeColor="text1"/>
          <w:sz w:val="24"/>
          <w:szCs w:val="24"/>
        </w:rPr>
        <w:t>inventurní</w:t>
      </w:r>
      <w:r w:rsidR="004B5A4D" w:rsidRPr="00E76F52">
        <w:rPr>
          <w:rFonts w:ascii="Calibri" w:eastAsia="Times New Roman" w:hAnsi="Calibri" w:cs="Calibri"/>
          <w:color w:val="000000" w:themeColor="text1"/>
          <w:sz w:val="24"/>
          <w:szCs w:val="24"/>
        </w:rPr>
        <w:t>ch</w:t>
      </w:r>
      <w:r w:rsidR="00A61510" w:rsidRPr="00E76F52">
        <w:rPr>
          <w:rFonts w:ascii="Calibri" w:eastAsia="Times New Roman" w:hAnsi="Calibri" w:cs="Calibri"/>
          <w:color w:val="000000" w:themeColor="text1"/>
          <w:sz w:val="24"/>
          <w:szCs w:val="24"/>
        </w:rPr>
        <w:t xml:space="preserve"> soupis</w:t>
      </w:r>
      <w:r w:rsidR="004B5A4D" w:rsidRPr="00E76F52">
        <w:rPr>
          <w:rFonts w:ascii="Calibri" w:eastAsia="Times New Roman" w:hAnsi="Calibri" w:cs="Calibri"/>
          <w:color w:val="000000" w:themeColor="text1"/>
          <w:sz w:val="24"/>
          <w:szCs w:val="24"/>
        </w:rPr>
        <w:t>ů</w:t>
      </w:r>
      <w:r w:rsidR="00A61510" w:rsidRPr="00E76F52">
        <w:rPr>
          <w:rFonts w:ascii="Calibri" w:eastAsia="Times New Roman" w:hAnsi="Calibri" w:cs="Calibri"/>
          <w:color w:val="000000" w:themeColor="text1"/>
          <w:sz w:val="24"/>
          <w:szCs w:val="24"/>
        </w:rPr>
        <w:t xml:space="preserve"> k rozhodnému dni i dodatečné inventurní soupisy k</w:t>
      </w:r>
      <w:r w:rsidR="007405FC" w:rsidRPr="00E76F52">
        <w:rPr>
          <w:rFonts w:ascii="Calibri" w:eastAsia="Times New Roman" w:hAnsi="Calibri" w:cs="Calibri"/>
          <w:color w:val="000000" w:themeColor="text1"/>
          <w:sz w:val="24"/>
          <w:szCs w:val="24"/>
        </w:rPr>
        <w:t xml:space="preserve"> </w:t>
      </w:r>
      <w:r w:rsidR="00A61510" w:rsidRPr="00E76F52">
        <w:rPr>
          <w:rFonts w:ascii="Calibri" w:eastAsia="Times New Roman" w:hAnsi="Calibri" w:cs="Calibri"/>
          <w:color w:val="000000" w:themeColor="text1"/>
          <w:sz w:val="24"/>
          <w:szCs w:val="24"/>
        </w:rPr>
        <w:t>rozvahovému dni, přičemž oba tyto druhy soupisů musí být způsobilé k</w:t>
      </w:r>
      <w:r w:rsidR="00CB1CFC">
        <w:rPr>
          <w:rFonts w:ascii="Calibri" w:eastAsia="Times New Roman" w:hAnsi="Calibri" w:cs="Calibri"/>
          <w:color w:val="000000" w:themeColor="text1"/>
          <w:sz w:val="24"/>
          <w:szCs w:val="24"/>
        </w:rPr>
        <w:t> </w:t>
      </w:r>
      <w:r w:rsidR="00A61510" w:rsidRPr="00E76F52">
        <w:rPr>
          <w:rFonts w:ascii="Calibri" w:eastAsia="Times New Roman" w:hAnsi="Calibri" w:cs="Calibri"/>
          <w:color w:val="000000" w:themeColor="text1"/>
          <w:sz w:val="24"/>
          <w:szCs w:val="24"/>
        </w:rPr>
        <w:t xml:space="preserve">tomu, aby na jejich základě bylo možné ověřit zjištěný skutečný stav majetku a závazků </w:t>
      </w:r>
      <w:r w:rsidR="00C705CD">
        <w:rPr>
          <w:rFonts w:ascii="Calibri" w:eastAsia="Times New Roman" w:hAnsi="Calibri" w:cs="Calibri"/>
          <w:color w:val="000000" w:themeColor="text1"/>
          <w:sz w:val="24"/>
          <w:szCs w:val="24"/>
        </w:rPr>
        <w:t>se</w:t>
      </w:r>
      <w:r w:rsidR="00A61510" w:rsidRPr="00E76F52">
        <w:rPr>
          <w:rFonts w:ascii="Calibri" w:eastAsia="Times New Roman" w:hAnsi="Calibri" w:cs="Calibri"/>
          <w:color w:val="000000" w:themeColor="text1"/>
          <w:sz w:val="24"/>
          <w:szCs w:val="24"/>
        </w:rPr>
        <w:t xml:space="preserve"> stavem v</w:t>
      </w:r>
      <w:r w:rsidR="007405FC" w:rsidRPr="00E76F52">
        <w:rPr>
          <w:rFonts w:ascii="Calibri" w:eastAsia="Times New Roman" w:hAnsi="Calibri" w:cs="Calibri"/>
          <w:color w:val="000000" w:themeColor="text1"/>
          <w:sz w:val="24"/>
          <w:szCs w:val="24"/>
        </w:rPr>
        <w:t xml:space="preserve"> </w:t>
      </w:r>
      <w:r w:rsidR="00A61510" w:rsidRPr="00E76F52">
        <w:rPr>
          <w:rFonts w:ascii="Calibri" w:eastAsia="Times New Roman" w:hAnsi="Calibri" w:cs="Calibri"/>
          <w:color w:val="000000" w:themeColor="text1"/>
          <w:sz w:val="24"/>
          <w:szCs w:val="24"/>
        </w:rPr>
        <w:t>účetnictví.</w:t>
      </w:r>
    </w:p>
    <w:p w:rsidR="0081316D" w:rsidRPr="00E76F52" w:rsidRDefault="0081316D" w:rsidP="00E76F52">
      <w:pPr>
        <w:spacing w:after="0" w:line="240" w:lineRule="auto"/>
        <w:jc w:val="both"/>
        <w:rPr>
          <w:rFonts w:ascii="Calibri" w:eastAsia="Times New Roman" w:hAnsi="Calibri" w:cs="Calibri"/>
          <w:color w:val="000000" w:themeColor="text1"/>
          <w:sz w:val="24"/>
          <w:szCs w:val="24"/>
        </w:rPr>
      </w:pPr>
    </w:p>
    <w:p w:rsidR="008F2C6B" w:rsidRPr="00E76F52" w:rsidRDefault="00FF220A"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MŽP neprovedlo v</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roce 2013 inventarizaci v</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souladu se zákonem o účetnictví</w:t>
      </w:r>
      <w:r w:rsidR="00F92E74">
        <w:rPr>
          <w:rFonts w:ascii="Calibri" w:eastAsia="Times New Roman" w:hAnsi="Calibri" w:cs="Calibri"/>
          <w:color w:val="000000" w:themeColor="text1"/>
          <w:sz w:val="24"/>
          <w:szCs w:val="24"/>
        </w:rPr>
        <w:t>,</w:t>
      </w:r>
      <w:r w:rsidRPr="00E76F52">
        <w:rPr>
          <w:rFonts w:ascii="Calibri" w:eastAsia="Times New Roman" w:hAnsi="Calibri" w:cs="Calibri"/>
          <w:color w:val="000000" w:themeColor="text1"/>
          <w:sz w:val="24"/>
          <w:szCs w:val="24"/>
        </w:rPr>
        <w:t xml:space="preserve"> a</w:t>
      </w:r>
      <w:r w:rsidR="00C705CD">
        <w:rPr>
          <w:rFonts w:ascii="Calibri" w:eastAsia="Times New Roman" w:hAnsi="Calibri" w:cs="Calibri"/>
          <w:color w:val="000000" w:themeColor="text1"/>
          <w:sz w:val="24"/>
          <w:szCs w:val="24"/>
        </w:rPr>
        <w:t> proto</w:t>
      </w:r>
      <w:r w:rsidRPr="00E76F52">
        <w:rPr>
          <w:rFonts w:ascii="Calibri" w:eastAsia="Times New Roman" w:hAnsi="Calibri" w:cs="Calibri"/>
          <w:color w:val="000000" w:themeColor="text1"/>
          <w:sz w:val="24"/>
          <w:szCs w:val="24"/>
        </w:rPr>
        <w:t xml:space="preserve"> jeho účetnictví je dle</w:t>
      </w:r>
      <w:r w:rsidR="007405FC" w:rsidRPr="00E76F52">
        <w:rPr>
          <w:rFonts w:ascii="Calibri" w:eastAsia="Times New Roman" w:hAnsi="Calibri" w:cs="Calibri"/>
          <w:color w:val="000000" w:themeColor="text1"/>
          <w:sz w:val="24"/>
          <w:szCs w:val="24"/>
        </w:rPr>
        <w:t xml:space="preserve"> </w:t>
      </w:r>
      <w:r w:rsidR="008F2C6B" w:rsidRPr="00E76F52">
        <w:rPr>
          <w:rFonts w:ascii="Calibri" w:eastAsia="Times New Roman" w:hAnsi="Calibri" w:cs="Calibri"/>
          <w:color w:val="000000" w:themeColor="text1"/>
          <w:sz w:val="24"/>
          <w:szCs w:val="24"/>
        </w:rPr>
        <w:t xml:space="preserve">ustanovení § </w:t>
      </w:r>
      <w:r w:rsidR="00734A00" w:rsidRPr="00E76F52">
        <w:rPr>
          <w:rFonts w:ascii="Calibri" w:eastAsia="Times New Roman" w:hAnsi="Calibri" w:cs="Calibri"/>
          <w:color w:val="000000" w:themeColor="text1"/>
          <w:sz w:val="24"/>
          <w:szCs w:val="24"/>
        </w:rPr>
        <w:t xml:space="preserve">8 odst. 4 </w:t>
      </w:r>
      <w:r w:rsidR="008F2C6B" w:rsidRPr="00E76F52">
        <w:rPr>
          <w:rFonts w:ascii="Calibri" w:eastAsia="Times New Roman" w:hAnsi="Calibri" w:cs="Calibri"/>
          <w:color w:val="000000" w:themeColor="text1"/>
          <w:sz w:val="24"/>
          <w:szCs w:val="24"/>
        </w:rPr>
        <w:t>zákona o účetnictví neprůkazné.</w:t>
      </w:r>
      <w:r w:rsidR="003A19EF" w:rsidRPr="00E76F52">
        <w:rPr>
          <w:rFonts w:ascii="Calibri" w:eastAsia="Times New Roman" w:hAnsi="Calibri" w:cs="Calibri"/>
          <w:color w:val="000000" w:themeColor="text1"/>
          <w:sz w:val="24"/>
          <w:szCs w:val="24"/>
        </w:rPr>
        <w:t xml:space="preserve"> </w:t>
      </w:r>
    </w:p>
    <w:p w:rsidR="009D3D05" w:rsidRPr="007F494E" w:rsidRDefault="009D3D05" w:rsidP="00E76F52">
      <w:pPr>
        <w:spacing w:after="0" w:line="240" w:lineRule="auto"/>
        <w:jc w:val="both"/>
        <w:rPr>
          <w:rFonts w:ascii="Calibri" w:eastAsia="Times New Roman" w:hAnsi="Calibri" w:cs="Calibri"/>
          <w:b/>
          <w:color w:val="000000" w:themeColor="text1"/>
          <w:sz w:val="24"/>
          <w:szCs w:val="24"/>
        </w:rPr>
      </w:pPr>
    </w:p>
    <w:p w:rsidR="009A4047" w:rsidRPr="00E76F52" w:rsidRDefault="00535494" w:rsidP="00E76F52">
      <w:pPr>
        <w:spacing w:after="0" w:line="240" w:lineRule="auto"/>
        <w:jc w:val="both"/>
        <w:rPr>
          <w:rFonts w:ascii="Calibri" w:hAnsi="Calibri" w:cs="Calibri"/>
          <w:b/>
          <w:color w:val="000000" w:themeColor="text1"/>
          <w:sz w:val="24"/>
          <w:szCs w:val="24"/>
        </w:rPr>
      </w:pPr>
      <w:r w:rsidRPr="00E76F52">
        <w:rPr>
          <w:rFonts w:ascii="Calibri" w:hAnsi="Calibri" w:cs="Calibri"/>
          <w:b/>
          <w:color w:val="000000" w:themeColor="text1"/>
          <w:sz w:val="24"/>
          <w:szCs w:val="24"/>
        </w:rPr>
        <w:t>1.</w:t>
      </w:r>
      <w:r w:rsidR="003F4129" w:rsidRPr="00E76F52">
        <w:rPr>
          <w:rFonts w:ascii="Calibri" w:hAnsi="Calibri" w:cs="Calibri"/>
          <w:b/>
          <w:color w:val="000000" w:themeColor="text1"/>
          <w:sz w:val="24"/>
          <w:szCs w:val="24"/>
        </w:rPr>
        <w:t xml:space="preserve">5 </w:t>
      </w:r>
      <w:r w:rsidR="008F580B" w:rsidRPr="00E76F52">
        <w:rPr>
          <w:rFonts w:ascii="Calibri" w:hAnsi="Calibri" w:cs="Calibri"/>
          <w:b/>
          <w:color w:val="000000" w:themeColor="text1"/>
          <w:sz w:val="24"/>
          <w:szCs w:val="24"/>
        </w:rPr>
        <w:t>Podpis účetní závěrky jako</w:t>
      </w:r>
      <w:r w:rsidR="008D57AA" w:rsidRPr="00E76F52">
        <w:rPr>
          <w:rFonts w:ascii="Calibri" w:hAnsi="Calibri" w:cs="Calibri"/>
          <w:b/>
          <w:color w:val="000000" w:themeColor="text1"/>
          <w:sz w:val="24"/>
          <w:szCs w:val="24"/>
        </w:rPr>
        <w:t xml:space="preserve"> její</w:t>
      </w:r>
      <w:r w:rsidR="008F580B" w:rsidRPr="00E76F52">
        <w:rPr>
          <w:rFonts w:ascii="Calibri" w:hAnsi="Calibri" w:cs="Calibri"/>
          <w:b/>
          <w:color w:val="000000" w:themeColor="text1"/>
          <w:sz w:val="24"/>
          <w:szCs w:val="24"/>
        </w:rPr>
        <w:t xml:space="preserve"> povinná součást </w:t>
      </w:r>
      <w:r w:rsidR="00A65096" w:rsidRPr="00E76F52">
        <w:rPr>
          <w:rFonts w:ascii="Calibri" w:hAnsi="Calibri" w:cs="Calibri"/>
          <w:b/>
          <w:color w:val="000000" w:themeColor="text1"/>
          <w:sz w:val="24"/>
          <w:szCs w:val="24"/>
        </w:rPr>
        <w:t>dle zákona o účetnictví</w:t>
      </w:r>
    </w:p>
    <w:p w:rsidR="00D54C0C" w:rsidRPr="00E76F52" w:rsidRDefault="00D54C0C" w:rsidP="00E76F52">
      <w:pPr>
        <w:spacing w:after="0" w:line="240" w:lineRule="auto"/>
        <w:jc w:val="both"/>
        <w:rPr>
          <w:rFonts w:ascii="Calibri" w:hAnsi="Calibri" w:cs="Calibri"/>
          <w:b/>
          <w:color w:val="000000" w:themeColor="text1"/>
          <w:sz w:val="24"/>
          <w:szCs w:val="24"/>
        </w:rPr>
      </w:pPr>
    </w:p>
    <w:p w:rsidR="00D54C0C" w:rsidRDefault="00D54C0C"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Účetní závěrka MŽP k</w:t>
      </w:r>
      <w:r w:rsidR="007405FC"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31. prosinci 2013 byla</w:t>
      </w:r>
      <w:r w:rsidR="00114FDE" w:rsidRPr="00E76F52">
        <w:rPr>
          <w:rFonts w:ascii="Calibri" w:eastAsia="Times New Roman" w:hAnsi="Calibri" w:cs="Calibri"/>
          <w:color w:val="000000" w:themeColor="text1"/>
          <w:sz w:val="24"/>
          <w:szCs w:val="24"/>
        </w:rPr>
        <w:t xml:space="preserve"> podepsána ředitelem odboru rozpočtu MŽP </w:t>
      </w:r>
      <w:r w:rsidRPr="00E76F52">
        <w:rPr>
          <w:rFonts w:ascii="Calibri" w:eastAsia="Times New Roman" w:hAnsi="Calibri" w:cs="Calibri"/>
          <w:color w:val="000000" w:themeColor="text1"/>
          <w:sz w:val="24"/>
          <w:szCs w:val="24"/>
        </w:rPr>
        <w:t>na základě pověření vydaného ministrem životního prostředí</w:t>
      </w:r>
      <w:r w:rsidR="00114FDE" w:rsidRPr="00E76F52">
        <w:rPr>
          <w:rFonts w:ascii="Calibri" w:eastAsia="Times New Roman" w:hAnsi="Calibri" w:cs="Calibri"/>
          <w:color w:val="000000" w:themeColor="text1"/>
          <w:sz w:val="24"/>
          <w:szCs w:val="24"/>
        </w:rPr>
        <w:t>.</w:t>
      </w:r>
      <w:r w:rsidRPr="00E76F52">
        <w:rPr>
          <w:rFonts w:ascii="Calibri" w:eastAsia="Times New Roman" w:hAnsi="Calibri" w:cs="Calibri"/>
          <w:color w:val="000000" w:themeColor="text1"/>
          <w:sz w:val="24"/>
          <w:szCs w:val="24"/>
        </w:rPr>
        <w:t xml:space="preserve"> </w:t>
      </w:r>
    </w:p>
    <w:p w:rsidR="007F494E" w:rsidRPr="00E76F52" w:rsidRDefault="007F494E" w:rsidP="00E76F52">
      <w:pPr>
        <w:spacing w:after="0" w:line="240" w:lineRule="auto"/>
        <w:jc w:val="both"/>
        <w:rPr>
          <w:rFonts w:ascii="Calibri" w:eastAsia="Times New Roman" w:hAnsi="Calibri" w:cs="Calibri"/>
          <w:color w:val="000000" w:themeColor="text1"/>
          <w:sz w:val="24"/>
          <w:szCs w:val="24"/>
        </w:rPr>
      </w:pPr>
    </w:p>
    <w:p w:rsidR="00A8425D" w:rsidRDefault="007009F2"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ÚZ MŽP sestavená k 31. prosinci 2013 neobsahovala všechny povinné součásti uvedené v § 18 odst. 2 zákona o účetnictví</w:t>
      </w:r>
      <w:r w:rsidR="008F580B" w:rsidRPr="00E76F52">
        <w:rPr>
          <w:rStyle w:val="Znakapoznpodarou"/>
          <w:rFonts w:ascii="Calibri" w:eastAsia="Times New Roman" w:hAnsi="Calibri" w:cs="Calibri"/>
          <w:bCs/>
          <w:color w:val="000000" w:themeColor="text1"/>
          <w:sz w:val="24"/>
          <w:szCs w:val="24"/>
        </w:rPr>
        <w:footnoteReference w:id="65"/>
      </w:r>
      <w:r w:rsidRPr="00E76F52">
        <w:rPr>
          <w:rFonts w:ascii="Calibri" w:eastAsia="Times New Roman" w:hAnsi="Calibri" w:cs="Calibri"/>
          <w:color w:val="000000" w:themeColor="text1"/>
          <w:sz w:val="24"/>
          <w:szCs w:val="24"/>
        </w:rPr>
        <w:t>, který ukládá, aby</w:t>
      </w:r>
      <w:r w:rsidR="003F5D5B">
        <w:rPr>
          <w:rFonts w:ascii="Calibri" w:eastAsia="Times New Roman" w:hAnsi="Calibri" w:cs="Calibri"/>
          <w:color w:val="000000" w:themeColor="text1"/>
          <w:sz w:val="24"/>
          <w:szCs w:val="24"/>
        </w:rPr>
        <w:t xml:space="preserve"> byl</w:t>
      </w:r>
      <w:r w:rsidRPr="00E76F52">
        <w:rPr>
          <w:rFonts w:ascii="Calibri" w:eastAsia="Times New Roman" w:hAnsi="Calibri" w:cs="Calibri"/>
          <w:color w:val="000000" w:themeColor="text1"/>
          <w:sz w:val="24"/>
          <w:szCs w:val="24"/>
        </w:rPr>
        <w:t xml:space="preserve"> k účetní závěrce připojen podpisový záznam statutárního orgánu účetní jednotky podle § 1 odst. 2 písm. a) až c) téhož zákona.</w:t>
      </w:r>
      <w:r w:rsidR="0081316D" w:rsidRPr="00E76F52">
        <w:rPr>
          <w:rFonts w:ascii="Calibri" w:eastAsia="Times New Roman" w:hAnsi="Calibri" w:cs="Calibri"/>
          <w:color w:val="000000" w:themeColor="text1"/>
          <w:sz w:val="24"/>
          <w:szCs w:val="24"/>
        </w:rPr>
        <w:t xml:space="preserve"> </w:t>
      </w:r>
      <w:r w:rsidR="00D32283" w:rsidRPr="00E76F52">
        <w:rPr>
          <w:rFonts w:ascii="Calibri" w:eastAsia="Times New Roman" w:hAnsi="Calibri" w:cs="Calibri"/>
          <w:color w:val="000000" w:themeColor="text1"/>
          <w:sz w:val="24"/>
          <w:szCs w:val="24"/>
        </w:rPr>
        <w:t>V</w:t>
      </w:r>
      <w:r w:rsidR="00D976C3" w:rsidRPr="00E76F52">
        <w:rPr>
          <w:rFonts w:ascii="Calibri" w:eastAsia="Times New Roman" w:hAnsi="Calibri" w:cs="Calibri"/>
          <w:color w:val="000000" w:themeColor="text1"/>
          <w:sz w:val="24"/>
          <w:szCs w:val="24"/>
        </w:rPr>
        <w:t> </w:t>
      </w:r>
      <w:r w:rsidR="00D32283" w:rsidRPr="00E76F52">
        <w:rPr>
          <w:rFonts w:ascii="Calibri" w:eastAsia="Times New Roman" w:hAnsi="Calibri" w:cs="Calibri"/>
          <w:color w:val="000000" w:themeColor="text1"/>
          <w:sz w:val="24"/>
          <w:szCs w:val="24"/>
        </w:rPr>
        <w:t>souladu s tímto</w:t>
      </w:r>
      <w:r w:rsidR="007405FC" w:rsidRPr="00E76F52">
        <w:rPr>
          <w:rFonts w:ascii="Calibri" w:eastAsia="Times New Roman" w:hAnsi="Calibri" w:cs="Calibri"/>
          <w:color w:val="000000" w:themeColor="text1"/>
          <w:sz w:val="24"/>
          <w:szCs w:val="24"/>
        </w:rPr>
        <w:t xml:space="preserve"> </w:t>
      </w:r>
      <w:r w:rsidR="00D32283" w:rsidRPr="00E76F52">
        <w:rPr>
          <w:rFonts w:ascii="Calibri" w:eastAsia="Times New Roman" w:hAnsi="Calibri" w:cs="Calibri"/>
          <w:color w:val="000000" w:themeColor="text1"/>
          <w:sz w:val="24"/>
          <w:szCs w:val="24"/>
        </w:rPr>
        <w:t>ustanovením zákona se připojením podpisového záznamu považuje účetní závěrka za sestavenou</w:t>
      </w:r>
      <w:r w:rsidR="00D54C0C" w:rsidRPr="00E76F52">
        <w:rPr>
          <w:rFonts w:ascii="Calibri" w:eastAsia="Times New Roman" w:hAnsi="Calibri" w:cs="Calibri"/>
          <w:color w:val="000000" w:themeColor="text1"/>
          <w:sz w:val="24"/>
          <w:szCs w:val="24"/>
        </w:rPr>
        <w:t xml:space="preserve"> k</w:t>
      </w:r>
      <w:r w:rsidR="007405FC" w:rsidRPr="00E76F52">
        <w:rPr>
          <w:rFonts w:ascii="Calibri" w:eastAsia="Times New Roman" w:hAnsi="Calibri" w:cs="Calibri"/>
          <w:color w:val="000000" w:themeColor="text1"/>
          <w:sz w:val="24"/>
          <w:szCs w:val="24"/>
        </w:rPr>
        <w:t xml:space="preserve"> </w:t>
      </w:r>
      <w:r w:rsidR="00D54C0C" w:rsidRPr="00E76F52">
        <w:rPr>
          <w:rFonts w:ascii="Calibri" w:eastAsia="Times New Roman" w:hAnsi="Calibri" w:cs="Calibri"/>
          <w:color w:val="000000" w:themeColor="text1"/>
          <w:sz w:val="24"/>
          <w:szCs w:val="24"/>
        </w:rPr>
        <w:t>uvedenému okamžiku sestavení</w:t>
      </w:r>
      <w:r w:rsidR="00D32283" w:rsidRPr="00E76F52">
        <w:rPr>
          <w:rFonts w:ascii="Calibri" w:eastAsia="Times New Roman" w:hAnsi="Calibri" w:cs="Calibri"/>
          <w:color w:val="000000" w:themeColor="text1"/>
          <w:sz w:val="24"/>
          <w:szCs w:val="24"/>
        </w:rPr>
        <w:t xml:space="preserve">. </w:t>
      </w:r>
      <w:r w:rsidR="004B390D" w:rsidRPr="00E76F52">
        <w:rPr>
          <w:rFonts w:ascii="Calibri" w:eastAsia="Times New Roman" w:hAnsi="Calibri" w:cs="Calibri"/>
          <w:color w:val="000000" w:themeColor="text1"/>
          <w:sz w:val="24"/>
          <w:szCs w:val="24"/>
        </w:rPr>
        <w:t>Připojení podpisu k účetní závěrce je</w:t>
      </w:r>
      <w:r w:rsidR="00D32283" w:rsidRPr="00E76F52">
        <w:rPr>
          <w:rFonts w:ascii="Calibri" w:eastAsia="Times New Roman" w:hAnsi="Calibri" w:cs="Calibri"/>
          <w:color w:val="000000" w:themeColor="text1"/>
          <w:sz w:val="24"/>
          <w:szCs w:val="24"/>
        </w:rPr>
        <w:t xml:space="preserve"> </w:t>
      </w:r>
      <w:r w:rsidR="004B390D" w:rsidRPr="00E76F52">
        <w:rPr>
          <w:rFonts w:ascii="Calibri" w:eastAsia="Times New Roman" w:hAnsi="Calibri" w:cs="Calibri"/>
          <w:color w:val="000000" w:themeColor="text1"/>
          <w:sz w:val="24"/>
          <w:szCs w:val="24"/>
        </w:rPr>
        <w:t xml:space="preserve">právním </w:t>
      </w:r>
      <w:r w:rsidR="008D57AA" w:rsidRPr="00E76F52">
        <w:rPr>
          <w:rFonts w:ascii="Calibri" w:eastAsia="Times New Roman" w:hAnsi="Calibri" w:cs="Calibri"/>
          <w:color w:val="000000" w:themeColor="text1"/>
          <w:sz w:val="24"/>
          <w:szCs w:val="24"/>
        </w:rPr>
        <w:t>jednáním</w:t>
      </w:r>
      <w:r w:rsidR="004B390D" w:rsidRPr="00E76F52">
        <w:rPr>
          <w:rFonts w:ascii="Calibri" w:eastAsia="Times New Roman" w:hAnsi="Calibri" w:cs="Calibri"/>
          <w:color w:val="000000" w:themeColor="text1"/>
          <w:sz w:val="24"/>
          <w:szCs w:val="24"/>
        </w:rPr>
        <w:t xml:space="preserve">, kterým vedoucí organizační složky </w:t>
      </w:r>
      <w:r w:rsidR="00C07532" w:rsidRPr="00E76F52">
        <w:rPr>
          <w:rFonts w:ascii="Calibri" w:eastAsia="Times New Roman" w:hAnsi="Calibri" w:cs="Calibri"/>
          <w:color w:val="000000" w:themeColor="text1"/>
          <w:sz w:val="24"/>
          <w:szCs w:val="24"/>
        </w:rPr>
        <w:t>státu</w:t>
      </w:r>
      <w:r w:rsidR="0083491D" w:rsidRPr="00E76F52">
        <w:rPr>
          <w:rFonts w:ascii="Calibri" w:eastAsia="Times New Roman" w:hAnsi="Calibri" w:cs="Calibri"/>
          <w:color w:val="000000" w:themeColor="text1"/>
          <w:sz w:val="24"/>
          <w:szCs w:val="24"/>
        </w:rPr>
        <w:t xml:space="preserve"> dává navenek na vědomí</w:t>
      </w:r>
      <w:r w:rsidR="004B390D" w:rsidRPr="00E76F52">
        <w:rPr>
          <w:rFonts w:ascii="Calibri" w:eastAsia="Times New Roman" w:hAnsi="Calibri" w:cs="Calibri"/>
          <w:color w:val="000000" w:themeColor="text1"/>
          <w:sz w:val="24"/>
          <w:szCs w:val="24"/>
        </w:rPr>
        <w:t>, že s obsahem účetní závěrky souhlasí a že údaje v ní obsažené považuje za správné a pravdivé.</w:t>
      </w:r>
    </w:p>
    <w:p w:rsidR="007F494E" w:rsidRPr="00E76F52" w:rsidRDefault="007F494E" w:rsidP="00E76F52">
      <w:pPr>
        <w:spacing w:after="0" w:line="240" w:lineRule="auto"/>
        <w:jc w:val="both"/>
        <w:rPr>
          <w:rFonts w:ascii="Calibri" w:eastAsia="Times New Roman" w:hAnsi="Calibri" w:cs="Calibri"/>
          <w:color w:val="000000" w:themeColor="text1"/>
          <w:sz w:val="24"/>
          <w:szCs w:val="24"/>
        </w:rPr>
      </w:pPr>
    </w:p>
    <w:p w:rsidR="008F6A9B" w:rsidRPr="00E76F52" w:rsidRDefault="008F6A9B" w:rsidP="00E76F52">
      <w:pPr>
        <w:spacing w:after="0" w:line="240" w:lineRule="auto"/>
        <w:jc w:val="both"/>
        <w:rPr>
          <w:rFonts w:ascii="Calibri" w:hAnsi="Calibri" w:cs="Calibri"/>
          <w:b/>
          <w:color w:val="000000" w:themeColor="text1"/>
          <w:sz w:val="24"/>
          <w:szCs w:val="24"/>
        </w:rPr>
      </w:pPr>
      <w:r w:rsidRPr="00E76F52">
        <w:rPr>
          <w:rFonts w:ascii="Calibri" w:hAnsi="Calibri" w:cs="Calibri"/>
          <w:b/>
          <w:color w:val="000000" w:themeColor="text1"/>
          <w:sz w:val="24"/>
          <w:szCs w:val="24"/>
        </w:rPr>
        <w:t xml:space="preserve">1.6 Schvalování účetní závěrky </w:t>
      </w:r>
    </w:p>
    <w:p w:rsidR="008F6A9B" w:rsidRPr="00E76F52" w:rsidRDefault="008F6A9B" w:rsidP="00E76F52">
      <w:pPr>
        <w:spacing w:after="0" w:line="240" w:lineRule="auto"/>
        <w:jc w:val="both"/>
        <w:rPr>
          <w:rFonts w:ascii="Calibri" w:eastAsia="Times New Roman" w:hAnsi="Calibri" w:cs="Calibri"/>
          <w:color w:val="000000" w:themeColor="text1"/>
          <w:sz w:val="24"/>
          <w:szCs w:val="24"/>
        </w:rPr>
      </w:pPr>
    </w:p>
    <w:p w:rsidR="00D03040" w:rsidRDefault="004D664D"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 xml:space="preserve">Požadavky na schvalování účetních závěrek stanoví vyhláška č. 220/2013 Sb., o požadavcích na schvalování účetních závěrek některých vybraných </w:t>
      </w:r>
      <w:r w:rsidR="008E52E4">
        <w:rPr>
          <w:rFonts w:ascii="Calibri" w:eastAsia="Times New Roman" w:hAnsi="Calibri" w:cs="Calibri"/>
          <w:color w:val="000000" w:themeColor="text1"/>
          <w:sz w:val="24"/>
          <w:szCs w:val="24"/>
        </w:rPr>
        <w:t xml:space="preserve">účetních </w:t>
      </w:r>
      <w:r w:rsidRPr="00E76F52">
        <w:rPr>
          <w:rFonts w:ascii="Calibri" w:eastAsia="Times New Roman" w:hAnsi="Calibri" w:cs="Calibri"/>
          <w:color w:val="000000" w:themeColor="text1"/>
          <w:sz w:val="24"/>
          <w:szCs w:val="24"/>
        </w:rPr>
        <w:t xml:space="preserve">jednotek. </w:t>
      </w:r>
    </w:p>
    <w:p w:rsidR="007F494E" w:rsidRPr="00E76F52" w:rsidRDefault="007F494E" w:rsidP="00E76F52">
      <w:pPr>
        <w:spacing w:after="0" w:line="240" w:lineRule="auto"/>
        <w:jc w:val="both"/>
        <w:rPr>
          <w:rFonts w:ascii="Calibri" w:eastAsia="Times New Roman" w:hAnsi="Calibri" w:cs="Calibri"/>
          <w:color w:val="000000" w:themeColor="text1"/>
          <w:sz w:val="24"/>
          <w:szCs w:val="24"/>
        </w:rPr>
      </w:pPr>
    </w:p>
    <w:p w:rsidR="004D664D" w:rsidRPr="00E76F52" w:rsidRDefault="004D664D" w:rsidP="00E76F52">
      <w:pPr>
        <w:spacing w:after="0" w:line="240" w:lineRule="auto"/>
        <w:jc w:val="both"/>
        <w:rPr>
          <w:rFonts w:ascii="Calibri" w:eastAsia="Times New Roman" w:hAnsi="Calibri" w:cs="Calibri"/>
          <w:color w:val="000000" w:themeColor="text1"/>
          <w:sz w:val="24"/>
          <w:szCs w:val="24"/>
        </w:rPr>
      </w:pPr>
      <w:r w:rsidRPr="00E76F52">
        <w:rPr>
          <w:rFonts w:ascii="Calibri" w:eastAsia="Times New Roman" w:hAnsi="Calibri" w:cs="Calibri"/>
          <w:color w:val="000000" w:themeColor="text1"/>
          <w:sz w:val="24"/>
          <w:szCs w:val="24"/>
        </w:rPr>
        <w:t>V</w:t>
      </w:r>
      <w:r w:rsidR="00B95437" w:rsidRPr="00E76F52">
        <w:rPr>
          <w:rFonts w:ascii="Calibri" w:eastAsia="Times New Roman" w:hAnsi="Calibri" w:cs="Calibri"/>
          <w:color w:val="000000" w:themeColor="text1"/>
          <w:sz w:val="24"/>
          <w:szCs w:val="24"/>
        </w:rPr>
        <w:t xml:space="preserve"> </w:t>
      </w:r>
      <w:r w:rsidR="00F92E74">
        <w:rPr>
          <w:rFonts w:ascii="Calibri" w:eastAsia="Times New Roman" w:hAnsi="Calibri" w:cs="Calibri"/>
          <w:color w:val="000000" w:themeColor="text1"/>
          <w:sz w:val="24"/>
          <w:szCs w:val="24"/>
        </w:rPr>
        <w:t>z</w:t>
      </w:r>
      <w:r w:rsidR="00B95437" w:rsidRPr="00E76F52">
        <w:rPr>
          <w:rFonts w:ascii="Calibri" w:eastAsia="Times New Roman" w:hAnsi="Calibri" w:cs="Calibri"/>
          <w:color w:val="000000" w:themeColor="text1"/>
          <w:sz w:val="24"/>
          <w:szCs w:val="24"/>
        </w:rPr>
        <w:t>áznamu z kontroly účetních závěrek k 31. prosinci 2013</w:t>
      </w:r>
      <w:r w:rsidR="00E10D1C" w:rsidRPr="00E76F52">
        <w:rPr>
          <w:rFonts w:ascii="Calibri" w:eastAsia="Times New Roman" w:hAnsi="Calibri" w:cs="Calibri"/>
          <w:color w:val="000000" w:themeColor="text1"/>
          <w:sz w:val="24"/>
          <w:szCs w:val="24"/>
        </w:rPr>
        <w:t xml:space="preserve">, který byl </w:t>
      </w:r>
      <w:r w:rsidR="008E52E4">
        <w:rPr>
          <w:rFonts w:ascii="Calibri" w:eastAsia="Times New Roman" w:hAnsi="Calibri" w:cs="Calibri"/>
          <w:color w:val="000000" w:themeColor="text1"/>
          <w:sz w:val="24"/>
          <w:szCs w:val="24"/>
        </w:rPr>
        <w:t>Ministerstvem životního prostředí</w:t>
      </w:r>
      <w:r w:rsidR="00E10D1C" w:rsidRPr="00E76F52">
        <w:rPr>
          <w:rFonts w:ascii="Calibri" w:eastAsia="Times New Roman" w:hAnsi="Calibri" w:cs="Calibri"/>
          <w:color w:val="000000" w:themeColor="text1"/>
          <w:sz w:val="24"/>
          <w:szCs w:val="24"/>
        </w:rPr>
        <w:t xml:space="preserve"> předložen jako dokument </w:t>
      </w:r>
      <w:r w:rsidR="00916806" w:rsidRPr="00E76F52">
        <w:rPr>
          <w:rFonts w:ascii="Calibri" w:eastAsia="Times New Roman" w:hAnsi="Calibri" w:cs="Calibri"/>
          <w:color w:val="000000" w:themeColor="text1"/>
          <w:sz w:val="24"/>
          <w:szCs w:val="24"/>
        </w:rPr>
        <w:t>podle</w:t>
      </w:r>
      <w:r w:rsidR="00E10D1C" w:rsidRPr="00E76F52">
        <w:rPr>
          <w:rFonts w:ascii="Calibri" w:eastAsia="Times New Roman" w:hAnsi="Calibri" w:cs="Calibri"/>
          <w:color w:val="000000" w:themeColor="text1"/>
          <w:sz w:val="24"/>
          <w:szCs w:val="24"/>
        </w:rPr>
        <w:t xml:space="preserve"> §</w:t>
      </w:r>
      <w:r w:rsidR="00916806" w:rsidRPr="00E76F52">
        <w:rPr>
          <w:rFonts w:ascii="Calibri" w:eastAsia="Times New Roman" w:hAnsi="Calibri" w:cs="Calibri"/>
          <w:color w:val="000000" w:themeColor="text1"/>
          <w:sz w:val="24"/>
          <w:szCs w:val="24"/>
        </w:rPr>
        <w:t xml:space="preserve"> 11</w:t>
      </w:r>
      <w:r w:rsidR="00E10D1C" w:rsidRPr="00E76F52">
        <w:rPr>
          <w:rFonts w:ascii="Calibri" w:eastAsia="Times New Roman" w:hAnsi="Calibri" w:cs="Calibri"/>
          <w:color w:val="000000" w:themeColor="text1"/>
          <w:sz w:val="24"/>
          <w:szCs w:val="24"/>
        </w:rPr>
        <w:t xml:space="preserve"> vyhlášky č. 220/2013</w:t>
      </w:r>
      <w:r w:rsidR="008E52E4">
        <w:rPr>
          <w:rFonts w:ascii="Calibri" w:eastAsia="Times New Roman" w:hAnsi="Calibri" w:cs="Calibri"/>
          <w:color w:val="000000" w:themeColor="text1"/>
          <w:sz w:val="24"/>
          <w:szCs w:val="24"/>
        </w:rPr>
        <w:t> Sb.</w:t>
      </w:r>
      <w:r w:rsidR="00E10D1C" w:rsidRPr="00E76F52">
        <w:rPr>
          <w:rFonts w:ascii="Calibri" w:eastAsia="Times New Roman" w:hAnsi="Calibri" w:cs="Calibri"/>
          <w:color w:val="000000" w:themeColor="text1"/>
          <w:sz w:val="24"/>
          <w:szCs w:val="24"/>
        </w:rPr>
        <w:t>,</w:t>
      </w:r>
      <w:r w:rsidR="00B95437"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color w:val="000000" w:themeColor="text1"/>
          <w:sz w:val="24"/>
          <w:szCs w:val="24"/>
        </w:rPr>
        <w:t>je uvedeno</w:t>
      </w:r>
      <w:r w:rsidR="00B95437" w:rsidRPr="00E76F52">
        <w:rPr>
          <w:rFonts w:ascii="Calibri" w:eastAsia="Times New Roman" w:hAnsi="Calibri" w:cs="Calibri"/>
          <w:color w:val="000000" w:themeColor="text1"/>
          <w:sz w:val="24"/>
          <w:szCs w:val="24"/>
        </w:rPr>
        <w:t>:</w:t>
      </w:r>
      <w:r w:rsidR="00F92E74">
        <w:rPr>
          <w:rFonts w:ascii="Calibri" w:eastAsia="Times New Roman" w:hAnsi="Calibri" w:cs="Calibri"/>
          <w:color w:val="000000" w:themeColor="text1"/>
          <w:sz w:val="24"/>
          <w:szCs w:val="24"/>
        </w:rPr>
        <w:t xml:space="preserve"> „ </w:t>
      </w:r>
      <w:r w:rsidR="00B95437" w:rsidRPr="00E76F52">
        <w:rPr>
          <w:rFonts w:ascii="Calibri" w:eastAsia="Times New Roman" w:hAnsi="Calibri" w:cs="Calibri"/>
          <w:color w:val="000000" w:themeColor="text1"/>
          <w:sz w:val="24"/>
          <w:szCs w:val="24"/>
        </w:rPr>
        <w:t>…</w:t>
      </w:r>
      <w:r w:rsidRPr="00E76F52">
        <w:rPr>
          <w:rFonts w:ascii="Calibri" w:eastAsia="Times New Roman" w:hAnsi="Calibri" w:cs="Calibri"/>
          <w:color w:val="000000" w:themeColor="text1"/>
          <w:sz w:val="24"/>
          <w:szCs w:val="24"/>
        </w:rPr>
        <w:t xml:space="preserve"> </w:t>
      </w:r>
      <w:r w:rsidRPr="00E76F52">
        <w:rPr>
          <w:rFonts w:ascii="Calibri" w:eastAsia="Times New Roman" w:hAnsi="Calibri" w:cs="Calibri"/>
          <w:i/>
          <w:color w:val="000000" w:themeColor="text1"/>
          <w:sz w:val="24"/>
          <w:szCs w:val="24"/>
        </w:rPr>
        <w:t xml:space="preserve">vzhledem </w:t>
      </w:r>
      <w:r w:rsidR="00B95437" w:rsidRPr="00E76F52">
        <w:rPr>
          <w:rFonts w:ascii="Calibri" w:eastAsia="Times New Roman" w:hAnsi="Calibri" w:cs="Calibri"/>
          <w:i/>
          <w:color w:val="000000" w:themeColor="text1"/>
          <w:sz w:val="24"/>
          <w:szCs w:val="24"/>
        </w:rPr>
        <w:t xml:space="preserve">k tomu, že účetní závěrky prošly kontrolami portálu </w:t>
      </w:r>
      <w:proofErr w:type="gramStart"/>
      <w:r w:rsidR="00B95437" w:rsidRPr="00E76F52">
        <w:rPr>
          <w:rFonts w:ascii="Calibri" w:eastAsia="Times New Roman" w:hAnsi="Calibri" w:cs="Calibri"/>
          <w:i/>
          <w:color w:val="000000" w:themeColor="text1"/>
          <w:sz w:val="24"/>
          <w:szCs w:val="24"/>
        </w:rPr>
        <w:t>CSÚIS ...</w:t>
      </w:r>
      <w:r w:rsidR="00F92E74">
        <w:rPr>
          <w:rFonts w:ascii="Calibri" w:eastAsia="Times New Roman" w:hAnsi="Calibri" w:cs="Calibri"/>
          <w:i/>
          <w:color w:val="000000" w:themeColor="text1"/>
          <w:sz w:val="24"/>
          <w:szCs w:val="24"/>
        </w:rPr>
        <w:t>,</w:t>
      </w:r>
      <w:r w:rsidR="00B95437" w:rsidRPr="00E76F52">
        <w:rPr>
          <w:rFonts w:ascii="Calibri" w:eastAsia="Times New Roman" w:hAnsi="Calibri" w:cs="Calibri"/>
          <w:i/>
          <w:color w:val="000000" w:themeColor="text1"/>
          <w:sz w:val="24"/>
          <w:szCs w:val="24"/>
        </w:rPr>
        <w:t xml:space="preserve"> se</w:t>
      </w:r>
      <w:proofErr w:type="gramEnd"/>
      <w:r w:rsidR="00B95437" w:rsidRPr="00E76F52">
        <w:rPr>
          <w:rFonts w:ascii="Calibri" w:eastAsia="Times New Roman" w:hAnsi="Calibri" w:cs="Calibri"/>
          <w:i/>
          <w:color w:val="000000" w:themeColor="text1"/>
          <w:sz w:val="24"/>
          <w:szCs w:val="24"/>
        </w:rPr>
        <w:t xml:space="preserve"> komise věnovala zejména kontrole účetních závěrek ve vazbě k inventuře rozvahových účtů a</w:t>
      </w:r>
      <w:r w:rsidR="008E52E4">
        <w:rPr>
          <w:rFonts w:ascii="Calibri" w:eastAsia="Times New Roman" w:hAnsi="Calibri" w:cs="Calibri"/>
          <w:i/>
          <w:color w:val="000000" w:themeColor="text1"/>
          <w:sz w:val="24"/>
          <w:szCs w:val="24"/>
        </w:rPr>
        <w:t> </w:t>
      </w:r>
      <w:r w:rsidR="00B95437" w:rsidRPr="00E76F52">
        <w:rPr>
          <w:rFonts w:ascii="Calibri" w:eastAsia="Times New Roman" w:hAnsi="Calibri" w:cs="Calibri"/>
          <w:i/>
          <w:color w:val="000000" w:themeColor="text1"/>
          <w:sz w:val="24"/>
          <w:szCs w:val="24"/>
        </w:rPr>
        <w:t>jejich vzájemné návaznosti</w:t>
      </w:r>
      <w:r w:rsidR="00F92E74">
        <w:rPr>
          <w:rFonts w:ascii="Calibri" w:eastAsia="Times New Roman" w:hAnsi="Calibri" w:cs="Calibri"/>
          <w:i/>
          <w:color w:val="000000" w:themeColor="text1"/>
          <w:sz w:val="24"/>
          <w:szCs w:val="24"/>
        </w:rPr>
        <w:t>.</w:t>
      </w:r>
      <w:r w:rsidR="00B95437" w:rsidRPr="00E76F52">
        <w:rPr>
          <w:rFonts w:ascii="Calibri" w:eastAsia="Times New Roman" w:hAnsi="Calibri" w:cs="Calibri"/>
          <w:i/>
          <w:color w:val="000000" w:themeColor="text1"/>
          <w:sz w:val="24"/>
          <w:szCs w:val="24"/>
        </w:rPr>
        <w:t>“</w:t>
      </w:r>
      <w:r w:rsidRPr="00E76F52">
        <w:rPr>
          <w:rFonts w:ascii="Calibri" w:eastAsia="Times New Roman" w:hAnsi="Calibri" w:cs="Calibri"/>
          <w:color w:val="000000" w:themeColor="text1"/>
          <w:sz w:val="24"/>
          <w:szCs w:val="24"/>
        </w:rPr>
        <w:t xml:space="preserve"> Z</w:t>
      </w:r>
      <w:r w:rsidR="00F92E74">
        <w:rPr>
          <w:rFonts w:ascii="Calibri" w:eastAsia="Times New Roman" w:hAnsi="Calibri" w:cs="Calibri"/>
          <w:color w:val="000000" w:themeColor="text1"/>
          <w:sz w:val="24"/>
          <w:szCs w:val="24"/>
        </w:rPr>
        <w:t> </w:t>
      </w:r>
      <w:r w:rsidR="00B95437" w:rsidRPr="00E76F52">
        <w:rPr>
          <w:rFonts w:ascii="Calibri" w:eastAsia="Times New Roman" w:hAnsi="Calibri" w:cs="Calibri"/>
          <w:color w:val="000000" w:themeColor="text1"/>
          <w:sz w:val="24"/>
          <w:szCs w:val="24"/>
        </w:rPr>
        <w:t>dokumentu</w:t>
      </w:r>
      <w:r w:rsidRPr="00E76F52">
        <w:rPr>
          <w:rFonts w:ascii="Calibri" w:eastAsia="Times New Roman" w:hAnsi="Calibri" w:cs="Calibri"/>
          <w:color w:val="000000" w:themeColor="text1"/>
          <w:sz w:val="24"/>
          <w:szCs w:val="24"/>
        </w:rPr>
        <w:t xml:space="preserve"> </w:t>
      </w:r>
      <w:r w:rsidR="007009F2" w:rsidRPr="00E76F52">
        <w:rPr>
          <w:rFonts w:ascii="Calibri" w:eastAsia="Times New Roman" w:hAnsi="Calibri" w:cs="Calibri"/>
          <w:color w:val="000000" w:themeColor="text1"/>
          <w:sz w:val="24"/>
          <w:szCs w:val="24"/>
        </w:rPr>
        <w:t xml:space="preserve">však </w:t>
      </w:r>
      <w:r w:rsidRPr="00E76F52">
        <w:rPr>
          <w:rFonts w:ascii="Calibri" w:eastAsia="Times New Roman" w:hAnsi="Calibri" w:cs="Calibri"/>
          <w:color w:val="000000" w:themeColor="text1"/>
          <w:sz w:val="24"/>
          <w:szCs w:val="24"/>
        </w:rPr>
        <w:t>nevyplývá, zda schval</w:t>
      </w:r>
      <w:r w:rsidR="007801BA" w:rsidRPr="00E76F52">
        <w:rPr>
          <w:rFonts w:ascii="Calibri" w:eastAsia="Times New Roman" w:hAnsi="Calibri" w:cs="Calibri"/>
          <w:color w:val="000000" w:themeColor="text1"/>
          <w:sz w:val="24"/>
          <w:szCs w:val="24"/>
        </w:rPr>
        <w:t>ující</w:t>
      </w:r>
      <w:r w:rsidRPr="00E76F52">
        <w:rPr>
          <w:rFonts w:ascii="Calibri" w:eastAsia="Times New Roman" w:hAnsi="Calibri" w:cs="Calibri"/>
          <w:color w:val="000000" w:themeColor="text1"/>
          <w:sz w:val="24"/>
          <w:szCs w:val="24"/>
        </w:rPr>
        <w:t xml:space="preserve"> or</w:t>
      </w:r>
      <w:r w:rsidR="00CB1CFC">
        <w:rPr>
          <w:rFonts w:ascii="Calibri" w:eastAsia="Times New Roman" w:hAnsi="Calibri" w:cs="Calibri"/>
          <w:color w:val="000000" w:themeColor="text1"/>
          <w:sz w:val="24"/>
          <w:szCs w:val="24"/>
        </w:rPr>
        <w:t>gán schvaloval účetní závěrku i </w:t>
      </w:r>
      <w:r w:rsidRPr="00E76F52">
        <w:rPr>
          <w:rFonts w:ascii="Calibri" w:eastAsia="Times New Roman" w:hAnsi="Calibri" w:cs="Calibri"/>
          <w:color w:val="000000" w:themeColor="text1"/>
          <w:sz w:val="24"/>
          <w:szCs w:val="24"/>
        </w:rPr>
        <w:t xml:space="preserve">na základě dalších podkladů tak, jak jsou </w:t>
      </w:r>
      <w:r w:rsidR="007801BA" w:rsidRPr="00E76F52">
        <w:rPr>
          <w:rFonts w:ascii="Calibri" w:eastAsia="Times New Roman" w:hAnsi="Calibri" w:cs="Calibri"/>
          <w:color w:val="000000" w:themeColor="text1"/>
          <w:sz w:val="24"/>
          <w:szCs w:val="24"/>
        </w:rPr>
        <w:t>stanoveny</w:t>
      </w:r>
      <w:r w:rsidR="00F95769" w:rsidRPr="00E76F52">
        <w:rPr>
          <w:rFonts w:ascii="Calibri" w:eastAsia="Times New Roman" w:hAnsi="Calibri" w:cs="Calibri"/>
          <w:color w:val="000000" w:themeColor="text1"/>
          <w:sz w:val="24"/>
          <w:szCs w:val="24"/>
        </w:rPr>
        <w:t xml:space="preserve"> v § </w:t>
      </w:r>
      <w:r w:rsidRPr="00E76F52">
        <w:rPr>
          <w:rFonts w:ascii="Calibri" w:eastAsia="Times New Roman" w:hAnsi="Calibri" w:cs="Calibri"/>
          <w:color w:val="000000" w:themeColor="text1"/>
          <w:sz w:val="24"/>
          <w:szCs w:val="24"/>
        </w:rPr>
        <w:t>5 vyhlášky</w:t>
      </w:r>
      <w:r w:rsidR="008E52E4">
        <w:rPr>
          <w:rFonts w:ascii="Calibri" w:eastAsia="Times New Roman" w:hAnsi="Calibri" w:cs="Calibri"/>
          <w:color w:val="000000" w:themeColor="text1"/>
          <w:sz w:val="24"/>
          <w:szCs w:val="24"/>
        </w:rPr>
        <w:t xml:space="preserve"> č. </w:t>
      </w:r>
      <w:r w:rsidR="007801BA" w:rsidRPr="00E76F52">
        <w:rPr>
          <w:rFonts w:ascii="Calibri" w:eastAsia="Times New Roman" w:hAnsi="Calibri" w:cs="Calibri"/>
          <w:color w:val="000000" w:themeColor="text1"/>
          <w:sz w:val="24"/>
          <w:szCs w:val="24"/>
        </w:rPr>
        <w:t>220/2013 Sb.</w:t>
      </w:r>
      <w:r w:rsidR="00924178" w:rsidRPr="00E76F52">
        <w:rPr>
          <w:rFonts w:ascii="Calibri" w:eastAsia="Times New Roman" w:hAnsi="Calibri" w:cs="Calibri"/>
          <w:color w:val="000000" w:themeColor="text1"/>
          <w:sz w:val="24"/>
          <w:szCs w:val="24"/>
        </w:rPr>
        <w:t xml:space="preserve"> Ú</w:t>
      </w:r>
      <w:r w:rsidR="007801BA" w:rsidRPr="00E76F52">
        <w:rPr>
          <w:rFonts w:ascii="Calibri" w:eastAsia="Times New Roman" w:hAnsi="Calibri" w:cs="Calibri"/>
          <w:color w:val="000000" w:themeColor="text1"/>
          <w:sz w:val="24"/>
          <w:szCs w:val="24"/>
        </w:rPr>
        <w:t>četní závěrka</w:t>
      </w:r>
      <w:r w:rsidR="00924178" w:rsidRPr="00E76F52">
        <w:rPr>
          <w:rFonts w:ascii="Calibri" w:eastAsia="Times New Roman" w:hAnsi="Calibri" w:cs="Calibri"/>
          <w:color w:val="000000" w:themeColor="text1"/>
          <w:sz w:val="24"/>
          <w:szCs w:val="24"/>
        </w:rPr>
        <w:t xml:space="preserve"> MŽP k</w:t>
      </w:r>
      <w:r w:rsidR="00F92E74">
        <w:rPr>
          <w:rFonts w:ascii="Calibri" w:eastAsia="Times New Roman" w:hAnsi="Calibri" w:cs="Calibri"/>
          <w:color w:val="000000" w:themeColor="text1"/>
          <w:sz w:val="24"/>
          <w:szCs w:val="24"/>
        </w:rPr>
        <w:t xml:space="preserve"> 31. prosinci </w:t>
      </w:r>
      <w:r w:rsidR="00924178" w:rsidRPr="00E76F52">
        <w:rPr>
          <w:rFonts w:ascii="Calibri" w:eastAsia="Times New Roman" w:hAnsi="Calibri" w:cs="Calibri"/>
          <w:color w:val="000000" w:themeColor="text1"/>
          <w:sz w:val="24"/>
          <w:szCs w:val="24"/>
        </w:rPr>
        <w:t>2013</w:t>
      </w:r>
      <w:r w:rsidR="007801BA" w:rsidRPr="00E76F52">
        <w:rPr>
          <w:rFonts w:ascii="Calibri" w:eastAsia="Times New Roman" w:hAnsi="Calibri" w:cs="Calibri"/>
          <w:color w:val="000000" w:themeColor="text1"/>
          <w:sz w:val="24"/>
          <w:szCs w:val="24"/>
        </w:rPr>
        <w:t xml:space="preserve"> byla</w:t>
      </w:r>
      <w:r w:rsidR="00924178" w:rsidRPr="00E76F52">
        <w:rPr>
          <w:rFonts w:ascii="Calibri" w:eastAsia="Times New Roman" w:hAnsi="Calibri" w:cs="Calibri"/>
          <w:color w:val="000000" w:themeColor="text1"/>
          <w:sz w:val="24"/>
          <w:szCs w:val="24"/>
        </w:rPr>
        <w:t xml:space="preserve"> </w:t>
      </w:r>
      <w:r w:rsidR="007801BA" w:rsidRPr="00E76F52">
        <w:rPr>
          <w:rFonts w:ascii="Calibri" w:eastAsia="Times New Roman" w:hAnsi="Calibri" w:cs="Calibri"/>
          <w:color w:val="000000" w:themeColor="text1"/>
          <w:sz w:val="24"/>
          <w:szCs w:val="24"/>
        </w:rPr>
        <w:t xml:space="preserve">schvalujícím orgánem </w:t>
      </w:r>
      <w:r w:rsidR="00E10D1C" w:rsidRPr="00E76F52">
        <w:rPr>
          <w:rFonts w:ascii="Calibri" w:eastAsia="Times New Roman" w:hAnsi="Calibri" w:cs="Calibri"/>
          <w:color w:val="000000" w:themeColor="text1"/>
          <w:sz w:val="24"/>
          <w:szCs w:val="24"/>
        </w:rPr>
        <w:t>s</w:t>
      </w:r>
      <w:r w:rsidR="007801BA" w:rsidRPr="00E76F52">
        <w:rPr>
          <w:rFonts w:ascii="Calibri" w:eastAsia="Times New Roman" w:hAnsi="Calibri" w:cs="Calibri"/>
          <w:color w:val="000000" w:themeColor="text1"/>
          <w:sz w:val="24"/>
          <w:szCs w:val="24"/>
        </w:rPr>
        <w:t>chválena</w:t>
      </w:r>
      <w:r w:rsidR="004279E8" w:rsidRPr="00E76F52">
        <w:rPr>
          <w:rFonts w:ascii="Calibri" w:eastAsia="Times New Roman" w:hAnsi="Calibri" w:cs="Calibri"/>
          <w:color w:val="000000" w:themeColor="text1"/>
          <w:sz w:val="24"/>
          <w:szCs w:val="24"/>
        </w:rPr>
        <w:t xml:space="preserve"> dne</w:t>
      </w:r>
      <w:r w:rsidR="00E10D1C" w:rsidRPr="00E76F52">
        <w:rPr>
          <w:rFonts w:ascii="Calibri" w:eastAsia="Times New Roman" w:hAnsi="Calibri" w:cs="Calibri"/>
          <w:color w:val="000000" w:themeColor="text1"/>
          <w:sz w:val="24"/>
          <w:szCs w:val="24"/>
        </w:rPr>
        <w:t xml:space="preserve"> 27. června 2014</w:t>
      </w:r>
      <w:r w:rsidR="007801BA" w:rsidRPr="00E76F52">
        <w:rPr>
          <w:rFonts w:ascii="Calibri" w:eastAsia="Times New Roman" w:hAnsi="Calibri" w:cs="Calibri"/>
          <w:color w:val="000000" w:themeColor="text1"/>
          <w:sz w:val="24"/>
          <w:szCs w:val="24"/>
        </w:rPr>
        <w:t>.</w:t>
      </w:r>
    </w:p>
    <w:p w:rsidR="00CE65FF" w:rsidRPr="00E76F52" w:rsidRDefault="00CE65FF" w:rsidP="00E76F52">
      <w:pPr>
        <w:spacing w:after="0" w:line="240" w:lineRule="auto"/>
        <w:jc w:val="both"/>
        <w:rPr>
          <w:rFonts w:ascii="Calibri" w:eastAsia="Times New Roman" w:hAnsi="Calibri" w:cs="Calibri"/>
          <w:color w:val="000000" w:themeColor="text1"/>
          <w:sz w:val="24"/>
          <w:szCs w:val="24"/>
        </w:rPr>
      </w:pPr>
    </w:p>
    <w:p w:rsidR="00CB1CFC" w:rsidRDefault="00CB1CFC">
      <w:pPr>
        <w:rPr>
          <w:rFonts w:ascii="Calibri" w:eastAsia="Times New Roman" w:hAnsi="Calibri" w:cs="Calibri"/>
          <w:b/>
          <w:sz w:val="24"/>
          <w:szCs w:val="24"/>
          <w:lang w:eastAsia="cs-CZ"/>
        </w:rPr>
      </w:pPr>
      <w:r>
        <w:rPr>
          <w:rFonts w:ascii="Calibri" w:eastAsia="Times New Roman" w:hAnsi="Calibri" w:cs="Calibri"/>
          <w:b/>
          <w:sz w:val="24"/>
          <w:szCs w:val="24"/>
          <w:lang w:eastAsia="cs-CZ"/>
        </w:rPr>
        <w:br w:type="page"/>
      </w:r>
    </w:p>
    <w:p w:rsidR="00FF4821" w:rsidRPr="00E76F52" w:rsidRDefault="00FF4821" w:rsidP="00E76F52">
      <w:pPr>
        <w:spacing w:after="0" w:line="240" w:lineRule="auto"/>
        <w:jc w:val="both"/>
        <w:rPr>
          <w:rFonts w:ascii="Calibri" w:eastAsia="Times New Roman" w:hAnsi="Calibri" w:cs="Calibri"/>
          <w:b/>
          <w:sz w:val="24"/>
          <w:szCs w:val="24"/>
          <w:lang w:eastAsia="cs-CZ"/>
        </w:rPr>
      </w:pPr>
      <w:r w:rsidRPr="00E76F52">
        <w:rPr>
          <w:rFonts w:ascii="Calibri" w:eastAsia="Times New Roman" w:hAnsi="Calibri" w:cs="Calibri"/>
          <w:b/>
          <w:sz w:val="24"/>
          <w:szCs w:val="24"/>
          <w:lang w:eastAsia="cs-CZ"/>
        </w:rPr>
        <w:lastRenderedPageBreak/>
        <w:t>2.</w:t>
      </w:r>
      <w:r w:rsidR="00101393" w:rsidRPr="00E76F52">
        <w:rPr>
          <w:rFonts w:ascii="Calibri" w:eastAsia="Times New Roman" w:hAnsi="Calibri" w:cs="Calibri"/>
          <w:b/>
          <w:sz w:val="24"/>
          <w:szCs w:val="24"/>
          <w:lang w:eastAsia="cs-CZ"/>
        </w:rPr>
        <w:t xml:space="preserve"> Finanční výkazy MŽP za rok 2013</w:t>
      </w:r>
    </w:p>
    <w:p w:rsidR="00A8425D" w:rsidRPr="00E76F52" w:rsidRDefault="00A8425D" w:rsidP="00E76F52">
      <w:pPr>
        <w:spacing w:after="0" w:line="240" w:lineRule="auto"/>
        <w:jc w:val="both"/>
        <w:rPr>
          <w:rFonts w:ascii="Calibri" w:eastAsia="Times New Roman" w:hAnsi="Calibri" w:cs="Calibri"/>
          <w:sz w:val="24"/>
          <w:szCs w:val="24"/>
          <w:lang w:eastAsia="cs-CZ"/>
        </w:rPr>
      </w:pPr>
    </w:p>
    <w:p w:rsidR="009049F8" w:rsidRPr="00E76F52" w:rsidRDefault="009049F8" w:rsidP="00E76F52">
      <w:pPr>
        <w:spacing w:after="0" w:line="240" w:lineRule="auto"/>
        <w:jc w:val="both"/>
        <w:rPr>
          <w:rFonts w:ascii="Calibri" w:hAnsi="Calibri" w:cs="Calibri"/>
          <w:sz w:val="24"/>
        </w:rPr>
      </w:pPr>
      <w:r w:rsidRPr="00E76F52">
        <w:rPr>
          <w:rFonts w:ascii="Calibri" w:hAnsi="Calibri" w:cs="Calibri"/>
          <w:sz w:val="24"/>
        </w:rPr>
        <w:t>V</w:t>
      </w:r>
      <w:r w:rsidR="007405FC" w:rsidRPr="00E76F52">
        <w:rPr>
          <w:rFonts w:ascii="Calibri" w:hAnsi="Calibri" w:cs="Calibri"/>
          <w:sz w:val="24"/>
        </w:rPr>
        <w:t xml:space="preserve"> </w:t>
      </w:r>
      <w:r w:rsidRPr="00E76F52">
        <w:rPr>
          <w:rFonts w:ascii="Calibri" w:hAnsi="Calibri" w:cs="Calibri"/>
          <w:sz w:val="24"/>
        </w:rPr>
        <w:t>průběhu kontroly byl prověřován výkaz pro hodnocení plnění rozpočtu správců kapitol, organizačních složek státu a státních fondů (dále také „výkaz pro hodnocení plnění rozpočtu“).</w:t>
      </w:r>
    </w:p>
    <w:p w:rsidR="00FF4821" w:rsidRPr="00E76F52" w:rsidRDefault="00FF4821" w:rsidP="00E76F52">
      <w:pPr>
        <w:spacing w:after="0" w:line="240" w:lineRule="auto"/>
        <w:jc w:val="both"/>
        <w:rPr>
          <w:rFonts w:ascii="Calibri" w:eastAsia="Times New Roman" w:hAnsi="Calibri" w:cs="Calibri"/>
          <w:bCs/>
          <w:iCs/>
        </w:rPr>
      </w:pPr>
    </w:p>
    <w:p w:rsidR="00101393" w:rsidRPr="00F54ED4" w:rsidRDefault="00101393" w:rsidP="00F54ED4">
      <w:pPr>
        <w:tabs>
          <w:tab w:val="right" w:pos="9072"/>
        </w:tabs>
        <w:spacing w:after="0" w:line="240" w:lineRule="auto"/>
        <w:rPr>
          <w:rFonts w:cstheme="minorHAnsi"/>
          <w:b/>
          <w:color w:val="000000"/>
        </w:rPr>
      </w:pPr>
      <w:r w:rsidRPr="00F54ED4">
        <w:rPr>
          <w:rFonts w:cstheme="minorHAnsi"/>
          <w:b/>
          <w:color w:val="000000"/>
        </w:rPr>
        <w:t xml:space="preserve">Tabulka č. </w:t>
      </w:r>
      <w:r w:rsidR="008E52E4">
        <w:rPr>
          <w:rFonts w:cstheme="minorHAnsi"/>
          <w:b/>
          <w:color w:val="000000"/>
        </w:rPr>
        <w:t>6</w:t>
      </w:r>
      <w:r w:rsidRPr="00F54ED4">
        <w:rPr>
          <w:rFonts w:cstheme="minorHAnsi"/>
          <w:b/>
          <w:color w:val="000000"/>
        </w:rPr>
        <w:t xml:space="preserve"> – Údaje z</w:t>
      </w:r>
      <w:r w:rsidR="007405FC" w:rsidRPr="00F54ED4">
        <w:rPr>
          <w:rFonts w:cstheme="minorHAnsi"/>
          <w:b/>
          <w:color w:val="000000"/>
        </w:rPr>
        <w:t xml:space="preserve"> </w:t>
      </w:r>
      <w:r w:rsidRPr="00F54ED4">
        <w:rPr>
          <w:rFonts w:cstheme="minorHAnsi"/>
          <w:b/>
          <w:color w:val="000000"/>
        </w:rPr>
        <w:t xml:space="preserve">výkazu pro hodnocení plnění rozpočtu </w:t>
      </w:r>
      <w:r w:rsidRPr="00F54ED4">
        <w:rPr>
          <w:rFonts w:cstheme="minorHAnsi"/>
          <w:b/>
          <w:color w:val="000000"/>
        </w:rPr>
        <w:tab/>
        <w:t>(v</w:t>
      </w:r>
      <w:r w:rsidR="007405FC" w:rsidRPr="00F54ED4">
        <w:rPr>
          <w:rFonts w:cstheme="minorHAnsi"/>
          <w:b/>
          <w:color w:val="000000"/>
        </w:rPr>
        <w:t xml:space="preserve"> </w:t>
      </w:r>
      <w:r w:rsidRPr="00F54ED4">
        <w:rPr>
          <w:rFonts w:cstheme="minorHAnsi"/>
          <w:b/>
          <w:color w:val="000000"/>
        </w:rPr>
        <w:t>Kč)</w:t>
      </w:r>
    </w:p>
    <w:tbl>
      <w:tblPr>
        <w:tblW w:w="9053" w:type="dxa"/>
        <w:jc w:val="center"/>
        <w:tblInd w:w="55" w:type="dxa"/>
        <w:tblCellMar>
          <w:left w:w="70" w:type="dxa"/>
          <w:right w:w="70" w:type="dxa"/>
        </w:tblCellMar>
        <w:tblLook w:val="04A0" w:firstRow="1" w:lastRow="0" w:firstColumn="1" w:lastColumn="0" w:noHBand="0" w:noVBand="1"/>
      </w:tblPr>
      <w:tblGrid>
        <w:gridCol w:w="2118"/>
        <w:gridCol w:w="2480"/>
        <w:gridCol w:w="1975"/>
        <w:gridCol w:w="2480"/>
      </w:tblGrid>
      <w:tr w:rsidR="00101393" w:rsidRPr="00F54ED4" w:rsidTr="00101393">
        <w:trPr>
          <w:trHeight w:val="283"/>
          <w:jc w:val="center"/>
        </w:trPr>
        <w:tc>
          <w:tcPr>
            <w:tcW w:w="0" w:type="auto"/>
            <w:gridSpan w:val="2"/>
            <w:tcBorders>
              <w:top w:val="single" w:sz="4" w:space="0" w:color="auto"/>
              <w:left w:val="single" w:sz="4" w:space="0" w:color="auto"/>
              <w:bottom w:val="single" w:sz="4" w:space="0" w:color="auto"/>
              <w:right w:val="single" w:sz="4" w:space="0" w:color="auto"/>
            </w:tcBorders>
            <w:shd w:val="clear" w:color="000000" w:fill="F2DCDB"/>
            <w:noWrap/>
            <w:vAlign w:val="center"/>
            <w:hideMark/>
          </w:tcPr>
          <w:p w:rsidR="00101393" w:rsidRPr="00F54ED4" w:rsidRDefault="00101393" w:rsidP="00F54ED4">
            <w:pPr>
              <w:spacing w:after="0" w:line="240" w:lineRule="auto"/>
              <w:jc w:val="center"/>
              <w:rPr>
                <w:rFonts w:cstheme="minorHAnsi"/>
                <w:b/>
                <w:bCs/>
                <w:color w:val="000000"/>
                <w:sz w:val="20"/>
                <w:szCs w:val="20"/>
                <w:lang w:eastAsia="cs-CZ"/>
              </w:rPr>
            </w:pPr>
            <w:r w:rsidRPr="00F54ED4">
              <w:rPr>
                <w:rFonts w:cstheme="minorHAnsi"/>
                <w:b/>
                <w:bCs/>
                <w:color w:val="000000"/>
                <w:sz w:val="20"/>
                <w:szCs w:val="20"/>
                <w:lang w:eastAsia="cs-CZ"/>
              </w:rPr>
              <w:t>Rozpočtové příjmy</w:t>
            </w:r>
          </w:p>
        </w:tc>
        <w:tc>
          <w:tcPr>
            <w:tcW w:w="0" w:type="auto"/>
            <w:gridSpan w:val="2"/>
            <w:tcBorders>
              <w:top w:val="single" w:sz="4" w:space="0" w:color="auto"/>
              <w:left w:val="nil"/>
              <w:bottom w:val="single" w:sz="4" w:space="0" w:color="auto"/>
              <w:right w:val="single" w:sz="4" w:space="0" w:color="000000"/>
            </w:tcBorders>
            <w:shd w:val="clear" w:color="000000" w:fill="F2DCDB"/>
            <w:noWrap/>
            <w:vAlign w:val="center"/>
            <w:hideMark/>
          </w:tcPr>
          <w:p w:rsidR="00101393" w:rsidRPr="00F54ED4" w:rsidRDefault="00101393" w:rsidP="00F54ED4">
            <w:pPr>
              <w:spacing w:after="0" w:line="240" w:lineRule="auto"/>
              <w:jc w:val="center"/>
              <w:rPr>
                <w:rFonts w:cstheme="minorHAnsi"/>
                <w:b/>
                <w:bCs/>
                <w:color w:val="000000"/>
                <w:sz w:val="20"/>
                <w:szCs w:val="20"/>
                <w:lang w:eastAsia="cs-CZ"/>
              </w:rPr>
            </w:pPr>
            <w:r w:rsidRPr="00F54ED4">
              <w:rPr>
                <w:rFonts w:cstheme="minorHAnsi"/>
                <w:b/>
                <w:bCs/>
                <w:color w:val="000000"/>
                <w:sz w:val="20"/>
                <w:szCs w:val="20"/>
                <w:lang w:eastAsia="cs-CZ"/>
              </w:rPr>
              <w:t>Rozpočtové výdaje</w:t>
            </w:r>
          </w:p>
        </w:tc>
      </w:tr>
      <w:tr w:rsidR="00101393" w:rsidRPr="00F54ED4" w:rsidTr="00101393">
        <w:trPr>
          <w:trHeight w:val="283"/>
          <w:jc w:val="center"/>
        </w:trPr>
        <w:tc>
          <w:tcPr>
            <w:tcW w:w="0" w:type="auto"/>
            <w:tcBorders>
              <w:top w:val="nil"/>
              <w:left w:val="single" w:sz="4" w:space="0" w:color="auto"/>
              <w:bottom w:val="single" w:sz="4" w:space="0" w:color="auto"/>
              <w:right w:val="single" w:sz="4" w:space="0" w:color="auto"/>
            </w:tcBorders>
            <w:shd w:val="clear" w:color="000000" w:fill="F2DCDB"/>
            <w:vAlign w:val="center"/>
            <w:hideMark/>
          </w:tcPr>
          <w:p w:rsidR="00101393" w:rsidRPr="00F54ED4" w:rsidRDefault="00101393" w:rsidP="00F54ED4">
            <w:pPr>
              <w:spacing w:after="0" w:line="240" w:lineRule="auto"/>
              <w:jc w:val="center"/>
              <w:rPr>
                <w:rFonts w:cstheme="minorHAnsi"/>
                <w:b/>
                <w:bCs/>
                <w:color w:val="000000"/>
                <w:sz w:val="20"/>
                <w:szCs w:val="20"/>
                <w:lang w:eastAsia="cs-CZ"/>
              </w:rPr>
            </w:pPr>
            <w:r w:rsidRPr="00F54ED4">
              <w:rPr>
                <w:rFonts w:cstheme="minorHAnsi"/>
                <w:b/>
                <w:bCs/>
                <w:color w:val="000000"/>
                <w:sz w:val="20"/>
                <w:szCs w:val="20"/>
                <w:lang w:eastAsia="cs-CZ"/>
              </w:rPr>
              <w:t xml:space="preserve">Rozpočet po změnách </w:t>
            </w:r>
          </w:p>
        </w:tc>
        <w:tc>
          <w:tcPr>
            <w:tcW w:w="0" w:type="auto"/>
            <w:tcBorders>
              <w:top w:val="nil"/>
              <w:left w:val="nil"/>
              <w:bottom w:val="single" w:sz="4" w:space="0" w:color="auto"/>
              <w:right w:val="single" w:sz="4" w:space="0" w:color="auto"/>
            </w:tcBorders>
            <w:shd w:val="clear" w:color="000000" w:fill="F2DCDB"/>
            <w:vAlign w:val="center"/>
            <w:hideMark/>
          </w:tcPr>
          <w:p w:rsidR="00101393" w:rsidRPr="00F54ED4" w:rsidRDefault="00101393" w:rsidP="00F54ED4">
            <w:pPr>
              <w:spacing w:after="0" w:line="240" w:lineRule="auto"/>
              <w:jc w:val="center"/>
              <w:rPr>
                <w:rFonts w:cstheme="minorHAnsi"/>
                <w:b/>
                <w:bCs/>
                <w:color w:val="000000"/>
                <w:sz w:val="20"/>
                <w:szCs w:val="20"/>
                <w:lang w:eastAsia="cs-CZ"/>
              </w:rPr>
            </w:pPr>
            <w:r w:rsidRPr="00F54ED4">
              <w:rPr>
                <w:rFonts w:cstheme="minorHAnsi"/>
                <w:b/>
                <w:bCs/>
                <w:color w:val="000000"/>
                <w:sz w:val="20"/>
                <w:szCs w:val="20"/>
                <w:lang w:eastAsia="cs-CZ"/>
              </w:rPr>
              <w:t>Výsledek od počátku roku</w:t>
            </w:r>
          </w:p>
        </w:tc>
        <w:tc>
          <w:tcPr>
            <w:tcW w:w="0" w:type="auto"/>
            <w:tcBorders>
              <w:top w:val="nil"/>
              <w:left w:val="nil"/>
              <w:bottom w:val="single" w:sz="4" w:space="0" w:color="auto"/>
              <w:right w:val="single" w:sz="4" w:space="0" w:color="auto"/>
            </w:tcBorders>
            <w:shd w:val="clear" w:color="000000" w:fill="F2DCDB"/>
            <w:vAlign w:val="center"/>
            <w:hideMark/>
          </w:tcPr>
          <w:p w:rsidR="00101393" w:rsidRPr="00F54ED4" w:rsidRDefault="00101393" w:rsidP="00F54ED4">
            <w:pPr>
              <w:spacing w:after="0" w:line="240" w:lineRule="auto"/>
              <w:jc w:val="center"/>
              <w:rPr>
                <w:rFonts w:cstheme="minorHAnsi"/>
                <w:b/>
                <w:bCs/>
                <w:color w:val="000000"/>
                <w:sz w:val="20"/>
                <w:szCs w:val="20"/>
                <w:lang w:eastAsia="cs-CZ"/>
              </w:rPr>
            </w:pPr>
            <w:r w:rsidRPr="00F54ED4">
              <w:rPr>
                <w:rFonts w:cstheme="minorHAnsi"/>
                <w:b/>
                <w:bCs/>
                <w:color w:val="000000"/>
                <w:sz w:val="20"/>
                <w:szCs w:val="20"/>
                <w:lang w:eastAsia="cs-CZ"/>
              </w:rPr>
              <w:t>Konečný rozpočet</w:t>
            </w:r>
          </w:p>
        </w:tc>
        <w:tc>
          <w:tcPr>
            <w:tcW w:w="0" w:type="auto"/>
            <w:tcBorders>
              <w:top w:val="nil"/>
              <w:left w:val="nil"/>
              <w:bottom w:val="single" w:sz="4" w:space="0" w:color="auto"/>
              <w:right w:val="single" w:sz="4" w:space="0" w:color="auto"/>
            </w:tcBorders>
            <w:shd w:val="clear" w:color="000000" w:fill="F2DCDB"/>
            <w:vAlign w:val="center"/>
            <w:hideMark/>
          </w:tcPr>
          <w:p w:rsidR="00101393" w:rsidRPr="00F54ED4" w:rsidRDefault="00101393" w:rsidP="00F54ED4">
            <w:pPr>
              <w:spacing w:after="0" w:line="240" w:lineRule="auto"/>
              <w:jc w:val="center"/>
              <w:rPr>
                <w:rFonts w:cstheme="minorHAnsi"/>
                <w:b/>
                <w:bCs/>
                <w:color w:val="000000"/>
                <w:sz w:val="20"/>
                <w:szCs w:val="20"/>
                <w:lang w:eastAsia="cs-CZ"/>
              </w:rPr>
            </w:pPr>
            <w:r w:rsidRPr="00F54ED4">
              <w:rPr>
                <w:rFonts w:cstheme="minorHAnsi"/>
                <w:b/>
                <w:bCs/>
                <w:color w:val="000000"/>
                <w:sz w:val="20"/>
                <w:szCs w:val="20"/>
                <w:lang w:eastAsia="cs-CZ"/>
              </w:rPr>
              <w:t>Výsledek od počátku roku</w:t>
            </w:r>
          </w:p>
        </w:tc>
      </w:tr>
      <w:tr w:rsidR="00101393" w:rsidRPr="00F54ED4" w:rsidTr="00101393">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01393" w:rsidRPr="00F54ED4" w:rsidRDefault="004905D3" w:rsidP="00F54ED4">
            <w:pPr>
              <w:spacing w:after="0" w:line="240" w:lineRule="auto"/>
              <w:ind w:right="179"/>
              <w:jc w:val="right"/>
              <w:rPr>
                <w:rFonts w:cstheme="minorHAnsi"/>
                <w:color w:val="000000"/>
                <w:sz w:val="20"/>
                <w:szCs w:val="20"/>
                <w:lang w:eastAsia="cs-CZ"/>
              </w:rPr>
            </w:pPr>
            <w:r w:rsidRPr="00F54ED4">
              <w:rPr>
                <w:rFonts w:cstheme="minorHAnsi"/>
                <w:color w:val="000000"/>
                <w:sz w:val="20"/>
                <w:szCs w:val="20"/>
                <w:lang w:eastAsia="cs-CZ"/>
              </w:rPr>
              <w:t>17 954 163 000,00</w:t>
            </w:r>
          </w:p>
        </w:tc>
        <w:tc>
          <w:tcPr>
            <w:tcW w:w="0" w:type="auto"/>
            <w:tcBorders>
              <w:top w:val="nil"/>
              <w:left w:val="nil"/>
              <w:bottom w:val="single" w:sz="4" w:space="0" w:color="auto"/>
              <w:right w:val="single" w:sz="4" w:space="0" w:color="auto"/>
            </w:tcBorders>
            <w:shd w:val="clear" w:color="auto" w:fill="auto"/>
            <w:vAlign w:val="center"/>
            <w:hideMark/>
          </w:tcPr>
          <w:p w:rsidR="00101393" w:rsidRPr="00F54ED4" w:rsidRDefault="004905D3" w:rsidP="00F54ED4">
            <w:pPr>
              <w:spacing w:after="0" w:line="240" w:lineRule="auto"/>
              <w:ind w:right="179"/>
              <w:jc w:val="right"/>
              <w:rPr>
                <w:rFonts w:cstheme="minorHAnsi"/>
                <w:color w:val="000000"/>
                <w:sz w:val="20"/>
                <w:szCs w:val="20"/>
                <w:lang w:eastAsia="cs-CZ"/>
              </w:rPr>
            </w:pPr>
            <w:r w:rsidRPr="00F54ED4">
              <w:rPr>
                <w:rFonts w:cstheme="minorHAnsi"/>
                <w:color w:val="000000"/>
                <w:sz w:val="20"/>
                <w:szCs w:val="20"/>
                <w:lang w:eastAsia="cs-CZ"/>
              </w:rPr>
              <w:t>14 121 203 577,30</w:t>
            </w:r>
          </w:p>
        </w:tc>
        <w:tc>
          <w:tcPr>
            <w:tcW w:w="0" w:type="auto"/>
            <w:tcBorders>
              <w:top w:val="nil"/>
              <w:left w:val="nil"/>
              <w:bottom w:val="single" w:sz="4" w:space="0" w:color="auto"/>
              <w:right w:val="single" w:sz="4" w:space="0" w:color="auto"/>
            </w:tcBorders>
            <w:shd w:val="clear" w:color="auto" w:fill="auto"/>
            <w:vAlign w:val="center"/>
            <w:hideMark/>
          </w:tcPr>
          <w:p w:rsidR="00101393" w:rsidRPr="00F54ED4" w:rsidRDefault="004905D3" w:rsidP="00F54ED4">
            <w:pPr>
              <w:spacing w:after="0" w:line="240" w:lineRule="auto"/>
              <w:ind w:right="179"/>
              <w:jc w:val="right"/>
              <w:rPr>
                <w:rFonts w:cstheme="minorHAnsi"/>
                <w:color w:val="000000"/>
                <w:sz w:val="20"/>
                <w:szCs w:val="20"/>
                <w:lang w:eastAsia="cs-CZ"/>
              </w:rPr>
            </w:pPr>
            <w:r w:rsidRPr="00F54ED4">
              <w:rPr>
                <w:rFonts w:cstheme="minorHAnsi"/>
                <w:color w:val="000000"/>
                <w:sz w:val="20"/>
                <w:szCs w:val="20"/>
                <w:lang w:eastAsia="cs-CZ"/>
              </w:rPr>
              <w:t>34 595 989 756,98</w:t>
            </w:r>
          </w:p>
        </w:tc>
        <w:tc>
          <w:tcPr>
            <w:tcW w:w="0" w:type="auto"/>
            <w:tcBorders>
              <w:top w:val="nil"/>
              <w:left w:val="nil"/>
              <w:bottom w:val="single" w:sz="4" w:space="0" w:color="auto"/>
              <w:right w:val="single" w:sz="4" w:space="0" w:color="auto"/>
            </w:tcBorders>
            <w:shd w:val="clear" w:color="auto" w:fill="auto"/>
            <w:vAlign w:val="center"/>
            <w:hideMark/>
          </w:tcPr>
          <w:p w:rsidR="00101393" w:rsidRPr="00F54ED4" w:rsidRDefault="00586EDF" w:rsidP="00F54ED4">
            <w:pPr>
              <w:spacing w:after="0" w:line="240" w:lineRule="auto"/>
              <w:ind w:right="179"/>
              <w:jc w:val="right"/>
              <w:rPr>
                <w:rFonts w:cstheme="minorHAnsi"/>
                <w:color w:val="000000"/>
                <w:sz w:val="20"/>
                <w:szCs w:val="20"/>
                <w:lang w:eastAsia="cs-CZ"/>
              </w:rPr>
            </w:pPr>
            <w:r w:rsidRPr="00F54ED4">
              <w:rPr>
                <w:rFonts w:cstheme="minorHAnsi"/>
                <w:color w:val="000000"/>
                <w:sz w:val="20"/>
                <w:szCs w:val="20"/>
                <w:lang w:eastAsia="cs-CZ"/>
              </w:rPr>
              <w:t>17 331 213 305,72</w:t>
            </w:r>
          </w:p>
        </w:tc>
      </w:tr>
    </w:tbl>
    <w:p w:rsidR="00101393" w:rsidRPr="00F54ED4" w:rsidRDefault="00101393" w:rsidP="00F54ED4">
      <w:pPr>
        <w:tabs>
          <w:tab w:val="right" w:pos="9072"/>
        </w:tabs>
        <w:spacing w:after="0" w:line="240" w:lineRule="auto"/>
        <w:rPr>
          <w:rFonts w:cstheme="minorHAnsi"/>
          <w:color w:val="000000"/>
          <w:sz w:val="20"/>
          <w:szCs w:val="20"/>
        </w:rPr>
      </w:pPr>
      <w:r w:rsidRPr="00F54ED4">
        <w:rPr>
          <w:rFonts w:cstheme="minorHAnsi"/>
          <w:b/>
          <w:color w:val="000000"/>
          <w:sz w:val="20"/>
          <w:szCs w:val="20"/>
        </w:rPr>
        <w:t>Zdroj:</w:t>
      </w:r>
      <w:r w:rsidRPr="00F54ED4">
        <w:rPr>
          <w:rFonts w:cstheme="minorHAnsi"/>
          <w:color w:val="000000"/>
          <w:sz w:val="20"/>
          <w:szCs w:val="20"/>
        </w:rPr>
        <w:t xml:space="preserve"> </w:t>
      </w:r>
      <w:r w:rsidR="003F0DA9" w:rsidRPr="00F54ED4">
        <w:rPr>
          <w:rFonts w:cstheme="minorHAnsi"/>
          <w:color w:val="000000"/>
          <w:sz w:val="20"/>
          <w:szCs w:val="20"/>
        </w:rPr>
        <w:t xml:space="preserve">výkaz </w:t>
      </w:r>
      <w:r w:rsidRPr="00F54ED4">
        <w:rPr>
          <w:rFonts w:cstheme="minorHAnsi"/>
          <w:color w:val="000000"/>
          <w:sz w:val="20"/>
          <w:szCs w:val="20"/>
        </w:rPr>
        <w:t>pro hodnocení plnění rozpočtu</w:t>
      </w:r>
      <w:r w:rsidR="00AE7A40" w:rsidRPr="00F54ED4">
        <w:rPr>
          <w:rFonts w:cstheme="minorHAnsi"/>
          <w:color w:val="000000"/>
          <w:sz w:val="20"/>
          <w:szCs w:val="20"/>
        </w:rPr>
        <w:t xml:space="preserve"> MŽP</w:t>
      </w:r>
      <w:r w:rsidRPr="00F54ED4">
        <w:rPr>
          <w:rFonts w:cstheme="minorHAnsi"/>
          <w:color w:val="000000"/>
          <w:sz w:val="20"/>
          <w:szCs w:val="20"/>
        </w:rPr>
        <w:t xml:space="preserve"> za rok 201</w:t>
      </w:r>
      <w:r w:rsidR="009049F8" w:rsidRPr="00F54ED4">
        <w:rPr>
          <w:rFonts w:cstheme="minorHAnsi"/>
          <w:color w:val="000000"/>
          <w:sz w:val="20"/>
          <w:szCs w:val="20"/>
        </w:rPr>
        <w:t>3</w:t>
      </w:r>
      <w:r w:rsidRPr="00F54ED4">
        <w:rPr>
          <w:rFonts w:cstheme="minorHAnsi"/>
          <w:color w:val="000000"/>
          <w:sz w:val="20"/>
          <w:szCs w:val="20"/>
        </w:rPr>
        <w:t>.</w:t>
      </w:r>
    </w:p>
    <w:p w:rsidR="00B8446A" w:rsidRPr="00102AB2" w:rsidRDefault="00B8446A" w:rsidP="00102AB2">
      <w:pPr>
        <w:spacing w:after="0" w:line="240" w:lineRule="auto"/>
        <w:jc w:val="both"/>
        <w:rPr>
          <w:rFonts w:ascii="Calibri" w:hAnsi="Calibri" w:cs="Calibri"/>
          <w:sz w:val="24"/>
          <w:szCs w:val="24"/>
        </w:rPr>
      </w:pPr>
    </w:p>
    <w:p w:rsidR="00FF4821" w:rsidRPr="00102AB2" w:rsidRDefault="00AE7A40" w:rsidP="00102AB2">
      <w:pPr>
        <w:spacing w:after="0" w:line="240" w:lineRule="auto"/>
        <w:jc w:val="both"/>
        <w:rPr>
          <w:rFonts w:ascii="Calibri" w:hAnsi="Calibri" w:cs="Calibri"/>
          <w:sz w:val="24"/>
          <w:szCs w:val="24"/>
        </w:rPr>
      </w:pPr>
      <w:r w:rsidRPr="00102AB2">
        <w:rPr>
          <w:rFonts w:ascii="Calibri" w:hAnsi="Calibri" w:cs="Calibri"/>
          <w:sz w:val="24"/>
          <w:szCs w:val="24"/>
        </w:rPr>
        <w:t>N</w:t>
      </w:r>
      <w:r w:rsidR="00FF4821" w:rsidRPr="00102AB2">
        <w:rPr>
          <w:rFonts w:ascii="Calibri" w:hAnsi="Calibri" w:cs="Calibri"/>
          <w:sz w:val="24"/>
          <w:szCs w:val="24"/>
        </w:rPr>
        <w:t xml:space="preserve">esprávnost </w:t>
      </w:r>
      <w:r w:rsidR="00661625" w:rsidRPr="00102AB2">
        <w:rPr>
          <w:rFonts w:ascii="Calibri" w:hAnsi="Calibri" w:cs="Calibri"/>
          <w:sz w:val="24"/>
          <w:szCs w:val="24"/>
        </w:rPr>
        <w:t>byla</w:t>
      </w:r>
      <w:r w:rsidRPr="00102AB2">
        <w:rPr>
          <w:rFonts w:ascii="Calibri" w:hAnsi="Calibri" w:cs="Calibri"/>
          <w:sz w:val="24"/>
          <w:szCs w:val="24"/>
        </w:rPr>
        <w:t xml:space="preserve"> v</w:t>
      </w:r>
      <w:r w:rsidR="007405FC" w:rsidRPr="00102AB2">
        <w:rPr>
          <w:rFonts w:ascii="Calibri" w:hAnsi="Calibri" w:cs="Calibri"/>
          <w:sz w:val="24"/>
          <w:szCs w:val="24"/>
        </w:rPr>
        <w:t xml:space="preserve"> </w:t>
      </w:r>
      <w:r w:rsidRPr="00102AB2">
        <w:rPr>
          <w:rFonts w:ascii="Calibri" w:hAnsi="Calibri" w:cs="Calibri"/>
          <w:sz w:val="24"/>
          <w:szCs w:val="24"/>
        </w:rPr>
        <w:t>tomto výkazu zjištěna v</w:t>
      </w:r>
      <w:r w:rsidR="007405FC" w:rsidRPr="00102AB2">
        <w:rPr>
          <w:rFonts w:ascii="Calibri" w:hAnsi="Calibri" w:cs="Calibri"/>
          <w:sz w:val="24"/>
          <w:szCs w:val="24"/>
        </w:rPr>
        <w:t xml:space="preserve"> </w:t>
      </w:r>
      <w:r w:rsidRPr="00102AB2">
        <w:rPr>
          <w:rFonts w:ascii="Calibri" w:hAnsi="Calibri" w:cs="Calibri"/>
          <w:sz w:val="24"/>
          <w:szCs w:val="24"/>
        </w:rPr>
        <w:t>celkové výši</w:t>
      </w:r>
      <w:r w:rsidR="00FF4821" w:rsidRPr="00102AB2">
        <w:rPr>
          <w:rFonts w:ascii="Calibri" w:hAnsi="Calibri" w:cs="Calibri"/>
          <w:sz w:val="24"/>
          <w:szCs w:val="24"/>
        </w:rPr>
        <w:t xml:space="preserve"> 3</w:t>
      </w:r>
      <w:r w:rsidR="007405FC" w:rsidRPr="00102AB2">
        <w:rPr>
          <w:rFonts w:ascii="Calibri" w:hAnsi="Calibri" w:cs="Calibri"/>
          <w:sz w:val="24"/>
          <w:szCs w:val="24"/>
        </w:rPr>
        <w:t xml:space="preserve"> </w:t>
      </w:r>
      <w:r w:rsidR="00FF4821" w:rsidRPr="00102AB2">
        <w:rPr>
          <w:rFonts w:ascii="Calibri" w:hAnsi="Calibri" w:cs="Calibri"/>
          <w:sz w:val="24"/>
          <w:szCs w:val="24"/>
        </w:rPr>
        <w:t>531</w:t>
      </w:r>
      <w:r w:rsidR="007405FC" w:rsidRPr="00102AB2">
        <w:rPr>
          <w:rFonts w:ascii="Calibri" w:hAnsi="Calibri" w:cs="Calibri"/>
          <w:sz w:val="24"/>
          <w:szCs w:val="24"/>
        </w:rPr>
        <w:t xml:space="preserve"> </w:t>
      </w:r>
      <w:r w:rsidR="00FF4821" w:rsidRPr="00102AB2">
        <w:rPr>
          <w:rFonts w:ascii="Calibri" w:hAnsi="Calibri" w:cs="Calibri"/>
          <w:sz w:val="24"/>
          <w:szCs w:val="24"/>
        </w:rPr>
        <w:t>465,56 Kč</w:t>
      </w:r>
      <w:r w:rsidRPr="00102AB2">
        <w:rPr>
          <w:rFonts w:ascii="Calibri" w:hAnsi="Calibri" w:cs="Calibri"/>
          <w:sz w:val="24"/>
          <w:szCs w:val="24"/>
        </w:rPr>
        <w:t xml:space="preserve">. </w:t>
      </w:r>
      <w:r w:rsidR="00661625" w:rsidRPr="00102AB2">
        <w:rPr>
          <w:rFonts w:ascii="Calibri" w:hAnsi="Calibri" w:cs="Calibri"/>
          <w:sz w:val="24"/>
          <w:szCs w:val="24"/>
        </w:rPr>
        <w:t>N</w:t>
      </w:r>
      <w:r w:rsidRPr="00102AB2">
        <w:rPr>
          <w:rFonts w:ascii="Calibri" w:hAnsi="Calibri" w:cs="Calibri"/>
          <w:sz w:val="24"/>
          <w:szCs w:val="24"/>
        </w:rPr>
        <w:t>ejvýznamnější</w:t>
      </w:r>
      <w:r w:rsidR="00661625" w:rsidRPr="00102AB2">
        <w:rPr>
          <w:rFonts w:ascii="Calibri" w:hAnsi="Calibri" w:cs="Calibri"/>
          <w:sz w:val="24"/>
          <w:szCs w:val="24"/>
        </w:rPr>
        <w:t xml:space="preserve"> částku z toho</w:t>
      </w:r>
      <w:r w:rsidR="00E47275" w:rsidRPr="00102AB2">
        <w:rPr>
          <w:rFonts w:ascii="Calibri" w:hAnsi="Calibri" w:cs="Calibri"/>
          <w:sz w:val="24"/>
          <w:szCs w:val="24"/>
        </w:rPr>
        <w:t xml:space="preserve"> </w:t>
      </w:r>
      <w:r w:rsidR="00661625" w:rsidRPr="00102AB2">
        <w:rPr>
          <w:rFonts w:ascii="Calibri" w:hAnsi="Calibri" w:cs="Calibri"/>
          <w:sz w:val="24"/>
          <w:szCs w:val="24"/>
        </w:rPr>
        <w:t xml:space="preserve">tvořila nesprávnost </w:t>
      </w:r>
      <w:r w:rsidR="00267E65" w:rsidRPr="00102AB2">
        <w:rPr>
          <w:rFonts w:ascii="Calibri" w:hAnsi="Calibri" w:cs="Calibri"/>
          <w:sz w:val="24"/>
          <w:szCs w:val="24"/>
        </w:rPr>
        <w:t>ve výši 3</w:t>
      </w:r>
      <w:r w:rsidR="007405FC" w:rsidRPr="00102AB2">
        <w:rPr>
          <w:rFonts w:ascii="Calibri" w:hAnsi="Calibri" w:cs="Calibri"/>
          <w:sz w:val="24"/>
          <w:szCs w:val="24"/>
        </w:rPr>
        <w:t xml:space="preserve"> </w:t>
      </w:r>
      <w:r w:rsidR="00267E65" w:rsidRPr="00102AB2">
        <w:rPr>
          <w:rFonts w:ascii="Calibri" w:hAnsi="Calibri" w:cs="Calibri"/>
          <w:sz w:val="24"/>
          <w:szCs w:val="24"/>
        </w:rPr>
        <w:t>483</w:t>
      </w:r>
      <w:r w:rsidR="007405FC" w:rsidRPr="00102AB2">
        <w:rPr>
          <w:rFonts w:ascii="Calibri" w:hAnsi="Calibri" w:cs="Calibri"/>
          <w:sz w:val="24"/>
          <w:szCs w:val="24"/>
        </w:rPr>
        <w:t xml:space="preserve"> </w:t>
      </w:r>
      <w:r w:rsidR="00267E65" w:rsidRPr="00102AB2">
        <w:rPr>
          <w:rFonts w:ascii="Calibri" w:hAnsi="Calibri" w:cs="Calibri"/>
          <w:sz w:val="24"/>
          <w:szCs w:val="24"/>
        </w:rPr>
        <w:t>565,56</w:t>
      </w:r>
      <w:r w:rsidR="00ED5FCB" w:rsidRPr="00102AB2">
        <w:rPr>
          <w:rFonts w:ascii="Calibri" w:hAnsi="Calibri" w:cs="Calibri"/>
          <w:sz w:val="24"/>
          <w:szCs w:val="24"/>
        </w:rPr>
        <w:t xml:space="preserve"> </w:t>
      </w:r>
      <w:r w:rsidR="00267E65" w:rsidRPr="00102AB2">
        <w:rPr>
          <w:rFonts w:ascii="Calibri" w:hAnsi="Calibri" w:cs="Calibri"/>
          <w:sz w:val="24"/>
          <w:szCs w:val="24"/>
        </w:rPr>
        <w:t>Kč</w:t>
      </w:r>
      <w:r w:rsidR="00943BA7" w:rsidRPr="00102AB2">
        <w:rPr>
          <w:rFonts w:ascii="Calibri" w:hAnsi="Calibri" w:cs="Calibri"/>
          <w:sz w:val="24"/>
          <w:szCs w:val="24"/>
        </w:rPr>
        <w:t>. Jednalo se o</w:t>
      </w:r>
      <w:r w:rsidR="00497A8E" w:rsidRPr="00102AB2">
        <w:rPr>
          <w:rFonts w:ascii="Calibri" w:hAnsi="Calibri" w:cs="Calibri"/>
          <w:sz w:val="24"/>
          <w:szCs w:val="24"/>
        </w:rPr>
        <w:t xml:space="preserve"> peněžní prostředk</w:t>
      </w:r>
      <w:r w:rsidR="00943BA7" w:rsidRPr="00102AB2">
        <w:rPr>
          <w:rFonts w:ascii="Calibri" w:hAnsi="Calibri" w:cs="Calibri"/>
          <w:sz w:val="24"/>
          <w:szCs w:val="24"/>
        </w:rPr>
        <w:t>y</w:t>
      </w:r>
      <w:r w:rsidR="00661625" w:rsidRPr="00102AB2">
        <w:rPr>
          <w:rFonts w:ascii="Calibri" w:hAnsi="Calibri" w:cs="Calibri"/>
          <w:sz w:val="24"/>
          <w:szCs w:val="24"/>
        </w:rPr>
        <w:t xml:space="preserve"> přijat</w:t>
      </w:r>
      <w:r w:rsidR="00943BA7" w:rsidRPr="00102AB2">
        <w:rPr>
          <w:rFonts w:ascii="Calibri" w:hAnsi="Calibri" w:cs="Calibri"/>
          <w:sz w:val="24"/>
          <w:szCs w:val="24"/>
        </w:rPr>
        <w:t>é</w:t>
      </w:r>
      <w:r w:rsidR="006E65F0" w:rsidRPr="00102AB2">
        <w:rPr>
          <w:rFonts w:ascii="Calibri" w:hAnsi="Calibri" w:cs="Calibri"/>
          <w:sz w:val="24"/>
          <w:szCs w:val="24"/>
        </w:rPr>
        <w:t xml:space="preserve"> </w:t>
      </w:r>
      <w:r w:rsidR="00267E65" w:rsidRPr="00102AB2">
        <w:rPr>
          <w:rFonts w:ascii="Calibri" w:hAnsi="Calibri" w:cs="Calibri"/>
          <w:sz w:val="24"/>
          <w:szCs w:val="24"/>
        </w:rPr>
        <w:t>v</w:t>
      </w:r>
      <w:r w:rsidR="00D27C61" w:rsidRPr="00102AB2">
        <w:rPr>
          <w:rFonts w:ascii="Calibri" w:hAnsi="Calibri" w:cs="Calibri"/>
          <w:sz w:val="24"/>
          <w:szCs w:val="24"/>
        </w:rPr>
        <w:t> </w:t>
      </w:r>
      <w:r w:rsidR="00267E65" w:rsidRPr="00102AB2">
        <w:rPr>
          <w:rFonts w:ascii="Calibri" w:hAnsi="Calibri" w:cs="Calibri"/>
          <w:sz w:val="24"/>
          <w:szCs w:val="24"/>
        </w:rPr>
        <w:t>rámci</w:t>
      </w:r>
      <w:r w:rsidR="00F954CD" w:rsidRPr="00102AB2">
        <w:rPr>
          <w:rFonts w:ascii="Calibri" w:hAnsi="Calibri" w:cs="Calibri"/>
          <w:sz w:val="24"/>
          <w:szCs w:val="24"/>
        </w:rPr>
        <w:t xml:space="preserve"> </w:t>
      </w:r>
      <w:r w:rsidR="00F92E74">
        <w:rPr>
          <w:rFonts w:ascii="Calibri" w:hAnsi="Calibri" w:cs="Calibri"/>
          <w:sz w:val="24"/>
          <w:szCs w:val="24"/>
        </w:rPr>
        <w:t>o</w:t>
      </w:r>
      <w:r w:rsidR="00F954CD" w:rsidRPr="00102AB2">
        <w:rPr>
          <w:rFonts w:ascii="Calibri" w:hAnsi="Calibri" w:cs="Calibri"/>
          <w:sz w:val="24"/>
          <w:szCs w:val="24"/>
        </w:rPr>
        <w:t>perační</w:t>
      </w:r>
      <w:r w:rsidR="00267E65" w:rsidRPr="00102AB2">
        <w:rPr>
          <w:rFonts w:ascii="Calibri" w:hAnsi="Calibri" w:cs="Calibri"/>
          <w:sz w:val="24"/>
          <w:szCs w:val="24"/>
        </w:rPr>
        <w:t>ho</w:t>
      </w:r>
      <w:r w:rsidR="00F954CD" w:rsidRPr="00102AB2">
        <w:rPr>
          <w:rFonts w:ascii="Calibri" w:hAnsi="Calibri" w:cs="Calibri"/>
          <w:sz w:val="24"/>
          <w:szCs w:val="24"/>
        </w:rPr>
        <w:t xml:space="preserve"> program</w:t>
      </w:r>
      <w:r w:rsidR="00267E65" w:rsidRPr="00102AB2">
        <w:rPr>
          <w:rFonts w:ascii="Calibri" w:hAnsi="Calibri" w:cs="Calibri"/>
          <w:sz w:val="24"/>
          <w:szCs w:val="24"/>
        </w:rPr>
        <w:t>u</w:t>
      </w:r>
      <w:r w:rsidR="00F954CD" w:rsidRPr="00102AB2">
        <w:rPr>
          <w:rFonts w:ascii="Calibri" w:hAnsi="Calibri" w:cs="Calibri"/>
          <w:sz w:val="24"/>
          <w:szCs w:val="24"/>
        </w:rPr>
        <w:t xml:space="preserve"> </w:t>
      </w:r>
      <w:r w:rsidR="00F954CD" w:rsidRPr="00B02A1B">
        <w:rPr>
          <w:rFonts w:ascii="Calibri" w:hAnsi="Calibri" w:cs="Calibri"/>
          <w:i/>
          <w:sz w:val="24"/>
          <w:szCs w:val="24"/>
        </w:rPr>
        <w:t>Nadnárodní spolupráce</w:t>
      </w:r>
      <w:r w:rsidR="00497A8E" w:rsidRPr="00102AB2">
        <w:rPr>
          <w:rFonts w:ascii="Calibri" w:hAnsi="Calibri" w:cs="Calibri"/>
          <w:sz w:val="24"/>
          <w:szCs w:val="24"/>
        </w:rPr>
        <w:t xml:space="preserve"> z</w:t>
      </w:r>
      <w:r w:rsidR="007405FC" w:rsidRPr="00102AB2">
        <w:rPr>
          <w:rFonts w:ascii="Calibri" w:hAnsi="Calibri" w:cs="Calibri"/>
          <w:sz w:val="24"/>
          <w:szCs w:val="24"/>
        </w:rPr>
        <w:t xml:space="preserve"> </w:t>
      </w:r>
      <w:r w:rsidR="00497A8E" w:rsidRPr="00B02A1B">
        <w:rPr>
          <w:rFonts w:ascii="Calibri" w:hAnsi="Calibri" w:cs="Calibri"/>
          <w:i/>
          <w:sz w:val="24"/>
          <w:szCs w:val="24"/>
        </w:rPr>
        <w:t>Evropského fondu pro regionální rozvoj</w:t>
      </w:r>
      <w:r w:rsidR="00F92E74">
        <w:rPr>
          <w:rFonts w:ascii="Calibri" w:hAnsi="Calibri" w:cs="Calibri"/>
          <w:sz w:val="24"/>
          <w:szCs w:val="24"/>
        </w:rPr>
        <w:t>,</w:t>
      </w:r>
      <w:r w:rsidR="00497A8E" w:rsidRPr="00102AB2">
        <w:rPr>
          <w:rFonts w:ascii="Calibri" w:hAnsi="Calibri" w:cs="Calibri"/>
          <w:sz w:val="24"/>
          <w:szCs w:val="24"/>
        </w:rPr>
        <w:t xml:space="preserve"> a to prostřednictvím zahraničního partnera, členského státu Evropské unie</w:t>
      </w:r>
      <w:r w:rsidR="00267E65" w:rsidRPr="00102AB2">
        <w:rPr>
          <w:rFonts w:ascii="Calibri" w:hAnsi="Calibri" w:cs="Calibri"/>
          <w:sz w:val="24"/>
          <w:szCs w:val="24"/>
        </w:rPr>
        <w:t>.</w:t>
      </w:r>
      <w:r w:rsidR="00661625" w:rsidRPr="00102AB2">
        <w:rPr>
          <w:rFonts w:ascii="Calibri" w:hAnsi="Calibri" w:cs="Calibri"/>
          <w:sz w:val="24"/>
          <w:szCs w:val="24"/>
        </w:rPr>
        <w:t xml:space="preserve"> MŽP vykázalo tuto částku</w:t>
      </w:r>
      <w:r w:rsidR="007B6E15" w:rsidRPr="00102AB2">
        <w:rPr>
          <w:rFonts w:ascii="Calibri" w:hAnsi="Calibri" w:cs="Calibri"/>
          <w:sz w:val="24"/>
          <w:szCs w:val="24"/>
        </w:rPr>
        <w:t xml:space="preserve"> </w:t>
      </w:r>
      <w:r w:rsidR="005C641C" w:rsidRPr="00102AB2">
        <w:rPr>
          <w:rFonts w:ascii="Calibri" w:hAnsi="Calibri" w:cs="Calibri"/>
          <w:sz w:val="24"/>
          <w:szCs w:val="24"/>
        </w:rPr>
        <w:t>nesprávn</w:t>
      </w:r>
      <w:r w:rsidR="007B6E15" w:rsidRPr="00102AB2">
        <w:rPr>
          <w:rFonts w:ascii="Calibri" w:hAnsi="Calibri" w:cs="Calibri"/>
          <w:sz w:val="24"/>
          <w:szCs w:val="24"/>
        </w:rPr>
        <w:t xml:space="preserve">ě na položce </w:t>
      </w:r>
      <w:r w:rsidR="007B6E15" w:rsidRPr="00102AB2">
        <w:rPr>
          <w:rFonts w:ascii="Calibri" w:hAnsi="Calibri" w:cs="Calibri"/>
          <w:i/>
          <w:sz w:val="24"/>
          <w:szCs w:val="24"/>
        </w:rPr>
        <w:t>4118 – Neinvestiční převody z</w:t>
      </w:r>
      <w:r w:rsidR="007405FC" w:rsidRPr="00102AB2">
        <w:rPr>
          <w:rFonts w:ascii="Calibri" w:hAnsi="Calibri" w:cs="Calibri"/>
          <w:i/>
          <w:sz w:val="24"/>
          <w:szCs w:val="24"/>
        </w:rPr>
        <w:t xml:space="preserve"> </w:t>
      </w:r>
      <w:r w:rsidR="007B6E15" w:rsidRPr="00102AB2">
        <w:rPr>
          <w:rFonts w:ascii="Calibri" w:hAnsi="Calibri" w:cs="Calibri"/>
          <w:i/>
          <w:sz w:val="24"/>
          <w:szCs w:val="24"/>
        </w:rPr>
        <w:t>Národního fondu</w:t>
      </w:r>
      <w:r w:rsidR="00661625" w:rsidRPr="00102AB2">
        <w:rPr>
          <w:rFonts w:ascii="Calibri" w:hAnsi="Calibri" w:cs="Calibri"/>
          <w:sz w:val="24"/>
          <w:szCs w:val="24"/>
        </w:rPr>
        <w:t xml:space="preserve"> místo </w:t>
      </w:r>
      <w:r w:rsidR="008E52E4">
        <w:rPr>
          <w:rFonts w:ascii="Calibri" w:hAnsi="Calibri" w:cs="Calibri"/>
          <w:sz w:val="24"/>
          <w:szCs w:val="24"/>
        </w:rPr>
        <w:t xml:space="preserve">na </w:t>
      </w:r>
      <w:r w:rsidR="00661625" w:rsidRPr="00102AB2">
        <w:rPr>
          <w:rFonts w:ascii="Calibri" w:hAnsi="Calibri" w:cs="Calibri"/>
          <w:sz w:val="24"/>
          <w:szCs w:val="24"/>
        </w:rPr>
        <w:t>polož</w:t>
      </w:r>
      <w:r w:rsidR="008E52E4">
        <w:rPr>
          <w:rFonts w:ascii="Calibri" w:hAnsi="Calibri" w:cs="Calibri"/>
          <w:sz w:val="24"/>
          <w:szCs w:val="24"/>
        </w:rPr>
        <w:t>ce</w:t>
      </w:r>
      <w:r w:rsidR="005B17A9" w:rsidRPr="00102AB2">
        <w:rPr>
          <w:rFonts w:ascii="Calibri" w:hAnsi="Calibri" w:cs="Calibri"/>
          <w:sz w:val="24"/>
          <w:szCs w:val="24"/>
        </w:rPr>
        <w:t xml:space="preserve"> rozpočtové skladby </w:t>
      </w:r>
      <w:r w:rsidR="005B17A9" w:rsidRPr="00B02A1B">
        <w:rPr>
          <w:rFonts w:ascii="Calibri" w:hAnsi="Calibri" w:cs="Calibri"/>
          <w:sz w:val="24"/>
          <w:szCs w:val="24"/>
        </w:rPr>
        <w:t>4153</w:t>
      </w:r>
      <w:r w:rsidR="005B17A9" w:rsidRPr="00102AB2">
        <w:rPr>
          <w:rFonts w:ascii="Calibri" w:hAnsi="Calibri" w:cs="Calibri"/>
          <w:i/>
          <w:sz w:val="24"/>
          <w:szCs w:val="24"/>
        </w:rPr>
        <w:t xml:space="preserve"> – Neinvestiční převody přijaté od Evropské unie</w:t>
      </w:r>
      <w:r w:rsidR="005B17A9" w:rsidRPr="00102AB2">
        <w:rPr>
          <w:rFonts w:ascii="Calibri" w:hAnsi="Calibri" w:cs="Calibri"/>
          <w:sz w:val="24"/>
          <w:szCs w:val="24"/>
        </w:rPr>
        <w:t>.</w:t>
      </w:r>
    </w:p>
    <w:p w:rsidR="001C76E1" w:rsidRPr="00102AB2" w:rsidRDefault="001C76E1" w:rsidP="00102AB2">
      <w:pPr>
        <w:spacing w:after="0" w:line="240" w:lineRule="auto"/>
        <w:jc w:val="both"/>
        <w:rPr>
          <w:rFonts w:ascii="Calibri" w:hAnsi="Calibri" w:cs="Calibri"/>
          <w:sz w:val="24"/>
          <w:szCs w:val="24"/>
        </w:rPr>
      </w:pPr>
    </w:p>
    <w:p w:rsidR="009F0837" w:rsidRPr="00102AB2" w:rsidRDefault="009F0837" w:rsidP="00102AB2">
      <w:pPr>
        <w:spacing w:after="0" w:line="240" w:lineRule="auto"/>
        <w:jc w:val="both"/>
        <w:rPr>
          <w:rFonts w:ascii="Calibri" w:hAnsi="Calibri" w:cs="Calibri"/>
          <w:b/>
          <w:sz w:val="24"/>
          <w:szCs w:val="24"/>
        </w:rPr>
      </w:pPr>
      <w:r w:rsidRPr="00102AB2">
        <w:rPr>
          <w:rFonts w:ascii="Calibri" w:hAnsi="Calibri" w:cs="Calibri"/>
          <w:b/>
          <w:sz w:val="24"/>
          <w:szCs w:val="24"/>
        </w:rPr>
        <w:t xml:space="preserve">3. Závěrečný účet </w:t>
      </w:r>
    </w:p>
    <w:p w:rsidR="00F54ED4" w:rsidRPr="00102AB2" w:rsidRDefault="00F54ED4" w:rsidP="00102AB2">
      <w:pPr>
        <w:spacing w:after="0" w:line="240" w:lineRule="auto"/>
        <w:jc w:val="both"/>
        <w:rPr>
          <w:rFonts w:ascii="Calibri" w:hAnsi="Calibri" w:cs="Calibri"/>
          <w:sz w:val="24"/>
          <w:szCs w:val="24"/>
        </w:rPr>
      </w:pPr>
    </w:p>
    <w:p w:rsidR="00FF07BB" w:rsidRPr="00102AB2" w:rsidRDefault="00F1529A" w:rsidP="00102AB2">
      <w:pPr>
        <w:spacing w:after="0" w:line="240" w:lineRule="auto"/>
        <w:jc w:val="both"/>
        <w:rPr>
          <w:rFonts w:ascii="Calibri" w:hAnsi="Calibri" w:cs="Calibri"/>
          <w:sz w:val="24"/>
          <w:szCs w:val="24"/>
        </w:rPr>
      </w:pPr>
      <w:r w:rsidRPr="00102AB2">
        <w:rPr>
          <w:rFonts w:ascii="Calibri" w:hAnsi="Calibri" w:cs="Calibri"/>
          <w:sz w:val="24"/>
          <w:szCs w:val="24"/>
        </w:rPr>
        <w:t>Při kontrole závěrečného účtu kapitoly 3</w:t>
      </w:r>
      <w:r w:rsidR="00CE05B0" w:rsidRPr="00102AB2">
        <w:rPr>
          <w:rFonts w:ascii="Calibri" w:hAnsi="Calibri" w:cs="Calibri"/>
          <w:sz w:val="24"/>
          <w:szCs w:val="24"/>
        </w:rPr>
        <w:t>15</w:t>
      </w:r>
      <w:r w:rsidR="00F92E74">
        <w:rPr>
          <w:rFonts w:ascii="Calibri" w:hAnsi="Calibri" w:cs="Calibri"/>
          <w:sz w:val="24"/>
          <w:szCs w:val="24"/>
        </w:rPr>
        <w:t> –</w:t>
      </w:r>
      <w:r w:rsidRPr="00102AB2">
        <w:rPr>
          <w:rFonts w:ascii="Calibri" w:hAnsi="Calibri" w:cs="Calibri"/>
          <w:sz w:val="24"/>
          <w:szCs w:val="24"/>
        </w:rPr>
        <w:t xml:space="preserve"> </w:t>
      </w:r>
      <w:r w:rsidRPr="00102AB2">
        <w:rPr>
          <w:rFonts w:ascii="Calibri" w:hAnsi="Calibri" w:cs="Calibri"/>
          <w:i/>
          <w:sz w:val="24"/>
          <w:szCs w:val="24"/>
        </w:rPr>
        <w:t xml:space="preserve">Ministerstvo </w:t>
      </w:r>
      <w:r w:rsidR="00CE05B0" w:rsidRPr="00102AB2">
        <w:rPr>
          <w:rFonts w:ascii="Calibri" w:hAnsi="Calibri" w:cs="Calibri"/>
          <w:i/>
          <w:sz w:val="24"/>
          <w:szCs w:val="24"/>
        </w:rPr>
        <w:t>životního prostředí</w:t>
      </w:r>
      <w:r w:rsidRPr="00102AB2">
        <w:rPr>
          <w:rFonts w:ascii="Calibri" w:hAnsi="Calibri" w:cs="Calibri"/>
          <w:sz w:val="24"/>
          <w:szCs w:val="24"/>
        </w:rPr>
        <w:t xml:space="preserve"> za rok 2013 se kontrola zaměřila zejména na dodržení souladu s vyhláškou č. 419/2001 Sb., o rozsahu, struktuře a termínech údajů předkládaných pro vypracování návrhu státního závěrečného účtu a o rozsahu a termínech sestavení návrhů závěrečných účtů kapitol státního rozpočtu</w:t>
      </w:r>
      <w:r w:rsidR="007009F2" w:rsidRPr="00102AB2">
        <w:rPr>
          <w:rFonts w:ascii="Calibri" w:hAnsi="Calibri" w:cs="Calibri"/>
          <w:sz w:val="24"/>
          <w:szCs w:val="24"/>
        </w:rPr>
        <w:t>,</w:t>
      </w:r>
      <w:r w:rsidR="00293DF6">
        <w:rPr>
          <w:rFonts w:ascii="Calibri" w:hAnsi="Calibri" w:cs="Calibri"/>
          <w:sz w:val="24"/>
          <w:szCs w:val="24"/>
        </w:rPr>
        <w:t xml:space="preserve"> a </w:t>
      </w:r>
      <w:r w:rsidR="008E52E4">
        <w:rPr>
          <w:rFonts w:ascii="Calibri" w:hAnsi="Calibri" w:cs="Calibri"/>
          <w:sz w:val="24"/>
          <w:szCs w:val="24"/>
        </w:rPr>
        <w:t>prověřeny byly také vybrané oblasti jako</w:t>
      </w:r>
      <w:r w:rsidR="00297BE5" w:rsidRPr="00102AB2">
        <w:rPr>
          <w:rFonts w:ascii="Calibri" w:hAnsi="Calibri" w:cs="Calibri"/>
          <w:sz w:val="24"/>
          <w:szCs w:val="24"/>
        </w:rPr>
        <w:t xml:space="preserve"> </w:t>
      </w:r>
      <w:r w:rsidRPr="00102AB2">
        <w:rPr>
          <w:rFonts w:ascii="Calibri" w:hAnsi="Calibri" w:cs="Calibri"/>
          <w:sz w:val="24"/>
          <w:szCs w:val="24"/>
        </w:rPr>
        <w:t xml:space="preserve">transfery, </w:t>
      </w:r>
      <w:r w:rsidR="00297BE5" w:rsidRPr="00102AB2">
        <w:rPr>
          <w:rFonts w:ascii="Calibri" w:hAnsi="Calibri" w:cs="Calibri"/>
          <w:sz w:val="24"/>
          <w:szCs w:val="24"/>
        </w:rPr>
        <w:t>zálohy</w:t>
      </w:r>
      <w:r w:rsidR="00200482" w:rsidRPr="00102AB2">
        <w:rPr>
          <w:rFonts w:ascii="Calibri" w:hAnsi="Calibri" w:cs="Calibri"/>
          <w:sz w:val="24"/>
          <w:szCs w:val="24"/>
        </w:rPr>
        <w:t xml:space="preserve"> a</w:t>
      </w:r>
      <w:r w:rsidRPr="00102AB2">
        <w:rPr>
          <w:rFonts w:ascii="Calibri" w:hAnsi="Calibri" w:cs="Calibri"/>
          <w:sz w:val="24"/>
          <w:szCs w:val="24"/>
        </w:rPr>
        <w:t xml:space="preserve"> bezúplatné převody</w:t>
      </w:r>
      <w:r w:rsidR="00200482" w:rsidRPr="00102AB2">
        <w:rPr>
          <w:rFonts w:ascii="Calibri" w:hAnsi="Calibri" w:cs="Calibri"/>
          <w:sz w:val="24"/>
          <w:szCs w:val="24"/>
        </w:rPr>
        <w:t>.</w:t>
      </w:r>
    </w:p>
    <w:p w:rsidR="00F54ED4" w:rsidRPr="00102AB2" w:rsidRDefault="00F54ED4" w:rsidP="00102AB2">
      <w:pPr>
        <w:spacing w:after="0" w:line="240" w:lineRule="auto"/>
        <w:jc w:val="both"/>
        <w:rPr>
          <w:rFonts w:ascii="Calibri" w:hAnsi="Calibri" w:cs="Calibri"/>
          <w:sz w:val="24"/>
          <w:szCs w:val="24"/>
        </w:rPr>
      </w:pPr>
    </w:p>
    <w:p w:rsidR="00F1529A" w:rsidRPr="00102AB2" w:rsidRDefault="00F1529A" w:rsidP="00102AB2">
      <w:pPr>
        <w:spacing w:after="0" w:line="240" w:lineRule="auto"/>
        <w:jc w:val="both"/>
        <w:rPr>
          <w:rFonts w:ascii="Calibri" w:hAnsi="Calibri" w:cs="Calibri"/>
          <w:b/>
          <w:color w:val="000000"/>
          <w:sz w:val="24"/>
          <w:szCs w:val="24"/>
        </w:rPr>
      </w:pPr>
      <w:r w:rsidRPr="00102AB2">
        <w:rPr>
          <w:rFonts w:ascii="Calibri" w:hAnsi="Calibri" w:cs="Calibri"/>
          <w:b/>
          <w:color w:val="000000"/>
          <w:sz w:val="24"/>
          <w:szCs w:val="24"/>
        </w:rPr>
        <w:t xml:space="preserve">3.1 Soulad ZÚ kapitoly MŽP </w:t>
      </w:r>
      <w:r w:rsidR="00F92E74">
        <w:rPr>
          <w:rFonts w:ascii="Calibri" w:hAnsi="Calibri" w:cs="Calibri"/>
          <w:b/>
          <w:color w:val="000000"/>
          <w:sz w:val="24"/>
          <w:szCs w:val="24"/>
        </w:rPr>
        <w:t xml:space="preserve">za rok </w:t>
      </w:r>
      <w:r w:rsidRPr="00102AB2">
        <w:rPr>
          <w:rFonts w:ascii="Calibri" w:hAnsi="Calibri" w:cs="Calibri"/>
          <w:b/>
          <w:color w:val="000000"/>
          <w:sz w:val="24"/>
          <w:szCs w:val="24"/>
        </w:rPr>
        <w:t>2013 s</w:t>
      </w:r>
      <w:r w:rsidR="007405FC" w:rsidRPr="00102AB2">
        <w:rPr>
          <w:rFonts w:ascii="Calibri" w:hAnsi="Calibri" w:cs="Calibri"/>
          <w:b/>
          <w:color w:val="000000"/>
          <w:sz w:val="24"/>
          <w:szCs w:val="24"/>
        </w:rPr>
        <w:t xml:space="preserve"> </w:t>
      </w:r>
      <w:r w:rsidRPr="00102AB2">
        <w:rPr>
          <w:rFonts w:ascii="Calibri" w:hAnsi="Calibri" w:cs="Calibri"/>
          <w:b/>
          <w:color w:val="000000"/>
          <w:sz w:val="24"/>
          <w:szCs w:val="24"/>
        </w:rPr>
        <w:t>vyhláškou č. 419/2001 Sb.</w:t>
      </w:r>
      <w:r w:rsidR="00265137" w:rsidRPr="00102AB2">
        <w:rPr>
          <w:rFonts w:ascii="Calibri" w:hAnsi="Calibri" w:cs="Calibri"/>
          <w:b/>
          <w:color w:val="000000"/>
          <w:sz w:val="24"/>
          <w:szCs w:val="24"/>
        </w:rPr>
        <w:t xml:space="preserve"> </w:t>
      </w:r>
    </w:p>
    <w:p w:rsidR="007F494E" w:rsidRDefault="007F494E" w:rsidP="00102AB2">
      <w:pPr>
        <w:spacing w:after="0" w:line="240" w:lineRule="auto"/>
        <w:jc w:val="both"/>
        <w:rPr>
          <w:rFonts w:ascii="Calibri" w:hAnsi="Calibri" w:cs="Calibri"/>
          <w:sz w:val="24"/>
          <w:szCs w:val="24"/>
        </w:rPr>
      </w:pPr>
    </w:p>
    <w:p w:rsidR="00D7216E" w:rsidRPr="00102AB2" w:rsidRDefault="00A92BC9" w:rsidP="00102AB2">
      <w:pPr>
        <w:spacing w:after="0" w:line="240" w:lineRule="auto"/>
        <w:jc w:val="both"/>
        <w:rPr>
          <w:rFonts w:ascii="Calibri" w:hAnsi="Calibri" w:cs="Calibri"/>
          <w:sz w:val="24"/>
          <w:szCs w:val="24"/>
        </w:rPr>
      </w:pPr>
      <w:r w:rsidRPr="00102AB2">
        <w:rPr>
          <w:rFonts w:ascii="Calibri" w:hAnsi="Calibri" w:cs="Calibri"/>
          <w:sz w:val="24"/>
          <w:szCs w:val="24"/>
        </w:rPr>
        <w:t>Předložený ZÚ kapitoly MŽP za rok 2013 obsahoval hodnot</w:t>
      </w:r>
      <w:r w:rsidR="00F92E74">
        <w:rPr>
          <w:rFonts w:ascii="Calibri" w:hAnsi="Calibri" w:cs="Calibri"/>
          <w:sz w:val="24"/>
          <w:szCs w:val="24"/>
        </w:rPr>
        <w:t>i</w:t>
      </w:r>
      <w:r w:rsidRPr="00102AB2">
        <w:rPr>
          <w:rFonts w:ascii="Calibri" w:hAnsi="Calibri" w:cs="Calibri"/>
          <w:sz w:val="24"/>
          <w:szCs w:val="24"/>
        </w:rPr>
        <w:t xml:space="preserve">cí zprávu, průvodní zprávu, povinné číselné sestavy a tabulkové přílohy </w:t>
      </w:r>
      <w:r w:rsidR="00ED5FCB" w:rsidRPr="00102AB2">
        <w:rPr>
          <w:rFonts w:ascii="Calibri" w:hAnsi="Calibri" w:cs="Calibri"/>
          <w:sz w:val="24"/>
          <w:szCs w:val="24"/>
        </w:rPr>
        <w:t>v</w:t>
      </w:r>
      <w:r w:rsidR="007405FC" w:rsidRPr="00102AB2">
        <w:rPr>
          <w:rFonts w:ascii="Calibri" w:hAnsi="Calibri" w:cs="Calibri"/>
          <w:sz w:val="24"/>
          <w:szCs w:val="24"/>
        </w:rPr>
        <w:t xml:space="preserve"> </w:t>
      </w:r>
      <w:r w:rsidR="00ED5FCB" w:rsidRPr="00102AB2">
        <w:rPr>
          <w:rFonts w:ascii="Calibri" w:hAnsi="Calibri" w:cs="Calibri"/>
          <w:sz w:val="24"/>
          <w:szCs w:val="24"/>
        </w:rPr>
        <w:t xml:space="preserve">rozsahu </w:t>
      </w:r>
      <w:r w:rsidR="00F92E74">
        <w:rPr>
          <w:rFonts w:ascii="Calibri" w:hAnsi="Calibri" w:cs="Calibri"/>
          <w:sz w:val="24"/>
          <w:szCs w:val="24"/>
        </w:rPr>
        <w:t>stanoveném</w:t>
      </w:r>
      <w:r w:rsidR="00ED5FCB" w:rsidRPr="00102AB2">
        <w:rPr>
          <w:rFonts w:ascii="Calibri" w:hAnsi="Calibri" w:cs="Calibri"/>
          <w:sz w:val="24"/>
          <w:szCs w:val="24"/>
        </w:rPr>
        <w:t xml:space="preserve"> vyhláškou č.</w:t>
      </w:r>
      <w:r w:rsidR="00D27C61" w:rsidRPr="00102AB2">
        <w:rPr>
          <w:rFonts w:ascii="Calibri" w:hAnsi="Calibri" w:cs="Calibri"/>
          <w:sz w:val="24"/>
          <w:szCs w:val="24"/>
        </w:rPr>
        <w:t> </w:t>
      </w:r>
      <w:r w:rsidR="00ED5FCB" w:rsidRPr="00102AB2">
        <w:rPr>
          <w:rFonts w:ascii="Calibri" w:hAnsi="Calibri" w:cs="Calibri"/>
          <w:sz w:val="24"/>
          <w:szCs w:val="24"/>
        </w:rPr>
        <w:t>419/2001 Sb. Nad rámec této vyhlášky MŽP v</w:t>
      </w:r>
      <w:r w:rsidR="007405FC" w:rsidRPr="00102AB2">
        <w:rPr>
          <w:rFonts w:ascii="Calibri" w:hAnsi="Calibri" w:cs="Calibri"/>
          <w:sz w:val="24"/>
          <w:szCs w:val="24"/>
        </w:rPr>
        <w:t xml:space="preserve"> </w:t>
      </w:r>
      <w:r w:rsidR="00F92E74">
        <w:rPr>
          <w:rFonts w:ascii="Calibri" w:hAnsi="Calibri" w:cs="Calibri"/>
          <w:sz w:val="24"/>
          <w:szCs w:val="24"/>
        </w:rPr>
        <w:t>závěrečném účtu zveřejňuje i </w:t>
      </w:r>
      <w:r w:rsidR="00ED5FCB" w:rsidRPr="00102AB2">
        <w:rPr>
          <w:rFonts w:ascii="Calibri" w:hAnsi="Calibri" w:cs="Calibri"/>
          <w:sz w:val="24"/>
          <w:szCs w:val="24"/>
        </w:rPr>
        <w:t>sumáře</w:t>
      </w:r>
      <w:r w:rsidR="00E2667C" w:rsidRPr="00102AB2">
        <w:rPr>
          <w:rFonts w:ascii="Calibri" w:hAnsi="Calibri" w:cs="Calibri"/>
          <w:sz w:val="24"/>
          <w:szCs w:val="24"/>
        </w:rPr>
        <w:t xml:space="preserve"> </w:t>
      </w:r>
      <w:r w:rsidR="00ED5FCB" w:rsidRPr="00102AB2">
        <w:rPr>
          <w:rFonts w:ascii="Calibri" w:hAnsi="Calibri" w:cs="Calibri"/>
          <w:sz w:val="24"/>
          <w:szCs w:val="24"/>
        </w:rPr>
        <w:t>účetních výkazů</w:t>
      </w:r>
      <w:r w:rsidR="004A0151" w:rsidRPr="00102AB2">
        <w:rPr>
          <w:rFonts w:ascii="Calibri" w:hAnsi="Calibri" w:cs="Calibri"/>
          <w:sz w:val="24"/>
          <w:szCs w:val="24"/>
        </w:rPr>
        <w:t xml:space="preserve"> rozvaha</w:t>
      </w:r>
      <w:r w:rsidR="00447AF6" w:rsidRPr="00102AB2">
        <w:rPr>
          <w:rFonts w:ascii="Calibri" w:hAnsi="Calibri" w:cs="Calibri"/>
          <w:sz w:val="24"/>
          <w:szCs w:val="24"/>
        </w:rPr>
        <w:t xml:space="preserve">, </w:t>
      </w:r>
      <w:r w:rsidR="004A0151" w:rsidRPr="00102AB2">
        <w:rPr>
          <w:rFonts w:ascii="Calibri" w:hAnsi="Calibri" w:cs="Calibri"/>
          <w:sz w:val="24"/>
          <w:szCs w:val="24"/>
        </w:rPr>
        <w:t>výkaz</w:t>
      </w:r>
      <w:r w:rsidR="00D7216E" w:rsidRPr="00102AB2">
        <w:rPr>
          <w:rFonts w:ascii="Calibri" w:hAnsi="Calibri" w:cs="Calibri"/>
          <w:sz w:val="24"/>
          <w:szCs w:val="24"/>
        </w:rPr>
        <w:t>u</w:t>
      </w:r>
      <w:r w:rsidR="004A0151" w:rsidRPr="00102AB2">
        <w:rPr>
          <w:rFonts w:ascii="Calibri" w:hAnsi="Calibri" w:cs="Calibri"/>
          <w:sz w:val="24"/>
          <w:szCs w:val="24"/>
        </w:rPr>
        <w:t xml:space="preserve"> zisku a ztráty</w:t>
      </w:r>
      <w:r w:rsidR="00447AF6" w:rsidRPr="00102AB2">
        <w:rPr>
          <w:rFonts w:ascii="Calibri" w:hAnsi="Calibri" w:cs="Calibri"/>
          <w:sz w:val="24"/>
          <w:szCs w:val="24"/>
        </w:rPr>
        <w:t xml:space="preserve"> a přílohy účetní závěrky</w:t>
      </w:r>
      <w:r w:rsidR="00ED5FCB" w:rsidRPr="00102AB2">
        <w:rPr>
          <w:rFonts w:ascii="Calibri" w:hAnsi="Calibri" w:cs="Calibri"/>
          <w:sz w:val="24"/>
          <w:szCs w:val="24"/>
        </w:rPr>
        <w:t xml:space="preserve"> za kapitolu</w:t>
      </w:r>
      <w:r w:rsidR="007D48AB" w:rsidRPr="00102AB2">
        <w:rPr>
          <w:rFonts w:ascii="Calibri" w:hAnsi="Calibri" w:cs="Calibri"/>
          <w:sz w:val="24"/>
          <w:szCs w:val="24"/>
        </w:rPr>
        <w:t>.</w:t>
      </w:r>
      <w:r w:rsidR="00293DF6">
        <w:rPr>
          <w:rFonts w:ascii="Calibri" w:hAnsi="Calibri" w:cs="Calibri"/>
          <w:sz w:val="24"/>
          <w:szCs w:val="24"/>
        </w:rPr>
        <w:t xml:space="preserve"> Průvodní zpráva o </w:t>
      </w:r>
      <w:r w:rsidR="00F41649" w:rsidRPr="00102AB2">
        <w:rPr>
          <w:rFonts w:ascii="Calibri" w:hAnsi="Calibri" w:cs="Calibri"/>
          <w:sz w:val="24"/>
          <w:szCs w:val="24"/>
        </w:rPr>
        <w:t xml:space="preserve">finančním hospodaření a plnění celkových vztahů ke státnímu rozpočtu ČR kapitoly </w:t>
      </w:r>
      <w:r w:rsidR="00293DF6">
        <w:rPr>
          <w:rFonts w:ascii="Calibri" w:hAnsi="Calibri" w:cs="Calibri"/>
          <w:sz w:val="24"/>
          <w:szCs w:val="24"/>
        </w:rPr>
        <w:br/>
      </w:r>
      <w:r w:rsidR="00F41649" w:rsidRPr="00102AB2">
        <w:rPr>
          <w:rFonts w:ascii="Calibri" w:hAnsi="Calibri" w:cs="Calibri"/>
          <w:sz w:val="24"/>
          <w:szCs w:val="24"/>
        </w:rPr>
        <w:t>315</w:t>
      </w:r>
      <w:r w:rsidR="00F92E74">
        <w:rPr>
          <w:rFonts w:ascii="Calibri" w:hAnsi="Calibri" w:cs="Calibri"/>
          <w:sz w:val="24"/>
          <w:szCs w:val="24"/>
        </w:rPr>
        <w:t> –</w:t>
      </w:r>
      <w:r w:rsidR="00F41649" w:rsidRPr="00102AB2">
        <w:rPr>
          <w:rFonts w:ascii="Calibri" w:hAnsi="Calibri" w:cs="Calibri"/>
          <w:sz w:val="24"/>
          <w:szCs w:val="24"/>
        </w:rPr>
        <w:t xml:space="preserve"> </w:t>
      </w:r>
      <w:r w:rsidR="00F41649" w:rsidRPr="00B02A1B">
        <w:rPr>
          <w:rFonts w:ascii="Calibri" w:hAnsi="Calibri" w:cs="Calibri"/>
          <w:i/>
          <w:sz w:val="24"/>
          <w:szCs w:val="24"/>
        </w:rPr>
        <w:t>Ministerstvo životního prostředí</w:t>
      </w:r>
      <w:r w:rsidR="00F41649" w:rsidRPr="00102AB2">
        <w:rPr>
          <w:rFonts w:ascii="Calibri" w:hAnsi="Calibri" w:cs="Calibri"/>
          <w:sz w:val="24"/>
          <w:szCs w:val="24"/>
        </w:rPr>
        <w:t xml:space="preserve"> za rok 2013 </w:t>
      </w:r>
      <w:r w:rsidR="00222F8E" w:rsidRPr="00102AB2">
        <w:rPr>
          <w:rFonts w:ascii="Calibri" w:hAnsi="Calibri" w:cs="Calibri"/>
          <w:sz w:val="24"/>
          <w:szCs w:val="24"/>
        </w:rPr>
        <w:t xml:space="preserve">(dále také „průvodní zpráva“) </w:t>
      </w:r>
      <w:r w:rsidR="004878E3" w:rsidRPr="00102AB2">
        <w:rPr>
          <w:rFonts w:ascii="Calibri" w:hAnsi="Calibri" w:cs="Calibri"/>
          <w:sz w:val="24"/>
          <w:szCs w:val="24"/>
        </w:rPr>
        <w:t>neobsahovala</w:t>
      </w:r>
      <w:r w:rsidR="008A3587" w:rsidRPr="00102AB2">
        <w:rPr>
          <w:rFonts w:ascii="Calibri" w:hAnsi="Calibri" w:cs="Calibri"/>
          <w:sz w:val="24"/>
          <w:szCs w:val="24"/>
        </w:rPr>
        <w:t>:</w:t>
      </w:r>
    </w:p>
    <w:p w:rsidR="00D7216E" w:rsidRPr="007F494E" w:rsidRDefault="002B33EC" w:rsidP="007F494E">
      <w:pPr>
        <w:pStyle w:val="Odstavecseseznamem"/>
        <w:numPr>
          <w:ilvl w:val="0"/>
          <w:numId w:val="38"/>
        </w:numPr>
        <w:spacing w:after="0" w:line="240" w:lineRule="auto"/>
        <w:ind w:left="284" w:hanging="284"/>
        <w:jc w:val="both"/>
        <w:rPr>
          <w:rFonts w:ascii="Calibri" w:hAnsi="Calibri" w:cs="Calibri"/>
          <w:sz w:val="24"/>
          <w:szCs w:val="24"/>
        </w:rPr>
      </w:pPr>
      <w:r w:rsidRPr="007F494E">
        <w:rPr>
          <w:rFonts w:ascii="Calibri" w:hAnsi="Calibri" w:cs="Calibri"/>
          <w:sz w:val="24"/>
          <w:szCs w:val="24"/>
        </w:rPr>
        <w:t>rozbor rovnoměrnosti čerpání výdajů se zdůvodněním výkyvů v jednotlivých čtvrtletích roku při čerpání kapitálových výdajů,</w:t>
      </w:r>
      <w:r w:rsidR="00EE2AE3" w:rsidRPr="007F494E">
        <w:rPr>
          <w:rFonts w:ascii="Calibri" w:hAnsi="Calibri" w:cs="Calibri"/>
          <w:sz w:val="24"/>
          <w:szCs w:val="24"/>
        </w:rPr>
        <w:t xml:space="preserve"> </w:t>
      </w:r>
    </w:p>
    <w:p w:rsidR="00D7216E" w:rsidRPr="007F494E" w:rsidRDefault="00EE2AE3" w:rsidP="007F494E">
      <w:pPr>
        <w:pStyle w:val="Odstavecseseznamem"/>
        <w:numPr>
          <w:ilvl w:val="0"/>
          <w:numId w:val="38"/>
        </w:numPr>
        <w:spacing w:after="0" w:line="240" w:lineRule="auto"/>
        <w:ind w:left="284" w:hanging="284"/>
        <w:jc w:val="both"/>
        <w:rPr>
          <w:rFonts w:ascii="Calibri" w:hAnsi="Calibri" w:cs="Calibri"/>
          <w:sz w:val="24"/>
          <w:szCs w:val="24"/>
        </w:rPr>
      </w:pPr>
      <w:r w:rsidRPr="007F494E">
        <w:rPr>
          <w:rFonts w:ascii="Calibri" w:hAnsi="Calibri" w:cs="Calibri"/>
          <w:sz w:val="24"/>
          <w:szCs w:val="24"/>
        </w:rPr>
        <w:t>hodnocení hospodárnosti, efektivnosti a účelnosti vynakládání výdajů kapitoly</w:t>
      </w:r>
      <w:r w:rsidR="00433FBD" w:rsidRPr="007F494E">
        <w:rPr>
          <w:rFonts w:ascii="Calibri" w:hAnsi="Calibri" w:cs="Calibri"/>
          <w:sz w:val="24"/>
          <w:szCs w:val="24"/>
        </w:rPr>
        <w:t xml:space="preserve">, </w:t>
      </w:r>
    </w:p>
    <w:p w:rsidR="00D7216E" w:rsidRPr="007F494E" w:rsidRDefault="00433FBD" w:rsidP="007F494E">
      <w:pPr>
        <w:pStyle w:val="Odstavecseseznamem"/>
        <w:numPr>
          <w:ilvl w:val="0"/>
          <w:numId w:val="38"/>
        </w:numPr>
        <w:spacing w:after="0" w:line="240" w:lineRule="auto"/>
        <w:ind w:left="284" w:hanging="284"/>
        <w:jc w:val="both"/>
        <w:rPr>
          <w:rFonts w:ascii="Calibri" w:hAnsi="Calibri" w:cs="Calibri"/>
          <w:sz w:val="24"/>
          <w:szCs w:val="24"/>
        </w:rPr>
      </w:pPr>
      <w:r w:rsidRPr="007F494E">
        <w:rPr>
          <w:rFonts w:ascii="Calibri" w:hAnsi="Calibri" w:cs="Calibri"/>
          <w:sz w:val="24"/>
          <w:szCs w:val="24"/>
        </w:rPr>
        <w:t xml:space="preserve">výsledky a zhodnocení plnění </w:t>
      </w:r>
      <w:r w:rsidR="008E52E4" w:rsidRPr="007F494E">
        <w:rPr>
          <w:rFonts w:ascii="Calibri" w:hAnsi="Calibri" w:cs="Calibri"/>
          <w:sz w:val="24"/>
          <w:szCs w:val="24"/>
        </w:rPr>
        <w:t xml:space="preserve">opatření </w:t>
      </w:r>
      <w:r w:rsidRPr="007F494E">
        <w:rPr>
          <w:rFonts w:ascii="Calibri" w:hAnsi="Calibri" w:cs="Calibri"/>
          <w:sz w:val="24"/>
          <w:szCs w:val="24"/>
        </w:rPr>
        <w:t>přijatých k</w:t>
      </w:r>
      <w:r w:rsidR="007405FC" w:rsidRPr="007F494E">
        <w:rPr>
          <w:rFonts w:ascii="Calibri" w:hAnsi="Calibri" w:cs="Calibri"/>
          <w:sz w:val="24"/>
          <w:szCs w:val="24"/>
        </w:rPr>
        <w:t xml:space="preserve"> </w:t>
      </w:r>
      <w:r w:rsidRPr="007F494E">
        <w:rPr>
          <w:rFonts w:ascii="Calibri" w:hAnsi="Calibri" w:cs="Calibri"/>
          <w:sz w:val="24"/>
          <w:szCs w:val="24"/>
        </w:rPr>
        <w:t>výsledkům kontrol NKÚ a</w:t>
      </w:r>
      <w:r w:rsidR="00D27C61" w:rsidRPr="007F494E">
        <w:rPr>
          <w:rFonts w:ascii="Calibri" w:hAnsi="Calibri" w:cs="Calibri"/>
          <w:sz w:val="24"/>
          <w:szCs w:val="24"/>
        </w:rPr>
        <w:t> </w:t>
      </w:r>
      <w:r w:rsidRPr="007F494E">
        <w:rPr>
          <w:rFonts w:ascii="Calibri" w:hAnsi="Calibri" w:cs="Calibri"/>
          <w:sz w:val="24"/>
          <w:szCs w:val="24"/>
        </w:rPr>
        <w:t>vnitřních kontrol,</w:t>
      </w:r>
    </w:p>
    <w:p w:rsidR="00C16B7A" w:rsidRPr="007F494E" w:rsidRDefault="00567422" w:rsidP="007F494E">
      <w:pPr>
        <w:pStyle w:val="Odstavecseseznamem"/>
        <w:numPr>
          <w:ilvl w:val="0"/>
          <w:numId w:val="38"/>
        </w:numPr>
        <w:spacing w:after="0" w:line="240" w:lineRule="auto"/>
        <w:ind w:left="284" w:hanging="284"/>
        <w:jc w:val="both"/>
        <w:rPr>
          <w:rFonts w:ascii="Calibri" w:hAnsi="Calibri" w:cs="Calibri"/>
          <w:sz w:val="24"/>
          <w:szCs w:val="24"/>
        </w:rPr>
      </w:pPr>
      <w:r w:rsidRPr="007F494E">
        <w:rPr>
          <w:rFonts w:ascii="Calibri" w:hAnsi="Calibri" w:cs="Calibri"/>
          <w:sz w:val="24"/>
          <w:szCs w:val="24"/>
        </w:rPr>
        <w:t xml:space="preserve">předpis, inkaso, přeplatky a nedoplatky </w:t>
      </w:r>
      <w:r w:rsidR="00D2684B" w:rsidRPr="007F494E">
        <w:rPr>
          <w:rFonts w:ascii="Calibri" w:hAnsi="Calibri" w:cs="Calibri"/>
          <w:sz w:val="24"/>
          <w:szCs w:val="24"/>
        </w:rPr>
        <w:t xml:space="preserve">k </w:t>
      </w:r>
      <w:r w:rsidR="007661AC" w:rsidRPr="007F494E">
        <w:rPr>
          <w:rFonts w:ascii="Calibri" w:hAnsi="Calibri" w:cs="Calibri"/>
          <w:sz w:val="24"/>
          <w:szCs w:val="24"/>
        </w:rPr>
        <w:t>daňov</w:t>
      </w:r>
      <w:r w:rsidR="00D2684B" w:rsidRPr="007F494E">
        <w:rPr>
          <w:rFonts w:ascii="Calibri" w:hAnsi="Calibri" w:cs="Calibri"/>
          <w:sz w:val="24"/>
          <w:szCs w:val="24"/>
        </w:rPr>
        <w:t>ým</w:t>
      </w:r>
      <w:r w:rsidR="007661AC" w:rsidRPr="007F494E">
        <w:rPr>
          <w:rFonts w:ascii="Calibri" w:hAnsi="Calibri" w:cs="Calibri"/>
          <w:sz w:val="24"/>
          <w:szCs w:val="24"/>
        </w:rPr>
        <w:t xml:space="preserve"> příjm</w:t>
      </w:r>
      <w:r w:rsidR="00D2684B" w:rsidRPr="007F494E">
        <w:rPr>
          <w:rFonts w:ascii="Calibri" w:hAnsi="Calibri" w:cs="Calibri"/>
          <w:sz w:val="24"/>
          <w:szCs w:val="24"/>
        </w:rPr>
        <w:t>ům</w:t>
      </w:r>
      <w:r w:rsidR="007661AC" w:rsidRPr="007F494E">
        <w:rPr>
          <w:rFonts w:ascii="Calibri" w:hAnsi="Calibri" w:cs="Calibri"/>
          <w:sz w:val="24"/>
          <w:szCs w:val="24"/>
        </w:rPr>
        <w:t xml:space="preserve"> z titulu správních poplatků, poplatků na činnost správních úřadů, soudních poplatků a pokut</w:t>
      </w:r>
      <w:r w:rsidR="00D7216E" w:rsidRPr="007F494E">
        <w:rPr>
          <w:rFonts w:ascii="Calibri" w:hAnsi="Calibri" w:cs="Calibri"/>
          <w:sz w:val="24"/>
          <w:szCs w:val="24"/>
        </w:rPr>
        <w:t>,</w:t>
      </w:r>
    </w:p>
    <w:p w:rsidR="00D7216E" w:rsidRPr="007F494E" w:rsidRDefault="00D7216E" w:rsidP="007F494E">
      <w:pPr>
        <w:pStyle w:val="Odstavecseseznamem"/>
        <w:numPr>
          <w:ilvl w:val="0"/>
          <w:numId w:val="38"/>
        </w:numPr>
        <w:spacing w:after="0" w:line="240" w:lineRule="auto"/>
        <w:ind w:left="284" w:hanging="284"/>
        <w:jc w:val="both"/>
        <w:rPr>
          <w:rFonts w:ascii="Calibri" w:hAnsi="Calibri" w:cs="Calibri"/>
          <w:sz w:val="24"/>
          <w:szCs w:val="24"/>
        </w:rPr>
      </w:pPr>
      <w:r w:rsidRPr="007F494E">
        <w:rPr>
          <w:rFonts w:ascii="Calibri" w:hAnsi="Calibri" w:cs="Calibri"/>
          <w:sz w:val="24"/>
          <w:szCs w:val="24"/>
        </w:rPr>
        <w:t xml:space="preserve">vyčíslení konečného zůstatku na </w:t>
      </w:r>
      <w:r w:rsidR="008E52E4">
        <w:rPr>
          <w:rFonts w:ascii="Calibri" w:hAnsi="Calibri" w:cs="Calibri"/>
          <w:sz w:val="24"/>
          <w:szCs w:val="24"/>
        </w:rPr>
        <w:t xml:space="preserve">bankovních </w:t>
      </w:r>
      <w:r w:rsidRPr="007F494E">
        <w:rPr>
          <w:rFonts w:ascii="Calibri" w:hAnsi="Calibri" w:cs="Calibri"/>
          <w:sz w:val="24"/>
          <w:szCs w:val="24"/>
        </w:rPr>
        <w:t>účtech, z nichž byly prostřednictvím platebních karet uskutečňovány výdaje související se zahraničními pracovními cestami.</w:t>
      </w:r>
    </w:p>
    <w:p w:rsidR="007661AC" w:rsidRPr="00102AB2" w:rsidRDefault="007661AC" w:rsidP="00102AB2">
      <w:pPr>
        <w:spacing w:after="0" w:line="240" w:lineRule="auto"/>
        <w:jc w:val="both"/>
        <w:rPr>
          <w:rFonts w:ascii="Calibri" w:hAnsi="Calibri" w:cs="Calibri"/>
          <w:b/>
          <w:bCs/>
          <w:sz w:val="24"/>
          <w:szCs w:val="24"/>
        </w:rPr>
      </w:pPr>
    </w:p>
    <w:p w:rsidR="005D3BB4" w:rsidRPr="00102AB2" w:rsidRDefault="00C71778" w:rsidP="00102AB2">
      <w:pPr>
        <w:spacing w:after="0" w:line="240" w:lineRule="auto"/>
        <w:jc w:val="both"/>
        <w:rPr>
          <w:rFonts w:ascii="Calibri" w:hAnsi="Calibri" w:cs="Calibri"/>
          <w:b/>
          <w:color w:val="000000"/>
          <w:sz w:val="24"/>
          <w:szCs w:val="24"/>
        </w:rPr>
      </w:pPr>
      <w:r w:rsidRPr="00102AB2">
        <w:rPr>
          <w:rFonts w:ascii="Calibri" w:hAnsi="Calibri" w:cs="Calibri"/>
          <w:b/>
          <w:color w:val="000000"/>
          <w:sz w:val="24"/>
          <w:szCs w:val="24"/>
        </w:rPr>
        <w:lastRenderedPageBreak/>
        <w:t xml:space="preserve">3.2 </w:t>
      </w:r>
      <w:r w:rsidR="007D48AB" w:rsidRPr="00102AB2">
        <w:rPr>
          <w:rFonts w:ascii="Calibri" w:hAnsi="Calibri" w:cs="Calibri"/>
          <w:b/>
          <w:color w:val="000000"/>
          <w:sz w:val="24"/>
          <w:szCs w:val="24"/>
        </w:rPr>
        <w:t>Prověření vybraných oblastí komentovaných</w:t>
      </w:r>
      <w:r w:rsidR="00FF07BB" w:rsidRPr="00102AB2">
        <w:rPr>
          <w:rFonts w:ascii="Calibri" w:hAnsi="Calibri" w:cs="Calibri"/>
          <w:b/>
          <w:color w:val="000000"/>
          <w:sz w:val="24"/>
          <w:szCs w:val="24"/>
        </w:rPr>
        <w:t xml:space="preserve"> </w:t>
      </w:r>
      <w:r w:rsidRPr="00102AB2">
        <w:rPr>
          <w:rFonts w:ascii="Calibri" w:hAnsi="Calibri" w:cs="Calibri"/>
          <w:b/>
          <w:color w:val="000000"/>
          <w:sz w:val="24"/>
          <w:szCs w:val="24"/>
        </w:rPr>
        <w:t>v</w:t>
      </w:r>
      <w:r w:rsidR="007405FC" w:rsidRPr="00102AB2">
        <w:rPr>
          <w:rFonts w:ascii="Calibri" w:hAnsi="Calibri" w:cs="Calibri"/>
          <w:b/>
          <w:color w:val="000000"/>
          <w:sz w:val="24"/>
          <w:szCs w:val="24"/>
        </w:rPr>
        <w:t xml:space="preserve"> </w:t>
      </w:r>
      <w:r w:rsidRPr="00102AB2">
        <w:rPr>
          <w:rFonts w:ascii="Calibri" w:hAnsi="Calibri" w:cs="Calibri"/>
          <w:b/>
          <w:color w:val="000000"/>
          <w:sz w:val="24"/>
          <w:szCs w:val="24"/>
        </w:rPr>
        <w:t xml:space="preserve">ZÚ </w:t>
      </w:r>
      <w:proofErr w:type="gramStart"/>
      <w:r w:rsidRPr="00102AB2">
        <w:rPr>
          <w:rFonts w:ascii="Calibri" w:hAnsi="Calibri" w:cs="Calibri"/>
          <w:b/>
          <w:color w:val="000000"/>
          <w:sz w:val="24"/>
          <w:szCs w:val="24"/>
        </w:rPr>
        <w:t>kapitoly</w:t>
      </w:r>
      <w:proofErr w:type="gramEnd"/>
      <w:r w:rsidRPr="00102AB2">
        <w:rPr>
          <w:rFonts w:ascii="Calibri" w:hAnsi="Calibri" w:cs="Calibri"/>
          <w:b/>
          <w:color w:val="000000"/>
          <w:sz w:val="24"/>
          <w:szCs w:val="24"/>
        </w:rPr>
        <w:t xml:space="preserve"> MŽP </w:t>
      </w:r>
      <w:r w:rsidR="00F92E74">
        <w:rPr>
          <w:rFonts w:ascii="Calibri" w:hAnsi="Calibri" w:cs="Calibri"/>
          <w:b/>
          <w:color w:val="000000"/>
          <w:sz w:val="24"/>
          <w:szCs w:val="24"/>
        </w:rPr>
        <w:t xml:space="preserve">za rok </w:t>
      </w:r>
      <w:r w:rsidRPr="00102AB2">
        <w:rPr>
          <w:rFonts w:ascii="Calibri" w:hAnsi="Calibri" w:cs="Calibri"/>
          <w:b/>
          <w:color w:val="000000"/>
          <w:sz w:val="24"/>
          <w:szCs w:val="24"/>
        </w:rPr>
        <w:t>2013</w:t>
      </w:r>
    </w:p>
    <w:p w:rsidR="007F494E" w:rsidRPr="007F494E" w:rsidRDefault="007F494E" w:rsidP="00102AB2">
      <w:pPr>
        <w:spacing w:after="0" w:line="240" w:lineRule="auto"/>
        <w:jc w:val="both"/>
        <w:rPr>
          <w:rFonts w:ascii="Calibri" w:hAnsi="Calibri" w:cs="Calibri"/>
          <w:color w:val="000000"/>
          <w:sz w:val="24"/>
          <w:szCs w:val="24"/>
        </w:rPr>
      </w:pPr>
    </w:p>
    <w:p w:rsidR="00C71778" w:rsidRPr="00102AB2" w:rsidRDefault="00C71778" w:rsidP="00102AB2">
      <w:pPr>
        <w:spacing w:after="0" w:line="240" w:lineRule="auto"/>
        <w:jc w:val="both"/>
        <w:rPr>
          <w:rFonts w:ascii="Calibri" w:hAnsi="Calibri" w:cs="Calibri"/>
          <w:b/>
          <w:i/>
          <w:color w:val="000000"/>
          <w:sz w:val="24"/>
          <w:szCs w:val="24"/>
        </w:rPr>
      </w:pPr>
      <w:r w:rsidRPr="00102AB2">
        <w:rPr>
          <w:rFonts w:ascii="Calibri" w:hAnsi="Calibri" w:cs="Calibri"/>
          <w:b/>
          <w:i/>
          <w:color w:val="000000"/>
          <w:sz w:val="24"/>
          <w:szCs w:val="24"/>
        </w:rPr>
        <w:t>Transfery</w:t>
      </w:r>
      <w:r w:rsidR="00265137" w:rsidRPr="00102AB2">
        <w:rPr>
          <w:rFonts w:ascii="Calibri" w:hAnsi="Calibri" w:cs="Calibri"/>
          <w:b/>
          <w:i/>
          <w:color w:val="000000"/>
          <w:sz w:val="24"/>
          <w:szCs w:val="24"/>
        </w:rPr>
        <w:t xml:space="preserve"> </w:t>
      </w:r>
    </w:p>
    <w:p w:rsidR="007F494E" w:rsidRDefault="007F494E" w:rsidP="00102AB2">
      <w:pPr>
        <w:spacing w:after="0" w:line="240" w:lineRule="auto"/>
        <w:jc w:val="both"/>
        <w:rPr>
          <w:rFonts w:ascii="Calibri" w:hAnsi="Calibri" w:cs="Calibri"/>
          <w:bCs/>
          <w:sz w:val="24"/>
          <w:szCs w:val="24"/>
        </w:rPr>
      </w:pPr>
    </w:p>
    <w:p w:rsidR="00C16B7A" w:rsidRDefault="006B50B9" w:rsidP="00102AB2">
      <w:pPr>
        <w:spacing w:after="0" w:line="240" w:lineRule="auto"/>
        <w:jc w:val="both"/>
        <w:rPr>
          <w:rFonts w:ascii="Calibri" w:hAnsi="Calibri" w:cs="Calibri"/>
          <w:bCs/>
          <w:sz w:val="24"/>
          <w:szCs w:val="24"/>
        </w:rPr>
      </w:pPr>
      <w:r w:rsidRPr="00102AB2">
        <w:rPr>
          <w:rFonts w:ascii="Calibri" w:hAnsi="Calibri" w:cs="Calibri"/>
          <w:bCs/>
          <w:sz w:val="24"/>
          <w:szCs w:val="24"/>
        </w:rPr>
        <w:t>MŽP v p</w:t>
      </w:r>
      <w:r w:rsidR="009C410F" w:rsidRPr="00102AB2">
        <w:rPr>
          <w:rFonts w:ascii="Calibri" w:hAnsi="Calibri" w:cs="Calibri"/>
          <w:bCs/>
          <w:sz w:val="24"/>
          <w:szCs w:val="24"/>
        </w:rPr>
        <w:t>růvodní zpráv</w:t>
      </w:r>
      <w:r w:rsidRPr="00102AB2">
        <w:rPr>
          <w:rFonts w:ascii="Calibri" w:hAnsi="Calibri" w:cs="Calibri"/>
          <w:bCs/>
          <w:sz w:val="24"/>
          <w:szCs w:val="24"/>
        </w:rPr>
        <w:t>ě</w:t>
      </w:r>
      <w:r w:rsidR="009C410F" w:rsidRPr="00102AB2">
        <w:rPr>
          <w:rFonts w:ascii="Calibri" w:hAnsi="Calibri" w:cs="Calibri"/>
          <w:bCs/>
          <w:sz w:val="24"/>
          <w:szCs w:val="24"/>
        </w:rPr>
        <w:t xml:space="preserve"> </w:t>
      </w:r>
      <w:r w:rsidR="00CE19A0" w:rsidRPr="00102AB2">
        <w:rPr>
          <w:rFonts w:ascii="Calibri" w:hAnsi="Calibri" w:cs="Calibri"/>
          <w:bCs/>
          <w:sz w:val="24"/>
          <w:szCs w:val="24"/>
        </w:rPr>
        <w:t>v</w:t>
      </w:r>
      <w:r w:rsidR="007405FC" w:rsidRPr="00102AB2">
        <w:rPr>
          <w:rFonts w:ascii="Calibri" w:hAnsi="Calibri" w:cs="Calibri"/>
          <w:bCs/>
          <w:sz w:val="24"/>
          <w:szCs w:val="24"/>
        </w:rPr>
        <w:t xml:space="preserve"> </w:t>
      </w:r>
      <w:r w:rsidR="00CE19A0" w:rsidRPr="00102AB2">
        <w:rPr>
          <w:rFonts w:ascii="Calibri" w:hAnsi="Calibri" w:cs="Calibri"/>
          <w:bCs/>
          <w:sz w:val="24"/>
          <w:szCs w:val="24"/>
        </w:rPr>
        <w:t>rámci hodnocení prostředků vynaložených na společné programy Evropské unie a České republiky nepodalo informaci o zhodnocení výdajů ve vztahu ke státnímu rozpočtu včetně</w:t>
      </w:r>
      <w:r w:rsidR="00AC44ED" w:rsidRPr="00102AB2">
        <w:rPr>
          <w:rFonts w:ascii="Calibri" w:hAnsi="Calibri" w:cs="Calibri"/>
          <w:bCs/>
          <w:sz w:val="24"/>
          <w:szCs w:val="24"/>
        </w:rPr>
        <w:t xml:space="preserve"> zdůvodnění nízkého plnění státního rozpočtu</w:t>
      </w:r>
      <w:r w:rsidR="00CE19A0" w:rsidRPr="00102AB2">
        <w:rPr>
          <w:rFonts w:ascii="Calibri" w:hAnsi="Calibri" w:cs="Calibri"/>
          <w:bCs/>
          <w:sz w:val="24"/>
          <w:szCs w:val="24"/>
        </w:rPr>
        <w:t>,</w:t>
      </w:r>
      <w:r w:rsidR="00AC44ED" w:rsidRPr="00102AB2">
        <w:rPr>
          <w:rFonts w:ascii="Calibri" w:hAnsi="Calibri" w:cs="Calibri"/>
          <w:bCs/>
          <w:sz w:val="24"/>
          <w:szCs w:val="24"/>
        </w:rPr>
        <w:t xml:space="preserve"> </w:t>
      </w:r>
      <w:r w:rsidR="008A3587" w:rsidRPr="00102AB2">
        <w:rPr>
          <w:rFonts w:ascii="Calibri" w:hAnsi="Calibri" w:cs="Calibri"/>
          <w:bCs/>
          <w:sz w:val="24"/>
          <w:szCs w:val="24"/>
        </w:rPr>
        <w:t xml:space="preserve">neuvedlo </w:t>
      </w:r>
      <w:r w:rsidR="00AC44ED" w:rsidRPr="00102AB2">
        <w:rPr>
          <w:rFonts w:ascii="Calibri" w:hAnsi="Calibri" w:cs="Calibri"/>
          <w:bCs/>
          <w:sz w:val="24"/>
          <w:szCs w:val="24"/>
        </w:rPr>
        <w:t xml:space="preserve">srovnání </w:t>
      </w:r>
      <w:r w:rsidR="00CE19A0" w:rsidRPr="00102AB2">
        <w:rPr>
          <w:rFonts w:ascii="Calibri" w:hAnsi="Calibri" w:cs="Calibri"/>
          <w:bCs/>
          <w:sz w:val="24"/>
          <w:szCs w:val="24"/>
        </w:rPr>
        <w:t xml:space="preserve">těchto </w:t>
      </w:r>
      <w:r w:rsidR="00AC44ED" w:rsidRPr="00102AB2">
        <w:rPr>
          <w:rFonts w:ascii="Calibri" w:hAnsi="Calibri" w:cs="Calibri"/>
          <w:bCs/>
          <w:sz w:val="24"/>
          <w:szCs w:val="24"/>
        </w:rPr>
        <w:t>výdajů hodnoceného roku s</w:t>
      </w:r>
      <w:r w:rsidR="007405FC" w:rsidRPr="00102AB2">
        <w:rPr>
          <w:rFonts w:ascii="Calibri" w:hAnsi="Calibri" w:cs="Calibri"/>
          <w:bCs/>
          <w:sz w:val="24"/>
          <w:szCs w:val="24"/>
        </w:rPr>
        <w:t xml:space="preserve"> </w:t>
      </w:r>
      <w:r w:rsidR="00AC44ED" w:rsidRPr="00102AB2">
        <w:rPr>
          <w:rFonts w:ascii="Calibri" w:hAnsi="Calibri" w:cs="Calibri"/>
          <w:bCs/>
          <w:sz w:val="24"/>
          <w:szCs w:val="24"/>
        </w:rPr>
        <w:t>čerpáním v</w:t>
      </w:r>
      <w:r w:rsidR="007405FC" w:rsidRPr="00102AB2">
        <w:rPr>
          <w:rFonts w:ascii="Calibri" w:hAnsi="Calibri" w:cs="Calibri"/>
          <w:bCs/>
          <w:sz w:val="24"/>
          <w:szCs w:val="24"/>
        </w:rPr>
        <w:t xml:space="preserve"> </w:t>
      </w:r>
      <w:r w:rsidR="00AC44ED" w:rsidRPr="00102AB2">
        <w:rPr>
          <w:rFonts w:ascii="Calibri" w:hAnsi="Calibri" w:cs="Calibri"/>
          <w:bCs/>
          <w:sz w:val="24"/>
          <w:szCs w:val="24"/>
        </w:rPr>
        <w:t xml:space="preserve">minulém roce </w:t>
      </w:r>
      <w:r w:rsidR="00CE19A0" w:rsidRPr="00102AB2">
        <w:rPr>
          <w:rFonts w:ascii="Calibri" w:hAnsi="Calibri" w:cs="Calibri"/>
          <w:bCs/>
          <w:sz w:val="24"/>
          <w:szCs w:val="24"/>
        </w:rPr>
        <w:t>ani informace o</w:t>
      </w:r>
      <w:r w:rsidR="00AC44ED" w:rsidRPr="00102AB2">
        <w:rPr>
          <w:rFonts w:ascii="Calibri" w:hAnsi="Calibri" w:cs="Calibri"/>
          <w:bCs/>
          <w:sz w:val="24"/>
          <w:szCs w:val="24"/>
        </w:rPr>
        <w:t xml:space="preserve"> hodnocení výdajů ke stavu implementace programu nebo projektu.</w:t>
      </w:r>
    </w:p>
    <w:p w:rsidR="007F494E" w:rsidRPr="00102AB2" w:rsidRDefault="007F494E" w:rsidP="00102AB2">
      <w:pPr>
        <w:spacing w:after="0" w:line="240" w:lineRule="auto"/>
        <w:jc w:val="both"/>
        <w:rPr>
          <w:rFonts w:ascii="Calibri" w:hAnsi="Calibri" w:cs="Calibri"/>
          <w:sz w:val="24"/>
          <w:szCs w:val="24"/>
        </w:rPr>
      </w:pPr>
    </w:p>
    <w:p w:rsidR="007F103C" w:rsidRPr="00102AB2" w:rsidRDefault="007F103C" w:rsidP="00102AB2">
      <w:pPr>
        <w:spacing w:after="0" w:line="240" w:lineRule="auto"/>
        <w:jc w:val="both"/>
        <w:rPr>
          <w:rFonts w:ascii="Calibri" w:hAnsi="Calibri" w:cs="Calibri"/>
          <w:b/>
          <w:i/>
          <w:color w:val="000000"/>
          <w:sz w:val="24"/>
          <w:szCs w:val="24"/>
        </w:rPr>
      </w:pPr>
      <w:r w:rsidRPr="00102AB2">
        <w:rPr>
          <w:rFonts w:ascii="Calibri" w:hAnsi="Calibri" w:cs="Calibri"/>
          <w:b/>
          <w:i/>
          <w:color w:val="000000"/>
          <w:sz w:val="24"/>
          <w:szCs w:val="24"/>
        </w:rPr>
        <w:t>Zálohy</w:t>
      </w:r>
      <w:r w:rsidR="00265137" w:rsidRPr="00102AB2">
        <w:rPr>
          <w:rFonts w:ascii="Calibri" w:hAnsi="Calibri" w:cs="Calibri"/>
          <w:b/>
          <w:i/>
          <w:color w:val="000000"/>
          <w:sz w:val="24"/>
          <w:szCs w:val="24"/>
        </w:rPr>
        <w:t xml:space="preserve"> </w:t>
      </w:r>
    </w:p>
    <w:p w:rsidR="007F494E" w:rsidRDefault="007F494E" w:rsidP="00102AB2">
      <w:pPr>
        <w:spacing w:after="0" w:line="240" w:lineRule="auto"/>
        <w:jc w:val="both"/>
        <w:rPr>
          <w:rFonts w:ascii="Calibri" w:hAnsi="Calibri" w:cs="Calibri"/>
          <w:sz w:val="24"/>
          <w:szCs w:val="24"/>
        </w:rPr>
      </w:pPr>
    </w:p>
    <w:p w:rsidR="00942F88" w:rsidRDefault="00942F88" w:rsidP="00102AB2">
      <w:pPr>
        <w:spacing w:after="0" w:line="240" w:lineRule="auto"/>
        <w:jc w:val="both"/>
        <w:rPr>
          <w:rFonts w:ascii="Calibri" w:hAnsi="Calibri" w:cs="Calibri"/>
          <w:sz w:val="24"/>
          <w:szCs w:val="24"/>
        </w:rPr>
      </w:pPr>
      <w:r w:rsidRPr="00102AB2">
        <w:rPr>
          <w:rFonts w:ascii="Calibri" w:hAnsi="Calibri" w:cs="Calibri"/>
          <w:sz w:val="24"/>
          <w:szCs w:val="24"/>
        </w:rPr>
        <w:t>MŽP v</w:t>
      </w:r>
      <w:r w:rsidR="007405FC" w:rsidRPr="00102AB2">
        <w:rPr>
          <w:rFonts w:ascii="Calibri" w:hAnsi="Calibri" w:cs="Calibri"/>
          <w:sz w:val="24"/>
          <w:szCs w:val="24"/>
        </w:rPr>
        <w:t xml:space="preserve"> </w:t>
      </w:r>
      <w:r w:rsidRPr="00102AB2">
        <w:rPr>
          <w:rFonts w:ascii="Calibri" w:hAnsi="Calibri" w:cs="Calibri"/>
          <w:sz w:val="24"/>
          <w:szCs w:val="24"/>
        </w:rPr>
        <w:t>souladu s</w:t>
      </w:r>
      <w:r w:rsidR="007405FC" w:rsidRPr="00102AB2">
        <w:rPr>
          <w:rFonts w:ascii="Calibri" w:hAnsi="Calibri" w:cs="Calibri"/>
          <w:sz w:val="24"/>
          <w:szCs w:val="24"/>
        </w:rPr>
        <w:t xml:space="preserve"> </w:t>
      </w:r>
      <w:r w:rsidRPr="00102AB2">
        <w:rPr>
          <w:rFonts w:ascii="Calibri" w:hAnsi="Calibri" w:cs="Calibri"/>
          <w:sz w:val="24"/>
          <w:szCs w:val="24"/>
        </w:rPr>
        <w:t xml:space="preserve">požadavky vyhlášky č. 419/2001 Sb. </w:t>
      </w:r>
      <w:r w:rsidR="00CE19A0" w:rsidRPr="00102AB2">
        <w:rPr>
          <w:rFonts w:ascii="Calibri" w:hAnsi="Calibri" w:cs="Calibri"/>
          <w:sz w:val="24"/>
          <w:szCs w:val="24"/>
        </w:rPr>
        <w:t xml:space="preserve">uvedlo </w:t>
      </w:r>
      <w:r w:rsidRPr="00102AB2">
        <w:rPr>
          <w:rFonts w:ascii="Calibri" w:hAnsi="Calibri" w:cs="Calibri"/>
          <w:sz w:val="24"/>
          <w:szCs w:val="24"/>
        </w:rPr>
        <w:t>v</w:t>
      </w:r>
      <w:r w:rsidR="007405FC" w:rsidRPr="00102AB2">
        <w:rPr>
          <w:rFonts w:ascii="Calibri" w:hAnsi="Calibri" w:cs="Calibri"/>
          <w:sz w:val="24"/>
          <w:szCs w:val="24"/>
        </w:rPr>
        <w:t xml:space="preserve"> </w:t>
      </w:r>
      <w:r w:rsidRPr="00102AB2">
        <w:rPr>
          <w:rFonts w:ascii="Calibri" w:hAnsi="Calibri" w:cs="Calibri"/>
          <w:sz w:val="24"/>
          <w:szCs w:val="24"/>
        </w:rPr>
        <w:t>průvodní zprávě informace o</w:t>
      </w:r>
      <w:r w:rsidR="00D27C61" w:rsidRPr="00102AB2">
        <w:rPr>
          <w:rFonts w:ascii="Calibri" w:hAnsi="Calibri" w:cs="Calibri"/>
          <w:sz w:val="24"/>
          <w:szCs w:val="24"/>
        </w:rPr>
        <w:t> </w:t>
      </w:r>
      <w:r w:rsidRPr="00102AB2">
        <w:rPr>
          <w:rFonts w:ascii="Calibri" w:hAnsi="Calibri" w:cs="Calibri"/>
          <w:sz w:val="24"/>
          <w:szCs w:val="24"/>
        </w:rPr>
        <w:t>zálohových platbách v</w:t>
      </w:r>
      <w:r w:rsidR="007405FC" w:rsidRPr="00102AB2">
        <w:rPr>
          <w:rFonts w:ascii="Calibri" w:hAnsi="Calibri" w:cs="Calibri"/>
          <w:sz w:val="24"/>
          <w:szCs w:val="24"/>
        </w:rPr>
        <w:t xml:space="preserve"> </w:t>
      </w:r>
      <w:r w:rsidRPr="00102AB2">
        <w:rPr>
          <w:rFonts w:ascii="Calibri" w:hAnsi="Calibri" w:cs="Calibri"/>
          <w:sz w:val="24"/>
          <w:szCs w:val="24"/>
        </w:rPr>
        <w:t xml:space="preserve">členění za OSS a </w:t>
      </w:r>
      <w:r w:rsidR="008E52E4">
        <w:rPr>
          <w:rFonts w:ascii="Calibri" w:hAnsi="Calibri" w:cs="Calibri"/>
          <w:sz w:val="24"/>
          <w:szCs w:val="24"/>
        </w:rPr>
        <w:t>příspěvkové organizace</w:t>
      </w:r>
      <w:r w:rsidR="00CE19A0" w:rsidRPr="00102AB2">
        <w:rPr>
          <w:rFonts w:ascii="Calibri" w:hAnsi="Calibri" w:cs="Calibri"/>
          <w:sz w:val="24"/>
          <w:szCs w:val="24"/>
        </w:rPr>
        <w:t>. Kontrolou</w:t>
      </w:r>
      <w:r w:rsidR="000C4C33" w:rsidRPr="00102AB2">
        <w:rPr>
          <w:rFonts w:ascii="Calibri" w:hAnsi="Calibri" w:cs="Calibri"/>
          <w:sz w:val="24"/>
          <w:szCs w:val="24"/>
        </w:rPr>
        <w:t xml:space="preserve"> bylo zjištěno, </w:t>
      </w:r>
      <w:r w:rsidR="00B7430E" w:rsidRPr="00102AB2">
        <w:rPr>
          <w:rFonts w:ascii="Calibri" w:hAnsi="Calibri" w:cs="Calibri"/>
          <w:sz w:val="24"/>
          <w:szCs w:val="24"/>
        </w:rPr>
        <w:t xml:space="preserve">že </w:t>
      </w:r>
      <w:r w:rsidR="00CE19A0" w:rsidRPr="00102AB2">
        <w:rPr>
          <w:rFonts w:ascii="Calibri" w:hAnsi="Calibri" w:cs="Calibri"/>
          <w:sz w:val="24"/>
          <w:szCs w:val="24"/>
        </w:rPr>
        <w:t xml:space="preserve">v sumáři výkazů rozvaha za OSS byla na </w:t>
      </w:r>
      <w:proofErr w:type="gramStart"/>
      <w:r w:rsidRPr="00102AB2">
        <w:rPr>
          <w:rFonts w:ascii="Calibri" w:hAnsi="Calibri" w:cs="Calibri"/>
          <w:sz w:val="24"/>
          <w:szCs w:val="24"/>
        </w:rPr>
        <w:t xml:space="preserve">položce </w:t>
      </w:r>
      <w:r w:rsidRPr="00102AB2">
        <w:rPr>
          <w:rFonts w:ascii="Calibri" w:hAnsi="Calibri" w:cs="Calibri"/>
          <w:i/>
          <w:sz w:val="24"/>
          <w:szCs w:val="24"/>
        </w:rPr>
        <w:t>B.II</w:t>
      </w:r>
      <w:proofErr w:type="gramEnd"/>
      <w:r w:rsidRPr="00102AB2">
        <w:rPr>
          <w:rFonts w:ascii="Calibri" w:hAnsi="Calibri" w:cs="Calibri"/>
          <w:i/>
          <w:sz w:val="24"/>
          <w:szCs w:val="24"/>
        </w:rPr>
        <w:t>.4 Krátkodobé poskytnuté zálohy</w:t>
      </w:r>
      <w:r w:rsidRPr="00102AB2">
        <w:rPr>
          <w:rFonts w:ascii="Calibri" w:hAnsi="Calibri" w:cs="Calibri"/>
          <w:sz w:val="24"/>
          <w:szCs w:val="24"/>
        </w:rPr>
        <w:t xml:space="preserve"> (účet </w:t>
      </w:r>
      <w:r w:rsidRPr="00B02A1B">
        <w:rPr>
          <w:rFonts w:ascii="Calibri" w:hAnsi="Calibri" w:cs="Calibri"/>
          <w:sz w:val="24"/>
          <w:szCs w:val="24"/>
        </w:rPr>
        <w:t>314</w:t>
      </w:r>
      <w:r w:rsidR="00A374D2" w:rsidRPr="00102AB2">
        <w:rPr>
          <w:rFonts w:ascii="Calibri" w:hAnsi="Calibri" w:cs="Calibri"/>
          <w:i/>
          <w:sz w:val="24"/>
          <w:szCs w:val="24"/>
        </w:rPr>
        <w:t xml:space="preserve"> – </w:t>
      </w:r>
      <w:r w:rsidR="00CE19A0" w:rsidRPr="00102AB2">
        <w:rPr>
          <w:rFonts w:ascii="Calibri" w:hAnsi="Calibri" w:cs="Calibri"/>
          <w:i/>
          <w:sz w:val="24"/>
          <w:szCs w:val="24"/>
        </w:rPr>
        <w:t>Krátkodobé poskytnuté zálohy</w:t>
      </w:r>
      <w:r w:rsidRPr="00102AB2">
        <w:rPr>
          <w:rFonts w:ascii="Calibri" w:hAnsi="Calibri" w:cs="Calibri"/>
          <w:sz w:val="24"/>
          <w:szCs w:val="24"/>
        </w:rPr>
        <w:t>)</w:t>
      </w:r>
      <w:r w:rsidR="00CE19A0" w:rsidRPr="00102AB2">
        <w:rPr>
          <w:rFonts w:ascii="Calibri" w:hAnsi="Calibri" w:cs="Calibri"/>
          <w:sz w:val="24"/>
          <w:szCs w:val="24"/>
        </w:rPr>
        <w:t xml:space="preserve"> vykázána částka o 3</w:t>
      </w:r>
      <w:r w:rsidR="007405FC" w:rsidRPr="00102AB2">
        <w:rPr>
          <w:rFonts w:ascii="Calibri" w:hAnsi="Calibri" w:cs="Calibri"/>
          <w:sz w:val="24"/>
          <w:szCs w:val="24"/>
        </w:rPr>
        <w:t xml:space="preserve"> </w:t>
      </w:r>
      <w:r w:rsidR="00CE19A0" w:rsidRPr="00102AB2">
        <w:rPr>
          <w:rFonts w:ascii="Calibri" w:hAnsi="Calibri" w:cs="Calibri"/>
          <w:sz w:val="24"/>
          <w:szCs w:val="24"/>
        </w:rPr>
        <w:t xml:space="preserve">978, 39 tis. Kč vyšší než </w:t>
      </w:r>
      <w:r w:rsidRPr="00102AB2">
        <w:rPr>
          <w:rFonts w:ascii="Calibri" w:hAnsi="Calibri" w:cs="Calibri"/>
          <w:sz w:val="24"/>
          <w:szCs w:val="24"/>
        </w:rPr>
        <w:t>v</w:t>
      </w:r>
      <w:r w:rsidR="007405FC" w:rsidRPr="00102AB2">
        <w:rPr>
          <w:rFonts w:ascii="Calibri" w:hAnsi="Calibri" w:cs="Calibri"/>
          <w:sz w:val="24"/>
          <w:szCs w:val="24"/>
        </w:rPr>
        <w:t xml:space="preserve"> </w:t>
      </w:r>
      <w:r w:rsidRPr="00102AB2">
        <w:rPr>
          <w:rFonts w:ascii="Calibri" w:hAnsi="Calibri" w:cs="Calibri"/>
          <w:sz w:val="24"/>
          <w:szCs w:val="24"/>
        </w:rPr>
        <w:t xml:space="preserve">průvodní zprávě. </w:t>
      </w:r>
    </w:p>
    <w:p w:rsidR="007F494E" w:rsidRPr="007F494E" w:rsidRDefault="007F494E" w:rsidP="00102AB2">
      <w:pPr>
        <w:spacing w:after="0" w:line="240" w:lineRule="auto"/>
        <w:jc w:val="both"/>
        <w:rPr>
          <w:rFonts w:ascii="Calibri" w:hAnsi="Calibri" w:cs="Calibri"/>
          <w:b/>
          <w:color w:val="000000"/>
          <w:sz w:val="24"/>
          <w:szCs w:val="24"/>
        </w:rPr>
      </w:pPr>
    </w:p>
    <w:p w:rsidR="0047336D" w:rsidRPr="00102AB2" w:rsidRDefault="0047336D" w:rsidP="00102AB2">
      <w:pPr>
        <w:spacing w:after="0" w:line="240" w:lineRule="auto"/>
        <w:jc w:val="both"/>
        <w:rPr>
          <w:rFonts w:ascii="Calibri" w:hAnsi="Calibri" w:cs="Calibri"/>
          <w:b/>
          <w:i/>
          <w:color w:val="000000"/>
          <w:sz w:val="24"/>
          <w:szCs w:val="24"/>
        </w:rPr>
      </w:pPr>
      <w:r w:rsidRPr="00102AB2">
        <w:rPr>
          <w:rFonts w:ascii="Calibri" w:hAnsi="Calibri" w:cs="Calibri"/>
          <w:b/>
          <w:i/>
          <w:color w:val="000000"/>
          <w:sz w:val="24"/>
          <w:szCs w:val="24"/>
        </w:rPr>
        <w:t>Bezúplatné převody</w:t>
      </w:r>
      <w:r w:rsidR="00265137" w:rsidRPr="00102AB2">
        <w:rPr>
          <w:rFonts w:ascii="Calibri" w:hAnsi="Calibri" w:cs="Calibri"/>
          <w:b/>
          <w:i/>
          <w:color w:val="000000"/>
          <w:sz w:val="24"/>
          <w:szCs w:val="24"/>
        </w:rPr>
        <w:t xml:space="preserve"> </w:t>
      </w:r>
    </w:p>
    <w:p w:rsidR="007F494E" w:rsidRDefault="007F494E" w:rsidP="00102AB2">
      <w:pPr>
        <w:spacing w:after="0" w:line="240" w:lineRule="auto"/>
        <w:jc w:val="both"/>
        <w:rPr>
          <w:rFonts w:ascii="Calibri" w:hAnsi="Calibri" w:cs="Calibri"/>
          <w:sz w:val="24"/>
          <w:szCs w:val="24"/>
        </w:rPr>
      </w:pPr>
    </w:p>
    <w:p w:rsidR="00FF07BB" w:rsidRPr="00102AB2" w:rsidRDefault="00FE3384"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MŽP při sestavení ZÚ </w:t>
      </w:r>
      <w:r w:rsidR="004152D2" w:rsidRPr="00102AB2">
        <w:rPr>
          <w:rFonts w:ascii="Calibri" w:hAnsi="Calibri" w:cs="Calibri"/>
          <w:sz w:val="24"/>
          <w:szCs w:val="24"/>
        </w:rPr>
        <w:t xml:space="preserve">za rok </w:t>
      </w:r>
      <w:r w:rsidRPr="00102AB2">
        <w:rPr>
          <w:rFonts w:ascii="Calibri" w:hAnsi="Calibri" w:cs="Calibri"/>
          <w:sz w:val="24"/>
          <w:szCs w:val="24"/>
        </w:rPr>
        <w:t>2013 nepostupovalo dle vyhlášky č.</w:t>
      </w:r>
      <w:r w:rsidR="00D27C61" w:rsidRPr="00102AB2">
        <w:rPr>
          <w:rFonts w:ascii="Calibri" w:hAnsi="Calibri" w:cs="Calibri"/>
          <w:sz w:val="24"/>
          <w:szCs w:val="24"/>
        </w:rPr>
        <w:t> </w:t>
      </w:r>
      <w:r w:rsidRPr="00102AB2">
        <w:rPr>
          <w:rFonts w:ascii="Calibri" w:hAnsi="Calibri" w:cs="Calibri"/>
          <w:sz w:val="24"/>
          <w:szCs w:val="24"/>
        </w:rPr>
        <w:t>419/2001</w:t>
      </w:r>
      <w:r w:rsidR="00D27C61" w:rsidRPr="00102AB2">
        <w:rPr>
          <w:rFonts w:ascii="Calibri" w:hAnsi="Calibri" w:cs="Calibri"/>
          <w:sz w:val="24"/>
          <w:szCs w:val="24"/>
        </w:rPr>
        <w:t> </w:t>
      </w:r>
      <w:r w:rsidRPr="00102AB2">
        <w:rPr>
          <w:rFonts w:ascii="Calibri" w:hAnsi="Calibri" w:cs="Calibri"/>
          <w:sz w:val="24"/>
          <w:szCs w:val="24"/>
        </w:rPr>
        <w:t xml:space="preserve">Sb., </w:t>
      </w:r>
      <w:r w:rsidR="00D25176" w:rsidRPr="00102AB2">
        <w:rPr>
          <w:rFonts w:ascii="Calibri" w:hAnsi="Calibri" w:cs="Calibri"/>
          <w:sz w:val="24"/>
          <w:szCs w:val="24"/>
        </w:rPr>
        <w:t>neboť</w:t>
      </w:r>
      <w:r w:rsidRPr="00102AB2">
        <w:rPr>
          <w:rFonts w:ascii="Calibri" w:hAnsi="Calibri" w:cs="Calibri"/>
          <w:sz w:val="24"/>
          <w:szCs w:val="24"/>
        </w:rPr>
        <w:t xml:space="preserve"> v</w:t>
      </w:r>
      <w:r w:rsidR="00C84323">
        <w:rPr>
          <w:rFonts w:ascii="Calibri" w:hAnsi="Calibri" w:cs="Calibri"/>
          <w:sz w:val="24"/>
          <w:szCs w:val="24"/>
        </w:rPr>
        <w:t> </w:t>
      </w:r>
      <w:r w:rsidRPr="00102AB2">
        <w:rPr>
          <w:rFonts w:ascii="Calibri" w:hAnsi="Calibri" w:cs="Calibri"/>
          <w:sz w:val="24"/>
          <w:szCs w:val="24"/>
        </w:rPr>
        <w:t>průvodní zprávě</w:t>
      </w:r>
      <w:r w:rsidR="00942F88" w:rsidRPr="00102AB2">
        <w:rPr>
          <w:rFonts w:ascii="Calibri" w:hAnsi="Calibri" w:cs="Calibri"/>
          <w:sz w:val="24"/>
          <w:szCs w:val="24"/>
        </w:rPr>
        <w:t xml:space="preserve"> neinformovalo </w:t>
      </w:r>
      <w:r w:rsidRPr="00102AB2">
        <w:rPr>
          <w:rFonts w:ascii="Calibri" w:hAnsi="Calibri" w:cs="Calibri"/>
          <w:sz w:val="24"/>
          <w:szCs w:val="24"/>
        </w:rPr>
        <w:t>o bezúplatných převodech majetku</w:t>
      </w:r>
      <w:r w:rsidR="005E4AE8" w:rsidRPr="00102AB2">
        <w:rPr>
          <w:rFonts w:ascii="Calibri" w:hAnsi="Calibri" w:cs="Calibri"/>
          <w:sz w:val="24"/>
          <w:szCs w:val="24"/>
        </w:rPr>
        <w:t xml:space="preserve"> </w:t>
      </w:r>
      <w:r w:rsidR="00CE19A0" w:rsidRPr="00102AB2">
        <w:rPr>
          <w:rFonts w:ascii="Calibri" w:hAnsi="Calibri" w:cs="Calibri"/>
          <w:sz w:val="24"/>
          <w:szCs w:val="24"/>
        </w:rPr>
        <w:t xml:space="preserve">v celkové výši </w:t>
      </w:r>
      <w:r w:rsidR="00C84323">
        <w:rPr>
          <w:rFonts w:ascii="Calibri" w:hAnsi="Calibri" w:cs="Calibri"/>
          <w:sz w:val="24"/>
          <w:szCs w:val="24"/>
        </w:rPr>
        <w:br/>
      </w:r>
      <w:r w:rsidR="003F1D4A" w:rsidRPr="00102AB2">
        <w:rPr>
          <w:rFonts w:ascii="Calibri" w:hAnsi="Calibri" w:cs="Calibri"/>
          <w:sz w:val="24"/>
          <w:szCs w:val="24"/>
        </w:rPr>
        <w:t>2</w:t>
      </w:r>
      <w:r w:rsidR="007405FC" w:rsidRPr="00102AB2">
        <w:rPr>
          <w:rFonts w:ascii="Calibri" w:hAnsi="Calibri" w:cs="Calibri"/>
          <w:sz w:val="24"/>
          <w:szCs w:val="24"/>
        </w:rPr>
        <w:t xml:space="preserve"> </w:t>
      </w:r>
      <w:r w:rsidR="003F1D4A" w:rsidRPr="00102AB2">
        <w:rPr>
          <w:rFonts w:ascii="Calibri" w:hAnsi="Calibri" w:cs="Calibri"/>
          <w:sz w:val="24"/>
          <w:szCs w:val="24"/>
        </w:rPr>
        <w:t>115</w:t>
      </w:r>
      <w:r w:rsidR="007405FC" w:rsidRPr="00102AB2">
        <w:rPr>
          <w:rFonts w:ascii="Calibri" w:hAnsi="Calibri" w:cs="Calibri"/>
          <w:sz w:val="24"/>
          <w:szCs w:val="24"/>
        </w:rPr>
        <w:t xml:space="preserve"> </w:t>
      </w:r>
      <w:r w:rsidR="003F1D4A" w:rsidRPr="00102AB2">
        <w:rPr>
          <w:rFonts w:ascii="Calibri" w:hAnsi="Calibri" w:cs="Calibri"/>
          <w:sz w:val="24"/>
          <w:szCs w:val="24"/>
        </w:rPr>
        <w:t>294,50 Kč (dle pořizovacích cen vedených v</w:t>
      </w:r>
      <w:r w:rsidR="007405FC" w:rsidRPr="00102AB2">
        <w:rPr>
          <w:rFonts w:ascii="Calibri" w:hAnsi="Calibri" w:cs="Calibri"/>
          <w:sz w:val="24"/>
          <w:szCs w:val="24"/>
        </w:rPr>
        <w:t xml:space="preserve"> </w:t>
      </w:r>
      <w:r w:rsidR="003F1D4A" w:rsidRPr="00102AB2">
        <w:rPr>
          <w:rFonts w:ascii="Calibri" w:hAnsi="Calibri" w:cs="Calibri"/>
          <w:sz w:val="24"/>
          <w:szCs w:val="24"/>
        </w:rPr>
        <w:t>účetnictví)</w:t>
      </w:r>
      <w:r w:rsidR="00CE19A0" w:rsidRPr="00102AB2">
        <w:rPr>
          <w:rFonts w:ascii="Calibri" w:hAnsi="Calibri" w:cs="Calibri"/>
          <w:sz w:val="24"/>
          <w:szCs w:val="24"/>
        </w:rPr>
        <w:t xml:space="preserve">, které byly </w:t>
      </w:r>
      <w:r w:rsidR="005E4AE8" w:rsidRPr="00102AB2">
        <w:rPr>
          <w:rFonts w:ascii="Calibri" w:hAnsi="Calibri" w:cs="Calibri"/>
          <w:sz w:val="24"/>
          <w:szCs w:val="24"/>
        </w:rPr>
        <w:t>uskutečněn</w:t>
      </w:r>
      <w:r w:rsidR="003F1D4A" w:rsidRPr="00102AB2">
        <w:rPr>
          <w:rFonts w:ascii="Calibri" w:hAnsi="Calibri" w:cs="Calibri"/>
          <w:sz w:val="24"/>
          <w:szCs w:val="24"/>
        </w:rPr>
        <w:t>y</w:t>
      </w:r>
      <w:r w:rsidR="005E4AE8" w:rsidRPr="00102AB2">
        <w:rPr>
          <w:rFonts w:ascii="Calibri" w:hAnsi="Calibri" w:cs="Calibri"/>
          <w:sz w:val="24"/>
          <w:szCs w:val="24"/>
        </w:rPr>
        <w:t xml:space="preserve"> v</w:t>
      </w:r>
      <w:r w:rsidR="007405FC" w:rsidRPr="00102AB2">
        <w:rPr>
          <w:rFonts w:ascii="Calibri" w:hAnsi="Calibri" w:cs="Calibri"/>
          <w:sz w:val="24"/>
          <w:szCs w:val="24"/>
        </w:rPr>
        <w:t xml:space="preserve"> </w:t>
      </w:r>
      <w:r w:rsidR="005E4AE8" w:rsidRPr="00102AB2">
        <w:rPr>
          <w:rFonts w:ascii="Calibri" w:hAnsi="Calibri" w:cs="Calibri"/>
          <w:sz w:val="24"/>
          <w:szCs w:val="24"/>
        </w:rPr>
        <w:t>roce 2013</w:t>
      </w:r>
      <w:r w:rsidR="00CE19A0" w:rsidRPr="00102AB2">
        <w:rPr>
          <w:rFonts w:ascii="Calibri" w:hAnsi="Calibri" w:cs="Calibri"/>
          <w:sz w:val="24"/>
          <w:szCs w:val="24"/>
        </w:rPr>
        <w:t xml:space="preserve"> ve prospěch</w:t>
      </w:r>
      <w:r w:rsidR="00FF07BB" w:rsidRPr="00102AB2">
        <w:rPr>
          <w:rFonts w:ascii="Calibri" w:hAnsi="Calibri" w:cs="Calibri"/>
          <w:sz w:val="24"/>
          <w:szCs w:val="24"/>
        </w:rPr>
        <w:t xml:space="preserve"> </w:t>
      </w:r>
      <w:r w:rsidR="003F1D4A" w:rsidRPr="00102AB2">
        <w:rPr>
          <w:rFonts w:ascii="Calibri" w:hAnsi="Calibri" w:cs="Calibri"/>
          <w:sz w:val="24"/>
          <w:szCs w:val="24"/>
        </w:rPr>
        <w:t>územního samosprávného celku a státního fondu.</w:t>
      </w:r>
      <w:r w:rsidRPr="00102AB2">
        <w:rPr>
          <w:rFonts w:ascii="Calibri" w:hAnsi="Calibri" w:cs="Calibri"/>
          <w:sz w:val="24"/>
          <w:szCs w:val="24"/>
        </w:rPr>
        <w:t xml:space="preserve"> </w:t>
      </w:r>
    </w:p>
    <w:p w:rsidR="00F54ED4" w:rsidRPr="00102AB2" w:rsidRDefault="00F54ED4" w:rsidP="00102AB2">
      <w:pPr>
        <w:spacing w:after="0" w:line="240" w:lineRule="auto"/>
        <w:jc w:val="both"/>
        <w:rPr>
          <w:rFonts w:ascii="Calibri" w:hAnsi="Calibri" w:cs="Calibri"/>
          <w:sz w:val="24"/>
          <w:szCs w:val="24"/>
        </w:rPr>
      </w:pPr>
    </w:p>
    <w:p w:rsidR="00517039" w:rsidRPr="00102AB2" w:rsidRDefault="00517039" w:rsidP="00102AB2">
      <w:pPr>
        <w:spacing w:after="0" w:line="240" w:lineRule="auto"/>
        <w:jc w:val="both"/>
        <w:rPr>
          <w:rFonts w:ascii="Calibri" w:hAnsi="Calibri" w:cs="Calibri"/>
          <w:b/>
          <w:sz w:val="24"/>
          <w:szCs w:val="24"/>
        </w:rPr>
      </w:pPr>
      <w:r w:rsidRPr="00102AB2">
        <w:rPr>
          <w:rFonts w:ascii="Calibri" w:hAnsi="Calibri" w:cs="Calibri"/>
          <w:b/>
          <w:sz w:val="24"/>
          <w:szCs w:val="24"/>
        </w:rPr>
        <w:t xml:space="preserve">4. </w:t>
      </w:r>
      <w:r w:rsidR="000625BB" w:rsidRPr="00102AB2">
        <w:rPr>
          <w:rFonts w:ascii="Calibri" w:hAnsi="Calibri" w:cs="Calibri"/>
          <w:b/>
          <w:sz w:val="24"/>
          <w:szCs w:val="24"/>
        </w:rPr>
        <w:t xml:space="preserve">Hospodaření mimo rozpočet </w:t>
      </w:r>
    </w:p>
    <w:p w:rsidR="00F54ED4" w:rsidRPr="00102AB2" w:rsidRDefault="00F54ED4" w:rsidP="00102AB2">
      <w:pPr>
        <w:spacing w:after="0" w:line="240" w:lineRule="auto"/>
        <w:jc w:val="both"/>
        <w:rPr>
          <w:rFonts w:ascii="Calibri" w:hAnsi="Calibri" w:cs="Calibri"/>
          <w:b/>
          <w:sz w:val="24"/>
          <w:szCs w:val="24"/>
        </w:rPr>
      </w:pPr>
    </w:p>
    <w:p w:rsidR="00517039" w:rsidRPr="00102AB2" w:rsidRDefault="001F41BF" w:rsidP="00102AB2">
      <w:pPr>
        <w:spacing w:after="0" w:line="240" w:lineRule="auto"/>
        <w:jc w:val="both"/>
        <w:rPr>
          <w:rFonts w:ascii="Calibri" w:hAnsi="Calibri" w:cs="Calibri"/>
          <w:b/>
          <w:i/>
          <w:sz w:val="24"/>
          <w:szCs w:val="24"/>
        </w:rPr>
      </w:pPr>
      <w:r w:rsidRPr="00102AB2">
        <w:rPr>
          <w:rFonts w:ascii="Calibri" w:hAnsi="Calibri" w:cs="Calibri"/>
          <w:b/>
          <w:i/>
          <w:sz w:val="24"/>
          <w:szCs w:val="24"/>
        </w:rPr>
        <w:t>Prostředky revolvingového fondu</w:t>
      </w:r>
      <w:r w:rsidR="004F5704" w:rsidRPr="00102AB2">
        <w:rPr>
          <w:rFonts w:ascii="Calibri" w:hAnsi="Calibri" w:cs="Calibri"/>
          <w:b/>
          <w:i/>
          <w:sz w:val="24"/>
          <w:szCs w:val="24"/>
        </w:rPr>
        <w:t xml:space="preserve"> MŽP</w:t>
      </w:r>
      <w:r w:rsidR="00384F73" w:rsidRPr="00102AB2">
        <w:rPr>
          <w:rFonts w:ascii="Calibri" w:hAnsi="Calibri" w:cs="Calibri"/>
          <w:b/>
          <w:i/>
          <w:sz w:val="24"/>
          <w:szCs w:val="24"/>
        </w:rPr>
        <w:t xml:space="preserve"> </w:t>
      </w:r>
    </w:p>
    <w:p w:rsidR="007F494E" w:rsidRDefault="007F494E" w:rsidP="00102AB2">
      <w:pPr>
        <w:spacing w:after="0" w:line="240" w:lineRule="auto"/>
        <w:jc w:val="both"/>
        <w:rPr>
          <w:rFonts w:ascii="Calibri" w:hAnsi="Calibri" w:cs="Calibri"/>
          <w:sz w:val="24"/>
          <w:szCs w:val="24"/>
        </w:rPr>
      </w:pPr>
    </w:p>
    <w:p w:rsidR="008A3587" w:rsidRDefault="008D61DA"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Dne 12. </w:t>
      </w:r>
      <w:r w:rsidR="00F2097A" w:rsidRPr="00102AB2">
        <w:rPr>
          <w:rFonts w:ascii="Calibri" w:hAnsi="Calibri" w:cs="Calibri"/>
          <w:sz w:val="24"/>
          <w:szCs w:val="24"/>
        </w:rPr>
        <w:t>března</w:t>
      </w:r>
      <w:r w:rsidRPr="00102AB2">
        <w:rPr>
          <w:rFonts w:ascii="Calibri" w:hAnsi="Calibri" w:cs="Calibri"/>
          <w:sz w:val="24"/>
          <w:szCs w:val="24"/>
        </w:rPr>
        <w:t xml:space="preserve"> 2007</w:t>
      </w:r>
      <w:r w:rsidR="00430BCE" w:rsidRPr="00102AB2">
        <w:rPr>
          <w:rFonts w:ascii="Calibri" w:hAnsi="Calibri" w:cs="Calibri"/>
          <w:sz w:val="24"/>
          <w:szCs w:val="24"/>
        </w:rPr>
        <w:t xml:space="preserve"> byl podepsán dodatek č. 2</w:t>
      </w:r>
      <w:r w:rsidR="00E2324A" w:rsidRPr="00102AB2">
        <w:rPr>
          <w:rFonts w:ascii="Calibri" w:hAnsi="Calibri" w:cs="Calibri"/>
          <w:sz w:val="24"/>
          <w:szCs w:val="24"/>
        </w:rPr>
        <w:t xml:space="preserve"> k </w:t>
      </w:r>
      <w:r w:rsidR="00E2324A" w:rsidRPr="00B02A1B">
        <w:rPr>
          <w:rFonts w:ascii="Calibri" w:hAnsi="Calibri" w:cs="Calibri"/>
          <w:i/>
          <w:sz w:val="24"/>
          <w:szCs w:val="24"/>
        </w:rPr>
        <w:t>Memorandu o</w:t>
      </w:r>
      <w:r w:rsidR="007405FC" w:rsidRPr="00B02A1B">
        <w:rPr>
          <w:rFonts w:ascii="Calibri" w:hAnsi="Calibri" w:cs="Calibri"/>
          <w:i/>
          <w:sz w:val="24"/>
          <w:szCs w:val="24"/>
        </w:rPr>
        <w:t xml:space="preserve"> </w:t>
      </w:r>
      <w:r w:rsidR="00E2324A" w:rsidRPr="00B02A1B">
        <w:rPr>
          <w:rFonts w:ascii="Calibri" w:hAnsi="Calibri" w:cs="Calibri"/>
          <w:i/>
          <w:sz w:val="24"/>
          <w:szCs w:val="24"/>
        </w:rPr>
        <w:t xml:space="preserve">porozumění mezi Evropskou komisí a Ministerstvem životního prostředí ze dne 13. </w:t>
      </w:r>
      <w:r w:rsidR="00430BCE" w:rsidRPr="00B02A1B">
        <w:rPr>
          <w:rFonts w:ascii="Calibri" w:hAnsi="Calibri" w:cs="Calibri"/>
          <w:i/>
          <w:sz w:val="24"/>
          <w:szCs w:val="24"/>
        </w:rPr>
        <w:t>července</w:t>
      </w:r>
      <w:r w:rsidR="00E2324A" w:rsidRPr="00B02A1B">
        <w:rPr>
          <w:rFonts w:ascii="Calibri" w:hAnsi="Calibri" w:cs="Calibri"/>
          <w:i/>
          <w:sz w:val="24"/>
          <w:szCs w:val="24"/>
        </w:rPr>
        <w:t xml:space="preserve"> 2001</w:t>
      </w:r>
      <w:r w:rsidR="00E2324A" w:rsidRPr="00102AB2">
        <w:rPr>
          <w:rFonts w:ascii="Calibri" w:hAnsi="Calibri" w:cs="Calibri"/>
          <w:sz w:val="24"/>
          <w:szCs w:val="24"/>
        </w:rPr>
        <w:t>, ve znění jeho dodatku č. 1</w:t>
      </w:r>
      <w:r w:rsidR="00200482" w:rsidRPr="00102AB2">
        <w:rPr>
          <w:rFonts w:ascii="Calibri" w:hAnsi="Calibri" w:cs="Calibri"/>
          <w:sz w:val="24"/>
          <w:szCs w:val="24"/>
        </w:rPr>
        <w:t xml:space="preserve"> </w:t>
      </w:r>
      <w:r w:rsidR="00E2324A" w:rsidRPr="00102AB2">
        <w:rPr>
          <w:rFonts w:ascii="Calibri" w:hAnsi="Calibri" w:cs="Calibri"/>
          <w:sz w:val="24"/>
          <w:szCs w:val="24"/>
        </w:rPr>
        <w:t xml:space="preserve">ze dne 3. </w:t>
      </w:r>
      <w:r w:rsidR="00430BCE" w:rsidRPr="00102AB2">
        <w:rPr>
          <w:rFonts w:ascii="Calibri" w:hAnsi="Calibri" w:cs="Calibri"/>
          <w:sz w:val="24"/>
          <w:szCs w:val="24"/>
        </w:rPr>
        <w:t>února</w:t>
      </w:r>
      <w:r w:rsidR="00E2324A" w:rsidRPr="00102AB2">
        <w:rPr>
          <w:rFonts w:ascii="Calibri" w:hAnsi="Calibri" w:cs="Calibri"/>
          <w:sz w:val="24"/>
          <w:szCs w:val="24"/>
        </w:rPr>
        <w:t xml:space="preserve"> 2003</w:t>
      </w:r>
      <w:r w:rsidR="00200482" w:rsidRPr="00102AB2">
        <w:rPr>
          <w:rFonts w:ascii="Calibri" w:hAnsi="Calibri" w:cs="Calibri"/>
          <w:sz w:val="24"/>
          <w:szCs w:val="24"/>
        </w:rPr>
        <w:t>,</w:t>
      </w:r>
      <w:r w:rsidR="00E2324A" w:rsidRPr="00102AB2">
        <w:rPr>
          <w:rFonts w:ascii="Calibri" w:hAnsi="Calibri" w:cs="Calibri"/>
          <w:sz w:val="24"/>
          <w:szCs w:val="24"/>
        </w:rPr>
        <w:t xml:space="preserve"> (dále také „</w:t>
      </w:r>
      <w:r w:rsidR="00F92E74">
        <w:rPr>
          <w:rFonts w:ascii="Calibri" w:hAnsi="Calibri" w:cs="Calibri"/>
          <w:sz w:val="24"/>
          <w:szCs w:val="24"/>
        </w:rPr>
        <w:t>d</w:t>
      </w:r>
      <w:r w:rsidR="00E2324A" w:rsidRPr="00102AB2">
        <w:rPr>
          <w:rFonts w:ascii="Calibri" w:hAnsi="Calibri" w:cs="Calibri"/>
          <w:sz w:val="24"/>
          <w:szCs w:val="24"/>
        </w:rPr>
        <w:t>odatek č. 2“)</w:t>
      </w:r>
      <w:r w:rsidR="00582338" w:rsidRPr="00102AB2">
        <w:rPr>
          <w:rFonts w:ascii="Calibri" w:hAnsi="Calibri" w:cs="Calibri"/>
          <w:sz w:val="24"/>
          <w:szCs w:val="24"/>
        </w:rPr>
        <w:t>, ve kterém se Evropská komise k</w:t>
      </w:r>
      <w:r w:rsidR="007405FC" w:rsidRPr="00102AB2">
        <w:rPr>
          <w:rFonts w:ascii="Calibri" w:hAnsi="Calibri" w:cs="Calibri"/>
          <w:sz w:val="24"/>
          <w:szCs w:val="24"/>
        </w:rPr>
        <w:t xml:space="preserve"> </w:t>
      </w:r>
      <w:r w:rsidR="00582338" w:rsidRPr="00102AB2">
        <w:rPr>
          <w:rFonts w:ascii="Calibri" w:hAnsi="Calibri" w:cs="Calibri"/>
          <w:sz w:val="24"/>
          <w:szCs w:val="24"/>
        </w:rPr>
        <w:t xml:space="preserve">datu platnosti </w:t>
      </w:r>
      <w:r w:rsidR="00F92E74">
        <w:rPr>
          <w:rFonts w:ascii="Calibri" w:hAnsi="Calibri" w:cs="Calibri"/>
          <w:sz w:val="24"/>
          <w:szCs w:val="24"/>
        </w:rPr>
        <w:t>d</w:t>
      </w:r>
      <w:r w:rsidR="00582338" w:rsidRPr="00102AB2">
        <w:rPr>
          <w:rFonts w:ascii="Calibri" w:hAnsi="Calibri" w:cs="Calibri"/>
          <w:sz w:val="24"/>
          <w:szCs w:val="24"/>
        </w:rPr>
        <w:t>odatku č. 2 vzdala všech svých práv a závazků vyplývajících z</w:t>
      </w:r>
      <w:r w:rsidR="007405FC" w:rsidRPr="00102AB2">
        <w:rPr>
          <w:rFonts w:ascii="Calibri" w:hAnsi="Calibri" w:cs="Calibri"/>
          <w:sz w:val="24"/>
          <w:szCs w:val="24"/>
        </w:rPr>
        <w:t xml:space="preserve"> </w:t>
      </w:r>
      <w:r w:rsidR="00582338" w:rsidRPr="00102AB2">
        <w:rPr>
          <w:rFonts w:ascii="Calibri" w:hAnsi="Calibri" w:cs="Calibri"/>
          <w:sz w:val="24"/>
          <w:szCs w:val="24"/>
        </w:rPr>
        <w:t xml:space="preserve">memoranda a jeho dodatku č. 1. </w:t>
      </w:r>
      <w:r w:rsidR="00E81D30" w:rsidRPr="00102AB2">
        <w:rPr>
          <w:rFonts w:ascii="Calibri" w:hAnsi="Calibri" w:cs="Calibri"/>
          <w:sz w:val="24"/>
          <w:szCs w:val="24"/>
        </w:rPr>
        <w:t>Současně je v</w:t>
      </w:r>
      <w:r w:rsidR="007405FC" w:rsidRPr="00102AB2">
        <w:rPr>
          <w:rFonts w:ascii="Calibri" w:hAnsi="Calibri" w:cs="Calibri"/>
          <w:sz w:val="24"/>
          <w:szCs w:val="24"/>
        </w:rPr>
        <w:t xml:space="preserve"> </w:t>
      </w:r>
      <w:r w:rsidR="00E81D30" w:rsidRPr="00102AB2">
        <w:rPr>
          <w:rFonts w:ascii="Calibri" w:hAnsi="Calibri" w:cs="Calibri"/>
          <w:sz w:val="24"/>
          <w:szCs w:val="24"/>
        </w:rPr>
        <w:t xml:space="preserve">něm </w:t>
      </w:r>
      <w:r w:rsidR="00582338" w:rsidRPr="00102AB2">
        <w:rPr>
          <w:rFonts w:ascii="Calibri" w:hAnsi="Calibri" w:cs="Calibri"/>
          <w:sz w:val="24"/>
          <w:szCs w:val="24"/>
        </w:rPr>
        <w:t xml:space="preserve">výslovně uvedeno, že účel použití </w:t>
      </w:r>
      <w:r w:rsidR="008E52E4">
        <w:rPr>
          <w:rFonts w:ascii="Calibri" w:hAnsi="Calibri" w:cs="Calibri"/>
          <w:sz w:val="24"/>
          <w:szCs w:val="24"/>
        </w:rPr>
        <w:t xml:space="preserve">finančních </w:t>
      </w:r>
      <w:r w:rsidR="00582338" w:rsidRPr="00102AB2">
        <w:rPr>
          <w:rFonts w:ascii="Calibri" w:hAnsi="Calibri" w:cs="Calibri"/>
          <w:sz w:val="24"/>
          <w:szCs w:val="24"/>
        </w:rPr>
        <w:t>prostředků bude nadále určen smluvní stranou tohoto dodatku a budou využity mimo jakýkoli program Evropské unie, který by stanovil účel jejich použití</w:t>
      </w:r>
      <w:r w:rsidR="00E115F7" w:rsidRPr="00102AB2">
        <w:rPr>
          <w:rFonts w:ascii="Calibri" w:hAnsi="Calibri" w:cs="Calibri"/>
          <w:sz w:val="24"/>
          <w:szCs w:val="24"/>
        </w:rPr>
        <w:t xml:space="preserve">. </w:t>
      </w:r>
      <w:r w:rsidR="00E81D30" w:rsidRPr="00102AB2">
        <w:rPr>
          <w:rFonts w:ascii="Calibri" w:hAnsi="Calibri" w:cs="Calibri"/>
          <w:sz w:val="24"/>
          <w:szCs w:val="24"/>
        </w:rPr>
        <w:t>Využití těchto prostředků</w:t>
      </w:r>
      <w:r w:rsidR="00E115F7" w:rsidRPr="00102AB2">
        <w:rPr>
          <w:rFonts w:ascii="Calibri" w:hAnsi="Calibri" w:cs="Calibri"/>
          <w:sz w:val="24"/>
          <w:szCs w:val="24"/>
        </w:rPr>
        <w:t xml:space="preserve"> má být v souladu s</w:t>
      </w:r>
      <w:r w:rsidR="007405FC" w:rsidRPr="00102AB2">
        <w:rPr>
          <w:rFonts w:ascii="Calibri" w:hAnsi="Calibri" w:cs="Calibri"/>
          <w:sz w:val="24"/>
          <w:szCs w:val="24"/>
        </w:rPr>
        <w:t xml:space="preserve"> </w:t>
      </w:r>
      <w:r w:rsidR="00E115F7" w:rsidRPr="00102AB2">
        <w:rPr>
          <w:rFonts w:ascii="Calibri" w:hAnsi="Calibri" w:cs="Calibri"/>
          <w:sz w:val="24"/>
          <w:szCs w:val="24"/>
        </w:rPr>
        <w:t>předpisy aplikovanými v</w:t>
      </w:r>
      <w:r w:rsidR="007405FC" w:rsidRPr="00102AB2">
        <w:rPr>
          <w:rFonts w:ascii="Calibri" w:hAnsi="Calibri" w:cs="Calibri"/>
          <w:sz w:val="24"/>
          <w:szCs w:val="24"/>
        </w:rPr>
        <w:t xml:space="preserve"> </w:t>
      </w:r>
      <w:r w:rsidR="00E115F7" w:rsidRPr="00102AB2">
        <w:rPr>
          <w:rFonts w:ascii="Calibri" w:hAnsi="Calibri" w:cs="Calibri"/>
          <w:sz w:val="24"/>
          <w:szCs w:val="24"/>
        </w:rPr>
        <w:t>České republice.</w:t>
      </w:r>
      <w:r w:rsidR="00B07CFE" w:rsidRPr="00102AB2">
        <w:rPr>
          <w:rFonts w:ascii="Calibri" w:hAnsi="Calibri" w:cs="Calibri"/>
          <w:sz w:val="24"/>
          <w:szCs w:val="24"/>
        </w:rPr>
        <w:t xml:space="preserve"> To ale při hospodaření s</w:t>
      </w:r>
      <w:r w:rsidR="007405FC" w:rsidRPr="00102AB2">
        <w:rPr>
          <w:rFonts w:ascii="Calibri" w:hAnsi="Calibri" w:cs="Calibri"/>
          <w:sz w:val="24"/>
          <w:szCs w:val="24"/>
        </w:rPr>
        <w:t xml:space="preserve"> </w:t>
      </w:r>
      <w:r w:rsidR="00B07CFE" w:rsidRPr="00102AB2">
        <w:rPr>
          <w:rFonts w:ascii="Calibri" w:hAnsi="Calibri" w:cs="Calibri"/>
          <w:sz w:val="24"/>
          <w:szCs w:val="24"/>
        </w:rPr>
        <w:t>nimi splněno nebylo.</w:t>
      </w:r>
      <w:r w:rsidR="00FF07BB" w:rsidRPr="00102AB2">
        <w:rPr>
          <w:rFonts w:ascii="Calibri" w:hAnsi="Calibri" w:cs="Calibri"/>
          <w:sz w:val="24"/>
          <w:szCs w:val="24"/>
        </w:rPr>
        <w:t xml:space="preserve"> </w:t>
      </w:r>
    </w:p>
    <w:p w:rsidR="007F494E" w:rsidRPr="00102AB2" w:rsidRDefault="007F494E" w:rsidP="00102AB2">
      <w:pPr>
        <w:spacing w:after="0" w:line="240" w:lineRule="auto"/>
        <w:jc w:val="both"/>
        <w:rPr>
          <w:rFonts w:ascii="Calibri" w:hAnsi="Calibri" w:cs="Calibri"/>
          <w:sz w:val="24"/>
          <w:szCs w:val="24"/>
        </w:rPr>
      </w:pPr>
    </w:p>
    <w:p w:rsidR="00A014DC" w:rsidRDefault="00E115F7" w:rsidP="00102AB2">
      <w:pPr>
        <w:spacing w:after="0" w:line="240" w:lineRule="auto"/>
        <w:jc w:val="both"/>
        <w:rPr>
          <w:rFonts w:ascii="Calibri" w:hAnsi="Calibri" w:cs="Calibri"/>
          <w:sz w:val="24"/>
          <w:szCs w:val="24"/>
        </w:rPr>
      </w:pPr>
      <w:r w:rsidRPr="00102AB2">
        <w:rPr>
          <w:rFonts w:ascii="Calibri" w:hAnsi="Calibri" w:cs="Calibri"/>
          <w:sz w:val="24"/>
          <w:szCs w:val="24"/>
        </w:rPr>
        <w:t>MŽP kvalifikovalo tyto prostředky jako mimorozpočtové zdroje</w:t>
      </w:r>
      <w:r w:rsidRPr="00102AB2">
        <w:rPr>
          <w:rStyle w:val="Znakapoznpodarou"/>
          <w:rFonts w:ascii="Calibri" w:hAnsi="Calibri" w:cs="Calibri"/>
          <w:sz w:val="24"/>
          <w:szCs w:val="24"/>
        </w:rPr>
        <w:footnoteReference w:id="66"/>
      </w:r>
      <w:r w:rsidR="00B07CFE" w:rsidRPr="00102AB2">
        <w:rPr>
          <w:rFonts w:ascii="Calibri" w:hAnsi="Calibri" w:cs="Calibri"/>
          <w:sz w:val="24"/>
          <w:szCs w:val="24"/>
        </w:rPr>
        <w:t xml:space="preserve"> a vytvořilo z</w:t>
      </w:r>
      <w:r w:rsidR="007405FC" w:rsidRPr="00102AB2">
        <w:rPr>
          <w:rFonts w:ascii="Calibri" w:hAnsi="Calibri" w:cs="Calibri"/>
          <w:sz w:val="24"/>
          <w:szCs w:val="24"/>
        </w:rPr>
        <w:t xml:space="preserve"> </w:t>
      </w:r>
      <w:r w:rsidR="00B07CFE" w:rsidRPr="00102AB2">
        <w:rPr>
          <w:rFonts w:ascii="Calibri" w:hAnsi="Calibri" w:cs="Calibri"/>
          <w:sz w:val="24"/>
          <w:szCs w:val="24"/>
        </w:rPr>
        <w:t>nich tzv. „</w:t>
      </w:r>
      <w:r w:rsidR="00F92E74">
        <w:rPr>
          <w:rFonts w:ascii="Calibri" w:hAnsi="Calibri" w:cs="Calibri"/>
          <w:sz w:val="24"/>
          <w:szCs w:val="24"/>
        </w:rPr>
        <w:t>r</w:t>
      </w:r>
      <w:r w:rsidR="00B07CFE" w:rsidRPr="00102AB2">
        <w:rPr>
          <w:rFonts w:ascii="Calibri" w:hAnsi="Calibri" w:cs="Calibri"/>
          <w:sz w:val="24"/>
          <w:szCs w:val="24"/>
        </w:rPr>
        <w:t xml:space="preserve">evolvingový fond“. Zákon č. 218/2000 Sb., o </w:t>
      </w:r>
      <w:r w:rsidR="00C77B83" w:rsidRPr="00102AB2">
        <w:rPr>
          <w:rFonts w:ascii="Calibri" w:hAnsi="Calibri" w:cs="Calibri"/>
          <w:sz w:val="24"/>
          <w:szCs w:val="24"/>
        </w:rPr>
        <w:t xml:space="preserve">rozpočtových pravidlech a o změně některých </w:t>
      </w:r>
      <w:r w:rsidR="00C77B83" w:rsidRPr="00102AB2">
        <w:rPr>
          <w:rFonts w:ascii="Calibri" w:hAnsi="Calibri" w:cs="Calibri"/>
          <w:sz w:val="24"/>
          <w:szCs w:val="24"/>
        </w:rPr>
        <w:lastRenderedPageBreak/>
        <w:t xml:space="preserve">souvisejících zákonů </w:t>
      </w:r>
      <w:r w:rsidR="00B07CFE" w:rsidRPr="00102AB2">
        <w:rPr>
          <w:rFonts w:ascii="Calibri" w:hAnsi="Calibri" w:cs="Calibri"/>
          <w:sz w:val="24"/>
          <w:szCs w:val="24"/>
        </w:rPr>
        <w:t>(rozpočtová pravidla)</w:t>
      </w:r>
      <w:r w:rsidR="00A374D2" w:rsidRPr="00102AB2">
        <w:rPr>
          <w:rFonts w:ascii="Calibri" w:hAnsi="Calibri" w:cs="Calibri"/>
          <w:sz w:val="24"/>
          <w:szCs w:val="24"/>
        </w:rPr>
        <w:t>,</w:t>
      </w:r>
      <w:r w:rsidR="00B07CFE" w:rsidRPr="00102AB2">
        <w:rPr>
          <w:rFonts w:ascii="Calibri" w:hAnsi="Calibri" w:cs="Calibri"/>
          <w:sz w:val="24"/>
          <w:szCs w:val="24"/>
        </w:rPr>
        <w:t xml:space="preserve"> neumožňuj</w:t>
      </w:r>
      <w:r w:rsidR="00C77B83" w:rsidRPr="00102AB2">
        <w:rPr>
          <w:rFonts w:ascii="Calibri" w:hAnsi="Calibri" w:cs="Calibri"/>
          <w:sz w:val="24"/>
          <w:szCs w:val="24"/>
        </w:rPr>
        <w:t>e</w:t>
      </w:r>
      <w:r w:rsidR="00B07CFE" w:rsidRPr="00102AB2">
        <w:rPr>
          <w:rFonts w:ascii="Calibri" w:hAnsi="Calibri" w:cs="Calibri"/>
          <w:sz w:val="24"/>
          <w:szCs w:val="24"/>
        </w:rPr>
        <w:t xml:space="preserve"> organizační složce státu vytvořit jiné fondy než fond kulturních a sociálních potřeb a rezervní fond. Součástí rezervního fondu </w:t>
      </w:r>
      <w:r w:rsidR="00E81D30" w:rsidRPr="00102AB2">
        <w:rPr>
          <w:rFonts w:ascii="Calibri" w:hAnsi="Calibri" w:cs="Calibri"/>
          <w:sz w:val="24"/>
          <w:szCs w:val="24"/>
        </w:rPr>
        <w:t>jsou v so</w:t>
      </w:r>
      <w:r w:rsidR="001804C9" w:rsidRPr="00102AB2">
        <w:rPr>
          <w:rFonts w:ascii="Calibri" w:hAnsi="Calibri" w:cs="Calibri"/>
          <w:sz w:val="24"/>
          <w:szCs w:val="24"/>
        </w:rPr>
        <w:t>uladu s</w:t>
      </w:r>
      <w:r w:rsidR="007405FC" w:rsidRPr="00102AB2">
        <w:rPr>
          <w:rFonts w:ascii="Calibri" w:hAnsi="Calibri" w:cs="Calibri"/>
          <w:sz w:val="24"/>
          <w:szCs w:val="24"/>
        </w:rPr>
        <w:t xml:space="preserve"> </w:t>
      </w:r>
      <w:r w:rsidR="001804C9" w:rsidRPr="00102AB2">
        <w:rPr>
          <w:rFonts w:ascii="Calibri" w:hAnsi="Calibri" w:cs="Calibri"/>
          <w:sz w:val="24"/>
          <w:szCs w:val="24"/>
        </w:rPr>
        <w:t xml:space="preserve">ustanovením § 48 rozpočtových pravidel </w:t>
      </w:r>
      <w:r w:rsidR="00B07CFE" w:rsidRPr="00102AB2">
        <w:rPr>
          <w:rFonts w:ascii="Calibri" w:hAnsi="Calibri" w:cs="Calibri"/>
          <w:sz w:val="24"/>
          <w:szCs w:val="24"/>
        </w:rPr>
        <w:t>i prostředky poskytnuté ze zahraničí</w:t>
      </w:r>
      <w:r w:rsidR="008A3587" w:rsidRPr="00102AB2">
        <w:rPr>
          <w:rFonts w:ascii="Calibri" w:hAnsi="Calibri" w:cs="Calibri"/>
          <w:sz w:val="24"/>
          <w:szCs w:val="24"/>
        </w:rPr>
        <w:t xml:space="preserve">, </w:t>
      </w:r>
      <w:r w:rsidR="008534DE" w:rsidRPr="00102AB2">
        <w:rPr>
          <w:rFonts w:ascii="Calibri" w:hAnsi="Calibri" w:cs="Calibri"/>
          <w:sz w:val="24"/>
          <w:szCs w:val="24"/>
        </w:rPr>
        <w:t xml:space="preserve">v tomto paragrafu jsou stanovena </w:t>
      </w:r>
      <w:r w:rsidR="008E52E4" w:rsidRPr="00102AB2">
        <w:rPr>
          <w:rFonts w:ascii="Calibri" w:hAnsi="Calibri" w:cs="Calibri"/>
          <w:sz w:val="24"/>
          <w:szCs w:val="24"/>
        </w:rPr>
        <w:t>také</w:t>
      </w:r>
      <w:r w:rsidR="001804C9" w:rsidRPr="00102AB2">
        <w:rPr>
          <w:rFonts w:ascii="Calibri" w:hAnsi="Calibri" w:cs="Calibri"/>
          <w:sz w:val="24"/>
          <w:szCs w:val="24"/>
        </w:rPr>
        <w:t xml:space="preserve"> pravidla</w:t>
      </w:r>
      <w:r w:rsidR="00E81D30" w:rsidRPr="00102AB2">
        <w:rPr>
          <w:rFonts w:ascii="Calibri" w:hAnsi="Calibri" w:cs="Calibri"/>
          <w:sz w:val="24"/>
          <w:szCs w:val="24"/>
        </w:rPr>
        <w:t xml:space="preserve"> pro</w:t>
      </w:r>
      <w:r w:rsidR="00164C51" w:rsidRPr="00102AB2">
        <w:rPr>
          <w:rFonts w:ascii="Calibri" w:hAnsi="Calibri" w:cs="Calibri"/>
          <w:sz w:val="24"/>
          <w:szCs w:val="24"/>
        </w:rPr>
        <w:t xml:space="preserve"> jejich</w:t>
      </w:r>
      <w:r w:rsidR="001804C9" w:rsidRPr="00102AB2">
        <w:rPr>
          <w:rFonts w:ascii="Calibri" w:hAnsi="Calibri" w:cs="Calibri"/>
          <w:sz w:val="24"/>
          <w:szCs w:val="24"/>
        </w:rPr>
        <w:t xml:space="preserve"> používání.</w:t>
      </w:r>
      <w:r w:rsidR="00B07CFE" w:rsidRPr="00102AB2">
        <w:rPr>
          <w:rFonts w:ascii="Calibri" w:hAnsi="Calibri" w:cs="Calibri"/>
          <w:sz w:val="24"/>
          <w:szCs w:val="24"/>
        </w:rPr>
        <w:t xml:space="preserve"> </w:t>
      </w:r>
      <w:r w:rsidR="001804C9" w:rsidRPr="00102AB2">
        <w:rPr>
          <w:rFonts w:ascii="Calibri" w:hAnsi="Calibri" w:cs="Calibri"/>
          <w:sz w:val="24"/>
          <w:szCs w:val="24"/>
        </w:rPr>
        <w:t>Používání</w:t>
      </w:r>
      <w:r w:rsidR="00B07CFE" w:rsidRPr="00102AB2">
        <w:rPr>
          <w:rFonts w:ascii="Calibri" w:hAnsi="Calibri" w:cs="Calibri"/>
          <w:sz w:val="24"/>
          <w:szCs w:val="24"/>
        </w:rPr>
        <w:t xml:space="preserve"> peněžních prostředků </w:t>
      </w:r>
      <w:r w:rsidR="001804C9" w:rsidRPr="00102AB2">
        <w:rPr>
          <w:rFonts w:ascii="Calibri" w:hAnsi="Calibri" w:cs="Calibri"/>
          <w:sz w:val="24"/>
          <w:szCs w:val="24"/>
        </w:rPr>
        <w:t>„</w:t>
      </w:r>
      <w:r w:rsidR="00F92E74">
        <w:rPr>
          <w:rFonts w:ascii="Calibri" w:hAnsi="Calibri" w:cs="Calibri"/>
          <w:sz w:val="24"/>
          <w:szCs w:val="24"/>
        </w:rPr>
        <w:t>r</w:t>
      </w:r>
      <w:r w:rsidR="001804C9" w:rsidRPr="00102AB2">
        <w:rPr>
          <w:rFonts w:ascii="Calibri" w:hAnsi="Calibri" w:cs="Calibri"/>
          <w:sz w:val="24"/>
          <w:szCs w:val="24"/>
        </w:rPr>
        <w:t xml:space="preserve">evolvingového fondu“ </w:t>
      </w:r>
      <w:r w:rsidR="00A014DC" w:rsidRPr="00102AB2">
        <w:rPr>
          <w:rFonts w:ascii="Calibri" w:hAnsi="Calibri" w:cs="Calibri"/>
          <w:sz w:val="24"/>
          <w:szCs w:val="24"/>
        </w:rPr>
        <w:t xml:space="preserve">ale MŽP </w:t>
      </w:r>
      <w:r w:rsidR="00B07CFE" w:rsidRPr="00102AB2">
        <w:rPr>
          <w:rFonts w:ascii="Calibri" w:hAnsi="Calibri" w:cs="Calibri"/>
          <w:sz w:val="24"/>
          <w:szCs w:val="24"/>
        </w:rPr>
        <w:t xml:space="preserve">stanovilo </w:t>
      </w:r>
      <w:r w:rsidR="00164C51" w:rsidRPr="00102AB2">
        <w:rPr>
          <w:rFonts w:ascii="Calibri" w:hAnsi="Calibri" w:cs="Calibri"/>
          <w:sz w:val="24"/>
          <w:szCs w:val="24"/>
        </w:rPr>
        <w:t xml:space="preserve">pouze </w:t>
      </w:r>
      <w:r w:rsidR="00B07CFE" w:rsidRPr="00102AB2">
        <w:rPr>
          <w:rFonts w:ascii="Calibri" w:hAnsi="Calibri" w:cs="Calibri"/>
          <w:sz w:val="24"/>
          <w:szCs w:val="24"/>
        </w:rPr>
        <w:t>ve své vnitřní směrnici</w:t>
      </w:r>
      <w:r w:rsidR="00164C51" w:rsidRPr="00102AB2">
        <w:rPr>
          <w:rStyle w:val="Znakapoznpodarou"/>
          <w:rFonts w:ascii="Calibri" w:hAnsi="Calibri" w:cs="Calibri"/>
          <w:sz w:val="24"/>
          <w:szCs w:val="24"/>
        </w:rPr>
        <w:footnoteReference w:id="67"/>
      </w:r>
      <w:r w:rsidR="00B07CFE" w:rsidRPr="00102AB2">
        <w:rPr>
          <w:rFonts w:ascii="Calibri" w:hAnsi="Calibri" w:cs="Calibri"/>
          <w:sz w:val="24"/>
          <w:szCs w:val="24"/>
        </w:rPr>
        <w:t>.</w:t>
      </w:r>
      <w:r w:rsidR="001804C9" w:rsidRPr="00102AB2">
        <w:rPr>
          <w:rFonts w:ascii="Calibri" w:hAnsi="Calibri" w:cs="Calibri"/>
          <w:sz w:val="24"/>
          <w:szCs w:val="24"/>
        </w:rPr>
        <w:t xml:space="preserve"> </w:t>
      </w:r>
      <w:r w:rsidR="007C5E39" w:rsidRPr="00102AB2">
        <w:rPr>
          <w:rFonts w:ascii="Calibri" w:hAnsi="Calibri" w:cs="Calibri"/>
          <w:sz w:val="24"/>
          <w:szCs w:val="24"/>
        </w:rPr>
        <w:t>Tato skutečnost nesplňuje</w:t>
      </w:r>
      <w:r w:rsidR="008E52E4">
        <w:rPr>
          <w:rFonts w:ascii="Calibri" w:hAnsi="Calibri" w:cs="Calibri"/>
          <w:sz w:val="24"/>
          <w:szCs w:val="24"/>
        </w:rPr>
        <w:t xml:space="preserve"> zákonný požadavek uvedený v § </w:t>
      </w:r>
      <w:r w:rsidR="00A014DC" w:rsidRPr="00102AB2">
        <w:rPr>
          <w:rFonts w:ascii="Calibri" w:hAnsi="Calibri" w:cs="Calibri"/>
          <w:sz w:val="24"/>
          <w:szCs w:val="24"/>
        </w:rPr>
        <w:t xml:space="preserve">45 odst. 2 </w:t>
      </w:r>
      <w:r w:rsidR="008E52E4" w:rsidRPr="00102AB2">
        <w:rPr>
          <w:rFonts w:ascii="Calibri" w:hAnsi="Calibri" w:cs="Calibri"/>
          <w:sz w:val="24"/>
          <w:szCs w:val="24"/>
        </w:rPr>
        <w:t>rozpočtových</w:t>
      </w:r>
      <w:r w:rsidR="008E52E4">
        <w:rPr>
          <w:rFonts w:ascii="Calibri" w:hAnsi="Calibri" w:cs="Calibri"/>
          <w:sz w:val="24"/>
          <w:szCs w:val="24"/>
        </w:rPr>
        <w:t xml:space="preserve"> pravidel</w:t>
      </w:r>
      <w:r w:rsidR="00A014DC" w:rsidRPr="00102AB2">
        <w:rPr>
          <w:rFonts w:ascii="Calibri" w:hAnsi="Calibri" w:cs="Calibri"/>
          <w:sz w:val="24"/>
          <w:szCs w:val="24"/>
        </w:rPr>
        <w:t xml:space="preserve">, který stanoví, že organizační složka státu může používat prostředky jen na opatření zakládající se na právních předpisech. </w:t>
      </w:r>
    </w:p>
    <w:p w:rsidR="007F494E" w:rsidRPr="00102AB2" w:rsidRDefault="007F494E" w:rsidP="00102AB2">
      <w:pPr>
        <w:spacing w:after="0" w:line="240" w:lineRule="auto"/>
        <w:jc w:val="both"/>
        <w:rPr>
          <w:rFonts w:ascii="Calibri" w:hAnsi="Calibri" w:cs="Calibri"/>
          <w:sz w:val="24"/>
          <w:szCs w:val="24"/>
        </w:rPr>
      </w:pPr>
    </w:p>
    <w:p w:rsidR="00164C51" w:rsidRDefault="001804C9"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Dle </w:t>
      </w:r>
      <w:r w:rsidR="003C150B" w:rsidRPr="00102AB2">
        <w:rPr>
          <w:rFonts w:ascii="Calibri" w:hAnsi="Calibri" w:cs="Calibri"/>
          <w:sz w:val="24"/>
          <w:szCs w:val="24"/>
        </w:rPr>
        <w:t>vnitřní</w:t>
      </w:r>
      <w:r w:rsidRPr="00102AB2">
        <w:rPr>
          <w:rFonts w:ascii="Calibri" w:hAnsi="Calibri" w:cs="Calibri"/>
          <w:sz w:val="24"/>
          <w:szCs w:val="24"/>
        </w:rPr>
        <w:t xml:space="preserve"> směrnice</w:t>
      </w:r>
      <w:r w:rsidR="003C150B" w:rsidRPr="00102AB2">
        <w:rPr>
          <w:rFonts w:ascii="Calibri" w:hAnsi="Calibri" w:cs="Calibri"/>
          <w:sz w:val="24"/>
          <w:szCs w:val="24"/>
        </w:rPr>
        <w:t xml:space="preserve"> MŽP</w:t>
      </w:r>
      <w:r w:rsidRPr="00102AB2">
        <w:rPr>
          <w:rFonts w:ascii="Calibri" w:hAnsi="Calibri" w:cs="Calibri"/>
          <w:sz w:val="24"/>
          <w:szCs w:val="24"/>
        </w:rPr>
        <w:t xml:space="preserve"> mohly být</w:t>
      </w:r>
      <w:r w:rsidR="003C150B" w:rsidRPr="00102AB2">
        <w:rPr>
          <w:rFonts w:ascii="Calibri" w:hAnsi="Calibri" w:cs="Calibri"/>
          <w:sz w:val="24"/>
          <w:szCs w:val="24"/>
        </w:rPr>
        <w:t xml:space="preserve"> tyto</w:t>
      </w:r>
      <w:r w:rsidRPr="00102AB2">
        <w:rPr>
          <w:rFonts w:ascii="Calibri" w:hAnsi="Calibri" w:cs="Calibri"/>
          <w:sz w:val="24"/>
          <w:szCs w:val="24"/>
        </w:rPr>
        <w:t xml:space="preserve"> prostředky poskytovány na projekty realizované na území České republiky formou účelově určené</w:t>
      </w:r>
      <w:r w:rsidR="008E52E4" w:rsidRPr="008E52E4">
        <w:rPr>
          <w:rFonts w:ascii="Calibri" w:hAnsi="Calibri" w:cs="Calibri"/>
          <w:sz w:val="24"/>
          <w:szCs w:val="24"/>
        </w:rPr>
        <w:t xml:space="preserve"> </w:t>
      </w:r>
      <w:r w:rsidR="008E52E4" w:rsidRPr="00102AB2">
        <w:rPr>
          <w:rFonts w:ascii="Calibri" w:hAnsi="Calibri" w:cs="Calibri"/>
          <w:sz w:val="24"/>
          <w:szCs w:val="24"/>
        </w:rPr>
        <w:t xml:space="preserve">půjčky </w:t>
      </w:r>
      <w:r w:rsidRPr="00102AB2">
        <w:rPr>
          <w:rStyle w:val="Znakapoznpodarou"/>
          <w:rFonts w:ascii="Calibri" w:hAnsi="Calibri" w:cs="Calibri"/>
          <w:sz w:val="24"/>
          <w:szCs w:val="24"/>
        </w:rPr>
        <w:footnoteReference w:id="68"/>
      </w:r>
      <w:r w:rsidRPr="00102AB2">
        <w:rPr>
          <w:rFonts w:ascii="Calibri" w:hAnsi="Calibri" w:cs="Calibri"/>
          <w:sz w:val="24"/>
          <w:szCs w:val="24"/>
        </w:rPr>
        <w:t xml:space="preserve">, grantu nebo technické asistence určené pro správce fondu </w:t>
      </w:r>
      <w:r w:rsidR="008E52E4">
        <w:rPr>
          <w:rFonts w:ascii="Calibri" w:hAnsi="Calibri" w:cs="Calibri"/>
          <w:sz w:val="24"/>
          <w:szCs w:val="24"/>
        </w:rPr>
        <w:t>(</w:t>
      </w:r>
      <w:r w:rsidRPr="00102AB2">
        <w:rPr>
          <w:rFonts w:ascii="Calibri" w:hAnsi="Calibri" w:cs="Calibri"/>
          <w:sz w:val="24"/>
          <w:szCs w:val="24"/>
        </w:rPr>
        <w:t>t</w:t>
      </w:r>
      <w:r w:rsidR="008E52E4">
        <w:rPr>
          <w:rFonts w:ascii="Calibri" w:hAnsi="Calibri" w:cs="Calibri"/>
          <w:sz w:val="24"/>
          <w:szCs w:val="24"/>
        </w:rPr>
        <w:t>j</w:t>
      </w:r>
      <w:r w:rsidRPr="00102AB2">
        <w:rPr>
          <w:rFonts w:ascii="Calibri" w:hAnsi="Calibri" w:cs="Calibri"/>
          <w:sz w:val="24"/>
          <w:szCs w:val="24"/>
        </w:rPr>
        <w:t>. MŽP</w:t>
      </w:r>
      <w:r w:rsidR="008E52E4">
        <w:rPr>
          <w:rFonts w:ascii="Calibri" w:hAnsi="Calibri" w:cs="Calibri"/>
          <w:sz w:val="24"/>
          <w:szCs w:val="24"/>
        </w:rPr>
        <w:t>)</w:t>
      </w:r>
      <w:r w:rsidRPr="00102AB2">
        <w:rPr>
          <w:rFonts w:ascii="Calibri" w:hAnsi="Calibri" w:cs="Calibri"/>
          <w:sz w:val="24"/>
          <w:szCs w:val="24"/>
        </w:rPr>
        <w:t>.</w:t>
      </w:r>
      <w:r w:rsidR="00D02CA2" w:rsidRPr="00102AB2">
        <w:rPr>
          <w:rFonts w:ascii="Calibri" w:hAnsi="Calibri" w:cs="Calibri"/>
          <w:sz w:val="24"/>
          <w:szCs w:val="24"/>
        </w:rPr>
        <w:t xml:space="preserve"> Roční výše prostředků na technickou asistenci </w:t>
      </w:r>
      <w:r w:rsidR="00A014DC" w:rsidRPr="00102AB2">
        <w:rPr>
          <w:rFonts w:ascii="Calibri" w:hAnsi="Calibri" w:cs="Calibri"/>
          <w:sz w:val="24"/>
          <w:szCs w:val="24"/>
        </w:rPr>
        <w:t>neměla dle</w:t>
      </w:r>
      <w:r w:rsidR="00D02CA2" w:rsidRPr="00102AB2">
        <w:rPr>
          <w:rFonts w:ascii="Calibri" w:hAnsi="Calibri" w:cs="Calibri"/>
          <w:sz w:val="24"/>
          <w:szCs w:val="24"/>
        </w:rPr>
        <w:t xml:space="preserve"> směrnic</w:t>
      </w:r>
      <w:r w:rsidR="00D97004" w:rsidRPr="00102AB2">
        <w:rPr>
          <w:rFonts w:ascii="Calibri" w:hAnsi="Calibri" w:cs="Calibri"/>
          <w:sz w:val="24"/>
          <w:szCs w:val="24"/>
        </w:rPr>
        <w:t>e</w:t>
      </w:r>
      <w:r w:rsidR="00731843" w:rsidRPr="00102AB2">
        <w:rPr>
          <w:rFonts w:ascii="Calibri" w:hAnsi="Calibri" w:cs="Calibri"/>
          <w:sz w:val="24"/>
          <w:szCs w:val="24"/>
        </w:rPr>
        <w:t xml:space="preserve"> MŽP přesahovat</w:t>
      </w:r>
      <w:r w:rsidR="00D02CA2" w:rsidRPr="00102AB2">
        <w:rPr>
          <w:rFonts w:ascii="Calibri" w:hAnsi="Calibri" w:cs="Calibri"/>
          <w:sz w:val="24"/>
          <w:szCs w:val="24"/>
        </w:rPr>
        <w:t xml:space="preserve"> 1</w:t>
      </w:r>
      <w:r w:rsidR="00637DEC">
        <w:rPr>
          <w:rFonts w:ascii="Calibri" w:hAnsi="Calibri" w:cs="Calibri"/>
          <w:sz w:val="24"/>
          <w:szCs w:val="24"/>
        </w:rPr>
        <w:t> </w:t>
      </w:r>
      <w:r w:rsidR="00D02CA2" w:rsidRPr="00102AB2">
        <w:rPr>
          <w:rFonts w:ascii="Calibri" w:hAnsi="Calibri" w:cs="Calibri"/>
          <w:sz w:val="24"/>
          <w:szCs w:val="24"/>
        </w:rPr>
        <w:t>% z</w:t>
      </w:r>
      <w:r w:rsidR="00A014DC" w:rsidRPr="00102AB2">
        <w:rPr>
          <w:rFonts w:ascii="Calibri" w:hAnsi="Calibri" w:cs="Calibri"/>
          <w:sz w:val="24"/>
          <w:szCs w:val="24"/>
        </w:rPr>
        <w:t> </w:t>
      </w:r>
      <w:r w:rsidR="00D02CA2" w:rsidRPr="00102AB2">
        <w:rPr>
          <w:rFonts w:ascii="Calibri" w:hAnsi="Calibri" w:cs="Calibri"/>
          <w:sz w:val="24"/>
          <w:szCs w:val="24"/>
        </w:rPr>
        <w:t>rozpočtu</w:t>
      </w:r>
      <w:r w:rsidR="00A014DC" w:rsidRPr="00102AB2">
        <w:rPr>
          <w:rFonts w:ascii="Calibri" w:hAnsi="Calibri" w:cs="Calibri"/>
          <w:sz w:val="24"/>
          <w:szCs w:val="24"/>
        </w:rPr>
        <w:t xml:space="preserve"> tohoto</w:t>
      </w:r>
      <w:r w:rsidR="00D02CA2" w:rsidRPr="00102AB2">
        <w:rPr>
          <w:rFonts w:ascii="Calibri" w:hAnsi="Calibri" w:cs="Calibri"/>
          <w:sz w:val="24"/>
          <w:szCs w:val="24"/>
        </w:rPr>
        <w:t xml:space="preserve"> fondu, přičemž pro výpočet </w:t>
      </w:r>
      <w:r w:rsidR="00731843" w:rsidRPr="00102AB2">
        <w:rPr>
          <w:rFonts w:ascii="Calibri" w:hAnsi="Calibri" w:cs="Calibri"/>
          <w:sz w:val="24"/>
          <w:szCs w:val="24"/>
        </w:rPr>
        <w:t xml:space="preserve">této </w:t>
      </w:r>
      <w:r w:rsidR="00D02CA2" w:rsidRPr="00102AB2">
        <w:rPr>
          <w:rFonts w:ascii="Calibri" w:hAnsi="Calibri" w:cs="Calibri"/>
          <w:sz w:val="24"/>
          <w:szCs w:val="24"/>
        </w:rPr>
        <w:t>částky byla dle sdělení MŽP používána částka 169</w:t>
      </w:r>
      <w:r w:rsidR="007405FC" w:rsidRPr="00102AB2">
        <w:rPr>
          <w:rFonts w:ascii="Calibri" w:hAnsi="Calibri" w:cs="Calibri"/>
          <w:sz w:val="24"/>
          <w:szCs w:val="24"/>
        </w:rPr>
        <w:t xml:space="preserve"> </w:t>
      </w:r>
      <w:r w:rsidR="00D02CA2" w:rsidRPr="00102AB2">
        <w:rPr>
          <w:rFonts w:ascii="Calibri" w:hAnsi="Calibri" w:cs="Calibri"/>
          <w:sz w:val="24"/>
          <w:szCs w:val="24"/>
        </w:rPr>
        <w:t>264</w:t>
      </w:r>
      <w:r w:rsidR="007405FC" w:rsidRPr="00102AB2">
        <w:rPr>
          <w:rFonts w:ascii="Calibri" w:hAnsi="Calibri" w:cs="Calibri"/>
          <w:sz w:val="24"/>
          <w:szCs w:val="24"/>
        </w:rPr>
        <w:t xml:space="preserve"> </w:t>
      </w:r>
      <w:r w:rsidR="00D02CA2" w:rsidRPr="00102AB2">
        <w:rPr>
          <w:rFonts w:ascii="Calibri" w:hAnsi="Calibri" w:cs="Calibri"/>
          <w:sz w:val="24"/>
          <w:szCs w:val="24"/>
        </w:rPr>
        <w:t>966 Kč, kterou MŽP označuje za výši prostředků k výchozímu datu 14. srpna 2008.</w:t>
      </w:r>
      <w:r w:rsidR="00731843" w:rsidRPr="00102AB2">
        <w:rPr>
          <w:rFonts w:ascii="Calibri" w:hAnsi="Calibri" w:cs="Calibri"/>
          <w:sz w:val="24"/>
          <w:szCs w:val="24"/>
        </w:rPr>
        <w:t xml:space="preserve"> Pro rok 2013 MŽP na tento účel schválilo prostředky ve výši 1</w:t>
      </w:r>
      <w:r w:rsidR="007405FC" w:rsidRPr="00102AB2">
        <w:rPr>
          <w:rFonts w:ascii="Calibri" w:hAnsi="Calibri" w:cs="Calibri"/>
          <w:sz w:val="24"/>
          <w:szCs w:val="24"/>
        </w:rPr>
        <w:t xml:space="preserve"> </w:t>
      </w:r>
      <w:r w:rsidR="00731843" w:rsidRPr="00102AB2">
        <w:rPr>
          <w:rFonts w:ascii="Calibri" w:hAnsi="Calibri" w:cs="Calibri"/>
          <w:sz w:val="24"/>
          <w:szCs w:val="24"/>
        </w:rPr>
        <w:t>447</w:t>
      </w:r>
      <w:r w:rsidR="007405FC" w:rsidRPr="00102AB2">
        <w:rPr>
          <w:rFonts w:ascii="Calibri" w:hAnsi="Calibri" w:cs="Calibri"/>
          <w:sz w:val="24"/>
          <w:szCs w:val="24"/>
        </w:rPr>
        <w:t xml:space="preserve"> </w:t>
      </w:r>
      <w:r w:rsidR="00731843" w:rsidRPr="00102AB2">
        <w:rPr>
          <w:rFonts w:ascii="Calibri" w:hAnsi="Calibri" w:cs="Calibri"/>
          <w:sz w:val="24"/>
          <w:szCs w:val="24"/>
        </w:rPr>
        <w:t xml:space="preserve">814 Kč. </w:t>
      </w:r>
      <w:r w:rsidR="00D02CA2" w:rsidRPr="00102AB2">
        <w:rPr>
          <w:rFonts w:ascii="Calibri" w:hAnsi="Calibri" w:cs="Calibri"/>
          <w:sz w:val="24"/>
          <w:szCs w:val="24"/>
        </w:rPr>
        <w:t>Z</w:t>
      </w:r>
      <w:r w:rsidR="00731843" w:rsidRPr="00102AB2">
        <w:rPr>
          <w:rFonts w:ascii="Calibri" w:hAnsi="Calibri" w:cs="Calibri"/>
          <w:sz w:val="24"/>
          <w:szCs w:val="24"/>
        </w:rPr>
        <w:t xml:space="preserve"> nich</w:t>
      </w:r>
      <w:r w:rsidR="00D02CA2" w:rsidRPr="00102AB2">
        <w:rPr>
          <w:rFonts w:ascii="Calibri" w:hAnsi="Calibri" w:cs="Calibri"/>
          <w:sz w:val="24"/>
          <w:szCs w:val="24"/>
        </w:rPr>
        <w:t xml:space="preserve"> MŽP v</w:t>
      </w:r>
      <w:r w:rsidR="007405FC" w:rsidRPr="00102AB2">
        <w:rPr>
          <w:rFonts w:ascii="Calibri" w:hAnsi="Calibri" w:cs="Calibri"/>
          <w:sz w:val="24"/>
          <w:szCs w:val="24"/>
        </w:rPr>
        <w:t xml:space="preserve"> </w:t>
      </w:r>
      <w:r w:rsidR="00D02CA2" w:rsidRPr="00102AB2">
        <w:rPr>
          <w:rFonts w:ascii="Calibri" w:hAnsi="Calibri" w:cs="Calibri"/>
          <w:sz w:val="24"/>
          <w:szCs w:val="24"/>
        </w:rPr>
        <w:t>roce 2013</w:t>
      </w:r>
      <w:r w:rsidR="00731843" w:rsidRPr="00102AB2">
        <w:rPr>
          <w:rFonts w:ascii="Calibri" w:hAnsi="Calibri" w:cs="Calibri"/>
          <w:sz w:val="24"/>
          <w:szCs w:val="24"/>
        </w:rPr>
        <w:t xml:space="preserve"> hradilo</w:t>
      </w:r>
      <w:r w:rsidR="00731843" w:rsidRPr="00102AB2">
        <w:rPr>
          <w:rStyle w:val="Znakapoznpodarou"/>
          <w:rFonts w:ascii="Calibri" w:hAnsi="Calibri" w:cs="Calibri"/>
          <w:sz w:val="24"/>
          <w:szCs w:val="24"/>
        </w:rPr>
        <w:footnoteReference w:id="69"/>
      </w:r>
      <w:r w:rsidR="00FB356E" w:rsidRPr="00102AB2">
        <w:rPr>
          <w:rFonts w:ascii="Calibri" w:hAnsi="Calibri" w:cs="Calibri"/>
          <w:sz w:val="24"/>
          <w:szCs w:val="24"/>
        </w:rPr>
        <w:t xml:space="preserve"> mzdy, vzdělávací kur</w:t>
      </w:r>
      <w:r w:rsidR="008E52E4">
        <w:rPr>
          <w:rFonts w:ascii="Calibri" w:hAnsi="Calibri" w:cs="Calibri"/>
          <w:sz w:val="24"/>
          <w:szCs w:val="24"/>
        </w:rPr>
        <w:t>z</w:t>
      </w:r>
      <w:r w:rsidR="00FB356E" w:rsidRPr="00102AB2">
        <w:rPr>
          <w:rFonts w:ascii="Calibri" w:hAnsi="Calibri" w:cs="Calibri"/>
          <w:sz w:val="24"/>
          <w:szCs w:val="24"/>
        </w:rPr>
        <w:t>y a </w:t>
      </w:r>
      <w:r w:rsidR="00D02CA2" w:rsidRPr="00102AB2">
        <w:rPr>
          <w:rFonts w:ascii="Calibri" w:hAnsi="Calibri" w:cs="Calibri"/>
          <w:sz w:val="24"/>
          <w:szCs w:val="24"/>
        </w:rPr>
        <w:t>cestovné pro správce tohoto fondu, hodnocení projektů externími hodnotiteli, výpočetní techniku</w:t>
      </w:r>
      <w:r w:rsidR="009A69BA">
        <w:rPr>
          <w:rFonts w:ascii="Calibri" w:hAnsi="Calibri" w:cs="Calibri"/>
          <w:sz w:val="24"/>
          <w:szCs w:val="24"/>
        </w:rPr>
        <w:t xml:space="preserve"> nebo</w:t>
      </w:r>
      <w:r w:rsidR="00D02CA2" w:rsidRPr="00102AB2">
        <w:rPr>
          <w:rFonts w:ascii="Calibri" w:hAnsi="Calibri" w:cs="Calibri"/>
          <w:sz w:val="24"/>
          <w:szCs w:val="24"/>
        </w:rPr>
        <w:t xml:space="preserve"> tisk programových a projektových brožur. </w:t>
      </w:r>
    </w:p>
    <w:p w:rsidR="007F494E" w:rsidRPr="00102AB2" w:rsidRDefault="007F494E" w:rsidP="00102AB2">
      <w:pPr>
        <w:spacing w:after="0" w:line="240" w:lineRule="auto"/>
        <w:jc w:val="both"/>
        <w:rPr>
          <w:rFonts w:ascii="Calibri" w:hAnsi="Calibri" w:cs="Calibri"/>
          <w:sz w:val="24"/>
          <w:szCs w:val="24"/>
        </w:rPr>
      </w:pPr>
    </w:p>
    <w:p w:rsidR="00A014DC" w:rsidRDefault="007C5E39"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Poskytování peněžních prostředků </w:t>
      </w:r>
      <w:r w:rsidR="00637DEC">
        <w:rPr>
          <w:rFonts w:ascii="Calibri" w:hAnsi="Calibri" w:cs="Calibri"/>
          <w:sz w:val="24"/>
          <w:szCs w:val="24"/>
        </w:rPr>
        <w:t>r</w:t>
      </w:r>
      <w:r w:rsidRPr="00102AB2">
        <w:rPr>
          <w:rFonts w:ascii="Calibri" w:hAnsi="Calibri" w:cs="Calibri"/>
          <w:sz w:val="24"/>
          <w:szCs w:val="24"/>
        </w:rPr>
        <w:t>evolvingového fondu</w:t>
      </w:r>
      <w:r w:rsidR="00A014DC" w:rsidRPr="00102AB2">
        <w:rPr>
          <w:rFonts w:ascii="Calibri" w:hAnsi="Calibri" w:cs="Calibri"/>
          <w:sz w:val="24"/>
          <w:szCs w:val="24"/>
        </w:rPr>
        <w:t xml:space="preserve"> formou grantů </w:t>
      </w:r>
      <w:r w:rsidRPr="00102AB2">
        <w:rPr>
          <w:rFonts w:ascii="Calibri" w:hAnsi="Calibri" w:cs="Calibri"/>
          <w:sz w:val="24"/>
          <w:szCs w:val="24"/>
        </w:rPr>
        <w:t>realizovalo</w:t>
      </w:r>
      <w:r w:rsidR="00A014DC" w:rsidRPr="00102AB2">
        <w:rPr>
          <w:rFonts w:ascii="Calibri" w:hAnsi="Calibri" w:cs="Calibri"/>
          <w:sz w:val="24"/>
          <w:szCs w:val="24"/>
        </w:rPr>
        <w:t xml:space="preserve"> MŽP v průběhu roku 2013 přímo </w:t>
      </w:r>
      <w:r w:rsidR="00164C51" w:rsidRPr="00102AB2">
        <w:rPr>
          <w:rFonts w:ascii="Calibri" w:hAnsi="Calibri" w:cs="Calibri"/>
          <w:sz w:val="24"/>
          <w:szCs w:val="24"/>
        </w:rPr>
        <w:t>z</w:t>
      </w:r>
      <w:r w:rsidR="007405FC" w:rsidRPr="00102AB2">
        <w:rPr>
          <w:rFonts w:ascii="Calibri" w:hAnsi="Calibri" w:cs="Calibri"/>
          <w:sz w:val="24"/>
          <w:szCs w:val="24"/>
        </w:rPr>
        <w:t xml:space="preserve"> </w:t>
      </w:r>
      <w:r w:rsidR="00164C51" w:rsidRPr="00102AB2">
        <w:rPr>
          <w:rFonts w:ascii="Calibri" w:hAnsi="Calibri" w:cs="Calibri"/>
          <w:sz w:val="24"/>
          <w:szCs w:val="24"/>
        </w:rPr>
        <w:t>bankovních účtů</w:t>
      </w:r>
      <w:r w:rsidR="00A014DC" w:rsidRPr="00102AB2">
        <w:rPr>
          <w:rFonts w:ascii="Calibri" w:hAnsi="Calibri" w:cs="Calibri"/>
          <w:sz w:val="24"/>
          <w:szCs w:val="24"/>
        </w:rPr>
        <w:t xml:space="preserve"> </w:t>
      </w:r>
      <w:r w:rsidR="00164C51" w:rsidRPr="00102AB2">
        <w:rPr>
          <w:rFonts w:ascii="Calibri" w:hAnsi="Calibri" w:cs="Calibri"/>
          <w:sz w:val="24"/>
          <w:szCs w:val="24"/>
        </w:rPr>
        <w:t>vedených u komerční bankovní instituce a na ně také přijímalo vrat</w:t>
      </w:r>
      <w:r w:rsidR="00A014DC" w:rsidRPr="00102AB2">
        <w:rPr>
          <w:rFonts w:ascii="Calibri" w:hAnsi="Calibri" w:cs="Calibri"/>
          <w:sz w:val="24"/>
          <w:szCs w:val="24"/>
        </w:rPr>
        <w:t>ky nespotřebovaných prostředků. Takový z</w:t>
      </w:r>
      <w:r w:rsidR="00731843" w:rsidRPr="00102AB2">
        <w:rPr>
          <w:rFonts w:ascii="Calibri" w:hAnsi="Calibri" w:cs="Calibri"/>
          <w:sz w:val="24"/>
          <w:szCs w:val="24"/>
        </w:rPr>
        <w:t xml:space="preserve">působ poskytování </w:t>
      </w:r>
      <w:r w:rsidR="00164C51" w:rsidRPr="00102AB2">
        <w:rPr>
          <w:rFonts w:ascii="Calibri" w:hAnsi="Calibri" w:cs="Calibri"/>
          <w:sz w:val="24"/>
          <w:szCs w:val="24"/>
        </w:rPr>
        <w:t>p</w:t>
      </w:r>
      <w:r w:rsidR="00731843" w:rsidRPr="00102AB2">
        <w:rPr>
          <w:rFonts w:ascii="Calibri" w:hAnsi="Calibri" w:cs="Calibri"/>
          <w:sz w:val="24"/>
          <w:szCs w:val="24"/>
        </w:rPr>
        <w:t>rostředků</w:t>
      </w:r>
      <w:r w:rsidR="00164C51" w:rsidRPr="00102AB2">
        <w:rPr>
          <w:rFonts w:ascii="Calibri" w:hAnsi="Calibri" w:cs="Calibri"/>
          <w:sz w:val="24"/>
          <w:szCs w:val="24"/>
        </w:rPr>
        <w:t xml:space="preserve"> </w:t>
      </w:r>
      <w:r w:rsidR="00A014DC" w:rsidRPr="00102AB2">
        <w:rPr>
          <w:rFonts w:ascii="Calibri" w:hAnsi="Calibri" w:cs="Calibri"/>
          <w:sz w:val="24"/>
          <w:szCs w:val="24"/>
        </w:rPr>
        <w:t>ale není v sou</w:t>
      </w:r>
      <w:r w:rsidR="00164C51" w:rsidRPr="00102AB2">
        <w:rPr>
          <w:rFonts w:ascii="Calibri" w:hAnsi="Calibri" w:cs="Calibri"/>
          <w:sz w:val="24"/>
          <w:szCs w:val="24"/>
        </w:rPr>
        <w:t>ladu s</w:t>
      </w:r>
      <w:r w:rsidR="007405FC" w:rsidRPr="00102AB2">
        <w:rPr>
          <w:rFonts w:ascii="Calibri" w:hAnsi="Calibri" w:cs="Calibri"/>
          <w:sz w:val="24"/>
          <w:szCs w:val="24"/>
        </w:rPr>
        <w:t xml:space="preserve"> </w:t>
      </w:r>
      <w:r w:rsidR="00164C51" w:rsidRPr="00102AB2">
        <w:rPr>
          <w:rFonts w:ascii="Calibri" w:hAnsi="Calibri" w:cs="Calibri"/>
          <w:sz w:val="24"/>
          <w:szCs w:val="24"/>
        </w:rPr>
        <w:t>rozpočtovými pravidly</w:t>
      </w:r>
      <w:r w:rsidR="00A014DC" w:rsidRPr="00102AB2">
        <w:rPr>
          <w:rFonts w:ascii="Calibri" w:hAnsi="Calibri" w:cs="Calibri"/>
          <w:sz w:val="24"/>
          <w:szCs w:val="24"/>
        </w:rPr>
        <w:t>, neboť m</w:t>
      </w:r>
      <w:r w:rsidR="00164C51" w:rsidRPr="00102AB2">
        <w:rPr>
          <w:rFonts w:ascii="Calibri" w:hAnsi="Calibri" w:cs="Calibri"/>
          <w:sz w:val="24"/>
          <w:szCs w:val="24"/>
        </w:rPr>
        <w:t>imorozpočtové prostředky musí být čerpány</w:t>
      </w:r>
      <w:r w:rsidR="000605C5" w:rsidRPr="00102AB2">
        <w:rPr>
          <w:rFonts w:ascii="Calibri" w:hAnsi="Calibri" w:cs="Calibri"/>
          <w:sz w:val="24"/>
          <w:szCs w:val="24"/>
        </w:rPr>
        <w:t xml:space="preserve"> prostřednictvím</w:t>
      </w:r>
      <w:r w:rsidR="00164C51" w:rsidRPr="00102AB2">
        <w:rPr>
          <w:rFonts w:ascii="Calibri" w:hAnsi="Calibri" w:cs="Calibri"/>
          <w:sz w:val="24"/>
          <w:szCs w:val="24"/>
        </w:rPr>
        <w:t xml:space="preserve"> rozpočt</w:t>
      </w:r>
      <w:r w:rsidR="000605C5" w:rsidRPr="00102AB2">
        <w:rPr>
          <w:rFonts w:ascii="Calibri" w:hAnsi="Calibri" w:cs="Calibri"/>
          <w:sz w:val="24"/>
          <w:szCs w:val="24"/>
        </w:rPr>
        <w:t>u</w:t>
      </w:r>
      <w:r w:rsidR="00A014DC" w:rsidRPr="00102AB2">
        <w:rPr>
          <w:rFonts w:ascii="Calibri" w:hAnsi="Calibri" w:cs="Calibri"/>
          <w:sz w:val="24"/>
          <w:szCs w:val="24"/>
        </w:rPr>
        <w:t>.</w:t>
      </w:r>
    </w:p>
    <w:p w:rsidR="007F494E" w:rsidRPr="00102AB2" w:rsidRDefault="007F494E" w:rsidP="00102AB2">
      <w:pPr>
        <w:spacing w:after="0" w:line="240" w:lineRule="auto"/>
        <w:jc w:val="both"/>
        <w:rPr>
          <w:rFonts w:ascii="Calibri" w:hAnsi="Calibri" w:cs="Calibri"/>
          <w:sz w:val="24"/>
          <w:szCs w:val="24"/>
        </w:rPr>
      </w:pPr>
    </w:p>
    <w:p w:rsidR="00F2097A" w:rsidRDefault="00C16B17"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Směrnice MŽP umožňovala, aby se prostředky </w:t>
      </w:r>
      <w:r w:rsidR="00637DEC">
        <w:rPr>
          <w:rFonts w:ascii="Calibri" w:hAnsi="Calibri" w:cs="Calibri"/>
          <w:sz w:val="24"/>
          <w:szCs w:val="24"/>
        </w:rPr>
        <w:t>r</w:t>
      </w:r>
      <w:r w:rsidRPr="00102AB2">
        <w:rPr>
          <w:rFonts w:ascii="Calibri" w:hAnsi="Calibri" w:cs="Calibri"/>
          <w:sz w:val="24"/>
          <w:szCs w:val="24"/>
        </w:rPr>
        <w:t xml:space="preserve">evolvingového fondu MŽP čerpaly na základě smlouvy, což neodpovídá ustanovení § 17 rozpočtových pravidel, podle kterého mohou být </w:t>
      </w:r>
      <w:r w:rsidR="00637DEC" w:rsidRPr="00102AB2">
        <w:rPr>
          <w:rFonts w:ascii="Calibri" w:hAnsi="Calibri" w:cs="Calibri"/>
          <w:sz w:val="24"/>
          <w:szCs w:val="24"/>
        </w:rPr>
        <w:t xml:space="preserve">dotace </w:t>
      </w:r>
      <w:r w:rsidRPr="00102AB2">
        <w:rPr>
          <w:rFonts w:ascii="Calibri" w:hAnsi="Calibri" w:cs="Calibri"/>
          <w:sz w:val="24"/>
          <w:szCs w:val="24"/>
        </w:rPr>
        <w:t>poskytovány na základě dohod uzavíraných mezi poskytovatelem a</w:t>
      </w:r>
      <w:r w:rsidR="00D27C61" w:rsidRPr="00102AB2">
        <w:rPr>
          <w:rFonts w:ascii="Calibri" w:hAnsi="Calibri" w:cs="Calibri"/>
          <w:sz w:val="24"/>
          <w:szCs w:val="24"/>
        </w:rPr>
        <w:t> </w:t>
      </w:r>
      <w:r w:rsidRPr="00102AB2">
        <w:rPr>
          <w:rFonts w:ascii="Calibri" w:hAnsi="Calibri" w:cs="Calibri"/>
          <w:sz w:val="24"/>
          <w:szCs w:val="24"/>
        </w:rPr>
        <w:t>žadatelem jen tehdy, stanoví-li tak zvláštní zákon</w:t>
      </w:r>
      <w:r w:rsidR="00992E78" w:rsidRPr="00102AB2">
        <w:rPr>
          <w:rFonts w:ascii="Calibri" w:hAnsi="Calibri" w:cs="Calibri"/>
          <w:sz w:val="24"/>
          <w:szCs w:val="24"/>
        </w:rPr>
        <w:t xml:space="preserve">, </w:t>
      </w:r>
      <w:r w:rsidRPr="00102AB2">
        <w:rPr>
          <w:rFonts w:ascii="Calibri" w:hAnsi="Calibri" w:cs="Calibri"/>
          <w:sz w:val="24"/>
          <w:szCs w:val="24"/>
        </w:rPr>
        <w:t xml:space="preserve">ani ustanovením § 12 a </w:t>
      </w:r>
      <w:r w:rsidR="00060E38" w:rsidRPr="00102AB2">
        <w:rPr>
          <w:rFonts w:ascii="Calibri" w:hAnsi="Calibri" w:cs="Calibri"/>
          <w:sz w:val="24"/>
          <w:szCs w:val="24"/>
        </w:rPr>
        <w:t xml:space="preserve">§ </w:t>
      </w:r>
      <w:r w:rsidRPr="00102AB2">
        <w:rPr>
          <w:rFonts w:ascii="Calibri" w:hAnsi="Calibri" w:cs="Calibri"/>
          <w:sz w:val="24"/>
          <w:szCs w:val="24"/>
        </w:rPr>
        <w:t>13 rozpočtových pravidel, která k úpravě pravidel postupu při přípravě, schvalování a realizaci programů a akcí s</w:t>
      </w:r>
      <w:r w:rsidR="007405FC" w:rsidRPr="00102AB2">
        <w:rPr>
          <w:rFonts w:ascii="Calibri" w:hAnsi="Calibri" w:cs="Calibri"/>
          <w:sz w:val="24"/>
          <w:szCs w:val="24"/>
        </w:rPr>
        <w:t xml:space="preserve"> </w:t>
      </w:r>
      <w:r w:rsidRPr="00102AB2">
        <w:rPr>
          <w:rFonts w:ascii="Calibri" w:hAnsi="Calibri" w:cs="Calibri"/>
          <w:sz w:val="24"/>
          <w:szCs w:val="24"/>
        </w:rPr>
        <w:t>účastí státního rozpočtu na jejich financování zmocňují právní předpis v</w:t>
      </w:r>
      <w:r w:rsidR="00637DEC">
        <w:rPr>
          <w:rFonts w:ascii="Calibri" w:hAnsi="Calibri" w:cs="Calibri"/>
          <w:sz w:val="24"/>
          <w:szCs w:val="24"/>
        </w:rPr>
        <w:t> </w:t>
      </w:r>
      <w:r w:rsidR="00FB356E" w:rsidRPr="00102AB2">
        <w:rPr>
          <w:rFonts w:ascii="Calibri" w:hAnsi="Calibri" w:cs="Calibri"/>
          <w:sz w:val="24"/>
          <w:szCs w:val="24"/>
        </w:rPr>
        <w:t>podobě vyhlášky</w:t>
      </w:r>
      <w:r w:rsidR="00637DEC">
        <w:rPr>
          <w:rFonts w:ascii="Calibri" w:hAnsi="Calibri" w:cs="Calibri"/>
          <w:sz w:val="24"/>
          <w:szCs w:val="24"/>
        </w:rPr>
        <w:t>,</w:t>
      </w:r>
      <w:r w:rsidR="00FB356E" w:rsidRPr="00102AB2">
        <w:rPr>
          <w:rFonts w:ascii="Calibri" w:hAnsi="Calibri" w:cs="Calibri"/>
          <w:sz w:val="24"/>
          <w:szCs w:val="24"/>
        </w:rPr>
        <w:t xml:space="preserve"> a </w:t>
      </w:r>
      <w:r w:rsidR="00637DEC">
        <w:rPr>
          <w:rFonts w:ascii="Calibri" w:hAnsi="Calibri" w:cs="Calibri"/>
          <w:sz w:val="24"/>
          <w:szCs w:val="24"/>
        </w:rPr>
        <w:t xml:space="preserve">tudíž </w:t>
      </w:r>
      <w:r w:rsidRPr="00102AB2">
        <w:rPr>
          <w:rFonts w:ascii="Calibri" w:hAnsi="Calibri" w:cs="Calibri"/>
          <w:sz w:val="24"/>
          <w:szCs w:val="24"/>
        </w:rPr>
        <w:t>neumožňují, aby tyto otázky upravovala pouze směrnice ministerstva. Při poskytování prostředků bylo vydáváno rozhodnutí o poskytnutí dotace, ve kterém bylo uvedeno, že dotace bude poskytnuta za podmínek stanovených ve smlouvě</w:t>
      </w:r>
      <w:r w:rsidR="00060E38" w:rsidRPr="00102AB2">
        <w:rPr>
          <w:rFonts w:ascii="Calibri" w:hAnsi="Calibri" w:cs="Calibri"/>
          <w:sz w:val="24"/>
          <w:szCs w:val="24"/>
        </w:rPr>
        <w:t xml:space="preserve">, což </w:t>
      </w:r>
      <w:r w:rsidRPr="00102AB2">
        <w:rPr>
          <w:rFonts w:ascii="Calibri" w:hAnsi="Calibri" w:cs="Calibri"/>
          <w:sz w:val="24"/>
          <w:szCs w:val="24"/>
        </w:rPr>
        <w:t xml:space="preserve">neodpovídá </w:t>
      </w:r>
      <w:r w:rsidR="00060E38" w:rsidRPr="00102AB2">
        <w:rPr>
          <w:rFonts w:ascii="Calibri" w:hAnsi="Calibri" w:cs="Calibri"/>
          <w:sz w:val="24"/>
          <w:szCs w:val="24"/>
        </w:rPr>
        <w:t xml:space="preserve">zákonné </w:t>
      </w:r>
      <w:r w:rsidRPr="00102AB2">
        <w:rPr>
          <w:rFonts w:ascii="Calibri" w:hAnsi="Calibri" w:cs="Calibri"/>
          <w:sz w:val="24"/>
          <w:szCs w:val="24"/>
        </w:rPr>
        <w:t xml:space="preserve">úpravě </w:t>
      </w:r>
      <w:r w:rsidR="00D03040" w:rsidRPr="00102AB2">
        <w:rPr>
          <w:rFonts w:ascii="Calibri" w:hAnsi="Calibri" w:cs="Calibri"/>
          <w:sz w:val="24"/>
          <w:szCs w:val="24"/>
        </w:rPr>
        <w:t>v</w:t>
      </w:r>
      <w:r w:rsidR="007405FC" w:rsidRPr="00102AB2">
        <w:rPr>
          <w:rFonts w:ascii="Calibri" w:hAnsi="Calibri" w:cs="Calibri"/>
          <w:sz w:val="24"/>
          <w:szCs w:val="24"/>
        </w:rPr>
        <w:t xml:space="preserve"> </w:t>
      </w:r>
      <w:r w:rsidRPr="00102AB2">
        <w:rPr>
          <w:rFonts w:ascii="Calibri" w:hAnsi="Calibri" w:cs="Calibri"/>
          <w:sz w:val="24"/>
          <w:szCs w:val="24"/>
        </w:rPr>
        <w:t xml:space="preserve">rozpočtových pravidlech. Veškeré podmínky poskytnutí dotace </w:t>
      </w:r>
      <w:r w:rsidR="00060E38" w:rsidRPr="00102AB2">
        <w:rPr>
          <w:rFonts w:ascii="Calibri" w:hAnsi="Calibri" w:cs="Calibri"/>
          <w:sz w:val="24"/>
          <w:szCs w:val="24"/>
        </w:rPr>
        <w:t>dle</w:t>
      </w:r>
      <w:r w:rsidRPr="00102AB2">
        <w:rPr>
          <w:rFonts w:ascii="Calibri" w:hAnsi="Calibri" w:cs="Calibri"/>
          <w:sz w:val="24"/>
          <w:szCs w:val="24"/>
        </w:rPr>
        <w:t xml:space="preserve"> rozpočtových pravidel měly být uvedeny v</w:t>
      </w:r>
      <w:r w:rsidR="007405FC" w:rsidRPr="00102AB2">
        <w:rPr>
          <w:rFonts w:ascii="Calibri" w:hAnsi="Calibri" w:cs="Calibri"/>
          <w:sz w:val="24"/>
          <w:szCs w:val="24"/>
        </w:rPr>
        <w:t xml:space="preserve"> </w:t>
      </w:r>
      <w:r w:rsidRPr="00102AB2">
        <w:rPr>
          <w:rFonts w:ascii="Calibri" w:hAnsi="Calibri" w:cs="Calibri"/>
          <w:sz w:val="24"/>
          <w:szCs w:val="24"/>
        </w:rPr>
        <w:t>samotném rozhodnutí o jejím poskytnutí.</w:t>
      </w:r>
      <w:r w:rsidR="00B72C34" w:rsidRPr="00102AB2">
        <w:rPr>
          <w:rFonts w:ascii="Calibri" w:hAnsi="Calibri" w:cs="Calibri"/>
          <w:sz w:val="24"/>
          <w:szCs w:val="24"/>
        </w:rPr>
        <w:t xml:space="preserve"> </w:t>
      </w:r>
    </w:p>
    <w:p w:rsidR="007F494E" w:rsidRPr="00102AB2" w:rsidRDefault="007F494E" w:rsidP="00102AB2">
      <w:pPr>
        <w:spacing w:after="0" w:line="240" w:lineRule="auto"/>
        <w:jc w:val="both"/>
        <w:rPr>
          <w:rFonts w:ascii="Calibri" w:hAnsi="Calibri" w:cs="Calibri"/>
          <w:sz w:val="24"/>
          <w:szCs w:val="24"/>
        </w:rPr>
      </w:pPr>
    </w:p>
    <w:p w:rsidR="00992E78" w:rsidRDefault="00E81D30"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Peněžní prostředky </w:t>
      </w:r>
      <w:r w:rsidR="00637DEC">
        <w:rPr>
          <w:rFonts w:ascii="Calibri" w:hAnsi="Calibri" w:cs="Calibri"/>
          <w:sz w:val="24"/>
          <w:szCs w:val="24"/>
        </w:rPr>
        <w:t>r</w:t>
      </w:r>
      <w:r w:rsidRPr="00102AB2">
        <w:rPr>
          <w:rFonts w:ascii="Calibri" w:hAnsi="Calibri" w:cs="Calibri"/>
          <w:sz w:val="24"/>
          <w:szCs w:val="24"/>
        </w:rPr>
        <w:t>evolvingového fondu byly vedeny na účtech u komerční bankovní instituce. Konečný zůstatek vykázaný na těchto účtech k</w:t>
      </w:r>
      <w:r w:rsidR="007405FC" w:rsidRPr="00102AB2">
        <w:rPr>
          <w:rFonts w:ascii="Calibri" w:hAnsi="Calibri" w:cs="Calibri"/>
          <w:sz w:val="24"/>
          <w:szCs w:val="24"/>
        </w:rPr>
        <w:t xml:space="preserve"> </w:t>
      </w:r>
      <w:r w:rsidRPr="00102AB2">
        <w:rPr>
          <w:rFonts w:ascii="Calibri" w:hAnsi="Calibri" w:cs="Calibri"/>
          <w:sz w:val="24"/>
          <w:szCs w:val="24"/>
        </w:rPr>
        <w:t>31. prosinci 2012 byl ve výši 54 472 963,32 Kč a k 31. prosinci 2013 byl ve výši 27</w:t>
      </w:r>
      <w:r w:rsidR="007405FC" w:rsidRPr="00102AB2">
        <w:rPr>
          <w:rFonts w:ascii="Calibri" w:hAnsi="Calibri" w:cs="Calibri"/>
          <w:sz w:val="24"/>
          <w:szCs w:val="24"/>
        </w:rPr>
        <w:t xml:space="preserve"> </w:t>
      </w:r>
      <w:r w:rsidRPr="00102AB2">
        <w:rPr>
          <w:rFonts w:ascii="Calibri" w:hAnsi="Calibri" w:cs="Calibri"/>
          <w:sz w:val="24"/>
          <w:szCs w:val="24"/>
        </w:rPr>
        <w:t>708</w:t>
      </w:r>
      <w:r w:rsidR="007405FC" w:rsidRPr="00102AB2">
        <w:rPr>
          <w:rFonts w:ascii="Calibri" w:hAnsi="Calibri" w:cs="Calibri"/>
          <w:sz w:val="24"/>
          <w:szCs w:val="24"/>
        </w:rPr>
        <w:t xml:space="preserve"> </w:t>
      </w:r>
      <w:r w:rsidRPr="00102AB2">
        <w:rPr>
          <w:rFonts w:ascii="Calibri" w:hAnsi="Calibri" w:cs="Calibri"/>
          <w:sz w:val="24"/>
          <w:szCs w:val="24"/>
        </w:rPr>
        <w:t xml:space="preserve">770,16 Kč. </w:t>
      </w:r>
      <w:r w:rsidR="0013454D" w:rsidRPr="00102AB2">
        <w:rPr>
          <w:rFonts w:ascii="Calibri" w:hAnsi="Calibri" w:cs="Calibri"/>
          <w:sz w:val="24"/>
          <w:szCs w:val="24"/>
        </w:rPr>
        <w:t>Vedení</w:t>
      </w:r>
      <w:r w:rsidR="000605C5" w:rsidRPr="00102AB2">
        <w:rPr>
          <w:rFonts w:ascii="Calibri" w:hAnsi="Calibri" w:cs="Calibri"/>
          <w:sz w:val="24"/>
          <w:szCs w:val="24"/>
        </w:rPr>
        <w:t xml:space="preserve"> těchto</w:t>
      </w:r>
      <w:r w:rsidR="0013454D" w:rsidRPr="00102AB2">
        <w:rPr>
          <w:rFonts w:ascii="Calibri" w:hAnsi="Calibri" w:cs="Calibri"/>
          <w:sz w:val="24"/>
          <w:szCs w:val="24"/>
        </w:rPr>
        <w:t xml:space="preserve"> </w:t>
      </w:r>
      <w:r w:rsidR="000605C5" w:rsidRPr="00102AB2">
        <w:rPr>
          <w:rFonts w:ascii="Calibri" w:hAnsi="Calibri" w:cs="Calibri"/>
          <w:sz w:val="24"/>
          <w:szCs w:val="24"/>
        </w:rPr>
        <w:t xml:space="preserve">peněžních </w:t>
      </w:r>
      <w:r w:rsidR="0013454D" w:rsidRPr="00102AB2">
        <w:rPr>
          <w:rFonts w:ascii="Calibri" w:hAnsi="Calibri" w:cs="Calibri"/>
          <w:sz w:val="24"/>
          <w:szCs w:val="24"/>
        </w:rPr>
        <w:t xml:space="preserve">prostředků na účtech </w:t>
      </w:r>
      <w:r w:rsidR="00F2097A" w:rsidRPr="00102AB2">
        <w:rPr>
          <w:rFonts w:ascii="Calibri" w:hAnsi="Calibri" w:cs="Calibri"/>
          <w:sz w:val="24"/>
          <w:szCs w:val="24"/>
        </w:rPr>
        <w:t>u komerční bankovní instituce</w:t>
      </w:r>
      <w:r w:rsidR="00FF07BB" w:rsidRPr="00102AB2">
        <w:rPr>
          <w:rFonts w:ascii="Calibri" w:hAnsi="Calibri" w:cs="Calibri"/>
          <w:sz w:val="24"/>
          <w:szCs w:val="24"/>
        </w:rPr>
        <w:t xml:space="preserve"> </w:t>
      </w:r>
      <w:r w:rsidR="00A16D86" w:rsidRPr="00102AB2">
        <w:rPr>
          <w:rFonts w:ascii="Calibri" w:hAnsi="Calibri" w:cs="Calibri"/>
          <w:sz w:val="24"/>
          <w:szCs w:val="24"/>
        </w:rPr>
        <w:t>není v</w:t>
      </w:r>
      <w:r w:rsidR="007405FC" w:rsidRPr="00102AB2">
        <w:rPr>
          <w:rFonts w:ascii="Calibri" w:hAnsi="Calibri" w:cs="Calibri"/>
          <w:sz w:val="24"/>
          <w:szCs w:val="24"/>
        </w:rPr>
        <w:t xml:space="preserve"> </w:t>
      </w:r>
      <w:r w:rsidR="00A16D86" w:rsidRPr="00102AB2">
        <w:rPr>
          <w:rFonts w:ascii="Calibri" w:hAnsi="Calibri" w:cs="Calibri"/>
          <w:sz w:val="24"/>
          <w:szCs w:val="24"/>
        </w:rPr>
        <w:t xml:space="preserve">souladu s rozpočtovými pravidly. </w:t>
      </w:r>
      <w:r w:rsidR="00A16D86" w:rsidRPr="00102AB2">
        <w:rPr>
          <w:rFonts w:ascii="Calibri" w:hAnsi="Calibri" w:cs="Calibri"/>
          <w:sz w:val="24"/>
          <w:szCs w:val="24"/>
        </w:rPr>
        <w:lastRenderedPageBreak/>
        <w:t>Dle ustanovení čl. II zákona č. 26/2008 Sb., kterým se mění zákon o</w:t>
      </w:r>
      <w:r w:rsidR="00D27C61" w:rsidRPr="00102AB2">
        <w:rPr>
          <w:rFonts w:ascii="Calibri" w:hAnsi="Calibri" w:cs="Calibri"/>
          <w:sz w:val="24"/>
          <w:szCs w:val="24"/>
        </w:rPr>
        <w:t> </w:t>
      </w:r>
      <w:r w:rsidR="00A16D86" w:rsidRPr="00102AB2">
        <w:rPr>
          <w:rFonts w:ascii="Calibri" w:hAnsi="Calibri" w:cs="Calibri"/>
          <w:sz w:val="24"/>
          <w:szCs w:val="24"/>
        </w:rPr>
        <w:t>rozpočtových pravidlech</w:t>
      </w:r>
      <w:r w:rsidR="00A374D2" w:rsidRPr="00102AB2">
        <w:rPr>
          <w:rFonts w:ascii="Calibri" w:hAnsi="Calibri" w:cs="Calibri"/>
          <w:sz w:val="24"/>
          <w:szCs w:val="24"/>
        </w:rPr>
        <w:t>,</w:t>
      </w:r>
      <w:r w:rsidR="00A16D86" w:rsidRPr="00102AB2">
        <w:rPr>
          <w:rFonts w:ascii="Calibri" w:hAnsi="Calibri" w:cs="Calibri"/>
          <w:sz w:val="24"/>
          <w:szCs w:val="24"/>
        </w:rPr>
        <w:t xml:space="preserve"> byla </w:t>
      </w:r>
      <w:r w:rsidR="009A69BA" w:rsidRPr="00102AB2">
        <w:rPr>
          <w:rFonts w:ascii="Calibri" w:hAnsi="Calibri" w:cs="Calibri"/>
          <w:sz w:val="24"/>
          <w:szCs w:val="24"/>
        </w:rPr>
        <w:t>s účinností od 1. března 2008</w:t>
      </w:r>
      <w:r w:rsidR="009A69BA">
        <w:rPr>
          <w:rFonts w:ascii="Calibri" w:hAnsi="Calibri" w:cs="Calibri"/>
          <w:sz w:val="24"/>
          <w:szCs w:val="24"/>
        </w:rPr>
        <w:t xml:space="preserve"> </w:t>
      </w:r>
      <w:r w:rsidR="00A16D86" w:rsidRPr="00102AB2">
        <w:rPr>
          <w:rFonts w:ascii="Calibri" w:hAnsi="Calibri" w:cs="Calibri"/>
          <w:sz w:val="24"/>
          <w:szCs w:val="24"/>
        </w:rPr>
        <w:t>organizační složka státu povinna nejpozději do 6 měsíců ode dne nabytí účinnosti tohoto zákona zrušit mimorozpočtové účty fondů vedené u</w:t>
      </w:r>
      <w:r w:rsidR="00FB356E" w:rsidRPr="00102AB2">
        <w:rPr>
          <w:rFonts w:ascii="Calibri" w:hAnsi="Calibri" w:cs="Calibri"/>
          <w:sz w:val="24"/>
          <w:szCs w:val="24"/>
        </w:rPr>
        <w:t> </w:t>
      </w:r>
      <w:r w:rsidR="00A16D86" w:rsidRPr="00102AB2">
        <w:rPr>
          <w:rFonts w:ascii="Calibri" w:hAnsi="Calibri" w:cs="Calibri"/>
          <w:sz w:val="24"/>
          <w:szCs w:val="24"/>
        </w:rPr>
        <w:t>komerčních bank a zřídit místo nich nové účty u</w:t>
      </w:r>
      <w:r w:rsidR="00D27C61" w:rsidRPr="00102AB2">
        <w:rPr>
          <w:rFonts w:ascii="Calibri" w:hAnsi="Calibri" w:cs="Calibri"/>
          <w:sz w:val="24"/>
          <w:szCs w:val="24"/>
        </w:rPr>
        <w:t> </w:t>
      </w:r>
      <w:r w:rsidR="00A16D86" w:rsidRPr="00102AB2">
        <w:rPr>
          <w:rFonts w:ascii="Calibri" w:hAnsi="Calibri" w:cs="Calibri"/>
          <w:sz w:val="24"/>
          <w:szCs w:val="24"/>
        </w:rPr>
        <w:t xml:space="preserve">České národní banky. Nepřevedení </w:t>
      </w:r>
      <w:r w:rsidR="000605C5" w:rsidRPr="00102AB2">
        <w:rPr>
          <w:rFonts w:ascii="Calibri" w:hAnsi="Calibri" w:cs="Calibri"/>
          <w:sz w:val="24"/>
          <w:szCs w:val="24"/>
        </w:rPr>
        <w:t>peněžních</w:t>
      </w:r>
      <w:r w:rsidR="00A16D86" w:rsidRPr="00102AB2">
        <w:rPr>
          <w:rFonts w:ascii="Calibri" w:hAnsi="Calibri" w:cs="Calibri"/>
          <w:sz w:val="24"/>
          <w:szCs w:val="24"/>
        </w:rPr>
        <w:t xml:space="preserve"> prostředků v</w:t>
      </w:r>
      <w:r w:rsidR="007405FC" w:rsidRPr="00102AB2">
        <w:rPr>
          <w:rFonts w:ascii="Calibri" w:hAnsi="Calibri" w:cs="Calibri"/>
          <w:sz w:val="24"/>
          <w:szCs w:val="24"/>
        </w:rPr>
        <w:t xml:space="preserve"> </w:t>
      </w:r>
      <w:r w:rsidR="00A16D86" w:rsidRPr="00102AB2">
        <w:rPr>
          <w:rFonts w:ascii="Calibri" w:hAnsi="Calibri" w:cs="Calibri"/>
          <w:sz w:val="24"/>
          <w:szCs w:val="24"/>
        </w:rPr>
        <w:t>souladu s</w:t>
      </w:r>
      <w:r w:rsidR="007405FC" w:rsidRPr="00102AB2">
        <w:rPr>
          <w:rFonts w:ascii="Calibri" w:hAnsi="Calibri" w:cs="Calibri"/>
          <w:sz w:val="24"/>
          <w:szCs w:val="24"/>
        </w:rPr>
        <w:t xml:space="preserve"> </w:t>
      </w:r>
      <w:r w:rsidR="00A16D86" w:rsidRPr="00102AB2">
        <w:rPr>
          <w:rFonts w:ascii="Calibri" w:hAnsi="Calibri" w:cs="Calibri"/>
          <w:sz w:val="24"/>
          <w:szCs w:val="24"/>
        </w:rPr>
        <w:t xml:space="preserve">tímto ustanovením </w:t>
      </w:r>
      <w:r w:rsidR="000605C5" w:rsidRPr="00102AB2">
        <w:rPr>
          <w:rFonts w:ascii="Calibri" w:hAnsi="Calibri" w:cs="Calibri"/>
          <w:sz w:val="24"/>
          <w:szCs w:val="24"/>
        </w:rPr>
        <w:t xml:space="preserve">pokládá </w:t>
      </w:r>
      <w:r w:rsidR="00A16D86" w:rsidRPr="00102AB2">
        <w:rPr>
          <w:rFonts w:ascii="Calibri" w:hAnsi="Calibri" w:cs="Calibri"/>
          <w:sz w:val="24"/>
          <w:szCs w:val="24"/>
        </w:rPr>
        <w:t xml:space="preserve">zákon </w:t>
      </w:r>
      <w:r w:rsidR="00060E38" w:rsidRPr="00102AB2">
        <w:rPr>
          <w:rFonts w:ascii="Calibri" w:hAnsi="Calibri" w:cs="Calibri"/>
          <w:sz w:val="24"/>
          <w:szCs w:val="24"/>
        </w:rPr>
        <w:t>o rozpočtových pravidl</w:t>
      </w:r>
      <w:r w:rsidR="00D97004" w:rsidRPr="00102AB2">
        <w:rPr>
          <w:rFonts w:ascii="Calibri" w:hAnsi="Calibri" w:cs="Calibri"/>
          <w:sz w:val="24"/>
          <w:szCs w:val="24"/>
        </w:rPr>
        <w:t>ech</w:t>
      </w:r>
      <w:r w:rsidR="00FB356E" w:rsidRPr="00102AB2">
        <w:rPr>
          <w:rFonts w:ascii="Calibri" w:hAnsi="Calibri" w:cs="Calibri"/>
          <w:sz w:val="24"/>
          <w:szCs w:val="24"/>
        </w:rPr>
        <w:t xml:space="preserve"> </w:t>
      </w:r>
      <w:r w:rsidR="00A16D86" w:rsidRPr="00102AB2">
        <w:rPr>
          <w:rFonts w:ascii="Calibri" w:hAnsi="Calibri" w:cs="Calibri"/>
          <w:sz w:val="24"/>
          <w:szCs w:val="24"/>
        </w:rPr>
        <w:t>za porušení rozpočtové kázně. Následně i zákon č. 501/2012 Sb., kterým se mění zákon o rozpočtových pravidlech</w:t>
      </w:r>
      <w:r w:rsidR="00A374D2" w:rsidRPr="00102AB2">
        <w:rPr>
          <w:rFonts w:ascii="Calibri" w:hAnsi="Calibri" w:cs="Calibri"/>
          <w:sz w:val="24"/>
          <w:szCs w:val="24"/>
        </w:rPr>
        <w:t>,</w:t>
      </w:r>
      <w:r w:rsidR="00A16D86" w:rsidRPr="00102AB2">
        <w:rPr>
          <w:rFonts w:ascii="Calibri" w:hAnsi="Calibri" w:cs="Calibri"/>
          <w:sz w:val="24"/>
          <w:szCs w:val="24"/>
        </w:rPr>
        <w:t xml:space="preserve"> s</w:t>
      </w:r>
      <w:r w:rsidR="007405FC" w:rsidRPr="00102AB2">
        <w:rPr>
          <w:rFonts w:ascii="Calibri" w:hAnsi="Calibri" w:cs="Calibri"/>
          <w:sz w:val="24"/>
          <w:szCs w:val="24"/>
        </w:rPr>
        <w:t xml:space="preserve"> </w:t>
      </w:r>
      <w:r w:rsidR="00A16D86" w:rsidRPr="00102AB2">
        <w:rPr>
          <w:rFonts w:ascii="Calibri" w:hAnsi="Calibri" w:cs="Calibri"/>
          <w:sz w:val="24"/>
          <w:szCs w:val="24"/>
        </w:rPr>
        <w:t>účinností od 1. ledna 2013 tuto povinnost stanovil</w:t>
      </w:r>
      <w:r w:rsidR="00D27C61" w:rsidRPr="00102AB2">
        <w:rPr>
          <w:rFonts w:ascii="Calibri" w:hAnsi="Calibri" w:cs="Calibri"/>
          <w:sz w:val="24"/>
          <w:szCs w:val="24"/>
        </w:rPr>
        <w:t xml:space="preserve"> </w:t>
      </w:r>
      <w:r w:rsidR="00A16D86" w:rsidRPr="00102AB2">
        <w:rPr>
          <w:rFonts w:ascii="Calibri" w:hAnsi="Calibri" w:cs="Calibri"/>
          <w:sz w:val="24"/>
          <w:szCs w:val="24"/>
        </w:rPr>
        <w:t>s termínem nejpozději do 3 měsíců ode dne nabytí účinnosti tohoto zákona s</w:t>
      </w:r>
      <w:r w:rsidR="007405FC" w:rsidRPr="00102AB2">
        <w:rPr>
          <w:rFonts w:ascii="Calibri" w:hAnsi="Calibri" w:cs="Calibri"/>
          <w:sz w:val="24"/>
          <w:szCs w:val="24"/>
        </w:rPr>
        <w:t xml:space="preserve"> </w:t>
      </w:r>
      <w:r w:rsidR="00A16D86" w:rsidRPr="00102AB2">
        <w:rPr>
          <w:rFonts w:ascii="Calibri" w:hAnsi="Calibri" w:cs="Calibri"/>
          <w:sz w:val="24"/>
          <w:szCs w:val="24"/>
        </w:rPr>
        <w:t xml:space="preserve">tím, že nesplnění této povinnosti </w:t>
      </w:r>
      <w:r w:rsidR="00060E38" w:rsidRPr="00102AB2">
        <w:rPr>
          <w:rFonts w:ascii="Calibri" w:hAnsi="Calibri" w:cs="Calibri"/>
          <w:sz w:val="24"/>
          <w:szCs w:val="24"/>
        </w:rPr>
        <w:t>je porušením</w:t>
      </w:r>
      <w:r w:rsidR="00A16D86" w:rsidRPr="00102AB2">
        <w:rPr>
          <w:rFonts w:ascii="Calibri" w:hAnsi="Calibri" w:cs="Calibri"/>
          <w:sz w:val="24"/>
          <w:szCs w:val="24"/>
        </w:rPr>
        <w:t xml:space="preserve"> rozpočtové kázně, na</w:t>
      </w:r>
      <w:r w:rsidR="00FB356E" w:rsidRPr="00102AB2">
        <w:rPr>
          <w:rFonts w:ascii="Calibri" w:hAnsi="Calibri" w:cs="Calibri"/>
          <w:sz w:val="24"/>
          <w:szCs w:val="24"/>
        </w:rPr>
        <w:t xml:space="preserve"> které se vztahují ustanovení § </w:t>
      </w:r>
      <w:r w:rsidR="00A16D86" w:rsidRPr="00102AB2">
        <w:rPr>
          <w:rFonts w:ascii="Calibri" w:hAnsi="Calibri" w:cs="Calibri"/>
          <w:sz w:val="24"/>
          <w:szCs w:val="24"/>
        </w:rPr>
        <w:t xml:space="preserve">44 a 44a </w:t>
      </w:r>
      <w:r w:rsidR="009A69BA">
        <w:rPr>
          <w:rFonts w:ascii="Calibri" w:hAnsi="Calibri" w:cs="Calibri"/>
          <w:sz w:val="24"/>
          <w:szCs w:val="24"/>
        </w:rPr>
        <w:t>rozpočtových pravidel</w:t>
      </w:r>
      <w:r w:rsidR="00A16D86" w:rsidRPr="00102AB2">
        <w:rPr>
          <w:rFonts w:ascii="Calibri" w:hAnsi="Calibri" w:cs="Calibri"/>
          <w:sz w:val="24"/>
          <w:szCs w:val="24"/>
        </w:rPr>
        <w:t xml:space="preserve">. </w:t>
      </w:r>
    </w:p>
    <w:p w:rsidR="007F494E" w:rsidRPr="00102AB2" w:rsidRDefault="007F494E" w:rsidP="00102AB2">
      <w:pPr>
        <w:spacing w:after="0" w:line="240" w:lineRule="auto"/>
        <w:jc w:val="both"/>
        <w:rPr>
          <w:rFonts w:ascii="Calibri" w:hAnsi="Calibri" w:cs="Calibri"/>
          <w:sz w:val="24"/>
          <w:szCs w:val="24"/>
        </w:rPr>
      </w:pPr>
    </w:p>
    <w:p w:rsidR="00D53C19" w:rsidRDefault="00D53C19" w:rsidP="00102AB2">
      <w:pPr>
        <w:spacing w:after="0" w:line="240" w:lineRule="auto"/>
        <w:jc w:val="both"/>
        <w:rPr>
          <w:rFonts w:ascii="Calibri" w:hAnsi="Calibri" w:cs="Calibri"/>
          <w:sz w:val="24"/>
          <w:szCs w:val="24"/>
        </w:rPr>
      </w:pPr>
      <w:r w:rsidRPr="00102AB2">
        <w:rPr>
          <w:rFonts w:ascii="Calibri" w:hAnsi="Calibri" w:cs="Calibri"/>
          <w:sz w:val="24"/>
          <w:szCs w:val="24"/>
        </w:rPr>
        <w:t>O pohybu peněžních prostředků na těchto účtech účtovalo MŽP měsíčně souhrnnou částkou představující změnu stavu peněžních prostředků</w:t>
      </w:r>
      <w:r w:rsidRPr="00102AB2">
        <w:rPr>
          <w:rStyle w:val="Znakapoznpodarou"/>
          <w:rFonts w:ascii="Calibri" w:hAnsi="Calibri" w:cs="Calibri"/>
          <w:sz w:val="24"/>
          <w:szCs w:val="24"/>
        </w:rPr>
        <w:footnoteReference w:id="70"/>
      </w:r>
      <w:r w:rsidRPr="00102AB2">
        <w:rPr>
          <w:rFonts w:ascii="Calibri" w:hAnsi="Calibri" w:cs="Calibri"/>
          <w:sz w:val="24"/>
          <w:szCs w:val="24"/>
        </w:rPr>
        <w:t xml:space="preserve"> na účtech</w:t>
      </w:r>
      <w:r w:rsidR="009A69BA">
        <w:rPr>
          <w:rFonts w:ascii="Calibri" w:hAnsi="Calibri" w:cs="Calibri"/>
          <w:sz w:val="24"/>
          <w:szCs w:val="24"/>
        </w:rPr>
        <w:t>,</w:t>
      </w:r>
      <w:r w:rsidRPr="00102AB2">
        <w:rPr>
          <w:rFonts w:ascii="Calibri" w:hAnsi="Calibri" w:cs="Calibri"/>
          <w:sz w:val="24"/>
          <w:szCs w:val="24"/>
        </w:rPr>
        <w:t xml:space="preserve"> a to účetním zápisem </w:t>
      </w:r>
      <w:r w:rsidR="00D97004" w:rsidRPr="00102AB2">
        <w:rPr>
          <w:rFonts w:ascii="Calibri" w:hAnsi="Calibri" w:cs="Calibri"/>
          <w:sz w:val="24"/>
          <w:szCs w:val="24"/>
        </w:rPr>
        <w:t>n</w:t>
      </w:r>
      <w:r w:rsidRPr="00102AB2">
        <w:rPr>
          <w:rFonts w:ascii="Calibri" w:hAnsi="Calibri" w:cs="Calibri"/>
          <w:sz w:val="24"/>
          <w:szCs w:val="24"/>
        </w:rPr>
        <w:t xml:space="preserve">a stranu „má dáti“ účtu </w:t>
      </w:r>
      <w:r w:rsidRPr="00B02A1B">
        <w:rPr>
          <w:rFonts w:ascii="Calibri" w:hAnsi="Calibri" w:cs="Calibri"/>
          <w:sz w:val="24"/>
          <w:szCs w:val="24"/>
        </w:rPr>
        <w:t>419</w:t>
      </w:r>
      <w:r w:rsidR="00A374D2" w:rsidRPr="00102AB2">
        <w:rPr>
          <w:rFonts w:ascii="Calibri" w:hAnsi="Calibri" w:cs="Calibri"/>
          <w:i/>
          <w:sz w:val="24"/>
          <w:szCs w:val="24"/>
        </w:rPr>
        <w:t xml:space="preserve"> – </w:t>
      </w:r>
      <w:r w:rsidRPr="00102AB2">
        <w:rPr>
          <w:rFonts w:ascii="Calibri" w:hAnsi="Calibri" w:cs="Calibri"/>
          <w:i/>
          <w:sz w:val="24"/>
          <w:szCs w:val="24"/>
        </w:rPr>
        <w:t>Ostatní fondy</w:t>
      </w:r>
      <w:r w:rsidRPr="00102AB2">
        <w:rPr>
          <w:rFonts w:ascii="Calibri" w:hAnsi="Calibri" w:cs="Calibri"/>
          <w:sz w:val="24"/>
          <w:szCs w:val="24"/>
        </w:rPr>
        <w:t xml:space="preserve"> a na stranu „dal“ účtu </w:t>
      </w:r>
      <w:r w:rsidRPr="00B02A1B">
        <w:rPr>
          <w:rFonts w:ascii="Calibri" w:hAnsi="Calibri" w:cs="Calibri"/>
          <w:sz w:val="24"/>
          <w:szCs w:val="24"/>
        </w:rPr>
        <w:t>245</w:t>
      </w:r>
      <w:r w:rsidR="00FD1CE3" w:rsidRPr="00102AB2">
        <w:rPr>
          <w:rFonts w:ascii="Calibri" w:hAnsi="Calibri" w:cs="Calibri"/>
          <w:i/>
          <w:sz w:val="24"/>
          <w:szCs w:val="24"/>
        </w:rPr>
        <w:t xml:space="preserve"> – </w:t>
      </w:r>
      <w:r w:rsidRPr="00102AB2">
        <w:rPr>
          <w:rFonts w:ascii="Calibri" w:hAnsi="Calibri" w:cs="Calibri"/>
          <w:i/>
          <w:sz w:val="24"/>
          <w:szCs w:val="24"/>
        </w:rPr>
        <w:t>Jiné běžné účty</w:t>
      </w:r>
      <w:r w:rsidRPr="00102AB2">
        <w:rPr>
          <w:rFonts w:ascii="Calibri" w:hAnsi="Calibri" w:cs="Calibri"/>
          <w:sz w:val="24"/>
          <w:szCs w:val="24"/>
        </w:rPr>
        <w:t xml:space="preserve">. O dalších účetních případech </w:t>
      </w:r>
      <w:r w:rsidR="00637DEC">
        <w:rPr>
          <w:rFonts w:ascii="Calibri" w:hAnsi="Calibri" w:cs="Calibri"/>
          <w:sz w:val="24"/>
          <w:szCs w:val="24"/>
        </w:rPr>
        <w:t>(</w:t>
      </w:r>
      <w:r w:rsidRPr="00102AB2">
        <w:rPr>
          <w:rFonts w:ascii="Calibri" w:hAnsi="Calibri" w:cs="Calibri"/>
          <w:sz w:val="24"/>
          <w:szCs w:val="24"/>
        </w:rPr>
        <w:t>např. o</w:t>
      </w:r>
      <w:r w:rsidR="00D27C61" w:rsidRPr="00102AB2">
        <w:rPr>
          <w:rFonts w:ascii="Calibri" w:hAnsi="Calibri" w:cs="Calibri"/>
          <w:sz w:val="24"/>
          <w:szCs w:val="24"/>
        </w:rPr>
        <w:t> </w:t>
      </w:r>
      <w:r w:rsidRPr="00102AB2">
        <w:rPr>
          <w:rFonts w:ascii="Calibri" w:hAnsi="Calibri" w:cs="Calibri"/>
          <w:sz w:val="24"/>
          <w:szCs w:val="24"/>
        </w:rPr>
        <w:t>rozhodnutí</w:t>
      </w:r>
      <w:r w:rsidR="009A69BA">
        <w:rPr>
          <w:rFonts w:ascii="Calibri" w:hAnsi="Calibri" w:cs="Calibri"/>
          <w:sz w:val="24"/>
          <w:szCs w:val="24"/>
        </w:rPr>
        <w:t>ch</w:t>
      </w:r>
      <w:r w:rsidRPr="00102AB2">
        <w:rPr>
          <w:rFonts w:ascii="Calibri" w:hAnsi="Calibri" w:cs="Calibri"/>
          <w:sz w:val="24"/>
          <w:szCs w:val="24"/>
        </w:rPr>
        <w:t xml:space="preserve"> o poskytnutí peněžních prostředků</w:t>
      </w:r>
      <w:r w:rsidR="00637DEC">
        <w:rPr>
          <w:rFonts w:ascii="Calibri" w:hAnsi="Calibri" w:cs="Calibri"/>
          <w:sz w:val="24"/>
          <w:szCs w:val="24"/>
        </w:rPr>
        <w:t>)</w:t>
      </w:r>
      <w:r w:rsidRPr="00102AB2">
        <w:rPr>
          <w:rFonts w:ascii="Calibri" w:hAnsi="Calibri" w:cs="Calibri"/>
          <w:sz w:val="24"/>
          <w:szCs w:val="24"/>
        </w:rPr>
        <w:t xml:space="preserve"> účtováno nebylo.</w:t>
      </w:r>
      <w:r w:rsidR="00637DEC">
        <w:rPr>
          <w:rFonts w:ascii="Calibri" w:hAnsi="Calibri" w:cs="Calibri"/>
          <w:sz w:val="24"/>
          <w:szCs w:val="24"/>
        </w:rPr>
        <w:t xml:space="preserve"> </w:t>
      </w:r>
      <w:r w:rsidR="002C2BBD" w:rsidRPr="00102AB2">
        <w:rPr>
          <w:rFonts w:ascii="Calibri" w:hAnsi="Calibri" w:cs="Calibri"/>
          <w:sz w:val="24"/>
          <w:szCs w:val="24"/>
        </w:rPr>
        <w:t xml:space="preserve">Uvedeným postupem </w:t>
      </w:r>
      <w:r w:rsidRPr="00102AB2">
        <w:rPr>
          <w:rFonts w:ascii="Calibri" w:hAnsi="Calibri" w:cs="Calibri"/>
          <w:sz w:val="24"/>
          <w:szCs w:val="24"/>
        </w:rPr>
        <w:t xml:space="preserve">MŽP porušilo zákon o účetnictví, </w:t>
      </w:r>
      <w:r w:rsidR="002C2BBD" w:rsidRPr="00102AB2">
        <w:rPr>
          <w:rFonts w:ascii="Calibri" w:hAnsi="Calibri" w:cs="Calibri"/>
          <w:sz w:val="24"/>
          <w:szCs w:val="24"/>
        </w:rPr>
        <w:t>neboť</w:t>
      </w:r>
      <w:r w:rsidR="00C45798">
        <w:rPr>
          <w:rFonts w:ascii="Calibri" w:hAnsi="Calibri" w:cs="Calibri"/>
          <w:sz w:val="24"/>
          <w:szCs w:val="24"/>
        </w:rPr>
        <w:t xml:space="preserve"> neúčtovalo o </w:t>
      </w:r>
      <w:r w:rsidRPr="00102AB2">
        <w:rPr>
          <w:rFonts w:ascii="Calibri" w:hAnsi="Calibri" w:cs="Calibri"/>
          <w:sz w:val="24"/>
          <w:szCs w:val="24"/>
        </w:rPr>
        <w:t>jednotlivých účetních případech k okamžiku jejich uskutečnění</w:t>
      </w:r>
      <w:r w:rsidR="00637DEC">
        <w:rPr>
          <w:rFonts w:ascii="Calibri" w:hAnsi="Calibri" w:cs="Calibri"/>
          <w:sz w:val="24"/>
          <w:szCs w:val="24"/>
        </w:rPr>
        <w:t>,</w:t>
      </w:r>
      <w:r w:rsidRPr="00102AB2">
        <w:rPr>
          <w:rFonts w:ascii="Calibri" w:hAnsi="Calibri" w:cs="Calibri"/>
          <w:sz w:val="24"/>
          <w:szCs w:val="24"/>
        </w:rPr>
        <w:t xml:space="preserve"> a nevedlo </w:t>
      </w:r>
      <w:r w:rsidR="00637DEC">
        <w:rPr>
          <w:rFonts w:ascii="Calibri" w:hAnsi="Calibri" w:cs="Calibri"/>
          <w:sz w:val="24"/>
          <w:szCs w:val="24"/>
        </w:rPr>
        <w:t>tedy</w:t>
      </w:r>
      <w:r w:rsidRPr="00102AB2">
        <w:rPr>
          <w:rFonts w:ascii="Calibri" w:hAnsi="Calibri" w:cs="Calibri"/>
          <w:sz w:val="24"/>
          <w:szCs w:val="24"/>
        </w:rPr>
        <w:t xml:space="preserve"> úplné účetnictví ve smyslu ustanovení § 8 odst.</w:t>
      </w:r>
      <w:r w:rsidR="00C16B7A" w:rsidRPr="00102AB2">
        <w:rPr>
          <w:rFonts w:ascii="Calibri" w:hAnsi="Calibri" w:cs="Calibri"/>
          <w:sz w:val="24"/>
          <w:szCs w:val="24"/>
        </w:rPr>
        <w:t> </w:t>
      </w:r>
      <w:r w:rsidRPr="00102AB2">
        <w:rPr>
          <w:rFonts w:ascii="Calibri" w:hAnsi="Calibri" w:cs="Calibri"/>
          <w:sz w:val="24"/>
          <w:szCs w:val="24"/>
        </w:rPr>
        <w:t>3 zákona o účetnictví.</w:t>
      </w:r>
    </w:p>
    <w:p w:rsidR="007F494E" w:rsidRPr="00102AB2" w:rsidRDefault="007F494E" w:rsidP="00102AB2">
      <w:pPr>
        <w:spacing w:after="0" w:line="240" w:lineRule="auto"/>
        <w:jc w:val="both"/>
        <w:rPr>
          <w:rFonts w:ascii="Calibri" w:hAnsi="Calibri" w:cs="Calibri"/>
          <w:sz w:val="24"/>
          <w:szCs w:val="24"/>
        </w:rPr>
      </w:pPr>
    </w:p>
    <w:p w:rsidR="001F41BF" w:rsidRPr="00102AB2" w:rsidRDefault="001F41BF" w:rsidP="00102AB2">
      <w:pPr>
        <w:spacing w:after="0" w:line="240" w:lineRule="auto"/>
        <w:jc w:val="both"/>
        <w:rPr>
          <w:rFonts w:ascii="Calibri" w:hAnsi="Calibri" w:cs="Calibri"/>
          <w:b/>
          <w:i/>
          <w:sz w:val="24"/>
          <w:szCs w:val="24"/>
        </w:rPr>
      </w:pPr>
      <w:r w:rsidRPr="00102AB2">
        <w:rPr>
          <w:rFonts w:ascii="Calibri" w:hAnsi="Calibri" w:cs="Calibri"/>
          <w:b/>
          <w:i/>
          <w:sz w:val="24"/>
          <w:szCs w:val="24"/>
        </w:rPr>
        <w:t xml:space="preserve">Prostředky </w:t>
      </w:r>
      <w:proofErr w:type="spellStart"/>
      <w:r w:rsidRPr="00102AB2">
        <w:rPr>
          <w:rFonts w:ascii="Calibri" w:hAnsi="Calibri" w:cs="Calibri"/>
          <w:b/>
          <w:i/>
          <w:sz w:val="24"/>
          <w:szCs w:val="24"/>
        </w:rPr>
        <w:t>twinningových</w:t>
      </w:r>
      <w:proofErr w:type="spellEnd"/>
      <w:r w:rsidRPr="00102AB2">
        <w:rPr>
          <w:rFonts w:ascii="Calibri" w:hAnsi="Calibri" w:cs="Calibri"/>
          <w:b/>
          <w:i/>
          <w:sz w:val="24"/>
          <w:szCs w:val="24"/>
        </w:rPr>
        <w:t xml:space="preserve"> projektů</w:t>
      </w:r>
      <w:r w:rsidR="00384F73" w:rsidRPr="00102AB2">
        <w:rPr>
          <w:rFonts w:ascii="Calibri" w:hAnsi="Calibri" w:cs="Calibri"/>
          <w:b/>
          <w:i/>
          <w:sz w:val="24"/>
          <w:szCs w:val="24"/>
        </w:rPr>
        <w:t xml:space="preserve"> </w:t>
      </w:r>
    </w:p>
    <w:p w:rsidR="007F494E" w:rsidRDefault="007F494E" w:rsidP="00102AB2">
      <w:pPr>
        <w:spacing w:after="0" w:line="240" w:lineRule="auto"/>
        <w:jc w:val="both"/>
        <w:rPr>
          <w:rFonts w:ascii="Calibri" w:hAnsi="Calibri" w:cs="Calibri"/>
          <w:sz w:val="24"/>
          <w:szCs w:val="24"/>
        </w:rPr>
      </w:pPr>
    </w:p>
    <w:p w:rsidR="00733D09" w:rsidRDefault="00114CBE"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MŽP má u </w:t>
      </w:r>
      <w:proofErr w:type="spellStart"/>
      <w:r w:rsidRPr="00102AB2">
        <w:rPr>
          <w:rFonts w:ascii="Calibri" w:hAnsi="Calibri" w:cs="Calibri"/>
          <w:sz w:val="24"/>
          <w:szCs w:val="24"/>
        </w:rPr>
        <w:t>twinningových</w:t>
      </w:r>
      <w:proofErr w:type="spellEnd"/>
      <w:r w:rsidRPr="00102AB2">
        <w:rPr>
          <w:rFonts w:ascii="Calibri" w:hAnsi="Calibri" w:cs="Calibri"/>
          <w:sz w:val="24"/>
          <w:szCs w:val="24"/>
        </w:rPr>
        <w:t xml:space="preserve"> projektů roli administrátora peněžních prostředků vyhrazených Evropskou komisí na </w:t>
      </w:r>
      <w:proofErr w:type="spellStart"/>
      <w:r w:rsidRPr="00102AB2">
        <w:rPr>
          <w:rFonts w:ascii="Calibri" w:hAnsi="Calibri" w:cs="Calibri"/>
          <w:sz w:val="24"/>
          <w:szCs w:val="24"/>
        </w:rPr>
        <w:t>twinningové</w:t>
      </w:r>
      <w:proofErr w:type="spellEnd"/>
      <w:r w:rsidRPr="00102AB2">
        <w:rPr>
          <w:rFonts w:ascii="Calibri" w:hAnsi="Calibri" w:cs="Calibri"/>
          <w:sz w:val="24"/>
          <w:szCs w:val="24"/>
        </w:rPr>
        <w:t xml:space="preserve"> aktivity, které jsou programovou záležitostí celé Evropské unie ve vztahu k</w:t>
      </w:r>
      <w:r w:rsidR="007405FC" w:rsidRPr="00102AB2">
        <w:rPr>
          <w:rFonts w:ascii="Calibri" w:hAnsi="Calibri" w:cs="Calibri"/>
          <w:sz w:val="24"/>
          <w:szCs w:val="24"/>
        </w:rPr>
        <w:t xml:space="preserve"> </w:t>
      </w:r>
      <w:r w:rsidRPr="00102AB2">
        <w:rPr>
          <w:rFonts w:ascii="Calibri" w:hAnsi="Calibri" w:cs="Calibri"/>
          <w:sz w:val="24"/>
          <w:szCs w:val="24"/>
        </w:rPr>
        <w:t>přijímající zem</w:t>
      </w:r>
      <w:r w:rsidR="00992E78" w:rsidRPr="00102AB2">
        <w:rPr>
          <w:rFonts w:ascii="Calibri" w:hAnsi="Calibri" w:cs="Calibri"/>
          <w:sz w:val="24"/>
          <w:szCs w:val="24"/>
        </w:rPr>
        <w:t>i</w:t>
      </w:r>
      <w:r w:rsidRPr="00102AB2">
        <w:rPr>
          <w:rFonts w:ascii="Calibri" w:hAnsi="Calibri" w:cs="Calibri"/>
          <w:sz w:val="24"/>
          <w:szCs w:val="24"/>
        </w:rPr>
        <w:t>. Jde o prostředky Evropské unie určené podle konkrétního projektu na aktivity konané pro zemi příjemce pomoci, která je v</w:t>
      </w:r>
      <w:r w:rsidR="007405FC" w:rsidRPr="00102AB2">
        <w:rPr>
          <w:rFonts w:ascii="Calibri" w:hAnsi="Calibri" w:cs="Calibri"/>
          <w:sz w:val="24"/>
          <w:szCs w:val="24"/>
        </w:rPr>
        <w:t xml:space="preserve"> </w:t>
      </w:r>
      <w:r w:rsidRPr="00102AB2">
        <w:rPr>
          <w:rFonts w:ascii="Calibri" w:hAnsi="Calibri" w:cs="Calibri"/>
          <w:sz w:val="24"/>
          <w:szCs w:val="24"/>
        </w:rPr>
        <w:t xml:space="preserve">předvstupní fázi a jíž se poskytuje předvstupní pomoc ve formě realizace </w:t>
      </w:r>
      <w:proofErr w:type="spellStart"/>
      <w:r w:rsidRPr="00102AB2">
        <w:rPr>
          <w:rFonts w:ascii="Calibri" w:hAnsi="Calibri" w:cs="Calibri"/>
          <w:sz w:val="24"/>
          <w:szCs w:val="24"/>
        </w:rPr>
        <w:t>twinningového</w:t>
      </w:r>
      <w:proofErr w:type="spellEnd"/>
      <w:r w:rsidRPr="00102AB2">
        <w:rPr>
          <w:rFonts w:ascii="Calibri" w:hAnsi="Calibri" w:cs="Calibri"/>
          <w:sz w:val="24"/>
          <w:szCs w:val="24"/>
        </w:rPr>
        <w:t xml:space="preserve"> projektu. </w:t>
      </w:r>
    </w:p>
    <w:p w:rsidR="007F494E" w:rsidRPr="00102AB2" w:rsidRDefault="007F494E" w:rsidP="00102AB2">
      <w:pPr>
        <w:spacing w:after="0" w:line="240" w:lineRule="auto"/>
        <w:jc w:val="both"/>
        <w:rPr>
          <w:rFonts w:ascii="Calibri" w:hAnsi="Calibri" w:cs="Calibri"/>
          <w:sz w:val="24"/>
          <w:szCs w:val="24"/>
        </w:rPr>
      </w:pPr>
    </w:p>
    <w:p w:rsidR="00733D09" w:rsidRDefault="00733D09" w:rsidP="00102AB2">
      <w:pPr>
        <w:spacing w:after="0" w:line="240" w:lineRule="auto"/>
        <w:jc w:val="both"/>
        <w:rPr>
          <w:rFonts w:ascii="Calibri" w:hAnsi="Calibri" w:cs="Calibri"/>
          <w:sz w:val="24"/>
          <w:szCs w:val="24"/>
        </w:rPr>
      </w:pPr>
      <w:r w:rsidRPr="00102AB2">
        <w:rPr>
          <w:rFonts w:ascii="Calibri" w:hAnsi="Calibri" w:cs="Calibri"/>
          <w:sz w:val="24"/>
          <w:szCs w:val="24"/>
        </w:rPr>
        <w:t>Tyto skutečnosti vyplývají z</w:t>
      </w:r>
      <w:r w:rsidR="007405FC" w:rsidRPr="00102AB2">
        <w:rPr>
          <w:rFonts w:ascii="Calibri" w:hAnsi="Calibri" w:cs="Calibri"/>
          <w:sz w:val="24"/>
          <w:szCs w:val="24"/>
        </w:rPr>
        <w:t xml:space="preserve"> </w:t>
      </w:r>
      <w:r w:rsidRPr="00102AB2">
        <w:rPr>
          <w:rFonts w:ascii="Calibri" w:hAnsi="Calibri" w:cs="Calibri"/>
          <w:sz w:val="24"/>
          <w:szCs w:val="24"/>
        </w:rPr>
        <w:t xml:space="preserve">přímo použitelných nařízení Evropské unie </w:t>
      </w:r>
      <w:r w:rsidR="00A374D2" w:rsidRPr="00102AB2">
        <w:rPr>
          <w:rFonts w:ascii="Calibri" w:hAnsi="Calibri" w:cs="Calibri"/>
          <w:sz w:val="24"/>
          <w:szCs w:val="24"/>
        </w:rPr>
        <w:t>–</w:t>
      </w:r>
      <w:r w:rsidRPr="00102AB2">
        <w:rPr>
          <w:rFonts w:ascii="Calibri" w:hAnsi="Calibri" w:cs="Calibri"/>
          <w:sz w:val="24"/>
          <w:szCs w:val="24"/>
        </w:rPr>
        <w:t xml:space="preserve"> z</w:t>
      </w:r>
      <w:r w:rsidR="007405FC" w:rsidRPr="00102AB2">
        <w:rPr>
          <w:rFonts w:ascii="Calibri" w:hAnsi="Calibri" w:cs="Calibri"/>
          <w:sz w:val="24"/>
          <w:szCs w:val="24"/>
        </w:rPr>
        <w:t xml:space="preserve"> </w:t>
      </w:r>
      <w:r w:rsidRPr="00102AB2">
        <w:rPr>
          <w:rFonts w:ascii="Calibri" w:hAnsi="Calibri" w:cs="Calibri"/>
          <w:sz w:val="24"/>
          <w:szCs w:val="24"/>
        </w:rPr>
        <w:t>ustanovení čl. 13 odst. 2 nařízení Rady (ES) č. 1085/2006</w:t>
      </w:r>
      <w:r w:rsidRPr="00102AB2">
        <w:rPr>
          <w:rStyle w:val="Znakapoznpodarou"/>
          <w:rFonts w:ascii="Calibri" w:hAnsi="Calibri" w:cs="Calibri"/>
          <w:sz w:val="24"/>
          <w:szCs w:val="24"/>
        </w:rPr>
        <w:footnoteReference w:id="71"/>
      </w:r>
      <w:r w:rsidRPr="00102AB2">
        <w:rPr>
          <w:rFonts w:ascii="Calibri" w:hAnsi="Calibri" w:cs="Calibri"/>
          <w:sz w:val="24"/>
          <w:szCs w:val="24"/>
        </w:rPr>
        <w:t>, z ustanovení čl. 15</w:t>
      </w:r>
      <w:r w:rsidR="00C45798">
        <w:rPr>
          <w:rFonts w:ascii="Calibri" w:hAnsi="Calibri" w:cs="Calibri"/>
          <w:sz w:val="24"/>
          <w:szCs w:val="24"/>
        </w:rPr>
        <w:t xml:space="preserve"> odst. 2 tohoto nařízení Rady a </w:t>
      </w:r>
      <w:r w:rsidRPr="00102AB2">
        <w:rPr>
          <w:rFonts w:ascii="Calibri" w:hAnsi="Calibri" w:cs="Calibri"/>
          <w:sz w:val="24"/>
          <w:szCs w:val="24"/>
        </w:rPr>
        <w:t>z</w:t>
      </w:r>
      <w:r w:rsidR="00C45798">
        <w:rPr>
          <w:rFonts w:ascii="Calibri" w:hAnsi="Calibri" w:cs="Calibri"/>
          <w:sz w:val="24"/>
          <w:szCs w:val="24"/>
        </w:rPr>
        <w:t> </w:t>
      </w:r>
      <w:r w:rsidRPr="00102AB2">
        <w:rPr>
          <w:rFonts w:ascii="Calibri" w:hAnsi="Calibri" w:cs="Calibri"/>
          <w:sz w:val="24"/>
          <w:szCs w:val="24"/>
        </w:rPr>
        <w:t>ustanovení čl. 77 nařízení Komise (ES) č. 718/2007</w:t>
      </w:r>
      <w:r w:rsidRPr="00102AB2">
        <w:rPr>
          <w:rStyle w:val="Znakapoznpodarou"/>
          <w:rFonts w:ascii="Calibri" w:hAnsi="Calibri" w:cs="Calibri"/>
          <w:sz w:val="24"/>
          <w:szCs w:val="24"/>
        </w:rPr>
        <w:footnoteReference w:id="72"/>
      </w:r>
      <w:r w:rsidRPr="00102AB2">
        <w:rPr>
          <w:rFonts w:ascii="Calibri" w:hAnsi="Calibri" w:cs="Calibri"/>
          <w:sz w:val="24"/>
          <w:szCs w:val="24"/>
        </w:rPr>
        <w:t>.</w:t>
      </w:r>
    </w:p>
    <w:p w:rsidR="007F494E" w:rsidRPr="00102AB2" w:rsidRDefault="007F494E" w:rsidP="00102AB2">
      <w:pPr>
        <w:spacing w:after="0" w:line="240" w:lineRule="auto"/>
        <w:jc w:val="both"/>
        <w:rPr>
          <w:rFonts w:ascii="Calibri" w:hAnsi="Calibri" w:cs="Calibri"/>
          <w:sz w:val="24"/>
          <w:szCs w:val="24"/>
        </w:rPr>
      </w:pPr>
    </w:p>
    <w:p w:rsidR="00114CBE" w:rsidRDefault="00114CBE"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Nejde tedy o prostředky, které by měly vstupovat do příjmové stránky státního rozpočtu členských zemí Evropské unie, které se na realizaci </w:t>
      </w:r>
      <w:proofErr w:type="spellStart"/>
      <w:r w:rsidRPr="00102AB2">
        <w:rPr>
          <w:rFonts w:ascii="Calibri" w:hAnsi="Calibri" w:cs="Calibri"/>
          <w:sz w:val="24"/>
          <w:szCs w:val="24"/>
        </w:rPr>
        <w:t>twinningových</w:t>
      </w:r>
      <w:proofErr w:type="spellEnd"/>
      <w:r w:rsidRPr="00102AB2">
        <w:rPr>
          <w:rFonts w:ascii="Calibri" w:hAnsi="Calibri" w:cs="Calibri"/>
          <w:sz w:val="24"/>
          <w:szCs w:val="24"/>
        </w:rPr>
        <w:t xml:space="preserve"> projektů podílejí a pomoc Evropské unie v</w:t>
      </w:r>
      <w:r w:rsidR="007405FC" w:rsidRPr="00102AB2">
        <w:rPr>
          <w:rFonts w:ascii="Calibri" w:hAnsi="Calibri" w:cs="Calibri"/>
          <w:sz w:val="24"/>
          <w:szCs w:val="24"/>
        </w:rPr>
        <w:t xml:space="preserve"> </w:t>
      </w:r>
      <w:r w:rsidRPr="00102AB2">
        <w:rPr>
          <w:rFonts w:ascii="Calibri" w:hAnsi="Calibri" w:cs="Calibri"/>
          <w:sz w:val="24"/>
          <w:szCs w:val="24"/>
        </w:rPr>
        <w:t xml:space="preserve">podstatě jen zprostředkovávají. </w:t>
      </w:r>
      <w:r w:rsidR="00F86263" w:rsidRPr="00102AB2">
        <w:rPr>
          <w:rFonts w:ascii="Calibri" w:hAnsi="Calibri" w:cs="Calibri"/>
          <w:sz w:val="24"/>
          <w:szCs w:val="24"/>
        </w:rPr>
        <w:t xml:space="preserve">Prostředky </w:t>
      </w:r>
      <w:proofErr w:type="spellStart"/>
      <w:r w:rsidR="00F86263" w:rsidRPr="00102AB2">
        <w:rPr>
          <w:rFonts w:ascii="Calibri" w:hAnsi="Calibri" w:cs="Calibri"/>
          <w:sz w:val="24"/>
          <w:szCs w:val="24"/>
        </w:rPr>
        <w:t>twinningových</w:t>
      </w:r>
      <w:proofErr w:type="spellEnd"/>
      <w:r w:rsidR="00F86263" w:rsidRPr="00102AB2">
        <w:rPr>
          <w:rFonts w:ascii="Calibri" w:hAnsi="Calibri" w:cs="Calibri"/>
          <w:sz w:val="24"/>
          <w:szCs w:val="24"/>
        </w:rPr>
        <w:t xml:space="preserve"> projektů </w:t>
      </w:r>
      <w:r w:rsidRPr="00102AB2">
        <w:rPr>
          <w:rFonts w:ascii="Calibri" w:hAnsi="Calibri" w:cs="Calibri"/>
          <w:sz w:val="24"/>
          <w:szCs w:val="24"/>
        </w:rPr>
        <w:t>proto</w:t>
      </w:r>
      <w:r w:rsidR="00F86263" w:rsidRPr="00102AB2">
        <w:rPr>
          <w:rFonts w:ascii="Calibri" w:hAnsi="Calibri" w:cs="Calibri"/>
          <w:sz w:val="24"/>
          <w:szCs w:val="24"/>
        </w:rPr>
        <w:t xml:space="preserve"> nelze považovat za prostředky České republiky, ale za mimorozpočtové zdroje</w:t>
      </w:r>
      <w:r w:rsidR="009133A4" w:rsidRPr="00102AB2">
        <w:rPr>
          <w:rFonts w:ascii="Calibri" w:hAnsi="Calibri" w:cs="Calibri"/>
          <w:sz w:val="24"/>
          <w:szCs w:val="24"/>
        </w:rPr>
        <w:t>.</w:t>
      </w:r>
      <w:r w:rsidR="00F86263" w:rsidRPr="00102AB2">
        <w:rPr>
          <w:rFonts w:ascii="Calibri" w:hAnsi="Calibri" w:cs="Calibri"/>
          <w:sz w:val="24"/>
          <w:szCs w:val="24"/>
        </w:rPr>
        <w:t xml:space="preserve"> </w:t>
      </w:r>
    </w:p>
    <w:p w:rsidR="007F494E" w:rsidRPr="00102AB2" w:rsidRDefault="007F494E" w:rsidP="00102AB2">
      <w:pPr>
        <w:spacing w:after="0" w:line="240" w:lineRule="auto"/>
        <w:jc w:val="both"/>
        <w:rPr>
          <w:rFonts w:ascii="Calibri" w:hAnsi="Calibri" w:cs="Calibri"/>
          <w:sz w:val="24"/>
          <w:szCs w:val="24"/>
        </w:rPr>
      </w:pPr>
    </w:p>
    <w:p w:rsidR="009133A4" w:rsidRDefault="009133A4" w:rsidP="00102AB2">
      <w:pPr>
        <w:spacing w:after="0" w:line="240" w:lineRule="auto"/>
        <w:jc w:val="both"/>
        <w:rPr>
          <w:rFonts w:ascii="Calibri" w:hAnsi="Calibri" w:cs="Calibri"/>
          <w:sz w:val="24"/>
          <w:szCs w:val="24"/>
        </w:rPr>
      </w:pPr>
      <w:r w:rsidRPr="00102AB2">
        <w:rPr>
          <w:rFonts w:ascii="Calibri" w:hAnsi="Calibri" w:cs="Calibri"/>
          <w:sz w:val="24"/>
          <w:szCs w:val="24"/>
        </w:rPr>
        <w:t>MŽP kvalifikovalo tyto prostředky jako mimorozpočtové zdroje</w:t>
      </w:r>
      <w:r w:rsidR="00FF07BB" w:rsidRPr="00102AB2">
        <w:rPr>
          <w:rFonts w:ascii="Calibri" w:hAnsi="Calibri" w:cs="Calibri"/>
          <w:sz w:val="24"/>
          <w:szCs w:val="24"/>
        </w:rPr>
        <w:t xml:space="preserve"> a</w:t>
      </w:r>
      <w:r w:rsidRPr="00102AB2">
        <w:rPr>
          <w:rFonts w:ascii="Calibri" w:hAnsi="Calibri" w:cs="Calibri"/>
          <w:sz w:val="24"/>
          <w:szCs w:val="24"/>
        </w:rPr>
        <w:t xml:space="preserve"> vytvořilo z</w:t>
      </w:r>
      <w:r w:rsidR="007405FC" w:rsidRPr="00102AB2">
        <w:rPr>
          <w:rFonts w:ascii="Calibri" w:hAnsi="Calibri" w:cs="Calibri"/>
          <w:sz w:val="24"/>
          <w:szCs w:val="24"/>
        </w:rPr>
        <w:t xml:space="preserve"> </w:t>
      </w:r>
      <w:r w:rsidRPr="00102AB2">
        <w:rPr>
          <w:rFonts w:ascii="Calibri" w:hAnsi="Calibri" w:cs="Calibri"/>
          <w:sz w:val="24"/>
          <w:szCs w:val="24"/>
        </w:rPr>
        <w:t>nich „ostatní fond“ vykazovaný v</w:t>
      </w:r>
      <w:r w:rsidR="007405FC" w:rsidRPr="00102AB2">
        <w:rPr>
          <w:rFonts w:ascii="Calibri" w:hAnsi="Calibri" w:cs="Calibri"/>
          <w:sz w:val="24"/>
          <w:szCs w:val="24"/>
        </w:rPr>
        <w:t xml:space="preserve"> </w:t>
      </w:r>
      <w:r w:rsidRPr="00102AB2">
        <w:rPr>
          <w:rFonts w:ascii="Calibri" w:hAnsi="Calibri" w:cs="Calibri"/>
          <w:sz w:val="24"/>
          <w:szCs w:val="24"/>
        </w:rPr>
        <w:t xml:space="preserve">účetní závěrce na účtu </w:t>
      </w:r>
      <w:r w:rsidRPr="00B02A1B">
        <w:rPr>
          <w:rFonts w:ascii="Calibri" w:hAnsi="Calibri" w:cs="Calibri"/>
          <w:sz w:val="24"/>
          <w:szCs w:val="24"/>
        </w:rPr>
        <w:t>419</w:t>
      </w:r>
      <w:r w:rsidRPr="00102AB2">
        <w:rPr>
          <w:rFonts w:ascii="Calibri" w:hAnsi="Calibri" w:cs="Calibri"/>
          <w:i/>
          <w:sz w:val="24"/>
          <w:szCs w:val="24"/>
        </w:rPr>
        <w:t xml:space="preserve"> – Ostatní fondy</w:t>
      </w:r>
      <w:r w:rsidRPr="00102AB2">
        <w:rPr>
          <w:rFonts w:ascii="Calibri" w:hAnsi="Calibri" w:cs="Calibri"/>
          <w:sz w:val="24"/>
          <w:szCs w:val="24"/>
        </w:rPr>
        <w:t xml:space="preserve">. Rozpočtová pravidla ale neumožňují organizační složce státu vytvořit jiné fondy než fond kulturních a sociálních potřeb a rezervní fond. </w:t>
      </w:r>
    </w:p>
    <w:p w:rsidR="007F494E" w:rsidRPr="00102AB2" w:rsidRDefault="007F494E" w:rsidP="00102AB2">
      <w:pPr>
        <w:spacing w:after="0" w:line="240" w:lineRule="auto"/>
        <w:jc w:val="both"/>
        <w:rPr>
          <w:rFonts w:ascii="Calibri" w:hAnsi="Calibri" w:cs="Calibri"/>
          <w:sz w:val="24"/>
          <w:szCs w:val="24"/>
        </w:rPr>
      </w:pPr>
    </w:p>
    <w:p w:rsidR="007A0D8E" w:rsidRDefault="00F86263" w:rsidP="00102AB2">
      <w:pPr>
        <w:spacing w:after="0" w:line="240" w:lineRule="auto"/>
        <w:jc w:val="both"/>
        <w:rPr>
          <w:rFonts w:ascii="Calibri" w:hAnsi="Calibri" w:cs="Calibri"/>
          <w:sz w:val="24"/>
          <w:szCs w:val="24"/>
        </w:rPr>
      </w:pPr>
      <w:r w:rsidRPr="00102AB2">
        <w:rPr>
          <w:rFonts w:ascii="Calibri" w:hAnsi="Calibri" w:cs="Calibri"/>
          <w:sz w:val="24"/>
          <w:szCs w:val="24"/>
        </w:rPr>
        <w:lastRenderedPageBreak/>
        <w:t>Nakládání s</w:t>
      </w:r>
      <w:r w:rsidR="007405FC" w:rsidRPr="00102AB2">
        <w:rPr>
          <w:rFonts w:ascii="Calibri" w:hAnsi="Calibri" w:cs="Calibri"/>
          <w:sz w:val="24"/>
          <w:szCs w:val="24"/>
        </w:rPr>
        <w:t xml:space="preserve"> </w:t>
      </w:r>
      <w:r w:rsidR="00114CBE" w:rsidRPr="00102AB2">
        <w:rPr>
          <w:rFonts w:ascii="Calibri" w:hAnsi="Calibri" w:cs="Calibri"/>
          <w:sz w:val="24"/>
          <w:szCs w:val="24"/>
        </w:rPr>
        <w:t>těmito prostředky</w:t>
      </w:r>
      <w:r w:rsidRPr="00102AB2">
        <w:rPr>
          <w:rFonts w:ascii="Calibri" w:hAnsi="Calibri" w:cs="Calibri"/>
          <w:sz w:val="24"/>
          <w:szCs w:val="24"/>
        </w:rPr>
        <w:t xml:space="preserve"> </w:t>
      </w:r>
      <w:r w:rsidR="009133A4" w:rsidRPr="00102AB2">
        <w:rPr>
          <w:rFonts w:ascii="Calibri" w:hAnsi="Calibri" w:cs="Calibri"/>
          <w:sz w:val="24"/>
          <w:szCs w:val="24"/>
        </w:rPr>
        <w:t>je</w:t>
      </w:r>
      <w:r w:rsidRPr="00102AB2">
        <w:rPr>
          <w:rFonts w:ascii="Calibri" w:hAnsi="Calibri" w:cs="Calibri"/>
          <w:sz w:val="24"/>
          <w:szCs w:val="24"/>
        </w:rPr>
        <w:t xml:space="preserve"> </w:t>
      </w:r>
      <w:r w:rsidR="009A69BA">
        <w:rPr>
          <w:rFonts w:ascii="Calibri" w:hAnsi="Calibri" w:cs="Calibri"/>
          <w:sz w:val="24"/>
          <w:szCs w:val="24"/>
        </w:rPr>
        <w:t xml:space="preserve">realizováno </w:t>
      </w:r>
      <w:r w:rsidRPr="00102AB2">
        <w:rPr>
          <w:rFonts w:ascii="Calibri" w:hAnsi="Calibri" w:cs="Calibri"/>
          <w:sz w:val="24"/>
          <w:szCs w:val="24"/>
        </w:rPr>
        <w:t>podle přímo použitelných nařízení Evropské unie, dále pak podle dokumentů z</w:t>
      </w:r>
      <w:r w:rsidR="007405FC" w:rsidRPr="00102AB2">
        <w:rPr>
          <w:rFonts w:ascii="Calibri" w:hAnsi="Calibri" w:cs="Calibri"/>
          <w:sz w:val="24"/>
          <w:szCs w:val="24"/>
        </w:rPr>
        <w:t xml:space="preserve"> </w:t>
      </w:r>
      <w:r w:rsidRPr="00102AB2">
        <w:rPr>
          <w:rFonts w:ascii="Calibri" w:hAnsi="Calibri" w:cs="Calibri"/>
          <w:sz w:val="24"/>
          <w:szCs w:val="24"/>
        </w:rPr>
        <w:t xml:space="preserve">nich vycházejících (smlouvy o </w:t>
      </w:r>
      <w:proofErr w:type="spellStart"/>
      <w:r w:rsidRPr="00102AB2">
        <w:rPr>
          <w:rFonts w:ascii="Calibri" w:hAnsi="Calibri" w:cs="Calibri"/>
          <w:sz w:val="24"/>
          <w:szCs w:val="24"/>
        </w:rPr>
        <w:t>twinningovém</w:t>
      </w:r>
      <w:proofErr w:type="spellEnd"/>
      <w:r w:rsidRPr="00102AB2">
        <w:rPr>
          <w:rFonts w:ascii="Calibri" w:hAnsi="Calibri" w:cs="Calibri"/>
          <w:sz w:val="24"/>
          <w:szCs w:val="24"/>
        </w:rPr>
        <w:t xml:space="preserve"> projektu, smlouvy o</w:t>
      </w:r>
      <w:r w:rsidR="00D27C61" w:rsidRPr="00102AB2">
        <w:rPr>
          <w:rFonts w:ascii="Calibri" w:hAnsi="Calibri" w:cs="Calibri"/>
          <w:sz w:val="24"/>
          <w:szCs w:val="24"/>
        </w:rPr>
        <w:t> </w:t>
      </w:r>
      <w:proofErr w:type="spellStart"/>
      <w:r w:rsidRPr="00102AB2">
        <w:rPr>
          <w:rFonts w:ascii="Calibri" w:hAnsi="Calibri" w:cs="Calibri"/>
          <w:sz w:val="24"/>
          <w:szCs w:val="24"/>
        </w:rPr>
        <w:t>twinningovém</w:t>
      </w:r>
      <w:proofErr w:type="spellEnd"/>
      <w:r w:rsidRPr="00102AB2">
        <w:rPr>
          <w:rFonts w:ascii="Calibri" w:hAnsi="Calibri" w:cs="Calibri"/>
          <w:sz w:val="24"/>
          <w:szCs w:val="24"/>
        </w:rPr>
        <w:t xml:space="preserve"> partnerství a </w:t>
      </w:r>
      <w:proofErr w:type="spellStart"/>
      <w:r w:rsidR="009A69BA">
        <w:rPr>
          <w:rFonts w:ascii="Calibri" w:hAnsi="Calibri" w:cs="Calibri"/>
          <w:sz w:val="24"/>
          <w:szCs w:val="24"/>
        </w:rPr>
        <w:t>t</w:t>
      </w:r>
      <w:r w:rsidRPr="009A69BA">
        <w:rPr>
          <w:rFonts w:ascii="Calibri" w:hAnsi="Calibri" w:cs="Calibri"/>
          <w:sz w:val="24"/>
          <w:szCs w:val="24"/>
        </w:rPr>
        <w:t>winningového</w:t>
      </w:r>
      <w:proofErr w:type="spellEnd"/>
      <w:r w:rsidRPr="009A69BA">
        <w:rPr>
          <w:rFonts w:ascii="Calibri" w:hAnsi="Calibri" w:cs="Calibri"/>
          <w:sz w:val="24"/>
          <w:szCs w:val="24"/>
        </w:rPr>
        <w:t xml:space="preserve"> manuálu</w:t>
      </w:r>
      <w:r w:rsidRPr="00102AB2">
        <w:rPr>
          <w:rFonts w:ascii="Calibri" w:hAnsi="Calibri" w:cs="Calibri"/>
          <w:sz w:val="24"/>
          <w:szCs w:val="24"/>
        </w:rPr>
        <w:t xml:space="preserve"> Evropské komise</w:t>
      </w:r>
      <w:r w:rsidR="002C2BBD" w:rsidRPr="00102AB2">
        <w:rPr>
          <w:rFonts w:ascii="Calibri" w:hAnsi="Calibri" w:cs="Calibri"/>
          <w:sz w:val="24"/>
          <w:szCs w:val="24"/>
        </w:rPr>
        <w:t>,</w:t>
      </w:r>
      <w:r w:rsidR="009133A4" w:rsidRPr="00102AB2">
        <w:rPr>
          <w:rFonts w:ascii="Calibri" w:hAnsi="Calibri" w:cs="Calibri"/>
          <w:sz w:val="24"/>
          <w:szCs w:val="24"/>
        </w:rPr>
        <w:t xml:space="preserve"> a to</w:t>
      </w:r>
      <w:r w:rsidRPr="00102AB2">
        <w:rPr>
          <w:rFonts w:ascii="Calibri" w:hAnsi="Calibri" w:cs="Calibri"/>
          <w:sz w:val="24"/>
          <w:szCs w:val="24"/>
        </w:rPr>
        <w:t xml:space="preserve"> v</w:t>
      </w:r>
      <w:r w:rsidR="007405FC" w:rsidRPr="00102AB2">
        <w:rPr>
          <w:rFonts w:ascii="Calibri" w:hAnsi="Calibri" w:cs="Calibri"/>
          <w:sz w:val="24"/>
          <w:szCs w:val="24"/>
        </w:rPr>
        <w:t xml:space="preserve"> </w:t>
      </w:r>
      <w:r w:rsidRPr="00102AB2">
        <w:rPr>
          <w:rFonts w:ascii="Calibri" w:hAnsi="Calibri" w:cs="Calibri"/>
          <w:sz w:val="24"/>
          <w:szCs w:val="24"/>
        </w:rPr>
        <w:t>jeho normativních částech provádějících pravidla</w:t>
      </w:r>
      <w:r w:rsidR="00114CBE" w:rsidRPr="00102AB2">
        <w:rPr>
          <w:rFonts w:ascii="Calibri" w:hAnsi="Calibri" w:cs="Calibri"/>
          <w:sz w:val="24"/>
          <w:szCs w:val="24"/>
        </w:rPr>
        <w:t xml:space="preserve"> s</w:t>
      </w:r>
      <w:r w:rsidRPr="00102AB2">
        <w:rPr>
          <w:rFonts w:ascii="Calibri" w:hAnsi="Calibri" w:cs="Calibri"/>
          <w:sz w:val="24"/>
          <w:szCs w:val="24"/>
        </w:rPr>
        <w:t>tanovená</w:t>
      </w:r>
      <w:r w:rsidR="00114CBE" w:rsidRPr="00102AB2">
        <w:rPr>
          <w:rFonts w:ascii="Calibri" w:hAnsi="Calibri" w:cs="Calibri"/>
          <w:sz w:val="24"/>
          <w:szCs w:val="24"/>
        </w:rPr>
        <w:t xml:space="preserve"> přímo použitelnými nařízeními Evropské unie</w:t>
      </w:r>
      <w:r w:rsidR="00D03040" w:rsidRPr="00102AB2">
        <w:rPr>
          <w:rFonts w:ascii="Calibri" w:hAnsi="Calibri" w:cs="Calibri"/>
          <w:sz w:val="24"/>
          <w:szCs w:val="24"/>
        </w:rPr>
        <w:t>)</w:t>
      </w:r>
      <w:r w:rsidR="002C2BBD" w:rsidRPr="00102AB2">
        <w:rPr>
          <w:rFonts w:ascii="Calibri" w:hAnsi="Calibri" w:cs="Calibri"/>
          <w:sz w:val="24"/>
          <w:szCs w:val="24"/>
        </w:rPr>
        <w:t xml:space="preserve"> </w:t>
      </w:r>
      <w:r w:rsidRPr="00102AB2">
        <w:rPr>
          <w:rFonts w:ascii="Calibri" w:hAnsi="Calibri" w:cs="Calibri"/>
          <w:sz w:val="24"/>
          <w:szCs w:val="24"/>
        </w:rPr>
        <w:t>a</w:t>
      </w:r>
      <w:r w:rsidR="002C2BBD" w:rsidRPr="00102AB2">
        <w:rPr>
          <w:rFonts w:ascii="Calibri" w:hAnsi="Calibri" w:cs="Calibri"/>
          <w:sz w:val="24"/>
          <w:szCs w:val="24"/>
        </w:rPr>
        <w:t xml:space="preserve"> taktéž</w:t>
      </w:r>
      <w:r w:rsidRPr="00102AB2">
        <w:rPr>
          <w:rFonts w:ascii="Calibri" w:hAnsi="Calibri" w:cs="Calibri"/>
          <w:sz w:val="24"/>
          <w:szCs w:val="24"/>
        </w:rPr>
        <w:t xml:space="preserve"> subsidiárně podle ustanovení českého právního řádu</w:t>
      </w:r>
      <w:r w:rsidR="004B5A4D" w:rsidRPr="00102AB2">
        <w:rPr>
          <w:rFonts w:ascii="Calibri" w:hAnsi="Calibri" w:cs="Calibri"/>
          <w:sz w:val="24"/>
          <w:szCs w:val="24"/>
        </w:rPr>
        <w:t xml:space="preserve"> upravující</w:t>
      </w:r>
      <w:r w:rsidR="009575D2">
        <w:rPr>
          <w:rFonts w:ascii="Calibri" w:hAnsi="Calibri" w:cs="Calibri"/>
          <w:sz w:val="24"/>
          <w:szCs w:val="24"/>
        </w:rPr>
        <w:t>ch</w:t>
      </w:r>
      <w:r w:rsidR="004B5A4D" w:rsidRPr="00102AB2">
        <w:rPr>
          <w:rFonts w:ascii="Calibri" w:hAnsi="Calibri" w:cs="Calibri"/>
          <w:sz w:val="24"/>
          <w:szCs w:val="24"/>
        </w:rPr>
        <w:t xml:space="preserve"> danou problematiku.</w:t>
      </w:r>
      <w:r w:rsidR="009D02D2" w:rsidRPr="00102AB2">
        <w:rPr>
          <w:rFonts w:ascii="Calibri" w:hAnsi="Calibri" w:cs="Calibri"/>
          <w:sz w:val="24"/>
          <w:szCs w:val="24"/>
        </w:rPr>
        <w:t xml:space="preserve"> </w:t>
      </w:r>
      <w:r w:rsidR="007A0D8E" w:rsidRPr="00102AB2">
        <w:rPr>
          <w:rFonts w:ascii="Calibri" w:hAnsi="Calibri" w:cs="Calibri"/>
          <w:sz w:val="24"/>
          <w:szCs w:val="24"/>
        </w:rPr>
        <w:t xml:space="preserve">Peněžní prostředky určené na </w:t>
      </w:r>
      <w:proofErr w:type="spellStart"/>
      <w:r w:rsidR="007A0D8E" w:rsidRPr="00102AB2">
        <w:rPr>
          <w:rFonts w:ascii="Calibri" w:hAnsi="Calibri" w:cs="Calibri"/>
          <w:sz w:val="24"/>
          <w:szCs w:val="24"/>
        </w:rPr>
        <w:t>twinningové</w:t>
      </w:r>
      <w:proofErr w:type="spellEnd"/>
      <w:r w:rsidR="007A0D8E" w:rsidRPr="00102AB2">
        <w:rPr>
          <w:rFonts w:ascii="Calibri" w:hAnsi="Calibri" w:cs="Calibri"/>
          <w:sz w:val="24"/>
          <w:szCs w:val="24"/>
        </w:rPr>
        <w:t xml:space="preserve"> projekty byly vedeny na účtech u komerční bankovní instituce</w:t>
      </w:r>
      <w:r w:rsidR="002C2BBD" w:rsidRPr="00102AB2">
        <w:rPr>
          <w:rFonts w:ascii="Calibri" w:hAnsi="Calibri" w:cs="Calibri"/>
          <w:sz w:val="24"/>
          <w:szCs w:val="24"/>
        </w:rPr>
        <w:t xml:space="preserve"> a k</w:t>
      </w:r>
      <w:r w:rsidR="007A0D8E" w:rsidRPr="00102AB2">
        <w:rPr>
          <w:rFonts w:ascii="Calibri" w:hAnsi="Calibri" w:cs="Calibri"/>
          <w:sz w:val="24"/>
          <w:szCs w:val="24"/>
        </w:rPr>
        <w:t>onečný zůstatek vykázaný na těchto účtech k</w:t>
      </w:r>
      <w:r w:rsidR="009575D2">
        <w:rPr>
          <w:rFonts w:ascii="Calibri" w:hAnsi="Calibri" w:cs="Calibri"/>
          <w:sz w:val="24"/>
          <w:szCs w:val="24"/>
        </w:rPr>
        <w:t> </w:t>
      </w:r>
      <w:r w:rsidR="007A0D8E" w:rsidRPr="00102AB2">
        <w:rPr>
          <w:rFonts w:ascii="Calibri" w:hAnsi="Calibri" w:cs="Calibri"/>
          <w:sz w:val="24"/>
          <w:szCs w:val="24"/>
        </w:rPr>
        <w:t>31.</w:t>
      </w:r>
      <w:r w:rsidR="009575D2">
        <w:rPr>
          <w:rFonts w:ascii="Calibri" w:hAnsi="Calibri" w:cs="Calibri"/>
          <w:sz w:val="24"/>
          <w:szCs w:val="24"/>
        </w:rPr>
        <w:t> </w:t>
      </w:r>
      <w:r w:rsidR="007A0D8E" w:rsidRPr="00102AB2">
        <w:rPr>
          <w:rFonts w:ascii="Calibri" w:hAnsi="Calibri" w:cs="Calibri"/>
          <w:sz w:val="24"/>
          <w:szCs w:val="24"/>
        </w:rPr>
        <w:t>prosinci 2012 byl ve výši 4</w:t>
      </w:r>
      <w:r w:rsidR="007405FC" w:rsidRPr="00102AB2">
        <w:rPr>
          <w:rFonts w:ascii="Calibri" w:hAnsi="Calibri" w:cs="Calibri"/>
          <w:sz w:val="24"/>
          <w:szCs w:val="24"/>
        </w:rPr>
        <w:t xml:space="preserve"> </w:t>
      </w:r>
      <w:r w:rsidR="007A0D8E" w:rsidRPr="00102AB2">
        <w:rPr>
          <w:rFonts w:ascii="Calibri" w:hAnsi="Calibri" w:cs="Calibri"/>
          <w:sz w:val="24"/>
          <w:szCs w:val="24"/>
        </w:rPr>
        <w:t>431</w:t>
      </w:r>
      <w:r w:rsidR="007405FC" w:rsidRPr="00102AB2">
        <w:rPr>
          <w:rFonts w:ascii="Calibri" w:hAnsi="Calibri" w:cs="Calibri"/>
          <w:sz w:val="24"/>
          <w:szCs w:val="24"/>
        </w:rPr>
        <w:t xml:space="preserve"> </w:t>
      </w:r>
      <w:r w:rsidR="007A0D8E" w:rsidRPr="00102AB2">
        <w:rPr>
          <w:rFonts w:ascii="Calibri" w:hAnsi="Calibri" w:cs="Calibri"/>
          <w:sz w:val="24"/>
          <w:szCs w:val="24"/>
        </w:rPr>
        <w:t>094,95 Kč a k</w:t>
      </w:r>
      <w:r w:rsidR="007405FC" w:rsidRPr="00102AB2">
        <w:rPr>
          <w:rFonts w:ascii="Calibri" w:hAnsi="Calibri" w:cs="Calibri"/>
          <w:sz w:val="24"/>
          <w:szCs w:val="24"/>
        </w:rPr>
        <w:t xml:space="preserve"> </w:t>
      </w:r>
      <w:r w:rsidR="007A0D8E" w:rsidRPr="00102AB2">
        <w:rPr>
          <w:rFonts w:ascii="Calibri" w:hAnsi="Calibri" w:cs="Calibri"/>
          <w:sz w:val="24"/>
          <w:szCs w:val="24"/>
        </w:rPr>
        <w:t>31. prosinci 2013 ve výši 4</w:t>
      </w:r>
      <w:r w:rsidR="009575D2">
        <w:rPr>
          <w:rFonts w:ascii="Calibri" w:hAnsi="Calibri" w:cs="Calibri"/>
          <w:sz w:val="24"/>
          <w:szCs w:val="24"/>
        </w:rPr>
        <w:t> </w:t>
      </w:r>
      <w:r w:rsidR="007A0D8E" w:rsidRPr="00102AB2">
        <w:rPr>
          <w:rFonts w:ascii="Calibri" w:hAnsi="Calibri" w:cs="Calibri"/>
          <w:sz w:val="24"/>
          <w:szCs w:val="24"/>
        </w:rPr>
        <w:t>283</w:t>
      </w:r>
      <w:r w:rsidR="009575D2">
        <w:rPr>
          <w:rFonts w:ascii="Calibri" w:hAnsi="Calibri" w:cs="Calibri"/>
          <w:sz w:val="24"/>
          <w:szCs w:val="24"/>
        </w:rPr>
        <w:t> </w:t>
      </w:r>
      <w:r w:rsidR="007A0D8E" w:rsidRPr="00102AB2">
        <w:rPr>
          <w:rFonts w:ascii="Calibri" w:hAnsi="Calibri" w:cs="Calibri"/>
          <w:sz w:val="24"/>
          <w:szCs w:val="24"/>
        </w:rPr>
        <w:t>409,01</w:t>
      </w:r>
      <w:r w:rsidR="009575D2">
        <w:rPr>
          <w:rFonts w:ascii="Calibri" w:hAnsi="Calibri" w:cs="Calibri"/>
          <w:sz w:val="24"/>
          <w:szCs w:val="24"/>
        </w:rPr>
        <w:t> </w:t>
      </w:r>
      <w:r w:rsidR="007A0D8E" w:rsidRPr="00102AB2">
        <w:rPr>
          <w:rFonts w:ascii="Calibri" w:hAnsi="Calibri" w:cs="Calibri"/>
          <w:sz w:val="24"/>
          <w:szCs w:val="24"/>
        </w:rPr>
        <w:t>Kč. Z</w:t>
      </w:r>
      <w:r w:rsidR="004F14E8" w:rsidRPr="00102AB2">
        <w:rPr>
          <w:rFonts w:ascii="Calibri" w:hAnsi="Calibri" w:cs="Calibri"/>
          <w:sz w:val="24"/>
          <w:szCs w:val="24"/>
        </w:rPr>
        <w:t> </w:t>
      </w:r>
      <w:r w:rsidR="007A0D8E" w:rsidRPr="00102AB2">
        <w:rPr>
          <w:rFonts w:ascii="Calibri" w:hAnsi="Calibri" w:cs="Calibri"/>
          <w:sz w:val="24"/>
          <w:szCs w:val="24"/>
        </w:rPr>
        <w:t xml:space="preserve">předpisů Evropské unie nevyplývá, že by účty, na kterých jsou vedeny prostředky </w:t>
      </w:r>
      <w:proofErr w:type="spellStart"/>
      <w:r w:rsidR="007A0D8E" w:rsidRPr="00102AB2">
        <w:rPr>
          <w:rFonts w:ascii="Calibri" w:hAnsi="Calibri" w:cs="Calibri"/>
          <w:sz w:val="24"/>
          <w:szCs w:val="24"/>
        </w:rPr>
        <w:t>twinningových</w:t>
      </w:r>
      <w:proofErr w:type="spellEnd"/>
      <w:r w:rsidR="007A0D8E" w:rsidRPr="00102AB2">
        <w:rPr>
          <w:rFonts w:ascii="Calibri" w:hAnsi="Calibri" w:cs="Calibri"/>
          <w:sz w:val="24"/>
          <w:szCs w:val="24"/>
        </w:rPr>
        <w:t xml:space="preserve"> projektů, měly být vedeny výlučně u komerčních bank</w:t>
      </w:r>
      <w:r w:rsidR="00D7153F" w:rsidRPr="00102AB2">
        <w:rPr>
          <w:rFonts w:ascii="Calibri" w:hAnsi="Calibri" w:cs="Calibri"/>
          <w:sz w:val="24"/>
          <w:szCs w:val="24"/>
        </w:rPr>
        <w:t xml:space="preserve"> nebo u</w:t>
      </w:r>
      <w:r w:rsidR="009575D2">
        <w:rPr>
          <w:rFonts w:ascii="Calibri" w:hAnsi="Calibri" w:cs="Calibri"/>
          <w:sz w:val="24"/>
          <w:szCs w:val="24"/>
        </w:rPr>
        <w:t> </w:t>
      </w:r>
      <w:r w:rsidR="00D7153F" w:rsidRPr="00102AB2">
        <w:rPr>
          <w:rFonts w:ascii="Calibri" w:hAnsi="Calibri" w:cs="Calibri"/>
          <w:sz w:val="24"/>
          <w:szCs w:val="24"/>
        </w:rPr>
        <w:t>nějaké konkrétní banky</w:t>
      </w:r>
      <w:r w:rsidR="00D97004" w:rsidRPr="00102AB2">
        <w:rPr>
          <w:rFonts w:ascii="Calibri" w:hAnsi="Calibri" w:cs="Calibri"/>
          <w:sz w:val="24"/>
          <w:szCs w:val="24"/>
        </w:rPr>
        <w:t xml:space="preserve">. </w:t>
      </w:r>
      <w:r w:rsidR="009575D2">
        <w:rPr>
          <w:rFonts w:ascii="Calibri" w:hAnsi="Calibri" w:cs="Calibri"/>
          <w:sz w:val="24"/>
          <w:szCs w:val="24"/>
        </w:rPr>
        <w:t>S</w:t>
      </w:r>
      <w:r w:rsidR="00D97004" w:rsidRPr="00102AB2">
        <w:rPr>
          <w:rFonts w:ascii="Calibri" w:hAnsi="Calibri" w:cs="Calibri"/>
          <w:sz w:val="24"/>
          <w:szCs w:val="24"/>
        </w:rPr>
        <w:t xml:space="preserve">tejně jako u prostředků </w:t>
      </w:r>
      <w:r w:rsidR="009575D2">
        <w:rPr>
          <w:rFonts w:ascii="Calibri" w:hAnsi="Calibri" w:cs="Calibri"/>
          <w:sz w:val="24"/>
          <w:szCs w:val="24"/>
        </w:rPr>
        <w:t>r</w:t>
      </w:r>
      <w:r w:rsidR="00D97004" w:rsidRPr="00102AB2">
        <w:rPr>
          <w:rFonts w:ascii="Calibri" w:hAnsi="Calibri" w:cs="Calibri"/>
          <w:sz w:val="24"/>
          <w:szCs w:val="24"/>
        </w:rPr>
        <w:t>evolvingového fondu mělo</w:t>
      </w:r>
      <w:r w:rsidR="009575D2" w:rsidRPr="009575D2">
        <w:rPr>
          <w:rFonts w:ascii="Calibri" w:hAnsi="Calibri" w:cs="Calibri"/>
          <w:sz w:val="24"/>
          <w:szCs w:val="24"/>
        </w:rPr>
        <w:t xml:space="preserve"> </w:t>
      </w:r>
      <w:r w:rsidR="009575D2" w:rsidRPr="00102AB2">
        <w:rPr>
          <w:rFonts w:ascii="Calibri" w:hAnsi="Calibri" w:cs="Calibri"/>
          <w:sz w:val="24"/>
          <w:szCs w:val="24"/>
        </w:rPr>
        <w:t>MŽP</w:t>
      </w:r>
      <w:r w:rsidR="00D97004" w:rsidRPr="00102AB2">
        <w:rPr>
          <w:rFonts w:ascii="Calibri" w:hAnsi="Calibri" w:cs="Calibri"/>
          <w:sz w:val="24"/>
          <w:szCs w:val="24"/>
        </w:rPr>
        <w:t xml:space="preserve"> i</w:t>
      </w:r>
      <w:r w:rsidR="009575D2">
        <w:rPr>
          <w:rFonts w:ascii="Calibri" w:hAnsi="Calibri" w:cs="Calibri"/>
          <w:sz w:val="24"/>
          <w:szCs w:val="24"/>
        </w:rPr>
        <w:t> </w:t>
      </w:r>
      <w:r w:rsidR="00D97004" w:rsidRPr="00102AB2">
        <w:rPr>
          <w:rFonts w:ascii="Calibri" w:hAnsi="Calibri" w:cs="Calibri"/>
          <w:sz w:val="24"/>
          <w:szCs w:val="24"/>
        </w:rPr>
        <w:t>v tomto případě zrušit účty</w:t>
      </w:r>
      <w:r w:rsidR="007A0D8E" w:rsidRPr="00102AB2">
        <w:rPr>
          <w:rFonts w:ascii="Calibri" w:hAnsi="Calibri" w:cs="Calibri"/>
          <w:sz w:val="24"/>
          <w:szCs w:val="24"/>
        </w:rPr>
        <w:t xml:space="preserve"> vedené u komerční banky a nejpozději k</w:t>
      </w:r>
      <w:r w:rsidR="007405FC" w:rsidRPr="00102AB2">
        <w:rPr>
          <w:rFonts w:ascii="Calibri" w:hAnsi="Calibri" w:cs="Calibri"/>
          <w:sz w:val="24"/>
          <w:szCs w:val="24"/>
        </w:rPr>
        <w:t xml:space="preserve"> </w:t>
      </w:r>
      <w:r w:rsidR="007A0D8E" w:rsidRPr="00102AB2">
        <w:rPr>
          <w:rFonts w:ascii="Calibri" w:hAnsi="Calibri" w:cs="Calibri"/>
          <w:sz w:val="24"/>
          <w:szCs w:val="24"/>
        </w:rPr>
        <w:t xml:space="preserve">1. </w:t>
      </w:r>
      <w:r w:rsidR="00D97004" w:rsidRPr="00102AB2">
        <w:rPr>
          <w:rFonts w:ascii="Calibri" w:hAnsi="Calibri" w:cs="Calibri"/>
          <w:sz w:val="24"/>
          <w:szCs w:val="24"/>
        </w:rPr>
        <w:t>dubnu</w:t>
      </w:r>
      <w:r w:rsidR="007A0D8E" w:rsidRPr="00102AB2">
        <w:rPr>
          <w:rFonts w:ascii="Calibri" w:hAnsi="Calibri" w:cs="Calibri"/>
          <w:sz w:val="24"/>
          <w:szCs w:val="24"/>
        </w:rPr>
        <w:t xml:space="preserve"> 2013</w:t>
      </w:r>
      <w:r w:rsidR="00FC1AC0" w:rsidRPr="00102AB2">
        <w:rPr>
          <w:rFonts w:ascii="Calibri" w:hAnsi="Calibri" w:cs="Calibri"/>
          <w:sz w:val="24"/>
          <w:szCs w:val="24"/>
        </w:rPr>
        <w:t xml:space="preserve"> </w:t>
      </w:r>
      <w:r w:rsidR="009A69BA">
        <w:rPr>
          <w:rFonts w:ascii="Calibri" w:hAnsi="Calibri" w:cs="Calibri"/>
          <w:sz w:val="24"/>
          <w:szCs w:val="24"/>
        </w:rPr>
        <w:t>prostředky</w:t>
      </w:r>
      <w:r w:rsidR="007A0D8E" w:rsidRPr="00102AB2">
        <w:rPr>
          <w:rFonts w:ascii="Calibri" w:hAnsi="Calibri" w:cs="Calibri"/>
          <w:sz w:val="24"/>
          <w:szCs w:val="24"/>
        </w:rPr>
        <w:t xml:space="preserve"> převést na</w:t>
      </w:r>
      <w:r w:rsidR="00D97004" w:rsidRPr="00102AB2">
        <w:rPr>
          <w:rFonts w:ascii="Calibri" w:hAnsi="Calibri" w:cs="Calibri"/>
          <w:sz w:val="24"/>
          <w:szCs w:val="24"/>
        </w:rPr>
        <w:t xml:space="preserve"> nově zřízené</w:t>
      </w:r>
      <w:r w:rsidR="007A0D8E" w:rsidRPr="00102AB2">
        <w:rPr>
          <w:rFonts w:ascii="Calibri" w:hAnsi="Calibri" w:cs="Calibri"/>
          <w:sz w:val="24"/>
          <w:szCs w:val="24"/>
        </w:rPr>
        <w:t xml:space="preserve"> účty </w:t>
      </w:r>
      <w:r w:rsidR="00D97004" w:rsidRPr="00102AB2">
        <w:rPr>
          <w:rFonts w:ascii="Calibri" w:hAnsi="Calibri" w:cs="Calibri"/>
          <w:sz w:val="24"/>
          <w:szCs w:val="24"/>
        </w:rPr>
        <w:t>u</w:t>
      </w:r>
      <w:r w:rsidR="007A0D8E" w:rsidRPr="00102AB2">
        <w:rPr>
          <w:rFonts w:ascii="Calibri" w:hAnsi="Calibri" w:cs="Calibri"/>
          <w:sz w:val="24"/>
          <w:szCs w:val="24"/>
        </w:rPr>
        <w:t xml:space="preserve"> Česk</w:t>
      </w:r>
      <w:r w:rsidR="00D97004" w:rsidRPr="00102AB2">
        <w:rPr>
          <w:rFonts w:ascii="Calibri" w:hAnsi="Calibri" w:cs="Calibri"/>
          <w:sz w:val="24"/>
          <w:szCs w:val="24"/>
        </w:rPr>
        <w:t>é</w:t>
      </w:r>
      <w:r w:rsidR="007A0D8E" w:rsidRPr="00102AB2">
        <w:rPr>
          <w:rFonts w:ascii="Calibri" w:hAnsi="Calibri" w:cs="Calibri"/>
          <w:sz w:val="24"/>
          <w:szCs w:val="24"/>
        </w:rPr>
        <w:t xml:space="preserve"> národní bank</w:t>
      </w:r>
      <w:r w:rsidR="00D97004" w:rsidRPr="00102AB2">
        <w:rPr>
          <w:rFonts w:ascii="Calibri" w:hAnsi="Calibri" w:cs="Calibri"/>
          <w:sz w:val="24"/>
          <w:szCs w:val="24"/>
        </w:rPr>
        <w:t>y</w:t>
      </w:r>
      <w:r w:rsidR="007A0D8E" w:rsidRPr="00102AB2">
        <w:rPr>
          <w:rFonts w:ascii="Calibri" w:hAnsi="Calibri" w:cs="Calibri"/>
          <w:sz w:val="24"/>
          <w:szCs w:val="24"/>
        </w:rPr>
        <w:t>.</w:t>
      </w:r>
      <w:r w:rsidR="00D7153F" w:rsidRPr="00102AB2">
        <w:rPr>
          <w:rFonts w:ascii="Calibri" w:hAnsi="Calibri" w:cs="Calibri"/>
          <w:sz w:val="24"/>
          <w:szCs w:val="24"/>
        </w:rPr>
        <w:t xml:space="preserve"> Nepřevedení těchto prostředků je </w:t>
      </w:r>
      <w:r w:rsidR="002C2BBD" w:rsidRPr="00102AB2">
        <w:rPr>
          <w:rFonts w:ascii="Calibri" w:hAnsi="Calibri" w:cs="Calibri"/>
          <w:sz w:val="24"/>
          <w:szCs w:val="24"/>
        </w:rPr>
        <w:t xml:space="preserve">podle </w:t>
      </w:r>
      <w:r w:rsidR="009A69BA">
        <w:rPr>
          <w:rFonts w:ascii="Calibri" w:hAnsi="Calibri" w:cs="Calibri"/>
          <w:sz w:val="24"/>
          <w:szCs w:val="24"/>
        </w:rPr>
        <w:t>rozpočtových pravidel</w:t>
      </w:r>
      <w:r w:rsidR="00D7153F" w:rsidRPr="00102AB2">
        <w:rPr>
          <w:rFonts w:ascii="Calibri" w:hAnsi="Calibri" w:cs="Calibri"/>
          <w:sz w:val="24"/>
          <w:szCs w:val="24"/>
        </w:rPr>
        <w:t xml:space="preserve"> porušením rozpočtové kázně.</w:t>
      </w:r>
    </w:p>
    <w:p w:rsidR="007F494E" w:rsidRPr="00102AB2" w:rsidRDefault="007F494E" w:rsidP="00102AB2">
      <w:pPr>
        <w:spacing w:after="0" w:line="240" w:lineRule="auto"/>
        <w:jc w:val="both"/>
        <w:rPr>
          <w:rFonts w:ascii="Calibri" w:hAnsi="Calibri" w:cs="Calibri"/>
          <w:sz w:val="24"/>
          <w:szCs w:val="24"/>
        </w:rPr>
      </w:pPr>
    </w:p>
    <w:p w:rsidR="00D7153F" w:rsidRDefault="007A0D8E" w:rsidP="00102AB2">
      <w:pPr>
        <w:spacing w:after="0" w:line="240" w:lineRule="auto"/>
        <w:jc w:val="both"/>
        <w:rPr>
          <w:rFonts w:ascii="Calibri" w:hAnsi="Calibri" w:cs="Calibri"/>
          <w:sz w:val="24"/>
          <w:szCs w:val="24"/>
        </w:rPr>
      </w:pPr>
      <w:r w:rsidRPr="00102AB2">
        <w:rPr>
          <w:rFonts w:ascii="Calibri" w:hAnsi="Calibri" w:cs="Calibri"/>
          <w:sz w:val="24"/>
          <w:szCs w:val="24"/>
        </w:rPr>
        <w:t>O pohybu peněžních prostředků na těchto účtech účtovalo MŽP měsíčně souhrnnou částkou představující změnu stavu peněžních prostředků</w:t>
      </w:r>
      <w:r w:rsidRPr="00102AB2">
        <w:rPr>
          <w:rStyle w:val="Znakapoznpodarou"/>
          <w:rFonts w:ascii="Calibri" w:hAnsi="Calibri" w:cs="Calibri"/>
          <w:sz w:val="24"/>
          <w:szCs w:val="24"/>
        </w:rPr>
        <w:footnoteReference w:id="73"/>
      </w:r>
      <w:r w:rsidRPr="00102AB2">
        <w:rPr>
          <w:rFonts w:ascii="Calibri" w:hAnsi="Calibri" w:cs="Calibri"/>
          <w:sz w:val="24"/>
          <w:szCs w:val="24"/>
        </w:rPr>
        <w:t xml:space="preserve"> na účtech</w:t>
      </w:r>
      <w:r w:rsidR="009575D2">
        <w:rPr>
          <w:rFonts w:ascii="Calibri" w:hAnsi="Calibri" w:cs="Calibri"/>
          <w:sz w:val="24"/>
          <w:szCs w:val="24"/>
        </w:rPr>
        <w:t>,</w:t>
      </w:r>
      <w:r w:rsidRPr="00102AB2">
        <w:rPr>
          <w:rFonts w:ascii="Calibri" w:hAnsi="Calibri" w:cs="Calibri"/>
          <w:sz w:val="24"/>
          <w:szCs w:val="24"/>
        </w:rPr>
        <w:t xml:space="preserve"> a to účetním zápisem a stranu „má dáti“ účtu </w:t>
      </w:r>
      <w:r w:rsidRPr="00B02A1B">
        <w:rPr>
          <w:rFonts w:ascii="Calibri" w:hAnsi="Calibri" w:cs="Calibri"/>
          <w:sz w:val="24"/>
          <w:szCs w:val="24"/>
        </w:rPr>
        <w:t>419</w:t>
      </w:r>
      <w:r w:rsidR="00A374D2" w:rsidRPr="00102AB2">
        <w:rPr>
          <w:rFonts w:ascii="Calibri" w:hAnsi="Calibri" w:cs="Calibri"/>
          <w:i/>
          <w:sz w:val="24"/>
          <w:szCs w:val="24"/>
        </w:rPr>
        <w:t xml:space="preserve"> – </w:t>
      </w:r>
      <w:r w:rsidRPr="00102AB2">
        <w:rPr>
          <w:rFonts w:ascii="Calibri" w:hAnsi="Calibri" w:cs="Calibri"/>
          <w:i/>
          <w:sz w:val="24"/>
          <w:szCs w:val="24"/>
        </w:rPr>
        <w:t>Ostatní fondy</w:t>
      </w:r>
      <w:r w:rsidRPr="00102AB2">
        <w:rPr>
          <w:rFonts w:ascii="Calibri" w:hAnsi="Calibri" w:cs="Calibri"/>
          <w:sz w:val="24"/>
          <w:szCs w:val="24"/>
        </w:rPr>
        <w:t xml:space="preserve"> a na stranu „dal“ účtu </w:t>
      </w:r>
      <w:r w:rsidRPr="00B02A1B">
        <w:rPr>
          <w:rFonts w:ascii="Calibri" w:hAnsi="Calibri" w:cs="Calibri"/>
          <w:sz w:val="24"/>
          <w:szCs w:val="24"/>
        </w:rPr>
        <w:t>245</w:t>
      </w:r>
      <w:r w:rsidR="00A374D2" w:rsidRPr="00102AB2">
        <w:rPr>
          <w:rFonts w:ascii="Calibri" w:hAnsi="Calibri" w:cs="Calibri"/>
          <w:i/>
          <w:sz w:val="24"/>
          <w:szCs w:val="24"/>
        </w:rPr>
        <w:t xml:space="preserve"> – </w:t>
      </w:r>
      <w:r w:rsidRPr="00102AB2">
        <w:rPr>
          <w:rFonts w:ascii="Calibri" w:hAnsi="Calibri" w:cs="Calibri"/>
          <w:i/>
          <w:sz w:val="24"/>
          <w:szCs w:val="24"/>
        </w:rPr>
        <w:t>Jiné běžné účty</w:t>
      </w:r>
      <w:r w:rsidRPr="00102AB2">
        <w:rPr>
          <w:rFonts w:ascii="Calibri" w:hAnsi="Calibri" w:cs="Calibri"/>
          <w:sz w:val="24"/>
          <w:szCs w:val="24"/>
        </w:rPr>
        <w:t xml:space="preserve">. </w:t>
      </w:r>
    </w:p>
    <w:p w:rsidR="007F494E" w:rsidRPr="00102AB2" w:rsidRDefault="007F494E" w:rsidP="00102AB2">
      <w:pPr>
        <w:spacing w:after="0" w:line="240" w:lineRule="auto"/>
        <w:jc w:val="both"/>
        <w:rPr>
          <w:rFonts w:ascii="Calibri" w:hAnsi="Calibri" w:cs="Calibri"/>
          <w:sz w:val="24"/>
          <w:szCs w:val="24"/>
        </w:rPr>
      </w:pPr>
    </w:p>
    <w:p w:rsidR="00C05AE3" w:rsidRPr="00102AB2" w:rsidRDefault="007A0D8E" w:rsidP="00102AB2">
      <w:pPr>
        <w:spacing w:after="0" w:line="240" w:lineRule="auto"/>
        <w:jc w:val="both"/>
        <w:rPr>
          <w:rFonts w:ascii="Calibri" w:hAnsi="Calibri" w:cs="Calibri"/>
          <w:sz w:val="24"/>
          <w:szCs w:val="24"/>
        </w:rPr>
      </w:pPr>
      <w:r w:rsidRPr="00102AB2">
        <w:rPr>
          <w:rFonts w:ascii="Calibri" w:hAnsi="Calibri" w:cs="Calibri"/>
          <w:sz w:val="24"/>
          <w:szCs w:val="24"/>
        </w:rPr>
        <w:t>MŽP</w:t>
      </w:r>
      <w:r w:rsidR="005F1274" w:rsidRPr="00102AB2">
        <w:rPr>
          <w:rFonts w:ascii="Calibri" w:hAnsi="Calibri" w:cs="Calibri"/>
          <w:sz w:val="24"/>
          <w:szCs w:val="24"/>
        </w:rPr>
        <w:t xml:space="preserve"> p</w:t>
      </w:r>
      <w:r w:rsidRPr="00102AB2">
        <w:rPr>
          <w:rFonts w:ascii="Calibri" w:hAnsi="Calibri" w:cs="Calibri"/>
          <w:sz w:val="24"/>
          <w:szCs w:val="24"/>
        </w:rPr>
        <w:t>orušilo zákon o účetnictví, protože neúčtovalo o jednotlivých účetních případech k okamžiku jejich uskutečnění</w:t>
      </w:r>
      <w:r w:rsidR="009575D2">
        <w:rPr>
          <w:rFonts w:ascii="Calibri" w:hAnsi="Calibri" w:cs="Calibri"/>
          <w:sz w:val="24"/>
          <w:szCs w:val="24"/>
        </w:rPr>
        <w:t>,</w:t>
      </w:r>
      <w:r w:rsidRPr="00102AB2">
        <w:rPr>
          <w:rFonts w:ascii="Calibri" w:hAnsi="Calibri" w:cs="Calibri"/>
          <w:sz w:val="24"/>
          <w:szCs w:val="24"/>
        </w:rPr>
        <w:t xml:space="preserve"> a nevedlo </w:t>
      </w:r>
      <w:r w:rsidR="009575D2">
        <w:rPr>
          <w:rFonts w:ascii="Calibri" w:hAnsi="Calibri" w:cs="Calibri"/>
          <w:sz w:val="24"/>
          <w:szCs w:val="24"/>
        </w:rPr>
        <w:t>tedy</w:t>
      </w:r>
      <w:r w:rsidRPr="00102AB2">
        <w:rPr>
          <w:rFonts w:ascii="Calibri" w:hAnsi="Calibri" w:cs="Calibri"/>
          <w:sz w:val="24"/>
          <w:szCs w:val="24"/>
        </w:rPr>
        <w:t xml:space="preserve"> úplné účetnictví</w:t>
      </w:r>
      <w:r w:rsidR="00624758" w:rsidRPr="00102AB2">
        <w:rPr>
          <w:rFonts w:ascii="Calibri" w:hAnsi="Calibri" w:cs="Calibri"/>
          <w:sz w:val="24"/>
          <w:szCs w:val="24"/>
        </w:rPr>
        <w:t xml:space="preserve"> ve smyslu ustanovení § 8 odst. </w:t>
      </w:r>
      <w:r w:rsidRPr="00102AB2">
        <w:rPr>
          <w:rFonts w:ascii="Calibri" w:hAnsi="Calibri" w:cs="Calibri"/>
          <w:sz w:val="24"/>
          <w:szCs w:val="24"/>
        </w:rPr>
        <w:t>3 zákona o účetnictví.</w:t>
      </w:r>
    </w:p>
    <w:p w:rsidR="00F54ED4" w:rsidRPr="00102AB2" w:rsidRDefault="00F54ED4" w:rsidP="00102AB2">
      <w:pPr>
        <w:spacing w:after="0" w:line="240" w:lineRule="auto"/>
        <w:jc w:val="both"/>
        <w:rPr>
          <w:rFonts w:ascii="Calibri" w:hAnsi="Calibri" w:cs="Calibri"/>
          <w:sz w:val="24"/>
          <w:szCs w:val="24"/>
        </w:rPr>
      </w:pPr>
    </w:p>
    <w:p w:rsidR="00AB5405" w:rsidRPr="00102AB2" w:rsidRDefault="009E492D" w:rsidP="007F494E">
      <w:pPr>
        <w:spacing w:after="0" w:line="240" w:lineRule="auto"/>
        <w:ind w:left="284" w:hanging="284"/>
        <w:rPr>
          <w:rFonts w:ascii="Calibri" w:hAnsi="Calibri" w:cs="Calibri"/>
          <w:b/>
          <w:sz w:val="24"/>
          <w:szCs w:val="24"/>
        </w:rPr>
      </w:pPr>
      <w:r>
        <w:rPr>
          <w:rFonts w:ascii="Calibri" w:hAnsi="Calibri" w:cs="Calibri"/>
          <w:b/>
          <w:sz w:val="24"/>
          <w:szCs w:val="24"/>
        </w:rPr>
        <w:t>5.</w:t>
      </w:r>
      <w:r w:rsidR="007F494E">
        <w:rPr>
          <w:rFonts w:ascii="Calibri" w:hAnsi="Calibri" w:cs="Calibri"/>
          <w:b/>
          <w:sz w:val="24"/>
          <w:szCs w:val="24"/>
        </w:rPr>
        <w:tab/>
      </w:r>
      <w:r w:rsidR="00EE6038" w:rsidRPr="00102AB2">
        <w:rPr>
          <w:rFonts w:ascii="Calibri" w:hAnsi="Calibri" w:cs="Calibri"/>
          <w:b/>
          <w:sz w:val="24"/>
          <w:szCs w:val="24"/>
        </w:rPr>
        <w:t xml:space="preserve">Ostatní zjištěné skutečnosti </w:t>
      </w:r>
      <w:r w:rsidR="00F54ED4" w:rsidRPr="00102AB2">
        <w:rPr>
          <w:rFonts w:ascii="Calibri" w:hAnsi="Calibri" w:cs="Calibri"/>
          <w:b/>
          <w:sz w:val="24"/>
          <w:szCs w:val="24"/>
        </w:rPr>
        <w:t>–</w:t>
      </w:r>
      <w:r w:rsidR="00EE6038" w:rsidRPr="00102AB2">
        <w:rPr>
          <w:rFonts w:ascii="Calibri" w:hAnsi="Calibri" w:cs="Calibri"/>
          <w:b/>
          <w:sz w:val="24"/>
          <w:szCs w:val="24"/>
        </w:rPr>
        <w:t xml:space="preserve"> údaje vykázané na vybraných nákladových účtech jako informační vstupy pro klíčové analytické ukazatele</w:t>
      </w:r>
    </w:p>
    <w:p w:rsidR="00F54ED4" w:rsidRPr="00102AB2" w:rsidRDefault="00F54ED4" w:rsidP="00102AB2">
      <w:pPr>
        <w:spacing w:after="0" w:line="240" w:lineRule="auto"/>
        <w:jc w:val="both"/>
        <w:rPr>
          <w:rFonts w:ascii="Calibri" w:hAnsi="Calibri" w:cs="Calibri"/>
          <w:b/>
          <w:sz w:val="24"/>
          <w:szCs w:val="24"/>
        </w:rPr>
      </w:pPr>
    </w:p>
    <w:p w:rsidR="003C7DBC" w:rsidRDefault="00E47631"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Klíčové analytické ukazatele </w:t>
      </w:r>
      <w:proofErr w:type="gramStart"/>
      <w:r w:rsidRPr="00102AB2">
        <w:rPr>
          <w:rFonts w:ascii="Calibri" w:hAnsi="Calibri" w:cs="Calibri"/>
          <w:sz w:val="24"/>
          <w:szCs w:val="24"/>
        </w:rPr>
        <w:t>jsou</w:t>
      </w:r>
      <w:r w:rsidR="00CE65FF" w:rsidRPr="00102AB2">
        <w:rPr>
          <w:rFonts w:ascii="Calibri" w:hAnsi="Calibri" w:cs="Calibri"/>
          <w:sz w:val="24"/>
          <w:szCs w:val="24"/>
        </w:rPr>
        <w:t>:</w:t>
      </w:r>
      <w:r w:rsidR="00624758" w:rsidRPr="00102AB2">
        <w:rPr>
          <w:rFonts w:ascii="Calibri" w:hAnsi="Calibri" w:cs="Calibri"/>
          <w:sz w:val="24"/>
          <w:szCs w:val="24"/>
        </w:rPr>
        <w:t xml:space="preserve"> </w:t>
      </w:r>
      <w:r w:rsidR="00D45C92" w:rsidRPr="00102AB2">
        <w:rPr>
          <w:rFonts w:ascii="Calibri" w:hAnsi="Calibri" w:cs="Calibri"/>
          <w:i/>
          <w:sz w:val="24"/>
          <w:szCs w:val="24"/>
        </w:rPr>
        <w:t>„...</w:t>
      </w:r>
      <w:r w:rsidR="00624758" w:rsidRPr="00102AB2">
        <w:rPr>
          <w:rFonts w:ascii="Calibri" w:hAnsi="Calibri" w:cs="Calibri"/>
          <w:i/>
          <w:sz w:val="24"/>
          <w:szCs w:val="24"/>
        </w:rPr>
        <w:t xml:space="preserve"> </w:t>
      </w:r>
      <w:r w:rsidRPr="00102AB2">
        <w:rPr>
          <w:rFonts w:ascii="Calibri" w:hAnsi="Calibri" w:cs="Calibri"/>
          <w:i/>
          <w:sz w:val="24"/>
          <w:szCs w:val="24"/>
        </w:rPr>
        <w:t>nově</w:t>
      </w:r>
      <w:proofErr w:type="gramEnd"/>
      <w:r w:rsidRPr="00102AB2">
        <w:rPr>
          <w:rFonts w:ascii="Calibri" w:hAnsi="Calibri" w:cs="Calibri"/>
          <w:i/>
          <w:sz w:val="24"/>
          <w:szCs w:val="24"/>
        </w:rPr>
        <w:t xml:space="preserve"> zaváděným prvkem v</w:t>
      </w:r>
      <w:r w:rsidR="007405FC" w:rsidRPr="00102AB2">
        <w:rPr>
          <w:rFonts w:ascii="Calibri" w:hAnsi="Calibri" w:cs="Calibri"/>
          <w:i/>
          <w:sz w:val="24"/>
          <w:szCs w:val="24"/>
        </w:rPr>
        <w:t xml:space="preserve"> </w:t>
      </w:r>
      <w:r w:rsidRPr="00102AB2">
        <w:rPr>
          <w:rFonts w:ascii="Calibri" w:hAnsi="Calibri" w:cs="Calibri"/>
          <w:i/>
          <w:sz w:val="24"/>
          <w:szCs w:val="24"/>
        </w:rPr>
        <w:t>systému sledování a</w:t>
      </w:r>
      <w:r w:rsidR="00D27C61" w:rsidRPr="00102AB2">
        <w:rPr>
          <w:rFonts w:ascii="Calibri" w:hAnsi="Calibri" w:cs="Calibri"/>
          <w:i/>
          <w:sz w:val="24"/>
          <w:szCs w:val="24"/>
        </w:rPr>
        <w:t> </w:t>
      </w:r>
      <w:r w:rsidRPr="00102AB2">
        <w:rPr>
          <w:rFonts w:ascii="Calibri" w:hAnsi="Calibri" w:cs="Calibri"/>
          <w:i/>
          <w:sz w:val="24"/>
          <w:szCs w:val="24"/>
        </w:rPr>
        <w:t>vyhodnocování výkonnosti účetních jednotek v</w:t>
      </w:r>
      <w:r w:rsidR="007405FC" w:rsidRPr="00102AB2">
        <w:rPr>
          <w:rFonts w:ascii="Calibri" w:hAnsi="Calibri" w:cs="Calibri"/>
          <w:i/>
          <w:sz w:val="24"/>
          <w:szCs w:val="24"/>
        </w:rPr>
        <w:t xml:space="preserve"> </w:t>
      </w:r>
      <w:r w:rsidRPr="00102AB2">
        <w:rPr>
          <w:rFonts w:ascii="Calibri" w:hAnsi="Calibri" w:cs="Calibri"/>
          <w:i/>
          <w:sz w:val="24"/>
          <w:szCs w:val="24"/>
        </w:rPr>
        <w:t>rámci účetních jednotek státní správy</w:t>
      </w:r>
      <w:r w:rsidR="009575D2">
        <w:rPr>
          <w:rFonts w:ascii="Calibri" w:hAnsi="Calibri" w:cs="Calibri"/>
          <w:sz w:val="24"/>
          <w:szCs w:val="24"/>
        </w:rPr>
        <w:t>.</w:t>
      </w:r>
      <w:r w:rsidR="00F70A54" w:rsidRPr="00102AB2">
        <w:rPr>
          <w:rFonts w:ascii="Calibri" w:hAnsi="Calibri" w:cs="Calibri"/>
          <w:sz w:val="24"/>
          <w:szCs w:val="24"/>
        </w:rPr>
        <w:t>“</w:t>
      </w:r>
      <w:r w:rsidR="00D45C92" w:rsidRPr="00102AB2">
        <w:rPr>
          <w:rStyle w:val="Znakapoznpodarou"/>
          <w:rFonts w:ascii="Calibri" w:hAnsi="Calibri" w:cs="Calibri"/>
          <w:sz w:val="24"/>
          <w:szCs w:val="24"/>
        </w:rPr>
        <w:footnoteReference w:id="74"/>
      </w:r>
      <w:r w:rsidR="000E4D9C" w:rsidRPr="00102AB2">
        <w:rPr>
          <w:rFonts w:ascii="Calibri" w:hAnsi="Calibri" w:cs="Calibri"/>
          <w:sz w:val="24"/>
          <w:szCs w:val="24"/>
        </w:rPr>
        <w:t xml:space="preserve"> </w:t>
      </w:r>
      <w:r w:rsidR="00775EAB" w:rsidRPr="00102AB2">
        <w:rPr>
          <w:rFonts w:ascii="Calibri" w:hAnsi="Calibri" w:cs="Calibri"/>
          <w:sz w:val="24"/>
          <w:szCs w:val="24"/>
        </w:rPr>
        <w:t>Pro vstup do těchto ukazatelů jsou přebírány údaje z</w:t>
      </w:r>
      <w:r w:rsidR="007405FC" w:rsidRPr="00102AB2">
        <w:rPr>
          <w:rFonts w:ascii="Calibri" w:hAnsi="Calibri" w:cs="Calibri"/>
          <w:sz w:val="24"/>
          <w:szCs w:val="24"/>
        </w:rPr>
        <w:t xml:space="preserve"> </w:t>
      </w:r>
      <w:r w:rsidR="00775EAB" w:rsidRPr="00102AB2">
        <w:rPr>
          <w:rFonts w:ascii="Calibri" w:hAnsi="Calibri" w:cs="Calibri"/>
          <w:sz w:val="24"/>
          <w:szCs w:val="24"/>
        </w:rPr>
        <w:t>účetních závěrek</w:t>
      </w:r>
      <w:r w:rsidR="009575D2">
        <w:rPr>
          <w:rFonts w:ascii="Calibri" w:hAnsi="Calibri" w:cs="Calibri"/>
          <w:sz w:val="24"/>
          <w:szCs w:val="24"/>
        </w:rPr>
        <w:t>,</w:t>
      </w:r>
      <w:r w:rsidR="00775EAB" w:rsidRPr="00102AB2">
        <w:rPr>
          <w:rFonts w:ascii="Calibri" w:hAnsi="Calibri" w:cs="Calibri"/>
          <w:sz w:val="24"/>
          <w:szCs w:val="24"/>
        </w:rPr>
        <w:t xml:space="preserve"> a to z</w:t>
      </w:r>
      <w:r w:rsidR="007405FC" w:rsidRPr="00102AB2">
        <w:rPr>
          <w:rFonts w:ascii="Calibri" w:hAnsi="Calibri" w:cs="Calibri"/>
          <w:sz w:val="24"/>
          <w:szCs w:val="24"/>
        </w:rPr>
        <w:t xml:space="preserve"> </w:t>
      </w:r>
      <w:r w:rsidR="00775EAB" w:rsidRPr="00102AB2">
        <w:rPr>
          <w:rFonts w:ascii="Calibri" w:hAnsi="Calibri" w:cs="Calibri"/>
          <w:sz w:val="24"/>
          <w:szCs w:val="24"/>
        </w:rPr>
        <w:t>vybraných majetkových účtů v</w:t>
      </w:r>
      <w:r w:rsidR="007405FC" w:rsidRPr="00102AB2">
        <w:rPr>
          <w:rFonts w:ascii="Calibri" w:hAnsi="Calibri" w:cs="Calibri"/>
          <w:sz w:val="24"/>
          <w:szCs w:val="24"/>
        </w:rPr>
        <w:t xml:space="preserve"> </w:t>
      </w:r>
      <w:r w:rsidR="00775EAB" w:rsidRPr="00102AB2">
        <w:rPr>
          <w:rFonts w:ascii="Calibri" w:hAnsi="Calibri" w:cs="Calibri"/>
          <w:sz w:val="24"/>
          <w:szCs w:val="24"/>
        </w:rPr>
        <w:t>brutto hodnotě a z</w:t>
      </w:r>
      <w:r w:rsidR="007405FC" w:rsidRPr="00102AB2">
        <w:rPr>
          <w:rFonts w:ascii="Calibri" w:hAnsi="Calibri" w:cs="Calibri"/>
          <w:sz w:val="24"/>
          <w:szCs w:val="24"/>
        </w:rPr>
        <w:t xml:space="preserve"> </w:t>
      </w:r>
      <w:r w:rsidR="00775EAB" w:rsidRPr="00102AB2">
        <w:rPr>
          <w:rFonts w:ascii="Calibri" w:hAnsi="Calibri" w:cs="Calibri"/>
          <w:sz w:val="24"/>
          <w:szCs w:val="24"/>
        </w:rPr>
        <w:t>vybraných nákladových účtů</w:t>
      </w:r>
      <w:r w:rsidR="005C0C4D" w:rsidRPr="00102AB2">
        <w:rPr>
          <w:rStyle w:val="Znakapoznpodarou"/>
          <w:rFonts w:ascii="Calibri" w:hAnsi="Calibri" w:cs="Calibri"/>
          <w:sz w:val="24"/>
          <w:szCs w:val="24"/>
        </w:rPr>
        <w:footnoteReference w:id="75"/>
      </w:r>
      <w:r w:rsidR="00775EAB" w:rsidRPr="00102AB2">
        <w:rPr>
          <w:rFonts w:ascii="Calibri" w:hAnsi="Calibri" w:cs="Calibri"/>
          <w:sz w:val="24"/>
          <w:szCs w:val="24"/>
        </w:rPr>
        <w:t>.</w:t>
      </w:r>
    </w:p>
    <w:p w:rsidR="007F494E" w:rsidRPr="007F494E" w:rsidRDefault="007F494E" w:rsidP="00102AB2">
      <w:pPr>
        <w:spacing w:after="0" w:line="240" w:lineRule="auto"/>
        <w:jc w:val="both"/>
        <w:rPr>
          <w:rFonts w:ascii="Calibri" w:hAnsi="Calibri" w:cs="Calibri"/>
          <w:sz w:val="24"/>
          <w:szCs w:val="24"/>
        </w:rPr>
      </w:pPr>
    </w:p>
    <w:p w:rsidR="00DB5015" w:rsidRPr="00102AB2" w:rsidRDefault="00775EAB" w:rsidP="00102AB2">
      <w:pPr>
        <w:spacing w:after="0" w:line="240" w:lineRule="auto"/>
        <w:jc w:val="both"/>
        <w:rPr>
          <w:rFonts w:ascii="Calibri" w:hAnsi="Calibri" w:cs="Calibri"/>
          <w:bCs/>
          <w:iCs/>
          <w:sz w:val="24"/>
          <w:szCs w:val="24"/>
        </w:rPr>
      </w:pPr>
      <w:r w:rsidRPr="00102AB2">
        <w:rPr>
          <w:rFonts w:ascii="Calibri" w:hAnsi="Calibri" w:cs="Calibri"/>
          <w:bCs/>
          <w:iCs/>
          <w:sz w:val="24"/>
          <w:szCs w:val="24"/>
        </w:rPr>
        <w:t>U MŽP b</w:t>
      </w:r>
      <w:r w:rsidR="00687AFB" w:rsidRPr="00102AB2">
        <w:rPr>
          <w:rFonts w:ascii="Calibri" w:hAnsi="Calibri" w:cs="Calibri"/>
          <w:bCs/>
          <w:iCs/>
          <w:sz w:val="24"/>
          <w:szCs w:val="24"/>
        </w:rPr>
        <w:t>yly posouzeny nákladové účty ovlivňující provozní nákladovost</w:t>
      </w:r>
      <w:r w:rsidRPr="00102AB2">
        <w:rPr>
          <w:rFonts w:ascii="Calibri" w:hAnsi="Calibri" w:cs="Calibri"/>
          <w:bCs/>
          <w:iCs/>
          <w:sz w:val="24"/>
          <w:szCs w:val="24"/>
        </w:rPr>
        <w:t>.</w:t>
      </w:r>
      <w:r w:rsidR="00687AFB" w:rsidRPr="00102AB2">
        <w:rPr>
          <w:rFonts w:ascii="Calibri" w:hAnsi="Calibri" w:cs="Calibri"/>
          <w:bCs/>
          <w:iCs/>
          <w:sz w:val="24"/>
          <w:szCs w:val="24"/>
        </w:rPr>
        <w:t xml:space="preserve"> Provozní nákladovost</w:t>
      </w:r>
      <w:r w:rsidR="000D6919" w:rsidRPr="00102AB2">
        <w:rPr>
          <w:rFonts w:ascii="Calibri" w:hAnsi="Calibri" w:cs="Calibri"/>
          <w:bCs/>
          <w:iCs/>
          <w:sz w:val="24"/>
          <w:szCs w:val="24"/>
        </w:rPr>
        <w:t xml:space="preserve"> je </w:t>
      </w:r>
      <w:proofErr w:type="gramStart"/>
      <w:r w:rsidR="000D6919" w:rsidRPr="00102AB2">
        <w:rPr>
          <w:rFonts w:ascii="Calibri" w:hAnsi="Calibri" w:cs="Calibri"/>
          <w:bCs/>
          <w:iCs/>
          <w:sz w:val="24"/>
          <w:szCs w:val="24"/>
        </w:rPr>
        <w:t>ukazatelem</w:t>
      </w:r>
      <w:r w:rsidR="00CE65FF" w:rsidRPr="00102AB2">
        <w:rPr>
          <w:rFonts w:ascii="Calibri" w:hAnsi="Calibri" w:cs="Calibri"/>
          <w:bCs/>
          <w:iCs/>
          <w:sz w:val="24"/>
          <w:szCs w:val="24"/>
        </w:rPr>
        <w:t>:</w:t>
      </w:r>
      <w:r w:rsidR="009D02D2" w:rsidRPr="00102AB2">
        <w:rPr>
          <w:rFonts w:ascii="Calibri" w:hAnsi="Calibri" w:cs="Calibri"/>
          <w:bCs/>
          <w:iCs/>
          <w:sz w:val="24"/>
          <w:szCs w:val="24"/>
        </w:rPr>
        <w:t xml:space="preserve"> </w:t>
      </w:r>
      <w:r w:rsidR="00687AFB" w:rsidRPr="00102AB2">
        <w:rPr>
          <w:rFonts w:ascii="Calibri" w:hAnsi="Calibri" w:cs="Calibri"/>
          <w:bCs/>
          <w:iCs/>
          <w:sz w:val="24"/>
          <w:szCs w:val="24"/>
        </w:rPr>
        <w:t>„...</w:t>
      </w:r>
      <w:r w:rsidR="00F70A54">
        <w:rPr>
          <w:rFonts w:ascii="Calibri" w:hAnsi="Calibri" w:cs="Calibri"/>
          <w:bCs/>
          <w:iCs/>
          <w:sz w:val="24"/>
          <w:szCs w:val="24"/>
        </w:rPr>
        <w:t xml:space="preserve"> </w:t>
      </w:r>
      <w:r w:rsidR="005B1A8E" w:rsidRPr="00102AB2">
        <w:rPr>
          <w:rFonts w:ascii="Calibri" w:hAnsi="Calibri" w:cs="Calibri"/>
          <w:bCs/>
          <w:i/>
          <w:iCs/>
          <w:sz w:val="24"/>
          <w:szCs w:val="24"/>
        </w:rPr>
        <w:t>hodnoty</w:t>
      </w:r>
      <w:proofErr w:type="gramEnd"/>
      <w:r w:rsidR="005B1A8E" w:rsidRPr="00102AB2">
        <w:rPr>
          <w:rFonts w:ascii="Calibri" w:hAnsi="Calibri" w:cs="Calibri"/>
          <w:bCs/>
          <w:i/>
          <w:iCs/>
          <w:sz w:val="24"/>
          <w:szCs w:val="24"/>
        </w:rPr>
        <w:t xml:space="preserve"> ročního objemu specifické části provozních nákladů účetní jednotky připadající na jednoho pracovníka. Představuje takový objem </w:t>
      </w:r>
      <w:r w:rsidR="005B1A8E" w:rsidRPr="00102AB2">
        <w:rPr>
          <w:rFonts w:ascii="Calibri" w:hAnsi="Calibri" w:cs="Calibri"/>
          <w:b/>
          <w:bCs/>
          <w:i/>
          <w:iCs/>
          <w:sz w:val="24"/>
          <w:szCs w:val="24"/>
        </w:rPr>
        <w:t>nemandatorních provozních nákladů</w:t>
      </w:r>
      <w:r w:rsidR="005B1A8E" w:rsidRPr="00B02A1B">
        <w:rPr>
          <w:rFonts w:ascii="Calibri" w:hAnsi="Calibri" w:cs="Calibri"/>
          <w:b/>
          <w:bCs/>
          <w:i/>
          <w:iCs/>
          <w:sz w:val="24"/>
          <w:szCs w:val="24"/>
        </w:rPr>
        <w:t>,</w:t>
      </w:r>
      <w:r w:rsidR="005B1A8E" w:rsidRPr="00102AB2">
        <w:rPr>
          <w:rFonts w:ascii="Calibri" w:hAnsi="Calibri" w:cs="Calibri"/>
          <w:bCs/>
          <w:i/>
          <w:iCs/>
          <w:sz w:val="24"/>
          <w:szCs w:val="24"/>
        </w:rPr>
        <w:t xml:space="preserve"> jak</w:t>
      </w:r>
      <w:r w:rsidR="00F70A54">
        <w:rPr>
          <w:rFonts w:ascii="Calibri" w:hAnsi="Calibri" w:cs="Calibri"/>
          <w:bCs/>
          <w:i/>
          <w:iCs/>
          <w:sz w:val="24"/>
          <w:szCs w:val="24"/>
        </w:rPr>
        <w:t>ý</w:t>
      </w:r>
      <w:r w:rsidR="005B1A8E" w:rsidRPr="00102AB2">
        <w:rPr>
          <w:rFonts w:ascii="Calibri" w:hAnsi="Calibri" w:cs="Calibri"/>
          <w:bCs/>
          <w:i/>
          <w:iCs/>
          <w:sz w:val="24"/>
          <w:szCs w:val="24"/>
        </w:rPr>
        <w:t xml:space="preserve"> na sebe váže v určitém období každý jeden pracovník daného druhu hodnocené organizační složky </w:t>
      </w:r>
      <w:proofErr w:type="gramStart"/>
      <w:r w:rsidR="005B1A8E" w:rsidRPr="00102AB2">
        <w:rPr>
          <w:rFonts w:ascii="Calibri" w:hAnsi="Calibri" w:cs="Calibri"/>
          <w:bCs/>
          <w:i/>
          <w:iCs/>
          <w:sz w:val="24"/>
          <w:szCs w:val="24"/>
        </w:rPr>
        <w:t>státu</w:t>
      </w:r>
      <w:r w:rsidR="009575D2">
        <w:rPr>
          <w:rFonts w:ascii="Calibri" w:hAnsi="Calibri" w:cs="Calibri"/>
          <w:bCs/>
          <w:i/>
          <w:iCs/>
          <w:sz w:val="24"/>
          <w:szCs w:val="24"/>
        </w:rPr>
        <w:t>.</w:t>
      </w:r>
      <w:r w:rsidR="009D02D2" w:rsidRPr="00102AB2">
        <w:rPr>
          <w:rFonts w:ascii="Calibri" w:hAnsi="Calibri" w:cs="Calibri"/>
          <w:bCs/>
          <w:i/>
          <w:iCs/>
          <w:sz w:val="24"/>
          <w:szCs w:val="24"/>
        </w:rPr>
        <w:t xml:space="preserve"> </w:t>
      </w:r>
      <w:r w:rsidR="009575D2">
        <w:rPr>
          <w:rFonts w:ascii="Calibri" w:hAnsi="Calibri" w:cs="Calibri"/>
          <w:bCs/>
          <w:i/>
          <w:iCs/>
          <w:sz w:val="24"/>
          <w:szCs w:val="24"/>
        </w:rPr>
        <w:t>(</w:t>
      </w:r>
      <w:r w:rsidR="005B1A8E" w:rsidRPr="00102AB2">
        <w:rPr>
          <w:rFonts w:ascii="Calibri" w:hAnsi="Calibri" w:cs="Calibri"/>
          <w:bCs/>
          <w:iCs/>
          <w:sz w:val="24"/>
          <w:szCs w:val="24"/>
        </w:rPr>
        <w:t>.</w:t>
      </w:r>
      <w:r w:rsidR="00DB5015" w:rsidRPr="00102AB2">
        <w:rPr>
          <w:rFonts w:ascii="Calibri" w:hAnsi="Calibri" w:cs="Calibri"/>
          <w:bCs/>
          <w:iCs/>
          <w:sz w:val="24"/>
          <w:szCs w:val="24"/>
        </w:rPr>
        <w:t>..</w:t>
      </w:r>
      <w:r w:rsidR="009575D2">
        <w:rPr>
          <w:rFonts w:ascii="Calibri" w:hAnsi="Calibri" w:cs="Calibri"/>
          <w:bCs/>
          <w:iCs/>
          <w:sz w:val="24"/>
          <w:szCs w:val="24"/>
        </w:rPr>
        <w:t>)</w:t>
      </w:r>
      <w:r w:rsidR="009D02D2" w:rsidRPr="00102AB2">
        <w:rPr>
          <w:rFonts w:ascii="Calibri" w:hAnsi="Calibri" w:cs="Calibri"/>
          <w:bCs/>
          <w:iCs/>
          <w:sz w:val="24"/>
          <w:szCs w:val="24"/>
        </w:rPr>
        <w:t xml:space="preserve"> </w:t>
      </w:r>
      <w:r w:rsidR="00DB5015" w:rsidRPr="00102AB2">
        <w:rPr>
          <w:rFonts w:ascii="Calibri" w:hAnsi="Calibri" w:cs="Calibri"/>
          <w:bCs/>
          <w:i/>
          <w:iCs/>
          <w:sz w:val="24"/>
          <w:szCs w:val="24"/>
        </w:rPr>
        <w:t>Ukazatel</w:t>
      </w:r>
      <w:proofErr w:type="gramEnd"/>
      <w:r w:rsidR="00DB5015" w:rsidRPr="00102AB2">
        <w:rPr>
          <w:rFonts w:ascii="Calibri" w:hAnsi="Calibri" w:cs="Calibri"/>
          <w:bCs/>
          <w:i/>
          <w:iCs/>
          <w:sz w:val="24"/>
          <w:szCs w:val="24"/>
        </w:rPr>
        <w:t xml:space="preserve"> slouží ke vzájemnému srovnání a posouzení ročního a meziročního vývoje konkrétních syntetických nákladových účtů provozních nákladů (souvisejících s běžným chodem organizace) v rámci </w:t>
      </w:r>
      <w:r w:rsidR="00DB5015" w:rsidRPr="00102AB2">
        <w:rPr>
          <w:rFonts w:ascii="Calibri" w:hAnsi="Calibri" w:cs="Calibri"/>
          <w:bCs/>
          <w:i/>
          <w:iCs/>
          <w:sz w:val="24"/>
          <w:szCs w:val="24"/>
        </w:rPr>
        <w:lastRenderedPageBreak/>
        <w:t>resortů, nevládních kapitol státního rozpočtu, organizačních složek státu a jejich účetních jednotek</w:t>
      </w:r>
      <w:r w:rsidR="009575D2">
        <w:rPr>
          <w:rFonts w:ascii="Calibri" w:hAnsi="Calibri" w:cs="Calibri"/>
          <w:bCs/>
          <w:i/>
          <w:iCs/>
          <w:sz w:val="24"/>
          <w:szCs w:val="24"/>
        </w:rPr>
        <w:t>.</w:t>
      </w:r>
      <w:r w:rsidR="00F728C3" w:rsidRPr="00102AB2">
        <w:rPr>
          <w:rFonts w:ascii="Calibri" w:hAnsi="Calibri" w:cs="Calibri"/>
          <w:bCs/>
          <w:iCs/>
          <w:sz w:val="24"/>
          <w:szCs w:val="24"/>
        </w:rPr>
        <w:t>“</w:t>
      </w:r>
      <w:r w:rsidR="00F728C3" w:rsidRPr="00102AB2">
        <w:rPr>
          <w:rStyle w:val="Znakapoznpodarou"/>
          <w:rFonts w:ascii="Calibri" w:hAnsi="Calibri" w:cs="Calibri"/>
          <w:bCs/>
          <w:iCs/>
          <w:sz w:val="24"/>
          <w:szCs w:val="24"/>
        </w:rPr>
        <w:footnoteReference w:id="76"/>
      </w:r>
      <w:r w:rsidR="00687AFB" w:rsidRPr="00102AB2">
        <w:rPr>
          <w:rFonts w:ascii="Calibri" w:hAnsi="Calibri" w:cs="Calibri"/>
          <w:bCs/>
          <w:iCs/>
          <w:sz w:val="24"/>
          <w:szCs w:val="24"/>
        </w:rPr>
        <w:t xml:space="preserve"> </w:t>
      </w:r>
    </w:p>
    <w:p w:rsidR="00352119" w:rsidRPr="00102AB2" w:rsidRDefault="00352119" w:rsidP="00102AB2">
      <w:pPr>
        <w:spacing w:after="0" w:line="240" w:lineRule="auto"/>
        <w:jc w:val="both"/>
        <w:rPr>
          <w:rFonts w:ascii="Calibri" w:hAnsi="Calibri" w:cs="Calibri"/>
          <w:bCs/>
          <w:iCs/>
          <w:sz w:val="24"/>
          <w:szCs w:val="24"/>
        </w:rPr>
      </w:pPr>
    </w:p>
    <w:p w:rsidR="0040412B" w:rsidRPr="00102AB2" w:rsidRDefault="008D0465" w:rsidP="00102AB2">
      <w:pPr>
        <w:spacing w:after="0" w:line="240" w:lineRule="auto"/>
        <w:jc w:val="both"/>
        <w:rPr>
          <w:rFonts w:ascii="Calibri" w:hAnsi="Calibri" w:cs="Calibri"/>
          <w:bCs/>
          <w:iCs/>
          <w:sz w:val="24"/>
          <w:szCs w:val="24"/>
        </w:rPr>
      </w:pPr>
      <w:r w:rsidRPr="00102AB2">
        <w:rPr>
          <w:rFonts w:ascii="Calibri" w:hAnsi="Calibri" w:cs="Calibri"/>
          <w:bCs/>
          <w:iCs/>
          <w:sz w:val="24"/>
          <w:szCs w:val="24"/>
        </w:rPr>
        <w:t xml:space="preserve">MŽP </w:t>
      </w:r>
      <w:r w:rsidR="00BF21B0" w:rsidRPr="00102AB2">
        <w:rPr>
          <w:rFonts w:ascii="Calibri" w:hAnsi="Calibri" w:cs="Calibri"/>
          <w:bCs/>
          <w:iCs/>
          <w:sz w:val="24"/>
          <w:szCs w:val="24"/>
        </w:rPr>
        <w:t xml:space="preserve">na </w:t>
      </w:r>
      <w:r w:rsidR="0040412B" w:rsidRPr="00102AB2">
        <w:rPr>
          <w:rFonts w:ascii="Calibri" w:hAnsi="Calibri" w:cs="Calibri"/>
          <w:bCs/>
          <w:iCs/>
          <w:sz w:val="24"/>
          <w:szCs w:val="24"/>
        </w:rPr>
        <w:t xml:space="preserve">účtu </w:t>
      </w:r>
      <w:r w:rsidR="0040412B" w:rsidRPr="00B02A1B">
        <w:rPr>
          <w:rFonts w:ascii="Calibri" w:hAnsi="Calibri" w:cs="Calibri"/>
          <w:bCs/>
          <w:iCs/>
          <w:sz w:val="24"/>
          <w:szCs w:val="24"/>
        </w:rPr>
        <w:t>518</w:t>
      </w:r>
      <w:r w:rsidR="0040412B" w:rsidRPr="00102AB2">
        <w:rPr>
          <w:rFonts w:ascii="Calibri" w:hAnsi="Calibri" w:cs="Calibri"/>
          <w:bCs/>
          <w:i/>
          <w:iCs/>
          <w:sz w:val="24"/>
          <w:szCs w:val="24"/>
        </w:rPr>
        <w:t xml:space="preserve"> – Ostatní služby</w:t>
      </w:r>
      <w:r w:rsidR="0040412B" w:rsidRPr="00102AB2">
        <w:rPr>
          <w:rFonts w:ascii="Calibri" w:hAnsi="Calibri" w:cs="Calibri"/>
          <w:bCs/>
          <w:iCs/>
          <w:sz w:val="24"/>
          <w:szCs w:val="24"/>
        </w:rPr>
        <w:t>, který je jedním</w:t>
      </w:r>
      <w:r w:rsidR="00BF21B0" w:rsidRPr="00102AB2">
        <w:rPr>
          <w:rFonts w:ascii="Calibri" w:hAnsi="Calibri" w:cs="Calibri"/>
          <w:bCs/>
          <w:iCs/>
          <w:sz w:val="24"/>
          <w:szCs w:val="24"/>
        </w:rPr>
        <w:t xml:space="preserve"> z účtů vstupujících do provozní nákladovosti</w:t>
      </w:r>
      <w:r w:rsidR="0040412B" w:rsidRPr="00102AB2">
        <w:rPr>
          <w:rFonts w:ascii="Calibri" w:hAnsi="Calibri" w:cs="Calibri"/>
          <w:bCs/>
          <w:iCs/>
          <w:sz w:val="24"/>
          <w:szCs w:val="24"/>
        </w:rPr>
        <w:t>, vykázalo</w:t>
      </w:r>
      <w:r w:rsidR="00BF21B0" w:rsidRPr="00102AB2">
        <w:rPr>
          <w:rFonts w:ascii="Calibri" w:hAnsi="Calibri" w:cs="Calibri"/>
          <w:bCs/>
          <w:iCs/>
          <w:sz w:val="24"/>
          <w:szCs w:val="24"/>
        </w:rPr>
        <w:t xml:space="preserve"> </w:t>
      </w:r>
      <w:r w:rsidR="0040412B" w:rsidRPr="00102AB2">
        <w:rPr>
          <w:rFonts w:ascii="Calibri" w:hAnsi="Calibri" w:cs="Calibri"/>
          <w:bCs/>
          <w:iCs/>
          <w:sz w:val="24"/>
          <w:szCs w:val="24"/>
        </w:rPr>
        <w:t>jako součást konečného zůstatku i</w:t>
      </w:r>
      <w:r w:rsidR="00BF21B0" w:rsidRPr="00102AB2">
        <w:rPr>
          <w:rFonts w:ascii="Calibri" w:hAnsi="Calibri" w:cs="Calibri"/>
          <w:bCs/>
          <w:iCs/>
          <w:sz w:val="24"/>
          <w:szCs w:val="24"/>
        </w:rPr>
        <w:t xml:space="preserve"> náklady, které je povinn</w:t>
      </w:r>
      <w:r w:rsidR="00F70A54">
        <w:rPr>
          <w:rFonts w:ascii="Calibri" w:hAnsi="Calibri" w:cs="Calibri"/>
          <w:bCs/>
          <w:iCs/>
          <w:sz w:val="24"/>
          <w:szCs w:val="24"/>
        </w:rPr>
        <w:t>o</w:t>
      </w:r>
      <w:r w:rsidR="00BF21B0" w:rsidRPr="00102AB2">
        <w:rPr>
          <w:rFonts w:ascii="Calibri" w:hAnsi="Calibri" w:cs="Calibri"/>
          <w:bCs/>
          <w:iCs/>
          <w:sz w:val="24"/>
          <w:szCs w:val="24"/>
        </w:rPr>
        <w:t xml:space="preserve"> hradit na základě právních předpisů</w:t>
      </w:r>
      <w:r w:rsidR="00F70A54">
        <w:rPr>
          <w:rFonts w:ascii="Calibri" w:hAnsi="Calibri" w:cs="Calibri"/>
          <w:bCs/>
          <w:iCs/>
          <w:sz w:val="24"/>
          <w:szCs w:val="24"/>
        </w:rPr>
        <w:t>,</w:t>
      </w:r>
      <w:r w:rsidR="0040412B" w:rsidRPr="00102AB2">
        <w:rPr>
          <w:rFonts w:ascii="Calibri" w:hAnsi="Calibri" w:cs="Calibri"/>
          <w:bCs/>
          <w:iCs/>
          <w:sz w:val="24"/>
          <w:szCs w:val="24"/>
        </w:rPr>
        <w:t xml:space="preserve"> a to v</w:t>
      </w:r>
      <w:r w:rsidR="007405FC" w:rsidRPr="00102AB2">
        <w:rPr>
          <w:rFonts w:ascii="Calibri" w:hAnsi="Calibri" w:cs="Calibri"/>
          <w:bCs/>
          <w:iCs/>
          <w:sz w:val="24"/>
          <w:szCs w:val="24"/>
        </w:rPr>
        <w:t xml:space="preserve"> </w:t>
      </w:r>
      <w:r w:rsidR="0040412B" w:rsidRPr="00102AB2">
        <w:rPr>
          <w:rFonts w:ascii="Calibri" w:hAnsi="Calibri" w:cs="Calibri"/>
          <w:bCs/>
          <w:iCs/>
          <w:sz w:val="24"/>
          <w:szCs w:val="24"/>
        </w:rPr>
        <w:t xml:space="preserve">celkové výši </w:t>
      </w:r>
      <w:r w:rsidR="0036325A" w:rsidRPr="00102AB2">
        <w:rPr>
          <w:rFonts w:ascii="Calibri" w:hAnsi="Calibri" w:cs="Calibri"/>
          <w:bCs/>
          <w:iCs/>
          <w:sz w:val="24"/>
          <w:szCs w:val="24"/>
        </w:rPr>
        <w:t>11</w:t>
      </w:r>
      <w:r w:rsidR="007405FC" w:rsidRPr="00102AB2">
        <w:rPr>
          <w:rFonts w:ascii="Calibri" w:hAnsi="Calibri" w:cs="Calibri"/>
          <w:bCs/>
          <w:iCs/>
          <w:sz w:val="24"/>
          <w:szCs w:val="24"/>
        </w:rPr>
        <w:t xml:space="preserve"> </w:t>
      </w:r>
      <w:r w:rsidR="0036325A" w:rsidRPr="00102AB2">
        <w:rPr>
          <w:rFonts w:ascii="Calibri" w:hAnsi="Calibri" w:cs="Calibri"/>
          <w:bCs/>
          <w:iCs/>
          <w:sz w:val="24"/>
          <w:szCs w:val="24"/>
        </w:rPr>
        <w:t>5</w:t>
      </w:r>
      <w:r w:rsidR="007B7B22" w:rsidRPr="00102AB2">
        <w:rPr>
          <w:rFonts w:ascii="Calibri" w:hAnsi="Calibri" w:cs="Calibri"/>
          <w:bCs/>
          <w:iCs/>
          <w:sz w:val="24"/>
          <w:szCs w:val="24"/>
        </w:rPr>
        <w:t>0</w:t>
      </w:r>
      <w:r w:rsidR="0036325A" w:rsidRPr="00102AB2">
        <w:rPr>
          <w:rFonts w:ascii="Calibri" w:hAnsi="Calibri" w:cs="Calibri"/>
          <w:bCs/>
          <w:iCs/>
          <w:sz w:val="24"/>
          <w:szCs w:val="24"/>
        </w:rPr>
        <w:t>2</w:t>
      </w:r>
      <w:r w:rsidR="007405FC" w:rsidRPr="00102AB2">
        <w:rPr>
          <w:rFonts w:ascii="Calibri" w:hAnsi="Calibri" w:cs="Calibri"/>
          <w:bCs/>
          <w:iCs/>
          <w:sz w:val="24"/>
          <w:szCs w:val="24"/>
        </w:rPr>
        <w:t xml:space="preserve"> </w:t>
      </w:r>
      <w:r w:rsidR="0036325A" w:rsidRPr="00102AB2">
        <w:rPr>
          <w:rFonts w:ascii="Calibri" w:hAnsi="Calibri" w:cs="Calibri"/>
          <w:bCs/>
          <w:iCs/>
          <w:sz w:val="24"/>
          <w:szCs w:val="24"/>
        </w:rPr>
        <w:t>691,22 Kč</w:t>
      </w:r>
      <w:r w:rsidR="00BF21B0" w:rsidRPr="00102AB2">
        <w:rPr>
          <w:rFonts w:ascii="Calibri" w:hAnsi="Calibri" w:cs="Calibri"/>
          <w:bCs/>
          <w:iCs/>
          <w:sz w:val="24"/>
          <w:szCs w:val="24"/>
        </w:rPr>
        <w:t xml:space="preserve">. Tyto náklady </w:t>
      </w:r>
      <w:r w:rsidRPr="00102AB2">
        <w:rPr>
          <w:rFonts w:ascii="Calibri" w:hAnsi="Calibri" w:cs="Calibri"/>
          <w:bCs/>
          <w:iCs/>
          <w:sz w:val="24"/>
          <w:szCs w:val="24"/>
        </w:rPr>
        <w:t>jsou</w:t>
      </w:r>
      <w:r w:rsidR="00BF21B0" w:rsidRPr="00102AB2">
        <w:rPr>
          <w:rFonts w:ascii="Calibri" w:hAnsi="Calibri" w:cs="Calibri"/>
          <w:bCs/>
          <w:iCs/>
          <w:sz w:val="24"/>
          <w:szCs w:val="24"/>
        </w:rPr>
        <w:t xml:space="preserve"> </w:t>
      </w:r>
      <w:r w:rsidRPr="00102AB2">
        <w:rPr>
          <w:rFonts w:ascii="Calibri" w:hAnsi="Calibri" w:cs="Calibri"/>
          <w:bCs/>
          <w:iCs/>
          <w:sz w:val="24"/>
          <w:szCs w:val="24"/>
        </w:rPr>
        <w:t>p</w:t>
      </w:r>
      <w:r w:rsidR="00106D9F" w:rsidRPr="00102AB2">
        <w:rPr>
          <w:rFonts w:ascii="Calibri" w:hAnsi="Calibri" w:cs="Calibri"/>
          <w:bCs/>
          <w:iCs/>
          <w:sz w:val="24"/>
          <w:szCs w:val="24"/>
        </w:rPr>
        <w:t>rokazatelně</w:t>
      </w:r>
      <w:r w:rsidR="0040412B" w:rsidRPr="00102AB2">
        <w:rPr>
          <w:rFonts w:ascii="Calibri" w:hAnsi="Calibri" w:cs="Calibri"/>
          <w:bCs/>
          <w:iCs/>
          <w:sz w:val="24"/>
          <w:szCs w:val="24"/>
        </w:rPr>
        <w:t xml:space="preserve"> neovlivniteln</w:t>
      </w:r>
      <w:r w:rsidR="00F70A54">
        <w:rPr>
          <w:rFonts w:ascii="Calibri" w:hAnsi="Calibri" w:cs="Calibri"/>
          <w:bCs/>
          <w:iCs/>
          <w:sz w:val="24"/>
          <w:szCs w:val="24"/>
        </w:rPr>
        <w:t>é</w:t>
      </w:r>
      <w:r w:rsidR="00106D9F" w:rsidRPr="00102AB2">
        <w:rPr>
          <w:rFonts w:ascii="Calibri" w:hAnsi="Calibri" w:cs="Calibri"/>
          <w:bCs/>
          <w:iCs/>
          <w:sz w:val="24"/>
          <w:szCs w:val="24"/>
        </w:rPr>
        <w:t xml:space="preserve"> </w:t>
      </w:r>
      <w:r w:rsidR="0040412B" w:rsidRPr="00102AB2">
        <w:rPr>
          <w:rFonts w:ascii="Calibri" w:hAnsi="Calibri" w:cs="Calibri"/>
          <w:bCs/>
          <w:iCs/>
          <w:sz w:val="24"/>
          <w:szCs w:val="24"/>
        </w:rPr>
        <w:t>z</w:t>
      </w:r>
      <w:r w:rsidR="00BF21B0" w:rsidRPr="00102AB2">
        <w:rPr>
          <w:rFonts w:ascii="Calibri" w:hAnsi="Calibri" w:cs="Calibri"/>
          <w:bCs/>
          <w:iCs/>
          <w:sz w:val="24"/>
          <w:szCs w:val="24"/>
        </w:rPr>
        <w:t xml:space="preserve">e strany MŽP. </w:t>
      </w:r>
    </w:p>
    <w:p w:rsidR="00352119" w:rsidRPr="00102AB2" w:rsidRDefault="00352119" w:rsidP="00102AB2">
      <w:pPr>
        <w:spacing w:after="0" w:line="240" w:lineRule="auto"/>
        <w:jc w:val="both"/>
        <w:rPr>
          <w:rFonts w:ascii="Calibri" w:hAnsi="Calibri" w:cs="Calibri"/>
          <w:bCs/>
          <w:iCs/>
          <w:sz w:val="24"/>
          <w:szCs w:val="24"/>
        </w:rPr>
      </w:pPr>
    </w:p>
    <w:p w:rsidR="00574360" w:rsidRPr="00102AB2" w:rsidRDefault="00BF21B0" w:rsidP="00102AB2">
      <w:pPr>
        <w:spacing w:after="0" w:line="240" w:lineRule="auto"/>
        <w:jc w:val="both"/>
        <w:rPr>
          <w:rFonts w:ascii="Calibri" w:hAnsi="Calibri" w:cs="Calibri"/>
          <w:bCs/>
          <w:iCs/>
          <w:sz w:val="24"/>
          <w:szCs w:val="24"/>
        </w:rPr>
      </w:pPr>
      <w:r w:rsidRPr="00102AB2">
        <w:rPr>
          <w:rFonts w:ascii="Calibri" w:hAnsi="Calibri" w:cs="Calibri"/>
          <w:bCs/>
          <w:iCs/>
          <w:sz w:val="24"/>
          <w:szCs w:val="24"/>
        </w:rPr>
        <w:t>Jde o náklady</w:t>
      </w:r>
      <w:r w:rsidR="00574360" w:rsidRPr="00102AB2">
        <w:rPr>
          <w:rFonts w:ascii="Calibri" w:hAnsi="Calibri" w:cs="Calibri"/>
          <w:bCs/>
          <w:iCs/>
          <w:sz w:val="24"/>
          <w:szCs w:val="24"/>
        </w:rPr>
        <w:t>,</w:t>
      </w:r>
      <w:r w:rsidR="0040412B" w:rsidRPr="00102AB2">
        <w:rPr>
          <w:rFonts w:ascii="Calibri" w:hAnsi="Calibri" w:cs="Calibri"/>
          <w:bCs/>
          <w:iCs/>
          <w:sz w:val="24"/>
          <w:szCs w:val="24"/>
        </w:rPr>
        <w:t xml:space="preserve"> které</w:t>
      </w:r>
      <w:r w:rsidRPr="00102AB2">
        <w:rPr>
          <w:rFonts w:ascii="Calibri" w:hAnsi="Calibri" w:cs="Calibri"/>
          <w:bCs/>
          <w:iCs/>
          <w:sz w:val="24"/>
          <w:szCs w:val="24"/>
        </w:rPr>
        <w:t xml:space="preserve"> bylo MŽP povinn</w:t>
      </w:r>
      <w:r w:rsidR="00F70A54">
        <w:rPr>
          <w:rFonts w:ascii="Calibri" w:hAnsi="Calibri" w:cs="Calibri"/>
          <w:bCs/>
          <w:iCs/>
          <w:sz w:val="24"/>
          <w:szCs w:val="24"/>
        </w:rPr>
        <w:t>o</w:t>
      </w:r>
      <w:r w:rsidRPr="00102AB2">
        <w:rPr>
          <w:rFonts w:ascii="Calibri" w:hAnsi="Calibri" w:cs="Calibri"/>
          <w:bCs/>
          <w:iCs/>
          <w:sz w:val="24"/>
          <w:szCs w:val="24"/>
        </w:rPr>
        <w:t xml:space="preserve"> hradit</w:t>
      </w:r>
      <w:r w:rsidR="00A8425D" w:rsidRPr="00102AB2">
        <w:rPr>
          <w:rFonts w:ascii="Calibri" w:hAnsi="Calibri" w:cs="Calibri"/>
          <w:bCs/>
          <w:iCs/>
          <w:sz w:val="24"/>
          <w:szCs w:val="24"/>
        </w:rPr>
        <w:t xml:space="preserve"> </w:t>
      </w:r>
      <w:r w:rsidR="0011369A" w:rsidRPr="00102AB2">
        <w:rPr>
          <w:rFonts w:ascii="Calibri" w:hAnsi="Calibri" w:cs="Calibri"/>
          <w:bCs/>
          <w:iCs/>
          <w:sz w:val="24"/>
          <w:szCs w:val="24"/>
        </w:rPr>
        <w:t xml:space="preserve">na základě § 35 odst. 5 zákona č. 44/1988 Sb., </w:t>
      </w:r>
      <w:r w:rsidR="0011369A" w:rsidRPr="00B02A1B">
        <w:rPr>
          <w:rFonts w:ascii="Calibri" w:hAnsi="Calibri" w:cs="Calibri"/>
          <w:bCs/>
          <w:iCs/>
          <w:sz w:val="24"/>
          <w:szCs w:val="24"/>
        </w:rPr>
        <w:t>o ochraně a využití nerostného bohatství</w:t>
      </w:r>
      <w:r w:rsidR="0011369A" w:rsidRPr="009575D2">
        <w:rPr>
          <w:rFonts w:ascii="Calibri" w:hAnsi="Calibri" w:cs="Calibri"/>
          <w:bCs/>
          <w:iCs/>
          <w:sz w:val="24"/>
          <w:szCs w:val="24"/>
        </w:rPr>
        <w:t xml:space="preserve"> </w:t>
      </w:r>
      <w:r w:rsidR="0011369A" w:rsidRPr="00B02A1B">
        <w:rPr>
          <w:rFonts w:ascii="Calibri" w:hAnsi="Calibri" w:cs="Calibri"/>
          <w:bCs/>
          <w:iCs/>
          <w:sz w:val="24"/>
          <w:szCs w:val="24"/>
        </w:rPr>
        <w:t>(horní zákon),</w:t>
      </w:r>
      <w:r w:rsidR="0011369A" w:rsidRPr="00102AB2">
        <w:rPr>
          <w:rFonts w:ascii="Calibri" w:hAnsi="Calibri" w:cs="Calibri"/>
          <w:bCs/>
          <w:iCs/>
          <w:sz w:val="24"/>
          <w:szCs w:val="24"/>
        </w:rPr>
        <w:t xml:space="preserve"> dle kterého </w:t>
      </w:r>
      <w:r w:rsidR="001170DE" w:rsidRPr="00102AB2">
        <w:rPr>
          <w:rFonts w:ascii="Calibri" w:hAnsi="Calibri" w:cs="Calibri"/>
          <w:bCs/>
          <w:iCs/>
          <w:sz w:val="24"/>
          <w:szCs w:val="24"/>
        </w:rPr>
        <w:t>MŽP zajišťuje v nezbytně nutném rozsahu likvidaci starých důlních děl.</w:t>
      </w:r>
      <w:r w:rsidR="0040412B" w:rsidRPr="00102AB2">
        <w:rPr>
          <w:rFonts w:ascii="Calibri" w:hAnsi="Calibri" w:cs="Calibri"/>
          <w:bCs/>
          <w:iCs/>
          <w:sz w:val="24"/>
          <w:szCs w:val="24"/>
        </w:rPr>
        <w:t xml:space="preserve"> </w:t>
      </w:r>
      <w:r w:rsidR="00574360" w:rsidRPr="00102AB2">
        <w:rPr>
          <w:rFonts w:ascii="Calibri" w:hAnsi="Calibri" w:cs="Calibri"/>
          <w:bCs/>
          <w:iCs/>
          <w:sz w:val="24"/>
          <w:szCs w:val="24"/>
        </w:rPr>
        <w:t>V</w:t>
      </w:r>
      <w:r w:rsidR="007405FC" w:rsidRPr="00102AB2">
        <w:rPr>
          <w:rFonts w:ascii="Calibri" w:hAnsi="Calibri" w:cs="Calibri"/>
          <w:bCs/>
          <w:iCs/>
          <w:sz w:val="24"/>
          <w:szCs w:val="24"/>
        </w:rPr>
        <w:t xml:space="preserve"> </w:t>
      </w:r>
      <w:r w:rsidR="00574360" w:rsidRPr="00102AB2">
        <w:rPr>
          <w:rFonts w:ascii="Calibri" w:hAnsi="Calibri" w:cs="Calibri"/>
          <w:bCs/>
          <w:iCs/>
          <w:sz w:val="24"/>
          <w:szCs w:val="24"/>
        </w:rPr>
        <w:t>souvislosti s</w:t>
      </w:r>
      <w:r w:rsidR="007405FC" w:rsidRPr="00102AB2">
        <w:rPr>
          <w:rFonts w:ascii="Calibri" w:hAnsi="Calibri" w:cs="Calibri"/>
          <w:bCs/>
          <w:iCs/>
          <w:sz w:val="24"/>
          <w:szCs w:val="24"/>
        </w:rPr>
        <w:t xml:space="preserve"> </w:t>
      </w:r>
      <w:r w:rsidR="00574360" w:rsidRPr="00102AB2">
        <w:rPr>
          <w:rFonts w:ascii="Calibri" w:hAnsi="Calibri" w:cs="Calibri"/>
          <w:bCs/>
          <w:iCs/>
          <w:sz w:val="24"/>
          <w:szCs w:val="24"/>
        </w:rPr>
        <w:t>těmito skutečnostmi je součástí vykázaného</w:t>
      </w:r>
      <w:r w:rsidR="0040412B" w:rsidRPr="00102AB2">
        <w:rPr>
          <w:rFonts w:ascii="Calibri" w:hAnsi="Calibri" w:cs="Calibri"/>
          <w:bCs/>
          <w:iCs/>
          <w:sz w:val="24"/>
          <w:szCs w:val="24"/>
        </w:rPr>
        <w:t xml:space="preserve"> konečného zůstatku účtu</w:t>
      </w:r>
      <w:r w:rsidR="0036325A" w:rsidRPr="00102AB2">
        <w:rPr>
          <w:rFonts w:ascii="Calibri" w:hAnsi="Calibri" w:cs="Calibri"/>
          <w:bCs/>
          <w:iCs/>
          <w:sz w:val="24"/>
          <w:szCs w:val="24"/>
        </w:rPr>
        <w:t xml:space="preserve"> </w:t>
      </w:r>
      <w:r w:rsidR="0036325A" w:rsidRPr="00B02A1B">
        <w:rPr>
          <w:rFonts w:ascii="Calibri" w:hAnsi="Calibri" w:cs="Calibri"/>
          <w:bCs/>
          <w:iCs/>
          <w:sz w:val="24"/>
          <w:szCs w:val="24"/>
        </w:rPr>
        <w:t>518</w:t>
      </w:r>
      <w:r w:rsidR="0036325A" w:rsidRPr="00102AB2">
        <w:rPr>
          <w:rFonts w:ascii="Calibri" w:hAnsi="Calibri" w:cs="Calibri"/>
          <w:bCs/>
          <w:i/>
          <w:iCs/>
          <w:sz w:val="24"/>
          <w:szCs w:val="24"/>
        </w:rPr>
        <w:t xml:space="preserve"> – Ostatní služby</w:t>
      </w:r>
      <w:r w:rsidR="00574360" w:rsidRPr="00102AB2">
        <w:rPr>
          <w:rFonts w:ascii="Calibri" w:hAnsi="Calibri" w:cs="Calibri"/>
          <w:bCs/>
          <w:iCs/>
          <w:sz w:val="24"/>
          <w:szCs w:val="24"/>
        </w:rPr>
        <w:t xml:space="preserve"> </w:t>
      </w:r>
      <w:r w:rsidR="0040412B" w:rsidRPr="00102AB2">
        <w:rPr>
          <w:rFonts w:ascii="Calibri" w:hAnsi="Calibri" w:cs="Calibri"/>
          <w:bCs/>
          <w:iCs/>
          <w:sz w:val="24"/>
          <w:szCs w:val="24"/>
        </w:rPr>
        <w:t>částka</w:t>
      </w:r>
      <w:r w:rsidR="00522244" w:rsidRPr="00102AB2">
        <w:rPr>
          <w:rFonts w:ascii="Calibri" w:hAnsi="Calibri" w:cs="Calibri"/>
          <w:bCs/>
          <w:iCs/>
          <w:sz w:val="24"/>
          <w:szCs w:val="24"/>
        </w:rPr>
        <w:t xml:space="preserve"> ve výši</w:t>
      </w:r>
      <w:r w:rsidR="0040412B" w:rsidRPr="00102AB2">
        <w:rPr>
          <w:rFonts w:ascii="Calibri" w:hAnsi="Calibri" w:cs="Calibri"/>
          <w:bCs/>
          <w:iCs/>
          <w:sz w:val="24"/>
          <w:szCs w:val="24"/>
        </w:rPr>
        <w:t xml:space="preserve"> 6</w:t>
      </w:r>
      <w:r w:rsidR="007405FC" w:rsidRPr="00102AB2">
        <w:rPr>
          <w:rFonts w:ascii="Calibri" w:hAnsi="Calibri" w:cs="Calibri"/>
          <w:bCs/>
          <w:iCs/>
          <w:sz w:val="24"/>
          <w:szCs w:val="24"/>
        </w:rPr>
        <w:t xml:space="preserve"> </w:t>
      </w:r>
      <w:r w:rsidR="0040412B" w:rsidRPr="00102AB2">
        <w:rPr>
          <w:rFonts w:ascii="Calibri" w:hAnsi="Calibri" w:cs="Calibri"/>
          <w:bCs/>
          <w:iCs/>
          <w:sz w:val="24"/>
          <w:szCs w:val="24"/>
        </w:rPr>
        <w:t>940</w:t>
      </w:r>
      <w:r w:rsidR="007405FC" w:rsidRPr="00102AB2">
        <w:rPr>
          <w:rFonts w:ascii="Calibri" w:hAnsi="Calibri" w:cs="Calibri"/>
          <w:bCs/>
          <w:iCs/>
          <w:sz w:val="24"/>
          <w:szCs w:val="24"/>
        </w:rPr>
        <w:t xml:space="preserve"> </w:t>
      </w:r>
      <w:r w:rsidR="0040412B" w:rsidRPr="00102AB2">
        <w:rPr>
          <w:rFonts w:ascii="Calibri" w:hAnsi="Calibri" w:cs="Calibri"/>
          <w:bCs/>
          <w:iCs/>
          <w:sz w:val="24"/>
          <w:szCs w:val="24"/>
        </w:rPr>
        <w:t>745,38 Kč.</w:t>
      </w:r>
      <w:r w:rsidR="001170DE" w:rsidRPr="00102AB2">
        <w:rPr>
          <w:rFonts w:ascii="Calibri" w:hAnsi="Calibri" w:cs="Calibri"/>
          <w:bCs/>
          <w:iCs/>
          <w:sz w:val="24"/>
          <w:szCs w:val="24"/>
        </w:rPr>
        <w:t xml:space="preserve"> </w:t>
      </w:r>
    </w:p>
    <w:p w:rsidR="00352119" w:rsidRPr="00102AB2" w:rsidRDefault="00352119" w:rsidP="00102AB2">
      <w:pPr>
        <w:spacing w:after="0" w:line="240" w:lineRule="auto"/>
        <w:jc w:val="both"/>
        <w:rPr>
          <w:rFonts w:ascii="Calibri" w:hAnsi="Calibri" w:cs="Calibri"/>
          <w:bCs/>
          <w:iCs/>
          <w:sz w:val="24"/>
          <w:szCs w:val="24"/>
        </w:rPr>
      </w:pPr>
    </w:p>
    <w:p w:rsidR="00CE65FF" w:rsidRDefault="0011655B" w:rsidP="00102AB2">
      <w:pPr>
        <w:spacing w:after="0" w:line="240" w:lineRule="auto"/>
        <w:jc w:val="both"/>
        <w:rPr>
          <w:rFonts w:ascii="Calibri" w:hAnsi="Calibri" w:cs="Calibri"/>
          <w:bCs/>
          <w:iCs/>
          <w:sz w:val="24"/>
          <w:szCs w:val="24"/>
        </w:rPr>
      </w:pPr>
      <w:r w:rsidRPr="00102AB2">
        <w:rPr>
          <w:rFonts w:ascii="Calibri" w:hAnsi="Calibri" w:cs="Calibri"/>
          <w:bCs/>
          <w:iCs/>
          <w:sz w:val="24"/>
          <w:szCs w:val="24"/>
        </w:rPr>
        <w:t>Dále</w:t>
      </w:r>
      <w:r w:rsidR="00AB3ADC" w:rsidRPr="00102AB2">
        <w:rPr>
          <w:rFonts w:ascii="Calibri" w:hAnsi="Calibri" w:cs="Calibri"/>
          <w:bCs/>
          <w:iCs/>
          <w:sz w:val="24"/>
          <w:szCs w:val="24"/>
        </w:rPr>
        <w:t xml:space="preserve"> se jedná</w:t>
      </w:r>
      <w:r w:rsidR="00574360" w:rsidRPr="00102AB2">
        <w:rPr>
          <w:rFonts w:ascii="Calibri" w:hAnsi="Calibri" w:cs="Calibri"/>
          <w:bCs/>
          <w:iCs/>
          <w:sz w:val="24"/>
          <w:szCs w:val="24"/>
        </w:rPr>
        <w:t xml:space="preserve"> o náklady, které je</w:t>
      </w:r>
      <w:r w:rsidR="0040412B" w:rsidRPr="00102AB2">
        <w:rPr>
          <w:rFonts w:ascii="Calibri" w:hAnsi="Calibri" w:cs="Calibri"/>
          <w:bCs/>
          <w:iCs/>
          <w:sz w:val="24"/>
          <w:szCs w:val="24"/>
        </w:rPr>
        <w:t xml:space="preserve"> MŽP povinn</w:t>
      </w:r>
      <w:r w:rsidR="00F70A54">
        <w:rPr>
          <w:rFonts w:ascii="Calibri" w:hAnsi="Calibri" w:cs="Calibri"/>
          <w:bCs/>
          <w:iCs/>
          <w:sz w:val="24"/>
          <w:szCs w:val="24"/>
        </w:rPr>
        <w:t>o</w:t>
      </w:r>
      <w:r w:rsidR="0040412B" w:rsidRPr="00102AB2">
        <w:rPr>
          <w:rFonts w:ascii="Calibri" w:hAnsi="Calibri" w:cs="Calibri"/>
          <w:bCs/>
          <w:iCs/>
          <w:sz w:val="24"/>
          <w:szCs w:val="24"/>
        </w:rPr>
        <w:t xml:space="preserve"> hradit </w:t>
      </w:r>
      <w:r w:rsidRPr="00102AB2">
        <w:rPr>
          <w:rFonts w:ascii="Calibri" w:hAnsi="Calibri" w:cs="Calibri"/>
          <w:bCs/>
          <w:iCs/>
          <w:sz w:val="24"/>
          <w:szCs w:val="24"/>
        </w:rPr>
        <w:t>na základě § 11 odst. 1 písm. d) zákona č.</w:t>
      </w:r>
      <w:r w:rsidR="00D27C61" w:rsidRPr="00102AB2">
        <w:rPr>
          <w:rFonts w:ascii="Calibri" w:hAnsi="Calibri" w:cs="Calibri"/>
          <w:bCs/>
          <w:iCs/>
          <w:sz w:val="24"/>
          <w:szCs w:val="24"/>
        </w:rPr>
        <w:t> </w:t>
      </w:r>
      <w:r w:rsidRPr="00102AB2">
        <w:rPr>
          <w:rFonts w:ascii="Calibri" w:hAnsi="Calibri" w:cs="Calibri"/>
          <w:bCs/>
          <w:iCs/>
          <w:sz w:val="24"/>
          <w:szCs w:val="24"/>
        </w:rPr>
        <w:t>219/2000 Sb</w:t>
      </w:r>
      <w:r w:rsidRPr="00102AB2">
        <w:rPr>
          <w:rFonts w:ascii="Calibri" w:hAnsi="Calibri" w:cs="Calibri"/>
          <w:bCs/>
          <w:i/>
          <w:iCs/>
          <w:sz w:val="24"/>
          <w:szCs w:val="24"/>
        </w:rPr>
        <w:t>.</w:t>
      </w:r>
      <w:r w:rsidRPr="00B02A1B">
        <w:rPr>
          <w:rFonts w:ascii="Calibri" w:hAnsi="Calibri" w:cs="Calibri"/>
          <w:bCs/>
          <w:iCs/>
          <w:sz w:val="24"/>
          <w:szCs w:val="24"/>
        </w:rPr>
        <w:t>,</w:t>
      </w:r>
      <w:r w:rsidR="001A524B" w:rsidRPr="00B02A1B">
        <w:rPr>
          <w:rFonts w:ascii="Calibri" w:hAnsi="Calibri" w:cs="Calibri"/>
          <w:bCs/>
          <w:iCs/>
          <w:sz w:val="24"/>
          <w:szCs w:val="24"/>
        </w:rPr>
        <w:t xml:space="preserve"> o majetku České</w:t>
      </w:r>
      <w:r w:rsidR="001A524B" w:rsidRPr="009575D2">
        <w:rPr>
          <w:rFonts w:ascii="Calibri" w:hAnsi="Calibri" w:cs="Calibri"/>
          <w:bCs/>
          <w:iCs/>
          <w:sz w:val="24"/>
          <w:szCs w:val="24"/>
        </w:rPr>
        <w:t xml:space="preserve"> </w:t>
      </w:r>
      <w:r w:rsidR="001A524B" w:rsidRPr="00B02A1B">
        <w:rPr>
          <w:rFonts w:ascii="Calibri" w:hAnsi="Calibri" w:cs="Calibri"/>
          <w:bCs/>
          <w:iCs/>
          <w:sz w:val="24"/>
          <w:szCs w:val="24"/>
        </w:rPr>
        <w:t>republiky a jejím vystupování v</w:t>
      </w:r>
      <w:r w:rsidR="007405FC" w:rsidRPr="00B02A1B">
        <w:rPr>
          <w:rFonts w:ascii="Calibri" w:hAnsi="Calibri" w:cs="Calibri"/>
          <w:bCs/>
          <w:iCs/>
          <w:sz w:val="24"/>
          <w:szCs w:val="24"/>
        </w:rPr>
        <w:t xml:space="preserve"> </w:t>
      </w:r>
      <w:r w:rsidR="001A524B" w:rsidRPr="00B02A1B">
        <w:rPr>
          <w:rFonts w:ascii="Calibri" w:hAnsi="Calibri" w:cs="Calibri"/>
          <w:bCs/>
          <w:iCs/>
          <w:sz w:val="24"/>
          <w:szCs w:val="24"/>
        </w:rPr>
        <w:t>právních vztazích</w:t>
      </w:r>
      <w:r w:rsidR="0040412B" w:rsidRPr="00102AB2">
        <w:rPr>
          <w:rFonts w:ascii="Calibri" w:hAnsi="Calibri" w:cs="Calibri"/>
          <w:bCs/>
          <w:iCs/>
          <w:sz w:val="24"/>
          <w:szCs w:val="24"/>
        </w:rPr>
        <w:t>, neboť je</w:t>
      </w:r>
      <w:r w:rsidRPr="00102AB2">
        <w:rPr>
          <w:rFonts w:ascii="Calibri" w:hAnsi="Calibri" w:cs="Calibri"/>
          <w:bCs/>
          <w:iCs/>
          <w:sz w:val="24"/>
          <w:szCs w:val="24"/>
        </w:rPr>
        <w:t xml:space="preserve"> příslušné hospodařit s jedinci (exempláři) rostlin a živočichů odebranými podle zvláštních právních předpisů. </w:t>
      </w:r>
      <w:r w:rsidR="00574360" w:rsidRPr="00102AB2">
        <w:rPr>
          <w:rFonts w:ascii="Calibri" w:hAnsi="Calibri" w:cs="Calibri"/>
          <w:bCs/>
          <w:iCs/>
          <w:sz w:val="24"/>
          <w:szCs w:val="24"/>
        </w:rPr>
        <w:t>Příslušnost hospodařit</w:t>
      </w:r>
      <w:r w:rsidR="005913E3" w:rsidRPr="00102AB2">
        <w:rPr>
          <w:rFonts w:ascii="Calibri" w:hAnsi="Calibri" w:cs="Calibri"/>
          <w:bCs/>
          <w:iCs/>
          <w:sz w:val="24"/>
          <w:szCs w:val="24"/>
        </w:rPr>
        <w:t xml:space="preserve"> nabývá MŽP</w:t>
      </w:r>
      <w:r w:rsidR="00574360" w:rsidRPr="00102AB2">
        <w:rPr>
          <w:rFonts w:ascii="Calibri" w:hAnsi="Calibri" w:cs="Calibri"/>
          <w:bCs/>
          <w:iCs/>
          <w:sz w:val="24"/>
          <w:szCs w:val="24"/>
        </w:rPr>
        <w:t xml:space="preserve"> na základě</w:t>
      </w:r>
      <w:r w:rsidRPr="00102AB2">
        <w:rPr>
          <w:rFonts w:ascii="Calibri" w:hAnsi="Calibri" w:cs="Calibri"/>
          <w:bCs/>
          <w:iCs/>
          <w:sz w:val="24"/>
          <w:szCs w:val="24"/>
        </w:rPr>
        <w:t xml:space="preserve"> písemn</w:t>
      </w:r>
      <w:r w:rsidR="00574360" w:rsidRPr="00102AB2">
        <w:rPr>
          <w:rFonts w:ascii="Calibri" w:hAnsi="Calibri" w:cs="Calibri"/>
          <w:bCs/>
          <w:iCs/>
          <w:sz w:val="24"/>
          <w:szCs w:val="24"/>
        </w:rPr>
        <w:t>ého</w:t>
      </w:r>
      <w:r w:rsidRPr="00102AB2">
        <w:rPr>
          <w:rFonts w:ascii="Calibri" w:hAnsi="Calibri" w:cs="Calibri"/>
          <w:bCs/>
          <w:iCs/>
          <w:sz w:val="24"/>
          <w:szCs w:val="24"/>
        </w:rPr>
        <w:t xml:space="preserve"> rozhodnutí</w:t>
      </w:r>
      <w:r w:rsidR="00A8425D" w:rsidRPr="00102AB2">
        <w:rPr>
          <w:rFonts w:ascii="Calibri" w:hAnsi="Calibri" w:cs="Calibri"/>
          <w:bCs/>
          <w:iCs/>
          <w:sz w:val="24"/>
          <w:szCs w:val="24"/>
        </w:rPr>
        <w:t xml:space="preserve"> </w:t>
      </w:r>
      <w:r w:rsidRPr="00102AB2">
        <w:rPr>
          <w:rFonts w:ascii="Calibri" w:hAnsi="Calibri" w:cs="Calibri"/>
          <w:bCs/>
          <w:iCs/>
          <w:sz w:val="24"/>
          <w:szCs w:val="24"/>
        </w:rPr>
        <w:t>o</w:t>
      </w:r>
      <w:r w:rsidR="00D27C61" w:rsidRPr="00102AB2">
        <w:rPr>
          <w:rFonts w:ascii="Calibri" w:hAnsi="Calibri" w:cs="Calibri"/>
          <w:bCs/>
          <w:iCs/>
          <w:sz w:val="24"/>
          <w:szCs w:val="24"/>
        </w:rPr>
        <w:t> </w:t>
      </w:r>
      <w:r w:rsidRPr="00102AB2">
        <w:rPr>
          <w:rFonts w:ascii="Calibri" w:hAnsi="Calibri" w:cs="Calibri"/>
          <w:bCs/>
          <w:iCs/>
          <w:sz w:val="24"/>
          <w:szCs w:val="24"/>
        </w:rPr>
        <w:t xml:space="preserve">odebrání, </w:t>
      </w:r>
      <w:r w:rsidR="00574360" w:rsidRPr="00102AB2">
        <w:rPr>
          <w:rFonts w:ascii="Calibri" w:hAnsi="Calibri" w:cs="Calibri"/>
          <w:bCs/>
          <w:iCs/>
          <w:sz w:val="24"/>
          <w:szCs w:val="24"/>
        </w:rPr>
        <w:t>které vydává</w:t>
      </w:r>
      <w:r w:rsidR="00A8425D" w:rsidRPr="00102AB2">
        <w:rPr>
          <w:rFonts w:ascii="Calibri" w:hAnsi="Calibri" w:cs="Calibri"/>
          <w:bCs/>
          <w:iCs/>
          <w:sz w:val="24"/>
          <w:szCs w:val="24"/>
        </w:rPr>
        <w:t xml:space="preserve"> </w:t>
      </w:r>
      <w:r w:rsidRPr="00102AB2">
        <w:rPr>
          <w:rFonts w:ascii="Calibri" w:hAnsi="Calibri" w:cs="Calibri"/>
          <w:bCs/>
          <w:iCs/>
          <w:sz w:val="24"/>
          <w:szCs w:val="24"/>
        </w:rPr>
        <w:t>k tomu oprávněný správní orgán na základě zákona č.</w:t>
      </w:r>
      <w:r w:rsidR="00D27C61" w:rsidRPr="00102AB2">
        <w:rPr>
          <w:rFonts w:ascii="Calibri" w:hAnsi="Calibri" w:cs="Calibri"/>
          <w:bCs/>
          <w:iCs/>
          <w:sz w:val="24"/>
          <w:szCs w:val="24"/>
        </w:rPr>
        <w:t> </w:t>
      </w:r>
      <w:r w:rsidRPr="00102AB2">
        <w:rPr>
          <w:rFonts w:ascii="Calibri" w:hAnsi="Calibri" w:cs="Calibri"/>
          <w:bCs/>
          <w:iCs/>
          <w:sz w:val="24"/>
          <w:szCs w:val="24"/>
        </w:rPr>
        <w:t>114/1992</w:t>
      </w:r>
      <w:r w:rsidR="00D27C61" w:rsidRPr="00102AB2">
        <w:rPr>
          <w:rFonts w:ascii="Calibri" w:hAnsi="Calibri" w:cs="Calibri"/>
          <w:bCs/>
          <w:iCs/>
          <w:sz w:val="24"/>
          <w:szCs w:val="24"/>
        </w:rPr>
        <w:t> </w:t>
      </w:r>
      <w:r w:rsidRPr="00102AB2">
        <w:rPr>
          <w:rFonts w:ascii="Calibri" w:hAnsi="Calibri" w:cs="Calibri"/>
          <w:bCs/>
          <w:iCs/>
          <w:sz w:val="24"/>
          <w:szCs w:val="24"/>
        </w:rPr>
        <w:t xml:space="preserve">Sb., </w:t>
      </w:r>
      <w:r w:rsidRPr="00B02A1B">
        <w:rPr>
          <w:rFonts w:ascii="Calibri" w:hAnsi="Calibri" w:cs="Calibri"/>
          <w:bCs/>
          <w:iCs/>
          <w:sz w:val="24"/>
          <w:szCs w:val="24"/>
        </w:rPr>
        <w:t>o ochraně přírody a krajiny</w:t>
      </w:r>
      <w:r w:rsidR="009575D2">
        <w:rPr>
          <w:rFonts w:ascii="Calibri" w:hAnsi="Calibri" w:cs="Calibri"/>
          <w:bCs/>
          <w:iCs/>
          <w:sz w:val="24"/>
          <w:szCs w:val="24"/>
        </w:rPr>
        <w:t>,</w:t>
      </w:r>
      <w:r w:rsidRPr="00102AB2">
        <w:rPr>
          <w:rFonts w:ascii="Calibri" w:hAnsi="Calibri" w:cs="Calibri"/>
          <w:bCs/>
          <w:iCs/>
          <w:sz w:val="24"/>
          <w:szCs w:val="24"/>
        </w:rPr>
        <w:t xml:space="preserve"> a zákona č. 100/2004 Sb., </w:t>
      </w:r>
      <w:r w:rsidRPr="00B02A1B">
        <w:rPr>
          <w:rFonts w:ascii="Calibri" w:hAnsi="Calibri" w:cs="Calibri"/>
          <w:bCs/>
          <w:iCs/>
          <w:sz w:val="24"/>
          <w:szCs w:val="24"/>
        </w:rPr>
        <w:t>o ochraně druhů volně žijících živočichů a planě rostoucích rostlin regulováním obchodu s nimi a dalších opatřeních k</w:t>
      </w:r>
      <w:r w:rsidR="00D27C61" w:rsidRPr="00B02A1B">
        <w:rPr>
          <w:rFonts w:ascii="Calibri" w:hAnsi="Calibri" w:cs="Calibri"/>
          <w:bCs/>
          <w:iCs/>
          <w:sz w:val="24"/>
          <w:szCs w:val="24"/>
        </w:rPr>
        <w:t> </w:t>
      </w:r>
      <w:r w:rsidRPr="00B02A1B">
        <w:rPr>
          <w:rFonts w:ascii="Calibri" w:hAnsi="Calibri" w:cs="Calibri"/>
          <w:bCs/>
          <w:iCs/>
          <w:sz w:val="24"/>
          <w:szCs w:val="24"/>
        </w:rPr>
        <w:t>ochraně těchto druhů a o změně některých zákonů</w:t>
      </w:r>
      <w:r w:rsidRPr="009575D2">
        <w:rPr>
          <w:rFonts w:ascii="Calibri" w:hAnsi="Calibri" w:cs="Calibri"/>
          <w:bCs/>
          <w:iCs/>
          <w:sz w:val="24"/>
          <w:szCs w:val="24"/>
        </w:rPr>
        <w:t xml:space="preserve"> </w:t>
      </w:r>
      <w:r w:rsidR="009575D2">
        <w:rPr>
          <w:rFonts w:ascii="Calibri" w:hAnsi="Calibri" w:cs="Calibri"/>
          <w:bCs/>
          <w:iCs/>
          <w:sz w:val="24"/>
          <w:szCs w:val="24"/>
        </w:rPr>
        <w:t>(zákon o obchodování s </w:t>
      </w:r>
      <w:r w:rsidRPr="00B02A1B">
        <w:rPr>
          <w:rFonts w:ascii="Calibri" w:hAnsi="Calibri" w:cs="Calibri"/>
          <w:bCs/>
          <w:iCs/>
          <w:sz w:val="24"/>
          <w:szCs w:val="24"/>
        </w:rPr>
        <w:t>ohroženými druhy</w:t>
      </w:r>
      <w:r w:rsidR="007B7B22" w:rsidRPr="00B02A1B">
        <w:rPr>
          <w:rFonts w:ascii="Calibri" w:hAnsi="Calibri" w:cs="Calibri"/>
          <w:bCs/>
          <w:iCs/>
          <w:sz w:val="24"/>
          <w:szCs w:val="24"/>
        </w:rPr>
        <w:t>),</w:t>
      </w:r>
      <w:r w:rsidRPr="00102AB2">
        <w:rPr>
          <w:rFonts w:ascii="Calibri" w:hAnsi="Calibri" w:cs="Calibri"/>
          <w:bCs/>
          <w:iCs/>
          <w:sz w:val="24"/>
          <w:szCs w:val="24"/>
        </w:rPr>
        <w:t xml:space="preserve"> nebo na základě jiných skutečností stanovených zákonem. V</w:t>
      </w:r>
      <w:r w:rsidR="007405FC" w:rsidRPr="00102AB2">
        <w:rPr>
          <w:rFonts w:ascii="Calibri" w:hAnsi="Calibri" w:cs="Calibri"/>
          <w:bCs/>
          <w:iCs/>
          <w:sz w:val="24"/>
          <w:szCs w:val="24"/>
        </w:rPr>
        <w:t xml:space="preserve"> </w:t>
      </w:r>
      <w:r w:rsidRPr="00102AB2">
        <w:rPr>
          <w:rFonts w:ascii="Calibri" w:hAnsi="Calibri" w:cs="Calibri"/>
          <w:bCs/>
          <w:iCs/>
          <w:sz w:val="24"/>
          <w:szCs w:val="24"/>
        </w:rPr>
        <w:t>této souvislosti</w:t>
      </w:r>
      <w:r w:rsidR="00574360" w:rsidRPr="00102AB2">
        <w:rPr>
          <w:rFonts w:ascii="Calibri" w:hAnsi="Calibri" w:cs="Calibri"/>
          <w:bCs/>
          <w:iCs/>
          <w:sz w:val="24"/>
          <w:szCs w:val="24"/>
        </w:rPr>
        <w:t xml:space="preserve"> vykázalo</w:t>
      </w:r>
      <w:r w:rsidRPr="00102AB2">
        <w:rPr>
          <w:rFonts w:ascii="Calibri" w:hAnsi="Calibri" w:cs="Calibri"/>
          <w:bCs/>
          <w:iCs/>
          <w:sz w:val="24"/>
          <w:szCs w:val="24"/>
        </w:rPr>
        <w:t xml:space="preserve"> MŽP v</w:t>
      </w:r>
      <w:r w:rsidR="007405FC" w:rsidRPr="00102AB2">
        <w:rPr>
          <w:rFonts w:ascii="Calibri" w:hAnsi="Calibri" w:cs="Calibri"/>
          <w:bCs/>
          <w:iCs/>
          <w:sz w:val="24"/>
          <w:szCs w:val="24"/>
        </w:rPr>
        <w:t xml:space="preserve"> </w:t>
      </w:r>
      <w:r w:rsidRPr="00102AB2">
        <w:rPr>
          <w:rFonts w:ascii="Calibri" w:hAnsi="Calibri" w:cs="Calibri"/>
          <w:bCs/>
          <w:iCs/>
          <w:sz w:val="24"/>
          <w:szCs w:val="24"/>
        </w:rPr>
        <w:t>roce 2013</w:t>
      </w:r>
      <w:r w:rsidR="00574360" w:rsidRPr="00102AB2">
        <w:rPr>
          <w:rFonts w:ascii="Calibri" w:hAnsi="Calibri" w:cs="Calibri"/>
          <w:bCs/>
          <w:iCs/>
          <w:sz w:val="24"/>
          <w:szCs w:val="24"/>
        </w:rPr>
        <w:t xml:space="preserve"> jako součást konečného zůstatku účtu</w:t>
      </w:r>
      <w:r w:rsidR="0036325A" w:rsidRPr="00102AB2">
        <w:rPr>
          <w:rFonts w:ascii="Calibri" w:hAnsi="Calibri" w:cs="Calibri"/>
          <w:bCs/>
          <w:iCs/>
          <w:sz w:val="24"/>
          <w:szCs w:val="24"/>
        </w:rPr>
        <w:t xml:space="preserve"> </w:t>
      </w:r>
      <w:r w:rsidR="0036325A" w:rsidRPr="00B02A1B">
        <w:rPr>
          <w:rFonts w:ascii="Calibri" w:hAnsi="Calibri" w:cs="Calibri"/>
          <w:bCs/>
          <w:iCs/>
          <w:sz w:val="24"/>
          <w:szCs w:val="24"/>
        </w:rPr>
        <w:t>518</w:t>
      </w:r>
      <w:r w:rsidR="0036325A" w:rsidRPr="00102AB2">
        <w:rPr>
          <w:rFonts w:ascii="Calibri" w:hAnsi="Calibri" w:cs="Calibri"/>
          <w:bCs/>
          <w:i/>
          <w:iCs/>
          <w:sz w:val="24"/>
          <w:szCs w:val="24"/>
        </w:rPr>
        <w:t xml:space="preserve"> – Ostatní služby</w:t>
      </w:r>
      <w:r w:rsidRPr="00102AB2">
        <w:rPr>
          <w:rFonts w:ascii="Calibri" w:hAnsi="Calibri" w:cs="Calibri"/>
          <w:bCs/>
          <w:iCs/>
          <w:sz w:val="24"/>
          <w:szCs w:val="24"/>
        </w:rPr>
        <w:t xml:space="preserve"> náklady ve výši 937 995,84 Kč.</w:t>
      </w:r>
      <w:r w:rsidR="00D24CF5" w:rsidRPr="00102AB2">
        <w:rPr>
          <w:rFonts w:ascii="Calibri" w:hAnsi="Calibri" w:cs="Calibri"/>
          <w:bCs/>
          <w:iCs/>
          <w:sz w:val="24"/>
          <w:szCs w:val="24"/>
        </w:rPr>
        <w:t xml:space="preserve"> </w:t>
      </w:r>
    </w:p>
    <w:p w:rsidR="007F494E" w:rsidRPr="00102AB2" w:rsidRDefault="007F494E" w:rsidP="00102AB2">
      <w:pPr>
        <w:spacing w:after="0" w:line="240" w:lineRule="auto"/>
        <w:jc w:val="both"/>
        <w:rPr>
          <w:rFonts w:ascii="Calibri" w:hAnsi="Calibri" w:cs="Calibri"/>
          <w:bCs/>
          <w:iCs/>
          <w:sz w:val="24"/>
          <w:szCs w:val="24"/>
        </w:rPr>
      </w:pPr>
    </w:p>
    <w:p w:rsidR="006C1ECD" w:rsidRDefault="005913E3" w:rsidP="00102AB2">
      <w:pPr>
        <w:spacing w:after="0" w:line="240" w:lineRule="auto"/>
        <w:jc w:val="both"/>
        <w:rPr>
          <w:rFonts w:ascii="Calibri" w:hAnsi="Calibri" w:cs="Calibri"/>
          <w:bCs/>
          <w:iCs/>
          <w:sz w:val="24"/>
          <w:szCs w:val="24"/>
        </w:rPr>
      </w:pPr>
      <w:r w:rsidRPr="00102AB2">
        <w:rPr>
          <w:rFonts w:ascii="Calibri" w:hAnsi="Calibri" w:cs="Calibri"/>
          <w:bCs/>
          <w:iCs/>
          <w:sz w:val="24"/>
          <w:szCs w:val="24"/>
        </w:rPr>
        <w:t xml:space="preserve">Jde </w:t>
      </w:r>
      <w:r w:rsidR="00574360" w:rsidRPr="00102AB2">
        <w:rPr>
          <w:rFonts w:ascii="Calibri" w:hAnsi="Calibri" w:cs="Calibri"/>
          <w:bCs/>
          <w:iCs/>
          <w:sz w:val="24"/>
          <w:szCs w:val="24"/>
        </w:rPr>
        <w:t>také</w:t>
      </w:r>
      <w:r w:rsidRPr="00102AB2">
        <w:rPr>
          <w:rFonts w:ascii="Calibri" w:hAnsi="Calibri" w:cs="Calibri"/>
          <w:bCs/>
          <w:iCs/>
          <w:sz w:val="24"/>
          <w:szCs w:val="24"/>
        </w:rPr>
        <w:t xml:space="preserve"> o</w:t>
      </w:r>
      <w:r w:rsidR="00574360" w:rsidRPr="00102AB2">
        <w:rPr>
          <w:rFonts w:ascii="Calibri" w:hAnsi="Calibri" w:cs="Calibri"/>
          <w:bCs/>
          <w:iCs/>
          <w:sz w:val="24"/>
          <w:szCs w:val="24"/>
        </w:rPr>
        <w:t xml:space="preserve"> náklady, které </w:t>
      </w:r>
      <w:r w:rsidR="001F017B" w:rsidRPr="00102AB2">
        <w:rPr>
          <w:rFonts w:ascii="Calibri" w:hAnsi="Calibri" w:cs="Calibri"/>
          <w:bCs/>
          <w:iCs/>
          <w:sz w:val="24"/>
          <w:szCs w:val="24"/>
        </w:rPr>
        <w:t xml:space="preserve">MŽP </w:t>
      </w:r>
      <w:r w:rsidR="00574360" w:rsidRPr="00102AB2">
        <w:rPr>
          <w:rFonts w:ascii="Calibri" w:hAnsi="Calibri" w:cs="Calibri"/>
          <w:bCs/>
          <w:iCs/>
          <w:sz w:val="24"/>
          <w:szCs w:val="24"/>
        </w:rPr>
        <w:t>uhradilo v</w:t>
      </w:r>
      <w:r w:rsidR="007405FC" w:rsidRPr="00102AB2">
        <w:rPr>
          <w:rFonts w:ascii="Calibri" w:hAnsi="Calibri" w:cs="Calibri"/>
          <w:bCs/>
          <w:iCs/>
          <w:sz w:val="24"/>
          <w:szCs w:val="24"/>
        </w:rPr>
        <w:t xml:space="preserve"> </w:t>
      </w:r>
      <w:r w:rsidR="00574360" w:rsidRPr="00102AB2">
        <w:rPr>
          <w:rFonts w:ascii="Calibri" w:hAnsi="Calibri" w:cs="Calibri"/>
          <w:bCs/>
          <w:iCs/>
          <w:sz w:val="24"/>
          <w:szCs w:val="24"/>
        </w:rPr>
        <w:t>roce 2013 v</w:t>
      </w:r>
      <w:r w:rsidR="007405FC" w:rsidRPr="00102AB2">
        <w:rPr>
          <w:rFonts w:ascii="Calibri" w:hAnsi="Calibri" w:cs="Calibri"/>
          <w:bCs/>
          <w:iCs/>
          <w:sz w:val="24"/>
          <w:szCs w:val="24"/>
        </w:rPr>
        <w:t xml:space="preserve"> </w:t>
      </w:r>
      <w:r w:rsidR="00574360" w:rsidRPr="00102AB2">
        <w:rPr>
          <w:rFonts w:ascii="Calibri" w:hAnsi="Calibri" w:cs="Calibri"/>
          <w:bCs/>
          <w:iCs/>
          <w:sz w:val="24"/>
          <w:szCs w:val="24"/>
        </w:rPr>
        <w:t>souvislosti s</w:t>
      </w:r>
      <w:r w:rsidR="007405FC" w:rsidRPr="00102AB2">
        <w:rPr>
          <w:rFonts w:ascii="Calibri" w:hAnsi="Calibri" w:cs="Calibri"/>
          <w:bCs/>
          <w:iCs/>
          <w:sz w:val="24"/>
          <w:szCs w:val="24"/>
        </w:rPr>
        <w:t xml:space="preserve"> </w:t>
      </w:r>
      <w:r w:rsidR="00574360" w:rsidRPr="00102AB2">
        <w:rPr>
          <w:rFonts w:ascii="Calibri" w:hAnsi="Calibri" w:cs="Calibri"/>
          <w:bCs/>
          <w:iCs/>
          <w:sz w:val="24"/>
          <w:szCs w:val="24"/>
        </w:rPr>
        <w:t>činnostmi spojenými s mezinárodními smlouvami, jejichž</w:t>
      </w:r>
      <w:r w:rsidR="0036325A" w:rsidRPr="00102AB2">
        <w:rPr>
          <w:rFonts w:ascii="Calibri" w:hAnsi="Calibri" w:cs="Calibri"/>
          <w:bCs/>
          <w:iCs/>
          <w:sz w:val="24"/>
          <w:szCs w:val="24"/>
        </w:rPr>
        <w:t xml:space="preserve"> gestorem</w:t>
      </w:r>
      <w:r w:rsidR="009575D2" w:rsidRPr="009575D2">
        <w:rPr>
          <w:rFonts w:ascii="Calibri" w:hAnsi="Calibri" w:cs="Calibri"/>
          <w:bCs/>
          <w:iCs/>
          <w:sz w:val="24"/>
          <w:szCs w:val="24"/>
        </w:rPr>
        <w:t xml:space="preserve"> </w:t>
      </w:r>
      <w:r w:rsidR="009575D2" w:rsidRPr="00102AB2">
        <w:rPr>
          <w:rFonts w:ascii="Calibri" w:hAnsi="Calibri" w:cs="Calibri"/>
          <w:bCs/>
          <w:iCs/>
          <w:sz w:val="24"/>
          <w:szCs w:val="24"/>
        </w:rPr>
        <w:t>bylo</w:t>
      </w:r>
      <w:r w:rsidR="0036325A" w:rsidRPr="00102AB2">
        <w:rPr>
          <w:rFonts w:ascii="Calibri" w:hAnsi="Calibri" w:cs="Calibri"/>
          <w:bCs/>
          <w:iCs/>
          <w:sz w:val="24"/>
          <w:szCs w:val="24"/>
        </w:rPr>
        <w:t>. V</w:t>
      </w:r>
      <w:r w:rsidR="007405FC" w:rsidRPr="00102AB2">
        <w:rPr>
          <w:rFonts w:ascii="Calibri" w:hAnsi="Calibri" w:cs="Calibri"/>
          <w:bCs/>
          <w:iCs/>
          <w:sz w:val="24"/>
          <w:szCs w:val="24"/>
        </w:rPr>
        <w:t xml:space="preserve"> </w:t>
      </w:r>
      <w:r w:rsidR="0036325A" w:rsidRPr="00102AB2">
        <w:rPr>
          <w:rFonts w:ascii="Calibri" w:hAnsi="Calibri" w:cs="Calibri"/>
          <w:bCs/>
          <w:iCs/>
          <w:sz w:val="24"/>
          <w:szCs w:val="24"/>
        </w:rPr>
        <w:t>souvislosti s</w:t>
      </w:r>
      <w:r w:rsidR="00F70A54">
        <w:rPr>
          <w:rFonts w:ascii="Calibri" w:hAnsi="Calibri" w:cs="Calibri"/>
          <w:bCs/>
          <w:iCs/>
          <w:sz w:val="24"/>
          <w:szCs w:val="24"/>
        </w:rPr>
        <w:t> touto skutečností</w:t>
      </w:r>
      <w:r w:rsidR="0036325A" w:rsidRPr="00102AB2">
        <w:rPr>
          <w:rFonts w:ascii="Calibri" w:hAnsi="Calibri" w:cs="Calibri"/>
          <w:bCs/>
          <w:iCs/>
          <w:sz w:val="24"/>
          <w:szCs w:val="24"/>
        </w:rPr>
        <w:t xml:space="preserve"> je součástí vykázaného konečného zůstatku účtu </w:t>
      </w:r>
      <w:r w:rsidR="0036325A" w:rsidRPr="00B02A1B">
        <w:rPr>
          <w:rFonts w:ascii="Calibri" w:hAnsi="Calibri" w:cs="Calibri"/>
          <w:bCs/>
          <w:iCs/>
          <w:sz w:val="24"/>
          <w:szCs w:val="24"/>
        </w:rPr>
        <w:t>518</w:t>
      </w:r>
      <w:r w:rsidR="0036325A" w:rsidRPr="00102AB2">
        <w:rPr>
          <w:rFonts w:ascii="Calibri" w:hAnsi="Calibri" w:cs="Calibri"/>
          <w:bCs/>
          <w:i/>
          <w:iCs/>
          <w:sz w:val="24"/>
          <w:szCs w:val="24"/>
        </w:rPr>
        <w:t xml:space="preserve"> – Ostatní služby</w:t>
      </w:r>
      <w:r w:rsidR="0036325A" w:rsidRPr="00102AB2">
        <w:rPr>
          <w:rFonts w:ascii="Calibri" w:hAnsi="Calibri" w:cs="Calibri"/>
          <w:bCs/>
          <w:iCs/>
          <w:sz w:val="24"/>
          <w:szCs w:val="24"/>
        </w:rPr>
        <w:t xml:space="preserve"> částka </w:t>
      </w:r>
      <w:r w:rsidR="00574360" w:rsidRPr="00102AB2">
        <w:rPr>
          <w:rFonts w:ascii="Calibri" w:hAnsi="Calibri" w:cs="Calibri"/>
          <w:bCs/>
          <w:iCs/>
          <w:sz w:val="24"/>
          <w:szCs w:val="24"/>
        </w:rPr>
        <w:t>ve výši 3 623</w:t>
      </w:r>
      <w:r w:rsidR="00D27C61" w:rsidRPr="00102AB2">
        <w:rPr>
          <w:rFonts w:ascii="Calibri" w:hAnsi="Calibri" w:cs="Calibri"/>
          <w:bCs/>
          <w:iCs/>
          <w:sz w:val="24"/>
          <w:szCs w:val="24"/>
        </w:rPr>
        <w:t> </w:t>
      </w:r>
      <w:r w:rsidR="00574360" w:rsidRPr="00102AB2">
        <w:rPr>
          <w:rFonts w:ascii="Calibri" w:hAnsi="Calibri" w:cs="Calibri"/>
          <w:bCs/>
          <w:iCs/>
          <w:sz w:val="24"/>
          <w:szCs w:val="24"/>
        </w:rPr>
        <w:t>950</w:t>
      </w:r>
      <w:r w:rsidR="00D27C61" w:rsidRPr="00102AB2">
        <w:rPr>
          <w:rFonts w:ascii="Calibri" w:hAnsi="Calibri" w:cs="Calibri"/>
          <w:bCs/>
          <w:iCs/>
          <w:sz w:val="24"/>
          <w:szCs w:val="24"/>
        </w:rPr>
        <w:t> </w:t>
      </w:r>
      <w:r w:rsidR="00574360" w:rsidRPr="00102AB2">
        <w:rPr>
          <w:rFonts w:ascii="Calibri" w:hAnsi="Calibri" w:cs="Calibri"/>
          <w:bCs/>
          <w:iCs/>
          <w:sz w:val="24"/>
          <w:szCs w:val="24"/>
        </w:rPr>
        <w:t>Kč.</w:t>
      </w:r>
    </w:p>
    <w:p w:rsidR="00102AB2" w:rsidRPr="00102AB2" w:rsidRDefault="00102AB2" w:rsidP="00102AB2">
      <w:pPr>
        <w:spacing w:after="0" w:line="240" w:lineRule="auto"/>
        <w:jc w:val="both"/>
        <w:rPr>
          <w:rFonts w:ascii="Calibri" w:hAnsi="Calibri" w:cs="Calibri"/>
          <w:bCs/>
          <w:iCs/>
          <w:sz w:val="24"/>
          <w:szCs w:val="24"/>
        </w:rPr>
      </w:pPr>
    </w:p>
    <w:p w:rsidR="00572500" w:rsidRDefault="00572500" w:rsidP="00102AB2">
      <w:pPr>
        <w:spacing w:after="0" w:line="240" w:lineRule="auto"/>
        <w:jc w:val="both"/>
        <w:rPr>
          <w:rFonts w:ascii="Calibri" w:hAnsi="Calibri" w:cs="Calibri"/>
          <w:bCs/>
          <w:iCs/>
          <w:sz w:val="24"/>
          <w:szCs w:val="24"/>
        </w:rPr>
      </w:pPr>
      <w:r w:rsidRPr="00102AB2">
        <w:rPr>
          <w:rFonts w:ascii="Calibri" w:hAnsi="Calibri" w:cs="Calibri"/>
          <w:bCs/>
          <w:iCs/>
          <w:sz w:val="24"/>
          <w:szCs w:val="24"/>
        </w:rPr>
        <w:t>Z</w:t>
      </w:r>
      <w:r w:rsidR="007405FC" w:rsidRPr="00102AB2">
        <w:rPr>
          <w:rFonts w:ascii="Calibri" w:hAnsi="Calibri" w:cs="Calibri"/>
          <w:bCs/>
          <w:iCs/>
          <w:sz w:val="24"/>
          <w:szCs w:val="24"/>
        </w:rPr>
        <w:t xml:space="preserve"> </w:t>
      </w:r>
      <w:r w:rsidRPr="00102AB2">
        <w:rPr>
          <w:rFonts w:ascii="Calibri" w:hAnsi="Calibri" w:cs="Calibri"/>
          <w:bCs/>
          <w:iCs/>
          <w:sz w:val="24"/>
          <w:szCs w:val="24"/>
        </w:rPr>
        <w:t xml:space="preserve">konečného zůstatku účtu 518 </w:t>
      </w:r>
      <w:r w:rsidRPr="00102AB2">
        <w:rPr>
          <w:rFonts w:ascii="Calibri" w:hAnsi="Calibri" w:cs="Calibri"/>
          <w:bCs/>
          <w:i/>
          <w:iCs/>
          <w:sz w:val="24"/>
          <w:szCs w:val="24"/>
        </w:rPr>
        <w:t>– Ostatní služby</w:t>
      </w:r>
      <w:r w:rsidR="004667BB" w:rsidRPr="00102AB2">
        <w:rPr>
          <w:rFonts w:ascii="Calibri" w:hAnsi="Calibri" w:cs="Calibri"/>
          <w:bCs/>
          <w:iCs/>
          <w:sz w:val="24"/>
          <w:szCs w:val="24"/>
        </w:rPr>
        <w:t xml:space="preserve"> ve výši 191</w:t>
      </w:r>
      <w:r w:rsidR="007405FC" w:rsidRPr="00102AB2">
        <w:rPr>
          <w:rFonts w:ascii="Calibri" w:hAnsi="Calibri" w:cs="Calibri"/>
          <w:bCs/>
          <w:iCs/>
          <w:sz w:val="24"/>
          <w:szCs w:val="24"/>
        </w:rPr>
        <w:t xml:space="preserve"> </w:t>
      </w:r>
      <w:r w:rsidR="004667BB" w:rsidRPr="00102AB2">
        <w:rPr>
          <w:rFonts w:ascii="Calibri" w:hAnsi="Calibri" w:cs="Calibri"/>
          <w:bCs/>
          <w:iCs/>
          <w:sz w:val="24"/>
          <w:szCs w:val="24"/>
        </w:rPr>
        <w:t>655</w:t>
      </w:r>
      <w:r w:rsidR="007405FC" w:rsidRPr="00102AB2">
        <w:rPr>
          <w:rFonts w:ascii="Calibri" w:hAnsi="Calibri" w:cs="Calibri"/>
          <w:bCs/>
          <w:iCs/>
          <w:sz w:val="24"/>
          <w:szCs w:val="24"/>
        </w:rPr>
        <w:t xml:space="preserve"> </w:t>
      </w:r>
      <w:r w:rsidR="004667BB" w:rsidRPr="00102AB2">
        <w:rPr>
          <w:rFonts w:ascii="Calibri" w:hAnsi="Calibri" w:cs="Calibri"/>
          <w:bCs/>
          <w:iCs/>
          <w:sz w:val="24"/>
          <w:szCs w:val="24"/>
        </w:rPr>
        <w:t>100,82 Kč, který MŽP vykázalo v</w:t>
      </w:r>
      <w:r w:rsidR="007405FC" w:rsidRPr="00102AB2">
        <w:rPr>
          <w:rFonts w:ascii="Calibri" w:hAnsi="Calibri" w:cs="Calibri"/>
          <w:bCs/>
          <w:iCs/>
          <w:sz w:val="24"/>
          <w:szCs w:val="24"/>
        </w:rPr>
        <w:t xml:space="preserve"> </w:t>
      </w:r>
      <w:r w:rsidR="004667BB" w:rsidRPr="00102AB2">
        <w:rPr>
          <w:rFonts w:ascii="Calibri" w:hAnsi="Calibri" w:cs="Calibri"/>
          <w:bCs/>
          <w:iCs/>
          <w:sz w:val="24"/>
          <w:szCs w:val="24"/>
        </w:rPr>
        <w:t>ÚZ sestavené k</w:t>
      </w:r>
      <w:r w:rsidR="007405FC" w:rsidRPr="00102AB2">
        <w:rPr>
          <w:rFonts w:ascii="Calibri" w:hAnsi="Calibri" w:cs="Calibri"/>
          <w:bCs/>
          <w:iCs/>
          <w:sz w:val="24"/>
          <w:szCs w:val="24"/>
        </w:rPr>
        <w:t xml:space="preserve"> </w:t>
      </w:r>
      <w:r w:rsidR="004667BB" w:rsidRPr="00102AB2">
        <w:rPr>
          <w:rFonts w:ascii="Calibri" w:hAnsi="Calibri" w:cs="Calibri"/>
          <w:bCs/>
          <w:iCs/>
          <w:sz w:val="24"/>
          <w:szCs w:val="24"/>
        </w:rPr>
        <w:t>31. prosinci roku 2013, představují</w:t>
      </w:r>
      <w:r w:rsidR="00A8425D" w:rsidRPr="00102AB2">
        <w:rPr>
          <w:rFonts w:ascii="Calibri" w:hAnsi="Calibri" w:cs="Calibri"/>
          <w:bCs/>
          <w:iCs/>
          <w:sz w:val="24"/>
          <w:szCs w:val="24"/>
        </w:rPr>
        <w:t xml:space="preserve"> </w:t>
      </w:r>
      <w:r w:rsidR="00D812FA" w:rsidRPr="00102AB2">
        <w:rPr>
          <w:rFonts w:ascii="Calibri" w:hAnsi="Calibri" w:cs="Calibri"/>
          <w:bCs/>
          <w:iCs/>
          <w:sz w:val="24"/>
          <w:szCs w:val="24"/>
        </w:rPr>
        <w:t xml:space="preserve">neovlivnitelné </w:t>
      </w:r>
      <w:r w:rsidR="00F70A54">
        <w:rPr>
          <w:rFonts w:ascii="Calibri" w:hAnsi="Calibri" w:cs="Calibri"/>
          <w:bCs/>
          <w:iCs/>
          <w:sz w:val="24"/>
          <w:szCs w:val="24"/>
        </w:rPr>
        <w:t>(</w:t>
      </w:r>
      <w:r w:rsidR="00BF21B0" w:rsidRPr="00102AB2">
        <w:rPr>
          <w:rFonts w:ascii="Calibri" w:hAnsi="Calibri" w:cs="Calibri"/>
          <w:bCs/>
          <w:iCs/>
          <w:sz w:val="24"/>
          <w:szCs w:val="24"/>
        </w:rPr>
        <w:t>tzn. mandatorní</w:t>
      </w:r>
      <w:r w:rsidR="00F70A54">
        <w:rPr>
          <w:rFonts w:ascii="Calibri" w:hAnsi="Calibri" w:cs="Calibri"/>
          <w:bCs/>
          <w:iCs/>
          <w:sz w:val="24"/>
          <w:szCs w:val="24"/>
        </w:rPr>
        <w:t>)</w:t>
      </w:r>
      <w:r w:rsidR="00BF21B0" w:rsidRPr="00102AB2">
        <w:rPr>
          <w:rFonts w:ascii="Calibri" w:hAnsi="Calibri" w:cs="Calibri"/>
          <w:bCs/>
          <w:iCs/>
          <w:sz w:val="24"/>
          <w:szCs w:val="24"/>
        </w:rPr>
        <w:t xml:space="preserve"> </w:t>
      </w:r>
      <w:r w:rsidR="004667BB" w:rsidRPr="00102AB2">
        <w:rPr>
          <w:rFonts w:ascii="Calibri" w:hAnsi="Calibri" w:cs="Calibri"/>
          <w:bCs/>
          <w:iCs/>
          <w:sz w:val="24"/>
          <w:szCs w:val="24"/>
        </w:rPr>
        <w:t xml:space="preserve">náklady </w:t>
      </w:r>
      <w:r w:rsidR="00215A5C" w:rsidRPr="00102AB2">
        <w:rPr>
          <w:rFonts w:ascii="Calibri" w:hAnsi="Calibri" w:cs="Calibri"/>
          <w:bCs/>
          <w:iCs/>
          <w:sz w:val="24"/>
          <w:szCs w:val="24"/>
        </w:rPr>
        <w:t>6 %. Z</w:t>
      </w:r>
      <w:r w:rsidR="007405FC" w:rsidRPr="00102AB2">
        <w:rPr>
          <w:rFonts w:ascii="Calibri" w:hAnsi="Calibri" w:cs="Calibri"/>
          <w:bCs/>
          <w:iCs/>
          <w:sz w:val="24"/>
          <w:szCs w:val="24"/>
        </w:rPr>
        <w:t xml:space="preserve"> </w:t>
      </w:r>
      <w:r w:rsidR="00215A5C" w:rsidRPr="00102AB2">
        <w:rPr>
          <w:rFonts w:ascii="Calibri" w:hAnsi="Calibri" w:cs="Calibri"/>
          <w:bCs/>
          <w:iCs/>
          <w:sz w:val="24"/>
          <w:szCs w:val="24"/>
        </w:rPr>
        <w:t>celkových nákladů vstupují</w:t>
      </w:r>
      <w:r w:rsidR="001A524B" w:rsidRPr="00102AB2">
        <w:rPr>
          <w:rFonts w:ascii="Calibri" w:hAnsi="Calibri" w:cs="Calibri"/>
          <w:bCs/>
          <w:iCs/>
          <w:sz w:val="24"/>
          <w:szCs w:val="24"/>
        </w:rPr>
        <w:t>cích</w:t>
      </w:r>
      <w:r w:rsidR="00215A5C" w:rsidRPr="00102AB2">
        <w:rPr>
          <w:rFonts w:ascii="Calibri" w:hAnsi="Calibri" w:cs="Calibri"/>
          <w:bCs/>
          <w:iCs/>
          <w:sz w:val="24"/>
          <w:szCs w:val="24"/>
        </w:rPr>
        <w:t xml:space="preserve"> do výpočtu provozní nákladovosti je to </w:t>
      </w:r>
      <w:r w:rsidR="0085733F" w:rsidRPr="00102AB2">
        <w:rPr>
          <w:rFonts w:ascii="Calibri" w:hAnsi="Calibri" w:cs="Calibri"/>
          <w:bCs/>
          <w:iCs/>
          <w:sz w:val="24"/>
          <w:szCs w:val="24"/>
        </w:rPr>
        <w:t>4,64 %.</w:t>
      </w:r>
    </w:p>
    <w:p w:rsidR="00102AB2" w:rsidRPr="00102AB2" w:rsidRDefault="00102AB2" w:rsidP="00102AB2">
      <w:pPr>
        <w:spacing w:after="0" w:line="240" w:lineRule="auto"/>
        <w:jc w:val="both"/>
        <w:rPr>
          <w:rFonts w:ascii="Calibri" w:hAnsi="Calibri" w:cs="Calibri"/>
          <w:bCs/>
          <w:iCs/>
          <w:sz w:val="24"/>
          <w:szCs w:val="24"/>
        </w:rPr>
      </w:pPr>
    </w:p>
    <w:p w:rsidR="000605C5" w:rsidRPr="00102AB2" w:rsidRDefault="000605C5" w:rsidP="00102AB2">
      <w:pPr>
        <w:spacing w:after="0" w:line="240" w:lineRule="auto"/>
        <w:jc w:val="both"/>
        <w:rPr>
          <w:rFonts w:ascii="Calibri" w:hAnsi="Calibri" w:cs="Calibri"/>
          <w:bCs/>
          <w:iCs/>
          <w:sz w:val="24"/>
          <w:szCs w:val="24"/>
        </w:rPr>
      </w:pPr>
      <w:r w:rsidRPr="00102AB2">
        <w:rPr>
          <w:rFonts w:ascii="Calibri" w:hAnsi="Calibri" w:cs="Calibri"/>
          <w:bCs/>
          <w:iCs/>
          <w:sz w:val="24"/>
          <w:szCs w:val="24"/>
        </w:rPr>
        <w:t>Z uvedeného je zřejmé, že na nákladových účtech, které jsou stanoveny jako vstupní údaje pro posuzování provozní nákladovosti, nemusí být vždy účtovány pouze náklady, které jsou příslušnou účetní jednotkou ovlivnitelné. Pokud by měl být podle tohoto ukazatele řízen rozpočtový proces</w:t>
      </w:r>
      <w:r w:rsidRPr="00102AB2">
        <w:rPr>
          <w:rStyle w:val="Znakapoznpodarou"/>
          <w:rFonts w:ascii="Calibri" w:hAnsi="Calibri" w:cs="Calibri"/>
          <w:bCs/>
          <w:iCs/>
          <w:sz w:val="24"/>
          <w:szCs w:val="24"/>
        </w:rPr>
        <w:footnoteReference w:id="77"/>
      </w:r>
      <w:r w:rsidRPr="00102AB2">
        <w:rPr>
          <w:rFonts w:ascii="Calibri" w:hAnsi="Calibri" w:cs="Calibri"/>
          <w:bCs/>
          <w:iCs/>
          <w:sz w:val="24"/>
          <w:szCs w:val="24"/>
        </w:rPr>
        <w:t>, je nutné vzít tuto skutečnost v úvahu.</w:t>
      </w:r>
    </w:p>
    <w:p w:rsidR="00700575" w:rsidRDefault="00700575" w:rsidP="00102AB2">
      <w:pPr>
        <w:spacing w:after="0" w:line="240" w:lineRule="auto"/>
        <w:jc w:val="both"/>
        <w:rPr>
          <w:rFonts w:ascii="Calibri" w:hAnsi="Calibri" w:cs="Calibri"/>
          <w:bCs/>
          <w:iCs/>
          <w:sz w:val="24"/>
          <w:szCs w:val="24"/>
        </w:rPr>
      </w:pPr>
    </w:p>
    <w:p w:rsidR="00102AB2" w:rsidRPr="00102AB2" w:rsidRDefault="00102AB2" w:rsidP="00102AB2">
      <w:pPr>
        <w:spacing w:after="0" w:line="240" w:lineRule="auto"/>
        <w:jc w:val="both"/>
        <w:rPr>
          <w:rFonts w:ascii="Calibri" w:hAnsi="Calibri" w:cs="Calibri"/>
          <w:bCs/>
          <w:iCs/>
          <w:sz w:val="24"/>
          <w:szCs w:val="24"/>
        </w:rPr>
      </w:pPr>
    </w:p>
    <w:p w:rsidR="00174CD6" w:rsidRDefault="00174CD6">
      <w:pPr>
        <w:rPr>
          <w:rFonts w:ascii="Calibri" w:hAnsi="Calibri" w:cs="Calibri"/>
          <w:b/>
          <w:color w:val="000000"/>
          <w:sz w:val="28"/>
        </w:rPr>
      </w:pPr>
      <w:r>
        <w:rPr>
          <w:rFonts w:ascii="Calibri" w:hAnsi="Calibri" w:cs="Calibri"/>
          <w:b/>
          <w:color w:val="000000"/>
          <w:sz w:val="28"/>
        </w:rPr>
        <w:br w:type="page"/>
      </w:r>
    </w:p>
    <w:p w:rsidR="001541A2" w:rsidRPr="00102AB2" w:rsidRDefault="001541A2" w:rsidP="00102AB2">
      <w:pPr>
        <w:spacing w:after="0" w:line="240" w:lineRule="auto"/>
        <w:jc w:val="center"/>
        <w:rPr>
          <w:rFonts w:ascii="Calibri" w:hAnsi="Calibri" w:cs="Calibri"/>
          <w:b/>
          <w:color w:val="000000"/>
          <w:sz w:val="28"/>
        </w:rPr>
      </w:pPr>
      <w:r w:rsidRPr="00102AB2">
        <w:rPr>
          <w:rFonts w:ascii="Calibri" w:hAnsi="Calibri" w:cs="Calibri"/>
          <w:b/>
          <w:color w:val="000000"/>
          <w:sz w:val="28"/>
        </w:rPr>
        <w:lastRenderedPageBreak/>
        <w:t>III. Shrnutí a vyhodnocení</w:t>
      </w:r>
    </w:p>
    <w:p w:rsidR="00102AB2" w:rsidRPr="00102AB2" w:rsidRDefault="00102AB2" w:rsidP="00102AB2">
      <w:pPr>
        <w:spacing w:after="0" w:line="240" w:lineRule="auto"/>
        <w:jc w:val="both"/>
        <w:rPr>
          <w:rFonts w:ascii="Calibri" w:hAnsi="Calibri" w:cs="Calibri"/>
          <w:sz w:val="24"/>
          <w:szCs w:val="24"/>
        </w:rPr>
      </w:pPr>
    </w:p>
    <w:p w:rsidR="002F5B98" w:rsidRDefault="002F5B98" w:rsidP="00102AB2">
      <w:pPr>
        <w:spacing w:after="0" w:line="240" w:lineRule="auto"/>
        <w:jc w:val="both"/>
        <w:rPr>
          <w:rFonts w:ascii="Calibri" w:hAnsi="Calibri" w:cs="Calibri"/>
          <w:sz w:val="24"/>
          <w:szCs w:val="24"/>
        </w:rPr>
      </w:pPr>
      <w:r w:rsidRPr="00102AB2">
        <w:rPr>
          <w:rFonts w:ascii="Calibri" w:hAnsi="Calibri" w:cs="Calibri"/>
          <w:sz w:val="24"/>
          <w:szCs w:val="24"/>
        </w:rPr>
        <w:t>Cílem kontrolní akce č. 14/19 bylo prověřit, zda MŽP při sestavení závěrečného účtu, při vedení účetnictví a</w:t>
      </w:r>
      <w:r w:rsidR="007405FC" w:rsidRPr="00102AB2">
        <w:rPr>
          <w:rFonts w:ascii="Calibri" w:hAnsi="Calibri" w:cs="Calibri"/>
          <w:sz w:val="24"/>
          <w:szCs w:val="24"/>
        </w:rPr>
        <w:t xml:space="preserve"> </w:t>
      </w:r>
      <w:r w:rsidRPr="00102AB2">
        <w:rPr>
          <w:rFonts w:ascii="Calibri" w:hAnsi="Calibri" w:cs="Calibri"/>
          <w:sz w:val="24"/>
          <w:szCs w:val="24"/>
        </w:rPr>
        <w:t xml:space="preserve">sestavení účetní závěrky a finančních výkazů za rok 2013 postupovalo v souladu s </w:t>
      </w:r>
      <w:r w:rsidR="009C2AD6" w:rsidRPr="00102AB2">
        <w:rPr>
          <w:rFonts w:ascii="Calibri" w:hAnsi="Calibri" w:cs="Calibri"/>
          <w:sz w:val="24"/>
          <w:szCs w:val="24"/>
        </w:rPr>
        <w:t xml:space="preserve">příslušnými právními předpisy. </w:t>
      </w:r>
    </w:p>
    <w:p w:rsidR="00102AB2" w:rsidRPr="00102AB2" w:rsidRDefault="00102AB2" w:rsidP="00102AB2">
      <w:pPr>
        <w:spacing w:after="0" w:line="240" w:lineRule="auto"/>
        <w:jc w:val="both"/>
        <w:rPr>
          <w:rFonts w:ascii="Calibri" w:hAnsi="Calibri" w:cs="Calibri"/>
          <w:sz w:val="24"/>
          <w:szCs w:val="24"/>
        </w:rPr>
      </w:pPr>
    </w:p>
    <w:p w:rsidR="00CE65FF" w:rsidRPr="00102AB2" w:rsidRDefault="001A524B" w:rsidP="00102AB2">
      <w:pPr>
        <w:spacing w:after="0" w:line="240" w:lineRule="auto"/>
        <w:jc w:val="both"/>
        <w:rPr>
          <w:rFonts w:ascii="Calibri" w:hAnsi="Calibri" w:cs="Calibri"/>
          <w:b/>
          <w:color w:val="000000"/>
          <w:sz w:val="24"/>
          <w:szCs w:val="24"/>
        </w:rPr>
      </w:pPr>
      <w:r w:rsidRPr="00102AB2">
        <w:rPr>
          <w:rFonts w:ascii="Calibri" w:hAnsi="Calibri" w:cs="Calibri"/>
          <w:b/>
          <w:color w:val="000000"/>
          <w:sz w:val="24"/>
          <w:szCs w:val="24"/>
        </w:rPr>
        <w:t>Vedení účetnictví</w:t>
      </w:r>
    </w:p>
    <w:p w:rsidR="00102AB2" w:rsidRDefault="00102AB2" w:rsidP="00102AB2">
      <w:pPr>
        <w:spacing w:after="0" w:line="240" w:lineRule="auto"/>
        <w:jc w:val="both"/>
        <w:rPr>
          <w:rFonts w:ascii="Calibri" w:hAnsi="Calibri" w:cs="Calibri"/>
          <w:sz w:val="24"/>
          <w:szCs w:val="24"/>
        </w:rPr>
      </w:pPr>
    </w:p>
    <w:p w:rsidR="00FE3330" w:rsidRDefault="000811B2" w:rsidP="00102AB2">
      <w:pPr>
        <w:spacing w:after="0" w:line="240" w:lineRule="auto"/>
        <w:jc w:val="both"/>
        <w:rPr>
          <w:rFonts w:ascii="Calibri" w:hAnsi="Calibri" w:cs="Calibri"/>
          <w:sz w:val="24"/>
          <w:szCs w:val="24"/>
        </w:rPr>
      </w:pPr>
      <w:r w:rsidRPr="00102AB2">
        <w:rPr>
          <w:rFonts w:ascii="Calibri" w:hAnsi="Calibri" w:cs="Calibri"/>
          <w:sz w:val="24"/>
          <w:szCs w:val="24"/>
        </w:rPr>
        <w:t>Prověřením správnosti účetních metod</w:t>
      </w:r>
      <w:r w:rsidR="00C40BD3" w:rsidRPr="00102AB2">
        <w:rPr>
          <w:rFonts w:ascii="Calibri" w:hAnsi="Calibri" w:cs="Calibri"/>
          <w:sz w:val="24"/>
          <w:szCs w:val="24"/>
        </w:rPr>
        <w:t xml:space="preserve"> používaných MŽP </w:t>
      </w:r>
      <w:r w:rsidRPr="00102AB2">
        <w:rPr>
          <w:rFonts w:ascii="Calibri" w:hAnsi="Calibri" w:cs="Calibri"/>
          <w:sz w:val="24"/>
          <w:szCs w:val="24"/>
        </w:rPr>
        <w:t>a ostatních podmínek vedení účetnictví bylo zjištěno, že v</w:t>
      </w:r>
      <w:r w:rsidR="007405FC" w:rsidRPr="00102AB2">
        <w:rPr>
          <w:rFonts w:ascii="Calibri" w:hAnsi="Calibri" w:cs="Calibri"/>
          <w:sz w:val="24"/>
          <w:szCs w:val="24"/>
        </w:rPr>
        <w:t xml:space="preserve"> </w:t>
      </w:r>
      <w:r w:rsidRPr="00102AB2">
        <w:rPr>
          <w:rFonts w:ascii="Calibri" w:hAnsi="Calibri" w:cs="Calibri"/>
          <w:sz w:val="24"/>
          <w:szCs w:val="24"/>
        </w:rPr>
        <w:t>některých případech nebylo účetnictví</w:t>
      </w:r>
      <w:r w:rsidR="00BA6715" w:rsidRPr="00102AB2">
        <w:rPr>
          <w:rFonts w:ascii="Calibri" w:hAnsi="Calibri" w:cs="Calibri"/>
          <w:sz w:val="24"/>
          <w:szCs w:val="24"/>
        </w:rPr>
        <w:t xml:space="preserve"> MŽP</w:t>
      </w:r>
      <w:r w:rsidR="006953C6" w:rsidRPr="00102AB2">
        <w:rPr>
          <w:rFonts w:ascii="Calibri" w:hAnsi="Calibri" w:cs="Calibri"/>
          <w:sz w:val="24"/>
          <w:szCs w:val="24"/>
        </w:rPr>
        <w:t xml:space="preserve"> v</w:t>
      </w:r>
      <w:r w:rsidR="007405FC" w:rsidRPr="00102AB2">
        <w:rPr>
          <w:rFonts w:ascii="Calibri" w:hAnsi="Calibri" w:cs="Calibri"/>
          <w:sz w:val="24"/>
          <w:szCs w:val="24"/>
        </w:rPr>
        <w:t xml:space="preserve"> </w:t>
      </w:r>
      <w:r w:rsidR="006953C6" w:rsidRPr="00102AB2">
        <w:rPr>
          <w:rFonts w:ascii="Calibri" w:hAnsi="Calibri" w:cs="Calibri"/>
          <w:sz w:val="24"/>
          <w:szCs w:val="24"/>
        </w:rPr>
        <w:t>roce 2013</w:t>
      </w:r>
      <w:r w:rsidRPr="00102AB2">
        <w:rPr>
          <w:rFonts w:ascii="Calibri" w:hAnsi="Calibri" w:cs="Calibri"/>
          <w:sz w:val="24"/>
          <w:szCs w:val="24"/>
        </w:rPr>
        <w:t xml:space="preserve"> vedeno tak, aby bylo úplné a správné</w:t>
      </w:r>
      <w:r w:rsidR="0036325A" w:rsidRPr="00102AB2">
        <w:rPr>
          <w:rFonts w:ascii="Calibri" w:hAnsi="Calibri" w:cs="Calibri"/>
          <w:sz w:val="24"/>
          <w:szCs w:val="24"/>
        </w:rPr>
        <w:t>.</w:t>
      </w:r>
      <w:r w:rsidRPr="00102AB2">
        <w:rPr>
          <w:rFonts w:ascii="Calibri" w:hAnsi="Calibri" w:cs="Calibri"/>
          <w:sz w:val="24"/>
          <w:szCs w:val="24"/>
        </w:rPr>
        <w:t xml:space="preserve"> </w:t>
      </w:r>
    </w:p>
    <w:p w:rsidR="00102AB2" w:rsidRPr="00102AB2" w:rsidRDefault="00102AB2" w:rsidP="00102AB2">
      <w:pPr>
        <w:spacing w:after="0" w:line="240" w:lineRule="auto"/>
        <w:jc w:val="both"/>
        <w:rPr>
          <w:rFonts w:ascii="Calibri" w:hAnsi="Calibri" w:cs="Calibri"/>
          <w:sz w:val="24"/>
          <w:szCs w:val="24"/>
        </w:rPr>
      </w:pPr>
    </w:p>
    <w:p w:rsidR="00D56C34" w:rsidRDefault="002C4C9C" w:rsidP="00102AB2">
      <w:pPr>
        <w:spacing w:after="0" w:line="240" w:lineRule="auto"/>
        <w:jc w:val="both"/>
        <w:rPr>
          <w:rFonts w:ascii="Calibri" w:hAnsi="Calibri" w:cs="Calibri"/>
          <w:sz w:val="24"/>
          <w:szCs w:val="24"/>
        </w:rPr>
      </w:pPr>
      <w:r w:rsidRPr="00102AB2">
        <w:rPr>
          <w:rFonts w:ascii="Calibri" w:hAnsi="Calibri" w:cs="Calibri"/>
          <w:sz w:val="24"/>
          <w:szCs w:val="24"/>
        </w:rPr>
        <w:t>Inventarizaci</w:t>
      </w:r>
      <w:r w:rsidR="00C40BD3" w:rsidRPr="00102AB2">
        <w:rPr>
          <w:rFonts w:ascii="Calibri" w:hAnsi="Calibri" w:cs="Calibri"/>
          <w:sz w:val="24"/>
          <w:szCs w:val="24"/>
        </w:rPr>
        <w:t>, kterou se ověřuje, zda skutečné stavy majetku a závazků odpovídají stavům vedeným v</w:t>
      </w:r>
      <w:r w:rsidR="007405FC" w:rsidRPr="00102AB2">
        <w:rPr>
          <w:rFonts w:ascii="Calibri" w:hAnsi="Calibri" w:cs="Calibri"/>
          <w:sz w:val="24"/>
          <w:szCs w:val="24"/>
        </w:rPr>
        <w:t xml:space="preserve"> </w:t>
      </w:r>
      <w:r w:rsidR="00C40BD3" w:rsidRPr="00102AB2">
        <w:rPr>
          <w:rFonts w:ascii="Calibri" w:hAnsi="Calibri" w:cs="Calibri"/>
          <w:sz w:val="24"/>
          <w:szCs w:val="24"/>
        </w:rPr>
        <w:t>účetnictví,</w:t>
      </w:r>
      <w:r w:rsidR="00FF07BB" w:rsidRPr="00102AB2">
        <w:rPr>
          <w:rFonts w:ascii="Calibri" w:hAnsi="Calibri" w:cs="Calibri"/>
          <w:sz w:val="24"/>
          <w:szCs w:val="24"/>
        </w:rPr>
        <w:t xml:space="preserve"> </w:t>
      </w:r>
      <w:r w:rsidR="003E4F3D" w:rsidRPr="00102AB2">
        <w:rPr>
          <w:rFonts w:ascii="Calibri" w:hAnsi="Calibri" w:cs="Calibri"/>
          <w:sz w:val="24"/>
          <w:szCs w:val="24"/>
        </w:rPr>
        <w:t>neprovedlo</w:t>
      </w:r>
      <w:r w:rsidR="00430BCE" w:rsidRPr="00102AB2">
        <w:rPr>
          <w:rFonts w:ascii="Calibri" w:hAnsi="Calibri" w:cs="Calibri"/>
          <w:sz w:val="24"/>
          <w:szCs w:val="24"/>
        </w:rPr>
        <w:t xml:space="preserve"> </w:t>
      </w:r>
      <w:r w:rsidR="0023047A" w:rsidRPr="00102AB2">
        <w:rPr>
          <w:rFonts w:ascii="Calibri" w:hAnsi="Calibri" w:cs="Calibri"/>
          <w:sz w:val="24"/>
          <w:szCs w:val="24"/>
        </w:rPr>
        <w:t>MŽP</w:t>
      </w:r>
      <w:r w:rsidR="00C40BD3" w:rsidRPr="00102AB2">
        <w:rPr>
          <w:rFonts w:ascii="Calibri" w:hAnsi="Calibri" w:cs="Calibri"/>
          <w:sz w:val="24"/>
          <w:szCs w:val="24"/>
        </w:rPr>
        <w:t xml:space="preserve"> v</w:t>
      </w:r>
      <w:r w:rsidR="007405FC" w:rsidRPr="00102AB2">
        <w:rPr>
          <w:rFonts w:ascii="Calibri" w:hAnsi="Calibri" w:cs="Calibri"/>
          <w:sz w:val="24"/>
          <w:szCs w:val="24"/>
        </w:rPr>
        <w:t xml:space="preserve"> </w:t>
      </w:r>
      <w:r w:rsidR="00C40BD3" w:rsidRPr="00102AB2">
        <w:rPr>
          <w:rFonts w:ascii="Calibri" w:hAnsi="Calibri" w:cs="Calibri"/>
          <w:sz w:val="24"/>
          <w:szCs w:val="24"/>
        </w:rPr>
        <w:t>roce 2013</w:t>
      </w:r>
      <w:r w:rsidR="0023047A" w:rsidRPr="00102AB2">
        <w:rPr>
          <w:rFonts w:ascii="Calibri" w:hAnsi="Calibri" w:cs="Calibri"/>
          <w:sz w:val="24"/>
          <w:szCs w:val="24"/>
        </w:rPr>
        <w:t xml:space="preserve"> </w:t>
      </w:r>
      <w:r w:rsidR="00430BCE" w:rsidRPr="00102AB2">
        <w:rPr>
          <w:rFonts w:ascii="Calibri" w:hAnsi="Calibri" w:cs="Calibri"/>
          <w:sz w:val="24"/>
          <w:szCs w:val="24"/>
        </w:rPr>
        <w:t>v</w:t>
      </w:r>
      <w:r w:rsidR="007405FC" w:rsidRPr="00102AB2">
        <w:rPr>
          <w:rFonts w:ascii="Calibri" w:hAnsi="Calibri" w:cs="Calibri"/>
          <w:sz w:val="24"/>
          <w:szCs w:val="24"/>
        </w:rPr>
        <w:t xml:space="preserve"> </w:t>
      </w:r>
      <w:r w:rsidR="00430BCE" w:rsidRPr="00102AB2">
        <w:rPr>
          <w:rFonts w:ascii="Calibri" w:hAnsi="Calibri" w:cs="Calibri"/>
          <w:sz w:val="24"/>
          <w:szCs w:val="24"/>
        </w:rPr>
        <w:t>souladu se zákonem o účetnictví</w:t>
      </w:r>
      <w:r w:rsidR="009575D2">
        <w:rPr>
          <w:rFonts w:ascii="Calibri" w:hAnsi="Calibri" w:cs="Calibri"/>
          <w:sz w:val="24"/>
          <w:szCs w:val="24"/>
        </w:rPr>
        <w:t>,</w:t>
      </w:r>
      <w:r w:rsidRPr="00102AB2">
        <w:rPr>
          <w:rFonts w:ascii="Calibri" w:hAnsi="Calibri" w:cs="Calibri"/>
          <w:sz w:val="24"/>
          <w:szCs w:val="24"/>
        </w:rPr>
        <w:t xml:space="preserve"> a</w:t>
      </w:r>
      <w:r w:rsidR="00D27C61" w:rsidRPr="00102AB2">
        <w:rPr>
          <w:rFonts w:ascii="Calibri" w:hAnsi="Calibri" w:cs="Calibri"/>
          <w:sz w:val="24"/>
          <w:szCs w:val="24"/>
        </w:rPr>
        <w:t> </w:t>
      </w:r>
      <w:r w:rsidRPr="00102AB2">
        <w:rPr>
          <w:rFonts w:ascii="Calibri" w:hAnsi="Calibri" w:cs="Calibri"/>
          <w:sz w:val="24"/>
          <w:szCs w:val="24"/>
        </w:rPr>
        <w:t>v</w:t>
      </w:r>
      <w:r w:rsidR="00B87413" w:rsidRPr="00102AB2">
        <w:rPr>
          <w:rFonts w:ascii="Calibri" w:hAnsi="Calibri" w:cs="Calibri"/>
          <w:sz w:val="24"/>
          <w:szCs w:val="24"/>
        </w:rPr>
        <w:t> důsledku toho</w:t>
      </w:r>
      <w:r w:rsidR="00430BCE" w:rsidRPr="00102AB2">
        <w:rPr>
          <w:rFonts w:ascii="Calibri" w:hAnsi="Calibri" w:cs="Calibri"/>
          <w:sz w:val="24"/>
          <w:szCs w:val="24"/>
        </w:rPr>
        <w:t xml:space="preserve"> je dle</w:t>
      </w:r>
      <w:r w:rsidR="007405FC" w:rsidRPr="00102AB2">
        <w:rPr>
          <w:rFonts w:ascii="Calibri" w:hAnsi="Calibri" w:cs="Calibri"/>
          <w:sz w:val="24"/>
          <w:szCs w:val="24"/>
        </w:rPr>
        <w:t xml:space="preserve"> </w:t>
      </w:r>
      <w:r w:rsidR="00430BCE" w:rsidRPr="00102AB2">
        <w:rPr>
          <w:rFonts w:ascii="Calibri" w:hAnsi="Calibri" w:cs="Calibri"/>
          <w:sz w:val="24"/>
          <w:szCs w:val="24"/>
        </w:rPr>
        <w:t>ustanovení § 8 odst. 4</w:t>
      </w:r>
      <w:r w:rsidR="00B87413" w:rsidRPr="00102AB2">
        <w:rPr>
          <w:rFonts w:ascii="Calibri" w:hAnsi="Calibri" w:cs="Calibri"/>
          <w:sz w:val="24"/>
          <w:szCs w:val="24"/>
        </w:rPr>
        <w:t xml:space="preserve"> tohoto</w:t>
      </w:r>
      <w:r w:rsidR="00430BCE" w:rsidRPr="00102AB2">
        <w:rPr>
          <w:rFonts w:ascii="Calibri" w:hAnsi="Calibri" w:cs="Calibri"/>
          <w:sz w:val="24"/>
          <w:szCs w:val="24"/>
        </w:rPr>
        <w:t xml:space="preserve"> zákona</w:t>
      </w:r>
      <w:r w:rsidR="0023047A" w:rsidRPr="00102AB2">
        <w:rPr>
          <w:rFonts w:ascii="Calibri" w:hAnsi="Calibri" w:cs="Calibri"/>
          <w:sz w:val="24"/>
          <w:szCs w:val="24"/>
        </w:rPr>
        <w:t xml:space="preserve"> jeho</w:t>
      </w:r>
      <w:r w:rsidR="00430BCE" w:rsidRPr="00102AB2">
        <w:rPr>
          <w:rFonts w:ascii="Calibri" w:hAnsi="Calibri" w:cs="Calibri"/>
          <w:sz w:val="24"/>
          <w:szCs w:val="24"/>
        </w:rPr>
        <w:t xml:space="preserve"> účetnictví</w:t>
      </w:r>
      <w:r w:rsidR="00B87413" w:rsidRPr="00102AB2">
        <w:rPr>
          <w:rFonts w:ascii="Calibri" w:hAnsi="Calibri" w:cs="Calibri"/>
          <w:sz w:val="24"/>
          <w:szCs w:val="24"/>
        </w:rPr>
        <w:t xml:space="preserve"> neprůka</w:t>
      </w:r>
      <w:r w:rsidR="00430BCE" w:rsidRPr="00102AB2">
        <w:rPr>
          <w:rFonts w:ascii="Calibri" w:hAnsi="Calibri" w:cs="Calibri"/>
          <w:sz w:val="24"/>
          <w:szCs w:val="24"/>
        </w:rPr>
        <w:t>zné.</w:t>
      </w:r>
    </w:p>
    <w:p w:rsidR="00102AB2" w:rsidRPr="00102AB2" w:rsidRDefault="00102AB2" w:rsidP="00102AB2">
      <w:pPr>
        <w:spacing w:after="0" w:line="240" w:lineRule="auto"/>
        <w:jc w:val="both"/>
        <w:rPr>
          <w:rFonts w:ascii="Calibri" w:hAnsi="Calibri" w:cs="Calibri"/>
          <w:sz w:val="24"/>
          <w:szCs w:val="24"/>
        </w:rPr>
      </w:pPr>
    </w:p>
    <w:p w:rsidR="00CE65FF" w:rsidRPr="00102AB2" w:rsidRDefault="00CE0E8C" w:rsidP="00102AB2">
      <w:pPr>
        <w:spacing w:after="0" w:line="240" w:lineRule="auto"/>
        <w:jc w:val="both"/>
        <w:rPr>
          <w:rFonts w:ascii="Calibri" w:hAnsi="Calibri" w:cs="Calibri"/>
          <w:sz w:val="24"/>
          <w:szCs w:val="24"/>
        </w:rPr>
      </w:pPr>
      <w:r w:rsidRPr="00102AB2">
        <w:rPr>
          <w:rFonts w:ascii="Calibri" w:hAnsi="Calibri" w:cs="Calibri"/>
          <w:b/>
          <w:color w:val="000000"/>
          <w:sz w:val="24"/>
          <w:szCs w:val="24"/>
        </w:rPr>
        <w:t>Účetní závěrka</w:t>
      </w:r>
      <w:r w:rsidRPr="00102AB2">
        <w:rPr>
          <w:rFonts w:ascii="Calibri" w:hAnsi="Calibri" w:cs="Calibri"/>
          <w:sz w:val="24"/>
          <w:szCs w:val="24"/>
        </w:rPr>
        <w:t xml:space="preserve"> </w:t>
      </w:r>
      <w:r w:rsidR="00CC2C5B" w:rsidRPr="00102AB2">
        <w:rPr>
          <w:rFonts w:ascii="Calibri" w:hAnsi="Calibri" w:cs="Calibri"/>
          <w:b/>
          <w:sz w:val="24"/>
          <w:szCs w:val="24"/>
        </w:rPr>
        <w:t>MŽP sestavená k</w:t>
      </w:r>
      <w:r w:rsidR="007405FC" w:rsidRPr="00102AB2">
        <w:rPr>
          <w:rFonts w:ascii="Calibri" w:hAnsi="Calibri" w:cs="Calibri"/>
          <w:b/>
          <w:sz w:val="24"/>
          <w:szCs w:val="24"/>
        </w:rPr>
        <w:t xml:space="preserve"> </w:t>
      </w:r>
      <w:r w:rsidR="00CC2C5B" w:rsidRPr="00102AB2">
        <w:rPr>
          <w:rFonts w:ascii="Calibri" w:hAnsi="Calibri" w:cs="Calibri"/>
          <w:b/>
          <w:sz w:val="24"/>
          <w:szCs w:val="24"/>
        </w:rPr>
        <w:t>31. prosinci 2013</w:t>
      </w:r>
      <w:r w:rsidR="00CC2C5B" w:rsidRPr="00102AB2">
        <w:rPr>
          <w:rFonts w:ascii="Calibri" w:hAnsi="Calibri" w:cs="Calibri"/>
          <w:sz w:val="24"/>
          <w:szCs w:val="24"/>
        </w:rPr>
        <w:t xml:space="preserve"> </w:t>
      </w:r>
    </w:p>
    <w:p w:rsidR="00102AB2" w:rsidRDefault="00102AB2" w:rsidP="00102AB2">
      <w:pPr>
        <w:spacing w:after="0" w:line="240" w:lineRule="auto"/>
        <w:jc w:val="both"/>
        <w:rPr>
          <w:rFonts w:ascii="Calibri" w:hAnsi="Calibri" w:cs="Calibri"/>
          <w:sz w:val="24"/>
          <w:szCs w:val="24"/>
        </w:rPr>
      </w:pPr>
    </w:p>
    <w:p w:rsidR="00596776" w:rsidRDefault="00596776" w:rsidP="00102AB2">
      <w:pPr>
        <w:spacing w:after="0" w:line="240" w:lineRule="auto"/>
        <w:jc w:val="both"/>
        <w:rPr>
          <w:rFonts w:ascii="Calibri" w:hAnsi="Calibri" w:cs="Calibri"/>
          <w:sz w:val="24"/>
          <w:szCs w:val="24"/>
        </w:rPr>
      </w:pPr>
      <w:r w:rsidRPr="00102AB2">
        <w:rPr>
          <w:rFonts w:ascii="Calibri" w:hAnsi="Calibri" w:cs="Calibri"/>
          <w:sz w:val="24"/>
          <w:szCs w:val="24"/>
        </w:rPr>
        <w:t>Schvalující orgán MŽP účetní závěrku sestavenou k</w:t>
      </w:r>
      <w:r w:rsidR="007405FC" w:rsidRPr="00102AB2">
        <w:rPr>
          <w:rFonts w:ascii="Calibri" w:hAnsi="Calibri" w:cs="Calibri"/>
          <w:sz w:val="24"/>
          <w:szCs w:val="24"/>
        </w:rPr>
        <w:t xml:space="preserve"> </w:t>
      </w:r>
      <w:r w:rsidRPr="00102AB2">
        <w:rPr>
          <w:rFonts w:ascii="Calibri" w:hAnsi="Calibri" w:cs="Calibri"/>
          <w:sz w:val="24"/>
          <w:szCs w:val="24"/>
        </w:rPr>
        <w:t xml:space="preserve">31. prosinci 2013 schválil. </w:t>
      </w:r>
    </w:p>
    <w:p w:rsidR="009575D2" w:rsidRPr="00102AB2" w:rsidRDefault="009575D2" w:rsidP="00102AB2">
      <w:pPr>
        <w:spacing w:after="0" w:line="240" w:lineRule="auto"/>
        <w:jc w:val="both"/>
        <w:rPr>
          <w:rFonts w:ascii="Calibri" w:hAnsi="Calibri" w:cs="Calibri"/>
          <w:sz w:val="24"/>
          <w:szCs w:val="24"/>
        </w:rPr>
      </w:pPr>
    </w:p>
    <w:p w:rsidR="00596776" w:rsidRDefault="00596776"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Při kontrole bylo zjištěno, že </w:t>
      </w:r>
      <w:r w:rsidR="00CE65FF" w:rsidRPr="00102AB2">
        <w:rPr>
          <w:rFonts w:ascii="Calibri" w:hAnsi="Calibri" w:cs="Calibri"/>
          <w:sz w:val="24"/>
          <w:szCs w:val="24"/>
        </w:rPr>
        <w:t>ÚZ MŽP sestavená k</w:t>
      </w:r>
      <w:r w:rsidR="007405FC" w:rsidRPr="00102AB2">
        <w:rPr>
          <w:rFonts w:ascii="Calibri" w:hAnsi="Calibri" w:cs="Calibri"/>
          <w:sz w:val="24"/>
          <w:szCs w:val="24"/>
        </w:rPr>
        <w:t xml:space="preserve"> </w:t>
      </w:r>
      <w:r w:rsidR="00CE65FF" w:rsidRPr="00102AB2">
        <w:rPr>
          <w:rFonts w:ascii="Calibri" w:hAnsi="Calibri" w:cs="Calibri"/>
          <w:sz w:val="24"/>
          <w:szCs w:val="24"/>
        </w:rPr>
        <w:t xml:space="preserve">31. prosinci 2013 </w:t>
      </w:r>
      <w:r w:rsidR="00CC2C5B" w:rsidRPr="00102AB2">
        <w:rPr>
          <w:rFonts w:ascii="Calibri" w:hAnsi="Calibri" w:cs="Calibri"/>
          <w:sz w:val="24"/>
          <w:szCs w:val="24"/>
        </w:rPr>
        <w:t>neobsah</w:t>
      </w:r>
      <w:r w:rsidR="00C40BD3" w:rsidRPr="00102AB2">
        <w:rPr>
          <w:rFonts w:ascii="Calibri" w:hAnsi="Calibri" w:cs="Calibri"/>
          <w:sz w:val="24"/>
          <w:szCs w:val="24"/>
        </w:rPr>
        <w:t>ovala</w:t>
      </w:r>
      <w:r w:rsidR="00CC2C5B" w:rsidRPr="00102AB2">
        <w:rPr>
          <w:rFonts w:ascii="Calibri" w:hAnsi="Calibri" w:cs="Calibri"/>
          <w:sz w:val="24"/>
          <w:szCs w:val="24"/>
        </w:rPr>
        <w:t xml:space="preserve"> všechny povinné </w:t>
      </w:r>
      <w:r w:rsidR="004B5A4D" w:rsidRPr="00102AB2">
        <w:rPr>
          <w:rFonts w:ascii="Calibri" w:hAnsi="Calibri" w:cs="Calibri"/>
          <w:sz w:val="24"/>
          <w:szCs w:val="24"/>
        </w:rPr>
        <w:t>součásti</w:t>
      </w:r>
      <w:r w:rsidR="00282D27" w:rsidRPr="00102AB2">
        <w:rPr>
          <w:rFonts w:ascii="Calibri" w:hAnsi="Calibri" w:cs="Calibri"/>
          <w:sz w:val="24"/>
          <w:szCs w:val="24"/>
        </w:rPr>
        <w:t xml:space="preserve"> </w:t>
      </w:r>
      <w:r w:rsidR="00CC2C5B" w:rsidRPr="00102AB2">
        <w:rPr>
          <w:rFonts w:ascii="Calibri" w:hAnsi="Calibri" w:cs="Calibri"/>
          <w:sz w:val="24"/>
          <w:szCs w:val="24"/>
        </w:rPr>
        <w:t>uvedené v § 18 odst. 2 zákona o účetnictví, což</w:t>
      </w:r>
      <w:r w:rsidRPr="00102AB2">
        <w:rPr>
          <w:rFonts w:ascii="Calibri" w:hAnsi="Calibri" w:cs="Calibri"/>
          <w:sz w:val="24"/>
          <w:szCs w:val="24"/>
        </w:rPr>
        <w:t xml:space="preserve"> ustanovení</w:t>
      </w:r>
      <w:r w:rsidR="00CC2C5B" w:rsidRPr="00102AB2">
        <w:rPr>
          <w:rFonts w:ascii="Calibri" w:hAnsi="Calibri" w:cs="Calibri"/>
          <w:sz w:val="24"/>
          <w:szCs w:val="24"/>
        </w:rPr>
        <w:t xml:space="preserve"> § 37 tohoto zákona kvalifikuje jako přestupek.</w:t>
      </w:r>
    </w:p>
    <w:p w:rsidR="00102AB2" w:rsidRPr="00102AB2" w:rsidRDefault="00102AB2" w:rsidP="00102AB2">
      <w:pPr>
        <w:spacing w:after="0" w:line="240" w:lineRule="auto"/>
        <w:jc w:val="both"/>
        <w:rPr>
          <w:rFonts w:ascii="Calibri" w:hAnsi="Calibri" w:cs="Calibri"/>
          <w:sz w:val="24"/>
          <w:szCs w:val="24"/>
        </w:rPr>
      </w:pPr>
    </w:p>
    <w:p w:rsidR="00BD048E" w:rsidRDefault="00BD048E" w:rsidP="00102AB2">
      <w:pPr>
        <w:spacing w:after="0" w:line="240" w:lineRule="auto"/>
        <w:jc w:val="both"/>
        <w:rPr>
          <w:rFonts w:ascii="Calibri" w:hAnsi="Calibri" w:cs="Calibri"/>
          <w:sz w:val="24"/>
          <w:szCs w:val="24"/>
        </w:rPr>
      </w:pPr>
      <w:r w:rsidRPr="00102AB2">
        <w:rPr>
          <w:rFonts w:ascii="Calibri" w:hAnsi="Calibri" w:cs="Calibri"/>
          <w:sz w:val="24"/>
          <w:szCs w:val="24"/>
        </w:rPr>
        <w:t>Spolehlivost</w:t>
      </w:r>
      <w:r w:rsidR="00C40BD3" w:rsidRPr="00102AB2">
        <w:rPr>
          <w:rFonts w:ascii="Calibri" w:hAnsi="Calibri" w:cs="Calibri"/>
          <w:sz w:val="24"/>
          <w:szCs w:val="24"/>
        </w:rPr>
        <w:t xml:space="preserve"> informací </w:t>
      </w:r>
      <w:r w:rsidRPr="00102AB2">
        <w:rPr>
          <w:rFonts w:ascii="Calibri" w:hAnsi="Calibri" w:cs="Calibri"/>
          <w:sz w:val="24"/>
          <w:szCs w:val="24"/>
        </w:rPr>
        <w:t>účetní závěrky jako celku</w:t>
      </w:r>
      <w:r w:rsidR="005F1274" w:rsidRPr="00102AB2">
        <w:rPr>
          <w:rFonts w:ascii="Calibri" w:hAnsi="Calibri" w:cs="Calibri"/>
          <w:sz w:val="24"/>
          <w:szCs w:val="24"/>
        </w:rPr>
        <w:t xml:space="preserve"> byla</w:t>
      </w:r>
      <w:r w:rsidR="00384E65" w:rsidRPr="00102AB2">
        <w:rPr>
          <w:rFonts w:ascii="Calibri" w:hAnsi="Calibri" w:cs="Calibri"/>
          <w:sz w:val="24"/>
          <w:szCs w:val="24"/>
        </w:rPr>
        <w:t xml:space="preserve"> </w:t>
      </w:r>
      <w:r w:rsidR="00C40BD3" w:rsidRPr="00102AB2">
        <w:rPr>
          <w:rFonts w:ascii="Calibri" w:hAnsi="Calibri" w:cs="Calibri"/>
          <w:sz w:val="24"/>
          <w:szCs w:val="24"/>
        </w:rPr>
        <w:t>posuzována</w:t>
      </w:r>
      <w:r w:rsidR="00384E65" w:rsidRPr="00102AB2">
        <w:rPr>
          <w:rFonts w:ascii="Calibri" w:hAnsi="Calibri" w:cs="Calibri"/>
          <w:sz w:val="24"/>
          <w:szCs w:val="24"/>
        </w:rPr>
        <w:t xml:space="preserve"> z</w:t>
      </w:r>
      <w:r w:rsidR="007405FC" w:rsidRPr="00102AB2">
        <w:rPr>
          <w:rFonts w:ascii="Calibri" w:hAnsi="Calibri" w:cs="Calibri"/>
          <w:sz w:val="24"/>
          <w:szCs w:val="24"/>
        </w:rPr>
        <w:t xml:space="preserve"> </w:t>
      </w:r>
      <w:r w:rsidR="00384E65" w:rsidRPr="00102AB2">
        <w:rPr>
          <w:rFonts w:ascii="Calibri" w:hAnsi="Calibri" w:cs="Calibri"/>
          <w:sz w:val="24"/>
          <w:szCs w:val="24"/>
        </w:rPr>
        <w:t xml:space="preserve">hlediska </w:t>
      </w:r>
      <w:r w:rsidR="00C40BD3" w:rsidRPr="00102AB2">
        <w:rPr>
          <w:rFonts w:ascii="Calibri" w:hAnsi="Calibri" w:cs="Calibri"/>
          <w:sz w:val="24"/>
          <w:szCs w:val="24"/>
        </w:rPr>
        <w:t xml:space="preserve">jejich </w:t>
      </w:r>
      <w:r w:rsidR="00384E65" w:rsidRPr="00102AB2">
        <w:rPr>
          <w:rFonts w:ascii="Calibri" w:hAnsi="Calibri" w:cs="Calibri"/>
          <w:sz w:val="24"/>
          <w:szCs w:val="24"/>
        </w:rPr>
        <w:t>významnosti. Pro posouzení spolehlivosti účetní závěrky MŽP sestavené k</w:t>
      </w:r>
      <w:r w:rsidR="007405FC" w:rsidRPr="00102AB2">
        <w:rPr>
          <w:rFonts w:ascii="Calibri" w:hAnsi="Calibri" w:cs="Calibri"/>
          <w:sz w:val="24"/>
          <w:szCs w:val="24"/>
        </w:rPr>
        <w:t xml:space="preserve"> </w:t>
      </w:r>
      <w:r w:rsidR="00384E65" w:rsidRPr="00102AB2">
        <w:rPr>
          <w:rFonts w:ascii="Calibri" w:hAnsi="Calibri" w:cs="Calibri"/>
          <w:sz w:val="24"/>
          <w:szCs w:val="24"/>
        </w:rPr>
        <w:t>31. prosinci 2013 byla stanovena významnost (</w:t>
      </w:r>
      <w:proofErr w:type="spellStart"/>
      <w:r w:rsidR="00384E65" w:rsidRPr="00102AB2">
        <w:rPr>
          <w:rFonts w:ascii="Calibri" w:hAnsi="Calibri" w:cs="Calibri"/>
          <w:sz w:val="24"/>
          <w:szCs w:val="24"/>
        </w:rPr>
        <w:t>materialita</w:t>
      </w:r>
      <w:proofErr w:type="spellEnd"/>
      <w:r w:rsidR="00384E65" w:rsidRPr="00102AB2">
        <w:rPr>
          <w:rFonts w:ascii="Calibri" w:hAnsi="Calibri" w:cs="Calibri"/>
          <w:sz w:val="24"/>
          <w:szCs w:val="24"/>
        </w:rPr>
        <w:t>)</w:t>
      </w:r>
      <w:r w:rsidR="002E6E10" w:rsidRPr="00102AB2">
        <w:rPr>
          <w:rStyle w:val="Znakapoznpodarou"/>
          <w:rFonts w:ascii="Calibri" w:eastAsia="Times New Roman" w:hAnsi="Calibri" w:cs="Calibri"/>
          <w:bCs/>
          <w:iCs/>
          <w:sz w:val="24"/>
          <w:szCs w:val="24"/>
        </w:rPr>
        <w:footnoteReference w:id="78"/>
      </w:r>
      <w:r w:rsidR="00F1317C">
        <w:rPr>
          <w:rFonts w:ascii="Calibri" w:hAnsi="Calibri" w:cs="Calibri"/>
          <w:sz w:val="24"/>
          <w:szCs w:val="24"/>
        </w:rPr>
        <w:t xml:space="preserve"> </w:t>
      </w:r>
      <w:r w:rsidR="00F1317C" w:rsidRPr="00102AB2">
        <w:rPr>
          <w:rFonts w:ascii="Calibri" w:hAnsi="Calibri" w:cs="Calibri"/>
          <w:sz w:val="24"/>
          <w:szCs w:val="24"/>
        </w:rPr>
        <w:t>ve výši 400 milionů Kč</w:t>
      </w:r>
      <w:r w:rsidR="00384E65" w:rsidRPr="00102AB2">
        <w:rPr>
          <w:rFonts w:ascii="Calibri" w:hAnsi="Calibri" w:cs="Calibri"/>
          <w:sz w:val="24"/>
          <w:szCs w:val="24"/>
        </w:rPr>
        <w:t xml:space="preserve">, </w:t>
      </w:r>
      <w:r w:rsidR="00F1317C">
        <w:rPr>
          <w:rFonts w:ascii="Calibri" w:hAnsi="Calibri" w:cs="Calibri"/>
          <w:sz w:val="24"/>
          <w:szCs w:val="24"/>
        </w:rPr>
        <w:t>jedná se o hodnotu</w:t>
      </w:r>
      <w:r w:rsidR="00384E65" w:rsidRPr="00102AB2">
        <w:rPr>
          <w:rFonts w:ascii="Calibri" w:hAnsi="Calibri" w:cs="Calibri"/>
          <w:sz w:val="24"/>
          <w:szCs w:val="24"/>
        </w:rPr>
        <w:t xml:space="preserve"> nesprávností, u kterých je možné přiměřeně očekávat, že jednotlivě nebo v</w:t>
      </w:r>
      <w:r w:rsidR="00F1317C">
        <w:rPr>
          <w:rFonts w:ascii="Calibri" w:hAnsi="Calibri" w:cs="Calibri"/>
          <w:sz w:val="24"/>
          <w:szCs w:val="24"/>
        </w:rPr>
        <w:t> </w:t>
      </w:r>
      <w:r w:rsidR="00384E65" w:rsidRPr="00102AB2">
        <w:rPr>
          <w:rFonts w:ascii="Calibri" w:hAnsi="Calibri" w:cs="Calibri"/>
          <w:sz w:val="24"/>
          <w:szCs w:val="24"/>
        </w:rPr>
        <w:t>součtu ovlivní ekonomická rozhodnutí uživatelů účetní závěrky.</w:t>
      </w:r>
    </w:p>
    <w:p w:rsidR="00102AB2" w:rsidRPr="00102AB2" w:rsidRDefault="00102AB2" w:rsidP="00102AB2">
      <w:pPr>
        <w:spacing w:after="0" w:line="240" w:lineRule="auto"/>
        <w:jc w:val="both"/>
        <w:rPr>
          <w:rFonts w:ascii="Calibri" w:hAnsi="Calibri" w:cs="Calibri"/>
          <w:sz w:val="24"/>
          <w:szCs w:val="24"/>
        </w:rPr>
      </w:pPr>
    </w:p>
    <w:p w:rsidR="007734BA" w:rsidRDefault="00596462" w:rsidP="00102AB2">
      <w:pPr>
        <w:spacing w:after="0" w:line="240" w:lineRule="auto"/>
        <w:jc w:val="both"/>
        <w:rPr>
          <w:rFonts w:ascii="Calibri" w:hAnsi="Calibri" w:cs="Calibri"/>
          <w:sz w:val="24"/>
          <w:szCs w:val="24"/>
        </w:rPr>
      </w:pPr>
      <w:r w:rsidRPr="00102AB2">
        <w:rPr>
          <w:rFonts w:ascii="Calibri" w:hAnsi="Calibri" w:cs="Calibri"/>
          <w:sz w:val="24"/>
          <w:szCs w:val="24"/>
        </w:rPr>
        <w:t>Některé informace v</w:t>
      </w:r>
      <w:r w:rsidR="007405FC" w:rsidRPr="00102AB2">
        <w:rPr>
          <w:rFonts w:ascii="Calibri" w:hAnsi="Calibri" w:cs="Calibri"/>
          <w:sz w:val="24"/>
          <w:szCs w:val="24"/>
        </w:rPr>
        <w:t xml:space="preserve"> </w:t>
      </w:r>
      <w:r w:rsidRPr="00102AB2">
        <w:rPr>
          <w:rFonts w:ascii="Calibri" w:hAnsi="Calibri" w:cs="Calibri"/>
          <w:sz w:val="24"/>
          <w:szCs w:val="24"/>
        </w:rPr>
        <w:t>účetní závěrce MŽP sestavené k</w:t>
      </w:r>
      <w:r w:rsidR="007405FC" w:rsidRPr="00102AB2">
        <w:rPr>
          <w:rFonts w:ascii="Calibri" w:hAnsi="Calibri" w:cs="Calibri"/>
          <w:sz w:val="24"/>
          <w:szCs w:val="24"/>
        </w:rPr>
        <w:t xml:space="preserve"> </w:t>
      </w:r>
      <w:r w:rsidRPr="00102AB2">
        <w:rPr>
          <w:rFonts w:ascii="Calibri" w:hAnsi="Calibri" w:cs="Calibri"/>
          <w:sz w:val="24"/>
          <w:szCs w:val="24"/>
        </w:rPr>
        <w:t xml:space="preserve">31. </w:t>
      </w:r>
      <w:r w:rsidR="00C40BD3" w:rsidRPr="00102AB2">
        <w:rPr>
          <w:rFonts w:ascii="Calibri" w:hAnsi="Calibri" w:cs="Calibri"/>
          <w:sz w:val="24"/>
          <w:szCs w:val="24"/>
        </w:rPr>
        <w:t>prosinci</w:t>
      </w:r>
      <w:r w:rsidRPr="00102AB2">
        <w:rPr>
          <w:rFonts w:ascii="Calibri" w:hAnsi="Calibri" w:cs="Calibri"/>
          <w:sz w:val="24"/>
          <w:szCs w:val="24"/>
        </w:rPr>
        <w:t xml:space="preserve"> 2013</w:t>
      </w:r>
      <w:r w:rsidR="00AB6D2C" w:rsidRPr="00102AB2">
        <w:rPr>
          <w:rFonts w:ascii="Calibri" w:hAnsi="Calibri" w:cs="Calibri"/>
          <w:sz w:val="24"/>
          <w:szCs w:val="24"/>
        </w:rPr>
        <w:t xml:space="preserve"> </w:t>
      </w:r>
      <w:r w:rsidR="00243951" w:rsidRPr="00102AB2">
        <w:rPr>
          <w:rFonts w:ascii="Calibri" w:hAnsi="Calibri" w:cs="Calibri"/>
          <w:sz w:val="24"/>
          <w:szCs w:val="24"/>
        </w:rPr>
        <w:t>nebyly vykázány v souladu s</w:t>
      </w:r>
      <w:r w:rsidR="007405FC" w:rsidRPr="00102AB2">
        <w:rPr>
          <w:rFonts w:ascii="Calibri" w:hAnsi="Calibri" w:cs="Calibri"/>
          <w:sz w:val="24"/>
          <w:szCs w:val="24"/>
        </w:rPr>
        <w:t xml:space="preserve"> </w:t>
      </w:r>
      <w:r w:rsidR="00243951" w:rsidRPr="00102AB2">
        <w:rPr>
          <w:rFonts w:ascii="Calibri" w:hAnsi="Calibri" w:cs="Calibri"/>
          <w:sz w:val="24"/>
          <w:szCs w:val="24"/>
        </w:rPr>
        <w:t>předpisy upravujícími vedení účetnictví</w:t>
      </w:r>
      <w:r w:rsidR="00AB6D2C" w:rsidRPr="00102AB2">
        <w:rPr>
          <w:rFonts w:ascii="Calibri" w:hAnsi="Calibri" w:cs="Calibri"/>
          <w:sz w:val="24"/>
          <w:szCs w:val="24"/>
        </w:rPr>
        <w:t>. V</w:t>
      </w:r>
      <w:r w:rsidR="007405FC" w:rsidRPr="00102AB2">
        <w:rPr>
          <w:rFonts w:ascii="Calibri" w:hAnsi="Calibri" w:cs="Calibri"/>
          <w:sz w:val="24"/>
          <w:szCs w:val="24"/>
        </w:rPr>
        <w:t xml:space="preserve"> </w:t>
      </w:r>
      <w:r w:rsidR="00AB6D2C" w:rsidRPr="00102AB2">
        <w:rPr>
          <w:rFonts w:ascii="Calibri" w:hAnsi="Calibri" w:cs="Calibri"/>
          <w:sz w:val="24"/>
          <w:szCs w:val="24"/>
        </w:rPr>
        <w:t xml:space="preserve">údajích vykázaných za běžné období byly zjištěny </w:t>
      </w:r>
      <w:r w:rsidR="005D1DD4" w:rsidRPr="00102AB2">
        <w:rPr>
          <w:rFonts w:ascii="Calibri" w:hAnsi="Calibri" w:cs="Calibri"/>
          <w:sz w:val="24"/>
          <w:szCs w:val="24"/>
        </w:rPr>
        <w:t>celkové nesprávnosti</w:t>
      </w:r>
      <w:r w:rsidR="00243951" w:rsidRPr="00102AB2">
        <w:rPr>
          <w:rFonts w:ascii="Calibri" w:hAnsi="Calibri" w:cs="Calibri"/>
          <w:sz w:val="24"/>
          <w:szCs w:val="24"/>
        </w:rPr>
        <w:t xml:space="preserve"> </w:t>
      </w:r>
      <w:r w:rsidR="005D1DD4" w:rsidRPr="00102AB2">
        <w:rPr>
          <w:rFonts w:ascii="Calibri" w:hAnsi="Calibri" w:cs="Calibri"/>
          <w:sz w:val="24"/>
          <w:szCs w:val="24"/>
        </w:rPr>
        <w:t>ve výši 7</w:t>
      </w:r>
      <w:r w:rsidR="00C10FB4" w:rsidRPr="00102AB2">
        <w:rPr>
          <w:rFonts w:ascii="Calibri" w:hAnsi="Calibri" w:cs="Calibri"/>
          <w:sz w:val="24"/>
          <w:szCs w:val="24"/>
        </w:rPr>
        <w:t>,</w:t>
      </w:r>
      <w:r w:rsidR="005D1DD4" w:rsidRPr="00102AB2">
        <w:rPr>
          <w:rFonts w:ascii="Calibri" w:hAnsi="Calibri" w:cs="Calibri"/>
          <w:sz w:val="24"/>
          <w:szCs w:val="24"/>
        </w:rPr>
        <w:t>1</w:t>
      </w:r>
      <w:r w:rsidR="00A374D2" w:rsidRPr="00102AB2">
        <w:rPr>
          <w:rFonts w:ascii="Calibri" w:hAnsi="Calibri" w:cs="Calibri"/>
          <w:sz w:val="24"/>
          <w:szCs w:val="24"/>
        </w:rPr>
        <w:t xml:space="preserve"> </w:t>
      </w:r>
      <w:r w:rsidR="00C10FB4" w:rsidRPr="00102AB2">
        <w:rPr>
          <w:rFonts w:ascii="Calibri" w:hAnsi="Calibri" w:cs="Calibri"/>
          <w:sz w:val="24"/>
          <w:szCs w:val="24"/>
        </w:rPr>
        <w:t>mld</w:t>
      </w:r>
      <w:r w:rsidR="00A374D2" w:rsidRPr="00102AB2">
        <w:rPr>
          <w:rFonts w:ascii="Calibri" w:hAnsi="Calibri" w:cs="Calibri"/>
          <w:sz w:val="24"/>
          <w:szCs w:val="24"/>
        </w:rPr>
        <w:t>.</w:t>
      </w:r>
      <w:r w:rsidR="005D1DD4" w:rsidRPr="00102AB2">
        <w:rPr>
          <w:rFonts w:ascii="Calibri" w:hAnsi="Calibri" w:cs="Calibri"/>
          <w:sz w:val="24"/>
          <w:szCs w:val="24"/>
        </w:rPr>
        <w:t xml:space="preserve"> Kč</w:t>
      </w:r>
      <w:r w:rsidR="00C10FB4" w:rsidRPr="00102AB2">
        <w:rPr>
          <w:rFonts w:ascii="Calibri" w:hAnsi="Calibri" w:cs="Calibri"/>
          <w:sz w:val="24"/>
          <w:szCs w:val="24"/>
        </w:rPr>
        <w:t>. Při porovnání</w:t>
      </w:r>
      <w:r w:rsidR="003B5301" w:rsidRPr="00102AB2">
        <w:rPr>
          <w:rFonts w:ascii="Calibri" w:hAnsi="Calibri" w:cs="Calibri"/>
          <w:sz w:val="24"/>
          <w:szCs w:val="24"/>
        </w:rPr>
        <w:t xml:space="preserve"> se stanovenou hladinou významnosti</w:t>
      </w:r>
      <w:r w:rsidR="00C10FB4" w:rsidRPr="00102AB2">
        <w:rPr>
          <w:rFonts w:ascii="Calibri" w:hAnsi="Calibri" w:cs="Calibri"/>
          <w:sz w:val="24"/>
          <w:szCs w:val="24"/>
        </w:rPr>
        <w:t xml:space="preserve"> jde o nesprávnosti v souhrnu</w:t>
      </w:r>
      <w:r w:rsidR="003B5301" w:rsidRPr="00102AB2">
        <w:rPr>
          <w:rFonts w:ascii="Calibri" w:hAnsi="Calibri" w:cs="Calibri"/>
          <w:sz w:val="24"/>
          <w:szCs w:val="24"/>
        </w:rPr>
        <w:t xml:space="preserve"> významné. </w:t>
      </w:r>
      <w:r w:rsidR="007E6962" w:rsidRPr="00102AB2">
        <w:rPr>
          <w:rFonts w:ascii="Calibri" w:hAnsi="Calibri" w:cs="Calibri"/>
          <w:sz w:val="24"/>
          <w:szCs w:val="24"/>
        </w:rPr>
        <w:t>Z</w:t>
      </w:r>
      <w:r w:rsidR="007405FC" w:rsidRPr="00102AB2">
        <w:rPr>
          <w:rFonts w:ascii="Calibri" w:hAnsi="Calibri" w:cs="Calibri"/>
          <w:sz w:val="24"/>
          <w:szCs w:val="24"/>
        </w:rPr>
        <w:t xml:space="preserve"> </w:t>
      </w:r>
      <w:r w:rsidR="007E6962" w:rsidRPr="00102AB2">
        <w:rPr>
          <w:rFonts w:ascii="Calibri" w:hAnsi="Calibri" w:cs="Calibri"/>
          <w:sz w:val="24"/>
          <w:szCs w:val="24"/>
        </w:rPr>
        <w:t xml:space="preserve">celkové zjištěné nesprávnosti představuje </w:t>
      </w:r>
      <w:r w:rsidR="005F15C4" w:rsidRPr="00102AB2">
        <w:rPr>
          <w:rFonts w:ascii="Calibri" w:hAnsi="Calibri" w:cs="Calibri"/>
          <w:sz w:val="24"/>
          <w:szCs w:val="24"/>
        </w:rPr>
        <w:t xml:space="preserve">90 % </w:t>
      </w:r>
      <w:r w:rsidR="00843691" w:rsidRPr="00102AB2">
        <w:rPr>
          <w:rFonts w:ascii="Calibri" w:hAnsi="Calibri" w:cs="Calibri"/>
          <w:sz w:val="24"/>
          <w:szCs w:val="24"/>
        </w:rPr>
        <w:t>nesprávnost ve výši 6</w:t>
      </w:r>
      <w:r w:rsidR="007405FC" w:rsidRPr="00102AB2">
        <w:rPr>
          <w:rFonts w:ascii="Calibri" w:hAnsi="Calibri" w:cs="Calibri"/>
          <w:sz w:val="24"/>
          <w:szCs w:val="24"/>
        </w:rPr>
        <w:t xml:space="preserve"> </w:t>
      </w:r>
      <w:r w:rsidR="00843691" w:rsidRPr="00102AB2">
        <w:rPr>
          <w:rFonts w:ascii="Calibri" w:hAnsi="Calibri" w:cs="Calibri"/>
          <w:sz w:val="24"/>
          <w:szCs w:val="24"/>
        </w:rPr>
        <w:t>422</w:t>
      </w:r>
      <w:r w:rsidR="007405FC" w:rsidRPr="00102AB2">
        <w:rPr>
          <w:rFonts w:ascii="Calibri" w:hAnsi="Calibri" w:cs="Calibri"/>
          <w:sz w:val="24"/>
          <w:szCs w:val="24"/>
        </w:rPr>
        <w:t xml:space="preserve"> </w:t>
      </w:r>
      <w:r w:rsidR="00843691" w:rsidRPr="00102AB2">
        <w:rPr>
          <w:rFonts w:ascii="Calibri" w:hAnsi="Calibri" w:cs="Calibri"/>
          <w:sz w:val="24"/>
          <w:szCs w:val="24"/>
        </w:rPr>
        <w:t>019</w:t>
      </w:r>
      <w:r w:rsidR="007405FC" w:rsidRPr="00102AB2">
        <w:rPr>
          <w:rFonts w:ascii="Calibri" w:hAnsi="Calibri" w:cs="Calibri"/>
          <w:sz w:val="24"/>
          <w:szCs w:val="24"/>
        </w:rPr>
        <w:t xml:space="preserve"> </w:t>
      </w:r>
      <w:r w:rsidR="00843691" w:rsidRPr="00102AB2">
        <w:rPr>
          <w:rFonts w:ascii="Calibri" w:hAnsi="Calibri" w:cs="Calibri"/>
          <w:sz w:val="24"/>
          <w:szCs w:val="24"/>
        </w:rPr>
        <w:t>456,84 Kč</w:t>
      </w:r>
      <w:r w:rsidR="00C40BD3" w:rsidRPr="00102AB2">
        <w:rPr>
          <w:rFonts w:ascii="Calibri" w:hAnsi="Calibri" w:cs="Calibri"/>
          <w:sz w:val="24"/>
          <w:szCs w:val="24"/>
        </w:rPr>
        <w:t xml:space="preserve"> zjištěná v</w:t>
      </w:r>
      <w:r w:rsidR="007405FC" w:rsidRPr="00102AB2">
        <w:rPr>
          <w:rFonts w:ascii="Calibri" w:hAnsi="Calibri" w:cs="Calibri"/>
          <w:sz w:val="24"/>
          <w:szCs w:val="24"/>
        </w:rPr>
        <w:t xml:space="preserve"> </w:t>
      </w:r>
      <w:r w:rsidR="00C40BD3" w:rsidRPr="00102AB2">
        <w:rPr>
          <w:rFonts w:ascii="Calibri" w:hAnsi="Calibri" w:cs="Calibri"/>
          <w:sz w:val="24"/>
          <w:szCs w:val="24"/>
        </w:rPr>
        <w:t>přehledu o peněžních tocích</w:t>
      </w:r>
      <w:r w:rsidR="00843691" w:rsidRPr="00102AB2">
        <w:rPr>
          <w:rFonts w:ascii="Calibri" w:hAnsi="Calibri" w:cs="Calibri"/>
          <w:sz w:val="24"/>
          <w:szCs w:val="24"/>
        </w:rPr>
        <w:t xml:space="preserve">. </w:t>
      </w:r>
      <w:r w:rsidR="00A95177" w:rsidRPr="00102AB2">
        <w:rPr>
          <w:rFonts w:ascii="Calibri" w:hAnsi="Calibri" w:cs="Calibri"/>
          <w:sz w:val="24"/>
          <w:szCs w:val="24"/>
        </w:rPr>
        <w:t>Možnost vyjádření se ke spolehlivosti</w:t>
      </w:r>
      <w:r w:rsidR="007405FC" w:rsidRPr="00102AB2">
        <w:rPr>
          <w:rFonts w:ascii="Calibri" w:hAnsi="Calibri" w:cs="Calibri"/>
          <w:sz w:val="24"/>
          <w:szCs w:val="24"/>
        </w:rPr>
        <w:t xml:space="preserve"> </w:t>
      </w:r>
      <w:r w:rsidR="00A95177" w:rsidRPr="00102AB2">
        <w:rPr>
          <w:rFonts w:ascii="Calibri" w:hAnsi="Calibri" w:cs="Calibri"/>
          <w:sz w:val="24"/>
          <w:szCs w:val="24"/>
        </w:rPr>
        <w:t>účetní závěrky</w:t>
      </w:r>
      <w:r w:rsidR="00D84AE7" w:rsidRPr="00102AB2">
        <w:rPr>
          <w:rFonts w:ascii="Calibri" w:hAnsi="Calibri" w:cs="Calibri"/>
          <w:sz w:val="24"/>
          <w:szCs w:val="24"/>
        </w:rPr>
        <w:t xml:space="preserve"> jako celku </w:t>
      </w:r>
      <w:r w:rsidR="00A95177" w:rsidRPr="00102AB2">
        <w:rPr>
          <w:rFonts w:ascii="Calibri" w:hAnsi="Calibri" w:cs="Calibri"/>
          <w:sz w:val="24"/>
          <w:szCs w:val="24"/>
        </w:rPr>
        <w:t>byla</w:t>
      </w:r>
      <w:r w:rsidR="00C40BD3" w:rsidRPr="00102AB2">
        <w:rPr>
          <w:rFonts w:ascii="Calibri" w:hAnsi="Calibri" w:cs="Calibri"/>
          <w:sz w:val="24"/>
          <w:szCs w:val="24"/>
        </w:rPr>
        <w:t xml:space="preserve"> ale</w:t>
      </w:r>
      <w:r w:rsidR="00A95177" w:rsidRPr="00102AB2">
        <w:rPr>
          <w:rFonts w:ascii="Calibri" w:hAnsi="Calibri" w:cs="Calibri"/>
          <w:sz w:val="24"/>
          <w:szCs w:val="24"/>
        </w:rPr>
        <w:t xml:space="preserve"> ve významném rozsahu</w:t>
      </w:r>
      <w:r w:rsidR="000625BB" w:rsidRPr="00102AB2">
        <w:rPr>
          <w:rStyle w:val="Znakapoznpodarou"/>
          <w:rFonts w:ascii="Calibri" w:eastAsia="Times New Roman" w:hAnsi="Calibri" w:cs="Calibri"/>
          <w:bCs/>
          <w:iCs/>
          <w:sz w:val="24"/>
          <w:szCs w:val="24"/>
        </w:rPr>
        <w:footnoteReference w:id="79"/>
      </w:r>
      <w:r w:rsidR="00A95177" w:rsidRPr="00102AB2">
        <w:rPr>
          <w:rFonts w:ascii="Calibri" w:hAnsi="Calibri" w:cs="Calibri"/>
          <w:sz w:val="24"/>
          <w:szCs w:val="24"/>
        </w:rPr>
        <w:t xml:space="preserve"> omezena</w:t>
      </w:r>
      <w:r w:rsidR="00A751DB">
        <w:rPr>
          <w:rFonts w:ascii="Calibri" w:hAnsi="Calibri" w:cs="Calibri"/>
          <w:sz w:val="24"/>
          <w:szCs w:val="24"/>
        </w:rPr>
        <w:t>,</w:t>
      </w:r>
      <w:r w:rsidR="00C40BD3" w:rsidRPr="00102AB2">
        <w:rPr>
          <w:rFonts w:ascii="Calibri" w:hAnsi="Calibri" w:cs="Calibri"/>
          <w:sz w:val="24"/>
          <w:szCs w:val="24"/>
        </w:rPr>
        <w:t xml:space="preserve"> a to</w:t>
      </w:r>
      <w:r w:rsidR="00A95177" w:rsidRPr="00102AB2">
        <w:rPr>
          <w:rFonts w:ascii="Calibri" w:hAnsi="Calibri" w:cs="Calibri"/>
          <w:sz w:val="24"/>
          <w:szCs w:val="24"/>
        </w:rPr>
        <w:t xml:space="preserve"> z</w:t>
      </w:r>
      <w:r w:rsidR="007405FC" w:rsidRPr="00102AB2">
        <w:rPr>
          <w:rFonts w:ascii="Calibri" w:hAnsi="Calibri" w:cs="Calibri"/>
          <w:sz w:val="24"/>
          <w:szCs w:val="24"/>
        </w:rPr>
        <w:t xml:space="preserve"> </w:t>
      </w:r>
      <w:r w:rsidR="00A95177" w:rsidRPr="00102AB2">
        <w:rPr>
          <w:rFonts w:ascii="Calibri" w:hAnsi="Calibri" w:cs="Calibri"/>
          <w:sz w:val="24"/>
          <w:szCs w:val="24"/>
        </w:rPr>
        <w:t xml:space="preserve">důvodu nejednoznačností a nejasností při aplikaci ustanovení </w:t>
      </w:r>
      <w:r w:rsidR="0088407C" w:rsidRPr="00102AB2">
        <w:rPr>
          <w:rFonts w:ascii="Calibri" w:hAnsi="Calibri" w:cs="Calibri"/>
          <w:sz w:val="24"/>
          <w:szCs w:val="24"/>
        </w:rPr>
        <w:t xml:space="preserve">právních </w:t>
      </w:r>
      <w:r w:rsidR="00A95177" w:rsidRPr="00102AB2">
        <w:rPr>
          <w:rFonts w:ascii="Calibri" w:hAnsi="Calibri" w:cs="Calibri"/>
          <w:sz w:val="24"/>
          <w:szCs w:val="24"/>
        </w:rPr>
        <w:t xml:space="preserve">předpisů </w:t>
      </w:r>
      <w:r w:rsidR="00DA1C13" w:rsidRPr="00102AB2">
        <w:rPr>
          <w:rFonts w:ascii="Calibri" w:hAnsi="Calibri" w:cs="Calibri"/>
          <w:sz w:val="24"/>
          <w:szCs w:val="24"/>
        </w:rPr>
        <w:t xml:space="preserve">a ČÚS </w:t>
      </w:r>
      <w:r w:rsidR="00A95177" w:rsidRPr="00102AB2">
        <w:rPr>
          <w:rFonts w:ascii="Calibri" w:hAnsi="Calibri" w:cs="Calibri"/>
          <w:sz w:val="24"/>
          <w:szCs w:val="24"/>
        </w:rPr>
        <w:t xml:space="preserve">upravujících vedení účetnictví </w:t>
      </w:r>
      <w:r w:rsidR="009F5378" w:rsidRPr="00102AB2">
        <w:rPr>
          <w:rFonts w:ascii="Calibri" w:hAnsi="Calibri" w:cs="Calibri"/>
          <w:sz w:val="24"/>
          <w:szCs w:val="24"/>
        </w:rPr>
        <w:t>v</w:t>
      </w:r>
      <w:r w:rsidR="007405FC" w:rsidRPr="00102AB2">
        <w:rPr>
          <w:rFonts w:ascii="Calibri" w:hAnsi="Calibri" w:cs="Calibri"/>
          <w:sz w:val="24"/>
          <w:szCs w:val="24"/>
        </w:rPr>
        <w:t xml:space="preserve"> </w:t>
      </w:r>
      <w:r w:rsidR="009F5378" w:rsidRPr="00102AB2">
        <w:rPr>
          <w:rFonts w:ascii="Calibri" w:hAnsi="Calibri" w:cs="Calibri"/>
          <w:sz w:val="24"/>
          <w:szCs w:val="24"/>
        </w:rPr>
        <w:t>roce 2013</w:t>
      </w:r>
      <w:r w:rsidR="00F1317C">
        <w:rPr>
          <w:rFonts w:ascii="Calibri" w:hAnsi="Calibri" w:cs="Calibri"/>
          <w:sz w:val="24"/>
          <w:szCs w:val="24"/>
        </w:rPr>
        <w:t>.</w:t>
      </w:r>
      <w:r w:rsidR="00655F51" w:rsidRPr="00102AB2">
        <w:rPr>
          <w:rStyle w:val="Znakapoznpodarou"/>
          <w:rFonts w:ascii="Calibri" w:eastAsia="Times New Roman" w:hAnsi="Calibri" w:cs="Calibri"/>
          <w:bCs/>
          <w:iCs/>
          <w:sz w:val="24"/>
          <w:szCs w:val="24"/>
        </w:rPr>
        <w:footnoteReference w:id="80"/>
      </w:r>
      <w:r w:rsidR="004218AD" w:rsidRPr="00102AB2">
        <w:rPr>
          <w:rFonts w:ascii="Calibri" w:hAnsi="Calibri" w:cs="Calibri"/>
          <w:sz w:val="24"/>
          <w:szCs w:val="24"/>
        </w:rPr>
        <w:t xml:space="preserve"> </w:t>
      </w:r>
      <w:r w:rsidR="007E6962" w:rsidRPr="00102AB2">
        <w:rPr>
          <w:rFonts w:ascii="Calibri" w:hAnsi="Calibri" w:cs="Calibri"/>
          <w:sz w:val="24"/>
          <w:szCs w:val="24"/>
        </w:rPr>
        <w:t xml:space="preserve">Přitom </w:t>
      </w:r>
      <w:r w:rsidR="001C14F3" w:rsidRPr="00102AB2">
        <w:rPr>
          <w:rFonts w:ascii="Calibri" w:hAnsi="Calibri" w:cs="Calibri"/>
          <w:sz w:val="24"/>
          <w:szCs w:val="24"/>
        </w:rPr>
        <w:lastRenderedPageBreak/>
        <w:t>kvalitní</w:t>
      </w:r>
      <w:r w:rsidR="007E6962" w:rsidRPr="00102AB2">
        <w:rPr>
          <w:rFonts w:ascii="Calibri" w:hAnsi="Calibri" w:cs="Calibri"/>
          <w:sz w:val="24"/>
          <w:szCs w:val="24"/>
        </w:rPr>
        <w:t xml:space="preserve"> předpisy jsou základem pro to, aby byla dobrá účetní praxe</w:t>
      </w:r>
      <w:r w:rsidR="00855BF5" w:rsidRPr="00102AB2">
        <w:rPr>
          <w:rFonts w:ascii="Calibri" w:hAnsi="Calibri" w:cs="Calibri"/>
          <w:sz w:val="24"/>
          <w:szCs w:val="24"/>
        </w:rPr>
        <w:t>,</w:t>
      </w:r>
      <w:r w:rsidR="00A8425D" w:rsidRPr="00102AB2">
        <w:rPr>
          <w:rFonts w:ascii="Calibri" w:hAnsi="Calibri" w:cs="Calibri"/>
          <w:sz w:val="24"/>
          <w:szCs w:val="24"/>
        </w:rPr>
        <w:t xml:space="preserve"> </w:t>
      </w:r>
      <w:r w:rsidR="00855BF5" w:rsidRPr="00102AB2">
        <w:rPr>
          <w:rFonts w:ascii="Calibri" w:hAnsi="Calibri" w:cs="Calibri"/>
          <w:sz w:val="24"/>
          <w:szCs w:val="24"/>
        </w:rPr>
        <w:t>která</w:t>
      </w:r>
      <w:r w:rsidR="00A8425D" w:rsidRPr="00102AB2">
        <w:rPr>
          <w:rFonts w:ascii="Calibri" w:hAnsi="Calibri" w:cs="Calibri"/>
          <w:sz w:val="24"/>
          <w:szCs w:val="24"/>
        </w:rPr>
        <w:t xml:space="preserve"> </w:t>
      </w:r>
      <w:r w:rsidR="00AB7EAA" w:rsidRPr="00102AB2">
        <w:rPr>
          <w:rFonts w:ascii="Calibri" w:hAnsi="Calibri" w:cs="Calibri"/>
          <w:sz w:val="24"/>
          <w:szCs w:val="24"/>
        </w:rPr>
        <w:t>je základem pro transparentnost</w:t>
      </w:r>
      <w:r w:rsidR="00E2667C" w:rsidRPr="00102AB2">
        <w:rPr>
          <w:rStyle w:val="Znakapoznpodarou"/>
          <w:rFonts w:ascii="Calibri" w:eastAsia="Times New Roman" w:hAnsi="Calibri" w:cs="Calibri"/>
          <w:bCs/>
          <w:iCs/>
          <w:sz w:val="24"/>
          <w:szCs w:val="24"/>
        </w:rPr>
        <w:footnoteReference w:id="81"/>
      </w:r>
      <w:r w:rsidR="00AB7EAA" w:rsidRPr="00102AB2">
        <w:rPr>
          <w:rFonts w:ascii="Calibri" w:hAnsi="Calibri" w:cs="Calibri"/>
          <w:sz w:val="24"/>
          <w:szCs w:val="24"/>
        </w:rPr>
        <w:t xml:space="preserve">, </w:t>
      </w:r>
      <w:r w:rsidR="00A751DB">
        <w:rPr>
          <w:rFonts w:ascii="Calibri" w:hAnsi="Calibri" w:cs="Calibri"/>
          <w:sz w:val="24"/>
          <w:szCs w:val="24"/>
        </w:rPr>
        <w:t>což je</w:t>
      </w:r>
      <w:r w:rsidR="00AB7EAA" w:rsidRPr="00102AB2">
        <w:rPr>
          <w:rFonts w:ascii="Calibri" w:hAnsi="Calibri" w:cs="Calibri"/>
          <w:sz w:val="24"/>
          <w:szCs w:val="24"/>
        </w:rPr>
        <w:t xml:space="preserve"> </w:t>
      </w:r>
      <w:r w:rsidR="00A751DB">
        <w:rPr>
          <w:rFonts w:ascii="Calibri" w:hAnsi="Calibri" w:cs="Calibri"/>
          <w:sz w:val="24"/>
          <w:szCs w:val="24"/>
        </w:rPr>
        <w:t>jeden</w:t>
      </w:r>
      <w:r w:rsidR="00AB7EAA" w:rsidRPr="00102AB2">
        <w:rPr>
          <w:rFonts w:ascii="Calibri" w:hAnsi="Calibri" w:cs="Calibri"/>
          <w:sz w:val="24"/>
          <w:szCs w:val="24"/>
        </w:rPr>
        <w:t xml:space="preserve"> z</w:t>
      </w:r>
      <w:r w:rsidR="007405FC" w:rsidRPr="00102AB2">
        <w:rPr>
          <w:rFonts w:ascii="Calibri" w:hAnsi="Calibri" w:cs="Calibri"/>
          <w:sz w:val="24"/>
          <w:szCs w:val="24"/>
        </w:rPr>
        <w:t xml:space="preserve"> </w:t>
      </w:r>
      <w:r w:rsidR="00AB7EAA" w:rsidRPr="00102AB2">
        <w:rPr>
          <w:rFonts w:ascii="Calibri" w:hAnsi="Calibri" w:cs="Calibri"/>
          <w:sz w:val="24"/>
          <w:szCs w:val="24"/>
        </w:rPr>
        <w:t xml:space="preserve">prvků </w:t>
      </w:r>
      <w:r w:rsidR="00F1317C">
        <w:rPr>
          <w:rFonts w:ascii="Calibri" w:hAnsi="Calibri" w:cs="Calibri"/>
          <w:sz w:val="24"/>
          <w:szCs w:val="24"/>
        </w:rPr>
        <w:t>zodpovědného</w:t>
      </w:r>
      <w:r w:rsidR="00AB7EAA" w:rsidRPr="00102AB2">
        <w:rPr>
          <w:rFonts w:ascii="Calibri" w:hAnsi="Calibri" w:cs="Calibri"/>
          <w:sz w:val="24"/>
          <w:szCs w:val="24"/>
        </w:rPr>
        <w:t xml:space="preserve"> hospodaření s</w:t>
      </w:r>
      <w:r w:rsidR="00A751DB">
        <w:rPr>
          <w:rFonts w:ascii="Calibri" w:hAnsi="Calibri" w:cs="Calibri"/>
          <w:sz w:val="24"/>
          <w:szCs w:val="24"/>
        </w:rPr>
        <w:t> </w:t>
      </w:r>
      <w:r w:rsidR="00AB7EAA" w:rsidRPr="00102AB2">
        <w:rPr>
          <w:rFonts w:ascii="Calibri" w:hAnsi="Calibri" w:cs="Calibri"/>
          <w:sz w:val="24"/>
          <w:szCs w:val="24"/>
        </w:rPr>
        <w:t>veřejnými prostředky</w:t>
      </w:r>
      <w:r w:rsidR="00C10FB4" w:rsidRPr="00102AB2">
        <w:rPr>
          <w:rFonts w:ascii="Calibri" w:hAnsi="Calibri" w:cs="Calibri"/>
          <w:sz w:val="24"/>
          <w:szCs w:val="24"/>
        </w:rPr>
        <w:t>.</w:t>
      </w:r>
      <w:r w:rsidR="008A2DEB" w:rsidRPr="00102AB2">
        <w:rPr>
          <w:rFonts w:ascii="Calibri" w:hAnsi="Calibri" w:cs="Calibri"/>
          <w:sz w:val="24"/>
          <w:szCs w:val="24"/>
        </w:rPr>
        <w:t xml:space="preserve"> </w:t>
      </w:r>
    </w:p>
    <w:p w:rsidR="00102AB2" w:rsidRPr="00102AB2" w:rsidRDefault="00102AB2" w:rsidP="00102AB2">
      <w:pPr>
        <w:spacing w:after="0" w:line="240" w:lineRule="auto"/>
        <w:jc w:val="both"/>
        <w:rPr>
          <w:rFonts w:ascii="Calibri" w:hAnsi="Calibri" w:cs="Calibri"/>
          <w:sz w:val="24"/>
          <w:szCs w:val="24"/>
        </w:rPr>
      </w:pPr>
    </w:p>
    <w:p w:rsidR="00A452AA" w:rsidRPr="00102AB2" w:rsidRDefault="00285531" w:rsidP="00102AB2">
      <w:pPr>
        <w:spacing w:after="0" w:line="240" w:lineRule="auto"/>
        <w:jc w:val="both"/>
        <w:rPr>
          <w:rFonts w:ascii="Calibri" w:hAnsi="Calibri" w:cs="Calibri"/>
          <w:b/>
          <w:sz w:val="24"/>
          <w:szCs w:val="24"/>
        </w:rPr>
      </w:pPr>
      <w:r w:rsidRPr="00102AB2">
        <w:rPr>
          <w:rFonts w:ascii="Calibri" w:hAnsi="Calibri" w:cs="Calibri"/>
          <w:b/>
          <w:sz w:val="24"/>
          <w:szCs w:val="24"/>
        </w:rPr>
        <w:t>Možnost vyjádř</w:t>
      </w:r>
      <w:r w:rsidR="00C40BD3" w:rsidRPr="00102AB2">
        <w:rPr>
          <w:rFonts w:ascii="Calibri" w:hAnsi="Calibri" w:cs="Calibri"/>
          <w:b/>
          <w:sz w:val="24"/>
          <w:szCs w:val="24"/>
        </w:rPr>
        <w:t xml:space="preserve">it </w:t>
      </w:r>
      <w:r w:rsidRPr="00102AB2">
        <w:rPr>
          <w:rFonts w:ascii="Calibri" w:hAnsi="Calibri" w:cs="Calibri"/>
          <w:b/>
          <w:sz w:val="24"/>
          <w:szCs w:val="24"/>
        </w:rPr>
        <w:t>se ke spolehlivosti účetní závěrky byla ve významném rozsahu omezena</w:t>
      </w:r>
      <w:r w:rsidR="00A84D83" w:rsidRPr="00102AB2">
        <w:rPr>
          <w:rFonts w:ascii="Calibri" w:hAnsi="Calibri" w:cs="Calibri"/>
          <w:b/>
          <w:sz w:val="24"/>
          <w:szCs w:val="24"/>
        </w:rPr>
        <w:t xml:space="preserve"> </w:t>
      </w:r>
      <w:r w:rsidR="004357FD" w:rsidRPr="00102AB2">
        <w:rPr>
          <w:rFonts w:ascii="Calibri" w:hAnsi="Calibri" w:cs="Calibri"/>
          <w:b/>
          <w:sz w:val="24"/>
          <w:szCs w:val="24"/>
        </w:rPr>
        <w:t>z</w:t>
      </w:r>
      <w:r w:rsidR="00E761C9">
        <w:rPr>
          <w:rFonts w:ascii="Calibri" w:hAnsi="Calibri" w:cs="Calibri"/>
          <w:b/>
          <w:sz w:val="24"/>
          <w:szCs w:val="24"/>
        </w:rPr>
        <w:t> </w:t>
      </w:r>
      <w:r w:rsidR="004357FD" w:rsidRPr="00102AB2">
        <w:rPr>
          <w:rFonts w:ascii="Calibri" w:hAnsi="Calibri" w:cs="Calibri"/>
          <w:b/>
          <w:sz w:val="24"/>
          <w:szCs w:val="24"/>
        </w:rPr>
        <w:t>důvodu nejednoznačností a nejasností</w:t>
      </w:r>
      <w:r w:rsidR="005F1274" w:rsidRPr="00102AB2">
        <w:rPr>
          <w:rFonts w:ascii="Calibri" w:hAnsi="Calibri" w:cs="Calibri"/>
          <w:b/>
          <w:sz w:val="24"/>
          <w:szCs w:val="24"/>
        </w:rPr>
        <w:t xml:space="preserve"> při aplikaci ustanovení</w:t>
      </w:r>
      <w:r w:rsidR="004357FD" w:rsidRPr="00102AB2">
        <w:rPr>
          <w:rFonts w:ascii="Calibri" w:hAnsi="Calibri" w:cs="Calibri"/>
          <w:b/>
          <w:sz w:val="24"/>
          <w:szCs w:val="24"/>
        </w:rPr>
        <w:t xml:space="preserve"> právních předpisů</w:t>
      </w:r>
      <w:r w:rsidR="00376262" w:rsidRPr="00102AB2">
        <w:rPr>
          <w:rFonts w:ascii="Calibri" w:hAnsi="Calibri" w:cs="Calibri"/>
          <w:b/>
          <w:sz w:val="24"/>
          <w:szCs w:val="24"/>
        </w:rPr>
        <w:t>, a proto</w:t>
      </w:r>
      <w:r w:rsidR="004357FD" w:rsidRPr="00102AB2">
        <w:rPr>
          <w:rFonts w:ascii="Calibri" w:hAnsi="Calibri" w:cs="Calibri"/>
          <w:b/>
          <w:sz w:val="24"/>
          <w:szCs w:val="24"/>
        </w:rPr>
        <w:t xml:space="preserve"> </w:t>
      </w:r>
      <w:r w:rsidR="00C40BD3" w:rsidRPr="00102AB2">
        <w:rPr>
          <w:rFonts w:ascii="Calibri" w:hAnsi="Calibri" w:cs="Calibri"/>
          <w:b/>
          <w:sz w:val="24"/>
          <w:szCs w:val="24"/>
        </w:rPr>
        <w:t>se</w:t>
      </w:r>
      <w:r w:rsidR="00A84D83" w:rsidRPr="00102AB2">
        <w:rPr>
          <w:rFonts w:ascii="Calibri" w:hAnsi="Calibri" w:cs="Calibri"/>
          <w:b/>
          <w:sz w:val="24"/>
          <w:szCs w:val="24"/>
        </w:rPr>
        <w:t xml:space="preserve"> NKÚ ke spolehlivosti účetní závěrky MŽP sestavené k</w:t>
      </w:r>
      <w:r w:rsidR="007405FC" w:rsidRPr="00102AB2">
        <w:rPr>
          <w:rFonts w:ascii="Calibri" w:hAnsi="Calibri" w:cs="Calibri"/>
          <w:b/>
          <w:sz w:val="24"/>
          <w:szCs w:val="24"/>
        </w:rPr>
        <w:t xml:space="preserve"> </w:t>
      </w:r>
      <w:r w:rsidR="00A84D83" w:rsidRPr="00102AB2">
        <w:rPr>
          <w:rFonts w:ascii="Calibri" w:hAnsi="Calibri" w:cs="Calibri"/>
          <w:b/>
          <w:sz w:val="24"/>
          <w:szCs w:val="24"/>
        </w:rPr>
        <w:t>31. prosinci 2013 nevyjadřuje.</w:t>
      </w:r>
      <w:r w:rsidRPr="00102AB2">
        <w:rPr>
          <w:rFonts w:ascii="Calibri" w:hAnsi="Calibri" w:cs="Calibri"/>
          <w:b/>
          <w:sz w:val="24"/>
          <w:szCs w:val="24"/>
        </w:rPr>
        <w:t xml:space="preserve"> </w:t>
      </w:r>
      <w:r w:rsidR="004357FD" w:rsidRPr="00102AB2">
        <w:rPr>
          <w:rFonts w:ascii="Calibri" w:hAnsi="Calibri" w:cs="Calibri"/>
          <w:sz w:val="24"/>
          <w:szCs w:val="24"/>
        </w:rPr>
        <w:t>Nejednoznačnosti a nejasnosti</w:t>
      </w:r>
      <w:r w:rsidR="005F1274" w:rsidRPr="00102AB2">
        <w:rPr>
          <w:rFonts w:ascii="Calibri" w:hAnsi="Calibri" w:cs="Calibri"/>
          <w:sz w:val="24"/>
          <w:szCs w:val="24"/>
        </w:rPr>
        <w:t xml:space="preserve"> při aplikaci ustanovení</w:t>
      </w:r>
      <w:r w:rsidR="004357FD" w:rsidRPr="00102AB2">
        <w:rPr>
          <w:rFonts w:ascii="Calibri" w:hAnsi="Calibri" w:cs="Calibri"/>
          <w:sz w:val="24"/>
          <w:szCs w:val="24"/>
        </w:rPr>
        <w:t xml:space="preserve"> </w:t>
      </w:r>
      <w:r w:rsidR="0079590A" w:rsidRPr="00102AB2">
        <w:rPr>
          <w:rFonts w:ascii="Calibri" w:hAnsi="Calibri" w:cs="Calibri"/>
          <w:sz w:val="24"/>
          <w:szCs w:val="24"/>
        </w:rPr>
        <w:t xml:space="preserve">právních předpisů </w:t>
      </w:r>
      <w:r w:rsidR="000E4D9C" w:rsidRPr="00102AB2">
        <w:rPr>
          <w:rFonts w:ascii="Calibri" w:hAnsi="Calibri" w:cs="Calibri"/>
          <w:sz w:val="24"/>
          <w:szCs w:val="24"/>
        </w:rPr>
        <w:t xml:space="preserve">a </w:t>
      </w:r>
      <w:r w:rsidR="0079590A" w:rsidRPr="00102AB2">
        <w:rPr>
          <w:rFonts w:ascii="Calibri" w:hAnsi="Calibri" w:cs="Calibri"/>
          <w:sz w:val="24"/>
          <w:szCs w:val="24"/>
        </w:rPr>
        <w:t>ČÚS nemohou být dány k</w:t>
      </w:r>
      <w:r w:rsidR="007405FC" w:rsidRPr="00102AB2">
        <w:rPr>
          <w:rFonts w:ascii="Calibri" w:hAnsi="Calibri" w:cs="Calibri"/>
          <w:sz w:val="24"/>
          <w:szCs w:val="24"/>
        </w:rPr>
        <w:t xml:space="preserve"> </w:t>
      </w:r>
      <w:r w:rsidR="0079590A" w:rsidRPr="00102AB2">
        <w:rPr>
          <w:rFonts w:ascii="Calibri" w:hAnsi="Calibri" w:cs="Calibri"/>
          <w:sz w:val="24"/>
          <w:szCs w:val="24"/>
        </w:rPr>
        <w:t>tíži MŽP.</w:t>
      </w:r>
      <w:r w:rsidR="0079590A" w:rsidRPr="00102AB2">
        <w:rPr>
          <w:rFonts w:ascii="Calibri" w:hAnsi="Calibri" w:cs="Calibri"/>
          <w:b/>
          <w:sz w:val="24"/>
          <w:szCs w:val="24"/>
        </w:rPr>
        <w:t xml:space="preserve"> </w:t>
      </w:r>
      <w:r w:rsidR="00B40D1F" w:rsidRPr="00102AB2">
        <w:rPr>
          <w:rFonts w:ascii="Calibri" w:hAnsi="Calibri" w:cs="Calibri"/>
          <w:b/>
          <w:sz w:val="24"/>
          <w:szCs w:val="24"/>
        </w:rPr>
        <w:t>Pokud by vyhodnocení správnosti účtování a vyk</w:t>
      </w:r>
      <w:r w:rsidR="00F1317C">
        <w:rPr>
          <w:rFonts w:ascii="Calibri" w:hAnsi="Calibri" w:cs="Calibri"/>
          <w:b/>
          <w:sz w:val="24"/>
          <w:szCs w:val="24"/>
        </w:rPr>
        <w:t>azov</w:t>
      </w:r>
      <w:r w:rsidR="00B40D1F" w:rsidRPr="00102AB2">
        <w:rPr>
          <w:rFonts w:ascii="Calibri" w:hAnsi="Calibri" w:cs="Calibri"/>
          <w:b/>
          <w:sz w:val="24"/>
          <w:szCs w:val="24"/>
        </w:rPr>
        <w:t>ání skutečností nebylo</w:t>
      </w:r>
      <w:r w:rsidR="001C14F3" w:rsidRPr="00102AB2">
        <w:rPr>
          <w:rFonts w:ascii="Calibri" w:hAnsi="Calibri" w:cs="Calibri"/>
          <w:b/>
          <w:sz w:val="24"/>
          <w:szCs w:val="24"/>
        </w:rPr>
        <w:t xml:space="preserve"> takto</w:t>
      </w:r>
      <w:r w:rsidR="00B40D1F" w:rsidRPr="00102AB2">
        <w:rPr>
          <w:rFonts w:ascii="Calibri" w:hAnsi="Calibri" w:cs="Calibri"/>
          <w:b/>
          <w:sz w:val="24"/>
          <w:szCs w:val="24"/>
        </w:rPr>
        <w:t xml:space="preserve"> </w:t>
      </w:r>
      <w:r w:rsidR="008B240B" w:rsidRPr="00102AB2">
        <w:rPr>
          <w:rFonts w:ascii="Calibri" w:hAnsi="Calibri" w:cs="Calibri"/>
          <w:b/>
          <w:sz w:val="24"/>
          <w:szCs w:val="24"/>
        </w:rPr>
        <w:t>limitováno</w:t>
      </w:r>
      <w:r w:rsidR="00B40D1F" w:rsidRPr="00102AB2">
        <w:rPr>
          <w:rFonts w:ascii="Calibri" w:hAnsi="Calibri" w:cs="Calibri"/>
          <w:b/>
          <w:sz w:val="24"/>
          <w:szCs w:val="24"/>
        </w:rPr>
        <w:t xml:space="preserve">, vedlo by vyhodnocení nesprávností </w:t>
      </w:r>
      <w:r w:rsidR="00F1317C" w:rsidRPr="00102AB2">
        <w:rPr>
          <w:rFonts w:ascii="Calibri" w:hAnsi="Calibri" w:cs="Calibri"/>
          <w:b/>
          <w:sz w:val="24"/>
          <w:szCs w:val="24"/>
        </w:rPr>
        <w:t xml:space="preserve">zjištěných </w:t>
      </w:r>
      <w:r w:rsidR="00EE58BB" w:rsidRPr="00102AB2">
        <w:rPr>
          <w:rFonts w:ascii="Calibri" w:hAnsi="Calibri" w:cs="Calibri"/>
          <w:b/>
          <w:sz w:val="24"/>
          <w:szCs w:val="24"/>
        </w:rPr>
        <w:t>v </w:t>
      </w:r>
      <w:r w:rsidR="004816C5" w:rsidRPr="00102AB2">
        <w:rPr>
          <w:rFonts w:ascii="Calibri" w:hAnsi="Calibri" w:cs="Calibri"/>
          <w:b/>
          <w:sz w:val="24"/>
          <w:szCs w:val="24"/>
        </w:rPr>
        <w:t>oblastech nezatížených</w:t>
      </w:r>
      <w:r w:rsidR="00C40BD3" w:rsidRPr="00102AB2">
        <w:rPr>
          <w:rFonts w:ascii="Calibri" w:hAnsi="Calibri" w:cs="Calibri"/>
          <w:b/>
          <w:sz w:val="24"/>
          <w:szCs w:val="24"/>
        </w:rPr>
        <w:t xml:space="preserve"> těmito</w:t>
      </w:r>
      <w:r w:rsidR="004816C5" w:rsidRPr="00102AB2">
        <w:rPr>
          <w:rFonts w:ascii="Calibri" w:hAnsi="Calibri" w:cs="Calibri"/>
          <w:b/>
          <w:sz w:val="24"/>
          <w:szCs w:val="24"/>
        </w:rPr>
        <w:t xml:space="preserve"> nejasnostmi a nejednoznačnostmi </w:t>
      </w:r>
      <w:r w:rsidR="00B40D1F" w:rsidRPr="00102AB2">
        <w:rPr>
          <w:rFonts w:ascii="Calibri" w:hAnsi="Calibri" w:cs="Calibri"/>
          <w:b/>
          <w:sz w:val="24"/>
          <w:szCs w:val="24"/>
        </w:rPr>
        <w:t>k</w:t>
      </w:r>
      <w:r w:rsidR="00D27C61" w:rsidRPr="00102AB2">
        <w:rPr>
          <w:rFonts w:ascii="Calibri" w:hAnsi="Calibri" w:cs="Calibri"/>
          <w:b/>
          <w:sz w:val="24"/>
          <w:szCs w:val="24"/>
        </w:rPr>
        <w:t> </w:t>
      </w:r>
      <w:r w:rsidR="00B40D1F" w:rsidRPr="00102AB2">
        <w:rPr>
          <w:rFonts w:ascii="Calibri" w:hAnsi="Calibri" w:cs="Calibri"/>
          <w:b/>
          <w:sz w:val="24"/>
          <w:szCs w:val="24"/>
        </w:rPr>
        <w:t xml:space="preserve">modifikovanému </w:t>
      </w:r>
      <w:r w:rsidR="00096160" w:rsidRPr="00102AB2">
        <w:rPr>
          <w:rFonts w:ascii="Calibri" w:hAnsi="Calibri" w:cs="Calibri"/>
          <w:b/>
          <w:sz w:val="24"/>
          <w:szCs w:val="24"/>
        </w:rPr>
        <w:t>stanovisku</w:t>
      </w:r>
      <w:r w:rsidR="00B40D1F" w:rsidRPr="00102AB2">
        <w:rPr>
          <w:rFonts w:ascii="Calibri" w:hAnsi="Calibri" w:cs="Calibri"/>
          <w:b/>
          <w:sz w:val="24"/>
          <w:szCs w:val="24"/>
        </w:rPr>
        <w:t>.</w:t>
      </w:r>
      <w:r w:rsidR="00631288" w:rsidRPr="00102AB2">
        <w:rPr>
          <w:rFonts w:ascii="Calibri" w:hAnsi="Calibri" w:cs="Calibri"/>
          <w:b/>
          <w:sz w:val="24"/>
          <w:szCs w:val="24"/>
        </w:rPr>
        <w:t xml:space="preserve"> </w:t>
      </w:r>
    </w:p>
    <w:p w:rsidR="00102AB2" w:rsidRPr="00102AB2" w:rsidRDefault="00102AB2" w:rsidP="00102AB2">
      <w:pPr>
        <w:spacing w:after="0" w:line="240" w:lineRule="auto"/>
        <w:jc w:val="both"/>
        <w:rPr>
          <w:rFonts w:ascii="Calibri" w:hAnsi="Calibri" w:cs="Calibri"/>
          <w:sz w:val="24"/>
          <w:szCs w:val="24"/>
        </w:rPr>
      </w:pPr>
    </w:p>
    <w:p w:rsidR="00E2074F" w:rsidRPr="00102AB2" w:rsidRDefault="00FE3330" w:rsidP="00102AB2">
      <w:pPr>
        <w:spacing w:after="0" w:line="240" w:lineRule="auto"/>
        <w:jc w:val="both"/>
        <w:rPr>
          <w:rFonts w:ascii="Calibri" w:hAnsi="Calibri" w:cs="Calibri"/>
          <w:sz w:val="24"/>
          <w:szCs w:val="24"/>
        </w:rPr>
      </w:pPr>
      <w:r w:rsidRPr="00102AB2">
        <w:rPr>
          <w:rFonts w:ascii="Calibri" w:hAnsi="Calibri" w:cs="Calibri"/>
          <w:b/>
          <w:sz w:val="24"/>
          <w:szCs w:val="24"/>
        </w:rPr>
        <w:t xml:space="preserve">Současně </w:t>
      </w:r>
      <w:r w:rsidR="00E1056C" w:rsidRPr="00102AB2">
        <w:rPr>
          <w:rFonts w:ascii="Calibri" w:hAnsi="Calibri" w:cs="Calibri"/>
          <w:b/>
          <w:sz w:val="24"/>
          <w:szCs w:val="24"/>
        </w:rPr>
        <w:t>NKÚ upozorňuje</w:t>
      </w:r>
      <w:r w:rsidR="00C40BD3" w:rsidRPr="00102AB2">
        <w:rPr>
          <w:rFonts w:ascii="Calibri" w:hAnsi="Calibri" w:cs="Calibri"/>
          <w:b/>
          <w:sz w:val="24"/>
          <w:szCs w:val="24"/>
        </w:rPr>
        <w:t xml:space="preserve"> uživatele účetní závěrky</w:t>
      </w:r>
      <w:r w:rsidR="00FF07BB" w:rsidRPr="00102AB2">
        <w:rPr>
          <w:rFonts w:ascii="Calibri" w:hAnsi="Calibri" w:cs="Calibri"/>
          <w:b/>
          <w:sz w:val="24"/>
          <w:szCs w:val="24"/>
        </w:rPr>
        <w:t xml:space="preserve"> </w:t>
      </w:r>
      <w:r w:rsidR="00E1056C" w:rsidRPr="00102AB2">
        <w:rPr>
          <w:rFonts w:ascii="Calibri" w:hAnsi="Calibri" w:cs="Calibri"/>
          <w:b/>
          <w:sz w:val="24"/>
          <w:szCs w:val="24"/>
        </w:rPr>
        <w:t>na skutečnost,</w:t>
      </w:r>
      <w:r w:rsidRPr="00102AB2">
        <w:rPr>
          <w:rFonts w:ascii="Calibri" w:hAnsi="Calibri" w:cs="Calibri"/>
          <w:sz w:val="24"/>
          <w:szCs w:val="24"/>
        </w:rPr>
        <w:t xml:space="preserve"> že </w:t>
      </w:r>
      <w:r w:rsidR="00C50D84" w:rsidRPr="00102AB2">
        <w:rPr>
          <w:rFonts w:ascii="Calibri" w:hAnsi="Calibri" w:cs="Calibri"/>
          <w:sz w:val="24"/>
          <w:szCs w:val="24"/>
        </w:rPr>
        <w:t>MŽP v ÚZ k</w:t>
      </w:r>
      <w:r w:rsidR="00D27C61" w:rsidRPr="00102AB2">
        <w:rPr>
          <w:rFonts w:ascii="Calibri" w:hAnsi="Calibri" w:cs="Calibri"/>
          <w:sz w:val="24"/>
          <w:szCs w:val="24"/>
        </w:rPr>
        <w:t> </w:t>
      </w:r>
      <w:r w:rsidR="00C50D84" w:rsidRPr="00102AB2">
        <w:rPr>
          <w:rFonts w:ascii="Calibri" w:hAnsi="Calibri" w:cs="Calibri"/>
          <w:sz w:val="24"/>
          <w:szCs w:val="24"/>
        </w:rPr>
        <w:t>31.</w:t>
      </w:r>
      <w:r w:rsidR="00D27C61" w:rsidRPr="00102AB2">
        <w:rPr>
          <w:rFonts w:ascii="Calibri" w:hAnsi="Calibri" w:cs="Calibri"/>
          <w:sz w:val="24"/>
          <w:szCs w:val="24"/>
        </w:rPr>
        <w:t> </w:t>
      </w:r>
      <w:r w:rsidR="00605646" w:rsidRPr="00102AB2">
        <w:rPr>
          <w:rFonts w:ascii="Calibri" w:hAnsi="Calibri" w:cs="Calibri"/>
          <w:sz w:val="24"/>
          <w:szCs w:val="24"/>
        </w:rPr>
        <w:t>prosinci</w:t>
      </w:r>
      <w:r w:rsidR="00C50D84" w:rsidRPr="00102AB2">
        <w:rPr>
          <w:rFonts w:ascii="Calibri" w:hAnsi="Calibri" w:cs="Calibri"/>
          <w:sz w:val="24"/>
          <w:szCs w:val="24"/>
        </w:rPr>
        <w:t xml:space="preserve"> 2013 vykázalo </w:t>
      </w:r>
      <w:r w:rsidR="009352F0" w:rsidRPr="00102AB2">
        <w:rPr>
          <w:rFonts w:ascii="Calibri" w:hAnsi="Calibri" w:cs="Calibri"/>
          <w:sz w:val="24"/>
          <w:szCs w:val="24"/>
        </w:rPr>
        <w:t>jako</w:t>
      </w:r>
      <w:r w:rsidR="004C5FC2" w:rsidRPr="00102AB2">
        <w:rPr>
          <w:rFonts w:ascii="Calibri" w:hAnsi="Calibri" w:cs="Calibri"/>
          <w:sz w:val="24"/>
          <w:szCs w:val="24"/>
        </w:rPr>
        <w:t xml:space="preserve"> dlouhodobý</w:t>
      </w:r>
      <w:r w:rsidR="009352F0" w:rsidRPr="00102AB2">
        <w:rPr>
          <w:rFonts w:ascii="Calibri" w:hAnsi="Calibri" w:cs="Calibri"/>
          <w:sz w:val="24"/>
          <w:szCs w:val="24"/>
        </w:rPr>
        <w:t xml:space="preserve"> nehmotný majetek</w:t>
      </w:r>
      <w:r w:rsidR="009352F0" w:rsidRPr="00102AB2">
        <w:rPr>
          <w:rStyle w:val="Znakapoznpodarou"/>
          <w:rFonts w:ascii="Calibri" w:eastAsia="Times New Roman" w:hAnsi="Calibri" w:cs="Calibri"/>
          <w:bCs/>
          <w:iCs/>
          <w:sz w:val="24"/>
          <w:szCs w:val="24"/>
        </w:rPr>
        <w:footnoteReference w:id="82"/>
      </w:r>
      <w:r w:rsidR="00A8425D" w:rsidRPr="00102AB2">
        <w:rPr>
          <w:rFonts w:ascii="Calibri" w:hAnsi="Calibri" w:cs="Calibri"/>
          <w:sz w:val="24"/>
          <w:szCs w:val="24"/>
        </w:rPr>
        <w:t xml:space="preserve"> </w:t>
      </w:r>
      <w:r w:rsidR="00C50D84" w:rsidRPr="00102AB2">
        <w:rPr>
          <w:rFonts w:ascii="Calibri" w:hAnsi="Calibri" w:cs="Calibri"/>
          <w:sz w:val="24"/>
          <w:szCs w:val="24"/>
        </w:rPr>
        <w:t xml:space="preserve">na účtu </w:t>
      </w:r>
      <w:r w:rsidR="00C50D84" w:rsidRPr="000D4904">
        <w:rPr>
          <w:rFonts w:ascii="Calibri" w:hAnsi="Calibri" w:cs="Calibri"/>
          <w:sz w:val="24"/>
          <w:szCs w:val="24"/>
        </w:rPr>
        <w:t xml:space="preserve">015 </w:t>
      </w:r>
      <w:r w:rsidR="00C50D84" w:rsidRPr="00102AB2">
        <w:rPr>
          <w:rFonts w:ascii="Calibri" w:hAnsi="Calibri" w:cs="Calibri"/>
          <w:i/>
          <w:sz w:val="24"/>
          <w:szCs w:val="24"/>
        </w:rPr>
        <w:t>– Povolenky na emise a preferenční limity</w:t>
      </w:r>
      <w:r w:rsidR="00C50D84" w:rsidRPr="00102AB2">
        <w:rPr>
          <w:rFonts w:ascii="Calibri" w:hAnsi="Calibri" w:cs="Calibri"/>
          <w:sz w:val="24"/>
          <w:szCs w:val="24"/>
        </w:rPr>
        <w:t xml:space="preserve"> částku </w:t>
      </w:r>
      <w:r w:rsidR="001C14F3" w:rsidRPr="00102AB2">
        <w:rPr>
          <w:rFonts w:ascii="Calibri" w:hAnsi="Calibri" w:cs="Calibri"/>
          <w:sz w:val="24"/>
          <w:szCs w:val="24"/>
        </w:rPr>
        <w:t xml:space="preserve">ve výši </w:t>
      </w:r>
      <w:r w:rsidR="00C50D84" w:rsidRPr="00102AB2">
        <w:rPr>
          <w:rFonts w:ascii="Calibri" w:hAnsi="Calibri" w:cs="Calibri"/>
          <w:sz w:val="24"/>
          <w:szCs w:val="24"/>
        </w:rPr>
        <w:t>7 476 363 065,03 Kč</w:t>
      </w:r>
      <w:r w:rsidR="004263B8" w:rsidRPr="00102AB2">
        <w:rPr>
          <w:rStyle w:val="Znakapoznpodarou"/>
          <w:rFonts w:ascii="Calibri" w:eastAsia="Times New Roman" w:hAnsi="Calibri" w:cs="Calibri"/>
          <w:bCs/>
          <w:iCs/>
          <w:sz w:val="24"/>
          <w:szCs w:val="24"/>
        </w:rPr>
        <w:footnoteReference w:id="83"/>
      </w:r>
      <w:r w:rsidR="00A67DBC" w:rsidRPr="00102AB2">
        <w:rPr>
          <w:rFonts w:ascii="Calibri" w:hAnsi="Calibri" w:cs="Calibri"/>
          <w:sz w:val="24"/>
          <w:szCs w:val="24"/>
        </w:rPr>
        <w:t xml:space="preserve"> </w:t>
      </w:r>
      <w:r w:rsidR="00C50D84" w:rsidRPr="00102AB2">
        <w:rPr>
          <w:rFonts w:ascii="Calibri" w:hAnsi="Calibri" w:cs="Calibri"/>
          <w:sz w:val="24"/>
          <w:szCs w:val="24"/>
        </w:rPr>
        <w:t xml:space="preserve">představující hodnotu emisních povolenek </w:t>
      </w:r>
      <w:r w:rsidR="001C14F3" w:rsidRPr="00102AB2">
        <w:rPr>
          <w:rFonts w:ascii="Calibri" w:hAnsi="Calibri" w:cs="Calibri"/>
          <w:sz w:val="24"/>
          <w:szCs w:val="24"/>
        </w:rPr>
        <w:t>(v ocenění reálnou hodnotou)</w:t>
      </w:r>
      <w:r w:rsidR="00265BC9" w:rsidRPr="00102AB2">
        <w:rPr>
          <w:rFonts w:ascii="Calibri" w:hAnsi="Calibri" w:cs="Calibri"/>
          <w:sz w:val="24"/>
          <w:szCs w:val="24"/>
        </w:rPr>
        <w:t xml:space="preserve"> </w:t>
      </w:r>
      <w:r w:rsidR="00C50D84" w:rsidRPr="00102AB2">
        <w:rPr>
          <w:rFonts w:ascii="Calibri" w:hAnsi="Calibri" w:cs="Calibri"/>
          <w:sz w:val="24"/>
          <w:szCs w:val="24"/>
        </w:rPr>
        <w:t xml:space="preserve">zahrnutých v majetku MŽP k 31. </w:t>
      </w:r>
      <w:r w:rsidR="00605646" w:rsidRPr="00102AB2">
        <w:rPr>
          <w:rFonts w:ascii="Calibri" w:hAnsi="Calibri" w:cs="Calibri"/>
          <w:sz w:val="24"/>
          <w:szCs w:val="24"/>
        </w:rPr>
        <w:t>prosinci</w:t>
      </w:r>
      <w:r w:rsidR="00C50D84" w:rsidRPr="00102AB2">
        <w:rPr>
          <w:rFonts w:ascii="Calibri" w:hAnsi="Calibri" w:cs="Calibri"/>
          <w:sz w:val="24"/>
          <w:szCs w:val="24"/>
        </w:rPr>
        <w:t xml:space="preserve"> 2013 a</w:t>
      </w:r>
      <w:r w:rsidR="00D27C61" w:rsidRPr="00102AB2">
        <w:rPr>
          <w:rFonts w:ascii="Calibri" w:hAnsi="Calibri" w:cs="Calibri"/>
          <w:sz w:val="24"/>
          <w:szCs w:val="24"/>
        </w:rPr>
        <w:t> </w:t>
      </w:r>
      <w:r w:rsidR="00C50D84" w:rsidRPr="00102AB2">
        <w:rPr>
          <w:rFonts w:ascii="Calibri" w:hAnsi="Calibri" w:cs="Calibri"/>
          <w:sz w:val="24"/>
          <w:szCs w:val="24"/>
        </w:rPr>
        <w:t xml:space="preserve">dále na účtu </w:t>
      </w:r>
      <w:r w:rsidR="00C50D84" w:rsidRPr="000D4904">
        <w:rPr>
          <w:rFonts w:ascii="Calibri" w:hAnsi="Calibri" w:cs="Calibri"/>
          <w:sz w:val="24"/>
          <w:szCs w:val="24"/>
        </w:rPr>
        <w:t>401</w:t>
      </w:r>
      <w:r w:rsidR="00C50D84" w:rsidRPr="00102AB2">
        <w:rPr>
          <w:rFonts w:ascii="Calibri" w:hAnsi="Calibri" w:cs="Calibri"/>
          <w:i/>
          <w:sz w:val="24"/>
          <w:szCs w:val="24"/>
        </w:rPr>
        <w:t xml:space="preserve"> – Jmění účetní jednotky</w:t>
      </w:r>
      <w:r w:rsidR="00C50D84" w:rsidRPr="00102AB2">
        <w:rPr>
          <w:rFonts w:ascii="Calibri" w:hAnsi="Calibri" w:cs="Calibri"/>
          <w:sz w:val="24"/>
          <w:szCs w:val="24"/>
        </w:rPr>
        <w:t xml:space="preserve"> částku 9 872 757 279,04 Kč z titulu zařazení </w:t>
      </w:r>
      <w:r w:rsidR="007B7B22" w:rsidRPr="00102AB2">
        <w:rPr>
          <w:rFonts w:ascii="Calibri" w:hAnsi="Calibri" w:cs="Calibri"/>
          <w:sz w:val="24"/>
          <w:szCs w:val="24"/>
        </w:rPr>
        <w:t>povolenek na emise</w:t>
      </w:r>
      <w:r w:rsidR="00C50D84" w:rsidRPr="00102AB2">
        <w:rPr>
          <w:rFonts w:ascii="Calibri" w:hAnsi="Calibri" w:cs="Calibri"/>
          <w:sz w:val="24"/>
          <w:szCs w:val="24"/>
        </w:rPr>
        <w:t xml:space="preserve"> do majetku MŽP v roce 2013</w:t>
      </w:r>
      <w:r w:rsidR="00A67DBC" w:rsidRPr="00102AB2">
        <w:rPr>
          <w:rFonts w:ascii="Calibri" w:hAnsi="Calibri" w:cs="Calibri"/>
          <w:sz w:val="24"/>
          <w:szCs w:val="24"/>
        </w:rPr>
        <w:t xml:space="preserve"> (v</w:t>
      </w:r>
      <w:r w:rsidR="00E1056C" w:rsidRPr="00102AB2">
        <w:rPr>
          <w:rFonts w:ascii="Calibri" w:hAnsi="Calibri" w:cs="Calibri"/>
          <w:sz w:val="24"/>
          <w:szCs w:val="24"/>
        </w:rPr>
        <w:t xml:space="preserve"> ocenění</w:t>
      </w:r>
      <w:r w:rsidR="007405FC" w:rsidRPr="00102AB2">
        <w:rPr>
          <w:rFonts w:ascii="Calibri" w:hAnsi="Calibri" w:cs="Calibri"/>
          <w:sz w:val="24"/>
          <w:szCs w:val="24"/>
        </w:rPr>
        <w:t xml:space="preserve"> </w:t>
      </w:r>
      <w:r w:rsidR="00A67DBC" w:rsidRPr="00102AB2">
        <w:rPr>
          <w:rFonts w:ascii="Calibri" w:hAnsi="Calibri" w:cs="Calibri"/>
          <w:sz w:val="24"/>
          <w:szCs w:val="24"/>
        </w:rPr>
        <w:t>reprodukční pořizovací cen</w:t>
      </w:r>
      <w:r w:rsidR="00E1056C" w:rsidRPr="00102AB2">
        <w:rPr>
          <w:rFonts w:ascii="Calibri" w:hAnsi="Calibri" w:cs="Calibri"/>
          <w:sz w:val="24"/>
          <w:szCs w:val="24"/>
        </w:rPr>
        <w:t>ou</w:t>
      </w:r>
      <w:r w:rsidR="00A67DBC" w:rsidRPr="00102AB2">
        <w:rPr>
          <w:rFonts w:ascii="Calibri" w:hAnsi="Calibri" w:cs="Calibri"/>
          <w:sz w:val="24"/>
          <w:szCs w:val="24"/>
        </w:rPr>
        <w:t xml:space="preserve"> k datu zařazení do majetku)</w:t>
      </w:r>
      <w:r w:rsidR="00C50D84" w:rsidRPr="00102AB2">
        <w:rPr>
          <w:rFonts w:ascii="Calibri" w:hAnsi="Calibri" w:cs="Calibri"/>
          <w:sz w:val="24"/>
          <w:szCs w:val="24"/>
        </w:rPr>
        <w:t>.</w:t>
      </w:r>
      <w:r w:rsidR="00A67DBC" w:rsidRPr="00102AB2">
        <w:rPr>
          <w:rFonts w:ascii="Calibri" w:hAnsi="Calibri" w:cs="Calibri"/>
          <w:sz w:val="24"/>
          <w:szCs w:val="24"/>
        </w:rPr>
        <w:t xml:space="preserve"> </w:t>
      </w:r>
      <w:r w:rsidR="009830D2" w:rsidRPr="00102AB2">
        <w:rPr>
          <w:rFonts w:ascii="Calibri" w:hAnsi="Calibri" w:cs="Calibri"/>
          <w:sz w:val="24"/>
          <w:szCs w:val="24"/>
        </w:rPr>
        <w:t xml:space="preserve">Existence povolenek na emise vykázaných k datu účetní závěrky nebyla při inventarizaci prokázána výpisem z účtu v registru </w:t>
      </w:r>
      <w:r w:rsidR="00F1317C">
        <w:rPr>
          <w:rFonts w:ascii="Calibri" w:hAnsi="Calibri" w:cs="Calibri"/>
          <w:sz w:val="24"/>
          <w:szCs w:val="24"/>
        </w:rPr>
        <w:t>E</w:t>
      </w:r>
      <w:r w:rsidR="009830D2" w:rsidRPr="00102AB2">
        <w:rPr>
          <w:rFonts w:ascii="Calibri" w:hAnsi="Calibri" w:cs="Calibri"/>
          <w:sz w:val="24"/>
          <w:szCs w:val="24"/>
        </w:rPr>
        <w:t>U s odůvodněním, že</w:t>
      </w:r>
      <w:r w:rsidR="004E5AD8" w:rsidRPr="00102AB2">
        <w:rPr>
          <w:rFonts w:ascii="Calibri" w:hAnsi="Calibri" w:cs="Calibri"/>
          <w:sz w:val="24"/>
          <w:szCs w:val="24"/>
        </w:rPr>
        <w:t xml:space="preserve"> MŽP nemá</w:t>
      </w:r>
      <w:r w:rsidR="00332C31" w:rsidRPr="00102AB2">
        <w:rPr>
          <w:rFonts w:ascii="Calibri" w:hAnsi="Calibri" w:cs="Calibri"/>
          <w:sz w:val="24"/>
          <w:szCs w:val="24"/>
        </w:rPr>
        <w:t xml:space="preserve"> přístup</w:t>
      </w:r>
      <w:r w:rsidR="004E5AD8" w:rsidRPr="00102AB2">
        <w:rPr>
          <w:rFonts w:ascii="Calibri" w:hAnsi="Calibri" w:cs="Calibri"/>
          <w:sz w:val="24"/>
          <w:szCs w:val="24"/>
        </w:rPr>
        <w:t xml:space="preserve"> do registru </w:t>
      </w:r>
      <w:r w:rsidR="00A751DB">
        <w:rPr>
          <w:rFonts w:ascii="Calibri" w:hAnsi="Calibri" w:cs="Calibri"/>
          <w:sz w:val="24"/>
          <w:szCs w:val="24"/>
        </w:rPr>
        <w:t>E</w:t>
      </w:r>
      <w:r w:rsidR="004E5AD8" w:rsidRPr="00102AB2">
        <w:rPr>
          <w:rFonts w:ascii="Calibri" w:hAnsi="Calibri" w:cs="Calibri"/>
          <w:sz w:val="24"/>
          <w:szCs w:val="24"/>
        </w:rPr>
        <w:t>U na účty, na kterých se povolenky generují</w:t>
      </w:r>
      <w:r w:rsidR="009830D2" w:rsidRPr="00102AB2">
        <w:rPr>
          <w:rFonts w:ascii="Calibri" w:hAnsi="Calibri" w:cs="Calibri"/>
          <w:sz w:val="24"/>
          <w:szCs w:val="24"/>
        </w:rPr>
        <w:t xml:space="preserve">. Vykázané množství </w:t>
      </w:r>
      <w:r w:rsidR="004E5AD8" w:rsidRPr="00102AB2">
        <w:rPr>
          <w:rFonts w:ascii="Calibri" w:hAnsi="Calibri" w:cs="Calibri"/>
          <w:sz w:val="24"/>
          <w:szCs w:val="24"/>
        </w:rPr>
        <w:t>je tak</w:t>
      </w:r>
      <w:r w:rsidR="009830D2" w:rsidRPr="00102AB2">
        <w:rPr>
          <w:rFonts w:ascii="Calibri" w:hAnsi="Calibri" w:cs="Calibri"/>
          <w:sz w:val="24"/>
          <w:szCs w:val="24"/>
        </w:rPr>
        <w:t xml:space="preserve"> jejich odhadem</w:t>
      </w:r>
      <w:r w:rsidR="004E5AD8" w:rsidRPr="00102AB2">
        <w:rPr>
          <w:rFonts w:ascii="Calibri" w:hAnsi="Calibri" w:cs="Calibri"/>
          <w:sz w:val="24"/>
          <w:szCs w:val="24"/>
        </w:rPr>
        <w:t>.</w:t>
      </w:r>
      <w:r w:rsidR="00E2074F" w:rsidRPr="00102AB2">
        <w:rPr>
          <w:rFonts w:ascii="Calibri" w:hAnsi="Calibri" w:cs="Calibri"/>
          <w:sz w:val="24"/>
          <w:szCs w:val="24"/>
        </w:rPr>
        <w:t xml:space="preserve"> </w:t>
      </w:r>
    </w:p>
    <w:p w:rsidR="00102AB2" w:rsidRDefault="00102AB2" w:rsidP="00102AB2">
      <w:pPr>
        <w:spacing w:after="0" w:line="240" w:lineRule="auto"/>
        <w:jc w:val="both"/>
        <w:rPr>
          <w:rFonts w:ascii="Calibri" w:hAnsi="Calibri" w:cs="Calibri"/>
          <w:sz w:val="24"/>
          <w:szCs w:val="24"/>
        </w:rPr>
      </w:pPr>
    </w:p>
    <w:p w:rsidR="00A67DBC" w:rsidRDefault="000B37DF" w:rsidP="00102AB2">
      <w:pPr>
        <w:spacing w:after="0" w:line="240" w:lineRule="auto"/>
        <w:jc w:val="both"/>
        <w:rPr>
          <w:rFonts w:ascii="Calibri" w:hAnsi="Calibri" w:cs="Calibri"/>
          <w:sz w:val="24"/>
          <w:szCs w:val="24"/>
        </w:rPr>
      </w:pPr>
      <w:r w:rsidRPr="00102AB2">
        <w:rPr>
          <w:rFonts w:ascii="Calibri" w:hAnsi="Calibri" w:cs="Calibri"/>
          <w:sz w:val="24"/>
          <w:szCs w:val="24"/>
        </w:rPr>
        <w:t>Právní předpisy platné pro účtování a vykazování dlouhodobého majetku</w:t>
      </w:r>
      <w:r w:rsidR="00E2074F" w:rsidRPr="00102AB2">
        <w:rPr>
          <w:rFonts w:ascii="Calibri" w:hAnsi="Calibri" w:cs="Calibri"/>
          <w:sz w:val="24"/>
          <w:szCs w:val="24"/>
        </w:rPr>
        <w:t xml:space="preserve"> ale</w:t>
      </w:r>
      <w:r w:rsidRPr="00102AB2">
        <w:rPr>
          <w:rFonts w:ascii="Calibri" w:hAnsi="Calibri" w:cs="Calibri"/>
          <w:sz w:val="24"/>
          <w:szCs w:val="24"/>
        </w:rPr>
        <w:t xml:space="preserve"> požadují</w:t>
      </w:r>
      <w:r w:rsidR="008272BC" w:rsidRPr="00102AB2">
        <w:rPr>
          <w:rFonts w:ascii="Calibri" w:hAnsi="Calibri" w:cs="Calibri"/>
          <w:sz w:val="24"/>
          <w:szCs w:val="24"/>
        </w:rPr>
        <w:t xml:space="preserve"> jeho</w:t>
      </w:r>
      <w:r w:rsidRPr="00102AB2">
        <w:rPr>
          <w:rFonts w:ascii="Calibri" w:hAnsi="Calibri" w:cs="Calibri"/>
          <w:sz w:val="24"/>
          <w:szCs w:val="24"/>
        </w:rPr>
        <w:t xml:space="preserve"> přesné zachycení z</w:t>
      </w:r>
      <w:r w:rsidR="004E5AD8" w:rsidRPr="00102AB2">
        <w:rPr>
          <w:rFonts w:ascii="Calibri" w:hAnsi="Calibri" w:cs="Calibri"/>
          <w:sz w:val="24"/>
          <w:szCs w:val="24"/>
        </w:rPr>
        <w:t> </w:t>
      </w:r>
      <w:r w:rsidRPr="00102AB2">
        <w:rPr>
          <w:rFonts w:ascii="Calibri" w:hAnsi="Calibri" w:cs="Calibri"/>
          <w:sz w:val="24"/>
          <w:szCs w:val="24"/>
        </w:rPr>
        <w:t>hlediska</w:t>
      </w:r>
      <w:r w:rsidR="004E5AD8" w:rsidRPr="00102AB2">
        <w:rPr>
          <w:rFonts w:ascii="Calibri" w:hAnsi="Calibri" w:cs="Calibri"/>
          <w:sz w:val="24"/>
          <w:szCs w:val="24"/>
        </w:rPr>
        <w:t xml:space="preserve"> </w:t>
      </w:r>
      <w:r w:rsidRPr="00102AB2">
        <w:rPr>
          <w:rFonts w:ascii="Calibri" w:hAnsi="Calibri" w:cs="Calibri"/>
          <w:sz w:val="24"/>
          <w:szCs w:val="24"/>
        </w:rPr>
        <w:t>množství. U této</w:t>
      </w:r>
      <w:r w:rsidR="00CF740C" w:rsidRPr="00102AB2">
        <w:rPr>
          <w:rFonts w:ascii="Calibri" w:hAnsi="Calibri" w:cs="Calibri"/>
          <w:sz w:val="24"/>
          <w:szCs w:val="24"/>
        </w:rPr>
        <w:t xml:space="preserve"> specifické</w:t>
      </w:r>
      <w:r w:rsidRPr="00102AB2">
        <w:rPr>
          <w:rFonts w:ascii="Calibri" w:hAnsi="Calibri" w:cs="Calibri"/>
          <w:sz w:val="24"/>
          <w:szCs w:val="24"/>
        </w:rPr>
        <w:t xml:space="preserve"> majetkové složky </w:t>
      </w:r>
      <w:r w:rsidR="00F0164C" w:rsidRPr="00102AB2">
        <w:rPr>
          <w:rFonts w:ascii="Calibri" w:hAnsi="Calibri" w:cs="Calibri"/>
          <w:sz w:val="24"/>
          <w:szCs w:val="24"/>
        </w:rPr>
        <w:t>upozorňuje</w:t>
      </w:r>
      <w:r w:rsidR="000E47E4" w:rsidRPr="00102AB2">
        <w:rPr>
          <w:rFonts w:ascii="Calibri" w:hAnsi="Calibri" w:cs="Calibri"/>
          <w:sz w:val="24"/>
          <w:szCs w:val="24"/>
        </w:rPr>
        <w:t xml:space="preserve"> NKÚ</w:t>
      </w:r>
      <w:r w:rsidR="00F0164C" w:rsidRPr="00102AB2">
        <w:rPr>
          <w:rFonts w:ascii="Calibri" w:hAnsi="Calibri" w:cs="Calibri"/>
          <w:sz w:val="24"/>
          <w:szCs w:val="24"/>
        </w:rPr>
        <w:t xml:space="preserve"> na skutečnost, že o</w:t>
      </w:r>
      <w:r w:rsidR="00C50D84" w:rsidRPr="00102AB2">
        <w:rPr>
          <w:rFonts w:ascii="Calibri" w:hAnsi="Calibri" w:cs="Calibri"/>
          <w:sz w:val="24"/>
          <w:szCs w:val="24"/>
        </w:rPr>
        <w:t xml:space="preserve">kamžik vzniku </w:t>
      </w:r>
      <w:r w:rsidR="00EE6038" w:rsidRPr="00102AB2">
        <w:rPr>
          <w:rFonts w:ascii="Calibri" w:hAnsi="Calibri" w:cs="Calibri"/>
          <w:sz w:val="24"/>
          <w:szCs w:val="24"/>
        </w:rPr>
        <w:t>účetního případu</w:t>
      </w:r>
      <w:r w:rsidR="00C50D84" w:rsidRPr="00102AB2">
        <w:rPr>
          <w:rFonts w:ascii="Calibri" w:hAnsi="Calibri" w:cs="Calibri"/>
          <w:sz w:val="24"/>
          <w:szCs w:val="24"/>
        </w:rPr>
        <w:t xml:space="preserve"> nelze ze stávající právní úpravy ČR a</w:t>
      </w:r>
      <w:r w:rsidR="003A6107">
        <w:rPr>
          <w:rFonts w:ascii="Calibri" w:hAnsi="Calibri" w:cs="Calibri"/>
          <w:sz w:val="24"/>
          <w:szCs w:val="24"/>
        </w:rPr>
        <w:t>ni z</w:t>
      </w:r>
      <w:r w:rsidR="00D27C61" w:rsidRPr="00102AB2">
        <w:rPr>
          <w:rFonts w:ascii="Calibri" w:hAnsi="Calibri" w:cs="Calibri"/>
          <w:sz w:val="24"/>
          <w:szCs w:val="24"/>
        </w:rPr>
        <w:t> </w:t>
      </w:r>
      <w:r w:rsidR="00F0164C" w:rsidRPr="00102AB2">
        <w:rPr>
          <w:rFonts w:ascii="Calibri" w:hAnsi="Calibri" w:cs="Calibri"/>
          <w:sz w:val="24"/>
          <w:szCs w:val="24"/>
        </w:rPr>
        <w:t>právních předpisů Evropské unie</w:t>
      </w:r>
      <w:r w:rsidRPr="00102AB2">
        <w:rPr>
          <w:rFonts w:ascii="Calibri" w:hAnsi="Calibri" w:cs="Calibri"/>
          <w:sz w:val="24"/>
          <w:szCs w:val="24"/>
        </w:rPr>
        <w:t xml:space="preserve"> </w:t>
      </w:r>
      <w:r w:rsidR="00C50D84" w:rsidRPr="00102AB2">
        <w:rPr>
          <w:rFonts w:ascii="Calibri" w:hAnsi="Calibri" w:cs="Calibri"/>
          <w:sz w:val="24"/>
          <w:szCs w:val="24"/>
        </w:rPr>
        <w:t xml:space="preserve">jednoznačně určit. </w:t>
      </w:r>
      <w:r w:rsidRPr="00102AB2">
        <w:rPr>
          <w:rFonts w:ascii="Calibri" w:hAnsi="Calibri" w:cs="Calibri"/>
          <w:sz w:val="24"/>
          <w:szCs w:val="24"/>
        </w:rPr>
        <w:t>Současně nelze jednoznačně stanovit m</w:t>
      </w:r>
      <w:r w:rsidR="00C50D84" w:rsidRPr="00102AB2">
        <w:rPr>
          <w:rFonts w:ascii="Calibri" w:hAnsi="Calibri" w:cs="Calibri"/>
          <w:sz w:val="24"/>
          <w:szCs w:val="24"/>
        </w:rPr>
        <w:t>nožství povolenek</w:t>
      </w:r>
      <w:r w:rsidR="00211587" w:rsidRPr="00102AB2">
        <w:rPr>
          <w:rFonts w:ascii="Calibri" w:hAnsi="Calibri" w:cs="Calibri"/>
          <w:sz w:val="24"/>
          <w:szCs w:val="24"/>
        </w:rPr>
        <w:t xml:space="preserve"> </w:t>
      </w:r>
      <w:r w:rsidR="00C50D84" w:rsidRPr="00102AB2">
        <w:rPr>
          <w:rFonts w:ascii="Calibri" w:hAnsi="Calibri" w:cs="Calibri"/>
          <w:sz w:val="24"/>
          <w:szCs w:val="24"/>
        </w:rPr>
        <w:t>připadajících ČR k určitému okamžiku (k datu účetní závěrky)</w:t>
      </w:r>
      <w:r w:rsidR="00B72B9D">
        <w:rPr>
          <w:rFonts w:ascii="Calibri" w:hAnsi="Calibri" w:cs="Calibri"/>
          <w:sz w:val="24"/>
          <w:szCs w:val="24"/>
        </w:rPr>
        <w:t>,</w:t>
      </w:r>
      <w:r w:rsidRPr="00102AB2">
        <w:rPr>
          <w:rFonts w:ascii="Calibri" w:hAnsi="Calibri" w:cs="Calibri"/>
          <w:sz w:val="24"/>
          <w:szCs w:val="24"/>
        </w:rPr>
        <w:t xml:space="preserve"> a</w:t>
      </w:r>
      <w:r w:rsidR="00D27C61" w:rsidRPr="00102AB2">
        <w:rPr>
          <w:rFonts w:ascii="Calibri" w:hAnsi="Calibri" w:cs="Calibri"/>
          <w:sz w:val="24"/>
          <w:szCs w:val="24"/>
        </w:rPr>
        <w:t> </w:t>
      </w:r>
      <w:r w:rsidRPr="00102AB2">
        <w:rPr>
          <w:rFonts w:ascii="Calibri" w:hAnsi="Calibri" w:cs="Calibri"/>
          <w:sz w:val="24"/>
          <w:szCs w:val="24"/>
        </w:rPr>
        <w:t xml:space="preserve">to </w:t>
      </w:r>
      <w:r w:rsidR="00E761C9">
        <w:rPr>
          <w:rFonts w:ascii="Calibri" w:hAnsi="Calibri" w:cs="Calibri"/>
          <w:sz w:val="24"/>
          <w:szCs w:val="24"/>
        </w:rPr>
        <w:t>s </w:t>
      </w:r>
      <w:r w:rsidR="00C50D84" w:rsidRPr="00102AB2">
        <w:rPr>
          <w:rFonts w:ascii="Calibri" w:hAnsi="Calibri" w:cs="Calibri"/>
          <w:sz w:val="24"/>
          <w:szCs w:val="24"/>
        </w:rPr>
        <w:t xml:space="preserve">ohledem na průběžně se měnící množství </w:t>
      </w:r>
      <w:r w:rsidR="00E2074F" w:rsidRPr="00102AB2">
        <w:rPr>
          <w:rFonts w:ascii="Calibri" w:hAnsi="Calibri" w:cs="Calibri"/>
          <w:sz w:val="24"/>
          <w:szCs w:val="24"/>
        </w:rPr>
        <w:t xml:space="preserve">bezplatných </w:t>
      </w:r>
      <w:r w:rsidR="00C50D84" w:rsidRPr="00102AB2">
        <w:rPr>
          <w:rFonts w:ascii="Calibri" w:hAnsi="Calibri" w:cs="Calibri"/>
          <w:sz w:val="24"/>
          <w:szCs w:val="24"/>
        </w:rPr>
        <w:t xml:space="preserve">povolenek </w:t>
      </w:r>
      <w:r w:rsidR="00A673C4" w:rsidRPr="00102AB2">
        <w:rPr>
          <w:rFonts w:ascii="Calibri" w:hAnsi="Calibri" w:cs="Calibri"/>
          <w:sz w:val="24"/>
          <w:szCs w:val="24"/>
        </w:rPr>
        <w:t>(</w:t>
      </w:r>
      <w:r w:rsidR="00C50D84" w:rsidRPr="00102AB2">
        <w:rPr>
          <w:rFonts w:ascii="Calibri" w:hAnsi="Calibri" w:cs="Calibri"/>
          <w:sz w:val="24"/>
          <w:szCs w:val="24"/>
        </w:rPr>
        <w:t>způsobené</w:t>
      </w:r>
      <w:r w:rsidR="00AB3280" w:rsidRPr="00102AB2">
        <w:rPr>
          <w:rFonts w:ascii="Calibri" w:hAnsi="Calibri" w:cs="Calibri"/>
          <w:sz w:val="24"/>
          <w:szCs w:val="24"/>
        </w:rPr>
        <w:t xml:space="preserve"> např.</w:t>
      </w:r>
      <w:r w:rsidR="00C50D84" w:rsidRPr="00102AB2">
        <w:rPr>
          <w:rFonts w:ascii="Calibri" w:hAnsi="Calibri" w:cs="Calibri"/>
          <w:sz w:val="24"/>
          <w:szCs w:val="24"/>
        </w:rPr>
        <w:t xml:space="preserve"> změnami v rozsahu provozu jednotlivých zařízení</w:t>
      </w:r>
      <w:r w:rsidR="008A4CB2" w:rsidRPr="00102AB2">
        <w:rPr>
          <w:rFonts w:ascii="Calibri" w:hAnsi="Calibri" w:cs="Calibri"/>
          <w:sz w:val="24"/>
          <w:szCs w:val="24"/>
        </w:rPr>
        <w:t>)</w:t>
      </w:r>
      <w:r w:rsidR="00B72B9D">
        <w:rPr>
          <w:rFonts w:ascii="Calibri" w:hAnsi="Calibri" w:cs="Calibri"/>
          <w:sz w:val="24"/>
          <w:szCs w:val="24"/>
        </w:rPr>
        <w:t>,</w:t>
      </w:r>
      <w:r w:rsidR="008A4CB2" w:rsidRPr="00102AB2">
        <w:rPr>
          <w:rFonts w:ascii="Calibri" w:hAnsi="Calibri" w:cs="Calibri"/>
          <w:sz w:val="24"/>
          <w:szCs w:val="24"/>
        </w:rPr>
        <w:t xml:space="preserve"> </w:t>
      </w:r>
      <w:r w:rsidR="00A673C4" w:rsidRPr="00102AB2">
        <w:rPr>
          <w:rFonts w:ascii="Calibri" w:hAnsi="Calibri" w:cs="Calibri"/>
          <w:sz w:val="24"/>
          <w:szCs w:val="24"/>
        </w:rPr>
        <w:t>a v</w:t>
      </w:r>
      <w:r w:rsidR="007405FC" w:rsidRPr="00102AB2">
        <w:rPr>
          <w:rFonts w:ascii="Calibri" w:hAnsi="Calibri" w:cs="Calibri"/>
          <w:sz w:val="24"/>
          <w:szCs w:val="24"/>
        </w:rPr>
        <w:t xml:space="preserve"> </w:t>
      </w:r>
      <w:r w:rsidR="00A673C4" w:rsidRPr="00102AB2">
        <w:rPr>
          <w:rFonts w:ascii="Calibri" w:hAnsi="Calibri" w:cs="Calibri"/>
          <w:sz w:val="24"/>
          <w:szCs w:val="24"/>
        </w:rPr>
        <w:t>důsledku toho</w:t>
      </w:r>
      <w:r w:rsidR="008272BC" w:rsidRPr="00102AB2">
        <w:rPr>
          <w:rFonts w:ascii="Calibri" w:hAnsi="Calibri" w:cs="Calibri"/>
          <w:sz w:val="24"/>
          <w:szCs w:val="24"/>
        </w:rPr>
        <w:t xml:space="preserve"> </w:t>
      </w:r>
      <w:r w:rsidR="00A673C4" w:rsidRPr="00102AB2">
        <w:rPr>
          <w:rFonts w:ascii="Calibri" w:hAnsi="Calibri" w:cs="Calibri"/>
          <w:sz w:val="24"/>
          <w:szCs w:val="24"/>
        </w:rPr>
        <w:t>měnící</w:t>
      </w:r>
      <w:r w:rsidR="008272BC" w:rsidRPr="00102AB2">
        <w:rPr>
          <w:rFonts w:ascii="Calibri" w:hAnsi="Calibri" w:cs="Calibri"/>
          <w:sz w:val="24"/>
          <w:szCs w:val="24"/>
        </w:rPr>
        <w:t>ho</w:t>
      </w:r>
      <w:r w:rsidR="00B72B9D" w:rsidRPr="00B72B9D">
        <w:rPr>
          <w:rFonts w:ascii="Calibri" w:hAnsi="Calibri" w:cs="Calibri"/>
          <w:sz w:val="24"/>
          <w:szCs w:val="24"/>
        </w:rPr>
        <w:t xml:space="preserve"> </w:t>
      </w:r>
      <w:r w:rsidR="00B72B9D" w:rsidRPr="00102AB2">
        <w:rPr>
          <w:rFonts w:ascii="Calibri" w:hAnsi="Calibri" w:cs="Calibri"/>
          <w:sz w:val="24"/>
          <w:szCs w:val="24"/>
        </w:rPr>
        <w:t>se</w:t>
      </w:r>
      <w:r w:rsidR="00A673C4" w:rsidRPr="00102AB2">
        <w:rPr>
          <w:rFonts w:ascii="Calibri" w:hAnsi="Calibri" w:cs="Calibri"/>
          <w:sz w:val="24"/>
          <w:szCs w:val="24"/>
        </w:rPr>
        <w:t xml:space="preserve"> množství povolenek určených k</w:t>
      </w:r>
      <w:r w:rsidR="007405FC" w:rsidRPr="00102AB2">
        <w:rPr>
          <w:rFonts w:ascii="Calibri" w:hAnsi="Calibri" w:cs="Calibri"/>
          <w:sz w:val="24"/>
          <w:szCs w:val="24"/>
        </w:rPr>
        <w:t xml:space="preserve"> </w:t>
      </w:r>
      <w:r w:rsidR="00A673C4" w:rsidRPr="00102AB2">
        <w:rPr>
          <w:rFonts w:ascii="Calibri" w:hAnsi="Calibri" w:cs="Calibri"/>
          <w:sz w:val="24"/>
          <w:szCs w:val="24"/>
        </w:rPr>
        <w:t>dražbě. Přitom z</w:t>
      </w:r>
      <w:r w:rsidRPr="00102AB2">
        <w:rPr>
          <w:rFonts w:ascii="Calibri" w:hAnsi="Calibri" w:cs="Calibri"/>
          <w:sz w:val="24"/>
          <w:szCs w:val="24"/>
        </w:rPr>
        <w:t>volený okamžik účetního případu, určení</w:t>
      </w:r>
      <w:r w:rsidR="00376262" w:rsidRPr="00102AB2">
        <w:rPr>
          <w:rFonts w:ascii="Calibri" w:hAnsi="Calibri" w:cs="Calibri"/>
          <w:sz w:val="24"/>
          <w:szCs w:val="24"/>
        </w:rPr>
        <w:t xml:space="preserve"> </w:t>
      </w:r>
      <w:r w:rsidRPr="00102AB2">
        <w:rPr>
          <w:rFonts w:ascii="Calibri" w:hAnsi="Calibri" w:cs="Calibri"/>
          <w:sz w:val="24"/>
          <w:szCs w:val="24"/>
        </w:rPr>
        <w:t>množství povolenek</w:t>
      </w:r>
      <w:r w:rsidR="00211587" w:rsidRPr="00102AB2">
        <w:rPr>
          <w:rFonts w:ascii="Calibri" w:hAnsi="Calibri" w:cs="Calibri"/>
          <w:sz w:val="24"/>
          <w:szCs w:val="24"/>
        </w:rPr>
        <w:t xml:space="preserve"> </w:t>
      </w:r>
      <w:r w:rsidRPr="00102AB2">
        <w:rPr>
          <w:rFonts w:ascii="Calibri" w:hAnsi="Calibri" w:cs="Calibri"/>
          <w:sz w:val="24"/>
          <w:szCs w:val="24"/>
        </w:rPr>
        <w:t>a jejich ocenění v</w:t>
      </w:r>
      <w:r w:rsidR="007405FC" w:rsidRPr="00102AB2">
        <w:rPr>
          <w:rFonts w:ascii="Calibri" w:hAnsi="Calibri" w:cs="Calibri"/>
          <w:sz w:val="24"/>
          <w:szCs w:val="24"/>
        </w:rPr>
        <w:t xml:space="preserve"> </w:t>
      </w:r>
      <w:r w:rsidRPr="00102AB2">
        <w:rPr>
          <w:rFonts w:ascii="Calibri" w:hAnsi="Calibri" w:cs="Calibri"/>
          <w:sz w:val="24"/>
          <w:szCs w:val="24"/>
        </w:rPr>
        <w:t>aktuální tržní ceně k</w:t>
      </w:r>
      <w:r w:rsidR="007405FC" w:rsidRPr="00102AB2">
        <w:rPr>
          <w:rFonts w:ascii="Calibri" w:hAnsi="Calibri" w:cs="Calibri"/>
          <w:sz w:val="24"/>
          <w:szCs w:val="24"/>
        </w:rPr>
        <w:t xml:space="preserve"> </w:t>
      </w:r>
      <w:r w:rsidRPr="00102AB2">
        <w:rPr>
          <w:rFonts w:ascii="Calibri" w:hAnsi="Calibri" w:cs="Calibri"/>
          <w:sz w:val="24"/>
          <w:szCs w:val="24"/>
        </w:rPr>
        <w:t>datu</w:t>
      </w:r>
      <w:r w:rsidRPr="00102AB2">
        <w:rPr>
          <w:rStyle w:val="Znakapoznpodarou"/>
          <w:rFonts w:ascii="Calibri" w:eastAsia="Times New Roman" w:hAnsi="Calibri" w:cs="Calibri"/>
          <w:bCs/>
          <w:iCs/>
          <w:sz w:val="24"/>
          <w:szCs w:val="24"/>
        </w:rPr>
        <w:footnoteReference w:id="84"/>
      </w:r>
      <w:r w:rsidR="008272BC" w:rsidRPr="00102AB2">
        <w:rPr>
          <w:rFonts w:ascii="Calibri" w:hAnsi="Calibri" w:cs="Calibri"/>
          <w:sz w:val="24"/>
          <w:szCs w:val="24"/>
        </w:rPr>
        <w:t xml:space="preserve"> jejich zařazení do majetku </w:t>
      </w:r>
      <w:r w:rsidRPr="00102AB2">
        <w:rPr>
          <w:rFonts w:ascii="Calibri" w:hAnsi="Calibri" w:cs="Calibri"/>
          <w:sz w:val="24"/>
          <w:szCs w:val="24"/>
        </w:rPr>
        <w:t>ovlivňují</w:t>
      </w:r>
      <w:r w:rsidR="00A673C4" w:rsidRPr="00102AB2">
        <w:rPr>
          <w:rFonts w:ascii="Calibri" w:hAnsi="Calibri" w:cs="Calibri"/>
          <w:sz w:val="24"/>
          <w:szCs w:val="24"/>
        </w:rPr>
        <w:t xml:space="preserve"> významně</w:t>
      </w:r>
      <w:r w:rsidRPr="00102AB2">
        <w:rPr>
          <w:rFonts w:ascii="Calibri" w:hAnsi="Calibri" w:cs="Calibri"/>
          <w:sz w:val="24"/>
          <w:szCs w:val="24"/>
        </w:rPr>
        <w:t xml:space="preserve"> hodnoty vykázané v</w:t>
      </w:r>
      <w:r w:rsidR="003021EC" w:rsidRPr="00102AB2">
        <w:rPr>
          <w:rFonts w:ascii="Calibri" w:hAnsi="Calibri" w:cs="Calibri"/>
          <w:sz w:val="24"/>
          <w:szCs w:val="24"/>
        </w:rPr>
        <w:t> účetní závěrce</w:t>
      </w:r>
      <w:r w:rsidRPr="00102AB2">
        <w:rPr>
          <w:rFonts w:ascii="Calibri" w:hAnsi="Calibri" w:cs="Calibri"/>
          <w:sz w:val="24"/>
          <w:szCs w:val="24"/>
        </w:rPr>
        <w:t>.</w:t>
      </w:r>
    </w:p>
    <w:p w:rsidR="00102AB2" w:rsidRPr="00102AB2" w:rsidRDefault="00102AB2" w:rsidP="00102AB2">
      <w:pPr>
        <w:spacing w:after="0" w:line="240" w:lineRule="auto"/>
        <w:jc w:val="both"/>
        <w:rPr>
          <w:rFonts w:ascii="Calibri" w:hAnsi="Calibri" w:cs="Calibri"/>
          <w:sz w:val="24"/>
          <w:szCs w:val="24"/>
        </w:rPr>
      </w:pPr>
    </w:p>
    <w:p w:rsidR="004E5AD8" w:rsidRPr="00102AB2" w:rsidRDefault="00FB51C0" w:rsidP="00102AB2">
      <w:pPr>
        <w:spacing w:after="0" w:line="240" w:lineRule="auto"/>
        <w:jc w:val="both"/>
        <w:rPr>
          <w:rFonts w:ascii="Calibri" w:hAnsi="Calibri" w:cs="Calibri"/>
          <w:sz w:val="24"/>
          <w:szCs w:val="24"/>
        </w:rPr>
      </w:pPr>
      <w:r w:rsidRPr="00102AB2">
        <w:rPr>
          <w:rFonts w:ascii="Calibri" w:hAnsi="Calibri" w:cs="Calibri"/>
          <w:sz w:val="24"/>
          <w:szCs w:val="24"/>
        </w:rPr>
        <w:t>Celkový dopad operací s</w:t>
      </w:r>
      <w:r w:rsidR="007405FC" w:rsidRPr="00102AB2">
        <w:rPr>
          <w:rFonts w:ascii="Calibri" w:hAnsi="Calibri" w:cs="Calibri"/>
          <w:sz w:val="24"/>
          <w:szCs w:val="24"/>
        </w:rPr>
        <w:t xml:space="preserve"> </w:t>
      </w:r>
      <w:r w:rsidRPr="00102AB2">
        <w:rPr>
          <w:rFonts w:ascii="Calibri" w:hAnsi="Calibri" w:cs="Calibri"/>
          <w:sz w:val="24"/>
          <w:szCs w:val="24"/>
        </w:rPr>
        <w:t>povolenkami</w:t>
      </w:r>
      <w:r w:rsidR="00925BD9" w:rsidRPr="00102AB2">
        <w:rPr>
          <w:rFonts w:ascii="Calibri" w:hAnsi="Calibri" w:cs="Calibri"/>
          <w:sz w:val="24"/>
          <w:szCs w:val="24"/>
        </w:rPr>
        <w:t xml:space="preserve">, </w:t>
      </w:r>
      <w:r w:rsidR="003A6107">
        <w:rPr>
          <w:rFonts w:ascii="Calibri" w:hAnsi="Calibri" w:cs="Calibri"/>
          <w:sz w:val="24"/>
          <w:szCs w:val="24"/>
        </w:rPr>
        <w:t>které jsou</w:t>
      </w:r>
      <w:r w:rsidR="00925BD9" w:rsidRPr="00102AB2">
        <w:rPr>
          <w:rFonts w:ascii="Calibri" w:hAnsi="Calibri" w:cs="Calibri"/>
          <w:sz w:val="24"/>
          <w:szCs w:val="24"/>
        </w:rPr>
        <w:t xml:space="preserve"> nástroj</w:t>
      </w:r>
      <w:r w:rsidR="008272BC" w:rsidRPr="00102AB2">
        <w:rPr>
          <w:rFonts w:ascii="Calibri" w:hAnsi="Calibri" w:cs="Calibri"/>
          <w:sz w:val="24"/>
          <w:szCs w:val="24"/>
        </w:rPr>
        <w:t>i</w:t>
      </w:r>
      <w:r w:rsidR="00925BD9" w:rsidRPr="00102AB2">
        <w:rPr>
          <w:rFonts w:ascii="Calibri" w:hAnsi="Calibri" w:cs="Calibri"/>
          <w:sz w:val="24"/>
          <w:szCs w:val="24"/>
        </w:rPr>
        <w:t xml:space="preserve"> pro plnění společného závazku členských zemí Evropské unie na snížení emisí skleníkových plynů,</w:t>
      </w:r>
      <w:r w:rsidRPr="00102AB2">
        <w:rPr>
          <w:rFonts w:ascii="Calibri" w:hAnsi="Calibri" w:cs="Calibri"/>
          <w:sz w:val="24"/>
          <w:szCs w:val="24"/>
        </w:rPr>
        <w:t xml:space="preserve"> je </w:t>
      </w:r>
      <w:r w:rsidR="00332C31" w:rsidRPr="00102AB2">
        <w:rPr>
          <w:rFonts w:ascii="Calibri" w:hAnsi="Calibri" w:cs="Calibri"/>
          <w:sz w:val="24"/>
          <w:szCs w:val="24"/>
        </w:rPr>
        <w:t>výsledně</w:t>
      </w:r>
      <w:r w:rsidR="004E5AD8" w:rsidRPr="00102AB2">
        <w:rPr>
          <w:rFonts w:ascii="Calibri" w:hAnsi="Calibri" w:cs="Calibri"/>
          <w:sz w:val="24"/>
          <w:szCs w:val="24"/>
        </w:rPr>
        <w:t xml:space="preserve"> vykázán ve</w:t>
      </w:r>
      <w:r w:rsidRPr="00102AB2">
        <w:rPr>
          <w:rFonts w:ascii="Calibri" w:hAnsi="Calibri" w:cs="Calibri"/>
          <w:sz w:val="24"/>
          <w:szCs w:val="24"/>
        </w:rPr>
        <w:t xml:space="preserve"> výkazu rozvaha </w:t>
      </w:r>
      <w:r w:rsidR="00A67DBC" w:rsidRPr="00102AB2">
        <w:rPr>
          <w:rFonts w:ascii="Calibri" w:hAnsi="Calibri" w:cs="Calibri"/>
          <w:sz w:val="24"/>
          <w:szCs w:val="24"/>
        </w:rPr>
        <w:t>v</w:t>
      </w:r>
      <w:r w:rsidR="007405FC" w:rsidRPr="00102AB2">
        <w:rPr>
          <w:rFonts w:ascii="Calibri" w:hAnsi="Calibri" w:cs="Calibri"/>
          <w:sz w:val="24"/>
          <w:szCs w:val="24"/>
        </w:rPr>
        <w:t xml:space="preserve"> </w:t>
      </w:r>
      <w:r w:rsidR="00A67DBC" w:rsidRPr="00102AB2">
        <w:rPr>
          <w:rFonts w:ascii="Calibri" w:hAnsi="Calibri" w:cs="Calibri"/>
          <w:sz w:val="24"/>
          <w:szCs w:val="24"/>
        </w:rPr>
        <w:t xml:space="preserve">aktivech na účtu </w:t>
      </w:r>
      <w:r w:rsidR="000A7C3A" w:rsidRPr="00102AB2">
        <w:rPr>
          <w:rFonts w:ascii="Calibri" w:hAnsi="Calibri" w:cs="Calibri"/>
          <w:sz w:val="24"/>
          <w:szCs w:val="24"/>
        </w:rPr>
        <w:t>„</w:t>
      </w:r>
      <w:r w:rsidR="00A67DBC" w:rsidRPr="00102AB2">
        <w:rPr>
          <w:rFonts w:ascii="Calibri" w:hAnsi="Calibri" w:cs="Calibri"/>
          <w:sz w:val="24"/>
          <w:szCs w:val="24"/>
        </w:rPr>
        <w:t>povolenky na emise</w:t>
      </w:r>
      <w:r w:rsidR="000A7C3A" w:rsidRPr="00102AB2">
        <w:rPr>
          <w:rFonts w:ascii="Calibri" w:hAnsi="Calibri" w:cs="Calibri"/>
          <w:sz w:val="24"/>
          <w:szCs w:val="24"/>
        </w:rPr>
        <w:t>“</w:t>
      </w:r>
      <w:r w:rsidR="002A2761" w:rsidRPr="00102AB2">
        <w:rPr>
          <w:rFonts w:ascii="Calibri" w:hAnsi="Calibri" w:cs="Calibri"/>
          <w:sz w:val="24"/>
          <w:szCs w:val="24"/>
        </w:rPr>
        <w:t xml:space="preserve"> a v</w:t>
      </w:r>
      <w:r w:rsidR="007405FC" w:rsidRPr="00102AB2">
        <w:rPr>
          <w:rFonts w:ascii="Calibri" w:hAnsi="Calibri" w:cs="Calibri"/>
          <w:sz w:val="24"/>
          <w:szCs w:val="24"/>
        </w:rPr>
        <w:t xml:space="preserve"> </w:t>
      </w:r>
      <w:r w:rsidR="00A67DBC" w:rsidRPr="00102AB2">
        <w:rPr>
          <w:rFonts w:ascii="Calibri" w:hAnsi="Calibri" w:cs="Calibri"/>
          <w:sz w:val="24"/>
          <w:szCs w:val="24"/>
        </w:rPr>
        <w:t>pasivech</w:t>
      </w:r>
      <w:r w:rsidR="000A7C3A" w:rsidRPr="00102AB2">
        <w:rPr>
          <w:rFonts w:ascii="Calibri" w:hAnsi="Calibri" w:cs="Calibri"/>
          <w:sz w:val="24"/>
          <w:szCs w:val="24"/>
        </w:rPr>
        <w:t xml:space="preserve"> se rozklád</w:t>
      </w:r>
      <w:r w:rsidR="00E2074F" w:rsidRPr="00102AB2">
        <w:rPr>
          <w:rFonts w:ascii="Calibri" w:hAnsi="Calibri" w:cs="Calibri"/>
          <w:sz w:val="24"/>
          <w:szCs w:val="24"/>
        </w:rPr>
        <w:t>á</w:t>
      </w:r>
      <w:r w:rsidR="00A67DBC" w:rsidRPr="00102AB2">
        <w:rPr>
          <w:rFonts w:ascii="Calibri" w:hAnsi="Calibri" w:cs="Calibri"/>
          <w:sz w:val="24"/>
          <w:szCs w:val="24"/>
        </w:rPr>
        <w:t xml:space="preserve"> do</w:t>
      </w:r>
      <w:r w:rsidRPr="00102AB2">
        <w:rPr>
          <w:rFonts w:ascii="Calibri" w:hAnsi="Calibri" w:cs="Calibri"/>
          <w:sz w:val="24"/>
          <w:szCs w:val="24"/>
        </w:rPr>
        <w:t xml:space="preserve"> několika částí vlastního </w:t>
      </w:r>
      <w:r w:rsidR="002A2761" w:rsidRPr="00102AB2">
        <w:rPr>
          <w:rFonts w:ascii="Calibri" w:hAnsi="Calibri" w:cs="Calibri"/>
          <w:sz w:val="24"/>
          <w:szCs w:val="24"/>
        </w:rPr>
        <w:t>kapitálu</w:t>
      </w:r>
      <w:r w:rsidRPr="00102AB2">
        <w:rPr>
          <w:rFonts w:ascii="Calibri" w:hAnsi="Calibri" w:cs="Calibri"/>
          <w:sz w:val="24"/>
          <w:szCs w:val="24"/>
        </w:rPr>
        <w:t>: do</w:t>
      </w:r>
      <w:r w:rsidR="004263B8" w:rsidRPr="00102AB2">
        <w:rPr>
          <w:rFonts w:ascii="Calibri" w:hAnsi="Calibri" w:cs="Calibri"/>
          <w:sz w:val="24"/>
          <w:szCs w:val="24"/>
        </w:rPr>
        <w:t xml:space="preserve"> položky „</w:t>
      </w:r>
      <w:r w:rsidRPr="00102AB2">
        <w:rPr>
          <w:rFonts w:ascii="Calibri" w:hAnsi="Calibri" w:cs="Calibri"/>
          <w:sz w:val="24"/>
          <w:szCs w:val="24"/>
        </w:rPr>
        <w:t>vlastní jmění</w:t>
      </w:r>
      <w:r w:rsidR="004263B8" w:rsidRPr="00102AB2">
        <w:rPr>
          <w:rFonts w:ascii="Calibri" w:hAnsi="Calibri" w:cs="Calibri"/>
          <w:sz w:val="24"/>
          <w:szCs w:val="24"/>
        </w:rPr>
        <w:t>“</w:t>
      </w:r>
      <w:r w:rsidRPr="00102AB2">
        <w:rPr>
          <w:rFonts w:ascii="Calibri" w:hAnsi="Calibri" w:cs="Calibri"/>
          <w:sz w:val="24"/>
          <w:szCs w:val="24"/>
        </w:rPr>
        <w:t xml:space="preserve"> při nabytí povolenek</w:t>
      </w:r>
      <w:r w:rsidR="000A7C3A" w:rsidRPr="00102AB2">
        <w:rPr>
          <w:rFonts w:ascii="Calibri" w:hAnsi="Calibri" w:cs="Calibri"/>
          <w:sz w:val="24"/>
          <w:szCs w:val="24"/>
        </w:rPr>
        <w:t xml:space="preserve"> na emise</w:t>
      </w:r>
      <w:r w:rsidRPr="00102AB2">
        <w:rPr>
          <w:rFonts w:ascii="Calibri" w:hAnsi="Calibri" w:cs="Calibri"/>
          <w:sz w:val="24"/>
          <w:szCs w:val="24"/>
        </w:rPr>
        <w:t>,</w:t>
      </w:r>
      <w:r w:rsidR="00332C31" w:rsidRPr="00102AB2">
        <w:rPr>
          <w:rFonts w:ascii="Calibri" w:hAnsi="Calibri" w:cs="Calibri"/>
          <w:sz w:val="24"/>
          <w:szCs w:val="24"/>
        </w:rPr>
        <w:t xml:space="preserve"> do položky „jiné oceňovací rozdíly“ při oceňování povolenek na emise určený</w:t>
      </w:r>
      <w:r w:rsidR="00EE58BB" w:rsidRPr="00102AB2">
        <w:rPr>
          <w:rFonts w:ascii="Calibri" w:hAnsi="Calibri" w:cs="Calibri"/>
          <w:sz w:val="24"/>
          <w:szCs w:val="24"/>
        </w:rPr>
        <w:t>ch k prodeji reálnou hodnotou k </w:t>
      </w:r>
      <w:r w:rsidR="00332C31" w:rsidRPr="00102AB2">
        <w:rPr>
          <w:rFonts w:ascii="Calibri" w:hAnsi="Calibri" w:cs="Calibri"/>
          <w:sz w:val="24"/>
          <w:szCs w:val="24"/>
        </w:rPr>
        <w:t>datu účetní závěrky</w:t>
      </w:r>
      <w:r w:rsidR="00332C31" w:rsidRPr="00102AB2">
        <w:rPr>
          <w:rStyle w:val="Znakapoznpodarou"/>
          <w:rFonts w:ascii="Calibri" w:eastAsia="Times New Roman" w:hAnsi="Calibri" w:cs="Calibri"/>
          <w:bCs/>
          <w:iCs/>
          <w:sz w:val="24"/>
          <w:szCs w:val="24"/>
        </w:rPr>
        <w:footnoteReference w:id="85"/>
      </w:r>
      <w:r w:rsidR="002A2761" w:rsidRPr="00102AB2">
        <w:rPr>
          <w:rFonts w:ascii="Calibri" w:hAnsi="Calibri" w:cs="Calibri"/>
          <w:sz w:val="24"/>
          <w:szCs w:val="24"/>
        </w:rPr>
        <w:t>,</w:t>
      </w:r>
      <w:r w:rsidRPr="00102AB2">
        <w:rPr>
          <w:rFonts w:ascii="Calibri" w:hAnsi="Calibri" w:cs="Calibri"/>
          <w:sz w:val="24"/>
          <w:szCs w:val="24"/>
        </w:rPr>
        <w:t xml:space="preserve"> do</w:t>
      </w:r>
      <w:r w:rsidR="004263B8" w:rsidRPr="00102AB2">
        <w:rPr>
          <w:rFonts w:ascii="Calibri" w:hAnsi="Calibri" w:cs="Calibri"/>
          <w:sz w:val="24"/>
          <w:szCs w:val="24"/>
        </w:rPr>
        <w:t xml:space="preserve"> položky „výsledek hospodaření běžného účetního období“</w:t>
      </w:r>
      <w:r w:rsidR="002C28DC" w:rsidRPr="00102AB2">
        <w:rPr>
          <w:rStyle w:val="Znakapoznpodarou"/>
          <w:rFonts w:ascii="Calibri" w:eastAsia="Times New Roman" w:hAnsi="Calibri" w:cs="Calibri"/>
          <w:bCs/>
          <w:iCs/>
          <w:sz w:val="24"/>
          <w:szCs w:val="24"/>
        </w:rPr>
        <w:footnoteReference w:id="86"/>
      </w:r>
      <w:r w:rsidR="004263B8" w:rsidRPr="00102AB2">
        <w:rPr>
          <w:rFonts w:ascii="Calibri" w:hAnsi="Calibri" w:cs="Calibri"/>
          <w:sz w:val="24"/>
          <w:szCs w:val="24"/>
        </w:rPr>
        <w:t xml:space="preserve"> </w:t>
      </w:r>
      <w:r w:rsidRPr="00102AB2">
        <w:rPr>
          <w:rFonts w:ascii="Calibri" w:hAnsi="Calibri" w:cs="Calibri"/>
          <w:sz w:val="24"/>
          <w:szCs w:val="24"/>
        </w:rPr>
        <w:t>při jejich prodeji či</w:t>
      </w:r>
      <w:r w:rsidR="004E5AD8" w:rsidRPr="00102AB2">
        <w:rPr>
          <w:rFonts w:ascii="Calibri" w:hAnsi="Calibri" w:cs="Calibri"/>
          <w:sz w:val="24"/>
          <w:szCs w:val="24"/>
        </w:rPr>
        <w:t xml:space="preserve"> přidělení</w:t>
      </w:r>
      <w:r w:rsidRPr="00102AB2">
        <w:rPr>
          <w:rFonts w:ascii="Calibri" w:hAnsi="Calibri" w:cs="Calibri"/>
          <w:sz w:val="24"/>
          <w:szCs w:val="24"/>
        </w:rPr>
        <w:t xml:space="preserve"> bezplatných povolenek</w:t>
      </w:r>
      <w:r w:rsidR="00332C31" w:rsidRPr="00102AB2">
        <w:rPr>
          <w:rStyle w:val="Znakapoznpodarou"/>
          <w:rFonts w:ascii="Calibri" w:eastAsia="Times New Roman" w:hAnsi="Calibri" w:cs="Calibri"/>
          <w:bCs/>
          <w:iCs/>
          <w:sz w:val="24"/>
          <w:szCs w:val="24"/>
        </w:rPr>
        <w:footnoteReference w:id="87"/>
      </w:r>
      <w:r w:rsidR="003864B9" w:rsidRPr="00102AB2">
        <w:rPr>
          <w:rFonts w:ascii="Calibri" w:hAnsi="Calibri" w:cs="Calibri"/>
          <w:sz w:val="24"/>
          <w:szCs w:val="24"/>
        </w:rPr>
        <w:t>,</w:t>
      </w:r>
      <w:r w:rsidRPr="00102AB2">
        <w:rPr>
          <w:rFonts w:ascii="Calibri" w:hAnsi="Calibri" w:cs="Calibri"/>
          <w:sz w:val="24"/>
          <w:szCs w:val="24"/>
        </w:rPr>
        <w:t xml:space="preserve"> do </w:t>
      </w:r>
      <w:r w:rsidR="004263B8" w:rsidRPr="00102AB2">
        <w:rPr>
          <w:rFonts w:ascii="Calibri" w:hAnsi="Calibri" w:cs="Calibri"/>
          <w:sz w:val="24"/>
          <w:szCs w:val="24"/>
        </w:rPr>
        <w:t xml:space="preserve">položky „jiné oceňovací rozdíly“ </w:t>
      </w:r>
      <w:r w:rsidRPr="00102AB2">
        <w:rPr>
          <w:rFonts w:ascii="Calibri" w:hAnsi="Calibri" w:cs="Calibri"/>
          <w:sz w:val="24"/>
          <w:szCs w:val="24"/>
        </w:rPr>
        <w:t>při oceňování povolenek</w:t>
      </w:r>
      <w:r w:rsidR="000A7C3A" w:rsidRPr="00102AB2">
        <w:rPr>
          <w:rFonts w:ascii="Calibri" w:hAnsi="Calibri" w:cs="Calibri"/>
          <w:sz w:val="24"/>
          <w:szCs w:val="24"/>
        </w:rPr>
        <w:t xml:space="preserve"> na emise</w:t>
      </w:r>
      <w:r w:rsidRPr="00102AB2">
        <w:rPr>
          <w:rFonts w:ascii="Calibri" w:hAnsi="Calibri" w:cs="Calibri"/>
          <w:sz w:val="24"/>
          <w:szCs w:val="24"/>
        </w:rPr>
        <w:t xml:space="preserve"> určených k</w:t>
      </w:r>
      <w:r w:rsidR="007405FC" w:rsidRPr="00102AB2">
        <w:rPr>
          <w:rFonts w:ascii="Calibri" w:hAnsi="Calibri" w:cs="Calibri"/>
          <w:sz w:val="24"/>
          <w:szCs w:val="24"/>
        </w:rPr>
        <w:t xml:space="preserve"> </w:t>
      </w:r>
      <w:r w:rsidRPr="00102AB2">
        <w:rPr>
          <w:rFonts w:ascii="Calibri" w:hAnsi="Calibri" w:cs="Calibri"/>
          <w:sz w:val="24"/>
          <w:szCs w:val="24"/>
        </w:rPr>
        <w:t>prodeji reálnou hodnotou k</w:t>
      </w:r>
      <w:r w:rsidR="007405FC" w:rsidRPr="00102AB2">
        <w:rPr>
          <w:rFonts w:ascii="Calibri" w:hAnsi="Calibri" w:cs="Calibri"/>
          <w:sz w:val="24"/>
          <w:szCs w:val="24"/>
        </w:rPr>
        <w:t xml:space="preserve"> </w:t>
      </w:r>
      <w:r w:rsidRPr="00102AB2">
        <w:rPr>
          <w:rFonts w:ascii="Calibri" w:hAnsi="Calibri" w:cs="Calibri"/>
          <w:sz w:val="24"/>
          <w:szCs w:val="24"/>
        </w:rPr>
        <w:t>datu účetní závěrky</w:t>
      </w:r>
      <w:r w:rsidR="003864B9" w:rsidRPr="00102AB2">
        <w:rPr>
          <w:rFonts w:ascii="Calibri" w:hAnsi="Calibri" w:cs="Calibri"/>
          <w:sz w:val="24"/>
          <w:szCs w:val="24"/>
        </w:rPr>
        <w:t xml:space="preserve"> </w:t>
      </w:r>
      <w:r w:rsidR="00EE58BB" w:rsidRPr="00102AB2">
        <w:rPr>
          <w:rFonts w:ascii="Calibri" w:hAnsi="Calibri" w:cs="Calibri"/>
          <w:sz w:val="24"/>
          <w:szCs w:val="24"/>
        </w:rPr>
        <w:t>a </w:t>
      </w:r>
      <w:r w:rsidR="003864B9" w:rsidRPr="00102AB2">
        <w:rPr>
          <w:rFonts w:ascii="Calibri" w:hAnsi="Calibri" w:cs="Calibri"/>
          <w:sz w:val="24"/>
          <w:szCs w:val="24"/>
        </w:rPr>
        <w:t>jako součást konečného zůstatku příjmového účtu</w:t>
      </w:r>
      <w:r w:rsidR="002A2761" w:rsidRPr="00102AB2">
        <w:rPr>
          <w:rFonts w:ascii="Calibri" w:hAnsi="Calibri" w:cs="Calibri"/>
          <w:sz w:val="24"/>
          <w:szCs w:val="24"/>
        </w:rPr>
        <w:t xml:space="preserve"> OSS</w:t>
      </w:r>
      <w:r w:rsidR="002A2761" w:rsidRPr="00102AB2">
        <w:rPr>
          <w:rStyle w:val="Znakapoznpodarou"/>
          <w:rFonts w:ascii="Calibri" w:hAnsi="Calibri" w:cs="Calibri"/>
          <w:bCs/>
          <w:sz w:val="24"/>
          <w:szCs w:val="24"/>
        </w:rPr>
        <w:footnoteReference w:id="88"/>
      </w:r>
      <w:r w:rsidR="003864B9" w:rsidRPr="00102AB2">
        <w:rPr>
          <w:rFonts w:ascii="Calibri" w:hAnsi="Calibri" w:cs="Calibri"/>
          <w:sz w:val="24"/>
          <w:szCs w:val="24"/>
        </w:rPr>
        <w:t xml:space="preserve"> </w:t>
      </w:r>
      <w:r w:rsidR="003A6107">
        <w:rPr>
          <w:rFonts w:ascii="Calibri" w:hAnsi="Calibri" w:cs="Calibri"/>
          <w:sz w:val="24"/>
          <w:szCs w:val="24"/>
        </w:rPr>
        <w:t xml:space="preserve">v případě </w:t>
      </w:r>
      <w:r w:rsidR="003864B9" w:rsidRPr="00102AB2">
        <w:rPr>
          <w:rFonts w:ascii="Calibri" w:hAnsi="Calibri" w:cs="Calibri"/>
          <w:sz w:val="24"/>
          <w:szCs w:val="24"/>
        </w:rPr>
        <w:t>peněžní</w:t>
      </w:r>
      <w:r w:rsidR="003A6107">
        <w:rPr>
          <w:rFonts w:ascii="Calibri" w:hAnsi="Calibri" w:cs="Calibri"/>
          <w:sz w:val="24"/>
          <w:szCs w:val="24"/>
        </w:rPr>
        <w:t>ch</w:t>
      </w:r>
      <w:r w:rsidR="003864B9" w:rsidRPr="00102AB2">
        <w:rPr>
          <w:rFonts w:ascii="Calibri" w:hAnsi="Calibri" w:cs="Calibri"/>
          <w:sz w:val="24"/>
          <w:szCs w:val="24"/>
        </w:rPr>
        <w:t xml:space="preserve"> prostředk</w:t>
      </w:r>
      <w:r w:rsidR="003A6107">
        <w:rPr>
          <w:rFonts w:ascii="Calibri" w:hAnsi="Calibri" w:cs="Calibri"/>
          <w:sz w:val="24"/>
          <w:szCs w:val="24"/>
        </w:rPr>
        <w:t>ů</w:t>
      </w:r>
      <w:r w:rsidR="003864B9" w:rsidRPr="00102AB2">
        <w:rPr>
          <w:rFonts w:ascii="Calibri" w:hAnsi="Calibri" w:cs="Calibri"/>
          <w:sz w:val="24"/>
          <w:szCs w:val="24"/>
        </w:rPr>
        <w:t xml:space="preserve"> získan</w:t>
      </w:r>
      <w:r w:rsidR="003A6107">
        <w:rPr>
          <w:rFonts w:ascii="Calibri" w:hAnsi="Calibri" w:cs="Calibri"/>
          <w:sz w:val="24"/>
          <w:szCs w:val="24"/>
        </w:rPr>
        <w:t>ých</w:t>
      </w:r>
      <w:r w:rsidR="003864B9" w:rsidRPr="00102AB2">
        <w:rPr>
          <w:rFonts w:ascii="Calibri" w:hAnsi="Calibri" w:cs="Calibri"/>
          <w:sz w:val="24"/>
          <w:szCs w:val="24"/>
        </w:rPr>
        <w:t xml:space="preserve"> za prodej povolenek v roce 2013.</w:t>
      </w:r>
      <w:r w:rsidR="00EC30D0" w:rsidRPr="00102AB2">
        <w:rPr>
          <w:rFonts w:ascii="Calibri" w:hAnsi="Calibri" w:cs="Calibri"/>
          <w:sz w:val="24"/>
          <w:szCs w:val="24"/>
        </w:rPr>
        <w:t xml:space="preserve"> </w:t>
      </w:r>
      <w:r w:rsidR="00332C31" w:rsidRPr="00102AB2">
        <w:rPr>
          <w:rFonts w:ascii="Calibri" w:hAnsi="Calibri" w:cs="Calibri"/>
          <w:sz w:val="24"/>
          <w:szCs w:val="24"/>
        </w:rPr>
        <w:t>Specifická povaha povolenek vyžaduje při aplikaci stávajících postupů účtování uvedení dalších doplňujících informací v příloze účetní závěrky.</w:t>
      </w:r>
    </w:p>
    <w:p w:rsidR="00102AB2" w:rsidRDefault="00102AB2" w:rsidP="00102AB2">
      <w:pPr>
        <w:spacing w:after="0" w:line="240" w:lineRule="auto"/>
        <w:jc w:val="both"/>
        <w:rPr>
          <w:rFonts w:ascii="Calibri" w:hAnsi="Calibri" w:cs="Calibri"/>
          <w:sz w:val="24"/>
          <w:szCs w:val="24"/>
        </w:rPr>
      </w:pPr>
    </w:p>
    <w:p w:rsidR="00206B08" w:rsidRPr="00102AB2" w:rsidRDefault="000B37DF"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Podle názoru NKÚ </w:t>
      </w:r>
      <w:r w:rsidR="002C28DC" w:rsidRPr="00102AB2">
        <w:rPr>
          <w:rFonts w:ascii="Calibri" w:hAnsi="Calibri" w:cs="Calibri"/>
          <w:sz w:val="24"/>
          <w:szCs w:val="24"/>
        </w:rPr>
        <w:t xml:space="preserve">platná účetní regulace není dostatečně určitá pro věrné </w:t>
      </w:r>
      <w:r w:rsidR="00E05314" w:rsidRPr="00102AB2">
        <w:rPr>
          <w:rFonts w:ascii="Calibri" w:hAnsi="Calibri" w:cs="Calibri"/>
          <w:sz w:val="24"/>
          <w:szCs w:val="24"/>
        </w:rPr>
        <w:t>zobrazení</w:t>
      </w:r>
      <w:r w:rsidRPr="00102AB2">
        <w:rPr>
          <w:rFonts w:ascii="Calibri" w:hAnsi="Calibri" w:cs="Calibri"/>
          <w:sz w:val="24"/>
          <w:szCs w:val="24"/>
        </w:rPr>
        <w:t xml:space="preserve"> </w:t>
      </w:r>
      <w:r w:rsidR="002C28DC" w:rsidRPr="00102AB2">
        <w:rPr>
          <w:rFonts w:ascii="Calibri" w:hAnsi="Calibri" w:cs="Calibri"/>
          <w:sz w:val="24"/>
          <w:szCs w:val="24"/>
        </w:rPr>
        <w:t>všech skutečností souvisejících s</w:t>
      </w:r>
      <w:r w:rsidR="006F0C23" w:rsidRPr="00102AB2">
        <w:rPr>
          <w:rFonts w:ascii="Calibri" w:hAnsi="Calibri" w:cs="Calibri"/>
          <w:sz w:val="24"/>
          <w:szCs w:val="24"/>
        </w:rPr>
        <w:t> nakládáním s</w:t>
      </w:r>
      <w:r w:rsidR="002C28DC" w:rsidRPr="00102AB2">
        <w:rPr>
          <w:rFonts w:ascii="Calibri" w:hAnsi="Calibri" w:cs="Calibri"/>
          <w:sz w:val="24"/>
          <w:szCs w:val="24"/>
        </w:rPr>
        <w:t> majetkem vymezen</w:t>
      </w:r>
      <w:r w:rsidR="00DB1D18" w:rsidRPr="00102AB2">
        <w:rPr>
          <w:rFonts w:ascii="Calibri" w:hAnsi="Calibri" w:cs="Calibri"/>
          <w:sz w:val="24"/>
          <w:szCs w:val="24"/>
        </w:rPr>
        <w:t xml:space="preserve">ým jako obsah položky </w:t>
      </w:r>
      <w:r w:rsidR="002C28DC" w:rsidRPr="00102AB2">
        <w:rPr>
          <w:rFonts w:ascii="Calibri" w:hAnsi="Calibri" w:cs="Calibri"/>
          <w:sz w:val="24"/>
          <w:szCs w:val="24"/>
        </w:rPr>
        <w:t>„povolenky na emise“</w:t>
      </w:r>
      <w:r w:rsidR="00DB1D18" w:rsidRPr="00102AB2">
        <w:rPr>
          <w:rFonts w:ascii="Calibri" w:hAnsi="Calibri" w:cs="Calibri"/>
          <w:sz w:val="24"/>
          <w:szCs w:val="24"/>
        </w:rPr>
        <w:t xml:space="preserve"> ve výkazu rozvaha</w:t>
      </w:r>
      <w:r w:rsidR="002C28DC" w:rsidRPr="00102AB2">
        <w:rPr>
          <w:rFonts w:ascii="Calibri" w:hAnsi="Calibri" w:cs="Calibri"/>
          <w:sz w:val="24"/>
          <w:szCs w:val="24"/>
        </w:rPr>
        <w:t>.</w:t>
      </w:r>
      <w:r w:rsidR="0014744D" w:rsidRPr="00102AB2">
        <w:rPr>
          <w:rFonts w:ascii="Calibri" w:hAnsi="Calibri" w:cs="Calibri"/>
          <w:sz w:val="24"/>
          <w:szCs w:val="24"/>
        </w:rPr>
        <w:t xml:space="preserve"> </w:t>
      </w:r>
      <w:r w:rsidR="004E5AD8" w:rsidRPr="00102AB2">
        <w:rPr>
          <w:rFonts w:ascii="Calibri" w:hAnsi="Calibri" w:cs="Calibri"/>
          <w:sz w:val="24"/>
          <w:szCs w:val="24"/>
        </w:rPr>
        <w:t>P</w:t>
      </w:r>
      <w:r w:rsidR="009830D2" w:rsidRPr="00102AB2">
        <w:rPr>
          <w:rFonts w:ascii="Calibri" w:hAnsi="Calibri" w:cs="Calibri"/>
          <w:sz w:val="24"/>
          <w:szCs w:val="24"/>
        </w:rPr>
        <w:t>rávní předpisy upravující oblast účetnictví v České republice jsou ovlivněny absencí definic pojm</w:t>
      </w:r>
      <w:r w:rsidR="003A6107">
        <w:rPr>
          <w:rFonts w:ascii="Calibri" w:hAnsi="Calibri" w:cs="Calibri"/>
          <w:sz w:val="24"/>
          <w:szCs w:val="24"/>
        </w:rPr>
        <w:t>ů</w:t>
      </w:r>
      <w:r w:rsidR="009830D2" w:rsidRPr="00102AB2">
        <w:rPr>
          <w:rFonts w:ascii="Calibri" w:hAnsi="Calibri" w:cs="Calibri"/>
          <w:sz w:val="24"/>
          <w:szCs w:val="24"/>
        </w:rPr>
        <w:t xml:space="preserve"> „aktivum“ a „pasivum“. Obsahové vymezení některých položek výkazu rozvaha je definováno vyhláškou č. 410/2009 Sb., toto vymezení však nepředstavuje definici aktiva v obecné rovině. Český účetní standard pro účetní zobrazení operací souvisejících s hospodařením s povolenkami na emise vydán nebyl. </w:t>
      </w:r>
      <w:r w:rsidR="00E05314" w:rsidRPr="00102AB2">
        <w:rPr>
          <w:rFonts w:ascii="Calibri" w:hAnsi="Calibri" w:cs="Calibri"/>
          <w:sz w:val="24"/>
          <w:szCs w:val="24"/>
        </w:rPr>
        <w:t>Věrnost</w:t>
      </w:r>
      <w:r w:rsidR="0014744D" w:rsidRPr="00102AB2">
        <w:rPr>
          <w:rFonts w:ascii="Calibri" w:hAnsi="Calibri" w:cs="Calibri"/>
          <w:sz w:val="24"/>
          <w:szCs w:val="24"/>
        </w:rPr>
        <w:t xml:space="preserve"> </w:t>
      </w:r>
      <w:r w:rsidR="00D10A5F" w:rsidRPr="00102AB2">
        <w:rPr>
          <w:rFonts w:ascii="Calibri" w:hAnsi="Calibri" w:cs="Calibri"/>
          <w:sz w:val="24"/>
          <w:szCs w:val="24"/>
        </w:rPr>
        <w:t>zobrazení skutečností souvisejících s</w:t>
      </w:r>
      <w:r w:rsidR="007405FC" w:rsidRPr="00102AB2">
        <w:rPr>
          <w:rFonts w:ascii="Calibri" w:hAnsi="Calibri" w:cs="Calibri"/>
          <w:sz w:val="24"/>
          <w:szCs w:val="24"/>
        </w:rPr>
        <w:t xml:space="preserve"> </w:t>
      </w:r>
      <w:r w:rsidR="00D10A5F" w:rsidRPr="00102AB2">
        <w:rPr>
          <w:rFonts w:ascii="Calibri" w:hAnsi="Calibri" w:cs="Calibri"/>
          <w:sz w:val="24"/>
          <w:szCs w:val="24"/>
        </w:rPr>
        <w:t>plněním závazků z</w:t>
      </w:r>
      <w:r w:rsidR="007405FC" w:rsidRPr="00102AB2">
        <w:rPr>
          <w:rFonts w:ascii="Calibri" w:hAnsi="Calibri" w:cs="Calibri"/>
          <w:sz w:val="24"/>
          <w:szCs w:val="24"/>
        </w:rPr>
        <w:t xml:space="preserve"> </w:t>
      </w:r>
      <w:r w:rsidR="00D10A5F" w:rsidRPr="000D4904">
        <w:rPr>
          <w:rFonts w:ascii="Calibri" w:hAnsi="Calibri" w:cs="Calibri"/>
          <w:i/>
          <w:sz w:val="24"/>
          <w:szCs w:val="24"/>
        </w:rPr>
        <w:t>Kjótského protokolu</w:t>
      </w:r>
      <w:r w:rsidR="00D10A5F" w:rsidRPr="00102AB2">
        <w:rPr>
          <w:rFonts w:ascii="Calibri" w:hAnsi="Calibri" w:cs="Calibri"/>
          <w:sz w:val="24"/>
          <w:szCs w:val="24"/>
        </w:rPr>
        <w:t xml:space="preserve"> jednotlivými smluvními stranami je problematika aktuálně řešená i v</w:t>
      </w:r>
      <w:r w:rsidR="007405FC" w:rsidRPr="00102AB2">
        <w:rPr>
          <w:rFonts w:ascii="Calibri" w:hAnsi="Calibri" w:cs="Calibri"/>
          <w:sz w:val="24"/>
          <w:szCs w:val="24"/>
        </w:rPr>
        <w:t xml:space="preserve"> </w:t>
      </w:r>
      <w:r w:rsidR="00D10A5F" w:rsidRPr="00102AB2">
        <w:rPr>
          <w:rFonts w:ascii="Calibri" w:hAnsi="Calibri" w:cs="Calibri"/>
          <w:sz w:val="24"/>
          <w:szCs w:val="24"/>
        </w:rPr>
        <w:t xml:space="preserve">mezinárodním měřítku. International Public </w:t>
      </w:r>
      <w:proofErr w:type="spellStart"/>
      <w:r w:rsidR="00D10A5F" w:rsidRPr="00102AB2">
        <w:rPr>
          <w:rFonts w:ascii="Calibri" w:hAnsi="Calibri" w:cs="Calibri"/>
          <w:sz w:val="24"/>
          <w:szCs w:val="24"/>
        </w:rPr>
        <w:t>Sector</w:t>
      </w:r>
      <w:proofErr w:type="spellEnd"/>
      <w:r w:rsidR="00D10A5F" w:rsidRPr="00102AB2">
        <w:rPr>
          <w:rFonts w:ascii="Calibri" w:hAnsi="Calibri" w:cs="Calibri"/>
          <w:sz w:val="24"/>
          <w:szCs w:val="24"/>
        </w:rPr>
        <w:t xml:space="preserve"> </w:t>
      </w:r>
      <w:proofErr w:type="spellStart"/>
      <w:r w:rsidR="00D10A5F" w:rsidRPr="00102AB2">
        <w:rPr>
          <w:rFonts w:ascii="Calibri" w:hAnsi="Calibri" w:cs="Calibri"/>
          <w:sz w:val="24"/>
          <w:szCs w:val="24"/>
        </w:rPr>
        <w:t>Accounting</w:t>
      </w:r>
      <w:proofErr w:type="spellEnd"/>
      <w:r w:rsidR="00D10A5F" w:rsidRPr="00102AB2">
        <w:rPr>
          <w:rFonts w:ascii="Calibri" w:hAnsi="Calibri" w:cs="Calibri"/>
          <w:sz w:val="24"/>
          <w:szCs w:val="24"/>
        </w:rPr>
        <w:t xml:space="preserve"> </w:t>
      </w:r>
      <w:proofErr w:type="spellStart"/>
      <w:r w:rsidR="00D10A5F" w:rsidRPr="00102AB2">
        <w:rPr>
          <w:rFonts w:ascii="Calibri" w:hAnsi="Calibri" w:cs="Calibri"/>
          <w:sz w:val="24"/>
          <w:szCs w:val="24"/>
        </w:rPr>
        <w:t>Standards</w:t>
      </w:r>
      <w:proofErr w:type="spellEnd"/>
      <w:r w:rsidR="00D10A5F" w:rsidRPr="00102AB2">
        <w:rPr>
          <w:rFonts w:ascii="Calibri" w:hAnsi="Calibri" w:cs="Calibri"/>
          <w:sz w:val="24"/>
          <w:szCs w:val="24"/>
        </w:rPr>
        <w:t xml:space="preserve"> </w:t>
      </w:r>
      <w:proofErr w:type="spellStart"/>
      <w:r w:rsidR="00D10A5F" w:rsidRPr="00102AB2">
        <w:rPr>
          <w:rFonts w:ascii="Calibri" w:hAnsi="Calibri" w:cs="Calibri"/>
          <w:sz w:val="24"/>
          <w:szCs w:val="24"/>
        </w:rPr>
        <w:t>Board</w:t>
      </w:r>
      <w:proofErr w:type="spellEnd"/>
      <w:r w:rsidR="00D10A5F" w:rsidRPr="00102AB2">
        <w:rPr>
          <w:rFonts w:ascii="Calibri" w:hAnsi="Calibri" w:cs="Calibri"/>
          <w:sz w:val="24"/>
          <w:szCs w:val="24"/>
        </w:rPr>
        <w:t xml:space="preserve"> (IPSASB) ji pro rok 2015 zařadil </w:t>
      </w:r>
      <w:r w:rsidR="00F66E13" w:rsidRPr="00102AB2">
        <w:rPr>
          <w:rFonts w:ascii="Calibri" w:hAnsi="Calibri" w:cs="Calibri"/>
          <w:sz w:val="24"/>
          <w:szCs w:val="24"/>
        </w:rPr>
        <w:t>k</w:t>
      </w:r>
      <w:r w:rsidR="00D27C61" w:rsidRPr="00102AB2">
        <w:rPr>
          <w:rFonts w:ascii="Calibri" w:hAnsi="Calibri" w:cs="Calibri"/>
          <w:sz w:val="24"/>
          <w:szCs w:val="24"/>
        </w:rPr>
        <w:t> </w:t>
      </w:r>
      <w:r w:rsidR="00D10A5F" w:rsidRPr="00102AB2">
        <w:rPr>
          <w:rFonts w:ascii="Calibri" w:hAnsi="Calibri" w:cs="Calibri"/>
          <w:sz w:val="24"/>
          <w:szCs w:val="24"/>
        </w:rPr>
        <w:t>aktuáln</w:t>
      </w:r>
      <w:r w:rsidR="00F66E13" w:rsidRPr="00102AB2">
        <w:rPr>
          <w:rFonts w:ascii="Calibri" w:hAnsi="Calibri" w:cs="Calibri"/>
          <w:sz w:val="24"/>
          <w:szCs w:val="24"/>
        </w:rPr>
        <w:t>ímu</w:t>
      </w:r>
      <w:r w:rsidR="00D10A5F" w:rsidRPr="00102AB2">
        <w:rPr>
          <w:rFonts w:ascii="Calibri" w:hAnsi="Calibri" w:cs="Calibri"/>
          <w:sz w:val="24"/>
          <w:szCs w:val="24"/>
        </w:rPr>
        <w:t xml:space="preserve"> řešen</w:t>
      </w:r>
      <w:r w:rsidR="00F66E13" w:rsidRPr="00102AB2">
        <w:rPr>
          <w:rFonts w:ascii="Calibri" w:hAnsi="Calibri" w:cs="Calibri"/>
          <w:sz w:val="24"/>
          <w:szCs w:val="24"/>
        </w:rPr>
        <w:t>í</w:t>
      </w:r>
      <w:r w:rsidR="00D10A5F" w:rsidRPr="00102AB2">
        <w:rPr>
          <w:rStyle w:val="Znakapoznpodarou"/>
          <w:rFonts w:ascii="Calibri" w:hAnsi="Calibri" w:cs="Calibri"/>
          <w:sz w:val="24"/>
          <w:szCs w:val="24"/>
        </w:rPr>
        <w:footnoteReference w:id="89"/>
      </w:r>
      <w:r w:rsidR="00D10A5F" w:rsidRPr="00102AB2">
        <w:rPr>
          <w:rFonts w:ascii="Calibri" w:hAnsi="Calibri" w:cs="Calibri"/>
          <w:sz w:val="24"/>
          <w:szCs w:val="24"/>
        </w:rPr>
        <w:t>.</w:t>
      </w:r>
      <w:r w:rsidR="00B55158" w:rsidRPr="00102AB2">
        <w:rPr>
          <w:rFonts w:ascii="Calibri" w:hAnsi="Calibri" w:cs="Calibri"/>
          <w:sz w:val="24"/>
          <w:szCs w:val="24"/>
        </w:rPr>
        <w:t xml:space="preserve"> Byl zahájen projekt za účelem stanovení vhodného</w:t>
      </w:r>
      <w:r w:rsidR="00F66E13" w:rsidRPr="00102AB2">
        <w:rPr>
          <w:rFonts w:ascii="Calibri" w:hAnsi="Calibri" w:cs="Calibri"/>
          <w:sz w:val="24"/>
          <w:szCs w:val="24"/>
        </w:rPr>
        <w:t xml:space="preserve"> mezinárodního</w:t>
      </w:r>
      <w:r w:rsidR="00B55158" w:rsidRPr="00102AB2">
        <w:rPr>
          <w:rFonts w:ascii="Calibri" w:hAnsi="Calibri" w:cs="Calibri"/>
          <w:sz w:val="24"/>
          <w:szCs w:val="24"/>
        </w:rPr>
        <w:t xml:space="preserve"> účetního řešení </w:t>
      </w:r>
      <w:r w:rsidR="00F66E13" w:rsidRPr="00102AB2">
        <w:rPr>
          <w:rFonts w:ascii="Calibri" w:hAnsi="Calibri" w:cs="Calibri"/>
          <w:sz w:val="24"/>
          <w:szCs w:val="24"/>
        </w:rPr>
        <w:t>této</w:t>
      </w:r>
      <w:r w:rsidR="00B55158" w:rsidRPr="00102AB2">
        <w:rPr>
          <w:rFonts w:ascii="Calibri" w:hAnsi="Calibri" w:cs="Calibri"/>
          <w:sz w:val="24"/>
          <w:szCs w:val="24"/>
        </w:rPr>
        <w:t xml:space="preserve"> problematiky</w:t>
      </w:r>
      <w:r w:rsidR="00B55158" w:rsidRPr="00102AB2">
        <w:rPr>
          <w:rStyle w:val="Znakapoznpodarou"/>
          <w:rFonts w:ascii="Calibri" w:hAnsi="Calibri" w:cs="Calibri"/>
          <w:sz w:val="24"/>
          <w:szCs w:val="24"/>
        </w:rPr>
        <w:footnoteReference w:id="90"/>
      </w:r>
      <w:r w:rsidR="00B55158" w:rsidRPr="00102AB2">
        <w:rPr>
          <w:rFonts w:ascii="Calibri" w:hAnsi="Calibri" w:cs="Calibri"/>
          <w:sz w:val="24"/>
          <w:szCs w:val="24"/>
        </w:rPr>
        <w:t>.</w:t>
      </w:r>
      <w:r w:rsidR="00206B08" w:rsidRPr="00102AB2">
        <w:rPr>
          <w:rFonts w:ascii="Calibri" w:hAnsi="Calibri" w:cs="Calibri"/>
          <w:sz w:val="24"/>
          <w:szCs w:val="24"/>
        </w:rPr>
        <w:t xml:space="preserve"> Byly identifikovány </w:t>
      </w:r>
      <w:r w:rsidR="003A6107">
        <w:rPr>
          <w:rFonts w:ascii="Calibri" w:hAnsi="Calibri" w:cs="Calibri"/>
          <w:sz w:val="24"/>
          <w:szCs w:val="24"/>
        </w:rPr>
        <w:t>problémy</w:t>
      </w:r>
      <w:r w:rsidR="00206B08" w:rsidRPr="00102AB2">
        <w:rPr>
          <w:rFonts w:ascii="Calibri" w:hAnsi="Calibri" w:cs="Calibri"/>
          <w:sz w:val="24"/>
          <w:szCs w:val="24"/>
        </w:rPr>
        <w:t xml:space="preserve">, které by měly být v rámci tohoto projektu řešeny: </w:t>
      </w:r>
    </w:p>
    <w:p w:rsidR="00B8647F" w:rsidRPr="00102AB2" w:rsidRDefault="00B8647F" w:rsidP="00102AB2">
      <w:pPr>
        <w:pStyle w:val="Odstavecseseznamem"/>
        <w:numPr>
          <w:ilvl w:val="0"/>
          <w:numId w:val="34"/>
        </w:numPr>
        <w:spacing w:after="0" w:line="240" w:lineRule="auto"/>
        <w:ind w:left="284" w:hanging="284"/>
        <w:jc w:val="both"/>
        <w:rPr>
          <w:rStyle w:val="Hypertextovodkaz"/>
          <w:rFonts w:ascii="Calibri" w:hAnsi="Calibri" w:cs="Calibri"/>
          <w:color w:val="auto"/>
          <w:sz w:val="24"/>
          <w:szCs w:val="24"/>
          <w:u w:val="none"/>
        </w:rPr>
      </w:pPr>
      <w:r w:rsidRPr="00102AB2">
        <w:rPr>
          <w:rStyle w:val="Hypertextovodkaz"/>
          <w:rFonts w:ascii="Calibri" w:hAnsi="Calibri" w:cs="Calibri"/>
          <w:color w:val="auto"/>
          <w:sz w:val="24"/>
          <w:szCs w:val="24"/>
          <w:u w:val="none"/>
        </w:rPr>
        <w:t>z</w:t>
      </w:r>
      <w:r w:rsidR="00206B08" w:rsidRPr="00102AB2">
        <w:rPr>
          <w:rStyle w:val="Hypertextovodkaz"/>
          <w:rFonts w:ascii="Calibri" w:hAnsi="Calibri" w:cs="Calibri"/>
          <w:color w:val="auto"/>
          <w:sz w:val="24"/>
          <w:szCs w:val="24"/>
          <w:u w:val="none"/>
        </w:rPr>
        <w:t>da kjótské jednotky (AAU) splňují definici aktiva</w:t>
      </w:r>
      <w:r w:rsidRPr="00102AB2">
        <w:rPr>
          <w:rStyle w:val="Hypertextovodkaz"/>
          <w:rFonts w:ascii="Calibri" w:hAnsi="Calibri" w:cs="Calibri"/>
          <w:color w:val="auto"/>
          <w:sz w:val="24"/>
          <w:szCs w:val="24"/>
          <w:u w:val="none"/>
        </w:rPr>
        <w:t>,</w:t>
      </w:r>
    </w:p>
    <w:p w:rsidR="00B8647F" w:rsidRPr="00102AB2" w:rsidRDefault="00206B08" w:rsidP="00102AB2">
      <w:pPr>
        <w:pStyle w:val="Odstavecseseznamem"/>
        <w:numPr>
          <w:ilvl w:val="0"/>
          <w:numId w:val="34"/>
        </w:numPr>
        <w:spacing w:after="0" w:line="240" w:lineRule="auto"/>
        <w:ind w:left="284" w:hanging="284"/>
        <w:jc w:val="both"/>
        <w:rPr>
          <w:rStyle w:val="Hypertextovodkaz"/>
          <w:rFonts w:ascii="Calibri" w:hAnsi="Calibri" w:cs="Calibri"/>
          <w:color w:val="auto"/>
          <w:sz w:val="24"/>
          <w:szCs w:val="24"/>
          <w:u w:val="none"/>
        </w:rPr>
      </w:pPr>
      <w:r w:rsidRPr="00102AB2">
        <w:rPr>
          <w:rStyle w:val="Hypertextovodkaz"/>
          <w:rFonts w:ascii="Calibri" w:hAnsi="Calibri" w:cs="Calibri"/>
          <w:color w:val="auto"/>
          <w:sz w:val="24"/>
          <w:szCs w:val="24"/>
          <w:u w:val="none"/>
        </w:rPr>
        <w:t>pokud jsou aktivem</w:t>
      </w:r>
      <w:r w:rsidR="00CA3BC8" w:rsidRPr="00102AB2">
        <w:rPr>
          <w:rStyle w:val="Hypertextovodkaz"/>
          <w:rFonts w:ascii="Calibri" w:hAnsi="Calibri" w:cs="Calibri"/>
          <w:color w:val="auto"/>
          <w:sz w:val="24"/>
          <w:szCs w:val="24"/>
          <w:u w:val="none"/>
        </w:rPr>
        <w:t>,</w:t>
      </w:r>
      <w:r w:rsidRPr="00102AB2">
        <w:rPr>
          <w:rStyle w:val="Hypertextovodkaz"/>
          <w:rFonts w:ascii="Calibri" w:hAnsi="Calibri" w:cs="Calibri"/>
          <w:color w:val="auto"/>
          <w:sz w:val="24"/>
          <w:szCs w:val="24"/>
          <w:u w:val="none"/>
        </w:rPr>
        <w:t xml:space="preserve"> jaká je jejich povaha a jak je vyčíslit</w:t>
      </w:r>
      <w:r w:rsidR="00B8647F" w:rsidRPr="00102AB2">
        <w:rPr>
          <w:rStyle w:val="Hypertextovodkaz"/>
          <w:rFonts w:ascii="Calibri" w:hAnsi="Calibri" w:cs="Calibri"/>
          <w:color w:val="auto"/>
          <w:sz w:val="24"/>
          <w:szCs w:val="24"/>
          <w:u w:val="none"/>
        </w:rPr>
        <w:t>,</w:t>
      </w:r>
    </w:p>
    <w:p w:rsidR="00B8647F" w:rsidRPr="00102AB2" w:rsidRDefault="00B8647F" w:rsidP="00102AB2">
      <w:pPr>
        <w:pStyle w:val="Odstavecseseznamem"/>
        <w:numPr>
          <w:ilvl w:val="0"/>
          <w:numId w:val="34"/>
        </w:numPr>
        <w:spacing w:after="0" w:line="240" w:lineRule="auto"/>
        <w:ind w:left="284" w:hanging="284"/>
        <w:jc w:val="both"/>
        <w:rPr>
          <w:rStyle w:val="Hypertextovodkaz"/>
          <w:rFonts w:ascii="Calibri" w:hAnsi="Calibri" w:cs="Calibri"/>
          <w:color w:val="auto"/>
          <w:sz w:val="24"/>
          <w:szCs w:val="24"/>
          <w:u w:val="none"/>
        </w:rPr>
      </w:pPr>
      <w:r w:rsidRPr="00102AB2">
        <w:rPr>
          <w:rStyle w:val="Hypertextovodkaz"/>
          <w:rFonts w:ascii="Calibri" w:hAnsi="Calibri" w:cs="Calibri"/>
          <w:color w:val="auto"/>
          <w:sz w:val="24"/>
          <w:szCs w:val="24"/>
          <w:u w:val="none"/>
        </w:rPr>
        <w:t>z</w:t>
      </w:r>
      <w:r w:rsidR="00206B08" w:rsidRPr="00102AB2">
        <w:rPr>
          <w:rStyle w:val="Hypertextovodkaz"/>
          <w:rFonts w:ascii="Calibri" w:hAnsi="Calibri" w:cs="Calibri"/>
          <w:color w:val="auto"/>
          <w:sz w:val="24"/>
          <w:szCs w:val="24"/>
          <w:u w:val="none"/>
        </w:rPr>
        <w:t>da</w:t>
      </w:r>
      <w:r w:rsidR="00FF07BB" w:rsidRPr="00102AB2">
        <w:rPr>
          <w:rStyle w:val="Hypertextovodkaz"/>
          <w:rFonts w:ascii="Calibri" w:hAnsi="Calibri" w:cs="Calibri"/>
          <w:color w:val="auto"/>
          <w:sz w:val="24"/>
          <w:szCs w:val="24"/>
          <w:u w:val="none"/>
        </w:rPr>
        <w:t xml:space="preserve"> </w:t>
      </w:r>
      <w:r w:rsidR="00206B08" w:rsidRPr="00102AB2">
        <w:rPr>
          <w:rStyle w:val="Hypertextovodkaz"/>
          <w:rFonts w:ascii="Calibri" w:hAnsi="Calibri" w:cs="Calibri"/>
          <w:color w:val="auto"/>
          <w:sz w:val="24"/>
          <w:szCs w:val="24"/>
          <w:u w:val="none"/>
        </w:rPr>
        <w:t>z</w:t>
      </w:r>
      <w:r w:rsidR="007405FC" w:rsidRPr="00102AB2">
        <w:rPr>
          <w:rStyle w:val="Hypertextovodkaz"/>
          <w:rFonts w:ascii="Calibri" w:hAnsi="Calibri" w:cs="Calibri"/>
          <w:color w:val="auto"/>
          <w:sz w:val="24"/>
          <w:szCs w:val="24"/>
          <w:u w:val="none"/>
        </w:rPr>
        <w:t xml:space="preserve"> </w:t>
      </w:r>
      <w:r w:rsidR="00206B08" w:rsidRPr="00102AB2">
        <w:rPr>
          <w:rStyle w:val="Hypertextovodkaz"/>
          <w:rFonts w:ascii="Calibri" w:hAnsi="Calibri" w:cs="Calibri"/>
          <w:color w:val="auto"/>
          <w:sz w:val="24"/>
          <w:szCs w:val="24"/>
          <w:u w:val="none"/>
        </w:rPr>
        <w:t xml:space="preserve">podmínek </w:t>
      </w:r>
      <w:r w:rsidR="00206B08" w:rsidRPr="000D4904">
        <w:rPr>
          <w:rStyle w:val="Hypertextovodkaz"/>
          <w:rFonts w:ascii="Calibri" w:hAnsi="Calibri" w:cs="Calibri"/>
          <w:i/>
          <w:color w:val="auto"/>
          <w:sz w:val="24"/>
          <w:szCs w:val="24"/>
          <w:u w:val="none"/>
        </w:rPr>
        <w:t>Kjótského protokolu</w:t>
      </w:r>
      <w:r w:rsidR="00206B08" w:rsidRPr="00102AB2">
        <w:rPr>
          <w:rStyle w:val="Hypertextovodkaz"/>
          <w:rFonts w:ascii="Calibri" w:hAnsi="Calibri" w:cs="Calibri"/>
          <w:color w:val="auto"/>
          <w:sz w:val="24"/>
          <w:szCs w:val="24"/>
          <w:u w:val="none"/>
        </w:rPr>
        <w:t xml:space="preserve"> a ostatních mezinárodních smluv a dohod plynou vládám závazky</w:t>
      </w:r>
      <w:r w:rsidRPr="00102AB2">
        <w:rPr>
          <w:rStyle w:val="Hypertextovodkaz"/>
          <w:rFonts w:ascii="Calibri" w:hAnsi="Calibri" w:cs="Calibri"/>
          <w:color w:val="auto"/>
          <w:sz w:val="24"/>
          <w:szCs w:val="24"/>
          <w:u w:val="none"/>
        </w:rPr>
        <w:t>,</w:t>
      </w:r>
    </w:p>
    <w:p w:rsidR="00CE65FF" w:rsidRPr="00102AB2" w:rsidRDefault="00B8647F" w:rsidP="00102AB2">
      <w:pPr>
        <w:pStyle w:val="Odstavecseseznamem"/>
        <w:numPr>
          <w:ilvl w:val="0"/>
          <w:numId w:val="34"/>
        </w:numPr>
        <w:spacing w:after="0" w:line="240" w:lineRule="auto"/>
        <w:ind w:left="284" w:hanging="284"/>
        <w:jc w:val="both"/>
        <w:rPr>
          <w:rStyle w:val="Hypertextovodkaz"/>
          <w:rFonts w:ascii="Calibri" w:hAnsi="Calibri" w:cs="Calibri"/>
          <w:color w:val="auto"/>
          <w:sz w:val="24"/>
          <w:szCs w:val="24"/>
          <w:u w:val="none"/>
        </w:rPr>
      </w:pPr>
      <w:r w:rsidRPr="00102AB2">
        <w:rPr>
          <w:rStyle w:val="Hypertextovodkaz"/>
          <w:rFonts w:ascii="Calibri" w:hAnsi="Calibri" w:cs="Calibri"/>
          <w:color w:val="auto"/>
          <w:sz w:val="24"/>
          <w:szCs w:val="24"/>
          <w:u w:val="none"/>
        </w:rPr>
        <w:lastRenderedPageBreak/>
        <w:t>zda z</w:t>
      </w:r>
      <w:r w:rsidR="007405FC" w:rsidRPr="00102AB2">
        <w:rPr>
          <w:rStyle w:val="Hypertextovodkaz"/>
          <w:rFonts w:ascii="Calibri" w:hAnsi="Calibri" w:cs="Calibri"/>
          <w:color w:val="auto"/>
          <w:sz w:val="24"/>
          <w:szCs w:val="24"/>
          <w:u w:val="none"/>
        </w:rPr>
        <w:t xml:space="preserve"> </w:t>
      </w:r>
      <w:r w:rsidRPr="00102AB2">
        <w:rPr>
          <w:rStyle w:val="Hypertextovodkaz"/>
          <w:rFonts w:ascii="Calibri" w:hAnsi="Calibri" w:cs="Calibri"/>
          <w:color w:val="auto"/>
          <w:sz w:val="24"/>
          <w:szCs w:val="24"/>
          <w:u w:val="none"/>
        </w:rPr>
        <w:t>alokace bezplatných</w:t>
      </w:r>
      <w:r w:rsidR="007405FC" w:rsidRPr="00102AB2">
        <w:rPr>
          <w:rStyle w:val="Hypertextovodkaz"/>
          <w:rFonts w:ascii="Calibri" w:hAnsi="Calibri" w:cs="Calibri"/>
          <w:color w:val="auto"/>
          <w:sz w:val="24"/>
          <w:szCs w:val="24"/>
          <w:u w:val="none"/>
        </w:rPr>
        <w:t xml:space="preserve"> </w:t>
      </w:r>
      <w:r w:rsidRPr="00102AB2">
        <w:rPr>
          <w:rStyle w:val="Hypertextovodkaz"/>
          <w:rFonts w:ascii="Calibri" w:hAnsi="Calibri" w:cs="Calibri"/>
          <w:color w:val="auto"/>
          <w:sz w:val="24"/>
          <w:szCs w:val="24"/>
          <w:u w:val="none"/>
        </w:rPr>
        <w:t>povolenek na emise plynou pro administrátora</w:t>
      </w:r>
      <w:r w:rsidRPr="00102AB2">
        <w:rPr>
          <w:rStyle w:val="Znakapoznpodarou"/>
          <w:rFonts w:ascii="Calibri" w:hAnsi="Calibri" w:cs="Calibri"/>
          <w:sz w:val="24"/>
          <w:szCs w:val="24"/>
        </w:rPr>
        <w:footnoteReference w:id="91"/>
      </w:r>
      <w:r w:rsidRPr="00102AB2">
        <w:rPr>
          <w:rStyle w:val="Hypertextovodkaz"/>
          <w:rFonts w:ascii="Calibri" w:hAnsi="Calibri" w:cs="Calibri"/>
          <w:color w:val="auto"/>
          <w:sz w:val="24"/>
          <w:szCs w:val="24"/>
          <w:u w:val="none"/>
        </w:rPr>
        <w:t xml:space="preserve"> náklady a</w:t>
      </w:r>
      <w:r w:rsidR="00D27C61" w:rsidRPr="00102AB2">
        <w:rPr>
          <w:rStyle w:val="Hypertextovodkaz"/>
          <w:rFonts w:ascii="Calibri" w:hAnsi="Calibri" w:cs="Calibri"/>
          <w:color w:val="auto"/>
          <w:sz w:val="24"/>
          <w:szCs w:val="24"/>
          <w:u w:val="none"/>
        </w:rPr>
        <w:t> </w:t>
      </w:r>
      <w:r w:rsidRPr="00102AB2">
        <w:rPr>
          <w:rStyle w:val="Hypertextovodkaz"/>
          <w:rFonts w:ascii="Calibri" w:hAnsi="Calibri" w:cs="Calibri"/>
          <w:color w:val="auto"/>
          <w:sz w:val="24"/>
          <w:szCs w:val="24"/>
          <w:u w:val="none"/>
        </w:rPr>
        <w:t>závazky</w:t>
      </w:r>
      <w:r w:rsidR="00057774" w:rsidRPr="00102AB2">
        <w:rPr>
          <w:rStyle w:val="Hypertextovodkaz"/>
          <w:rFonts w:ascii="Calibri" w:hAnsi="Calibri" w:cs="Calibri"/>
          <w:color w:val="auto"/>
          <w:sz w:val="24"/>
          <w:szCs w:val="24"/>
          <w:u w:val="none"/>
        </w:rPr>
        <w:t>,</w:t>
      </w:r>
      <w:r w:rsidRPr="00102AB2">
        <w:rPr>
          <w:rStyle w:val="Hypertextovodkaz"/>
          <w:rFonts w:ascii="Calibri" w:hAnsi="Calibri" w:cs="Calibri"/>
          <w:color w:val="auto"/>
          <w:sz w:val="24"/>
          <w:szCs w:val="24"/>
          <w:u w:val="none"/>
        </w:rPr>
        <w:t xml:space="preserve"> a pokud ano, v</w:t>
      </w:r>
      <w:r w:rsidR="007405FC" w:rsidRPr="00102AB2">
        <w:rPr>
          <w:rStyle w:val="Hypertextovodkaz"/>
          <w:rFonts w:ascii="Calibri" w:hAnsi="Calibri" w:cs="Calibri"/>
          <w:color w:val="auto"/>
          <w:sz w:val="24"/>
          <w:szCs w:val="24"/>
          <w:u w:val="none"/>
        </w:rPr>
        <w:t xml:space="preserve"> </w:t>
      </w:r>
      <w:r w:rsidRPr="00102AB2">
        <w:rPr>
          <w:rStyle w:val="Hypertextovodkaz"/>
          <w:rFonts w:ascii="Calibri" w:hAnsi="Calibri" w:cs="Calibri"/>
          <w:color w:val="auto"/>
          <w:sz w:val="24"/>
          <w:szCs w:val="24"/>
          <w:u w:val="none"/>
        </w:rPr>
        <w:t xml:space="preserve">jakém okamžiku vznikají a jak mají být oceněny. </w:t>
      </w:r>
    </w:p>
    <w:p w:rsidR="00102AB2" w:rsidRPr="00102AB2" w:rsidRDefault="00102AB2" w:rsidP="00102AB2">
      <w:pPr>
        <w:spacing w:after="0" w:line="240" w:lineRule="auto"/>
        <w:jc w:val="both"/>
        <w:rPr>
          <w:rStyle w:val="Hypertextovodkaz"/>
          <w:rFonts w:ascii="Calibri" w:eastAsia="Times New Roman" w:hAnsi="Calibri" w:cs="Calibri"/>
          <w:bCs/>
          <w:iCs/>
          <w:color w:val="auto"/>
          <w:sz w:val="24"/>
          <w:szCs w:val="24"/>
          <w:u w:val="none"/>
        </w:rPr>
      </w:pPr>
    </w:p>
    <w:p w:rsidR="00CE65FF" w:rsidRDefault="00E717F6" w:rsidP="00102AB2">
      <w:pPr>
        <w:spacing w:after="0" w:line="240" w:lineRule="auto"/>
        <w:jc w:val="both"/>
        <w:rPr>
          <w:rFonts w:ascii="Calibri" w:hAnsi="Calibri" w:cs="Calibri"/>
          <w:sz w:val="24"/>
          <w:szCs w:val="24"/>
        </w:rPr>
      </w:pPr>
      <w:r w:rsidRPr="00102AB2">
        <w:rPr>
          <w:rFonts w:ascii="Calibri" w:hAnsi="Calibri" w:cs="Calibri"/>
          <w:sz w:val="24"/>
          <w:szCs w:val="24"/>
        </w:rPr>
        <w:t>Danou problematiku je</w:t>
      </w:r>
      <w:r w:rsidR="00B92FA0" w:rsidRPr="00102AB2">
        <w:rPr>
          <w:rFonts w:ascii="Calibri" w:hAnsi="Calibri" w:cs="Calibri"/>
          <w:sz w:val="24"/>
          <w:szCs w:val="24"/>
        </w:rPr>
        <w:t xml:space="preserve"> proto</w:t>
      </w:r>
      <w:r w:rsidRPr="00102AB2">
        <w:rPr>
          <w:rFonts w:ascii="Calibri" w:hAnsi="Calibri" w:cs="Calibri"/>
          <w:sz w:val="24"/>
          <w:szCs w:val="24"/>
        </w:rPr>
        <w:t xml:space="preserve"> v</w:t>
      </w:r>
      <w:r w:rsidR="007405FC" w:rsidRPr="00102AB2">
        <w:rPr>
          <w:rFonts w:ascii="Calibri" w:hAnsi="Calibri" w:cs="Calibri"/>
          <w:sz w:val="24"/>
          <w:szCs w:val="24"/>
        </w:rPr>
        <w:t xml:space="preserve"> </w:t>
      </w:r>
      <w:r w:rsidRPr="00102AB2">
        <w:rPr>
          <w:rFonts w:ascii="Calibri" w:hAnsi="Calibri" w:cs="Calibri"/>
          <w:sz w:val="24"/>
          <w:szCs w:val="24"/>
        </w:rPr>
        <w:t xml:space="preserve">České republice vhodné řešit </w:t>
      </w:r>
      <w:r w:rsidR="00BE44E9" w:rsidRPr="00102AB2">
        <w:rPr>
          <w:rFonts w:ascii="Calibri" w:hAnsi="Calibri" w:cs="Calibri"/>
          <w:sz w:val="24"/>
          <w:szCs w:val="24"/>
        </w:rPr>
        <w:t>při znalosti výstupů z</w:t>
      </w:r>
      <w:r w:rsidR="007405FC" w:rsidRPr="00102AB2">
        <w:rPr>
          <w:rFonts w:ascii="Calibri" w:hAnsi="Calibri" w:cs="Calibri"/>
          <w:sz w:val="24"/>
          <w:szCs w:val="24"/>
        </w:rPr>
        <w:t xml:space="preserve"> </w:t>
      </w:r>
      <w:r w:rsidR="00BE44E9" w:rsidRPr="00102AB2">
        <w:rPr>
          <w:rFonts w:ascii="Calibri" w:hAnsi="Calibri" w:cs="Calibri"/>
          <w:sz w:val="24"/>
          <w:szCs w:val="24"/>
        </w:rPr>
        <w:t>tohoto projektu a</w:t>
      </w:r>
      <w:r w:rsidR="00F16602" w:rsidRPr="00102AB2">
        <w:rPr>
          <w:rFonts w:ascii="Calibri" w:hAnsi="Calibri" w:cs="Calibri"/>
          <w:sz w:val="24"/>
          <w:szCs w:val="24"/>
        </w:rPr>
        <w:t xml:space="preserve"> také</w:t>
      </w:r>
      <w:r w:rsidR="00BE44E9" w:rsidRPr="00102AB2">
        <w:rPr>
          <w:rFonts w:ascii="Calibri" w:hAnsi="Calibri" w:cs="Calibri"/>
          <w:sz w:val="24"/>
          <w:szCs w:val="24"/>
        </w:rPr>
        <w:t xml:space="preserve"> s </w:t>
      </w:r>
      <w:r w:rsidRPr="00102AB2">
        <w:rPr>
          <w:rFonts w:ascii="Calibri" w:hAnsi="Calibri" w:cs="Calibri"/>
          <w:sz w:val="24"/>
          <w:szCs w:val="24"/>
        </w:rPr>
        <w:t xml:space="preserve">ohledem na </w:t>
      </w:r>
      <w:r w:rsidR="00BE44E9" w:rsidRPr="00102AB2">
        <w:rPr>
          <w:rFonts w:ascii="Calibri" w:hAnsi="Calibri" w:cs="Calibri"/>
          <w:sz w:val="24"/>
          <w:szCs w:val="24"/>
        </w:rPr>
        <w:t xml:space="preserve">skutečnost, </w:t>
      </w:r>
      <w:r w:rsidRPr="00102AB2">
        <w:rPr>
          <w:rFonts w:ascii="Calibri" w:hAnsi="Calibri" w:cs="Calibri"/>
          <w:sz w:val="24"/>
          <w:szCs w:val="24"/>
        </w:rPr>
        <w:t xml:space="preserve">že </w:t>
      </w:r>
      <w:r w:rsidR="00BE44E9" w:rsidRPr="00102AB2">
        <w:rPr>
          <w:rFonts w:ascii="Calibri" w:hAnsi="Calibri" w:cs="Calibri"/>
          <w:sz w:val="24"/>
          <w:szCs w:val="24"/>
        </w:rPr>
        <w:t>z</w:t>
      </w:r>
      <w:r w:rsidRPr="00102AB2">
        <w:rPr>
          <w:rFonts w:ascii="Calibri" w:hAnsi="Calibri" w:cs="Calibri"/>
          <w:sz w:val="24"/>
          <w:szCs w:val="24"/>
        </w:rPr>
        <w:t xml:space="preserve">ávazek </w:t>
      </w:r>
      <w:r w:rsidR="00A8425D" w:rsidRPr="00102AB2">
        <w:rPr>
          <w:rFonts w:ascii="Calibri" w:hAnsi="Calibri" w:cs="Calibri"/>
          <w:sz w:val="24"/>
          <w:szCs w:val="24"/>
        </w:rPr>
        <w:t>na snížení emisí</w:t>
      </w:r>
      <w:r w:rsidR="00596776" w:rsidRPr="00102AB2">
        <w:rPr>
          <w:rFonts w:ascii="Calibri" w:hAnsi="Calibri" w:cs="Calibri"/>
          <w:sz w:val="24"/>
          <w:szCs w:val="24"/>
        </w:rPr>
        <w:t xml:space="preserve"> skleníkových plynů</w:t>
      </w:r>
      <w:r w:rsidR="00BE44E9" w:rsidRPr="00102AB2">
        <w:rPr>
          <w:rFonts w:ascii="Calibri" w:hAnsi="Calibri" w:cs="Calibri"/>
          <w:sz w:val="24"/>
          <w:szCs w:val="24"/>
        </w:rPr>
        <w:t xml:space="preserve"> je členskými zeměmi Evropské unie plněn společně.</w:t>
      </w:r>
      <w:r w:rsidR="00057774" w:rsidRPr="00102AB2">
        <w:rPr>
          <w:rFonts w:ascii="Calibri" w:hAnsi="Calibri" w:cs="Calibri"/>
          <w:sz w:val="24"/>
          <w:szCs w:val="24"/>
        </w:rPr>
        <w:t xml:space="preserve"> S</w:t>
      </w:r>
      <w:r w:rsidR="00596776" w:rsidRPr="00102AB2">
        <w:rPr>
          <w:rFonts w:ascii="Calibri" w:hAnsi="Calibri" w:cs="Calibri"/>
          <w:sz w:val="24"/>
          <w:szCs w:val="24"/>
        </w:rPr>
        <w:t>právnost údajů shromažďovaných v</w:t>
      </w:r>
      <w:r w:rsidR="0036506D" w:rsidRPr="00102AB2">
        <w:rPr>
          <w:rFonts w:ascii="Calibri" w:hAnsi="Calibri" w:cs="Calibri"/>
          <w:sz w:val="24"/>
          <w:szCs w:val="24"/>
        </w:rPr>
        <w:t> </w:t>
      </w:r>
      <w:r w:rsidR="00596776" w:rsidRPr="000D4904">
        <w:rPr>
          <w:rFonts w:ascii="Calibri" w:hAnsi="Calibri" w:cs="Calibri"/>
          <w:i/>
          <w:sz w:val="24"/>
          <w:szCs w:val="24"/>
        </w:rPr>
        <w:t>Centrálním systému účetních informací státu</w:t>
      </w:r>
      <w:r w:rsidR="00596776" w:rsidRPr="00102AB2">
        <w:rPr>
          <w:rFonts w:ascii="Calibri" w:hAnsi="Calibri" w:cs="Calibri"/>
          <w:sz w:val="24"/>
          <w:szCs w:val="24"/>
        </w:rPr>
        <w:t xml:space="preserve"> </w:t>
      </w:r>
      <w:r w:rsidR="00057774" w:rsidRPr="00102AB2">
        <w:rPr>
          <w:rFonts w:ascii="Calibri" w:hAnsi="Calibri" w:cs="Calibri"/>
          <w:sz w:val="24"/>
          <w:szCs w:val="24"/>
        </w:rPr>
        <w:t>je důležitá pro jejich další použití</w:t>
      </w:r>
      <w:r w:rsidR="00057774" w:rsidRPr="00102AB2">
        <w:rPr>
          <w:rStyle w:val="Znakapoznpodarou"/>
          <w:rFonts w:ascii="Calibri" w:eastAsia="Times New Roman" w:hAnsi="Calibri" w:cs="Calibri"/>
          <w:bCs/>
          <w:iCs/>
          <w:sz w:val="24"/>
          <w:szCs w:val="24"/>
        </w:rPr>
        <w:footnoteReference w:id="92"/>
      </w:r>
      <w:r w:rsidR="00057774" w:rsidRPr="00102AB2">
        <w:rPr>
          <w:rFonts w:ascii="Calibri" w:hAnsi="Calibri" w:cs="Calibri"/>
          <w:sz w:val="24"/>
          <w:szCs w:val="24"/>
        </w:rPr>
        <w:t>.</w:t>
      </w:r>
    </w:p>
    <w:p w:rsidR="00102AB2" w:rsidRPr="00102AB2" w:rsidRDefault="00102AB2" w:rsidP="00102AB2">
      <w:pPr>
        <w:spacing w:after="0" w:line="240" w:lineRule="auto"/>
        <w:jc w:val="both"/>
        <w:rPr>
          <w:rFonts w:ascii="Calibri" w:hAnsi="Calibri" w:cs="Calibri"/>
          <w:sz w:val="24"/>
          <w:szCs w:val="24"/>
        </w:rPr>
      </w:pPr>
    </w:p>
    <w:p w:rsidR="007734BA" w:rsidRPr="00102AB2" w:rsidRDefault="007734BA" w:rsidP="00102AB2">
      <w:pPr>
        <w:spacing w:after="0" w:line="240" w:lineRule="auto"/>
        <w:jc w:val="both"/>
        <w:rPr>
          <w:rFonts w:ascii="Calibri" w:hAnsi="Calibri" w:cs="Calibri"/>
          <w:b/>
          <w:color w:val="000000"/>
          <w:sz w:val="24"/>
          <w:szCs w:val="24"/>
        </w:rPr>
      </w:pPr>
      <w:r w:rsidRPr="00102AB2">
        <w:rPr>
          <w:rFonts w:ascii="Calibri" w:hAnsi="Calibri" w:cs="Calibri"/>
          <w:b/>
          <w:color w:val="000000"/>
          <w:sz w:val="24"/>
          <w:szCs w:val="24"/>
        </w:rPr>
        <w:t>Finanční výkazy</w:t>
      </w:r>
    </w:p>
    <w:p w:rsidR="00102AB2" w:rsidRDefault="00102AB2" w:rsidP="00102AB2">
      <w:pPr>
        <w:spacing w:after="0" w:line="240" w:lineRule="auto"/>
        <w:jc w:val="both"/>
        <w:rPr>
          <w:rFonts w:ascii="Calibri" w:hAnsi="Calibri" w:cs="Calibri"/>
          <w:color w:val="000000"/>
          <w:sz w:val="24"/>
          <w:szCs w:val="24"/>
        </w:rPr>
      </w:pPr>
    </w:p>
    <w:p w:rsidR="001A524B" w:rsidRDefault="007734BA" w:rsidP="00102AB2">
      <w:pPr>
        <w:spacing w:after="0" w:line="240" w:lineRule="auto"/>
        <w:jc w:val="both"/>
        <w:rPr>
          <w:rFonts w:ascii="Calibri" w:hAnsi="Calibri" w:cs="Calibri"/>
          <w:color w:val="000000"/>
          <w:sz w:val="24"/>
          <w:szCs w:val="24"/>
        </w:rPr>
      </w:pPr>
      <w:r w:rsidRPr="00102AB2">
        <w:rPr>
          <w:rFonts w:ascii="Calibri" w:hAnsi="Calibri" w:cs="Calibri"/>
          <w:color w:val="000000"/>
          <w:sz w:val="24"/>
          <w:szCs w:val="24"/>
        </w:rPr>
        <w:t>Ve výkazu pro hodnocení plnění rozpočtu za rok 2013 byla zjištěna nesprávnost v</w:t>
      </w:r>
      <w:r w:rsidR="007405FC" w:rsidRPr="00102AB2">
        <w:rPr>
          <w:rFonts w:ascii="Calibri" w:hAnsi="Calibri" w:cs="Calibri"/>
          <w:color w:val="000000"/>
          <w:sz w:val="24"/>
          <w:szCs w:val="24"/>
        </w:rPr>
        <w:t xml:space="preserve"> </w:t>
      </w:r>
      <w:r w:rsidRPr="00102AB2">
        <w:rPr>
          <w:rFonts w:ascii="Calibri" w:hAnsi="Calibri" w:cs="Calibri"/>
          <w:color w:val="000000"/>
          <w:sz w:val="24"/>
          <w:szCs w:val="24"/>
        </w:rPr>
        <w:t>celkové výši 3</w:t>
      </w:r>
      <w:r w:rsidR="007405FC" w:rsidRPr="00102AB2">
        <w:rPr>
          <w:rFonts w:ascii="Calibri" w:hAnsi="Calibri" w:cs="Calibri"/>
          <w:color w:val="000000"/>
          <w:sz w:val="24"/>
          <w:szCs w:val="24"/>
        </w:rPr>
        <w:t xml:space="preserve"> </w:t>
      </w:r>
      <w:r w:rsidRPr="00102AB2">
        <w:rPr>
          <w:rFonts w:ascii="Calibri" w:hAnsi="Calibri" w:cs="Calibri"/>
          <w:color w:val="000000"/>
          <w:sz w:val="24"/>
          <w:szCs w:val="24"/>
        </w:rPr>
        <w:t>531</w:t>
      </w:r>
      <w:r w:rsidR="007405FC" w:rsidRPr="00102AB2">
        <w:rPr>
          <w:rFonts w:ascii="Calibri" w:hAnsi="Calibri" w:cs="Calibri"/>
          <w:color w:val="000000"/>
          <w:sz w:val="24"/>
          <w:szCs w:val="24"/>
        </w:rPr>
        <w:t xml:space="preserve"> </w:t>
      </w:r>
      <w:r w:rsidRPr="00102AB2">
        <w:rPr>
          <w:rFonts w:ascii="Calibri" w:hAnsi="Calibri" w:cs="Calibri"/>
          <w:color w:val="000000"/>
          <w:sz w:val="24"/>
          <w:szCs w:val="24"/>
        </w:rPr>
        <w:t>465,56 Kč vzniklá v</w:t>
      </w:r>
      <w:r w:rsidR="007405FC" w:rsidRPr="00102AB2">
        <w:rPr>
          <w:rFonts w:ascii="Calibri" w:hAnsi="Calibri" w:cs="Calibri"/>
          <w:color w:val="000000"/>
          <w:sz w:val="24"/>
          <w:szCs w:val="24"/>
        </w:rPr>
        <w:t xml:space="preserve"> </w:t>
      </w:r>
      <w:r w:rsidRPr="00102AB2">
        <w:rPr>
          <w:rFonts w:ascii="Calibri" w:hAnsi="Calibri" w:cs="Calibri"/>
          <w:color w:val="000000"/>
          <w:sz w:val="24"/>
          <w:szCs w:val="24"/>
        </w:rPr>
        <w:t xml:space="preserve">důsledku nesprávné aplikace druhového třídění položek rozpočtové skladby. </w:t>
      </w:r>
    </w:p>
    <w:p w:rsidR="00102AB2" w:rsidRPr="00102AB2" w:rsidRDefault="00102AB2" w:rsidP="00102AB2">
      <w:pPr>
        <w:spacing w:after="0" w:line="240" w:lineRule="auto"/>
        <w:jc w:val="both"/>
        <w:rPr>
          <w:rFonts w:ascii="Calibri" w:hAnsi="Calibri" w:cs="Calibri"/>
          <w:color w:val="000000"/>
          <w:sz w:val="24"/>
          <w:szCs w:val="24"/>
        </w:rPr>
      </w:pPr>
    </w:p>
    <w:p w:rsidR="001A524B" w:rsidRPr="00102AB2" w:rsidRDefault="001A524B" w:rsidP="00102AB2">
      <w:pPr>
        <w:spacing w:after="0" w:line="240" w:lineRule="auto"/>
        <w:jc w:val="both"/>
        <w:rPr>
          <w:rFonts w:ascii="Calibri" w:hAnsi="Calibri" w:cs="Calibri"/>
          <w:sz w:val="24"/>
          <w:szCs w:val="24"/>
        </w:rPr>
      </w:pPr>
      <w:r w:rsidRPr="00102AB2">
        <w:rPr>
          <w:rFonts w:ascii="Calibri" w:hAnsi="Calibri" w:cs="Calibri"/>
          <w:b/>
          <w:sz w:val="24"/>
          <w:szCs w:val="24"/>
        </w:rPr>
        <w:t>Závěrečný účet</w:t>
      </w:r>
    </w:p>
    <w:p w:rsidR="00102AB2" w:rsidRDefault="00102AB2" w:rsidP="00102AB2">
      <w:pPr>
        <w:spacing w:after="0" w:line="240" w:lineRule="auto"/>
        <w:jc w:val="both"/>
        <w:rPr>
          <w:rFonts w:ascii="Calibri" w:hAnsi="Calibri" w:cs="Calibri"/>
          <w:sz w:val="24"/>
          <w:szCs w:val="24"/>
        </w:rPr>
      </w:pPr>
    </w:p>
    <w:p w:rsidR="001A524B" w:rsidRDefault="001A524B"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ZÚ kapitoly </w:t>
      </w:r>
      <w:r w:rsidR="0036325A" w:rsidRPr="00102AB2">
        <w:rPr>
          <w:rFonts w:ascii="Calibri" w:hAnsi="Calibri" w:cs="Calibri"/>
          <w:sz w:val="24"/>
          <w:szCs w:val="24"/>
        </w:rPr>
        <w:t>MŽP</w:t>
      </w:r>
      <w:r w:rsidRPr="00102AB2">
        <w:rPr>
          <w:rFonts w:ascii="Calibri" w:hAnsi="Calibri" w:cs="Calibri"/>
          <w:sz w:val="24"/>
          <w:szCs w:val="24"/>
        </w:rPr>
        <w:t xml:space="preserve"> za rok 2013 v</w:t>
      </w:r>
      <w:r w:rsidR="007405FC" w:rsidRPr="00102AB2">
        <w:rPr>
          <w:rFonts w:ascii="Calibri" w:hAnsi="Calibri" w:cs="Calibri"/>
          <w:sz w:val="24"/>
          <w:szCs w:val="24"/>
        </w:rPr>
        <w:t xml:space="preserve"> </w:t>
      </w:r>
      <w:r w:rsidRPr="00102AB2">
        <w:rPr>
          <w:rFonts w:ascii="Calibri" w:hAnsi="Calibri" w:cs="Calibri"/>
          <w:sz w:val="24"/>
          <w:szCs w:val="24"/>
        </w:rPr>
        <w:t>průvodní zprávě neobsah</w:t>
      </w:r>
      <w:r w:rsidR="00596776" w:rsidRPr="00102AB2">
        <w:rPr>
          <w:rFonts w:ascii="Calibri" w:hAnsi="Calibri" w:cs="Calibri"/>
          <w:sz w:val="24"/>
          <w:szCs w:val="24"/>
        </w:rPr>
        <w:t>oval</w:t>
      </w:r>
      <w:r w:rsidRPr="00102AB2">
        <w:rPr>
          <w:rFonts w:ascii="Calibri" w:hAnsi="Calibri" w:cs="Calibri"/>
          <w:sz w:val="24"/>
          <w:szCs w:val="24"/>
        </w:rPr>
        <w:t xml:space="preserve"> veškeré </w:t>
      </w:r>
      <w:r w:rsidR="007B0852" w:rsidRPr="00102AB2">
        <w:rPr>
          <w:rFonts w:ascii="Calibri" w:hAnsi="Calibri" w:cs="Calibri"/>
          <w:sz w:val="24"/>
          <w:szCs w:val="24"/>
        </w:rPr>
        <w:t xml:space="preserve">povinné </w:t>
      </w:r>
      <w:r w:rsidRPr="00102AB2">
        <w:rPr>
          <w:rFonts w:ascii="Calibri" w:hAnsi="Calibri" w:cs="Calibri"/>
          <w:sz w:val="24"/>
          <w:szCs w:val="24"/>
        </w:rPr>
        <w:t>skutečnosti</w:t>
      </w:r>
      <w:r w:rsidR="007B0852" w:rsidRPr="00102AB2">
        <w:rPr>
          <w:rFonts w:ascii="Calibri" w:hAnsi="Calibri" w:cs="Calibri"/>
          <w:sz w:val="24"/>
          <w:szCs w:val="24"/>
        </w:rPr>
        <w:t xml:space="preserve"> tak</w:t>
      </w:r>
      <w:r w:rsidRPr="00102AB2">
        <w:rPr>
          <w:rFonts w:ascii="Calibri" w:hAnsi="Calibri" w:cs="Calibri"/>
          <w:sz w:val="24"/>
          <w:szCs w:val="24"/>
        </w:rPr>
        <w:t xml:space="preserve">, </w:t>
      </w:r>
      <w:r w:rsidR="007B0852" w:rsidRPr="00102AB2">
        <w:rPr>
          <w:rFonts w:ascii="Calibri" w:hAnsi="Calibri" w:cs="Calibri"/>
          <w:sz w:val="24"/>
          <w:szCs w:val="24"/>
        </w:rPr>
        <w:t xml:space="preserve">jak je </w:t>
      </w:r>
      <w:r w:rsidRPr="00102AB2">
        <w:rPr>
          <w:rFonts w:ascii="Calibri" w:hAnsi="Calibri" w:cs="Calibri"/>
          <w:sz w:val="24"/>
          <w:szCs w:val="24"/>
        </w:rPr>
        <w:t xml:space="preserve">stanoví vyhláška č. 419/2001 Sb. </w:t>
      </w:r>
    </w:p>
    <w:p w:rsidR="00102AB2" w:rsidRPr="00102AB2" w:rsidRDefault="00102AB2" w:rsidP="00102AB2">
      <w:pPr>
        <w:spacing w:after="0" w:line="240" w:lineRule="auto"/>
        <w:jc w:val="both"/>
        <w:rPr>
          <w:rFonts w:ascii="Calibri" w:hAnsi="Calibri" w:cs="Calibri"/>
          <w:sz w:val="24"/>
          <w:szCs w:val="24"/>
        </w:rPr>
      </w:pPr>
    </w:p>
    <w:p w:rsidR="00596776" w:rsidRPr="00102AB2" w:rsidRDefault="00596776" w:rsidP="00102AB2">
      <w:pPr>
        <w:spacing w:after="0" w:line="240" w:lineRule="auto"/>
        <w:jc w:val="both"/>
        <w:rPr>
          <w:rFonts w:ascii="Calibri" w:hAnsi="Calibri" w:cs="Calibri"/>
          <w:b/>
          <w:color w:val="000000"/>
          <w:sz w:val="24"/>
          <w:szCs w:val="24"/>
        </w:rPr>
      </w:pPr>
      <w:r w:rsidRPr="00102AB2">
        <w:rPr>
          <w:rFonts w:ascii="Calibri" w:hAnsi="Calibri" w:cs="Calibri"/>
          <w:b/>
          <w:color w:val="000000"/>
          <w:sz w:val="24"/>
          <w:szCs w:val="24"/>
        </w:rPr>
        <w:t>Hospodaření mimo rozpočet</w:t>
      </w:r>
    </w:p>
    <w:p w:rsidR="00102AB2" w:rsidRPr="00102AB2" w:rsidRDefault="00102AB2" w:rsidP="00102AB2">
      <w:pPr>
        <w:spacing w:after="0" w:line="240" w:lineRule="auto"/>
        <w:jc w:val="both"/>
        <w:rPr>
          <w:rFonts w:ascii="Calibri" w:hAnsi="Calibri" w:cs="Calibri"/>
          <w:color w:val="000000"/>
          <w:sz w:val="24"/>
          <w:szCs w:val="24"/>
        </w:rPr>
      </w:pPr>
    </w:p>
    <w:p w:rsidR="008C0EDE" w:rsidRPr="00102AB2" w:rsidRDefault="008C0EDE" w:rsidP="00102AB2">
      <w:pPr>
        <w:pStyle w:val="Odstavecseseznamem"/>
        <w:numPr>
          <w:ilvl w:val="0"/>
          <w:numId w:val="35"/>
        </w:numPr>
        <w:spacing w:after="0" w:line="240" w:lineRule="auto"/>
        <w:ind w:left="284" w:hanging="284"/>
        <w:jc w:val="both"/>
        <w:rPr>
          <w:rFonts w:ascii="Calibri" w:hAnsi="Calibri" w:cs="Calibri"/>
          <w:b/>
          <w:color w:val="000000"/>
          <w:sz w:val="24"/>
          <w:szCs w:val="24"/>
        </w:rPr>
      </w:pPr>
      <w:r w:rsidRPr="00102AB2">
        <w:rPr>
          <w:rFonts w:ascii="Calibri" w:hAnsi="Calibri" w:cs="Calibri"/>
          <w:b/>
          <w:color w:val="000000"/>
          <w:sz w:val="24"/>
          <w:szCs w:val="24"/>
        </w:rPr>
        <w:t>Revolvingový fond</w:t>
      </w:r>
    </w:p>
    <w:p w:rsidR="00102AB2" w:rsidRDefault="00102AB2" w:rsidP="00102AB2">
      <w:pPr>
        <w:spacing w:after="0" w:line="240" w:lineRule="auto"/>
        <w:jc w:val="both"/>
        <w:rPr>
          <w:rFonts w:ascii="Calibri" w:hAnsi="Calibri" w:cs="Calibri"/>
          <w:color w:val="000000"/>
          <w:sz w:val="24"/>
          <w:szCs w:val="24"/>
        </w:rPr>
      </w:pPr>
    </w:p>
    <w:p w:rsidR="00E91750" w:rsidRDefault="00E91750" w:rsidP="00102AB2">
      <w:pPr>
        <w:spacing w:after="0" w:line="240" w:lineRule="auto"/>
        <w:jc w:val="both"/>
        <w:rPr>
          <w:rFonts w:ascii="Calibri" w:hAnsi="Calibri" w:cs="Calibri"/>
          <w:color w:val="000000"/>
          <w:sz w:val="24"/>
          <w:szCs w:val="24"/>
        </w:rPr>
      </w:pPr>
      <w:r w:rsidRPr="00102AB2">
        <w:rPr>
          <w:rFonts w:ascii="Calibri" w:hAnsi="Calibri" w:cs="Calibri"/>
          <w:color w:val="000000"/>
          <w:sz w:val="24"/>
          <w:szCs w:val="24"/>
        </w:rPr>
        <w:t xml:space="preserve">MŽP na základě </w:t>
      </w:r>
      <w:r w:rsidR="00693E9E">
        <w:rPr>
          <w:rFonts w:ascii="Calibri" w:hAnsi="Calibri" w:cs="Calibri"/>
          <w:color w:val="000000"/>
          <w:sz w:val="24"/>
          <w:szCs w:val="24"/>
        </w:rPr>
        <w:t>d</w:t>
      </w:r>
      <w:r w:rsidRPr="00102AB2">
        <w:rPr>
          <w:rFonts w:ascii="Calibri" w:hAnsi="Calibri" w:cs="Calibri"/>
          <w:color w:val="000000"/>
          <w:sz w:val="24"/>
          <w:szCs w:val="24"/>
        </w:rPr>
        <w:t>odatku č. 2 k</w:t>
      </w:r>
      <w:r w:rsidR="007405FC" w:rsidRPr="00102AB2">
        <w:rPr>
          <w:rFonts w:ascii="Calibri" w:hAnsi="Calibri" w:cs="Calibri"/>
          <w:color w:val="000000"/>
          <w:sz w:val="24"/>
          <w:szCs w:val="24"/>
        </w:rPr>
        <w:t xml:space="preserve"> </w:t>
      </w:r>
      <w:r w:rsidR="003A6107">
        <w:rPr>
          <w:rFonts w:ascii="Calibri" w:hAnsi="Calibri" w:cs="Calibri"/>
          <w:color w:val="000000"/>
          <w:sz w:val="24"/>
          <w:szCs w:val="24"/>
        </w:rPr>
        <w:t>m</w:t>
      </w:r>
      <w:r w:rsidRPr="003A6107">
        <w:rPr>
          <w:rFonts w:ascii="Calibri" w:hAnsi="Calibri" w:cs="Calibri"/>
          <w:color w:val="000000"/>
          <w:sz w:val="24"/>
          <w:szCs w:val="24"/>
        </w:rPr>
        <w:t>emorandu o por</w:t>
      </w:r>
      <w:r w:rsidR="00693E9E" w:rsidRPr="003A6107">
        <w:rPr>
          <w:rFonts w:ascii="Calibri" w:hAnsi="Calibri" w:cs="Calibri"/>
          <w:color w:val="000000"/>
          <w:sz w:val="24"/>
          <w:szCs w:val="24"/>
        </w:rPr>
        <w:t>ozumění mezi Evropskou komisí a </w:t>
      </w:r>
      <w:r w:rsidRPr="003A6107">
        <w:rPr>
          <w:rFonts w:ascii="Calibri" w:hAnsi="Calibri" w:cs="Calibri"/>
          <w:color w:val="000000"/>
          <w:sz w:val="24"/>
          <w:szCs w:val="24"/>
        </w:rPr>
        <w:t>MŽP</w:t>
      </w:r>
      <w:r w:rsidRPr="00102AB2">
        <w:rPr>
          <w:rFonts w:ascii="Calibri" w:hAnsi="Calibri" w:cs="Calibri"/>
          <w:color w:val="000000"/>
          <w:sz w:val="24"/>
          <w:szCs w:val="24"/>
        </w:rPr>
        <w:t>, ve znění dodatku č. 1, hospodařilo s</w:t>
      </w:r>
      <w:r w:rsidR="007405FC" w:rsidRPr="00102AB2">
        <w:rPr>
          <w:rFonts w:ascii="Calibri" w:hAnsi="Calibri" w:cs="Calibri"/>
          <w:color w:val="000000"/>
          <w:sz w:val="24"/>
          <w:szCs w:val="24"/>
        </w:rPr>
        <w:t xml:space="preserve"> </w:t>
      </w:r>
      <w:r w:rsidRPr="00102AB2">
        <w:rPr>
          <w:rFonts w:ascii="Calibri" w:hAnsi="Calibri" w:cs="Calibri"/>
          <w:color w:val="000000"/>
          <w:sz w:val="24"/>
          <w:szCs w:val="24"/>
        </w:rPr>
        <w:t xml:space="preserve">peněžními prostředky </w:t>
      </w:r>
      <w:r w:rsidR="008C0EDE" w:rsidRPr="00102AB2">
        <w:rPr>
          <w:rFonts w:ascii="Calibri" w:hAnsi="Calibri" w:cs="Calibri"/>
          <w:color w:val="000000"/>
          <w:sz w:val="24"/>
          <w:szCs w:val="24"/>
        </w:rPr>
        <w:t>poskytnutými</w:t>
      </w:r>
      <w:r w:rsidRPr="00102AB2">
        <w:rPr>
          <w:rFonts w:ascii="Calibri" w:hAnsi="Calibri" w:cs="Calibri"/>
          <w:color w:val="000000"/>
          <w:sz w:val="24"/>
          <w:szCs w:val="24"/>
        </w:rPr>
        <w:t xml:space="preserve"> Evropskou komisí jako s mimorozpočtovými zdroji</w:t>
      </w:r>
      <w:r w:rsidR="008C0EDE" w:rsidRPr="00102AB2">
        <w:rPr>
          <w:rFonts w:ascii="Calibri" w:hAnsi="Calibri" w:cs="Calibri"/>
          <w:color w:val="000000"/>
          <w:sz w:val="24"/>
          <w:szCs w:val="24"/>
        </w:rPr>
        <w:t xml:space="preserve"> </w:t>
      </w:r>
      <w:r w:rsidR="003A6107">
        <w:rPr>
          <w:rFonts w:ascii="Calibri" w:hAnsi="Calibri" w:cs="Calibri"/>
          <w:color w:val="000000"/>
          <w:sz w:val="24"/>
          <w:szCs w:val="24"/>
        </w:rPr>
        <w:t>a </w:t>
      </w:r>
      <w:r w:rsidR="008C0EDE" w:rsidRPr="00102AB2">
        <w:rPr>
          <w:rFonts w:ascii="Calibri" w:hAnsi="Calibri" w:cs="Calibri"/>
          <w:color w:val="000000"/>
          <w:sz w:val="24"/>
          <w:szCs w:val="24"/>
        </w:rPr>
        <w:t>vytvořilo</w:t>
      </w:r>
      <w:r w:rsidR="003A6107">
        <w:rPr>
          <w:rFonts w:ascii="Calibri" w:hAnsi="Calibri" w:cs="Calibri"/>
          <w:color w:val="000000"/>
          <w:sz w:val="24"/>
          <w:szCs w:val="24"/>
        </w:rPr>
        <w:t xml:space="preserve"> z nich</w:t>
      </w:r>
      <w:r w:rsidR="008C0EDE" w:rsidRPr="00102AB2">
        <w:rPr>
          <w:rFonts w:ascii="Calibri" w:hAnsi="Calibri" w:cs="Calibri"/>
          <w:color w:val="000000"/>
          <w:sz w:val="24"/>
          <w:szCs w:val="24"/>
        </w:rPr>
        <w:t xml:space="preserve"> </w:t>
      </w:r>
      <w:r w:rsidRPr="00102AB2">
        <w:rPr>
          <w:rFonts w:ascii="Calibri" w:hAnsi="Calibri" w:cs="Calibri"/>
          <w:color w:val="000000"/>
          <w:sz w:val="24"/>
          <w:szCs w:val="24"/>
        </w:rPr>
        <w:t xml:space="preserve">tzv. </w:t>
      </w:r>
      <w:r w:rsidR="00693E9E">
        <w:rPr>
          <w:rFonts w:ascii="Calibri" w:hAnsi="Calibri" w:cs="Calibri"/>
          <w:color w:val="000000"/>
          <w:sz w:val="24"/>
          <w:szCs w:val="24"/>
        </w:rPr>
        <w:t>r</w:t>
      </w:r>
      <w:r w:rsidRPr="00102AB2">
        <w:rPr>
          <w:rFonts w:ascii="Calibri" w:hAnsi="Calibri" w:cs="Calibri"/>
          <w:color w:val="000000"/>
          <w:sz w:val="24"/>
          <w:szCs w:val="24"/>
        </w:rPr>
        <w:t>evolvingov</w:t>
      </w:r>
      <w:r w:rsidR="008C0EDE" w:rsidRPr="00102AB2">
        <w:rPr>
          <w:rFonts w:ascii="Calibri" w:hAnsi="Calibri" w:cs="Calibri"/>
          <w:color w:val="000000"/>
          <w:sz w:val="24"/>
          <w:szCs w:val="24"/>
        </w:rPr>
        <w:t xml:space="preserve">ý </w:t>
      </w:r>
      <w:r w:rsidRPr="00102AB2">
        <w:rPr>
          <w:rFonts w:ascii="Calibri" w:hAnsi="Calibri" w:cs="Calibri"/>
          <w:color w:val="000000"/>
          <w:sz w:val="24"/>
          <w:szCs w:val="24"/>
        </w:rPr>
        <w:t>fond</w:t>
      </w:r>
      <w:r w:rsidR="008727CF" w:rsidRPr="00102AB2">
        <w:rPr>
          <w:rFonts w:ascii="Calibri" w:hAnsi="Calibri" w:cs="Calibri"/>
          <w:color w:val="000000"/>
          <w:sz w:val="24"/>
          <w:szCs w:val="24"/>
        </w:rPr>
        <w:t>, se kterým ho</w:t>
      </w:r>
      <w:r w:rsidR="008C0EDE" w:rsidRPr="00102AB2">
        <w:rPr>
          <w:rFonts w:ascii="Calibri" w:hAnsi="Calibri" w:cs="Calibri"/>
          <w:color w:val="000000"/>
          <w:sz w:val="24"/>
          <w:szCs w:val="24"/>
        </w:rPr>
        <w:t>spodařilo</w:t>
      </w:r>
      <w:r w:rsidRPr="00102AB2">
        <w:rPr>
          <w:rFonts w:ascii="Calibri" w:hAnsi="Calibri" w:cs="Calibri"/>
          <w:color w:val="000000"/>
          <w:sz w:val="24"/>
          <w:szCs w:val="24"/>
        </w:rPr>
        <w:t xml:space="preserve"> mimo rozpočet. </w:t>
      </w:r>
    </w:p>
    <w:p w:rsidR="00102AB2" w:rsidRPr="00102AB2" w:rsidRDefault="00102AB2" w:rsidP="00102AB2">
      <w:pPr>
        <w:spacing w:after="0" w:line="240" w:lineRule="auto"/>
        <w:jc w:val="both"/>
        <w:rPr>
          <w:rFonts w:ascii="Calibri" w:hAnsi="Calibri" w:cs="Calibri"/>
          <w:color w:val="000000"/>
          <w:sz w:val="24"/>
          <w:szCs w:val="24"/>
        </w:rPr>
      </w:pPr>
    </w:p>
    <w:p w:rsidR="00E91750" w:rsidRDefault="008727CF" w:rsidP="00102AB2">
      <w:pPr>
        <w:spacing w:after="0" w:line="240" w:lineRule="auto"/>
        <w:jc w:val="both"/>
        <w:rPr>
          <w:rFonts w:ascii="Calibri" w:hAnsi="Calibri" w:cs="Calibri"/>
          <w:color w:val="000000"/>
          <w:sz w:val="24"/>
          <w:szCs w:val="24"/>
        </w:rPr>
      </w:pPr>
      <w:r w:rsidRPr="00102AB2">
        <w:rPr>
          <w:rFonts w:ascii="Calibri" w:hAnsi="Calibri" w:cs="Calibri"/>
          <w:color w:val="000000"/>
          <w:sz w:val="24"/>
          <w:szCs w:val="24"/>
        </w:rPr>
        <w:t>V</w:t>
      </w:r>
      <w:r w:rsidR="00E91750" w:rsidRPr="00102AB2">
        <w:rPr>
          <w:rFonts w:ascii="Calibri" w:hAnsi="Calibri" w:cs="Calibri"/>
          <w:color w:val="000000"/>
          <w:sz w:val="24"/>
          <w:szCs w:val="24"/>
        </w:rPr>
        <w:t xml:space="preserve"> </w:t>
      </w:r>
      <w:r w:rsidR="00693E9E">
        <w:rPr>
          <w:rFonts w:ascii="Calibri" w:hAnsi="Calibri" w:cs="Calibri"/>
          <w:color w:val="000000"/>
          <w:sz w:val="24"/>
          <w:szCs w:val="24"/>
        </w:rPr>
        <w:t>d</w:t>
      </w:r>
      <w:r w:rsidR="00E91750" w:rsidRPr="00102AB2">
        <w:rPr>
          <w:rFonts w:ascii="Calibri" w:hAnsi="Calibri" w:cs="Calibri"/>
          <w:color w:val="000000"/>
          <w:sz w:val="24"/>
          <w:szCs w:val="24"/>
        </w:rPr>
        <w:t>odatku č. 2</w:t>
      </w:r>
      <w:r w:rsidRPr="00102AB2">
        <w:rPr>
          <w:rFonts w:ascii="Calibri" w:hAnsi="Calibri" w:cs="Calibri"/>
          <w:color w:val="000000"/>
          <w:sz w:val="24"/>
          <w:szCs w:val="24"/>
        </w:rPr>
        <w:t xml:space="preserve"> je</w:t>
      </w:r>
      <w:r w:rsidR="00E91750" w:rsidRPr="00102AB2">
        <w:rPr>
          <w:rFonts w:ascii="Calibri" w:hAnsi="Calibri" w:cs="Calibri"/>
          <w:color w:val="000000"/>
          <w:sz w:val="24"/>
          <w:szCs w:val="24"/>
        </w:rPr>
        <w:t xml:space="preserve"> stanoveno,</w:t>
      </w:r>
      <w:r w:rsidRPr="00102AB2">
        <w:rPr>
          <w:rFonts w:ascii="Calibri" w:hAnsi="Calibri" w:cs="Calibri"/>
          <w:sz w:val="24"/>
          <w:szCs w:val="24"/>
        </w:rPr>
        <w:t xml:space="preserve"> že se Evropská komise k</w:t>
      </w:r>
      <w:r w:rsidR="007405FC" w:rsidRPr="00102AB2">
        <w:rPr>
          <w:rFonts w:ascii="Calibri" w:hAnsi="Calibri" w:cs="Calibri"/>
          <w:sz w:val="24"/>
          <w:szCs w:val="24"/>
        </w:rPr>
        <w:t xml:space="preserve"> </w:t>
      </w:r>
      <w:r w:rsidRPr="00102AB2">
        <w:rPr>
          <w:rFonts w:ascii="Calibri" w:hAnsi="Calibri" w:cs="Calibri"/>
          <w:sz w:val="24"/>
          <w:szCs w:val="24"/>
        </w:rPr>
        <w:t>datu jeho platnosti vzdává všech svých práv a závazků vyplývajících z</w:t>
      </w:r>
      <w:r w:rsidR="007405FC" w:rsidRPr="00102AB2">
        <w:rPr>
          <w:rFonts w:ascii="Calibri" w:hAnsi="Calibri" w:cs="Calibri"/>
          <w:sz w:val="24"/>
          <w:szCs w:val="24"/>
        </w:rPr>
        <w:t xml:space="preserve"> </w:t>
      </w:r>
      <w:r w:rsidRPr="00102AB2">
        <w:rPr>
          <w:rFonts w:ascii="Calibri" w:hAnsi="Calibri" w:cs="Calibri"/>
          <w:sz w:val="24"/>
          <w:szCs w:val="24"/>
        </w:rPr>
        <w:t>memoranda a jeho dodatku č. 1. Současně je v</w:t>
      </w:r>
      <w:r w:rsidR="007405FC" w:rsidRPr="00102AB2">
        <w:rPr>
          <w:rFonts w:ascii="Calibri" w:hAnsi="Calibri" w:cs="Calibri"/>
          <w:sz w:val="24"/>
          <w:szCs w:val="24"/>
        </w:rPr>
        <w:t xml:space="preserve"> </w:t>
      </w:r>
      <w:r w:rsidRPr="00102AB2">
        <w:rPr>
          <w:rFonts w:ascii="Calibri" w:hAnsi="Calibri" w:cs="Calibri"/>
          <w:sz w:val="24"/>
          <w:szCs w:val="24"/>
        </w:rPr>
        <w:t>něm výslovně uvedeno, že účel použití těchto prostředků bude nadále určen smluvní stranou tohoto dodatku a budou využity mimo jakýkoli program Evropské unie, který by stanovil účel jejich použití. Využití těchto prostředků má být v</w:t>
      </w:r>
      <w:r w:rsidR="007405FC" w:rsidRPr="00102AB2">
        <w:rPr>
          <w:rFonts w:ascii="Calibri" w:hAnsi="Calibri" w:cs="Calibri"/>
          <w:sz w:val="24"/>
          <w:szCs w:val="24"/>
        </w:rPr>
        <w:t xml:space="preserve"> </w:t>
      </w:r>
      <w:r w:rsidRPr="00102AB2">
        <w:rPr>
          <w:rFonts w:ascii="Calibri" w:hAnsi="Calibri" w:cs="Calibri"/>
          <w:sz w:val="24"/>
          <w:szCs w:val="24"/>
        </w:rPr>
        <w:t>souladu s</w:t>
      </w:r>
      <w:r w:rsidR="007405FC" w:rsidRPr="00102AB2">
        <w:rPr>
          <w:rFonts w:ascii="Calibri" w:hAnsi="Calibri" w:cs="Calibri"/>
          <w:sz w:val="24"/>
          <w:szCs w:val="24"/>
        </w:rPr>
        <w:t xml:space="preserve"> </w:t>
      </w:r>
      <w:r w:rsidRPr="00102AB2">
        <w:rPr>
          <w:rFonts w:ascii="Calibri" w:hAnsi="Calibri" w:cs="Calibri"/>
          <w:sz w:val="24"/>
          <w:szCs w:val="24"/>
        </w:rPr>
        <w:t>předpisy aplikovanými v</w:t>
      </w:r>
      <w:r w:rsidR="007405FC" w:rsidRPr="00102AB2">
        <w:rPr>
          <w:rFonts w:ascii="Calibri" w:hAnsi="Calibri" w:cs="Calibri"/>
          <w:sz w:val="24"/>
          <w:szCs w:val="24"/>
        </w:rPr>
        <w:t xml:space="preserve"> </w:t>
      </w:r>
      <w:r w:rsidRPr="00102AB2">
        <w:rPr>
          <w:rFonts w:ascii="Calibri" w:hAnsi="Calibri" w:cs="Calibri"/>
          <w:sz w:val="24"/>
          <w:szCs w:val="24"/>
        </w:rPr>
        <w:t>České republice</w:t>
      </w:r>
      <w:r w:rsidR="00282D27" w:rsidRPr="00102AB2">
        <w:rPr>
          <w:rFonts w:ascii="Calibri" w:hAnsi="Calibri" w:cs="Calibri"/>
          <w:sz w:val="24"/>
          <w:szCs w:val="24"/>
        </w:rPr>
        <w:t>, což</w:t>
      </w:r>
      <w:r w:rsidRPr="00102AB2">
        <w:rPr>
          <w:rFonts w:ascii="Calibri" w:hAnsi="Calibri" w:cs="Calibri"/>
          <w:sz w:val="24"/>
          <w:szCs w:val="24"/>
        </w:rPr>
        <w:t xml:space="preserve"> při hospodaření s</w:t>
      </w:r>
      <w:r w:rsidR="007405FC" w:rsidRPr="00102AB2">
        <w:rPr>
          <w:rFonts w:ascii="Calibri" w:hAnsi="Calibri" w:cs="Calibri"/>
          <w:sz w:val="24"/>
          <w:szCs w:val="24"/>
        </w:rPr>
        <w:t xml:space="preserve"> </w:t>
      </w:r>
      <w:r w:rsidRPr="00102AB2">
        <w:rPr>
          <w:rFonts w:ascii="Calibri" w:hAnsi="Calibri" w:cs="Calibri"/>
          <w:sz w:val="24"/>
          <w:szCs w:val="24"/>
        </w:rPr>
        <w:t>nimi splněno nebylo.</w:t>
      </w:r>
      <w:r w:rsidR="00E91750" w:rsidRPr="00102AB2">
        <w:rPr>
          <w:rFonts w:ascii="Calibri" w:hAnsi="Calibri" w:cs="Calibri"/>
          <w:color w:val="000000"/>
          <w:sz w:val="24"/>
          <w:szCs w:val="24"/>
        </w:rPr>
        <w:t xml:space="preserve"> MŽP</w:t>
      </w:r>
      <w:r w:rsidRPr="00102AB2">
        <w:rPr>
          <w:rFonts w:ascii="Calibri" w:hAnsi="Calibri" w:cs="Calibri"/>
          <w:color w:val="000000"/>
          <w:sz w:val="24"/>
          <w:szCs w:val="24"/>
        </w:rPr>
        <w:t xml:space="preserve"> při hospodaření s</w:t>
      </w:r>
      <w:r w:rsidR="007405FC" w:rsidRPr="00102AB2">
        <w:rPr>
          <w:rFonts w:ascii="Calibri" w:hAnsi="Calibri" w:cs="Calibri"/>
          <w:color w:val="000000"/>
          <w:sz w:val="24"/>
          <w:szCs w:val="24"/>
        </w:rPr>
        <w:t xml:space="preserve"> </w:t>
      </w:r>
      <w:r w:rsidRPr="00102AB2">
        <w:rPr>
          <w:rFonts w:ascii="Calibri" w:hAnsi="Calibri" w:cs="Calibri"/>
          <w:color w:val="000000"/>
          <w:sz w:val="24"/>
          <w:szCs w:val="24"/>
        </w:rPr>
        <w:t>těmito prostředky porušovalo</w:t>
      </w:r>
      <w:r w:rsidR="00E91750" w:rsidRPr="00102AB2">
        <w:rPr>
          <w:rFonts w:ascii="Calibri" w:hAnsi="Calibri" w:cs="Calibri"/>
          <w:color w:val="000000"/>
          <w:sz w:val="24"/>
          <w:szCs w:val="24"/>
        </w:rPr>
        <w:t xml:space="preserve"> </w:t>
      </w:r>
      <w:r w:rsidR="003A6107">
        <w:rPr>
          <w:rFonts w:ascii="Calibri" w:hAnsi="Calibri" w:cs="Calibri"/>
          <w:color w:val="000000"/>
          <w:sz w:val="24"/>
          <w:szCs w:val="24"/>
        </w:rPr>
        <w:t>rozpočtová pravidla</w:t>
      </w:r>
      <w:r w:rsidR="008C0EDE" w:rsidRPr="00102AB2">
        <w:rPr>
          <w:rFonts w:ascii="Calibri" w:hAnsi="Calibri" w:cs="Calibri"/>
          <w:color w:val="000000"/>
          <w:sz w:val="24"/>
          <w:szCs w:val="24"/>
        </w:rPr>
        <w:t xml:space="preserve"> </w:t>
      </w:r>
      <w:r w:rsidRPr="00102AB2">
        <w:rPr>
          <w:rFonts w:ascii="Calibri" w:hAnsi="Calibri" w:cs="Calibri"/>
          <w:color w:val="000000"/>
          <w:sz w:val="24"/>
          <w:szCs w:val="24"/>
        </w:rPr>
        <w:t xml:space="preserve">i </w:t>
      </w:r>
      <w:r w:rsidR="003A6107">
        <w:rPr>
          <w:rFonts w:ascii="Calibri" w:hAnsi="Calibri" w:cs="Calibri"/>
          <w:color w:val="000000"/>
          <w:sz w:val="24"/>
          <w:szCs w:val="24"/>
        </w:rPr>
        <w:t>zákon o </w:t>
      </w:r>
      <w:r w:rsidR="00E91750" w:rsidRPr="00102AB2">
        <w:rPr>
          <w:rFonts w:ascii="Calibri" w:hAnsi="Calibri" w:cs="Calibri"/>
          <w:color w:val="000000"/>
          <w:sz w:val="24"/>
          <w:szCs w:val="24"/>
        </w:rPr>
        <w:t xml:space="preserve">účetnictví. </w:t>
      </w:r>
      <w:r w:rsidR="000F2C54" w:rsidRPr="00102AB2">
        <w:rPr>
          <w:rFonts w:ascii="Calibri" w:hAnsi="Calibri" w:cs="Calibri"/>
          <w:color w:val="000000"/>
          <w:sz w:val="24"/>
          <w:szCs w:val="24"/>
        </w:rPr>
        <w:t>T</w:t>
      </w:r>
      <w:r w:rsidR="00211587" w:rsidRPr="00102AB2">
        <w:rPr>
          <w:rFonts w:ascii="Calibri" w:hAnsi="Calibri" w:cs="Calibri"/>
          <w:color w:val="000000"/>
          <w:sz w:val="24"/>
          <w:szCs w:val="24"/>
        </w:rPr>
        <w:t>í</w:t>
      </w:r>
      <w:r w:rsidR="00E91750" w:rsidRPr="00102AB2">
        <w:rPr>
          <w:rFonts w:ascii="Calibri" w:hAnsi="Calibri" w:cs="Calibri"/>
          <w:color w:val="000000"/>
          <w:sz w:val="24"/>
          <w:szCs w:val="24"/>
        </w:rPr>
        <w:t>m, že ani k 1.</w:t>
      </w:r>
      <w:r w:rsidR="00D27C61" w:rsidRPr="00102AB2">
        <w:rPr>
          <w:rFonts w:ascii="Calibri" w:hAnsi="Calibri" w:cs="Calibri"/>
          <w:color w:val="000000"/>
          <w:sz w:val="24"/>
          <w:szCs w:val="24"/>
        </w:rPr>
        <w:t> </w:t>
      </w:r>
      <w:r w:rsidR="00211587" w:rsidRPr="00102AB2">
        <w:rPr>
          <w:rFonts w:ascii="Calibri" w:hAnsi="Calibri" w:cs="Calibri"/>
          <w:color w:val="000000"/>
          <w:sz w:val="24"/>
          <w:szCs w:val="24"/>
        </w:rPr>
        <w:t>dubnu</w:t>
      </w:r>
      <w:r w:rsidR="00E91750" w:rsidRPr="00102AB2">
        <w:rPr>
          <w:rFonts w:ascii="Calibri" w:hAnsi="Calibri" w:cs="Calibri"/>
          <w:color w:val="000000"/>
          <w:sz w:val="24"/>
          <w:szCs w:val="24"/>
        </w:rPr>
        <w:t xml:space="preserve"> 2013 nebyly peněžní prostředky převedeny z</w:t>
      </w:r>
      <w:r w:rsidR="007405FC" w:rsidRPr="00102AB2">
        <w:rPr>
          <w:rFonts w:ascii="Calibri" w:hAnsi="Calibri" w:cs="Calibri"/>
          <w:color w:val="000000"/>
          <w:sz w:val="24"/>
          <w:szCs w:val="24"/>
        </w:rPr>
        <w:t xml:space="preserve"> </w:t>
      </w:r>
      <w:r w:rsidR="003A6107">
        <w:rPr>
          <w:rFonts w:ascii="Calibri" w:hAnsi="Calibri" w:cs="Calibri"/>
          <w:color w:val="000000"/>
          <w:sz w:val="24"/>
          <w:szCs w:val="24"/>
        </w:rPr>
        <w:t>účtů u </w:t>
      </w:r>
      <w:r w:rsidR="00E91750" w:rsidRPr="00102AB2">
        <w:rPr>
          <w:rFonts w:ascii="Calibri" w:hAnsi="Calibri" w:cs="Calibri"/>
          <w:color w:val="000000"/>
          <w:sz w:val="24"/>
          <w:szCs w:val="24"/>
        </w:rPr>
        <w:t>komerční bankovní instituce na účty České národní banky, porušilo MŽP rozpočtovou kázeň.</w:t>
      </w:r>
      <w:r w:rsidR="00343E81" w:rsidRPr="00102AB2">
        <w:rPr>
          <w:rFonts w:ascii="Calibri" w:hAnsi="Calibri" w:cs="Calibri"/>
          <w:color w:val="000000"/>
          <w:sz w:val="24"/>
          <w:szCs w:val="24"/>
        </w:rPr>
        <w:t xml:space="preserve"> Tato skutečnost </w:t>
      </w:r>
      <w:r w:rsidR="008C0EDE" w:rsidRPr="00102AB2">
        <w:rPr>
          <w:rFonts w:ascii="Calibri" w:hAnsi="Calibri" w:cs="Calibri"/>
          <w:color w:val="000000"/>
          <w:sz w:val="24"/>
          <w:szCs w:val="24"/>
        </w:rPr>
        <w:t xml:space="preserve">ovlivnila </w:t>
      </w:r>
      <w:r w:rsidR="00343E81" w:rsidRPr="00102AB2">
        <w:rPr>
          <w:rFonts w:ascii="Calibri" w:hAnsi="Calibri" w:cs="Calibri"/>
          <w:color w:val="000000"/>
          <w:sz w:val="24"/>
          <w:szCs w:val="24"/>
        </w:rPr>
        <w:t xml:space="preserve">výši prostředků, </w:t>
      </w:r>
      <w:r w:rsidR="004B5A4D" w:rsidRPr="00102AB2">
        <w:rPr>
          <w:rFonts w:ascii="Calibri" w:hAnsi="Calibri" w:cs="Calibri"/>
          <w:color w:val="000000"/>
          <w:sz w:val="24"/>
          <w:szCs w:val="24"/>
        </w:rPr>
        <w:t xml:space="preserve">se </w:t>
      </w:r>
      <w:r w:rsidR="00343E81" w:rsidRPr="00102AB2">
        <w:rPr>
          <w:rFonts w:ascii="Calibri" w:hAnsi="Calibri" w:cs="Calibri"/>
          <w:color w:val="000000"/>
          <w:sz w:val="24"/>
          <w:szCs w:val="24"/>
        </w:rPr>
        <w:t>kterými v</w:t>
      </w:r>
      <w:r w:rsidR="007405FC" w:rsidRPr="00102AB2">
        <w:rPr>
          <w:rFonts w:ascii="Calibri" w:hAnsi="Calibri" w:cs="Calibri"/>
          <w:color w:val="000000"/>
          <w:sz w:val="24"/>
          <w:szCs w:val="24"/>
        </w:rPr>
        <w:t xml:space="preserve"> </w:t>
      </w:r>
      <w:r w:rsidR="00343E81" w:rsidRPr="00102AB2">
        <w:rPr>
          <w:rFonts w:ascii="Calibri" w:hAnsi="Calibri" w:cs="Calibri"/>
          <w:color w:val="000000"/>
          <w:sz w:val="24"/>
          <w:szCs w:val="24"/>
        </w:rPr>
        <w:t>průběhu roku</w:t>
      </w:r>
      <w:r w:rsidR="008C0EDE" w:rsidRPr="00102AB2">
        <w:rPr>
          <w:rFonts w:ascii="Calibri" w:hAnsi="Calibri" w:cs="Calibri"/>
          <w:color w:val="000000"/>
          <w:sz w:val="24"/>
          <w:szCs w:val="24"/>
        </w:rPr>
        <w:t xml:space="preserve"> mohla d</w:t>
      </w:r>
      <w:r w:rsidR="00343E81" w:rsidRPr="00102AB2">
        <w:rPr>
          <w:rFonts w:ascii="Calibri" w:hAnsi="Calibri" w:cs="Calibri"/>
          <w:color w:val="000000"/>
          <w:sz w:val="24"/>
          <w:szCs w:val="24"/>
        </w:rPr>
        <w:t>isponovat státní pokladna</w:t>
      </w:r>
      <w:r w:rsidR="008C0EDE" w:rsidRPr="00102AB2">
        <w:rPr>
          <w:rStyle w:val="Znakapoznpodarou"/>
          <w:rFonts w:ascii="Calibri" w:hAnsi="Calibri" w:cs="Calibri"/>
          <w:bCs/>
          <w:iCs/>
          <w:color w:val="000000"/>
          <w:sz w:val="24"/>
          <w:szCs w:val="24"/>
        </w:rPr>
        <w:footnoteReference w:id="93"/>
      </w:r>
      <w:r w:rsidR="00343E81" w:rsidRPr="00102AB2">
        <w:rPr>
          <w:rFonts w:ascii="Calibri" w:hAnsi="Calibri" w:cs="Calibri"/>
          <w:color w:val="000000"/>
          <w:sz w:val="24"/>
          <w:szCs w:val="24"/>
        </w:rPr>
        <w:t>.</w:t>
      </w:r>
    </w:p>
    <w:p w:rsidR="00102AB2" w:rsidRPr="00102AB2" w:rsidRDefault="00102AB2" w:rsidP="00102AB2">
      <w:pPr>
        <w:spacing w:after="0" w:line="240" w:lineRule="auto"/>
        <w:jc w:val="both"/>
        <w:rPr>
          <w:rFonts w:ascii="Calibri" w:hAnsi="Calibri" w:cs="Calibri"/>
          <w:color w:val="000000"/>
          <w:sz w:val="24"/>
          <w:szCs w:val="24"/>
        </w:rPr>
      </w:pPr>
    </w:p>
    <w:p w:rsidR="008C0EDE" w:rsidRDefault="008C0EDE" w:rsidP="00102AB2">
      <w:pPr>
        <w:spacing w:after="0" w:line="240" w:lineRule="auto"/>
        <w:jc w:val="both"/>
        <w:rPr>
          <w:rFonts w:ascii="Calibri" w:hAnsi="Calibri" w:cs="Calibri"/>
          <w:sz w:val="24"/>
          <w:szCs w:val="24"/>
        </w:rPr>
      </w:pPr>
      <w:r w:rsidRPr="00102AB2">
        <w:rPr>
          <w:rFonts w:ascii="Calibri" w:hAnsi="Calibri" w:cs="Calibri"/>
          <w:color w:val="000000"/>
          <w:sz w:val="24"/>
          <w:szCs w:val="24"/>
        </w:rPr>
        <w:t xml:space="preserve">NKÚ na základě předložené dokumentace a skutečností zjištěných při kontrole zastává názor, že </w:t>
      </w:r>
      <w:r w:rsidRPr="00102AB2">
        <w:rPr>
          <w:rFonts w:ascii="Calibri" w:hAnsi="Calibri" w:cs="Calibri"/>
          <w:sz w:val="24"/>
          <w:szCs w:val="24"/>
        </w:rPr>
        <w:t>prostředky</w:t>
      </w:r>
      <w:r w:rsidR="003A6107">
        <w:rPr>
          <w:rFonts w:ascii="Calibri" w:hAnsi="Calibri" w:cs="Calibri"/>
          <w:sz w:val="24"/>
          <w:szCs w:val="24"/>
        </w:rPr>
        <w:t xml:space="preserve"> uložené</w:t>
      </w:r>
      <w:r w:rsidRPr="00102AB2">
        <w:rPr>
          <w:rFonts w:ascii="Calibri" w:hAnsi="Calibri" w:cs="Calibri"/>
          <w:sz w:val="24"/>
          <w:szCs w:val="24"/>
        </w:rPr>
        <w:t xml:space="preserve"> </w:t>
      </w:r>
      <w:r w:rsidR="003A6107">
        <w:rPr>
          <w:rFonts w:ascii="Calibri" w:hAnsi="Calibri" w:cs="Calibri"/>
          <w:sz w:val="24"/>
          <w:szCs w:val="24"/>
        </w:rPr>
        <w:t>v </w:t>
      </w:r>
      <w:r w:rsidR="00693E9E">
        <w:rPr>
          <w:rFonts w:ascii="Calibri" w:hAnsi="Calibri" w:cs="Calibri"/>
          <w:sz w:val="24"/>
          <w:szCs w:val="24"/>
        </w:rPr>
        <w:t>r</w:t>
      </w:r>
      <w:r w:rsidRPr="00102AB2">
        <w:rPr>
          <w:rFonts w:ascii="Calibri" w:hAnsi="Calibri" w:cs="Calibri"/>
          <w:sz w:val="24"/>
          <w:szCs w:val="24"/>
        </w:rPr>
        <w:t>evolvingové</w:t>
      </w:r>
      <w:r w:rsidR="003A6107">
        <w:rPr>
          <w:rFonts w:ascii="Calibri" w:hAnsi="Calibri" w:cs="Calibri"/>
          <w:sz w:val="24"/>
          <w:szCs w:val="24"/>
        </w:rPr>
        <w:t>m</w:t>
      </w:r>
      <w:r w:rsidRPr="00102AB2">
        <w:rPr>
          <w:rFonts w:ascii="Calibri" w:hAnsi="Calibri" w:cs="Calibri"/>
          <w:sz w:val="24"/>
          <w:szCs w:val="24"/>
        </w:rPr>
        <w:t xml:space="preserve"> fondu byly poskytnuty České republice, jejímž </w:t>
      </w:r>
      <w:r w:rsidRPr="00102AB2">
        <w:rPr>
          <w:rFonts w:ascii="Calibri" w:hAnsi="Calibri" w:cs="Calibri"/>
          <w:sz w:val="24"/>
          <w:szCs w:val="24"/>
        </w:rPr>
        <w:lastRenderedPageBreak/>
        <w:t xml:space="preserve">jménem jednalo MŽP. Od 1. ledna 2001 nemohlo být MŽP smluvní stranou </w:t>
      </w:r>
      <w:r w:rsidR="00693E9E">
        <w:rPr>
          <w:rFonts w:ascii="Calibri" w:hAnsi="Calibri" w:cs="Calibri"/>
          <w:sz w:val="24"/>
          <w:szCs w:val="24"/>
        </w:rPr>
        <w:t>žádné</w:t>
      </w:r>
      <w:r w:rsidRPr="00102AB2">
        <w:rPr>
          <w:rFonts w:ascii="Calibri" w:hAnsi="Calibri" w:cs="Calibri"/>
          <w:sz w:val="24"/>
          <w:szCs w:val="24"/>
        </w:rPr>
        <w:t xml:space="preserve"> smlouvy, neboť nemělo právní subjektivitu. Prostředky tak nemohly být poskytnuty MŽP, neboť organizační složka státu nic vlastnit nemůže a přísluší jí pouze hospodaření s</w:t>
      </w:r>
      <w:r w:rsidR="003A6107">
        <w:rPr>
          <w:rFonts w:ascii="Calibri" w:hAnsi="Calibri" w:cs="Calibri"/>
          <w:sz w:val="24"/>
          <w:szCs w:val="24"/>
        </w:rPr>
        <w:t> </w:t>
      </w:r>
      <w:r w:rsidRPr="00102AB2">
        <w:rPr>
          <w:rFonts w:ascii="Calibri" w:hAnsi="Calibri" w:cs="Calibri"/>
          <w:sz w:val="24"/>
          <w:szCs w:val="24"/>
        </w:rPr>
        <w:t>majetkem státu. Jelikož prostředky byly poskytnuty České republice, měly se stát příjmem státního rozpočtu a</w:t>
      </w:r>
      <w:r w:rsidR="00693E9E">
        <w:rPr>
          <w:rFonts w:ascii="Calibri" w:hAnsi="Calibri" w:cs="Calibri"/>
          <w:sz w:val="24"/>
          <w:szCs w:val="24"/>
        </w:rPr>
        <w:t> </w:t>
      </w:r>
      <w:r w:rsidRPr="00102AB2">
        <w:rPr>
          <w:rFonts w:ascii="Calibri" w:hAnsi="Calibri" w:cs="Calibri"/>
          <w:sz w:val="24"/>
          <w:szCs w:val="24"/>
        </w:rPr>
        <w:t>mělo s</w:t>
      </w:r>
      <w:r w:rsidR="007405FC" w:rsidRPr="00102AB2">
        <w:rPr>
          <w:rFonts w:ascii="Calibri" w:hAnsi="Calibri" w:cs="Calibri"/>
          <w:sz w:val="24"/>
          <w:szCs w:val="24"/>
        </w:rPr>
        <w:t xml:space="preserve"> </w:t>
      </w:r>
      <w:r w:rsidRPr="00102AB2">
        <w:rPr>
          <w:rFonts w:ascii="Calibri" w:hAnsi="Calibri" w:cs="Calibri"/>
          <w:sz w:val="24"/>
          <w:szCs w:val="24"/>
        </w:rPr>
        <w:t xml:space="preserve">nimi </w:t>
      </w:r>
      <w:r w:rsidR="003A6107">
        <w:rPr>
          <w:rFonts w:ascii="Calibri" w:hAnsi="Calibri" w:cs="Calibri"/>
          <w:sz w:val="24"/>
          <w:szCs w:val="24"/>
        </w:rPr>
        <w:t>být nakládáno</w:t>
      </w:r>
      <w:r w:rsidRPr="00102AB2">
        <w:rPr>
          <w:rFonts w:ascii="Calibri" w:hAnsi="Calibri" w:cs="Calibri"/>
          <w:sz w:val="24"/>
          <w:szCs w:val="24"/>
        </w:rPr>
        <w:t xml:space="preserve"> jako s</w:t>
      </w:r>
      <w:r w:rsidR="007405FC" w:rsidRPr="00102AB2">
        <w:rPr>
          <w:rFonts w:ascii="Calibri" w:hAnsi="Calibri" w:cs="Calibri"/>
          <w:sz w:val="24"/>
          <w:szCs w:val="24"/>
        </w:rPr>
        <w:t xml:space="preserve"> </w:t>
      </w:r>
      <w:r w:rsidRPr="00102AB2">
        <w:rPr>
          <w:rFonts w:ascii="Calibri" w:hAnsi="Calibri" w:cs="Calibri"/>
          <w:sz w:val="24"/>
          <w:szCs w:val="24"/>
        </w:rPr>
        <w:t>prostředky státního rozpočtu.</w:t>
      </w:r>
      <w:r w:rsidR="00031D6C" w:rsidRPr="00102AB2">
        <w:rPr>
          <w:rFonts w:ascii="Calibri" w:hAnsi="Calibri" w:cs="Calibri"/>
          <w:sz w:val="24"/>
          <w:szCs w:val="24"/>
        </w:rPr>
        <w:t xml:space="preserve"> S</w:t>
      </w:r>
      <w:r w:rsidR="003A6107">
        <w:rPr>
          <w:rFonts w:ascii="Calibri" w:hAnsi="Calibri" w:cs="Calibri"/>
          <w:sz w:val="24"/>
          <w:szCs w:val="24"/>
        </w:rPr>
        <w:t> </w:t>
      </w:r>
      <w:r w:rsidR="00693E9E">
        <w:rPr>
          <w:rFonts w:ascii="Calibri" w:hAnsi="Calibri" w:cs="Calibri"/>
          <w:sz w:val="24"/>
          <w:szCs w:val="24"/>
        </w:rPr>
        <w:t>ohledem na formu a </w:t>
      </w:r>
      <w:r w:rsidR="00031D6C" w:rsidRPr="00102AB2">
        <w:rPr>
          <w:rFonts w:ascii="Calibri" w:hAnsi="Calibri" w:cs="Calibri"/>
          <w:sz w:val="24"/>
          <w:szCs w:val="24"/>
        </w:rPr>
        <w:t>obsah předmětného memoranda a jeho dodatků nelze tyto dokumenty považovat za právní akt ve smyslu ustanovení § 45 odst. 3 rozpočtových pravidel, dle kterého MŽP tyto prostředky kvalifikovalo.</w:t>
      </w:r>
    </w:p>
    <w:p w:rsidR="00102AB2" w:rsidRPr="00102AB2" w:rsidRDefault="00102AB2" w:rsidP="00102AB2">
      <w:pPr>
        <w:spacing w:after="0" w:line="240" w:lineRule="auto"/>
        <w:jc w:val="both"/>
        <w:rPr>
          <w:rFonts w:ascii="Calibri" w:hAnsi="Calibri" w:cs="Calibri"/>
          <w:sz w:val="24"/>
          <w:szCs w:val="24"/>
        </w:rPr>
      </w:pPr>
    </w:p>
    <w:p w:rsidR="00230668" w:rsidRPr="00102AB2" w:rsidRDefault="00BB13CA" w:rsidP="00102AB2">
      <w:pPr>
        <w:pStyle w:val="Odstavecseseznamem"/>
        <w:numPr>
          <w:ilvl w:val="0"/>
          <w:numId w:val="35"/>
        </w:numPr>
        <w:spacing w:after="0" w:line="240" w:lineRule="auto"/>
        <w:ind w:left="284" w:hanging="284"/>
        <w:jc w:val="both"/>
        <w:rPr>
          <w:rFonts w:ascii="Calibri" w:hAnsi="Calibri" w:cs="Calibri"/>
          <w:b/>
          <w:color w:val="000000"/>
          <w:sz w:val="24"/>
          <w:szCs w:val="24"/>
        </w:rPr>
      </w:pPr>
      <w:r w:rsidRPr="00102AB2">
        <w:rPr>
          <w:rFonts w:ascii="Calibri" w:hAnsi="Calibri" w:cs="Calibri"/>
          <w:b/>
          <w:color w:val="000000"/>
          <w:sz w:val="24"/>
          <w:szCs w:val="24"/>
        </w:rPr>
        <w:t xml:space="preserve">Prostředky </w:t>
      </w:r>
      <w:proofErr w:type="spellStart"/>
      <w:r w:rsidRPr="00102AB2">
        <w:rPr>
          <w:rFonts w:ascii="Calibri" w:hAnsi="Calibri" w:cs="Calibri"/>
          <w:b/>
          <w:color w:val="000000"/>
          <w:sz w:val="24"/>
          <w:szCs w:val="24"/>
        </w:rPr>
        <w:t>twinningových</w:t>
      </w:r>
      <w:proofErr w:type="spellEnd"/>
      <w:r w:rsidRPr="00102AB2">
        <w:rPr>
          <w:rFonts w:ascii="Calibri" w:hAnsi="Calibri" w:cs="Calibri"/>
          <w:b/>
          <w:color w:val="000000"/>
          <w:sz w:val="24"/>
          <w:szCs w:val="24"/>
        </w:rPr>
        <w:t xml:space="preserve"> projektů</w:t>
      </w:r>
    </w:p>
    <w:p w:rsidR="00102AB2" w:rsidRDefault="00102AB2" w:rsidP="00102AB2">
      <w:pPr>
        <w:spacing w:after="0" w:line="240" w:lineRule="auto"/>
        <w:jc w:val="both"/>
        <w:rPr>
          <w:rFonts w:ascii="Calibri" w:hAnsi="Calibri" w:cs="Calibri"/>
          <w:color w:val="000000"/>
          <w:sz w:val="24"/>
          <w:szCs w:val="24"/>
        </w:rPr>
      </w:pPr>
    </w:p>
    <w:p w:rsidR="000F2C54" w:rsidRDefault="000F2C54" w:rsidP="00102AB2">
      <w:pPr>
        <w:spacing w:after="0" w:line="240" w:lineRule="auto"/>
        <w:jc w:val="both"/>
        <w:rPr>
          <w:rFonts w:ascii="Calibri" w:hAnsi="Calibri" w:cs="Calibri"/>
          <w:color w:val="000000"/>
          <w:sz w:val="24"/>
          <w:szCs w:val="24"/>
        </w:rPr>
      </w:pPr>
      <w:r w:rsidRPr="00102AB2">
        <w:rPr>
          <w:rFonts w:ascii="Calibri" w:hAnsi="Calibri" w:cs="Calibri"/>
          <w:color w:val="000000"/>
          <w:sz w:val="24"/>
          <w:szCs w:val="24"/>
        </w:rPr>
        <w:t>Při hospodaření s</w:t>
      </w:r>
      <w:r w:rsidR="007405FC" w:rsidRPr="00102AB2">
        <w:rPr>
          <w:rFonts w:ascii="Calibri" w:hAnsi="Calibri" w:cs="Calibri"/>
          <w:color w:val="000000"/>
          <w:sz w:val="24"/>
          <w:szCs w:val="24"/>
        </w:rPr>
        <w:t xml:space="preserve"> </w:t>
      </w:r>
      <w:r w:rsidRPr="00102AB2">
        <w:rPr>
          <w:rFonts w:ascii="Calibri" w:hAnsi="Calibri" w:cs="Calibri"/>
          <w:color w:val="000000"/>
          <w:sz w:val="24"/>
          <w:szCs w:val="24"/>
        </w:rPr>
        <w:t xml:space="preserve">prostředky </w:t>
      </w:r>
      <w:proofErr w:type="spellStart"/>
      <w:r w:rsidRPr="00102AB2">
        <w:rPr>
          <w:rFonts w:ascii="Calibri" w:hAnsi="Calibri" w:cs="Calibri"/>
          <w:color w:val="000000"/>
          <w:sz w:val="24"/>
          <w:szCs w:val="24"/>
        </w:rPr>
        <w:t>twinningových</w:t>
      </w:r>
      <w:proofErr w:type="spellEnd"/>
      <w:r w:rsidRPr="00102AB2">
        <w:rPr>
          <w:rFonts w:ascii="Calibri" w:hAnsi="Calibri" w:cs="Calibri"/>
          <w:color w:val="000000"/>
          <w:sz w:val="24"/>
          <w:szCs w:val="24"/>
        </w:rPr>
        <w:t xml:space="preserve"> projektů porušilo MŽP </w:t>
      </w:r>
      <w:r w:rsidR="003A6107">
        <w:rPr>
          <w:rFonts w:ascii="Calibri" w:hAnsi="Calibri" w:cs="Calibri"/>
          <w:color w:val="000000"/>
          <w:sz w:val="24"/>
          <w:szCs w:val="24"/>
        </w:rPr>
        <w:t>rozpočtová pravidla</w:t>
      </w:r>
      <w:r w:rsidR="00E761C9">
        <w:rPr>
          <w:rFonts w:ascii="Calibri" w:hAnsi="Calibri" w:cs="Calibri"/>
          <w:color w:val="000000"/>
          <w:sz w:val="24"/>
          <w:szCs w:val="24"/>
        </w:rPr>
        <w:t xml:space="preserve"> i </w:t>
      </w:r>
      <w:r w:rsidRPr="00102AB2">
        <w:rPr>
          <w:rFonts w:ascii="Calibri" w:hAnsi="Calibri" w:cs="Calibri"/>
          <w:color w:val="000000"/>
          <w:sz w:val="24"/>
          <w:szCs w:val="24"/>
        </w:rPr>
        <w:t>zákon o účetnictví.</w:t>
      </w:r>
    </w:p>
    <w:p w:rsidR="00102AB2" w:rsidRPr="00102AB2" w:rsidRDefault="00102AB2" w:rsidP="00102AB2">
      <w:pPr>
        <w:spacing w:after="0" w:line="240" w:lineRule="auto"/>
        <w:jc w:val="both"/>
        <w:rPr>
          <w:rFonts w:ascii="Calibri" w:hAnsi="Calibri" w:cs="Calibri"/>
          <w:color w:val="000000"/>
          <w:sz w:val="24"/>
          <w:szCs w:val="24"/>
        </w:rPr>
      </w:pPr>
    </w:p>
    <w:p w:rsidR="008727CF" w:rsidRDefault="000F2C54" w:rsidP="00102AB2">
      <w:pPr>
        <w:spacing w:after="0" w:line="240" w:lineRule="auto"/>
        <w:jc w:val="both"/>
        <w:rPr>
          <w:rFonts w:ascii="Calibri" w:hAnsi="Calibri" w:cs="Calibri"/>
          <w:color w:val="000000"/>
          <w:sz w:val="24"/>
          <w:szCs w:val="24"/>
        </w:rPr>
      </w:pPr>
      <w:r w:rsidRPr="00102AB2">
        <w:rPr>
          <w:rFonts w:ascii="Calibri" w:hAnsi="Calibri" w:cs="Calibri"/>
          <w:color w:val="000000"/>
          <w:sz w:val="24"/>
          <w:szCs w:val="24"/>
        </w:rPr>
        <w:t>Tím</w:t>
      </w:r>
      <w:r w:rsidR="008727CF" w:rsidRPr="00102AB2">
        <w:rPr>
          <w:rFonts w:ascii="Calibri" w:hAnsi="Calibri" w:cs="Calibri"/>
          <w:color w:val="000000"/>
          <w:sz w:val="24"/>
          <w:szCs w:val="24"/>
        </w:rPr>
        <w:t>, že tyto peněžní prostředky nebyly nejpozději k</w:t>
      </w:r>
      <w:r w:rsidR="007405FC" w:rsidRPr="00102AB2">
        <w:rPr>
          <w:rFonts w:ascii="Calibri" w:hAnsi="Calibri" w:cs="Calibri"/>
          <w:color w:val="000000"/>
          <w:sz w:val="24"/>
          <w:szCs w:val="24"/>
        </w:rPr>
        <w:t xml:space="preserve"> </w:t>
      </w:r>
      <w:r w:rsidR="008727CF" w:rsidRPr="00102AB2">
        <w:rPr>
          <w:rFonts w:ascii="Calibri" w:hAnsi="Calibri" w:cs="Calibri"/>
          <w:color w:val="000000"/>
          <w:sz w:val="24"/>
          <w:szCs w:val="24"/>
        </w:rPr>
        <w:t xml:space="preserve">1. </w:t>
      </w:r>
      <w:r w:rsidR="00211587" w:rsidRPr="00102AB2">
        <w:rPr>
          <w:rFonts w:ascii="Calibri" w:hAnsi="Calibri" w:cs="Calibri"/>
          <w:color w:val="000000"/>
          <w:sz w:val="24"/>
          <w:szCs w:val="24"/>
        </w:rPr>
        <w:t>dubnu</w:t>
      </w:r>
      <w:r w:rsidR="008727CF" w:rsidRPr="00102AB2">
        <w:rPr>
          <w:rFonts w:ascii="Calibri" w:hAnsi="Calibri" w:cs="Calibri"/>
          <w:color w:val="000000"/>
          <w:sz w:val="24"/>
          <w:szCs w:val="24"/>
        </w:rPr>
        <w:t xml:space="preserve"> 2013 převedeny z</w:t>
      </w:r>
      <w:r w:rsidR="007405FC" w:rsidRPr="00102AB2">
        <w:rPr>
          <w:rFonts w:ascii="Calibri" w:hAnsi="Calibri" w:cs="Calibri"/>
          <w:color w:val="000000"/>
          <w:sz w:val="24"/>
          <w:szCs w:val="24"/>
        </w:rPr>
        <w:t xml:space="preserve"> </w:t>
      </w:r>
      <w:r w:rsidR="008727CF" w:rsidRPr="00102AB2">
        <w:rPr>
          <w:rFonts w:ascii="Calibri" w:hAnsi="Calibri" w:cs="Calibri"/>
          <w:color w:val="000000"/>
          <w:sz w:val="24"/>
          <w:szCs w:val="24"/>
        </w:rPr>
        <w:t>účtů u</w:t>
      </w:r>
      <w:r w:rsidR="00D27C61" w:rsidRPr="00102AB2">
        <w:rPr>
          <w:rFonts w:ascii="Calibri" w:hAnsi="Calibri" w:cs="Calibri"/>
          <w:color w:val="000000"/>
          <w:sz w:val="24"/>
          <w:szCs w:val="24"/>
        </w:rPr>
        <w:t> </w:t>
      </w:r>
      <w:r w:rsidR="008727CF" w:rsidRPr="00102AB2">
        <w:rPr>
          <w:rFonts w:ascii="Calibri" w:hAnsi="Calibri" w:cs="Calibri"/>
          <w:color w:val="000000"/>
          <w:sz w:val="24"/>
          <w:szCs w:val="24"/>
        </w:rPr>
        <w:t xml:space="preserve">komerční bankovní instituce na účty České národní banky, porušilo MŽP rozpočtovou kázeň. </w:t>
      </w:r>
      <w:r w:rsidRPr="00102AB2">
        <w:rPr>
          <w:rFonts w:ascii="Calibri" w:hAnsi="Calibri" w:cs="Calibri"/>
          <w:color w:val="000000"/>
          <w:sz w:val="24"/>
          <w:szCs w:val="24"/>
        </w:rPr>
        <w:t>T</w:t>
      </w:r>
      <w:r w:rsidR="004B5A4D" w:rsidRPr="00102AB2">
        <w:rPr>
          <w:rFonts w:ascii="Calibri" w:hAnsi="Calibri" w:cs="Calibri"/>
          <w:color w:val="000000"/>
          <w:sz w:val="24"/>
          <w:szCs w:val="24"/>
        </w:rPr>
        <w:t>ato skutečnost ovlivnila</w:t>
      </w:r>
      <w:r w:rsidR="008727CF" w:rsidRPr="00102AB2">
        <w:rPr>
          <w:rFonts w:ascii="Calibri" w:hAnsi="Calibri" w:cs="Calibri"/>
          <w:color w:val="000000"/>
          <w:sz w:val="24"/>
          <w:szCs w:val="24"/>
        </w:rPr>
        <w:t xml:space="preserve"> výši prostředků,</w:t>
      </w:r>
      <w:r w:rsidR="004B5A4D" w:rsidRPr="00102AB2">
        <w:rPr>
          <w:rFonts w:ascii="Calibri" w:hAnsi="Calibri" w:cs="Calibri"/>
          <w:color w:val="000000"/>
          <w:sz w:val="24"/>
          <w:szCs w:val="24"/>
        </w:rPr>
        <w:t xml:space="preserve"> se</w:t>
      </w:r>
      <w:r w:rsidR="008727CF" w:rsidRPr="00102AB2">
        <w:rPr>
          <w:rFonts w:ascii="Calibri" w:hAnsi="Calibri" w:cs="Calibri"/>
          <w:color w:val="000000"/>
          <w:sz w:val="24"/>
          <w:szCs w:val="24"/>
        </w:rPr>
        <w:t xml:space="preserve"> kterými v</w:t>
      </w:r>
      <w:r w:rsidR="007405FC" w:rsidRPr="00102AB2">
        <w:rPr>
          <w:rFonts w:ascii="Calibri" w:hAnsi="Calibri" w:cs="Calibri"/>
          <w:color w:val="000000"/>
          <w:sz w:val="24"/>
          <w:szCs w:val="24"/>
        </w:rPr>
        <w:t xml:space="preserve"> </w:t>
      </w:r>
      <w:r w:rsidR="008727CF" w:rsidRPr="00102AB2">
        <w:rPr>
          <w:rFonts w:ascii="Calibri" w:hAnsi="Calibri" w:cs="Calibri"/>
          <w:color w:val="000000"/>
          <w:sz w:val="24"/>
          <w:szCs w:val="24"/>
        </w:rPr>
        <w:t>průběhu roku mohla disponovat státní pokladna.</w:t>
      </w:r>
    </w:p>
    <w:p w:rsidR="00102AB2" w:rsidRPr="00102AB2" w:rsidRDefault="00102AB2" w:rsidP="00102AB2">
      <w:pPr>
        <w:spacing w:after="0" w:line="240" w:lineRule="auto"/>
        <w:jc w:val="both"/>
        <w:rPr>
          <w:rFonts w:ascii="Calibri" w:hAnsi="Calibri" w:cs="Calibri"/>
          <w:color w:val="000000"/>
          <w:sz w:val="24"/>
          <w:szCs w:val="24"/>
        </w:rPr>
      </w:pPr>
    </w:p>
    <w:p w:rsidR="000F2C54" w:rsidRDefault="000F2C54" w:rsidP="00102AB2">
      <w:pPr>
        <w:spacing w:after="0" w:line="240" w:lineRule="auto"/>
        <w:jc w:val="both"/>
        <w:rPr>
          <w:rFonts w:ascii="Calibri" w:hAnsi="Calibri" w:cs="Calibri"/>
          <w:sz w:val="24"/>
          <w:szCs w:val="24"/>
        </w:rPr>
      </w:pPr>
      <w:r w:rsidRPr="00102AB2">
        <w:rPr>
          <w:rFonts w:ascii="Calibri" w:hAnsi="Calibri" w:cs="Calibri"/>
          <w:sz w:val="24"/>
          <w:szCs w:val="24"/>
        </w:rPr>
        <w:t xml:space="preserve">MŽP tyto prostředky kvalifikovalo jako „ostatní fond“ a vykazovalo </w:t>
      </w:r>
      <w:r w:rsidR="00211587" w:rsidRPr="00102AB2">
        <w:rPr>
          <w:rFonts w:ascii="Calibri" w:hAnsi="Calibri" w:cs="Calibri"/>
          <w:sz w:val="24"/>
          <w:szCs w:val="24"/>
        </w:rPr>
        <w:t>je</w:t>
      </w:r>
      <w:r w:rsidRPr="00102AB2">
        <w:rPr>
          <w:rFonts w:ascii="Calibri" w:hAnsi="Calibri" w:cs="Calibri"/>
          <w:sz w:val="24"/>
          <w:szCs w:val="24"/>
        </w:rPr>
        <w:t xml:space="preserve"> v účetní závěrce na účtu </w:t>
      </w:r>
      <w:r w:rsidRPr="000D4904">
        <w:rPr>
          <w:rFonts w:ascii="Calibri" w:hAnsi="Calibri" w:cs="Calibri"/>
          <w:sz w:val="24"/>
          <w:szCs w:val="24"/>
        </w:rPr>
        <w:t>419</w:t>
      </w:r>
      <w:r w:rsidRPr="00102AB2">
        <w:rPr>
          <w:rFonts w:ascii="Calibri" w:hAnsi="Calibri" w:cs="Calibri"/>
          <w:i/>
          <w:sz w:val="24"/>
          <w:szCs w:val="24"/>
        </w:rPr>
        <w:t xml:space="preserve"> – Ostatní fondy</w:t>
      </w:r>
      <w:r w:rsidRPr="00102AB2">
        <w:rPr>
          <w:rFonts w:ascii="Calibri" w:hAnsi="Calibri" w:cs="Calibri"/>
          <w:sz w:val="24"/>
          <w:szCs w:val="24"/>
        </w:rPr>
        <w:t xml:space="preserve">. Rozpočtová pravidla ale neumožňují organizační složce státu vytvořit jiné fondy než fond kulturních a sociálních potřeb a rezervní fond. </w:t>
      </w:r>
    </w:p>
    <w:p w:rsidR="00102AB2" w:rsidRPr="00102AB2" w:rsidRDefault="00102AB2" w:rsidP="00102AB2">
      <w:pPr>
        <w:spacing w:after="0" w:line="240" w:lineRule="auto"/>
        <w:jc w:val="both"/>
        <w:rPr>
          <w:rFonts w:ascii="Calibri" w:hAnsi="Calibri" w:cs="Calibri"/>
          <w:sz w:val="24"/>
          <w:szCs w:val="24"/>
        </w:rPr>
      </w:pPr>
    </w:p>
    <w:p w:rsidR="000F2C54" w:rsidRPr="00102AB2" w:rsidRDefault="000F2C54" w:rsidP="00102AB2">
      <w:pPr>
        <w:spacing w:after="0" w:line="240" w:lineRule="auto"/>
        <w:jc w:val="both"/>
        <w:rPr>
          <w:rFonts w:ascii="Calibri" w:hAnsi="Calibri" w:cs="Calibri"/>
          <w:sz w:val="24"/>
          <w:szCs w:val="24"/>
        </w:rPr>
      </w:pPr>
      <w:r w:rsidRPr="00102AB2">
        <w:rPr>
          <w:rFonts w:ascii="Calibri" w:hAnsi="Calibri" w:cs="Calibri"/>
          <w:sz w:val="24"/>
          <w:szCs w:val="24"/>
        </w:rPr>
        <w:t>O pohybu peněžních prostředků na bankovních účtech účtovalo MŽP měsíčně souhrnnou částkou představující změnu stavu peněžních prostředků. MŽP tak porušilo zákon o</w:t>
      </w:r>
      <w:r w:rsidR="00D27C61" w:rsidRPr="00102AB2">
        <w:rPr>
          <w:rFonts w:ascii="Calibri" w:hAnsi="Calibri" w:cs="Calibri"/>
          <w:sz w:val="24"/>
          <w:szCs w:val="24"/>
        </w:rPr>
        <w:t> </w:t>
      </w:r>
      <w:r w:rsidRPr="00102AB2">
        <w:rPr>
          <w:rFonts w:ascii="Calibri" w:hAnsi="Calibri" w:cs="Calibri"/>
          <w:sz w:val="24"/>
          <w:szCs w:val="24"/>
        </w:rPr>
        <w:t>účetnictví, protože neúčtovalo o jednotlivých účetních případech k</w:t>
      </w:r>
      <w:r w:rsidR="007405FC" w:rsidRPr="00102AB2">
        <w:rPr>
          <w:rFonts w:ascii="Calibri" w:hAnsi="Calibri" w:cs="Calibri"/>
          <w:sz w:val="24"/>
          <w:szCs w:val="24"/>
        </w:rPr>
        <w:t xml:space="preserve"> </w:t>
      </w:r>
      <w:r w:rsidRPr="00102AB2">
        <w:rPr>
          <w:rFonts w:ascii="Calibri" w:hAnsi="Calibri" w:cs="Calibri"/>
          <w:sz w:val="24"/>
          <w:szCs w:val="24"/>
        </w:rPr>
        <w:t>okamžiku jejich uskutečnění.</w:t>
      </w:r>
    </w:p>
    <w:p w:rsidR="008727CF" w:rsidRPr="00102AB2" w:rsidRDefault="008727CF" w:rsidP="00102AB2">
      <w:pPr>
        <w:spacing w:after="0" w:line="240" w:lineRule="auto"/>
        <w:jc w:val="both"/>
        <w:rPr>
          <w:rFonts w:ascii="Calibri" w:hAnsi="Calibri" w:cs="Calibri"/>
          <w:color w:val="000000"/>
          <w:sz w:val="24"/>
          <w:szCs w:val="24"/>
        </w:rPr>
      </w:pPr>
    </w:p>
    <w:p w:rsidR="00EF58D3" w:rsidRPr="00102AB2" w:rsidRDefault="00EF58D3" w:rsidP="00102AB2">
      <w:pPr>
        <w:spacing w:after="0" w:line="240" w:lineRule="auto"/>
        <w:jc w:val="both"/>
        <w:rPr>
          <w:rFonts w:ascii="Calibri" w:hAnsi="Calibri" w:cs="Calibri"/>
          <w:color w:val="000000"/>
          <w:sz w:val="24"/>
          <w:szCs w:val="24"/>
        </w:rPr>
      </w:pPr>
      <w:r w:rsidRPr="00102AB2">
        <w:rPr>
          <w:rFonts w:ascii="Calibri" w:hAnsi="Calibri" w:cs="Calibri"/>
          <w:color w:val="000000"/>
          <w:sz w:val="24"/>
          <w:szCs w:val="24"/>
        </w:rPr>
        <w:br w:type="page"/>
      </w:r>
    </w:p>
    <w:p w:rsidR="00D27C61" w:rsidRPr="00F54ED4" w:rsidRDefault="00EF58D3" w:rsidP="00F54ED4">
      <w:pPr>
        <w:spacing w:line="240" w:lineRule="auto"/>
        <w:jc w:val="right"/>
        <w:rPr>
          <w:rFonts w:cstheme="minorHAnsi"/>
          <w:b/>
          <w:sz w:val="28"/>
        </w:rPr>
      </w:pPr>
      <w:r w:rsidRPr="00F54ED4">
        <w:rPr>
          <w:rFonts w:cstheme="minorHAnsi"/>
          <w:b/>
          <w:sz w:val="28"/>
        </w:rPr>
        <w:lastRenderedPageBreak/>
        <w:t xml:space="preserve">Příloha č. 1 </w:t>
      </w:r>
    </w:p>
    <w:p w:rsidR="00EF58D3" w:rsidRPr="00F54ED4" w:rsidRDefault="00EF58D3" w:rsidP="000D4904">
      <w:pPr>
        <w:spacing w:line="240" w:lineRule="auto"/>
        <w:jc w:val="center"/>
        <w:rPr>
          <w:rFonts w:cstheme="minorHAnsi"/>
          <w:b/>
          <w:sz w:val="24"/>
          <w:szCs w:val="24"/>
        </w:rPr>
      </w:pPr>
      <w:r w:rsidRPr="00F54ED4">
        <w:rPr>
          <w:rFonts w:cstheme="minorHAnsi"/>
          <w:b/>
          <w:sz w:val="24"/>
          <w:szCs w:val="24"/>
        </w:rPr>
        <w:t>Množství povolenek na emise (EUA) určen</w:t>
      </w:r>
      <w:r w:rsidR="00E96E68">
        <w:rPr>
          <w:rFonts w:cstheme="minorHAnsi"/>
          <w:b/>
          <w:sz w:val="24"/>
          <w:szCs w:val="24"/>
        </w:rPr>
        <w:t>ých</w:t>
      </w:r>
      <w:r w:rsidRPr="00F54ED4">
        <w:rPr>
          <w:rFonts w:cstheme="minorHAnsi"/>
          <w:b/>
          <w:sz w:val="24"/>
          <w:szCs w:val="24"/>
        </w:rPr>
        <w:t xml:space="preserve"> pro Českou republiku pro obchodovací období 2013 až 2020</w:t>
      </w:r>
    </w:p>
    <w:p w:rsidR="00EF58D3" w:rsidRPr="00F54ED4" w:rsidRDefault="00EF58D3" w:rsidP="00F54ED4">
      <w:pPr>
        <w:spacing w:after="120" w:line="240" w:lineRule="auto"/>
        <w:jc w:val="both"/>
        <w:rPr>
          <w:rFonts w:cstheme="minorHAnsi"/>
          <w:b/>
          <w:sz w:val="24"/>
        </w:rPr>
      </w:pPr>
      <w:r w:rsidRPr="00F54ED4">
        <w:rPr>
          <w:rFonts w:cstheme="minorHAnsi"/>
          <w:b/>
          <w:sz w:val="24"/>
        </w:rPr>
        <w:t>A. Povolenky na emise (EUA) určené k</w:t>
      </w:r>
      <w:r w:rsidR="007405FC" w:rsidRPr="00F54ED4">
        <w:rPr>
          <w:rFonts w:cstheme="minorHAnsi"/>
          <w:b/>
          <w:sz w:val="24"/>
        </w:rPr>
        <w:t xml:space="preserve"> </w:t>
      </w:r>
      <w:r w:rsidRPr="00F54ED4">
        <w:rPr>
          <w:rFonts w:cstheme="minorHAnsi"/>
          <w:b/>
          <w:sz w:val="24"/>
        </w:rPr>
        <w:t xml:space="preserve">dražbě </w:t>
      </w:r>
    </w:p>
    <w:p w:rsidR="00EF58D3" w:rsidRPr="00040F0F" w:rsidRDefault="00EF58D3" w:rsidP="00E96E68">
      <w:pPr>
        <w:spacing w:after="0" w:line="240" w:lineRule="auto"/>
        <w:ind w:left="567" w:hanging="567"/>
        <w:rPr>
          <w:rFonts w:ascii="Calibri" w:hAnsi="Calibri" w:cs="Calibri"/>
          <w:noProof/>
          <w:sz w:val="20"/>
          <w:szCs w:val="20"/>
          <w:lang w:eastAsia="cs-CZ"/>
        </w:rPr>
      </w:pPr>
      <w:r w:rsidRPr="00F54ED4">
        <w:rPr>
          <w:rFonts w:cstheme="minorHAnsi"/>
          <w:noProof/>
          <w:lang w:eastAsia="cs-CZ"/>
        </w:rPr>
        <w:drawing>
          <wp:anchor distT="0" distB="0" distL="114300" distR="114300" simplePos="0" relativeHeight="251662336" behindDoc="0" locked="0" layoutInCell="1" allowOverlap="1" wp14:anchorId="0E44F35E" wp14:editId="06390DA2">
            <wp:simplePos x="0" y="0"/>
            <wp:positionH relativeFrom="column">
              <wp:posOffset>635</wp:posOffset>
            </wp:positionH>
            <wp:positionV relativeFrom="paragraph">
              <wp:posOffset>635</wp:posOffset>
            </wp:positionV>
            <wp:extent cx="5758815" cy="2940685"/>
            <wp:effectExtent l="0" t="0" r="13335" b="12065"/>
            <wp:wrapTopAndBottom/>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040F0F">
        <w:rPr>
          <w:rFonts w:ascii="Calibri" w:hAnsi="Calibri" w:cs="Calibri"/>
          <w:b/>
          <w:noProof/>
          <w:sz w:val="20"/>
          <w:szCs w:val="20"/>
          <w:lang w:eastAsia="cs-CZ"/>
        </w:rPr>
        <w:t>Zdroj</w:t>
      </w:r>
      <w:r w:rsidR="003178F4" w:rsidRPr="00040F0F">
        <w:rPr>
          <w:rFonts w:ascii="Calibri" w:hAnsi="Calibri" w:cs="Calibri"/>
          <w:noProof/>
          <w:sz w:val="20"/>
          <w:szCs w:val="20"/>
          <w:lang w:eastAsia="cs-CZ"/>
        </w:rPr>
        <w:t>:</w:t>
      </w:r>
      <w:r w:rsidRPr="00040F0F">
        <w:rPr>
          <w:rFonts w:ascii="Calibri" w:hAnsi="Calibri" w:cs="Calibri"/>
          <w:noProof/>
          <w:sz w:val="20"/>
          <w:szCs w:val="20"/>
          <w:lang w:eastAsia="cs-CZ"/>
        </w:rPr>
        <w:t xml:space="preserve"> </w:t>
      </w:r>
      <w:r w:rsidR="00040F0F">
        <w:rPr>
          <w:rFonts w:ascii="Calibri" w:hAnsi="Calibri" w:cs="Calibri"/>
          <w:noProof/>
          <w:sz w:val="20"/>
          <w:szCs w:val="20"/>
          <w:lang w:eastAsia="cs-CZ"/>
        </w:rPr>
        <w:tab/>
      </w:r>
      <w:r w:rsidRPr="00040F0F">
        <w:rPr>
          <w:rFonts w:ascii="Calibri" w:hAnsi="Calibri" w:cs="Calibri"/>
          <w:sz w:val="20"/>
          <w:szCs w:val="20"/>
        </w:rPr>
        <w:t xml:space="preserve">společnost </w:t>
      </w:r>
      <w:proofErr w:type="spellStart"/>
      <w:r w:rsidRPr="00040F0F">
        <w:rPr>
          <w:rFonts w:ascii="Calibri" w:hAnsi="Calibri" w:cs="Calibri"/>
          <w:sz w:val="20"/>
          <w:szCs w:val="20"/>
        </w:rPr>
        <w:t>European</w:t>
      </w:r>
      <w:proofErr w:type="spellEnd"/>
      <w:r w:rsidRPr="00040F0F">
        <w:rPr>
          <w:rFonts w:ascii="Calibri" w:hAnsi="Calibri" w:cs="Calibri"/>
          <w:sz w:val="20"/>
          <w:szCs w:val="20"/>
        </w:rPr>
        <w:t xml:space="preserve"> </w:t>
      </w:r>
      <w:proofErr w:type="spellStart"/>
      <w:r w:rsidRPr="00040F0F">
        <w:rPr>
          <w:rFonts w:ascii="Calibri" w:hAnsi="Calibri" w:cs="Calibri"/>
          <w:sz w:val="20"/>
          <w:szCs w:val="20"/>
        </w:rPr>
        <w:t>Energy</w:t>
      </w:r>
      <w:proofErr w:type="spellEnd"/>
      <w:r w:rsidRPr="00040F0F">
        <w:rPr>
          <w:rFonts w:ascii="Calibri" w:hAnsi="Calibri" w:cs="Calibri"/>
          <w:sz w:val="20"/>
          <w:szCs w:val="20"/>
        </w:rPr>
        <w:t xml:space="preserve"> Exchange AG (EEX) se sídlem v</w:t>
      </w:r>
      <w:r w:rsidR="007405FC" w:rsidRPr="00040F0F">
        <w:rPr>
          <w:rFonts w:ascii="Calibri" w:hAnsi="Calibri" w:cs="Calibri"/>
          <w:sz w:val="20"/>
          <w:szCs w:val="20"/>
        </w:rPr>
        <w:t xml:space="preserve"> </w:t>
      </w:r>
      <w:r w:rsidRPr="00040F0F">
        <w:rPr>
          <w:rFonts w:ascii="Calibri" w:hAnsi="Calibri" w:cs="Calibri"/>
          <w:sz w:val="20"/>
          <w:szCs w:val="20"/>
        </w:rPr>
        <w:t xml:space="preserve">Lipsku (energetická burza), dražební kalendáře na roky 2013 až 2015 (EEX </w:t>
      </w:r>
      <w:proofErr w:type="spellStart"/>
      <w:r w:rsidRPr="00040F0F">
        <w:rPr>
          <w:rFonts w:ascii="Calibri" w:hAnsi="Calibri" w:cs="Calibri"/>
          <w:sz w:val="20"/>
          <w:szCs w:val="20"/>
        </w:rPr>
        <w:t>Auction</w:t>
      </w:r>
      <w:proofErr w:type="spellEnd"/>
      <w:r w:rsidRPr="00040F0F">
        <w:rPr>
          <w:rFonts w:ascii="Calibri" w:hAnsi="Calibri" w:cs="Calibri"/>
          <w:sz w:val="20"/>
          <w:szCs w:val="20"/>
        </w:rPr>
        <w:t xml:space="preserve"> </w:t>
      </w:r>
      <w:proofErr w:type="spellStart"/>
      <w:r w:rsidRPr="00040F0F">
        <w:rPr>
          <w:rFonts w:ascii="Calibri" w:hAnsi="Calibri" w:cs="Calibri"/>
          <w:sz w:val="20"/>
          <w:szCs w:val="20"/>
        </w:rPr>
        <w:t>Calendar</w:t>
      </w:r>
      <w:proofErr w:type="spellEnd"/>
      <w:r w:rsidRPr="00040F0F">
        <w:rPr>
          <w:rFonts w:ascii="Calibri" w:hAnsi="Calibri" w:cs="Calibri"/>
          <w:sz w:val="20"/>
          <w:szCs w:val="20"/>
        </w:rPr>
        <w:t xml:space="preserve"> 2014, EEX </w:t>
      </w:r>
      <w:proofErr w:type="spellStart"/>
      <w:r w:rsidRPr="00040F0F">
        <w:rPr>
          <w:rFonts w:ascii="Calibri" w:hAnsi="Calibri" w:cs="Calibri"/>
          <w:sz w:val="20"/>
          <w:szCs w:val="20"/>
        </w:rPr>
        <w:t>Auction</w:t>
      </w:r>
      <w:proofErr w:type="spellEnd"/>
      <w:r w:rsidRPr="00040F0F">
        <w:rPr>
          <w:rFonts w:ascii="Calibri" w:hAnsi="Calibri" w:cs="Calibri"/>
          <w:sz w:val="20"/>
          <w:szCs w:val="20"/>
        </w:rPr>
        <w:t xml:space="preserve"> </w:t>
      </w:r>
      <w:proofErr w:type="spellStart"/>
      <w:r w:rsidRPr="00040F0F">
        <w:rPr>
          <w:rFonts w:ascii="Calibri" w:hAnsi="Calibri" w:cs="Calibri"/>
          <w:sz w:val="20"/>
          <w:szCs w:val="20"/>
        </w:rPr>
        <w:t>Calendar</w:t>
      </w:r>
      <w:proofErr w:type="spellEnd"/>
      <w:r w:rsidRPr="00040F0F">
        <w:rPr>
          <w:rFonts w:ascii="Calibri" w:hAnsi="Calibri" w:cs="Calibri"/>
          <w:sz w:val="20"/>
          <w:szCs w:val="20"/>
        </w:rPr>
        <w:t xml:space="preserve"> 2015), </w:t>
      </w:r>
      <w:hyperlink r:id="rId12" w:history="1">
        <w:r w:rsidRPr="00040F0F">
          <w:rPr>
            <w:rFonts w:ascii="Calibri" w:hAnsi="Calibri" w:cs="Calibri"/>
            <w:color w:val="0000FF" w:themeColor="hyperlink"/>
            <w:sz w:val="20"/>
            <w:szCs w:val="20"/>
            <w:u w:val="single"/>
          </w:rPr>
          <w:t>https://www.eex.com/en/products/environmentals/emission-allowances/emissions-auctions</w:t>
        </w:r>
      </w:hyperlink>
      <w:r w:rsidR="00077E10">
        <w:rPr>
          <w:rFonts w:ascii="Calibri" w:hAnsi="Calibri" w:cs="Calibri"/>
          <w:sz w:val="20"/>
          <w:szCs w:val="20"/>
        </w:rPr>
        <w:t>.</w:t>
      </w:r>
    </w:p>
    <w:p w:rsidR="00EF58D3" w:rsidRPr="00040F0F" w:rsidRDefault="00EF58D3" w:rsidP="00040F0F">
      <w:pPr>
        <w:spacing w:before="40" w:after="0" w:line="240" w:lineRule="auto"/>
        <w:ind w:left="567"/>
        <w:jc w:val="both"/>
        <w:rPr>
          <w:rFonts w:ascii="Calibri" w:hAnsi="Calibri" w:cs="Calibri"/>
          <w:noProof/>
          <w:sz w:val="20"/>
          <w:szCs w:val="20"/>
          <w:lang w:eastAsia="cs-CZ"/>
        </w:rPr>
      </w:pPr>
      <w:r w:rsidRPr="00040F0F">
        <w:rPr>
          <w:rFonts w:ascii="Calibri" w:hAnsi="Calibri" w:cs="Calibri"/>
          <w:noProof/>
          <w:sz w:val="20"/>
          <w:szCs w:val="20"/>
          <w:lang w:eastAsia="cs-CZ"/>
        </w:rPr>
        <w:t>Uvedeno je množství EUA, které jsou určené k</w:t>
      </w:r>
      <w:r w:rsidR="007405FC" w:rsidRPr="00040F0F">
        <w:rPr>
          <w:rFonts w:ascii="Calibri" w:hAnsi="Calibri" w:cs="Calibri"/>
          <w:noProof/>
          <w:sz w:val="20"/>
          <w:szCs w:val="20"/>
          <w:lang w:eastAsia="cs-CZ"/>
        </w:rPr>
        <w:t xml:space="preserve"> </w:t>
      </w:r>
      <w:r w:rsidRPr="00040F0F">
        <w:rPr>
          <w:rFonts w:ascii="Calibri" w:hAnsi="Calibri" w:cs="Calibri"/>
          <w:noProof/>
          <w:sz w:val="20"/>
          <w:szCs w:val="20"/>
          <w:lang w:eastAsia="cs-CZ"/>
        </w:rPr>
        <w:t>dražbě dle</w:t>
      </w:r>
      <w:r w:rsidR="007405FC" w:rsidRPr="00040F0F">
        <w:rPr>
          <w:rFonts w:ascii="Calibri" w:hAnsi="Calibri" w:cs="Calibri"/>
          <w:noProof/>
          <w:sz w:val="20"/>
          <w:szCs w:val="20"/>
          <w:lang w:eastAsia="cs-CZ"/>
        </w:rPr>
        <w:t xml:space="preserve"> </w:t>
      </w:r>
      <w:r w:rsidRPr="00040F0F">
        <w:rPr>
          <w:rFonts w:ascii="Calibri" w:hAnsi="Calibri" w:cs="Calibri"/>
          <w:noProof/>
          <w:sz w:val="20"/>
          <w:szCs w:val="20"/>
          <w:lang w:eastAsia="cs-CZ"/>
        </w:rPr>
        <w:t>dražebního kalendáře</w:t>
      </w:r>
      <w:r w:rsidR="00E96E68">
        <w:rPr>
          <w:rFonts w:ascii="Calibri" w:hAnsi="Calibri" w:cs="Calibri"/>
          <w:noProof/>
          <w:sz w:val="20"/>
          <w:szCs w:val="20"/>
          <w:lang w:eastAsia="cs-CZ"/>
        </w:rPr>
        <w:t>,</w:t>
      </w:r>
      <w:r w:rsidRPr="00040F0F">
        <w:rPr>
          <w:rFonts w:ascii="Calibri" w:hAnsi="Calibri" w:cs="Calibri"/>
          <w:noProof/>
          <w:sz w:val="20"/>
          <w:szCs w:val="20"/>
          <w:lang w:eastAsia="cs-CZ"/>
        </w:rPr>
        <w:t xml:space="preserve"> jako celkové množství v jednotlivých letech.</w:t>
      </w:r>
    </w:p>
    <w:p w:rsidR="00EF58D3" w:rsidRPr="00F54ED4" w:rsidRDefault="00EF58D3" w:rsidP="00F54ED4">
      <w:pPr>
        <w:spacing w:after="120" w:line="240" w:lineRule="auto"/>
        <w:jc w:val="both"/>
        <w:rPr>
          <w:rFonts w:cstheme="minorHAnsi"/>
          <w:noProof/>
          <w:lang w:eastAsia="cs-CZ"/>
        </w:rPr>
      </w:pPr>
    </w:p>
    <w:p w:rsidR="00EF58D3" w:rsidRPr="00F54ED4" w:rsidRDefault="00EF58D3" w:rsidP="00F54ED4">
      <w:pPr>
        <w:spacing w:after="120" w:line="240" w:lineRule="auto"/>
        <w:jc w:val="both"/>
        <w:rPr>
          <w:rFonts w:cstheme="minorHAnsi"/>
          <w:b/>
          <w:sz w:val="24"/>
        </w:rPr>
      </w:pPr>
      <w:r w:rsidRPr="00F54ED4">
        <w:rPr>
          <w:rFonts w:cstheme="minorHAnsi"/>
          <w:b/>
          <w:sz w:val="24"/>
        </w:rPr>
        <w:t xml:space="preserve">B. Bezplatné povolenky na emise (EUA) přidělované dle článku 10a </w:t>
      </w:r>
      <w:r w:rsidR="00077E10">
        <w:rPr>
          <w:rFonts w:cstheme="minorHAnsi"/>
          <w:b/>
          <w:sz w:val="24"/>
        </w:rPr>
        <w:t>s</w:t>
      </w:r>
      <w:r w:rsidRPr="00F54ED4">
        <w:rPr>
          <w:rFonts w:cstheme="minorHAnsi"/>
          <w:b/>
          <w:sz w:val="24"/>
        </w:rPr>
        <w:t>měrnice o EU ETS</w:t>
      </w:r>
    </w:p>
    <w:p w:rsidR="00EF58D3" w:rsidRPr="00F54ED4" w:rsidRDefault="00EF58D3" w:rsidP="00040F0F">
      <w:pPr>
        <w:spacing w:after="120" w:line="240" w:lineRule="auto"/>
        <w:jc w:val="center"/>
        <w:rPr>
          <w:rFonts w:cstheme="minorHAnsi"/>
          <w:noProof/>
          <w:lang w:eastAsia="cs-CZ"/>
        </w:rPr>
      </w:pPr>
      <w:r w:rsidRPr="00F54ED4">
        <w:rPr>
          <w:rFonts w:cstheme="minorHAnsi"/>
          <w:noProof/>
          <w:lang w:eastAsia="cs-CZ"/>
        </w:rPr>
        <w:drawing>
          <wp:inline distT="0" distB="0" distL="0" distR="0" wp14:anchorId="55B388B5" wp14:editId="639058F9">
            <wp:extent cx="5760000" cy="3105150"/>
            <wp:effectExtent l="0" t="0" r="1270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58D3" w:rsidRPr="00040F0F" w:rsidRDefault="00EF58D3" w:rsidP="00040F0F">
      <w:pPr>
        <w:spacing w:before="40" w:after="0" w:line="240" w:lineRule="auto"/>
        <w:ind w:left="567" w:hanging="567"/>
        <w:jc w:val="both"/>
        <w:rPr>
          <w:rFonts w:ascii="Calibri" w:hAnsi="Calibri" w:cs="Calibri"/>
          <w:noProof/>
          <w:sz w:val="20"/>
          <w:szCs w:val="20"/>
          <w:lang w:eastAsia="cs-CZ"/>
        </w:rPr>
      </w:pPr>
      <w:r w:rsidRPr="00040F0F">
        <w:rPr>
          <w:rFonts w:ascii="Calibri" w:hAnsi="Calibri" w:cs="Calibri"/>
          <w:b/>
          <w:noProof/>
          <w:sz w:val="20"/>
          <w:szCs w:val="20"/>
          <w:lang w:eastAsia="cs-CZ"/>
        </w:rPr>
        <w:t>Zdroj</w:t>
      </w:r>
      <w:r w:rsidR="007A4A40" w:rsidRPr="00040F0F">
        <w:rPr>
          <w:rFonts w:ascii="Calibri" w:hAnsi="Calibri" w:cs="Calibri"/>
          <w:b/>
          <w:noProof/>
          <w:sz w:val="20"/>
          <w:szCs w:val="20"/>
          <w:lang w:eastAsia="cs-CZ"/>
        </w:rPr>
        <w:t>:</w:t>
      </w:r>
      <w:r w:rsidRPr="00040F0F">
        <w:rPr>
          <w:rFonts w:ascii="Calibri" w:hAnsi="Calibri" w:cs="Calibri"/>
          <w:noProof/>
          <w:sz w:val="20"/>
          <w:szCs w:val="20"/>
          <w:lang w:eastAsia="cs-CZ"/>
        </w:rPr>
        <w:t xml:space="preserve"> http://www.mzp.cz/cz/narodni_alokacni_tabulka</w:t>
      </w:r>
      <w:r w:rsidR="00077E10">
        <w:rPr>
          <w:rFonts w:ascii="Calibri" w:hAnsi="Calibri" w:cs="Calibri"/>
          <w:noProof/>
          <w:sz w:val="20"/>
          <w:szCs w:val="20"/>
          <w:lang w:eastAsia="cs-CZ"/>
        </w:rPr>
        <w:t>.</w:t>
      </w:r>
    </w:p>
    <w:p w:rsidR="00FD1CE3" w:rsidRPr="00040F0F" w:rsidRDefault="00FD1CE3" w:rsidP="00040F0F">
      <w:pPr>
        <w:spacing w:after="0" w:line="240" w:lineRule="auto"/>
        <w:jc w:val="both"/>
        <w:rPr>
          <w:rFonts w:ascii="Calibri" w:hAnsi="Calibri" w:cs="Calibri"/>
          <w:noProof/>
          <w:sz w:val="24"/>
          <w:szCs w:val="24"/>
          <w:lang w:eastAsia="cs-CZ"/>
        </w:rPr>
      </w:pPr>
    </w:p>
    <w:p w:rsidR="00EF58D3" w:rsidRPr="00F54ED4" w:rsidRDefault="00EF58D3" w:rsidP="00F54ED4">
      <w:pPr>
        <w:spacing w:after="120" w:line="240" w:lineRule="auto"/>
        <w:jc w:val="both"/>
        <w:rPr>
          <w:rFonts w:cstheme="minorHAnsi"/>
          <w:b/>
          <w:sz w:val="24"/>
          <w:szCs w:val="24"/>
        </w:rPr>
      </w:pPr>
      <w:r w:rsidRPr="00F54ED4">
        <w:rPr>
          <w:rFonts w:cstheme="minorHAnsi"/>
          <w:b/>
          <w:sz w:val="24"/>
        </w:rPr>
        <w:t>C. Bezplatné povolenky na emise (EUA)</w:t>
      </w:r>
      <w:r w:rsidR="00367E70">
        <w:rPr>
          <w:rFonts w:cstheme="minorHAnsi"/>
          <w:b/>
          <w:sz w:val="24"/>
        </w:rPr>
        <w:t xml:space="preserve"> </w:t>
      </w:r>
      <w:r w:rsidRPr="00F54ED4">
        <w:rPr>
          <w:rFonts w:cstheme="minorHAnsi"/>
          <w:b/>
          <w:sz w:val="24"/>
          <w:szCs w:val="24"/>
        </w:rPr>
        <w:t xml:space="preserve">přidělované dle článku 10c </w:t>
      </w:r>
      <w:r w:rsidR="00077E10">
        <w:rPr>
          <w:rFonts w:cstheme="minorHAnsi"/>
          <w:b/>
          <w:sz w:val="24"/>
          <w:szCs w:val="24"/>
        </w:rPr>
        <w:t>s</w:t>
      </w:r>
      <w:r w:rsidRPr="00F54ED4">
        <w:rPr>
          <w:rFonts w:cstheme="minorHAnsi"/>
          <w:b/>
          <w:sz w:val="24"/>
          <w:szCs w:val="24"/>
        </w:rPr>
        <w:t>měrnice o EU ETS</w:t>
      </w:r>
    </w:p>
    <w:p w:rsidR="00EF58D3" w:rsidRPr="00040F0F" w:rsidRDefault="00EF58D3" w:rsidP="00B32998">
      <w:pPr>
        <w:spacing w:after="0" w:line="240" w:lineRule="auto"/>
        <w:jc w:val="both"/>
        <w:rPr>
          <w:rFonts w:ascii="Calibri" w:hAnsi="Calibri" w:cs="Calibri"/>
          <w:sz w:val="20"/>
          <w:szCs w:val="20"/>
        </w:rPr>
      </w:pPr>
      <w:r w:rsidRPr="00F54ED4">
        <w:rPr>
          <w:rFonts w:cstheme="minorHAnsi"/>
          <w:noProof/>
          <w:lang w:eastAsia="cs-CZ"/>
        </w:rPr>
        <w:drawing>
          <wp:anchor distT="0" distB="0" distL="114300" distR="114300" simplePos="0" relativeHeight="251661312" behindDoc="0" locked="0" layoutInCell="1" allowOverlap="1" wp14:anchorId="19BB63CC" wp14:editId="44F0420E">
            <wp:simplePos x="0" y="0"/>
            <wp:positionH relativeFrom="column">
              <wp:posOffset>635</wp:posOffset>
            </wp:positionH>
            <wp:positionV relativeFrom="paragraph">
              <wp:posOffset>2540</wp:posOffset>
            </wp:positionV>
            <wp:extent cx="5759450" cy="2984500"/>
            <wp:effectExtent l="0" t="0" r="12700" b="25400"/>
            <wp:wrapTopAndBottom/>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040F0F">
        <w:rPr>
          <w:rFonts w:ascii="Calibri" w:hAnsi="Calibri" w:cs="Calibri"/>
          <w:b/>
          <w:sz w:val="20"/>
          <w:szCs w:val="20"/>
        </w:rPr>
        <w:t>Zdroj</w:t>
      </w:r>
      <w:r w:rsidR="003178F4" w:rsidRPr="00040F0F">
        <w:rPr>
          <w:rFonts w:ascii="Calibri" w:hAnsi="Calibri" w:cs="Calibri"/>
          <w:sz w:val="20"/>
          <w:szCs w:val="20"/>
        </w:rPr>
        <w:t>:</w:t>
      </w:r>
      <w:r w:rsidRPr="00040F0F">
        <w:rPr>
          <w:rFonts w:ascii="Calibri" w:hAnsi="Calibri" w:cs="Calibri"/>
          <w:sz w:val="20"/>
          <w:szCs w:val="20"/>
        </w:rPr>
        <w:t xml:space="preserve"> http://www.mzp.cz/cz/narodni_plan_investic_cr</w:t>
      </w:r>
      <w:r w:rsidR="00077E10">
        <w:rPr>
          <w:rFonts w:ascii="Calibri" w:hAnsi="Calibri" w:cs="Calibri"/>
          <w:sz w:val="20"/>
          <w:szCs w:val="20"/>
        </w:rPr>
        <w:t>.</w:t>
      </w:r>
    </w:p>
    <w:p w:rsidR="00EF58D3" w:rsidRPr="00F54ED4" w:rsidRDefault="00EF58D3" w:rsidP="00F54ED4">
      <w:pPr>
        <w:spacing w:line="240" w:lineRule="auto"/>
        <w:rPr>
          <w:rFonts w:cstheme="minorHAnsi"/>
          <w:b/>
          <w:bCs/>
          <w:iCs/>
          <w:color w:val="000000"/>
        </w:rPr>
      </w:pPr>
      <w:r w:rsidRPr="00F54ED4">
        <w:rPr>
          <w:rFonts w:cstheme="minorHAnsi"/>
          <w:b/>
          <w:bCs/>
          <w:iCs/>
          <w:color w:val="000000"/>
        </w:rPr>
        <w:br w:type="page"/>
      </w:r>
    </w:p>
    <w:p w:rsidR="003178F4" w:rsidRPr="00F54ED4" w:rsidRDefault="00EF58D3" w:rsidP="00F54ED4">
      <w:pPr>
        <w:spacing w:line="240" w:lineRule="auto"/>
        <w:jc w:val="right"/>
        <w:rPr>
          <w:rFonts w:cstheme="minorHAnsi"/>
          <w:b/>
          <w:sz w:val="28"/>
        </w:rPr>
      </w:pPr>
      <w:r w:rsidRPr="00F54ED4">
        <w:rPr>
          <w:rFonts w:cstheme="minorHAnsi"/>
          <w:b/>
          <w:sz w:val="28"/>
        </w:rPr>
        <w:lastRenderedPageBreak/>
        <w:t>Příloha č. 2</w:t>
      </w:r>
    </w:p>
    <w:p w:rsidR="00EF58D3" w:rsidRPr="00F54ED4" w:rsidRDefault="00EF58D3" w:rsidP="00F54ED4">
      <w:pPr>
        <w:spacing w:line="240" w:lineRule="auto"/>
        <w:rPr>
          <w:rFonts w:cstheme="minorHAnsi"/>
          <w:b/>
          <w:sz w:val="24"/>
          <w:szCs w:val="24"/>
        </w:rPr>
      </w:pPr>
      <w:r w:rsidRPr="00F54ED4">
        <w:rPr>
          <w:rFonts w:cstheme="minorHAnsi"/>
          <w:b/>
          <w:sz w:val="24"/>
          <w:szCs w:val="24"/>
        </w:rPr>
        <w:t>Vývoj tržních cen povolenek na emise (EUA) určených v</w:t>
      </w:r>
      <w:r w:rsidR="007405FC" w:rsidRPr="00F54ED4">
        <w:rPr>
          <w:rFonts w:cstheme="minorHAnsi"/>
          <w:b/>
          <w:sz w:val="24"/>
          <w:szCs w:val="24"/>
        </w:rPr>
        <w:t xml:space="preserve"> </w:t>
      </w:r>
      <w:r w:rsidRPr="00F54ED4">
        <w:rPr>
          <w:rFonts w:cstheme="minorHAnsi"/>
          <w:b/>
          <w:sz w:val="24"/>
          <w:szCs w:val="24"/>
        </w:rPr>
        <w:t>roce 2013 k dražbě</w:t>
      </w:r>
    </w:p>
    <w:p w:rsidR="00EF58D3" w:rsidRPr="00B32998" w:rsidRDefault="00B32998" w:rsidP="001D3168">
      <w:pPr>
        <w:spacing w:before="40" w:after="0" w:line="240" w:lineRule="auto"/>
        <w:ind w:left="567" w:hanging="567"/>
        <w:rPr>
          <w:rFonts w:ascii="Calibri" w:hAnsi="Calibri" w:cs="Calibri"/>
          <w:sz w:val="20"/>
          <w:szCs w:val="20"/>
        </w:rPr>
      </w:pPr>
      <w:r w:rsidRPr="00F54ED4">
        <w:rPr>
          <w:rFonts w:cstheme="minorHAnsi"/>
          <w:noProof/>
          <w:lang w:eastAsia="cs-CZ"/>
        </w:rPr>
        <w:drawing>
          <wp:anchor distT="0" distB="0" distL="114300" distR="114300" simplePos="0" relativeHeight="251660288" behindDoc="0" locked="0" layoutInCell="1" allowOverlap="1" wp14:anchorId="64487C3A" wp14:editId="4BD2B8B4">
            <wp:simplePos x="0" y="0"/>
            <wp:positionH relativeFrom="column">
              <wp:posOffset>635</wp:posOffset>
            </wp:positionH>
            <wp:positionV relativeFrom="paragraph">
              <wp:posOffset>12065</wp:posOffset>
            </wp:positionV>
            <wp:extent cx="5760720" cy="2884170"/>
            <wp:effectExtent l="0" t="0" r="11430" b="11430"/>
            <wp:wrapTopAndBottom/>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EF58D3" w:rsidRPr="00B32998">
        <w:rPr>
          <w:rFonts w:ascii="Calibri" w:hAnsi="Calibri" w:cs="Calibri"/>
          <w:b/>
          <w:sz w:val="20"/>
          <w:szCs w:val="20"/>
        </w:rPr>
        <w:t>Zdroj</w:t>
      </w:r>
      <w:r w:rsidR="00EF58D3" w:rsidRPr="00B32998">
        <w:rPr>
          <w:rFonts w:ascii="Calibri" w:hAnsi="Calibri" w:cs="Calibri"/>
          <w:sz w:val="20"/>
          <w:szCs w:val="20"/>
        </w:rPr>
        <w:t xml:space="preserve">: </w:t>
      </w:r>
      <w:r>
        <w:rPr>
          <w:rFonts w:ascii="Calibri" w:hAnsi="Calibri" w:cs="Calibri"/>
          <w:sz w:val="20"/>
          <w:szCs w:val="20"/>
        </w:rPr>
        <w:tab/>
      </w:r>
      <w:r w:rsidR="00EF58D3" w:rsidRPr="00B32998">
        <w:rPr>
          <w:rFonts w:ascii="Calibri" w:hAnsi="Calibri" w:cs="Calibri"/>
          <w:sz w:val="20"/>
          <w:szCs w:val="20"/>
        </w:rPr>
        <w:t xml:space="preserve">společnost </w:t>
      </w:r>
      <w:proofErr w:type="spellStart"/>
      <w:r w:rsidR="00EF58D3" w:rsidRPr="00B32998">
        <w:rPr>
          <w:rFonts w:ascii="Calibri" w:hAnsi="Calibri" w:cs="Calibri"/>
          <w:sz w:val="20"/>
          <w:szCs w:val="20"/>
        </w:rPr>
        <w:t>European</w:t>
      </w:r>
      <w:proofErr w:type="spellEnd"/>
      <w:r w:rsidR="00EF58D3" w:rsidRPr="00B32998">
        <w:rPr>
          <w:rFonts w:ascii="Calibri" w:hAnsi="Calibri" w:cs="Calibri"/>
          <w:sz w:val="20"/>
          <w:szCs w:val="20"/>
        </w:rPr>
        <w:t xml:space="preserve"> </w:t>
      </w:r>
      <w:proofErr w:type="spellStart"/>
      <w:r w:rsidR="00EF58D3" w:rsidRPr="00B32998">
        <w:rPr>
          <w:rFonts w:ascii="Calibri" w:hAnsi="Calibri" w:cs="Calibri"/>
          <w:sz w:val="20"/>
          <w:szCs w:val="20"/>
        </w:rPr>
        <w:t>Energy</w:t>
      </w:r>
      <w:proofErr w:type="spellEnd"/>
      <w:r w:rsidR="00EF58D3" w:rsidRPr="00B32998">
        <w:rPr>
          <w:rFonts w:ascii="Calibri" w:hAnsi="Calibri" w:cs="Calibri"/>
          <w:sz w:val="20"/>
          <w:szCs w:val="20"/>
        </w:rPr>
        <w:t xml:space="preserve"> Exchange (EEX) se sídlem v</w:t>
      </w:r>
      <w:r w:rsidR="007405FC" w:rsidRPr="00B32998">
        <w:rPr>
          <w:rFonts w:ascii="Calibri" w:hAnsi="Calibri" w:cs="Calibri"/>
          <w:sz w:val="20"/>
          <w:szCs w:val="20"/>
        </w:rPr>
        <w:t xml:space="preserve"> </w:t>
      </w:r>
      <w:r w:rsidR="00EF58D3" w:rsidRPr="00B32998">
        <w:rPr>
          <w:rFonts w:ascii="Calibri" w:hAnsi="Calibri" w:cs="Calibri"/>
          <w:sz w:val="20"/>
          <w:szCs w:val="20"/>
        </w:rPr>
        <w:t xml:space="preserve">Lipsku (energetická burza), </w:t>
      </w:r>
      <w:hyperlink r:id="rId16" w:history="1">
        <w:r w:rsidR="00EF58D3" w:rsidRPr="00B32998">
          <w:rPr>
            <w:rFonts w:ascii="Calibri" w:hAnsi="Calibri" w:cs="Calibri"/>
            <w:color w:val="0000FF" w:themeColor="hyperlink"/>
            <w:sz w:val="20"/>
            <w:szCs w:val="20"/>
            <w:u w:val="single"/>
          </w:rPr>
          <w:t>https://www.eex.com/en/market-data/emission-allowances/auction-market/european-emission-allowances-auction#</w:t>
        </w:r>
      </w:hyperlink>
      <w:r w:rsidR="00077E10">
        <w:rPr>
          <w:rFonts w:ascii="Calibri" w:hAnsi="Calibri" w:cs="Calibri"/>
          <w:sz w:val="20"/>
          <w:szCs w:val="20"/>
        </w:rPr>
        <w:t>.</w:t>
      </w:r>
    </w:p>
    <w:p w:rsidR="00EF58D3" w:rsidRPr="00B32998" w:rsidRDefault="00EF58D3" w:rsidP="00B32998">
      <w:pPr>
        <w:spacing w:after="0" w:line="240" w:lineRule="auto"/>
        <w:ind w:left="567" w:hanging="567"/>
        <w:jc w:val="both"/>
        <w:rPr>
          <w:rFonts w:ascii="Calibri" w:hAnsi="Calibri" w:cs="Calibri"/>
          <w:sz w:val="20"/>
          <w:szCs w:val="20"/>
        </w:rPr>
      </w:pPr>
      <w:proofErr w:type="spellStart"/>
      <w:r w:rsidRPr="00473A3A">
        <w:rPr>
          <w:rFonts w:ascii="Calibri" w:hAnsi="Calibri" w:cs="Calibri"/>
          <w:b/>
          <w:sz w:val="20"/>
          <w:szCs w:val="20"/>
        </w:rPr>
        <w:t>Pozn</w:t>
      </w:r>
      <w:proofErr w:type="spellEnd"/>
      <w:r w:rsidR="00077E10">
        <w:rPr>
          <w:rFonts w:ascii="Calibri" w:hAnsi="Calibri" w:cs="Calibri"/>
          <w:b/>
          <w:sz w:val="20"/>
          <w:szCs w:val="20"/>
        </w:rPr>
        <w:t>:</w:t>
      </w:r>
      <w:r w:rsidRPr="00B32998">
        <w:rPr>
          <w:rFonts w:ascii="Calibri" w:hAnsi="Calibri" w:cs="Calibri"/>
          <w:sz w:val="20"/>
          <w:szCs w:val="20"/>
        </w:rPr>
        <w:t xml:space="preserve"> </w:t>
      </w:r>
      <w:r w:rsidR="00077E10">
        <w:rPr>
          <w:rFonts w:ascii="Calibri" w:hAnsi="Calibri" w:cs="Calibri"/>
          <w:sz w:val="20"/>
          <w:szCs w:val="20"/>
        </w:rPr>
        <w:t>J</w:t>
      </w:r>
      <w:r w:rsidRPr="00B32998">
        <w:rPr>
          <w:rFonts w:ascii="Calibri" w:hAnsi="Calibri" w:cs="Calibri"/>
          <w:sz w:val="20"/>
          <w:szCs w:val="20"/>
        </w:rPr>
        <w:t>de o údaje o tržní ceně EUA vydaných pro třetí obchodovací období v EU ETS pro společnou dražební platformu členských států Evropské unie.</w:t>
      </w:r>
    </w:p>
    <w:sectPr w:rsidR="00EF58D3" w:rsidRPr="00B32998" w:rsidSect="007079F2">
      <w:headerReference w:type="default" r:id="rId17"/>
      <w:footerReference w:type="default" r:id="rId18"/>
      <w:headerReference w:type="first" r:id="rId1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911" w:rsidRDefault="00102911" w:rsidP="00EC6961">
      <w:pPr>
        <w:spacing w:after="0" w:line="240" w:lineRule="auto"/>
      </w:pPr>
      <w:r>
        <w:separator/>
      </w:r>
    </w:p>
  </w:endnote>
  <w:endnote w:type="continuationSeparator" w:id="0">
    <w:p w:rsidR="00102911" w:rsidRDefault="00102911" w:rsidP="00EC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EUAlbertina-Bold-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11" w:rsidRPr="00B32998" w:rsidRDefault="00102911" w:rsidP="00C70458">
    <w:pPr>
      <w:pStyle w:val="Zpat"/>
      <w:jc w:val="center"/>
      <w:rPr>
        <w:rFonts w:ascii="Calibri" w:hAnsi="Calibri" w:cs="Calibri"/>
      </w:rPr>
    </w:pPr>
    <w:r w:rsidRPr="00B32998">
      <w:rPr>
        <w:rFonts w:ascii="Calibri" w:hAnsi="Calibri" w:cs="Calibri"/>
      </w:rPr>
      <w:fldChar w:fldCharType="begin"/>
    </w:r>
    <w:r w:rsidRPr="00B32998">
      <w:rPr>
        <w:rFonts w:ascii="Calibri" w:hAnsi="Calibri" w:cs="Calibri"/>
      </w:rPr>
      <w:instrText>PAGE   \* MERGEFORMAT</w:instrText>
    </w:r>
    <w:r w:rsidRPr="00B32998">
      <w:rPr>
        <w:rFonts w:ascii="Calibri" w:hAnsi="Calibri" w:cs="Calibri"/>
      </w:rPr>
      <w:fldChar w:fldCharType="separate"/>
    </w:r>
    <w:r w:rsidR="00A900EC">
      <w:rPr>
        <w:rFonts w:ascii="Calibri" w:hAnsi="Calibri" w:cs="Calibri"/>
        <w:noProof/>
      </w:rPr>
      <w:t>36</w:t>
    </w:r>
    <w:r w:rsidRPr="00B32998">
      <w:rPr>
        <w:rFonts w:ascii="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911" w:rsidRDefault="00102911" w:rsidP="00EC6961">
      <w:pPr>
        <w:spacing w:after="0" w:line="240" w:lineRule="auto"/>
      </w:pPr>
      <w:r>
        <w:separator/>
      </w:r>
    </w:p>
  </w:footnote>
  <w:footnote w:type="continuationSeparator" w:id="0">
    <w:p w:rsidR="00102911" w:rsidRDefault="00102911" w:rsidP="00EC6961">
      <w:pPr>
        <w:spacing w:after="0" w:line="240" w:lineRule="auto"/>
      </w:pPr>
      <w:r>
        <w:continuationSeparator/>
      </w:r>
    </w:p>
  </w:footnote>
  <w:footnote w:id="1">
    <w:p w:rsidR="00102911" w:rsidRPr="005416A5" w:rsidRDefault="00102911" w:rsidP="005416A5">
      <w:pPr>
        <w:pStyle w:val="Textpoznpodarou"/>
        <w:ind w:left="284" w:hanging="284"/>
        <w:rPr>
          <w:rFonts w:ascii="Calibri" w:hAnsi="Calibri" w:cs="Calibri"/>
        </w:rPr>
      </w:pPr>
      <w:r w:rsidRPr="005416A5">
        <w:rPr>
          <w:rStyle w:val="Znakapoznpodarou"/>
          <w:rFonts w:ascii="Calibri" w:hAnsi="Calibri" w:cs="Calibri"/>
        </w:rPr>
        <w:footnoteRef/>
      </w:r>
      <w:r w:rsidRPr="005416A5">
        <w:rPr>
          <w:rFonts w:ascii="Calibri" w:hAnsi="Calibri" w:cs="Calibri"/>
        </w:rPr>
        <w:tab/>
        <w:t>Usnesení vlády ze dne 22. února 2006 č. 175</w:t>
      </w:r>
      <w:r>
        <w:rPr>
          <w:rFonts w:ascii="Calibri" w:hAnsi="Calibri" w:cs="Calibri"/>
        </w:rPr>
        <w:t>,</w:t>
      </w:r>
      <w:r w:rsidRPr="005416A5">
        <w:rPr>
          <w:rFonts w:ascii="Calibri" w:hAnsi="Calibri" w:cs="Calibri"/>
        </w:rPr>
        <w:t xml:space="preserve"> </w:t>
      </w:r>
      <w:r w:rsidRPr="00341E1B">
        <w:rPr>
          <w:rFonts w:ascii="Calibri" w:hAnsi="Calibri" w:cs="Calibri"/>
          <w:i/>
        </w:rPr>
        <w:t>k Návrhu Národního rozvojového plánu České republiky na léta 2007 až 2013</w:t>
      </w:r>
      <w:r w:rsidRPr="005416A5">
        <w:rPr>
          <w:rFonts w:ascii="Calibri" w:hAnsi="Calibri" w:cs="Calibri"/>
        </w:rPr>
        <w:t>.</w:t>
      </w:r>
    </w:p>
  </w:footnote>
  <w:footnote w:id="2">
    <w:p w:rsidR="00102911" w:rsidRDefault="00102911" w:rsidP="00EF58D3">
      <w:pPr>
        <w:pStyle w:val="Textpoznpodarou"/>
        <w:ind w:left="284" w:hanging="284"/>
        <w:jc w:val="both"/>
      </w:pPr>
      <w:r>
        <w:rPr>
          <w:rStyle w:val="Znakapoznpodarou"/>
        </w:rPr>
        <w:footnoteRef/>
      </w:r>
      <w:r>
        <w:tab/>
      </w:r>
      <w:r w:rsidRPr="007A7CB4">
        <w:t xml:space="preserve">NKÚ na problematiku nejednoznačnosti předpisů pro účetnictví </w:t>
      </w:r>
      <w:r>
        <w:t xml:space="preserve">pro tuto oblast </w:t>
      </w:r>
      <w:r w:rsidRPr="007A7CB4">
        <w:t xml:space="preserve">upozorňuje již od roku 2011, </w:t>
      </w:r>
      <w:r>
        <w:t>viz kontrolní závěry</w:t>
      </w:r>
      <w:r w:rsidRPr="007A7CB4">
        <w:t xml:space="preserve"> z kontrolní</w:t>
      </w:r>
      <w:r>
        <w:t>ch</w:t>
      </w:r>
      <w:r w:rsidRPr="007A7CB4">
        <w:t xml:space="preserve"> akc</w:t>
      </w:r>
      <w:r>
        <w:t>í</w:t>
      </w:r>
      <w:r w:rsidRPr="007A7CB4">
        <w:t xml:space="preserve"> č. 10/20 (kontrolní závěr byl zveřejněn v</w:t>
      </w:r>
      <w:r>
        <w:t> </w:t>
      </w:r>
      <w:r w:rsidRPr="007A7CB4">
        <w:t xml:space="preserve">částce 3/2011 </w:t>
      </w:r>
      <w:r w:rsidRPr="00341E1B">
        <w:rPr>
          <w:i/>
        </w:rPr>
        <w:t>Věstníku NKÚ</w:t>
      </w:r>
      <w:r w:rsidRPr="007A7CB4">
        <w:t xml:space="preserve">), č. 11/29 (kontrolní závěr byl zveřejněn v částce 3/2012 </w:t>
      </w:r>
      <w:r w:rsidRPr="00341E1B">
        <w:rPr>
          <w:i/>
        </w:rPr>
        <w:t>Věstníku NKÚ</w:t>
      </w:r>
      <w:r w:rsidRPr="007A7CB4">
        <w:t xml:space="preserve">), č. 12/15 (kontrolní závěr byl zveřejněn v částce 2/2013 </w:t>
      </w:r>
      <w:r w:rsidRPr="00341E1B">
        <w:rPr>
          <w:i/>
        </w:rPr>
        <w:t>Věstníku NKÚ</w:t>
      </w:r>
      <w:r w:rsidRPr="007A7CB4">
        <w:t>), č.</w:t>
      </w:r>
      <w:r>
        <w:t> </w:t>
      </w:r>
      <w:r w:rsidRPr="007A7CB4">
        <w:t xml:space="preserve">12/30 (kontrolní závěr byl zveřejněn v částce 3/2013 </w:t>
      </w:r>
      <w:r w:rsidRPr="00341E1B">
        <w:rPr>
          <w:i/>
        </w:rPr>
        <w:t>Věstníku NKÚ</w:t>
      </w:r>
      <w:r w:rsidRPr="007A7CB4">
        <w:t>)</w:t>
      </w:r>
      <w:r>
        <w:t xml:space="preserve"> a č. 13/38 (kontrolní závěr byl zveřejněn v částce 3/2014 </w:t>
      </w:r>
      <w:r w:rsidRPr="00341E1B">
        <w:rPr>
          <w:i/>
        </w:rPr>
        <w:t>Věstníku NKÚ)</w:t>
      </w:r>
      <w:r w:rsidRPr="007A7CB4">
        <w:t>.</w:t>
      </w:r>
    </w:p>
  </w:footnote>
  <w:footnote w:id="3">
    <w:p w:rsidR="00102911" w:rsidRDefault="00102911" w:rsidP="00EF58D3">
      <w:pPr>
        <w:pStyle w:val="Textpoznpodarou"/>
        <w:ind w:left="284" w:hanging="284"/>
      </w:pPr>
      <w:r>
        <w:rPr>
          <w:rStyle w:val="Znakapoznpodarou"/>
        </w:rPr>
        <w:footnoteRef/>
      </w:r>
      <w:r>
        <w:tab/>
        <w:t>V roce 2013 byl podíl těchto peněžních prostředků na celkových výdajích MŽP ve výši 87,75 %.</w:t>
      </w:r>
    </w:p>
  </w:footnote>
  <w:footnote w:id="4">
    <w:p w:rsidR="00102911" w:rsidRDefault="00102911" w:rsidP="00EF58D3">
      <w:pPr>
        <w:pStyle w:val="Textpoznpodarou"/>
        <w:ind w:left="284" w:hanging="284"/>
      </w:pPr>
      <w:r>
        <w:rPr>
          <w:rStyle w:val="Znakapoznpodarou"/>
        </w:rPr>
        <w:footnoteRef/>
      </w:r>
      <w:r>
        <w:tab/>
        <w:t>V roce 2013 byl podíl těchto peněžních prostředků na celkových příjmech MŽP ve výši 83,65 %.</w:t>
      </w:r>
    </w:p>
  </w:footnote>
  <w:footnote w:id="5">
    <w:p w:rsidR="00102911" w:rsidRDefault="00102911" w:rsidP="00EF58D3">
      <w:pPr>
        <w:pStyle w:val="Textpoznpodarou"/>
        <w:ind w:left="284" w:hanging="284"/>
        <w:jc w:val="both"/>
      </w:pPr>
      <w:r>
        <w:rPr>
          <w:rStyle w:val="Znakapoznpodarou"/>
        </w:rPr>
        <w:footnoteRef/>
      </w:r>
      <w:r>
        <w:tab/>
        <w:t>MŽP v roce 2013 neúčtovalo na tomto účtu předpisy všech závazků z předfinancování, které byly v roce 2013 uhrazeny z bankovního účtu. Tato skutečnost nebyla zjištěna ani při dokladové inventuře k 31. prosinci 2013.</w:t>
      </w:r>
    </w:p>
  </w:footnote>
  <w:footnote w:id="6">
    <w:p w:rsidR="00102911" w:rsidRDefault="00102911" w:rsidP="00EF58D3">
      <w:pPr>
        <w:pStyle w:val="Textpoznpodarou"/>
        <w:ind w:left="284" w:hanging="284"/>
      </w:pPr>
      <w:r>
        <w:rPr>
          <w:rStyle w:val="Znakapoznpodarou"/>
        </w:rPr>
        <w:footnoteRef/>
      </w:r>
      <w:r>
        <w:tab/>
        <w:t>Minus 109 485 473,59 Kč.</w:t>
      </w:r>
    </w:p>
  </w:footnote>
  <w:footnote w:id="7">
    <w:p w:rsidR="00102911" w:rsidRPr="005416A5" w:rsidRDefault="00102911" w:rsidP="005416A5">
      <w:pPr>
        <w:pStyle w:val="Textpoznpodarou"/>
        <w:ind w:left="284" w:hanging="284"/>
        <w:jc w:val="both"/>
        <w:rPr>
          <w:rFonts w:ascii="Calibri" w:hAnsi="Calibri" w:cs="Calibri"/>
        </w:rPr>
      </w:pPr>
      <w:r w:rsidRPr="005416A5">
        <w:rPr>
          <w:rStyle w:val="Znakapoznpodarou"/>
          <w:rFonts w:ascii="Calibri" w:hAnsi="Calibri" w:cs="Calibri"/>
        </w:rPr>
        <w:footnoteRef/>
      </w:r>
      <w:r w:rsidRPr="005416A5">
        <w:rPr>
          <w:rFonts w:ascii="Calibri" w:hAnsi="Calibri" w:cs="Calibri"/>
        </w:rPr>
        <w:tab/>
        <w:t xml:space="preserve">V rozvaze tyto částky ovlivňují konečný zůstatek vykázaný na účtu </w:t>
      </w:r>
      <w:r w:rsidRPr="00341E1B">
        <w:rPr>
          <w:rFonts w:ascii="Calibri" w:hAnsi="Calibri" w:cs="Calibri"/>
        </w:rPr>
        <w:t>493</w:t>
      </w:r>
      <w:r w:rsidRPr="005416A5">
        <w:rPr>
          <w:rFonts w:ascii="Calibri" w:hAnsi="Calibri" w:cs="Calibri"/>
          <w:i/>
        </w:rPr>
        <w:t xml:space="preserve"> </w:t>
      </w:r>
      <w:r>
        <w:rPr>
          <w:rFonts w:ascii="Calibri" w:hAnsi="Calibri" w:cs="Calibri"/>
          <w:i/>
        </w:rPr>
        <w:t>–</w:t>
      </w:r>
      <w:r w:rsidRPr="005416A5">
        <w:rPr>
          <w:rFonts w:ascii="Calibri" w:hAnsi="Calibri" w:cs="Calibri"/>
          <w:i/>
        </w:rPr>
        <w:t xml:space="preserve"> Výsledek hospodaření běžného</w:t>
      </w:r>
      <w:r w:rsidRPr="005416A5">
        <w:rPr>
          <w:rFonts w:ascii="Calibri" w:hAnsi="Calibri" w:cs="Calibri"/>
        </w:rPr>
        <w:t xml:space="preserve"> </w:t>
      </w:r>
      <w:r w:rsidRPr="005416A5">
        <w:rPr>
          <w:rFonts w:ascii="Calibri" w:hAnsi="Calibri" w:cs="Calibri"/>
          <w:i/>
        </w:rPr>
        <w:t>účetního období</w:t>
      </w:r>
      <w:r w:rsidRPr="005416A5">
        <w:rPr>
          <w:rFonts w:ascii="Calibri" w:hAnsi="Calibri" w:cs="Calibri"/>
        </w:rPr>
        <w:t xml:space="preserve">, který následně vstupuje do přehledu o peněžních tocích a do přehledu o změnách vlastního kapitálu. V rozvaze je z předchozích účetních období ovlivněn i konečný zůstatek na účtu </w:t>
      </w:r>
      <w:r>
        <w:rPr>
          <w:rFonts w:ascii="Calibri" w:hAnsi="Calibri" w:cs="Calibri"/>
        </w:rPr>
        <w:br/>
      </w:r>
      <w:r w:rsidRPr="00341E1B">
        <w:rPr>
          <w:rFonts w:ascii="Calibri" w:hAnsi="Calibri" w:cs="Calibri"/>
        </w:rPr>
        <w:t>432</w:t>
      </w:r>
      <w:r>
        <w:rPr>
          <w:rFonts w:ascii="Calibri" w:hAnsi="Calibri" w:cs="Calibri"/>
        </w:rPr>
        <w:t> </w:t>
      </w:r>
      <w:r w:rsidRPr="005416A5">
        <w:rPr>
          <w:rFonts w:ascii="Calibri" w:hAnsi="Calibri" w:cs="Calibri"/>
          <w:i/>
        </w:rPr>
        <w:t>– Výsledek</w:t>
      </w:r>
      <w:r w:rsidRPr="005416A5">
        <w:rPr>
          <w:rFonts w:ascii="Calibri" w:hAnsi="Calibri" w:cs="Calibri"/>
        </w:rPr>
        <w:t xml:space="preserve"> </w:t>
      </w:r>
      <w:r w:rsidRPr="005416A5">
        <w:rPr>
          <w:rFonts w:ascii="Calibri" w:hAnsi="Calibri" w:cs="Calibri"/>
          <w:i/>
        </w:rPr>
        <w:t>hospodaření minulých účetních období</w:t>
      </w:r>
      <w:r w:rsidRPr="005416A5">
        <w:rPr>
          <w:rFonts w:ascii="Calibri" w:hAnsi="Calibri" w:cs="Calibri"/>
        </w:rPr>
        <w:t xml:space="preserve">, který následně vstupuje do přehledu o změnách vlastního kapitálu. </w:t>
      </w:r>
    </w:p>
  </w:footnote>
  <w:footnote w:id="8">
    <w:p w:rsidR="00102911" w:rsidRDefault="00102911" w:rsidP="00EF58D3">
      <w:pPr>
        <w:pStyle w:val="Textpoznpodarou"/>
        <w:ind w:left="284" w:hanging="284"/>
        <w:jc w:val="both"/>
      </w:pPr>
      <w:r>
        <w:rPr>
          <w:rStyle w:val="Znakapoznpodarou"/>
        </w:rPr>
        <w:footnoteRef/>
      </w:r>
      <w:r>
        <w:tab/>
      </w:r>
      <w:r w:rsidRPr="00B437CB">
        <w:rPr>
          <w:i/>
        </w:rPr>
        <w:t>Kjótský protokol</w:t>
      </w:r>
      <w:r>
        <w:t xml:space="preserve"> je mezinárodní smlouvou (vyhlášenou v České republice pod č. 81/2005 Sb. m. s.), která stanovuje kromě dalších požadavků také kvantifikované závazky jednotlivých smluvních stran ke snížení emisí skleníkových plynů.</w:t>
      </w:r>
    </w:p>
  </w:footnote>
  <w:footnote w:id="9">
    <w:p w:rsidR="00102911" w:rsidRDefault="00102911" w:rsidP="00EF58D3">
      <w:pPr>
        <w:pStyle w:val="Textpoznpodarou"/>
        <w:ind w:left="284" w:hanging="284"/>
        <w:jc w:val="both"/>
      </w:pPr>
      <w:r>
        <w:rPr>
          <w:rStyle w:val="Znakapoznpodarou"/>
        </w:rPr>
        <w:footnoteRef/>
      </w:r>
      <w:r>
        <w:tab/>
        <w:t xml:space="preserve">Změna </w:t>
      </w:r>
      <w:r w:rsidRPr="00B437CB">
        <w:rPr>
          <w:i/>
        </w:rPr>
        <w:t>Kjótského protokolu</w:t>
      </w:r>
      <w:r>
        <w:t xml:space="preserve"> byla přijata na 8. zasedání smluvních stran tohoto protokolu (ve dnech 26. listopadu – 8. prosince 2012) a spočívala ve stanovení nových kvantifikovaných závazků ke snížení emisí skleníkových plynů. </w:t>
      </w:r>
    </w:p>
  </w:footnote>
  <w:footnote w:id="10">
    <w:p w:rsidR="00102911" w:rsidRDefault="00102911" w:rsidP="00EF58D3">
      <w:pPr>
        <w:pStyle w:val="Textpoznpodarou"/>
        <w:ind w:left="284" w:hanging="284"/>
        <w:jc w:val="both"/>
      </w:pPr>
      <w:r>
        <w:rPr>
          <w:rStyle w:val="Znakapoznpodarou"/>
        </w:rPr>
        <w:footnoteRef/>
      </w:r>
      <w:r>
        <w:tab/>
      </w:r>
      <w:r w:rsidRPr="00390710">
        <w:t>Nařízení Komise (EU) č. 1193/2011</w:t>
      </w:r>
      <w:r>
        <w:t xml:space="preserve"> ze dne 18. listopadu 2011,</w:t>
      </w:r>
      <w:r w:rsidRPr="00390710">
        <w:t xml:space="preserve"> o vytvoření registru </w:t>
      </w:r>
      <w:r>
        <w:t>E</w:t>
      </w:r>
      <w:r w:rsidRPr="00390710">
        <w:t xml:space="preserve">U pro obchodovací období počínající dnem 1. ledna 2013 a následující obchodovací období systému </w:t>
      </w:r>
      <w:r>
        <w:t>E</w:t>
      </w:r>
      <w:r w:rsidRPr="00390710">
        <w:t>U pro obchodování s</w:t>
      </w:r>
      <w:r>
        <w:t> </w:t>
      </w:r>
      <w:r w:rsidRPr="00390710">
        <w:t>emisemi podle směrnice Evropského parlamentu a Rady 2003/87/ES a rozhodnutí Evropského parlamentu a Rady 280/2004/ES a o změně nařízení (ES) č. 2216/2004 a (EU) č. 920/2010</w:t>
      </w:r>
      <w:r>
        <w:t>.</w:t>
      </w:r>
    </w:p>
  </w:footnote>
  <w:footnote w:id="11">
    <w:p w:rsidR="00102911" w:rsidRDefault="00102911" w:rsidP="00EF58D3">
      <w:pPr>
        <w:pStyle w:val="Textpoznpodarou"/>
        <w:ind w:left="284" w:hanging="284"/>
        <w:jc w:val="both"/>
      </w:pPr>
      <w:r>
        <w:rPr>
          <w:rStyle w:val="Znakapoznpodarou"/>
        </w:rPr>
        <w:footnoteRef/>
      </w:r>
      <w:r>
        <w:tab/>
      </w:r>
      <w:r w:rsidRPr="00390710">
        <w:t xml:space="preserve">Nařízení Komise (EU) č. 389/2013 </w:t>
      </w:r>
      <w:r>
        <w:t xml:space="preserve">ze dne 2. května 2013, </w:t>
      </w:r>
      <w:r w:rsidRPr="00390710">
        <w:t xml:space="preserve">o vytvoření registru </w:t>
      </w:r>
      <w:r>
        <w:t>E</w:t>
      </w:r>
      <w:r w:rsidRPr="00390710">
        <w:t>U podle směrnice Evropského parlamentu a Rady 2003/87/ES, rozhodnutí Evropského parlamentu a Rady č. 280/2004/ES a</w:t>
      </w:r>
      <w:r>
        <w:t> </w:t>
      </w:r>
      <w:r w:rsidRPr="00390710">
        <w:t>č.</w:t>
      </w:r>
      <w:r>
        <w:t> </w:t>
      </w:r>
      <w:r w:rsidRPr="00390710">
        <w:t>406/2009 a</w:t>
      </w:r>
      <w:r>
        <w:t> </w:t>
      </w:r>
      <w:r w:rsidRPr="00390710">
        <w:t>o zrušení nařízení Komise (EU) č. 920/2010 a č. 1193/2011</w:t>
      </w:r>
      <w:r>
        <w:t xml:space="preserve">. </w:t>
      </w:r>
    </w:p>
  </w:footnote>
  <w:footnote w:id="12">
    <w:p w:rsidR="00102911" w:rsidRDefault="00102911" w:rsidP="00EF58D3">
      <w:pPr>
        <w:pStyle w:val="Textpoznpodarou"/>
        <w:ind w:left="284" w:hanging="284"/>
        <w:jc w:val="both"/>
      </w:pPr>
      <w:r>
        <w:rPr>
          <w:rStyle w:val="Znakapoznpodarou"/>
        </w:rPr>
        <w:footnoteRef/>
      </w:r>
      <w:r>
        <w:tab/>
        <w:t>Článek 41</w:t>
      </w:r>
      <w:r w:rsidRPr="00CA5A82">
        <w:t xml:space="preserve"> </w:t>
      </w:r>
      <w:r>
        <w:t>n</w:t>
      </w:r>
      <w:r w:rsidRPr="00FA7D9C">
        <w:t>ařízení Komise (EU) č. 389/2013</w:t>
      </w:r>
      <w:r>
        <w:t xml:space="preserve"> ze dne 2. května 2013,</w:t>
      </w:r>
      <w:r w:rsidRPr="00FA7D9C">
        <w:t xml:space="preserve"> o vytvoření registru </w:t>
      </w:r>
      <w:r>
        <w:t>E</w:t>
      </w:r>
      <w:r w:rsidRPr="00FA7D9C">
        <w:t>U podle směrnice Evropského parlamentu a Rady 2003/87/ES, rozhodnutí Evropského parlam</w:t>
      </w:r>
      <w:r>
        <w:t>entu a Rady č. 280/2004/ES a č. </w:t>
      </w:r>
      <w:r w:rsidRPr="00FA7D9C">
        <w:t>406/2009 a</w:t>
      </w:r>
      <w:r>
        <w:t> </w:t>
      </w:r>
      <w:r w:rsidRPr="00FA7D9C">
        <w:t>o zrušení nařízení Komise (EU) č. 920/2010 a č. 1193/2011.</w:t>
      </w:r>
    </w:p>
  </w:footnote>
  <w:footnote w:id="13">
    <w:p w:rsidR="00102911" w:rsidRDefault="00102911" w:rsidP="00EF58D3">
      <w:pPr>
        <w:pStyle w:val="Textpoznpodarou"/>
        <w:ind w:left="284" w:hanging="284"/>
        <w:jc w:val="both"/>
      </w:pPr>
      <w:r>
        <w:rPr>
          <w:rStyle w:val="Znakapoznpodarou"/>
        </w:rPr>
        <w:footnoteRef/>
      </w:r>
      <w:r>
        <w:tab/>
        <w:t>Ústředním správcem se podle článku 3 nařízení Komise (EU) č. 389/2013 rozumí osoba určená Komisí podle článku 20 směrnice 2003/87/ES.</w:t>
      </w:r>
    </w:p>
  </w:footnote>
  <w:footnote w:id="14">
    <w:p w:rsidR="00102911" w:rsidRDefault="00102911" w:rsidP="00EF58D3">
      <w:pPr>
        <w:pStyle w:val="Textpoznpodarou"/>
        <w:ind w:left="284" w:hanging="284"/>
        <w:jc w:val="both"/>
      </w:pPr>
      <w:r>
        <w:rPr>
          <w:rStyle w:val="Znakapoznpodarou"/>
        </w:rPr>
        <w:footnoteRef/>
      </w:r>
      <w:r>
        <w:tab/>
        <w:t>Článek 41 odst. 3 n</w:t>
      </w:r>
      <w:r w:rsidRPr="007D5CBF">
        <w:t>ařízení Komise (EU) č. 389/2013</w:t>
      </w:r>
      <w:r>
        <w:t xml:space="preserve"> ze dne 2. května 2013,</w:t>
      </w:r>
      <w:r w:rsidRPr="007D5CBF">
        <w:t xml:space="preserve"> o vytvoření registru </w:t>
      </w:r>
      <w:r>
        <w:t>E</w:t>
      </w:r>
      <w:r w:rsidRPr="007D5CBF">
        <w:t>U podle směrnice Evropského parlamentu a Rady 2003/87/ES, rozhodnutí Evropského parlamentu a</w:t>
      </w:r>
      <w:r>
        <w:t xml:space="preserve"> Rady č. </w:t>
      </w:r>
      <w:r w:rsidRPr="007D5CBF">
        <w:t>280/2004/ES a</w:t>
      </w:r>
      <w:r>
        <w:t> </w:t>
      </w:r>
      <w:r w:rsidRPr="007D5CBF">
        <w:t>č.</w:t>
      </w:r>
      <w:r>
        <w:t> </w:t>
      </w:r>
      <w:r w:rsidRPr="007D5CBF">
        <w:t>406/2009 a o zrušení nařízení Komise (EU) č. 920/2010 a č. 1193/2011</w:t>
      </w:r>
      <w:r>
        <w:t>.</w:t>
      </w:r>
    </w:p>
  </w:footnote>
  <w:footnote w:id="15">
    <w:p w:rsidR="00102911" w:rsidRDefault="00102911" w:rsidP="00EF58D3">
      <w:pPr>
        <w:pStyle w:val="Textpoznpodarou"/>
        <w:ind w:left="284" w:hanging="284"/>
        <w:jc w:val="both"/>
      </w:pPr>
      <w:r>
        <w:rPr>
          <w:rStyle w:val="Znakapoznpodarou"/>
        </w:rPr>
        <w:footnoteRef/>
      </w:r>
      <w:r>
        <w:tab/>
        <w:t>V souladu s nařízením Komise (EU) č. 389/2013 jde o jednotky přiděleného množství, jednotky snížení emisí, ověřená snížení emisí, jednotky propadů, dlouhodobá ověřená snížení emisí a dočasně certifikovaná snížení emisí ve stanoveném významu těchto pojmů, jak jsou definovány v čl. 3 tohoto nařízení.</w:t>
      </w:r>
    </w:p>
  </w:footnote>
  <w:footnote w:id="16">
    <w:p w:rsidR="00102911" w:rsidRDefault="00102911" w:rsidP="00EF58D3">
      <w:pPr>
        <w:pStyle w:val="Textpoznpodarou"/>
        <w:ind w:left="284" w:hanging="284"/>
        <w:jc w:val="both"/>
      </w:pPr>
      <w:r>
        <w:rPr>
          <w:rStyle w:val="Znakapoznpodarou"/>
        </w:rPr>
        <w:footnoteRef/>
      </w:r>
      <w:r>
        <w:tab/>
      </w:r>
      <w:r w:rsidRPr="007D5CBF">
        <w:t>Článek 40 odst</w:t>
      </w:r>
      <w:r>
        <w:t>.</w:t>
      </w:r>
      <w:r w:rsidRPr="007D5CBF">
        <w:t xml:space="preserve"> 2</w:t>
      </w:r>
      <w:r>
        <w:t xml:space="preserve"> n</w:t>
      </w:r>
      <w:r w:rsidRPr="007D5CBF">
        <w:t>ařízení Komise (EU) č. 389/2013</w:t>
      </w:r>
      <w:r>
        <w:t xml:space="preserve"> ze dne 2. května 2013, </w:t>
      </w:r>
      <w:r w:rsidRPr="007D5CBF">
        <w:t xml:space="preserve">o vytvoření registru </w:t>
      </w:r>
      <w:r>
        <w:t>E</w:t>
      </w:r>
      <w:r w:rsidRPr="007D5CBF">
        <w:t xml:space="preserve">U podle směrnice Evropského parlamentu a Rady 2003/87/ES, rozhodnutí </w:t>
      </w:r>
      <w:r>
        <w:t>Evropského parlamentu a Rady č. </w:t>
      </w:r>
      <w:r w:rsidRPr="007D5CBF">
        <w:t>280/2004/ES a</w:t>
      </w:r>
      <w:r>
        <w:t> </w:t>
      </w:r>
      <w:r w:rsidRPr="007D5CBF">
        <w:t>č.</w:t>
      </w:r>
      <w:r>
        <w:t> </w:t>
      </w:r>
      <w:r w:rsidRPr="007D5CBF">
        <w:t>406/2009 a o zrušení nařízení Komise (EU) č. 920/2010 a č. 1193/2011</w:t>
      </w:r>
      <w:r>
        <w:t>.</w:t>
      </w:r>
    </w:p>
  </w:footnote>
  <w:footnote w:id="17">
    <w:p w:rsidR="00102911" w:rsidRPr="003A2AE3" w:rsidRDefault="00102911" w:rsidP="00EF58D3">
      <w:pPr>
        <w:pStyle w:val="Textpoznpodarou"/>
        <w:ind w:left="284" w:hanging="284"/>
        <w:jc w:val="both"/>
      </w:pPr>
      <w:r>
        <w:rPr>
          <w:rStyle w:val="Znakapoznpodarou"/>
        </w:rPr>
        <w:footnoteRef/>
      </w:r>
      <w:r>
        <w:tab/>
        <w:t xml:space="preserve">Jednotkou přiděleného množství je dle § 2 odst. 1 písm. o) zákona č. 695/2004 Sb. majetková hodnota odpovídající oprávnění České republiky vypustit na základě </w:t>
      </w:r>
      <w:r w:rsidRPr="00B437CB">
        <w:rPr>
          <w:i/>
        </w:rPr>
        <w:t>Kjótského protokolu</w:t>
      </w:r>
      <w:r>
        <w:t xml:space="preserve"> do ovzduší ekvivalent jedné tuny CO</w:t>
      </w:r>
      <w:r>
        <w:rPr>
          <w:vertAlign w:val="subscript"/>
        </w:rPr>
        <w:t>2</w:t>
      </w:r>
      <w:r w:rsidRPr="00664335">
        <w:t>.</w:t>
      </w:r>
    </w:p>
  </w:footnote>
  <w:footnote w:id="18">
    <w:p w:rsidR="00102911" w:rsidRDefault="00102911" w:rsidP="00EF58D3">
      <w:pPr>
        <w:pStyle w:val="Textpoznpodarou"/>
        <w:ind w:left="284" w:hanging="284"/>
        <w:jc w:val="both"/>
      </w:pPr>
      <w:r>
        <w:rPr>
          <w:rStyle w:val="Znakapoznpodarou"/>
        </w:rPr>
        <w:footnoteRef/>
      </w:r>
      <w:r>
        <w:tab/>
        <w:t>T</w:t>
      </w:r>
      <w:r w:rsidRPr="00F95516">
        <w:t xml:space="preserve">ento zákon zapracovává </w:t>
      </w:r>
      <w:r>
        <w:t>s</w:t>
      </w:r>
      <w:r w:rsidRPr="00F95516">
        <w:t>měrnic</w:t>
      </w:r>
      <w:r>
        <w:t xml:space="preserve">i </w:t>
      </w:r>
      <w:r w:rsidRPr="00F95516">
        <w:t>Evropského parlamentu a Rady 2003/87/ES ze dne 13. října 2003</w:t>
      </w:r>
      <w:r>
        <w:t>,</w:t>
      </w:r>
      <w:r w:rsidRPr="00F95516">
        <w:t xml:space="preserve"> o</w:t>
      </w:r>
      <w:r>
        <w:t> </w:t>
      </w:r>
      <w:r w:rsidRPr="00F95516">
        <w:t>vytvoření systému pro obchodování s povolenkami na emise skleníkových plynů ve Společenství a</w:t>
      </w:r>
      <w:r>
        <w:t> </w:t>
      </w:r>
      <w:r w:rsidRPr="00F95516">
        <w:t>o</w:t>
      </w:r>
      <w:r>
        <w:t> </w:t>
      </w:r>
      <w:r w:rsidRPr="00F95516">
        <w:t>změně směrnice Rady 96/61/ES, ve znění směrnice Evropského parlamentu a Rady 2004/101/ES ze dne 27. října 2004, ve znění směrnice Evropského parlamentu a Rady 2008/101/ES ze dne 19. listopadu 2008, ve znění nařízení Evropského parlamentu a Rady (ES) č. 219/2009 ze dne 11. března 2009, ve znění směrnice Evropského parlamentu a Rady 2009/29/ES ze dne 23. dubna 2009</w:t>
      </w:r>
      <w:r>
        <w:t>. Z</w:t>
      </w:r>
      <w:r w:rsidRPr="00F95516">
        <w:t>ároveň navazuje na přímo použitelné předpisy Evropské unie</w:t>
      </w:r>
      <w:r>
        <w:t xml:space="preserve">: </w:t>
      </w:r>
    </w:p>
    <w:p w:rsidR="00102911" w:rsidRDefault="00102911" w:rsidP="00B437CB">
      <w:pPr>
        <w:pStyle w:val="Textpoznpodarou"/>
        <w:numPr>
          <w:ilvl w:val="0"/>
          <w:numId w:val="39"/>
        </w:numPr>
        <w:ind w:left="567" w:hanging="283"/>
        <w:jc w:val="both"/>
      </w:pPr>
      <w:r>
        <w:t xml:space="preserve">nařízení Komise (EU) č. 1193/2011 ze dne 18. listopadu 2011, o vytvoření registru EU pro obchodovací období počínající dnem 1. ledna 2013 a následující obchodovací období systému EU pro obchodování s emisemi podle směrnice Evropského parlamentu a Rady 2003/87/ES a rozhodnutí Evropského parlamentu a Rady 280/2004/ES a o změně nařízení (ES) č. 2216/2004 a (EU) č. 920/2010, </w:t>
      </w:r>
    </w:p>
    <w:p w:rsidR="00102911" w:rsidRDefault="00102911" w:rsidP="00B437CB">
      <w:pPr>
        <w:pStyle w:val="Textpoznpodarou"/>
        <w:numPr>
          <w:ilvl w:val="0"/>
          <w:numId w:val="39"/>
        </w:numPr>
        <w:ind w:left="567" w:hanging="283"/>
        <w:jc w:val="both"/>
      </w:pPr>
      <w:r>
        <w:t>nařízení Komise (EU) č. 1031/2010 ze dne 12. listopadu 2010, o harmonogramu, správě a jiných aspektech dražeb povolenek na emise skleníkových plynů v souladu se směrnicí Evropského parlamentu a Rady 2003/87/ES, o vytvoření systému pro obchodování s povolenkami na emise skleníkových plynů ve Společenství, v platném znění,</w:t>
      </w:r>
    </w:p>
    <w:p w:rsidR="00102911" w:rsidRDefault="00102911" w:rsidP="00B437CB">
      <w:pPr>
        <w:pStyle w:val="Textpoznpodarou"/>
        <w:numPr>
          <w:ilvl w:val="0"/>
          <w:numId w:val="39"/>
        </w:numPr>
        <w:ind w:left="567" w:hanging="283"/>
        <w:jc w:val="both"/>
      </w:pPr>
      <w:r>
        <w:t>nařízení Komise (EU) č. 920/2010 ze dne 7. října 2010, o standardizovaném a bezpečném systému registrů podle směrnice Evropského parlamentu a Rady 2003/87/ES a rozhodnutí Evropského parlamentu a Rady č. 280/2004/ES, v platném znění,</w:t>
      </w:r>
    </w:p>
    <w:p w:rsidR="00102911" w:rsidRDefault="00102911" w:rsidP="00B437CB">
      <w:pPr>
        <w:pStyle w:val="Textpoznpodarou"/>
        <w:numPr>
          <w:ilvl w:val="0"/>
          <w:numId w:val="39"/>
        </w:numPr>
        <w:ind w:left="567" w:hanging="283"/>
        <w:jc w:val="both"/>
      </w:pPr>
      <w:r>
        <w:t>nařízení Komise (EU) č. 600/2012 ze dne 21. června 2012, o ověřování výkazů emisí skleníkových plynů a výkazů tunokilometrů a akreditaci ověřovatelů podle směrnice Evropského parlamentu a Rady 2003/87/ES,</w:t>
      </w:r>
    </w:p>
    <w:p w:rsidR="00102911" w:rsidRDefault="00102911" w:rsidP="00B437CB">
      <w:pPr>
        <w:pStyle w:val="Textpoznpodarou"/>
        <w:numPr>
          <w:ilvl w:val="0"/>
          <w:numId w:val="39"/>
        </w:numPr>
        <w:ind w:left="567" w:hanging="283"/>
        <w:jc w:val="both"/>
      </w:pPr>
      <w:r>
        <w:t>Nařízení Komise (EU) č. 601/2012 ze dne 21. června 2012, o monitorování a vykazování emisí skleníkových plynů podle směrnice Evropského parlamentu a Rady 2003/87/ES.</w:t>
      </w:r>
    </w:p>
    <w:p w:rsidR="00102911" w:rsidRDefault="00102911" w:rsidP="00EF58D3">
      <w:pPr>
        <w:pStyle w:val="Textpoznpodarou"/>
        <w:ind w:left="284" w:hanging="284"/>
        <w:jc w:val="both"/>
      </w:pPr>
      <w:r>
        <w:tab/>
        <w:t xml:space="preserve">Současně v souladu s </w:t>
      </w:r>
      <w:r w:rsidRPr="00B437CB">
        <w:rPr>
          <w:i/>
        </w:rPr>
        <w:t>Rámcovou úmluvou Organizace spojených národů o změně klimatu</w:t>
      </w:r>
      <w:r>
        <w:t xml:space="preserve"> (vyhlášenou pod č. 80/2005 Sb. m. s.) </w:t>
      </w:r>
      <w:r w:rsidRPr="00F95516">
        <w:t>upravuje</w:t>
      </w:r>
      <w:r>
        <w:t xml:space="preserve"> některé skutečnosti.</w:t>
      </w:r>
    </w:p>
  </w:footnote>
  <w:footnote w:id="19">
    <w:p w:rsidR="00102911" w:rsidRDefault="00102911" w:rsidP="00EF58D3">
      <w:pPr>
        <w:pStyle w:val="Textpoznpodarou"/>
        <w:ind w:left="284" w:hanging="284"/>
        <w:jc w:val="both"/>
      </w:pPr>
      <w:r>
        <w:rPr>
          <w:rStyle w:val="Znakapoznpodarou"/>
        </w:rPr>
        <w:footnoteRef/>
      </w:r>
      <w:r>
        <w:tab/>
        <w:t xml:space="preserve">Jednotka přiděleného množství je vymezená v ustanovení § 2 písm. n) zákona č. 383/2012 Sb. jako </w:t>
      </w:r>
      <w:r w:rsidRPr="00DF5875">
        <w:t xml:space="preserve">majetková hodnota odpovídající oprávnění České republiky vypustit na základě </w:t>
      </w:r>
      <w:r w:rsidRPr="008556B9">
        <w:rPr>
          <w:i/>
        </w:rPr>
        <w:t>Kjótského protokolu</w:t>
      </w:r>
      <w:r w:rsidRPr="00DF5875">
        <w:t xml:space="preserve"> do ovzduší ekvivalent jedné tuny oxidu uhličitého</w:t>
      </w:r>
      <w:r>
        <w:t>.</w:t>
      </w:r>
    </w:p>
  </w:footnote>
  <w:footnote w:id="20">
    <w:p w:rsidR="00102911" w:rsidRDefault="00102911" w:rsidP="00EF58D3">
      <w:pPr>
        <w:pStyle w:val="Textpoznpodarou"/>
        <w:ind w:left="284" w:hanging="284"/>
        <w:jc w:val="both"/>
      </w:pPr>
      <w:r>
        <w:rPr>
          <w:rStyle w:val="Znakapoznpodarou"/>
        </w:rPr>
        <w:footnoteRef/>
      </w:r>
      <w:r>
        <w:tab/>
        <w:t xml:space="preserve">Povolenka je vymezena v ustanovení § 2 písm. t) zákona č. 383/2012 Sb. jako </w:t>
      </w:r>
      <w:r w:rsidRPr="00673BB2">
        <w:t>jin</w:t>
      </w:r>
      <w:r>
        <w:t>á</w:t>
      </w:r>
      <w:r w:rsidRPr="00673BB2">
        <w:t xml:space="preserve"> majetkov</w:t>
      </w:r>
      <w:r>
        <w:t>á</w:t>
      </w:r>
      <w:r w:rsidRPr="00673BB2">
        <w:t xml:space="preserve"> hodnot</w:t>
      </w:r>
      <w:r>
        <w:t>a</w:t>
      </w:r>
      <w:r w:rsidRPr="00673BB2">
        <w:t xml:space="preserve"> odpovídající právu provozovatele zařízení nebo provozovatele letadla vypustit do ovzduší ekvivalent tuny oxidu uhličitého</w:t>
      </w:r>
      <w:r>
        <w:t>. Důvodová zpráva k návrhu zákona uvádí, že hlavním důvodem pro zakotvení legislativní zkratky „povolenka“ pro povolenky na emise skleníkových plynů je to, že pojem „emisní povolenka“ již používají platné právní předpisy (konkrétně zákon č. 256/2004 Sb., o podnikání na kapitálovém trhu, ve znění pozdějších předpisů) dalším důvodem je to, že tento pojem budou pravděpodobně používat i evropské předpisy, z nichž některé budou přímo použitelné. Zákon č. 256/2004 Sb. nedefinuje obsah pojmu emisní povolenka, jen stanovuje, že investičním nástrojem je pouze derivát, který je od emisní povolenky odvozen, nikoliv však emisní povolenka samotná.</w:t>
      </w:r>
    </w:p>
  </w:footnote>
  <w:footnote w:id="21">
    <w:p w:rsidR="00102911" w:rsidRPr="008556B9" w:rsidRDefault="00102911" w:rsidP="00EF58D3">
      <w:pPr>
        <w:pStyle w:val="Textpoznpodarou"/>
        <w:ind w:left="284" w:hanging="284"/>
        <w:jc w:val="both"/>
      </w:pPr>
      <w:r>
        <w:rPr>
          <w:rStyle w:val="Znakapoznpodarou"/>
        </w:rPr>
        <w:footnoteRef/>
      </w:r>
      <w:r>
        <w:tab/>
        <w:t xml:space="preserve">Důvodová zpráva k zákonu č. 383/2012 Sb. uvádí, </w:t>
      </w:r>
      <w:proofErr w:type="gramStart"/>
      <w:r>
        <w:t xml:space="preserve">že: „... </w:t>
      </w:r>
      <w:r w:rsidRPr="00E35F42">
        <w:rPr>
          <w:i/>
        </w:rPr>
        <w:t>jinými</w:t>
      </w:r>
      <w:proofErr w:type="gramEnd"/>
      <w:r w:rsidRPr="00E35F42">
        <w:rPr>
          <w:i/>
        </w:rPr>
        <w:t xml:space="preserve"> právy k vypouštění emisí se rozumí majetkové hodnoty mimo sektor EU ETS odpovídající oprávnění České republiky vypustit do ovzduší ekvivalent jedné tuny CO</w:t>
      </w:r>
      <w:r w:rsidRPr="00E35F42">
        <w:rPr>
          <w:i/>
          <w:vertAlign w:val="subscript"/>
        </w:rPr>
        <w:t>2</w:t>
      </w:r>
      <w:r w:rsidRPr="00E35F42">
        <w:rPr>
          <w:i/>
        </w:rPr>
        <w:t xml:space="preserve"> na základě rozhodnutí Evropského parlamentu a Rady č. 406/2009/ES ze dne 23.</w:t>
      </w:r>
      <w:r>
        <w:rPr>
          <w:i/>
        </w:rPr>
        <w:t> </w:t>
      </w:r>
      <w:r w:rsidRPr="00E35F42">
        <w:rPr>
          <w:i/>
        </w:rPr>
        <w:t>dubna 2009, o úsilí členských států snížit emise skleníkových plynů, aby byly splněny závazky Společenství v oblasti snížení emisí skleníkových plynů do roku 2020. Tato práva budou zřejmě inkorporována v emisních kreditech podobných jednotkám přiděleného množství, ale dosud o tom není na evropské úrovni konečným způsobem rozhodnuto, proto je užit obecnější pojem „jiná práva k vypouštění emisí“. Nejedná se tedy o</w:t>
      </w:r>
      <w:r>
        <w:rPr>
          <w:i/>
        </w:rPr>
        <w:t> </w:t>
      </w:r>
      <w:r w:rsidRPr="00E35F42">
        <w:rPr>
          <w:i/>
        </w:rPr>
        <w:t>žádné dosud známé kredity</w:t>
      </w:r>
      <w:r>
        <w:rPr>
          <w:i/>
        </w:rPr>
        <w:t>.</w:t>
      </w:r>
      <w:r w:rsidRPr="008556B9">
        <w:t>“</w:t>
      </w:r>
    </w:p>
  </w:footnote>
  <w:footnote w:id="22">
    <w:p w:rsidR="00102911" w:rsidRDefault="00102911" w:rsidP="00EF58D3">
      <w:pPr>
        <w:pStyle w:val="Textpoznpodarou"/>
        <w:ind w:left="284" w:hanging="284"/>
        <w:jc w:val="both"/>
      </w:pPr>
      <w:r>
        <w:rPr>
          <w:rStyle w:val="Znakapoznpodarou"/>
        </w:rPr>
        <w:footnoteRef/>
      </w:r>
      <w:r>
        <w:tab/>
        <w:t xml:space="preserve">Zákon č. 219/2000 Sb., </w:t>
      </w:r>
      <w:r w:rsidRPr="000A6B27">
        <w:t>o majetku České republiky a jejím vystupování v právních vztazích</w:t>
      </w:r>
      <w:r>
        <w:t>.</w:t>
      </w:r>
    </w:p>
  </w:footnote>
  <w:footnote w:id="23">
    <w:p w:rsidR="00102911" w:rsidRPr="008556B9" w:rsidRDefault="00102911" w:rsidP="008C7D9B">
      <w:pPr>
        <w:pStyle w:val="Textpoznpodarou"/>
        <w:ind w:left="284" w:hanging="284"/>
        <w:jc w:val="both"/>
        <w:rPr>
          <w:rFonts w:cstheme="minorHAnsi"/>
        </w:rPr>
      </w:pPr>
      <w:r>
        <w:rPr>
          <w:rStyle w:val="Znakapoznpodarou"/>
        </w:rPr>
        <w:footnoteRef/>
      </w:r>
      <w:r>
        <w:tab/>
        <w:t>Ustanovení § 20a zákona č. 458/2000 Sb</w:t>
      </w:r>
      <w:r w:rsidRPr="00B45F23">
        <w:rPr>
          <w:i/>
        </w:rPr>
        <w:t>.</w:t>
      </w:r>
      <w:r w:rsidRPr="008556B9">
        <w:t>, o podmínkách podnikání a o výkonu státní správy v energetických odvětvích a o změně některých zákonů (energetický zákon), ve znění pozdějších předpisů</w:t>
      </w:r>
      <w:r>
        <w:t xml:space="preserve">, který stanovuje, </w:t>
      </w:r>
      <w:proofErr w:type="gramStart"/>
      <w:r>
        <w:t>že</w:t>
      </w:r>
      <w:r w:rsidRPr="008556B9">
        <w:rPr>
          <w:rFonts w:cstheme="minorHAnsi"/>
        </w:rPr>
        <w:t>: „</w:t>
      </w:r>
      <w:r>
        <w:rPr>
          <w:rFonts w:cstheme="minorHAnsi"/>
          <w:i/>
        </w:rPr>
        <w:t>...</w:t>
      </w:r>
      <w:r w:rsidRPr="00B45F23">
        <w:rPr>
          <w:rFonts w:cstheme="minorHAnsi"/>
          <w:i/>
        </w:rPr>
        <w:t>operátor</w:t>
      </w:r>
      <w:proofErr w:type="gramEnd"/>
      <w:r w:rsidRPr="00B45F23">
        <w:rPr>
          <w:rFonts w:cstheme="minorHAnsi"/>
          <w:i/>
        </w:rPr>
        <w:t xml:space="preserve"> trhu je akciová společnost založená státem, jejíž akcie znějí na jméno. Stát vlastní akcie operátora trhu, jejichž celková jmenovitá hodnota představuje alespoň 67 % základního kapitálu operátora trhu</w:t>
      </w:r>
      <w:r>
        <w:rPr>
          <w:rFonts w:cstheme="minorHAnsi"/>
          <w:i/>
        </w:rPr>
        <w:t>.</w:t>
      </w:r>
      <w:r w:rsidRPr="008556B9">
        <w:rPr>
          <w:rFonts w:cstheme="minorHAnsi"/>
        </w:rPr>
        <w:t xml:space="preserve">“ </w:t>
      </w:r>
    </w:p>
  </w:footnote>
  <w:footnote w:id="24">
    <w:p w:rsidR="00102911" w:rsidRPr="002C21D6" w:rsidRDefault="00102911" w:rsidP="00EF58D3">
      <w:pPr>
        <w:pStyle w:val="Textpoznpodarou"/>
        <w:ind w:left="284" w:hanging="284"/>
        <w:jc w:val="both"/>
      </w:pPr>
      <w:r>
        <w:rPr>
          <w:rStyle w:val="Znakapoznpodarou"/>
        </w:rPr>
        <w:footnoteRef/>
      </w:r>
      <w:r>
        <w:tab/>
        <w:t>Jedna jednotka AAU opravňovala držitele v letech 2008–2012 k vypuštění jedné tuny CO</w:t>
      </w:r>
      <w:r>
        <w:rPr>
          <w:vertAlign w:val="subscript"/>
        </w:rPr>
        <w:t>2eq</w:t>
      </w:r>
      <w:r>
        <w:t>, což je uhlíkový ekvivalent CO</w:t>
      </w:r>
      <w:r>
        <w:rPr>
          <w:vertAlign w:val="subscript"/>
        </w:rPr>
        <w:t xml:space="preserve">2 </w:t>
      </w:r>
      <w:r>
        <w:t>(oxidu uhličitého) pro vyjádření účinku různých skleníkových plynů na klimatické změny.</w:t>
      </w:r>
    </w:p>
  </w:footnote>
  <w:footnote w:id="25">
    <w:p w:rsidR="00102911" w:rsidRDefault="00102911" w:rsidP="00EF58D3">
      <w:pPr>
        <w:pStyle w:val="Textpoznpodarou"/>
        <w:ind w:left="284" w:hanging="284"/>
        <w:jc w:val="both"/>
      </w:pPr>
      <w:r>
        <w:rPr>
          <w:rStyle w:val="Znakapoznpodarou"/>
        </w:rPr>
        <w:footnoteRef/>
      </w:r>
      <w:r>
        <w:tab/>
        <w:t xml:space="preserve">Na základě článku 20 odst. 4 a článku 21 odst. 7 </w:t>
      </w:r>
      <w:r w:rsidRPr="008556B9">
        <w:rPr>
          <w:i/>
        </w:rPr>
        <w:t>Kjótského protokolu</w:t>
      </w:r>
      <w:r>
        <w:t xml:space="preserve"> jeho změna vstoupí pro smluvní strany, které ji přijaly, v platnost devadesátým dnem po dni, kdy depozitář obdržel listiny o přijetí od alespoň tří čtvrtin smluvních stran </w:t>
      </w:r>
      <w:r w:rsidRPr="008556B9">
        <w:rPr>
          <w:i/>
        </w:rPr>
        <w:t>Kjótského protokolu</w:t>
      </w:r>
      <w:r>
        <w:t>.</w:t>
      </w:r>
    </w:p>
  </w:footnote>
  <w:footnote w:id="26">
    <w:p w:rsidR="00102911" w:rsidRDefault="00102911" w:rsidP="00EF58D3">
      <w:pPr>
        <w:pStyle w:val="Textpoznpodarou"/>
        <w:ind w:left="284" w:hanging="284"/>
        <w:jc w:val="both"/>
      </w:pPr>
      <w:r>
        <w:rPr>
          <w:rStyle w:val="Znakapoznpodarou"/>
        </w:rPr>
        <w:footnoteRef/>
      </w:r>
      <w:r>
        <w:tab/>
        <w:t xml:space="preserve">Změna </w:t>
      </w:r>
      <w:r>
        <w:rPr>
          <w:i/>
        </w:rPr>
        <w:t>Kjótského protokolu</w:t>
      </w:r>
      <w:r>
        <w:t xml:space="preserve"> byla projednávána v Parlamentu České republiky a obě komory Parlamentu vydaly souhlas k její ratifikaci, který byl dne 30. května 2014 doručen prezidentovi České republiky.</w:t>
      </w:r>
    </w:p>
  </w:footnote>
  <w:footnote w:id="27">
    <w:p w:rsidR="00102911" w:rsidRDefault="00102911" w:rsidP="00EF58D3">
      <w:pPr>
        <w:pStyle w:val="Textpoznpodarou"/>
        <w:ind w:left="284" w:hanging="284"/>
        <w:jc w:val="both"/>
      </w:pPr>
      <w:r>
        <w:rPr>
          <w:rStyle w:val="Znakapoznpodarou"/>
        </w:rPr>
        <w:footnoteRef/>
      </w:r>
      <w:r>
        <w:tab/>
        <w:t>Rozhodnutí Evropského parlamentu a Rady č. 406/2009/ES ze dne 23. dubna 2009, o úsilí členských států snížit emise skleníkových plynů, aby byly splněny závazky Společenství v oblasti snížení emisí skleníkových plynů do roku 2020.</w:t>
      </w:r>
    </w:p>
  </w:footnote>
  <w:footnote w:id="28">
    <w:p w:rsidR="00102911" w:rsidRDefault="00102911" w:rsidP="008C7D9B">
      <w:pPr>
        <w:pStyle w:val="Textpoznpodarou"/>
        <w:ind w:left="284" w:hanging="284"/>
        <w:jc w:val="both"/>
      </w:pPr>
      <w:r>
        <w:rPr>
          <w:rStyle w:val="Znakapoznpodarou"/>
        </w:rPr>
        <w:footnoteRef/>
      </w:r>
      <w:r>
        <w:tab/>
      </w:r>
      <w:r w:rsidRPr="00207AC9">
        <w:t>Nařízení Komise (EU) č. 1031/2010 ze dne 12. listopadu 2010</w:t>
      </w:r>
      <w:r>
        <w:t>,</w:t>
      </w:r>
      <w:r w:rsidRPr="00207AC9">
        <w:t xml:space="preserve"> o harmonogramu, správě a jiných aspektech dražeb povolenek na emise skleníkových plynů v souladu se směrnicí Evropského parlamentu a Rady 2003/87/ES</w:t>
      </w:r>
      <w:r>
        <w:t>,</w:t>
      </w:r>
      <w:r w:rsidRPr="00207AC9">
        <w:t xml:space="preserve"> o vytvoření systému pro obchodování s povolenkami na emise skleníkových plynů ve Společenství, v platném znění.</w:t>
      </w:r>
    </w:p>
  </w:footnote>
  <w:footnote w:id="29">
    <w:p w:rsidR="00102911" w:rsidRDefault="00102911" w:rsidP="008C7D9B">
      <w:pPr>
        <w:pStyle w:val="Textpoznpodarou"/>
        <w:ind w:left="284" w:hanging="284"/>
        <w:jc w:val="both"/>
      </w:pPr>
      <w:r>
        <w:rPr>
          <w:rStyle w:val="Znakapoznpodarou"/>
        </w:rPr>
        <w:footnoteRef/>
      </w:r>
      <w:r>
        <w:tab/>
        <w:t>Směrnice Evropského parlamentu a Rady 2003/87/ES ze dne 13. října 2003, o vytvoření systému pro obchodování s povolenkami na emise skleníkových plynů ve Společenství a o změně směrnice Rady 96/61/ES.</w:t>
      </w:r>
    </w:p>
  </w:footnote>
  <w:footnote w:id="30">
    <w:p w:rsidR="00102911" w:rsidRDefault="00102911" w:rsidP="008C7D9B">
      <w:pPr>
        <w:pStyle w:val="Textpoznpodarou"/>
        <w:ind w:left="284" w:hanging="284"/>
        <w:jc w:val="both"/>
      </w:pPr>
      <w:r>
        <w:rPr>
          <w:rStyle w:val="Znakapoznpodarou"/>
        </w:rPr>
        <w:footnoteRef/>
      </w:r>
      <w:r>
        <w:tab/>
        <w:t>Směrnice č. 2009/29/ES ze dne 23. dubna 2009, kterou se mění směrnice 2003/87/ES s cílem zlepšit a rozšířit systém pro obchodování s povolenkami na emise skleníkových plynů ve Společenství; s</w:t>
      </w:r>
      <w:r w:rsidRPr="00BF3098">
        <w:t xml:space="preserve">měrnice </w:t>
      </w:r>
      <w:r>
        <w:t>č. </w:t>
      </w:r>
      <w:r w:rsidRPr="00BF3098">
        <w:t>2008/101/ES</w:t>
      </w:r>
      <w:r>
        <w:t xml:space="preserve"> </w:t>
      </w:r>
      <w:r w:rsidRPr="0059324E">
        <w:t xml:space="preserve">ze dne </w:t>
      </w:r>
      <w:r>
        <w:t>19. listopadu 2008,</w:t>
      </w:r>
      <w:r w:rsidRPr="001935DC">
        <w:t xml:space="preserve"> kterou se mění směrnice 2003/87/ES za účelem začlenění činností </w:t>
      </w:r>
      <w:r>
        <w:t>v</w:t>
      </w:r>
      <w:r w:rsidRPr="001935DC">
        <w:t xml:space="preserve"> oblasti letectví do systému obchodování s povolenkami na emise skleníkových plynů ve Společenství.</w:t>
      </w:r>
    </w:p>
  </w:footnote>
  <w:footnote w:id="31">
    <w:p w:rsidR="00102911" w:rsidRDefault="00102911" w:rsidP="008C7D9B">
      <w:pPr>
        <w:pStyle w:val="Textpoznpodarou"/>
        <w:ind w:left="284" w:hanging="284"/>
        <w:jc w:val="both"/>
      </w:pPr>
      <w:r>
        <w:rPr>
          <w:rStyle w:val="Znakapoznpodarou"/>
        </w:rPr>
        <w:footnoteRef/>
      </w:r>
      <w:r>
        <w:tab/>
        <w:t>Systém EU ETS je rozdělen na jednotlivá obchodovací období. Během prvního (2005–2007) a druhého (2008–2012) období byly v ČR všechny povolenky přidělovány bezplatně. Pro třetí období (2013–2020) jsou nastavena odlišná pravidla. Postupně se zvyšuje podíl povolenek prodávaných pomocí aukce, což zásadním způsobem mění další fungování EU ETS (viz důvodová zpráva k návrhu zákona č. 383/2012 Sb.).</w:t>
      </w:r>
    </w:p>
  </w:footnote>
  <w:footnote w:id="32">
    <w:p w:rsidR="00102911" w:rsidRDefault="00102911" w:rsidP="008C7D9B">
      <w:pPr>
        <w:pStyle w:val="Textpoznpodarou"/>
        <w:ind w:left="284" w:hanging="284"/>
        <w:jc w:val="both"/>
      </w:pPr>
      <w:r>
        <w:rPr>
          <w:rStyle w:val="Znakapoznpodarou"/>
        </w:rPr>
        <w:footnoteRef/>
      </w:r>
      <w:r>
        <w:tab/>
      </w:r>
      <w:r w:rsidRPr="00207AC9">
        <w:t>Nařízení Komise (EU) č. 1031/2010 ze dne 12. listopadu 2010</w:t>
      </w:r>
      <w:r>
        <w:t>,</w:t>
      </w:r>
      <w:r w:rsidRPr="00207AC9">
        <w:t xml:space="preserve"> o harmonogramu, správě a jiných aspektech dražeb povolenek na emise skleníkových plynů v souladu se směrnicí Evropského parlamentu a Rady 2003/87/ES</w:t>
      </w:r>
      <w:r>
        <w:t>,</w:t>
      </w:r>
      <w:r w:rsidRPr="00207AC9">
        <w:t xml:space="preserve"> o vytvoření systému pro obchodování s povolenkami na emise skleníkových plynů ve Společenství, v platném znění.</w:t>
      </w:r>
    </w:p>
  </w:footnote>
  <w:footnote w:id="33">
    <w:p w:rsidR="00102911" w:rsidRDefault="00102911" w:rsidP="008C7D9B">
      <w:pPr>
        <w:pStyle w:val="Textpoznpodarou"/>
        <w:ind w:left="284" w:hanging="284"/>
        <w:jc w:val="both"/>
      </w:pPr>
      <w:r>
        <w:rPr>
          <w:rStyle w:val="Znakapoznpodarou"/>
        </w:rPr>
        <w:footnoteRef/>
      </w:r>
      <w:r>
        <w:tab/>
        <w:t>Článek 42 n</w:t>
      </w:r>
      <w:r w:rsidRPr="00FA7D9C">
        <w:t>ařízení Komise (EU) č. 389/2013</w:t>
      </w:r>
      <w:r>
        <w:t xml:space="preserve"> </w:t>
      </w:r>
      <w:r w:rsidRPr="0059324E">
        <w:t>ze dne</w:t>
      </w:r>
      <w:r>
        <w:t xml:space="preserve"> 2. května 2013,</w:t>
      </w:r>
      <w:r w:rsidRPr="00FA7D9C">
        <w:t xml:space="preserve"> o vytvoření registru </w:t>
      </w:r>
      <w:r>
        <w:t>E</w:t>
      </w:r>
      <w:r w:rsidRPr="00FA7D9C">
        <w:t>U podle směrnice Evropského parlamentu a Rady 2003/87/ES</w:t>
      </w:r>
      <w:r>
        <w:t>,</w:t>
      </w:r>
      <w:r w:rsidRPr="00FA7D9C">
        <w:t xml:space="preserve"> rozhodnutí Evropského parlamentu a Rady č.</w:t>
      </w:r>
      <w:r>
        <w:t> </w:t>
      </w:r>
      <w:r w:rsidRPr="00FA7D9C">
        <w:t>280/2004/ES</w:t>
      </w:r>
      <w:r>
        <w:t xml:space="preserve"> </w:t>
      </w:r>
      <w:r w:rsidRPr="00FA7D9C">
        <w:t>a</w:t>
      </w:r>
      <w:r>
        <w:t> </w:t>
      </w:r>
      <w:r w:rsidRPr="00FA7D9C">
        <w:t>č.</w:t>
      </w:r>
      <w:r>
        <w:t> </w:t>
      </w:r>
      <w:r w:rsidRPr="00FA7D9C">
        <w:t>406/2009</w:t>
      </w:r>
      <w:r>
        <w:t xml:space="preserve"> </w:t>
      </w:r>
      <w:r w:rsidRPr="00FA7D9C">
        <w:t>a o zrušení nařízení Komise (EU) č. 920/2010 a č. 1193/2011.</w:t>
      </w:r>
    </w:p>
  </w:footnote>
  <w:footnote w:id="34">
    <w:p w:rsidR="00102911" w:rsidRDefault="00102911" w:rsidP="008C7D9B">
      <w:pPr>
        <w:pStyle w:val="Textpoznpodarou"/>
        <w:ind w:left="284" w:hanging="284"/>
      </w:pPr>
      <w:r>
        <w:rPr>
          <w:rStyle w:val="Znakapoznpodarou"/>
        </w:rPr>
        <w:footnoteRef/>
      </w:r>
      <w:r>
        <w:tab/>
        <w:t>Dražební tabulky poskytuje dle článku 62 nařízení Komise (EU) č. 389/2013 dražební platforma.</w:t>
      </w:r>
    </w:p>
  </w:footnote>
  <w:footnote w:id="35">
    <w:p w:rsidR="00102911" w:rsidRDefault="00102911" w:rsidP="008C7D9B">
      <w:pPr>
        <w:pStyle w:val="Textpoznpodarou"/>
        <w:ind w:left="284" w:hanging="284"/>
        <w:jc w:val="both"/>
      </w:pPr>
      <w:r>
        <w:rPr>
          <w:rStyle w:val="Znakapoznpodarou"/>
        </w:rPr>
        <w:footnoteRef/>
      </w:r>
      <w:r>
        <w:tab/>
        <w:t>Článek 64</w:t>
      </w:r>
      <w:r w:rsidRPr="004B6854">
        <w:t xml:space="preserve"> </w:t>
      </w:r>
      <w:r>
        <w:t>n</w:t>
      </w:r>
      <w:r w:rsidRPr="00FA7D9C">
        <w:t xml:space="preserve">ařízení Komise (EU) č. 389/2013 </w:t>
      </w:r>
      <w:r w:rsidRPr="0059324E">
        <w:t>ze dne</w:t>
      </w:r>
      <w:r>
        <w:t xml:space="preserve"> 2. května 2013, </w:t>
      </w:r>
      <w:r w:rsidRPr="00FA7D9C">
        <w:t xml:space="preserve">o vytvoření registru </w:t>
      </w:r>
      <w:r>
        <w:t>E</w:t>
      </w:r>
      <w:r w:rsidRPr="00FA7D9C">
        <w:t xml:space="preserve">U podle směrnice Evropského parlamentu a Rady 2003/87/ES, rozhodnutí </w:t>
      </w:r>
      <w:r>
        <w:t>Evropského parlamentu a Rady č. </w:t>
      </w:r>
      <w:r w:rsidRPr="00FA7D9C">
        <w:t>280/2004/ES a</w:t>
      </w:r>
      <w:r>
        <w:t> </w:t>
      </w:r>
      <w:r w:rsidRPr="00FA7D9C">
        <w:t>č.</w:t>
      </w:r>
      <w:r>
        <w:t> </w:t>
      </w:r>
      <w:r w:rsidRPr="00FA7D9C">
        <w:t>406/2009 a o zrušení nařízení Komise (EU) č. 920/2010 a č. 1193/2011.</w:t>
      </w:r>
    </w:p>
  </w:footnote>
  <w:footnote w:id="36">
    <w:p w:rsidR="00102911" w:rsidRDefault="00102911" w:rsidP="008C7D9B">
      <w:pPr>
        <w:pStyle w:val="Textpoznpodarou"/>
        <w:ind w:left="284" w:hanging="284"/>
        <w:jc w:val="both"/>
      </w:pPr>
      <w:r>
        <w:rPr>
          <w:rStyle w:val="Znakapoznpodarou"/>
        </w:rPr>
        <w:footnoteRef/>
      </w:r>
      <w:r>
        <w:tab/>
        <w:t xml:space="preserve">Jako dražební platforma byla vybrána </w:t>
      </w:r>
      <w:proofErr w:type="spellStart"/>
      <w:r w:rsidRPr="00D7194E">
        <w:rPr>
          <w:i/>
        </w:rPr>
        <w:t>European</w:t>
      </w:r>
      <w:proofErr w:type="spellEnd"/>
      <w:r w:rsidRPr="00D7194E">
        <w:rPr>
          <w:i/>
        </w:rPr>
        <w:t xml:space="preserve"> </w:t>
      </w:r>
      <w:proofErr w:type="spellStart"/>
      <w:r w:rsidRPr="00D7194E">
        <w:rPr>
          <w:i/>
        </w:rPr>
        <w:t>Energy</w:t>
      </w:r>
      <w:proofErr w:type="spellEnd"/>
      <w:r w:rsidRPr="00D7194E">
        <w:rPr>
          <w:i/>
        </w:rPr>
        <w:t xml:space="preserve"> Exchange AG</w:t>
      </w:r>
      <w:r>
        <w:t xml:space="preserve"> („EEX“), která je provozována energetickou burzou v Lipsku a využívá zúčtovací platformu </w:t>
      </w:r>
      <w:proofErr w:type="spellStart"/>
      <w:r w:rsidRPr="00D7194E">
        <w:rPr>
          <w:i/>
        </w:rPr>
        <w:t>European</w:t>
      </w:r>
      <w:proofErr w:type="spellEnd"/>
      <w:r w:rsidRPr="00D7194E">
        <w:rPr>
          <w:i/>
        </w:rPr>
        <w:t xml:space="preserve"> </w:t>
      </w:r>
      <w:proofErr w:type="spellStart"/>
      <w:r w:rsidRPr="00D7194E">
        <w:rPr>
          <w:i/>
        </w:rPr>
        <w:t>Commodity</w:t>
      </w:r>
      <w:proofErr w:type="spellEnd"/>
      <w:r w:rsidRPr="00D7194E">
        <w:rPr>
          <w:i/>
        </w:rPr>
        <w:t xml:space="preserve"> Clearing</w:t>
      </w:r>
      <w:r>
        <w:t xml:space="preserve"> („ECC“).</w:t>
      </w:r>
    </w:p>
  </w:footnote>
  <w:footnote w:id="37">
    <w:p w:rsidR="00102911" w:rsidRDefault="00102911" w:rsidP="008C7D9B">
      <w:pPr>
        <w:pStyle w:val="Textpoznpodarou"/>
        <w:ind w:left="284" w:hanging="284"/>
        <w:jc w:val="both"/>
      </w:pPr>
      <w:r w:rsidRPr="006F7076">
        <w:rPr>
          <w:rStyle w:val="Znakapoznpodarou"/>
        </w:rPr>
        <w:footnoteRef/>
      </w:r>
      <w:r>
        <w:tab/>
      </w:r>
      <w:r w:rsidRPr="006F7076">
        <w:t xml:space="preserve">Podíl České republiky na všech dražených povolenkách je v souladu s ustanoveními </w:t>
      </w:r>
      <w:r>
        <w:t>s</w:t>
      </w:r>
      <w:r w:rsidRPr="006F7076">
        <w:t>měrnice 2003/87/ES ve výši 4,53 %.</w:t>
      </w:r>
    </w:p>
  </w:footnote>
  <w:footnote w:id="38">
    <w:p w:rsidR="00102911" w:rsidRDefault="00102911" w:rsidP="008C7D9B">
      <w:pPr>
        <w:pStyle w:val="Textpoznpodarou"/>
        <w:ind w:left="284" w:hanging="284"/>
        <w:jc w:val="both"/>
      </w:pPr>
      <w:r>
        <w:rPr>
          <w:rStyle w:val="Znakapoznpodarou"/>
        </w:rPr>
        <w:footnoteRef/>
      </w:r>
      <w:r>
        <w:tab/>
        <w:t>Článek 43 n</w:t>
      </w:r>
      <w:r w:rsidRPr="00FA7D9C">
        <w:t>ařízení Komise (EU) č. 389/2013</w:t>
      </w:r>
      <w:r>
        <w:t xml:space="preserve"> </w:t>
      </w:r>
      <w:r w:rsidRPr="0059324E">
        <w:t>ze dne</w:t>
      </w:r>
      <w:r>
        <w:t xml:space="preserve"> 2. května 2013,</w:t>
      </w:r>
      <w:r w:rsidRPr="00FA7D9C">
        <w:t xml:space="preserve"> o vytvoření registru </w:t>
      </w:r>
      <w:r>
        <w:t>E</w:t>
      </w:r>
      <w:r w:rsidRPr="00FA7D9C">
        <w:t>U podle směrnice Evropského parlamentu a Rady 2003/87/ES, rozhodnutí Evropského parlamentu a Rady č.</w:t>
      </w:r>
      <w:r>
        <w:t> </w:t>
      </w:r>
      <w:r w:rsidRPr="00FA7D9C">
        <w:t>280/2004/ES a</w:t>
      </w:r>
      <w:r>
        <w:t> </w:t>
      </w:r>
      <w:r w:rsidRPr="00FA7D9C">
        <w:t>č.</w:t>
      </w:r>
      <w:r>
        <w:t> </w:t>
      </w:r>
      <w:r w:rsidRPr="00FA7D9C">
        <w:t>406/2009 a o zrušení nařízení Komise (EU) č. 920/2010 a č. 1193/2011.</w:t>
      </w:r>
    </w:p>
  </w:footnote>
  <w:footnote w:id="39">
    <w:p w:rsidR="00102911" w:rsidRDefault="00102911" w:rsidP="008C7D9B">
      <w:pPr>
        <w:pStyle w:val="Textpoznpodarou"/>
        <w:ind w:left="284" w:hanging="284"/>
        <w:jc w:val="both"/>
      </w:pPr>
      <w:r>
        <w:rPr>
          <w:rStyle w:val="Znakapoznpodarou"/>
        </w:rPr>
        <w:footnoteRef/>
      </w:r>
      <w:r>
        <w:tab/>
        <w:t>Článek 51 n</w:t>
      </w:r>
      <w:r w:rsidRPr="00FA7D9C">
        <w:t>ařízení Komise (EU) č. 389/2013</w:t>
      </w:r>
      <w:r>
        <w:t xml:space="preserve"> </w:t>
      </w:r>
      <w:r w:rsidRPr="0059324E">
        <w:t>ze dne</w:t>
      </w:r>
      <w:r>
        <w:t xml:space="preserve"> 2. května 2013,</w:t>
      </w:r>
      <w:r w:rsidRPr="00FA7D9C">
        <w:t xml:space="preserve"> o vytvoření registru </w:t>
      </w:r>
      <w:r>
        <w:t>E</w:t>
      </w:r>
      <w:r w:rsidRPr="00FA7D9C">
        <w:t xml:space="preserve">U podle směrnice Evropského parlamentu a Rady 2003/87/ES, rozhodnutí </w:t>
      </w:r>
      <w:r>
        <w:t>Evropského parlamentu a Rady č. </w:t>
      </w:r>
      <w:r w:rsidRPr="00FA7D9C">
        <w:t>280/2004/ES a</w:t>
      </w:r>
      <w:r>
        <w:t> </w:t>
      </w:r>
      <w:r w:rsidRPr="00FA7D9C">
        <w:t>č.</w:t>
      </w:r>
      <w:r>
        <w:t> </w:t>
      </w:r>
      <w:r w:rsidRPr="00FA7D9C">
        <w:t>406/2009 a o zrušení nařízení Komise (EU) č. 920/2010 a č. 1193/2011.</w:t>
      </w:r>
    </w:p>
  </w:footnote>
  <w:footnote w:id="40">
    <w:p w:rsidR="00102911" w:rsidRDefault="00102911" w:rsidP="008C7D9B">
      <w:pPr>
        <w:pStyle w:val="Textpoznpodarou"/>
        <w:ind w:left="284" w:hanging="284"/>
        <w:jc w:val="both"/>
      </w:pPr>
      <w:r>
        <w:rPr>
          <w:rStyle w:val="Znakapoznpodarou"/>
        </w:rPr>
        <w:footnoteRef/>
      </w:r>
      <w:r>
        <w:tab/>
        <w:t>Článek 53 n</w:t>
      </w:r>
      <w:r w:rsidRPr="00FA7D9C">
        <w:t>ařízení Komise (EU) č.</w:t>
      </w:r>
      <w:r>
        <w:t> </w:t>
      </w:r>
      <w:r w:rsidRPr="00FA7D9C">
        <w:t>389/2013</w:t>
      </w:r>
      <w:r>
        <w:t xml:space="preserve"> </w:t>
      </w:r>
      <w:r w:rsidRPr="0059324E">
        <w:t>ze dne</w:t>
      </w:r>
      <w:r>
        <w:t xml:space="preserve"> 2. května 2013,</w:t>
      </w:r>
      <w:r w:rsidRPr="00FA7D9C">
        <w:t xml:space="preserve"> o vytvoření registru </w:t>
      </w:r>
      <w:r>
        <w:t>E</w:t>
      </w:r>
      <w:r w:rsidRPr="00FA7D9C">
        <w:t>U podle směrnice Evropského parlamentu a Rady 2003/87/ES, rozhodnutí Evropského parlamentu a Rady č.</w:t>
      </w:r>
      <w:r>
        <w:t> </w:t>
      </w:r>
      <w:r w:rsidRPr="00FA7D9C">
        <w:t>280/2004/ES a</w:t>
      </w:r>
      <w:r>
        <w:t> </w:t>
      </w:r>
      <w:r w:rsidRPr="00FA7D9C">
        <w:t>č.</w:t>
      </w:r>
      <w:r>
        <w:t> </w:t>
      </w:r>
      <w:r w:rsidRPr="00FA7D9C">
        <w:t>406/2009 a o zrušení nařízení Komise (EU) č. 920/2010 a č. 1193/2011.</w:t>
      </w:r>
    </w:p>
  </w:footnote>
  <w:footnote w:id="41">
    <w:p w:rsidR="00102911" w:rsidRDefault="00102911" w:rsidP="008C7D9B">
      <w:pPr>
        <w:pStyle w:val="Textpoznpodarou"/>
        <w:ind w:left="284" w:hanging="284"/>
        <w:jc w:val="both"/>
      </w:pPr>
      <w:r>
        <w:rPr>
          <w:rStyle w:val="Znakapoznpodarou"/>
        </w:rPr>
        <w:footnoteRef/>
      </w:r>
      <w:r>
        <w:tab/>
        <w:t>Článek 56 n</w:t>
      </w:r>
      <w:r w:rsidRPr="00FA7D9C">
        <w:t>ařízení Komise (EU) č. 389/2013</w:t>
      </w:r>
      <w:r>
        <w:t xml:space="preserve"> </w:t>
      </w:r>
      <w:r w:rsidRPr="0059324E">
        <w:t>ze dne</w:t>
      </w:r>
      <w:r>
        <w:t xml:space="preserve"> 2. května 2013,</w:t>
      </w:r>
      <w:r w:rsidRPr="00FA7D9C">
        <w:t xml:space="preserve"> o vytvoření registru </w:t>
      </w:r>
      <w:r>
        <w:t>E</w:t>
      </w:r>
      <w:r w:rsidRPr="00FA7D9C">
        <w:t>U podle směrnice Evropského parlamentu a Rady 2003/87/ES, rozhodnutí Evropského parlamentu a Rady č.</w:t>
      </w:r>
      <w:r>
        <w:t> </w:t>
      </w:r>
      <w:r w:rsidRPr="00FA7D9C">
        <w:t>280/2004/ES a</w:t>
      </w:r>
      <w:r>
        <w:t> </w:t>
      </w:r>
      <w:r w:rsidRPr="00FA7D9C">
        <w:t>č.</w:t>
      </w:r>
      <w:r>
        <w:t> </w:t>
      </w:r>
      <w:r w:rsidRPr="00FA7D9C">
        <w:t>406/2009 a o zrušení nařízení Komise (EU) č. 920/2010 a č. 1193/2011.</w:t>
      </w:r>
    </w:p>
  </w:footnote>
  <w:footnote w:id="42">
    <w:p w:rsidR="00102911" w:rsidRPr="001D31BB" w:rsidRDefault="00102911" w:rsidP="008C7D9B">
      <w:pPr>
        <w:pStyle w:val="Textpoznpodarou"/>
        <w:ind w:left="284" w:hanging="284"/>
        <w:jc w:val="both"/>
      </w:pPr>
      <w:r>
        <w:rPr>
          <w:rStyle w:val="Znakapoznpodarou"/>
        </w:rPr>
        <w:footnoteRef/>
      </w:r>
      <w:r>
        <w:tab/>
      </w:r>
      <w:r w:rsidRPr="00E124AD">
        <w:t xml:space="preserve">Rozhodnutí Komise </w:t>
      </w:r>
      <w:hyperlink r:id="rId1" w:history="1">
        <w:r w:rsidRPr="00E124AD">
          <w:t>2011/278/EU</w:t>
        </w:r>
      </w:hyperlink>
      <w:r w:rsidRPr="00E124AD">
        <w:t xml:space="preserve"> </w:t>
      </w:r>
      <w:r w:rsidRPr="0059324E">
        <w:t>ze dne</w:t>
      </w:r>
      <w:r w:rsidRPr="00E124AD">
        <w:t xml:space="preserve"> 27. dubna 2011, kterým se stanoví přechodná pravidla harmonizovaného přidělování bezplatných povolenek na emise platná v celé </w:t>
      </w:r>
      <w:r>
        <w:t>E</w:t>
      </w:r>
      <w:r w:rsidRPr="00E124AD">
        <w:t xml:space="preserve">U podle článku 10a směrnice Evropského parlamentu a Rady </w:t>
      </w:r>
      <w:hyperlink r:id="rId2" w:history="1">
        <w:r w:rsidRPr="00E124AD">
          <w:t>2003/87/ES</w:t>
        </w:r>
      </w:hyperlink>
      <w:r>
        <w:t>, r</w:t>
      </w:r>
      <w:r w:rsidRPr="00E124AD">
        <w:t xml:space="preserve">ozhodnutí Komise </w:t>
      </w:r>
      <w:hyperlink r:id="rId3" w:history="1">
        <w:r w:rsidRPr="00E124AD">
          <w:t>2011/638/EU</w:t>
        </w:r>
      </w:hyperlink>
      <w:r w:rsidRPr="00E124AD">
        <w:t xml:space="preserve"> ze dne 26. září 2011</w:t>
      </w:r>
      <w:r>
        <w:t>,</w:t>
      </w:r>
      <w:r w:rsidRPr="00E124AD">
        <w:t xml:space="preserve"> o</w:t>
      </w:r>
      <w:r>
        <w:t> </w:t>
      </w:r>
      <w:r w:rsidRPr="00E124AD">
        <w:t xml:space="preserve">referenčních hodnotách pro přidělování bezplatných povolenek na emise skleníkových plynů provozovatelům letadel podle článku 3e směrnice Evropského parlamentu a Rady </w:t>
      </w:r>
      <w:hyperlink r:id="rId4" w:history="1">
        <w:r w:rsidRPr="00E124AD">
          <w:t>2003/87/ES</w:t>
        </w:r>
      </w:hyperlink>
      <w:r>
        <w:t xml:space="preserve">. </w:t>
      </w:r>
    </w:p>
  </w:footnote>
  <w:footnote w:id="43">
    <w:p w:rsidR="00102911" w:rsidRDefault="00102911" w:rsidP="008C7D9B">
      <w:pPr>
        <w:pStyle w:val="Textpoznpodarou"/>
        <w:ind w:left="284" w:hanging="284"/>
      </w:pPr>
      <w:r>
        <w:rPr>
          <w:rStyle w:val="Znakapoznpodarou"/>
        </w:rPr>
        <w:footnoteRef/>
      </w:r>
      <w:r>
        <w:tab/>
        <w:t>To znamená v obchodovacím období 2008–2012.</w:t>
      </w:r>
    </w:p>
  </w:footnote>
  <w:footnote w:id="44">
    <w:p w:rsidR="00102911" w:rsidRDefault="00102911" w:rsidP="008C7D9B">
      <w:pPr>
        <w:pStyle w:val="Textpoznpodarou"/>
        <w:ind w:left="284" w:hanging="284"/>
      </w:pPr>
      <w:r>
        <w:rPr>
          <w:rStyle w:val="Znakapoznpodarou"/>
        </w:rPr>
        <w:footnoteRef/>
      </w:r>
      <w:r>
        <w:tab/>
        <w:t>Na základě postupů účtování zaslaných Ministerstvem financí jako doporučení pro účtování o povolenkách v roce 2013.</w:t>
      </w:r>
    </w:p>
  </w:footnote>
  <w:footnote w:id="45">
    <w:p w:rsidR="00102911" w:rsidRDefault="00102911" w:rsidP="009E492D">
      <w:pPr>
        <w:pStyle w:val="Textpoznpodarou"/>
        <w:ind w:left="284" w:hanging="284"/>
      </w:pPr>
      <w:r>
        <w:rPr>
          <w:rStyle w:val="Znakapoznpodarou"/>
        </w:rPr>
        <w:footnoteRef/>
      </w:r>
      <w:r>
        <w:tab/>
        <w:t xml:space="preserve">Reprodukční pořizovací cena byla stanovena na základě tržní ceny dle poslední uskutečněné dražby povolenek. </w:t>
      </w:r>
    </w:p>
  </w:footnote>
  <w:footnote w:id="46">
    <w:p w:rsidR="00102911" w:rsidRDefault="00102911" w:rsidP="008C7D9B">
      <w:pPr>
        <w:pStyle w:val="Textpoznpodarou"/>
        <w:ind w:left="284" w:hanging="284"/>
        <w:jc w:val="both"/>
      </w:pPr>
      <w:r>
        <w:rPr>
          <w:rStyle w:val="Znakapoznpodarou"/>
        </w:rPr>
        <w:footnoteRef/>
      </w:r>
      <w:r>
        <w:tab/>
        <w:t xml:space="preserve">Zákon o účetnictví neobsahuje definici pojmu aktiva. Podle Mezinárodních standardů účetního výkaznictví by kromě splnění jiných požadavků pro uznání aktiva v účetních výkazech měla být splněna i podmínka, že jde o prostředky kontrolované/ovládané, příp. </w:t>
      </w:r>
      <w:proofErr w:type="spellStart"/>
      <w:r>
        <w:t>spoluovládané</w:t>
      </w:r>
      <w:proofErr w:type="spellEnd"/>
      <w:r>
        <w:t xml:space="preserve"> příslušnou účetní jednotkou.</w:t>
      </w:r>
    </w:p>
  </w:footnote>
  <w:footnote w:id="47">
    <w:p w:rsidR="00102911" w:rsidRPr="00B00412" w:rsidRDefault="00102911" w:rsidP="00BA3FEA">
      <w:pPr>
        <w:spacing w:after="0" w:line="240" w:lineRule="auto"/>
        <w:ind w:left="284" w:hanging="284"/>
        <w:jc w:val="both"/>
        <w:rPr>
          <w:rFonts w:cstheme="minorHAnsi"/>
          <w:bCs/>
          <w:iCs/>
          <w:sz w:val="20"/>
          <w:szCs w:val="20"/>
        </w:rPr>
      </w:pPr>
      <w:r w:rsidRPr="00BA3FEA">
        <w:rPr>
          <w:rStyle w:val="Znakapoznpodarou"/>
          <w:sz w:val="20"/>
          <w:szCs w:val="20"/>
        </w:rPr>
        <w:footnoteRef/>
      </w:r>
      <w:r>
        <w:tab/>
      </w:r>
      <w:r w:rsidRPr="00352119">
        <w:rPr>
          <w:sz w:val="20"/>
          <w:szCs w:val="20"/>
        </w:rPr>
        <w:t>Při tomto převodu účtovalo MŽP v roce 2014 o nákladech</w:t>
      </w:r>
      <w:r w:rsidRPr="00352119">
        <w:rPr>
          <w:rFonts w:cstheme="minorHAnsi"/>
          <w:bCs/>
          <w:iCs/>
          <w:sz w:val="20"/>
          <w:szCs w:val="20"/>
        </w:rPr>
        <w:t xml:space="preserve"> ve výši</w:t>
      </w:r>
      <w:r w:rsidRPr="00352119">
        <w:rPr>
          <w:rFonts w:cstheme="minorHAnsi"/>
          <w:bCs/>
          <w:i/>
          <w:iCs/>
          <w:sz w:val="20"/>
          <w:szCs w:val="20"/>
        </w:rPr>
        <w:t xml:space="preserve"> </w:t>
      </w:r>
      <w:r w:rsidRPr="00352119">
        <w:rPr>
          <w:rFonts w:cstheme="minorHAnsi"/>
          <w:bCs/>
          <w:iCs/>
          <w:sz w:val="20"/>
          <w:szCs w:val="20"/>
        </w:rPr>
        <w:t>9 449 243 709,71 Kč na účet 543</w:t>
      </w:r>
      <w:r>
        <w:rPr>
          <w:rFonts w:cstheme="minorHAnsi"/>
          <w:bCs/>
          <w:iCs/>
          <w:sz w:val="20"/>
          <w:szCs w:val="20"/>
        </w:rPr>
        <w:t xml:space="preserve"> – </w:t>
      </w:r>
      <w:r w:rsidRPr="00352119">
        <w:rPr>
          <w:rFonts w:cstheme="minorHAnsi"/>
          <w:bCs/>
          <w:i/>
          <w:iCs/>
          <w:sz w:val="20"/>
          <w:szCs w:val="20"/>
        </w:rPr>
        <w:t>Dary</w:t>
      </w:r>
      <w:r>
        <w:rPr>
          <w:rFonts w:cstheme="minorHAnsi"/>
          <w:bCs/>
          <w:i/>
          <w:iCs/>
          <w:sz w:val="20"/>
          <w:szCs w:val="20"/>
        </w:rPr>
        <w:t>,</w:t>
      </w:r>
      <w:r w:rsidRPr="00352119">
        <w:rPr>
          <w:rFonts w:cstheme="minorHAnsi"/>
          <w:bCs/>
          <w:iCs/>
          <w:sz w:val="20"/>
          <w:szCs w:val="20"/>
        </w:rPr>
        <w:t xml:space="preserve"> neboť dle stávajících právních předpisů upravujících postupy účtování o dlouhodobém nehmotném majetku vybrané účetní jednotky z titulu následného převedení tohoto majetku na další subjekty, které nejsou vybranými účetními jednotkami, neúčtují prostřednictvím účtu </w:t>
      </w:r>
      <w:r w:rsidRPr="000A469B">
        <w:rPr>
          <w:rFonts w:cstheme="minorHAnsi"/>
          <w:bCs/>
          <w:iCs/>
          <w:sz w:val="20"/>
          <w:szCs w:val="20"/>
        </w:rPr>
        <w:t>401</w:t>
      </w:r>
      <w:r w:rsidRPr="00352119">
        <w:rPr>
          <w:rFonts w:cstheme="minorHAnsi"/>
          <w:bCs/>
          <w:iCs/>
          <w:sz w:val="20"/>
          <w:szCs w:val="20"/>
        </w:rPr>
        <w:t xml:space="preserve"> </w:t>
      </w:r>
      <w:r w:rsidRPr="00352119">
        <w:rPr>
          <w:rFonts w:cstheme="minorHAnsi"/>
          <w:bCs/>
          <w:i/>
          <w:iCs/>
          <w:sz w:val="20"/>
          <w:szCs w:val="20"/>
        </w:rPr>
        <w:t>– Jmění účetní jednotky.</w:t>
      </w:r>
      <w:r w:rsidRPr="00352119">
        <w:rPr>
          <w:rFonts w:cstheme="minorHAnsi"/>
          <w:bCs/>
          <w:iCs/>
          <w:sz w:val="20"/>
          <w:szCs w:val="20"/>
        </w:rPr>
        <w:t xml:space="preserve"> </w:t>
      </w:r>
    </w:p>
  </w:footnote>
  <w:footnote w:id="48">
    <w:p w:rsidR="00102911" w:rsidRDefault="00102911" w:rsidP="00BA3FEA">
      <w:pPr>
        <w:pStyle w:val="Textpoznpodarou"/>
        <w:ind w:left="284" w:hanging="284"/>
      </w:pPr>
      <w:r>
        <w:rPr>
          <w:rStyle w:val="Znakapoznpodarou"/>
        </w:rPr>
        <w:footnoteRef/>
      </w:r>
      <w:r>
        <w:tab/>
        <w:t>Viz část „přecenění majetku určeného k prodeji na reálnou hodnotu“.</w:t>
      </w:r>
    </w:p>
  </w:footnote>
  <w:footnote w:id="49">
    <w:p w:rsidR="00102911" w:rsidRPr="00B45F23" w:rsidRDefault="00102911" w:rsidP="008C7D9B">
      <w:pPr>
        <w:pStyle w:val="Textpoznpodarou"/>
        <w:ind w:left="284" w:hanging="284"/>
        <w:jc w:val="both"/>
      </w:pPr>
      <w:r>
        <w:rPr>
          <w:rStyle w:val="Znakapoznpodarou"/>
        </w:rPr>
        <w:footnoteRef/>
      </w:r>
      <w:r>
        <w:tab/>
      </w:r>
      <w:r w:rsidRPr="00B45F23">
        <w:t xml:space="preserve">Postup účtování o povolenkách </w:t>
      </w:r>
      <w:r>
        <w:t>ve třetím</w:t>
      </w:r>
      <w:r w:rsidRPr="00B45F23">
        <w:t xml:space="preserve"> obchodovací</w:t>
      </w:r>
      <w:r>
        <w:t>m</w:t>
      </w:r>
      <w:r w:rsidRPr="00B45F23">
        <w:t xml:space="preserve"> období do 30. </w:t>
      </w:r>
      <w:r>
        <w:t>září</w:t>
      </w:r>
      <w:r w:rsidRPr="00B45F23">
        <w:t> 2013 neměl dopad na hospodářský výsledek, jak je popsáno</w:t>
      </w:r>
      <w:r>
        <w:t xml:space="preserve"> v části</w:t>
      </w:r>
      <w:r w:rsidRPr="00B45F23">
        <w:t xml:space="preserve"> </w:t>
      </w:r>
      <w:r>
        <w:t>„</w:t>
      </w:r>
      <w:r w:rsidRPr="000A469B">
        <w:rPr>
          <w:i/>
        </w:rPr>
        <w:t>Účtování a vykazování povolenek</w:t>
      </w:r>
      <w:r>
        <w:t>“.</w:t>
      </w:r>
    </w:p>
  </w:footnote>
  <w:footnote w:id="50">
    <w:p w:rsidR="00102911" w:rsidRPr="00EF5B55" w:rsidRDefault="00102911" w:rsidP="008C7D9B">
      <w:pPr>
        <w:pStyle w:val="Textpoznpodarou"/>
        <w:ind w:left="284" w:hanging="284"/>
      </w:pPr>
      <w:r w:rsidRPr="00EF5B55">
        <w:rPr>
          <w:rStyle w:val="Znakapoznpodarou"/>
        </w:rPr>
        <w:footnoteRef/>
      </w:r>
      <w:r>
        <w:tab/>
      </w:r>
      <w:r w:rsidRPr="00EF5B55">
        <w:t xml:space="preserve">Na účet </w:t>
      </w:r>
      <w:r w:rsidRPr="009E492D">
        <w:rPr>
          <w:rFonts w:cstheme="minorHAnsi"/>
          <w:bCs/>
          <w:iCs/>
        </w:rPr>
        <w:t xml:space="preserve">552 </w:t>
      </w:r>
      <w:r w:rsidRPr="00B45F23">
        <w:rPr>
          <w:rFonts w:cstheme="minorHAnsi"/>
          <w:bCs/>
          <w:i/>
          <w:iCs/>
        </w:rPr>
        <w:t>– Prodaný dlouhodobý nehmotný majetek</w:t>
      </w:r>
      <w:r>
        <w:rPr>
          <w:rFonts w:cstheme="minorHAnsi"/>
          <w:bCs/>
          <w:i/>
          <w:iCs/>
        </w:rPr>
        <w:t>.</w:t>
      </w:r>
    </w:p>
  </w:footnote>
  <w:footnote w:id="51">
    <w:p w:rsidR="00102911" w:rsidRDefault="00102911" w:rsidP="008C7D9B">
      <w:pPr>
        <w:pStyle w:val="Textpoznpodarou"/>
        <w:ind w:left="284" w:hanging="284"/>
        <w:jc w:val="both"/>
      </w:pPr>
      <w:r>
        <w:rPr>
          <w:rStyle w:val="Znakapoznpodarou"/>
        </w:rPr>
        <w:footnoteRef/>
      </w:r>
      <w:r>
        <w:tab/>
        <w:t>Povolenkám vydaným na druhé obchodovací období skončila platnost k 30. dubnu 2013, a to v souladu s ustanovením § 9 zákona č. 383/2012 Sb.</w:t>
      </w:r>
    </w:p>
  </w:footnote>
  <w:footnote w:id="52">
    <w:p w:rsidR="00102911" w:rsidRDefault="00102911" w:rsidP="00AD68E7">
      <w:pPr>
        <w:pStyle w:val="Textpoznpodarou"/>
        <w:ind w:left="284" w:hanging="284"/>
      </w:pPr>
      <w:r w:rsidRPr="002F24FC">
        <w:rPr>
          <w:rStyle w:val="Znakapoznpodarou"/>
        </w:rPr>
        <w:footnoteRef/>
      </w:r>
      <w:r>
        <w:tab/>
        <w:t>Ustanovení</w:t>
      </w:r>
      <w:r w:rsidRPr="00B45F23">
        <w:t xml:space="preserve"> § 7</w:t>
      </w:r>
      <w:r w:rsidRPr="002F24FC">
        <w:t xml:space="preserve"> zákon</w:t>
      </w:r>
      <w:r w:rsidRPr="00B45F23">
        <w:t>a</w:t>
      </w:r>
      <w:r w:rsidRPr="002F24FC">
        <w:t xml:space="preserve"> č. 383/2012 Sb.</w:t>
      </w:r>
      <w:r>
        <w:t xml:space="preserve">, </w:t>
      </w:r>
      <w:r w:rsidRPr="004837DC">
        <w:t>o podmínkách obchodování s povolenkami na emise skleníkových plynů</w:t>
      </w:r>
      <w:r>
        <w:t>.</w:t>
      </w:r>
      <w:r w:rsidRPr="002F24FC">
        <w:t xml:space="preserve"> </w:t>
      </w:r>
    </w:p>
  </w:footnote>
  <w:footnote w:id="53">
    <w:p w:rsidR="00102911" w:rsidRDefault="00102911" w:rsidP="00AD68E7">
      <w:pPr>
        <w:pStyle w:val="Textpoznpodarou"/>
        <w:ind w:left="284" w:hanging="284"/>
        <w:jc w:val="both"/>
      </w:pPr>
      <w:r>
        <w:rPr>
          <w:rStyle w:val="Znakapoznpodarou"/>
        </w:rPr>
        <w:footnoteRef/>
      </w:r>
      <w:r>
        <w:tab/>
        <w:t>Vyčíslené jsou nesprávnosti, které byly zjištěny v rozsahu vybraných skutečností identifikovaných v návaznosti na jejich významnost a riziko vzniku významné nesprávnosti.</w:t>
      </w:r>
    </w:p>
  </w:footnote>
  <w:footnote w:id="54">
    <w:p w:rsidR="00102911" w:rsidRPr="008F6A9B" w:rsidRDefault="00102911" w:rsidP="00AD68E7">
      <w:pPr>
        <w:pStyle w:val="Textpoznpodarou"/>
        <w:ind w:left="284" w:hanging="284"/>
        <w:jc w:val="both"/>
      </w:pPr>
      <w:r>
        <w:rPr>
          <w:rStyle w:val="Znakapoznpodarou"/>
        </w:rPr>
        <w:footnoteRef/>
      </w:r>
      <w:r>
        <w:tab/>
        <w:t xml:space="preserve">Transferem se v souladu s ČÚS č. </w:t>
      </w:r>
      <w:r w:rsidRPr="000A469B">
        <w:t>703</w:t>
      </w:r>
      <w:r>
        <w:rPr>
          <w:i/>
        </w:rPr>
        <w:t xml:space="preserve"> – </w:t>
      </w:r>
      <w:r w:rsidRPr="0059324E">
        <w:rPr>
          <w:i/>
        </w:rPr>
        <w:t>Transfery</w:t>
      </w:r>
      <w:r>
        <w:t xml:space="preserve"> rozumí poskytnutí peněžních prostředků z veřejných rozpočtů i přijetí peněžních prostředků veřejnými rozpočty, včetně prostředků ze zahraničí, zejména v případě státního rozpočtu, rozpočtů územních samospráv či státních fondů, mohou to tedy být zejména dotace, granty, příspěvky, subvence, dávky, nenávratné finanční výpomoci, podpory či peněžní dary.</w:t>
      </w:r>
    </w:p>
  </w:footnote>
  <w:footnote w:id="55">
    <w:p w:rsidR="00102911" w:rsidRDefault="00102911" w:rsidP="00AD68E7">
      <w:pPr>
        <w:pStyle w:val="Textpoznpodarou"/>
        <w:ind w:left="284" w:hanging="284"/>
      </w:pPr>
      <w:r w:rsidRPr="003646FA">
        <w:rPr>
          <w:rStyle w:val="Znakapoznpodarou"/>
        </w:rPr>
        <w:footnoteRef/>
      </w:r>
      <w:r>
        <w:tab/>
        <w:t xml:space="preserve">Tyto pohledávky dle obsahového vymezení odpovídaly účtu </w:t>
      </w:r>
      <w:r w:rsidRPr="000A469B">
        <w:t>315</w:t>
      </w:r>
      <w:r>
        <w:t xml:space="preserve"> </w:t>
      </w:r>
      <w:r>
        <w:rPr>
          <w:i/>
        </w:rPr>
        <w:t>–</w:t>
      </w:r>
      <w:r w:rsidRPr="00DF65A6">
        <w:rPr>
          <w:i/>
        </w:rPr>
        <w:t xml:space="preserve"> Jiné pohledávky z hlavní činnosti</w:t>
      </w:r>
      <w:r>
        <w:t>.</w:t>
      </w:r>
    </w:p>
  </w:footnote>
  <w:footnote w:id="56">
    <w:p w:rsidR="00102911" w:rsidRDefault="00102911" w:rsidP="00AD68E7">
      <w:pPr>
        <w:pStyle w:val="Textpoznpodarou"/>
        <w:ind w:left="284" w:hanging="284"/>
        <w:jc w:val="both"/>
      </w:pPr>
      <w:r>
        <w:rPr>
          <w:rStyle w:val="Znakapoznpodarou"/>
        </w:rPr>
        <w:footnoteRef/>
      </w:r>
      <w:r>
        <w:tab/>
        <w:t>Dle ustanovení § 26 odst. 2 písm. d) vyhlášky č. 410/2009 Sb. se za významnou považuje oprava, jejíž výše dosahuje alespoň 0,3 % hodnoty aktiv netto za minulé účetní období nebo částky 260 000 Kč.</w:t>
      </w:r>
    </w:p>
  </w:footnote>
  <w:footnote w:id="57">
    <w:p w:rsidR="00102911" w:rsidRPr="00596746" w:rsidRDefault="00102911" w:rsidP="00AD68E7">
      <w:pPr>
        <w:autoSpaceDE w:val="0"/>
        <w:autoSpaceDN w:val="0"/>
        <w:adjustRightInd w:val="0"/>
        <w:spacing w:after="0" w:line="240" w:lineRule="auto"/>
        <w:ind w:left="284" w:hanging="284"/>
        <w:jc w:val="both"/>
        <w:rPr>
          <w:rFonts w:cstheme="minorHAnsi"/>
          <w:bCs/>
        </w:rPr>
      </w:pPr>
      <w:r w:rsidRPr="00596746">
        <w:rPr>
          <w:rStyle w:val="Znakapoznpodarou"/>
          <w:sz w:val="20"/>
          <w:szCs w:val="20"/>
        </w:rPr>
        <w:footnoteRef/>
      </w:r>
      <w:r>
        <w:rPr>
          <w:sz w:val="20"/>
          <w:szCs w:val="20"/>
        </w:rPr>
        <w:tab/>
      </w:r>
      <w:r w:rsidRPr="00596746">
        <w:rPr>
          <w:sz w:val="20"/>
          <w:szCs w:val="20"/>
        </w:rPr>
        <w:t xml:space="preserve">Nařízení Rady </w:t>
      </w:r>
      <w:r w:rsidRPr="0059324E">
        <w:rPr>
          <w:rFonts w:cstheme="minorHAnsi"/>
          <w:bCs/>
          <w:sz w:val="20"/>
          <w:szCs w:val="20"/>
        </w:rPr>
        <w:t>(ES) č. 1083/2006</w:t>
      </w:r>
      <w:r w:rsidRPr="00596746">
        <w:rPr>
          <w:rFonts w:cstheme="minorHAnsi"/>
          <w:bCs/>
          <w:sz w:val="20"/>
          <w:szCs w:val="20"/>
        </w:rPr>
        <w:t xml:space="preserve"> </w:t>
      </w:r>
      <w:r w:rsidRPr="0059324E">
        <w:rPr>
          <w:rFonts w:cstheme="minorHAnsi"/>
          <w:bCs/>
          <w:sz w:val="20"/>
          <w:szCs w:val="20"/>
        </w:rPr>
        <w:t>ze dne 11. července 2006</w:t>
      </w:r>
      <w:r>
        <w:rPr>
          <w:rFonts w:cstheme="minorHAnsi"/>
          <w:bCs/>
          <w:sz w:val="20"/>
          <w:szCs w:val="20"/>
        </w:rPr>
        <w:t>,</w:t>
      </w:r>
      <w:r w:rsidRPr="00596746">
        <w:rPr>
          <w:rFonts w:cstheme="minorHAnsi"/>
          <w:bCs/>
          <w:sz w:val="20"/>
          <w:szCs w:val="20"/>
        </w:rPr>
        <w:t xml:space="preserve"> </w:t>
      </w:r>
      <w:r w:rsidRPr="0059324E">
        <w:rPr>
          <w:rFonts w:cstheme="minorHAnsi"/>
          <w:bCs/>
          <w:sz w:val="20"/>
          <w:szCs w:val="20"/>
        </w:rPr>
        <w:t>o obecných ustanoveních o Evropském fondu pro regionální rozvoj, Evropském sociálním fondu</w:t>
      </w:r>
      <w:r w:rsidRPr="00596746">
        <w:rPr>
          <w:rFonts w:cstheme="minorHAnsi"/>
          <w:bCs/>
          <w:sz w:val="20"/>
          <w:szCs w:val="20"/>
        </w:rPr>
        <w:t xml:space="preserve"> </w:t>
      </w:r>
      <w:r w:rsidRPr="0059324E">
        <w:rPr>
          <w:rFonts w:cstheme="minorHAnsi"/>
          <w:bCs/>
          <w:sz w:val="20"/>
          <w:szCs w:val="20"/>
        </w:rPr>
        <w:t>a Fondu soudržnosti a o zrušení nařízení (ES) č.</w:t>
      </w:r>
      <w:r w:rsidR="00174CD6">
        <w:rPr>
          <w:rFonts w:cstheme="minorHAnsi"/>
          <w:bCs/>
          <w:sz w:val="20"/>
          <w:szCs w:val="20"/>
        </w:rPr>
        <w:t> </w:t>
      </w:r>
      <w:r w:rsidRPr="0059324E">
        <w:rPr>
          <w:rFonts w:cstheme="minorHAnsi"/>
          <w:bCs/>
          <w:sz w:val="20"/>
          <w:szCs w:val="20"/>
        </w:rPr>
        <w:t>1260/1999</w:t>
      </w:r>
      <w:r>
        <w:rPr>
          <w:rFonts w:cstheme="minorHAnsi"/>
          <w:bCs/>
        </w:rPr>
        <w:t>.</w:t>
      </w:r>
    </w:p>
  </w:footnote>
  <w:footnote w:id="58">
    <w:p w:rsidR="00102911" w:rsidRPr="0059324E" w:rsidRDefault="00102911" w:rsidP="00AD68E7">
      <w:pPr>
        <w:autoSpaceDE w:val="0"/>
        <w:autoSpaceDN w:val="0"/>
        <w:adjustRightInd w:val="0"/>
        <w:spacing w:after="0" w:line="240" w:lineRule="auto"/>
        <w:ind w:left="284" w:hanging="284"/>
        <w:rPr>
          <w:rFonts w:eastAsia="EUAlbertina-Bold-Identity-H" w:cstheme="minorHAnsi"/>
          <w:bCs/>
        </w:rPr>
      </w:pPr>
      <w:r w:rsidRPr="00AD68E7">
        <w:rPr>
          <w:rStyle w:val="Znakapoznpodarou"/>
          <w:sz w:val="20"/>
          <w:szCs w:val="20"/>
        </w:rPr>
        <w:footnoteRef/>
      </w:r>
      <w:r w:rsidRPr="00AD68E7">
        <w:rPr>
          <w:sz w:val="20"/>
          <w:szCs w:val="20"/>
        </w:rPr>
        <w:tab/>
        <w:t xml:space="preserve">Nařízení Rady </w:t>
      </w:r>
      <w:r w:rsidRPr="00AD68E7">
        <w:rPr>
          <w:rFonts w:eastAsia="EUAlbertina-Bold-Identity-H" w:cstheme="minorHAnsi"/>
          <w:bCs/>
          <w:sz w:val="20"/>
          <w:szCs w:val="20"/>
        </w:rPr>
        <w:t>(ES) č. 1198/2006 ze dne</w:t>
      </w:r>
      <w:r>
        <w:rPr>
          <w:rFonts w:eastAsia="EUAlbertina-Bold-Identity-H" w:cstheme="minorHAnsi"/>
          <w:bCs/>
          <w:sz w:val="20"/>
          <w:szCs w:val="20"/>
        </w:rPr>
        <w:t xml:space="preserve"> </w:t>
      </w:r>
      <w:r w:rsidRPr="00AD68E7">
        <w:rPr>
          <w:rFonts w:eastAsia="EUAlbertina-Bold-Identity-H" w:cstheme="minorHAnsi"/>
          <w:bCs/>
          <w:sz w:val="20"/>
          <w:szCs w:val="20"/>
        </w:rPr>
        <w:t>2</w:t>
      </w:r>
      <w:r>
        <w:rPr>
          <w:rFonts w:eastAsia="EUAlbertina-Bold-Identity-H" w:cstheme="minorHAnsi"/>
          <w:bCs/>
          <w:sz w:val="20"/>
          <w:szCs w:val="20"/>
        </w:rPr>
        <w:t>7</w:t>
      </w:r>
      <w:r w:rsidRPr="0059324E">
        <w:rPr>
          <w:rFonts w:eastAsia="EUAlbertina-Bold-Identity-H" w:cstheme="minorHAnsi"/>
          <w:bCs/>
          <w:sz w:val="20"/>
          <w:szCs w:val="20"/>
        </w:rPr>
        <w:t xml:space="preserve">. </w:t>
      </w:r>
      <w:r>
        <w:rPr>
          <w:rFonts w:eastAsia="EUAlbertina-Bold-Identity-H" w:cstheme="minorHAnsi"/>
          <w:bCs/>
          <w:sz w:val="20"/>
          <w:szCs w:val="20"/>
        </w:rPr>
        <w:t>č</w:t>
      </w:r>
      <w:r w:rsidRPr="009877F2">
        <w:rPr>
          <w:rFonts w:eastAsia="EUAlbertina-Bold-Identity-H" w:cstheme="minorHAnsi"/>
          <w:bCs/>
          <w:sz w:val="20"/>
          <w:szCs w:val="20"/>
        </w:rPr>
        <w:t>ervence 2006</w:t>
      </w:r>
      <w:r>
        <w:rPr>
          <w:rFonts w:eastAsia="EUAlbertina-Bold-Identity-H" w:cstheme="minorHAnsi"/>
          <w:bCs/>
          <w:sz w:val="20"/>
          <w:szCs w:val="20"/>
        </w:rPr>
        <w:t xml:space="preserve">, </w:t>
      </w:r>
      <w:r w:rsidRPr="0059324E">
        <w:rPr>
          <w:rFonts w:eastAsia="EUAlbertina-Bold-Identity-H" w:cstheme="minorHAnsi"/>
          <w:bCs/>
          <w:sz w:val="20"/>
          <w:szCs w:val="20"/>
        </w:rPr>
        <w:t>o Evropsk</w:t>
      </w:r>
      <w:r>
        <w:rPr>
          <w:rFonts w:eastAsia="EUAlbertina-Bold-Identity-H" w:cstheme="minorHAnsi"/>
          <w:bCs/>
          <w:sz w:val="20"/>
          <w:szCs w:val="20"/>
        </w:rPr>
        <w:t>ém rybářském fondu.</w:t>
      </w:r>
    </w:p>
  </w:footnote>
  <w:footnote w:id="59">
    <w:p w:rsidR="00102911" w:rsidRDefault="00102911" w:rsidP="00CB641A">
      <w:pPr>
        <w:pStyle w:val="Textpoznpodarou"/>
        <w:ind w:left="284" w:hanging="284"/>
        <w:jc w:val="both"/>
      </w:pPr>
      <w:r>
        <w:rPr>
          <w:rStyle w:val="Znakapoznpodarou"/>
        </w:rPr>
        <w:footnoteRef/>
      </w:r>
      <w:r>
        <w:tab/>
        <w:t xml:space="preserve">Převod úroků vyplývá také z ustanovení bodu 3.7 </w:t>
      </w:r>
      <w:r w:rsidRPr="000A469B">
        <w:rPr>
          <w:i/>
        </w:rPr>
        <w:t>Metodiky finančních toků a kontroly programů spolufinancovaných ze strukturálních fondů, Fondu soudržnosti a Evropského rybářského fondu na programové období 2007–2013</w:t>
      </w:r>
      <w:r>
        <w:t>.</w:t>
      </w:r>
    </w:p>
  </w:footnote>
  <w:footnote w:id="60">
    <w:p w:rsidR="00102911" w:rsidRDefault="00102911" w:rsidP="00AD68E7">
      <w:pPr>
        <w:pStyle w:val="Textpoznpodarou"/>
        <w:ind w:left="284" w:hanging="284"/>
        <w:jc w:val="both"/>
      </w:pPr>
      <w:r>
        <w:rPr>
          <w:rStyle w:val="Znakapoznpodarou"/>
        </w:rPr>
        <w:footnoteRef/>
      </w:r>
      <w:r>
        <w:tab/>
        <w:t xml:space="preserve">Do výpočtu položky </w:t>
      </w:r>
      <w:proofErr w:type="gramStart"/>
      <w:r w:rsidRPr="00E35F42">
        <w:rPr>
          <w:i/>
        </w:rPr>
        <w:t>A.I.6</w:t>
      </w:r>
      <w:r>
        <w:rPr>
          <w:i/>
        </w:rPr>
        <w:t>.</w:t>
      </w:r>
      <w:proofErr w:type="gramEnd"/>
      <w:r w:rsidRPr="00E35F42">
        <w:rPr>
          <w:i/>
        </w:rPr>
        <w:t xml:space="preserve"> Ostatní úpravy o nepeněžní operace</w:t>
      </w:r>
      <w:r>
        <w:t xml:space="preserve"> zahrnulo</w:t>
      </w:r>
      <w:r w:rsidRPr="00FC4655">
        <w:t xml:space="preserve"> </w:t>
      </w:r>
      <w:r>
        <w:t xml:space="preserve">MŽP mimo jiné i částku ve výši 6 486 711 434,78 Kč z účtu </w:t>
      </w:r>
      <w:r w:rsidRPr="00B02A1B">
        <w:t>015</w:t>
      </w:r>
      <w:r w:rsidRPr="00E35F42">
        <w:rPr>
          <w:i/>
        </w:rPr>
        <w:t xml:space="preserve"> </w:t>
      </w:r>
      <w:r>
        <w:rPr>
          <w:i/>
        </w:rPr>
        <w:t>–</w:t>
      </w:r>
      <w:r w:rsidRPr="00E35F42">
        <w:rPr>
          <w:i/>
        </w:rPr>
        <w:t xml:space="preserve"> Povolenky na emise</w:t>
      </w:r>
      <w:r>
        <w:rPr>
          <w:i/>
        </w:rPr>
        <w:t xml:space="preserve"> a preferenční limity</w:t>
      </w:r>
      <w:r>
        <w:t xml:space="preserve">. Do výpočtu položky </w:t>
      </w:r>
      <w:proofErr w:type="gramStart"/>
      <w:r w:rsidRPr="00091858">
        <w:rPr>
          <w:i/>
        </w:rPr>
        <w:t>A.II</w:t>
      </w:r>
      <w:proofErr w:type="gramEnd"/>
      <w:r w:rsidRPr="00091858">
        <w:rPr>
          <w:i/>
        </w:rPr>
        <w:t>.1. Změna stavu krátkodobých pohledávek</w:t>
      </w:r>
      <w:r w:rsidRPr="00C00D2B">
        <w:t xml:space="preserve"> </w:t>
      </w:r>
      <w:r>
        <w:t>zahrnulo</w:t>
      </w:r>
      <w:r w:rsidRPr="00FC4655">
        <w:t xml:space="preserve"> </w:t>
      </w:r>
      <w:r>
        <w:t>MŽP mimo jiné i</w:t>
      </w:r>
      <w:r w:rsidRPr="00C00D2B">
        <w:t xml:space="preserve"> hodnotu v záporné výši 9</w:t>
      </w:r>
      <w:r>
        <w:t> </w:t>
      </w:r>
      <w:r w:rsidRPr="00C00D2B">
        <w:t>872</w:t>
      </w:r>
      <w:r>
        <w:t> </w:t>
      </w:r>
      <w:r w:rsidRPr="00C00D2B">
        <w:t>139</w:t>
      </w:r>
      <w:r>
        <w:t> </w:t>
      </w:r>
      <w:r w:rsidRPr="00C00D2B">
        <w:t>448,31</w:t>
      </w:r>
      <w:r>
        <w:t> </w:t>
      </w:r>
      <w:r w:rsidRPr="00C00D2B">
        <w:t xml:space="preserve">Kč, která představuje rozdíl mezi obraty </w:t>
      </w:r>
      <w:r>
        <w:t>„má dáti“</w:t>
      </w:r>
      <w:r w:rsidRPr="00C00D2B">
        <w:t xml:space="preserve"> a </w:t>
      </w:r>
      <w:r>
        <w:t>„dal“</w:t>
      </w:r>
      <w:r w:rsidRPr="00C00D2B">
        <w:t xml:space="preserve"> účtu</w:t>
      </w:r>
      <w:r>
        <w:t xml:space="preserve"> </w:t>
      </w:r>
      <w:r w:rsidRPr="00B02A1B">
        <w:t>401</w:t>
      </w:r>
      <w:r w:rsidRPr="00091858">
        <w:rPr>
          <w:i/>
        </w:rPr>
        <w:t xml:space="preserve"> – Jmění účetní jednotky</w:t>
      </w:r>
      <w:r w:rsidRPr="00C00D2B">
        <w:t xml:space="preserve"> za rok 2013</w:t>
      </w:r>
      <w:r>
        <w:t xml:space="preserve">. Do výpočtu položky </w:t>
      </w:r>
      <w:proofErr w:type="gramStart"/>
      <w:r w:rsidRPr="00E35F42">
        <w:rPr>
          <w:i/>
        </w:rPr>
        <w:t>A.II</w:t>
      </w:r>
      <w:proofErr w:type="gramEnd"/>
      <w:r w:rsidRPr="00E35F42">
        <w:rPr>
          <w:i/>
        </w:rPr>
        <w:t>.2</w:t>
      </w:r>
      <w:r>
        <w:rPr>
          <w:i/>
        </w:rPr>
        <w:t xml:space="preserve">. Změna stavu krátkodobých závazků </w:t>
      </w:r>
      <w:r w:rsidRPr="00E35F42">
        <w:t>zahrnulo</w:t>
      </w:r>
      <w:r>
        <w:rPr>
          <w:i/>
        </w:rPr>
        <w:t xml:space="preserve"> </w:t>
      </w:r>
      <w:r>
        <w:t xml:space="preserve">MŽP i zůstatek účtu </w:t>
      </w:r>
      <w:r w:rsidRPr="00B02A1B">
        <w:t>558</w:t>
      </w:r>
      <w:r w:rsidRPr="00E35F42">
        <w:rPr>
          <w:i/>
        </w:rPr>
        <w:t xml:space="preserve"> – Náklady z drobného dlouhodobého majetku</w:t>
      </w:r>
      <w:r>
        <w:rPr>
          <w:i/>
        </w:rPr>
        <w:t xml:space="preserve"> </w:t>
      </w:r>
      <w:r>
        <w:t xml:space="preserve">ve výši 5 215 339,66 Kč. Do výpočtu položky </w:t>
      </w:r>
      <w:proofErr w:type="gramStart"/>
      <w:r w:rsidRPr="00E35F42">
        <w:rPr>
          <w:i/>
        </w:rPr>
        <w:t>C.I.</w:t>
      </w:r>
      <w:proofErr w:type="gramEnd"/>
      <w:r w:rsidRPr="00E35F42">
        <w:rPr>
          <w:i/>
        </w:rPr>
        <w:t xml:space="preserve"> Peněžní toky</w:t>
      </w:r>
      <w:r>
        <w:t xml:space="preserve"> </w:t>
      </w:r>
      <w:r w:rsidRPr="00E35F42">
        <w:rPr>
          <w:i/>
        </w:rPr>
        <w:t>vyplývající ze změny vlastního kapitálu</w:t>
      </w:r>
      <w:r>
        <w:t xml:space="preserve"> zahrnulo MŽP i zůstatek účtu </w:t>
      </w:r>
      <w:r w:rsidRPr="00B02A1B">
        <w:t>432</w:t>
      </w:r>
      <w:r w:rsidRPr="00E35F42">
        <w:rPr>
          <w:i/>
        </w:rPr>
        <w:t xml:space="preserve"> – Výsledek hospodaření minulých</w:t>
      </w:r>
      <w:r>
        <w:t xml:space="preserve"> </w:t>
      </w:r>
      <w:r w:rsidRPr="00E35F42">
        <w:rPr>
          <w:i/>
        </w:rPr>
        <w:t>účetních období</w:t>
      </w:r>
      <w:r>
        <w:t xml:space="preserve"> vykázaný ve výkazu rozvaha ve výši mínus 9 823 015 076,47 Kč. Všechny tyto skutečnosti jsou v rozporu s obsahovým vymezením uvedených položek přehledu o peněžních tocích.</w:t>
      </w:r>
    </w:p>
  </w:footnote>
  <w:footnote w:id="61">
    <w:p w:rsidR="00102911" w:rsidRDefault="00102911" w:rsidP="00D27C61">
      <w:pPr>
        <w:pStyle w:val="Textpoznpodarou"/>
        <w:ind w:left="284" w:hanging="284"/>
      </w:pPr>
      <w:r>
        <w:rPr>
          <w:rStyle w:val="Znakapoznpodarou"/>
        </w:rPr>
        <w:footnoteRef/>
      </w:r>
      <w:r>
        <w:tab/>
        <w:t>Viz část 1.1 tohoto kontrolního závěru.</w:t>
      </w:r>
    </w:p>
  </w:footnote>
  <w:footnote w:id="62">
    <w:p w:rsidR="00102911" w:rsidRDefault="00102911" w:rsidP="00D27C61">
      <w:pPr>
        <w:pStyle w:val="Textpoznpodarou"/>
        <w:ind w:left="284" w:hanging="284"/>
      </w:pPr>
      <w:r>
        <w:rPr>
          <w:rStyle w:val="Znakapoznpodarou"/>
        </w:rPr>
        <w:footnoteRef/>
      </w:r>
      <w:r>
        <w:tab/>
        <w:t>Viz část 1.3.1 tohoto kontrolního závěru.</w:t>
      </w:r>
    </w:p>
  </w:footnote>
  <w:footnote w:id="63">
    <w:p w:rsidR="00102911" w:rsidRDefault="00102911" w:rsidP="00D27C61">
      <w:pPr>
        <w:pStyle w:val="Textpoznpodarou"/>
        <w:ind w:left="284" w:hanging="284"/>
      </w:pPr>
      <w:r>
        <w:rPr>
          <w:rStyle w:val="Znakapoznpodarou"/>
        </w:rPr>
        <w:footnoteRef/>
      </w:r>
      <w:r>
        <w:tab/>
        <w:t>Viz část 1.3.1 tohoto kontrolního závěru.</w:t>
      </w:r>
    </w:p>
  </w:footnote>
  <w:footnote w:id="64">
    <w:p w:rsidR="00102911" w:rsidRPr="00C705CD" w:rsidRDefault="00102911" w:rsidP="00D27C61">
      <w:pPr>
        <w:spacing w:after="0" w:line="240" w:lineRule="auto"/>
        <w:ind w:left="284" w:hanging="284"/>
        <w:jc w:val="both"/>
        <w:rPr>
          <w:rFonts w:eastAsia="Times New Roman" w:cstheme="minorHAnsi"/>
          <w:bCs/>
          <w:sz w:val="20"/>
          <w:szCs w:val="20"/>
        </w:rPr>
      </w:pPr>
      <w:r w:rsidRPr="00B02A1B">
        <w:rPr>
          <w:rStyle w:val="Znakapoznpodarou"/>
          <w:sz w:val="20"/>
          <w:szCs w:val="20"/>
        </w:rPr>
        <w:footnoteRef/>
      </w:r>
      <w:r w:rsidRPr="00B02A1B">
        <w:rPr>
          <w:sz w:val="20"/>
          <w:szCs w:val="20"/>
        </w:rPr>
        <w:tab/>
      </w:r>
      <w:r w:rsidRPr="00C705CD">
        <w:rPr>
          <w:sz w:val="20"/>
          <w:szCs w:val="20"/>
        </w:rPr>
        <w:t xml:space="preserve">Kontrolní akce č. 13/07 </w:t>
      </w:r>
      <w:r w:rsidRPr="00C705CD">
        <w:rPr>
          <w:rFonts w:eastAsia="Times New Roman" w:cstheme="minorHAnsi"/>
          <w:bCs/>
          <w:sz w:val="20"/>
          <w:szCs w:val="20"/>
        </w:rPr>
        <w:t xml:space="preserve">– </w:t>
      </w:r>
      <w:r w:rsidRPr="00B02A1B">
        <w:rPr>
          <w:rFonts w:eastAsia="Times New Roman" w:cstheme="minorHAnsi"/>
          <w:bCs/>
          <w:i/>
          <w:sz w:val="20"/>
          <w:szCs w:val="20"/>
        </w:rPr>
        <w:t>Majetek a peněžní prostředky státu, se kterými je příslušné hospodařit Ministerstvo životního prostředí</w:t>
      </w:r>
      <w:r w:rsidRPr="00C705CD">
        <w:rPr>
          <w:rFonts w:eastAsia="Times New Roman" w:cstheme="minorHAnsi"/>
          <w:bCs/>
          <w:sz w:val="20"/>
          <w:szCs w:val="20"/>
        </w:rPr>
        <w:t xml:space="preserve"> (kontrolní závěr byl zveřejněn v částce 1/2014 </w:t>
      </w:r>
      <w:r w:rsidRPr="00C705CD">
        <w:rPr>
          <w:rFonts w:eastAsia="Times New Roman" w:cstheme="minorHAnsi"/>
          <w:bCs/>
          <w:i/>
          <w:sz w:val="20"/>
          <w:szCs w:val="20"/>
        </w:rPr>
        <w:t>Věstníku NKÚ</w:t>
      </w:r>
      <w:r w:rsidRPr="00C705CD">
        <w:rPr>
          <w:rFonts w:eastAsia="Times New Roman" w:cstheme="minorHAnsi"/>
          <w:bCs/>
          <w:sz w:val="20"/>
          <w:szCs w:val="20"/>
        </w:rPr>
        <w:t>).</w:t>
      </w:r>
    </w:p>
  </w:footnote>
  <w:footnote w:id="65">
    <w:p w:rsidR="00102911" w:rsidRPr="00C705CD" w:rsidRDefault="00102911" w:rsidP="009E492D">
      <w:pPr>
        <w:tabs>
          <w:tab w:val="left" w:pos="284"/>
        </w:tabs>
        <w:spacing w:after="0" w:line="240" w:lineRule="auto"/>
        <w:ind w:left="284" w:hanging="284"/>
        <w:jc w:val="both"/>
        <w:rPr>
          <w:rFonts w:eastAsia="Times New Roman" w:cstheme="minorHAnsi"/>
          <w:bCs/>
          <w:sz w:val="20"/>
          <w:szCs w:val="20"/>
        </w:rPr>
      </w:pPr>
      <w:r w:rsidRPr="00B02A1B">
        <w:rPr>
          <w:rStyle w:val="Znakapoznpodarou"/>
          <w:sz w:val="20"/>
          <w:szCs w:val="20"/>
        </w:rPr>
        <w:footnoteRef/>
      </w:r>
      <w:r w:rsidRPr="00B02A1B">
        <w:rPr>
          <w:sz w:val="20"/>
          <w:szCs w:val="20"/>
        </w:rPr>
        <w:tab/>
      </w:r>
      <w:r w:rsidRPr="00C705CD">
        <w:rPr>
          <w:rFonts w:eastAsia="Times New Roman" w:cstheme="minorHAnsi"/>
          <w:bCs/>
          <w:sz w:val="20"/>
          <w:szCs w:val="20"/>
        </w:rPr>
        <w:t>V případě § 18 odst. 2 zákona o účetnictví se jedná o ustanovení zvláštního právního předpisu. Obecným právním předpisem je zákon č.</w:t>
      </w:r>
      <w:r w:rsidRPr="00C705CD">
        <w:rPr>
          <w:rFonts w:cstheme="minorHAnsi"/>
          <w:sz w:val="20"/>
          <w:szCs w:val="20"/>
        </w:rPr>
        <w:t xml:space="preserve"> </w:t>
      </w:r>
      <w:r w:rsidRPr="00C705CD">
        <w:rPr>
          <w:rFonts w:eastAsia="Times New Roman" w:cstheme="minorHAnsi"/>
          <w:bCs/>
          <w:sz w:val="20"/>
          <w:szCs w:val="20"/>
        </w:rPr>
        <w:t xml:space="preserve">219/2000 Sb., o majetku České republiky a jejím vystupování v právních vztazích, který v ustanovení § 7 odst. 2 umožňuje vedoucímu organizační složky státu pro některé právní úkony písemně pověřit jednáním jiného vedoucího zaměstnance dané organizační složky státu. V případech, kdy je jeden právní předpis ve vztahu speciality k jinému právnímu předpisu, je při jejich aplikaci nutno postupovat dle právní zásady, která stanoví, že v případě vzájemného rozporu má ustanovení zvláštního zákona přednost před ustanovením zákona obecného. </w:t>
      </w:r>
    </w:p>
  </w:footnote>
  <w:footnote w:id="66">
    <w:p w:rsidR="00102911" w:rsidRDefault="00102911" w:rsidP="00D27C61">
      <w:pPr>
        <w:pStyle w:val="Textpoznpodarou"/>
        <w:ind w:left="284" w:hanging="284"/>
        <w:jc w:val="both"/>
      </w:pPr>
      <w:r>
        <w:rPr>
          <w:rStyle w:val="Znakapoznpodarou"/>
        </w:rPr>
        <w:footnoteRef/>
      </w:r>
      <w:r>
        <w:tab/>
        <w:t xml:space="preserve">MŽP v této věci žádalo stanovisko Ministerstvo financí. Z dokumentace předložené v průběhu kontroly lze vyvozovat, že Ministerstvo financí připouštělo možnost, aby se tyto peněžní prostředky staly mimorozpočtovými zdroji pouze podmíněně, tj. při splnění určitých podmínek. Tyto podmínky explicitně nepopsalo a z obsahu doložené dokumentace plyne, že k žádnému dodatečnému stanovení nových podmínek po době, kdy Ministerstvo financí k věci zaujalo toto stanovisko, nedošlo. K právní povaze dodatku </w:t>
      </w:r>
      <w:proofErr w:type="gramStart"/>
      <w:r>
        <w:t>č. 2 Ministerstvo</w:t>
      </w:r>
      <w:proofErr w:type="gramEnd"/>
      <w:r>
        <w:t xml:space="preserve"> financí uvádí, že se jedná o tzv. „resortní smlouvu“. Tento pojem právní řád České republiky nezná a nijak ho nevymezuje. MŽP v této věci žádalo o stanovisko i Ministerstvo zahraničních věcí. Z dokumentace předložené v průběhu kontroly je zřejmé, že memorandum ani jeho dodatek č. 1 Ministerstvo zahraničních věcí nepovažovalo za dokumenty mezinárodní povahy a ani dodatek č. 2 nepovažovalo za mezinárodní smlouvu, ale za </w:t>
      </w:r>
      <w:proofErr w:type="spellStart"/>
      <w:r>
        <w:t>technicko-organizační</w:t>
      </w:r>
      <w:proofErr w:type="spellEnd"/>
      <w:r>
        <w:t xml:space="preserve"> ujednání.</w:t>
      </w:r>
    </w:p>
  </w:footnote>
  <w:footnote w:id="67">
    <w:p w:rsidR="00102911" w:rsidRDefault="00102911" w:rsidP="00D27C61">
      <w:pPr>
        <w:pStyle w:val="Textpoznpodarou"/>
        <w:ind w:left="284" w:hanging="284"/>
        <w:jc w:val="both"/>
      </w:pPr>
      <w:r>
        <w:rPr>
          <w:rStyle w:val="Znakapoznpodarou"/>
        </w:rPr>
        <w:footnoteRef/>
      </w:r>
      <w:r>
        <w:tab/>
        <w:t>Z předložené dokumentace vyplývá, že Ministerstvo financí doporučilo MŽP, aby vládě předložilo ke schválení materiál, který by definoval principy využívání těchto prostředků, což však MŽP neučinilo.</w:t>
      </w:r>
    </w:p>
  </w:footnote>
  <w:footnote w:id="68">
    <w:p w:rsidR="00102911" w:rsidRDefault="00102911" w:rsidP="00D27C61">
      <w:pPr>
        <w:pStyle w:val="Textpoznpodarou"/>
        <w:ind w:left="284" w:hanging="284"/>
      </w:pPr>
      <w:r>
        <w:rPr>
          <w:rStyle w:val="Znakapoznpodarou"/>
        </w:rPr>
        <w:footnoteRef/>
      </w:r>
      <w:r>
        <w:tab/>
        <w:t>Půjčka byla poskytnuta v roce 2009 ve prospěch veřejné výzkumné instituce a byla splacena v roce 2010.</w:t>
      </w:r>
    </w:p>
  </w:footnote>
  <w:footnote w:id="69">
    <w:p w:rsidR="00102911" w:rsidRDefault="00102911" w:rsidP="00D27C61">
      <w:pPr>
        <w:pStyle w:val="Textpoznpodarou"/>
        <w:ind w:left="284" w:hanging="284"/>
      </w:pPr>
      <w:r>
        <w:rPr>
          <w:rStyle w:val="Znakapoznpodarou"/>
        </w:rPr>
        <w:footnoteRef/>
      </w:r>
      <w:r>
        <w:tab/>
        <w:t>Prostředky použité na technickou asistenci byly převáděny na účet rezervního fondu a z něj čerpány.</w:t>
      </w:r>
    </w:p>
  </w:footnote>
  <w:footnote w:id="70">
    <w:p w:rsidR="00102911" w:rsidRDefault="00102911" w:rsidP="00D27C61">
      <w:pPr>
        <w:pStyle w:val="Textpoznpodarou"/>
        <w:ind w:left="284" w:hanging="284"/>
        <w:jc w:val="both"/>
      </w:pPr>
      <w:r>
        <w:rPr>
          <w:rStyle w:val="Znakapoznpodarou"/>
        </w:rPr>
        <w:footnoteRef/>
      </w:r>
      <w:r>
        <w:tab/>
        <w:t>Z bankovních výpisů např. za měsíc únor 2013 vyplývá, že MŽP poskytlo 81 plateb charakteru grantu, přijalo vratku prostředků a uhradilo bankovní poplatky. O těchto platbách účtovalo MŽP jednou částkou jako o změně stavu peněžních prostředků.</w:t>
      </w:r>
    </w:p>
  </w:footnote>
  <w:footnote w:id="71">
    <w:p w:rsidR="00102911" w:rsidRDefault="00102911" w:rsidP="00D27C61">
      <w:pPr>
        <w:pStyle w:val="Textpoznpodarou"/>
        <w:ind w:left="284" w:hanging="284"/>
        <w:jc w:val="both"/>
      </w:pPr>
      <w:r>
        <w:rPr>
          <w:rStyle w:val="Znakapoznpodarou"/>
        </w:rPr>
        <w:footnoteRef/>
      </w:r>
      <w:r>
        <w:tab/>
        <w:t>Nařízení Rady (ES) č. 1085/2006 ze dne 17. července 2006, kterým se zřizuje nástroj předvstupní pomoci (NPP).</w:t>
      </w:r>
    </w:p>
  </w:footnote>
  <w:footnote w:id="72">
    <w:p w:rsidR="00102911" w:rsidRDefault="00102911" w:rsidP="00D27C61">
      <w:pPr>
        <w:pStyle w:val="Textpoznpodarou"/>
        <w:ind w:left="284" w:hanging="284"/>
        <w:jc w:val="both"/>
      </w:pPr>
      <w:r>
        <w:rPr>
          <w:rStyle w:val="Znakapoznpodarou"/>
        </w:rPr>
        <w:footnoteRef/>
      </w:r>
      <w:r>
        <w:tab/>
        <w:t>Nařízení Komise (ES) č. 718/2007 ze dne 12. června 2007, kterým se provádí nařízení Rady (ES) č. 1085/2006, kterým se zřizuje nástroj předvstupní pomoci (NPP).</w:t>
      </w:r>
    </w:p>
  </w:footnote>
  <w:footnote w:id="73">
    <w:p w:rsidR="00102911" w:rsidRDefault="00102911" w:rsidP="00D27C61">
      <w:pPr>
        <w:pStyle w:val="Textpoznpodarou"/>
        <w:ind w:left="284" w:hanging="284"/>
        <w:jc w:val="both"/>
      </w:pPr>
      <w:r>
        <w:rPr>
          <w:rStyle w:val="Znakapoznpodarou"/>
        </w:rPr>
        <w:footnoteRef/>
      </w:r>
      <w:r>
        <w:tab/>
        <w:t>Z bankovních výpisů např. za měsíc červenec 2013 vyplývá, že MŽP z bankovního účtu provedlo jeden výběr hotovosti, realizovalo dvě odchozí platby, přijalo jednu platbu a uhradilo bankovní poplatky. O těchto platbách účtovalo MŽP jednou částkou jako o změně stavu peněžních prostředků.</w:t>
      </w:r>
    </w:p>
  </w:footnote>
  <w:footnote w:id="74">
    <w:p w:rsidR="00102911" w:rsidRPr="00D45C92" w:rsidRDefault="00102911" w:rsidP="00D27C61">
      <w:pPr>
        <w:pStyle w:val="Textpoznpodarou"/>
        <w:ind w:left="284" w:right="-142" w:hanging="284"/>
        <w:jc w:val="both"/>
        <w:rPr>
          <w:sz w:val="18"/>
        </w:rPr>
      </w:pPr>
      <w:r>
        <w:rPr>
          <w:rStyle w:val="Znakapoznpodarou"/>
        </w:rPr>
        <w:footnoteRef/>
      </w:r>
      <w:r w:rsidR="00B27A86">
        <w:tab/>
        <w:t>Viz </w:t>
      </w:r>
      <w:r w:rsidRPr="003C6E1A">
        <w:t>http://www.mfcr.cz/cs/verejny-sektor/monitoring/financni-parametry-vykonnosti/kan-provozni-nakladovost</w:t>
      </w:r>
      <w:r>
        <w:t>.</w:t>
      </w:r>
    </w:p>
  </w:footnote>
  <w:footnote w:id="75">
    <w:p w:rsidR="00102911" w:rsidRDefault="00102911" w:rsidP="00D27C61">
      <w:pPr>
        <w:pStyle w:val="Textpoznpodarou"/>
        <w:ind w:left="284" w:right="-142" w:hanging="284"/>
        <w:jc w:val="both"/>
      </w:pPr>
      <w:r>
        <w:rPr>
          <w:rStyle w:val="Znakapoznpodarou"/>
        </w:rPr>
        <w:footnoteRef/>
      </w:r>
      <w:r w:rsidR="00B27A86">
        <w:tab/>
        <w:t>Viz </w:t>
      </w:r>
      <w:r w:rsidRPr="001F65BE">
        <w:t>http://www.mfcr.cz/cs/verejny-sektor/regulace/ucetni-reforma-verejnych-financi-ucetnic/ucetni-vykaznictvi-statu/pokyny-a-sdeleni/2014/seminar--prezentace-klicovych-analyticky-17319</w:t>
      </w:r>
      <w:r>
        <w:t>.</w:t>
      </w:r>
    </w:p>
  </w:footnote>
  <w:footnote w:id="76">
    <w:p w:rsidR="00102911" w:rsidRPr="00F728C3" w:rsidRDefault="00102911" w:rsidP="00D27C61">
      <w:pPr>
        <w:pStyle w:val="Textpoznpodarou"/>
        <w:ind w:left="284" w:right="-142" w:hanging="284"/>
        <w:jc w:val="both"/>
        <w:rPr>
          <w:sz w:val="18"/>
        </w:rPr>
      </w:pPr>
      <w:r>
        <w:rPr>
          <w:rStyle w:val="Znakapoznpodarou"/>
        </w:rPr>
        <w:footnoteRef/>
      </w:r>
      <w:r w:rsidR="00A17BDB">
        <w:tab/>
        <w:t>Viz </w:t>
      </w:r>
      <w:hyperlink r:id="rId5" w:history="1">
        <w:r w:rsidRPr="005A614A">
          <w:rPr>
            <w:rStyle w:val="Hypertextovodkaz"/>
            <w:color w:val="auto"/>
            <w:u w:val="none"/>
          </w:rPr>
          <w:t>http://www.mfcr.cz/cs/verejny-sektor/monitoring/financni-parametry-vykonnosti/kan-provozni-nakladovost</w:t>
        </w:r>
      </w:hyperlink>
      <w:r>
        <w:rPr>
          <w:rStyle w:val="Hypertextovodkaz"/>
          <w:color w:val="auto"/>
          <w:u w:val="none"/>
        </w:rPr>
        <w:t>.</w:t>
      </w:r>
      <w:r w:rsidRPr="00BF21B0">
        <w:t xml:space="preserve"> </w:t>
      </w:r>
    </w:p>
  </w:footnote>
  <w:footnote w:id="77">
    <w:p w:rsidR="00102911" w:rsidRDefault="00102911" w:rsidP="009E492D">
      <w:pPr>
        <w:pStyle w:val="Textpoznpodarou"/>
        <w:ind w:left="284" w:hanging="284"/>
      </w:pPr>
      <w:r>
        <w:rPr>
          <w:rStyle w:val="Znakapoznpodarou"/>
        </w:rPr>
        <w:footnoteRef/>
      </w:r>
      <w:r>
        <w:tab/>
        <w:t xml:space="preserve">Viz usnesení vlády České republiky ze dne 23. října 2013 č. 798, </w:t>
      </w:r>
      <w:r w:rsidRPr="00B02A1B">
        <w:rPr>
          <w:i/>
        </w:rPr>
        <w:t>k dalšímu zapojení výkonových ukazatelů do rozpočtového procesu</w:t>
      </w:r>
      <w:r>
        <w:t>.</w:t>
      </w:r>
    </w:p>
  </w:footnote>
  <w:footnote w:id="78">
    <w:p w:rsidR="00102911" w:rsidRDefault="00102911" w:rsidP="00D27C61">
      <w:pPr>
        <w:pStyle w:val="Textpoznpodarou"/>
        <w:ind w:left="284" w:hanging="284"/>
        <w:jc w:val="both"/>
      </w:pPr>
      <w:r>
        <w:rPr>
          <w:rStyle w:val="Znakapoznpodarou"/>
        </w:rPr>
        <w:footnoteRef/>
      </w:r>
      <w:r>
        <w:tab/>
        <w:t>Hladina významnosti pro účetní závěrku jako celek byla stanovena – v souladu s dlouhodobě uplatňovaným postupem NKÚ pro posuzování spolehlivosti účetních závěrek organizačních složek státu vycházejícím z mezinárodně uznávané nejlepší praxe – na úrovni cca 2 % z celkových nákladů MŽP vykázaných k 31. prosinci 2013.</w:t>
      </w:r>
    </w:p>
  </w:footnote>
  <w:footnote w:id="79">
    <w:p w:rsidR="00102911" w:rsidRDefault="00102911" w:rsidP="00D27C61">
      <w:pPr>
        <w:pStyle w:val="Textpoznpodarou"/>
        <w:ind w:left="284" w:hanging="284"/>
      </w:pPr>
      <w:r>
        <w:rPr>
          <w:rStyle w:val="Znakapoznpodarou"/>
        </w:rPr>
        <w:footnoteRef/>
      </w:r>
      <w:r>
        <w:tab/>
        <w:t>Viz část II. tohoto kontrolního závěru.</w:t>
      </w:r>
    </w:p>
  </w:footnote>
  <w:footnote w:id="80">
    <w:p w:rsidR="00102911" w:rsidRDefault="00102911" w:rsidP="00D27C61">
      <w:pPr>
        <w:pStyle w:val="Textpoznpodarou"/>
        <w:ind w:left="284" w:hanging="284"/>
        <w:jc w:val="both"/>
      </w:pPr>
      <w:r>
        <w:rPr>
          <w:rStyle w:val="Znakapoznpodarou"/>
        </w:rPr>
        <w:footnoteRef/>
      </w:r>
      <w:r>
        <w:tab/>
        <w:t xml:space="preserve">Oblast transferů spolufinancovaných z rozpočtu EU a poskytovaných příjemci formou předfinancování, které mají být následně kryty z rozpočtu EU, je s účinností od 1. ledna 2015 nově upravena vyhláškami č. 473/2013 Sb. a č. 301/2014 Sb., </w:t>
      </w:r>
      <w:r w:rsidRPr="00B02A1B">
        <w:t>kterými se mění vyhláška č. 410/2009 Sb., kterou se provádějí některá ustanovení zákona č. 563/1991 Sb., o účetnictví, ve znění pozdějších předpisů pro některé vybrané účetní jednotky</w:t>
      </w:r>
      <w:r>
        <w:t>,</w:t>
      </w:r>
      <w:r w:rsidRPr="00A751DB">
        <w:t xml:space="preserve"> </w:t>
      </w:r>
      <w:r>
        <w:t xml:space="preserve">a dále ČÚS č. 703 zveřejněným ve </w:t>
      </w:r>
      <w:r w:rsidRPr="00B02A1B">
        <w:rPr>
          <w:i/>
        </w:rPr>
        <w:t>Finančním zpravodaji</w:t>
      </w:r>
      <w:r>
        <w:t xml:space="preserve"> č. 5 dne 19. prosince 2014.</w:t>
      </w:r>
    </w:p>
  </w:footnote>
  <w:footnote w:id="81">
    <w:p w:rsidR="00102911" w:rsidRDefault="00102911" w:rsidP="00D27C61">
      <w:pPr>
        <w:pStyle w:val="Textpoznpodarou"/>
        <w:ind w:left="284" w:hanging="284"/>
        <w:jc w:val="both"/>
      </w:pPr>
      <w:r>
        <w:rPr>
          <w:rStyle w:val="Znakapoznpodarou"/>
        </w:rPr>
        <w:footnoteRef/>
      </w:r>
      <w:r>
        <w:tab/>
        <w:t xml:space="preserve">Návrh ústavního zákona o rozpočtové odpovědnosti (viz </w:t>
      </w:r>
      <w:r w:rsidRPr="0013600E">
        <w:t>https://apps.odok.cz/kpl-detail?pid=KORN9KGM74YC</w:t>
      </w:r>
      <w:r>
        <w:t>) stanovuje transparentnost jako jedno ze základních pravidel při nakládání s veřejnými financemi.</w:t>
      </w:r>
    </w:p>
  </w:footnote>
  <w:footnote w:id="82">
    <w:p w:rsidR="00102911" w:rsidRDefault="00102911" w:rsidP="00D27C61">
      <w:pPr>
        <w:pStyle w:val="Textpoznpodarou"/>
        <w:ind w:left="284" w:hanging="284"/>
        <w:jc w:val="both"/>
      </w:pPr>
      <w:r>
        <w:rPr>
          <w:rStyle w:val="Znakapoznpodarou"/>
        </w:rPr>
        <w:footnoteRef/>
      </w:r>
      <w:r>
        <w:tab/>
        <w:t xml:space="preserve">Statistika v systému národních účtů zachycuje povolenky na emise skleníkových plynů jako hmotná nevyráběná aktiva (viz </w:t>
      </w:r>
      <w:r w:rsidRPr="009352F0">
        <w:t>http://www.czso.cz/csu/2012edicniplan.nsf/t/9A002AD939/$File/000112c05.pdf</w:t>
      </w:r>
      <w:r>
        <w:t>).</w:t>
      </w:r>
    </w:p>
  </w:footnote>
  <w:footnote w:id="83">
    <w:p w:rsidR="00102911" w:rsidRDefault="00102911" w:rsidP="00D27C61">
      <w:pPr>
        <w:pStyle w:val="Textpoznpodarou"/>
        <w:ind w:left="284" w:hanging="284"/>
        <w:jc w:val="both"/>
      </w:pPr>
      <w:r>
        <w:rPr>
          <w:rStyle w:val="Znakapoznpodarou"/>
        </w:rPr>
        <w:footnoteRef/>
      </w:r>
      <w:r>
        <w:tab/>
        <w:t xml:space="preserve">Tento údaj je zatížen nesprávností (podhodnocením účtu </w:t>
      </w:r>
      <w:r w:rsidRPr="000D4904">
        <w:t>015</w:t>
      </w:r>
      <w:r>
        <w:rPr>
          <w:i/>
        </w:rPr>
        <w:t> </w:t>
      </w:r>
      <w:r>
        <w:t xml:space="preserve">– </w:t>
      </w:r>
      <w:r w:rsidRPr="003B6ADF">
        <w:rPr>
          <w:i/>
        </w:rPr>
        <w:t>Povolenky na emise</w:t>
      </w:r>
      <w:r>
        <w:rPr>
          <w:i/>
        </w:rPr>
        <w:t xml:space="preserve"> a preferenční limity</w:t>
      </w:r>
      <w:r>
        <w:t>) ve výši 190 809 689,38 Kč v důsledku přecenění na reálnou hodnotu i bezplatných povolenek, které nejsou určeny k prodeji.</w:t>
      </w:r>
    </w:p>
  </w:footnote>
  <w:footnote w:id="84">
    <w:p w:rsidR="00102911" w:rsidRDefault="00102911" w:rsidP="00EE58BB">
      <w:pPr>
        <w:pStyle w:val="Textpoznpodarou"/>
        <w:ind w:left="244" w:hanging="244"/>
        <w:jc w:val="both"/>
      </w:pPr>
      <w:r>
        <w:rPr>
          <w:rStyle w:val="Znakapoznpodarou"/>
        </w:rPr>
        <w:footnoteRef/>
      </w:r>
      <w:r>
        <w:tab/>
        <w:t xml:space="preserve">Na tržní cenu povolenek má kromě jiného vliv i případná změna harmonogramu dražeb povolenek, tzv. </w:t>
      </w:r>
      <w:proofErr w:type="spellStart"/>
      <w:r>
        <w:t>backloading</w:t>
      </w:r>
      <w:proofErr w:type="spellEnd"/>
      <w:r>
        <w:t xml:space="preserve">. Jde o opatření Komise reagující na množství povolenek v oběhu v rámci EU ETS. Rozsah uplatnění </w:t>
      </w:r>
      <w:proofErr w:type="spellStart"/>
      <w:r>
        <w:t>backloadingu</w:t>
      </w:r>
      <w:proofErr w:type="spellEnd"/>
      <w:r>
        <w:t xml:space="preserve"> je nyní určen nařízením Komise (EU) č. 176/2014 ze dne 25. února 2014, kterým se mění nařízení (EU) č. 1031/2010, a to zejména s cílem stanovit objem povolenek, které se mají dražit v období 2013–2020. S účinností od 27. února 2014 je tak platná změna, která spočívá ve stažení 400 mil. povolenek z dražeb v roce 2014, 300 mil. povolenek z dražeb v roce 2015 a 200 mil. povolenek z dražeb v roce 2016. O 300 mil. takto stažených povolenek pak bude navýšeno dražené množství v </w:t>
      </w:r>
      <w:r w:rsidR="00E761C9">
        <w:t>roce 2019 a o </w:t>
      </w:r>
      <w:r>
        <w:t>zbylých 600 mil. povolenek v roce 2020. Tato změna reagovala na přebytek povolenek v oběhu v EU ETS, který snižoval cenu povolenek na trhu.</w:t>
      </w:r>
    </w:p>
  </w:footnote>
  <w:footnote w:id="85">
    <w:p w:rsidR="00102911" w:rsidRDefault="00102911" w:rsidP="00EE58BB">
      <w:pPr>
        <w:pStyle w:val="Textpoznpodarou"/>
        <w:ind w:left="244" w:hanging="244"/>
        <w:jc w:val="both"/>
      </w:pPr>
      <w:r>
        <w:rPr>
          <w:rStyle w:val="Znakapoznpodarou"/>
        </w:rPr>
        <w:footnoteRef/>
      </w:r>
      <w:r>
        <w:tab/>
      </w:r>
      <w:r w:rsidRPr="008D2DF3">
        <w:t>R</w:t>
      </w:r>
      <w:r w:rsidRPr="008D2DF3">
        <w:rPr>
          <w:rFonts w:eastAsia="Times New Roman" w:cstheme="minorHAnsi"/>
          <w:bCs/>
          <w:iCs/>
        </w:rPr>
        <w:t xml:space="preserve">ozdíl z ocenění povolenek reálnou hodnotou k datu účetní závěrky nevykázalo MŽP v důsledku nesprávného účtování na účtu 407 – </w:t>
      </w:r>
      <w:r w:rsidRPr="008D2DF3">
        <w:rPr>
          <w:rFonts w:eastAsia="Times New Roman" w:cstheme="minorHAnsi"/>
          <w:bCs/>
          <w:i/>
          <w:iCs/>
        </w:rPr>
        <w:t>Jiné oceňovací rozdíly</w:t>
      </w:r>
      <w:r w:rsidRPr="008D2DF3">
        <w:rPr>
          <w:rFonts w:eastAsia="Times New Roman" w:cstheme="minorHAnsi"/>
          <w:bCs/>
          <w:iCs/>
        </w:rPr>
        <w:t xml:space="preserve">, ale </w:t>
      </w:r>
      <w:r>
        <w:rPr>
          <w:rFonts w:eastAsia="Times New Roman" w:cstheme="minorHAnsi"/>
          <w:bCs/>
          <w:iCs/>
        </w:rPr>
        <w:t xml:space="preserve">vykázalo jej </w:t>
      </w:r>
      <w:r w:rsidRPr="008D2DF3">
        <w:rPr>
          <w:rFonts w:eastAsia="Times New Roman" w:cstheme="minorHAnsi"/>
          <w:bCs/>
          <w:iCs/>
        </w:rPr>
        <w:t xml:space="preserve">jako součást </w:t>
      </w:r>
      <w:r>
        <w:rPr>
          <w:rFonts w:eastAsia="Times New Roman" w:cstheme="minorHAnsi"/>
          <w:bCs/>
          <w:iCs/>
        </w:rPr>
        <w:t>v</w:t>
      </w:r>
      <w:r w:rsidRPr="008D2DF3">
        <w:rPr>
          <w:rFonts w:eastAsia="Times New Roman" w:cstheme="minorHAnsi"/>
          <w:bCs/>
          <w:iCs/>
        </w:rPr>
        <w:t>ýsledku</w:t>
      </w:r>
      <w:r>
        <w:rPr>
          <w:rFonts w:eastAsia="Times New Roman" w:cstheme="minorHAnsi"/>
          <w:bCs/>
          <w:iCs/>
        </w:rPr>
        <w:t xml:space="preserve"> hospodaření</w:t>
      </w:r>
      <w:r w:rsidRPr="008D2DF3">
        <w:rPr>
          <w:rFonts w:eastAsia="Times New Roman" w:cstheme="minorHAnsi"/>
          <w:bCs/>
          <w:iCs/>
        </w:rPr>
        <w:t xml:space="preserve"> za běžné </w:t>
      </w:r>
      <w:r>
        <w:rPr>
          <w:rFonts w:eastAsia="Times New Roman" w:cstheme="minorHAnsi"/>
          <w:bCs/>
          <w:iCs/>
        </w:rPr>
        <w:t xml:space="preserve">účetní </w:t>
      </w:r>
      <w:r w:rsidRPr="008D2DF3">
        <w:rPr>
          <w:rFonts w:eastAsia="Times New Roman" w:cstheme="minorHAnsi"/>
          <w:bCs/>
          <w:iCs/>
        </w:rPr>
        <w:t>období.</w:t>
      </w:r>
    </w:p>
  </w:footnote>
  <w:footnote w:id="86">
    <w:p w:rsidR="00102911" w:rsidRPr="003B6ADF" w:rsidRDefault="00102911" w:rsidP="00EE58BB">
      <w:pPr>
        <w:spacing w:after="0" w:line="240" w:lineRule="auto"/>
        <w:ind w:left="284" w:hanging="284"/>
        <w:jc w:val="both"/>
        <w:rPr>
          <w:rFonts w:eastAsia="Times New Roman" w:cstheme="minorHAnsi"/>
          <w:bCs/>
          <w:iCs/>
          <w:sz w:val="20"/>
          <w:szCs w:val="20"/>
        </w:rPr>
      </w:pPr>
      <w:r w:rsidRPr="001D3168">
        <w:rPr>
          <w:rStyle w:val="Znakapoznpodarou"/>
          <w:sz w:val="20"/>
          <w:szCs w:val="20"/>
        </w:rPr>
        <w:footnoteRef/>
      </w:r>
      <w:r>
        <w:tab/>
      </w:r>
      <w:r w:rsidRPr="003021EC">
        <w:rPr>
          <w:rFonts w:eastAsia="Times New Roman" w:cstheme="minorHAnsi"/>
          <w:bCs/>
          <w:iCs/>
          <w:sz w:val="20"/>
          <w:szCs w:val="20"/>
        </w:rPr>
        <w:t>Z prodeje povolenek byl</w:t>
      </w:r>
      <w:r>
        <w:rPr>
          <w:rFonts w:eastAsia="Times New Roman" w:cstheme="minorHAnsi"/>
          <w:bCs/>
          <w:iCs/>
          <w:sz w:val="20"/>
          <w:szCs w:val="20"/>
        </w:rPr>
        <w:t>a</w:t>
      </w:r>
      <w:r w:rsidRPr="003021EC">
        <w:rPr>
          <w:rFonts w:eastAsia="Times New Roman" w:cstheme="minorHAnsi"/>
          <w:bCs/>
          <w:iCs/>
          <w:sz w:val="20"/>
          <w:szCs w:val="20"/>
        </w:rPr>
        <w:t xml:space="preserve"> za rok 2013 vykázán</w:t>
      </w:r>
      <w:r>
        <w:rPr>
          <w:rFonts w:eastAsia="Times New Roman" w:cstheme="minorHAnsi"/>
          <w:bCs/>
          <w:iCs/>
          <w:sz w:val="20"/>
          <w:szCs w:val="20"/>
        </w:rPr>
        <w:t>a</w:t>
      </w:r>
      <w:r w:rsidRPr="003021EC">
        <w:rPr>
          <w:rFonts w:eastAsia="Times New Roman" w:cstheme="minorHAnsi"/>
          <w:bCs/>
          <w:iCs/>
          <w:sz w:val="20"/>
          <w:szCs w:val="20"/>
        </w:rPr>
        <w:t xml:space="preserve"> u MŽP </w:t>
      </w:r>
      <w:r>
        <w:rPr>
          <w:rFonts w:eastAsia="Times New Roman" w:cstheme="minorHAnsi"/>
          <w:bCs/>
          <w:iCs/>
          <w:sz w:val="20"/>
          <w:szCs w:val="20"/>
        </w:rPr>
        <w:t>ztráta,</w:t>
      </w:r>
      <w:r w:rsidRPr="003021EC">
        <w:rPr>
          <w:rFonts w:eastAsia="Times New Roman" w:cstheme="minorHAnsi"/>
          <w:bCs/>
          <w:iCs/>
          <w:sz w:val="20"/>
          <w:szCs w:val="20"/>
        </w:rPr>
        <w:t xml:space="preserve"> a to v důsledku změny reálné hodnoty povolenek v průběhu roku 2013. Nesprávným účtováním MŽP se součástí výsledku</w:t>
      </w:r>
      <w:r>
        <w:rPr>
          <w:rFonts w:eastAsia="Times New Roman" w:cstheme="minorHAnsi"/>
          <w:bCs/>
          <w:iCs/>
          <w:sz w:val="20"/>
          <w:szCs w:val="20"/>
        </w:rPr>
        <w:t xml:space="preserve"> hospodaření</w:t>
      </w:r>
      <w:r w:rsidRPr="003021EC">
        <w:rPr>
          <w:rFonts w:eastAsia="Times New Roman" w:cstheme="minorHAnsi"/>
          <w:bCs/>
          <w:iCs/>
          <w:sz w:val="20"/>
          <w:szCs w:val="20"/>
        </w:rPr>
        <w:t xml:space="preserve"> za rok 2013 staly i náklady z přecenění reálnou hodnotou, které měly být účtovány až </w:t>
      </w:r>
      <w:r>
        <w:rPr>
          <w:rFonts w:eastAsia="Times New Roman" w:cstheme="minorHAnsi"/>
          <w:bCs/>
          <w:iCs/>
          <w:sz w:val="20"/>
          <w:szCs w:val="20"/>
        </w:rPr>
        <w:t>v následujícím účetním období k </w:t>
      </w:r>
      <w:r w:rsidRPr="003021EC">
        <w:rPr>
          <w:rFonts w:eastAsia="Times New Roman" w:cstheme="minorHAnsi"/>
          <w:bCs/>
          <w:iCs/>
          <w:sz w:val="20"/>
          <w:szCs w:val="20"/>
        </w:rPr>
        <w:t>okamžiku prodeje.</w:t>
      </w:r>
      <w:r w:rsidRPr="008D2DF3">
        <w:rPr>
          <w:rFonts w:eastAsia="Times New Roman" w:cstheme="minorHAnsi"/>
          <w:bCs/>
          <w:iCs/>
          <w:sz w:val="20"/>
          <w:szCs w:val="20"/>
        </w:rPr>
        <w:t xml:space="preserve">  </w:t>
      </w:r>
    </w:p>
  </w:footnote>
  <w:footnote w:id="87">
    <w:p w:rsidR="00102911" w:rsidRDefault="00102911" w:rsidP="003B6ADF">
      <w:pPr>
        <w:pStyle w:val="Textpoznpodarou"/>
        <w:ind w:left="284" w:hanging="284"/>
        <w:jc w:val="both"/>
      </w:pPr>
      <w:r>
        <w:rPr>
          <w:rStyle w:val="Znakapoznpodarou"/>
        </w:rPr>
        <w:footnoteRef/>
      </w:r>
      <w:r>
        <w:tab/>
        <w:t>Za rok</w:t>
      </w:r>
      <w:r w:rsidRPr="008D2DF3">
        <w:rPr>
          <w:rFonts w:eastAsia="Times New Roman" w:cstheme="minorHAnsi"/>
          <w:bCs/>
          <w:iCs/>
        </w:rPr>
        <w:t xml:space="preserve"> 2014 bude v účetní závěrce MŽP vykázána ztráta</w:t>
      </w:r>
      <w:r>
        <w:rPr>
          <w:rFonts w:eastAsia="Times New Roman" w:cstheme="minorHAnsi"/>
          <w:bCs/>
          <w:iCs/>
        </w:rPr>
        <w:t xml:space="preserve"> i</w:t>
      </w:r>
      <w:r w:rsidRPr="008D2DF3">
        <w:rPr>
          <w:rFonts w:eastAsia="Times New Roman" w:cstheme="minorHAnsi"/>
          <w:bCs/>
          <w:iCs/>
        </w:rPr>
        <w:t xml:space="preserve"> z </w:t>
      </w:r>
      <w:r>
        <w:rPr>
          <w:rFonts w:eastAsia="Times New Roman" w:cstheme="minorHAnsi"/>
          <w:bCs/>
          <w:iCs/>
        </w:rPr>
        <w:t>titulu</w:t>
      </w:r>
      <w:r w:rsidRPr="008D2DF3">
        <w:rPr>
          <w:rFonts w:eastAsia="Times New Roman" w:cstheme="minorHAnsi"/>
          <w:bCs/>
          <w:iCs/>
        </w:rPr>
        <w:t xml:space="preserve"> přidělení bezplatných povolenek jednotlivým provozovatelům zařízení</w:t>
      </w:r>
      <w:r>
        <w:rPr>
          <w:rFonts w:eastAsia="Times New Roman" w:cstheme="minorHAnsi"/>
          <w:bCs/>
          <w:iCs/>
        </w:rPr>
        <w:t>. Vyřazení bezplatných povolenek z majetku účtuje MŽP při převodu jednotlivým provozovatelům, v souladu s doporučením MF,</w:t>
      </w:r>
      <w:r>
        <w:t xml:space="preserve"> na účet 543 – </w:t>
      </w:r>
      <w:r w:rsidRPr="006B4671">
        <w:rPr>
          <w:i/>
        </w:rPr>
        <w:t>Dary.</w:t>
      </w:r>
      <w:r>
        <w:t xml:space="preserve"> Účetní závěrka tak bude podávat informaci o tom, že stát „dává podnikatelům dary z vlastního jmění“ a tím zhoršuje svůj výsledek hospodaření. Tyto údaje budou za účetní období 2015 vstupovat do souhrnných účetních výkazů za Českou republiku.</w:t>
      </w:r>
    </w:p>
  </w:footnote>
  <w:footnote w:id="88">
    <w:p w:rsidR="00102911" w:rsidRDefault="00102911" w:rsidP="009E492D">
      <w:pPr>
        <w:pStyle w:val="Textpoznpodarou"/>
        <w:ind w:left="284" w:hanging="284"/>
      </w:pPr>
      <w:r>
        <w:rPr>
          <w:rStyle w:val="Znakapoznpodarou"/>
        </w:rPr>
        <w:footnoteRef/>
      </w:r>
      <w:r>
        <w:tab/>
        <w:t>Kladný zůstatek příjmového účtu OSS se vykazuje v pasivech se záporným znaménkem.</w:t>
      </w:r>
    </w:p>
  </w:footnote>
  <w:footnote w:id="89">
    <w:p w:rsidR="00102911" w:rsidRDefault="00102911" w:rsidP="00D27C61">
      <w:pPr>
        <w:pStyle w:val="Textpoznpodarou"/>
        <w:ind w:left="284" w:hanging="284"/>
      </w:pPr>
      <w:r>
        <w:rPr>
          <w:rStyle w:val="Znakapoznpodarou"/>
        </w:rPr>
        <w:footnoteRef/>
      </w:r>
      <w:r>
        <w:tab/>
        <w:t xml:space="preserve">Viz </w:t>
      </w:r>
      <w:r w:rsidRPr="00C45DDD">
        <w:t>http://www.ifac.org/public-sector/projects/emissions-trading-schemes</w:t>
      </w:r>
      <w:r>
        <w:t>.</w:t>
      </w:r>
    </w:p>
  </w:footnote>
  <w:footnote w:id="90">
    <w:p w:rsidR="00102911" w:rsidRDefault="00102911" w:rsidP="00D27C61">
      <w:pPr>
        <w:spacing w:after="0"/>
        <w:ind w:left="284" w:hanging="284"/>
        <w:jc w:val="both"/>
      </w:pPr>
      <w:r w:rsidRPr="00A8425D">
        <w:rPr>
          <w:rStyle w:val="Znakapoznpodarou"/>
          <w:sz w:val="20"/>
          <w:szCs w:val="20"/>
        </w:rPr>
        <w:footnoteRef/>
      </w:r>
      <w:r>
        <w:tab/>
        <w:t xml:space="preserve">Viz </w:t>
      </w:r>
      <w:hyperlink r:id="rId6" w:history="1">
        <w:r w:rsidRPr="00A8425D">
          <w:rPr>
            <w:rStyle w:val="Hypertextovodkaz"/>
            <w:color w:val="auto"/>
            <w:sz w:val="20"/>
            <w:szCs w:val="20"/>
            <w:u w:val="none"/>
          </w:rPr>
          <w:t>https://www.ifac.org/sites/default/files/meetings/files/Agenda%20Item%203%20combinedv1.pdf</w:t>
        </w:r>
      </w:hyperlink>
      <w:r>
        <w:rPr>
          <w:rStyle w:val="Hypertextovodkaz"/>
          <w:color w:val="auto"/>
          <w:sz w:val="20"/>
          <w:szCs w:val="20"/>
          <w:u w:val="none"/>
        </w:rPr>
        <w:t>.</w:t>
      </w:r>
      <w:r w:rsidRPr="00A8425D">
        <w:rPr>
          <w:rStyle w:val="Hypertextovodkaz"/>
          <w:color w:val="auto"/>
          <w:sz w:val="20"/>
          <w:szCs w:val="20"/>
          <w:u w:val="none"/>
        </w:rPr>
        <w:t xml:space="preserve"> </w:t>
      </w:r>
    </w:p>
  </w:footnote>
  <w:footnote w:id="91">
    <w:p w:rsidR="00102911" w:rsidRDefault="00102911" w:rsidP="00D27C61">
      <w:pPr>
        <w:pStyle w:val="Textpoznpodarou"/>
        <w:ind w:left="284" w:hanging="284"/>
        <w:jc w:val="both"/>
      </w:pPr>
      <w:r>
        <w:rPr>
          <w:rStyle w:val="Znakapoznpodarou"/>
        </w:rPr>
        <w:footnoteRef/>
      </w:r>
      <w:r>
        <w:tab/>
        <w:t>Administrátor je charakterizován jako subjekt, který v rámci systému obchodování s emisemi vydává povolenky.</w:t>
      </w:r>
    </w:p>
  </w:footnote>
  <w:footnote w:id="92">
    <w:p w:rsidR="00102911" w:rsidRDefault="00102911" w:rsidP="0036506D">
      <w:pPr>
        <w:pStyle w:val="Textpoznpodarou"/>
        <w:ind w:left="284" w:hanging="284"/>
      </w:pPr>
      <w:r>
        <w:rPr>
          <w:rStyle w:val="Znakapoznpodarou"/>
        </w:rPr>
        <w:footnoteRef/>
      </w:r>
      <w:r>
        <w:tab/>
      </w:r>
      <w:r w:rsidRPr="004329AD">
        <w:t>Na základě dat z </w:t>
      </w:r>
      <w:r w:rsidRPr="000D4904">
        <w:rPr>
          <w:i/>
        </w:rPr>
        <w:t>Centrálního systému účetních informací státu</w:t>
      </w:r>
      <w:r w:rsidRPr="004329AD">
        <w:t xml:space="preserve"> je tvořen i </w:t>
      </w:r>
      <w:r>
        <w:t>k</w:t>
      </w:r>
      <w:r w:rsidRPr="004329AD">
        <w:t>onvergenční program (http://www.mfcr.cz/cs/verejny-sektor/regulace/ucetni-reforma-verejnych-financi-ucetnic/ucetni-vykaznictvi-statu/pokyny-a-sdeleni/2014/prezentace-z-celostatni-financni-konfere-19909).</w:t>
      </w:r>
    </w:p>
  </w:footnote>
  <w:footnote w:id="93">
    <w:p w:rsidR="00102911" w:rsidRDefault="00102911" w:rsidP="00D27C61">
      <w:pPr>
        <w:pStyle w:val="Textpoznpodarou"/>
        <w:ind w:left="284" w:hanging="284"/>
      </w:pPr>
      <w:r>
        <w:rPr>
          <w:rStyle w:val="Znakapoznpodarou"/>
        </w:rPr>
        <w:footnoteRef/>
      </w:r>
      <w:r>
        <w:tab/>
        <w:t>Ustanovení § 33 rozpočtových pravidel.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11" w:rsidRPr="00B33461" w:rsidRDefault="00102911" w:rsidP="00116D25">
    <w:pPr>
      <w:pStyle w:val="Zhlav"/>
      <w:jc w:val="right"/>
      <w:rPr>
        <w:color w:val="FFFFFF" w:themeColor="background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911" w:rsidRPr="00B33461" w:rsidRDefault="00102911" w:rsidP="00EF58D3">
    <w:pPr>
      <w:pStyle w:val="Zhlav"/>
      <w:jc w:val="right"/>
      <w:rPr>
        <w:b/>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3B8"/>
    <w:multiLevelType w:val="hybridMultilevel"/>
    <w:tmpl w:val="5AD41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AD572F"/>
    <w:multiLevelType w:val="hybridMultilevel"/>
    <w:tmpl w:val="5BC2A5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C5412F8"/>
    <w:multiLevelType w:val="hybridMultilevel"/>
    <w:tmpl w:val="9EE08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D50083"/>
    <w:multiLevelType w:val="hybridMultilevel"/>
    <w:tmpl w:val="FE14D2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CF37AEF"/>
    <w:multiLevelType w:val="hybridMultilevel"/>
    <w:tmpl w:val="7F2A1628"/>
    <w:lvl w:ilvl="0" w:tplc="0E44C4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3631DD"/>
    <w:multiLevelType w:val="hybridMultilevel"/>
    <w:tmpl w:val="FE56CA28"/>
    <w:lvl w:ilvl="0" w:tplc="5C4C6048">
      <w:start w:val="1"/>
      <w:numFmt w:val="decimal"/>
      <w:lvlText w:val="%1."/>
      <w:lvlJc w:val="left"/>
      <w:pPr>
        <w:ind w:left="720" w:hanging="360"/>
      </w:pPr>
      <w:rPr>
        <w:rFonts w:hint="default"/>
        <w:color w:val="0000F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A52E61"/>
    <w:multiLevelType w:val="hybridMultilevel"/>
    <w:tmpl w:val="DDB06C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C700B9"/>
    <w:multiLevelType w:val="hybridMultilevel"/>
    <w:tmpl w:val="CEE845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0412814"/>
    <w:multiLevelType w:val="multilevel"/>
    <w:tmpl w:val="62A02EC0"/>
    <w:lvl w:ilvl="0">
      <w:start w:val="1"/>
      <w:numFmt w:val="decimal"/>
      <w:pStyle w:val="rove1"/>
      <w:lvlText w:val="%1."/>
      <w:lvlJc w:val="left"/>
      <w:pPr>
        <w:ind w:left="360" w:hanging="360"/>
      </w:pPr>
    </w:lvl>
    <w:lvl w:ilvl="1">
      <w:start w:val="1"/>
      <w:numFmt w:val="decimal"/>
      <w:pStyle w:val="rove2"/>
      <w:lvlText w:val="%1.%2."/>
      <w:lvlJc w:val="left"/>
      <w:pPr>
        <w:ind w:left="792" w:hanging="432"/>
      </w:pPr>
    </w:lvl>
    <w:lvl w:ilvl="2">
      <w:start w:val="1"/>
      <w:numFmt w:val="decimal"/>
      <w:pStyle w:val="rove3"/>
      <w:lvlText w:val="%1.%2.%3."/>
      <w:lvlJc w:val="left"/>
      <w:pPr>
        <w:ind w:left="504" w:hanging="504"/>
      </w:pPr>
    </w:lvl>
    <w:lvl w:ilvl="3">
      <w:start w:val="1"/>
      <w:numFmt w:val="decimal"/>
      <w:pStyle w:val="rove4"/>
      <w:lvlText w:val="%1.%2.%3.%4."/>
      <w:lvlJc w:val="left"/>
      <w:pPr>
        <w:ind w:left="1728" w:hanging="648"/>
      </w:pPr>
    </w:lvl>
    <w:lvl w:ilvl="4">
      <w:start w:val="1"/>
      <w:numFmt w:val="decimal"/>
      <w:pStyle w:val="rove5"/>
      <w:lvlText w:val="%1.%2.%3.%4.%5."/>
      <w:lvlJc w:val="left"/>
      <w:pPr>
        <w:ind w:left="934" w:hanging="792"/>
      </w:pPr>
    </w:lvl>
    <w:lvl w:ilvl="5">
      <w:start w:val="1"/>
      <w:numFmt w:val="decimal"/>
      <w:pStyle w:val="rove6"/>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A904E7"/>
    <w:multiLevelType w:val="hybridMultilevel"/>
    <w:tmpl w:val="889672F8"/>
    <w:lvl w:ilvl="0" w:tplc="04050001">
      <w:start w:val="1"/>
      <w:numFmt w:val="bullet"/>
      <w:lvlText w:val=""/>
      <w:lvlJc w:val="left"/>
      <w:pPr>
        <w:ind w:left="999" w:hanging="360"/>
      </w:pPr>
      <w:rPr>
        <w:rFonts w:ascii="Symbol" w:hAnsi="Symbol" w:hint="default"/>
      </w:rPr>
    </w:lvl>
    <w:lvl w:ilvl="1" w:tplc="04050003" w:tentative="1">
      <w:start w:val="1"/>
      <w:numFmt w:val="bullet"/>
      <w:lvlText w:val="o"/>
      <w:lvlJc w:val="left"/>
      <w:pPr>
        <w:ind w:left="1719" w:hanging="360"/>
      </w:pPr>
      <w:rPr>
        <w:rFonts w:ascii="Courier New" w:hAnsi="Courier New" w:cs="Courier New" w:hint="default"/>
      </w:rPr>
    </w:lvl>
    <w:lvl w:ilvl="2" w:tplc="04050005" w:tentative="1">
      <w:start w:val="1"/>
      <w:numFmt w:val="bullet"/>
      <w:lvlText w:val=""/>
      <w:lvlJc w:val="left"/>
      <w:pPr>
        <w:ind w:left="2439" w:hanging="360"/>
      </w:pPr>
      <w:rPr>
        <w:rFonts w:ascii="Wingdings" w:hAnsi="Wingdings" w:hint="default"/>
      </w:rPr>
    </w:lvl>
    <w:lvl w:ilvl="3" w:tplc="04050001" w:tentative="1">
      <w:start w:val="1"/>
      <w:numFmt w:val="bullet"/>
      <w:lvlText w:val=""/>
      <w:lvlJc w:val="left"/>
      <w:pPr>
        <w:ind w:left="3159" w:hanging="360"/>
      </w:pPr>
      <w:rPr>
        <w:rFonts w:ascii="Symbol" w:hAnsi="Symbol" w:hint="default"/>
      </w:rPr>
    </w:lvl>
    <w:lvl w:ilvl="4" w:tplc="04050003" w:tentative="1">
      <w:start w:val="1"/>
      <w:numFmt w:val="bullet"/>
      <w:lvlText w:val="o"/>
      <w:lvlJc w:val="left"/>
      <w:pPr>
        <w:ind w:left="3879" w:hanging="360"/>
      </w:pPr>
      <w:rPr>
        <w:rFonts w:ascii="Courier New" w:hAnsi="Courier New" w:cs="Courier New" w:hint="default"/>
      </w:rPr>
    </w:lvl>
    <w:lvl w:ilvl="5" w:tplc="04050005" w:tentative="1">
      <w:start w:val="1"/>
      <w:numFmt w:val="bullet"/>
      <w:lvlText w:val=""/>
      <w:lvlJc w:val="left"/>
      <w:pPr>
        <w:ind w:left="4599" w:hanging="360"/>
      </w:pPr>
      <w:rPr>
        <w:rFonts w:ascii="Wingdings" w:hAnsi="Wingdings" w:hint="default"/>
      </w:rPr>
    </w:lvl>
    <w:lvl w:ilvl="6" w:tplc="04050001" w:tentative="1">
      <w:start w:val="1"/>
      <w:numFmt w:val="bullet"/>
      <w:lvlText w:val=""/>
      <w:lvlJc w:val="left"/>
      <w:pPr>
        <w:ind w:left="5319" w:hanging="360"/>
      </w:pPr>
      <w:rPr>
        <w:rFonts w:ascii="Symbol" w:hAnsi="Symbol" w:hint="default"/>
      </w:rPr>
    </w:lvl>
    <w:lvl w:ilvl="7" w:tplc="04050003" w:tentative="1">
      <w:start w:val="1"/>
      <w:numFmt w:val="bullet"/>
      <w:lvlText w:val="o"/>
      <w:lvlJc w:val="left"/>
      <w:pPr>
        <w:ind w:left="6039" w:hanging="360"/>
      </w:pPr>
      <w:rPr>
        <w:rFonts w:ascii="Courier New" w:hAnsi="Courier New" w:cs="Courier New" w:hint="default"/>
      </w:rPr>
    </w:lvl>
    <w:lvl w:ilvl="8" w:tplc="04050005" w:tentative="1">
      <w:start w:val="1"/>
      <w:numFmt w:val="bullet"/>
      <w:lvlText w:val=""/>
      <w:lvlJc w:val="left"/>
      <w:pPr>
        <w:ind w:left="6759" w:hanging="360"/>
      </w:pPr>
      <w:rPr>
        <w:rFonts w:ascii="Wingdings" w:hAnsi="Wingdings" w:hint="default"/>
      </w:rPr>
    </w:lvl>
  </w:abstractNum>
  <w:abstractNum w:abstractNumId="10">
    <w:nsid w:val="22C34D29"/>
    <w:multiLevelType w:val="hybridMultilevel"/>
    <w:tmpl w:val="B56210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230F40FA"/>
    <w:multiLevelType w:val="hybridMultilevel"/>
    <w:tmpl w:val="CD7A8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71A50AA"/>
    <w:multiLevelType w:val="hybridMultilevel"/>
    <w:tmpl w:val="A5785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9E0A36"/>
    <w:multiLevelType w:val="hybridMultilevel"/>
    <w:tmpl w:val="B9D81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127BC4"/>
    <w:multiLevelType w:val="hybridMultilevel"/>
    <w:tmpl w:val="CECE6A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8545A2B"/>
    <w:multiLevelType w:val="hybridMultilevel"/>
    <w:tmpl w:val="DD6653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2DAE2F89"/>
    <w:multiLevelType w:val="hybridMultilevel"/>
    <w:tmpl w:val="C7D836C0"/>
    <w:lvl w:ilvl="0" w:tplc="04050001">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cs="Times New Roman"/>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307F3887"/>
    <w:multiLevelType w:val="hybridMultilevel"/>
    <w:tmpl w:val="B1E059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8">
    <w:nsid w:val="33B13A18"/>
    <w:multiLevelType w:val="hybridMultilevel"/>
    <w:tmpl w:val="DC485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E23167"/>
    <w:multiLevelType w:val="hybridMultilevel"/>
    <w:tmpl w:val="D39A54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37697627"/>
    <w:multiLevelType w:val="hybridMultilevel"/>
    <w:tmpl w:val="8822F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A1F7D8D"/>
    <w:multiLevelType w:val="hybridMultilevel"/>
    <w:tmpl w:val="A32424D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nsid w:val="3A271897"/>
    <w:multiLevelType w:val="hybridMultilevel"/>
    <w:tmpl w:val="2280EB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3B7D6292"/>
    <w:multiLevelType w:val="hybridMultilevel"/>
    <w:tmpl w:val="1E028BDE"/>
    <w:lvl w:ilvl="0" w:tplc="FD1CDB4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41947A33"/>
    <w:multiLevelType w:val="hybridMultilevel"/>
    <w:tmpl w:val="ADC04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744E31"/>
    <w:multiLevelType w:val="hybridMultilevel"/>
    <w:tmpl w:val="096481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44750EC2"/>
    <w:multiLevelType w:val="hybridMultilevel"/>
    <w:tmpl w:val="BC6ACF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47793A48"/>
    <w:multiLevelType w:val="hybridMultilevel"/>
    <w:tmpl w:val="2D348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599E53A4"/>
    <w:multiLevelType w:val="hybridMultilevel"/>
    <w:tmpl w:val="053886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5A647521"/>
    <w:multiLevelType w:val="hybridMultilevel"/>
    <w:tmpl w:val="759C82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5D7A682F"/>
    <w:multiLevelType w:val="hybridMultilevel"/>
    <w:tmpl w:val="43D80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32D7919"/>
    <w:multiLevelType w:val="hybridMultilevel"/>
    <w:tmpl w:val="10C0D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6AD44F0"/>
    <w:multiLevelType w:val="hybridMultilevel"/>
    <w:tmpl w:val="82020B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67C07107"/>
    <w:multiLevelType w:val="hybridMultilevel"/>
    <w:tmpl w:val="AE906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7F541FE"/>
    <w:multiLevelType w:val="hybridMultilevel"/>
    <w:tmpl w:val="59326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8A11290"/>
    <w:multiLevelType w:val="hybridMultilevel"/>
    <w:tmpl w:val="81D8D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8FE7DA7"/>
    <w:multiLevelType w:val="hybridMultilevel"/>
    <w:tmpl w:val="CD6C4A3E"/>
    <w:lvl w:ilvl="0" w:tplc="C48A9BA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E0673B3"/>
    <w:multiLevelType w:val="hybridMultilevel"/>
    <w:tmpl w:val="94C00DA8"/>
    <w:lvl w:ilvl="0" w:tplc="4A286E18">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11"/>
  </w:num>
  <w:num w:numId="4">
    <w:abstractNumId w:val="30"/>
  </w:num>
  <w:num w:numId="5">
    <w:abstractNumId w:val="29"/>
  </w:num>
  <w:num w:numId="6">
    <w:abstractNumId w:val="12"/>
  </w:num>
  <w:num w:numId="7">
    <w:abstractNumId w:val="24"/>
  </w:num>
  <w:num w:numId="8">
    <w:abstractNumId w:val="10"/>
  </w:num>
  <w:num w:numId="9">
    <w:abstractNumId w:val="23"/>
  </w:num>
  <w:num w:numId="10">
    <w:abstractNumId w:val="36"/>
  </w:num>
  <w:num w:numId="11">
    <w:abstractNumId w:val="17"/>
  </w:num>
  <w:num w:numId="12">
    <w:abstractNumId w:val="28"/>
  </w:num>
  <w:num w:numId="13">
    <w:abstractNumId w:val="3"/>
  </w:num>
  <w:num w:numId="14">
    <w:abstractNumId w:val="15"/>
  </w:num>
  <w:num w:numId="15">
    <w:abstractNumId w:val="7"/>
  </w:num>
  <w:num w:numId="16">
    <w:abstractNumId w:val="26"/>
  </w:num>
  <w:num w:numId="17">
    <w:abstractNumId w:val="25"/>
  </w:num>
  <w:num w:numId="18">
    <w:abstractNumId w:val="27"/>
  </w:num>
  <w:num w:numId="19">
    <w:abstractNumId w:val="22"/>
  </w:num>
  <w:num w:numId="20">
    <w:abstractNumId w:val="16"/>
    <w:lvlOverride w:ilvl="0"/>
    <w:lvlOverride w:ilvl="1">
      <w:startOverride w:val="1"/>
    </w:lvlOverride>
    <w:lvlOverride w:ilvl="2"/>
    <w:lvlOverride w:ilvl="3"/>
    <w:lvlOverride w:ilvl="4"/>
    <w:lvlOverride w:ilvl="5"/>
    <w:lvlOverride w:ilvl="6"/>
    <w:lvlOverride w:ilvl="7"/>
    <w:lvlOverride w:ilvl="8"/>
  </w:num>
  <w:num w:numId="21">
    <w:abstractNumId w:val="16"/>
  </w:num>
  <w:num w:numId="22">
    <w:abstractNumId w:val="14"/>
  </w:num>
  <w:num w:numId="23">
    <w:abstractNumId w:val="1"/>
  </w:num>
  <w:num w:numId="24">
    <w:abstractNumId w:val="32"/>
  </w:num>
  <w:num w:numId="25">
    <w:abstractNumId w:val="8"/>
  </w:num>
  <w:num w:numId="26">
    <w:abstractNumId w:val="37"/>
  </w:num>
  <w:num w:numId="27">
    <w:abstractNumId w:val="19"/>
  </w:num>
  <w:num w:numId="28">
    <w:abstractNumId w:val="33"/>
  </w:num>
  <w:num w:numId="29">
    <w:abstractNumId w:val="5"/>
  </w:num>
  <w:num w:numId="30">
    <w:abstractNumId w:val="4"/>
  </w:num>
  <w:num w:numId="31">
    <w:abstractNumId w:val="2"/>
  </w:num>
  <w:num w:numId="32">
    <w:abstractNumId w:val="6"/>
  </w:num>
  <w:num w:numId="33">
    <w:abstractNumId w:val="21"/>
  </w:num>
  <w:num w:numId="34">
    <w:abstractNumId w:val="35"/>
  </w:num>
  <w:num w:numId="35">
    <w:abstractNumId w:val="20"/>
  </w:num>
  <w:num w:numId="36">
    <w:abstractNumId w:val="18"/>
  </w:num>
  <w:num w:numId="37">
    <w:abstractNumId w:val="13"/>
  </w:num>
  <w:num w:numId="38">
    <w:abstractNumId w:val="3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mailMerge>
    <w:mainDocumentType w:val="formLetters"/>
    <w:dataType w:val="textFile"/>
    <w:activeRecord w:val="-1"/>
  </w:mailMerge>
  <w:trackRevisions/>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98"/>
    <w:rsid w:val="00003426"/>
    <w:rsid w:val="00004394"/>
    <w:rsid w:val="00006C8C"/>
    <w:rsid w:val="00007671"/>
    <w:rsid w:val="00011FDA"/>
    <w:rsid w:val="000123C3"/>
    <w:rsid w:val="000128EA"/>
    <w:rsid w:val="000133F2"/>
    <w:rsid w:val="000134E8"/>
    <w:rsid w:val="00014AC7"/>
    <w:rsid w:val="00014D9A"/>
    <w:rsid w:val="000152F9"/>
    <w:rsid w:val="00015D4D"/>
    <w:rsid w:val="000165D0"/>
    <w:rsid w:val="0002053C"/>
    <w:rsid w:val="000213F7"/>
    <w:rsid w:val="00021A1A"/>
    <w:rsid w:val="00023618"/>
    <w:rsid w:val="00026679"/>
    <w:rsid w:val="000318EE"/>
    <w:rsid w:val="00031D6C"/>
    <w:rsid w:val="0003224C"/>
    <w:rsid w:val="00033182"/>
    <w:rsid w:val="00033D26"/>
    <w:rsid w:val="00036882"/>
    <w:rsid w:val="00040122"/>
    <w:rsid w:val="00040B5D"/>
    <w:rsid w:val="00040F0F"/>
    <w:rsid w:val="00041791"/>
    <w:rsid w:val="00041AF4"/>
    <w:rsid w:val="000421F4"/>
    <w:rsid w:val="000436F7"/>
    <w:rsid w:val="0004380E"/>
    <w:rsid w:val="00044A2F"/>
    <w:rsid w:val="00046A40"/>
    <w:rsid w:val="00047550"/>
    <w:rsid w:val="000478C8"/>
    <w:rsid w:val="00047CFB"/>
    <w:rsid w:val="00050870"/>
    <w:rsid w:val="00050ABC"/>
    <w:rsid w:val="0005237D"/>
    <w:rsid w:val="00053909"/>
    <w:rsid w:val="00055DB8"/>
    <w:rsid w:val="00055F04"/>
    <w:rsid w:val="00056FAA"/>
    <w:rsid w:val="00057774"/>
    <w:rsid w:val="00057AB4"/>
    <w:rsid w:val="000605C5"/>
    <w:rsid w:val="00060E38"/>
    <w:rsid w:val="000625BB"/>
    <w:rsid w:val="00062751"/>
    <w:rsid w:val="00062D99"/>
    <w:rsid w:val="00066D71"/>
    <w:rsid w:val="00070CE7"/>
    <w:rsid w:val="000728A5"/>
    <w:rsid w:val="00073CC6"/>
    <w:rsid w:val="00076502"/>
    <w:rsid w:val="00076BDC"/>
    <w:rsid w:val="00077E10"/>
    <w:rsid w:val="000805E5"/>
    <w:rsid w:val="000811B2"/>
    <w:rsid w:val="00081B5F"/>
    <w:rsid w:val="000842F3"/>
    <w:rsid w:val="000855F3"/>
    <w:rsid w:val="00085F8C"/>
    <w:rsid w:val="0008610D"/>
    <w:rsid w:val="00087032"/>
    <w:rsid w:val="00090ABF"/>
    <w:rsid w:val="00091858"/>
    <w:rsid w:val="00093160"/>
    <w:rsid w:val="00093923"/>
    <w:rsid w:val="00093DFF"/>
    <w:rsid w:val="000942E7"/>
    <w:rsid w:val="00096160"/>
    <w:rsid w:val="000962EE"/>
    <w:rsid w:val="000966CF"/>
    <w:rsid w:val="00097B95"/>
    <w:rsid w:val="000A061E"/>
    <w:rsid w:val="000A193D"/>
    <w:rsid w:val="000A1B64"/>
    <w:rsid w:val="000A3659"/>
    <w:rsid w:val="000A444B"/>
    <w:rsid w:val="000A469B"/>
    <w:rsid w:val="000A5BED"/>
    <w:rsid w:val="000A6B27"/>
    <w:rsid w:val="000A7226"/>
    <w:rsid w:val="000A7C3A"/>
    <w:rsid w:val="000A7C56"/>
    <w:rsid w:val="000B01DE"/>
    <w:rsid w:val="000B0886"/>
    <w:rsid w:val="000B3224"/>
    <w:rsid w:val="000B37AA"/>
    <w:rsid w:val="000B37DF"/>
    <w:rsid w:val="000B3B0B"/>
    <w:rsid w:val="000B6827"/>
    <w:rsid w:val="000B6AE1"/>
    <w:rsid w:val="000B7046"/>
    <w:rsid w:val="000C2440"/>
    <w:rsid w:val="000C2773"/>
    <w:rsid w:val="000C33C8"/>
    <w:rsid w:val="000C4531"/>
    <w:rsid w:val="000C4C33"/>
    <w:rsid w:val="000C5421"/>
    <w:rsid w:val="000C715C"/>
    <w:rsid w:val="000C7D8E"/>
    <w:rsid w:val="000D017C"/>
    <w:rsid w:val="000D1C6F"/>
    <w:rsid w:val="000D4904"/>
    <w:rsid w:val="000D651B"/>
    <w:rsid w:val="000D6919"/>
    <w:rsid w:val="000E0907"/>
    <w:rsid w:val="000E09C3"/>
    <w:rsid w:val="000E27EB"/>
    <w:rsid w:val="000E2ADF"/>
    <w:rsid w:val="000E3AE3"/>
    <w:rsid w:val="000E47E4"/>
    <w:rsid w:val="000E4D9C"/>
    <w:rsid w:val="000E5001"/>
    <w:rsid w:val="000E530B"/>
    <w:rsid w:val="000E533B"/>
    <w:rsid w:val="000E5ACE"/>
    <w:rsid w:val="000E6620"/>
    <w:rsid w:val="000F09F6"/>
    <w:rsid w:val="000F1B31"/>
    <w:rsid w:val="000F1C3C"/>
    <w:rsid w:val="000F2C54"/>
    <w:rsid w:val="000F6393"/>
    <w:rsid w:val="000F7816"/>
    <w:rsid w:val="00100003"/>
    <w:rsid w:val="0010028A"/>
    <w:rsid w:val="00101393"/>
    <w:rsid w:val="00101CF1"/>
    <w:rsid w:val="00101CF4"/>
    <w:rsid w:val="00101FFD"/>
    <w:rsid w:val="00102911"/>
    <w:rsid w:val="00102AB2"/>
    <w:rsid w:val="00102E7C"/>
    <w:rsid w:val="001032D0"/>
    <w:rsid w:val="00106D34"/>
    <w:rsid w:val="00106D9F"/>
    <w:rsid w:val="00110A83"/>
    <w:rsid w:val="00111C09"/>
    <w:rsid w:val="00111E0E"/>
    <w:rsid w:val="0011369A"/>
    <w:rsid w:val="00114CBE"/>
    <w:rsid w:val="00114FDE"/>
    <w:rsid w:val="0011655B"/>
    <w:rsid w:val="00116934"/>
    <w:rsid w:val="00116D25"/>
    <w:rsid w:val="001170DE"/>
    <w:rsid w:val="001211B2"/>
    <w:rsid w:val="00121BAC"/>
    <w:rsid w:val="00121F8A"/>
    <w:rsid w:val="00121FBD"/>
    <w:rsid w:val="001256EC"/>
    <w:rsid w:val="00125C5A"/>
    <w:rsid w:val="00130156"/>
    <w:rsid w:val="0013075C"/>
    <w:rsid w:val="0013136F"/>
    <w:rsid w:val="0013271F"/>
    <w:rsid w:val="00132DF7"/>
    <w:rsid w:val="00133135"/>
    <w:rsid w:val="00133B52"/>
    <w:rsid w:val="00133C05"/>
    <w:rsid w:val="0013454D"/>
    <w:rsid w:val="0013600E"/>
    <w:rsid w:val="001364B3"/>
    <w:rsid w:val="00137488"/>
    <w:rsid w:val="00140799"/>
    <w:rsid w:val="00140954"/>
    <w:rsid w:val="00140AAD"/>
    <w:rsid w:val="00140C4C"/>
    <w:rsid w:val="001416ED"/>
    <w:rsid w:val="00142C4C"/>
    <w:rsid w:val="001432F2"/>
    <w:rsid w:val="0014358B"/>
    <w:rsid w:val="00143B77"/>
    <w:rsid w:val="00143D3D"/>
    <w:rsid w:val="001454A6"/>
    <w:rsid w:val="0014744D"/>
    <w:rsid w:val="00150A3C"/>
    <w:rsid w:val="00150E86"/>
    <w:rsid w:val="00152803"/>
    <w:rsid w:val="00153BBE"/>
    <w:rsid w:val="001541A2"/>
    <w:rsid w:val="00154FA3"/>
    <w:rsid w:val="001616C1"/>
    <w:rsid w:val="001618D0"/>
    <w:rsid w:val="00163613"/>
    <w:rsid w:val="001645A0"/>
    <w:rsid w:val="00164C51"/>
    <w:rsid w:val="00166443"/>
    <w:rsid w:val="00166B50"/>
    <w:rsid w:val="001707B6"/>
    <w:rsid w:val="0017183C"/>
    <w:rsid w:val="00173291"/>
    <w:rsid w:val="00174CD6"/>
    <w:rsid w:val="00175CFC"/>
    <w:rsid w:val="00176C07"/>
    <w:rsid w:val="001804C9"/>
    <w:rsid w:val="00181F8B"/>
    <w:rsid w:val="001833A8"/>
    <w:rsid w:val="001847B0"/>
    <w:rsid w:val="00184EBD"/>
    <w:rsid w:val="00185D21"/>
    <w:rsid w:val="001867ED"/>
    <w:rsid w:val="00187B02"/>
    <w:rsid w:val="00191502"/>
    <w:rsid w:val="0019197A"/>
    <w:rsid w:val="00192FBA"/>
    <w:rsid w:val="001935DC"/>
    <w:rsid w:val="001953BD"/>
    <w:rsid w:val="0019548F"/>
    <w:rsid w:val="001964BD"/>
    <w:rsid w:val="001973BF"/>
    <w:rsid w:val="0019750D"/>
    <w:rsid w:val="001A3D5A"/>
    <w:rsid w:val="001A524B"/>
    <w:rsid w:val="001A5759"/>
    <w:rsid w:val="001A5D44"/>
    <w:rsid w:val="001A6444"/>
    <w:rsid w:val="001A6858"/>
    <w:rsid w:val="001A6D46"/>
    <w:rsid w:val="001A6F7A"/>
    <w:rsid w:val="001A7400"/>
    <w:rsid w:val="001A7834"/>
    <w:rsid w:val="001A78A1"/>
    <w:rsid w:val="001B093B"/>
    <w:rsid w:val="001B09CD"/>
    <w:rsid w:val="001B0F3C"/>
    <w:rsid w:val="001B25DA"/>
    <w:rsid w:val="001B26E2"/>
    <w:rsid w:val="001B2744"/>
    <w:rsid w:val="001B336C"/>
    <w:rsid w:val="001B54AC"/>
    <w:rsid w:val="001B6C73"/>
    <w:rsid w:val="001B7511"/>
    <w:rsid w:val="001C04EC"/>
    <w:rsid w:val="001C14F3"/>
    <w:rsid w:val="001C1B2C"/>
    <w:rsid w:val="001C1DF1"/>
    <w:rsid w:val="001C27F5"/>
    <w:rsid w:val="001C28EC"/>
    <w:rsid w:val="001C4C64"/>
    <w:rsid w:val="001C589D"/>
    <w:rsid w:val="001C76E1"/>
    <w:rsid w:val="001C7A73"/>
    <w:rsid w:val="001D15C8"/>
    <w:rsid w:val="001D1DAC"/>
    <w:rsid w:val="001D3168"/>
    <w:rsid w:val="001D31BB"/>
    <w:rsid w:val="001D3786"/>
    <w:rsid w:val="001D6EF6"/>
    <w:rsid w:val="001D735F"/>
    <w:rsid w:val="001E00B0"/>
    <w:rsid w:val="001E045B"/>
    <w:rsid w:val="001E1EA0"/>
    <w:rsid w:val="001E1EBF"/>
    <w:rsid w:val="001E254B"/>
    <w:rsid w:val="001E317A"/>
    <w:rsid w:val="001E519C"/>
    <w:rsid w:val="001E566C"/>
    <w:rsid w:val="001E5FA6"/>
    <w:rsid w:val="001E624A"/>
    <w:rsid w:val="001E6F24"/>
    <w:rsid w:val="001F017B"/>
    <w:rsid w:val="001F0D2E"/>
    <w:rsid w:val="001F345D"/>
    <w:rsid w:val="001F41BF"/>
    <w:rsid w:val="001F44ED"/>
    <w:rsid w:val="001F65BE"/>
    <w:rsid w:val="001F75F3"/>
    <w:rsid w:val="001F7729"/>
    <w:rsid w:val="00200482"/>
    <w:rsid w:val="00200B5D"/>
    <w:rsid w:val="002028D5"/>
    <w:rsid w:val="002028E5"/>
    <w:rsid w:val="00202F44"/>
    <w:rsid w:val="00203C72"/>
    <w:rsid w:val="00203F53"/>
    <w:rsid w:val="00204FB5"/>
    <w:rsid w:val="00205081"/>
    <w:rsid w:val="00205472"/>
    <w:rsid w:val="00206B08"/>
    <w:rsid w:val="00206BCD"/>
    <w:rsid w:val="00207420"/>
    <w:rsid w:val="00207A1B"/>
    <w:rsid w:val="00207AC9"/>
    <w:rsid w:val="00210B50"/>
    <w:rsid w:val="00211587"/>
    <w:rsid w:val="0021226E"/>
    <w:rsid w:val="002134F7"/>
    <w:rsid w:val="002143C8"/>
    <w:rsid w:val="00215A5C"/>
    <w:rsid w:val="002166F6"/>
    <w:rsid w:val="00217D93"/>
    <w:rsid w:val="00217F81"/>
    <w:rsid w:val="00220775"/>
    <w:rsid w:val="00220D78"/>
    <w:rsid w:val="00220DAF"/>
    <w:rsid w:val="002213F8"/>
    <w:rsid w:val="0022196A"/>
    <w:rsid w:val="00221A81"/>
    <w:rsid w:val="00221E58"/>
    <w:rsid w:val="00222CA5"/>
    <w:rsid w:val="00222F8E"/>
    <w:rsid w:val="00224F37"/>
    <w:rsid w:val="0023047A"/>
    <w:rsid w:val="00230668"/>
    <w:rsid w:val="00231762"/>
    <w:rsid w:val="00231A8F"/>
    <w:rsid w:val="00231DFF"/>
    <w:rsid w:val="00232052"/>
    <w:rsid w:val="00234362"/>
    <w:rsid w:val="00234E99"/>
    <w:rsid w:val="002352B0"/>
    <w:rsid w:val="00235726"/>
    <w:rsid w:val="00235846"/>
    <w:rsid w:val="00235B72"/>
    <w:rsid w:val="0023664B"/>
    <w:rsid w:val="00236B42"/>
    <w:rsid w:val="002375C9"/>
    <w:rsid w:val="00237832"/>
    <w:rsid w:val="0024124B"/>
    <w:rsid w:val="002419DE"/>
    <w:rsid w:val="00243951"/>
    <w:rsid w:val="002439DC"/>
    <w:rsid w:val="00246C9A"/>
    <w:rsid w:val="002471F5"/>
    <w:rsid w:val="002476D4"/>
    <w:rsid w:val="002505ED"/>
    <w:rsid w:val="002512A4"/>
    <w:rsid w:val="00251B56"/>
    <w:rsid w:val="00252C29"/>
    <w:rsid w:val="002540A8"/>
    <w:rsid w:val="00254A2C"/>
    <w:rsid w:val="00254D09"/>
    <w:rsid w:val="002554F6"/>
    <w:rsid w:val="00257065"/>
    <w:rsid w:val="00260121"/>
    <w:rsid w:val="002607F1"/>
    <w:rsid w:val="00260A4F"/>
    <w:rsid w:val="00261FBB"/>
    <w:rsid w:val="002643EE"/>
    <w:rsid w:val="00265137"/>
    <w:rsid w:val="002656D8"/>
    <w:rsid w:val="00265810"/>
    <w:rsid w:val="00265BC9"/>
    <w:rsid w:val="00266B76"/>
    <w:rsid w:val="00266DE2"/>
    <w:rsid w:val="002679F0"/>
    <w:rsid w:val="00267E65"/>
    <w:rsid w:val="0027013E"/>
    <w:rsid w:val="0027626E"/>
    <w:rsid w:val="00280B6D"/>
    <w:rsid w:val="002812DB"/>
    <w:rsid w:val="0028207A"/>
    <w:rsid w:val="00282D27"/>
    <w:rsid w:val="00285531"/>
    <w:rsid w:val="00290155"/>
    <w:rsid w:val="002917F8"/>
    <w:rsid w:val="00292E31"/>
    <w:rsid w:val="00292EF7"/>
    <w:rsid w:val="00293AD4"/>
    <w:rsid w:val="00293DF6"/>
    <w:rsid w:val="0029473A"/>
    <w:rsid w:val="00296BAB"/>
    <w:rsid w:val="00297BE5"/>
    <w:rsid w:val="002A2071"/>
    <w:rsid w:val="002A2761"/>
    <w:rsid w:val="002A2A8A"/>
    <w:rsid w:val="002A2E1A"/>
    <w:rsid w:val="002A4080"/>
    <w:rsid w:val="002A5BA8"/>
    <w:rsid w:val="002A6525"/>
    <w:rsid w:val="002B0591"/>
    <w:rsid w:val="002B0810"/>
    <w:rsid w:val="002B0AB2"/>
    <w:rsid w:val="002B141A"/>
    <w:rsid w:val="002B14CB"/>
    <w:rsid w:val="002B2C62"/>
    <w:rsid w:val="002B33EC"/>
    <w:rsid w:val="002B3CEC"/>
    <w:rsid w:val="002B4971"/>
    <w:rsid w:val="002B6594"/>
    <w:rsid w:val="002B7C28"/>
    <w:rsid w:val="002C0AC4"/>
    <w:rsid w:val="002C1FFF"/>
    <w:rsid w:val="002C21D6"/>
    <w:rsid w:val="002C28DC"/>
    <w:rsid w:val="002C2BBD"/>
    <w:rsid w:val="002C4C9C"/>
    <w:rsid w:val="002C53CF"/>
    <w:rsid w:val="002C63BC"/>
    <w:rsid w:val="002C71B3"/>
    <w:rsid w:val="002C7BA8"/>
    <w:rsid w:val="002D3E12"/>
    <w:rsid w:val="002D4AF4"/>
    <w:rsid w:val="002D5FC8"/>
    <w:rsid w:val="002D6823"/>
    <w:rsid w:val="002D75B1"/>
    <w:rsid w:val="002E0017"/>
    <w:rsid w:val="002E0245"/>
    <w:rsid w:val="002E4FF4"/>
    <w:rsid w:val="002E52AC"/>
    <w:rsid w:val="002E59D2"/>
    <w:rsid w:val="002E5F3B"/>
    <w:rsid w:val="002E6A5C"/>
    <w:rsid w:val="002E6E10"/>
    <w:rsid w:val="002E7198"/>
    <w:rsid w:val="002F0B36"/>
    <w:rsid w:val="002F0C38"/>
    <w:rsid w:val="002F0D71"/>
    <w:rsid w:val="002F1CF6"/>
    <w:rsid w:val="002F24FC"/>
    <w:rsid w:val="002F2543"/>
    <w:rsid w:val="002F395E"/>
    <w:rsid w:val="002F5B98"/>
    <w:rsid w:val="002F785F"/>
    <w:rsid w:val="002F7CBE"/>
    <w:rsid w:val="002F7F6C"/>
    <w:rsid w:val="00301578"/>
    <w:rsid w:val="00301798"/>
    <w:rsid w:val="00301D14"/>
    <w:rsid w:val="003021EC"/>
    <w:rsid w:val="0030276A"/>
    <w:rsid w:val="00303ECB"/>
    <w:rsid w:val="00304735"/>
    <w:rsid w:val="00305DF9"/>
    <w:rsid w:val="00305FBA"/>
    <w:rsid w:val="00307FFE"/>
    <w:rsid w:val="00315D3E"/>
    <w:rsid w:val="003178F4"/>
    <w:rsid w:val="0032140F"/>
    <w:rsid w:val="00322008"/>
    <w:rsid w:val="00324133"/>
    <w:rsid w:val="003245C2"/>
    <w:rsid w:val="00325196"/>
    <w:rsid w:val="00326C22"/>
    <w:rsid w:val="00326D08"/>
    <w:rsid w:val="00326DF5"/>
    <w:rsid w:val="0032769A"/>
    <w:rsid w:val="0033056A"/>
    <w:rsid w:val="003321E0"/>
    <w:rsid w:val="00332853"/>
    <w:rsid w:val="00332C31"/>
    <w:rsid w:val="00333543"/>
    <w:rsid w:val="00333860"/>
    <w:rsid w:val="003342CB"/>
    <w:rsid w:val="00335449"/>
    <w:rsid w:val="00335990"/>
    <w:rsid w:val="0034135D"/>
    <w:rsid w:val="00341E1B"/>
    <w:rsid w:val="003420CB"/>
    <w:rsid w:val="00342D41"/>
    <w:rsid w:val="00342E2E"/>
    <w:rsid w:val="00343E81"/>
    <w:rsid w:val="00343F92"/>
    <w:rsid w:val="0034513D"/>
    <w:rsid w:val="003459E2"/>
    <w:rsid w:val="00346764"/>
    <w:rsid w:val="00346B3E"/>
    <w:rsid w:val="00350051"/>
    <w:rsid w:val="00351071"/>
    <w:rsid w:val="003513C8"/>
    <w:rsid w:val="00351A44"/>
    <w:rsid w:val="00352119"/>
    <w:rsid w:val="0035282B"/>
    <w:rsid w:val="00354622"/>
    <w:rsid w:val="0035738E"/>
    <w:rsid w:val="00357911"/>
    <w:rsid w:val="003607D6"/>
    <w:rsid w:val="00360A60"/>
    <w:rsid w:val="003627D4"/>
    <w:rsid w:val="0036325A"/>
    <w:rsid w:val="00363DF4"/>
    <w:rsid w:val="003646FA"/>
    <w:rsid w:val="003649A7"/>
    <w:rsid w:val="00364D29"/>
    <w:rsid w:val="0036506D"/>
    <w:rsid w:val="00367008"/>
    <w:rsid w:val="00367E70"/>
    <w:rsid w:val="003705CD"/>
    <w:rsid w:val="003718CE"/>
    <w:rsid w:val="00372555"/>
    <w:rsid w:val="00372919"/>
    <w:rsid w:val="00373CC9"/>
    <w:rsid w:val="00373DDD"/>
    <w:rsid w:val="00374A0C"/>
    <w:rsid w:val="00376262"/>
    <w:rsid w:val="003764C1"/>
    <w:rsid w:val="0037668B"/>
    <w:rsid w:val="003800CE"/>
    <w:rsid w:val="00380E89"/>
    <w:rsid w:val="0038151A"/>
    <w:rsid w:val="00382E89"/>
    <w:rsid w:val="0038377A"/>
    <w:rsid w:val="003842B4"/>
    <w:rsid w:val="00384E65"/>
    <w:rsid w:val="00384F73"/>
    <w:rsid w:val="003864B9"/>
    <w:rsid w:val="003866A8"/>
    <w:rsid w:val="00390710"/>
    <w:rsid w:val="00391568"/>
    <w:rsid w:val="003927FC"/>
    <w:rsid w:val="00392F54"/>
    <w:rsid w:val="00393280"/>
    <w:rsid w:val="00393FEA"/>
    <w:rsid w:val="00394429"/>
    <w:rsid w:val="00394A5D"/>
    <w:rsid w:val="0039519B"/>
    <w:rsid w:val="003955D4"/>
    <w:rsid w:val="003958C0"/>
    <w:rsid w:val="0039596C"/>
    <w:rsid w:val="0039682B"/>
    <w:rsid w:val="00397BE5"/>
    <w:rsid w:val="003A11FF"/>
    <w:rsid w:val="003A1232"/>
    <w:rsid w:val="003A17BE"/>
    <w:rsid w:val="003A19EF"/>
    <w:rsid w:val="003A2AE3"/>
    <w:rsid w:val="003A332C"/>
    <w:rsid w:val="003A4B1E"/>
    <w:rsid w:val="003A55CD"/>
    <w:rsid w:val="003A6107"/>
    <w:rsid w:val="003A6C17"/>
    <w:rsid w:val="003A768D"/>
    <w:rsid w:val="003B08E8"/>
    <w:rsid w:val="003B11C5"/>
    <w:rsid w:val="003B1443"/>
    <w:rsid w:val="003B1DEA"/>
    <w:rsid w:val="003B2DF7"/>
    <w:rsid w:val="003B329A"/>
    <w:rsid w:val="003B3357"/>
    <w:rsid w:val="003B5301"/>
    <w:rsid w:val="003B5E3F"/>
    <w:rsid w:val="003B6ADF"/>
    <w:rsid w:val="003B7DD7"/>
    <w:rsid w:val="003C11EB"/>
    <w:rsid w:val="003C150B"/>
    <w:rsid w:val="003C1A1D"/>
    <w:rsid w:val="003C3F6C"/>
    <w:rsid w:val="003C5203"/>
    <w:rsid w:val="003C620C"/>
    <w:rsid w:val="003C6E1A"/>
    <w:rsid w:val="003C7A93"/>
    <w:rsid w:val="003C7DBC"/>
    <w:rsid w:val="003D13A1"/>
    <w:rsid w:val="003D3EB1"/>
    <w:rsid w:val="003D72CE"/>
    <w:rsid w:val="003D7519"/>
    <w:rsid w:val="003E0956"/>
    <w:rsid w:val="003E0C7B"/>
    <w:rsid w:val="003E352C"/>
    <w:rsid w:val="003E4F3D"/>
    <w:rsid w:val="003E522B"/>
    <w:rsid w:val="003E5B62"/>
    <w:rsid w:val="003E77BA"/>
    <w:rsid w:val="003E79B9"/>
    <w:rsid w:val="003F0DA9"/>
    <w:rsid w:val="003F1BFB"/>
    <w:rsid w:val="003F1D4A"/>
    <w:rsid w:val="003F2EBC"/>
    <w:rsid w:val="003F3353"/>
    <w:rsid w:val="003F370B"/>
    <w:rsid w:val="003F4129"/>
    <w:rsid w:val="003F5D5B"/>
    <w:rsid w:val="003F6A00"/>
    <w:rsid w:val="003F7275"/>
    <w:rsid w:val="003F790D"/>
    <w:rsid w:val="003F7DF3"/>
    <w:rsid w:val="00400966"/>
    <w:rsid w:val="0040184E"/>
    <w:rsid w:val="00401A38"/>
    <w:rsid w:val="00402E75"/>
    <w:rsid w:val="00403D58"/>
    <w:rsid w:val="00403E3F"/>
    <w:rsid w:val="0040412B"/>
    <w:rsid w:val="004043A1"/>
    <w:rsid w:val="0040561B"/>
    <w:rsid w:val="0040650F"/>
    <w:rsid w:val="004107AD"/>
    <w:rsid w:val="00410BD0"/>
    <w:rsid w:val="004123D3"/>
    <w:rsid w:val="00413BA0"/>
    <w:rsid w:val="004152D2"/>
    <w:rsid w:val="00415851"/>
    <w:rsid w:val="004158FA"/>
    <w:rsid w:val="00415FBA"/>
    <w:rsid w:val="00417A05"/>
    <w:rsid w:val="00421458"/>
    <w:rsid w:val="004218AD"/>
    <w:rsid w:val="00422E66"/>
    <w:rsid w:val="004243FE"/>
    <w:rsid w:val="0042450F"/>
    <w:rsid w:val="0042469C"/>
    <w:rsid w:val="00424B9D"/>
    <w:rsid w:val="00424D7E"/>
    <w:rsid w:val="00425897"/>
    <w:rsid w:val="004263B8"/>
    <w:rsid w:val="00426773"/>
    <w:rsid w:val="00427183"/>
    <w:rsid w:val="004279E8"/>
    <w:rsid w:val="00427ED9"/>
    <w:rsid w:val="00430BCE"/>
    <w:rsid w:val="00432849"/>
    <w:rsid w:val="004329AD"/>
    <w:rsid w:val="00433E33"/>
    <w:rsid w:val="00433FBD"/>
    <w:rsid w:val="004350A9"/>
    <w:rsid w:val="00435705"/>
    <w:rsid w:val="004357FD"/>
    <w:rsid w:val="00435E5F"/>
    <w:rsid w:val="0043669D"/>
    <w:rsid w:val="00436EF9"/>
    <w:rsid w:val="00443883"/>
    <w:rsid w:val="00444396"/>
    <w:rsid w:val="00444C87"/>
    <w:rsid w:val="00445068"/>
    <w:rsid w:val="00445160"/>
    <w:rsid w:val="0044680C"/>
    <w:rsid w:val="00446CE9"/>
    <w:rsid w:val="00447688"/>
    <w:rsid w:val="00447AF6"/>
    <w:rsid w:val="00447F1A"/>
    <w:rsid w:val="00447FA1"/>
    <w:rsid w:val="00453C64"/>
    <w:rsid w:val="00455421"/>
    <w:rsid w:val="00455551"/>
    <w:rsid w:val="00455E73"/>
    <w:rsid w:val="00455F6B"/>
    <w:rsid w:val="00456454"/>
    <w:rsid w:val="00456B68"/>
    <w:rsid w:val="00456C9B"/>
    <w:rsid w:val="00457E8D"/>
    <w:rsid w:val="004601E5"/>
    <w:rsid w:val="00462375"/>
    <w:rsid w:val="0046322E"/>
    <w:rsid w:val="0046431E"/>
    <w:rsid w:val="00464B5B"/>
    <w:rsid w:val="00464FFF"/>
    <w:rsid w:val="004667BB"/>
    <w:rsid w:val="0046713E"/>
    <w:rsid w:val="004678CB"/>
    <w:rsid w:val="00471776"/>
    <w:rsid w:val="00471826"/>
    <w:rsid w:val="00471897"/>
    <w:rsid w:val="00472F8A"/>
    <w:rsid w:val="0047336D"/>
    <w:rsid w:val="00473A3A"/>
    <w:rsid w:val="0048066B"/>
    <w:rsid w:val="00480A89"/>
    <w:rsid w:val="00481321"/>
    <w:rsid w:val="004816C5"/>
    <w:rsid w:val="00482C46"/>
    <w:rsid w:val="004837DC"/>
    <w:rsid w:val="00483A32"/>
    <w:rsid w:val="00483F60"/>
    <w:rsid w:val="00484AA7"/>
    <w:rsid w:val="00484CE9"/>
    <w:rsid w:val="00486BB7"/>
    <w:rsid w:val="004878E3"/>
    <w:rsid w:val="00487E91"/>
    <w:rsid w:val="004905D3"/>
    <w:rsid w:val="004916FB"/>
    <w:rsid w:val="00494E25"/>
    <w:rsid w:val="00497A8E"/>
    <w:rsid w:val="004A0151"/>
    <w:rsid w:val="004A4237"/>
    <w:rsid w:val="004A68CB"/>
    <w:rsid w:val="004A7023"/>
    <w:rsid w:val="004B0BDF"/>
    <w:rsid w:val="004B0FD0"/>
    <w:rsid w:val="004B2C39"/>
    <w:rsid w:val="004B35A9"/>
    <w:rsid w:val="004B3779"/>
    <w:rsid w:val="004B390D"/>
    <w:rsid w:val="004B5A4D"/>
    <w:rsid w:val="004B669B"/>
    <w:rsid w:val="004B66FF"/>
    <w:rsid w:val="004B6854"/>
    <w:rsid w:val="004C28F0"/>
    <w:rsid w:val="004C38A0"/>
    <w:rsid w:val="004C4524"/>
    <w:rsid w:val="004C48B1"/>
    <w:rsid w:val="004C5FC2"/>
    <w:rsid w:val="004D0407"/>
    <w:rsid w:val="004D1B18"/>
    <w:rsid w:val="004D21FC"/>
    <w:rsid w:val="004D2DAF"/>
    <w:rsid w:val="004D3389"/>
    <w:rsid w:val="004D3FB5"/>
    <w:rsid w:val="004D664D"/>
    <w:rsid w:val="004D6EEF"/>
    <w:rsid w:val="004D716B"/>
    <w:rsid w:val="004D767B"/>
    <w:rsid w:val="004E0965"/>
    <w:rsid w:val="004E1019"/>
    <w:rsid w:val="004E10F5"/>
    <w:rsid w:val="004E198D"/>
    <w:rsid w:val="004E30C6"/>
    <w:rsid w:val="004E38DA"/>
    <w:rsid w:val="004E44FD"/>
    <w:rsid w:val="004E5461"/>
    <w:rsid w:val="004E5AD8"/>
    <w:rsid w:val="004F0580"/>
    <w:rsid w:val="004F14E8"/>
    <w:rsid w:val="004F2AE7"/>
    <w:rsid w:val="004F51C7"/>
    <w:rsid w:val="004F5704"/>
    <w:rsid w:val="00500631"/>
    <w:rsid w:val="00500BA3"/>
    <w:rsid w:val="00500F6A"/>
    <w:rsid w:val="00502B21"/>
    <w:rsid w:val="00503763"/>
    <w:rsid w:val="00503AA3"/>
    <w:rsid w:val="00504974"/>
    <w:rsid w:val="00505E16"/>
    <w:rsid w:val="005062D3"/>
    <w:rsid w:val="00506B52"/>
    <w:rsid w:val="00507350"/>
    <w:rsid w:val="00511BAB"/>
    <w:rsid w:val="005121F3"/>
    <w:rsid w:val="0051228F"/>
    <w:rsid w:val="00513245"/>
    <w:rsid w:val="0051673B"/>
    <w:rsid w:val="00516B03"/>
    <w:rsid w:val="00516B82"/>
    <w:rsid w:val="00517039"/>
    <w:rsid w:val="00517460"/>
    <w:rsid w:val="00521285"/>
    <w:rsid w:val="00521D2D"/>
    <w:rsid w:val="00522244"/>
    <w:rsid w:val="0052325E"/>
    <w:rsid w:val="0052342B"/>
    <w:rsid w:val="005235FF"/>
    <w:rsid w:val="00527169"/>
    <w:rsid w:val="00527D98"/>
    <w:rsid w:val="00527F11"/>
    <w:rsid w:val="00534CD5"/>
    <w:rsid w:val="00534EFA"/>
    <w:rsid w:val="00534FC1"/>
    <w:rsid w:val="00535494"/>
    <w:rsid w:val="00535578"/>
    <w:rsid w:val="0053614A"/>
    <w:rsid w:val="00536828"/>
    <w:rsid w:val="00536C3A"/>
    <w:rsid w:val="005416A5"/>
    <w:rsid w:val="00542005"/>
    <w:rsid w:val="0054250A"/>
    <w:rsid w:val="005434B3"/>
    <w:rsid w:val="00543CA6"/>
    <w:rsid w:val="00544BC6"/>
    <w:rsid w:val="0054627F"/>
    <w:rsid w:val="005501CF"/>
    <w:rsid w:val="005509BC"/>
    <w:rsid w:val="005525F3"/>
    <w:rsid w:val="00552FBD"/>
    <w:rsid w:val="00553A4A"/>
    <w:rsid w:val="00553F3B"/>
    <w:rsid w:val="005542D0"/>
    <w:rsid w:val="00555DAE"/>
    <w:rsid w:val="00556A7D"/>
    <w:rsid w:val="00556BBA"/>
    <w:rsid w:val="00557598"/>
    <w:rsid w:val="00557B8D"/>
    <w:rsid w:val="00557CAF"/>
    <w:rsid w:val="00557D28"/>
    <w:rsid w:val="005619BD"/>
    <w:rsid w:val="005668F4"/>
    <w:rsid w:val="00567422"/>
    <w:rsid w:val="00570177"/>
    <w:rsid w:val="00570D11"/>
    <w:rsid w:val="005716F4"/>
    <w:rsid w:val="00571B7F"/>
    <w:rsid w:val="00572500"/>
    <w:rsid w:val="00572B37"/>
    <w:rsid w:val="00573030"/>
    <w:rsid w:val="00573039"/>
    <w:rsid w:val="00574360"/>
    <w:rsid w:val="00574525"/>
    <w:rsid w:val="00574D10"/>
    <w:rsid w:val="00574FF7"/>
    <w:rsid w:val="005769AD"/>
    <w:rsid w:val="00576CA5"/>
    <w:rsid w:val="00577518"/>
    <w:rsid w:val="00577D23"/>
    <w:rsid w:val="00580AA6"/>
    <w:rsid w:val="00581E98"/>
    <w:rsid w:val="00581F0F"/>
    <w:rsid w:val="00582338"/>
    <w:rsid w:val="00582504"/>
    <w:rsid w:val="00582E5D"/>
    <w:rsid w:val="005837CC"/>
    <w:rsid w:val="005845B4"/>
    <w:rsid w:val="005848AA"/>
    <w:rsid w:val="00585EF2"/>
    <w:rsid w:val="00586EDF"/>
    <w:rsid w:val="00586F03"/>
    <w:rsid w:val="005913E3"/>
    <w:rsid w:val="0059324E"/>
    <w:rsid w:val="00595002"/>
    <w:rsid w:val="005950A7"/>
    <w:rsid w:val="00595749"/>
    <w:rsid w:val="00595F2C"/>
    <w:rsid w:val="00596462"/>
    <w:rsid w:val="00596746"/>
    <w:rsid w:val="00596776"/>
    <w:rsid w:val="00597475"/>
    <w:rsid w:val="00597476"/>
    <w:rsid w:val="005A0EC6"/>
    <w:rsid w:val="005A20A0"/>
    <w:rsid w:val="005A3123"/>
    <w:rsid w:val="005A49B7"/>
    <w:rsid w:val="005A585F"/>
    <w:rsid w:val="005A614A"/>
    <w:rsid w:val="005B0952"/>
    <w:rsid w:val="005B17A9"/>
    <w:rsid w:val="005B1A8E"/>
    <w:rsid w:val="005B3491"/>
    <w:rsid w:val="005B357B"/>
    <w:rsid w:val="005B4029"/>
    <w:rsid w:val="005B540E"/>
    <w:rsid w:val="005C0C4D"/>
    <w:rsid w:val="005C1FE6"/>
    <w:rsid w:val="005C378D"/>
    <w:rsid w:val="005C3A2E"/>
    <w:rsid w:val="005C4891"/>
    <w:rsid w:val="005C50A5"/>
    <w:rsid w:val="005C641C"/>
    <w:rsid w:val="005C64DF"/>
    <w:rsid w:val="005D01B4"/>
    <w:rsid w:val="005D04CA"/>
    <w:rsid w:val="005D121E"/>
    <w:rsid w:val="005D1DD4"/>
    <w:rsid w:val="005D3BB4"/>
    <w:rsid w:val="005D3C46"/>
    <w:rsid w:val="005D5044"/>
    <w:rsid w:val="005D60B3"/>
    <w:rsid w:val="005D75B5"/>
    <w:rsid w:val="005E144F"/>
    <w:rsid w:val="005E20FB"/>
    <w:rsid w:val="005E42D8"/>
    <w:rsid w:val="005E4AE8"/>
    <w:rsid w:val="005E55DE"/>
    <w:rsid w:val="005E5CA4"/>
    <w:rsid w:val="005E5F40"/>
    <w:rsid w:val="005E6262"/>
    <w:rsid w:val="005E6E6C"/>
    <w:rsid w:val="005E7CDC"/>
    <w:rsid w:val="005F1274"/>
    <w:rsid w:val="005F15C4"/>
    <w:rsid w:val="005F3684"/>
    <w:rsid w:val="005F3ED3"/>
    <w:rsid w:val="005F64FB"/>
    <w:rsid w:val="005F754E"/>
    <w:rsid w:val="00600C3A"/>
    <w:rsid w:val="0060184D"/>
    <w:rsid w:val="00601FD0"/>
    <w:rsid w:val="006022D9"/>
    <w:rsid w:val="00604A42"/>
    <w:rsid w:val="00605646"/>
    <w:rsid w:val="006073FD"/>
    <w:rsid w:val="0061009A"/>
    <w:rsid w:val="006104A8"/>
    <w:rsid w:val="00610DD0"/>
    <w:rsid w:val="00611AD7"/>
    <w:rsid w:val="00612FE8"/>
    <w:rsid w:val="00614814"/>
    <w:rsid w:val="006206C2"/>
    <w:rsid w:val="00621644"/>
    <w:rsid w:val="00621B38"/>
    <w:rsid w:val="00622ACF"/>
    <w:rsid w:val="00622D35"/>
    <w:rsid w:val="006230A3"/>
    <w:rsid w:val="00624758"/>
    <w:rsid w:val="006248CF"/>
    <w:rsid w:val="00626C4B"/>
    <w:rsid w:val="00627B39"/>
    <w:rsid w:val="00627C85"/>
    <w:rsid w:val="00630372"/>
    <w:rsid w:val="00631288"/>
    <w:rsid w:val="0063265B"/>
    <w:rsid w:val="00636D1D"/>
    <w:rsid w:val="006372BC"/>
    <w:rsid w:val="00637423"/>
    <w:rsid w:val="00637DEC"/>
    <w:rsid w:val="00637EFD"/>
    <w:rsid w:val="00641235"/>
    <w:rsid w:val="00643EEF"/>
    <w:rsid w:val="0064437C"/>
    <w:rsid w:val="00644790"/>
    <w:rsid w:val="00646F11"/>
    <w:rsid w:val="00650BC1"/>
    <w:rsid w:val="0065268C"/>
    <w:rsid w:val="0065326D"/>
    <w:rsid w:val="00653E98"/>
    <w:rsid w:val="00655F51"/>
    <w:rsid w:val="00656E84"/>
    <w:rsid w:val="00660AB8"/>
    <w:rsid w:val="006613DC"/>
    <w:rsid w:val="00661625"/>
    <w:rsid w:val="00661FCF"/>
    <w:rsid w:val="00662502"/>
    <w:rsid w:val="0066250C"/>
    <w:rsid w:val="0066351D"/>
    <w:rsid w:val="00664335"/>
    <w:rsid w:val="00665131"/>
    <w:rsid w:val="006651EB"/>
    <w:rsid w:val="0066671E"/>
    <w:rsid w:val="00666FFE"/>
    <w:rsid w:val="00671918"/>
    <w:rsid w:val="006736A7"/>
    <w:rsid w:val="00673BB2"/>
    <w:rsid w:val="00674445"/>
    <w:rsid w:val="00674622"/>
    <w:rsid w:val="006747AE"/>
    <w:rsid w:val="00674D48"/>
    <w:rsid w:val="00674F75"/>
    <w:rsid w:val="00675A61"/>
    <w:rsid w:val="00675F61"/>
    <w:rsid w:val="00676120"/>
    <w:rsid w:val="00677EEE"/>
    <w:rsid w:val="00682B85"/>
    <w:rsid w:val="00682C29"/>
    <w:rsid w:val="00685B2A"/>
    <w:rsid w:val="00686176"/>
    <w:rsid w:val="006877B6"/>
    <w:rsid w:val="00687AFB"/>
    <w:rsid w:val="00690769"/>
    <w:rsid w:val="0069092B"/>
    <w:rsid w:val="00690D24"/>
    <w:rsid w:val="006910B1"/>
    <w:rsid w:val="006924F8"/>
    <w:rsid w:val="00692DC0"/>
    <w:rsid w:val="00693E9E"/>
    <w:rsid w:val="00694984"/>
    <w:rsid w:val="00695091"/>
    <w:rsid w:val="006953C6"/>
    <w:rsid w:val="00695F0D"/>
    <w:rsid w:val="00696168"/>
    <w:rsid w:val="006972CF"/>
    <w:rsid w:val="006A10DC"/>
    <w:rsid w:val="006A16D8"/>
    <w:rsid w:val="006A1FC1"/>
    <w:rsid w:val="006A2510"/>
    <w:rsid w:val="006A2FCA"/>
    <w:rsid w:val="006A3095"/>
    <w:rsid w:val="006A3D80"/>
    <w:rsid w:val="006A3F01"/>
    <w:rsid w:val="006A4D1C"/>
    <w:rsid w:val="006A4D4F"/>
    <w:rsid w:val="006A5207"/>
    <w:rsid w:val="006A5617"/>
    <w:rsid w:val="006A5821"/>
    <w:rsid w:val="006A61A8"/>
    <w:rsid w:val="006A6863"/>
    <w:rsid w:val="006A6DB9"/>
    <w:rsid w:val="006B0724"/>
    <w:rsid w:val="006B0EC6"/>
    <w:rsid w:val="006B26E2"/>
    <w:rsid w:val="006B2B37"/>
    <w:rsid w:val="006B37DD"/>
    <w:rsid w:val="006B50B9"/>
    <w:rsid w:val="006B5916"/>
    <w:rsid w:val="006B5CAF"/>
    <w:rsid w:val="006C0047"/>
    <w:rsid w:val="006C0743"/>
    <w:rsid w:val="006C1A4A"/>
    <w:rsid w:val="006C1ECD"/>
    <w:rsid w:val="006C306A"/>
    <w:rsid w:val="006C33E8"/>
    <w:rsid w:val="006C3A54"/>
    <w:rsid w:val="006C3FCB"/>
    <w:rsid w:val="006C4CB8"/>
    <w:rsid w:val="006C5D81"/>
    <w:rsid w:val="006C61D6"/>
    <w:rsid w:val="006D0370"/>
    <w:rsid w:val="006D0C1B"/>
    <w:rsid w:val="006D3646"/>
    <w:rsid w:val="006D4B7F"/>
    <w:rsid w:val="006D6354"/>
    <w:rsid w:val="006D7B27"/>
    <w:rsid w:val="006E1052"/>
    <w:rsid w:val="006E16AB"/>
    <w:rsid w:val="006E49F6"/>
    <w:rsid w:val="006E65F0"/>
    <w:rsid w:val="006E6803"/>
    <w:rsid w:val="006F01B0"/>
    <w:rsid w:val="006F0367"/>
    <w:rsid w:val="006F052A"/>
    <w:rsid w:val="006F0C23"/>
    <w:rsid w:val="006F0CD4"/>
    <w:rsid w:val="006F1744"/>
    <w:rsid w:val="006F18E2"/>
    <w:rsid w:val="006F3C8D"/>
    <w:rsid w:val="006F60F8"/>
    <w:rsid w:val="006F61F1"/>
    <w:rsid w:val="006F6F88"/>
    <w:rsid w:val="006F7076"/>
    <w:rsid w:val="006F716A"/>
    <w:rsid w:val="0070055A"/>
    <w:rsid w:val="00700575"/>
    <w:rsid w:val="007009F2"/>
    <w:rsid w:val="00704AFC"/>
    <w:rsid w:val="00705480"/>
    <w:rsid w:val="00705754"/>
    <w:rsid w:val="0070582C"/>
    <w:rsid w:val="00705B17"/>
    <w:rsid w:val="007079F2"/>
    <w:rsid w:val="00710108"/>
    <w:rsid w:val="00712B65"/>
    <w:rsid w:val="007139AE"/>
    <w:rsid w:val="00713C0D"/>
    <w:rsid w:val="00714209"/>
    <w:rsid w:val="00716008"/>
    <w:rsid w:val="00721AA0"/>
    <w:rsid w:val="00722891"/>
    <w:rsid w:val="007234D3"/>
    <w:rsid w:val="0072460E"/>
    <w:rsid w:val="007246FD"/>
    <w:rsid w:val="00724ECA"/>
    <w:rsid w:val="00726393"/>
    <w:rsid w:val="007277E3"/>
    <w:rsid w:val="00731843"/>
    <w:rsid w:val="00732080"/>
    <w:rsid w:val="00733D09"/>
    <w:rsid w:val="00734A00"/>
    <w:rsid w:val="00734B7A"/>
    <w:rsid w:val="00735678"/>
    <w:rsid w:val="007368BB"/>
    <w:rsid w:val="00736BD1"/>
    <w:rsid w:val="007371C4"/>
    <w:rsid w:val="00737F0D"/>
    <w:rsid w:val="00740094"/>
    <w:rsid w:val="007405FC"/>
    <w:rsid w:val="00740DE0"/>
    <w:rsid w:val="00741A90"/>
    <w:rsid w:val="007449EB"/>
    <w:rsid w:val="00745301"/>
    <w:rsid w:val="007477EB"/>
    <w:rsid w:val="00747902"/>
    <w:rsid w:val="007507FC"/>
    <w:rsid w:val="00751186"/>
    <w:rsid w:val="00751268"/>
    <w:rsid w:val="00751A67"/>
    <w:rsid w:val="0075255E"/>
    <w:rsid w:val="007528F0"/>
    <w:rsid w:val="00752A2C"/>
    <w:rsid w:val="007531EB"/>
    <w:rsid w:val="00755BF9"/>
    <w:rsid w:val="00756719"/>
    <w:rsid w:val="00760C3C"/>
    <w:rsid w:val="00763756"/>
    <w:rsid w:val="00763F8C"/>
    <w:rsid w:val="0076507B"/>
    <w:rsid w:val="0076509D"/>
    <w:rsid w:val="00765D15"/>
    <w:rsid w:val="007661AC"/>
    <w:rsid w:val="00767CFE"/>
    <w:rsid w:val="00770F8E"/>
    <w:rsid w:val="00771ADC"/>
    <w:rsid w:val="00771C35"/>
    <w:rsid w:val="00771CA0"/>
    <w:rsid w:val="00772BF2"/>
    <w:rsid w:val="00772E17"/>
    <w:rsid w:val="007730BF"/>
    <w:rsid w:val="007734BA"/>
    <w:rsid w:val="00773519"/>
    <w:rsid w:val="00773AE6"/>
    <w:rsid w:val="00773BE0"/>
    <w:rsid w:val="00773F6D"/>
    <w:rsid w:val="00774CEF"/>
    <w:rsid w:val="00775EAB"/>
    <w:rsid w:val="00776029"/>
    <w:rsid w:val="007801BA"/>
    <w:rsid w:val="007809CC"/>
    <w:rsid w:val="00782E33"/>
    <w:rsid w:val="0078422D"/>
    <w:rsid w:val="00791096"/>
    <w:rsid w:val="00791445"/>
    <w:rsid w:val="007919E1"/>
    <w:rsid w:val="00791F60"/>
    <w:rsid w:val="0079233E"/>
    <w:rsid w:val="007948F5"/>
    <w:rsid w:val="0079590A"/>
    <w:rsid w:val="00796662"/>
    <w:rsid w:val="007A073C"/>
    <w:rsid w:val="007A0D8E"/>
    <w:rsid w:val="007A2C1B"/>
    <w:rsid w:val="007A4A40"/>
    <w:rsid w:val="007A59A1"/>
    <w:rsid w:val="007A7631"/>
    <w:rsid w:val="007A7CB4"/>
    <w:rsid w:val="007B0852"/>
    <w:rsid w:val="007B1419"/>
    <w:rsid w:val="007B1442"/>
    <w:rsid w:val="007B1710"/>
    <w:rsid w:val="007B3826"/>
    <w:rsid w:val="007B51D5"/>
    <w:rsid w:val="007B5D3A"/>
    <w:rsid w:val="007B6E15"/>
    <w:rsid w:val="007B78FD"/>
    <w:rsid w:val="007B7B22"/>
    <w:rsid w:val="007C047A"/>
    <w:rsid w:val="007C093C"/>
    <w:rsid w:val="007C1F22"/>
    <w:rsid w:val="007C31F1"/>
    <w:rsid w:val="007C351E"/>
    <w:rsid w:val="007C3D85"/>
    <w:rsid w:val="007C5CAD"/>
    <w:rsid w:val="007C5E39"/>
    <w:rsid w:val="007C67F4"/>
    <w:rsid w:val="007C6ED5"/>
    <w:rsid w:val="007D01C8"/>
    <w:rsid w:val="007D48AB"/>
    <w:rsid w:val="007D4CC1"/>
    <w:rsid w:val="007D4E14"/>
    <w:rsid w:val="007D4E97"/>
    <w:rsid w:val="007D5CBF"/>
    <w:rsid w:val="007D65FE"/>
    <w:rsid w:val="007D7057"/>
    <w:rsid w:val="007D76C4"/>
    <w:rsid w:val="007E3FCA"/>
    <w:rsid w:val="007E4733"/>
    <w:rsid w:val="007E6040"/>
    <w:rsid w:val="007E63CE"/>
    <w:rsid w:val="007E6517"/>
    <w:rsid w:val="007E6746"/>
    <w:rsid w:val="007E6962"/>
    <w:rsid w:val="007E6964"/>
    <w:rsid w:val="007E7F7D"/>
    <w:rsid w:val="007F06EA"/>
    <w:rsid w:val="007F103C"/>
    <w:rsid w:val="007F2515"/>
    <w:rsid w:val="007F2526"/>
    <w:rsid w:val="007F3478"/>
    <w:rsid w:val="007F494E"/>
    <w:rsid w:val="007F4A30"/>
    <w:rsid w:val="007F5DE7"/>
    <w:rsid w:val="007F6F77"/>
    <w:rsid w:val="007F762F"/>
    <w:rsid w:val="007F7E7B"/>
    <w:rsid w:val="008027A6"/>
    <w:rsid w:val="00802837"/>
    <w:rsid w:val="00805141"/>
    <w:rsid w:val="00805941"/>
    <w:rsid w:val="008065C0"/>
    <w:rsid w:val="00806629"/>
    <w:rsid w:val="00810762"/>
    <w:rsid w:val="0081316D"/>
    <w:rsid w:val="008136DC"/>
    <w:rsid w:val="0081375C"/>
    <w:rsid w:val="00814863"/>
    <w:rsid w:val="00814F1A"/>
    <w:rsid w:val="00815D3C"/>
    <w:rsid w:val="008164A6"/>
    <w:rsid w:val="00816CCB"/>
    <w:rsid w:val="008172D6"/>
    <w:rsid w:val="008177BF"/>
    <w:rsid w:val="00820441"/>
    <w:rsid w:val="00820D03"/>
    <w:rsid w:val="00822F20"/>
    <w:rsid w:val="00823A5C"/>
    <w:rsid w:val="00823E2E"/>
    <w:rsid w:val="00824A7E"/>
    <w:rsid w:val="00825A90"/>
    <w:rsid w:val="00825E55"/>
    <w:rsid w:val="008272BC"/>
    <w:rsid w:val="00827A50"/>
    <w:rsid w:val="00830654"/>
    <w:rsid w:val="00830A20"/>
    <w:rsid w:val="00833A8B"/>
    <w:rsid w:val="008346D7"/>
    <w:rsid w:val="0083491D"/>
    <w:rsid w:val="00835CE2"/>
    <w:rsid w:val="00835D46"/>
    <w:rsid w:val="008361EA"/>
    <w:rsid w:val="00837530"/>
    <w:rsid w:val="00837B75"/>
    <w:rsid w:val="00837C4D"/>
    <w:rsid w:val="00837CE9"/>
    <w:rsid w:val="0084034A"/>
    <w:rsid w:val="0084082D"/>
    <w:rsid w:val="00843691"/>
    <w:rsid w:val="008441C5"/>
    <w:rsid w:val="008442F3"/>
    <w:rsid w:val="00845780"/>
    <w:rsid w:val="00845DEA"/>
    <w:rsid w:val="00846669"/>
    <w:rsid w:val="00850EE4"/>
    <w:rsid w:val="008512D9"/>
    <w:rsid w:val="008519AF"/>
    <w:rsid w:val="00851C14"/>
    <w:rsid w:val="008521D2"/>
    <w:rsid w:val="008534DE"/>
    <w:rsid w:val="008534EF"/>
    <w:rsid w:val="008556B9"/>
    <w:rsid w:val="00855A6A"/>
    <w:rsid w:val="00855BF5"/>
    <w:rsid w:val="008563C8"/>
    <w:rsid w:val="0085733F"/>
    <w:rsid w:val="00860DB0"/>
    <w:rsid w:val="00862011"/>
    <w:rsid w:val="00862515"/>
    <w:rsid w:val="0086462B"/>
    <w:rsid w:val="00865270"/>
    <w:rsid w:val="00865717"/>
    <w:rsid w:val="00867A82"/>
    <w:rsid w:val="00867BEB"/>
    <w:rsid w:val="008727CF"/>
    <w:rsid w:val="00875763"/>
    <w:rsid w:val="008762FC"/>
    <w:rsid w:val="008774A4"/>
    <w:rsid w:val="0087759C"/>
    <w:rsid w:val="00880278"/>
    <w:rsid w:val="008804E1"/>
    <w:rsid w:val="008806C6"/>
    <w:rsid w:val="008807F9"/>
    <w:rsid w:val="00882329"/>
    <w:rsid w:val="00883163"/>
    <w:rsid w:val="0088407C"/>
    <w:rsid w:val="0088585E"/>
    <w:rsid w:val="00885D61"/>
    <w:rsid w:val="00887461"/>
    <w:rsid w:val="0088759E"/>
    <w:rsid w:val="00887EF2"/>
    <w:rsid w:val="00890DF0"/>
    <w:rsid w:val="00890F6A"/>
    <w:rsid w:val="00892CDF"/>
    <w:rsid w:val="008950B6"/>
    <w:rsid w:val="00896F55"/>
    <w:rsid w:val="008A12E3"/>
    <w:rsid w:val="008A25D3"/>
    <w:rsid w:val="008A2DEB"/>
    <w:rsid w:val="008A3006"/>
    <w:rsid w:val="008A3587"/>
    <w:rsid w:val="008A3642"/>
    <w:rsid w:val="008A471A"/>
    <w:rsid w:val="008A4758"/>
    <w:rsid w:val="008A4CB2"/>
    <w:rsid w:val="008A6FBF"/>
    <w:rsid w:val="008A709C"/>
    <w:rsid w:val="008B18B5"/>
    <w:rsid w:val="008B240B"/>
    <w:rsid w:val="008B439A"/>
    <w:rsid w:val="008B447E"/>
    <w:rsid w:val="008B586B"/>
    <w:rsid w:val="008B7438"/>
    <w:rsid w:val="008B7443"/>
    <w:rsid w:val="008C05E3"/>
    <w:rsid w:val="008C0950"/>
    <w:rsid w:val="008C0EDE"/>
    <w:rsid w:val="008C12D0"/>
    <w:rsid w:val="008C2ED8"/>
    <w:rsid w:val="008C3111"/>
    <w:rsid w:val="008C79CB"/>
    <w:rsid w:val="008C7D9B"/>
    <w:rsid w:val="008C7DE5"/>
    <w:rsid w:val="008D0465"/>
    <w:rsid w:val="008D0724"/>
    <w:rsid w:val="008D0BF9"/>
    <w:rsid w:val="008D1CBE"/>
    <w:rsid w:val="008D1DD3"/>
    <w:rsid w:val="008D29E2"/>
    <w:rsid w:val="008D57AA"/>
    <w:rsid w:val="008D5A59"/>
    <w:rsid w:val="008D61DA"/>
    <w:rsid w:val="008D6A3D"/>
    <w:rsid w:val="008D6E76"/>
    <w:rsid w:val="008D79F7"/>
    <w:rsid w:val="008E02CD"/>
    <w:rsid w:val="008E2649"/>
    <w:rsid w:val="008E2D57"/>
    <w:rsid w:val="008E52E4"/>
    <w:rsid w:val="008E69D7"/>
    <w:rsid w:val="008E6FDC"/>
    <w:rsid w:val="008F058F"/>
    <w:rsid w:val="008F0E84"/>
    <w:rsid w:val="008F1CC9"/>
    <w:rsid w:val="008F2428"/>
    <w:rsid w:val="008F2445"/>
    <w:rsid w:val="008F25B9"/>
    <w:rsid w:val="008F2C6B"/>
    <w:rsid w:val="008F2FDE"/>
    <w:rsid w:val="008F3B03"/>
    <w:rsid w:val="008F43E1"/>
    <w:rsid w:val="008F4991"/>
    <w:rsid w:val="008F580B"/>
    <w:rsid w:val="008F5D46"/>
    <w:rsid w:val="008F6A9B"/>
    <w:rsid w:val="008F766C"/>
    <w:rsid w:val="008F7A94"/>
    <w:rsid w:val="0090097B"/>
    <w:rsid w:val="0090362A"/>
    <w:rsid w:val="009036EB"/>
    <w:rsid w:val="009044C6"/>
    <w:rsid w:val="009049F8"/>
    <w:rsid w:val="00906AAD"/>
    <w:rsid w:val="0090756A"/>
    <w:rsid w:val="0091020A"/>
    <w:rsid w:val="009133A4"/>
    <w:rsid w:val="0091351A"/>
    <w:rsid w:val="009136C4"/>
    <w:rsid w:val="00915C1A"/>
    <w:rsid w:val="00916806"/>
    <w:rsid w:val="00917407"/>
    <w:rsid w:val="0092045C"/>
    <w:rsid w:val="00920621"/>
    <w:rsid w:val="00920D41"/>
    <w:rsid w:val="00922A13"/>
    <w:rsid w:val="00924127"/>
    <w:rsid w:val="00924178"/>
    <w:rsid w:val="009245D3"/>
    <w:rsid w:val="009248DF"/>
    <w:rsid w:val="00925BD9"/>
    <w:rsid w:val="0092634E"/>
    <w:rsid w:val="00927E3A"/>
    <w:rsid w:val="00931EFA"/>
    <w:rsid w:val="0093421D"/>
    <w:rsid w:val="00934D72"/>
    <w:rsid w:val="009352F0"/>
    <w:rsid w:val="0093635E"/>
    <w:rsid w:val="00936E14"/>
    <w:rsid w:val="00940EF4"/>
    <w:rsid w:val="00941BF0"/>
    <w:rsid w:val="00942471"/>
    <w:rsid w:val="00942F88"/>
    <w:rsid w:val="00943BA7"/>
    <w:rsid w:val="00943CD3"/>
    <w:rsid w:val="0094460C"/>
    <w:rsid w:val="0094467D"/>
    <w:rsid w:val="0094711A"/>
    <w:rsid w:val="00950468"/>
    <w:rsid w:val="00956D7D"/>
    <w:rsid w:val="009575D2"/>
    <w:rsid w:val="00957DA1"/>
    <w:rsid w:val="009609C0"/>
    <w:rsid w:val="00964037"/>
    <w:rsid w:val="009644DA"/>
    <w:rsid w:val="00964975"/>
    <w:rsid w:val="009659C9"/>
    <w:rsid w:val="00965B24"/>
    <w:rsid w:val="00966109"/>
    <w:rsid w:val="00967B83"/>
    <w:rsid w:val="00970D58"/>
    <w:rsid w:val="009717CF"/>
    <w:rsid w:val="009767AB"/>
    <w:rsid w:val="009771E6"/>
    <w:rsid w:val="009774E8"/>
    <w:rsid w:val="00977A8C"/>
    <w:rsid w:val="00977C3D"/>
    <w:rsid w:val="0098039A"/>
    <w:rsid w:val="009827FC"/>
    <w:rsid w:val="00982A51"/>
    <w:rsid w:val="009830D2"/>
    <w:rsid w:val="009877F2"/>
    <w:rsid w:val="00990137"/>
    <w:rsid w:val="00992E78"/>
    <w:rsid w:val="00993061"/>
    <w:rsid w:val="00993D66"/>
    <w:rsid w:val="00994C60"/>
    <w:rsid w:val="00997124"/>
    <w:rsid w:val="00997589"/>
    <w:rsid w:val="00997D65"/>
    <w:rsid w:val="009A13B1"/>
    <w:rsid w:val="009A4047"/>
    <w:rsid w:val="009A69BA"/>
    <w:rsid w:val="009B2ABF"/>
    <w:rsid w:val="009B62AE"/>
    <w:rsid w:val="009B7959"/>
    <w:rsid w:val="009C0FD3"/>
    <w:rsid w:val="009C12D6"/>
    <w:rsid w:val="009C2AD6"/>
    <w:rsid w:val="009C2F0F"/>
    <w:rsid w:val="009C39A4"/>
    <w:rsid w:val="009C3C6D"/>
    <w:rsid w:val="009C410F"/>
    <w:rsid w:val="009C4CCA"/>
    <w:rsid w:val="009C5325"/>
    <w:rsid w:val="009D02D2"/>
    <w:rsid w:val="009D1634"/>
    <w:rsid w:val="009D3D05"/>
    <w:rsid w:val="009D41A6"/>
    <w:rsid w:val="009D52DC"/>
    <w:rsid w:val="009E1D26"/>
    <w:rsid w:val="009E2456"/>
    <w:rsid w:val="009E29C2"/>
    <w:rsid w:val="009E3D70"/>
    <w:rsid w:val="009E492D"/>
    <w:rsid w:val="009E56F9"/>
    <w:rsid w:val="009E597A"/>
    <w:rsid w:val="009E68E0"/>
    <w:rsid w:val="009F0178"/>
    <w:rsid w:val="009F0837"/>
    <w:rsid w:val="009F105C"/>
    <w:rsid w:val="009F1E07"/>
    <w:rsid w:val="009F20B4"/>
    <w:rsid w:val="009F2DA6"/>
    <w:rsid w:val="009F2E97"/>
    <w:rsid w:val="009F3CB8"/>
    <w:rsid w:val="009F3F90"/>
    <w:rsid w:val="009F4DF3"/>
    <w:rsid w:val="009F5378"/>
    <w:rsid w:val="009F5F3C"/>
    <w:rsid w:val="00A014DC"/>
    <w:rsid w:val="00A01D9A"/>
    <w:rsid w:val="00A04396"/>
    <w:rsid w:val="00A07278"/>
    <w:rsid w:val="00A07827"/>
    <w:rsid w:val="00A07BBB"/>
    <w:rsid w:val="00A10027"/>
    <w:rsid w:val="00A11FEF"/>
    <w:rsid w:val="00A13EC1"/>
    <w:rsid w:val="00A15140"/>
    <w:rsid w:val="00A16D86"/>
    <w:rsid w:val="00A17BDB"/>
    <w:rsid w:val="00A23EC6"/>
    <w:rsid w:val="00A2567C"/>
    <w:rsid w:val="00A30648"/>
    <w:rsid w:val="00A31120"/>
    <w:rsid w:val="00A3130C"/>
    <w:rsid w:val="00A31532"/>
    <w:rsid w:val="00A31EAD"/>
    <w:rsid w:val="00A31EF3"/>
    <w:rsid w:val="00A32183"/>
    <w:rsid w:val="00A32D07"/>
    <w:rsid w:val="00A35210"/>
    <w:rsid w:val="00A3522F"/>
    <w:rsid w:val="00A374D2"/>
    <w:rsid w:val="00A376B5"/>
    <w:rsid w:val="00A37C21"/>
    <w:rsid w:val="00A42A60"/>
    <w:rsid w:val="00A4304E"/>
    <w:rsid w:val="00A439D5"/>
    <w:rsid w:val="00A43A21"/>
    <w:rsid w:val="00A442CE"/>
    <w:rsid w:val="00A442D4"/>
    <w:rsid w:val="00A44591"/>
    <w:rsid w:val="00A44E90"/>
    <w:rsid w:val="00A450D1"/>
    <w:rsid w:val="00A45212"/>
    <w:rsid w:val="00A452AA"/>
    <w:rsid w:val="00A465D4"/>
    <w:rsid w:val="00A46ED1"/>
    <w:rsid w:val="00A477E7"/>
    <w:rsid w:val="00A47861"/>
    <w:rsid w:val="00A512A3"/>
    <w:rsid w:val="00A524F3"/>
    <w:rsid w:val="00A53EC5"/>
    <w:rsid w:val="00A5581A"/>
    <w:rsid w:val="00A565C1"/>
    <w:rsid w:val="00A578FD"/>
    <w:rsid w:val="00A57EA6"/>
    <w:rsid w:val="00A60A1B"/>
    <w:rsid w:val="00A61510"/>
    <w:rsid w:val="00A61C6B"/>
    <w:rsid w:val="00A61D52"/>
    <w:rsid w:val="00A61FEF"/>
    <w:rsid w:val="00A62A5E"/>
    <w:rsid w:val="00A639BB"/>
    <w:rsid w:val="00A64F27"/>
    <w:rsid w:val="00A65096"/>
    <w:rsid w:val="00A65445"/>
    <w:rsid w:val="00A660C6"/>
    <w:rsid w:val="00A66474"/>
    <w:rsid w:val="00A67008"/>
    <w:rsid w:val="00A673C4"/>
    <w:rsid w:val="00A676A3"/>
    <w:rsid w:val="00A67A2F"/>
    <w:rsid w:val="00A67DBC"/>
    <w:rsid w:val="00A70913"/>
    <w:rsid w:val="00A71B17"/>
    <w:rsid w:val="00A72799"/>
    <w:rsid w:val="00A7391C"/>
    <w:rsid w:val="00A74DDE"/>
    <w:rsid w:val="00A751DB"/>
    <w:rsid w:val="00A765C0"/>
    <w:rsid w:val="00A77C69"/>
    <w:rsid w:val="00A802DF"/>
    <w:rsid w:val="00A822CA"/>
    <w:rsid w:val="00A831E9"/>
    <w:rsid w:val="00A83BA9"/>
    <w:rsid w:val="00A84178"/>
    <w:rsid w:val="00A8425D"/>
    <w:rsid w:val="00A846CF"/>
    <w:rsid w:val="00A849A5"/>
    <w:rsid w:val="00A84D83"/>
    <w:rsid w:val="00A855F4"/>
    <w:rsid w:val="00A86C7D"/>
    <w:rsid w:val="00A86EA5"/>
    <w:rsid w:val="00A900EC"/>
    <w:rsid w:val="00A918FC"/>
    <w:rsid w:val="00A9269A"/>
    <w:rsid w:val="00A92BC9"/>
    <w:rsid w:val="00A92F46"/>
    <w:rsid w:val="00A94AAC"/>
    <w:rsid w:val="00A94EFA"/>
    <w:rsid w:val="00A95177"/>
    <w:rsid w:val="00A9738F"/>
    <w:rsid w:val="00A976BE"/>
    <w:rsid w:val="00AA07FF"/>
    <w:rsid w:val="00AA0C85"/>
    <w:rsid w:val="00AA1ABA"/>
    <w:rsid w:val="00AA255A"/>
    <w:rsid w:val="00AA59A2"/>
    <w:rsid w:val="00AA5A84"/>
    <w:rsid w:val="00AB0C16"/>
    <w:rsid w:val="00AB1A7F"/>
    <w:rsid w:val="00AB1C0D"/>
    <w:rsid w:val="00AB286E"/>
    <w:rsid w:val="00AB2A4D"/>
    <w:rsid w:val="00AB2CB5"/>
    <w:rsid w:val="00AB3280"/>
    <w:rsid w:val="00AB3ADC"/>
    <w:rsid w:val="00AB3D2C"/>
    <w:rsid w:val="00AB5405"/>
    <w:rsid w:val="00AB5DB7"/>
    <w:rsid w:val="00AB6D2C"/>
    <w:rsid w:val="00AB7EAA"/>
    <w:rsid w:val="00AC100F"/>
    <w:rsid w:val="00AC29DE"/>
    <w:rsid w:val="00AC4392"/>
    <w:rsid w:val="00AC44ED"/>
    <w:rsid w:val="00AC60DD"/>
    <w:rsid w:val="00AD0964"/>
    <w:rsid w:val="00AD09E8"/>
    <w:rsid w:val="00AD266D"/>
    <w:rsid w:val="00AD3094"/>
    <w:rsid w:val="00AD390C"/>
    <w:rsid w:val="00AD68E7"/>
    <w:rsid w:val="00AE114B"/>
    <w:rsid w:val="00AE1B44"/>
    <w:rsid w:val="00AE288E"/>
    <w:rsid w:val="00AE3C77"/>
    <w:rsid w:val="00AE778F"/>
    <w:rsid w:val="00AE7A40"/>
    <w:rsid w:val="00AF0577"/>
    <w:rsid w:val="00AF2926"/>
    <w:rsid w:val="00AF2B97"/>
    <w:rsid w:val="00AF47A3"/>
    <w:rsid w:val="00AF51A0"/>
    <w:rsid w:val="00AF55A3"/>
    <w:rsid w:val="00AF58EE"/>
    <w:rsid w:val="00AF615E"/>
    <w:rsid w:val="00AF6474"/>
    <w:rsid w:val="00AF6521"/>
    <w:rsid w:val="00AF656B"/>
    <w:rsid w:val="00AF6BB0"/>
    <w:rsid w:val="00AF7B1D"/>
    <w:rsid w:val="00B00C5F"/>
    <w:rsid w:val="00B01129"/>
    <w:rsid w:val="00B020BA"/>
    <w:rsid w:val="00B02A1B"/>
    <w:rsid w:val="00B02D1E"/>
    <w:rsid w:val="00B03A8E"/>
    <w:rsid w:val="00B03AE8"/>
    <w:rsid w:val="00B0591F"/>
    <w:rsid w:val="00B0625A"/>
    <w:rsid w:val="00B06D02"/>
    <w:rsid w:val="00B07CFE"/>
    <w:rsid w:val="00B1157D"/>
    <w:rsid w:val="00B12BB7"/>
    <w:rsid w:val="00B12DAB"/>
    <w:rsid w:val="00B148C6"/>
    <w:rsid w:val="00B14E4E"/>
    <w:rsid w:val="00B17B82"/>
    <w:rsid w:val="00B17CD5"/>
    <w:rsid w:val="00B201E3"/>
    <w:rsid w:val="00B20C12"/>
    <w:rsid w:val="00B21485"/>
    <w:rsid w:val="00B21C36"/>
    <w:rsid w:val="00B224C4"/>
    <w:rsid w:val="00B22896"/>
    <w:rsid w:val="00B23422"/>
    <w:rsid w:val="00B235D5"/>
    <w:rsid w:val="00B23CD8"/>
    <w:rsid w:val="00B243DB"/>
    <w:rsid w:val="00B2446C"/>
    <w:rsid w:val="00B251D0"/>
    <w:rsid w:val="00B25E45"/>
    <w:rsid w:val="00B26654"/>
    <w:rsid w:val="00B26BA1"/>
    <w:rsid w:val="00B2772F"/>
    <w:rsid w:val="00B27A86"/>
    <w:rsid w:val="00B30DBE"/>
    <w:rsid w:val="00B327C0"/>
    <w:rsid w:val="00B32995"/>
    <w:rsid w:val="00B32998"/>
    <w:rsid w:val="00B32D15"/>
    <w:rsid w:val="00B33461"/>
    <w:rsid w:val="00B33CE3"/>
    <w:rsid w:val="00B35253"/>
    <w:rsid w:val="00B36574"/>
    <w:rsid w:val="00B3773D"/>
    <w:rsid w:val="00B40432"/>
    <w:rsid w:val="00B40D1F"/>
    <w:rsid w:val="00B40EDC"/>
    <w:rsid w:val="00B414C8"/>
    <w:rsid w:val="00B41FAA"/>
    <w:rsid w:val="00B42976"/>
    <w:rsid w:val="00B4345E"/>
    <w:rsid w:val="00B437CB"/>
    <w:rsid w:val="00B44EEF"/>
    <w:rsid w:val="00B44FE6"/>
    <w:rsid w:val="00B45F23"/>
    <w:rsid w:val="00B475B9"/>
    <w:rsid w:val="00B502E9"/>
    <w:rsid w:val="00B50819"/>
    <w:rsid w:val="00B50BD6"/>
    <w:rsid w:val="00B50C31"/>
    <w:rsid w:val="00B51645"/>
    <w:rsid w:val="00B51A47"/>
    <w:rsid w:val="00B521C7"/>
    <w:rsid w:val="00B52FCB"/>
    <w:rsid w:val="00B530C6"/>
    <w:rsid w:val="00B534DB"/>
    <w:rsid w:val="00B53796"/>
    <w:rsid w:val="00B55158"/>
    <w:rsid w:val="00B62086"/>
    <w:rsid w:val="00B62A6F"/>
    <w:rsid w:val="00B641C4"/>
    <w:rsid w:val="00B64A76"/>
    <w:rsid w:val="00B65BBB"/>
    <w:rsid w:val="00B66BEF"/>
    <w:rsid w:val="00B70200"/>
    <w:rsid w:val="00B70A1C"/>
    <w:rsid w:val="00B71126"/>
    <w:rsid w:val="00B72B9D"/>
    <w:rsid w:val="00B72C34"/>
    <w:rsid w:val="00B72F96"/>
    <w:rsid w:val="00B73E53"/>
    <w:rsid w:val="00B7430E"/>
    <w:rsid w:val="00B77FE5"/>
    <w:rsid w:val="00B800E2"/>
    <w:rsid w:val="00B801CD"/>
    <w:rsid w:val="00B8069F"/>
    <w:rsid w:val="00B81680"/>
    <w:rsid w:val="00B81853"/>
    <w:rsid w:val="00B81B55"/>
    <w:rsid w:val="00B82A3A"/>
    <w:rsid w:val="00B8384B"/>
    <w:rsid w:val="00B8446A"/>
    <w:rsid w:val="00B850E3"/>
    <w:rsid w:val="00B8647F"/>
    <w:rsid w:val="00B87413"/>
    <w:rsid w:val="00B877F9"/>
    <w:rsid w:val="00B90DBC"/>
    <w:rsid w:val="00B921AF"/>
    <w:rsid w:val="00B92E91"/>
    <w:rsid w:val="00B92FA0"/>
    <w:rsid w:val="00B9454A"/>
    <w:rsid w:val="00B94BA6"/>
    <w:rsid w:val="00B94E38"/>
    <w:rsid w:val="00B953AC"/>
    <w:rsid w:val="00B95437"/>
    <w:rsid w:val="00B96C53"/>
    <w:rsid w:val="00BA0B17"/>
    <w:rsid w:val="00BA10AF"/>
    <w:rsid w:val="00BA227D"/>
    <w:rsid w:val="00BA33A6"/>
    <w:rsid w:val="00BA3FEA"/>
    <w:rsid w:val="00BA4CCA"/>
    <w:rsid w:val="00BA5634"/>
    <w:rsid w:val="00BA6715"/>
    <w:rsid w:val="00BA6D46"/>
    <w:rsid w:val="00BB0151"/>
    <w:rsid w:val="00BB0821"/>
    <w:rsid w:val="00BB13CA"/>
    <w:rsid w:val="00BB1457"/>
    <w:rsid w:val="00BB3460"/>
    <w:rsid w:val="00BB6811"/>
    <w:rsid w:val="00BB694D"/>
    <w:rsid w:val="00BB759E"/>
    <w:rsid w:val="00BC01F9"/>
    <w:rsid w:val="00BC1360"/>
    <w:rsid w:val="00BC3212"/>
    <w:rsid w:val="00BC32D3"/>
    <w:rsid w:val="00BC49A4"/>
    <w:rsid w:val="00BC4BF3"/>
    <w:rsid w:val="00BC557F"/>
    <w:rsid w:val="00BC5ED6"/>
    <w:rsid w:val="00BD048E"/>
    <w:rsid w:val="00BD0990"/>
    <w:rsid w:val="00BD0B55"/>
    <w:rsid w:val="00BD2BDF"/>
    <w:rsid w:val="00BD3A8C"/>
    <w:rsid w:val="00BD540B"/>
    <w:rsid w:val="00BD5C54"/>
    <w:rsid w:val="00BE0A4E"/>
    <w:rsid w:val="00BE1C48"/>
    <w:rsid w:val="00BE2DBD"/>
    <w:rsid w:val="00BE31E7"/>
    <w:rsid w:val="00BE34C7"/>
    <w:rsid w:val="00BE44E9"/>
    <w:rsid w:val="00BE5437"/>
    <w:rsid w:val="00BE5584"/>
    <w:rsid w:val="00BE6046"/>
    <w:rsid w:val="00BF21B0"/>
    <w:rsid w:val="00BF3098"/>
    <w:rsid w:val="00BF3D0E"/>
    <w:rsid w:val="00BF428A"/>
    <w:rsid w:val="00BF6506"/>
    <w:rsid w:val="00BF658C"/>
    <w:rsid w:val="00C001B5"/>
    <w:rsid w:val="00C00D2B"/>
    <w:rsid w:val="00C01706"/>
    <w:rsid w:val="00C033D4"/>
    <w:rsid w:val="00C04346"/>
    <w:rsid w:val="00C05AE3"/>
    <w:rsid w:val="00C07532"/>
    <w:rsid w:val="00C07C74"/>
    <w:rsid w:val="00C10FB4"/>
    <w:rsid w:val="00C11854"/>
    <w:rsid w:val="00C12037"/>
    <w:rsid w:val="00C131BF"/>
    <w:rsid w:val="00C13C2F"/>
    <w:rsid w:val="00C14979"/>
    <w:rsid w:val="00C154BD"/>
    <w:rsid w:val="00C16B17"/>
    <w:rsid w:val="00C16B7A"/>
    <w:rsid w:val="00C208E2"/>
    <w:rsid w:val="00C2154D"/>
    <w:rsid w:val="00C24A60"/>
    <w:rsid w:val="00C252FB"/>
    <w:rsid w:val="00C30039"/>
    <w:rsid w:val="00C311E1"/>
    <w:rsid w:val="00C347BA"/>
    <w:rsid w:val="00C34A18"/>
    <w:rsid w:val="00C34A92"/>
    <w:rsid w:val="00C36483"/>
    <w:rsid w:val="00C36B24"/>
    <w:rsid w:val="00C37C97"/>
    <w:rsid w:val="00C37F6B"/>
    <w:rsid w:val="00C400A0"/>
    <w:rsid w:val="00C4020A"/>
    <w:rsid w:val="00C402BB"/>
    <w:rsid w:val="00C40BD3"/>
    <w:rsid w:val="00C41D14"/>
    <w:rsid w:val="00C42DD6"/>
    <w:rsid w:val="00C45798"/>
    <w:rsid w:val="00C45DDD"/>
    <w:rsid w:val="00C460B9"/>
    <w:rsid w:val="00C50200"/>
    <w:rsid w:val="00C50447"/>
    <w:rsid w:val="00C50D84"/>
    <w:rsid w:val="00C52914"/>
    <w:rsid w:val="00C53E88"/>
    <w:rsid w:val="00C54372"/>
    <w:rsid w:val="00C54497"/>
    <w:rsid w:val="00C546A2"/>
    <w:rsid w:val="00C57436"/>
    <w:rsid w:val="00C60D2F"/>
    <w:rsid w:val="00C616ED"/>
    <w:rsid w:val="00C62EB2"/>
    <w:rsid w:val="00C63003"/>
    <w:rsid w:val="00C63C60"/>
    <w:rsid w:val="00C645A2"/>
    <w:rsid w:val="00C65E87"/>
    <w:rsid w:val="00C66237"/>
    <w:rsid w:val="00C664AE"/>
    <w:rsid w:val="00C66993"/>
    <w:rsid w:val="00C70458"/>
    <w:rsid w:val="00C7054A"/>
    <w:rsid w:val="00C705CD"/>
    <w:rsid w:val="00C71778"/>
    <w:rsid w:val="00C74284"/>
    <w:rsid w:val="00C7454D"/>
    <w:rsid w:val="00C76B99"/>
    <w:rsid w:val="00C77B83"/>
    <w:rsid w:val="00C84323"/>
    <w:rsid w:val="00C85506"/>
    <w:rsid w:val="00C85C45"/>
    <w:rsid w:val="00C861D2"/>
    <w:rsid w:val="00C87338"/>
    <w:rsid w:val="00C87A5A"/>
    <w:rsid w:val="00C87F11"/>
    <w:rsid w:val="00C905D5"/>
    <w:rsid w:val="00C946A2"/>
    <w:rsid w:val="00C961E9"/>
    <w:rsid w:val="00C96ACA"/>
    <w:rsid w:val="00C96E15"/>
    <w:rsid w:val="00CA0287"/>
    <w:rsid w:val="00CA0580"/>
    <w:rsid w:val="00CA069E"/>
    <w:rsid w:val="00CA32C1"/>
    <w:rsid w:val="00CA3BC8"/>
    <w:rsid w:val="00CA485C"/>
    <w:rsid w:val="00CA5A82"/>
    <w:rsid w:val="00CA6286"/>
    <w:rsid w:val="00CB1CFC"/>
    <w:rsid w:val="00CB430E"/>
    <w:rsid w:val="00CB4979"/>
    <w:rsid w:val="00CB528C"/>
    <w:rsid w:val="00CB5506"/>
    <w:rsid w:val="00CB6202"/>
    <w:rsid w:val="00CB641A"/>
    <w:rsid w:val="00CB6BF9"/>
    <w:rsid w:val="00CC07C6"/>
    <w:rsid w:val="00CC08B1"/>
    <w:rsid w:val="00CC2C5B"/>
    <w:rsid w:val="00CC2D54"/>
    <w:rsid w:val="00CC3E87"/>
    <w:rsid w:val="00CC52A7"/>
    <w:rsid w:val="00CC62BA"/>
    <w:rsid w:val="00CC6566"/>
    <w:rsid w:val="00CD0E5F"/>
    <w:rsid w:val="00CD0F74"/>
    <w:rsid w:val="00CD143D"/>
    <w:rsid w:val="00CD1EEB"/>
    <w:rsid w:val="00CD245F"/>
    <w:rsid w:val="00CD5F67"/>
    <w:rsid w:val="00CD70AD"/>
    <w:rsid w:val="00CD7AA3"/>
    <w:rsid w:val="00CE05B0"/>
    <w:rsid w:val="00CE0E8C"/>
    <w:rsid w:val="00CE19A0"/>
    <w:rsid w:val="00CE200C"/>
    <w:rsid w:val="00CE3144"/>
    <w:rsid w:val="00CE42EE"/>
    <w:rsid w:val="00CE65FF"/>
    <w:rsid w:val="00CF2516"/>
    <w:rsid w:val="00CF2AB2"/>
    <w:rsid w:val="00CF2E7C"/>
    <w:rsid w:val="00CF3751"/>
    <w:rsid w:val="00CF49B8"/>
    <w:rsid w:val="00CF5918"/>
    <w:rsid w:val="00CF6825"/>
    <w:rsid w:val="00CF6C1D"/>
    <w:rsid w:val="00CF704E"/>
    <w:rsid w:val="00CF740C"/>
    <w:rsid w:val="00D0026C"/>
    <w:rsid w:val="00D00806"/>
    <w:rsid w:val="00D01260"/>
    <w:rsid w:val="00D01665"/>
    <w:rsid w:val="00D02378"/>
    <w:rsid w:val="00D02CA2"/>
    <w:rsid w:val="00D03040"/>
    <w:rsid w:val="00D052DF"/>
    <w:rsid w:val="00D061FA"/>
    <w:rsid w:val="00D069DD"/>
    <w:rsid w:val="00D07B59"/>
    <w:rsid w:val="00D10A5F"/>
    <w:rsid w:val="00D10DAB"/>
    <w:rsid w:val="00D10FDA"/>
    <w:rsid w:val="00D1121C"/>
    <w:rsid w:val="00D140FB"/>
    <w:rsid w:val="00D155BF"/>
    <w:rsid w:val="00D157F1"/>
    <w:rsid w:val="00D15B69"/>
    <w:rsid w:val="00D20595"/>
    <w:rsid w:val="00D20AE5"/>
    <w:rsid w:val="00D216EE"/>
    <w:rsid w:val="00D21F76"/>
    <w:rsid w:val="00D2307C"/>
    <w:rsid w:val="00D238D6"/>
    <w:rsid w:val="00D238E7"/>
    <w:rsid w:val="00D24CF5"/>
    <w:rsid w:val="00D25048"/>
    <w:rsid w:val="00D25176"/>
    <w:rsid w:val="00D2684B"/>
    <w:rsid w:val="00D278B0"/>
    <w:rsid w:val="00D27C61"/>
    <w:rsid w:val="00D304D7"/>
    <w:rsid w:val="00D30609"/>
    <w:rsid w:val="00D32283"/>
    <w:rsid w:val="00D3257B"/>
    <w:rsid w:val="00D3342C"/>
    <w:rsid w:val="00D34120"/>
    <w:rsid w:val="00D36FA7"/>
    <w:rsid w:val="00D43E93"/>
    <w:rsid w:val="00D43F78"/>
    <w:rsid w:val="00D4544C"/>
    <w:rsid w:val="00D45685"/>
    <w:rsid w:val="00D45C92"/>
    <w:rsid w:val="00D4738C"/>
    <w:rsid w:val="00D513E9"/>
    <w:rsid w:val="00D52185"/>
    <w:rsid w:val="00D52C78"/>
    <w:rsid w:val="00D53862"/>
    <w:rsid w:val="00D53C19"/>
    <w:rsid w:val="00D5471A"/>
    <w:rsid w:val="00D54C0C"/>
    <w:rsid w:val="00D54FE1"/>
    <w:rsid w:val="00D563F4"/>
    <w:rsid w:val="00D56780"/>
    <w:rsid w:val="00D56A63"/>
    <w:rsid w:val="00D56C34"/>
    <w:rsid w:val="00D576A4"/>
    <w:rsid w:val="00D60733"/>
    <w:rsid w:val="00D62C8E"/>
    <w:rsid w:val="00D631AE"/>
    <w:rsid w:val="00D7153F"/>
    <w:rsid w:val="00D7194E"/>
    <w:rsid w:val="00D7216E"/>
    <w:rsid w:val="00D72A1C"/>
    <w:rsid w:val="00D73192"/>
    <w:rsid w:val="00D731FF"/>
    <w:rsid w:val="00D73B0A"/>
    <w:rsid w:val="00D747F9"/>
    <w:rsid w:val="00D76A5C"/>
    <w:rsid w:val="00D77150"/>
    <w:rsid w:val="00D812FA"/>
    <w:rsid w:val="00D81A24"/>
    <w:rsid w:val="00D826F8"/>
    <w:rsid w:val="00D82DBB"/>
    <w:rsid w:val="00D830DA"/>
    <w:rsid w:val="00D83485"/>
    <w:rsid w:val="00D83510"/>
    <w:rsid w:val="00D84AE7"/>
    <w:rsid w:val="00D859D5"/>
    <w:rsid w:val="00D85A99"/>
    <w:rsid w:val="00D87635"/>
    <w:rsid w:val="00D901C0"/>
    <w:rsid w:val="00D9252B"/>
    <w:rsid w:val="00D92B03"/>
    <w:rsid w:val="00D92F41"/>
    <w:rsid w:val="00D931A8"/>
    <w:rsid w:val="00D93250"/>
    <w:rsid w:val="00D937E2"/>
    <w:rsid w:val="00D9491B"/>
    <w:rsid w:val="00D94BC8"/>
    <w:rsid w:val="00D94C8E"/>
    <w:rsid w:val="00D94D55"/>
    <w:rsid w:val="00D952F4"/>
    <w:rsid w:val="00D95CDB"/>
    <w:rsid w:val="00D97004"/>
    <w:rsid w:val="00D976C3"/>
    <w:rsid w:val="00DA1C13"/>
    <w:rsid w:val="00DA2003"/>
    <w:rsid w:val="00DA2317"/>
    <w:rsid w:val="00DA31ED"/>
    <w:rsid w:val="00DA77EE"/>
    <w:rsid w:val="00DB1D18"/>
    <w:rsid w:val="00DB231B"/>
    <w:rsid w:val="00DB2EBA"/>
    <w:rsid w:val="00DB4D46"/>
    <w:rsid w:val="00DB5015"/>
    <w:rsid w:val="00DB6C57"/>
    <w:rsid w:val="00DB713C"/>
    <w:rsid w:val="00DB72C9"/>
    <w:rsid w:val="00DC0066"/>
    <w:rsid w:val="00DC2B64"/>
    <w:rsid w:val="00DC46A3"/>
    <w:rsid w:val="00DC485D"/>
    <w:rsid w:val="00DC4CE6"/>
    <w:rsid w:val="00DC55A6"/>
    <w:rsid w:val="00DC6DD7"/>
    <w:rsid w:val="00DD09E6"/>
    <w:rsid w:val="00DD0ECF"/>
    <w:rsid w:val="00DD3473"/>
    <w:rsid w:val="00DD3E8C"/>
    <w:rsid w:val="00DD771E"/>
    <w:rsid w:val="00DD778B"/>
    <w:rsid w:val="00DE2A10"/>
    <w:rsid w:val="00DE3A2B"/>
    <w:rsid w:val="00DE3DF9"/>
    <w:rsid w:val="00DE47DA"/>
    <w:rsid w:val="00DE6514"/>
    <w:rsid w:val="00DF225A"/>
    <w:rsid w:val="00DF2CD3"/>
    <w:rsid w:val="00DF2F29"/>
    <w:rsid w:val="00DF35DA"/>
    <w:rsid w:val="00DF5302"/>
    <w:rsid w:val="00DF5875"/>
    <w:rsid w:val="00DF65A6"/>
    <w:rsid w:val="00DF77D8"/>
    <w:rsid w:val="00E000F1"/>
    <w:rsid w:val="00E016F0"/>
    <w:rsid w:val="00E05314"/>
    <w:rsid w:val="00E058AB"/>
    <w:rsid w:val="00E05B4D"/>
    <w:rsid w:val="00E05ECE"/>
    <w:rsid w:val="00E0674F"/>
    <w:rsid w:val="00E101AA"/>
    <w:rsid w:val="00E1056C"/>
    <w:rsid w:val="00E10D1C"/>
    <w:rsid w:val="00E111CB"/>
    <w:rsid w:val="00E115F7"/>
    <w:rsid w:val="00E11A5D"/>
    <w:rsid w:val="00E124AD"/>
    <w:rsid w:val="00E13B7B"/>
    <w:rsid w:val="00E145B3"/>
    <w:rsid w:val="00E17A0D"/>
    <w:rsid w:val="00E2074F"/>
    <w:rsid w:val="00E2193F"/>
    <w:rsid w:val="00E22707"/>
    <w:rsid w:val="00E229EA"/>
    <w:rsid w:val="00E22B43"/>
    <w:rsid w:val="00E2324A"/>
    <w:rsid w:val="00E24043"/>
    <w:rsid w:val="00E24D98"/>
    <w:rsid w:val="00E25E06"/>
    <w:rsid w:val="00E26203"/>
    <w:rsid w:val="00E2667C"/>
    <w:rsid w:val="00E3160D"/>
    <w:rsid w:val="00E31C58"/>
    <w:rsid w:val="00E33C02"/>
    <w:rsid w:val="00E33DD9"/>
    <w:rsid w:val="00E3448B"/>
    <w:rsid w:val="00E34B67"/>
    <w:rsid w:val="00E35F42"/>
    <w:rsid w:val="00E36705"/>
    <w:rsid w:val="00E41331"/>
    <w:rsid w:val="00E4400E"/>
    <w:rsid w:val="00E47275"/>
    <w:rsid w:val="00E47631"/>
    <w:rsid w:val="00E47BB2"/>
    <w:rsid w:val="00E51012"/>
    <w:rsid w:val="00E511F2"/>
    <w:rsid w:val="00E534A1"/>
    <w:rsid w:val="00E54D27"/>
    <w:rsid w:val="00E55B66"/>
    <w:rsid w:val="00E55F2E"/>
    <w:rsid w:val="00E5660E"/>
    <w:rsid w:val="00E61319"/>
    <w:rsid w:val="00E61980"/>
    <w:rsid w:val="00E61C82"/>
    <w:rsid w:val="00E62D33"/>
    <w:rsid w:val="00E636BB"/>
    <w:rsid w:val="00E63FD4"/>
    <w:rsid w:val="00E66B98"/>
    <w:rsid w:val="00E71371"/>
    <w:rsid w:val="00E717F6"/>
    <w:rsid w:val="00E743CB"/>
    <w:rsid w:val="00E75509"/>
    <w:rsid w:val="00E761C9"/>
    <w:rsid w:val="00E7682F"/>
    <w:rsid w:val="00E76F52"/>
    <w:rsid w:val="00E81D30"/>
    <w:rsid w:val="00E821C0"/>
    <w:rsid w:val="00E82277"/>
    <w:rsid w:val="00E82DC3"/>
    <w:rsid w:val="00E835DB"/>
    <w:rsid w:val="00E837DF"/>
    <w:rsid w:val="00E83C8C"/>
    <w:rsid w:val="00E8544B"/>
    <w:rsid w:val="00E8697B"/>
    <w:rsid w:val="00E86BA2"/>
    <w:rsid w:val="00E87D28"/>
    <w:rsid w:val="00E905FB"/>
    <w:rsid w:val="00E90834"/>
    <w:rsid w:val="00E91750"/>
    <w:rsid w:val="00E92913"/>
    <w:rsid w:val="00E963D6"/>
    <w:rsid w:val="00E96489"/>
    <w:rsid w:val="00E96E68"/>
    <w:rsid w:val="00EA1CB3"/>
    <w:rsid w:val="00EA1D2E"/>
    <w:rsid w:val="00EA69DB"/>
    <w:rsid w:val="00EA6AC8"/>
    <w:rsid w:val="00EA7FD9"/>
    <w:rsid w:val="00EB0661"/>
    <w:rsid w:val="00EB0BD6"/>
    <w:rsid w:val="00EB10D6"/>
    <w:rsid w:val="00EB1756"/>
    <w:rsid w:val="00EB28C9"/>
    <w:rsid w:val="00EB2C41"/>
    <w:rsid w:val="00EB35D4"/>
    <w:rsid w:val="00EB386B"/>
    <w:rsid w:val="00EB6430"/>
    <w:rsid w:val="00EC09F1"/>
    <w:rsid w:val="00EC0ED1"/>
    <w:rsid w:val="00EC30D0"/>
    <w:rsid w:val="00EC4F9A"/>
    <w:rsid w:val="00EC51C6"/>
    <w:rsid w:val="00EC5920"/>
    <w:rsid w:val="00EC6961"/>
    <w:rsid w:val="00EC7175"/>
    <w:rsid w:val="00EC7238"/>
    <w:rsid w:val="00EC7444"/>
    <w:rsid w:val="00ED0397"/>
    <w:rsid w:val="00ED144D"/>
    <w:rsid w:val="00ED1525"/>
    <w:rsid w:val="00ED29DA"/>
    <w:rsid w:val="00ED390F"/>
    <w:rsid w:val="00ED3937"/>
    <w:rsid w:val="00ED3C7C"/>
    <w:rsid w:val="00ED5FCB"/>
    <w:rsid w:val="00ED665A"/>
    <w:rsid w:val="00ED7502"/>
    <w:rsid w:val="00EE1326"/>
    <w:rsid w:val="00EE2845"/>
    <w:rsid w:val="00EE2AE3"/>
    <w:rsid w:val="00EE33D8"/>
    <w:rsid w:val="00EE392D"/>
    <w:rsid w:val="00EE3D1F"/>
    <w:rsid w:val="00EE4035"/>
    <w:rsid w:val="00EE53EB"/>
    <w:rsid w:val="00EE58BB"/>
    <w:rsid w:val="00EE5C60"/>
    <w:rsid w:val="00EE6038"/>
    <w:rsid w:val="00EE6619"/>
    <w:rsid w:val="00EE6C50"/>
    <w:rsid w:val="00EE6E1D"/>
    <w:rsid w:val="00EE6EA1"/>
    <w:rsid w:val="00EE735C"/>
    <w:rsid w:val="00EF049D"/>
    <w:rsid w:val="00EF1647"/>
    <w:rsid w:val="00EF28DE"/>
    <w:rsid w:val="00EF58D3"/>
    <w:rsid w:val="00EF5B55"/>
    <w:rsid w:val="00EF7144"/>
    <w:rsid w:val="00EF7E6D"/>
    <w:rsid w:val="00F00A6A"/>
    <w:rsid w:val="00F00BDB"/>
    <w:rsid w:val="00F0164C"/>
    <w:rsid w:val="00F0165E"/>
    <w:rsid w:val="00F023E7"/>
    <w:rsid w:val="00F02F6B"/>
    <w:rsid w:val="00F039A2"/>
    <w:rsid w:val="00F0558B"/>
    <w:rsid w:val="00F05C40"/>
    <w:rsid w:val="00F061FC"/>
    <w:rsid w:val="00F064D2"/>
    <w:rsid w:val="00F07F07"/>
    <w:rsid w:val="00F1169B"/>
    <w:rsid w:val="00F1293A"/>
    <w:rsid w:val="00F1317C"/>
    <w:rsid w:val="00F14C55"/>
    <w:rsid w:val="00F1529A"/>
    <w:rsid w:val="00F1593C"/>
    <w:rsid w:val="00F16602"/>
    <w:rsid w:val="00F2097A"/>
    <w:rsid w:val="00F20C0C"/>
    <w:rsid w:val="00F210F6"/>
    <w:rsid w:val="00F22491"/>
    <w:rsid w:val="00F234D5"/>
    <w:rsid w:val="00F267DF"/>
    <w:rsid w:val="00F26945"/>
    <w:rsid w:val="00F3144B"/>
    <w:rsid w:val="00F337B4"/>
    <w:rsid w:val="00F35F03"/>
    <w:rsid w:val="00F362D8"/>
    <w:rsid w:val="00F37988"/>
    <w:rsid w:val="00F415BD"/>
    <w:rsid w:val="00F41649"/>
    <w:rsid w:val="00F41A9D"/>
    <w:rsid w:val="00F41FD0"/>
    <w:rsid w:val="00F45186"/>
    <w:rsid w:val="00F46042"/>
    <w:rsid w:val="00F46BE9"/>
    <w:rsid w:val="00F47970"/>
    <w:rsid w:val="00F50057"/>
    <w:rsid w:val="00F518C1"/>
    <w:rsid w:val="00F519DD"/>
    <w:rsid w:val="00F524CC"/>
    <w:rsid w:val="00F52B52"/>
    <w:rsid w:val="00F5388F"/>
    <w:rsid w:val="00F54A61"/>
    <w:rsid w:val="00F54ED4"/>
    <w:rsid w:val="00F561C4"/>
    <w:rsid w:val="00F57DDF"/>
    <w:rsid w:val="00F60BAD"/>
    <w:rsid w:val="00F62FBF"/>
    <w:rsid w:val="00F64243"/>
    <w:rsid w:val="00F6499B"/>
    <w:rsid w:val="00F64D7C"/>
    <w:rsid w:val="00F6555F"/>
    <w:rsid w:val="00F66E13"/>
    <w:rsid w:val="00F67548"/>
    <w:rsid w:val="00F676B4"/>
    <w:rsid w:val="00F70A54"/>
    <w:rsid w:val="00F711A0"/>
    <w:rsid w:val="00F724B9"/>
    <w:rsid w:val="00F728C3"/>
    <w:rsid w:val="00F73120"/>
    <w:rsid w:val="00F73463"/>
    <w:rsid w:val="00F738F7"/>
    <w:rsid w:val="00F74477"/>
    <w:rsid w:val="00F76B19"/>
    <w:rsid w:val="00F77104"/>
    <w:rsid w:val="00F80BA4"/>
    <w:rsid w:val="00F81B14"/>
    <w:rsid w:val="00F831C2"/>
    <w:rsid w:val="00F83398"/>
    <w:rsid w:val="00F84E55"/>
    <w:rsid w:val="00F86224"/>
    <w:rsid w:val="00F86263"/>
    <w:rsid w:val="00F872ED"/>
    <w:rsid w:val="00F87D54"/>
    <w:rsid w:val="00F90266"/>
    <w:rsid w:val="00F90842"/>
    <w:rsid w:val="00F90E8A"/>
    <w:rsid w:val="00F91238"/>
    <w:rsid w:val="00F91636"/>
    <w:rsid w:val="00F919C5"/>
    <w:rsid w:val="00F92E74"/>
    <w:rsid w:val="00F93CAD"/>
    <w:rsid w:val="00F93E54"/>
    <w:rsid w:val="00F94675"/>
    <w:rsid w:val="00F95262"/>
    <w:rsid w:val="00F954CD"/>
    <w:rsid w:val="00F95516"/>
    <w:rsid w:val="00F95769"/>
    <w:rsid w:val="00F96312"/>
    <w:rsid w:val="00F963E2"/>
    <w:rsid w:val="00F9646A"/>
    <w:rsid w:val="00F96504"/>
    <w:rsid w:val="00F97A3D"/>
    <w:rsid w:val="00FA272C"/>
    <w:rsid w:val="00FA2D68"/>
    <w:rsid w:val="00FA2F86"/>
    <w:rsid w:val="00FA34B5"/>
    <w:rsid w:val="00FA3668"/>
    <w:rsid w:val="00FA366B"/>
    <w:rsid w:val="00FA4ABB"/>
    <w:rsid w:val="00FA5A1D"/>
    <w:rsid w:val="00FA7D9C"/>
    <w:rsid w:val="00FA7EC5"/>
    <w:rsid w:val="00FB0D95"/>
    <w:rsid w:val="00FB0F69"/>
    <w:rsid w:val="00FB11B1"/>
    <w:rsid w:val="00FB356E"/>
    <w:rsid w:val="00FB51C0"/>
    <w:rsid w:val="00FB6941"/>
    <w:rsid w:val="00FB71E1"/>
    <w:rsid w:val="00FB7991"/>
    <w:rsid w:val="00FC098B"/>
    <w:rsid w:val="00FC0C8B"/>
    <w:rsid w:val="00FC187B"/>
    <w:rsid w:val="00FC1AC0"/>
    <w:rsid w:val="00FC1F72"/>
    <w:rsid w:val="00FC28E7"/>
    <w:rsid w:val="00FC4655"/>
    <w:rsid w:val="00FC4F1F"/>
    <w:rsid w:val="00FC63E9"/>
    <w:rsid w:val="00FD0159"/>
    <w:rsid w:val="00FD0223"/>
    <w:rsid w:val="00FD0330"/>
    <w:rsid w:val="00FD1B51"/>
    <w:rsid w:val="00FD1CE3"/>
    <w:rsid w:val="00FD1E62"/>
    <w:rsid w:val="00FD38B0"/>
    <w:rsid w:val="00FD5619"/>
    <w:rsid w:val="00FD65F9"/>
    <w:rsid w:val="00FE1A35"/>
    <w:rsid w:val="00FE3297"/>
    <w:rsid w:val="00FE3330"/>
    <w:rsid w:val="00FE3384"/>
    <w:rsid w:val="00FE37DB"/>
    <w:rsid w:val="00FE455A"/>
    <w:rsid w:val="00FE4C43"/>
    <w:rsid w:val="00FE598A"/>
    <w:rsid w:val="00FE7695"/>
    <w:rsid w:val="00FE7C8E"/>
    <w:rsid w:val="00FF015D"/>
    <w:rsid w:val="00FF07BB"/>
    <w:rsid w:val="00FF15C8"/>
    <w:rsid w:val="00FF18F3"/>
    <w:rsid w:val="00FF1BD2"/>
    <w:rsid w:val="00FF213E"/>
    <w:rsid w:val="00FF220A"/>
    <w:rsid w:val="00FF2B88"/>
    <w:rsid w:val="00FF3C4F"/>
    <w:rsid w:val="00FF4821"/>
    <w:rsid w:val="00FF48E2"/>
    <w:rsid w:val="00FF53B0"/>
    <w:rsid w:val="00FF6074"/>
    <w:rsid w:val="00FF7AD3"/>
    <w:rsid w:val="00FF7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E84"/>
  </w:style>
  <w:style w:type="paragraph" w:styleId="Nadpis1">
    <w:name w:val="heading 1"/>
    <w:basedOn w:val="Normln"/>
    <w:next w:val="Normln"/>
    <w:link w:val="Nadpis1Char"/>
    <w:uiPriority w:val="9"/>
    <w:qFormat/>
    <w:rsid w:val="00DC00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69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6961"/>
  </w:style>
  <w:style w:type="paragraph" w:styleId="Zpat">
    <w:name w:val="footer"/>
    <w:basedOn w:val="Normln"/>
    <w:link w:val="ZpatChar"/>
    <w:unhideWhenUsed/>
    <w:rsid w:val="00EC6961"/>
    <w:pPr>
      <w:tabs>
        <w:tab w:val="center" w:pos="4536"/>
        <w:tab w:val="right" w:pos="9072"/>
      </w:tabs>
      <w:spacing w:after="0" w:line="240" w:lineRule="auto"/>
    </w:pPr>
  </w:style>
  <w:style w:type="character" w:customStyle="1" w:styleId="ZpatChar">
    <w:name w:val="Zápatí Char"/>
    <w:basedOn w:val="Standardnpsmoodstavce"/>
    <w:link w:val="Zpat"/>
    <w:rsid w:val="00EC6961"/>
  </w:style>
  <w:style w:type="paragraph" w:styleId="Textbubliny">
    <w:name w:val="Balloon Text"/>
    <w:basedOn w:val="Normln"/>
    <w:link w:val="TextbublinyChar"/>
    <w:uiPriority w:val="99"/>
    <w:semiHidden/>
    <w:unhideWhenUsed/>
    <w:rsid w:val="008E69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69D7"/>
    <w:rPr>
      <w:rFonts w:ascii="Tahoma" w:hAnsi="Tahoma" w:cs="Tahoma"/>
      <w:sz w:val="16"/>
      <w:szCs w:val="16"/>
    </w:rPr>
  </w:style>
  <w:style w:type="table" w:styleId="Mkatabulky">
    <w:name w:val="Table Grid"/>
    <w:basedOn w:val="Normlntabulka"/>
    <w:uiPriority w:val="59"/>
    <w:rsid w:val="002F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semiHidden/>
    <w:rsid w:val="002E0017"/>
    <w:rPr>
      <w:color w:val="0000FF"/>
      <w:u w:val="single"/>
    </w:rPr>
  </w:style>
  <w:style w:type="character" w:styleId="Zstupntext">
    <w:name w:val="Placeholder Text"/>
    <w:basedOn w:val="Standardnpsmoodstavce"/>
    <w:uiPriority w:val="99"/>
    <w:semiHidden/>
    <w:rsid w:val="00011FDA"/>
    <w:rPr>
      <w:color w:val="808080"/>
    </w:rPr>
  </w:style>
  <w:style w:type="character" w:styleId="Odkaznakoment">
    <w:name w:val="annotation reference"/>
    <w:basedOn w:val="Standardnpsmoodstavce"/>
    <w:uiPriority w:val="99"/>
    <w:semiHidden/>
    <w:unhideWhenUsed/>
    <w:rsid w:val="00747902"/>
    <w:rPr>
      <w:sz w:val="16"/>
      <w:szCs w:val="16"/>
    </w:rPr>
  </w:style>
  <w:style w:type="paragraph" w:styleId="Textkomente">
    <w:name w:val="annotation text"/>
    <w:basedOn w:val="Normln"/>
    <w:link w:val="TextkomenteChar"/>
    <w:uiPriority w:val="99"/>
    <w:semiHidden/>
    <w:unhideWhenUsed/>
    <w:rsid w:val="00747902"/>
    <w:pPr>
      <w:spacing w:line="240" w:lineRule="auto"/>
    </w:pPr>
    <w:rPr>
      <w:sz w:val="20"/>
      <w:szCs w:val="20"/>
    </w:rPr>
  </w:style>
  <w:style w:type="character" w:customStyle="1" w:styleId="TextkomenteChar">
    <w:name w:val="Text komentáře Char"/>
    <w:basedOn w:val="Standardnpsmoodstavce"/>
    <w:link w:val="Textkomente"/>
    <w:uiPriority w:val="99"/>
    <w:semiHidden/>
    <w:rsid w:val="00747902"/>
    <w:rPr>
      <w:sz w:val="20"/>
      <w:szCs w:val="20"/>
    </w:rPr>
  </w:style>
  <w:style w:type="paragraph" w:styleId="Pedmtkomente">
    <w:name w:val="annotation subject"/>
    <w:basedOn w:val="Textkomente"/>
    <w:next w:val="Textkomente"/>
    <w:link w:val="PedmtkomenteChar"/>
    <w:uiPriority w:val="99"/>
    <w:semiHidden/>
    <w:unhideWhenUsed/>
    <w:rsid w:val="00747902"/>
    <w:rPr>
      <w:b/>
      <w:bCs/>
    </w:rPr>
  </w:style>
  <w:style w:type="character" w:customStyle="1" w:styleId="PedmtkomenteChar">
    <w:name w:val="Předmět komentáře Char"/>
    <w:basedOn w:val="TextkomenteChar"/>
    <w:link w:val="Pedmtkomente"/>
    <w:uiPriority w:val="99"/>
    <w:semiHidden/>
    <w:rsid w:val="00747902"/>
    <w:rPr>
      <w:b/>
      <w:bCs/>
      <w:sz w:val="20"/>
      <w:szCs w:val="20"/>
    </w:rPr>
  </w:style>
  <w:style w:type="paragraph" w:customStyle="1" w:styleId="NormlnKZ">
    <w:name w:val="Normální KZ"/>
    <w:basedOn w:val="Normln"/>
    <w:rsid w:val="000B37AA"/>
    <w:pPr>
      <w:spacing w:after="120" w:line="240" w:lineRule="auto"/>
      <w:ind w:firstLine="425"/>
      <w:jc w:val="both"/>
    </w:pPr>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596462"/>
    <w:pPr>
      <w:ind w:left="720"/>
      <w:contextualSpacing/>
    </w:pPr>
  </w:style>
  <w:style w:type="paragraph" w:styleId="Textpoznpodarou">
    <w:name w:val="footnote text"/>
    <w:basedOn w:val="Normln"/>
    <w:link w:val="TextpoznpodarouChar"/>
    <w:uiPriority w:val="99"/>
    <w:unhideWhenUsed/>
    <w:rsid w:val="00D45C9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45C92"/>
    <w:rPr>
      <w:sz w:val="20"/>
      <w:szCs w:val="20"/>
    </w:rPr>
  </w:style>
  <w:style w:type="character" w:styleId="Znakapoznpodarou">
    <w:name w:val="footnote reference"/>
    <w:basedOn w:val="Standardnpsmoodstavce"/>
    <w:uiPriority w:val="99"/>
    <w:semiHidden/>
    <w:unhideWhenUsed/>
    <w:rsid w:val="00D45C92"/>
    <w:rPr>
      <w:vertAlign w:val="superscript"/>
    </w:rPr>
  </w:style>
  <w:style w:type="paragraph" w:styleId="Bezmezer">
    <w:name w:val="No Spacing"/>
    <w:uiPriority w:val="1"/>
    <w:qFormat/>
    <w:rsid w:val="004B390D"/>
    <w:pPr>
      <w:spacing w:after="0" w:line="240" w:lineRule="auto"/>
    </w:pPr>
  </w:style>
  <w:style w:type="paragraph" w:customStyle="1" w:styleId="rove1">
    <w:name w:val="úroveň 1"/>
    <w:basedOn w:val="Nadpis1"/>
    <w:qFormat/>
    <w:rsid w:val="00DC0066"/>
    <w:pPr>
      <w:keepLines w:val="0"/>
      <w:numPr>
        <w:numId w:val="25"/>
      </w:numPr>
      <w:spacing w:before="120" w:line="360" w:lineRule="auto"/>
      <w:ind w:left="720"/>
    </w:pPr>
    <w:rPr>
      <w:rFonts w:ascii="Arial" w:eastAsia="Times New Roman" w:hAnsi="Arial" w:cs="Arial"/>
      <w:bCs w:val="0"/>
      <w:color w:val="auto"/>
      <w:szCs w:val="24"/>
    </w:rPr>
  </w:style>
  <w:style w:type="paragraph" w:customStyle="1" w:styleId="rove2">
    <w:name w:val="úroveň 2"/>
    <w:basedOn w:val="rove1"/>
    <w:qFormat/>
    <w:rsid w:val="00DC0066"/>
    <w:pPr>
      <w:numPr>
        <w:ilvl w:val="1"/>
      </w:numPr>
      <w:ind w:left="1440" w:hanging="360"/>
      <w:jc w:val="both"/>
    </w:pPr>
    <w:rPr>
      <w:sz w:val="24"/>
    </w:rPr>
  </w:style>
  <w:style w:type="paragraph" w:customStyle="1" w:styleId="rove3">
    <w:name w:val="úroveň3"/>
    <w:basedOn w:val="Normln"/>
    <w:qFormat/>
    <w:rsid w:val="00DC0066"/>
    <w:pPr>
      <w:keepNext/>
      <w:numPr>
        <w:ilvl w:val="2"/>
        <w:numId w:val="25"/>
      </w:numPr>
      <w:spacing w:before="120" w:after="0" w:line="360" w:lineRule="auto"/>
      <w:ind w:left="709" w:hanging="709"/>
      <w:jc w:val="both"/>
      <w:outlineLvl w:val="0"/>
    </w:pPr>
    <w:rPr>
      <w:rFonts w:ascii="Arial" w:eastAsia="Times New Roman" w:hAnsi="Arial" w:cs="Arial"/>
      <w:b/>
      <w:szCs w:val="24"/>
    </w:rPr>
  </w:style>
  <w:style w:type="paragraph" w:customStyle="1" w:styleId="rove4">
    <w:name w:val="úroveň4"/>
    <w:basedOn w:val="rove3"/>
    <w:qFormat/>
    <w:rsid w:val="00DC0066"/>
    <w:pPr>
      <w:numPr>
        <w:ilvl w:val="3"/>
      </w:numPr>
      <w:ind w:left="567" w:hanging="567"/>
    </w:pPr>
    <w:rPr>
      <w:i/>
    </w:rPr>
  </w:style>
  <w:style w:type="paragraph" w:customStyle="1" w:styleId="rove5">
    <w:name w:val="úroveň 5"/>
    <w:basedOn w:val="rove4"/>
    <w:link w:val="rove5Char"/>
    <w:qFormat/>
    <w:rsid w:val="00DC0066"/>
    <w:pPr>
      <w:numPr>
        <w:ilvl w:val="4"/>
      </w:numPr>
      <w:ind w:left="709" w:hanging="709"/>
    </w:pPr>
  </w:style>
  <w:style w:type="character" w:customStyle="1" w:styleId="rove5Char">
    <w:name w:val="úroveň 5 Char"/>
    <w:basedOn w:val="Standardnpsmoodstavce"/>
    <w:link w:val="rove5"/>
    <w:rsid w:val="00DC0066"/>
    <w:rPr>
      <w:rFonts w:ascii="Arial" w:eastAsia="Times New Roman" w:hAnsi="Arial" w:cs="Arial"/>
      <w:b/>
      <w:i/>
      <w:szCs w:val="24"/>
    </w:rPr>
  </w:style>
  <w:style w:type="paragraph" w:customStyle="1" w:styleId="rove6">
    <w:name w:val="úroveň 6"/>
    <w:basedOn w:val="rove5"/>
    <w:qFormat/>
    <w:rsid w:val="00DC0066"/>
    <w:pPr>
      <w:numPr>
        <w:ilvl w:val="5"/>
      </w:numPr>
      <w:spacing w:before="0" w:after="120" w:line="240" w:lineRule="auto"/>
      <w:ind w:left="4320" w:hanging="360"/>
    </w:pPr>
    <w:rPr>
      <w:b w:val="0"/>
    </w:rPr>
  </w:style>
  <w:style w:type="character" w:customStyle="1" w:styleId="Nadpis1Char">
    <w:name w:val="Nadpis 1 Char"/>
    <w:basedOn w:val="Standardnpsmoodstavce"/>
    <w:link w:val="Nadpis1"/>
    <w:uiPriority w:val="9"/>
    <w:rsid w:val="00DC0066"/>
    <w:rPr>
      <w:rFonts w:asciiTheme="majorHAnsi" w:eastAsiaTheme="majorEastAsia" w:hAnsiTheme="majorHAnsi" w:cstheme="majorBidi"/>
      <w:b/>
      <w:bCs/>
      <w:color w:val="365F91" w:themeColor="accent1" w:themeShade="BF"/>
      <w:sz w:val="28"/>
      <w:szCs w:val="28"/>
    </w:rPr>
  </w:style>
  <w:style w:type="character" w:styleId="Sledovanodkaz">
    <w:name w:val="FollowedHyperlink"/>
    <w:basedOn w:val="Standardnpsmoodstavce"/>
    <w:uiPriority w:val="99"/>
    <w:semiHidden/>
    <w:unhideWhenUsed/>
    <w:rsid w:val="00206B08"/>
    <w:rPr>
      <w:color w:val="800080" w:themeColor="followedHyperlink"/>
      <w:u w:val="single"/>
    </w:rPr>
  </w:style>
  <w:style w:type="paragraph" w:styleId="Zkladntext">
    <w:name w:val="Body Text"/>
    <w:basedOn w:val="Normln"/>
    <w:link w:val="ZkladntextChar"/>
    <w:semiHidden/>
    <w:rsid w:val="00C16B17"/>
    <w:pPr>
      <w:spacing w:after="120" w:line="240" w:lineRule="auto"/>
      <w:ind w:firstLine="680"/>
      <w:jc w:val="both"/>
    </w:pPr>
    <w:rPr>
      <w:rFonts w:ascii="Arial" w:eastAsia="Times New Roman" w:hAnsi="Arial" w:cs="Arial"/>
      <w:sz w:val="24"/>
      <w:szCs w:val="24"/>
    </w:rPr>
  </w:style>
  <w:style w:type="character" w:customStyle="1" w:styleId="ZkladntextChar">
    <w:name w:val="Základní text Char"/>
    <w:basedOn w:val="Standardnpsmoodstavce"/>
    <w:link w:val="Zkladntext"/>
    <w:semiHidden/>
    <w:rsid w:val="00C16B17"/>
    <w:rPr>
      <w:rFonts w:ascii="Arial" w:eastAsia="Times New Roman" w:hAnsi="Arial" w:cs="Arial"/>
      <w:sz w:val="24"/>
      <w:szCs w:val="24"/>
    </w:rPr>
  </w:style>
  <w:style w:type="paragraph" w:styleId="Revize">
    <w:name w:val="Revision"/>
    <w:hidden/>
    <w:uiPriority w:val="99"/>
    <w:semiHidden/>
    <w:rsid w:val="00C705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E84"/>
  </w:style>
  <w:style w:type="paragraph" w:styleId="Nadpis1">
    <w:name w:val="heading 1"/>
    <w:basedOn w:val="Normln"/>
    <w:next w:val="Normln"/>
    <w:link w:val="Nadpis1Char"/>
    <w:uiPriority w:val="9"/>
    <w:qFormat/>
    <w:rsid w:val="00DC00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69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6961"/>
  </w:style>
  <w:style w:type="paragraph" w:styleId="Zpat">
    <w:name w:val="footer"/>
    <w:basedOn w:val="Normln"/>
    <w:link w:val="ZpatChar"/>
    <w:unhideWhenUsed/>
    <w:rsid w:val="00EC6961"/>
    <w:pPr>
      <w:tabs>
        <w:tab w:val="center" w:pos="4536"/>
        <w:tab w:val="right" w:pos="9072"/>
      </w:tabs>
      <w:spacing w:after="0" w:line="240" w:lineRule="auto"/>
    </w:pPr>
  </w:style>
  <w:style w:type="character" w:customStyle="1" w:styleId="ZpatChar">
    <w:name w:val="Zápatí Char"/>
    <w:basedOn w:val="Standardnpsmoodstavce"/>
    <w:link w:val="Zpat"/>
    <w:rsid w:val="00EC6961"/>
  </w:style>
  <w:style w:type="paragraph" w:styleId="Textbubliny">
    <w:name w:val="Balloon Text"/>
    <w:basedOn w:val="Normln"/>
    <w:link w:val="TextbublinyChar"/>
    <w:uiPriority w:val="99"/>
    <w:semiHidden/>
    <w:unhideWhenUsed/>
    <w:rsid w:val="008E69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69D7"/>
    <w:rPr>
      <w:rFonts w:ascii="Tahoma" w:hAnsi="Tahoma" w:cs="Tahoma"/>
      <w:sz w:val="16"/>
      <w:szCs w:val="16"/>
    </w:rPr>
  </w:style>
  <w:style w:type="table" w:styleId="Mkatabulky">
    <w:name w:val="Table Grid"/>
    <w:basedOn w:val="Normlntabulka"/>
    <w:uiPriority w:val="59"/>
    <w:rsid w:val="002F2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semiHidden/>
    <w:rsid w:val="002E0017"/>
    <w:rPr>
      <w:color w:val="0000FF"/>
      <w:u w:val="single"/>
    </w:rPr>
  </w:style>
  <w:style w:type="character" w:styleId="Zstupntext">
    <w:name w:val="Placeholder Text"/>
    <w:basedOn w:val="Standardnpsmoodstavce"/>
    <w:uiPriority w:val="99"/>
    <w:semiHidden/>
    <w:rsid w:val="00011FDA"/>
    <w:rPr>
      <w:color w:val="808080"/>
    </w:rPr>
  </w:style>
  <w:style w:type="character" w:styleId="Odkaznakoment">
    <w:name w:val="annotation reference"/>
    <w:basedOn w:val="Standardnpsmoodstavce"/>
    <w:uiPriority w:val="99"/>
    <w:semiHidden/>
    <w:unhideWhenUsed/>
    <w:rsid w:val="00747902"/>
    <w:rPr>
      <w:sz w:val="16"/>
      <w:szCs w:val="16"/>
    </w:rPr>
  </w:style>
  <w:style w:type="paragraph" w:styleId="Textkomente">
    <w:name w:val="annotation text"/>
    <w:basedOn w:val="Normln"/>
    <w:link w:val="TextkomenteChar"/>
    <w:uiPriority w:val="99"/>
    <w:semiHidden/>
    <w:unhideWhenUsed/>
    <w:rsid w:val="00747902"/>
    <w:pPr>
      <w:spacing w:line="240" w:lineRule="auto"/>
    </w:pPr>
    <w:rPr>
      <w:sz w:val="20"/>
      <w:szCs w:val="20"/>
    </w:rPr>
  </w:style>
  <w:style w:type="character" w:customStyle="1" w:styleId="TextkomenteChar">
    <w:name w:val="Text komentáře Char"/>
    <w:basedOn w:val="Standardnpsmoodstavce"/>
    <w:link w:val="Textkomente"/>
    <w:uiPriority w:val="99"/>
    <w:semiHidden/>
    <w:rsid w:val="00747902"/>
    <w:rPr>
      <w:sz w:val="20"/>
      <w:szCs w:val="20"/>
    </w:rPr>
  </w:style>
  <w:style w:type="paragraph" w:styleId="Pedmtkomente">
    <w:name w:val="annotation subject"/>
    <w:basedOn w:val="Textkomente"/>
    <w:next w:val="Textkomente"/>
    <w:link w:val="PedmtkomenteChar"/>
    <w:uiPriority w:val="99"/>
    <w:semiHidden/>
    <w:unhideWhenUsed/>
    <w:rsid w:val="00747902"/>
    <w:rPr>
      <w:b/>
      <w:bCs/>
    </w:rPr>
  </w:style>
  <w:style w:type="character" w:customStyle="1" w:styleId="PedmtkomenteChar">
    <w:name w:val="Předmět komentáře Char"/>
    <w:basedOn w:val="TextkomenteChar"/>
    <w:link w:val="Pedmtkomente"/>
    <w:uiPriority w:val="99"/>
    <w:semiHidden/>
    <w:rsid w:val="00747902"/>
    <w:rPr>
      <w:b/>
      <w:bCs/>
      <w:sz w:val="20"/>
      <w:szCs w:val="20"/>
    </w:rPr>
  </w:style>
  <w:style w:type="paragraph" w:customStyle="1" w:styleId="NormlnKZ">
    <w:name w:val="Normální KZ"/>
    <w:basedOn w:val="Normln"/>
    <w:rsid w:val="000B37AA"/>
    <w:pPr>
      <w:spacing w:after="120" w:line="240" w:lineRule="auto"/>
      <w:ind w:firstLine="425"/>
      <w:jc w:val="both"/>
    </w:pPr>
    <w:rPr>
      <w:rFonts w:ascii="Times New Roman" w:eastAsia="Times New Roman" w:hAnsi="Times New Roman" w:cs="Times New Roman"/>
      <w:szCs w:val="24"/>
      <w:lang w:eastAsia="cs-CZ"/>
    </w:rPr>
  </w:style>
  <w:style w:type="paragraph" w:styleId="Odstavecseseznamem">
    <w:name w:val="List Paragraph"/>
    <w:basedOn w:val="Normln"/>
    <w:uiPriority w:val="34"/>
    <w:qFormat/>
    <w:rsid w:val="00596462"/>
    <w:pPr>
      <w:ind w:left="720"/>
      <w:contextualSpacing/>
    </w:pPr>
  </w:style>
  <w:style w:type="paragraph" w:styleId="Textpoznpodarou">
    <w:name w:val="footnote text"/>
    <w:basedOn w:val="Normln"/>
    <w:link w:val="TextpoznpodarouChar"/>
    <w:uiPriority w:val="99"/>
    <w:unhideWhenUsed/>
    <w:rsid w:val="00D45C92"/>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45C92"/>
    <w:rPr>
      <w:sz w:val="20"/>
      <w:szCs w:val="20"/>
    </w:rPr>
  </w:style>
  <w:style w:type="character" w:styleId="Znakapoznpodarou">
    <w:name w:val="footnote reference"/>
    <w:basedOn w:val="Standardnpsmoodstavce"/>
    <w:uiPriority w:val="99"/>
    <w:semiHidden/>
    <w:unhideWhenUsed/>
    <w:rsid w:val="00D45C92"/>
    <w:rPr>
      <w:vertAlign w:val="superscript"/>
    </w:rPr>
  </w:style>
  <w:style w:type="paragraph" w:styleId="Bezmezer">
    <w:name w:val="No Spacing"/>
    <w:uiPriority w:val="1"/>
    <w:qFormat/>
    <w:rsid w:val="004B390D"/>
    <w:pPr>
      <w:spacing w:after="0" w:line="240" w:lineRule="auto"/>
    </w:pPr>
  </w:style>
  <w:style w:type="paragraph" w:customStyle="1" w:styleId="rove1">
    <w:name w:val="úroveň 1"/>
    <w:basedOn w:val="Nadpis1"/>
    <w:qFormat/>
    <w:rsid w:val="00DC0066"/>
    <w:pPr>
      <w:keepLines w:val="0"/>
      <w:numPr>
        <w:numId w:val="25"/>
      </w:numPr>
      <w:spacing w:before="120" w:line="360" w:lineRule="auto"/>
      <w:ind w:left="720"/>
    </w:pPr>
    <w:rPr>
      <w:rFonts w:ascii="Arial" w:eastAsia="Times New Roman" w:hAnsi="Arial" w:cs="Arial"/>
      <w:bCs w:val="0"/>
      <w:color w:val="auto"/>
      <w:szCs w:val="24"/>
    </w:rPr>
  </w:style>
  <w:style w:type="paragraph" w:customStyle="1" w:styleId="rove2">
    <w:name w:val="úroveň 2"/>
    <w:basedOn w:val="rove1"/>
    <w:qFormat/>
    <w:rsid w:val="00DC0066"/>
    <w:pPr>
      <w:numPr>
        <w:ilvl w:val="1"/>
      </w:numPr>
      <w:ind w:left="1440" w:hanging="360"/>
      <w:jc w:val="both"/>
    </w:pPr>
    <w:rPr>
      <w:sz w:val="24"/>
    </w:rPr>
  </w:style>
  <w:style w:type="paragraph" w:customStyle="1" w:styleId="rove3">
    <w:name w:val="úroveň3"/>
    <w:basedOn w:val="Normln"/>
    <w:qFormat/>
    <w:rsid w:val="00DC0066"/>
    <w:pPr>
      <w:keepNext/>
      <w:numPr>
        <w:ilvl w:val="2"/>
        <w:numId w:val="25"/>
      </w:numPr>
      <w:spacing w:before="120" w:after="0" w:line="360" w:lineRule="auto"/>
      <w:ind w:left="709" w:hanging="709"/>
      <w:jc w:val="both"/>
      <w:outlineLvl w:val="0"/>
    </w:pPr>
    <w:rPr>
      <w:rFonts w:ascii="Arial" w:eastAsia="Times New Roman" w:hAnsi="Arial" w:cs="Arial"/>
      <w:b/>
      <w:szCs w:val="24"/>
    </w:rPr>
  </w:style>
  <w:style w:type="paragraph" w:customStyle="1" w:styleId="rove4">
    <w:name w:val="úroveň4"/>
    <w:basedOn w:val="rove3"/>
    <w:qFormat/>
    <w:rsid w:val="00DC0066"/>
    <w:pPr>
      <w:numPr>
        <w:ilvl w:val="3"/>
      </w:numPr>
      <w:ind w:left="567" w:hanging="567"/>
    </w:pPr>
    <w:rPr>
      <w:i/>
    </w:rPr>
  </w:style>
  <w:style w:type="paragraph" w:customStyle="1" w:styleId="rove5">
    <w:name w:val="úroveň 5"/>
    <w:basedOn w:val="rove4"/>
    <w:link w:val="rove5Char"/>
    <w:qFormat/>
    <w:rsid w:val="00DC0066"/>
    <w:pPr>
      <w:numPr>
        <w:ilvl w:val="4"/>
      </w:numPr>
      <w:ind w:left="709" w:hanging="709"/>
    </w:pPr>
  </w:style>
  <w:style w:type="character" w:customStyle="1" w:styleId="rove5Char">
    <w:name w:val="úroveň 5 Char"/>
    <w:basedOn w:val="Standardnpsmoodstavce"/>
    <w:link w:val="rove5"/>
    <w:rsid w:val="00DC0066"/>
    <w:rPr>
      <w:rFonts w:ascii="Arial" w:eastAsia="Times New Roman" w:hAnsi="Arial" w:cs="Arial"/>
      <w:b/>
      <w:i/>
      <w:szCs w:val="24"/>
    </w:rPr>
  </w:style>
  <w:style w:type="paragraph" w:customStyle="1" w:styleId="rove6">
    <w:name w:val="úroveň 6"/>
    <w:basedOn w:val="rove5"/>
    <w:qFormat/>
    <w:rsid w:val="00DC0066"/>
    <w:pPr>
      <w:numPr>
        <w:ilvl w:val="5"/>
      </w:numPr>
      <w:spacing w:before="0" w:after="120" w:line="240" w:lineRule="auto"/>
      <w:ind w:left="4320" w:hanging="360"/>
    </w:pPr>
    <w:rPr>
      <w:b w:val="0"/>
    </w:rPr>
  </w:style>
  <w:style w:type="character" w:customStyle="1" w:styleId="Nadpis1Char">
    <w:name w:val="Nadpis 1 Char"/>
    <w:basedOn w:val="Standardnpsmoodstavce"/>
    <w:link w:val="Nadpis1"/>
    <w:uiPriority w:val="9"/>
    <w:rsid w:val="00DC0066"/>
    <w:rPr>
      <w:rFonts w:asciiTheme="majorHAnsi" w:eastAsiaTheme="majorEastAsia" w:hAnsiTheme="majorHAnsi" w:cstheme="majorBidi"/>
      <w:b/>
      <w:bCs/>
      <w:color w:val="365F91" w:themeColor="accent1" w:themeShade="BF"/>
      <w:sz w:val="28"/>
      <w:szCs w:val="28"/>
    </w:rPr>
  </w:style>
  <w:style w:type="character" w:styleId="Sledovanodkaz">
    <w:name w:val="FollowedHyperlink"/>
    <w:basedOn w:val="Standardnpsmoodstavce"/>
    <w:uiPriority w:val="99"/>
    <w:semiHidden/>
    <w:unhideWhenUsed/>
    <w:rsid w:val="00206B08"/>
    <w:rPr>
      <w:color w:val="800080" w:themeColor="followedHyperlink"/>
      <w:u w:val="single"/>
    </w:rPr>
  </w:style>
  <w:style w:type="paragraph" w:styleId="Zkladntext">
    <w:name w:val="Body Text"/>
    <w:basedOn w:val="Normln"/>
    <w:link w:val="ZkladntextChar"/>
    <w:semiHidden/>
    <w:rsid w:val="00C16B17"/>
    <w:pPr>
      <w:spacing w:after="120" w:line="240" w:lineRule="auto"/>
      <w:ind w:firstLine="680"/>
      <w:jc w:val="both"/>
    </w:pPr>
    <w:rPr>
      <w:rFonts w:ascii="Arial" w:eastAsia="Times New Roman" w:hAnsi="Arial" w:cs="Arial"/>
      <w:sz w:val="24"/>
      <w:szCs w:val="24"/>
    </w:rPr>
  </w:style>
  <w:style w:type="character" w:customStyle="1" w:styleId="ZkladntextChar">
    <w:name w:val="Základní text Char"/>
    <w:basedOn w:val="Standardnpsmoodstavce"/>
    <w:link w:val="Zkladntext"/>
    <w:semiHidden/>
    <w:rsid w:val="00C16B17"/>
    <w:rPr>
      <w:rFonts w:ascii="Arial" w:eastAsia="Times New Roman" w:hAnsi="Arial" w:cs="Arial"/>
      <w:sz w:val="24"/>
      <w:szCs w:val="24"/>
    </w:rPr>
  </w:style>
  <w:style w:type="paragraph" w:styleId="Revize">
    <w:name w:val="Revision"/>
    <w:hidden/>
    <w:uiPriority w:val="99"/>
    <w:semiHidden/>
    <w:rsid w:val="00C705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085">
      <w:bodyDiv w:val="1"/>
      <w:marLeft w:val="0"/>
      <w:marRight w:val="0"/>
      <w:marTop w:val="0"/>
      <w:marBottom w:val="0"/>
      <w:divBdr>
        <w:top w:val="none" w:sz="0" w:space="0" w:color="auto"/>
        <w:left w:val="none" w:sz="0" w:space="0" w:color="auto"/>
        <w:bottom w:val="none" w:sz="0" w:space="0" w:color="auto"/>
        <w:right w:val="none" w:sz="0" w:space="0" w:color="auto"/>
      </w:divBdr>
    </w:div>
    <w:div w:id="25521157">
      <w:bodyDiv w:val="1"/>
      <w:marLeft w:val="0"/>
      <w:marRight w:val="0"/>
      <w:marTop w:val="0"/>
      <w:marBottom w:val="0"/>
      <w:divBdr>
        <w:top w:val="none" w:sz="0" w:space="0" w:color="auto"/>
        <w:left w:val="none" w:sz="0" w:space="0" w:color="auto"/>
        <w:bottom w:val="none" w:sz="0" w:space="0" w:color="auto"/>
        <w:right w:val="none" w:sz="0" w:space="0" w:color="auto"/>
      </w:divBdr>
    </w:div>
    <w:div w:id="28800442">
      <w:bodyDiv w:val="1"/>
      <w:marLeft w:val="0"/>
      <w:marRight w:val="0"/>
      <w:marTop w:val="0"/>
      <w:marBottom w:val="0"/>
      <w:divBdr>
        <w:top w:val="none" w:sz="0" w:space="0" w:color="auto"/>
        <w:left w:val="none" w:sz="0" w:space="0" w:color="auto"/>
        <w:bottom w:val="none" w:sz="0" w:space="0" w:color="auto"/>
        <w:right w:val="none" w:sz="0" w:space="0" w:color="auto"/>
      </w:divBdr>
    </w:div>
    <w:div w:id="42606998">
      <w:bodyDiv w:val="1"/>
      <w:marLeft w:val="0"/>
      <w:marRight w:val="0"/>
      <w:marTop w:val="0"/>
      <w:marBottom w:val="0"/>
      <w:divBdr>
        <w:top w:val="none" w:sz="0" w:space="0" w:color="auto"/>
        <w:left w:val="none" w:sz="0" w:space="0" w:color="auto"/>
        <w:bottom w:val="none" w:sz="0" w:space="0" w:color="auto"/>
        <w:right w:val="none" w:sz="0" w:space="0" w:color="auto"/>
      </w:divBdr>
    </w:div>
    <w:div w:id="81534267">
      <w:bodyDiv w:val="1"/>
      <w:marLeft w:val="0"/>
      <w:marRight w:val="0"/>
      <w:marTop w:val="0"/>
      <w:marBottom w:val="0"/>
      <w:divBdr>
        <w:top w:val="none" w:sz="0" w:space="0" w:color="auto"/>
        <w:left w:val="none" w:sz="0" w:space="0" w:color="auto"/>
        <w:bottom w:val="none" w:sz="0" w:space="0" w:color="auto"/>
        <w:right w:val="none" w:sz="0" w:space="0" w:color="auto"/>
      </w:divBdr>
    </w:div>
    <w:div w:id="111173258">
      <w:bodyDiv w:val="1"/>
      <w:marLeft w:val="0"/>
      <w:marRight w:val="0"/>
      <w:marTop w:val="0"/>
      <w:marBottom w:val="0"/>
      <w:divBdr>
        <w:top w:val="none" w:sz="0" w:space="0" w:color="auto"/>
        <w:left w:val="none" w:sz="0" w:space="0" w:color="auto"/>
        <w:bottom w:val="none" w:sz="0" w:space="0" w:color="auto"/>
        <w:right w:val="none" w:sz="0" w:space="0" w:color="auto"/>
      </w:divBdr>
    </w:div>
    <w:div w:id="129053766">
      <w:bodyDiv w:val="1"/>
      <w:marLeft w:val="0"/>
      <w:marRight w:val="0"/>
      <w:marTop w:val="0"/>
      <w:marBottom w:val="0"/>
      <w:divBdr>
        <w:top w:val="none" w:sz="0" w:space="0" w:color="auto"/>
        <w:left w:val="none" w:sz="0" w:space="0" w:color="auto"/>
        <w:bottom w:val="none" w:sz="0" w:space="0" w:color="auto"/>
        <w:right w:val="none" w:sz="0" w:space="0" w:color="auto"/>
      </w:divBdr>
    </w:div>
    <w:div w:id="146552630">
      <w:bodyDiv w:val="1"/>
      <w:marLeft w:val="0"/>
      <w:marRight w:val="0"/>
      <w:marTop w:val="0"/>
      <w:marBottom w:val="0"/>
      <w:divBdr>
        <w:top w:val="none" w:sz="0" w:space="0" w:color="auto"/>
        <w:left w:val="none" w:sz="0" w:space="0" w:color="auto"/>
        <w:bottom w:val="none" w:sz="0" w:space="0" w:color="auto"/>
        <w:right w:val="none" w:sz="0" w:space="0" w:color="auto"/>
      </w:divBdr>
    </w:div>
    <w:div w:id="166750093">
      <w:bodyDiv w:val="1"/>
      <w:marLeft w:val="0"/>
      <w:marRight w:val="0"/>
      <w:marTop w:val="0"/>
      <w:marBottom w:val="0"/>
      <w:divBdr>
        <w:top w:val="none" w:sz="0" w:space="0" w:color="auto"/>
        <w:left w:val="none" w:sz="0" w:space="0" w:color="auto"/>
        <w:bottom w:val="none" w:sz="0" w:space="0" w:color="auto"/>
        <w:right w:val="none" w:sz="0" w:space="0" w:color="auto"/>
      </w:divBdr>
    </w:div>
    <w:div w:id="183641246">
      <w:bodyDiv w:val="1"/>
      <w:marLeft w:val="0"/>
      <w:marRight w:val="0"/>
      <w:marTop w:val="0"/>
      <w:marBottom w:val="0"/>
      <w:divBdr>
        <w:top w:val="none" w:sz="0" w:space="0" w:color="auto"/>
        <w:left w:val="none" w:sz="0" w:space="0" w:color="auto"/>
        <w:bottom w:val="none" w:sz="0" w:space="0" w:color="auto"/>
        <w:right w:val="none" w:sz="0" w:space="0" w:color="auto"/>
      </w:divBdr>
    </w:div>
    <w:div w:id="185213408">
      <w:bodyDiv w:val="1"/>
      <w:marLeft w:val="0"/>
      <w:marRight w:val="0"/>
      <w:marTop w:val="0"/>
      <w:marBottom w:val="0"/>
      <w:divBdr>
        <w:top w:val="none" w:sz="0" w:space="0" w:color="auto"/>
        <w:left w:val="none" w:sz="0" w:space="0" w:color="auto"/>
        <w:bottom w:val="none" w:sz="0" w:space="0" w:color="auto"/>
        <w:right w:val="none" w:sz="0" w:space="0" w:color="auto"/>
      </w:divBdr>
    </w:div>
    <w:div w:id="199242383">
      <w:bodyDiv w:val="1"/>
      <w:marLeft w:val="0"/>
      <w:marRight w:val="0"/>
      <w:marTop w:val="0"/>
      <w:marBottom w:val="0"/>
      <w:divBdr>
        <w:top w:val="none" w:sz="0" w:space="0" w:color="auto"/>
        <w:left w:val="none" w:sz="0" w:space="0" w:color="auto"/>
        <w:bottom w:val="none" w:sz="0" w:space="0" w:color="auto"/>
        <w:right w:val="none" w:sz="0" w:space="0" w:color="auto"/>
      </w:divBdr>
    </w:div>
    <w:div w:id="204216082">
      <w:bodyDiv w:val="1"/>
      <w:marLeft w:val="0"/>
      <w:marRight w:val="0"/>
      <w:marTop w:val="0"/>
      <w:marBottom w:val="0"/>
      <w:divBdr>
        <w:top w:val="none" w:sz="0" w:space="0" w:color="auto"/>
        <w:left w:val="none" w:sz="0" w:space="0" w:color="auto"/>
        <w:bottom w:val="none" w:sz="0" w:space="0" w:color="auto"/>
        <w:right w:val="none" w:sz="0" w:space="0" w:color="auto"/>
      </w:divBdr>
    </w:div>
    <w:div w:id="212548538">
      <w:bodyDiv w:val="1"/>
      <w:marLeft w:val="0"/>
      <w:marRight w:val="0"/>
      <w:marTop w:val="0"/>
      <w:marBottom w:val="0"/>
      <w:divBdr>
        <w:top w:val="none" w:sz="0" w:space="0" w:color="auto"/>
        <w:left w:val="none" w:sz="0" w:space="0" w:color="auto"/>
        <w:bottom w:val="none" w:sz="0" w:space="0" w:color="auto"/>
        <w:right w:val="none" w:sz="0" w:space="0" w:color="auto"/>
      </w:divBdr>
    </w:div>
    <w:div w:id="228272038">
      <w:bodyDiv w:val="1"/>
      <w:marLeft w:val="0"/>
      <w:marRight w:val="0"/>
      <w:marTop w:val="0"/>
      <w:marBottom w:val="0"/>
      <w:divBdr>
        <w:top w:val="none" w:sz="0" w:space="0" w:color="auto"/>
        <w:left w:val="none" w:sz="0" w:space="0" w:color="auto"/>
        <w:bottom w:val="none" w:sz="0" w:space="0" w:color="auto"/>
        <w:right w:val="none" w:sz="0" w:space="0" w:color="auto"/>
      </w:divBdr>
    </w:div>
    <w:div w:id="238639946">
      <w:bodyDiv w:val="1"/>
      <w:marLeft w:val="0"/>
      <w:marRight w:val="0"/>
      <w:marTop w:val="0"/>
      <w:marBottom w:val="0"/>
      <w:divBdr>
        <w:top w:val="none" w:sz="0" w:space="0" w:color="auto"/>
        <w:left w:val="none" w:sz="0" w:space="0" w:color="auto"/>
        <w:bottom w:val="none" w:sz="0" w:space="0" w:color="auto"/>
        <w:right w:val="none" w:sz="0" w:space="0" w:color="auto"/>
      </w:divBdr>
    </w:div>
    <w:div w:id="239948058">
      <w:bodyDiv w:val="1"/>
      <w:marLeft w:val="0"/>
      <w:marRight w:val="0"/>
      <w:marTop w:val="0"/>
      <w:marBottom w:val="0"/>
      <w:divBdr>
        <w:top w:val="none" w:sz="0" w:space="0" w:color="auto"/>
        <w:left w:val="none" w:sz="0" w:space="0" w:color="auto"/>
        <w:bottom w:val="none" w:sz="0" w:space="0" w:color="auto"/>
        <w:right w:val="none" w:sz="0" w:space="0" w:color="auto"/>
      </w:divBdr>
    </w:div>
    <w:div w:id="259142878">
      <w:bodyDiv w:val="1"/>
      <w:marLeft w:val="0"/>
      <w:marRight w:val="0"/>
      <w:marTop w:val="0"/>
      <w:marBottom w:val="0"/>
      <w:divBdr>
        <w:top w:val="none" w:sz="0" w:space="0" w:color="auto"/>
        <w:left w:val="none" w:sz="0" w:space="0" w:color="auto"/>
        <w:bottom w:val="none" w:sz="0" w:space="0" w:color="auto"/>
        <w:right w:val="none" w:sz="0" w:space="0" w:color="auto"/>
      </w:divBdr>
    </w:div>
    <w:div w:id="294411428">
      <w:bodyDiv w:val="1"/>
      <w:marLeft w:val="0"/>
      <w:marRight w:val="0"/>
      <w:marTop w:val="0"/>
      <w:marBottom w:val="0"/>
      <w:divBdr>
        <w:top w:val="none" w:sz="0" w:space="0" w:color="auto"/>
        <w:left w:val="none" w:sz="0" w:space="0" w:color="auto"/>
        <w:bottom w:val="none" w:sz="0" w:space="0" w:color="auto"/>
        <w:right w:val="none" w:sz="0" w:space="0" w:color="auto"/>
      </w:divBdr>
    </w:div>
    <w:div w:id="308095256">
      <w:bodyDiv w:val="1"/>
      <w:marLeft w:val="0"/>
      <w:marRight w:val="0"/>
      <w:marTop w:val="0"/>
      <w:marBottom w:val="0"/>
      <w:divBdr>
        <w:top w:val="none" w:sz="0" w:space="0" w:color="auto"/>
        <w:left w:val="none" w:sz="0" w:space="0" w:color="auto"/>
        <w:bottom w:val="none" w:sz="0" w:space="0" w:color="auto"/>
        <w:right w:val="none" w:sz="0" w:space="0" w:color="auto"/>
      </w:divBdr>
    </w:div>
    <w:div w:id="329870892">
      <w:bodyDiv w:val="1"/>
      <w:marLeft w:val="0"/>
      <w:marRight w:val="0"/>
      <w:marTop w:val="0"/>
      <w:marBottom w:val="0"/>
      <w:divBdr>
        <w:top w:val="none" w:sz="0" w:space="0" w:color="auto"/>
        <w:left w:val="none" w:sz="0" w:space="0" w:color="auto"/>
        <w:bottom w:val="none" w:sz="0" w:space="0" w:color="auto"/>
        <w:right w:val="none" w:sz="0" w:space="0" w:color="auto"/>
      </w:divBdr>
    </w:div>
    <w:div w:id="358745444">
      <w:bodyDiv w:val="1"/>
      <w:marLeft w:val="0"/>
      <w:marRight w:val="0"/>
      <w:marTop w:val="0"/>
      <w:marBottom w:val="0"/>
      <w:divBdr>
        <w:top w:val="none" w:sz="0" w:space="0" w:color="auto"/>
        <w:left w:val="none" w:sz="0" w:space="0" w:color="auto"/>
        <w:bottom w:val="none" w:sz="0" w:space="0" w:color="auto"/>
        <w:right w:val="none" w:sz="0" w:space="0" w:color="auto"/>
      </w:divBdr>
    </w:div>
    <w:div w:id="359399643">
      <w:bodyDiv w:val="1"/>
      <w:marLeft w:val="0"/>
      <w:marRight w:val="0"/>
      <w:marTop w:val="0"/>
      <w:marBottom w:val="0"/>
      <w:divBdr>
        <w:top w:val="none" w:sz="0" w:space="0" w:color="auto"/>
        <w:left w:val="none" w:sz="0" w:space="0" w:color="auto"/>
        <w:bottom w:val="none" w:sz="0" w:space="0" w:color="auto"/>
        <w:right w:val="none" w:sz="0" w:space="0" w:color="auto"/>
      </w:divBdr>
    </w:div>
    <w:div w:id="362291367">
      <w:bodyDiv w:val="1"/>
      <w:marLeft w:val="0"/>
      <w:marRight w:val="0"/>
      <w:marTop w:val="0"/>
      <w:marBottom w:val="0"/>
      <w:divBdr>
        <w:top w:val="none" w:sz="0" w:space="0" w:color="auto"/>
        <w:left w:val="none" w:sz="0" w:space="0" w:color="auto"/>
        <w:bottom w:val="none" w:sz="0" w:space="0" w:color="auto"/>
        <w:right w:val="none" w:sz="0" w:space="0" w:color="auto"/>
      </w:divBdr>
    </w:div>
    <w:div w:id="362633202">
      <w:bodyDiv w:val="1"/>
      <w:marLeft w:val="0"/>
      <w:marRight w:val="0"/>
      <w:marTop w:val="0"/>
      <w:marBottom w:val="0"/>
      <w:divBdr>
        <w:top w:val="none" w:sz="0" w:space="0" w:color="auto"/>
        <w:left w:val="none" w:sz="0" w:space="0" w:color="auto"/>
        <w:bottom w:val="none" w:sz="0" w:space="0" w:color="auto"/>
        <w:right w:val="none" w:sz="0" w:space="0" w:color="auto"/>
      </w:divBdr>
    </w:div>
    <w:div w:id="379403055">
      <w:bodyDiv w:val="1"/>
      <w:marLeft w:val="0"/>
      <w:marRight w:val="0"/>
      <w:marTop w:val="0"/>
      <w:marBottom w:val="0"/>
      <w:divBdr>
        <w:top w:val="none" w:sz="0" w:space="0" w:color="auto"/>
        <w:left w:val="none" w:sz="0" w:space="0" w:color="auto"/>
        <w:bottom w:val="none" w:sz="0" w:space="0" w:color="auto"/>
        <w:right w:val="none" w:sz="0" w:space="0" w:color="auto"/>
      </w:divBdr>
    </w:div>
    <w:div w:id="382604985">
      <w:bodyDiv w:val="1"/>
      <w:marLeft w:val="0"/>
      <w:marRight w:val="0"/>
      <w:marTop w:val="0"/>
      <w:marBottom w:val="0"/>
      <w:divBdr>
        <w:top w:val="none" w:sz="0" w:space="0" w:color="auto"/>
        <w:left w:val="none" w:sz="0" w:space="0" w:color="auto"/>
        <w:bottom w:val="none" w:sz="0" w:space="0" w:color="auto"/>
        <w:right w:val="none" w:sz="0" w:space="0" w:color="auto"/>
      </w:divBdr>
    </w:div>
    <w:div w:id="402457060">
      <w:bodyDiv w:val="1"/>
      <w:marLeft w:val="0"/>
      <w:marRight w:val="0"/>
      <w:marTop w:val="0"/>
      <w:marBottom w:val="0"/>
      <w:divBdr>
        <w:top w:val="none" w:sz="0" w:space="0" w:color="auto"/>
        <w:left w:val="none" w:sz="0" w:space="0" w:color="auto"/>
        <w:bottom w:val="none" w:sz="0" w:space="0" w:color="auto"/>
        <w:right w:val="none" w:sz="0" w:space="0" w:color="auto"/>
      </w:divBdr>
    </w:div>
    <w:div w:id="402459720">
      <w:bodyDiv w:val="1"/>
      <w:marLeft w:val="0"/>
      <w:marRight w:val="0"/>
      <w:marTop w:val="0"/>
      <w:marBottom w:val="0"/>
      <w:divBdr>
        <w:top w:val="none" w:sz="0" w:space="0" w:color="auto"/>
        <w:left w:val="none" w:sz="0" w:space="0" w:color="auto"/>
        <w:bottom w:val="none" w:sz="0" w:space="0" w:color="auto"/>
        <w:right w:val="none" w:sz="0" w:space="0" w:color="auto"/>
      </w:divBdr>
    </w:div>
    <w:div w:id="403451283">
      <w:bodyDiv w:val="1"/>
      <w:marLeft w:val="0"/>
      <w:marRight w:val="0"/>
      <w:marTop w:val="0"/>
      <w:marBottom w:val="0"/>
      <w:divBdr>
        <w:top w:val="none" w:sz="0" w:space="0" w:color="auto"/>
        <w:left w:val="none" w:sz="0" w:space="0" w:color="auto"/>
        <w:bottom w:val="none" w:sz="0" w:space="0" w:color="auto"/>
        <w:right w:val="none" w:sz="0" w:space="0" w:color="auto"/>
      </w:divBdr>
    </w:div>
    <w:div w:id="408042415">
      <w:bodyDiv w:val="1"/>
      <w:marLeft w:val="0"/>
      <w:marRight w:val="0"/>
      <w:marTop w:val="0"/>
      <w:marBottom w:val="0"/>
      <w:divBdr>
        <w:top w:val="none" w:sz="0" w:space="0" w:color="auto"/>
        <w:left w:val="none" w:sz="0" w:space="0" w:color="auto"/>
        <w:bottom w:val="none" w:sz="0" w:space="0" w:color="auto"/>
        <w:right w:val="none" w:sz="0" w:space="0" w:color="auto"/>
      </w:divBdr>
    </w:div>
    <w:div w:id="442110776">
      <w:bodyDiv w:val="1"/>
      <w:marLeft w:val="0"/>
      <w:marRight w:val="0"/>
      <w:marTop w:val="0"/>
      <w:marBottom w:val="0"/>
      <w:divBdr>
        <w:top w:val="none" w:sz="0" w:space="0" w:color="auto"/>
        <w:left w:val="none" w:sz="0" w:space="0" w:color="auto"/>
        <w:bottom w:val="none" w:sz="0" w:space="0" w:color="auto"/>
        <w:right w:val="none" w:sz="0" w:space="0" w:color="auto"/>
      </w:divBdr>
    </w:div>
    <w:div w:id="443572140">
      <w:bodyDiv w:val="1"/>
      <w:marLeft w:val="0"/>
      <w:marRight w:val="0"/>
      <w:marTop w:val="0"/>
      <w:marBottom w:val="0"/>
      <w:divBdr>
        <w:top w:val="none" w:sz="0" w:space="0" w:color="auto"/>
        <w:left w:val="none" w:sz="0" w:space="0" w:color="auto"/>
        <w:bottom w:val="none" w:sz="0" w:space="0" w:color="auto"/>
        <w:right w:val="none" w:sz="0" w:space="0" w:color="auto"/>
      </w:divBdr>
    </w:div>
    <w:div w:id="462043119">
      <w:bodyDiv w:val="1"/>
      <w:marLeft w:val="0"/>
      <w:marRight w:val="0"/>
      <w:marTop w:val="0"/>
      <w:marBottom w:val="0"/>
      <w:divBdr>
        <w:top w:val="none" w:sz="0" w:space="0" w:color="auto"/>
        <w:left w:val="none" w:sz="0" w:space="0" w:color="auto"/>
        <w:bottom w:val="none" w:sz="0" w:space="0" w:color="auto"/>
        <w:right w:val="none" w:sz="0" w:space="0" w:color="auto"/>
      </w:divBdr>
    </w:div>
    <w:div w:id="467892202">
      <w:bodyDiv w:val="1"/>
      <w:marLeft w:val="0"/>
      <w:marRight w:val="0"/>
      <w:marTop w:val="0"/>
      <w:marBottom w:val="0"/>
      <w:divBdr>
        <w:top w:val="none" w:sz="0" w:space="0" w:color="auto"/>
        <w:left w:val="none" w:sz="0" w:space="0" w:color="auto"/>
        <w:bottom w:val="none" w:sz="0" w:space="0" w:color="auto"/>
        <w:right w:val="none" w:sz="0" w:space="0" w:color="auto"/>
      </w:divBdr>
    </w:div>
    <w:div w:id="474109670">
      <w:bodyDiv w:val="1"/>
      <w:marLeft w:val="0"/>
      <w:marRight w:val="0"/>
      <w:marTop w:val="0"/>
      <w:marBottom w:val="0"/>
      <w:divBdr>
        <w:top w:val="none" w:sz="0" w:space="0" w:color="auto"/>
        <w:left w:val="none" w:sz="0" w:space="0" w:color="auto"/>
        <w:bottom w:val="none" w:sz="0" w:space="0" w:color="auto"/>
        <w:right w:val="none" w:sz="0" w:space="0" w:color="auto"/>
      </w:divBdr>
    </w:div>
    <w:div w:id="485632043">
      <w:bodyDiv w:val="1"/>
      <w:marLeft w:val="0"/>
      <w:marRight w:val="0"/>
      <w:marTop w:val="0"/>
      <w:marBottom w:val="0"/>
      <w:divBdr>
        <w:top w:val="none" w:sz="0" w:space="0" w:color="auto"/>
        <w:left w:val="none" w:sz="0" w:space="0" w:color="auto"/>
        <w:bottom w:val="none" w:sz="0" w:space="0" w:color="auto"/>
        <w:right w:val="none" w:sz="0" w:space="0" w:color="auto"/>
      </w:divBdr>
    </w:div>
    <w:div w:id="490757894">
      <w:bodyDiv w:val="1"/>
      <w:marLeft w:val="0"/>
      <w:marRight w:val="0"/>
      <w:marTop w:val="0"/>
      <w:marBottom w:val="0"/>
      <w:divBdr>
        <w:top w:val="none" w:sz="0" w:space="0" w:color="auto"/>
        <w:left w:val="none" w:sz="0" w:space="0" w:color="auto"/>
        <w:bottom w:val="none" w:sz="0" w:space="0" w:color="auto"/>
        <w:right w:val="none" w:sz="0" w:space="0" w:color="auto"/>
      </w:divBdr>
    </w:div>
    <w:div w:id="491337477">
      <w:bodyDiv w:val="1"/>
      <w:marLeft w:val="0"/>
      <w:marRight w:val="0"/>
      <w:marTop w:val="0"/>
      <w:marBottom w:val="0"/>
      <w:divBdr>
        <w:top w:val="none" w:sz="0" w:space="0" w:color="auto"/>
        <w:left w:val="none" w:sz="0" w:space="0" w:color="auto"/>
        <w:bottom w:val="none" w:sz="0" w:space="0" w:color="auto"/>
        <w:right w:val="none" w:sz="0" w:space="0" w:color="auto"/>
      </w:divBdr>
    </w:div>
    <w:div w:id="508183017">
      <w:bodyDiv w:val="1"/>
      <w:marLeft w:val="0"/>
      <w:marRight w:val="0"/>
      <w:marTop w:val="0"/>
      <w:marBottom w:val="0"/>
      <w:divBdr>
        <w:top w:val="none" w:sz="0" w:space="0" w:color="auto"/>
        <w:left w:val="none" w:sz="0" w:space="0" w:color="auto"/>
        <w:bottom w:val="none" w:sz="0" w:space="0" w:color="auto"/>
        <w:right w:val="none" w:sz="0" w:space="0" w:color="auto"/>
      </w:divBdr>
    </w:div>
    <w:div w:id="510031830">
      <w:bodyDiv w:val="1"/>
      <w:marLeft w:val="0"/>
      <w:marRight w:val="0"/>
      <w:marTop w:val="0"/>
      <w:marBottom w:val="0"/>
      <w:divBdr>
        <w:top w:val="none" w:sz="0" w:space="0" w:color="auto"/>
        <w:left w:val="none" w:sz="0" w:space="0" w:color="auto"/>
        <w:bottom w:val="none" w:sz="0" w:space="0" w:color="auto"/>
        <w:right w:val="none" w:sz="0" w:space="0" w:color="auto"/>
      </w:divBdr>
    </w:div>
    <w:div w:id="517695710">
      <w:bodyDiv w:val="1"/>
      <w:marLeft w:val="0"/>
      <w:marRight w:val="0"/>
      <w:marTop w:val="0"/>
      <w:marBottom w:val="0"/>
      <w:divBdr>
        <w:top w:val="none" w:sz="0" w:space="0" w:color="auto"/>
        <w:left w:val="none" w:sz="0" w:space="0" w:color="auto"/>
        <w:bottom w:val="none" w:sz="0" w:space="0" w:color="auto"/>
        <w:right w:val="none" w:sz="0" w:space="0" w:color="auto"/>
      </w:divBdr>
    </w:div>
    <w:div w:id="519853137">
      <w:bodyDiv w:val="1"/>
      <w:marLeft w:val="0"/>
      <w:marRight w:val="0"/>
      <w:marTop w:val="0"/>
      <w:marBottom w:val="0"/>
      <w:divBdr>
        <w:top w:val="none" w:sz="0" w:space="0" w:color="auto"/>
        <w:left w:val="none" w:sz="0" w:space="0" w:color="auto"/>
        <w:bottom w:val="none" w:sz="0" w:space="0" w:color="auto"/>
        <w:right w:val="none" w:sz="0" w:space="0" w:color="auto"/>
      </w:divBdr>
    </w:div>
    <w:div w:id="530457900">
      <w:bodyDiv w:val="1"/>
      <w:marLeft w:val="0"/>
      <w:marRight w:val="0"/>
      <w:marTop w:val="0"/>
      <w:marBottom w:val="0"/>
      <w:divBdr>
        <w:top w:val="none" w:sz="0" w:space="0" w:color="auto"/>
        <w:left w:val="none" w:sz="0" w:space="0" w:color="auto"/>
        <w:bottom w:val="none" w:sz="0" w:space="0" w:color="auto"/>
        <w:right w:val="none" w:sz="0" w:space="0" w:color="auto"/>
      </w:divBdr>
    </w:div>
    <w:div w:id="543179864">
      <w:bodyDiv w:val="1"/>
      <w:marLeft w:val="0"/>
      <w:marRight w:val="0"/>
      <w:marTop w:val="0"/>
      <w:marBottom w:val="0"/>
      <w:divBdr>
        <w:top w:val="none" w:sz="0" w:space="0" w:color="auto"/>
        <w:left w:val="none" w:sz="0" w:space="0" w:color="auto"/>
        <w:bottom w:val="none" w:sz="0" w:space="0" w:color="auto"/>
        <w:right w:val="none" w:sz="0" w:space="0" w:color="auto"/>
      </w:divBdr>
    </w:div>
    <w:div w:id="548150003">
      <w:bodyDiv w:val="1"/>
      <w:marLeft w:val="0"/>
      <w:marRight w:val="0"/>
      <w:marTop w:val="0"/>
      <w:marBottom w:val="0"/>
      <w:divBdr>
        <w:top w:val="none" w:sz="0" w:space="0" w:color="auto"/>
        <w:left w:val="none" w:sz="0" w:space="0" w:color="auto"/>
        <w:bottom w:val="none" w:sz="0" w:space="0" w:color="auto"/>
        <w:right w:val="none" w:sz="0" w:space="0" w:color="auto"/>
      </w:divBdr>
    </w:div>
    <w:div w:id="559823632">
      <w:bodyDiv w:val="1"/>
      <w:marLeft w:val="0"/>
      <w:marRight w:val="0"/>
      <w:marTop w:val="0"/>
      <w:marBottom w:val="0"/>
      <w:divBdr>
        <w:top w:val="none" w:sz="0" w:space="0" w:color="auto"/>
        <w:left w:val="none" w:sz="0" w:space="0" w:color="auto"/>
        <w:bottom w:val="none" w:sz="0" w:space="0" w:color="auto"/>
        <w:right w:val="none" w:sz="0" w:space="0" w:color="auto"/>
      </w:divBdr>
    </w:div>
    <w:div w:id="586891324">
      <w:bodyDiv w:val="1"/>
      <w:marLeft w:val="0"/>
      <w:marRight w:val="0"/>
      <w:marTop w:val="0"/>
      <w:marBottom w:val="0"/>
      <w:divBdr>
        <w:top w:val="none" w:sz="0" w:space="0" w:color="auto"/>
        <w:left w:val="none" w:sz="0" w:space="0" w:color="auto"/>
        <w:bottom w:val="none" w:sz="0" w:space="0" w:color="auto"/>
        <w:right w:val="none" w:sz="0" w:space="0" w:color="auto"/>
      </w:divBdr>
    </w:div>
    <w:div w:id="610940606">
      <w:bodyDiv w:val="1"/>
      <w:marLeft w:val="0"/>
      <w:marRight w:val="0"/>
      <w:marTop w:val="0"/>
      <w:marBottom w:val="0"/>
      <w:divBdr>
        <w:top w:val="none" w:sz="0" w:space="0" w:color="auto"/>
        <w:left w:val="none" w:sz="0" w:space="0" w:color="auto"/>
        <w:bottom w:val="none" w:sz="0" w:space="0" w:color="auto"/>
        <w:right w:val="none" w:sz="0" w:space="0" w:color="auto"/>
      </w:divBdr>
    </w:div>
    <w:div w:id="629939322">
      <w:bodyDiv w:val="1"/>
      <w:marLeft w:val="0"/>
      <w:marRight w:val="0"/>
      <w:marTop w:val="0"/>
      <w:marBottom w:val="0"/>
      <w:divBdr>
        <w:top w:val="none" w:sz="0" w:space="0" w:color="auto"/>
        <w:left w:val="none" w:sz="0" w:space="0" w:color="auto"/>
        <w:bottom w:val="none" w:sz="0" w:space="0" w:color="auto"/>
        <w:right w:val="none" w:sz="0" w:space="0" w:color="auto"/>
      </w:divBdr>
    </w:div>
    <w:div w:id="635263946">
      <w:bodyDiv w:val="1"/>
      <w:marLeft w:val="0"/>
      <w:marRight w:val="0"/>
      <w:marTop w:val="0"/>
      <w:marBottom w:val="0"/>
      <w:divBdr>
        <w:top w:val="none" w:sz="0" w:space="0" w:color="auto"/>
        <w:left w:val="none" w:sz="0" w:space="0" w:color="auto"/>
        <w:bottom w:val="none" w:sz="0" w:space="0" w:color="auto"/>
        <w:right w:val="none" w:sz="0" w:space="0" w:color="auto"/>
      </w:divBdr>
    </w:div>
    <w:div w:id="653918342">
      <w:bodyDiv w:val="1"/>
      <w:marLeft w:val="0"/>
      <w:marRight w:val="0"/>
      <w:marTop w:val="0"/>
      <w:marBottom w:val="0"/>
      <w:divBdr>
        <w:top w:val="none" w:sz="0" w:space="0" w:color="auto"/>
        <w:left w:val="none" w:sz="0" w:space="0" w:color="auto"/>
        <w:bottom w:val="none" w:sz="0" w:space="0" w:color="auto"/>
        <w:right w:val="none" w:sz="0" w:space="0" w:color="auto"/>
      </w:divBdr>
    </w:div>
    <w:div w:id="658848478">
      <w:bodyDiv w:val="1"/>
      <w:marLeft w:val="0"/>
      <w:marRight w:val="0"/>
      <w:marTop w:val="0"/>
      <w:marBottom w:val="0"/>
      <w:divBdr>
        <w:top w:val="none" w:sz="0" w:space="0" w:color="auto"/>
        <w:left w:val="none" w:sz="0" w:space="0" w:color="auto"/>
        <w:bottom w:val="none" w:sz="0" w:space="0" w:color="auto"/>
        <w:right w:val="none" w:sz="0" w:space="0" w:color="auto"/>
      </w:divBdr>
    </w:div>
    <w:div w:id="665863762">
      <w:bodyDiv w:val="1"/>
      <w:marLeft w:val="0"/>
      <w:marRight w:val="0"/>
      <w:marTop w:val="0"/>
      <w:marBottom w:val="0"/>
      <w:divBdr>
        <w:top w:val="none" w:sz="0" w:space="0" w:color="auto"/>
        <w:left w:val="none" w:sz="0" w:space="0" w:color="auto"/>
        <w:bottom w:val="none" w:sz="0" w:space="0" w:color="auto"/>
        <w:right w:val="none" w:sz="0" w:space="0" w:color="auto"/>
      </w:divBdr>
    </w:div>
    <w:div w:id="666324314">
      <w:bodyDiv w:val="1"/>
      <w:marLeft w:val="0"/>
      <w:marRight w:val="0"/>
      <w:marTop w:val="0"/>
      <w:marBottom w:val="0"/>
      <w:divBdr>
        <w:top w:val="none" w:sz="0" w:space="0" w:color="auto"/>
        <w:left w:val="none" w:sz="0" w:space="0" w:color="auto"/>
        <w:bottom w:val="none" w:sz="0" w:space="0" w:color="auto"/>
        <w:right w:val="none" w:sz="0" w:space="0" w:color="auto"/>
      </w:divBdr>
    </w:div>
    <w:div w:id="704139345">
      <w:bodyDiv w:val="1"/>
      <w:marLeft w:val="0"/>
      <w:marRight w:val="0"/>
      <w:marTop w:val="0"/>
      <w:marBottom w:val="0"/>
      <w:divBdr>
        <w:top w:val="none" w:sz="0" w:space="0" w:color="auto"/>
        <w:left w:val="none" w:sz="0" w:space="0" w:color="auto"/>
        <w:bottom w:val="none" w:sz="0" w:space="0" w:color="auto"/>
        <w:right w:val="none" w:sz="0" w:space="0" w:color="auto"/>
      </w:divBdr>
    </w:div>
    <w:div w:id="709762478">
      <w:bodyDiv w:val="1"/>
      <w:marLeft w:val="0"/>
      <w:marRight w:val="0"/>
      <w:marTop w:val="0"/>
      <w:marBottom w:val="0"/>
      <w:divBdr>
        <w:top w:val="none" w:sz="0" w:space="0" w:color="auto"/>
        <w:left w:val="none" w:sz="0" w:space="0" w:color="auto"/>
        <w:bottom w:val="none" w:sz="0" w:space="0" w:color="auto"/>
        <w:right w:val="none" w:sz="0" w:space="0" w:color="auto"/>
      </w:divBdr>
    </w:div>
    <w:div w:id="717048655">
      <w:bodyDiv w:val="1"/>
      <w:marLeft w:val="0"/>
      <w:marRight w:val="0"/>
      <w:marTop w:val="0"/>
      <w:marBottom w:val="0"/>
      <w:divBdr>
        <w:top w:val="none" w:sz="0" w:space="0" w:color="auto"/>
        <w:left w:val="none" w:sz="0" w:space="0" w:color="auto"/>
        <w:bottom w:val="none" w:sz="0" w:space="0" w:color="auto"/>
        <w:right w:val="none" w:sz="0" w:space="0" w:color="auto"/>
      </w:divBdr>
    </w:div>
    <w:div w:id="721179390">
      <w:bodyDiv w:val="1"/>
      <w:marLeft w:val="0"/>
      <w:marRight w:val="0"/>
      <w:marTop w:val="0"/>
      <w:marBottom w:val="0"/>
      <w:divBdr>
        <w:top w:val="none" w:sz="0" w:space="0" w:color="auto"/>
        <w:left w:val="none" w:sz="0" w:space="0" w:color="auto"/>
        <w:bottom w:val="none" w:sz="0" w:space="0" w:color="auto"/>
        <w:right w:val="none" w:sz="0" w:space="0" w:color="auto"/>
      </w:divBdr>
    </w:div>
    <w:div w:id="746534375">
      <w:bodyDiv w:val="1"/>
      <w:marLeft w:val="0"/>
      <w:marRight w:val="0"/>
      <w:marTop w:val="0"/>
      <w:marBottom w:val="0"/>
      <w:divBdr>
        <w:top w:val="none" w:sz="0" w:space="0" w:color="auto"/>
        <w:left w:val="none" w:sz="0" w:space="0" w:color="auto"/>
        <w:bottom w:val="none" w:sz="0" w:space="0" w:color="auto"/>
        <w:right w:val="none" w:sz="0" w:space="0" w:color="auto"/>
      </w:divBdr>
    </w:div>
    <w:div w:id="788740597">
      <w:bodyDiv w:val="1"/>
      <w:marLeft w:val="0"/>
      <w:marRight w:val="0"/>
      <w:marTop w:val="0"/>
      <w:marBottom w:val="0"/>
      <w:divBdr>
        <w:top w:val="none" w:sz="0" w:space="0" w:color="auto"/>
        <w:left w:val="none" w:sz="0" w:space="0" w:color="auto"/>
        <w:bottom w:val="none" w:sz="0" w:space="0" w:color="auto"/>
        <w:right w:val="none" w:sz="0" w:space="0" w:color="auto"/>
      </w:divBdr>
    </w:div>
    <w:div w:id="794369754">
      <w:bodyDiv w:val="1"/>
      <w:marLeft w:val="0"/>
      <w:marRight w:val="0"/>
      <w:marTop w:val="0"/>
      <w:marBottom w:val="0"/>
      <w:divBdr>
        <w:top w:val="none" w:sz="0" w:space="0" w:color="auto"/>
        <w:left w:val="none" w:sz="0" w:space="0" w:color="auto"/>
        <w:bottom w:val="none" w:sz="0" w:space="0" w:color="auto"/>
        <w:right w:val="none" w:sz="0" w:space="0" w:color="auto"/>
      </w:divBdr>
    </w:div>
    <w:div w:id="833572672">
      <w:bodyDiv w:val="1"/>
      <w:marLeft w:val="0"/>
      <w:marRight w:val="0"/>
      <w:marTop w:val="0"/>
      <w:marBottom w:val="0"/>
      <w:divBdr>
        <w:top w:val="none" w:sz="0" w:space="0" w:color="auto"/>
        <w:left w:val="none" w:sz="0" w:space="0" w:color="auto"/>
        <w:bottom w:val="none" w:sz="0" w:space="0" w:color="auto"/>
        <w:right w:val="none" w:sz="0" w:space="0" w:color="auto"/>
      </w:divBdr>
    </w:div>
    <w:div w:id="842282505">
      <w:bodyDiv w:val="1"/>
      <w:marLeft w:val="0"/>
      <w:marRight w:val="0"/>
      <w:marTop w:val="0"/>
      <w:marBottom w:val="0"/>
      <w:divBdr>
        <w:top w:val="none" w:sz="0" w:space="0" w:color="auto"/>
        <w:left w:val="none" w:sz="0" w:space="0" w:color="auto"/>
        <w:bottom w:val="none" w:sz="0" w:space="0" w:color="auto"/>
        <w:right w:val="none" w:sz="0" w:space="0" w:color="auto"/>
      </w:divBdr>
    </w:div>
    <w:div w:id="845095971">
      <w:bodyDiv w:val="1"/>
      <w:marLeft w:val="0"/>
      <w:marRight w:val="0"/>
      <w:marTop w:val="0"/>
      <w:marBottom w:val="0"/>
      <w:divBdr>
        <w:top w:val="none" w:sz="0" w:space="0" w:color="auto"/>
        <w:left w:val="none" w:sz="0" w:space="0" w:color="auto"/>
        <w:bottom w:val="none" w:sz="0" w:space="0" w:color="auto"/>
        <w:right w:val="none" w:sz="0" w:space="0" w:color="auto"/>
      </w:divBdr>
    </w:div>
    <w:div w:id="847259447">
      <w:bodyDiv w:val="1"/>
      <w:marLeft w:val="0"/>
      <w:marRight w:val="0"/>
      <w:marTop w:val="0"/>
      <w:marBottom w:val="0"/>
      <w:divBdr>
        <w:top w:val="none" w:sz="0" w:space="0" w:color="auto"/>
        <w:left w:val="none" w:sz="0" w:space="0" w:color="auto"/>
        <w:bottom w:val="none" w:sz="0" w:space="0" w:color="auto"/>
        <w:right w:val="none" w:sz="0" w:space="0" w:color="auto"/>
      </w:divBdr>
    </w:div>
    <w:div w:id="871965571">
      <w:bodyDiv w:val="1"/>
      <w:marLeft w:val="0"/>
      <w:marRight w:val="0"/>
      <w:marTop w:val="0"/>
      <w:marBottom w:val="0"/>
      <w:divBdr>
        <w:top w:val="none" w:sz="0" w:space="0" w:color="auto"/>
        <w:left w:val="none" w:sz="0" w:space="0" w:color="auto"/>
        <w:bottom w:val="none" w:sz="0" w:space="0" w:color="auto"/>
        <w:right w:val="none" w:sz="0" w:space="0" w:color="auto"/>
      </w:divBdr>
    </w:div>
    <w:div w:id="884373397">
      <w:bodyDiv w:val="1"/>
      <w:marLeft w:val="0"/>
      <w:marRight w:val="0"/>
      <w:marTop w:val="0"/>
      <w:marBottom w:val="0"/>
      <w:divBdr>
        <w:top w:val="none" w:sz="0" w:space="0" w:color="auto"/>
        <w:left w:val="none" w:sz="0" w:space="0" w:color="auto"/>
        <w:bottom w:val="none" w:sz="0" w:space="0" w:color="auto"/>
        <w:right w:val="none" w:sz="0" w:space="0" w:color="auto"/>
      </w:divBdr>
    </w:div>
    <w:div w:id="898202578">
      <w:bodyDiv w:val="1"/>
      <w:marLeft w:val="0"/>
      <w:marRight w:val="0"/>
      <w:marTop w:val="0"/>
      <w:marBottom w:val="0"/>
      <w:divBdr>
        <w:top w:val="none" w:sz="0" w:space="0" w:color="auto"/>
        <w:left w:val="none" w:sz="0" w:space="0" w:color="auto"/>
        <w:bottom w:val="none" w:sz="0" w:space="0" w:color="auto"/>
        <w:right w:val="none" w:sz="0" w:space="0" w:color="auto"/>
      </w:divBdr>
    </w:div>
    <w:div w:id="912857849">
      <w:bodyDiv w:val="1"/>
      <w:marLeft w:val="0"/>
      <w:marRight w:val="0"/>
      <w:marTop w:val="0"/>
      <w:marBottom w:val="0"/>
      <w:divBdr>
        <w:top w:val="none" w:sz="0" w:space="0" w:color="auto"/>
        <w:left w:val="none" w:sz="0" w:space="0" w:color="auto"/>
        <w:bottom w:val="none" w:sz="0" w:space="0" w:color="auto"/>
        <w:right w:val="none" w:sz="0" w:space="0" w:color="auto"/>
      </w:divBdr>
    </w:div>
    <w:div w:id="916287624">
      <w:bodyDiv w:val="1"/>
      <w:marLeft w:val="0"/>
      <w:marRight w:val="0"/>
      <w:marTop w:val="0"/>
      <w:marBottom w:val="0"/>
      <w:divBdr>
        <w:top w:val="none" w:sz="0" w:space="0" w:color="auto"/>
        <w:left w:val="none" w:sz="0" w:space="0" w:color="auto"/>
        <w:bottom w:val="none" w:sz="0" w:space="0" w:color="auto"/>
        <w:right w:val="none" w:sz="0" w:space="0" w:color="auto"/>
      </w:divBdr>
    </w:div>
    <w:div w:id="928199913">
      <w:bodyDiv w:val="1"/>
      <w:marLeft w:val="0"/>
      <w:marRight w:val="0"/>
      <w:marTop w:val="0"/>
      <w:marBottom w:val="0"/>
      <w:divBdr>
        <w:top w:val="none" w:sz="0" w:space="0" w:color="auto"/>
        <w:left w:val="none" w:sz="0" w:space="0" w:color="auto"/>
        <w:bottom w:val="none" w:sz="0" w:space="0" w:color="auto"/>
        <w:right w:val="none" w:sz="0" w:space="0" w:color="auto"/>
      </w:divBdr>
    </w:div>
    <w:div w:id="958415957">
      <w:bodyDiv w:val="1"/>
      <w:marLeft w:val="0"/>
      <w:marRight w:val="0"/>
      <w:marTop w:val="0"/>
      <w:marBottom w:val="0"/>
      <w:divBdr>
        <w:top w:val="none" w:sz="0" w:space="0" w:color="auto"/>
        <w:left w:val="none" w:sz="0" w:space="0" w:color="auto"/>
        <w:bottom w:val="none" w:sz="0" w:space="0" w:color="auto"/>
        <w:right w:val="none" w:sz="0" w:space="0" w:color="auto"/>
      </w:divBdr>
    </w:div>
    <w:div w:id="971515840">
      <w:bodyDiv w:val="1"/>
      <w:marLeft w:val="0"/>
      <w:marRight w:val="0"/>
      <w:marTop w:val="0"/>
      <w:marBottom w:val="0"/>
      <w:divBdr>
        <w:top w:val="none" w:sz="0" w:space="0" w:color="auto"/>
        <w:left w:val="none" w:sz="0" w:space="0" w:color="auto"/>
        <w:bottom w:val="none" w:sz="0" w:space="0" w:color="auto"/>
        <w:right w:val="none" w:sz="0" w:space="0" w:color="auto"/>
      </w:divBdr>
    </w:div>
    <w:div w:id="974985857">
      <w:bodyDiv w:val="1"/>
      <w:marLeft w:val="0"/>
      <w:marRight w:val="0"/>
      <w:marTop w:val="0"/>
      <w:marBottom w:val="0"/>
      <w:divBdr>
        <w:top w:val="none" w:sz="0" w:space="0" w:color="auto"/>
        <w:left w:val="none" w:sz="0" w:space="0" w:color="auto"/>
        <w:bottom w:val="none" w:sz="0" w:space="0" w:color="auto"/>
        <w:right w:val="none" w:sz="0" w:space="0" w:color="auto"/>
      </w:divBdr>
    </w:div>
    <w:div w:id="983705488">
      <w:bodyDiv w:val="1"/>
      <w:marLeft w:val="0"/>
      <w:marRight w:val="0"/>
      <w:marTop w:val="0"/>
      <w:marBottom w:val="0"/>
      <w:divBdr>
        <w:top w:val="none" w:sz="0" w:space="0" w:color="auto"/>
        <w:left w:val="none" w:sz="0" w:space="0" w:color="auto"/>
        <w:bottom w:val="none" w:sz="0" w:space="0" w:color="auto"/>
        <w:right w:val="none" w:sz="0" w:space="0" w:color="auto"/>
      </w:divBdr>
    </w:div>
    <w:div w:id="1002052612">
      <w:bodyDiv w:val="1"/>
      <w:marLeft w:val="0"/>
      <w:marRight w:val="0"/>
      <w:marTop w:val="0"/>
      <w:marBottom w:val="0"/>
      <w:divBdr>
        <w:top w:val="none" w:sz="0" w:space="0" w:color="auto"/>
        <w:left w:val="none" w:sz="0" w:space="0" w:color="auto"/>
        <w:bottom w:val="none" w:sz="0" w:space="0" w:color="auto"/>
        <w:right w:val="none" w:sz="0" w:space="0" w:color="auto"/>
      </w:divBdr>
    </w:div>
    <w:div w:id="1010254369">
      <w:bodyDiv w:val="1"/>
      <w:marLeft w:val="0"/>
      <w:marRight w:val="0"/>
      <w:marTop w:val="0"/>
      <w:marBottom w:val="0"/>
      <w:divBdr>
        <w:top w:val="none" w:sz="0" w:space="0" w:color="auto"/>
        <w:left w:val="none" w:sz="0" w:space="0" w:color="auto"/>
        <w:bottom w:val="none" w:sz="0" w:space="0" w:color="auto"/>
        <w:right w:val="none" w:sz="0" w:space="0" w:color="auto"/>
      </w:divBdr>
    </w:div>
    <w:div w:id="1010332137">
      <w:bodyDiv w:val="1"/>
      <w:marLeft w:val="0"/>
      <w:marRight w:val="0"/>
      <w:marTop w:val="0"/>
      <w:marBottom w:val="0"/>
      <w:divBdr>
        <w:top w:val="none" w:sz="0" w:space="0" w:color="auto"/>
        <w:left w:val="none" w:sz="0" w:space="0" w:color="auto"/>
        <w:bottom w:val="none" w:sz="0" w:space="0" w:color="auto"/>
        <w:right w:val="none" w:sz="0" w:space="0" w:color="auto"/>
      </w:divBdr>
    </w:div>
    <w:div w:id="1012951453">
      <w:bodyDiv w:val="1"/>
      <w:marLeft w:val="0"/>
      <w:marRight w:val="0"/>
      <w:marTop w:val="0"/>
      <w:marBottom w:val="0"/>
      <w:divBdr>
        <w:top w:val="none" w:sz="0" w:space="0" w:color="auto"/>
        <w:left w:val="none" w:sz="0" w:space="0" w:color="auto"/>
        <w:bottom w:val="none" w:sz="0" w:space="0" w:color="auto"/>
        <w:right w:val="none" w:sz="0" w:space="0" w:color="auto"/>
      </w:divBdr>
    </w:div>
    <w:div w:id="1029644940">
      <w:bodyDiv w:val="1"/>
      <w:marLeft w:val="0"/>
      <w:marRight w:val="0"/>
      <w:marTop w:val="0"/>
      <w:marBottom w:val="0"/>
      <w:divBdr>
        <w:top w:val="none" w:sz="0" w:space="0" w:color="auto"/>
        <w:left w:val="none" w:sz="0" w:space="0" w:color="auto"/>
        <w:bottom w:val="none" w:sz="0" w:space="0" w:color="auto"/>
        <w:right w:val="none" w:sz="0" w:space="0" w:color="auto"/>
      </w:divBdr>
    </w:div>
    <w:div w:id="1046370301">
      <w:bodyDiv w:val="1"/>
      <w:marLeft w:val="0"/>
      <w:marRight w:val="0"/>
      <w:marTop w:val="0"/>
      <w:marBottom w:val="0"/>
      <w:divBdr>
        <w:top w:val="none" w:sz="0" w:space="0" w:color="auto"/>
        <w:left w:val="none" w:sz="0" w:space="0" w:color="auto"/>
        <w:bottom w:val="none" w:sz="0" w:space="0" w:color="auto"/>
        <w:right w:val="none" w:sz="0" w:space="0" w:color="auto"/>
      </w:divBdr>
    </w:div>
    <w:div w:id="1048918279">
      <w:bodyDiv w:val="1"/>
      <w:marLeft w:val="0"/>
      <w:marRight w:val="0"/>
      <w:marTop w:val="0"/>
      <w:marBottom w:val="0"/>
      <w:divBdr>
        <w:top w:val="none" w:sz="0" w:space="0" w:color="auto"/>
        <w:left w:val="none" w:sz="0" w:space="0" w:color="auto"/>
        <w:bottom w:val="none" w:sz="0" w:space="0" w:color="auto"/>
        <w:right w:val="none" w:sz="0" w:space="0" w:color="auto"/>
      </w:divBdr>
    </w:div>
    <w:div w:id="1054351834">
      <w:bodyDiv w:val="1"/>
      <w:marLeft w:val="0"/>
      <w:marRight w:val="0"/>
      <w:marTop w:val="0"/>
      <w:marBottom w:val="0"/>
      <w:divBdr>
        <w:top w:val="none" w:sz="0" w:space="0" w:color="auto"/>
        <w:left w:val="none" w:sz="0" w:space="0" w:color="auto"/>
        <w:bottom w:val="none" w:sz="0" w:space="0" w:color="auto"/>
        <w:right w:val="none" w:sz="0" w:space="0" w:color="auto"/>
      </w:divBdr>
    </w:div>
    <w:div w:id="1056274120">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97017956">
      <w:bodyDiv w:val="1"/>
      <w:marLeft w:val="0"/>
      <w:marRight w:val="0"/>
      <w:marTop w:val="0"/>
      <w:marBottom w:val="0"/>
      <w:divBdr>
        <w:top w:val="none" w:sz="0" w:space="0" w:color="auto"/>
        <w:left w:val="none" w:sz="0" w:space="0" w:color="auto"/>
        <w:bottom w:val="none" w:sz="0" w:space="0" w:color="auto"/>
        <w:right w:val="none" w:sz="0" w:space="0" w:color="auto"/>
      </w:divBdr>
    </w:div>
    <w:div w:id="1116174289">
      <w:bodyDiv w:val="1"/>
      <w:marLeft w:val="0"/>
      <w:marRight w:val="0"/>
      <w:marTop w:val="0"/>
      <w:marBottom w:val="0"/>
      <w:divBdr>
        <w:top w:val="none" w:sz="0" w:space="0" w:color="auto"/>
        <w:left w:val="none" w:sz="0" w:space="0" w:color="auto"/>
        <w:bottom w:val="none" w:sz="0" w:space="0" w:color="auto"/>
        <w:right w:val="none" w:sz="0" w:space="0" w:color="auto"/>
      </w:divBdr>
    </w:div>
    <w:div w:id="1159228471">
      <w:bodyDiv w:val="1"/>
      <w:marLeft w:val="0"/>
      <w:marRight w:val="0"/>
      <w:marTop w:val="0"/>
      <w:marBottom w:val="0"/>
      <w:divBdr>
        <w:top w:val="none" w:sz="0" w:space="0" w:color="auto"/>
        <w:left w:val="none" w:sz="0" w:space="0" w:color="auto"/>
        <w:bottom w:val="none" w:sz="0" w:space="0" w:color="auto"/>
        <w:right w:val="none" w:sz="0" w:space="0" w:color="auto"/>
      </w:divBdr>
    </w:div>
    <w:div w:id="1159738039">
      <w:bodyDiv w:val="1"/>
      <w:marLeft w:val="0"/>
      <w:marRight w:val="0"/>
      <w:marTop w:val="0"/>
      <w:marBottom w:val="0"/>
      <w:divBdr>
        <w:top w:val="none" w:sz="0" w:space="0" w:color="auto"/>
        <w:left w:val="none" w:sz="0" w:space="0" w:color="auto"/>
        <w:bottom w:val="none" w:sz="0" w:space="0" w:color="auto"/>
        <w:right w:val="none" w:sz="0" w:space="0" w:color="auto"/>
      </w:divBdr>
    </w:div>
    <w:div w:id="1186168038">
      <w:bodyDiv w:val="1"/>
      <w:marLeft w:val="0"/>
      <w:marRight w:val="0"/>
      <w:marTop w:val="0"/>
      <w:marBottom w:val="0"/>
      <w:divBdr>
        <w:top w:val="none" w:sz="0" w:space="0" w:color="auto"/>
        <w:left w:val="none" w:sz="0" w:space="0" w:color="auto"/>
        <w:bottom w:val="none" w:sz="0" w:space="0" w:color="auto"/>
        <w:right w:val="none" w:sz="0" w:space="0" w:color="auto"/>
      </w:divBdr>
    </w:div>
    <w:div w:id="1197087694">
      <w:bodyDiv w:val="1"/>
      <w:marLeft w:val="0"/>
      <w:marRight w:val="0"/>
      <w:marTop w:val="0"/>
      <w:marBottom w:val="0"/>
      <w:divBdr>
        <w:top w:val="none" w:sz="0" w:space="0" w:color="auto"/>
        <w:left w:val="none" w:sz="0" w:space="0" w:color="auto"/>
        <w:bottom w:val="none" w:sz="0" w:space="0" w:color="auto"/>
        <w:right w:val="none" w:sz="0" w:space="0" w:color="auto"/>
      </w:divBdr>
    </w:div>
    <w:div w:id="1210264719">
      <w:bodyDiv w:val="1"/>
      <w:marLeft w:val="0"/>
      <w:marRight w:val="0"/>
      <w:marTop w:val="0"/>
      <w:marBottom w:val="0"/>
      <w:divBdr>
        <w:top w:val="none" w:sz="0" w:space="0" w:color="auto"/>
        <w:left w:val="none" w:sz="0" w:space="0" w:color="auto"/>
        <w:bottom w:val="none" w:sz="0" w:space="0" w:color="auto"/>
        <w:right w:val="none" w:sz="0" w:space="0" w:color="auto"/>
      </w:divBdr>
    </w:div>
    <w:div w:id="1216241382">
      <w:bodyDiv w:val="1"/>
      <w:marLeft w:val="0"/>
      <w:marRight w:val="0"/>
      <w:marTop w:val="0"/>
      <w:marBottom w:val="0"/>
      <w:divBdr>
        <w:top w:val="none" w:sz="0" w:space="0" w:color="auto"/>
        <w:left w:val="none" w:sz="0" w:space="0" w:color="auto"/>
        <w:bottom w:val="none" w:sz="0" w:space="0" w:color="auto"/>
        <w:right w:val="none" w:sz="0" w:space="0" w:color="auto"/>
      </w:divBdr>
    </w:div>
    <w:div w:id="1218516765">
      <w:bodyDiv w:val="1"/>
      <w:marLeft w:val="0"/>
      <w:marRight w:val="0"/>
      <w:marTop w:val="0"/>
      <w:marBottom w:val="0"/>
      <w:divBdr>
        <w:top w:val="none" w:sz="0" w:space="0" w:color="auto"/>
        <w:left w:val="none" w:sz="0" w:space="0" w:color="auto"/>
        <w:bottom w:val="none" w:sz="0" w:space="0" w:color="auto"/>
        <w:right w:val="none" w:sz="0" w:space="0" w:color="auto"/>
      </w:divBdr>
    </w:div>
    <w:div w:id="1221017192">
      <w:bodyDiv w:val="1"/>
      <w:marLeft w:val="0"/>
      <w:marRight w:val="0"/>
      <w:marTop w:val="0"/>
      <w:marBottom w:val="0"/>
      <w:divBdr>
        <w:top w:val="none" w:sz="0" w:space="0" w:color="auto"/>
        <w:left w:val="none" w:sz="0" w:space="0" w:color="auto"/>
        <w:bottom w:val="none" w:sz="0" w:space="0" w:color="auto"/>
        <w:right w:val="none" w:sz="0" w:space="0" w:color="auto"/>
      </w:divBdr>
    </w:div>
    <w:div w:id="1223517226">
      <w:bodyDiv w:val="1"/>
      <w:marLeft w:val="0"/>
      <w:marRight w:val="0"/>
      <w:marTop w:val="0"/>
      <w:marBottom w:val="0"/>
      <w:divBdr>
        <w:top w:val="none" w:sz="0" w:space="0" w:color="auto"/>
        <w:left w:val="none" w:sz="0" w:space="0" w:color="auto"/>
        <w:bottom w:val="none" w:sz="0" w:space="0" w:color="auto"/>
        <w:right w:val="none" w:sz="0" w:space="0" w:color="auto"/>
      </w:divBdr>
    </w:div>
    <w:div w:id="1257518464">
      <w:bodyDiv w:val="1"/>
      <w:marLeft w:val="0"/>
      <w:marRight w:val="0"/>
      <w:marTop w:val="0"/>
      <w:marBottom w:val="0"/>
      <w:divBdr>
        <w:top w:val="none" w:sz="0" w:space="0" w:color="auto"/>
        <w:left w:val="none" w:sz="0" w:space="0" w:color="auto"/>
        <w:bottom w:val="none" w:sz="0" w:space="0" w:color="auto"/>
        <w:right w:val="none" w:sz="0" w:space="0" w:color="auto"/>
      </w:divBdr>
    </w:div>
    <w:div w:id="1260286003">
      <w:bodyDiv w:val="1"/>
      <w:marLeft w:val="0"/>
      <w:marRight w:val="0"/>
      <w:marTop w:val="0"/>
      <w:marBottom w:val="0"/>
      <w:divBdr>
        <w:top w:val="none" w:sz="0" w:space="0" w:color="auto"/>
        <w:left w:val="none" w:sz="0" w:space="0" w:color="auto"/>
        <w:bottom w:val="none" w:sz="0" w:space="0" w:color="auto"/>
        <w:right w:val="none" w:sz="0" w:space="0" w:color="auto"/>
      </w:divBdr>
    </w:div>
    <w:div w:id="1261453224">
      <w:bodyDiv w:val="1"/>
      <w:marLeft w:val="0"/>
      <w:marRight w:val="0"/>
      <w:marTop w:val="0"/>
      <w:marBottom w:val="0"/>
      <w:divBdr>
        <w:top w:val="none" w:sz="0" w:space="0" w:color="auto"/>
        <w:left w:val="none" w:sz="0" w:space="0" w:color="auto"/>
        <w:bottom w:val="none" w:sz="0" w:space="0" w:color="auto"/>
        <w:right w:val="none" w:sz="0" w:space="0" w:color="auto"/>
      </w:divBdr>
    </w:div>
    <w:div w:id="1275407332">
      <w:bodyDiv w:val="1"/>
      <w:marLeft w:val="0"/>
      <w:marRight w:val="0"/>
      <w:marTop w:val="0"/>
      <w:marBottom w:val="0"/>
      <w:divBdr>
        <w:top w:val="none" w:sz="0" w:space="0" w:color="auto"/>
        <w:left w:val="none" w:sz="0" w:space="0" w:color="auto"/>
        <w:bottom w:val="none" w:sz="0" w:space="0" w:color="auto"/>
        <w:right w:val="none" w:sz="0" w:space="0" w:color="auto"/>
      </w:divBdr>
    </w:div>
    <w:div w:id="1277327989">
      <w:bodyDiv w:val="1"/>
      <w:marLeft w:val="0"/>
      <w:marRight w:val="0"/>
      <w:marTop w:val="0"/>
      <w:marBottom w:val="0"/>
      <w:divBdr>
        <w:top w:val="none" w:sz="0" w:space="0" w:color="auto"/>
        <w:left w:val="none" w:sz="0" w:space="0" w:color="auto"/>
        <w:bottom w:val="none" w:sz="0" w:space="0" w:color="auto"/>
        <w:right w:val="none" w:sz="0" w:space="0" w:color="auto"/>
      </w:divBdr>
    </w:div>
    <w:div w:id="1285379732">
      <w:bodyDiv w:val="1"/>
      <w:marLeft w:val="0"/>
      <w:marRight w:val="0"/>
      <w:marTop w:val="0"/>
      <w:marBottom w:val="0"/>
      <w:divBdr>
        <w:top w:val="none" w:sz="0" w:space="0" w:color="auto"/>
        <w:left w:val="none" w:sz="0" w:space="0" w:color="auto"/>
        <w:bottom w:val="none" w:sz="0" w:space="0" w:color="auto"/>
        <w:right w:val="none" w:sz="0" w:space="0" w:color="auto"/>
      </w:divBdr>
    </w:div>
    <w:div w:id="1301615720">
      <w:bodyDiv w:val="1"/>
      <w:marLeft w:val="0"/>
      <w:marRight w:val="0"/>
      <w:marTop w:val="0"/>
      <w:marBottom w:val="0"/>
      <w:divBdr>
        <w:top w:val="none" w:sz="0" w:space="0" w:color="auto"/>
        <w:left w:val="none" w:sz="0" w:space="0" w:color="auto"/>
        <w:bottom w:val="none" w:sz="0" w:space="0" w:color="auto"/>
        <w:right w:val="none" w:sz="0" w:space="0" w:color="auto"/>
      </w:divBdr>
    </w:div>
    <w:div w:id="1310359146">
      <w:bodyDiv w:val="1"/>
      <w:marLeft w:val="0"/>
      <w:marRight w:val="0"/>
      <w:marTop w:val="0"/>
      <w:marBottom w:val="0"/>
      <w:divBdr>
        <w:top w:val="none" w:sz="0" w:space="0" w:color="auto"/>
        <w:left w:val="none" w:sz="0" w:space="0" w:color="auto"/>
        <w:bottom w:val="none" w:sz="0" w:space="0" w:color="auto"/>
        <w:right w:val="none" w:sz="0" w:space="0" w:color="auto"/>
      </w:divBdr>
    </w:div>
    <w:div w:id="1318345630">
      <w:bodyDiv w:val="1"/>
      <w:marLeft w:val="0"/>
      <w:marRight w:val="0"/>
      <w:marTop w:val="0"/>
      <w:marBottom w:val="0"/>
      <w:divBdr>
        <w:top w:val="none" w:sz="0" w:space="0" w:color="auto"/>
        <w:left w:val="none" w:sz="0" w:space="0" w:color="auto"/>
        <w:bottom w:val="none" w:sz="0" w:space="0" w:color="auto"/>
        <w:right w:val="none" w:sz="0" w:space="0" w:color="auto"/>
      </w:divBdr>
    </w:div>
    <w:div w:id="1320034227">
      <w:bodyDiv w:val="1"/>
      <w:marLeft w:val="0"/>
      <w:marRight w:val="0"/>
      <w:marTop w:val="0"/>
      <w:marBottom w:val="0"/>
      <w:divBdr>
        <w:top w:val="none" w:sz="0" w:space="0" w:color="auto"/>
        <w:left w:val="none" w:sz="0" w:space="0" w:color="auto"/>
        <w:bottom w:val="none" w:sz="0" w:space="0" w:color="auto"/>
        <w:right w:val="none" w:sz="0" w:space="0" w:color="auto"/>
      </w:divBdr>
    </w:div>
    <w:div w:id="1321806272">
      <w:bodyDiv w:val="1"/>
      <w:marLeft w:val="0"/>
      <w:marRight w:val="0"/>
      <w:marTop w:val="0"/>
      <w:marBottom w:val="0"/>
      <w:divBdr>
        <w:top w:val="none" w:sz="0" w:space="0" w:color="auto"/>
        <w:left w:val="none" w:sz="0" w:space="0" w:color="auto"/>
        <w:bottom w:val="none" w:sz="0" w:space="0" w:color="auto"/>
        <w:right w:val="none" w:sz="0" w:space="0" w:color="auto"/>
      </w:divBdr>
    </w:div>
    <w:div w:id="1335694103">
      <w:bodyDiv w:val="1"/>
      <w:marLeft w:val="0"/>
      <w:marRight w:val="0"/>
      <w:marTop w:val="0"/>
      <w:marBottom w:val="0"/>
      <w:divBdr>
        <w:top w:val="none" w:sz="0" w:space="0" w:color="auto"/>
        <w:left w:val="none" w:sz="0" w:space="0" w:color="auto"/>
        <w:bottom w:val="none" w:sz="0" w:space="0" w:color="auto"/>
        <w:right w:val="none" w:sz="0" w:space="0" w:color="auto"/>
      </w:divBdr>
    </w:div>
    <w:div w:id="1374574610">
      <w:bodyDiv w:val="1"/>
      <w:marLeft w:val="0"/>
      <w:marRight w:val="0"/>
      <w:marTop w:val="0"/>
      <w:marBottom w:val="0"/>
      <w:divBdr>
        <w:top w:val="none" w:sz="0" w:space="0" w:color="auto"/>
        <w:left w:val="none" w:sz="0" w:space="0" w:color="auto"/>
        <w:bottom w:val="none" w:sz="0" w:space="0" w:color="auto"/>
        <w:right w:val="none" w:sz="0" w:space="0" w:color="auto"/>
      </w:divBdr>
    </w:div>
    <w:div w:id="1383868271">
      <w:bodyDiv w:val="1"/>
      <w:marLeft w:val="0"/>
      <w:marRight w:val="0"/>
      <w:marTop w:val="0"/>
      <w:marBottom w:val="0"/>
      <w:divBdr>
        <w:top w:val="none" w:sz="0" w:space="0" w:color="auto"/>
        <w:left w:val="none" w:sz="0" w:space="0" w:color="auto"/>
        <w:bottom w:val="none" w:sz="0" w:space="0" w:color="auto"/>
        <w:right w:val="none" w:sz="0" w:space="0" w:color="auto"/>
      </w:divBdr>
    </w:div>
    <w:div w:id="1400205559">
      <w:bodyDiv w:val="1"/>
      <w:marLeft w:val="0"/>
      <w:marRight w:val="0"/>
      <w:marTop w:val="0"/>
      <w:marBottom w:val="0"/>
      <w:divBdr>
        <w:top w:val="none" w:sz="0" w:space="0" w:color="auto"/>
        <w:left w:val="none" w:sz="0" w:space="0" w:color="auto"/>
        <w:bottom w:val="none" w:sz="0" w:space="0" w:color="auto"/>
        <w:right w:val="none" w:sz="0" w:space="0" w:color="auto"/>
      </w:divBdr>
    </w:div>
    <w:div w:id="1422020601">
      <w:bodyDiv w:val="1"/>
      <w:marLeft w:val="0"/>
      <w:marRight w:val="0"/>
      <w:marTop w:val="0"/>
      <w:marBottom w:val="0"/>
      <w:divBdr>
        <w:top w:val="none" w:sz="0" w:space="0" w:color="auto"/>
        <w:left w:val="none" w:sz="0" w:space="0" w:color="auto"/>
        <w:bottom w:val="none" w:sz="0" w:space="0" w:color="auto"/>
        <w:right w:val="none" w:sz="0" w:space="0" w:color="auto"/>
      </w:divBdr>
    </w:div>
    <w:div w:id="1424453140">
      <w:bodyDiv w:val="1"/>
      <w:marLeft w:val="0"/>
      <w:marRight w:val="0"/>
      <w:marTop w:val="0"/>
      <w:marBottom w:val="0"/>
      <w:divBdr>
        <w:top w:val="none" w:sz="0" w:space="0" w:color="auto"/>
        <w:left w:val="none" w:sz="0" w:space="0" w:color="auto"/>
        <w:bottom w:val="none" w:sz="0" w:space="0" w:color="auto"/>
        <w:right w:val="none" w:sz="0" w:space="0" w:color="auto"/>
      </w:divBdr>
    </w:div>
    <w:div w:id="1440763225">
      <w:bodyDiv w:val="1"/>
      <w:marLeft w:val="0"/>
      <w:marRight w:val="0"/>
      <w:marTop w:val="0"/>
      <w:marBottom w:val="0"/>
      <w:divBdr>
        <w:top w:val="none" w:sz="0" w:space="0" w:color="auto"/>
        <w:left w:val="none" w:sz="0" w:space="0" w:color="auto"/>
        <w:bottom w:val="none" w:sz="0" w:space="0" w:color="auto"/>
        <w:right w:val="none" w:sz="0" w:space="0" w:color="auto"/>
      </w:divBdr>
    </w:div>
    <w:div w:id="1460682783">
      <w:bodyDiv w:val="1"/>
      <w:marLeft w:val="0"/>
      <w:marRight w:val="0"/>
      <w:marTop w:val="0"/>
      <w:marBottom w:val="0"/>
      <w:divBdr>
        <w:top w:val="none" w:sz="0" w:space="0" w:color="auto"/>
        <w:left w:val="none" w:sz="0" w:space="0" w:color="auto"/>
        <w:bottom w:val="none" w:sz="0" w:space="0" w:color="auto"/>
        <w:right w:val="none" w:sz="0" w:space="0" w:color="auto"/>
      </w:divBdr>
    </w:div>
    <w:div w:id="1464733426">
      <w:bodyDiv w:val="1"/>
      <w:marLeft w:val="0"/>
      <w:marRight w:val="0"/>
      <w:marTop w:val="0"/>
      <w:marBottom w:val="0"/>
      <w:divBdr>
        <w:top w:val="none" w:sz="0" w:space="0" w:color="auto"/>
        <w:left w:val="none" w:sz="0" w:space="0" w:color="auto"/>
        <w:bottom w:val="none" w:sz="0" w:space="0" w:color="auto"/>
        <w:right w:val="none" w:sz="0" w:space="0" w:color="auto"/>
      </w:divBdr>
    </w:div>
    <w:div w:id="1477524172">
      <w:bodyDiv w:val="1"/>
      <w:marLeft w:val="0"/>
      <w:marRight w:val="0"/>
      <w:marTop w:val="0"/>
      <w:marBottom w:val="0"/>
      <w:divBdr>
        <w:top w:val="none" w:sz="0" w:space="0" w:color="auto"/>
        <w:left w:val="none" w:sz="0" w:space="0" w:color="auto"/>
        <w:bottom w:val="none" w:sz="0" w:space="0" w:color="auto"/>
        <w:right w:val="none" w:sz="0" w:space="0" w:color="auto"/>
      </w:divBdr>
    </w:div>
    <w:div w:id="1526869775">
      <w:bodyDiv w:val="1"/>
      <w:marLeft w:val="0"/>
      <w:marRight w:val="0"/>
      <w:marTop w:val="0"/>
      <w:marBottom w:val="0"/>
      <w:divBdr>
        <w:top w:val="none" w:sz="0" w:space="0" w:color="auto"/>
        <w:left w:val="none" w:sz="0" w:space="0" w:color="auto"/>
        <w:bottom w:val="none" w:sz="0" w:space="0" w:color="auto"/>
        <w:right w:val="none" w:sz="0" w:space="0" w:color="auto"/>
      </w:divBdr>
    </w:div>
    <w:div w:id="1530220123">
      <w:bodyDiv w:val="1"/>
      <w:marLeft w:val="0"/>
      <w:marRight w:val="0"/>
      <w:marTop w:val="0"/>
      <w:marBottom w:val="0"/>
      <w:divBdr>
        <w:top w:val="none" w:sz="0" w:space="0" w:color="auto"/>
        <w:left w:val="none" w:sz="0" w:space="0" w:color="auto"/>
        <w:bottom w:val="none" w:sz="0" w:space="0" w:color="auto"/>
        <w:right w:val="none" w:sz="0" w:space="0" w:color="auto"/>
      </w:divBdr>
    </w:div>
    <w:div w:id="1538810850">
      <w:bodyDiv w:val="1"/>
      <w:marLeft w:val="0"/>
      <w:marRight w:val="0"/>
      <w:marTop w:val="0"/>
      <w:marBottom w:val="0"/>
      <w:divBdr>
        <w:top w:val="none" w:sz="0" w:space="0" w:color="auto"/>
        <w:left w:val="none" w:sz="0" w:space="0" w:color="auto"/>
        <w:bottom w:val="none" w:sz="0" w:space="0" w:color="auto"/>
        <w:right w:val="none" w:sz="0" w:space="0" w:color="auto"/>
      </w:divBdr>
    </w:div>
    <w:div w:id="1546327212">
      <w:bodyDiv w:val="1"/>
      <w:marLeft w:val="0"/>
      <w:marRight w:val="0"/>
      <w:marTop w:val="0"/>
      <w:marBottom w:val="0"/>
      <w:divBdr>
        <w:top w:val="none" w:sz="0" w:space="0" w:color="auto"/>
        <w:left w:val="none" w:sz="0" w:space="0" w:color="auto"/>
        <w:bottom w:val="none" w:sz="0" w:space="0" w:color="auto"/>
        <w:right w:val="none" w:sz="0" w:space="0" w:color="auto"/>
      </w:divBdr>
    </w:div>
    <w:div w:id="1565221620">
      <w:bodyDiv w:val="1"/>
      <w:marLeft w:val="0"/>
      <w:marRight w:val="0"/>
      <w:marTop w:val="0"/>
      <w:marBottom w:val="0"/>
      <w:divBdr>
        <w:top w:val="none" w:sz="0" w:space="0" w:color="auto"/>
        <w:left w:val="none" w:sz="0" w:space="0" w:color="auto"/>
        <w:bottom w:val="none" w:sz="0" w:space="0" w:color="auto"/>
        <w:right w:val="none" w:sz="0" w:space="0" w:color="auto"/>
      </w:divBdr>
    </w:div>
    <w:div w:id="1567910187">
      <w:bodyDiv w:val="1"/>
      <w:marLeft w:val="0"/>
      <w:marRight w:val="0"/>
      <w:marTop w:val="0"/>
      <w:marBottom w:val="0"/>
      <w:divBdr>
        <w:top w:val="none" w:sz="0" w:space="0" w:color="auto"/>
        <w:left w:val="none" w:sz="0" w:space="0" w:color="auto"/>
        <w:bottom w:val="none" w:sz="0" w:space="0" w:color="auto"/>
        <w:right w:val="none" w:sz="0" w:space="0" w:color="auto"/>
      </w:divBdr>
    </w:div>
    <w:div w:id="1590692277">
      <w:bodyDiv w:val="1"/>
      <w:marLeft w:val="0"/>
      <w:marRight w:val="0"/>
      <w:marTop w:val="0"/>
      <w:marBottom w:val="0"/>
      <w:divBdr>
        <w:top w:val="none" w:sz="0" w:space="0" w:color="auto"/>
        <w:left w:val="none" w:sz="0" w:space="0" w:color="auto"/>
        <w:bottom w:val="none" w:sz="0" w:space="0" w:color="auto"/>
        <w:right w:val="none" w:sz="0" w:space="0" w:color="auto"/>
      </w:divBdr>
    </w:div>
    <w:div w:id="1606880594">
      <w:bodyDiv w:val="1"/>
      <w:marLeft w:val="0"/>
      <w:marRight w:val="0"/>
      <w:marTop w:val="0"/>
      <w:marBottom w:val="0"/>
      <w:divBdr>
        <w:top w:val="none" w:sz="0" w:space="0" w:color="auto"/>
        <w:left w:val="none" w:sz="0" w:space="0" w:color="auto"/>
        <w:bottom w:val="none" w:sz="0" w:space="0" w:color="auto"/>
        <w:right w:val="none" w:sz="0" w:space="0" w:color="auto"/>
      </w:divBdr>
    </w:div>
    <w:div w:id="1607889232">
      <w:bodyDiv w:val="1"/>
      <w:marLeft w:val="0"/>
      <w:marRight w:val="0"/>
      <w:marTop w:val="0"/>
      <w:marBottom w:val="0"/>
      <w:divBdr>
        <w:top w:val="none" w:sz="0" w:space="0" w:color="auto"/>
        <w:left w:val="none" w:sz="0" w:space="0" w:color="auto"/>
        <w:bottom w:val="none" w:sz="0" w:space="0" w:color="auto"/>
        <w:right w:val="none" w:sz="0" w:space="0" w:color="auto"/>
      </w:divBdr>
    </w:div>
    <w:div w:id="1608074255">
      <w:bodyDiv w:val="1"/>
      <w:marLeft w:val="0"/>
      <w:marRight w:val="0"/>
      <w:marTop w:val="0"/>
      <w:marBottom w:val="0"/>
      <w:divBdr>
        <w:top w:val="none" w:sz="0" w:space="0" w:color="auto"/>
        <w:left w:val="none" w:sz="0" w:space="0" w:color="auto"/>
        <w:bottom w:val="none" w:sz="0" w:space="0" w:color="auto"/>
        <w:right w:val="none" w:sz="0" w:space="0" w:color="auto"/>
      </w:divBdr>
    </w:div>
    <w:div w:id="1637024886">
      <w:bodyDiv w:val="1"/>
      <w:marLeft w:val="0"/>
      <w:marRight w:val="0"/>
      <w:marTop w:val="0"/>
      <w:marBottom w:val="0"/>
      <w:divBdr>
        <w:top w:val="none" w:sz="0" w:space="0" w:color="auto"/>
        <w:left w:val="none" w:sz="0" w:space="0" w:color="auto"/>
        <w:bottom w:val="none" w:sz="0" w:space="0" w:color="auto"/>
        <w:right w:val="none" w:sz="0" w:space="0" w:color="auto"/>
      </w:divBdr>
    </w:div>
    <w:div w:id="1639259774">
      <w:bodyDiv w:val="1"/>
      <w:marLeft w:val="0"/>
      <w:marRight w:val="0"/>
      <w:marTop w:val="0"/>
      <w:marBottom w:val="0"/>
      <w:divBdr>
        <w:top w:val="none" w:sz="0" w:space="0" w:color="auto"/>
        <w:left w:val="none" w:sz="0" w:space="0" w:color="auto"/>
        <w:bottom w:val="none" w:sz="0" w:space="0" w:color="auto"/>
        <w:right w:val="none" w:sz="0" w:space="0" w:color="auto"/>
      </w:divBdr>
    </w:div>
    <w:div w:id="1642073809">
      <w:bodyDiv w:val="1"/>
      <w:marLeft w:val="0"/>
      <w:marRight w:val="0"/>
      <w:marTop w:val="0"/>
      <w:marBottom w:val="0"/>
      <w:divBdr>
        <w:top w:val="none" w:sz="0" w:space="0" w:color="auto"/>
        <w:left w:val="none" w:sz="0" w:space="0" w:color="auto"/>
        <w:bottom w:val="none" w:sz="0" w:space="0" w:color="auto"/>
        <w:right w:val="none" w:sz="0" w:space="0" w:color="auto"/>
      </w:divBdr>
    </w:div>
    <w:div w:id="1651247420">
      <w:bodyDiv w:val="1"/>
      <w:marLeft w:val="0"/>
      <w:marRight w:val="0"/>
      <w:marTop w:val="0"/>
      <w:marBottom w:val="0"/>
      <w:divBdr>
        <w:top w:val="none" w:sz="0" w:space="0" w:color="auto"/>
        <w:left w:val="none" w:sz="0" w:space="0" w:color="auto"/>
        <w:bottom w:val="none" w:sz="0" w:space="0" w:color="auto"/>
        <w:right w:val="none" w:sz="0" w:space="0" w:color="auto"/>
      </w:divBdr>
    </w:div>
    <w:div w:id="1664315308">
      <w:bodyDiv w:val="1"/>
      <w:marLeft w:val="0"/>
      <w:marRight w:val="0"/>
      <w:marTop w:val="0"/>
      <w:marBottom w:val="0"/>
      <w:divBdr>
        <w:top w:val="none" w:sz="0" w:space="0" w:color="auto"/>
        <w:left w:val="none" w:sz="0" w:space="0" w:color="auto"/>
        <w:bottom w:val="none" w:sz="0" w:space="0" w:color="auto"/>
        <w:right w:val="none" w:sz="0" w:space="0" w:color="auto"/>
      </w:divBdr>
    </w:div>
    <w:div w:id="1665162106">
      <w:bodyDiv w:val="1"/>
      <w:marLeft w:val="0"/>
      <w:marRight w:val="0"/>
      <w:marTop w:val="0"/>
      <w:marBottom w:val="0"/>
      <w:divBdr>
        <w:top w:val="none" w:sz="0" w:space="0" w:color="auto"/>
        <w:left w:val="none" w:sz="0" w:space="0" w:color="auto"/>
        <w:bottom w:val="none" w:sz="0" w:space="0" w:color="auto"/>
        <w:right w:val="none" w:sz="0" w:space="0" w:color="auto"/>
      </w:divBdr>
    </w:div>
    <w:div w:id="1700623660">
      <w:bodyDiv w:val="1"/>
      <w:marLeft w:val="0"/>
      <w:marRight w:val="0"/>
      <w:marTop w:val="0"/>
      <w:marBottom w:val="0"/>
      <w:divBdr>
        <w:top w:val="none" w:sz="0" w:space="0" w:color="auto"/>
        <w:left w:val="none" w:sz="0" w:space="0" w:color="auto"/>
        <w:bottom w:val="none" w:sz="0" w:space="0" w:color="auto"/>
        <w:right w:val="none" w:sz="0" w:space="0" w:color="auto"/>
      </w:divBdr>
    </w:div>
    <w:div w:id="1710835484">
      <w:bodyDiv w:val="1"/>
      <w:marLeft w:val="0"/>
      <w:marRight w:val="0"/>
      <w:marTop w:val="0"/>
      <w:marBottom w:val="0"/>
      <w:divBdr>
        <w:top w:val="none" w:sz="0" w:space="0" w:color="auto"/>
        <w:left w:val="none" w:sz="0" w:space="0" w:color="auto"/>
        <w:bottom w:val="none" w:sz="0" w:space="0" w:color="auto"/>
        <w:right w:val="none" w:sz="0" w:space="0" w:color="auto"/>
      </w:divBdr>
    </w:div>
    <w:div w:id="1729382950">
      <w:bodyDiv w:val="1"/>
      <w:marLeft w:val="0"/>
      <w:marRight w:val="0"/>
      <w:marTop w:val="0"/>
      <w:marBottom w:val="0"/>
      <w:divBdr>
        <w:top w:val="none" w:sz="0" w:space="0" w:color="auto"/>
        <w:left w:val="none" w:sz="0" w:space="0" w:color="auto"/>
        <w:bottom w:val="none" w:sz="0" w:space="0" w:color="auto"/>
        <w:right w:val="none" w:sz="0" w:space="0" w:color="auto"/>
      </w:divBdr>
    </w:div>
    <w:div w:id="1731226715">
      <w:bodyDiv w:val="1"/>
      <w:marLeft w:val="0"/>
      <w:marRight w:val="0"/>
      <w:marTop w:val="0"/>
      <w:marBottom w:val="0"/>
      <w:divBdr>
        <w:top w:val="none" w:sz="0" w:space="0" w:color="auto"/>
        <w:left w:val="none" w:sz="0" w:space="0" w:color="auto"/>
        <w:bottom w:val="none" w:sz="0" w:space="0" w:color="auto"/>
        <w:right w:val="none" w:sz="0" w:space="0" w:color="auto"/>
      </w:divBdr>
    </w:div>
    <w:div w:id="1731267298">
      <w:bodyDiv w:val="1"/>
      <w:marLeft w:val="0"/>
      <w:marRight w:val="0"/>
      <w:marTop w:val="0"/>
      <w:marBottom w:val="0"/>
      <w:divBdr>
        <w:top w:val="none" w:sz="0" w:space="0" w:color="auto"/>
        <w:left w:val="none" w:sz="0" w:space="0" w:color="auto"/>
        <w:bottom w:val="none" w:sz="0" w:space="0" w:color="auto"/>
        <w:right w:val="none" w:sz="0" w:space="0" w:color="auto"/>
      </w:divBdr>
    </w:div>
    <w:div w:id="1747413397">
      <w:bodyDiv w:val="1"/>
      <w:marLeft w:val="0"/>
      <w:marRight w:val="0"/>
      <w:marTop w:val="0"/>
      <w:marBottom w:val="0"/>
      <w:divBdr>
        <w:top w:val="none" w:sz="0" w:space="0" w:color="auto"/>
        <w:left w:val="none" w:sz="0" w:space="0" w:color="auto"/>
        <w:bottom w:val="none" w:sz="0" w:space="0" w:color="auto"/>
        <w:right w:val="none" w:sz="0" w:space="0" w:color="auto"/>
      </w:divBdr>
    </w:div>
    <w:div w:id="1749182158">
      <w:bodyDiv w:val="1"/>
      <w:marLeft w:val="0"/>
      <w:marRight w:val="0"/>
      <w:marTop w:val="0"/>
      <w:marBottom w:val="0"/>
      <w:divBdr>
        <w:top w:val="none" w:sz="0" w:space="0" w:color="auto"/>
        <w:left w:val="none" w:sz="0" w:space="0" w:color="auto"/>
        <w:bottom w:val="none" w:sz="0" w:space="0" w:color="auto"/>
        <w:right w:val="none" w:sz="0" w:space="0" w:color="auto"/>
      </w:divBdr>
    </w:div>
    <w:div w:id="1749886116">
      <w:bodyDiv w:val="1"/>
      <w:marLeft w:val="0"/>
      <w:marRight w:val="0"/>
      <w:marTop w:val="0"/>
      <w:marBottom w:val="0"/>
      <w:divBdr>
        <w:top w:val="none" w:sz="0" w:space="0" w:color="auto"/>
        <w:left w:val="none" w:sz="0" w:space="0" w:color="auto"/>
        <w:bottom w:val="none" w:sz="0" w:space="0" w:color="auto"/>
        <w:right w:val="none" w:sz="0" w:space="0" w:color="auto"/>
      </w:divBdr>
    </w:div>
    <w:div w:id="1767114010">
      <w:bodyDiv w:val="1"/>
      <w:marLeft w:val="0"/>
      <w:marRight w:val="0"/>
      <w:marTop w:val="0"/>
      <w:marBottom w:val="0"/>
      <w:divBdr>
        <w:top w:val="none" w:sz="0" w:space="0" w:color="auto"/>
        <w:left w:val="none" w:sz="0" w:space="0" w:color="auto"/>
        <w:bottom w:val="none" w:sz="0" w:space="0" w:color="auto"/>
        <w:right w:val="none" w:sz="0" w:space="0" w:color="auto"/>
      </w:divBdr>
    </w:div>
    <w:div w:id="1830897586">
      <w:bodyDiv w:val="1"/>
      <w:marLeft w:val="0"/>
      <w:marRight w:val="0"/>
      <w:marTop w:val="0"/>
      <w:marBottom w:val="0"/>
      <w:divBdr>
        <w:top w:val="none" w:sz="0" w:space="0" w:color="auto"/>
        <w:left w:val="none" w:sz="0" w:space="0" w:color="auto"/>
        <w:bottom w:val="none" w:sz="0" w:space="0" w:color="auto"/>
        <w:right w:val="none" w:sz="0" w:space="0" w:color="auto"/>
      </w:divBdr>
    </w:div>
    <w:div w:id="1841118109">
      <w:bodyDiv w:val="1"/>
      <w:marLeft w:val="0"/>
      <w:marRight w:val="0"/>
      <w:marTop w:val="0"/>
      <w:marBottom w:val="0"/>
      <w:divBdr>
        <w:top w:val="none" w:sz="0" w:space="0" w:color="auto"/>
        <w:left w:val="none" w:sz="0" w:space="0" w:color="auto"/>
        <w:bottom w:val="none" w:sz="0" w:space="0" w:color="auto"/>
        <w:right w:val="none" w:sz="0" w:space="0" w:color="auto"/>
      </w:divBdr>
    </w:div>
    <w:div w:id="1852406210">
      <w:bodyDiv w:val="1"/>
      <w:marLeft w:val="0"/>
      <w:marRight w:val="0"/>
      <w:marTop w:val="0"/>
      <w:marBottom w:val="0"/>
      <w:divBdr>
        <w:top w:val="none" w:sz="0" w:space="0" w:color="auto"/>
        <w:left w:val="none" w:sz="0" w:space="0" w:color="auto"/>
        <w:bottom w:val="none" w:sz="0" w:space="0" w:color="auto"/>
        <w:right w:val="none" w:sz="0" w:space="0" w:color="auto"/>
      </w:divBdr>
    </w:div>
    <w:div w:id="1899315034">
      <w:bodyDiv w:val="1"/>
      <w:marLeft w:val="0"/>
      <w:marRight w:val="0"/>
      <w:marTop w:val="0"/>
      <w:marBottom w:val="0"/>
      <w:divBdr>
        <w:top w:val="none" w:sz="0" w:space="0" w:color="auto"/>
        <w:left w:val="none" w:sz="0" w:space="0" w:color="auto"/>
        <w:bottom w:val="none" w:sz="0" w:space="0" w:color="auto"/>
        <w:right w:val="none" w:sz="0" w:space="0" w:color="auto"/>
      </w:divBdr>
    </w:div>
    <w:div w:id="1906792895">
      <w:bodyDiv w:val="1"/>
      <w:marLeft w:val="0"/>
      <w:marRight w:val="0"/>
      <w:marTop w:val="0"/>
      <w:marBottom w:val="0"/>
      <w:divBdr>
        <w:top w:val="none" w:sz="0" w:space="0" w:color="auto"/>
        <w:left w:val="none" w:sz="0" w:space="0" w:color="auto"/>
        <w:bottom w:val="none" w:sz="0" w:space="0" w:color="auto"/>
        <w:right w:val="none" w:sz="0" w:space="0" w:color="auto"/>
      </w:divBdr>
    </w:div>
    <w:div w:id="1913201745">
      <w:bodyDiv w:val="1"/>
      <w:marLeft w:val="0"/>
      <w:marRight w:val="0"/>
      <w:marTop w:val="0"/>
      <w:marBottom w:val="0"/>
      <w:divBdr>
        <w:top w:val="none" w:sz="0" w:space="0" w:color="auto"/>
        <w:left w:val="none" w:sz="0" w:space="0" w:color="auto"/>
        <w:bottom w:val="none" w:sz="0" w:space="0" w:color="auto"/>
        <w:right w:val="none" w:sz="0" w:space="0" w:color="auto"/>
      </w:divBdr>
    </w:div>
    <w:div w:id="1916083900">
      <w:bodyDiv w:val="1"/>
      <w:marLeft w:val="0"/>
      <w:marRight w:val="0"/>
      <w:marTop w:val="0"/>
      <w:marBottom w:val="0"/>
      <w:divBdr>
        <w:top w:val="none" w:sz="0" w:space="0" w:color="auto"/>
        <w:left w:val="none" w:sz="0" w:space="0" w:color="auto"/>
        <w:bottom w:val="none" w:sz="0" w:space="0" w:color="auto"/>
        <w:right w:val="none" w:sz="0" w:space="0" w:color="auto"/>
      </w:divBdr>
    </w:div>
    <w:div w:id="1941984594">
      <w:bodyDiv w:val="1"/>
      <w:marLeft w:val="0"/>
      <w:marRight w:val="0"/>
      <w:marTop w:val="0"/>
      <w:marBottom w:val="0"/>
      <w:divBdr>
        <w:top w:val="none" w:sz="0" w:space="0" w:color="auto"/>
        <w:left w:val="none" w:sz="0" w:space="0" w:color="auto"/>
        <w:bottom w:val="none" w:sz="0" w:space="0" w:color="auto"/>
        <w:right w:val="none" w:sz="0" w:space="0" w:color="auto"/>
      </w:divBdr>
    </w:div>
    <w:div w:id="1946576338">
      <w:bodyDiv w:val="1"/>
      <w:marLeft w:val="0"/>
      <w:marRight w:val="0"/>
      <w:marTop w:val="0"/>
      <w:marBottom w:val="0"/>
      <w:divBdr>
        <w:top w:val="none" w:sz="0" w:space="0" w:color="auto"/>
        <w:left w:val="none" w:sz="0" w:space="0" w:color="auto"/>
        <w:bottom w:val="none" w:sz="0" w:space="0" w:color="auto"/>
        <w:right w:val="none" w:sz="0" w:space="0" w:color="auto"/>
      </w:divBdr>
    </w:div>
    <w:div w:id="1962881171">
      <w:bodyDiv w:val="1"/>
      <w:marLeft w:val="0"/>
      <w:marRight w:val="0"/>
      <w:marTop w:val="0"/>
      <w:marBottom w:val="0"/>
      <w:divBdr>
        <w:top w:val="none" w:sz="0" w:space="0" w:color="auto"/>
        <w:left w:val="none" w:sz="0" w:space="0" w:color="auto"/>
        <w:bottom w:val="none" w:sz="0" w:space="0" w:color="auto"/>
        <w:right w:val="none" w:sz="0" w:space="0" w:color="auto"/>
      </w:divBdr>
    </w:div>
    <w:div w:id="1963615449">
      <w:bodyDiv w:val="1"/>
      <w:marLeft w:val="0"/>
      <w:marRight w:val="0"/>
      <w:marTop w:val="0"/>
      <w:marBottom w:val="0"/>
      <w:divBdr>
        <w:top w:val="none" w:sz="0" w:space="0" w:color="auto"/>
        <w:left w:val="none" w:sz="0" w:space="0" w:color="auto"/>
        <w:bottom w:val="none" w:sz="0" w:space="0" w:color="auto"/>
        <w:right w:val="none" w:sz="0" w:space="0" w:color="auto"/>
      </w:divBdr>
    </w:div>
    <w:div w:id="2004626884">
      <w:bodyDiv w:val="1"/>
      <w:marLeft w:val="0"/>
      <w:marRight w:val="0"/>
      <w:marTop w:val="0"/>
      <w:marBottom w:val="0"/>
      <w:divBdr>
        <w:top w:val="none" w:sz="0" w:space="0" w:color="auto"/>
        <w:left w:val="none" w:sz="0" w:space="0" w:color="auto"/>
        <w:bottom w:val="none" w:sz="0" w:space="0" w:color="auto"/>
        <w:right w:val="none" w:sz="0" w:space="0" w:color="auto"/>
      </w:divBdr>
    </w:div>
    <w:div w:id="2005860575">
      <w:bodyDiv w:val="1"/>
      <w:marLeft w:val="0"/>
      <w:marRight w:val="0"/>
      <w:marTop w:val="0"/>
      <w:marBottom w:val="0"/>
      <w:divBdr>
        <w:top w:val="none" w:sz="0" w:space="0" w:color="auto"/>
        <w:left w:val="none" w:sz="0" w:space="0" w:color="auto"/>
        <w:bottom w:val="none" w:sz="0" w:space="0" w:color="auto"/>
        <w:right w:val="none" w:sz="0" w:space="0" w:color="auto"/>
      </w:divBdr>
    </w:div>
    <w:div w:id="2010474388">
      <w:bodyDiv w:val="1"/>
      <w:marLeft w:val="0"/>
      <w:marRight w:val="0"/>
      <w:marTop w:val="0"/>
      <w:marBottom w:val="0"/>
      <w:divBdr>
        <w:top w:val="none" w:sz="0" w:space="0" w:color="auto"/>
        <w:left w:val="none" w:sz="0" w:space="0" w:color="auto"/>
        <w:bottom w:val="none" w:sz="0" w:space="0" w:color="auto"/>
        <w:right w:val="none" w:sz="0" w:space="0" w:color="auto"/>
      </w:divBdr>
    </w:div>
    <w:div w:id="2052223351">
      <w:bodyDiv w:val="1"/>
      <w:marLeft w:val="0"/>
      <w:marRight w:val="0"/>
      <w:marTop w:val="0"/>
      <w:marBottom w:val="0"/>
      <w:divBdr>
        <w:top w:val="none" w:sz="0" w:space="0" w:color="auto"/>
        <w:left w:val="none" w:sz="0" w:space="0" w:color="auto"/>
        <w:bottom w:val="none" w:sz="0" w:space="0" w:color="auto"/>
        <w:right w:val="none" w:sz="0" w:space="0" w:color="auto"/>
      </w:divBdr>
    </w:div>
    <w:div w:id="2056194274">
      <w:bodyDiv w:val="1"/>
      <w:marLeft w:val="0"/>
      <w:marRight w:val="0"/>
      <w:marTop w:val="0"/>
      <w:marBottom w:val="0"/>
      <w:divBdr>
        <w:top w:val="none" w:sz="0" w:space="0" w:color="auto"/>
        <w:left w:val="none" w:sz="0" w:space="0" w:color="auto"/>
        <w:bottom w:val="none" w:sz="0" w:space="0" w:color="auto"/>
        <w:right w:val="none" w:sz="0" w:space="0" w:color="auto"/>
      </w:divBdr>
    </w:div>
    <w:div w:id="2060127785">
      <w:bodyDiv w:val="1"/>
      <w:marLeft w:val="0"/>
      <w:marRight w:val="0"/>
      <w:marTop w:val="0"/>
      <w:marBottom w:val="0"/>
      <w:divBdr>
        <w:top w:val="none" w:sz="0" w:space="0" w:color="auto"/>
        <w:left w:val="none" w:sz="0" w:space="0" w:color="auto"/>
        <w:bottom w:val="none" w:sz="0" w:space="0" w:color="auto"/>
        <w:right w:val="none" w:sz="0" w:space="0" w:color="auto"/>
      </w:divBdr>
    </w:div>
    <w:div w:id="2068842667">
      <w:bodyDiv w:val="1"/>
      <w:marLeft w:val="0"/>
      <w:marRight w:val="0"/>
      <w:marTop w:val="0"/>
      <w:marBottom w:val="0"/>
      <w:divBdr>
        <w:top w:val="none" w:sz="0" w:space="0" w:color="auto"/>
        <w:left w:val="none" w:sz="0" w:space="0" w:color="auto"/>
        <w:bottom w:val="none" w:sz="0" w:space="0" w:color="auto"/>
        <w:right w:val="none" w:sz="0" w:space="0" w:color="auto"/>
      </w:divBdr>
    </w:div>
    <w:div w:id="2071921630">
      <w:bodyDiv w:val="1"/>
      <w:marLeft w:val="0"/>
      <w:marRight w:val="0"/>
      <w:marTop w:val="0"/>
      <w:marBottom w:val="0"/>
      <w:divBdr>
        <w:top w:val="none" w:sz="0" w:space="0" w:color="auto"/>
        <w:left w:val="none" w:sz="0" w:space="0" w:color="auto"/>
        <w:bottom w:val="none" w:sz="0" w:space="0" w:color="auto"/>
        <w:right w:val="none" w:sz="0" w:space="0" w:color="auto"/>
      </w:divBdr>
    </w:div>
    <w:div w:id="2073117728">
      <w:bodyDiv w:val="1"/>
      <w:marLeft w:val="0"/>
      <w:marRight w:val="0"/>
      <w:marTop w:val="0"/>
      <w:marBottom w:val="0"/>
      <w:divBdr>
        <w:top w:val="none" w:sz="0" w:space="0" w:color="auto"/>
        <w:left w:val="none" w:sz="0" w:space="0" w:color="auto"/>
        <w:bottom w:val="none" w:sz="0" w:space="0" w:color="auto"/>
        <w:right w:val="none" w:sz="0" w:space="0" w:color="auto"/>
      </w:divBdr>
    </w:div>
    <w:div w:id="2078629009">
      <w:bodyDiv w:val="1"/>
      <w:marLeft w:val="0"/>
      <w:marRight w:val="0"/>
      <w:marTop w:val="0"/>
      <w:marBottom w:val="0"/>
      <w:divBdr>
        <w:top w:val="none" w:sz="0" w:space="0" w:color="auto"/>
        <w:left w:val="none" w:sz="0" w:space="0" w:color="auto"/>
        <w:bottom w:val="none" w:sz="0" w:space="0" w:color="auto"/>
        <w:right w:val="none" w:sz="0" w:space="0" w:color="auto"/>
      </w:divBdr>
    </w:div>
    <w:div w:id="2113501945">
      <w:bodyDiv w:val="1"/>
      <w:marLeft w:val="0"/>
      <w:marRight w:val="0"/>
      <w:marTop w:val="0"/>
      <w:marBottom w:val="0"/>
      <w:divBdr>
        <w:top w:val="none" w:sz="0" w:space="0" w:color="auto"/>
        <w:left w:val="none" w:sz="0" w:space="0" w:color="auto"/>
        <w:bottom w:val="none" w:sz="0" w:space="0" w:color="auto"/>
        <w:right w:val="none" w:sz="0" w:space="0" w:color="auto"/>
      </w:divBdr>
    </w:div>
    <w:div w:id="21332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ex.com/en/products/environmentals/emission-allowances/emissions-auc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ex.com/en/market-data/emission-allowances/auction-market/european-emission-allowances-au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aspi://module='EU'&amp;link='32011D0638%2523'&amp;ucin-k-dni='30.12.9999'" TargetMode="External"/><Relationship Id="rId2" Type="http://schemas.openxmlformats.org/officeDocument/2006/relationships/hyperlink" Target="aspi://module='EU'&amp;link='32003L0087%2523'&amp;ucin-k-dni='30.12.9999'" TargetMode="External"/><Relationship Id="rId1" Type="http://schemas.openxmlformats.org/officeDocument/2006/relationships/hyperlink" Target="aspi://module='EU'&amp;link='32011D0278%2523'&amp;ucin-k-dni='30.12.9999'" TargetMode="External"/><Relationship Id="rId6" Type="http://schemas.openxmlformats.org/officeDocument/2006/relationships/hyperlink" Target="https://www.ifac.org/sites/default/files/meetings/files/Agenda%20Item%203%20combinedv1.pdf" TargetMode="External"/><Relationship Id="rId5" Type="http://schemas.openxmlformats.org/officeDocument/2006/relationships/hyperlink" Target="http://www.mfcr.cz/cs/verejny-sektor/monitoring/financni-parametry-vykonnosti/kan-provozni-nakladovost" TargetMode="External"/><Relationship Id="rId4" Type="http://schemas.openxmlformats.org/officeDocument/2006/relationships/hyperlink" Target="aspi://module='EU'&amp;link='32003L0087%2523'&amp;ucin-k-dni='30.12.999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List_aplikace_Microsoft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List_aplikace_Microsoft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List_aplikace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List_aplikace_Microsoft_Excel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7147197906710037E-2"/>
          <c:y val="5.1400554097404488E-2"/>
          <c:w val="0.7042161839303186"/>
          <c:h val="0.7196103091280257"/>
        </c:manualLayout>
      </c:layout>
      <c:barChart>
        <c:barDir val="col"/>
        <c:grouping val="clustered"/>
        <c:varyColors val="0"/>
        <c:ser>
          <c:idx val="0"/>
          <c:order val="0"/>
          <c:tx>
            <c:strRef>
              <c:f>List2!$B$2</c:f>
              <c:strCache>
                <c:ptCount val="1"/>
                <c:pt idx="0">
                  <c:v>Stav k 31. 12. 2012 v mld. Kč</c:v>
                </c:pt>
              </c:strCache>
            </c:strRef>
          </c:tx>
          <c:invertIfNegative val="0"/>
          <c:cat>
            <c:strRef>
              <c:f>List2!$A$3:$A$5</c:f>
              <c:strCache>
                <c:ptCount val="3"/>
                <c:pt idx="0">
                  <c:v>Aktiva celkem </c:v>
                </c:pt>
                <c:pt idx="1">
                  <c:v>Stálá aktiva</c:v>
                </c:pt>
                <c:pt idx="2">
                  <c:v>Účet 015 – Povolenky na emise a preferenční limity</c:v>
                </c:pt>
              </c:strCache>
            </c:strRef>
          </c:cat>
          <c:val>
            <c:numRef>
              <c:f>List2!$B$3:$B$5</c:f>
              <c:numCache>
                <c:formatCode>#,##0.00</c:formatCode>
                <c:ptCount val="3"/>
                <c:pt idx="0">
                  <c:v>8.0500000000000007</c:v>
                </c:pt>
                <c:pt idx="1">
                  <c:v>0.97</c:v>
                </c:pt>
                <c:pt idx="2">
                  <c:v>0.25</c:v>
                </c:pt>
              </c:numCache>
            </c:numRef>
          </c:val>
        </c:ser>
        <c:ser>
          <c:idx val="1"/>
          <c:order val="1"/>
          <c:tx>
            <c:strRef>
              <c:f>List2!$C$2</c:f>
              <c:strCache>
                <c:ptCount val="1"/>
                <c:pt idx="0">
                  <c:v>Stav k 31. 12. 2013 v mld. Kč</c:v>
                </c:pt>
              </c:strCache>
            </c:strRef>
          </c:tx>
          <c:invertIfNegative val="0"/>
          <c:cat>
            <c:strRef>
              <c:f>List2!$A$3:$A$5</c:f>
              <c:strCache>
                <c:ptCount val="3"/>
                <c:pt idx="0">
                  <c:v>Aktiva celkem </c:v>
                </c:pt>
                <c:pt idx="1">
                  <c:v>Stálá aktiva</c:v>
                </c:pt>
                <c:pt idx="2">
                  <c:v>Účet 015 – Povolenky na emise a preferenční limity</c:v>
                </c:pt>
              </c:strCache>
            </c:strRef>
          </c:cat>
          <c:val>
            <c:numRef>
              <c:f>List2!$C$3:$C$5</c:f>
              <c:numCache>
                <c:formatCode>#,##0.00</c:formatCode>
                <c:ptCount val="3"/>
                <c:pt idx="0">
                  <c:v>18.59</c:v>
                </c:pt>
                <c:pt idx="1">
                  <c:v>9.82</c:v>
                </c:pt>
                <c:pt idx="2">
                  <c:v>7.48</c:v>
                </c:pt>
              </c:numCache>
            </c:numRef>
          </c:val>
        </c:ser>
        <c:dLbls>
          <c:showLegendKey val="0"/>
          <c:showVal val="0"/>
          <c:showCatName val="0"/>
          <c:showSerName val="0"/>
          <c:showPercent val="0"/>
          <c:showBubbleSize val="0"/>
        </c:dLbls>
        <c:gapWidth val="150"/>
        <c:axId val="153775104"/>
        <c:axId val="153785472"/>
      </c:barChart>
      <c:catAx>
        <c:axId val="153775104"/>
        <c:scaling>
          <c:orientation val="minMax"/>
        </c:scaling>
        <c:delete val="0"/>
        <c:axPos val="b"/>
        <c:majorTickMark val="out"/>
        <c:minorTickMark val="none"/>
        <c:tickLblPos val="nextTo"/>
        <c:crossAx val="153785472"/>
        <c:crosses val="autoZero"/>
        <c:auto val="1"/>
        <c:lblAlgn val="ctr"/>
        <c:lblOffset val="100"/>
        <c:noMultiLvlLbl val="0"/>
      </c:catAx>
      <c:valAx>
        <c:axId val="153785472"/>
        <c:scaling>
          <c:orientation val="minMax"/>
        </c:scaling>
        <c:delete val="0"/>
        <c:axPos val="l"/>
        <c:majorGridlines/>
        <c:numFmt formatCode="#,##0" sourceLinked="0"/>
        <c:majorTickMark val="out"/>
        <c:minorTickMark val="none"/>
        <c:tickLblPos val="nextTo"/>
        <c:crossAx val="153775104"/>
        <c:crosses val="autoZero"/>
        <c:crossBetween val="between"/>
      </c:valAx>
    </c:plotArea>
    <c:legend>
      <c:legendPos val="r"/>
      <c:layout>
        <c:manualLayout>
          <c:xMode val="edge"/>
          <c:yMode val="edge"/>
          <c:x val="0.77460514241612122"/>
          <c:y val="0.30517169728783899"/>
          <c:w val="0.20775399328570648"/>
          <c:h val="0.2924343832020997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 </a:t>
            </a:r>
            <a:r>
              <a:rPr lang="cs-CZ" sz="1400"/>
              <a:t>M</a:t>
            </a:r>
            <a:r>
              <a:rPr lang="en-US" sz="1400"/>
              <a:t>nožství  EUA </a:t>
            </a:r>
            <a:r>
              <a:rPr lang="cs-CZ" sz="1400"/>
              <a:t>dle čl. 10 směrnice Evropského parlamentu </a:t>
            </a:r>
            <a:br>
              <a:rPr lang="cs-CZ" sz="1400"/>
            </a:br>
            <a:r>
              <a:rPr lang="cs-CZ" sz="1400"/>
              <a:t>a Rady č. 2003/87/ES v ks</a:t>
            </a:r>
            <a:endParaRPr lang="en-US" sz="1400"/>
          </a:p>
        </c:rich>
      </c:tx>
      <c:layout/>
      <c:overlay val="0"/>
    </c:title>
    <c:autoTitleDeleted val="0"/>
    <c:plotArea>
      <c:layout>
        <c:manualLayout>
          <c:layoutTarget val="inner"/>
          <c:xMode val="edge"/>
          <c:yMode val="edge"/>
          <c:x val="0.16391852907139776"/>
          <c:y val="0.25134279938177667"/>
          <c:w val="0.55010083594430281"/>
          <c:h val="0.65586030912802562"/>
        </c:manualLayout>
      </c:layout>
      <c:barChart>
        <c:barDir val="col"/>
        <c:grouping val="clustered"/>
        <c:varyColors val="0"/>
        <c:ser>
          <c:idx val="0"/>
          <c:order val="0"/>
          <c:tx>
            <c:strRef>
              <c:f>'povolenky určené k prodeji'!$B$3</c:f>
              <c:strCache>
                <c:ptCount val="1"/>
                <c:pt idx="0">
                  <c:v>Celkové množství  EUA v ks</c:v>
                </c:pt>
              </c:strCache>
            </c:strRef>
          </c:tx>
          <c:invertIfNegative val="0"/>
          <c:dLbls>
            <c:dLbl>
              <c:idx val="0"/>
              <c:layout>
                <c:manualLayout>
                  <c:x val="2.0213256836387898E-17"/>
                  <c:y val="2.0633486809398326E-2"/>
                </c:manualLayout>
              </c:layout>
              <c:showLegendKey val="0"/>
              <c:showVal val="1"/>
              <c:showCatName val="0"/>
              <c:showSerName val="0"/>
              <c:showPercent val="0"/>
              <c:showBubbleSize val="0"/>
            </c:dLbl>
            <c:dLbl>
              <c:idx val="2"/>
              <c:layout>
                <c:manualLayout>
                  <c:x val="0"/>
                  <c:y val="1.2379897126629126E-2"/>
                </c:manualLayout>
              </c:layout>
              <c:showLegendKey val="0"/>
              <c:showVal val="1"/>
              <c:showCatName val="0"/>
              <c:showSerName val="0"/>
              <c:showPercent val="0"/>
              <c:showBubbleSize val="0"/>
            </c:dLbl>
            <c:numFmt formatCode="#,##0" sourceLinked="0"/>
            <c:txPr>
              <a:bodyPr/>
              <a:lstStyle/>
              <a:p>
                <a:pPr>
                  <a:defRPr sz="900" baseline="0"/>
                </a:pPr>
                <a:endParaRPr lang="cs-CZ"/>
              </a:p>
            </c:txPr>
            <c:showLegendKey val="0"/>
            <c:showVal val="1"/>
            <c:showCatName val="0"/>
            <c:showSerName val="0"/>
            <c:showPercent val="0"/>
            <c:showBubbleSize val="0"/>
            <c:showLeaderLines val="0"/>
          </c:dLbls>
          <c:cat>
            <c:numRef>
              <c:f>'povolenky určené k prodeji'!$C$2:$E$2</c:f>
              <c:numCache>
                <c:formatCode>General</c:formatCode>
                <c:ptCount val="3"/>
                <c:pt idx="0">
                  <c:v>2013</c:v>
                </c:pt>
                <c:pt idx="1">
                  <c:v>2014</c:v>
                </c:pt>
                <c:pt idx="2">
                  <c:v>2015</c:v>
                </c:pt>
              </c:numCache>
            </c:numRef>
          </c:cat>
          <c:val>
            <c:numRef>
              <c:f>'povolenky určené k prodeji'!$C$3:$E$3</c:f>
              <c:numCache>
                <c:formatCode>#,##0</c:formatCode>
                <c:ptCount val="3"/>
                <c:pt idx="0">
                  <c:v>18602500</c:v>
                </c:pt>
                <c:pt idx="1">
                  <c:v>9423500</c:v>
                </c:pt>
                <c:pt idx="2">
                  <c:v>14462500</c:v>
                </c:pt>
              </c:numCache>
            </c:numRef>
          </c:val>
        </c:ser>
        <c:dLbls>
          <c:showLegendKey val="0"/>
          <c:showVal val="0"/>
          <c:showCatName val="0"/>
          <c:showSerName val="0"/>
          <c:showPercent val="0"/>
          <c:showBubbleSize val="0"/>
        </c:dLbls>
        <c:gapWidth val="150"/>
        <c:axId val="153827584"/>
        <c:axId val="164124544"/>
      </c:barChart>
      <c:catAx>
        <c:axId val="153827584"/>
        <c:scaling>
          <c:orientation val="minMax"/>
        </c:scaling>
        <c:delete val="0"/>
        <c:axPos val="b"/>
        <c:numFmt formatCode="General" sourceLinked="1"/>
        <c:majorTickMark val="out"/>
        <c:minorTickMark val="none"/>
        <c:tickLblPos val="nextTo"/>
        <c:txPr>
          <a:bodyPr/>
          <a:lstStyle/>
          <a:p>
            <a:pPr>
              <a:defRPr sz="900"/>
            </a:pPr>
            <a:endParaRPr lang="cs-CZ"/>
          </a:p>
        </c:txPr>
        <c:crossAx val="164124544"/>
        <c:crosses val="autoZero"/>
        <c:auto val="1"/>
        <c:lblAlgn val="ctr"/>
        <c:lblOffset val="100"/>
        <c:noMultiLvlLbl val="0"/>
      </c:catAx>
      <c:valAx>
        <c:axId val="164124544"/>
        <c:scaling>
          <c:orientation val="minMax"/>
        </c:scaling>
        <c:delete val="0"/>
        <c:axPos val="l"/>
        <c:majorGridlines/>
        <c:numFmt formatCode="#,##0" sourceLinked="0"/>
        <c:majorTickMark val="out"/>
        <c:minorTickMark val="none"/>
        <c:tickLblPos val="nextTo"/>
        <c:txPr>
          <a:bodyPr/>
          <a:lstStyle/>
          <a:p>
            <a:pPr>
              <a:defRPr sz="900" baseline="0"/>
            </a:pPr>
            <a:endParaRPr lang="cs-CZ"/>
          </a:p>
        </c:txPr>
        <c:crossAx val="153827584"/>
        <c:crosses val="autoZero"/>
        <c:crossBetween val="between"/>
      </c:valAx>
    </c:plotArea>
    <c:legend>
      <c:legendPos val="r"/>
      <c:layout>
        <c:manualLayout>
          <c:xMode val="edge"/>
          <c:yMode val="edge"/>
          <c:x val="0.72275801717379806"/>
          <c:y val="0.48784007807704666"/>
          <c:w val="0.25298579441621499"/>
          <c:h val="7.2868852793452232E-2"/>
        </c:manualLayout>
      </c:layout>
      <c:overlay val="0"/>
      <c:txPr>
        <a:bodyPr/>
        <a:lstStyle/>
        <a:p>
          <a:pPr>
            <a:defRPr sz="900"/>
          </a:pPr>
          <a:endParaRPr lang="cs-CZ"/>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cs-CZ" sz="1400"/>
              <a:t>Množství EUA dle čl. 10a směrnice Evropského parlamentu </a:t>
            </a:r>
            <a:br>
              <a:rPr lang="cs-CZ" sz="1400"/>
            </a:br>
            <a:r>
              <a:rPr lang="cs-CZ" sz="1400"/>
              <a:t>a Rady </a:t>
            </a:r>
            <a:r>
              <a:rPr lang="cs-CZ" sz="1400" baseline="0"/>
              <a:t>2003/87/ES v ks</a:t>
            </a:r>
            <a:endParaRPr lang="cs-CZ" sz="1400"/>
          </a:p>
        </c:rich>
      </c:tx>
      <c:layout/>
      <c:overlay val="0"/>
    </c:title>
    <c:autoTitleDeleted val="0"/>
    <c:plotArea>
      <c:layout/>
      <c:barChart>
        <c:barDir val="col"/>
        <c:grouping val="clustered"/>
        <c:varyColors val="0"/>
        <c:ser>
          <c:idx val="0"/>
          <c:order val="0"/>
          <c:tx>
            <c:strRef>
              <c:f>'povolenky 10a'!$A$4</c:f>
              <c:strCache>
                <c:ptCount val="1"/>
                <c:pt idx="0">
                  <c:v>Množství EUA v ks</c:v>
                </c:pt>
              </c:strCache>
            </c:strRef>
          </c:tx>
          <c:invertIfNegative val="0"/>
          <c:dLbls>
            <c:dLbl>
              <c:idx val="0"/>
              <c:layout>
                <c:manualLayout>
                  <c:x val="1.1025540186357674E-2"/>
                  <c:y val="0"/>
                </c:manualLayout>
              </c:layout>
              <c:showLegendKey val="0"/>
              <c:showVal val="1"/>
              <c:showCatName val="0"/>
              <c:showSerName val="0"/>
              <c:showPercent val="0"/>
              <c:showBubbleSize val="0"/>
            </c:dLbl>
            <c:dLbl>
              <c:idx val="1"/>
              <c:layout/>
              <c:dLblPos val="inEnd"/>
              <c:showLegendKey val="0"/>
              <c:showVal val="1"/>
              <c:showCatName val="0"/>
              <c:showSerName val="0"/>
              <c:showPercent val="0"/>
              <c:showBubbleSize val="0"/>
            </c:dLbl>
            <c:dLbl>
              <c:idx val="2"/>
              <c:layout>
                <c:manualLayout>
                  <c:x val="0"/>
                  <c:y val="1.6361414631098411E-2"/>
                </c:manualLayout>
              </c:layout>
              <c:showLegendKey val="0"/>
              <c:showVal val="1"/>
              <c:showCatName val="0"/>
              <c:showSerName val="0"/>
              <c:showPercent val="0"/>
              <c:showBubbleSize val="0"/>
            </c:dLbl>
            <c:dLbl>
              <c:idx val="3"/>
              <c:layout/>
              <c:dLblPos val="inEnd"/>
              <c:showLegendKey val="0"/>
              <c:showVal val="1"/>
              <c:showCatName val="0"/>
              <c:showSerName val="0"/>
              <c:showPercent val="0"/>
              <c:showBubbleSize val="0"/>
            </c:dLbl>
            <c:dLbl>
              <c:idx val="5"/>
              <c:layout/>
              <c:dLblPos val="inEnd"/>
              <c:showLegendKey val="0"/>
              <c:showVal val="1"/>
              <c:showCatName val="0"/>
              <c:showSerName val="0"/>
              <c:showPercent val="0"/>
              <c:showBubbleSize val="0"/>
            </c:dLbl>
            <c:dLbl>
              <c:idx val="7"/>
              <c:layout/>
              <c:dLblPos val="inEnd"/>
              <c:showLegendKey val="0"/>
              <c:showVal val="1"/>
              <c:showCatName val="0"/>
              <c:showSerName val="0"/>
              <c:showPercent val="0"/>
              <c:showBubbleSize val="0"/>
            </c:dLbl>
            <c:numFmt formatCode="#,##0" sourceLinked="0"/>
            <c:txPr>
              <a:bodyPr/>
              <a:lstStyle/>
              <a:p>
                <a:pPr>
                  <a:defRPr sz="900">
                    <a:latin typeface="Calibri" pitchFamily="34" charset="0"/>
                    <a:cs typeface="Calibri" pitchFamily="34" charset="0"/>
                  </a:defRPr>
                </a:pPr>
                <a:endParaRPr lang="cs-CZ"/>
              </a:p>
            </c:txPr>
            <c:showLegendKey val="0"/>
            <c:showVal val="1"/>
            <c:showCatName val="0"/>
            <c:showSerName val="0"/>
            <c:showPercent val="0"/>
            <c:showBubbleSize val="0"/>
            <c:showLeaderLines val="0"/>
          </c:dLbls>
          <c:cat>
            <c:numRef>
              <c:f>'povolenky 10a'!$B$3:$I$3</c:f>
              <c:numCache>
                <c:formatCode>General</c:formatCode>
                <c:ptCount val="8"/>
                <c:pt idx="0" formatCode="@">
                  <c:v>2013</c:v>
                </c:pt>
                <c:pt idx="1">
                  <c:v>2014</c:v>
                </c:pt>
                <c:pt idx="2">
                  <c:v>2015</c:v>
                </c:pt>
                <c:pt idx="3">
                  <c:v>2016</c:v>
                </c:pt>
                <c:pt idx="4">
                  <c:v>2017</c:v>
                </c:pt>
                <c:pt idx="5">
                  <c:v>2018</c:v>
                </c:pt>
                <c:pt idx="6">
                  <c:v>2019</c:v>
                </c:pt>
                <c:pt idx="7">
                  <c:v>2020</c:v>
                </c:pt>
              </c:numCache>
            </c:numRef>
          </c:cat>
          <c:val>
            <c:numRef>
              <c:f>'povolenky 10a'!$B$4:$I$4</c:f>
              <c:numCache>
                <c:formatCode>#,##0</c:formatCode>
                <c:ptCount val="8"/>
                <c:pt idx="0">
                  <c:v>25742707</c:v>
                </c:pt>
                <c:pt idx="1">
                  <c:v>24440475</c:v>
                </c:pt>
                <c:pt idx="2">
                  <c:v>23226728</c:v>
                </c:pt>
                <c:pt idx="3">
                  <c:v>22118115</c:v>
                </c:pt>
                <c:pt idx="4">
                  <c:v>21113203</c:v>
                </c:pt>
                <c:pt idx="5">
                  <c:v>20191580</c:v>
                </c:pt>
                <c:pt idx="6">
                  <c:v>19330741</c:v>
                </c:pt>
                <c:pt idx="7">
                  <c:v>18509903</c:v>
                </c:pt>
              </c:numCache>
            </c:numRef>
          </c:val>
        </c:ser>
        <c:dLbls>
          <c:showLegendKey val="0"/>
          <c:showVal val="0"/>
          <c:showCatName val="0"/>
          <c:showSerName val="0"/>
          <c:showPercent val="0"/>
          <c:showBubbleSize val="0"/>
        </c:dLbls>
        <c:gapWidth val="150"/>
        <c:axId val="65124224"/>
        <c:axId val="65125760"/>
      </c:barChart>
      <c:catAx>
        <c:axId val="65124224"/>
        <c:scaling>
          <c:orientation val="minMax"/>
        </c:scaling>
        <c:delete val="0"/>
        <c:axPos val="b"/>
        <c:numFmt formatCode="@" sourceLinked="1"/>
        <c:majorTickMark val="out"/>
        <c:minorTickMark val="none"/>
        <c:tickLblPos val="nextTo"/>
        <c:txPr>
          <a:bodyPr/>
          <a:lstStyle/>
          <a:p>
            <a:pPr>
              <a:defRPr sz="900">
                <a:latin typeface="Calibri" pitchFamily="34" charset="0"/>
                <a:cs typeface="Calibri" pitchFamily="34" charset="0"/>
              </a:defRPr>
            </a:pPr>
            <a:endParaRPr lang="cs-CZ"/>
          </a:p>
        </c:txPr>
        <c:crossAx val="65125760"/>
        <c:crosses val="autoZero"/>
        <c:auto val="1"/>
        <c:lblAlgn val="ctr"/>
        <c:lblOffset val="100"/>
        <c:tickMarkSkip val="10"/>
        <c:noMultiLvlLbl val="0"/>
      </c:catAx>
      <c:valAx>
        <c:axId val="65125760"/>
        <c:scaling>
          <c:orientation val="minMax"/>
        </c:scaling>
        <c:delete val="0"/>
        <c:axPos val="l"/>
        <c:majorGridlines/>
        <c:numFmt formatCode="#,##0" sourceLinked="0"/>
        <c:majorTickMark val="out"/>
        <c:minorTickMark val="none"/>
        <c:tickLblPos val="nextTo"/>
        <c:crossAx val="651242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cs-CZ" sz="1400"/>
              <a:t>Množství EUA dle čl. 10c směrnice Evropského parlamentu </a:t>
            </a:r>
            <a:br>
              <a:rPr lang="cs-CZ" sz="1400"/>
            </a:br>
            <a:r>
              <a:rPr lang="cs-CZ" sz="1400"/>
              <a:t>a Rady </a:t>
            </a:r>
            <a:r>
              <a:rPr lang="cs-CZ" sz="1400" baseline="0"/>
              <a:t>2003/87/ES v ks</a:t>
            </a:r>
            <a:endParaRPr lang="cs-CZ" sz="1400"/>
          </a:p>
        </c:rich>
      </c:tx>
      <c:layout/>
      <c:overlay val="0"/>
    </c:title>
    <c:autoTitleDeleted val="0"/>
    <c:plotArea>
      <c:layout/>
      <c:barChart>
        <c:barDir val="col"/>
        <c:grouping val="clustered"/>
        <c:varyColors val="0"/>
        <c:ser>
          <c:idx val="0"/>
          <c:order val="0"/>
          <c:tx>
            <c:strRef>
              <c:f>'povolenky 10c'!$A$3</c:f>
              <c:strCache>
                <c:ptCount val="1"/>
                <c:pt idx="0">
                  <c:v>Množství EUA v ks</c:v>
                </c:pt>
              </c:strCache>
            </c:strRef>
          </c:tx>
          <c:invertIfNegative val="0"/>
          <c:dLbls>
            <c:dLbl>
              <c:idx val="0"/>
              <c:layout>
                <c:manualLayout>
                  <c:x val="2.2051080372715349E-2"/>
                  <c:y val="4.2588352387429263E-3"/>
                </c:manualLayout>
              </c:layout>
              <c:dLblPos val="outEnd"/>
              <c:showLegendKey val="0"/>
              <c:showVal val="1"/>
              <c:showCatName val="0"/>
              <c:showSerName val="0"/>
              <c:showPercent val="0"/>
              <c:showBubbleSize val="0"/>
            </c:dLbl>
            <c:dLbl>
              <c:idx val="1"/>
              <c:layout>
                <c:manualLayout>
                  <c:x val="2.2051080372715347E-3"/>
                  <c:y val="2.3539621922740072E-2"/>
                </c:manualLayout>
              </c:layout>
              <c:dLblPos val="outEnd"/>
              <c:showLegendKey val="0"/>
              <c:showVal val="1"/>
              <c:showCatName val="0"/>
              <c:showSerName val="0"/>
              <c:showPercent val="0"/>
              <c:showBubbleSize val="0"/>
            </c:dLbl>
            <c:dLbl>
              <c:idx val="3"/>
              <c:layout>
                <c:manualLayout>
                  <c:x val="-4.0426513672775796E-17"/>
                  <c:y val="5.7450681346569148E-3"/>
                </c:manualLayout>
              </c:layout>
              <c:dLblPos val="outEnd"/>
              <c:showLegendKey val="0"/>
              <c:showVal val="1"/>
              <c:showCatName val="0"/>
              <c:showSerName val="0"/>
              <c:showPercent val="0"/>
              <c:showBubbleSize val="0"/>
            </c:dLbl>
            <c:dLbl>
              <c:idx val="5"/>
              <c:layout>
                <c:manualLayout>
                  <c:x val="-2.2051080372715347E-3"/>
                  <c:y val="2.1294176193714629E-2"/>
                </c:manualLayout>
              </c:layout>
              <c:dLblPos val="outEnd"/>
              <c:showLegendKey val="0"/>
              <c:showVal val="1"/>
              <c:showCatName val="0"/>
              <c:showSerName val="0"/>
              <c:showPercent val="0"/>
              <c:showBubbleSize val="0"/>
            </c:dLbl>
            <c:numFmt formatCode="#,##0" sourceLinked="0"/>
            <c:txPr>
              <a:bodyPr/>
              <a:lstStyle/>
              <a:p>
                <a:pPr>
                  <a:defRPr sz="900">
                    <a:latin typeface="Calibri" pitchFamily="34" charset="0"/>
                    <a:cs typeface="Calibri" pitchFamily="34" charset="0"/>
                  </a:defRPr>
                </a:pPr>
                <a:endParaRPr lang="cs-CZ"/>
              </a:p>
            </c:txPr>
            <c:dLblPos val="outEnd"/>
            <c:showLegendKey val="0"/>
            <c:showVal val="1"/>
            <c:showCatName val="0"/>
            <c:showSerName val="0"/>
            <c:showPercent val="0"/>
            <c:showBubbleSize val="0"/>
            <c:showLeaderLines val="0"/>
          </c:dLbls>
          <c:cat>
            <c:numRef>
              <c:f>'povolenky 10c'!$B$2:$I$2</c:f>
              <c:numCache>
                <c:formatCode>General</c:formatCode>
                <c:ptCount val="8"/>
                <c:pt idx="0">
                  <c:v>2013</c:v>
                </c:pt>
                <c:pt idx="1">
                  <c:v>2014</c:v>
                </c:pt>
                <c:pt idx="2">
                  <c:v>2015</c:v>
                </c:pt>
                <c:pt idx="3">
                  <c:v>2016</c:v>
                </c:pt>
                <c:pt idx="4">
                  <c:v>2017</c:v>
                </c:pt>
                <c:pt idx="5">
                  <c:v>2018</c:v>
                </c:pt>
                <c:pt idx="6">
                  <c:v>2019</c:v>
                </c:pt>
                <c:pt idx="7">
                  <c:v>2020</c:v>
                </c:pt>
              </c:numCache>
            </c:numRef>
          </c:cat>
          <c:val>
            <c:numRef>
              <c:f>'povolenky 10c'!$B$3:$I$3</c:f>
              <c:numCache>
                <c:formatCode>#,##0</c:formatCode>
                <c:ptCount val="8"/>
                <c:pt idx="0">
                  <c:v>26916667</c:v>
                </c:pt>
                <c:pt idx="1">
                  <c:v>23071429</c:v>
                </c:pt>
                <c:pt idx="2">
                  <c:v>19226191</c:v>
                </c:pt>
                <c:pt idx="3">
                  <c:v>15380953</c:v>
                </c:pt>
                <c:pt idx="4">
                  <c:v>11535714</c:v>
                </c:pt>
                <c:pt idx="5">
                  <c:v>7690476</c:v>
                </c:pt>
                <c:pt idx="6">
                  <c:v>3845238</c:v>
                </c:pt>
                <c:pt idx="7">
                  <c:v>0</c:v>
                </c:pt>
              </c:numCache>
            </c:numRef>
          </c:val>
        </c:ser>
        <c:dLbls>
          <c:showLegendKey val="0"/>
          <c:showVal val="0"/>
          <c:showCatName val="0"/>
          <c:showSerName val="0"/>
          <c:showPercent val="0"/>
          <c:showBubbleSize val="0"/>
        </c:dLbls>
        <c:gapWidth val="150"/>
        <c:axId val="153751552"/>
        <c:axId val="153753088"/>
      </c:barChart>
      <c:catAx>
        <c:axId val="153751552"/>
        <c:scaling>
          <c:orientation val="minMax"/>
        </c:scaling>
        <c:delete val="0"/>
        <c:axPos val="b"/>
        <c:numFmt formatCode="General" sourceLinked="1"/>
        <c:majorTickMark val="out"/>
        <c:minorTickMark val="none"/>
        <c:tickLblPos val="nextTo"/>
        <c:txPr>
          <a:bodyPr/>
          <a:lstStyle/>
          <a:p>
            <a:pPr>
              <a:defRPr sz="900">
                <a:latin typeface="Calibri" pitchFamily="34" charset="0"/>
                <a:cs typeface="Calibri" pitchFamily="34" charset="0"/>
              </a:defRPr>
            </a:pPr>
            <a:endParaRPr lang="cs-CZ"/>
          </a:p>
        </c:txPr>
        <c:crossAx val="153753088"/>
        <c:crosses val="autoZero"/>
        <c:auto val="1"/>
        <c:lblAlgn val="ctr"/>
        <c:lblOffset val="100"/>
        <c:noMultiLvlLbl val="0"/>
      </c:catAx>
      <c:valAx>
        <c:axId val="153753088"/>
        <c:scaling>
          <c:orientation val="minMax"/>
        </c:scaling>
        <c:delete val="0"/>
        <c:axPos val="l"/>
        <c:majorGridlines/>
        <c:numFmt formatCode="#,##0" sourceLinked="0"/>
        <c:majorTickMark val="out"/>
        <c:minorTickMark val="none"/>
        <c:tickLblPos val="nextTo"/>
        <c:txPr>
          <a:bodyPr/>
          <a:lstStyle/>
          <a:p>
            <a:pPr>
              <a:defRPr sz="900">
                <a:latin typeface="Calibri" pitchFamily="34" charset="0"/>
                <a:cs typeface="Calibri" pitchFamily="34" charset="0"/>
              </a:defRPr>
            </a:pPr>
            <a:endParaRPr lang="cs-CZ"/>
          </a:p>
        </c:txPr>
        <c:crossAx val="15375155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endParaRPr lang="cs-CZ"/>
          </a:p>
        </c:rich>
      </c:tx>
      <c:layout/>
      <c:overlay val="0"/>
    </c:title>
    <c:autoTitleDeleted val="0"/>
    <c:plotArea>
      <c:layout>
        <c:manualLayout>
          <c:layoutTarget val="inner"/>
          <c:xMode val="edge"/>
          <c:yMode val="edge"/>
          <c:x val="7.272619937475637E-2"/>
          <c:y val="0.18528207421892606"/>
          <c:w val="0.71357469205238233"/>
          <c:h val="0.54720095344026431"/>
        </c:manualLayout>
      </c:layout>
      <c:lineChart>
        <c:grouping val="stacked"/>
        <c:varyColors val="0"/>
        <c:ser>
          <c:idx val="0"/>
          <c:order val="0"/>
          <c:tx>
            <c:strRef>
              <c:f>'cena EP_2013 1 údaj za měsíc'!$B$2</c:f>
              <c:strCache>
                <c:ptCount val="1"/>
                <c:pt idx="0">
                  <c:v>Cena EUA v €</c:v>
                </c:pt>
              </c:strCache>
            </c:strRef>
          </c:tx>
          <c:marker>
            <c:symbol val="none"/>
          </c:marker>
          <c:dLbls>
            <c:dLbl>
              <c:idx val="0"/>
              <c:layout>
                <c:manualLayout>
                  <c:x val="-3.4096526433949614E-2"/>
                  <c:y val="-2.8699399272904564E-2"/>
                </c:manualLayout>
              </c:layout>
              <c:dLblPos val="r"/>
              <c:showLegendKey val="0"/>
              <c:showVal val="1"/>
              <c:showCatName val="0"/>
              <c:showSerName val="0"/>
              <c:showPercent val="0"/>
              <c:showBubbleSize val="0"/>
            </c:dLbl>
            <c:dLbl>
              <c:idx val="1"/>
              <c:layout>
                <c:manualLayout>
                  <c:x val="-3.127398814624207E-2"/>
                  <c:y val="4.1864070171758846E-2"/>
                </c:manualLayout>
              </c:layout>
              <c:dLblPos val="r"/>
              <c:showLegendKey val="0"/>
              <c:showVal val="1"/>
              <c:showCatName val="0"/>
              <c:showSerName val="0"/>
              <c:showPercent val="0"/>
              <c:showBubbleSize val="0"/>
            </c:dLbl>
            <c:dLbl>
              <c:idx val="2"/>
              <c:layout>
                <c:manualLayout>
                  <c:x val="-3.4096526433949635E-2"/>
                  <c:y val="4.1864070171758846E-2"/>
                </c:manualLayout>
              </c:layout>
              <c:dLblPos val="r"/>
              <c:showLegendKey val="0"/>
              <c:showVal val="1"/>
              <c:showCatName val="0"/>
              <c:showSerName val="0"/>
              <c:showPercent val="0"/>
              <c:showBubbleSize val="0"/>
            </c:dLbl>
            <c:dLbl>
              <c:idx val="10"/>
              <c:layout>
                <c:manualLayout>
                  <c:x val="-3.6301634471221172E-2"/>
                  <c:y val="4.1864070171758846E-2"/>
                </c:manualLayout>
              </c:layout>
              <c:dLblPos val="r"/>
              <c:showLegendKey val="0"/>
              <c:showVal val="1"/>
              <c:showCatName val="0"/>
              <c:showSerName val="0"/>
              <c:showPercent val="0"/>
              <c:showBubbleSize val="0"/>
            </c:dLbl>
            <c:dLbl>
              <c:idx val="12"/>
              <c:layout>
                <c:manualLayout>
                  <c:x val="-3.127398814624207E-2"/>
                  <c:y val="3.7453853331467384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'cena EP_2013 1 údaj za měsíc'!$A$3:$A$15</c:f>
              <c:strCache>
                <c:ptCount val="13"/>
                <c:pt idx="0">
                  <c:v>7. 1.</c:v>
                </c:pt>
                <c:pt idx="1">
                  <c:v>28. 1.</c:v>
                </c:pt>
                <c:pt idx="2">
                  <c:v>25. 2.</c:v>
                </c:pt>
                <c:pt idx="3">
                  <c:v>25. 3.</c:v>
                </c:pt>
                <c:pt idx="4">
                  <c:v>29. 4.</c:v>
                </c:pt>
                <c:pt idx="5">
                  <c:v>27. 5.</c:v>
                </c:pt>
                <c:pt idx="6">
                  <c:v>24. 6.</c:v>
                </c:pt>
                <c:pt idx="7">
                  <c:v>29. 7.</c:v>
                </c:pt>
                <c:pt idx="8">
                  <c:v>27. 8.</c:v>
                </c:pt>
                <c:pt idx="9">
                  <c:v>30. 9.</c:v>
                </c:pt>
                <c:pt idx="10">
                  <c:v>28. 10.</c:v>
                </c:pt>
                <c:pt idx="11">
                  <c:v>25. 11.</c:v>
                </c:pt>
                <c:pt idx="12">
                  <c:v>17. 12.</c:v>
                </c:pt>
              </c:strCache>
            </c:strRef>
          </c:cat>
          <c:val>
            <c:numRef>
              <c:f>'cena EP_2013 1 údaj za měsíc'!$B$3:$B$15</c:f>
              <c:numCache>
                <c:formatCode>#,##0.00</c:formatCode>
                <c:ptCount val="13"/>
                <c:pt idx="0">
                  <c:v>6.18</c:v>
                </c:pt>
                <c:pt idx="1">
                  <c:v>3.9</c:v>
                </c:pt>
                <c:pt idx="2">
                  <c:v>4.76</c:v>
                </c:pt>
                <c:pt idx="3">
                  <c:v>4.0999999999999996</c:v>
                </c:pt>
                <c:pt idx="4">
                  <c:v>3.04</c:v>
                </c:pt>
                <c:pt idx="5">
                  <c:v>3.41</c:v>
                </c:pt>
                <c:pt idx="6">
                  <c:v>4.1900000000000004</c:v>
                </c:pt>
                <c:pt idx="7">
                  <c:v>4.24</c:v>
                </c:pt>
                <c:pt idx="8">
                  <c:v>4.4400000000000004</c:v>
                </c:pt>
                <c:pt idx="9">
                  <c:v>5.21</c:v>
                </c:pt>
                <c:pt idx="10">
                  <c:v>4.8499999999999996</c:v>
                </c:pt>
                <c:pt idx="11">
                  <c:v>4.38</c:v>
                </c:pt>
                <c:pt idx="12">
                  <c:v>4.7</c:v>
                </c:pt>
              </c:numCache>
            </c:numRef>
          </c:val>
          <c:smooth val="0"/>
        </c:ser>
        <c:dLbls>
          <c:dLblPos val="b"/>
          <c:showLegendKey val="0"/>
          <c:showVal val="1"/>
          <c:showCatName val="0"/>
          <c:showSerName val="0"/>
          <c:showPercent val="0"/>
          <c:showBubbleSize val="0"/>
        </c:dLbls>
        <c:marker val="1"/>
        <c:smooth val="0"/>
        <c:axId val="154223744"/>
        <c:axId val="154227072"/>
      </c:lineChart>
      <c:catAx>
        <c:axId val="154223744"/>
        <c:scaling>
          <c:orientation val="minMax"/>
        </c:scaling>
        <c:delete val="0"/>
        <c:axPos val="b"/>
        <c:title>
          <c:tx>
            <c:rich>
              <a:bodyPr/>
              <a:lstStyle/>
              <a:p>
                <a:pPr>
                  <a:defRPr/>
                </a:pPr>
                <a:r>
                  <a:rPr lang="cs-CZ"/>
                  <a:t>Datum dražby v roce 2013</a:t>
                </a:r>
              </a:p>
            </c:rich>
          </c:tx>
          <c:layout/>
          <c:overlay val="0"/>
        </c:title>
        <c:numFmt formatCode="d/\ m;@" sourceLinked="0"/>
        <c:majorTickMark val="out"/>
        <c:minorTickMark val="none"/>
        <c:tickLblPos val="nextTo"/>
        <c:txPr>
          <a:bodyPr rot="-2400000"/>
          <a:lstStyle/>
          <a:p>
            <a:pPr>
              <a:defRPr/>
            </a:pPr>
            <a:endParaRPr lang="cs-CZ"/>
          </a:p>
        </c:txPr>
        <c:crossAx val="154227072"/>
        <c:crosses val="autoZero"/>
        <c:auto val="1"/>
        <c:lblAlgn val="ctr"/>
        <c:lblOffset val="100"/>
        <c:noMultiLvlLbl val="0"/>
      </c:catAx>
      <c:valAx>
        <c:axId val="154227072"/>
        <c:scaling>
          <c:orientation val="minMax"/>
        </c:scaling>
        <c:delete val="0"/>
        <c:axPos val="l"/>
        <c:majorGridlines/>
        <c:title>
          <c:tx>
            <c:rich>
              <a:bodyPr rot="0" vert="horz"/>
              <a:lstStyle/>
              <a:p>
                <a:pPr>
                  <a:defRPr/>
                </a:pPr>
                <a:r>
                  <a:rPr lang="cs-CZ"/>
                  <a:t>Tržní cena EUA v €</a:t>
                </a:r>
              </a:p>
            </c:rich>
          </c:tx>
          <c:layout>
            <c:manualLayout>
              <c:xMode val="edge"/>
              <c:yMode val="edge"/>
              <c:x val="0.12760416666666666"/>
              <c:y val="6.551246109716162E-2"/>
            </c:manualLayout>
          </c:layout>
          <c:overlay val="0"/>
        </c:title>
        <c:numFmt formatCode="#,##0" sourceLinked="0"/>
        <c:majorTickMark val="out"/>
        <c:minorTickMark val="none"/>
        <c:tickLblPos val="nextTo"/>
        <c:crossAx val="154223744"/>
        <c:crosses val="autoZero"/>
        <c:crossBetween val="between"/>
      </c:valAx>
    </c:plotArea>
    <c:legend>
      <c:legendPos val="r"/>
      <c:layout/>
      <c:overlay val="0"/>
    </c:legend>
    <c:plotVisOnly val="1"/>
    <c:dispBlanksAs val="zero"/>
    <c:showDLblsOverMax val="0"/>
  </c:chart>
  <c:txPr>
    <a:bodyPr/>
    <a:lstStyle/>
    <a:p>
      <a:pPr>
        <a:defRPr sz="900"/>
      </a:pPr>
      <a:endParaRPr lang="cs-CZ"/>
    </a:p>
  </c:txPr>
  <c:externalData r:id="rId2">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80745C-1333-453D-875C-C156D053487E}"/>
</file>

<file path=customXml/itemProps2.xml><?xml version="1.0" encoding="utf-8"?>
<ds:datastoreItem xmlns:ds="http://schemas.openxmlformats.org/officeDocument/2006/customXml" ds:itemID="{B6130D36-61D2-4B4B-B7A5-57F28CE198CE}"/>
</file>

<file path=customXml/itemProps3.xml><?xml version="1.0" encoding="utf-8"?>
<ds:datastoreItem xmlns:ds="http://schemas.openxmlformats.org/officeDocument/2006/customXml" ds:itemID="{B7CC5D6C-FD91-4934-905F-BADC28AA6AE3}"/>
</file>

<file path=customXml/itemProps4.xml><?xml version="1.0" encoding="utf-8"?>
<ds:datastoreItem xmlns:ds="http://schemas.openxmlformats.org/officeDocument/2006/customXml" ds:itemID="{D4D0D8B8-F9D3-480F-AD9A-0B6B834DE007}"/>
</file>

<file path=docProps/app.xml><?xml version="1.0" encoding="utf-8"?>
<Properties xmlns="http://schemas.openxmlformats.org/officeDocument/2006/extended-properties" xmlns:vt="http://schemas.openxmlformats.org/officeDocument/2006/docPropsVTypes">
  <Template>802A9124</Template>
  <TotalTime>9</TotalTime>
  <Pages>36</Pages>
  <Words>11496</Words>
  <Characters>67829</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dopis dovnitř - bez předmětu</vt:lpstr>
    </vt:vector>
  </TitlesOfParts>
  <Company>NKU</Company>
  <LinksUpToDate>false</LinksUpToDate>
  <CharactersWithSpaces>79167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14/19</dc:title>
  <dc:creator>ŠMEJKALOVÁ Ludmila</dc:creator>
  <cp:lastModifiedBy>POKORNÁ Jana</cp:lastModifiedBy>
  <cp:revision>4</cp:revision>
  <cp:lastPrinted>2015-03-30T13:23:00Z</cp:lastPrinted>
  <dcterms:created xsi:type="dcterms:W3CDTF">2015-04-21T06:58:00Z</dcterms:created>
  <dcterms:modified xsi:type="dcterms:W3CDTF">2015-04-21T09:49:00Z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0x0101002F7A625AE9F5AB4A939F92BCAA7FEC02</vt:lpwstr>
  </property>
</Properties>
</file>