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B1A" w:rsidRPr="00A55DEF" w:rsidRDefault="00A55DEF" w:rsidP="00A55DEF">
      <w:pPr>
        <w:spacing w:before="0" w:after="0"/>
        <w:jc w:val="center"/>
        <w:rPr>
          <w:rFonts w:cs="Arial"/>
          <w:b/>
        </w:rPr>
      </w:pPr>
      <w:r>
        <w:rPr>
          <w:noProof/>
          <w:lang w:eastAsia="cs-CZ"/>
        </w:rPr>
        <w:drawing>
          <wp:anchor distT="0" distB="0" distL="114935" distR="114935" simplePos="0" relativeHeight="251659264" behindDoc="0" locked="0" layoutInCell="1" allowOverlap="1" wp14:anchorId="04C5374B" wp14:editId="1CE6EF79">
            <wp:simplePos x="0" y="0"/>
            <wp:positionH relativeFrom="column">
              <wp:posOffset>2519680</wp:posOffset>
            </wp:positionH>
            <wp:positionV relativeFrom="paragraph">
              <wp:posOffset>14605</wp:posOffset>
            </wp:positionV>
            <wp:extent cx="790575" cy="558800"/>
            <wp:effectExtent l="0" t="0" r="9525" b="0"/>
            <wp:wrapTopAndBottom/>
            <wp:docPr id="1"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558800"/>
                    </a:xfrm>
                    <a:prstGeom prst="rect">
                      <a:avLst/>
                    </a:prstGeom>
                    <a:solidFill>
                      <a:srgbClr val="FFFFFF"/>
                    </a:solidFill>
                  </pic:spPr>
                </pic:pic>
              </a:graphicData>
            </a:graphic>
          </wp:anchor>
        </w:drawing>
      </w:r>
    </w:p>
    <w:p w:rsidR="00CC0BDD" w:rsidRPr="00A55DEF" w:rsidRDefault="00CC0BDD" w:rsidP="00A55DEF">
      <w:pPr>
        <w:spacing w:before="0" w:after="0"/>
        <w:jc w:val="center"/>
        <w:rPr>
          <w:rFonts w:cs="Arial"/>
          <w:b/>
        </w:rPr>
      </w:pPr>
    </w:p>
    <w:p w:rsidR="00CC0BDD" w:rsidRPr="00A55DEF" w:rsidRDefault="00CC0BDD" w:rsidP="00A55DEF">
      <w:pPr>
        <w:spacing w:before="0" w:after="0"/>
        <w:jc w:val="center"/>
        <w:rPr>
          <w:rFonts w:cs="Arial"/>
          <w:b/>
        </w:rPr>
      </w:pPr>
    </w:p>
    <w:p w:rsidR="00941B1A" w:rsidRPr="00A55DEF" w:rsidRDefault="00941B1A" w:rsidP="00A55DEF">
      <w:pPr>
        <w:spacing w:before="0" w:after="0"/>
        <w:jc w:val="center"/>
        <w:rPr>
          <w:rFonts w:cs="Arial"/>
          <w:b/>
          <w:i/>
          <w:sz w:val="28"/>
          <w:szCs w:val="28"/>
        </w:rPr>
      </w:pPr>
      <w:r w:rsidRPr="00A55DEF">
        <w:rPr>
          <w:rFonts w:cs="Arial"/>
          <w:b/>
          <w:sz w:val="28"/>
          <w:szCs w:val="28"/>
        </w:rPr>
        <w:t>Kontrolní závěr z kontrolní akce</w:t>
      </w:r>
    </w:p>
    <w:p w:rsidR="00A55DEF" w:rsidRPr="00A55DEF" w:rsidRDefault="00A55DEF" w:rsidP="00A55DEF">
      <w:pPr>
        <w:spacing w:before="0" w:after="0"/>
        <w:jc w:val="center"/>
        <w:rPr>
          <w:rFonts w:cs="Arial"/>
          <w:b/>
        </w:rPr>
      </w:pPr>
    </w:p>
    <w:p w:rsidR="00941B1A" w:rsidRPr="00A55DEF" w:rsidRDefault="00941B1A" w:rsidP="00A55DEF">
      <w:pPr>
        <w:spacing w:before="0" w:after="0"/>
        <w:jc w:val="center"/>
        <w:rPr>
          <w:rFonts w:cs="Arial"/>
          <w:b/>
          <w:sz w:val="28"/>
          <w:szCs w:val="28"/>
        </w:rPr>
      </w:pPr>
      <w:r w:rsidRPr="00A55DEF">
        <w:rPr>
          <w:rFonts w:cs="Arial"/>
          <w:b/>
          <w:sz w:val="28"/>
          <w:szCs w:val="28"/>
        </w:rPr>
        <w:t>13/35</w:t>
      </w:r>
    </w:p>
    <w:p w:rsidR="00A55DEF" w:rsidRPr="00A55DEF" w:rsidRDefault="00A55DEF" w:rsidP="00A55DEF">
      <w:pPr>
        <w:spacing w:before="0" w:after="0"/>
        <w:jc w:val="center"/>
        <w:rPr>
          <w:rFonts w:cs="Arial"/>
          <w:b/>
        </w:rPr>
      </w:pPr>
    </w:p>
    <w:p w:rsidR="00941B1A" w:rsidRPr="00A55DEF" w:rsidRDefault="00941B1A" w:rsidP="00A55DEF">
      <w:pPr>
        <w:spacing w:before="0" w:after="0"/>
        <w:jc w:val="center"/>
        <w:rPr>
          <w:rFonts w:cs="Arial"/>
          <w:b/>
          <w:sz w:val="28"/>
          <w:szCs w:val="28"/>
        </w:rPr>
      </w:pPr>
      <w:r w:rsidRPr="00A55DEF">
        <w:rPr>
          <w:rFonts w:cs="Arial"/>
          <w:b/>
          <w:noProof/>
          <w:sz w:val="28"/>
          <w:szCs w:val="28"/>
        </w:rPr>
        <w:t>Příjmy státního rozpočtu související s provozováním loterií</w:t>
      </w:r>
      <w:r w:rsidR="00A55DEF">
        <w:rPr>
          <w:rFonts w:cs="Arial"/>
          <w:b/>
          <w:noProof/>
          <w:sz w:val="28"/>
          <w:szCs w:val="28"/>
        </w:rPr>
        <w:t xml:space="preserve"> </w:t>
      </w:r>
      <w:r w:rsidR="00A55DEF">
        <w:rPr>
          <w:rFonts w:cs="Arial"/>
          <w:b/>
          <w:noProof/>
          <w:sz w:val="28"/>
          <w:szCs w:val="28"/>
        </w:rPr>
        <w:br/>
      </w:r>
      <w:r w:rsidRPr="00A55DEF">
        <w:rPr>
          <w:rFonts w:cs="Arial"/>
          <w:b/>
          <w:noProof/>
          <w:sz w:val="28"/>
          <w:szCs w:val="28"/>
        </w:rPr>
        <w:t>a</w:t>
      </w:r>
      <w:r w:rsidR="00A55DEF">
        <w:rPr>
          <w:rFonts w:cs="Arial"/>
          <w:b/>
          <w:noProof/>
          <w:sz w:val="28"/>
          <w:szCs w:val="28"/>
        </w:rPr>
        <w:t> </w:t>
      </w:r>
      <w:r w:rsidRPr="00A55DEF">
        <w:rPr>
          <w:rFonts w:cs="Arial"/>
          <w:b/>
          <w:noProof/>
          <w:sz w:val="28"/>
          <w:szCs w:val="28"/>
        </w:rPr>
        <w:t>jiných podobných her</w:t>
      </w:r>
    </w:p>
    <w:p w:rsidR="00A55DEF" w:rsidRPr="00A55DEF" w:rsidRDefault="00A55DEF" w:rsidP="00A55DEF">
      <w:pPr>
        <w:spacing w:before="0" w:after="0"/>
        <w:rPr>
          <w:rFonts w:cs="Arial"/>
        </w:rPr>
      </w:pPr>
    </w:p>
    <w:p w:rsidR="00941B1A" w:rsidRPr="00A55DEF" w:rsidRDefault="00941B1A" w:rsidP="00A55DEF">
      <w:pPr>
        <w:spacing w:before="0" w:after="0"/>
        <w:rPr>
          <w:rFonts w:cs="Arial"/>
        </w:rPr>
      </w:pPr>
    </w:p>
    <w:p w:rsidR="00941B1A" w:rsidRDefault="00941B1A" w:rsidP="00A55DEF">
      <w:pPr>
        <w:spacing w:before="0" w:after="0"/>
        <w:rPr>
          <w:rFonts w:cs="Arial"/>
        </w:rPr>
      </w:pPr>
      <w:r w:rsidRPr="00A55DEF">
        <w:rPr>
          <w:rFonts w:cs="Arial"/>
          <w:spacing w:val="-2"/>
        </w:rPr>
        <w:t xml:space="preserve">Kontrolní akce byla zařazena do plánu kontrolní činnosti Nejvyššího kontrolního úřadu </w:t>
      </w:r>
      <w:r w:rsidRPr="00A55DEF">
        <w:rPr>
          <w:rFonts w:cs="Arial"/>
        </w:rPr>
        <w:t>(dále jen „NKÚ“) na rok 2013 pod číslem 13/35. Kontrolní akci řídila a kontrolní závěr vypracovala členka NKÚ Mgr. Zdeňka Profeldová.</w:t>
      </w:r>
    </w:p>
    <w:p w:rsidR="00A55DEF" w:rsidRPr="00A55DEF" w:rsidRDefault="00A55DEF" w:rsidP="00A55DEF">
      <w:pPr>
        <w:spacing w:before="0" w:after="0"/>
      </w:pPr>
    </w:p>
    <w:p w:rsidR="00941B1A" w:rsidRDefault="00941B1A" w:rsidP="00A55DEF">
      <w:pPr>
        <w:spacing w:before="0" w:after="0"/>
        <w:rPr>
          <w:rFonts w:eastAsiaTheme="minorHAnsi"/>
        </w:rPr>
      </w:pPr>
      <w:r w:rsidRPr="00C413EC">
        <w:t xml:space="preserve">Cílem kontroly bylo </w:t>
      </w:r>
      <w:r w:rsidRPr="00C413EC">
        <w:rPr>
          <w:rFonts w:eastAsiaTheme="minorHAnsi"/>
        </w:rPr>
        <w:t>prověřit postup finančních orgánů v souvislosti se správou příjmů z loterií a jiných podobných her včetně prověření dopadů na příjmy státního rozpočtu</w:t>
      </w:r>
      <w:r>
        <w:rPr>
          <w:rFonts w:eastAsiaTheme="minorHAnsi"/>
        </w:rPr>
        <w:t>.</w:t>
      </w:r>
    </w:p>
    <w:p w:rsidR="00A55DEF" w:rsidRPr="00C413EC" w:rsidRDefault="00A55DEF" w:rsidP="00A55DEF">
      <w:pPr>
        <w:spacing w:before="0" w:after="0"/>
      </w:pPr>
    </w:p>
    <w:p w:rsidR="00941B1A" w:rsidRPr="00B749F1" w:rsidRDefault="00941B1A" w:rsidP="00A55DEF">
      <w:pPr>
        <w:spacing w:before="0" w:after="0"/>
      </w:pPr>
      <w:r w:rsidRPr="00B749F1">
        <w:t>Kontrolované osoby:</w:t>
      </w:r>
    </w:p>
    <w:p w:rsidR="00771B18" w:rsidRDefault="00771B18" w:rsidP="00A55DEF">
      <w:pPr>
        <w:spacing w:before="0" w:after="0"/>
      </w:pPr>
      <w:r w:rsidRPr="00B749F1">
        <w:t xml:space="preserve">Ministerstvo financí, Generální finanční ředitelství, </w:t>
      </w:r>
      <w:r w:rsidR="00DE3A14">
        <w:t xml:space="preserve">Praha; </w:t>
      </w:r>
      <w:r w:rsidRPr="00B749F1">
        <w:t xml:space="preserve">Specializovaný finanční úřad, </w:t>
      </w:r>
      <w:r>
        <w:t xml:space="preserve">Praha; </w:t>
      </w:r>
      <w:r w:rsidRPr="00B749F1">
        <w:t>Finanční úřad pro Středočeský kraj,</w:t>
      </w:r>
      <w:r>
        <w:t xml:space="preserve"> Praha; </w:t>
      </w:r>
      <w:r w:rsidRPr="00B749F1">
        <w:t xml:space="preserve">Finanční úřad pro Jihomoravský kraj, </w:t>
      </w:r>
      <w:r>
        <w:t xml:space="preserve">Brno; </w:t>
      </w:r>
      <w:r w:rsidRPr="00B749F1">
        <w:t>Finanční úřad pro Moravskoslez</w:t>
      </w:r>
      <w:r>
        <w:t>s</w:t>
      </w:r>
      <w:r w:rsidRPr="00B749F1">
        <w:t xml:space="preserve">ký kraj, </w:t>
      </w:r>
      <w:r>
        <w:t xml:space="preserve">Ostrava; </w:t>
      </w:r>
      <w:r w:rsidRPr="00B749F1">
        <w:t>Finanční úřad pro Olomoucký kraj</w:t>
      </w:r>
      <w:r>
        <w:t>, Olomouc</w:t>
      </w:r>
      <w:r w:rsidRPr="00B749F1">
        <w:t xml:space="preserve"> a Finanční úřad pro Karlovarský kraj</w:t>
      </w:r>
      <w:r>
        <w:t>, Karlovy Vary</w:t>
      </w:r>
      <w:r w:rsidRPr="00B749F1">
        <w:t>.</w:t>
      </w:r>
    </w:p>
    <w:p w:rsidR="00A55DEF" w:rsidRPr="00771B18" w:rsidRDefault="00A55DEF" w:rsidP="00A55DEF">
      <w:pPr>
        <w:spacing w:before="0" w:after="0"/>
      </w:pPr>
    </w:p>
    <w:p w:rsidR="00941B1A" w:rsidRDefault="00941B1A" w:rsidP="00A55DEF">
      <w:pPr>
        <w:spacing w:before="0" w:after="0"/>
      </w:pPr>
      <w:r w:rsidRPr="00B749F1">
        <w:t xml:space="preserve">Kontrola byla prováděna od října 2013 do května 2014. </w:t>
      </w:r>
      <w:r w:rsidRPr="00B749F1">
        <w:rPr>
          <w:spacing w:val="-2"/>
        </w:rPr>
        <w:t xml:space="preserve">Kontrolováno bylo období let 2011 až 2013, v případě věcných </w:t>
      </w:r>
      <w:r w:rsidRPr="00B749F1">
        <w:t>souvislostí i období předcházející nebo následující.</w:t>
      </w:r>
    </w:p>
    <w:p w:rsidR="00A55DEF" w:rsidRPr="00B749F1" w:rsidRDefault="00A55DEF" w:rsidP="00A55DEF">
      <w:pPr>
        <w:spacing w:before="0" w:after="0"/>
      </w:pPr>
    </w:p>
    <w:p w:rsidR="00941B1A" w:rsidRDefault="00941B1A" w:rsidP="00A55DEF">
      <w:pPr>
        <w:spacing w:before="0" w:after="0"/>
      </w:pPr>
      <w:r w:rsidRPr="00630136">
        <w:t>Námitky proti kontrolnímu protokolu, které podaly Ministerstvo finan</w:t>
      </w:r>
      <w:r>
        <w:t>cí,</w:t>
      </w:r>
      <w:r w:rsidRPr="00630136">
        <w:t xml:space="preserve"> </w:t>
      </w:r>
      <w:r>
        <w:t>Generální finanční ředitelství</w:t>
      </w:r>
      <w:r w:rsidRPr="00C413EC">
        <w:t>, Finanční úřad pro Středočeský kraj</w:t>
      </w:r>
      <w:r w:rsidR="00D17612">
        <w:t xml:space="preserve"> </w:t>
      </w:r>
      <w:r>
        <w:t xml:space="preserve">a Specializovaný finanční úřad </w:t>
      </w:r>
      <w:r w:rsidRPr="00630136">
        <w:t>byly vypořádány vedoucími skupin kontrolují</w:t>
      </w:r>
      <w:r>
        <w:t xml:space="preserve">cích rozhodnutími o námitkách. </w:t>
      </w:r>
    </w:p>
    <w:p w:rsidR="00941B1A" w:rsidRDefault="00941B1A" w:rsidP="00A55DEF">
      <w:pPr>
        <w:spacing w:before="0" w:after="0"/>
      </w:pPr>
    </w:p>
    <w:p w:rsidR="00941B1A" w:rsidRPr="00C85167" w:rsidRDefault="00941B1A" w:rsidP="00A55DEF">
      <w:pPr>
        <w:spacing w:before="0" w:after="0"/>
      </w:pPr>
    </w:p>
    <w:p w:rsidR="00941B1A" w:rsidRPr="00B749F1" w:rsidRDefault="00941B1A" w:rsidP="00A55DEF">
      <w:pPr>
        <w:spacing w:before="0" w:after="0"/>
      </w:pPr>
      <w:r w:rsidRPr="00B749F1">
        <w:rPr>
          <w:b/>
          <w:i/>
        </w:rPr>
        <w:t>K o l e g i u m   N K Ú</w:t>
      </w:r>
      <w:r w:rsidRPr="00B749F1">
        <w:t xml:space="preserve"> </w:t>
      </w:r>
      <w:r w:rsidR="00874D68">
        <w:t xml:space="preserve"> </w:t>
      </w:r>
      <w:r w:rsidRPr="00B749F1">
        <w:t xml:space="preserve"> na svém </w:t>
      </w:r>
      <w:r w:rsidR="000423F1">
        <w:t>XIII.</w:t>
      </w:r>
      <w:r w:rsidRPr="00B749F1">
        <w:t xml:space="preserve"> zasedání, konaném dne </w:t>
      </w:r>
      <w:r w:rsidR="000423F1">
        <w:t>28. července</w:t>
      </w:r>
      <w:r w:rsidRPr="00B749F1">
        <w:t xml:space="preserve"> 201</w:t>
      </w:r>
      <w:r>
        <w:t>4</w:t>
      </w:r>
      <w:r w:rsidRPr="00B749F1">
        <w:t>,</w:t>
      </w:r>
    </w:p>
    <w:p w:rsidR="00941B1A" w:rsidRDefault="00941B1A" w:rsidP="00A55DEF">
      <w:pPr>
        <w:spacing w:before="0" w:after="0"/>
      </w:pPr>
      <w:proofErr w:type="gramStart"/>
      <w:r w:rsidRPr="00B749F1">
        <w:rPr>
          <w:b/>
          <w:i/>
        </w:rPr>
        <w:t>s c h v á l i l o</w:t>
      </w:r>
      <w:r w:rsidRPr="00B749F1">
        <w:t xml:space="preserve">   usnesením č.</w:t>
      </w:r>
      <w:proofErr w:type="gramEnd"/>
      <w:r w:rsidRPr="00B749F1">
        <w:t xml:space="preserve"> </w:t>
      </w:r>
      <w:r w:rsidR="00DE3A14">
        <w:t>10</w:t>
      </w:r>
      <w:r w:rsidRPr="00B749F1">
        <w:t>/</w:t>
      </w:r>
      <w:r w:rsidR="000423F1">
        <w:t>XIII</w:t>
      </w:r>
      <w:r w:rsidRPr="00B749F1">
        <w:t>/201</w:t>
      </w:r>
      <w:r>
        <w:t>4</w:t>
      </w:r>
    </w:p>
    <w:p w:rsidR="00941B1A" w:rsidRDefault="00941B1A" w:rsidP="00A55DEF">
      <w:pPr>
        <w:spacing w:before="0" w:after="0"/>
      </w:pPr>
      <w:proofErr w:type="gramStart"/>
      <w:r w:rsidRPr="00B749F1">
        <w:rPr>
          <w:b/>
          <w:i/>
        </w:rPr>
        <w:t>k o n t r o l n í   z á v ě r</w:t>
      </w:r>
      <w:r w:rsidRPr="00B749F1">
        <w:t xml:space="preserve">   v tomto</w:t>
      </w:r>
      <w:proofErr w:type="gramEnd"/>
      <w:r w:rsidRPr="00B749F1">
        <w:t xml:space="preserve"> znění:</w:t>
      </w:r>
    </w:p>
    <w:p w:rsidR="00941B1A" w:rsidRDefault="00941B1A" w:rsidP="00A55DEF">
      <w:pPr>
        <w:spacing w:before="0" w:after="0"/>
      </w:pPr>
    </w:p>
    <w:p w:rsidR="00941B1A" w:rsidRDefault="00941B1A" w:rsidP="00A55DEF">
      <w:pPr>
        <w:spacing w:before="0" w:after="0"/>
      </w:pPr>
    </w:p>
    <w:p w:rsidR="00941B1A" w:rsidRPr="00A55DEF" w:rsidRDefault="00874D68" w:rsidP="00A55DEF">
      <w:pPr>
        <w:spacing w:before="0" w:after="0"/>
        <w:jc w:val="center"/>
        <w:rPr>
          <w:rFonts w:cs="Arial"/>
          <w:b/>
          <w:sz w:val="24"/>
          <w:szCs w:val="24"/>
        </w:rPr>
      </w:pPr>
      <w:r>
        <w:rPr>
          <w:rFonts w:cs="Arial"/>
          <w:b/>
          <w:sz w:val="24"/>
          <w:szCs w:val="24"/>
        </w:rPr>
        <w:t xml:space="preserve">I. </w:t>
      </w:r>
      <w:r w:rsidR="00941B1A" w:rsidRPr="00A55DEF">
        <w:rPr>
          <w:rFonts w:cs="Arial"/>
          <w:b/>
          <w:sz w:val="24"/>
          <w:szCs w:val="24"/>
        </w:rPr>
        <w:t>Úvod a základní právní předpisy</w:t>
      </w:r>
    </w:p>
    <w:p w:rsidR="00A55DEF" w:rsidRPr="00A55DEF" w:rsidRDefault="00A55DEF" w:rsidP="00A55DEF">
      <w:pPr>
        <w:spacing w:before="0" w:after="0"/>
        <w:rPr>
          <w:rFonts w:cs="Arial"/>
        </w:rPr>
      </w:pPr>
    </w:p>
    <w:p w:rsidR="00941B1A" w:rsidRDefault="00941B1A" w:rsidP="00A55DEF">
      <w:pPr>
        <w:spacing w:before="0" w:after="0"/>
        <w:rPr>
          <w:rFonts w:eastAsia="Times New Roman" w:cs="Arial"/>
          <w:noProof/>
          <w:lang w:eastAsia="cs-CZ"/>
        </w:rPr>
      </w:pPr>
      <w:r w:rsidRPr="00A55DEF">
        <w:rPr>
          <w:rFonts w:eastAsia="Times New Roman" w:cs="Arial"/>
          <w:b/>
          <w:bCs/>
          <w:noProof/>
          <w:lang w:eastAsia="cs-CZ"/>
        </w:rPr>
        <w:t xml:space="preserve">Ministerstvo financí </w:t>
      </w:r>
      <w:r w:rsidRPr="00A55DEF">
        <w:rPr>
          <w:rFonts w:eastAsia="Times New Roman" w:cs="Arial"/>
          <w:noProof/>
          <w:lang w:eastAsia="cs-CZ"/>
        </w:rPr>
        <w:t>(dále jen „MF") odpovídá mimo jiné za návrhy právní úpravy oblasti loterií a jiných podobných her (dále také „LJPH“), za analýzy dosažených výsledků, za opatření k řešení aktuálních otázek a za zpracovávání koncepce. Podle zákona o loteriích MF vykonává státní dozor nad provozování</w:t>
      </w:r>
      <w:r w:rsidR="004407DF" w:rsidRPr="00A55DEF">
        <w:rPr>
          <w:rFonts w:eastAsia="Times New Roman" w:cs="Arial"/>
          <w:noProof/>
          <w:lang w:eastAsia="cs-CZ"/>
        </w:rPr>
        <w:t>m</w:t>
      </w:r>
      <w:r w:rsidRPr="00A55DEF">
        <w:rPr>
          <w:rFonts w:eastAsia="Times New Roman" w:cs="Arial"/>
          <w:noProof/>
          <w:lang w:eastAsia="cs-CZ"/>
        </w:rPr>
        <w:t xml:space="preserve"> LJPH (dále jen „státní dozor“) a povoluje provozování LJPH, které není oprávněna povolit obec, popř. kraj. MF rovněž spravuje informační systém pro podporu státního dozoru (dále jen „IS SDSL“). </w:t>
      </w:r>
    </w:p>
    <w:p w:rsidR="00A55DEF" w:rsidRPr="00A55DEF" w:rsidRDefault="00A55DEF" w:rsidP="00A55DEF">
      <w:pPr>
        <w:spacing w:before="0" w:after="0"/>
        <w:rPr>
          <w:rFonts w:eastAsia="Times New Roman" w:cs="Arial"/>
        </w:rPr>
      </w:pPr>
    </w:p>
    <w:p w:rsidR="00941B1A" w:rsidRDefault="00941B1A" w:rsidP="00A55DEF">
      <w:pPr>
        <w:spacing w:before="0" w:after="0"/>
        <w:rPr>
          <w:rFonts w:eastAsia="Times New Roman" w:cs="Arial"/>
          <w:lang w:eastAsia="ar-SA"/>
        </w:rPr>
      </w:pPr>
      <w:r w:rsidRPr="00A55DEF">
        <w:rPr>
          <w:rFonts w:eastAsia="Times New Roman" w:cs="Arial"/>
          <w:b/>
          <w:lang w:eastAsia="ar-SA"/>
        </w:rPr>
        <w:t>Generální finanční ředitelství</w:t>
      </w:r>
      <w:r w:rsidRPr="00A55DEF">
        <w:rPr>
          <w:rFonts w:eastAsia="Times New Roman" w:cs="Arial"/>
          <w:lang w:eastAsia="ar-SA"/>
        </w:rPr>
        <w:t xml:space="preserve"> (dále také „GFŘ“) odpovídá za metodické řízení a koordinaci správy odvodů vybíraných na základě zákona o loteriích a správních poplatků vybíraných na základě zákona o správních poplatcích. Od 1. 1. 2013 GFŘ metodicky řídí kontrolní činnost</w:t>
      </w:r>
      <w:r w:rsidR="00856B8D">
        <w:rPr>
          <w:rFonts w:eastAsia="Times New Roman" w:cs="Arial"/>
          <w:lang w:eastAsia="ar-SA"/>
        </w:rPr>
        <w:t> –</w:t>
      </w:r>
      <w:r w:rsidRPr="00A55DEF">
        <w:rPr>
          <w:rFonts w:eastAsia="Times New Roman" w:cs="Arial"/>
          <w:lang w:eastAsia="ar-SA"/>
        </w:rPr>
        <w:t xml:space="preserve"> státní dozor</w:t>
      </w:r>
      <w:r w:rsidR="00856B8D">
        <w:rPr>
          <w:rFonts w:eastAsia="Times New Roman" w:cs="Arial"/>
          <w:lang w:eastAsia="ar-SA"/>
        </w:rPr>
        <w:t> </w:t>
      </w:r>
      <w:r w:rsidR="00887E71">
        <w:rPr>
          <w:rFonts w:eastAsia="Times New Roman" w:cs="Arial"/>
          <w:lang w:eastAsia="ar-SA"/>
        </w:rPr>
        <w:t xml:space="preserve">vykonávaný specializovaným finančním úřadem. </w:t>
      </w:r>
      <w:r w:rsidRPr="00A55DEF">
        <w:rPr>
          <w:rFonts w:eastAsia="Times New Roman" w:cs="Arial"/>
          <w:lang w:eastAsia="ar-SA"/>
        </w:rPr>
        <w:t xml:space="preserve"> </w:t>
      </w:r>
    </w:p>
    <w:p w:rsidR="00A55DEF" w:rsidRPr="00A55DEF" w:rsidRDefault="00A55DEF" w:rsidP="00A55DEF">
      <w:pPr>
        <w:spacing w:before="0" w:after="0"/>
        <w:rPr>
          <w:rFonts w:eastAsia="Times New Roman" w:cs="Arial"/>
          <w:lang w:eastAsia="ar-SA"/>
        </w:rPr>
      </w:pPr>
    </w:p>
    <w:p w:rsidR="00941B1A" w:rsidRDefault="00941B1A" w:rsidP="00A55DEF">
      <w:pPr>
        <w:spacing w:before="0" w:after="0"/>
        <w:rPr>
          <w:rFonts w:eastAsia="Times New Roman" w:cs="Arial"/>
          <w:lang w:eastAsia="ar-SA"/>
        </w:rPr>
      </w:pPr>
      <w:r w:rsidRPr="00A55DEF">
        <w:rPr>
          <w:rFonts w:eastAsia="Times New Roman" w:cs="Arial"/>
          <w:b/>
          <w:lang w:eastAsia="ar-SA"/>
        </w:rPr>
        <w:t>Specializovaný finanční úřad</w:t>
      </w:r>
      <w:r w:rsidRPr="00A55DEF">
        <w:rPr>
          <w:rFonts w:eastAsia="Times New Roman" w:cs="Arial"/>
          <w:lang w:eastAsia="ar-SA"/>
        </w:rPr>
        <w:t xml:space="preserve"> (dále také „SFÚ“) je od 1. 1. 2012 příslušný ke správě odvodů u subjektů, jejichž roční obrat přesahuje 2 mld. Kč</w:t>
      </w:r>
      <w:r w:rsidR="009E30E3">
        <w:rPr>
          <w:rFonts w:eastAsia="Times New Roman" w:cs="Arial"/>
          <w:lang w:eastAsia="ar-SA"/>
        </w:rPr>
        <w:t>,</w:t>
      </w:r>
      <w:r w:rsidRPr="00A55DEF">
        <w:rPr>
          <w:rFonts w:eastAsia="Times New Roman" w:cs="Arial"/>
          <w:lang w:eastAsia="ar-SA"/>
        </w:rPr>
        <w:t xml:space="preserve"> a od 1. 1. 2013 odpovídá za výkon státního dozoru a ukládání sankcí za porušení zákona o loteriích. </w:t>
      </w:r>
    </w:p>
    <w:p w:rsidR="00A55DEF" w:rsidRPr="00A55DEF" w:rsidRDefault="00A55DEF" w:rsidP="00A55DEF">
      <w:pPr>
        <w:spacing w:before="0" w:after="0"/>
        <w:rPr>
          <w:rFonts w:eastAsia="Times New Roman" w:cs="Arial"/>
          <w:lang w:eastAsia="ar-SA"/>
        </w:rPr>
      </w:pPr>
    </w:p>
    <w:p w:rsidR="00941B1A" w:rsidRDefault="00941B1A" w:rsidP="00A55DEF">
      <w:pPr>
        <w:tabs>
          <w:tab w:val="left" w:pos="4536"/>
        </w:tabs>
        <w:spacing w:before="0" w:after="0"/>
        <w:rPr>
          <w:rFonts w:eastAsia="Times New Roman" w:cs="Arial"/>
          <w:lang w:eastAsia="ar-SA"/>
        </w:rPr>
      </w:pPr>
      <w:r w:rsidRPr="00A55DEF">
        <w:rPr>
          <w:rFonts w:eastAsia="Times New Roman" w:cs="Arial"/>
          <w:b/>
          <w:lang w:eastAsia="ar-SA"/>
        </w:rPr>
        <w:t xml:space="preserve">Finanční úřady </w:t>
      </w:r>
      <w:r w:rsidRPr="00A55DEF">
        <w:rPr>
          <w:rFonts w:eastAsia="Times New Roman" w:cs="Arial"/>
          <w:lang w:eastAsia="ar-SA"/>
        </w:rPr>
        <w:t>(dále</w:t>
      </w:r>
      <w:r w:rsidRPr="00A55DEF">
        <w:rPr>
          <w:rFonts w:eastAsia="Times New Roman" w:cs="Arial"/>
          <w:b/>
          <w:lang w:eastAsia="ar-SA"/>
        </w:rPr>
        <w:t xml:space="preserve"> </w:t>
      </w:r>
      <w:r w:rsidRPr="00A55DEF">
        <w:rPr>
          <w:rFonts w:eastAsia="Times New Roman" w:cs="Arial"/>
          <w:lang w:eastAsia="ar-SA"/>
        </w:rPr>
        <w:t xml:space="preserve">také „FÚ“) vykonávaly do 31. 12. 2012 státní dozor nad provozováním LJPH. Od 1. 1. 2012 vykonávají správu odvodů u subjektů nespadajících do kompetence SFÚ. </w:t>
      </w:r>
      <w:r w:rsidR="00D22070" w:rsidRPr="00A55DEF">
        <w:rPr>
          <w:rFonts w:eastAsia="Times New Roman" w:cs="Arial"/>
          <w:lang w:eastAsia="ar-SA"/>
        </w:rPr>
        <w:t xml:space="preserve">FÚ se při správě odvodů řídí daňovým řádem. </w:t>
      </w:r>
    </w:p>
    <w:p w:rsidR="00A55DEF" w:rsidRPr="00A55DEF" w:rsidRDefault="00A55DEF" w:rsidP="00A55DEF">
      <w:pPr>
        <w:tabs>
          <w:tab w:val="left" w:pos="4536"/>
        </w:tabs>
        <w:spacing w:before="0" w:after="0"/>
        <w:rPr>
          <w:rFonts w:eastAsia="Times New Roman" w:cs="Arial"/>
          <w:lang w:eastAsia="ar-SA"/>
        </w:rPr>
      </w:pPr>
    </w:p>
    <w:p w:rsidR="00941B1A" w:rsidRDefault="00941B1A" w:rsidP="00A55DEF">
      <w:pPr>
        <w:pStyle w:val="Standard"/>
        <w:spacing w:after="0" w:line="240" w:lineRule="auto"/>
        <w:rPr>
          <w:rFonts w:cs="Arial"/>
          <w:szCs w:val="22"/>
        </w:rPr>
      </w:pPr>
      <w:r w:rsidRPr="00A55DEF">
        <w:rPr>
          <w:rFonts w:cs="Arial"/>
          <w:b/>
          <w:szCs w:val="22"/>
        </w:rPr>
        <w:t>Obce</w:t>
      </w:r>
      <w:r w:rsidRPr="00A55DEF">
        <w:rPr>
          <w:rFonts w:cs="Arial"/>
          <w:szCs w:val="22"/>
        </w:rPr>
        <w:t xml:space="preserve"> mohou obecně závaznou vyhláškou regulovat provozování LJPH na svém území. Jsou dále oprávněny povolit na území obce provozování výherních hracích </w:t>
      </w:r>
      <w:r w:rsidR="004407DF" w:rsidRPr="00A55DEF">
        <w:rPr>
          <w:rFonts w:cs="Arial"/>
          <w:szCs w:val="22"/>
        </w:rPr>
        <w:t xml:space="preserve">přístrojů </w:t>
      </w:r>
      <w:r w:rsidRPr="00A55DEF">
        <w:rPr>
          <w:rFonts w:cs="Arial"/>
          <w:szCs w:val="22"/>
        </w:rPr>
        <w:t xml:space="preserve">(dále také „VHP“), tombol s herní jistinou do 50 000 Kč a věcnou loterii s herní jistinou do 200 000 Kč. </w:t>
      </w:r>
      <w:r w:rsidRPr="00A55DEF">
        <w:rPr>
          <w:rFonts w:cs="Arial"/>
          <w:b/>
          <w:szCs w:val="22"/>
        </w:rPr>
        <w:t>Krajský úřad</w:t>
      </w:r>
      <w:r w:rsidRPr="00A55DEF">
        <w:rPr>
          <w:rFonts w:cs="Arial"/>
          <w:szCs w:val="22"/>
        </w:rPr>
        <w:t xml:space="preserve"> je oprávněn povolit provoz VHP, je-li provozovatelem obec na území kraje. Obce a kraje jsou povinny vykonávat státní dozor, pokud vydaly povolení k provozování. </w:t>
      </w:r>
    </w:p>
    <w:p w:rsidR="00A55DEF" w:rsidRPr="00A55DEF" w:rsidRDefault="00A55DEF" w:rsidP="00A55DEF">
      <w:pPr>
        <w:pStyle w:val="Standard"/>
        <w:spacing w:after="0" w:line="240" w:lineRule="auto"/>
        <w:rPr>
          <w:rFonts w:cs="Arial"/>
          <w:szCs w:val="22"/>
        </w:rPr>
      </w:pPr>
    </w:p>
    <w:p w:rsidR="00941B1A" w:rsidRPr="00A55DEF" w:rsidRDefault="00941B1A" w:rsidP="00A55DEF">
      <w:pPr>
        <w:pStyle w:val="Standard"/>
        <w:spacing w:after="0" w:line="240" w:lineRule="auto"/>
        <w:rPr>
          <w:rFonts w:cs="Arial"/>
          <w:b/>
          <w:szCs w:val="22"/>
        </w:rPr>
      </w:pPr>
      <w:r w:rsidRPr="00A55DEF">
        <w:rPr>
          <w:rFonts w:cs="Arial"/>
          <w:b/>
          <w:szCs w:val="22"/>
        </w:rPr>
        <w:t>Základní právní předpisy:</w:t>
      </w:r>
    </w:p>
    <w:p w:rsidR="00941B1A" w:rsidRPr="00A55DEF" w:rsidRDefault="001F3124" w:rsidP="005D684A">
      <w:pPr>
        <w:pStyle w:val="Standard"/>
        <w:numPr>
          <w:ilvl w:val="0"/>
          <w:numId w:val="17"/>
        </w:numPr>
        <w:spacing w:after="0" w:line="240" w:lineRule="auto"/>
        <w:ind w:left="284" w:hanging="284"/>
        <w:rPr>
          <w:rFonts w:cs="Arial"/>
          <w:szCs w:val="22"/>
        </w:rPr>
      </w:pPr>
      <w:r>
        <w:rPr>
          <w:rFonts w:cs="Arial"/>
          <w:szCs w:val="22"/>
        </w:rPr>
        <w:t>z</w:t>
      </w:r>
      <w:r w:rsidR="00941B1A" w:rsidRPr="00A55DEF">
        <w:rPr>
          <w:rFonts w:cs="Arial"/>
          <w:szCs w:val="22"/>
        </w:rPr>
        <w:t>ákon č. 202/1990 Sb., o loteriích a jiných podobných hrách (dále jen „zákon o</w:t>
      </w:r>
      <w:r w:rsidR="00505D11">
        <w:rPr>
          <w:rFonts w:cs="Arial"/>
          <w:szCs w:val="22"/>
        </w:rPr>
        <w:t> </w:t>
      </w:r>
      <w:r w:rsidR="00941B1A" w:rsidRPr="00A55DEF">
        <w:rPr>
          <w:rFonts w:cs="Arial"/>
          <w:szCs w:val="22"/>
        </w:rPr>
        <w:t>loteriích“),</w:t>
      </w:r>
    </w:p>
    <w:p w:rsidR="00941B1A" w:rsidRPr="00A55DEF" w:rsidRDefault="001F3124" w:rsidP="005D684A">
      <w:pPr>
        <w:pStyle w:val="Standard"/>
        <w:numPr>
          <w:ilvl w:val="0"/>
          <w:numId w:val="17"/>
        </w:numPr>
        <w:spacing w:after="0" w:line="240" w:lineRule="auto"/>
        <w:ind w:left="284" w:hanging="284"/>
        <w:rPr>
          <w:rFonts w:cs="Arial"/>
          <w:szCs w:val="22"/>
        </w:rPr>
      </w:pPr>
      <w:r>
        <w:rPr>
          <w:rFonts w:cs="Arial"/>
          <w:szCs w:val="22"/>
        </w:rPr>
        <w:t>z</w:t>
      </w:r>
      <w:r w:rsidR="00941B1A" w:rsidRPr="00A55DEF">
        <w:rPr>
          <w:rFonts w:cs="Arial"/>
          <w:szCs w:val="22"/>
        </w:rPr>
        <w:t>ákon č. 458/2011 Sb., o změně zákonů související se zřízením jednoho inkasního místa a</w:t>
      </w:r>
      <w:r w:rsidR="00DE3A14" w:rsidRPr="00A55DEF">
        <w:rPr>
          <w:rFonts w:cs="Arial"/>
          <w:szCs w:val="22"/>
        </w:rPr>
        <w:t> </w:t>
      </w:r>
      <w:r w:rsidR="00941B1A" w:rsidRPr="00A55DEF">
        <w:rPr>
          <w:rFonts w:cs="Arial"/>
          <w:szCs w:val="22"/>
        </w:rPr>
        <w:t>dalších změnách daňových a pojistných zá</w:t>
      </w:r>
      <w:r>
        <w:rPr>
          <w:rFonts w:cs="Arial"/>
          <w:szCs w:val="22"/>
        </w:rPr>
        <w:t>konů (dále jen „novela zákona o </w:t>
      </w:r>
      <w:r w:rsidR="00941B1A" w:rsidRPr="00A55DEF">
        <w:rPr>
          <w:rFonts w:cs="Arial"/>
          <w:szCs w:val="22"/>
        </w:rPr>
        <w:t>loteriích“),</w:t>
      </w:r>
    </w:p>
    <w:p w:rsidR="00941B1A" w:rsidRPr="00A55DEF" w:rsidRDefault="001F3124" w:rsidP="005D684A">
      <w:pPr>
        <w:pStyle w:val="Standard"/>
        <w:numPr>
          <w:ilvl w:val="0"/>
          <w:numId w:val="17"/>
        </w:numPr>
        <w:spacing w:after="0" w:line="240" w:lineRule="auto"/>
        <w:ind w:left="284" w:hanging="284"/>
        <w:rPr>
          <w:rFonts w:cs="Arial"/>
          <w:szCs w:val="22"/>
        </w:rPr>
      </w:pPr>
      <w:r>
        <w:rPr>
          <w:rFonts w:cs="Arial"/>
          <w:szCs w:val="22"/>
        </w:rPr>
        <w:t>z</w:t>
      </w:r>
      <w:r w:rsidR="00941B1A" w:rsidRPr="00A55DEF">
        <w:rPr>
          <w:rFonts w:cs="Arial"/>
          <w:szCs w:val="22"/>
        </w:rPr>
        <w:t>ákon č. 280/2009 Sb., daňový řád,</w:t>
      </w:r>
    </w:p>
    <w:p w:rsidR="00941B1A" w:rsidRPr="00A55DEF" w:rsidRDefault="001F3124" w:rsidP="005D684A">
      <w:pPr>
        <w:pStyle w:val="Standard"/>
        <w:numPr>
          <w:ilvl w:val="0"/>
          <w:numId w:val="17"/>
        </w:numPr>
        <w:spacing w:after="0" w:line="240" w:lineRule="auto"/>
        <w:ind w:left="284" w:hanging="284"/>
        <w:rPr>
          <w:rFonts w:cs="Arial"/>
          <w:szCs w:val="22"/>
        </w:rPr>
      </w:pPr>
      <w:r>
        <w:rPr>
          <w:rFonts w:cs="Arial"/>
          <w:szCs w:val="22"/>
        </w:rPr>
        <w:t>z</w:t>
      </w:r>
      <w:r w:rsidR="00941B1A" w:rsidRPr="00A55DEF">
        <w:rPr>
          <w:rFonts w:cs="Arial"/>
          <w:szCs w:val="22"/>
        </w:rPr>
        <w:t xml:space="preserve">ákon č. 500/2004 Sb., správní řád, </w:t>
      </w:r>
    </w:p>
    <w:p w:rsidR="00941B1A" w:rsidRPr="00A55DEF" w:rsidRDefault="001F3124" w:rsidP="005D684A">
      <w:pPr>
        <w:pStyle w:val="Standard"/>
        <w:numPr>
          <w:ilvl w:val="0"/>
          <w:numId w:val="17"/>
        </w:numPr>
        <w:spacing w:after="0" w:line="240" w:lineRule="auto"/>
        <w:ind w:left="284" w:hanging="284"/>
        <w:rPr>
          <w:rFonts w:cs="Arial"/>
          <w:szCs w:val="22"/>
        </w:rPr>
      </w:pPr>
      <w:r>
        <w:rPr>
          <w:rFonts w:cs="Arial"/>
          <w:szCs w:val="22"/>
        </w:rPr>
        <w:t>z</w:t>
      </w:r>
      <w:r w:rsidR="00941B1A" w:rsidRPr="00A55DEF">
        <w:rPr>
          <w:rFonts w:cs="Arial"/>
          <w:szCs w:val="22"/>
        </w:rPr>
        <w:t xml:space="preserve">ákon č. 634/2004 Sb., o správních poplatcích, </w:t>
      </w:r>
    </w:p>
    <w:p w:rsidR="00941B1A" w:rsidRPr="00A55DEF" w:rsidRDefault="001F3124" w:rsidP="005D684A">
      <w:pPr>
        <w:pStyle w:val="Standard"/>
        <w:numPr>
          <w:ilvl w:val="0"/>
          <w:numId w:val="17"/>
        </w:numPr>
        <w:spacing w:after="0" w:line="240" w:lineRule="auto"/>
        <w:ind w:left="284" w:hanging="284"/>
        <w:rPr>
          <w:rFonts w:cs="Arial"/>
          <w:szCs w:val="22"/>
        </w:rPr>
      </w:pPr>
      <w:r>
        <w:rPr>
          <w:rFonts w:cs="Arial"/>
          <w:szCs w:val="22"/>
        </w:rPr>
        <w:t>z</w:t>
      </w:r>
      <w:r w:rsidR="00941B1A" w:rsidRPr="00A55DEF">
        <w:rPr>
          <w:rFonts w:cs="Arial"/>
          <w:szCs w:val="22"/>
        </w:rPr>
        <w:t xml:space="preserve">ákon č. 552/1991 Sb., o státní kontrole, </w:t>
      </w:r>
    </w:p>
    <w:p w:rsidR="00941B1A" w:rsidRPr="00A55DEF" w:rsidRDefault="001F3124" w:rsidP="005D684A">
      <w:pPr>
        <w:pStyle w:val="Standard"/>
        <w:numPr>
          <w:ilvl w:val="0"/>
          <w:numId w:val="17"/>
        </w:numPr>
        <w:spacing w:after="0" w:line="240" w:lineRule="auto"/>
        <w:ind w:left="284" w:hanging="284"/>
        <w:rPr>
          <w:rFonts w:cs="Arial"/>
          <w:szCs w:val="22"/>
        </w:rPr>
      </w:pPr>
      <w:r>
        <w:rPr>
          <w:rFonts w:cs="Arial"/>
          <w:szCs w:val="22"/>
        </w:rPr>
        <w:t>z</w:t>
      </w:r>
      <w:r w:rsidR="00941B1A" w:rsidRPr="00A55DEF">
        <w:rPr>
          <w:rFonts w:cs="Arial"/>
          <w:szCs w:val="22"/>
        </w:rPr>
        <w:t xml:space="preserve">ákon č. 456/2011 Sb., o Finanční správě ČR (dále je „zákon o finanční správě“). </w:t>
      </w:r>
    </w:p>
    <w:p w:rsidR="00941B1A" w:rsidRDefault="00941B1A" w:rsidP="00A55DEF">
      <w:pPr>
        <w:pStyle w:val="Standard"/>
        <w:spacing w:after="0" w:line="240" w:lineRule="auto"/>
        <w:rPr>
          <w:rFonts w:cs="Arial"/>
          <w:szCs w:val="22"/>
        </w:rPr>
      </w:pPr>
    </w:p>
    <w:p w:rsidR="00A55DEF" w:rsidRPr="00A55DEF" w:rsidRDefault="00A55DEF" w:rsidP="00A55DEF">
      <w:pPr>
        <w:pStyle w:val="Standard"/>
        <w:spacing w:after="0" w:line="240" w:lineRule="auto"/>
        <w:rPr>
          <w:rFonts w:cs="Arial"/>
          <w:szCs w:val="22"/>
        </w:rPr>
      </w:pPr>
    </w:p>
    <w:p w:rsidR="00941B1A" w:rsidRPr="00A55DEF" w:rsidRDefault="00941B1A" w:rsidP="00A55DEF">
      <w:pPr>
        <w:pStyle w:val="Standard"/>
        <w:spacing w:after="0" w:line="240" w:lineRule="auto"/>
        <w:ind w:left="567" w:hanging="567"/>
        <w:rPr>
          <w:rFonts w:cs="Arial"/>
          <w:sz w:val="18"/>
          <w:szCs w:val="18"/>
        </w:rPr>
      </w:pPr>
      <w:r w:rsidRPr="00A55DEF">
        <w:rPr>
          <w:rFonts w:cs="Arial"/>
          <w:b/>
          <w:sz w:val="18"/>
          <w:szCs w:val="18"/>
        </w:rPr>
        <w:t>Pozn</w:t>
      </w:r>
      <w:r w:rsidR="0020186D">
        <w:rPr>
          <w:rFonts w:cs="Arial"/>
          <w:b/>
          <w:sz w:val="18"/>
          <w:szCs w:val="18"/>
        </w:rPr>
        <w:t>.</w:t>
      </w:r>
      <w:r w:rsidRPr="00A55DEF">
        <w:rPr>
          <w:rFonts w:cs="Arial"/>
          <w:b/>
          <w:sz w:val="18"/>
          <w:szCs w:val="18"/>
        </w:rPr>
        <w:t>:</w:t>
      </w:r>
      <w:r w:rsidRPr="00A55DEF">
        <w:rPr>
          <w:rFonts w:cs="Arial"/>
          <w:sz w:val="18"/>
          <w:szCs w:val="18"/>
        </w:rPr>
        <w:t xml:space="preserve"> Právní předpisy jsou uváděny ve znění účinném pro kontrolované období.</w:t>
      </w:r>
    </w:p>
    <w:p w:rsidR="00941B1A" w:rsidRPr="00A55DEF" w:rsidRDefault="00941B1A" w:rsidP="00A55DEF">
      <w:pPr>
        <w:pStyle w:val="Standard"/>
        <w:spacing w:after="0" w:line="240" w:lineRule="auto"/>
        <w:rPr>
          <w:rFonts w:cs="Arial"/>
          <w:szCs w:val="22"/>
        </w:rPr>
      </w:pPr>
    </w:p>
    <w:p w:rsidR="00941B1A" w:rsidRPr="00A55DEF" w:rsidRDefault="00941B1A" w:rsidP="00A55DEF">
      <w:pPr>
        <w:pStyle w:val="Standard"/>
        <w:spacing w:after="0" w:line="240" w:lineRule="auto"/>
        <w:rPr>
          <w:rFonts w:cs="Arial"/>
          <w:szCs w:val="22"/>
        </w:rPr>
      </w:pPr>
    </w:p>
    <w:p w:rsidR="00941B1A" w:rsidRPr="00A55DEF" w:rsidRDefault="0020186D" w:rsidP="00A55DEF">
      <w:pPr>
        <w:spacing w:before="0" w:after="0"/>
        <w:jc w:val="center"/>
        <w:rPr>
          <w:b/>
          <w:sz w:val="24"/>
          <w:szCs w:val="24"/>
        </w:rPr>
      </w:pPr>
      <w:r>
        <w:rPr>
          <w:b/>
          <w:sz w:val="24"/>
          <w:szCs w:val="24"/>
        </w:rPr>
        <w:t xml:space="preserve">II. </w:t>
      </w:r>
      <w:r w:rsidR="00DE3A14" w:rsidRPr="00A55DEF">
        <w:rPr>
          <w:b/>
          <w:sz w:val="24"/>
          <w:szCs w:val="24"/>
        </w:rPr>
        <w:t>Vyhodnocení skutečností zjištěných při kontrole</w:t>
      </w:r>
    </w:p>
    <w:p w:rsidR="00941B1A" w:rsidRPr="005F6CBD" w:rsidRDefault="00941B1A" w:rsidP="00A55DEF">
      <w:pPr>
        <w:pStyle w:val="Standard"/>
        <w:spacing w:after="0" w:line="240" w:lineRule="auto"/>
        <w:rPr>
          <w:rFonts w:cs="Arial"/>
          <w:szCs w:val="22"/>
        </w:rPr>
      </w:pPr>
    </w:p>
    <w:p w:rsidR="00941B1A" w:rsidRDefault="00941B1A" w:rsidP="00A55DEF">
      <w:pPr>
        <w:spacing w:before="0" w:after="0"/>
        <w:rPr>
          <w:rFonts w:cs="Arial"/>
          <w:b/>
        </w:rPr>
      </w:pPr>
      <w:r w:rsidRPr="00CB7F51">
        <w:rPr>
          <w:rFonts w:cs="Arial"/>
          <w:b/>
        </w:rPr>
        <w:t xml:space="preserve">NKÚ prověřil </w:t>
      </w:r>
      <w:r>
        <w:rPr>
          <w:rFonts w:cs="Arial"/>
          <w:b/>
        </w:rPr>
        <w:t xml:space="preserve">oblast správy loterií a jiných podobných her, </w:t>
      </w:r>
      <w:r w:rsidRPr="00CB7F51">
        <w:rPr>
          <w:rFonts w:cs="Arial"/>
          <w:b/>
        </w:rPr>
        <w:t>p</w:t>
      </w:r>
      <w:r>
        <w:rPr>
          <w:rFonts w:cs="Arial"/>
          <w:b/>
        </w:rPr>
        <w:t>ostup finančních orgánů v souvislosti se správou příjmů a</w:t>
      </w:r>
      <w:r w:rsidRPr="00CB7F51">
        <w:rPr>
          <w:rFonts w:cs="Arial"/>
          <w:b/>
        </w:rPr>
        <w:t xml:space="preserve"> dopady </w:t>
      </w:r>
      <w:r>
        <w:rPr>
          <w:rFonts w:cs="Arial"/>
          <w:b/>
        </w:rPr>
        <w:t xml:space="preserve">loterií a jiných podobných her </w:t>
      </w:r>
      <w:r w:rsidRPr="00CB7F51">
        <w:rPr>
          <w:rFonts w:cs="Arial"/>
          <w:b/>
        </w:rPr>
        <w:t xml:space="preserve">na příjmy státního rozpočtu a konstatuje, že nejsou vytvořeny podmínky pro efektivní a účelný výkon správy odvodů a státní dozor. </w:t>
      </w:r>
    </w:p>
    <w:p w:rsidR="005F6CBD" w:rsidRDefault="005F6CBD" w:rsidP="00A55DEF">
      <w:pPr>
        <w:spacing w:before="0" w:after="0"/>
        <w:rPr>
          <w:rFonts w:cs="Arial"/>
          <w:b/>
        </w:rPr>
      </w:pPr>
    </w:p>
    <w:p w:rsidR="00941B1A" w:rsidRDefault="006A0A70" w:rsidP="00A55DEF">
      <w:pPr>
        <w:spacing w:before="0" w:after="0"/>
        <w:rPr>
          <w:rFonts w:cs="Arial"/>
          <w:b/>
        </w:rPr>
      </w:pPr>
      <w:r>
        <w:rPr>
          <w:rFonts w:cs="Arial"/>
          <w:b/>
        </w:rPr>
        <w:t xml:space="preserve">MF zejména nevytvořilo funkční systém státního dozoru a nezajistilo orgánům finanční správy podmínky nutné pro správné, úplné a včasné zjištění a vyměření odvodů. </w:t>
      </w:r>
      <w:r w:rsidR="00941B1A" w:rsidRPr="00CB7F51">
        <w:rPr>
          <w:rFonts w:cs="Arial"/>
          <w:b/>
        </w:rPr>
        <w:t xml:space="preserve">Zásadní nedostatky informačního systému ovlivňují </w:t>
      </w:r>
      <w:r w:rsidR="00941B1A">
        <w:rPr>
          <w:rFonts w:cs="Arial"/>
          <w:b/>
        </w:rPr>
        <w:t xml:space="preserve">výkon správy a </w:t>
      </w:r>
      <w:r w:rsidR="00941B1A" w:rsidRPr="00CB7F51">
        <w:rPr>
          <w:rFonts w:cs="Arial"/>
          <w:b/>
        </w:rPr>
        <w:t>kontroly celého tohoto segmentu trhu.</w:t>
      </w:r>
      <w:r>
        <w:rPr>
          <w:rFonts w:cs="Arial"/>
          <w:b/>
        </w:rPr>
        <w:t xml:space="preserve"> Dosud MF nezajistilo takovou právní a technickou úpravu, která by umožnila provozování </w:t>
      </w:r>
      <w:r w:rsidR="00B97170">
        <w:rPr>
          <w:rFonts w:cs="Arial"/>
          <w:b/>
        </w:rPr>
        <w:t>LJPH</w:t>
      </w:r>
      <w:r>
        <w:rPr>
          <w:rFonts w:cs="Arial"/>
          <w:b/>
        </w:rPr>
        <w:t xml:space="preserve"> po internetu. </w:t>
      </w:r>
    </w:p>
    <w:p w:rsidR="005F6CBD" w:rsidRPr="00CB7F51" w:rsidRDefault="005F6CBD" w:rsidP="00A55DEF">
      <w:pPr>
        <w:spacing w:before="0" w:after="0"/>
        <w:rPr>
          <w:rFonts w:cs="Arial"/>
          <w:b/>
        </w:rPr>
      </w:pPr>
    </w:p>
    <w:p w:rsidR="00941B1A" w:rsidRDefault="00941B1A" w:rsidP="00A55DEF">
      <w:pPr>
        <w:spacing w:before="0" w:after="0"/>
        <w:rPr>
          <w:rFonts w:cs="Arial"/>
          <w:b/>
        </w:rPr>
      </w:pPr>
      <w:r w:rsidRPr="00CB7F51">
        <w:rPr>
          <w:rFonts w:cs="Arial"/>
          <w:b/>
        </w:rPr>
        <w:t xml:space="preserve">V roce 2010 dosáhly </w:t>
      </w:r>
      <w:r w:rsidR="00E611FF">
        <w:rPr>
          <w:rFonts w:cs="Arial"/>
          <w:b/>
        </w:rPr>
        <w:t>příjmy</w:t>
      </w:r>
      <w:r w:rsidR="004407DF">
        <w:rPr>
          <w:rFonts w:cs="Arial"/>
          <w:b/>
        </w:rPr>
        <w:t xml:space="preserve"> z LJPH</w:t>
      </w:r>
      <w:r w:rsidRPr="00CB7F51">
        <w:rPr>
          <w:rFonts w:cs="Arial"/>
          <w:b/>
        </w:rPr>
        <w:t xml:space="preserve"> částky 5 380 mil. Kč a v roce 2011 částky 5</w:t>
      </w:r>
      <w:r w:rsidR="00DE3A14">
        <w:rPr>
          <w:rFonts w:cs="Arial"/>
          <w:b/>
        </w:rPr>
        <w:t> </w:t>
      </w:r>
      <w:r w:rsidRPr="00CB7F51">
        <w:rPr>
          <w:rFonts w:cs="Arial"/>
          <w:b/>
        </w:rPr>
        <w:t>738</w:t>
      </w:r>
      <w:r w:rsidR="00DE3A14">
        <w:rPr>
          <w:rFonts w:cs="Arial"/>
          <w:b/>
        </w:rPr>
        <w:t> </w:t>
      </w:r>
      <w:r w:rsidRPr="00CB7F51">
        <w:rPr>
          <w:rFonts w:cs="Arial"/>
          <w:b/>
        </w:rPr>
        <w:t>mil.</w:t>
      </w:r>
      <w:r w:rsidR="00DE3A14">
        <w:rPr>
          <w:rFonts w:cs="Arial"/>
          <w:b/>
        </w:rPr>
        <w:t> </w:t>
      </w:r>
      <w:r w:rsidRPr="00CB7F51">
        <w:rPr>
          <w:rFonts w:cs="Arial"/>
          <w:b/>
        </w:rPr>
        <w:t>Kč</w:t>
      </w:r>
      <w:r w:rsidR="00820AAE">
        <w:rPr>
          <w:rFonts w:cs="Arial"/>
          <w:b/>
        </w:rPr>
        <w:t>; v částkách</w:t>
      </w:r>
      <w:r w:rsidRPr="00CB7F51">
        <w:rPr>
          <w:rFonts w:cs="Arial"/>
          <w:b/>
        </w:rPr>
        <w:t xml:space="preserve"> jsou započítány i </w:t>
      </w:r>
      <w:r w:rsidR="006A0A70">
        <w:rPr>
          <w:rFonts w:cs="Arial"/>
          <w:b/>
        </w:rPr>
        <w:t xml:space="preserve">odvody </w:t>
      </w:r>
      <w:r w:rsidRPr="00CB7F51">
        <w:rPr>
          <w:rFonts w:cs="Arial"/>
          <w:b/>
        </w:rPr>
        <w:t>na veřejně prospěšné účely</w:t>
      </w:r>
      <w:r w:rsidR="00820AAE">
        <w:rPr>
          <w:rFonts w:cs="Arial"/>
          <w:b/>
        </w:rPr>
        <w:t>,</w:t>
      </w:r>
      <w:r w:rsidRPr="00CB7F51">
        <w:rPr>
          <w:rFonts w:cs="Arial"/>
          <w:b/>
        </w:rPr>
        <w:t xml:space="preserve"> </w:t>
      </w:r>
      <w:r w:rsidR="00820AAE">
        <w:rPr>
          <w:rFonts w:cs="Arial"/>
          <w:b/>
        </w:rPr>
        <w:t>n</w:t>
      </w:r>
      <w:r w:rsidRPr="00CB7F51">
        <w:rPr>
          <w:rFonts w:cs="Arial"/>
          <w:b/>
        </w:rPr>
        <w:t>aopak není započítána část správních poplatků, kter</w:t>
      </w:r>
      <w:r>
        <w:rPr>
          <w:rFonts w:cs="Arial"/>
          <w:b/>
        </w:rPr>
        <w:t>á</w:t>
      </w:r>
      <w:r w:rsidRPr="00CB7F51">
        <w:rPr>
          <w:rFonts w:cs="Arial"/>
          <w:b/>
        </w:rPr>
        <w:t xml:space="preserve"> zůstával</w:t>
      </w:r>
      <w:r>
        <w:rPr>
          <w:rFonts w:cs="Arial"/>
          <w:b/>
        </w:rPr>
        <w:t>a</w:t>
      </w:r>
      <w:r w:rsidRPr="00CB7F51">
        <w:rPr>
          <w:rFonts w:cs="Arial"/>
          <w:b/>
        </w:rPr>
        <w:t xml:space="preserve"> v rozpočtech obcí a</w:t>
      </w:r>
      <w:r w:rsidR="00DE3A14">
        <w:rPr>
          <w:rFonts w:cs="Arial"/>
          <w:b/>
        </w:rPr>
        <w:t> </w:t>
      </w:r>
      <w:r w:rsidRPr="00CB7F51">
        <w:rPr>
          <w:rFonts w:cs="Arial"/>
          <w:b/>
        </w:rPr>
        <w:t xml:space="preserve">jejichž výše není známá. </w:t>
      </w:r>
    </w:p>
    <w:p w:rsidR="005F6CBD" w:rsidRPr="00CB7F51" w:rsidRDefault="005F6CBD" w:rsidP="00A55DEF">
      <w:pPr>
        <w:spacing w:before="0" w:after="0"/>
        <w:rPr>
          <w:rFonts w:cs="Arial"/>
          <w:b/>
        </w:rPr>
      </w:pPr>
    </w:p>
    <w:p w:rsidR="00941B1A" w:rsidRDefault="00941B1A" w:rsidP="00A55DEF">
      <w:pPr>
        <w:spacing w:before="0" w:after="0"/>
        <w:rPr>
          <w:rFonts w:cs="Arial"/>
          <w:b/>
        </w:rPr>
      </w:pPr>
      <w:r w:rsidRPr="00CB7F51">
        <w:rPr>
          <w:rFonts w:cs="Arial"/>
          <w:b/>
        </w:rPr>
        <w:t>Dne 1. 1. 2012 nabyla účinnosti novela zákona o loteriích, která přinesla zvýšení odvodového a poplatkového zatížení provozovatelů o cca 5 % na celkových 22 % z</w:t>
      </w:r>
      <w:r w:rsidR="00E03993">
        <w:rPr>
          <w:rFonts w:cs="Arial"/>
          <w:b/>
        </w:rPr>
        <w:t> hrubého výnosu</w:t>
      </w:r>
      <w:r w:rsidRPr="00CB7F51">
        <w:rPr>
          <w:rFonts w:cs="Arial"/>
          <w:b/>
        </w:rPr>
        <w:t xml:space="preserve"> provozovatele, a tím i vyšší příjmy. V roce 2012 dosáhly </w:t>
      </w:r>
      <w:r w:rsidR="00DE3A14">
        <w:rPr>
          <w:rFonts w:cs="Arial"/>
          <w:b/>
        </w:rPr>
        <w:t xml:space="preserve">příjmy </w:t>
      </w:r>
      <w:r w:rsidR="00505D11">
        <w:rPr>
          <w:rFonts w:cs="Arial"/>
          <w:b/>
        </w:rPr>
        <w:t>částky 7 113 mil. </w:t>
      </w:r>
      <w:r w:rsidRPr="00CB7F51">
        <w:rPr>
          <w:rFonts w:cs="Arial"/>
          <w:b/>
        </w:rPr>
        <w:t>Kč a v roce 2013 částky 8</w:t>
      </w:r>
      <w:r w:rsidR="00505D11">
        <w:rPr>
          <w:rFonts w:cs="Arial"/>
          <w:b/>
        </w:rPr>
        <w:t> </w:t>
      </w:r>
      <w:r w:rsidRPr="00CB7F51">
        <w:rPr>
          <w:rFonts w:cs="Arial"/>
          <w:b/>
        </w:rPr>
        <w:t>320</w:t>
      </w:r>
      <w:r w:rsidR="00505D11">
        <w:rPr>
          <w:rFonts w:cs="Arial"/>
          <w:b/>
        </w:rPr>
        <w:t> mil. </w:t>
      </w:r>
      <w:r w:rsidRPr="00CB7F51">
        <w:rPr>
          <w:rFonts w:cs="Arial"/>
          <w:b/>
        </w:rPr>
        <w:t>Kč. V těchto příjmech není započítána část daně z příjmu, která se vztahuje k tomuto druhu podnikání. Na druhé straně ovšem vzrostla i administrativní náročnost celého procesu správy LJPH.</w:t>
      </w:r>
    </w:p>
    <w:p w:rsidR="005F6CBD" w:rsidRDefault="005F6CBD" w:rsidP="00A55DEF">
      <w:pPr>
        <w:spacing w:before="0" w:after="0"/>
        <w:rPr>
          <w:rFonts w:cs="Arial"/>
          <w:b/>
        </w:rPr>
      </w:pPr>
    </w:p>
    <w:p w:rsidR="00E611FF" w:rsidRDefault="00E611FF" w:rsidP="00A55DEF">
      <w:pPr>
        <w:spacing w:before="0" w:after="0"/>
        <w:rPr>
          <w:rFonts w:cs="Arial"/>
          <w:b/>
        </w:rPr>
      </w:pPr>
      <w:r>
        <w:rPr>
          <w:rFonts w:cs="Arial"/>
          <w:b/>
        </w:rPr>
        <w:lastRenderedPageBreak/>
        <w:t>Po ukončení kontroly NKÚ (předání kontrolních pro</w:t>
      </w:r>
      <w:r w:rsidR="000423F1">
        <w:rPr>
          <w:rFonts w:cs="Arial"/>
          <w:b/>
        </w:rPr>
        <w:t>tokolů a ukončení námitkového a </w:t>
      </w:r>
      <w:r>
        <w:rPr>
          <w:rFonts w:cs="Arial"/>
          <w:b/>
        </w:rPr>
        <w:t xml:space="preserve">odvolacího řízení) MF </w:t>
      </w:r>
      <w:r w:rsidR="007B6819">
        <w:rPr>
          <w:rFonts w:cs="Arial"/>
          <w:b/>
        </w:rPr>
        <w:t>na svém webu 17.</w:t>
      </w:r>
      <w:r w:rsidR="00DE3A14">
        <w:rPr>
          <w:rFonts w:cs="Arial"/>
          <w:b/>
        </w:rPr>
        <w:t xml:space="preserve"> </w:t>
      </w:r>
      <w:r w:rsidR="007B6819">
        <w:rPr>
          <w:rFonts w:cs="Arial"/>
          <w:b/>
        </w:rPr>
        <w:t>7.</w:t>
      </w:r>
      <w:r w:rsidR="00DE3A14">
        <w:rPr>
          <w:rFonts w:cs="Arial"/>
          <w:b/>
        </w:rPr>
        <w:t xml:space="preserve"> </w:t>
      </w:r>
      <w:r w:rsidR="007B6819">
        <w:rPr>
          <w:rFonts w:cs="Arial"/>
          <w:b/>
        </w:rPr>
        <w:t>2014 uveřejnilo, že z důvodu</w:t>
      </w:r>
      <w:r w:rsidR="00A03A77">
        <w:rPr>
          <w:rFonts w:cs="Arial"/>
          <w:b/>
        </w:rPr>
        <w:t xml:space="preserve"> změny metodiky </w:t>
      </w:r>
      <w:r w:rsidR="002741CF">
        <w:rPr>
          <w:rFonts w:cs="Arial"/>
          <w:b/>
        </w:rPr>
        <w:t>evidence vložených a vyplacených částek</w:t>
      </w:r>
      <w:r w:rsidR="007B6819">
        <w:rPr>
          <w:rFonts w:cs="Arial"/>
          <w:b/>
        </w:rPr>
        <w:t>, jejíž účinnost neuvedlo,</w:t>
      </w:r>
      <w:r w:rsidR="002741CF">
        <w:rPr>
          <w:rFonts w:cs="Arial"/>
          <w:b/>
        </w:rPr>
        <w:t xml:space="preserve"> </w:t>
      </w:r>
      <w:r>
        <w:rPr>
          <w:rFonts w:cs="Arial"/>
          <w:b/>
        </w:rPr>
        <w:t xml:space="preserve">zrevidovalo a </w:t>
      </w:r>
      <w:r w:rsidR="007B6819">
        <w:rPr>
          <w:rFonts w:cs="Arial"/>
          <w:b/>
        </w:rPr>
        <w:t xml:space="preserve">uvedlo </w:t>
      </w:r>
      <w:r>
        <w:rPr>
          <w:rFonts w:cs="Arial"/>
          <w:b/>
        </w:rPr>
        <w:t xml:space="preserve">nové údaje za rok 2012. Podle revidovaných údajů </w:t>
      </w:r>
      <w:r w:rsidR="00A03A77">
        <w:rPr>
          <w:rFonts w:cs="Arial"/>
          <w:b/>
        </w:rPr>
        <w:t>bylo</w:t>
      </w:r>
      <w:r>
        <w:rPr>
          <w:rFonts w:cs="Arial"/>
          <w:b/>
        </w:rPr>
        <w:t xml:space="preserve"> odvodové a poplatkové zatížení provozovatelů </w:t>
      </w:r>
      <w:r w:rsidR="00A03A77">
        <w:rPr>
          <w:rFonts w:cs="Arial"/>
          <w:b/>
        </w:rPr>
        <w:t xml:space="preserve">v roce 2012 </w:t>
      </w:r>
      <w:r>
        <w:rPr>
          <w:rFonts w:cs="Arial"/>
          <w:b/>
        </w:rPr>
        <w:t>vy</w:t>
      </w:r>
      <w:r w:rsidR="00A03A77">
        <w:rPr>
          <w:rFonts w:cs="Arial"/>
          <w:b/>
        </w:rPr>
        <w:t>šší o cca 7 % na celkových 24</w:t>
      </w:r>
      <w:r w:rsidR="00820AAE">
        <w:rPr>
          <w:rFonts w:cs="Arial"/>
          <w:b/>
        </w:rPr>
        <w:t> </w:t>
      </w:r>
      <w:r w:rsidR="00A03A77">
        <w:rPr>
          <w:rFonts w:cs="Arial"/>
          <w:b/>
        </w:rPr>
        <w:t xml:space="preserve">% </w:t>
      </w:r>
      <w:r w:rsidR="00E03993">
        <w:rPr>
          <w:rFonts w:cs="Arial"/>
          <w:b/>
        </w:rPr>
        <w:t>hrubého výnosu</w:t>
      </w:r>
      <w:r w:rsidR="00A03A77">
        <w:rPr>
          <w:rFonts w:cs="Arial"/>
          <w:b/>
        </w:rPr>
        <w:t>. Tyt</w:t>
      </w:r>
      <w:r w:rsidR="002741CF">
        <w:rPr>
          <w:rFonts w:cs="Arial"/>
          <w:b/>
        </w:rPr>
        <w:t>o údaje nemohl NKÚ ověřit. Z</w:t>
      </w:r>
      <w:r w:rsidR="00A03A77">
        <w:rPr>
          <w:rFonts w:cs="Arial"/>
          <w:b/>
        </w:rPr>
        <w:t>ásadní změna údajů dokládá nevěrohodnost výsledků činnosti MF v této oblasti.</w:t>
      </w:r>
    </w:p>
    <w:p w:rsidR="000423F1" w:rsidRDefault="000423F1" w:rsidP="00A55DEF">
      <w:pPr>
        <w:spacing w:before="0" w:after="0"/>
        <w:jc w:val="left"/>
        <w:rPr>
          <w:rFonts w:cs="Arial"/>
        </w:rPr>
      </w:pPr>
    </w:p>
    <w:p w:rsidR="00A55DEF" w:rsidRPr="00A55DEF" w:rsidRDefault="00A55DEF" w:rsidP="00A55DEF">
      <w:pPr>
        <w:spacing w:before="0" w:after="0"/>
        <w:jc w:val="left"/>
        <w:rPr>
          <w:rFonts w:cs="Arial"/>
        </w:rPr>
      </w:pPr>
    </w:p>
    <w:p w:rsidR="00941B1A" w:rsidRPr="00E524AF" w:rsidRDefault="00820AAE" w:rsidP="00A55DEF">
      <w:pPr>
        <w:spacing w:before="0" w:after="0"/>
        <w:jc w:val="center"/>
        <w:rPr>
          <w:rFonts w:cs="Arial"/>
          <w:b/>
          <w:sz w:val="24"/>
          <w:szCs w:val="24"/>
        </w:rPr>
      </w:pPr>
      <w:r>
        <w:rPr>
          <w:rFonts w:cs="Arial"/>
          <w:b/>
          <w:sz w:val="24"/>
          <w:szCs w:val="24"/>
        </w:rPr>
        <w:t xml:space="preserve">III. </w:t>
      </w:r>
      <w:r w:rsidR="00DE3A14" w:rsidRPr="00E524AF">
        <w:rPr>
          <w:rFonts w:cs="Arial"/>
          <w:b/>
          <w:sz w:val="24"/>
          <w:szCs w:val="24"/>
        </w:rPr>
        <w:t>Shrnutí skutečností zjištěných při kontrole</w:t>
      </w:r>
    </w:p>
    <w:p w:rsidR="00DE3A14" w:rsidRPr="00A55DEF" w:rsidRDefault="00DE3A14" w:rsidP="00A55DEF">
      <w:pPr>
        <w:spacing w:before="0" w:after="0"/>
        <w:rPr>
          <w:rFonts w:cs="Arial"/>
        </w:rPr>
      </w:pPr>
    </w:p>
    <w:p w:rsidR="00941B1A" w:rsidRPr="00A55DEF" w:rsidRDefault="00A55DEF" w:rsidP="00A55DEF">
      <w:pPr>
        <w:spacing w:before="0" w:after="0"/>
        <w:ind w:left="284" w:hanging="284"/>
        <w:rPr>
          <w:rFonts w:cs="Arial"/>
          <w:b/>
        </w:rPr>
      </w:pPr>
      <w:r>
        <w:rPr>
          <w:rStyle w:val="Nadpis2Char"/>
          <w:rFonts w:cs="Arial"/>
          <w:sz w:val="22"/>
          <w:szCs w:val="22"/>
        </w:rPr>
        <w:t xml:space="preserve">1. </w:t>
      </w:r>
      <w:r>
        <w:rPr>
          <w:rStyle w:val="Nadpis2Char"/>
          <w:rFonts w:cs="Arial"/>
          <w:sz w:val="22"/>
          <w:szCs w:val="22"/>
        </w:rPr>
        <w:tab/>
      </w:r>
      <w:r w:rsidR="00941B1A" w:rsidRPr="00A55DEF">
        <w:rPr>
          <w:rStyle w:val="Nadpis2Char"/>
          <w:rFonts w:cs="Arial"/>
          <w:sz w:val="22"/>
          <w:szCs w:val="22"/>
        </w:rPr>
        <w:t>Obce nemají povinnost informovat MF a orgány finanční sp</w:t>
      </w:r>
      <w:r w:rsidR="000423F1" w:rsidRPr="00A55DEF">
        <w:rPr>
          <w:rStyle w:val="Nadpis2Char"/>
          <w:rFonts w:cs="Arial"/>
          <w:sz w:val="22"/>
          <w:szCs w:val="22"/>
        </w:rPr>
        <w:t>rávy o </w:t>
      </w:r>
      <w:r w:rsidR="00941B1A" w:rsidRPr="00A55DEF">
        <w:rPr>
          <w:rStyle w:val="Nadpis2Char"/>
          <w:rFonts w:cs="Arial"/>
          <w:sz w:val="22"/>
          <w:szCs w:val="22"/>
        </w:rPr>
        <w:t>výkonu</w:t>
      </w:r>
      <w:r w:rsidR="00941B1A" w:rsidRPr="00A55DEF">
        <w:rPr>
          <w:rFonts w:cs="Arial"/>
          <w:b/>
        </w:rPr>
        <w:t xml:space="preserve"> přenesené působnosti </w:t>
      </w:r>
    </w:p>
    <w:p w:rsidR="00A55DEF" w:rsidRDefault="00A55DEF" w:rsidP="00A55DEF">
      <w:pPr>
        <w:spacing w:before="0" w:after="0"/>
        <w:rPr>
          <w:rFonts w:cs="Arial"/>
        </w:rPr>
      </w:pPr>
    </w:p>
    <w:p w:rsidR="00941B1A" w:rsidRDefault="00941B1A" w:rsidP="00A55DEF">
      <w:pPr>
        <w:spacing w:before="0" w:after="0"/>
        <w:rPr>
          <w:rFonts w:eastAsia="Times New Roman" w:cs="Arial"/>
          <w:lang w:eastAsia="ar-SA"/>
        </w:rPr>
      </w:pPr>
      <w:r w:rsidRPr="00A55DEF">
        <w:rPr>
          <w:rFonts w:cs="Arial"/>
        </w:rPr>
        <w:t xml:space="preserve">Obce vydávají v přenesené působnosti </w:t>
      </w:r>
      <w:r w:rsidR="00B97170" w:rsidRPr="00A55DEF">
        <w:rPr>
          <w:rFonts w:cs="Arial"/>
        </w:rPr>
        <w:t xml:space="preserve">ve svém </w:t>
      </w:r>
      <w:r w:rsidR="002741CF" w:rsidRPr="00A55DEF">
        <w:rPr>
          <w:rFonts w:cs="Arial"/>
        </w:rPr>
        <w:t>územním</w:t>
      </w:r>
      <w:r w:rsidR="00B97170" w:rsidRPr="00A55DEF">
        <w:rPr>
          <w:rFonts w:cs="Arial"/>
        </w:rPr>
        <w:t xml:space="preserve"> obvodu </w:t>
      </w:r>
      <w:r w:rsidRPr="00A55DEF">
        <w:rPr>
          <w:rFonts w:cs="Arial"/>
        </w:rPr>
        <w:t xml:space="preserve">povolení k provozování VHP, tombol a loterií a mají povinnost </w:t>
      </w:r>
      <w:r w:rsidR="002741CF" w:rsidRPr="00A55DEF">
        <w:rPr>
          <w:rFonts w:cs="Arial"/>
        </w:rPr>
        <w:t xml:space="preserve">u nich </w:t>
      </w:r>
      <w:r w:rsidRPr="00A55DEF">
        <w:rPr>
          <w:rFonts w:cs="Arial"/>
        </w:rPr>
        <w:t xml:space="preserve">vykonávat státní dozor. Přesto právní úprava neukládá obcím povinnost informovat o </w:t>
      </w:r>
      <w:r w:rsidR="002741CF" w:rsidRPr="00A55DEF">
        <w:rPr>
          <w:rFonts w:cs="Arial"/>
        </w:rPr>
        <w:t>vydaných</w:t>
      </w:r>
      <w:r w:rsidRPr="00A55DEF">
        <w:rPr>
          <w:rFonts w:cs="Arial"/>
        </w:rPr>
        <w:t xml:space="preserve"> rozhodnutích a výkonu státního dozoru </w:t>
      </w:r>
      <w:r w:rsidR="00B97170" w:rsidRPr="00A55DEF">
        <w:rPr>
          <w:rFonts w:cs="Arial"/>
        </w:rPr>
        <w:t>MF</w:t>
      </w:r>
      <w:r w:rsidRPr="00A55DEF">
        <w:rPr>
          <w:rFonts w:cs="Arial"/>
        </w:rPr>
        <w:t xml:space="preserve"> ani orgány finanční správy.</w:t>
      </w:r>
      <w:r w:rsidRPr="00A55DEF">
        <w:rPr>
          <w:rFonts w:eastAsia="Times New Roman" w:cs="Arial"/>
          <w:lang w:eastAsia="ar-SA"/>
        </w:rPr>
        <w:t xml:space="preserve"> MF tak nemá informace o obcemi vykonávaném státním dozoru a </w:t>
      </w:r>
      <w:r w:rsidR="00B97170" w:rsidRPr="00A55DEF">
        <w:rPr>
          <w:rFonts w:eastAsia="Times New Roman" w:cs="Arial"/>
          <w:lang w:eastAsia="ar-SA"/>
        </w:rPr>
        <w:t>FÚ</w:t>
      </w:r>
      <w:r w:rsidRPr="00A55DEF">
        <w:rPr>
          <w:rFonts w:eastAsia="Times New Roman" w:cs="Arial"/>
          <w:lang w:eastAsia="ar-SA"/>
        </w:rPr>
        <w:t xml:space="preserve"> mají omezenou možnost kontrol</w:t>
      </w:r>
      <w:r w:rsidR="00A55DEF">
        <w:rPr>
          <w:rFonts w:eastAsia="Times New Roman" w:cs="Arial"/>
          <w:lang w:eastAsia="ar-SA"/>
        </w:rPr>
        <w:t>y plnění odvodových povinností.</w:t>
      </w:r>
    </w:p>
    <w:p w:rsidR="00A55DEF" w:rsidRPr="00A55DEF" w:rsidRDefault="00A55DEF" w:rsidP="00A55DEF">
      <w:pPr>
        <w:spacing w:before="0" w:after="0"/>
        <w:rPr>
          <w:rFonts w:cs="Arial"/>
        </w:rPr>
      </w:pPr>
    </w:p>
    <w:p w:rsidR="00941B1A" w:rsidRPr="00A55DEF" w:rsidRDefault="00A55DEF" w:rsidP="00A55DEF">
      <w:pPr>
        <w:spacing w:before="0" w:after="0"/>
        <w:ind w:left="284" w:hanging="284"/>
        <w:rPr>
          <w:rFonts w:cs="Arial"/>
          <w:b/>
        </w:rPr>
      </w:pPr>
      <w:r>
        <w:rPr>
          <w:rFonts w:cs="Arial"/>
          <w:b/>
        </w:rPr>
        <w:t xml:space="preserve">2. </w:t>
      </w:r>
      <w:r>
        <w:rPr>
          <w:rFonts w:cs="Arial"/>
          <w:b/>
        </w:rPr>
        <w:tab/>
      </w:r>
      <w:r w:rsidR="00941B1A" w:rsidRPr="00A55DEF">
        <w:rPr>
          <w:rFonts w:cs="Arial"/>
          <w:b/>
        </w:rPr>
        <w:t>Právní úprava a technické standardy</w:t>
      </w:r>
      <w:r w:rsidR="00941B1A" w:rsidRPr="00A55DEF">
        <w:rPr>
          <w:rFonts w:cs="Arial"/>
          <w:b/>
          <w:color w:val="FFC000"/>
        </w:rPr>
        <w:t xml:space="preserve"> </w:t>
      </w:r>
      <w:r w:rsidR="00941B1A" w:rsidRPr="00A55DEF">
        <w:rPr>
          <w:rFonts w:cs="Arial"/>
          <w:b/>
        </w:rPr>
        <w:t>MF pro provozování LJPH v síti internet snižují příjmy státního rozpočtu</w:t>
      </w:r>
    </w:p>
    <w:p w:rsidR="00A55DEF" w:rsidRDefault="00A55DEF" w:rsidP="00A55DEF">
      <w:pPr>
        <w:spacing w:before="0" w:after="0"/>
        <w:rPr>
          <w:rFonts w:cs="Arial"/>
        </w:rPr>
      </w:pPr>
    </w:p>
    <w:p w:rsidR="00941B1A" w:rsidRDefault="00941B1A" w:rsidP="00A55DEF">
      <w:pPr>
        <w:spacing w:before="0" w:after="0"/>
        <w:rPr>
          <w:rFonts w:cs="Arial"/>
        </w:rPr>
      </w:pPr>
      <w:r w:rsidRPr="00A55DEF">
        <w:rPr>
          <w:rFonts w:cs="Arial"/>
        </w:rPr>
        <w:t xml:space="preserve">Současná právní úprava LJPH je předmětem zkoumání orgánů EU, neboť neumožňuje subjektům neusazeným v tuzemsku, subjektům se zahraniční majetkovou účastí (těm je povoleno provozovat pouze kasina) a subjektům, které nemají veškeré akcie na jméno, provozovat na území České republiky LJPH. </w:t>
      </w:r>
      <w:r w:rsidR="007E3A49" w:rsidRPr="00A55DEF">
        <w:rPr>
          <w:rFonts w:cs="Arial"/>
        </w:rPr>
        <w:t>Řada</w:t>
      </w:r>
      <w:r w:rsidR="00B97170" w:rsidRPr="00A55DEF">
        <w:rPr>
          <w:rFonts w:cs="Arial"/>
        </w:rPr>
        <w:t xml:space="preserve"> z těchto </w:t>
      </w:r>
      <w:r w:rsidR="007E3A49" w:rsidRPr="00A55DEF">
        <w:rPr>
          <w:rFonts w:cs="Arial"/>
        </w:rPr>
        <w:t xml:space="preserve">subjektů provozuje LJPH na internetu </w:t>
      </w:r>
      <w:r w:rsidRPr="00A55DEF">
        <w:rPr>
          <w:rFonts w:cs="Arial"/>
        </w:rPr>
        <w:t xml:space="preserve">bez ohledu na zákonné požadavky a technické parametry nastavené MF. Tito provozovatelé neodvádí žádné odvody a poplatky do veřejných rozpočtů a dosud </w:t>
      </w:r>
      <w:r w:rsidR="00A55DEF">
        <w:rPr>
          <w:rFonts w:cs="Arial"/>
        </w:rPr>
        <w:t>nebyli v podstatě postihováni.</w:t>
      </w:r>
    </w:p>
    <w:p w:rsidR="00A55DEF" w:rsidRPr="00A55DEF" w:rsidRDefault="00A55DEF" w:rsidP="00A55DEF">
      <w:pPr>
        <w:spacing w:before="0" w:after="0"/>
        <w:rPr>
          <w:rFonts w:cs="Arial"/>
        </w:rPr>
      </w:pPr>
    </w:p>
    <w:p w:rsidR="00941B1A" w:rsidRDefault="00941B1A" w:rsidP="00A55DEF">
      <w:pPr>
        <w:spacing w:before="0" w:after="0"/>
        <w:rPr>
          <w:rFonts w:cs="Arial"/>
        </w:rPr>
      </w:pPr>
      <w:r w:rsidRPr="00A55DEF">
        <w:rPr>
          <w:rFonts w:cs="Arial"/>
        </w:rPr>
        <w:t xml:space="preserve">Tuzemským provozovatelům toto podnikání prakticky </w:t>
      </w:r>
      <w:r w:rsidR="000423F1" w:rsidRPr="00A55DEF">
        <w:rPr>
          <w:rFonts w:cs="Arial"/>
        </w:rPr>
        <w:t>s výjimkou kursových sázek a </w:t>
      </w:r>
      <w:r w:rsidRPr="00A55DEF">
        <w:rPr>
          <w:rFonts w:cs="Arial"/>
        </w:rPr>
        <w:t xml:space="preserve">karetních her </w:t>
      </w:r>
      <w:r w:rsidR="002741CF" w:rsidRPr="00A55DEF">
        <w:rPr>
          <w:rFonts w:cs="Arial"/>
        </w:rPr>
        <w:t xml:space="preserve">znemožňují </w:t>
      </w:r>
      <w:r w:rsidRPr="00A55DEF">
        <w:rPr>
          <w:rFonts w:cs="Arial"/>
        </w:rPr>
        <w:t>technické standardy MF.</w:t>
      </w:r>
    </w:p>
    <w:p w:rsidR="00A55DEF" w:rsidRPr="00A55DEF" w:rsidRDefault="00A55DEF" w:rsidP="00A55DEF">
      <w:pPr>
        <w:spacing w:before="0" w:after="0"/>
        <w:rPr>
          <w:rFonts w:cs="Arial"/>
        </w:rPr>
      </w:pPr>
    </w:p>
    <w:p w:rsidR="00941B1A" w:rsidRPr="00A55DEF" w:rsidRDefault="00941B1A" w:rsidP="00A55DEF">
      <w:pPr>
        <w:spacing w:before="0" w:after="0"/>
        <w:rPr>
          <w:rFonts w:cs="Arial"/>
          <w:b/>
        </w:rPr>
      </w:pPr>
      <w:r w:rsidRPr="00A55DEF">
        <w:rPr>
          <w:rFonts w:cs="Arial"/>
          <w:b/>
        </w:rPr>
        <w:t>Ztráta veřejných rozpočtů v těchto případech činí podle propočtu NKÚ cca 600 mil. Kč ročně.</w:t>
      </w:r>
    </w:p>
    <w:p w:rsidR="00A55DEF" w:rsidRPr="00A55DEF" w:rsidRDefault="00A55DEF" w:rsidP="00A55DEF">
      <w:pPr>
        <w:spacing w:before="0" w:after="0"/>
        <w:rPr>
          <w:rFonts w:cs="Arial"/>
        </w:rPr>
      </w:pPr>
    </w:p>
    <w:p w:rsidR="00941B1A" w:rsidRPr="00A55DEF" w:rsidRDefault="00A55DEF" w:rsidP="00A55DEF">
      <w:pPr>
        <w:spacing w:before="0" w:after="0"/>
        <w:ind w:left="284" w:hanging="284"/>
        <w:rPr>
          <w:rFonts w:cs="Arial"/>
          <w:b/>
        </w:rPr>
      </w:pPr>
      <w:r>
        <w:rPr>
          <w:rFonts w:cs="Arial"/>
          <w:b/>
        </w:rPr>
        <w:t xml:space="preserve">3. </w:t>
      </w:r>
      <w:r>
        <w:rPr>
          <w:rFonts w:cs="Arial"/>
          <w:b/>
        </w:rPr>
        <w:tab/>
      </w:r>
      <w:r w:rsidR="00941B1A" w:rsidRPr="00A55DEF">
        <w:rPr>
          <w:rFonts w:cs="Arial"/>
          <w:b/>
        </w:rPr>
        <w:t>Povolování a zpoplatnění elektromechanických rulet není jednotné</w:t>
      </w:r>
    </w:p>
    <w:p w:rsidR="00A55DEF" w:rsidRDefault="00A55DEF" w:rsidP="00A55DEF">
      <w:pPr>
        <w:spacing w:before="0" w:after="0"/>
        <w:rPr>
          <w:rFonts w:cs="Arial"/>
        </w:rPr>
      </w:pPr>
    </w:p>
    <w:p w:rsidR="00941B1A" w:rsidRDefault="00941B1A" w:rsidP="00A55DEF">
      <w:pPr>
        <w:spacing w:before="0" w:after="0"/>
        <w:rPr>
          <w:rFonts w:cs="Arial"/>
        </w:rPr>
      </w:pPr>
      <w:r w:rsidRPr="00A55DEF">
        <w:rPr>
          <w:rFonts w:cs="Arial"/>
        </w:rPr>
        <w:t>MF do konce roku 2013 povolovalo technická zaříze</w:t>
      </w:r>
      <w:r w:rsidR="00505D11">
        <w:rPr>
          <w:rFonts w:cs="Arial"/>
        </w:rPr>
        <w:t>ní určená pro sázkové hry (tzv. </w:t>
      </w:r>
      <w:r w:rsidRPr="00A55DEF">
        <w:rPr>
          <w:rFonts w:cs="Arial"/>
        </w:rPr>
        <w:t xml:space="preserve">elektromechanické rulety) nejednotně, to znamená jednou jako zařízení podléhající odvodu 55 Kč za den/zařízení a jindy jako zařízení tomuto odvodu nepodléhající. </w:t>
      </w:r>
      <w:r w:rsidR="000423F1" w:rsidRPr="00A55DEF">
        <w:rPr>
          <w:rFonts w:cs="Arial"/>
        </w:rPr>
        <w:t>Tomu odpovídala i </w:t>
      </w:r>
      <w:r w:rsidRPr="00A55DEF">
        <w:rPr>
          <w:rFonts w:cs="Arial"/>
        </w:rPr>
        <w:t xml:space="preserve">stanovená výše </w:t>
      </w:r>
      <w:r w:rsidR="002741CF" w:rsidRPr="00A55DEF">
        <w:rPr>
          <w:rFonts w:cs="Arial"/>
        </w:rPr>
        <w:t>jistoty</w:t>
      </w:r>
      <w:r w:rsidRPr="00A55DEF">
        <w:rPr>
          <w:rFonts w:cs="Arial"/>
        </w:rPr>
        <w:t>, jednou 20 mil. Kč a jindy 50 mil. Kč.</w:t>
      </w:r>
    </w:p>
    <w:p w:rsidR="00A55DEF" w:rsidRPr="00A55DEF" w:rsidRDefault="00A55DEF" w:rsidP="00A55DEF">
      <w:pPr>
        <w:spacing w:before="0" w:after="0"/>
        <w:rPr>
          <w:rFonts w:cs="Arial"/>
        </w:rPr>
      </w:pPr>
    </w:p>
    <w:p w:rsidR="00941B1A" w:rsidRDefault="00941B1A" w:rsidP="00A55DEF">
      <w:pPr>
        <w:spacing w:before="0" w:after="0"/>
        <w:rPr>
          <w:rFonts w:cs="Arial"/>
        </w:rPr>
      </w:pPr>
      <w:r w:rsidRPr="00A55DEF">
        <w:rPr>
          <w:rFonts w:cs="Arial"/>
        </w:rPr>
        <w:t xml:space="preserve">Důsledkem je, že identická nebo téměř identická zařízení jsou zatížena rozdílnými odvodovými povinnostmi a rozdílnou výší </w:t>
      </w:r>
      <w:r w:rsidR="002741CF" w:rsidRPr="00A55DEF">
        <w:rPr>
          <w:rFonts w:cs="Arial"/>
        </w:rPr>
        <w:t>jistoty</w:t>
      </w:r>
      <w:r w:rsidR="00583AF9">
        <w:rPr>
          <w:rFonts w:cs="Arial"/>
        </w:rPr>
        <w:t>,</w:t>
      </w:r>
      <w:r w:rsidRPr="00A55DEF">
        <w:rPr>
          <w:rFonts w:cs="Arial"/>
        </w:rPr>
        <w:t xml:space="preserve"> a z toho </w:t>
      </w:r>
      <w:r w:rsidR="00583AF9">
        <w:rPr>
          <w:rFonts w:cs="Arial"/>
        </w:rPr>
        <w:t>vyplývá ztráta</w:t>
      </w:r>
      <w:r w:rsidRPr="00A55DEF">
        <w:rPr>
          <w:rFonts w:cs="Arial"/>
        </w:rPr>
        <w:t xml:space="preserve"> veřejných rozpočtů.</w:t>
      </w:r>
    </w:p>
    <w:p w:rsidR="00A55DEF" w:rsidRPr="00A55DEF" w:rsidRDefault="00A55DEF" w:rsidP="00A55DEF">
      <w:pPr>
        <w:spacing w:before="0" w:after="0"/>
        <w:rPr>
          <w:rFonts w:cs="Arial"/>
        </w:rPr>
      </w:pPr>
    </w:p>
    <w:p w:rsidR="00941B1A" w:rsidRPr="00A55DEF" w:rsidRDefault="00941B1A" w:rsidP="00A55DEF">
      <w:pPr>
        <w:spacing w:before="0" w:after="0"/>
        <w:rPr>
          <w:rFonts w:cs="Arial"/>
          <w:b/>
        </w:rPr>
      </w:pPr>
      <w:r w:rsidRPr="00A55DEF">
        <w:rPr>
          <w:rFonts w:cs="Arial"/>
          <w:b/>
        </w:rPr>
        <w:t>Na kontrolním vzorku 478 zařízení vyčíslil</w:t>
      </w:r>
      <w:r w:rsidR="00583AF9">
        <w:rPr>
          <w:rFonts w:cs="Arial"/>
          <w:b/>
        </w:rPr>
        <w:t xml:space="preserve"> </w:t>
      </w:r>
      <w:r w:rsidR="00583AF9" w:rsidRPr="00A55DEF">
        <w:rPr>
          <w:rFonts w:cs="Arial"/>
          <w:b/>
        </w:rPr>
        <w:t>NKÚ</w:t>
      </w:r>
      <w:r w:rsidRPr="00A55DEF">
        <w:rPr>
          <w:rFonts w:cs="Arial"/>
          <w:b/>
        </w:rPr>
        <w:t xml:space="preserve"> ztrátu veřejných rozpočtů ve výši </w:t>
      </w:r>
      <w:r w:rsidR="00A55DEF">
        <w:rPr>
          <w:rFonts w:cs="Arial"/>
          <w:b/>
        </w:rPr>
        <w:t>cca </w:t>
      </w:r>
      <w:r w:rsidRPr="00A55DEF">
        <w:rPr>
          <w:rFonts w:cs="Arial"/>
          <w:b/>
        </w:rPr>
        <w:t>7,6</w:t>
      </w:r>
      <w:r w:rsidR="00A55DEF">
        <w:rPr>
          <w:rFonts w:cs="Arial"/>
          <w:b/>
        </w:rPr>
        <w:t> </w:t>
      </w:r>
      <w:r w:rsidRPr="00A55DEF">
        <w:rPr>
          <w:rFonts w:cs="Arial"/>
          <w:b/>
        </w:rPr>
        <w:t>mil.</w:t>
      </w:r>
      <w:r w:rsidR="00A55DEF">
        <w:rPr>
          <w:rFonts w:cs="Arial"/>
          <w:b/>
        </w:rPr>
        <w:t> </w:t>
      </w:r>
      <w:r w:rsidRPr="00A55DEF">
        <w:rPr>
          <w:rFonts w:cs="Arial"/>
          <w:b/>
        </w:rPr>
        <w:t xml:space="preserve">Kč. </w:t>
      </w:r>
    </w:p>
    <w:p w:rsidR="00A55DEF" w:rsidRPr="00A55DEF" w:rsidRDefault="00A55DEF" w:rsidP="00A55DEF">
      <w:pPr>
        <w:spacing w:before="0" w:after="0"/>
        <w:rPr>
          <w:rFonts w:cs="Arial"/>
        </w:rPr>
      </w:pPr>
    </w:p>
    <w:p w:rsidR="00941B1A" w:rsidRPr="00A55DEF" w:rsidRDefault="00A55DEF" w:rsidP="00A55DEF">
      <w:pPr>
        <w:spacing w:before="0" w:after="0"/>
        <w:ind w:left="284" w:hanging="284"/>
        <w:rPr>
          <w:rFonts w:eastAsia="Times New Roman" w:cs="Arial"/>
          <w:b/>
          <w:lang w:eastAsia="ar-SA"/>
        </w:rPr>
      </w:pPr>
      <w:r>
        <w:rPr>
          <w:rFonts w:eastAsia="Times New Roman" w:cs="Arial"/>
          <w:b/>
          <w:lang w:eastAsia="ar-SA"/>
        </w:rPr>
        <w:t>4.</w:t>
      </w:r>
      <w:r>
        <w:rPr>
          <w:rFonts w:eastAsia="Times New Roman" w:cs="Arial"/>
          <w:b/>
          <w:lang w:eastAsia="ar-SA"/>
        </w:rPr>
        <w:tab/>
      </w:r>
      <w:r w:rsidR="00941B1A" w:rsidRPr="00A55DEF">
        <w:rPr>
          <w:rFonts w:eastAsia="Times New Roman" w:cs="Arial"/>
          <w:b/>
          <w:lang w:eastAsia="ar-SA"/>
        </w:rPr>
        <w:t>Státní dozor byl neúčinný, neefektivní, nevyužíval všechna zákonná oprávnění a</w:t>
      </w:r>
      <w:r w:rsidR="00244877">
        <w:rPr>
          <w:rFonts w:eastAsia="Times New Roman" w:cs="Arial"/>
          <w:b/>
          <w:lang w:eastAsia="ar-SA"/>
        </w:rPr>
        <w:t> </w:t>
      </w:r>
      <w:r w:rsidR="00941B1A" w:rsidRPr="00A55DEF">
        <w:rPr>
          <w:rFonts w:eastAsia="Times New Roman" w:cs="Arial"/>
          <w:b/>
          <w:lang w:eastAsia="ar-SA"/>
        </w:rPr>
        <w:t>nezabýval se kontrolou finančních toků</w:t>
      </w:r>
    </w:p>
    <w:p w:rsidR="00A55DEF" w:rsidRDefault="00A55DEF" w:rsidP="00A55DEF">
      <w:pPr>
        <w:spacing w:before="0" w:after="0"/>
        <w:rPr>
          <w:rFonts w:cs="Arial"/>
        </w:rPr>
      </w:pPr>
    </w:p>
    <w:p w:rsidR="00941B1A" w:rsidRDefault="00941B1A" w:rsidP="00A55DEF">
      <w:pPr>
        <w:spacing w:before="0" w:after="0"/>
        <w:rPr>
          <w:rFonts w:cs="Arial"/>
        </w:rPr>
      </w:pPr>
      <w:r w:rsidRPr="00A55DEF">
        <w:rPr>
          <w:rFonts w:cs="Arial"/>
        </w:rPr>
        <w:t>NKÚ nezjistil ani jeden případ, kdy by MF na základě zjištění státního dozoru zrušilo povolení provozovatelům, kteří opakovaně porušili právní předpis n</w:t>
      </w:r>
      <w:r w:rsidR="000423F1" w:rsidRPr="00A55DEF">
        <w:rPr>
          <w:rFonts w:cs="Arial"/>
        </w:rPr>
        <w:t xml:space="preserve">ebo podmínky povolení, ačkoli </w:t>
      </w:r>
      <w:r w:rsidR="000423F1" w:rsidRPr="00A55DEF">
        <w:rPr>
          <w:rFonts w:cs="Arial"/>
        </w:rPr>
        <w:lastRenderedPageBreak/>
        <w:t>u </w:t>
      </w:r>
      <w:r w:rsidRPr="00A55DEF">
        <w:rPr>
          <w:rFonts w:cs="Arial"/>
        </w:rPr>
        <w:t xml:space="preserve">deseti provozovatelů bylo zjištěno </w:t>
      </w:r>
      <w:r w:rsidR="004407DF" w:rsidRPr="00A55DEF">
        <w:rPr>
          <w:rFonts w:cs="Arial"/>
        </w:rPr>
        <w:t xml:space="preserve">takové </w:t>
      </w:r>
      <w:r w:rsidRPr="00A55DEF">
        <w:rPr>
          <w:rFonts w:cs="Arial"/>
        </w:rPr>
        <w:t>porušení více než padesátkrát a u tří provozovatelů dokonce více než stokrát.</w:t>
      </w:r>
    </w:p>
    <w:p w:rsidR="00A55DEF" w:rsidRPr="00A55DEF" w:rsidRDefault="00A55DEF" w:rsidP="00A55DEF">
      <w:pPr>
        <w:spacing w:before="0" w:after="0"/>
        <w:rPr>
          <w:rFonts w:cs="Arial"/>
        </w:rPr>
      </w:pPr>
    </w:p>
    <w:p w:rsidR="00941B1A" w:rsidRDefault="002741CF" w:rsidP="00A55DEF">
      <w:pPr>
        <w:spacing w:before="0" w:after="0"/>
        <w:rPr>
          <w:rFonts w:cs="Arial"/>
        </w:rPr>
      </w:pPr>
      <w:r w:rsidRPr="00A55DEF">
        <w:rPr>
          <w:rFonts w:cs="Arial"/>
        </w:rPr>
        <w:t>MF a FÚ c</w:t>
      </w:r>
      <w:r w:rsidR="00941B1A" w:rsidRPr="00A55DEF">
        <w:rPr>
          <w:rFonts w:cs="Arial"/>
        </w:rPr>
        <w:t>hybí informace o státní</w:t>
      </w:r>
      <w:r w:rsidRPr="00A55DEF">
        <w:rPr>
          <w:rFonts w:cs="Arial"/>
        </w:rPr>
        <w:t>m</w:t>
      </w:r>
      <w:r w:rsidR="00941B1A" w:rsidRPr="00A55DEF">
        <w:rPr>
          <w:rFonts w:cs="Arial"/>
        </w:rPr>
        <w:t xml:space="preserve"> dozoru </w:t>
      </w:r>
      <w:r w:rsidRPr="00A55DEF">
        <w:rPr>
          <w:rFonts w:cs="Arial"/>
        </w:rPr>
        <w:t xml:space="preserve">vykonávaném </w:t>
      </w:r>
      <w:r w:rsidR="00941B1A" w:rsidRPr="00A55DEF">
        <w:rPr>
          <w:rFonts w:cs="Arial"/>
        </w:rPr>
        <w:t>obcemi</w:t>
      </w:r>
      <w:r w:rsidRPr="00A55DEF">
        <w:rPr>
          <w:rFonts w:cs="Arial"/>
        </w:rPr>
        <w:t>. FÚ</w:t>
      </w:r>
      <w:r w:rsidR="00941B1A" w:rsidRPr="00A55DEF">
        <w:rPr>
          <w:rFonts w:cs="Arial"/>
        </w:rPr>
        <w:t xml:space="preserve"> vykonávají státní dozor u VHP povolených obcemi</w:t>
      </w:r>
      <w:r w:rsidR="00583AF9">
        <w:rPr>
          <w:rFonts w:cs="Arial"/>
        </w:rPr>
        <w:t>,</w:t>
      </w:r>
      <w:r w:rsidR="00941B1A" w:rsidRPr="00A55DEF">
        <w:rPr>
          <w:rFonts w:cs="Arial"/>
        </w:rPr>
        <w:t xml:space="preserve"> </w:t>
      </w:r>
      <w:r w:rsidR="004407DF" w:rsidRPr="00A55DEF">
        <w:rPr>
          <w:rFonts w:cs="Arial"/>
        </w:rPr>
        <w:t xml:space="preserve">pouze </w:t>
      </w:r>
      <w:r w:rsidR="007E3A49" w:rsidRPr="00A55DEF">
        <w:rPr>
          <w:rFonts w:cs="Arial"/>
        </w:rPr>
        <w:t xml:space="preserve">pokud obdrží podnět nebo je </w:t>
      </w:r>
      <w:r w:rsidR="00941B1A" w:rsidRPr="00A55DEF">
        <w:rPr>
          <w:rFonts w:cs="Arial"/>
        </w:rPr>
        <w:t>takové zařízení umístěné v provozovně společně se zařízeními povolenými MF.</w:t>
      </w:r>
    </w:p>
    <w:p w:rsidR="00A55DEF" w:rsidRPr="00A55DEF" w:rsidRDefault="00A55DEF" w:rsidP="00A55DEF">
      <w:pPr>
        <w:spacing w:before="0" w:after="0"/>
        <w:rPr>
          <w:rFonts w:cs="Arial"/>
        </w:rPr>
      </w:pPr>
    </w:p>
    <w:p w:rsidR="00941B1A" w:rsidRDefault="00941B1A" w:rsidP="00A55DEF">
      <w:pPr>
        <w:spacing w:before="0" w:after="0"/>
        <w:rPr>
          <w:rFonts w:cs="Arial"/>
        </w:rPr>
      </w:pPr>
      <w:r w:rsidRPr="00A55DEF">
        <w:rPr>
          <w:rFonts w:cs="Arial"/>
        </w:rPr>
        <w:t xml:space="preserve">MF nevyužilo zmocnění zákona o loteriích a nestanovilo jednotný technický standard provozovaných technických </w:t>
      </w:r>
      <w:r w:rsidR="002741CF" w:rsidRPr="00A55DEF">
        <w:rPr>
          <w:rFonts w:cs="Arial"/>
        </w:rPr>
        <w:t xml:space="preserve">herních </w:t>
      </w:r>
      <w:r w:rsidRPr="00A55DEF">
        <w:rPr>
          <w:rFonts w:cs="Arial"/>
        </w:rPr>
        <w:t xml:space="preserve">zařízení a systémů zejména pokud jde o přístup státního dozoru do dat </w:t>
      </w:r>
      <w:r w:rsidR="002741CF" w:rsidRPr="00A55DEF">
        <w:rPr>
          <w:rFonts w:cs="Arial"/>
        </w:rPr>
        <w:t xml:space="preserve">(tzv. vzdálený přístup) </w:t>
      </w:r>
      <w:r w:rsidRPr="00A55DEF">
        <w:rPr>
          <w:rFonts w:cs="Arial"/>
        </w:rPr>
        <w:t>za účelem evidence a kontroly finančních toků. Tento druh kontroly GFŘ a SFÚ systematicky začal nastavovat až od roku 2013.</w:t>
      </w:r>
    </w:p>
    <w:p w:rsidR="00A55DEF" w:rsidRPr="00A55DEF" w:rsidRDefault="00A55DEF" w:rsidP="00A55DEF">
      <w:pPr>
        <w:spacing w:before="0" w:after="0"/>
        <w:rPr>
          <w:rFonts w:cs="Arial"/>
        </w:rPr>
      </w:pPr>
    </w:p>
    <w:p w:rsidR="00941B1A" w:rsidRPr="00A55DEF" w:rsidRDefault="00941B1A" w:rsidP="00A55DEF">
      <w:pPr>
        <w:spacing w:before="0" w:after="0"/>
        <w:rPr>
          <w:rFonts w:cs="Arial"/>
        </w:rPr>
      </w:pPr>
      <w:r w:rsidRPr="00A55DEF">
        <w:rPr>
          <w:rFonts w:cs="Arial"/>
        </w:rPr>
        <w:t xml:space="preserve">U VHP a živých her následnou kontrolou podle daňového řádu již nelze správnost </w:t>
      </w:r>
      <w:r w:rsidR="007E3A49" w:rsidRPr="00A55DEF">
        <w:rPr>
          <w:rFonts w:cs="Arial"/>
        </w:rPr>
        <w:t>základu pro vyměření odvodu</w:t>
      </w:r>
      <w:r w:rsidR="007E3A49" w:rsidRPr="00A55DEF">
        <w:rPr>
          <w:rFonts w:cs="Arial"/>
          <w:color w:val="FF0000"/>
        </w:rPr>
        <w:t xml:space="preserve"> </w:t>
      </w:r>
      <w:r w:rsidRPr="00A55DEF">
        <w:rPr>
          <w:rFonts w:cs="Arial"/>
        </w:rPr>
        <w:t>ověřit.</w:t>
      </w:r>
    </w:p>
    <w:p w:rsidR="00A55DEF" w:rsidRDefault="00A55DEF" w:rsidP="00A55DEF">
      <w:pPr>
        <w:spacing w:before="0" w:after="0"/>
        <w:rPr>
          <w:rFonts w:cs="Arial"/>
        </w:rPr>
      </w:pPr>
    </w:p>
    <w:p w:rsidR="00941B1A" w:rsidRPr="00A55DEF" w:rsidRDefault="00A55DEF" w:rsidP="00A55DEF">
      <w:pPr>
        <w:spacing w:before="0" w:after="0"/>
        <w:ind w:left="284" w:hanging="284"/>
        <w:rPr>
          <w:rFonts w:cs="Arial"/>
          <w:b/>
        </w:rPr>
      </w:pPr>
      <w:r w:rsidRPr="00A55DEF">
        <w:rPr>
          <w:rFonts w:cs="Arial"/>
          <w:b/>
        </w:rPr>
        <w:t xml:space="preserve">5. </w:t>
      </w:r>
      <w:r w:rsidRPr="00A55DEF">
        <w:rPr>
          <w:rFonts w:cs="Arial"/>
          <w:b/>
        </w:rPr>
        <w:tab/>
      </w:r>
      <w:r w:rsidR="00941B1A" w:rsidRPr="00A55DEF">
        <w:rPr>
          <w:rFonts w:cs="Arial"/>
          <w:b/>
        </w:rPr>
        <w:t xml:space="preserve">Nedostatečné informace pro správné vyměření odvodů a jejich rozdělení </w:t>
      </w:r>
    </w:p>
    <w:p w:rsidR="00A55DEF" w:rsidRDefault="00A55DEF" w:rsidP="00A55DEF">
      <w:pPr>
        <w:spacing w:before="0" w:after="0"/>
        <w:rPr>
          <w:rFonts w:cs="Arial"/>
        </w:rPr>
      </w:pPr>
    </w:p>
    <w:p w:rsidR="00941B1A" w:rsidRDefault="00941B1A" w:rsidP="00A55DEF">
      <w:pPr>
        <w:spacing w:before="0" w:after="0"/>
        <w:rPr>
          <w:rFonts w:cs="Arial"/>
        </w:rPr>
      </w:pPr>
      <w:r w:rsidRPr="00A55DEF">
        <w:rPr>
          <w:rFonts w:cs="Arial"/>
        </w:rPr>
        <w:t xml:space="preserve">Správu odvodů vykonávají finanční úřady, kterým chybí věrohodné, úplné a využitelné údaje pro kontrolu a správné zjištění a stanovení odvodu. </w:t>
      </w:r>
    </w:p>
    <w:p w:rsidR="00A55DEF" w:rsidRPr="00A55DEF" w:rsidRDefault="00A55DEF" w:rsidP="00A55DEF">
      <w:pPr>
        <w:spacing w:before="0" w:after="0"/>
        <w:rPr>
          <w:rFonts w:cs="Arial"/>
        </w:rPr>
      </w:pPr>
    </w:p>
    <w:p w:rsidR="00941B1A" w:rsidRDefault="00941B1A" w:rsidP="00A55DEF">
      <w:pPr>
        <w:spacing w:before="0" w:after="0"/>
        <w:rPr>
          <w:rFonts w:eastAsia="Times New Roman" w:cs="Arial"/>
          <w:lang w:eastAsia="ar-SA"/>
        </w:rPr>
      </w:pPr>
      <w:r w:rsidRPr="00A55DEF">
        <w:rPr>
          <w:rFonts w:cs="Arial"/>
        </w:rPr>
        <w:t xml:space="preserve">Na kontrolním vzorku za roky 2012 a 2013 NKÚ zjistil </w:t>
      </w:r>
      <w:r w:rsidRPr="00A55DEF">
        <w:rPr>
          <w:rFonts w:eastAsia="Times New Roman" w:cs="Arial"/>
          <w:lang w:eastAsia="ar-SA"/>
        </w:rPr>
        <w:t>značné rozdíly mezi počtem VHP a jiných technických herních zařízení (dále také „JTHZ“) a počtem dní povoleného provozu proti údajům uvedeným provozovateli v odvodových přiznáních. Tato skutečnost má dopad na správnost vyměřeného odvodu.</w:t>
      </w:r>
    </w:p>
    <w:p w:rsidR="00A55DEF" w:rsidRPr="00A55DEF" w:rsidRDefault="00A55DEF" w:rsidP="00A55DEF">
      <w:pPr>
        <w:spacing w:before="0" w:after="0"/>
        <w:rPr>
          <w:rFonts w:eastAsia="Times New Roman" w:cs="Arial"/>
          <w:lang w:eastAsia="ar-SA"/>
        </w:rPr>
      </w:pPr>
    </w:p>
    <w:p w:rsidR="00941B1A" w:rsidRPr="00A55DEF" w:rsidRDefault="00941B1A" w:rsidP="00A55DEF">
      <w:pPr>
        <w:spacing w:before="0" w:after="0"/>
        <w:rPr>
          <w:rFonts w:eastAsia="Times New Roman" w:cs="Arial"/>
          <w:b/>
          <w:lang w:eastAsia="ar-SA"/>
        </w:rPr>
      </w:pPr>
      <w:r w:rsidRPr="00A55DEF">
        <w:rPr>
          <w:rFonts w:eastAsia="Times New Roman" w:cs="Arial"/>
          <w:b/>
          <w:lang w:eastAsia="ar-SA"/>
        </w:rPr>
        <w:t xml:space="preserve">NKÚ </w:t>
      </w:r>
      <w:r w:rsidR="00DD56DC" w:rsidRPr="00A55DEF">
        <w:rPr>
          <w:rFonts w:eastAsia="Times New Roman" w:cs="Arial"/>
          <w:b/>
          <w:lang w:eastAsia="ar-SA"/>
        </w:rPr>
        <w:t xml:space="preserve">na FÚ </w:t>
      </w:r>
      <w:r w:rsidRPr="00A55DEF">
        <w:rPr>
          <w:rFonts w:eastAsia="Times New Roman" w:cs="Arial"/>
          <w:b/>
          <w:lang w:eastAsia="ar-SA"/>
        </w:rPr>
        <w:t xml:space="preserve">u kontrolního vzorku </w:t>
      </w:r>
      <w:r w:rsidR="00DD56DC" w:rsidRPr="00A55DEF">
        <w:rPr>
          <w:rFonts w:eastAsia="Times New Roman" w:cs="Arial"/>
          <w:b/>
          <w:lang w:eastAsia="ar-SA"/>
        </w:rPr>
        <w:t xml:space="preserve">74 odvodových přiznání zjistil </w:t>
      </w:r>
      <w:r w:rsidR="00DC36DF" w:rsidRPr="00A55DEF">
        <w:rPr>
          <w:rFonts w:eastAsia="Times New Roman" w:cs="Arial"/>
          <w:b/>
          <w:lang w:eastAsia="ar-SA"/>
        </w:rPr>
        <w:t>rozdíly mezi údaji o povolených VHP a JTHZ a údaji v odvodových přiznáních</w:t>
      </w:r>
      <w:r w:rsidRPr="00A55DEF">
        <w:rPr>
          <w:rFonts w:eastAsia="Times New Roman" w:cs="Arial"/>
          <w:b/>
          <w:lang w:eastAsia="ar-SA"/>
        </w:rPr>
        <w:t xml:space="preserve"> ve výši 67,9 mil. Kč.</w:t>
      </w:r>
    </w:p>
    <w:p w:rsidR="00A55DEF" w:rsidRPr="00A55DEF" w:rsidRDefault="00A55DEF" w:rsidP="00A55DEF">
      <w:pPr>
        <w:spacing w:before="0" w:after="0"/>
        <w:rPr>
          <w:rFonts w:eastAsia="Times New Roman" w:cs="Arial"/>
          <w:lang w:eastAsia="ar-SA"/>
        </w:rPr>
      </w:pPr>
    </w:p>
    <w:p w:rsidR="00941B1A" w:rsidRPr="00A55DEF" w:rsidRDefault="00A55DEF" w:rsidP="00A55DEF">
      <w:pPr>
        <w:spacing w:before="0" w:after="0"/>
        <w:ind w:left="284" w:hanging="284"/>
        <w:rPr>
          <w:rFonts w:eastAsia="Times New Roman" w:cs="Arial"/>
          <w:b/>
          <w:lang w:eastAsia="ar-SA"/>
        </w:rPr>
      </w:pPr>
      <w:r>
        <w:rPr>
          <w:rFonts w:eastAsia="Times New Roman" w:cs="Arial"/>
          <w:b/>
          <w:lang w:eastAsia="ar-SA"/>
        </w:rPr>
        <w:t xml:space="preserve">6. </w:t>
      </w:r>
      <w:r>
        <w:rPr>
          <w:rFonts w:eastAsia="Times New Roman" w:cs="Arial"/>
          <w:b/>
          <w:lang w:eastAsia="ar-SA"/>
        </w:rPr>
        <w:tab/>
      </w:r>
      <w:r w:rsidR="00941B1A" w:rsidRPr="00A55DEF">
        <w:rPr>
          <w:rFonts w:eastAsia="Times New Roman" w:cs="Arial"/>
          <w:b/>
          <w:lang w:eastAsia="ar-SA"/>
        </w:rPr>
        <w:t>Převod příslušenství odvodu v rozporu se zákonem</w:t>
      </w:r>
    </w:p>
    <w:p w:rsidR="00A55DEF" w:rsidRDefault="00A55DEF" w:rsidP="00A55DEF">
      <w:pPr>
        <w:spacing w:before="0" w:after="0"/>
        <w:rPr>
          <w:rFonts w:cs="Arial"/>
        </w:rPr>
      </w:pPr>
    </w:p>
    <w:p w:rsidR="00941B1A" w:rsidRDefault="00941B1A" w:rsidP="00A55DEF">
      <w:pPr>
        <w:spacing w:before="0" w:after="0"/>
        <w:rPr>
          <w:rFonts w:cs="Arial"/>
        </w:rPr>
      </w:pPr>
      <w:r w:rsidRPr="00A55DEF">
        <w:rPr>
          <w:rFonts w:cs="Arial"/>
        </w:rPr>
        <w:t>Předpis úroků z prodlení, pokuty za opožděné tvrzení daně, penále a úrok z posečkané částky (dále také „příslušenství“) na odvodech z LJPH</w:t>
      </w:r>
      <w:r w:rsidR="00505D11">
        <w:rPr>
          <w:rFonts w:cs="Arial"/>
        </w:rPr>
        <w:t xml:space="preserve"> u kontrolovaných FÚ činil 12,7 mil </w:t>
      </w:r>
      <w:r w:rsidRPr="00A55DEF">
        <w:rPr>
          <w:rFonts w:cs="Arial"/>
        </w:rPr>
        <w:t>Kč, z toho podle zjištění NKÚ převedly FÚ obcím a státu</w:t>
      </w:r>
      <w:r w:rsidRPr="00A55DEF">
        <w:rPr>
          <w:rFonts w:cs="Arial"/>
          <w:color w:val="FF0000"/>
        </w:rPr>
        <w:t xml:space="preserve"> </w:t>
      </w:r>
      <w:r w:rsidRPr="00A55DEF">
        <w:rPr>
          <w:rFonts w:cs="Arial"/>
        </w:rPr>
        <w:t>7,</w:t>
      </w:r>
      <w:r w:rsidR="00C306CA">
        <w:rPr>
          <w:rFonts w:cs="Arial"/>
        </w:rPr>
        <w:t>4 mil. Kč v rozporu se zákonem.</w:t>
      </w:r>
    </w:p>
    <w:p w:rsidR="00C306CA" w:rsidRPr="00A55DEF" w:rsidRDefault="00C306CA" w:rsidP="00A55DEF">
      <w:pPr>
        <w:spacing w:before="0" w:after="0"/>
        <w:rPr>
          <w:rFonts w:cs="Arial"/>
        </w:rPr>
      </w:pPr>
    </w:p>
    <w:p w:rsidR="00941B1A" w:rsidRPr="00C306CA" w:rsidRDefault="00C306CA" w:rsidP="00C306CA">
      <w:pPr>
        <w:spacing w:before="0" w:after="0"/>
        <w:ind w:left="284" w:hanging="284"/>
        <w:rPr>
          <w:rFonts w:cs="Arial"/>
          <w:b/>
        </w:rPr>
      </w:pPr>
      <w:r>
        <w:rPr>
          <w:rFonts w:cs="Arial"/>
          <w:b/>
        </w:rPr>
        <w:t xml:space="preserve">7. </w:t>
      </w:r>
      <w:r>
        <w:rPr>
          <w:rFonts w:cs="Arial"/>
          <w:b/>
        </w:rPr>
        <w:tab/>
      </w:r>
      <w:r w:rsidR="00941B1A" w:rsidRPr="00C306CA">
        <w:rPr>
          <w:rFonts w:cs="Arial"/>
          <w:b/>
        </w:rPr>
        <w:t xml:space="preserve">Data v informačním systému pro podporu činností dle zákona o loteriích jsou neprůkazná </w:t>
      </w:r>
    </w:p>
    <w:p w:rsidR="00C306CA" w:rsidRPr="00A55DEF" w:rsidRDefault="00C306CA" w:rsidP="00A55DEF">
      <w:pPr>
        <w:spacing w:before="0" w:after="0"/>
        <w:rPr>
          <w:rFonts w:cs="Arial"/>
        </w:rPr>
      </w:pPr>
    </w:p>
    <w:p w:rsidR="00941B1A" w:rsidRDefault="00941B1A" w:rsidP="00A55DEF">
      <w:pPr>
        <w:spacing w:before="0" w:after="0"/>
        <w:rPr>
          <w:rFonts w:cs="Arial"/>
        </w:rPr>
      </w:pPr>
      <w:r w:rsidRPr="00A55DEF">
        <w:rPr>
          <w:rFonts w:cs="Arial"/>
        </w:rPr>
        <w:t xml:space="preserve">Přestože MF za IS SDSL vynaložilo celkem 28,89 mil. Kč, nepodává orgánům státního dozoru dostatečný podklad pro výkon kontroly a ani správcům daně pro ověření odvodových povinností. Obsahuje nesprávné a neúplné údaje a je uživatelsky nepříznivý. </w:t>
      </w:r>
    </w:p>
    <w:p w:rsidR="00A55DEF" w:rsidRPr="00A55DEF" w:rsidRDefault="00A55DEF" w:rsidP="00A55DEF">
      <w:pPr>
        <w:spacing w:before="0" w:after="0"/>
        <w:rPr>
          <w:rFonts w:cs="Arial"/>
        </w:rPr>
      </w:pPr>
    </w:p>
    <w:p w:rsidR="00941B1A" w:rsidRPr="00C306CA" w:rsidRDefault="00C306CA" w:rsidP="00C306CA">
      <w:pPr>
        <w:spacing w:before="0" w:after="0"/>
        <w:ind w:left="284" w:hanging="284"/>
        <w:rPr>
          <w:rFonts w:cs="Arial"/>
          <w:b/>
        </w:rPr>
      </w:pPr>
      <w:r>
        <w:rPr>
          <w:rFonts w:cs="Arial"/>
          <w:b/>
        </w:rPr>
        <w:t xml:space="preserve">8. </w:t>
      </w:r>
      <w:r>
        <w:rPr>
          <w:rFonts w:cs="Arial"/>
          <w:b/>
        </w:rPr>
        <w:tab/>
      </w:r>
      <w:r w:rsidR="00941B1A" w:rsidRPr="00C306CA">
        <w:rPr>
          <w:rFonts w:cs="Arial"/>
          <w:b/>
        </w:rPr>
        <w:t xml:space="preserve">Nehospodárné výdaje </w:t>
      </w:r>
    </w:p>
    <w:p w:rsidR="00A55DEF" w:rsidRDefault="00A55DEF" w:rsidP="00A55DEF">
      <w:pPr>
        <w:spacing w:before="0" w:after="0"/>
        <w:rPr>
          <w:rFonts w:cs="Arial"/>
        </w:rPr>
      </w:pPr>
    </w:p>
    <w:p w:rsidR="00941B1A" w:rsidRDefault="00941B1A" w:rsidP="00A55DEF">
      <w:pPr>
        <w:spacing w:before="0" w:after="0"/>
        <w:rPr>
          <w:rFonts w:cs="Arial"/>
        </w:rPr>
      </w:pPr>
      <w:r w:rsidRPr="00A55DEF">
        <w:rPr>
          <w:rFonts w:cs="Arial"/>
        </w:rPr>
        <w:t>MF nehospodárně vynaložilo nejméně 3,9</w:t>
      </w:r>
      <w:r w:rsidR="00505D11">
        <w:rPr>
          <w:rFonts w:cs="Arial"/>
        </w:rPr>
        <w:t> </w:t>
      </w:r>
      <w:r w:rsidRPr="00A55DEF">
        <w:rPr>
          <w:rFonts w:cs="Arial"/>
        </w:rPr>
        <w:t>mil.</w:t>
      </w:r>
      <w:r w:rsidR="00505D11">
        <w:rPr>
          <w:rFonts w:cs="Arial"/>
        </w:rPr>
        <w:t> </w:t>
      </w:r>
      <w:r w:rsidRPr="00A55DEF">
        <w:rPr>
          <w:rFonts w:cs="Arial"/>
        </w:rPr>
        <w:t>Kč na zpracování studií, analýz a poradenskou činnost externích dodavatelů, přestože je garantem pro tvorbu a implementaci zákona o loteriích a disponuje dostatečně o</w:t>
      </w:r>
      <w:r w:rsidR="00A55DEF">
        <w:rPr>
          <w:rFonts w:cs="Arial"/>
        </w:rPr>
        <w:t>dborně způsobilými zaměstnanci.</w:t>
      </w:r>
    </w:p>
    <w:p w:rsidR="00A55DEF" w:rsidRDefault="00A55DEF" w:rsidP="00A55DEF">
      <w:pPr>
        <w:spacing w:before="0" w:after="0"/>
        <w:rPr>
          <w:rFonts w:cs="Arial"/>
        </w:rPr>
      </w:pPr>
    </w:p>
    <w:p w:rsidR="00A55DEF" w:rsidRPr="00A55DEF" w:rsidRDefault="00A55DEF" w:rsidP="00A55DEF">
      <w:pPr>
        <w:spacing w:before="0" w:after="0"/>
        <w:rPr>
          <w:rFonts w:cs="Arial"/>
        </w:rPr>
      </w:pPr>
    </w:p>
    <w:p w:rsidR="00941B1A" w:rsidRPr="00C306CA" w:rsidRDefault="00583AF9" w:rsidP="00C306CA">
      <w:pPr>
        <w:spacing w:before="0" w:after="0"/>
        <w:jc w:val="center"/>
        <w:rPr>
          <w:b/>
          <w:sz w:val="24"/>
          <w:szCs w:val="24"/>
        </w:rPr>
      </w:pPr>
      <w:r>
        <w:rPr>
          <w:b/>
          <w:sz w:val="24"/>
          <w:szCs w:val="24"/>
        </w:rPr>
        <w:t xml:space="preserve">IV. </w:t>
      </w:r>
      <w:r w:rsidR="004407DF" w:rsidRPr="00C306CA">
        <w:rPr>
          <w:b/>
          <w:sz w:val="24"/>
          <w:szCs w:val="24"/>
        </w:rPr>
        <w:t>Podrobné informace</w:t>
      </w:r>
      <w:r w:rsidR="00941B1A" w:rsidRPr="00C306CA">
        <w:rPr>
          <w:b/>
          <w:sz w:val="24"/>
          <w:szCs w:val="24"/>
        </w:rPr>
        <w:t xml:space="preserve"> ke </w:t>
      </w:r>
      <w:r w:rsidR="00DE3A14" w:rsidRPr="00C306CA">
        <w:rPr>
          <w:b/>
          <w:sz w:val="24"/>
          <w:szCs w:val="24"/>
        </w:rPr>
        <w:t>skutečnostem zjištěným při kontrole</w:t>
      </w:r>
    </w:p>
    <w:p w:rsidR="00DE3A14" w:rsidRPr="00DE3A14" w:rsidRDefault="00DE3A14" w:rsidP="00C306CA">
      <w:pPr>
        <w:spacing w:before="0" w:after="0"/>
      </w:pPr>
    </w:p>
    <w:p w:rsidR="00941B1A" w:rsidRPr="00C306CA" w:rsidRDefault="00C306CA" w:rsidP="00C306CA">
      <w:pPr>
        <w:spacing w:before="0" w:after="0"/>
        <w:rPr>
          <w:b/>
        </w:rPr>
      </w:pPr>
      <w:bookmarkStart w:id="0" w:name="_MON_1464687366"/>
      <w:bookmarkStart w:id="1" w:name="_MON_1464687487"/>
      <w:bookmarkStart w:id="2" w:name="_MON_1464687632"/>
      <w:bookmarkEnd w:id="0"/>
      <w:bookmarkEnd w:id="1"/>
      <w:bookmarkEnd w:id="2"/>
      <w:r>
        <w:rPr>
          <w:b/>
        </w:rPr>
        <w:t xml:space="preserve">1. </w:t>
      </w:r>
      <w:r w:rsidR="00941B1A" w:rsidRPr="00C306CA">
        <w:rPr>
          <w:b/>
        </w:rPr>
        <w:t>Rozdělení pravomocí mezi stát a územní samosprávu</w:t>
      </w:r>
    </w:p>
    <w:p w:rsidR="00C306CA" w:rsidRDefault="00C306CA" w:rsidP="00C306CA">
      <w:pPr>
        <w:spacing w:before="0" w:after="0"/>
        <w:rPr>
          <w:rFonts w:eastAsia="Times New Roman"/>
        </w:rPr>
      </w:pPr>
    </w:p>
    <w:p w:rsidR="00941B1A" w:rsidRDefault="00583AF9" w:rsidP="00C306CA">
      <w:pPr>
        <w:spacing w:before="0" w:after="0"/>
        <w:rPr>
          <w:rFonts w:eastAsia="Times New Roman"/>
        </w:rPr>
      </w:pPr>
      <w:r>
        <w:rPr>
          <w:rFonts w:eastAsia="Times New Roman"/>
        </w:rPr>
        <w:t>P</w:t>
      </w:r>
      <w:r w:rsidR="00941B1A">
        <w:rPr>
          <w:rFonts w:eastAsia="Times New Roman"/>
        </w:rPr>
        <w:t xml:space="preserve">ři vydávání povolení je </w:t>
      </w:r>
      <w:r>
        <w:rPr>
          <w:rFonts w:eastAsia="Times New Roman"/>
        </w:rPr>
        <w:t xml:space="preserve">MF </w:t>
      </w:r>
      <w:r w:rsidR="00941B1A">
        <w:rPr>
          <w:rFonts w:eastAsia="Times New Roman"/>
        </w:rPr>
        <w:t xml:space="preserve">povinno respektovat obecně závaznou vyhlášku obce regulující místo a čas provozování </w:t>
      </w:r>
      <w:r w:rsidR="00DD56DC">
        <w:rPr>
          <w:rFonts w:eastAsia="Times New Roman"/>
        </w:rPr>
        <w:t xml:space="preserve">většiny </w:t>
      </w:r>
      <w:r w:rsidR="00941B1A">
        <w:rPr>
          <w:rFonts w:eastAsia="Times New Roman"/>
        </w:rPr>
        <w:t xml:space="preserve">LJPH na území obce. </w:t>
      </w:r>
      <w:r>
        <w:rPr>
          <w:rFonts w:eastAsia="Times New Roman"/>
        </w:rPr>
        <w:t>P</w:t>
      </w:r>
      <w:r w:rsidR="000423F1">
        <w:rPr>
          <w:rFonts w:eastAsia="Times New Roman"/>
        </w:rPr>
        <w:t>ři vydávání rozhodnutí o </w:t>
      </w:r>
      <w:r w:rsidR="00941B1A" w:rsidRPr="00EE4C9E">
        <w:rPr>
          <w:rFonts w:eastAsia="Times New Roman"/>
        </w:rPr>
        <w:t xml:space="preserve">povolení </w:t>
      </w:r>
      <w:r w:rsidR="00DD56DC">
        <w:rPr>
          <w:rFonts w:eastAsia="Times New Roman"/>
        </w:rPr>
        <w:lastRenderedPageBreak/>
        <w:t>k</w:t>
      </w:r>
      <w:r w:rsidR="00605433">
        <w:rPr>
          <w:rFonts w:eastAsia="Times New Roman"/>
        </w:rPr>
        <w:t> </w:t>
      </w:r>
      <w:r w:rsidR="00941B1A" w:rsidRPr="00EE4C9E">
        <w:rPr>
          <w:rFonts w:eastAsia="Times New Roman"/>
        </w:rPr>
        <w:t xml:space="preserve">provozování LJPH nebo jeho změně </w:t>
      </w:r>
      <w:r w:rsidR="00941B1A">
        <w:rPr>
          <w:rFonts w:eastAsia="Times New Roman"/>
        </w:rPr>
        <w:t xml:space="preserve">je </w:t>
      </w:r>
      <w:r>
        <w:rPr>
          <w:rFonts w:eastAsia="Times New Roman"/>
        </w:rPr>
        <w:t xml:space="preserve">MF </w:t>
      </w:r>
      <w:r w:rsidR="00941B1A">
        <w:rPr>
          <w:rFonts w:eastAsia="Times New Roman"/>
        </w:rPr>
        <w:t xml:space="preserve">povinno </w:t>
      </w:r>
      <w:r w:rsidR="00941B1A" w:rsidRPr="00EE4C9E">
        <w:rPr>
          <w:rFonts w:eastAsia="Times New Roman"/>
        </w:rPr>
        <w:t>kontrol</w:t>
      </w:r>
      <w:r w:rsidR="00941B1A">
        <w:rPr>
          <w:rFonts w:eastAsia="Times New Roman"/>
        </w:rPr>
        <w:t>ovat</w:t>
      </w:r>
      <w:r w:rsidR="00941B1A" w:rsidRPr="00EE4C9E">
        <w:rPr>
          <w:rFonts w:eastAsia="Times New Roman"/>
        </w:rPr>
        <w:t xml:space="preserve"> ve vlastní databázi, zda je </w:t>
      </w:r>
      <w:r w:rsidR="00941B1A">
        <w:rPr>
          <w:rFonts w:eastAsia="Times New Roman"/>
        </w:rPr>
        <w:t xml:space="preserve">povolení </w:t>
      </w:r>
      <w:r w:rsidR="00DD56DC">
        <w:rPr>
          <w:rFonts w:eastAsia="Times New Roman"/>
        </w:rPr>
        <w:t>k</w:t>
      </w:r>
      <w:r w:rsidR="00605433">
        <w:rPr>
          <w:rFonts w:eastAsia="Times New Roman"/>
        </w:rPr>
        <w:t> </w:t>
      </w:r>
      <w:r w:rsidR="00941B1A" w:rsidRPr="00EE4C9E">
        <w:rPr>
          <w:rFonts w:eastAsia="Times New Roman"/>
        </w:rPr>
        <w:t xml:space="preserve">provozování v souladu s obecně závaznou vyhláškou místně příslušné obce. </w:t>
      </w:r>
    </w:p>
    <w:p w:rsidR="00C306CA" w:rsidRDefault="00C306CA" w:rsidP="00C306CA">
      <w:pPr>
        <w:spacing w:before="0" w:after="0"/>
        <w:rPr>
          <w:rFonts w:eastAsia="Times New Roman"/>
        </w:rPr>
      </w:pPr>
    </w:p>
    <w:p w:rsidR="00941B1A" w:rsidRDefault="00941B1A" w:rsidP="00C306CA">
      <w:pPr>
        <w:spacing w:before="0" w:after="0"/>
        <w:rPr>
          <w:rFonts w:eastAsia="Times New Roman"/>
        </w:rPr>
      </w:pPr>
      <w:r w:rsidRPr="00EE4C9E">
        <w:rPr>
          <w:rFonts w:eastAsia="Times New Roman"/>
        </w:rPr>
        <w:t>Povinností MF je zrušit z moci úřední v</w:t>
      </w:r>
      <w:r>
        <w:rPr>
          <w:rFonts w:eastAsia="Times New Roman"/>
        </w:rPr>
        <w:t>šechna povolení, která jsou v rozporu s vyhláškami obcí</w:t>
      </w:r>
      <w:r w:rsidR="00583AF9">
        <w:rPr>
          <w:rFonts w:eastAsia="Times New Roman"/>
        </w:rPr>
        <w:t>,</w:t>
      </w:r>
      <w:r>
        <w:rPr>
          <w:rFonts w:eastAsia="Times New Roman"/>
        </w:rPr>
        <w:t xml:space="preserve"> a to kdy</w:t>
      </w:r>
      <w:r w:rsidRPr="003958EC">
        <w:rPr>
          <w:rFonts w:eastAsia="Times New Roman"/>
        </w:rPr>
        <w:t xml:space="preserve">koliv </w:t>
      </w:r>
      <w:r>
        <w:rPr>
          <w:rFonts w:eastAsia="Times New Roman"/>
        </w:rPr>
        <w:t xml:space="preserve">i </w:t>
      </w:r>
      <w:r w:rsidRPr="003958EC">
        <w:rPr>
          <w:rFonts w:eastAsia="Times New Roman"/>
        </w:rPr>
        <w:t xml:space="preserve">v době platnosti </w:t>
      </w:r>
      <w:r>
        <w:rPr>
          <w:rFonts w:eastAsia="Times New Roman"/>
        </w:rPr>
        <w:t xml:space="preserve">vydaného </w:t>
      </w:r>
      <w:r w:rsidRPr="003958EC">
        <w:rPr>
          <w:rFonts w:eastAsia="Times New Roman"/>
        </w:rPr>
        <w:t>povolení MF</w:t>
      </w:r>
      <w:r w:rsidRPr="00114E6E">
        <w:rPr>
          <w:rFonts w:eastAsia="Times New Roman"/>
        </w:rPr>
        <w:t>. MF uvedlo, že k dubnu 201</w:t>
      </w:r>
      <w:r>
        <w:rPr>
          <w:rFonts w:eastAsia="Times New Roman"/>
        </w:rPr>
        <w:t>3</w:t>
      </w:r>
      <w:r w:rsidRPr="00114E6E">
        <w:rPr>
          <w:rFonts w:eastAsia="Times New Roman"/>
        </w:rPr>
        <w:t xml:space="preserve"> muse</w:t>
      </w:r>
      <w:r>
        <w:rPr>
          <w:rFonts w:eastAsia="Times New Roman"/>
        </w:rPr>
        <w:t xml:space="preserve">lo </w:t>
      </w:r>
      <w:r w:rsidR="000423F1">
        <w:rPr>
          <w:rFonts w:eastAsia="Times New Roman"/>
        </w:rPr>
        <w:t>z toho</w:t>
      </w:r>
      <w:r>
        <w:rPr>
          <w:rFonts w:eastAsia="Times New Roman"/>
        </w:rPr>
        <w:t xml:space="preserve"> důvodu</w:t>
      </w:r>
      <w:r w:rsidRPr="00114E6E">
        <w:rPr>
          <w:rFonts w:eastAsia="Times New Roman"/>
        </w:rPr>
        <w:t xml:space="preserve"> zahájit cca 6 000 správních řízení o</w:t>
      </w:r>
      <w:r>
        <w:rPr>
          <w:rFonts w:eastAsia="Times New Roman"/>
        </w:rPr>
        <w:t xml:space="preserve"> zrušení povolení (19 000 VHP a </w:t>
      </w:r>
      <w:r w:rsidRPr="00114E6E">
        <w:rPr>
          <w:rFonts w:eastAsia="Times New Roman"/>
        </w:rPr>
        <w:t>JTHZ)</w:t>
      </w:r>
      <w:r>
        <w:rPr>
          <w:rFonts w:eastAsia="Times New Roman"/>
        </w:rPr>
        <w:t>.</w:t>
      </w:r>
      <w:r w:rsidRPr="00114E6E">
        <w:rPr>
          <w:rFonts w:eastAsia="Times New Roman"/>
        </w:rPr>
        <w:t xml:space="preserve"> Při ru</w:t>
      </w:r>
      <w:r>
        <w:rPr>
          <w:rFonts w:eastAsia="Times New Roman"/>
        </w:rPr>
        <w:t xml:space="preserve">šení a změně povolení se postupuje podle správního řádu. </w:t>
      </w:r>
      <w:r w:rsidRPr="003958EC">
        <w:rPr>
          <w:rFonts w:eastAsia="Times New Roman"/>
        </w:rPr>
        <w:t>Státu tak narůstají</w:t>
      </w:r>
      <w:r w:rsidRPr="00D0108D">
        <w:rPr>
          <w:rFonts w:eastAsia="Times New Roman"/>
        </w:rPr>
        <w:t xml:space="preserve"> </w:t>
      </w:r>
      <w:r w:rsidRPr="003958EC">
        <w:rPr>
          <w:rFonts w:eastAsia="Times New Roman"/>
        </w:rPr>
        <w:t>náklady</w:t>
      </w:r>
      <w:r w:rsidR="00583AF9">
        <w:rPr>
          <w:rFonts w:eastAsia="Times New Roman"/>
        </w:rPr>
        <w:t xml:space="preserve"> </w:t>
      </w:r>
      <w:r w:rsidR="00583AF9" w:rsidRPr="003958EC">
        <w:rPr>
          <w:rFonts w:eastAsia="Times New Roman"/>
        </w:rPr>
        <w:t>na výkon správní agendy</w:t>
      </w:r>
      <w:r w:rsidRPr="003958EC">
        <w:rPr>
          <w:rFonts w:eastAsia="Times New Roman"/>
        </w:rPr>
        <w:t xml:space="preserve">, </w:t>
      </w:r>
      <w:r>
        <w:rPr>
          <w:rFonts w:eastAsia="Times New Roman"/>
        </w:rPr>
        <w:t>na kterých</w:t>
      </w:r>
      <w:r w:rsidRPr="003958EC">
        <w:rPr>
          <w:rFonts w:eastAsia="Times New Roman"/>
        </w:rPr>
        <w:t xml:space="preserve"> obce neparticipují. </w:t>
      </w:r>
    </w:p>
    <w:p w:rsidR="00C306CA" w:rsidRDefault="00C306CA" w:rsidP="00C306CA">
      <w:pPr>
        <w:spacing w:before="0" w:after="0"/>
        <w:rPr>
          <w:rFonts w:eastAsia="Times New Roman"/>
        </w:rPr>
      </w:pPr>
    </w:p>
    <w:p w:rsidR="00941B1A" w:rsidRDefault="00941B1A" w:rsidP="00C306CA">
      <w:pPr>
        <w:spacing w:before="0" w:after="0"/>
        <w:rPr>
          <w:rFonts w:eastAsia="Times New Roman"/>
        </w:rPr>
      </w:pPr>
      <w:r w:rsidRPr="00EE4C9E">
        <w:rPr>
          <w:rFonts w:eastAsia="Times New Roman"/>
        </w:rPr>
        <w:t xml:space="preserve">V kontrolovaném období bylo </w:t>
      </w:r>
      <w:r w:rsidR="00583AF9" w:rsidRPr="00EE4C9E">
        <w:rPr>
          <w:rFonts w:eastAsia="Times New Roman"/>
        </w:rPr>
        <w:t>podáno celkem 434 rozkladů</w:t>
      </w:r>
      <w:r w:rsidR="00583AF9">
        <w:rPr>
          <w:rFonts w:eastAsia="Times New Roman"/>
        </w:rPr>
        <w:t xml:space="preserve"> </w:t>
      </w:r>
      <w:r w:rsidRPr="00EE4C9E">
        <w:rPr>
          <w:rFonts w:eastAsia="Times New Roman"/>
        </w:rPr>
        <w:t>proti rozhodnutím MF, která rušila platná povolení. K </w:t>
      </w:r>
      <w:r>
        <w:rPr>
          <w:rFonts w:eastAsia="Times New Roman"/>
        </w:rPr>
        <w:t>31. 12. </w:t>
      </w:r>
      <w:r w:rsidRPr="00EE4C9E">
        <w:rPr>
          <w:rFonts w:eastAsia="Times New Roman"/>
        </w:rPr>
        <w:t>2013 MF evidova</w:t>
      </w:r>
      <w:r>
        <w:rPr>
          <w:rFonts w:eastAsia="Times New Roman"/>
        </w:rPr>
        <w:t xml:space="preserve">lo 31 soudních sporů vedených </w:t>
      </w:r>
      <w:r w:rsidRPr="00EE4C9E">
        <w:rPr>
          <w:rFonts w:eastAsia="Times New Roman"/>
        </w:rPr>
        <w:t xml:space="preserve">provozovateli </w:t>
      </w:r>
      <w:r>
        <w:rPr>
          <w:rFonts w:eastAsia="Times New Roman"/>
        </w:rPr>
        <w:t>ve věci</w:t>
      </w:r>
      <w:r w:rsidRPr="00EE4C9E">
        <w:rPr>
          <w:rFonts w:eastAsia="Times New Roman"/>
        </w:rPr>
        <w:t xml:space="preserve"> </w:t>
      </w:r>
      <w:r w:rsidR="00DD56DC">
        <w:rPr>
          <w:rFonts w:eastAsia="Times New Roman"/>
        </w:rPr>
        <w:t xml:space="preserve">zrušených povolení. </w:t>
      </w:r>
      <w:r w:rsidRPr="003958EC">
        <w:rPr>
          <w:rFonts w:eastAsia="Times New Roman"/>
        </w:rPr>
        <w:t xml:space="preserve"> </w:t>
      </w:r>
    </w:p>
    <w:p w:rsidR="00C306CA" w:rsidRDefault="00C306CA" w:rsidP="00C306CA">
      <w:pPr>
        <w:spacing w:before="0" w:after="0"/>
        <w:rPr>
          <w:rFonts w:eastAsia="Times New Roman"/>
        </w:rPr>
      </w:pPr>
    </w:p>
    <w:p w:rsidR="00941B1A" w:rsidRDefault="00941B1A" w:rsidP="00C306CA">
      <w:pPr>
        <w:spacing w:before="0" w:after="0"/>
      </w:pPr>
      <w:r>
        <w:t xml:space="preserve">Podle právní úpravy účinné do 31. 12. 2011 měly obce povinnost finančním orgánům zasílat kopie jimi vydaných rozhodnutí o povolení k provozování VHP. </w:t>
      </w:r>
      <w:r w:rsidR="00DD56DC">
        <w:t>V souvislosti s</w:t>
      </w:r>
      <w:r>
        <w:t> účinností novely zákona o loteriích (od 1. 1. 2012) byla tato povinnost zrušena. Orgány finanční správy a MF tento nedostatek řešily vytvořením systému spočí</w:t>
      </w:r>
      <w:r w:rsidR="00D05615">
        <w:t>vajícím v předávání informací o </w:t>
      </w:r>
      <w:r>
        <w:t xml:space="preserve">povolených VHP, avšak až po skončení odvodového období. NKÚ zjistil, že </w:t>
      </w:r>
      <w:r w:rsidR="00D22070">
        <w:t>FÚ</w:t>
      </w:r>
      <w:r>
        <w:t xml:space="preserve"> byly tyto informace v některých případech předány až po vyměření odvodu, a že jsou zatíženy výraznou chybovostí. </w:t>
      </w:r>
    </w:p>
    <w:p w:rsidR="00C306CA" w:rsidRDefault="00C306CA" w:rsidP="00C306CA">
      <w:pPr>
        <w:spacing w:before="0" w:after="0"/>
      </w:pPr>
    </w:p>
    <w:p w:rsidR="00941B1A" w:rsidRDefault="00941B1A" w:rsidP="00C306CA">
      <w:pPr>
        <w:spacing w:before="0" w:after="0"/>
      </w:pPr>
      <w:r>
        <w:t xml:space="preserve">Dále NKÚ zjistil, že využití těchto informací je komplikované a </w:t>
      </w:r>
      <w:r w:rsidR="004F284F">
        <w:t>při správě</w:t>
      </w:r>
      <w:r>
        <w:t xml:space="preserve"> </w:t>
      </w:r>
      <w:r w:rsidR="00D22070">
        <w:t>odvodu</w:t>
      </w:r>
      <w:r>
        <w:t xml:space="preserve"> může sloužit pouze pro hrubou orientaci o obcemi povolených VHP. Tím, že jsou tyto informace předávány až po skončení kalendářního roku, ve kterém byly VHP provozovány, nelze je ani využít pro účely státního dozoru. </w:t>
      </w:r>
    </w:p>
    <w:p w:rsidR="00C306CA" w:rsidRDefault="00C306CA" w:rsidP="00C306CA">
      <w:pPr>
        <w:spacing w:before="0" w:after="0"/>
      </w:pPr>
    </w:p>
    <w:p w:rsidR="00941B1A" w:rsidRDefault="00941B1A" w:rsidP="00C306CA">
      <w:pPr>
        <w:spacing w:before="0" w:after="0"/>
      </w:pPr>
      <w:r w:rsidRPr="003F597E">
        <w:t xml:space="preserve">NKÚ také porovnal zahraniční praxi při dozoru v oblasti hazardu a zjistil, že např. ve Velké Británii </w:t>
      </w:r>
      <w:r w:rsidR="004F284F" w:rsidRPr="003F597E">
        <w:t xml:space="preserve">byl </w:t>
      </w:r>
      <w:r w:rsidRPr="003F597E">
        <w:t>již v období let 1998</w:t>
      </w:r>
      <w:r w:rsidR="00D05615">
        <w:t>–</w:t>
      </w:r>
      <w:r w:rsidRPr="003F597E">
        <w:t xml:space="preserve">2004 vytvořen systém výměny informací o veškerých vydaných licencích ve prospěch Britského ředitelství cel a daní. </w:t>
      </w:r>
    </w:p>
    <w:p w:rsidR="00C306CA" w:rsidRPr="003F597E" w:rsidRDefault="00C306CA" w:rsidP="00C306CA">
      <w:pPr>
        <w:spacing w:before="0" w:after="0"/>
      </w:pPr>
    </w:p>
    <w:p w:rsidR="00941B1A" w:rsidRDefault="00941B1A" w:rsidP="00C306CA">
      <w:pPr>
        <w:spacing w:before="0" w:after="0"/>
      </w:pPr>
      <w:r w:rsidRPr="003F597E">
        <w:t>Vydá</w:t>
      </w:r>
      <w:r>
        <w:t>vání povolení k provozování VHP</w:t>
      </w:r>
      <w:r w:rsidRPr="003F597E">
        <w:t xml:space="preserve"> je výkonem státní správy, přesto právní úprava </w:t>
      </w:r>
      <w:r>
        <w:t xml:space="preserve">vhodně </w:t>
      </w:r>
      <w:r w:rsidRPr="003F597E">
        <w:t xml:space="preserve">neřeší předávání informací orgánům </w:t>
      </w:r>
      <w:r>
        <w:t>státního dozoru ani orgánům finanční správy.</w:t>
      </w:r>
    </w:p>
    <w:p w:rsidR="00C306CA" w:rsidRPr="005B16AD" w:rsidRDefault="00C306CA" w:rsidP="00C306CA">
      <w:pPr>
        <w:spacing w:before="0" w:after="0"/>
      </w:pPr>
    </w:p>
    <w:p w:rsidR="00941B1A" w:rsidRPr="00C306CA" w:rsidRDefault="00C306CA" w:rsidP="00C306CA">
      <w:pPr>
        <w:spacing w:before="0" w:after="0"/>
        <w:rPr>
          <w:b/>
        </w:rPr>
      </w:pPr>
      <w:r>
        <w:rPr>
          <w:b/>
        </w:rPr>
        <w:t xml:space="preserve">2. </w:t>
      </w:r>
      <w:r w:rsidR="00941B1A" w:rsidRPr="00C306CA">
        <w:rPr>
          <w:b/>
        </w:rPr>
        <w:t>Právní úprava a technické standardy MF pro provozování LJPH v síti internet</w:t>
      </w:r>
    </w:p>
    <w:p w:rsidR="00C306CA" w:rsidRDefault="00C306CA" w:rsidP="00C306CA">
      <w:pPr>
        <w:spacing w:before="0" w:after="0"/>
        <w:rPr>
          <w:rFonts w:cs="Arial"/>
        </w:rPr>
      </w:pPr>
    </w:p>
    <w:p w:rsidR="00B9754B" w:rsidRPr="00C306CA" w:rsidRDefault="00B9754B" w:rsidP="00C306CA">
      <w:pPr>
        <w:spacing w:before="0" w:after="0"/>
        <w:rPr>
          <w:rFonts w:cs="Arial"/>
          <w:color w:val="000000" w:themeColor="text1"/>
        </w:rPr>
      </w:pPr>
      <w:r w:rsidRPr="00C306CA">
        <w:rPr>
          <w:rFonts w:cs="Arial"/>
          <w:color w:val="000000" w:themeColor="text1"/>
        </w:rPr>
        <w:t xml:space="preserve">Potřeba právní úpravy </w:t>
      </w:r>
      <w:r w:rsidR="00DD56DC" w:rsidRPr="00C306CA">
        <w:rPr>
          <w:rFonts w:cs="Arial"/>
          <w:color w:val="000000" w:themeColor="text1"/>
        </w:rPr>
        <w:t xml:space="preserve">pro </w:t>
      </w:r>
      <w:r w:rsidRPr="00C306CA">
        <w:rPr>
          <w:rFonts w:cs="Arial"/>
          <w:color w:val="000000" w:themeColor="text1"/>
        </w:rPr>
        <w:t>provozování LJPH po veřejné síti internet v ČR již byla zřejmá od r</w:t>
      </w:r>
      <w:r w:rsidR="004F284F">
        <w:rPr>
          <w:rFonts w:cs="Arial"/>
          <w:color w:val="000000" w:themeColor="text1"/>
        </w:rPr>
        <w:t>oku</w:t>
      </w:r>
      <w:r w:rsidRPr="00C306CA">
        <w:rPr>
          <w:rFonts w:cs="Arial"/>
          <w:color w:val="000000" w:themeColor="text1"/>
        </w:rPr>
        <w:t xml:space="preserve"> 2003, kdy MF obdrželo jednu z prvních žádostí od provozovatelů. </w:t>
      </w:r>
      <w:r w:rsidR="00DD56DC" w:rsidRPr="00C306CA">
        <w:rPr>
          <w:rFonts w:cs="Arial"/>
          <w:color w:val="000000" w:themeColor="text1"/>
        </w:rPr>
        <w:t>P</w:t>
      </w:r>
      <w:r w:rsidRPr="00C306CA">
        <w:rPr>
          <w:rFonts w:cs="Arial"/>
          <w:color w:val="000000" w:themeColor="text1"/>
        </w:rPr>
        <w:t xml:space="preserve">rovozování sázkových her prostřednictvím veřejné sítě internet na území ČR </w:t>
      </w:r>
      <w:r w:rsidR="00DD56DC" w:rsidRPr="00C306CA">
        <w:rPr>
          <w:rFonts w:cs="Arial"/>
          <w:color w:val="000000" w:themeColor="text1"/>
        </w:rPr>
        <w:t xml:space="preserve">bylo </w:t>
      </w:r>
      <w:r w:rsidRPr="00C306CA">
        <w:rPr>
          <w:rFonts w:cs="Arial"/>
          <w:color w:val="000000" w:themeColor="text1"/>
        </w:rPr>
        <w:t xml:space="preserve">upraveno </w:t>
      </w:r>
      <w:r w:rsidR="00D05615" w:rsidRPr="00C306CA">
        <w:rPr>
          <w:rFonts w:cs="Arial"/>
          <w:color w:val="000000" w:themeColor="text1"/>
        </w:rPr>
        <w:t>novelou zákona o </w:t>
      </w:r>
      <w:r w:rsidR="00DD56DC" w:rsidRPr="00C306CA">
        <w:rPr>
          <w:rFonts w:cs="Arial"/>
          <w:color w:val="000000" w:themeColor="text1"/>
        </w:rPr>
        <w:t>loteriích účinnou</w:t>
      </w:r>
      <w:r w:rsidRPr="00C306CA">
        <w:rPr>
          <w:rFonts w:cs="Arial"/>
          <w:color w:val="000000" w:themeColor="text1"/>
        </w:rPr>
        <w:t xml:space="preserve"> od 1. 1. 2012. Technické podmínky upravilo MF standardem až na konci roku 2012 (č. j.: MF-121975/2012/34 ze dne 27. 12. 2012). Do konce roku 2013 povolilo </w:t>
      </w:r>
      <w:r w:rsidR="00505D11" w:rsidRPr="00C306CA">
        <w:rPr>
          <w:rFonts w:cs="Arial"/>
          <w:color w:val="000000" w:themeColor="text1"/>
        </w:rPr>
        <w:t xml:space="preserve">MF </w:t>
      </w:r>
      <w:r w:rsidRPr="00C306CA">
        <w:rPr>
          <w:rFonts w:cs="Arial"/>
          <w:color w:val="000000" w:themeColor="text1"/>
        </w:rPr>
        <w:t xml:space="preserve">pouze provozování internetových kurzových sázek a internetových karetních her. Ostatní druhy LJPH po veřejné síti internet MF nepovolilo. Kontrolující NKÚ zjistili, že provozování LJPH prostřednictvím veřejné sítě internet je omezováno především požadavky MF na technické zajištění jejich provozu. </w:t>
      </w:r>
    </w:p>
    <w:p w:rsidR="00C306CA" w:rsidRPr="00C306CA" w:rsidRDefault="00C306CA" w:rsidP="00C306CA">
      <w:pPr>
        <w:spacing w:before="0" w:after="0"/>
        <w:rPr>
          <w:rFonts w:cs="Arial"/>
          <w:color w:val="000000" w:themeColor="text1"/>
        </w:rPr>
      </w:pPr>
    </w:p>
    <w:p w:rsidR="00B9754B" w:rsidRPr="00C306CA" w:rsidRDefault="00941B1A" w:rsidP="00C306CA">
      <w:pPr>
        <w:spacing w:before="0" w:after="0"/>
        <w:rPr>
          <w:rFonts w:cs="Arial"/>
          <w:color w:val="000000" w:themeColor="text1"/>
        </w:rPr>
      </w:pPr>
      <w:r w:rsidRPr="00C306CA">
        <w:rPr>
          <w:rFonts w:cs="Arial"/>
          <w:color w:val="000000" w:themeColor="text1"/>
        </w:rPr>
        <w:t xml:space="preserve">Zákon o loteriích podle ustanovení § 4 odst. 4 a 6 neumožňuje provozování LJPH osobě, která nemá sídlo v ČR, osobě se zahraniční majetkovou účastí (výjimkou jsou kasina) a akciové společnosti, která nemá veškeré akcie na jméno. Právě v podmínce sídla provozovatele a omezování přeshraniční nabídky provozování hazardních her může spočívat </w:t>
      </w:r>
      <w:r w:rsidR="004F284F">
        <w:rPr>
          <w:rFonts w:cs="Arial"/>
          <w:color w:val="000000" w:themeColor="text1"/>
        </w:rPr>
        <w:t>rozpor mezi zákonem o loteriích a právem EU. ČR byla v </w:t>
      </w:r>
      <w:r w:rsidRPr="00C306CA">
        <w:rPr>
          <w:rFonts w:cs="Arial"/>
          <w:color w:val="000000" w:themeColor="text1"/>
        </w:rPr>
        <w:t xml:space="preserve">roce 2011 vyzvána k upřesnění sídla provozovatele v rámci novely zákona o loteriích, ale k tomu nedošlo. S ohledem na značné riziko neslučitelnosti zákona s právem EU nebyl zákaz provozovat LJPH </w:t>
      </w:r>
      <w:r w:rsidR="007821A0" w:rsidRPr="00C306CA">
        <w:rPr>
          <w:rFonts w:cs="Arial"/>
          <w:color w:val="000000" w:themeColor="text1"/>
        </w:rPr>
        <w:t>po internetu u </w:t>
      </w:r>
      <w:r w:rsidR="00B9754B" w:rsidRPr="00C306CA">
        <w:rPr>
          <w:rFonts w:cs="Arial"/>
          <w:color w:val="000000" w:themeColor="text1"/>
        </w:rPr>
        <w:t>těchto osob aktivně vymáhán, ačkoliv řada z nich nelegální hry po internetu provozuje</w:t>
      </w:r>
      <w:r w:rsidR="007821A0" w:rsidRPr="00C306CA">
        <w:rPr>
          <w:rFonts w:cs="Arial"/>
          <w:color w:val="000000" w:themeColor="text1"/>
        </w:rPr>
        <w:t xml:space="preserve"> a </w:t>
      </w:r>
      <w:r w:rsidR="001F57E8" w:rsidRPr="00C306CA">
        <w:rPr>
          <w:rFonts w:cs="Arial"/>
          <w:color w:val="000000" w:themeColor="text1"/>
        </w:rPr>
        <w:t>neodvádí žádné odvody a poplatky do veřejných rozpočtů ČR</w:t>
      </w:r>
      <w:r w:rsidR="00B9754B" w:rsidRPr="00C306CA">
        <w:rPr>
          <w:rFonts w:cs="Arial"/>
          <w:color w:val="000000" w:themeColor="text1"/>
        </w:rPr>
        <w:t>.</w:t>
      </w:r>
    </w:p>
    <w:p w:rsidR="00C306CA" w:rsidRPr="00C306CA" w:rsidRDefault="00C306CA" w:rsidP="00C306CA">
      <w:pPr>
        <w:spacing w:before="0" w:after="0"/>
        <w:rPr>
          <w:rFonts w:cs="Arial"/>
          <w:color w:val="000000" w:themeColor="text1"/>
        </w:rPr>
      </w:pPr>
    </w:p>
    <w:p w:rsidR="00941B1A" w:rsidRPr="00C306CA" w:rsidRDefault="00941B1A" w:rsidP="00C306CA">
      <w:pPr>
        <w:spacing w:before="0" w:after="0"/>
        <w:rPr>
          <w:rFonts w:cs="Arial"/>
          <w:color w:val="000000" w:themeColor="text1"/>
        </w:rPr>
      </w:pPr>
      <w:r w:rsidRPr="00C306CA">
        <w:rPr>
          <w:rFonts w:cs="Arial"/>
          <w:color w:val="000000" w:themeColor="text1"/>
        </w:rPr>
        <w:lastRenderedPageBreak/>
        <w:t>Vymáhání a kontrolu zákazu provozování nepovolených LJPH v síti internet a účasti na nich omezují nedostatečn</w:t>
      </w:r>
      <w:r w:rsidR="004407DF" w:rsidRPr="00C306CA">
        <w:rPr>
          <w:rFonts w:cs="Arial"/>
          <w:color w:val="000000" w:themeColor="text1"/>
        </w:rPr>
        <w:t>á</w:t>
      </w:r>
      <w:r w:rsidRPr="00C306CA">
        <w:rPr>
          <w:rFonts w:cs="Arial"/>
          <w:color w:val="000000" w:themeColor="text1"/>
        </w:rPr>
        <w:t xml:space="preserve"> procesní oprávnění státního dozoru ve vztahu k třetím osobám (poskytovatelům peněžních služeb, bankám, provozovatelům serverů, registrátorům domén). MF, které je oprávněno monitorovat peněžní toky určené provozovatelům nepovolených LJPH, předalo v roce 2013 </w:t>
      </w:r>
      <w:r w:rsidR="00BA797D" w:rsidRPr="00C306CA">
        <w:rPr>
          <w:rFonts w:cs="Arial"/>
          <w:color w:val="000000" w:themeColor="text1"/>
        </w:rPr>
        <w:t>FÚ</w:t>
      </w:r>
      <w:r w:rsidRPr="00C306CA">
        <w:rPr>
          <w:rFonts w:cs="Arial"/>
          <w:color w:val="000000" w:themeColor="text1"/>
        </w:rPr>
        <w:t xml:space="preserve"> pouze jeden podnět</w:t>
      </w:r>
      <w:r w:rsidR="00BA797D" w:rsidRPr="00C306CA">
        <w:rPr>
          <w:rFonts w:cs="Arial"/>
          <w:color w:val="000000" w:themeColor="text1"/>
        </w:rPr>
        <w:t xml:space="preserve"> vyplývající z tohoto monitoringu.</w:t>
      </w:r>
    </w:p>
    <w:p w:rsidR="00C306CA" w:rsidRPr="00C306CA" w:rsidRDefault="00C306CA" w:rsidP="00C306CA">
      <w:pPr>
        <w:spacing w:before="0" w:after="0"/>
        <w:rPr>
          <w:rFonts w:cs="Arial"/>
          <w:color w:val="000000" w:themeColor="text1"/>
        </w:rPr>
      </w:pPr>
    </w:p>
    <w:p w:rsidR="001F57E8" w:rsidRDefault="001F57E8" w:rsidP="00C306CA">
      <w:pPr>
        <w:spacing w:before="0" w:after="0"/>
        <w:rPr>
          <w:rFonts w:cs="Arial"/>
        </w:rPr>
      </w:pPr>
      <w:r w:rsidRPr="00B4490F">
        <w:rPr>
          <w:rFonts w:eastAsia="Times New Roman" w:cs="Arial"/>
          <w:bCs/>
          <w:iCs/>
          <w:lang w:eastAsia="ar-SA"/>
        </w:rPr>
        <w:t>V sít</w:t>
      </w:r>
      <w:r w:rsidR="00BA5619">
        <w:rPr>
          <w:rFonts w:eastAsia="Times New Roman" w:cs="Arial"/>
          <w:bCs/>
          <w:iCs/>
          <w:lang w:eastAsia="ar-SA"/>
        </w:rPr>
        <w:t>i</w:t>
      </w:r>
      <w:r w:rsidRPr="00B4490F">
        <w:rPr>
          <w:rFonts w:eastAsia="Times New Roman" w:cs="Arial"/>
          <w:bCs/>
          <w:iCs/>
          <w:lang w:eastAsia="ar-SA"/>
        </w:rPr>
        <w:t xml:space="preserve"> internet zji</w:t>
      </w:r>
      <w:r>
        <w:rPr>
          <w:rFonts w:eastAsia="Times New Roman" w:cs="Arial"/>
          <w:bCs/>
          <w:iCs/>
          <w:lang w:eastAsia="ar-SA"/>
        </w:rPr>
        <w:t xml:space="preserve">stil </w:t>
      </w:r>
      <w:proofErr w:type="spellStart"/>
      <w:r>
        <w:rPr>
          <w:rFonts w:eastAsia="Times New Roman" w:cs="Arial"/>
          <w:bCs/>
          <w:iCs/>
          <w:lang w:eastAsia="ar-SA"/>
        </w:rPr>
        <w:t>SFÚ</w:t>
      </w:r>
      <w:proofErr w:type="spellEnd"/>
      <w:r>
        <w:rPr>
          <w:rFonts w:eastAsia="Times New Roman" w:cs="Arial"/>
          <w:bCs/>
          <w:iCs/>
          <w:lang w:eastAsia="ar-SA"/>
        </w:rPr>
        <w:t xml:space="preserve"> celkem</w:t>
      </w:r>
      <w:r w:rsidRPr="00B4490F">
        <w:rPr>
          <w:rFonts w:eastAsia="Times New Roman" w:cs="Arial"/>
          <w:bCs/>
          <w:iCs/>
          <w:lang w:eastAsia="ar-SA"/>
        </w:rPr>
        <w:t xml:space="preserve"> 1 055 </w:t>
      </w:r>
      <w:r w:rsidRPr="00B4490F">
        <w:rPr>
          <w:rFonts w:eastAsia="Times New Roman" w:cs="Arial"/>
          <w:lang w:eastAsia="ar-SA"/>
        </w:rPr>
        <w:t>domén s</w:t>
      </w:r>
      <w:r>
        <w:rPr>
          <w:rFonts w:eastAsia="Times New Roman" w:cs="Arial"/>
          <w:lang w:eastAsia="ar-SA"/>
        </w:rPr>
        <w:t> </w:t>
      </w:r>
      <w:r w:rsidRPr="00B4490F">
        <w:rPr>
          <w:rFonts w:eastAsia="Times New Roman" w:cs="Arial"/>
          <w:lang w:eastAsia="ar-SA"/>
        </w:rPr>
        <w:t>nabídkou</w:t>
      </w:r>
      <w:r>
        <w:rPr>
          <w:rFonts w:eastAsia="Times New Roman" w:cs="Arial"/>
          <w:lang w:eastAsia="ar-SA"/>
        </w:rPr>
        <w:t xml:space="preserve"> nepovolených</w:t>
      </w:r>
      <w:r w:rsidRPr="00B4490F">
        <w:rPr>
          <w:rFonts w:eastAsia="Times New Roman" w:cs="Arial"/>
          <w:lang w:eastAsia="ar-SA"/>
        </w:rPr>
        <w:t xml:space="preserve"> on-line LJPH</w:t>
      </w:r>
      <w:r w:rsidR="004F284F">
        <w:rPr>
          <w:rFonts w:eastAsia="Times New Roman" w:cs="Arial"/>
          <w:lang w:eastAsia="ar-SA"/>
        </w:rPr>
        <w:t>,</w:t>
      </w:r>
      <w:r w:rsidRPr="00B4490F">
        <w:rPr>
          <w:rFonts w:eastAsia="Times New Roman" w:cs="Arial"/>
          <w:lang w:eastAsia="ar-SA"/>
        </w:rPr>
        <w:t xml:space="preserve"> z toho 38 v české jazykové </w:t>
      </w:r>
      <w:r>
        <w:rPr>
          <w:rFonts w:eastAsia="Times New Roman" w:cs="Arial"/>
          <w:lang w:eastAsia="ar-SA"/>
        </w:rPr>
        <w:t>mutaci</w:t>
      </w:r>
      <w:r w:rsidRPr="00EB5F06">
        <w:rPr>
          <w:rFonts w:eastAsia="Times New Roman" w:cs="Arial"/>
          <w:lang w:eastAsia="ar-SA"/>
        </w:rPr>
        <w:t>. Neřešením tohoto problému</w:t>
      </w:r>
      <w:r w:rsidRPr="00EB5F06">
        <w:rPr>
          <w:rFonts w:cs="Arial"/>
        </w:rPr>
        <w:t xml:space="preserve"> </w:t>
      </w:r>
      <w:r w:rsidRPr="001F57E8">
        <w:rPr>
          <w:rFonts w:cs="Arial"/>
        </w:rPr>
        <w:t>veřejné rozpočty p</w:t>
      </w:r>
      <w:r w:rsidRPr="00EB5F06">
        <w:rPr>
          <w:rFonts w:cs="Arial"/>
        </w:rPr>
        <w:t>řichází o značné příjmy</w:t>
      </w:r>
      <w:r w:rsidRPr="00485C17">
        <w:rPr>
          <w:rFonts w:cs="Arial"/>
        </w:rPr>
        <w:t xml:space="preserve">, které </w:t>
      </w:r>
      <w:r>
        <w:rPr>
          <w:rFonts w:cs="Arial"/>
        </w:rPr>
        <w:t>NKÚ</w:t>
      </w:r>
      <w:r w:rsidRPr="00485C17">
        <w:rPr>
          <w:rFonts w:cs="Arial"/>
        </w:rPr>
        <w:t xml:space="preserve"> orientačně vyčíslil</w:t>
      </w:r>
      <w:r>
        <w:rPr>
          <w:rFonts w:cs="Arial"/>
        </w:rPr>
        <w:t xml:space="preserve"> </w:t>
      </w:r>
      <w:r w:rsidR="004F284F">
        <w:rPr>
          <w:rFonts w:cs="Arial"/>
        </w:rPr>
        <w:t>na</w:t>
      </w:r>
      <w:r w:rsidRPr="00485C17">
        <w:rPr>
          <w:rFonts w:cs="Arial"/>
        </w:rPr>
        <w:t xml:space="preserve"> </w:t>
      </w:r>
      <w:r>
        <w:rPr>
          <w:rFonts w:cs="Arial"/>
        </w:rPr>
        <w:t>cca 600 mil. Kč za rok</w:t>
      </w:r>
      <w:r w:rsidRPr="00C7379B">
        <w:rPr>
          <w:rFonts w:cs="Arial"/>
          <w:vertAlign w:val="superscript"/>
        </w:rPr>
        <w:footnoteReference w:id="1"/>
      </w:r>
      <w:r>
        <w:rPr>
          <w:rFonts w:cs="Arial"/>
        </w:rPr>
        <w:t>.</w:t>
      </w:r>
    </w:p>
    <w:p w:rsidR="00C306CA" w:rsidRPr="00530278" w:rsidRDefault="00C306CA" w:rsidP="00C306CA">
      <w:pPr>
        <w:spacing w:before="0" w:after="0"/>
        <w:rPr>
          <w:rFonts w:cs="Arial"/>
        </w:rPr>
      </w:pPr>
    </w:p>
    <w:p w:rsidR="00941B1A" w:rsidRDefault="001F57E8" w:rsidP="00C306CA">
      <w:pPr>
        <w:spacing w:before="0" w:after="0"/>
        <w:rPr>
          <w:rFonts w:cs="Arial"/>
        </w:rPr>
      </w:pPr>
      <w:r>
        <w:rPr>
          <w:rFonts w:cs="Arial"/>
        </w:rPr>
        <w:t>N</w:t>
      </w:r>
      <w:r w:rsidR="00941B1A" w:rsidRPr="00485C17">
        <w:rPr>
          <w:rFonts w:cs="Arial"/>
        </w:rPr>
        <w:t>apříklad ve Slovenské republice byla právní úprava on</w:t>
      </w:r>
      <w:r w:rsidR="004F284F">
        <w:rPr>
          <w:rFonts w:cs="Arial"/>
        </w:rPr>
        <w:t>-</w:t>
      </w:r>
      <w:r w:rsidR="00941B1A" w:rsidRPr="00485C17">
        <w:rPr>
          <w:rFonts w:cs="Arial"/>
        </w:rPr>
        <w:t xml:space="preserve">line hraní </w:t>
      </w:r>
      <w:r w:rsidRPr="00881BD7">
        <w:rPr>
          <w:rFonts w:cs="Arial"/>
        </w:rPr>
        <w:t>účinná</w:t>
      </w:r>
      <w:r w:rsidR="00941B1A" w:rsidRPr="00485C17">
        <w:rPr>
          <w:rFonts w:cs="Arial"/>
        </w:rPr>
        <w:t xml:space="preserve"> již od roku 2005. Hry prostřednictvím sítě internet provozova</w:t>
      </w:r>
      <w:r w:rsidR="00941B1A">
        <w:rPr>
          <w:rFonts w:cs="Arial"/>
        </w:rPr>
        <w:t>la</w:t>
      </w:r>
      <w:r w:rsidR="00941B1A" w:rsidRPr="00485C17">
        <w:rPr>
          <w:rFonts w:cs="Arial"/>
        </w:rPr>
        <w:t xml:space="preserve"> výlučně národní loterijní společností TIPOS, a.s. </w:t>
      </w:r>
      <w:r w:rsidR="00941B1A" w:rsidRPr="001F57E8">
        <w:rPr>
          <w:rFonts w:cs="Arial"/>
        </w:rPr>
        <w:t>Občanům Slovenské republiky tak bylo</w:t>
      </w:r>
      <w:r w:rsidR="00941B1A" w:rsidRPr="005A0E0F">
        <w:rPr>
          <w:rFonts w:cs="Arial"/>
          <w:color w:val="FF0000"/>
        </w:rPr>
        <w:t xml:space="preserve"> </w:t>
      </w:r>
      <w:r w:rsidR="00941B1A" w:rsidRPr="00485C17">
        <w:rPr>
          <w:rFonts w:cs="Arial"/>
        </w:rPr>
        <w:t xml:space="preserve">umožněno legální hraní </w:t>
      </w:r>
      <w:r w:rsidR="00881BD7">
        <w:rPr>
          <w:rFonts w:cs="Arial"/>
        </w:rPr>
        <w:t>po</w:t>
      </w:r>
      <w:r w:rsidR="00941B1A" w:rsidRPr="00485C17">
        <w:rPr>
          <w:rFonts w:cs="Arial"/>
        </w:rPr>
        <w:t xml:space="preserve"> internet</w:t>
      </w:r>
      <w:r w:rsidR="00881BD7">
        <w:rPr>
          <w:rFonts w:cs="Arial"/>
        </w:rPr>
        <w:t>u</w:t>
      </w:r>
      <w:r w:rsidR="00941B1A">
        <w:rPr>
          <w:rFonts w:cs="Arial"/>
        </w:rPr>
        <w:t xml:space="preserve"> a zajištěny příjmy z těchto LJPH</w:t>
      </w:r>
      <w:r w:rsidR="00941B1A" w:rsidRPr="00485C17">
        <w:rPr>
          <w:rFonts w:cs="Arial"/>
        </w:rPr>
        <w:t>.</w:t>
      </w:r>
    </w:p>
    <w:p w:rsidR="00C306CA" w:rsidRPr="00B4490F" w:rsidRDefault="00C306CA" w:rsidP="00C306CA">
      <w:pPr>
        <w:spacing w:before="0" w:after="0"/>
        <w:rPr>
          <w:rFonts w:cs="Arial"/>
        </w:rPr>
      </w:pPr>
    </w:p>
    <w:p w:rsidR="00941B1A" w:rsidRPr="00C306CA" w:rsidRDefault="00C306CA" w:rsidP="00C306CA">
      <w:pPr>
        <w:spacing w:before="0" w:after="0"/>
        <w:rPr>
          <w:b/>
        </w:rPr>
      </w:pPr>
      <w:r>
        <w:rPr>
          <w:b/>
        </w:rPr>
        <w:t xml:space="preserve">3. </w:t>
      </w:r>
      <w:r w:rsidR="00941B1A" w:rsidRPr="00C306CA">
        <w:rPr>
          <w:b/>
        </w:rPr>
        <w:t>Povolování a zpoplatnění elektromechanických rulet</w:t>
      </w:r>
    </w:p>
    <w:p w:rsidR="00C306CA" w:rsidRDefault="00C306CA" w:rsidP="00C306CA">
      <w:pPr>
        <w:spacing w:before="0" w:after="0"/>
      </w:pPr>
    </w:p>
    <w:p w:rsidR="00941B1A" w:rsidRDefault="00941B1A" w:rsidP="00C306CA">
      <w:pPr>
        <w:spacing w:before="0" w:after="0"/>
      </w:pPr>
      <w:r>
        <w:t>Ustanovení zákona o loteriích, podle kterého je LJPH povolena, je rozhodné pro odvodové zatížení (sazbu odvodu dle § 41b odst. 3, odst. 4 a § 41c písm. f zákona o loteriích),</w:t>
      </w:r>
      <w:r w:rsidR="00505D11">
        <w:t xml:space="preserve"> </w:t>
      </w:r>
      <w:r>
        <w:t xml:space="preserve">pro </w:t>
      </w:r>
      <w:r w:rsidR="00881BD7">
        <w:t>rozpočtové určení odvodu (§ 41</w:t>
      </w:r>
      <w:r>
        <w:t>i zákona o loteriích) a pro určení výše jistoty ke krytí pohledávek státu a obcí (§ 4 b zákona o loteriích).</w:t>
      </w:r>
    </w:p>
    <w:p w:rsidR="00C306CA" w:rsidRDefault="00C306CA" w:rsidP="00C306CA">
      <w:pPr>
        <w:spacing w:before="0" w:after="0"/>
      </w:pPr>
    </w:p>
    <w:p w:rsidR="00941B1A" w:rsidRDefault="00881BD7" w:rsidP="00C306CA">
      <w:pPr>
        <w:spacing w:before="0" w:after="0"/>
      </w:pPr>
      <w:r>
        <w:t xml:space="preserve">Jedním z druhů LJPH jsou technická zařízení určená pro hru ruleta označovaná jako </w:t>
      </w:r>
      <w:r w:rsidR="004F284F">
        <w:t>e</w:t>
      </w:r>
      <w:r>
        <w:t>lektromechanická ruleta (dále také „</w:t>
      </w:r>
      <w:r w:rsidRPr="00C7379B">
        <w:t>EMR</w:t>
      </w:r>
      <w:r>
        <w:t>“).</w:t>
      </w:r>
      <w:r w:rsidRPr="00C7379B">
        <w:t xml:space="preserve"> </w:t>
      </w:r>
      <w:r w:rsidR="00941B1A">
        <w:t xml:space="preserve">NKÚ zjistil, že </w:t>
      </w:r>
      <w:r w:rsidR="00941B1A" w:rsidRPr="00C7379B">
        <w:t xml:space="preserve">MF </w:t>
      </w:r>
      <w:r w:rsidR="00941B1A">
        <w:t>identick</w:t>
      </w:r>
      <w:r>
        <w:t>é</w:t>
      </w:r>
      <w:r w:rsidR="00941B1A">
        <w:t xml:space="preserve"> nebo téměř identick</w:t>
      </w:r>
      <w:r>
        <w:t>é EMR</w:t>
      </w:r>
      <w:r w:rsidR="00941B1A" w:rsidRPr="00C7379B">
        <w:t xml:space="preserve"> povolov</w:t>
      </w:r>
      <w:r w:rsidR="00941B1A">
        <w:t>alo</w:t>
      </w:r>
      <w:r w:rsidR="00941B1A" w:rsidRPr="00C7379B">
        <w:t xml:space="preserve"> </w:t>
      </w:r>
      <w:r w:rsidR="00941B1A">
        <w:t>buď jako elektromechanickou rul</w:t>
      </w:r>
      <w:r w:rsidR="007821A0">
        <w:t>etu podle § 50 odst. 3 zákona o </w:t>
      </w:r>
      <w:r w:rsidR="00941B1A">
        <w:t>loteriích</w:t>
      </w:r>
      <w:r w:rsidR="004F284F">
        <w:t>,</w:t>
      </w:r>
      <w:r w:rsidR="00941B1A">
        <w:t xml:space="preserve"> nebo jako mechanickou ruletu podle § 2 písm. i) zákona o loteriích.</w:t>
      </w:r>
      <w:r w:rsidR="00941B1A" w:rsidRPr="00EB5F06">
        <w:t xml:space="preserve"> </w:t>
      </w:r>
      <w:r w:rsidR="00941B1A">
        <w:t xml:space="preserve">Rozhodujícím faktorem pro MF bylo umístění přístroje buď v kasinu, nebo </w:t>
      </w:r>
      <w:r w:rsidR="004F284F">
        <w:t>v </w:t>
      </w:r>
      <w:r w:rsidR="00941B1A">
        <w:t>herně</w:t>
      </w:r>
      <w:r>
        <w:t>. Přitom</w:t>
      </w:r>
      <w:r w:rsidR="00941B1A">
        <w:t xml:space="preserve"> již od roku 2008 MF upravilo standardem jejich podřazení pod § 50 odst. 3 zákona o loteriích.</w:t>
      </w:r>
    </w:p>
    <w:p w:rsidR="00C306CA" w:rsidRDefault="00C306CA" w:rsidP="00C306CA">
      <w:pPr>
        <w:spacing w:before="0" w:after="0"/>
      </w:pPr>
    </w:p>
    <w:p w:rsidR="00941B1A" w:rsidRDefault="00941B1A" w:rsidP="00C306CA">
      <w:pPr>
        <w:spacing w:before="0" w:after="0"/>
      </w:pPr>
      <w:r>
        <w:t>Stejně nepřehledná je i situace v povolování kombinovaných zařízení, která umožňují provozovat ruletu jako elektromechanickou hru nebo jako hru s živým prvkem (krupi</w:t>
      </w:r>
      <w:r w:rsidR="00CE3063">
        <w:t>é</w:t>
      </w:r>
      <w:r>
        <w:t>r).</w:t>
      </w:r>
      <w:r w:rsidR="004F284F">
        <w:t xml:space="preserve"> </w:t>
      </w:r>
      <w:r>
        <w:t>Není-li zařízení podřazeno pod § 50 odst. 3 zákona o loteriích, nepodléhá povinnosti hradit odvod ve výš</w:t>
      </w:r>
      <w:r w:rsidR="004407DF">
        <w:t>i 55 Kč za jedno zařízení a den a provozovatel zároveň skládá výrazně nižší jistotu.</w:t>
      </w:r>
    </w:p>
    <w:p w:rsidR="00C306CA" w:rsidRDefault="00C306CA" w:rsidP="00C306CA">
      <w:pPr>
        <w:spacing w:before="0" w:after="0"/>
      </w:pPr>
    </w:p>
    <w:p w:rsidR="008A14CE" w:rsidRDefault="00881BD7" w:rsidP="00C306CA">
      <w:pPr>
        <w:spacing w:before="0" w:after="0"/>
      </w:pPr>
      <w:r w:rsidRPr="008A14CE">
        <w:t xml:space="preserve">NKÚ </w:t>
      </w:r>
      <w:r w:rsidR="008A14CE" w:rsidRPr="008A14CE">
        <w:t xml:space="preserve">u MF </w:t>
      </w:r>
      <w:r w:rsidR="00941B1A" w:rsidRPr="008A14CE">
        <w:t xml:space="preserve">na kontrolním vzorku 74 rozhodnutí o povolení </w:t>
      </w:r>
      <w:r w:rsidR="008A14CE" w:rsidRPr="008A14CE">
        <w:t>EMR zjistil</w:t>
      </w:r>
      <w:r w:rsidR="00941B1A" w:rsidRPr="008A14CE">
        <w:t>, že MF u 24 ro</w:t>
      </w:r>
      <w:r w:rsidR="007821A0">
        <w:t>zhodnutí účinných v letech 2012–</w:t>
      </w:r>
      <w:r w:rsidR="00941B1A" w:rsidRPr="008A14CE">
        <w:t>2013 (tj. po zavedení odvodu z LJPH)</w:t>
      </w:r>
      <w:r w:rsidR="007821A0">
        <w:t xml:space="preserve"> nedodrželo vlastní standard, a </w:t>
      </w:r>
      <w:r w:rsidR="00941B1A" w:rsidRPr="008A14CE">
        <w:t>ačkoli se jednalo o hru bez živého prvku, povolilo ji jako hru s živým prvkem. V případě zatřídění dle standardu MF by za provoz předmětných zařízení provozovatelé odváděli do veřejných rozpočtů navíc pevnou část odvodu ve</w:t>
      </w:r>
      <w:r w:rsidR="00C306CA">
        <w:t xml:space="preserve"> výši 55 Kč za zařízení a den.</w:t>
      </w:r>
      <w:r w:rsidR="004F284F">
        <w:t xml:space="preserve"> </w:t>
      </w:r>
      <w:r w:rsidR="008A14CE">
        <w:t>Dopad tohoto zjištění NKÚ ověřil u FÚ na kontrolním vzorku 478 zařízení a vyčíslil ztrátu veřejných roz</w:t>
      </w:r>
      <w:r w:rsidR="00C306CA">
        <w:t>počtů ve výši cca 7,6 mil. Kč.</w:t>
      </w:r>
    </w:p>
    <w:p w:rsidR="00C306CA" w:rsidRDefault="00C306CA" w:rsidP="00C306CA">
      <w:pPr>
        <w:spacing w:before="0" w:after="0"/>
      </w:pPr>
    </w:p>
    <w:p w:rsidR="00941B1A" w:rsidRDefault="00941B1A" w:rsidP="00C306CA">
      <w:pPr>
        <w:spacing w:before="0" w:after="0"/>
      </w:pPr>
      <w:r>
        <w:t xml:space="preserve">Výše jistoty u EMR povolené jako sázková hra v kasinu činí 20 mil. Kč. V případě EMR povolené jako v zákoně neupravené LJPH (§ 50 odst. 3 zákona o </w:t>
      </w:r>
      <w:r w:rsidR="00C306CA">
        <w:t>loteriích) činí jistota 50 mil. </w:t>
      </w:r>
      <w:r>
        <w:t>Kč. NKÚ zjistil, že</w:t>
      </w:r>
      <w:r w:rsidR="00DA1A63">
        <w:t xml:space="preserve"> rozdílnému zatřídění </w:t>
      </w:r>
      <w:r>
        <w:t xml:space="preserve">EMR </w:t>
      </w:r>
      <w:r w:rsidR="00DA1A63">
        <w:t xml:space="preserve">odpovídá i rozdílná výše </w:t>
      </w:r>
      <w:r w:rsidRPr="00C7379B">
        <w:t>jistoty ke krytí pohledávek státu a obcí</w:t>
      </w:r>
      <w:r w:rsidR="00DA1A63">
        <w:t xml:space="preserve">. </w:t>
      </w:r>
    </w:p>
    <w:p w:rsidR="00C306CA" w:rsidRPr="00C7379B" w:rsidRDefault="00C306CA" w:rsidP="00C306CA">
      <w:pPr>
        <w:spacing w:before="0" w:after="0"/>
      </w:pPr>
    </w:p>
    <w:p w:rsidR="00941B1A" w:rsidRDefault="00941B1A" w:rsidP="00C306CA">
      <w:pPr>
        <w:spacing w:before="0" w:after="0"/>
      </w:pPr>
      <w:r w:rsidRPr="00C7379B">
        <w:t>MF nenastavilo jednotnou metodiku pro stanovení doby, na kterou byla povolení vydávána. Docházelo tak k tomu, že účastníkům řízení byly stanoveny doby platnosti rozhodnutí</w:t>
      </w:r>
      <w:r>
        <w:t xml:space="preserve"> </w:t>
      </w:r>
      <w:r>
        <w:lastRenderedPageBreak/>
        <w:t xml:space="preserve">v rozmezí dvou až deseti let. </w:t>
      </w:r>
      <w:r w:rsidR="00DA1A63">
        <w:t>NKÚ považuje za nezbytné sjednotit zatřídění</w:t>
      </w:r>
      <w:r w:rsidR="00C306CA">
        <w:t xml:space="preserve"> EMR a dobu platnosti povolení.</w:t>
      </w:r>
    </w:p>
    <w:p w:rsidR="00C306CA" w:rsidRDefault="00C306CA" w:rsidP="00C306CA">
      <w:pPr>
        <w:spacing w:before="0" w:after="0"/>
      </w:pPr>
    </w:p>
    <w:p w:rsidR="00820E67" w:rsidRDefault="00820E67" w:rsidP="00C306CA">
      <w:pPr>
        <w:spacing w:before="0" w:after="0"/>
      </w:pPr>
    </w:p>
    <w:p w:rsidR="00941B1A" w:rsidRPr="00C306CA" w:rsidRDefault="00C306CA" w:rsidP="00C306CA">
      <w:pPr>
        <w:spacing w:before="0" w:after="0"/>
        <w:rPr>
          <w:b/>
        </w:rPr>
      </w:pPr>
      <w:r>
        <w:rPr>
          <w:b/>
        </w:rPr>
        <w:t xml:space="preserve">4. </w:t>
      </w:r>
      <w:r w:rsidR="00941B1A" w:rsidRPr="00C306CA">
        <w:rPr>
          <w:b/>
        </w:rPr>
        <w:t>Státní dozor vykonávaný MF a finančními orgány</w:t>
      </w:r>
    </w:p>
    <w:p w:rsidR="00C306CA" w:rsidRDefault="00C306CA" w:rsidP="00C306CA">
      <w:pPr>
        <w:spacing w:before="0" w:after="0"/>
      </w:pPr>
    </w:p>
    <w:p w:rsidR="00941B1A" w:rsidRPr="00C306CA" w:rsidRDefault="00941B1A" w:rsidP="00C306CA">
      <w:pPr>
        <w:spacing w:before="0" w:after="0"/>
        <w:rPr>
          <w:b/>
        </w:rPr>
      </w:pPr>
      <w:r w:rsidRPr="00C306CA">
        <w:rPr>
          <w:b/>
        </w:rPr>
        <w:t xml:space="preserve">Výkon státního dozoru </w:t>
      </w:r>
    </w:p>
    <w:p w:rsidR="00C306CA" w:rsidRDefault="00C306CA" w:rsidP="00C306CA">
      <w:pPr>
        <w:spacing w:before="0" w:after="0"/>
      </w:pPr>
    </w:p>
    <w:p w:rsidR="00941B1A" w:rsidRPr="009F1AB8" w:rsidRDefault="00941B1A" w:rsidP="00C306CA">
      <w:pPr>
        <w:spacing w:before="0" w:after="0"/>
      </w:pPr>
      <w:r w:rsidRPr="009F1AB8">
        <w:t xml:space="preserve">V období </w:t>
      </w:r>
      <w:r>
        <w:t xml:space="preserve">let </w:t>
      </w:r>
      <w:r w:rsidRPr="009F1AB8">
        <w:t>2011</w:t>
      </w:r>
      <w:r>
        <w:t>–</w:t>
      </w:r>
      <w:r w:rsidRPr="009F1AB8">
        <w:t xml:space="preserve">2013 provádělo MF státní dozor </w:t>
      </w:r>
      <w:r w:rsidR="00E41685">
        <w:t>minimálně. NKÚ zjistil, že</w:t>
      </w:r>
      <w:r w:rsidRPr="009F1AB8">
        <w:t>:</w:t>
      </w:r>
    </w:p>
    <w:p w:rsidR="00941B1A" w:rsidRPr="009F1AB8" w:rsidRDefault="00941B1A" w:rsidP="00C306CA">
      <w:pPr>
        <w:pStyle w:val="Odstavecseseznamem"/>
        <w:numPr>
          <w:ilvl w:val="0"/>
          <w:numId w:val="8"/>
        </w:numPr>
        <w:spacing w:before="0" w:after="0"/>
        <w:ind w:left="284" w:hanging="284"/>
        <w:contextualSpacing w:val="0"/>
      </w:pPr>
      <w:r>
        <w:t>d</w:t>
      </w:r>
      <w:r w:rsidRPr="009F1AB8">
        <w:t xml:space="preserve">o února 2012 zaměstnanci MF </w:t>
      </w:r>
      <w:r w:rsidR="004407DF">
        <w:t xml:space="preserve">provedli </w:t>
      </w:r>
      <w:r w:rsidRPr="009F1AB8">
        <w:t xml:space="preserve">7 </w:t>
      </w:r>
      <w:r w:rsidRPr="00DA1A63">
        <w:t>kontrol</w:t>
      </w:r>
      <w:r>
        <w:rPr>
          <w:color w:val="FF0000"/>
        </w:rPr>
        <w:t xml:space="preserve"> </w:t>
      </w:r>
      <w:r w:rsidR="004407DF">
        <w:t xml:space="preserve">státního dozoru </w:t>
      </w:r>
      <w:r w:rsidR="00CB6106">
        <w:t>ve 27 </w:t>
      </w:r>
      <w:r w:rsidRPr="009F1AB8">
        <w:t>provozovnách,</w:t>
      </w:r>
    </w:p>
    <w:p w:rsidR="00941B1A" w:rsidRPr="009F1AB8" w:rsidRDefault="00941B1A" w:rsidP="00C306CA">
      <w:pPr>
        <w:pStyle w:val="Odstavecseseznamem"/>
        <w:numPr>
          <w:ilvl w:val="0"/>
          <w:numId w:val="8"/>
        </w:numPr>
        <w:spacing w:before="0" w:after="0"/>
        <w:ind w:left="284" w:hanging="284"/>
        <w:contextualSpacing w:val="0"/>
      </w:pPr>
      <w:r>
        <w:t>o</w:t>
      </w:r>
      <w:r w:rsidRPr="009F1AB8">
        <w:t xml:space="preserve">d února 2012 </w:t>
      </w:r>
      <w:r w:rsidR="004407DF">
        <w:t xml:space="preserve">MF </w:t>
      </w:r>
      <w:r w:rsidR="00BA797D">
        <w:t>provádělo</w:t>
      </w:r>
      <w:r w:rsidR="004407DF">
        <w:t xml:space="preserve"> </w:t>
      </w:r>
      <w:r>
        <w:t xml:space="preserve">zejména </w:t>
      </w:r>
      <w:r w:rsidRPr="009F1AB8">
        <w:t>dohlídk</w:t>
      </w:r>
      <w:r w:rsidR="004407DF">
        <w:t>y</w:t>
      </w:r>
      <w:r w:rsidRPr="009F1AB8">
        <w:t xml:space="preserve"> nad</w:t>
      </w:r>
      <w:r>
        <w:t xml:space="preserve"> výkonem státního dozoru orgány finanční</w:t>
      </w:r>
      <w:r w:rsidRPr="009F1AB8">
        <w:t xml:space="preserve"> správy</w:t>
      </w:r>
      <w:r w:rsidR="005E182A">
        <w:t xml:space="preserve"> –</w:t>
      </w:r>
      <w:r>
        <w:t xml:space="preserve"> tzv.</w:t>
      </w:r>
      <w:r w:rsidRPr="009F1AB8">
        <w:t xml:space="preserve"> </w:t>
      </w:r>
      <w:proofErr w:type="spellStart"/>
      <w:r w:rsidRPr="009F1AB8">
        <w:t>witness</w:t>
      </w:r>
      <w:proofErr w:type="spellEnd"/>
      <w:r w:rsidRPr="009F1AB8">
        <w:t xml:space="preserve"> audit</w:t>
      </w:r>
      <w:r w:rsidR="004407DF">
        <w:t>y</w:t>
      </w:r>
      <w:r w:rsidRPr="009F1AB8">
        <w:t xml:space="preserve"> (1</w:t>
      </w:r>
      <w:r>
        <w:t>5 dohlídek).</w:t>
      </w:r>
    </w:p>
    <w:p w:rsidR="00C306CA" w:rsidRDefault="00C306CA" w:rsidP="00C306CA">
      <w:pPr>
        <w:spacing w:before="0" w:after="0"/>
      </w:pPr>
    </w:p>
    <w:p w:rsidR="00941B1A" w:rsidRDefault="00941B1A" w:rsidP="00C306CA">
      <w:pPr>
        <w:spacing w:before="0" w:after="0"/>
      </w:pPr>
      <w:r w:rsidRPr="00DA1A63">
        <w:t xml:space="preserve">Procesním předpisem pro výkon státního dozoru je zákon o státní kontrole. </w:t>
      </w:r>
      <w:r w:rsidR="00E41685">
        <w:t>S</w:t>
      </w:r>
      <w:r w:rsidR="00E41685" w:rsidRPr="009F1AB8">
        <w:t>tátní dozor prováděn</w:t>
      </w:r>
      <w:r w:rsidR="00E41685">
        <w:t>ý</w:t>
      </w:r>
      <w:r w:rsidR="00E41685" w:rsidRPr="009F1AB8">
        <w:t xml:space="preserve"> přímo MF</w:t>
      </w:r>
      <w:r w:rsidR="00E41685">
        <w:t xml:space="preserve"> do února 2012</w:t>
      </w:r>
      <w:r w:rsidR="00E41685" w:rsidRPr="009F1AB8">
        <w:t xml:space="preserve"> </w:t>
      </w:r>
      <w:r w:rsidR="00E41685">
        <w:t xml:space="preserve">byl zaměřený na </w:t>
      </w:r>
      <w:r w:rsidR="00E41685" w:rsidRPr="009F1AB8">
        <w:t>formální</w:t>
      </w:r>
      <w:r w:rsidR="00E41685">
        <w:t xml:space="preserve"> podmínky provozování LJPH</w:t>
      </w:r>
      <w:r w:rsidR="00E41685" w:rsidRPr="009F1AB8">
        <w:t>, např</w:t>
      </w:r>
      <w:r w:rsidR="00E41685">
        <w:t>.</w:t>
      </w:r>
      <w:r w:rsidR="00E41685" w:rsidRPr="009F1AB8">
        <w:t xml:space="preserve"> </w:t>
      </w:r>
      <w:r w:rsidR="005E182A">
        <w:t xml:space="preserve">na </w:t>
      </w:r>
      <w:r w:rsidR="00E41685" w:rsidRPr="009F1AB8">
        <w:t>kontrol</w:t>
      </w:r>
      <w:r w:rsidR="00E41685">
        <w:t>u</w:t>
      </w:r>
      <w:r w:rsidR="00E41685" w:rsidRPr="009F1AB8">
        <w:t xml:space="preserve"> denní evidence návštěvníků, prokázání jejich totožnosti</w:t>
      </w:r>
      <w:r w:rsidR="005E182A">
        <w:t xml:space="preserve"> a na</w:t>
      </w:r>
      <w:r w:rsidR="00E41685" w:rsidRPr="009F1AB8">
        <w:t xml:space="preserve"> kontrol</w:t>
      </w:r>
      <w:r w:rsidR="00E41685">
        <w:t>u</w:t>
      </w:r>
      <w:r w:rsidR="00E41685" w:rsidRPr="009F1AB8">
        <w:t xml:space="preserve"> vyvěšených herních plánů </w:t>
      </w:r>
      <w:r w:rsidR="00E41685">
        <w:t xml:space="preserve">v provozovně. </w:t>
      </w:r>
      <w:r w:rsidRPr="00DA1A63">
        <w:t>Od února 2012 MF při své činnosti pod</w:t>
      </w:r>
      <w:r w:rsidR="00C306CA">
        <w:t>le tohoto zákona nepostupovalo.</w:t>
      </w:r>
    </w:p>
    <w:p w:rsidR="00C306CA" w:rsidRPr="00DA1A63" w:rsidRDefault="00C306CA" w:rsidP="00C306CA">
      <w:pPr>
        <w:spacing w:before="0" w:after="0"/>
      </w:pPr>
    </w:p>
    <w:p w:rsidR="00941B1A" w:rsidRDefault="00941B1A" w:rsidP="00C306CA">
      <w:pPr>
        <w:spacing w:before="0" w:after="0"/>
      </w:pPr>
      <w:r>
        <w:t>Státní dozor nad</w:t>
      </w:r>
      <w:r w:rsidRPr="004C6089">
        <w:t xml:space="preserve"> provozování</w:t>
      </w:r>
      <w:r>
        <w:t>m</w:t>
      </w:r>
      <w:r w:rsidRPr="004C6089">
        <w:t xml:space="preserve"> VHP povolených obcemi jsou primárně povinny vykonávat obce, avšak o způsobu a výsledku </w:t>
      </w:r>
      <w:r w:rsidR="005E182A">
        <w:t>nemají</w:t>
      </w:r>
      <w:r w:rsidRPr="004C6089">
        <w:t xml:space="preserve"> MF ani finanční orgány informace. Finanční orgány také mohou kontrolu těchto VHP provádě</w:t>
      </w:r>
      <w:r>
        <w:t xml:space="preserve">t, avšak </w:t>
      </w:r>
      <w:r w:rsidR="00E41685">
        <w:t>provádě</w:t>
      </w:r>
      <w:r w:rsidR="00556BE4">
        <w:t>ly</w:t>
      </w:r>
      <w:r>
        <w:t xml:space="preserve"> ji minimálně</w:t>
      </w:r>
      <w:r w:rsidR="00E41685">
        <w:t xml:space="preserve">, zejména </w:t>
      </w:r>
      <w:r w:rsidRPr="003163F0">
        <w:t>v případech, kdy se v kontrolované provozovně nacházely také VHP povol</w:t>
      </w:r>
      <w:r>
        <w:t>e</w:t>
      </w:r>
      <w:r w:rsidRPr="003163F0">
        <w:t xml:space="preserve">né MF. Množství zkontrolovaných VHP povolených obcemi nelze zjistit, neboť orgány finanční správy </w:t>
      </w:r>
      <w:r w:rsidR="005E182A">
        <w:t>je</w:t>
      </w:r>
      <w:r w:rsidRPr="003163F0">
        <w:t xml:space="preserve"> neevidují a v protokolech o kontrole uvádí pouze </w:t>
      </w:r>
      <w:r w:rsidR="00C306CA">
        <w:t>případy, kdy zjistí nedostatky.</w:t>
      </w:r>
    </w:p>
    <w:p w:rsidR="00C306CA" w:rsidRDefault="00C306CA" w:rsidP="00C306CA">
      <w:pPr>
        <w:spacing w:before="0" w:after="0"/>
      </w:pPr>
    </w:p>
    <w:p w:rsidR="002654AF" w:rsidRDefault="00556BE4" w:rsidP="00C306CA">
      <w:pPr>
        <w:spacing w:before="0" w:after="0"/>
      </w:pPr>
      <w:r>
        <w:t>Z údajů, které poskytly NKÚ kontrolované osoby, vyplývá,</w:t>
      </w:r>
      <w:r w:rsidR="002654AF">
        <w:t xml:space="preserve"> že v roce 2013 povolilo </w:t>
      </w:r>
      <w:r w:rsidR="002654AF" w:rsidRPr="001E13AD">
        <w:t>1</w:t>
      </w:r>
      <w:r w:rsidR="005E182A">
        <w:t> </w:t>
      </w:r>
      <w:r w:rsidR="002654AF" w:rsidRPr="001E13AD">
        <w:t>2</w:t>
      </w:r>
      <w:r w:rsidR="00887E71">
        <w:t>2</w:t>
      </w:r>
      <w:r w:rsidR="002654AF" w:rsidRPr="001E13AD">
        <w:t>3</w:t>
      </w:r>
      <w:r w:rsidR="002654AF">
        <w:t xml:space="preserve"> obcí celkem 17 765 VHP.</w:t>
      </w:r>
      <w:r w:rsidR="002654AF">
        <w:rPr>
          <w:rStyle w:val="Znakapoznpodarou"/>
        </w:rPr>
        <w:footnoteReference w:id="2"/>
      </w:r>
      <w:r w:rsidR="002654AF">
        <w:t xml:space="preserve"> U 55 </w:t>
      </w:r>
      <w:r>
        <w:t>procent</w:t>
      </w:r>
      <w:r w:rsidR="002654AF">
        <w:t xml:space="preserve"> z těchto obcí státní dozor SFÚ nebyl vůbec proveden. U</w:t>
      </w:r>
      <w:r w:rsidR="005E182A">
        <w:t> </w:t>
      </w:r>
      <w:r>
        <w:t>zbývajících</w:t>
      </w:r>
      <w:r w:rsidR="002654AF">
        <w:t xml:space="preserve"> nebylo možné z dokladů ověřit, zda státní dozor SFÚ proběhl pouze u VHP povolených MF </w:t>
      </w:r>
      <w:r w:rsidR="00C306CA">
        <w:t>nebo i u VHP povolených obcemi.</w:t>
      </w:r>
    </w:p>
    <w:p w:rsidR="00C306CA" w:rsidRDefault="00C306CA" w:rsidP="00C306CA">
      <w:pPr>
        <w:spacing w:before="0" w:after="0"/>
      </w:pPr>
    </w:p>
    <w:p w:rsidR="00DF7391" w:rsidRDefault="00E41685" w:rsidP="00C306CA">
      <w:pPr>
        <w:spacing w:before="0" w:after="0"/>
      </w:pPr>
      <w:r w:rsidRPr="00DF7391">
        <w:t>Z</w:t>
      </w:r>
      <w:r w:rsidR="00556BE4" w:rsidRPr="00DF7391">
        <w:t xml:space="preserve"> povolení vydaných obcemi v roce 2013 si NKÚ vybral </w:t>
      </w:r>
      <w:r w:rsidRPr="00DF7391">
        <w:t>kontrolní vzor</w:t>
      </w:r>
      <w:r w:rsidR="00556BE4" w:rsidRPr="00DF7391">
        <w:t>e</w:t>
      </w:r>
      <w:r w:rsidRPr="00DF7391">
        <w:t>k 93 provozovatelů</w:t>
      </w:r>
      <w:r w:rsidR="00556BE4" w:rsidRPr="00DF7391">
        <w:t>.</w:t>
      </w:r>
      <w:r w:rsidRPr="00DF7391">
        <w:t xml:space="preserve"> </w:t>
      </w:r>
      <w:r w:rsidR="00556BE4" w:rsidRPr="00DF7391">
        <w:t>Z </w:t>
      </w:r>
      <w:r w:rsidR="00556BE4" w:rsidRPr="001E13AD">
        <w:t xml:space="preserve">nich </w:t>
      </w:r>
      <w:r w:rsidR="00DF7391" w:rsidRPr="001E13AD">
        <w:t xml:space="preserve">u </w:t>
      </w:r>
      <w:r w:rsidRPr="001E13AD">
        <w:t>57</w:t>
      </w:r>
      <w:r w:rsidR="005E182A">
        <w:t xml:space="preserve"> provozovatelů</w:t>
      </w:r>
      <w:r w:rsidR="00DF7391" w:rsidRPr="001E13AD">
        <w:t>, kteří provozovali nejméně</w:t>
      </w:r>
      <w:r w:rsidRPr="001E13AD">
        <w:t xml:space="preserve"> </w:t>
      </w:r>
      <w:r w:rsidR="00DF7391" w:rsidRPr="001E13AD">
        <w:t>8 536</w:t>
      </w:r>
      <w:r w:rsidR="00DF7391" w:rsidRPr="00DF7391">
        <w:t xml:space="preserve"> zařízení, </w:t>
      </w:r>
      <w:r w:rsidR="00DE3A14">
        <w:t xml:space="preserve">nebyl </w:t>
      </w:r>
      <w:r w:rsidR="005E182A">
        <w:t>podle údajů v IS </w:t>
      </w:r>
      <w:r w:rsidR="00DF7391" w:rsidRPr="00DF7391">
        <w:t>SDSL proveden státní dozor finanční</w:t>
      </w:r>
      <w:r w:rsidR="00DE3A14">
        <w:t xml:space="preserve">mi </w:t>
      </w:r>
      <w:r w:rsidR="00DF7391" w:rsidRPr="00DF7391">
        <w:t>orgán</w:t>
      </w:r>
      <w:r w:rsidR="00DE3A14">
        <w:t>y</w:t>
      </w:r>
      <w:r w:rsidR="00DF7391" w:rsidRPr="00DF7391">
        <w:t xml:space="preserve">, přitom </w:t>
      </w:r>
      <w:r w:rsidR="00DE3A14">
        <w:t xml:space="preserve">40 </w:t>
      </w:r>
      <w:r w:rsidR="00DF7391" w:rsidRPr="00DF7391">
        <w:t xml:space="preserve">z nich </w:t>
      </w:r>
      <w:r w:rsidR="00DE3A14">
        <w:t>m</w:t>
      </w:r>
      <w:r w:rsidR="00DF7391" w:rsidRPr="00DF7391">
        <w:t>ělo povoleno více než 50</w:t>
      </w:r>
      <w:r w:rsidR="00DE3A14">
        <w:t> </w:t>
      </w:r>
      <w:r w:rsidR="00DF7391" w:rsidRPr="00DF7391">
        <w:t>zařízení.</w:t>
      </w:r>
    </w:p>
    <w:p w:rsidR="00C306CA" w:rsidRPr="00DF7391" w:rsidRDefault="00C306CA" w:rsidP="00C306CA">
      <w:pPr>
        <w:spacing w:before="0" w:after="0"/>
      </w:pPr>
    </w:p>
    <w:p w:rsidR="00941B1A" w:rsidRDefault="00941B1A" w:rsidP="00C306CA">
      <w:pPr>
        <w:spacing w:before="0" w:after="0"/>
        <w:rPr>
          <w:rFonts w:cs="Arial"/>
        </w:rPr>
      </w:pPr>
      <w:r w:rsidRPr="002654AF">
        <w:rPr>
          <w:rFonts w:cs="Arial"/>
        </w:rPr>
        <w:t>Ve Zlínském, Karlovarském a Ústeckém kraji a také v Praze je velmi nízké procento</w:t>
      </w:r>
      <w:r w:rsidR="00DF7391" w:rsidRPr="00DF7391">
        <w:rPr>
          <w:rFonts w:cs="Arial"/>
        </w:rPr>
        <w:t xml:space="preserve"> </w:t>
      </w:r>
      <w:r w:rsidR="00DF7391">
        <w:rPr>
          <w:rFonts w:cs="Arial"/>
        </w:rPr>
        <w:t>(</w:t>
      </w:r>
      <w:r w:rsidR="00DF7391" w:rsidRPr="002654AF">
        <w:rPr>
          <w:rFonts w:cs="Arial"/>
        </w:rPr>
        <w:t>pouze 0,3</w:t>
      </w:r>
      <w:r w:rsidR="00BA797D">
        <w:rPr>
          <w:rFonts w:cs="Arial"/>
        </w:rPr>
        <w:t>7</w:t>
      </w:r>
      <w:r w:rsidR="006318CC">
        <w:rPr>
          <w:rFonts w:cs="Arial"/>
        </w:rPr>
        <w:t>–</w:t>
      </w:r>
      <w:r w:rsidR="00DF7391" w:rsidRPr="002654AF">
        <w:rPr>
          <w:rFonts w:cs="Arial"/>
        </w:rPr>
        <w:t>1,</w:t>
      </w:r>
      <w:r w:rsidR="00BA797D">
        <w:rPr>
          <w:rFonts w:cs="Arial"/>
        </w:rPr>
        <w:t>33</w:t>
      </w:r>
      <w:r w:rsidR="00DF7391" w:rsidRPr="002654AF">
        <w:rPr>
          <w:rFonts w:cs="Arial"/>
        </w:rPr>
        <w:t xml:space="preserve"> %</w:t>
      </w:r>
      <w:r w:rsidR="00DF7391">
        <w:rPr>
          <w:rFonts w:cs="Arial"/>
        </w:rPr>
        <w:t xml:space="preserve">) </w:t>
      </w:r>
      <w:r w:rsidRPr="002654AF">
        <w:rPr>
          <w:rFonts w:cs="Arial"/>
        </w:rPr>
        <w:t>kontrol s nálezem nedostatku, (</w:t>
      </w:r>
      <w:r w:rsidR="00DF7391">
        <w:rPr>
          <w:rFonts w:cs="Arial"/>
        </w:rPr>
        <w:t xml:space="preserve">celorepublikový </w:t>
      </w:r>
      <w:r w:rsidRPr="002654AF">
        <w:rPr>
          <w:rFonts w:cs="Arial"/>
        </w:rPr>
        <w:t xml:space="preserve">průměr </w:t>
      </w:r>
      <w:r w:rsidR="00DF7391">
        <w:rPr>
          <w:rFonts w:cs="Arial"/>
        </w:rPr>
        <w:t>v roce 2012 činil 3,43</w:t>
      </w:r>
      <w:r w:rsidR="00DE3A14">
        <w:rPr>
          <w:rFonts w:cs="Arial"/>
        </w:rPr>
        <w:t> </w:t>
      </w:r>
      <w:r w:rsidR="00DF7391">
        <w:rPr>
          <w:rFonts w:cs="Arial"/>
        </w:rPr>
        <w:t xml:space="preserve">% a </w:t>
      </w:r>
      <w:r w:rsidR="00DF7391" w:rsidRPr="002654AF">
        <w:rPr>
          <w:rFonts w:cs="Arial"/>
        </w:rPr>
        <w:t>4,51 %</w:t>
      </w:r>
      <w:r w:rsidRPr="002654AF">
        <w:rPr>
          <w:rFonts w:cs="Arial"/>
        </w:rPr>
        <w:t xml:space="preserve"> v roce 2013). Ucelený materiál, který by nastavoval </w:t>
      </w:r>
      <w:r w:rsidRPr="002654AF">
        <w:t xml:space="preserve">kritéria pro hodnocení výkonnosti a efektivity státního dozoru a </w:t>
      </w:r>
      <w:r w:rsidRPr="002654AF">
        <w:rPr>
          <w:rFonts w:cs="Arial"/>
        </w:rPr>
        <w:t>upravoval priority kontroly z pohledu rizikovosti jednotlivých d</w:t>
      </w:r>
      <w:r w:rsidR="00C306CA">
        <w:rPr>
          <w:rFonts w:cs="Arial"/>
        </w:rPr>
        <w:t>ruhů her, nemá GFŘ vypracovaný.</w:t>
      </w:r>
    </w:p>
    <w:p w:rsidR="00C306CA" w:rsidRPr="002654AF" w:rsidRDefault="00C306CA" w:rsidP="00C306CA">
      <w:pPr>
        <w:spacing w:before="0" w:after="0"/>
        <w:rPr>
          <w:rFonts w:cs="Arial"/>
        </w:rPr>
      </w:pPr>
    </w:p>
    <w:p w:rsidR="00941B1A" w:rsidRDefault="009B7F78" w:rsidP="00C306CA">
      <w:pPr>
        <w:spacing w:before="0" w:after="0"/>
        <w:rPr>
          <w:rFonts w:cs="Arial"/>
        </w:rPr>
      </w:pPr>
      <w:r w:rsidRPr="00B4490F">
        <w:rPr>
          <w:rFonts w:cs="Arial"/>
        </w:rPr>
        <w:t xml:space="preserve">V roce 2013 </w:t>
      </w:r>
      <w:r>
        <w:rPr>
          <w:rFonts w:cs="Arial"/>
        </w:rPr>
        <w:t xml:space="preserve">zajišťovalo výkon státního dozoru 156 zaměstnanců Finanční správy ČR. </w:t>
      </w:r>
      <w:r w:rsidR="00941B1A">
        <w:rPr>
          <w:rFonts w:cs="Arial"/>
        </w:rPr>
        <w:t>Z</w:t>
      </w:r>
      <w:r w:rsidR="00941B1A" w:rsidRPr="00B4490F">
        <w:rPr>
          <w:rFonts w:cs="Arial"/>
        </w:rPr>
        <w:t xml:space="preserve">ejména v Praze je </w:t>
      </w:r>
      <w:r w:rsidR="00941B1A">
        <w:rPr>
          <w:rFonts w:cs="Arial"/>
        </w:rPr>
        <w:t xml:space="preserve">počet kontrol </w:t>
      </w:r>
      <w:r w:rsidR="00941B1A" w:rsidRPr="00B4490F">
        <w:rPr>
          <w:rFonts w:cs="Arial"/>
        </w:rPr>
        <w:t xml:space="preserve">významně ovlivněn zákonnou povinností účasti státního dozoru nad slosováním loterií (např. Sportka, </w:t>
      </w:r>
      <w:proofErr w:type="spellStart"/>
      <w:r w:rsidR="00941B1A" w:rsidRPr="00B4490F">
        <w:rPr>
          <w:rFonts w:cs="Arial"/>
        </w:rPr>
        <w:t>Euromiliony</w:t>
      </w:r>
      <w:proofErr w:type="spellEnd"/>
      <w:r w:rsidR="00941B1A" w:rsidRPr="00B4490F">
        <w:rPr>
          <w:rFonts w:cs="Arial"/>
        </w:rPr>
        <w:t>, Šťastných 10, Korunka).</w:t>
      </w:r>
      <w:r>
        <w:rPr>
          <w:rFonts w:cs="Arial"/>
        </w:rPr>
        <w:t xml:space="preserve"> Z</w:t>
      </w:r>
      <w:r w:rsidR="00941B1A" w:rsidRPr="00B4490F">
        <w:rPr>
          <w:rFonts w:cs="Arial"/>
        </w:rPr>
        <w:t> celkového počtu 3 516 kontrol státního dozoru</w:t>
      </w:r>
      <w:r>
        <w:rPr>
          <w:rFonts w:cs="Arial"/>
        </w:rPr>
        <w:t xml:space="preserve"> provedených v Praze</w:t>
      </w:r>
      <w:r w:rsidR="00941B1A" w:rsidRPr="00B4490F">
        <w:rPr>
          <w:rFonts w:cs="Arial"/>
        </w:rPr>
        <w:t xml:space="preserve"> </w:t>
      </w:r>
      <w:r w:rsidR="00941B1A">
        <w:rPr>
          <w:rFonts w:cs="Arial"/>
        </w:rPr>
        <w:t>spočívalo</w:t>
      </w:r>
      <w:r w:rsidR="006318CC">
        <w:rPr>
          <w:rFonts w:cs="Arial"/>
        </w:rPr>
        <w:t xml:space="preserve"> 2 484 </w:t>
      </w:r>
      <w:r w:rsidR="00941B1A" w:rsidRPr="00B4490F">
        <w:rPr>
          <w:rFonts w:cs="Arial"/>
        </w:rPr>
        <w:t xml:space="preserve">kontrol </w:t>
      </w:r>
      <w:r w:rsidR="00941B1A">
        <w:rPr>
          <w:rFonts w:cs="Arial"/>
        </w:rPr>
        <w:t>právě v </w:t>
      </w:r>
      <w:r w:rsidR="00941B1A" w:rsidRPr="00B4490F">
        <w:rPr>
          <w:rFonts w:cs="Arial"/>
        </w:rPr>
        <w:t>účast</w:t>
      </w:r>
      <w:r w:rsidR="00941B1A">
        <w:rPr>
          <w:rFonts w:cs="Arial"/>
        </w:rPr>
        <w:t>i</w:t>
      </w:r>
      <w:r w:rsidR="00941B1A" w:rsidRPr="00B4490F">
        <w:rPr>
          <w:rFonts w:cs="Arial"/>
        </w:rPr>
        <w:t xml:space="preserve"> na slosování</w:t>
      </w:r>
      <w:r w:rsidR="00941B1A">
        <w:rPr>
          <w:rFonts w:cs="Arial"/>
        </w:rPr>
        <w:t xml:space="preserve"> loterií. Tato činnost </w:t>
      </w:r>
      <w:r w:rsidR="00941B1A" w:rsidRPr="00B4490F">
        <w:rPr>
          <w:rFonts w:cs="Arial"/>
        </w:rPr>
        <w:t>si vyžádal</w:t>
      </w:r>
      <w:r w:rsidR="00941B1A">
        <w:rPr>
          <w:rFonts w:cs="Arial"/>
        </w:rPr>
        <w:t>a</w:t>
      </w:r>
      <w:r w:rsidR="00941B1A" w:rsidRPr="00B4490F">
        <w:rPr>
          <w:rFonts w:cs="Arial"/>
        </w:rPr>
        <w:t xml:space="preserve"> 12 920 hodin výměry pracovní doby zaměstnanců SFÚ (u 14 zaměstnanců se jednalo o 55 % pracovní náplně). Účast na slosování </w:t>
      </w:r>
      <w:r w:rsidR="00941B1A">
        <w:rPr>
          <w:rFonts w:cs="Arial"/>
        </w:rPr>
        <w:t xml:space="preserve">tak </w:t>
      </w:r>
      <w:r w:rsidR="00941B1A" w:rsidRPr="00B4490F">
        <w:rPr>
          <w:rFonts w:cs="Arial"/>
        </w:rPr>
        <w:t xml:space="preserve">váže kontrolní kapacity státního dozoru </w:t>
      </w:r>
      <w:r w:rsidR="00941B1A" w:rsidRPr="00173687">
        <w:rPr>
          <w:rFonts w:cs="Arial"/>
        </w:rPr>
        <w:t>SFÚ,</w:t>
      </w:r>
      <w:r w:rsidR="00941B1A" w:rsidRPr="00B82E40">
        <w:rPr>
          <w:rFonts w:cs="Arial"/>
        </w:rPr>
        <w:t xml:space="preserve"> které nemohou být využity na účeln</w:t>
      </w:r>
      <w:r w:rsidR="00941B1A">
        <w:rPr>
          <w:rFonts w:cs="Arial"/>
        </w:rPr>
        <w:t>ou</w:t>
      </w:r>
      <w:r w:rsidR="00941B1A" w:rsidRPr="00B82E40">
        <w:rPr>
          <w:rFonts w:cs="Arial"/>
        </w:rPr>
        <w:t xml:space="preserve"> kontrolu rizikovějších druhů </w:t>
      </w:r>
      <w:r w:rsidR="00941B1A" w:rsidRPr="00362725">
        <w:rPr>
          <w:rFonts w:cs="Arial"/>
        </w:rPr>
        <w:t xml:space="preserve">LJPH, </w:t>
      </w:r>
      <w:r w:rsidR="00941B1A" w:rsidRPr="00B82E40">
        <w:rPr>
          <w:rFonts w:cs="Arial"/>
        </w:rPr>
        <w:t>zejména tzv. živých her v kasin</w:t>
      </w:r>
      <w:r w:rsidR="00941B1A">
        <w:rPr>
          <w:rFonts w:cs="Arial"/>
        </w:rPr>
        <w:t>ech</w:t>
      </w:r>
      <w:r w:rsidR="00941B1A" w:rsidRPr="00B82E40">
        <w:rPr>
          <w:rFonts w:cs="Arial"/>
        </w:rPr>
        <w:t xml:space="preserve"> a </w:t>
      </w:r>
      <w:r w:rsidR="00941B1A">
        <w:rPr>
          <w:rFonts w:cs="Arial"/>
        </w:rPr>
        <w:t xml:space="preserve">kontrolu </w:t>
      </w:r>
      <w:r w:rsidR="00C306CA">
        <w:rPr>
          <w:rFonts w:cs="Arial"/>
        </w:rPr>
        <w:t>VHP.</w:t>
      </w:r>
    </w:p>
    <w:p w:rsidR="00C306CA" w:rsidRDefault="00C306CA" w:rsidP="00C306CA">
      <w:pPr>
        <w:spacing w:before="0" w:after="0"/>
        <w:rPr>
          <w:rFonts w:cs="Arial"/>
        </w:rPr>
      </w:pPr>
    </w:p>
    <w:p w:rsidR="00BA5619" w:rsidRDefault="00BA5619">
      <w:pPr>
        <w:spacing w:before="0" w:after="200" w:line="276" w:lineRule="auto"/>
        <w:jc w:val="left"/>
        <w:rPr>
          <w:rFonts w:eastAsia="Times New Roman"/>
          <w:b/>
          <w:lang w:eastAsia="ar-SA"/>
        </w:rPr>
      </w:pPr>
      <w:r>
        <w:rPr>
          <w:rFonts w:eastAsia="Times New Roman"/>
          <w:b/>
          <w:lang w:eastAsia="ar-SA"/>
        </w:rPr>
        <w:br w:type="page"/>
      </w:r>
    </w:p>
    <w:p w:rsidR="00941B1A" w:rsidRPr="00C306CA" w:rsidRDefault="00941B1A" w:rsidP="00C306CA">
      <w:pPr>
        <w:spacing w:before="0" w:after="0"/>
        <w:rPr>
          <w:rFonts w:eastAsia="Times New Roman"/>
          <w:b/>
          <w:lang w:eastAsia="ar-SA"/>
        </w:rPr>
      </w:pPr>
      <w:r w:rsidRPr="00C306CA">
        <w:rPr>
          <w:rFonts w:eastAsia="Times New Roman"/>
          <w:b/>
          <w:lang w:eastAsia="ar-SA"/>
        </w:rPr>
        <w:lastRenderedPageBreak/>
        <w:t xml:space="preserve">Kontrola finančních toků </w:t>
      </w:r>
    </w:p>
    <w:p w:rsidR="00C306CA" w:rsidRDefault="00C306CA" w:rsidP="00C306CA">
      <w:pPr>
        <w:spacing w:before="0" w:after="0"/>
        <w:rPr>
          <w:rFonts w:eastAsia="Times New Roman"/>
          <w:color w:val="000000" w:themeColor="text1"/>
          <w:lang w:eastAsia="ar-SA"/>
        </w:rPr>
      </w:pPr>
    </w:p>
    <w:p w:rsidR="00941B1A" w:rsidRDefault="00B41960" w:rsidP="00C306CA">
      <w:pPr>
        <w:spacing w:before="0" w:after="0"/>
        <w:rPr>
          <w:rFonts w:eastAsia="Times New Roman"/>
          <w:color w:val="000000" w:themeColor="text1"/>
          <w:lang w:eastAsia="ar-SA"/>
        </w:rPr>
      </w:pPr>
      <w:r w:rsidRPr="00C306CA">
        <w:rPr>
          <w:rFonts w:eastAsia="Times New Roman"/>
          <w:color w:val="000000" w:themeColor="text1"/>
          <w:lang w:eastAsia="ar-SA"/>
        </w:rPr>
        <w:t>P</w:t>
      </w:r>
      <w:r w:rsidR="00941B1A" w:rsidRPr="00C306CA">
        <w:rPr>
          <w:rFonts w:eastAsia="Times New Roman"/>
          <w:color w:val="000000" w:themeColor="text1"/>
          <w:lang w:eastAsia="ar-SA"/>
        </w:rPr>
        <w:t xml:space="preserve">ro správné stanovení odvodu (do konce roku 2011 také správního poplatku) </w:t>
      </w:r>
      <w:r w:rsidRPr="00C306CA">
        <w:rPr>
          <w:rFonts w:eastAsia="Times New Roman"/>
          <w:color w:val="000000" w:themeColor="text1"/>
          <w:lang w:eastAsia="ar-SA"/>
        </w:rPr>
        <w:t>j</w:t>
      </w:r>
      <w:r w:rsidR="00941B1A" w:rsidRPr="00C306CA">
        <w:rPr>
          <w:rFonts w:eastAsia="Times New Roman"/>
          <w:color w:val="000000" w:themeColor="text1"/>
          <w:lang w:eastAsia="ar-SA"/>
        </w:rPr>
        <w:t xml:space="preserve">e </w:t>
      </w:r>
      <w:r w:rsidRPr="00C306CA">
        <w:rPr>
          <w:rFonts w:eastAsia="Times New Roman"/>
          <w:color w:val="000000" w:themeColor="text1"/>
          <w:lang w:eastAsia="ar-SA"/>
        </w:rPr>
        <w:t xml:space="preserve">zásadní </w:t>
      </w:r>
      <w:r w:rsidR="00941B1A" w:rsidRPr="00C306CA">
        <w:rPr>
          <w:rFonts w:eastAsia="Times New Roman"/>
          <w:color w:val="000000" w:themeColor="text1"/>
          <w:lang w:eastAsia="ar-SA"/>
        </w:rPr>
        <w:t>základ odvodu nebo poplatku (tj. rozdíl mezi částkou vsazenou a vyplacenými výhrami)</w:t>
      </w:r>
      <w:r w:rsidRPr="00C306CA">
        <w:rPr>
          <w:rFonts w:eastAsia="Times New Roman"/>
          <w:color w:val="000000" w:themeColor="text1"/>
          <w:lang w:eastAsia="ar-SA"/>
        </w:rPr>
        <w:t>. Jeho kontrolu GFŘ systematicky nastavuje</w:t>
      </w:r>
      <w:r w:rsidR="00941B1A" w:rsidRPr="00C306CA">
        <w:rPr>
          <w:rFonts w:eastAsia="Times New Roman"/>
          <w:color w:val="000000" w:themeColor="text1"/>
          <w:lang w:eastAsia="ar-SA"/>
        </w:rPr>
        <w:t xml:space="preserve"> od roku 2013. </w:t>
      </w:r>
    </w:p>
    <w:p w:rsidR="00BA5619" w:rsidRDefault="00BA5619" w:rsidP="00C306CA">
      <w:pPr>
        <w:spacing w:before="0" w:after="0"/>
        <w:rPr>
          <w:rFonts w:eastAsia="Times New Roman"/>
          <w:color w:val="000000" w:themeColor="text1"/>
          <w:lang w:eastAsia="ar-SA"/>
        </w:rPr>
      </w:pPr>
    </w:p>
    <w:p w:rsidR="00941B1A" w:rsidRDefault="00B41960" w:rsidP="00C306CA">
      <w:pPr>
        <w:spacing w:before="0" w:after="0"/>
        <w:rPr>
          <w:rFonts w:eastAsia="Calibri"/>
          <w:color w:val="000000" w:themeColor="text1"/>
        </w:rPr>
      </w:pPr>
      <w:r w:rsidRPr="00C306CA">
        <w:rPr>
          <w:rFonts w:eastAsia="Calibri"/>
          <w:color w:val="000000" w:themeColor="text1"/>
        </w:rPr>
        <w:t>Účelným nástrojem pro</w:t>
      </w:r>
      <w:r w:rsidR="00941B1A" w:rsidRPr="00C306CA">
        <w:rPr>
          <w:rFonts w:eastAsia="Calibri"/>
          <w:color w:val="000000" w:themeColor="text1"/>
        </w:rPr>
        <w:t xml:space="preserve"> kontrol</w:t>
      </w:r>
      <w:r w:rsidRPr="00C306CA">
        <w:rPr>
          <w:rFonts w:eastAsia="Calibri"/>
          <w:color w:val="000000" w:themeColor="text1"/>
        </w:rPr>
        <w:t>u</w:t>
      </w:r>
      <w:r w:rsidR="00941B1A" w:rsidRPr="00C306CA">
        <w:rPr>
          <w:rFonts w:eastAsia="Calibri"/>
          <w:color w:val="000000" w:themeColor="text1"/>
        </w:rPr>
        <w:t xml:space="preserve"> provozování technických herních zařízení</w:t>
      </w:r>
      <w:r w:rsidRPr="00C306CA">
        <w:rPr>
          <w:rFonts w:eastAsia="Calibri"/>
          <w:color w:val="000000" w:themeColor="text1"/>
        </w:rPr>
        <w:t>,</w:t>
      </w:r>
      <w:r w:rsidR="00941B1A" w:rsidRPr="00C306CA">
        <w:rPr>
          <w:rFonts w:eastAsia="Calibri"/>
          <w:color w:val="000000" w:themeColor="text1"/>
        </w:rPr>
        <w:t xml:space="preserve"> ověř</w:t>
      </w:r>
      <w:r w:rsidRPr="00C306CA">
        <w:rPr>
          <w:rFonts w:eastAsia="Calibri"/>
          <w:color w:val="000000" w:themeColor="text1"/>
        </w:rPr>
        <w:t>ení</w:t>
      </w:r>
      <w:r w:rsidR="00941B1A" w:rsidRPr="00C306CA">
        <w:rPr>
          <w:rFonts w:eastAsia="Calibri"/>
          <w:color w:val="000000" w:themeColor="text1"/>
        </w:rPr>
        <w:t xml:space="preserve"> vyúčtování</w:t>
      </w:r>
      <w:r w:rsidRPr="00C306CA">
        <w:rPr>
          <w:rFonts w:eastAsia="Calibri"/>
          <w:color w:val="000000" w:themeColor="text1"/>
        </w:rPr>
        <w:t xml:space="preserve"> a ověření</w:t>
      </w:r>
      <w:r w:rsidR="00941B1A" w:rsidRPr="00C306CA">
        <w:rPr>
          <w:rFonts w:eastAsia="Calibri"/>
          <w:color w:val="000000" w:themeColor="text1"/>
        </w:rPr>
        <w:t xml:space="preserve"> odvodových hlášení a přiznání jsou pasivní přístupy (tj. vzdálený přístup státního dozoru k datům o finančních tocích). Podle zákona o loteriích (§ 50 odst. 8) je MF zmocněno stanovit právním předpisem technický standard provozovaných technických zařízení a systémů pro přístupy státního dozoru do dat herních zařízení za účelem evidence a kontroly finančních toků. </w:t>
      </w:r>
      <w:r w:rsidR="005E182A">
        <w:rPr>
          <w:rFonts w:eastAsia="Calibri"/>
          <w:color w:val="000000" w:themeColor="text1"/>
        </w:rPr>
        <w:t>T</w:t>
      </w:r>
      <w:r w:rsidR="00941B1A" w:rsidRPr="00C306CA">
        <w:rPr>
          <w:rFonts w:eastAsia="Calibri"/>
          <w:color w:val="000000" w:themeColor="text1"/>
        </w:rPr>
        <w:t>echnický standard</w:t>
      </w:r>
      <w:r w:rsidRPr="00C306CA">
        <w:rPr>
          <w:rFonts w:eastAsia="Calibri"/>
          <w:color w:val="000000" w:themeColor="text1"/>
        </w:rPr>
        <w:t>, který by sjednotil výstupy ze systémů používaných provozovateli,</w:t>
      </w:r>
      <w:r w:rsidR="00941B1A" w:rsidRPr="00C306CA">
        <w:rPr>
          <w:rFonts w:eastAsia="Calibri"/>
          <w:color w:val="000000" w:themeColor="text1"/>
        </w:rPr>
        <w:t xml:space="preserve"> </w:t>
      </w:r>
      <w:r w:rsidR="005E182A" w:rsidRPr="00C306CA">
        <w:rPr>
          <w:rFonts w:eastAsia="Calibri"/>
          <w:color w:val="000000" w:themeColor="text1"/>
        </w:rPr>
        <w:t xml:space="preserve">MF </w:t>
      </w:r>
      <w:r w:rsidR="00941B1A" w:rsidRPr="00C306CA">
        <w:rPr>
          <w:rFonts w:eastAsia="Calibri"/>
          <w:color w:val="000000" w:themeColor="text1"/>
        </w:rPr>
        <w:t>právním předpisem nestanovilo. Tím je zkomplikována situace státnímu dozoru</w:t>
      </w:r>
      <w:r w:rsidR="00640B20" w:rsidRPr="00C306CA">
        <w:rPr>
          <w:rFonts w:eastAsia="Calibri"/>
          <w:color w:val="000000" w:themeColor="text1"/>
        </w:rPr>
        <w:t xml:space="preserve"> při získání a zpracování</w:t>
      </w:r>
      <w:r w:rsidR="00941B1A" w:rsidRPr="00C306CA">
        <w:rPr>
          <w:rFonts w:eastAsia="Calibri"/>
          <w:color w:val="000000" w:themeColor="text1"/>
        </w:rPr>
        <w:t xml:space="preserve"> dat.</w:t>
      </w:r>
    </w:p>
    <w:p w:rsidR="00C306CA" w:rsidRPr="00C306CA" w:rsidRDefault="00C306CA" w:rsidP="00C306CA">
      <w:pPr>
        <w:spacing w:before="0" w:after="0"/>
        <w:rPr>
          <w:rFonts w:eastAsia="Calibri"/>
          <w:color w:val="000000" w:themeColor="text1"/>
        </w:rPr>
      </w:pPr>
    </w:p>
    <w:p w:rsidR="00941B1A" w:rsidRDefault="00941B1A" w:rsidP="00C306CA">
      <w:pPr>
        <w:spacing w:before="0" w:after="0"/>
        <w:rPr>
          <w:rFonts w:eastAsia="Calibri"/>
          <w:color w:val="000000" w:themeColor="text1"/>
        </w:rPr>
      </w:pPr>
      <w:r w:rsidRPr="00C306CA">
        <w:rPr>
          <w:rFonts w:eastAsia="Calibri"/>
          <w:color w:val="000000" w:themeColor="text1"/>
        </w:rPr>
        <w:t>Záznamy z monitorovacího zařízení o průběhu tzv. živých her jsou významným nástrojem k průběžné kontrole jejich provozování</w:t>
      </w:r>
      <w:r w:rsidR="006E65E8" w:rsidRPr="00C306CA">
        <w:rPr>
          <w:rFonts w:eastAsia="Calibri"/>
          <w:color w:val="000000" w:themeColor="text1"/>
        </w:rPr>
        <w:t xml:space="preserve"> a</w:t>
      </w:r>
      <w:r w:rsidRPr="00C306CA">
        <w:rPr>
          <w:rFonts w:eastAsia="Calibri"/>
          <w:color w:val="000000" w:themeColor="text1"/>
        </w:rPr>
        <w:t xml:space="preserve"> ověřování herního účetnictví s údaji ve vyúčtování a odvodových přiznáních. Provozovatel však nemá zákonnou povinnost státnímu dozoru záznamy průběžně předávat. Zákonná lhůta (90 dnů) pro uchování záznamů z monitoringu je pro účely kontroly finančních toků nevyhovující, neboť v době podání odvodových přiznání zákonná lhůta pro uchování záznamů již</w:t>
      </w:r>
      <w:r w:rsidR="00C306CA">
        <w:rPr>
          <w:rFonts w:eastAsia="Calibri"/>
          <w:color w:val="000000" w:themeColor="text1"/>
        </w:rPr>
        <w:t xml:space="preserve"> uplynula.</w:t>
      </w:r>
    </w:p>
    <w:p w:rsidR="00C306CA" w:rsidRPr="00C306CA" w:rsidRDefault="00C306CA" w:rsidP="00C306CA">
      <w:pPr>
        <w:spacing w:before="0" w:after="0"/>
        <w:rPr>
          <w:rFonts w:eastAsia="Calibri"/>
          <w:color w:val="000000" w:themeColor="text1"/>
        </w:rPr>
      </w:pPr>
    </w:p>
    <w:p w:rsidR="00941B1A" w:rsidRDefault="00941B1A" w:rsidP="00C306CA">
      <w:pPr>
        <w:spacing w:before="0" w:after="0"/>
        <w:rPr>
          <w:color w:val="000000" w:themeColor="text1"/>
        </w:rPr>
      </w:pPr>
      <w:r w:rsidRPr="00C306CA">
        <w:rPr>
          <w:color w:val="000000" w:themeColor="text1"/>
        </w:rPr>
        <w:t xml:space="preserve">Podle zákona o loteriích (§ 46 odst. 3) </w:t>
      </w:r>
      <w:r w:rsidR="005E182A" w:rsidRPr="00C306CA">
        <w:rPr>
          <w:color w:val="000000" w:themeColor="text1"/>
        </w:rPr>
        <w:t xml:space="preserve">lze </w:t>
      </w:r>
      <w:r w:rsidRPr="00C306CA">
        <w:rPr>
          <w:color w:val="000000" w:themeColor="text1"/>
        </w:rPr>
        <w:t xml:space="preserve">technickou kontrolu VHP při státním dozoru vykonat </w:t>
      </w:r>
      <w:r w:rsidR="00640B20" w:rsidRPr="00C306CA">
        <w:rPr>
          <w:color w:val="000000" w:themeColor="text1"/>
        </w:rPr>
        <w:t xml:space="preserve">pouze </w:t>
      </w:r>
      <w:r w:rsidRPr="00C306CA">
        <w:rPr>
          <w:color w:val="000000" w:themeColor="text1"/>
        </w:rPr>
        <w:t>za účasti pověřené autorizované osoby. Kontrolou NKÚ bylo zjištěno, že technická kontrola za přítomnosti takové osoby probíhala výjimečně</w:t>
      </w:r>
      <w:r w:rsidR="00BA797D" w:rsidRPr="00C306CA">
        <w:rPr>
          <w:color w:val="000000" w:themeColor="text1"/>
        </w:rPr>
        <w:t>.</w:t>
      </w:r>
      <w:r w:rsidRPr="00C306CA">
        <w:rPr>
          <w:color w:val="000000" w:themeColor="text1"/>
        </w:rPr>
        <w:t xml:space="preserve"> MF opakovaně</w:t>
      </w:r>
      <w:r w:rsidR="005E182A" w:rsidRPr="00C306CA">
        <w:rPr>
          <w:color w:val="000000" w:themeColor="text1"/>
        </w:rPr>
        <w:t xml:space="preserve"> </w:t>
      </w:r>
      <w:r w:rsidRPr="00C306CA">
        <w:rPr>
          <w:color w:val="000000" w:themeColor="text1"/>
        </w:rPr>
        <w:t>orgány státního dozoru k přizvání této osoby</w:t>
      </w:r>
      <w:r w:rsidR="00887E71" w:rsidRPr="00887E71">
        <w:t xml:space="preserve"> </w:t>
      </w:r>
      <w:r w:rsidR="00887E71" w:rsidRPr="00887E71">
        <w:rPr>
          <w:color w:val="000000" w:themeColor="text1"/>
        </w:rPr>
        <w:t>vyzývalo</w:t>
      </w:r>
      <w:r w:rsidRPr="00C306CA">
        <w:rPr>
          <w:color w:val="000000" w:themeColor="text1"/>
        </w:rPr>
        <w:t>. Údaje o finančních tocích jsou vzhledem k</w:t>
      </w:r>
      <w:r w:rsidR="00C4641E" w:rsidRPr="00C306CA">
        <w:rPr>
          <w:color w:val="000000" w:themeColor="text1"/>
        </w:rPr>
        <w:t> </w:t>
      </w:r>
      <w:r w:rsidRPr="00C306CA">
        <w:rPr>
          <w:color w:val="000000" w:themeColor="text1"/>
        </w:rPr>
        <w:t>nezajišťování počítadel VHP a neprovádění technické kontroly nekontrolovatelné. Opakující se nedostatky při provozování VHP a JTHZ nebyly MF vyhodnocovány.</w:t>
      </w:r>
    </w:p>
    <w:p w:rsidR="00C306CA" w:rsidRPr="00C306CA" w:rsidRDefault="00C306CA" w:rsidP="00C306CA">
      <w:pPr>
        <w:spacing w:before="0" w:after="0"/>
        <w:rPr>
          <w:color w:val="000000" w:themeColor="text1"/>
        </w:rPr>
      </w:pPr>
    </w:p>
    <w:p w:rsidR="00941B1A" w:rsidRDefault="00941B1A" w:rsidP="00C306CA">
      <w:pPr>
        <w:spacing w:before="0" w:after="0"/>
        <w:rPr>
          <w:color w:val="000000" w:themeColor="text1"/>
        </w:rPr>
      </w:pPr>
      <w:r w:rsidRPr="00C306CA">
        <w:rPr>
          <w:color w:val="000000" w:themeColor="text1"/>
        </w:rPr>
        <w:t>U VHP a živých her následnou kontrolou podle daňového řádu již v podstatě nelze</w:t>
      </w:r>
      <w:r w:rsidR="005E182A" w:rsidRPr="00C306CA">
        <w:rPr>
          <w:color w:val="000000" w:themeColor="text1"/>
        </w:rPr>
        <w:t xml:space="preserve"> ověřit</w:t>
      </w:r>
      <w:r w:rsidRPr="00C306CA">
        <w:rPr>
          <w:color w:val="000000" w:themeColor="text1"/>
        </w:rPr>
        <w:t xml:space="preserve"> správnost přiznaných finančních toků, a tedy základu pro vyměření odvodu. Finanční orgány musí spoléhat na správnost údajů v podaných odvodových přiznáních.</w:t>
      </w:r>
    </w:p>
    <w:p w:rsidR="00C306CA" w:rsidRPr="00C306CA" w:rsidRDefault="00C306CA" w:rsidP="00C306CA">
      <w:pPr>
        <w:spacing w:before="0" w:after="0"/>
        <w:rPr>
          <w:color w:val="000000" w:themeColor="text1"/>
        </w:rPr>
      </w:pPr>
    </w:p>
    <w:p w:rsidR="00941B1A" w:rsidRPr="00C306CA" w:rsidRDefault="00941B1A" w:rsidP="00C306CA">
      <w:pPr>
        <w:spacing w:before="0" w:after="0"/>
        <w:rPr>
          <w:b/>
        </w:rPr>
      </w:pPr>
      <w:r w:rsidRPr="00C306CA">
        <w:rPr>
          <w:b/>
        </w:rPr>
        <w:t xml:space="preserve">Ukládání sankcí </w:t>
      </w:r>
    </w:p>
    <w:p w:rsidR="00C306CA" w:rsidRPr="00C306CA" w:rsidRDefault="00C306CA" w:rsidP="00C306CA">
      <w:pPr>
        <w:tabs>
          <w:tab w:val="left" w:pos="1560"/>
        </w:tabs>
        <w:spacing w:before="0" w:after="0"/>
        <w:rPr>
          <w:color w:val="000000" w:themeColor="text1"/>
        </w:rPr>
      </w:pPr>
    </w:p>
    <w:p w:rsidR="00C306CA" w:rsidRDefault="00941B1A" w:rsidP="00C306CA">
      <w:pPr>
        <w:tabs>
          <w:tab w:val="left" w:pos="1560"/>
        </w:tabs>
        <w:spacing w:before="0" w:after="0"/>
        <w:rPr>
          <w:rFonts w:cs="Arial"/>
          <w:color w:val="000000" w:themeColor="text1"/>
        </w:rPr>
      </w:pPr>
      <w:r w:rsidRPr="00C306CA">
        <w:rPr>
          <w:color w:val="000000" w:themeColor="text1"/>
        </w:rPr>
        <w:t xml:space="preserve">Z celkového počtu 1 529 kontrol státního dozoru s nálezem za roky 2012 a 2013 se porušení podmínek nebo právního předpisu dopustilo 77 provozovatelů. Deset z nich porušilo podmínky nebo právní předpis více než 50krát (tři subjekty více než 100x). FÚ nebo SFÚ zjištěná porušení uváděly do kontrolních protokolů, které vkládaly do IS SDSL včetně rozhodnutí o uložení sankce. MF tak mělo informace o protiprávním jednání provozovatelů, avšak tyto informace nezpracovávalo, nevyhodnocovalo a povolení k provozování LJPH nerušilo. </w:t>
      </w:r>
      <w:r w:rsidRPr="00C306CA">
        <w:rPr>
          <w:rFonts w:cs="Arial"/>
          <w:color w:val="000000" w:themeColor="text1"/>
        </w:rPr>
        <w:t xml:space="preserve">Kontrola NKÚ nezjistila ani jeden případ, kdy by MF využilo svého oprávnění </w:t>
      </w:r>
      <w:r w:rsidR="00DC4501">
        <w:rPr>
          <w:rFonts w:cs="Arial"/>
          <w:color w:val="000000" w:themeColor="text1"/>
        </w:rPr>
        <w:t xml:space="preserve">vydané </w:t>
      </w:r>
      <w:r w:rsidRPr="00C306CA">
        <w:rPr>
          <w:rFonts w:cs="Arial"/>
          <w:color w:val="000000" w:themeColor="text1"/>
        </w:rPr>
        <w:t>povolení subjektům, které opakovaně porušují p</w:t>
      </w:r>
      <w:r w:rsidR="005E182A">
        <w:rPr>
          <w:rFonts w:cs="Arial"/>
          <w:color w:val="000000" w:themeColor="text1"/>
        </w:rPr>
        <w:t>rávní předpisy a </w:t>
      </w:r>
      <w:r w:rsidRPr="00C306CA">
        <w:rPr>
          <w:rFonts w:cs="Arial"/>
          <w:color w:val="000000" w:themeColor="text1"/>
        </w:rPr>
        <w:t>podmínky provozování</w:t>
      </w:r>
      <w:r w:rsidR="00DC4501">
        <w:rPr>
          <w:rFonts w:cs="Arial"/>
          <w:color w:val="000000" w:themeColor="text1"/>
        </w:rPr>
        <w:t>,</w:t>
      </w:r>
      <w:r w:rsidRPr="00C306CA">
        <w:rPr>
          <w:rFonts w:cs="Arial"/>
          <w:color w:val="000000" w:themeColor="text1"/>
        </w:rPr>
        <w:t xml:space="preserve"> </w:t>
      </w:r>
      <w:r w:rsidR="00BA797D" w:rsidRPr="00C306CA">
        <w:rPr>
          <w:rFonts w:cs="Arial"/>
          <w:color w:val="000000" w:themeColor="text1"/>
        </w:rPr>
        <w:t>zrušit</w:t>
      </w:r>
      <w:r w:rsidRPr="00C306CA">
        <w:rPr>
          <w:rFonts w:cs="Arial"/>
          <w:color w:val="000000" w:themeColor="text1"/>
        </w:rPr>
        <w:t>.</w:t>
      </w:r>
    </w:p>
    <w:p w:rsidR="00C306CA" w:rsidRDefault="00C306CA" w:rsidP="00C306CA">
      <w:pPr>
        <w:tabs>
          <w:tab w:val="left" w:pos="1560"/>
        </w:tabs>
        <w:spacing w:before="0" w:after="0"/>
        <w:rPr>
          <w:rFonts w:cs="Arial"/>
          <w:color w:val="000000" w:themeColor="text1"/>
        </w:rPr>
      </w:pPr>
      <w:bookmarkStart w:id="3" w:name="_GoBack"/>
      <w:bookmarkEnd w:id="3"/>
    </w:p>
    <w:p w:rsidR="00941B1A" w:rsidRDefault="00941B1A" w:rsidP="00C306CA">
      <w:pPr>
        <w:tabs>
          <w:tab w:val="left" w:pos="1560"/>
        </w:tabs>
        <w:spacing w:before="0" w:after="0"/>
        <w:rPr>
          <w:rFonts w:eastAsia="Times New Roman" w:cs="Arial"/>
          <w:color w:val="000000" w:themeColor="text1"/>
          <w:lang w:eastAsia="ar-SA"/>
        </w:rPr>
      </w:pPr>
      <w:r w:rsidRPr="00C306CA">
        <w:rPr>
          <w:rFonts w:cs="Arial"/>
          <w:color w:val="000000" w:themeColor="text1"/>
        </w:rPr>
        <w:t>Právní úprava od 1. 1. 2012 umožňuje postihovat zakázanou rekla</w:t>
      </w:r>
      <w:r w:rsidRPr="00C306CA">
        <w:rPr>
          <w:rFonts w:eastAsia="Times New Roman" w:cs="Arial"/>
          <w:color w:val="000000" w:themeColor="text1"/>
          <w:lang w:eastAsia="ar-SA"/>
        </w:rPr>
        <w:t>mu nepovolených LJPH. Podněty k zahájení správního řízení finančními orgány věcně příslušným orgánům</w:t>
      </w:r>
      <w:r w:rsidR="005E182A" w:rsidRPr="00C306CA">
        <w:rPr>
          <w:rFonts w:eastAsia="Times New Roman" w:cs="Arial"/>
          <w:color w:val="000000" w:themeColor="text1"/>
          <w:lang w:eastAsia="ar-SA"/>
        </w:rPr>
        <w:t xml:space="preserve"> nebyly</w:t>
      </w:r>
      <w:r w:rsidRPr="00C306CA">
        <w:rPr>
          <w:rFonts w:eastAsia="Times New Roman" w:cs="Arial"/>
          <w:color w:val="000000" w:themeColor="text1"/>
          <w:lang w:eastAsia="ar-SA"/>
        </w:rPr>
        <w:t xml:space="preserve"> průběžně předávány. S vyhledáváním a sumarizací podkladů začaly finanční orgány až</w:t>
      </w:r>
      <w:r w:rsidR="00C306CA">
        <w:rPr>
          <w:rFonts w:eastAsia="Times New Roman" w:cs="Arial"/>
          <w:color w:val="000000" w:themeColor="text1"/>
          <w:lang w:eastAsia="ar-SA"/>
        </w:rPr>
        <w:t xml:space="preserve"> ve třetím čtvrtletí roku 2013.</w:t>
      </w:r>
    </w:p>
    <w:p w:rsidR="00C306CA" w:rsidRPr="00C306CA" w:rsidRDefault="00C306CA" w:rsidP="00C306CA">
      <w:pPr>
        <w:tabs>
          <w:tab w:val="left" w:pos="1560"/>
        </w:tabs>
        <w:spacing w:before="0" w:after="0"/>
        <w:rPr>
          <w:rFonts w:eastAsia="Times New Roman" w:cs="Arial"/>
          <w:color w:val="000000" w:themeColor="text1"/>
          <w:lang w:eastAsia="ar-SA"/>
        </w:rPr>
      </w:pPr>
    </w:p>
    <w:p w:rsidR="00640B20" w:rsidRDefault="00941B1A" w:rsidP="00C306CA">
      <w:pPr>
        <w:spacing w:before="0" w:after="0"/>
        <w:rPr>
          <w:rFonts w:eastAsia="Times New Roman"/>
          <w:color w:val="000000" w:themeColor="text1"/>
          <w:lang w:eastAsia="ar-SA"/>
        </w:rPr>
      </w:pPr>
      <w:r w:rsidRPr="00C306CA">
        <w:rPr>
          <w:rFonts w:eastAsia="Times New Roman"/>
          <w:color w:val="000000" w:themeColor="text1"/>
          <w:lang w:eastAsia="ar-SA"/>
        </w:rPr>
        <w:t xml:space="preserve">FÚ může rozhodnout o převodu výnosu nepovolené LJPH, kterou </w:t>
      </w:r>
      <w:r w:rsidR="00640B20" w:rsidRPr="00C306CA">
        <w:rPr>
          <w:rFonts w:eastAsia="Times New Roman"/>
          <w:color w:val="000000" w:themeColor="text1"/>
          <w:lang w:eastAsia="ar-SA"/>
        </w:rPr>
        <w:t>by bylo</w:t>
      </w:r>
      <w:r w:rsidRPr="00C306CA">
        <w:rPr>
          <w:rFonts w:eastAsia="Times New Roman"/>
          <w:color w:val="000000" w:themeColor="text1"/>
          <w:lang w:eastAsia="ar-SA"/>
        </w:rPr>
        <w:t xml:space="preserve"> oprávněno povolit MF, do státního rozpočtu a uložit pokutu až do výše 10 mil. Kč. V letech 2011–2013 rozhodly orgány finanční správy o odvodu výnosu z nepovolené loterie celkem jen ve čtyřech případech, přestože v letech 2012 a 2013 provozovatelé na základě údajů MF</w:t>
      </w:r>
      <w:r w:rsidR="005E182A">
        <w:rPr>
          <w:rFonts w:eastAsia="Times New Roman"/>
          <w:color w:val="000000" w:themeColor="text1"/>
          <w:lang w:eastAsia="ar-SA"/>
        </w:rPr>
        <w:t>,</w:t>
      </w:r>
      <w:r w:rsidRPr="00C306CA">
        <w:rPr>
          <w:rFonts w:eastAsia="Times New Roman"/>
          <w:color w:val="000000" w:themeColor="text1"/>
          <w:lang w:eastAsia="ar-SA"/>
        </w:rPr>
        <w:t xml:space="preserve"> resp. GFŘ provozovali ne</w:t>
      </w:r>
      <w:r w:rsidR="00C306CA">
        <w:rPr>
          <w:rFonts w:eastAsia="Times New Roman"/>
          <w:color w:val="000000" w:themeColor="text1"/>
          <w:lang w:eastAsia="ar-SA"/>
        </w:rPr>
        <w:t xml:space="preserve">povolené LJPH </w:t>
      </w:r>
      <w:proofErr w:type="gramStart"/>
      <w:r w:rsidR="00C306CA">
        <w:rPr>
          <w:rFonts w:eastAsia="Times New Roman"/>
          <w:color w:val="000000" w:themeColor="text1"/>
          <w:lang w:eastAsia="ar-SA"/>
        </w:rPr>
        <w:t>ve</w:t>
      </w:r>
      <w:proofErr w:type="gramEnd"/>
      <w:r w:rsidR="00C306CA">
        <w:rPr>
          <w:rFonts w:eastAsia="Times New Roman"/>
          <w:color w:val="000000" w:themeColor="text1"/>
          <w:lang w:eastAsia="ar-SA"/>
        </w:rPr>
        <w:t xml:space="preserve"> 130 případech.</w:t>
      </w:r>
    </w:p>
    <w:p w:rsidR="00C306CA" w:rsidRPr="00C306CA" w:rsidRDefault="00C306CA" w:rsidP="00C306CA">
      <w:pPr>
        <w:spacing w:before="0" w:after="0"/>
        <w:rPr>
          <w:rFonts w:eastAsia="Times New Roman"/>
          <w:color w:val="000000" w:themeColor="text1"/>
          <w:lang w:eastAsia="ar-SA"/>
        </w:rPr>
      </w:pPr>
    </w:p>
    <w:p w:rsidR="00941B1A" w:rsidRDefault="00941B1A" w:rsidP="00C306CA">
      <w:pPr>
        <w:spacing w:before="0" w:after="0"/>
        <w:rPr>
          <w:rFonts w:eastAsia="Times New Roman"/>
          <w:color w:val="000000" w:themeColor="text1"/>
          <w:lang w:eastAsia="ar-SA"/>
        </w:rPr>
      </w:pPr>
      <w:r w:rsidRPr="00C306CA">
        <w:rPr>
          <w:rFonts w:eastAsia="Times New Roman"/>
          <w:color w:val="000000" w:themeColor="text1"/>
          <w:lang w:eastAsia="ar-SA"/>
        </w:rPr>
        <w:t>MF žádným právním předpisem ani GFŘ metodikou neupravil</w:t>
      </w:r>
      <w:r w:rsidR="00640B20" w:rsidRPr="00C306CA">
        <w:rPr>
          <w:rFonts w:eastAsia="Times New Roman"/>
          <w:color w:val="000000" w:themeColor="text1"/>
          <w:lang w:eastAsia="ar-SA"/>
        </w:rPr>
        <w:t>o</w:t>
      </w:r>
      <w:r w:rsidRPr="00C306CA">
        <w:rPr>
          <w:rFonts w:eastAsia="Times New Roman"/>
          <w:color w:val="000000" w:themeColor="text1"/>
          <w:lang w:eastAsia="ar-SA"/>
        </w:rPr>
        <w:t>, jak</w:t>
      </w:r>
      <w:r w:rsidR="005E182A" w:rsidRPr="00C306CA">
        <w:rPr>
          <w:rFonts w:eastAsia="Times New Roman"/>
          <w:color w:val="000000" w:themeColor="text1"/>
          <w:lang w:eastAsia="ar-SA"/>
        </w:rPr>
        <w:t xml:space="preserve"> přistupovat</w:t>
      </w:r>
      <w:r w:rsidRPr="00C306CA">
        <w:rPr>
          <w:rFonts w:eastAsia="Times New Roman"/>
          <w:color w:val="000000" w:themeColor="text1"/>
          <w:lang w:eastAsia="ar-SA"/>
        </w:rPr>
        <w:t xml:space="preserve"> k vyměřování výnosu nepovolené loterie. Možnost rozhodnout o převodu výnosu nepovolené LJPH je značně omezena, neboť v případě, že provozovatel loterie</w:t>
      </w:r>
      <w:r w:rsidR="005E182A">
        <w:rPr>
          <w:rFonts w:eastAsia="Times New Roman"/>
          <w:color w:val="000000" w:themeColor="text1"/>
          <w:lang w:eastAsia="ar-SA"/>
        </w:rPr>
        <w:t xml:space="preserve"> nepředloží údaje o </w:t>
      </w:r>
      <w:r w:rsidR="00C4641E" w:rsidRPr="00C306CA">
        <w:rPr>
          <w:rFonts w:eastAsia="Times New Roman"/>
          <w:color w:val="000000" w:themeColor="text1"/>
          <w:lang w:eastAsia="ar-SA"/>
        </w:rPr>
        <w:t>vsazených a </w:t>
      </w:r>
      <w:r w:rsidRPr="00C306CA">
        <w:rPr>
          <w:rFonts w:eastAsia="Times New Roman"/>
          <w:color w:val="000000" w:themeColor="text1"/>
          <w:lang w:eastAsia="ar-SA"/>
        </w:rPr>
        <w:t>vyplacených částkách, jsou finanční orgány v důkazní nouzi, přičemž právní úprava neumožňuje stanovit výnos náhradním způsobem. Finanční orgány však výnos nevyměřily ani v případech nepovoleného provozování technických zařízení, u nichž bylo stanovení výše odvodu možné, např. odečtem počítadel nebo z pasivních přístupů</w:t>
      </w:r>
      <w:r w:rsidR="00AB5257" w:rsidRPr="00C306CA">
        <w:rPr>
          <w:rFonts w:eastAsia="Times New Roman"/>
          <w:color w:val="000000" w:themeColor="text1"/>
          <w:lang w:eastAsia="ar-SA"/>
        </w:rPr>
        <w:t>. I v těchto případech</w:t>
      </w:r>
      <w:r w:rsidRPr="00C306CA">
        <w:rPr>
          <w:rFonts w:eastAsia="Times New Roman"/>
          <w:color w:val="000000" w:themeColor="text1"/>
          <w:lang w:eastAsia="ar-SA"/>
        </w:rPr>
        <w:t xml:space="preserve"> </w:t>
      </w:r>
      <w:r w:rsidR="00AB5257" w:rsidRPr="00C306CA">
        <w:rPr>
          <w:rFonts w:eastAsia="Times New Roman"/>
          <w:color w:val="000000" w:themeColor="text1"/>
          <w:lang w:eastAsia="ar-SA"/>
        </w:rPr>
        <w:t xml:space="preserve">FÚ </w:t>
      </w:r>
      <w:r w:rsidRPr="00C306CA">
        <w:rPr>
          <w:rFonts w:eastAsia="Times New Roman"/>
          <w:color w:val="000000" w:themeColor="text1"/>
          <w:lang w:eastAsia="ar-SA"/>
        </w:rPr>
        <w:t>uložily pouze pokutu.</w:t>
      </w:r>
    </w:p>
    <w:p w:rsidR="00C306CA" w:rsidRPr="00C306CA" w:rsidRDefault="00C306CA" w:rsidP="00C306CA">
      <w:pPr>
        <w:spacing w:before="0" w:after="0"/>
        <w:rPr>
          <w:rFonts w:eastAsia="Times New Roman"/>
          <w:color w:val="000000" w:themeColor="text1"/>
          <w:lang w:eastAsia="ar-SA"/>
        </w:rPr>
      </w:pPr>
    </w:p>
    <w:p w:rsidR="00941B1A" w:rsidRDefault="00941B1A" w:rsidP="00C306CA">
      <w:pPr>
        <w:spacing w:before="0" w:after="0"/>
        <w:rPr>
          <w:rFonts w:eastAsia="Times New Roman" w:cs="Arial"/>
          <w:color w:val="000000" w:themeColor="text1"/>
          <w:lang w:eastAsia="ar-SA"/>
        </w:rPr>
      </w:pPr>
      <w:r w:rsidRPr="00C306CA">
        <w:rPr>
          <w:rFonts w:eastAsia="Times New Roman"/>
          <w:color w:val="000000" w:themeColor="text1"/>
          <w:lang w:eastAsia="ar-SA"/>
        </w:rPr>
        <w:t>P</w:t>
      </w:r>
      <w:r w:rsidRPr="00C306CA">
        <w:rPr>
          <w:rFonts w:eastAsia="Times New Roman" w:cs="Arial"/>
          <w:color w:val="000000" w:themeColor="text1"/>
          <w:lang w:eastAsia="ar-SA"/>
        </w:rPr>
        <w:t>odle § 1 odst. 5 zákona o loteriích jsou spotřebitelské loterie nad zákonem stanovený limit zakázány a ani MF není oprávněno je povolit. V případě zjištění takové loterie nelze rozhodnout o odvodu výnosu a lze uložit pokutu jen do výše 10 mil. Kč, která nemusí dosahovat výše výnosu</w:t>
      </w:r>
      <w:r w:rsidR="00C306CA">
        <w:rPr>
          <w:rFonts w:eastAsia="Times New Roman" w:cs="Arial"/>
          <w:color w:val="000000" w:themeColor="text1"/>
          <w:lang w:eastAsia="ar-SA"/>
        </w:rPr>
        <w:t xml:space="preserve"> provozovatele nepovolené LJPH.</w:t>
      </w:r>
    </w:p>
    <w:p w:rsidR="00C306CA" w:rsidRPr="00C306CA" w:rsidRDefault="00C306CA" w:rsidP="00C306CA">
      <w:pPr>
        <w:spacing w:before="0" w:after="0"/>
        <w:rPr>
          <w:rFonts w:eastAsia="Times New Roman"/>
          <w:lang w:eastAsia="ar-SA"/>
        </w:rPr>
      </w:pPr>
    </w:p>
    <w:p w:rsidR="00941B1A" w:rsidRPr="00C306CA" w:rsidRDefault="00C306CA" w:rsidP="00C306CA">
      <w:pPr>
        <w:spacing w:before="0" w:after="0"/>
        <w:rPr>
          <w:b/>
        </w:rPr>
      </w:pPr>
      <w:r>
        <w:rPr>
          <w:b/>
        </w:rPr>
        <w:t xml:space="preserve">5. </w:t>
      </w:r>
      <w:r w:rsidR="00941B1A" w:rsidRPr="00C306CA">
        <w:rPr>
          <w:b/>
        </w:rPr>
        <w:t xml:space="preserve">Schopnost správného vyměření odvodů a jejich rozdělení </w:t>
      </w:r>
    </w:p>
    <w:p w:rsidR="00C306CA" w:rsidRDefault="00C306CA" w:rsidP="00C306CA">
      <w:pPr>
        <w:spacing w:before="0" w:after="0"/>
      </w:pPr>
    </w:p>
    <w:p w:rsidR="00941B1A" w:rsidRPr="00C306CA" w:rsidRDefault="00941B1A" w:rsidP="00C306CA">
      <w:pPr>
        <w:spacing w:before="0" w:after="0"/>
        <w:rPr>
          <w:b/>
        </w:rPr>
      </w:pPr>
      <w:r w:rsidRPr="00C306CA">
        <w:rPr>
          <w:b/>
        </w:rPr>
        <w:t>Sazby</w:t>
      </w:r>
    </w:p>
    <w:p w:rsidR="00C306CA" w:rsidRPr="00C306CA" w:rsidRDefault="00C306CA" w:rsidP="00C306CA">
      <w:pPr>
        <w:spacing w:before="0" w:after="0"/>
        <w:rPr>
          <w:rFonts w:cs="Arial"/>
        </w:rPr>
      </w:pPr>
    </w:p>
    <w:p w:rsidR="00AB5257" w:rsidRPr="00C306CA" w:rsidRDefault="00941B1A" w:rsidP="00C306CA">
      <w:pPr>
        <w:spacing w:before="0" w:after="0"/>
        <w:rPr>
          <w:rFonts w:cs="Arial"/>
        </w:rPr>
      </w:pPr>
      <w:r w:rsidRPr="00C306CA">
        <w:rPr>
          <w:rFonts w:cs="Arial"/>
        </w:rPr>
        <w:t>Právní úpravou účinnou v ČR od 1. 1. 2012 byla jednotně pro všechny LJPH nastavena sazba odvodu ve výši 20 %</w:t>
      </w:r>
      <w:r w:rsidR="00AB5257" w:rsidRPr="00C306CA">
        <w:rPr>
          <w:rFonts w:cs="Arial"/>
        </w:rPr>
        <w:t xml:space="preserve"> ze základu</w:t>
      </w:r>
      <w:r w:rsidR="001E13AD" w:rsidRPr="00C306CA">
        <w:rPr>
          <w:rFonts w:cs="Arial"/>
        </w:rPr>
        <w:t xml:space="preserve">. </w:t>
      </w:r>
      <w:r w:rsidR="00AB5257" w:rsidRPr="00C306CA">
        <w:rPr>
          <w:rFonts w:cs="Arial"/>
        </w:rPr>
        <w:t>N</w:t>
      </w:r>
      <w:r w:rsidRPr="00C306CA">
        <w:rPr>
          <w:rFonts w:cs="Arial"/>
        </w:rPr>
        <w:t>avíc u VHP a JTHZ byl zaveden odvod 55 Kč za den a povolené zařízení.</w:t>
      </w:r>
    </w:p>
    <w:p w:rsidR="00B41C7A" w:rsidRPr="00C306CA" w:rsidRDefault="00B41C7A" w:rsidP="00C306CA">
      <w:pPr>
        <w:spacing w:before="0" w:after="0"/>
        <w:rPr>
          <w:rFonts w:cs="Arial"/>
        </w:rPr>
      </w:pPr>
    </w:p>
    <w:p w:rsidR="00800EFB" w:rsidRPr="005D684A" w:rsidRDefault="00800EFB" w:rsidP="00C306CA">
      <w:pPr>
        <w:tabs>
          <w:tab w:val="left" w:pos="1560"/>
          <w:tab w:val="right" w:pos="9072"/>
        </w:tabs>
        <w:spacing w:before="0" w:after="0"/>
        <w:rPr>
          <w:rFonts w:cs="Arial"/>
          <w:b/>
        </w:rPr>
      </w:pPr>
      <w:r w:rsidRPr="005D684A">
        <w:rPr>
          <w:rFonts w:cs="Arial"/>
          <w:b/>
        </w:rPr>
        <w:t>Tabulka č. 1</w:t>
      </w:r>
      <w:r w:rsidR="00C4641E" w:rsidRPr="005D684A">
        <w:rPr>
          <w:rFonts w:cs="Arial"/>
          <w:b/>
        </w:rPr>
        <w:t xml:space="preserve"> – </w:t>
      </w:r>
      <w:r w:rsidR="00C306CA" w:rsidRPr="005D684A">
        <w:rPr>
          <w:rFonts w:cs="Arial"/>
          <w:b/>
        </w:rPr>
        <w:tab/>
      </w:r>
      <w:r w:rsidRPr="005D684A">
        <w:rPr>
          <w:rFonts w:cs="Arial"/>
          <w:b/>
        </w:rPr>
        <w:t xml:space="preserve">Celkové poplatkové a odvodové zatížení provozovatelů LJPH </w:t>
      </w:r>
    </w:p>
    <w:p w:rsidR="00240BE0" w:rsidRDefault="00C306CA" w:rsidP="00EB484C">
      <w:pPr>
        <w:tabs>
          <w:tab w:val="left" w:pos="1560"/>
          <w:tab w:val="right" w:pos="9072"/>
        </w:tabs>
        <w:spacing w:before="0" w:after="40"/>
        <w:rPr>
          <w:sz w:val="20"/>
          <w:szCs w:val="20"/>
        </w:rPr>
      </w:pPr>
      <w:r w:rsidRPr="005D684A">
        <w:rPr>
          <w:rFonts w:cs="Arial"/>
          <w:b/>
        </w:rPr>
        <w:tab/>
      </w:r>
      <w:r w:rsidR="00800EFB" w:rsidRPr="005D684A">
        <w:rPr>
          <w:rFonts w:cs="Arial"/>
          <w:b/>
        </w:rPr>
        <w:t>bez příslušné částky daně z příjmu</w:t>
      </w:r>
      <w:r w:rsidR="005E182A" w:rsidRPr="005D684A">
        <w:rPr>
          <w:rFonts w:cs="Arial"/>
          <w:b/>
        </w:rPr>
        <w:tab/>
        <w:t>(v mil. Kč)</w:t>
      </w:r>
      <w:bookmarkStart w:id="4" w:name="_MON_1464687658"/>
      <w:bookmarkEnd w:id="4"/>
    </w:p>
    <w:tbl>
      <w:tblPr>
        <w:tblStyle w:val="Mkatabulky"/>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925"/>
        <w:gridCol w:w="925"/>
        <w:gridCol w:w="926"/>
        <w:gridCol w:w="925"/>
        <w:gridCol w:w="925"/>
        <w:gridCol w:w="926"/>
        <w:gridCol w:w="925"/>
        <w:gridCol w:w="926"/>
      </w:tblGrid>
      <w:tr w:rsidR="005446D0" w:rsidRPr="00312575" w:rsidTr="005446D0">
        <w:trPr>
          <w:cantSplit/>
          <w:jc w:val="center"/>
        </w:trPr>
        <w:tc>
          <w:tcPr>
            <w:tcW w:w="1809" w:type="dxa"/>
            <w:vMerge w:val="restart"/>
            <w:vAlign w:val="center"/>
          </w:tcPr>
          <w:p w:rsidR="005446D0" w:rsidRPr="005D684A" w:rsidRDefault="005446D0" w:rsidP="005446D0">
            <w:pPr>
              <w:spacing w:before="20" w:after="20"/>
              <w:rPr>
                <w:rFonts w:cs="Arial"/>
                <w:b/>
                <w:sz w:val="16"/>
                <w:szCs w:val="16"/>
              </w:rPr>
            </w:pPr>
            <w:r w:rsidRPr="005D684A">
              <w:rPr>
                <w:rFonts w:cs="Arial"/>
                <w:b/>
                <w:sz w:val="16"/>
                <w:szCs w:val="16"/>
              </w:rPr>
              <w:t>Ukazatel</w:t>
            </w:r>
          </w:p>
        </w:tc>
        <w:tc>
          <w:tcPr>
            <w:tcW w:w="7403" w:type="dxa"/>
            <w:gridSpan w:val="8"/>
            <w:vAlign w:val="center"/>
          </w:tcPr>
          <w:p w:rsidR="005446D0" w:rsidRPr="005D684A" w:rsidRDefault="005446D0" w:rsidP="005446D0">
            <w:pPr>
              <w:spacing w:before="20" w:after="20"/>
              <w:jc w:val="center"/>
              <w:rPr>
                <w:rFonts w:cs="Arial"/>
                <w:b/>
                <w:sz w:val="16"/>
                <w:szCs w:val="16"/>
              </w:rPr>
            </w:pPr>
            <w:r w:rsidRPr="005D684A">
              <w:rPr>
                <w:rFonts w:cs="Arial"/>
                <w:b/>
                <w:sz w:val="16"/>
                <w:szCs w:val="16"/>
              </w:rPr>
              <w:t>ROK</w:t>
            </w:r>
          </w:p>
        </w:tc>
      </w:tr>
      <w:tr w:rsidR="005446D0" w:rsidRPr="00312575" w:rsidTr="005446D0">
        <w:trPr>
          <w:jc w:val="center"/>
        </w:trPr>
        <w:tc>
          <w:tcPr>
            <w:tcW w:w="1809" w:type="dxa"/>
            <w:vMerge/>
            <w:vAlign w:val="center"/>
          </w:tcPr>
          <w:p w:rsidR="005446D0" w:rsidRPr="005D684A" w:rsidRDefault="005446D0" w:rsidP="005446D0">
            <w:pPr>
              <w:spacing w:before="20" w:after="20"/>
              <w:rPr>
                <w:rFonts w:cs="Arial"/>
                <w:b/>
                <w:sz w:val="16"/>
                <w:szCs w:val="16"/>
              </w:rPr>
            </w:pPr>
          </w:p>
        </w:tc>
        <w:tc>
          <w:tcPr>
            <w:tcW w:w="1850" w:type="dxa"/>
            <w:gridSpan w:val="2"/>
            <w:vAlign w:val="center"/>
          </w:tcPr>
          <w:p w:rsidR="005446D0" w:rsidRPr="005D684A" w:rsidRDefault="005446D0" w:rsidP="005446D0">
            <w:pPr>
              <w:spacing w:before="20" w:after="20"/>
              <w:jc w:val="center"/>
              <w:rPr>
                <w:rFonts w:cs="Arial"/>
                <w:b/>
                <w:sz w:val="16"/>
                <w:szCs w:val="16"/>
              </w:rPr>
            </w:pPr>
            <w:r w:rsidRPr="005D684A">
              <w:rPr>
                <w:rFonts w:cs="Arial"/>
                <w:b/>
                <w:sz w:val="16"/>
                <w:szCs w:val="16"/>
              </w:rPr>
              <w:t>2010</w:t>
            </w:r>
          </w:p>
        </w:tc>
        <w:tc>
          <w:tcPr>
            <w:tcW w:w="1851" w:type="dxa"/>
            <w:gridSpan w:val="2"/>
            <w:vAlign w:val="center"/>
          </w:tcPr>
          <w:p w:rsidR="005446D0" w:rsidRPr="005D684A" w:rsidRDefault="005446D0" w:rsidP="005446D0">
            <w:pPr>
              <w:spacing w:before="20" w:after="20"/>
              <w:jc w:val="center"/>
              <w:rPr>
                <w:rFonts w:cs="Arial"/>
                <w:b/>
                <w:sz w:val="16"/>
                <w:szCs w:val="16"/>
              </w:rPr>
            </w:pPr>
            <w:r w:rsidRPr="005D684A">
              <w:rPr>
                <w:rFonts w:cs="Arial"/>
                <w:b/>
                <w:sz w:val="16"/>
                <w:szCs w:val="16"/>
              </w:rPr>
              <w:t>2011</w:t>
            </w:r>
          </w:p>
        </w:tc>
        <w:tc>
          <w:tcPr>
            <w:tcW w:w="1851" w:type="dxa"/>
            <w:gridSpan w:val="2"/>
            <w:vAlign w:val="center"/>
          </w:tcPr>
          <w:p w:rsidR="005446D0" w:rsidRPr="005D684A" w:rsidRDefault="005446D0" w:rsidP="005446D0">
            <w:pPr>
              <w:spacing w:before="20" w:after="20"/>
              <w:jc w:val="center"/>
              <w:rPr>
                <w:rFonts w:cs="Arial"/>
                <w:b/>
                <w:sz w:val="16"/>
                <w:szCs w:val="16"/>
              </w:rPr>
            </w:pPr>
            <w:r w:rsidRPr="005D684A">
              <w:rPr>
                <w:rFonts w:cs="Arial"/>
                <w:b/>
                <w:sz w:val="16"/>
                <w:szCs w:val="16"/>
              </w:rPr>
              <w:t>2012</w:t>
            </w:r>
          </w:p>
        </w:tc>
        <w:tc>
          <w:tcPr>
            <w:tcW w:w="1851" w:type="dxa"/>
            <w:gridSpan w:val="2"/>
            <w:vAlign w:val="center"/>
          </w:tcPr>
          <w:p w:rsidR="005446D0" w:rsidRPr="005D684A" w:rsidRDefault="005446D0" w:rsidP="005446D0">
            <w:pPr>
              <w:spacing w:before="20" w:after="20"/>
              <w:jc w:val="center"/>
              <w:rPr>
                <w:rFonts w:cs="Arial"/>
                <w:b/>
                <w:sz w:val="16"/>
                <w:szCs w:val="16"/>
              </w:rPr>
            </w:pPr>
            <w:r w:rsidRPr="005D684A">
              <w:rPr>
                <w:rFonts w:cs="Arial"/>
                <w:b/>
                <w:sz w:val="16"/>
                <w:szCs w:val="16"/>
              </w:rPr>
              <w:t>2013</w:t>
            </w:r>
          </w:p>
        </w:tc>
      </w:tr>
      <w:tr w:rsidR="005446D0" w:rsidRPr="00312575" w:rsidTr="005446D0">
        <w:trPr>
          <w:jc w:val="center"/>
        </w:trPr>
        <w:tc>
          <w:tcPr>
            <w:tcW w:w="1809" w:type="dxa"/>
            <w:vMerge/>
            <w:vAlign w:val="center"/>
          </w:tcPr>
          <w:p w:rsidR="005446D0" w:rsidRPr="005D684A" w:rsidRDefault="005446D0" w:rsidP="005446D0">
            <w:pPr>
              <w:spacing w:before="20" w:after="20"/>
              <w:rPr>
                <w:rFonts w:cs="Arial"/>
                <w:b/>
                <w:sz w:val="16"/>
                <w:szCs w:val="16"/>
              </w:rPr>
            </w:pPr>
          </w:p>
        </w:tc>
        <w:tc>
          <w:tcPr>
            <w:tcW w:w="925" w:type="dxa"/>
            <w:vAlign w:val="center"/>
          </w:tcPr>
          <w:p w:rsidR="005446D0" w:rsidRPr="005D684A" w:rsidRDefault="00AA4A46" w:rsidP="005446D0">
            <w:pPr>
              <w:spacing w:before="20" w:after="20"/>
              <w:jc w:val="center"/>
              <w:rPr>
                <w:rFonts w:cs="Arial"/>
                <w:b/>
                <w:sz w:val="16"/>
                <w:szCs w:val="16"/>
              </w:rPr>
            </w:pPr>
            <w:r>
              <w:rPr>
                <w:rFonts w:cs="Arial"/>
                <w:b/>
                <w:sz w:val="16"/>
                <w:szCs w:val="16"/>
              </w:rPr>
              <w:t>P</w:t>
            </w:r>
            <w:r w:rsidR="005446D0" w:rsidRPr="005D684A">
              <w:rPr>
                <w:rFonts w:cs="Arial"/>
                <w:b/>
                <w:sz w:val="16"/>
                <w:szCs w:val="16"/>
              </w:rPr>
              <w:t>ředpis</w:t>
            </w:r>
          </w:p>
        </w:tc>
        <w:tc>
          <w:tcPr>
            <w:tcW w:w="925" w:type="dxa"/>
            <w:vAlign w:val="center"/>
          </w:tcPr>
          <w:p w:rsidR="005446D0" w:rsidRPr="005D684A" w:rsidRDefault="00AA4A46" w:rsidP="005446D0">
            <w:pPr>
              <w:spacing w:before="20" w:after="20"/>
              <w:jc w:val="center"/>
              <w:rPr>
                <w:rFonts w:cs="Arial"/>
                <w:b/>
                <w:sz w:val="16"/>
                <w:szCs w:val="16"/>
              </w:rPr>
            </w:pPr>
            <w:r>
              <w:rPr>
                <w:rFonts w:cs="Arial"/>
                <w:b/>
                <w:sz w:val="16"/>
                <w:szCs w:val="16"/>
              </w:rPr>
              <w:t>I</w:t>
            </w:r>
            <w:r w:rsidR="005446D0" w:rsidRPr="005D684A">
              <w:rPr>
                <w:rFonts w:cs="Arial"/>
                <w:b/>
                <w:sz w:val="16"/>
                <w:szCs w:val="16"/>
              </w:rPr>
              <w:t>nkaso</w:t>
            </w:r>
          </w:p>
        </w:tc>
        <w:tc>
          <w:tcPr>
            <w:tcW w:w="926" w:type="dxa"/>
            <w:vAlign w:val="center"/>
          </w:tcPr>
          <w:p w:rsidR="005446D0" w:rsidRPr="005D684A" w:rsidRDefault="00AA4A46" w:rsidP="005446D0">
            <w:pPr>
              <w:spacing w:before="20" w:after="20"/>
              <w:jc w:val="center"/>
              <w:rPr>
                <w:rFonts w:cs="Arial"/>
                <w:b/>
                <w:sz w:val="16"/>
                <w:szCs w:val="16"/>
              </w:rPr>
            </w:pPr>
            <w:r>
              <w:rPr>
                <w:rFonts w:cs="Arial"/>
                <w:b/>
                <w:sz w:val="16"/>
                <w:szCs w:val="16"/>
              </w:rPr>
              <w:t>P</w:t>
            </w:r>
            <w:r w:rsidR="005446D0" w:rsidRPr="005D684A">
              <w:rPr>
                <w:rFonts w:cs="Arial"/>
                <w:b/>
                <w:sz w:val="16"/>
                <w:szCs w:val="16"/>
              </w:rPr>
              <w:t>ředpis</w:t>
            </w:r>
          </w:p>
        </w:tc>
        <w:tc>
          <w:tcPr>
            <w:tcW w:w="925" w:type="dxa"/>
            <w:vAlign w:val="center"/>
          </w:tcPr>
          <w:p w:rsidR="005446D0" w:rsidRPr="005D684A" w:rsidRDefault="00AA4A46" w:rsidP="005446D0">
            <w:pPr>
              <w:spacing w:before="20" w:after="20"/>
              <w:jc w:val="center"/>
              <w:rPr>
                <w:rFonts w:cs="Arial"/>
                <w:b/>
                <w:sz w:val="16"/>
                <w:szCs w:val="16"/>
              </w:rPr>
            </w:pPr>
            <w:r>
              <w:rPr>
                <w:rFonts w:cs="Arial"/>
                <w:b/>
                <w:sz w:val="16"/>
                <w:szCs w:val="16"/>
              </w:rPr>
              <w:t>I</w:t>
            </w:r>
            <w:r w:rsidR="005446D0" w:rsidRPr="005D684A">
              <w:rPr>
                <w:rFonts w:cs="Arial"/>
                <w:b/>
                <w:sz w:val="16"/>
                <w:szCs w:val="16"/>
              </w:rPr>
              <w:t>nkaso</w:t>
            </w:r>
          </w:p>
        </w:tc>
        <w:tc>
          <w:tcPr>
            <w:tcW w:w="925" w:type="dxa"/>
            <w:vAlign w:val="center"/>
          </w:tcPr>
          <w:p w:rsidR="005446D0" w:rsidRPr="005D684A" w:rsidRDefault="00AA4A46" w:rsidP="005446D0">
            <w:pPr>
              <w:spacing w:before="20" w:after="20"/>
              <w:jc w:val="center"/>
              <w:rPr>
                <w:rFonts w:cs="Arial"/>
                <w:b/>
                <w:sz w:val="16"/>
                <w:szCs w:val="16"/>
              </w:rPr>
            </w:pPr>
            <w:r>
              <w:rPr>
                <w:rFonts w:cs="Arial"/>
                <w:b/>
                <w:sz w:val="16"/>
                <w:szCs w:val="16"/>
              </w:rPr>
              <w:t>P</w:t>
            </w:r>
            <w:r w:rsidR="005446D0" w:rsidRPr="005D684A">
              <w:rPr>
                <w:rFonts w:cs="Arial"/>
                <w:b/>
                <w:sz w:val="16"/>
                <w:szCs w:val="16"/>
              </w:rPr>
              <w:t>ředpis</w:t>
            </w:r>
          </w:p>
        </w:tc>
        <w:tc>
          <w:tcPr>
            <w:tcW w:w="926" w:type="dxa"/>
            <w:vAlign w:val="center"/>
          </w:tcPr>
          <w:p w:rsidR="005446D0" w:rsidRPr="005D684A" w:rsidRDefault="00AA4A46" w:rsidP="005446D0">
            <w:pPr>
              <w:spacing w:before="20" w:after="20"/>
              <w:jc w:val="center"/>
              <w:rPr>
                <w:rFonts w:cs="Arial"/>
                <w:b/>
                <w:sz w:val="16"/>
                <w:szCs w:val="16"/>
              </w:rPr>
            </w:pPr>
            <w:r>
              <w:rPr>
                <w:rFonts w:cs="Arial"/>
                <w:b/>
                <w:sz w:val="16"/>
                <w:szCs w:val="16"/>
              </w:rPr>
              <w:t>I</w:t>
            </w:r>
            <w:r w:rsidR="005446D0" w:rsidRPr="005D684A">
              <w:rPr>
                <w:rFonts w:cs="Arial"/>
                <w:b/>
                <w:sz w:val="16"/>
                <w:szCs w:val="16"/>
              </w:rPr>
              <w:t>nkaso</w:t>
            </w:r>
          </w:p>
        </w:tc>
        <w:tc>
          <w:tcPr>
            <w:tcW w:w="925" w:type="dxa"/>
            <w:vAlign w:val="center"/>
          </w:tcPr>
          <w:p w:rsidR="005446D0" w:rsidRPr="005D684A" w:rsidRDefault="00AA4A46" w:rsidP="005446D0">
            <w:pPr>
              <w:spacing w:before="20" w:after="20"/>
              <w:jc w:val="center"/>
              <w:rPr>
                <w:rFonts w:cs="Arial"/>
                <w:b/>
                <w:sz w:val="16"/>
                <w:szCs w:val="16"/>
              </w:rPr>
            </w:pPr>
            <w:r>
              <w:rPr>
                <w:rFonts w:cs="Arial"/>
                <w:b/>
                <w:sz w:val="16"/>
                <w:szCs w:val="16"/>
              </w:rPr>
              <w:t>P</w:t>
            </w:r>
            <w:r w:rsidR="005446D0" w:rsidRPr="005D684A">
              <w:rPr>
                <w:rFonts w:cs="Arial"/>
                <w:b/>
                <w:sz w:val="16"/>
                <w:szCs w:val="16"/>
              </w:rPr>
              <w:t>ředpis</w:t>
            </w:r>
          </w:p>
        </w:tc>
        <w:tc>
          <w:tcPr>
            <w:tcW w:w="926" w:type="dxa"/>
            <w:vAlign w:val="center"/>
          </w:tcPr>
          <w:p w:rsidR="005446D0" w:rsidRPr="005D684A" w:rsidRDefault="00AA4A46" w:rsidP="005446D0">
            <w:pPr>
              <w:spacing w:before="20" w:after="20"/>
              <w:jc w:val="center"/>
              <w:rPr>
                <w:rFonts w:cs="Arial"/>
                <w:b/>
                <w:sz w:val="16"/>
                <w:szCs w:val="16"/>
              </w:rPr>
            </w:pPr>
            <w:r>
              <w:rPr>
                <w:rFonts w:cs="Arial"/>
                <w:b/>
                <w:sz w:val="16"/>
                <w:szCs w:val="16"/>
              </w:rPr>
              <w:t>I</w:t>
            </w:r>
            <w:r w:rsidR="005446D0" w:rsidRPr="005D684A">
              <w:rPr>
                <w:rFonts w:cs="Arial"/>
                <w:b/>
                <w:sz w:val="16"/>
                <w:szCs w:val="16"/>
              </w:rPr>
              <w:t>nkaso</w:t>
            </w:r>
          </w:p>
        </w:tc>
      </w:tr>
      <w:tr w:rsidR="005446D0" w:rsidRPr="00312575" w:rsidTr="005446D0">
        <w:trPr>
          <w:jc w:val="center"/>
        </w:trPr>
        <w:tc>
          <w:tcPr>
            <w:tcW w:w="1809" w:type="dxa"/>
            <w:vAlign w:val="center"/>
          </w:tcPr>
          <w:p w:rsidR="005446D0" w:rsidRPr="00312575" w:rsidRDefault="005446D0" w:rsidP="005446D0">
            <w:pPr>
              <w:spacing w:before="20" w:after="20"/>
              <w:rPr>
                <w:rFonts w:cs="Arial"/>
                <w:sz w:val="16"/>
                <w:szCs w:val="16"/>
              </w:rPr>
            </w:pPr>
            <w:r>
              <w:rPr>
                <w:rFonts w:cs="Arial"/>
                <w:sz w:val="16"/>
                <w:szCs w:val="16"/>
              </w:rPr>
              <w:t>Odvod na státní dozor</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182,88</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186,76</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198,6</w:t>
            </w:r>
            <w:r w:rsidR="00AA4A46">
              <w:rPr>
                <w:rFonts w:cs="Arial"/>
                <w:sz w:val="16"/>
                <w:szCs w:val="16"/>
              </w:rPr>
              <w:t>0</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218,34</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r>
      <w:tr w:rsidR="005446D0" w:rsidRPr="00312575" w:rsidTr="005446D0">
        <w:trPr>
          <w:jc w:val="center"/>
        </w:trPr>
        <w:tc>
          <w:tcPr>
            <w:tcW w:w="1809" w:type="dxa"/>
            <w:vAlign w:val="center"/>
          </w:tcPr>
          <w:p w:rsidR="005446D0" w:rsidRPr="00312575" w:rsidRDefault="005446D0" w:rsidP="005446D0">
            <w:pPr>
              <w:spacing w:before="20" w:after="20"/>
              <w:rPr>
                <w:rFonts w:cs="Arial"/>
                <w:sz w:val="16"/>
                <w:szCs w:val="16"/>
              </w:rPr>
            </w:pPr>
            <w:r>
              <w:rPr>
                <w:rFonts w:cs="Arial"/>
                <w:sz w:val="16"/>
                <w:szCs w:val="16"/>
              </w:rPr>
              <w:t>Správní poplatky</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745,08</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735,13</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768,01</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751,03</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1 028,31</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989,58</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18,18</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131,23</w:t>
            </w:r>
          </w:p>
        </w:tc>
      </w:tr>
      <w:tr w:rsidR="005446D0" w:rsidRPr="00312575" w:rsidTr="005446D0">
        <w:trPr>
          <w:jc w:val="center"/>
        </w:trPr>
        <w:tc>
          <w:tcPr>
            <w:tcW w:w="1809" w:type="dxa"/>
            <w:vAlign w:val="center"/>
          </w:tcPr>
          <w:p w:rsidR="005446D0" w:rsidRPr="00312575" w:rsidRDefault="005446D0" w:rsidP="005446D0">
            <w:pPr>
              <w:spacing w:before="20" w:after="20"/>
              <w:rPr>
                <w:rFonts w:cs="Arial"/>
                <w:sz w:val="16"/>
                <w:szCs w:val="16"/>
              </w:rPr>
            </w:pPr>
            <w:r>
              <w:rPr>
                <w:rFonts w:cs="Arial"/>
                <w:sz w:val="16"/>
                <w:szCs w:val="16"/>
              </w:rPr>
              <w:t>Odvod z loterií LJPH</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6 035,35</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5 935,76</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8 139,00</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8 057,00</w:t>
            </w:r>
          </w:p>
        </w:tc>
      </w:tr>
      <w:tr w:rsidR="005446D0" w:rsidRPr="00312575" w:rsidTr="005446D0">
        <w:trPr>
          <w:jc w:val="center"/>
        </w:trPr>
        <w:tc>
          <w:tcPr>
            <w:tcW w:w="1809" w:type="dxa"/>
            <w:vAlign w:val="center"/>
          </w:tcPr>
          <w:p w:rsidR="005446D0" w:rsidRPr="00312575" w:rsidRDefault="005446D0" w:rsidP="005446D0">
            <w:pPr>
              <w:spacing w:before="20" w:after="20"/>
              <w:rPr>
                <w:rFonts w:cs="Arial"/>
                <w:sz w:val="16"/>
                <w:szCs w:val="16"/>
              </w:rPr>
            </w:pPr>
            <w:r>
              <w:rPr>
                <w:rFonts w:cs="Arial"/>
                <w:sz w:val="16"/>
                <w:szCs w:val="16"/>
              </w:rPr>
              <w:t>Místní poplatky</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927,3</w:t>
            </w:r>
            <w:r w:rsidR="00AA4A46">
              <w:rPr>
                <w:rFonts w:cs="Arial"/>
                <w:sz w:val="16"/>
                <w:szCs w:val="16"/>
              </w:rPr>
              <w:t>0</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1 305,45</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188,01</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131,47</w:t>
            </w:r>
          </w:p>
        </w:tc>
      </w:tr>
      <w:tr w:rsidR="005446D0" w:rsidRPr="00312575" w:rsidTr="005446D0">
        <w:trPr>
          <w:jc w:val="center"/>
        </w:trPr>
        <w:tc>
          <w:tcPr>
            <w:tcW w:w="1809" w:type="dxa"/>
            <w:vAlign w:val="center"/>
          </w:tcPr>
          <w:p w:rsidR="005446D0" w:rsidRPr="00312575" w:rsidRDefault="005446D0" w:rsidP="005446D0">
            <w:pPr>
              <w:spacing w:before="20" w:after="20"/>
              <w:rPr>
                <w:rFonts w:cs="Arial"/>
                <w:sz w:val="16"/>
                <w:szCs w:val="16"/>
              </w:rPr>
            </w:pPr>
            <w:r>
              <w:rPr>
                <w:rFonts w:cs="Arial"/>
                <w:sz w:val="16"/>
                <w:szCs w:val="16"/>
              </w:rPr>
              <w:t>Odvod na VPÚ</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3 531,00</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3 463,00</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r>
      <w:tr w:rsidR="005446D0" w:rsidRPr="00AA4A46" w:rsidTr="005446D0">
        <w:trPr>
          <w:jc w:val="center"/>
        </w:trPr>
        <w:tc>
          <w:tcPr>
            <w:tcW w:w="1809" w:type="dxa"/>
            <w:shd w:val="clear" w:color="auto" w:fill="D9D9D9" w:themeFill="background1" w:themeFillShade="D9"/>
            <w:vAlign w:val="center"/>
          </w:tcPr>
          <w:p w:rsidR="005446D0" w:rsidRPr="005D684A" w:rsidRDefault="005446D0" w:rsidP="005446D0">
            <w:pPr>
              <w:spacing w:before="20" w:after="20"/>
              <w:rPr>
                <w:rFonts w:cs="Arial"/>
                <w:b/>
                <w:sz w:val="16"/>
                <w:szCs w:val="16"/>
              </w:rPr>
            </w:pPr>
            <w:r w:rsidRPr="005D684A">
              <w:rPr>
                <w:rFonts w:cs="Arial"/>
                <w:b/>
                <w:sz w:val="16"/>
                <w:szCs w:val="16"/>
              </w:rPr>
              <w:t>CELKEM</w:t>
            </w:r>
          </w:p>
        </w:tc>
        <w:tc>
          <w:tcPr>
            <w:tcW w:w="925" w:type="dxa"/>
            <w:shd w:val="clear" w:color="auto" w:fill="D9D9D9" w:themeFill="background1" w:themeFillShade="D9"/>
            <w:vAlign w:val="center"/>
          </w:tcPr>
          <w:p w:rsidR="005446D0" w:rsidRPr="005D684A" w:rsidRDefault="005446D0" w:rsidP="005446D0">
            <w:pPr>
              <w:spacing w:before="20" w:after="20"/>
              <w:ind w:right="28"/>
              <w:jc w:val="right"/>
              <w:rPr>
                <w:rFonts w:cs="Arial"/>
                <w:b/>
                <w:sz w:val="16"/>
                <w:szCs w:val="16"/>
              </w:rPr>
            </w:pPr>
            <w:r w:rsidRPr="005D684A">
              <w:rPr>
                <w:rFonts w:cs="Arial"/>
                <w:b/>
                <w:sz w:val="16"/>
                <w:szCs w:val="16"/>
              </w:rPr>
              <w:t>927,96</w:t>
            </w:r>
          </w:p>
        </w:tc>
        <w:tc>
          <w:tcPr>
            <w:tcW w:w="925" w:type="dxa"/>
            <w:shd w:val="clear" w:color="auto" w:fill="D9D9D9" w:themeFill="background1" w:themeFillShade="D9"/>
            <w:vAlign w:val="center"/>
          </w:tcPr>
          <w:p w:rsidR="005446D0" w:rsidRPr="005D684A" w:rsidRDefault="005446D0" w:rsidP="005446D0">
            <w:pPr>
              <w:spacing w:before="20" w:after="20"/>
              <w:ind w:right="28"/>
              <w:jc w:val="right"/>
              <w:rPr>
                <w:rFonts w:cs="Arial"/>
                <w:b/>
                <w:sz w:val="16"/>
                <w:szCs w:val="16"/>
              </w:rPr>
            </w:pPr>
            <w:r w:rsidRPr="005D684A">
              <w:rPr>
                <w:rFonts w:cs="Arial"/>
                <w:b/>
                <w:sz w:val="16"/>
                <w:szCs w:val="16"/>
              </w:rPr>
              <w:t>5 380,19</w:t>
            </w:r>
          </w:p>
        </w:tc>
        <w:tc>
          <w:tcPr>
            <w:tcW w:w="926" w:type="dxa"/>
            <w:shd w:val="clear" w:color="auto" w:fill="D9D9D9" w:themeFill="background1" w:themeFillShade="D9"/>
            <w:vAlign w:val="center"/>
          </w:tcPr>
          <w:p w:rsidR="005446D0" w:rsidRPr="005D684A" w:rsidRDefault="005446D0" w:rsidP="005446D0">
            <w:pPr>
              <w:spacing w:before="20" w:after="20"/>
              <w:ind w:right="28"/>
              <w:jc w:val="right"/>
              <w:rPr>
                <w:rFonts w:cs="Arial"/>
                <w:b/>
                <w:sz w:val="16"/>
                <w:szCs w:val="16"/>
              </w:rPr>
            </w:pPr>
            <w:r w:rsidRPr="005D684A">
              <w:rPr>
                <w:rFonts w:cs="Arial"/>
                <w:b/>
                <w:sz w:val="16"/>
                <w:szCs w:val="16"/>
              </w:rPr>
              <w:t>966,61</w:t>
            </w:r>
          </w:p>
        </w:tc>
        <w:tc>
          <w:tcPr>
            <w:tcW w:w="925" w:type="dxa"/>
            <w:shd w:val="clear" w:color="auto" w:fill="D9D9D9" w:themeFill="background1" w:themeFillShade="D9"/>
            <w:vAlign w:val="center"/>
          </w:tcPr>
          <w:p w:rsidR="005446D0" w:rsidRPr="005D684A" w:rsidRDefault="005446D0" w:rsidP="005446D0">
            <w:pPr>
              <w:spacing w:before="20" w:after="20"/>
              <w:ind w:right="28"/>
              <w:jc w:val="right"/>
              <w:rPr>
                <w:rFonts w:cs="Arial"/>
                <w:b/>
                <w:sz w:val="16"/>
                <w:szCs w:val="16"/>
              </w:rPr>
            </w:pPr>
            <w:r w:rsidRPr="005D684A">
              <w:rPr>
                <w:rFonts w:cs="Arial"/>
                <w:b/>
                <w:sz w:val="16"/>
                <w:szCs w:val="16"/>
              </w:rPr>
              <w:t>5 737,82</w:t>
            </w:r>
          </w:p>
        </w:tc>
        <w:tc>
          <w:tcPr>
            <w:tcW w:w="925" w:type="dxa"/>
            <w:shd w:val="clear" w:color="auto" w:fill="D9D9D9" w:themeFill="background1" w:themeFillShade="D9"/>
            <w:vAlign w:val="center"/>
          </w:tcPr>
          <w:p w:rsidR="005446D0" w:rsidRPr="005D684A" w:rsidRDefault="005446D0" w:rsidP="005446D0">
            <w:pPr>
              <w:spacing w:before="20" w:after="20"/>
              <w:ind w:right="28"/>
              <w:jc w:val="right"/>
              <w:rPr>
                <w:rFonts w:cs="Arial"/>
                <w:b/>
                <w:sz w:val="16"/>
                <w:szCs w:val="16"/>
              </w:rPr>
            </w:pPr>
            <w:r w:rsidRPr="005D684A">
              <w:rPr>
                <w:rFonts w:cs="Arial"/>
                <w:b/>
                <w:sz w:val="16"/>
                <w:szCs w:val="16"/>
              </w:rPr>
              <w:t>7 063,66</w:t>
            </w:r>
          </w:p>
        </w:tc>
        <w:tc>
          <w:tcPr>
            <w:tcW w:w="926" w:type="dxa"/>
            <w:shd w:val="clear" w:color="auto" w:fill="D9D9D9" w:themeFill="background1" w:themeFillShade="D9"/>
            <w:vAlign w:val="center"/>
          </w:tcPr>
          <w:p w:rsidR="005446D0" w:rsidRPr="005D684A" w:rsidRDefault="005446D0" w:rsidP="005446D0">
            <w:pPr>
              <w:spacing w:before="20" w:after="20"/>
              <w:ind w:right="28"/>
              <w:jc w:val="right"/>
              <w:rPr>
                <w:rFonts w:cs="Arial"/>
                <w:b/>
                <w:sz w:val="16"/>
                <w:szCs w:val="16"/>
              </w:rPr>
            </w:pPr>
            <w:r w:rsidRPr="005D684A">
              <w:rPr>
                <w:rFonts w:cs="Arial"/>
                <w:b/>
                <w:sz w:val="16"/>
                <w:szCs w:val="16"/>
              </w:rPr>
              <w:t>7 113,35</w:t>
            </w:r>
          </w:p>
        </w:tc>
        <w:tc>
          <w:tcPr>
            <w:tcW w:w="925" w:type="dxa"/>
            <w:shd w:val="clear" w:color="auto" w:fill="D9D9D9" w:themeFill="background1" w:themeFillShade="D9"/>
            <w:vAlign w:val="center"/>
          </w:tcPr>
          <w:p w:rsidR="005446D0" w:rsidRPr="005D684A" w:rsidRDefault="005446D0" w:rsidP="005446D0">
            <w:pPr>
              <w:spacing w:before="20" w:after="20"/>
              <w:ind w:right="28"/>
              <w:jc w:val="right"/>
              <w:rPr>
                <w:rFonts w:cs="Arial"/>
                <w:b/>
                <w:sz w:val="16"/>
                <w:szCs w:val="16"/>
              </w:rPr>
            </w:pPr>
            <w:r w:rsidRPr="005D684A">
              <w:rPr>
                <w:rFonts w:cs="Arial"/>
                <w:b/>
                <w:sz w:val="16"/>
                <w:szCs w:val="16"/>
              </w:rPr>
              <w:t>8 157,18</w:t>
            </w:r>
          </w:p>
        </w:tc>
        <w:tc>
          <w:tcPr>
            <w:tcW w:w="926" w:type="dxa"/>
            <w:shd w:val="clear" w:color="auto" w:fill="D9D9D9" w:themeFill="background1" w:themeFillShade="D9"/>
            <w:vAlign w:val="center"/>
          </w:tcPr>
          <w:p w:rsidR="005446D0" w:rsidRPr="005D684A" w:rsidRDefault="005446D0" w:rsidP="005446D0">
            <w:pPr>
              <w:spacing w:before="20" w:after="20"/>
              <w:ind w:right="28"/>
              <w:jc w:val="right"/>
              <w:rPr>
                <w:rFonts w:cs="Arial"/>
                <w:b/>
                <w:sz w:val="16"/>
                <w:szCs w:val="16"/>
              </w:rPr>
            </w:pPr>
            <w:r w:rsidRPr="005D684A">
              <w:rPr>
                <w:rFonts w:cs="Arial"/>
                <w:b/>
                <w:sz w:val="16"/>
                <w:szCs w:val="16"/>
              </w:rPr>
              <w:t>8 319,70</w:t>
            </w:r>
          </w:p>
        </w:tc>
      </w:tr>
      <w:tr w:rsidR="005446D0" w:rsidRPr="00312575" w:rsidTr="005446D0">
        <w:trPr>
          <w:jc w:val="center"/>
        </w:trPr>
        <w:tc>
          <w:tcPr>
            <w:tcW w:w="9212" w:type="dxa"/>
            <w:gridSpan w:val="9"/>
            <w:shd w:val="clear" w:color="auto" w:fill="auto"/>
            <w:vAlign w:val="center"/>
          </w:tcPr>
          <w:p w:rsidR="005446D0" w:rsidRDefault="005446D0" w:rsidP="005446D0">
            <w:pPr>
              <w:spacing w:before="20" w:after="20"/>
              <w:ind w:right="28"/>
              <w:jc w:val="center"/>
              <w:rPr>
                <w:rFonts w:cs="Arial"/>
                <w:sz w:val="16"/>
                <w:szCs w:val="16"/>
              </w:rPr>
            </w:pPr>
          </w:p>
        </w:tc>
      </w:tr>
      <w:tr w:rsidR="005446D0" w:rsidRPr="00312575" w:rsidTr="005446D0">
        <w:trPr>
          <w:jc w:val="center"/>
        </w:trPr>
        <w:tc>
          <w:tcPr>
            <w:tcW w:w="1809" w:type="dxa"/>
            <w:vAlign w:val="center"/>
          </w:tcPr>
          <w:p w:rsidR="005446D0" w:rsidRPr="00312575" w:rsidRDefault="005446D0" w:rsidP="005446D0">
            <w:pPr>
              <w:spacing w:before="20" w:after="20"/>
              <w:rPr>
                <w:rFonts w:cs="Arial"/>
                <w:sz w:val="16"/>
                <w:szCs w:val="16"/>
              </w:rPr>
            </w:pPr>
            <w:r>
              <w:rPr>
                <w:rFonts w:cs="Arial"/>
                <w:sz w:val="16"/>
                <w:szCs w:val="16"/>
              </w:rPr>
              <w:t>Vsazeno</w:t>
            </w:r>
          </w:p>
        </w:tc>
        <w:tc>
          <w:tcPr>
            <w:tcW w:w="925" w:type="dxa"/>
            <w:vMerge w:val="restart"/>
            <w:vAlign w:val="center"/>
          </w:tcPr>
          <w:p w:rsidR="005446D0" w:rsidRPr="00312575" w:rsidRDefault="005446D0" w:rsidP="005446D0">
            <w:pPr>
              <w:spacing w:before="20" w:after="20"/>
              <w:ind w:right="28"/>
              <w:jc w:val="center"/>
              <w:rPr>
                <w:rFonts w:cs="Arial"/>
                <w:sz w:val="16"/>
                <w:szCs w:val="16"/>
              </w:rPr>
            </w:pP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123 634</w:t>
            </w:r>
          </w:p>
        </w:tc>
        <w:tc>
          <w:tcPr>
            <w:tcW w:w="926" w:type="dxa"/>
            <w:vMerge w:val="restart"/>
            <w:vAlign w:val="center"/>
          </w:tcPr>
          <w:p w:rsidR="005446D0" w:rsidRPr="00312575" w:rsidRDefault="005446D0" w:rsidP="005446D0">
            <w:pPr>
              <w:spacing w:before="20" w:after="20"/>
              <w:ind w:right="28"/>
              <w:jc w:val="center"/>
              <w:rPr>
                <w:rFonts w:cs="Arial"/>
                <w:sz w:val="16"/>
                <w:szCs w:val="16"/>
              </w:rPr>
            </w:pP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126 822</w:t>
            </w:r>
          </w:p>
        </w:tc>
        <w:tc>
          <w:tcPr>
            <w:tcW w:w="925" w:type="dxa"/>
            <w:vMerge w:val="restart"/>
            <w:vAlign w:val="center"/>
          </w:tcPr>
          <w:p w:rsidR="005446D0" w:rsidRPr="00312575" w:rsidRDefault="005446D0" w:rsidP="005446D0">
            <w:pPr>
              <w:spacing w:before="20" w:after="20"/>
              <w:ind w:right="28"/>
              <w:jc w:val="center"/>
              <w:rPr>
                <w:rFonts w:cs="Arial"/>
                <w:sz w:val="16"/>
                <w:szCs w:val="16"/>
              </w:rPr>
            </w:pP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135 537</w:t>
            </w:r>
          </w:p>
        </w:tc>
        <w:tc>
          <w:tcPr>
            <w:tcW w:w="925" w:type="dxa"/>
            <w:vMerge w:val="restart"/>
            <w:vAlign w:val="center"/>
          </w:tcPr>
          <w:p w:rsidR="005446D0" w:rsidRPr="00312575" w:rsidRDefault="005446D0" w:rsidP="005446D0">
            <w:pPr>
              <w:spacing w:before="20" w:after="20"/>
              <w:ind w:right="28"/>
              <w:jc w:val="center"/>
              <w:rPr>
                <w:rFonts w:cs="Arial"/>
                <w:sz w:val="16"/>
                <w:szCs w:val="16"/>
              </w:rPr>
            </w:pP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r>
      <w:tr w:rsidR="005446D0" w:rsidRPr="00312575" w:rsidTr="005446D0">
        <w:trPr>
          <w:jc w:val="center"/>
        </w:trPr>
        <w:tc>
          <w:tcPr>
            <w:tcW w:w="1809" w:type="dxa"/>
            <w:vAlign w:val="center"/>
          </w:tcPr>
          <w:p w:rsidR="005446D0" w:rsidRPr="00312575" w:rsidRDefault="005446D0" w:rsidP="005446D0">
            <w:pPr>
              <w:spacing w:before="20" w:after="20"/>
              <w:rPr>
                <w:rFonts w:cs="Arial"/>
                <w:sz w:val="16"/>
                <w:szCs w:val="16"/>
              </w:rPr>
            </w:pPr>
            <w:r>
              <w:rPr>
                <w:rFonts w:cs="Arial"/>
                <w:sz w:val="16"/>
                <w:szCs w:val="16"/>
              </w:rPr>
              <w:t>Vyplaceno</w:t>
            </w:r>
          </w:p>
        </w:tc>
        <w:tc>
          <w:tcPr>
            <w:tcW w:w="925" w:type="dxa"/>
            <w:vMerge/>
            <w:vAlign w:val="center"/>
          </w:tcPr>
          <w:p w:rsidR="005446D0" w:rsidRPr="00312575" w:rsidRDefault="005446D0" w:rsidP="005446D0">
            <w:pPr>
              <w:spacing w:before="20" w:after="20"/>
              <w:ind w:right="28"/>
              <w:jc w:val="right"/>
              <w:rPr>
                <w:rFonts w:cs="Arial"/>
                <w:sz w:val="16"/>
                <w:szCs w:val="16"/>
              </w:rPr>
            </w:pP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93 812</w:t>
            </w:r>
          </w:p>
        </w:tc>
        <w:tc>
          <w:tcPr>
            <w:tcW w:w="926" w:type="dxa"/>
            <w:vMerge/>
            <w:vAlign w:val="center"/>
          </w:tcPr>
          <w:p w:rsidR="005446D0" w:rsidRPr="00312575" w:rsidRDefault="005446D0" w:rsidP="005446D0">
            <w:pPr>
              <w:spacing w:before="20" w:after="20"/>
              <w:ind w:right="28"/>
              <w:jc w:val="right"/>
              <w:rPr>
                <w:rFonts w:cs="Arial"/>
                <w:sz w:val="16"/>
                <w:szCs w:val="16"/>
              </w:rPr>
            </w:pP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95 722</w:t>
            </w:r>
          </w:p>
        </w:tc>
        <w:tc>
          <w:tcPr>
            <w:tcW w:w="925" w:type="dxa"/>
            <w:vMerge/>
            <w:vAlign w:val="center"/>
          </w:tcPr>
          <w:p w:rsidR="005446D0" w:rsidRPr="00312575" w:rsidRDefault="005446D0" w:rsidP="005446D0">
            <w:pPr>
              <w:spacing w:before="20" w:after="20"/>
              <w:ind w:right="28"/>
              <w:jc w:val="right"/>
              <w:rPr>
                <w:rFonts w:cs="Arial"/>
                <w:sz w:val="16"/>
                <w:szCs w:val="16"/>
              </w:rPr>
            </w:pP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103 728</w:t>
            </w:r>
          </w:p>
        </w:tc>
        <w:tc>
          <w:tcPr>
            <w:tcW w:w="925" w:type="dxa"/>
            <w:vMerge/>
            <w:vAlign w:val="center"/>
          </w:tcPr>
          <w:p w:rsidR="005446D0" w:rsidRPr="00312575" w:rsidRDefault="005446D0" w:rsidP="005446D0">
            <w:pPr>
              <w:spacing w:before="20" w:after="20"/>
              <w:ind w:right="28"/>
              <w:jc w:val="right"/>
              <w:rPr>
                <w:rFonts w:cs="Arial"/>
                <w:sz w:val="16"/>
                <w:szCs w:val="16"/>
              </w:rPr>
            </w:pP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r>
      <w:tr w:rsidR="005446D0" w:rsidRPr="00312575" w:rsidTr="005446D0">
        <w:trPr>
          <w:jc w:val="center"/>
        </w:trPr>
        <w:tc>
          <w:tcPr>
            <w:tcW w:w="1809" w:type="dxa"/>
            <w:vAlign w:val="center"/>
          </w:tcPr>
          <w:p w:rsidR="005446D0" w:rsidRPr="00312575" w:rsidRDefault="005446D0" w:rsidP="005446D0">
            <w:pPr>
              <w:spacing w:before="20" w:after="20"/>
              <w:rPr>
                <w:rFonts w:cs="Arial"/>
                <w:sz w:val="16"/>
                <w:szCs w:val="16"/>
              </w:rPr>
            </w:pPr>
            <w:r>
              <w:rPr>
                <w:rFonts w:cs="Arial"/>
                <w:sz w:val="16"/>
                <w:szCs w:val="16"/>
              </w:rPr>
              <w:t>Hrubý výnos z LJPH</w:t>
            </w:r>
          </w:p>
        </w:tc>
        <w:tc>
          <w:tcPr>
            <w:tcW w:w="925" w:type="dxa"/>
            <w:vMerge/>
            <w:vAlign w:val="center"/>
          </w:tcPr>
          <w:p w:rsidR="005446D0" w:rsidRPr="00312575" w:rsidRDefault="005446D0" w:rsidP="005446D0">
            <w:pPr>
              <w:spacing w:before="20" w:after="20"/>
              <w:ind w:right="28"/>
              <w:jc w:val="right"/>
              <w:rPr>
                <w:rFonts w:cs="Arial"/>
                <w:sz w:val="16"/>
                <w:szCs w:val="16"/>
              </w:rPr>
            </w:pP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31 822</w:t>
            </w:r>
          </w:p>
        </w:tc>
        <w:tc>
          <w:tcPr>
            <w:tcW w:w="926" w:type="dxa"/>
            <w:vMerge/>
            <w:vAlign w:val="center"/>
          </w:tcPr>
          <w:p w:rsidR="005446D0" w:rsidRPr="00312575" w:rsidRDefault="005446D0" w:rsidP="005446D0">
            <w:pPr>
              <w:spacing w:before="20" w:after="20"/>
              <w:ind w:right="28"/>
              <w:jc w:val="right"/>
              <w:rPr>
                <w:rFonts w:cs="Arial"/>
                <w:sz w:val="16"/>
                <w:szCs w:val="16"/>
              </w:rPr>
            </w:pPr>
          </w:p>
        </w:tc>
        <w:tc>
          <w:tcPr>
            <w:tcW w:w="925"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31 100</w:t>
            </w:r>
          </w:p>
        </w:tc>
        <w:tc>
          <w:tcPr>
            <w:tcW w:w="925" w:type="dxa"/>
            <w:vMerge/>
            <w:vAlign w:val="center"/>
          </w:tcPr>
          <w:p w:rsidR="005446D0" w:rsidRPr="00312575" w:rsidRDefault="005446D0" w:rsidP="005446D0">
            <w:pPr>
              <w:spacing w:before="20" w:after="20"/>
              <w:ind w:right="28"/>
              <w:jc w:val="right"/>
              <w:rPr>
                <w:rFonts w:cs="Arial"/>
                <w:sz w:val="16"/>
                <w:szCs w:val="16"/>
              </w:rPr>
            </w:pP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31 808</w:t>
            </w:r>
          </w:p>
        </w:tc>
        <w:tc>
          <w:tcPr>
            <w:tcW w:w="925" w:type="dxa"/>
            <w:vMerge/>
            <w:vAlign w:val="center"/>
          </w:tcPr>
          <w:p w:rsidR="005446D0" w:rsidRPr="00312575" w:rsidRDefault="005446D0" w:rsidP="005446D0">
            <w:pPr>
              <w:spacing w:before="20" w:after="20"/>
              <w:ind w:right="28"/>
              <w:jc w:val="right"/>
              <w:rPr>
                <w:rFonts w:cs="Arial"/>
                <w:sz w:val="16"/>
                <w:szCs w:val="16"/>
              </w:rPr>
            </w:pPr>
          </w:p>
        </w:tc>
        <w:tc>
          <w:tcPr>
            <w:tcW w:w="926" w:type="dxa"/>
            <w:vAlign w:val="center"/>
          </w:tcPr>
          <w:p w:rsidR="005446D0" w:rsidRPr="00312575" w:rsidRDefault="005446D0" w:rsidP="005446D0">
            <w:pPr>
              <w:spacing w:before="20" w:after="20"/>
              <w:ind w:right="28"/>
              <w:jc w:val="right"/>
              <w:rPr>
                <w:rFonts w:cs="Arial"/>
                <w:sz w:val="16"/>
                <w:szCs w:val="16"/>
              </w:rPr>
            </w:pPr>
            <w:r>
              <w:rPr>
                <w:rFonts w:cs="Arial"/>
                <w:sz w:val="16"/>
                <w:szCs w:val="16"/>
              </w:rPr>
              <w:t>-</w:t>
            </w:r>
          </w:p>
        </w:tc>
      </w:tr>
    </w:tbl>
    <w:p w:rsidR="00800EFB" w:rsidRPr="005D684A" w:rsidRDefault="00800EFB" w:rsidP="005E182A">
      <w:pPr>
        <w:spacing w:before="40" w:after="0"/>
        <w:ind w:left="567" w:hanging="567"/>
        <w:rPr>
          <w:bCs/>
          <w:sz w:val="18"/>
          <w:szCs w:val="18"/>
        </w:rPr>
      </w:pPr>
      <w:r w:rsidRPr="005D684A">
        <w:rPr>
          <w:b/>
          <w:bCs/>
          <w:sz w:val="18"/>
          <w:szCs w:val="18"/>
        </w:rPr>
        <w:t>Zdroj:</w:t>
      </w:r>
      <w:r w:rsidRPr="005D684A">
        <w:rPr>
          <w:bCs/>
          <w:sz w:val="18"/>
          <w:szCs w:val="18"/>
        </w:rPr>
        <w:t xml:space="preserve"> ADIS GFŘ, sdělení MF, místní poplatky z Centrálního systému účetních informací státu. </w:t>
      </w:r>
    </w:p>
    <w:p w:rsidR="00800EFB" w:rsidRPr="005D684A" w:rsidRDefault="00800EFB" w:rsidP="005E182A">
      <w:pPr>
        <w:spacing w:before="0" w:after="0"/>
        <w:ind w:left="567" w:hanging="567"/>
        <w:rPr>
          <w:bCs/>
          <w:sz w:val="18"/>
          <w:szCs w:val="18"/>
        </w:rPr>
      </w:pPr>
      <w:r w:rsidRPr="005D684A">
        <w:rPr>
          <w:b/>
          <w:bCs/>
          <w:sz w:val="18"/>
          <w:szCs w:val="18"/>
        </w:rPr>
        <w:t>Pozn.:</w:t>
      </w:r>
      <w:r w:rsidR="00240BE0" w:rsidRPr="005D684A">
        <w:rPr>
          <w:bCs/>
          <w:sz w:val="18"/>
          <w:szCs w:val="18"/>
        </w:rPr>
        <w:tab/>
      </w:r>
      <w:r w:rsidRPr="005D684A">
        <w:rPr>
          <w:bCs/>
          <w:sz w:val="18"/>
          <w:szCs w:val="18"/>
        </w:rPr>
        <w:t xml:space="preserve">Celkový hrubý výnos (rozdíl vsazeno vyplaceno) ze hry za rok 2013 nebyl v průběhu realizace kontrolní akce MF znám. Celková výše odvodového a poplatkového zatížení v roce 2010 a 2011 nezahrnuje správní poplatky, které byly příjmem obcí. Celkové inkaso v roce 2012 zahrnuje i inkaso správních poplatků (cca 800 mil. Kč) za LJHP provozované v roce 2011. </w:t>
      </w:r>
    </w:p>
    <w:p w:rsidR="00C306CA" w:rsidRPr="00240BE0" w:rsidRDefault="00C306CA" w:rsidP="00240BE0">
      <w:pPr>
        <w:spacing w:before="0" w:after="0"/>
        <w:rPr>
          <w:rFonts w:cs="Arial"/>
        </w:rPr>
      </w:pPr>
    </w:p>
    <w:p w:rsidR="00800EFB" w:rsidRDefault="00800EFB" w:rsidP="00240BE0">
      <w:pPr>
        <w:spacing w:before="0" w:after="0"/>
        <w:rPr>
          <w:rFonts w:cs="Arial"/>
        </w:rPr>
      </w:pPr>
      <w:r w:rsidRPr="00240BE0">
        <w:rPr>
          <w:rFonts w:cs="Arial"/>
        </w:rPr>
        <w:t>Dopad novely zákona o loteriích na daň z příjmu nelze obecně vyčíslit, neboť je ovlivňován dalšími předměty podnikání provozovatele LJPH, včetně odečtu ztráty z podnikání.</w:t>
      </w:r>
    </w:p>
    <w:p w:rsidR="00240BE0" w:rsidRPr="00240BE0" w:rsidRDefault="00240BE0" w:rsidP="00240BE0">
      <w:pPr>
        <w:spacing w:before="0" w:after="0"/>
        <w:rPr>
          <w:rFonts w:cs="Arial"/>
        </w:rPr>
      </w:pPr>
    </w:p>
    <w:p w:rsidR="00941B1A" w:rsidRDefault="00941B1A" w:rsidP="00240BE0">
      <w:pPr>
        <w:spacing w:before="0" w:after="0"/>
        <w:rPr>
          <w:rFonts w:cs="Arial"/>
        </w:rPr>
      </w:pPr>
      <w:r w:rsidRPr="00240BE0">
        <w:rPr>
          <w:rFonts w:cs="Arial"/>
        </w:rPr>
        <w:t xml:space="preserve">NKÚ </w:t>
      </w:r>
      <w:r w:rsidR="00BE6E4B" w:rsidRPr="00240BE0">
        <w:rPr>
          <w:rFonts w:cs="Arial"/>
        </w:rPr>
        <w:t xml:space="preserve">v údajích MF </w:t>
      </w:r>
      <w:r w:rsidR="001E13AD" w:rsidRPr="00240BE0">
        <w:rPr>
          <w:rFonts w:cs="Arial"/>
        </w:rPr>
        <w:t>porovnal základ odvodu s </w:t>
      </w:r>
      <w:r w:rsidR="005E182A" w:rsidRPr="00240BE0">
        <w:rPr>
          <w:rFonts w:cs="Arial"/>
        </w:rPr>
        <w:t>vsazenou</w:t>
      </w:r>
      <w:r w:rsidR="005E182A">
        <w:rPr>
          <w:rFonts w:cs="Arial"/>
        </w:rPr>
        <w:t xml:space="preserve"> </w:t>
      </w:r>
      <w:r w:rsidR="001E13AD" w:rsidRPr="00240BE0">
        <w:rPr>
          <w:rFonts w:cs="Arial"/>
        </w:rPr>
        <w:t>částkou. Z</w:t>
      </w:r>
      <w:r w:rsidR="005E182A">
        <w:rPr>
          <w:rFonts w:cs="Arial"/>
        </w:rPr>
        <w:t>jistil, že u </w:t>
      </w:r>
      <w:r w:rsidRPr="00240BE0">
        <w:rPr>
          <w:rFonts w:cs="Arial"/>
        </w:rPr>
        <w:t xml:space="preserve">některých LJPH je základ odvodu </w:t>
      </w:r>
      <w:r w:rsidR="001E13AD" w:rsidRPr="00240BE0">
        <w:rPr>
          <w:rFonts w:cs="Arial"/>
        </w:rPr>
        <w:t xml:space="preserve">velmi nízký, např. </w:t>
      </w:r>
      <w:r w:rsidRPr="00240BE0">
        <w:rPr>
          <w:rFonts w:cs="Arial"/>
        </w:rPr>
        <w:t xml:space="preserve">u VHP v kasinech činil 11,43 % ze vsazených částek, </w:t>
      </w:r>
      <w:r w:rsidR="00132897" w:rsidRPr="00240BE0">
        <w:rPr>
          <w:rFonts w:cs="Arial"/>
        </w:rPr>
        <w:t>u </w:t>
      </w:r>
      <w:r w:rsidRPr="00240BE0">
        <w:rPr>
          <w:rFonts w:cs="Arial"/>
        </w:rPr>
        <w:t>karetních her 5,08 % a v internetových kursových sázkách 13,25 % ze vsazených částek. Průměrná hodnota základu odvodu v ro</w:t>
      </w:r>
      <w:r w:rsidR="005E182A">
        <w:rPr>
          <w:rFonts w:cs="Arial"/>
        </w:rPr>
        <w:t>ce 2012 činila 26,68 % (např. u </w:t>
      </w:r>
      <w:r w:rsidRPr="00240BE0">
        <w:rPr>
          <w:rFonts w:cs="Arial"/>
        </w:rPr>
        <w:t xml:space="preserve">číselných loterií byla 53,44 %) ze vsazených částek. </w:t>
      </w:r>
    </w:p>
    <w:p w:rsidR="00240BE0" w:rsidRPr="00240BE0" w:rsidRDefault="00240BE0" w:rsidP="00240BE0">
      <w:pPr>
        <w:spacing w:before="0" w:after="0"/>
        <w:rPr>
          <w:rFonts w:cs="Arial"/>
        </w:rPr>
      </w:pPr>
    </w:p>
    <w:p w:rsidR="00800EFB" w:rsidRDefault="001E13AD" w:rsidP="00240BE0">
      <w:pPr>
        <w:spacing w:before="0" w:after="0"/>
        <w:rPr>
          <w:rFonts w:cs="Arial"/>
        </w:rPr>
      </w:pPr>
      <w:r w:rsidRPr="00240BE0">
        <w:rPr>
          <w:rFonts w:cs="Arial"/>
        </w:rPr>
        <w:t xml:space="preserve">Ve státech EU jsou sazby odvodů (daní) členěny podle druhů LJPH. Příkladem možného zdanění je Slovenská republika, která měla pro karetní hry stanovenu 29% sazbu z vsazené </w:t>
      </w:r>
      <w:r w:rsidRPr="00240BE0">
        <w:rPr>
          <w:rFonts w:cs="Arial"/>
        </w:rPr>
        <w:lastRenderedPageBreak/>
        <w:t xml:space="preserve">částky, případně paušální částku za jednotlivý hrací stůl. U VHP a JTHZ je výše odvodu pro státní rozpočet stanovena paušální částkou za rok. </w:t>
      </w:r>
    </w:p>
    <w:p w:rsidR="00BA5619" w:rsidRDefault="00BA5619" w:rsidP="00240BE0">
      <w:pPr>
        <w:spacing w:before="0" w:after="0"/>
        <w:rPr>
          <w:rFonts w:cs="Arial"/>
        </w:rPr>
      </w:pPr>
    </w:p>
    <w:p w:rsidR="001E13AD" w:rsidRPr="00240BE0" w:rsidRDefault="00800EFB" w:rsidP="00240BE0">
      <w:pPr>
        <w:spacing w:before="0" w:after="0"/>
        <w:rPr>
          <w:rFonts w:cs="Arial"/>
        </w:rPr>
      </w:pPr>
      <w:r w:rsidRPr="00240BE0">
        <w:rPr>
          <w:rFonts w:cs="Arial"/>
        </w:rPr>
        <w:t>V</w:t>
      </w:r>
      <w:r w:rsidR="001E13AD" w:rsidRPr="00240BE0">
        <w:rPr>
          <w:rFonts w:cs="Arial"/>
        </w:rPr>
        <w:t> ČR v roce 2011 činila průměrná výše odvodového a poplatkového zatížení provozovatelů LJPH 17</w:t>
      </w:r>
      <w:r w:rsidR="005E182A">
        <w:rPr>
          <w:rFonts w:cs="Arial"/>
        </w:rPr>
        <w:t> %</w:t>
      </w:r>
      <w:r w:rsidR="001E13AD" w:rsidRPr="00240BE0">
        <w:rPr>
          <w:rFonts w:cs="Arial"/>
        </w:rPr>
        <w:t xml:space="preserve"> až 18 %. Novelou zákona o loteriích došlo od roku</w:t>
      </w:r>
      <w:r w:rsidR="00505D11">
        <w:rPr>
          <w:rFonts w:cs="Arial"/>
        </w:rPr>
        <w:t xml:space="preserve"> 2012 k jeho navýšení na cca </w:t>
      </w:r>
      <w:r w:rsidR="00132897" w:rsidRPr="00240BE0">
        <w:rPr>
          <w:rFonts w:cs="Arial"/>
        </w:rPr>
        <w:t>22 </w:t>
      </w:r>
      <w:r w:rsidR="001E13AD" w:rsidRPr="00240BE0">
        <w:rPr>
          <w:rFonts w:cs="Arial"/>
        </w:rPr>
        <w:t>%, avšak ve Slovenské republice bylo vyšší o 7 procentních bodů.</w:t>
      </w:r>
    </w:p>
    <w:p w:rsidR="00800EFB" w:rsidRDefault="00800EFB" w:rsidP="00240BE0">
      <w:pPr>
        <w:spacing w:before="0" w:after="0"/>
        <w:rPr>
          <w:rFonts w:cs="Arial"/>
        </w:rPr>
      </w:pPr>
    </w:p>
    <w:p w:rsidR="001E13AD" w:rsidRPr="005D684A" w:rsidRDefault="001E13AD" w:rsidP="00240BE0">
      <w:pPr>
        <w:spacing w:before="0" w:after="40"/>
        <w:rPr>
          <w:b/>
          <w:color w:val="000000" w:themeColor="text1"/>
        </w:rPr>
      </w:pPr>
      <w:r w:rsidRPr="005D684A">
        <w:rPr>
          <w:b/>
          <w:color w:val="000000" w:themeColor="text1"/>
        </w:rPr>
        <w:t xml:space="preserve">Tabulka č. </w:t>
      </w:r>
      <w:r w:rsidR="00800EFB" w:rsidRPr="005D684A">
        <w:rPr>
          <w:b/>
          <w:color w:val="000000" w:themeColor="text1"/>
        </w:rPr>
        <w:t>2</w:t>
      </w:r>
      <w:r w:rsidRPr="005D684A">
        <w:rPr>
          <w:b/>
          <w:color w:val="000000" w:themeColor="text1"/>
        </w:rPr>
        <w:t xml:space="preserve"> – Porovnání údajů mezi Č</w:t>
      </w:r>
      <w:r w:rsidR="00BE6E4B" w:rsidRPr="005D684A">
        <w:rPr>
          <w:b/>
          <w:color w:val="000000" w:themeColor="text1"/>
        </w:rPr>
        <w:t>eskou a Slovenskou republikou</w:t>
      </w:r>
    </w:p>
    <w:tbl>
      <w:tblPr>
        <w:tblW w:w="90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5969"/>
        <w:gridCol w:w="1522"/>
        <w:gridCol w:w="1559"/>
      </w:tblGrid>
      <w:tr w:rsidR="001E13AD" w:rsidRPr="00240BE0" w:rsidTr="00240BE0">
        <w:trPr>
          <w:trHeight w:val="283"/>
          <w:jc w:val="center"/>
        </w:trPr>
        <w:tc>
          <w:tcPr>
            <w:tcW w:w="5969" w:type="dxa"/>
            <w:vAlign w:val="center"/>
          </w:tcPr>
          <w:p w:rsidR="001E13AD" w:rsidRPr="00240BE0" w:rsidRDefault="001E13AD" w:rsidP="00240BE0">
            <w:pPr>
              <w:autoSpaceDE w:val="0"/>
              <w:autoSpaceDN w:val="0"/>
              <w:adjustRightInd w:val="0"/>
              <w:spacing w:before="0" w:after="0"/>
              <w:jc w:val="center"/>
              <w:rPr>
                <w:rFonts w:eastAsiaTheme="minorHAnsi" w:cs="Arial"/>
                <w:b/>
                <w:bCs/>
                <w:color w:val="000000"/>
                <w:sz w:val="18"/>
                <w:szCs w:val="18"/>
              </w:rPr>
            </w:pPr>
            <w:r w:rsidRPr="00240BE0">
              <w:rPr>
                <w:rFonts w:eastAsiaTheme="minorHAnsi" w:cs="Arial"/>
                <w:b/>
                <w:bCs/>
                <w:color w:val="000000"/>
                <w:sz w:val="18"/>
                <w:szCs w:val="18"/>
              </w:rPr>
              <w:t>ÚDAJE (v mil. Kč) za rok 2012</w:t>
            </w:r>
          </w:p>
        </w:tc>
        <w:tc>
          <w:tcPr>
            <w:tcW w:w="1522" w:type="dxa"/>
            <w:shd w:val="solid" w:color="FFFFFF" w:fill="auto"/>
            <w:vAlign w:val="center"/>
          </w:tcPr>
          <w:p w:rsidR="001E13AD" w:rsidRPr="00240BE0" w:rsidRDefault="001E13AD" w:rsidP="00240BE0">
            <w:pPr>
              <w:autoSpaceDE w:val="0"/>
              <w:autoSpaceDN w:val="0"/>
              <w:adjustRightInd w:val="0"/>
              <w:spacing w:before="0" w:after="0"/>
              <w:jc w:val="center"/>
              <w:rPr>
                <w:rFonts w:eastAsiaTheme="minorHAnsi" w:cs="Arial"/>
                <w:b/>
                <w:bCs/>
                <w:color w:val="000000"/>
                <w:sz w:val="18"/>
                <w:szCs w:val="18"/>
              </w:rPr>
            </w:pPr>
            <w:r w:rsidRPr="00240BE0">
              <w:rPr>
                <w:rFonts w:eastAsiaTheme="minorHAnsi" w:cs="Arial"/>
                <w:b/>
                <w:bCs/>
                <w:color w:val="000000"/>
                <w:sz w:val="18"/>
                <w:szCs w:val="18"/>
              </w:rPr>
              <w:t>ČESKÁ REPUBLIKA</w:t>
            </w:r>
          </w:p>
        </w:tc>
        <w:tc>
          <w:tcPr>
            <w:tcW w:w="1559" w:type="dxa"/>
            <w:shd w:val="solid" w:color="FFFFFF" w:fill="auto"/>
            <w:vAlign w:val="center"/>
          </w:tcPr>
          <w:p w:rsidR="001E13AD" w:rsidRPr="00240BE0" w:rsidRDefault="001E13AD" w:rsidP="00240BE0">
            <w:pPr>
              <w:autoSpaceDE w:val="0"/>
              <w:autoSpaceDN w:val="0"/>
              <w:adjustRightInd w:val="0"/>
              <w:spacing w:before="0" w:after="0"/>
              <w:jc w:val="center"/>
              <w:rPr>
                <w:rFonts w:eastAsiaTheme="minorHAnsi" w:cs="Arial"/>
                <w:b/>
                <w:bCs/>
                <w:color w:val="000000"/>
                <w:sz w:val="18"/>
                <w:szCs w:val="18"/>
              </w:rPr>
            </w:pPr>
            <w:r w:rsidRPr="00240BE0">
              <w:rPr>
                <w:rFonts w:eastAsiaTheme="minorHAnsi" w:cs="Arial"/>
                <w:b/>
                <w:bCs/>
                <w:color w:val="000000"/>
                <w:sz w:val="18"/>
                <w:szCs w:val="18"/>
              </w:rPr>
              <w:t>SLOVENSKÁ</w:t>
            </w:r>
            <w:r w:rsidR="00240BE0">
              <w:rPr>
                <w:rFonts w:eastAsiaTheme="minorHAnsi" w:cs="Arial"/>
                <w:b/>
                <w:bCs/>
                <w:color w:val="000000"/>
                <w:sz w:val="18"/>
                <w:szCs w:val="18"/>
              </w:rPr>
              <w:t xml:space="preserve"> </w:t>
            </w:r>
            <w:r w:rsidRPr="00240BE0">
              <w:rPr>
                <w:rFonts w:eastAsiaTheme="minorHAnsi" w:cs="Arial"/>
                <w:b/>
                <w:bCs/>
                <w:color w:val="000000"/>
                <w:sz w:val="18"/>
                <w:szCs w:val="18"/>
              </w:rPr>
              <w:t>REPUBLIKA</w:t>
            </w:r>
          </w:p>
        </w:tc>
      </w:tr>
      <w:tr w:rsidR="001E13AD" w:rsidRPr="00240BE0" w:rsidTr="00240BE0">
        <w:trPr>
          <w:trHeight w:val="283"/>
          <w:jc w:val="center"/>
        </w:trPr>
        <w:tc>
          <w:tcPr>
            <w:tcW w:w="5969" w:type="dxa"/>
            <w:shd w:val="solid" w:color="C0C0C0" w:fill="auto"/>
            <w:vAlign w:val="center"/>
          </w:tcPr>
          <w:p w:rsidR="001E13AD" w:rsidRPr="00240BE0" w:rsidRDefault="001E13AD" w:rsidP="00240BE0">
            <w:pPr>
              <w:autoSpaceDE w:val="0"/>
              <w:autoSpaceDN w:val="0"/>
              <w:adjustRightInd w:val="0"/>
              <w:spacing w:before="0" w:after="0"/>
              <w:jc w:val="left"/>
              <w:rPr>
                <w:rFonts w:eastAsiaTheme="minorHAnsi" w:cs="Arial"/>
                <w:b/>
                <w:bCs/>
                <w:color w:val="000000"/>
                <w:sz w:val="18"/>
                <w:szCs w:val="18"/>
              </w:rPr>
            </w:pPr>
            <w:r w:rsidRPr="00240BE0">
              <w:rPr>
                <w:rFonts w:eastAsiaTheme="minorHAnsi" w:cs="Arial"/>
                <w:b/>
                <w:bCs/>
                <w:color w:val="000000"/>
                <w:sz w:val="18"/>
                <w:szCs w:val="18"/>
              </w:rPr>
              <w:t>VSAZENO</w:t>
            </w:r>
          </w:p>
        </w:tc>
        <w:tc>
          <w:tcPr>
            <w:tcW w:w="1522" w:type="dxa"/>
            <w:shd w:val="solid" w:color="C0C0C0" w:fill="auto"/>
            <w:vAlign w:val="center"/>
          </w:tcPr>
          <w:p w:rsidR="001E13AD" w:rsidRPr="00240BE0" w:rsidRDefault="001E13AD"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135 537</w:t>
            </w:r>
          </w:p>
        </w:tc>
        <w:tc>
          <w:tcPr>
            <w:tcW w:w="1559" w:type="dxa"/>
            <w:shd w:val="solid" w:color="C0C0C0" w:fill="auto"/>
            <w:vAlign w:val="center"/>
          </w:tcPr>
          <w:p w:rsidR="001E13AD" w:rsidRPr="00240BE0" w:rsidRDefault="001E13AD"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55 786</w:t>
            </w:r>
          </w:p>
        </w:tc>
      </w:tr>
      <w:tr w:rsidR="005D08CA" w:rsidRPr="00240BE0" w:rsidTr="00240BE0">
        <w:trPr>
          <w:trHeight w:val="283"/>
          <w:jc w:val="center"/>
        </w:trPr>
        <w:tc>
          <w:tcPr>
            <w:tcW w:w="5969" w:type="dxa"/>
            <w:shd w:val="solid" w:color="FFFFFF" w:fill="auto"/>
            <w:vAlign w:val="center"/>
          </w:tcPr>
          <w:p w:rsidR="005D08CA" w:rsidRPr="005D684A" w:rsidRDefault="005D08CA" w:rsidP="00240BE0">
            <w:pPr>
              <w:autoSpaceDE w:val="0"/>
              <w:autoSpaceDN w:val="0"/>
              <w:adjustRightInd w:val="0"/>
              <w:spacing w:before="0" w:after="0"/>
              <w:jc w:val="left"/>
              <w:rPr>
                <w:rFonts w:eastAsiaTheme="minorHAnsi" w:cs="Arial"/>
                <w:iCs/>
                <w:color w:val="000000"/>
                <w:sz w:val="18"/>
                <w:szCs w:val="18"/>
              </w:rPr>
            </w:pPr>
            <w:r w:rsidRPr="005D684A">
              <w:rPr>
                <w:rFonts w:eastAsiaTheme="minorHAnsi" w:cs="Arial"/>
                <w:iCs/>
                <w:color w:val="000000"/>
                <w:sz w:val="18"/>
                <w:szCs w:val="18"/>
              </w:rPr>
              <w:t>Přepočet na 1 obyvatele (v Kč)</w:t>
            </w:r>
          </w:p>
        </w:tc>
        <w:tc>
          <w:tcPr>
            <w:tcW w:w="1522" w:type="dxa"/>
            <w:shd w:val="solid" w:color="FFFFFF" w:fill="auto"/>
          </w:tcPr>
          <w:p w:rsidR="005D08CA" w:rsidRPr="00240BE0" w:rsidRDefault="005D08CA"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12 908</w:t>
            </w:r>
          </w:p>
        </w:tc>
        <w:tc>
          <w:tcPr>
            <w:tcW w:w="1559" w:type="dxa"/>
            <w:shd w:val="solid" w:color="FFFFFF" w:fill="auto"/>
          </w:tcPr>
          <w:p w:rsidR="005D08CA" w:rsidRPr="00240BE0" w:rsidRDefault="005D08CA"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10 331</w:t>
            </w:r>
          </w:p>
        </w:tc>
      </w:tr>
      <w:tr w:rsidR="001E13AD" w:rsidRPr="00240BE0" w:rsidTr="00240BE0">
        <w:trPr>
          <w:trHeight w:val="283"/>
          <w:jc w:val="center"/>
        </w:trPr>
        <w:tc>
          <w:tcPr>
            <w:tcW w:w="5969" w:type="dxa"/>
            <w:shd w:val="solid" w:color="C0C0C0" w:fill="auto"/>
            <w:vAlign w:val="center"/>
          </w:tcPr>
          <w:p w:rsidR="001E13AD" w:rsidRPr="00240BE0" w:rsidRDefault="001E13AD" w:rsidP="00240BE0">
            <w:pPr>
              <w:autoSpaceDE w:val="0"/>
              <w:autoSpaceDN w:val="0"/>
              <w:adjustRightInd w:val="0"/>
              <w:spacing w:before="0" w:after="0"/>
              <w:jc w:val="left"/>
              <w:rPr>
                <w:rFonts w:eastAsiaTheme="minorHAnsi" w:cs="Arial"/>
                <w:b/>
                <w:bCs/>
                <w:color w:val="000000"/>
                <w:sz w:val="18"/>
                <w:szCs w:val="18"/>
              </w:rPr>
            </w:pPr>
            <w:r w:rsidRPr="00240BE0">
              <w:rPr>
                <w:rFonts w:eastAsiaTheme="minorHAnsi" w:cs="Arial"/>
                <w:b/>
                <w:bCs/>
                <w:color w:val="000000"/>
                <w:sz w:val="18"/>
                <w:szCs w:val="18"/>
              </w:rPr>
              <w:t>VYPLACENO</w:t>
            </w:r>
          </w:p>
        </w:tc>
        <w:tc>
          <w:tcPr>
            <w:tcW w:w="1522" w:type="dxa"/>
            <w:shd w:val="solid" w:color="C0C0C0" w:fill="auto"/>
            <w:vAlign w:val="center"/>
          </w:tcPr>
          <w:p w:rsidR="001E13AD" w:rsidRPr="00240BE0" w:rsidRDefault="001E13AD"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103 728</w:t>
            </w:r>
          </w:p>
        </w:tc>
        <w:tc>
          <w:tcPr>
            <w:tcW w:w="1559" w:type="dxa"/>
            <w:shd w:val="solid" w:color="C0C0C0" w:fill="auto"/>
            <w:vAlign w:val="center"/>
          </w:tcPr>
          <w:p w:rsidR="001E13AD" w:rsidRPr="00240BE0" w:rsidRDefault="001E13AD"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42 336</w:t>
            </w:r>
          </w:p>
        </w:tc>
      </w:tr>
      <w:tr w:rsidR="005D08CA" w:rsidRPr="00240BE0" w:rsidTr="00240BE0">
        <w:trPr>
          <w:trHeight w:val="283"/>
          <w:jc w:val="center"/>
        </w:trPr>
        <w:tc>
          <w:tcPr>
            <w:tcW w:w="5969" w:type="dxa"/>
            <w:shd w:val="solid" w:color="FFFFFF" w:fill="auto"/>
            <w:vAlign w:val="center"/>
          </w:tcPr>
          <w:p w:rsidR="005D08CA" w:rsidRPr="005D684A" w:rsidRDefault="005D08CA" w:rsidP="00240BE0">
            <w:pPr>
              <w:autoSpaceDE w:val="0"/>
              <w:autoSpaceDN w:val="0"/>
              <w:adjustRightInd w:val="0"/>
              <w:spacing w:before="0" w:after="0"/>
              <w:jc w:val="left"/>
              <w:rPr>
                <w:rFonts w:eastAsiaTheme="minorHAnsi" w:cs="Arial"/>
                <w:iCs/>
                <w:color w:val="000000"/>
                <w:sz w:val="18"/>
                <w:szCs w:val="18"/>
              </w:rPr>
            </w:pPr>
            <w:r w:rsidRPr="005D684A">
              <w:rPr>
                <w:rFonts w:eastAsiaTheme="minorHAnsi" w:cs="Arial"/>
                <w:iCs/>
                <w:color w:val="000000"/>
                <w:sz w:val="18"/>
                <w:szCs w:val="18"/>
              </w:rPr>
              <w:t>Přepočet na 1 obyvatele (v Kč)</w:t>
            </w:r>
          </w:p>
        </w:tc>
        <w:tc>
          <w:tcPr>
            <w:tcW w:w="1522" w:type="dxa"/>
            <w:shd w:val="solid" w:color="FFFFFF" w:fill="auto"/>
          </w:tcPr>
          <w:p w:rsidR="005D08CA" w:rsidRPr="00240BE0" w:rsidRDefault="005D08CA"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9 879</w:t>
            </w:r>
          </w:p>
        </w:tc>
        <w:tc>
          <w:tcPr>
            <w:tcW w:w="1559" w:type="dxa"/>
            <w:shd w:val="solid" w:color="FFFFFF" w:fill="auto"/>
          </w:tcPr>
          <w:p w:rsidR="005D08CA" w:rsidRPr="00240BE0" w:rsidRDefault="005D08CA"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7 840</w:t>
            </w:r>
          </w:p>
        </w:tc>
      </w:tr>
      <w:tr w:rsidR="001E13AD" w:rsidRPr="00240BE0" w:rsidTr="00240BE0">
        <w:trPr>
          <w:trHeight w:val="283"/>
          <w:jc w:val="center"/>
        </w:trPr>
        <w:tc>
          <w:tcPr>
            <w:tcW w:w="5969" w:type="dxa"/>
            <w:shd w:val="solid" w:color="C0C0C0" w:fill="auto"/>
            <w:vAlign w:val="center"/>
          </w:tcPr>
          <w:p w:rsidR="001E13AD" w:rsidRPr="00240BE0" w:rsidRDefault="001E13AD" w:rsidP="00240BE0">
            <w:pPr>
              <w:autoSpaceDE w:val="0"/>
              <w:autoSpaceDN w:val="0"/>
              <w:adjustRightInd w:val="0"/>
              <w:spacing w:before="0" w:after="0"/>
              <w:jc w:val="left"/>
              <w:rPr>
                <w:rFonts w:eastAsiaTheme="minorHAnsi" w:cs="Arial"/>
                <w:b/>
                <w:bCs/>
                <w:color w:val="000000"/>
                <w:sz w:val="18"/>
                <w:szCs w:val="18"/>
              </w:rPr>
            </w:pPr>
            <w:r w:rsidRPr="00240BE0">
              <w:rPr>
                <w:rFonts w:eastAsiaTheme="minorHAnsi" w:cs="Arial"/>
                <w:b/>
                <w:bCs/>
                <w:color w:val="000000"/>
                <w:sz w:val="18"/>
                <w:szCs w:val="18"/>
              </w:rPr>
              <w:t>HRUBÝ VÝNOS ZE HRY</w:t>
            </w:r>
          </w:p>
        </w:tc>
        <w:tc>
          <w:tcPr>
            <w:tcW w:w="1522" w:type="dxa"/>
            <w:shd w:val="solid" w:color="C0C0C0" w:fill="auto"/>
            <w:vAlign w:val="center"/>
          </w:tcPr>
          <w:p w:rsidR="001E13AD" w:rsidRPr="00240BE0" w:rsidRDefault="001E13AD"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31 808</w:t>
            </w:r>
          </w:p>
        </w:tc>
        <w:tc>
          <w:tcPr>
            <w:tcW w:w="1559" w:type="dxa"/>
            <w:shd w:val="solid" w:color="C0C0C0" w:fill="auto"/>
            <w:vAlign w:val="center"/>
          </w:tcPr>
          <w:p w:rsidR="001E13AD" w:rsidRPr="00240BE0" w:rsidRDefault="001E13AD"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13 450</w:t>
            </w:r>
          </w:p>
        </w:tc>
      </w:tr>
      <w:tr w:rsidR="001E13AD" w:rsidRPr="00240BE0" w:rsidTr="00240BE0">
        <w:trPr>
          <w:trHeight w:val="283"/>
          <w:jc w:val="center"/>
        </w:trPr>
        <w:tc>
          <w:tcPr>
            <w:tcW w:w="5969" w:type="dxa"/>
            <w:shd w:val="solid" w:color="FFFFFF" w:fill="auto"/>
            <w:vAlign w:val="center"/>
          </w:tcPr>
          <w:p w:rsidR="001E13AD" w:rsidRPr="005E182A" w:rsidRDefault="001E13AD" w:rsidP="00240BE0">
            <w:pPr>
              <w:autoSpaceDE w:val="0"/>
              <w:autoSpaceDN w:val="0"/>
              <w:adjustRightInd w:val="0"/>
              <w:spacing w:before="0" w:after="0"/>
              <w:jc w:val="left"/>
              <w:rPr>
                <w:rFonts w:eastAsiaTheme="minorHAnsi" w:cs="Arial"/>
                <w:color w:val="000000"/>
                <w:sz w:val="18"/>
                <w:szCs w:val="18"/>
              </w:rPr>
            </w:pPr>
            <w:r w:rsidRPr="005E182A">
              <w:rPr>
                <w:rFonts w:eastAsiaTheme="minorHAnsi" w:cs="Arial"/>
                <w:color w:val="000000"/>
                <w:sz w:val="18"/>
                <w:szCs w:val="18"/>
              </w:rPr>
              <w:t>v % (z částky vsazeno)</w:t>
            </w:r>
          </w:p>
        </w:tc>
        <w:tc>
          <w:tcPr>
            <w:tcW w:w="1522" w:type="dxa"/>
            <w:shd w:val="solid" w:color="FFFFFF" w:fill="auto"/>
            <w:vAlign w:val="center"/>
          </w:tcPr>
          <w:p w:rsidR="001E13AD" w:rsidRPr="00240BE0" w:rsidRDefault="001E13AD" w:rsidP="00240BE0">
            <w:pPr>
              <w:autoSpaceDE w:val="0"/>
              <w:autoSpaceDN w:val="0"/>
              <w:adjustRightInd w:val="0"/>
              <w:spacing w:before="0" w:after="0"/>
              <w:ind w:right="87"/>
              <w:jc w:val="right"/>
              <w:rPr>
                <w:rFonts w:eastAsiaTheme="minorHAnsi" w:cs="Arial"/>
                <w:color w:val="000000"/>
                <w:sz w:val="18"/>
                <w:szCs w:val="18"/>
              </w:rPr>
            </w:pPr>
            <w:r w:rsidRPr="00240BE0">
              <w:rPr>
                <w:rFonts w:eastAsiaTheme="minorHAnsi" w:cs="Arial"/>
                <w:color w:val="000000"/>
                <w:sz w:val="18"/>
                <w:szCs w:val="18"/>
              </w:rPr>
              <w:t>24</w:t>
            </w:r>
            <w:r w:rsidR="005E182A">
              <w:rPr>
                <w:rFonts w:eastAsiaTheme="minorHAnsi" w:cs="Arial"/>
                <w:color w:val="000000"/>
                <w:sz w:val="18"/>
                <w:szCs w:val="18"/>
              </w:rPr>
              <w:t> </w:t>
            </w:r>
            <w:r w:rsidRPr="00240BE0">
              <w:rPr>
                <w:rFonts w:eastAsiaTheme="minorHAnsi" w:cs="Arial"/>
                <w:color w:val="000000"/>
                <w:sz w:val="18"/>
                <w:szCs w:val="18"/>
              </w:rPr>
              <w:t>%</w:t>
            </w:r>
          </w:p>
        </w:tc>
        <w:tc>
          <w:tcPr>
            <w:tcW w:w="1559" w:type="dxa"/>
            <w:shd w:val="solid" w:color="FFFFFF" w:fill="auto"/>
            <w:vAlign w:val="center"/>
          </w:tcPr>
          <w:p w:rsidR="001E13AD" w:rsidRPr="00240BE0" w:rsidRDefault="001E13AD" w:rsidP="00240BE0">
            <w:pPr>
              <w:autoSpaceDE w:val="0"/>
              <w:autoSpaceDN w:val="0"/>
              <w:adjustRightInd w:val="0"/>
              <w:spacing w:before="0" w:after="0"/>
              <w:ind w:right="87"/>
              <w:jc w:val="right"/>
              <w:rPr>
                <w:rFonts w:eastAsiaTheme="minorHAnsi" w:cs="Arial"/>
                <w:color w:val="000000"/>
                <w:sz w:val="18"/>
                <w:szCs w:val="18"/>
              </w:rPr>
            </w:pPr>
            <w:r w:rsidRPr="00240BE0">
              <w:rPr>
                <w:rFonts w:eastAsiaTheme="minorHAnsi" w:cs="Arial"/>
                <w:color w:val="000000"/>
                <w:sz w:val="18"/>
                <w:szCs w:val="18"/>
              </w:rPr>
              <w:t>24</w:t>
            </w:r>
            <w:r w:rsidR="005E182A">
              <w:rPr>
                <w:rFonts w:eastAsiaTheme="minorHAnsi" w:cs="Arial"/>
                <w:color w:val="000000"/>
                <w:sz w:val="18"/>
                <w:szCs w:val="18"/>
              </w:rPr>
              <w:t> </w:t>
            </w:r>
            <w:r w:rsidRPr="00240BE0">
              <w:rPr>
                <w:rFonts w:eastAsiaTheme="minorHAnsi" w:cs="Arial"/>
                <w:color w:val="000000"/>
                <w:sz w:val="18"/>
                <w:szCs w:val="18"/>
              </w:rPr>
              <w:t>%</w:t>
            </w:r>
          </w:p>
        </w:tc>
      </w:tr>
      <w:tr w:rsidR="005D08CA" w:rsidRPr="00240BE0" w:rsidTr="00240BE0">
        <w:trPr>
          <w:trHeight w:val="283"/>
          <w:jc w:val="center"/>
        </w:trPr>
        <w:tc>
          <w:tcPr>
            <w:tcW w:w="5969" w:type="dxa"/>
            <w:shd w:val="solid" w:color="FFFFFF" w:fill="auto"/>
            <w:vAlign w:val="center"/>
          </w:tcPr>
          <w:p w:rsidR="005D08CA" w:rsidRPr="005D684A" w:rsidRDefault="005D08CA" w:rsidP="00240BE0">
            <w:pPr>
              <w:autoSpaceDE w:val="0"/>
              <w:autoSpaceDN w:val="0"/>
              <w:adjustRightInd w:val="0"/>
              <w:spacing w:before="0" w:after="0"/>
              <w:jc w:val="left"/>
              <w:rPr>
                <w:rFonts w:eastAsiaTheme="minorHAnsi" w:cs="Arial"/>
                <w:iCs/>
                <w:color w:val="000000"/>
                <w:sz w:val="18"/>
                <w:szCs w:val="18"/>
              </w:rPr>
            </w:pPr>
            <w:r w:rsidRPr="005D684A">
              <w:rPr>
                <w:rFonts w:eastAsiaTheme="minorHAnsi" w:cs="Arial"/>
                <w:iCs/>
                <w:color w:val="000000"/>
                <w:sz w:val="18"/>
                <w:szCs w:val="18"/>
              </w:rPr>
              <w:t>Přepočet na 1 obyvatele (v Kč)</w:t>
            </w:r>
          </w:p>
        </w:tc>
        <w:tc>
          <w:tcPr>
            <w:tcW w:w="1522" w:type="dxa"/>
            <w:shd w:val="solid" w:color="FFFFFF" w:fill="auto"/>
          </w:tcPr>
          <w:p w:rsidR="005D08CA" w:rsidRPr="00240BE0" w:rsidRDefault="005D08CA"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3 029</w:t>
            </w:r>
          </w:p>
        </w:tc>
        <w:tc>
          <w:tcPr>
            <w:tcW w:w="1559" w:type="dxa"/>
            <w:shd w:val="solid" w:color="FFFFFF" w:fill="auto"/>
          </w:tcPr>
          <w:p w:rsidR="005D08CA" w:rsidRPr="00240BE0" w:rsidRDefault="005D08CA"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2 491</w:t>
            </w:r>
          </w:p>
        </w:tc>
      </w:tr>
      <w:tr w:rsidR="001E13AD" w:rsidRPr="00240BE0" w:rsidTr="00240BE0">
        <w:trPr>
          <w:trHeight w:val="283"/>
          <w:jc w:val="center"/>
        </w:trPr>
        <w:tc>
          <w:tcPr>
            <w:tcW w:w="5969" w:type="dxa"/>
            <w:shd w:val="solid" w:color="C0C0C0" w:fill="auto"/>
            <w:vAlign w:val="center"/>
          </w:tcPr>
          <w:p w:rsidR="001E13AD" w:rsidRPr="00240BE0" w:rsidRDefault="001E13AD" w:rsidP="005E182A">
            <w:pPr>
              <w:autoSpaceDE w:val="0"/>
              <w:autoSpaceDN w:val="0"/>
              <w:adjustRightInd w:val="0"/>
              <w:spacing w:before="0" w:after="0"/>
              <w:jc w:val="left"/>
              <w:rPr>
                <w:rFonts w:eastAsiaTheme="minorHAnsi" w:cs="Arial"/>
                <w:b/>
                <w:bCs/>
                <w:color w:val="000000"/>
                <w:sz w:val="18"/>
                <w:szCs w:val="18"/>
              </w:rPr>
            </w:pPr>
            <w:r w:rsidRPr="00240BE0">
              <w:rPr>
                <w:rFonts w:eastAsiaTheme="minorHAnsi" w:cs="Arial"/>
                <w:b/>
                <w:bCs/>
                <w:color w:val="000000"/>
                <w:sz w:val="18"/>
                <w:szCs w:val="18"/>
              </w:rPr>
              <w:t xml:space="preserve">ODVOD DO STÁTNÍHO ROZPOČTU A ROZPOČTU OBCÍ </w:t>
            </w:r>
            <w:r w:rsidR="005E182A">
              <w:rPr>
                <w:rFonts w:eastAsiaTheme="minorHAnsi" w:cs="Arial"/>
                <w:b/>
                <w:bCs/>
                <w:color w:val="000000"/>
                <w:sz w:val="18"/>
                <w:szCs w:val="18"/>
              </w:rPr>
              <w:t>–</w:t>
            </w:r>
            <w:r w:rsidRPr="00240BE0">
              <w:rPr>
                <w:rFonts w:eastAsiaTheme="minorHAnsi" w:cs="Arial"/>
                <w:b/>
                <w:bCs/>
                <w:color w:val="000000"/>
                <w:sz w:val="18"/>
                <w:szCs w:val="18"/>
              </w:rPr>
              <w:t xml:space="preserve"> inkaso</w:t>
            </w:r>
          </w:p>
        </w:tc>
        <w:tc>
          <w:tcPr>
            <w:tcW w:w="1522" w:type="dxa"/>
            <w:shd w:val="solid" w:color="C0C0C0" w:fill="auto"/>
            <w:vAlign w:val="center"/>
          </w:tcPr>
          <w:p w:rsidR="001E13AD" w:rsidRPr="00240BE0" w:rsidRDefault="001E13AD"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7 113</w:t>
            </w:r>
          </w:p>
        </w:tc>
        <w:tc>
          <w:tcPr>
            <w:tcW w:w="1559" w:type="dxa"/>
            <w:shd w:val="solid" w:color="C0C0C0" w:fill="auto"/>
            <w:vAlign w:val="center"/>
          </w:tcPr>
          <w:p w:rsidR="001E13AD" w:rsidRPr="00240BE0" w:rsidRDefault="001E13AD"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3 870</w:t>
            </w:r>
          </w:p>
        </w:tc>
      </w:tr>
      <w:tr w:rsidR="005D08CA" w:rsidRPr="00240BE0" w:rsidTr="00240BE0">
        <w:trPr>
          <w:trHeight w:val="283"/>
          <w:jc w:val="center"/>
        </w:trPr>
        <w:tc>
          <w:tcPr>
            <w:tcW w:w="5969" w:type="dxa"/>
            <w:shd w:val="solid" w:color="FFFFFF" w:fill="auto"/>
            <w:vAlign w:val="center"/>
          </w:tcPr>
          <w:p w:rsidR="005D08CA" w:rsidRPr="005D684A" w:rsidRDefault="005D08CA" w:rsidP="00240BE0">
            <w:pPr>
              <w:autoSpaceDE w:val="0"/>
              <w:autoSpaceDN w:val="0"/>
              <w:adjustRightInd w:val="0"/>
              <w:spacing w:before="0" w:after="0"/>
              <w:jc w:val="left"/>
              <w:rPr>
                <w:rFonts w:eastAsiaTheme="minorHAnsi" w:cs="Arial"/>
                <w:iCs/>
                <w:color w:val="000000"/>
                <w:sz w:val="18"/>
                <w:szCs w:val="18"/>
              </w:rPr>
            </w:pPr>
            <w:r w:rsidRPr="005D684A">
              <w:rPr>
                <w:rFonts w:eastAsiaTheme="minorHAnsi" w:cs="Arial"/>
                <w:iCs/>
                <w:color w:val="000000"/>
                <w:sz w:val="18"/>
                <w:szCs w:val="18"/>
              </w:rPr>
              <w:t>Přepočet na 1 obyvatele (v Kč)</w:t>
            </w:r>
          </w:p>
        </w:tc>
        <w:tc>
          <w:tcPr>
            <w:tcW w:w="1522" w:type="dxa"/>
            <w:shd w:val="solid" w:color="FFFFFF" w:fill="auto"/>
          </w:tcPr>
          <w:p w:rsidR="005D08CA" w:rsidRPr="00240BE0" w:rsidRDefault="005D08CA"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677</w:t>
            </w:r>
          </w:p>
        </w:tc>
        <w:tc>
          <w:tcPr>
            <w:tcW w:w="1559" w:type="dxa"/>
            <w:shd w:val="solid" w:color="FFFFFF" w:fill="auto"/>
          </w:tcPr>
          <w:p w:rsidR="005D08CA" w:rsidRPr="00240BE0" w:rsidRDefault="005D08CA" w:rsidP="00505D11">
            <w:pPr>
              <w:autoSpaceDE w:val="0"/>
              <w:autoSpaceDN w:val="0"/>
              <w:adjustRightInd w:val="0"/>
              <w:spacing w:before="0" w:after="0"/>
              <w:ind w:right="284"/>
              <w:jc w:val="right"/>
              <w:rPr>
                <w:rFonts w:eastAsiaTheme="minorHAnsi" w:cs="Arial"/>
                <w:b/>
                <w:bCs/>
                <w:color w:val="000000"/>
                <w:sz w:val="18"/>
                <w:szCs w:val="18"/>
              </w:rPr>
            </w:pPr>
            <w:r w:rsidRPr="00240BE0">
              <w:rPr>
                <w:rFonts w:eastAsiaTheme="minorHAnsi" w:cs="Arial"/>
                <w:b/>
                <w:bCs/>
                <w:color w:val="000000"/>
                <w:sz w:val="18"/>
                <w:szCs w:val="18"/>
              </w:rPr>
              <w:t>717</w:t>
            </w:r>
          </w:p>
        </w:tc>
      </w:tr>
      <w:tr w:rsidR="001E13AD" w:rsidRPr="00240BE0" w:rsidTr="00240BE0">
        <w:trPr>
          <w:trHeight w:val="283"/>
          <w:jc w:val="center"/>
        </w:trPr>
        <w:tc>
          <w:tcPr>
            <w:tcW w:w="5969" w:type="dxa"/>
            <w:shd w:val="solid" w:color="C0C0C0" w:fill="auto"/>
            <w:vAlign w:val="center"/>
          </w:tcPr>
          <w:p w:rsidR="001E13AD" w:rsidRPr="00240BE0" w:rsidRDefault="001E13AD" w:rsidP="00240BE0">
            <w:pPr>
              <w:autoSpaceDE w:val="0"/>
              <w:autoSpaceDN w:val="0"/>
              <w:adjustRightInd w:val="0"/>
              <w:spacing w:before="0" w:after="0"/>
              <w:jc w:val="left"/>
              <w:rPr>
                <w:rFonts w:eastAsiaTheme="minorHAnsi" w:cs="Arial"/>
                <w:b/>
                <w:bCs/>
                <w:color w:val="000000"/>
                <w:sz w:val="18"/>
                <w:szCs w:val="18"/>
              </w:rPr>
            </w:pPr>
            <w:r w:rsidRPr="00240BE0">
              <w:rPr>
                <w:rFonts w:eastAsiaTheme="minorHAnsi" w:cs="Arial"/>
                <w:b/>
                <w:bCs/>
                <w:color w:val="000000"/>
                <w:sz w:val="18"/>
                <w:szCs w:val="18"/>
              </w:rPr>
              <w:t>ODVODOVÉ A POPLATKOVÉ ZATÍŽENÍ PROVOZOVATELŮ (v %)</w:t>
            </w:r>
          </w:p>
        </w:tc>
        <w:tc>
          <w:tcPr>
            <w:tcW w:w="1522" w:type="dxa"/>
            <w:shd w:val="solid" w:color="C0C0C0" w:fill="auto"/>
            <w:vAlign w:val="center"/>
          </w:tcPr>
          <w:p w:rsidR="001E13AD" w:rsidRPr="00240BE0" w:rsidRDefault="001E13AD" w:rsidP="00240BE0">
            <w:pPr>
              <w:autoSpaceDE w:val="0"/>
              <w:autoSpaceDN w:val="0"/>
              <w:adjustRightInd w:val="0"/>
              <w:spacing w:before="0" w:after="0"/>
              <w:ind w:right="87"/>
              <w:jc w:val="right"/>
              <w:rPr>
                <w:rFonts w:eastAsiaTheme="minorHAnsi" w:cs="Arial"/>
                <w:b/>
                <w:bCs/>
                <w:color w:val="000000"/>
                <w:sz w:val="18"/>
                <w:szCs w:val="18"/>
              </w:rPr>
            </w:pPr>
            <w:r w:rsidRPr="00240BE0">
              <w:rPr>
                <w:rFonts w:eastAsiaTheme="minorHAnsi" w:cs="Arial"/>
                <w:b/>
                <w:bCs/>
                <w:color w:val="000000"/>
                <w:sz w:val="18"/>
                <w:szCs w:val="18"/>
              </w:rPr>
              <w:t>22</w:t>
            </w:r>
            <w:r w:rsidR="005E182A">
              <w:rPr>
                <w:rFonts w:eastAsiaTheme="minorHAnsi" w:cs="Arial"/>
                <w:b/>
                <w:bCs/>
                <w:color w:val="000000"/>
                <w:sz w:val="18"/>
                <w:szCs w:val="18"/>
              </w:rPr>
              <w:t> </w:t>
            </w:r>
            <w:r w:rsidRPr="00240BE0">
              <w:rPr>
                <w:rFonts w:eastAsiaTheme="minorHAnsi" w:cs="Arial"/>
                <w:b/>
                <w:bCs/>
                <w:color w:val="000000"/>
                <w:sz w:val="18"/>
                <w:szCs w:val="18"/>
              </w:rPr>
              <w:t>%</w:t>
            </w:r>
          </w:p>
        </w:tc>
        <w:tc>
          <w:tcPr>
            <w:tcW w:w="1559" w:type="dxa"/>
            <w:shd w:val="solid" w:color="C0C0C0" w:fill="auto"/>
            <w:vAlign w:val="center"/>
          </w:tcPr>
          <w:p w:rsidR="001E13AD" w:rsidRPr="00240BE0" w:rsidRDefault="001E13AD" w:rsidP="00240BE0">
            <w:pPr>
              <w:autoSpaceDE w:val="0"/>
              <w:autoSpaceDN w:val="0"/>
              <w:adjustRightInd w:val="0"/>
              <w:spacing w:before="0" w:after="0"/>
              <w:ind w:right="87"/>
              <w:jc w:val="right"/>
              <w:rPr>
                <w:rFonts w:eastAsiaTheme="minorHAnsi" w:cs="Arial"/>
                <w:b/>
                <w:bCs/>
                <w:color w:val="000000"/>
                <w:sz w:val="18"/>
                <w:szCs w:val="18"/>
              </w:rPr>
            </w:pPr>
            <w:r w:rsidRPr="00240BE0">
              <w:rPr>
                <w:rFonts w:eastAsiaTheme="minorHAnsi" w:cs="Arial"/>
                <w:b/>
                <w:bCs/>
                <w:color w:val="000000"/>
                <w:sz w:val="18"/>
                <w:szCs w:val="18"/>
              </w:rPr>
              <w:t>29</w:t>
            </w:r>
            <w:r w:rsidR="005E182A">
              <w:rPr>
                <w:rFonts w:eastAsiaTheme="minorHAnsi" w:cs="Arial"/>
                <w:b/>
                <w:bCs/>
                <w:color w:val="000000"/>
                <w:sz w:val="18"/>
                <w:szCs w:val="18"/>
              </w:rPr>
              <w:t> </w:t>
            </w:r>
            <w:r w:rsidRPr="00240BE0">
              <w:rPr>
                <w:rFonts w:eastAsiaTheme="minorHAnsi" w:cs="Arial"/>
                <w:b/>
                <w:bCs/>
                <w:color w:val="000000"/>
                <w:sz w:val="18"/>
                <w:szCs w:val="18"/>
              </w:rPr>
              <w:t>%</w:t>
            </w:r>
          </w:p>
        </w:tc>
      </w:tr>
    </w:tbl>
    <w:p w:rsidR="00240BE0" w:rsidRPr="005D684A" w:rsidRDefault="00240BE0" w:rsidP="00D2564B">
      <w:pPr>
        <w:autoSpaceDE w:val="0"/>
        <w:autoSpaceDN w:val="0"/>
        <w:adjustRightInd w:val="0"/>
        <w:spacing w:before="40" w:after="0"/>
        <w:rPr>
          <w:rFonts w:eastAsiaTheme="minorHAnsi" w:cs="Arial"/>
          <w:bCs/>
          <w:iCs/>
          <w:color w:val="000000"/>
          <w:sz w:val="18"/>
          <w:szCs w:val="18"/>
        </w:rPr>
      </w:pPr>
      <w:r w:rsidRPr="005D684A">
        <w:rPr>
          <w:rFonts w:eastAsiaTheme="minorHAnsi" w:cs="Arial"/>
          <w:b/>
          <w:bCs/>
          <w:iCs/>
          <w:color w:val="000000"/>
          <w:sz w:val="18"/>
          <w:szCs w:val="18"/>
        </w:rPr>
        <w:t>Zdroj:</w:t>
      </w:r>
      <w:r w:rsidRPr="005D684A">
        <w:rPr>
          <w:rFonts w:eastAsiaTheme="minorHAnsi" w:cs="Arial"/>
          <w:bCs/>
          <w:iCs/>
          <w:color w:val="000000"/>
          <w:sz w:val="18"/>
          <w:szCs w:val="18"/>
        </w:rPr>
        <w:t xml:space="preserve"> </w:t>
      </w:r>
      <w:r w:rsidRPr="00D2564B">
        <w:rPr>
          <w:rFonts w:eastAsiaTheme="minorHAnsi" w:cs="Arial"/>
          <w:bCs/>
          <w:i/>
          <w:iCs/>
          <w:color w:val="000000"/>
          <w:sz w:val="18"/>
          <w:szCs w:val="18"/>
        </w:rPr>
        <w:t xml:space="preserve">Výročná správa o činnosti </w:t>
      </w:r>
      <w:proofErr w:type="spellStart"/>
      <w:r w:rsidRPr="00D2564B">
        <w:rPr>
          <w:rFonts w:eastAsiaTheme="minorHAnsi" w:cs="Arial"/>
          <w:bCs/>
          <w:i/>
          <w:iCs/>
          <w:color w:val="000000"/>
          <w:sz w:val="18"/>
          <w:szCs w:val="18"/>
        </w:rPr>
        <w:t>Finančnej</w:t>
      </w:r>
      <w:proofErr w:type="spellEnd"/>
      <w:r w:rsidRPr="00D2564B">
        <w:rPr>
          <w:rFonts w:eastAsiaTheme="minorHAnsi" w:cs="Arial"/>
          <w:bCs/>
          <w:i/>
          <w:iCs/>
          <w:color w:val="000000"/>
          <w:sz w:val="18"/>
          <w:szCs w:val="18"/>
        </w:rPr>
        <w:t xml:space="preserve"> správy za rok 2012</w:t>
      </w:r>
      <w:r w:rsidRPr="005D684A">
        <w:rPr>
          <w:rFonts w:eastAsiaTheme="minorHAnsi" w:cs="Arial"/>
          <w:bCs/>
          <w:iCs/>
          <w:color w:val="000000"/>
          <w:sz w:val="18"/>
          <w:szCs w:val="18"/>
        </w:rPr>
        <w:t xml:space="preserve">, </w:t>
      </w:r>
      <w:r w:rsidR="00D2564B">
        <w:rPr>
          <w:rFonts w:eastAsiaTheme="minorHAnsi" w:cs="Arial"/>
          <w:bCs/>
          <w:iCs/>
          <w:color w:val="000000"/>
          <w:sz w:val="18"/>
          <w:szCs w:val="18"/>
        </w:rPr>
        <w:t>p</w:t>
      </w:r>
      <w:r w:rsidRPr="005D684A">
        <w:rPr>
          <w:rFonts w:eastAsiaTheme="minorHAnsi" w:cs="Arial"/>
          <w:bCs/>
          <w:iCs/>
          <w:color w:val="000000"/>
          <w:sz w:val="18"/>
          <w:szCs w:val="18"/>
        </w:rPr>
        <w:t>odklady MF.</w:t>
      </w:r>
    </w:p>
    <w:p w:rsidR="00240BE0" w:rsidRPr="005D684A" w:rsidRDefault="00240BE0" w:rsidP="005D684A">
      <w:pPr>
        <w:autoSpaceDE w:val="0"/>
        <w:autoSpaceDN w:val="0"/>
        <w:adjustRightInd w:val="0"/>
        <w:spacing w:before="0" w:after="0"/>
        <w:ind w:left="567" w:hanging="567"/>
        <w:rPr>
          <w:rFonts w:eastAsiaTheme="minorHAnsi" w:cs="Arial"/>
          <w:bCs/>
          <w:iCs/>
          <w:color w:val="000000"/>
          <w:sz w:val="18"/>
          <w:szCs w:val="18"/>
        </w:rPr>
      </w:pPr>
      <w:r w:rsidRPr="005D684A">
        <w:rPr>
          <w:rFonts w:eastAsiaTheme="minorHAnsi" w:cs="Arial"/>
          <w:b/>
          <w:color w:val="000000"/>
          <w:sz w:val="18"/>
          <w:szCs w:val="18"/>
        </w:rPr>
        <w:t>Pozn</w:t>
      </w:r>
      <w:r w:rsidR="00D2564B">
        <w:rPr>
          <w:rFonts w:eastAsiaTheme="minorHAnsi" w:cs="Arial"/>
          <w:b/>
          <w:color w:val="000000"/>
          <w:sz w:val="18"/>
          <w:szCs w:val="18"/>
        </w:rPr>
        <w:t>.</w:t>
      </w:r>
      <w:r w:rsidRPr="005D684A">
        <w:rPr>
          <w:rFonts w:eastAsiaTheme="minorHAnsi" w:cs="Arial"/>
          <w:b/>
          <w:color w:val="000000"/>
          <w:sz w:val="18"/>
          <w:szCs w:val="18"/>
        </w:rPr>
        <w:t>:</w:t>
      </w:r>
      <w:r w:rsidRPr="005D684A">
        <w:rPr>
          <w:rFonts w:eastAsiaTheme="minorHAnsi" w:cs="Arial"/>
          <w:color w:val="000000"/>
          <w:sz w:val="18"/>
          <w:szCs w:val="18"/>
        </w:rPr>
        <w:t xml:space="preserve"> Odvod do státního rozpočtu a obcí zahrnuje u Slovenské republiky odvod do státního rozpočtu, odvod obcím, manipulační přirážku, obslužné a správní poplatky. Odvod do státního rozpočtu a obcí zahrnuje u České republiky odvod z loterií, správní poplatky (bez obcí) a místní poplatky. Daň z příjmů, které toto podnikání podléhá v obou státech, není ani u jednoho ze států zohledněna. Kurz </w:t>
      </w:r>
      <w:r w:rsidR="00C43835">
        <w:rPr>
          <w:rFonts w:eastAsiaTheme="minorHAnsi" w:cs="Arial"/>
          <w:color w:val="000000"/>
          <w:sz w:val="18"/>
          <w:szCs w:val="18"/>
        </w:rPr>
        <w:t>e</w:t>
      </w:r>
      <w:r w:rsidRPr="005D684A">
        <w:rPr>
          <w:rFonts w:eastAsiaTheme="minorHAnsi" w:cs="Arial"/>
          <w:color w:val="000000"/>
          <w:sz w:val="18"/>
          <w:szCs w:val="18"/>
        </w:rPr>
        <w:t>ura podle ČNB k 31.</w:t>
      </w:r>
      <w:r w:rsidR="00D2564B">
        <w:rPr>
          <w:rFonts w:eastAsiaTheme="minorHAnsi" w:cs="Arial"/>
          <w:color w:val="000000"/>
          <w:sz w:val="18"/>
          <w:szCs w:val="18"/>
        </w:rPr>
        <w:t> </w:t>
      </w:r>
      <w:r w:rsidRPr="005D684A">
        <w:rPr>
          <w:rFonts w:eastAsiaTheme="minorHAnsi" w:cs="Arial"/>
          <w:color w:val="000000"/>
          <w:sz w:val="18"/>
          <w:szCs w:val="18"/>
        </w:rPr>
        <w:t>12.</w:t>
      </w:r>
      <w:r w:rsidR="00D2564B">
        <w:rPr>
          <w:rFonts w:eastAsiaTheme="minorHAnsi" w:cs="Arial"/>
          <w:color w:val="000000"/>
          <w:sz w:val="18"/>
          <w:szCs w:val="18"/>
        </w:rPr>
        <w:t> </w:t>
      </w:r>
      <w:r w:rsidRPr="005D684A">
        <w:rPr>
          <w:rFonts w:eastAsiaTheme="minorHAnsi" w:cs="Arial"/>
          <w:color w:val="000000"/>
          <w:sz w:val="18"/>
          <w:szCs w:val="18"/>
        </w:rPr>
        <w:t>2012 byl 25,14 Kč. Počet obyvatel k 31. 12. 2012 byl v ČR 10,5 mil. a ve Slovenské republice 5,4</w:t>
      </w:r>
      <w:r w:rsidR="002F2F99">
        <w:rPr>
          <w:rFonts w:eastAsiaTheme="minorHAnsi" w:cs="Arial"/>
          <w:color w:val="000000"/>
          <w:sz w:val="18"/>
          <w:szCs w:val="18"/>
        </w:rPr>
        <w:t> </w:t>
      </w:r>
      <w:r w:rsidRPr="005D684A">
        <w:rPr>
          <w:rFonts w:eastAsiaTheme="minorHAnsi" w:cs="Arial"/>
          <w:color w:val="000000"/>
          <w:sz w:val="18"/>
          <w:szCs w:val="18"/>
        </w:rPr>
        <w:t>mil.</w:t>
      </w:r>
    </w:p>
    <w:p w:rsidR="00240BE0" w:rsidRDefault="00240BE0" w:rsidP="00240BE0">
      <w:pPr>
        <w:spacing w:before="0" w:after="0"/>
      </w:pPr>
    </w:p>
    <w:p w:rsidR="00941B1A" w:rsidRDefault="00941B1A" w:rsidP="00240BE0">
      <w:pPr>
        <w:spacing w:before="0" w:after="0"/>
        <w:rPr>
          <w:b/>
        </w:rPr>
      </w:pPr>
      <w:r w:rsidRPr="00240BE0">
        <w:rPr>
          <w:b/>
        </w:rPr>
        <w:t>Výběr odvodů a poplatků a jejich rozdělení</w:t>
      </w:r>
    </w:p>
    <w:p w:rsidR="00240BE0" w:rsidRPr="00240BE0" w:rsidRDefault="00240BE0" w:rsidP="00240BE0">
      <w:pPr>
        <w:spacing w:before="0" w:after="0"/>
      </w:pPr>
    </w:p>
    <w:p w:rsidR="00DE0D54" w:rsidRDefault="00255D85" w:rsidP="00C43A20">
      <w:pPr>
        <w:spacing w:before="0" w:after="40"/>
        <w:rPr>
          <w:rFonts w:cs="Arial"/>
          <w:sz w:val="20"/>
          <w:szCs w:val="20"/>
        </w:rPr>
      </w:pPr>
      <w:r w:rsidRPr="005D684A">
        <w:rPr>
          <w:b/>
        </w:rPr>
        <w:t>Tabulka č. 3 – Statistika finančních toků z LJPH</w:t>
      </w:r>
      <w:bookmarkStart w:id="5" w:name="_MON_1467100400"/>
      <w:bookmarkEnd w:id="5"/>
    </w:p>
    <w:tbl>
      <w:tblPr>
        <w:tblStyle w:val="Mkatabulky"/>
        <w:tblW w:w="91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02"/>
        <w:gridCol w:w="1247"/>
        <w:gridCol w:w="1247"/>
        <w:gridCol w:w="1361"/>
        <w:gridCol w:w="1928"/>
      </w:tblGrid>
      <w:tr w:rsidR="007A7000" w:rsidRPr="0040337D" w:rsidTr="00505D11">
        <w:trPr>
          <w:trHeight w:val="227"/>
          <w:jc w:val="center"/>
        </w:trPr>
        <w:tc>
          <w:tcPr>
            <w:tcW w:w="3402" w:type="dxa"/>
            <w:vAlign w:val="center"/>
          </w:tcPr>
          <w:p w:rsidR="007A7000" w:rsidRPr="0040337D" w:rsidRDefault="007A7000" w:rsidP="00505D11">
            <w:pPr>
              <w:spacing w:before="20" w:after="20"/>
              <w:rPr>
                <w:rFonts w:cs="Arial"/>
                <w:b/>
                <w:sz w:val="16"/>
                <w:szCs w:val="16"/>
              </w:rPr>
            </w:pPr>
            <w:r w:rsidRPr="0040337D">
              <w:rPr>
                <w:rFonts w:cs="Arial"/>
                <w:b/>
                <w:sz w:val="16"/>
                <w:szCs w:val="16"/>
              </w:rPr>
              <w:t>Druh loterie a jiné podobné hry</w:t>
            </w:r>
          </w:p>
        </w:tc>
        <w:tc>
          <w:tcPr>
            <w:tcW w:w="1247" w:type="dxa"/>
            <w:vAlign w:val="center"/>
          </w:tcPr>
          <w:p w:rsidR="007A7000" w:rsidRPr="0040337D" w:rsidRDefault="007A7000" w:rsidP="00505D11">
            <w:pPr>
              <w:spacing w:before="20" w:after="20"/>
              <w:jc w:val="center"/>
              <w:rPr>
                <w:rFonts w:cs="Arial"/>
                <w:b/>
                <w:sz w:val="16"/>
                <w:szCs w:val="16"/>
              </w:rPr>
            </w:pPr>
            <w:r w:rsidRPr="0040337D">
              <w:rPr>
                <w:rFonts w:cs="Arial"/>
                <w:b/>
                <w:sz w:val="16"/>
                <w:szCs w:val="16"/>
              </w:rPr>
              <w:t xml:space="preserve">Vsazeno </w:t>
            </w:r>
            <w:r>
              <w:rPr>
                <w:rFonts w:cs="Arial"/>
                <w:b/>
                <w:sz w:val="16"/>
                <w:szCs w:val="16"/>
              </w:rPr>
              <w:t>(</w:t>
            </w:r>
            <w:r w:rsidRPr="0040337D">
              <w:rPr>
                <w:rFonts w:cs="Arial"/>
                <w:b/>
                <w:sz w:val="16"/>
                <w:szCs w:val="16"/>
              </w:rPr>
              <w:t>v mil. Kč</w:t>
            </w:r>
            <w:r>
              <w:rPr>
                <w:rFonts w:cs="Arial"/>
                <w:b/>
                <w:sz w:val="16"/>
                <w:szCs w:val="16"/>
              </w:rPr>
              <w:t>)</w:t>
            </w:r>
          </w:p>
        </w:tc>
        <w:tc>
          <w:tcPr>
            <w:tcW w:w="1247" w:type="dxa"/>
            <w:vAlign w:val="center"/>
          </w:tcPr>
          <w:p w:rsidR="007A7000" w:rsidRPr="0040337D" w:rsidRDefault="007A7000" w:rsidP="00505D11">
            <w:pPr>
              <w:spacing w:before="20" w:after="20"/>
              <w:jc w:val="center"/>
              <w:rPr>
                <w:rFonts w:cs="Arial"/>
                <w:b/>
                <w:sz w:val="16"/>
                <w:szCs w:val="16"/>
              </w:rPr>
            </w:pPr>
            <w:r w:rsidRPr="0040337D">
              <w:rPr>
                <w:rFonts w:cs="Arial"/>
                <w:b/>
                <w:sz w:val="16"/>
                <w:szCs w:val="16"/>
              </w:rPr>
              <w:t xml:space="preserve">Vyplaceno </w:t>
            </w:r>
            <w:r>
              <w:rPr>
                <w:rFonts w:cs="Arial"/>
                <w:b/>
                <w:sz w:val="16"/>
                <w:szCs w:val="16"/>
              </w:rPr>
              <w:t>(</w:t>
            </w:r>
            <w:r w:rsidRPr="0040337D">
              <w:rPr>
                <w:rFonts w:cs="Arial"/>
                <w:b/>
                <w:sz w:val="16"/>
                <w:szCs w:val="16"/>
              </w:rPr>
              <w:t>v mil. Kč</w:t>
            </w:r>
            <w:r>
              <w:rPr>
                <w:rFonts w:cs="Arial"/>
                <w:b/>
                <w:sz w:val="16"/>
                <w:szCs w:val="16"/>
              </w:rPr>
              <w:t>)</w:t>
            </w:r>
          </w:p>
        </w:tc>
        <w:tc>
          <w:tcPr>
            <w:tcW w:w="1361" w:type="dxa"/>
            <w:vAlign w:val="center"/>
          </w:tcPr>
          <w:p w:rsidR="007A7000" w:rsidRPr="0040337D" w:rsidRDefault="007A7000" w:rsidP="007A7000">
            <w:pPr>
              <w:spacing w:before="20" w:after="20"/>
              <w:jc w:val="center"/>
              <w:rPr>
                <w:rFonts w:cs="Arial"/>
                <w:b/>
                <w:sz w:val="16"/>
                <w:szCs w:val="16"/>
              </w:rPr>
            </w:pPr>
            <w:r w:rsidRPr="0040337D">
              <w:rPr>
                <w:rFonts w:cs="Arial"/>
                <w:b/>
                <w:sz w:val="16"/>
                <w:szCs w:val="16"/>
              </w:rPr>
              <w:t xml:space="preserve">Příjmy ze hry </w:t>
            </w:r>
            <w:r>
              <w:rPr>
                <w:rFonts w:cs="Arial"/>
                <w:b/>
                <w:sz w:val="16"/>
                <w:szCs w:val="16"/>
              </w:rPr>
              <w:t xml:space="preserve">– </w:t>
            </w:r>
            <w:r w:rsidRPr="0040337D">
              <w:rPr>
                <w:rFonts w:cs="Arial"/>
                <w:b/>
                <w:sz w:val="16"/>
                <w:szCs w:val="16"/>
              </w:rPr>
              <w:t xml:space="preserve">hrubý výnos </w:t>
            </w:r>
            <w:r>
              <w:rPr>
                <w:rFonts w:cs="Arial"/>
                <w:b/>
                <w:sz w:val="16"/>
                <w:szCs w:val="16"/>
              </w:rPr>
              <w:t>(</w:t>
            </w:r>
            <w:r w:rsidRPr="0040337D">
              <w:rPr>
                <w:rFonts w:cs="Arial"/>
                <w:b/>
                <w:sz w:val="16"/>
                <w:szCs w:val="16"/>
              </w:rPr>
              <w:t>v mil. Kč</w:t>
            </w:r>
            <w:r>
              <w:rPr>
                <w:rFonts w:cs="Arial"/>
                <w:b/>
                <w:sz w:val="16"/>
                <w:szCs w:val="16"/>
              </w:rPr>
              <w:t>)</w:t>
            </w:r>
          </w:p>
        </w:tc>
        <w:tc>
          <w:tcPr>
            <w:tcW w:w="1928" w:type="dxa"/>
            <w:vAlign w:val="center"/>
          </w:tcPr>
          <w:p w:rsidR="007A7000" w:rsidRPr="0040337D" w:rsidRDefault="007A7000" w:rsidP="007A7000">
            <w:pPr>
              <w:spacing w:before="20" w:after="20"/>
              <w:jc w:val="center"/>
              <w:rPr>
                <w:rFonts w:cs="Arial"/>
                <w:b/>
                <w:sz w:val="16"/>
                <w:szCs w:val="16"/>
              </w:rPr>
            </w:pPr>
            <w:r w:rsidRPr="0040337D">
              <w:rPr>
                <w:rFonts w:cs="Arial"/>
                <w:b/>
                <w:sz w:val="16"/>
                <w:szCs w:val="16"/>
              </w:rPr>
              <w:t>Hodnota hrubého výnosu z </w:t>
            </w:r>
            <w:r>
              <w:rPr>
                <w:rFonts w:cs="Arial"/>
                <w:b/>
                <w:sz w:val="16"/>
                <w:szCs w:val="16"/>
              </w:rPr>
              <w:t xml:space="preserve">částek </w:t>
            </w:r>
            <w:r w:rsidRPr="0040337D">
              <w:rPr>
                <w:rFonts w:cs="Arial"/>
                <w:b/>
                <w:sz w:val="16"/>
                <w:szCs w:val="16"/>
              </w:rPr>
              <w:t xml:space="preserve">vložených do hry </w:t>
            </w:r>
            <w:r>
              <w:rPr>
                <w:rFonts w:cs="Arial"/>
                <w:b/>
                <w:sz w:val="16"/>
                <w:szCs w:val="16"/>
              </w:rPr>
              <w:br/>
              <w:t>(</w:t>
            </w:r>
            <w:r w:rsidRPr="0040337D">
              <w:rPr>
                <w:rFonts w:cs="Arial"/>
                <w:b/>
                <w:sz w:val="16"/>
                <w:szCs w:val="16"/>
              </w:rPr>
              <w:t>v %</w:t>
            </w:r>
            <w:r>
              <w:rPr>
                <w:rFonts w:cs="Arial"/>
                <w:b/>
                <w:sz w:val="16"/>
                <w:szCs w:val="16"/>
              </w:rPr>
              <w:t>)</w:t>
            </w:r>
          </w:p>
        </w:tc>
      </w:tr>
      <w:tr w:rsidR="007A7000" w:rsidRPr="0040337D" w:rsidTr="007558D7">
        <w:trPr>
          <w:trHeight w:val="227"/>
          <w:jc w:val="center"/>
        </w:trPr>
        <w:tc>
          <w:tcPr>
            <w:tcW w:w="3402" w:type="dxa"/>
            <w:vAlign w:val="center"/>
          </w:tcPr>
          <w:p w:rsidR="007A7000" w:rsidRPr="0040337D" w:rsidRDefault="007A7000" w:rsidP="007A7000">
            <w:pPr>
              <w:spacing w:before="20" w:after="20"/>
              <w:rPr>
                <w:rFonts w:cs="Arial"/>
                <w:b/>
                <w:sz w:val="16"/>
                <w:szCs w:val="16"/>
              </w:rPr>
            </w:pPr>
            <w:r w:rsidRPr="0040337D">
              <w:rPr>
                <w:rFonts w:cs="Arial"/>
                <w:b/>
                <w:sz w:val="16"/>
                <w:szCs w:val="16"/>
              </w:rPr>
              <w:t xml:space="preserve">Loterie </w:t>
            </w:r>
            <w:r>
              <w:rPr>
                <w:rFonts w:cs="Arial"/>
                <w:b/>
                <w:sz w:val="16"/>
                <w:szCs w:val="16"/>
              </w:rPr>
              <w:t>–</w:t>
            </w:r>
            <w:r w:rsidRPr="0040337D">
              <w:rPr>
                <w:rFonts w:cs="Arial"/>
                <w:b/>
                <w:sz w:val="16"/>
                <w:szCs w:val="16"/>
              </w:rPr>
              <w:t xml:space="preserve"> z toho:</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6 641,30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3 127,60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3 513,70</w:t>
            </w:r>
          </w:p>
        </w:tc>
        <w:tc>
          <w:tcPr>
            <w:tcW w:w="1928" w:type="dxa"/>
            <w:vAlign w:val="center"/>
          </w:tcPr>
          <w:p w:rsidR="007A7000" w:rsidRPr="00887E71" w:rsidRDefault="007A7000" w:rsidP="007558D7">
            <w:pPr>
              <w:spacing w:before="20" w:after="20"/>
              <w:jc w:val="center"/>
              <w:rPr>
                <w:rFonts w:cs="Arial"/>
                <w:b/>
                <w:sz w:val="16"/>
                <w:szCs w:val="16"/>
              </w:rPr>
            </w:pPr>
            <w:r w:rsidRPr="00887E71">
              <w:rPr>
                <w:rFonts w:cs="Arial"/>
                <w:b/>
                <w:sz w:val="16"/>
                <w:szCs w:val="16"/>
              </w:rPr>
              <w:t>52,91</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Číselné loterie</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5 979,10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2 783,70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3 195,40</w:t>
            </w:r>
          </w:p>
        </w:tc>
        <w:tc>
          <w:tcPr>
            <w:tcW w:w="1928" w:type="dxa"/>
            <w:vAlign w:val="center"/>
          </w:tcPr>
          <w:p w:rsidR="007A7000" w:rsidRPr="0040337D" w:rsidRDefault="007A7000" w:rsidP="007558D7">
            <w:pPr>
              <w:spacing w:before="20" w:after="20"/>
              <w:jc w:val="center"/>
              <w:rPr>
                <w:rFonts w:cs="Arial"/>
                <w:sz w:val="16"/>
                <w:szCs w:val="16"/>
              </w:rPr>
            </w:pPr>
            <w:r>
              <w:rPr>
                <w:rFonts w:cs="Arial"/>
                <w:sz w:val="16"/>
                <w:szCs w:val="16"/>
              </w:rPr>
              <w:t>53,44</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Okamžité loterie</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651,10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337,90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313,20</w:t>
            </w:r>
          </w:p>
        </w:tc>
        <w:tc>
          <w:tcPr>
            <w:tcW w:w="1928" w:type="dxa"/>
            <w:vAlign w:val="center"/>
          </w:tcPr>
          <w:p w:rsidR="007A7000" w:rsidRPr="0040337D" w:rsidRDefault="007A7000" w:rsidP="007558D7">
            <w:pPr>
              <w:spacing w:before="20" w:after="20"/>
              <w:jc w:val="center"/>
              <w:rPr>
                <w:rFonts w:cs="Arial"/>
                <w:sz w:val="16"/>
                <w:szCs w:val="16"/>
              </w:rPr>
            </w:pPr>
            <w:r>
              <w:rPr>
                <w:rFonts w:cs="Arial"/>
                <w:sz w:val="16"/>
                <w:szCs w:val="16"/>
              </w:rPr>
              <w:t>48,10</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Sázky na sportovní výsledky (totalizátor)</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11,10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6,00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5,10</w:t>
            </w:r>
          </w:p>
        </w:tc>
        <w:tc>
          <w:tcPr>
            <w:tcW w:w="1928" w:type="dxa"/>
            <w:vAlign w:val="center"/>
          </w:tcPr>
          <w:p w:rsidR="007A7000" w:rsidRPr="0040337D" w:rsidRDefault="007A7000" w:rsidP="007558D7">
            <w:pPr>
              <w:spacing w:before="20" w:after="20"/>
              <w:jc w:val="center"/>
              <w:rPr>
                <w:rFonts w:cs="Arial"/>
                <w:sz w:val="16"/>
                <w:szCs w:val="16"/>
              </w:rPr>
            </w:pPr>
            <w:r>
              <w:rPr>
                <w:rFonts w:cs="Arial"/>
                <w:sz w:val="16"/>
                <w:szCs w:val="16"/>
              </w:rPr>
              <w:t>45,95</w:t>
            </w:r>
          </w:p>
        </w:tc>
      </w:tr>
      <w:tr w:rsidR="007A7000" w:rsidRPr="0040337D" w:rsidTr="007558D7">
        <w:trPr>
          <w:trHeight w:val="227"/>
          <w:jc w:val="center"/>
        </w:trPr>
        <w:tc>
          <w:tcPr>
            <w:tcW w:w="3402" w:type="dxa"/>
            <w:vAlign w:val="center"/>
          </w:tcPr>
          <w:p w:rsidR="007A7000" w:rsidRPr="008E2479" w:rsidRDefault="007A7000" w:rsidP="00505D11">
            <w:pPr>
              <w:spacing w:before="20" w:after="20"/>
              <w:rPr>
                <w:rFonts w:cs="Arial"/>
                <w:b/>
                <w:sz w:val="16"/>
                <w:szCs w:val="16"/>
              </w:rPr>
            </w:pPr>
            <w:r>
              <w:rPr>
                <w:rFonts w:cs="Arial"/>
                <w:b/>
                <w:sz w:val="16"/>
                <w:szCs w:val="16"/>
              </w:rPr>
              <w:t>Kursové sázky</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5 936,60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4 112,50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1 824,10</w:t>
            </w:r>
          </w:p>
        </w:tc>
        <w:tc>
          <w:tcPr>
            <w:tcW w:w="1928" w:type="dxa"/>
            <w:vAlign w:val="center"/>
          </w:tcPr>
          <w:p w:rsidR="007A7000" w:rsidRPr="00887E71" w:rsidRDefault="007A7000" w:rsidP="007558D7">
            <w:pPr>
              <w:spacing w:before="20" w:after="20"/>
              <w:jc w:val="center"/>
              <w:rPr>
                <w:rFonts w:cs="Arial"/>
                <w:b/>
                <w:sz w:val="16"/>
                <w:szCs w:val="16"/>
              </w:rPr>
            </w:pPr>
            <w:r w:rsidRPr="00887E71">
              <w:rPr>
                <w:rFonts w:cs="Arial"/>
                <w:b/>
                <w:sz w:val="16"/>
                <w:szCs w:val="16"/>
              </w:rPr>
              <w:t>30,73</w:t>
            </w:r>
          </w:p>
        </w:tc>
      </w:tr>
      <w:tr w:rsidR="007A7000" w:rsidRPr="0040337D" w:rsidTr="007558D7">
        <w:trPr>
          <w:trHeight w:val="227"/>
          <w:jc w:val="center"/>
        </w:trPr>
        <w:tc>
          <w:tcPr>
            <w:tcW w:w="3402" w:type="dxa"/>
            <w:vAlign w:val="center"/>
          </w:tcPr>
          <w:p w:rsidR="007A7000" w:rsidRPr="008E2479" w:rsidRDefault="007A7000" w:rsidP="00505D11">
            <w:pPr>
              <w:spacing w:before="20" w:after="20"/>
              <w:rPr>
                <w:rFonts w:cs="Arial"/>
                <w:b/>
                <w:sz w:val="16"/>
                <w:szCs w:val="16"/>
              </w:rPr>
            </w:pPr>
            <w:r>
              <w:rPr>
                <w:rFonts w:cs="Arial"/>
                <w:b/>
                <w:sz w:val="16"/>
                <w:szCs w:val="16"/>
              </w:rPr>
              <w:t>Bingo</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20,40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14,30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6,10</w:t>
            </w:r>
          </w:p>
        </w:tc>
        <w:tc>
          <w:tcPr>
            <w:tcW w:w="1928" w:type="dxa"/>
            <w:vAlign w:val="center"/>
          </w:tcPr>
          <w:p w:rsidR="007A7000" w:rsidRPr="00887E71" w:rsidRDefault="007A7000" w:rsidP="007558D7">
            <w:pPr>
              <w:spacing w:before="20" w:after="20"/>
              <w:jc w:val="center"/>
              <w:rPr>
                <w:rFonts w:cs="Arial"/>
                <w:b/>
                <w:sz w:val="16"/>
                <w:szCs w:val="16"/>
              </w:rPr>
            </w:pPr>
            <w:r w:rsidRPr="00887E71">
              <w:rPr>
                <w:rFonts w:cs="Arial"/>
                <w:b/>
                <w:sz w:val="16"/>
                <w:szCs w:val="16"/>
              </w:rPr>
              <w:t>29,90</w:t>
            </w:r>
          </w:p>
        </w:tc>
      </w:tr>
      <w:tr w:rsidR="007A7000" w:rsidRPr="0040337D" w:rsidTr="007558D7">
        <w:trPr>
          <w:trHeight w:val="227"/>
          <w:jc w:val="center"/>
        </w:trPr>
        <w:tc>
          <w:tcPr>
            <w:tcW w:w="3402" w:type="dxa"/>
            <w:vAlign w:val="center"/>
          </w:tcPr>
          <w:p w:rsidR="007A7000" w:rsidRPr="008E2479" w:rsidRDefault="007A7000" w:rsidP="007A7000">
            <w:pPr>
              <w:spacing w:before="20" w:after="20"/>
              <w:rPr>
                <w:rFonts w:cs="Arial"/>
                <w:b/>
                <w:sz w:val="16"/>
                <w:szCs w:val="16"/>
              </w:rPr>
            </w:pPr>
            <w:r>
              <w:rPr>
                <w:rFonts w:cs="Arial"/>
                <w:b/>
                <w:sz w:val="16"/>
                <w:szCs w:val="16"/>
              </w:rPr>
              <w:t>Kasina – z toho:</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10 030,70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8 346,70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1 684,00</w:t>
            </w:r>
          </w:p>
        </w:tc>
        <w:tc>
          <w:tcPr>
            <w:tcW w:w="1928" w:type="dxa"/>
            <w:vAlign w:val="center"/>
          </w:tcPr>
          <w:p w:rsidR="007A7000" w:rsidRPr="00887E71" w:rsidRDefault="007A7000" w:rsidP="007558D7">
            <w:pPr>
              <w:spacing w:before="20" w:after="20"/>
              <w:jc w:val="center"/>
              <w:rPr>
                <w:rFonts w:cs="Arial"/>
                <w:b/>
                <w:sz w:val="16"/>
                <w:szCs w:val="16"/>
              </w:rPr>
            </w:pPr>
            <w:r w:rsidRPr="00887E71">
              <w:rPr>
                <w:rFonts w:cs="Arial"/>
                <w:b/>
                <w:sz w:val="16"/>
                <w:szCs w:val="16"/>
              </w:rPr>
              <w:t>16,79</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Kasinové hry (živé hry)</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9 674,40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8 008,40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1 665,90</w:t>
            </w:r>
          </w:p>
        </w:tc>
        <w:tc>
          <w:tcPr>
            <w:tcW w:w="1928" w:type="dxa"/>
            <w:vAlign w:val="center"/>
          </w:tcPr>
          <w:p w:rsidR="007A7000" w:rsidRPr="0040337D" w:rsidRDefault="007A7000" w:rsidP="007558D7">
            <w:pPr>
              <w:spacing w:before="20" w:after="20"/>
              <w:jc w:val="center"/>
              <w:rPr>
                <w:rFonts w:cs="Arial"/>
                <w:sz w:val="16"/>
                <w:szCs w:val="16"/>
              </w:rPr>
            </w:pPr>
            <w:r>
              <w:rPr>
                <w:rFonts w:cs="Arial"/>
                <w:sz w:val="16"/>
                <w:szCs w:val="16"/>
              </w:rPr>
              <w:t>17,22</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Karetní turnaje</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356,40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338,30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18,10</w:t>
            </w:r>
          </w:p>
        </w:tc>
        <w:tc>
          <w:tcPr>
            <w:tcW w:w="1928" w:type="dxa"/>
            <w:vAlign w:val="center"/>
          </w:tcPr>
          <w:p w:rsidR="007A7000" w:rsidRPr="0040337D" w:rsidRDefault="007A7000" w:rsidP="007558D7">
            <w:pPr>
              <w:spacing w:before="20" w:after="20"/>
              <w:jc w:val="center"/>
              <w:rPr>
                <w:rFonts w:cs="Arial"/>
                <w:sz w:val="16"/>
                <w:szCs w:val="16"/>
              </w:rPr>
            </w:pPr>
            <w:r>
              <w:rPr>
                <w:rFonts w:cs="Arial"/>
                <w:sz w:val="16"/>
                <w:szCs w:val="16"/>
              </w:rPr>
              <w:t>5,08</w:t>
            </w:r>
          </w:p>
        </w:tc>
      </w:tr>
      <w:tr w:rsidR="007A7000" w:rsidRPr="0040337D" w:rsidTr="007558D7">
        <w:trPr>
          <w:trHeight w:val="227"/>
          <w:jc w:val="center"/>
        </w:trPr>
        <w:tc>
          <w:tcPr>
            <w:tcW w:w="3402" w:type="dxa"/>
            <w:vAlign w:val="center"/>
          </w:tcPr>
          <w:p w:rsidR="007A7000" w:rsidRPr="008E2479" w:rsidRDefault="007A7000" w:rsidP="007A7000">
            <w:pPr>
              <w:spacing w:before="20" w:after="20"/>
              <w:rPr>
                <w:rFonts w:cs="Arial"/>
                <w:b/>
                <w:sz w:val="16"/>
                <w:szCs w:val="16"/>
              </w:rPr>
            </w:pPr>
            <w:r>
              <w:rPr>
                <w:rFonts w:cs="Arial"/>
                <w:b/>
                <w:sz w:val="16"/>
                <w:szCs w:val="16"/>
              </w:rPr>
              <w:t>Technické hry – z toho:</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87 804,30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67 369,80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20 434,50</w:t>
            </w:r>
          </w:p>
        </w:tc>
        <w:tc>
          <w:tcPr>
            <w:tcW w:w="1928" w:type="dxa"/>
            <w:vAlign w:val="center"/>
          </w:tcPr>
          <w:p w:rsidR="007A7000" w:rsidRPr="00887E71" w:rsidRDefault="007A7000" w:rsidP="007558D7">
            <w:pPr>
              <w:spacing w:before="20" w:after="20"/>
              <w:jc w:val="center"/>
              <w:rPr>
                <w:rFonts w:cs="Arial"/>
                <w:b/>
                <w:sz w:val="16"/>
                <w:szCs w:val="16"/>
              </w:rPr>
            </w:pPr>
            <w:r w:rsidRPr="00887E71">
              <w:rPr>
                <w:rFonts w:cs="Arial"/>
                <w:b/>
                <w:sz w:val="16"/>
                <w:szCs w:val="16"/>
              </w:rPr>
              <w:t>23,27</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Interaktivní videoloterijní terminály</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60 058,00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44 350,40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15 707,50</w:t>
            </w:r>
          </w:p>
        </w:tc>
        <w:tc>
          <w:tcPr>
            <w:tcW w:w="1928" w:type="dxa"/>
            <w:vAlign w:val="center"/>
          </w:tcPr>
          <w:p w:rsidR="007A7000" w:rsidRPr="0040337D" w:rsidRDefault="007A7000" w:rsidP="007558D7">
            <w:pPr>
              <w:spacing w:before="20" w:after="20"/>
              <w:jc w:val="center"/>
              <w:rPr>
                <w:rFonts w:cs="Arial"/>
                <w:sz w:val="16"/>
                <w:szCs w:val="16"/>
              </w:rPr>
            </w:pPr>
            <w:r>
              <w:rPr>
                <w:rFonts w:cs="Arial"/>
                <w:sz w:val="16"/>
                <w:szCs w:val="16"/>
              </w:rPr>
              <w:t>26,15</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Elektromechanická ruleta</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6 372,50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5 556,90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815,50</w:t>
            </w:r>
          </w:p>
        </w:tc>
        <w:tc>
          <w:tcPr>
            <w:tcW w:w="1928" w:type="dxa"/>
            <w:vAlign w:val="center"/>
          </w:tcPr>
          <w:p w:rsidR="007A7000" w:rsidRPr="0040337D" w:rsidRDefault="007A7000" w:rsidP="007558D7">
            <w:pPr>
              <w:spacing w:before="20" w:after="20"/>
              <w:jc w:val="center"/>
              <w:rPr>
                <w:rFonts w:cs="Arial"/>
                <w:sz w:val="16"/>
                <w:szCs w:val="16"/>
              </w:rPr>
            </w:pPr>
            <w:r>
              <w:rPr>
                <w:rFonts w:cs="Arial"/>
                <w:sz w:val="16"/>
                <w:szCs w:val="16"/>
              </w:rPr>
              <w:t>12,80</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Internetová kurzová sázka</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14 004,10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12 148,40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1 855,70</w:t>
            </w:r>
          </w:p>
        </w:tc>
        <w:tc>
          <w:tcPr>
            <w:tcW w:w="1928" w:type="dxa"/>
            <w:vAlign w:val="center"/>
          </w:tcPr>
          <w:p w:rsidR="007A7000" w:rsidRPr="0040337D" w:rsidRDefault="007A7000" w:rsidP="007558D7">
            <w:pPr>
              <w:spacing w:before="20" w:after="20"/>
              <w:jc w:val="center"/>
              <w:rPr>
                <w:rFonts w:cs="Arial"/>
                <w:sz w:val="16"/>
                <w:szCs w:val="16"/>
              </w:rPr>
            </w:pPr>
            <w:r>
              <w:rPr>
                <w:rFonts w:cs="Arial"/>
                <w:sz w:val="16"/>
                <w:szCs w:val="16"/>
              </w:rPr>
              <w:t>13,25</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Lokální loterijní systém</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7 032,20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5 078,30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1 953,90</w:t>
            </w:r>
          </w:p>
        </w:tc>
        <w:tc>
          <w:tcPr>
            <w:tcW w:w="1928" w:type="dxa"/>
            <w:vAlign w:val="center"/>
          </w:tcPr>
          <w:p w:rsidR="007A7000" w:rsidRPr="0040337D" w:rsidRDefault="007A7000" w:rsidP="007558D7">
            <w:pPr>
              <w:spacing w:before="20" w:after="20"/>
              <w:jc w:val="center"/>
              <w:rPr>
                <w:rFonts w:cs="Arial"/>
                <w:sz w:val="16"/>
                <w:szCs w:val="16"/>
              </w:rPr>
            </w:pPr>
            <w:r>
              <w:rPr>
                <w:rFonts w:cs="Arial"/>
                <w:sz w:val="16"/>
                <w:szCs w:val="16"/>
              </w:rPr>
              <w:t>27,79</w:t>
            </w:r>
          </w:p>
        </w:tc>
      </w:tr>
      <w:tr w:rsidR="007A7000" w:rsidRPr="0040337D" w:rsidTr="007558D7">
        <w:trPr>
          <w:trHeight w:val="227"/>
          <w:jc w:val="center"/>
        </w:trPr>
        <w:tc>
          <w:tcPr>
            <w:tcW w:w="3402" w:type="dxa"/>
            <w:vAlign w:val="center"/>
          </w:tcPr>
          <w:p w:rsidR="007A7000" w:rsidRPr="0040337D" w:rsidRDefault="007A7000" w:rsidP="00505D11">
            <w:pPr>
              <w:spacing w:before="20" w:after="20"/>
              <w:ind w:firstLine="142"/>
              <w:rPr>
                <w:rFonts w:cs="Arial"/>
                <w:sz w:val="16"/>
                <w:szCs w:val="16"/>
              </w:rPr>
            </w:pPr>
            <w:r>
              <w:rPr>
                <w:rFonts w:cs="Arial"/>
                <w:sz w:val="16"/>
                <w:szCs w:val="16"/>
              </w:rPr>
              <w:t>Ostatní technické hry</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337,60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235,80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101,80</w:t>
            </w:r>
          </w:p>
        </w:tc>
        <w:tc>
          <w:tcPr>
            <w:tcW w:w="1928" w:type="dxa"/>
            <w:vAlign w:val="center"/>
          </w:tcPr>
          <w:p w:rsidR="007A7000" w:rsidRPr="00887E71" w:rsidRDefault="007A7000" w:rsidP="007558D7">
            <w:pPr>
              <w:spacing w:before="20" w:after="20"/>
              <w:jc w:val="center"/>
              <w:rPr>
                <w:rFonts w:cs="Arial"/>
                <w:sz w:val="16"/>
                <w:szCs w:val="16"/>
              </w:rPr>
            </w:pPr>
            <w:r w:rsidRPr="00887E71">
              <w:rPr>
                <w:rFonts w:cs="Arial"/>
                <w:sz w:val="16"/>
                <w:szCs w:val="16"/>
              </w:rPr>
              <w:t>30,15</w:t>
            </w:r>
          </w:p>
        </w:tc>
      </w:tr>
      <w:tr w:rsidR="007A7000" w:rsidRPr="0040337D" w:rsidTr="007558D7">
        <w:trPr>
          <w:trHeight w:val="227"/>
          <w:jc w:val="center"/>
        </w:trPr>
        <w:tc>
          <w:tcPr>
            <w:tcW w:w="3402" w:type="dxa"/>
            <w:vAlign w:val="center"/>
          </w:tcPr>
          <w:p w:rsidR="007A7000" w:rsidRPr="008E2479" w:rsidRDefault="007A7000" w:rsidP="00505D11">
            <w:pPr>
              <w:spacing w:before="20" w:after="20"/>
              <w:rPr>
                <w:rFonts w:cs="Arial"/>
                <w:b/>
                <w:sz w:val="16"/>
                <w:szCs w:val="16"/>
              </w:rPr>
            </w:pPr>
            <w:r>
              <w:rPr>
                <w:rFonts w:cs="Arial"/>
                <w:b/>
                <w:sz w:val="16"/>
                <w:szCs w:val="16"/>
              </w:rPr>
              <w:t>VHP v kasinech</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14 819,50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13 125,70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1 693,80</w:t>
            </w:r>
          </w:p>
        </w:tc>
        <w:tc>
          <w:tcPr>
            <w:tcW w:w="1928" w:type="dxa"/>
            <w:vAlign w:val="center"/>
          </w:tcPr>
          <w:p w:rsidR="007A7000" w:rsidRPr="00887E71" w:rsidRDefault="007A7000" w:rsidP="007558D7">
            <w:pPr>
              <w:spacing w:before="20" w:after="20"/>
              <w:jc w:val="center"/>
              <w:rPr>
                <w:rFonts w:cs="Arial"/>
                <w:b/>
                <w:sz w:val="16"/>
                <w:szCs w:val="16"/>
              </w:rPr>
            </w:pPr>
            <w:r w:rsidRPr="00887E71">
              <w:rPr>
                <w:rFonts w:cs="Arial"/>
                <w:b/>
                <w:sz w:val="16"/>
                <w:szCs w:val="16"/>
              </w:rPr>
              <w:t>11,43</w:t>
            </w:r>
          </w:p>
        </w:tc>
      </w:tr>
      <w:tr w:rsidR="007A7000" w:rsidRPr="0040337D" w:rsidTr="007558D7">
        <w:trPr>
          <w:trHeight w:val="227"/>
          <w:jc w:val="center"/>
        </w:trPr>
        <w:tc>
          <w:tcPr>
            <w:tcW w:w="3402" w:type="dxa"/>
            <w:vAlign w:val="center"/>
          </w:tcPr>
          <w:p w:rsidR="007A7000" w:rsidRPr="008E2479" w:rsidRDefault="007A7000" w:rsidP="00505D11">
            <w:pPr>
              <w:spacing w:before="20" w:after="20"/>
              <w:rPr>
                <w:rFonts w:cs="Arial"/>
                <w:b/>
                <w:sz w:val="16"/>
                <w:szCs w:val="16"/>
              </w:rPr>
            </w:pPr>
            <w:r>
              <w:rPr>
                <w:rFonts w:cs="Arial"/>
                <w:b/>
                <w:sz w:val="16"/>
                <w:szCs w:val="16"/>
              </w:rPr>
              <w:t>VHP v obcích</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10 283,60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7 631,40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2 652,20</w:t>
            </w:r>
          </w:p>
        </w:tc>
        <w:tc>
          <w:tcPr>
            <w:tcW w:w="1928" w:type="dxa"/>
            <w:vAlign w:val="center"/>
          </w:tcPr>
          <w:p w:rsidR="007A7000" w:rsidRPr="00887E71" w:rsidRDefault="007A7000" w:rsidP="007558D7">
            <w:pPr>
              <w:spacing w:before="20" w:after="20"/>
              <w:jc w:val="center"/>
              <w:rPr>
                <w:rFonts w:cs="Arial"/>
                <w:b/>
                <w:sz w:val="16"/>
                <w:szCs w:val="16"/>
              </w:rPr>
            </w:pPr>
            <w:r w:rsidRPr="00887E71">
              <w:rPr>
                <w:rFonts w:cs="Arial"/>
                <w:b/>
                <w:sz w:val="16"/>
                <w:szCs w:val="16"/>
              </w:rPr>
              <w:t>25,79</w:t>
            </w:r>
          </w:p>
        </w:tc>
      </w:tr>
      <w:tr w:rsidR="007A7000" w:rsidRPr="007A7000" w:rsidTr="00505D11">
        <w:trPr>
          <w:trHeight w:val="227"/>
          <w:jc w:val="center"/>
        </w:trPr>
        <w:tc>
          <w:tcPr>
            <w:tcW w:w="3402" w:type="dxa"/>
            <w:vAlign w:val="center"/>
          </w:tcPr>
          <w:p w:rsidR="007A7000" w:rsidRPr="007558D7" w:rsidRDefault="007A7000" w:rsidP="00505D11">
            <w:pPr>
              <w:spacing w:before="20" w:after="20"/>
              <w:rPr>
                <w:rFonts w:cs="Arial"/>
                <w:b/>
                <w:sz w:val="16"/>
                <w:szCs w:val="16"/>
              </w:rPr>
            </w:pPr>
            <w:r w:rsidRPr="007558D7">
              <w:rPr>
                <w:rFonts w:cs="Arial"/>
                <w:b/>
                <w:sz w:val="16"/>
                <w:szCs w:val="16"/>
              </w:rPr>
              <w:t>CELKEM</w:t>
            </w:r>
          </w:p>
        </w:tc>
        <w:tc>
          <w:tcPr>
            <w:tcW w:w="1247" w:type="dxa"/>
            <w:vAlign w:val="center"/>
          </w:tcPr>
          <w:p w:rsidR="007A7000" w:rsidRPr="007558D7" w:rsidRDefault="007A7000" w:rsidP="00505D11">
            <w:pPr>
              <w:spacing w:before="20" w:after="20"/>
              <w:ind w:right="104"/>
              <w:jc w:val="right"/>
              <w:rPr>
                <w:rFonts w:cs="Arial"/>
                <w:b/>
                <w:sz w:val="16"/>
                <w:szCs w:val="16"/>
              </w:rPr>
            </w:pPr>
            <w:r w:rsidRPr="007558D7">
              <w:rPr>
                <w:rFonts w:cs="Arial"/>
                <w:b/>
                <w:sz w:val="16"/>
                <w:szCs w:val="16"/>
              </w:rPr>
              <w:t>135 536,40</w:t>
            </w:r>
          </w:p>
        </w:tc>
        <w:tc>
          <w:tcPr>
            <w:tcW w:w="1247" w:type="dxa"/>
            <w:vAlign w:val="center"/>
          </w:tcPr>
          <w:p w:rsidR="007A7000" w:rsidRPr="007558D7" w:rsidRDefault="007A7000" w:rsidP="00505D11">
            <w:pPr>
              <w:spacing w:before="20" w:after="20"/>
              <w:ind w:right="104"/>
              <w:jc w:val="right"/>
              <w:rPr>
                <w:rFonts w:cs="Arial"/>
                <w:b/>
                <w:sz w:val="16"/>
                <w:szCs w:val="16"/>
              </w:rPr>
            </w:pPr>
            <w:r w:rsidRPr="007558D7">
              <w:rPr>
                <w:rFonts w:cs="Arial"/>
                <w:b/>
                <w:sz w:val="16"/>
                <w:szCs w:val="16"/>
              </w:rPr>
              <w:t>103 728,00</w:t>
            </w:r>
          </w:p>
        </w:tc>
        <w:tc>
          <w:tcPr>
            <w:tcW w:w="1361" w:type="dxa"/>
            <w:vAlign w:val="center"/>
          </w:tcPr>
          <w:p w:rsidR="007A7000" w:rsidRPr="007558D7" w:rsidRDefault="007A7000" w:rsidP="00505D11">
            <w:pPr>
              <w:spacing w:before="20" w:after="20"/>
              <w:ind w:right="104"/>
              <w:jc w:val="right"/>
              <w:rPr>
                <w:rFonts w:cs="Arial"/>
                <w:b/>
                <w:sz w:val="16"/>
                <w:szCs w:val="16"/>
              </w:rPr>
            </w:pPr>
            <w:r w:rsidRPr="007558D7">
              <w:rPr>
                <w:rFonts w:cs="Arial"/>
                <w:b/>
                <w:sz w:val="16"/>
                <w:szCs w:val="16"/>
              </w:rPr>
              <w:t>31 808,40</w:t>
            </w:r>
          </w:p>
        </w:tc>
        <w:tc>
          <w:tcPr>
            <w:tcW w:w="1928" w:type="dxa"/>
            <w:vAlign w:val="center"/>
          </w:tcPr>
          <w:p w:rsidR="007A7000" w:rsidRPr="007558D7" w:rsidRDefault="007A7000" w:rsidP="00505D11">
            <w:pPr>
              <w:spacing w:before="20" w:after="20"/>
              <w:jc w:val="center"/>
              <w:rPr>
                <w:rFonts w:cs="Arial"/>
                <w:b/>
                <w:sz w:val="16"/>
                <w:szCs w:val="16"/>
              </w:rPr>
            </w:pPr>
          </w:p>
        </w:tc>
      </w:tr>
      <w:tr w:rsidR="007A7000" w:rsidRPr="0040337D" w:rsidTr="00505D11">
        <w:trPr>
          <w:trHeight w:val="227"/>
          <w:jc w:val="center"/>
        </w:trPr>
        <w:tc>
          <w:tcPr>
            <w:tcW w:w="3402" w:type="dxa"/>
            <w:vAlign w:val="center"/>
          </w:tcPr>
          <w:p w:rsidR="007A7000" w:rsidRPr="0040337D" w:rsidRDefault="007A7000" w:rsidP="00505D11">
            <w:pPr>
              <w:spacing w:before="20" w:after="20"/>
              <w:rPr>
                <w:rFonts w:cs="Arial"/>
                <w:sz w:val="16"/>
                <w:szCs w:val="16"/>
              </w:rPr>
            </w:pPr>
            <w:r>
              <w:rPr>
                <w:rFonts w:cs="Arial"/>
                <w:sz w:val="16"/>
                <w:szCs w:val="16"/>
              </w:rPr>
              <w:t>– z toho VHP a JTHZ</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112 907,40</w:t>
            </w:r>
          </w:p>
        </w:tc>
        <w:tc>
          <w:tcPr>
            <w:tcW w:w="1247"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88 126,90</w:t>
            </w:r>
          </w:p>
        </w:tc>
        <w:tc>
          <w:tcPr>
            <w:tcW w:w="1361" w:type="dxa"/>
            <w:vAlign w:val="center"/>
          </w:tcPr>
          <w:p w:rsidR="007A7000" w:rsidRPr="0040337D" w:rsidRDefault="007A7000" w:rsidP="00505D11">
            <w:pPr>
              <w:spacing w:before="20" w:after="20"/>
              <w:ind w:right="104"/>
              <w:jc w:val="right"/>
              <w:rPr>
                <w:rFonts w:cs="Arial"/>
                <w:sz w:val="16"/>
                <w:szCs w:val="16"/>
              </w:rPr>
            </w:pPr>
            <w:r>
              <w:rPr>
                <w:rFonts w:cs="Arial"/>
                <w:sz w:val="16"/>
                <w:szCs w:val="16"/>
              </w:rPr>
              <w:t>24 780,50</w:t>
            </w:r>
          </w:p>
        </w:tc>
        <w:tc>
          <w:tcPr>
            <w:tcW w:w="1928" w:type="dxa"/>
            <w:vAlign w:val="center"/>
          </w:tcPr>
          <w:p w:rsidR="007A7000" w:rsidRPr="0040337D" w:rsidRDefault="007A7000" w:rsidP="00505D11">
            <w:pPr>
              <w:spacing w:before="20" w:after="20"/>
              <w:jc w:val="center"/>
              <w:rPr>
                <w:rFonts w:cs="Arial"/>
                <w:sz w:val="16"/>
                <w:szCs w:val="16"/>
              </w:rPr>
            </w:pPr>
          </w:p>
        </w:tc>
      </w:tr>
    </w:tbl>
    <w:p w:rsidR="00DE0D54" w:rsidRPr="007558D7" w:rsidRDefault="00DE0D54" w:rsidP="00240BE0">
      <w:pPr>
        <w:spacing w:before="40" w:after="0"/>
        <w:rPr>
          <w:rFonts w:cs="Arial"/>
          <w:sz w:val="18"/>
          <w:szCs w:val="18"/>
        </w:rPr>
      </w:pPr>
      <w:r w:rsidRPr="007558D7">
        <w:rPr>
          <w:rFonts w:cs="Arial"/>
          <w:b/>
          <w:sz w:val="18"/>
          <w:szCs w:val="18"/>
        </w:rPr>
        <w:t>Zdroj:</w:t>
      </w:r>
      <w:r w:rsidRPr="007558D7">
        <w:rPr>
          <w:rFonts w:cs="Arial"/>
          <w:sz w:val="18"/>
          <w:szCs w:val="18"/>
        </w:rPr>
        <w:t xml:space="preserve"> </w:t>
      </w:r>
      <w:r w:rsidR="00D2564B">
        <w:rPr>
          <w:rFonts w:cs="Arial"/>
          <w:sz w:val="18"/>
          <w:szCs w:val="18"/>
        </w:rPr>
        <w:t>ú</w:t>
      </w:r>
      <w:r w:rsidR="00FD3A60" w:rsidRPr="007558D7">
        <w:rPr>
          <w:rFonts w:cs="Arial"/>
          <w:sz w:val="18"/>
          <w:szCs w:val="18"/>
        </w:rPr>
        <w:t>daje MF o vsazených a vyplacených částkách</w:t>
      </w:r>
      <w:r w:rsidR="00DF4F09" w:rsidRPr="007558D7">
        <w:rPr>
          <w:rFonts w:cs="Arial"/>
          <w:sz w:val="18"/>
          <w:szCs w:val="18"/>
        </w:rPr>
        <w:t>.</w:t>
      </w:r>
      <w:r w:rsidRPr="007558D7">
        <w:rPr>
          <w:rFonts w:cs="Arial"/>
          <w:sz w:val="18"/>
          <w:szCs w:val="18"/>
        </w:rPr>
        <w:t xml:space="preserve"> </w:t>
      </w:r>
    </w:p>
    <w:p w:rsidR="00240BE0" w:rsidRDefault="00240BE0" w:rsidP="00240BE0">
      <w:pPr>
        <w:spacing w:before="0" w:after="0"/>
      </w:pPr>
    </w:p>
    <w:p w:rsidR="00DE0D54" w:rsidRDefault="00DE0D54" w:rsidP="00240BE0">
      <w:pPr>
        <w:spacing w:before="0" w:after="0"/>
      </w:pPr>
      <w:r>
        <w:lastRenderedPageBreak/>
        <w:t>Z</w:t>
      </w:r>
      <w:r w:rsidR="00FD3A60">
        <w:t> tabulky je zřejmé, že největší objem vsazených prostředků se realizuje prostřednictvím</w:t>
      </w:r>
      <w:r>
        <w:t xml:space="preserve"> VHP a JTHZ</w:t>
      </w:r>
      <w:r w:rsidR="00D178B3">
        <w:t xml:space="preserve"> a tomu odpovídá i výše odvodů.</w:t>
      </w:r>
      <w:r>
        <w:t xml:space="preserve"> </w:t>
      </w:r>
    </w:p>
    <w:p w:rsidR="00240BE0" w:rsidRDefault="00240BE0" w:rsidP="00240BE0">
      <w:pPr>
        <w:spacing w:before="0" w:after="0"/>
      </w:pPr>
    </w:p>
    <w:p w:rsidR="00941B1A" w:rsidRDefault="00941B1A" w:rsidP="00240BE0">
      <w:pPr>
        <w:spacing w:before="0" w:after="0"/>
      </w:pPr>
      <w:r w:rsidRPr="003F597E">
        <w:t xml:space="preserve">Systém správy příjmů z provozování VHP do 31. 12. 2011 zajišťovaly obce, které byly také příjemci místních poplatků a 50 % správního poplatku. Sazba správních a místních poplatků byla stanovena paušální částkou. Inkaso poplatků u VHP bylo realizováno před vydáním povolení k provozování VHP, což znemožňovalo vznik nedoplatků a bylo pozitivní pro cash </w:t>
      </w:r>
      <w:proofErr w:type="spellStart"/>
      <w:r w:rsidRPr="003F597E">
        <w:t>flow</w:t>
      </w:r>
      <w:proofErr w:type="spellEnd"/>
      <w:r w:rsidRPr="003F597E">
        <w:t xml:space="preserve"> státu a obcí. S výběrem příjmů za povolený VHP byly spojeny minimální výdaje a ke kontrole zpoplatnění VHP nebylo třeba žádné zvláštní technické podpory. </w:t>
      </w:r>
    </w:p>
    <w:p w:rsidR="00240BE0" w:rsidRDefault="00240BE0" w:rsidP="00240BE0">
      <w:pPr>
        <w:spacing w:before="0" w:after="0"/>
      </w:pPr>
    </w:p>
    <w:p w:rsidR="00941B1A" w:rsidRDefault="00941B1A" w:rsidP="00240BE0">
      <w:pPr>
        <w:spacing w:before="0" w:after="0"/>
      </w:pPr>
      <w:r>
        <w:t xml:space="preserve">Po nabytí účinnosti novely zákona o loteriích </w:t>
      </w:r>
      <w:r w:rsidR="00D2564B">
        <w:t xml:space="preserve">rozdělují FÚ </w:t>
      </w:r>
      <w:r>
        <w:t xml:space="preserve">odvody a poplatky v poměru 20 % </w:t>
      </w:r>
      <w:r w:rsidR="00D2564B">
        <w:t xml:space="preserve">pro </w:t>
      </w:r>
      <w:r>
        <w:t xml:space="preserve">státní rozpočet a 80 % </w:t>
      </w:r>
      <w:r w:rsidR="00D2564B">
        <w:t xml:space="preserve">pro </w:t>
      </w:r>
      <w:r>
        <w:t>rozpočty obcí, na jejichž území je zařízení provozováno (týká se VHP a JTHZ). V případě ostatních LJPH rozděl</w:t>
      </w:r>
      <w:r w:rsidR="00255D85">
        <w:t>ují FÚ odvody</w:t>
      </w:r>
      <w:r>
        <w:t xml:space="preserve"> v poměru 30 </w:t>
      </w:r>
      <w:r w:rsidRPr="00FC0D1B">
        <w:t xml:space="preserve">% </w:t>
      </w:r>
      <w:r>
        <w:t>pro všechny obce v ČR a 70 % ve prospěch státního rozpočtu.</w:t>
      </w:r>
    </w:p>
    <w:p w:rsidR="00240BE0" w:rsidRPr="003F597E" w:rsidRDefault="00240BE0" w:rsidP="00240BE0">
      <w:pPr>
        <w:spacing w:before="0" w:after="0"/>
      </w:pPr>
    </w:p>
    <w:p w:rsidR="00941B1A" w:rsidRDefault="00941B1A" w:rsidP="00240BE0">
      <w:pPr>
        <w:spacing w:before="0" w:after="0"/>
      </w:pPr>
      <w:r w:rsidRPr="003F597E">
        <w:t xml:space="preserve">Po novele zákona </w:t>
      </w:r>
      <w:r>
        <w:t>o loteriích</w:t>
      </w:r>
      <w:r w:rsidRPr="003F597E">
        <w:t xml:space="preserve"> výdaje na správu příjmů rostly, přestože v letech 2012 a 2013 ukončila </w:t>
      </w:r>
      <w:r>
        <w:t xml:space="preserve">sloučením nebo zánikem </w:t>
      </w:r>
      <w:r w:rsidRPr="003F597E">
        <w:t>řada provozovatelů provozování LJPH (u kontrolovaných FÚ 80 provozovatelů)</w:t>
      </w:r>
      <w:r>
        <w:t>. Provozovatelé za roky 2012–</w:t>
      </w:r>
      <w:r w:rsidR="00DF4F09">
        <w:t>2013</w:t>
      </w:r>
      <w:r w:rsidR="00D2564B">
        <w:t xml:space="preserve"> k 28. </w:t>
      </w:r>
      <w:r w:rsidR="00DF4F09">
        <w:t>2.</w:t>
      </w:r>
      <w:r w:rsidR="00D2564B">
        <w:t> </w:t>
      </w:r>
      <w:r w:rsidR="00DF4F09">
        <w:t>2014 podali 3</w:t>
      </w:r>
      <w:r w:rsidR="00D2564B">
        <w:t> </w:t>
      </w:r>
      <w:r w:rsidR="00DF4F09">
        <w:t>654</w:t>
      </w:r>
      <w:r w:rsidR="00D2564B">
        <w:t xml:space="preserve"> </w:t>
      </w:r>
      <w:r w:rsidRPr="003F597E">
        <w:t xml:space="preserve">odvodových přiznání a hlášení z toho jen 213 elektronickou cestou. Provozovatelé zahrnutí do kontrolního vzorku NKÚ </w:t>
      </w:r>
      <w:r>
        <w:t xml:space="preserve">(96 subjektů) </w:t>
      </w:r>
      <w:r w:rsidRPr="003F597E">
        <w:t>vyplnili</w:t>
      </w:r>
      <w:r w:rsidR="00255D85">
        <w:t xml:space="preserve"> v </w:t>
      </w:r>
      <w:r w:rsidR="00255D85" w:rsidRPr="003F597E">
        <w:t>odvodových přiznání</w:t>
      </w:r>
      <w:r w:rsidR="00255D85">
        <w:t>ch</w:t>
      </w:r>
      <w:r w:rsidR="00255D85" w:rsidRPr="003F597E">
        <w:t xml:space="preserve"> </w:t>
      </w:r>
      <w:r w:rsidR="00DF4F09">
        <w:t>za rok </w:t>
      </w:r>
      <w:r w:rsidR="00255D85">
        <w:t xml:space="preserve">2012 </w:t>
      </w:r>
      <w:r w:rsidR="00D2564B">
        <w:t>a </w:t>
      </w:r>
      <w:r w:rsidR="00255D85" w:rsidRPr="003F597E">
        <w:t>jejich příloh</w:t>
      </w:r>
      <w:r w:rsidR="00255D85">
        <w:t>ách</w:t>
      </w:r>
      <w:r w:rsidRPr="003F597E">
        <w:t xml:space="preserve"> 76 216 kolonek, přičemž FÚ tyto informace musely zpracovat</w:t>
      </w:r>
      <w:r>
        <w:t>.</w:t>
      </w:r>
      <w:r w:rsidRPr="003F597E">
        <w:t xml:space="preserve"> </w:t>
      </w:r>
      <w:r>
        <w:t>Nejen že jde o</w:t>
      </w:r>
      <w:r w:rsidR="00D2564B">
        <w:t> </w:t>
      </w:r>
      <w:r w:rsidRPr="003F597E">
        <w:t>administrativně náročn</w:t>
      </w:r>
      <w:r>
        <w:t>ou činnost,</w:t>
      </w:r>
      <w:r w:rsidRPr="003F597E">
        <w:t xml:space="preserve"> a</w:t>
      </w:r>
      <w:r>
        <w:t xml:space="preserve">le navíc muselo dojít k úpravě </w:t>
      </w:r>
      <w:r w:rsidR="00D2564B">
        <w:t>a</w:t>
      </w:r>
      <w:r>
        <w:t>utomatizovaného daňového informačního systému, což si</w:t>
      </w:r>
      <w:r w:rsidRPr="003F597E">
        <w:t xml:space="preserve"> vy</w:t>
      </w:r>
      <w:r w:rsidR="00DF4F09">
        <w:t>žádalo výdaje ve výši 32,8 mil. </w:t>
      </w:r>
      <w:r w:rsidRPr="003F597E">
        <w:t>Kč</w:t>
      </w:r>
      <w:r>
        <w:t>.</w:t>
      </w:r>
    </w:p>
    <w:p w:rsidR="00240BE0" w:rsidRDefault="00240BE0" w:rsidP="00240BE0">
      <w:pPr>
        <w:spacing w:before="0" w:after="0"/>
      </w:pPr>
    </w:p>
    <w:p w:rsidR="00941B1A" w:rsidRDefault="00941B1A" w:rsidP="00240BE0">
      <w:pPr>
        <w:spacing w:before="0" w:after="0"/>
      </w:pPr>
      <w:r>
        <w:t xml:space="preserve">Zálohy na </w:t>
      </w:r>
      <w:r w:rsidRPr="003F597E">
        <w:t>odvod</w:t>
      </w:r>
      <w:r>
        <w:t>y jsou splatné do 20</w:t>
      </w:r>
      <w:r w:rsidR="00D2564B">
        <w:t>.</w:t>
      </w:r>
      <w:r>
        <w:t xml:space="preserve"> dne</w:t>
      </w:r>
      <w:r w:rsidRPr="003F597E">
        <w:t xml:space="preserve"> po skončení kalendářního čtvrtletí, ve kterém byly VHP provozovány. </w:t>
      </w:r>
      <w:r>
        <w:t>Odvod</w:t>
      </w:r>
      <w:r w:rsidRPr="003F597E">
        <w:t xml:space="preserve"> je </w:t>
      </w:r>
      <w:r>
        <w:t>splatný do dvou měsíců</w:t>
      </w:r>
      <w:r w:rsidRPr="003F597E">
        <w:t xml:space="preserve"> od skončení kalendář</w:t>
      </w:r>
      <w:r w:rsidR="00240BE0">
        <w:t>ního roku.</w:t>
      </w:r>
    </w:p>
    <w:p w:rsidR="00240BE0" w:rsidRPr="007A532B" w:rsidRDefault="00240BE0" w:rsidP="00240BE0">
      <w:pPr>
        <w:spacing w:before="0" w:after="0"/>
      </w:pPr>
    </w:p>
    <w:p w:rsidR="00941B1A" w:rsidRDefault="00941B1A" w:rsidP="00240BE0">
      <w:pPr>
        <w:spacing w:before="0" w:after="0"/>
      </w:pPr>
      <w:r w:rsidRPr="003F597E">
        <w:t xml:space="preserve">Nedoplatky </w:t>
      </w:r>
      <w:r>
        <w:t xml:space="preserve">odvodů </w:t>
      </w:r>
      <w:r w:rsidRPr="003F597E">
        <w:t>za dva roky dosáhly 261 mil. Kč, z toho na VHP</w:t>
      </w:r>
      <w:r w:rsidR="00255D85">
        <w:t xml:space="preserve"> a JTHZ</w:t>
      </w:r>
      <w:r w:rsidR="00240BE0">
        <w:t xml:space="preserve"> 229 mil. Kč.</w:t>
      </w:r>
    </w:p>
    <w:p w:rsidR="00240BE0" w:rsidRPr="003F597E" w:rsidRDefault="00240BE0" w:rsidP="00240BE0">
      <w:pPr>
        <w:spacing w:before="0" w:after="0"/>
      </w:pPr>
    </w:p>
    <w:p w:rsidR="00941B1A" w:rsidRDefault="00941B1A" w:rsidP="00240BE0">
      <w:pPr>
        <w:spacing w:before="0" w:after="0"/>
      </w:pPr>
      <w:r w:rsidRPr="003F597E">
        <w:t>Provozovatelé provozující LJPH pouze jednorázově a nahodile v rámci doplňkové hospodářské činnosti (např. tomboly na společenských, kulturních a sportovních akcích) průměrně přiznal</w:t>
      </w:r>
      <w:r w:rsidR="00D2564B">
        <w:t>i</w:t>
      </w:r>
      <w:r w:rsidRPr="003F597E">
        <w:t xml:space="preserve"> odvod z LJPH ve výši cca 2 000 Kč, přičemž odvod se ještě dále rozděloval mezi všechny obce </w:t>
      </w:r>
      <w:r>
        <w:t xml:space="preserve">ČR </w:t>
      </w:r>
      <w:r w:rsidRPr="003F597E">
        <w:t>a státní rozpočet. I tito provozovatelé musejí podat odvodové přiznání. Před účinností novely</w:t>
      </w:r>
      <w:r w:rsidR="00D2564B">
        <w:t>,</w:t>
      </w:r>
      <w:r w:rsidRPr="003F597E">
        <w:t xml:space="preserve"> tj. do 31. 12</w:t>
      </w:r>
      <w:r w:rsidRPr="00173687">
        <w:t>. 2011</w:t>
      </w:r>
      <w:r w:rsidR="00D2564B">
        <w:t>,</w:t>
      </w:r>
      <w:r w:rsidRPr="00173687">
        <w:t xml:space="preserve"> byl </w:t>
      </w:r>
      <w:r w:rsidRPr="003F597E">
        <w:t>správní poplatek příjmem obce, která loterii povolila,</w:t>
      </w:r>
      <w:r>
        <w:t xml:space="preserve"> a</w:t>
      </w:r>
      <w:r w:rsidRPr="003F597E">
        <w:t xml:space="preserve"> byl splatný v okamžiku podání žádosti o povolení obci.</w:t>
      </w:r>
    </w:p>
    <w:p w:rsidR="00240BE0" w:rsidRPr="003F597E" w:rsidRDefault="00240BE0" w:rsidP="00240BE0">
      <w:pPr>
        <w:spacing w:before="0" w:after="0"/>
      </w:pPr>
    </w:p>
    <w:p w:rsidR="00941B1A" w:rsidRDefault="00941B1A" w:rsidP="00240BE0">
      <w:pPr>
        <w:spacing w:before="0" w:after="0"/>
      </w:pPr>
      <w:r w:rsidRPr="003F597E">
        <w:t xml:space="preserve">NKÚ </w:t>
      </w:r>
      <w:r w:rsidR="008367E1" w:rsidRPr="005D08CA">
        <w:t xml:space="preserve">porovnal údaje z odvodových přiznání s údaji </w:t>
      </w:r>
      <w:r w:rsidR="005D08CA">
        <w:t>o</w:t>
      </w:r>
      <w:r w:rsidR="008367E1" w:rsidRPr="005D08CA">
        <w:t xml:space="preserve"> vydaných povoleních</w:t>
      </w:r>
      <w:r w:rsidR="00941770">
        <w:t xml:space="preserve">. Za </w:t>
      </w:r>
      <w:r w:rsidR="00941770" w:rsidRPr="005D08CA">
        <w:t xml:space="preserve">rok 2012 </w:t>
      </w:r>
      <w:r w:rsidR="00DF4F09">
        <w:t>u </w:t>
      </w:r>
      <w:r w:rsidR="008367E1" w:rsidRPr="005D08CA">
        <w:t xml:space="preserve">kontrolního vzorku 48 provozovatelů podnikajících v 346 obcích </w:t>
      </w:r>
      <w:r w:rsidRPr="003F597E">
        <w:t xml:space="preserve">zjistil značné rozdíly </w:t>
      </w:r>
      <w:r w:rsidR="00941770">
        <w:t xml:space="preserve">jak </w:t>
      </w:r>
      <w:r w:rsidRPr="003F597E">
        <w:t>v</w:t>
      </w:r>
      <w:r w:rsidR="005D08CA">
        <w:t> </w:t>
      </w:r>
      <w:r w:rsidRPr="003F597E">
        <w:t>přiznaném</w:t>
      </w:r>
      <w:r w:rsidR="005D08CA">
        <w:t xml:space="preserve"> počtu VHP a JTHZ</w:t>
      </w:r>
      <w:r w:rsidR="00D2564B">
        <w:t>,</w:t>
      </w:r>
      <w:r w:rsidR="005D08CA">
        <w:t xml:space="preserve"> </w:t>
      </w:r>
      <w:r w:rsidR="00941770">
        <w:t>tak i v</w:t>
      </w:r>
      <w:r w:rsidR="005D08CA">
        <w:t xml:space="preserve"> počtu dní provozování.</w:t>
      </w:r>
      <w:r w:rsidR="00941770">
        <w:t xml:space="preserve"> Rozdíly byly zjištěny u</w:t>
      </w:r>
      <w:r w:rsidR="00543379">
        <w:t> </w:t>
      </w:r>
      <w:r w:rsidR="00DF4F09">
        <w:t>236</w:t>
      </w:r>
      <w:r w:rsidR="00543379">
        <w:t> </w:t>
      </w:r>
      <w:r w:rsidR="00DF4F09">
        <w:t>(68 </w:t>
      </w:r>
      <w:r w:rsidRPr="00941770">
        <w:t>%) obcí</w:t>
      </w:r>
      <w:r w:rsidR="00941770">
        <w:t xml:space="preserve">, které ve finančním vyjádření představovaly </w:t>
      </w:r>
      <w:r w:rsidR="00BB06C6">
        <w:t xml:space="preserve">za rok 2012 </w:t>
      </w:r>
      <w:r w:rsidRPr="00941770">
        <w:t xml:space="preserve">částku 39 mil. Kč. Za rok 2013 u 26 provozovatelů NKÚ zjistil </w:t>
      </w:r>
      <w:r w:rsidR="00255D85">
        <w:t xml:space="preserve">rozdíly </w:t>
      </w:r>
      <w:r w:rsidRPr="00941770">
        <w:t>u 159 (78 %) z kontrolního vzorku 205</w:t>
      </w:r>
      <w:r w:rsidR="00543379">
        <w:t> </w:t>
      </w:r>
      <w:r w:rsidRPr="00941770">
        <w:t xml:space="preserve">obcí. </w:t>
      </w:r>
      <w:r w:rsidRPr="00255D85">
        <w:t xml:space="preserve">Ve finančním vyjádření činil </w:t>
      </w:r>
      <w:r w:rsidR="00BB06C6">
        <w:t xml:space="preserve">rozdíl za rok 2013 </w:t>
      </w:r>
      <w:r w:rsidRPr="00255D85">
        <w:t>částku 29 mil. Kč.</w:t>
      </w:r>
    </w:p>
    <w:p w:rsidR="00240BE0" w:rsidRPr="00941770" w:rsidRDefault="00240BE0" w:rsidP="00240BE0">
      <w:pPr>
        <w:spacing w:before="0" w:after="0"/>
      </w:pPr>
    </w:p>
    <w:p w:rsidR="00941B1A" w:rsidRPr="00240BE0" w:rsidRDefault="00941B1A" w:rsidP="00240BE0">
      <w:pPr>
        <w:spacing w:before="0" w:after="0"/>
        <w:rPr>
          <w:b/>
        </w:rPr>
      </w:pPr>
      <w:r w:rsidRPr="00240BE0">
        <w:rPr>
          <w:b/>
        </w:rPr>
        <w:t>Užití vybraných prostředků</w:t>
      </w:r>
    </w:p>
    <w:p w:rsidR="00240BE0" w:rsidRDefault="00240BE0" w:rsidP="00240BE0">
      <w:pPr>
        <w:spacing w:before="0" w:after="0"/>
      </w:pPr>
    </w:p>
    <w:p w:rsidR="00941B1A" w:rsidRDefault="00941B1A" w:rsidP="00240BE0">
      <w:pPr>
        <w:spacing w:before="0" w:after="0"/>
      </w:pPr>
      <w:r w:rsidRPr="003F597E">
        <w:t xml:space="preserve">Zákon o loteriích </w:t>
      </w:r>
      <w:r w:rsidR="00AA68A9">
        <w:t>stanovil, že</w:t>
      </w:r>
      <w:r w:rsidRPr="003F597E">
        <w:t xml:space="preserve"> část prostředků vybraných za provozování LJPH </w:t>
      </w:r>
      <w:r w:rsidR="00AA68A9">
        <w:t xml:space="preserve">byla určena </w:t>
      </w:r>
      <w:r w:rsidRPr="003F597E">
        <w:t xml:space="preserve">na veřejně prospěšné účely. Praxe zavedená do 31. 12. 2011 v ČR, kdy provozovatel sám </w:t>
      </w:r>
      <w:r w:rsidRPr="00941770">
        <w:t>určoval</w:t>
      </w:r>
      <w:r>
        <w:t xml:space="preserve">, komu bude prostředky </w:t>
      </w:r>
      <w:r w:rsidRPr="003F597E">
        <w:t>poskytova</w:t>
      </w:r>
      <w:r>
        <w:t>t a k jakému účelu</w:t>
      </w:r>
      <w:r w:rsidRPr="003F597E">
        <w:t>, byla v rámci států EU neobvyklá. Od 1. 1. 2012 byla účelovost použití prostředků zrušena a odvod z LJPH plyn</w:t>
      </w:r>
      <w:r>
        <w:t>e</w:t>
      </w:r>
      <w:r w:rsidRPr="003F597E">
        <w:t xml:space="preserve"> do veřejných rozpočtů a</w:t>
      </w:r>
      <w:r w:rsidR="00D2564B">
        <w:t> </w:t>
      </w:r>
      <w:r w:rsidR="00D2564B" w:rsidRPr="003F597E">
        <w:t>hospodař</w:t>
      </w:r>
      <w:r w:rsidR="00D2564B">
        <w:t xml:space="preserve">í se </w:t>
      </w:r>
      <w:r w:rsidR="00D2564B" w:rsidRPr="003F597E">
        <w:t>s ním</w:t>
      </w:r>
      <w:r w:rsidRPr="003F597E">
        <w:t xml:space="preserve"> jako se součástí rozpočt</w:t>
      </w:r>
      <w:r w:rsidR="00AA68A9">
        <w:t>ů</w:t>
      </w:r>
      <w:r w:rsidRPr="003F597E">
        <w:t xml:space="preserve">. </w:t>
      </w:r>
    </w:p>
    <w:p w:rsidR="00240BE0" w:rsidRDefault="00240BE0" w:rsidP="00240BE0">
      <w:pPr>
        <w:spacing w:before="0" w:after="0"/>
      </w:pPr>
    </w:p>
    <w:p w:rsidR="00941B1A" w:rsidRDefault="00DE3A14" w:rsidP="00240BE0">
      <w:pPr>
        <w:spacing w:before="0" w:after="0"/>
      </w:pPr>
      <w:r>
        <w:t>Z</w:t>
      </w:r>
      <w:r w:rsidR="00941B1A" w:rsidRPr="003F597E">
        <w:t xml:space="preserve"> kontrolních z</w:t>
      </w:r>
      <w:r>
        <w:t xml:space="preserve">práv </w:t>
      </w:r>
      <w:r w:rsidR="00941B1A" w:rsidRPr="003F597E">
        <w:t>Nejvyšších kontrolních institucí států EU, které</w:t>
      </w:r>
      <w:r w:rsidR="00941B1A">
        <w:t xml:space="preserve"> v období let 2004–2012 </w:t>
      </w:r>
      <w:r w:rsidR="00941B1A" w:rsidRPr="003F597E">
        <w:t>prováděly kontroly oblasti využití prostředků z hazard</w:t>
      </w:r>
      <w:r>
        <w:t>ních her</w:t>
      </w:r>
      <w:r w:rsidR="00D2564B">
        <w:t>,</w:t>
      </w:r>
      <w:r>
        <w:t xml:space="preserve"> vyplývá, </w:t>
      </w:r>
      <w:r w:rsidR="00941B1A" w:rsidRPr="003F597E">
        <w:t>že</w:t>
      </w:r>
      <w:r w:rsidR="00941B1A">
        <w:t>:</w:t>
      </w:r>
    </w:p>
    <w:p w:rsidR="00941B1A" w:rsidRDefault="00941B1A" w:rsidP="00240BE0">
      <w:pPr>
        <w:pStyle w:val="Odstavecseseznamem"/>
        <w:numPr>
          <w:ilvl w:val="0"/>
          <w:numId w:val="14"/>
        </w:numPr>
        <w:spacing w:before="0" w:after="0"/>
        <w:ind w:left="284" w:hanging="284"/>
      </w:pPr>
      <w:r>
        <w:lastRenderedPageBreak/>
        <w:t xml:space="preserve">ve Finsku jsou </w:t>
      </w:r>
      <w:r w:rsidR="00D2564B">
        <w:t>spravovány</w:t>
      </w:r>
      <w:r>
        <w:t xml:space="preserve"> zejména Ministerstvem školství a kultury a až následně poskytnuty příjemcům (konečnému příjemci, jinému fin</w:t>
      </w:r>
      <w:r w:rsidR="00D2564B">
        <w:t>ančnímu</w:t>
      </w:r>
      <w:r>
        <w:t xml:space="preserve"> orgánu, sdružení nebo nadaci), </w:t>
      </w:r>
    </w:p>
    <w:p w:rsidR="00941B1A" w:rsidRDefault="00941B1A" w:rsidP="00240BE0">
      <w:pPr>
        <w:pStyle w:val="Odstavecseseznamem"/>
        <w:numPr>
          <w:ilvl w:val="0"/>
          <w:numId w:val="14"/>
        </w:numPr>
        <w:spacing w:before="0" w:after="0"/>
        <w:ind w:left="284" w:hanging="284"/>
      </w:pPr>
      <w:r>
        <w:t xml:space="preserve">v Estonsku příslušné </w:t>
      </w:r>
      <w:r w:rsidR="00D2564B">
        <w:t>resorty</w:t>
      </w:r>
      <w:r>
        <w:t xml:space="preserve"> přerozdělují finanční prostředky (systém</w:t>
      </w:r>
      <w:r w:rsidR="00DC36DF">
        <w:t xml:space="preserve"> byl vyhodnocen jako ne</w:t>
      </w:r>
      <w:r>
        <w:t>ekonomický</w:t>
      </w:r>
      <w:r w:rsidR="00DC36DF">
        <w:t xml:space="preserve"> a</w:t>
      </w:r>
      <w:r>
        <w:t xml:space="preserve"> </w:t>
      </w:r>
      <w:r w:rsidR="00DC36DF">
        <w:t>ne</w:t>
      </w:r>
      <w:r>
        <w:t xml:space="preserve">efektivní), </w:t>
      </w:r>
    </w:p>
    <w:p w:rsidR="00941B1A" w:rsidRDefault="00941B1A" w:rsidP="00240BE0">
      <w:pPr>
        <w:pStyle w:val="Odstavecseseznamem"/>
        <w:numPr>
          <w:ilvl w:val="0"/>
          <w:numId w:val="14"/>
        </w:numPr>
        <w:spacing w:before="0" w:after="0"/>
        <w:ind w:left="284" w:hanging="284"/>
      </w:pPr>
      <w:r>
        <w:t xml:space="preserve">v Nizozemí je </w:t>
      </w:r>
      <w:r w:rsidR="00AA68A9">
        <w:t xml:space="preserve">zřízena </w:t>
      </w:r>
      <w:r>
        <w:t>nadace, která má zákonný monopol na hazardní hry</w:t>
      </w:r>
      <w:r w:rsidR="00D2564B">
        <w:t>,</w:t>
      </w:r>
      <w:r>
        <w:t xml:space="preserve"> a veškeré zisky jdou přímo do nizozemské státní pokladny (rozpočet nadace </w:t>
      </w:r>
      <w:r w:rsidR="00DC36DF">
        <w:t>byl vyhodnocen jako</w:t>
      </w:r>
      <w:r>
        <w:t xml:space="preserve"> řádný a kontrolovatelný),</w:t>
      </w:r>
    </w:p>
    <w:p w:rsidR="00941B1A" w:rsidRDefault="00941B1A" w:rsidP="00240BE0">
      <w:pPr>
        <w:pStyle w:val="Odstavecseseznamem"/>
        <w:numPr>
          <w:ilvl w:val="0"/>
          <w:numId w:val="14"/>
        </w:numPr>
        <w:spacing w:before="0" w:after="0"/>
        <w:ind w:left="284" w:hanging="284"/>
      </w:pPr>
      <w:r>
        <w:t>ve Velké Británii byly prostředky určeny na veřejně prospěšné účely a jejich výběr zajišťovaly veřejné organizace.</w:t>
      </w:r>
    </w:p>
    <w:p w:rsidR="00240BE0" w:rsidRDefault="00240BE0" w:rsidP="00240BE0">
      <w:pPr>
        <w:spacing w:before="0" w:after="0"/>
      </w:pPr>
    </w:p>
    <w:p w:rsidR="00941B1A" w:rsidRDefault="00941B1A" w:rsidP="00240BE0">
      <w:pPr>
        <w:spacing w:before="0" w:after="0"/>
      </w:pPr>
      <w:r>
        <w:t xml:space="preserve">Ve Slovenské republice je přímo v zákoně č. </w:t>
      </w:r>
      <w:proofErr w:type="gramStart"/>
      <w:r>
        <w:t xml:space="preserve">171/2005 </w:t>
      </w:r>
      <w:proofErr w:type="spellStart"/>
      <w:r w:rsidRPr="00D2564B">
        <w:rPr>
          <w:lang w:val="sk-SK"/>
        </w:rPr>
        <w:t>Z.z</w:t>
      </w:r>
      <w:proofErr w:type="spellEnd"/>
      <w:r w:rsidRPr="00D2564B">
        <w:rPr>
          <w:lang w:val="sk-SK"/>
        </w:rPr>
        <w:t>., o hazardných</w:t>
      </w:r>
      <w:proofErr w:type="gramEnd"/>
      <w:r w:rsidRPr="00D2564B">
        <w:rPr>
          <w:lang w:val="sk-SK"/>
        </w:rPr>
        <w:t xml:space="preserve"> hrách a o zmene a doplnení niektorých zákonov</w:t>
      </w:r>
      <w:r>
        <w:t>, garantováno, že veškeré příjmy z odvodů jdou na zabezpečení vykonání všeobecně prospěšných služeb (zdravotnictví, sociální služby, humanitární pomoc apod.).</w:t>
      </w:r>
    </w:p>
    <w:p w:rsidR="00240BE0" w:rsidRDefault="00240BE0" w:rsidP="00240BE0">
      <w:pPr>
        <w:spacing w:before="0" w:after="0"/>
      </w:pPr>
    </w:p>
    <w:p w:rsidR="00941B1A" w:rsidRPr="00240BE0" w:rsidRDefault="00240BE0" w:rsidP="00240BE0">
      <w:pPr>
        <w:spacing w:before="0" w:after="0"/>
        <w:rPr>
          <w:rFonts w:eastAsia="Times New Roman"/>
          <w:b/>
        </w:rPr>
      </w:pPr>
      <w:r>
        <w:rPr>
          <w:rFonts w:eastAsia="Times New Roman"/>
          <w:b/>
        </w:rPr>
        <w:t xml:space="preserve">6. </w:t>
      </w:r>
      <w:r w:rsidR="00941B1A" w:rsidRPr="00240BE0">
        <w:rPr>
          <w:rFonts w:eastAsia="Times New Roman"/>
          <w:b/>
        </w:rPr>
        <w:t>Rozpočtové určení příslušenství odvodu</w:t>
      </w:r>
    </w:p>
    <w:p w:rsidR="00240BE0" w:rsidRDefault="00240BE0" w:rsidP="00240BE0">
      <w:pPr>
        <w:spacing w:before="0" w:after="0"/>
        <w:rPr>
          <w:rFonts w:eastAsia="Times New Roman"/>
        </w:rPr>
      </w:pPr>
    </w:p>
    <w:p w:rsidR="00941B1A" w:rsidRDefault="00941B1A" w:rsidP="00240BE0">
      <w:pPr>
        <w:spacing w:before="0" w:after="0"/>
        <w:rPr>
          <w:rFonts w:eastAsia="Times New Roman"/>
        </w:rPr>
      </w:pPr>
      <w:r w:rsidRPr="00B93906">
        <w:rPr>
          <w:rFonts w:eastAsia="Times New Roman"/>
        </w:rPr>
        <w:t xml:space="preserve">Podle ustanovení § </w:t>
      </w:r>
      <w:proofErr w:type="spellStart"/>
      <w:r w:rsidRPr="00B93906">
        <w:rPr>
          <w:rFonts w:eastAsia="Times New Roman"/>
        </w:rPr>
        <w:t>41i</w:t>
      </w:r>
      <w:proofErr w:type="spellEnd"/>
      <w:r w:rsidRPr="00B93906">
        <w:rPr>
          <w:rFonts w:eastAsia="Times New Roman"/>
        </w:rPr>
        <w:t xml:space="preserve"> zákona o loteriích se odvody z LJPH rozdělují v zákonem definovaném poměru mezi státní rozpočet a rozpočty obcí. Rozpočtové určení odvodu se mění v závislosti</w:t>
      </w:r>
      <w:r w:rsidR="00D2564B">
        <w:rPr>
          <w:rFonts w:eastAsia="Times New Roman"/>
        </w:rPr>
        <w:t xml:space="preserve"> na tom</w:t>
      </w:r>
      <w:r w:rsidRPr="00B93906">
        <w:rPr>
          <w:rFonts w:eastAsia="Times New Roman"/>
        </w:rPr>
        <w:t xml:space="preserve">, zda se jedná o odvod za provozování VHP a JTHZ (80 % povolující obce, 20 % </w:t>
      </w:r>
      <w:r>
        <w:rPr>
          <w:rFonts w:eastAsia="Times New Roman"/>
        </w:rPr>
        <w:t>státní rozpočet</w:t>
      </w:r>
      <w:r w:rsidRPr="00B93906">
        <w:rPr>
          <w:rFonts w:eastAsia="Times New Roman"/>
        </w:rPr>
        <w:t>)</w:t>
      </w:r>
      <w:r w:rsidR="00D2564B">
        <w:rPr>
          <w:rFonts w:eastAsia="Times New Roman"/>
        </w:rPr>
        <w:t>,</w:t>
      </w:r>
      <w:r w:rsidRPr="00B93906">
        <w:rPr>
          <w:rFonts w:eastAsia="Times New Roman"/>
        </w:rPr>
        <w:t xml:space="preserve"> neb</w:t>
      </w:r>
      <w:r>
        <w:rPr>
          <w:rFonts w:eastAsia="Times New Roman"/>
        </w:rPr>
        <w:t xml:space="preserve">o </w:t>
      </w:r>
      <w:r w:rsidR="00D2564B">
        <w:rPr>
          <w:rFonts w:eastAsia="Times New Roman"/>
        </w:rPr>
        <w:t xml:space="preserve">zda se jedná </w:t>
      </w:r>
      <w:r>
        <w:rPr>
          <w:rFonts w:eastAsia="Times New Roman"/>
        </w:rPr>
        <w:t>o odvody z ostatních LJPH (30 %</w:t>
      </w:r>
      <w:r w:rsidRPr="00B93906">
        <w:rPr>
          <w:rFonts w:eastAsia="Times New Roman"/>
        </w:rPr>
        <w:t xml:space="preserve"> všechny obce v ČR, 70 % </w:t>
      </w:r>
      <w:r>
        <w:rPr>
          <w:rFonts w:eastAsia="Times New Roman"/>
        </w:rPr>
        <w:t>státní rozpočet</w:t>
      </w:r>
      <w:r w:rsidRPr="00B93906">
        <w:rPr>
          <w:rFonts w:eastAsia="Times New Roman"/>
        </w:rPr>
        <w:t xml:space="preserve">). </w:t>
      </w:r>
    </w:p>
    <w:p w:rsidR="00240BE0" w:rsidRDefault="00240BE0" w:rsidP="00240BE0">
      <w:pPr>
        <w:spacing w:before="0" w:after="0"/>
        <w:rPr>
          <w:rFonts w:eastAsia="Times New Roman"/>
          <w:strike/>
        </w:rPr>
      </w:pPr>
    </w:p>
    <w:p w:rsidR="00941B1A" w:rsidRDefault="00941B1A" w:rsidP="00240BE0">
      <w:pPr>
        <w:spacing w:before="0" w:after="0"/>
        <w:rPr>
          <w:rFonts w:eastAsia="Times New Roman"/>
        </w:rPr>
      </w:pPr>
      <w:r w:rsidRPr="00B93906">
        <w:rPr>
          <w:rFonts w:eastAsia="Times New Roman"/>
        </w:rPr>
        <w:t xml:space="preserve">Při správě odvodů z LJPH se postupuje podle daňového řádu (§ </w:t>
      </w:r>
      <w:proofErr w:type="spellStart"/>
      <w:r w:rsidRPr="00B93906">
        <w:rPr>
          <w:rFonts w:eastAsia="Times New Roman"/>
        </w:rPr>
        <w:t>41h</w:t>
      </w:r>
      <w:proofErr w:type="spellEnd"/>
      <w:r w:rsidR="00D2564B">
        <w:rPr>
          <w:rFonts w:eastAsia="Times New Roman"/>
        </w:rPr>
        <w:t>) zákona o </w:t>
      </w:r>
      <w:r w:rsidRPr="00B93906">
        <w:rPr>
          <w:rFonts w:eastAsia="Times New Roman"/>
        </w:rPr>
        <w:t xml:space="preserve">loteriích), podle kterého příslušenství daně sleduje </w:t>
      </w:r>
      <w:r w:rsidR="00D2564B">
        <w:rPr>
          <w:rFonts w:eastAsia="Times New Roman"/>
        </w:rPr>
        <w:t>osud daně (§ 2 daňového řádu) a </w:t>
      </w:r>
      <w:r w:rsidRPr="00B93906">
        <w:rPr>
          <w:rFonts w:eastAsia="Times New Roman"/>
        </w:rPr>
        <w:t xml:space="preserve">správce daně převede výnos daně spolu s příslušenstvím v souladu s rozpočtovým určením (§ 257 daňového řádu). </w:t>
      </w:r>
    </w:p>
    <w:p w:rsidR="00240BE0" w:rsidRPr="00B93906" w:rsidRDefault="00240BE0" w:rsidP="00240BE0">
      <w:pPr>
        <w:spacing w:before="0" w:after="0"/>
        <w:rPr>
          <w:rFonts w:eastAsia="Times New Roman"/>
        </w:rPr>
      </w:pPr>
    </w:p>
    <w:p w:rsidR="00941B1A" w:rsidRDefault="00941B1A" w:rsidP="00240BE0">
      <w:pPr>
        <w:spacing w:before="0" w:after="0"/>
        <w:rPr>
          <w:rFonts w:eastAsia="Times New Roman"/>
        </w:rPr>
      </w:pPr>
      <w:r w:rsidRPr="00B93906">
        <w:rPr>
          <w:rFonts w:eastAsia="Times New Roman"/>
        </w:rPr>
        <w:t>Rozdílnému rozpočtovému určení GFŘ přizpůsobilo evidenci daní a zavedlo dva druhy příjmu (</w:t>
      </w:r>
      <w:proofErr w:type="spellStart"/>
      <w:r w:rsidRPr="00B93906">
        <w:rPr>
          <w:rFonts w:eastAsia="Times New Roman"/>
        </w:rPr>
        <w:t>DP</w:t>
      </w:r>
      <w:proofErr w:type="spellEnd"/>
      <w:r w:rsidRPr="00B93906">
        <w:rPr>
          <w:rFonts w:eastAsia="Times New Roman"/>
        </w:rPr>
        <w:t xml:space="preserve"> 272 pro </w:t>
      </w:r>
      <w:proofErr w:type="spellStart"/>
      <w:r w:rsidRPr="00B93906">
        <w:rPr>
          <w:rFonts w:eastAsia="Times New Roman"/>
        </w:rPr>
        <w:t>VHP</w:t>
      </w:r>
      <w:proofErr w:type="spellEnd"/>
      <w:r w:rsidRPr="00B93906">
        <w:rPr>
          <w:rFonts w:eastAsia="Times New Roman"/>
        </w:rPr>
        <w:t xml:space="preserve"> a JTHZ a DP 271 pro ostatní LJPH), avšak veškeré příslušenství k </w:t>
      </w:r>
      <w:r w:rsidRPr="00AA68A9">
        <w:rPr>
          <w:rFonts w:eastAsia="Times New Roman"/>
        </w:rPr>
        <w:t xml:space="preserve">odvodům FÚ předepisují </w:t>
      </w:r>
      <w:r w:rsidRPr="00B93906">
        <w:rPr>
          <w:rFonts w:eastAsia="Times New Roman"/>
        </w:rPr>
        <w:t>pouze na DP 271</w:t>
      </w:r>
      <w:r w:rsidR="00DC36DF">
        <w:rPr>
          <w:rFonts w:eastAsia="Times New Roman"/>
        </w:rPr>
        <w:t xml:space="preserve">. Příslušenství se tak převádí nejen ve špatném poměru mezi stát a obce, ale i všem obcím v ČR, </w:t>
      </w:r>
      <w:r w:rsidR="00AA68A9">
        <w:rPr>
          <w:rFonts w:eastAsia="Times New Roman"/>
        </w:rPr>
        <w:t>tedy i těm, kterým nárok na finanční prostředky nevznikl.</w:t>
      </w:r>
      <w:r w:rsidRPr="00B93906">
        <w:rPr>
          <w:rFonts w:eastAsia="Times New Roman"/>
        </w:rPr>
        <w:t xml:space="preserve"> Přísluše</w:t>
      </w:r>
      <w:r>
        <w:rPr>
          <w:rFonts w:eastAsia="Times New Roman"/>
        </w:rPr>
        <w:t>nství k odvodům za provoz VHP a </w:t>
      </w:r>
      <w:r w:rsidRPr="00B93906">
        <w:rPr>
          <w:rFonts w:eastAsia="Times New Roman"/>
        </w:rPr>
        <w:t>JTHZ se tudíž rozděluje v jiném poměru než odvod, ke kterému je vyměřeno. Popsaný systém nastavilo GFŘ</w:t>
      </w:r>
      <w:r w:rsidR="008735B1">
        <w:rPr>
          <w:rFonts w:eastAsia="Times New Roman"/>
        </w:rPr>
        <w:t xml:space="preserve"> údajně z důvodu hospodárnosti a</w:t>
      </w:r>
      <w:r w:rsidRPr="00310827">
        <w:rPr>
          <w:rFonts w:eastAsia="Times New Roman"/>
          <w:color w:val="FF0000"/>
        </w:rPr>
        <w:t xml:space="preserve"> </w:t>
      </w:r>
      <w:r w:rsidRPr="008735B1">
        <w:rPr>
          <w:rFonts w:eastAsia="Times New Roman"/>
        </w:rPr>
        <w:t>jednoduš</w:t>
      </w:r>
      <w:r w:rsidR="008735B1">
        <w:rPr>
          <w:rFonts w:eastAsia="Times New Roman"/>
        </w:rPr>
        <w:t>š</w:t>
      </w:r>
      <w:r w:rsidRPr="008735B1">
        <w:rPr>
          <w:rFonts w:eastAsia="Times New Roman"/>
        </w:rPr>
        <w:t>í správy</w:t>
      </w:r>
      <w:r w:rsidRPr="00B93906">
        <w:rPr>
          <w:rFonts w:eastAsia="Times New Roman"/>
        </w:rPr>
        <w:t>, avšak v rozporu s právními předpisy</w:t>
      </w:r>
      <w:r w:rsidR="008735B1">
        <w:rPr>
          <w:rFonts w:eastAsia="Times New Roman"/>
        </w:rPr>
        <w:t>.</w:t>
      </w:r>
      <w:r w:rsidRPr="00B93906">
        <w:rPr>
          <w:rFonts w:eastAsia="Times New Roman"/>
        </w:rPr>
        <w:t xml:space="preserve"> </w:t>
      </w:r>
      <w:r w:rsidR="008735B1">
        <w:rPr>
          <w:rFonts w:eastAsia="Times New Roman"/>
        </w:rPr>
        <w:t>Z</w:t>
      </w:r>
      <w:r w:rsidRPr="00B93906">
        <w:rPr>
          <w:rFonts w:eastAsia="Times New Roman"/>
        </w:rPr>
        <w:t>měnu právní úpravy</w:t>
      </w:r>
      <w:r w:rsidR="00240BE0">
        <w:rPr>
          <w:rFonts w:eastAsia="Times New Roman"/>
        </w:rPr>
        <w:t xml:space="preserve"> iniciovalo až v dubnu 2014. </w:t>
      </w:r>
    </w:p>
    <w:p w:rsidR="00240BE0" w:rsidRPr="00B93906" w:rsidRDefault="00240BE0" w:rsidP="00240BE0">
      <w:pPr>
        <w:spacing w:before="0" w:after="0"/>
        <w:rPr>
          <w:rFonts w:eastAsia="Times New Roman"/>
        </w:rPr>
      </w:pPr>
    </w:p>
    <w:p w:rsidR="00941B1A" w:rsidRDefault="008735B1" w:rsidP="00240BE0">
      <w:pPr>
        <w:spacing w:before="0" w:after="0"/>
        <w:rPr>
          <w:rFonts w:eastAsia="Times New Roman"/>
          <w:b/>
        </w:rPr>
      </w:pPr>
      <w:r w:rsidRPr="00C21300">
        <w:rPr>
          <w:rFonts w:eastAsia="Times New Roman"/>
          <w:b/>
        </w:rPr>
        <w:t>NKÚ u kontrolovaných FÚ zjistil nesprávný převod ve výši 7,4 mil. Kč</w:t>
      </w:r>
      <w:r w:rsidR="00941B1A" w:rsidRPr="00C21300">
        <w:rPr>
          <w:rFonts w:eastAsia="Times New Roman"/>
          <w:b/>
        </w:rPr>
        <w:t xml:space="preserve">. </w:t>
      </w:r>
    </w:p>
    <w:p w:rsidR="00240BE0" w:rsidRPr="00240BE0" w:rsidRDefault="00240BE0" w:rsidP="00240BE0">
      <w:pPr>
        <w:spacing w:before="0" w:after="0"/>
        <w:rPr>
          <w:rFonts w:eastAsia="Times New Roman"/>
        </w:rPr>
      </w:pPr>
    </w:p>
    <w:p w:rsidR="00941B1A" w:rsidRPr="00240BE0" w:rsidRDefault="00240BE0" w:rsidP="00240BE0">
      <w:pPr>
        <w:spacing w:before="0" w:after="0"/>
        <w:rPr>
          <w:b/>
        </w:rPr>
      </w:pPr>
      <w:r>
        <w:rPr>
          <w:b/>
        </w:rPr>
        <w:t xml:space="preserve">7. </w:t>
      </w:r>
      <w:r w:rsidR="00941B1A" w:rsidRPr="00240BE0">
        <w:rPr>
          <w:b/>
        </w:rPr>
        <w:t xml:space="preserve">Informační systém pro podporu činností dle zákona o loteriích (IS SDSL) </w:t>
      </w:r>
    </w:p>
    <w:p w:rsidR="00240BE0" w:rsidRDefault="00240BE0" w:rsidP="00240BE0">
      <w:pPr>
        <w:spacing w:before="0" w:after="0"/>
        <w:rPr>
          <w:rFonts w:cs="Arial"/>
        </w:rPr>
      </w:pPr>
    </w:p>
    <w:p w:rsidR="00941B1A" w:rsidRPr="00240BE0" w:rsidRDefault="00941B1A" w:rsidP="00240BE0">
      <w:pPr>
        <w:spacing w:before="0" w:after="0"/>
        <w:rPr>
          <w:rFonts w:cs="Arial"/>
          <w:color w:val="000000" w:themeColor="text1"/>
        </w:rPr>
      </w:pPr>
      <w:r w:rsidRPr="00173687">
        <w:rPr>
          <w:rFonts w:cs="Arial"/>
        </w:rPr>
        <w:t>MF vynaložilo na pořízení</w:t>
      </w:r>
      <w:r w:rsidR="00C21300">
        <w:rPr>
          <w:rFonts w:cs="Arial"/>
        </w:rPr>
        <w:t xml:space="preserve"> a podporu</w:t>
      </w:r>
      <w:r w:rsidRPr="00173687">
        <w:rPr>
          <w:rFonts w:cs="Arial"/>
        </w:rPr>
        <w:t xml:space="preserve"> kompletního informačního systému</w:t>
      </w:r>
      <w:r>
        <w:rPr>
          <w:rFonts w:cs="Arial"/>
        </w:rPr>
        <w:t xml:space="preserve"> podpory státního dozoru </w:t>
      </w:r>
      <w:r w:rsidRPr="00173687">
        <w:rPr>
          <w:rFonts w:cs="Arial"/>
        </w:rPr>
        <w:t xml:space="preserve">2,7 mil. Kč. Následně na jeho </w:t>
      </w:r>
      <w:r>
        <w:rPr>
          <w:rFonts w:cs="Arial"/>
        </w:rPr>
        <w:t>další rozvoj</w:t>
      </w:r>
      <w:r w:rsidRPr="00173687">
        <w:rPr>
          <w:rFonts w:cs="Arial"/>
        </w:rPr>
        <w:t xml:space="preserve"> vynaložilo 2</w:t>
      </w:r>
      <w:r w:rsidR="00F54CA0">
        <w:rPr>
          <w:rFonts w:cs="Arial"/>
        </w:rPr>
        <w:t>6,2 mil. Kč. Celkem již cena IS </w:t>
      </w:r>
      <w:r w:rsidRPr="00173687">
        <w:rPr>
          <w:rFonts w:cs="Arial"/>
        </w:rPr>
        <w:t>SDSL dosáhla částky 28,9 mil. Kč</w:t>
      </w:r>
      <w:r w:rsidR="00F54CA0">
        <w:rPr>
          <w:rFonts w:cs="Arial"/>
        </w:rPr>
        <w:t>,</w:t>
      </w:r>
      <w:r w:rsidRPr="00173687">
        <w:rPr>
          <w:rFonts w:cs="Arial"/>
        </w:rPr>
        <w:t xml:space="preserve"> a přesáhla tak pořizovací cenu více než 10 kr</w:t>
      </w:r>
      <w:r w:rsidRPr="00240BE0">
        <w:rPr>
          <w:rFonts w:cs="Arial"/>
          <w:color w:val="000000" w:themeColor="text1"/>
        </w:rPr>
        <w:t xml:space="preserve">át. </w:t>
      </w:r>
    </w:p>
    <w:p w:rsidR="00240BE0" w:rsidRDefault="00240BE0" w:rsidP="00240BE0">
      <w:pPr>
        <w:spacing w:before="0" w:after="0"/>
        <w:rPr>
          <w:rFonts w:cs="Arial"/>
        </w:rPr>
      </w:pPr>
    </w:p>
    <w:p w:rsidR="00941B1A" w:rsidRDefault="00941B1A" w:rsidP="00240BE0">
      <w:pPr>
        <w:spacing w:before="0" w:after="0"/>
        <w:rPr>
          <w:rFonts w:cs="Arial"/>
        </w:rPr>
      </w:pPr>
      <w:r>
        <w:rPr>
          <w:rFonts w:cs="Arial"/>
        </w:rPr>
        <w:t>MF zadávalo s</w:t>
      </w:r>
      <w:r w:rsidRPr="00A27305">
        <w:rPr>
          <w:rFonts w:cs="Arial"/>
        </w:rPr>
        <w:t>pecifikace pro vytvoření a úpravu I</w:t>
      </w:r>
      <w:r>
        <w:rPr>
          <w:rFonts w:cs="Arial"/>
        </w:rPr>
        <w:t>S SDSL nekompletně a nekoncepčně.</w:t>
      </w:r>
      <w:r w:rsidRPr="00A27305">
        <w:rPr>
          <w:rFonts w:cs="Arial"/>
        </w:rPr>
        <w:t xml:space="preserve"> </w:t>
      </w:r>
      <w:r>
        <w:rPr>
          <w:rFonts w:cs="Arial"/>
        </w:rPr>
        <w:t>Již při</w:t>
      </w:r>
      <w:r w:rsidRPr="00A27305">
        <w:rPr>
          <w:rFonts w:cs="Arial"/>
        </w:rPr>
        <w:t xml:space="preserve"> zahájení provozu systému </w:t>
      </w:r>
      <w:r>
        <w:rPr>
          <w:rFonts w:cs="Arial"/>
        </w:rPr>
        <w:t>byly zjištěny</w:t>
      </w:r>
      <w:r w:rsidRPr="00A27305">
        <w:rPr>
          <w:rFonts w:cs="Arial"/>
        </w:rPr>
        <w:t xml:space="preserve"> nedostatky, které </w:t>
      </w:r>
      <w:r>
        <w:rPr>
          <w:rFonts w:cs="Arial"/>
        </w:rPr>
        <w:t>MF řešilo zadáním dalších úprav. Č</w:t>
      </w:r>
      <w:r w:rsidRPr="00B4490F">
        <w:rPr>
          <w:rFonts w:cs="Arial"/>
        </w:rPr>
        <w:t xml:space="preserve">ást výdajů byla vynaložena na odstranění </w:t>
      </w:r>
      <w:r>
        <w:rPr>
          <w:rFonts w:cs="Arial"/>
        </w:rPr>
        <w:t xml:space="preserve">vzniklých </w:t>
      </w:r>
      <w:r w:rsidRPr="00B4490F">
        <w:rPr>
          <w:rFonts w:cs="Arial"/>
        </w:rPr>
        <w:t xml:space="preserve">nepřesností při exportu </w:t>
      </w:r>
      <w:r>
        <w:rPr>
          <w:rFonts w:cs="Arial"/>
        </w:rPr>
        <w:t xml:space="preserve">dat z původního informačního systému </w:t>
      </w:r>
      <w:r w:rsidRPr="00B4490F">
        <w:rPr>
          <w:rFonts w:cs="Arial"/>
        </w:rPr>
        <w:t xml:space="preserve">a </w:t>
      </w:r>
      <w:r>
        <w:rPr>
          <w:rFonts w:cs="Arial"/>
        </w:rPr>
        <w:t xml:space="preserve">na odstranění chybných údajů při </w:t>
      </w:r>
      <w:r w:rsidRPr="00B4490F">
        <w:rPr>
          <w:rFonts w:cs="Arial"/>
        </w:rPr>
        <w:t xml:space="preserve">vkládání dat </w:t>
      </w:r>
      <w:r>
        <w:rPr>
          <w:rFonts w:cs="Arial"/>
        </w:rPr>
        <w:t xml:space="preserve">do </w:t>
      </w:r>
      <w:r w:rsidRPr="00B4490F">
        <w:rPr>
          <w:rFonts w:cs="Arial"/>
        </w:rPr>
        <w:t xml:space="preserve">systému </w:t>
      </w:r>
      <w:r>
        <w:rPr>
          <w:rFonts w:cs="Arial"/>
        </w:rPr>
        <w:t xml:space="preserve">běžnými </w:t>
      </w:r>
      <w:r w:rsidR="00240BE0">
        <w:rPr>
          <w:rFonts w:cs="Arial"/>
        </w:rPr>
        <w:t>uživateli.</w:t>
      </w:r>
    </w:p>
    <w:p w:rsidR="00240BE0" w:rsidRDefault="00240BE0" w:rsidP="00240BE0">
      <w:pPr>
        <w:spacing w:before="0" w:after="0"/>
        <w:rPr>
          <w:rFonts w:cs="Arial"/>
        </w:rPr>
      </w:pPr>
    </w:p>
    <w:p w:rsidR="00941B1A" w:rsidRDefault="00941B1A" w:rsidP="00240BE0">
      <w:pPr>
        <w:spacing w:before="0" w:after="0"/>
        <w:rPr>
          <w:rFonts w:cs="Arial"/>
        </w:rPr>
      </w:pPr>
      <w:r>
        <w:rPr>
          <w:rFonts w:cs="Arial"/>
        </w:rPr>
        <w:t xml:space="preserve">NKÚ zjistil, že </w:t>
      </w:r>
      <w:r w:rsidR="00F54CA0">
        <w:rPr>
          <w:rFonts w:cs="Arial"/>
        </w:rPr>
        <w:t>p</w:t>
      </w:r>
      <w:r w:rsidR="00F54CA0" w:rsidRPr="00B4490F">
        <w:rPr>
          <w:rFonts w:cs="Arial"/>
        </w:rPr>
        <w:t xml:space="preserve">řes vynaložení těchto výdajů </w:t>
      </w:r>
      <w:r>
        <w:rPr>
          <w:rFonts w:cs="Arial"/>
        </w:rPr>
        <w:t xml:space="preserve">IS SDSL stále obsahuje nesprávné, neúplné a obtížně využitelné údaje </w:t>
      </w:r>
      <w:r w:rsidRPr="00B4490F">
        <w:rPr>
          <w:rFonts w:cs="Arial"/>
        </w:rPr>
        <w:t xml:space="preserve">(např. duplicita údajů, absence dokumentů, </w:t>
      </w:r>
      <w:r>
        <w:rPr>
          <w:rFonts w:cs="Arial"/>
        </w:rPr>
        <w:t xml:space="preserve">špatná data, </w:t>
      </w:r>
      <w:r>
        <w:rPr>
          <w:rFonts w:cs="Arial"/>
        </w:rPr>
        <w:lastRenderedPageBreak/>
        <w:t xml:space="preserve">neevidování </w:t>
      </w:r>
      <w:r w:rsidR="00C21300">
        <w:rPr>
          <w:rFonts w:cs="Arial"/>
        </w:rPr>
        <w:t xml:space="preserve">přesného </w:t>
      </w:r>
      <w:r>
        <w:rPr>
          <w:rFonts w:cs="Arial"/>
        </w:rPr>
        <w:t>poč</w:t>
      </w:r>
      <w:r w:rsidRPr="00902264">
        <w:rPr>
          <w:rFonts w:cs="Arial"/>
        </w:rPr>
        <w:t xml:space="preserve">tu herních míst u </w:t>
      </w:r>
      <w:r w:rsidR="0040415A">
        <w:rPr>
          <w:rFonts w:cs="Arial"/>
        </w:rPr>
        <w:t>technických zařízení</w:t>
      </w:r>
      <w:r w:rsidRPr="00902264">
        <w:rPr>
          <w:rFonts w:cs="Arial"/>
        </w:rPr>
        <w:t xml:space="preserve">). </w:t>
      </w:r>
      <w:r>
        <w:rPr>
          <w:rFonts w:cs="Arial"/>
        </w:rPr>
        <w:t xml:space="preserve">Navíc </w:t>
      </w:r>
      <w:r w:rsidRPr="00C72D4C">
        <w:rPr>
          <w:rFonts w:cs="Arial"/>
        </w:rPr>
        <w:t xml:space="preserve">NKÚ zjistil, že některé funkce nebyly </w:t>
      </w:r>
      <w:r>
        <w:rPr>
          <w:rFonts w:cs="Arial"/>
        </w:rPr>
        <w:t xml:space="preserve">vůbec </w:t>
      </w:r>
      <w:r w:rsidRPr="00C72D4C">
        <w:rPr>
          <w:rFonts w:cs="Arial"/>
        </w:rPr>
        <w:t>využívány, přestože za ně bylo zaplaceno.</w:t>
      </w:r>
    </w:p>
    <w:p w:rsidR="00240BE0" w:rsidRDefault="00240BE0" w:rsidP="00240BE0">
      <w:pPr>
        <w:spacing w:before="0" w:after="0"/>
        <w:rPr>
          <w:rFonts w:cs="Arial"/>
        </w:rPr>
      </w:pPr>
    </w:p>
    <w:p w:rsidR="00941B1A" w:rsidRDefault="00941B1A" w:rsidP="00240BE0">
      <w:pPr>
        <w:spacing w:before="0" w:after="0"/>
        <w:rPr>
          <w:rFonts w:cs="Arial"/>
        </w:rPr>
      </w:pPr>
      <w:r>
        <w:rPr>
          <w:rFonts w:cs="Arial"/>
        </w:rPr>
        <w:t xml:space="preserve">Pro výkon státního dozoru a správu odvodů je využitelnost systému omezena i absencí údajů o obcemi povolených </w:t>
      </w:r>
      <w:proofErr w:type="spellStart"/>
      <w:r>
        <w:rPr>
          <w:rFonts w:cs="Arial"/>
        </w:rPr>
        <w:t>LJPH</w:t>
      </w:r>
      <w:proofErr w:type="spellEnd"/>
      <w:r>
        <w:rPr>
          <w:rFonts w:cs="Arial"/>
        </w:rPr>
        <w:t>. V systému je sice pro obce vytvořena funkce pro vkládání údajů, ale prakticky do systému nemají umožněn příst</w:t>
      </w:r>
      <w:r w:rsidR="00F54CA0">
        <w:rPr>
          <w:rFonts w:cs="Arial"/>
        </w:rPr>
        <w:t>up. Správci odvodu nemají do IS </w:t>
      </w:r>
      <w:r>
        <w:rPr>
          <w:rFonts w:cs="Arial"/>
        </w:rPr>
        <w:t>SDSL přímý přístup a samotný systém není propojen se</w:t>
      </w:r>
      <w:r w:rsidR="00F54CA0">
        <w:rPr>
          <w:rFonts w:cs="Arial"/>
        </w:rPr>
        <w:t xml:space="preserve"> systémem pro správu odvodů (IS </w:t>
      </w:r>
      <w:r w:rsidRPr="00132804">
        <w:rPr>
          <w:rFonts w:cs="Arial"/>
        </w:rPr>
        <w:t>ADIS). Využití dat z IS SDSL pro správce daně je v podstatě znemožněno, neboť data nejsou spolehlivá a nelze je jednoduše zpracovat a analyzovat pro porov</w:t>
      </w:r>
      <w:r w:rsidR="00240BE0">
        <w:rPr>
          <w:rFonts w:cs="Arial"/>
        </w:rPr>
        <w:t>nání s odvodovými přiznáními.</w:t>
      </w:r>
    </w:p>
    <w:p w:rsidR="00240BE0" w:rsidRPr="00132804" w:rsidRDefault="00240BE0" w:rsidP="00240BE0">
      <w:pPr>
        <w:spacing w:before="0" w:after="0"/>
        <w:rPr>
          <w:rFonts w:cs="Arial"/>
        </w:rPr>
      </w:pPr>
    </w:p>
    <w:p w:rsidR="00941B1A" w:rsidRDefault="00571404" w:rsidP="00240BE0">
      <w:pPr>
        <w:spacing w:before="0" w:after="0"/>
      </w:pPr>
      <w:r>
        <w:t>Finanční prostředky, které MF použilo n</w:t>
      </w:r>
      <w:r w:rsidR="00941B1A" w:rsidRPr="00DC24FE">
        <w:t>a úpravy IS SDSL</w:t>
      </w:r>
      <w:r>
        <w:t>,</w:t>
      </w:r>
      <w:r w:rsidR="00941B1A" w:rsidRPr="00DC24FE">
        <w:t xml:space="preserve"> </w:t>
      </w:r>
      <w:r>
        <w:t>nepovažuje NKÚ za vynaložené</w:t>
      </w:r>
      <w:r>
        <w:rPr>
          <w:rFonts w:eastAsia="Times New Roman"/>
        </w:rPr>
        <w:t xml:space="preserve"> nejhospodárnějším </w:t>
      </w:r>
      <w:r w:rsidR="00941B1A" w:rsidRPr="00DC24FE">
        <w:rPr>
          <w:rFonts w:eastAsia="Times New Roman"/>
        </w:rPr>
        <w:t>způsobem</w:t>
      </w:r>
      <w:r>
        <w:rPr>
          <w:rFonts w:eastAsia="Times New Roman"/>
        </w:rPr>
        <w:t>, jak ukládá v § 45 odst. 2 zákona č. 218/2000 Sb.</w:t>
      </w:r>
      <w:r w:rsidR="00941B1A" w:rsidRPr="00DC24FE">
        <w:rPr>
          <w:rFonts w:eastAsia="Times New Roman"/>
        </w:rPr>
        <w:t xml:space="preserve"> </w:t>
      </w:r>
      <w:r>
        <w:rPr>
          <w:rFonts w:eastAsia="Times New Roman"/>
        </w:rPr>
        <w:t>Možné porušení rozpočtové kázně NKÚ oznámil příslušnému FÚ.</w:t>
      </w:r>
      <w:r w:rsidR="00941B1A" w:rsidRPr="003B0FDE">
        <w:rPr>
          <w:color w:val="000000" w:themeColor="text1"/>
        </w:rPr>
        <w:t xml:space="preserve"> </w:t>
      </w:r>
      <w:r w:rsidR="00941B1A" w:rsidRPr="00DC24FE">
        <w:t>Hodnotu nehospodárně vynaložených prost</w:t>
      </w:r>
      <w:r w:rsidR="00240BE0">
        <w:t>ředků MF nelze přesně vyčíslit.</w:t>
      </w:r>
    </w:p>
    <w:p w:rsidR="00240BE0" w:rsidRPr="00DC24FE" w:rsidRDefault="00240BE0" w:rsidP="00240BE0">
      <w:pPr>
        <w:spacing w:before="0" w:after="0"/>
      </w:pPr>
    </w:p>
    <w:p w:rsidR="00941B1A" w:rsidRPr="00E524AF" w:rsidRDefault="00E524AF" w:rsidP="00E524AF">
      <w:pPr>
        <w:spacing w:before="0" w:after="0"/>
        <w:rPr>
          <w:b/>
        </w:rPr>
      </w:pPr>
      <w:r>
        <w:rPr>
          <w:b/>
        </w:rPr>
        <w:t xml:space="preserve">8. </w:t>
      </w:r>
      <w:r w:rsidR="00941B1A" w:rsidRPr="00E524AF">
        <w:rPr>
          <w:b/>
        </w:rPr>
        <w:t xml:space="preserve">Nehospodárně vynaložené výdaje </w:t>
      </w:r>
    </w:p>
    <w:p w:rsidR="00E524AF" w:rsidRDefault="00E524AF" w:rsidP="00E524AF">
      <w:pPr>
        <w:spacing w:before="0" w:after="0"/>
        <w:rPr>
          <w:rFonts w:cs="Arial"/>
        </w:rPr>
      </w:pPr>
    </w:p>
    <w:p w:rsidR="00941B1A" w:rsidRDefault="00941B1A" w:rsidP="00E524AF">
      <w:pPr>
        <w:spacing w:before="0" w:after="0"/>
        <w:rPr>
          <w:rFonts w:cs="Arial"/>
        </w:rPr>
      </w:pPr>
      <w:r w:rsidRPr="00B4490F">
        <w:rPr>
          <w:rFonts w:cs="Arial"/>
        </w:rPr>
        <w:t xml:space="preserve">NKÚ v této kontrole prověřil výdaje ve výši 32 839 821 Kč </w:t>
      </w:r>
      <w:r w:rsidR="00F54CA0">
        <w:rPr>
          <w:rFonts w:cs="Arial"/>
        </w:rPr>
        <w:t xml:space="preserve">vynaložené </w:t>
      </w:r>
      <w:r w:rsidRPr="00B4490F">
        <w:rPr>
          <w:rFonts w:cs="Arial"/>
        </w:rPr>
        <w:t xml:space="preserve">na </w:t>
      </w:r>
      <w:r w:rsidR="00F54CA0">
        <w:rPr>
          <w:rFonts w:cs="Arial"/>
        </w:rPr>
        <w:t>vývoj, implementaci a provoz IS </w:t>
      </w:r>
      <w:r w:rsidRPr="00B4490F">
        <w:rPr>
          <w:rFonts w:cs="Arial"/>
        </w:rPr>
        <w:t xml:space="preserve">SDSL </w:t>
      </w:r>
      <w:r>
        <w:rPr>
          <w:rFonts w:cs="Arial"/>
        </w:rPr>
        <w:t xml:space="preserve">(viz bod č. 7) </w:t>
      </w:r>
      <w:r w:rsidRPr="00B4490F">
        <w:rPr>
          <w:rFonts w:cs="Arial"/>
        </w:rPr>
        <w:t xml:space="preserve">a na právní a poradenské služby související s oblastí LJPH. </w:t>
      </w:r>
    </w:p>
    <w:p w:rsidR="00E524AF" w:rsidRDefault="00E524AF" w:rsidP="00E524AF">
      <w:pPr>
        <w:spacing w:before="0" w:after="0"/>
      </w:pPr>
    </w:p>
    <w:p w:rsidR="00941B1A" w:rsidRDefault="00941B1A" w:rsidP="00E524AF">
      <w:pPr>
        <w:spacing w:before="0" w:after="0"/>
        <w:rPr>
          <w:rFonts w:cs="Arial"/>
        </w:rPr>
      </w:pPr>
      <w:r w:rsidRPr="00E92A1A">
        <w:rPr>
          <w:rFonts w:cs="Arial"/>
        </w:rPr>
        <w:t xml:space="preserve">MF v roce 2013 vynaložilo </w:t>
      </w:r>
      <w:r w:rsidRPr="00B4490F">
        <w:rPr>
          <w:rFonts w:cs="Arial"/>
        </w:rPr>
        <w:t>1 464 399 Kč za zpracování právních analýz v otázkách alternativ postupu MF ve věci rušení a změn povolení k provozování LJPH</w:t>
      </w:r>
      <w:r>
        <w:rPr>
          <w:rFonts w:cs="Arial"/>
        </w:rPr>
        <w:t>. Řešení již před zpracováním analýzy navrhli odborně způsobilí zaměstnanci MF, neboť</w:t>
      </w:r>
      <w:r w:rsidRPr="00B4490F">
        <w:rPr>
          <w:rFonts w:cs="Arial"/>
        </w:rPr>
        <w:t xml:space="preserve"> bylo dostatečně zřejmé z nálezů Ústavního soudu a </w:t>
      </w:r>
      <w:r>
        <w:rPr>
          <w:rFonts w:cs="Arial"/>
        </w:rPr>
        <w:t>znění</w:t>
      </w:r>
      <w:r w:rsidRPr="00B4490F">
        <w:rPr>
          <w:rFonts w:cs="Arial"/>
        </w:rPr>
        <w:t xml:space="preserve"> správního řádu a zákona o loteriích. </w:t>
      </w:r>
    </w:p>
    <w:p w:rsidR="00E524AF" w:rsidRPr="00B4490F" w:rsidRDefault="00E524AF" w:rsidP="00E524AF">
      <w:pPr>
        <w:spacing w:before="0" w:after="0"/>
        <w:rPr>
          <w:rFonts w:cs="Arial"/>
        </w:rPr>
      </w:pPr>
    </w:p>
    <w:p w:rsidR="00941B1A" w:rsidRDefault="00941B1A" w:rsidP="00E524AF">
      <w:pPr>
        <w:spacing w:before="0" w:after="0"/>
        <w:rPr>
          <w:rFonts w:cs="Arial"/>
        </w:rPr>
      </w:pPr>
      <w:r w:rsidRPr="00B4490F">
        <w:rPr>
          <w:rFonts w:cs="Arial"/>
        </w:rPr>
        <w:t>V roce 2013 MF vynaložilo 877 250 Kč vč</w:t>
      </w:r>
      <w:r w:rsidR="00F54CA0">
        <w:rPr>
          <w:rFonts w:cs="Arial"/>
        </w:rPr>
        <w:t>etně</w:t>
      </w:r>
      <w:r w:rsidRPr="00B4490F">
        <w:rPr>
          <w:rFonts w:cs="Arial"/>
        </w:rPr>
        <w:t xml:space="preserve"> DPH na zpracování analýzy v oblasti technického, organizačního, finančního a legislativního řešení státního dozoru přes centrální informační systém. Výsledný materiál obsahoval obecně známé infor</w:t>
      </w:r>
      <w:r>
        <w:rPr>
          <w:rFonts w:cs="Arial"/>
        </w:rPr>
        <w:t>mace, informace které MF mělo k </w:t>
      </w:r>
      <w:r w:rsidRPr="00B4490F">
        <w:rPr>
          <w:rFonts w:cs="Arial"/>
        </w:rPr>
        <w:t>dispozici z vlastní činnosti</w:t>
      </w:r>
      <w:r>
        <w:rPr>
          <w:rFonts w:cs="Arial"/>
        </w:rPr>
        <w:t xml:space="preserve"> a také ze zahraničních služebních cest, kdy například na cestu v roce 2012 pro dva zaměstnance do Las Vegas vynaložilo MF 197 tis. Kč. Informace MF získávalo i z pozice gesčního ministerstva a při zahraničních setkáních</w:t>
      </w:r>
      <w:r w:rsidR="00571404">
        <w:rPr>
          <w:rFonts w:cs="Arial"/>
        </w:rPr>
        <w:t xml:space="preserve"> zabývajících </w:t>
      </w:r>
      <w:r w:rsidR="00A34439">
        <w:rPr>
          <w:rFonts w:cs="Arial"/>
        </w:rPr>
        <w:t>se regulací hazardu.</w:t>
      </w:r>
      <w:r>
        <w:rPr>
          <w:rFonts w:cs="Arial"/>
        </w:rPr>
        <w:t xml:space="preserve"> </w:t>
      </w:r>
      <w:r w:rsidRPr="00DD1921">
        <w:rPr>
          <w:rFonts w:cs="Arial"/>
        </w:rPr>
        <w:t xml:space="preserve">Analýza je </w:t>
      </w:r>
      <w:r w:rsidR="00A34439">
        <w:rPr>
          <w:rFonts w:cs="Arial"/>
        </w:rPr>
        <w:t>v</w:t>
      </w:r>
      <w:r w:rsidRPr="00A34439">
        <w:rPr>
          <w:rFonts w:cs="Arial"/>
        </w:rPr>
        <w:t xml:space="preserve"> podobě</w:t>
      </w:r>
      <w:r w:rsidR="00A34439">
        <w:rPr>
          <w:rFonts w:cs="Arial"/>
        </w:rPr>
        <w:t>, v jaké ji MF převzalo,</w:t>
      </w:r>
      <w:r w:rsidRPr="00A34439">
        <w:rPr>
          <w:rFonts w:cs="Arial"/>
        </w:rPr>
        <w:t xml:space="preserve"> </w:t>
      </w:r>
      <w:r w:rsidRPr="00DD1921">
        <w:rPr>
          <w:rFonts w:cs="Arial"/>
        </w:rPr>
        <w:t>nepoužitelná. MF zadalo tuto analýzu, přestože dlouh</w:t>
      </w:r>
      <w:r w:rsidRPr="00B4490F">
        <w:rPr>
          <w:rFonts w:cs="Arial"/>
        </w:rPr>
        <w:t>odobě neřešilo technické stan</w:t>
      </w:r>
      <w:r w:rsidR="003432BD">
        <w:rPr>
          <w:rFonts w:cs="Arial"/>
        </w:rPr>
        <w:t>dardy ke kontrole, zpracování a </w:t>
      </w:r>
      <w:r w:rsidRPr="00B4490F">
        <w:rPr>
          <w:rFonts w:cs="Arial"/>
        </w:rPr>
        <w:t>evidenci finančních toků.</w:t>
      </w:r>
    </w:p>
    <w:p w:rsidR="00E524AF" w:rsidRPr="00B4490F" w:rsidRDefault="00E524AF" w:rsidP="00E524AF">
      <w:pPr>
        <w:spacing w:before="0" w:after="0"/>
        <w:rPr>
          <w:rFonts w:cs="Arial"/>
        </w:rPr>
      </w:pPr>
    </w:p>
    <w:p w:rsidR="00941B1A" w:rsidRDefault="00941B1A" w:rsidP="00E524AF">
      <w:pPr>
        <w:spacing w:before="0" w:after="0"/>
        <w:rPr>
          <w:rFonts w:cs="Arial"/>
        </w:rPr>
      </w:pPr>
      <w:r>
        <w:rPr>
          <w:rFonts w:cs="Arial"/>
        </w:rPr>
        <w:t>V letech 2010–</w:t>
      </w:r>
      <w:r w:rsidRPr="00B4490F">
        <w:rPr>
          <w:rFonts w:cs="Arial"/>
        </w:rPr>
        <w:t>2012 vynaložilo</w:t>
      </w:r>
      <w:r w:rsidR="00F54CA0">
        <w:rPr>
          <w:rFonts w:cs="Arial"/>
        </w:rPr>
        <w:t xml:space="preserve"> </w:t>
      </w:r>
      <w:r w:rsidR="00F54CA0" w:rsidRPr="00B4490F">
        <w:rPr>
          <w:rFonts w:cs="Arial"/>
        </w:rPr>
        <w:t>MF</w:t>
      </w:r>
      <w:r w:rsidRPr="00B4490F">
        <w:rPr>
          <w:rFonts w:cs="Arial"/>
        </w:rPr>
        <w:t xml:space="preserve"> 823 711 Kč za metodickou a analytickou podporu ve vztahu k činnostem dle zákona o loteriích (např. zpracování analýz, podíl na návrhu zákona, </w:t>
      </w:r>
      <w:r>
        <w:rPr>
          <w:rFonts w:cs="Arial"/>
        </w:rPr>
        <w:t>IT podpora</w:t>
      </w:r>
      <w:r w:rsidR="00F54CA0">
        <w:rPr>
          <w:rFonts w:cs="Arial"/>
        </w:rPr>
        <w:t xml:space="preserve"> IS </w:t>
      </w:r>
      <w:r w:rsidRPr="00104B5C">
        <w:rPr>
          <w:rFonts w:cs="Arial"/>
        </w:rPr>
        <w:t>SDSL),</w:t>
      </w:r>
      <w:r>
        <w:rPr>
          <w:rFonts w:cs="Arial"/>
        </w:rPr>
        <w:t xml:space="preserve"> kt</w:t>
      </w:r>
      <w:r w:rsidRPr="00B4490F">
        <w:rPr>
          <w:rFonts w:cs="Arial"/>
        </w:rPr>
        <w:t>eré zajišťoval externí dodavatel</w:t>
      </w:r>
      <w:r>
        <w:rPr>
          <w:rFonts w:cs="Arial"/>
        </w:rPr>
        <w:t xml:space="preserve"> (fyzická osoba)</w:t>
      </w:r>
      <w:r w:rsidRPr="00B4490F">
        <w:rPr>
          <w:rFonts w:cs="Arial"/>
        </w:rPr>
        <w:t>. Zvláštní kvalifikační předpoklady dodavatele pro výkon činností u</w:t>
      </w:r>
      <w:r>
        <w:rPr>
          <w:rFonts w:cs="Arial"/>
        </w:rPr>
        <w:t>vedených ve smlouvě ve vztahu k </w:t>
      </w:r>
      <w:r w:rsidRPr="00B4490F">
        <w:rPr>
          <w:rFonts w:cs="Arial"/>
        </w:rPr>
        <w:t xml:space="preserve">činnostem podle </w:t>
      </w:r>
      <w:r w:rsidRPr="00FC0D1B">
        <w:rPr>
          <w:rFonts w:cs="Arial"/>
        </w:rPr>
        <w:t xml:space="preserve">zákona o loteriích nebyly </w:t>
      </w:r>
      <w:r w:rsidRPr="00B4490F">
        <w:rPr>
          <w:rFonts w:cs="Arial"/>
        </w:rPr>
        <w:t>prokázány</w:t>
      </w:r>
      <w:r>
        <w:rPr>
          <w:rFonts w:cs="Arial"/>
        </w:rPr>
        <w:t>.</w:t>
      </w:r>
      <w:r w:rsidRPr="00B4490F">
        <w:rPr>
          <w:rFonts w:cs="Arial"/>
        </w:rPr>
        <w:t xml:space="preserve"> Dodavatelem byl bývalý zaměstnanec MF, který ukončil pracovní poměr bezprostředně před uzavřením předmětné smlouvy. U tohoto dodavatele byla zjištěna shoda jmen s osobou, která za MF uzavír</w:t>
      </w:r>
      <w:r w:rsidR="002F2F99">
        <w:rPr>
          <w:rFonts w:cs="Arial"/>
        </w:rPr>
        <w:t>ala smlouvy o dílo na IS </w:t>
      </w:r>
      <w:r w:rsidR="00E524AF">
        <w:rPr>
          <w:rFonts w:cs="Arial"/>
        </w:rPr>
        <w:t>SDSL.</w:t>
      </w:r>
    </w:p>
    <w:p w:rsidR="00E524AF" w:rsidRPr="00B4490F" w:rsidRDefault="00E524AF" w:rsidP="00E524AF">
      <w:pPr>
        <w:spacing w:before="0" w:after="0"/>
        <w:rPr>
          <w:rFonts w:cs="Arial"/>
        </w:rPr>
      </w:pPr>
    </w:p>
    <w:p w:rsidR="00941B1A" w:rsidRDefault="00941B1A" w:rsidP="00E524AF">
      <w:pPr>
        <w:spacing w:before="0" w:after="0"/>
        <w:rPr>
          <w:rFonts w:eastAsia="Times New Roman" w:cs="Arial"/>
        </w:rPr>
      </w:pPr>
      <w:r w:rsidRPr="00B4490F">
        <w:rPr>
          <w:rFonts w:cs="Arial"/>
        </w:rPr>
        <w:t>MF vyna</w:t>
      </w:r>
      <w:r>
        <w:rPr>
          <w:rFonts w:cs="Arial"/>
        </w:rPr>
        <w:t>ložilo</w:t>
      </w:r>
      <w:r w:rsidRPr="00B4490F">
        <w:rPr>
          <w:rFonts w:cs="Arial"/>
        </w:rPr>
        <w:t xml:space="preserve"> v období </w:t>
      </w:r>
      <w:r>
        <w:rPr>
          <w:rFonts w:cs="Arial"/>
        </w:rPr>
        <w:t xml:space="preserve">let </w:t>
      </w:r>
      <w:r w:rsidRPr="00104B5C">
        <w:rPr>
          <w:rFonts w:cs="Arial"/>
        </w:rPr>
        <w:t>2011</w:t>
      </w:r>
      <w:r>
        <w:rPr>
          <w:rFonts w:cs="Arial"/>
        </w:rPr>
        <w:t>–</w:t>
      </w:r>
      <w:r w:rsidRPr="00B4490F">
        <w:rPr>
          <w:rFonts w:cs="Arial"/>
        </w:rPr>
        <w:t xml:space="preserve">2013 finanční prostředky </w:t>
      </w:r>
      <w:r>
        <w:rPr>
          <w:rFonts w:cs="Arial"/>
        </w:rPr>
        <w:t xml:space="preserve">ve výši 785 328 Kč </w:t>
      </w:r>
      <w:r w:rsidRPr="00B4490F">
        <w:rPr>
          <w:rFonts w:cs="Arial"/>
        </w:rPr>
        <w:t>za audit systému kvality procesů dle zákona o loteriích a dalších právní</w:t>
      </w:r>
      <w:r>
        <w:rPr>
          <w:rFonts w:cs="Arial"/>
        </w:rPr>
        <w:t>ch předpisů. Tyto audity byly v </w:t>
      </w:r>
      <w:r w:rsidRPr="00B4490F">
        <w:rPr>
          <w:rFonts w:cs="Arial"/>
        </w:rPr>
        <w:t xml:space="preserve">roce 2011 zajišťovány externím pracovníkem na základě smlouvy o provedení poradenských služeb a v letech 2012 </w:t>
      </w:r>
      <w:r>
        <w:rPr>
          <w:rFonts w:cs="Arial"/>
        </w:rPr>
        <w:t xml:space="preserve">a 2013 </w:t>
      </w:r>
      <w:r w:rsidRPr="00B4490F">
        <w:rPr>
          <w:rFonts w:cs="Arial"/>
        </w:rPr>
        <w:t xml:space="preserve">na základě </w:t>
      </w:r>
      <w:r w:rsidRPr="00B4490F">
        <w:rPr>
          <w:rFonts w:eastAsia="Times New Roman" w:cs="Arial"/>
        </w:rPr>
        <w:t xml:space="preserve">dohod o práci konané mimo pracovní poměr. </w:t>
      </w:r>
      <w:r>
        <w:rPr>
          <w:rFonts w:cs="Arial"/>
        </w:rPr>
        <w:t>Takové kontroly je ale MF povinno podle zákona</w:t>
      </w:r>
      <w:r>
        <w:rPr>
          <w:rFonts w:eastAsia="Times New Roman" w:cs="Arial"/>
        </w:rPr>
        <w:t xml:space="preserve"> č. 320/2001 Sb., o finanční kontrole,</w:t>
      </w:r>
      <w:r w:rsidRPr="00B4490F">
        <w:rPr>
          <w:rFonts w:eastAsia="Times New Roman" w:cs="Arial"/>
        </w:rPr>
        <w:t xml:space="preserve"> vykonávat trvale a průběžně</w:t>
      </w:r>
      <w:r>
        <w:rPr>
          <w:rFonts w:eastAsia="Times New Roman" w:cs="Arial"/>
        </w:rPr>
        <w:t xml:space="preserve"> vlastními zaměstnanci</w:t>
      </w:r>
      <w:r w:rsidRPr="00B4490F">
        <w:rPr>
          <w:rFonts w:eastAsia="Times New Roman" w:cs="Arial"/>
        </w:rPr>
        <w:t xml:space="preserve">. Interním auditem </w:t>
      </w:r>
      <w:r>
        <w:rPr>
          <w:rFonts w:eastAsia="Times New Roman" w:cs="Arial"/>
        </w:rPr>
        <w:t xml:space="preserve">žádná taková kontrola </w:t>
      </w:r>
      <w:r w:rsidR="00E524AF">
        <w:rPr>
          <w:rFonts w:eastAsia="Times New Roman" w:cs="Arial"/>
        </w:rPr>
        <w:t>provedena nebyla.</w:t>
      </w:r>
    </w:p>
    <w:p w:rsidR="00E524AF" w:rsidRDefault="00E524AF" w:rsidP="00E524AF">
      <w:pPr>
        <w:spacing w:before="0" w:after="0"/>
        <w:rPr>
          <w:rFonts w:eastAsia="Times New Roman" w:cs="Arial"/>
        </w:rPr>
      </w:pPr>
    </w:p>
    <w:p w:rsidR="00941B1A" w:rsidRDefault="00941B1A" w:rsidP="00E524AF">
      <w:pPr>
        <w:spacing w:before="0" w:after="0"/>
        <w:rPr>
          <w:rFonts w:cs="Arial"/>
        </w:rPr>
      </w:pPr>
      <w:r w:rsidRPr="00A34439">
        <w:rPr>
          <w:rFonts w:cs="Arial"/>
        </w:rPr>
        <w:t>MF vynaložením finančních prostředků ve výši 3 950 688 Kč na zpracování studií, analýz a</w:t>
      </w:r>
      <w:r w:rsidR="00543379">
        <w:rPr>
          <w:rFonts w:cs="Arial"/>
        </w:rPr>
        <w:t> </w:t>
      </w:r>
      <w:r w:rsidRPr="00A34439">
        <w:rPr>
          <w:rFonts w:cs="Arial"/>
        </w:rPr>
        <w:t xml:space="preserve">poradenskou činnost externích dodavatelů neplnilo určené úkoly nejhospodárnějším </w:t>
      </w:r>
      <w:r w:rsidRPr="00A34439">
        <w:rPr>
          <w:rFonts w:cs="Arial"/>
        </w:rPr>
        <w:lastRenderedPageBreak/>
        <w:t>způsobem</w:t>
      </w:r>
      <w:r w:rsidR="00F54CA0">
        <w:rPr>
          <w:rFonts w:cs="Arial"/>
        </w:rPr>
        <w:t>,</w:t>
      </w:r>
      <w:r w:rsidRPr="00A34439">
        <w:rPr>
          <w:rFonts w:cs="Arial"/>
        </w:rPr>
        <w:t xml:space="preserve"> a</w:t>
      </w:r>
      <w:r w:rsidR="00F54CA0">
        <w:rPr>
          <w:rFonts w:cs="Arial"/>
        </w:rPr>
        <w:t> tudíž</w:t>
      </w:r>
      <w:r w:rsidRPr="00A34439">
        <w:rPr>
          <w:rFonts w:cs="Arial"/>
        </w:rPr>
        <w:t xml:space="preserve"> postupovalo v rozporu s ust</w:t>
      </w:r>
      <w:r w:rsidR="00F54CA0">
        <w:rPr>
          <w:rFonts w:cs="Arial"/>
        </w:rPr>
        <w:t>anovením § 45 odst. 2 zákona č. </w:t>
      </w:r>
      <w:r w:rsidRPr="00A34439">
        <w:rPr>
          <w:rFonts w:cs="Arial"/>
        </w:rPr>
        <w:t>218/2</w:t>
      </w:r>
      <w:r w:rsidR="002F2F99">
        <w:rPr>
          <w:rFonts w:cs="Arial"/>
        </w:rPr>
        <w:t>000 </w:t>
      </w:r>
      <w:r w:rsidRPr="00A34439">
        <w:rPr>
          <w:rFonts w:cs="Arial"/>
        </w:rPr>
        <w:t xml:space="preserve">Sb. </w:t>
      </w:r>
    </w:p>
    <w:p w:rsidR="00543379" w:rsidRDefault="00543379" w:rsidP="00E524AF">
      <w:pPr>
        <w:spacing w:before="0" w:after="0"/>
        <w:jc w:val="left"/>
        <w:rPr>
          <w:rFonts w:cs="Arial"/>
        </w:rPr>
      </w:pPr>
      <w:r>
        <w:rPr>
          <w:rFonts w:cs="Arial"/>
        </w:rPr>
        <w:br w:type="page"/>
      </w:r>
    </w:p>
    <w:p w:rsidR="00941B1A" w:rsidRDefault="00DE3A14" w:rsidP="00E524AF">
      <w:pPr>
        <w:spacing w:before="0" w:after="0"/>
        <w:jc w:val="right"/>
        <w:rPr>
          <w:b/>
        </w:rPr>
      </w:pPr>
      <w:r w:rsidRPr="00E524AF">
        <w:rPr>
          <w:b/>
        </w:rPr>
        <w:lastRenderedPageBreak/>
        <w:t>Příloha č. 1</w:t>
      </w:r>
      <w:r w:rsidR="00941B1A" w:rsidRPr="00E524AF">
        <w:rPr>
          <w:b/>
        </w:rPr>
        <w:t xml:space="preserve"> </w:t>
      </w:r>
    </w:p>
    <w:p w:rsidR="00E524AF" w:rsidRDefault="00E524AF" w:rsidP="00E524AF">
      <w:pPr>
        <w:spacing w:before="0" w:after="0"/>
      </w:pPr>
    </w:p>
    <w:p w:rsidR="0054606A" w:rsidRDefault="00887E71" w:rsidP="00E524AF">
      <w:pPr>
        <w:spacing w:before="0" w:after="0"/>
        <w:rPr>
          <w:b/>
        </w:rPr>
      </w:pPr>
      <w:r>
        <w:rPr>
          <w:b/>
        </w:rPr>
        <w:t>Vysvětlení pojmů</w:t>
      </w:r>
    </w:p>
    <w:p w:rsidR="00887E71" w:rsidRDefault="00887E71" w:rsidP="00E524AF">
      <w:pPr>
        <w:spacing w:before="0" w:after="0"/>
        <w:rPr>
          <w:b/>
        </w:rPr>
      </w:pPr>
    </w:p>
    <w:p w:rsidR="00887E71" w:rsidRPr="0054606A" w:rsidRDefault="00887E71" w:rsidP="00E524AF">
      <w:pPr>
        <w:spacing w:before="0" w:after="0"/>
      </w:pPr>
    </w:p>
    <w:p w:rsidR="00941B1A" w:rsidRDefault="00941B1A" w:rsidP="00E524AF">
      <w:pPr>
        <w:spacing w:before="0" w:after="0"/>
        <w:rPr>
          <w:rFonts w:cs="Arial"/>
          <w:color w:val="000000" w:themeColor="text1"/>
        </w:rPr>
      </w:pPr>
      <w:r w:rsidRPr="00E524AF">
        <w:rPr>
          <w:rFonts w:cs="Arial"/>
          <w:b/>
          <w:color w:val="000000" w:themeColor="text1"/>
        </w:rPr>
        <w:t xml:space="preserve">Státním dozorem </w:t>
      </w:r>
      <w:r w:rsidRPr="00E524AF">
        <w:rPr>
          <w:rFonts w:cs="Arial"/>
          <w:color w:val="000000" w:themeColor="text1"/>
        </w:rPr>
        <w:t>se rozumí kontrola a dohled nad provozováním LJPH dle zákona o</w:t>
      </w:r>
      <w:r w:rsidR="00543379" w:rsidRPr="00E524AF">
        <w:rPr>
          <w:rFonts w:cs="Arial"/>
          <w:color w:val="000000" w:themeColor="text1"/>
        </w:rPr>
        <w:t> </w:t>
      </w:r>
      <w:r w:rsidRPr="00E524AF">
        <w:rPr>
          <w:rFonts w:cs="Arial"/>
          <w:color w:val="000000" w:themeColor="text1"/>
        </w:rPr>
        <w:t>loteriích.</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 xml:space="preserve">Správou odvodů </w:t>
      </w:r>
      <w:r w:rsidRPr="00E524AF">
        <w:rPr>
          <w:rFonts w:cs="Arial"/>
          <w:color w:val="000000" w:themeColor="text1"/>
        </w:rPr>
        <w:t>je postup dle daňového řádu, jehož cílem je správné zjištění a stanovení odvodových a poplatkových povinností a zabezpečení jejich úhrady.</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 xml:space="preserve">Centrální loterijní systém </w:t>
      </w:r>
      <w:r w:rsidRPr="00E524AF">
        <w:rPr>
          <w:rFonts w:cs="Arial"/>
          <w:color w:val="000000" w:themeColor="text1"/>
        </w:rPr>
        <w:t xml:space="preserve">(CLS) je herní systém, se kterým sázející komunikuje prostřednictvím interaktivního </w:t>
      </w:r>
      <w:proofErr w:type="spellStart"/>
      <w:r w:rsidRPr="00E524AF">
        <w:rPr>
          <w:rFonts w:cs="Arial"/>
          <w:color w:val="000000" w:themeColor="text1"/>
        </w:rPr>
        <w:t>videoloterijního</w:t>
      </w:r>
      <w:proofErr w:type="spellEnd"/>
      <w:r w:rsidRPr="00E524AF">
        <w:rPr>
          <w:rFonts w:cs="Arial"/>
          <w:color w:val="000000" w:themeColor="text1"/>
        </w:rPr>
        <w:t xml:space="preserve"> terminálu.</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Část výtěžku</w:t>
      </w:r>
      <w:r w:rsidRPr="00E524AF">
        <w:rPr>
          <w:rFonts w:cs="Arial"/>
          <w:color w:val="000000" w:themeColor="text1"/>
        </w:rPr>
        <w:t xml:space="preserve"> </w:t>
      </w:r>
      <w:r w:rsidR="00244877">
        <w:rPr>
          <w:rFonts w:cs="Arial"/>
          <w:color w:val="000000" w:themeColor="text1"/>
        </w:rPr>
        <w:t xml:space="preserve">jsou </w:t>
      </w:r>
      <w:r w:rsidRPr="00E524AF">
        <w:rPr>
          <w:rFonts w:cs="Arial"/>
          <w:color w:val="000000" w:themeColor="text1"/>
        </w:rPr>
        <w:t>finanční prostředky z provozování loterií a jiných podobných her použité provozovateli na veřejně prospěšné účely.</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Elektromechanická ruleta</w:t>
      </w:r>
      <w:r w:rsidRPr="00E524AF">
        <w:rPr>
          <w:rFonts w:cs="Arial"/>
          <w:color w:val="000000" w:themeColor="text1"/>
        </w:rPr>
        <w:t xml:space="preserve"> (EMR) je „hra ruleta“ prov</w:t>
      </w:r>
      <w:r w:rsidR="00E524AF">
        <w:rPr>
          <w:rFonts w:cs="Arial"/>
          <w:color w:val="000000" w:themeColor="text1"/>
        </w:rPr>
        <w:t>ozovaná na technickém zařízení.</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Finanční tok</w:t>
      </w:r>
      <w:r w:rsidRPr="00E524AF">
        <w:rPr>
          <w:rFonts w:cs="Arial"/>
          <w:color w:val="000000" w:themeColor="text1"/>
        </w:rPr>
        <w:t xml:space="preserve"> představuje proces od vložení finančních prostředků</w:t>
      </w:r>
      <w:r w:rsidR="00244877">
        <w:rPr>
          <w:rFonts w:cs="Arial"/>
          <w:color w:val="000000" w:themeColor="text1"/>
        </w:rPr>
        <w:t xml:space="preserve"> přes</w:t>
      </w:r>
      <w:r w:rsidRPr="00E524AF">
        <w:rPr>
          <w:rFonts w:cs="Arial"/>
          <w:color w:val="000000" w:themeColor="text1"/>
        </w:rPr>
        <w:t xml:space="preserve"> uskutečnění sázky </w:t>
      </w:r>
      <w:r w:rsidR="001A07E4">
        <w:rPr>
          <w:rFonts w:cs="Arial"/>
          <w:color w:val="000000" w:themeColor="text1"/>
        </w:rPr>
        <w:t>a </w:t>
      </w:r>
      <w:r w:rsidRPr="00E524AF">
        <w:rPr>
          <w:rFonts w:cs="Arial"/>
          <w:color w:val="000000" w:themeColor="text1"/>
        </w:rPr>
        <w:t>vygenerování výsledku hry až</w:t>
      </w:r>
      <w:r w:rsidR="00E524AF">
        <w:rPr>
          <w:rFonts w:cs="Arial"/>
          <w:color w:val="000000" w:themeColor="text1"/>
        </w:rPr>
        <w:t xml:space="preserve"> po případné vyplacení výhry.</w:t>
      </w:r>
    </w:p>
    <w:p w:rsidR="00E524AF" w:rsidRPr="00E524AF" w:rsidRDefault="00E524AF" w:rsidP="00E524AF">
      <w:pPr>
        <w:spacing w:before="0" w:after="0"/>
        <w:rPr>
          <w:rFonts w:cs="Arial"/>
          <w:color w:val="000000" w:themeColor="text1"/>
        </w:rPr>
      </w:pPr>
    </w:p>
    <w:p w:rsidR="00C21300" w:rsidRDefault="00C21300" w:rsidP="00E524AF">
      <w:pPr>
        <w:spacing w:before="0" w:after="0"/>
        <w:rPr>
          <w:rFonts w:cs="Arial"/>
          <w:color w:val="000000" w:themeColor="text1"/>
        </w:rPr>
      </w:pPr>
      <w:r w:rsidRPr="00E524AF">
        <w:rPr>
          <w:rFonts w:cs="Arial"/>
          <w:b/>
          <w:color w:val="000000" w:themeColor="text1"/>
        </w:rPr>
        <w:t xml:space="preserve">Základ odvodu </w:t>
      </w:r>
      <w:r w:rsidR="00290B05" w:rsidRPr="00E524AF">
        <w:rPr>
          <w:rFonts w:cs="Arial"/>
          <w:color w:val="000000" w:themeColor="text1"/>
        </w:rPr>
        <w:t xml:space="preserve">se skládá z dílčích základů odvodů, které </w:t>
      </w:r>
      <w:r w:rsidRPr="00E524AF">
        <w:rPr>
          <w:rFonts w:cs="Arial"/>
          <w:color w:val="000000" w:themeColor="text1"/>
        </w:rPr>
        <w:t xml:space="preserve">tvoří částka, o kterou úhrn vsazených částek </w:t>
      </w:r>
      <w:r w:rsidR="00290B05" w:rsidRPr="00E524AF">
        <w:rPr>
          <w:rFonts w:cs="Arial"/>
          <w:color w:val="000000" w:themeColor="text1"/>
        </w:rPr>
        <w:t xml:space="preserve">(vklad a případný poplatek) </w:t>
      </w:r>
      <w:r w:rsidRPr="00E524AF">
        <w:rPr>
          <w:rFonts w:cs="Arial"/>
          <w:color w:val="000000" w:themeColor="text1"/>
        </w:rPr>
        <w:t>převyšuje úhrn vyplacených výher</w:t>
      </w:r>
      <w:r w:rsidR="00290B05" w:rsidRPr="00E524AF">
        <w:rPr>
          <w:rFonts w:cs="Arial"/>
          <w:color w:val="000000" w:themeColor="text1"/>
        </w:rPr>
        <w:t>, dále</w:t>
      </w:r>
      <w:r w:rsidRPr="00E524AF">
        <w:rPr>
          <w:rFonts w:cs="Arial"/>
          <w:color w:val="000000" w:themeColor="text1"/>
        </w:rPr>
        <w:t xml:space="preserve"> </w:t>
      </w:r>
      <w:r w:rsidR="006B22A3" w:rsidRPr="00E524AF">
        <w:rPr>
          <w:rFonts w:cs="Arial"/>
          <w:color w:val="000000" w:themeColor="text1"/>
        </w:rPr>
        <w:t>případně pevn</w:t>
      </w:r>
      <w:r w:rsidR="00290B05" w:rsidRPr="00E524AF">
        <w:rPr>
          <w:rFonts w:cs="Arial"/>
          <w:color w:val="000000" w:themeColor="text1"/>
        </w:rPr>
        <w:t>á</w:t>
      </w:r>
      <w:r w:rsidR="006B22A3" w:rsidRPr="00E524AF">
        <w:rPr>
          <w:rFonts w:cs="Arial"/>
          <w:color w:val="000000" w:themeColor="text1"/>
        </w:rPr>
        <w:t xml:space="preserve"> část, kterou u VHP a JTHZ tvoří součet počtu dnů pro každý povolený přístroj.</w:t>
      </w:r>
    </w:p>
    <w:p w:rsidR="00E524AF" w:rsidRPr="00E524AF" w:rsidRDefault="00E524AF" w:rsidP="00E524AF">
      <w:pPr>
        <w:spacing w:before="0" w:after="0"/>
        <w:rPr>
          <w:rFonts w:cs="Arial"/>
          <w:color w:val="000000" w:themeColor="text1"/>
        </w:rPr>
      </w:pPr>
    </w:p>
    <w:p w:rsidR="00290B05" w:rsidRDefault="00290B05" w:rsidP="00E524AF">
      <w:pPr>
        <w:spacing w:before="0" w:after="0"/>
        <w:rPr>
          <w:rFonts w:cs="Arial"/>
          <w:color w:val="000000" w:themeColor="text1"/>
        </w:rPr>
      </w:pPr>
      <w:r w:rsidRPr="00E524AF">
        <w:rPr>
          <w:rFonts w:cs="Arial"/>
          <w:b/>
          <w:color w:val="000000" w:themeColor="text1"/>
        </w:rPr>
        <w:t xml:space="preserve">Hrubý výnos provozovatele </w:t>
      </w:r>
      <w:r w:rsidRPr="00E524AF">
        <w:rPr>
          <w:rFonts w:cs="Arial"/>
          <w:color w:val="000000" w:themeColor="text1"/>
        </w:rPr>
        <w:t>je rozdíl mezi vsazenou a vyplacenou částkou před zdaněním.</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 xml:space="preserve">Interaktivní </w:t>
      </w:r>
      <w:proofErr w:type="spellStart"/>
      <w:r w:rsidRPr="00E524AF">
        <w:rPr>
          <w:rFonts w:cs="Arial"/>
          <w:b/>
          <w:color w:val="000000" w:themeColor="text1"/>
        </w:rPr>
        <w:t>videoloterijní</w:t>
      </w:r>
      <w:proofErr w:type="spellEnd"/>
      <w:r w:rsidRPr="00E524AF">
        <w:rPr>
          <w:rFonts w:cs="Arial"/>
          <w:b/>
          <w:color w:val="000000" w:themeColor="text1"/>
        </w:rPr>
        <w:t xml:space="preserve"> terminál</w:t>
      </w:r>
      <w:r w:rsidRPr="00E524AF">
        <w:rPr>
          <w:rFonts w:cs="Arial"/>
          <w:color w:val="000000" w:themeColor="text1"/>
        </w:rPr>
        <w:t xml:space="preserve"> (</w:t>
      </w:r>
      <w:proofErr w:type="spellStart"/>
      <w:r w:rsidRPr="00E524AF">
        <w:rPr>
          <w:rFonts w:cs="Arial"/>
          <w:color w:val="000000" w:themeColor="text1"/>
        </w:rPr>
        <w:t>IVT</w:t>
      </w:r>
      <w:proofErr w:type="spellEnd"/>
      <w:r w:rsidRPr="00E524AF">
        <w:rPr>
          <w:rFonts w:cs="Arial"/>
          <w:color w:val="000000" w:themeColor="text1"/>
        </w:rPr>
        <w:t>) je typ hracího přístroje napojený na CLS.</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 xml:space="preserve">Jiné technické herní zařízení </w:t>
      </w:r>
      <w:r w:rsidRPr="00E524AF">
        <w:rPr>
          <w:rFonts w:cs="Arial"/>
          <w:color w:val="000000" w:themeColor="text1"/>
        </w:rPr>
        <w:t>(JTHZ) ve smyslu loterního zákona je takové technické zařízení odlišné od VHP podle ustanovení § 17 loterního zákona, které je funkčně nedělitelné a slouží k realizaci loterie nebo jiné podobné hry ve smyslu § 1 odst. 1 loterního zákona, a to celého procesu od samého počátku do jeho konce. Nezáleží přitom na tom, zda je zařízení, jímž je loterie a jiná podobná hra provozována, postaveno na principu mechanickém, elektromechanickém, elektronickém či obdobném.</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Jistota</w:t>
      </w:r>
      <w:r w:rsidRPr="00E524AF">
        <w:rPr>
          <w:rFonts w:cs="Arial"/>
          <w:color w:val="000000" w:themeColor="text1"/>
        </w:rPr>
        <w:t xml:space="preserve"> je peněžní částka, kterou je žadatel povinen složit </w:t>
      </w:r>
      <w:r w:rsidR="00244877">
        <w:rPr>
          <w:rFonts w:cs="Arial"/>
          <w:color w:val="000000" w:themeColor="text1"/>
        </w:rPr>
        <w:t>(</w:t>
      </w:r>
      <w:r w:rsidRPr="00E524AF">
        <w:rPr>
          <w:rFonts w:cs="Arial"/>
          <w:color w:val="000000" w:themeColor="text1"/>
        </w:rPr>
        <w:t>tzv. vinkulovat</w:t>
      </w:r>
      <w:r w:rsidR="00244877">
        <w:rPr>
          <w:rFonts w:cs="Arial"/>
          <w:color w:val="000000" w:themeColor="text1"/>
        </w:rPr>
        <w:t>)</w:t>
      </w:r>
      <w:r w:rsidRPr="00E524AF">
        <w:rPr>
          <w:rFonts w:cs="Arial"/>
          <w:color w:val="000000" w:themeColor="text1"/>
        </w:rPr>
        <w:t xml:space="preserve"> na zvláštní účet u</w:t>
      </w:r>
      <w:r w:rsidR="00543379" w:rsidRPr="00E524AF">
        <w:rPr>
          <w:rFonts w:cs="Arial"/>
          <w:color w:val="000000" w:themeColor="text1"/>
        </w:rPr>
        <w:t> </w:t>
      </w:r>
      <w:r w:rsidRPr="00E524AF">
        <w:rPr>
          <w:rFonts w:cs="Arial"/>
          <w:color w:val="000000" w:themeColor="text1"/>
        </w:rPr>
        <w:t>banky nebo spořitelního a úvěrního družstva k zajištění pohledávek státu, obcí a výplat výher sázejícím.</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Loterie nebo jiná podobná hra</w:t>
      </w:r>
      <w:r w:rsidRPr="00E524AF">
        <w:rPr>
          <w:rFonts w:cs="Arial"/>
          <w:color w:val="000000" w:themeColor="text1"/>
        </w:rPr>
        <w:t xml:space="preserve"> (LJPH) je hra, jíž se dobrovolně účastní fyzická osoba, která zaplatí sázku. O výhře nebo prohře rozhoduje náhoda nebo předem neznámá okolnost nebo událost uvedená provozovatelem v herním plánu. Nezáleží přitom na tom, provádí-li se hra pomocí mechanických, elektronicko-mechanických, elektronických nebo obdobných zařízení.</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Loterie</w:t>
      </w:r>
      <w:r w:rsidRPr="00E524AF">
        <w:rPr>
          <w:rFonts w:cs="Arial"/>
          <w:color w:val="000000" w:themeColor="text1"/>
        </w:rPr>
        <w:t xml:space="preserve"> je hra, při které se výhra určuje slosováním všech vydaných (tedy i neprodaných) losů. Loterie se dále dělí na peněžité nebo věcné, čísel</w:t>
      </w:r>
      <w:r w:rsidR="00E524AF">
        <w:rPr>
          <w:rFonts w:cs="Arial"/>
          <w:color w:val="000000" w:themeColor="text1"/>
        </w:rPr>
        <w:t>n</w:t>
      </w:r>
      <w:r w:rsidR="00244877">
        <w:rPr>
          <w:rFonts w:cs="Arial"/>
          <w:color w:val="000000" w:themeColor="text1"/>
        </w:rPr>
        <w:t>é</w:t>
      </w:r>
      <w:r w:rsidR="00E524AF">
        <w:rPr>
          <w:rFonts w:cs="Arial"/>
          <w:color w:val="000000" w:themeColor="text1"/>
        </w:rPr>
        <w:t xml:space="preserve"> loterie a okamžité loterie.</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Místní poplatek</w:t>
      </w:r>
      <w:r w:rsidRPr="00E524AF">
        <w:rPr>
          <w:rFonts w:cs="Arial"/>
          <w:color w:val="000000" w:themeColor="text1"/>
        </w:rPr>
        <w:t xml:space="preserve"> je poplatek za provozovaný výherní hrací přístroj (dále také „VHP“), koncový interaktivní videoloter</w:t>
      </w:r>
      <w:r w:rsidR="00D36987">
        <w:rPr>
          <w:rFonts w:cs="Arial"/>
          <w:color w:val="000000" w:themeColor="text1"/>
        </w:rPr>
        <w:t>ij</w:t>
      </w:r>
      <w:r w:rsidRPr="00E524AF">
        <w:rPr>
          <w:rFonts w:cs="Arial"/>
          <w:color w:val="000000" w:themeColor="text1"/>
        </w:rPr>
        <w:t xml:space="preserve">ní terminál a herní místo lokálního herního systému vybíraný na základě zákona o místních poplatcích. </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lastRenderedPageBreak/>
        <w:t>Monitorovací zařízení</w:t>
      </w:r>
      <w:r w:rsidRPr="00E524AF">
        <w:rPr>
          <w:rFonts w:cs="Arial"/>
          <w:color w:val="000000" w:themeColor="text1"/>
        </w:rPr>
        <w:t xml:space="preserve"> musí obrazově a zvukově zaznamenávat celý průběh všech provozovaných her, dále pak práce přípravné (výdej žetonů) a závěrečné (uzavírání stolů, počítání žetonů a hotovosti). Provozovatel je povinen uchovávat po dobu 90 kalendářních dnů záznamy pořízené monitorovacím zařízením a pracovníkům státního dozoru umožnit přístup k těmto záznamům</w:t>
      </w:r>
      <w:r w:rsidR="00244877">
        <w:rPr>
          <w:rFonts w:cs="Arial"/>
          <w:color w:val="000000" w:themeColor="text1"/>
        </w:rPr>
        <w:t>,</w:t>
      </w:r>
      <w:r w:rsidRPr="00E524AF">
        <w:rPr>
          <w:rFonts w:cs="Arial"/>
          <w:color w:val="000000" w:themeColor="text1"/>
        </w:rPr>
        <w:t xml:space="preserve"> včetně jejich zapůjčení mimo prostor kasina. Monitorování musí být prováděno v nezpomaleném a nepřerušovaném záznamu. Bližší podmínky pro monitorování a uchovávání záznamů stanoví ministerstvo právním předpisem.</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 xml:space="preserve">Správní poplatek </w:t>
      </w:r>
      <w:r w:rsidRPr="00E524AF">
        <w:rPr>
          <w:rFonts w:cs="Arial"/>
          <w:color w:val="000000" w:themeColor="text1"/>
        </w:rPr>
        <w:t>je poplatek</w:t>
      </w:r>
      <w:r w:rsidRPr="001A07E4">
        <w:rPr>
          <w:rFonts w:cs="Arial"/>
          <w:color w:val="000000" w:themeColor="text1"/>
        </w:rPr>
        <w:t xml:space="preserve"> </w:t>
      </w:r>
      <w:r w:rsidRPr="00E524AF">
        <w:rPr>
          <w:rFonts w:cs="Arial"/>
          <w:color w:val="000000" w:themeColor="text1"/>
        </w:rPr>
        <w:t xml:space="preserve">za vydání povolení k provozování loterií a jiných podobných her vybíraný dle zákona o správních poplatcích. </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Pověřená autorizovaná osoba</w:t>
      </w:r>
      <w:r w:rsidRPr="00E524AF">
        <w:rPr>
          <w:rFonts w:cs="Arial"/>
          <w:color w:val="000000" w:themeColor="text1"/>
        </w:rPr>
        <w:t xml:space="preserve"> je organizace, která je na základě rozhodnutí MF oprávněna provádět technickou kontrolu zařízení (podle zákona č. 22/1997 Sb., o technických požadavcích na výrobky a o změně a doplnění některých zákonů).</w:t>
      </w:r>
    </w:p>
    <w:p w:rsidR="00E524AF" w:rsidRPr="00E524AF" w:rsidRDefault="00E524AF" w:rsidP="00E524AF">
      <w:pPr>
        <w:spacing w:before="0" w:after="0"/>
        <w:rPr>
          <w:rFonts w:cs="Arial"/>
          <w:color w:val="000000" w:themeColor="text1"/>
        </w:rPr>
      </w:pPr>
    </w:p>
    <w:p w:rsidR="00941B1A" w:rsidRPr="00E524AF" w:rsidRDefault="00941B1A" w:rsidP="00E524AF">
      <w:pPr>
        <w:spacing w:before="0" w:after="0"/>
        <w:rPr>
          <w:rFonts w:cs="Arial"/>
          <w:color w:val="000000" w:themeColor="text1"/>
        </w:rPr>
      </w:pPr>
      <w:r w:rsidRPr="00E524AF">
        <w:rPr>
          <w:rFonts w:cs="Arial"/>
          <w:b/>
          <w:color w:val="000000" w:themeColor="text1"/>
        </w:rPr>
        <w:t>Povolovací orgán</w:t>
      </w:r>
      <w:r w:rsidRPr="00E524AF">
        <w:rPr>
          <w:rFonts w:cs="Arial"/>
          <w:color w:val="000000" w:themeColor="text1"/>
        </w:rPr>
        <w:t xml:space="preserve"> je orgán oprávněný vydat povolení k provozování LJPH. </w:t>
      </w:r>
    </w:p>
    <w:p w:rsidR="00E524AF" w:rsidRPr="00E524AF" w:rsidRDefault="00E524AF" w:rsidP="00E524AF">
      <w:pPr>
        <w:spacing w:before="0" w:after="0"/>
        <w:rPr>
          <w:rFonts w:cs="Arial"/>
          <w:color w:val="000000" w:themeColor="text1"/>
        </w:rPr>
      </w:pPr>
    </w:p>
    <w:p w:rsidR="00941B1A" w:rsidRPr="00E524AF" w:rsidRDefault="00941B1A" w:rsidP="00E524AF">
      <w:pPr>
        <w:spacing w:before="0" w:after="0"/>
        <w:rPr>
          <w:rFonts w:cs="Arial"/>
          <w:color w:val="000000" w:themeColor="text1"/>
        </w:rPr>
      </w:pPr>
      <w:r w:rsidRPr="00E524AF">
        <w:rPr>
          <w:rFonts w:cs="Arial"/>
          <w:b/>
          <w:color w:val="000000" w:themeColor="text1"/>
        </w:rPr>
        <w:t>Provozovatel</w:t>
      </w:r>
      <w:r w:rsidRPr="00E524AF">
        <w:rPr>
          <w:rFonts w:cs="Arial"/>
          <w:color w:val="000000" w:themeColor="text1"/>
        </w:rPr>
        <w:t xml:space="preserve"> je právnická osoba se sídlem na území ČR, které povolovací orgán vydal povolení k provozování. Může jít o:</w:t>
      </w:r>
    </w:p>
    <w:p w:rsidR="00941B1A" w:rsidRPr="00E524AF" w:rsidRDefault="00941B1A" w:rsidP="00E524AF">
      <w:pPr>
        <w:pStyle w:val="Odstavecseseznamem"/>
        <w:numPr>
          <w:ilvl w:val="0"/>
          <w:numId w:val="16"/>
        </w:numPr>
        <w:spacing w:before="0" w:after="0"/>
        <w:ind w:left="284" w:hanging="284"/>
        <w:rPr>
          <w:rFonts w:cs="Arial"/>
          <w:color w:val="000000" w:themeColor="text1"/>
        </w:rPr>
      </w:pPr>
      <w:r w:rsidRPr="00E524AF">
        <w:rPr>
          <w:rFonts w:cs="Arial"/>
          <w:color w:val="000000" w:themeColor="text1"/>
        </w:rPr>
        <w:t>stát (ministerstvo nebo jím pověřená organizace);</w:t>
      </w:r>
    </w:p>
    <w:p w:rsidR="00941B1A" w:rsidRPr="00E524AF" w:rsidRDefault="00941B1A" w:rsidP="00E524AF">
      <w:pPr>
        <w:pStyle w:val="Odstavecseseznamem"/>
        <w:numPr>
          <w:ilvl w:val="0"/>
          <w:numId w:val="16"/>
        </w:numPr>
        <w:spacing w:before="0" w:after="0"/>
        <w:ind w:left="284" w:hanging="284"/>
        <w:rPr>
          <w:rFonts w:cs="Arial"/>
          <w:color w:val="000000" w:themeColor="text1"/>
        </w:rPr>
      </w:pPr>
      <w:r w:rsidRPr="00E524AF">
        <w:rPr>
          <w:rFonts w:cs="Arial"/>
          <w:color w:val="000000" w:themeColor="text1"/>
        </w:rPr>
        <w:t>akciovou společnost se sídlem na území ČR, jejíž veškeré akcie znějí na jméno a je založena k provozování loterií a jiných podobných her;</w:t>
      </w:r>
    </w:p>
    <w:p w:rsidR="00941B1A" w:rsidRPr="00E524AF" w:rsidRDefault="00941B1A" w:rsidP="00E524AF">
      <w:pPr>
        <w:pStyle w:val="Odstavecseseznamem"/>
        <w:numPr>
          <w:ilvl w:val="0"/>
          <w:numId w:val="16"/>
        </w:numPr>
        <w:spacing w:before="0" w:after="0"/>
        <w:ind w:left="284" w:hanging="284"/>
        <w:rPr>
          <w:rFonts w:cs="Arial"/>
          <w:color w:val="000000" w:themeColor="text1"/>
        </w:rPr>
      </w:pPr>
      <w:r w:rsidRPr="00E524AF">
        <w:rPr>
          <w:rFonts w:cs="Arial"/>
          <w:color w:val="000000" w:themeColor="text1"/>
        </w:rPr>
        <w:t>právnickou osobu v souladu s obchodním zákoníkem (VHP).</w:t>
      </w:r>
    </w:p>
    <w:p w:rsidR="00E524AF" w:rsidRPr="00E524AF" w:rsidRDefault="00E524AF" w:rsidP="00E524AF">
      <w:pPr>
        <w:spacing w:before="0" w:after="0"/>
        <w:rPr>
          <w:rFonts w:cs="Arial"/>
          <w:color w:val="000000" w:themeColor="text1"/>
        </w:rPr>
      </w:pPr>
    </w:p>
    <w:p w:rsidR="00941B1A" w:rsidRPr="00E524AF" w:rsidRDefault="00941B1A" w:rsidP="00E524AF">
      <w:pPr>
        <w:spacing w:before="0" w:after="0"/>
        <w:rPr>
          <w:rFonts w:cs="Arial"/>
          <w:color w:val="000000" w:themeColor="text1"/>
        </w:rPr>
      </w:pPr>
      <w:r w:rsidRPr="00E524AF">
        <w:rPr>
          <w:rFonts w:cs="Arial"/>
          <w:b/>
          <w:color w:val="000000" w:themeColor="text1"/>
        </w:rPr>
        <w:t>Sázková hra</w:t>
      </w:r>
      <w:r w:rsidRPr="00E524AF">
        <w:rPr>
          <w:rFonts w:cs="Arial"/>
          <w:color w:val="000000" w:themeColor="text1"/>
        </w:rPr>
        <w:t xml:space="preserve"> je hra, u které je předpokladem účasti složení vkladu. Sázkové hry jsou:</w:t>
      </w:r>
    </w:p>
    <w:p w:rsidR="00941B1A" w:rsidRPr="00E524AF" w:rsidRDefault="00941B1A" w:rsidP="00E524AF">
      <w:pPr>
        <w:pStyle w:val="Odstavecseseznamem"/>
        <w:numPr>
          <w:ilvl w:val="0"/>
          <w:numId w:val="15"/>
        </w:numPr>
        <w:spacing w:before="0" w:after="0"/>
        <w:ind w:left="284" w:hanging="284"/>
        <w:rPr>
          <w:rFonts w:cs="Arial"/>
          <w:color w:val="000000" w:themeColor="text1"/>
        </w:rPr>
      </w:pPr>
      <w:r w:rsidRPr="00E524AF">
        <w:rPr>
          <w:rFonts w:cs="Arial"/>
          <w:color w:val="000000" w:themeColor="text1"/>
        </w:rPr>
        <w:t>sázková hra provozovaná pomocí VHP;</w:t>
      </w:r>
    </w:p>
    <w:p w:rsidR="00941B1A" w:rsidRPr="00E524AF" w:rsidRDefault="00941B1A" w:rsidP="00E524AF">
      <w:pPr>
        <w:pStyle w:val="Odstavecseseznamem"/>
        <w:numPr>
          <w:ilvl w:val="0"/>
          <w:numId w:val="15"/>
        </w:numPr>
        <w:spacing w:before="0" w:after="0"/>
        <w:ind w:left="284" w:hanging="284"/>
        <w:rPr>
          <w:rFonts w:cs="Arial"/>
          <w:color w:val="000000" w:themeColor="text1"/>
        </w:rPr>
      </w:pPr>
      <w:r w:rsidRPr="00E524AF">
        <w:rPr>
          <w:rFonts w:cs="Arial"/>
          <w:color w:val="000000" w:themeColor="text1"/>
        </w:rPr>
        <w:t>sázková hra, kdy je výhra podmíněna uhodnutím výsledků nebo pořadí ve sportovních soutěží</w:t>
      </w:r>
      <w:r w:rsidR="00244877">
        <w:rPr>
          <w:rFonts w:cs="Arial"/>
          <w:color w:val="000000" w:themeColor="text1"/>
        </w:rPr>
        <w:t>ch</w:t>
      </w:r>
      <w:r w:rsidRPr="00E524AF">
        <w:rPr>
          <w:rFonts w:cs="Arial"/>
          <w:color w:val="000000" w:themeColor="text1"/>
        </w:rPr>
        <w:t>;</w:t>
      </w:r>
    </w:p>
    <w:p w:rsidR="00941B1A" w:rsidRPr="00E524AF" w:rsidRDefault="00941B1A" w:rsidP="00E524AF">
      <w:pPr>
        <w:pStyle w:val="Odstavecseseznamem"/>
        <w:numPr>
          <w:ilvl w:val="0"/>
          <w:numId w:val="15"/>
        </w:numPr>
        <w:spacing w:before="0" w:after="0"/>
        <w:ind w:left="284" w:hanging="284"/>
        <w:rPr>
          <w:rFonts w:cs="Arial"/>
          <w:color w:val="000000" w:themeColor="text1"/>
        </w:rPr>
      </w:pPr>
      <w:r w:rsidRPr="00E524AF">
        <w:rPr>
          <w:rFonts w:cs="Arial"/>
          <w:color w:val="000000" w:themeColor="text1"/>
        </w:rPr>
        <w:t>sázkové hry provozované pomocí žetonů s kombinací 15 čísel v číselné řadě od 1 do 90;</w:t>
      </w:r>
    </w:p>
    <w:p w:rsidR="00941B1A" w:rsidRPr="00E524AF" w:rsidRDefault="00941B1A" w:rsidP="00E524AF">
      <w:pPr>
        <w:pStyle w:val="Odstavecseseznamem"/>
        <w:numPr>
          <w:ilvl w:val="0"/>
          <w:numId w:val="15"/>
        </w:numPr>
        <w:spacing w:before="0" w:after="0"/>
        <w:ind w:left="284" w:hanging="284"/>
        <w:rPr>
          <w:rFonts w:cs="Arial"/>
          <w:color w:val="000000" w:themeColor="text1"/>
        </w:rPr>
      </w:pPr>
      <w:r w:rsidRPr="00E524AF">
        <w:rPr>
          <w:rFonts w:cs="Arial"/>
          <w:color w:val="000000" w:themeColor="text1"/>
        </w:rPr>
        <w:t>kursové sázky;</w:t>
      </w:r>
    </w:p>
    <w:p w:rsidR="00941B1A" w:rsidRPr="00E524AF" w:rsidRDefault="00941B1A" w:rsidP="00E524AF">
      <w:pPr>
        <w:pStyle w:val="Odstavecseseznamem"/>
        <w:numPr>
          <w:ilvl w:val="0"/>
          <w:numId w:val="15"/>
        </w:numPr>
        <w:spacing w:before="0" w:after="0"/>
        <w:ind w:left="284" w:hanging="284"/>
        <w:rPr>
          <w:rFonts w:cs="Arial"/>
          <w:color w:val="000000" w:themeColor="text1"/>
        </w:rPr>
      </w:pPr>
      <w:r w:rsidRPr="00E524AF">
        <w:rPr>
          <w:rFonts w:cs="Arial"/>
          <w:color w:val="000000" w:themeColor="text1"/>
        </w:rPr>
        <w:t>sázkové hry provozované v kasinech;</w:t>
      </w:r>
    </w:p>
    <w:p w:rsidR="00941B1A" w:rsidRPr="00E524AF" w:rsidRDefault="00941B1A" w:rsidP="00E524AF">
      <w:pPr>
        <w:pStyle w:val="Odstavecseseznamem"/>
        <w:numPr>
          <w:ilvl w:val="0"/>
          <w:numId w:val="15"/>
        </w:numPr>
        <w:spacing w:before="0" w:after="0"/>
        <w:ind w:left="284" w:hanging="284"/>
        <w:rPr>
          <w:rFonts w:cs="Arial"/>
          <w:color w:val="000000" w:themeColor="text1"/>
        </w:rPr>
      </w:pPr>
      <w:r w:rsidRPr="00E524AF">
        <w:rPr>
          <w:rFonts w:cs="Arial"/>
          <w:color w:val="000000" w:themeColor="text1"/>
        </w:rPr>
        <w:t>sázení po telefonu;</w:t>
      </w:r>
    </w:p>
    <w:p w:rsidR="00941B1A" w:rsidRPr="00E524AF" w:rsidRDefault="00941B1A" w:rsidP="00E524AF">
      <w:pPr>
        <w:pStyle w:val="Odstavecseseznamem"/>
        <w:numPr>
          <w:ilvl w:val="0"/>
          <w:numId w:val="15"/>
        </w:numPr>
        <w:spacing w:before="0" w:after="0"/>
        <w:ind w:left="284" w:hanging="284"/>
        <w:rPr>
          <w:rFonts w:cs="Arial"/>
          <w:color w:val="000000" w:themeColor="text1"/>
        </w:rPr>
      </w:pPr>
      <w:r w:rsidRPr="00E524AF">
        <w:rPr>
          <w:rFonts w:cs="Arial"/>
          <w:color w:val="000000" w:themeColor="text1"/>
        </w:rPr>
        <w:t>dostihové sázky.</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Tombola</w:t>
      </w:r>
      <w:r w:rsidRPr="00E524AF">
        <w:rPr>
          <w:rFonts w:cs="Arial"/>
          <w:color w:val="000000" w:themeColor="text1"/>
        </w:rPr>
        <w:t xml:space="preserve"> je hra, při které se do slosování zahrnou pouze prodané losy. Losy se prodávají a</w:t>
      </w:r>
      <w:r w:rsidR="00543379" w:rsidRPr="00E524AF">
        <w:rPr>
          <w:rFonts w:cs="Arial"/>
          <w:color w:val="000000" w:themeColor="text1"/>
        </w:rPr>
        <w:t> </w:t>
      </w:r>
      <w:r w:rsidRPr="00E524AF">
        <w:rPr>
          <w:rFonts w:cs="Arial"/>
          <w:color w:val="000000" w:themeColor="text1"/>
        </w:rPr>
        <w:t>výhry vydávají v den a na místě slosování.</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Výherní hrací přístroj</w:t>
      </w:r>
      <w:r w:rsidRPr="00E524AF">
        <w:rPr>
          <w:rFonts w:cs="Arial"/>
          <w:color w:val="000000" w:themeColor="text1"/>
        </w:rPr>
        <w:t xml:space="preserve"> (VHP) je kompaktní, funkčně nedělitelné a programově řízené technické zařízení</w:t>
      </w:r>
      <w:r w:rsidR="00543379" w:rsidRPr="00E524AF">
        <w:rPr>
          <w:rFonts w:cs="Arial"/>
          <w:color w:val="000000" w:themeColor="text1"/>
        </w:rPr>
        <w:t xml:space="preserve"> </w:t>
      </w:r>
      <w:r w:rsidRPr="00E524AF">
        <w:rPr>
          <w:rFonts w:cs="Arial"/>
          <w:color w:val="000000" w:themeColor="text1"/>
        </w:rPr>
        <w:t>s ovládáním</w:t>
      </w:r>
      <w:r w:rsidR="0054606A">
        <w:rPr>
          <w:rFonts w:cs="Arial"/>
          <w:color w:val="000000" w:themeColor="text1"/>
        </w:rPr>
        <w:t>,</w:t>
      </w:r>
      <w:r w:rsidRPr="00E524AF">
        <w:rPr>
          <w:rFonts w:cs="Arial"/>
          <w:color w:val="000000" w:themeColor="text1"/>
        </w:rPr>
        <w:t xml:space="preserve"> určené pro jednoho hráče. </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 xml:space="preserve">Vyúčtování </w:t>
      </w:r>
      <w:r w:rsidRPr="00E524AF">
        <w:rPr>
          <w:rFonts w:cs="Arial"/>
          <w:color w:val="000000" w:themeColor="text1"/>
        </w:rPr>
        <w:t>obsahuje údaj o přijatých vkladech (sázkách) a vyplacených výhrách. Provozovatel je povinen vyúčtování předložit orgánu státního dozoru a v opise orgánu, který</w:t>
      </w:r>
      <w:r w:rsidR="00E524AF">
        <w:rPr>
          <w:rFonts w:cs="Arial"/>
          <w:color w:val="000000" w:themeColor="text1"/>
        </w:rPr>
        <w:t xml:space="preserve"> loterii nebo tombolu povolil.</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cs="Arial"/>
          <w:color w:val="000000" w:themeColor="text1"/>
        </w:rPr>
      </w:pPr>
      <w:r w:rsidRPr="00E524AF">
        <w:rPr>
          <w:rFonts w:cs="Arial"/>
          <w:b/>
          <w:color w:val="000000" w:themeColor="text1"/>
        </w:rPr>
        <w:t xml:space="preserve">Živá hra </w:t>
      </w:r>
      <w:r w:rsidRPr="00E524AF">
        <w:rPr>
          <w:rFonts w:cs="Arial"/>
          <w:color w:val="000000" w:themeColor="text1"/>
        </w:rPr>
        <w:t>jsou sázkové hry povolené podle § 2 písm. i), u kterých je hra uskutečňována s obsluhou zástupce provozovatele.</w:t>
      </w:r>
    </w:p>
    <w:p w:rsidR="00E524AF" w:rsidRPr="00E524AF" w:rsidRDefault="00E524AF" w:rsidP="00E524AF">
      <w:pPr>
        <w:spacing w:before="0" w:after="0"/>
        <w:rPr>
          <w:rFonts w:cs="Arial"/>
          <w:color w:val="000000" w:themeColor="text1"/>
        </w:rPr>
      </w:pPr>
    </w:p>
    <w:p w:rsidR="00941B1A" w:rsidRDefault="00941B1A" w:rsidP="00E524AF">
      <w:pPr>
        <w:spacing w:before="0" w:after="0"/>
        <w:rPr>
          <w:rFonts w:eastAsia="Times New Roman"/>
          <w:color w:val="000000" w:themeColor="text1"/>
        </w:rPr>
      </w:pPr>
      <w:r w:rsidRPr="00E524AF">
        <w:rPr>
          <w:rFonts w:eastAsia="Times New Roman"/>
          <w:b/>
          <w:bCs/>
          <w:color w:val="000000" w:themeColor="text1"/>
        </w:rPr>
        <w:t>Záloha na odvod z LJPH</w:t>
      </w:r>
      <w:r w:rsidRPr="00E524AF">
        <w:rPr>
          <w:rFonts w:eastAsia="Times New Roman"/>
          <w:color w:val="000000" w:themeColor="text1"/>
        </w:rPr>
        <w:t xml:space="preserve"> je placena čtvrtletně a spravuje se jako daň podle daňového řádu. Záloha se neplatí za poslední čtvrtletí odvodového období.</w:t>
      </w:r>
    </w:p>
    <w:p w:rsidR="00E524AF" w:rsidRPr="00E524AF" w:rsidRDefault="00E524AF" w:rsidP="00E524AF">
      <w:pPr>
        <w:spacing w:before="0" w:after="0"/>
        <w:rPr>
          <w:rFonts w:eastAsia="Times New Roman"/>
          <w:color w:val="000000" w:themeColor="text1"/>
        </w:rPr>
      </w:pPr>
    </w:p>
    <w:p w:rsidR="00941B1A" w:rsidRDefault="00941B1A" w:rsidP="00E524AF">
      <w:pPr>
        <w:spacing w:before="0" w:after="0"/>
        <w:rPr>
          <w:rFonts w:eastAsia="Times New Roman"/>
          <w:color w:val="000000" w:themeColor="text1"/>
        </w:rPr>
      </w:pPr>
      <w:r w:rsidRPr="00E524AF">
        <w:rPr>
          <w:rFonts w:eastAsia="Times New Roman"/>
          <w:b/>
          <w:bCs/>
          <w:color w:val="000000" w:themeColor="text1"/>
        </w:rPr>
        <w:t>Poplatníkem odvodu</w:t>
      </w:r>
      <w:r w:rsidRPr="00E524AF">
        <w:rPr>
          <w:rFonts w:eastAsia="Times New Roman"/>
          <w:color w:val="000000" w:themeColor="text1"/>
        </w:rPr>
        <w:t xml:space="preserve"> je podle § 41 zákona provozovatel loterie nebo jiné podobné hry, kterým může být jen právnická osoba se sídlem na území České republiky, které oprávněný orgán vydal povolení k provozování loterie nebo jiné podobné hry (§ 1 odst. 7 zákona).</w:t>
      </w:r>
    </w:p>
    <w:p w:rsidR="00E524AF" w:rsidRDefault="00E524AF" w:rsidP="00E524AF">
      <w:pPr>
        <w:spacing w:before="0" w:after="0"/>
        <w:rPr>
          <w:rFonts w:eastAsia="Times New Roman"/>
          <w:color w:val="000000" w:themeColor="text1"/>
        </w:rPr>
      </w:pPr>
    </w:p>
    <w:p w:rsidR="00820E67" w:rsidRPr="00E524AF" w:rsidRDefault="00820E67" w:rsidP="00E524AF">
      <w:pPr>
        <w:spacing w:before="0" w:after="0"/>
        <w:rPr>
          <w:rFonts w:eastAsia="Times New Roman"/>
          <w:color w:val="000000" w:themeColor="text1"/>
        </w:rPr>
      </w:pPr>
    </w:p>
    <w:p w:rsidR="00941B1A" w:rsidRDefault="00941B1A" w:rsidP="00E524AF">
      <w:pPr>
        <w:spacing w:before="0" w:after="0"/>
        <w:rPr>
          <w:rFonts w:eastAsia="Times New Roman"/>
          <w:color w:val="000000" w:themeColor="text1"/>
        </w:rPr>
      </w:pPr>
      <w:r w:rsidRPr="00E524AF">
        <w:rPr>
          <w:rFonts w:eastAsia="Times New Roman"/>
          <w:b/>
          <w:bCs/>
          <w:color w:val="000000" w:themeColor="text1"/>
        </w:rPr>
        <w:lastRenderedPageBreak/>
        <w:t>Odvodovým obdobím</w:t>
      </w:r>
      <w:r w:rsidRPr="00E524AF">
        <w:rPr>
          <w:rFonts w:eastAsia="Times New Roman"/>
          <w:color w:val="000000" w:themeColor="text1"/>
        </w:rPr>
        <w:t xml:space="preserve"> je kalendářní rok.</w:t>
      </w:r>
    </w:p>
    <w:p w:rsidR="00E524AF" w:rsidRPr="00E524AF" w:rsidRDefault="00E524AF" w:rsidP="00E524AF">
      <w:pPr>
        <w:spacing w:before="0" w:after="0"/>
        <w:rPr>
          <w:rFonts w:eastAsia="Times New Roman"/>
          <w:color w:val="000000" w:themeColor="text1"/>
        </w:rPr>
      </w:pPr>
    </w:p>
    <w:p w:rsidR="00941B1A" w:rsidRDefault="00941B1A" w:rsidP="00E524AF">
      <w:pPr>
        <w:spacing w:before="0" w:after="0"/>
        <w:rPr>
          <w:color w:val="000000" w:themeColor="text1"/>
        </w:rPr>
      </w:pPr>
      <w:r w:rsidRPr="00E524AF">
        <w:rPr>
          <w:b/>
          <w:bCs/>
          <w:color w:val="000000" w:themeColor="text1"/>
        </w:rPr>
        <w:t>Odvodové hlášení</w:t>
      </w:r>
      <w:r w:rsidRPr="00E524AF">
        <w:rPr>
          <w:color w:val="000000" w:themeColor="text1"/>
        </w:rPr>
        <w:t xml:space="preserve"> podává provozovatel LJPH do 25 (20 dní v roce 2014) po skončení kalendářního čtvrtletí a uvádí v něm údaje pro výpočet zálohy na odvod z LJPH. </w:t>
      </w:r>
    </w:p>
    <w:p w:rsidR="00E524AF" w:rsidRPr="00E524AF" w:rsidRDefault="00E524AF" w:rsidP="00E524AF">
      <w:pPr>
        <w:spacing w:before="0" w:after="0"/>
        <w:rPr>
          <w:color w:val="000000" w:themeColor="text1"/>
        </w:rPr>
      </w:pPr>
    </w:p>
    <w:p w:rsidR="00941B1A" w:rsidRPr="00E524AF" w:rsidRDefault="00941B1A" w:rsidP="00E524AF">
      <w:pPr>
        <w:spacing w:before="0" w:after="0"/>
        <w:rPr>
          <w:color w:val="000000" w:themeColor="text1"/>
        </w:rPr>
      </w:pPr>
      <w:r w:rsidRPr="00E524AF">
        <w:rPr>
          <w:b/>
          <w:bCs/>
          <w:color w:val="000000" w:themeColor="text1"/>
        </w:rPr>
        <w:t xml:space="preserve">Odvodové přiznání k LJPH </w:t>
      </w:r>
      <w:r w:rsidRPr="00E524AF">
        <w:rPr>
          <w:bCs/>
          <w:color w:val="000000" w:themeColor="text1"/>
        </w:rPr>
        <w:t>podává provozovatel LJPH do dvou měsíců</w:t>
      </w:r>
      <w:r w:rsidRPr="00E524AF">
        <w:rPr>
          <w:color w:val="000000" w:themeColor="text1"/>
        </w:rPr>
        <w:t xml:space="preserve"> po skončení odvodového období a uvádí v něm údaje pro výpočet odvodové povinnosti. </w:t>
      </w:r>
    </w:p>
    <w:p w:rsidR="00941B1A" w:rsidRPr="00E524AF" w:rsidRDefault="00A34439" w:rsidP="00E524AF">
      <w:pPr>
        <w:spacing w:before="0" w:after="0"/>
        <w:jc w:val="left"/>
        <w:rPr>
          <w:rFonts w:cs="Arial"/>
          <w:color w:val="000000" w:themeColor="text1"/>
          <w:sz w:val="18"/>
          <w:szCs w:val="18"/>
        </w:rPr>
      </w:pPr>
      <w:r w:rsidRPr="00E524AF">
        <w:rPr>
          <w:rFonts w:cs="Arial"/>
          <w:color w:val="000000" w:themeColor="text1"/>
          <w:sz w:val="18"/>
          <w:szCs w:val="18"/>
        </w:rPr>
        <w:br w:type="page"/>
      </w:r>
    </w:p>
    <w:p w:rsidR="0054606A" w:rsidRDefault="0054606A" w:rsidP="007558D7">
      <w:pPr>
        <w:spacing w:before="0" w:after="0"/>
        <w:jc w:val="right"/>
        <w:rPr>
          <w:b/>
        </w:rPr>
      </w:pPr>
      <w:r w:rsidRPr="00E524AF">
        <w:rPr>
          <w:b/>
        </w:rPr>
        <w:lastRenderedPageBreak/>
        <w:t>Příloha č. 2</w:t>
      </w:r>
    </w:p>
    <w:p w:rsidR="0054606A" w:rsidRDefault="0054606A" w:rsidP="00E524AF">
      <w:pPr>
        <w:spacing w:before="0" w:after="0"/>
        <w:rPr>
          <w:b/>
        </w:rPr>
      </w:pPr>
    </w:p>
    <w:p w:rsidR="00941B1A" w:rsidRDefault="00941B1A" w:rsidP="00E524AF">
      <w:pPr>
        <w:spacing w:before="0" w:after="0"/>
        <w:rPr>
          <w:b/>
        </w:rPr>
      </w:pPr>
      <w:r w:rsidRPr="00E524AF">
        <w:rPr>
          <w:b/>
        </w:rPr>
        <w:t>Srovnání způsobu zpoplatnění loterií před a po 1. 1. 2012</w:t>
      </w:r>
    </w:p>
    <w:p w:rsidR="00E524AF" w:rsidRPr="00E524AF" w:rsidRDefault="00E524AF" w:rsidP="00E524AF">
      <w:pPr>
        <w:spacing w:before="0" w:after="0"/>
      </w:pPr>
    </w:p>
    <w:tbl>
      <w:tblPr>
        <w:tblW w:w="0" w:type="auto"/>
        <w:tblCellMar>
          <w:left w:w="0" w:type="dxa"/>
          <w:right w:w="0" w:type="dxa"/>
        </w:tblCellMar>
        <w:tblLook w:val="04A0" w:firstRow="1" w:lastRow="0" w:firstColumn="1" w:lastColumn="0" w:noHBand="0" w:noVBand="1"/>
      </w:tblPr>
      <w:tblGrid>
        <w:gridCol w:w="2086"/>
        <w:gridCol w:w="3895"/>
        <w:gridCol w:w="1570"/>
        <w:gridCol w:w="1568"/>
        <w:gridCol w:w="61"/>
      </w:tblGrid>
      <w:tr w:rsidR="00941B1A" w:rsidRPr="00E524AF" w:rsidTr="00E524AF">
        <w:trPr>
          <w:trHeight w:val="227"/>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Účinnost do 31. 12. 2011</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rPr>
            </w:pPr>
            <w:r w:rsidRPr="00E524AF">
              <w:rPr>
                <w:rFonts w:cs="Arial"/>
                <w:sz w:val="18"/>
                <w:szCs w:val="18"/>
              </w:rPr>
              <w:t> </w:t>
            </w:r>
          </w:p>
        </w:tc>
      </w:tr>
      <w:tr w:rsidR="00941B1A" w:rsidRPr="00E524AF" w:rsidTr="00E524AF">
        <w:trPr>
          <w:trHeight w:val="227"/>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Název poplatku</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center"/>
              <w:rPr>
                <w:rFonts w:cs="Arial"/>
                <w:sz w:val="18"/>
                <w:szCs w:val="18"/>
                <w:lang w:eastAsia="cs-CZ"/>
              </w:rPr>
            </w:pPr>
            <w:r w:rsidRPr="00E524AF">
              <w:rPr>
                <w:rFonts w:cs="Arial"/>
                <w:sz w:val="18"/>
                <w:szCs w:val="18"/>
                <w:lang w:eastAsia="cs-CZ"/>
              </w:rPr>
              <w:t>Sazba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center"/>
              <w:rPr>
                <w:rFonts w:cs="Arial"/>
                <w:sz w:val="18"/>
                <w:szCs w:val="18"/>
                <w:lang w:eastAsia="cs-CZ"/>
              </w:rPr>
            </w:pPr>
            <w:r w:rsidRPr="00E524AF">
              <w:rPr>
                <w:rFonts w:cs="Arial"/>
                <w:sz w:val="18"/>
                <w:szCs w:val="18"/>
                <w:lang w:eastAsia="cs-CZ"/>
              </w:rPr>
              <w:t>Rozpočtové určení</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center"/>
              <w:rPr>
                <w:rFonts w:cs="Arial"/>
                <w:sz w:val="18"/>
                <w:szCs w:val="18"/>
                <w:lang w:eastAsia="cs-CZ"/>
              </w:rPr>
            </w:pPr>
            <w:r w:rsidRPr="00E524AF">
              <w:rPr>
                <w:rFonts w:cs="Arial"/>
                <w:sz w:val="18"/>
                <w:szCs w:val="18"/>
                <w:lang w:eastAsia="cs-CZ"/>
              </w:rPr>
              <w:t>Účelovost použití</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rPr>
            </w:pPr>
            <w:r w:rsidRPr="00E524AF">
              <w:rPr>
                <w:rFonts w:cs="Arial"/>
                <w:sz w:val="18"/>
                <w:szCs w:val="18"/>
              </w:rPr>
              <w:t> </w:t>
            </w:r>
          </w:p>
        </w:tc>
      </w:tr>
      <w:tr w:rsidR="00941B1A" w:rsidRPr="00E524AF" w:rsidTr="00E524AF">
        <w:trPr>
          <w:trHeight w:val="227"/>
        </w:trPr>
        <w:tc>
          <w:tcPr>
            <w:tcW w:w="0" w:type="auto"/>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Odvod na správní dozor</w:t>
            </w:r>
          </w:p>
        </w:tc>
        <w:tc>
          <w:tcPr>
            <w:tcW w:w="0" w:type="auto"/>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244877">
            <w:pPr>
              <w:spacing w:before="0" w:after="0"/>
              <w:jc w:val="left"/>
              <w:rPr>
                <w:rFonts w:cs="Arial"/>
                <w:sz w:val="18"/>
                <w:szCs w:val="18"/>
                <w:lang w:eastAsia="cs-CZ"/>
              </w:rPr>
            </w:pPr>
            <w:r w:rsidRPr="00E524AF">
              <w:rPr>
                <w:rFonts w:cs="Arial"/>
                <w:sz w:val="18"/>
                <w:szCs w:val="18"/>
                <w:lang w:eastAsia="cs-CZ"/>
              </w:rPr>
              <w:t>1 % z příjmu ze sázkových her sníženého o</w:t>
            </w:r>
            <w:r w:rsidR="00244877">
              <w:rPr>
                <w:rFonts w:cs="Arial"/>
                <w:sz w:val="18"/>
                <w:szCs w:val="18"/>
                <w:lang w:eastAsia="cs-CZ"/>
              </w:rPr>
              <w:t> </w:t>
            </w:r>
            <w:r w:rsidRPr="00E524AF">
              <w:rPr>
                <w:rFonts w:cs="Arial"/>
                <w:sz w:val="18"/>
                <w:szCs w:val="18"/>
                <w:lang w:eastAsia="cs-CZ"/>
              </w:rPr>
              <w:t>vyplacené výhry</w:t>
            </w:r>
          </w:p>
        </w:tc>
        <w:tc>
          <w:tcPr>
            <w:tcW w:w="0" w:type="auto"/>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Státní rozpočet</w:t>
            </w:r>
          </w:p>
        </w:tc>
        <w:tc>
          <w:tcPr>
            <w:tcW w:w="0" w:type="auto"/>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Neúčelový, náklady státního dozoru</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lang w:eastAsia="cs-CZ"/>
              </w:rPr>
            </w:pPr>
          </w:p>
        </w:tc>
      </w:tr>
      <w:tr w:rsidR="00941B1A" w:rsidRPr="00E524AF" w:rsidTr="00E524AF">
        <w:trPr>
          <w:trHeight w:val="227"/>
        </w:trPr>
        <w:tc>
          <w:tcPr>
            <w:tcW w:w="0" w:type="auto"/>
            <w:vMerge/>
            <w:tcBorders>
              <w:top w:val="nil"/>
              <w:left w:val="single" w:sz="8" w:space="0" w:color="000000"/>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0" w:type="auto"/>
            <w:vMerge/>
            <w:tcBorders>
              <w:top w:val="nil"/>
              <w:left w:val="nil"/>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0" w:type="auto"/>
            <w:vMerge/>
            <w:tcBorders>
              <w:top w:val="nil"/>
              <w:left w:val="nil"/>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0" w:type="auto"/>
            <w:vMerge/>
            <w:tcBorders>
              <w:top w:val="nil"/>
              <w:left w:val="nil"/>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lang w:eastAsia="cs-CZ"/>
              </w:rPr>
            </w:pPr>
          </w:p>
        </w:tc>
      </w:tr>
      <w:tr w:rsidR="00941B1A" w:rsidRPr="00E524AF" w:rsidTr="00E524AF">
        <w:trPr>
          <w:trHeight w:val="227"/>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 xml:space="preserve">Odvod na veřejně prospěšné účely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244877">
            <w:pPr>
              <w:spacing w:before="0" w:after="0"/>
              <w:jc w:val="left"/>
              <w:rPr>
                <w:rFonts w:cs="Arial"/>
                <w:sz w:val="18"/>
                <w:szCs w:val="18"/>
                <w:lang w:eastAsia="cs-CZ"/>
              </w:rPr>
            </w:pPr>
            <w:r w:rsidRPr="00E524AF">
              <w:rPr>
                <w:rFonts w:cs="Arial"/>
                <w:sz w:val="18"/>
                <w:szCs w:val="18"/>
                <w:lang w:eastAsia="cs-CZ"/>
              </w:rPr>
              <w:t>6 % až 20 % z rozdílu mezi vsazeno/vyplaceno, rozdíl dále snížen o</w:t>
            </w:r>
            <w:r w:rsidR="00244877">
              <w:rPr>
                <w:rFonts w:cs="Arial"/>
                <w:sz w:val="18"/>
                <w:szCs w:val="18"/>
                <w:lang w:eastAsia="cs-CZ"/>
              </w:rPr>
              <w:t> </w:t>
            </w:r>
            <w:r w:rsidRPr="00E524AF">
              <w:rPr>
                <w:rFonts w:cs="Arial"/>
                <w:sz w:val="18"/>
                <w:szCs w:val="18"/>
                <w:lang w:eastAsia="cs-CZ"/>
              </w:rPr>
              <w:t xml:space="preserve">správní a místní poplatky, odvod na státní dozor </w:t>
            </w:r>
            <w:r w:rsidR="00244877">
              <w:rPr>
                <w:rFonts w:cs="Arial"/>
                <w:sz w:val="18"/>
                <w:szCs w:val="18"/>
                <w:lang w:eastAsia="cs-CZ"/>
              </w:rPr>
              <w:t>–</w:t>
            </w:r>
            <w:r w:rsidRPr="00E524AF">
              <w:rPr>
                <w:rFonts w:cs="Arial"/>
                <w:sz w:val="18"/>
                <w:szCs w:val="18"/>
                <w:lang w:eastAsia="cs-CZ"/>
              </w:rPr>
              <w:t xml:space="preserve"> sazba se uplatnila dle výše rozdílu ze všech provozovatelem provozovaných her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F428E5">
            <w:pPr>
              <w:spacing w:before="0" w:after="0"/>
              <w:jc w:val="left"/>
              <w:rPr>
                <w:rFonts w:cs="Arial"/>
                <w:sz w:val="18"/>
                <w:szCs w:val="18"/>
                <w:lang w:eastAsia="cs-CZ"/>
              </w:rPr>
            </w:pPr>
            <w:r w:rsidRPr="00E524AF">
              <w:rPr>
                <w:rFonts w:cs="Arial"/>
                <w:sz w:val="18"/>
                <w:szCs w:val="18"/>
                <w:lang w:eastAsia="cs-CZ"/>
              </w:rPr>
              <w:t>Vybrané subjekty</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F428E5">
            <w:pPr>
              <w:spacing w:before="0" w:after="0"/>
              <w:jc w:val="left"/>
              <w:rPr>
                <w:rFonts w:cs="Arial"/>
                <w:sz w:val="18"/>
                <w:szCs w:val="18"/>
                <w:lang w:eastAsia="cs-CZ"/>
              </w:rPr>
            </w:pPr>
            <w:r w:rsidRPr="00E524AF">
              <w:rPr>
                <w:rFonts w:cs="Arial"/>
                <w:sz w:val="18"/>
                <w:szCs w:val="18"/>
                <w:lang w:eastAsia="cs-CZ"/>
              </w:rPr>
              <w:t>Sociální, zdravotní, sportovní, ekologický, kulturní nebo jinak veřejně prospěšný účel</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rPr>
            </w:pPr>
            <w:r w:rsidRPr="00E524AF">
              <w:rPr>
                <w:rFonts w:cs="Arial"/>
                <w:sz w:val="18"/>
                <w:szCs w:val="18"/>
              </w:rPr>
              <w:t> </w:t>
            </w:r>
          </w:p>
        </w:tc>
      </w:tr>
      <w:tr w:rsidR="00941B1A" w:rsidRPr="00E524AF" w:rsidTr="00E524AF">
        <w:trPr>
          <w:trHeight w:val="227"/>
        </w:trPr>
        <w:tc>
          <w:tcPr>
            <w:tcW w:w="0" w:type="auto"/>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F428E5">
            <w:pPr>
              <w:spacing w:before="0" w:after="0"/>
              <w:jc w:val="left"/>
              <w:rPr>
                <w:rFonts w:cs="Arial"/>
                <w:sz w:val="18"/>
                <w:szCs w:val="18"/>
                <w:lang w:eastAsia="cs-CZ"/>
              </w:rPr>
            </w:pPr>
            <w:r w:rsidRPr="00E524AF">
              <w:rPr>
                <w:rFonts w:cs="Arial"/>
                <w:sz w:val="18"/>
                <w:szCs w:val="18"/>
                <w:lang w:eastAsia="cs-CZ"/>
              </w:rPr>
              <w:t>Správní poplatek za vydání povolení, u</w:t>
            </w:r>
            <w:r w:rsidR="00244877">
              <w:rPr>
                <w:rFonts w:cs="Arial"/>
                <w:sz w:val="18"/>
                <w:szCs w:val="18"/>
                <w:lang w:eastAsia="cs-CZ"/>
              </w:rPr>
              <w:t> </w:t>
            </w:r>
            <w:r w:rsidRPr="00E524AF">
              <w:rPr>
                <w:rFonts w:cs="Arial"/>
                <w:sz w:val="18"/>
                <w:szCs w:val="18"/>
                <w:lang w:eastAsia="cs-CZ"/>
              </w:rPr>
              <w:t>VHP za každé zařízení nebo koncové hrací místo</w:t>
            </w:r>
          </w:p>
        </w:tc>
        <w:tc>
          <w:tcPr>
            <w:tcW w:w="0" w:type="auto"/>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F428E5">
            <w:pPr>
              <w:spacing w:before="0" w:after="0"/>
              <w:jc w:val="left"/>
              <w:rPr>
                <w:rFonts w:cs="Arial"/>
                <w:sz w:val="18"/>
                <w:szCs w:val="18"/>
                <w:lang w:eastAsia="cs-CZ"/>
              </w:rPr>
            </w:pPr>
            <w:r w:rsidRPr="00E524AF">
              <w:rPr>
                <w:rFonts w:cs="Arial"/>
                <w:sz w:val="18"/>
                <w:szCs w:val="18"/>
                <w:lang w:eastAsia="cs-CZ"/>
              </w:rPr>
              <w:t>Pevná částka až 10 mil. Kč nebo 10 % z rozdílu mezi vsazenými částkami a výhrami vyplacenými sázejícím za rok nebo úhrnnou cenou emise losů a předpokládaných vyplacených výher. Maximální pevná částka neplatila pro sázkové hry v kasinu dle § 2 písm. i) zákona č. 202/1990 Sb. a sázkové hry dle § 2 písm. g). Správní poplatek za každý druh hry</w:t>
            </w: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41B1A" w:rsidRPr="00E524AF" w:rsidRDefault="00941B1A" w:rsidP="00244877">
            <w:pPr>
              <w:spacing w:before="0" w:after="0"/>
              <w:jc w:val="left"/>
              <w:rPr>
                <w:rFonts w:cs="Arial"/>
                <w:sz w:val="18"/>
                <w:szCs w:val="18"/>
                <w:lang w:eastAsia="cs-CZ"/>
              </w:rPr>
            </w:pPr>
            <w:r w:rsidRPr="00E524AF">
              <w:rPr>
                <w:rFonts w:cs="Arial"/>
                <w:sz w:val="18"/>
                <w:szCs w:val="18"/>
                <w:lang w:eastAsia="cs-CZ"/>
              </w:rPr>
              <w:t>Státní rozpočet</w:t>
            </w:r>
            <w:r w:rsidR="00244877">
              <w:rPr>
                <w:rFonts w:cs="Arial"/>
                <w:sz w:val="18"/>
                <w:szCs w:val="18"/>
                <w:lang w:eastAsia="cs-CZ"/>
              </w:rPr>
              <w:t>,</w:t>
            </w:r>
            <w:r w:rsidRPr="00E524AF">
              <w:rPr>
                <w:rFonts w:cs="Arial"/>
                <w:sz w:val="18"/>
                <w:szCs w:val="18"/>
                <w:lang w:eastAsia="cs-CZ"/>
              </w:rPr>
              <w:t xml:space="preserve"> resp. obec u jí povolované loterie</w:t>
            </w:r>
          </w:p>
        </w:tc>
        <w:tc>
          <w:tcPr>
            <w:tcW w:w="0" w:type="auto"/>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Neúčelový</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lang w:eastAsia="cs-CZ"/>
              </w:rPr>
            </w:pPr>
          </w:p>
        </w:tc>
      </w:tr>
      <w:tr w:rsidR="00941B1A" w:rsidRPr="00E524AF" w:rsidTr="00E524AF">
        <w:trPr>
          <w:trHeight w:val="227"/>
        </w:trPr>
        <w:tc>
          <w:tcPr>
            <w:tcW w:w="0" w:type="auto"/>
            <w:vMerge/>
            <w:tcBorders>
              <w:top w:val="nil"/>
              <w:left w:val="single" w:sz="8" w:space="0" w:color="000000"/>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0" w:type="auto"/>
            <w:vMerge/>
            <w:tcBorders>
              <w:top w:val="nil"/>
              <w:left w:val="nil"/>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244877">
            <w:pPr>
              <w:spacing w:before="0" w:after="0"/>
              <w:jc w:val="left"/>
              <w:rPr>
                <w:rFonts w:cs="Arial"/>
                <w:sz w:val="18"/>
                <w:szCs w:val="18"/>
                <w:lang w:eastAsia="cs-CZ"/>
              </w:rPr>
            </w:pPr>
            <w:r w:rsidRPr="00E524AF">
              <w:rPr>
                <w:rFonts w:cs="Arial"/>
                <w:sz w:val="18"/>
                <w:szCs w:val="18"/>
                <w:lang w:eastAsia="cs-CZ"/>
              </w:rPr>
              <w:t>U VHP 50 % rozpočty územní samosprávy a</w:t>
            </w:r>
            <w:r w:rsidR="00244877">
              <w:rPr>
                <w:rFonts w:cs="Arial"/>
                <w:sz w:val="18"/>
                <w:szCs w:val="18"/>
                <w:lang w:eastAsia="cs-CZ"/>
              </w:rPr>
              <w:t> </w:t>
            </w:r>
            <w:r w:rsidRPr="00E524AF">
              <w:rPr>
                <w:rFonts w:cs="Arial"/>
                <w:sz w:val="18"/>
                <w:szCs w:val="18"/>
                <w:lang w:eastAsia="cs-CZ"/>
              </w:rPr>
              <w:t>50 % státní rozpočet</w:t>
            </w:r>
          </w:p>
        </w:tc>
        <w:tc>
          <w:tcPr>
            <w:tcW w:w="0" w:type="auto"/>
            <w:vMerge/>
            <w:tcBorders>
              <w:top w:val="nil"/>
              <w:left w:val="nil"/>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lang w:eastAsia="cs-CZ"/>
              </w:rPr>
            </w:pPr>
          </w:p>
        </w:tc>
      </w:tr>
      <w:tr w:rsidR="00941B1A" w:rsidRPr="00E524AF" w:rsidTr="00E524AF">
        <w:trPr>
          <w:trHeight w:val="227"/>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D36987">
            <w:pPr>
              <w:spacing w:before="0" w:after="0"/>
              <w:jc w:val="left"/>
              <w:rPr>
                <w:rFonts w:cs="Arial"/>
                <w:sz w:val="18"/>
                <w:szCs w:val="18"/>
                <w:lang w:eastAsia="cs-CZ"/>
              </w:rPr>
            </w:pPr>
            <w:r w:rsidRPr="00E524AF">
              <w:rPr>
                <w:rFonts w:cs="Arial"/>
                <w:sz w:val="18"/>
                <w:szCs w:val="18"/>
                <w:lang w:eastAsia="cs-CZ"/>
              </w:rPr>
              <w:t xml:space="preserve">Místní poplatky </w:t>
            </w:r>
            <w:r w:rsidR="00244877">
              <w:rPr>
                <w:rFonts w:cs="Arial"/>
                <w:sz w:val="18"/>
                <w:szCs w:val="18"/>
                <w:lang w:eastAsia="cs-CZ"/>
              </w:rPr>
              <w:t>–</w:t>
            </w:r>
            <w:r w:rsidRPr="00E524AF">
              <w:rPr>
                <w:rFonts w:cs="Arial"/>
                <w:sz w:val="18"/>
                <w:szCs w:val="18"/>
                <w:lang w:eastAsia="cs-CZ"/>
              </w:rPr>
              <w:t xml:space="preserve"> poplatek za provozovaný výherní hrací přístroj, koncový interaktivní videoloter</w:t>
            </w:r>
            <w:r w:rsidR="00D36987">
              <w:rPr>
                <w:rFonts w:cs="Arial"/>
                <w:sz w:val="18"/>
                <w:szCs w:val="18"/>
                <w:lang w:eastAsia="cs-CZ"/>
              </w:rPr>
              <w:t>ij</w:t>
            </w:r>
            <w:r w:rsidRPr="00E524AF">
              <w:rPr>
                <w:rFonts w:cs="Arial"/>
                <w:sz w:val="18"/>
                <w:szCs w:val="18"/>
                <w:lang w:eastAsia="cs-CZ"/>
              </w:rPr>
              <w:t>ní terminál a</w:t>
            </w:r>
            <w:r w:rsidR="00D36987">
              <w:rPr>
                <w:rFonts w:cs="Arial"/>
                <w:sz w:val="18"/>
                <w:szCs w:val="18"/>
                <w:lang w:eastAsia="cs-CZ"/>
              </w:rPr>
              <w:t> </w:t>
            </w:r>
            <w:r w:rsidRPr="00E524AF">
              <w:rPr>
                <w:rFonts w:cs="Arial"/>
                <w:sz w:val="18"/>
                <w:szCs w:val="18"/>
                <w:lang w:eastAsia="cs-CZ"/>
              </w:rPr>
              <w:t>herní místo lokálního herního systému</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1 000 Kč – 5 000/měsíc za každý VHP – obec mohla od jeho vybírání upustit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Rozpočty územní samosprávy</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Neúčelový</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rPr>
            </w:pPr>
            <w:r w:rsidRPr="00E524AF">
              <w:rPr>
                <w:rFonts w:cs="Arial"/>
                <w:sz w:val="18"/>
                <w:szCs w:val="18"/>
              </w:rPr>
              <w:t> </w:t>
            </w:r>
          </w:p>
        </w:tc>
      </w:tr>
      <w:tr w:rsidR="00941B1A" w:rsidRPr="00E524AF" w:rsidTr="00E524AF">
        <w:trPr>
          <w:trHeight w:val="227"/>
        </w:trPr>
        <w:tc>
          <w:tcPr>
            <w:tcW w:w="0" w:type="auto"/>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Účinnost od 1. 1. 2012</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rPr>
            </w:pPr>
            <w:r w:rsidRPr="00E524AF">
              <w:rPr>
                <w:rFonts w:cs="Arial"/>
                <w:sz w:val="18"/>
                <w:szCs w:val="18"/>
              </w:rPr>
              <w:t> </w:t>
            </w:r>
          </w:p>
        </w:tc>
      </w:tr>
      <w:tr w:rsidR="00941B1A" w:rsidRPr="00E524AF" w:rsidTr="00E524AF">
        <w:trPr>
          <w:trHeight w:val="227"/>
        </w:trPr>
        <w:tc>
          <w:tcPr>
            <w:tcW w:w="0" w:type="auto"/>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Odvod z loterií</w:t>
            </w:r>
          </w:p>
        </w:tc>
        <w:tc>
          <w:tcPr>
            <w:tcW w:w="0" w:type="auto"/>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F428E5">
            <w:pPr>
              <w:spacing w:before="0" w:after="0"/>
              <w:jc w:val="left"/>
              <w:rPr>
                <w:rFonts w:cs="Arial"/>
                <w:sz w:val="18"/>
                <w:szCs w:val="18"/>
                <w:lang w:eastAsia="cs-CZ"/>
              </w:rPr>
            </w:pPr>
            <w:r w:rsidRPr="00E524AF">
              <w:rPr>
                <w:rFonts w:cs="Arial"/>
                <w:sz w:val="18"/>
                <w:szCs w:val="18"/>
                <w:lang w:eastAsia="cs-CZ"/>
              </w:rPr>
              <w:t>20 % z dílčího základu odvodu, který tvoří částka, o kterou úhrn vsazených částek převyšuje úhrn vyplacených výher. V případě VHP se připočte odvod ve výši 55Kč/za den a</w:t>
            </w:r>
            <w:r w:rsidR="00244877">
              <w:rPr>
                <w:rFonts w:cs="Arial"/>
                <w:sz w:val="18"/>
                <w:szCs w:val="18"/>
                <w:lang w:eastAsia="cs-CZ"/>
              </w:rPr>
              <w:t> </w:t>
            </w:r>
            <w:r w:rsidRPr="00E524AF">
              <w:rPr>
                <w:rFonts w:cs="Arial"/>
                <w:sz w:val="18"/>
                <w:szCs w:val="18"/>
                <w:lang w:eastAsia="cs-CZ"/>
              </w:rPr>
              <w:t>zařízení</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Státní rozpočet</w:t>
            </w:r>
            <w:r w:rsidR="00244877">
              <w:rPr>
                <w:rFonts w:cs="Arial"/>
                <w:sz w:val="18"/>
                <w:szCs w:val="18"/>
                <w:lang w:eastAsia="cs-CZ"/>
              </w:rPr>
              <w:t>:</w:t>
            </w:r>
          </w:p>
          <w:p w:rsidR="00941B1A" w:rsidRPr="00E524AF" w:rsidRDefault="00941B1A" w:rsidP="00F428E5">
            <w:pPr>
              <w:spacing w:before="0" w:after="0"/>
              <w:jc w:val="left"/>
              <w:rPr>
                <w:rFonts w:cs="Arial"/>
                <w:sz w:val="18"/>
                <w:szCs w:val="18"/>
                <w:lang w:eastAsia="cs-CZ"/>
              </w:rPr>
            </w:pPr>
            <w:r w:rsidRPr="00E524AF">
              <w:rPr>
                <w:rFonts w:cs="Arial"/>
                <w:sz w:val="18"/>
                <w:szCs w:val="18"/>
                <w:lang w:eastAsia="cs-CZ"/>
              </w:rPr>
              <w:t>20 % u VHP</w:t>
            </w:r>
            <w:r w:rsidR="00244877">
              <w:rPr>
                <w:rFonts w:cs="Arial"/>
                <w:sz w:val="18"/>
                <w:szCs w:val="18"/>
                <w:lang w:eastAsia="cs-CZ"/>
              </w:rPr>
              <w:t>,</w:t>
            </w:r>
            <w:r w:rsidRPr="00E524AF">
              <w:rPr>
                <w:rFonts w:cs="Arial"/>
                <w:sz w:val="18"/>
                <w:szCs w:val="18"/>
                <w:lang w:eastAsia="cs-CZ"/>
              </w:rPr>
              <w:t xml:space="preserve"> 70 % u ostatních her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Neúčelový</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rPr>
            </w:pPr>
            <w:r w:rsidRPr="00E524AF">
              <w:rPr>
                <w:rFonts w:cs="Arial"/>
                <w:sz w:val="18"/>
                <w:szCs w:val="18"/>
              </w:rPr>
              <w:t> </w:t>
            </w:r>
          </w:p>
        </w:tc>
      </w:tr>
      <w:tr w:rsidR="00941B1A" w:rsidRPr="00E524AF" w:rsidTr="00E524AF">
        <w:trPr>
          <w:trHeight w:val="227"/>
        </w:trPr>
        <w:tc>
          <w:tcPr>
            <w:tcW w:w="0" w:type="auto"/>
            <w:vMerge/>
            <w:tcBorders>
              <w:top w:val="nil"/>
              <w:left w:val="single" w:sz="8" w:space="0" w:color="000000"/>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0" w:type="auto"/>
            <w:vMerge/>
            <w:tcBorders>
              <w:top w:val="nil"/>
              <w:left w:val="nil"/>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Rozpočet územní samosprávy</w:t>
            </w:r>
            <w:r w:rsidR="00244877">
              <w:rPr>
                <w:rFonts w:cs="Arial"/>
                <w:sz w:val="18"/>
                <w:szCs w:val="18"/>
                <w:lang w:eastAsia="cs-CZ"/>
              </w:rPr>
              <w:t>:</w:t>
            </w:r>
          </w:p>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80 % u VHP</w:t>
            </w:r>
            <w:r w:rsidR="00244877">
              <w:rPr>
                <w:rFonts w:cs="Arial"/>
                <w:sz w:val="18"/>
                <w:szCs w:val="18"/>
                <w:lang w:eastAsia="cs-CZ"/>
              </w:rPr>
              <w:t>,</w:t>
            </w:r>
            <w:r w:rsidRPr="00E524AF">
              <w:rPr>
                <w:rFonts w:cs="Arial"/>
                <w:sz w:val="18"/>
                <w:szCs w:val="18"/>
                <w:lang w:eastAsia="cs-CZ"/>
              </w:rPr>
              <w:t xml:space="preserve"> </w:t>
            </w:r>
          </w:p>
          <w:p w:rsidR="00941B1A" w:rsidRPr="00E524AF" w:rsidRDefault="00941B1A" w:rsidP="00244877">
            <w:pPr>
              <w:spacing w:before="0" w:after="0"/>
              <w:jc w:val="left"/>
              <w:rPr>
                <w:rFonts w:cs="Arial"/>
                <w:sz w:val="18"/>
                <w:szCs w:val="18"/>
                <w:lang w:eastAsia="cs-CZ"/>
              </w:rPr>
            </w:pPr>
            <w:r w:rsidRPr="00E524AF">
              <w:rPr>
                <w:rFonts w:cs="Arial"/>
                <w:sz w:val="18"/>
                <w:szCs w:val="18"/>
                <w:lang w:eastAsia="cs-CZ"/>
              </w:rPr>
              <w:t>30 % u</w:t>
            </w:r>
            <w:r w:rsidR="00244877">
              <w:rPr>
                <w:rFonts w:cs="Arial"/>
                <w:sz w:val="18"/>
                <w:szCs w:val="18"/>
                <w:lang w:eastAsia="cs-CZ"/>
              </w:rPr>
              <w:t> </w:t>
            </w:r>
            <w:r w:rsidRPr="00E524AF">
              <w:rPr>
                <w:rFonts w:cs="Arial"/>
                <w:sz w:val="18"/>
                <w:szCs w:val="18"/>
                <w:lang w:eastAsia="cs-CZ"/>
              </w:rPr>
              <w:t>ostatních her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Neúčelový</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rPr>
            </w:pPr>
            <w:r w:rsidRPr="00E524AF">
              <w:rPr>
                <w:rFonts w:cs="Arial"/>
                <w:sz w:val="18"/>
                <w:szCs w:val="18"/>
              </w:rPr>
              <w:t> </w:t>
            </w:r>
          </w:p>
        </w:tc>
      </w:tr>
      <w:tr w:rsidR="00941B1A" w:rsidRPr="00E524AF" w:rsidTr="00E524AF">
        <w:trPr>
          <w:trHeight w:val="227"/>
        </w:trPr>
        <w:tc>
          <w:tcPr>
            <w:tcW w:w="0" w:type="auto"/>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F428E5">
            <w:pPr>
              <w:spacing w:before="0" w:after="0"/>
              <w:jc w:val="left"/>
              <w:rPr>
                <w:rFonts w:cs="Arial"/>
                <w:sz w:val="18"/>
                <w:szCs w:val="18"/>
                <w:lang w:eastAsia="cs-CZ"/>
              </w:rPr>
            </w:pPr>
            <w:r w:rsidRPr="00E524AF">
              <w:rPr>
                <w:rFonts w:cs="Arial"/>
                <w:sz w:val="18"/>
                <w:szCs w:val="18"/>
                <w:lang w:eastAsia="cs-CZ"/>
              </w:rPr>
              <w:t>Správní poplatek</w:t>
            </w:r>
          </w:p>
        </w:tc>
        <w:tc>
          <w:tcPr>
            <w:tcW w:w="0" w:type="auto"/>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5 000 Kč za povolení, 3 000 Kč za změnu</w:t>
            </w: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Státní rozpočet</w:t>
            </w:r>
            <w:r w:rsidR="00244877">
              <w:rPr>
                <w:rFonts w:cs="Arial"/>
                <w:sz w:val="18"/>
                <w:szCs w:val="18"/>
                <w:lang w:eastAsia="cs-CZ"/>
              </w:rPr>
              <w:t>,</w:t>
            </w:r>
            <w:r w:rsidR="00E524AF">
              <w:rPr>
                <w:rFonts w:cs="Arial"/>
                <w:sz w:val="18"/>
                <w:szCs w:val="18"/>
                <w:lang w:eastAsia="cs-CZ"/>
              </w:rPr>
              <w:t xml:space="preserve"> </w:t>
            </w:r>
            <w:r w:rsidRPr="00E524AF">
              <w:rPr>
                <w:rFonts w:cs="Arial"/>
                <w:sz w:val="18"/>
                <w:szCs w:val="18"/>
                <w:lang w:eastAsia="cs-CZ"/>
              </w:rPr>
              <w:t>resp. obec u jí povolované loterie</w:t>
            </w:r>
          </w:p>
        </w:tc>
        <w:tc>
          <w:tcPr>
            <w:tcW w:w="0" w:type="auto"/>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Neúčelový</w:t>
            </w: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lang w:eastAsia="cs-CZ"/>
              </w:rPr>
            </w:pPr>
          </w:p>
        </w:tc>
      </w:tr>
      <w:tr w:rsidR="00941B1A" w:rsidRPr="00E524AF" w:rsidTr="00E524AF">
        <w:trPr>
          <w:trHeight w:val="227"/>
        </w:trPr>
        <w:tc>
          <w:tcPr>
            <w:tcW w:w="0" w:type="auto"/>
            <w:vMerge/>
            <w:tcBorders>
              <w:top w:val="nil"/>
              <w:left w:val="single" w:sz="8" w:space="0" w:color="000000"/>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0" w:type="auto"/>
            <w:vMerge/>
            <w:tcBorders>
              <w:top w:val="nil"/>
              <w:left w:val="nil"/>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1B1A" w:rsidRPr="00E524AF" w:rsidRDefault="00941B1A" w:rsidP="00E524AF">
            <w:pPr>
              <w:spacing w:before="0" w:after="0"/>
              <w:jc w:val="left"/>
              <w:rPr>
                <w:rFonts w:cs="Arial"/>
                <w:sz w:val="18"/>
                <w:szCs w:val="18"/>
                <w:lang w:eastAsia="cs-CZ"/>
              </w:rPr>
            </w:pPr>
            <w:r w:rsidRPr="00E524AF">
              <w:rPr>
                <w:rFonts w:cs="Arial"/>
                <w:sz w:val="18"/>
                <w:szCs w:val="18"/>
                <w:lang w:eastAsia="cs-CZ"/>
              </w:rPr>
              <w:t>U VHP rozpočty územní samosprávy</w:t>
            </w:r>
          </w:p>
        </w:tc>
        <w:tc>
          <w:tcPr>
            <w:tcW w:w="0" w:type="auto"/>
            <w:vMerge/>
            <w:tcBorders>
              <w:top w:val="nil"/>
              <w:left w:val="nil"/>
              <w:bottom w:val="single" w:sz="8" w:space="0" w:color="000000"/>
              <w:right w:val="single" w:sz="8" w:space="0" w:color="000000"/>
            </w:tcBorders>
            <w:vAlign w:val="center"/>
            <w:hideMark/>
          </w:tcPr>
          <w:p w:rsidR="00941B1A" w:rsidRPr="00E524AF" w:rsidRDefault="00941B1A" w:rsidP="00E524AF">
            <w:pPr>
              <w:spacing w:before="0" w:after="0"/>
              <w:jc w:val="left"/>
              <w:rPr>
                <w:rFonts w:cs="Arial"/>
                <w:sz w:val="18"/>
                <w:szCs w:val="18"/>
                <w:lang w:eastAsia="cs-CZ"/>
              </w:rPr>
            </w:pPr>
          </w:p>
        </w:tc>
        <w:tc>
          <w:tcPr>
            <w:tcW w:w="6" w:type="dxa"/>
            <w:tcBorders>
              <w:top w:val="nil"/>
              <w:left w:val="nil"/>
              <w:bottom w:val="nil"/>
              <w:right w:val="nil"/>
            </w:tcBorders>
            <w:vAlign w:val="center"/>
            <w:hideMark/>
          </w:tcPr>
          <w:p w:rsidR="00941B1A" w:rsidRPr="00E524AF" w:rsidRDefault="00941B1A" w:rsidP="00E524AF">
            <w:pPr>
              <w:spacing w:before="0" w:after="0"/>
              <w:rPr>
                <w:rFonts w:cs="Arial"/>
                <w:sz w:val="18"/>
                <w:szCs w:val="18"/>
                <w:lang w:eastAsia="cs-CZ"/>
              </w:rPr>
            </w:pPr>
          </w:p>
        </w:tc>
      </w:tr>
    </w:tbl>
    <w:p w:rsidR="00941B1A" w:rsidRPr="007558D7" w:rsidRDefault="00941B1A" w:rsidP="00E524AF">
      <w:pPr>
        <w:spacing w:before="40" w:after="0"/>
        <w:rPr>
          <w:rFonts w:cs="Arial"/>
          <w:sz w:val="18"/>
          <w:szCs w:val="18"/>
        </w:rPr>
      </w:pPr>
      <w:r w:rsidRPr="007558D7">
        <w:rPr>
          <w:rFonts w:cs="Arial"/>
          <w:b/>
          <w:sz w:val="18"/>
          <w:szCs w:val="18"/>
        </w:rPr>
        <w:t xml:space="preserve">Zdroj: </w:t>
      </w:r>
      <w:r w:rsidRPr="007558D7">
        <w:rPr>
          <w:rFonts w:cs="Arial"/>
          <w:sz w:val="18"/>
          <w:szCs w:val="18"/>
        </w:rPr>
        <w:t>právní předpisy</w:t>
      </w:r>
      <w:r w:rsidR="003432BD" w:rsidRPr="007558D7">
        <w:rPr>
          <w:rFonts w:cs="Arial"/>
          <w:sz w:val="18"/>
          <w:szCs w:val="18"/>
        </w:rPr>
        <w:t>.</w:t>
      </w:r>
    </w:p>
    <w:p w:rsidR="00E524AF" w:rsidRDefault="00E524AF">
      <w:pPr>
        <w:spacing w:before="0" w:after="200" w:line="276" w:lineRule="auto"/>
        <w:jc w:val="left"/>
        <w:rPr>
          <w:rFonts w:cs="Arial"/>
          <w:sz w:val="18"/>
          <w:szCs w:val="18"/>
        </w:rPr>
      </w:pPr>
      <w:r>
        <w:rPr>
          <w:rFonts w:cs="Arial"/>
          <w:sz w:val="18"/>
          <w:szCs w:val="18"/>
        </w:rPr>
        <w:br w:type="page"/>
      </w:r>
    </w:p>
    <w:p w:rsidR="00E524AF" w:rsidRDefault="0054606A" w:rsidP="007558D7">
      <w:pPr>
        <w:spacing w:before="40" w:after="0"/>
        <w:jc w:val="right"/>
        <w:rPr>
          <w:rFonts w:cs="Arial"/>
        </w:rPr>
      </w:pPr>
      <w:r w:rsidRPr="00E524AF">
        <w:rPr>
          <w:rFonts w:eastAsia="Times New Roman"/>
          <w:b/>
        </w:rPr>
        <w:lastRenderedPageBreak/>
        <w:t>Příloha č. 3</w:t>
      </w:r>
    </w:p>
    <w:p w:rsidR="0054606A" w:rsidRPr="0054606A" w:rsidRDefault="0054606A" w:rsidP="00E524AF">
      <w:pPr>
        <w:spacing w:before="40" w:after="0"/>
        <w:rPr>
          <w:rFonts w:cs="Arial"/>
        </w:rPr>
      </w:pPr>
    </w:p>
    <w:p w:rsidR="00E524AF" w:rsidRDefault="00A34439" w:rsidP="00E524AF">
      <w:pPr>
        <w:spacing w:before="0" w:after="0"/>
        <w:rPr>
          <w:rFonts w:eastAsia="Times New Roman"/>
          <w:b/>
        </w:rPr>
      </w:pPr>
      <w:r w:rsidRPr="00E524AF">
        <w:rPr>
          <w:rFonts w:eastAsia="Times New Roman"/>
          <w:b/>
        </w:rPr>
        <w:t>P</w:t>
      </w:r>
      <w:r w:rsidR="00941B1A" w:rsidRPr="00E524AF">
        <w:rPr>
          <w:rFonts w:eastAsia="Times New Roman"/>
          <w:b/>
        </w:rPr>
        <w:t>řehled základních údajů o činnostech souvisejících s LJPH</w:t>
      </w:r>
    </w:p>
    <w:p w:rsidR="00820E67" w:rsidRPr="00E524AF" w:rsidRDefault="00820E67" w:rsidP="00E524AF">
      <w:pPr>
        <w:spacing w:before="0" w:after="0"/>
        <w:rPr>
          <w:rFonts w:eastAsia="Times New Roman"/>
        </w:rPr>
      </w:pPr>
    </w:p>
    <w:tbl>
      <w:tblPr>
        <w:tblStyle w:val="Mkatabulky"/>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54"/>
        <w:gridCol w:w="2126"/>
      </w:tblGrid>
      <w:tr w:rsidR="0088699C" w:rsidRPr="00780501" w:rsidTr="0088699C">
        <w:trPr>
          <w:cantSplit/>
          <w:trHeight w:val="227"/>
        </w:trPr>
        <w:tc>
          <w:tcPr>
            <w:tcW w:w="9180" w:type="dxa"/>
            <w:gridSpan w:val="2"/>
            <w:vAlign w:val="center"/>
          </w:tcPr>
          <w:p w:rsidR="0088699C" w:rsidRPr="00780501" w:rsidRDefault="0088699C" w:rsidP="0088699C">
            <w:pPr>
              <w:spacing w:before="20" w:after="20"/>
              <w:jc w:val="center"/>
              <w:rPr>
                <w:rFonts w:cs="Arial"/>
                <w:b/>
                <w:sz w:val="18"/>
                <w:szCs w:val="18"/>
              </w:rPr>
            </w:pPr>
            <w:bookmarkStart w:id="6" w:name="_MON_1465792807"/>
            <w:bookmarkEnd w:id="6"/>
            <w:r w:rsidRPr="00780501">
              <w:rPr>
                <w:rFonts w:cs="Arial"/>
                <w:b/>
                <w:sz w:val="18"/>
                <w:szCs w:val="18"/>
              </w:rPr>
              <w:t>Významné údaje v roce 2013</w:t>
            </w:r>
          </w:p>
        </w:tc>
      </w:tr>
      <w:tr w:rsidR="0088699C" w:rsidRPr="00780501" w:rsidTr="007558D7">
        <w:trPr>
          <w:cantSplit/>
          <w:trHeight w:val="227"/>
        </w:trPr>
        <w:tc>
          <w:tcPr>
            <w:tcW w:w="9180" w:type="dxa"/>
            <w:gridSpan w:val="2"/>
            <w:shd w:val="clear" w:color="auto" w:fill="D9D9D9" w:themeFill="background1" w:themeFillShade="D9"/>
            <w:vAlign w:val="center"/>
          </w:tcPr>
          <w:p w:rsidR="0088699C" w:rsidRPr="00780501" w:rsidRDefault="0088699C" w:rsidP="007558D7">
            <w:pPr>
              <w:spacing w:before="20" w:after="20"/>
              <w:jc w:val="left"/>
              <w:rPr>
                <w:rFonts w:cs="Arial"/>
                <w:sz w:val="18"/>
                <w:szCs w:val="18"/>
              </w:rPr>
            </w:pPr>
            <w:r w:rsidRPr="00780501">
              <w:rPr>
                <w:rFonts w:cs="Arial"/>
                <w:b/>
                <w:sz w:val="18"/>
                <w:szCs w:val="18"/>
              </w:rPr>
              <w:t>ODVODY A POPLATKY</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sidRPr="00780501">
              <w:rPr>
                <w:rFonts w:cs="Arial"/>
                <w:sz w:val="18"/>
                <w:szCs w:val="18"/>
              </w:rPr>
              <w:t>Celkové poplatkové a odvodové zatížení provozovatelů LJPH</w:t>
            </w:r>
          </w:p>
        </w:tc>
        <w:tc>
          <w:tcPr>
            <w:tcW w:w="2126" w:type="dxa"/>
            <w:vAlign w:val="center"/>
          </w:tcPr>
          <w:p w:rsidR="0088699C" w:rsidRPr="00780501" w:rsidRDefault="0088699C" w:rsidP="0088699C">
            <w:pPr>
              <w:spacing w:before="20" w:after="20"/>
              <w:jc w:val="right"/>
              <w:rPr>
                <w:rFonts w:cs="Arial"/>
                <w:sz w:val="18"/>
                <w:szCs w:val="18"/>
              </w:rPr>
            </w:pPr>
            <w:r w:rsidRPr="00780501">
              <w:rPr>
                <w:rFonts w:cs="Arial"/>
                <w:sz w:val="18"/>
                <w:szCs w:val="18"/>
              </w:rPr>
              <w:t>8 157,7</w:t>
            </w:r>
            <w:r w:rsidR="008107EA">
              <w:rPr>
                <w:rFonts w:cs="Arial"/>
                <w:sz w:val="18"/>
                <w:szCs w:val="18"/>
              </w:rPr>
              <w:t>0</w:t>
            </w:r>
            <w:r w:rsidRPr="00780501">
              <w:rPr>
                <w:rFonts w:cs="Arial"/>
                <w:sz w:val="18"/>
                <w:szCs w:val="18"/>
              </w:rPr>
              <w:t> mil. Kč</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Inkaso odvodu za VHP a JTHZ</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7 113,35 mil. Kč</w:t>
            </w:r>
          </w:p>
        </w:tc>
      </w:tr>
      <w:tr w:rsidR="0088699C" w:rsidRPr="00780501" w:rsidTr="0088699C">
        <w:trPr>
          <w:cantSplit/>
          <w:trHeight w:val="227"/>
        </w:trPr>
        <w:tc>
          <w:tcPr>
            <w:tcW w:w="7054" w:type="dxa"/>
            <w:vAlign w:val="center"/>
          </w:tcPr>
          <w:p w:rsidR="0088699C" w:rsidRPr="001E3A32" w:rsidRDefault="0088699C" w:rsidP="0088699C">
            <w:pPr>
              <w:spacing w:before="20" w:after="20"/>
              <w:jc w:val="right"/>
              <w:rPr>
                <w:rFonts w:cs="Arial"/>
                <w:i/>
                <w:sz w:val="18"/>
                <w:szCs w:val="18"/>
              </w:rPr>
            </w:pPr>
            <w:r w:rsidRPr="001E3A32">
              <w:rPr>
                <w:rFonts w:cs="Arial"/>
                <w:i/>
                <w:sz w:val="18"/>
                <w:szCs w:val="18"/>
              </w:rPr>
              <w:t>z toho: odvedeno obcím</w:t>
            </w:r>
          </w:p>
        </w:tc>
        <w:tc>
          <w:tcPr>
            <w:tcW w:w="2126" w:type="dxa"/>
            <w:vAlign w:val="center"/>
          </w:tcPr>
          <w:p w:rsidR="0088699C" w:rsidRPr="001E3A32" w:rsidRDefault="0088699C" w:rsidP="0088699C">
            <w:pPr>
              <w:spacing w:before="20" w:after="20"/>
              <w:jc w:val="right"/>
              <w:rPr>
                <w:rFonts w:cs="Arial"/>
                <w:i/>
                <w:sz w:val="18"/>
                <w:szCs w:val="18"/>
              </w:rPr>
            </w:pPr>
            <w:r>
              <w:rPr>
                <w:rFonts w:cs="Arial"/>
                <w:i/>
                <w:sz w:val="18"/>
                <w:szCs w:val="18"/>
              </w:rPr>
              <w:t>4 878</w:t>
            </w:r>
            <w:r w:rsidR="008107EA">
              <w:rPr>
                <w:rFonts w:cs="Arial"/>
                <w:i/>
                <w:sz w:val="18"/>
                <w:szCs w:val="18"/>
              </w:rPr>
              <w:t>,00</w:t>
            </w:r>
            <w:r>
              <w:rPr>
                <w:rFonts w:cs="Arial"/>
                <w:i/>
                <w:sz w:val="18"/>
                <w:szCs w:val="18"/>
              </w:rPr>
              <w:t> mil. Kč</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Nedoplatky celkem</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261</w:t>
            </w:r>
            <w:r w:rsidR="008107EA">
              <w:rPr>
                <w:rFonts w:cs="Arial"/>
                <w:sz w:val="18"/>
                <w:szCs w:val="18"/>
              </w:rPr>
              <w:t>,00</w:t>
            </w:r>
            <w:r>
              <w:rPr>
                <w:rFonts w:cs="Arial"/>
                <w:sz w:val="18"/>
                <w:szCs w:val="18"/>
              </w:rPr>
              <w:t> mil. Kč</w:t>
            </w:r>
          </w:p>
        </w:tc>
      </w:tr>
      <w:tr w:rsidR="0088699C" w:rsidRPr="00780501" w:rsidTr="0088699C">
        <w:trPr>
          <w:cantSplit/>
          <w:trHeight w:val="227"/>
        </w:trPr>
        <w:tc>
          <w:tcPr>
            <w:tcW w:w="7054" w:type="dxa"/>
            <w:vAlign w:val="center"/>
          </w:tcPr>
          <w:p w:rsidR="0088699C" w:rsidRPr="001E3A32" w:rsidRDefault="0088699C" w:rsidP="0088699C">
            <w:pPr>
              <w:spacing w:before="20" w:after="20"/>
              <w:jc w:val="right"/>
              <w:rPr>
                <w:rFonts w:cs="Arial"/>
                <w:i/>
                <w:sz w:val="18"/>
                <w:szCs w:val="18"/>
              </w:rPr>
            </w:pPr>
            <w:r>
              <w:rPr>
                <w:rFonts w:cs="Arial"/>
                <w:i/>
                <w:sz w:val="18"/>
                <w:szCs w:val="18"/>
              </w:rPr>
              <w:t>z toho: nedoplatky z VHP a JTHZ</w:t>
            </w:r>
          </w:p>
        </w:tc>
        <w:tc>
          <w:tcPr>
            <w:tcW w:w="2126" w:type="dxa"/>
            <w:vAlign w:val="center"/>
          </w:tcPr>
          <w:p w:rsidR="0088699C" w:rsidRPr="001E3A32" w:rsidRDefault="0088699C" w:rsidP="0088699C">
            <w:pPr>
              <w:spacing w:before="20" w:after="20"/>
              <w:jc w:val="right"/>
              <w:rPr>
                <w:rFonts w:cs="Arial"/>
                <w:i/>
                <w:sz w:val="18"/>
                <w:szCs w:val="18"/>
              </w:rPr>
            </w:pPr>
            <w:r>
              <w:rPr>
                <w:rFonts w:cs="Arial"/>
                <w:i/>
                <w:sz w:val="18"/>
                <w:szCs w:val="18"/>
              </w:rPr>
              <w:t>229</w:t>
            </w:r>
            <w:r w:rsidR="008107EA">
              <w:rPr>
                <w:rFonts w:cs="Arial"/>
                <w:i/>
                <w:sz w:val="18"/>
                <w:szCs w:val="18"/>
              </w:rPr>
              <w:t>,00</w:t>
            </w:r>
            <w:r>
              <w:rPr>
                <w:rFonts w:cs="Arial"/>
                <w:i/>
                <w:sz w:val="18"/>
                <w:szCs w:val="18"/>
              </w:rPr>
              <w:t> mil. Kč</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Příslušenství odvodu</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21,8</w:t>
            </w:r>
            <w:r w:rsidR="008107EA">
              <w:rPr>
                <w:rFonts w:cs="Arial"/>
                <w:sz w:val="18"/>
                <w:szCs w:val="18"/>
              </w:rPr>
              <w:t>0</w:t>
            </w:r>
            <w:r>
              <w:rPr>
                <w:rFonts w:cs="Arial"/>
                <w:sz w:val="18"/>
                <w:szCs w:val="18"/>
              </w:rPr>
              <w:t> mil. Kč</w:t>
            </w:r>
          </w:p>
        </w:tc>
      </w:tr>
      <w:tr w:rsidR="0088699C" w:rsidRPr="00780501" w:rsidTr="007558D7">
        <w:trPr>
          <w:cantSplit/>
          <w:trHeight w:val="227"/>
        </w:trPr>
        <w:tc>
          <w:tcPr>
            <w:tcW w:w="9180" w:type="dxa"/>
            <w:gridSpan w:val="2"/>
            <w:shd w:val="clear" w:color="auto" w:fill="D9D9D9" w:themeFill="background1" w:themeFillShade="D9"/>
            <w:vAlign w:val="center"/>
          </w:tcPr>
          <w:p w:rsidR="0088699C" w:rsidRPr="00BC0F67" w:rsidRDefault="0088699C" w:rsidP="007558D7">
            <w:pPr>
              <w:spacing w:before="20" w:after="20"/>
              <w:jc w:val="left"/>
              <w:rPr>
                <w:rFonts w:cs="Arial"/>
                <w:b/>
                <w:sz w:val="18"/>
                <w:szCs w:val="18"/>
              </w:rPr>
            </w:pPr>
            <w:r>
              <w:rPr>
                <w:rFonts w:cs="Arial"/>
                <w:b/>
                <w:sz w:val="18"/>
                <w:szCs w:val="18"/>
              </w:rPr>
              <w:t>Ministerstvo financí – povolovací činnost a státní dozor</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p>
        </w:tc>
        <w:tc>
          <w:tcPr>
            <w:tcW w:w="2126" w:type="dxa"/>
            <w:vAlign w:val="center"/>
          </w:tcPr>
          <w:p w:rsidR="0088699C" w:rsidRPr="00BC0F67" w:rsidRDefault="0088699C" w:rsidP="0088699C">
            <w:pPr>
              <w:spacing w:before="20" w:after="20"/>
              <w:jc w:val="center"/>
              <w:rPr>
                <w:rFonts w:cs="Arial"/>
                <w:b/>
                <w:sz w:val="18"/>
                <w:szCs w:val="18"/>
              </w:rPr>
            </w:pPr>
            <w:r w:rsidRPr="00BC0F67">
              <w:rPr>
                <w:rFonts w:cs="Arial"/>
                <w:b/>
                <w:sz w:val="18"/>
                <w:szCs w:val="18"/>
              </w:rPr>
              <w:t>Počet</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Vydaná rozhodnutí (o povolení nebo změně)</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9 910</w:t>
            </w:r>
          </w:p>
        </w:tc>
      </w:tr>
      <w:tr w:rsidR="0088699C" w:rsidRPr="00780501" w:rsidTr="0088699C">
        <w:trPr>
          <w:cantSplit/>
          <w:trHeight w:val="227"/>
        </w:trPr>
        <w:tc>
          <w:tcPr>
            <w:tcW w:w="7054" w:type="dxa"/>
            <w:vAlign w:val="center"/>
          </w:tcPr>
          <w:p w:rsidR="0088699C" w:rsidRPr="00BC0F67" w:rsidRDefault="0088699C" w:rsidP="0088699C">
            <w:pPr>
              <w:spacing w:before="20" w:after="20"/>
              <w:jc w:val="right"/>
              <w:rPr>
                <w:rFonts w:cs="Arial"/>
                <w:i/>
                <w:sz w:val="18"/>
                <w:szCs w:val="18"/>
              </w:rPr>
            </w:pPr>
            <w:r>
              <w:rPr>
                <w:rFonts w:cs="Arial"/>
                <w:i/>
                <w:sz w:val="18"/>
                <w:szCs w:val="18"/>
              </w:rPr>
              <w:t>z toho: z moci úřední</w:t>
            </w:r>
          </w:p>
        </w:tc>
        <w:tc>
          <w:tcPr>
            <w:tcW w:w="2126" w:type="dxa"/>
            <w:vAlign w:val="center"/>
          </w:tcPr>
          <w:p w:rsidR="0088699C" w:rsidRPr="00BC0F67" w:rsidRDefault="0088699C" w:rsidP="0088699C">
            <w:pPr>
              <w:spacing w:before="20" w:after="20"/>
              <w:jc w:val="right"/>
              <w:rPr>
                <w:rFonts w:cs="Arial"/>
                <w:i/>
                <w:sz w:val="18"/>
                <w:szCs w:val="18"/>
              </w:rPr>
            </w:pPr>
            <w:r>
              <w:rPr>
                <w:rFonts w:cs="Arial"/>
                <w:i/>
                <w:sz w:val="18"/>
                <w:szCs w:val="18"/>
              </w:rPr>
              <w:t>477</w:t>
            </w:r>
          </w:p>
        </w:tc>
      </w:tr>
      <w:tr w:rsidR="0088699C" w:rsidRPr="00780501" w:rsidTr="0088699C">
        <w:trPr>
          <w:cantSplit/>
          <w:trHeight w:val="227"/>
        </w:trPr>
        <w:tc>
          <w:tcPr>
            <w:tcW w:w="7054" w:type="dxa"/>
            <w:vAlign w:val="center"/>
          </w:tcPr>
          <w:p w:rsidR="0088699C" w:rsidRPr="00BC0F67" w:rsidRDefault="0088699C" w:rsidP="0088699C">
            <w:pPr>
              <w:spacing w:before="20" w:after="20"/>
              <w:jc w:val="right"/>
              <w:rPr>
                <w:rFonts w:cs="Arial"/>
                <w:i/>
                <w:sz w:val="18"/>
                <w:szCs w:val="18"/>
              </w:rPr>
            </w:pPr>
            <w:r>
              <w:rPr>
                <w:rFonts w:cs="Arial"/>
                <w:i/>
                <w:sz w:val="18"/>
                <w:szCs w:val="18"/>
              </w:rPr>
              <w:t>z toho: počet rozkladů</w:t>
            </w:r>
          </w:p>
        </w:tc>
        <w:tc>
          <w:tcPr>
            <w:tcW w:w="2126" w:type="dxa"/>
            <w:vAlign w:val="center"/>
          </w:tcPr>
          <w:p w:rsidR="0088699C" w:rsidRPr="00BC0F67" w:rsidRDefault="0088699C" w:rsidP="0088699C">
            <w:pPr>
              <w:spacing w:before="20" w:after="20"/>
              <w:jc w:val="right"/>
              <w:rPr>
                <w:rFonts w:cs="Arial"/>
                <w:i/>
                <w:sz w:val="18"/>
                <w:szCs w:val="18"/>
              </w:rPr>
            </w:pPr>
            <w:r>
              <w:rPr>
                <w:rFonts w:cs="Arial"/>
                <w:i/>
                <w:sz w:val="18"/>
                <w:szCs w:val="18"/>
              </w:rPr>
              <w:t>417</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Žádosti o povolení v roce 2013</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1 818</w:t>
            </w:r>
          </w:p>
        </w:tc>
      </w:tr>
      <w:tr w:rsidR="0088699C" w:rsidRPr="00780501" w:rsidTr="0088699C">
        <w:trPr>
          <w:cantSplit/>
          <w:trHeight w:val="227"/>
        </w:trPr>
        <w:tc>
          <w:tcPr>
            <w:tcW w:w="7054" w:type="dxa"/>
            <w:vAlign w:val="center"/>
          </w:tcPr>
          <w:p w:rsidR="0088699C" w:rsidRDefault="0088699C" w:rsidP="0088699C">
            <w:pPr>
              <w:spacing w:before="20" w:after="20"/>
              <w:rPr>
                <w:rFonts w:cs="Arial"/>
                <w:sz w:val="18"/>
                <w:szCs w:val="18"/>
              </w:rPr>
            </w:pPr>
            <w:r>
              <w:rPr>
                <w:rFonts w:cs="Arial"/>
                <w:sz w:val="18"/>
                <w:szCs w:val="18"/>
              </w:rPr>
              <w:t>Žádosti o doplnění povolení v roce 2013</w:t>
            </w:r>
          </w:p>
        </w:tc>
        <w:tc>
          <w:tcPr>
            <w:tcW w:w="2126" w:type="dxa"/>
            <w:vAlign w:val="center"/>
          </w:tcPr>
          <w:p w:rsidR="0088699C" w:rsidRDefault="0088699C" w:rsidP="0088699C">
            <w:pPr>
              <w:spacing w:before="20" w:after="20"/>
              <w:jc w:val="right"/>
              <w:rPr>
                <w:rFonts w:cs="Arial"/>
                <w:sz w:val="18"/>
                <w:szCs w:val="18"/>
              </w:rPr>
            </w:pPr>
            <w:r>
              <w:rPr>
                <w:rFonts w:cs="Arial"/>
                <w:sz w:val="18"/>
                <w:szCs w:val="18"/>
              </w:rPr>
              <w:t>3 375</w:t>
            </w:r>
          </w:p>
        </w:tc>
      </w:tr>
      <w:tr w:rsidR="0088699C" w:rsidRPr="00780501" w:rsidTr="0088699C">
        <w:trPr>
          <w:cantSplit/>
          <w:trHeight w:val="227"/>
        </w:trPr>
        <w:tc>
          <w:tcPr>
            <w:tcW w:w="7054" w:type="dxa"/>
            <w:vAlign w:val="center"/>
          </w:tcPr>
          <w:p w:rsidR="0088699C" w:rsidRPr="00780501" w:rsidRDefault="0088699C" w:rsidP="008107EA">
            <w:pPr>
              <w:spacing w:before="20" w:after="20"/>
              <w:rPr>
                <w:rFonts w:cs="Arial"/>
                <w:sz w:val="18"/>
                <w:szCs w:val="18"/>
              </w:rPr>
            </w:pPr>
            <w:r>
              <w:rPr>
                <w:rFonts w:cs="Arial"/>
                <w:sz w:val="18"/>
                <w:szCs w:val="18"/>
              </w:rPr>
              <w:t xml:space="preserve">Zaměstnanci </w:t>
            </w:r>
            <w:r w:rsidR="008107EA">
              <w:rPr>
                <w:rFonts w:cs="Arial"/>
                <w:sz w:val="18"/>
                <w:szCs w:val="18"/>
              </w:rPr>
              <w:t xml:space="preserve">SD </w:t>
            </w:r>
            <w:r>
              <w:rPr>
                <w:rFonts w:cs="Arial"/>
                <w:sz w:val="18"/>
                <w:szCs w:val="18"/>
              </w:rPr>
              <w:t>(k 1.</w:t>
            </w:r>
            <w:r w:rsidR="008107EA">
              <w:rPr>
                <w:rFonts w:cs="Arial"/>
                <w:sz w:val="18"/>
                <w:szCs w:val="18"/>
              </w:rPr>
              <w:t> </w:t>
            </w:r>
            <w:r>
              <w:rPr>
                <w:rFonts w:cs="Arial"/>
                <w:sz w:val="18"/>
                <w:szCs w:val="18"/>
              </w:rPr>
              <w:t>1.</w:t>
            </w:r>
            <w:r w:rsidR="008107EA">
              <w:rPr>
                <w:rFonts w:cs="Arial"/>
                <w:sz w:val="18"/>
                <w:szCs w:val="18"/>
              </w:rPr>
              <w:t> </w:t>
            </w:r>
            <w:r>
              <w:rPr>
                <w:rFonts w:cs="Arial"/>
                <w:sz w:val="18"/>
                <w:szCs w:val="18"/>
              </w:rPr>
              <w:t>2013)</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32</w:t>
            </w:r>
          </w:p>
        </w:tc>
      </w:tr>
      <w:tr w:rsidR="0088699C" w:rsidRPr="00780501" w:rsidTr="0088699C">
        <w:trPr>
          <w:cantSplit/>
          <w:trHeight w:val="227"/>
        </w:trPr>
        <w:tc>
          <w:tcPr>
            <w:tcW w:w="7054" w:type="dxa"/>
            <w:vAlign w:val="center"/>
          </w:tcPr>
          <w:p w:rsidR="0088699C" w:rsidRPr="00BC0F67" w:rsidRDefault="0088699C" w:rsidP="0088699C">
            <w:pPr>
              <w:spacing w:before="20" w:after="20"/>
              <w:jc w:val="right"/>
              <w:rPr>
                <w:rFonts w:cs="Arial"/>
                <w:i/>
                <w:sz w:val="18"/>
                <w:szCs w:val="18"/>
              </w:rPr>
            </w:pPr>
            <w:r>
              <w:rPr>
                <w:rFonts w:cs="Arial"/>
                <w:i/>
                <w:sz w:val="18"/>
                <w:szCs w:val="18"/>
              </w:rPr>
              <w:t>z toho: oddělení Správní řízení</w:t>
            </w:r>
          </w:p>
        </w:tc>
        <w:tc>
          <w:tcPr>
            <w:tcW w:w="2126" w:type="dxa"/>
            <w:vAlign w:val="center"/>
          </w:tcPr>
          <w:p w:rsidR="0088699C" w:rsidRPr="00BC0F67" w:rsidRDefault="0088699C" w:rsidP="0088699C">
            <w:pPr>
              <w:spacing w:before="20" w:after="20"/>
              <w:jc w:val="right"/>
              <w:rPr>
                <w:rFonts w:cs="Arial"/>
                <w:i/>
                <w:sz w:val="18"/>
                <w:szCs w:val="18"/>
              </w:rPr>
            </w:pPr>
            <w:r>
              <w:rPr>
                <w:rFonts w:cs="Arial"/>
                <w:i/>
                <w:sz w:val="18"/>
                <w:szCs w:val="18"/>
              </w:rPr>
              <w:t>19</w:t>
            </w:r>
          </w:p>
        </w:tc>
      </w:tr>
      <w:tr w:rsidR="0088699C" w:rsidRPr="00780501" w:rsidTr="0088699C">
        <w:trPr>
          <w:cantSplit/>
          <w:trHeight w:val="227"/>
        </w:trPr>
        <w:tc>
          <w:tcPr>
            <w:tcW w:w="7054" w:type="dxa"/>
            <w:vAlign w:val="center"/>
          </w:tcPr>
          <w:p w:rsidR="0088699C" w:rsidRPr="00BC0F67" w:rsidRDefault="0088699C" w:rsidP="0088699C">
            <w:pPr>
              <w:spacing w:before="20" w:after="20"/>
              <w:jc w:val="right"/>
              <w:rPr>
                <w:rFonts w:cs="Arial"/>
                <w:i/>
                <w:sz w:val="18"/>
                <w:szCs w:val="18"/>
              </w:rPr>
            </w:pPr>
            <w:r>
              <w:rPr>
                <w:rFonts w:cs="Arial"/>
                <w:i/>
                <w:sz w:val="18"/>
                <w:szCs w:val="18"/>
              </w:rPr>
              <w:t>oddělení Právní a metodické</w:t>
            </w:r>
          </w:p>
        </w:tc>
        <w:tc>
          <w:tcPr>
            <w:tcW w:w="2126" w:type="dxa"/>
            <w:vAlign w:val="center"/>
          </w:tcPr>
          <w:p w:rsidR="0088699C" w:rsidRPr="00BC0F67" w:rsidRDefault="0088699C" w:rsidP="0088699C">
            <w:pPr>
              <w:spacing w:before="20" w:after="20"/>
              <w:jc w:val="right"/>
              <w:rPr>
                <w:rFonts w:cs="Arial"/>
                <w:i/>
                <w:sz w:val="18"/>
                <w:szCs w:val="18"/>
              </w:rPr>
            </w:pPr>
            <w:r>
              <w:rPr>
                <w:rFonts w:cs="Arial"/>
                <w:i/>
                <w:sz w:val="18"/>
                <w:szCs w:val="18"/>
              </w:rPr>
              <w:t>11</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Provozovatelé LJPH na základě povolení MF (k 1.</w:t>
            </w:r>
            <w:r w:rsidR="008107EA">
              <w:rPr>
                <w:rFonts w:cs="Arial"/>
                <w:sz w:val="18"/>
                <w:szCs w:val="18"/>
              </w:rPr>
              <w:t> </w:t>
            </w:r>
            <w:r>
              <w:rPr>
                <w:rFonts w:cs="Arial"/>
                <w:sz w:val="18"/>
                <w:szCs w:val="18"/>
              </w:rPr>
              <w:t>10.</w:t>
            </w:r>
            <w:r w:rsidR="008107EA">
              <w:rPr>
                <w:rFonts w:cs="Arial"/>
                <w:sz w:val="18"/>
                <w:szCs w:val="18"/>
              </w:rPr>
              <w:t> </w:t>
            </w:r>
            <w:r>
              <w:rPr>
                <w:rFonts w:cs="Arial"/>
                <w:sz w:val="18"/>
                <w:szCs w:val="18"/>
              </w:rPr>
              <w:t>2013)</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75</w:t>
            </w:r>
          </w:p>
        </w:tc>
      </w:tr>
      <w:tr w:rsidR="0088699C" w:rsidRPr="00780501" w:rsidTr="007558D7">
        <w:trPr>
          <w:cantSplit/>
          <w:trHeight w:val="227"/>
        </w:trPr>
        <w:tc>
          <w:tcPr>
            <w:tcW w:w="9180" w:type="dxa"/>
            <w:gridSpan w:val="2"/>
            <w:shd w:val="clear" w:color="auto" w:fill="D9D9D9" w:themeFill="background1" w:themeFillShade="D9"/>
            <w:vAlign w:val="center"/>
          </w:tcPr>
          <w:p w:rsidR="0088699C" w:rsidRPr="00BC0F67" w:rsidRDefault="0088699C" w:rsidP="007558D7">
            <w:pPr>
              <w:spacing w:before="20" w:after="20"/>
              <w:jc w:val="left"/>
              <w:rPr>
                <w:rFonts w:cs="Arial"/>
                <w:b/>
                <w:sz w:val="18"/>
                <w:szCs w:val="18"/>
              </w:rPr>
            </w:pPr>
            <w:r>
              <w:rPr>
                <w:rFonts w:cs="Arial"/>
                <w:b/>
                <w:sz w:val="18"/>
                <w:szCs w:val="18"/>
              </w:rPr>
              <w:t>STÁTNÍ DOZOR FINANČNÍ SPRÁVY</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p>
        </w:tc>
        <w:tc>
          <w:tcPr>
            <w:tcW w:w="2126" w:type="dxa"/>
            <w:vAlign w:val="center"/>
          </w:tcPr>
          <w:p w:rsidR="0088699C" w:rsidRPr="00BC0F67" w:rsidRDefault="0088699C" w:rsidP="0088699C">
            <w:pPr>
              <w:spacing w:before="20" w:after="20"/>
              <w:jc w:val="center"/>
              <w:rPr>
                <w:rFonts w:cs="Arial"/>
                <w:b/>
                <w:sz w:val="18"/>
                <w:szCs w:val="18"/>
              </w:rPr>
            </w:pPr>
            <w:r>
              <w:rPr>
                <w:rFonts w:cs="Arial"/>
                <w:b/>
                <w:sz w:val="18"/>
                <w:szCs w:val="18"/>
              </w:rPr>
              <w:t>Počet</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Provedené kontroly SD</w:t>
            </w:r>
          </w:p>
        </w:tc>
        <w:tc>
          <w:tcPr>
            <w:tcW w:w="2126" w:type="dxa"/>
            <w:vAlign w:val="center"/>
          </w:tcPr>
          <w:p w:rsidR="0088699C" w:rsidRPr="00780501" w:rsidRDefault="0088699C" w:rsidP="007558D7">
            <w:pPr>
              <w:spacing w:before="20" w:after="20"/>
              <w:ind w:right="227"/>
              <w:jc w:val="right"/>
              <w:rPr>
                <w:rFonts w:cs="Arial"/>
                <w:sz w:val="18"/>
                <w:szCs w:val="18"/>
              </w:rPr>
            </w:pPr>
            <w:r>
              <w:rPr>
                <w:rFonts w:cs="Arial"/>
                <w:sz w:val="18"/>
                <w:szCs w:val="18"/>
              </w:rPr>
              <w:t>17 946</w:t>
            </w:r>
          </w:p>
        </w:tc>
      </w:tr>
      <w:tr w:rsidR="0088699C" w:rsidRPr="00780501" w:rsidTr="0088699C">
        <w:trPr>
          <w:cantSplit/>
          <w:trHeight w:val="227"/>
        </w:trPr>
        <w:tc>
          <w:tcPr>
            <w:tcW w:w="7054" w:type="dxa"/>
            <w:vAlign w:val="center"/>
          </w:tcPr>
          <w:p w:rsidR="0088699C" w:rsidRPr="008064F5" w:rsidRDefault="0088699C" w:rsidP="0088699C">
            <w:pPr>
              <w:spacing w:before="20" w:after="20"/>
              <w:jc w:val="right"/>
              <w:rPr>
                <w:rFonts w:cs="Arial"/>
                <w:i/>
                <w:sz w:val="18"/>
                <w:szCs w:val="18"/>
              </w:rPr>
            </w:pPr>
            <w:r>
              <w:rPr>
                <w:rFonts w:cs="Arial"/>
                <w:i/>
                <w:sz w:val="18"/>
                <w:szCs w:val="18"/>
              </w:rPr>
              <w:t>z toho: s nálezem</w:t>
            </w:r>
          </w:p>
        </w:tc>
        <w:tc>
          <w:tcPr>
            <w:tcW w:w="2126" w:type="dxa"/>
            <w:vAlign w:val="center"/>
          </w:tcPr>
          <w:p w:rsidR="0088699C" w:rsidRPr="008064F5" w:rsidRDefault="0088699C" w:rsidP="007558D7">
            <w:pPr>
              <w:spacing w:before="20" w:after="20"/>
              <w:ind w:right="227"/>
              <w:jc w:val="right"/>
              <w:rPr>
                <w:rFonts w:cs="Arial"/>
                <w:i/>
                <w:sz w:val="18"/>
                <w:szCs w:val="18"/>
              </w:rPr>
            </w:pPr>
            <w:r>
              <w:rPr>
                <w:rFonts w:cs="Arial"/>
                <w:i/>
                <w:sz w:val="18"/>
                <w:szCs w:val="18"/>
              </w:rPr>
              <w:t>809</w:t>
            </w:r>
          </w:p>
        </w:tc>
      </w:tr>
      <w:tr w:rsidR="0088699C" w:rsidRPr="00780501" w:rsidTr="0088699C">
        <w:trPr>
          <w:cantSplit/>
          <w:trHeight w:val="227"/>
        </w:trPr>
        <w:tc>
          <w:tcPr>
            <w:tcW w:w="7054" w:type="dxa"/>
            <w:vAlign w:val="center"/>
          </w:tcPr>
          <w:p w:rsidR="0088699C" w:rsidRPr="008064F5" w:rsidRDefault="0088699C" w:rsidP="0088699C">
            <w:pPr>
              <w:spacing w:before="20" w:after="20"/>
              <w:jc w:val="right"/>
              <w:rPr>
                <w:rFonts w:cs="Arial"/>
                <w:i/>
                <w:sz w:val="18"/>
                <w:szCs w:val="18"/>
              </w:rPr>
            </w:pPr>
            <w:r>
              <w:rPr>
                <w:rFonts w:cs="Arial"/>
                <w:i/>
                <w:sz w:val="18"/>
                <w:szCs w:val="18"/>
              </w:rPr>
              <w:t>v %</w:t>
            </w:r>
          </w:p>
        </w:tc>
        <w:tc>
          <w:tcPr>
            <w:tcW w:w="2126" w:type="dxa"/>
            <w:vAlign w:val="center"/>
          </w:tcPr>
          <w:p w:rsidR="0088699C" w:rsidRPr="008064F5" w:rsidRDefault="0088699C" w:rsidP="0088699C">
            <w:pPr>
              <w:spacing w:before="20" w:after="20"/>
              <w:jc w:val="right"/>
              <w:rPr>
                <w:rFonts w:cs="Arial"/>
                <w:i/>
                <w:sz w:val="18"/>
                <w:szCs w:val="18"/>
              </w:rPr>
            </w:pPr>
            <w:r>
              <w:rPr>
                <w:rFonts w:cs="Arial"/>
                <w:i/>
                <w:sz w:val="18"/>
                <w:szCs w:val="18"/>
              </w:rPr>
              <w:t>4,51</w:t>
            </w:r>
          </w:p>
        </w:tc>
      </w:tr>
      <w:tr w:rsidR="0088699C" w:rsidRPr="00780501" w:rsidTr="0088699C">
        <w:trPr>
          <w:cantSplit/>
          <w:trHeight w:val="227"/>
        </w:trPr>
        <w:tc>
          <w:tcPr>
            <w:tcW w:w="7054" w:type="dxa"/>
            <w:vAlign w:val="center"/>
          </w:tcPr>
          <w:p w:rsidR="0088699C" w:rsidRPr="00780501" w:rsidRDefault="0088699C" w:rsidP="008107EA">
            <w:pPr>
              <w:spacing w:before="20" w:after="20"/>
              <w:jc w:val="left"/>
              <w:rPr>
                <w:rFonts w:cs="Arial"/>
                <w:sz w:val="18"/>
                <w:szCs w:val="18"/>
              </w:rPr>
            </w:pPr>
            <w:r>
              <w:rPr>
                <w:rFonts w:cs="Arial"/>
                <w:sz w:val="18"/>
                <w:szCs w:val="18"/>
              </w:rPr>
              <w:t xml:space="preserve">Počet zaměstnanců </w:t>
            </w:r>
            <w:r w:rsidR="008107EA">
              <w:rPr>
                <w:rFonts w:cs="Arial"/>
                <w:sz w:val="18"/>
                <w:szCs w:val="18"/>
              </w:rPr>
              <w:t>SD</w:t>
            </w:r>
          </w:p>
        </w:tc>
        <w:tc>
          <w:tcPr>
            <w:tcW w:w="2126" w:type="dxa"/>
            <w:vAlign w:val="center"/>
          </w:tcPr>
          <w:p w:rsidR="0088699C" w:rsidRPr="00780501" w:rsidRDefault="0088699C" w:rsidP="007558D7">
            <w:pPr>
              <w:spacing w:before="20" w:after="20"/>
              <w:ind w:right="227"/>
              <w:jc w:val="right"/>
              <w:rPr>
                <w:rFonts w:cs="Arial"/>
                <w:sz w:val="18"/>
                <w:szCs w:val="18"/>
              </w:rPr>
            </w:pPr>
            <w:r>
              <w:rPr>
                <w:rFonts w:cs="Arial"/>
                <w:sz w:val="18"/>
                <w:szCs w:val="18"/>
              </w:rPr>
              <w:t>156</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p>
        </w:tc>
        <w:tc>
          <w:tcPr>
            <w:tcW w:w="2126" w:type="dxa"/>
            <w:vAlign w:val="center"/>
          </w:tcPr>
          <w:p w:rsidR="0088699C" w:rsidRPr="008064F5" w:rsidRDefault="0088699C" w:rsidP="0088699C">
            <w:pPr>
              <w:spacing w:before="20" w:after="20"/>
              <w:jc w:val="center"/>
              <w:rPr>
                <w:rFonts w:cs="Arial"/>
                <w:b/>
                <w:sz w:val="18"/>
                <w:szCs w:val="18"/>
              </w:rPr>
            </w:pPr>
            <w:r>
              <w:rPr>
                <w:rFonts w:cs="Arial"/>
                <w:b/>
                <w:sz w:val="18"/>
                <w:szCs w:val="18"/>
              </w:rPr>
              <w:t>Údaj v Kč</w:t>
            </w:r>
          </w:p>
        </w:tc>
      </w:tr>
      <w:tr w:rsidR="0088699C" w:rsidRPr="00780501" w:rsidTr="0088699C">
        <w:trPr>
          <w:cantSplit/>
          <w:trHeight w:val="227"/>
        </w:trPr>
        <w:tc>
          <w:tcPr>
            <w:tcW w:w="7054" w:type="dxa"/>
            <w:vAlign w:val="center"/>
          </w:tcPr>
          <w:p w:rsidR="0088699C" w:rsidRPr="00780501" w:rsidRDefault="0088699C" w:rsidP="008107EA">
            <w:pPr>
              <w:spacing w:before="20" w:after="20"/>
              <w:rPr>
                <w:rFonts w:cs="Arial"/>
                <w:sz w:val="18"/>
                <w:szCs w:val="18"/>
              </w:rPr>
            </w:pPr>
            <w:r>
              <w:rPr>
                <w:rFonts w:cs="Arial"/>
                <w:sz w:val="18"/>
                <w:szCs w:val="18"/>
              </w:rPr>
              <w:t xml:space="preserve">Celkové mzdové náklady – </w:t>
            </w:r>
            <w:r w:rsidR="008107EA">
              <w:rPr>
                <w:rFonts w:cs="Arial"/>
                <w:sz w:val="18"/>
                <w:szCs w:val="18"/>
              </w:rPr>
              <w:t>SD</w:t>
            </w:r>
          </w:p>
        </w:tc>
        <w:tc>
          <w:tcPr>
            <w:tcW w:w="2126" w:type="dxa"/>
            <w:vAlign w:val="center"/>
          </w:tcPr>
          <w:p w:rsidR="0088699C" w:rsidRPr="00780501" w:rsidRDefault="0088699C" w:rsidP="007558D7">
            <w:pPr>
              <w:spacing w:before="20" w:after="20"/>
              <w:ind w:right="227"/>
              <w:jc w:val="right"/>
              <w:rPr>
                <w:rFonts w:cs="Arial"/>
                <w:sz w:val="18"/>
                <w:szCs w:val="18"/>
              </w:rPr>
            </w:pPr>
            <w:r>
              <w:rPr>
                <w:rFonts w:cs="Arial"/>
                <w:sz w:val="18"/>
                <w:szCs w:val="18"/>
              </w:rPr>
              <w:t>53 387 009</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Mzdové náklady na 1 zaměstnance SD</w:t>
            </w:r>
          </w:p>
        </w:tc>
        <w:tc>
          <w:tcPr>
            <w:tcW w:w="2126" w:type="dxa"/>
            <w:vAlign w:val="center"/>
          </w:tcPr>
          <w:p w:rsidR="0088699C" w:rsidRPr="00780501" w:rsidRDefault="0088699C" w:rsidP="007558D7">
            <w:pPr>
              <w:spacing w:before="20" w:after="20"/>
              <w:ind w:right="227"/>
              <w:jc w:val="right"/>
              <w:rPr>
                <w:rFonts w:cs="Arial"/>
                <w:sz w:val="18"/>
                <w:szCs w:val="18"/>
              </w:rPr>
            </w:pPr>
            <w:r>
              <w:rPr>
                <w:rFonts w:cs="Arial"/>
                <w:sz w:val="18"/>
                <w:szCs w:val="18"/>
              </w:rPr>
              <w:t>342 224</w:t>
            </w:r>
          </w:p>
        </w:tc>
      </w:tr>
      <w:tr w:rsidR="0088699C" w:rsidRPr="00780501" w:rsidTr="007558D7">
        <w:trPr>
          <w:cantSplit/>
          <w:trHeight w:val="227"/>
        </w:trPr>
        <w:tc>
          <w:tcPr>
            <w:tcW w:w="9180" w:type="dxa"/>
            <w:gridSpan w:val="2"/>
            <w:shd w:val="clear" w:color="auto" w:fill="D9D9D9" w:themeFill="background1" w:themeFillShade="D9"/>
            <w:vAlign w:val="center"/>
          </w:tcPr>
          <w:p w:rsidR="0088699C" w:rsidRPr="008064F5" w:rsidRDefault="0088699C" w:rsidP="007558D7">
            <w:pPr>
              <w:spacing w:before="20" w:after="20"/>
              <w:jc w:val="left"/>
              <w:rPr>
                <w:rFonts w:cs="Arial"/>
                <w:b/>
                <w:sz w:val="18"/>
                <w:szCs w:val="18"/>
              </w:rPr>
            </w:pPr>
            <w:r w:rsidRPr="008064F5">
              <w:rPr>
                <w:rFonts w:cs="Arial"/>
                <w:b/>
                <w:sz w:val="18"/>
                <w:szCs w:val="18"/>
              </w:rPr>
              <w:t>LJPH</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p>
        </w:tc>
        <w:tc>
          <w:tcPr>
            <w:tcW w:w="2126" w:type="dxa"/>
            <w:vAlign w:val="center"/>
          </w:tcPr>
          <w:p w:rsidR="0088699C" w:rsidRPr="008064F5" w:rsidRDefault="0088699C" w:rsidP="0088699C">
            <w:pPr>
              <w:spacing w:before="20" w:after="20"/>
              <w:jc w:val="center"/>
              <w:rPr>
                <w:rFonts w:cs="Arial"/>
                <w:b/>
                <w:sz w:val="18"/>
                <w:szCs w:val="18"/>
              </w:rPr>
            </w:pPr>
            <w:r>
              <w:rPr>
                <w:rFonts w:cs="Arial"/>
                <w:b/>
                <w:sz w:val="18"/>
                <w:szCs w:val="18"/>
              </w:rPr>
              <w:t>Počet</w:t>
            </w:r>
          </w:p>
        </w:tc>
      </w:tr>
      <w:tr w:rsidR="0088699C" w:rsidRPr="00780501" w:rsidTr="0088699C">
        <w:trPr>
          <w:cantSplit/>
          <w:trHeight w:val="227"/>
        </w:trPr>
        <w:tc>
          <w:tcPr>
            <w:tcW w:w="7054" w:type="dxa"/>
            <w:vAlign w:val="center"/>
          </w:tcPr>
          <w:p w:rsidR="0088699C" w:rsidRPr="00780501" w:rsidRDefault="008107EA" w:rsidP="008107EA">
            <w:pPr>
              <w:spacing w:before="20" w:after="20"/>
              <w:jc w:val="left"/>
              <w:rPr>
                <w:rFonts w:cs="Arial"/>
                <w:sz w:val="18"/>
                <w:szCs w:val="18"/>
              </w:rPr>
            </w:pPr>
            <w:r>
              <w:rPr>
                <w:rFonts w:cs="Arial"/>
                <w:sz w:val="18"/>
                <w:szCs w:val="18"/>
              </w:rPr>
              <w:t>Celkový počet</w:t>
            </w:r>
            <w:r w:rsidR="0088699C">
              <w:rPr>
                <w:rFonts w:cs="Arial"/>
                <w:sz w:val="18"/>
                <w:szCs w:val="18"/>
              </w:rPr>
              <w:t xml:space="preserve"> LJPH </w:t>
            </w:r>
            <w:r>
              <w:rPr>
                <w:rFonts w:cs="Arial"/>
                <w:sz w:val="18"/>
                <w:szCs w:val="18"/>
              </w:rPr>
              <w:t>povolených</w:t>
            </w:r>
            <w:r w:rsidR="0088699C">
              <w:rPr>
                <w:rFonts w:cs="Arial"/>
                <w:sz w:val="18"/>
                <w:szCs w:val="18"/>
              </w:rPr>
              <w:t xml:space="preserve"> MF (k 31.</w:t>
            </w:r>
            <w:r>
              <w:rPr>
                <w:rFonts w:cs="Arial"/>
                <w:sz w:val="18"/>
                <w:szCs w:val="18"/>
              </w:rPr>
              <w:t> </w:t>
            </w:r>
            <w:r w:rsidR="0088699C">
              <w:rPr>
                <w:rFonts w:cs="Arial"/>
                <w:sz w:val="18"/>
                <w:szCs w:val="18"/>
              </w:rPr>
              <w:t>12.</w:t>
            </w:r>
            <w:r>
              <w:rPr>
                <w:rFonts w:cs="Arial"/>
                <w:sz w:val="18"/>
                <w:szCs w:val="18"/>
              </w:rPr>
              <w:t> </w:t>
            </w:r>
            <w:r w:rsidR="0088699C">
              <w:rPr>
                <w:rFonts w:cs="Arial"/>
                <w:sz w:val="18"/>
                <w:szCs w:val="18"/>
              </w:rPr>
              <w:t>2013)</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61 026</w:t>
            </w:r>
          </w:p>
        </w:tc>
      </w:tr>
      <w:tr w:rsidR="0088699C" w:rsidRPr="00780501" w:rsidTr="0088699C">
        <w:trPr>
          <w:cantSplit/>
          <w:trHeight w:val="227"/>
        </w:trPr>
        <w:tc>
          <w:tcPr>
            <w:tcW w:w="7054" w:type="dxa"/>
            <w:vAlign w:val="center"/>
          </w:tcPr>
          <w:p w:rsidR="0088699C" w:rsidRPr="008064F5" w:rsidRDefault="0088699C" w:rsidP="0088699C">
            <w:pPr>
              <w:spacing w:before="20" w:after="20"/>
              <w:jc w:val="right"/>
              <w:rPr>
                <w:rFonts w:cs="Arial"/>
                <w:i/>
                <w:sz w:val="18"/>
                <w:szCs w:val="18"/>
              </w:rPr>
            </w:pPr>
            <w:r>
              <w:rPr>
                <w:rFonts w:cs="Arial"/>
                <w:i/>
                <w:sz w:val="18"/>
                <w:szCs w:val="18"/>
              </w:rPr>
              <w:t>z toho: VHP povolené MF (stav k 31.</w:t>
            </w:r>
            <w:r w:rsidR="008107EA">
              <w:rPr>
                <w:rFonts w:cs="Arial"/>
                <w:i/>
                <w:sz w:val="18"/>
                <w:szCs w:val="18"/>
              </w:rPr>
              <w:t> </w:t>
            </w:r>
            <w:r>
              <w:rPr>
                <w:rFonts w:cs="Arial"/>
                <w:i/>
                <w:sz w:val="18"/>
                <w:szCs w:val="18"/>
              </w:rPr>
              <w:t>12.</w:t>
            </w:r>
            <w:r w:rsidR="008107EA">
              <w:rPr>
                <w:rFonts w:cs="Arial"/>
                <w:i/>
                <w:sz w:val="18"/>
                <w:szCs w:val="18"/>
              </w:rPr>
              <w:t> </w:t>
            </w:r>
            <w:r>
              <w:rPr>
                <w:rFonts w:cs="Arial"/>
                <w:i/>
                <w:sz w:val="18"/>
                <w:szCs w:val="18"/>
              </w:rPr>
              <w:t>2013)</w:t>
            </w:r>
          </w:p>
        </w:tc>
        <w:tc>
          <w:tcPr>
            <w:tcW w:w="2126" w:type="dxa"/>
            <w:vAlign w:val="center"/>
          </w:tcPr>
          <w:p w:rsidR="0088699C" w:rsidRPr="008064F5" w:rsidRDefault="0088699C" w:rsidP="0088699C">
            <w:pPr>
              <w:spacing w:before="20" w:after="20"/>
              <w:jc w:val="right"/>
              <w:rPr>
                <w:rFonts w:cs="Arial"/>
                <w:i/>
                <w:sz w:val="18"/>
                <w:szCs w:val="18"/>
              </w:rPr>
            </w:pPr>
            <w:r>
              <w:rPr>
                <w:rFonts w:cs="Arial"/>
                <w:i/>
                <w:sz w:val="18"/>
                <w:szCs w:val="18"/>
              </w:rPr>
              <w:t>3 438</w:t>
            </w:r>
          </w:p>
        </w:tc>
      </w:tr>
      <w:tr w:rsidR="0088699C" w:rsidRPr="00780501" w:rsidTr="0088699C">
        <w:trPr>
          <w:cantSplit/>
          <w:trHeight w:val="227"/>
        </w:trPr>
        <w:tc>
          <w:tcPr>
            <w:tcW w:w="7054" w:type="dxa"/>
            <w:vAlign w:val="center"/>
          </w:tcPr>
          <w:p w:rsidR="0088699C" w:rsidRPr="008064F5" w:rsidRDefault="0088699C" w:rsidP="0088699C">
            <w:pPr>
              <w:spacing w:before="20" w:after="20"/>
              <w:jc w:val="right"/>
              <w:rPr>
                <w:rFonts w:cs="Arial"/>
                <w:i/>
                <w:sz w:val="18"/>
                <w:szCs w:val="18"/>
              </w:rPr>
            </w:pPr>
            <w:r>
              <w:rPr>
                <w:rFonts w:cs="Arial"/>
                <w:i/>
                <w:sz w:val="18"/>
                <w:szCs w:val="18"/>
              </w:rPr>
              <w:t>IVT povolené MF (stav k 31.</w:t>
            </w:r>
            <w:r w:rsidR="008107EA">
              <w:rPr>
                <w:rFonts w:cs="Arial"/>
                <w:i/>
                <w:sz w:val="18"/>
                <w:szCs w:val="18"/>
              </w:rPr>
              <w:t> </w:t>
            </w:r>
            <w:r>
              <w:rPr>
                <w:rFonts w:cs="Arial"/>
                <w:i/>
                <w:sz w:val="18"/>
                <w:szCs w:val="18"/>
              </w:rPr>
              <w:t>12.</w:t>
            </w:r>
            <w:r w:rsidR="008107EA">
              <w:rPr>
                <w:rFonts w:cs="Arial"/>
                <w:i/>
                <w:sz w:val="18"/>
                <w:szCs w:val="18"/>
              </w:rPr>
              <w:t> </w:t>
            </w:r>
            <w:r>
              <w:rPr>
                <w:rFonts w:cs="Arial"/>
                <w:i/>
                <w:sz w:val="18"/>
                <w:szCs w:val="18"/>
              </w:rPr>
              <w:t>2013)</w:t>
            </w:r>
          </w:p>
        </w:tc>
        <w:tc>
          <w:tcPr>
            <w:tcW w:w="2126" w:type="dxa"/>
            <w:vAlign w:val="center"/>
          </w:tcPr>
          <w:p w:rsidR="0088699C" w:rsidRPr="008064F5" w:rsidRDefault="0088699C" w:rsidP="0088699C">
            <w:pPr>
              <w:spacing w:before="20" w:after="20"/>
              <w:jc w:val="right"/>
              <w:rPr>
                <w:rFonts w:cs="Arial"/>
                <w:i/>
                <w:sz w:val="18"/>
                <w:szCs w:val="18"/>
              </w:rPr>
            </w:pPr>
            <w:r>
              <w:rPr>
                <w:rFonts w:cs="Arial"/>
                <w:i/>
                <w:sz w:val="18"/>
                <w:szCs w:val="18"/>
              </w:rPr>
              <w:t>48 461</w:t>
            </w:r>
          </w:p>
        </w:tc>
      </w:tr>
      <w:tr w:rsidR="0088699C" w:rsidRPr="00780501" w:rsidTr="0088699C">
        <w:trPr>
          <w:cantSplit/>
          <w:trHeight w:val="227"/>
        </w:trPr>
        <w:tc>
          <w:tcPr>
            <w:tcW w:w="7054" w:type="dxa"/>
            <w:vAlign w:val="center"/>
          </w:tcPr>
          <w:p w:rsidR="0088699C" w:rsidRPr="008064F5" w:rsidRDefault="0088699C" w:rsidP="0088699C">
            <w:pPr>
              <w:spacing w:before="20" w:after="20"/>
              <w:jc w:val="right"/>
              <w:rPr>
                <w:rFonts w:cs="Arial"/>
                <w:i/>
                <w:sz w:val="18"/>
                <w:szCs w:val="18"/>
              </w:rPr>
            </w:pPr>
            <w:r>
              <w:rPr>
                <w:rFonts w:cs="Arial"/>
                <w:i/>
                <w:sz w:val="18"/>
                <w:szCs w:val="18"/>
              </w:rPr>
              <w:t>EMR povolené MF (stav k 31.</w:t>
            </w:r>
            <w:r w:rsidR="008107EA">
              <w:rPr>
                <w:rFonts w:cs="Arial"/>
                <w:i/>
                <w:sz w:val="18"/>
                <w:szCs w:val="18"/>
              </w:rPr>
              <w:t> </w:t>
            </w:r>
            <w:r>
              <w:rPr>
                <w:rFonts w:cs="Arial"/>
                <w:i/>
                <w:sz w:val="18"/>
                <w:szCs w:val="18"/>
              </w:rPr>
              <w:t>12.</w:t>
            </w:r>
            <w:r w:rsidR="008107EA">
              <w:rPr>
                <w:rFonts w:cs="Arial"/>
                <w:i/>
                <w:sz w:val="18"/>
                <w:szCs w:val="18"/>
              </w:rPr>
              <w:t> </w:t>
            </w:r>
            <w:r>
              <w:rPr>
                <w:rFonts w:cs="Arial"/>
                <w:i/>
                <w:sz w:val="18"/>
                <w:szCs w:val="18"/>
              </w:rPr>
              <w:t>2013)</w:t>
            </w:r>
          </w:p>
        </w:tc>
        <w:tc>
          <w:tcPr>
            <w:tcW w:w="2126" w:type="dxa"/>
            <w:vAlign w:val="center"/>
          </w:tcPr>
          <w:p w:rsidR="0088699C" w:rsidRPr="007558D7" w:rsidRDefault="0088699C" w:rsidP="0088699C">
            <w:pPr>
              <w:spacing w:before="20" w:after="20"/>
              <w:jc w:val="right"/>
              <w:rPr>
                <w:rFonts w:cs="Arial"/>
                <w:i/>
                <w:sz w:val="18"/>
                <w:szCs w:val="18"/>
              </w:rPr>
            </w:pPr>
            <w:r w:rsidRPr="007558D7">
              <w:rPr>
                <w:rFonts w:cs="Arial"/>
                <w:i/>
                <w:sz w:val="18"/>
                <w:szCs w:val="18"/>
              </w:rPr>
              <w:t>1 541</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VHP povolené obcemi</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17 765</w:t>
            </w:r>
          </w:p>
        </w:tc>
      </w:tr>
      <w:tr w:rsidR="0088699C" w:rsidRPr="00780501" w:rsidTr="0088699C">
        <w:trPr>
          <w:cantSplit/>
          <w:trHeight w:val="227"/>
        </w:trPr>
        <w:tc>
          <w:tcPr>
            <w:tcW w:w="7054" w:type="dxa"/>
            <w:vAlign w:val="center"/>
          </w:tcPr>
          <w:p w:rsidR="0088699C" w:rsidRPr="00780501" w:rsidRDefault="0088699C" w:rsidP="0088699C">
            <w:pPr>
              <w:spacing w:before="20" w:after="20"/>
              <w:jc w:val="left"/>
              <w:rPr>
                <w:rFonts w:cs="Arial"/>
                <w:sz w:val="18"/>
                <w:szCs w:val="18"/>
              </w:rPr>
            </w:pPr>
            <w:r>
              <w:rPr>
                <w:rFonts w:cs="Arial"/>
                <w:sz w:val="18"/>
                <w:szCs w:val="18"/>
              </w:rPr>
              <w:t>Obce povolující provoz VHP</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1 223</w:t>
            </w:r>
          </w:p>
        </w:tc>
      </w:tr>
      <w:tr w:rsidR="0088699C" w:rsidRPr="00780501" w:rsidTr="0088699C">
        <w:trPr>
          <w:cantSplit/>
          <w:trHeight w:val="227"/>
        </w:trPr>
        <w:tc>
          <w:tcPr>
            <w:tcW w:w="7054" w:type="dxa"/>
            <w:vAlign w:val="center"/>
          </w:tcPr>
          <w:p w:rsidR="0088699C" w:rsidRPr="00780501" w:rsidRDefault="0088699C" w:rsidP="008107EA">
            <w:pPr>
              <w:spacing w:before="20" w:after="20"/>
              <w:jc w:val="left"/>
              <w:rPr>
                <w:rFonts w:cs="Arial"/>
                <w:sz w:val="18"/>
                <w:szCs w:val="18"/>
              </w:rPr>
            </w:pPr>
            <w:r>
              <w:rPr>
                <w:rFonts w:cs="Arial"/>
                <w:sz w:val="18"/>
                <w:szCs w:val="18"/>
              </w:rPr>
              <w:t>Obce</w:t>
            </w:r>
            <w:r w:rsidR="008107EA">
              <w:rPr>
                <w:rFonts w:cs="Arial"/>
                <w:sz w:val="18"/>
                <w:szCs w:val="18"/>
              </w:rPr>
              <w:t>,</w:t>
            </w:r>
            <w:r>
              <w:rPr>
                <w:rFonts w:cs="Arial"/>
                <w:sz w:val="18"/>
                <w:szCs w:val="18"/>
              </w:rPr>
              <w:t xml:space="preserve"> </w:t>
            </w:r>
            <w:r w:rsidR="008107EA">
              <w:rPr>
                <w:rFonts w:cs="Arial"/>
                <w:sz w:val="18"/>
                <w:szCs w:val="18"/>
              </w:rPr>
              <w:t>jimž</w:t>
            </w:r>
            <w:r>
              <w:rPr>
                <w:rFonts w:cs="Arial"/>
                <w:sz w:val="18"/>
                <w:szCs w:val="18"/>
              </w:rPr>
              <w:t xml:space="preserve"> byl odvod rozdělen</w:t>
            </w:r>
          </w:p>
        </w:tc>
        <w:tc>
          <w:tcPr>
            <w:tcW w:w="2126" w:type="dxa"/>
            <w:vAlign w:val="center"/>
          </w:tcPr>
          <w:p w:rsidR="0088699C" w:rsidRPr="00780501" w:rsidRDefault="0088699C" w:rsidP="0088699C">
            <w:pPr>
              <w:spacing w:before="20" w:after="20"/>
              <w:jc w:val="right"/>
              <w:rPr>
                <w:rFonts w:cs="Arial"/>
                <w:sz w:val="18"/>
                <w:szCs w:val="18"/>
              </w:rPr>
            </w:pPr>
            <w:r>
              <w:rPr>
                <w:rFonts w:cs="Arial"/>
                <w:sz w:val="18"/>
                <w:szCs w:val="18"/>
              </w:rPr>
              <w:t>2 014</w:t>
            </w:r>
          </w:p>
        </w:tc>
      </w:tr>
    </w:tbl>
    <w:p w:rsidR="008107EA" w:rsidRDefault="00941B1A" w:rsidP="00E524AF">
      <w:pPr>
        <w:spacing w:before="40" w:after="0"/>
        <w:rPr>
          <w:rFonts w:eastAsia="Times New Roman" w:cs="Arial"/>
          <w:sz w:val="18"/>
          <w:szCs w:val="18"/>
        </w:rPr>
      </w:pPr>
      <w:r w:rsidRPr="007558D7">
        <w:rPr>
          <w:rFonts w:eastAsia="Times New Roman" w:cs="Arial"/>
          <w:b/>
          <w:sz w:val="18"/>
          <w:szCs w:val="18"/>
        </w:rPr>
        <w:t>Zdroj:</w:t>
      </w:r>
      <w:r w:rsidRPr="007558D7">
        <w:rPr>
          <w:rFonts w:eastAsia="Times New Roman" w:cs="Arial"/>
          <w:sz w:val="18"/>
          <w:szCs w:val="18"/>
        </w:rPr>
        <w:t xml:space="preserve"> podklady MF a GFŘ</w:t>
      </w:r>
      <w:r w:rsidR="003432BD" w:rsidRPr="007558D7">
        <w:rPr>
          <w:rFonts w:eastAsia="Times New Roman" w:cs="Arial"/>
          <w:sz w:val="18"/>
          <w:szCs w:val="18"/>
        </w:rPr>
        <w:t>.</w:t>
      </w:r>
    </w:p>
    <w:p w:rsidR="008735B1" w:rsidRPr="007558D7" w:rsidRDefault="008107EA" w:rsidP="001A07E4">
      <w:pPr>
        <w:spacing w:before="0" w:after="0"/>
      </w:pPr>
      <w:r>
        <w:rPr>
          <w:rFonts w:eastAsia="Times New Roman" w:cs="Arial"/>
          <w:b/>
          <w:sz w:val="18"/>
          <w:szCs w:val="18"/>
        </w:rPr>
        <w:t xml:space="preserve">Pozn.: </w:t>
      </w:r>
      <w:r w:rsidRPr="007558D7">
        <w:rPr>
          <w:rFonts w:eastAsia="Times New Roman" w:cs="Arial"/>
          <w:sz w:val="18"/>
          <w:szCs w:val="18"/>
        </w:rPr>
        <w:t xml:space="preserve">SD – </w:t>
      </w:r>
      <w:r>
        <w:rPr>
          <w:rFonts w:eastAsia="Times New Roman" w:cs="Arial"/>
          <w:sz w:val="18"/>
          <w:szCs w:val="18"/>
        </w:rPr>
        <w:t xml:space="preserve">MF, </w:t>
      </w:r>
      <w:r w:rsidRPr="007558D7">
        <w:rPr>
          <w:rFonts w:eastAsia="Times New Roman" w:cs="Arial"/>
          <w:sz w:val="18"/>
          <w:szCs w:val="18"/>
        </w:rPr>
        <w:t>odbor Státní dozor nad sázkovými hrami a loteriemi.</w:t>
      </w:r>
      <w:r w:rsidR="00941B1A" w:rsidRPr="007558D7">
        <w:rPr>
          <w:rFonts w:eastAsia="Times New Roman" w:cs="Arial"/>
          <w:sz w:val="18"/>
          <w:szCs w:val="18"/>
        </w:rPr>
        <w:t xml:space="preserve"> </w:t>
      </w:r>
    </w:p>
    <w:sectPr w:rsidR="008735B1" w:rsidRPr="007558D7" w:rsidSect="00941B1A">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E71" w:rsidRDefault="00887E71" w:rsidP="00941B1A">
      <w:pPr>
        <w:spacing w:before="0" w:after="0"/>
      </w:pPr>
      <w:r>
        <w:separator/>
      </w:r>
    </w:p>
  </w:endnote>
  <w:endnote w:type="continuationSeparator" w:id="0">
    <w:p w:rsidR="00887E71" w:rsidRDefault="00887E71" w:rsidP="00941B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39651"/>
      <w:docPartObj>
        <w:docPartGallery w:val="Page Numbers (Bottom of Page)"/>
        <w:docPartUnique/>
      </w:docPartObj>
    </w:sdtPr>
    <w:sdtEndPr/>
    <w:sdtContent>
      <w:p w:rsidR="00887E71" w:rsidRDefault="00887E71">
        <w:pPr>
          <w:pStyle w:val="Zpat"/>
          <w:jc w:val="center"/>
        </w:pPr>
        <w:r>
          <w:fldChar w:fldCharType="begin"/>
        </w:r>
        <w:r>
          <w:instrText>PAGE   \* MERGEFORMAT</w:instrText>
        </w:r>
        <w:r>
          <w:fldChar w:fldCharType="separate"/>
        </w:r>
        <w:r w:rsidR="00285B6F">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E71" w:rsidRDefault="00887E71" w:rsidP="00941B1A">
      <w:pPr>
        <w:spacing w:before="0" w:after="0"/>
      </w:pPr>
      <w:r>
        <w:separator/>
      </w:r>
    </w:p>
  </w:footnote>
  <w:footnote w:type="continuationSeparator" w:id="0">
    <w:p w:rsidR="00887E71" w:rsidRDefault="00887E71" w:rsidP="00941B1A">
      <w:pPr>
        <w:spacing w:before="0" w:after="0"/>
      </w:pPr>
      <w:r>
        <w:continuationSeparator/>
      </w:r>
    </w:p>
  </w:footnote>
  <w:footnote w:id="1">
    <w:p w:rsidR="00887E71" w:rsidRPr="00C306CA" w:rsidRDefault="00887E71" w:rsidP="00C306CA">
      <w:pPr>
        <w:spacing w:before="0" w:after="0"/>
        <w:ind w:left="284" w:hanging="284"/>
        <w:rPr>
          <w:sz w:val="18"/>
          <w:szCs w:val="18"/>
        </w:rPr>
      </w:pPr>
      <w:r w:rsidRPr="00C306CA">
        <w:rPr>
          <w:rStyle w:val="Znakapoznpodarou"/>
          <w:rFonts w:cs="Arial"/>
          <w:sz w:val="18"/>
          <w:szCs w:val="18"/>
        </w:rPr>
        <w:footnoteRef/>
      </w:r>
      <w:r w:rsidRPr="00C306CA">
        <w:rPr>
          <w:sz w:val="18"/>
          <w:szCs w:val="18"/>
        </w:rPr>
        <w:tab/>
        <w:t xml:space="preserve">NKÚ pro výpočet použil </w:t>
      </w:r>
      <w:r w:rsidRPr="005D684A">
        <w:rPr>
          <w:i/>
          <w:sz w:val="18"/>
          <w:szCs w:val="18"/>
        </w:rPr>
        <w:t>Zelenou knihu o on-line hazardních hrách na vnitřním trhu</w:t>
      </w:r>
      <w:r w:rsidRPr="00C306CA">
        <w:rPr>
          <w:sz w:val="18"/>
          <w:szCs w:val="18"/>
        </w:rPr>
        <w:t xml:space="preserve"> [SEK (2011) 321 v konečném znění ze dne 24. 3. 2011], vydanou Evropskou komisí</w:t>
      </w:r>
      <w:r>
        <w:rPr>
          <w:sz w:val="18"/>
          <w:szCs w:val="18"/>
        </w:rPr>
        <w:t>,</w:t>
      </w:r>
      <w:r w:rsidRPr="00C306CA">
        <w:rPr>
          <w:sz w:val="18"/>
          <w:szCs w:val="18"/>
        </w:rPr>
        <w:t xml:space="preserve"> a </w:t>
      </w:r>
      <w:r>
        <w:rPr>
          <w:sz w:val="18"/>
          <w:szCs w:val="18"/>
        </w:rPr>
        <w:t>i</w:t>
      </w:r>
      <w:r w:rsidRPr="00C306CA">
        <w:rPr>
          <w:sz w:val="18"/>
          <w:szCs w:val="18"/>
        </w:rPr>
        <w:t>nformaci MF o výsledcích z provozování LJPH za rok 2012, s využitím hrubého zisku z hazardních her u pěti vyspělých trhů EU v rámci on</w:t>
      </w:r>
      <w:r>
        <w:rPr>
          <w:sz w:val="18"/>
          <w:szCs w:val="18"/>
        </w:rPr>
        <w:t>-</w:t>
      </w:r>
      <w:r w:rsidRPr="00C306CA">
        <w:rPr>
          <w:sz w:val="18"/>
          <w:szCs w:val="18"/>
        </w:rPr>
        <w:t>line hazardních her v roce 2008 na 1 obyvatele a násobenému 20% sazbou odvodové povinnosti. Zohledněny byly i příjmy, které ČR získala z internetových kurzových sázek v roce 2012.</w:t>
      </w:r>
    </w:p>
  </w:footnote>
  <w:footnote w:id="2">
    <w:p w:rsidR="00887E71" w:rsidRPr="006318CC" w:rsidRDefault="00887E71" w:rsidP="00C306CA">
      <w:pPr>
        <w:pStyle w:val="Textpoznpodarou"/>
        <w:spacing w:before="0" w:after="0"/>
        <w:ind w:left="284" w:hanging="284"/>
        <w:rPr>
          <w:rFonts w:ascii="Arial" w:hAnsi="Arial" w:cs="Arial"/>
        </w:rPr>
      </w:pPr>
      <w:r w:rsidRPr="006318CC">
        <w:rPr>
          <w:rStyle w:val="Znakapoznpodarou"/>
          <w:rFonts w:ascii="Arial" w:hAnsi="Arial" w:cs="Arial"/>
        </w:rPr>
        <w:footnoteRef/>
      </w:r>
      <w:r>
        <w:rPr>
          <w:rFonts w:ascii="Arial" w:hAnsi="Arial" w:cs="Arial"/>
        </w:rPr>
        <w:tab/>
      </w:r>
      <w:r w:rsidRPr="006318CC">
        <w:rPr>
          <w:rFonts w:ascii="Arial" w:hAnsi="Arial" w:cs="Arial"/>
        </w:rPr>
        <w:t>Není zahrnut Ústecký kraj – chybělo v podkladech od GFŘ</w:t>
      </w:r>
      <w:r>
        <w:rPr>
          <w:rFonts w:ascii="Arial" w:hAnsi="Arial" w:cs="Arial"/>
        </w:rPr>
        <w:t>.</w:t>
      </w:r>
      <w:r w:rsidRPr="006318CC">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71" w:rsidRPr="00A55DEF" w:rsidRDefault="00887E71" w:rsidP="00A55DEF">
    <w:pPr>
      <w:pStyle w:val="Zhlav"/>
      <w:jc w:val="center"/>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6"/>
    <w:lvl w:ilvl="0">
      <w:start w:val="1"/>
      <w:numFmt w:val="bullet"/>
      <w:lvlText w:val=""/>
      <w:lvlJc w:val="left"/>
      <w:pPr>
        <w:tabs>
          <w:tab w:val="num" w:pos="0"/>
        </w:tabs>
        <w:ind w:left="720" w:hanging="360"/>
      </w:pPr>
      <w:rPr>
        <w:rFonts w:ascii="Symbol" w:hAnsi="Symbol"/>
      </w:rPr>
    </w:lvl>
  </w:abstractNum>
  <w:abstractNum w:abstractNumId="1">
    <w:nsid w:val="08B11457"/>
    <w:multiLevelType w:val="hybridMultilevel"/>
    <w:tmpl w:val="25B29FB0"/>
    <w:lvl w:ilvl="0" w:tplc="D52209C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565B7B"/>
    <w:multiLevelType w:val="hybridMultilevel"/>
    <w:tmpl w:val="A7168456"/>
    <w:lvl w:ilvl="0" w:tplc="95F2DA2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4B4E6B"/>
    <w:multiLevelType w:val="hybridMultilevel"/>
    <w:tmpl w:val="446E7C98"/>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23BF0B92"/>
    <w:multiLevelType w:val="hybridMultilevel"/>
    <w:tmpl w:val="138EA18C"/>
    <w:lvl w:ilvl="0" w:tplc="D52209CE">
      <w:start w:val="3"/>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7C01C64"/>
    <w:multiLevelType w:val="hybridMultilevel"/>
    <w:tmpl w:val="DF069F02"/>
    <w:lvl w:ilvl="0" w:tplc="04050001">
      <w:start w:val="1"/>
      <w:numFmt w:val="bullet"/>
      <w:lvlText w:val=""/>
      <w:lvlJc w:val="left"/>
      <w:pPr>
        <w:ind w:left="782" w:hanging="360"/>
      </w:pPr>
      <w:rPr>
        <w:rFonts w:ascii="Symbol" w:hAnsi="Symbo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6">
    <w:nsid w:val="2DB11B28"/>
    <w:multiLevelType w:val="hybridMultilevel"/>
    <w:tmpl w:val="C832DDB2"/>
    <w:lvl w:ilvl="0" w:tplc="B644D5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9F5AA4"/>
    <w:multiLevelType w:val="hybridMultilevel"/>
    <w:tmpl w:val="32B4A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BF2EE3"/>
    <w:multiLevelType w:val="hybridMultilevel"/>
    <w:tmpl w:val="D4C87F5E"/>
    <w:lvl w:ilvl="0" w:tplc="95F2DA2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21D5C7D"/>
    <w:multiLevelType w:val="hybridMultilevel"/>
    <w:tmpl w:val="06E8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3400D2A"/>
    <w:multiLevelType w:val="hybridMultilevel"/>
    <w:tmpl w:val="E75C616A"/>
    <w:lvl w:ilvl="0" w:tplc="7D3AB1FE">
      <w:start w:val="1"/>
      <w:numFmt w:val="decimal"/>
      <w:pStyle w:val="Nadpis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D5474E"/>
    <w:multiLevelType w:val="hybridMultilevel"/>
    <w:tmpl w:val="EBBAE762"/>
    <w:lvl w:ilvl="0" w:tplc="79E8570C">
      <w:numFmt w:val="bullet"/>
      <w:lvlText w:val="–"/>
      <w:lvlJc w:val="left"/>
      <w:pPr>
        <w:ind w:left="420" w:hanging="360"/>
      </w:pPr>
      <w:rPr>
        <w:rFonts w:ascii="Arial" w:eastAsiaTheme="minorEastAsia"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nsid w:val="5947518A"/>
    <w:multiLevelType w:val="hybridMultilevel"/>
    <w:tmpl w:val="311EAF58"/>
    <w:lvl w:ilvl="0" w:tplc="54FCC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55A4951"/>
    <w:multiLevelType w:val="hybridMultilevel"/>
    <w:tmpl w:val="D9BEF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5"/>
  </w:num>
  <w:num w:numId="5">
    <w:abstractNumId w:val="6"/>
  </w:num>
  <w:num w:numId="6">
    <w:abstractNumId w:val="13"/>
  </w:num>
  <w:num w:numId="7">
    <w:abstractNumId w:val="13"/>
    <w:lvlOverride w:ilvl="0">
      <w:startOverride w:val="1"/>
    </w:lvlOverride>
  </w:num>
  <w:num w:numId="8">
    <w:abstractNumId w:val="11"/>
  </w:num>
  <w:num w:numId="9">
    <w:abstractNumId w:val="10"/>
  </w:num>
  <w:num w:numId="10">
    <w:abstractNumId w:val="10"/>
    <w:lvlOverride w:ilvl="0">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1A"/>
    <w:rsid w:val="000423F1"/>
    <w:rsid w:val="00132897"/>
    <w:rsid w:val="001719D4"/>
    <w:rsid w:val="00176555"/>
    <w:rsid w:val="001A07E4"/>
    <w:rsid w:val="001E13AD"/>
    <w:rsid w:val="001F3124"/>
    <w:rsid w:val="001F57E8"/>
    <w:rsid w:val="0020186D"/>
    <w:rsid w:val="00240BE0"/>
    <w:rsid w:val="00244877"/>
    <w:rsid w:val="00255D85"/>
    <w:rsid w:val="002654AF"/>
    <w:rsid w:val="002741CF"/>
    <w:rsid w:val="00285B6F"/>
    <w:rsid w:val="00290B05"/>
    <w:rsid w:val="002F2F99"/>
    <w:rsid w:val="003432BD"/>
    <w:rsid w:val="003B0FDE"/>
    <w:rsid w:val="0040415A"/>
    <w:rsid w:val="004407DF"/>
    <w:rsid w:val="0046174C"/>
    <w:rsid w:val="004B0C6A"/>
    <w:rsid w:val="004C4F01"/>
    <w:rsid w:val="004F284F"/>
    <w:rsid w:val="00505D11"/>
    <w:rsid w:val="00526CD1"/>
    <w:rsid w:val="00543379"/>
    <w:rsid w:val="005446D0"/>
    <w:rsid w:val="0054606A"/>
    <w:rsid w:val="00556BE4"/>
    <w:rsid w:val="005574DA"/>
    <w:rsid w:val="00571404"/>
    <w:rsid w:val="00583AF9"/>
    <w:rsid w:val="005D08CA"/>
    <w:rsid w:val="005D684A"/>
    <w:rsid w:val="005E182A"/>
    <w:rsid w:val="005F6CBD"/>
    <w:rsid w:val="00605433"/>
    <w:rsid w:val="006318CC"/>
    <w:rsid w:val="00640B20"/>
    <w:rsid w:val="006A0A70"/>
    <w:rsid w:val="006B0D87"/>
    <w:rsid w:val="006B22A3"/>
    <w:rsid w:val="006E65E8"/>
    <w:rsid w:val="007558D7"/>
    <w:rsid w:val="00771B18"/>
    <w:rsid w:val="007821A0"/>
    <w:rsid w:val="007915E8"/>
    <w:rsid w:val="007A7000"/>
    <w:rsid w:val="007B0DF5"/>
    <w:rsid w:val="007B1E6B"/>
    <w:rsid w:val="007B6819"/>
    <w:rsid w:val="007E3A49"/>
    <w:rsid w:val="007F319D"/>
    <w:rsid w:val="00800EFB"/>
    <w:rsid w:val="008107EA"/>
    <w:rsid w:val="00820AAE"/>
    <w:rsid w:val="00820E67"/>
    <w:rsid w:val="008367E1"/>
    <w:rsid w:val="00856B8D"/>
    <w:rsid w:val="008735B1"/>
    <w:rsid w:val="00874D68"/>
    <w:rsid w:val="00881BD7"/>
    <w:rsid w:val="0088699C"/>
    <w:rsid w:val="00887E71"/>
    <w:rsid w:val="008A14CE"/>
    <w:rsid w:val="008F3EC0"/>
    <w:rsid w:val="00941770"/>
    <w:rsid w:val="00941B1A"/>
    <w:rsid w:val="00983874"/>
    <w:rsid w:val="0098522B"/>
    <w:rsid w:val="009A137D"/>
    <w:rsid w:val="009B7F78"/>
    <w:rsid w:val="009E30E3"/>
    <w:rsid w:val="009F1445"/>
    <w:rsid w:val="00A03A77"/>
    <w:rsid w:val="00A34439"/>
    <w:rsid w:val="00A4567C"/>
    <w:rsid w:val="00A55DEF"/>
    <w:rsid w:val="00A95637"/>
    <w:rsid w:val="00AA4A46"/>
    <w:rsid w:val="00AA68A9"/>
    <w:rsid w:val="00AB5257"/>
    <w:rsid w:val="00AD1183"/>
    <w:rsid w:val="00B41960"/>
    <w:rsid w:val="00B41C7A"/>
    <w:rsid w:val="00B97170"/>
    <w:rsid w:val="00B9754B"/>
    <w:rsid w:val="00BA5619"/>
    <w:rsid w:val="00BA797D"/>
    <w:rsid w:val="00BB06C6"/>
    <w:rsid w:val="00BB4908"/>
    <w:rsid w:val="00BE6E4B"/>
    <w:rsid w:val="00C21300"/>
    <w:rsid w:val="00C306CA"/>
    <w:rsid w:val="00C43835"/>
    <w:rsid w:val="00C43A20"/>
    <w:rsid w:val="00C4641E"/>
    <w:rsid w:val="00C73115"/>
    <w:rsid w:val="00CA4898"/>
    <w:rsid w:val="00CB0141"/>
    <w:rsid w:val="00CB6106"/>
    <w:rsid w:val="00CC0BDD"/>
    <w:rsid w:val="00CD05E5"/>
    <w:rsid w:val="00CE3063"/>
    <w:rsid w:val="00D03A1C"/>
    <w:rsid w:val="00D05615"/>
    <w:rsid w:val="00D17612"/>
    <w:rsid w:val="00D178B3"/>
    <w:rsid w:val="00D22070"/>
    <w:rsid w:val="00D22774"/>
    <w:rsid w:val="00D2564B"/>
    <w:rsid w:val="00D36987"/>
    <w:rsid w:val="00D463A4"/>
    <w:rsid w:val="00DA1A63"/>
    <w:rsid w:val="00DC36DF"/>
    <w:rsid w:val="00DC4501"/>
    <w:rsid w:val="00DD56DC"/>
    <w:rsid w:val="00DE0D54"/>
    <w:rsid w:val="00DE3A14"/>
    <w:rsid w:val="00DE5012"/>
    <w:rsid w:val="00DF4F09"/>
    <w:rsid w:val="00DF7391"/>
    <w:rsid w:val="00E03993"/>
    <w:rsid w:val="00E41685"/>
    <w:rsid w:val="00E44CA3"/>
    <w:rsid w:val="00E524AF"/>
    <w:rsid w:val="00E611FF"/>
    <w:rsid w:val="00E83282"/>
    <w:rsid w:val="00EB484C"/>
    <w:rsid w:val="00F428E5"/>
    <w:rsid w:val="00F54CA0"/>
    <w:rsid w:val="00F94BBE"/>
    <w:rsid w:val="00FD2E5B"/>
    <w:rsid w:val="00FD3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1B1A"/>
    <w:pPr>
      <w:spacing w:before="120" w:after="120" w:line="240" w:lineRule="auto"/>
      <w:jc w:val="both"/>
    </w:pPr>
    <w:rPr>
      <w:rFonts w:ascii="Arial" w:eastAsiaTheme="minorEastAsia" w:hAnsi="Arial"/>
    </w:rPr>
  </w:style>
  <w:style w:type="paragraph" w:styleId="Nadpis1">
    <w:name w:val="heading 1"/>
    <w:basedOn w:val="Normln"/>
    <w:next w:val="Normln"/>
    <w:link w:val="Nadpis1Char"/>
    <w:uiPriority w:val="9"/>
    <w:qFormat/>
    <w:rsid w:val="00D22070"/>
    <w:pPr>
      <w:keepNext/>
      <w:keepLines/>
      <w:spacing w:before="480" w:after="0"/>
      <w:jc w:val="center"/>
      <w:outlineLvl w:val="0"/>
    </w:pPr>
    <w:rPr>
      <w:rFonts w:eastAsiaTheme="majorEastAsia" w:cstheme="majorBidi"/>
      <w:b/>
      <w:bCs/>
      <w:sz w:val="24"/>
      <w:szCs w:val="28"/>
    </w:rPr>
  </w:style>
  <w:style w:type="paragraph" w:styleId="Nadpis2">
    <w:name w:val="heading 2"/>
    <w:basedOn w:val="Normln"/>
    <w:next w:val="Normln"/>
    <w:link w:val="Nadpis2Char"/>
    <w:autoRedefine/>
    <w:uiPriority w:val="9"/>
    <w:unhideWhenUsed/>
    <w:qFormat/>
    <w:rsid w:val="00CB0141"/>
    <w:pPr>
      <w:keepNext/>
      <w:keepLines/>
      <w:numPr>
        <w:numId w:val="9"/>
      </w:numPr>
      <w:spacing w:before="0"/>
      <w:outlineLvl w:val="1"/>
    </w:pPr>
    <w:rPr>
      <w:rFonts w:eastAsiaTheme="majorEastAsia" w:cstheme="majorBidi"/>
      <w:b/>
      <w:bCs/>
      <w:sz w:val="24"/>
      <w:szCs w:val="24"/>
    </w:rPr>
  </w:style>
  <w:style w:type="paragraph" w:styleId="Nadpis3">
    <w:name w:val="heading 3"/>
    <w:basedOn w:val="Normln"/>
    <w:next w:val="Normln"/>
    <w:link w:val="Nadpis3Char"/>
    <w:uiPriority w:val="9"/>
    <w:semiHidden/>
    <w:unhideWhenUsed/>
    <w:qFormat/>
    <w:rsid w:val="00DA1A63"/>
    <w:pPr>
      <w:keepNext/>
      <w:keepLines/>
      <w:spacing w:before="200" w:after="0"/>
      <w:outlineLvl w:val="2"/>
    </w:pPr>
    <w:rPr>
      <w:rFonts w:eastAsiaTheme="majorEastAsia" w:cstheme="majorBidi"/>
      <w:b/>
      <w:bCs/>
    </w:rPr>
  </w:style>
  <w:style w:type="paragraph" w:styleId="Nadpis9">
    <w:name w:val="heading 9"/>
    <w:basedOn w:val="Normln"/>
    <w:next w:val="Normln"/>
    <w:link w:val="Nadpis9Char"/>
    <w:uiPriority w:val="9"/>
    <w:unhideWhenUsed/>
    <w:qFormat/>
    <w:rsid w:val="00941B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B0141"/>
    <w:rPr>
      <w:rFonts w:ascii="Arial" w:eastAsiaTheme="majorEastAsia" w:hAnsi="Arial" w:cstheme="majorBidi"/>
      <w:b/>
      <w:bCs/>
      <w:sz w:val="24"/>
      <w:szCs w:val="24"/>
    </w:rPr>
  </w:style>
  <w:style w:type="character" w:customStyle="1" w:styleId="Nadpis9Char">
    <w:name w:val="Nadpis 9 Char"/>
    <w:basedOn w:val="Standardnpsmoodstavce"/>
    <w:link w:val="Nadpis9"/>
    <w:uiPriority w:val="9"/>
    <w:rsid w:val="00941B1A"/>
    <w:rPr>
      <w:rFonts w:asciiTheme="majorHAnsi" w:eastAsiaTheme="majorEastAsia" w:hAnsiTheme="majorHAnsi" w:cstheme="majorBidi"/>
      <w:i/>
      <w:iCs/>
      <w:color w:val="404040" w:themeColor="text1" w:themeTint="BF"/>
      <w:sz w:val="20"/>
      <w:szCs w:val="20"/>
    </w:rPr>
  </w:style>
  <w:style w:type="paragraph" w:customStyle="1" w:styleId="Standard">
    <w:name w:val="Standard"/>
    <w:rsid w:val="00941B1A"/>
    <w:pPr>
      <w:suppressAutoHyphens/>
      <w:spacing w:after="120"/>
      <w:jc w:val="both"/>
    </w:pPr>
    <w:rPr>
      <w:rFonts w:ascii="Arial" w:eastAsia="Times New Roman" w:hAnsi="Arial" w:cs="Calibri"/>
      <w:szCs w:val="24"/>
      <w:lang w:eastAsia="ar-SA"/>
    </w:rPr>
  </w:style>
  <w:style w:type="paragraph" w:customStyle="1" w:styleId="Textbody">
    <w:name w:val="Text body"/>
    <w:rsid w:val="00941B1A"/>
    <w:pPr>
      <w:suppressAutoHyphens/>
      <w:spacing w:line="360" w:lineRule="auto"/>
    </w:pPr>
    <w:rPr>
      <w:rFonts w:eastAsiaTheme="minorEastAsia"/>
    </w:rPr>
  </w:style>
  <w:style w:type="paragraph" w:styleId="Nzev">
    <w:name w:val="Title"/>
    <w:basedOn w:val="Normln"/>
    <w:next w:val="Normln"/>
    <w:link w:val="NzevChar"/>
    <w:uiPriority w:val="10"/>
    <w:qFormat/>
    <w:rsid w:val="00941B1A"/>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28"/>
      <w:szCs w:val="52"/>
    </w:rPr>
  </w:style>
  <w:style w:type="character" w:customStyle="1" w:styleId="NzevChar">
    <w:name w:val="Název Char"/>
    <w:basedOn w:val="Standardnpsmoodstavce"/>
    <w:link w:val="Nzev"/>
    <w:uiPriority w:val="10"/>
    <w:rsid w:val="00941B1A"/>
    <w:rPr>
      <w:rFonts w:asciiTheme="majorHAnsi" w:eastAsiaTheme="majorEastAsia" w:hAnsiTheme="majorHAnsi" w:cstheme="majorBidi"/>
      <w:color w:val="17365D" w:themeColor="text2" w:themeShade="BF"/>
      <w:spacing w:val="5"/>
      <w:kern w:val="28"/>
      <w:sz w:val="28"/>
      <w:szCs w:val="52"/>
    </w:rPr>
  </w:style>
  <w:style w:type="paragraph" w:styleId="Odstavecseseznamem">
    <w:name w:val="List Paragraph"/>
    <w:basedOn w:val="Normln"/>
    <w:uiPriority w:val="34"/>
    <w:qFormat/>
    <w:rsid w:val="00941B1A"/>
    <w:pPr>
      <w:ind w:left="720"/>
      <w:contextualSpacing/>
    </w:pPr>
  </w:style>
  <w:style w:type="character" w:customStyle="1" w:styleId="Nadpis1Char">
    <w:name w:val="Nadpis 1 Char"/>
    <w:basedOn w:val="Standardnpsmoodstavce"/>
    <w:link w:val="Nadpis1"/>
    <w:uiPriority w:val="9"/>
    <w:rsid w:val="00D22070"/>
    <w:rPr>
      <w:rFonts w:ascii="Arial" w:eastAsiaTheme="majorEastAsia" w:hAnsi="Arial" w:cstheme="majorBidi"/>
      <w:b/>
      <w:bCs/>
      <w:sz w:val="24"/>
      <w:szCs w:val="28"/>
    </w:rPr>
  </w:style>
  <w:style w:type="character" w:customStyle="1" w:styleId="Nadpis3Char">
    <w:name w:val="Nadpis 3 Char"/>
    <w:basedOn w:val="Standardnpsmoodstavce"/>
    <w:link w:val="Nadpis3"/>
    <w:uiPriority w:val="9"/>
    <w:semiHidden/>
    <w:rsid w:val="00DA1A63"/>
    <w:rPr>
      <w:rFonts w:ascii="Arial" w:eastAsiaTheme="majorEastAsia" w:hAnsi="Arial" w:cstheme="majorBidi"/>
      <w:b/>
      <w:bCs/>
    </w:rPr>
  </w:style>
  <w:style w:type="paragraph" w:styleId="Textpoznpodarou">
    <w:name w:val="footnote text"/>
    <w:aliases w:val="Text pozn. pod čarou times"/>
    <w:basedOn w:val="Normln"/>
    <w:link w:val="TextpoznpodarouChar"/>
    <w:uiPriority w:val="99"/>
    <w:unhideWhenUsed/>
    <w:qFormat/>
    <w:rsid w:val="00941B1A"/>
    <w:pPr>
      <w:widowControl w:val="0"/>
      <w:autoSpaceDE w:val="0"/>
      <w:autoSpaceDN w:val="0"/>
      <w:adjustRightInd w:val="0"/>
    </w:pPr>
    <w:rPr>
      <w:rFonts w:ascii="Times New Roman" w:hAnsi="Times New Roman" w:cs="Times New Roman"/>
      <w:sz w:val="18"/>
      <w:szCs w:val="20"/>
      <w:lang w:eastAsia="cs-CZ"/>
    </w:rPr>
  </w:style>
  <w:style w:type="character" w:customStyle="1" w:styleId="TextpoznpodarouChar">
    <w:name w:val="Text pozn. pod čarou Char"/>
    <w:aliases w:val="Text pozn. pod čarou times Char"/>
    <w:basedOn w:val="Standardnpsmoodstavce"/>
    <w:link w:val="Textpoznpodarou"/>
    <w:uiPriority w:val="99"/>
    <w:rsid w:val="00941B1A"/>
    <w:rPr>
      <w:rFonts w:ascii="Times New Roman" w:eastAsiaTheme="minorEastAsia" w:hAnsi="Times New Roman" w:cs="Times New Roman"/>
      <w:sz w:val="18"/>
      <w:szCs w:val="20"/>
      <w:lang w:eastAsia="cs-CZ"/>
    </w:rPr>
  </w:style>
  <w:style w:type="character" w:styleId="Znakapoznpodarou">
    <w:name w:val="footnote reference"/>
    <w:uiPriority w:val="99"/>
    <w:rsid w:val="00941B1A"/>
    <w:rPr>
      <w:position w:val="0"/>
      <w:vertAlign w:val="superscript"/>
    </w:rPr>
  </w:style>
  <w:style w:type="paragraph" w:styleId="Normlnweb">
    <w:name w:val="Normal (Web)"/>
    <w:basedOn w:val="Normln"/>
    <w:uiPriority w:val="99"/>
    <w:rsid w:val="00941B1A"/>
    <w:pPr>
      <w:spacing w:before="0" w:after="0"/>
      <w:jc w:val="left"/>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941B1A"/>
    <w:pPr>
      <w:tabs>
        <w:tab w:val="center" w:pos="4536"/>
        <w:tab w:val="right" w:pos="9072"/>
      </w:tabs>
      <w:spacing w:before="0" w:after="0"/>
    </w:pPr>
  </w:style>
  <w:style w:type="character" w:customStyle="1" w:styleId="ZhlavChar">
    <w:name w:val="Záhlaví Char"/>
    <w:basedOn w:val="Standardnpsmoodstavce"/>
    <w:link w:val="Zhlav"/>
    <w:uiPriority w:val="99"/>
    <w:rsid w:val="00941B1A"/>
    <w:rPr>
      <w:rFonts w:ascii="Arial" w:eastAsiaTheme="minorEastAsia" w:hAnsi="Arial"/>
    </w:rPr>
  </w:style>
  <w:style w:type="paragraph" w:styleId="Zpat">
    <w:name w:val="footer"/>
    <w:basedOn w:val="Normln"/>
    <w:link w:val="ZpatChar"/>
    <w:uiPriority w:val="99"/>
    <w:unhideWhenUsed/>
    <w:rsid w:val="00941B1A"/>
    <w:pPr>
      <w:tabs>
        <w:tab w:val="center" w:pos="4536"/>
        <w:tab w:val="right" w:pos="9072"/>
      </w:tabs>
      <w:spacing w:before="0" w:after="0"/>
    </w:pPr>
  </w:style>
  <w:style w:type="character" w:customStyle="1" w:styleId="ZpatChar">
    <w:name w:val="Zápatí Char"/>
    <w:basedOn w:val="Standardnpsmoodstavce"/>
    <w:link w:val="Zpat"/>
    <w:uiPriority w:val="99"/>
    <w:rsid w:val="00941B1A"/>
    <w:rPr>
      <w:rFonts w:ascii="Arial" w:eastAsiaTheme="minorEastAsia" w:hAnsi="Arial"/>
    </w:rPr>
  </w:style>
  <w:style w:type="character" w:customStyle="1" w:styleId="Znakypropoznmkupodarou">
    <w:name w:val="Znaky pro poznámku pod čarou"/>
    <w:basedOn w:val="Standardnpsmoodstavce"/>
    <w:rsid w:val="00E41685"/>
    <w:rPr>
      <w:rFonts w:ascii="Times New Roman" w:hAnsi="Times New Roman" w:cs="Times New Roman"/>
      <w:vertAlign w:val="superscript"/>
    </w:rPr>
  </w:style>
  <w:style w:type="paragraph" w:styleId="Textbubliny">
    <w:name w:val="Balloon Text"/>
    <w:basedOn w:val="Normln"/>
    <w:link w:val="TextbublinyChar"/>
    <w:uiPriority w:val="99"/>
    <w:semiHidden/>
    <w:unhideWhenUsed/>
    <w:rsid w:val="00CC0BDD"/>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0BDD"/>
    <w:rPr>
      <w:rFonts w:ascii="Tahoma" w:eastAsiaTheme="minorEastAsia" w:hAnsi="Tahoma" w:cs="Tahoma"/>
      <w:sz w:val="16"/>
      <w:szCs w:val="16"/>
    </w:rPr>
  </w:style>
  <w:style w:type="character" w:styleId="Odkaznakoment">
    <w:name w:val="annotation reference"/>
    <w:basedOn w:val="Standardnpsmoodstavce"/>
    <w:uiPriority w:val="99"/>
    <w:semiHidden/>
    <w:unhideWhenUsed/>
    <w:rsid w:val="00856B8D"/>
    <w:rPr>
      <w:sz w:val="16"/>
      <w:szCs w:val="16"/>
    </w:rPr>
  </w:style>
  <w:style w:type="paragraph" w:styleId="Textkomente">
    <w:name w:val="annotation text"/>
    <w:basedOn w:val="Normln"/>
    <w:link w:val="TextkomenteChar"/>
    <w:uiPriority w:val="99"/>
    <w:semiHidden/>
    <w:unhideWhenUsed/>
    <w:rsid w:val="00856B8D"/>
    <w:rPr>
      <w:sz w:val="20"/>
      <w:szCs w:val="20"/>
    </w:rPr>
  </w:style>
  <w:style w:type="character" w:customStyle="1" w:styleId="TextkomenteChar">
    <w:name w:val="Text komentáře Char"/>
    <w:basedOn w:val="Standardnpsmoodstavce"/>
    <w:link w:val="Textkomente"/>
    <w:uiPriority w:val="99"/>
    <w:semiHidden/>
    <w:rsid w:val="00856B8D"/>
    <w:rPr>
      <w:rFonts w:ascii="Arial" w:eastAsiaTheme="minorEastAsia" w:hAnsi="Arial"/>
      <w:sz w:val="20"/>
      <w:szCs w:val="20"/>
    </w:rPr>
  </w:style>
  <w:style w:type="paragraph" w:styleId="Pedmtkomente">
    <w:name w:val="annotation subject"/>
    <w:basedOn w:val="Textkomente"/>
    <w:next w:val="Textkomente"/>
    <w:link w:val="PedmtkomenteChar"/>
    <w:uiPriority w:val="99"/>
    <w:semiHidden/>
    <w:unhideWhenUsed/>
    <w:rsid w:val="00856B8D"/>
    <w:rPr>
      <w:b/>
      <w:bCs/>
    </w:rPr>
  </w:style>
  <w:style w:type="character" w:customStyle="1" w:styleId="PedmtkomenteChar">
    <w:name w:val="Předmět komentáře Char"/>
    <w:basedOn w:val="TextkomenteChar"/>
    <w:link w:val="Pedmtkomente"/>
    <w:uiPriority w:val="99"/>
    <w:semiHidden/>
    <w:rsid w:val="00856B8D"/>
    <w:rPr>
      <w:rFonts w:ascii="Arial" w:eastAsiaTheme="minorEastAsia" w:hAnsi="Arial"/>
      <w:b/>
      <w:bCs/>
      <w:sz w:val="20"/>
      <w:szCs w:val="20"/>
    </w:rPr>
  </w:style>
  <w:style w:type="table" w:styleId="Mkatabulky">
    <w:name w:val="Table Grid"/>
    <w:basedOn w:val="Normlntabulka"/>
    <w:uiPriority w:val="59"/>
    <w:rsid w:val="0088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1B1A"/>
    <w:pPr>
      <w:spacing w:before="120" w:after="120" w:line="240" w:lineRule="auto"/>
      <w:jc w:val="both"/>
    </w:pPr>
    <w:rPr>
      <w:rFonts w:ascii="Arial" w:eastAsiaTheme="minorEastAsia" w:hAnsi="Arial"/>
    </w:rPr>
  </w:style>
  <w:style w:type="paragraph" w:styleId="Nadpis1">
    <w:name w:val="heading 1"/>
    <w:basedOn w:val="Normln"/>
    <w:next w:val="Normln"/>
    <w:link w:val="Nadpis1Char"/>
    <w:uiPriority w:val="9"/>
    <w:qFormat/>
    <w:rsid w:val="00D22070"/>
    <w:pPr>
      <w:keepNext/>
      <w:keepLines/>
      <w:spacing w:before="480" w:after="0"/>
      <w:jc w:val="center"/>
      <w:outlineLvl w:val="0"/>
    </w:pPr>
    <w:rPr>
      <w:rFonts w:eastAsiaTheme="majorEastAsia" w:cstheme="majorBidi"/>
      <w:b/>
      <w:bCs/>
      <w:sz w:val="24"/>
      <w:szCs w:val="28"/>
    </w:rPr>
  </w:style>
  <w:style w:type="paragraph" w:styleId="Nadpis2">
    <w:name w:val="heading 2"/>
    <w:basedOn w:val="Normln"/>
    <w:next w:val="Normln"/>
    <w:link w:val="Nadpis2Char"/>
    <w:autoRedefine/>
    <w:uiPriority w:val="9"/>
    <w:unhideWhenUsed/>
    <w:qFormat/>
    <w:rsid w:val="00CB0141"/>
    <w:pPr>
      <w:keepNext/>
      <w:keepLines/>
      <w:numPr>
        <w:numId w:val="9"/>
      </w:numPr>
      <w:spacing w:before="0"/>
      <w:outlineLvl w:val="1"/>
    </w:pPr>
    <w:rPr>
      <w:rFonts w:eastAsiaTheme="majorEastAsia" w:cstheme="majorBidi"/>
      <w:b/>
      <w:bCs/>
      <w:sz w:val="24"/>
      <w:szCs w:val="24"/>
    </w:rPr>
  </w:style>
  <w:style w:type="paragraph" w:styleId="Nadpis3">
    <w:name w:val="heading 3"/>
    <w:basedOn w:val="Normln"/>
    <w:next w:val="Normln"/>
    <w:link w:val="Nadpis3Char"/>
    <w:uiPriority w:val="9"/>
    <w:semiHidden/>
    <w:unhideWhenUsed/>
    <w:qFormat/>
    <w:rsid w:val="00DA1A63"/>
    <w:pPr>
      <w:keepNext/>
      <w:keepLines/>
      <w:spacing w:before="200" w:after="0"/>
      <w:outlineLvl w:val="2"/>
    </w:pPr>
    <w:rPr>
      <w:rFonts w:eastAsiaTheme="majorEastAsia" w:cstheme="majorBidi"/>
      <w:b/>
      <w:bCs/>
    </w:rPr>
  </w:style>
  <w:style w:type="paragraph" w:styleId="Nadpis9">
    <w:name w:val="heading 9"/>
    <w:basedOn w:val="Normln"/>
    <w:next w:val="Normln"/>
    <w:link w:val="Nadpis9Char"/>
    <w:uiPriority w:val="9"/>
    <w:unhideWhenUsed/>
    <w:qFormat/>
    <w:rsid w:val="00941B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B0141"/>
    <w:rPr>
      <w:rFonts w:ascii="Arial" w:eastAsiaTheme="majorEastAsia" w:hAnsi="Arial" w:cstheme="majorBidi"/>
      <w:b/>
      <w:bCs/>
      <w:sz w:val="24"/>
      <w:szCs w:val="24"/>
    </w:rPr>
  </w:style>
  <w:style w:type="character" w:customStyle="1" w:styleId="Nadpis9Char">
    <w:name w:val="Nadpis 9 Char"/>
    <w:basedOn w:val="Standardnpsmoodstavce"/>
    <w:link w:val="Nadpis9"/>
    <w:uiPriority w:val="9"/>
    <w:rsid w:val="00941B1A"/>
    <w:rPr>
      <w:rFonts w:asciiTheme="majorHAnsi" w:eastAsiaTheme="majorEastAsia" w:hAnsiTheme="majorHAnsi" w:cstheme="majorBidi"/>
      <w:i/>
      <w:iCs/>
      <w:color w:val="404040" w:themeColor="text1" w:themeTint="BF"/>
      <w:sz w:val="20"/>
      <w:szCs w:val="20"/>
    </w:rPr>
  </w:style>
  <w:style w:type="paragraph" w:customStyle="1" w:styleId="Standard">
    <w:name w:val="Standard"/>
    <w:rsid w:val="00941B1A"/>
    <w:pPr>
      <w:suppressAutoHyphens/>
      <w:spacing w:after="120"/>
      <w:jc w:val="both"/>
    </w:pPr>
    <w:rPr>
      <w:rFonts w:ascii="Arial" w:eastAsia="Times New Roman" w:hAnsi="Arial" w:cs="Calibri"/>
      <w:szCs w:val="24"/>
      <w:lang w:eastAsia="ar-SA"/>
    </w:rPr>
  </w:style>
  <w:style w:type="paragraph" w:customStyle="1" w:styleId="Textbody">
    <w:name w:val="Text body"/>
    <w:rsid w:val="00941B1A"/>
    <w:pPr>
      <w:suppressAutoHyphens/>
      <w:spacing w:line="360" w:lineRule="auto"/>
    </w:pPr>
    <w:rPr>
      <w:rFonts w:eastAsiaTheme="minorEastAsia"/>
    </w:rPr>
  </w:style>
  <w:style w:type="paragraph" w:styleId="Nzev">
    <w:name w:val="Title"/>
    <w:basedOn w:val="Normln"/>
    <w:next w:val="Normln"/>
    <w:link w:val="NzevChar"/>
    <w:uiPriority w:val="10"/>
    <w:qFormat/>
    <w:rsid w:val="00941B1A"/>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28"/>
      <w:szCs w:val="52"/>
    </w:rPr>
  </w:style>
  <w:style w:type="character" w:customStyle="1" w:styleId="NzevChar">
    <w:name w:val="Název Char"/>
    <w:basedOn w:val="Standardnpsmoodstavce"/>
    <w:link w:val="Nzev"/>
    <w:uiPriority w:val="10"/>
    <w:rsid w:val="00941B1A"/>
    <w:rPr>
      <w:rFonts w:asciiTheme="majorHAnsi" w:eastAsiaTheme="majorEastAsia" w:hAnsiTheme="majorHAnsi" w:cstheme="majorBidi"/>
      <w:color w:val="17365D" w:themeColor="text2" w:themeShade="BF"/>
      <w:spacing w:val="5"/>
      <w:kern w:val="28"/>
      <w:sz w:val="28"/>
      <w:szCs w:val="52"/>
    </w:rPr>
  </w:style>
  <w:style w:type="paragraph" w:styleId="Odstavecseseznamem">
    <w:name w:val="List Paragraph"/>
    <w:basedOn w:val="Normln"/>
    <w:uiPriority w:val="34"/>
    <w:qFormat/>
    <w:rsid w:val="00941B1A"/>
    <w:pPr>
      <w:ind w:left="720"/>
      <w:contextualSpacing/>
    </w:pPr>
  </w:style>
  <w:style w:type="character" w:customStyle="1" w:styleId="Nadpis1Char">
    <w:name w:val="Nadpis 1 Char"/>
    <w:basedOn w:val="Standardnpsmoodstavce"/>
    <w:link w:val="Nadpis1"/>
    <w:uiPriority w:val="9"/>
    <w:rsid w:val="00D22070"/>
    <w:rPr>
      <w:rFonts w:ascii="Arial" w:eastAsiaTheme="majorEastAsia" w:hAnsi="Arial" w:cstheme="majorBidi"/>
      <w:b/>
      <w:bCs/>
      <w:sz w:val="24"/>
      <w:szCs w:val="28"/>
    </w:rPr>
  </w:style>
  <w:style w:type="character" w:customStyle="1" w:styleId="Nadpis3Char">
    <w:name w:val="Nadpis 3 Char"/>
    <w:basedOn w:val="Standardnpsmoodstavce"/>
    <w:link w:val="Nadpis3"/>
    <w:uiPriority w:val="9"/>
    <w:semiHidden/>
    <w:rsid w:val="00DA1A63"/>
    <w:rPr>
      <w:rFonts w:ascii="Arial" w:eastAsiaTheme="majorEastAsia" w:hAnsi="Arial" w:cstheme="majorBidi"/>
      <w:b/>
      <w:bCs/>
    </w:rPr>
  </w:style>
  <w:style w:type="paragraph" w:styleId="Textpoznpodarou">
    <w:name w:val="footnote text"/>
    <w:aliases w:val="Text pozn. pod čarou times"/>
    <w:basedOn w:val="Normln"/>
    <w:link w:val="TextpoznpodarouChar"/>
    <w:uiPriority w:val="99"/>
    <w:unhideWhenUsed/>
    <w:qFormat/>
    <w:rsid w:val="00941B1A"/>
    <w:pPr>
      <w:widowControl w:val="0"/>
      <w:autoSpaceDE w:val="0"/>
      <w:autoSpaceDN w:val="0"/>
      <w:adjustRightInd w:val="0"/>
    </w:pPr>
    <w:rPr>
      <w:rFonts w:ascii="Times New Roman" w:hAnsi="Times New Roman" w:cs="Times New Roman"/>
      <w:sz w:val="18"/>
      <w:szCs w:val="20"/>
      <w:lang w:eastAsia="cs-CZ"/>
    </w:rPr>
  </w:style>
  <w:style w:type="character" w:customStyle="1" w:styleId="TextpoznpodarouChar">
    <w:name w:val="Text pozn. pod čarou Char"/>
    <w:aliases w:val="Text pozn. pod čarou times Char"/>
    <w:basedOn w:val="Standardnpsmoodstavce"/>
    <w:link w:val="Textpoznpodarou"/>
    <w:uiPriority w:val="99"/>
    <w:rsid w:val="00941B1A"/>
    <w:rPr>
      <w:rFonts w:ascii="Times New Roman" w:eastAsiaTheme="minorEastAsia" w:hAnsi="Times New Roman" w:cs="Times New Roman"/>
      <w:sz w:val="18"/>
      <w:szCs w:val="20"/>
      <w:lang w:eastAsia="cs-CZ"/>
    </w:rPr>
  </w:style>
  <w:style w:type="character" w:styleId="Znakapoznpodarou">
    <w:name w:val="footnote reference"/>
    <w:uiPriority w:val="99"/>
    <w:rsid w:val="00941B1A"/>
    <w:rPr>
      <w:position w:val="0"/>
      <w:vertAlign w:val="superscript"/>
    </w:rPr>
  </w:style>
  <w:style w:type="paragraph" w:styleId="Normlnweb">
    <w:name w:val="Normal (Web)"/>
    <w:basedOn w:val="Normln"/>
    <w:uiPriority w:val="99"/>
    <w:rsid w:val="00941B1A"/>
    <w:pPr>
      <w:spacing w:before="0" w:after="0"/>
      <w:jc w:val="left"/>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941B1A"/>
    <w:pPr>
      <w:tabs>
        <w:tab w:val="center" w:pos="4536"/>
        <w:tab w:val="right" w:pos="9072"/>
      </w:tabs>
      <w:spacing w:before="0" w:after="0"/>
    </w:pPr>
  </w:style>
  <w:style w:type="character" w:customStyle="1" w:styleId="ZhlavChar">
    <w:name w:val="Záhlaví Char"/>
    <w:basedOn w:val="Standardnpsmoodstavce"/>
    <w:link w:val="Zhlav"/>
    <w:uiPriority w:val="99"/>
    <w:rsid w:val="00941B1A"/>
    <w:rPr>
      <w:rFonts w:ascii="Arial" w:eastAsiaTheme="minorEastAsia" w:hAnsi="Arial"/>
    </w:rPr>
  </w:style>
  <w:style w:type="paragraph" w:styleId="Zpat">
    <w:name w:val="footer"/>
    <w:basedOn w:val="Normln"/>
    <w:link w:val="ZpatChar"/>
    <w:uiPriority w:val="99"/>
    <w:unhideWhenUsed/>
    <w:rsid w:val="00941B1A"/>
    <w:pPr>
      <w:tabs>
        <w:tab w:val="center" w:pos="4536"/>
        <w:tab w:val="right" w:pos="9072"/>
      </w:tabs>
      <w:spacing w:before="0" w:after="0"/>
    </w:pPr>
  </w:style>
  <w:style w:type="character" w:customStyle="1" w:styleId="ZpatChar">
    <w:name w:val="Zápatí Char"/>
    <w:basedOn w:val="Standardnpsmoodstavce"/>
    <w:link w:val="Zpat"/>
    <w:uiPriority w:val="99"/>
    <w:rsid w:val="00941B1A"/>
    <w:rPr>
      <w:rFonts w:ascii="Arial" w:eastAsiaTheme="minorEastAsia" w:hAnsi="Arial"/>
    </w:rPr>
  </w:style>
  <w:style w:type="character" w:customStyle="1" w:styleId="Znakypropoznmkupodarou">
    <w:name w:val="Znaky pro poznámku pod čarou"/>
    <w:basedOn w:val="Standardnpsmoodstavce"/>
    <w:rsid w:val="00E41685"/>
    <w:rPr>
      <w:rFonts w:ascii="Times New Roman" w:hAnsi="Times New Roman" w:cs="Times New Roman"/>
      <w:vertAlign w:val="superscript"/>
    </w:rPr>
  </w:style>
  <w:style w:type="paragraph" w:styleId="Textbubliny">
    <w:name w:val="Balloon Text"/>
    <w:basedOn w:val="Normln"/>
    <w:link w:val="TextbublinyChar"/>
    <w:uiPriority w:val="99"/>
    <w:semiHidden/>
    <w:unhideWhenUsed/>
    <w:rsid w:val="00CC0BDD"/>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0BDD"/>
    <w:rPr>
      <w:rFonts w:ascii="Tahoma" w:eastAsiaTheme="minorEastAsia" w:hAnsi="Tahoma" w:cs="Tahoma"/>
      <w:sz w:val="16"/>
      <w:szCs w:val="16"/>
    </w:rPr>
  </w:style>
  <w:style w:type="character" w:styleId="Odkaznakoment">
    <w:name w:val="annotation reference"/>
    <w:basedOn w:val="Standardnpsmoodstavce"/>
    <w:uiPriority w:val="99"/>
    <w:semiHidden/>
    <w:unhideWhenUsed/>
    <w:rsid w:val="00856B8D"/>
    <w:rPr>
      <w:sz w:val="16"/>
      <w:szCs w:val="16"/>
    </w:rPr>
  </w:style>
  <w:style w:type="paragraph" w:styleId="Textkomente">
    <w:name w:val="annotation text"/>
    <w:basedOn w:val="Normln"/>
    <w:link w:val="TextkomenteChar"/>
    <w:uiPriority w:val="99"/>
    <w:semiHidden/>
    <w:unhideWhenUsed/>
    <w:rsid w:val="00856B8D"/>
    <w:rPr>
      <w:sz w:val="20"/>
      <w:szCs w:val="20"/>
    </w:rPr>
  </w:style>
  <w:style w:type="character" w:customStyle="1" w:styleId="TextkomenteChar">
    <w:name w:val="Text komentáře Char"/>
    <w:basedOn w:val="Standardnpsmoodstavce"/>
    <w:link w:val="Textkomente"/>
    <w:uiPriority w:val="99"/>
    <w:semiHidden/>
    <w:rsid w:val="00856B8D"/>
    <w:rPr>
      <w:rFonts w:ascii="Arial" w:eastAsiaTheme="minorEastAsia" w:hAnsi="Arial"/>
      <w:sz w:val="20"/>
      <w:szCs w:val="20"/>
    </w:rPr>
  </w:style>
  <w:style w:type="paragraph" w:styleId="Pedmtkomente">
    <w:name w:val="annotation subject"/>
    <w:basedOn w:val="Textkomente"/>
    <w:next w:val="Textkomente"/>
    <w:link w:val="PedmtkomenteChar"/>
    <w:uiPriority w:val="99"/>
    <w:semiHidden/>
    <w:unhideWhenUsed/>
    <w:rsid w:val="00856B8D"/>
    <w:rPr>
      <w:b/>
      <w:bCs/>
    </w:rPr>
  </w:style>
  <w:style w:type="character" w:customStyle="1" w:styleId="PedmtkomenteChar">
    <w:name w:val="Předmět komentáře Char"/>
    <w:basedOn w:val="TextkomenteChar"/>
    <w:link w:val="Pedmtkomente"/>
    <w:uiPriority w:val="99"/>
    <w:semiHidden/>
    <w:rsid w:val="00856B8D"/>
    <w:rPr>
      <w:rFonts w:ascii="Arial" w:eastAsiaTheme="minorEastAsia" w:hAnsi="Arial"/>
      <w:b/>
      <w:bCs/>
      <w:sz w:val="20"/>
      <w:szCs w:val="20"/>
    </w:rPr>
  </w:style>
  <w:style w:type="table" w:styleId="Mkatabulky">
    <w:name w:val="Table Grid"/>
    <w:basedOn w:val="Normlntabulka"/>
    <w:uiPriority w:val="59"/>
    <w:rsid w:val="0088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4B83F6-DCE1-4E27-8D67-96BD5E6D6AD8}"/>
</file>

<file path=customXml/itemProps2.xml><?xml version="1.0" encoding="utf-8"?>
<ds:datastoreItem xmlns:ds="http://schemas.openxmlformats.org/officeDocument/2006/customXml" ds:itemID="{FD7EDEEB-2DD0-4F4F-94EA-19E5E8A02C44}"/>
</file>

<file path=customXml/itemProps3.xml><?xml version="1.0" encoding="utf-8"?>
<ds:datastoreItem xmlns:ds="http://schemas.openxmlformats.org/officeDocument/2006/customXml" ds:itemID="{DE638250-9CD1-4577-9F00-F75DE7BD7B42}"/>
</file>

<file path=customXml/itemProps4.xml><?xml version="1.0" encoding="utf-8"?>
<ds:datastoreItem xmlns:ds="http://schemas.openxmlformats.org/officeDocument/2006/customXml" ds:itemID="{0DCBE8ED-DB3C-4A4A-B794-945CECBB728B}"/>
</file>

<file path=docProps/app.xml><?xml version="1.0" encoding="utf-8"?>
<Properties xmlns="http://schemas.openxmlformats.org/officeDocument/2006/extended-properties" xmlns:vt="http://schemas.openxmlformats.org/officeDocument/2006/docPropsVTypes">
  <Template>60AF04A8</Template>
  <TotalTime>5</TotalTime>
  <Pages>19</Pages>
  <Words>7261</Words>
  <Characters>42842</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50003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13/35</dc:title>
  <dc:creator>PROFELDOVÁ Zdeňka</dc:creator>
  <cp:lastModifiedBy>GREŠOVÁ Romana</cp:lastModifiedBy>
  <cp:revision>3</cp:revision>
  <cp:lastPrinted>2014-08-07T11:52:00Z</cp:lastPrinted>
  <dcterms:created xsi:type="dcterms:W3CDTF">2014-08-07T11:51:00Z</dcterms:created>
  <dcterms:modified xsi:type="dcterms:W3CDTF">2014-08-07T11:56:00Z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